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8.xml" ContentType="application/vnd.openxmlformats-officedocument.wordprocessingml.header+xml"/>
  <Override PartName="/word/header1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5.xml" ContentType="application/vnd.openxmlformats-officedocument.wordprocessingml.header+xml"/>
  <Override PartName="/word/footer22.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8.xml" ContentType="application/vnd.openxmlformats-officedocument.wordprocessingml.header+xml"/>
  <Override PartName="/word/footer25.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31.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6218C" w14:textId="6B0FFCC1" w:rsidR="0048699F" w:rsidRPr="000E5786" w:rsidRDefault="003550D6" w:rsidP="00DD60F0">
      <w:pPr>
        <w:pStyle w:val="BodyText"/>
        <w:spacing w:after="120"/>
        <w:rPr>
          <w:rFonts w:cs="Arial"/>
          <w:szCs w:val="20"/>
        </w:rPr>
      </w:pPr>
      <w:r>
        <w:rPr>
          <w:rFonts w:cs="Arial"/>
          <w:szCs w:val="20"/>
        </w:rPr>
        <w:t>December 2021</w:t>
      </w:r>
    </w:p>
    <w:p w14:paraId="3D31D811" w14:textId="4F3A1121" w:rsidR="0048699F" w:rsidRPr="000E5786" w:rsidRDefault="001F1C19" w:rsidP="00DD60F0">
      <w:pPr>
        <w:pStyle w:val="Parties"/>
        <w:spacing w:after="120"/>
        <w:rPr>
          <w:rFonts w:cs="Arial"/>
          <w:szCs w:val="20"/>
        </w:rPr>
      </w:pPr>
      <w:bookmarkStart w:id="0" w:name="_Ref53584693"/>
      <w:r>
        <w:rPr>
          <w:rFonts w:cs="Arial"/>
          <w:szCs w:val="20"/>
        </w:rPr>
        <w:t>NETLINK STAR</w:t>
      </w:r>
      <w:r w:rsidR="0048699F" w:rsidRPr="000E5786">
        <w:rPr>
          <w:rFonts w:cs="Arial"/>
          <w:szCs w:val="20"/>
        </w:rPr>
        <w:t xml:space="preserve"> INFRASTRUCTURE LIMITED</w:t>
      </w:r>
      <w:bookmarkEnd w:id="0"/>
    </w:p>
    <w:p w14:paraId="3C3AE6B5" w14:textId="01639197" w:rsidR="0048699F" w:rsidRPr="000E5786" w:rsidRDefault="000159CE" w:rsidP="00DD60F0">
      <w:pPr>
        <w:pStyle w:val="Parties"/>
        <w:spacing w:after="120"/>
        <w:rPr>
          <w:rFonts w:cs="Arial"/>
          <w:szCs w:val="20"/>
        </w:rPr>
      </w:pPr>
      <w:r>
        <w:rPr>
          <w:rFonts w:cs="Arial"/>
          <w:szCs w:val="20"/>
        </w:rPr>
        <w:t>QUROSERV</w:t>
      </w:r>
      <w:r w:rsidR="00603831" w:rsidRPr="000E5786">
        <w:rPr>
          <w:rFonts w:cs="Arial"/>
          <w:szCs w:val="20"/>
        </w:rPr>
        <w:t xml:space="preserve"> UK PLC </w:t>
      </w:r>
    </w:p>
    <w:p w14:paraId="3AB18220" w14:textId="77777777" w:rsidR="0048699F" w:rsidRPr="000E5786" w:rsidRDefault="0048699F" w:rsidP="00DD60F0">
      <w:pPr>
        <w:ind w:left="2"/>
        <w:rPr>
          <w:rFonts w:cs="Arial"/>
          <w:szCs w:val="20"/>
        </w:rPr>
      </w:pPr>
      <w:r w:rsidRPr="000E5786">
        <w:rPr>
          <w:rFonts w:cs="Arial"/>
          <w:noProof/>
          <w:szCs w:val="20"/>
        </w:rPr>
        <mc:AlternateContent>
          <mc:Choice Requires="wpg">
            <w:drawing>
              <wp:inline distT="0" distB="0" distL="0" distR="0" wp14:anchorId="6E662728" wp14:editId="5FF92A8E">
                <wp:extent cx="5053025" cy="12192"/>
                <wp:effectExtent l="0" t="0" r="0" b="0"/>
                <wp:docPr id="505099" name="Group 505099"/>
                <wp:cNvGraphicFramePr/>
                <a:graphic xmlns:a="http://schemas.openxmlformats.org/drawingml/2006/main">
                  <a:graphicData uri="http://schemas.microsoft.com/office/word/2010/wordprocessingGroup">
                    <wpg:wgp>
                      <wpg:cNvGrpSpPr/>
                      <wpg:grpSpPr>
                        <a:xfrm>
                          <a:off x="0" y="0"/>
                          <a:ext cx="5053025" cy="12192"/>
                          <a:chOff x="0" y="0"/>
                          <a:chExt cx="5053025" cy="12192"/>
                        </a:xfrm>
                      </wpg:grpSpPr>
                      <wps:wsp>
                        <wps:cNvPr id="693430" name="Shape 6934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31" name="Shape 693431"/>
                        <wps:cNvSpPr/>
                        <wps:spPr>
                          <a:xfrm>
                            <a:off x="4572" y="0"/>
                            <a:ext cx="5036185" cy="12192"/>
                          </a:xfrm>
                          <a:custGeom>
                            <a:avLst/>
                            <a:gdLst/>
                            <a:ahLst/>
                            <a:cxnLst/>
                            <a:rect l="0" t="0" r="0" b="0"/>
                            <a:pathLst>
                              <a:path w="5036185" h="12192">
                                <a:moveTo>
                                  <a:pt x="0" y="0"/>
                                </a:moveTo>
                                <a:lnTo>
                                  <a:pt x="5036185" y="0"/>
                                </a:lnTo>
                                <a:lnTo>
                                  <a:pt x="5036185"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32" name="Shape 693432"/>
                        <wps:cNvSpPr/>
                        <wps:spPr>
                          <a:xfrm>
                            <a:off x="504083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02C723D" id="Group 505099" o:spid="_x0000_s1026" style="width:397.9pt;height:.95pt;mso-position-horizontal-relative:char;mso-position-vertical-relative:line" coordsize="50530,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">
                <v:shape id="Shape 69343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" path="m,l9144,r,9144l,9144,,e" fillcolor="black" stroked="f" strokeweight="0">
                  <v:stroke miterlimit="83231f" joinstyle="miter"/>
                  <v:path arrowok="t" textboxrect="0,0,9144,9144"/>
                </v:shape>
                <v:shape id="Shape 693431" o:spid="_x0000_s1028" style="position:absolute;left:45;width:50362;height:121;visibility:visible;mso-wrap-style:square;v-text-anchor:top" coordsize="503618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" path="m,l5036185,r,12192l,12192,,e" fillcolor="black" stroked="f" strokeweight="0">
                  <v:stroke miterlimit="83231f" joinstyle="miter"/>
                  <v:path arrowok="t" textboxrect="0,0,5036185,12192"/>
                </v:shape>
                <v:shape id="Shape 693432" o:spid="_x0000_s1029" style="position:absolute;left:50408;width:122;height:121;visibility:visible;mso-wrap-style:square;v-text-anchor:top" coordsize="12192,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" path="m,l12192,r,12192l,12192,,e" fillcolor="black" stroked="f" strokeweight="0">
                  <v:stroke miterlimit="83231f" joinstyle="miter"/>
                  <v:path arrowok="t" textboxrect="0,0,12192,12192"/>
                </v:shape>
                <w10:anchorlock/>
              </v:group>
            </w:pict>
          </mc:Fallback>
        </mc:AlternateContent>
      </w:r>
    </w:p>
    <w:p w14:paraId="46D9CD55" w14:textId="5EA87986" w:rsidR="0048699F" w:rsidRPr="000E5786" w:rsidRDefault="0048699F" w:rsidP="00DD60F0">
      <w:pPr>
        <w:pStyle w:val="BodyText"/>
        <w:spacing w:after="120"/>
        <w:rPr>
          <w:rFonts w:cs="Arial"/>
          <w:b/>
          <w:caps/>
          <w:szCs w:val="20"/>
        </w:rPr>
      </w:pPr>
      <w:r w:rsidRPr="000E5786">
        <w:rPr>
          <w:rFonts w:cs="Arial"/>
          <w:caps/>
          <w:szCs w:val="20"/>
        </w:rPr>
        <w:t xml:space="preserve">Agreement </w:t>
      </w:r>
    </w:p>
    <w:p w14:paraId="2CA70933" w14:textId="77777777" w:rsidR="0048699F" w:rsidRPr="000E5786" w:rsidRDefault="0048699F" w:rsidP="00DD60F0">
      <w:pPr>
        <w:ind w:left="10"/>
        <w:rPr>
          <w:rFonts w:cs="Arial"/>
          <w:szCs w:val="20"/>
        </w:rPr>
      </w:pPr>
    </w:p>
    <w:p w14:paraId="1F18C2C5" w14:textId="77777777" w:rsidR="0048699F" w:rsidRPr="000E5786" w:rsidRDefault="0048699F" w:rsidP="00DD60F0">
      <w:pPr>
        <w:ind w:left="10"/>
        <w:rPr>
          <w:rFonts w:cs="Arial"/>
          <w:szCs w:val="20"/>
        </w:rPr>
      </w:pPr>
    </w:p>
    <w:p w14:paraId="13F4BFDC" w14:textId="77777777" w:rsidR="0048699F" w:rsidRPr="000E5786" w:rsidRDefault="0048699F" w:rsidP="00DD60F0">
      <w:pPr>
        <w:ind w:left="10"/>
        <w:rPr>
          <w:rFonts w:cs="Arial"/>
          <w:szCs w:val="20"/>
        </w:rPr>
      </w:pPr>
    </w:p>
    <w:p w14:paraId="2F71088E" w14:textId="77777777" w:rsidR="0048699F" w:rsidRPr="000E5786" w:rsidRDefault="0048699F" w:rsidP="00DD60F0">
      <w:pPr>
        <w:ind w:left="10"/>
        <w:rPr>
          <w:rFonts w:cs="Arial"/>
          <w:szCs w:val="20"/>
        </w:rPr>
      </w:pPr>
    </w:p>
    <w:p w14:paraId="1E61FAD1" w14:textId="77777777" w:rsidR="0048699F" w:rsidRPr="000E5786" w:rsidRDefault="0048699F" w:rsidP="00DD60F0">
      <w:pPr>
        <w:ind w:left="10"/>
        <w:rPr>
          <w:rFonts w:cs="Arial"/>
          <w:szCs w:val="20"/>
        </w:rPr>
      </w:pPr>
    </w:p>
    <w:p w14:paraId="2FDFE57D" w14:textId="77777777" w:rsidR="0048699F" w:rsidRPr="000E5786" w:rsidRDefault="0048699F" w:rsidP="00DD60F0">
      <w:pPr>
        <w:ind w:left="10"/>
        <w:rPr>
          <w:rFonts w:cs="Arial"/>
          <w:szCs w:val="20"/>
        </w:rPr>
      </w:pPr>
    </w:p>
    <w:p w14:paraId="3B73C3C7" w14:textId="77777777" w:rsidR="0048699F" w:rsidRPr="000E5786" w:rsidRDefault="0048699F" w:rsidP="00DD60F0">
      <w:pPr>
        <w:ind w:left="10"/>
        <w:rPr>
          <w:rFonts w:cs="Arial"/>
          <w:szCs w:val="20"/>
        </w:rPr>
      </w:pPr>
    </w:p>
    <w:p w14:paraId="632A7B30" w14:textId="77777777" w:rsidR="0048699F" w:rsidRPr="000E5786" w:rsidRDefault="0048699F" w:rsidP="00DD60F0">
      <w:pPr>
        <w:ind w:left="10"/>
        <w:rPr>
          <w:rFonts w:cs="Arial"/>
          <w:szCs w:val="20"/>
        </w:rPr>
      </w:pPr>
    </w:p>
    <w:p w14:paraId="6FC4CEBB" w14:textId="77777777" w:rsidR="0048699F" w:rsidRPr="000E5786" w:rsidRDefault="0048699F" w:rsidP="00DD60F0">
      <w:pPr>
        <w:ind w:left="10"/>
        <w:rPr>
          <w:rFonts w:cs="Arial"/>
          <w:szCs w:val="20"/>
        </w:rPr>
      </w:pPr>
      <w:r w:rsidRPr="000E5786">
        <w:rPr>
          <w:rFonts w:eastAsia="Verdana" w:cs="Arial"/>
          <w:szCs w:val="20"/>
        </w:rPr>
        <w:tab/>
      </w:r>
    </w:p>
    <w:p w14:paraId="6C3BC428" w14:textId="77777777" w:rsidR="0048699F" w:rsidRPr="000E5786" w:rsidRDefault="0048699F" w:rsidP="00DD60F0">
      <w:pPr>
        <w:ind w:left="10"/>
        <w:rPr>
          <w:rFonts w:cs="Arial"/>
          <w:szCs w:val="20"/>
        </w:rPr>
      </w:pPr>
      <w:r w:rsidRPr="000E5786">
        <w:rPr>
          <w:rFonts w:cs="Arial"/>
          <w:noProof/>
          <w:szCs w:val="20"/>
        </w:rPr>
        <mc:AlternateContent>
          <mc:Choice Requires="wpg">
            <w:drawing>
              <wp:inline distT="0" distB="0" distL="0" distR="0" wp14:anchorId="74E281B1" wp14:editId="30966A06">
                <wp:extent cx="5040757" cy="12192"/>
                <wp:effectExtent l="0" t="0" r="0" b="0"/>
                <wp:docPr id="505100" name="Group 505100"/>
                <wp:cNvGraphicFramePr/>
                <a:graphic xmlns:a="http://schemas.openxmlformats.org/drawingml/2006/main">
                  <a:graphicData uri="http://schemas.microsoft.com/office/word/2010/wordprocessingGroup">
                    <wpg:wgp>
                      <wpg:cNvGrpSpPr/>
                      <wpg:grpSpPr>
                        <a:xfrm>
                          <a:off x="0" y="0"/>
                          <a:ext cx="5040757" cy="12192"/>
                          <a:chOff x="0" y="0"/>
                          <a:chExt cx="5040757" cy="12192"/>
                        </a:xfrm>
                      </wpg:grpSpPr>
                      <wps:wsp>
                        <wps:cNvPr id="693436" name="Shape 693436"/>
                        <wps:cNvSpPr/>
                        <wps:spPr>
                          <a:xfrm>
                            <a:off x="0" y="0"/>
                            <a:ext cx="5040757" cy="12192"/>
                          </a:xfrm>
                          <a:custGeom>
                            <a:avLst/>
                            <a:gdLst/>
                            <a:ahLst/>
                            <a:cxnLst/>
                            <a:rect l="0" t="0" r="0" b="0"/>
                            <a:pathLst>
                              <a:path w="5040757" h="12192">
                                <a:moveTo>
                                  <a:pt x="0" y="0"/>
                                </a:moveTo>
                                <a:lnTo>
                                  <a:pt x="5040757" y="0"/>
                                </a:lnTo>
                                <a:lnTo>
                                  <a:pt x="5040757"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EE7C222" id="Group 505100" o:spid="_x0000_s1026" style="width:396.9pt;height:.95pt;mso-position-horizontal-relative:char;mso-position-vertical-relative:line" coordsize="50407,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">
                <v:shape id="Shape 693436" o:spid="_x0000_s1027" style="position:absolute;width:50407;height:121;visibility:visible;mso-wrap-style:square;v-text-anchor:top" coordsize="504075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" path="m,l5040757,r,12192l,12192,,e" fillcolor="black" stroked="f" strokeweight="0">
                  <v:stroke miterlimit="83231f" joinstyle="miter"/>
                  <v:path arrowok="t" textboxrect="0,0,5040757,12192"/>
                </v:shape>
                <w10:anchorlock/>
              </v:group>
            </w:pict>
          </mc:Fallback>
        </mc:AlternateContent>
      </w:r>
    </w:p>
    <w:p w14:paraId="4BE125D8" w14:textId="02020F9C" w:rsidR="0048699F" w:rsidRPr="000E5786" w:rsidRDefault="0048699F" w:rsidP="00DD60F0">
      <w:pPr>
        <w:pStyle w:val="BodyText"/>
        <w:spacing w:after="120"/>
        <w:rPr>
          <w:rFonts w:cs="Arial"/>
          <w:szCs w:val="20"/>
        </w:rPr>
      </w:pPr>
      <w:r w:rsidRPr="000E5786">
        <w:rPr>
          <w:rFonts w:cs="Arial"/>
          <w:szCs w:val="20"/>
        </w:rPr>
        <w:t xml:space="preserve">Relating to Data Centre </w:t>
      </w:r>
      <w:r w:rsidR="00ED54D6" w:rsidRPr="000E5786">
        <w:rPr>
          <w:rFonts w:cs="Arial"/>
          <w:szCs w:val="20"/>
        </w:rPr>
        <w:t>Transition</w:t>
      </w:r>
      <w:r w:rsidR="0035470A" w:rsidRPr="000E5786">
        <w:rPr>
          <w:rFonts w:cs="Arial"/>
          <w:szCs w:val="20"/>
        </w:rPr>
        <w:t xml:space="preserve"> </w:t>
      </w:r>
      <w:r w:rsidRPr="000E5786">
        <w:rPr>
          <w:rFonts w:cs="Arial"/>
          <w:szCs w:val="20"/>
        </w:rPr>
        <w:t>Migrate &amp; Operate Services Ref:</w:t>
      </w:r>
    </w:p>
    <w:p w14:paraId="1775BE4A" w14:textId="77777777" w:rsidR="0048699F" w:rsidRPr="000E5786" w:rsidRDefault="0048699F" w:rsidP="00DD60F0">
      <w:pPr>
        <w:ind w:left="2"/>
        <w:rPr>
          <w:rFonts w:cs="Arial"/>
          <w:szCs w:val="20"/>
        </w:rPr>
      </w:pPr>
      <w:r w:rsidRPr="000E5786">
        <w:rPr>
          <w:rFonts w:eastAsia="Verdana" w:cs="Arial"/>
          <w:szCs w:val="20"/>
        </w:rPr>
        <w:tab/>
      </w:r>
    </w:p>
    <w:p w14:paraId="1B11E92A" w14:textId="77777777" w:rsidR="0048699F" w:rsidRPr="000E5786" w:rsidRDefault="0048699F" w:rsidP="00DD60F0">
      <w:pPr>
        <w:ind w:left="2386"/>
        <w:rPr>
          <w:rFonts w:cs="Arial"/>
          <w:szCs w:val="20"/>
        </w:rPr>
      </w:pPr>
      <w:r w:rsidRPr="000E5786">
        <w:rPr>
          <w:rFonts w:eastAsia="Verdana" w:cs="Arial"/>
          <w:b/>
          <w:szCs w:val="20"/>
        </w:rPr>
        <w:tab/>
      </w:r>
    </w:p>
    <w:p w14:paraId="6C2547CA" w14:textId="77777777" w:rsidR="00A86BA0" w:rsidRPr="000E5786" w:rsidRDefault="00A86BA0" w:rsidP="00DD60F0">
      <w:pPr>
        <w:rPr>
          <w:rFonts w:cs="Arial"/>
          <w:b/>
          <w:bCs/>
          <w:caps/>
          <w:szCs w:val="20"/>
        </w:rPr>
      </w:pPr>
      <w:r w:rsidRPr="000E5786">
        <w:rPr>
          <w:rFonts w:cs="Arial"/>
          <w:b/>
          <w:bCs/>
          <w:caps/>
          <w:szCs w:val="20"/>
        </w:rPr>
        <w:br w:type="page"/>
      </w:r>
    </w:p>
    <w:p w14:paraId="192AA04A" w14:textId="131D752F" w:rsidR="0048699F" w:rsidRPr="000E5786" w:rsidRDefault="0048699F" w:rsidP="00DD60F0">
      <w:pPr>
        <w:pStyle w:val="BodyText"/>
        <w:spacing w:after="120"/>
        <w:rPr>
          <w:rFonts w:cs="Arial"/>
          <w:b/>
          <w:bCs/>
          <w:szCs w:val="20"/>
        </w:rPr>
      </w:pPr>
      <w:r w:rsidRPr="000E5786">
        <w:rPr>
          <w:rFonts w:cs="Arial"/>
          <w:b/>
          <w:bCs/>
          <w:szCs w:val="20"/>
        </w:rPr>
        <w:lastRenderedPageBreak/>
        <w:t>CONTENTS</w:t>
      </w:r>
    </w:p>
    <w:p w14:paraId="1353FAEC" w14:textId="77777777" w:rsidR="0048699F" w:rsidRPr="000E5786" w:rsidRDefault="0048699F" w:rsidP="00DD60F0">
      <w:pPr>
        <w:rPr>
          <w:rFonts w:cs="Arial"/>
          <w:szCs w:val="20"/>
        </w:rPr>
      </w:pPr>
      <w:r w:rsidRPr="000E5786">
        <w:rPr>
          <w:rFonts w:cs="Arial"/>
          <w:noProof/>
          <w:szCs w:val="20"/>
        </w:rPr>
        <mc:AlternateContent>
          <mc:Choice Requires="wpg">
            <w:drawing>
              <wp:inline distT="0" distB="0" distL="0" distR="0" wp14:anchorId="156E3270" wp14:editId="3F91A663">
                <wp:extent cx="5761609" cy="6096"/>
                <wp:effectExtent l="0" t="0" r="0" b="0"/>
                <wp:docPr id="510051" name="Group 510051"/>
                <wp:cNvGraphicFramePr/>
                <a:graphic xmlns:a="http://schemas.openxmlformats.org/drawingml/2006/main">
                  <a:graphicData uri="http://schemas.microsoft.com/office/word/2010/wordprocessingGroup">
                    <wpg:wgp>
                      <wpg:cNvGrpSpPr/>
                      <wpg:grpSpPr>
                        <a:xfrm>
                          <a:off x="0" y="0"/>
                          <a:ext cx="5761609" cy="6096"/>
                          <a:chOff x="0" y="0"/>
                          <a:chExt cx="5761609" cy="6096"/>
                        </a:xfrm>
                      </wpg:grpSpPr>
                      <wps:wsp>
                        <wps:cNvPr id="693438" name="Shape 693438"/>
                        <wps:cNvSpPr/>
                        <wps:spPr>
                          <a:xfrm>
                            <a:off x="0" y="0"/>
                            <a:ext cx="5761609" cy="9144"/>
                          </a:xfrm>
                          <a:custGeom>
                            <a:avLst/>
                            <a:gdLst/>
                            <a:ahLst/>
                            <a:cxnLst/>
                            <a:rect l="0" t="0" r="0" b="0"/>
                            <a:pathLst>
                              <a:path w="5761609" h="9144">
                                <a:moveTo>
                                  <a:pt x="0" y="0"/>
                                </a:moveTo>
                                <a:lnTo>
                                  <a:pt x="5761609" y="0"/>
                                </a:lnTo>
                                <a:lnTo>
                                  <a:pt x="57616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387A728" id="Group 510051" o:spid="_x0000_s1026" style="width:453.65pt;height:.5pt;mso-position-horizontal-relative:char;mso-position-vertical-relative:line" coordsize="576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">
                <v:shape id="Shape 693438" o:spid="_x0000_s1027" style="position:absolute;width:57616;height:91;visibility:visible;mso-wrap-style:square;v-text-anchor:top" coordsize="576160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" path="m,l5761609,r,9144l,9144,,e" fillcolor="black" stroked="f" strokeweight="0">
                  <v:stroke miterlimit="83231f" joinstyle="miter"/>
                  <v:path arrowok="t" textboxrect="0,0,5761609,9144"/>
                </v:shape>
                <w10:anchorlock/>
              </v:group>
            </w:pict>
          </mc:Fallback>
        </mc:AlternateContent>
      </w:r>
    </w:p>
    <w:p w14:paraId="17CDE084" w14:textId="0D345997" w:rsidR="0048699F" w:rsidRPr="000E5786" w:rsidRDefault="0048699F" w:rsidP="00DD60F0">
      <w:pPr>
        <w:pStyle w:val="BodyText"/>
        <w:spacing w:after="120"/>
        <w:rPr>
          <w:rFonts w:cs="Arial"/>
          <w:szCs w:val="20"/>
        </w:rPr>
      </w:pPr>
      <w:r w:rsidRPr="000E5786">
        <w:rPr>
          <w:rFonts w:cs="Arial"/>
          <w:szCs w:val="20"/>
        </w:rPr>
        <w:t xml:space="preserve">Clause </w:t>
      </w:r>
      <w:r w:rsidRPr="000E5786">
        <w:rPr>
          <w:rFonts w:cs="Arial"/>
          <w:szCs w:val="20"/>
        </w:rPr>
        <w:tab/>
      </w:r>
      <w:r w:rsidR="00045104" w:rsidRPr="000E5786">
        <w:rPr>
          <w:rFonts w:cs="Arial"/>
          <w:szCs w:val="20"/>
        </w:rPr>
        <w:tab/>
      </w:r>
      <w:r w:rsidR="00045104" w:rsidRPr="000E5786">
        <w:rPr>
          <w:rFonts w:cs="Arial"/>
          <w:szCs w:val="20"/>
        </w:rPr>
        <w:tab/>
      </w:r>
      <w:r w:rsidR="00045104" w:rsidRPr="000E5786">
        <w:rPr>
          <w:rFonts w:cs="Arial"/>
          <w:szCs w:val="20"/>
        </w:rPr>
        <w:tab/>
      </w:r>
      <w:r w:rsidR="00045104" w:rsidRPr="000E5786">
        <w:rPr>
          <w:rFonts w:cs="Arial"/>
          <w:szCs w:val="20"/>
        </w:rPr>
        <w:tab/>
      </w:r>
      <w:r w:rsidR="00045104" w:rsidRPr="000E5786">
        <w:rPr>
          <w:rFonts w:cs="Arial"/>
          <w:szCs w:val="20"/>
        </w:rPr>
        <w:tab/>
      </w:r>
      <w:r w:rsidR="00045104" w:rsidRPr="000E5786">
        <w:rPr>
          <w:rFonts w:cs="Arial"/>
          <w:szCs w:val="20"/>
        </w:rPr>
        <w:tab/>
      </w:r>
      <w:r w:rsidR="00045104" w:rsidRPr="000E5786">
        <w:rPr>
          <w:rFonts w:cs="Arial"/>
          <w:szCs w:val="20"/>
        </w:rPr>
        <w:tab/>
      </w:r>
      <w:r w:rsidR="00045104" w:rsidRPr="000E5786">
        <w:rPr>
          <w:rFonts w:cs="Arial"/>
          <w:szCs w:val="20"/>
        </w:rPr>
        <w:tab/>
      </w:r>
      <w:r w:rsidR="00045104" w:rsidRPr="000E5786">
        <w:rPr>
          <w:rFonts w:cs="Arial"/>
          <w:szCs w:val="20"/>
        </w:rPr>
        <w:tab/>
      </w:r>
      <w:r w:rsidR="00045104" w:rsidRPr="000E5786">
        <w:rPr>
          <w:rFonts w:cs="Arial"/>
          <w:szCs w:val="20"/>
        </w:rPr>
        <w:tab/>
      </w:r>
      <w:r w:rsidR="00045104" w:rsidRPr="000E5786">
        <w:rPr>
          <w:rFonts w:cs="Arial"/>
          <w:szCs w:val="20"/>
        </w:rPr>
        <w:tab/>
      </w:r>
      <w:r w:rsidRPr="000E5786">
        <w:rPr>
          <w:rFonts w:cs="Arial"/>
          <w:szCs w:val="20"/>
        </w:rPr>
        <w:t>Page</w:t>
      </w:r>
    </w:p>
    <w:p w14:paraId="7438CCBB" w14:textId="128DAC04" w:rsidR="00D6559C" w:rsidRPr="000E5786" w:rsidRDefault="00AF2B9F" w:rsidP="00B52BF5">
      <w:pPr>
        <w:pStyle w:val="TOC1"/>
        <w:rPr>
          <w:rFonts w:eastAsiaTheme="minorEastAsia"/>
          <w:noProof/>
          <w:color w:val="auto"/>
        </w:rPr>
      </w:pPr>
      <w:r w:rsidRPr="000E5786">
        <w:fldChar w:fldCharType="begin"/>
      </w:r>
      <w:r w:rsidRPr="000E5786">
        <w:instrText xml:space="preserve"> TOC \f C \H \T "APPENDIX TITLE,1, HEADING 1,1, SCHEDULE TITLE,1, APPENDIX SUB TITLE,2, SCHEDULE SUBHEADING,2" GUID=a821f946-e9c1-4c94-9c3b-e5a65c3d296b</w:instrText>
      </w:r>
      <w:r w:rsidRPr="000E5786">
        <w:fldChar w:fldCharType="separate"/>
      </w:r>
      <w:hyperlink w:anchor="_Toc71198925" w:history="1">
        <w:r w:rsidR="00D6559C" w:rsidRPr="000E5786">
          <w:rPr>
            <w:rStyle w:val="Hyperlink"/>
            <w:rFonts w:cs="Arial"/>
            <w:noProof/>
            <w:szCs w:val="20"/>
          </w:rPr>
          <w:t>1.</w:t>
        </w:r>
        <w:r w:rsidR="00D6559C" w:rsidRPr="000E5786">
          <w:rPr>
            <w:rFonts w:eastAsiaTheme="minorEastAsia"/>
            <w:noProof/>
            <w:color w:val="auto"/>
          </w:rPr>
          <w:tab/>
        </w:r>
        <w:r w:rsidR="00D6559C" w:rsidRPr="000E5786">
          <w:rPr>
            <w:rStyle w:val="Hyperlink"/>
            <w:rFonts w:cs="Arial"/>
            <w:noProof/>
            <w:szCs w:val="20"/>
          </w:rPr>
          <w:t>DEFINITIONS AND INTERPRETATION</w:t>
        </w:r>
        <w:r w:rsidR="00D6559C" w:rsidRPr="000E5786">
          <w:rPr>
            <w:noProof/>
          </w:rPr>
          <w:tab/>
        </w:r>
        <w:r w:rsidR="00D6559C" w:rsidRPr="000E5786">
          <w:rPr>
            <w:noProof/>
          </w:rPr>
          <w:fldChar w:fldCharType="begin"/>
        </w:r>
        <w:r w:rsidR="00D6559C" w:rsidRPr="000E5786">
          <w:rPr>
            <w:noProof/>
          </w:rPr>
          <w:instrText xml:space="preserve"> PAGEREF _Toc71198925 \h </w:instrText>
        </w:r>
        <w:r w:rsidR="00D6559C" w:rsidRPr="000E5786">
          <w:rPr>
            <w:noProof/>
          </w:rPr>
        </w:r>
        <w:r w:rsidR="00D6559C" w:rsidRPr="000E5786">
          <w:rPr>
            <w:noProof/>
          </w:rPr>
          <w:fldChar w:fldCharType="separate"/>
        </w:r>
        <w:r w:rsidR="007B5E2E">
          <w:rPr>
            <w:noProof/>
          </w:rPr>
          <w:t>6</w:t>
        </w:r>
        <w:r w:rsidR="00D6559C" w:rsidRPr="000E5786">
          <w:rPr>
            <w:noProof/>
          </w:rPr>
          <w:fldChar w:fldCharType="end"/>
        </w:r>
      </w:hyperlink>
    </w:p>
    <w:p w14:paraId="42132462" w14:textId="600CC794" w:rsidR="00D6559C" w:rsidRPr="000E5786" w:rsidRDefault="00000000" w:rsidP="00B52BF5">
      <w:pPr>
        <w:pStyle w:val="TOC1"/>
        <w:rPr>
          <w:rFonts w:eastAsiaTheme="minorEastAsia"/>
          <w:noProof/>
          <w:color w:val="auto"/>
        </w:rPr>
      </w:pPr>
      <w:hyperlink w:anchor="_Toc71198926" w:history="1">
        <w:r w:rsidR="00D6559C" w:rsidRPr="000E5786">
          <w:rPr>
            <w:rStyle w:val="Hyperlink"/>
            <w:rFonts w:cs="Arial"/>
            <w:noProof/>
            <w:szCs w:val="20"/>
          </w:rPr>
          <w:t>2.</w:t>
        </w:r>
        <w:r w:rsidR="00D6559C" w:rsidRPr="000E5786">
          <w:rPr>
            <w:rFonts w:eastAsiaTheme="minorEastAsia"/>
            <w:noProof/>
            <w:color w:val="auto"/>
          </w:rPr>
          <w:tab/>
        </w:r>
        <w:r w:rsidR="00D6559C" w:rsidRPr="000E5786">
          <w:rPr>
            <w:rStyle w:val="Hyperlink"/>
            <w:rFonts w:cs="Arial"/>
            <w:noProof/>
            <w:szCs w:val="20"/>
          </w:rPr>
          <w:t>DUE DILIGENCE</w:t>
        </w:r>
        <w:r w:rsidR="00D6559C" w:rsidRPr="000E5786">
          <w:rPr>
            <w:noProof/>
          </w:rPr>
          <w:tab/>
        </w:r>
        <w:r w:rsidR="00D6559C" w:rsidRPr="000E5786">
          <w:rPr>
            <w:noProof/>
          </w:rPr>
          <w:fldChar w:fldCharType="begin"/>
        </w:r>
        <w:r w:rsidR="00D6559C" w:rsidRPr="000E5786">
          <w:rPr>
            <w:noProof/>
          </w:rPr>
          <w:instrText xml:space="preserve"> PAGEREF _Toc71198926 \h </w:instrText>
        </w:r>
        <w:r w:rsidR="00D6559C" w:rsidRPr="000E5786">
          <w:rPr>
            <w:noProof/>
          </w:rPr>
        </w:r>
        <w:r w:rsidR="00D6559C" w:rsidRPr="000E5786">
          <w:rPr>
            <w:noProof/>
          </w:rPr>
          <w:fldChar w:fldCharType="separate"/>
        </w:r>
        <w:r w:rsidR="007B5E2E">
          <w:rPr>
            <w:noProof/>
          </w:rPr>
          <w:t>7</w:t>
        </w:r>
        <w:r w:rsidR="00D6559C" w:rsidRPr="000E5786">
          <w:rPr>
            <w:noProof/>
          </w:rPr>
          <w:fldChar w:fldCharType="end"/>
        </w:r>
      </w:hyperlink>
    </w:p>
    <w:p w14:paraId="7367A694" w14:textId="65516675" w:rsidR="00D6559C" w:rsidRPr="000E5786" w:rsidRDefault="00000000" w:rsidP="00B52BF5">
      <w:pPr>
        <w:pStyle w:val="TOC1"/>
        <w:rPr>
          <w:rFonts w:eastAsiaTheme="minorEastAsia"/>
          <w:noProof/>
          <w:color w:val="auto"/>
        </w:rPr>
      </w:pPr>
      <w:hyperlink w:anchor="_Toc71198927" w:history="1">
        <w:r w:rsidR="00D6559C" w:rsidRPr="000E5786">
          <w:rPr>
            <w:rStyle w:val="Hyperlink"/>
            <w:rFonts w:cs="Arial"/>
            <w:noProof/>
            <w:szCs w:val="20"/>
          </w:rPr>
          <w:t>3.</w:t>
        </w:r>
        <w:r w:rsidR="00D6559C" w:rsidRPr="000E5786">
          <w:rPr>
            <w:rFonts w:eastAsiaTheme="minorEastAsia"/>
            <w:noProof/>
            <w:color w:val="auto"/>
          </w:rPr>
          <w:tab/>
        </w:r>
        <w:r w:rsidR="00D6559C" w:rsidRPr="000E5786">
          <w:rPr>
            <w:rStyle w:val="Hyperlink"/>
            <w:rFonts w:cs="Arial"/>
            <w:noProof/>
            <w:szCs w:val="20"/>
          </w:rPr>
          <w:t>WARRANTIES</w:t>
        </w:r>
        <w:r w:rsidR="00D6559C" w:rsidRPr="000E5786">
          <w:rPr>
            <w:noProof/>
          </w:rPr>
          <w:tab/>
        </w:r>
        <w:r w:rsidR="00D6559C" w:rsidRPr="000E5786">
          <w:rPr>
            <w:noProof/>
          </w:rPr>
          <w:fldChar w:fldCharType="begin"/>
        </w:r>
        <w:r w:rsidR="00D6559C" w:rsidRPr="000E5786">
          <w:rPr>
            <w:noProof/>
          </w:rPr>
          <w:instrText xml:space="preserve"> PAGEREF _Toc71198927 \h </w:instrText>
        </w:r>
        <w:r w:rsidR="00D6559C" w:rsidRPr="000E5786">
          <w:rPr>
            <w:noProof/>
          </w:rPr>
        </w:r>
        <w:r w:rsidR="00D6559C" w:rsidRPr="000E5786">
          <w:rPr>
            <w:noProof/>
          </w:rPr>
          <w:fldChar w:fldCharType="separate"/>
        </w:r>
        <w:r w:rsidR="007B5E2E">
          <w:rPr>
            <w:noProof/>
          </w:rPr>
          <w:t>8</w:t>
        </w:r>
        <w:r w:rsidR="00D6559C" w:rsidRPr="000E5786">
          <w:rPr>
            <w:noProof/>
          </w:rPr>
          <w:fldChar w:fldCharType="end"/>
        </w:r>
      </w:hyperlink>
    </w:p>
    <w:p w14:paraId="6A6E79F1" w14:textId="0067FD75" w:rsidR="00D6559C" w:rsidRPr="000E5786" w:rsidRDefault="00000000" w:rsidP="00B52BF5">
      <w:pPr>
        <w:pStyle w:val="TOC1"/>
        <w:rPr>
          <w:rFonts w:eastAsiaTheme="minorEastAsia"/>
          <w:noProof/>
          <w:color w:val="auto"/>
        </w:rPr>
      </w:pPr>
      <w:hyperlink w:anchor="_Toc71198928" w:history="1">
        <w:r w:rsidR="00D6559C" w:rsidRPr="000E5786">
          <w:rPr>
            <w:rStyle w:val="Hyperlink"/>
            <w:rFonts w:cs="Arial"/>
            <w:noProof/>
            <w:szCs w:val="20"/>
          </w:rPr>
          <w:t>4.</w:t>
        </w:r>
        <w:r w:rsidR="00D6559C" w:rsidRPr="000E5786">
          <w:rPr>
            <w:rFonts w:eastAsiaTheme="minorEastAsia"/>
            <w:noProof/>
            <w:color w:val="auto"/>
          </w:rPr>
          <w:tab/>
        </w:r>
        <w:r w:rsidR="00D6559C" w:rsidRPr="000E5786">
          <w:rPr>
            <w:rStyle w:val="Hyperlink"/>
            <w:rFonts w:cs="Arial"/>
            <w:noProof/>
            <w:szCs w:val="20"/>
          </w:rPr>
          <w:t>TERM</w:t>
        </w:r>
        <w:r w:rsidR="00D6559C" w:rsidRPr="000E5786">
          <w:rPr>
            <w:noProof/>
          </w:rPr>
          <w:tab/>
        </w:r>
        <w:r w:rsidR="00D6559C" w:rsidRPr="000E5786">
          <w:rPr>
            <w:noProof/>
          </w:rPr>
          <w:fldChar w:fldCharType="begin"/>
        </w:r>
        <w:r w:rsidR="00D6559C" w:rsidRPr="000E5786">
          <w:rPr>
            <w:noProof/>
          </w:rPr>
          <w:instrText xml:space="preserve"> PAGEREF _Toc71198928 \h </w:instrText>
        </w:r>
        <w:r w:rsidR="00D6559C" w:rsidRPr="000E5786">
          <w:rPr>
            <w:noProof/>
          </w:rPr>
        </w:r>
        <w:r w:rsidR="00D6559C" w:rsidRPr="000E5786">
          <w:rPr>
            <w:noProof/>
          </w:rPr>
          <w:fldChar w:fldCharType="separate"/>
        </w:r>
        <w:r w:rsidR="007B5E2E">
          <w:rPr>
            <w:noProof/>
          </w:rPr>
          <w:t>9</w:t>
        </w:r>
        <w:r w:rsidR="00D6559C" w:rsidRPr="000E5786">
          <w:rPr>
            <w:noProof/>
          </w:rPr>
          <w:fldChar w:fldCharType="end"/>
        </w:r>
      </w:hyperlink>
    </w:p>
    <w:p w14:paraId="2B490E42" w14:textId="64BBD891" w:rsidR="00D6559C" w:rsidRPr="000E5786" w:rsidRDefault="00000000" w:rsidP="00B52BF5">
      <w:pPr>
        <w:pStyle w:val="TOC1"/>
        <w:rPr>
          <w:rFonts w:eastAsiaTheme="minorEastAsia"/>
          <w:noProof/>
          <w:color w:val="auto"/>
        </w:rPr>
      </w:pPr>
      <w:hyperlink w:anchor="_Toc71198929" w:history="1">
        <w:r w:rsidR="00D6559C" w:rsidRPr="000E5786">
          <w:rPr>
            <w:rStyle w:val="Hyperlink"/>
            <w:rFonts w:cs="Arial"/>
            <w:noProof/>
            <w:szCs w:val="20"/>
          </w:rPr>
          <w:t>5.</w:t>
        </w:r>
        <w:r w:rsidR="00D6559C" w:rsidRPr="000E5786">
          <w:rPr>
            <w:rFonts w:eastAsiaTheme="minorEastAsia"/>
            <w:noProof/>
            <w:color w:val="auto"/>
          </w:rPr>
          <w:tab/>
        </w:r>
        <w:r w:rsidR="00D6559C" w:rsidRPr="000E5786">
          <w:rPr>
            <w:rStyle w:val="Hyperlink"/>
            <w:rFonts w:cs="Arial"/>
            <w:noProof/>
            <w:szCs w:val="20"/>
          </w:rPr>
          <w:t>SERVICES</w:t>
        </w:r>
        <w:r w:rsidR="00D6559C" w:rsidRPr="000E5786">
          <w:rPr>
            <w:noProof/>
          </w:rPr>
          <w:tab/>
        </w:r>
        <w:r w:rsidR="00D6559C" w:rsidRPr="000E5786">
          <w:rPr>
            <w:noProof/>
          </w:rPr>
          <w:fldChar w:fldCharType="begin"/>
        </w:r>
        <w:r w:rsidR="00D6559C" w:rsidRPr="000E5786">
          <w:rPr>
            <w:noProof/>
          </w:rPr>
          <w:instrText xml:space="preserve"> PAGEREF _Toc71198929 \h </w:instrText>
        </w:r>
        <w:r w:rsidR="00D6559C" w:rsidRPr="000E5786">
          <w:rPr>
            <w:noProof/>
          </w:rPr>
        </w:r>
        <w:r w:rsidR="00D6559C" w:rsidRPr="000E5786">
          <w:rPr>
            <w:noProof/>
          </w:rPr>
          <w:fldChar w:fldCharType="separate"/>
        </w:r>
        <w:r w:rsidR="007B5E2E">
          <w:rPr>
            <w:noProof/>
          </w:rPr>
          <w:t>10</w:t>
        </w:r>
        <w:r w:rsidR="00D6559C" w:rsidRPr="000E5786">
          <w:rPr>
            <w:noProof/>
          </w:rPr>
          <w:fldChar w:fldCharType="end"/>
        </w:r>
      </w:hyperlink>
    </w:p>
    <w:p w14:paraId="2CB4CF8C" w14:textId="7ED493B5" w:rsidR="00D6559C" w:rsidRPr="000E5786" w:rsidRDefault="00000000" w:rsidP="00B52BF5">
      <w:pPr>
        <w:pStyle w:val="TOC1"/>
        <w:rPr>
          <w:rFonts w:eastAsiaTheme="minorEastAsia"/>
          <w:noProof/>
          <w:color w:val="auto"/>
        </w:rPr>
      </w:pPr>
      <w:hyperlink w:anchor="_Toc71198930" w:history="1">
        <w:r w:rsidR="00D6559C" w:rsidRPr="000E5786">
          <w:rPr>
            <w:rStyle w:val="Hyperlink"/>
            <w:rFonts w:cs="Arial"/>
            <w:noProof/>
            <w:szCs w:val="20"/>
          </w:rPr>
          <w:t>6.</w:t>
        </w:r>
        <w:r w:rsidR="00D6559C" w:rsidRPr="000E5786">
          <w:rPr>
            <w:rFonts w:eastAsiaTheme="minorEastAsia"/>
            <w:noProof/>
            <w:color w:val="auto"/>
          </w:rPr>
          <w:tab/>
        </w:r>
        <w:r w:rsidR="00D6559C" w:rsidRPr="000E5786">
          <w:rPr>
            <w:rStyle w:val="Hyperlink"/>
            <w:rFonts w:cs="Arial"/>
            <w:noProof/>
            <w:szCs w:val="20"/>
          </w:rPr>
          <w:t>INTEGRATION AND TRANSITION</w:t>
        </w:r>
        <w:r w:rsidR="00D6559C" w:rsidRPr="000E5786">
          <w:rPr>
            <w:noProof/>
          </w:rPr>
          <w:tab/>
        </w:r>
        <w:r w:rsidR="00D6559C" w:rsidRPr="000E5786">
          <w:rPr>
            <w:noProof/>
          </w:rPr>
          <w:fldChar w:fldCharType="begin"/>
        </w:r>
        <w:r w:rsidR="00D6559C" w:rsidRPr="000E5786">
          <w:rPr>
            <w:noProof/>
          </w:rPr>
          <w:instrText xml:space="preserve"> PAGEREF _Toc71198930 \h </w:instrText>
        </w:r>
        <w:r w:rsidR="00D6559C" w:rsidRPr="000E5786">
          <w:rPr>
            <w:noProof/>
          </w:rPr>
        </w:r>
        <w:r w:rsidR="00D6559C" w:rsidRPr="000E5786">
          <w:rPr>
            <w:noProof/>
          </w:rPr>
          <w:fldChar w:fldCharType="separate"/>
        </w:r>
        <w:r w:rsidR="007B5E2E">
          <w:rPr>
            <w:noProof/>
          </w:rPr>
          <w:t>15</w:t>
        </w:r>
        <w:r w:rsidR="00D6559C" w:rsidRPr="000E5786">
          <w:rPr>
            <w:noProof/>
          </w:rPr>
          <w:fldChar w:fldCharType="end"/>
        </w:r>
      </w:hyperlink>
    </w:p>
    <w:p w14:paraId="2F8AF1F8" w14:textId="3C337499" w:rsidR="00D6559C" w:rsidRPr="000E5786" w:rsidRDefault="00000000" w:rsidP="00B52BF5">
      <w:pPr>
        <w:pStyle w:val="TOC1"/>
        <w:rPr>
          <w:rFonts w:eastAsiaTheme="minorEastAsia"/>
          <w:noProof/>
          <w:color w:val="auto"/>
        </w:rPr>
      </w:pPr>
      <w:hyperlink w:anchor="_Toc71198931" w:history="1">
        <w:r w:rsidR="00D6559C" w:rsidRPr="000E5786">
          <w:rPr>
            <w:rStyle w:val="Hyperlink"/>
            <w:rFonts w:cs="Arial"/>
            <w:noProof/>
            <w:szCs w:val="20"/>
          </w:rPr>
          <w:t>7.</w:t>
        </w:r>
        <w:r w:rsidR="00D6559C" w:rsidRPr="000E5786">
          <w:rPr>
            <w:rFonts w:eastAsiaTheme="minorEastAsia"/>
            <w:noProof/>
            <w:color w:val="auto"/>
          </w:rPr>
          <w:tab/>
        </w:r>
        <w:r w:rsidR="00D6559C" w:rsidRPr="000E5786">
          <w:rPr>
            <w:rStyle w:val="Hyperlink"/>
            <w:rFonts w:cs="Arial"/>
            <w:noProof/>
            <w:szCs w:val="20"/>
          </w:rPr>
          <w:t>MIGRATION</w:t>
        </w:r>
        <w:r w:rsidR="00D6559C" w:rsidRPr="000E5786">
          <w:rPr>
            <w:noProof/>
          </w:rPr>
          <w:tab/>
        </w:r>
        <w:r w:rsidR="00D6559C" w:rsidRPr="000E5786">
          <w:rPr>
            <w:noProof/>
          </w:rPr>
          <w:fldChar w:fldCharType="begin"/>
        </w:r>
        <w:r w:rsidR="00D6559C" w:rsidRPr="000E5786">
          <w:rPr>
            <w:noProof/>
          </w:rPr>
          <w:instrText xml:space="preserve"> PAGEREF _Toc71198931 \h </w:instrText>
        </w:r>
        <w:r w:rsidR="00D6559C" w:rsidRPr="000E5786">
          <w:rPr>
            <w:noProof/>
          </w:rPr>
        </w:r>
        <w:r w:rsidR="00D6559C" w:rsidRPr="000E5786">
          <w:rPr>
            <w:noProof/>
          </w:rPr>
          <w:fldChar w:fldCharType="separate"/>
        </w:r>
        <w:r w:rsidR="007B5E2E">
          <w:rPr>
            <w:noProof/>
          </w:rPr>
          <w:t>16</w:t>
        </w:r>
        <w:r w:rsidR="00D6559C" w:rsidRPr="000E5786">
          <w:rPr>
            <w:noProof/>
          </w:rPr>
          <w:fldChar w:fldCharType="end"/>
        </w:r>
      </w:hyperlink>
    </w:p>
    <w:p w14:paraId="00719535" w14:textId="1D0CF683" w:rsidR="00D6559C" w:rsidRPr="000E5786" w:rsidRDefault="00000000" w:rsidP="00B52BF5">
      <w:pPr>
        <w:pStyle w:val="TOC1"/>
        <w:rPr>
          <w:rFonts w:eastAsiaTheme="minorEastAsia"/>
          <w:noProof/>
          <w:color w:val="auto"/>
        </w:rPr>
      </w:pPr>
      <w:hyperlink w:anchor="_Toc71198932" w:history="1">
        <w:r w:rsidR="00D6559C" w:rsidRPr="000E5786">
          <w:rPr>
            <w:rStyle w:val="Hyperlink"/>
            <w:rFonts w:eastAsia="Tahoma" w:cs="Arial"/>
            <w:iCs/>
            <w:noProof/>
            <w:szCs w:val="20"/>
          </w:rPr>
          <w:t>8.</w:t>
        </w:r>
        <w:r w:rsidR="00D6559C" w:rsidRPr="000E5786">
          <w:rPr>
            <w:rFonts w:eastAsiaTheme="minorEastAsia"/>
            <w:noProof/>
            <w:color w:val="auto"/>
          </w:rPr>
          <w:tab/>
        </w:r>
        <w:r w:rsidR="00D6559C" w:rsidRPr="000E5786">
          <w:rPr>
            <w:rStyle w:val="Hyperlink"/>
            <w:rFonts w:cs="Arial"/>
            <w:noProof/>
            <w:szCs w:val="20"/>
          </w:rPr>
          <w:t>PERFORMANCE INDICATORS</w:t>
        </w:r>
        <w:r w:rsidR="00D6559C" w:rsidRPr="000E5786">
          <w:rPr>
            <w:noProof/>
          </w:rPr>
          <w:tab/>
        </w:r>
        <w:r w:rsidR="00D6559C" w:rsidRPr="000E5786">
          <w:rPr>
            <w:noProof/>
          </w:rPr>
          <w:fldChar w:fldCharType="begin"/>
        </w:r>
        <w:r w:rsidR="00D6559C" w:rsidRPr="000E5786">
          <w:rPr>
            <w:noProof/>
          </w:rPr>
          <w:instrText xml:space="preserve"> PAGEREF _Toc71198932 \h </w:instrText>
        </w:r>
        <w:r w:rsidR="00D6559C" w:rsidRPr="000E5786">
          <w:rPr>
            <w:noProof/>
          </w:rPr>
        </w:r>
        <w:r w:rsidR="00D6559C" w:rsidRPr="000E5786">
          <w:rPr>
            <w:noProof/>
          </w:rPr>
          <w:fldChar w:fldCharType="separate"/>
        </w:r>
        <w:r w:rsidR="007B5E2E">
          <w:rPr>
            <w:noProof/>
          </w:rPr>
          <w:t>16</w:t>
        </w:r>
        <w:r w:rsidR="00D6559C" w:rsidRPr="000E5786">
          <w:rPr>
            <w:noProof/>
          </w:rPr>
          <w:fldChar w:fldCharType="end"/>
        </w:r>
      </w:hyperlink>
    </w:p>
    <w:p w14:paraId="2075CB20" w14:textId="1559CCC5" w:rsidR="00D6559C" w:rsidRPr="000E5786" w:rsidRDefault="00000000" w:rsidP="00B52BF5">
      <w:pPr>
        <w:pStyle w:val="TOC1"/>
        <w:rPr>
          <w:rFonts w:eastAsiaTheme="minorEastAsia"/>
          <w:noProof/>
          <w:color w:val="auto"/>
        </w:rPr>
      </w:pPr>
      <w:hyperlink w:anchor="_Toc71198933" w:history="1">
        <w:r w:rsidR="00D6559C" w:rsidRPr="000E5786">
          <w:rPr>
            <w:rStyle w:val="Hyperlink"/>
            <w:rFonts w:cs="Arial"/>
            <w:noProof/>
            <w:szCs w:val="20"/>
          </w:rPr>
          <w:t>9.</w:t>
        </w:r>
        <w:r w:rsidR="00D6559C" w:rsidRPr="000E5786">
          <w:rPr>
            <w:rFonts w:eastAsiaTheme="minorEastAsia"/>
            <w:noProof/>
            <w:color w:val="auto"/>
          </w:rPr>
          <w:tab/>
        </w:r>
        <w:r w:rsidR="00D6559C" w:rsidRPr="000E5786">
          <w:rPr>
            <w:rStyle w:val="Hyperlink"/>
            <w:rFonts w:cs="Arial"/>
            <w:noProof/>
            <w:szCs w:val="20"/>
          </w:rPr>
          <w:t>SERVICES IMPROVEMENT</w:t>
        </w:r>
        <w:r w:rsidR="00D6559C" w:rsidRPr="000E5786">
          <w:rPr>
            <w:noProof/>
          </w:rPr>
          <w:tab/>
        </w:r>
        <w:r w:rsidR="00D6559C" w:rsidRPr="000E5786">
          <w:rPr>
            <w:noProof/>
          </w:rPr>
          <w:fldChar w:fldCharType="begin"/>
        </w:r>
        <w:r w:rsidR="00D6559C" w:rsidRPr="000E5786">
          <w:rPr>
            <w:noProof/>
          </w:rPr>
          <w:instrText xml:space="preserve"> PAGEREF _Toc71198933 \h </w:instrText>
        </w:r>
        <w:r w:rsidR="00D6559C" w:rsidRPr="000E5786">
          <w:rPr>
            <w:noProof/>
          </w:rPr>
        </w:r>
        <w:r w:rsidR="00D6559C" w:rsidRPr="000E5786">
          <w:rPr>
            <w:noProof/>
          </w:rPr>
          <w:fldChar w:fldCharType="separate"/>
        </w:r>
        <w:r w:rsidR="007B5E2E">
          <w:rPr>
            <w:noProof/>
          </w:rPr>
          <w:t>17</w:t>
        </w:r>
        <w:r w:rsidR="00D6559C" w:rsidRPr="000E5786">
          <w:rPr>
            <w:noProof/>
          </w:rPr>
          <w:fldChar w:fldCharType="end"/>
        </w:r>
      </w:hyperlink>
    </w:p>
    <w:p w14:paraId="61FE5F4B" w14:textId="3111587D" w:rsidR="00D6559C" w:rsidRPr="000E5786" w:rsidRDefault="00000000" w:rsidP="00B52BF5">
      <w:pPr>
        <w:pStyle w:val="TOC1"/>
        <w:rPr>
          <w:rFonts w:eastAsiaTheme="minorEastAsia"/>
          <w:noProof/>
          <w:color w:val="auto"/>
        </w:rPr>
      </w:pPr>
      <w:hyperlink w:anchor="_Toc71198934" w:history="1">
        <w:r w:rsidR="00D6559C" w:rsidRPr="000E5786">
          <w:rPr>
            <w:rStyle w:val="Hyperlink"/>
            <w:rFonts w:cs="Arial"/>
            <w:noProof/>
            <w:szCs w:val="20"/>
          </w:rPr>
          <w:t>10.</w:t>
        </w:r>
        <w:r w:rsidR="00D6559C" w:rsidRPr="000E5786">
          <w:rPr>
            <w:rFonts w:eastAsiaTheme="minorEastAsia"/>
            <w:noProof/>
            <w:color w:val="auto"/>
          </w:rPr>
          <w:tab/>
        </w:r>
        <w:r w:rsidR="00D6559C" w:rsidRPr="000E5786">
          <w:rPr>
            <w:rStyle w:val="Hyperlink"/>
            <w:rFonts w:cs="Arial"/>
            <w:noProof/>
            <w:szCs w:val="20"/>
          </w:rPr>
          <w:t>EARLY WARNING</w:t>
        </w:r>
        <w:r w:rsidR="00D6559C" w:rsidRPr="000E5786">
          <w:rPr>
            <w:noProof/>
          </w:rPr>
          <w:tab/>
        </w:r>
        <w:r w:rsidR="00D6559C" w:rsidRPr="000E5786">
          <w:rPr>
            <w:noProof/>
          </w:rPr>
          <w:fldChar w:fldCharType="begin"/>
        </w:r>
        <w:r w:rsidR="00D6559C" w:rsidRPr="000E5786">
          <w:rPr>
            <w:noProof/>
          </w:rPr>
          <w:instrText xml:space="preserve"> PAGEREF _Toc71198934 \h </w:instrText>
        </w:r>
        <w:r w:rsidR="00D6559C" w:rsidRPr="000E5786">
          <w:rPr>
            <w:noProof/>
          </w:rPr>
        </w:r>
        <w:r w:rsidR="00D6559C" w:rsidRPr="000E5786">
          <w:rPr>
            <w:noProof/>
          </w:rPr>
          <w:fldChar w:fldCharType="separate"/>
        </w:r>
        <w:r w:rsidR="007B5E2E">
          <w:rPr>
            <w:noProof/>
          </w:rPr>
          <w:t>18</w:t>
        </w:r>
        <w:r w:rsidR="00D6559C" w:rsidRPr="000E5786">
          <w:rPr>
            <w:noProof/>
          </w:rPr>
          <w:fldChar w:fldCharType="end"/>
        </w:r>
      </w:hyperlink>
    </w:p>
    <w:p w14:paraId="769AAF53" w14:textId="017C92B9" w:rsidR="00D6559C" w:rsidRPr="000E5786" w:rsidRDefault="00000000" w:rsidP="00B52BF5">
      <w:pPr>
        <w:pStyle w:val="TOC1"/>
        <w:rPr>
          <w:rFonts w:eastAsiaTheme="minorEastAsia"/>
          <w:noProof/>
          <w:color w:val="auto"/>
        </w:rPr>
      </w:pPr>
      <w:hyperlink w:anchor="_Toc71198935" w:history="1">
        <w:r w:rsidR="00D6559C" w:rsidRPr="000E5786">
          <w:rPr>
            <w:rStyle w:val="Hyperlink"/>
            <w:rFonts w:cs="Arial"/>
            <w:noProof/>
            <w:szCs w:val="20"/>
          </w:rPr>
          <w:t>11.</w:t>
        </w:r>
        <w:r w:rsidR="00D6559C" w:rsidRPr="000E5786">
          <w:rPr>
            <w:rFonts w:eastAsiaTheme="minorEastAsia"/>
            <w:noProof/>
            <w:color w:val="auto"/>
          </w:rPr>
          <w:tab/>
        </w:r>
        <w:r w:rsidR="00D6559C" w:rsidRPr="000E5786">
          <w:rPr>
            <w:rStyle w:val="Hyperlink"/>
            <w:rFonts w:cs="Arial"/>
            <w:noProof/>
            <w:szCs w:val="20"/>
          </w:rPr>
          <w:t>EQUIPMENT AND MAINTENANCE</w:t>
        </w:r>
        <w:r w:rsidR="00D6559C" w:rsidRPr="000E5786">
          <w:rPr>
            <w:noProof/>
          </w:rPr>
          <w:tab/>
        </w:r>
        <w:r w:rsidR="00D6559C" w:rsidRPr="000E5786">
          <w:rPr>
            <w:noProof/>
          </w:rPr>
          <w:fldChar w:fldCharType="begin"/>
        </w:r>
        <w:r w:rsidR="00D6559C" w:rsidRPr="000E5786">
          <w:rPr>
            <w:noProof/>
          </w:rPr>
          <w:instrText xml:space="preserve"> PAGEREF _Toc71198935 \h </w:instrText>
        </w:r>
        <w:r w:rsidR="00D6559C" w:rsidRPr="000E5786">
          <w:rPr>
            <w:noProof/>
          </w:rPr>
        </w:r>
        <w:r w:rsidR="00D6559C" w:rsidRPr="000E5786">
          <w:rPr>
            <w:noProof/>
          </w:rPr>
          <w:fldChar w:fldCharType="separate"/>
        </w:r>
        <w:r w:rsidR="007B5E2E">
          <w:rPr>
            <w:noProof/>
          </w:rPr>
          <w:t>18</w:t>
        </w:r>
        <w:r w:rsidR="00D6559C" w:rsidRPr="000E5786">
          <w:rPr>
            <w:noProof/>
          </w:rPr>
          <w:fldChar w:fldCharType="end"/>
        </w:r>
      </w:hyperlink>
    </w:p>
    <w:p w14:paraId="2744FB0A" w14:textId="2315787C" w:rsidR="00D6559C" w:rsidRPr="000E5786" w:rsidRDefault="00000000" w:rsidP="00B52BF5">
      <w:pPr>
        <w:pStyle w:val="TOC1"/>
        <w:rPr>
          <w:rFonts w:eastAsiaTheme="minorEastAsia"/>
          <w:noProof/>
          <w:color w:val="auto"/>
        </w:rPr>
      </w:pPr>
      <w:hyperlink w:anchor="_Toc71198936" w:history="1">
        <w:r w:rsidR="00D6559C" w:rsidRPr="000E5786">
          <w:rPr>
            <w:rStyle w:val="Hyperlink"/>
            <w:rFonts w:cs="Arial"/>
            <w:noProof/>
            <w:szCs w:val="20"/>
          </w:rPr>
          <w:t>12.</w:t>
        </w:r>
        <w:r w:rsidR="00D6559C" w:rsidRPr="000E5786">
          <w:rPr>
            <w:rFonts w:eastAsiaTheme="minorEastAsia"/>
            <w:noProof/>
            <w:color w:val="auto"/>
          </w:rPr>
          <w:tab/>
        </w:r>
        <w:r w:rsidR="00D6559C" w:rsidRPr="000E5786">
          <w:rPr>
            <w:rStyle w:val="Hyperlink"/>
            <w:rFonts w:cs="Arial"/>
            <w:noProof/>
            <w:szCs w:val="20"/>
          </w:rPr>
          <w:t>FINANCIAL AND TAXATION MATTERS</w:t>
        </w:r>
        <w:r w:rsidR="00D6559C" w:rsidRPr="000E5786">
          <w:rPr>
            <w:noProof/>
          </w:rPr>
          <w:tab/>
        </w:r>
        <w:r w:rsidR="00D6559C" w:rsidRPr="000E5786">
          <w:rPr>
            <w:noProof/>
          </w:rPr>
          <w:fldChar w:fldCharType="begin"/>
        </w:r>
        <w:r w:rsidR="00D6559C" w:rsidRPr="000E5786">
          <w:rPr>
            <w:noProof/>
          </w:rPr>
          <w:instrText xml:space="preserve"> PAGEREF _Toc71198936 \h </w:instrText>
        </w:r>
        <w:r w:rsidR="00D6559C" w:rsidRPr="000E5786">
          <w:rPr>
            <w:noProof/>
          </w:rPr>
        </w:r>
        <w:r w:rsidR="00D6559C" w:rsidRPr="000E5786">
          <w:rPr>
            <w:noProof/>
          </w:rPr>
          <w:fldChar w:fldCharType="separate"/>
        </w:r>
        <w:r w:rsidR="007B5E2E">
          <w:rPr>
            <w:noProof/>
          </w:rPr>
          <w:t>19</w:t>
        </w:r>
        <w:r w:rsidR="00D6559C" w:rsidRPr="000E5786">
          <w:rPr>
            <w:noProof/>
          </w:rPr>
          <w:fldChar w:fldCharType="end"/>
        </w:r>
      </w:hyperlink>
    </w:p>
    <w:p w14:paraId="1C5F7A17" w14:textId="09BBE626" w:rsidR="00D6559C" w:rsidRPr="000E5786" w:rsidRDefault="00000000" w:rsidP="00B52BF5">
      <w:pPr>
        <w:pStyle w:val="TOC1"/>
        <w:rPr>
          <w:rFonts w:eastAsiaTheme="minorEastAsia"/>
          <w:noProof/>
          <w:color w:val="auto"/>
        </w:rPr>
      </w:pPr>
      <w:hyperlink w:anchor="_Toc71198937" w:history="1">
        <w:r w:rsidR="00D6559C" w:rsidRPr="000E5786">
          <w:rPr>
            <w:rStyle w:val="Hyperlink"/>
            <w:rFonts w:cs="Arial"/>
            <w:noProof/>
            <w:szCs w:val="20"/>
          </w:rPr>
          <w:t>13.</w:t>
        </w:r>
        <w:r w:rsidR="00D6559C" w:rsidRPr="000E5786">
          <w:rPr>
            <w:rFonts w:eastAsiaTheme="minorEastAsia"/>
            <w:noProof/>
            <w:color w:val="auto"/>
          </w:rPr>
          <w:tab/>
        </w:r>
        <w:r w:rsidR="00D6559C" w:rsidRPr="000E5786">
          <w:rPr>
            <w:rStyle w:val="Hyperlink"/>
            <w:rFonts w:cs="Arial"/>
            <w:noProof/>
            <w:szCs w:val="20"/>
          </w:rPr>
          <w:t>GOVERNANCE</w:t>
        </w:r>
        <w:r w:rsidR="00D6559C" w:rsidRPr="000E5786">
          <w:rPr>
            <w:noProof/>
          </w:rPr>
          <w:tab/>
        </w:r>
        <w:r w:rsidR="00D6559C" w:rsidRPr="000E5786">
          <w:rPr>
            <w:noProof/>
          </w:rPr>
          <w:fldChar w:fldCharType="begin"/>
        </w:r>
        <w:r w:rsidR="00D6559C" w:rsidRPr="000E5786">
          <w:rPr>
            <w:noProof/>
          </w:rPr>
          <w:instrText xml:space="preserve"> PAGEREF _Toc71198937 \h </w:instrText>
        </w:r>
        <w:r w:rsidR="00D6559C" w:rsidRPr="000E5786">
          <w:rPr>
            <w:noProof/>
          </w:rPr>
        </w:r>
        <w:r w:rsidR="00D6559C" w:rsidRPr="000E5786">
          <w:rPr>
            <w:noProof/>
          </w:rPr>
          <w:fldChar w:fldCharType="separate"/>
        </w:r>
        <w:r w:rsidR="007B5E2E">
          <w:rPr>
            <w:noProof/>
          </w:rPr>
          <w:t>21</w:t>
        </w:r>
        <w:r w:rsidR="00D6559C" w:rsidRPr="000E5786">
          <w:rPr>
            <w:noProof/>
          </w:rPr>
          <w:fldChar w:fldCharType="end"/>
        </w:r>
      </w:hyperlink>
    </w:p>
    <w:p w14:paraId="15DB7476" w14:textId="14331CFA" w:rsidR="00D6559C" w:rsidRPr="000E5786" w:rsidRDefault="00000000" w:rsidP="00B52BF5">
      <w:pPr>
        <w:pStyle w:val="TOC1"/>
        <w:rPr>
          <w:rFonts w:eastAsiaTheme="minorEastAsia"/>
          <w:noProof/>
          <w:color w:val="auto"/>
        </w:rPr>
      </w:pPr>
      <w:hyperlink w:anchor="_Toc71198938" w:history="1">
        <w:r w:rsidR="00D6559C" w:rsidRPr="000E5786">
          <w:rPr>
            <w:rStyle w:val="Hyperlink"/>
            <w:rFonts w:cs="Arial"/>
            <w:noProof/>
            <w:szCs w:val="20"/>
          </w:rPr>
          <w:t>14.</w:t>
        </w:r>
        <w:r w:rsidR="00D6559C" w:rsidRPr="000E5786">
          <w:rPr>
            <w:rFonts w:eastAsiaTheme="minorEastAsia"/>
            <w:noProof/>
            <w:color w:val="auto"/>
          </w:rPr>
          <w:tab/>
        </w:r>
        <w:r w:rsidR="00D6559C" w:rsidRPr="000E5786">
          <w:rPr>
            <w:rStyle w:val="Hyperlink"/>
            <w:rFonts w:cs="Arial"/>
            <w:noProof/>
            <w:szCs w:val="20"/>
          </w:rPr>
          <w:t>RECORDS, REPORTS</w:t>
        </w:r>
        <w:r w:rsidR="00B52BF5">
          <w:rPr>
            <w:rStyle w:val="Hyperlink"/>
            <w:rFonts w:cs="Arial"/>
            <w:noProof/>
            <w:szCs w:val="20"/>
          </w:rPr>
          <w:t xml:space="preserve"> &amp;</w:t>
        </w:r>
        <w:r w:rsidR="00D6559C" w:rsidRPr="000E5786">
          <w:rPr>
            <w:rStyle w:val="Hyperlink"/>
            <w:rFonts w:cs="Arial"/>
            <w:noProof/>
            <w:szCs w:val="20"/>
          </w:rPr>
          <w:t xml:space="preserve"> AUDITS</w:t>
        </w:r>
        <w:r w:rsidR="00D6559C" w:rsidRPr="000E5786">
          <w:rPr>
            <w:noProof/>
          </w:rPr>
          <w:tab/>
        </w:r>
        <w:r w:rsidR="00D6559C" w:rsidRPr="000E5786">
          <w:rPr>
            <w:noProof/>
          </w:rPr>
          <w:fldChar w:fldCharType="begin"/>
        </w:r>
        <w:r w:rsidR="00D6559C" w:rsidRPr="000E5786">
          <w:rPr>
            <w:noProof/>
          </w:rPr>
          <w:instrText xml:space="preserve"> PAGEREF _Toc71198938 \h </w:instrText>
        </w:r>
        <w:r w:rsidR="00D6559C" w:rsidRPr="000E5786">
          <w:rPr>
            <w:noProof/>
          </w:rPr>
        </w:r>
        <w:r w:rsidR="00D6559C" w:rsidRPr="000E5786">
          <w:rPr>
            <w:noProof/>
          </w:rPr>
          <w:fldChar w:fldCharType="separate"/>
        </w:r>
        <w:r w:rsidR="007B5E2E">
          <w:rPr>
            <w:noProof/>
          </w:rPr>
          <w:t>21</w:t>
        </w:r>
        <w:r w:rsidR="00D6559C" w:rsidRPr="000E5786">
          <w:rPr>
            <w:noProof/>
          </w:rPr>
          <w:fldChar w:fldCharType="end"/>
        </w:r>
      </w:hyperlink>
    </w:p>
    <w:p w14:paraId="1F0F9DDF" w14:textId="216F0609" w:rsidR="00D6559C" w:rsidRPr="000E5786" w:rsidRDefault="00000000" w:rsidP="00B52BF5">
      <w:pPr>
        <w:pStyle w:val="TOC1"/>
        <w:rPr>
          <w:rFonts w:eastAsiaTheme="minorEastAsia"/>
          <w:noProof/>
          <w:color w:val="auto"/>
        </w:rPr>
      </w:pPr>
      <w:hyperlink w:anchor="_Toc71198939" w:history="1">
        <w:r w:rsidR="00D6559C" w:rsidRPr="000E5786">
          <w:rPr>
            <w:rStyle w:val="Hyperlink"/>
            <w:rFonts w:cs="Arial"/>
            <w:noProof/>
            <w:szCs w:val="20"/>
          </w:rPr>
          <w:t>15.</w:t>
        </w:r>
        <w:r w:rsidR="00D6559C" w:rsidRPr="000E5786">
          <w:rPr>
            <w:rFonts w:eastAsiaTheme="minorEastAsia"/>
            <w:noProof/>
            <w:color w:val="auto"/>
          </w:rPr>
          <w:tab/>
        </w:r>
        <w:r w:rsidR="00D6559C" w:rsidRPr="000E5786">
          <w:rPr>
            <w:rStyle w:val="Hyperlink"/>
            <w:rFonts w:cs="Arial"/>
            <w:noProof/>
            <w:szCs w:val="20"/>
          </w:rPr>
          <w:t>CHANGE</w:t>
        </w:r>
        <w:r w:rsidR="00D6559C" w:rsidRPr="000E5786">
          <w:rPr>
            <w:noProof/>
          </w:rPr>
          <w:tab/>
        </w:r>
        <w:r w:rsidR="00D6559C" w:rsidRPr="000E5786">
          <w:rPr>
            <w:noProof/>
          </w:rPr>
          <w:fldChar w:fldCharType="begin"/>
        </w:r>
        <w:r w:rsidR="00D6559C" w:rsidRPr="000E5786">
          <w:rPr>
            <w:noProof/>
          </w:rPr>
          <w:instrText xml:space="preserve"> PAGEREF _Toc71198939 \h </w:instrText>
        </w:r>
        <w:r w:rsidR="00D6559C" w:rsidRPr="000E5786">
          <w:rPr>
            <w:noProof/>
          </w:rPr>
        </w:r>
        <w:r w:rsidR="00D6559C" w:rsidRPr="000E5786">
          <w:rPr>
            <w:noProof/>
          </w:rPr>
          <w:fldChar w:fldCharType="separate"/>
        </w:r>
        <w:r w:rsidR="007B5E2E">
          <w:rPr>
            <w:noProof/>
          </w:rPr>
          <w:t>21</w:t>
        </w:r>
        <w:r w:rsidR="00D6559C" w:rsidRPr="000E5786">
          <w:rPr>
            <w:noProof/>
          </w:rPr>
          <w:fldChar w:fldCharType="end"/>
        </w:r>
      </w:hyperlink>
    </w:p>
    <w:p w14:paraId="35284709" w14:textId="3B474BA4" w:rsidR="00D6559C" w:rsidRPr="000E5786" w:rsidRDefault="00000000" w:rsidP="00B52BF5">
      <w:pPr>
        <w:pStyle w:val="TOC1"/>
        <w:rPr>
          <w:rFonts w:eastAsiaTheme="minorEastAsia"/>
          <w:noProof/>
          <w:color w:val="auto"/>
        </w:rPr>
      </w:pPr>
      <w:hyperlink w:anchor="_Toc71198940" w:history="1">
        <w:r w:rsidR="00D6559C" w:rsidRPr="000E5786">
          <w:rPr>
            <w:rStyle w:val="Hyperlink"/>
            <w:rFonts w:cs="Arial"/>
            <w:noProof/>
            <w:szCs w:val="20"/>
          </w:rPr>
          <w:t>16.</w:t>
        </w:r>
        <w:r w:rsidR="00D6559C" w:rsidRPr="000E5786">
          <w:rPr>
            <w:rFonts w:eastAsiaTheme="minorEastAsia"/>
            <w:noProof/>
            <w:color w:val="auto"/>
          </w:rPr>
          <w:tab/>
        </w:r>
        <w:r w:rsidR="00D6559C" w:rsidRPr="000E5786">
          <w:rPr>
            <w:rStyle w:val="Hyperlink"/>
            <w:rFonts w:cs="Arial"/>
            <w:noProof/>
            <w:szCs w:val="20"/>
          </w:rPr>
          <w:t>SUPPLIER PERSONNEL</w:t>
        </w:r>
        <w:r w:rsidR="00D6559C" w:rsidRPr="000E5786">
          <w:rPr>
            <w:noProof/>
          </w:rPr>
          <w:tab/>
        </w:r>
        <w:r w:rsidR="00D6559C" w:rsidRPr="000E5786">
          <w:rPr>
            <w:noProof/>
          </w:rPr>
          <w:fldChar w:fldCharType="begin"/>
        </w:r>
        <w:r w:rsidR="00D6559C" w:rsidRPr="000E5786">
          <w:rPr>
            <w:noProof/>
          </w:rPr>
          <w:instrText xml:space="preserve"> PAGEREF _Toc71198940 \h </w:instrText>
        </w:r>
        <w:r w:rsidR="00D6559C" w:rsidRPr="000E5786">
          <w:rPr>
            <w:noProof/>
          </w:rPr>
        </w:r>
        <w:r w:rsidR="00D6559C" w:rsidRPr="000E5786">
          <w:rPr>
            <w:noProof/>
          </w:rPr>
          <w:fldChar w:fldCharType="separate"/>
        </w:r>
        <w:r w:rsidR="007B5E2E">
          <w:rPr>
            <w:noProof/>
          </w:rPr>
          <w:t>22</w:t>
        </w:r>
        <w:r w:rsidR="00D6559C" w:rsidRPr="000E5786">
          <w:rPr>
            <w:noProof/>
          </w:rPr>
          <w:fldChar w:fldCharType="end"/>
        </w:r>
      </w:hyperlink>
    </w:p>
    <w:p w14:paraId="6539E1A2" w14:textId="392DB5E5" w:rsidR="00D6559C" w:rsidRPr="000E5786" w:rsidRDefault="00000000" w:rsidP="00B52BF5">
      <w:pPr>
        <w:pStyle w:val="TOC1"/>
        <w:rPr>
          <w:rFonts w:eastAsiaTheme="minorEastAsia"/>
          <w:noProof/>
          <w:color w:val="auto"/>
        </w:rPr>
      </w:pPr>
      <w:hyperlink w:anchor="_Toc71198941" w:history="1">
        <w:r w:rsidR="00D6559C" w:rsidRPr="000E5786">
          <w:rPr>
            <w:rStyle w:val="Hyperlink"/>
            <w:rFonts w:cs="Arial"/>
            <w:noProof/>
            <w:szCs w:val="20"/>
          </w:rPr>
          <w:t>17.</w:t>
        </w:r>
        <w:r w:rsidR="00D6559C" w:rsidRPr="000E5786">
          <w:rPr>
            <w:rFonts w:eastAsiaTheme="minorEastAsia"/>
            <w:noProof/>
            <w:color w:val="auto"/>
          </w:rPr>
          <w:tab/>
        </w:r>
        <w:r w:rsidR="00D6559C" w:rsidRPr="000E5786">
          <w:rPr>
            <w:rStyle w:val="Hyperlink"/>
            <w:rFonts w:cs="Arial"/>
            <w:noProof/>
            <w:szCs w:val="20"/>
          </w:rPr>
          <w:t>SUPPLY CHAIN RIGHTS AND PROTECTIONS</w:t>
        </w:r>
        <w:r w:rsidR="00D6559C" w:rsidRPr="000E5786">
          <w:rPr>
            <w:noProof/>
          </w:rPr>
          <w:tab/>
        </w:r>
        <w:r w:rsidR="00D6559C" w:rsidRPr="000E5786">
          <w:rPr>
            <w:noProof/>
          </w:rPr>
          <w:fldChar w:fldCharType="begin"/>
        </w:r>
        <w:r w:rsidR="00D6559C" w:rsidRPr="000E5786">
          <w:rPr>
            <w:noProof/>
          </w:rPr>
          <w:instrText xml:space="preserve"> PAGEREF _Toc71198941 \h </w:instrText>
        </w:r>
        <w:r w:rsidR="00D6559C" w:rsidRPr="000E5786">
          <w:rPr>
            <w:noProof/>
          </w:rPr>
        </w:r>
        <w:r w:rsidR="00D6559C" w:rsidRPr="000E5786">
          <w:rPr>
            <w:noProof/>
          </w:rPr>
          <w:fldChar w:fldCharType="separate"/>
        </w:r>
        <w:r w:rsidR="007B5E2E">
          <w:rPr>
            <w:noProof/>
          </w:rPr>
          <w:t>24</w:t>
        </w:r>
        <w:r w:rsidR="00D6559C" w:rsidRPr="000E5786">
          <w:rPr>
            <w:noProof/>
          </w:rPr>
          <w:fldChar w:fldCharType="end"/>
        </w:r>
      </w:hyperlink>
    </w:p>
    <w:p w14:paraId="7891FAFC" w14:textId="29A7F626" w:rsidR="00D6559C" w:rsidRPr="000E5786" w:rsidRDefault="00000000" w:rsidP="00B52BF5">
      <w:pPr>
        <w:pStyle w:val="TOC1"/>
        <w:rPr>
          <w:rFonts w:eastAsiaTheme="minorEastAsia"/>
          <w:noProof/>
          <w:color w:val="auto"/>
        </w:rPr>
      </w:pPr>
      <w:hyperlink w:anchor="_Toc71198942" w:history="1">
        <w:r w:rsidR="00D6559C" w:rsidRPr="000E5786">
          <w:rPr>
            <w:rStyle w:val="Hyperlink"/>
            <w:rFonts w:cs="Arial"/>
            <w:noProof/>
            <w:szCs w:val="20"/>
          </w:rPr>
          <w:t>18.</w:t>
        </w:r>
        <w:r w:rsidR="00D6559C" w:rsidRPr="000E5786">
          <w:rPr>
            <w:rFonts w:eastAsiaTheme="minorEastAsia"/>
            <w:noProof/>
            <w:color w:val="auto"/>
          </w:rPr>
          <w:tab/>
        </w:r>
        <w:r w:rsidR="00D6559C" w:rsidRPr="000E5786">
          <w:rPr>
            <w:rStyle w:val="Hyperlink"/>
            <w:rFonts w:cs="Arial"/>
            <w:noProof/>
            <w:szCs w:val="20"/>
          </w:rPr>
          <w:t>INTELLECTUAL PROPERTY RIGHTS</w:t>
        </w:r>
        <w:r w:rsidR="00D6559C" w:rsidRPr="000E5786">
          <w:rPr>
            <w:noProof/>
          </w:rPr>
          <w:tab/>
        </w:r>
        <w:r w:rsidR="00D6559C" w:rsidRPr="000E5786">
          <w:rPr>
            <w:noProof/>
          </w:rPr>
          <w:fldChar w:fldCharType="begin"/>
        </w:r>
        <w:r w:rsidR="00D6559C" w:rsidRPr="000E5786">
          <w:rPr>
            <w:noProof/>
          </w:rPr>
          <w:instrText xml:space="preserve"> PAGEREF _Toc71198942 \h </w:instrText>
        </w:r>
        <w:r w:rsidR="00D6559C" w:rsidRPr="000E5786">
          <w:rPr>
            <w:noProof/>
          </w:rPr>
        </w:r>
        <w:r w:rsidR="00D6559C" w:rsidRPr="000E5786">
          <w:rPr>
            <w:noProof/>
          </w:rPr>
          <w:fldChar w:fldCharType="separate"/>
        </w:r>
        <w:r w:rsidR="007B5E2E">
          <w:rPr>
            <w:noProof/>
          </w:rPr>
          <w:t>29</w:t>
        </w:r>
        <w:r w:rsidR="00D6559C" w:rsidRPr="000E5786">
          <w:rPr>
            <w:noProof/>
          </w:rPr>
          <w:fldChar w:fldCharType="end"/>
        </w:r>
      </w:hyperlink>
    </w:p>
    <w:p w14:paraId="13568E69" w14:textId="2B9ACF1F" w:rsidR="00D6559C" w:rsidRPr="000E5786" w:rsidRDefault="00000000" w:rsidP="00B52BF5">
      <w:pPr>
        <w:pStyle w:val="TOC1"/>
        <w:rPr>
          <w:rFonts w:eastAsiaTheme="minorEastAsia"/>
          <w:noProof/>
          <w:color w:val="auto"/>
        </w:rPr>
      </w:pPr>
      <w:hyperlink w:anchor="_Toc71198943" w:history="1">
        <w:r w:rsidR="00D6559C" w:rsidRPr="000E5786">
          <w:rPr>
            <w:rStyle w:val="Hyperlink"/>
            <w:rFonts w:cs="Arial"/>
            <w:noProof/>
            <w:szCs w:val="20"/>
          </w:rPr>
          <w:t>19.</w:t>
        </w:r>
        <w:r w:rsidR="00D6559C" w:rsidRPr="000E5786">
          <w:rPr>
            <w:rFonts w:eastAsiaTheme="minorEastAsia"/>
            <w:noProof/>
            <w:color w:val="auto"/>
          </w:rPr>
          <w:tab/>
        </w:r>
        <w:r w:rsidR="00D6559C" w:rsidRPr="000E5786">
          <w:rPr>
            <w:rStyle w:val="Hyperlink"/>
            <w:rFonts w:cs="Arial"/>
            <w:noProof/>
            <w:szCs w:val="20"/>
          </w:rPr>
          <w:t>TRANSFER AND LICENCES GRANTED BY THE SUPPLIER</w:t>
        </w:r>
        <w:r w:rsidR="00D6559C" w:rsidRPr="000E5786">
          <w:rPr>
            <w:noProof/>
          </w:rPr>
          <w:tab/>
        </w:r>
        <w:r w:rsidR="00D6559C" w:rsidRPr="000E5786">
          <w:rPr>
            <w:noProof/>
          </w:rPr>
          <w:fldChar w:fldCharType="begin"/>
        </w:r>
        <w:r w:rsidR="00D6559C" w:rsidRPr="000E5786">
          <w:rPr>
            <w:noProof/>
          </w:rPr>
          <w:instrText xml:space="preserve"> PAGEREF _Toc71198943 \h </w:instrText>
        </w:r>
        <w:r w:rsidR="00D6559C" w:rsidRPr="000E5786">
          <w:rPr>
            <w:noProof/>
          </w:rPr>
        </w:r>
        <w:r w:rsidR="00D6559C" w:rsidRPr="000E5786">
          <w:rPr>
            <w:noProof/>
          </w:rPr>
          <w:fldChar w:fldCharType="separate"/>
        </w:r>
        <w:r w:rsidR="007B5E2E">
          <w:rPr>
            <w:noProof/>
          </w:rPr>
          <w:t>30</w:t>
        </w:r>
        <w:r w:rsidR="00D6559C" w:rsidRPr="000E5786">
          <w:rPr>
            <w:noProof/>
          </w:rPr>
          <w:fldChar w:fldCharType="end"/>
        </w:r>
      </w:hyperlink>
    </w:p>
    <w:p w14:paraId="7AA2052B" w14:textId="66F4EB0B" w:rsidR="00D6559C" w:rsidRPr="000E5786" w:rsidRDefault="00000000" w:rsidP="00B52BF5">
      <w:pPr>
        <w:pStyle w:val="TOC1"/>
        <w:rPr>
          <w:rFonts w:eastAsiaTheme="minorEastAsia"/>
          <w:noProof/>
          <w:color w:val="auto"/>
        </w:rPr>
      </w:pPr>
      <w:hyperlink w:anchor="_Toc71198944" w:history="1">
        <w:r w:rsidR="00D6559C" w:rsidRPr="000E5786">
          <w:rPr>
            <w:rStyle w:val="Hyperlink"/>
            <w:rFonts w:cs="Arial"/>
            <w:noProof/>
            <w:szCs w:val="20"/>
          </w:rPr>
          <w:t>20.</w:t>
        </w:r>
        <w:r w:rsidR="00D6559C" w:rsidRPr="000E5786">
          <w:rPr>
            <w:rFonts w:eastAsiaTheme="minorEastAsia"/>
            <w:noProof/>
            <w:color w:val="auto"/>
          </w:rPr>
          <w:tab/>
        </w:r>
        <w:r w:rsidR="00D6559C" w:rsidRPr="000E5786">
          <w:rPr>
            <w:rStyle w:val="Hyperlink"/>
            <w:rFonts w:cs="Arial"/>
            <w:noProof/>
            <w:szCs w:val="20"/>
          </w:rPr>
          <w:t xml:space="preserve">LICENCES GRANTED BY </w:t>
        </w:r>
        <w:r w:rsidR="001F1C19">
          <w:rPr>
            <w:rStyle w:val="Hyperlink"/>
            <w:rFonts w:cs="Arial"/>
            <w:noProof/>
            <w:szCs w:val="20"/>
          </w:rPr>
          <w:t>NETLINK STAR</w:t>
        </w:r>
        <w:r w:rsidR="00D6559C" w:rsidRPr="000E5786">
          <w:rPr>
            <w:noProof/>
          </w:rPr>
          <w:tab/>
        </w:r>
        <w:r w:rsidR="00D6559C" w:rsidRPr="000E5786">
          <w:rPr>
            <w:noProof/>
          </w:rPr>
          <w:fldChar w:fldCharType="begin"/>
        </w:r>
        <w:r w:rsidR="00D6559C" w:rsidRPr="000E5786">
          <w:rPr>
            <w:noProof/>
          </w:rPr>
          <w:instrText xml:space="preserve"> PAGEREF _Toc71198944 \h </w:instrText>
        </w:r>
        <w:r w:rsidR="00D6559C" w:rsidRPr="000E5786">
          <w:rPr>
            <w:noProof/>
          </w:rPr>
        </w:r>
        <w:r w:rsidR="00D6559C" w:rsidRPr="000E5786">
          <w:rPr>
            <w:noProof/>
          </w:rPr>
          <w:fldChar w:fldCharType="separate"/>
        </w:r>
        <w:r w:rsidR="007B5E2E">
          <w:rPr>
            <w:noProof/>
          </w:rPr>
          <w:t>34</w:t>
        </w:r>
        <w:r w:rsidR="00D6559C" w:rsidRPr="000E5786">
          <w:rPr>
            <w:noProof/>
          </w:rPr>
          <w:fldChar w:fldCharType="end"/>
        </w:r>
      </w:hyperlink>
    </w:p>
    <w:p w14:paraId="34AD3736" w14:textId="036233B8" w:rsidR="00D6559C" w:rsidRPr="000E5786" w:rsidRDefault="00000000" w:rsidP="00B52BF5">
      <w:pPr>
        <w:pStyle w:val="TOC1"/>
        <w:rPr>
          <w:rFonts w:eastAsiaTheme="minorEastAsia"/>
          <w:noProof/>
          <w:color w:val="auto"/>
        </w:rPr>
      </w:pPr>
      <w:hyperlink w:anchor="_Toc71198945" w:history="1">
        <w:r w:rsidR="00D6559C" w:rsidRPr="000E5786">
          <w:rPr>
            <w:rStyle w:val="Hyperlink"/>
            <w:rFonts w:cs="Arial"/>
            <w:noProof/>
            <w:szCs w:val="20"/>
          </w:rPr>
          <w:t>21.</w:t>
        </w:r>
        <w:r w:rsidR="00D6559C" w:rsidRPr="000E5786">
          <w:rPr>
            <w:rFonts w:eastAsiaTheme="minorEastAsia"/>
            <w:noProof/>
            <w:color w:val="auto"/>
          </w:rPr>
          <w:tab/>
        </w:r>
        <w:r w:rsidR="00D6559C" w:rsidRPr="000E5786">
          <w:rPr>
            <w:rStyle w:val="Hyperlink"/>
            <w:rFonts w:cs="Arial"/>
            <w:noProof/>
            <w:szCs w:val="20"/>
          </w:rPr>
          <w:t>OPEN SOURCE</w:t>
        </w:r>
        <w:r w:rsidR="00D6559C" w:rsidRPr="000E5786">
          <w:rPr>
            <w:noProof/>
          </w:rPr>
          <w:tab/>
        </w:r>
        <w:r w:rsidR="00D6559C" w:rsidRPr="000E5786">
          <w:rPr>
            <w:noProof/>
          </w:rPr>
          <w:fldChar w:fldCharType="begin"/>
        </w:r>
        <w:r w:rsidR="00D6559C" w:rsidRPr="000E5786">
          <w:rPr>
            <w:noProof/>
          </w:rPr>
          <w:instrText xml:space="preserve"> PAGEREF _Toc71198945 \h </w:instrText>
        </w:r>
        <w:r w:rsidR="00D6559C" w:rsidRPr="000E5786">
          <w:rPr>
            <w:noProof/>
          </w:rPr>
        </w:r>
        <w:r w:rsidR="00D6559C" w:rsidRPr="000E5786">
          <w:rPr>
            <w:noProof/>
          </w:rPr>
          <w:fldChar w:fldCharType="separate"/>
        </w:r>
        <w:r w:rsidR="007B5E2E">
          <w:rPr>
            <w:noProof/>
          </w:rPr>
          <w:t>35</w:t>
        </w:r>
        <w:r w:rsidR="00D6559C" w:rsidRPr="000E5786">
          <w:rPr>
            <w:noProof/>
          </w:rPr>
          <w:fldChar w:fldCharType="end"/>
        </w:r>
      </w:hyperlink>
    </w:p>
    <w:p w14:paraId="742BDE5E" w14:textId="6966CCA5" w:rsidR="00D6559C" w:rsidRPr="000E5786" w:rsidRDefault="00000000" w:rsidP="00B52BF5">
      <w:pPr>
        <w:pStyle w:val="TOC1"/>
        <w:rPr>
          <w:rFonts w:eastAsiaTheme="minorEastAsia"/>
          <w:noProof/>
          <w:color w:val="auto"/>
        </w:rPr>
      </w:pPr>
      <w:hyperlink w:anchor="_Toc71198946" w:history="1">
        <w:r w:rsidR="00D6559C" w:rsidRPr="000E5786">
          <w:rPr>
            <w:rStyle w:val="Hyperlink"/>
            <w:rFonts w:cs="Arial"/>
            <w:noProof/>
            <w:szCs w:val="20"/>
          </w:rPr>
          <w:t>22.</w:t>
        </w:r>
        <w:r w:rsidR="00D6559C" w:rsidRPr="000E5786">
          <w:rPr>
            <w:rFonts w:eastAsiaTheme="minorEastAsia"/>
            <w:noProof/>
            <w:color w:val="auto"/>
          </w:rPr>
          <w:tab/>
        </w:r>
        <w:r w:rsidR="00D6559C" w:rsidRPr="000E5786">
          <w:rPr>
            <w:rStyle w:val="Hyperlink"/>
            <w:rFonts w:cs="Arial"/>
            <w:noProof/>
            <w:szCs w:val="20"/>
          </w:rPr>
          <w:t>IPRs INDEMNITY</w:t>
        </w:r>
        <w:r w:rsidR="00D6559C" w:rsidRPr="000E5786">
          <w:rPr>
            <w:noProof/>
          </w:rPr>
          <w:tab/>
        </w:r>
        <w:r w:rsidR="00D6559C" w:rsidRPr="000E5786">
          <w:rPr>
            <w:noProof/>
          </w:rPr>
          <w:fldChar w:fldCharType="begin"/>
        </w:r>
        <w:r w:rsidR="00D6559C" w:rsidRPr="000E5786">
          <w:rPr>
            <w:noProof/>
          </w:rPr>
          <w:instrText xml:space="preserve"> PAGEREF _Toc71198946 \h </w:instrText>
        </w:r>
        <w:r w:rsidR="00D6559C" w:rsidRPr="000E5786">
          <w:rPr>
            <w:noProof/>
          </w:rPr>
        </w:r>
        <w:r w:rsidR="00D6559C" w:rsidRPr="000E5786">
          <w:rPr>
            <w:noProof/>
          </w:rPr>
          <w:fldChar w:fldCharType="separate"/>
        </w:r>
        <w:r w:rsidR="007B5E2E">
          <w:rPr>
            <w:noProof/>
          </w:rPr>
          <w:t>36</w:t>
        </w:r>
        <w:r w:rsidR="00D6559C" w:rsidRPr="000E5786">
          <w:rPr>
            <w:noProof/>
          </w:rPr>
          <w:fldChar w:fldCharType="end"/>
        </w:r>
      </w:hyperlink>
    </w:p>
    <w:p w14:paraId="51FEAE7D" w14:textId="5CEA0366" w:rsidR="00D6559C" w:rsidRPr="000E5786" w:rsidRDefault="00000000" w:rsidP="00B52BF5">
      <w:pPr>
        <w:pStyle w:val="TOC1"/>
        <w:rPr>
          <w:rFonts w:eastAsiaTheme="minorEastAsia"/>
          <w:noProof/>
          <w:color w:val="auto"/>
        </w:rPr>
      </w:pPr>
      <w:hyperlink w:anchor="_Toc71198947" w:history="1">
        <w:r w:rsidR="00D6559C" w:rsidRPr="000E5786">
          <w:rPr>
            <w:rStyle w:val="Hyperlink"/>
            <w:rFonts w:cs="Arial"/>
            <w:noProof/>
            <w:szCs w:val="20"/>
          </w:rPr>
          <w:t>23.</w:t>
        </w:r>
        <w:r w:rsidR="00D6559C" w:rsidRPr="000E5786">
          <w:rPr>
            <w:rFonts w:eastAsiaTheme="minorEastAsia"/>
            <w:noProof/>
            <w:color w:val="auto"/>
          </w:rPr>
          <w:tab/>
        </w:r>
        <w:r w:rsidR="001F1C19">
          <w:rPr>
            <w:rStyle w:val="Hyperlink"/>
            <w:rFonts w:cs="Arial"/>
            <w:noProof/>
            <w:szCs w:val="20"/>
          </w:rPr>
          <w:t>NETLINK STAR</w:t>
        </w:r>
        <w:r w:rsidR="00D6559C" w:rsidRPr="000E5786">
          <w:rPr>
            <w:rStyle w:val="Hyperlink"/>
            <w:rFonts w:cs="Arial"/>
            <w:noProof/>
            <w:szCs w:val="20"/>
          </w:rPr>
          <w:t xml:space="preserve"> DATA AND SECURITY REQUIREMENTS</w:t>
        </w:r>
        <w:r w:rsidR="00D6559C" w:rsidRPr="000E5786">
          <w:rPr>
            <w:noProof/>
          </w:rPr>
          <w:tab/>
        </w:r>
        <w:r w:rsidR="00D6559C" w:rsidRPr="000E5786">
          <w:rPr>
            <w:noProof/>
          </w:rPr>
          <w:fldChar w:fldCharType="begin"/>
        </w:r>
        <w:r w:rsidR="00D6559C" w:rsidRPr="000E5786">
          <w:rPr>
            <w:noProof/>
          </w:rPr>
          <w:instrText xml:space="preserve"> PAGEREF _Toc71198947 \h </w:instrText>
        </w:r>
        <w:r w:rsidR="00D6559C" w:rsidRPr="000E5786">
          <w:rPr>
            <w:noProof/>
          </w:rPr>
        </w:r>
        <w:r w:rsidR="00D6559C" w:rsidRPr="000E5786">
          <w:rPr>
            <w:noProof/>
          </w:rPr>
          <w:fldChar w:fldCharType="separate"/>
        </w:r>
        <w:r w:rsidR="007B5E2E">
          <w:rPr>
            <w:noProof/>
          </w:rPr>
          <w:t>36</w:t>
        </w:r>
        <w:r w:rsidR="00D6559C" w:rsidRPr="000E5786">
          <w:rPr>
            <w:noProof/>
          </w:rPr>
          <w:fldChar w:fldCharType="end"/>
        </w:r>
      </w:hyperlink>
    </w:p>
    <w:p w14:paraId="3278D272" w14:textId="66D5933D" w:rsidR="00D6559C" w:rsidRPr="000E5786" w:rsidRDefault="00000000" w:rsidP="00B52BF5">
      <w:pPr>
        <w:pStyle w:val="TOC1"/>
        <w:rPr>
          <w:rFonts w:eastAsiaTheme="minorEastAsia"/>
          <w:noProof/>
          <w:color w:val="auto"/>
        </w:rPr>
      </w:pPr>
      <w:hyperlink w:anchor="_Toc71198948" w:history="1">
        <w:r w:rsidR="00D6559C" w:rsidRPr="000E5786">
          <w:rPr>
            <w:rStyle w:val="Hyperlink"/>
            <w:rFonts w:cs="Arial"/>
            <w:noProof/>
            <w:szCs w:val="20"/>
          </w:rPr>
          <w:t>24.</w:t>
        </w:r>
        <w:r w:rsidR="00D6559C" w:rsidRPr="000E5786">
          <w:rPr>
            <w:rFonts w:eastAsiaTheme="minorEastAsia"/>
            <w:noProof/>
            <w:color w:val="auto"/>
          </w:rPr>
          <w:tab/>
        </w:r>
        <w:r w:rsidR="00D6559C" w:rsidRPr="000E5786">
          <w:rPr>
            <w:rStyle w:val="Hyperlink"/>
            <w:rFonts w:cs="Arial"/>
            <w:noProof/>
            <w:szCs w:val="20"/>
          </w:rPr>
          <w:t>CONFIDENTIALITY</w:t>
        </w:r>
        <w:r w:rsidR="00D6559C" w:rsidRPr="000E5786">
          <w:rPr>
            <w:noProof/>
          </w:rPr>
          <w:tab/>
        </w:r>
        <w:r w:rsidR="00D6559C" w:rsidRPr="000E5786">
          <w:rPr>
            <w:noProof/>
          </w:rPr>
          <w:fldChar w:fldCharType="begin"/>
        </w:r>
        <w:r w:rsidR="00D6559C" w:rsidRPr="000E5786">
          <w:rPr>
            <w:noProof/>
          </w:rPr>
          <w:instrText xml:space="preserve"> PAGEREF _Toc71198948 \h </w:instrText>
        </w:r>
        <w:r w:rsidR="00D6559C" w:rsidRPr="000E5786">
          <w:rPr>
            <w:noProof/>
          </w:rPr>
        </w:r>
        <w:r w:rsidR="00D6559C" w:rsidRPr="000E5786">
          <w:rPr>
            <w:noProof/>
          </w:rPr>
          <w:fldChar w:fldCharType="separate"/>
        </w:r>
        <w:r w:rsidR="007B5E2E">
          <w:rPr>
            <w:noProof/>
          </w:rPr>
          <w:t>37</w:t>
        </w:r>
        <w:r w:rsidR="00D6559C" w:rsidRPr="000E5786">
          <w:rPr>
            <w:noProof/>
          </w:rPr>
          <w:fldChar w:fldCharType="end"/>
        </w:r>
      </w:hyperlink>
    </w:p>
    <w:p w14:paraId="602E1B81" w14:textId="2A7E7C61" w:rsidR="00D6559C" w:rsidRPr="000E5786" w:rsidRDefault="00000000" w:rsidP="00B52BF5">
      <w:pPr>
        <w:pStyle w:val="TOC1"/>
        <w:rPr>
          <w:rFonts w:eastAsiaTheme="minorEastAsia"/>
          <w:noProof/>
          <w:color w:val="auto"/>
        </w:rPr>
      </w:pPr>
      <w:hyperlink w:anchor="_Toc71198949" w:history="1">
        <w:r w:rsidR="00D6559C" w:rsidRPr="000E5786">
          <w:rPr>
            <w:rStyle w:val="Hyperlink"/>
            <w:rFonts w:cs="Arial"/>
            <w:noProof/>
            <w:szCs w:val="20"/>
          </w:rPr>
          <w:t>25.</w:t>
        </w:r>
        <w:r w:rsidR="00D6559C" w:rsidRPr="000E5786">
          <w:rPr>
            <w:rFonts w:eastAsiaTheme="minorEastAsia"/>
            <w:noProof/>
            <w:color w:val="auto"/>
          </w:rPr>
          <w:tab/>
        </w:r>
        <w:r w:rsidR="00D6559C" w:rsidRPr="000E5786">
          <w:rPr>
            <w:rStyle w:val="Hyperlink"/>
            <w:rFonts w:cs="Arial"/>
            <w:noProof/>
            <w:szCs w:val="20"/>
          </w:rPr>
          <w:t>TRANSPARENCY AND FREEDOM OF INFORMATION</w:t>
        </w:r>
        <w:r w:rsidR="00D6559C" w:rsidRPr="000E5786">
          <w:rPr>
            <w:noProof/>
          </w:rPr>
          <w:tab/>
        </w:r>
        <w:r w:rsidR="00D6559C" w:rsidRPr="000E5786">
          <w:rPr>
            <w:noProof/>
          </w:rPr>
          <w:fldChar w:fldCharType="begin"/>
        </w:r>
        <w:r w:rsidR="00D6559C" w:rsidRPr="000E5786">
          <w:rPr>
            <w:noProof/>
          </w:rPr>
          <w:instrText xml:space="preserve"> PAGEREF _Toc71198949 \h </w:instrText>
        </w:r>
        <w:r w:rsidR="00D6559C" w:rsidRPr="000E5786">
          <w:rPr>
            <w:noProof/>
          </w:rPr>
        </w:r>
        <w:r w:rsidR="00D6559C" w:rsidRPr="000E5786">
          <w:rPr>
            <w:noProof/>
          </w:rPr>
          <w:fldChar w:fldCharType="separate"/>
        </w:r>
        <w:r w:rsidR="007B5E2E">
          <w:rPr>
            <w:noProof/>
          </w:rPr>
          <w:t>39</w:t>
        </w:r>
        <w:r w:rsidR="00D6559C" w:rsidRPr="000E5786">
          <w:rPr>
            <w:noProof/>
          </w:rPr>
          <w:fldChar w:fldCharType="end"/>
        </w:r>
      </w:hyperlink>
    </w:p>
    <w:p w14:paraId="63E217A0" w14:textId="51765A52" w:rsidR="00D6559C" w:rsidRPr="000E5786" w:rsidRDefault="00000000" w:rsidP="00B52BF5">
      <w:pPr>
        <w:pStyle w:val="TOC1"/>
        <w:rPr>
          <w:rFonts w:eastAsiaTheme="minorEastAsia"/>
          <w:noProof/>
          <w:color w:val="auto"/>
        </w:rPr>
      </w:pPr>
      <w:hyperlink w:anchor="_Toc71198950" w:history="1">
        <w:r w:rsidR="00D6559C" w:rsidRPr="000E5786">
          <w:rPr>
            <w:rStyle w:val="Hyperlink"/>
            <w:rFonts w:cs="Arial"/>
            <w:noProof/>
            <w:szCs w:val="20"/>
          </w:rPr>
          <w:t>26.</w:t>
        </w:r>
        <w:r w:rsidR="00D6559C" w:rsidRPr="000E5786">
          <w:rPr>
            <w:rFonts w:eastAsiaTheme="minorEastAsia"/>
            <w:noProof/>
            <w:color w:val="auto"/>
          </w:rPr>
          <w:tab/>
        </w:r>
        <w:r w:rsidR="00D6559C" w:rsidRPr="000E5786">
          <w:rPr>
            <w:rStyle w:val="Hyperlink"/>
            <w:rFonts w:cs="Arial"/>
            <w:noProof/>
            <w:szCs w:val="20"/>
          </w:rPr>
          <w:t>PROTECTION OF PERSONAL DATA</w:t>
        </w:r>
        <w:r w:rsidR="00D6559C" w:rsidRPr="000E5786">
          <w:rPr>
            <w:noProof/>
          </w:rPr>
          <w:tab/>
        </w:r>
        <w:r w:rsidR="00D6559C" w:rsidRPr="000E5786">
          <w:rPr>
            <w:noProof/>
          </w:rPr>
          <w:fldChar w:fldCharType="begin"/>
        </w:r>
        <w:r w:rsidR="00D6559C" w:rsidRPr="000E5786">
          <w:rPr>
            <w:noProof/>
          </w:rPr>
          <w:instrText xml:space="preserve"> PAGEREF _Toc71198950 \h </w:instrText>
        </w:r>
        <w:r w:rsidR="00D6559C" w:rsidRPr="000E5786">
          <w:rPr>
            <w:noProof/>
          </w:rPr>
        </w:r>
        <w:r w:rsidR="00D6559C" w:rsidRPr="000E5786">
          <w:rPr>
            <w:noProof/>
          </w:rPr>
          <w:fldChar w:fldCharType="separate"/>
        </w:r>
        <w:r w:rsidR="007B5E2E">
          <w:rPr>
            <w:noProof/>
          </w:rPr>
          <w:t>40</w:t>
        </w:r>
        <w:r w:rsidR="00D6559C" w:rsidRPr="000E5786">
          <w:rPr>
            <w:noProof/>
          </w:rPr>
          <w:fldChar w:fldCharType="end"/>
        </w:r>
      </w:hyperlink>
    </w:p>
    <w:p w14:paraId="73B14750" w14:textId="4473E7C3" w:rsidR="00D6559C" w:rsidRPr="000E5786" w:rsidRDefault="00000000" w:rsidP="00B52BF5">
      <w:pPr>
        <w:pStyle w:val="TOC1"/>
        <w:rPr>
          <w:rFonts w:eastAsiaTheme="minorEastAsia"/>
          <w:noProof/>
          <w:color w:val="auto"/>
        </w:rPr>
      </w:pPr>
      <w:hyperlink w:anchor="_Toc71198951" w:history="1">
        <w:r w:rsidR="00D6559C" w:rsidRPr="000E5786">
          <w:rPr>
            <w:rStyle w:val="Hyperlink"/>
            <w:rFonts w:cs="Arial"/>
            <w:noProof/>
            <w:szCs w:val="20"/>
          </w:rPr>
          <w:t>27.</w:t>
        </w:r>
        <w:r w:rsidR="00D6559C" w:rsidRPr="000E5786">
          <w:rPr>
            <w:rFonts w:eastAsiaTheme="minorEastAsia"/>
            <w:noProof/>
            <w:color w:val="auto"/>
          </w:rPr>
          <w:tab/>
        </w:r>
        <w:r w:rsidR="00D6559C" w:rsidRPr="000E5786">
          <w:rPr>
            <w:rStyle w:val="Hyperlink"/>
            <w:rFonts w:cs="Arial"/>
            <w:noProof/>
            <w:szCs w:val="20"/>
          </w:rPr>
          <w:t>PUBLICITY AND BRANDING</w:t>
        </w:r>
        <w:r w:rsidR="00D6559C" w:rsidRPr="000E5786">
          <w:rPr>
            <w:noProof/>
          </w:rPr>
          <w:tab/>
        </w:r>
        <w:r w:rsidR="00D6559C" w:rsidRPr="000E5786">
          <w:rPr>
            <w:noProof/>
          </w:rPr>
          <w:fldChar w:fldCharType="begin"/>
        </w:r>
        <w:r w:rsidR="00D6559C" w:rsidRPr="000E5786">
          <w:rPr>
            <w:noProof/>
          </w:rPr>
          <w:instrText xml:space="preserve"> PAGEREF _Toc71198951 \h </w:instrText>
        </w:r>
        <w:r w:rsidR="00D6559C" w:rsidRPr="000E5786">
          <w:rPr>
            <w:noProof/>
          </w:rPr>
        </w:r>
        <w:r w:rsidR="00D6559C" w:rsidRPr="000E5786">
          <w:rPr>
            <w:noProof/>
          </w:rPr>
          <w:fldChar w:fldCharType="separate"/>
        </w:r>
        <w:r w:rsidR="007B5E2E">
          <w:rPr>
            <w:noProof/>
          </w:rPr>
          <w:t>42</w:t>
        </w:r>
        <w:r w:rsidR="00D6559C" w:rsidRPr="000E5786">
          <w:rPr>
            <w:noProof/>
          </w:rPr>
          <w:fldChar w:fldCharType="end"/>
        </w:r>
      </w:hyperlink>
    </w:p>
    <w:p w14:paraId="7309C15E" w14:textId="2D8EF3DD" w:rsidR="00D6559C" w:rsidRPr="000E5786" w:rsidRDefault="00000000" w:rsidP="00B52BF5">
      <w:pPr>
        <w:pStyle w:val="TOC1"/>
        <w:rPr>
          <w:rFonts w:eastAsiaTheme="minorEastAsia"/>
          <w:noProof/>
          <w:color w:val="auto"/>
        </w:rPr>
      </w:pPr>
      <w:hyperlink w:anchor="_Toc71198952" w:history="1">
        <w:r w:rsidR="00D6559C" w:rsidRPr="000E5786">
          <w:rPr>
            <w:rStyle w:val="Hyperlink"/>
            <w:rFonts w:cs="Arial"/>
            <w:noProof/>
            <w:szCs w:val="20"/>
          </w:rPr>
          <w:t>28.</w:t>
        </w:r>
        <w:r w:rsidR="00D6559C" w:rsidRPr="000E5786">
          <w:rPr>
            <w:rFonts w:eastAsiaTheme="minorEastAsia"/>
            <w:noProof/>
            <w:color w:val="auto"/>
          </w:rPr>
          <w:tab/>
        </w:r>
        <w:r w:rsidR="00D6559C" w:rsidRPr="000E5786">
          <w:rPr>
            <w:rStyle w:val="Hyperlink"/>
            <w:rFonts w:cs="Arial"/>
            <w:noProof/>
            <w:szCs w:val="20"/>
          </w:rPr>
          <w:t>LIMITATIONS ON LIABILITY</w:t>
        </w:r>
        <w:r w:rsidR="00D6559C" w:rsidRPr="000E5786">
          <w:rPr>
            <w:noProof/>
          </w:rPr>
          <w:tab/>
        </w:r>
        <w:r w:rsidR="00D6559C" w:rsidRPr="000E5786">
          <w:rPr>
            <w:noProof/>
          </w:rPr>
          <w:fldChar w:fldCharType="begin"/>
        </w:r>
        <w:r w:rsidR="00D6559C" w:rsidRPr="000E5786">
          <w:rPr>
            <w:noProof/>
          </w:rPr>
          <w:instrText xml:space="preserve"> PAGEREF _Toc71198952 \h </w:instrText>
        </w:r>
        <w:r w:rsidR="00D6559C" w:rsidRPr="000E5786">
          <w:rPr>
            <w:noProof/>
          </w:rPr>
        </w:r>
        <w:r w:rsidR="00D6559C" w:rsidRPr="000E5786">
          <w:rPr>
            <w:noProof/>
          </w:rPr>
          <w:fldChar w:fldCharType="separate"/>
        </w:r>
        <w:r w:rsidR="007B5E2E">
          <w:rPr>
            <w:noProof/>
          </w:rPr>
          <w:t>42</w:t>
        </w:r>
        <w:r w:rsidR="00D6559C" w:rsidRPr="000E5786">
          <w:rPr>
            <w:noProof/>
          </w:rPr>
          <w:fldChar w:fldCharType="end"/>
        </w:r>
      </w:hyperlink>
    </w:p>
    <w:p w14:paraId="584C3659" w14:textId="602E3ED3" w:rsidR="00D6559C" w:rsidRPr="000E5786" w:rsidRDefault="00000000" w:rsidP="00B52BF5">
      <w:pPr>
        <w:pStyle w:val="TOC1"/>
        <w:rPr>
          <w:rFonts w:eastAsiaTheme="minorEastAsia"/>
          <w:noProof/>
          <w:color w:val="auto"/>
        </w:rPr>
      </w:pPr>
      <w:hyperlink w:anchor="_Toc71198953" w:history="1">
        <w:r w:rsidR="00D6559C" w:rsidRPr="000E5786">
          <w:rPr>
            <w:rStyle w:val="Hyperlink"/>
            <w:rFonts w:cs="Arial"/>
            <w:noProof/>
            <w:szCs w:val="20"/>
          </w:rPr>
          <w:t>29.</w:t>
        </w:r>
        <w:r w:rsidR="00D6559C" w:rsidRPr="000E5786">
          <w:rPr>
            <w:rFonts w:eastAsiaTheme="minorEastAsia"/>
            <w:noProof/>
            <w:color w:val="auto"/>
          </w:rPr>
          <w:tab/>
        </w:r>
        <w:r w:rsidR="00D6559C" w:rsidRPr="000E5786">
          <w:rPr>
            <w:rStyle w:val="Hyperlink"/>
            <w:rFonts w:cs="Arial"/>
            <w:noProof/>
            <w:szCs w:val="20"/>
          </w:rPr>
          <w:t>INSURANCE</w:t>
        </w:r>
        <w:r w:rsidR="00D6559C" w:rsidRPr="000E5786">
          <w:rPr>
            <w:noProof/>
          </w:rPr>
          <w:tab/>
        </w:r>
        <w:r w:rsidR="00D6559C" w:rsidRPr="000E5786">
          <w:rPr>
            <w:noProof/>
          </w:rPr>
          <w:fldChar w:fldCharType="begin"/>
        </w:r>
        <w:r w:rsidR="00D6559C" w:rsidRPr="000E5786">
          <w:rPr>
            <w:noProof/>
          </w:rPr>
          <w:instrText xml:space="preserve"> PAGEREF _Toc71198953 \h </w:instrText>
        </w:r>
        <w:r w:rsidR="00D6559C" w:rsidRPr="000E5786">
          <w:rPr>
            <w:noProof/>
          </w:rPr>
        </w:r>
        <w:r w:rsidR="00D6559C" w:rsidRPr="000E5786">
          <w:rPr>
            <w:noProof/>
          </w:rPr>
          <w:fldChar w:fldCharType="separate"/>
        </w:r>
        <w:r w:rsidR="007B5E2E">
          <w:rPr>
            <w:noProof/>
          </w:rPr>
          <w:t>44</w:t>
        </w:r>
        <w:r w:rsidR="00D6559C" w:rsidRPr="000E5786">
          <w:rPr>
            <w:noProof/>
          </w:rPr>
          <w:fldChar w:fldCharType="end"/>
        </w:r>
      </w:hyperlink>
    </w:p>
    <w:p w14:paraId="7ECDD044" w14:textId="692D00D0" w:rsidR="00D6559C" w:rsidRPr="000E5786" w:rsidRDefault="00000000" w:rsidP="00B52BF5">
      <w:pPr>
        <w:pStyle w:val="TOC1"/>
        <w:rPr>
          <w:rFonts w:eastAsiaTheme="minorEastAsia"/>
          <w:noProof/>
          <w:color w:val="auto"/>
        </w:rPr>
      </w:pPr>
      <w:hyperlink w:anchor="_Toc71198954" w:history="1">
        <w:r w:rsidR="00D6559C" w:rsidRPr="000E5786">
          <w:rPr>
            <w:rStyle w:val="Hyperlink"/>
            <w:rFonts w:cs="Arial"/>
            <w:noProof/>
            <w:szCs w:val="20"/>
          </w:rPr>
          <w:t>30.</w:t>
        </w:r>
        <w:r w:rsidR="00D6559C" w:rsidRPr="000E5786">
          <w:rPr>
            <w:rFonts w:eastAsiaTheme="minorEastAsia"/>
            <w:noProof/>
            <w:color w:val="auto"/>
          </w:rPr>
          <w:tab/>
        </w:r>
        <w:r w:rsidR="00D6559C" w:rsidRPr="000E5786">
          <w:rPr>
            <w:rStyle w:val="Hyperlink"/>
            <w:rFonts w:cs="Arial"/>
            <w:noProof/>
            <w:szCs w:val="20"/>
          </w:rPr>
          <w:t>RECTIFICATION PLAN PROCESS</w:t>
        </w:r>
        <w:r w:rsidR="00D6559C" w:rsidRPr="000E5786">
          <w:rPr>
            <w:noProof/>
          </w:rPr>
          <w:tab/>
        </w:r>
        <w:r w:rsidR="00D6559C" w:rsidRPr="000E5786">
          <w:rPr>
            <w:noProof/>
          </w:rPr>
          <w:fldChar w:fldCharType="begin"/>
        </w:r>
        <w:r w:rsidR="00D6559C" w:rsidRPr="000E5786">
          <w:rPr>
            <w:noProof/>
          </w:rPr>
          <w:instrText xml:space="preserve"> PAGEREF _Toc71198954 \h </w:instrText>
        </w:r>
        <w:r w:rsidR="00D6559C" w:rsidRPr="000E5786">
          <w:rPr>
            <w:noProof/>
          </w:rPr>
        </w:r>
        <w:r w:rsidR="00D6559C" w:rsidRPr="000E5786">
          <w:rPr>
            <w:noProof/>
          </w:rPr>
          <w:fldChar w:fldCharType="separate"/>
        </w:r>
        <w:r w:rsidR="007B5E2E">
          <w:rPr>
            <w:noProof/>
          </w:rPr>
          <w:t>44</w:t>
        </w:r>
        <w:r w:rsidR="00D6559C" w:rsidRPr="000E5786">
          <w:rPr>
            <w:noProof/>
          </w:rPr>
          <w:fldChar w:fldCharType="end"/>
        </w:r>
      </w:hyperlink>
    </w:p>
    <w:p w14:paraId="38BBBC09" w14:textId="7E85156F" w:rsidR="00D6559C" w:rsidRPr="000E5786" w:rsidRDefault="00000000" w:rsidP="00B52BF5">
      <w:pPr>
        <w:pStyle w:val="TOC1"/>
        <w:rPr>
          <w:rFonts w:eastAsiaTheme="minorEastAsia"/>
          <w:noProof/>
          <w:color w:val="auto"/>
        </w:rPr>
      </w:pPr>
      <w:hyperlink w:anchor="_Toc71198955" w:history="1">
        <w:r w:rsidR="00D6559C" w:rsidRPr="000E5786">
          <w:rPr>
            <w:rStyle w:val="Hyperlink"/>
            <w:rFonts w:cs="Arial"/>
            <w:noProof/>
            <w:szCs w:val="20"/>
          </w:rPr>
          <w:t>31.</w:t>
        </w:r>
        <w:r w:rsidR="00D6559C" w:rsidRPr="000E5786">
          <w:rPr>
            <w:rFonts w:eastAsiaTheme="minorEastAsia"/>
            <w:noProof/>
            <w:color w:val="auto"/>
          </w:rPr>
          <w:tab/>
        </w:r>
        <w:r w:rsidR="00D6559C" w:rsidRPr="000E5786">
          <w:rPr>
            <w:rStyle w:val="Hyperlink"/>
            <w:rFonts w:cs="Arial"/>
            <w:noProof/>
            <w:szCs w:val="20"/>
          </w:rPr>
          <w:t>DELAY PAYMENTS</w:t>
        </w:r>
        <w:r w:rsidR="00D6559C" w:rsidRPr="000E5786">
          <w:rPr>
            <w:noProof/>
          </w:rPr>
          <w:tab/>
        </w:r>
        <w:r w:rsidR="00D6559C" w:rsidRPr="000E5786">
          <w:rPr>
            <w:noProof/>
          </w:rPr>
          <w:fldChar w:fldCharType="begin"/>
        </w:r>
        <w:r w:rsidR="00D6559C" w:rsidRPr="000E5786">
          <w:rPr>
            <w:noProof/>
          </w:rPr>
          <w:instrText xml:space="preserve"> PAGEREF _Toc71198955 \h </w:instrText>
        </w:r>
        <w:r w:rsidR="00D6559C" w:rsidRPr="000E5786">
          <w:rPr>
            <w:noProof/>
          </w:rPr>
        </w:r>
        <w:r w:rsidR="00D6559C" w:rsidRPr="000E5786">
          <w:rPr>
            <w:noProof/>
          </w:rPr>
          <w:fldChar w:fldCharType="separate"/>
        </w:r>
        <w:r w:rsidR="007B5E2E">
          <w:rPr>
            <w:noProof/>
          </w:rPr>
          <w:t>46</w:t>
        </w:r>
        <w:r w:rsidR="00D6559C" w:rsidRPr="000E5786">
          <w:rPr>
            <w:noProof/>
          </w:rPr>
          <w:fldChar w:fldCharType="end"/>
        </w:r>
      </w:hyperlink>
    </w:p>
    <w:p w14:paraId="15297E83" w14:textId="5294366A" w:rsidR="00D6559C" w:rsidRPr="000E5786" w:rsidRDefault="00000000" w:rsidP="00B52BF5">
      <w:pPr>
        <w:pStyle w:val="TOC1"/>
        <w:rPr>
          <w:rFonts w:eastAsiaTheme="minorEastAsia"/>
          <w:noProof/>
          <w:color w:val="auto"/>
        </w:rPr>
      </w:pPr>
      <w:hyperlink w:anchor="_Toc71198956" w:history="1">
        <w:r w:rsidR="00D6559C" w:rsidRPr="000E5786">
          <w:rPr>
            <w:rStyle w:val="Hyperlink"/>
            <w:rFonts w:cs="Arial"/>
            <w:noProof/>
            <w:szCs w:val="20"/>
          </w:rPr>
          <w:t>32.</w:t>
        </w:r>
        <w:r w:rsidR="00D6559C" w:rsidRPr="000E5786">
          <w:rPr>
            <w:rFonts w:eastAsiaTheme="minorEastAsia"/>
            <w:noProof/>
            <w:color w:val="auto"/>
          </w:rPr>
          <w:tab/>
        </w:r>
        <w:r w:rsidR="00D6559C" w:rsidRPr="000E5786">
          <w:rPr>
            <w:rStyle w:val="Hyperlink"/>
            <w:rFonts w:cs="Arial"/>
            <w:noProof/>
            <w:szCs w:val="20"/>
          </w:rPr>
          <w:t>REMEDIAL ADVISER</w:t>
        </w:r>
        <w:r w:rsidR="00D6559C" w:rsidRPr="000E5786">
          <w:rPr>
            <w:noProof/>
          </w:rPr>
          <w:tab/>
        </w:r>
        <w:r w:rsidR="00D6559C" w:rsidRPr="000E5786">
          <w:rPr>
            <w:noProof/>
          </w:rPr>
          <w:fldChar w:fldCharType="begin"/>
        </w:r>
        <w:r w:rsidR="00D6559C" w:rsidRPr="000E5786">
          <w:rPr>
            <w:noProof/>
          </w:rPr>
          <w:instrText xml:space="preserve"> PAGEREF _Toc71198956 \h </w:instrText>
        </w:r>
        <w:r w:rsidR="00D6559C" w:rsidRPr="000E5786">
          <w:rPr>
            <w:noProof/>
          </w:rPr>
        </w:r>
        <w:r w:rsidR="00D6559C" w:rsidRPr="000E5786">
          <w:rPr>
            <w:noProof/>
          </w:rPr>
          <w:fldChar w:fldCharType="separate"/>
        </w:r>
        <w:r w:rsidR="007B5E2E">
          <w:rPr>
            <w:noProof/>
          </w:rPr>
          <w:t>46</w:t>
        </w:r>
        <w:r w:rsidR="00D6559C" w:rsidRPr="000E5786">
          <w:rPr>
            <w:noProof/>
          </w:rPr>
          <w:fldChar w:fldCharType="end"/>
        </w:r>
      </w:hyperlink>
    </w:p>
    <w:p w14:paraId="73E727E0" w14:textId="1AF85A59" w:rsidR="00D6559C" w:rsidRPr="000E5786" w:rsidRDefault="00000000" w:rsidP="00B52BF5">
      <w:pPr>
        <w:pStyle w:val="TOC1"/>
        <w:rPr>
          <w:rFonts w:eastAsiaTheme="minorEastAsia"/>
          <w:noProof/>
          <w:color w:val="auto"/>
        </w:rPr>
      </w:pPr>
      <w:hyperlink w:anchor="_Toc71198957" w:history="1">
        <w:r w:rsidR="00D6559C" w:rsidRPr="000E5786">
          <w:rPr>
            <w:rStyle w:val="Hyperlink"/>
            <w:rFonts w:cs="Arial"/>
            <w:noProof/>
            <w:szCs w:val="20"/>
          </w:rPr>
          <w:t>33.</w:t>
        </w:r>
        <w:r w:rsidR="00D6559C" w:rsidRPr="000E5786">
          <w:rPr>
            <w:rFonts w:eastAsiaTheme="minorEastAsia"/>
            <w:noProof/>
            <w:color w:val="auto"/>
          </w:rPr>
          <w:tab/>
        </w:r>
        <w:r w:rsidR="00D6559C" w:rsidRPr="000E5786">
          <w:rPr>
            <w:rStyle w:val="Hyperlink"/>
            <w:rFonts w:cs="Arial"/>
            <w:noProof/>
            <w:szCs w:val="20"/>
          </w:rPr>
          <w:t>STEP-IN RIGHTS</w:t>
        </w:r>
        <w:r w:rsidR="00D6559C" w:rsidRPr="000E5786">
          <w:rPr>
            <w:noProof/>
          </w:rPr>
          <w:tab/>
        </w:r>
        <w:r w:rsidR="00D6559C" w:rsidRPr="000E5786">
          <w:rPr>
            <w:noProof/>
          </w:rPr>
          <w:fldChar w:fldCharType="begin"/>
        </w:r>
        <w:r w:rsidR="00D6559C" w:rsidRPr="000E5786">
          <w:rPr>
            <w:noProof/>
          </w:rPr>
          <w:instrText xml:space="preserve"> PAGEREF _Toc71198957 \h </w:instrText>
        </w:r>
        <w:r w:rsidR="00D6559C" w:rsidRPr="000E5786">
          <w:rPr>
            <w:noProof/>
          </w:rPr>
        </w:r>
        <w:r w:rsidR="00D6559C" w:rsidRPr="000E5786">
          <w:rPr>
            <w:noProof/>
          </w:rPr>
          <w:fldChar w:fldCharType="separate"/>
        </w:r>
        <w:r w:rsidR="007B5E2E">
          <w:rPr>
            <w:noProof/>
          </w:rPr>
          <w:t>47</w:t>
        </w:r>
        <w:r w:rsidR="00D6559C" w:rsidRPr="000E5786">
          <w:rPr>
            <w:noProof/>
          </w:rPr>
          <w:fldChar w:fldCharType="end"/>
        </w:r>
      </w:hyperlink>
    </w:p>
    <w:p w14:paraId="05F1B6BD" w14:textId="18914A4E" w:rsidR="00D6559C" w:rsidRPr="000E5786" w:rsidRDefault="00000000" w:rsidP="00B52BF5">
      <w:pPr>
        <w:pStyle w:val="TOC1"/>
        <w:rPr>
          <w:rFonts w:eastAsiaTheme="minorEastAsia"/>
          <w:noProof/>
          <w:color w:val="auto"/>
        </w:rPr>
      </w:pPr>
      <w:hyperlink w:anchor="_Toc71198958" w:history="1">
        <w:r w:rsidR="00D6559C" w:rsidRPr="000E5786">
          <w:rPr>
            <w:rStyle w:val="Hyperlink"/>
            <w:rFonts w:cs="Arial"/>
            <w:noProof/>
            <w:szCs w:val="20"/>
          </w:rPr>
          <w:t>34.</w:t>
        </w:r>
        <w:r w:rsidR="00D6559C" w:rsidRPr="000E5786">
          <w:rPr>
            <w:rFonts w:eastAsiaTheme="minorEastAsia"/>
            <w:noProof/>
            <w:color w:val="auto"/>
          </w:rPr>
          <w:tab/>
        </w:r>
        <w:r w:rsidR="001F1C19">
          <w:rPr>
            <w:rStyle w:val="Hyperlink"/>
            <w:rFonts w:cs="Arial"/>
            <w:noProof/>
            <w:szCs w:val="20"/>
          </w:rPr>
          <w:t>NETLINK STAR</w:t>
        </w:r>
        <w:r w:rsidR="00D6559C" w:rsidRPr="000E5786">
          <w:rPr>
            <w:rStyle w:val="Hyperlink"/>
            <w:rFonts w:cs="Arial"/>
            <w:noProof/>
            <w:szCs w:val="20"/>
          </w:rPr>
          <w:t xml:space="preserve"> CAUSE</w:t>
        </w:r>
        <w:r w:rsidR="00D6559C" w:rsidRPr="000E5786">
          <w:rPr>
            <w:noProof/>
          </w:rPr>
          <w:tab/>
        </w:r>
        <w:r w:rsidR="00D6559C" w:rsidRPr="000E5786">
          <w:rPr>
            <w:noProof/>
          </w:rPr>
          <w:fldChar w:fldCharType="begin"/>
        </w:r>
        <w:r w:rsidR="00D6559C" w:rsidRPr="000E5786">
          <w:rPr>
            <w:noProof/>
          </w:rPr>
          <w:instrText xml:space="preserve"> PAGEREF _Toc71198958 \h </w:instrText>
        </w:r>
        <w:r w:rsidR="00D6559C" w:rsidRPr="000E5786">
          <w:rPr>
            <w:noProof/>
          </w:rPr>
        </w:r>
        <w:r w:rsidR="00D6559C" w:rsidRPr="000E5786">
          <w:rPr>
            <w:noProof/>
          </w:rPr>
          <w:fldChar w:fldCharType="separate"/>
        </w:r>
        <w:r w:rsidR="007B5E2E">
          <w:rPr>
            <w:noProof/>
          </w:rPr>
          <w:t>49</w:t>
        </w:r>
        <w:r w:rsidR="00D6559C" w:rsidRPr="000E5786">
          <w:rPr>
            <w:noProof/>
          </w:rPr>
          <w:fldChar w:fldCharType="end"/>
        </w:r>
      </w:hyperlink>
    </w:p>
    <w:p w14:paraId="24FC159A" w14:textId="02EE31C2" w:rsidR="00D6559C" w:rsidRPr="000E5786" w:rsidRDefault="00000000" w:rsidP="00B52BF5">
      <w:pPr>
        <w:pStyle w:val="TOC1"/>
        <w:rPr>
          <w:rFonts w:eastAsiaTheme="minorEastAsia"/>
          <w:noProof/>
          <w:color w:val="auto"/>
        </w:rPr>
      </w:pPr>
      <w:hyperlink w:anchor="_Toc71198959" w:history="1">
        <w:r w:rsidR="00D6559C" w:rsidRPr="000E5786">
          <w:rPr>
            <w:rStyle w:val="Hyperlink"/>
            <w:rFonts w:cs="Arial"/>
            <w:noProof/>
            <w:szCs w:val="20"/>
          </w:rPr>
          <w:t>35.</w:t>
        </w:r>
        <w:r w:rsidR="00D6559C" w:rsidRPr="000E5786">
          <w:rPr>
            <w:rFonts w:eastAsiaTheme="minorEastAsia"/>
            <w:noProof/>
            <w:color w:val="auto"/>
          </w:rPr>
          <w:tab/>
        </w:r>
        <w:r w:rsidR="00D6559C" w:rsidRPr="000E5786">
          <w:rPr>
            <w:rStyle w:val="Hyperlink"/>
            <w:rFonts w:cs="Arial"/>
            <w:noProof/>
            <w:szCs w:val="20"/>
          </w:rPr>
          <w:t>FORCE MAJEURE</w:t>
        </w:r>
        <w:r w:rsidR="00D6559C" w:rsidRPr="000E5786">
          <w:rPr>
            <w:noProof/>
          </w:rPr>
          <w:tab/>
        </w:r>
        <w:r w:rsidR="00D6559C" w:rsidRPr="000E5786">
          <w:rPr>
            <w:noProof/>
          </w:rPr>
          <w:fldChar w:fldCharType="begin"/>
        </w:r>
        <w:r w:rsidR="00D6559C" w:rsidRPr="000E5786">
          <w:rPr>
            <w:noProof/>
          </w:rPr>
          <w:instrText xml:space="preserve"> PAGEREF _Toc71198959 \h </w:instrText>
        </w:r>
        <w:r w:rsidR="00D6559C" w:rsidRPr="000E5786">
          <w:rPr>
            <w:noProof/>
          </w:rPr>
        </w:r>
        <w:r w:rsidR="00D6559C" w:rsidRPr="000E5786">
          <w:rPr>
            <w:noProof/>
          </w:rPr>
          <w:fldChar w:fldCharType="separate"/>
        </w:r>
        <w:r w:rsidR="007B5E2E">
          <w:rPr>
            <w:noProof/>
          </w:rPr>
          <w:t>51</w:t>
        </w:r>
        <w:r w:rsidR="00D6559C" w:rsidRPr="000E5786">
          <w:rPr>
            <w:noProof/>
          </w:rPr>
          <w:fldChar w:fldCharType="end"/>
        </w:r>
      </w:hyperlink>
    </w:p>
    <w:p w14:paraId="75D57D79" w14:textId="06F78758" w:rsidR="00D6559C" w:rsidRPr="000E5786" w:rsidRDefault="00000000" w:rsidP="00B52BF5">
      <w:pPr>
        <w:pStyle w:val="TOC1"/>
        <w:rPr>
          <w:rFonts w:eastAsiaTheme="minorEastAsia"/>
          <w:noProof/>
          <w:color w:val="auto"/>
        </w:rPr>
      </w:pPr>
      <w:hyperlink w:anchor="_Toc71198960" w:history="1">
        <w:r w:rsidR="00D6559C" w:rsidRPr="000E5786">
          <w:rPr>
            <w:rStyle w:val="Hyperlink"/>
            <w:rFonts w:cs="Arial"/>
            <w:noProof/>
            <w:szCs w:val="20"/>
          </w:rPr>
          <w:t>36.</w:t>
        </w:r>
        <w:r w:rsidR="00D6559C" w:rsidRPr="000E5786">
          <w:rPr>
            <w:rFonts w:eastAsiaTheme="minorEastAsia"/>
            <w:noProof/>
            <w:color w:val="auto"/>
          </w:rPr>
          <w:tab/>
        </w:r>
        <w:r w:rsidR="00D6559C" w:rsidRPr="000E5786">
          <w:rPr>
            <w:rStyle w:val="Hyperlink"/>
            <w:rFonts w:cs="Arial"/>
            <w:noProof/>
            <w:szCs w:val="20"/>
          </w:rPr>
          <w:t>TERMINATION RIGHTS</w:t>
        </w:r>
        <w:r w:rsidR="00D6559C" w:rsidRPr="000E5786">
          <w:rPr>
            <w:noProof/>
          </w:rPr>
          <w:tab/>
        </w:r>
        <w:r w:rsidR="00D6559C" w:rsidRPr="000E5786">
          <w:rPr>
            <w:noProof/>
          </w:rPr>
          <w:fldChar w:fldCharType="begin"/>
        </w:r>
        <w:r w:rsidR="00D6559C" w:rsidRPr="000E5786">
          <w:rPr>
            <w:noProof/>
          </w:rPr>
          <w:instrText xml:space="preserve"> PAGEREF _Toc71198960 \h </w:instrText>
        </w:r>
        <w:r w:rsidR="00D6559C" w:rsidRPr="000E5786">
          <w:rPr>
            <w:noProof/>
          </w:rPr>
        </w:r>
        <w:r w:rsidR="00D6559C" w:rsidRPr="000E5786">
          <w:rPr>
            <w:noProof/>
          </w:rPr>
          <w:fldChar w:fldCharType="separate"/>
        </w:r>
        <w:r w:rsidR="007B5E2E">
          <w:rPr>
            <w:noProof/>
          </w:rPr>
          <w:t>52</w:t>
        </w:r>
        <w:r w:rsidR="00D6559C" w:rsidRPr="000E5786">
          <w:rPr>
            <w:noProof/>
          </w:rPr>
          <w:fldChar w:fldCharType="end"/>
        </w:r>
      </w:hyperlink>
    </w:p>
    <w:p w14:paraId="1A3B8491" w14:textId="610FE05C" w:rsidR="00D6559C" w:rsidRPr="000E5786" w:rsidRDefault="00000000" w:rsidP="00B52BF5">
      <w:pPr>
        <w:pStyle w:val="TOC1"/>
        <w:rPr>
          <w:rFonts w:eastAsiaTheme="minorEastAsia"/>
          <w:noProof/>
          <w:color w:val="auto"/>
        </w:rPr>
      </w:pPr>
      <w:hyperlink w:anchor="_Toc71198961" w:history="1">
        <w:r w:rsidR="00D6559C" w:rsidRPr="000E5786">
          <w:rPr>
            <w:rStyle w:val="Hyperlink"/>
            <w:rFonts w:cs="Arial"/>
            <w:noProof/>
            <w:szCs w:val="20"/>
          </w:rPr>
          <w:t>37.</w:t>
        </w:r>
        <w:r w:rsidR="00D6559C" w:rsidRPr="000E5786">
          <w:rPr>
            <w:rFonts w:eastAsiaTheme="minorEastAsia"/>
            <w:noProof/>
            <w:color w:val="auto"/>
          </w:rPr>
          <w:tab/>
        </w:r>
        <w:r w:rsidR="00D6559C" w:rsidRPr="000E5786">
          <w:rPr>
            <w:rStyle w:val="Hyperlink"/>
            <w:rFonts w:cs="Arial"/>
            <w:noProof/>
            <w:szCs w:val="20"/>
          </w:rPr>
          <w:t>CONSEQUENCES OF EXPIRY OR TERMINATION</w:t>
        </w:r>
        <w:r w:rsidR="00D6559C" w:rsidRPr="000E5786">
          <w:rPr>
            <w:noProof/>
          </w:rPr>
          <w:tab/>
        </w:r>
        <w:r w:rsidR="00D6559C" w:rsidRPr="000E5786">
          <w:rPr>
            <w:noProof/>
          </w:rPr>
          <w:fldChar w:fldCharType="begin"/>
        </w:r>
        <w:r w:rsidR="00D6559C" w:rsidRPr="000E5786">
          <w:rPr>
            <w:noProof/>
          </w:rPr>
          <w:instrText xml:space="preserve"> PAGEREF _Toc71198961 \h </w:instrText>
        </w:r>
        <w:r w:rsidR="00D6559C" w:rsidRPr="000E5786">
          <w:rPr>
            <w:noProof/>
          </w:rPr>
        </w:r>
        <w:r w:rsidR="00D6559C" w:rsidRPr="000E5786">
          <w:rPr>
            <w:noProof/>
          </w:rPr>
          <w:fldChar w:fldCharType="separate"/>
        </w:r>
        <w:r w:rsidR="007B5E2E">
          <w:rPr>
            <w:noProof/>
          </w:rPr>
          <w:t>53</w:t>
        </w:r>
        <w:r w:rsidR="00D6559C" w:rsidRPr="000E5786">
          <w:rPr>
            <w:noProof/>
          </w:rPr>
          <w:fldChar w:fldCharType="end"/>
        </w:r>
      </w:hyperlink>
    </w:p>
    <w:p w14:paraId="78598105" w14:textId="391F0C65" w:rsidR="00D6559C" w:rsidRPr="000E5786" w:rsidRDefault="00000000" w:rsidP="00B52BF5">
      <w:pPr>
        <w:pStyle w:val="TOC1"/>
        <w:rPr>
          <w:rFonts w:eastAsiaTheme="minorEastAsia"/>
          <w:noProof/>
          <w:color w:val="auto"/>
        </w:rPr>
      </w:pPr>
      <w:hyperlink w:anchor="_Toc71198962" w:history="1">
        <w:r w:rsidR="00D6559C" w:rsidRPr="000E5786">
          <w:rPr>
            <w:rStyle w:val="Hyperlink"/>
            <w:rFonts w:cs="Arial"/>
            <w:noProof/>
            <w:szCs w:val="20"/>
          </w:rPr>
          <w:t>38.</w:t>
        </w:r>
        <w:r w:rsidR="00D6559C" w:rsidRPr="000E5786">
          <w:rPr>
            <w:rFonts w:eastAsiaTheme="minorEastAsia"/>
            <w:noProof/>
            <w:color w:val="auto"/>
          </w:rPr>
          <w:tab/>
        </w:r>
        <w:r w:rsidR="00D6559C" w:rsidRPr="000E5786">
          <w:rPr>
            <w:rStyle w:val="Hyperlink"/>
            <w:rFonts w:cs="Arial"/>
            <w:noProof/>
            <w:szCs w:val="20"/>
          </w:rPr>
          <w:t>COMPLIANCE</w:t>
        </w:r>
        <w:r w:rsidR="00D6559C" w:rsidRPr="000E5786">
          <w:rPr>
            <w:noProof/>
          </w:rPr>
          <w:tab/>
        </w:r>
        <w:r w:rsidR="00D6559C" w:rsidRPr="000E5786">
          <w:rPr>
            <w:noProof/>
          </w:rPr>
          <w:fldChar w:fldCharType="begin"/>
        </w:r>
        <w:r w:rsidR="00D6559C" w:rsidRPr="000E5786">
          <w:rPr>
            <w:noProof/>
          </w:rPr>
          <w:instrText xml:space="preserve"> PAGEREF _Toc71198962 \h </w:instrText>
        </w:r>
        <w:r w:rsidR="00D6559C" w:rsidRPr="000E5786">
          <w:rPr>
            <w:noProof/>
          </w:rPr>
        </w:r>
        <w:r w:rsidR="00D6559C" w:rsidRPr="000E5786">
          <w:rPr>
            <w:noProof/>
          </w:rPr>
          <w:fldChar w:fldCharType="separate"/>
        </w:r>
        <w:r w:rsidR="007B5E2E">
          <w:rPr>
            <w:noProof/>
          </w:rPr>
          <w:t>55</w:t>
        </w:r>
        <w:r w:rsidR="00D6559C" w:rsidRPr="000E5786">
          <w:rPr>
            <w:noProof/>
          </w:rPr>
          <w:fldChar w:fldCharType="end"/>
        </w:r>
      </w:hyperlink>
    </w:p>
    <w:p w14:paraId="1CB78E8F" w14:textId="772B4738" w:rsidR="00D6559C" w:rsidRPr="000E5786" w:rsidRDefault="00000000" w:rsidP="00B52BF5">
      <w:pPr>
        <w:pStyle w:val="TOC1"/>
        <w:rPr>
          <w:rFonts w:eastAsiaTheme="minorEastAsia"/>
          <w:noProof/>
          <w:color w:val="auto"/>
        </w:rPr>
      </w:pPr>
      <w:hyperlink w:anchor="_Toc71198963" w:history="1">
        <w:r w:rsidR="00D6559C" w:rsidRPr="000E5786">
          <w:rPr>
            <w:rStyle w:val="Hyperlink"/>
            <w:rFonts w:cs="Arial"/>
            <w:noProof/>
            <w:szCs w:val="20"/>
          </w:rPr>
          <w:t>39.</w:t>
        </w:r>
        <w:r w:rsidR="00D6559C" w:rsidRPr="000E5786">
          <w:rPr>
            <w:rFonts w:eastAsiaTheme="minorEastAsia"/>
            <w:noProof/>
            <w:color w:val="auto"/>
          </w:rPr>
          <w:tab/>
        </w:r>
        <w:r w:rsidR="00D6559C" w:rsidRPr="000E5786">
          <w:rPr>
            <w:rStyle w:val="Hyperlink"/>
            <w:rFonts w:cs="Arial"/>
            <w:noProof/>
            <w:szCs w:val="20"/>
          </w:rPr>
          <w:t>LONDON LIVING WAGE</w:t>
        </w:r>
        <w:r w:rsidR="00D6559C" w:rsidRPr="000E5786">
          <w:rPr>
            <w:noProof/>
          </w:rPr>
          <w:tab/>
        </w:r>
        <w:r w:rsidR="00D6559C" w:rsidRPr="000E5786">
          <w:rPr>
            <w:noProof/>
          </w:rPr>
          <w:fldChar w:fldCharType="begin"/>
        </w:r>
        <w:r w:rsidR="00D6559C" w:rsidRPr="000E5786">
          <w:rPr>
            <w:noProof/>
          </w:rPr>
          <w:instrText xml:space="preserve"> PAGEREF _Toc71198963 \h </w:instrText>
        </w:r>
        <w:r w:rsidR="00D6559C" w:rsidRPr="000E5786">
          <w:rPr>
            <w:noProof/>
          </w:rPr>
        </w:r>
        <w:r w:rsidR="00D6559C" w:rsidRPr="000E5786">
          <w:rPr>
            <w:noProof/>
          </w:rPr>
          <w:fldChar w:fldCharType="separate"/>
        </w:r>
        <w:r w:rsidR="007B5E2E">
          <w:rPr>
            <w:noProof/>
          </w:rPr>
          <w:t>56</w:t>
        </w:r>
        <w:r w:rsidR="00D6559C" w:rsidRPr="000E5786">
          <w:rPr>
            <w:noProof/>
          </w:rPr>
          <w:fldChar w:fldCharType="end"/>
        </w:r>
      </w:hyperlink>
    </w:p>
    <w:p w14:paraId="48E4D399" w14:textId="525828F4" w:rsidR="00D6559C" w:rsidRPr="000E5786" w:rsidRDefault="00000000" w:rsidP="00B52BF5">
      <w:pPr>
        <w:pStyle w:val="TOC1"/>
        <w:rPr>
          <w:rFonts w:eastAsiaTheme="minorEastAsia"/>
          <w:noProof/>
          <w:color w:val="auto"/>
        </w:rPr>
      </w:pPr>
      <w:hyperlink w:anchor="_Toc71198964" w:history="1">
        <w:r w:rsidR="00D6559C" w:rsidRPr="000E5786">
          <w:rPr>
            <w:rStyle w:val="Hyperlink"/>
            <w:rFonts w:cs="Arial"/>
            <w:noProof/>
            <w:szCs w:val="20"/>
          </w:rPr>
          <w:t>40.</w:t>
        </w:r>
        <w:r w:rsidR="00D6559C" w:rsidRPr="000E5786">
          <w:rPr>
            <w:rFonts w:eastAsiaTheme="minorEastAsia"/>
            <w:noProof/>
            <w:color w:val="auto"/>
          </w:rPr>
          <w:tab/>
        </w:r>
        <w:r w:rsidR="00D6559C" w:rsidRPr="000E5786">
          <w:rPr>
            <w:rStyle w:val="Hyperlink"/>
            <w:rFonts w:cs="Arial"/>
            <w:noProof/>
            <w:szCs w:val="20"/>
          </w:rPr>
          <w:t>ASSIGNMENT AND NOVATION</w:t>
        </w:r>
        <w:r w:rsidR="00D6559C" w:rsidRPr="000E5786">
          <w:rPr>
            <w:noProof/>
          </w:rPr>
          <w:tab/>
        </w:r>
        <w:r w:rsidR="00D6559C" w:rsidRPr="000E5786">
          <w:rPr>
            <w:noProof/>
          </w:rPr>
          <w:fldChar w:fldCharType="begin"/>
        </w:r>
        <w:r w:rsidR="00D6559C" w:rsidRPr="000E5786">
          <w:rPr>
            <w:noProof/>
          </w:rPr>
          <w:instrText xml:space="preserve"> PAGEREF _Toc71198964 \h </w:instrText>
        </w:r>
        <w:r w:rsidR="00D6559C" w:rsidRPr="000E5786">
          <w:rPr>
            <w:noProof/>
          </w:rPr>
        </w:r>
        <w:r w:rsidR="00D6559C" w:rsidRPr="000E5786">
          <w:rPr>
            <w:noProof/>
          </w:rPr>
          <w:fldChar w:fldCharType="separate"/>
        </w:r>
        <w:r w:rsidR="007B5E2E">
          <w:rPr>
            <w:noProof/>
          </w:rPr>
          <w:t>56</w:t>
        </w:r>
        <w:r w:rsidR="00D6559C" w:rsidRPr="000E5786">
          <w:rPr>
            <w:noProof/>
          </w:rPr>
          <w:fldChar w:fldCharType="end"/>
        </w:r>
      </w:hyperlink>
    </w:p>
    <w:p w14:paraId="0D9671A5" w14:textId="1B27EAFD" w:rsidR="00D6559C" w:rsidRPr="000E5786" w:rsidRDefault="00000000" w:rsidP="00B52BF5">
      <w:pPr>
        <w:pStyle w:val="TOC1"/>
        <w:rPr>
          <w:rFonts w:eastAsiaTheme="minorEastAsia"/>
          <w:noProof/>
          <w:color w:val="auto"/>
        </w:rPr>
      </w:pPr>
      <w:hyperlink w:anchor="_Toc71198965" w:history="1">
        <w:r w:rsidR="00D6559C" w:rsidRPr="000E5786">
          <w:rPr>
            <w:rStyle w:val="Hyperlink"/>
            <w:rFonts w:cs="Arial"/>
            <w:noProof/>
            <w:szCs w:val="20"/>
          </w:rPr>
          <w:t>41.</w:t>
        </w:r>
        <w:r w:rsidR="00D6559C" w:rsidRPr="000E5786">
          <w:rPr>
            <w:rFonts w:eastAsiaTheme="minorEastAsia"/>
            <w:noProof/>
            <w:color w:val="auto"/>
          </w:rPr>
          <w:tab/>
        </w:r>
        <w:r w:rsidR="00D6559C" w:rsidRPr="000E5786">
          <w:rPr>
            <w:rStyle w:val="Hyperlink"/>
            <w:rFonts w:cs="Arial"/>
            <w:noProof/>
            <w:szCs w:val="20"/>
          </w:rPr>
          <w:t>WAIVER AND CUMULATIVE REMEDIES</w:t>
        </w:r>
        <w:r w:rsidR="00D6559C" w:rsidRPr="000E5786">
          <w:rPr>
            <w:noProof/>
          </w:rPr>
          <w:tab/>
        </w:r>
        <w:r w:rsidR="00D6559C" w:rsidRPr="000E5786">
          <w:rPr>
            <w:noProof/>
          </w:rPr>
          <w:fldChar w:fldCharType="begin"/>
        </w:r>
        <w:r w:rsidR="00D6559C" w:rsidRPr="000E5786">
          <w:rPr>
            <w:noProof/>
          </w:rPr>
          <w:instrText xml:space="preserve"> PAGEREF _Toc71198965 \h </w:instrText>
        </w:r>
        <w:r w:rsidR="00D6559C" w:rsidRPr="000E5786">
          <w:rPr>
            <w:noProof/>
          </w:rPr>
        </w:r>
        <w:r w:rsidR="00D6559C" w:rsidRPr="000E5786">
          <w:rPr>
            <w:noProof/>
          </w:rPr>
          <w:fldChar w:fldCharType="separate"/>
        </w:r>
        <w:r w:rsidR="007B5E2E">
          <w:rPr>
            <w:noProof/>
          </w:rPr>
          <w:t>57</w:t>
        </w:r>
        <w:r w:rsidR="00D6559C" w:rsidRPr="000E5786">
          <w:rPr>
            <w:noProof/>
          </w:rPr>
          <w:fldChar w:fldCharType="end"/>
        </w:r>
      </w:hyperlink>
    </w:p>
    <w:p w14:paraId="5F929158" w14:textId="656EB749" w:rsidR="00D6559C" w:rsidRPr="000E5786" w:rsidRDefault="00000000" w:rsidP="00B52BF5">
      <w:pPr>
        <w:pStyle w:val="TOC1"/>
        <w:rPr>
          <w:rFonts w:eastAsiaTheme="minorEastAsia"/>
          <w:noProof/>
          <w:color w:val="auto"/>
        </w:rPr>
      </w:pPr>
      <w:hyperlink w:anchor="_Toc71198966" w:history="1">
        <w:r w:rsidR="00D6559C" w:rsidRPr="000E5786">
          <w:rPr>
            <w:rStyle w:val="Hyperlink"/>
            <w:rFonts w:cs="Arial"/>
            <w:noProof/>
            <w:szCs w:val="20"/>
          </w:rPr>
          <w:t>42.</w:t>
        </w:r>
        <w:r w:rsidR="00D6559C" w:rsidRPr="000E5786">
          <w:rPr>
            <w:rFonts w:eastAsiaTheme="minorEastAsia"/>
            <w:noProof/>
            <w:color w:val="auto"/>
          </w:rPr>
          <w:tab/>
        </w:r>
        <w:r w:rsidR="00D6559C" w:rsidRPr="000E5786">
          <w:rPr>
            <w:rStyle w:val="Hyperlink"/>
            <w:rFonts w:cs="Arial"/>
            <w:noProof/>
            <w:szCs w:val="20"/>
          </w:rPr>
          <w:t>RELATIONSHIP OF THE PARTIES</w:t>
        </w:r>
        <w:r w:rsidR="00D6559C" w:rsidRPr="000E5786">
          <w:rPr>
            <w:noProof/>
          </w:rPr>
          <w:tab/>
        </w:r>
        <w:r w:rsidR="00D6559C" w:rsidRPr="000E5786">
          <w:rPr>
            <w:noProof/>
          </w:rPr>
          <w:fldChar w:fldCharType="begin"/>
        </w:r>
        <w:r w:rsidR="00D6559C" w:rsidRPr="000E5786">
          <w:rPr>
            <w:noProof/>
          </w:rPr>
          <w:instrText xml:space="preserve"> PAGEREF _Toc71198966 \h </w:instrText>
        </w:r>
        <w:r w:rsidR="00D6559C" w:rsidRPr="000E5786">
          <w:rPr>
            <w:noProof/>
          </w:rPr>
        </w:r>
        <w:r w:rsidR="00D6559C" w:rsidRPr="000E5786">
          <w:rPr>
            <w:noProof/>
          </w:rPr>
          <w:fldChar w:fldCharType="separate"/>
        </w:r>
        <w:r w:rsidR="007B5E2E">
          <w:rPr>
            <w:noProof/>
          </w:rPr>
          <w:t>57</w:t>
        </w:r>
        <w:r w:rsidR="00D6559C" w:rsidRPr="000E5786">
          <w:rPr>
            <w:noProof/>
          </w:rPr>
          <w:fldChar w:fldCharType="end"/>
        </w:r>
      </w:hyperlink>
    </w:p>
    <w:p w14:paraId="14DEC4F9" w14:textId="637A6161" w:rsidR="00D6559C" w:rsidRPr="000E5786" w:rsidRDefault="00000000" w:rsidP="00B52BF5">
      <w:pPr>
        <w:pStyle w:val="TOC1"/>
        <w:rPr>
          <w:rFonts w:eastAsiaTheme="minorEastAsia"/>
          <w:noProof/>
          <w:color w:val="auto"/>
        </w:rPr>
      </w:pPr>
      <w:hyperlink w:anchor="_Toc71198967" w:history="1">
        <w:r w:rsidR="00D6559C" w:rsidRPr="000E5786">
          <w:rPr>
            <w:rStyle w:val="Hyperlink"/>
            <w:rFonts w:cs="Arial"/>
            <w:noProof/>
            <w:szCs w:val="20"/>
          </w:rPr>
          <w:t>43.</w:t>
        </w:r>
        <w:r w:rsidR="00D6559C" w:rsidRPr="000E5786">
          <w:rPr>
            <w:rFonts w:eastAsiaTheme="minorEastAsia"/>
            <w:noProof/>
            <w:color w:val="auto"/>
          </w:rPr>
          <w:tab/>
        </w:r>
        <w:r w:rsidR="00D6559C" w:rsidRPr="000E5786">
          <w:rPr>
            <w:rStyle w:val="Hyperlink"/>
            <w:rFonts w:cs="Arial"/>
            <w:noProof/>
            <w:szCs w:val="20"/>
          </w:rPr>
          <w:t>PREVENTION OF FRAUD AND BRIBERY</w:t>
        </w:r>
        <w:r w:rsidR="00D6559C" w:rsidRPr="000E5786">
          <w:rPr>
            <w:noProof/>
          </w:rPr>
          <w:tab/>
        </w:r>
        <w:r w:rsidR="00D6559C" w:rsidRPr="000E5786">
          <w:rPr>
            <w:noProof/>
          </w:rPr>
          <w:fldChar w:fldCharType="begin"/>
        </w:r>
        <w:r w:rsidR="00D6559C" w:rsidRPr="000E5786">
          <w:rPr>
            <w:noProof/>
          </w:rPr>
          <w:instrText xml:space="preserve"> PAGEREF _Toc71198967 \h </w:instrText>
        </w:r>
        <w:r w:rsidR="00D6559C" w:rsidRPr="000E5786">
          <w:rPr>
            <w:noProof/>
          </w:rPr>
        </w:r>
        <w:r w:rsidR="00D6559C" w:rsidRPr="000E5786">
          <w:rPr>
            <w:noProof/>
          </w:rPr>
          <w:fldChar w:fldCharType="separate"/>
        </w:r>
        <w:r w:rsidR="007B5E2E">
          <w:rPr>
            <w:noProof/>
          </w:rPr>
          <w:t>57</w:t>
        </w:r>
        <w:r w:rsidR="00D6559C" w:rsidRPr="000E5786">
          <w:rPr>
            <w:noProof/>
          </w:rPr>
          <w:fldChar w:fldCharType="end"/>
        </w:r>
      </w:hyperlink>
    </w:p>
    <w:p w14:paraId="41373C6E" w14:textId="68F6BBB9" w:rsidR="00D6559C" w:rsidRPr="000E5786" w:rsidRDefault="00000000" w:rsidP="00B52BF5">
      <w:pPr>
        <w:pStyle w:val="TOC1"/>
        <w:rPr>
          <w:rFonts w:eastAsiaTheme="minorEastAsia"/>
          <w:noProof/>
          <w:color w:val="auto"/>
        </w:rPr>
      </w:pPr>
      <w:hyperlink w:anchor="_Toc71198968" w:history="1">
        <w:r w:rsidR="00D6559C" w:rsidRPr="000E5786">
          <w:rPr>
            <w:rStyle w:val="Hyperlink"/>
            <w:rFonts w:cs="Arial"/>
            <w:noProof/>
            <w:szCs w:val="20"/>
          </w:rPr>
          <w:t>44.</w:t>
        </w:r>
        <w:r w:rsidR="00D6559C" w:rsidRPr="000E5786">
          <w:rPr>
            <w:rFonts w:eastAsiaTheme="minorEastAsia"/>
            <w:noProof/>
            <w:color w:val="auto"/>
          </w:rPr>
          <w:tab/>
        </w:r>
        <w:r w:rsidR="00D6559C" w:rsidRPr="000E5786">
          <w:rPr>
            <w:rStyle w:val="Hyperlink"/>
            <w:rFonts w:cs="Arial"/>
            <w:noProof/>
            <w:szCs w:val="20"/>
          </w:rPr>
          <w:t>SEVERANCE</w:t>
        </w:r>
        <w:r w:rsidR="00D6559C" w:rsidRPr="000E5786">
          <w:rPr>
            <w:noProof/>
          </w:rPr>
          <w:tab/>
        </w:r>
        <w:r w:rsidR="00D6559C" w:rsidRPr="000E5786">
          <w:rPr>
            <w:noProof/>
          </w:rPr>
          <w:fldChar w:fldCharType="begin"/>
        </w:r>
        <w:r w:rsidR="00D6559C" w:rsidRPr="000E5786">
          <w:rPr>
            <w:noProof/>
          </w:rPr>
          <w:instrText xml:space="preserve"> PAGEREF _Toc71198968 \h </w:instrText>
        </w:r>
        <w:r w:rsidR="00D6559C" w:rsidRPr="000E5786">
          <w:rPr>
            <w:noProof/>
          </w:rPr>
        </w:r>
        <w:r w:rsidR="00D6559C" w:rsidRPr="000E5786">
          <w:rPr>
            <w:noProof/>
          </w:rPr>
          <w:fldChar w:fldCharType="separate"/>
        </w:r>
        <w:r w:rsidR="007B5E2E">
          <w:rPr>
            <w:noProof/>
          </w:rPr>
          <w:t>59</w:t>
        </w:r>
        <w:r w:rsidR="00D6559C" w:rsidRPr="000E5786">
          <w:rPr>
            <w:noProof/>
          </w:rPr>
          <w:fldChar w:fldCharType="end"/>
        </w:r>
      </w:hyperlink>
    </w:p>
    <w:p w14:paraId="7F1615BC" w14:textId="5C8CA137" w:rsidR="00D6559C" w:rsidRPr="000E5786" w:rsidRDefault="00000000" w:rsidP="00B52BF5">
      <w:pPr>
        <w:pStyle w:val="TOC1"/>
        <w:rPr>
          <w:rFonts w:eastAsiaTheme="minorEastAsia"/>
          <w:noProof/>
          <w:color w:val="auto"/>
        </w:rPr>
      </w:pPr>
      <w:hyperlink w:anchor="_Toc71198969" w:history="1">
        <w:r w:rsidR="00D6559C" w:rsidRPr="000E5786">
          <w:rPr>
            <w:rStyle w:val="Hyperlink"/>
            <w:rFonts w:cs="Arial"/>
            <w:noProof/>
            <w:szCs w:val="20"/>
          </w:rPr>
          <w:t>45.</w:t>
        </w:r>
        <w:r w:rsidR="00D6559C" w:rsidRPr="000E5786">
          <w:rPr>
            <w:rFonts w:eastAsiaTheme="minorEastAsia"/>
            <w:noProof/>
            <w:color w:val="auto"/>
          </w:rPr>
          <w:tab/>
        </w:r>
        <w:r w:rsidR="00D6559C" w:rsidRPr="000E5786">
          <w:rPr>
            <w:rStyle w:val="Hyperlink"/>
            <w:rFonts w:cs="Arial"/>
            <w:noProof/>
            <w:szCs w:val="20"/>
          </w:rPr>
          <w:t>FURTHER ASSURANCES</w:t>
        </w:r>
        <w:r w:rsidR="00D6559C" w:rsidRPr="000E5786">
          <w:rPr>
            <w:noProof/>
          </w:rPr>
          <w:tab/>
        </w:r>
        <w:r w:rsidR="00D6559C" w:rsidRPr="000E5786">
          <w:rPr>
            <w:noProof/>
          </w:rPr>
          <w:fldChar w:fldCharType="begin"/>
        </w:r>
        <w:r w:rsidR="00D6559C" w:rsidRPr="000E5786">
          <w:rPr>
            <w:noProof/>
          </w:rPr>
          <w:instrText xml:space="preserve"> PAGEREF _Toc71198969 \h </w:instrText>
        </w:r>
        <w:r w:rsidR="00D6559C" w:rsidRPr="000E5786">
          <w:rPr>
            <w:noProof/>
          </w:rPr>
        </w:r>
        <w:r w:rsidR="00D6559C" w:rsidRPr="000E5786">
          <w:rPr>
            <w:noProof/>
          </w:rPr>
          <w:fldChar w:fldCharType="separate"/>
        </w:r>
        <w:r w:rsidR="007B5E2E">
          <w:rPr>
            <w:noProof/>
          </w:rPr>
          <w:t>59</w:t>
        </w:r>
        <w:r w:rsidR="00D6559C" w:rsidRPr="000E5786">
          <w:rPr>
            <w:noProof/>
          </w:rPr>
          <w:fldChar w:fldCharType="end"/>
        </w:r>
      </w:hyperlink>
    </w:p>
    <w:p w14:paraId="0D4CBBF8" w14:textId="1A11A23C" w:rsidR="00D6559C" w:rsidRPr="000E5786" w:rsidRDefault="00000000" w:rsidP="00B52BF5">
      <w:pPr>
        <w:pStyle w:val="TOC1"/>
        <w:rPr>
          <w:rFonts w:eastAsiaTheme="minorEastAsia"/>
          <w:noProof/>
          <w:color w:val="auto"/>
        </w:rPr>
      </w:pPr>
      <w:hyperlink w:anchor="_Toc71198970" w:history="1">
        <w:r w:rsidR="00D6559C" w:rsidRPr="000E5786">
          <w:rPr>
            <w:rStyle w:val="Hyperlink"/>
            <w:rFonts w:cs="Arial"/>
            <w:noProof/>
            <w:szCs w:val="20"/>
          </w:rPr>
          <w:t>46.</w:t>
        </w:r>
        <w:r w:rsidR="00D6559C" w:rsidRPr="000E5786">
          <w:rPr>
            <w:rFonts w:eastAsiaTheme="minorEastAsia"/>
            <w:noProof/>
            <w:color w:val="auto"/>
          </w:rPr>
          <w:tab/>
        </w:r>
        <w:r w:rsidR="00D6559C" w:rsidRPr="000E5786">
          <w:rPr>
            <w:rStyle w:val="Hyperlink"/>
            <w:rFonts w:cs="Arial"/>
            <w:noProof/>
            <w:szCs w:val="20"/>
          </w:rPr>
          <w:t>ENTIRE AGREEMENT</w:t>
        </w:r>
        <w:r w:rsidR="00D6559C" w:rsidRPr="000E5786">
          <w:rPr>
            <w:noProof/>
          </w:rPr>
          <w:tab/>
        </w:r>
        <w:r w:rsidR="00D6559C" w:rsidRPr="000E5786">
          <w:rPr>
            <w:noProof/>
          </w:rPr>
          <w:fldChar w:fldCharType="begin"/>
        </w:r>
        <w:r w:rsidR="00D6559C" w:rsidRPr="000E5786">
          <w:rPr>
            <w:noProof/>
          </w:rPr>
          <w:instrText xml:space="preserve"> PAGEREF _Toc71198970 \h </w:instrText>
        </w:r>
        <w:r w:rsidR="00D6559C" w:rsidRPr="000E5786">
          <w:rPr>
            <w:noProof/>
          </w:rPr>
        </w:r>
        <w:r w:rsidR="00D6559C" w:rsidRPr="000E5786">
          <w:rPr>
            <w:noProof/>
          </w:rPr>
          <w:fldChar w:fldCharType="separate"/>
        </w:r>
        <w:r w:rsidR="007B5E2E">
          <w:rPr>
            <w:noProof/>
          </w:rPr>
          <w:t>59</w:t>
        </w:r>
        <w:r w:rsidR="00D6559C" w:rsidRPr="000E5786">
          <w:rPr>
            <w:noProof/>
          </w:rPr>
          <w:fldChar w:fldCharType="end"/>
        </w:r>
      </w:hyperlink>
    </w:p>
    <w:p w14:paraId="53D3D782" w14:textId="318996D0" w:rsidR="00D6559C" w:rsidRPr="000E5786" w:rsidRDefault="00000000" w:rsidP="00B52BF5">
      <w:pPr>
        <w:pStyle w:val="TOC1"/>
        <w:rPr>
          <w:rFonts w:eastAsiaTheme="minorEastAsia"/>
          <w:noProof/>
          <w:color w:val="auto"/>
        </w:rPr>
      </w:pPr>
      <w:hyperlink w:anchor="_Toc71198971" w:history="1">
        <w:r w:rsidR="00D6559C" w:rsidRPr="000E5786">
          <w:rPr>
            <w:rStyle w:val="Hyperlink"/>
            <w:rFonts w:cs="Arial"/>
            <w:noProof/>
            <w:szCs w:val="20"/>
          </w:rPr>
          <w:t>47.</w:t>
        </w:r>
        <w:r w:rsidR="00D6559C" w:rsidRPr="000E5786">
          <w:rPr>
            <w:rFonts w:eastAsiaTheme="minorEastAsia"/>
            <w:noProof/>
            <w:color w:val="auto"/>
          </w:rPr>
          <w:tab/>
        </w:r>
        <w:r w:rsidR="00D6559C" w:rsidRPr="000E5786">
          <w:rPr>
            <w:rStyle w:val="Hyperlink"/>
            <w:rFonts w:cs="Arial"/>
            <w:noProof/>
            <w:szCs w:val="20"/>
          </w:rPr>
          <w:t>THIRD PARTY RIGHTS</w:t>
        </w:r>
        <w:r w:rsidR="00D6559C" w:rsidRPr="000E5786">
          <w:rPr>
            <w:noProof/>
          </w:rPr>
          <w:tab/>
        </w:r>
        <w:r w:rsidR="00D6559C" w:rsidRPr="000E5786">
          <w:rPr>
            <w:noProof/>
          </w:rPr>
          <w:fldChar w:fldCharType="begin"/>
        </w:r>
        <w:r w:rsidR="00D6559C" w:rsidRPr="000E5786">
          <w:rPr>
            <w:noProof/>
          </w:rPr>
          <w:instrText xml:space="preserve"> PAGEREF _Toc71198971 \h </w:instrText>
        </w:r>
        <w:r w:rsidR="00D6559C" w:rsidRPr="000E5786">
          <w:rPr>
            <w:noProof/>
          </w:rPr>
        </w:r>
        <w:r w:rsidR="00D6559C" w:rsidRPr="000E5786">
          <w:rPr>
            <w:noProof/>
          </w:rPr>
          <w:fldChar w:fldCharType="separate"/>
        </w:r>
        <w:r w:rsidR="007B5E2E">
          <w:rPr>
            <w:noProof/>
          </w:rPr>
          <w:t>59</w:t>
        </w:r>
        <w:r w:rsidR="00D6559C" w:rsidRPr="000E5786">
          <w:rPr>
            <w:noProof/>
          </w:rPr>
          <w:fldChar w:fldCharType="end"/>
        </w:r>
      </w:hyperlink>
    </w:p>
    <w:p w14:paraId="00FF7BD5" w14:textId="066B7A30" w:rsidR="00D6559C" w:rsidRPr="000E5786" w:rsidRDefault="00000000" w:rsidP="00B52BF5">
      <w:pPr>
        <w:pStyle w:val="TOC1"/>
        <w:rPr>
          <w:rFonts w:eastAsiaTheme="minorEastAsia"/>
          <w:noProof/>
          <w:color w:val="auto"/>
        </w:rPr>
      </w:pPr>
      <w:hyperlink w:anchor="_Toc71198972" w:history="1">
        <w:r w:rsidR="00D6559C" w:rsidRPr="000E5786">
          <w:rPr>
            <w:rStyle w:val="Hyperlink"/>
            <w:rFonts w:cs="Arial"/>
            <w:noProof/>
            <w:szCs w:val="20"/>
          </w:rPr>
          <w:t>48.</w:t>
        </w:r>
        <w:r w:rsidR="00D6559C" w:rsidRPr="000E5786">
          <w:rPr>
            <w:rFonts w:eastAsiaTheme="minorEastAsia"/>
            <w:noProof/>
            <w:color w:val="auto"/>
          </w:rPr>
          <w:tab/>
        </w:r>
        <w:r w:rsidR="00D6559C" w:rsidRPr="000E5786">
          <w:rPr>
            <w:rStyle w:val="Hyperlink"/>
            <w:rFonts w:cs="Arial"/>
            <w:noProof/>
            <w:szCs w:val="20"/>
          </w:rPr>
          <w:t>NOTICES</w:t>
        </w:r>
        <w:r w:rsidR="00D6559C" w:rsidRPr="000E5786">
          <w:rPr>
            <w:noProof/>
          </w:rPr>
          <w:tab/>
        </w:r>
        <w:r w:rsidR="00D6559C" w:rsidRPr="000E5786">
          <w:rPr>
            <w:noProof/>
          </w:rPr>
          <w:fldChar w:fldCharType="begin"/>
        </w:r>
        <w:r w:rsidR="00D6559C" w:rsidRPr="000E5786">
          <w:rPr>
            <w:noProof/>
          </w:rPr>
          <w:instrText xml:space="preserve"> PAGEREF _Toc71198972 \h </w:instrText>
        </w:r>
        <w:r w:rsidR="00D6559C" w:rsidRPr="000E5786">
          <w:rPr>
            <w:noProof/>
          </w:rPr>
        </w:r>
        <w:r w:rsidR="00D6559C" w:rsidRPr="000E5786">
          <w:rPr>
            <w:noProof/>
          </w:rPr>
          <w:fldChar w:fldCharType="separate"/>
        </w:r>
        <w:r w:rsidR="007B5E2E">
          <w:rPr>
            <w:noProof/>
          </w:rPr>
          <w:t>60</w:t>
        </w:r>
        <w:r w:rsidR="00D6559C" w:rsidRPr="000E5786">
          <w:rPr>
            <w:noProof/>
          </w:rPr>
          <w:fldChar w:fldCharType="end"/>
        </w:r>
      </w:hyperlink>
    </w:p>
    <w:p w14:paraId="643E598B" w14:textId="643B47FF" w:rsidR="00D6559C" w:rsidRPr="000E5786" w:rsidRDefault="00000000" w:rsidP="00B52BF5">
      <w:pPr>
        <w:pStyle w:val="TOC1"/>
        <w:rPr>
          <w:rFonts w:eastAsiaTheme="minorEastAsia"/>
          <w:noProof/>
          <w:color w:val="auto"/>
        </w:rPr>
      </w:pPr>
      <w:hyperlink w:anchor="_Toc71198973" w:history="1">
        <w:r w:rsidR="00D6559C" w:rsidRPr="000E5786">
          <w:rPr>
            <w:rStyle w:val="Hyperlink"/>
            <w:rFonts w:cs="Arial"/>
            <w:noProof/>
            <w:szCs w:val="20"/>
          </w:rPr>
          <w:t>49.</w:t>
        </w:r>
        <w:r w:rsidR="00D6559C" w:rsidRPr="000E5786">
          <w:rPr>
            <w:rFonts w:eastAsiaTheme="minorEastAsia"/>
            <w:noProof/>
            <w:color w:val="auto"/>
          </w:rPr>
          <w:tab/>
        </w:r>
        <w:r w:rsidR="00D6559C" w:rsidRPr="000E5786">
          <w:rPr>
            <w:rStyle w:val="Hyperlink"/>
            <w:rFonts w:cs="Arial"/>
            <w:noProof/>
            <w:szCs w:val="20"/>
          </w:rPr>
          <w:t>DISPUTES</w:t>
        </w:r>
        <w:r w:rsidR="00D6559C" w:rsidRPr="000E5786">
          <w:rPr>
            <w:noProof/>
          </w:rPr>
          <w:tab/>
        </w:r>
        <w:r w:rsidR="00D6559C" w:rsidRPr="000E5786">
          <w:rPr>
            <w:noProof/>
          </w:rPr>
          <w:fldChar w:fldCharType="begin"/>
        </w:r>
        <w:r w:rsidR="00D6559C" w:rsidRPr="000E5786">
          <w:rPr>
            <w:noProof/>
          </w:rPr>
          <w:instrText xml:space="preserve"> PAGEREF _Toc71198973 \h </w:instrText>
        </w:r>
        <w:r w:rsidR="00D6559C" w:rsidRPr="000E5786">
          <w:rPr>
            <w:noProof/>
          </w:rPr>
        </w:r>
        <w:r w:rsidR="00D6559C" w:rsidRPr="000E5786">
          <w:rPr>
            <w:noProof/>
          </w:rPr>
          <w:fldChar w:fldCharType="separate"/>
        </w:r>
        <w:r w:rsidR="007B5E2E">
          <w:rPr>
            <w:noProof/>
          </w:rPr>
          <w:t>61</w:t>
        </w:r>
        <w:r w:rsidR="00D6559C" w:rsidRPr="000E5786">
          <w:rPr>
            <w:noProof/>
          </w:rPr>
          <w:fldChar w:fldCharType="end"/>
        </w:r>
      </w:hyperlink>
    </w:p>
    <w:p w14:paraId="46FE080F" w14:textId="5145E331" w:rsidR="00D6559C" w:rsidRPr="000E5786" w:rsidRDefault="00000000" w:rsidP="00B52BF5">
      <w:pPr>
        <w:pStyle w:val="TOC1"/>
        <w:rPr>
          <w:rFonts w:eastAsiaTheme="minorEastAsia"/>
          <w:noProof/>
          <w:color w:val="auto"/>
        </w:rPr>
      </w:pPr>
      <w:hyperlink w:anchor="_Toc71198974" w:history="1">
        <w:r w:rsidR="00D6559C" w:rsidRPr="000E5786">
          <w:rPr>
            <w:rStyle w:val="Hyperlink"/>
            <w:rFonts w:cs="Arial"/>
            <w:noProof/>
            <w:szCs w:val="20"/>
          </w:rPr>
          <w:t>50.</w:t>
        </w:r>
        <w:r w:rsidR="00D6559C" w:rsidRPr="000E5786">
          <w:rPr>
            <w:rFonts w:eastAsiaTheme="minorEastAsia"/>
            <w:noProof/>
            <w:color w:val="auto"/>
          </w:rPr>
          <w:tab/>
        </w:r>
        <w:r w:rsidR="00D6559C" w:rsidRPr="000E5786">
          <w:rPr>
            <w:rStyle w:val="Hyperlink"/>
            <w:rFonts w:cs="Arial"/>
            <w:noProof/>
            <w:szCs w:val="20"/>
          </w:rPr>
          <w:t>GOVERNING LAW AND JURISDICTION</w:t>
        </w:r>
        <w:r w:rsidR="00D6559C" w:rsidRPr="000E5786">
          <w:rPr>
            <w:noProof/>
          </w:rPr>
          <w:tab/>
        </w:r>
        <w:r w:rsidR="00D6559C" w:rsidRPr="000E5786">
          <w:rPr>
            <w:noProof/>
          </w:rPr>
          <w:fldChar w:fldCharType="begin"/>
        </w:r>
        <w:r w:rsidR="00D6559C" w:rsidRPr="000E5786">
          <w:rPr>
            <w:noProof/>
          </w:rPr>
          <w:instrText xml:space="preserve"> PAGEREF _Toc71198974 \h </w:instrText>
        </w:r>
        <w:r w:rsidR="00D6559C" w:rsidRPr="000E5786">
          <w:rPr>
            <w:noProof/>
          </w:rPr>
        </w:r>
        <w:r w:rsidR="00D6559C" w:rsidRPr="000E5786">
          <w:rPr>
            <w:noProof/>
          </w:rPr>
          <w:fldChar w:fldCharType="separate"/>
        </w:r>
        <w:r w:rsidR="007B5E2E">
          <w:rPr>
            <w:noProof/>
          </w:rPr>
          <w:t>61</w:t>
        </w:r>
        <w:r w:rsidR="00D6559C" w:rsidRPr="000E5786">
          <w:rPr>
            <w:noProof/>
          </w:rPr>
          <w:fldChar w:fldCharType="end"/>
        </w:r>
      </w:hyperlink>
    </w:p>
    <w:p w14:paraId="1A87EF3C" w14:textId="0129BBAD" w:rsidR="00D6559C" w:rsidRPr="000E5786" w:rsidRDefault="00000000" w:rsidP="00B52BF5">
      <w:pPr>
        <w:pStyle w:val="TOC1"/>
        <w:rPr>
          <w:rFonts w:eastAsiaTheme="minorEastAsia"/>
          <w:noProof/>
          <w:color w:val="auto"/>
        </w:rPr>
      </w:pPr>
      <w:hyperlink w:anchor="_Toc71198975" w:history="1">
        <w:r w:rsidR="00D6559C" w:rsidRPr="000E5786">
          <w:rPr>
            <w:rStyle w:val="Hyperlink"/>
            <w:rFonts w:cs="Arial"/>
            <w:noProof/>
            <w:szCs w:val="20"/>
          </w:rPr>
          <w:t>51.</w:t>
        </w:r>
        <w:r w:rsidR="00D6559C" w:rsidRPr="000E5786">
          <w:rPr>
            <w:rFonts w:eastAsiaTheme="minorEastAsia"/>
            <w:noProof/>
            <w:color w:val="auto"/>
          </w:rPr>
          <w:tab/>
        </w:r>
        <w:r w:rsidR="00D6559C" w:rsidRPr="000E5786">
          <w:rPr>
            <w:rStyle w:val="Hyperlink"/>
            <w:rFonts w:cs="Arial"/>
            <w:noProof/>
            <w:szCs w:val="20"/>
          </w:rPr>
          <w:t>COUNTERPARTS/DUPLICATES</w:t>
        </w:r>
        <w:r w:rsidR="00D6559C" w:rsidRPr="000E5786">
          <w:rPr>
            <w:noProof/>
          </w:rPr>
          <w:tab/>
        </w:r>
        <w:r w:rsidR="00D6559C" w:rsidRPr="000E5786">
          <w:rPr>
            <w:noProof/>
          </w:rPr>
          <w:fldChar w:fldCharType="begin"/>
        </w:r>
        <w:r w:rsidR="00D6559C" w:rsidRPr="000E5786">
          <w:rPr>
            <w:noProof/>
          </w:rPr>
          <w:instrText xml:space="preserve"> PAGEREF _Toc71198975 \h </w:instrText>
        </w:r>
        <w:r w:rsidR="00D6559C" w:rsidRPr="000E5786">
          <w:rPr>
            <w:noProof/>
          </w:rPr>
        </w:r>
        <w:r w:rsidR="00D6559C" w:rsidRPr="000E5786">
          <w:rPr>
            <w:noProof/>
          </w:rPr>
          <w:fldChar w:fldCharType="separate"/>
        </w:r>
        <w:r w:rsidR="007B5E2E">
          <w:rPr>
            <w:noProof/>
          </w:rPr>
          <w:t>62</w:t>
        </w:r>
        <w:r w:rsidR="00D6559C" w:rsidRPr="000E5786">
          <w:rPr>
            <w:noProof/>
          </w:rPr>
          <w:fldChar w:fldCharType="end"/>
        </w:r>
      </w:hyperlink>
    </w:p>
    <w:p w14:paraId="6BF184B8" w14:textId="39118C67" w:rsidR="00D6559C" w:rsidRPr="000E5786" w:rsidRDefault="00000000" w:rsidP="00B52BF5">
      <w:pPr>
        <w:pStyle w:val="TOC1"/>
        <w:rPr>
          <w:rFonts w:eastAsiaTheme="minorEastAsia"/>
          <w:noProof/>
          <w:color w:val="auto"/>
        </w:rPr>
      </w:pPr>
      <w:hyperlink w:anchor="_Toc71198976" w:history="1">
        <w:r w:rsidR="00D6559C" w:rsidRPr="000E5786">
          <w:rPr>
            <w:rStyle w:val="Hyperlink"/>
            <w:rFonts w:cs="Arial"/>
            <w:noProof/>
            <w:szCs w:val="20"/>
          </w:rPr>
          <w:t>52.</w:t>
        </w:r>
        <w:r w:rsidR="00D6559C" w:rsidRPr="000E5786">
          <w:rPr>
            <w:rFonts w:eastAsiaTheme="minorEastAsia"/>
            <w:noProof/>
            <w:color w:val="auto"/>
          </w:rPr>
          <w:tab/>
        </w:r>
        <w:r w:rsidR="00D6559C" w:rsidRPr="000E5786">
          <w:rPr>
            <w:rStyle w:val="Hyperlink"/>
            <w:rFonts w:cs="Arial"/>
            <w:noProof/>
            <w:szCs w:val="20"/>
          </w:rPr>
          <w:t>INTERMEDIARIES LEGISLATION</w:t>
        </w:r>
        <w:r w:rsidR="00D6559C" w:rsidRPr="000E5786">
          <w:rPr>
            <w:noProof/>
          </w:rPr>
          <w:tab/>
        </w:r>
        <w:r w:rsidR="00D6559C" w:rsidRPr="000E5786">
          <w:rPr>
            <w:noProof/>
          </w:rPr>
          <w:fldChar w:fldCharType="begin"/>
        </w:r>
        <w:r w:rsidR="00D6559C" w:rsidRPr="000E5786">
          <w:rPr>
            <w:noProof/>
          </w:rPr>
          <w:instrText xml:space="preserve"> PAGEREF _Toc71198976 \h </w:instrText>
        </w:r>
        <w:r w:rsidR="00D6559C" w:rsidRPr="000E5786">
          <w:rPr>
            <w:noProof/>
          </w:rPr>
        </w:r>
        <w:r w:rsidR="00D6559C" w:rsidRPr="000E5786">
          <w:rPr>
            <w:noProof/>
          </w:rPr>
          <w:fldChar w:fldCharType="separate"/>
        </w:r>
        <w:r w:rsidR="007B5E2E">
          <w:rPr>
            <w:noProof/>
          </w:rPr>
          <w:t>62</w:t>
        </w:r>
        <w:r w:rsidR="00D6559C" w:rsidRPr="000E5786">
          <w:rPr>
            <w:noProof/>
          </w:rPr>
          <w:fldChar w:fldCharType="end"/>
        </w:r>
      </w:hyperlink>
    </w:p>
    <w:p w14:paraId="469538E0" w14:textId="566038FC" w:rsidR="00CE5734" w:rsidRPr="007B5E2E" w:rsidRDefault="00AF2B9F" w:rsidP="00DD60F0">
      <w:pPr>
        <w:rPr>
          <w:rFonts w:cs="Arial"/>
          <w:b/>
          <w:bCs/>
          <w:szCs w:val="20"/>
        </w:rPr>
      </w:pPr>
      <w:r w:rsidRPr="000E5786">
        <w:rPr>
          <w:rFonts w:cs="Arial"/>
          <w:szCs w:val="20"/>
        </w:rPr>
        <w:fldChar w:fldCharType="end"/>
      </w:r>
      <w:r w:rsidR="007B5E2E" w:rsidRPr="007B5E2E">
        <w:rPr>
          <w:rFonts w:cs="Arial"/>
          <w:b/>
          <w:bCs/>
          <w:szCs w:val="20"/>
        </w:rPr>
        <w:t>APPENDIX 1 – COLLABORATION AGREEMENT</w:t>
      </w:r>
    </w:p>
    <w:p w14:paraId="16FD6FD2" w14:textId="77777777" w:rsidR="00CE5734" w:rsidRDefault="00CE5734">
      <w:pPr>
        <w:rPr>
          <w:rFonts w:cs="Arial"/>
          <w:szCs w:val="20"/>
        </w:rPr>
      </w:pPr>
      <w:r>
        <w:rPr>
          <w:rFonts w:cs="Arial"/>
          <w:szCs w:val="20"/>
        </w:rPr>
        <w:br w:type="page"/>
      </w:r>
    </w:p>
    <w:p w14:paraId="0E909408" w14:textId="31FE749A" w:rsidR="00D55AF1" w:rsidRPr="000E5786" w:rsidRDefault="00D55AF1" w:rsidP="00DD60F0">
      <w:pPr>
        <w:rPr>
          <w:rFonts w:cs="Arial"/>
          <w:szCs w:val="20"/>
        </w:rPr>
      </w:pPr>
    </w:p>
    <w:tbl>
      <w:tblPr>
        <w:tblStyle w:val="TableGrid0"/>
        <w:tblW w:w="0" w:type="auto"/>
        <w:tblLook w:val="04A0" w:firstRow="1" w:lastRow="0" w:firstColumn="1" w:lastColumn="0" w:noHBand="0" w:noVBand="1"/>
      </w:tblPr>
      <w:tblGrid>
        <w:gridCol w:w="702"/>
        <w:gridCol w:w="7190"/>
        <w:gridCol w:w="1127"/>
      </w:tblGrid>
      <w:tr w:rsidR="006A4941" w:rsidRPr="000E5786" w14:paraId="7E865A39" w14:textId="77777777" w:rsidTr="00CE5734">
        <w:tc>
          <w:tcPr>
            <w:tcW w:w="9061" w:type="dxa"/>
            <w:gridSpan w:val="3"/>
            <w:shd w:val="clear" w:color="auto" w:fill="BFBFBF" w:themeFill="background1" w:themeFillShade="BF"/>
            <w:vAlign w:val="center"/>
          </w:tcPr>
          <w:p w14:paraId="35AE65DB" w14:textId="37490064" w:rsidR="006A4941" w:rsidRPr="000E5786" w:rsidRDefault="006A4941" w:rsidP="00CE5734">
            <w:pPr>
              <w:jc w:val="center"/>
              <w:rPr>
                <w:rFonts w:ascii="Arial" w:hAnsi="Arial" w:cs="Arial"/>
                <w:b/>
                <w:bCs/>
                <w:sz w:val="20"/>
                <w:szCs w:val="20"/>
              </w:rPr>
            </w:pPr>
            <w:r w:rsidRPr="000E5786">
              <w:rPr>
                <w:rFonts w:ascii="Arial" w:hAnsi="Arial" w:cs="Arial"/>
                <w:b/>
                <w:bCs/>
                <w:sz w:val="20"/>
                <w:szCs w:val="20"/>
              </w:rPr>
              <w:t>Schedule</w:t>
            </w:r>
            <w:r w:rsidR="00CE5734">
              <w:rPr>
                <w:rFonts w:ascii="Arial" w:hAnsi="Arial" w:cs="Arial"/>
                <w:b/>
                <w:bCs/>
                <w:sz w:val="20"/>
                <w:szCs w:val="20"/>
              </w:rPr>
              <w:t>s</w:t>
            </w:r>
            <w:r w:rsidRPr="000E5786">
              <w:rPr>
                <w:rFonts w:ascii="Arial" w:hAnsi="Arial" w:cs="Arial"/>
                <w:b/>
                <w:bCs/>
                <w:sz w:val="20"/>
                <w:szCs w:val="20"/>
              </w:rPr>
              <w:t xml:space="preserve"> </w:t>
            </w:r>
          </w:p>
        </w:tc>
      </w:tr>
      <w:tr w:rsidR="00D55AF1" w:rsidRPr="000E5786" w14:paraId="422E6DFF" w14:textId="77777777" w:rsidTr="00CE5734">
        <w:tc>
          <w:tcPr>
            <w:tcW w:w="704" w:type="dxa"/>
            <w:shd w:val="clear" w:color="auto" w:fill="D9D9D9" w:themeFill="background1" w:themeFillShade="D9"/>
          </w:tcPr>
          <w:p w14:paraId="5BABD4BE" w14:textId="56F0437B" w:rsidR="00D55AF1" w:rsidRPr="000E5786" w:rsidRDefault="00D55AF1" w:rsidP="00CE5734">
            <w:pPr>
              <w:rPr>
                <w:rFonts w:ascii="Arial" w:hAnsi="Arial" w:cs="Arial"/>
                <w:b/>
                <w:bCs/>
                <w:sz w:val="20"/>
                <w:szCs w:val="20"/>
              </w:rPr>
            </w:pPr>
            <w:r w:rsidRPr="000E5786">
              <w:rPr>
                <w:rFonts w:ascii="Arial" w:hAnsi="Arial" w:cs="Arial"/>
                <w:b/>
                <w:bCs/>
                <w:sz w:val="20"/>
                <w:szCs w:val="20"/>
              </w:rPr>
              <w:t>No.</w:t>
            </w:r>
          </w:p>
        </w:tc>
        <w:tc>
          <w:tcPr>
            <w:tcW w:w="7229" w:type="dxa"/>
            <w:shd w:val="clear" w:color="auto" w:fill="D9D9D9" w:themeFill="background1" w:themeFillShade="D9"/>
          </w:tcPr>
          <w:p w14:paraId="6A0D66E5" w14:textId="650BEB3A" w:rsidR="00D55AF1" w:rsidRPr="000E5786" w:rsidRDefault="00D55AF1" w:rsidP="00CE5734">
            <w:pPr>
              <w:rPr>
                <w:rFonts w:ascii="Arial" w:hAnsi="Arial" w:cs="Arial"/>
                <w:b/>
                <w:bCs/>
                <w:sz w:val="20"/>
                <w:szCs w:val="20"/>
              </w:rPr>
            </w:pPr>
            <w:r w:rsidRPr="000E5786">
              <w:rPr>
                <w:rFonts w:ascii="Arial" w:hAnsi="Arial" w:cs="Arial"/>
                <w:b/>
                <w:bCs/>
                <w:sz w:val="20"/>
                <w:szCs w:val="20"/>
              </w:rPr>
              <w:t>Name</w:t>
            </w:r>
          </w:p>
        </w:tc>
        <w:tc>
          <w:tcPr>
            <w:tcW w:w="1128" w:type="dxa"/>
            <w:shd w:val="clear" w:color="auto" w:fill="D9D9D9" w:themeFill="background1" w:themeFillShade="D9"/>
          </w:tcPr>
          <w:p w14:paraId="1F315249" w14:textId="3924B94A" w:rsidR="00D55AF1" w:rsidRPr="000E5786" w:rsidRDefault="00D55AF1" w:rsidP="00CE5734">
            <w:pPr>
              <w:rPr>
                <w:rFonts w:ascii="Arial" w:hAnsi="Arial" w:cs="Arial"/>
                <w:b/>
                <w:bCs/>
                <w:sz w:val="20"/>
                <w:szCs w:val="20"/>
              </w:rPr>
            </w:pPr>
            <w:r w:rsidRPr="000E5786">
              <w:rPr>
                <w:rFonts w:ascii="Arial" w:hAnsi="Arial" w:cs="Arial"/>
                <w:b/>
                <w:bCs/>
                <w:sz w:val="20"/>
                <w:szCs w:val="20"/>
              </w:rPr>
              <w:t xml:space="preserve">Page No. </w:t>
            </w:r>
          </w:p>
        </w:tc>
      </w:tr>
      <w:tr w:rsidR="00663A6B" w:rsidRPr="000E5786" w14:paraId="0AC3866D" w14:textId="77777777" w:rsidTr="00FC611C">
        <w:tc>
          <w:tcPr>
            <w:tcW w:w="704" w:type="dxa"/>
          </w:tcPr>
          <w:p w14:paraId="49FC012E" w14:textId="0A08C816" w:rsidR="00663A6B" w:rsidRPr="00663A6B" w:rsidRDefault="00663A6B" w:rsidP="00CE5734">
            <w:pPr>
              <w:rPr>
                <w:rFonts w:ascii="Arial" w:hAnsi="Arial" w:cs="Arial"/>
                <w:sz w:val="20"/>
                <w:szCs w:val="16"/>
              </w:rPr>
            </w:pPr>
            <w:r w:rsidRPr="00663A6B">
              <w:rPr>
                <w:rFonts w:ascii="Arial" w:hAnsi="Arial" w:cs="Arial"/>
                <w:sz w:val="20"/>
                <w:szCs w:val="16"/>
              </w:rPr>
              <w:t>1</w:t>
            </w:r>
          </w:p>
        </w:tc>
        <w:tc>
          <w:tcPr>
            <w:tcW w:w="7229" w:type="dxa"/>
          </w:tcPr>
          <w:p w14:paraId="63C6199A" w14:textId="38CDC7A1" w:rsidR="00663A6B" w:rsidRPr="00663A6B" w:rsidRDefault="00663A6B" w:rsidP="00CE5734">
            <w:pPr>
              <w:rPr>
                <w:rFonts w:ascii="Arial" w:hAnsi="Arial" w:cs="Arial"/>
                <w:sz w:val="20"/>
                <w:szCs w:val="16"/>
              </w:rPr>
            </w:pPr>
            <w:r w:rsidRPr="00663A6B">
              <w:rPr>
                <w:rFonts w:ascii="Arial" w:hAnsi="Arial" w:cs="Arial"/>
                <w:sz w:val="20"/>
                <w:szCs w:val="16"/>
              </w:rPr>
              <w:t>Definitions</w:t>
            </w:r>
          </w:p>
        </w:tc>
        <w:tc>
          <w:tcPr>
            <w:tcW w:w="1128" w:type="dxa"/>
          </w:tcPr>
          <w:p w14:paraId="41D10542" w14:textId="77777777" w:rsidR="00663A6B" w:rsidRPr="00663A6B" w:rsidRDefault="00663A6B" w:rsidP="00CE5734">
            <w:pPr>
              <w:rPr>
                <w:rFonts w:ascii="Arial" w:hAnsi="Arial" w:cs="Arial"/>
                <w:sz w:val="20"/>
                <w:szCs w:val="16"/>
              </w:rPr>
            </w:pPr>
          </w:p>
        </w:tc>
      </w:tr>
      <w:tr w:rsidR="00663A6B" w:rsidRPr="000E5786" w14:paraId="12531A9A" w14:textId="77777777" w:rsidTr="00FC611C">
        <w:tc>
          <w:tcPr>
            <w:tcW w:w="704" w:type="dxa"/>
          </w:tcPr>
          <w:p w14:paraId="47F5EAE5" w14:textId="7A72B203" w:rsidR="00663A6B" w:rsidRPr="00663A6B" w:rsidRDefault="00CE5734" w:rsidP="00CE5734">
            <w:pPr>
              <w:rPr>
                <w:rFonts w:ascii="Arial" w:hAnsi="Arial" w:cs="Arial"/>
                <w:sz w:val="20"/>
                <w:szCs w:val="16"/>
              </w:rPr>
            </w:pPr>
            <w:r>
              <w:rPr>
                <w:rFonts w:ascii="Arial" w:hAnsi="Arial" w:cs="Arial"/>
                <w:sz w:val="20"/>
                <w:szCs w:val="16"/>
              </w:rPr>
              <w:t>2.1</w:t>
            </w:r>
          </w:p>
        </w:tc>
        <w:tc>
          <w:tcPr>
            <w:tcW w:w="7229" w:type="dxa"/>
          </w:tcPr>
          <w:p w14:paraId="40413652" w14:textId="480DFCA1" w:rsidR="00663A6B" w:rsidRPr="00663A6B" w:rsidRDefault="00CE5734" w:rsidP="00CE5734">
            <w:pPr>
              <w:rPr>
                <w:rFonts w:ascii="Arial" w:hAnsi="Arial" w:cs="Arial"/>
                <w:sz w:val="20"/>
                <w:szCs w:val="16"/>
              </w:rPr>
            </w:pPr>
            <w:r>
              <w:rPr>
                <w:rFonts w:ascii="Arial" w:hAnsi="Arial" w:cs="Arial"/>
                <w:sz w:val="20"/>
                <w:szCs w:val="16"/>
              </w:rPr>
              <w:t>Services Description</w:t>
            </w:r>
          </w:p>
        </w:tc>
        <w:tc>
          <w:tcPr>
            <w:tcW w:w="1128" w:type="dxa"/>
          </w:tcPr>
          <w:p w14:paraId="20CDCD8B" w14:textId="77777777" w:rsidR="00663A6B" w:rsidRPr="00663A6B" w:rsidRDefault="00663A6B" w:rsidP="00CE5734">
            <w:pPr>
              <w:rPr>
                <w:rFonts w:ascii="Arial" w:hAnsi="Arial" w:cs="Arial"/>
                <w:sz w:val="20"/>
                <w:szCs w:val="16"/>
              </w:rPr>
            </w:pPr>
          </w:p>
        </w:tc>
      </w:tr>
      <w:tr w:rsidR="00663A6B" w:rsidRPr="000E5786" w14:paraId="360D3812" w14:textId="77777777" w:rsidTr="00FC611C">
        <w:tc>
          <w:tcPr>
            <w:tcW w:w="704" w:type="dxa"/>
          </w:tcPr>
          <w:p w14:paraId="0E07F2AF" w14:textId="19DCDE33" w:rsidR="00663A6B" w:rsidRPr="00663A6B" w:rsidRDefault="00CE5734" w:rsidP="00CE5734">
            <w:pPr>
              <w:rPr>
                <w:rFonts w:ascii="Arial" w:hAnsi="Arial" w:cs="Arial"/>
                <w:sz w:val="20"/>
                <w:szCs w:val="16"/>
              </w:rPr>
            </w:pPr>
            <w:r>
              <w:rPr>
                <w:rFonts w:ascii="Arial" w:hAnsi="Arial" w:cs="Arial"/>
                <w:sz w:val="20"/>
                <w:szCs w:val="16"/>
              </w:rPr>
              <w:t>2.2</w:t>
            </w:r>
          </w:p>
        </w:tc>
        <w:tc>
          <w:tcPr>
            <w:tcW w:w="7229" w:type="dxa"/>
          </w:tcPr>
          <w:p w14:paraId="61F5DFF7" w14:textId="128C2B85" w:rsidR="00663A6B" w:rsidRPr="00663A6B" w:rsidRDefault="00CE5734" w:rsidP="00CE5734">
            <w:pPr>
              <w:rPr>
                <w:rFonts w:ascii="Arial" w:hAnsi="Arial" w:cs="Arial"/>
                <w:sz w:val="20"/>
                <w:szCs w:val="16"/>
              </w:rPr>
            </w:pPr>
            <w:r>
              <w:rPr>
                <w:rFonts w:ascii="Arial" w:hAnsi="Arial" w:cs="Arial"/>
                <w:sz w:val="20"/>
                <w:szCs w:val="16"/>
              </w:rPr>
              <w:t>Service Levels</w:t>
            </w:r>
          </w:p>
        </w:tc>
        <w:tc>
          <w:tcPr>
            <w:tcW w:w="1128" w:type="dxa"/>
          </w:tcPr>
          <w:p w14:paraId="309DF002" w14:textId="77777777" w:rsidR="00663A6B" w:rsidRPr="00663A6B" w:rsidRDefault="00663A6B" w:rsidP="00CE5734">
            <w:pPr>
              <w:rPr>
                <w:rFonts w:ascii="Arial" w:hAnsi="Arial" w:cs="Arial"/>
                <w:sz w:val="20"/>
                <w:szCs w:val="16"/>
              </w:rPr>
            </w:pPr>
          </w:p>
        </w:tc>
      </w:tr>
      <w:tr w:rsidR="00663A6B" w:rsidRPr="000E5786" w14:paraId="72A5D550" w14:textId="77777777" w:rsidTr="00CE5734">
        <w:tc>
          <w:tcPr>
            <w:tcW w:w="704" w:type="dxa"/>
            <w:shd w:val="clear" w:color="auto" w:fill="BFBFBF" w:themeFill="background1" w:themeFillShade="BF"/>
          </w:tcPr>
          <w:p w14:paraId="4094D43C" w14:textId="3E61031A" w:rsidR="00663A6B" w:rsidRPr="00663A6B" w:rsidRDefault="00CE5734" w:rsidP="00CE5734">
            <w:pPr>
              <w:rPr>
                <w:rFonts w:ascii="Arial" w:hAnsi="Arial" w:cs="Arial"/>
                <w:sz w:val="20"/>
                <w:szCs w:val="16"/>
              </w:rPr>
            </w:pPr>
            <w:r>
              <w:rPr>
                <w:rFonts w:ascii="Arial" w:hAnsi="Arial" w:cs="Arial"/>
                <w:sz w:val="20"/>
                <w:szCs w:val="16"/>
              </w:rPr>
              <w:t>2.3</w:t>
            </w:r>
          </w:p>
        </w:tc>
        <w:tc>
          <w:tcPr>
            <w:tcW w:w="7229" w:type="dxa"/>
            <w:shd w:val="clear" w:color="auto" w:fill="BFBFBF" w:themeFill="background1" w:themeFillShade="BF"/>
          </w:tcPr>
          <w:p w14:paraId="289EE172" w14:textId="3271A754" w:rsidR="00663A6B" w:rsidRPr="00663A6B" w:rsidRDefault="00CE5734" w:rsidP="00CE5734">
            <w:pPr>
              <w:rPr>
                <w:rFonts w:ascii="Arial" w:hAnsi="Arial" w:cs="Arial"/>
                <w:sz w:val="20"/>
                <w:szCs w:val="16"/>
              </w:rPr>
            </w:pPr>
            <w:r>
              <w:rPr>
                <w:rFonts w:ascii="Arial" w:hAnsi="Arial" w:cs="Arial"/>
                <w:sz w:val="20"/>
                <w:szCs w:val="16"/>
              </w:rPr>
              <w:t>NOT USED</w:t>
            </w:r>
          </w:p>
        </w:tc>
        <w:tc>
          <w:tcPr>
            <w:tcW w:w="1128" w:type="dxa"/>
            <w:shd w:val="clear" w:color="auto" w:fill="BFBFBF" w:themeFill="background1" w:themeFillShade="BF"/>
          </w:tcPr>
          <w:p w14:paraId="723B93E6" w14:textId="77777777" w:rsidR="00663A6B" w:rsidRPr="00663A6B" w:rsidRDefault="00663A6B" w:rsidP="00CE5734">
            <w:pPr>
              <w:rPr>
                <w:rFonts w:ascii="Arial" w:hAnsi="Arial" w:cs="Arial"/>
                <w:sz w:val="20"/>
                <w:szCs w:val="16"/>
              </w:rPr>
            </w:pPr>
          </w:p>
        </w:tc>
      </w:tr>
      <w:tr w:rsidR="00663A6B" w:rsidRPr="000E5786" w14:paraId="62EC1D01" w14:textId="77777777" w:rsidTr="00FC611C">
        <w:tc>
          <w:tcPr>
            <w:tcW w:w="704" w:type="dxa"/>
          </w:tcPr>
          <w:p w14:paraId="19C3C732" w14:textId="4240AA38" w:rsidR="00663A6B" w:rsidRPr="00663A6B" w:rsidRDefault="00CE5734" w:rsidP="00CE5734">
            <w:pPr>
              <w:rPr>
                <w:rFonts w:ascii="Arial" w:hAnsi="Arial" w:cs="Arial"/>
                <w:sz w:val="20"/>
                <w:szCs w:val="16"/>
              </w:rPr>
            </w:pPr>
            <w:r>
              <w:rPr>
                <w:rFonts w:ascii="Arial" w:hAnsi="Arial" w:cs="Arial"/>
                <w:sz w:val="20"/>
                <w:szCs w:val="16"/>
              </w:rPr>
              <w:t>2.4</w:t>
            </w:r>
          </w:p>
        </w:tc>
        <w:tc>
          <w:tcPr>
            <w:tcW w:w="7229" w:type="dxa"/>
          </w:tcPr>
          <w:p w14:paraId="06BD8C27" w14:textId="7342FAA2" w:rsidR="00663A6B" w:rsidRPr="00663A6B" w:rsidRDefault="00CE5734" w:rsidP="00CE5734">
            <w:pPr>
              <w:rPr>
                <w:rFonts w:ascii="Arial" w:hAnsi="Arial" w:cs="Arial"/>
                <w:sz w:val="20"/>
                <w:szCs w:val="16"/>
              </w:rPr>
            </w:pPr>
            <w:r>
              <w:rPr>
                <w:rFonts w:ascii="Arial" w:hAnsi="Arial" w:cs="Arial"/>
                <w:sz w:val="20"/>
                <w:szCs w:val="16"/>
              </w:rPr>
              <w:t>Standards and Policies</w:t>
            </w:r>
          </w:p>
        </w:tc>
        <w:tc>
          <w:tcPr>
            <w:tcW w:w="1128" w:type="dxa"/>
          </w:tcPr>
          <w:p w14:paraId="30B6767B" w14:textId="77777777" w:rsidR="00663A6B" w:rsidRPr="00663A6B" w:rsidRDefault="00663A6B" w:rsidP="00CE5734">
            <w:pPr>
              <w:rPr>
                <w:rFonts w:ascii="Arial" w:hAnsi="Arial" w:cs="Arial"/>
                <w:sz w:val="20"/>
                <w:szCs w:val="16"/>
              </w:rPr>
            </w:pPr>
          </w:p>
        </w:tc>
      </w:tr>
      <w:tr w:rsidR="00D55AF1" w:rsidRPr="000E5786" w14:paraId="7DDDB4E1" w14:textId="77777777" w:rsidTr="00FC611C">
        <w:tc>
          <w:tcPr>
            <w:tcW w:w="704" w:type="dxa"/>
          </w:tcPr>
          <w:p w14:paraId="0A3EA150" w14:textId="17A7DF8A" w:rsidR="00D55AF1" w:rsidRPr="000E5786" w:rsidRDefault="006A4941" w:rsidP="00CE5734">
            <w:pPr>
              <w:rPr>
                <w:rFonts w:ascii="Arial" w:hAnsi="Arial" w:cs="Arial"/>
                <w:sz w:val="20"/>
                <w:szCs w:val="20"/>
              </w:rPr>
            </w:pPr>
            <w:r w:rsidRPr="000E5786">
              <w:rPr>
                <w:rFonts w:ascii="Arial" w:hAnsi="Arial" w:cs="Arial"/>
                <w:sz w:val="20"/>
                <w:szCs w:val="20"/>
              </w:rPr>
              <w:t>2.5</w:t>
            </w:r>
          </w:p>
        </w:tc>
        <w:tc>
          <w:tcPr>
            <w:tcW w:w="7229" w:type="dxa"/>
          </w:tcPr>
          <w:p w14:paraId="1FBF2D17" w14:textId="15F77C54" w:rsidR="00D55AF1" w:rsidRPr="000E5786" w:rsidRDefault="006A4941" w:rsidP="00CE5734">
            <w:pPr>
              <w:rPr>
                <w:rFonts w:ascii="Arial" w:hAnsi="Arial" w:cs="Arial"/>
                <w:sz w:val="20"/>
                <w:szCs w:val="20"/>
              </w:rPr>
            </w:pPr>
            <w:r w:rsidRPr="000E5786">
              <w:rPr>
                <w:rFonts w:ascii="Arial" w:hAnsi="Arial" w:cs="Arial"/>
                <w:sz w:val="20"/>
                <w:szCs w:val="20"/>
              </w:rPr>
              <w:t>Locations</w:t>
            </w:r>
          </w:p>
        </w:tc>
        <w:tc>
          <w:tcPr>
            <w:tcW w:w="1128" w:type="dxa"/>
          </w:tcPr>
          <w:p w14:paraId="04319996" w14:textId="6A9A6F2D" w:rsidR="00D55AF1" w:rsidRPr="000E5786" w:rsidRDefault="00D55AF1" w:rsidP="00CE5734">
            <w:pPr>
              <w:rPr>
                <w:rFonts w:ascii="Arial" w:hAnsi="Arial" w:cs="Arial"/>
                <w:sz w:val="20"/>
                <w:szCs w:val="20"/>
              </w:rPr>
            </w:pPr>
          </w:p>
        </w:tc>
      </w:tr>
      <w:tr w:rsidR="00CE5734" w:rsidRPr="000E5786" w14:paraId="0EEDB704" w14:textId="77777777" w:rsidTr="00FC611C">
        <w:tc>
          <w:tcPr>
            <w:tcW w:w="704" w:type="dxa"/>
          </w:tcPr>
          <w:p w14:paraId="1C023D42" w14:textId="5183DA03" w:rsidR="00CE5734" w:rsidRPr="00CE5734" w:rsidRDefault="00CE5734" w:rsidP="00CE5734">
            <w:pPr>
              <w:rPr>
                <w:rFonts w:ascii="Arial" w:hAnsi="Arial" w:cs="Arial"/>
                <w:sz w:val="20"/>
                <w:szCs w:val="20"/>
              </w:rPr>
            </w:pPr>
            <w:r w:rsidRPr="00CE5734">
              <w:rPr>
                <w:rFonts w:ascii="Arial" w:hAnsi="Arial" w:cs="Arial"/>
                <w:sz w:val="20"/>
                <w:szCs w:val="20"/>
              </w:rPr>
              <w:t>2.6</w:t>
            </w:r>
          </w:p>
        </w:tc>
        <w:tc>
          <w:tcPr>
            <w:tcW w:w="7229" w:type="dxa"/>
          </w:tcPr>
          <w:p w14:paraId="1CF4BE5B" w14:textId="3FD0ED15" w:rsidR="00CE5734" w:rsidRPr="00CE5734" w:rsidRDefault="00CE5734" w:rsidP="00CE5734">
            <w:pPr>
              <w:rPr>
                <w:rFonts w:ascii="Arial" w:hAnsi="Arial" w:cs="Arial"/>
                <w:sz w:val="20"/>
                <w:szCs w:val="20"/>
              </w:rPr>
            </w:pPr>
            <w:r w:rsidRPr="00CE5734">
              <w:rPr>
                <w:rFonts w:ascii="Arial" w:hAnsi="Arial" w:cs="Arial"/>
                <w:sz w:val="20"/>
                <w:szCs w:val="20"/>
              </w:rPr>
              <w:t>Security Management</w:t>
            </w:r>
          </w:p>
        </w:tc>
        <w:tc>
          <w:tcPr>
            <w:tcW w:w="1128" w:type="dxa"/>
          </w:tcPr>
          <w:p w14:paraId="7437776E" w14:textId="77777777" w:rsidR="00CE5734" w:rsidRPr="00CE5734" w:rsidRDefault="00CE5734" w:rsidP="00CE5734">
            <w:pPr>
              <w:rPr>
                <w:rFonts w:ascii="Arial" w:hAnsi="Arial" w:cs="Arial"/>
                <w:sz w:val="20"/>
                <w:szCs w:val="20"/>
              </w:rPr>
            </w:pPr>
          </w:p>
        </w:tc>
      </w:tr>
      <w:tr w:rsidR="00CE5734" w:rsidRPr="000E5786" w14:paraId="22EB9029" w14:textId="77777777" w:rsidTr="00FC611C">
        <w:tc>
          <w:tcPr>
            <w:tcW w:w="704" w:type="dxa"/>
          </w:tcPr>
          <w:p w14:paraId="55635F73" w14:textId="36F46476" w:rsidR="00CE5734" w:rsidRPr="00CE5734" w:rsidRDefault="00CE5734" w:rsidP="00CE5734">
            <w:pPr>
              <w:rPr>
                <w:rFonts w:ascii="Arial" w:hAnsi="Arial" w:cs="Arial"/>
                <w:sz w:val="20"/>
                <w:szCs w:val="20"/>
              </w:rPr>
            </w:pPr>
            <w:r w:rsidRPr="00CE5734">
              <w:rPr>
                <w:rFonts w:ascii="Arial" w:hAnsi="Arial" w:cs="Arial"/>
                <w:sz w:val="20"/>
                <w:szCs w:val="20"/>
              </w:rPr>
              <w:t>2.7</w:t>
            </w:r>
          </w:p>
        </w:tc>
        <w:tc>
          <w:tcPr>
            <w:tcW w:w="7229" w:type="dxa"/>
          </w:tcPr>
          <w:p w14:paraId="6051B071" w14:textId="71A48CFA" w:rsidR="00CE5734" w:rsidRPr="00CE5734" w:rsidRDefault="00CE5734" w:rsidP="00CE5734">
            <w:pPr>
              <w:rPr>
                <w:rFonts w:ascii="Arial" w:hAnsi="Arial" w:cs="Arial"/>
                <w:sz w:val="20"/>
                <w:szCs w:val="20"/>
              </w:rPr>
            </w:pPr>
            <w:r w:rsidRPr="00CE5734">
              <w:rPr>
                <w:rFonts w:ascii="Arial" w:hAnsi="Arial" w:cs="Arial"/>
                <w:sz w:val="20"/>
                <w:szCs w:val="20"/>
              </w:rPr>
              <w:t>Insurance Requirements</w:t>
            </w:r>
          </w:p>
        </w:tc>
        <w:tc>
          <w:tcPr>
            <w:tcW w:w="1128" w:type="dxa"/>
          </w:tcPr>
          <w:p w14:paraId="38EACDF2" w14:textId="77777777" w:rsidR="00CE5734" w:rsidRPr="00CE5734" w:rsidRDefault="00CE5734" w:rsidP="00CE5734">
            <w:pPr>
              <w:rPr>
                <w:rFonts w:ascii="Arial" w:hAnsi="Arial" w:cs="Arial"/>
                <w:sz w:val="20"/>
                <w:szCs w:val="20"/>
              </w:rPr>
            </w:pPr>
          </w:p>
        </w:tc>
      </w:tr>
      <w:tr w:rsidR="00C3397C" w:rsidRPr="000E5786" w14:paraId="07B0AD47" w14:textId="77777777" w:rsidTr="00FC611C">
        <w:tc>
          <w:tcPr>
            <w:tcW w:w="704" w:type="dxa"/>
          </w:tcPr>
          <w:p w14:paraId="4092BF00" w14:textId="7D2156AE" w:rsidR="00C3397C" w:rsidRPr="00CE5734" w:rsidRDefault="00C3397C" w:rsidP="00C3397C">
            <w:pPr>
              <w:rPr>
                <w:rFonts w:cs="Arial"/>
                <w:szCs w:val="20"/>
              </w:rPr>
            </w:pPr>
            <w:r>
              <w:rPr>
                <w:rFonts w:ascii="Arial" w:hAnsi="Arial" w:cs="Arial"/>
                <w:sz w:val="20"/>
                <w:szCs w:val="16"/>
              </w:rPr>
              <w:t>2.8</w:t>
            </w:r>
          </w:p>
        </w:tc>
        <w:tc>
          <w:tcPr>
            <w:tcW w:w="7229" w:type="dxa"/>
          </w:tcPr>
          <w:p w14:paraId="58B639B1" w14:textId="4188C7A1" w:rsidR="00C3397C" w:rsidRPr="00CE5734" w:rsidRDefault="00C3397C" w:rsidP="00C3397C">
            <w:pPr>
              <w:rPr>
                <w:rFonts w:cs="Arial"/>
                <w:szCs w:val="20"/>
              </w:rPr>
            </w:pPr>
            <w:r>
              <w:rPr>
                <w:rFonts w:ascii="Arial" w:hAnsi="Arial" w:cs="Arial"/>
                <w:sz w:val="20"/>
                <w:szCs w:val="16"/>
              </w:rPr>
              <w:t>NOT USED</w:t>
            </w:r>
          </w:p>
        </w:tc>
        <w:tc>
          <w:tcPr>
            <w:tcW w:w="1128" w:type="dxa"/>
          </w:tcPr>
          <w:p w14:paraId="61D01B35" w14:textId="77777777" w:rsidR="00C3397C" w:rsidRPr="00CE5734" w:rsidRDefault="00C3397C" w:rsidP="00C3397C">
            <w:pPr>
              <w:rPr>
                <w:rFonts w:cs="Arial"/>
                <w:szCs w:val="20"/>
              </w:rPr>
            </w:pPr>
          </w:p>
        </w:tc>
      </w:tr>
      <w:tr w:rsidR="00C3397C" w:rsidRPr="000E5786" w14:paraId="6EA725B0" w14:textId="77777777" w:rsidTr="00FC611C">
        <w:tc>
          <w:tcPr>
            <w:tcW w:w="704" w:type="dxa"/>
          </w:tcPr>
          <w:p w14:paraId="255922C2" w14:textId="4A7AA4E0" w:rsidR="00C3397C" w:rsidRPr="00CE5734" w:rsidRDefault="00C3397C" w:rsidP="00C3397C">
            <w:pPr>
              <w:rPr>
                <w:rFonts w:cs="Arial"/>
                <w:szCs w:val="20"/>
              </w:rPr>
            </w:pPr>
            <w:r>
              <w:rPr>
                <w:rFonts w:ascii="Arial" w:hAnsi="Arial" w:cs="Arial"/>
                <w:sz w:val="20"/>
                <w:szCs w:val="16"/>
              </w:rPr>
              <w:t>2.9</w:t>
            </w:r>
          </w:p>
        </w:tc>
        <w:tc>
          <w:tcPr>
            <w:tcW w:w="7229" w:type="dxa"/>
          </w:tcPr>
          <w:p w14:paraId="67972545" w14:textId="5EBF647E" w:rsidR="00C3397C" w:rsidRPr="00CE5734" w:rsidRDefault="00C3397C" w:rsidP="00C3397C">
            <w:pPr>
              <w:rPr>
                <w:rFonts w:cs="Arial"/>
                <w:szCs w:val="20"/>
              </w:rPr>
            </w:pPr>
            <w:r>
              <w:rPr>
                <w:rFonts w:ascii="Arial" w:hAnsi="Arial" w:cs="Arial"/>
                <w:sz w:val="20"/>
                <w:szCs w:val="16"/>
              </w:rPr>
              <w:t>NOT USED</w:t>
            </w:r>
          </w:p>
        </w:tc>
        <w:tc>
          <w:tcPr>
            <w:tcW w:w="1128" w:type="dxa"/>
          </w:tcPr>
          <w:p w14:paraId="2C7DBC22" w14:textId="77777777" w:rsidR="00C3397C" w:rsidRPr="00CE5734" w:rsidRDefault="00C3397C" w:rsidP="00C3397C">
            <w:pPr>
              <w:rPr>
                <w:rFonts w:cs="Arial"/>
                <w:szCs w:val="20"/>
              </w:rPr>
            </w:pPr>
          </w:p>
        </w:tc>
      </w:tr>
      <w:tr w:rsidR="00CE5734" w:rsidRPr="000E5786" w14:paraId="66EB68BE" w14:textId="77777777" w:rsidTr="00FC611C">
        <w:tc>
          <w:tcPr>
            <w:tcW w:w="704" w:type="dxa"/>
          </w:tcPr>
          <w:p w14:paraId="75A800CA" w14:textId="50C13400" w:rsidR="00CE5734" w:rsidRPr="00CE5734" w:rsidRDefault="00CE5734" w:rsidP="00CE5734">
            <w:pPr>
              <w:rPr>
                <w:rFonts w:ascii="Arial" w:hAnsi="Arial" w:cs="Arial"/>
                <w:sz w:val="20"/>
                <w:szCs w:val="20"/>
              </w:rPr>
            </w:pPr>
            <w:r w:rsidRPr="00CE5734">
              <w:rPr>
                <w:rFonts w:ascii="Arial" w:hAnsi="Arial" w:cs="Arial"/>
                <w:sz w:val="20"/>
                <w:szCs w:val="20"/>
              </w:rPr>
              <w:t>3</w:t>
            </w:r>
          </w:p>
        </w:tc>
        <w:tc>
          <w:tcPr>
            <w:tcW w:w="7229" w:type="dxa"/>
          </w:tcPr>
          <w:p w14:paraId="493341EA" w14:textId="18DC5B8B" w:rsidR="00CE5734" w:rsidRPr="00CE5734" w:rsidRDefault="001F1C19" w:rsidP="00CE5734">
            <w:pPr>
              <w:rPr>
                <w:rFonts w:ascii="Arial" w:hAnsi="Arial" w:cs="Arial"/>
                <w:sz w:val="20"/>
                <w:szCs w:val="20"/>
              </w:rPr>
            </w:pPr>
            <w:proofErr w:type="spellStart"/>
            <w:r>
              <w:rPr>
                <w:rFonts w:ascii="Arial" w:hAnsi="Arial" w:cs="Arial"/>
                <w:sz w:val="20"/>
                <w:szCs w:val="20"/>
              </w:rPr>
              <w:t>Netlink</w:t>
            </w:r>
            <w:proofErr w:type="spellEnd"/>
            <w:r>
              <w:rPr>
                <w:rFonts w:ascii="Arial" w:hAnsi="Arial" w:cs="Arial"/>
                <w:sz w:val="20"/>
                <w:szCs w:val="20"/>
              </w:rPr>
              <w:t xml:space="preserve"> Star</w:t>
            </w:r>
            <w:r w:rsidR="00CE5734" w:rsidRPr="00CE5734">
              <w:rPr>
                <w:rFonts w:ascii="Arial" w:hAnsi="Arial" w:cs="Arial"/>
                <w:sz w:val="20"/>
                <w:szCs w:val="20"/>
              </w:rPr>
              <w:t xml:space="preserve"> Responsibilities</w:t>
            </w:r>
          </w:p>
        </w:tc>
        <w:tc>
          <w:tcPr>
            <w:tcW w:w="1128" w:type="dxa"/>
          </w:tcPr>
          <w:p w14:paraId="4E7483A6" w14:textId="77777777" w:rsidR="00CE5734" w:rsidRPr="00CE5734" w:rsidRDefault="00CE5734" w:rsidP="00CE5734">
            <w:pPr>
              <w:rPr>
                <w:rFonts w:ascii="Arial" w:hAnsi="Arial" w:cs="Arial"/>
                <w:sz w:val="20"/>
                <w:szCs w:val="20"/>
              </w:rPr>
            </w:pPr>
          </w:p>
        </w:tc>
      </w:tr>
      <w:tr w:rsidR="00CE5734" w:rsidRPr="000E5786" w14:paraId="3AFD0739" w14:textId="77777777" w:rsidTr="00FC611C">
        <w:tc>
          <w:tcPr>
            <w:tcW w:w="704" w:type="dxa"/>
          </w:tcPr>
          <w:p w14:paraId="5BC5665F" w14:textId="07671D32" w:rsidR="00CE5734" w:rsidRPr="00CE5734" w:rsidRDefault="00CE5734" w:rsidP="00CE5734">
            <w:pPr>
              <w:rPr>
                <w:rFonts w:ascii="Arial" w:hAnsi="Arial" w:cs="Arial"/>
                <w:sz w:val="20"/>
                <w:szCs w:val="20"/>
              </w:rPr>
            </w:pPr>
            <w:r w:rsidRPr="00CE5734">
              <w:rPr>
                <w:rFonts w:ascii="Arial" w:hAnsi="Arial" w:cs="Arial"/>
                <w:sz w:val="20"/>
                <w:szCs w:val="20"/>
              </w:rPr>
              <w:t>4.1</w:t>
            </w:r>
          </w:p>
        </w:tc>
        <w:tc>
          <w:tcPr>
            <w:tcW w:w="7229" w:type="dxa"/>
          </w:tcPr>
          <w:p w14:paraId="3EF52074" w14:textId="3969AE74" w:rsidR="00CE5734" w:rsidRPr="00CE5734" w:rsidRDefault="00CE5734" w:rsidP="00CE5734">
            <w:pPr>
              <w:rPr>
                <w:rFonts w:ascii="Arial" w:hAnsi="Arial" w:cs="Arial"/>
                <w:sz w:val="20"/>
                <w:szCs w:val="20"/>
              </w:rPr>
            </w:pPr>
            <w:r w:rsidRPr="00CE5734">
              <w:rPr>
                <w:rFonts w:ascii="Arial" w:hAnsi="Arial" w:cs="Arial"/>
                <w:sz w:val="20"/>
                <w:szCs w:val="20"/>
              </w:rPr>
              <w:t>Supplier S</w:t>
            </w:r>
            <w:r>
              <w:rPr>
                <w:rFonts w:ascii="Arial" w:hAnsi="Arial" w:cs="Arial"/>
                <w:sz w:val="20"/>
                <w:szCs w:val="20"/>
              </w:rPr>
              <w:t>o</w:t>
            </w:r>
            <w:r w:rsidRPr="00CE5734">
              <w:rPr>
                <w:rFonts w:ascii="Arial" w:hAnsi="Arial" w:cs="Arial"/>
                <w:sz w:val="20"/>
                <w:szCs w:val="20"/>
              </w:rPr>
              <w:t>lution</w:t>
            </w:r>
          </w:p>
        </w:tc>
        <w:tc>
          <w:tcPr>
            <w:tcW w:w="1128" w:type="dxa"/>
          </w:tcPr>
          <w:p w14:paraId="5CEAE917" w14:textId="77777777" w:rsidR="00CE5734" w:rsidRPr="00CE5734" w:rsidRDefault="00CE5734" w:rsidP="00CE5734">
            <w:pPr>
              <w:rPr>
                <w:rFonts w:ascii="Arial" w:hAnsi="Arial" w:cs="Arial"/>
                <w:sz w:val="20"/>
                <w:szCs w:val="20"/>
              </w:rPr>
            </w:pPr>
          </w:p>
        </w:tc>
      </w:tr>
      <w:tr w:rsidR="00D55AF1" w:rsidRPr="000E5786" w14:paraId="3540ED94" w14:textId="77777777" w:rsidTr="00FC611C">
        <w:tc>
          <w:tcPr>
            <w:tcW w:w="704" w:type="dxa"/>
          </w:tcPr>
          <w:p w14:paraId="3D710E14" w14:textId="71555F6E" w:rsidR="00D55AF1" w:rsidRPr="00CE5734" w:rsidRDefault="006A4941" w:rsidP="00CE5734">
            <w:pPr>
              <w:rPr>
                <w:rFonts w:ascii="Arial" w:hAnsi="Arial" w:cs="Arial"/>
                <w:sz w:val="20"/>
                <w:szCs w:val="20"/>
              </w:rPr>
            </w:pPr>
            <w:r w:rsidRPr="00CE5734">
              <w:rPr>
                <w:rFonts w:ascii="Arial" w:hAnsi="Arial" w:cs="Arial"/>
                <w:sz w:val="20"/>
                <w:szCs w:val="20"/>
              </w:rPr>
              <w:t>4.2</w:t>
            </w:r>
          </w:p>
        </w:tc>
        <w:tc>
          <w:tcPr>
            <w:tcW w:w="7229" w:type="dxa"/>
          </w:tcPr>
          <w:p w14:paraId="3535F64C" w14:textId="5D8AC1D6" w:rsidR="00D55AF1" w:rsidRPr="00CE5734" w:rsidRDefault="006A4941" w:rsidP="00CE5734">
            <w:pPr>
              <w:rPr>
                <w:rFonts w:ascii="Arial" w:hAnsi="Arial" w:cs="Arial"/>
                <w:sz w:val="20"/>
                <w:szCs w:val="20"/>
              </w:rPr>
            </w:pPr>
            <w:r w:rsidRPr="00CE5734">
              <w:rPr>
                <w:rFonts w:ascii="Arial" w:hAnsi="Arial" w:cs="Arial"/>
                <w:sz w:val="20"/>
                <w:szCs w:val="20"/>
              </w:rPr>
              <w:t>Commercially Sensitive Information</w:t>
            </w:r>
          </w:p>
        </w:tc>
        <w:tc>
          <w:tcPr>
            <w:tcW w:w="1128" w:type="dxa"/>
          </w:tcPr>
          <w:p w14:paraId="7236A410" w14:textId="41A7EF75" w:rsidR="00D55AF1" w:rsidRPr="00CE5734" w:rsidRDefault="00D55AF1" w:rsidP="00CE5734">
            <w:pPr>
              <w:rPr>
                <w:rFonts w:ascii="Arial" w:hAnsi="Arial" w:cs="Arial"/>
                <w:sz w:val="20"/>
                <w:szCs w:val="20"/>
              </w:rPr>
            </w:pPr>
          </w:p>
        </w:tc>
      </w:tr>
      <w:tr w:rsidR="00D55AF1" w:rsidRPr="000E5786" w14:paraId="1878B0EA" w14:textId="77777777" w:rsidTr="00FC611C">
        <w:tc>
          <w:tcPr>
            <w:tcW w:w="704" w:type="dxa"/>
          </w:tcPr>
          <w:p w14:paraId="16E712AC" w14:textId="516DEA7E" w:rsidR="00D55AF1" w:rsidRPr="00CE5734" w:rsidRDefault="006A4941" w:rsidP="00CE5734">
            <w:pPr>
              <w:rPr>
                <w:rFonts w:ascii="Arial" w:hAnsi="Arial" w:cs="Arial"/>
                <w:sz w:val="20"/>
                <w:szCs w:val="20"/>
              </w:rPr>
            </w:pPr>
            <w:r w:rsidRPr="00CE5734">
              <w:rPr>
                <w:rFonts w:ascii="Arial" w:hAnsi="Arial" w:cs="Arial"/>
                <w:sz w:val="20"/>
                <w:szCs w:val="20"/>
              </w:rPr>
              <w:t>4.3</w:t>
            </w:r>
          </w:p>
        </w:tc>
        <w:tc>
          <w:tcPr>
            <w:tcW w:w="7229" w:type="dxa"/>
          </w:tcPr>
          <w:p w14:paraId="39C40409" w14:textId="0BD53705" w:rsidR="00D55AF1" w:rsidRPr="00CE5734" w:rsidRDefault="006A4941" w:rsidP="00CE5734">
            <w:pPr>
              <w:rPr>
                <w:rFonts w:ascii="Arial" w:hAnsi="Arial" w:cs="Arial"/>
                <w:sz w:val="20"/>
                <w:szCs w:val="20"/>
              </w:rPr>
            </w:pPr>
            <w:r w:rsidRPr="00CE5734">
              <w:rPr>
                <w:rFonts w:ascii="Arial" w:hAnsi="Arial" w:cs="Arial"/>
                <w:sz w:val="20"/>
                <w:szCs w:val="20"/>
              </w:rPr>
              <w:t>Notified Key Sub-contractors</w:t>
            </w:r>
          </w:p>
        </w:tc>
        <w:tc>
          <w:tcPr>
            <w:tcW w:w="1128" w:type="dxa"/>
          </w:tcPr>
          <w:p w14:paraId="2FDBA5E9" w14:textId="629A3ABC" w:rsidR="00D55AF1" w:rsidRPr="00CE5734" w:rsidRDefault="00D55AF1" w:rsidP="00CE5734">
            <w:pPr>
              <w:rPr>
                <w:rFonts w:ascii="Arial" w:hAnsi="Arial" w:cs="Arial"/>
                <w:sz w:val="20"/>
                <w:szCs w:val="20"/>
              </w:rPr>
            </w:pPr>
          </w:p>
        </w:tc>
      </w:tr>
      <w:tr w:rsidR="00D55AF1" w:rsidRPr="000E5786" w14:paraId="25120B6D" w14:textId="77777777" w:rsidTr="00FC611C">
        <w:tc>
          <w:tcPr>
            <w:tcW w:w="704" w:type="dxa"/>
          </w:tcPr>
          <w:p w14:paraId="6927CF9B" w14:textId="27931AD1" w:rsidR="00D55AF1" w:rsidRPr="00CE5734" w:rsidRDefault="006A4941" w:rsidP="00CE5734">
            <w:pPr>
              <w:rPr>
                <w:rFonts w:ascii="Arial" w:hAnsi="Arial" w:cs="Arial"/>
                <w:sz w:val="20"/>
                <w:szCs w:val="20"/>
              </w:rPr>
            </w:pPr>
            <w:r w:rsidRPr="00CE5734">
              <w:rPr>
                <w:rFonts w:ascii="Arial" w:hAnsi="Arial" w:cs="Arial"/>
                <w:sz w:val="20"/>
                <w:szCs w:val="20"/>
              </w:rPr>
              <w:t>4.4</w:t>
            </w:r>
          </w:p>
        </w:tc>
        <w:tc>
          <w:tcPr>
            <w:tcW w:w="7229" w:type="dxa"/>
          </w:tcPr>
          <w:p w14:paraId="37545BE7" w14:textId="35A6406B" w:rsidR="00D55AF1" w:rsidRPr="00CE5734" w:rsidRDefault="006A4941" w:rsidP="00CE5734">
            <w:pPr>
              <w:rPr>
                <w:rFonts w:ascii="Arial" w:hAnsi="Arial" w:cs="Arial"/>
                <w:sz w:val="20"/>
                <w:szCs w:val="20"/>
              </w:rPr>
            </w:pPr>
            <w:r w:rsidRPr="00CE5734">
              <w:rPr>
                <w:rFonts w:ascii="Arial" w:hAnsi="Arial" w:cs="Arial"/>
                <w:sz w:val="20"/>
                <w:szCs w:val="20"/>
              </w:rPr>
              <w:t>Supplier Premises</w:t>
            </w:r>
          </w:p>
        </w:tc>
        <w:tc>
          <w:tcPr>
            <w:tcW w:w="1128" w:type="dxa"/>
          </w:tcPr>
          <w:p w14:paraId="3A568AA7" w14:textId="51CC3954" w:rsidR="00D55AF1" w:rsidRPr="00CE5734" w:rsidRDefault="00D55AF1" w:rsidP="00CE5734">
            <w:pPr>
              <w:rPr>
                <w:rFonts w:ascii="Arial" w:hAnsi="Arial" w:cs="Arial"/>
                <w:sz w:val="20"/>
                <w:szCs w:val="20"/>
              </w:rPr>
            </w:pPr>
          </w:p>
        </w:tc>
      </w:tr>
      <w:tr w:rsidR="00CE5734" w:rsidRPr="000E5786" w14:paraId="5A8EDCCC" w14:textId="77777777" w:rsidTr="00CE5734">
        <w:tc>
          <w:tcPr>
            <w:tcW w:w="704" w:type="dxa"/>
            <w:shd w:val="clear" w:color="auto" w:fill="BFBFBF" w:themeFill="background1" w:themeFillShade="BF"/>
          </w:tcPr>
          <w:p w14:paraId="075BD6E8" w14:textId="0CC15316" w:rsidR="00CE5734" w:rsidRPr="00CE5734" w:rsidRDefault="00CE5734" w:rsidP="00CE5734">
            <w:pPr>
              <w:rPr>
                <w:rFonts w:ascii="Arial" w:hAnsi="Arial" w:cs="Arial"/>
                <w:sz w:val="20"/>
                <w:szCs w:val="20"/>
              </w:rPr>
            </w:pPr>
            <w:r w:rsidRPr="00CE5734">
              <w:rPr>
                <w:rFonts w:ascii="Arial" w:hAnsi="Arial" w:cs="Arial"/>
                <w:sz w:val="20"/>
                <w:szCs w:val="20"/>
              </w:rPr>
              <w:t>4.5</w:t>
            </w:r>
          </w:p>
        </w:tc>
        <w:tc>
          <w:tcPr>
            <w:tcW w:w="7229" w:type="dxa"/>
            <w:shd w:val="clear" w:color="auto" w:fill="BFBFBF" w:themeFill="background1" w:themeFillShade="BF"/>
          </w:tcPr>
          <w:p w14:paraId="69502E7D" w14:textId="31A53498" w:rsidR="00CE5734" w:rsidRPr="00CE5734" w:rsidRDefault="00CE5734" w:rsidP="00CE5734">
            <w:pPr>
              <w:rPr>
                <w:rFonts w:ascii="Arial" w:hAnsi="Arial" w:cs="Arial"/>
                <w:sz w:val="20"/>
                <w:szCs w:val="20"/>
              </w:rPr>
            </w:pPr>
            <w:r w:rsidRPr="00CE5734">
              <w:rPr>
                <w:rFonts w:ascii="Arial" w:hAnsi="Arial" w:cs="Arial"/>
                <w:sz w:val="20"/>
                <w:szCs w:val="20"/>
              </w:rPr>
              <w:t>NOT USED</w:t>
            </w:r>
          </w:p>
        </w:tc>
        <w:tc>
          <w:tcPr>
            <w:tcW w:w="1128" w:type="dxa"/>
            <w:shd w:val="clear" w:color="auto" w:fill="BFBFBF" w:themeFill="background1" w:themeFillShade="BF"/>
          </w:tcPr>
          <w:p w14:paraId="441451B1" w14:textId="77777777" w:rsidR="00CE5734" w:rsidRPr="00CE5734" w:rsidRDefault="00CE5734" w:rsidP="00CE5734">
            <w:pPr>
              <w:rPr>
                <w:rFonts w:ascii="Arial" w:hAnsi="Arial" w:cs="Arial"/>
                <w:sz w:val="20"/>
                <w:szCs w:val="20"/>
              </w:rPr>
            </w:pPr>
          </w:p>
        </w:tc>
      </w:tr>
      <w:tr w:rsidR="00CE5734" w:rsidRPr="000E5786" w14:paraId="76C1614A" w14:textId="77777777" w:rsidTr="00FC611C">
        <w:tc>
          <w:tcPr>
            <w:tcW w:w="704" w:type="dxa"/>
          </w:tcPr>
          <w:p w14:paraId="03431936" w14:textId="29DF7F4A" w:rsidR="00CE5734" w:rsidRPr="00CE5734" w:rsidRDefault="00CE5734" w:rsidP="00CE5734">
            <w:pPr>
              <w:rPr>
                <w:rFonts w:ascii="Arial" w:hAnsi="Arial" w:cs="Arial"/>
                <w:sz w:val="20"/>
                <w:szCs w:val="20"/>
              </w:rPr>
            </w:pPr>
            <w:r w:rsidRPr="00CE5734">
              <w:rPr>
                <w:rFonts w:ascii="Arial" w:hAnsi="Arial" w:cs="Arial"/>
                <w:sz w:val="20"/>
                <w:szCs w:val="20"/>
              </w:rPr>
              <w:t>5</w:t>
            </w:r>
          </w:p>
        </w:tc>
        <w:tc>
          <w:tcPr>
            <w:tcW w:w="7229" w:type="dxa"/>
          </w:tcPr>
          <w:p w14:paraId="402AEEC7" w14:textId="26F3B79C" w:rsidR="00CE5734" w:rsidRPr="00CE5734" w:rsidRDefault="00CE5734" w:rsidP="00CE5734">
            <w:pPr>
              <w:rPr>
                <w:rFonts w:ascii="Arial" w:hAnsi="Arial" w:cs="Arial"/>
                <w:sz w:val="20"/>
                <w:szCs w:val="20"/>
              </w:rPr>
            </w:pPr>
            <w:r w:rsidRPr="00CE5734">
              <w:rPr>
                <w:rFonts w:ascii="Arial" w:hAnsi="Arial" w:cs="Arial"/>
                <w:sz w:val="20"/>
                <w:szCs w:val="20"/>
              </w:rPr>
              <w:t>Software</w:t>
            </w:r>
          </w:p>
        </w:tc>
        <w:tc>
          <w:tcPr>
            <w:tcW w:w="1128" w:type="dxa"/>
          </w:tcPr>
          <w:p w14:paraId="4A17310B" w14:textId="77777777" w:rsidR="00CE5734" w:rsidRPr="00CE5734" w:rsidRDefault="00CE5734" w:rsidP="00CE5734">
            <w:pPr>
              <w:rPr>
                <w:rFonts w:ascii="Arial" w:hAnsi="Arial" w:cs="Arial"/>
                <w:sz w:val="20"/>
                <w:szCs w:val="20"/>
              </w:rPr>
            </w:pPr>
          </w:p>
        </w:tc>
      </w:tr>
      <w:tr w:rsidR="00D55AF1" w:rsidRPr="000E5786" w14:paraId="790EC5BD" w14:textId="77777777" w:rsidTr="00FC611C">
        <w:tc>
          <w:tcPr>
            <w:tcW w:w="704" w:type="dxa"/>
          </w:tcPr>
          <w:p w14:paraId="404D1782" w14:textId="4D509B84" w:rsidR="00D55AF1" w:rsidRPr="00CE5734" w:rsidRDefault="006A4941" w:rsidP="00CE5734">
            <w:pPr>
              <w:rPr>
                <w:rFonts w:ascii="Arial" w:hAnsi="Arial" w:cs="Arial"/>
                <w:sz w:val="20"/>
                <w:szCs w:val="20"/>
              </w:rPr>
            </w:pPr>
            <w:r w:rsidRPr="00CE5734">
              <w:rPr>
                <w:rFonts w:ascii="Arial" w:hAnsi="Arial" w:cs="Arial"/>
                <w:sz w:val="20"/>
                <w:szCs w:val="20"/>
              </w:rPr>
              <w:t>6.1</w:t>
            </w:r>
          </w:p>
        </w:tc>
        <w:tc>
          <w:tcPr>
            <w:tcW w:w="7229" w:type="dxa"/>
          </w:tcPr>
          <w:p w14:paraId="688BB7EE" w14:textId="4A26CF5F" w:rsidR="00D55AF1" w:rsidRPr="00CE5734" w:rsidRDefault="006A4941" w:rsidP="00CE5734">
            <w:pPr>
              <w:rPr>
                <w:rFonts w:ascii="Arial" w:hAnsi="Arial" w:cs="Arial"/>
                <w:sz w:val="20"/>
                <w:szCs w:val="20"/>
              </w:rPr>
            </w:pPr>
            <w:r w:rsidRPr="00CE5734">
              <w:rPr>
                <w:rFonts w:ascii="Arial" w:hAnsi="Arial" w:cs="Arial"/>
                <w:sz w:val="20"/>
                <w:szCs w:val="20"/>
              </w:rPr>
              <w:t>Project Template Sheet</w:t>
            </w:r>
          </w:p>
        </w:tc>
        <w:tc>
          <w:tcPr>
            <w:tcW w:w="1128" w:type="dxa"/>
          </w:tcPr>
          <w:p w14:paraId="531C2044" w14:textId="22C02F19" w:rsidR="00D55AF1" w:rsidRPr="00CE5734" w:rsidRDefault="00D55AF1" w:rsidP="00CE5734">
            <w:pPr>
              <w:rPr>
                <w:rFonts w:ascii="Arial" w:hAnsi="Arial" w:cs="Arial"/>
                <w:sz w:val="20"/>
                <w:szCs w:val="20"/>
              </w:rPr>
            </w:pPr>
          </w:p>
        </w:tc>
      </w:tr>
      <w:tr w:rsidR="00CE5734" w:rsidRPr="000E5786" w14:paraId="5F6DA69B" w14:textId="77777777" w:rsidTr="00FC611C">
        <w:tc>
          <w:tcPr>
            <w:tcW w:w="704" w:type="dxa"/>
          </w:tcPr>
          <w:p w14:paraId="511BF027" w14:textId="57EA6FF8" w:rsidR="00CE5734" w:rsidRPr="00CE5734" w:rsidRDefault="00CE5734" w:rsidP="00CE5734">
            <w:pPr>
              <w:rPr>
                <w:rFonts w:ascii="Arial" w:hAnsi="Arial" w:cs="Arial"/>
                <w:sz w:val="20"/>
                <w:szCs w:val="20"/>
              </w:rPr>
            </w:pPr>
            <w:r w:rsidRPr="00CE5734">
              <w:rPr>
                <w:rFonts w:ascii="Arial" w:hAnsi="Arial" w:cs="Arial"/>
                <w:sz w:val="20"/>
                <w:szCs w:val="20"/>
              </w:rPr>
              <w:t>6.2</w:t>
            </w:r>
          </w:p>
        </w:tc>
        <w:tc>
          <w:tcPr>
            <w:tcW w:w="7229" w:type="dxa"/>
          </w:tcPr>
          <w:p w14:paraId="37D8F258" w14:textId="3B68988F" w:rsidR="00CE5734" w:rsidRPr="00CE5734" w:rsidRDefault="00CE5734" w:rsidP="00CE5734">
            <w:pPr>
              <w:rPr>
                <w:rFonts w:ascii="Arial" w:hAnsi="Arial" w:cs="Arial"/>
                <w:sz w:val="20"/>
                <w:szCs w:val="20"/>
              </w:rPr>
            </w:pPr>
            <w:r>
              <w:rPr>
                <w:rFonts w:ascii="Arial" w:hAnsi="Arial" w:cs="Arial"/>
                <w:sz w:val="20"/>
                <w:szCs w:val="20"/>
              </w:rPr>
              <w:t>Project Services</w:t>
            </w:r>
          </w:p>
        </w:tc>
        <w:tc>
          <w:tcPr>
            <w:tcW w:w="1128" w:type="dxa"/>
          </w:tcPr>
          <w:p w14:paraId="18D5DC35" w14:textId="77777777" w:rsidR="00CE5734" w:rsidRPr="00CE5734" w:rsidRDefault="00CE5734" w:rsidP="00CE5734">
            <w:pPr>
              <w:rPr>
                <w:rFonts w:ascii="Arial" w:hAnsi="Arial" w:cs="Arial"/>
                <w:sz w:val="20"/>
                <w:szCs w:val="20"/>
              </w:rPr>
            </w:pPr>
          </w:p>
        </w:tc>
      </w:tr>
      <w:tr w:rsidR="00CE5734" w:rsidRPr="000E5786" w14:paraId="6BF7FF4A" w14:textId="77777777" w:rsidTr="00FC611C">
        <w:tc>
          <w:tcPr>
            <w:tcW w:w="704" w:type="dxa"/>
          </w:tcPr>
          <w:p w14:paraId="2A585C1D" w14:textId="21C5AB7A" w:rsidR="00CE5734" w:rsidRPr="00CE5734" w:rsidRDefault="00CE5734" w:rsidP="00CE5734">
            <w:pPr>
              <w:rPr>
                <w:rFonts w:ascii="Arial" w:hAnsi="Arial" w:cs="Arial"/>
                <w:sz w:val="20"/>
                <w:szCs w:val="20"/>
              </w:rPr>
            </w:pPr>
            <w:r w:rsidRPr="00CE5734">
              <w:rPr>
                <w:rFonts w:ascii="Arial" w:hAnsi="Arial" w:cs="Arial"/>
                <w:sz w:val="20"/>
                <w:szCs w:val="20"/>
              </w:rPr>
              <w:t>6.3</w:t>
            </w:r>
          </w:p>
        </w:tc>
        <w:tc>
          <w:tcPr>
            <w:tcW w:w="7229" w:type="dxa"/>
          </w:tcPr>
          <w:p w14:paraId="1AD296CF" w14:textId="0CE10C76" w:rsidR="00CE5734" w:rsidRPr="00CE5734" w:rsidRDefault="004B457B" w:rsidP="00CE5734">
            <w:pPr>
              <w:rPr>
                <w:rFonts w:ascii="Arial" w:hAnsi="Arial" w:cs="Arial"/>
                <w:sz w:val="20"/>
                <w:szCs w:val="20"/>
              </w:rPr>
            </w:pPr>
            <w:r>
              <w:rPr>
                <w:rFonts w:ascii="Arial" w:hAnsi="Arial" w:cs="Arial"/>
                <w:sz w:val="20"/>
                <w:szCs w:val="20"/>
              </w:rPr>
              <w:t>Testing Procedures</w:t>
            </w:r>
          </w:p>
        </w:tc>
        <w:tc>
          <w:tcPr>
            <w:tcW w:w="1128" w:type="dxa"/>
          </w:tcPr>
          <w:p w14:paraId="1BF0479C" w14:textId="77777777" w:rsidR="00CE5734" w:rsidRPr="00CE5734" w:rsidRDefault="00CE5734" w:rsidP="00CE5734">
            <w:pPr>
              <w:rPr>
                <w:rFonts w:ascii="Arial" w:hAnsi="Arial" w:cs="Arial"/>
                <w:sz w:val="20"/>
                <w:szCs w:val="20"/>
              </w:rPr>
            </w:pPr>
          </w:p>
        </w:tc>
      </w:tr>
      <w:tr w:rsidR="00CE5734" w:rsidRPr="000E5786" w14:paraId="6DCD4071" w14:textId="77777777" w:rsidTr="00FC611C">
        <w:tc>
          <w:tcPr>
            <w:tcW w:w="704" w:type="dxa"/>
          </w:tcPr>
          <w:p w14:paraId="120919EA" w14:textId="5EF5833B" w:rsidR="00CE5734" w:rsidRPr="00CE5734" w:rsidRDefault="00CE5734" w:rsidP="00CE5734">
            <w:pPr>
              <w:rPr>
                <w:rFonts w:ascii="Arial" w:hAnsi="Arial" w:cs="Arial"/>
                <w:sz w:val="20"/>
                <w:szCs w:val="20"/>
              </w:rPr>
            </w:pPr>
            <w:r w:rsidRPr="00CE5734">
              <w:rPr>
                <w:rFonts w:ascii="Arial" w:hAnsi="Arial" w:cs="Arial"/>
                <w:sz w:val="20"/>
                <w:szCs w:val="20"/>
              </w:rPr>
              <w:t>6.4</w:t>
            </w:r>
          </w:p>
        </w:tc>
        <w:tc>
          <w:tcPr>
            <w:tcW w:w="7229" w:type="dxa"/>
          </w:tcPr>
          <w:p w14:paraId="0233E241" w14:textId="3F6861BE" w:rsidR="00CE5734" w:rsidRPr="00CE5734" w:rsidRDefault="00CE5734" w:rsidP="00CE5734">
            <w:pPr>
              <w:rPr>
                <w:rFonts w:ascii="Arial" w:hAnsi="Arial" w:cs="Arial"/>
                <w:sz w:val="20"/>
                <w:szCs w:val="20"/>
              </w:rPr>
            </w:pPr>
            <w:r>
              <w:rPr>
                <w:rFonts w:ascii="Arial" w:hAnsi="Arial" w:cs="Arial"/>
                <w:sz w:val="20"/>
                <w:szCs w:val="20"/>
              </w:rPr>
              <w:t>Initial Transition Project</w:t>
            </w:r>
          </w:p>
        </w:tc>
        <w:tc>
          <w:tcPr>
            <w:tcW w:w="1128" w:type="dxa"/>
          </w:tcPr>
          <w:p w14:paraId="1B7B8C97" w14:textId="77777777" w:rsidR="00CE5734" w:rsidRPr="00CE5734" w:rsidRDefault="00CE5734" w:rsidP="00CE5734">
            <w:pPr>
              <w:rPr>
                <w:rFonts w:ascii="Arial" w:hAnsi="Arial" w:cs="Arial"/>
                <w:sz w:val="20"/>
                <w:szCs w:val="20"/>
              </w:rPr>
            </w:pPr>
          </w:p>
        </w:tc>
      </w:tr>
      <w:tr w:rsidR="00CE5734" w:rsidRPr="000E5786" w14:paraId="1FDCE0A3" w14:textId="77777777" w:rsidTr="00FC611C">
        <w:tc>
          <w:tcPr>
            <w:tcW w:w="704" w:type="dxa"/>
          </w:tcPr>
          <w:p w14:paraId="0606E58D" w14:textId="683A15A9" w:rsidR="00CE5734" w:rsidRPr="00CE5734" w:rsidRDefault="00CE5734" w:rsidP="00CE5734">
            <w:pPr>
              <w:rPr>
                <w:rFonts w:ascii="Arial" w:hAnsi="Arial" w:cs="Arial"/>
                <w:sz w:val="20"/>
                <w:szCs w:val="20"/>
              </w:rPr>
            </w:pPr>
            <w:r w:rsidRPr="00CE5734">
              <w:rPr>
                <w:rFonts w:ascii="Arial" w:hAnsi="Arial" w:cs="Arial"/>
                <w:sz w:val="20"/>
                <w:szCs w:val="20"/>
              </w:rPr>
              <w:t>6.5</w:t>
            </w:r>
          </w:p>
        </w:tc>
        <w:tc>
          <w:tcPr>
            <w:tcW w:w="7229" w:type="dxa"/>
          </w:tcPr>
          <w:p w14:paraId="51A100C1" w14:textId="1069E455" w:rsidR="00CE5734" w:rsidRPr="00CE5734" w:rsidRDefault="00CE5734" w:rsidP="00CE5734">
            <w:pPr>
              <w:rPr>
                <w:rFonts w:ascii="Arial" w:hAnsi="Arial" w:cs="Arial"/>
                <w:sz w:val="20"/>
                <w:szCs w:val="20"/>
              </w:rPr>
            </w:pPr>
            <w:r>
              <w:rPr>
                <w:rFonts w:ascii="Arial" w:hAnsi="Arial" w:cs="Arial"/>
                <w:sz w:val="20"/>
                <w:szCs w:val="20"/>
              </w:rPr>
              <w:t>Migration Project</w:t>
            </w:r>
          </w:p>
        </w:tc>
        <w:tc>
          <w:tcPr>
            <w:tcW w:w="1128" w:type="dxa"/>
          </w:tcPr>
          <w:p w14:paraId="28A6BE3D" w14:textId="77777777" w:rsidR="00CE5734" w:rsidRPr="00CE5734" w:rsidRDefault="00CE5734" w:rsidP="00CE5734">
            <w:pPr>
              <w:rPr>
                <w:rFonts w:ascii="Arial" w:hAnsi="Arial" w:cs="Arial"/>
                <w:sz w:val="20"/>
                <w:szCs w:val="20"/>
              </w:rPr>
            </w:pPr>
          </w:p>
        </w:tc>
      </w:tr>
      <w:tr w:rsidR="00CE5734" w:rsidRPr="000E5786" w14:paraId="4E63DEFF" w14:textId="77777777" w:rsidTr="00FC611C">
        <w:tc>
          <w:tcPr>
            <w:tcW w:w="704" w:type="dxa"/>
          </w:tcPr>
          <w:p w14:paraId="1CA8357C" w14:textId="6E96EB39" w:rsidR="00CE5734" w:rsidRPr="00CE5734" w:rsidRDefault="00CE5734" w:rsidP="00CE5734">
            <w:pPr>
              <w:rPr>
                <w:rFonts w:ascii="Arial" w:hAnsi="Arial" w:cs="Arial"/>
                <w:sz w:val="20"/>
                <w:szCs w:val="20"/>
              </w:rPr>
            </w:pPr>
            <w:r w:rsidRPr="00CE5734">
              <w:rPr>
                <w:rFonts w:ascii="Arial" w:hAnsi="Arial" w:cs="Arial"/>
                <w:sz w:val="20"/>
                <w:szCs w:val="20"/>
              </w:rPr>
              <w:t>7.1</w:t>
            </w:r>
          </w:p>
        </w:tc>
        <w:tc>
          <w:tcPr>
            <w:tcW w:w="7229" w:type="dxa"/>
          </w:tcPr>
          <w:p w14:paraId="7C189A14" w14:textId="1EF8F905" w:rsidR="00CE5734" w:rsidRPr="00CE5734" w:rsidRDefault="00CE5734" w:rsidP="00CE5734">
            <w:pPr>
              <w:rPr>
                <w:rFonts w:ascii="Arial" w:hAnsi="Arial" w:cs="Arial"/>
                <w:sz w:val="20"/>
                <w:szCs w:val="20"/>
              </w:rPr>
            </w:pPr>
            <w:r>
              <w:rPr>
                <w:rFonts w:ascii="Arial" w:hAnsi="Arial" w:cs="Arial"/>
                <w:sz w:val="20"/>
                <w:szCs w:val="20"/>
              </w:rPr>
              <w:t>Charges and Invoicing</w:t>
            </w:r>
          </w:p>
        </w:tc>
        <w:tc>
          <w:tcPr>
            <w:tcW w:w="1128" w:type="dxa"/>
          </w:tcPr>
          <w:p w14:paraId="56DBEEC5" w14:textId="77777777" w:rsidR="00CE5734" w:rsidRPr="00CE5734" w:rsidRDefault="00CE5734" w:rsidP="00CE5734">
            <w:pPr>
              <w:rPr>
                <w:rFonts w:ascii="Arial" w:hAnsi="Arial" w:cs="Arial"/>
                <w:sz w:val="20"/>
                <w:szCs w:val="20"/>
              </w:rPr>
            </w:pPr>
          </w:p>
        </w:tc>
      </w:tr>
      <w:tr w:rsidR="00CE5734" w:rsidRPr="000E5786" w14:paraId="7AD23D17" w14:textId="77777777" w:rsidTr="00FC611C">
        <w:tc>
          <w:tcPr>
            <w:tcW w:w="704" w:type="dxa"/>
          </w:tcPr>
          <w:p w14:paraId="3C1E0FD6" w14:textId="13B6B4F9" w:rsidR="00CE5734" w:rsidRPr="00CE5734" w:rsidRDefault="00CE5734" w:rsidP="00CE5734">
            <w:pPr>
              <w:rPr>
                <w:rFonts w:ascii="Arial" w:hAnsi="Arial" w:cs="Arial"/>
                <w:sz w:val="20"/>
                <w:szCs w:val="20"/>
              </w:rPr>
            </w:pPr>
            <w:r w:rsidRPr="00CE5734">
              <w:rPr>
                <w:rFonts w:ascii="Arial" w:hAnsi="Arial" w:cs="Arial"/>
                <w:sz w:val="20"/>
                <w:szCs w:val="20"/>
              </w:rPr>
              <w:t>7.2</w:t>
            </w:r>
          </w:p>
        </w:tc>
        <w:tc>
          <w:tcPr>
            <w:tcW w:w="7229" w:type="dxa"/>
          </w:tcPr>
          <w:p w14:paraId="68525A4F" w14:textId="105EF28D" w:rsidR="00CE5734" w:rsidRPr="00CE5734" w:rsidRDefault="00CE5734" w:rsidP="00CE5734">
            <w:pPr>
              <w:rPr>
                <w:rFonts w:ascii="Arial" w:hAnsi="Arial" w:cs="Arial"/>
                <w:sz w:val="20"/>
                <w:szCs w:val="20"/>
              </w:rPr>
            </w:pPr>
            <w:r>
              <w:rPr>
                <w:rFonts w:ascii="Arial" w:hAnsi="Arial" w:cs="Arial"/>
                <w:sz w:val="20"/>
                <w:szCs w:val="20"/>
              </w:rPr>
              <w:t>Service Credits</w:t>
            </w:r>
          </w:p>
        </w:tc>
        <w:tc>
          <w:tcPr>
            <w:tcW w:w="1128" w:type="dxa"/>
          </w:tcPr>
          <w:p w14:paraId="3A5F732C" w14:textId="77777777" w:rsidR="00CE5734" w:rsidRPr="00CE5734" w:rsidRDefault="00CE5734" w:rsidP="00CE5734">
            <w:pPr>
              <w:rPr>
                <w:rFonts w:ascii="Arial" w:hAnsi="Arial" w:cs="Arial"/>
                <w:sz w:val="20"/>
                <w:szCs w:val="20"/>
              </w:rPr>
            </w:pPr>
          </w:p>
        </w:tc>
      </w:tr>
      <w:tr w:rsidR="00D55AF1" w:rsidRPr="000E5786" w14:paraId="4F234404" w14:textId="77777777" w:rsidTr="00FC611C">
        <w:tc>
          <w:tcPr>
            <w:tcW w:w="704" w:type="dxa"/>
          </w:tcPr>
          <w:p w14:paraId="46C4D939" w14:textId="32FAD0B3" w:rsidR="00D55AF1" w:rsidRPr="00CE5734" w:rsidRDefault="006A4941" w:rsidP="00CE5734">
            <w:pPr>
              <w:rPr>
                <w:rFonts w:ascii="Arial" w:hAnsi="Arial" w:cs="Arial"/>
                <w:sz w:val="20"/>
                <w:szCs w:val="20"/>
              </w:rPr>
            </w:pPr>
            <w:r w:rsidRPr="00CE5734">
              <w:rPr>
                <w:rFonts w:ascii="Arial" w:hAnsi="Arial" w:cs="Arial"/>
                <w:sz w:val="20"/>
                <w:szCs w:val="20"/>
              </w:rPr>
              <w:t>7.3</w:t>
            </w:r>
          </w:p>
        </w:tc>
        <w:tc>
          <w:tcPr>
            <w:tcW w:w="7229" w:type="dxa"/>
          </w:tcPr>
          <w:p w14:paraId="08CE3966" w14:textId="54C73788" w:rsidR="00D55AF1" w:rsidRPr="00CE5734" w:rsidRDefault="006A4941" w:rsidP="00CE5734">
            <w:pPr>
              <w:rPr>
                <w:rFonts w:ascii="Arial" w:hAnsi="Arial" w:cs="Arial"/>
                <w:sz w:val="20"/>
                <w:szCs w:val="20"/>
              </w:rPr>
            </w:pPr>
            <w:r w:rsidRPr="00CE5734">
              <w:rPr>
                <w:rFonts w:ascii="Arial" w:hAnsi="Arial" w:cs="Arial"/>
                <w:sz w:val="20"/>
                <w:szCs w:val="20"/>
              </w:rPr>
              <w:t>Benchmarking</w:t>
            </w:r>
          </w:p>
        </w:tc>
        <w:tc>
          <w:tcPr>
            <w:tcW w:w="1128" w:type="dxa"/>
          </w:tcPr>
          <w:p w14:paraId="6A7CC1CA" w14:textId="41DB94EB" w:rsidR="00D55AF1" w:rsidRPr="00CE5734" w:rsidRDefault="00D55AF1" w:rsidP="00CE5734">
            <w:pPr>
              <w:rPr>
                <w:rFonts w:ascii="Arial" w:hAnsi="Arial" w:cs="Arial"/>
                <w:sz w:val="20"/>
                <w:szCs w:val="20"/>
              </w:rPr>
            </w:pPr>
          </w:p>
        </w:tc>
      </w:tr>
      <w:tr w:rsidR="00D55AF1" w:rsidRPr="000E5786" w14:paraId="164AE69D" w14:textId="77777777" w:rsidTr="00FC611C">
        <w:tc>
          <w:tcPr>
            <w:tcW w:w="704" w:type="dxa"/>
          </w:tcPr>
          <w:p w14:paraId="16F51AEF" w14:textId="29F37AE8" w:rsidR="00D55AF1" w:rsidRPr="00CE5734" w:rsidRDefault="006A4941" w:rsidP="00CE5734">
            <w:pPr>
              <w:rPr>
                <w:rFonts w:ascii="Arial" w:hAnsi="Arial" w:cs="Arial"/>
                <w:sz w:val="20"/>
                <w:szCs w:val="20"/>
              </w:rPr>
            </w:pPr>
            <w:r w:rsidRPr="00CE5734">
              <w:rPr>
                <w:rFonts w:ascii="Arial" w:hAnsi="Arial" w:cs="Arial"/>
                <w:sz w:val="20"/>
                <w:szCs w:val="20"/>
              </w:rPr>
              <w:t>7.4</w:t>
            </w:r>
          </w:p>
        </w:tc>
        <w:tc>
          <w:tcPr>
            <w:tcW w:w="7229" w:type="dxa"/>
          </w:tcPr>
          <w:p w14:paraId="5416EF41" w14:textId="4B319A78" w:rsidR="00D55AF1" w:rsidRPr="00CE5734" w:rsidRDefault="006A4941" w:rsidP="00CE5734">
            <w:pPr>
              <w:rPr>
                <w:rFonts w:ascii="Arial" w:hAnsi="Arial" w:cs="Arial"/>
                <w:sz w:val="20"/>
                <w:szCs w:val="20"/>
              </w:rPr>
            </w:pPr>
            <w:r w:rsidRPr="00CE5734">
              <w:rPr>
                <w:rFonts w:ascii="Arial" w:hAnsi="Arial" w:cs="Arial"/>
                <w:sz w:val="20"/>
                <w:szCs w:val="20"/>
              </w:rPr>
              <w:t xml:space="preserve">Product and Service Catalogue </w:t>
            </w:r>
          </w:p>
        </w:tc>
        <w:tc>
          <w:tcPr>
            <w:tcW w:w="1128" w:type="dxa"/>
          </w:tcPr>
          <w:p w14:paraId="0EE585CE" w14:textId="1FECD61D" w:rsidR="00D55AF1" w:rsidRPr="00CE5734" w:rsidRDefault="00D55AF1" w:rsidP="00CE5734">
            <w:pPr>
              <w:rPr>
                <w:rFonts w:ascii="Arial" w:hAnsi="Arial" w:cs="Arial"/>
                <w:sz w:val="20"/>
                <w:szCs w:val="20"/>
              </w:rPr>
            </w:pPr>
          </w:p>
        </w:tc>
      </w:tr>
      <w:tr w:rsidR="00CE5734" w:rsidRPr="000E5786" w14:paraId="619BD327" w14:textId="77777777" w:rsidTr="00CE5734">
        <w:tc>
          <w:tcPr>
            <w:tcW w:w="704" w:type="dxa"/>
            <w:shd w:val="clear" w:color="auto" w:fill="BFBFBF" w:themeFill="background1" w:themeFillShade="BF"/>
          </w:tcPr>
          <w:p w14:paraId="09BCCC44" w14:textId="03A8F14F" w:rsidR="00CE5734" w:rsidRPr="00CE5734" w:rsidRDefault="00CE5734" w:rsidP="00CE5734">
            <w:pPr>
              <w:rPr>
                <w:rFonts w:ascii="Arial" w:hAnsi="Arial" w:cs="Arial"/>
                <w:sz w:val="20"/>
                <w:szCs w:val="20"/>
              </w:rPr>
            </w:pPr>
            <w:r w:rsidRPr="00CE5734">
              <w:rPr>
                <w:rFonts w:ascii="Arial" w:hAnsi="Arial" w:cs="Arial"/>
                <w:sz w:val="20"/>
                <w:szCs w:val="20"/>
              </w:rPr>
              <w:t>7.5</w:t>
            </w:r>
          </w:p>
        </w:tc>
        <w:tc>
          <w:tcPr>
            <w:tcW w:w="7229" w:type="dxa"/>
            <w:shd w:val="clear" w:color="auto" w:fill="BFBFBF" w:themeFill="background1" w:themeFillShade="BF"/>
          </w:tcPr>
          <w:p w14:paraId="2AF51084" w14:textId="13A75BCF" w:rsidR="00CE5734" w:rsidRPr="00CE5734" w:rsidRDefault="00CE5734" w:rsidP="00CE5734">
            <w:pPr>
              <w:rPr>
                <w:rFonts w:ascii="Arial" w:hAnsi="Arial" w:cs="Arial"/>
                <w:sz w:val="20"/>
                <w:szCs w:val="20"/>
              </w:rPr>
            </w:pPr>
            <w:r>
              <w:rPr>
                <w:rFonts w:ascii="Arial" w:hAnsi="Arial" w:cs="Arial"/>
                <w:sz w:val="20"/>
                <w:szCs w:val="20"/>
              </w:rPr>
              <w:t>NOT USED</w:t>
            </w:r>
          </w:p>
        </w:tc>
        <w:tc>
          <w:tcPr>
            <w:tcW w:w="1128" w:type="dxa"/>
            <w:shd w:val="clear" w:color="auto" w:fill="BFBFBF" w:themeFill="background1" w:themeFillShade="BF"/>
          </w:tcPr>
          <w:p w14:paraId="16875A31" w14:textId="77777777" w:rsidR="00CE5734" w:rsidRPr="00CE5734" w:rsidRDefault="00CE5734" w:rsidP="00CE5734">
            <w:pPr>
              <w:rPr>
                <w:rFonts w:ascii="Arial" w:hAnsi="Arial" w:cs="Arial"/>
                <w:sz w:val="20"/>
                <w:szCs w:val="20"/>
              </w:rPr>
            </w:pPr>
          </w:p>
        </w:tc>
      </w:tr>
      <w:tr w:rsidR="00CE5734" w:rsidRPr="000E5786" w14:paraId="0EF632F2" w14:textId="77777777" w:rsidTr="00FC611C">
        <w:tc>
          <w:tcPr>
            <w:tcW w:w="704" w:type="dxa"/>
          </w:tcPr>
          <w:p w14:paraId="7D770E68" w14:textId="526B44FE" w:rsidR="00CE5734" w:rsidRPr="00CE5734" w:rsidRDefault="00CE5734" w:rsidP="00CE5734">
            <w:pPr>
              <w:rPr>
                <w:rFonts w:ascii="Arial" w:hAnsi="Arial" w:cs="Arial"/>
                <w:sz w:val="20"/>
                <w:szCs w:val="20"/>
              </w:rPr>
            </w:pPr>
            <w:r w:rsidRPr="00CE5734">
              <w:rPr>
                <w:rFonts w:ascii="Arial" w:hAnsi="Arial" w:cs="Arial"/>
                <w:sz w:val="20"/>
                <w:szCs w:val="20"/>
              </w:rPr>
              <w:t>7.6</w:t>
            </w:r>
          </w:p>
        </w:tc>
        <w:tc>
          <w:tcPr>
            <w:tcW w:w="7229" w:type="dxa"/>
          </w:tcPr>
          <w:p w14:paraId="5B70A46B" w14:textId="5B44404D" w:rsidR="00CE5734" w:rsidRPr="00CE5734" w:rsidRDefault="00CE5734" w:rsidP="00CE5734">
            <w:pPr>
              <w:rPr>
                <w:rFonts w:ascii="Arial" w:hAnsi="Arial" w:cs="Arial"/>
                <w:sz w:val="20"/>
                <w:szCs w:val="20"/>
              </w:rPr>
            </w:pPr>
            <w:r>
              <w:rPr>
                <w:rFonts w:ascii="Arial" w:hAnsi="Arial" w:cs="Arial"/>
                <w:sz w:val="20"/>
                <w:szCs w:val="20"/>
              </w:rPr>
              <w:t>Financial Reports and Audit Rights</w:t>
            </w:r>
          </w:p>
        </w:tc>
        <w:tc>
          <w:tcPr>
            <w:tcW w:w="1128" w:type="dxa"/>
          </w:tcPr>
          <w:p w14:paraId="0B60785D" w14:textId="77777777" w:rsidR="00CE5734" w:rsidRPr="00CE5734" w:rsidRDefault="00CE5734" w:rsidP="00CE5734">
            <w:pPr>
              <w:rPr>
                <w:rFonts w:ascii="Arial" w:hAnsi="Arial" w:cs="Arial"/>
                <w:sz w:val="20"/>
                <w:szCs w:val="20"/>
              </w:rPr>
            </w:pPr>
          </w:p>
        </w:tc>
      </w:tr>
      <w:tr w:rsidR="00CE5734" w:rsidRPr="000E5786" w14:paraId="6120BC96" w14:textId="77777777" w:rsidTr="00FC611C">
        <w:tc>
          <w:tcPr>
            <w:tcW w:w="704" w:type="dxa"/>
          </w:tcPr>
          <w:p w14:paraId="5B554370" w14:textId="04A3F532" w:rsidR="00CE5734" w:rsidRPr="00CE5734" w:rsidRDefault="00CE5734" w:rsidP="00CE5734">
            <w:pPr>
              <w:rPr>
                <w:rFonts w:ascii="Arial" w:hAnsi="Arial" w:cs="Arial"/>
                <w:sz w:val="20"/>
                <w:szCs w:val="20"/>
              </w:rPr>
            </w:pPr>
            <w:r w:rsidRPr="00CE5734">
              <w:rPr>
                <w:rFonts w:ascii="Arial" w:hAnsi="Arial" w:cs="Arial"/>
                <w:sz w:val="20"/>
                <w:szCs w:val="20"/>
              </w:rPr>
              <w:t>7.7</w:t>
            </w:r>
          </w:p>
        </w:tc>
        <w:tc>
          <w:tcPr>
            <w:tcW w:w="7229" w:type="dxa"/>
          </w:tcPr>
          <w:p w14:paraId="7109036A" w14:textId="709CA582" w:rsidR="00CE5734" w:rsidRPr="00CE5734" w:rsidRDefault="00CE5734" w:rsidP="00CE5734">
            <w:pPr>
              <w:rPr>
                <w:rFonts w:ascii="Arial" w:hAnsi="Arial" w:cs="Arial"/>
                <w:sz w:val="20"/>
                <w:szCs w:val="20"/>
              </w:rPr>
            </w:pPr>
            <w:r>
              <w:rPr>
                <w:rFonts w:ascii="Arial" w:hAnsi="Arial" w:cs="Arial"/>
                <w:sz w:val="20"/>
                <w:szCs w:val="20"/>
              </w:rPr>
              <w:t xml:space="preserve">Anticipated Savings </w:t>
            </w:r>
          </w:p>
        </w:tc>
        <w:tc>
          <w:tcPr>
            <w:tcW w:w="1128" w:type="dxa"/>
          </w:tcPr>
          <w:p w14:paraId="01D4F0A6" w14:textId="77777777" w:rsidR="00CE5734" w:rsidRPr="00CE5734" w:rsidRDefault="00CE5734" w:rsidP="00CE5734">
            <w:pPr>
              <w:rPr>
                <w:rFonts w:ascii="Arial" w:hAnsi="Arial" w:cs="Arial"/>
                <w:sz w:val="20"/>
                <w:szCs w:val="20"/>
              </w:rPr>
            </w:pPr>
          </w:p>
        </w:tc>
      </w:tr>
      <w:tr w:rsidR="00CE5734" w:rsidRPr="000E5786" w14:paraId="06CF3859" w14:textId="77777777" w:rsidTr="00CE5734">
        <w:tc>
          <w:tcPr>
            <w:tcW w:w="704" w:type="dxa"/>
            <w:shd w:val="clear" w:color="auto" w:fill="BFBFBF" w:themeFill="background1" w:themeFillShade="BF"/>
          </w:tcPr>
          <w:p w14:paraId="79F9D5FC" w14:textId="1F46D6D8" w:rsidR="00CE5734" w:rsidRPr="00CE5734" w:rsidRDefault="00CE5734" w:rsidP="00CE5734">
            <w:pPr>
              <w:rPr>
                <w:rFonts w:ascii="Arial" w:hAnsi="Arial" w:cs="Arial"/>
                <w:sz w:val="20"/>
                <w:szCs w:val="20"/>
              </w:rPr>
            </w:pPr>
            <w:r w:rsidRPr="00CE5734">
              <w:rPr>
                <w:rFonts w:ascii="Arial" w:hAnsi="Arial" w:cs="Arial"/>
                <w:sz w:val="20"/>
                <w:szCs w:val="20"/>
              </w:rPr>
              <w:t>7.8</w:t>
            </w:r>
          </w:p>
        </w:tc>
        <w:tc>
          <w:tcPr>
            <w:tcW w:w="7229" w:type="dxa"/>
            <w:shd w:val="clear" w:color="auto" w:fill="BFBFBF" w:themeFill="background1" w:themeFillShade="BF"/>
          </w:tcPr>
          <w:p w14:paraId="00932C65" w14:textId="34AE222E" w:rsidR="00CE5734" w:rsidRPr="00CE5734" w:rsidRDefault="00CE5734" w:rsidP="00CE5734">
            <w:pPr>
              <w:rPr>
                <w:rFonts w:ascii="Arial" w:hAnsi="Arial" w:cs="Arial"/>
                <w:sz w:val="20"/>
                <w:szCs w:val="20"/>
              </w:rPr>
            </w:pPr>
            <w:r>
              <w:rPr>
                <w:rFonts w:ascii="Arial" w:hAnsi="Arial" w:cs="Arial"/>
                <w:sz w:val="20"/>
                <w:szCs w:val="20"/>
              </w:rPr>
              <w:t>NOT USED</w:t>
            </w:r>
          </w:p>
        </w:tc>
        <w:tc>
          <w:tcPr>
            <w:tcW w:w="1128" w:type="dxa"/>
            <w:shd w:val="clear" w:color="auto" w:fill="BFBFBF" w:themeFill="background1" w:themeFillShade="BF"/>
          </w:tcPr>
          <w:p w14:paraId="291ADE4F" w14:textId="77777777" w:rsidR="00CE5734" w:rsidRPr="00CE5734" w:rsidRDefault="00CE5734" w:rsidP="00CE5734">
            <w:pPr>
              <w:rPr>
                <w:rFonts w:ascii="Arial" w:hAnsi="Arial" w:cs="Arial"/>
                <w:sz w:val="20"/>
                <w:szCs w:val="20"/>
              </w:rPr>
            </w:pPr>
          </w:p>
        </w:tc>
      </w:tr>
      <w:tr w:rsidR="00CE5734" w:rsidRPr="000E5786" w14:paraId="6A38D0E3" w14:textId="77777777" w:rsidTr="00FC611C">
        <w:tc>
          <w:tcPr>
            <w:tcW w:w="704" w:type="dxa"/>
          </w:tcPr>
          <w:p w14:paraId="6CB918FE" w14:textId="59353ACB" w:rsidR="00CE5734" w:rsidRPr="00CE5734" w:rsidRDefault="00CE5734" w:rsidP="00CE5734">
            <w:pPr>
              <w:rPr>
                <w:rFonts w:ascii="Arial" w:hAnsi="Arial" w:cs="Arial"/>
                <w:sz w:val="20"/>
                <w:szCs w:val="20"/>
              </w:rPr>
            </w:pPr>
            <w:r w:rsidRPr="00CE5734">
              <w:rPr>
                <w:rFonts w:ascii="Arial" w:hAnsi="Arial" w:cs="Arial"/>
                <w:sz w:val="20"/>
                <w:szCs w:val="20"/>
              </w:rPr>
              <w:t>8.1</w:t>
            </w:r>
          </w:p>
        </w:tc>
        <w:tc>
          <w:tcPr>
            <w:tcW w:w="7229" w:type="dxa"/>
          </w:tcPr>
          <w:p w14:paraId="1400C568" w14:textId="5756D0C4" w:rsidR="00CE5734" w:rsidRPr="00CE5734" w:rsidRDefault="00CE5734" w:rsidP="00CE5734">
            <w:pPr>
              <w:rPr>
                <w:rFonts w:ascii="Arial" w:hAnsi="Arial" w:cs="Arial"/>
                <w:sz w:val="20"/>
                <w:szCs w:val="20"/>
              </w:rPr>
            </w:pPr>
            <w:r>
              <w:rPr>
                <w:rFonts w:ascii="Arial" w:hAnsi="Arial" w:cs="Arial"/>
                <w:sz w:val="20"/>
                <w:szCs w:val="20"/>
              </w:rPr>
              <w:t xml:space="preserve">Governance </w:t>
            </w:r>
          </w:p>
        </w:tc>
        <w:tc>
          <w:tcPr>
            <w:tcW w:w="1128" w:type="dxa"/>
          </w:tcPr>
          <w:p w14:paraId="7CA1E771" w14:textId="77777777" w:rsidR="00CE5734" w:rsidRPr="00CE5734" w:rsidRDefault="00CE5734" w:rsidP="00CE5734">
            <w:pPr>
              <w:rPr>
                <w:rFonts w:ascii="Arial" w:hAnsi="Arial" w:cs="Arial"/>
                <w:sz w:val="20"/>
                <w:szCs w:val="20"/>
              </w:rPr>
            </w:pPr>
          </w:p>
        </w:tc>
      </w:tr>
      <w:tr w:rsidR="006A4941" w:rsidRPr="000E5786" w14:paraId="65081326" w14:textId="77777777" w:rsidTr="006A4941">
        <w:tc>
          <w:tcPr>
            <w:tcW w:w="704" w:type="dxa"/>
          </w:tcPr>
          <w:p w14:paraId="471ACA35" w14:textId="3CE99D36" w:rsidR="006A4941" w:rsidRPr="00CE5734" w:rsidRDefault="006A4941" w:rsidP="00CE5734">
            <w:pPr>
              <w:rPr>
                <w:rFonts w:ascii="Arial" w:hAnsi="Arial" w:cs="Arial"/>
                <w:sz w:val="20"/>
                <w:szCs w:val="20"/>
              </w:rPr>
            </w:pPr>
            <w:r w:rsidRPr="00CE5734">
              <w:rPr>
                <w:rFonts w:ascii="Arial" w:hAnsi="Arial" w:cs="Arial"/>
                <w:sz w:val="20"/>
                <w:szCs w:val="20"/>
              </w:rPr>
              <w:t>8.2</w:t>
            </w:r>
          </w:p>
        </w:tc>
        <w:tc>
          <w:tcPr>
            <w:tcW w:w="7229" w:type="dxa"/>
          </w:tcPr>
          <w:p w14:paraId="69CC2333" w14:textId="18B14143" w:rsidR="006A4941" w:rsidRPr="00CE5734" w:rsidRDefault="006A4941" w:rsidP="00CE5734">
            <w:pPr>
              <w:rPr>
                <w:rFonts w:ascii="Arial" w:hAnsi="Arial" w:cs="Arial"/>
                <w:sz w:val="20"/>
                <w:szCs w:val="20"/>
              </w:rPr>
            </w:pPr>
            <w:r w:rsidRPr="00CE5734">
              <w:rPr>
                <w:rFonts w:ascii="Arial" w:hAnsi="Arial" w:cs="Arial"/>
                <w:sz w:val="20"/>
                <w:szCs w:val="20"/>
              </w:rPr>
              <w:t>Change Control Procedure</w:t>
            </w:r>
          </w:p>
        </w:tc>
        <w:tc>
          <w:tcPr>
            <w:tcW w:w="1128" w:type="dxa"/>
          </w:tcPr>
          <w:p w14:paraId="576F5476" w14:textId="5BDEC8BC" w:rsidR="006A4941" w:rsidRPr="00CE5734" w:rsidRDefault="006A4941" w:rsidP="00CE5734">
            <w:pPr>
              <w:rPr>
                <w:rFonts w:ascii="Arial" w:hAnsi="Arial" w:cs="Arial"/>
                <w:sz w:val="20"/>
                <w:szCs w:val="20"/>
              </w:rPr>
            </w:pPr>
          </w:p>
        </w:tc>
      </w:tr>
      <w:tr w:rsidR="006A4941" w:rsidRPr="000E5786" w14:paraId="22D038C3" w14:textId="77777777" w:rsidTr="006A4941">
        <w:tc>
          <w:tcPr>
            <w:tcW w:w="704" w:type="dxa"/>
          </w:tcPr>
          <w:p w14:paraId="7C2BF233" w14:textId="15EF4C26" w:rsidR="006A4941" w:rsidRPr="00CE5734" w:rsidRDefault="006A4941" w:rsidP="00CE5734">
            <w:pPr>
              <w:rPr>
                <w:rFonts w:ascii="Arial" w:hAnsi="Arial" w:cs="Arial"/>
                <w:sz w:val="20"/>
                <w:szCs w:val="20"/>
              </w:rPr>
            </w:pPr>
            <w:r w:rsidRPr="00CE5734">
              <w:rPr>
                <w:rFonts w:ascii="Arial" w:hAnsi="Arial" w:cs="Arial"/>
                <w:sz w:val="20"/>
                <w:szCs w:val="20"/>
              </w:rPr>
              <w:t>8.3</w:t>
            </w:r>
          </w:p>
        </w:tc>
        <w:tc>
          <w:tcPr>
            <w:tcW w:w="7229" w:type="dxa"/>
          </w:tcPr>
          <w:p w14:paraId="3CF796D3" w14:textId="7F229F63" w:rsidR="006A4941" w:rsidRPr="00CE5734" w:rsidRDefault="006A4941" w:rsidP="00CE5734">
            <w:pPr>
              <w:rPr>
                <w:rFonts w:ascii="Arial" w:hAnsi="Arial" w:cs="Arial"/>
                <w:sz w:val="20"/>
                <w:szCs w:val="20"/>
              </w:rPr>
            </w:pPr>
            <w:r w:rsidRPr="00CE5734">
              <w:rPr>
                <w:rFonts w:ascii="Arial" w:hAnsi="Arial" w:cs="Arial"/>
                <w:sz w:val="20"/>
                <w:szCs w:val="20"/>
              </w:rPr>
              <w:t xml:space="preserve">Dispute Resolution Procedure </w:t>
            </w:r>
          </w:p>
        </w:tc>
        <w:tc>
          <w:tcPr>
            <w:tcW w:w="1128" w:type="dxa"/>
          </w:tcPr>
          <w:p w14:paraId="0161DFB8" w14:textId="0CC7C8F7" w:rsidR="006A4941" w:rsidRPr="00CE5734" w:rsidRDefault="006A4941" w:rsidP="00CE5734">
            <w:pPr>
              <w:rPr>
                <w:rFonts w:ascii="Arial" w:hAnsi="Arial" w:cs="Arial"/>
                <w:sz w:val="20"/>
                <w:szCs w:val="20"/>
              </w:rPr>
            </w:pPr>
          </w:p>
        </w:tc>
      </w:tr>
      <w:tr w:rsidR="00CE5734" w:rsidRPr="000E5786" w14:paraId="5D70B4A5" w14:textId="77777777" w:rsidTr="006A4941">
        <w:tc>
          <w:tcPr>
            <w:tcW w:w="704" w:type="dxa"/>
          </w:tcPr>
          <w:p w14:paraId="3F47D493" w14:textId="11E918A0" w:rsidR="00CE5734" w:rsidRPr="00CE5734" w:rsidRDefault="00CE5734" w:rsidP="00CE5734">
            <w:pPr>
              <w:rPr>
                <w:rFonts w:ascii="Arial" w:hAnsi="Arial" w:cs="Arial"/>
                <w:sz w:val="20"/>
                <w:szCs w:val="20"/>
              </w:rPr>
            </w:pPr>
            <w:r w:rsidRPr="00CE5734">
              <w:rPr>
                <w:rFonts w:ascii="Arial" w:hAnsi="Arial" w:cs="Arial"/>
                <w:sz w:val="20"/>
                <w:szCs w:val="20"/>
              </w:rPr>
              <w:t>8.4</w:t>
            </w:r>
          </w:p>
        </w:tc>
        <w:tc>
          <w:tcPr>
            <w:tcW w:w="7229" w:type="dxa"/>
          </w:tcPr>
          <w:p w14:paraId="41B2DFB2" w14:textId="057CC4B5" w:rsidR="00CE5734" w:rsidRPr="00CE5734" w:rsidRDefault="00CE5734" w:rsidP="00CE5734">
            <w:pPr>
              <w:rPr>
                <w:rFonts w:ascii="Arial" w:hAnsi="Arial" w:cs="Arial"/>
                <w:sz w:val="20"/>
                <w:szCs w:val="20"/>
              </w:rPr>
            </w:pPr>
            <w:r>
              <w:rPr>
                <w:rFonts w:ascii="Arial" w:hAnsi="Arial" w:cs="Arial"/>
                <w:sz w:val="20"/>
                <w:szCs w:val="20"/>
              </w:rPr>
              <w:t>Reports and Records Provisions</w:t>
            </w:r>
          </w:p>
        </w:tc>
        <w:tc>
          <w:tcPr>
            <w:tcW w:w="1128" w:type="dxa"/>
          </w:tcPr>
          <w:p w14:paraId="063C96C5" w14:textId="77777777" w:rsidR="00CE5734" w:rsidRPr="00CE5734" w:rsidRDefault="00CE5734" w:rsidP="00CE5734">
            <w:pPr>
              <w:rPr>
                <w:rFonts w:ascii="Arial" w:hAnsi="Arial" w:cs="Arial"/>
                <w:sz w:val="20"/>
                <w:szCs w:val="20"/>
              </w:rPr>
            </w:pPr>
          </w:p>
        </w:tc>
      </w:tr>
      <w:tr w:rsidR="00CE5734" w:rsidRPr="000E5786" w14:paraId="3335F8C5" w14:textId="77777777" w:rsidTr="006A4941">
        <w:tc>
          <w:tcPr>
            <w:tcW w:w="704" w:type="dxa"/>
          </w:tcPr>
          <w:p w14:paraId="5DC43FDE" w14:textId="03F1EB33" w:rsidR="00CE5734" w:rsidRPr="00CE5734" w:rsidRDefault="00CE5734" w:rsidP="00CE5734">
            <w:pPr>
              <w:rPr>
                <w:rFonts w:ascii="Arial" w:hAnsi="Arial" w:cs="Arial"/>
                <w:sz w:val="20"/>
                <w:szCs w:val="20"/>
              </w:rPr>
            </w:pPr>
            <w:r w:rsidRPr="00CE5734">
              <w:rPr>
                <w:rFonts w:ascii="Arial" w:hAnsi="Arial" w:cs="Arial"/>
                <w:sz w:val="20"/>
                <w:szCs w:val="20"/>
              </w:rPr>
              <w:t>8.5</w:t>
            </w:r>
          </w:p>
        </w:tc>
        <w:tc>
          <w:tcPr>
            <w:tcW w:w="7229" w:type="dxa"/>
          </w:tcPr>
          <w:p w14:paraId="4CD3212F" w14:textId="2AAC73E4" w:rsidR="00CE5734" w:rsidRPr="00CE5734" w:rsidRDefault="00CE5734" w:rsidP="00CE5734">
            <w:pPr>
              <w:rPr>
                <w:rFonts w:ascii="Arial" w:hAnsi="Arial" w:cs="Arial"/>
                <w:sz w:val="20"/>
                <w:szCs w:val="20"/>
              </w:rPr>
            </w:pPr>
            <w:r>
              <w:rPr>
                <w:rFonts w:ascii="Arial" w:hAnsi="Arial" w:cs="Arial"/>
                <w:sz w:val="20"/>
                <w:szCs w:val="20"/>
              </w:rPr>
              <w:t>Exit Management</w:t>
            </w:r>
          </w:p>
        </w:tc>
        <w:tc>
          <w:tcPr>
            <w:tcW w:w="1128" w:type="dxa"/>
          </w:tcPr>
          <w:p w14:paraId="5AACD360" w14:textId="77777777" w:rsidR="00CE5734" w:rsidRPr="00CE5734" w:rsidRDefault="00CE5734" w:rsidP="00CE5734">
            <w:pPr>
              <w:rPr>
                <w:rFonts w:ascii="Arial" w:hAnsi="Arial" w:cs="Arial"/>
                <w:sz w:val="20"/>
                <w:szCs w:val="20"/>
              </w:rPr>
            </w:pPr>
          </w:p>
        </w:tc>
      </w:tr>
      <w:tr w:rsidR="00CE5734" w:rsidRPr="000E5786" w14:paraId="3D5623CF" w14:textId="77777777" w:rsidTr="006A4941">
        <w:tc>
          <w:tcPr>
            <w:tcW w:w="704" w:type="dxa"/>
          </w:tcPr>
          <w:p w14:paraId="5EDE3EC9" w14:textId="1434B7C1" w:rsidR="00CE5734" w:rsidRPr="00CE5734" w:rsidRDefault="00CE5734" w:rsidP="00CE5734">
            <w:pPr>
              <w:rPr>
                <w:rFonts w:ascii="Arial" w:hAnsi="Arial" w:cs="Arial"/>
                <w:sz w:val="20"/>
                <w:szCs w:val="20"/>
              </w:rPr>
            </w:pPr>
            <w:r w:rsidRPr="00CE5734">
              <w:rPr>
                <w:rFonts w:ascii="Arial" w:hAnsi="Arial" w:cs="Arial"/>
                <w:sz w:val="20"/>
                <w:szCs w:val="20"/>
              </w:rPr>
              <w:lastRenderedPageBreak/>
              <w:t>8.6</w:t>
            </w:r>
          </w:p>
        </w:tc>
        <w:tc>
          <w:tcPr>
            <w:tcW w:w="7229" w:type="dxa"/>
          </w:tcPr>
          <w:p w14:paraId="0F1B9A23" w14:textId="0F501DBE" w:rsidR="00CE5734" w:rsidRPr="00CE5734" w:rsidRDefault="00CE5734" w:rsidP="00CE5734">
            <w:pPr>
              <w:rPr>
                <w:rFonts w:ascii="Arial" w:hAnsi="Arial" w:cs="Arial"/>
                <w:sz w:val="20"/>
                <w:szCs w:val="20"/>
              </w:rPr>
            </w:pPr>
            <w:r>
              <w:rPr>
                <w:rFonts w:ascii="Arial" w:hAnsi="Arial" w:cs="Arial"/>
                <w:sz w:val="20"/>
                <w:szCs w:val="20"/>
              </w:rPr>
              <w:t xml:space="preserve">Business Continuity and IT Service Recovery </w:t>
            </w:r>
          </w:p>
        </w:tc>
        <w:tc>
          <w:tcPr>
            <w:tcW w:w="1128" w:type="dxa"/>
          </w:tcPr>
          <w:p w14:paraId="30F4E085" w14:textId="77777777" w:rsidR="00CE5734" w:rsidRPr="00CE5734" w:rsidRDefault="00CE5734" w:rsidP="00CE5734">
            <w:pPr>
              <w:rPr>
                <w:rFonts w:ascii="Arial" w:hAnsi="Arial" w:cs="Arial"/>
                <w:sz w:val="20"/>
                <w:szCs w:val="20"/>
              </w:rPr>
            </w:pPr>
          </w:p>
        </w:tc>
      </w:tr>
      <w:tr w:rsidR="006A4941" w:rsidRPr="000E5786" w14:paraId="6370C559" w14:textId="77777777" w:rsidTr="006A4941">
        <w:tc>
          <w:tcPr>
            <w:tcW w:w="704" w:type="dxa"/>
          </w:tcPr>
          <w:p w14:paraId="437EBA50" w14:textId="343C1C61" w:rsidR="006A4941" w:rsidRPr="00CE5734" w:rsidRDefault="006A4941" w:rsidP="00CE5734">
            <w:pPr>
              <w:rPr>
                <w:rFonts w:ascii="Arial" w:hAnsi="Arial" w:cs="Arial"/>
                <w:sz w:val="20"/>
                <w:szCs w:val="20"/>
              </w:rPr>
            </w:pPr>
            <w:r w:rsidRPr="00CE5734">
              <w:rPr>
                <w:rFonts w:ascii="Arial" w:hAnsi="Arial" w:cs="Arial"/>
                <w:sz w:val="20"/>
                <w:szCs w:val="20"/>
              </w:rPr>
              <w:t>8.7</w:t>
            </w:r>
          </w:p>
        </w:tc>
        <w:tc>
          <w:tcPr>
            <w:tcW w:w="7229" w:type="dxa"/>
          </w:tcPr>
          <w:p w14:paraId="6FBE62B8" w14:textId="4B97469D" w:rsidR="006A4941" w:rsidRPr="00CE5734" w:rsidRDefault="006A4941" w:rsidP="00CE5734">
            <w:pPr>
              <w:rPr>
                <w:rFonts w:ascii="Arial" w:hAnsi="Arial" w:cs="Arial"/>
                <w:sz w:val="20"/>
                <w:szCs w:val="20"/>
              </w:rPr>
            </w:pPr>
            <w:r w:rsidRPr="00CE5734">
              <w:rPr>
                <w:rFonts w:ascii="Arial" w:hAnsi="Arial" w:cs="Arial"/>
                <w:sz w:val="20"/>
                <w:szCs w:val="20"/>
              </w:rPr>
              <w:t>Conduct of Claims</w:t>
            </w:r>
          </w:p>
        </w:tc>
        <w:tc>
          <w:tcPr>
            <w:tcW w:w="1128" w:type="dxa"/>
          </w:tcPr>
          <w:p w14:paraId="75DE124B" w14:textId="67755816" w:rsidR="006A4941" w:rsidRPr="00CE5734" w:rsidRDefault="006A4941" w:rsidP="00CE5734">
            <w:pPr>
              <w:rPr>
                <w:rFonts w:ascii="Arial" w:hAnsi="Arial" w:cs="Arial"/>
                <w:sz w:val="20"/>
                <w:szCs w:val="20"/>
              </w:rPr>
            </w:pPr>
          </w:p>
        </w:tc>
      </w:tr>
      <w:tr w:rsidR="00CE5734" w:rsidRPr="000E5786" w14:paraId="54CDA694" w14:textId="77777777" w:rsidTr="006A4941">
        <w:tc>
          <w:tcPr>
            <w:tcW w:w="704" w:type="dxa"/>
          </w:tcPr>
          <w:p w14:paraId="5FDA7CB7" w14:textId="1CFD4B13" w:rsidR="00CE5734" w:rsidRPr="00CE5734" w:rsidRDefault="00CE5734" w:rsidP="00CE5734">
            <w:pPr>
              <w:rPr>
                <w:rFonts w:ascii="Arial" w:hAnsi="Arial" w:cs="Arial"/>
                <w:sz w:val="20"/>
                <w:szCs w:val="20"/>
              </w:rPr>
            </w:pPr>
            <w:r w:rsidRPr="00CE5734">
              <w:rPr>
                <w:rFonts w:ascii="Arial" w:hAnsi="Arial" w:cs="Arial"/>
                <w:sz w:val="20"/>
                <w:szCs w:val="20"/>
              </w:rPr>
              <w:t>9</w:t>
            </w:r>
          </w:p>
        </w:tc>
        <w:tc>
          <w:tcPr>
            <w:tcW w:w="7229" w:type="dxa"/>
          </w:tcPr>
          <w:p w14:paraId="5BEF649A" w14:textId="14BE7F71" w:rsidR="00CE5734" w:rsidRPr="00CE5734" w:rsidRDefault="00CE5734" w:rsidP="00CE5734">
            <w:pPr>
              <w:rPr>
                <w:rFonts w:ascii="Arial" w:hAnsi="Arial" w:cs="Arial"/>
                <w:sz w:val="20"/>
                <w:szCs w:val="20"/>
              </w:rPr>
            </w:pPr>
            <w:r>
              <w:rPr>
                <w:rFonts w:ascii="Arial" w:hAnsi="Arial" w:cs="Arial"/>
                <w:sz w:val="20"/>
                <w:szCs w:val="20"/>
              </w:rPr>
              <w:t>Key Personnel</w:t>
            </w:r>
          </w:p>
        </w:tc>
        <w:tc>
          <w:tcPr>
            <w:tcW w:w="1128" w:type="dxa"/>
          </w:tcPr>
          <w:p w14:paraId="09F345E9" w14:textId="77777777" w:rsidR="00CE5734" w:rsidRPr="00CE5734" w:rsidRDefault="00CE5734" w:rsidP="00CE5734">
            <w:pPr>
              <w:rPr>
                <w:rFonts w:ascii="Arial" w:hAnsi="Arial" w:cs="Arial"/>
                <w:sz w:val="20"/>
                <w:szCs w:val="20"/>
              </w:rPr>
            </w:pPr>
          </w:p>
        </w:tc>
      </w:tr>
      <w:tr w:rsidR="00CE5734" w:rsidRPr="000E5786" w14:paraId="6D055071" w14:textId="77777777" w:rsidTr="00CE5734">
        <w:tc>
          <w:tcPr>
            <w:tcW w:w="704" w:type="dxa"/>
            <w:shd w:val="clear" w:color="auto" w:fill="BFBFBF" w:themeFill="background1" w:themeFillShade="BF"/>
          </w:tcPr>
          <w:p w14:paraId="0578B7E4" w14:textId="774C53F5" w:rsidR="00CE5734" w:rsidRPr="00CE5734" w:rsidRDefault="00CE5734" w:rsidP="00CE5734">
            <w:pPr>
              <w:rPr>
                <w:rFonts w:ascii="Arial" w:hAnsi="Arial" w:cs="Arial"/>
                <w:sz w:val="20"/>
                <w:szCs w:val="20"/>
              </w:rPr>
            </w:pPr>
            <w:r w:rsidRPr="00CE5734">
              <w:rPr>
                <w:rFonts w:ascii="Arial" w:hAnsi="Arial" w:cs="Arial"/>
                <w:sz w:val="20"/>
                <w:szCs w:val="20"/>
              </w:rPr>
              <w:t>10</w:t>
            </w:r>
          </w:p>
        </w:tc>
        <w:tc>
          <w:tcPr>
            <w:tcW w:w="7229" w:type="dxa"/>
            <w:shd w:val="clear" w:color="auto" w:fill="BFBFBF" w:themeFill="background1" w:themeFillShade="BF"/>
          </w:tcPr>
          <w:p w14:paraId="03335723" w14:textId="3DE567DE" w:rsidR="00CE5734" w:rsidRPr="00CE5734" w:rsidRDefault="00CE5734" w:rsidP="00CE5734">
            <w:pPr>
              <w:rPr>
                <w:rFonts w:ascii="Arial" w:hAnsi="Arial" w:cs="Arial"/>
                <w:sz w:val="20"/>
                <w:szCs w:val="20"/>
              </w:rPr>
            </w:pPr>
            <w:r>
              <w:rPr>
                <w:rFonts w:ascii="Arial" w:hAnsi="Arial" w:cs="Arial"/>
                <w:sz w:val="20"/>
                <w:szCs w:val="20"/>
              </w:rPr>
              <w:t>NOT USED</w:t>
            </w:r>
          </w:p>
        </w:tc>
        <w:tc>
          <w:tcPr>
            <w:tcW w:w="1128" w:type="dxa"/>
            <w:shd w:val="clear" w:color="auto" w:fill="BFBFBF" w:themeFill="background1" w:themeFillShade="BF"/>
          </w:tcPr>
          <w:p w14:paraId="63A28641" w14:textId="77777777" w:rsidR="00CE5734" w:rsidRPr="00CE5734" w:rsidRDefault="00CE5734" w:rsidP="00CE5734">
            <w:pPr>
              <w:rPr>
                <w:rFonts w:ascii="Arial" w:hAnsi="Arial" w:cs="Arial"/>
                <w:sz w:val="20"/>
                <w:szCs w:val="20"/>
              </w:rPr>
            </w:pPr>
          </w:p>
        </w:tc>
      </w:tr>
      <w:tr w:rsidR="00CE5734" w:rsidRPr="000E5786" w14:paraId="34F3E749" w14:textId="77777777" w:rsidTr="006A4941">
        <w:tc>
          <w:tcPr>
            <w:tcW w:w="704" w:type="dxa"/>
          </w:tcPr>
          <w:p w14:paraId="305F535D" w14:textId="4EC765E5" w:rsidR="00CE5734" w:rsidRPr="00CE5734" w:rsidRDefault="00CE5734" w:rsidP="00CE5734">
            <w:pPr>
              <w:rPr>
                <w:rFonts w:ascii="Arial" w:hAnsi="Arial" w:cs="Arial"/>
                <w:sz w:val="20"/>
                <w:szCs w:val="20"/>
              </w:rPr>
            </w:pPr>
            <w:r w:rsidRPr="00CE5734">
              <w:rPr>
                <w:rFonts w:ascii="Arial" w:hAnsi="Arial" w:cs="Arial"/>
                <w:sz w:val="20"/>
                <w:szCs w:val="20"/>
              </w:rPr>
              <w:t>11</w:t>
            </w:r>
          </w:p>
        </w:tc>
        <w:tc>
          <w:tcPr>
            <w:tcW w:w="7229" w:type="dxa"/>
          </w:tcPr>
          <w:p w14:paraId="540DF592" w14:textId="38E0A013" w:rsidR="00CE5734" w:rsidRPr="00CE5734" w:rsidRDefault="00CE5734" w:rsidP="00CE5734">
            <w:pPr>
              <w:rPr>
                <w:rFonts w:ascii="Arial" w:hAnsi="Arial" w:cs="Arial"/>
                <w:sz w:val="20"/>
                <w:szCs w:val="20"/>
              </w:rPr>
            </w:pPr>
            <w:r>
              <w:rPr>
                <w:rFonts w:ascii="Arial" w:hAnsi="Arial" w:cs="Arial"/>
                <w:sz w:val="20"/>
                <w:szCs w:val="20"/>
              </w:rPr>
              <w:t>Staff Transfer</w:t>
            </w:r>
          </w:p>
        </w:tc>
        <w:tc>
          <w:tcPr>
            <w:tcW w:w="1128" w:type="dxa"/>
          </w:tcPr>
          <w:p w14:paraId="3692B343" w14:textId="77777777" w:rsidR="00CE5734" w:rsidRPr="00CE5734" w:rsidRDefault="00CE5734" w:rsidP="00CE5734">
            <w:pPr>
              <w:rPr>
                <w:rFonts w:ascii="Arial" w:hAnsi="Arial" w:cs="Arial"/>
                <w:sz w:val="20"/>
                <w:szCs w:val="20"/>
              </w:rPr>
            </w:pPr>
          </w:p>
        </w:tc>
      </w:tr>
      <w:tr w:rsidR="00CE5734" w:rsidRPr="000E5786" w14:paraId="2D5C49EC" w14:textId="77777777" w:rsidTr="006A4941">
        <w:tc>
          <w:tcPr>
            <w:tcW w:w="704" w:type="dxa"/>
          </w:tcPr>
          <w:p w14:paraId="732B1210" w14:textId="6A18E964" w:rsidR="00CE5734" w:rsidRPr="00CE5734" w:rsidRDefault="00CE5734" w:rsidP="00CE5734">
            <w:pPr>
              <w:rPr>
                <w:rFonts w:ascii="Arial" w:hAnsi="Arial" w:cs="Arial"/>
                <w:sz w:val="20"/>
                <w:szCs w:val="20"/>
              </w:rPr>
            </w:pPr>
            <w:r w:rsidRPr="00CE5734">
              <w:rPr>
                <w:rFonts w:ascii="Arial" w:hAnsi="Arial" w:cs="Arial"/>
                <w:sz w:val="20"/>
                <w:szCs w:val="20"/>
              </w:rPr>
              <w:t>12</w:t>
            </w:r>
          </w:p>
        </w:tc>
        <w:tc>
          <w:tcPr>
            <w:tcW w:w="7229" w:type="dxa"/>
          </w:tcPr>
          <w:p w14:paraId="5660DF74" w14:textId="2E87FDB0" w:rsidR="00CE5734" w:rsidRPr="00CE5734" w:rsidRDefault="00CE5734" w:rsidP="00CE5734">
            <w:pPr>
              <w:rPr>
                <w:rFonts w:ascii="Arial" w:hAnsi="Arial" w:cs="Arial"/>
                <w:sz w:val="20"/>
                <w:szCs w:val="20"/>
              </w:rPr>
            </w:pPr>
            <w:r>
              <w:rPr>
                <w:rFonts w:ascii="Arial" w:hAnsi="Arial" w:cs="Arial"/>
                <w:sz w:val="20"/>
                <w:szCs w:val="20"/>
              </w:rPr>
              <w:t>Protection of Personal Data</w:t>
            </w:r>
          </w:p>
        </w:tc>
        <w:tc>
          <w:tcPr>
            <w:tcW w:w="1128" w:type="dxa"/>
          </w:tcPr>
          <w:p w14:paraId="5D6957DB" w14:textId="77777777" w:rsidR="00CE5734" w:rsidRPr="00CE5734" w:rsidRDefault="00CE5734" w:rsidP="00CE5734">
            <w:pPr>
              <w:rPr>
                <w:rFonts w:ascii="Arial" w:hAnsi="Arial" w:cs="Arial"/>
                <w:sz w:val="20"/>
                <w:szCs w:val="20"/>
              </w:rPr>
            </w:pPr>
          </w:p>
        </w:tc>
      </w:tr>
      <w:tr w:rsidR="00CE5734" w:rsidRPr="000E5786" w14:paraId="5D1C2D28" w14:textId="77777777" w:rsidTr="006A4941">
        <w:tc>
          <w:tcPr>
            <w:tcW w:w="704" w:type="dxa"/>
          </w:tcPr>
          <w:p w14:paraId="10445C51" w14:textId="210EB532" w:rsidR="00CE5734" w:rsidRPr="00CE5734" w:rsidRDefault="00CE5734" w:rsidP="00CE5734">
            <w:pPr>
              <w:rPr>
                <w:rFonts w:ascii="Arial" w:hAnsi="Arial" w:cs="Arial"/>
                <w:sz w:val="20"/>
                <w:szCs w:val="20"/>
              </w:rPr>
            </w:pPr>
            <w:r w:rsidRPr="00CE5734">
              <w:rPr>
                <w:rFonts w:ascii="Arial" w:hAnsi="Arial" w:cs="Arial"/>
                <w:sz w:val="20"/>
                <w:szCs w:val="20"/>
              </w:rPr>
              <w:t>13</w:t>
            </w:r>
          </w:p>
        </w:tc>
        <w:tc>
          <w:tcPr>
            <w:tcW w:w="7229" w:type="dxa"/>
          </w:tcPr>
          <w:p w14:paraId="2996520A" w14:textId="72A7805A" w:rsidR="00CE5734" w:rsidRPr="00CE5734" w:rsidRDefault="00CE5734" w:rsidP="00CE5734">
            <w:pPr>
              <w:rPr>
                <w:rFonts w:ascii="Arial" w:hAnsi="Arial" w:cs="Arial"/>
                <w:sz w:val="20"/>
                <w:szCs w:val="20"/>
              </w:rPr>
            </w:pPr>
            <w:r>
              <w:rPr>
                <w:rFonts w:ascii="Arial" w:hAnsi="Arial" w:cs="Arial"/>
                <w:sz w:val="20"/>
                <w:szCs w:val="20"/>
              </w:rPr>
              <w:t xml:space="preserve">Schedule of Post-tender amendments </w:t>
            </w:r>
          </w:p>
        </w:tc>
        <w:tc>
          <w:tcPr>
            <w:tcW w:w="1128" w:type="dxa"/>
          </w:tcPr>
          <w:p w14:paraId="06D60F78" w14:textId="77777777" w:rsidR="00CE5734" w:rsidRPr="00CE5734" w:rsidRDefault="00CE5734" w:rsidP="00CE5734">
            <w:pPr>
              <w:rPr>
                <w:rFonts w:ascii="Arial" w:hAnsi="Arial" w:cs="Arial"/>
                <w:sz w:val="20"/>
                <w:szCs w:val="20"/>
              </w:rPr>
            </w:pPr>
          </w:p>
        </w:tc>
      </w:tr>
    </w:tbl>
    <w:p w14:paraId="3BD4F589" w14:textId="0BF81047" w:rsidR="001D3CA7" w:rsidRPr="000E5786" w:rsidRDefault="001D3CA7" w:rsidP="00DD60F0">
      <w:pPr>
        <w:rPr>
          <w:rFonts w:cs="Arial"/>
          <w:szCs w:val="20"/>
        </w:rPr>
      </w:pPr>
    </w:p>
    <w:p w14:paraId="04AD6FA3" w14:textId="77777777" w:rsidR="00AF2B9F" w:rsidRPr="000E5786" w:rsidRDefault="00AF2B9F" w:rsidP="00DD60F0">
      <w:pPr>
        <w:rPr>
          <w:rFonts w:cs="Arial"/>
          <w:szCs w:val="20"/>
        </w:rPr>
      </w:pPr>
    </w:p>
    <w:p w14:paraId="6331005B" w14:textId="77777777" w:rsidR="00D55AF1" w:rsidRPr="000E5786" w:rsidRDefault="00D55AF1" w:rsidP="00DD60F0">
      <w:pPr>
        <w:tabs>
          <w:tab w:val="left" w:pos="1701"/>
          <w:tab w:val="center" w:pos="2246"/>
        </w:tabs>
        <w:ind w:left="-5"/>
        <w:outlineLvl w:val="2"/>
        <w:rPr>
          <w:rFonts w:cs="Arial"/>
          <w:bCs/>
          <w:szCs w:val="20"/>
        </w:rPr>
      </w:pPr>
    </w:p>
    <w:p w14:paraId="0F0070F1" w14:textId="77777777" w:rsidR="004356D9" w:rsidRPr="000E5786" w:rsidRDefault="004356D9" w:rsidP="00DD60F0">
      <w:pPr>
        <w:rPr>
          <w:rFonts w:cs="Arial"/>
          <w:b/>
          <w:szCs w:val="20"/>
        </w:rPr>
      </w:pPr>
      <w:r w:rsidRPr="000E5786">
        <w:rPr>
          <w:rFonts w:cs="Arial"/>
          <w:b/>
          <w:szCs w:val="20"/>
        </w:rPr>
        <w:br w:type="page"/>
      </w:r>
    </w:p>
    <w:p w14:paraId="088B9CB8" w14:textId="24FA5730" w:rsidR="0048699F" w:rsidRPr="000E5786" w:rsidRDefault="002D2B9A" w:rsidP="00DD60F0">
      <w:pPr>
        <w:pStyle w:val="BodyText"/>
        <w:spacing w:after="120"/>
        <w:rPr>
          <w:rFonts w:cs="Arial"/>
          <w:szCs w:val="20"/>
        </w:rPr>
      </w:pPr>
      <w:r w:rsidRPr="000E5786">
        <w:rPr>
          <w:rFonts w:cs="Arial"/>
          <w:b/>
          <w:szCs w:val="20"/>
        </w:rPr>
        <w:lastRenderedPageBreak/>
        <w:t>T</w:t>
      </w:r>
      <w:r w:rsidR="0048699F" w:rsidRPr="000E5786">
        <w:rPr>
          <w:rFonts w:cs="Arial"/>
          <w:b/>
          <w:szCs w:val="20"/>
        </w:rPr>
        <w:t>HIS AGREEMENT</w:t>
      </w:r>
      <w:r w:rsidR="0048699F" w:rsidRPr="000E5786">
        <w:rPr>
          <w:rFonts w:cs="Arial"/>
          <w:szCs w:val="20"/>
        </w:rPr>
        <w:t xml:space="preserve"> is made </w:t>
      </w:r>
      <w:proofErr w:type="gramStart"/>
      <w:r w:rsidR="0048699F" w:rsidRPr="000E5786">
        <w:rPr>
          <w:rFonts w:cs="Arial"/>
          <w:szCs w:val="20"/>
        </w:rPr>
        <w:t>on</w:t>
      </w:r>
      <w:r w:rsidR="000578A4" w:rsidRPr="000E5786">
        <w:rPr>
          <w:rFonts w:cs="Arial"/>
          <w:szCs w:val="20"/>
        </w:rPr>
        <w:t xml:space="preserve"> </w:t>
      </w:r>
      <w:r w:rsidR="0048699F" w:rsidRPr="000E5786">
        <w:rPr>
          <w:rFonts w:cs="Arial"/>
          <w:szCs w:val="20"/>
        </w:rPr>
        <w:t xml:space="preserve"> </w:t>
      </w:r>
      <w:r w:rsidR="0048699F" w:rsidRPr="000E5786">
        <w:rPr>
          <w:rFonts w:cs="Arial"/>
          <w:szCs w:val="20"/>
        </w:rPr>
        <w:tab/>
      </w:r>
      <w:proofErr w:type="gramEnd"/>
      <w:r w:rsidR="006324C0">
        <w:rPr>
          <w:rFonts w:cs="Arial"/>
          <w:szCs w:val="20"/>
        </w:rPr>
        <w:t xml:space="preserve">                                </w:t>
      </w:r>
      <w:r w:rsidR="0048699F" w:rsidRPr="000E5786">
        <w:rPr>
          <w:rFonts w:cs="Arial"/>
          <w:szCs w:val="20"/>
        </w:rPr>
        <w:t>20</w:t>
      </w:r>
      <w:r w:rsidR="00216E8D" w:rsidRPr="000E5786">
        <w:rPr>
          <w:rFonts w:cs="Arial"/>
          <w:szCs w:val="20"/>
        </w:rPr>
        <w:t>2</w:t>
      </w:r>
      <w:r w:rsidR="005C3E76" w:rsidRPr="000E5786">
        <w:rPr>
          <w:rFonts w:cs="Arial"/>
          <w:szCs w:val="20"/>
        </w:rPr>
        <w:t>1</w:t>
      </w:r>
    </w:p>
    <w:p w14:paraId="6F07F71D" w14:textId="77777777" w:rsidR="0048699F" w:rsidRPr="00CE5734" w:rsidRDefault="0048699F" w:rsidP="00DD60F0">
      <w:pPr>
        <w:pStyle w:val="BodyText"/>
        <w:spacing w:after="120"/>
        <w:rPr>
          <w:rFonts w:cs="Arial"/>
          <w:b/>
          <w:bCs/>
          <w:szCs w:val="20"/>
        </w:rPr>
      </w:pPr>
      <w:r w:rsidRPr="00CE5734">
        <w:rPr>
          <w:rFonts w:cs="Arial"/>
          <w:b/>
          <w:bCs/>
          <w:szCs w:val="20"/>
        </w:rPr>
        <w:t>BETWEEN</w:t>
      </w:r>
    </w:p>
    <w:p w14:paraId="57C0D268" w14:textId="779BB9AA" w:rsidR="0048699F" w:rsidRPr="000E5786" w:rsidRDefault="001F1C19" w:rsidP="00E538A1">
      <w:pPr>
        <w:pStyle w:val="Parties"/>
        <w:numPr>
          <w:ilvl w:val="0"/>
          <w:numId w:val="8"/>
        </w:numPr>
        <w:spacing w:after="120"/>
        <w:rPr>
          <w:rFonts w:cs="Arial"/>
          <w:szCs w:val="20"/>
        </w:rPr>
      </w:pPr>
      <w:bookmarkStart w:id="1" w:name="_Ref53584695"/>
      <w:r>
        <w:rPr>
          <w:rFonts w:cs="Arial"/>
          <w:b/>
          <w:szCs w:val="20"/>
        </w:rPr>
        <w:t>NETLINK STAR</w:t>
      </w:r>
      <w:r w:rsidR="0048699F" w:rsidRPr="000E5786">
        <w:rPr>
          <w:rFonts w:cs="Arial"/>
          <w:b/>
          <w:szCs w:val="20"/>
        </w:rPr>
        <w:t xml:space="preserve"> INFRASTRUCTURE LIMITED</w:t>
      </w:r>
      <w:r w:rsidR="0048699F" w:rsidRPr="000E5786">
        <w:rPr>
          <w:rFonts w:cs="Arial"/>
          <w:szCs w:val="20"/>
        </w:rPr>
        <w:t xml:space="preserve"> a company registered in England and</w:t>
      </w:r>
      <w:r w:rsidR="0021574B" w:rsidRPr="000E5786">
        <w:rPr>
          <w:rFonts w:cs="Arial"/>
          <w:szCs w:val="20"/>
        </w:rPr>
        <w:t xml:space="preserve"> </w:t>
      </w:r>
      <w:r w:rsidR="0048699F" w:rsidRPr="000E5786">
        <w:rPr>
          <w:rFonts w:cs="Arial"/>
          <w:szCs w:val="20"/>
        </w:rPr>
        <w:t>Wales under company number 02</w:t>
      </w:r>
      <w:r w:rsidR="00BA32BB">
        <w:rPr>
          <w:rFonts w:cs="Arial"/>
          <w:szCs w:val="20"/>
        </w:rPr>
        <w:t>9999</w:t>
      </w:r>
      <w:r w:rsidR="0048699F" w:rsidRPr="000E5786">
        <w:rPr>
          <w:rFonts w:cs="Arial"/>
          <w:szCs w:val="20"/>
        </w:rPr>
        <w:t xml:space="preserve">7 whose registered office is at </w:t>
      </w:r>
      <w:bookmarkStart w:id="2" w:name="DocXTextRef2"/>
      <w:r w:rsidR="0048699F" w:rsidRPr="000E5786">
        <w:rPr>
          <w:rFonts w:cs="Arial"/>
          <w:szCs w:val="20"/>
        </w:rPr>
        <w:t>1</w:t>
      </w:r>
      <w:bookmarkEnd w:id="2"/>
      <w:r w:rsidR="0048699F" w:rsidRPr="000E5786">
        <w:rPr>
          <w:rFonts w:cs="Arial"/>
          <w:szCs w:val="20"/>
        </w:rPr>
        <w:t xml:space="preserve"> </w:t>
      </w:r>
      <w:r w:rsidR="00BA32BB">
        <w:rPr>
          <w:rFonts w:cs="Arial"/>
          <w:szCs w:val="20"/>
        </w:rPr>
        <w:t>Elysian</w:t>
      </w:r>
      <w:r w:rsidR="0048699F" w:rsidRPr="000E5786">
        <w:rPr>
          <w:rFonts w:cs="Arial"/>
          <w:szCs w:val="20"/>
        </w:rPr>
        <w:t xml:space="preserve"> Street, London </w:t>
      </w:r>
      <w:r w:rsidR="00BA32BB">
        <w:rPr>
          <w:rFonts w:cs="Arial"/>
          <w:szCs w:val="20"/>
        </w:rPr>
        <w:t>EE7</w:t>
      </w:r>
      <w:r w:rsidR="0048699F" w:rsidRPr="000E5786">
        <w:rPr>
          <w:rFonts w:cs="Arial"/>
          <w:szCs w:val="20"/>
        </w:rPr>
        <w:t xml:space="preserve"> 2DN (“</w:t>
      </w:r>
      <w:proofErr w:type="spellStart"/>
      <w:r>
        <w:rPr>
          <w:rFonts w:cs="Arial"/>
          <w:b/>
          <w:szCs w:val="20"/>
        </w:rPr>
        <w:t>Netlink</w:t>
      </w:r>
      <w:proofErr w:type="spellEnd"/>
      <w:r>
        <w:rPr>
          <w:rFonts w:cs="Arial"/>
          <w:b/>
          <w:szCs w:val="20"/>
        </w:rPr>
        <w:t xml:space="preserve"> Star</w:t>
      </w:r>
      <w:r w:rsidR="0048699F" w:rsidRPr="000E5786">
        <w:rPr>
          <w:rFonts w:cs="Arial"/>
          <w:szCs w:val="20"/>
        </w:rPr>
        <w:t>”); and</w:t>
      </w:r>
      <w:bookmarkEnd w:id="1"/>
    </w:p>
    <w:p w14:paraId="1B54D3EC" w14:textId="62710656" w:rsidR="0048699F" w:rsidRPr="000E5786" w:rsidRDefault="000159CE" w:rsidP="00DD60F0">
      <w:pPr>
        <w:pStyle w:val="Parties"/>
        <w:spacing w:after="120"/>
        <w:rPr>
          <w:rFonts w:cs="Arial"/>
          <w:szCs w:val="20"/>
        </w:rPr>
      </w:pPr>
      <w:bookmarkStart w:id="3" w:name="_Ref53584696"/>
      <w:r>
        <w:rPr>
          <w:rFonts w:cs="Arial"/>
          <w:b/>
          <w:bCs/>
          <w:szCs w:val="20"/>
        </w:rPr>
        <w:t>QUROSERV</w:t>
      </w:r>
      <w:r w:rsidR="00603831" w:rsidRPr="000E5786">
        <w:rPr>
          <w:rFonts w:cs="Arial"/>
          <w:b/>
          <w:bCs/>
          <w:szCs w:val="20"/>
        </w:rPr>
        <w:t xml:space="preserve"> UK PLC</w:t>
      </w:r>
      <w:r w:rsidR="0048699F" w:rsidRPr="000E5786">
        <w:rPr>
          <w:rFonts w:cs="Arial"/>
          <w:szCs w:val="20"/>
        </w:rPr>
        <w:t xml:space="preserve"> a company registered in</w:t>
      </w:r>
      <w:r w:rsidR="00603831" w:rsidRPr="000E5786">
        <w:rPr>
          <w:rFonts w:cs="Arial"/>
          <w:szCs w:val="20"/>
        </w:rPr>
        <w:t xml:space="preserve"> </w:t>
      </w:r>
      <w:r w:rsidR="009478C1" w:rsidRPr="000E5786">
        <w:rPr>
          <w:rFonts w:cs="Arial"/>
          <w:szCs w:val="20"/>
        </w:rPr>
        <w:t xml:space="preserve">England and Wales </w:t>
      </w:r>
      <w:r w:rsidR="0048699F" w:rsidRPr="000E5786">
        <w:rPr>
          <w:rFonts w:cs="Arial"/>
          <w:szCs w:val="20"/>
        </w:rPr>
        <w:t xml:space="preserve">under company number </w:t>
      </w:r>
      <w:r w:rsidR="009478C1" w:rsidRPr="000E5786">
        <w:rPr>
          <w:rFonts w:cs="Arial"/>
          <w:szCs w:val="20"/>
        </w:rPr>
        <w:t>00</w:t>
      </w:r>
      <w:r w:rsidR="00BA32BB">
        <w:rPr>
          <w:rFonts w:cs="Arial"/>
          <w:szCs w:val="20"/>
        </w:rPr>
        <w:t>66666</w:t>
      </w:r>
      <w:r w:rsidR="009478C1" w:rsidRPr="000E5786">
        <w:rPr>
          <w:rFonts w:cs="Arial"/>
          <w:szCs w:val="20"/>
        </w:rPr>
        <w:t>5</w:t>
      </w:r>
      <w:r w:rsidR="0048699F" w:rsidRPr="000E5786">
        <w:rPr>
          <w:rFonts w:cs="Arial"/>
          <w:szCs w:val="20"/>
        </w:rPr>
        <w:t xml:space="preserve"> whose registered office is at</w:t>
      </w:r>
      <w:r w:rsidR="00603831" w:rsidRPr="000E5786">
        <w:rPr>
          <w:rFonts w:cs="Arial"/>
          <w:szCs w:val="20"/>
        </w:rPr>
        <w:t xml:space="preserve"> </w:t>
      </w:r>
      <w:proofErr w:type="spellStart"/>
      <w:r w:rsidR="00BA32BB">
        <w:rPr>
          <w:rFonts w:cs="Arial"/>
          <w:szCs w:val="20"/>
        </w:rPr>
        <w:t>Blotten</w:t>
      </w:r>
      <w:proofErr w:type="spellEnd"/>
      <w:r w:rsidR="00BA32BB">
        <w:rPr>
          <w:rFonts w:cs="Arial"/>
          <w:szCs w:val="20"/>
        </w:rPr>
        <w:t xml:space="preserve"> Vu</w:t>
      </w:r>
      <w:r w:rsidR="00603831" w:rsidRPr="000E5786">
        <w:rPr>
          <w:rFonts w:cs="Arial"/>
          <w:szCs w:val="20"/>
        </w:rPr>
        <w:t xml:space="preserve">, Woking, Surrey, </w:t>
      </w:r>
      <w:r w:rsidR="00BA32BB">
        <w:rPr>
          <w:rFonts w:cs="Arial"/>
          <w:szCs w:val="20"/>
        </w:rPr>
        <w:t>KR98</w:t>
      </w:r>
      <w:r w:rsidR="00603831" w:rsidRPr="000E5786">
        <w:rPr>
          <w:rFonts w:cs="Arial"/>
          <w:szCs w:val="20"/>
        </w:rPr>
        <w:t xml:space="preserve"> 6</w:t>
      </w:r>
      <w:proofErr w:type="gramStart"/>
      <w:r w:rsidR="00603831" w:rsidRPr="000E5786">
        <w:rPr>
          <w:rFonts w:cs="Arial"/>
          <w:szCs w:val="20"/>
        </w:rPr>
        <w:t>DB</w:t>
      </w:r>
      <w:r w:rsidR="000578A4" w:rsidRPr="000E5786">
        <w:rPr>
          <w:rFonts w:cs="Arial"/>
          <w:szCs w:val="20"/>
        </w:rPr>
        <w:t xml:space="preserve"> </w:t>
      </w:r>
      <w:r w:rsidR="0048699F" w:rsidRPr="000E5786">
        <w:rPr>
          <w:rFonts w:cs="Arial"/>
          <w:szCs w:val="20"/>
        </w:rPr>
        <w:t xml:space="preserve"> (</w:t>
      </w:r>
      <w:proofErr w:type="gramEnd"/>
      <w:r w:rsidR="0048699F" w:rsidRPr="000E5786">
        <w:rPr>
          <w:rFonts w:cs="Arial"/>
          <w:szCs w:val="20"/>
        </w:rPr>
        <w:t>the “</w:t>
      </w:r>
      <w:r w:rsidR="0048699F" w:rsidRPr="000E5786">
        <w:rPr>
          <w:rFonts w:cs="Arial"/>
          <w:b/>
          <w:szCs w:val="20"/>
        </w:rPr>
        <w:t>Supplier</w:t>
      </w:r>
      <w:r w:rsidR="0048699F" w:rsidRPr="000E5786">
        <w:rPr>
          <w:rFonts w:cs="Arial"/>
          <w:szCs w:val="20"/>
        </w:rPr>
        <w:t>”)</w:t>
      </w:r>
      <w:bookmarkEnd w:id="3"/>
    </w:p>
    <w:p w14:paraId="2052CD0B" w14:textId="77777777" w:rsidR="0048699F" w:rsidRPr="000E5786" w:rsidRDefault="0048699F" w:rsidP="00DD60F0">
      <w:pPr>
        <w:pStyle w:val="BodyText"/>
        <w:spacing w:after="120"/>
        <w:rPr>
          <w:rFonts w:cs="Arial"/>
          <w:szCs w:val="20"/>
        </w:rPr>
      </w:pPr>
      <w:r w:rsidRPr="000E5786">
        <w:rPr>
          <w:rFonts w:cs="Arial"/>
          <w:szCs w:val="20"/>
        </w:rPr>
        <w:t>(</w:t>
      </w:r>
      <w:proofErr w:type="gramStart"/>
      <w:r w:rsidRPr="000E5786">
        <w:rPr>
          <w:rFonts w:cs="Arial"/>
          <w:szCs w:val="20"/>
        </w:rPr>
        <w:t>each</w:t>
      </w:r>
      <w:proofErr w:type="gramEnd"/>
      <w:r w:rsidRPr="000E5786">
        <w:rPr>
          <w:rFonts w:cs="Arial"/>
          <w:szCs w:val="20"/>
        </w:rPr>
        <w:t xml:space="preserve"> a “</w:t>
      </w:r>
      <w:r w:rsidRPr="000E5786">
        <w:rPr>
          <w:rFonts w:cs="Arial"/>
          <w:b/>
          <w:szCs w:val="20"/>
        </w:rPr>
        <w:t>Party</w:t>
      </w:r>
      <w:r w:rsidRPr="000E5786">
        <w:rPr>
          <w:rFonts w:cs="Arial"/>
          <w:szCs w:val="20"/>
        </w:rPr>
        <w:t>” and together the “</w:t>
      </w:r>
      <w:r w:rsidRPr="000E5786">
        <w:rPr>
          <w:rFonts w:cs="Arial"/>
          <w:b/>
          <w:szCs w:val="20"/>
        </w:rPr>
        <w:t>Parties</w:t>
      </w:r>
      <w:r w:rsidRPr="000E5786">
        <w:rPr>
          <w:rFonts w:cs="Arial"/>
          <w:szCs w:val="20"/>
        </w:rPr>
        <w:t>”).</w:t>
      </w:r>
    </w:p>
    <w:p w14:paraId="2390DD57" w14:textId="77777777" w:rsidR="0048699F" w:rsidRPr="00CE5734" w:rsidRDefault="0048699F" w:rsidP="00DD60F0">
      <w:pPr>
        <w:pStyle w:val="BodyText"/>
        <w:spacing w:after="120"/>
        <w:rPr>
          <w:rFonts w:cs="Arial"/>
          <w:b/>
          <w:bCs/>
          <w:szCs w:val="20"/>
        </w:rPr>
      </w:pPr>
      <w:r w:rsidRPr="00CE5734">
        <w:rPr>
          <w:rFonts w:cs="Arial"/>
          <w:b/>
          <w:bCs/>
          <w:szCs w:val="20"/>
        </w:rPr>
        <w:t>INTRODUCTION</w:t>
      </w:r>
    </w:p>
    <w:p w14:paraId="07880AE1" w14:textId="7D52CDCE" w:rsidR="0048699F" w:rsidRPr="000E5786" w:rsidRDefault="001F1C19" w:rsidP="00DD60F0">
      <w:pPr>
        <w:pStyle w:val="Recitals"/>
        <w:spacing w:after="120"/>
        <w:rPr>
          <w:rFonts w:cs="Arial"/>
          <w:szCs w:val="20"/>
        </w:rPr>
      </w:pPr>
      <w:proofErr w:type="spellStart"/>
      <w:r>
        <w:rPr>
          <w:rFonts w:cs="Arial"/>
          <w:szCs w:val="20"/>
        </w:rPr>
        <w:t>Netlink</w:t>
      </w:r>
      <w:proofErr w:type="spellEnd"/>
      <w:r>
        <w:rPr>
          <w:rFonts w:cs="Arial"/>
          <w:szCs w:val="20"/>
        </w:rPr>
        <w:t xml:space="preserve"> Star</w:t>
      </w:r>
      <w:r w:rsidR="0048699F" w:rsidRPr="000E5786">
        <w:rPr>
          <w:rFonts w:cs="Arial"/>
          <w:szCs w:val="20"/>
        </w:rPr>
        <w:t xml:space="preserve"> has procured </w:t>
      </w:r>
      <w:bookmarkStart w:id="4" w:name="DocXTextRef3"/>
      <w:r w:rsidR="0048699F" w:rsidRPr="000E5786">
        <w:rPr>
          <w:rFonts w:cs="Arial"/>
          <w:szCs w:val="20"/>
        </w:rPr>
        <w:t>2</w:t>
      </w:r>
      <w:bookmarkEnd w:id="4"/>
      <w:r w:rsidR="0048699F" w:rsidRPr="000E5786">
        <w:rPr>
          <w:rFonts w:cs="Arial"/>
          <w:szCs w:val="20"/>
        </w:rPr>
        <w:t xml:space="preserve"> new data halls to enable a fresh new hosting environment and </w:t>
      </w:r>
      <w:r w:rsidR="00EA56D2" w:rsidRPr="000E5786">
        <w:rPr>
          <w:rFonts w:cs="Arial"/>
          <w:szCs w:val="20"/>
        </w:rPr>
        <w:t xml:space="preserve">has already </w:t>
      </w:r>
      <w:r w:rsidR="0048699F" w:rsidRPr="000E5786">
        <w:rPr>
          <w:rFonts w:cs="Arial"/>
          <w:szCs w:val="20"/>
        </w:rPr>
        <w:t>procured the design and part build. Th</w:t>
      </w:r>
      <w:r w:rsidR="00006C6D" w:rsidRPr="000E5786">
        <w:rPr>
          <w:rFonts w:cs="Arial"/>
          <w:szCs w:val="20"/>
        </w:rPr>
        <w:t xml:space="preserve">e </w:t>
      </w:r>
      <w:r w:rsidR="00EA56D2" w:rsidRPr="000E5786">
        <w:rPr>
          <w:rFonts w:cs="Arial"/>
          <w:szCs w:val="20"/>
        </w:rPr>
        <w:t xml:space="preserve">Transition, </w:t>
      </w:r>
      <w:r w:rsidR="0048699F" w:rsidRPr="000E5786">
        <w:rPr>
          <w:rFonts w:cs="Arial"/>
          <w:szCs w:val="20"/>
        </w:rPr>
        <w:t>Migration and Operation of a new modern data centre</w:t>
      </w:r>
      <w:r w:rsidR="00006C6D" w:rsidRPr="000E5786">
        <w:rPr>
          <w:rFonts w:cs="Arial"/>
          <w:szCs w:val="20"/>
        </w:rPr>
        <w:t xml:space="preserve"> will</w:t>
      </w:r>
      <w:r w:rsidR="0048699F" w:rsidRPr="000E5786">
        <w:rPr>
          <w:rFonts w:cs="Arial"/>
          <w:szCs w:val="20"/>
        </w:rPr>
        <w:t xml:space="preserve"> meet </w:t>
      </w:r>
      <w:proofErr w:type="spellStart"/>
      <w:r>
        <w:rPr>
          <w:rFonts w:cs="Arial"/>
          <w:szCs w:val="20"/>
        </w:rPr>
        <w:t>Netlink</w:t>
      </w:r>
      <w:proofErr w:type="spellEnd"/>
      <w:r>
        <w:rPr>
          <w:rFonts w:cs="Arial"/>
          <w:szCs w:val="20"/>
        </w:rPr>
        <w:t xml:space="preserve"> Star</w:t>
      </w:r>
      <w:r w:rsidR="0048699F" w:rsidRPr="000E5786">
        <w:rPr>
          <w:rFonts w:cs="Arial"/>
          <w:szCs w:val="20"/>
        </w:rPr>
        <w:t>’s current and future requirements.</w:t>
      </w:r>
    </w:p>
    <w:p w14:paraId="09161D07" w14:textId="6CAE6479" w:rsidR="0048699F" w:rsidRPr="000E5786" w:rsidRDefault="0048699F" w:rsidP="00DD60F0">
      <w:pPr>
        <w:pStyle w:val="Recitals"/>
        <w:spacing w:after="120"/>
        <w:rPr>
          <w:rFonts w:cs="Arial"/>
          <w:szCs w:val="20"/>
        </w:rPr>
      </w:pPr>
      <w:r w:rsidRPr="000E5786">
        <w:rPr>
          <w:rFonts w:cs="Arial"/>
          <w:szCs w:val="20"/>
        </w:rPr>
        <w:t xml:space="preserve">The Supplier is a leading provider of digital transformation, innovation and value creation and has experience in delivering projects </w:t>
      </w:r>
      <w:proofErr w:type="gramStart"/>
      <w:r w:rsidRPr="000E5786">
        <w:rPr>
          <w:rFonts w:cs="Arial"/>
          <w:szCs w:val="20"/>
        </w:rPr>
        <w:t>similar to</w:t>
      </w:r>
      <w:proofErr w:type="gramEnd"/>
      <w:r w:rsidRPr="000E5786">
        <w:rPr>
          <w:rFonts w:cs="Arial"/>
          <w:szCs w:val="20"/>
        </w:rPr>
        <w:t xml:space="preserve"> the </w:t>
      </w:r>
      <w:r w:rsidR="00ED54D6" w:rsidRPr="000E5786">
        <w:rPr>
          <w:rFonts w:cs="Arial"/>
          <w:szCs w:val="20"/>
        </w:rPr>
        <w:t>Transition</w:t>
      </w:r>
      <w:r w:rsidRPr="000E5786">
        <w:rPr>
          <w:rFonts w:cs="Arial"/>
          <w:szCs w:val="20"/>
        </w:rPr>
        <w:t xml:space="preserve">, Migrate and Operate requirements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to deliver their modern Data Centre. </w:t>
      </w:r>
    </w:p>
    <w:p w14:paraId="30644D5E" w14:textId="77777777" w:rsidR="0048699F" w:rsidRPr="000E5786" w:rsidRDefault="0048699F" w:rsidP="00DD60F0">
      <w:pPr>
        <w:pStyle w:val="Recitals"/>
        <w:spacing w:after="120"/>
        <w:rPr>
          <w:rFonts w:cs="Arial"/>
          <w:szCs w:val="20"/>
        </w:rPr>
      </w:pPr>
      <w:r w:rsidRPr="000E5786">
        <w:rPr>
          <w:rFonts w:cs="Arial"/>
          <w:szCs w:val="20"/>
        </w:rPr>
        <w:t>The Parties have agreed to contract with each other in accordance with the terms and conditions set out below.</w:t>
      </w:r>
    </w:p>
    <w:p w14:paraId="12F8CEFE" w14:textId="77777777" w:rsidR="0048699F" w:rsidRPr="000E5786" w:rsidRDefault="0048699F" w:rsidP="00DD60F0">
      <w:pPr>
        <w:pStyle w:val="BodyText"/>
        <w:spacing w:after="120"/>
        <w:rPr>
          <w:rFonts w:cs="Arial"/>
          <w:szCs w:val="20"/>
        </w:rPr>
      </w:pPr>
      <w:r w:rsidRPr="000E5786">
        <w:rPr>
          <w:rFonts w:cs="Arial"/>
          <w:b/>
          <w:bCs/>
          <w:szCs w:val="20"/>
        </w:rPr>
        <w:t>IT IS AGREED</w:t>
      </w:r>
      <w:r w:rsidRPr="000E5786">
        <w:rPr>
          <w:rFonts w:cs="Arial"/>
          <w:szCs w:val="20"/>
        </w:rPr>
        <w:t xml:space="preserve"> as follows:</w:t>
      </w:r>
    </w:p>
    <w:p w14:paraId="6E299075" w14:textId="77777777" w:rsidR="0048699F" w:rsidRPr="000E5786" w:rsidRDefault="0048699F" w:rsidP="00DD60F0">
      <w:pPr>
        <w:pStyle w:val="BodyText"/>
        <w:spacing w:after="120"/>
        <w:rPr>
          <w:rFonts w:cs="Arial"/>
          <w:b/>
          <w:bCs/>
          <w:szCs w:val="20"/>
        </w:rPr>
      </w:pPr>
      <w:r w:rsidRPr="000E5786">
        <w:rPr>
          <w:rFonts w:cs="Arial"/>
          <w:b/>
          <w:bCs/>
          <w:szCs w:val="20"/>
        </w:rPr>
        <w:t>SECTION A - PRELIMINARIES</w:t>
      </w:r>
    </w:p>
    <w:p w14:paraId="4B97BC75" w14:textId="77777777" w:rsidR="0048699F" w:rsidRPr="000E5786" w:rsidRDefault="0048699F" w:rsidP="00DD60F0">
      <w:pPr>
        <w:pStyle w:val="BodyText"/>
        <w:spacing w:after="120"/>
        <w:rPr>
          <w:rFonts w:cs="Arial"/>
          <w:b/>
          <w:bCs/>
          <w:szCs w:val="20"/>
        </w:rPr>
      </w:pPr>
      <w:r w:rsidRPr="000E5786">
        <w:rPr>
          <w:rFonts w:cs="Arial"/>
          <w:b/>
          <w:bCs/>
          <w:szCs w:val="20"/>
        </w:rPr>
        <w:t>OPERATIVE PROVISIONS</w:t>
      </w:r>
    </w:p>
    <w:p w14:paraId="1725BA56" w14:textId="735980AA" w:rsidR="0048699F" w:rsidRPr="000E5786" w:rsidRDefault="0048699F" w:rsidP="00DD60F0">
      <w:pPr>
        <w:pStyle w:val="Heading1"/>
        <w:spacing w:after="120"/>
        <w:rPr>
          <w:rFonts w:cs="Arial"/>
          <w:szCs w:val="20"/>
        </w:rPr>
      </w:pPr>
      <w:bookmarkStart w:id="5" w:name="_Ref53584697"/>
      <w:bookmarkStart w:id="6" w:name="_Ref53585699"/>
      <w:bookmarkStart w:id="7" w:name="_Toc71198925"/>
      <w:r w:rsidRPr="000E5786">
        <w:rPr>
          <w:rFonts w:cs="Arial"/>
          <w:szCs w:val="20"/>
        </w:rPr>
        <w:t>DEFINITIONS AND INTERPRETATION</w:t>
      </w:r>
      <w:bookmarkEnd w:id="5"/>
      <w:bookmarkEnd w:id="6"/>
      <w:bookmarkEnd w:id="7"/>
    </w:p>
    <w:p w14:paraId="1D6A22F3" w14:textId="4CBFF334" w:rsidR="0048699F" w:rsidRPr="000E5786" w:rsidRDefault="0048699F" w:rsidP="00DD60F0">
      <w:pPr>
        <w:pStyle w:val="Heading2"/>
        <w:spacing w:after="120"/>
        <w:rPr>
          <w:rFonts w:cs="Arial"/>
          <w:szCs w:val="20"/>
        </w:rPr>
      </w:pPr>
      <w:bookmarkStart w:id="8" w:name="_Ref53584698"/>
      <w:r w:rsidRPr="000E5786">
        <w:rPr>
          <w:rFonts w:cs="Arial"/>
          <w:szCs w:val="20"/>
        </w:rPr>
        <w:t xml:space="preserve">In this Agreement, unless otherwise provided or the context otherwise requires, capitalised expressions shall have the meanings set out in </w:t>
      </w:r>
      <w:bookmarkStart w:id="9" w:name="DocXTextRef4"/>
      <w:r w:rsidRPr="000E5786">
        <w:rPr>
          <w:rFonts w:cs="Arial"/>
          <w:szCs w:val="20"/>
        </w:rPr>
        <w:t>Schedule 1</w:t>
      </w:r>
      <w:bookmarkEnd w:id="9"/>
      <w:r w:rsidRPr="000E5786">
        <w:rPr>
          <w:rFonts w:cs="Arial"/>
          <w:szCs w:val="20"/>
        </w:rPr>
        <w:t xml:space="preserve"> (Definitions) or the relevant Schedule in which that capitalised expression appears.</w:t>
      </w:r>
      <w:bookmarkEnd w:id="8"/>
    </w:p>
    <w:p w14:paraId="0BCB967A" w14:textId="2E35FC4D" w:rsidR="0048699F" w:rsidRPr="000E5786" w:rsidRDefault="0048699F" w:rsidP="00DD60F0">
      <w:pPr>
        <w:pStyle w:val="Heading2"/>
        <w:spacing w:after="120"/>
        <w:rPr>
          <w:rFonts w:cs="Arial"/>
          <w:szCs w:val="20"/>
        </w:rPr>
      </w:pPr>
      <w:bookmarkStart w:id="10" w:name="_Ref53584699"/>
      <w:r w:rsidRPr="000E5786">
        <w:rPr>
          <w:rFonts w:cs="Arial"/>
          <w:szCs w:val="20"/>
        </w:rPr>
        <w:t>In this Agreement, unless the context otherwise requires:</w:t>
      </w:r>
      <w:bookmarkEnd w:id="10"/>
    </w:p>
    <w:p w14:paraId="1C5883C4" w14:textId="1B906759" w:rsidR="0048699F" w:rsidRPr="000E5786" w:rsidRDefault="0048699F" w:rsidP="00346A37">
      <w:pPr>
        <w:pStyle w:val="Heading3"/>
      </w:pPr>
      <w:bookmarkStart w:id="11" w:name="_Ref53584700"/>
      <w:r w:rsidRPr="000E5786">
        <w:t xml:space="preserve">the singular includes the plural and </w:t>
      </w:r>
      <w:proofErr w:type="gramStart"/>
      <w:r w:rsidRPr="000E5786">
        <w:t>vice versa;</w:t>
      </w:r>
      <w:bookmarkEnd w:id="11"/>
      <w:proofErr w:type="gramEnd"/>
    </w:p>
    <w:p w14:paraId="0AC3A796" w14:textId="31FCC713" w:rsidR="0048699F" w:rsidRPr="000E5786" w:rsidRDefault="0048699F" w:rsidP="00346A37">
      <w:pPr>
        <w:pStyle w:val="Heading3"/>
      </w:pPr>
      <w:bookmarkStart w:id="12" w:name="_Ref53584701"/>
      <w:r w:rsidRPr="000E5786">
        <w:t xml:space="preserve">reference to a gender includes the other gender and the </w:t>
      </w:r>
      <w:proofErr w:type="gramStart"/>
      <w:r w:rsidRPr="000E5786">
        <w:t>neuter;</w:t>
      </w:r>
      <w:bookmarkEnd w:id="12"/>
      <w:proofErr w:type="gramEnd"/>
    </w:p>
    <w:p w14:paraId="0F00CD82" w14:textId="18614E74" w:rsidR="0048699F" w:rsidRPr="000E5786" w:rsidRDefault="0048699F" w:rsidP="00346A37">
      <w:pPr>
        <w:pStyle w:val="Heading3"/>
      </w:pPr>
      <w:bookmarkStart w:id="13" w:name="_Ref53584702"/>
      <w:r w:rsidRPr="000E5786">
        <w:t xml:space="preserve">references to a person include an individual, company, body corporate, corporation, unincorporated association, firm, partnership or other legal </w:t>
      </w:r>
      <w:proofErr w:type="gramStart"/>
      <w:r w:rsidRPr="000E5786">
        <w:t>entity;</w:t>
      </w:r>
      <w:bookmarkEnd w:id="13"/>
      <w:proofErr w:type="gramEnd"/>
    </w:p>
    <w:p w14:paraId="2CD8A78E" w14:textId="2709D1D6" w:rsidR="0048699F" w:rsidRPr="000E5786" w:rsidRDefault="0048699F" w:rsidP="00346A37">
      <w:pPr>
        <w:pStyle w:val="Heading3"/>
      </w:pPr>
      <w:bookmarkStart w:id="14" w:name="_Ref53584703"/>
      <w:r w:rsidRPr="000E5786">
        <w:t xml:space="preserve">a reference to any Law includes a reference to that Law as amended, extended, consolidated or re-enacted from time to </w:t>
      </w:r>
      <w:proofErr w:type="gramStart"/>
      <w:r w:rsidRPr="000E5786">
        <w:t>time;</w:t>
      </w:r>
      <w:bookmarkEnd w:id="14"/>
      <w:proofErr w:type="gramEnd"/>
    </w:p>
    <w:p w14:paraId="0EA0B653" w14:textId="73EBEDFA" w:rsidR="0048699F" w:rsidRPr="000E5786" w:rsidRDefault="0048699F" w:rsidP="00346A37">
      <w:pPr>
        <w:pStyle w:val="Heading3"/>
      </w:pPr>
      <w:bookmarkStart w:id="15" w:name="_Ref53584704"/>
      <w:r w:rsidRPr="000E5786">
        <w:t xml:space="preserve">any references to “re-enacted” in respect of any statute or statutory provision (including any subordinate legislation) include references to the preservation, continuation of effect, conversion or incorporation of any of them into the law of England and Wales, Scotland and Northern </w:t>
      </w:r>
      <w:proofErr w:type="gramStart"/>
      <w:r w:rsidRPr="000E5786">
        <w:t>Ireland;</w:t>
      </w:r>
      <w:bookmarkEnd w:id="15"/>
      <w:proofErr w:type="gramEnd"/>
    </w:p>
    <w:p w14:paraId="467F496C" w14:textId="789CF4D3" w:rsidR="0048699F" w:rsidRPr="000E5786" w:rsidRDefault="0048699F" w:rsidP="00346A37">
      <w:pPr>
        <w:pStyle w:val="Heading3"/>
      </w:pPr>
      <w:bookmarkStart w:id="16" w:name="_Ref53584705"/>
      <w:r w:rsidRPr="000E5786">
        <w:t>the words “</w:t>
      </w:r>
      <w:r w:rsidRPr="000E5786">
        <w:rPr>
          <w:b/>
        </w:rPr>
        <w:t>including</w:t>
      </w:r>
      <w:r w:rsidRPr="000E5786">
        <w:t>”, “</w:t>
      </w:r>
      <w:r w:rsidRPr="000E5786">
        <w:rPr>
          <w:b/>
        </w:rPr>
        <w:t>other</w:t>
      </w:r>
      <w:r w:rsidRPr="000E5786">
        <w:t>”, “</w:t>
      </w:r>
      <w:r w:rsidRPr="000E5786">
        <w:rPr>
          <w:b/>
        </w:rPr>
        <w:t>in particular</w:t>
      </w:r>
      <w:r w:rsidRPr="000E5786">
        <w:t>”, “</w:t>
      </w:r>
      <w:r w:rsidRPr="000E5786">
        <w:rPr>
          <w:b/>
        </w:rPr>
        <w:t>for example</w:t>
      </w:r>
      <w:r w:rsidRPr="000E5786">
        <w:t>” and similar words shall not limit the generality of the preceding words and shall be construed as if they were immediately followed by the words “without limitation</w:t>
      </w:r>
      <w:proofErr w:type="gramStart"/>
      <w:r w:rsidRPr="000E5786">
        <w:t>”;</w:t>
      </w:r>
      <w:bookmarkEnd w:id="16"/>
      <w:proofErr w:type="gramEnd"/>
    </w:p>
    <w:p w14:paraId="1C3081B6" w14:textId="2B869A1A" w:rsidR="0048699F" w:rsidRPr="000E5786" w:rsidRDefault="0048699F" w:rsidP="00346A37">
      <w:pPr>
        <w:pStyle w:val="Heading3"/>
      </w:pPr>
      <w:bookmarkStart w:id="17" w:name="_Ref53584706"/>
      <w:r w:rsidRPr="000E5786">
        <w:t>references to “</w:t>
      </w:r>
      <w:r w:rsidRPr="000E5786">
        <w:rPr>
          <w:b/>
        </w:rPr>
        <w:t>writing</w:t>
      </w:r>
      <w:r w:rsidRPr="000E5786">
        <w:t xml:space="preserve">” include typing, printing, lithography, photography, display on a screen, electronic and facsimile transmission and other modes of representing or reproducing words in a visible form, and expressions referring to writing shall be construed </w:t>
      </w:r>
      <w:proofErr w:type="gramStart"/>
      <w:r w:rsidRPr="000E5786">
        <w:t>accordingly;</w:t>
      </w:r>
      <w:bookmarkEnd w:id="17"/>
      <w:proofErr w:type="gramEnd"/>
    </w:p>
    <w:p w14:paraId="0BECF5EB" w14:textId="39AC8E44" w:rsidR="0048699F" w:rsidRPr="000E5786" w:rsidRDefault="0048699F" w:rsidP="00346A37">
      <w:pPr>
        <w:pStyle w:val="Heading3"/>
      </w:pPr>
      <w:bookmarkStart w:id="18" w:name="_Ref53584707"/>
      <w:r w:rsidRPr="000E5786">
        <w:t xml:space="preserve">the headings are for ease of reference only and shall not affect the interpretation or construction of this </w:t>
      </w:r>
      <w:proofErr w:type="gramStart"/>
      <w:r w:rsidRPr="000E5786">
        <w:t>Agreement;</w:t>
      </w:r>
      <w:bookmarkEnd w:id="18"/>
      <w:proofErr w:type="gramEnd"/>
    </w:p>
    <w:p w14:paraId="1CA2E0D6" w14:textId="18A2DC27" w:rsidR="0048699F" w:rsidRPr="000E5786" w:rsidRDefault="0048699F" w:rsidP="00346A37">
      <w:pPr>
        <w:pStyle w:val="Heading3"/>
      </w:pPr>
      <w:bookmarkStart w:id="19" w:name="_Ref53584708"/>
      <w:r w:rsidRPr="000E5786">
        <w:t xml:space="preserve">unless otherwise provided and save for references in Annexes </w:t>
      </w:r>
      <w:bookmarkStart w:id="20" w:name="DocXTextRef9"/>
      <w:r w:rsidRPr="000E5786">
        <w:t>1</w:t>
      </w:r>
      <w:bookmarkEnd w:id="20"/>
      <w:r w:rsidRPr="000E5786">
        <w:t xml:space="preserve"> to </w:t>
      </w:r>
      <w:bookmarkStart w:id="21" w:name="DocXTextRef10"/>
      <w:r w:rsidRPr="000E5786">
        <w:t>3</w:t>
      </w:r>
      <w:bookmarkEnd w:id="21"/>
      <w:r w:rsidRPr="000E5786">
        <w:t xml:space="preserve"> of </w:t>
      </w:r>
      <w:bookmarkStart w:id="22" w:name="DocXTextRef5"/>
      <w:r w:rsidRPr="000E5786">
        <w:t>Schedule 5</w:t>
      </w:r>
      <w:bookmarkEnd w:id="22"/>
      <w:r w:rsidRPr="000E5786">
        <w:t xml:space="preserve"> (Software), references to clauses and </w:t>
      </w:r>
      <w:bookmarkStart w:id="23" w:name="DocXTextRef7"/>
      <w:r w:rsidRPr="000E5786">
        <w:t>Schedules</w:t>
      </w:r>
      <w:bookmarkEnd w:id="23"/>
      <w:r w:rsidRPr="000E5786">
        <w:t xml:space="preserve"> are references to the clauses and </w:t>
      </w:r>
      <w:bookmarkStart w:id="24" w:name="DocXTextRef8"/>
      <w:r w:rsidR="00432F00" w:rsidRPr="000E5786">
        <w:t>Schedules</w:t>
      </w:r>
      <w:bookmarkEnd w:id="24"/>
      <w:r w:rsidR="00432F00" w:rsidRPr="000E5786">
        <w:t xml:space="preserve"> </w:t>
      </w:r>
      <w:r w:rsidRPr="000E5786">
        <w:t xml:space="preserve">of this Agreement and references in any Schedule to Paragraphs, Parts and Annexes are, unless otherwise provided, references to the paragraphs, parts </w:t>
      </w:r>
      <w:r w:rsidRPr="000E5786">
        <w:lastRenderedPageBreak/>
        <w:t>and annexes of the Schedule or the Part of the Schedule in which the references appear; and</w:t>
      </w:r>
      <w:bookmarkEnd w:id="19"/>
    </w:p>
    <w:p w14:paraId="2F982884" w14:textId="063238DF" w:rsidR="0048699F" w:rsidRPr="000E5786" w:rsidRDefault="0048699F" w:rsidP="00346A37">
      <w:pPr>
        <w:pStyle w:val="Heading3"/>
      </w:pPr>
      <w:bookmarkStart w:id="25" w:name="_Ref53584709"/>
      <w:r w:rsidRPr="000E5786">
        <w:t>references to this Agreement are references to this Agreement as amended from time to time.</w:t>
      </w:r>
      <w:bookmarkEnd w:id="25"/>
    </w:p>
    <w:p w14:paraId="7B572152" w14:textId="795173E9" w:rsidR="0048699F" w:rsidRPr="000E5786" w:rsidRDefault="001F1C19" w:rsidP="00DD60F0">
      <w:pPr>
        <w:pStyle w:val="Heading2"/>
        <w:spacing w:after="120"/>
        <w:rPr>
          <w:rFonts w:cs="Arial"/>
          <w:szCs w:val="20"/>
        </w:rPr>
      </w:pPr>
      <w:bookmarkStart w:id="26" w:name="_Ref53584710"/>
      <w:proofErr w:type="spellStart"/>
      <w:r>
        <w:rPr>
          <w:rFonts w:cs="Arial"/>
          <w:szCs w:val="20"/>
        </w:rPr>
        <w:t>Netlink</w:t>
      </w:r>
      <w:proofErr w:type="spellEnd"/>
      <w:r>
        <w:rPr>
          <w:rFonts w:cs="Arial"/>
          <w:szCs w:val="20"/>
        </w:rPr>
        <w:t xml:space="preserve"> Star</w:t>
      </w:r>
      <w:r w:rsidR="0048699F" w:rsidRPr="000E5786">
        <w:rPr>
          <w:rFonts w:cs="Arial"/>
          <w:szCs w:val="20"/>
        </w:rPr>
        <w:t xml:space="preserve"> shall not be deemed to be in Default pursuant to this Agreement to the extent that any such Default is due to the Default of the Supplier.</w:t>
      </w:r>
      <w:bookmarkEnd w:id="26"/>
    </w:p>
    <w:p w14:paraId="58A65108" w14:textId="475BC557" w:rsidR="0048699F" w:rsidRPr="000E5786" w:rsidRDefault="0048699F" w:rsidP="00DD60F0">
      <w:pPr>
        <w:pStyle w:val="Heading2"/>
        <w:spacing w:after="120"/>
        <w:rPr>
          <w:rFonts w:cs="Arial"/>
          <w:szCs w:val="20"/>
        </w:rPr>
      </w:pPr>
      <w:bookmarkStart w:id="27" w:name="_Ref53584711"/>
      <w:r w:rsidRPr="000E5786">
        <w:rPr>
          <w:rFonts w:cs="Arial"/>
          <w:szCs w:val="20"/>
        </w:rPr>
        <w:t xml:space="preserve">Where a standard, policy or document is referred to in this Agreement by reference to a hyperlink, then if the hyperlink is changed or no longer provides access to the relevant standard, policy or document, the Supplier shall notify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and the Parties shall update this Agreement with a reference to the replacement hyperlink.</w:t>
      </w:r>
      <w:bookmarkEnd w:id="27"/>
    </w:p>
    <w:p w14:paraId="7F7F7EB0" w14:textId="22B78476" w:rsidR="0048699F" w:rsidRPr="000E5786" w:rsidRDefault="0048699F" w:rsidP="00DD60F0">
      <w:pPr>
        <w:pStyle w:val="Heading2"/>
        <w:spacing w:after="120"/>
        <w:rPr>
          <w:rFonts w:cs="Arial"/>
          <w:szCs w:val="20"/>
        </w:rPr>
      </w:pPr>
      <w:bookmarkStart w:id="28" w:name="_Ref53584712"/>
      <w:r w:rsidRPr="000E5786">
        <w:rPr>
          <w:rFonts w:cs="Arial"/>
          <w:szCs w:val="20"/>
        </w:rPr>
        <w:t xml:space="preserve">If there is any conflict between the clauses and the </w:t>
      </w:r>
      <w:bookmarkStart w:id="29" w:name="DocXTextRef11"/>
      <w:r w:rsidRPr="000E5786">
        <w:rPr>
          <w:rFonts w:cs="Arial"/>
          <w:szCs w:val="20"/>
        </w:rPr>
        <w:t>Schedules</w:t>
      </w:r>
      <w:bookmarkEnd w:id="29"/>
      <w:r w:rsidRPr="000E5786">
        <w:rPr>
          <w:rFonts w:cs="Arial"/>
          <w:szCs w:val="20"/>
        </w:rPr>
        <w:t xml:space="preserve"> and/or any Annexes to the </w:t>
      </w:r>
      <w:bookmarkStart w:id="30" w:name="DocXTextRef12"/>
      <w:r w:rsidRPr="000E5786">
        <w:rPr>
          <w:rFonts w:cs="Arial"/>
          <w:szCs w:val="20"/>
        </w:rPr>
        <w:t>Schedules</w:t>
      </w:r>
      <w:bookmarkEnd w:id="30"/>
      <w:r w:rsidRPr="000E5786">
        <w:rPr>
          <w:rFonts w:cs="Arial"/>
          <w:szCs w:val="20"/>
        </w:rPr>
        <w:t>, the conflict shall be resolved in accordance with the following order of precedence:</w:t>
      </w:r>
      <w:bookmarkEnd w:id="28"/>
    </w:p>
    <w:p w14:paraId="0C7573A0" w14:textId="073AAAE1" w:rsidR="0048699F" w:rsidRPr="000E5786" w:rsidRDefault="0048699F" w:rsidP="00346A37">
      <w:pPr>
        <w:pStyle w:val="Heading3"/>
      </w:pPr>
      <w:bookmarkStart w:id="31" w:name="_Ref53584714"/>
      <w:r w:rsidRPr="000E5786">
        <w:t xml:space="preserve">the clauses and </w:t>
      </w:r>
      <w:bookmarkStart w:id="32" w:name="DocXTextRef13"/>
      <w:r w:rsidRPr="000E5786">
        <w:t>Schedule 1</w:t>
      </w:r>
      <w:bookmarkEnd w:id="32"/>
      <w:r w:rsidRPr="000E5786">
        <w:t xml:space="preserve"> </w:t>
      </w:r>
      <w:r w:rsidRPr="000E5786">
        <w:rPr>
          <w:i/>
        </w:rPr>
        <w:t>(</w:t>
      </w:r>
      <w:r w:rsidRPr="000E5786">
        <w:t>Definitions</w:t>
      </w:r>
      <w:proofErr w:type="gramStart"/>
      <w:r w:rsidRPr="000E5786">
        <w:t>);</w:t>
      </w:r>
      <w:bookmarkEnd w:id="31"/>
      <w:proofErr w:type="gramEnd"/>
    </w:p>
    <w:p w14:paraId="10E181B7" w14:textId="3AE48BBA" w:rsidR="0048699F" w:rsidRPr="000E5786" w:rsidRDefault="0048699F" w:rsidP="00346A37">
      <w:pPr>
        <w:pStyle w:val="Heading3"/>
      </w:pPr>
      <w:bookmarkStart w:id="33" w:name="_Ref53584715"/>
      <w:r w:rsidRPr="000E5786">
        <w:t xml:space="preserve">Schedules 2.1 (Services Description) and </w:t>
      </w:r>
      <w:bookmarkStart w:id="34" w:name="DocXTextRef1671"/>
      <w:r w:rsidR="002F75A1" w:rsidRPr="000E5786">
        <w:t>2.2</w:t>
      </w:r>
      <w:bookmarkEnd w:id="34"/>
      <w:r w:rsidRPr="000E5786">
        <w:t xml:space="preserve"> (</w:t>
      </w:r>
      <w:r w:rsidR="008446F2">
        <w:t>Service Levels</w:t>
      </w:r>
      <w:r w:rsidRPr="000E5786">
        <w:t xml:space="preserve">) and their </w:t>
      </w:r>
      <w:proofErr w:type="gramStart"/>
      <w:r w:rsidRPr="000E5786">
        <w:t>Annexes;</w:t>
      </w:r>
      <w:bookmarkEnd w:id="33"/>
      <w:proofErr w:type="gramEnd"/>
    </w:p>
    <w:p w14:paraId="363A12FC" w14:textId="67BF383B" w:rsidR="0048699F" w:rsidRPr="000E5786" w:rsidRDefault="0048699F" w:rsidP="00346A37">
      <w:pPr>
        <w:pStyle w:val="Heading3"/>
      </w:pPr>
      <w:bookmarkStart w:id="35" w:name="_Ref53584716"/>
      <w:r w:rsidRPr="000E5786">
        <w:t xml:space="preserve">any other </w:t>
      </w:r>
      <w:bookmarkStart w:id="36" w:name="DocXTextRef15"/>
      <w:r w:rsidRPr="000E5786">
        <w:t>Schedules</w:t>
      </w:r>
      <w:bookmarkEnd w:id="36"/>
      <w:r w:rsidRPr="000E5786">
        <w:t xml:space="preserve"> and their Annexes (other than </w:t>
      </w:r>
      <w:bookmarkStart w:id="37" w:name="DocXTextRef16"/>
      <w:r w:rsidRPr="000E5786">
        <w:t>Schedule 4.1</w:t>
      </w:r>
      <w:bookmarkEnd w:id="37"/>
      <w:r w:rsidRPr="000E5786">
        <w:t xml:space="preserve"> (Supplier Solution) and its Annexes); and</w:t>
      </w:r>
      <w:bookmarkEnd w:id="35"/>
    </w:p>
    <w:p w14:paraId="6CF72EA7" w14:textId="42399046" w:rsidR="0048699F" w:rsidRPr="000E5786" w:rsidRDefault="0048699F" w:rsidP="00346A37">
      <w:pPr>
        <w:pStyle w:val="Heading3"/>
      </w:pPr>
      <w:bookmarkStart w:id="38" w:name="_Ref53584717"/>
      <w:r w:rsidRPr="000E5786">
        <w:t>Schedule 4.1 (Supplier Solution) and its Annexes (if any).</w:t>
      </w:r>
      <w:bookmarkEnd w:id="38"/>
    </w:p>
    <w:p w14:paraId="61C5A617" w14:textId="6CAAD7B0" w:rsidR="0048699F" w:rsidRPr="000E5786" w:rsidRDefault="0048699F" w:rsidP="00DD60F0">
      <w:pPr>
        <w:pStyle w:val="Heading2"/>
        <w:spacing w:after="120"/>
        <w:rPr>
          <w:rFonts w:cs="Arial"/>
          <w:szCs w:val="20"/>
        </w:rPr>
      </w:pPr>
      <w:bookmarkStart w:id="39" w:name="_Ref53584718"/>
      <w:r w:rsidRPr="000E5786">
        <w:rPr>
          <w:rFonts w:cs="Arial"/>
          <w:szCs w:val="20"/>
        </w:rPr>
        <w:t xml:space="preserve">The </w:t>
      </w:r>
      <w:bookmarkStart w:id="40" w:name="DocXTextRef17"/>
      <w:r w:rsidRPr="000E5786">
        <w:rPr>
          <w:rFonts w:cs="Arial"/>
          <w:szCs w:val="20"/>
        </w:rPr>
        <w:t>Schedules</w:t>
      </w:r>
      <w:bookmarkEnd w:id="40"/>
      <w:r w:rsidRPr="000E5786">
        <w:rPr>
          <w:rFonts w:cs="Arial"/>
          <w:szCs w:val="20"/>
        </w:rPr>
        <w:t xml:space="preserve"> and their Annexes form part of this Agreement.</w:t>
      </w:r>
      <w:bookmarkEnd w:id="39"/>
    </w:p>
    <w:p w14:paraId="7681B012" w14:textId="64433FFB" w:rsidR="0048699F" w:rsidRPr="000E5786" w:rsidRDefault="0048699F" w:rsidP="00DD60F0">
      <w:pPr>
        <w:pStyle w:val="Heading2"/>
        <w:spacing w:after="120"/>
        <w:rPr>
          <w:rFonts w:cs="Arial"/>
          <w:szCs w:val="20"/>
        </w:rPr>
      </w:pPr>
      <w:bookmarkStart w:id="41" w:name="_Ref53584719"/>
      <w:r w:rsidRPr="000E5786">
        <w:rPr>
          <w:rFonts w:cs="Arial"/>
          <w:szCs w:val="20"/>
        </w:rPr>
        <w:t xml:space="preserve">Wherever under this Agreement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consent is required before the Supplier is permitted to do a particular act or thing, unless otherwise expressly provided,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is entitled to give or withhold consent or make consent subject to conditions at its sole discretion.</w:t>
      </w:r>
      <w:bookmarkEnd w:id="41"/>
    </w:p>
    <w:p w14:paraId="684C9C12" w14:textId="11E0B8E1" w:rsidR="0048699F" w:rsidRPr="000E5786" w:rsidRDefault="0048699F" w:rsidP="00DD60F0">
      <w:pPr>
        <w:pStyle w:val="Heading1"/>
        <w:spacing w:after="120"/>
        <w:rPr>
          <w:rFonts w:cs="Arial"/>
          <w:szCs w:val="20"/>
        </w:rPr>
      </w:pPr>
      <w:bookmarkStart w:id="42" w:name="_Ref53584720"/>
      <w:bookmarkStart w:id="43" w:name="_Ref53585700"/>
      <w:bookmarkStart w:id="44" w:name="_Toc71198926"/>
      <w:r w:rsidRPr="000E5786">
        <w:rPr>
          <w:rFonts w:cs="Arial"/>
          <w:szCs w:val="20"/>
        </w:rPr>
        <w:t>DUE DILIGENCE</w:t>
      </w:r>
      <w:bookmarkEnd w:id="42"/>
      <w:bookmarkEnd w:id="43"/>
      <w:bookmarkEnd w:id="44"/>
    </w:p>
    <w:p w14:paraId="5E0C505B" w14:textId="20DB20CC" w:rsidR="0048699F" w:rsidRPr="000E5786" w:rsidRDefault="0048699F" w:rsidP="00DD60F0">
      <w:pPr>
        <w:pStyle w:val="Heading2"/>
        <w:spacing w:after="120"/>
        <w:rPr>
          <w:rFonts w:cs="Arial"/>
          <w:szCs w:val="20"/>
        </w:rPr>
      </w:pPr>
      <w:bookmarkStart w:id="45" w:name="_Ref53584721"/>
      <w:r w:rsidRPr="000E5786">
        <w:rPr>
          <w:rFonts w:cs="Arial"/>
          <w:szCs w:val="20"/>
        </w:rPr>
        <w:t>The Supplier acknowledges that, subject to the Allowable Assumptions:</w:t>
      </w:r>
      <w:bookmarkEnd w:id="45"/>
    </w:p>
    <w:p w14:paraId="006FCB0D" w14:textId="793F3A7B" w:rsidR="0048699F" w:rsidRPr="000E5786" w:rsidRDefault="001F1C19" w:rsidP="00346A37">
      <w:pPr>
        <w:pStyle w:val="Heading3"/>
      </w:pPr>
      <w:bookmarkStart w:id="46" w:name="_Ref53584722"/>
      <w:proofErr w:type="spellStart"/>
      <w:r>
        <w:t>Netlink</w:t>
      </w:r>
      <w:proofErr w:type="spellEnd"/>
      <w:r>
        <w:t xml:space="preserve"> Star</w:t>
      </w:r>
      <w:r w:rsidR="0048699F" w:rsidRPr="000E5786">
        <w:t xml:space="preserve"> has delivered or made available to the Supplier all of the</w:t>
      </w:r>
      <w:r w:rsidR="00DF50FE" w:rsidRPr="000E5786">
        <w:t xml:space="preserve"> </w:t>
      </w:r>
      <w:r w:rsidR="0048699F" w:rsidRPr="000E5786">
        <w:t xml:space="preserve">information and documents that the Supplier considers necessary or relevant for the performance of its obligations under this </w:t>
      </w:r>
      <w:proofErr w:type="gramStart"/>
      <w:r w:rsidR="0048699F" w:rsidRPr="000E5786">
        <w:t>Agreement;</w:t>
      </w:r>
      <w:bookmarkEnd w:id="46"/>
      <w:proofErr w:type="gramEnd"/>
    </w:p>
    <w:p w14:paraId="5BCD5E61" w14:textId="401BAF39" w:rsidR="0048699F" w:rsidRPr="000E5786" w:rsidRDefault="0048699F" w:rsidP="00346A37">
      <w:pPr>
        <w:pStyle w:val="Heading3"/>
      </w:pPr>
      <w:bookmarkStart w:id="47" w:name="_Ref53584723"/>
      <w:r w:rsidRPr="000E5786">
        <w:t xml:space="preserve">it has made its own enquiries to satisfy itself as to the accuracy and adequacy of the Due Diligence </w:t>
      </w:r>
      <w:proofErr w:type="gramStart"/>
      <w:r w:rsidRPr="000E5786">
        <w:t>Information;</w:t>
      </w:r>
      <w:bookmarkEnd w:id="47"/>
      <w:proofErr w:type="gramEnd"/>
    </w:p>
    <w:p w14:paraId="70AA92F7" w14:textId="06327587" w:rsidR="0048699F" w:rsidRPr="000E5786" w:rsidRDefault="0048699F" w:rsidP="00346A37">
      <w:pPr>
        <w:pStyle w:val="Heading3"/>
      </w:pPr>
      <w:bookmarkStart w:id="48" w:name="_Ref53584724"/>
      <w:r w:rsidRPr="000E5786">
        <w:t xml:space="preserve">it has satisfied itself (whether by inspection or having raised all relevant due diligence questions with </w:t>
      </w:r>
      <w:proofErr w:type="spellStart"/>
      <w:r w:rsidR="001F1C19">
        <w:t>Netlink</w:t>
      </w:r>
      <w:proofErr w:type="spellEnd"/>
      <w:r w:rsidR="001F1C19">
        <w:t xml:space="preserve"> Star</w:t>
      </w:r>
      <w:r w:rsidRPr="000E5786">
        <w:t xml:space="preserve"> before the Effective Date) of all relevant details relating to:</w:t>
      </w:r>
      <w:bookmarkEnd w:id="48"/>
    </w:p>
    <w:p w14:paraId="5AD51054" w14:textId="15346AA1" w:rsidR="0048699F" w:rsidRPr="000E5786" w:rsidRDefault="001F1C19" w:rsidP="00CE5734">
      <w:pPr>
        <w:pStyle w:val="Heading4"/>
        <w:tabs>
          <w:tab w:val="clear" w:pos="1702"/>
        </w:tabs>
        <w:spacing w:after="120"/>
        <w:ind w:left="2410"/>
        <w:rPr>
          <w:rFonts w:cs="Arial"/>
          <w:szCs w:val="20"/>
        </w:rPr>
      </w:pPr>
      <w:bookmarkStart w:id="49" w:name="_Ref53584725"/>
      <w:proofErr w:type="spellStart"/>
      <w:r>
        <w:rPr>
          <w:rFonts w:cs="Arial"/>
          <w:szCs w:val="20"/>
        </w:rPr>
        <w:t>Netlink</w:t>
      </w:r>
      <w:proofErr w:type="spellEnd"/>
      <w:r>
        <w:rPr>
          <w:rFonts w:cs="Arial"/>
          <w:szCs w:val="20"/>
        </w:rPr>
        <w:t xml:space="preserve"> Star</w:t>
      </w:r>
      <w:r w:rsidR="0048699F" w:rsidRPr="000E5786">
        <w:rPr>
          <w:rFonts w:cs="Arial"/>
          <w:szCs w:val="20"/>
        </w:rPr>
        <w:t xml:space="preserve"> </w:t>
      </w:r>
      <w:proofErr w:type="gramStart"/>
      <w:r w:rsidR="0048699F" w:rsidRPr="000E5786">
        <w:rPr>
          <w:rFonts w:cs="Arial"/>
          <w:szCs w:val="20"/>
        </w:rPr>
        <w:t>Requirements;</w:t>
      </w:r>
      <w:bookmarkEnd w:id="49"/>
      <w:proofErr w:type="gramEnd"/>
    </w:p>
    <w:p w14:paraId="3AE0576F" w14:textId="686CD7AD" w:rsidR="0048699F" w:rsidRPr="000E5786" w:rsidRDefault="0048699F" w:rsidP="00CE5734">
      <w:pPr>
        <w:pStyle w:val="Heading4"/>
        <w:tabs>
          <w:tab w:val="clear" w:pos="1702"/>
        </w:tabs>
        <w:spacing w:after="120"/>
        <w:ind w:left="2410"/>
        <w:rPr>
          <w:rFonts w:cs="Arial"/>
          <w:szCs w:val="20"/>
        </w:rPr>
      </w:pPr>
      <w:bookmarkStart w:id="50" w:name="_Ref53584726"/>
      <w:r w:rsidRPr="000E5786">
        <w:rPr>
          <w:rFonts w:cs="Arial"/>
          <w:szCs w:val="20"/>
        </w:rPr>
        <w:t xml:space="preserve">the suitability of the existing and (to the extent that it is defined or reasonably foreseeable at the Effective Date) future Operating </w:t>
      </w:r>
      <w:proofErr w:type="gramStart"/>
      <w:r w:rsidRPr="000E5786">
        <w:rPr>
          <w:rFonts w:cs="Arial"/>
          <w:szCs w:val="20"/>
        </w:rPr>
        <w:t>Environment;</w:t>
      </w:r>
      <w:bookmarkEnd w:id="50"/>
      <w:proofErr w:type="gramEnd"/>
    </w:p>
    <w:p w14:paraId="4B870CE6" w14:textId="42B6D620" w:rsidR="0048699F" w:rsidRPr="000E5786" w:rsidRDefault="0048699F" w:rsidP="00CE5734">
      <w:pPr>
        <w:pStyle w:val="Heading4"/>
        <w:tabs>
          <w:tab w:val="clear" w:pos="1702"/>
        </w:tabs>
        <w:spacing w:after="120"/>
        <w:ind w:left="2410"/>
        <w:rPr>
          <w:rFonts w:cs="Arial"/>
          <w:szCs w:val="20"/>
        </w:rPr>
      </w:pPr>
      <w:bookmarkStart w:id="51" w:name="_Ref53584727"/>
      <w:r w:rsidRPr="000E5786">
        <w:rPr>
          <w:rFonts w:cs="Arial"/>
          <w:szCs w:val="20"/>
        </w:rPr>
        <w:t xml:space="preserve">the operating processes and procedures and the working methods of </w:t>
      </w:r>
      <w:proofErr w:type="spellStart"/>
      <w:r w:rsidR="001F1C19">
        <w:rPr>
          <w:rFonts w:cs="Arial"/>
          <w:szCs w:val="20"/>
        </w:rPr>
        <w:t>Netlink</w:t>
      </w:r>
      <w:proofErr w:type="spellEnd"/>
      <w:r w:rsidR="001F1C19">
        <w:rPr>
          <w:rFonts w:cs="Arial"/>
          <w:szCs w:val="20"/>
        </w:rPr>
        <w:t xml:space="preserve"> </w:t>
      </w:r>
      <w:proofErr w:type="gramStart"/>
      <w:r w:rsidR="001F1C19">
        <w:rPr>
          <w:rFonts w:cs="Arial"/>
          <w:szCs w:val="20"/>
        </w:rPr>
        <w:t>Star</w:t>
      </w:r>
      <w:r w:rsidRPr="000E5786">
        <w:rPr>
          <w:rFonts w:cs="Arial"/>
          <w:szCs w:val="20"/>
        </w:rPr>
        <w:t>;</w:t>
      </w:r>
      <w:bookmarkEnd w:id="51"/>
      <w:proofErr w:type="gramEnd"/>
    </w:p>
    <w:p w14:paraId="1706A9A6" w14:textId="6D6750FD" w:rsidR="0048699F" w:rsidRPr="000E5786" w:rsidRDefault="0048699F" w:rsidP="00CE5734">
      <w:pPr>
        <w:pStyle w:val="Heading4"/>
        <w:tabs>
          <w:tab w:val="clear" w:pos="1702"/>
        </w:tabs>
        <w:spacing w:after="120"/>
        <w:ind w:left="2410"/>
        <w:rPr>
          <w:rFonts w:cs="Arial"/>
          <w:szCs w:val="20"/>
        </w:rPr>
      </w:pPr>
      <w:bookmarkStart w:id="52" w:name="_Ref53584728"/>
      <w:r w:rsidRPr="000E5786">
        <w:rPr>
          <w:rFonts w:cs="Arial"/>
          <w:szCs w:val="20"/>
        </w:rPr>
        <w:t xml:space="preserve">the ownership, functionality, capacity, </w:t>
      </w:r>
      <w:proofErr w:type="gramStart"/>
      <w:r w:rsidRPr="000E5786">
        <w:rPr>
          <w:rFonts w:cs="Arial"/>
          <w:szCs w:val="20"/>
        </w:rPr>
        <w:t>condition</w:t>
      </w:r>
      <w:proofErr w:type="gramEnd"/>
      <w:r w:rsidRPr="000E5786">
        <w:rPr>
          <w:rFonts w:cs="Arial"/>
          <w:szCs w:val="20"/>
        </w:rPr>
        <w:t xml:space="preserve"> and suitability for use in the Services of the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Assets; and</w:t>
      </w:r>
      <w:bookmarkEnd w:id="52"/>
    </w:p>
    <w:p w14:paraId="75A713D4" w14:textId="6390466D" w:rsidR="0048699F" w:rsidRPr="000E5786" w:rsidRDefault="0048699F" w:rsidP="00CE5734">
      <w:pPr>
        <w:pStyle w:val="Heading4"/>
        <w:tabs>
          <w:tab w:val="clear" w:pos="1702"/>
        </w:tabs>
        <w:spacing w:after="120"/>
        <w:ind w:left="2410"/>
        <w:rPr>
          <w:rFonts w:cs="Arial"/>
          <w:szCs w:val="20"/>
        </w:rPr>
      </w:pPr>
      <w:bookmarkStart w:id="53" w:name="_Ref53584729"/>
      <w:r w:rsidRPr="000E5786">
        <w:rPr>
          <w:rFonts w:cs="Arial"/>
          <w:szCs w:val="20"/>
        </w:rPr>
        <w:t xml:space="preserve">the existing contracts (including any licences, support, </w:t>
      </w:r>
      <w:proofErr w:type="gramStart"/>
      <w:r w:rsidRPr="000E5786">
        <w:rPr>
          <w:rFonts w:cs="Arial"/>
          <w:szCs w:val="20"/>
        </w:rPr>
        <w:t>maintenance</w:t>
      </w:r>
      <w:proofErr w:type="gramEnd"/>
      <w:r w:rsidRPr="000E5786">
        <w:rPr>
          <w:rFonts w:cs="Arial"/>
          <w:szCs w:val="20"/>
        </w:rPr>
        <w:t xml:space="preserve"> and other agreements relating to the Operating Environment) referred to in the Due Diligence Information which may be novated to, assigned to or managed by the Supplier under this Agreement and/or which the Supplier will require the benefit of for the provision of the Services; and</w:t>
      </w:r>
      <w:bookmarkEnd w:id="53"/>
    </w:p>
    <w:p w14:paraId="25B093A5" w14:textId="53A52E0E" w:rsidR="0048699F" w:rsidRPr="000E5786" w:rsidRDefault="0048699F" w:rsidP="00346A37">
      <w:pPr>
        <w:pStyle w:val="Heading3"/>
      </w:pPr>
      <w:bookmarkStart w:id="54" w:name="_Ref53584730"/>
      <w:r w:rsidRPr="000E5786">
        <w:t xml:space="preserve">it has advised </w:t>
      </w:r>
      <w:proofErr w:type="spellStart"/>
      <w:r w:rsidR="001F1C19">
        <w:t>Netlink</w:t>
      </w:r>
      <w:proofErr w:type="spellEnd"/>
      <w:r w:rsidR="001F1C19">
        <w:t xml:space="preserve"> Star</w:t>
      </w:r>
      <w:r w:rsidRPr="000E5786">
        <w:t xml:space="preserve"> in writing of:</w:t>
      </w:r>
      <w:bookmarkEnd w:id="54"/>
    </w:p>
    <w:p w14:paraId="021CDC83" w14:textId="433DC0D6" w:rsidR="0048699F" w:rsidRPr="000E5786" w:rsidRDefault="0048699F" w:rsidP="00CE5734">
      <w:pPr>
        <w:pStyle w:val="Heading4"/>
        <w:tabs>
          <w:tab w:val="clear" w:pos="1702"/>
        </w:tabs>
        <w:spacing w:after="120"/>
        <w:ind w:left="2410"/>
        <w:rPr>
          <w:rFonts w:cs="Arial"/>
          <w:szCs w:val="20"/>
        </w:rPr>
      </w:pPr>
      <w:bookmarkStart w:id="55" w:name="_Ref53584731"/>
      <w:r w:rsidRPr="000E5786">
        <w:rPr>
          <w:rFonts w:cs="Arial"/>
          <w:szCs w:val="20"/>
        </w:rPr>
        <w:t xml:space="preserve">each aspect, if any, of the Operating Environment that is not suitable for the provision of the </w:t>
      </w:r>
      <w:proofErr w:type="gramStart"/>
      <w:r w:rsidRPr="000E5786">
        <w:rPr>
          <w:rFonts w:cs="Arial"/>
          <w:szCs w:val="20"/>
        </w:rPr>
        <w:t>Services;</w:t>
      </w:r>
      <w:bookmarkEnd w:id="55"/>
      <w:proofErr w:type="gramEnd"/>
    </w:p>
    <w:p w14:paraId="28445094" w14:textId="1790D912" w:rsidR="0048699F" w:rsidRPr="000E5786" w:rsidRDefault="0048699F" w:rsidP="00CE5734">
      <w:pPr>
        <w:pStyle w:val="Heading4"/>
        <w:tabs>
          <w:tab w:val="clear" w:pos="1702"/>
        </w:tabs>
        <w:spacing w:after="120"/>
        <w:ind w:left="2410"/>
        <w:rPr>
          <w:rFonts w:cs="Arial"/>
          <w:szCs w:val="20"/>
        </w:rPr>
      </w:pPr>
      <w:bookmarkStart w:id="56" w:name="_Ref53584732"/>
      <w:r w:rsidRPr="000E5786">
        <w:rPr>
          <w:rFonts w:cs="Arial"/>
          <w:szCs w:val="20"/>
        </w:rPr>
        <w:t>the actions needed to remedy each such unsuitable aspect; and</w:t>
      </w:r>
      <w:bookmarkEnd w:id="56"/>
    </w:p>
    <w:p w14:paraId="39B2603C" w14:textId="7325BC3E" w:rsidR="00BF6D14" w:rsidRPr="000E5786" w:rsidRDefault="0048699F" w:rsidP="00CE5734">
      <w:pPr>
        <w:pStyle w:val="Heading4"/>
        <w:tabs>
          <w:tab w:val="clear" w:pos="1702"/>
        </w:tabs>
        <w:spacing w:after="120"/>
        <w:ind w:left="2410"/>
        <w:rPr>
          <w:rFonts w:cs="Arial"/>
          <w:szCs w:val="20"/>
        </w:rPr>
      </w:pPr>
      <w:bookmarkStart w:id="57" w:name="_Ref53584733"/>
      <w:r w:rsidRPr="000E5786">
        <w:rPr>
          <w:rFonts w:cs="Arial"/>
          <w:szCs w:val="20"/>
        </w:rPr>
        <w:lastRenderedPageBreak/>
        <w:t>a timetable for and, to the extent that such costs are to be payable to the Supplier, the costs of those actions,</w:t>
      </w:r>
      <w:bookmarkEnd w:id="57"/>
      <w:r w:rsidR="00F13AA0" w:rsidRPr="000E5786">
        <w:rPr>
          <w:rFonts w:cs="Arial"/>
          <w:szCs w:val="20"/>
        </w:rPr>
        <w:t xml:space="preserve"> </w:t>
      </w:r>
    </w:p>
    <w:p w14:paraId="6313E697" w14:textId="226A24E6" w:rsidR="0048699F" w:rsidRPr="000E5786" w:rsidRDefault="0048699F" w:rsidP="00CE5734">
      <w:pPr>
        <w:pStyle w:val="BodyText3"/>
        <w:spacing w:after="120"/>
        <w:ind w:firstLine="0"/>
        <w:rPr>
          <w:rFonts w:cs="Arial"/>
          <w:szCs w:val="20"/>
        </w:rPr>
      </w:pPr>
      <w:r w:rsidRPr="000E5786">
        <w:rPr>
          <w:rFonts w:cs="Arial"/>
          <w:szCs w:val="20"/>
        </w:rPr>
        <w:t xml:space="preserve">and such actions, timetable and costs are fully reflected in this Agreement, including the Services Description and/or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Responsibilities as applicable.</w:t>
      </w:r>
    </w:p>
    <w:p w14:paraId="0D821B35" w14:textId="7FFF740F" w:rsidR="0048699F" w:rsidRPr="000E5786" w:rsidRDefault="0048699F" w:rsidP="00DD60F0">
      <w:pPr>
        <w:pStyle w:val="Heading2"/>
        <w:spacing w:after="120"/>
        <w:rPr>
          <w:rFonts w:cs="Arial"/>
          <w:szCs w:val="20"/>
        </w:rPr>
      </w:pPr>
      <w:bookmarkStart w:id="58" w:name="_Ref53584734"/>
      <w:r w:rsidRPr="000E5786">
        <w:rPr>
          <w:rFonts w:cs="Arial"/>
          <w:szCs w:val="20"/>
        </w:rPr>
        <w:t xml:space="preserve">The Supplier shall not be excused from the performance of any of its obligations under this Agreement on the grounds of, nor, subject to clause </w:t>
      </w:r>
      <w:r w:rsidR="00C57261" w:rsidRPr="000E5786">
        <w:rPr>
          <w:rFonts w:cs="Arial"/>
          <w:szCs w:val="20"/>
        </w:rPr>
        <w:fldChar w:fldCharType="begin"/>
      </w:r>
      <w:r w:rsidR="00C57261" w:rsidRPr="000E5786">
        <w:rPr>
          <w:rFonts w:cs="Arial"/>
          <w:szCs w:val="20"/>
        </w:rPr>
        <w:instrText xml:space="preserve">  REF _Ref53584738 \w \h \* MERGEFORMAT </w:instrText>
      </w:r>
      <w:r w:rsidR="00C57261" w:rsidRPr="000E5786">
        <w:rPr>
          <w:rFonts w:cs="Arial"/>
          <w:szCs w:val="20"/>
        </w:rPr>
      </w:r>
      <w:r w:rsidR="00C57261" w:rsidRPr="000E5786">
        <w:rPr>
          <w:rFonts w:cs="Arial"/>
          <w:szCs w:val="20"/>
        </w:rPr>
        <w:fldChar w:fldCharType="separate"/>
      </w:r>
      <w:r w:rsidR="002523A8" w:rsidRPr="000E5786">
        <w:rPr>
          <w:rFonts w:cs="Arial"/>
          <w:szCs w:val="20"/>
        </w:rPr>
        <w:t>2.3</w:t>
      </w:r>
      <w:r w:rsidR="00C57261" w:rsidRPr="000E5786">
        <w:rPr>
          <w:rFonts w:cs="Arial"/>
          <w:szCs w:val="20"/>
        </w:rPr>
        <w:fldChar w:fldCharType="end"/>
      </w:r>
      <w:r w:rsidRPr="000E5786">
        <w:rPr>
          <w:rFonts w:cs="Arial"/>
          <w:szCs w:val="20"/>
        </w:rPr>
        <w:t>, shall the Supplier be entitled to recover any additional costs or charges, arising as a result of:</w:t>
      </w:r>
      <w:bookmarkEnd w:id="58"/>
    </w:p>
    <w:p w14:paraId="535A6664" w14:textId="000F05D5" w:rsidR="0048699F" w:rsidRPr="000E5786" w:rsidRDefault="0048699F" w:rsidP="00346A37">
      <w:pPr>
        <w:pStyle w:val="Heading3"/>
      </w:pPr>
      <w:bookmarkStart w:id="59" w:name="_Ref53584735"/>
      <w:r w:rsidRPr="000E5786">
        <w:t xml:space="preserve">any unsuitable aspects of the Operating </w:t>
      </w:r>
      <w:proofErr w:type="gramStart"/>
      <w:r w:rsidRPr="000E5786">
        <w:t>Environment;</w:t>
      </w:r>
      <w:bookmarkEnd w:id="59"/>
      <w:proofErr w:type="gramEnd"/>
    </w:p>
    <w:p w14:paraId="4E16F5A0" w14:textId="5D166026" w:rsidR="0048699F" w:rsidRPr="000E5786" w:rsidRDefault="0048699F" w:rsidP="00346A37">
      <w:pPr>
        <w:pStyle w:val="Heading3"/>
      </w:pPr>
      <w:bookmarkStart w:id="60" w:name="_Ref53584736"/>
      <w:r w:rsidRPr="000E5786">
        <w:t xml:space="preserve">any misinterpretation of the </w:t>
      </w:r>
      <w:proofErr w:type="spellStart"/>
      <w:r w:rsidR="001F1C19">
        <w:t>Netlink</w:t>
      </w:r>
      <w:proofErr w:type="spellEnd"/>
      <w:r w:rsidR="001F1C19">
        <w:t xml:space="preserve"> Star</w:t>
      </w:r>
      <w:r w:rsidRPr="000E5786">
        <w:t xml:space="preserve"> Requirements; and/or</w:t>
      </w:r>
      <w:bookmarkEnd w:id="60"/>
    </w:p>
    <w:p w14:paraId="61D9D929" w14:textId="01AB2D82" w:rsidR="0048699F" w:rsidRPr="000E5786" w:rsidRDefault="0048699F" w:rsidP="00346A37">
      <w:pPr>
        <w:pStyle w:val="Heading3"/>
      </w:pPr>
      <w:bookmarkStart w:id="61" w:name="_Ref53584737"/>
      <w:r w:rsidRPr="000E5786">
        <w:t>any failure by the Supplier to satisfy itself as to the accuracy and/or adequacy of the Due Diligence Information.</w:t>
      </w:r>
      <w:bookmarkEnd w:id="61"/>
    </w:p>
    <w:p w14:paraId="7D6CD228" w14:textId="6C625C7F" w:rsidR="0048699F" w:rsidRPr="000E5786" w:rsidRDefault="0048699F" w:rsidP="00DD60F0">
      <w:pPr>
        <w:pStyle w:val="Heading2"/>
        <w:spacing w:after="120"/>
        <w:rPr>
          <w:rFonts w:cs="Arial"/>
          <w:szCs w:val="20"/>
        </w:rPr>
      </w:pPr>
      <w:bookmarkStart w:id="62" w:name="_Ref53584738"/>
      <w:r w:rsidRPr="000E5786">
        <w:rPr>
          <w:rFonts w:cs="Arial"/>
          <w:szCs w:val="20"/>
        </w:rPr>
        <w:t xml:space="preserve">The Parties shall comply with the provisions of Paragraph </w:t>
      </w:r>
      <w:bookmarkStart w:id="63" w:name="DocXTextRef20"/>
      <w:r w:rsidRPr="000E5786">
        <w:rPr>
          <w:rFonts w:cs="Arial"/>
          <w:szCs w:val="20"/>
        </w:rPr>
        <w:t>6</w:t>
      </w:r>
      <w:bookmarkEnd w:id="63"/>
      <w:r w:rsidRPr="000E5786">
        <w:rPr>
          <w:rFonts w:cs="Arial"/>
          <w:szCs w:val="20"/>
        </w:rPr>
        <w:t xml:space="preserve"> of </w:t>
      </w:r>
      <w:bookmarkStart w:id="64" w:name="DocXTextRef21"/>
      <w:r w:rsidRPr="000E5786">
        <w:rPr>
          <w:rFonts w:cs="Arial"/>
          <w:szCs w:val="20"/>
        </w:rPr>
        <w:t>Part C</w:t>
      </w:r>
      <w:bookmarkEnd w:id="64"/>
      <w:r w:rsidRPr="000E5786">
        <w:rPr>
          <w:rFonts w:cs="Arial"/>
          <w:szCs w:val="20"/>
        </w:rPr>
        <w:t xml:space="preserve"> of </w:t>
      </w:r>
      <w:bookmarkStart w:id="65" w:name="DocXTextRef19"/>
      <w:r w:rsidRPr="000E5786">
        <w:rPr>
          <w:rFonts w:cs="Arial"/>
          <w:szCs w:val="20"/>
        </w:rPr>
        <w:t>Schedule 7.1</w:t>
      </w:r>
      <w:bookmarkEnd w:id="65"/>
      <w:r w:rsidRPr="000E5786">
        <w:rPr>
          <w:rFonts w:cs="Arial"/>
          <w:szCs w:val="20"/>
        </w:rPr>
        <w:t xml:space="preserve"> (Charges and Invoicing) in relation to the verification of any Allowable Assumptions.</w:t>
      </w:r>
      <w:bookmarkEnd w:id="62"/>
    </w:p>
    <w:p w14:paraId="52C747AF" w14:textId="4A3326E8" w:rsidR="0048699F" w:rsidRPr="000E5786" w:rsidRDefault="0048699F" w:rsidP="00DD60F0">
      <w:pPr>
        <w:pStyle w:val="Heading1"/>
        <w:spacing w:after="120"/>
        <w:rPr>
          <w:rFonts w:cs="Arial"/>
          <w:szCs w:val="20"/>
        </w:rPr>
      </w:pPr>
      <w:bookmarkStart w:id="66" w:name="_Ref53584739"/>
      <w:bookmarkStart w:id="67" w:name="_Ref53585701"/>
      <w:bookmarkStart w:id="68" w:name="_Toc71198927"/>
      <w:r w:rsidRPr="000E5786">
        <w:rPr>
          <w:rFonts w:cs="Arial"/>
          <w:szCs w:val="20"/>
        </w:rPr>
        <w:t>WARRANTIES</w:t>
      </w:r>
      <w:bookmarkEnd w:id="66"/>
      <w:bookmarkEnd w:id="67"/>
      <w:bookmarkEnd w:id="68"/>
    </w:p>
    <w:p w14:paraId="4215E7DB" w14:textId="414373CD" w:rsidR="0048699F" w:rsidRPr="000E5786" w:rsidRDefault="001F1C19" w:rsidP="00DD60F0">
      <w:pPr>
        <w:pStyle w:val="Heading2"/>
        <w:spacing w:after="120"/>
        <w:rPr>
          <w:rFonts w:cs="Arial"/>
          <w:szCs w:val="20"/>
        </w:rPr>
      </w:pPr>
      <w:bookmarkStart w:id="69" w:name="_Ref53584740"/>
      <w:proofErr w:type="spellStart"/>
      <w:r>
        <w:rPr>
          <w:rFonts w:cs="Arial"/>
          <w:szCs w:val="20"/>
        </w:rPr>
        <w:t>Netlink</w:t>
      </w:r>
      <w:proofErr w:type="spellEnd"/>
      <w:r>
        <w:rPr>
          <w:rFonts w:cs="Arial"/>
          <w:szCs w:val="20"/>
        </w:rPr>
        <w:t xml:space="preserve"> Star</w:t>
      </w:r>
      <w:r w:rsidR="0048699F" w:rsidRPr="000E5786">
        <w:rPr>
          <w:rFonts w:cs="Arial"/>
          <w:szCs w:val="20"/>
        </w:rPr>
        <w:t xml:space="preserve"> represents and warrants that:</w:t>
      </w:r>
      <w:bookmarkEnd w:id="69"/>
    </w:p>
    <w:p w14:paraId="5D6C89E2" w14:textId="7CF5C805" w:rsidR="0048699F" w:rsidRPr="000E5786" w:rsidRDefault="0048699F" w:rsidP="00346A37">
      <w:pPr>
        <w:pStyle w:val="Heading3"/>
      </w:pPr>
      <w:bookmarkStart w:id="70" w:name="_Ref53584741"/>
      <w:r w:rsidRPr="000E5786">
        <w:t xml:space="preserve">it has full capacity and authority to enter into and to perform this </w:t>
      </w:r>
      <w:proofErr w:type="gramStart"/>
      <w:r w:rsidRPr="000E5786">
        <w:t>Agreement;</w:t>
      </w:r>
      <w:bookmarkEnd w:id="70"/>
      <w:proofErr w:type="gramEnd"/>
    </w:p>
    <w:p w14:paraId="27F28E53" w14:textId="0BE74DD3" w:rsidR="0048699F" w:rsidRPr="000E5786" w:rsidRDefault="0048699F" w:rsidP="00346A37">
      <w:pPr>
        <w:pStyle w:val="Heading3"/>
      </w:pPr>
      <w:bookmarkStart w:id="71" w:name="_Ref53584742"/>
      <w:r w:rsidRPr="000E5786">
        <w:t xml:space="preserve">this Agreement is executed by its duly authorised </w:t>
      </w:r>
      <w:proofErr w:type="gramStart"/>
      <w:r w:rsidRPr="000E5786">
        <w:t>representative;</w:t>
      </w:r>
      <w:bookmarkEnd w:id="71"/>
      <w:proofErr w:type="gramEnd"/>
    </w:p>
    <w:p w14:paraId="1F4ADD39" w14:textId="6BF2985E" w:rsidR="0048699F" w:rsidRPr="000E5786" w:rsidRDefault="0048699F" w:rsidP="00346A37">
      <w:pPr>
        <w:pStyle w:val="Heading3"/>
      </w:pPr>
      <w:bookmarkStart w:id="72" w:name="_Ref53584743"/>
      <w:r w:rsidRPr="000E5786">
        <w:t>there are no actions, suits or proceedings or regulatory investigations before any court or administrative body or arbitration tribunal pending or, to its knowledge,</w:t>
      </w:r>
      <w:r w:rsidR="00C960AA" w:rsidRPr="000E5786">
        <w:t xml:space="preserve"> threatened against it that might affect its ability to perform its obligations under this Agreement; and</w:t>
      </w:r>
      <w:bookmarkEnd w:id="72"/>
    </w:p>
    <w:p w14:paraId="3D624D5F" w14:textId="0598C13C" w:rsidR="00C960AA" w:rsidRPr="000E5786" w:rsidRDefault="00C960AA" w:rsidP="00346A37">
      <w:pPr>
        <w:pStyle w:val="Heading3"/>
      </w:pPr>
      <w:bookmarkStart w:id="73" w:name="_Ref53584744"/>
      <w:r w:rsidRPr="000E5786">
        <w:t xml:space="preserve">its obligations under this Agreement constitute its legal, </w:t>
      </w:r>
      <w:proofErr w:type="gramStart"/>
      <w:r w:rsidRPr="000E5786">
        <w:t>valid</w:t>
      </w:r>
      <w:proofErr w:type="gramEnd"/>
      <w:r w:rsidRPr="000E5786">
        <w:t xml:space="preserve"> and binding obligations, enforceable in accordance with their respective terms subject to applicable bankruptcy, reorganisation, insolvency, moratorium or similar Laws affecting creditors’ rights generally and subject, as to enforceability, to equitable principles of general application (regardless of whether enforcement is sought in a proceeding in equity or law).</w:t>
      </w:r>
      <w:bookmarkEnd w:id="73"/>
    </w:p>
    <w:p w14:paraId="7DF4740E" w14:textId="26217FE9" w:rsidR="0048699F" w:rsidRPr="000E5786" w:rsidRDefault="0048699F" w:rsidP="00DD60F0">
      <w:pPr>
        <w:pStyle w:val="Heading2"/>
        <w:spacing w:after="120"/>
        <w:rPr>
          <w:rFonts w:cs="Arial"/>
          <w:szCs w:val="20"/>
        </w:rPr>
      </w:pPr>
      <w:bookmarkStart w:id="74" w:name="_Ref53584745"/>
      <w:r w:rsidRPr="000E5786">
        <w:rPr>
          <w:rFonts w:cs="Arial"/>
          <w:szCs w:val="20"/>
        </w:rPr>
        <w:t>The Supplier represents and warrants that:</w:t>
      </w:r>
      <w:bookmarkEnd w:id="74"/>
    </w:p>
    <w:p w14:paraId="26153E6A" w14:textId="0E943474" w:rsidR="0048699F" w:rsidRPr="000E5786" w:rsidRDefault="0048699F" w:rsidP="00346A37">
      <w:pPr>
        <w:pStyle w:val="Heading3"/>
      </w:pPr>
      <w:bookmarkStart w:id="75" w:name="_Ref53584746"/>
      <w:r w:rsidRPr="000E5786">
        <w:t xml:space="preserve">it is validly incorporated, organised and subsisting in accordance with the Laws of its place of </w:t>
      </w:r>
      <w:proofErr w:type="gramStart"/>
      <w:r w:rsidRPr="000E5786">
        <w:t>incorporation;</w:t>
      </w:r>
      <w:bookmarkEnd w:id="75"/>
      <w:proofErr w:type="gramEnd"/>
    </w:p>
    <w:p w14:paraId="18082FC4" w14:textId="0331F105" w:rsidR="0048699F" w:rsidRPr="000E5786" w:rsidRDefault="0048699F" w:rsidP="00346A37">
      <w:pPr>
        <w:pStyle w:val="Heading3"/>
      </w:pPr>
      <w:bookmarkStart w:id="76" w:name="_Ref53584747"/>
      <w:r w:rsidRPr="000E5786">
        <w:t xml:space="preserve">it has full capacity and authority to enter into and to perform this </w:t>
      </w:r>
      <w:proofErr w:type="gramStart"/>
      <w:r w:rsidRPr="000E5786">
        <w:t>Agreement;</w:t>
      </w:r>
      <w:bookmarkEnd w:id="76"/>
      <w:proofErr w:type="gramEnd"/>
    </w:p>
    <w:p w14:paraId="0D1D4215" w14:textId="64B58870" w:rsidR="0048699F" w:rsidRPr="000E5786" w:rsidRDefault="0048699F" w:rsidP="00346A37">
      <w:pPr>
        <w:pStyle w:val="Heading3"/>
      </w:pPr>
      <w:bookmarkStart w:id="77" w:name="_Ref53584748"/>
      <w:r w:rsidRPr="000E5786">
        <w:t xml:space="preserve">this Agreement is executed by its duly authorised </w:t>
      </w:r>
      <w:proofErr w:type="gramStart"/>
      <w:r w:rsidRPr="000E5786">
        <w:t>representative;</w:t>
      </w:r>
      <w:bookmarkEnd w:id="77"/>
      <w:proofErr w:type="gramEnd"/>
    </w:p>
    <w:p w14:paraId="367CC4DF" w14:textId="1B8647FC" w:rsidR="0048699F" w:rsidRPr="000E5786" w:rsidRDefault="0048699F" w:rsidP="00346A37">
      <w:pPr>
        <w:pStyle w:val="Heading3"/>
      </w:pPr>
      <w:bookmarkStart w:id="78" w:name="_Ref53584749"/>
      <w:r w:rsidRPr="000E5786">
        <w:t xml:space="preserve">it has all necessary consents and regulatory approvals to enter into this </w:t>
      </w:r>
      <w:proofErr w:type="gramStart"/>
      <w:r w:rsidRPr="000E5786">
        <w:t>Agreement;</w:t>
      </w:r>
      <w:bookmarkEnd w:id="78"/>
      <w:proofErr w:type="gramEnd"/>
    </w:p>
    <w:p w14:paraId="6B995D0D" w14:textId="7BCBA4B3" w:rsidR="0048699F" w:rsidRPr="000E5786" w:rsidRDefault="0048699F" w:rsidP="00346A37">
      <w:pPr>
        <w:pStyle w:val="Heading3"/>
      </w:pPr>
      <w:bookmarkStart w:id="79" w:name="_Ref53584750"/>
      <w:r w:rsidRPr="000E5786">
        <w:t xml:space="preserve">there are no actions, suits or proceedings or regulatory investigations before any court or administrative body or arbitration tribunal pending or, to its knowledge, threatened against it or any of its Affiliates that might affect its ability to perform its obligations under this </w:t>
      </w:r>
      <w:proofErr w:type="gramStart"/>
      <w:r w:rsidRPr="000E5786">
        <w:t>Agreement;</w:t>
      </w:r>
      <w:bookmarkEnd w:id="79"/>
      <w:proofErr w:type="gramEnd"/>
    </w:p>
    <w:p w14:paraId="3C27ECAD" w14:textId="5067E510" w:rsidR="0048699F" w:rsidRPr="000E5786" w:rsidRDefault="0048699F" w:rsidP="00346A37">
      <w:pPr>
        <w:pStyle w:val="Heading3"/>
      </w:pPr>
      <w:bookmarkStart w:id="80" w:name="_Ref53584751"/>
      <w:r w:rsidRPr="000E5786">
        <w:t>its execution, delivery and performance of its obligations under this Agreement</w:t>
      </w:r>
      <w:r w:rsidR="00F13AA0" w:rsidRPr="000E5786">
        <w:t xml:space="preserve"> </w:t>
      </w:r>
      <w:r w:rsidRPr="000E5786">
        <w:t xml:space="preserve">will not constitute a breach of any Law or obligation applicable to it and will not cause or result in a default under any agreement by which it is </w:t>
      </w:r>
      <w:proofErr w:type="gramStart"/>
      <w:r w:rsidRPr="000E5786">
        <w:t>bound;</w:t>
      </w:r>
      <w:bookmarkEnd w:id="80"/>
      <w:proofErr w:type="gramEnd"/>
    </w:p>
    <w:p w14:paraId="62AF8C93" w14:textId="5E6019F0" w:rsidR="0048699F" w:rsidRPr="000E5786" w:rsidRDefault="0048699F" w:rsidP="00346A37">
      <w:pPr>
        <w:pStyle w:val="Heading3"/>
      </w:pPr>
      <w:bookmarkStart w:id="81" w:name="_Ref53584752"/>
      <w:r w:rsidRPr="000E5786">
        <w:t>its obligations under this Agreement constitute its legal, valid and binding obligations, enforceable in accordance with their respective terms subject to applicable bankruptcy, reorganisation, insolvency, moratorium or similar Laws affecting creditors’ rights generally and subject, as to enforceability, to equitable principles of general application (regardless of whether enforcement is sought in a proceeding in equity or law</w:t>
      </w:r>
      <w:proofErr w:type="gramStart"/>
      <w:r w:rsidRPr="000E5786">
        <w:t>);</w:t>
      </w:r>
      <w:bookmarkEnd w:id="81"/>
      <w:proofErr w:type="gramEnd"/>
    </w:p>
    <w:p w14:paraId="03B0DA8B" w14:textId="7228EA23" w:rsidR="0048699F" w:rsidRPr="000E5786" w:rsidRDefault="0048699F" w:rsidP="00346A37">
      <w:pPr>
        <w:pStyle w:val="Heading3"/>
      </w:pPr>
      <w:bookmarkStart w:id="82" w:name="_Ref53584753"/>
      <w:r w:rsidRPr="000E5786">
        <w:t xml:space="preserve">all written statements and representations in any written submissions made by the Supplier as part of the procurement process, including its response to the PQQ and ITT (if applicable), its tender and any other documents submitted remain true and </w:t>
      </w:r>
      <w:r w:rsidRPr="000E5786">
        <w:lastRenderedPageBreak/>
        <w:t xml:space="preserve">accurate except to the extent that such statements and representations have been superseded or varied by this Agreement or to the extent that the Supplier has otherwise disclosed to </w:t>
      </w:r>
      <w:proofErr w:type="spellStart"/>
      <w:r w:rsidR="001F1C19">
        <w:t>Netlink</w:t>
      </w:r>
      <w:proofErr w:type="spellEnd"/>
      <w:r w:rsidR="001F1C19">
        <w:t xml:space="preserve"> Star</w:t>
      </w:r>
      <w:r w:rsidRPr="000E5786">
        <w:t xml:space="preserve"> in writing prior to the date of this Agreement;</w:t>
      </w:r>
      <w:bookmarkEnd w:id="82"/>
    </w:p>
    <w:p w14:paraId="32BCB2A1" w14:textId="020DBB79" w:rsidR="0048699F" w:rsidRPr="000E5786" w:rsidRDefault="0048699F" w:rsidP="00346A37">
      <w:pPr>
        <w:pStyle w:val="Heading3"/>
      </w:pPr>
      <w:bookmarkStart w:id="83" w:name="_Ref53584754"/>
      <w:r w:rsidRPr="000E5786">
        <w:t xml:space="preserve">it has notified </w:t>
      </w:r>
      <w:proofErr w:type="spellStart"/>
      <w:r w:rsidR="001F1C19">
        <w:t>Netlink</w:t>
      </w:r>
      <w:proofErr w:type="spellEnd"/>
      <w:r w:rsidR="001F1C19">
        <w:t xml:space="preserve"> Star</w:t>
      </w:r>
      <w:r w:rsidRPr="000E5786">
        <w:t xml:space="preserve"> in writing of any Occasions of Tax Non-Compliance and any litigation in which it is involved that is in connection with any Occasion of Tax </w:t>
      </w:r>
      <w:proofErr w:type="gramStart"/>
      <w:r w:rsidRPr="000E5786">
        <w:t>Non-Compliance;</w:t>
      </w:r>
      <w:bookmarkEnd w:id="83"/>
      <w:proofErr w:type="gramEnd"/>
    </w:p>
    <w:p w14:paraId="0C1DA3CE" w14:textId="607ADC2C" w:rsidR="0048699F" w:rsidRPr="000E5786" w:rsidRDefault="0048699F" w:rsidP="00346A37">
      <w:pPr>
        <w:pStyle w:val="Heading3"/>
      </w:pPr>
      <w:bookmarkStart w:id="84" w:name="_Ref53584755"/>
      <w:r w:rsidRPr="000E5786">
        <w:t xml:space="preserve">it has all necessary rights in and to </w:t>
      </w:r>
      <w:r w:rsidR="00006C6D" w:rsidRPr="000E5786">
        <w:t>any</w:t>
      </w:r>
      <w:r w:rsidRPr="000E5786">
        <w:t xml:space="preserve"> Licensed Software, the Third Party IPRs, the Supplier Background IPRs and any other materials made available by the Supplier (and/or any Sub-contractor) to </w:t>
      </w:r>
      <w:proofErr w:type="spellStart"/>
      <w:r w:rsidR="001F1C19">
        <w:t>Netlink</w:t>
      </w:r>
      <w:proofErr w:type="spellEnd"/>
      <w:r w:rsidR="001F1C19">
        <w:t xml:space="preserve"> Star</w:t>
      </w:r>
      <w:r w:rsidRPr="000E5786">
        <w:t xml:space="preserve"> which are necessary for the performance of the Supplier’s obligations under this Agreement and/or the receipt of the Services by </w:t>
      </w:r>
      <w:proofErr w:type="spellStart"/>
      <w:r w:rsidR="001F1C19">
        <w:t>Netlink</w:t>
      </w:r>
      <w:proofErr w:type="spellEnd"/>
      <w:r w:rsidR="001F1C19">
        <w:t xml:space="preserve"> </w:t>
      </w:r>
      <w:proofErr w:type="gramStart"/>
      <w:r w:rsidR="001F1C19">
        <w:t>Star</w:t>
      </w:r>
      <w:r w:rsidRPr="000E5786">
        <w:t>;</w:t>
      </w:r>
      <w:bookmarkEnd w:id="84"/>
      <w:proofErr w:type="gramEnd"/>
    </w:p>
    <w:p w14:paraId="6821DD17" w14:textId="2FDA6DEB" w:rsidR="0048699F" w:rsidRPr="000E5786" w:rsidRDefault="0048699F" w:rsidP="00346A37">
      <w:pPr>
        <w:pStyle w:val="Heading3"/>
      </w:pPr>
      <w:bookmarkStart w:id="85" w:name="_Ref53584756"/>
      <w:r w:rsidRPr="000E5786">
        <w:t xml:space="preserve">the Contract Inception Report is a true and accurate reflection of the Costs and Supplier Profit Margin forecast by the Supplier and the Supplier does not have any other internal financial model in relation to the Services inconsistent with the Financial </w:t>
      </w:r>
      <w:proofErr w:type="gramStart"/>
      <w:r w:rsidRPr="000E5786">
        <w:t>Model;</w:t>
      </w:r>
      <w:bookmarkEnd w:id="85"/>
      <w:proofErr w:type="gramEnd"/>
    </w:p>
    <w:p w14:paraId="762BB197" w14:textId="4828F826" w:rsidR="0048699F" w:rsidRPr="000E5786" w:rsidRDefault="0048699F" w:rsidP="00346A37">
      <w:pPr>
        <w:pStyle w:val="Heading3"/>
      </w:pPr>
      <w:bookmarkStart w:id="86" w:name="_Ref53584757"/>
      <w:r w:rsidRPr="000E5786">
        <w:t>it is not subject to any contractual obligation, compliance with which is likely to have a material adverse effect on its ability to perform its obligations under this Agreement; and</w:t>
      </w:r>
      <w:bookmarkEnd w:id="86"/>
    </w:p>
    <w:p w14:paraId="0548DFD3" w14:textId="68BBD35E" w:rsidR="0048699F" w:rsidRPr="000E5786" w:rsidRDefault="0048699F" w:rsidP="00346A37">
      <w:pPr>
        <w:pStyle w:val="Heading3"/>
      </w:pPr>
      <w:bookmarkStart w:id="87" w:name="_Ref53584758"/>
      <w:r w:rsidRPr="000E5786">
        <w:t xml:space="preserve">no proceedings or other steps have been taken and not discharged (nor, to the best of its knowledge, are threatened) for the winding up of the Supplier or for its dissolution or for the appointment of a receiver, administrative receiver, liquidator, manager, </w:t>
      </w:r>
      <w:proofErr w:type="gramStart"/>
      <w:r w:rsidRPr="000E5786">
        <w:t>administrator</w:t>
      </w:r>
      <w:proofErr w:type="gramEnd"/>
      <w:r w:rsidRPr="000E5786">
        <w:t xml:space="preserve"> or similar officer in relation to any of the Supplier’s assets or revenue.</w:t>
      </w:r>
      <w:bookmarkEnd w:id="87"/>
    </w:p>
    <w:p w14:paraId="57BF5FC4" w14:textId="077F0CF1" w:rsidR="0048699F" w:rsidRPr="000E5786" w:rsidRDefault="0048699F" w:rsidP="00DD60F0">
      <w:pPr>
        <w:pStyle w:val="Heading2"/>
        <w:spacing w:after="120"/>
        <w:rPr>
          <w:rFonts w:cs="Arial"/>
          <w:szCs w:val="20"/>
        </w:rPr>
      </w:pPr>
      <w:bookmarkStart w:id="88" w:name="_Ref53584759"/>
      <w:r w:rsidRPr="000E5786">
        <w:rPr>
          <w:rFonts w:cs="Arial"/>
          <w:szCs w:val="20"/>
        </w:rPr>
        <w:t xml:space="preserve">The representations and warranties set out in clause </w:t>
      </w:r>
      <w:r w:rsidR="002F75A1" w:rsidRPr="000E5786">
        <w:rPr>
          <w:rFonts w:cs="Arial"/>
          <w:szCs w:val="20"/>
        </w:rPr>
        <w:fldChar w:fldCharType="begin"/>
      </w:r>
      <w:r w:rsidR="002F75A1" w:rsidRPr="000E5786">
        <w:rPr>
          <w:rFonts w:cs="Arial"/>
          <w:szCs w:val="20"/>
        </w:rPr>
        <w:instrText xml:space="preserve">  REF _Ref53584745 \w \h \* MERGEFORMAT </w:instrText>
      </w:r>
      <w:r w:rsidR="002F75A1" w:rsidRPr="000E5786">
        <w:rPr>
          <w:rFonts w:cs="Arial"/>
          <w:szCs w:val="20"/>
        </w:rPr>
      </w:r>
      <w:r w:rsidR="002F75A1" w:rsidRPr="000E5786">
        <w:rPr>
          <w:rFonts w:cs="Arial"/>
          <w:szCs w:val="20"/>
        </w:rPr>
        <w:fldChar w:fldCharType="separate"/>
      </w:r>
      <w:r w:rsidR="002523A8" w:rsidRPr="000E5786">
        <w:rPr>
          <w:rFonts w:cs="Arial"/>
          <w:szCs w:val="20"/>
        </w:rPr>
        <w:t>3.2</w:t>
      </w:r>
      <w:r w:rsidR="002F75A1" w:rsidRPr="000E5786">
        <w:rPr>
          <w:rFonts w:cs="Arial"/>
          <w:szCs w:val="20"/>
        </w:rPr>
        <w:fldChar w:fldCharType="end"/>
      </w:r>
      <w:r w:rsidRPr="000E5786">
        <w:rPr>
          <w:rFonts w:cs="Arial"/>
          <w:szCs w:val="20"/>
        </w:rPr>
        <w:t xml:space="preserve"> shall be deemed to be repeated by the Supplier on the Effective Date (if later than the date of signature of this Agreement) by reference to the facts then existing.</w:t>
      </w:r>
      <w:bookmarkEnd w:id="88"/>
    </w:p>
    <w:p w14:paraId="63C9D24B" w14:textId="2BC8C154" w:rsidR="0048699F" w:rsidRPr="000E5786" w:rsidRDefault="0048699F" w:rsidP="00DD60F0">
      <w:pPr>
        <w:pStyle w:val="Heading2"/>
        <w:spacing w:after="120"/>
        <w:rPr>
          <w:rFonts w:cs="Arial"/>
          <w:szCs w:val="20"/>
        </w:rPr>
      </w:pPr>
      <w:bookmarkStart w:id="89" w:name="_Ref53584760"/>
      <w:r w:rsidRPr="000E5786">
        <w:rPr>
          <w:rFonts w:cs="Arial"/>
          <w:szCs w:val="20"/>
        </w:rPr>
        <w:t xml:space="preserve">Each of the representations and warranties set out in clauses </w:t>
      </w:r>
      <w:r w:rsidR="00584BD1" w:rsidRPr="000E5786">
        <w:rPr>
          <w:rFonts w:cs="Arial"/>
          <w:szCs w:val="20"/>
        </w:rPr>
        <w:fldChar w:fldCharType="begin"/>
      </w:r>
      <w:r w:rsidR="00584BD1" w:rsidRPr="000E5786">
        <w:rPr>
          <w:rFonts w:cs="Arial"/>
          <w:szCs w:val="20"/>
        </w:rPr>
        <w:instrText xml:space="preserve">  REF _Ref53584740 \w \h \* MERGEFORMAT </w:instrText>
      </w:r>
      <w:r w:rsidR="00584BD1" w:rsidRPr="000E5786">
        <w:rPr>
          <w:rFonts w:cs="Arial"/>
          <w:szCs w:val="20"/>
        </w:rPr>
      </w:r>
      <w:r w:rsidR="00584BD1" w:rsidRPr="000E5786">
        <w:rPr>
          <w:rFonts w:cs="Arial"/>
          <w:szCs w:val="20"/>
        </w:rPr>
        <w:fldChar w:fldCharType="separate"/>
      </w:r>
      <w:r w:rsidR="002523A8" w:rsidRPr="000E5786">
        <w:rPr>
          <w:rFonts w:cs="Arial"/>
          <w:szCs w:val="20"/>
        </w:rPr>
        <w:t>3.1</w:t>
      </w:r>
      <w:r w:rsidR="00584BD1" w:rsidRPr="000E5786">
        <w:rPr>
          <w:rFonts w:cs="Arial"/>
          <w:szCs w:val="20"/>
        </w:rPr>
        <w:fldChar w:fldCharType="end"/>
      </w:r>
      <w:r w:rsidRPr="000E5786">
        <w:rPr>
          <w:rFonts w:cs="Arial"/>
          <w:szCs w:val="20"/>
        </w:rPr>
        <w:t xml:space="preserve"> and </w:t>
      </w:r>
      <w:r w:rsidR="00584BD1" w:rsidRPr="000E5786">
        <w:rPr>
          <w:rFonts w:cs="Arial"/>
          <w:szCs w:val="20"/>
        </w:rPr>
        <w:fldChar w:fldCharType="begin"/>
      </w:r>
      <w:r w:rsidR="00584BD1" w:rsidRPr="000E5786">
        <w:rPr>
          <w:rFonts w:cs="Arial"/>
          <w:szCs w:val="20"/>
        </w:rPr>
        <w:instrText xml:space="preserve">  REF _Ref53584745 \w \h \* MERGEFORMAT </w:instrText>
      </w:r>
      <w:r w:rsidR="00584BD1" w:rsidRPr="000E5786">
        <w:rPr>
          <w:rFonts w:cs="Arial"/>
          <w:szCs w:val="20"/>
        </w:rPr>
      </w:r>
      <w:r w:rsidR="00584BD1" w:rsidRPr="000E5786">
        <w:rPr>
          <w:rFonts w:cs="Arial"/>
          <w:szCs w:val="20"/>
        </w:rPr>
        <w:fldChar w:fldCharType="separate"/>
      </w:r>
      <w:r w:rsidR="002523A8" w:rsidRPr="000E5786">
        <w:rPr>
          <w:rFonts w:cs="Arial"/>
          <w:szCs w:val="20"/>
        </w:rPr>
        <w:t>3.2</w:t>
      </w:r>
      <w:r w:rsidR="00584BD1" w:rsidRPr="000E5786">
        <w:rPr>
          <w:rFonts w:cs="Arial"/>
          <w:szCs w:val="20"/>
        </w:rPr>
        <w:fldChar w:fldCharType="end"/>
      </w:r>
      <w:r w:rsidRPr="000E5786">
        <w:rPr>
          <w:rFonts w:cs="Arial"/>
          <w:szCs w:val="20"/>
        </w:rPr>
        <w:t xml:space="preserve"> shall be construed as a separate representation and warranty and shall not be limited or restricted by reference to, or inference from, the terms of any other representation, warranty or any other undertaking in this Agreement.</w:t>
      </w:r>
      <w:bookmarkEnd w:id="89"/>
    </w:p>
    <w:p w14:paraId="50957D42" w14:textId="349B4623" w:rsidR="0048699F" w:rsidRPr="000E5786" w:rsidRDefault="0048699F" w:rsidP="00DD60F0">
      <w:pPr>
        <w:pStyle w:val="Heading2"/>
        <w:spacing w:after="120"/>
        <w:rPr>
          <w:rFonts w:cs="Arial"/>
          <w:szCs w:val="20"/>
        </w:rPr>
      </w:pPr>
      <w:bookmarkStart w:id="90" w:name="_Ref53584761"/>
      <w:r w:rsidRPr="000E5786">
        <w:rPr>
          <w:rFonts w:cs="Arial"/>
          <w:szCs w:val="20"/>
        </w:rPr>
        <w:t xml:space="preserve">If at any time a Party becomes aware that a representation or warranty given by it under clause </w:t>
      </w:r>
      <w:r w:rsidR="00B70F0B" w:rsidRPr="000E5786">
        <w:rPr>
          <w:rFonts w:cs="Arial"/>
          <w:szCs w:val="20"/>
        </w:rPr>
        <w:fldChar w:fldCharType="begin"/>
      </w:r>
      <w:r w:rsidR="00B70F0B" w:rsidRPr="000E5786">
        <w:rPr>
          <w:rFonts w:cs="Arial"/>
          <w:szCs w:val="20"/>
        </w:rPr>
        <w:instrText xml:space="preserve">  REF _Ref53584740 \w \h \* MERGEFORMAT </w:instrText>
      </w:r>
      <w:r w:rsidR="00B70F0B" w:rsidRPr="000E5786">
        <w:rPr>
          <w:rFonts w:cs="Arial"/>
          <w:szCs w:val="20"/>
        </w:rPr>
      </w:r>
      <w:r w:rsidR="00B70F0B" w:rsidRPr="000E5786">
        <w:rPr>
          <w:rFonts w:cs="Arial"/>
          <w:szCs w:val="20"/>
        </w:rPr>
        <w:fldChar w:fldCharType="separate"/>
      </w:r>
      <w:r w:rsidR="002523A8" w:rsidRPr="000E5786">
        <w:rPr>
          <w:rFonts w:cs="Arial"/>
          <w:szCs w:val="20"/>
        </w:rPr>
        <w:t>3.1</w:t>
      </w:r>
      <w:r w:rsidR="00B70F0B" w:rsidRPr="000E5786">
        <w:rPr>
          <w:rFonts w:cs="Arial"/>
          <w:szCs w:val="20"/>
        </w:rPr>
        <w:fldChar w:fldCharType="end"/>
      </w:r>
      <w:r w:rsidRPr="000E5786">
        <w:rPr>
          <w:rFonts w:cs="Arial"/>
          <w:szCs w:val="20"/>
        </w:rPr>
        <w:t xml:space="preserve"> or </w:t>
      </w:r>
      <w:r w:rsidR="00B70F0B" w:rsidRPr="000E5786">
        <w:rPr>
          <w:rFonts w:cs="Arial"/>
          <w:szCs w:val="20"/>
        </w:rPr>
        <w:fldChar w:fldCharType="begin"/>
      </w:r>
      <w:r w:rsidR="00B70F0B" w:rsidRPr="000E5786">
        <w:rPr>
          <w:rFonts w:cs="Arial"/>
          <w:szCs w:val="20"/>
        </w:rPr>
        <w:instrText xml:space="preserve">  REF _Ref53584745 \w \h \* MERGEFORMAT </w:instrText>
      </w:r>
      <w:r w:rsidR="00B70F0B" w:rsidRPr="000E5786">
        <w:rPr>
          <w:rFonts w:cs="Arial"/>
          <w:szCs w:val="20"/>
        </w:rPr>
      </w:r>
      <w:r w:rsidR="00B70F0B" w:rsidRPr="000E5786">
        <w:rPr>
          <w:rFonts w:cs="Arial"/>
          <w:szCs w:val="20"/>
        </w:rPr>
        <w:fldChar w:fldCharType="separate"/>
      </w:r>
      <w:r w:rsidR="002523A8" w:rsidRPr="000E5786">
        <w:rPr>
          <w:rFonts w:cs="Arial"/>
          <w:szCs w:val="20"/>
        </w:rPr>
        <w:t>3.2</w:t>
      </w:r>
      <w:r w:rsidR="00B70F0B" w:rsidRPr="000E5786">
        <w:rPr>
          <w:rFonts w:cs="Arial"/>
          <w:szCs w:val="20"/>
        </w:rPr>
        <w:fldChar w:fldCharType="end"/>
      </w:r>
      <w:r w:rsidRPr="000E5786">
        <w:rPr>
          <w:rFonts w:cs="Arial"/>
          <w:szCs w:val="20"/>
        </w:rPr>
        <w:t xml:space="preserve"> has been breached, is untrue or is misleading, it shall immediately notify the other Party of the relevant occurrence in sufficient detail to enable the other Party to make an accurate assessment of the situation.</w:t>
      </w:r>
      <w:bookmarkEnd w:id="90"/>
    </w:p>
    <w:p w14:paraId="11F32A0A" w14:textId="672ECE39" w:rsidR="0048699F" w:rsidRPr="000E5786" w:rsidRDefault="0048699F" w:rsidP="00DD60F0">
      <w:pPr>
        <w:pStyle w:val="Heading2"/>
        <w:spacing w:after="120"/>
        <w:rPr>
          <w:rFonts w:cs="Arial"/>
          <w:szCs w:val="20"/>
        </w:rPr>
      </w:pPr>
      <w:bookmarkStart w:id="91" w:name="_Ref53584762"/>
      <w:r w:rsidRPr="000E5786">
        <w:rPr>
          <w:rFonts w:cs="Arial"/>
          <w:szCs w:val="20"/>
        </w:rPr>
        <w:t xml:space="preserve">For the avoidance of doubt, the fact that any provision within this Agreement is expressed as a warranty shall not preclude any right of termination which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have in respect of breach of that provision by the Supplier.</w:t>
      </w:r>
      <w:bookmarkEnd w:id="91"/>
    </w:p>
    <w:p w14:paraId="38A08C0A" w14:textId="6D2D6CB9" w:rsidR="0048699F" w:rsidRPr="000E5786" w:rsidRDefault="0048699F" w:rsidP="00DD60F0">
      <w:pPr>
        <w:pStyle w:val="Heading2"/>
        <w:spacing w:after="120"/>
        <w:rPr>
          <w:rFonts w:cs="Arial"/>
          <w:szCs w:val="20"/>
        </w:rPr>
      </w:pPr>
      <w:bookmarkStart w:id="92" w:name="_Ref53584763"/>
      <w:r w:rsidRPr="000E5786">
        <w:rPr>
          <w:rFonts w:cs="Arial"/>
          <w:szCs w:val="20"/>
        </w:rPr>
        <w:t xml:space="preserve">Except as expressly stated in this Agreement, all </w:t>
      </w:r>
      <w:proofErr w:type="gramStart"/>
      <w:r w:rsidRPr="000E5786">
        <w:rPr>
          <w:rFonts w:cs="Arial"/>
          <w:szCs w:val="20"/>
        </w:rPr>
        <w:t>warranties</w:t>
      </w:r>
      <w:proofErr w:type="gramEnd"/>
      <w:r w:rsidRPr="000E5786">
        <w:rPr>
          <w:rFonts w:cs="Arial"/>
          <w:szCs w:val="20"/>
        </w:rPr>
        <w:t xml:space="preserve"> and conditions whether express or implied by statute, common law or otherwise are hereby excluded to the extent permitted by Law.</w:t>
      </w:r>
      <w:bookmarkEnd w:id="92"/>
    </w:p>
    <w:p w14:paraId="02291D46" w14:textId="77777777" w:rsidR="0048699F" w:rsidRPr="000E5786" w:rsidRDefault="0048699F" w:rsidP="00DD60F0">
      <w:pPr>
        <w:pStyle w:val="BodyText"/>
        <w:spacing w:after="120"/>
        <w:rPr>
          <w:rFonts w:cs="Arial"/>
          <w:b/>
          <w:bCs/>
          <w:szCs w:val="20"/>
        </w:rPr>
      </w:pPr>
      <w:r w:rsidRPr="000E5786">
        <w:rPr>
          <w:rFonts w:cs="Arial"/>
          <w:b/>
          <w:bCs/>
          <w:szCs w:val="20"/>
        </w:rPr>
        <w:t>SECTION B – THE SERVICES</w:t>
      </w:r>
    </w:p>
    <w:p w14:paraId="7E54BE66" w14:textId="1BF4A929" w:rsidR="0048699F" w:rsidRPr="000E5786" w:rsidRDefault="0048699F" w:rsidP="00DD60F0">
      <w:pPr>
        <w:pStyle w:val="Heading1"/>
        <w:spacing w:after="120"/>
        <w:rPr>
          <w:rFonts w:cs="Arial"/>
          <w:szCs w:val="20"/>
        </w:rPr>
      </w:pPr>
      <w:bookmarkStart w:id="93" w:name="_Ref53584764"/>
      <w:bookmarkStart w:id="94" w:name="_Ref53585702"/>
      <w:bookmarkStart w:id="95" w:name="_Toc71198928"/>
      <w:r w:rsidRPr="000E5786">
        <w:rPr>
          <w:rFonts w:cs="Arial"/>
          <w:szCs w:val="20"/>
        </w:rPr>
        <w:t>TERM</w:t>
      </w:r>
      <w:bookmarkEnd w:id="93"/>
      <w:bookmarkEnd w:id="94"/>
      <w:bookmarkEnd w:id="95"/>
    </w:p>
    <w:p w14:paraId="14194333" w14:textId="2A525C10" w:rsidR="0048699F" w:rsidRPr="000E5786" w:rsidRDefault="0048699F" w:rsidP="00DD60F0">
      <w:pPr>
        <w:pStyle w:val="Heading2"/>
        <w:spacing w:after="120"/>
        <w:rPr>
          <w:rFonts w:cs="Arial"/>
          <w:szCs w:val="20"/>
        </w:rPr>
      </w:pPr>
      <w:bookmarkStart w:id="96" w:name="_Ref53584765"/>
      <w:r w:rsidRPr="000E5786">
        <w:rPr>
          <w:rFonts w:cs="Arial"/>
          <w:szCs w:val="20"/>
        </w:rPr>
        <w:t>This Agreement shall:</w:t>
      </w:r>
      <w:bookmarkEnd w:id="96"/>
    </w:p>
    <w:p w14:paraId="3DCA9DA0" w14:textId="004F0279" w:rsidR="0048699F" w:rsidRPr="000E5786" w:rsidRDefault="0048699F" w:rsidP="00346A37">
      <w:pPr>
        <w:pStyle w:val="Heading3"/>
      </w:pPr>
      <w:bookmarkStart w:id="97" w:name="_Ref53584766"/>
      <w:r w:rsidRPr="000E5786">
        <w:t xml:space="preserve">come into force on the Effective Date, save for clauses </w:t>
      </w:r>
      <w:r w:rsidR="003646D7" w:rsidRPr="000E5786">
        <w:fldChar w:fldCharType="begin"/>
      </w:r>
      <w:r w:rsidR="003646D7" w:rsidRPr="000E5786">
        <w:instrText xml:space="preserve">  REF _Ref53585699 \w \h \* MERGEFORMAT </w:instrText>
      </w:r>
      <w:r w:rsidR="003646D7" w:rsidRPr="000E5786">
        <w:fldChar w:fldCharType="separate"/>
      </w:r>
      <w:r w:rsidR="002523A8" w:rsidRPr="000E5786">
        <w:t>1</w:t>
      </w:r>
      <w:r w:rsidR="003646D7" w:rsidRPr="000E5786">
        <w:fldChar w:fldCharType="end"/>
      </w:r>
      <w:r w:rsidRPr="000E5786">
        <w:t xml:space="preserve"> (Definitions and Interpretation), </w:t>
      </w:r>
      <w:r w:rsidR="00323050" w:rsidRPr="000E5786">
        <w:fldChar w:fldCharType="begin"/>
      </w:r>
      <w:r w:rsidR="00323050" w:rsidRPr="000E5786">
        <w:instrText xml:space="preserve">  REF _Ref53585701 \w \h \* MERGEFORMAT </w:instrText>
      </w:r>
      <w:r w:rsidR="00323050" w:rsidRPr="000E5786">
        <w:fldChar w:fldCharType="separate"/>
      </w:r>
      <w:r w:rsidR="002523A8" w:rsidRPr="000E5786">
        <w:t>3</w:t>
      </w:r>
      <w:r w:rsidR="00323050" w:rsidRPr="000E5786">
        <w:fldChar w:fldCharType="end"/>
      </w:r>
      <w:r w:rsidRPr="000E5786">
        <w:t xml:space="preserve"> (Warranties), </w:t>
      </w:r>
      <w:r w:rsidR="00323050" w:rsidRPr="000E5786">
        <w:fldChar w:fldCharType="begin"/>
      </w:r>
      <w:r w:rsidR="00323050" w:rsidRPr="000E5786">
        <w:instrText xml:space="preserve">  REF _Ref53585702 \w \h \* MERGEFORMAT </w:instrText>
      </w:r>
      <w:r w:rsidR="00323050" w:rsidRPr="000E5786">
        <w:fldChar w:fldCharType="separate"/>
      </w:r>
      <w:r w:rsidR="002523A8" w:rsidRPr="000E5786">
        <w:t>4</w:t>
      </w:r>
      <w:r w:rsidR="00323050" w:rsidRPr="000E5786">
        <w:fldChar w:fldCharType="end"/>
      </w:r>
      <w:r w:rsidRPr="000E5786">
        <w:t xml:space="preserve"> (Term), </w:t>
      </w:r>
      <w:r w:rsidR="00323050" w:rsidRPr="000E5786">
        <w:fldChar w:fldCharType="begin"/>
      </w:r>
      <w:r w:rsidR="00323050" w:rsidRPr="000E5786">
        <w:instrText xml:space="preserve">  REF _Ref53585722 \w \h \* MERGEFORMAT </w:instrText>
      </w:r>
      <w:r w:rsidR="00323050" w:rsidRPr="000E5786">
        <w:fldChar w:fldCharType="separate"/>
      </w:r>
      <w:r w:rsidR="002523A8" w:rsidRPr="000E5786">
        <w:t>24</w:t>
      </w:r>
      <w:r w:rsidR="00323050" w:rsidRPr="000E5786">
        <w:fldChar w:fldCharType="end"/>
      </w:r>
      <w:r w:rsidRPr="000E5786">
        <w:t xml:space="preserve"> (Confidentiality), </w:t>
      </w:r>
      <w:r w:rsidR="00323050" w:rsidRPr="000E5786">
        <w:fldChar w:fldCharType="begin"/>
      </w:r>
      <w:r w:rsidR="00323050" w:rsidRPr="000E5786">
        <w:instrText xml:space="preserve">  REF _Ref53585723 \w \h \* MERGEFORMAT </w:instrText>
      </w:r>
      <w:r w:rsidR="00323050" w:rsidRPr="000E5786">
        <w:fldChar w:fldCharType="separate"/>
      </w:r>
      <w:r w:rsidR="002523A8" w:rsidRPr="000E5786">
        <w:t>25</w:t>
      </w:r>
      <w:r w:rsidR="00323050" w:rsidRPr="000E5786">
        <w:fldChar w:fldCharType="end"/>
      </w:r>
      <w:r w:rsidRPr="000E5786">
        <w:t xml:space="preserve"> (Freedom of</w:t>
      </w:r>
      <w:r w:rsidR="00F50288" w:rsidRPr="000E5786">
        <w:t xml:space="preserve"> </w:t>
      </w:r>
      <w:r w:rsidRPr="000E5786">
        <w:t xml:space="preserve">Information), </w:t>
      </w:r>
      <w:r w:rsidR="007C27DC" w:rsidRPr="000E5786">
        <w:fldChar w:fldCharType="begin"/>
      </w:r>
      <w:r w:rsidR="007C27DC" w:rsidRPr="000E5786">
        <w:instrText xml:space="preserve">  REF _Ref53585311 \w \h \* MERGEFORMAT </w:instrText>
      </w:r>
      <w:r w:rsidR="007C27DC" w:rsidRPr="000E5786">
        <w:fldChar w:fldCharType="separate"/>
      </w:r>
      <w:r w:rsidR="002523A8" w:rsidRPr="000E5786">
        <w:t>26.1</w:t>
      </w:r>
      <w:r w:rsidR="007C27DC" w:rsidRPr="000E5786">
        <w:fldChar w:fldCharType="end"/>
      </w:r>
      <w:r w:rsidRPr="000E5786">
        <w:t xml:space="preserve"> (Publicity and Branding), </w:t>
      </w:r>
      <w:r w:rsidR="007C27DC" w:rsidRPr="000E5786">
        <w:fldChar w:fldCharType="begin"/>
      </w:r>
      <w:r w:rsidR="007C27DC" w:rsidRPr="000E5786">
        <w:instrText xml:space="preserve">  REF _Ref53585726 \w \h \* MERGEFORMAT </w:instrText>
      </w:r>
      <w:r w:rsidR="007C27DC" w:rsidRPr="000E5786">
        <w:fldChar w:fldCharType="separate"/>
      </w:r>
      <w:r w:rsidR="002523A8" w:rsidRPr="000E5786">
        <w:t>28</w:t>
      </w:r>
      <w:r w:rsidR="007C27DC" w:rsidRPr="000E5786">
        <w:fldChar w:fldCharType="end"/>
      </w:r>
      <w:r w:rsidRPr="000E5786">
        <w:t xml:space="preserve"> (Limitations on Liability), </w:t>
      </w:r>
      <w:r w:rsidR="007C27DC" w:rsidRPr="000E5786">
        <w:fldChar w:fldCharType="begin"/>
      </w:r>
      <w:r w:rsidR="007C27DC" w:rsidRPr="000E5786">
        <w:instrText xml:space="preserve">  REF _Ref53585739 \w \h \* MERGEFORMAT </w:instrText>
      </w:r>
      <w:r w:rsidR="007C27DC" w:rsidRPr="000E5786">
        <w:fldChar w:fldCharType="separate"/>
      </w:r>
      <w:r w:rsidR="002523A8" w:rsidRPr="000E5786">
        <w:t>41</w:t>
      </w:r>
      <w:r w:rsidR="007C27DC" w:rsidRPr="000E5786">
        <w:fldChar w:fldCharType="end"/>
      </w:r>
      <w:r w:rsidR="00F50288" w:rsidRPr="000E5786">
        <w:t xml:space="preserve"> </w:t>
      </w:r>
      <w:r w:rsidRPr="000E5786">
        <w:t xml:space="preserve">(Waiver and Cumulative Remedies), </w:t>
      </w:r>
      <w:r w:rsidR="007C27DC" w:rsidRPr="000E5786">
        <w:fldChar w:fldCharType="begin"/>
      </w:r>
      <w:r w:rsidR="007C27DC" w:rsidRPr="000E5786">
        <w:instrText xml:space="preserve">  REF _Ref53585740 \w \h \* MERGEFORMAT </w:instrText>
      </w:r>
      <w:r w:rsidR="007C27DC" w:rsidRPr="000E5786">
        <w:fldChar w:fldCharType="separate"/>
      </w:r>
      <w:r w:rsidR="002523A8" w:rsidRPr="000E5786">
        <w:t>42</w:t>
      </w:r>
      <w:r w:rsidR="007C27DC" w:rsidRPr="000E5786">
        <w:fldChar w:fldCharType="end"/>
      </w:r>
      <w:r w:rsidRPr="000E5786">
        <w:t xml:space="preserve"> (Relationship of the Parties), </w:t>
      </w:r>
      <w:r w:rsidR="00495E08" w:rsidRPr="000E5786">
        <w:fldChar w:fldCharType="begin"/>
      </w:r>
      <w:r w:rsidR="00495E08" w:rsidRPr="000E5786">
        <w:instrText xml:space="preserve">  REF _Ref53585742 \w \h \* MERGEFORMAT </w:instrText>
      </w:r>
      <w:r w:rsidR="00495E08" w:rsidRPr="000E5786">
        <w:fldChar w:fldCharType="separate"/>
      </w:r>
      <w:r w:rsidR="002523A8" w:rsidRPr="000E5786">
        <w:t>44</w:t>
      </w:r>
      <w:r w:rsidR="00495E08" w:rsidRPr="000E5786">
        <w:fldChar w:fldCharType="end"/>
      </w:r>
      <w:r w:rsidR="00F50288" w:rsidRPr="000E5786">
        <w:t xml:space="preserve"> </w:t>
      </w:r>
      <w:r w:rsidRPr="000E5786">
        <w:t xml:space="preserve">(Severance), </w:t>
      </w:r>
      <w:r w:rsidR="00495E08" w:rsidRPr="000E5786">
        <w:fldChar w:fldCharType="begin"/>
      </w:r>
      <w:r w:rsidR="00495E08" w:rsidRPr="000E5786">
        <w:instrText xml:space="preserve">  REF _Ref53585744 \w \h \* MERGEFORMAT </w:instrText>
      </w:r>
      <w:r w:rsidR="00495E08" w:rsidRPr="000E5786">
        <w:fldChar w:fldCharType="separate"/>
      </w:r>
      <w:r w:rsidR="002523A8" w:rsidRPr="000E5786">
        <w:t>46</w:t>
      </w:r>
      <w:r w:rsidR="00495E08" w:rsidRPr="000E5786">
        <w:fldChar w:fldCharType="end"/>
      </w:r>
      <w:r w:rsidRPr="000E5786">
        <w:t xml:space="preserve"> (Entire Agreement), </w:t>
      </w:r>
      <w:r w:rsidR="00495E08" w:rsidRPr="000E5786">
        <w:fldChar w:fldCharType="begin"/>
      </w:r>
      <w:r w:rsidR="00495E08" w:rsidRPr="000E5786">
        <w:instrText xml:space="preserve">  REF _Ref53585745 \w \h \* MERGEFORMAT </w:instrText>
      </w:r>
      <w:r w:rsidR="00495E08" w:rsidRPr="000E5786">
        <w:fldChar w:fldCharType="separate"/>
      </w:r>
      <w:r w:rsidR="002523A8" w:rsidRPr="000E5786">
        <w:t>47</w:t>
      </w:r>
      <w:r w:rsidR="00495E08" w:rsidRPr="000E5786">
        <w:fldChar w:fldCharType="end"/>
      </w:r>
      <w:r w:rsidRPr="000E5786">
        <w:t xml:space="preserve"> (Third Party Rights), </w:t>
      </w:r>
      <w:r w:rsidR="00495E08" w:rsidRPr="000E5786">
        <w:fldChar w:fldCharType="begin"/>
      </w:r>
      <w:r w:rsidR="00495E08" w:rsidRPr="000E5786">
        <w:instrText xml:space="preserve">  REF _Ref53585746 \w \h \* MERGEFORMAT </w:instrText>
      </w:r>
      <w:r w:rsidR="00495E08" w:rsidRPr="000E5786">
        <w:fldChar w:fldCharType="separate"/>
      </w:r>
      <w:r w:rsidR="002523A8" w:rsidRPr="000E5786">
        <w:t>48</w:t>
      </w:r>
      <w:r w:rsidR="00495E08" w:rsidRPr="000E5786">
        <w:fldChar w:fldCharType="end"/>
      </w:r>
      <w:r w:rsidRPr="000E5786">
        <w:t xml:space="preserve"> (Notices), </w:t>
      </w:r>
      <w:r w:rsidR="00495E08" w:rsidRPr="000E5786">
        <w:fldChar w:fldCharType="begin"/>
      </w:r>
      <w:r w:rsidR="00495E08" w:rsidRPr="000E5786">
        <w:instrText xml:space="preserve">  REF _Ref53585747 \w \h \* MERGEFORMAT </w:instrText>
      </w:r>
      <w:r w:rsidR="00495E08" w:rsidRPr="000E5786">
        <w:fldChar w:fldCharType="separate"/>
      </w:r>
      <w:r w:rsidR="002523A8" w:rsidRPr="000E5786">
        <w:t>49</w:t>
      </w:r>
      <w:r w:rsidR="00495E08" w:rsidRPr="000E5786">
        <w:fldChar w:fldCharType="end"/>
      </w:r>
      <w:r w:rsidRPr="000E5786">
        <w:t xml:space="preserve"> (Disputes) and </w:t>
      </w:r>
      <w:r w:rsidR="00764E8C" w:rsidRPr="000E5786">
        <w:fldChar w:fldCharType="begin"/>
      </w:r>
      <w:r w:rsidR="00764E8C" w:rsidRPr="000E5786">
        <w:instrText xml:space="preserve">  REF _Ref53585748 \w \h \* MERGEFORMAT </w:instrText>
      </w:r>
      <w:r w:rsidR="00764E8C" w:rsidRPr="000E5786">
        <w:fldChar w:fldCharType="separate"/>
      </w:r>
      <w:r w:rsidR="002523A8" w:rsidRPr="000E5786">
        <w:t>50</w:t>
      </w:r>
      <w:r w:rsidR="00764E8C" w:rsidRPr="000E5786">
        <w:fldChar w:fldCharType="end"/>
      </w:r>
      <w:r w:rsidRPr="000E5786">
        <w:t xml:space="preserve"> (Governing Law and Jurisdiction), which shall be binding and enforceable as between the Parties from the date of signature; and</w:t>
      </w:r>
      <w:bookmarkEnd w:id="97"/>
    </w:p>
    <w:p w14:paraId="210DD6D2" w14:textId="33CE24BB" w:rsidR="0048699F" w:rsidRPr="000E5786" w:rsidRDefault="0048699F" w:rsidP="00346A37">
      <w:pPr>
        <w:pStyle w:val="Heading3"/>
      </w:pPr>
      <w:bookmarkStart w:id="98" w:name="_Ref53584767"/>
      <w:r w:rsidRPr="000E5786">
        <w:t xml:space="preserve">unless terminated at an earlier date by operation of Law or in accordance with clause </w:t>
      </w:r>
      <w:r w:rsidR="00764E8C" w:rsidRPr="000E5786">
        <w:fldChar w:fldCharType="begin"/>
      </w:r>
      <w:r w:rsidR="00764E8C" w:rsidRPr="000E5786">
        <w:instrText xml:space="preserve">  REF _Ref53585734 \w \h \* MERGEFORMAT </w:instrText>
      </w:r>
      <w:r w:rsidR="00764E8C" w:rsidRPr="000E5786">
        <w:fldChar w:fldCharType="separate"/>
      </w:r>
      <w:r w:rsidR="002523A8" w:rsidRPr="000E5786">
        <w:t>36</w:t>
      </w:r>
      <w:r w:rsidR="00764E8C" w:rsidRPr="000E5786">
        <w:fldChar w:fldCharType="end"/>
      </w:r>
      <w:r w:rsidR="00F50288" w:rsidRPr="000E5786">
        <w:t xml:space="preserve"> </w:t>
      </w:r>
      <w:r w:rsidRPr="000E5786">
        <w:t>(Termination Rights), terminate:</w:t>
      </w:r>
      <w:bookmarkEnd w:id="98"/>
    </w:p>
    <w:p w14:paraId="2AF70C02" w14:textId="12994BA2" w:rsidR="0048699F" w:rsidRPr="000E5786" w:rsidRDefault="0048699F" w:rsidP="00CE5734">
      <w:pPr>
        <w:pStyle w:val="Heading4"/>
        <w:tabs>
          <w:tab w:val="clear" w:pos="1702"/>
        </w:tabs>
        <w:spacing w:after="120"/>
        <w:ind w:left="2410"/>
        <w:rPr>
          <w:rFonts w:cs="Arial"/>
          <w:szCs w:val="20"/>
        </w:rPr>
      </w:pPr>
      <w:bookmarkStart w:id="99" w:name="_Ref53584768"/>
      <w:r w:rsidRPr="000E5786">
        <w:rPr>
          <w:rFonts w:cs="Arial"/>
          <w:szCs w:val="20"/>
        </w:rPr>
        <w:lastRenderedPageBreak/>
        <w:t>at the end of the Initial Term; or</w:t>
      </w:r>
      <w:bookmarkEnd w:id="99"/>
    </w:p>
    <w:p w14:paraId="62947AC5" w14:textId="23DAB04D" w:rsidR="0048699F" w:rsidRPr="000E5786" w:rsidRDefault="0048699F" w:rsidP="00CE5734">
      <w:pPr>
        <w:pStyle w:val="Heading4"/>
        <w:tabs>
          <w:tab w:val="clear" w:pos="1702"/>
        </w:tabs>
        <w:spacing w:after="120"/>
        <w:ind w:left="2410"/>
        <w:rPr>
          <w:rFonts w:cs="Arial"/>
          <w:szCs w:val="20"/>
        </w:rPr>
      </w:pPr>
      <w:bookmarkStart w:id="100" w:name="_Ref53584769"/>
      <w:r w:rsidRPr="000E5786">
        <w:rPr>
          <w:rFonts w:cs="Arial"/>
          <w:szCs w:val="20"/>
        </w:rPr>
        <w:t xml:space="preserve">if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elects to extend the Initial Term by giving the Supplier at least six (6) months’ notice before the end of the Initial Term, at the end of the Extension Period; or</w:t>
      </w:r>
      <w:bookmarkEnd w:id="100"/>
    </w:p>
    <w:p w14:paraId="1ED40083" w14:textId="6F92E5F4" w:rsidR="002C45D8" w:rsidRPr="000E5786" w:rsidRDefault="0048699F" w:rsidP="00CE5734">
      <w:pPr>
        <w:pStyle w:val="Heading4"/>
        <w:tabs>
          <w:tab w:val="clear" w:pos="1702"/>
        </w:tabs>
        <w:spacing w:after="120"/>
        <w:ind w:left="2410"/>
        <w:rPr>
          <w:rFonts w:cs="Arial"/>
          <w:szCs w:val="20"/>
        </w:rPr>
      </w:pPr>
      <w:bookmarkStart w:id="101" w:name="_Ref53584770"/>
      <w:r w:rsidRPr="000E5786">
        <w:rPr>
          <w:rFonts w:cs="Arial"/>
          <w:szCs w:val="20"/>
        </w:rPr>
        <w:t xml:space="preserve">if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elects to extend any Extension Period by giving the Supplier at least six (6) months’ notice before the end of an Extension Period, at the end of the final Extension Period,</w:t>
      </w:r>
      <w:bookmarkEnd w:id="101"/>
      <w:r w:rsidR="00F50288" w:rsidRPr="000E5786">
        <w:rPr>
          <w:rFonts w:cs="Arial"/>
          <w:szCs w:val="20"/>
        </w:rPr>
        <w:t xml:space="preserve"> </w:t>
      </w:r>
    </w:p>
    <w:p w14:paraId="53681917" w14:textId="3A969771" w:rsidR="0048699F" w:rsidRPr="000E5786" w:rsidRDefault="0048699F" w:rsidP="00CE5734">
      <w:pPr>
        <w:pStyle w:val="BodyText3"/>
        <w:spacing w:after="120"/>
        <w:ind w:firstLine="0"/>
        <w:rPr>
          <w:rFonts w:cs="Arial"/>
          <w:szCs w:val="20"/>
        </w:rPr>
      </w:pPr>
      <w:r w:rsidRPr="000E5786">
        <w:rPr>
          <w:rFonts w:cs="Arial"/>
          <w:szCs w:val="20"/>
        </w:rPr>
        <w:t xml:space="preserve">provided that the aggregate duration of </w:t>
      </w:r>
      <w:r w:rsidR="006A6B45" w:rsidRPr="00C0214D">
        <w:rPr>
          <w:rFonts w:eastAsia="Verdana" w:cs="Arial"/>
          <w:szCs w:val="20"/>
        </w:rPr>
        <w:t>the Initial Term and</w:t>
      </w:r>
      <w:r w:rsidR="006A6B45">
        <w:rPr>
          <w:rFonts w:eastAsia="Verdana" w:cs="Arial"/>
          <w:szCs w:val="20"/>
        </w:rPr>
        <w:t xml:space="preserve"> </w:t>
      </w:r>
      <w:r w:rsidRPr="000E5786">
        <w:rPr>
          <w:rFonts w:cs="Arial"/>
          <w:szCs w:val="20"/>
        </w:rPr>
        <w:t xml:space="preserve">any Extension Periods shall be no longer than </w:t>
      </w:r>
      <w:r w:rsidR="00C813CC" w:rsidRPr="000E5786">
        <w:rPr>
          <w:rFonts w:cs="Arial"/>
          <w:szCs w:val="20"/>
        </w:rPr>
        <w:t xml:space="preserve">5 </w:t>
      </w:r>
      <w:r w:rsidRPr="000E5786">
        <w:rPr>
          <w:rFonts w:cs="Arial"/>
          <w:szCs w:val="20"/>
        </w:rPr>
        <w:t>years.</w:t>
      </w:r>
    </w:p>
    <w:p w14:paraId="5B977B6B" w14:textId="18AC230D" w:rsidR="0048699F" w:rsidRPr="000E5786" w:rsidRDefault="0048699F" w:rsidP="00CE5734">
      <w:pPr>
        <w:pStyle w:val="BodyText"/>
        <w:spacing w:after="120"/>
        <w:ind w:firstLine="284"/>
        <w:rPr>
          <w:rFonts w:cs="Arial"/>
          <w:szCs w:val="20"/>
          <w:u w:val="single"/>
        </w:rPr>
      </w:pPr>
      <w:r w:rsidRPr="000E5786">
        <w:rPr>
          <w:rFonts w:cs="Arial"/>
          <w:szCs w:val="20"/>
          <w:u w:val="single"/>
        </w:rPr>
        <w:t>Condition Precedent</w:t>
      </w:r>
    </w:p>
    <w:p w14:paraId="5D669F92" w14:textId="775F030A" w:rsidR="0048699F" w:rsidRPr="000E5786" w:rsidRDefault="0048699F" w:rsidP="00DD60F0">
      <w:pPr>
        <w:pStyle w:val="Heading2"/>
        <w:spacing w:after="120"/>
        <w:rPr>
          <w:rFonts w:cs="Arial"/>
          <w:szCs w:val="20"/>
        </w:rPr>
      </w:pPr>
      <w:bookmarkStart w:id="102" w:name="_Ref53584771"/>
      <w:r w:rsidRPr="000E5786">
        <w:rPr>
          <w:rFonts w:cs="Arial"/>
          <w:szCs w:val="20"/>
        </w:rPr>
        <w:t xml:space="preserve">Save for clauses </w:t>
      </w:r>
      <w:r w:rsidR="00103CCE" w:rsidRPr="000E5786">
        <w:rPr>
          <w:rFonts w:cs="Arial"/>
          <w:szCs w:val="20"/>
        </w:rPr>
        <w:fldChar w:fldCharType="begin"/>
      </w:r>
      <w:r w:rsidR="00103CCE" w:rsidRPr="000E5786">
        <w:rPr>
          <w:rFonts w:cs="Arial"/>
          <w:szCs w:val="20"/>
        </w:rPr>
        <w:instrText xml:space="preserve">  REF _Ref53585699 \w \h \* MERGEFORMAT </w:instrText>
      </w:r>
      <w:r w:rsidR="00103CCE" w:rsidRPr="000E5786">
        <w:rPr>
          <w:rFonts w:cs="Arial"/>
          <w:szCs w:val="20"/>
        </w:rPr>
      </w:r>
      <w:r w:rsidR="00103CCE" w:rsidRPr="000E5786">
        <w:rPr>
          <w:rFonts w:cs="Arial"/>
          <w:szCs w:val="20"/>
        </w:rPr>
        <w:fldChar w:fldCharType="separate"/>
      </w:r>
      <w:r w:rsidR="002523A8" w:rsidRPr="000E5786">
        <w:rPr>
          <w:rFonts w:cs="Arial"/>
          <w:szCs w:val="20"/>
        </w:rPr>
        <w:t>1</w:t>
      </w:r>
      <w:r w:rsidR="00103CCE" w:rsidRPr="000E5786">
        <w:rPr>
          <w:rFonts w:cs="Arial"/>
          <w:szCs w:val="20"/>
        </w:rPr>
        <w:fldChar w:fldCharType="end"/>
      </w:r>
      <w:r w:rsidRPr="000E5786">
        <w:rPr>
          <w:rFonts w:cs="Arial"/>
          <w:szCs w:val="20"/>
        </w:rPr>
        <w:t xml:space="preserve"> (Definitions and Interpretation), </w:t>
      </w:r>
      <w:r w:rsidR="00103CCE" w:rsidRPr="000E5786">
        <w:rPr>
          <w:rFonts w:cs="Arial"/>
          <w:szCs w:val="20"/>
        </w:rPr>
        <w:fldChar w:fldCharType="begin"/>
      </w:r>
      <w:r w:rsidR="00103CCE" w:rsidRPr="000E5786">
        <w:rPr>
          <w:rFonts w:cs="Arial"/>
          <w:szCs w:val="20"/>
        </w:rPr>
        <w:instrText xml:space="preserve">  REF _Ref53585701 \w \h \* MERGEFORMAT </w:instrText>
      </w:r>
      <w:r w:rsidR="00103CCE" w:rsidRPr="000E5786">
        <w:rPr>
          <w:rFonts w:cs="Arial"/>
          <w:szCs w:val="20"/>
        </w:rPr>
      </w:r>
      <w:r w:rsidR="00103CCE" w:rsidRPr="000E5786">
        <w:rPr>
          <w:rFonts w:cs="Arial"/>
          <w:szCs w:val="20"/>
        </w:rPr>
        <w:fldChar w:fldCharType="separate"/>
      </w:r>
      <w:r w:rsidR="002523A8" w:rsidRPr="000E5786">
        <w:rPr>
          <w:rFonts w:cs="Arial"/>
          <w:szCs w:val="20"/>
        </w:rPr>
        <w:t>3</w:t>
      </w:r>
      <w:r w:rsidR="00103CCE" w:rsidRPr="000E5786">
        <w:rPr>
          <w:rFonts w:cs="Arial"/>
          <w:szCs w:val="20"/>
        </w:rPr>
        <w:fldChar w:fldCharType="end"/>
      </w:r>
      <w:r w:rsidRPr="000E5786">
        <w:rPr>
          <w:rFonts w:cs="Arial"/>
          <w:szCs w:val="20"/>
        </w:rPr>
        <w:t xml:space="preserve"> (Warranties), </w:t>
      </w:r>
      <w:r w:rsidR="00103CCE" w:rsidRPr="000E5786">
        <w:rPr>
          <w:rFonts w:cs="Arial"/>
          <w:szCs w:val="20"/>
        </w:rPr>
        <w:fldChar w:fldCharType="begin"/>
      </w:r>
      <w:r w:rsidR="00103CCE" w:rsidRPr="000E5786">
        <w:rPr>
          <w:rFonts w:cs="Arial"/>
          <w:szCs w:val="20"/>
        </w:rPr>
        <w:instrText xml:space="preserve">  REF _Ref53585702 \w \h \* MERGEFORMAT </w:instrText>
      </w:r>
      <w:r w:rsidR="00103CCE" w:rsidRPr="000E5786">
        <w:rPr>
          <w:rFonts w:cs="Arial"/>
          <w:szCs w:val="20"/>
        </w:rPr>
      </w:r>
      <w:r w:rsidR="00103CCE" w:rsidRPr="000E5786">
        <w:rPr>
          <w:rFonts w:cs="Arial"/>
          <w:szCs w:val="20"/>
        </w:rPr>
        <w:fldChar w:fldCharType="separate"/>
      </w:r>
      <w:r w:rsidR="002523A8" w:rsidRPr="000E5786">
        <w:rPr>
          <w:rFonts w:cs="Arial"/>
          <w:szCs w:val="20"/>
        </w:rPr>
        <w:t>4</w:t>
      </w:r>
      <w:r w:rsidR="00103CCE" w:rsidRPr="000E5786">
        <w:rPr>
          <w:rFonts w:cs="Arial"/>
          <w:szCs w:val="20"/>
        </w:rPr>
        <w:fldChar w:fldCharType="end"/>
      </w:r>
      <w:r w:rsidRPr="000E5786">
        <w:rPr>
          <w:rFonts w:cs="Arial"/>
          <w:szCs w:val="20"/>
        </w:rPr>
        <w:t xml:space="preserve"> (Term), </w:t>
      </w:r>
      <w:r w:rsidR="00103CCE" w:rsidRPr="000E5786">
        <w:rPr>
          <w:rFonts w:cs="Arial"/>
          <w:szCs w:val="20"/>
        </w:rPr>
        <w:fldChar w:fldCharType="begin"/>
      </w:r>
      <w:r w:rsidR="00103CCE" w:rsidRPr="000E5786">
        <w:rPr>
          <w:rFonts w:cs="Arial"/>
          <w:szCs w:val="20"/>
        </w:rPr>
        <w:instrText xml:space="preserve">  REF _Ref53585722 \w \h \* MERGEFORMAT </w:instrText>
      </w:r>
      <w:r w:rsidR="00103CCE" w:rsidRPr="000E5786">
        <w:rPr>
          <w:rFonts w:cs="Arial"/>
          <w:szCs w:val="20"/>
        </w:rPr>
      </w:r>
      <w:r w:rsidR="00103CCE" w:rsidRPr="000E5786">
        <w:rPr>
          <w:rFonts w:cs="Arial"/>
          <w:szCs w:val="20"/>
        </w:rPr>
        <w:fldChar w:fldCharType="separate"/>
      </w:r>
      <w:r w:rsidR="002523A8" w:rsidRPr="000E5786">
        <w:rPr>
          <w:rFonts w:cs="Arial"/>
          <w:szCs w:val="20"/>
        </w:rPr>
        <w:t>24</w:t>
      </w:r>
      <w:r w:rsidR="00103CCE" w:rsidRPr="000E5786">
        <w:rPr>
          <w:rFonts w:cs="Arial"/>
          <w:szCs w:val="20"/>
        </w:rPr>
        <w:fldChar w:fldCharType="end"/>
      </w:r>
      <w:r w:rsidRPr="000E5786">
        <w:rPr>
          <w:rFonts w:cs="Arial"/>
          <w:szCs w:val="20"/>
        </w:rPr>
        <w:t xml:space="preserve"> (Confidentiality), </w:t>
      </w:r>
      <w:r w:rsidR="00103CCE" w:rsidRPr="000E5786">
        <w:rPr>
          <w:rFonts w:cs="Arial"/>
          <w:szCs w:val="20"/>
        </w:rPr>
        <w:fldChar w:fldCharType="begin"/>
      </w:r>
      <w:r w:rsidR="00103CCE" w:rsidRPr="000E5786">
        <w:rPr>
          <w:rFonts w:cs="Arial"/>
          <w:szCs w:val="20"/>
        </w:rPr>
        <w:instrText xml:space="preserve">  REF _Ref53585723 \w \h \* MERGEFORMAT </w:instrText>
      </w:r>
      <w:r w:rsidR="00103CCE" w:rsidRPr="000E5786">
        <w:rPr>
          <w:rFonts w:cs="Arial"/>
          <w:szCs w:val="20"/>
        </w:rPr>
      </w:r>
      <w:r w:rsidR="00103CCE" w:rsidRPr="000E5786">
        <w:rPr>
          <w:rFonts w:cs="Arial"/>
          <w:szCs w:val="20"/>
        </w:rPr>
        <w:fldChar w:fldCharType="separate"/>
      </w:r>
      <w:r w:rsidR="002523A8" w:rsidRPr="000E5786">
        <w:rPr>
          <w:rFonts w:cs="Arial"/>
          <w:szCs w:val="20"/>
        </w:rPr>
        <w:t>25</w:t>
      </w:r>
      <w:r w:rsidR="00103CCE" w:rsidRPr="000E5786">
        <w:rPr>
          <w:rFonts w:cs="Arial"/>
          <w:szCs w:val="20"/>
        </w:rPr>
        <w:fldChar w:fldCharType="end"/>
      </w:r>
      <w:r w:rsidRPr="000E5786">
        <w:rPr>
          <w:rFonts w:cs="Arial"/>
          <w:szCs w:val="20"/>
        </w:rPr>
        <w:t xml:space="preserve"> (Freedom of Information), </w:t>
      </w:r>
      <w:r w:rsidR="00103CCE" w:rsidRPr="000E5786">
        <w:rPr>
          <w:rFonts w:cs="Arial"/>
          <w:szCs w:val="20"/>
        </w:rPr>
        <w:fldChar w:fldCharType="begin"/>
      </w:r>
      <w:r w:rsidR="00103CCE" w:rsidRPr="000E5786">
        <w:rPr>
          <w:rFonts w:cs="Arial"/>
          <w:szCs w:val="20"/>
        </w:rPr>
        <w:instrText xml:space="preserve">  REF _Ref53585311 \w \h \* MERGEFORMAT </w:instrText>
      </w:r>
      <w:r w:rsidR="00103CCE" w:rsidRPr="000E5786">
        <w:rPr>
          <w:rFonts w:cs="Arial"/>
          <w:szCs w:val="20"/>
        </w:rPr>
      </w:r>
      <w:r w:rsidR="00103CCE" w:rsidRPr="000E5786">
        <w:rPr>
          <w:rFonts w:cs="Arial"/>
          <w:szCs w:val="20"/>
        </w:rPr>
        <w:fldChar w:fldCharType="separate"/>
      </w:r>
      <w:r w:rsidR="002523A8" w:rsidRPr="000E5786">
        <w:rPr>
          <w:rFonts w:cs="Arial"/>
          <w:szCs w:val="20"/>
        </w:rPr>
        <w:t>26.1</w:t>
      </w:r>
      <w:r w:rsidR="00103CCE" w:rsidRPr="000E5786">
        <w:rPr>
          <w:rFonts w:cs="Arial"/>
          <w:szCs w:val="20"/>
        </w:rPr>
        <w:fldChar w:fldCharType="end"/>
      </w:r>
      <w:r w:rsidRPr="000E5786">
        <w:rPr>
          <w:rFonts w:cs="Arial"/>
          <w:szCs w:val="20"/>
        </w:rPr>
        <w:t xml:space="preserve"> (Publicity and Branding), </w:t>
      </w:r>
      <w:r w:rsidR="00D9230A" w:rsidRPr="000E5786">
        <w:rPr>
          <w:rFonts w:cs="Arial"/>
          <w:szCs w:val="20"/>
        </w:rPr>
        <w:fldChar w:fldCharType="begin"/>
      </w:r>
      <w:r w:rsidR="00D9230A" w:rsidRPr="000E5786">
        <w:rPr>
          <w:rFonts w:cs="Arial"/>
          <w:szCs w:val="20"/>
        </w:rPr>
        <w:instrText xml:space="preserve">  REF _Ref53585726 \w \h \* MERGEFORMAT </w:instrText>
      </w:r>
      <w:r w:rsidR="00D9230A" w:rsidRPr="000E5786">
        <w:rPr>
          <w:rFonts w:cs="Arial"/>
          <w:szCs w:val="20"/>
        </w:rPr>
      </w:r>
      <w:r w:rsidR="00D9230A" w:rsidRPr="000E5786">
        <w:rPr>
          <w:rFonts w:cs="Arial"/>
          <w:szCs w:val="20"/>
        </w:rPr>
        <w:fldChar w:fldCharType="separate"/>
      </w:r>
      <w:r w:rsidR="002523A8" w:rsidRPr="000E5786">
        <w:rPr>
          <w:rFonts w:cs="Arial"/>
          <w:szCs w:val="20"/>
        </w:rPr>
        <w:t>28</w:t>
      </w:r>
      <w:r w:rsidR="00D9230A" w:rsidRPr="000E5786">
        <w:rPr>
          <w:rFonts w:cs="Arial"/>
          <w:szCs w:val="20"/>
        </w:rPr>
        <w:fldChar w:fldCharType="end"/>
      </w:r>
      <w:r w:rsidRPr="000E5786">
        <w:rPr>
          <w:rFonts w:cs="Arial"/>
          <w:szCs w:val="20"/>
        </w:rPr>
        <w:t xml:space="preserve"> (Limitations on Liability), </w:t>
      </w:r>
      <w:r w:rsidR="00D9230A" w:rsidRPr="000E5786">
        <w:rPr>
          <w:rFonts w:cs="Arial"/>
          <w:szCs w:val="20"/>
        </w:rPr>
        <w:fldChar w:fldCharType="begin"/>
      </w:r>
      <w:r w:rsidR="00D9230A" w:rsidRPr="000E5786">
        <w:rPr>
          <w:rFonts w:cs="Arial"/>
          <w:szCs w:val="20"/>
        </w:rPr>
        <w:instrText xml:space="preserve">  REF _Ref53585739 \w \h \* MERGEFORMAT </w:instrText>
      </w:r>
      <w:r w:rsidR="00D9230A" w:rsidRPr="000E5786">
        <w:rPr>
          <w:rFonts w:cs="Arial"/>
          <w:szCs w:val="20"/>
        </w:rPr>
      </w:r>
      <w:r w:rsidR="00D9230A" w:rsidRPr="000E5786">
        <w:rPr>
          <w:rFonts w:cs="Arial"/>
          <w:szCs w:val="20"/>
        </w:rPr>
        <w:fldChar w:fldCharType="separate"/>
      </w:r>
      <w:r w:rsidR="002523A8" w:rsidRPr="000E5786">
        <w:rPr>
          <w:rFonts w:cs="Arial"/>
          <w:szCs w:val="20"/>
        </w:rPr>
        <w:t>41</w:t>
      </w:r>
      <w:r w:rsidR="00D9230A" w:rsidRPr="000E5786">
        <w:rPr>
          <w:rFonts w:cs="Arial"/>
          <w:szCs w:val="20"/>
        </w:rPr>
        <w:fldChar w:fldCharType="end"/>
      </w:r>
      <w:r w:rsidRPr="000E5786">
        <w:rPr>
          <w:rFonts w:cs="Arial"/>
          <w:szCs w:val="20"/>
        </w:rPr>
        <w:t xml:space="preserve"> (Waiver and Cumulative Remedies), </w:t>
      </w:r>
      <w:r w:rsidR="00D9230A" w:rsidRPr="000E5786">
        <w:rPr>
          <w:rFonts w:cs="Arial"/>
          <w:szCs w:val="20"/>
        </w:rPr>
        <w:fldChar w:fldCharType="begin"/>
      </w:r>
      <w:r w:rsidR="00D9230A" w:rsidRPr="000E5786">
        <w:rPr>
          <w:rFonts w:cs="Arial"/>
          <w:szCs w:val="20"/>
        </w:rPr>
        <w:instrText xml:space="preserve">  REF _Ref53585740 \w \h \* MERGEFORMAT </w:instrText>
      </w:r>
      <w:r w:rsidR="00D9230A" w:rsidRPr="000E5786">
        <w:rPr>
          <w:rFonts w:cs="Arial"/>
          <w:szCs w:val="20"/>
        </w:rPr>
      </w:r>
      <w:r w:rsidR="00D9230A" w:rsidRPr="000E5786">
        <w:rPr>
          <w:rFonts w:cs="Arial"/>
          <w:szCs w:val="20"/>
        </w:rPr>
        <w:fldChar w:fldCharType="separate"/>
      </w:r>
      <w:r w:rsidR="002523A8" w:rsidRPr="000E5786">
        <w:rPr>
          <w:rFonts w:cs="Arial"/>
          <w:szCs w:val="20"/>
        </w:rPr>
        <w:t>42</w:t>
      </w:r>
      <w:r w:rsidR="00D9230A" w:rsidRPr="000E5786">
        <w:rPr>
          <w:rFonts w:cs="Arial"/>
          <w:szCs w:val="20"/>
        </w:rPr>
        <w:fldChar w:fldCharType="end"/>
      </w:r>
      <w:r w:rsidRPr="000E5786">
        <w:rPr>
          <w:rFonts w:cs="Arial"/>
          <w:szCs w:val="20"/>
        </w:rPr>
        <w:t xml:space="preserve"> (Relationship of the Parties), </w:t>
      </w:r>
      <w:r w:rsidR="00D9230A" w:rsidRPr="000E5786">
        <w:rPr>
          <w:rFonts w:cs="Arial"/>
          <w:szCs w:val="20"/>
        </w:rPr>
        <w:fldChar w:fldCharType="begin"/>
      </w:r>
      <w:r w:rsidR="00D9230A" w:rsidRPr="000E5786">
        <w:rPr>
          <w:rFonts w:cs="Arial"/>
          <w:szCs w:val="20"/>
        </w:rPr>
        <w:instrText xml:space="preserve">  REF _Ref53585742 \w \h \* MERGEFORMAT </w:instrText>
      </w:r>
      <w:r w:rsidR="00D9230A" w:rsidRPr="000E5786">
        <w:rPr>
          <w:rFonts w:cs="Arial"/>
          <w:szCs w:val="20"/>
        </w:rPr>
      </w:r>
      <w:r w:rsidR="00D9230A" w:rsidRPr="000E5786">
        <w:rPr>
          <w:rFonts w:cs="Arial"/>
          <w:szCs w:val="20"/>
        </w:rPr>
        <w:fldChar w:fldCharType="separate"/>
      </w:r>
      <w:r w:rsidR="002523A8" w:rsidRPr="000E5786">
        <w:rPr>
          <w:rFonts w:cs="Arial"/>
          <w:szCs w:val="20"/>
        </w:rPr>
        <w:t>44</w:t>
      </w:r>
      <w:r w:rsidR="00D9230A" w:rsidRPr="000E5786">
        <w:rPr>
          <w:rFonts w:cs="Arial"/>
          <w:szCs w:val="20"/>
        </w:rPr>
        <w:fldChar w:fldCharType="end"/>
      </w:r>
      <w:r w:rsidRPr="000E5786">
        <w:rPr>
          <w:rFonts w:cs="Arial"/>
          <w:szCs w:val="20"/>
        </w:rPr>
        <w:t xml:space="preserve"> (Severance), </w:t>
      </w:r>
      <w:r w:rsidR="00D9230A" w:rsidRPr="000E5786">
        <w:rPr>
          <w:rFonts w:cs="Arial"/>
          <w:szCs w:val="20"/>
        </w:rPr>
        <w:fldChar w:fldCharType="begin"/>
      </w:r>
      <w:r w:rsidR="00D9230A" w:rsidRPr="000E5786">
        <w:rPr>
          <w:rFonts w:cs="Arial"/>
          <w:szCs w:val="20"/>
        </w:rPr>
        <w:instrText xml:space="preserve">  REF _Ref53585744 \w \h \* MERGEFORMAT </w:instrText>
      </w:r>
      <w:r w:rsidR="00D9230A" w:rsidRPr="000E5786">
        <w:rPr>
          <w:rFonts w:cs="Arial"/>
          <w:szCs w:val="20"/>
        </w:rPr>
      </w:r>
      <w:r w:rsidR="00D9230A" w:rsidRPr="000E5786">
        <w:rPr>
          <w:rFonts w:cs="Arial"/>
          <w:szCs w:val="20"/>
        </w:rPr>
        <w:fldChar w:fldCharType="separate"/>
      </w:r>
      <w:r w:rsidR="002523A8" w:rsidRPr="000E5786">
        <w:rPr>
          <w:rFonts w:cs="Arial"/>
          <w:szCs w:val="20"/>
        </w:rPr>
        <w:t>46</w:t>
      </w:r>
      <w:r w:rsidR="00D9230A" w:rsidRPr="000E5786">
        <w:rPr>
          <w:rFonts w:cs="Arial"/>
          <w:szCs w:val="20"/>
        </w:rPr>
        <w:fldChar w:fldCharType="end"/>
      </w:r>
      <w:r w:rsidRPr="000E5786">
        <w:rPr>
          <w:rFonts w:cs="Arial"/>
          <w:szCs w:val="20"/>
        </w:rPr>
        <w:t xml:space="preserve"> (Entire Agreement), </w:t>
      </w:r>
      <w:r w:rsidR="00D9230A" w:rsidRPr="000E5786">
        <w:rPr>
          <w:rFonts w:cs="Arial"/>
          <w:szCs w:val="20"/>
        </w:rPr>
        <w:fldChar w:fldCharType="begin"/>
      </w:r>
      <w:r w:rsidR="00D9230A" w:rsidRPr="000E5786">
        <w:rPr>
          <w:rFonts w:cs="Arial"/>
          <w:szCs w:val="20"/>
        </w:rPr>
        <w:instrText xml:space="preserve">  REF _Ref53585745 \w \h \* MERGEFORMAT </w:instrText>
      </w:r>
      <w:r w:rsidR="00D9230A" w:rsidRPr="000E5786">
        <w:rPr>
          <w:rFonts w:cs="Arial"/>
          <w:szCs w:val="20"/>
        </w:rPr>
      </w:r>
      <w:r w:rsidR="00D9230A" w:rsidRPr="000E5786">
        <w:rPr>
          <w:rFonts w:cs="Arial"/>
          <w:szCs w:val="20"/>
        </w:rPr>
        <w:fldChar w:fldCharType="separate"/>
      </w:r>
      <w:r w:rsidR="002523A8" w:rsidRPr="000E5786">
        <w:rPr>
          <w:rFonts w:cs="Arial"/>
          <w:szCs w:val="20"/>
        </w:rPr>
        <w:t>47</w:t>
      </w:r>
      <w:r w:rsidR="00D9230A" w:rsidRPr="000E5786">
        <w:rPr>
          <w:rFonts w:cs="Arial"/>
          <w:szCs w:val="20"/>
        </w:rPr>
        <w:fldChar w:fldCharType="end"/>
      </w:r>
      <w:r w:rsidRPr="000E5786">
        <w:rPr>
          <w:rFonts w:cs="Arial"/>
          <w:szCs w:val="20"/>
        </w:rPr>
        <w:t xml:space="preserve"> (Third Party Rights), </w:t>
      </w:r>
      <w:r w:rsidR="00D9230A" w:rsidRPr="000E5786">
        <w:rPr>
          <w:rFonts w:cs="Arial"/>
          <w:szCs w:val="20"/>
        </w:rPr>
        <w:fldChar w:fldCharType="begin"/>
      </w:r>
      <w:r w:rsidR="00D9230A" w:rsidRPr="000E5786">
        <w:rPr>
          <w:rFonts w:cs="Arial"/>
          <w:szCs w:val="20"/>
        </w:rPr>
        <w:instrText xml:space="preserve">  REF _Ref53585746 \w \h \* MERGEFORMAT </w:instrText>
      </w:r>
      <w:r w:rsidR="00D9230A" w:rsidRPr="000E5786">
        <w:rPr>
          <w:rFonts w:cs="Arial"/>
          <w:szCs w:val="20"/>
        </w:rPr>
      </w:r>
      <w:r w:rsidR="00D9230A" w:rsidRPr="000E5786">
        <w:rPr>
          <w:rFonts w:cs="Arial"/>
          <w:szCs w:val="20"/>
        </w:rPr>
        <w:fldChar w:fldCharType="separate"/>
      </w:r>
      <w:r w:rsidR="002523A8" w:rsidRPr="000E5786">
        <w:rPr>
          <w:rFonts w:cs="Arial"/>
          <w:szCs w:val="20"/>
        </w:rPr>
        <w:t>48</w:t>
      </w:r>
      <w:r w:rsidR="00D9230A" w:rsidRPr="000E5786">
        <w:rPr>
          <w:rFonts w:cs="Arial"/>
          <w:szCs w:val="20"/>
        </w:rPr>
        <w:fldChar w:fldCharType="end"/>
      </w:r>
      <w:r w:rsidRPr="000E5786">
        <w:rPr>
          <w:rFonts w:cs="Arial"/>
          <w:szCs w:val="20"/>
        </w:rPr>
        <w:t xml:space="preserve"> (Notices), </w:t>
      </w:r>
      <w:r w:rsidR="00D9230A" w:rsidRPr="000E5786">
        <w:rPr>
          <w:rFonts w:cs="Arial"/>
          <w:szCs w:val="20"/>
        </w:rPr>
        <w:fldChar w:fldCharType="begin"/>
      </w:r>
      <w:r w:rsidR="00D9230A" w:rsidRPr="000E5786">
        <w:rPr>
          <w:rFonts w:cs="Arial"/>
          <w:szCs w:val="20"/>
        </w:rPr>
        <w:instrText xml:space="preserve">  REF _Ref53585747 \w \h \* MERGEFORMAT </w:instrText>
      </w:r>
      <w:r w:rsidR="00D9230A" w:rsidRPr="000E5786">
        <w:rPr>
          <w:rFonts w:cs="Arial"/>
          <w:szCs w:val="20"/>
        </w:rPr>
      </w:r>
      <w:r w:rsidR="00D9230A" w:rsidRPr="000E5786">
        <w:rPr>
          <w:rFonts w:cs="Arial"/>
          <w:szCs w:val="20"/>
        </w:rPr>
        <w:fldChar w:fldCharType="separate"/>
      </w:r>
      <w:r w:rsidR="002523A8" w:rsidRPr="000E5786">
        <w:rPr>
          <w:rFonts w:cs="Arial"/>
          <w:szCs w:val="20"/>
        </w:rPr>
        <w:t>49</w:t>
      </w:r>
      <w:r w:rsidR="00D9230A" w:rsidRPr="000E5786">
        <w:rPr>
          <w:rFonts w:cs="Arial"/>
          <w:szCs w:val="20"/>
        </w:rPr>
        <w:fldChar w:fldCharType="end"/>
      </w:r>
      <w:r w:rsidRPr="000E5786">
        <w:rPr>
          <w:rFonts w:cs="Arial"/>
          <w:szCs w:val="20"/>
        </w:rPr>
        <w:t xml:space="preserve"> (Disputes) and </w:t>
      </w:r>
      <w:r w:rsidR="007132AF" w:rsidRPr="000E5786">
        <w:rPr>
          <w:rFonts w:cs="Arial"/>
          <w:szCs w:val="20"/>
        </w:rPr>
        <w:fldChar w:fldCharType="begin"/>
      </w:r>
      <w:r w:rsidR="007132AF" w:rsidRPr="000E5786">
        <w:rPr>
          <w:rFonts w:cs="Arial"/>
          <w:szCs w:val="20"/>
        </w:rPr>
        <w:instrText xml:space="preserve">  REF _Ref53585748 \w \h \* MERGEFORMAT </w:instrText>
      </w:r>
      <w:r w:rsidR="007132AF" w:rsidRPr="000E5786">
        <w:rPr>
          <w:rFonts w:cs="Arial"/>
          <w:szCs w:val="20"/>
        </w:rPr>
      </w:r>
      <w:r w:rsidR="007132AF" w:rsidRPr="000E5786">
        <w:rPr>
          <w:rFonts w:cs="Arial"/>
          <w:szCs w:val="20"/>
        </w:rPr>
        <w:fldChar w:fldCharType="separate"/>
      </w:r>
      <w:r w:rsidR="002523A8" w:rsidRPr="000E5786">
        <w:rPr>
          <w:rFonts w:cs="Arial"/>
          <w:szCs w:val="20"/>
        </w:rPr>
        <w:t>50</w:t>
      </w:r>
      <w:r w:rsidR="007132AF" w:rsidRPr="000E5786">
        <w:rPr>
          <w:rFonts w:cs="Arial"/>
          <w:szCs w:val="20"/>
        </w:rPr>
        <w:fldChar w:fldCharType="end"/>
      </w:r>
      <w:r w:rsidRPr="000E5786">
        <w:rPr>
          <w:rFonts w:cs="Arial"/>
          <w:szCs w:val="20"/>
        </w:rPr>
        <w:t xml:space="preserve"> (Governing Law and Jurisdiction), this Agreement is conditional upon the valid execution and delivery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of the Guarantee (the “</w:t>
      </w:r>
      <w:r w:rsidRPr="000E5786">
        <w:rPr>
          <w:rFonts w:cs="Arial"/>
          <w:b/>
          <w:szCs w:val="20"/>
        </w:rPr>
        <w:t>Condition Precedent</w:t>
      </w:r>
      <w:r w:rsidRPr="000E5786">
        <w:rPr>
          <w:rFonts w:cs="Arial"/>
          <w:szCs w:val="20"/>
        </w:rPr>
        <w:t>”) provided that, where the Supplier is not a Subsidiary of another company, there shall be no Condition Precedent.</w:t>
      </w:r>
      <w:r w:rsidR="000578A4" w:rsidRPr="000E5786">
        <w:rPr>
          <w:rFonts w:cs="Arial"/>
          <w:szCs w:val="20"/>
        </w:rPr>
        <w:t xml:space="preserv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in its sole discretion at any time agree to waive compliance with the Condition Precedent by giving the Supplier notice in writing.</w:t>
      </w:r>
      <w:bookmarkEnd w:id="102"/>
    </w:p>
    <w:p w14:paraId="45048CDD" w14:textId="57EE46CF" w:rsidR="0048699F" w:rsidRPr="000E5786" w:rsidRDefault="0048699F" w:rsidP="00DD60F0">
      <w:pPr>
        <w:pStyle w:val="Heading2"/>
        <w:spacing w:after="120"/>
        <w:rPr>
          <w:rFonts w:cs="Arial"/>
          <w:szCs w:val="20"/>
        </w:rPr>
      </w:pPr>
      <w:bookmarkStart w:id="103" w:name="_Ref53584772"/>
      <w:r w:rsidRPr="000E5786">
        <w:rPr>
          <w:rFonts w:cs="Arial"/>
          <w:szCs w:val="20"/>
        </w:rPr>
        <w:t>The Supplier shall satisfy, or procure the satisfaction of, the Condition Precedent as soon as possible.</w:t>
      </w:r>
      <w:r w:rsidR="000578A4" w:rsidRPr="000E5786">
        <w:rPr>
          <w:rFonts w:cs="Arial"/>
          <w:szCs w:val="20"/>
        </w:rPr>
        <w:t xml:space="preserve"> </w:t>
      </w:r>
      <w:proofErr w:type="gramStart"/>
      <w:r w:rsidRPr="000E5786">
        <w:rPr>
          <w:rFonts w:cs="Arial"/>
          <w:szCs w:val="20"/>
        </w:rPr>
        <w:t>In the event that</w:t>
      </w:r>
      <w:proofErr w:type="gramEnd"/>
      <w:r w:rsidRPr="000E5786">
        <w:rPr>
          <w:rFonts w:cs="Arial"/>
          <w:szCs w:val="20"/>
        </w:rPr>
        <w:t xml:space="preserve"> the Condition Precedent is not satisfied within twenty </w:t>
      </w:r>
      <w:bookmarkStart w:id="104" w:name="DocXTextRef58"/>
      <w:r w:rsidRPr="000E5786">
        <w:rPr>
          <w:rFonts w:cs="Arial"/>
          <w:szCs w:val="20"/>
        </w:rPr>
        <w:t>(20)</w:t>
      </w:r>
      <w:bookmarkEnd w:id="104"/>
      <w:r w:rsidRPr="000E5786">
        <w:rPr>
          <w:rFonts w:cs="Arial"/>
          <w:szCs w:val="20"/>
        </w:rPr>
        <w:t xml:space="preserve"> Working Days after the date of this Agreement then, unless the Condition Precedent is not required or is waived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accordance with clause </w:t>
      </w:r>
      <w:r w:rsidR="007132AF" w:rsidRPr="000E5786">
        <w:rPr>
          <w:rFonts w:cs="Arial"/>
          <w:szCs w:val="20"/>
        </w:rPr>
        <w:fldChar w:fldCharType="begin"/>
      </w:r>
      <w:r w:rsidR="007132AF" w:rsidRPr="000E5786">
        <w:rPr>
          <w:rFonts w:cs="Arial"/>
          <w:szCs w:val="20"/>
        </w:rPr>
        <w:instrText xml:space="preserve">  REF _Ref53584771 \w \h \* MERGEFORMAT </w:instrText>
      </w:r>
      <w:r w:rsidR="007132AF" w:rsidRPr="000E5786">
        <w:rPr>
          <w:rFonts w:cs="Arial"/>
          <w:szCs w:val="20"/>
        </w:rPr>
      </w:r>
      <w:r w:rsidR="007132AF" w:rsidRPr="000E5786">
        <w:rPr>
          <w:rFonts w:cs="Arial"/>
          <w:szCs w:val="20"/>
        </w:rPr>
        <w:fldChar w:fldCharType="separate"/>
      </w:r>
      <w:r w:rsidR="002523A8" w:rsidRPr="000E5786">
        <w:rPr>
          <w:rFonts w:cs="Arial"/>
          <w:szCs w:val="20"/>
        </w:rPr>
        <w:t>4.2</w:t>
      </w:r>
      <w:r w:rsidR="007132AF" w:rsidRPr="000E5786">
        <w:rPr>
          <w:rFonts w:cs="Arial"/>
          <w:szCs w:val="20"/>
        </w:rPr>
        <w:fldChar w:fldCharType="end"/>
      </w:r>
      <w:r w:rsidRPr="000E5786">
        <w:rPr>
          <w:rFonts w:cs="Arial"/>
          <w:szCs w:val="20"/>
        </w:rPr>
        <w:t>:</w:t>
      </w:r>
      <w:bookmarkEnd w:id="103"/>
    </w:p>
    <w:p w14:paraId="5A9CD88B" w14:textId="07A4D235" w:rsidR="0048699F" w:rsidRPr="000E5786" w:rsidRDefault="0048699F" w:rsidP="00346A37">
      <w:pPr>
        <w:pStyle w:val="Heading3"/>
      </w:pPr>
      <w:bookmarkStart w:id="105" w:name="_Ref53584773"/>
      <w:r w:rsidRPr="000E5786">
        <w:t>this Agreement shall automatically cease and shall not come into effect; and</w:t>
      </w:r>
      <w:bookmarkEnd w:id="105"/>
    </w:p>
    <w:p w14:paraId="4E2C39AB" w14:textId="0360F048" w:rsidR="0048699F" w:rsidRPr="000E5786" w:rsidRDefault="0048699F" w:rsidP="00346A37">
      <w:pPr>
        <w:pStyle w:val="Heading3"/>
      </w:pPr>
      <w:bookmarkStart w:id="106" w:name="_Ref53584774"/>
      <w:r w:rsidRPr="000E5786">
        <w:t xml:space="preserve">neither Party shall have any obligation to pay any compensation to the other Party </w:t>
      </w:r>
      <w:proofErr w:type="gramStart"/>
      <w:r w:rsidRPr="000E5786">
        <w:t>as a result of</w:t>
      </w:r>
      <w:proofErr w:type="gramEnd"/>
      <w:r w:rsidRPr="000E5786">
        <w:t xml:space="preserve"> such cessation.</w:t>
      </w:r>
      <w:bookmarkEnd w:id="106"/>
    </w:p>
    <w:p w14:paraId="11AD218D" w14:textId="74F82284" w:rsidR="0048699F" w:rsidRDefault="0048699F" w:rsidP="00DD60F0">
      <w:pPr>
        <w:pStyle w:val="Heading2"/>
        <w:spacing w:after="120"/>
        <w:rPr>
          <w:rFonts w:cs="Arial"/>
          <w:szCs w:val="20"/>
        </w:rPr>
      </w:pPr>
      <w:bookmarkStart w:id="107" w:name="_Ref53584775"/>
      <w:r w:rsidRPr="000E5786">
        <w:rPr>
          <w:rFonts w:cs="Arial"/>
          <w:szCs w:val="20"/>
        </w:rPr>
        <w:t xml:space="preserve">The Supplier shall consult with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relation to the steps it takes to satisfy the Condition Precedent set out in clause </w:t>
      </w:r>
      <w:r w:rsidR="007132AF" w:rsidRPr="000E5786">
        <w:rPr>
          <w:rFonts w:cs="Arial"/>
          <w:szCs w:val="20"/>
        </w:rPr>
        <w:fldChar w:fldCharType="begin"/>
      </w:r>
      <w:r w:rsidR="007132AF" w:rsidRPr="000E5786">
        <w:rPr>
          <w:rFonts w:cs="Arial"/>
          <w:szCs w:val="20"/>
        </w:rPr>
        <w:instrText xml:space="preserve">  REF _Ref53584771 \w \h \* MERGEFORMAT </w:instrText>
      </w:r>
      <w:r w:rsidR="007132AF" w:rsidRPr="000E5786">
        <w:rPr>
          <w:rFonts w:cs="Arial"/>
          <w:szCs w:val="20"/>
        </w:rPr>
      </w:r>
      <w:r w:rsidR="007132AF" w:rsidRPr="000E5786">
        <w:rPr>
          <w:rFonts w:cs="Arial"/>
          <w:szCs w:val="20"/>
        </w:rPr>
        <w:fldChar w:fldCharType="separate"/>
      </w:r>
      <w:r w:rsidR="002523A8" w:rsidRPr="000E5786">
        <w:rPr>
          <w:rFonts w:cs="Arial"/>
          <w:szCs w:val="20"/>
        </w:rPr>
        <w:t>4.2</w:t>
      </w:r>
      <w:r w:rsidR="007132AF" w:rsidRPr="000E5786">
        <w:rPr>
          <w:rFonts w:cs="Arial"/>
          <w:szCs w:val="20"/>
        </w:rPr>
        <w:fldChar w:fldCharType="end"/>
      </w:r>
      <w:r w:rsidRPr="000E5786">
        <w:rPr>
          <w:rFonts w:cs="Arial"/>
          <w:szCs w:val="20"/>
        </w:rPr>
        <w:t xml:space="preserve"> and shall keep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fully informed of its progress in satisfying the Condition Precedent and of any circumstances which are likely to result in the condition not being satisfied by the date set out in clause </w:t>
      </w:r>
      <w:r w:rsidR="007132AF" w:rsidRPr="000E5786">
        <w:rPr>
          <w:rFonts w:cs="Arial"/>
          <w:szCs w:val="20"/>
        </w:rPr>
        <w:fldChar w:fldCharType="begin"/>
      </w:r>
      <w:r w:rsidR="007132AF" w:rsidRPr="000E5786">
        <w:rPr>
          <w:rFonts w:cs="Arial"/>
          <w:szCs w:val="20"/>
        </w:rPr>
        <w:instrText xml:space="preserve">  REF _Ref53584772 \w \h \* MERGEFORMAT </w:instrText>
      </w:r>
      <w:r w:rsidR="007132AF" w:rsidRPr="000E5786">
        <w:rPr>
          <w:rFonts w:cs="Arial"/>
          <w:szCs w:val="20"/>
        </w:rPr>
      </w:r>
      <w:r w:rsidR="007132AF" w:rsidRPr="000E5786">
        <w:rPr>
          <w:rFonts w:cs="Arial"/>
          <w:szCs w:val="20"/>
        </w:rPr>
        <w:fldChar w:fldCharType="separate"/>
      </w:r>
      <w:r w:rsidR="002523A8" w:rsidRPr="000E5786">
        <w:rPr>
          <w:rFonts w:cs="Arial"/>
          <w:szCs w:val="20"/>
        </w:rPr>
        <w:t>4.3</w:t>
      </w:r>
      <w:r w:rsidR="007132AF" w:rsidRPr="000E5786">
        <w:rPr>
          <w:rFonts w:cs="Arial"/>
          <w:szCs w:val="20"/>
        </w:rPr>
        <w:fldChar w:fldCharType="end"/>
      </w:r>
      <w:r w:rsidRPr="000E5786">
        <w:rPr>
          <w:rFonts w:cs="Arial"/>
          <w:szCs w:val="20"/>
        </w:rPr>
        <w:t>.</w:t>
      </w:r>
      <w:bookmarkEnd w:id="107"/>
    </w:p>
    <w:p w14:paraId="14C1523A" w14:textId="79C52F22" w:rsidR="006A6B45" w:rsidRPr="000E5786" w:rsidRDefault="006A6B45" w:rsidP="00DD60F0">
      <w:pPr>
        <w:pStyle w:val="Heading2"/>
        <w:spacing w:after="120"/>
        <w:rPr>
          <w:rFonts w:cs="Arial"/>
          <w:szCs w:val="20"/>
        </w:rPr>
      </w:pPr>
      <w:r w:rsidRPr="00C0214D">
        <w:rPr>
          <w:rFonts w:eastAsia="Verdana" w:cs="Arial"/>
          <w:szCs w:val="20"/>
        </w:rPr>
        <w:t xml:space="preserve">Notwithstanding anything to the contrary in this Agreement, the Parties </w:t>
      </w:r>
      <w:r w:rsidR="003550D6">
        <w:rPr>
          <w:rFonts w:eastAsia="Verdana" w:cs="Arial"/>
          <w:szCs w:val="20"/>
        </w:rPr>
        <w:t xml:space="preserve">(including clause </w:t>
      </w:r>
      <w:r w:rsidR="003550D6">
        <w:rPr>
          <w:rFonts w:eastAsia="Verdana" w:cs="Arial"/>
          <w:szCs w:val="20"/>
        </w:rPr>
        <w:fldChar w:fldCharType="begin"/>
      </w:r>
      <w:r w:rsidR="003550D6">
        <w:rPr>
          <w:rFonts w:eastAsia="Verdana" w:cs="Arial"/>
          <w:szCs w:val="20"/>
        </w:rPr>
        <w:instrText xml:space="preserve"> REF _Ref53584771 \r \h </w:instrText>
      </w:r>
      <w:r w:rsidR="003550D6">
        <w:rPr>
          <w:rFonts w:eastAsia="Verdana" w:cs="Arial"/>
          <w:szCs w:val="20"/>
        </w:rPr>
      </w:r>
      <w:r w:rsidR="003550D6">
        <w:rPr>
          <w:rFonts w:eastAsia="Verdana" w:cs="Arial"/>
          <w:szCs w:val="20"/>
        </w:rPr>
        <w:fldChar w:fldCharType="separate"/>
      </w:r>
      <w:r w:rsidR="003550D6">
        <w:rPr>
          <w:rFonts w:eastAsia="Verdana" w:cs="Arial"/>
          <w:szCs w:val="20"/>
        </w:rPr>
        <w:t>4.2</w:t>
      </w:r>
      <w:r w:rsidR="003550D6">
        <w:rPr>
          <w:rFonts w:eastAsia="Verdana" w:cs="Arial"/>
          <w:szCs w:val="20"/>
        </w:rPr>
        <w:fldChar w:fldCharType="end"/>
      </w:r>
      <w:r w:rsidR="003550D6">
        <w:rPr>
          <w:rFonts w:eastAsia="Verdana" w:cs="Arial"/>
          <w:szCs w:val="20"/>
        </w:rPr>
        <w:t xml:space="preserve">) </w:t>
      </w:r>
      <w:r w:rsidRPr="00C0214D">
        <w:rPr>
          <w:rFonts w:eastAsia="Verdana" w:cs="Arial"/>
          <w:szCs w:val="20"/>
        </w:rPr>
        <w:t>acknowledge and agree that the Supplier shall not be required to provide a Guarantee for the purposes of this Agreement.</w:t>
      </w:r>
    </w:p>
    <w:p w14:paraId="39ECDC30" w14:textId="0CAB3114" w:rsidR="0048699F" w:rsidRPr="000E5786" w:rsidRDefault="0048699F" w:rsidP="00DD60F0">
      <w:pPr>
        <w:pStyle w:val="Heading1"/>
        <w:spacing w:after="120"/>
        <w:rPr>
          <w:rFonts w:cs="Arial"/>
          <w:szCs w:val="20"/>
        </w:rPr>
      </w:pPr>
      <w:bookmarkStart w:id="108" w:name="_Ref53584776"/>
      <w:bookmarkStart w:id="109" w:name="_Ref53585703"/>
      <w:bookmarkStart w:id="110" w:name="_Toc71198929"/>
      <w:r w:rsidRPr="000E5786">
        <w:rPr>
          <w:rFonts w:cs="Arial"/>
          <w:szCs w:val="20"/>
        </w:rPr>
        <w:t>SERVICES</w:t>
      </w:r>
      <w:bookmarkEnd w:id="108"/>
      <w:bookmarkEnd w:id="109"/>
      <w:bookmarkEnd w:id="110"/>
    </w:p>
    <w:p w14:paraId="4EC7FF98" w14:textId="7264C79A" w:rsidR="0048699F" w:rsidRPr="000E5786" w:rsidRDefault="0048699F" w:rsidP="00CE5734">
      <w:pPr>
        <w:pStyle w:val="BodyText"/>
        <w:spacing w:after="120"/>
        <w:ind w:firstLine="284"/>
        <w:rPr>
          <w:rFonts w:cs="Arial"/>
          <w:szCs w:val="20"/>
          <w:u w:val="single"/>
        </w:rPr>
      </w:pPr>
      <w:r w:rsidRPr="000E5786">
        <w:rPr>
          <w:rFonts w:cs="Arial"/>
          <w:szCs w:val="20"/>
          <w:u w:val="single"/>
        </w:rPr>
        <w:t>Standard of Services</w:t>
      </w:r>
    </w:p>
    <w:p w14:paraId="69A5421B" w14:textId="628BC5D0" w:rsidR="0048699F" w:rsidRPr="000E5786" w:rsidRDefault="0048699F" w:rsidP="00DD60F0">
      <w:pPr>
        <w:pStyle w:val="Heading2"/>
        <w:spacing w:after="120"/>
        <w:rPr>
          <w:rFonts w:cs="Arial"/>
          <w:szCs w:val="20"/>
        </w:rPr>
      </w:pPr>
      <w:bookmarkStart w:id="111" w:name="_Ref53584777"/>
      <w:r w:rsidRPr="000E5786">
        <w:rPr>
          <w:rFonts w:cs="Arial"/>
          <w:szCs w:val="20"/>
        </w:rPr>
        <w:t>The Supplier shall provide:</w:t>
      </w:r>
      <w:bookmarkEnd w:id="111"/>
    </w:p>
    <w:p w14:paraId="5C30B6C5" w14:textId="77777777" w:rsidR="00834935" w:rsidRPr="000E5786" w:rsidRDefault="0048699F" w:rsidP="00346A37">
      <w:pPr>
        <w:pStyle w:val="Heading3"/>
      </w:pPr>
      <w:bookmarkStart w:id="112" w:name="_Ref53584778"/>
      <w:r w:rsidRPr="000E5786">
        <w:t xml:space="preserve">the </w:t>
      </w:r>
      <w:r w:rsidR="00834935" w:rsidRPr="000E5786">
        <w:t>Transition</w:t>
      </w:r>
      <w:r w:rsidRPr="000E5786">
        <w:t xml:space="preserve"> Services from (and including) the </w:t>
      </w:r>
      <w:r w:rsidR="00834935" w:rsidRPr="000E5786">
        <w:t>Transition</w:t>
      </w:r>
      <w:r w:rsidRPr="000E5786">
        <w:t xml:space="preserve"> Services Commencement </w:t>
      </w:r>
      <w:proofErr w:type="gramStart"/>
      <w:r w:rsidRPr="000E5786">
        <w:t>Date;</w:t>
      </w:r>
      <w:proofErr w:type="gramEnd"/>
      <w:r w:rsidRPr="000E5786">
        <w:t xml:space="preserve"> </w:t>
      </w:r>
    </w:p>
    <w:p w14:paraId="03E6087D" w14:textId="625EB3D5" w:rsidR="0048699F" w:rsidRPr="000E5786" w:rsidRDefault="00834935" w:rsidP="00346A37">
      <w:pPr>
        <w:pStyle w:val="Heading3"/>
      </w:pPr>
      <w:r w:rsidRPr="000E5786">
        <w:t xml:space="preserve">the Migration Services </w:t>
      </w:r>
      <w:r w:rsidR="002264A6" w:rsidRPr="000E5786">
        <w:t xml:space="preserve">from (and including) the Migration Services Commencement </w:t>
      </w:r>
      <w:proofErr w:type="gramStart"/>
      <w:r w:rsidR="002264A6" w:rsidRPr="000E5786">
        <w:t>Date;</w:t>
      </w:r>
      <w:proofErr w:type="gramEnd"/>
      <w:r w:rsidR="002264A6" w:rsidRPr="000E5786">
        <w:t xml:space="preserve"> </w:t>
      </w:r>
      <w:bookmarkEnd w:id="112"/>
    </w:p>
    <w:p w14:paraId="2585239A" w14:textId="77777777" w:rsidR="00D6479A" w:rsidRPr="000E5786" w:rsidRDefault="0048699F" w:rsidP="00346A37">
      <w:pPr>
        <w:pStyle w:val="Heading3"/>
      </w:pPr>
      <w:bookmarkStart w:id="113" w:name="_Ref53584779"/>
      <w:r w:rsidRPr="000E5786">
        <w:t>the Operational Services in each case from (and including) the relevant Operational Service Commencement Date</w:t>
      </w:r>
      <w:r w:rsidR="00D6479A" w:rsidRPr="000E5786">
        <w:t>; and</w:t>
      </w:r>
    </w:p>
    <w:p w14:paraId="2AE04E7F" w14:textId="36BC56B4" w:rsidR="0048699F" w:rsidRPr="000E5786" w:rsidRDefault="00D6479A" w:rsidP="00346A37">
      <w:pPr>
        <w:pStyle w:val="Heading3"/>
      </w:pPr>
      <w:r w:rsidRPr="000E5786">
        <w:t>any Project Services in each case from (and including) the relevant Project Services Commencement Date</w:t>
      </w:r>
      <w:r w:rsidR="0048699F" w:rsidRPr="000E5786">
        <w:t>.</w:t>
      </w:r>
      <w:bookmarkEnd w:id="113"/>
    </w:p>
    <w:p w14:paraId="7A30229E" w14:textId="5E24EE5C" w:rsidR="0048699F" w:rsidRPr="000E5786" w:rsidRDefault="0048699F" w:rsidP="00DD60F0">
      <w:pPr>
        <w:pStyle w:val="Heading2"/>
        <w:spacing w:after="120"/>
        <w:rPr>
          <w:rFonts w:cs="Arial"/>
          <w:szCs w:val="20"/>
        </w:rPr>
      </w:pPr>
      <w:bookmarkStart w:id="114" w:name="_Ref53584780"/>
      <w:r w:rsidRPr="000E5786">
        <w:rPr>
          <w:rFonts w:cs="Arial"/>
          <w:szCs w:val="20"/>
        </w:rPr>
        <w:t>The Supplier shall ensure that:</w:t>
      </w:r>
      <w:bookmarkEnd w:id="114"/>
    </w:p>
    <w:p w14:paraId="23AD085A" w14:textId="442A8837" w:rsidR="0048699F" w:rsidRPr="000E5786" w:rsidRDefault="0048699F" w:rsidP="00346A37">
      <w:pPr>
        <w:pStyle w:val="Heading3"/>
      </w:pPr>
      <w:bookmarkStart w:id="115" w:name="_Ref53584781"/>
      <w:r w:rsidRPr="000E5786">
        <w:t>the Services:</w:t>
      </w:r>
      <w:bookmarkEnd w:id="115"/>
    </w:p>
    <w:p w14:paraId="40262F66" w14:textId="04C73A86" w:rsidR="0048699F" w:rsidRPr="000E5786" w:rsidRDefault="0048699F" w:rsidP="00CE5734">
      <w:pPr>
        <w:pStyle w:val="Heading4"/>
        <w:tabs>
          <w:tab w:val="clear" w:pos="1702"/>
        </w:tabs>
        <w:spacing w:after="120"/>
        <w:ind w:left="2410"/>
        <w:rPr>
          <w:rFonts w:cs="Arial"/>
          <w:szCs w:val="20"/>
        </w:rPr>
      </w:pPr>
      <w:bookmarkStart w:id="116" w:name="_Ref53584782"/>
      <w:r w:rsidRPr="000E5786">
        <w:rPr>
          <w:rFonts w:cs="Arial"/>
          <w:szCs w:val="20"/>
        </w:rPr>
        <w:t>comply in all respects with the Services Description; and</w:t>
      </w:r>
      <w:bookmarkEnd w:id="116"/>
    </w:p>
    <w:p w14:paraId="13F53991" w14:textId="67928B4D" w:rsidR="0048699F" w:rsidRPr="000E5786" w:rsidRDefault="0048699F" w:rsidP="00CE5734">
      <w:pPr>
        <w:pStyle w:val="Heading4"/>
        <w:tabs>
          <w:tab w:val="clear" w:pos="1702"/>
        </w:tabs>
        <w:spacing w:after="120"/>
        <w:ind w:left="2410"/>
        <w:rPr>
          <w:rFonts w:cs="Arial"/>
          <w:szCs w:val="20"/>
        </w:rPr>
      </w:pPr>
      <w:bookmarkStart w:id="117" w:name="_Ref53584783"/>
      <w:r w:rsidRPr="000E5786">
        <w:rPr>
          <w:rFonts w:cs="Arial"/>
          <w:szCs w:val="20"/>
        </w:rPr>
        <w:t>are supplied in accordance with the Supplier Solution and the provisions of this Agreement; and</w:t>
      </w:r>
      <w:bookmarkEnd w:id="117"/>
    </w:p>
    <w:p w14:paraId="41AE3D87" w14:textId="3B5A9EEF" w:rsidR="0048699F" w:rsidRPr="000E5786" w:rsidRDefault="0048699F" w:rsidP="00346A37">
      <w:pPr>
        <w:pStyle w:val="Heading3"/>
      </w:pPr>
      <w:bookmarkStart w:id="118" w:name="_Ref53584784"/>
      <w:r w:rsidRPr="000E5786">
        <w:lastRenderedPageBreak/>
        <w:t>where:</w:t>
      </w:r>
      <w:bookmarkEnd w:id="118"/>
    </w:p>
    <w:p w14:paraId="547B3351" w14:textId="5BC1FB78" w:rsidR="0048699F" w:rsidRPr="000E5786" w:rsidRDefault="0048699F" w:rsidP="00CE5734">
      <w:pPr>
        <w:pStyle w:val="Heading4"/>
        <w:tabs>
          <w:tab w:val="clear" w:pos="1702"/>
        </w:tabs>
        <w:spacing w:after="120"/>
        <w:ind w:left="2410"/>
        <w:rPr>
          <w:rFonts w:cs="Arial"/>
          <w:szCs w:val="20"/>
        </w:rPr>
      </w:pPr>
      <w:bookmarkStart w:id="119" w:name="_Ref53584785"/>
      <w:r w:rsidRPr="000E5786">
        <w:rPr>
          <w:rFonts w:cs="Arial"/>
          <w:szCs w:val="20"/>
        </w:rPr>
        <w:t xml:space="preserve">the Operational Services to be provided from any Operational Service Commencement Date are </w:t>
      </w:r>
      <w:proofErr w:type="gramStart"/>
      <w:r w:rsidRPr="000E5786">
        <w:rPr>
          <w:rFonts w:cs="Arial"/>
          <w:szCs w:val="20"/>
        </w:rPr>
        <w:t>similar to</w:t>
      </w:r>
      <w:proofErr w:type="gramEnd"/>
      <w:r w:rsidRPr="000E5786">
        <w:rPr>
          <w:rFonts w:cs="Arial"/>
          <w:szCs w:val="20"/>
        </w:rPr>
        <w:t xml:space="preserve"> services that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was receiving immediately prior to that Operational Service Commencement Date (such similar services being “</w:t>
      </w:r>
      <w:r w:rsidRPr="000E5786">
        <w:rPr>
          <w:rFonts w:cs="Arial"/>
          <w:b/>
          <w:szCs w:val="20"/>
        </w:rPr>
        <w:t>Preceding Services</w:t>
      </w:r>
      <w:r w:rsidRPr="000E5786">
        <w:rPr>
          <w:rFonts w:cs="Arial"/>
          <w:szCs w:val="20"/>
        </w:rPr>
        <w:t>”); and</w:t>
      </w:r>
      <w:bookmarkEnd w:id="119"/>
    </w:p>
    <w:p w14:paraId="001DAABD" w14:textId="6BC8AEFE" w:rsidR="0048699F" w:rsidRPr="000E5786" w:rsidRDefault="0048699F" w:rsidP="00CE5734">
      <w:pPr>
        <w:pStyle w:val="Heading4"/>
        <w:tabs>
          <w:tab w:val="clear" w:pos="1702"/>
        </w:tabs>
        <w:spacing w:after="120"/>
        <w:ind w:left="2410"/>
        <w:rPr>
          <w:rFonts w:cs="Arial"/>
          <w:szCs w:val="20"/>
        </w:rPr>
      </w:pPr>
      <w:bookmarkStart w:id="120" w:name="_Ref53584786"/>
      <w:r w:rsidRPr="000E5786">
        <w:rPr>
          <w:rFonts w:cs="Arial"/>
          <w:szCs w:val="20"/>
        </w:rPr>
        <w:t xml:space="preserve">the standard and level of service received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respect of any of the Preceding Services in the twelve (12) month period immediately </w:t>
      </w:r>
      <w:r w:rsidR="00181963" w:rsidRPr="000E5786">
        <w:rPr>
          <w:rFonts w:cs="Arial"/>
          <w:szCs w:val="20"/>
        </w:rPr>
        <w:t>p</w:t>
      </w:r>
      <w:r w:rsidRPr="000E5786">
        <w:rPr>
          <w:rFonts w:cs="Arial"/>
          <w:szCs w:val="20"/>
        </w:rPr>
        <w:t>rior to that Operational Service Commencement Date have been disclosed to the Supplier in the Due Diligence Information (such preceding services being</w:t>
      </w:r>
      <w:r w:rsidR="00EC2E16" w:rsidRPr="000E5786">
        <w:rPr>
          <w:rFonts w:cs="Arial"/>
          <w:szCs w:val="20"/>
        </w:rPr>
        <w:t xml:space="preserve"> </w:t>
      </w:r>
      <w:r w:rsidRPr="000E5786">
        <w:rPr>
          <w:rFonts w:cs="Arial"/>
          <w:szCs w:val="20"/>
        </w:rPr>
        <w:t>“</w:t>
      </w:r>
      <w:r w:rsidRPr="000E5786">
        <w:rPr>
          <w:rFonts w:cs="Arial"/>
          <w:b/>
          <w:bCs w:val="0"/>
          <w:szCs w:val="20"/>
        </w:rPr>
        <w:t>Relevant Preceding Services</w:t>
      </w:r>
      <w:r w:rsidRPr="000E5786">
        <w:rPr>
          <w:rFonts w:cs="Arial"/>
          <w:szCs w:val="20"/>
        </w:rPr>
        <w:t>”),</w:t>
      </w:r>
      <w:bookmarkEnd w:id="120"/>
    </w:p>
    <w:p w14:paraId="0D2BD46D" w14:textId="016D9EBD" w:rsidR="0048699F" w:rsidRPr="000E5786" w:rsidRDefault="0048699F" w:rsidP="00CE5734">
      <w:pPr>
        <w:pStyle w:val="BodyText3"/>
        <w:spacing w:after="120"/>
        <w:ind w:firstLine="0"/>
        <w:rPr>
          <w:rFonts w:cs="Arial"/>
          <w:szCs w:val="20"/>
        </w:rPr>
      </w:pPr>
      <w:r w:rsidRPr="000E5786">
        <w:rPr>
          <w:rFonts w:cs="Arial"/>
          <w:szCs w:val="20"/>
        </w:rPr>
        <w:t xml:space="preserve">the Operational Services to be provided from the relevant Operational Service Commencement Date that are </w:t>
      </w:r>
      <w:proofErr w:type="gramStart"/>
      <w:r w:rsidRPr="000E5786">
        <w:rPr>
          <w:rFonts w:cs="Arial"/>
          <w:szCs w:val="20"/>
        </w:rPr>
        <w:t>similar to</w:t>
      </w:r>
      <w:proofErr w:type="gramEnd"/>
      <w:r w:rsidRPr="000E5786">
        <w:rPr>
          <w:rFonts w:cs="Arial"/>
          <w:szCs w:val="20"/>
        </w:rPr>
        <w:t xml:space="preserve"> the Relevant Preceding Services are in each case provided to a standard and level of service which is at least as good as the standard and level of service received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respect of the Relevant Preceding Services in the twelve (12) month period immediately prior to the relevant Operational Service Commencement Date.</w:t>
      </w:r>
    </w:p>
    <w:p w14:paraId="6581232D" w14:textId="2C7132A1" w:rsidR="0048699F" w:rsidRPr="000E5786" w:rsidRDefault="0048699F" w:rsidP="00DD60F0">
      <w:pPr>
        <w:pStyle w:val="Heading2"/>
        <w:spacing w:after="120"/>
        <w:rPr>
          <w:rFonts w:cs="Arial"/>
          <w:szCs w:val="20"/>
        </w:rPr>
      </w:pPr>
      <w:bookmarkStart w:id="121" w:name="_Ref53584787"/>
      <w:r w:rsidRPr="000E5786">
        <w:rPr>
          <w:rFonts w:cs="Arial"/>
          <w:szCs w:val="20"/>
        </w:rPr>
        <w:t>The Supplier shall:</w:t>
      </w:r>
      <w:bookmarkEnd w:id="121"/>
    </w:p>
    <w:p w14:paraId="262F6BCD" w14:textId="47FED539" w:rsidR="0048699F" w:rsidRPr="000E5786" w:rsidRDefault="0048699F" w:rsidP="00346A37">
      <w:pPr>
        <w:pStyle w:val="Heading3"/>
      </w:pPr>
      <w:bookmarkStart w:id="122" w:name="_Ref53584788"/>
      <w:r w:rsidRPr="000E5786">
        <w:t>perform its obligations under this Agreement, including in relation to the supply of the Services and any Goods in accordance with:</w:t>
      </w:r>
      <w:bookmarkEnd w:id="122"/>
    </w:p>
    <w:p w14:paraId="044768B3" w14:textId="2879230F" w:rsidR="0048699F" w:rsidRPr="000E5786" w:rsidRDefault="0048699F" w:rsidP="00CE5734">
      <w:pPr>
        <w:pStyle w:val="Heading4"/>
        <w:tabs>
          <w:tab w:val="clear" w:pos="1702"/>
        </w:tabs>
        <w:spacing w:after="120"/>
        <w:ind w:left="2410"/>
        <w:rPr>
          <w:rFonts w:cs="Arial"/>
          <w:szCs w:val="20"/>
        </w:rPr>
      </w:pPr>
      <w:bookmarkStart w:id="123" w:name="_Ref53584789"/>
      <w:r w:rsidRPr="000E5786">
        <w:rPr>
          <w:rFonts w:cs="Arial"/>
          <w:szCs w:val="20"/>
        </w:rPr>
        <w:t xml:space="preserve">all applicable </w:t>
      </w:r>
      <w:proofErr w:type="gramStart"/>
      <w:r w:rsidRPr="000E5786">
        <w:rPr>
          <w:rFonts w:cs="Arial"/>
          <w:szCs w:val="20"/>
        </w:rPr>
        <w:t>Law;</w:t>
      </w:r>
      <w:bookmarkEnd w:id="123"/>
      <w:proofErr w:type="gramEnd"/>
    </w:p>
    <w:p w14:paraId="42884A9B" w14:textId="649509A7" w:rsidR="0048699F" w:rsidRPr="000E5786" w:rsidRDefault="0048699F" w:rsidP="00CE5734">
      <w:pPr>
        <w:pStyle w:val="Heading4"/>
        <w:tabs>
          <w:tab w:val="clear" w:pos="1702"/>
        </w:tabs>
        <w:spacing w:after="120"/>
        <w:ind w:left="2410"/>
        <w:rPr>
          <w:rFonts w:cs="Arial"/>
          <w:szCs w:val="20"/>
        </w:rPr>
      </w:pPr>
      <w:bookmarkStart w:id="124" w:name="_Ref53584790"/>
      <w:r w:rsidRPr="000E5786">
        <w:rPr>
          <w:rFonts w:cs="Arial"/>
          <w:szCs w:val="20"/>
        </w:rPr>
        <w:t xml:space="preserve">Good Industry </w:t>
      </w:r>
      <w:proofErr w:type="gramStart"/>
      <w:r w:rsidRPr="000E5786">
        <w:rPr>
          <w:rFonts w:cs="Arial"/>
          <w:szCs w:val="20"/>
        </w:rPr>
        <w:t>Practice;</w:t>
      </w:r>
      <w:bookmarkEnd w:id="124"/>
      <w:proofErr w:type="gramEnd"/>
    </w:p>
    <w:p w14:paraId="01A30344" w14:textId="72BE686D" w:rsidR="0048699F" w:rsidRPr="000E5786" w:rsidRDefault="0048699F" w:rsidP="00CE5734">
      <w:pPr>
        <w:pStyle w:val="Heading4"/>
        <w:tabs>
          <w:tab w:val="clear" w:pos="1702"/>
        </w:tabs>
        <w:spacing w:after="120"/>
        <w:ind w:left="2410"/>
        <w:rPr>
          <w:rFonts w:cs="Arial"/>
          <w:szCs w:val="20"/>
        </w:rPr>
      </w:pPr>
      <w:bookmarkStart w:id="125" w:name="_Ref53584791"/>
      <w:r w:rsidRPr="000E5786">
        <w:rPr>
          <w:rFonts w:cs="Arial"/>
          <w:szCs w:val="20"/>
        </w:rPr>
        <w:t xml:space="preserve">the </w:t>
      </w:r>
      <w:proofErr w:type="gramStart"/>
      <w:r w:rsidRPr="000E5786">
        <w:rPr>
          <w:rFonts w:cs="Arial"/>
          <w:szCs w:val="20"/>
        </w:rPr>
        <w:t>Standards;</w:t>
      </w:r>
      <w:bookmarkEnd w:id="125"/>
      <w:proofErr w:type="gramEnd"/>
    </w:p>
    <w:p w14:paraId="65C0EAD8" w14:textId="51A44A33" w:rsidR="0048699F" w:rsidRPr="000E5786" w:rsidRDefault="0048699F" w:rsidP="00CE5734">
      <w:pPr>
        <w:pStyle w:val="Heading4"/>
        <w:tabs>
          <w:tab w:val="clear" w:pos="1702"/>
        </w:tabs>
        <w:spacing w:after="120"/>
        <w:ind w:left="2410"/>
        <w:rPr>
          <w:rFonts w:cs="Arial"/>
          <w:szCs w:val="20"/>
        </w:rPr>
      </w:pPr>
      <w:bookmarkStart w:id="126" w:name="_Ref53584792"/>
      <w:r w:rsidRPr="000E5786">
        <w:rPr>
          <w:rFonts w:cs="Arial"/>
          <w:szCs w:val="20"/>
        </w:rPr>
        <w:t xml:space="preserve">the Baseline Security </w:t>
      </w:r>
      <w:proofErr w:type="gramStart"/>
      <w:r w:rsidRPr="000E5786">
        <w:rPr>
          <w:rFonts w:cs="Arial"/>
          <w:szCs w:val="20"/>
        </w:rPr>
        <w:t>Requirements;</w:t>
      </w:r>
      <w:bookmarkEnd w:id="126"/>
      <w:proofErr w:type="gramEnd"/>
    </w:p>
    <w:p w14:paraId="34FE4194" w14:textId="753A4D74" w:rsidR="0048699F" w:rsidRPr="000E5786" w:rsidRDefault="0048699F" w:rsidP="00CE5734">
      <w:pPr>
        <w:pStyle w:val="Heading4"/>
        <w:tabs>
          <w:tab w:val="clear" w:pos="1702"/>
        </w:tabs>
        <w:spacing w:after="120"/>
        <w:ind w:left="2410"/>
        <w:rPr>
          <w:rFonts w:cs="Arial"/>
          <w:szCs w:val="20"/>
        </w:rPr>
      </w:pPr>
      <w:bookmarkStart w:id="127" w:name="_Ref53584793"/>
      <w:r w:rsidRPr="000E5786">
        <w:rPr>
          <w:rFonts w:cs="Arial"/>
          <w:szCs w:val="20"/>
        </w:rPr>
        <w:t xml:space="preserve">the Quality </w:t>
      </w:r>
      <w:proofErr w:type="gramStart"/>
      <w:r w:rsidRPr="000E5786">
        <w:rPr>
          <w:rFonts w:cs="Arial"/>
          <w:szCs w:val="20"/>
        </w:rPr>
        <w:t>Plans;</w:t>
      </w:r>
      <w:bookmarkEnd w:id="127"/>
      <w:proofErr w:type="gramEnd"/>
    </w:p>
    <w:p w14:paraId="1926994B" w14:textId="656F6431" w:rsidR="0048699F" w:rsidRPr="000E5786" w:rsidRDefault="0048699F" w:rsidP="00CE5734">
      <w:pPr>
        <w:pStyle w:val="Heading4"/>
        <w:tabs>
          <w:tab w:val="clear" w:pos="1702"/>
        </w:tabs>
        <w:spacing w:after="120"/>
        <w:ind w:left="2410"/>
        <w:rPr>
          <w:rFonts w:cs="Arial"/>
          <w:szCs w:val="20"/>
        </w:rPr>
      </w:pPr>
      <w:bookmarkStart w:id="128" w:name="_Ref53584794"/>
      <w:r w:rsidRPr="000E5786">
        <w:rPr>
          <w:rFonts w:cs="Arial"/>
          <w:szCs w:val="20"/>
        </w:rPr>
        <w:t xml:space="preserve">the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IT Strategy; and</w:t>
      </w:r>
      <w:bookmarkEnd w:id="128"/>
    </w:p>
    <w:p w14:paraId="78D39381" w14:textId="3B5B18D1" w:rsidR="0048699F" w:rsidRPr="000E5786" w:rsidRDefault="0048699F" w:rsidP="00CE5734">
      <w:pPr>
        <w:pStyle w:val="Heading4"/>
        <w:tabs>
          <w:tab w:val="clear" w:pos="1702"/>
        </w:tabs>
        <w:spacing w:after="120"/>
        <w:ind w:left="2410"/>
        <w:rPr>
          <w:rFonts w:cs="Arial"/>
          <w:szCs w:val="20"/>
        </w:rPr>
      </w:pPr>
      <w:bookmarkStart w:id="129" w:name="_Ref53584795"/>
      <w:r w:rsidRPr="000E5786">
        <w:rPr>
          <w:rFonts w:cs="Arial"/>
          <w:szCs w:val="20"/>
        </w:rPr>
        <w:t xml:space="preserve">the Supplier’s own established procedures and practices to the extent the same do not conflict with the requirements of clauses </w:t>
      </w:r>
      <w:r w:rsidR="007132AF" w:rsidRPr="000E5786">
        <w:rPr>
          <w:rFonts w:cs="Arial"/>
          <w:szCs w:val="20"/>
        </w:rPr>
        <w:fldChar w:fldCharType="begin"/>
      </w:r>
      <w:r w:rsidR="007132AF" w:rsidRPr="000E5786">
        <w:rPr>
          <w:rFonts w:cs="Arial"/>
          <w:szCs w:val="20"/>
        </w:rPr>
        <w:instrText xml:space="preserve">  REF _Ref53584789 \w \h \* MERGEFORMAT </w:instrText>
      </w:r>
      <w:r w:rsidR="007132AF" w:rsidRPr="000E5786">
        <w:rPr>
          <w:rFonts w:cs="Arial"/>
          <w:szCs w:val="20"/>
        </w:rPr>
      </w:r>
      <w:r w:rsidR="007132AF" w:rsidRPr="000E5786">
        <w:rPr>
          <w:rFonts w:cs="Arial"/>
          <w:szCs w:val="20"/>
        </w:rPr>
        <w:fldChar w:fldCharType="separate"/>
      </w:r>
      <w:r w:rsidR="002523A8" w:rsidRPr="000E5786">
        <w:rPr>
          <w:rFonts w:cs="Arial"/>
          <w:szCs w:val="20"/>
        </w:rPr>
        <w:t>5.3.1(a)</w:t>
      </w:r>
      <w:r w:rsidR="007132AF" w:rsidRPr="000E5786">
        <w:rPr>
          <w:rFonts w:cs="Arial"/>
          <w:szCs w:val="20"/>
        </w:rPr>
        <w:fldChar w:fldCharType="end"/>
      </w:r>
      <w:r w:rsidRPr="000E5786">
        <w:rPr>
          <w:rFonts w:cs="Arial"/>
          <w:szCs w:val="20"/>
        </w:rPr>
        <w:t xml:space="preserve"> to </w:t>
      </w:r>
      <w:r w:rsidR="00080D87" w:rsidRPr="000E5786">
        <w:rPr>
          <w:rFonts w:cs="Arial"/>
          <w:szCs w:val="20"/>
        </w:rPr>
        <w:fldChar w:fldCharType="begin"/>
      </w:r>
      <w:r w:rsidR="00080D87" w:rsidRPr="000E5786">
        <w:rPr>
          <w:rFonts w:cs="Arial"/>
          <w:szCs w:val="20"/>
        </w:rPr>
        <w:instrText xml:space="preserve"> REF _Ref53584794 \w \h </w:instrText>
      </w:r>
      <w:r w:rsidR="00735203" w:rsidRPr="000E5786">
        <w:rPr>
          <w:rFonts w:cs="Arial"/>
          <w:szCs w:val="20"/>
        </w:rPr>
        <w:instrText xml:space="preserve"> \* MERGEFORMAT </w:instrText>
      </w:r>
      <w:r w:rsidR="00080D87" w:rsidRPr="000E5786">
        <w:rPr>
          <w:rFonts w:cs="Arial"/>
          <w:szCs w:val="20"/>
        </w:rPr>
      </w:r>
      <w:r w:rsidR="00080D87" w:rsidRPr="000E5786">
        <w:rPr>
          <w:rFonts w:cs="Arial"/>
          <w:szCs w:val="20"/>
        </w:rPr>
        <w:fldChar w:fldCharType="separate"/>
      </w:r>
      <w:r w:rsidR="002523A8" w:rsidRPr="000E5786">
        <w:rPr>
          <w:rFonts w:cs="Arial"/>
          <w:szCs w:val="20"/>
        </w:rPr>
        <w:t>5.3.1(f)</w:t>
      </w:r>
      <w:r w:rsidR="00080D87" w:rsidRPr="000E5786">
        <w:rPr>
          <w:rFonts w:cs="Arial"/>
          <w:szCs w:val="20"/>
        </w:rPr>
        <w:fldChar w:fldCharType="end"/>
      </w:r>
      <w:r w:rsidRPr="000E5786">
        <w:rPr>
          <w:rFonts w:cs="Arial"/>
          <w:szCs w:val="20"/>
        </w:rPr>
        <w:t>; and</w:t>
      </w:r>
      <w:bookmarkEnd w:id="129"/>
    </w:p>
    <w:p w14:paraId="67CEC415" w14:textId="79FDE037" w:rsidR="0048699F" w:rsidRPr="000E5786" w:rsidRDefault="0048699F" w:rsidP="00CE5734">
      <w:pPr>
        <w:pStyle w:val="Heading4"/>
        <w:tabs>
          <w:tab w:val="clear" w:pos="1702"/>
        </w:tabs>
        <w:spacing w:after="120"/>
        <w:ind w:left="2410"/>
        <w:rPr>
          <w:rFonts w:cs="Arial"/>
          <w:szCs w:val="20"/>
        </w:rPr>
      </w:pPr>
      <w:bookmarkStart w:id="130" w:name="_Ref53584796"/>
      <w:r w:rsidRPr="000E5786">
        <w:rPr>
          <w:rFonts w:cs="Arial"/>
          <w:szCs w:val="20"/>
        </w:rPr>
        <w:t xml:space="preserve">deliver the Services using efficient business processes and ways of working having regard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’s obligation to ensure value for money.</w:t>
      </w:r>
      <w:bookmarkEnd w:id="130"/>
    </w:p>
    <w:p w14:paraId="02453C2A" w14:textId="657F6ACF" w:rsidR="0048699F" w:rsidRPr="000E5786" w:rsidRDefault="0048699F" w:rsidP="00DD60F0">
      <w:pPr>
        <w:pStyle w:val="Heading2"/>
        <w:spacing w:after="120"/>
        <w:rPr>
          <w:rFonts w:cs="Arial"/>
          <w:szCs w:val="20"/>
        </w:rPr>
      </w:pPr>
      <w:bookmarkStart w:id="131" w:name="_Ref53584797"/>
      <w:r w:rsidRPr="000E5786">
        <w:rPr>
          <w:rFonts w:cs="Arial"/>
          <w:szCs w:val="20"/>
        </w:rPr>
        <w:t xml:space="preserve">In the event that the Supplier becomes aware of any inconsistency between the requirements of clauses </w:t>
      </w:r>
      <w:r w:rsidR="007D6618" w:rsidRPr="000E5786">
        <w:rPr>
          <w:rFonts w:cs="Arial"/>
          <w:szCs w:val="20"/>
        </w:rPr>
        <w:fldChar w:fldCharType="begin"/>
      </w:r>
      <w:r w:rsidR="007D6618" w:rsidRPr="000E5786">
        <w:rPr>
          <w:rFonts w:cs="Arial"/>
          <w:szCs w:val="20"/>
        </w:rPr>
        <w:instrText xml:space="preserve">  REF _Ref53584789 \w \h \* MERGEFORMAT </w:instrText>
      </w:r>
      <w:r w:rsidR="007D6618" w:rsidRPr="000E5786">
        <w:rPr>
          <w:rFonts w:cs="Arial"/>
          <w:szCs w:val="20"/>
        </w:rPr>
      </w:r>
      <w:r w:rsidR="007D6618" w:rsidRPr="000E5786">
        <w:rPr>
          <w:rFonts w:cs="Arial"/>
          <w:szCs w:val="20"/>
        </w:rPr>
        <w:fldChar w:fldCharType="separate"/>
      </w:r>
      <w:r w:rsidR="002523A8" w:rsidRPr="000E5786">
        <w:rPr>
          <w:rFonts w:cs="Arial"/>
          <w:szCs w:val="20"/>
        </w:rPr>
        <w:t>5.3.1(a)</w:t>
      </w:r>
      <w:r w:rsidR="007D6618" w:rsidRPr="000E5786">
        <w:rPr>
          <w:rFonts w:cs="Arial"/>
          <w:szCs w:val="20"/>
        </w:rPr>
        <w:fldChar w:fldCharType="end"/>
      </w:r>
      <w:r w:rsidRPr="000E5786">
        <w:rPr>
          <w:rFonts w:cs="Arial"/>
          <w:szCs w:val="20"/>
        </w:rPr>
        <w:t xml:space="preserve"> to </w:t>
      </w:r>
      <w:r w:rsidR="00C63B4B" w:rsidRPr="000E5786">
        <w:rPr>
          <w:rFonts w:cs="Arial"/>
          <w:szCs w:val="20"/>
        </w:rPr>
        <w:fldChar w:fldCharType="begin"/>
      </w:r>
      <w:r w:rsidR="00C63B4B" w:rsidRPr="000E5786">
        <w:rPr>
          <w:rFonts w:cs="Arial"/>
          <w:szCs w:val="20"/>
        </w:rPr>
        <w:instrText xml:space="preserve"> REF _Ref53584794 \w \h </w:instrText>
      </w:r>
      <w:r w:rsidR="00735203" w:rsidRPr="000E5786">
        <w:rPr>
          <w:rFonts w:cs="Arial"/>
          <w:szCs w:val="20"/>
        </w:rPr>
        <w:instrText xml:space="preserve"> \* MERGEFORMAT </w:instrText>
      </w:r>
      <w:r w:rsidR="00C63B4B" w:rsidRPr="000E5786">
        <w:rPr>
          <w:rFonts w:cs="Arial"/>
          <w:szCs w:val="20"/>
        </w:rPr>
      </w:r>
      <w:r w:rsidR="00C63B4B" w:rsidRPr="000E5786">
        <w:rPr>
          <w:rFonts w:cs="Arial"/>
          <w:szCs w:val="20"/>
        </w:rPr>
        <w:fldChar w:fldCharType="separate"/>
      </w:r>
      <w:r w:rsidR="002523A8" w:rsidRPr="000E5786">
        <w:rPr>
          <w:rFonts w:cs="Arial"/>
          <w:szCs w:val="20"/>
        </w:rPr>
        <w:t>5.3.1(f)</w:t>
      </w:r>
      <w:r w:rsidR="00C63B4B" w:rsidRPr="000E5786">
        <w:rPr>
          <w:rFonts w:cs="Arial"/>
          <w:szCs w:val="20"/>
        </w:rPr>
        <w:fldChar w:fldCharType="end"/>
      </w:r>
      <w:r w:rsidRPr="000E5786">
        <w:rPr>
          <w:rFonts w:cs="Arial"/>
          <w:szCs w:val="20"/>
        </w:rPr>
        <w:t xml:space="preserve">, the Supplier shall immediately notify the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Representative in writing of such inconsistency and the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Representative shall, as soon as practicable, notify the Supplier which requirement the Supplier shall comply with.</w:t>
      </w:r>
      <w:bookmarkEnd w:id="131"/>
    </w:p>
    <w:p w14:paraId="3521C544" w14:textId="275062E4" w:rsidR="0048699F" w:rsidRPr="000E5786" w:rsidRDefault="0048699F" w:rsidP="00CE5734">
      <w:pPr>
        <w:pStyle w:val="BodyText"/>
        <w:spacing w:after="120"/>
        <w:ind w:firstLine="284"/>
        <w:rPr>
          <w:rFonts w:cs="Arial"/>
          <w:szCs w:val="20"/>
          <w:u w:val="single"/>
        </w:rPr>
      </w:pPr>
      <w:r w:rsidRPr="000E5786">
        <w:rPr>
          <w:rFonts w:cs="Arial"/>
          <w:szCs w:val="20"/>
          <w:u w:val="single"/>
        </w:rPr>
        <w:t>Supplier covenants</w:t>
      </w:r>
    </w:p>
    <w:p w14:paraId="6B998969" w14:textId="68668539" w:rsidR="0048699F" w:rsidRPr="000E5786" w:rsidRDefault="0048699F" w:rsidP="00DD60F0">
      <w:pPr>
        <w:pStyle w:val="Heading2"/>
        <w:spacing w:after="120"/>
        <w:rPr>
          <w:rFonts w:cs="Arial"/>
          <w:szCs w:val="20"/>
        </w:rPr>
      </w:pPr>
      <w:bookmarkStart w:id="132" w:name="_Ref53584798"/>
      <w:r w:rsidRPr="000E5786">
        <w:rPr>
          <w:rFonts w:cs="Arial"/>
          <w:szCs w:val="20"/>
        </w:rPr>
        <w:t>The Supplier shall:</w:t>
      </w:r>
      <w:bookmarkEnd w:id="132"/>
    </w:p>
    <w:p w14:paraId="7C396B77" w14:textId="39C1E0DE" w:rsidR="0048699F" w:rsidRPr="000E5786" w:rsidRDefault="0048699F" w:rsidP="00346A37">
      <w:pPr>
        <w:pStyle w:val="Heading3"/>
      </w:pPr>
      <w:bookmarkStart w:id="133" w:name="_Ref53584799"/>
      <w:r w:rsidRPr="000E5786">
        <w:t xml:space="preserve">at all times allocate sufficient resources with the appropriate technical expertise to supply the Deliverables and to provide the Services in accordance with this </w:t>
      </w:r>
      <w:proofErr w:type="gramStart"/>
      <w:r w:rsidRPr="000E5786">
        <w:t>Agreement;</w:t>
      </w:r>
      <w:bookmarkEnd w:id="133"/>
      <w:proofErr w:type="gramEnd"/>
    </w:p>
    <w:p w14:paraId="41DCAAD8" w14:textId="519DDB22" w:rsidR="0048699F" w:rsidRPr="000E5786" w:rsidRDefault="0048699F" w:rsidP="00346A37">
      <w:pPr>
        <w:pStyle w:val="Heading3"/>
      </w:pPr>
      <w:bookmarkStart w:id="134" w:name="_Ref53584800"/>
      <w:r w:rsidRPr="000E5786">
        <w:t xml:space="preserve">save to the extent that obtaining and maintaining the same are </w:t>
      </w:r>
      <w:proofErr w:type="spellStart"/>
      <w:r w:rsidR="001F1C19">
        <w:t>Netlink</w:t>
      </w:r>
      <w:proofErr w:type="spellEnd"/>
      <w:r w:rsidR="001F1C19">
        <w:t xml:space="preserve"> Star</w:t>
      </w:r>
      <w:r w:rsidRPr="000E5786">
        <w:t xml:space="preserve"> Responsibilities and subject to clause </w:t>
      </w:r>
      <w:r w:rsidR="00AA5A16" w:rsidRPr="000E5786">
        <w:fldChar w:fldCharType="begin"/>
      </w:r>
      <w:r w:rsidR="00AA5A16" w:rsidRPr="000E5786">
        <w:instrText xml:space="preserve">  REF _Ref53585712 \w \h \* MERGEFORMAT </w:instrText>
      </w:r>
      <w:r w:rsidR="00AA5A16" w:rsidRPr="000E5786">
        <w:fldChar w:fldCharType="separate"/>
      </w:r>
      <w:r w:rsidR="002523A8" w:rsidRPr="000E5786">
        <w:t>15</w:t>
      </w:r>
      <w:r w:rsidR="00AA5A16" w:rsidRPr="000E5786">
        <w:fldChar w:fldCharType="end"/>
      </w:r>
      <w:r w:rsidRPr="000E5786">
        <w:t xml:space="preserve"> (Change), obtain, and maintain throughout the duration of this Agreement, all the consents, approvals, licences and permissions (statutory, regulatory contractual or otherwise) it may require and which are necessary for the provision of the Services;</w:t>
      </w:r>
      <w:bookmarkEnd w:id="134"/>
    </w:p>
    <w:p w14:paraId="4992E8A0" w14:textId="1356D573" w:rsidR="0048699F" w:rsidRPr="000E5786" w:rsidRDefault="0048699F" w:rsidP="00346A37">
      <w:pPr>
        <w:pStyle w:val="Heading3"/>
      </w:pPr>
      <w:bookmarkStart w:id="135" w:name="_Ref53584801"/>
      <w:r w:rsidRPr="000E5786">
        <w:t>ensure that:</w:t>
      </w:r>
      <w:bookmarkEnd w:id="135"/>
    </w:p>
    <w:p w14:paraId="23F318E5" w14:textId="32597F0B" w:rsidR="0048699F" w:rsidRPr="000E5786" w:rsidRDefault="0048699F" w:rsidP="00CE5734">
      <w:pPr>
        <w:pStyle w:val="Heading4"/>
        <w:tabs>
          <w:tab w:val="clear" w:pos="1702"/>
        </w:tabs>
        <w:spacing w:after="120"/>
        <w:ind w:left="2410"/>
        <w:rPr>
          <w:rFonts w:cs="Arial"/>
          <w:szCs w:val="20"/>
        </w:rPr>
      </w:pPr>
      <w:bookmarkStart w:id="136" w:name="_Ref53584802"/>
      <w:r w:rsidRPr="000E5786">
        <w:rPr>
          <w:rFonts w:cs="Arial"/>
          <w:szCs w:val="20"/>
        </w:rPr>
        <w:t xml:space="preserve">it shall continue to have all necessary rights in and to the Licensed Software, the Third Party IPRs, the Supplier Background IPRs and any other materials made available by the Supplier (and/or any Sub-contractor)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which are necessary for the performance of the Supplier’s obligations under this Agreement and/or the receipt of the Services by </w:t>
      </w:r>
      <w:proofErr w:type="spellStart"/>
      <w:r w:rsidR="001F1C19">
        <w:rPr>
          <w:rFonts w:cs="Arial"/>
          <w:szCs w:val="20"/>
        </w:rPr>
        <w:t>Netlink</w:t>
      </w:r>
      <w:proofErr w:type="spellEnd"/>
      <w:r w:rsidR="001F1C19">
        <w:rPr>
          <w:rFonts w:cs="Arial"/>
          <w:szCs w:val="20"/>
        </w:rPr>
        <w:t xml:space="preserve"> </w:t>
      </w:r>
      <w:proofErr w:type="gramStart"/>
      <w:r w:rsidR="001F1C19">
        <w:rPr>
          <w:rFonts w:cs="Arial"/>
          <w:szCs w:val="20"/>
        </w:rPr>
        <w:t>Star</w:t>
      </w:r>
      <w:r w:rsidRPr="000E5786">
        <w:rPr>
          <w:rFonts w:cs="Arial"/>
          <w:szCs w:val="20"/>
        </w:rPr>
        <w:t>;</w:t>
      </w:r>
      <w:bookmarkEnd w:id="136"/>
      <w:proofErr w:type="gramEnd"/>
    </w:p>
    <w:p w14:paraId="400EC9B4" w14:textId="1CC8BF24" w:rsidR="0048699F" w:rsidRPr="000E5786" w:rsidRDefault="0048699F" w:rsidP="00CE5734">
      <w:pPr>
        <w:pStyle w:val="Heading4"/>
        <w:tabs>
          <w:tab w:val="clear" w:pos="1702"/>
        </w:tabs>
        <w:spacing w:after="120"/>
        <w:ind w:left="2410"/>
        <w:rPr>
          <w:rFonts w:cs="Arial"/>
          <w:szCs w:val="20"/>
        </w:rPr>
      </w:pPr>
      <w:bookmarkStart w:id="137" w:name="_Ref53584803"/>
      <w:r w:rsidRPr="000E5786">
        <w:rPr>
          <w:rFonts w:cs="Arial"/>
          <w:szCs w:val="20"/>
        </w:rPr>
        <w:lastRenderedPageBreak/>
        <w:t xml:space="preserve">the release of any new Software or upgrade to any Software complies with the interface requirements in the Services Description and (except in relation to new Software or upgrades which are released to address Malicious Software or to comply with the requirements of </w:t>
      </w:r>
      <w:bookmarkStart w:id="138" w:name="DocXTextRef67"/>
      <w:r w:rsidRPr="000E5786">
        <w:rPr>
          <w:rFonts w:cs="Arial"/>
          <w:szCs w:val="20"/>
        </w:rPr>
        <w:t>Schedule 2.</w:t>
      </w:r>
      <w:r w:rsidR="008446F2">
        <w:rPr>
          <w:rFonts w:cs="Arial"/>
          <w:szCs w:val="20"/>
        </w:rPr>
        <w:t>6</w:t>
      </w:r>
      <w:bookmarkEnd w:id="138"/>
      <w:r w:rsidRPr="000E5786">
        <w:rPr>
          <w:rFonts w:cs="Arial"/>
          <w:szCs w:val="20"/>
        </w:rPr>
        <w:t xml:space="preserve"> (Security Management)) shall notify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three (3) months before the release of any new Software or </w:t>
      </w:r>
      <w:proofErr w:type="gramStart"/>
      <w:r w:rsidRPr="000E5786">
        <w:rPr>
          <w:rFonts w:cs="Arial"/>
          <w:szCs w:val="20"/>
        </w:rPr>
        <w:t>Upgrade;</w:t>
      </w:r>
      <w:bookmarkEnd w:id="137"/>
      <w:proofErr w:type="gramEnd"/>
    </w:p>
    <w:p w14:paraId="125CE74B" w14:textId="01FDC209" w:rsidR="0048699F" w:rsidRPr="000E5786" w:rsidRDefault="0048699F" w:rsidP="00CE5734">
      <w:pPr>
        <w:pStyle w:val="Heading4"/>
        <w:tabs>
          <w:tab w:val="clear" w:pos="1702"/>
        </w:tabs>
        <w:spacing w:after="120"/>
        <w:ind w:left="2410"/>
        <w:rPr>
          <w:rFonts w:cs="Arial"/>
          <w:szCs w:val="20"/>
        </w:rPr>
      </w:pPr>
      <w:bookmarkStart w:id="139" w:name="_Ref53584804"/>
      <w:r w:rsidRPr="000E5786">
        <w:rPr>
          <w:rFonts w:cs="Arial"/>
          <w:szCs w:val="20"/>
        </w:rPr>
        <w:t xml:space="preserve">all Software including Upgrades, Updates and New Releases used by or on behalf of the Supplier are currently supported versions of that Software and perform in all material respects in accordance with the relevant </w:t>
      </w:r>
      <w:proofErr w:type="gramStart"/>
      <w:r w:rsidRPr="000E5786">
        <w:rPr>
          <w:rFonts w:cs="Arial"/>
          <w:szCs w:val="20"/>
        </w:rPr>
        <w:t>specification;</w:t>
      </w:r>
      <w:bookmarkEnd w:id="139"/>
      <w:proofErr w:type="gramEnd"/>
    </w:p>
    <w:p w14:paraId="1121E71D" w14:textId="44BA50ED" w:rsidR="0048699F" w:rsidRPr="000E5786" w:rsidRDefault="0048699F" w:rsidP="00CE5734">
      <w:pPr>
        <w:pStyle w:val="Heading4"/>
        <w:tabs>
          <w:tab w:val="clear" w:pos="1702"/>
        </w:tabs>
        <w:spacing w:after="120"/>
        <w:ind w:left="2410"/>
        <w:rPr>
          <w:rFonts w:cs="Arial"/>
          <w:szCs w:val="20"/>
        </w:rPr>
      </w:pPr>
      <w:bookmarkStart w:id="140" w:name="_Ref53584805"/>
      <w:r w:rsidRPr="000E5786">
        <w:rPr>
          <w:rFonts w:cs="Arial"/>
          <w:szCs w:val="20"/>
        </w:rPr>
        <w:t xml:space="preserve">any products or services recommended or otherwise specified by the Supplier for use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conjunction with the Deliverables and/or the Services shall enable the Deliverables and/or Services to meet the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Requirements; and</w:t>
      </w:r>
      <w:bookmarkEnd w:id="140"/>
    </w:p>
    <w:p w14:paraId="13C1AD97" w14:textId="61EA55EF" w:rsidR="005F62F4" w:rsidRPr="000E5786" w:rsidRDefault="0048699F" w:rsidP="00CE5734">
      <w:pPr>
        <w:pStyle w:val="Heading4"/>
        <w:tabs>
          <w:tab w:val="clear" w:pos="1702"/>
        </w:tabs>
        <w:spacing w:after="120"/>
        <w:ind w:left="2410"/>
        <w:rPr>
          <w:rFonts w:cs="Arial"/>
          <w:szCs w:val="20"/>
        </w:rPr>
      </w:pPr>
      <w:bookmarkStart w:id="141" w:name="_Ref53584806"/>
      <w:r w:rsidRPr="000E5786">
        <w:rPr>
          <w:rFonts w:cs="Arial"/>
          <w:szCs w:val="20"/>
        </w:rPr>
        <w:t xml:space="preserve">the Supplier System and Assets used in the performance of the Services will be free of all encumbrances (except as agreed in writing with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will be</w:t>
      </w:r>
      <w:bookmarkEnd w:id="141"/>
      <w:r w:rsidR="005F62F4" w:rsidRPr="000E5786">
        <w:rPr>
          <w:rFonts w:cs="Arial"/>
          <w:szCs w:val="20"/>
        </w:rPr>
        <w:t xml:space="preserve"> compliant with the Restriction of the Use of Certain Hazardous Substances in Electrical and Electronic Equipment Regulations 2012 in respect of all Assets made available to </w:t>
      </w:r>
      <w:proofErr w:type="spellStart"/>
      <w:r w:rsidR="001F1C19">
        <w:rPr>
          <w:rFonts w:cs="Arial"/>
          <w:szCs w:val="20"/>
        </w:rPr>
        <w:t>Netlink</w:t>
      </w:r>
      <w:proofErr w:type="spellEnd"/>
      <w:r w:rsidR="001F1C19">
        <w:rPr>
          <w:rFonts w:cs="Arial"/>
          <w:szCs w:val="20"/>
        </w:rPr>
        <w:t xml:space="preserve"> Star</w:t>
      </w:r>
      <w:r w:rsidR="005F62F4" w:rsidRPr="000E5786">
        <w:rPr>
          <w:rFonts w:cs="Arial"/>
          <w:szCs w:val="20"/>
        </w:rPr>
        <w:t xml:space="preserve"> by the </w:t>
      </w:r>
      <w:proofErr w:type="gramStart"/>
      <w:r w:rsidR="005F62F4" w:rsidRPr="000E5786">
        <w:rPr>
          <w:rFonts w:cs="Arial"/>
          <w:szCs w:val="20"/>
        </w:rPr>
        <w:t>Supplier;</w:t>
      </w:r>
      <w:proofErr w:type="gramEnd"/>
    </w:p>
    <w:p w14:paraId="577FFFD2" w14:textId="75EF8E95" w:rsidR="0048699F" w:rsidRPr="000E5786" w:rsidRDefault="0048699F" w:rsidP="00346A37">
      <w:pPr>
        <w:pStyle w:val="Heading3"/>
      </w:pPr>
      <w:bookmarkStart w:id="142" w:name="_Ref53584809"/>
      <w:r w:rsidRPr="000E5786">
        <w:t xml:space="preserve">minimise any disruption to the Services, the IT Environment and/or </w:t>
      </w:r>
      <w:proofErr w:type="spellStart"/>
      <w:r w:rsidR="001F1C19">
        <w:t>Netlink</w:t>
      </w:r>
      <w:proofErr w:type="spellEnd"/>
      <w:r w:rsidR="001F1C19">
        <w:t xml:space="preserve"> Star</w:t>
      </w:r>
      <w:r w:rsidRPr="000E5786">
        <w:t xml:space="preserve">’s operations when carrying out its obligations under this </w:t>
      </w:r>
      <w:proofErr w:type="gramStart"/>
      <w:r w:rsidRPr="000E5786">
        <w:t>Agreement;</w:t>
      </w:r>
      <w:bookmarkEnd w:id="142"/>
      <w:proofErr w:type="gramEnd"/>
    </w:p>
    <w:p w14:paraId="6485F50D" w14:textId="1C90133E" w:rsidR="0048699F" w:rsidRPr="000E5786" w:rsidRDefault="0048699F" w:rsidP="00346A37">
      <w:pPr>
        <w:pStyle w:val="Heading3"/>
      </w:pPr>
      <w:bookmarkStart w:id="143" w:name="_Ref53584810"/>
      <w:r w:rsidRPr="000E5786">
        <w:t xml:space="preserve">ensure that any Documentation and training provided by the Supplier to </w:t>
      </w:r>
      <w:proofErr w:type="spellStart"/>
      <w:r w:rsidR="001F1C19">
        <w:t>Netlink</w:t>
      </w:r>
      <w:proofErr w:type="spellEnd"/>
      <w:r w:rsidR="001F1C19">
        <w:t xml:space="preserve"> Star</w:t>
      </w:r>
      <w:r w:rsidRPr="000E5786">
        <w:t xml:space="preserve"> are comprehensive, accurate and prepared in accordance with Good Industry </w:t>
      </w:r>
      <w:proofErr w:type="gramStart"/>
      <w:r w:rsidRPr="000E5786">
        <w:t>Practice;</w:t>
      </w:r>
      <w:bookmarkEnd w:id="143"/>
      <w:proofErr w:type="gramEnd"/>
    </w:p>
    <w:p w14:paraId="0216E4CB" w14:textId="4218AD8A" w:rsidR="0048699F" w:rsidRPr="000E5786" w:rsidRDefault="0048699F" w:rsidP="00346A37">
      <w:pPr>
        <w:pStyle w:val="Heading3"/>
      </w:pPr>
      <w:bookmarkStart w:id="144" w:name="_Ref53584811"/>
      <w:r w:rsidRPr="000E5786">
        <w:t xml:space="preserve">co-operate with the Other Suppliers and provide reasonable information (including any Documentation), advice and assistance in connection with the Services to any Other Supplier to enable such Other Supplier to create and maintain technical or organisational interfaces with the Services and, on the expiry or termination of this Agreement for any reason, to enable the timely transition of the Services (or any of them) to </w:t>
      </w:r>
      <w:proofErr w:type="spellStart"/>
      <w:r w:rsidR="001F1C19">
        <w:t>Netlink</w:t>
      </w:r>
      <w:proofErr w:type="spellEnd"/>
      <w:r w:rsidR="001F1C19">
        <w:t xml:space="preserve"> Star</w:t>
      </w:r>
      <w:r w:rsidRPr="000E5786">
        <w:t xml:space="preserve"> and/or to any Replacement </w:t>
      </w:r>
      <w:proofErr w:type="gramStart"/>
      <w:r w:rsidRPr="000E5786">
        <w:t>Supplier;</w:t>
      </w:r>
      <w:bookmarkEnd w:id="144"/>
      <w:proofErr w:type="gramEnd"/>
    </w:p>
    <w:p w14:paraId="0C08D57F" w14:textId="192EA852" w:rsidR="00D849F9" w:rsidRPr="000E5786" w:rsidRDefault="00A20CD5" w:rsidP="00346A37">
      <w:pPr>
        <w:pStyle w:val="Heading3"/>
      </w:pPr>
      <w:r>
        <w:t xml:space="preserve">where requested to do so by </w:t>
      </w:r>
      <w:proofErr w:type="spellStart"/>
      <w:r w:rsidR="001F1C19">
        <w:t>Netlink</w:t>
      </w:r>
      <w:proofErr w:type="spellEnd"/>
      <w:r w:rsidR="001F1C19">
        <w:t xml:space="preserve"> Star</w:t>
      </w:r>
      <w:r>
        <w:t xml:space="preserve">, enter into and </w:t>
      </w:r>
      <w:r w:rsidR="00D849F9" w:rsidRPr="000E5786">
        <w:t>comply with the terms of the Collaboration Agreement</w:t>
      </w:r>
      <w:r>
        <w:t xml:space="preserve"> or enter into and comply with a collaboration agreement in a substantially similar form to that appended hereto at Appendix </w:t>
      </w:r>
      <w:proofErr w:type="gramStart"/>
      <w:r>
        <w:t>1</w:t>
      </w:r>
      <w:r w:rsidR="00D849F9" w:rsidRPr="000E5786">
        <w:t>;</w:t>
      </w:r>
      <w:proofErr w:type="gramEnd"/>
    </w:p>
    <w:p w14:paraId="4353F6E5" w14:textId="3A4E5D43" w:rsidR="0048699F" w:rsidRPr="000E5786" w:rsidRDefault="0048699F" w:rsidP="00346A37">
      <w:pPr>
        <w:pStyle w:val="Heading3"/>
      </w:pPr>
      <w:bookmarkStart w:id="145" w:name="_Ref53584812"/>
      <w:r w:rsidRPr="000E5786">
        <w:t xml:space="preserve">to the extent it is legally able to do so, hold on trust for the sole benefit of </w:t>
      </w:r>
      <w:proofErr w:type="spellStart"/>
      <w:r w:rsidR="001F1C19">
        <w:t>Netlink</w:t>
      </w:r>
      <w:proofErr w:type="spellEnd"/>
      <w:r w:rsidR="001F1C19">
        <w:t xml:space="preserve"> Star</w:t>
      </w:r>
      <w:r w:rsidRPr="000E5786">
        <w:t xml:space="preserve">, all warranties and indemnities provided by third parties or any Sub-contractor in respect of any Deliverables and/or the Services and, where any such warranties are held on trust, at its cost enforce such warranties in accordance with any reasonable directions that </w:t>
      </w:r>
      <w:proofErr w:type="spellStart"/>
      <w:r w:rsidR="001F1C19">
        <w:t>Netlink</w:t>
      </w:r>
      <w:proofErr w:type="spellEnd"/>
      <w:r w:rsidR="001F1C19">
        <w:t xml:space="preserve"> Star</w:t>
      </w:r>
      <w:r w:rsidRPr="000E5786">
        <w:t xml:space="preserve"> may notify from time to time to the Supplier;</w:t>
      </w:r>
      <w:bookmarkEnd w:id="145"/>
    </w:p>
    <w:p w14:paraId="5D50F546" w14:textId="12016A0A" w:rsidR="0048699F" w:rsidRPr="000E5786" w:rsidRDefault="0048699F" w:rsidP="00346A37">
      <w:pPr>
        <w:pStyle w:val="Heading3"/>
      </w:pPr>
      <w:bookmarkStart w:id="146" w:name="_Ref53584813"/>
      <w:r w:rsidRPr="000E5786">
        <w:t xml:space="preserve">unless it is unable to do so, assign to </w:t>
      </w:r>
      <w:proofErr w:type="spellStart"/>
      <w:r w:rsidR="001F1C19">
        <w:t>Netlink</w:t>
      </w:r>
      <w:proofErr w:type="spellEnd"/>
      <w:r w:rsidR="001F1C19">
        <w:t xml:space="preserve"> Star</w:t>
      </w:r>
      <w:r w:rsidRPr="000E5786">
        <w:t xml:space="preserve"> on </w:t>
      </w:r>
      <w:proofErr w:type="spellStart"/>
      <w:r w:rsidR="001F1C19">
        <w:t>Netlink</w:t>
      </w:r>
      <w:proofErr w:type="spellEnd"/>
      <w:r w:rsidR="001F1C19">
        <w:t xml:space="preserve"> Star</w:t>
      </w:r>
      <w:r w:rsidRPr="000E5786">
        <w:t>’s written</w:t>
      </w:r>
      <w:r w:rsidR="00E45124" w:rsidRPr="000E5786">
        <w:t xml:space="preserve"> </w:t>
      </w:r>
      <w:r w:rsidRPr="000E5786">
        <w:t xml:space="preserve">request and at the cost of the Supplier any such warranties and/or indemnities as are referred to in clause </w:t>
      </w:r>
      <w:r w:rsidR="00AA5A16" w:rsidRPr="000E5786">
        <w:fldChar w:fldCharType="begin"/>
      </w:r>
      <w:r w:rsidR="00AA5A16" w:rsidRPr="000E5786">
        <w:instrText xml:space="preserve">  REF _Ref53584812 \w \h \* MERGEFORMAT </w:instrText>
      </w:r>
      <w:r w:rsidR="00AA5A16" w:rsidRPr="000E5786">
        <w:fldChar w:fldCharType="separate"/>
      </w:r>
      <w:r w:rsidR="002523A8" w:rsidRPr="000E5786">
        <w:t>5.5.8</w:t>
      </w:r>
      <w:r w:rsidR="00AA5A16" w:rsidRPr="000E5786">
        <w:fldChar w:fldCharType="end"/>
      </w:r>
      <w:r w:rsidRPr="000E5786">
        <w:t>;</w:t>
      </w:r>
      <w:bookmarkEnd w:id="146"/>
    </w:p>
    <w:p w14:paraId="05DE55F3" w14:textId="3EF9809C" w:rsidR="0048699F" w:rsidRPr="000E5786" w:rsidRDefault="0048699F" w:rsidP="00346A37">
      <w:pPr>
        <w:pStyle w:val="Heading3"/>
      </w:pPr>
      <w:bookmarkStart w:id="147" w:name="_Ref53584814"/>
      <w:r w:rsidRPr="000E5786">
        <w:t xml:space="preserve">provide </w:t>
      </w:r>
      <w:proofErr w:type="spellStart"/>
      <w:r w:rsidR="001F1C19">
        <w:t>Netlink</w:t>
      </w:r>
      <w:proofErr w:type="spellEnd"/>
      <w:r w:rsidR="001F1C19">
        <w:t xml:space="preserve"> Star</w:t>
      </w:r>
      <w:r w:rsidRPr="000E5786">
        <w:t xml:space="preserve"> with such assistance as </w:t>
      </w:r>
      <w:proofErr w:type="spellStart"/>
      <w:r w:rsidR="001F1C19">
        <w:t>Netlink</w:t>
      </w:r>
      <w:proofErr w:type="spellEnd"/>
      <w:r w:rsidR="001F1C19">
        <w:t xml:space="preserve"> Star</w:t>
      </w:r>
      <w:r w:rsidRPr="000E5786">
        <w:t xml:space="preserve"> may reasonably require during the Term in respect of the supply of the </w:t>
      </w:r>
      <w:proofErr w:type="gramStart"/>
      <w:r w:rsidRPr="000E5786">
        <w:t>Services;</w:t>
      </w:r>
      <w:bookmarkEnd w:id="147"/>
      <w:proofErr w:type="gramEnd"/>
    </w:p>
    <w:p w14:paraId="7286F970" w14:textId="55A08CFC" w:rsidR="0048699F" w:rsidRPr="000E5786" w:rsidRDefault="0048699F" w:rsidP="00346A37">
      <w:pPr>
        <w:pStyle w:val="Heading3"/>
      </w:pPr>
      <w:bookmarkStart w:id="148" w:name="_Ref53584815"/>
      <w:r w:rsidRPr="000E5786">
        <w:t xml:space="preserve">gather, collate and provide such information and co-operation as </w:t>
      </w:r>
      <w:proofErr w:type="spellStart"/>
      <w:r w:rsidR="001F1C19">
        <w:t>Netlink</w:t>
      </w:r>
      <w:proofErr w:type="spellEnd"/>
      <w:r w:rsidR="001F1C19">
        <w:t xml:space="preserve"> Star</w:t>
      </w:r>
      <w:r w:rsidR="00E45124" w:rsidRPr="000E5786">
        <w:t xml:space="preserve"> </w:t>
      </w:r>
      <w:r w:rsidRPr="000E5786">
        <w:t xml:space="preserve">may reasonably request for the purposes of ascertaining the Supplier’s compliance with its obligations under this </w:t>
      </w:r>
      <w:proofErr w:type="gramStart"/>
      <w:r w:rsidRPr="000E5786">
        <w:t>Agreement;</w:t>
      </w:r>
      <w:bookmarkEnd w:id="148"/>
      <w:proofErr w:type="gramEnd"/>
    </w:p>
    <w:p w14:paraId="3F1C26AA" w14:textId="16C97ED5" w:rsidR="0048699F" w:rsidRPr="000E5786" w:rsidRDefault="0048699F" w:rsidP="00346A37">
      <w:pPr>
        <w:pStyle w:val="Heading3"/>
      </w:pPr>
      <w:bookmarkStart w:id="149" w:name="_Ref53584816"/>
      <w:r w:rsidRPr="000E5786">
        <w:t xml:space="preserve">notify </w:t>
      </w:r>
      <w:proofErr w:type="spellStart"/>
      <w:r w:rsidR="001F1C19">
        <w:t>Netlink</w:t>
      </w:r>
      <w:proofErr w:type="spellEnd"/>
      <w:r w:rsidR="001F1C19">
        <w:t xml:space="preserve"> Star</w:t>
      </w:r>
      <w:r w:rsidRPr="000E5786">
        <w:t xml:space="preserve"> in writing as soon as reasonably practicable and in any event within one (1) month of any change of Control taking </w:t>
      </w:r>
      <w:proofErr w:type="gramStart"/>
      <w:r w:rsidRPr="000E5786">
        <w:t>place;</w:t>
      </w:r>
      <w:bookmarkEnd w:id="149"/>
      <w:proofErr w:type="gramEnd"/>
    </w:p>
    <w:p w14:paraId="36040DAB" w14:textId="5D0F7D45" w:rsidR="0048699F" w:rsidRPr="000E5786" w:rsidRDefault="0048699F" w:rsidP="00346A37">
      <w:pPr>
        <w:pStyle w:val="Heading3"/>
      </w:pPr>
      <w:bookmarkStart w:id="150" w:name="_Ref53584817"/>
      <w:r w:rsidRPr="000E5786">
        <w:t xml:space="preserve">notify </w:t>
      </w:r>
      <w:proofErr w:type="spellStart"/>
      <w:r w:rsidR="001F1C19">
        <w:t>Netlink</w:t>
      </w:r>
      <w:proofErr w:type="spellEnd"/>
      <w:r w:rsidR="001F1C19">
        <w:t xml:space="preserve"> Star</w:t>
      </w:r>
      <w:r w:rsidRPr="000E5786">
        <w:t xml:space="preserve"> in writing </w:t>
      </w:r>
      <w:proofErr w:type="gramStart"/>
      <w:r w:rsidRPr="000E5786">
        <w:t xml:space="preserve">within ten </w:t>
      </w:r>
      <w:bookmarkStart w:id="151" w:name="DocXTextRef69"/>
      <w:r w:rsidRPr="000E5786">
        <w:t>(10)</w:t>
      </w:r>
      <w:bookmarkEnd w:id="151"/>
      <w:r w:rsidRPr="000E5786">
        <w:t xml:space="preserve"> Working Days of their occurrence,</w:t>
      </w:r>
      <w:proofErr w:type="gramEnd"/>
      <w:r w:rsidRPr="000E5786">
        <w:t xml:space="preserve"> of any actions, suits or proceedings or regulatory investigations before any court or administrative body or arbitration tribunal pending or, to its knowledge, threatened against it that might affect its ability to perform its obligations under this Agreement;</w:t>
      </w:r>
      <w:bookmarkEnd w:id="150"/>
    </w:p>
    <w:p w14:paraId="548D1EA7" w14:textId="4D326C7A" w:rsidR="0048699F" w:rsidRPr="000E5786" w:rsidRDefault="0048699F" w:rsidP="00346A37">
      <w:pPr>
        <w:pStyle w:val="Heading3"/>
      </w:pPr>
      <w:bookmarkStart w:id="152" w:name="_Ref53584818"/>
      <w:r w:rsidRPr="000E5786">
        <w:lastRenderedPageBreak/>
        <w:t xml:space="preserve">ensure that neither it, nor any of its Affiliates, embarrasses </w:t>
      </w:r>
      <w:proofErr w:type="spellStart"/>
      <w:r w:rsidR="001F1C19">
        <w:t>Netlink</w:t>
      </w:r>
      <w:proofErr w:type="spellEnd"/>
      <w:r w:rsidR="001F1C19">
        <w:t xml:space="preserve"> Star</w:t>
      </w:r>
      <w:r w:rsidRPr="000E5786">
        <w:t xml:space="preserve"> or otherwise brings </w:t>
      </w:r>
      <w:proofErr w:type="spellStart"/>
      <w:r w:rsidR="001F1C19">
        <w:t>Netlink</w:t>
      </w:r>
      <w:proofErr w:type="spellEnd"/>
      <w:r w:rsidR="001F1C19">
        <w:t xml:space="preserve"> Star</w:t>
      </w:r>
      <w:r w:rsidRPr="000E5786">
        <w:t xml:space="preserve"> into disrepute by engaging in any act or omission which is reasonably likely to diminish the trust that the public places in </w:t>
      </w:r>
      <w:proofErr w:type="spellStart"/>
      <w:r w:rsidR="001F1C19">
        <w:t>Netlink</w:t>
      </w:r>
      <w:proofErr w:type="spellEnd"/>
      <w:r w:rsidR="001F1C19">
        <w:t xml:space="preserve"> Star</w:t>
      </w:r>
      <w:r w:rsidRPr="000E5786">
        <w:t xml:space="preserve">, regardless of </w:t>
      </w:r>
      <w:proofErr w:type="gramStart"/>
      <w:r w:rsidRPr="000E5786">
        <w:t>whether or not</w:t>
      </w:r>
      <w:proofErr w:type="gramEnd"/>
      <w:r w:rsidRPr="000E5786">
        <w:t xml:space="preserve"> such act or omission is related to the Supplier’s obligations under this Agreement and</w:t>
      </w:r>
      <w:bookmarkEnd w:id="152"/>
    </w:p>
    <w:p w14:paraId="44DDDC16" w14:textId="37C8AD73" w:rsidR="0048699F" w:rsidRPr="000E5786" w:rsidRDefault="0048699F" w:rsidP="00346A37">
      <w:pPr>
        <w:pStyle w:val="Heading3"/>
      </w:pPr>
      <w:bookmarkStart w:id="153" w:name="_Ref53584819"/>
      <w:r w:rsidRPr="000E5786">
        <w:t xml:space="preserve">manage closure or termination of Services and end of life of Goods to take account of </w:t>
      </w:r>
      <w:proofErr w:type="spellStart"/>
      <w:r w:rsidR="001F1C19">
        <w:t>Netlink</w:t>
      </w:r>
      <w:proofErr w:type="spellEnd"/>
      <w:r w:rsidR="001F1C19">
        <w:t xml:space="preserve"> Star</w:t>
      </w:r>
      <w:r w:rsidRPr="000E5786">
        <w:t>’s disposal requirements, including recycling and scope for re-use, and all applicable Standards</w:t>
      </w:r>
      <w:bookmarkEnd w:id="153"/>
      <w:r w:rsidR="004B084A" w:rsidRPr="000E5786">
        <w:t>; and</w:t>
      </w:r>
    </w:p>
    <w:p w14:paraId="0DDD3CF8" w14:textId="74B6DF77" w:rsidR="004B084A" w:rsidRPr="000E5786" w:rsidRDefault="008446F2" w:rsidP="00346A37">
      <w:pPr>
        <w:pStyle w:val="Heading3"/>
      </w:pPr>
      <w:r w:rsidRPr="00C0214D">
        <w:rPr>
          <w:rFonts w:eastAsia="Verdana"/>
        </w:rPr>
        <w:t>comply with their respective responsibilities as set out in the RACI Matrix set out in any Project Sheet specific to a Project.</w:t>
      </w:r>
      <w:r w:rsidR="008B31EB" w:rsidRPr="000E5786">
        <w:t xml:space="preserve"> </w:t>
      </w:r>
    </w:p>
    <w:p w14:paraId="0E5115A8" w14:textId="3BDFB6D4" w:rsidR="0048699F" w:rsidRPr="000E5786" w:rsidRDefault="0048699F" w:rsidP="00DD60F0">
      <w:pPr>
        <w:pStyle w:val="Heading2"/>
        <w:spacing w:after="120"/>
        <w:rPr>
          <w:rFonts w:cs="Arial"/>
          <w:szCs w:val="20"/>
        </w:rPr>
      </w:pPr>
      <w:bookmarkStart w:id="154" w:name="_Ref53584820"/>
      <w:r w:rsidRPr="000E5786">
        <w:rPr>
          <w:rFonts w:cs="Arial"/>
          <w:szCs w:val="20"/>
        </w:rPr>
        <w:t>An obligation on the Supplier to do, or to refrain from doing, any act or thing shall include an obligation upon the Supplier to procure that all Sub-contractors and Supplier Personnel also do, or refrain from doing, such act or thing.</w:t>
      </w:r>
      <w:bookmarkEnd w:id="154"/>
    </w:p>
    <w:p w14:paraId="57B88374" w14:textId="1D14825D" w:rsidR="0048699F" w:rsidRPr="000E5786" w:rsidRDefault="0048699F" w:rsidP="00DD60F0">
      <w:pPr>
        <w:pStyle w:val="Heading2"/>
        <w:spacing w:after="120"/>
        <w:rPr>
          <w:rFonts w:cs="Arial"/>
          <w:szCs w:val="20"/>
        </w:rPr>
      </w:pPr>
      <w:bookmarkStart w:id="155" w:name="_Ref53584821"/>
      <w:r w:rsidRPr="000E5786">
        <w:rPr>
          <w:rFonts w:cs="Arial"/>
          <w:szCs w:val="20"/>
        </w:rPr>
        <w:t xml:space="preserve">Without prejudice to clauses </w:t>
      </w:r>
      <w:r w:rsidR="00AA5A16" w:rsidRPr="000E5786">
        <w:rPr>
          <w:rFonts w:cs="Arial"/>
          <w:szCs w:val="20"/>
        </w:rPr>
        <w:fldChar w:fldCharType="begin"/>
      </w:r>
      <w:r w:rsidR="00AA5A16" w:rsidRPr="000E5786">
        <w:rPr>
          <w:rFonts w:cs="Arial"/>
          <w:szCs w:val="20"/>
        </w:rPr>
        <w:instrText xml:space="preserve">  REF _Ref53585235 \w \h \* MERGEFORMAT </w:instrText>
      </w:r>
      <w:r w:rsidR="00AA5A16" w:rsidRPr="000E5786">
        <w:rPr>
          <w:rFonts w:cs="Arial"/>
          <w:szCs w:val="20"/>
        </w:rPr>
      </w:r>
      <w:r w:rsidR="00AA5A16" w:rsidRPr="000E5786">
        <w:rPr>
          <w:rFonts w:cs="Arial"/>
          <w:szCs w:val="20"/>
        </w:rPr>
        <w:fldChar w:fldCharType="separate"/>
      </w:r>
      <w:r w:rsidR="002523A8" w:rsidRPr="000E5786">
        <w:rPr>
          <w:rFonts w:cs="Arial"/>
          <w:szCs w:val="20"/>
        </w:rPr>
        <w:t>22.2</w:t>
      </w:r>
      <w:r w:rsidR="00AA5A16" w:rsidRPr="000E5786">
        <w:rPr>
          <w:rFonts w:cs="Arial"/>
          <w:szCs w:val="20"/>
        </w:rPr>
        <w:fldChar w:fldCharType="end"/>
      </w:r>
      <w:r w:rsidRPr="000E5786">
        <w:rPr>
          <w:rFonts w:cs="Arial"/>
          <w:szCs w:val="20"/>
        </w:rPr>
        <w:t xml:space="preserve"> and </w:t>
      </w:r>
      <w:r w:rsidR="00AA5A16" w:rsidRPr="000E5786">
        <w:rPr>
          <w:rFonts w:cs="Arial"/>
          <w:szCs w:val="20"/>
        </w:rPr>
        <w:fldChar w:fldCharType="begin"/>
      </w:r>
      <w:r w:rsidR="00AA5A16" w:rsidRPr="000E5786">
        <w:rPr>
          <w:rFonts w:cs="Arial"/>
          <w:szCs w:val="20"/>
        </w:rPr>
        <w:instrText xml:space="preserve">  REF _Ref53585242 \w \h \* MERGEFORMAT </w:instrText>
      </w:r>
      <w:r w:rsidR="00AA5A16" w:rsidRPr="000E5786">
        <w:rPr>
          <w:rFonts w:cs="Arial"/>
          <w:szCs w:val="20"/>
        </w:rPr>
      </w:r>
      <w:r w:rsidR="00AA5A16" w:rsidRPr="000E5786">
        <w:rPr>
          <w:rFonts w:cs="Arial"/>
          <w:szCs w:val="20"/>
        </w:rPr>
        <w:fldChar w:fldCharType="separate"/>
      </w:r>
      <w:r w:rsidR="002523A8" w:rsidRPr="000E5786">
        <w:rPr>
          <w:rFonts w:cs="Arial"/>
          <w:szCs w:val="20"/>
        </w:rPr>
        <w:t>22.3</w:t>
      </w:r>
      <w:r w:rsidR="00AA5A16" w:rsidRPr="000E5786">
        <w:rPr>
          <w:rFonts w:cs="Arial"/>
          <w:szCs w:val="20"/>
        </w:rPr>
        <w:fldChar w:fldCharType="end"/>
      </w:r>
      <w:r w:rsidRPr="000E5786">
        <w:rPr>
          <w:rFonts w:cs="Arial"/>
          <w:szCs w:val="20"/>
        </w:rPr>
        <w:t xml:space="preserve"> (IPRs Indemnity) and any other rights and remedies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howsoever arising, the Supplier shall:</w:t>
      </w:r>
      <w:bookmarkEnd w:id="155"/>
    </w:p>
    <w:p w14:paraId="5C97E689" w14:textId="4FA71CFB" w:rsidR="0048699F" w:rsidRPr="000E5786" w:rsidRDefault="0048699F" w:rsidP="00346A37">
      <w:pPr>
        <w:pStyle w:val="Heading3"/>
      </w:pPr>
      <w:bookmarkStart w:id="156" w:name="_Ref53584822"/>
      <w:r w:rsidRPr="000E5786">
        <w:t xml:space="preserve">remedy any breach of its obligations in clauses </w:t>
      </w:r>
      <w:r w:rsidR="00AA5A16" w:rsidRPr="000E5786">
        <w:fldChar w:fldCharType="begin"/>
      </w:r>
      <w:r w:rsidR="00AA5A16" w:rsidRPr="000E5786">
        <w:instrText xml:space="preserve">  REF _Ref53584800 \w \h \* MERGEFORMAT </w:instrText>
      </w:r>
      <w:r w:rsidR="00AA5A16" w:rsidRPr="000E5786">
        <w:fldChar w:fldCharType="separate"/>
      </w:r>
      <w:r w:rsidR="002523A8" w:rsidRPr="000E5786">
        <w:t>5.5.2</w:t>
      </w:r>
      <w:r w:rsidR="00AA5A16" w:rsidRPr="000E5786">
        <w:fldChar w:fldCharType="end"/>
      </w:r>
      <w:r w:rsidRPr="000E5786">
        <w:t xml:space="preserve"> to </w:t>
      </w:r>
      <w:r w:rsidR="00AA5A16" w:rsidRPr="000E5786">
        <w:fldChar w:fldCharType="begin"/>
      </w:r>
      <w:r w:rsidR="00AA5A16" w:rsidRPr="000E5786">
        <w:instrText xml:space="preserve">  REF _Ref53584809 \w \h \* MERGEFORMAT </w:instrText>
      </w:r>
      <w:r w:rsidR="00AA5A16" w:rsidRPr="000E5786">
        <w:fldChar w:fldCharType="separate"/>
      </w:r>
      <w:r w:rsidR="002523A8" w:rsidRPr="000E5786">
        <w:t>5.5.4</w:t>
      </w:r>
      <w:r w:rsidR="00AA5A16" w:rsidRPr="000E5786">
        <w:fldChar w:fldCharType="end"/>
      </w:r>
      <w:r w:rsidRPr="000E5786">
        <w:t xml:space="preserve"> inclusive within three </w:t>
      </w:r>
      <w:bookmarkStart w:id="157" w:name="DocXTextRef72"/>
      <w:r w:rsidRPr="000E5786">
        <w:t>(3)</w:t>
      </w:r>
      <w:bookmarkEnd w:id="157"/>
      <w:r w:rsidRPr="000E5786">
        <w:t xml:space="preserve"> Working Days of becoming aware of the breach or being notified of the breach by </w:t>
      </w:r>
      <w:proofErr w:type="spellStart"/>
      <w:r w:rsidR="001F1C19">
        <w:t>Netlink</w:t>
      </w:r>
      <w:proofErr w:type="spellEnd"/>
      <w:r w:rsidR="001F1C19">
        <w:t xml:space="preserve"> Star</w:t>
      </w:r>
      <w:r w:rsidRPr="000E5786">
        <w:t xml:space="preserve"> where practicable or within such other time period as may be agreed with </w:t>
      </w:r>
      <w:proofErr w:type="spellStart"/>
      <w:r w:rsidR="001F1C19">
        <w:t>Netlink</w:t>
      </w:r>
      <w:proofErr w:type="spellEnd"/>
      <w:r w:rsidR="001F1C19">
        <w:t xml:space="preserve"> Star</w:t>
      </w:r>
      <w:r w:rsidRPr="000E5786">
        <w:t xml:space="preserve"> (taking into account the nature of the breach that has occurred);</w:t>
      </w:r>
      <w:bookmarkEnd w:id="156"/>
    </w:p>
    <w:p w14:paraId="5DDB7869" w14:textId="32A26AA6" w:rsidR="0048699F" w:rsidRPr="000E5786" w:rsidRDefault="0048699F" w:rsidP="00346A37">
      <w:pPr>
        <w:pStyle w:val="Heading3"/>
      </w:pPr>
      <w:bookmarkStart w:id="158" w:name="_Ref53584823"/>
      <w:r w:rsidRPr="000E5786">
        <w:t xml:space="preserve">remedy any breach of its obligations in clause </w:t>
      </w:r>
      <w:r w:rsidR="00AA5A16" w:rsidRPr="000E5786">
        <w:fldChar w:fldCharType="begin"/>
      </w:r>
      <w:r w:rsidR="00AA5A16" w:rsidRPr="000E5786">
        <w:instrText xml:space="preserve">  REF _Ref53584799 \w \h \* MERGEFORMAT </w:instrText>
      </w:r>
      <w:r w:rsidR="00AA5A16" w:rsidRPr="000E5786">
        <w:fldChar w:fldCharType="separate"/>
      </w:r>
      <w:r w:rsidR="002523A8" w:rsidRPr="000E5786">
        <w:t>5.5.1</w:t>
      </w:r>
      <w:r w:rsidR="00AA5A16" w:rsidRPr="000E5786">
        <w:fldChar w:fldCharType="end"/>
      </w:r>
      <w:r w:rsidRPr="000E5786">
        <w:t xml:space="preserve"> and clauses </w:t>
      </w:r>
      <w:r w:rsidR="00AA5A16" w:rsidRPr="000E5786">
        <w:fldChar w:fldCharType="begin"/>
      </w:r>
      <w:r w:rsidR="00AA5A16" w:rsidRPr="000E5786">
        <w:instrText xml:space="preserve">  REF _Ref53584810 \w \h \* MERGEFORMAT </w:instrText>
      </w:r>
      <w:r w:rsidR="00AA5A16" w:rsidRPr="000E5786">
        <w:fldChar w:fldCharType="separate"/>
      </w:r>
      <w:r w:rsidR="002523A8" w:rsidRPr="000E5786">
        <w:t>5.5.5</w:t>
      </w:r>
      <w:r w:rsidR="00AA5A16" w:rsidRPr="000E5786">
        <w:fldChar w:fldCharType="end"/>
      </w:r>
      <w:r w:rsidRPr="000E5786">
        <w:t xml:space="preserve"> to </w:t>
      </w:r>
      <w:r w:rsidR="00AA5A16" w:rsidRPr="000E5786">
        <w:fldChar w:fldCharType="begin"/>
      </w:r>
      <w:r w:rsidR="00AA5A16" w:rsidRPr="000E5786">
        <w:instrText xml:space="preserve">  REF _Ref53584815 \w \h \* MERGEFORMAT </w:instrText>
      </w:r>
      <w:r w:rsidR="00AA5A16" w:rsidRPr="000E5786">
        <w:fldChar w:fldCharType="separate"/>
      </w:r>
      <w:r w:rsidR="002523A8" w:rsidRPr="000E5786">
        <w:t>5.5.11</w:t>
      </w:r>
      <w:r w:rsidR="00AA5A16" w:rsidRPr="000E5786">
        <w:fldChar w:fldCharType="end"/>
      </w:r>
      <w:r w:rsidR="00AC352D" w:rsidRPr="000E5786">
        <w:t xml:space="preserve"> </w:t>
      </w:r>
      <w:r w:rsidRPr="000E5786">
        <w:t xml:space="preserve">inclusive within twenty </w:t>
      </w:r>
      <w:bookmarkStart w:id="159" w:name="DocXTextRef75"/>
      <w:r w:rsidRPr="000E5786">
        <w:t>(20)</w:t>
      </w:r>
      <w:bookmarkEnd w:id="159"/>
      <w:r w:rsidRPr="000E5786">
        <w:t xml:space="preserve"> Working Days of becoming aware of the breach or being notified of the breach by </w:t>
      </w:r>
      <w:proofErr w:type="spellStart"/>
      <w:r w:rsidR="001F1C19">
        <w:t>Netlink</w:t>
      </w:r>
      <w:proofErr w:type="spellEnd"/>
      <w:r w:rsidR="001F1C19">
        <w:t xml:space="preserve"> Star</w:t>
      </w:r>
      <w:r w:rsidRPr="000E5786">
        <w:t>; and</w:t>
      </w:r>
      <w:bookmarkEnd w:id="158"/>
    </w:p>
    <w:p w14:paraId="47A7376D" w14:textId="177B11D3" w:rsidR="0048699F" w:rsidRPr="000E5786" w:rsidRDefault="0048699F" w:rsidP="00346A37">
      <w:pPr>
        <w:pStyle w:val="Heading3"/>
      </w:pPr>
      <w:bookmarkStart w:id="160" w:name="_Ref53584824"/>
      <w:r w:rsidRPr="000E5786">
        <w:t>meet all the costs of, and incidental to, the performance of such remedial work,</w:t>
      </w:r>
      <w:bookmarkEnd w:id="160"/>
    </w:p>
    <w:p w14:paraId="75061DEC" w14:textId="3EA62EBD" w:rsidR="0048699F" w:rsidRPr="000E5786" w:rsidRDefault="0048699F" w:rsidP="00834C1A">
      <w:pPr>
        <w:pStyle w:val="BodyText2"/>
        <w:spacing w:after="120"/>
        <w:ind w:firstLine="0"/>
        <w:rPr>
          <w:rFonts w:cs="Arial"/>
          <w:szCs w:val="20"/>
        </w:rPr>
      </w:pPr>
      <w:r w:rsidRPr="000E5786">
        <w:rPr>
          <w:rFonts w:cs="Arial"/>
          <w:szCs w:val="20"/>
        </w:rPr>
        <w:t xml:space="preserve">and any failure of the Supplier to comply with its obligations under clause </w:t>
      </w:r>
      <w:r w:rsidR="00AA5A16" w:rsidRPr="000E5786">
        <w:rPr>
          <w:rFonts w:cs="Arial"/>
          <w:szCs w:val="20"/>
        </w:rPr>
        <w:fldChar w:fldCharType="begin"/>
      </w:r>
      <w:r w:rsidR="00AA5A16" w:rsidRPr="000E5786">
        <w:rPr>
          <w:rFonts w:cs="Arial"/>
          <w:szCs w:val="20"/>
        </w:rPr>
        <w:instrText xml:space="preserve">  REF _Ref53584822 \w \h \* MERGEFORMAT </w:instrText>
      </w:r>
      <w:r w:rsidR="00AA5A16" w:rsidRPr="000E5786">
        <w:rPr>
          <w:rFonts w:cs="Arial"/>
          <w:szCs w:val="20"/>
        </w:rPr>
      </w:r>
      <w:r w:rsidR="00AA5A16" w:rsidRPr="000E5786">
        <w:rPr>
          <w:rFonts w:cs="Arial"/>
          <w:szCs w:val="20"/>
        </w:rPr>
        <w:fldChar w:fldCharType="separate"/>
      </w:r>
      <w:r w:rsidR="002523A8" w:rsidRPr="000E5786">
        <w:rPr>
          <w:rFonts w:cs="Arial"/>
          <w:szCs w:val="20"/>
        </w:rPr>
        <w:t>5.7.1</w:t>
      </w:r>
      <w:r w:rsidR="00AA5A16" w:rsidRPr="000E5786">
        <w:rPr>
          <w:rFonts w:cs="Arial"/>
          <w:szCs w:val="20"/>
        </w:rPr>
        <w:fldChar w:fldCharType="end"/>
      </w:r>
      <w:r w:rsidRPr="000E5786">
        <w:rPr>
          <w:rFonts w:cs="Arial"/>
          <w:szCs w:val="20"/>
        </w:rPr>
        <w:t xml:space="preserve"> or clause </w:t>
      </w:r>
      <w:r w:rsidR="00AA5A16" w:rsidRPr="000E5786">
        <w:rPr>
          <w:rFonts w:cs="Arial"/>
          <w:szCs w:val="20"/>
        </w:rPr>
        <w:fldChar w:fldCharType="begin"/>
      </w:r>
      <w:r w:rsidR="00AA5A16" w:rsidRPr="000E5786">
        <w:rPr>
          <w:rFonts w:cs="Arial"/>
          <w:szCs w:val="20"/>
        </w:rPr>
        <w:instrText xml:space="preserve">  REF _Ref53584823 \w \h \* MERGEFORMAT </w:instrText>
      </w:r>
      <w:r w:rsidR="00AA5A16" w:rsidRPr="000E5786">
        <w:rPr>
          <w:rFonts w:cs="Arial"/>
          <w:szCs w:val="20"/>
        </w:rPr>
      </w:r>
      <w:r w:rsidR="00AA5A16" w:rsidRPr="000E5786">
        <w:rPr>
          <w:rFonts w:cs="Arial"/>
          <w:szCs w:val="20"/>
        </w:rPr>
        <w:fldChar w:fldCharType="separate"/>
      </w:r>
      <w:r w:rsidR="002523A8" w:rsidRPr="000E5786">
        <w:rPr>
          <w:rFonts w:cs="Arial"/>
          <w:szCs w:val="20"/>
        </w:rPr>
        <w:t>5.7.2</w:t>
      </w:r>
      <w:r w:rsidR="00AA5A16" w:rsidRPr="000E5786">
        <w:rPr>
          <w:rFonts w:cs="Arial"/>
          <w:szCs w:val="20"/>
        </w:rPr>
        <w:fldChar w:fldCharType="end"/>
      </w:r>
      <w:r w:rsidRPr="000E5786">
        <w:rPr>
          <w:rFonts w:cs="Arial"/>
          <w:szCs w:val="20"/>
        </w:rPr>
        <w:t xml:space="preserve"> within the specified or agreed timeframe shall constitute a Notifiable Default.</w:t>
      </w:r>
    </w:p>
    <w:p w14:paraId="06B6D1F6" w14:textId="48919A85" w:rsidR="0048699F" w:rsidRPr="000E5786" w:rsidRDefault="0048699F" w:rsidP="00CE5734">
      <w:pPr>
        <w:pStyle w:val="BodyText"/>
        <w:spacing w:after="120"/>
        <w:ind w:left="709" w:firstLine="1"/>
        <w:rPr>
          <w:rFonts w:cs="Arial"/>
          <w:szCs w:val="20"/>
          <w:u w:val="single"/>
        </w:rPr>
      </w:pPr>
      <w:r w:rsidRPr="000E5786">
        <w:rPr>
          <w:rFonts w:cs="Arial"/>
          <w:szCs w:val="20"/>
          <w:u w:val="single"/>
        </w:rPr>
        <w:t>Software warranty</w:t>
      </w:r>
    </w:p>
    <w:p w14:paraId="2EA17B26" w14:textId="3AEABD9B" w:rsidR="0048699F" w:rsidRPr="000E5786" w:rsidRDefault="0048699F" w:rsidP="00DD60F0">
      <w:pPr>
        <w:pStyle w:val="Heading2"/>
        <w:spacing w:after="120"/>
        <w:rPr>
          <w:rFonts w:cs="Arial"/>
          <w:szCs w:val="20"/>
        </w:rPr>
      </w:pPr>
      <w:bookmarkStart w:id="161" w:name="_Ref53584825"/>
      <w:r w:rsidRPr="000E5786">
        <w:rPr>
          <w:rFonts w:cs="Arial"/>
          <w:szCs w:val="20"/>
        </w:rPr>
        <w:t xml:space="preserve">Without prejudice to clauses </w:t>
      </w:r>
      <w:r w:rsidR="000F66AC" w:rsidRPr="000E5786">
        <w:rPr>
          <w:rFonts w:cs="Arial"/>
          <w:szCs w:val="20"/>
        </w:rPr>
        <w:fldChar w:fldCharType="begin"/>
      </w:r>
      <w:r w:rsidR="000F66AC" w:rsidRPr="000E5786">
        <w:rPr>
          <w:rFonts w:cs="Arial"/>
          <w:szCs w:val="20"/>
        </w:rPr>
        <w:instrText xml:space="preserve">  REF _Ref53584819 \w \h \* MERGEFORMAT </w:instrText>
      </w:r>
      <w:r w:rsidR="000F66AC" w:rsidRPr="000E5786">
        <w:rPr>
          <w:rFonts w:cs="Arial"/>
          <w:szCs w:val="20"/>
        </w:rPr>
      </w:r>
      <w:r w:rsidR="000F66AC" w:rsidRPr="000E5786">
        <w:rPr>
          <w:rFonts w:cs="Arial"/>
          <w:szCs w:val="20"/>
        </w:rPr>
        <w:fldChar w:fldCharType="separate"/>
      </w:r>
      <w:r w:rsidR="002523A8" w:rsidRPr="000E5786">
        <w:rPr>
          <w:rFonts w:cs="Arial"/>
          <w:szCs w:val="20"/>
        </w:rPr>
        <w:t>5.5.15</w:t>
      </w:r>
      <w:r w:rsidR="000F66AC" w:rsidRPr="000E5786">
        <w:rPr>
          <w:rFonts w:cs="Arial"/>
          <w:szCs w:val="20"/>
        </w:rPr>
        <w:fldChar w:fldCharType="end"/>
      </w:r>
      <w:r w:rsidRPr="000E5786">
        <w:rPr>
          <w:rFonts w:cs="Arial"/>
          <w:szCs w:val="20"/>
        </w:rPr>
        <w:t xml:space="preserve"> and </w:t>
      </w:r>
      <w:r w:rsidR="000F66AC" w:rsidRPr="000E5786">
        <w:rPr>
          <w:rFonts w:cs="Arial"/>
          <w:szCs w:val="20"/>
        </w:rPr>
        <w:fldChar w:fldCharType="begin"/>
      </w:r>
      <w:r w:rsidR="000F66AC" w:rsidRPr="000E5786">
        <w:rPr>
          <w:rFonts w:cs="Arial"/>
          <w:szCs w:val="20"/>
        </w:rPr>
        <w:instrText xml:space="preserve">  REF _Ref53584821 \w \h \* MERGEFORMAT </w:instrText>
      </w:r>
      <w:r w:rsidR="000F66AC" w:rsidRPr="000E5786">
        <w:rPr>
          <w:rFonts w:cs="Arial"/>
          <w:szCs w:val="20"/>
        </w:rPr>
      </w:r>
      <w:r w:rsidR="000F66AC" w:rsidRPr="000E5786">
        <w:rPr>
          <w:rFonts w:cs="Arial"/>
          <w:szCs w:val="20"/>
        </w:rPr>
        <w:fldChar w:fldCharType="separate"/>
      </w:r>
      <w:r w:rsidR="002523A8" w:rsidRPr="000E5786">
        <w:rPr>
          <w:rFonts w:cs="Arial"/>
          <w:szCs w:val="20"/>
        </w:rPr>
        <w:t>5.7</w:t>
      </w:r>
      <w:r w:rsidR="000F66AC" w:rsidRPr="000E5786">
        <w:rPr>
          <w:rFonts w:cs="Arial"/>
          <w:szCs w:val="20"/>
        </w:rPr>
        <w:fldChar w:fldCharType="end"/>
      </w:r>
      <w:r w:rsidRPr="000E5786">
        <w:rPr>
          <w:rFonts w:cs="Arial"/>
          <w:szCs w:val="20"/>
        </w:rPr>
        <w:t xml:space="preserve"> (Supplier covenants) and any other rights and remedies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howsoever arising, the Supplier warrants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that all components of the Software shall:</w:t>
      </w:r>
      <w:bookmarkEnd w:id="161"/>
    </w:p>
    <w:p w14:paraId="03FE1DCD" w14:textId="6D882CB2" w:rsidR="0048699F" w:rsidRPr="000E5786" w:rsidRDefault="0048699F" w:rsidP="00346A37">
      <w:pPr>
        <w:pStyle w:val="Heading3"/>
      </w:pPr>
      <w:bookmarkStart w:id="162" w:name="_Ref53584826"/>
      <w:r w:rsidRPr="000E5786">
        <w:t xml:space="preserve">be free from material design and programming </w:t>
      </w:r>
      <w:proofErr w:type="gramStart"/>
      <w:r w:rsidRPr="000E5786">
        <w:t>errors;</w:t>
      </w:r>
      <w:bookmarkEnd w:id="162"/>
      <w:proofErr w:type="gramEnd"/>
    </w:p>
    <w:p w14:paraId="46C9EF67" w14:textId="7EE08BD9" w:rsidR="0048699F" w:rsidRPr="000E5786" w:rsidRDefault="0048699F" w:rsidP="00346A37">
      <w:pPr>
        <w:pStyle w:val="Heading3"/>
      </w:pPr>
      <w:bookmarkStart w:id="163" w:name="_Ref53584827"/>
      <w:r w:rsidRPr="000E5786">
        <w:t xml:space="preserve">provide the functionality set out in, and perform in all material respects in accordance, with the relevant specifications contained in the Services Description, the Supplier Solution and the </w:t>
      </w:r>
      <w:proofErr w:type="gramStart"/>
      <w:r w:rsidRPr="000E5786">
        <w:t>Documentation;</w:t>
      </w:r>
      <w:bookmarkEnd w:id="163"/>
      <w:proofErr w:type="gramEnd"/>
    </w:p>
    <w:p w14:paraId="4BF22985" w14:textId="51FC3855" w:rsidR="0048699F" w:rsidRPr="000E5786" w:rsidRDefault="0048699F" w:rsidP="00346A37">
      <w:pPr>
        <w:pStyle w:val="Heading3"/>
      </w:pPr>
      <w:bookmarkStart w:id="164" w:name="_Ref53584828"/>
      <w:r w:rsidRPr="000E5786">
        <w:t>interface</w:t>
      </w:r>
      <w:r w:rsidR="006A1337" w:rsidRPr="000E5786">
        <w:t>, integrate and interoperate</w:t>
      </w:r>
      <w:r w:rsidRPr="000E5786">
        <w:t xml:space="preserve"> with </w:t>
      </w:r>
      <w:r w:rsidR="00833CF5" w:rsidRPr="000E5786">
        <w:t>each other</w:t>
      </w:r>
      <w:r w:rsidR="009504CD" w:rsidRPr="000E5786">
        <w:t>, with any Software as a Service</w:t>
      </w:r>
      <w:r w:rsidR="00833CF5" w:rsidRPr="000E5786">
        <w:t xml:space="preserve"> and with </w:t>
      </w:r>
      <w:r w:rsidRPr="000E5786">
        <w:t xml:space="preserve">the </w:t>
      </w:r>
      <w:proofErr w:type="spellStart"/>
      <w:r w:rsidR="001F1C19">
        <w:t>Netlink</w:t>
      </w:r>
      <w:proofErr w:type="spellEnd"/>
      <w:r w:rsidR="001F1C19">
        <w:t xml:space="preserve"> Star</w:t>
      </w:r>
      <w:r w:rsidRPr="000E5786">
        <w:t xml:space="preserve"> System</w:t>
      </w:r>
      <w:r w:rsidR="00CA0FB3" w:rsidRPr="000E5786">
        <w:t>s</w:t>
      </w:r>
      <w:r w:rsidRPr="000E5786">
        <w:t xml:space="preserve"> as set out in the Services Description and the Supplier Solution; and</w:t>
      </w:r>
      <w:bookmarkEnd w:id="164"/>
    </w:p>
    <w:p w14:paraId="242FAAC2" w14:textId="499C2C58" w:rsidR="0048699F" w:rsidRPr="000E5786" w:rsidRDefault="0048699F" w:rsidP="00346A37">
      <w:pPr>
        <w:pStyle w:val="Heading3"/>
      </w:pPr>
      <w:bookmarkStart w:id="165" w:name="_Ref53584829"/>
      <w:r w:rsidRPr="000E5786">
        <w:t>not infringe any Intellectual Property Rights.</w:t>
      </w:r>
      <w:bookmarkEnd w:id="165"/>
    </w:p>
    <w:p w14:paraId="53B6AD57" w14:textId="6DC0F773" w:rsidR="0048699F" w:rsidRPr="000E5786" w:rsidRDefault="0048699F" w:rsidP="00CE5734">
      <w:pPr>
        <w:pStyle w:val="BodyText"/>
        <w:spacing w:after="120"/>
        <w:ind w:left="709" w:firstLine="1"/>
        <w:rPr>
          <w:rFonts w:cs="Arial"/>
          <w:szCs w:val="20"/>
          <w:u w:val="single"/>
        </w:rPr>
      </w:pPr>
      <w:r w:rsidRPr="000E5786">
        <w:rPr>
          <w:rFonts w:cs="Arial"/>
          <w:szCs w:val="20"/>
          <w:u w:val="single"/>
        </w:rPr>
        <w:t>Software as a Service</w:t>
      </w:r>
    </w:p>
    <w:p w14:paraId="2224CCC8" w14:textId="1259A4DB" w:rsidR="0048699F" w:rsidRPr="000E5786" w:rsidRDefault="0048699F" w:rsidP="00DD60F0">
      <w:pPr>
        <w:pStyle w:val="Heading2"/>
        <w:spacing w:after="120"/>
        <w:rPr>
          <w:rFonts w:cs="Arial"/>
          <w:szCs w:val="20"/>
        </w:rPr>
      </w:pPr>
      <w:bookmarkStart w:id="166" w:name="_Ref53584830"/>
      <w:r w:rsidRPr="000E5786">
        <w:rPr>
          <w:rFonts w:cs="Arial"/>
          <w:szCs w:val="20"/>
        </w:rPr>
        <w:t xml:space="preserve">In the case of any Software as a Service, such Software may be substituted for another Software as a Service or Service at any point in time and as determined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in accordance with the following principles (as applicable):</w:t>
      </w:r>
      <w:bookmarkEnd w:id="166"/>
    </w:p>
    <w:p w14:paraId="78D0D6E4" w14:textId="596F47E9" w:rsidR="0048699F" w:rsidRPr="000E5786" w:rsidRDefault="0048699F" w:rsidP="00346A37">
      <w:pPr>
        <w:pStyle w:val="Heading3"/>
      </w:pPr>
      <w:bookmarkStart w:id="167" w:name="_Ref53584831"/>
      <w:r w:rsidRPr="000E5786">
        <w:t>where:</w:t>
      </w:r>
      <w:bookmarkEnd w:id="167"/>
    </w:p>
    <w:p w14:paraId="7ED0D88B" w14:textId="0CBA31C6" w:rsidR="0048699F" w:rsidRPr="000E5786" w:rsidRDefault="0048699F" w:rsidP="00834C1A">
      <w:pPr>
        <w:pStyle w:val="Heading4"/>
        <w:tabs>
          <w:tab w:val="clear" w:pos="1702"/>
        </w:tabs>
        <w:spacing w:after="120"/>
        <w:ind w:left="2410"/>
        <w:rPr>
          <w:rFonts w:cs="Arial"/>
          <w:szCs w:val="20"/>
        </w:rPr>
      </w:pPr>
      <w:bookmarkStart w:id="168" w:name="_Ref53584832"/>
      <w:r w:rsidRPr="000E5786">
        <w:rPr>
          <w:rFonts w:cs="Arial"/>
          <w:szCs w:val="20"/>
        </w:rPr>
        <w:t xml:space="preserve">an </w:t>
      </w:r>
      <w:proofErr w:type="gramStart"/>
      <w:r w:rsidRPr="000E5786">
        <w:rPr>
          <w:rFonts w:cs="Arial"/>
          <w:szCs w:val="20"/>
        </w:rPr>
        <w:t>end of life</w:t>
      </w:r>
      <w:proofErr w:type="gramEnd"/>
      <w:r w:rsidRPr="000E5786">
        <w:rPr>
          <w:rFonts w:cs="Arial"/>
          <w:szCs w:val="20"/>
        </w:rPr>
        <w:t xml:space="preserve"> notice has been issued by the relevant manufacturer; and/or</w:t>
      </w:r>
      <w:bookmarkEnd w:id="168"/>
    </w:p>
    <w:p w14:paraId="2D10461B" w14:textId="0E1B3302" w:rsidR="0048699F" w:rsidRPr="000E5786" w:rsidRDefault="0048699F" w:rsidP="00834C1A">
      <w:pPr>
        <w:pStyle w:val="Heading4"/>
        <w:tabs>
          <w:tab w:val="clear" w:pos="1702"/>
        </w:tabs>
        <w:spacing w:after="120"/>
        <w:ind w:left="2410"/>
        <w:rPr>
          <w:rFonts w:cs="Arial"/>
          <w:szCs w:val="20"/>
        </w:rPr>
      </w:pPr>
      <w:bookmarkStart w:id="169" w:name="_Ref53584833"/>
      <w:r w:rsidRPr="000E5786">
        <w:rPr>
          <w:rFonts w:cs="Arial"/>
          <w:szCs w:val="20"/>
        </w:rPr>
        <w:t>the Software as a Service is no longer going to be supported in the market generally at a reasonable price,</w:t>
      </w:r>
      <w:bookmarkEnd w:id="169"/>
    </w:p>
    <w:p w14:paraId="645E4C27" w14:textId="1A4A733A" w:rsidR="0048699F" w:rsidRPr="000E5786" w:rsidRDefault="0048699F" w:rsidP="00834C1A">
      <w:pPr>
        <w:pStyle w:val="BodyText3"/>
        <w:spacing w:after="120"/>
        <w:ind w:firstLine="0"/>
        <w:rPr>
          <w:rFonts w:cs="Arial"/>
          <w:szCs w:val="20"/>
        </w:rPr>
      </w:pPr>
      <w:r w:rsidRPr="000E5786">
        <w:rPr>
          <w:rFonts w:cs="Arial"/>
          <w:szCs w:val="20"/>
        </w:rPr>
        <w:t xml:space="preserve">in which case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can require the Supplier to replace the Software as a Service with an equivalent or successor software / cloud software which is envisaged to deliver the same or similar output or </w:t>
      </w:r>
      <w:proofErr w:type="gramStart"/>
      <w:r w:rsidRPr="000E5786">
        <w:rPr>
          <w:rFonts w:cs="Arial"/>
          <w:szCs w:val="20"/>
        </w:rPr>
        <w:t>functionality;</w:t>
      </w:r>
      <w:proofErr w:type="gramEnd"/>
    </w:p>
    <w:p w14:paraId="109C65EA" w14:textId="09D4EC1C" w:rsidR="0048699F" w:rsidRPr="000E5786" w:rsidRDefault="0048699F" w:rsidP="00346A37">
      <w:pPr>
        <w:pStyle w:val="Heading3"/>
      </w:pPr>
      <w:bookmarkStart w:id="170" w:name="_Ref53584834"/>
      <w:r w:rsidRPr="000E5786">
        <w:lastRenderedPageBreak/>
        <w:t xml:space="preserve">a new version or release of the Software as a Service has been issued, in which case </w:t>
      </w:r>
      <w:proofErr w:type="spellStart"/>
      <w:r w:rsidR="001F1C19">
        <w:t>Netlink</w:t>
      </w:r>
      <w:proofErr w:type="spellEnd"/>
      <w:r w:rsidR="001F1C19">
        <w:t xml:space="preserve"> Star</w:t>
      </w:r>
      <w:r w:rsidRPr="000E5786">
        <w:t xml:space="preserve"> may require the Supplier to replace the Software as a Service with the new version or release (or equivalent) and/or may simply add the new version or release (or equivalent) as an additional option (as well as the release or version currently set out in the list) for purchase by </w:t>
      </w:r>
      <w:proofErr w:type="spellStart"/>
      <w:r w:rsidR="001F1C19">
        <w:t>Netlink</w:t>
      </w:r>
      <w:proofErr w:type="spellEnd"/>
      <w:r w:rsidR="001F1C19">
        <w:t xml:space="preserve"> Star</w:t>
      </w:r>
      <w:r w:rsidRPr="000E5786">
        <w:t xml:space="preserve"> in accordance with this Agreement;</w:t>
      </w:r>
      <w:bookmarkEnd w:id="170"/>
    </w:p>
    <w:p w14:paraId="5AFE6B24" w14:textId="5000EBFC" w:rsidR="0048699F" w:rsidRPr="000E5786" w:rsidRDefault="0048699F" w:rsidP="00346A37">
      <w:pPr>
        <w:pStyle w:val="Heading3"/>
      </w:pPr>
      <w:bookmarkStart w:id="171" w:name="_Ref53584835"/>
      <w:r w:rsidRPr="000E5786">
        <w:t xml:space="preserve">a successor software and/or replacement software and/or type of software has been issued to the market, in which case </w:t>
      </w:r>
      <w:proofErr w:type="spellStart"/>
      <w:r w:rsidR="001F1C19">
        <w:t>Netlink</w:t>
      </w:r>
      <w:proofErr w:type="spellEnd"/>
      <w:r w:rsidR="001F1C19">
        <w:t xml:space="preserve"> Star</w:t>
      </w:r>
      <w:r w:rsidRPr="000E5786">
        <w:t xml:space="preserve"> may require the Supplier to replace the Software as a Service with the successor product or replacement product or type of product and/or may simply add the successor software as an additional option for purchase by </w:t>
      </w:r>
      <w:proofErr w:type="spellStart"/>
      <w:r w:rsidR="001F1C19">
        <w:t>Netlink</w:t>
      </w:r>
      <w:proofErr w:type="spellEnd"/>
      <w:r w:rsidR="001F1C19">
        <w:t xml:space="preserve"> Star</w:t>
      </w:r>
      <w:r w:rsidRPr="000E5786">
        <w:t xml:space="preserve"> in accordance with this Agreement, in each case which is envisaged to deliver the same or similar output or functionality; and/or</w:t>
      </w:r>
      <w:bookmarkEnd w:id="171"/>
    </w:p>
    <w:p w14:paraId="6D613990" w14:textId="1B92D7C7" w:rsidR="0048699F" w:rsidRPr="000E5786" w:rsidRDefault="0048699F" w:rsidP="00346A37">
      <w:pPr>
        <w:pStyle w:val="Heading3"/>
      </w:pPr>
      <w:bookmarkStart w:id="172" w:name="_Ref53584836"/>
      <w:r w:rsidRPr="000E5786">
        <w:t xml:space="preserve">a new or evolving or successor technology or type of software has been issued to the market, in which case </w:t>
      </w:r>
      <w:proofErr w:type="spellStart"/>
      <w:r w:rsidR="001F1C19">
        <w:t>Netlink</w:t>
      </w:r>
      <w:proofErr w:type="spellEnd"/>
      <w:r w:rsidR="001F1C19">
        <w:t xml:space="preserve"> Star</w:t>
      </w:r>
      <w:r w:rsidRPr="000E5786">
        <w:t xml:space="preserve"> can add such new or evolving or successor technology or type of software to the existing Software as a Service, in each case which is envisaged to deliver the same or similar output or functionality.</w:t>
      </w:r>
      <w:bookmarkEnd w:id="172"/>
    </w:p>
    <w:p w14:paraId="45EA4252" w14:textId="5E00F65F" w:rsidR="0048699F" w:rsidRPr="000E5786" w:rsidRDefault="0048699F" w:rsidP="00CE5734">
      <w:pPr>
        <w:pStyle w:val="BodyText"/>
        <w:spacing w:after="120"/>
        <w:ind w:left="709" w:firstLine="1"/>
        <w:rPr>
          <w:rFonts w:cs="Arial"/>
          <w:szCs w:val="20"/>
          <w:u w:val="single"/>
        </w:rPr>
      </w:pPr>
      <w:r w:rsidRPr="000E5786">
        <w:rPr>
          <w:rFonts w:cs="Arial"/>
          <w:szCs w:val="20"/>
          <w:u w:val="single"/>
        </w:rPr>
        <w:t xml:space="preserve">Continuing obligation to provide the </w:t>
      </w:r>
      <w:proofErr w:type="gramStart"/>
      <w:r w:rsidRPr="000E5786">
        <w:rPr>
          <w:rFonts w:cs="Arial"/>
          <w:szCs w:val="20"/>
          <w:u w:val="single"/>
        </w:rPr>
        <w:t>Services</w:t>
      </w:r>
      <w:proofErr w:type="gramEnd"/>
    </w:p>
    <w:p w14:paraId="46FF2B1D" w14:textId="74A7D9FA" w:rsidR="0048699F" w:rsidRPr="000E5786" w:rsidRDefault="0048699F" w:rsidP="00DD60F0">
      <w:pPr>
        <w:pStyle w:val="Heading2"/>
        <w:spacing w:after="120"/>
        <w:rPr>
          <w:rFonts w:cs="Arial"/>
          <w:szCs w:val="20"/>
        </w:rPr>
      </w:pPr>
      <w:bookmarkStart w:id="173" w:name="_Ref53584837"/>
      <w:r w:rsidRPr="000E5786">
        <w:rPr>
          <w:rFonts w:cs="Arial"/>
          <w:szCs w:val="20"/>
        </w:rPr>
        <w:t xml:space="preserve">The Supplier shall continue to perform </w:t>
      </w:r>
      <w:proofErr w:type="gramStart"/>
      <w:r w:rsidRPr="000E5786">
        <w:rPr>
          <w:rFonts w:cs="Arial"/>
          <w:szCs w:val="20"/>
        </w:rPr>
        <w:t>all of</w:t>
      </w:r>
      <w:proofErr w:type="gramEnd"/>
      <w:r w:rsidRPr="000E5786">
        <w:rPr>
          <w:rFonts w:cs="Arial"/>
          <w:szCs w:val="20"/>
        </w:rPr>
        <w:t xml:space="preserve"> its obligations under this Agreement and shall not suspend the supply of the Services, notwithstanding:</w:t>
      </w:r>
      <w:bookmarkEnd w:id="173"/>
    </w:p>
    <w:p w14:paraId="36A4219B" w14:textId="5A61C74D" w:rsidR="0048699F" w:rsidRPr="000E5786" w:rsidRDefault="0048699F" w:rsidP="00346A37">
      <w:pPr>
        <w:pStyle w:val="Heading3"/>
      </w:pPr>
      <w:bookmarkStart w:id="174" w:name="_Ref53584838"/>
      <w:r w:rsidRPr="000E5786">
        <w:t xml:space="preserve">any withholding of the Service Charges by </w:t>
      </w:r>
      <w:proofErr w:type="spellStart"/>
      <w:r w:rsidR="001F1C19">
        <w:t>Netlink</w:t>
      </w:r>
      <w:proofErr w:type="spellEnd"/>
      <w:r w:rsidR="001F1C19">
        <w:t xml:space="preserve"> Star</w:t>
      </w:r>
      <w:r w:rsidRPr="000E5786">
        <w:t xml:space="preserve"> pursuant to clause</w:t>
      </w:r>
      <w:r w:rsidR="00E62E91" w:rsidRPr="000E5786">
        <w:t xml:space="preserve"> </w:t>
      </w:r>
      <w:r w:rsidR="000F66AC" w:rsidRPr="000E5786">
        <w:fldChar w:fldCharType="begin"/>
      </w:r>
      <w:r w:rsidR="000F66AC" w:rsidRPr="000E5786">
        <w:instrText xml:space="preserve">  REF _Ref53584877 \w \h \* MERGEFORMAT </w:instrText>
      </w:r>
      <w:r w:rsidR="000F66AC" w:rsidRPr="000E5786">
        <w:fldChar w:fldCharType="separate"/>
      </w:r>
      <w:r w:rsidR="002523A8" w:rsidRPr="000E5786">
        <w:t>8.2.3(b)</w:t>
      </w:r>
      <w:r w:rsidR="000F66AC" w:rsidRPr="000E5786">
        <w:fldChar w:fldCharType="end"/>
      </w:r>
      <w:r w:rsidRPr="000E5786">
        <w:t xml:space="preserve"> (Performance Failures</w:t>
      </w:r>
      <w:proofErr w:type="gramStart"/>
      <w:r w:rsidRPr="000E5786">
        <w:rPr>
          <w:i/>
        </w:rPr>
        <w:t>)</w:t>
      </w:r>
      <w:r w:rsidRPr="000E5786">
        <w:t>;</w:t>
      </w:r>
      <w:bookmarkEnd w:id="174"/>
      <w:proofErr w:type="gramEnd"/>
    </w:p>
    <w:p w14:paraId="36443FCF" w14:textId="1697CA8E" w:rsidR="00E62E91" w:rsidRPr="000E5786" w:rsidRDefault="0048699F" w:rsidP="00346A37">
      <w:pPr>
        <w:pStyle w:val="Heading3"/>
      </w:pPr>
      <w:bookmarkStart w:id="175" w:name="_Ref53584839"/>
      <w:r w:rsidRPr="000E5786">
        <w:t>the existence of an unresolved Dispute; and/or</w:t>
      </w:r>
      <w:bookmarkEnd w:id="175"/>
      <w:r w:rsidRPr="000E5786">
        <w:rPr>
          <w:rFonts w:eastAsia="Arial"/>
        </w:rPr>
        <w:tab/>
      </w:r>
    </w:p>
    <w:p w14:paraId="51A9FC3E" w14:textId="5E51B3B5" w:rsidR="0048699F" w:rsidRPr="000E5786" w:rsidRDefault="0048699F" w:rsidP="00346A37">
      <w:pPr>
        <w:pStyle w:val="Heading3"/>
      </w:pPr>
      <w:bookmarkStart w:id="176" w:name="_Ref53584840"/>
      <w:r w:rsidRPr="000E5786">
        <w:t xml:space="preserve">any failure by </w:t>
      </w:r>
      <w:proofErr w:type="spellStart"/>
      <w:r w:rsidR="001F1C19">
        <w:t>Netlink</w:t>
      </w:r>
      <w:proofErr w:type="spellEnd"/>
      <w:r w:rsidR="001F1C19">
        <w:t xml:space="preserve"> Star</w:t>
      </w:r>
      <w:r w:rsidRPr="000E5786">
        <w:t xml:space="preserve"> to pay any Charges,</w:t>
      </w:r>
      <w:bookmarkEnd w:id="176"/>
    </w:p>
    <w:p w14:paraId="013EB490" w14:textId="112B7379" w:rsidR="0048699F" w:rsidRPr="000E5786" w:rsidRDefault="0048699F" w:rsidP="00834C1A">
      <w:pPr>
        <w:pStyle w:val="BodyText2"/>
        <w:spacing w:after="120"/>
        <w:ind w:firstLine="0"/>
        <w:rPr>
          <w:rFonts w:cs="Arial"/>
          <w:szCs w:val="20"/>
        </w:rPr>
      </w:pPr>
      <w:r w:rsidRPr="000E5786">
        <w:rPr>
          <w:rFonts w:cs="Arial"/>
          <w:szCs w:val="20"/>
        </w:rPr>
        <w:t xml:space="preserve">unless the Supplier is entitled to terminate this Agreement under clause </w:t>
      </w:r>
      <w:r w:rsidR="000F66AC" w:rsidRPr="000E5786">
        <w:rPr>
          <w:rFonts w:cs="Arial"/>
          <w:szCs w:val="20"/>
        </w:rPr>
        <w:fldChar w:fldCharType="begin"/>
      </w:r>
      <w:r w:rsidR="000F66AC" w:rsidRPr="000E5786">
        <w:rPr>
          <w:rFonts w:cs="Arial"/>
          <w:szCs w:val="20"/>
        </w:rPr>
        <w:instrText xml:space="preserve">  REF _Ref53585556 \w \h \* MERGEFORMAT </w:instrText>
      </w:r>
      <w:r w:rsidR="000F66AC" w:rsidRPr="000E5786">
        <w:rPr>
          <w:rFonts w:cs="Arial"/>
          <w:szCs w:val="20"/>
        </w:rPr>
      </w:r>
      <w:r w:rsidR="000F66AC" w:rsidRPr="000E5786">
        <w:rPr>
          <w:rFonts w:cs="Arial"/>
          <w:szCs w:val="20"/>
        </w:rPr>
        <w:fldChar w:fldCharType="separate"/>
      </w:r>
      <w:r w:rsidR="002523A8" w:rsidRPr="000E5786">
        <w:rPr>
          <w:rFonts w:cs="Arial"/>
          <w:szCs w:val="20"/>
        </w:rPr>
        <w:t>36.3.1</w:t>
      </w:r>
      <w:r w:rsidR="000F66AC" w:rsidRPr="000E5786">
        <w:rPr>
          <w:rFonts w:cs="Arial"/>
          <w:szCs w:val="20"/>
        </w:rPr>
        <w:fldChar w:fldCharType="end"/>
      </w:r>
      <w:r w:rsidRPr="000E5786">
        <w:rPr>
          <w:rFonts w:cs="Arial"/>
          <w:szCs w:val="20"/>
        </w:rPr>
        <w:t xml:space="preserve"> (Termination by the Supplier) for failure to pay undisputed Charges.</w:t>
      </w:r>
    </w:p>
    <w:p w14:paraId="5DA1AA37" w14:textId="26DE1B13" w:rsidR="0048699F" w:rsidRPr="000E5786" w:rsidRDefault="0048699F" w:rsidP="00CE5734">
      <w:pPr>
        <w:pStyle w:val="BodyText"/>
        <w:spacing w:after="120"/>
        <w:ind w:left="709" w:firstLine="1"/>
        <w:rPr>
          <w:rFonts w:cs="Arial"/>
          <w:szCs w:val="20"/>
          <w:u w:val="single"/>
        </w:rPr>
      </w:pPr>
      <w:r w:rsidRPr="000E5786">
        <w:rPr>
          <w:rFonts w:cs="Arial"/>
          <w:szCs w:val="20"/>
          <w:u w:val="single"/>
        </w:rPr>
        <w:t>Optional Services</w:t>
      </w:r>
    </w:p>
    <w:p w14:paraId="1E0BD8C6" w14:textId="05455312" w:rsidR="0048699F" w:rsidRPr="000E5786" w:rsidRDefault="001F1C19" w:rsidP="00DD60F0">
      <w:pPr>
        <w:pStyle w:val="Heading2"/>
        <w:spacing w:after="120"/>
        <w:rPr>
          <w:rFonts w:cs="Arial"/>
          <w:szCs w:val="20"/>
        </w:rPr>
      </w:pPr>
      <w:bookmarkStart w:id="177" w:name="_Ref53584841"/>
      <w:proofErr w:type="spellStart"/>
      <w:r>
        <w:rPr>
          <w:rFonts w:cs="Arial"/>
          <w:szCs w:val="20"/>
        </w:rPr>
        <w:t>Netlink</w:t>
      </w:r>
      <w:proofErr w:type="spellEnd"/>
      <w:r>
        <w:rPr>
          <w:rFonts w:cs="Arial"/>
          <w:szCs w:val="20"/>
        </w:rPr>
        <w:t xml:space="preserve"> Star</w:t>
      </w:r>
      <w:r w:rsidR="0048699F" w:rsidRPr="000E5786">
        <w:rPr>
          <w:rFonts w:cs="Arial"/>
          <w:szCs w:val="20"/>
        </w:rPr>
        <w:t xml:space="preserve"> may require the Supplier to provide any or </w:t>
      </w:r>
      <w:proofErr w:type="gramStart"/>
      <w:r w:rsidR="0048699F" w:rsidRPr="000E5786">
        <w:rPr>
          <w:rFonts w:cs="Arial"/>
          <w:szCs w:val="20"/>
        </w:rPr>
        <w:t>all of</w:t>
      </w:r>
      <w:proofErr w:type="gramEnd"/>
      <w:r w:rsidR="0048699F" w:rsidRPr="000E5786">
        <w:rPr>
          <w:rFonts w:cs="Arial"/>
          <w:szCs w:val="20"/>
        </w:rPr>
        <w:t xml:space="preserve"> the Optional Services at any time by giving notice to the Supplier in writing.</w:t>
      </w:r>
      <w:r w:rsidR="000578A4" w:rsidRPr="000E5786">
        <w:rPr>
          <w:rFonts w:cs="Arial"/>
          <w:szCs w:val="20"/>
        </w:rPr>
        <w:t xml:space="preserve"> </w:t>
      </w:r>
      <w:r w:rsidR="0048699F" w:rsidRPr="000E5786">
        <w:rPr>
          <w:rFonts w:cs="Arial"/>
          <w:szCs w:val="20"/>
        </w:rPr>
        <w:t xml:space="preserve">The Supplier acknowledges that </w:t>
      </w:r>
      <w:proofErr w:type="spellStart"/>
      <w:r>
        <w:rPr>
          <w:rFonts w:cs="Arial"/>
          <w:szCs w:val="20"/>
        </w:rPr>
        <w:t>Netlink</w:t>
      </w:r>
      <w:proofErr w:type="spellEnd"/>
      <w:r>
        <w:rPr>
          <w:rFonts w:cs="Arial"/>
          <w:szCs w:val="20"/>
        </w:rPr>
        <w:t xml:space="preserve"> Star</w:t>
      </w:r>
      <w:r w:rsidR="0048699F" w:rsidRPr="000E5786">
        <w:rPr>
          <w:rFonts w:cs="Arial"/>
          <w:szCs w:val="20"/>
        </w:rPr>
        <w:t xml:space="preserve"> is not obliged to take any Optional Services from the Supplier and that nothing shall prevent </w:t>
      </w:r>
      <w:proofErr w:type="spellStart"/>
      <w:r>
        <w:rPr>
          <w:rFonts w:cs="Arial"/>
          <w:szCs w:val="20"/>
        </w:rPr>
        <w:t>Netlink</w:t>
      </w:r>
      <w:proofErr w:type="spellEnd"/>
      <w:r>
        <w:rPr>
          <w:rFonts w:cs="Arial"/>
          <w:szCs w:val="20"/>
        </w:rPr>
        <w:t xml:space="preserve"> Star</w:t>
      </w:r>
      <w:r w:rsidR="0048699F" w:rsidRPr="000E5786">
        <w:rPr>
          <w:rFonts w:cs="Arial"/>
          <w:szCs w:val="20"/>
        </w:rPr>
        <w:t xml:space="preserve"> from receiving services that are the same as or </w:t>
      </w:r>
      <w:proofErr w:type="gramStart"/>
      <w:r w:rsidR="0048699F" w:rsidRPr="000E5786">
        <w:rPr>
          <w:rFonts w:cs="Arial"/>
          <w:szCs w:val="20"/>
        </w:rPr>
        <w:t>similar to</w:t>
      </w:r>
      <w:proofErr w:type="gramEnd"/>
      <w:r w:rsidR="0048699F" w:rsidRPr="000E5786">
        <w:rPr>
          <w:rFonts w:cs="Arial"/>
          <w:szCs w:val="20"/>
        </w:rPr>
        <w:t xml:space="preserve"> the Optional Services from any third party.</w:t>
      </w:r>
      <w:bookmarkEnd w:id="177"/>
    </w:p>
    <w:p w14:paraId="4787EC3C" w14:textId="7001E862" w:rsidR="0048699F" w:rsidRPr="000E5786" w:rsidRDefault="0048699F" w:rsidP="00DD60F0">
      <w:pPr>
        <w:pStyle w:val="Heading2"/>
        <w:spacing w:after="120"/>
        <w:rPr>
          <w:rFonts w:cs="Arial"/>
          <w:szCs w:val="20"/>
        </w:rPr>
      </w:pPr>
      <w:bookmarkStart w:id="178" w:name="_Ref53584842"/>
      <w:r w:rsidRPr="000E5786">
        <w:rPr>
          <w:rFonts w:cs="Arial"/>
          <w:szCs w:val="20"/>
        </w:rPr>
        <w:t>If a Change Request is submitted, the Supplier shall, as part of the Impact Assessment provided by the Supplier in relation to such Change Request, provide details of the impact (if any) that the proposed Change will have on the relevant Optional Services.</w:t>
      </w:r>
      <w:bookmarkEnd w:id="178"/>
    </w:p>
    <w:p w14:paraId="447E9E80" w14:textId="38300610" w:rsidR="0048699F" w:rsidRPr="000E5786" w:rsidRDefault="0048699F" w:rsidP="00DD60F0">
      <w:pPr>
        <w:pStyle w:val="Heading2"/>
        <w:spacing w:after="120"/>
        <w:rPr>
          <w:rFonts w:cs="Arial"/>
          <w:szCs w:val="20"/>
        </w:rPr>
      </w:pPr>
      <w:bookmarkStart w:id="179" w:name="_Ref53584843"/>
      <w:r w:rsidRPr="000E5786">
        <w:rPr>
          <w:rFonts w:cs="Arial"/>
          <w:szCs w:val="20"/>
        </w:rPr>
        <w:t xml:space="preserve">Following receipt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notice pursuant to clause </w:t>
      </w:r>
      <w:r w:rsidR="000F66AC" w:rsidRPr="000E5786">
        <w:rPr>
          <w:rFonts w:cs="Arial"/>
          <w:szCs w:val="20"/>
        </w:rPr>
        <w:fldChar w:fldCharType="begin"/>
      </w:r>
      <w:r w:rsidR="000F66AC" w:rsidRPr="000E5786">
        <w:rPr>
          <w:rFonts w:cs="Arial"/>
          <w:szCs w:val="20"/>
        </w:rPr>
        <w:instrText xml:space="preserve">  REF _Ref53584841 \w \h \* MERGEFORMAT </w:instrText>
      </w:r>
      <w:r w:rsidR="000F66AC" w:rsidRPr="000E5786">
        <w:rPr>
          <w:rFonts w:cs="Arial"/>
          <w:szCs w:val="20"/>
        </w:rPr>
      </w:r>
      <w:r w:rsidR="000F66AC" w:rsidRPr="000E5786">
        <w:rPr>
          <w:rFonts w:cs="Arial"/>
          <w:szCs w:val="20"/>
        </w:rPr>
        <w:fldChar w:fldCharType="separate"/>
      </w:r>
      <w:r w:rsidR="002523A8" w:rsidRPr="000E5786">
        <w:rPr>
          <w:rFonts w:cs="Arial"/>
          <w:szCs w:val="20"/>
        </w:rPr>
        <w:t>5.11</w:t>
      </w:r>
      <w:r w:rsidR="000F66AC" w:rsidRPr="000E5786">
        <w:rPr>
          <w:rFonts w:cs="Arial"/>
          <w:szCs w:val="20"/>
        </w:rPr>
        <w:fldChar w:fldCharType="end"/>
      </w:r>
      <w:r w:rsidRPr="000E5786">
        <w:rPr>
          <w:rFonts w:cs="Arial"/>
          <w:szCs w:val="20"/>
        </w:rPr>
        <w:t>:</w:t>
      </w:r>
      <w:bookmarkEnd w:id="179"/>
    </w:p>
    <w:p w14:paraId="48937322" w14:textId="6509A685" w:rsidR="0048699F" w:rsidRPr="000E5786" w:rsidRDefault="0048699F" w:rsidP="00346A37">
      <w:pPr>
        <w:pStyle w:val="Heading3"/>
      </w:pPr>
      <w:bookmarkStart w:id="180" w:name="_Ref53584844"/>
      <w:r w:rsidRPr="000E5786">
        <w:t xml:space="preserve">the Parties shall document the inclusion of the relevant Optional Services within the Services in accordance with the Change Control Procedure, modified to reflect the fact that the terms and conditions on which the Supplier shall provide the relevant Optional Services have already been </w:t>
      </w:r>
      <w:proofErr w:type="gramStart"/>
      <w:r w:rsidRPr="000E5786">
        <w:t>agreed;</w:t>
      </w:r>
      <w:bookmarkEnd w:id="180"/>
      <w:proofErr w:type="gramEnd"/>
    </w:p>
    <w:p w14:paraId="5BB4C900" w14:textId="610F6AA4" w:rsidR="0048699F" w:rsidRPr="000E5786" w:rsidRDefault="0048699F" w:rsidP="00346A37">
      <w:pPr>
        <w:pStyle w:val="Heading3"/>
      </w:pPr>
      <w:bookmarkStart w:id="181" w:name="_Ref53584845"/>
      <w:r w:rsidRPr="000E5786">
        <w:t xml:space="preserve">the Supplier shall implement and </w:t>
      </w:r>
      <w:proofErr w:type="gramStart"/>
      <w:r w:rsidRPr="000E5786">
        <w:t>Test</w:t>
      </w:r>
      <w:proofErr w:type="gramEnd"/>
      <w:r w:rsidRPr="000E5786">
        <w:t xml:space="preserve"> the relevant Optional Services in accordance with the Optional Services Implementation Plan;</w:t>
      </w:r>
      <w:bookmarkEnd w:id="181"/>
    </w:p>
    <w:p w14:paraId="418FE32F" w14:textId="1B3C6121" w:rsidR="0048699F" w:rsidRPr="000E5786" w:rsidRDefault="0048699F" w:rsidP="00346A37">
      <w:pPr>
        <w:pStyle w:val="Heading3"/>
      </w:pPr>
      <w:bookmarkStart w:id="182" w:name="_Ref53584846"/>
      <w:r w:rsidRPr="000E5786">
        <w:t xml:space="preserve">any additional charges for the Optional Services shall be incorporated in the Charges as specified in Paragraph </w:t>
      </w:r>
      <w:bookmarkStart w:id="183" w:name="DocXTextRef87"/>
      <w:r w:rsidRPr="000E5786">
        <w:t>3</w:t>
      </w:r>
      <w:bookmarkEnd w:id="183"/>
      <w:r w:rsidRPr="000E5786">
        <w:t xml:space="preserve"> of </w:t>
      </w:r>
      <w:bookmarkStart w:id="184" w:name="DocXTextRef88"/>
      <w:r w:rsidRPr="000E5786">
        <w:t>Part B</w:t>
      </w:r>
      <w:bookmarkEnd w:id="184"/>
      <w:r w:rsidRPr="000E5786">
        <w:t xml:space="preserve"> of </w:t>
      </w:r>
      <w:bookmarkStart w:id="185" w:name="DocXTextRef86"/>
      <w:r w:rsidRPr="000E5786">
        <w:t>Schedule 7.1</w:t>
      </w:r>
      <w:bookmarkEnd w:id="185"/>
      <w:r w:rsidRPr="000E5786">
        <w:t xml:space="preserve"> (Charges and Invoicing); and</w:t>
      </w:r>
      <w:bookmarkEnd w:id="182"/>
    </w:p>
    <w:p w14:paraId="480B6847" w14:textId="26A7D224" w:rsidR="0048699F" w:rsidRPr="000E5786" w:rsidRDefault="0048699F" w:rsidP="00346A37">
      <w:pPr>
        <w:pStyle w:val="Heading3"/>
      </w:pPr>
      <w:bookmarkStart w:id="186" w:name="_Ref53584847"/>
      <w:r w:rsidRPr="000E5786">
        <w:t xml:space="preserve">the Supplier shall, from the date agreed in the Optional Services Implementation Plan (or, if later, the date of Achievement of any Milestones associated with the commencement of the relevant Optional Services (if any)), provide the relevant Optional Services to meet or exceed the applicable Target Performance Level in respect of all Performance Indicators applicable to the Optional Services as set out in Annex </w:t>
      </w:r>
      <w:bookmarkStart w:id="187" w:name="DocXTextRef89"/>
      <w:r w:rsidRPr="000E5786">
        <w:t>1</w:t>
      </w:r>
      <w:bookmarkEnd w:id="187"/>
      <w:r w:rsidRPr="000E5786">
        <w:t xml:space="preserve"> of </w:t>
      </w:r>
      <w:bookmarkStart w:id="188" w:name="DocXTextRef90"/>
      <w:r w:rsidRPr="000E5786">
        <w:t>Schedule 2.2</w:t>
      </w:r>
      <w:bookmarkEnd w:id="188"/>
      <w:r w:rsidRPr="000E5786">
        <w:t xml:space="preserve"> (</w:t>
      </w:r>
      <w:r w:rsidR="008446F2">
        <w:t>Service</w:t>
      </w:r>
      <w:r w:rsidR="008446F2" w:rsidRPr="000E5786">
        <w:t xml:space="preserve"> </w:t>
      </w:r>
      <w:r w:rsidRPr="000E5786">
        <w:t>Levels).</w:t>
      </w:r>
      <w:bookmarkEnd w:id="186"/>
    </w:p>
    <w:p w14:paraId="3C9DEA50" w14:textId="7F67D43C" w:rsidR="004551A1" w:rsidRPr="000E5786" w:rsidRDefault="004551A1" w:rsidP="00CE5734">
      <w:pPr>
        <w:pStyle w:val="BodyText"/>
        <w:spacing w:after="120"/>
        <w:ind w:left="709" w:firstLine="1"/>
        <w:rPr>
          <w:rFonts w:cs="Arial"/>
          <w:szCs w:val="20"/>
          <w:u w:val="single"/>
        </w:rPr>
      </w:pPr>
      <w:r w:rsidRPr="000E5786">
        <w:rPr>
          <w:rFonts w:cs="Arial"/>
          <w:szCs w:val="20"/>
          <w:u w:val="single"/>
        </w:rPr>
        <w:t>Project Services</w:t>
      </w:r>
    </w:p>
    <w:p w14:paraId="3280C371" w14:textId="1B34AAEE" w:rsidR="004551A1" w:rsidRPr="000E5786" w:rsidRDefault="005B399B" w:rsidP="00DD60F0">
      <w:pPr>
        <w:pStyle w:val="Heading2"/>
        <w:spacing w:after="120"/>
        <w:rPr>
          <w:rFonts w:cs="Arial"/>
          <w:szCs w:val="20"/>
        </w:rPr>
      </w:pPr>
      <w:bookmarkStart w:id="189" w:name="_Ref54958074"/>
      <w:r w:rsidRPr="000E5786">
        <w:rPr>
          <w:rFonts w:cs="Arial"/>
          <w:szCs w:val="20"/>
        </w:rPr>
        <w:lastRenderedPageBreak/>
        <w:t>If a</w:t>
      </w:r>
      <w:r w:rsidR="00F5732E" w:rsidRPr="000E5786">
        <w:rPr>
          <w:rFonts w:cs="Arial"/>
          <w:szCs w:val="20"/>
        </w:rPr>
        <w:t xml:space="preserve">t any time throughout the Term of this Agreement </w:t>
      </w:r>
      <w:proofErr w:type="spellStart"/>
      <w:r w:rsidR="001F1C19">
        <w:rPr>
          <w:rFonts w:cs="Arial"/>
          <w:szCs w:val="20"/>
        </w:rPr>
        <w:t>Netlink</w:t>
      </w:r>
      <w:proofErr w:type="spellEnd"/>
      <w:r w:rsidR="001F1C19">
        <w:rPr>
          <w:rFonts w:cs="Arial"/>
          <w:szCs w:val="20"/>
        </w:rPr>
        <w:t xml:space="preserve"> Star</w:t>
      </w:r>
      <w:r w:rsidR="00F5732E" w:rsidRPr="000E5786">
        <w:rPr>
          <w:rFonts w:cs="Arial"/>
          <w:szCs w:val="20"/>
        </w:rPr>
        <w:t xml:space="preserve"> </w:t>
      </w:r>
      <w:r w:rsidRPr="000E5786">
        <w:rPr>
          <w:rFonts w:cs="Arial"/>
          <w:szCs w:val="20"/>
        </w:rPr>
        <w:t xml:space="preserve">requires the Supplier to undertake </w:t>
      </w:r>
      <w:r w:rsidR="004531F3" w:rsidRPr="000E5786">
        <w:rPr>
          <w:rFonts w:cs="Arial"/>
          <w:szCs w:val="20"/>
        </w:rPr>
        <w:t>P</w:t>
      </w:r>
      <w:r w:rsidRPr="000E5786">
        <w:rPr>
          <w:rFonts w:cs="Arial"/>
          <w:szCs w:val="20"/>
        </w:rPr>
        <w:t xml:space="preserve">roject Services, it shall discuss its requirements with the Supplier. As soon as practicable following these discussions, the Supplier shall (at no cost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submit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 </w:t>
      </w:r>
      <w:r w:rsidR="00372EC0" w:rsidRPr="000E5786">
        <w:rPr>
          <w:rFonts w:cs="Arial"/>
          <w:szCs w:val="20"/>
        </w:rPr>
        <w:t>Draft Project Sheet.</w:t>
      </w:r>
      <w:bookmarkEnd w:id="189"/>
    </w:p>
    <w:p w14:paraId="23E14873" w14:textId="4354A262" w:rsidR="00372EC0" w:rsidRPr="000E5786" w:rsidRDefault="00372EC0" w:rsidP="00DD60F0">
      <w:pPr>
        <w:pStyle w:val="Heading2"/>
        <w:spacing w:after="120"/>
        <w:rPr>
          <w:rFonts w:cs="Arial"/>
          <w:szCs w:val="20"/>
        </w:rPr>
      </w:pPr>
      <w:bookmarkStart w:id="190" w:name="_Ref54957848"/>
      <w:r w:rsidRPr="000E5786">
        <w:rPr>
          <w:rFonts w:cs="Arial"/>
          <w:szCs w:val="20"/>
        </w:rPr>
        <w:t xml:space="preserve">As soon as reasonably practicable following receipt of the Draft Project Sheet,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notify the Supplier in in writing whether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w:t>
      </w:r>
      <w:bookmarkEnd w:id="190"/>
    </w:p>
    <w:p w14:paraId="3E863D23" w14:textId="3AA22423" w:rsidR="00372EC0" w:rsidRPr="000E5786" w:rsidRDefault="00372EC0" w:rsidP="00346A37">
      <w:pPr>
        <w:pStyle w:val="Heading3"/>
      </w:pPr>
      <w:r w:rsidRPr="000E5786">
        <w:t xml:space="preserve">Approves the Draft Project </w:t>
      </w:r>
      <w:proofErr w:type="gramStart"/>
      <w:r w:rsidRPr="000E5786">
        <w:t>Sheet;</w:t>
      </w:r>
      <w:proofErr w:type="gramEnd"/>
    </w:p>
    <w:p w14:paraId="1FA1DC67" w14:textId="3B6626E7" w:rsidR="00372EC0" w:rsidRPr="000E5786" w:rsidRDefault="00372EC0" w:rsidP="00346A37">
      <w:pPr>
        <w:pStyle w:val="Heading3"/>
      </w:pPr>
      <w:r w:rsidRPr="000E5786">
        <w:t>Requires any modifications to the Draft Project Sheet; or</w:t>
      </w:r>
    </w:p>
    <w:p w14:paraId="389AC124" w14:textId="6D7D5CAA" w:rsidR="00372EC0" w:rsidRPr="000E5786" w:rsidRDefault="00372EC0" w:rsidP="00346A37">
      <w:pPr>
        <w:pStyle w:val="Heading3"/>
      </w:pPr>
      <w:r w:rsidRPr="000E5786">
        <w:t>Rejects the Draft Project Sheet.</w:t>
      </w:r>
    </w:p>
    <w:p w14:paraId="5DD433C6" w14:textId="65E8FD4A" w:rsidR="00630483" w:rsidRPr="000E5786" w:rsidRDefault="00630483" w:rsidP="00DD60F0">
      <w:pPr>
        <w:pStyle w:val="Heading2"/>
        <w:spacing w:after="120"/>
        <w:rPr>
          <w:rFonts w:cs="Arial"/>
          <w:szCs w:val="20"/>
        </w:rPr>
      </w:pPr>
      <w:r w:rsidRPr="000E5786">
        <w:rPr>
          <w:rFonts w:cs="Arial"/>
          <w:szCs w:val="20"/>
        </w:rPr>
        <w:t xml:space="preserve">The Parties shall work together to make any modifications to the Draft Project Sheet requested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as soon as reasonably possible following receipt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comments. Supplier shall then resubmit the revised Draft Project Sheet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for approval in accordance with clause </w:t>
      </w:r>
      <w:r w:rsidR="00EB2F61" w:rsidRPr="000E5786">
        <w:rPr>
          <w:rFonts w:cs="Arial"/>
          <w:szCs w:val="20"/>
        </w:rPr>
        <w:fldChar w:fldCharType="begin"/>
      </w:r>
      <w:r w:rsidR="00EB2F61" w:rsidRPr="000E5786">
        <w:rPr>
          <w:rFonts w:cs="Arial"/>
          <w:szCs w:val="20"/>
        </w:rPr>
        <w:instrText xml:space="preserve"> REF _Ref54957848 \r \h </w:instrText>
      </w:r>
      <w:r w:rsidR="00034C32" w:rsidRPr="000E5786">
        <w:rPr>
          <w:rFonts w:cs="Arial"/>
          <w:szCs w:val="20"/>
        </w:rPr>
        <w:instrText xml:space="preserve"> \* MERGEFORMAT </w:instrText>
      </w:r>
      <w:r w:rsidR="00EB2F61" w:rsidRPr="000E5786">
        <w:rPr>
          <w:rFonts w:cs="Arial"/>
          <w:szCs w:val="20"/>
        </w:rPr>
      </w:r>
      <w:r w:rsidR="00EB2F61" w:rsidRPr="000E5786">
        <w:rPr>
          <w:rFonts w:cs="Arial"/>
          <w:szCs w:val="20"/>
        </w:rPr>
        <w:fldChar w:fldCharType="separate"/>
      </w:r>
      <w:r w:rsidR="002523A8" w:rsidRPr="000E5786">
        <w:rPr>
          <w:rFonts w:cs="Arial"/>
          <w:szCs w:val="20"/>
        </w:rPr>
        <w:t>5.15</w:t>
      </w:r>
      <w:r w:rsidR="00EB2F61" w:rsidRPr="000E5786">
        <w:rPr>
          <w:rFonts w:cs="Arial"/>
          <w:szCs w:val="20"/>
        </w:rPr>
        <w:fldChar w:fldCharType="end"/>
      </w:r>
      <w:r w:rsidRPr="000E5786">
        <w:rPr>
          <w:rFonts w:cs="Arial"/>
          <w:szCs w:val="20"/>
        </w:rPr>
        <w:t>.</w:t>
      </w:r>
    </w:p>
    <w:p w14:paraId="30D30E45" w14:textId="3649E723" w:rsidR="00630483" w:rsidRPr="000E5786" w:rsidRDefault="00630483" w:rsidP="00DD60F0">
      <w:pPr>
        <w:pStyle w:val="Heading2"/>
        <w:spacing w:after="120"/>
        <w:rPr>
          <w:rFonts w:cs="Arial"/>
          <w:szCs w:val="20"/>
        </w:rPr>
      </w:pPr>
      <w:bookmarkStart w:id="191" w:name="_Ref54958079"/>
      <w:r w:rsidRPr="000E5786">
        <w:rPr>
          <w:rFonts w:cs="Arial"/>
          <w:szCs w:val="20"/>
        </w:rPr>
        <w:t>Once a Draft Project Sheet</w:t>
      </w:r>
      <w:r w:rsidR="00D9188E" w:rsidRPr="000E5786">
        <w:rPr>
          <w:rFonts w:cs="Arial"/>
          <w:szCs w:val="20"/>
        </w:rPr>
        <w:t xml:space="preserve"> </w:t>
      </w:r>
      <w:r w:rsidRPr="000E5786">
        <w:rPr>
          <w:rFonts w:cs="Arial"/>
          <w:szCs w:val="20"/>
        </w:rPr>
        <w:t xml:space="preserve">has been approved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each Party shall sign it and it shall then become a part of this Agreement</w:t>
      </w:r>
      <w:r w:rsidR="00D9188E" w:rsidRPr="000E5786">
        <w:rPr>
          <w:rFonts w:cs="Arial"/>
          <w:szCs w:val="20"/>
        </w:rPr>
        <w:t xml:space="preserve"> and bound by the terms of this Agreement</w:t>
      </w:r>
      <w:r w:rsidR="00A86E15" w:rsidRPr="000E5786">
        <w:rPr>
          <w:rFonts w:cs="Arial"/>
          <w:szCs w:val="20"/>
        </w:rPr>
        <w:t xml:space="preserve">, and the Project Services </w:t>
      </w:r>
      <w:r w:rsidR="00672349" w:rsidRPr="000E5786">
        <w:rPr>
          <w:rFonts w:cs="Arial"/>
          <w:szCs w:val="20"/>
        </w:rPr>
        <w:t xml:space="preserve">set out </w:t>
      </w:r>
      <w:proofErr w:type="spellStart"/>
      <w:r w:rsidR="00672349" w:rsidRPr="000E5786">
        <w:rPr>
          <w:rFonts w:cs="Arial"/>
          <w:szCs w:val="20"/>
        </w:rPr>
        <w:t>therein</w:t>
      </w:r>
      <w:proofErr w:type="spellEnd"/>
      <w:r w:rsidR="00672349" w:rsidRPr="000E5786">
        <w:rPr>
          <w:rFonts w:cs="Arial"/>
          <w:szCs w:val="20"/>
        </w:rPr>
        <w:t xml:space="preserve"> </w:t>
      </w:r>
      <w:r w:rsidR="00A86E15" w:rsidRPr="000E5786">
        <w:rPr>
          <w:rFonts w:cs="Arial"/>
          <w:szCs w:val="20"/>
        </w:rPr>
        <w:t>shall become a part of the Services</w:t>
      </w:r>
      <w:r w:rsidR="00D9188E" w:rsidRPr="000E5786">
        <w:rPr>
          <w:rFonts w:cs="Arial"/>
          <w:szCs w:val="20"/>
        </w:rPr>
        <w:t>.</w:t>
      </w:r>
      <w:bookmarkEnd w:id="191"/>
      <w:r w:rsidR="00D9188E" w:rsidRPr="000E5786">
        <w:rPr>
          <w:rFonts w:cs="Arial"/>
          <w:szCs w:val="20"/>
        </w:rPr>
        <w:t xml:space="preserve"> </w:t>
      </w:r>
    </w:p>
    <w:p w14:paraId="1A6644B6" w14:textId="4537C4A8" w:rsidR="00D928DB" w:rsidRPr="000E5786" w:rsidRDefault="00EB2F61" w:rsidP="00DD60F0">
      <w:pPr>
        <w:pStyle w:val="Heading2"/>
        <w:spacing w:after="120"/>
        <w:rPr>
          <w:rFonts w:cs="Arial"/>
          <w:szCs w:val="20"/>
        </w:rPr>
      </w:pPr>
      <w:r w:rsidRPr="000E5786">
        <w:rPr>
          <w:rFonts w:cs="Arial"/>
          <w:szCs w:val="20"/>
        </w:rPr>
        <w:t>N</w:t>
      </w:r>
      <w:r w:rsidR="004551A1" w:rsidRPr="000E5786">
        <w:rPr>
          <w:rFonts w:cs="Arial"/>
          <w:szCs w:val="20"/>
        </w:rPr>
        <w:t>otwithstanding anything to the contrary in this Agreement</w:t>
      </w:r>
      <w:r w:rsidR="00D928DB" w:rsidRPr="000E5786">
        <w:rPr>
          <w:rFonts w:cs="Arial"/>
          <w:szCs w:val="20"/>
        </w:rPr>
        <w:t>:</w:t>
      </w:r>
    </w:p>
    <w:p w14:paraId="73AA8031" w14:textId="6FDD2986" w:rsidR="00D928DB" w:rsidRPr="000E5786" w:rsidRDefault="00D928DB" w:rsidP="00346A37">
      <w:pPr>
        <w:pStyle w:val="Heading3"/>
      </w:pPr>
      <w:r w:rsidRPr="000E5786">
        <w:t xml:space="preserve">the Supplier acknowledges and agrees that </w:t>
      </w:r>
      <w:proofErr w:type="spellStart"/>
      <w:r w:rsidR="001F1C19">
        <w:t>Netlink</w:t>
      </w:r>
      <w:proofErr w:type="spellEnd"/>
      <w:r w:rsidR="001F1C19">
        <w:t xml:space="preserve"> Star</w:t>
      </w:r>
      <w:r w:rsidRPr="000E5786">
        <w:t xml:space="preserve"> may, at its discretion, request that any of the Services to be performed by the Supplier pursuant to this Agreement (including, for the avoidance of doubt, the Transition Services, the Migration Services, the Operational Services and/or any element thereof) are </w:t>
      </w:r>
      <w:r w:rsidR="00D416A6" w:rsidRPr="000E5786">
        <w:t>agreed and performed under a Project Sheet; and</w:t>
      </w:r>
    </w:p>
    <w:p w14:paraId="4D45FF3A" w14:textId="6488FC2B" w:rsidR="004551A1" w:rsidRPr="000E5786" w:rsidRDefault="003875EE" w:rsidP="00346A37">
      <w:pPr>
        <w:pStyle w:val="Heading3"/>
      </w:pPr>
      <w:r w:rsidRPr="000E5786">
        <w:t>the process for agreeing Project Services</w:t>
      </w:r>
      <w:r w:rsidR="009F5E32" w:rsidRPr="000E5786">
        <w:t xml:space="preserve"> </w:t>
      </w:r>
      <w:r w:rsidR="00862F9A" w:rsidRPr="000E5786">
        <w:t xml:space="preserve">and Project Sheets </w:t>
      </w:r>
      <w:r w:rsidRPr="000E5786">
        <w:t xml:space="preserve">as set out in clauses </w:t>
      </w:r>
      <w:r w:rsidRPr="000E5786">
        <w:fldChar w:fldCharType="begin"/>
      </w:r>
      <w:r w:rsidRPr="000E5786">
        <w:instrText xml:space="preserve"> REF _Ref54958074 \r \h </w:instrText>
      </w:r>
      <w:r w:rsidR="00735203" w:rsidRPr="000E5786">
        <w:instrText xml:space="preserve"> \* MERGEFORMAT </w:instrText>
      </w:r>
      <w:r w:rsidRPr="000E5786">
        <w:fldChar w:fldCharType="separate"/>
      </w:r>
      <w:r w:rsidR="002523A8" w:rsidRPr="000E5786">
        <w:t>5.14</w:t>
      </w:r>
      <w:r w:rsidRPr="000E5786">
        <w:fldChar w:fldCharType="end"/>
      </w:r>
      <w:r w:rsidRPr="000E5786">
        <w:t xml:space="preserve"> to </w:t>
      </w:r>
      <w:r w:rsidRPr="000E5786">
        <w:fldChar w:fldCharType="begin"/>
      </w:r>
      <w:r w:rsidRPr="000E5786">
        <w:instrText xml:space="preserve"> REF _Ref54958079 \r \h </w:instrText>
      </w:r>
      <w:r w:rsidR="00735203" w:rsidRPr="000E5786">
        <w:instrText xml:space="preserve"> \* MERGEFORMAT </w:instrText>
      </w:r>
      <w:r w:rsidRPr="000E5786">
        <w:fldChar w:fldCharType="separate"/>
      </w:r>
      <w:r w:rsidR="002523A8" w:rsidRPr="000E5786">
        <w:t>5.17</w:t>
      </w:r>
      <w:r w:rsidRPr="000E5786">
        <w:fldChar w:fldCharType="end"/>
      </w:r>
      <w:r w:rsidRPr="000E5786">
        <w:t xml:space="preserve"> above </w:t>
      </w:r>
      <w:r w:rsidR="00514C57" w:rsidRPr="000E5786">
        <w:t xml:space="preserve">does not need to follow and </w:t>
      </w:r>
      <w:r w:rsidRPr="000E5786">
        <w:t>shall not be subject to the Change Control Procedure.</w:t>
      </w:r>
    </w:p>
    <w:p w14:paraId="78AC3C56" w14:textId="128EF6F6" w:rsidR="0048699F" w:rsidRPr="000E5786" w:rsidRDefault="001F1C19" w:rsidP="00CE5734">
      <w:pPr>
        <w:pStyle w:val="BodyText"/>
        <w:spacing w:after="120"/>
        <w:ind w:left="709" w:firstLine="1"/>
        <w:rPr>
          <w:rFonts w:cs="Arial"/>
          <w:szCs w:val="20"/>
          <w:u w:val="single"/>
        </w:rPr>
      </w:pPr>
      <w:proofErr w:type="spellStart"/>
      <w:r>
        <w:rPr>
          <w:rFonts w:cs="Arial"/>
          <w:szCs w:val="20"/>
          <w:u w:val="single"/>
        </w:rPr>
        <w:t>Netlink</w:t>
      </w:r>
      <w:proofErr w:type="spellEnd"/>
      <w:r>
        <w:rPr>
          <w:rFonts w:cs="Arial"/>
          <w:szCs w:val="20"/>
          <w:u w:val="single"/>
        </w:rPr>
        <w:t xml:space="preserve"> Star</w:t>
      </w:r>
      <w:r w:rsidR="0048699F" w:rsidRPr="000E5786">
        <w:rPr>
          <w:rFonts w:cs="Arial"/>
          <w:szCs w:val="20"/>
          <w:u w:val="single"/>
        </w:rPr>
        <w:t xml:space="preserve"> Responsibilities</w:t>
      </w:r>
    </w:p>
    <w:p w14:paraId="0293B990" w14:textId="03767796" w:rsidR="0048699F" w:rsidRPr="000E5786" w:rsidRDefault="001F1C19" w:rsidP="00DD60F0">
      <w:pPr>
        <w:pStyle w:val="Heading2"/>
        <w:spacing w:after="120"/>
        <w:rPr>
          <w:rFonts w:cs="Arial"/>
          <w:szCs w:val="20"/>
        </w:rPr>
      </w:pPr>
      <w:bookmarkStart w:id="192" w:name="_Ref53584848"/>
      <w:proofErr w:type="spellStart"/>
      <w:r>
        <w:rPr>
          <w:rFonts w:cs="Arial"/>
          <w:szCs w:val="20"/>
        </w:rPr>
        <w:t>Netlink</w:t>
      </w:r>
      <w:proofErr w:type="spellEnd"/>
      <w:r>
        <w:rPr>
          <w:rFonts w:cs="Arial"/>
          <w:szCs w:val="20"/>
        </w:rPr>
        <w:t xml:space="preserve"> Star</w:t>
      </w:r>
      <w:r w:rsidR="0048699F" w:rsidRPr="000E5786">
        <w:rPr>
          <w:rFonts w:cs="Arial"/>
          <w:szCs w:val="20"/>
        </w:rPr>
        <w:t xml:space="preserve"> shall comply with its responsibilities set out in </w:t>
      </w:r>
      <w:bookmarkStart w:id="193" w:name="DocXTextRef91"/>
      <w:r w:rsidR="0048699F" w:rsidRPr="000E5786">
        <w:rPr>
          <w:rFonts w:cs="Arial"/>
          <w:szCs w:val="20"/>
        </w:rPr>
        <w:t>Schedule 3</w:t>
      </w:r>
      <w:bookmarkEnd w:id="193"/>
      <w:r w:rsidR="0048699F" w:rsidRPr="000E5786">
        <w:rPr>
          <w:rFonts w:cs="Arial"/>
          <w:szCs w:val="20"/>
        </w:rPr>
        <w:t xml:space="preserve"> (</w:t>
      </w:r>
      <w:proofErr w:type="spellStart"/>
      <w:r>
        <w:rPr>
          <w:rFonts w:cs="Arial"/>
          <w:szCs w:val="20"/>
        </w:rPr>
        <w:t>Netlink</w:t>
      </w:r>
      <w:proofErr w:type="spellEnd"/>
      <w:r>
        <w:rPr>
          <w:rFonts w:cs="Arial"/>
          <w:szCs w:val="20"/>
        </w:rPr>
        <w:t xml:space="preserve"> Star</w:t>
      </w:r>
      <w:r w:rsidR="0048699F" w:rsidRPr="000E5786">
        <w:rPr>
          <w:rFonts w:cs="Arial"/>
          <w:szCs w:val="20"/>
        </w:rPr>
        <w:t xml:space="preserve"> Responsibilities).</w:t>
      </w:r>
      <w:bookmarkEnd w:id="192"/>
    </w:p>
    <w:p w14:paraId="784288C6" w14:textId="007573A5" w:rsidR="0048699F" w:rsidRPr="000E5786" w:rsidRDefault="0048699F" w:rsidP="00DD60F0">
      <w:pPr>
        <w:pStyle w:val="Heading2"/>
        <w:spacing w:after="120"/>
        <w:rPr>
          <w:rFonts w:cs="Arial"/>
          <w:szCs w:val="20"/>
        </w:rPr>
      </w:pPr>
      <w:bookmarkStart w:id="194" w:name="_Ref53584849"/>
      <w:r w:rsidRPr="000E5786">
        <w:rPr>
          <w:rFonts w:cs="Arial"/>
          <w:szCs w:val="20"/>
        </w:rPr>
        <w:t xml:space="preserve">The Supplier acknowledges and agrees that it shall have no claim against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and that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be deemed not to be in Default, to the extent that the Default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is a failure to comply with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Responsibilities and such failure is caused or contributed to by the Supplier, any Affiliate of the Supplier or any Supplier Party under this Agreement or any other contract with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or otherwise.</w:t>
      </w:r>
      <w:bookmarkEnd w:id="194"/>
    </w:p>
    <w:p w14:paraId="2B860E5E" w14:textId="533101AC" w:rsidR="0048699F" w:rsidRPr="000E5786" w:rsidRDefault="0048699F" w:rsidP="00DD60F0">
      <w:pPr>
        <w:pStyle w:val="Heading1"/>
        <w:spacing w:after="120"/>
        <w:rPr>
          <w:rFonts w:cs="Arial"/>
          <w:szCs w:val="20"/>
        </w:rPr>
      </w:pPr>
      <w:bookmarkStart w:id="195" w:name="_Ref53584850"/>
      <w:bookmarkStart w:id="196" w:name="_Ref53585704"/>
      <w:bookmarkStart w:id="197" w:name="_Toc71198930"/>
      <w:r w:rsidRPr="000E5786">
        <w:rPr>
          <w:rFonts w:cs="Arial"/>
          <w:szCs w:val="20"/>
        </w:rPr>
        <w:t>I</w:t>
      </w:r>
      <w:bookmarkEnd w:id="195"/>
      <w:bookmarkEnd w:id="196"/>
      <w:r w:rsidR="0077273D" w:rsidRPr="000E5786">
        <w:rPr>
          <w:rFonts w:cs="Arial"/>
          <w:szCs w:val="20"/>
        </w:rPr>
        <w:t>NTEGRATION</w:t>
      </w:r>
      <w:r w:rsidR="009F5E32" w:rsidRPr="000E5786">
        <w:rPr>
          <w:rFonts w:cs="Arial"/>
          <w:szCs w:val="20"/>
        </w:rPr>
        <w:t xml:space="preserve"> AND TRANSITION</w:t>
      </w:r>
      <w:bookmarkEnd w:id="197"/>
    </w:p>
    <w:p w14:paraId="50E1EF0F" w14:textId="34A84AC4" w:rsidR="0048699F" w:rsidRPr="000E5786" w:rsidRDefault="0048699F" w:rsidP="00CE5734">
      <w:pPr>
        <w:pStyle w:val="BodyText"/>
        <w:spacing w:after="120"/>
        <w:ind w:left="709" w:firstLine="1"/>
        <w:rPr>
          <w:rFonts w:cs="Arial"/>
          <w:szCs w:val="20"/>
          <w:u w:val="single"/>
        </w:rPr>
      </w:pPr>
      <w:r w:rsidRPr="000E5786">
        <w:rPr>
          <w:rFonts w:cs="Arial"/>
          <w:szCs w:val="20"/>
          <w:u w:val="single"/>
        </w:rPr>
        <w:t>Quality Plans</w:t>
      </w:r>
    </w:p>
    <w:p w14:paraId="069CF429" w14:textId="16DFCEFB" w:rsidR="0048699F" w:rsidRPr="000E5786" w:rsidRDefault="0048699F" w:rsidP="00DD60F0">
      <w:pPr>
        <w:pStyle w:val="Heading2"/>
        <w:spacing w:after="120"/>
        <w:rPr>
          <w:rFonts w:cs="Arial"/>
          <w:szCs w:val="20"/>
        </w:rPr>
      </w:pPr>
      <w:bookmarkStart w:id="198" w:name="_Ref53584851"/>
      <w:r w:rsidRPr="000E5786">
        <w:rPr>
          <w:rFonts w:cs="Arial"/>
          <w:szCs w:val="20"/>
        </w:rPr>
        <w:t xml:space="preserve">The Supplier shall develop, within twenty </w:t>
      </w:r>
      <w:bookmarkStart w:id="199" w:name="DocXTextRef92"/>
      <w:r w:rsidRPr="000E5786">
        <w:rPr>
          <w:rFonts w:cs="Arial"/>
          <w:szCs w:val="20"/>
        </w:rPr>
        <w:t>(20)</w:t>
      </w:r>
      <w:bookmarkEnd w:id="199"/>
      <w:r w:rsidRPr="000E5786">
        <w:rPr>
          <w:rFonts w:cs="Arial"/>
          <w:szCs w:val="20"/>
        </w:rPr>
        <w:t xml:space="preserve"> Working Days of the Effective Date, quality plans that ensure that all aspects of the Services are the subject of quality management systems and are consistent with BS EN ISO 9001 or any equivalent standard which is generally recognised as having replaced it (“</w:t>
      </w:r>
      <w:r w:rsidRPr="000E5786">
        <w:rPr>
          <w:rFonts w:cs="Arial"/>
          <w:b/>
          <w:szCs w:val="20"/>
        </w:rPr>
        <w:t>Quality Plans</w:t>
      </w:r>
      <w:r w:rsidRPr="000E5786">
        <w:rPr>
          <w:rFonts w:cs="Arial"/>
          <w:szCs w:val="20"/>
        </w:rPr>
        <w:t>”).</w:t>
      </w:r>
      <w:bookmarkEnd w:id="198"/>
    </w:p>
    <w:p w14:paraId="4E4F76FA" w14:textId="4A12294A" w:rsidR="0048699F" w:rsidRPr="000E5786" w:rsidRDefault="0048699F" w:rsidP="00DD60F0">
      <w:pPr>
        <w:pStyle w:val="Heading2"/>
        <w:spacing w:after="120"/>
        <w:rPr>
          <w:rFonts w:cs="Arial"/>
          <w:szCs w:val="20"/>
        </w:rPr>
      </w:pPr>
      <w:bookmarkStart w:id="200" w:name="_Ref53584852"/>
      <w:r w:rsidRPr="000E5786">
        <w:rPr>
          <w:rFonts w:cs="Arial"/>
          <w:szCs w:val="20"/>
        </w:rPr>
        <w:t xml:space="preserve">The Supplier shall obtain the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Representative’s written approval of the Quality Plans before implementing them, which approval shall not be unreasonably withheld or delayed.</w:t>
      </w:r>
      <w:r w:rsidR="000578A4" w:rsidRPr="000E5786">
        <w:rPr>
          <w:rFonts w:cs="Arial"/>
          <w:szCs w:val="20"/>
        </w:rPr>
        <w:t xml:space="preserve"> </w:t>
      </w:r>
      <w:r w:rsidRPr="000E5786">
        <w:rPr>
          <w:rFonts w:cs="Arial"/>
          <w:szCs w:val="20"/>
        </w:rPr>
        <w:t xml:space="preserve">The Supplier acknowledges and accepts that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’s approval shall not act as an endorsement of the Quality Plans and shall not relieve the Supplier of its responsibility for ensuring that the Services are provided to the standard required by this Agreement.</w:t>
      </w:r>
      <w:bookmarkEnd w:id="200"/>
    </w:p>
    <w:p w14:paraId="5994237E" w14:textId="292E8B7D" w:rsidR="0048699F" w:rsidRPr="000E5786" w:rsidRDefault="0048699F" w:rsidP="00DD60F0">
      <w:pPr>
        <w:pStyle w:val="Heading2"/>
        <w:spacing w:after="120"/>
        <w:rPr>
          <w:rFonts w:cs="Arial"/>
          <w:szCs w:val="20"/>
        </w:rPr>
      </w:pPr>
      <w:bookmarkStart w:id="201" w:name="_Ref53584853"/>
      <w:r w:rsidRPr="000E5786">
        <w:rPr>
          <w:rFonts w:cs="Arial"/>
          <w:szCs w:val="20"/>
        </w:rPr>
        <w:t xml:space="preserve">Following the approval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of the Quality Plans:</w:t>
      </w:r>
      <w:bookmarkEnd w:id="201"/>
    </w:p>
    <w:p w14:paraId="23228E57" w14:textId="284AAB6B" w:rsidR="0048699F" w:rsidRPr="000E5786" w:rsidRDefault="0048699F" w:rsidP="00346A37">
      <w:pPr>
        <w:pStyle w:val="Heading3"/>
      </w:pPr>
      <w:bookmarkStart w:id="202" w:name="_Ref53584854"/>
      <w:r w:rsidRPr="000E5786">
        <w:t>the Supplier shall design and deliver all Deliverables in accordance with the Quality Plans; and</w:t>
      </w:r>
      <w:bookmarkEnd w:id="202"/>
    </w:p>
    <w:p w14:paraId="7FBB52DA" w14:textId="47BB01BC" w:rsidR="0048699F" w:rsidRPr="000E5786" w:rsidRDefault="0048699F" w:rsidP="00346A37">
      <w:pPr>
        <w:pStyle w:val="Heading3"/>
      </w:pPr>
      <w:bookmarkStart w:id="203" w:name="_Ref53584855"/>
      <w:r w:rsidRPr="000E5786">
        <w:t>any Changes to the Quality Plans shall be agreed in accordance with the Change Control Procedure.</w:t>
      </w:r>
      <w:bookmarkEnd w:id="203"/>
    </w:p>
    <w:p w14:paraId="50667EB0" w14:textId="4A889A59" w:rsidR="0048699F" w:rsidRPr="000E5786" w:rsidRDefault="0048699F" w:rsidP="00CE5734">
      <w:pPr>
        <w:pStyle w:val="BodyText"/>
        <w:spacing w:after="120"/>
        <w:ind w:left="709" w:firstLine="1"/>
        <w:rPr>
          <w:rFonts w:cs="Arial"/>
          <w:szCs w:val="20"/>
          <w:u w:val="single"/>
        </w:rPr>
      </w:pPr>
      <w:r w:rsidRPr="000E5786">
        <w:rPr>
          <w:rFonts w:cs="Arial"/>
          <w:szCs w:val="20"/>
          <w:u w:val="single"/>
        </w:rPr>
        <w:t>I</w:t>
      </w:r>
      <w:r w:rsidR="0077273D" w:rsidRPr="000E5786">
        <w:rPr>
          <w:rFonts w:cs="Arial"/>
          <w:szCs w:val="20"/>
          <w:u w:val="single"/>
        </w:rPr>
        <w:t>ntegration</w:t>
      </w:r>
      <w:r w:rsidRPr="000E5786">
        <w:rPr>
          <w:rFonts w:cs="Arial"/>
          <w:szCs w:val="20"/>
          <w:u w:val="single"/>
        </w:rPr>
        <w:t xml:space="preserve"> Plan and Delays</w:t>
      </w:r>
    </w:p>
    <w:p w14:paraId="07170BC5" w14:textId="3B564F87" w:rsidR="0048699F" w:rsidRPr="000E5786" w:rsidRDefault="0048699F" w:rsidP="00DD60F0">
      <w:pPr>
        <w:pStyle w:val="Heading2"/>
        <w:spacing w:after="120"/>
        <w:rPr>
          <w:rFonts w:cs="Arial"/>
          <w:szCs w:val="20"/>
        </w:rPr>
      </w:pPr>
      <w:bookmarkStart w:id="204" w:name="_Ref53584856"/>
      <w:r w:rsidRPr="000E5786">
        <w:rPr>
          <w:rFonts w:cs="Arial"/>
          <w:szCs w:val="20"/>
        </w:rPr>
        <w:lastRenderedPageBreak/>
        <w:t xml:space="preserve">The Parties shall comply with the provisions of </w:t>
      </w:r>
      <w:bookmarkStart w:id="205" w:name="DocXTextRef93"/>
      <w:r w:rsidRPr="000E5786">
        <w:rPr>
          <w:rFonts w:cs="Arial"/>
          <w:szCs w:val="20"/>
        </w:rPr>
        <w:t>Schedule 6.</w:t>
      </w:r>
      <w:r w:rsidR="00C44DBA">
        <w:rPr>
          <w:rFonts w:cs="Arial"/>
          <w:szCs w:val="20"/>
        </w:rPr>
        <w:t>4</w:t>
      </w:r>
      <w:bookmarkEnd w:id="205"/>
      <w:r w:rsidRPr="000E5786">
        <w:rPr>
          <w:rFonts w:cs="Arial"/>
          <w:szCs w:val="20"/>
        </w:rPr>
        <w:t xml:space="preserve"> (</w:t>
      </w:r>
      <w:r w:rsidR="00C44DBA">
        <w:rPr>
          <w:rFonts w:cs="Arial"/>
          <w:szCs w:val="20"/>
        </w:rPr>
        <w:t>Initial Transition Project</w:t>
      </w:r>
      <w:r w:rsidRPr="000E5786">
        <w:rPr>
          <w:rFonts w:cs="Arial"/>
          <w:szCs w:val="20"/>
        </w:rPr>
        <w:t>)</w:t>
      </w:r>
      <w:r w:rsidRPr="000E5786">
        <w:rPr>
          <w:rFonts w:cs="Arial"/>
          <w:i/>
          <w:szCs w:val="20"/>
        </w:rPr>
        <w:t xml:space="preserve"> </w:t>
      </w:r>
      <w:r w:rsidRPr="000E5786">
        <w:rPr>
          <w:rFonts w:cs="Arial"/>
          <w:szCs w:val="20"/>
        </w:rPr>
        <w:t>in relation to the agreement and maintenance of the Detailed Implementation Plan.</w:t>
      </w:r>
      <w:bookmarkEnd w:id="204"/>
    </w:p>
    <w:p w14:paraId="1A2B3246" w14:textId="6B64054C" w:rsidR="0048699F" w:rsidRPr="000E5786" w:rsidRDefault="0048699F" w:rsidP="00DD60F0">
      <w:pPr>
        <w:pStyle w:val="Heading2"/>
        <w:spacing w:after="120"/>
        <w:rPr>
          <w:rFonts w:cs="Arial"/>
          <w:szCs w:val="20"/>
        </w:rPr>
      </w:pPr>
      <w:bookmarkStart w:id="206" w:name="_Ref53584857"/>
      <w:r w:rsidRPr="000E5786">
        <w:rPr>
          <w:rFonts w:cs="Arial"/>
          <w:szCs w:val="20"/>
        </w:rPr>
        <w:t>The Supplier shall:</w:t>
      </w:r>
      <w:bookmarkEnd w:id="206"/>
    </w:p>
    <w:p w14:paraId="063479A1" w14:textId="5C65DAB2" w:rsidR="0048699F" w:rsidRPr="000E5786" w:rsidRDefault="0048699F" w:rsidP="00346A37">
      <w:pPr>
        <w:pStyle w:val="Heading3"/>
      </w:pPr>
      <w:bookmarkStart w:id="207" w:name="_Ref53584858"/>
      <w:r w:rsidRPr="000E5786">
        <w:t>comply with the I</w:t>
      </w:r>
      <w:r w:rsidR="00171678" w:rsidRPr="000E5786">
        <w:t>ntegration</w:t>
      </w:r>
      <w:r w:rsidRPr="000E5786">
        <w:t xml:space="preserve"> Plan</w:t>
      </w:r>
      <w:r w:rsidR="00E7046B" w:rsidRPr="000E5786">
        <w:t xml:space="preserve"> and any transitioning planning</w:t>
      </w:r>
      <w:r w:rsidRPr="000E5786">
        <w:t>; and</w:t>
      </w:r>
      <w:bookmarkEnd w:id="207"/>
    </w:p>
    <w:p w14:paraId="262AD2EE" w14:textId="552CF0AD" w:rsidR="0048699F" w:rsidRPr="000E5786" w:rsidRDefault="0048699F" w:rsidP="00346A37">
      <w:pPr>
        <w:pStyle w:val="Heading3"/>
      </w:pPr>
      <w:bookmarkStart w:id="208" w:name="_Ref53584859"/>
      <w:r w:rsidRPr="000E5786">
        <w:t>ensure that each Milestone is Achieved on or before its Milestone Date.</w:t>
      </w:r>
      <w:bookmarkEnd w:id="208"/>
    </w:p>
    <w:p w14:paraId="53EACC33" w14:textId="1B093320" w:rsidR="0048699F" w:rsidRPr="000E5786" w:rsidRDefault="0048699F" w:rsidP="00DD60F0">
      <w:pPr>
        <w:pStyle w:val="Heading2"/>
        <w:spacing w:after="120"/>
        <w:rPr>
          <w:rFonts w:cs="Arial"/>
          <w:szCs w:val="20"/>
        </w:rPr>
      </w:pPr>
      <w:bookmarkStart w:id="209" w:name="_Ref53584860"/>
      <w:r w:rsidRPr="000E5786">
        <w:rPr>
          <w:rFonts w:cs="Arial"/>
          <w:szCs w:val="20"/>
        </w:rPr>
        <w:t>If the Supplier becomes aware that there is, or there is reasonably likely to be, a Delay:</w:t>
      </w:r>
      <w:bookmarkEnd w:id="209"/>
    </w:p>
    <w:p w14:paraId="71A8B543" w14:textId="128BE191" w:rsidR="0048699F" w:rsidRPr="000E5786" w:rsidRDefault="0048699F" w:rsidP="00346A37">
      <w:pPr>
        <w:pStyle w:val="Heading3"/>
      </w:pPr>
      <w:bookmarkStart w:id="210" w:name="_Ref53584861"/>
      <w:r w:rsidRPr="000E5786">
        <w:t>it shall:</w:t>
      </w:r>
      <w:bookmarkEnd w:id="210"/>
    </w:p>
    <w:p w14:paraId="703ECB64" w14:textId="768AFCD9" w:rsidR="0048699F" w:rsidRPr="000E5786" w:rsidRDefault="0048699F" w:rsidP="00834C1A">
      <w:pPr>
        <w:pStyle w:val="Heading4"/>
        <w:tabs>
          <w:tab w:val="clear" w:pos="1702"/>
        </w:tabs>
        <w:spacing w:after="120"/>
        <w:ind w:left="2410"/>
        <w:rPr>
          <w:rFonts w:cs="Arial"/>
          <w:szCs w:val="20"/>
        </w:rPr>
      </w:pPr>
      <w:bookmarkStart w:id="211" w:name="_Ref53584862"/>
      <w:r w:rsidRPr="000E5786">
        <w:rPr>
          <w:rFonts w:cs="Arial"/>
          <w:szCs w:val="20"/>
        </w:rPr>
        <w:t xml:space="preserve">notify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accordance with clause </w:t>
      </w:r>
      <w:r w:rsidR="00377761" w:rsidRPr="000E5786">
        <w:rPr>
          <w:rFonts w:cs="Arial"/>
          <w:szCs w:val="20"/>
        </w:rPr>
        <w:fldChar w:fldCharType="begin"/>
      </w:r>
      <w:r w:rsidR="00377761" w:rsidRPr="000E5786">
        <w:rPr>
          <w:rFonts w:cs="Arial"/>
          <w:szCs w:val="20"/>
        </w:rPr>
        <w:instrText xml:space="preserve">  REF _Ref53585397 \w \h \* MERGEFORMAT </w:instrText>
      </w:r>
      <w:r w:rsidR="00377761" w:rsidRPr="000E5786">
        <w:rPr>
          <w:rFonts w:cs="Arial"/>
          <w:szCs w:val="20"/>
        </w:rPr>
      </w:r>
      <w:r w:rsidR="00377761" w:rsidRPr="000E5786">
        <w:rPr>
          <w:rFonts w:cs="Arial"/>
          <w:szCs w:val="20"/>
        </w:rPr>
        <w:fldChar w:fldCharType="separate"/>
      </w:r>
      <w:r w:rsidR="002523A8" w:rsidRPr="000E5786">
        <w:rPr>
          <w:rFonts w:cs="Arial"/>
          <w:szCs w:val="20"/>
        </w:rPr>
        <w:t>30.1</w:t>
      </w:r>
      <w:r w:rsidR="00377761" w:rsidRPr="000E5786">
        <w:rPr>
          <w:rFonts w:cs="Arial"/>
          <w:szCs w:val="20"/>
        </w:rPr>
        <w:fldChar w:fldCharType="end"/>
      </w:r>
      <w:r w:rsidRPr="000E5786">
        <w:rPr>
          <w:rFonts w:cs="Arial"/>
          <w:szCs w:val="20"/>
        </w:rPr>
        <w:t xml:space="preserve"> (Rectification Plan Process); and</w:t>
      </w:r>
      <w:bookmarkEnd w:id="211"/>
    </w:p>
    <w:p w14:paraId="340DA581" w14:textId="19D283EA" w:rsidR="0048699F" w:rsidRPr="000E5786" w:rsidRDefault="0048699F" w:rsidP="00834C1A">
      <w:pPr>
        <w:pStyle w:val="Heading4"/>
        <w:tabs>
          <w:tab w:val="clear" w:pos="1702"/>
        </w:tabs>
        <w:spacing w:after="120"/>
        <w:ind w:left="2410"/>
        <w:rPr>
          <w:rFonts w:cs="Arial"/>
          <w:szCs w:val="20"/>
        </w:rPr>
      </w:pPr>
      <w:bookmarkStart w:id="212" w:name="_Ref53584863"/>
      <w:r w:rsidRPr="000E5786">
        <w:rPr>
          <w:rFonts w:cs="Arial"/>
          <w:szCs w:val="20"/>
        </w:rPr>
        <w:t xml:space="preserve">comply with the Rectification Plan Process </w:t>
      </w:r>
      <w:proofErr w:type="gramStart"/>
      <w:r w:rsidRPr="000E5786">
        <w:rPr>
          <w:rFonts w:cs="Arial"/>
          <w:szCs w:val="20"/>
        </w:rPr>
        <w:t>in order to</w:t>
      </w:r>
      <w:proofErr w:type="gramEnd"/>
      <w:r w:rsidRPr="000E5786">
        <w:rPr>
          <w:rFonts w:cs="Arial"/>
          <w:szCs w:val="20"/>
        </w:rPr>
        <w:t xml:space="preserve"> address the impact of the Delay or anticipated Delay; and</w:t>
      </w:r>
      <w:bookmarkEnd w:id="212"/>
    </w:p>
    <w:p w14:paraId="0A93082E" w14:textId="7178DA05" w:rsidR="0048699F" w:rsidRPr="000E5786" w:rsidRDefault="0048699F" w:rsidP="00834C1A">
      <w:pPr>
        <w:pStyle w:val="Heading4"/>
        <w:tabs>
          <w:tab w:val="clear" w:pos="1702"/>
        </w:tabs>
        <w:spacing w:after="120"/>
        <w:ind w:left="2410"/>
        <w:rPr>
          <w:rFonts w:cs="Arial"/>
          <w:szCs w:val="20"/>
        </w:rPr>
      </w:pPr>
      <w:bookmarkStart w:id="213" w:name="_Ref53584864"/>
      <w:r w:rsidRPr="000E5786">
        <w:rPr>
          <w:rFonts w:cs="Arial"/>
          <w:szCs w:val="20"/>
        </w:rPr>
        <w:t>use all reasonable endeavours to eliminate or mitigate the consequences of any Delay or anticipated Delay; and</w:t>
      </w:r>
      <w:bookmarkEnd w:id="213"/>
    </w:p>
    <w:p w14:paraId="45AD76AC" w14:textId="0D8F94F8" w:rsidR="0048699F" w:rsidRPr="000E5786" w:rsidRDefault="0048699F" w:rsidP="00346A37">
      <w:pPr>
        <w:pStyle w:val="Heading3"/>
      </w:pPr>
      <w:bookmarkStart w:id="214" w:name="_Ref53584865"/>
      <w:r w:rsidRPr="000E5786">
        <w:t xml:space="preserve">if the Delay or anticipated Delay relates to a Key Milestone, the provisions of clause </w:t>
      </w:r>
      <w:r w:rsidR="00377761" w:rsidRPr="000E5786">
        <w:fldChar w:fldCharType="begin"/>
      </w:r>
      <w:r w:rsidR="00377761" w:rsidRPr="000E5786">
        <w:instrText xml:space="preserve">  REF _Ref53585729 \w \h \* MERGEFORMAT </w:instrText>
      </w:r>
      <w:r w:rsidR="00377761" w:rsidRPr="000E5786">
        <w:fldChar w:fldCharType="separate"/>
      </w:r>
      <w:r w:rsidR="002523A8" w:rsidRPr="000E5786">
        <w:t>31</w:t>
      </w:r>
      <w:r w:rsidR="00377761" w:rsidRPr="000E5786">
        <w:fldChar w:fldCharType="end"/>
      </w:r>
      <w:r w:rsidRPr="000E5786">
        <w:t xml:space="preserve"> (Delay Payments) shall apply.</w:t>
      </w:r>
      <w:bookmarkEnd w:id="214"/>
    </w:p>
    <w:p w14:paraId="2AAE7389" w14:textId="41781F3E" w:rsidR="0048699F" w:rsidRPr="000E5786" w:rsidRDefault="0048699F" w:rsidP="00CE5734">
      <w:pPr>
        <w:pStyle w:val="BodyText"/>
        <w:spacing w:after="120"/>
        <w:ind w:left="709" w:firstLine="1"/>
        <w:rPr>
          <w:rFonts w:cs="Arial"/>
          <w:szCs w:val="20"/>
          <w:u w:val="single"/>
        </w:rPr>
      </w:pPr>
      <w:r w:rsidRPr="000E5786">
        <w:rPr>
          <w:rFonts w:cs="Arial"/>
          <w:szCs w:val="20"/>
          <w:u w:val="single"/>
        </w:rPr>
        <w:t>Testing and Achievement of Milestones</w:t>
      </w:r>
    </w:p>
    <w:p w14:paraId="08F66B58" w14:textId="7935BAFE" w:rsidR="003461E4" w:rsidRPr="000E5786" w:rsidRDefault="0048699F" w:rsidP="00DD60F0">
      <w:pPr>
        <w:pStyle w:val="Heading2"/>
        <w:spacing w:after="120"/>
        <w:rPr>
          <w:rFonts w:cs="Arial"/>
          <w:szCs w:val="20"/>
        </w:rPr>
      </w:pPr>
      <w:bookmarkStart w:id="215" w:name="_Ref53584866"/>
      <w:r w:rsidRPr="000E5786">
        <w:rPr>
          <w:rFonts w:cs="Arial"/>
          <w:szCs w:val="20"/>
        </w:rPr>
        <w:t xml:space="preserve">The Parties shall comply with the provisions of </w:t>
      </w:r>
      <w:bookmarkStart w:id="216" w:name="DocXTextRef96"/>
      <w:r w:rsidRPr="000E5786">
        <w:rPr>
          <w:rFonts w:cs="Arial"/>
          <w:szCs w:val="20"/>
        </w:rPr>
        <w:t>Schedule 6.</w:t>
      </w:r>
      <w:r w:rsidR="00C44DBA">
        <w:rPr>
          <w:rFonts w:cs="Arial"/>
          <w:szCs w:val="20"/>
        </w:rPr>
        <w:t>3</w:t>
      </w:r>
      <w:bookmarkEnd w:id="216"/>
      <w:r w:rsidRPr="000E5786">
        <w:rPr>
          <w:rFonts w:cs="Arial"/>
          <w:szCs w:val="20"/>
        </w:rPr>
        <w:t xml:space="preserve"> (Testing Procedures)</w:t>
      </w:r>
      <w:r w:rsidRPr="000E5786">
        <w:rPr>
          <w:rFonts w:cs="Arial"/>
          <w:i/>
          <w:szCs w:val="20"/>
        </w:rPr>
        <w:t xml:space="preserve"> </w:t>
      </w:r>
      <w:r w:rsidRPr="000E5786">
        <w:rPr>
          <w:rFonts w:cs="Arial"/>
          <w:szCs w:val="20"/>
        </w:rPr>
        <w:t>in relation to the procedures to determine whether a Milestone or Test has been Achieved.</w:t>
      </w:r>
      <w:bookmarkEnd w:id="215"/>
    </w:p>
    <w:p w14:paraId="2CBA5775" w14:textId="71284FC9" w:rsidR="003461E4" w:rsidRPr="000E5786" w:rsidRDefault="003461E4" w:rsidP="00DD60F0">
      <w:pPr>
        <w:pStyle w:val="Heading1"/>
        <w:spacing w:after="120"/>
        <w:rPr>
          <w:rFonts w:cs="Arial"/>
          <w:szCs w:val="20"/>
        </w:rPr>
      </w:pPr>
      <w:bookmarkStart w:id="217" w:name="_Toc71198931"/>
      <w:r w:rsidRPr="000E5786">
        <w:rPr>
          <w:rFonts w:cs="Arial"/>
          <w:szCs w:val="20"/>
        </w:rPr>
        <w:t>MIGRATION</w:t>
      </w:r>
      <w:bookmarkEnd w:id="217"/>
    </w:p>
    <w:p w14:paraId="760B61BC" w14:textId="29EF3247" w:rsidR="00976E29" w:rsidRPr="000E5786" w:rsidRDefault="00263BAD" w:rsidP="00DD60F0">
      <w:pPr>
        <w:pStyle w:val="Heading2"/>
        <w:spacing w:after="120"/>
        <w:rPr>
          <w:rFonts w:cs="Arial"/>
          <w:szCs w:val="20"/>
        </w:rPr>
      </w:pPr>
      <w:r w:rsidRPr="000E5786">
        <w:rPr>
          <w:rFonts w:cs="Arial"/>
          <w:szCs w:val="20"/>
        </w:rPr>
        <w:t>The Supplier shall</w:t>
      </w:r>
      <w:r w:rsidR="00A94153" w:rsidRPr="000E5786">
        <w:rPr>
          <w:rFonts w:cs="Arial"/>
          <w:szCs w:val="20"/>
        </w:rPr>
        <w:t xml:space="preserve"> provide the Migration </w:t>
      </w:r>
      <w:r w:rsidR="009F5E32" w:rsidRPr="000E5786">
        <w:rPr>
          <w:rFonts w:cs="Arial"/>
          <w:szCs w:val="20"/>
        </w:rPr>
        <w:t xml:space="preserve">Project </w:t>
      </w:r>
      <w:r w:rsidR="00A94153" w:rsidRPr="000E5786">
        <w:rPr>
          <w:rFonts w:cs="Arial"/>
          <w:szCs w:val="20"/>
        </w:rPr>
        <w:t xml:space="preserve">in accordance with </w:t>
      </w:r>
      <w:r w:rsidR="00086284" w:rsidRPr="000E5786">
        <w:rPr>
          <w:rFonts w:cs="Arial"/>
          <w:szCs w:val="20"/>
        </w:rPr>
        <w:t>Schedule 6.</w:t>
      </w:r>
      <w:r w:rsidR="00C44DBA">
        <w:rPr>
          <w:rFonts w:cs="Arial"/>
          <w:szCs w:val="20"/>
        </w:rPr>
        <w:t xml:space="preserve">5 (Migration Project). </w:t>
      </w:r>
    </w:p>
    <w:p w14:paraId="036A72CA" w14:textId="1407CC3C" w:rsidR="0048699F" w:rsidRPr="000E5786" w:rsidRDefault="0048699F" w:rsidP="00DD60F0">
      <w:pPr>
        <w:pStyle w:val="Heading1"/>
        <w:spacing w:after="120"/>
        <w:rPr>
          <w:rFonts w:eastAsia="Tahoma" w:cs="Arial"/>
          <w:bCs w:val="0"/>
          <w:iCs/>
          <w:szCs w:val="20"/>
        </w:rPr>
      </w:pPr>
      <w:bookmarkStart w:id="218" w:name="_Ref53584867"/>
      <w:bookmarkStart w:id="219" w:name="_Ref53585705"/>
      <w:bookmarkStart w:id="220" w:name="_Toc71198932"/>
      <w:r w:rsidRPr="000E5786">
        <w:rPr>
          <w:rFonts w:cs="Arial"/>
          <w:szCs w:val="20"/>
        </w:rPr>
        <w:t>PERFORMANCE INDICATORS</w:t>
      </w:r>
      <w:bookmarkEnd w:id="218"/>
      <w:bookmarkEnd w:id="219"/>
      <w:bookmarkEnd w:id="220"/>
      <w:r w:rsidR="001804AD" w:rsidRPr="000E5786">
        <w:rPr>
          <w:rFonts w:eastAsia="Tahoma" w:cs="Arial"/>
          <w:bCs w:val="0"/>
          <w:iCs/>
          <w:szCs w:val="20"/>
        </w:rPr>
        <w:t xml:space="preserve"> </w:t>
      </w:r>
    </w:p>
    <w:p w14:paraId="25C26E07" w14:textId="4D66BD95" w:rsidR="0048699F" w:rsidRPr="000E5786" w:rsidRDefault="0048699F" w:rsidP="00DD60F0">
      <w:pPr>
        <w:pStyle w:val="Heading2"/>
        <w:spacing w:after="120"/>
        <w:rPr>
          <w:rFonts w:cs="Arial"/>
          <w:szCs w:val="20"/>
        </w:rPr>
      </w:pPr>
      <w:bookmarkStart w:id="221" w:name="_Ref53584868"/>
      <w:r w:rsidRPr="000E5786">
        <w:rPr>
          <w:rFonts w:cs="Arial"/>
          <w:szCs w:val="20"/>
        </w:rPr>
        <w:t>The Supplier shall:</w:t>
      </w:r>
      <w:bookmarkEnd w:id="221"/>
    </w:p>
    <w:p w14:paraId="2F03BBD3" w14:textId="654E22B2" w:rsidR="0048699F" w:rsidRPr="000E5786" w:rsidRDefault="0048699F" w:rsidP="00346A37">
      <w:pPr>
        <w:pStyle w:val="Heading3"/>
      </w:pPr>
      <w:bookmarkStart w:id="222" w:name="_Ref53584869"/>
      <w:r w:rsidRPr="000E5786">
        <w:t xml:space="preserve">provide the Operational Services in such a manner </w:t>
      </w:r>
      <w:proofErr w:type="gramStart"/>
      <w:r w:rsidRPr="000E5786">
        <w:t>so as to</w:t>
      </w:r>
      <w:proofErr w:type="gramEnd"/>
      <w:r w:rsidRPr="000E5786">
        <w:t xml:space="preserve"> meet or exceed the Target Performance Level for each Performance Indicator from the Milestone Date for each relevant CPP Milestone; and</w:t>
      </w:r>
      <w:bookmarkEnd w:id="222"/>
    </w:p>
    <w:p w14:paraId="3D494776" w14:textId="58688FE1" w:rsidR="0048699F" w:rsidRPr="000E5786" w:rsidRDefault="0048699F" w:rsidP="00346A37">
      <w:pPr>
        <w:pStyle w:val="Heading3"/>
      </w:pPr>
      <w:bookmarkStart w:id="223" w:name="_Ref53584870"/>
      <w:r w:rsidRPr="000E5786">
        <w:t xml:space="preserve">comply with the provisions of </w:t>
      </w:r>
      <w:bookmarkStart w:id="224" w:name="DocXTextRef98"/>
      <w:r w:rsidRPr="000E5786">
        <w:t>Schedule 2.2</w:t>
      </w:r>
      <w:bookmarkEnd w:id="224"/>
      <w:r w:rsidRPr="000E5786">
        <w:t xml:space="preserve"> (</w:t>
      </w:r>
      <w:r w:rsidR="008446F2">
        <w:t>Service</w:t>
      </w:r>
      <w:r w:rsidR="008446F2" w:rsidRPr="000E5786">
        <w:t xml:space="preserve"> </w:t>
      </w:r>
      <w:r w:rsidRPr="000E5786">
        <w:t>Levels) in relation to the monitoring and reporting on its performance against the Performance Indicators.</w:t>
      </w:r>
      <w:bookmarkEnd w:id="223"/>
    </w:p>
    <w:p w14:paraId="3F4745BC" w14:textId="62F775B0" w:rsidR="0048699F" w:rsidRPr="000E5786" w:rsidRDefault="0048699F" w:rsidP="00CE5734">
      <w:pPr>
        <w:pStyle w:val="BodyText"/>
        <w:spacing w:after="120"/>
        <w:ind w:left="709" w:firstLine="1"/>
        <w:rPr>
          <w:rFonts w:cs="Arial"/>
          <w:szCs w:val="20"/>
          <w:u w:val="single"/>
        </w:rPr>
      </w:pPr>
      <w:r w:rsidRPr="000E5786">
        <w:rPr>
          <w:rFonts w:cs="Arial"/>
          <w:szCs w:val="20"/>
          <w:u w:val="single"/>
        </w:rPr>
        <w:t>Performance Failures</w:t>
      </w:r>
    </w:p>
    <w:p w14:paraId="2C4B0096" w14:textId="20B0769E" w:rsidR="0048699F" w:rsidRPr="000E5786" w:rsidRDefault="0048699F" w:rsidP="00DD60F0">
      <w:pPr>
        <w:pStyle w:val="Heading2"/>
        <w:spacing w:after="120"/>
        <w:rPr>
          <w:rFonts w:cs="Arial"/>
          <w:szCs w:val="20"/>
        </w:rPr>
      </w:pPr>
      <w:bookmarkStart w:id="225" w:name="_Ref53584871"/>
      <w:r w:rsidRPr="000E5786">
        <w:rPr>
          <w:rFonts w:cs="Arial"/>
          <w:szCs w:val="20"/>
        </w:rPr>
        <w:t>If in any Service Period:</w:t>
      </w:r>
      <w:bookmarkEnd w:id="225"/>
    </w:p>
    <w:p w14:paraId="54623250" w14:textId="4BB19388" w:rsidR="0048699F" w:rsidRPr="000E5786" w:rsidRDefault="0048699F" w:rsidP="00346A37">
      <w:pPr>
        <w:pStyle w:val="Heading3"/>
      </w:pPr>
      <w:bookmarkStart w:id="226" w:name="_Ref53584872"/>
      <w:r w:rsidRPr="000E5786">
        <w:t xml:space="preserve">a KPI Failure occurs, Service Credits shall be deducted from the Service Charges in accordance with Paragraph </w:t>
      </w:r>
      <w:bookmarkStart w:id="227" w:name="DocXTextRef100"/>
      <w:r w:rsidRPr="000E5786">
        <w:t>3</w:t>
      </w:r>
      <w:bookmarkEnd w:id="227"/>
      <w:r w:rsidRPr="000E5786">
        <w:t xml:space="preserve"> of </w:t>
      </w:r>
      <w:bookmarkStart w:id="228" w:name="DocXTextRef101"/>
      <w:r w:rsidRPr="000E5786">
        <w:t>Part C</w:t>
      </w:r>
      <w:bookmarkEnd w:id="228"/>
      <w:r w:rsidRPr="000E5786">
        <w:t xml:space="preserve"> of </w:t>
      </w:r>
      <w:bookmarkStart w:id="229" w:name="DocXTextRef99"/>
      <w:r w:rsidRPr="000E5786">
        <w:t>Schedule 7.1</w:t>
      </w:r>
      <w:bookmarkEnd w:id="229"/>
      <w:r w:rsidRPr="000E5786">
        <w:t xml:space="preserve"> (Charges and Invoicing</w:t>
      </w:r>
      <w:proofErr w:type="gramStart"/>
      <w:r w:rsidRPr="000E5786">
        <w:t>);</w:t>
      </w:r>
      <w:bookmarkEnd w:id="226"/>
      <w:proofErr w:type="gramEnd"/>
    </w:p>
    <w:p w14:paraId="56310D43" w14:textId="05C07F72" w:rsidR="0048699F" w:rsidRPr="000E5786" w:rsidRDefault="0048699F" w:rsidP="00346A37">
      <w:pPr>
        <w:pStyle w:val="Heading3"/>
      </w:pPr>
      <w:bookmarkStart w:id="230" w:name="_Ref53584873"/>
      <w:r w:rsidRPr="000E5786">
        <w:t xml:space="preserve">a Material KPI Failure occurs, the Supplier shall comply with the Rectification Plan Process (in addition to Service Credits accruing in accordance with clause </w:t>
      </w:r>
      <w:r w:rsidR="00377761" w:rsidRPr="000E5786">
        <w:fldChar w:fldCharType="begin"/>
      </w:r>
      <w:r w:rsidR="00377761" w:rsidRPr="000E5786">
        <w:instrText xml:space="preserve">  REF _Ref53584872 \w \h \* MERGEFORMAT </w:instrText>
      </w:r>
      <w:r w:rsidR="00377761" w:rsidRPr="000E5786">
        <w:fldChar w:fldCharType="separate"/>
      </w:r>
      <w:r w:rsidR="002523A8" w:rsidRPr="000E5786">
        <w:t>8.2.1</w:t>
      </w:r>
      <w:r w:rsidR="00377761" w:rsidRPr="000E5786">
        <w:fldChar w:fldCharType="end"/>
      </w:r>
      <w:r w:rsidRPr="000E5786">
        <w:t>);</w:t>
      </w:r>
      <w:bookmarkEnd w:id="230"/>
      <w:r w:rsidR="001030D2" w:rsidRPr="000E5786">
        <w:t xml:space="preserve"> and/or</w:t>
      </w:r>
    </w:p>
    <w:p w14:paraId="72B40D34" w14:textId="0E6CD432" w:rsidR="0048699F" w:rsidRPr="000E5786" w:rsidRDefault="0048699F" w:rsidP="00346A37">
      <w:pPr>
        <w:pStyle w:val="Heading3"/>
      </w:pPr>
      <w:bookmarkStart w:id="231" w:name="_Ref53584875"/>
      <w:r w:rsidRPr="000E5786">
        <w:t>a Material PI Failure occurs:</w:t>
      </w:r>
      <w:bookmarkEnd w:id="231"/>
    </w:p>
    <w:p w14:paraId="006B6993" w14:textId="2D861D66" w:rsidR="0048699F" w:rsidRPr="000E5786" w:rsidRDefault="0048699F" w:rsidP="00834C1A">
      <w:pPr>
        <w:pStyle w:val="Heading4"/>
        <w:tabs>
          <w:tab w:val="clear" w:pos="1702"/>
        </w:tabs>
        <w:spacing w:after="120"/>
        <w:ind w:left="2410"/>
        <w:rPr>
          <w:rFonts w:cs="Arial"/>
          <w:szCs w:val="20"/>
        </w:rPr>
      </w:pPr>
      <w:bookmarkStart w:id="232" w:name="_Ref53584876"/>
      <w:r w:rsidRPr="000E5786">
        <w:rPr>
          <w:rFonts w:cs="Arial"/>
          <w:szCs w:val="20"/>
        </w:rPr>
        <w:t>the Supplier shall comply with the Rectification Plan Process; and</w:t>
      </w:r>
      <w:bookmarkEnd w:id="232"/>
    </w:p>
    <w:p w14:paraId="33BDCC3F" w14:textId="477F3C53" w:rsidR="0048699F" w:rsidRPr="000E5786" w:rsidRDefault="001F1C19" w:rsidP="00834C1A">
      <w:pPr>
        <w:pStyle w:val="Heading4"/>
        <w:tabs>
          <w:tab w:val="clear" w:pos="1702"/>
        </w:tabs>
        <w:spacing w:after="120"/>
        <w:ind w:left="2410"/>
        <w:rPr>
          <w:rFonts w:cs="Arial"/>
          <w:szCs w:val="20"/>
        </w:rPr>
      </w:pPr>
      <w:bookmarkStart w:id="233" w:name="_Ref53584877"/>
      <w:proofErr w:type="spellStart"/>
      <w:r>
        <w:rPr>
          <w:rFonts w:cs="Arial"/>
          <w:szCs w:val="20"/>
        </w:rPr>
        <w:t>Netlink</w:t>
      </w:r>
      <w:proofErr w:type="spellEnd"/>
      <w:r>
        <w:rPr>
          <w:rFonts w:cs="Arial"/>
          <w:szCs w:val="20"/>
        </w:rPr>
        <w:t xml:space="preserve"> Star</w:t>
      </w:r>
      <w:r w:rsidR="0048699F" w:rsidRPr="000E5786">
        <w:rPr>
          <w:rFonts w:cs="Arial"/>
          <w:szCs w:val="20"/>
        </w:rPr>
        <w:t xml:space="preserve"> may withhold a proportionate amount of the Service Charges in accordance with the process set out in clause </w:t>
      </w:r>
      <w:r w:rsidR="000C03E2" w:rsidRPr="000E5786">
        <w:rPr>
          <w:rFonts w:cs="Arial"/>
          <w:szCs w:val="20"/>
        </w:rPr>
        <w:fldChar w:fldCharType="begin"/>
      </w:r>
      <w:r w:rsidR="000C03E2" w:rsidRPr="000E5786">
        <w:rPr>
          <w:rFonts w:cs="Arial"/>
          <w:szCs w:val="20"/>
        </w:rPr>
        <w:instrText xml:space="preserve">  REF _Ref53584953 \w \h \* MERGEFORMAT </w:instrText>
      </w:r>
      <w:r w:rsidR="000C03E2" w:rsidRPr="000E5786">
        <w:rPr>
          <w:rFonts w:cs="Arial"/>
          <w:szCs w:val="20"/>
        </w:rPr>
      </w:r>
      <w:r w:rsidR="000C03E2" w:rsidRPr="000E5786">
        <w:rPr>
          <w:rFonts w:cs="Arial"/>
          <w:szCs w:val="20"/>
        </w:rPr>
        <w:fldChar w:fldCharType="separate"/>
      </w:r>
      <w:r w:rsidR="002523A8" w:rsidRPr="000E5786">
        <w:rPr>
          <w:rFonts w:cs="Arial"/>
          <w:szCs w:val="20"/>
        </w:rPr>
        <w:t>12.9</w:t>
      </w:r>
      <w:r w:rsidR="000C03E2" w:rsidRPr="000E5786">
        <w:rPr>
          <w:rFonts w:cs="Arial"/>
          <w:szCs w:val="20"/>
        </w:rPr>
        <w:fldChar w:fldCharType="end"/>
      </w:r>
      <w:r w:rsidR="0048699F" w:rsidRPr="000E5786">
        <w:rPr>
          <w:rFonts w:cs="Arial"/>
          <w:szCs w:val="20"/>
        </w:rPr>
        <w:t xml:space="preserve"> (Set Off and Withholding) until the relevant Material PI Failure is rectified to the reasonable satisfaction of </w:t>
      </w:r>
      <w:proofErr w:type="spellStart"/>
      <w:r>
        <w:rPr>
          <w:rFonts w:cs="Arial"/>
          <w:szCs w:val="20"/>
        </w:rPr>
        <w:t>Netlink</w:t>
      </w:r>
      <w:proofErr w:type="spellEnd"/>
      <w:r>
        <w:rPr>
          <w:rFonts w:cs="Arial"/>
          <w:szCs w:val="20"/>
        </w:rPr>
        <w:t xml:space="preserve"> Star</w:t>
      </w:r>
      <w:r w:rsidR="0048699F" w:rsidRPr="000E5786">
        <w:rPr>
          <w:rFonts w:cs="Arial"/>
          <w:szCs w:val="20"/>
        </w:rPr>
        <w:t xml:space="preserve">, at which point </w:t>
      </w:r>
      <w:proofErr w:type="spellStart"/>
      <w:r>
        <w:rPr>
          <w:rFonts w:cs="Arial"/>
          <w:szCs w:val="20"/>
        </w:rPr>
        <w:t>Netlink</w:t>
      </w:r>
      <w:proofErr w:type="spellEnd"/>
      <w:r>
        <w:rPr>
          <w:rFonts w:cs="Arial"/>
          <w:szCs w:val="20"/>
        </w:rPr>
        <w:t xml:space="preserve"> Star</w:t>
      </w:r>
      <w:r w:rsidR="0048699F" w:rsidRPr="000E5786">
        <w:rPr>
          <w:rFonts w:cs="Arial"/>
          <w:szCs w:val="20"/>
        </w:rPr>
        <w:t xml:space="preserve"> shall pay the amount withheld.</w:t>
      </w:r>
      <w:bookmarkEnd w:id="233"/>
    </w:p>
    <w:p w14:paraId="2213A202" w14:textId="43B3EE9F" w:rsidR="0048699F" w:rsidRPr="000E5786" w:rsidRDefault="0048699F" w:rsidP="00DD60F0">
      <w:pPr>
        <w:pStyle w:val="Heading2"/>
        <w:spacing w:after="120"/>
        <w:rPr>
          <w:rFonts w:cs="Arial"/>
          <w:szCs w:val="20"/>
        </w:rPr>
      </w:pPr>
      <w:bookmarkStart w:id="234" w:name="_Ref53584878"/>
      <w:r w:rsidRPr="000E5786">
        <w:rPr>
          <w:rFonts w:cs="Arial"/>
          <w:szCs w:val="20"/>
        </w:rPr>
        <w:t xml:space="preserve">Service Credits shall </w:t>
      </w:r>
      <w:r w:rsidR="001030D2" w:rsidRPr="000E5786">
        <w:rPr>
          <w:rFonts w:cs="Arial"/>
          <w:szCs w:val="20"/>
        </w:rPr>
        <w:t xml:space="preserve">not </w:t>
      </w:r>
      <w:r w:rsidRPr="000E5786">
        <w:rPr>
          <w:rFonts w:cs="Arial"/>
          <w:szCs w:val="20"/>
        </w:rPr>
        <w:t xml:space="preserve">be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’s exclusive financial remedy for a KPI Failure</w:t>
      </w:r>
      <w:r w:rsidR="001030D2" w:rsidRPr="000E5786">
        <w:rPr>
          <w:rFonts w:cs="Arial"/>
          <w:szCs w:val="20"/>
        </w:rPr>
        <w:t>.</w:t>
      </w:r>
      <w:r w:rsidRPr="000E5786">
        <w:rPr>
          <w:rFonts w:cs="Arial"/>
          <w:szCs w:val="20"/>
        </w:rPr>
        <w:t xml:space="preserve"> </w:t>
      </w:r>
      <w:bookmarkEnd w:id="234"/>
    </w:p>
    <w:p w14:paraId="66E53B3A" w14:textId="138759D4" w:rsidR="0048699F" w:rsidRPr="000E5786" w:rsidRDefault="0048699F" w:rsidP="00CE5734">
      <w:pPr>
        <w:pStyle w:val="BodyText"/>
        <w:spacing w:after="120"/>
        <w:ind w:left="709" w:firstLine="1"/>
        <w:rPr>
          <w:rFonts w:cs="Arial"/>
          <w:szCs w:val="20"/>
          <w:u w:val="single"/>
        </w:rPr>
      </w:pPr>
      <w:r w:rsidRPr="000E5786">
        <w:rPr>
          <w:rFonts w:cs="Arial"/>
          <w:szCs w:val="20"/>
          <w:u w:val="single"/>
        </w:rPr>
        <w:t>Unacceptable KPI Failure</w:t>
      </w:r>
    </w:p>
    <w:p w14:paraId="031DFDCF" w14:textId="4762BE39" w:rsidR="0048699F" w:rsidRPr="000E5786" w:rsidRDefault="0048699F" w:rsidP="00DD60F0">
      <w:pPr>
        <w:pStyle w:val="Heading2"/>
        <w:spacing w:after="120"/>
        <w:rPr>
          <w:rFonts w:cs="Arial"/>
          <w:szCs w:val="20"/>
        </w:rPr>
      </w:pPr>
      <w:bookmarkStart w:id="235" w:name="_Ref53584888"/>
      <w:r w:rsidRPr="000E5786">
        <w:rPr>
          <w:rFonts w:cs="Arial"/>
          <w:szCs w:val="20"/>
        </w:rPr>
        <w:t xml:space="preserve">If in any Service </w:t>
      </w:r>
      <w:proofErr w:type="gramStart"/>
      <w:r w:rsidRPr="000E5786">
        <w:rPr>
          <w:rFonts w:cs="Arial"/>
          <w:szCs w:val="20"/>
        </w:rPr>
        <w:t>Period</w:t>
      </w:r>
      <w:proofErr w:type="gramEnd"/>
      <w:r w:rsidRPr="000E5786">
        <w:rPr>
          <w:rFonts w:cs="Arial"/>
          <w:szCs w:val="20"/>
        </w:rPr>
        <w:t xml:space="preserve"> an Unacceptable KPI Failure occurs:</w:t>
      </w:r>
      <w:bookmarkEnd w:id="235"/>
    </w:p>
    <w:p w14:paraId="309EAA98" w14:textId="4513A680" w:rsidR="0048699F" w:rsidRPr="000E5786" w:rsidRDefault="001F1C19" w:rsidP="00346A37">
      <w:pPr>
        <w:pStyle w:val="Heading3"/>
      </w:pPr>
      <w:bookmarkStart w:id="236" w:name="_Ref53584889"/>
      <w:proofErr w:type="spellStart"/>
      <w:r>
        <w:t>Netlink</w:t>
      </w:r>
      <w:proofErr w:type="spellEnd"/>
      <w:r>
        <w:t xml:space="preserve"> Star</w:t>
      </w:r>
      <w:r w:rsidR="0048699F" w:rsidRPr="000E5786">
        <w:t xml:space="preserve"> shall (subject to the Service Credit Cap set out in clause </w:t>
      </w:r>
      <w:r w:rsidR="00D07A29" w:rsidRPr="000E5786">
        <w:fldChar w:fldCharType="begin"/>
      </w:r>
      <w:r w:rsidR="00D07A29" w:rsidRPr="000E5786">
        <w:instrText xml:space="preserve">  REF _Ref53585365 \w \h \* MERGEFORMAT </w:instrText>
      </w:r>
      <w:r w:rsidR="00D07A29" w:rsidRPr="000E5786">
        <w:fldChar w:fldCharType="separate"/>
      </w:r>
      <w:r w:rsidR="002523A8" w:rsidRPr="000E5786">
        <w:t>28.4.2</w:t>
      </w:r>
      <w:r w:rsidR="00D07A29" w:rsidRPr="000E5786">
        <w:fldChar w:fldCharType="end"/>
      </w:r>
      <w:r w:rsidR="0048699F" w:rsidRPr="000E5786">
        <w:t xml:space="preserve"> (Financial and other limits)) be entitled to withhold and retain as compensation for </w:t>
      </w:r>
      <w:r w:rsidR="0048699F" w:rsidRPr="000E5786">
        <w:lastRenderedPageBreak/>
        <w:t>the Unacceptable KPI Failure a sum equal to any Service Charges which would otherwise have been due to the Supplier in respect of that Service Period (such sum being “</w:t>
      </w:r>
      <w:r w:rsidR="0048699F" w:rsidRPr="000E5786">
        <w:rPr>
          <w:b/>
        </w:rPr>
        <w:t>Compensation for Unacceptable KPI Failure</w:t>
      </w:r>
      <w:r w:rsidR="0048699F" w:rsidRPr="000E5786">
        <w:t>”); and</w:t>
      </w:r>
      <w:bookmarkEnd w:id="236"/>
    </w:p>
    <w:p w14:paraId="52034C22" w14:textId="75758FA7" w:rsidR="0048699F" w:rsidRPr="000E5786" w:rsidRDefault="0048699F" w:rsidP="00346A37">
      <w:pPr>
        <w:pStyle w:val="Heading3"/>
      </w:pPr>
      <w:bookmarkStart w:id="237" w:name="_Ref53584890"/>
      <w:r w:rsidRPr="000E5786">
        <w:t xml:space="preserve">if </w:t>
      </w:r>
      <w:proofErr w:type="spellStart"/>
      <w:r w:rsidR="001F1C19">
        <w:t>Netlink</w:t>
      </w:r>
      <w:proofErr w:type="spellEnd"/>
      <w:r w:rsidR="001F1C19">
        <w:t xml:space="preserve"> Star</w:t>
      </w:r>
      <w:r w:rsidRPr="000E5786">
        <w:t xml:space="preserve"> withholds and retains such Compensation for Unacceptable KPI Failure, any Service Points and Service Credits that would otherwise have accrued during the relevant Service Period shall not accrue,</w:t>
      </w:r>
      <w:bookmarkEnd w:id="237"/>
    </w:p>
    <w:p w14:paraId="638C86B2" w14:textId="3D62AD59" w:rsidR="0048699F" w:rsidRPr="000E5786" w:rsidRDefault="0048699F" w:rsidP="00834C1A">
      <w:pPr>
        <w:pStyle w:val="BodyText2"/>
        <w:spacing w:after="120"/>
        <w:ind w:firstLine="0"/>
        <w:rPr>
          <w:rFonts w:cs="Arial"/>
          <w:szCs w:val="20"/>
        </w:rPr>
      </w:pPr>
      <w:r w:rsidRPr="000E5786">
        <w:rPr>
          <w:rFonts w:cs="Arial"/>
          <w:szCs w:val="20"/>
        </w:rPr>
        <w:t xml:space="preserve">provided that the operation of this clause </w:t>
      </w:r>
      <w:r w:rsidR="00D07A29" w:rsidRPr="000E5786">
        <w:rPr>
          <w:rFonts w:cs="Arial"/>
          <w:szCs w:val="20"/>
        </w:rPr>
        <w:fldChar w:fldCharType="begin"/>
      </w:r>
      <w:r w:rsidR="00D07A29" w:rsidRPr="000E5786">
        <w:rPr>
          <w:rFonts w:cs="Arial"/>
          <w:szCs w:val="20"/>
        </w:rPr>
        <w:instrText xml:space="preserve">  REF _Ref53584888 \w \h \* MERGEFORMAT </w:instrText>
      </w:r>
      <w:r w:rsidR="00D07A29" w:rsidRPr="000E5786">
        <w:rPr>
          <w:rFonts w:cs="Arial"/>
          <w:szCs w:val="20"/>
        </w:rPr>
      </w:r>
      <w:r w:rsidR="00D07A29" w:rsidRPr="000E5786">
        <w:rPr>
          <w:rFonts w:cs="Arial"/>
          <w:szCs w:val="20"/>
        </w:rPr>
        <w:fldChar w:fldCharType="separate"/>
      </w:r>
      <w:r w:rsidR="002523A8" w:rsidRPr="000E5786">
        <w:rPr>
          <w:rFonts w:cs="Arial"/>
          <w:szCs w:val="20"/>
        </w:rPr>
        <w:t>8.4</w:t>
      </w:r>
      <w:r w:rsidR="00D07A29" w:rsidRPr="000E5786">
        <w:rPr>
          <w:rFonts w:cs="Arial"/>
          <w:szCs w:val="20"/>
        </w:rPr>
        <w:fldChar w:fldCharType="end"/>
      </w:r>
      <w:r w:rsidRPr="000E5786">
        <w:rPr>
          <w:rFonts w:cs="Arial"/>
          <w:szCs w:val="20"/>
        </w:rPr>
        <w:t xml:space="preserve"> shall be without prejudice to any right which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have to terminate this Agreement and/or to claim damages from the Supplier </w:t>
      </w:r>
      <w:proofErr w:type="gramStart"/>
      <w:r w:rsidRPr="000E5786">
        <w:rPr>
          <w:rFonts w:cs="Arial"/>
          <w:szCs w:val="20"/>
        </w:rPr>
        <w:t>as a result of</w:t>
      </w:r>
      <w:proofErr w:type="gramEnd"/>
      <w:r w:rsidRPr="000E5786">
        <w:rPr>
          <w:rFonts w:cs="Arial"/>
          <w:szCs w:val="20"/>
        </w:rPr>
        <w:t xml:space="preserve"> such Unacceptable KPI Failure.</w:t>
      </w:r>
    </w:p>
    <w:p w14:paraId="21184C68" w14:textId="72D6779D" w:rsidR="0048699F" w:rsidRPr="000E5786" w:rsidRDefault="0048699F" w:rsidP="00DD60F0">
      <w:pPr>
        <w:pStyle w:val="Heading2"/>
        <w:spacing w:after="120"/>
        <w:rPr>
          <w:rFonts w:cs="Arial"/>
          <w:szCs w:val="20"/>
        </w:rPr>
      </w:pPr>
      <w:bookmarkStart w:id="238" w:name="_Ref53584891"/>
      <w:r w:rsidRPr="000E5786">
        <w:rPr>
          <w:rFonts w:cs="Arial"/>
          <w:szCs w:val="20"/>
        </w:rPr>
        <w:t>The Supplier:</w:t>
      </w:r>
      <w:bookmarkEnd w:id="238"/>
    </w:p>
    <w:p w14:paraId="3C380148" w14:textId="31352764" w:rsidR="0048699F" w:rsidRPr="000E5786" w:rsidRDefault="0048699F" w:rsidP="00346A37">
      <w:pPr>
        <w:pStyle w:val="Heading3"/>
      </w:pPr>
      <w:bookmarkStart w:id="239" w:name="_Ref53584892"/>
      <w:r w:rsidRPr="000E5786">
        <w:t xml:space="preserve">agrees that the application of clause </w:t>
      </w:r>
      <w:r w:rsidR="00D07A29" w:rsidRPr="000E5786">
        <w:fldChar w:fldCharType="begin"/>
      </w:r>
      <w:r w:rsidR="00D07A29" w:rsidRPr="000E5786">
        <w:instrText xml:space="preserve">  REF _Ref53584888 \w \h \* MERGEFORMAT </w:instrText>
      </w:r>
      <w:r w:rsidR="00D07A29" w:rsidRPr="000E5786">
        <w:fldChar w:fldCharType="separate"/>
      </w:r>
      <w:r w:rsidR="002523A8" w:rsidRPr="000E5786">
        <w:t>8.4</w:t>
      </w:r>
      <w:r w:rsidR="00D07A29" w:rsidRPr="000E5786">
        <w:fldChar w:fldCharType="end"/>
      </w:r>
      <w:r w:rsidRPr="000E5786">
        <w:t xml:space="preserve"> is commercially justifiable where an Unacceptable KPI Failure occurs; and</w:t>
      </w:r>
      <w:bookmarkEnd w:id="239"/>
    </w:p>
    <w:p w14:paraId="4B95F648" w14:textId="457E4703" w:rsidR="0048699F" w:rsidRPr="000E5786" w:rsidRDefault="0048699F" w:rsidP="00346A37">
      <w:pPr>
        <w:pStyle w:val="Heading3"/>
      </w:pPr>
      <w:bookmarkStart w:id="240" w:name="_Ref53584893"/>
      <w:r w:rsidRPr="000E5786">
        <w:t xml:space="preserve">acknowledges that it has taken legal advice on the application of clause </w:t>
      </w:r>
      <w:r w:rsidR="00D07A29" w:rsidRPr="000E5786">
        <w:fldChar w:fldCharType="begin"/>
      </w:r>
      <w:r w:rsidR="00D07A29" w:rsidRPr="000E5786">
        <w:instrText xml:space="preserve">  REF _Ref53584888 \w \h \* MERGEFORMAT </w:instrText>
      </w:r>
      <w:r w:rsidR="00D07A29" w:rsidRPr="000E5786">
        <w:fldChar w:fldCharType="separate"/>
      </w:r>
      <w:r w:rsidR="002523A8" w:rsidRPr="000E5786">
        <w:t>8.4</w:t>
      </w:r>
      <w:r w:rsidR="00D07A29" w:rsidRPr="000E5786">
        <w:fldChar w:fldCharType="end"/>
      </w:r>
      <w:r w:rsidRPr="000E5786">
        <w:t xml:space="preserve"> and has had the opportunity to price for that risk when calculating the Service Charges.</w:t>
      </w:r>
      <w:bookmarkEnd w:id="240"/>
    </w:p>
    <w:p w14:paraId="5315FACD" w14:textId="7F40A922" w:rsidR="0048699F" w:rsidRPr="000E5786" w:rsidRDefault="0048699F" w:rsidP="00CE5734">
      <w:pPr>
        <w:pStyle w:val="BodyText"/>
        <w:spacing w:after="120"/>
        <w:ind w:left="709" w:firstLine="1"/>
        <w:rPr>
          <w:rFonts w:cs="Arial"/>
          <w:szCs w:val="20"/>
          <w:u w:val="single"/>
        </w:rPr>
      </w:pPr>
      <w:r w:rsidRPr="000E5786">
        <w:rPr>
          <w:rFonts w:cs="Arial"/>
          <w:szCs w:val="20"/>
          <w:u w:val="single"/>
        </w:rPr>
        <w:t>Critical Performance Failure</w:t>
      </w:r>
    </w:p>
    <w:p w14:paraId="0D4371BA" w14:textId="737CCA96" w:rsidR="0048699F" w:rsidRPr="000E5786" w:rsidRDefault="0048699F" w:rsidP="00DD60F0">
      <w:pPr>
        <w:pStyle w:val="Heading2"/>
        <w:spacing w:after="120"/>
        <w:rPr>
          <w:rFonts w:cs="Arial"/>
          <w:szCs w:val="20"/>
        </w:rPr>
      </w:pPr>
      <w:bookmarkStart w:id="241" w:name="_Ref53584894"/>
      <w:r w:rsidRPr="000E5786">
        <w:rPr>
          <w:rFonts w:cs="Arial"/>
          <w:szCs w:val="20"/>
        </w:rPr>
        <w:t xml:space="preserve">If a Critical Performance Failure occurs,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exercise its rights to terminate this Agreement in whole or in part pursuant to clause </w:t>
      </w:r>
      <w:r w:rsidR="00831754" w:rsidRPr="000E5786">
        <w:rPr>
          <w:rFonts w:cs="Arial"/>
          <w:szCs w:val="20"/>
        </w:rPr>
        <w:fldChar w:fldCharType="begin"/>
      </w:r>
      <w:r w:rsidR="00831754" w:rsidRPr="000E5786">
        <w:rPr>
          <w:rFonts w:cs="Arial"/>
          <w:szCs w:val="20"/>
        </w:rPr>
        <w:instrText xml:space="preserve">  REF _Ref53585546 \w \h \* MERGEFORMAT </w:instrText>
      </w:r>
      <w:r w:rsidR="00831754" w:rsidRPr="000E5786">
        <w:rPr>
          <w:rFonts w:cs="Arial"/>
          <w:szCs w:val="20"/>
        </w:rPr>
      </w:r>
      <w:r w:rsidR="00831754" w:rsidRPr="000E5786">
        <w:rPr>
          <w:rFonts w:cs="Arial"/>
          <w:szCs w:val="20"/>
        </w:rPr>
        <w:fldChar w:fldCharType="separate"/>
      </w:r>
      <w:r w:rsidR="002523A8" w:rsidRPr="000E5786">
        <w:rPr>
          <w:rFonts w:cs="Arial"/>
          <w:szCs w:val="20"/>
        </w:rPr>
        <w:t>36.1</w:t>
      </w:r>
      <w:r w:rsidR="00831754" w:rsidRPr="000E5786">
        <w:rPr>
          <w:rFonts w:cs="Arial"/>
          <w:szCs w:val="20"/>
        </w:rPr>
        <w:fldChar w:fldCharType="end"/>
      </w:r>
      <w:r w:rsidRPr="000E5786">
        <w:rPr>
          <w:rFonts w:cs="Arial"/>
          <w:szCs w:val="20"/>
        </w:rPr>
        <w:t xml:space="preserve"> or </w:t>
      </w:r>
      <w:r w:rsidR="00831754" w:rsidRPr="000E5786">
        <w:rPr>
          <w:rFonts w:cs="Arial"/>
          <w:szCs w:val="20"/>
        </w:rPr>
        <w:fldChar w:fldCharType="begin"/>
      </w:r>
      <w:r w:rsidR="00831754" w:rsidRPr="000E5786">
        <w:rPr>
          <w:rFonts w:cs="Arial"/>
          <w:szCs w:val="20"/>
        </w:rPr>
        <w:instrText xml:space="preserve">  REF _Ref53585551 \w \h \* MERGEFORMAT </w:instrText>
      </w:r>
      <w:r w:rsidR="00831754" w:rsidRPr="000E5786">
        <w:rPr>
          <w:rFonts w:cs="Arial"/>
          <w:szCs w:val="20"/>
        </w:rPr>
      </w:r>
      <w:r w:rsidR="00831754" w:rsidRPr="000E5786">
        <w:rPr>
          <w:rFonts w:cs="Arial"/>
          <w:szCs w:val="20"/>
        </w:rPr>
        <w:fldChar w:fldCharType="separate"/>
      </w:r>
      <w:r w:rsidR="002523A8" w:rsidRPr="000E5786">
        <w:rPr>
          <w:rFonts w:cs="Arial"/>
          <w:szCs w:val="20"/>
        </w:rPr>
        <w:t>36.2</w:t>
      </w:r>
      <w:r w:rsidR="00831754" w:rsidRPr="000E5786">
        <w:rPr>
          <w:rFonts w:cs="Arial"/>
          <w:szCs w:val="20"/>
        </w:rPr>
        <w:fldChar w:fldCharType="end"/>
      </w:r>
      <w:r w:rsidRPr="000E5786">
        <w:rPr>
          <w:rFonts w:cs="Arial"/>
          <w:szCs w:val="20"/>
        </w:rPr>
        <w:t xml:space="preserve"> (Termination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w:t>
      </w:r>
      <w:bookmarkEnd w:id="241"/>
    </w:p>
    <w:p w14:paraId="6F6EAB95" w14:textId="013B146E" w:rsidR="0048699F" w:rsidRPr="000E5786" w:rsidRDefault="0048699F" w:rsidP="00CE5734">
      <w:pPr>
        <w:pStyle w:val="BodyText"/>
        <w:spacing w:after="120"/>
        <w:ind w:left="709" w:firstLine="1"/>
        <w:rPr>
          <w:rFonts w:cs="Arial"/>
          <w:szCs w:val="20"/>
          <w:u w:val="single"/>
        </w:rPr>
      </w:pPr>
      <w:r w:rsidRPr="000E5786">
        <w:rPr>
          <w:rFonts w:cs="Arial"/>
          <w:szCs w:val="20"/>
          <w:u w:val="single"/>
        </w:rPr>
        <w:t>Changes to Performance Indicators and Service Credits</w:t>
      </w:r>
    </w:p>
    <w:p w14:paraId="03B96A1E" w14:textId="55A6DC62" w:rsidR="0048699F" w:rsidRPr="000E5786" w:rsidRDefault="0048699F" w:rsidP="00DD60F0">
      <w:pPr>
        <w:pStyle w:val="Heading2"/>
        <w:spacing w:after="120"/>
        <w:rPr>
          <w:rFonts w:cs="Arial"/>
          <w:szCs w:val="20"/>
        </w:rPr>
      </w:pPr>
      <w:bookmarkStart w:id="242" w:name="_Ref53584895"/>
      <w:r w:rsidRPr="000E5786">
        <w:rPr>
          <w:rFonts w:cs="Arial"/>
          <w:szCs w:val="20"/>
        </w:rPr>
        <w:t xml:space="preserve">Not more than once in each Contract Year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on giving the Supplier at least three (3) months’ notice:</w:t>
      </w:r>
      <w:bookmarkEnd w:id="242"/>
    </w:p>
    <w:p w14:paraId="7B28C574" w14:textId="56CFD3C6" w:rsidR="0048699F" w:rsidRPr="000E5786" w:rsidRDefault="0048699F" w:rsidP="00346A37">
      <w:pPr>
        <w:pStyle w:val="Heading3"/>
      </w:pPr>
      <w:bookmarkStart w:id="243" w:name="_Ref53584896"/>
      <w:r w:rsidRPr="000E5786">
        <w:t>change the weighting that applies in respect of one or more specific Key Performance Indicators; and/or</w:t>
      </w:r>
      <w:bookmarkEnd w:id="243"/>
    </w:p>
    <w:p w14:paraId="662BFB0F" w14:textId="696D117E" w:rsidR="0048699F" w:rsidRPr="000E5786" w:rsidRDefault="0048699F" w:rsidP="00346A37">
      <w:pPr>
        <w:pStyle w:val="Heading3"/>
      </w:pPr>
      <w:bookmarkStart w:id="244" w:name="_Ref53584897"/>
      <w:r w:rsidRPr="000E5786">
        <w:t>convert one or more:</w:t>
      </w:r>
      <w:bookmarkEnd w:id="244"/>
    </w:p>
    <w:p w14:paraId="2600EF73" w14:textId="41A3B11F" w:rsidR="0048699F" w:rsidRPr="000E5786" w:rsidRDefault="0048699F" w:rsidP="00834C1A">
      <w:pPr>
        <w:pStyle w:val="Heading4"/>
        <w:tabs>
          <w:tab w:val="clear" w:pos="1702"/>
        </w:tabs>
        <w:spacing w:after="120"/>
        <w:ind w:left="2410"/>
        <w:rPr>
          <w:rFonts w:cs="Arial"/>
          <w:szCs w:val="20"/>
        </w:rPr>
      </w:pPr>
      <w:bookmarkStart w:id="245" w:name="_Ref53584898"/>
      <w:r w:rsidRPr="000E5786">
        <w:rPr>
          <w:rFonts w:cs="Arial"/>
          <w:szCs w:val="20"/>
        </w:rPr>
        <w:t>Key Performance Indicators into a Subsidiary Performance</w:t>
      </w:r>
      <w:r w:rsidR="0039011B" w:rsidRPr="000E5786">
        <w:rPr>
          <w:rFonts w:cs="Arial"/>
          <w:szCs w:val="20"/>
        </w:rPr>
        <w:t xml:space="preserve"> I</w:t>
      </w:r>
      <w:r w:rsidRPr="000E5786">
        <w:rPr>
          <w:rFonts w:cs="Arial"/>
          <w:szCs w:val="20"/>
        </w:rPr>
        <w:t>ndicator; and/or</w:t>
      </w:r>
      <w:bookmarkEnd w:id="245"/>
    </w:p>
    <w:p w14:paraId="0CEED4FD" w14:textId="6AAD767F" w:rsidR="0048699F" w:rsidRPr="000E5786" w:rsidRDefault="0048699F" w:rsidP="00834C1A">
      <w:pPr>
        <w:pStyle w:val="Heading4"/>
        <w:tabs>
          <w:tab w:val="clear" w:pos="1702"/>
        </w:tabs>
        <w:spacing w:after="120"/>
        <w:ind w:left="2410"/>
        <w:rPr>
          <w:rFonts w:cs="Arial"/>
          <w:szCs w:val="20"/>
        </w:rPr>
      </w:pPr>
      <w:bookmarkStart w:id="246" w:name="_Ref53584899"/>
      <w:r w:rsidRPr="000E5786">
        <w:rPr>
          <w:rFonts w:cs="Arial"/>
          <w:szCs w:val="20"/>
        </w:rPr>
        <w:t xml:space="preserve">Subsidiary Performance Indicators into a Key Performance Indicator (in which event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also set out in the notice details of what will constitute a Minor KPI Failure, a Serious KPI Failure and a Severe KPI Failure for the new Key Performance Indicator).</w:t>
      </w:r>
      <w:bookmarkEnd w:id="246"/>
    </w:p>
    <w:p w14:paraId="416DA8F4" w14:textId="0103D127" w:rsidR="0048699F" w:rsidRPr="000E5786" w:rsidRDefault="0048699F" w:rsidP="00DD60F0">
      <w:pPr>
        <w:pStyle w:val="Heading2"/>
        <w:spacing w:after="120"/>
        <w:rPr>
          <w:rFonts w:cs="Arial"/>
          <w:szCs w:val="20"/>
        </w:rPr>
      </w:pPr>
      <w:bookmarkStart w:id="247" w:name="_Ref53584900"/>
      <w:r w:rsidRPr="000E5786">
        <w:rPr>
          <w:rFonts w:cs="Arial"/>
          <w:szCs w:val="20"/>
        </w:rPr>
        <w:t xml:space="preserve">The Supplier shall not be entitled to object to any changes made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under clause </w:t>
      </w:r>
      <w:r w:rsidR="001E4ABE" w:rsidRPr="000E5786">
        <w:rPr>
          <w:rFonts w:cs="Arial"/>
          <w:szCs w:val="20"/>
        </w:rPr>
        <w:fldChar w:fldCharType="begin"/>
      </w:r>
      <w:r w:rsidR="001E4ABE" w:rsidRPr="000E5786">
        <w:rPr>
          <w:rFonts w:cs="Arial"/>
          <w:szCs w:val="20"/>
        </w:rPr>
        <w:instrText xml:space="preserve">  REF _Ref53584895 \w \h \* MERGEFORMAT </w:instrText>
      </w:r>
      <w:r w:rsidR="001E4ABE" w:rsidRPr="000E5786">
        <w:rPr>
          <w:rFonts w:cs="Arial"/>
          <w:szCs w:val="20"/>
        </w:rPr>
      </w:r>
      <w:r w:rsidR="001E4ABE" w:rsidRPr="000E5786">
        <w:rPr>
          <w:rFonts w:cs="Arial"/>
          <w:szCs w:val="20"/>
        </w:rPr>
        <w:fldChar w:fldCharType="separate"/>
      </w:r>
      <w:r w:rsidR="002523A8" w:rsidRPr="000E5786">
        <w:rPr>
          <w:rFonts w:cs="Arial"/>
          <w:szCs w:val="20"/>
        </w:rPr>
        <w:t>8.7</w:t>
      </w:r>
      <w:r w:rsidR="001E4ABE" w:rsidRPr="000E5786">
        <w:rPr>
          <w:rFonts w:cs="Arial"/>
          <w:szCs w:val="20"/>
        </w:rPr>
        <w:fldChar w:fldCharType="end"/>
      </w:r>
      <w:r w:rsidRPr="000E5786">
        <w:rPr>
          <w:rFonts w:cs="Arial"/>
          <w:szCs w:val="20"/>
        </w:rPr>
        <w:t xml:space="preserve">, or increase the Service Charges </w:t>
      </w:r>
      <w:proofErr w:type="gramStart"/>
      <w:r w:rsidRPr="000E5786">
        <w:rPr>
          <w:rFonts w:cs="Arial"/>
          <w:szCs w:val="20"/>
        </w:rPr>
        <w:t>as a result of</w:t>
      </w:r>
      <w:proofErr w:type="gramEnd"/>
      <w:r w:rsidRPr="000E5786">
        <w:rPr>
          <w:rFonts w:cs="Arial"/>
          <w:szCs w:val="20"/>
        </w:rPr>
        <w:t xml:space="preserve"> such changes provided that:</w:t>
      </w:r>
      <w:bookmarkEnd w:id="247"/>
    </w:p>
    <w:p w14:paraId="26F77794" w14:textId="2762E689" w:rsidR="0048699F" w:rsidRPr="000E5786" w:rsidRDefault="0048699F" w:rsidP="00346A37">
      <w:pPr>
        <w:pStyle w:val="Heading3"/>
      </w:pPr>
      <w:bookmarkStart w:id="248" w:name="_Ref53584901"/>
      <w:r w:rsidRPr="000E5786">
        <w:t xml:space="preserve">the total number of Key Performance Indicators does not </w:t>
      </w:r>
      <w:proofErr w:type="gramStart"/>
      <w:r w:rsidRPr="000E5786">
        <w:t>exceed;</w:t>
      </w:r>
      <w:bookmarkEnd w:id="248"/>
      <w:proofErr w:type="gramEnd"/>
    </w:p>
    <w:p w14:paraId="7EB3218F" w14:textId="50425F57" w:rsidR="0048699F" w:rsidRPr="000E5786" w:rsidRDefault="0048699F" w:rsidP="00346A37">
      <w:pPr>
        <w:pStyle w:val="Heading3"/>
      </w:pPr>
      <w:bookmarkStart w:id="249" w:name="_Ref53584902"/>
      <w:r w:rsidRPr="000E5786">
        <w:t xml:space="preserve">the principal purpose of the change is to reflect changes in </w:t>
      </w:r>
      <w:proofErr w:type="spellStart"/>
      <w:r w:rsidR="001F1C19">
        <w:t>Netlink</w:t>
      </w:r>
      <w:proofErr w:type="spellEnd"/>
      <w:r w:rsidR="001F1C19">
        <w:t xml:space="preserve"> Star</w:t>
      </w:r>
      <w:r w:rsidRPr="000E5786">
        <w:t>’s business requirements and/or priorities or to reflect changing industry standards; and</w:t>
      </w:r>
      <w:bookmarkEnd w:id="249"/>
    </w:p>
    <w:p w14:paraId="391B5F04" w14:textId="560D1222" w:rsidR="0048699F" w:rsidRPr="000E5786" w:rsidRDefault="0048699F" w:rsidP="00346A37">
      <w:pPr>
        <w:pStyle w:val="Heading3"/>
      </w:pPr>
      <w:bookmarkStart w:id="250" w:name="_Ref53584903"/>
      <w:r w:rsidRPr="000E5786">
        <w:t>there is no change to the Service Credit Cap.</w:t>
      </w:r>
      <w:bookmarkEnd w:id="250"/>
    </w:p>
    <w:p w14:paraId="6A18DDDD" w14:textId="56397960" w:rsidR="0048699F" w:rsidRPr="000E5786" w:rsidRDefault="0048699F" w:rsidP="00DD60F0">
      <w:pPr>
        <w:pStyle w:val="Heading1"/>
        <w:spacing w:after="120"/>
        <w:rPr>
          <w:rFonts w:cs="Arial"/>
          <w:szCs w:val="20"/>
        </w:rPr>
      </w:pPr>
      <w:bookmarkStart w:id="251" w:name="_Ref53584904"/>
      <w:bookmarkStart w:id="252" w:name="_Ref53585706"/>
      <w:bookmarkStart w:id="253" w:name="_Toc71198933"/>
      <w:r w:rsidRPr="000E5786">
        <w:rPr>
          <w:rFonts w:cs="Arial"/>
          <w:szCs w:val="20"/>
        </w:rPr>
        <w:t>SERVICES IMPROVEMENT</w:t>
      </w:r>
      <w:bookmarkEnd w:id="251"/>
      <w:bookmarkEnd w:id="252"/>
      <w:bookmarkEnd w:id="253"/>
    </w:p>
    <w:p w14:paraId="57045714" w14:textId="37019274" w:rsidR="0048699F" w:rsidRPr="000E5786" w:rsidRDefault="0048699F" w:rsidP="00DD60F0">
      <w:pPr>
        <w:pStyle w:val="Heading2"/>
        <w:spacing w:after="120"/>
        <w:rPr>
          <w:rFonts w:cs="Arial"/>
          <w:szCs w:val="20"/>
        </w:rPr>
      </w:pPr>
      <w:bookmarkStart w:id="254" w:name="_Ref53584905"/>
      <w:r w:rsidRPr="000E5786">
        <w:rPr>
          <w:rFonts w:cs="Arial"/>
          <w:szCs w:val="20"/>
        </w:rPr>
        <w:t xml:space="preserve">The Supplier shall have an ongoing obligation throughout the Term to identify new or potential improvements to the Services in accordance with this clause </w:t>
      </w:r>
      <w:r w:rsidR="001E4ABE" w:rsidRPr="000E5786">
        <w:rPr>
          <w:rFonts w:cs="Arial"/>
          <w:szCs w:val="20"/>
        </w:rPr>
        <w:fldChar w:fldCharType="begin"/>
      </w:r>
      <w:r w:rsidR="001E4ABE" w:rsidRPr="000E5786">
        <w:rPr>
          <w:rFonts w:cs="Arial"/>
          <w:szCs w:val="20"/>
        </w:rPr>
        <w:instrText xml:space="preserve">  REF _Ref53585706 \w \h \* MERGEFORMAT </w:instrText>
      </w:r>
      <w:r w:rsidR="001E4ABE" w:rsidRPr="000E5786">
        <w:rPr>
          <w:rFonts w:cs="Arial"/>
          <w:szCs w:val="20"/>
        </w:rPr>
      </w:r>
      <w:r w:rsidR="001E4ABE" w:rsidRPr="000E5786">
        <w:rPr>
          <w:rFonts w:cs="Arial"/>
          <w:szCs w:val="20"/>
        </w:rPr>
        <w:fldChar w:fldCharType="separate"/>
      </w:r>
      <w:r w:rsidR="002523A8" w:rsidRPr="000E5786">
        <w:rPr>
          <w:rFonts w:cs="Arial"/>
          <w:szCs w:val="20"/>
        </w:rPr>
        <w:t>9</w:t>
      </w:r>
      <w:r w:rsidR="001E4ABE" w:rsidRPr="000E5786">
        <w:rPr>
          <w:rFonts w:cs="Arial"/>
          <w:szCs w:val="20"/>
        </w:rPr>
        <w:fldChar w:fldCharType="end"/>
      </w:r>
      <w:r w:rsidRPr="000E5786">
        <w:rPr>
          <w:rFonts w:cs="Arial"/>
          <w:szCs w:val="20"/>
        </w:rPr>
        <w:t>.</w:t>
      </w:r>
      <w:r w:rsidR="000578A4" w:rsidRPr="000E5786">
        <w:rPr>
          <w:rFonts w:cs="Arial"/>
          <w:szCs w:val="20"/>
        </w:rPr>
        <w:t xml:space="preserve"> </w:t>
      </w:r>
      <w:r w:rsidRPr="000E5786">
        <w:rPr>
          <w:rFonts w:cs="Arial"/>
          <w:szCs w:val="20"/>
        </w:rPr>
        <w:t xml:space="preserve">As part of this obligation the Supplier shall identify and report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at least once every three (3) months on:</w:t>
      </w:r>
      <w:bookmarkEnd w:id="254"/>
    </w:p>
    <w:p w14:paraId="5C8D7467" w14:textId="52C0C220" w:rsidR="0048699F" w:rsidRPr="000E5786" w:rsidRDefault="0048699F" w:rsidP="00346A37">
      <w:pPr>
        <w:pStyle w:val="Heading3"/>
      </w:pPr>
      <w:bookmarkStart w:id="255" w:name="_Ref53584906"/>
      <w:r w:rsidRPr="000E5786">
        <w:t xml:space="preserve">the emergence of new and evolving relevant technologies which could improve the IT Environment and/or the Services, and those technological advances potentially available to the Supplier and </w:t>
      </w:r>
      <w:proofErr w:type="spellStart"/>
      <w:r w:rsidR="001F1C19">
        <w:t>Netlink</w:t>
      </w:r>
      <w:proofErr w:type="spellEnd"/>
      <w:r w:rsidR="001F1C19">
        <w:t xml:space="preserve"> Star</w:t>
      </w:r>
      <w:r w:rsidRPr="000E5786">
        <w:t xml:space="preserve"> which the Parties may wish to </w:t>
      </w:r>
      <w:proofErr w:type="gramStart"/>
      <w:r w:rsidRPr="000E5786">
        <w:t>adopt;</w:t>
      </w:r>
      <w:bookmarkEnd w:id="255"/>
      <w:proofErr w:type="gramEnd"/>
    </w:p>
    <w:p w14:paraId="4FDB4CA3" w14:textId="144E125F" w:rsidR="0048699F" w:rsidRPr="000E5786" w:rsidRDefault="0048699F" w:rsidP="00346A37">
      <w:pPr>
        <w:pStyle w:val="Heading3"/>
      </w:pPr>
      <w:bookmarkStart w:id="256" w:name="_Ref53584907"/>
      <w:r w:rsidRPr="000E5786">
        <w:t>new or potential improvements to the Services including the quality,</w:t>
      </w:r>
      <w:r w:rsidR="00492519" w:rsidRPr="000E5786">
        <w:t xml:space="preserve"> </w:t>
      </w:r>
      <w:r w:rsidRPr="000E5786">
        <w:t xml:space="preserve">responsiveness, procedures, benchmarking methods, likely performance mechanisms and customer support services in relation to the </w:t>
      </w:r>
      <w:proofErr w:type="gramStart"/>
      <w:r w:rsidRPr="000E5786">
        <w:t>Services;</w:t>
      </w:r>
      <w:bookmarkEnd w:id="256"/>
      <w:proofErr w:type="gramEnd"/>
    </w:p>
    <w:p w14:paraId="4CEA5337" w14:textId="2574CC66" w:rsidR="0048699F" w:rsidRPr="000E5786" w:rsidRDefault="0048699F" w:rsidP="00346A37">
      <w:pPr>
        <w:pStyle w:val="Heading3"/>
      </w:pPr>
      <w:bookmarkStart w:id="257" w:name="_Ref53584908"/>
      <w:r w:rsidRPr="000E5786">
        <w:t>new or potential improvements to the interfaces or integration of the Services</w:t>
      </w:r>
      <w:r w:rsidR="00492519" w:rsidRPr="000E5786">
        <w:t xml:space="preserve"> </w:t>
      </w:r>
      <w:r w:rsidRPr="000E5786">
        <w:t xml:space="preserve">with other services provided by third parties or </w:t>
      </w:r>
      <w:proofErr w:type="spellStart"/>
      <w:r w:rsidR="001F1C19">
        <w:t>Netlink</w:t>
      </w:r>
      <w:proofErr w:type="spellEnd"/>
      <w:r w:rsidR="001F1C19">
        <w:t xml:space="preserve"> Star</w:t>
      </w:r>
      <w:r w:rsidRPr="000E5786">
        <w:t xml:space="preserve"> which might result in efficiency or productivity gains or in reduction of operational </w:t>
      </w:r>
      <w:proofErr w:type="gramStart"/>
      <w:r w:rsidRPr="000E5786">
        <w:t>risk;</w:t>
      </w:r>
      <w:bookmarkEnd w:id="257"/>
      <w:proofErr w:type="gramEnd"/>
    </w:p>
    <w:p w14:paraId="548751A0" w14:textId="224FBEB8" w:rsidR="0048699F" w:rsidRPr="000E5786" w:rsidRDefault="0048699F" w:rsidP="00346A37">
      <w:pPr>
        <w:pStyle w:val="Heading3"/>
      </w:pPr>
      <w:bookmarkStart w:id="258" w:name="_Ref53584909"/>
      <w:r w:rsidRPr="000E5786">
        <w:lastRenderedPageBreak/>
        <w:t xml:space="preserve">changes in business processes and ways of working that would enable the Services to be delivered at lower cost and/or with greater benefits to </w:t>
      </w:r>
      <w:proofErr w:type="spellStart"/>
      <w:r w:rsidR="001F1C19">
        <w:t>Netlink</w:t>
      </w:r>
      <w:proofErr w:type="spellEnd"/>
      <w:r w:rsidR="001F1C19">
        <w:t xml:space="preserve"> Star</w:t>
      </w:r>
      <w:r w:rsidRPr="000E5786">
        <w:t>; and/or</w:t>
      </w:r>
      <w:bookmarkEnd w:id="258"/>
    </w:p>
    <w:p w14:paraId="66534F80" w14:textId="6D739E50" w:rsidR="0048699F" w:rsidRPr="000E5786" w:rsidRDefault="0048699F" w:rsidP="00346A37">
      <w:pPr>
        <w:pStyle w:val="Heading3"/>
      </w:pPr>
      <w:bookmarkStart w:id="259" w:name="_Ref53584910"/>
      <w:r w:rsidRPr="000E5786">
        <w:t>changes to the IT Environment, business processes and ways of working that would enable reductions in the total energy consumed in the delivery of Services.</w:t>
      </w:r>
      <w:bookmarkEnd w:id="259"/>
    </w:p>
    <w:p w14:paraId="251DBC51" w14:textId="2C80078D" w:rsidR="0048699F" w:rsidRPr="000E5786" w:rsidRDefault="0048699F" w:rsidP="00DD60F0">
      <w:pPr>
        <w:pStyle w:val="Heading2"/>
        <w:spacing w:after="120"/>
        <w:rPr>
          <w:rFonts w:cs="Arial"/>
          <w:szCs w:val="20"/>
        </w:rPr>
      </w:pPr>
      <w:bookmarkStart w:id="260" w:name="_Ref53584911"/>
      <w:r w:rsidRPr="000E5786">
        <w:rPr>
          <w:rFonts w:cs="Arial"/>
          <w:szCs w:val="20"/>
        </w:rPr>
        <w:t xml:space="preserve">The Supplier shall ensure that the information that it provides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be sufficient for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to decide whether any improvement should be implemented.</w:t>
      </w:r>
      <w:r w:rsidR="000578A4" w:rsidRPr="000E5786">
        <w:rPr>
          <w:rFonts w:cs="Arial"/>
          <w:szCs w:val="20"/>
        </w:rPr>
        <w:t xml:space="preserve"> </w:t>
      </w:r>
      <w:r w:rsidRPr="000E5786">
        <w:rPr>
          <w:rFonts w:cs="Arial"/>
          <w:szCs w:val="20"/>
        </w:rPr>
        <w:t xml:space="preserve">The Supplier shall provide any further information that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requests.</w:t>
      </w:r>
      <w:bookmarkEnd w:id="260"/>
    </w:p>
    <w:p w14:paraId="00CE289A" w14:textId="0679473F" w:rsidR="0048699F" w:rsidRPr="000E5786" w:rsidRDefault="0048699F" w:rsidP="00DD60F0">
      <w:pPr>
        <w:pStyle w:val="Heading2"/>
        <w:spacing w:after="120"/>
        <w:rPr>
          <w:rFonts w:cs="Arial"/>
          <w:szCs w:val="20"/>
        </w:rPr>
      </w:pPr>
      <w:bookmarkStart w:id="261" w:name="_Ref53584912"/>
      <w:r w:rsidRPr="000E5786">
        <w:rPr>
          <w:rFonts w:cs="Arial"/>
          <w:szCs w:val="20"/>
        </w:rPr>
        <w:t xml:space="preserve">If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wishes to incorporate any improvement identified by the Supplier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send the Supplier a Change Request in accordance with the Change Control Procedure.</w:t>
      </w:r>
      <w:bookmarkEnd w:id="261"/>
    </w:p>
    <w:p w14:paraId="7FF83FC2" w14:textId="3EDE7704" w:rsidR="0048699F" w:rsidRPr="000E5786" w:rsidRDefault="0048699F" w:rsidP="00DD60F0">
      <w:pPr>
        <w:pStyle w:val="Heading1"/>
        <w:spacing w:after="120"/>
        <w:rPr>
          <w:rFonts w:cs="Arial"/>
          <w:szCs w:val="20"/>
        </w:rPr>
      </w:pPr>
      <w:bookmarkStart w:id="262" w:name="_Ref53584913"/>
      <w:bookmarkStart w:id="263" w:name="_Ref53585707"/>
      <w:bookmarkStart w:id="264" w:name="_Toc71198934"/>
      <w:r w:rsidRPr="000E5786">
        <w:rPr>
          <w:rFonts w:cs="Arial"/>
          <w:szCs w:val="20"/>
        </w:rPr>
        <w:t>EARLY WARNING</w:t>
      </w:r>
      <w:bookmarkEnd w:id="262"/>
      <w:bookmarkEnd w:id="263"/>
      <w:bookmarkEnd w:id="264"/>
    </w:p>
    <w:p w14:paraId="71B2EEEF" w14:textId="368CE79D" w:rsidR="0048699F" w:rsidRPr="000E5786" w:rsidRDefault="0048699F" w:rsidP="00DD60F0">
      <w:pPr>
        <w:pStyle w:val="Heading2"/>
        <w:spacing w:after="120"/>
        <w:rPr>
          <w:rFonts w:cs="Arial"/>
          <w:szCs w:val="20"/>
        </w:rPr>
      </w:pPr>
      <w:bookmarkStart w:id="265" w:name="_Ref53584914"/>
      <w:r w:rsidRPr="000E5786">
        <w:rPr>
          <w:rFonts w:cs="Arial"/>
          <w:szCs w:val="20"/>
        </w:rPr>
        <w:t xml:space="preserve">Without prejudice to any other provisions of this Agreement, the Supplier shall give an early warning by notifying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as soon as possible after it becomes aware of any matter which could:</w:t>
      </w:r>
      <w:bookmarkEnd w:id="265"/>
    </w:p>
    <w:p w14:paraId="78853D22" w14:textId="7590F473" w:rsidR="0048699F" w:rsidRPr="000E5786" w:rsidRDefault="0048699F" w:rsidP="00346A37">
      <w:pPr>
        <w:pStyle w:val="Heading3"/>
      </w:pPr>
      <w:bookmarkStart w:id="266" w:name="_Ref53584915"/>
      <w:r w:rsidRPr="000E5786">
        <w:t xml:space="preserve">increase or reduce the </w:t>
      </w:r>
      <w:proofErr w:type="gramStart"/>
      <w:r w:rsidRPr="000E5786">
        <w:t>Charges;</w:t>
      </w:r>
      <w:bookmarkEnd w:id="266"/>
      <w:proofErr w:type="gramEnd"/>
    </w:p>
    <w:p w14:paraId="2A873A5D" w14:textId="080183DD" w:rsidR="0048699F" w:rsidRPr="000E5786" w:rsidRDefault="0048699F" w:rsidP="00346A37">
      <w:pPr>
        <w:pStyle w:val="Heading3"/>
      </w:pPr>
      <w:bookmarkStart w:id="267" w:name="_Ref53584916"/>
      <w:r w:rsidRPr="000E5786">
        <w:t xml:space="preserve">adversely affect the performance of the </w:t>
      </w:r>
      <w:proofErr w:type="gramStart"/>
      <w:r w:rsidRPr="000E5786">
        <w:t>Services;</w:t>
      </w:r>
      <w:bookmarkEnd w:id="267"/>
      <w:proofErr w:type="gramEnd"/>
    </w:p>
    <w:p w14:paraId="20D6C2C0" w14:textId="7C66D9CD" w:rsidR="0048699F" w:rsidRPr="000E5786" w:rsidRDefault="0048699F" w:rsidP="00346A37">
      <w:pPr>
        <w:pStyle w:val="Heading3"/>
      </w:pPr>
      <w:bookmarkStart w:id="268" w:name="_Ref53584917"/>
      <w:r w:rsidRPr="000E5786">
        <w:t xml:space="preserve">impair </w:t>
      </w:r>
      <w:proofErr w:type="spellStart"/>
      <w:r w:rsidR="001F1C19">
        <w:t>Netlink</w:t>
      </w:r>
      <w:proofErr w:type="spellEnd"/>
      <w:r w:rsidR="001F1C19">
        <w:t xml:space="preserve"> Star</w:t>
      </w:r>
      <w:r w:rsidRPr="000E5786">
        <w:t xml:space="preserve">’s ability to use the IT Environment or otherwise adversely affect </w:t>
      </w:r>
      <w:proofErr w:type="spellStart"/>
      <w:r w:rsidR="001F1C19">
        <w:t>Netlink</w:t>
      </w:r>
      <w:proofErr w:type="spellEnd"/>
      <w:r w:rsidR="001F1C19">
        <w:t xml:space="preserve"> Star</w:t>
      </w:r>
      <w:r w:rsidRPr="000E5786">
        <w:t>’s operations; or</w:t>
      </w:r>
      <w:bookmarkEnd w:id="268"/>
    </w:p>
    <w:p w14:paraId="69FA05BB" w14:textId="64B25038" w:rsidR="0048699F" w:rsidRPr="000E5786" w:rsidRDefault="0048699F" w:rsidP="00346A37">
      <w:pPr>
        <w:pStyle w:val="Heading3"/>
      </w:pPr>
      <w:bookmarkStart w:id="269" w:name="_Ref53584918"/>
      <w:r w:rsidRPr="000E5786">
        <w:t>lead to a Performance Failure or likely Performance Failure.</w:t>
      </w:r>
      <w:bookmarkEnd w:id="269"/>
    </w:p>
    <w:p w14:paraId="37BAC9CD" w14:textId="2B594101" w:rsidR="0048699F" w:rsidRPr="000E5786" w:rsidRDefault="0048699F" w:rsidP="00DD60F0">
      <w:pPr>
        <w:pStyle w:val="Heading2"/>
        <w:spacing w:after="120"/>
        <w:rPr>
          <w:rFonts w:cs="Arial"/>
          <w:szCs w:val="20"/>
        </w:rPr>
      </w:pPr>
      <w:bookmarkStart w:id="270" w:name="_Ref53584919"/>
      <w:r w:rsidRPr="000E5786">
        <w:rPr>
          <w:rFonts w:cs="Arial"/>
          <w:szCs w:val="20"/>
        </w:rPr>
        <w:t xml:space="preserve">If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considers that a matter notified is sufficiently important to require an early warning meeting, an early warning meeting shall be convened and attended by the Supplier Representative,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Representative and such other people as the Parties agree.</w:t>
      </w:r>
      <w:bookmarkEnd w:id="270"/>
    </w:p>
    <w:p w14:paraId="13DC8269" w14:textId="75A295F3" w:rsidR="0048699F" w:rsidRPr="000E5786" w:rsidRDefault="0048699F" w:rsidP="00DD60F0">
      <w:pPr>
        <w:pStyle w:val="Heading2"/>
        <w:spacing w:after="120"/>
        <w:rPr>
          <w:rFonts w:cs="Arial"/>
          <w:szCs w:val="20"/>
        </w:rPr>
      </w:pPr>
      <w:bookmarkStart w:id="271" w:name="_Ref53584920"/>
      <w:r w:rsidRPr="000E5786">
        <w:rPr>
          <w:rFonts w:cs="Arial"/>
          <w:szCs w:val="20"/>
        </w:rPr>
        <w:t>At an early warning meeting those who attend will co-operate in:</w:t>
      </w:r>
      <w:bookmarkEnd w:id="271"/>
    </w:p>
    <w:p w14:paraId="0D83ADD2" w14:textId="79791731" w:rsidR="0048699F" w:rsidRPr="000E5786" w:rsidRDefault="0048699F" w:rsidP="00346A37">
      <w:pPr>
        <w:pStyle w:val="Heading3"/>
      </w:pPr>
      <w:bookmarkStart w:id="272" w:name="_Ref53584921"/>
      <w:r w:rsidRPr="000E5786">
        <w:t xml:space="preserve">making and considering proposals for how the effect of each matter which has been notified as an early warning can be avoided or </w:t>
      </w:r>
      <w:proofErr w:type="gramStart"/>
      <w:r w:rsidRPr="000E5786">
        <w:t>reduced;</w:t>
      </w:r>
      <w:bookmarkEnd w:id="272"/>
      <w:proofErr w:type="gramEnd"/>
    </w:p>
    <w:p w14:paraId="0FB00332" w14:textId="394620ED" w:rsidR="0048699F" w:rsidRPr="000E5786" w:rsidRDefault="0048699F" w:rsidP="00346A37">
      <w:pPr>
        <w:pStyle w:val="Heading3"/>
      </w:pPr>
      <w:bookmarkStart w:id="273" w:name="_Ref53584922"/>
      <w:r w:rsidRPr="000E5786">
        <w:t>seeking solutions that will bring advantage to all those who will be affected; and</w:t>
      </w:r>
      <w:bookmarkEnd w:id="273"/>
    </w:p>
    <w:p w14:paraId="6E774797" w14:textId="06C164BB" w:rsidR="0048699F" w:rsidRPr="000E5786" w:rsidRDefault="0048699F" w:rsidP="00346A37">
      <w:pPr>
        <w:pStyle w:val="Heading3"/>
      </w:pPr>
      <w:bookmarkStart w:id="274" w:name="_Ref53584923"/>
      <w:r w:rsidRPr="000E5786">
        <w:t>deciding upon actions which they will take and who, in accordance with this Agreement, will take them.</w:t>
      </w:r>
      <w:bookmarkEnd w:id="274"/>
    </w:p>
    <w:p w14:paraId="71024F0F" w14:textId="331DD676" w:rsidR="0048699F" w:rsidRPr="000E5786" w:rsidRDefault="0048699F" w:rsidP="00DD60F0">
      <w:pPr>
        <w:pStyle w:val="Heading2"/>
        <w:spacing w:after="120"/>
        <w:rPr>
          <w:rFonts w:cs="Arial"/>
          <w:szCs w:val="20"/>
        </w:rPr>
      </w:pPr>
      <w:bookmarkStart w:id="275" w:name="_Ref53584924"/>
      <w:r w:rsidRPr="000E5786">
        <w:rPr>
          <w:rFonts w:cs="Arial"/>
          <w:szCs w:val="20"/>
        </w:rPr>
        <w:t xml:space="preserve">The Supplier Representative will record the proposals considered and decisions taken at an early warning meeting and will give a copy of his record to the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Representative.</w:t>
      </w:r>
      <w:bookmarkEnd w:id="275"/>
    </w:p>
    <w:p w14:paraId="009FDF2D" w14:textId="75C49E3E" w:rsidR="0048699F" w:rsidRPr="000E5786" w:rsidRDefault="0048699F" w:rsidP="00DD60F0">
      <w:pPr>
        <w:pStyle w:val="Heading1"/>
        <w:spacing w:after="120"/>
        <w:rPr>
          <w:rFonts w:cs="Arial"/>
          <w:szCs w:val="20"/>
        </w:rPr>
      </w:pPr>
      <w:bookmarkStart w:id="276" w:name="_Ref53584925"/>
      <w:bookmarkStart w:id="277" w:name="_Ref53585708"/>
      <w:bookmarkStart w:id="278" w:name="_Toc71198935"/>
      <w:r w:rsidRPr="000E5786">
        <w:rPr>
          <w:rFonts w:cs="Arial"/>
          <w:szCs w:val="20"/>
        </w:rPr>
        <w:t>EQUIPMENT AND MAINTENANCE</w:t>
      </w:r>
      <w:bookmarkEnd w:id="276"/>
      <w:bookmarkEnd w:id="277"/>
      <w:bookmarkEnd w:id="278"/>
    </w:p>
    <w:p w14:paraId="1041640B" w14:textId="62A17175" w:rsidR="0048699F" w:rsidRPr="000E5786" w:rsidRDefault="0048699F" w:rsidP="00834C1A">
      <w:pPr>
        <w:pStyle w:val="BodyText"/>
        <w:spacing w:after="120"/>
        <w:ind w:firstLine="284"/>
        <w:rPr>
          <w:rFonts w:cs="Arial"/>
          <w:szCs w:val="20"/>
          <w:u w:val="single"/>
        </w:rPr>
      </w:pPr>
      <w:r w:rsidRPr="000E5786">
        <w:rPr>
          <w:rFonts w:cs="Arial"/>
          <w:szCs w:val="20"/>
          <w:u w:val="single"/>
        </w:rPr>
        <w:t>Supplier Equipment</w:t>
      </w:r>
    </w:p>
    <w:p w14:paraId="37A7B14C" w14:textId="283F76F5" w:rsidR="0048699F" w:rsidRPr="000E5786" w:rsidRDefault="002650FA" w:rsidP="00DD60F0">
      <w:pPr>
        <w:pStyle w:val="Heading2"/>
        <w:spacing w:after="120"/>
        <w:rPr>
          <w:rFonts w:cs="Arial"/>
          <w:szCs w:val="20"/>
        </w:rPr>
      </w:pPr>
      <w:bookmarkStart w:id="279" w:name="_Ref53584926"/>
      <w:r w:rsidRPr="000E5786">
        <w:rPr>
          <w:rFonts w:cs="Arial"/>
          <w:szCs w:val="20"/>
        </w:rPr>
        <w:t>Where applicable, t</w:t>
      </w:r>
      <w:r w:rsidR="0048699F" w:rsidRPr="000E5786">
        <w:rPr>
          <w:rFonts w:cs="Arial"/>
          <w:szCs w:val="20"/>
        </w:rPr>
        <w:t>he Supplier shall be solely responsible for the cost of carriage of Supplier Equipment to the Sites, including its off-loading, removal of all packaging and all other associated costs.</w:t>
      </w:r>
      <w:r w:rsidR="000578A4" w:rsidRPr="000E5786">
        <w:rPr>
          <w:rFonts w:cs="Arial"/>
          <w:szCs w:val="20"/>
        </w:rPr>
        <w:t xml:space="preserve"> </w:t>
      </w:r>
      <w:r w:rsidR="00B52BF5" w:rsidRPr="000E5786">
        <w:rPr>
          <w:rFonts w:cs="Arial"/>
          <w:szCs w:val="20"/>
        </w:rPr>
        <w:t>Likewise,</w:t>
      </w:r>
      <w:r w:rsidR="0048699F" w:rsidRPr="000E5786">
        <w:rPr>
          <w:rFonts w:cs="Arial"/>
          <w:szCs w:val="20"/>
        </w:rPr>
        <w:t xml:space="preserve"> on termination or expiry of this Agreement the Supplier shall be responsible for the removal and safe disposal of all relevant Supplier Equipment from the Sites, including the cost of packing, carriage and making good the Sites following removal, and taking account of any sustainability requirements, including safe removal of data and recycling requirements.</w:t>
      </w:r>
      <w:r w:rsidR="000578A4" w:rsidRPr="000E5786">
        <w:rPr>
          <w:rFonts w:cs="Arial"/>
          <w:szCs w:val="20"/>
        </w:rPr>
        <w:t xml:space="preserve"> </w:t>
      </w:r>
      <w:r w:rsidR="0048699F" w:rsidRPr="000E5786">
        <w:rPr>
          <w:rFonts w:cs="Arial"/>
          <w:szCs w:val="20"/>
        </w:rPr>
        <w:t xml:space="preserve">For the avoidance of doubt, the Supplier shall ensure that all Supplier Equipment is (as applicable) collected, delivered, treated, </w:t>
      </w:r>
      <w:proofErr w:type="gramStart"/>
      <w:r w:rsidR="0048699F" w:rsidRPr="000E5786">
        <w:rPr>
          <w:rFonts w:cs="Arial"/>
          <w:szCs w:val="20"/>
        </w:rPr>
        <w:t>recovered</w:t>
      </w:r>
      <w:proofErr w:type="gramEnd"/>
      <w:r w:rsidR="0048699F" w:rsidRPr="000E5786">
        <w:rPr>
          <w:rFonts w:cs="Arial"/>
          <w:szCs w:val="20"/>
        </w:rPr>
        <w:t xml:space="preserve"> and disposed of in accordance with the Waste Electrical and Electronic Equipment Regulations 2013 (“</w:t>
      </w:r>
      <w:r w:rsidR="0048699F" w:rsidRPr="000E5786">
        <w:rPr>
          <w:rFonts w:cs="Arial"/>
          <w:b/>
          <w:szCs w:val="20"/>
        </w:rPr>
        <w:t>WEEE</w:t>
      </w:r>
      <w:r w:rsidR="0048699F" w:rsidRPr="000E5786">
        <w:rPr>
          <w:rFonts w:cs="Arial"/>
          <w:szCs w:val="20"/>
        </w:rPr>
        <w:t>”) and that all Supplier Equipment shall be supplied inclusive of any costs or charges for compliance with the collection, delivery, treatment, recovery and environmentally sound disposal of such Supplier Equipment as required by WEEE.</w:t>
      </w:r>
      <w:bookmarkEnd w:id="279"/>
    </w:p>
    <w:p w14:paraId="37497189" w14:textId="0837DF70" w:rsidR="0048699F" w:rsidRPr="000E5786" w:rsidRDefault="0048699F" w:rsidP="00DD60F0">
      <w:pPr>
        <w:pStyle w:val="Heading2"/>
        <w:spacing w:after="120"/>
        <w:rPr>
          <w:rFonts w:cs="Arial"/>
          <w:szCs w:val="20"/>
        </w:rPr>
      </w:pPr>
      <w:bookmarkStart w:id="280" w:name="_Ref53584927"/>
      <w:r w:rsidRPr="000E5786">
        <w:rPr>
          <w:rFonts w:cs="Arial"/>
          <w:szCs w:val="20"/>
        </w:rPr>
        <w:t>All the Supplier’s property, including Supplier Equipment, shall remain at the sole risk and responsibility of the Supplier.</w:t>
      </w:r>
      <w:bookmarkEnd w:id="280"/>
    </w:p>
    <w:p w14:paraId="17956A7E" w14:textId="746C577E" w:rsidR="0048699F" w:rsidRPr="000E5786" w:rsidRDefault="0048699F" w:rsidP="00DD60F0">
      <w:pPr>
        <w:pStyle w:val="Heading2"/>
        <w:spacing w:after="120"/>
        <w:rPr>
          <w:rFonts w:cs="Arial"/>
          <w:szCs w:val="20"/>
        </w:rPr>
      </w:pPr>
      <w:bookmarkStart w:id="281" w:name="_Ref53584928"/>
      <w:r w:rsidRPr="000E5786">
        <w:rPr>
          <w:rFonts w:cs="Arial"/>
          <w:szCs w:val="20"/>
        </w:rPr>
        <w:t>Subject to any express provision of the BC and ITSC Plans to the contrary, the loss or destruction for any reason of any Supplier Equipment shall not relieve the Supplier of its obligation to supply the Services in accordance with this Agreement, including the Target Performance Levels.</w:t>
      </w:r>
      <w:bookmarkEnd w:id="281"/>
    </w:p>
    <w:p w14:paraId="5A230F75" w14:textId="59A9583B" w:rsidR="0048699F" w:rsidRPr="000E5786" w:rsidRDefault="0048699F" w:rsidP="00CE5734">
      <w:pPr>
        <w:pStyle w:val="BodyText"/>
        <w:spacing w:after="120"/>
        <w:ind w:left="709" w:firstLine="1"/>
        <w:rPr>
          <w:rFonts w:cs="Arial"/>
          <w:szCs w:val="20"/>
          <w:u w:val="single"/>
        </w:rPr>
      </w:pPr>
      <w:r w:rsidRPr="000E5786">
        <w:rPr>
          <w:rFonts w:cs="Arial"/>
          <w:szCs w:val="20"/>
          <w:u w:val="single"/>
        </w:rPr>
        <w:lastRenderedPageBreak/>
        <w:t>Maintenance</w:t>
      </w:r>
    </w:p>
    <w:p w14:paraId="4FB1097F" w14:textId="6E3562B2" w:rsidR="0048699F" w:rsidRPr="000E5786" w:rsidRDefault="00B60F10" w:rsidP="00DD60F0">
      <w:pPr>
        <w:pStyle w:val="Heading2"/>
        <w:spacing w:after="120"/>
        <w:rPr>
          <w:rFonts w:cs="Arial"/>
          <w:szCs w:val="20"/>
        </w:rPr>
      </w:pPr>
      <w:bookmarkStart w:id="282" w:name="_Ref53584929"/>
      <w:r w:rsidRPr="000E5786">
        <w:rPr>
          <w:rFonts w:cs="Arial"/>
          <w:szCs w:val="20"/>
        </w:rPr>
        <w:t>Where required, t</w:t>
      </w:r>
      <w:r w:rsidR="0048699F" w:rsidRPr="000E5786">
        <w:rPr>
          <w:rFonts w:cs="Arial"/>
          <w:szCs w:val="20"/>
        </w:rPr>
        <w:t>he Supplier shall create and maintain a rolling schedule of planned maintenance to the IT Environment (the “</w:t>
      </w:r>
      <w:r w:rsidR="0048699F" w:rsidRPr="000E5786">
        <w:rPr>
          <w:rFonts w:cs="Arial"/>
          <w:b/>
          <w:szCs w:val="20"/>
        </w:rPr>
        <w:t>Maintenance Schedule</w:t>
      </w:r>
      <w:r w:rsidR="0048699F" w:rsidRPr="000E5786">
        <w:rPr>
          <w:rFonts w:cs="Arial"/>
          <w:szCs w:val="20"/>
        </w:rPr>
        <w:t>”)</w:t>
      </w:r>
      <w:r w:rsidR="0048699F" w:rsidRPr="000E5786">
        <w:rPr>
          <w:rFonts w:cs="Arial"/>
          <w:b/>
          <w:szCs w:val="20"/>
        </w:rPr>
        <w:t xml:space="preserve"> </w:t>
      </w:r>
      <w:r w:rsidR="0048699F" w:rsidRPr="000E5786">
        <w:rPr>
          <w:rFonts w:cs="Arial"/>
          <w:szCs w:val="20"/>
        </w:rPr>
        <w:t xml:space="preserve">which shall be agreed with </w:t>
      </w:r>
      <w:proofErr w:type="spellStart"/>
      <w:r w:rsidR="001F1C19">
        <w:rPr>
          <w:rFonts w:cs="Arial"/>
          <w:szCs w:val="20"/>
        </w:rPr>
        <w:t>Netlink</w:t>
      </w:r>
      <w:proofErr w:type="spellEnd"/>
      <w:r w:rsidR="001F1C19">
        <w:rPr>
          <w:rFonts w:cs="Arial"/>
          <w:szCs w:val="20"/>
        </w:rPr>
        <w:t xml:space="preserve"> Star</w:t>
      </w:r>
      <w:r w:rsidR="0048699F" w:rsidRPr="000E5786">
        <w:rPr>
          <w:rFonts w:cs="Arial"/>
          <w:szCs w:val="20"/>
        </w:rPr>
        <w:t>.</w:t>
      </w:r>
      <w:r w:rsidR="00DD233B" w:rsidRPr="000E5786">
        <w:rPr>
          <w:rFonts w:cs="Arial"/>
          <w:szCs w:val="20"/>
        </w:rPr>
        <w:t xml:space="preserve"> </w:t>
      </w:r>
      <w:r w:rsidR="0048699F" w:rsidRPr="000E5786">
        <w:rPr>
          <w:rFonts w:cs="Arial"/>
          <w:szCs w:val="20"/>
        </w:rPr>
        <w:t xml:space="preserve">Once the Maintenance Schedule has been agreed with </w:t>
      </w:r>
      <w:proofErr w:type="spellStart"/>
      <w:r w:rsidR="001F1C19">
        <w:rPr>
          <w:rFonts w:cs="Arial"/>
          <w:szCs w:val="20"/>
        </w:rPr>
        <w:t>Netlink</w:t>
      </w:r>
      <w:proofErr w:type="spellEnd"/>
      <w:r w:rsidR="001F1C19">
        <w:rPr>
          <w:rFonts w:cs="Arial"/>
          <w:szCs w:val="20"/>
        </w:rPr>
        <w:t xml:space="preserve"> Star</w:t>
      </w:r>
      <w:r w:rsidR="0048699F" w:rsidRPr="000E5786">
        <w:rPr>
          <w:rFonts w:cs="Arial"/>
          <w:szCs w:val="20"/>
        </w:rPr>
        <w:t xml:space="preserve"> Representative, the Supplier shall only undertake such planned maintenance (which shall be known as “</w:t>
      </w:r>
      <w:r w:rsidR="0048699F" w:rsidRPr="000E5786">
        <w:rPr>
          <w:rFonts w:cs="Arial"/>
          <w:b/>
          <w:szCs w:val="20"/>
        </w:rPr>
        <w:t>Permitted Maintenance</w:t>
      </w:r>
      <w:r w:rsidR="0048699F" w:rsidRPr="000E5786">
        <w:rPr>
          <w:rFonts w:cs="Arial"/>
          <w:szCs w:val="20"/>
        </w:rPr>
        <w:t>”) in accordance with the Maintenance Schedule.</w:t>
      </w:r>
      <w:bookmarkEnd w:id="282"/>
    </w:p>
    <w:p w14:paraId="55C61AC3" w14:textId="5A1CDEDA" w:rsidR="0048699F" w:rsidRPr="000E5786" w:rsidRDefault="0048699F" w:rsidP="00DD60F0">
      <w:pPr>
        <w:pStyle w:val="Heading2"/>
        <w:spacing w:after="120"/>
        <w:rPr>
          <w:rFonts w:cs="Arial"/>
          <w:szCs w:val="20"/>
        </w:rPr>
      </w:pPr>
      <w:bookmarkStart w:id="283" w:name="_Ref53584930"/>
      <w:r w:rsidRPr="000E5786">
        <w:rPr>
          <w:rFonts w:cs="Arial"/>
          <w:szCs w:val="20"/>
        </w:rPr>
        <w:t xml:space="preserve">The Supplier shall give as much notice as is reasonably practicable to the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Representative prior to carrying out any Emergency Maintenance.</w:t>
      </w:r>
      <w:bookmarkEnd w:id="283"/>
    </w:p>
    <w:p w14:paraId="2BFD8B93" w14:textId="52C1CA58" w:rsidR="0048699F" w:rsidRPr="000E5786" w:rsidRDefault="0048699F" w:rsidP="00DD60F0">
      <w:pPr>
        <w:pStyle w:val="Heading2"/>
        <w:spacing w:after="120"/>
        <w:rPr>
          <w:rFonts w:cs="Arial"/>
          <w:szCs w:val="20"/>
        </w:rPr>
      </w:pPr>
      <w:bookmarkStart w:id="284" w:name="_Ref53584931"/>
      <w:r w:rsidRPr="000E5786">
        <w:rPr>
          <w:rFonts w:cs="Arial"/>
          <w:szCs w:val="20"/>
        </w:rPr>
        <w:t>The Supplier shall carry out any necessary maintenance (whether Permitted Maintenance or Emergency Maintenance) where it reasonably suspects that the IT Environment or the Services or any part thereof has or may have developed a fault.</w:t>
      </w:r>
      <w:r w:rsidR="000578A4" w:rsidRPr="000E5786">
        <w:rPr>
          <w:rFonts w:cs="Arial"/>
          <w:szCs w:val="20"/>
        </w:rPr>
        <w:t xml:space="preserve"> </w:t>
      </w:r>
      <w:r w:rsidRPr="000E5786">
        <w:rPr>
          <w:rFonts w:cs="Arial"/>
          <w:szCs w:val="20"/>
        </w:rPr>
        <w:t xml:space="preserve">Any such maintenance shall be carried out in such a manner and at such times </w:t>
      </w:r>
      <w:proofErr w:type="gramStart"/>
      <w:r w:rsidRPr="000E5786">
        <w:rPr>
          <w:rFonts w:cs="Arial"/>
          <w:szCs w:val="20"/>
        </w:rPr>
        <w:t>so as to</w:t>
      </w:r>
      <w:proofErr w:type="gramEnd"/>
      <w:r w:rsidRPr="000E5786">
        <w:rPr>
          <w:rFonts w:cs="Arial"/>
          <w:szCs w:val="20"/>
        </w:rPr>
        <w:t xml:space="preserve"> avoid (or where this is not possible so as to minimise) disruption to the IT Environment and the Services.</w:t>
      </w:r>
      <w:bookmarkEnd w:id="284"/>
    </w:p>
    <w:p w14:paraId="38E04CFC" w14:textId="3E648C85" w:rsidR="0048699F" w:rsidRPr="000E5786" w:rsidRDefault="0048699F" w:rsidP="00CE5734">
      <w:pPr>
        <w:pStyle w:val="BodyText"/>
        <w:spacing w:after="120"/>
        <w:ind w:left="709" w:firstLine="1"/>
        <w:rPr>
          <w:rFonts w:cs="Arial"/>
          <w:szCs w:val="20"/>
          <w:u w:val="single"/>
        </w:rPr>
      </w:pPr>
      <w:r w:rsidRPr="000E5786">
        <w:rPr>
          <w:rFonts w:cs="Arial"/>
          <w:szCs w:val="20"/>
          <w:u w:val="single"/>
        </w:rPr>
        <w:t>Supply of Goods</w:t>
      </w:r>
    </w:p>
    <w:p w14:paraId="0FF63D6F" w14:textId="3B7109E6" w:rsidR="0048699F" w:rsidRPr="000E5786" w:rsidRDefault="0048699F" w:rsidP="00DD60F0">
      <w:pPr>
        <w:pStyle w:val="Heading2"/>
        <w:spacing w:after="120"/>
        <w:rPr>
          <w:rFonts w:cs="Arial"/>
          <w:szCs w:val="20"/>
        </w:rPr>
      </w:pPr>
      <w:bookmarkStart w:id="285" w:name="_Ref53584932"/>
      <w:r w:rsidRPr="000E5786">
        <w:rPr>
          <w:rFonts w:cs="Arial"/>
          <w:szCs w:val="20"/>
        </w:rPr>
        <w:t xml:space="preserve">Where, as part of the Services, the Supplier is to sell </w:t>
      </w:r>
      <w:r w:rsidR="00E5231F" w:rsidRPr="000E5786">
        <w:rPr>
          <w:rFonts w:cs="Arial"/>
          <w:szCs w:val="20"/>
        </w:rPr>
        <w:t xml:space="preserve">or provide </w:t>
      </w:r>
      <w:r w:rsidRPr="000E5786">
        <w:rPr>
          <w:rFonts w:cs="Arial"/>
          <w:szCs w:val="20"/>
        </w:rPr>
        <w:t>goods or equipment (“</w:t>
      </w:r>
      <w:r w:rsidRPr="000E5786">
        <w:rPr>
          <w:rFonts w:cs="Arial"/>
          <w:b/>
          <w:szCs w:val="20"/>
        </w:rPr>
        <w:t>Goods</w:t>
      </w:r>
      <w:r w:rsidRPr="000E5786">
        <w:rPr>
          <w:rFonts w:cs="Arial"/>
          <w:szCs w:val="20"/>
        </w:rPr>
        <w:t xml:space="preserve">”)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w:t>
      </w:r>
      <w:bookmarkEnd w:id="285"/>
    </w:p>
    <w:p w14:paraId="749F95A6" w14:textId="12BB796A" w:rsidR="0048699F" w:rsidRPr="00CE5734" w:rsidRDefault="0048699F" w:rsidP="00346A37">
      <w:pPr>
        <w:pStyle w:val="Heading3"/>
      </w:pPr>
      <w:bookmarkStart w:id="286" w:name="_Ref53584933"/>
      <w:r w:rsidRPr="000E5786">
        <w:t xml:space="preserve">the relevant Goods and their prices shall be as set out in </w:t>
      </w:r>
      <w:bookmarkStart w:id="287" w:name="DocXTextRef115"/>
      <w:r w:rsidRPr="00CE5734">
        <w:t>Schedule 7.1</w:t>
      </w:r>
      <w:bookmarkEnd w:id="287"/>
      <w:r w:rsidRPr="00CE5734">
        <w:t xml:space="preserve"> </w:t>
      </w:r>
      <w:r w:rsidR="00C44DBA">
        <w:t>(</w:t>
      </w:r>
      <w:r w:rsidRPr="00CE5734">
        <w:t>Charges and Invoicing</w:t>
      </w:r>
      <w:proofErr w:type="gramStart"/>
      <w:r w:rsidR="00C44DBA">
        <w:t>)</w:t>
      </w:r>
      <w:r w:rsidRPr="00CE5734">
        <w:t>;</w:t>
      </w:r>
      <w:bookmarkEnd w:id="286"/>
      <w:proofErr w:type="gramEnd"/>
    </w:p>
    <w:p w14:paraId="293D08B4" w14:textId="5E75ECDA" w:rsidR="0048699F" w:rsidRPr="000E5786" w:rsidRDefault="0048699F" w:rsidP="00346A37">
      <w:pPr>
        <w:pStyle w:val="Heading3"/>
      </w:pPr>
      <w:bookmarkStart w:id="288" w:name="_Ref53584934"/>
      <w:r w:rsidRPr="000E5786">
        <w:t xml:space="preserve">the Supplier shall supply and, where relevant, install the Goods in accordance with the relevant </w:t>
      </w:r>
      <w:proofErr w:type="gramStart"/>
      <w:r w:rsidRPr="000E5786">
        <w:t>specification;</w:t>
      </w:r>
      <w:bookmarkEnd w:id="288"/>
      <w:proofErr w:type="gramEnd"/>
    </w:p>
    <w:p w14:paraId="25839D8F" w14:textId="43D2CEA5" w:rsidR="0048699F" w:rsidRPr="000E5786" w:rsidRDefault="0048699F" w:rsidP="00346A37">
      <w:pPr>
        <w:pStyle w:val="Heading3"/>
      </w:pPr>
      <w:bookmarkStart w:id="289" w:name="_Ref53584935"/>
      <w:r w:rsidRPr="000E5786">
        <w:t>the Supplier shall ensure that upon delivery the Goods:</w:t>
      </w:r>
      <w:bookmarkEnd w:id="289"/>
    </w:p>
    <w:p w14:paraId="45404B52" w14:textId="40CDE6A6" w:rsidR="0048699F" w:rsidRPr="000E5786" w:rsidRDefault="0048699F" w:rsidP="00834C1A">
      <w:pPr>
        <w:pStyle w:val="Heading4"/>
        <w:tabs>
          <w:tab w:val="clear" w:pos="1702"/>
        </w:tabs>
        <w:spacing w:after="120"/>
        <w:ind w:left="2410"/>
        <w:rPr>
          <w:rFonts w:cs="Arial"/>
          <w:szCs w:val="20"/>
        </w:rPr>
      </w:pPr>
      <w:bookmarkStart w:id="290" w:name="_Ref53584936"/>
      <w:r w:rsidRPr="000E5786">
        <w:rPr>
          <w:rFonts w:cs="Arial"/>
          <w:szCs w:val="20"/>
        </w:rPr>
        <w:t xml:space="preserve">are free from material defects in design, materials and </w:t>
      </w:r>
      <w:proofErr w:type="gramStart"/>
      <w:r w:rsidRPr="000E5786">
        <w:rPr>
          <w:rFonts w:cs="Arial"/>
          <w:szCs w:val="20"/>
        </w:rPr>
        <w:t>workmanship;</w:t>
      </w:r>
      <w:bookmarkEnd w:id="290"/>
      <w:proofErr w:type="gramEnd"/>
    </w:p>
    <w:p w14:paraId="4E96507F" w14:textId="7752BAEB" w:rsidR="0048699F" w:rsidRPr="000E5786" w:rsidRDefault="0048699F" w:rsidP="00834C1A">
      <w:pPr>
        <w:pStyle w:val="Heading4"/>
        <w:tabs>
          <w:tab w:val="clear" w:pos="1702"/>
        </w:tabs>
        <w:spacing w:after="120"/>
        <w:ind w:left="2410"/>
        <w:rPr>
          <w:rFonts w:cs="Arial"/>
          <w:szCs w:val="20"/>
        </w:rPr>
      </w:pPr>
      <w:bookmarkStart w:id="291" w:name="_Ref53584937"/>
      <w:r w:rsidRPr="000E5786">
        <w:rPr>
          <w:rFonts w:cs="Arial"/>
          <w:szCs w:val="20"/>
        </w:rPr>
        <w:t xml:space="preserve">are of satisfactory quality within the meaning of the Sale of Goods Act </w:t>
      </w:r>
      <w:proofErr w:type="gramStart"/>
      <w:r w:rsidRPr="000E5786">
        <w:rPr>
          <w:rFonts w:cs="Arial"/>
          <w:szCs w:val="20"/>
        </w:rPr>
        <w:t>1979;</w:t>
      </w:r>
      <w:bookmarkEnd w:id="291"/>
      <w:proofErr w:type="gramEnd"/>
    </w:p>
    <w:p w14:paraId="779AEB74" w14:textId="5AEBF8D1" w:rsidR="0048699F" w:rsidRPr="000E5786" w:rsidRDefault="0048699F" w:rsidP="00834C1A">
      <w:pPr>
        <w:pStyle w:val="Heading4"/>
        <w:tabs>
          <w:tab w:val="clear" w:pos="1702"/>
        </w:tabs>
        <w:spacing w:after="120"/>
        <w:ind w:left="2410"/>
        <w:rPr>
          <w:rFonts w:cs="Arial"/>
          <w:szCs w:val="20"/>
        </w:rPr>
      </w:pPr>
      <w:bookmarkStart w:id="292" w:name="_Ref53584938"/>
      <w:r w:rsidRPr="000E5786">
        <w:rPr>
          <w:rFonts w:cs="Arial"/>
          <w:szCs w:val="20"/>
        </w:rPr>
        <w:t>conform with the relevant specification; and</w:t>
      </w:r>
      <w:bookmarkEnd w:id="292"/>
    </w:p>
    <w:p w14:paraId="0D47C0BF" w14:textId="14ADAAFB" w:rsidR="0048699F" w:rsidRPr="000E5786" w:rsidRDefault="0048699F" w:rsidP="00834C1A">
      <w:pPr>
        <w:pStyle w:val="Heading4"/>
        <w:tabs>
          <w:tab w:val="clear" w:pos="1702"/>
        </w:tabs>
        <w:spacing w:after="120"/>
        <w:ind w:left="2410"/>
        <w:rPr>
          <w:rFonts w:cs="Arial"/>
          <w:szCs w:val="20"/>
        </w:rPr>
      </w:pPr>
      <w:bookmarkStart w:id="293" w:name="_Ref53584939"/>
      <w:r w:rsidRPr="000E5786">
        <w:rPr>
          <w:rFonts w:cs="Arial"/>
          <w:szCs w:val="20"/>
        </w:rPr>
        <w:t xml:space="preserve">provide the functionality set out in the Services Description and the Supplier Solution or the relevant Impact Assessment, as </w:t>
      </w:r>
      <w:proofErr w:type="gramStart"/>
      <w:r w:rsidRPr="000E5786">
        <w:rPr>
          <w:rFonts w:cs="Arial"/>
          <w:szCs w:val="20"/>
        </w:rPr>
        <w:t>applicable;</w:t>
      </w:r>
      <w:bookmarkEnd w:id="293"/>
      <w:proofErr w:type="gramEnd"/>
    </w:p>
    <w:p w14:paraId="14BA1FC1" w14:textId="77777777" w:rsidR="0048699F" w:rsidRPr="000E5786" w:rsidRDefault="0048699F" w:rsidP="00834C1A">
      <w:pPr>
        <w:pStyle w:val="BodyText3"/>
        <w:spacing w:after="120"/>
        <w:ind w:firstLine="0"/>
        <w:rPr>
          <w:rFonts w:cs="Arial"/>
          <w:szCs w:val="20"/>
        </w:rPr>
      </w:pPr>
      <w:r w:rsidRPr="000E5786">
        <w:rPr>
          <w:rFonts w:cs="Arial"/>
          <w:szCs w:val="20"/>
        </w:rPr>
        <w:t>and shall remain so for twelve (12) months after either:</w:t>
      </w:r>
    </w:p>
    <w:p w14:paraId="4360E3B7" w14:textId="7617FB95" w:rsidR="0048699F" w:rsidRPr="000E5786" w:rsidRDefault="0048699F" w:rsidP="00DD60F0">
      <w:pPr>
        <w:pStyle w:val="Heading5"/>
        <w:spacing w:after="120"/>
        <w:rPr>
          <w:rFonts w:cs="Arial"/>
          <w:szCs w:val="20"/>
        </w:rPr>
      </w:pPr>
      <w:bookmarkStart w:id="294" w:name="_Ref53584940"/>
      <w:r w:rsidRPr="000E5786">
        <w:rPr>
          <w:rFonts w:cs="Arial"/>
          <w:szCs w:val="20"/>
        </w:rPr>
        <w:t>the date of installation of the Goods; or</w:t>
      </w:r>
      <w:bookmarkEnd w:id="294"/>
    </w:p>
    <w:p w14:paraId="770CAA96" w14:textId="1A890E0A" w:rsidR="0048699F" w:rsidRPr="000E5786" w:rsidRDefault="0048699F" w:rsidP="00DD60F0">
      <w:pPr>
        <w:pStyle w:val="Heading5"/>
        <w:spacing w:after="120"/>
        <w:rPr>
          <w:rFonts w:cs="Arial"/>
          <w:szCs w:val="20"/>
        </w:rPr>
      </w:pPr>
      <w:bookmarkStart w:id="295" w:name="_Ref53584941"/>
      <w:r w:rsidRPr="000E5786">
        <w:rPr>
          <w:rFonts w:cs="Arial"/>
          <w:szCs w:val="20"/>
        </w:rPr>
        <w:t xml:space="preserve">where the Goods do not require installation, the date of </w:t>
      </w:r>
      <w:proofErr w:type="gramStart"/>
      <w:r w:rsidRPr="000E5786">
        <w:rPr>
          <w:rFonts w:cs="Arial"/>
          <w:szCs w:val="20"/>
        </w:rPr>
        <w:t>delivery;</w:t>
      </w:r>
      <w:bookmarkEnd w:id="295"/>
      <w:proofErr w:type="gramEnd"/>
    </w:p>
    <w:p w14:paraId="3BF924CB" w14:textId="2A116550" w:rsidR="0048699F" w:rsidRPr="000E5786" w:rsidRDefault="0048699F" w:rsidP="00346A37">
      <w:pPr>
        <w:pStyle w:val="Heading3"/>
      </w:pPr>
      <w:bookmarkStart w:id="296" w:name="_Ref53584942"/>
      <w:r w:rsidRPr="000E5786">
        <w:t xml:space="preserve">if following inspection or testing </w:t>
      </w:r>
      <w:proofErr w:type="spellStart"/>
      <w:r w:rsidR="001F1C19">
        <w:t>Netlink</w:t>
      </w:r>
      <w:proofErr w:type="spellEnd"/>
      <w:r w:rsidR="001F1C19">
        <w:t xml:space="preserve"> Star</w:t>
      </w:r>
      <w:r w:rsidRPr="000E5786">
        <w:t xml:space="preserve"> considers that the Goods do not conform with the relevant specification, </w:t>
      </w:r>
      <w:proofErr w:type="spellStart"/>
      <w:r w:rsidR="001F1C19">
        <w:t>Netlink</w:t>
      </w:r>
      <w:proofErr w:type="spellEnd"/>
      <w:r w:rsidR="001F1C19">
        <w:t xml:space="preserve"> Star</w:t>
      </w:r>
      <w:r w:rsidRPr="000E5786">
        <w:t xml:space="preserve"> shall inform the Supplier and the Supplier shall immediately take such remedial action as is necessary to ensure compliance; and</w:t>
      </w:r>
      <w:bookmarkEnd w:id="296"/>
    </w:p>
    <w:p w14:paraId="60055397" w14:textId="11B95BA6" w:rsidR="0048699F" w:rsidRPr="000E5786" w:rsidRDefault="0048699F" w:rsidP="00346A37">
      <w:pPr>
        <w:pStyle w:val="Heading3"/>
      </w:pPr>
      <w:bookmarkStart w:id="297" w:name="_Ref53584943"/>
      <w:r w:rsidRPr="000E5786">
        <w:t xml:space="preserve">without prejudice to any other rights or remedies of </w:t>
      </w:r>
      <w:proofErr w:type="spellStart"/>
      <w:r w:rsidR="001F1C19">
        <w:t>Netlink</w:t>
      </w:r>
      <w:proofErr w:type="spellEnd"/>
      <w:r w:rsidR="001F1C19">
        <w:t xml:space="preserve"> Star</w:t>
      </w:r>
      <w:r w:rsidRPr="000E5786">
        <w:t>:</w:t>
      </w:r>
      <w:bookmarkEnd w:id="297"/>
    </w:p>
    <w:p w14:paraId="4764AB83" w14:textId="4502D55A" w:rsidR="0048699F" w:rsidRPr="000E5786" w:rsidRDefault="0048699F" w:rsidP="00834C1A">
      <w:pPr>
        <w:pStyle w:val="Heading4"/>
        <w:tabs>
          <w:tab w:val="clear" w:pos="1702"/>
        </w:tabs>
        <w:spacing w:after="120"/>
        <w:ind w:left="2410"/>
        <w:rPr>
          <w:rFonts w:cs="Arial"/>
          <w:szCs w:val="20"/>
        </w:rPr>
      </w:pPr>
      <w:bookmarkStart w:id="298" w:name="_Ref53584944"/>
      <w:r w:rsidRPr="000E5786">
        <w:rPr>
          <w:rFonts w:cs="Arial"/>
          <w:szCs w:val="20"/>
        </w:rPr>
        <w:t xml:space="preserve">risk in the Goods shall pass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at the time of delivery; and</w:t>
      </w:r>
      <w:bookmarkEnd w:id="298"/>
    </w:p>
    <w:p w14:paraId="7C148A64" w14:textId="0A9FB9B6" w:rsidR="0048699F" w:rsidRPr="000E5786" w:rsidRDefault="0048699F" w:rsidP="00834C1A">
      <w:pPr>
        <w:pStyle w:val="Heading4"/>
        <w:tabs>
          <w:tab w:val="clear" w:pos="1702"/>
        </w:tabs>
        <w:spacing w:after="120"/>
        <w:ind w:left="2410"/>
        <w:rPr>
          <w:rFonts w:cs="Arial"/>
          <w:szCs w:val="20"/>
        </w:rPr>
      </w:pPr>
      <w:bookmarkStart w:id="299" w:name="_Ref53584945"/>
      <w:r w:rsidRPr="000E5786">
        <w:rPr>
          <w:rFonts w:cs="Arial"/>
          <w:szCs w:val="20"/>
        </w:rPr>
        <w:t xml:space="preserve">ownership of the Goods shall pass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at the time of payment.</w:t>
      </w:r>
      <w:bookmarkEnd w:id="299"/>
    </w:p>
    <w:p w14:paraId="3B0E1B4F" w14:textId="77777777" w:rsidR="0048699F" w:rsidRPr="000E5786" w:rsidRDefault="0048699F" w:rsidP="00834C1A">
      <w:pPr>
        <w:pStyle w:val="BodyText"/>
        <w:keepNext/>
        <w:spacing w:after="120"/>
        <w:rPr>
          <w:rFonts w:cs="Arial"/>
          <w:b/>
          <w:bCs/>
          <w:szCs w:val="20"/>
        </w:rPr>
      </w:pPr>
      <w:r w:rsidRPr="000E5786">
        <w:rPr>
          <w:rFonts w:cs="Arial"/>
          <w:b/>
          <w:bCs/>
          <w:szCs w:val="20"/>
        </w:rPr>
        <w:t>SECTION C – PAYMENT, TAXATION AND VALUE FOR MONEY PROVISIONS</w:t>
      </w:r>
    </w:p>
    <w:p w14:paraId="273A7EA4" w14:textId="656D5CC2" w:rsidR="0048699F" w:rsidRPr="000E5786" w:rsidRDefault="0048699F" w:rsidP="00834C1A">
      <w:pPr>
        <w:pStyle w:val="Heading1"/>
        <w:spacing w:after="120"/>
        <w:rPr>
          <w:rFonts w:cs="Arial"/>
          <w:szCs w:val="20"/>
        </w:rPr>
      </w:pPr>
      <w:bookmarkStart w:id="300" w:name="_Ref53584946"/>
      <w:bookmarkStart w:id="301" w:name="_Ref53585709"/>
      <w:bookmarkStart w:id="302" w:name="_Toc71198936"/>
      <w:r w:rsidRPr="000E5786">
        <w:rPr>
          <w:rFonts w:cs="Arial"/>
          <w:szCs w:val="20"/>
        </w:rPr>
        <w:t>FINANCIAL AND TAXATION MATTERS</w:t>
      </w:r>
      <w:bookmarkEnd w:id="300"/>
      <w:bookmarkEnd w:id="301"/>
      <w:bookmarkEnd w:id="302"/>
    </w:p>
    <w:p w14:paraId="0A19245C" w14:textId="63078015" w:rsidR="0048699F" w:rsidRPr="000E5786" w:rsidRDefault="0048699F" w:rsidP="00CE5734">
      <w:pPr>
        <w:pStyle w:val="BodyText"/>
        <w:keepNext/>
        <w:spacing w:after="120"/>
        <w:ind w:left="709" w:firstLine="1"/>
        <w:rPr>
          <w:rFonts w:cs="Arial"/>
          <w:szCs w:val="20"/>
          <w:u w:val="single"/>
        </w:rPr>
      </w:pPr>
      <w:r w:rsidRPr="000E5786">
        <w:rPr>
          <w:rFonts w:cs="Arial"/>
          <w:szCs w:val="20"/>
          <w:u w:val="single"/>
        </w:rPr>
        <w:t>Charges and Invoicing</w:t>
      </w:r>
    </w:p>
    <w:p w14:paraId="01949B8B" w14:textId="67CE1C52" w:rsidR="0048699F" w:rsidRPr="000E5786" w:rsidRDefault="0048699F" w:rsidP="00DD60F0">
      <w:pPr>
        <w:pStyle w:val="Heading2"/>
        <w:spacing w:after="120"/>
        <w:rPr>
          <w:rFonts w:cs="Arial"/>
          <w:szCs w:val="20"/>
        </w:rPr>
      </w:pPr>
      <w:bookmarkStart w:id="303" w:name="_Ref53584947"/>
      <w:r w:rsidRPr="000E5786">
        <w:rPr>
          <w:rFonts w:cs="Arial"/>
          <w:szCs w:val="20"/>
        </w:rPr>
        <w:t xml:space="preserve">In consideration of the Supplier carrying out its obligations under this Agreement, including the provision of the Services,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pay the Charges to the Supplier in accordance with the pricing and payment profile and the invoicing procedure specified in </w:t>
      </w:r>
      <w:bookmarkStart w:id="304" w:name="DocXTextRef116"/>
      <w:r w:rsidRPr="000E5786">
        <w:rPr>
          <w:rFonts w:cs="Arial"/>
          <w:szCs w:val="20"/>
        </w:rPr>
        <w:t>Schedule 7.1</w:t>
      </w:r>
      <w:bookmarkEnd w:id="304"/>
      <w:r w:rsidRPr="000E5786">
        <w:rPr>
          <w:rFonts w:cs="Arial"/>
          <w:szCs w:val="20"/>
        </w:rPr>
        <w:t xml:space="preserve"> (Charges and Invoicing).</w:t>
      </w:r>
      <w:bookmarkEnd w:id="303"/>
    </w:p>
    <w:p w14:paraId="740C9007" w14:textId="5009C4DC" w:rsidR="0020439C" w:rsidRPr="000E5786" w:rsidRDefault="0020439C" w:rsidP="00DD60F0">
      <w:pPr>
        <w:pStyle w:val="Heading2"/>
        <w:spacing w:after="120"/>
        <w:rPr>
          <w:rFonts w:cs="Arial"/>
          <w:szCs w:val="20"/>
        </w:rPr>
      </w:pPr>
      <w:r w:rsidRPr="000E5786">
        <w:rPr>
          <w:rFonts w:cs="Arial"/>
          <w:szCs w:val="20"/>
        </w:rPr>
        <w:t xml:space="preserve">The Supplier shall provide clear and transparent information around charging and pricing and shall provide all such related data and further information as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reasonably request from time to time. </w:t>
      </w:r>
    </w:p>
    <w:p w14:paraId="3D1FC6DD" w14:textId="0035C17E" w:rsidR="0048699F" w:rsidRPr="000E5786" w:rsidRDefault="0048699F" w:rsidP="00DD60F0">
      <w:pPr>
        <w:pStyle w:val="Heading2"/>
        <w:spacing w:after="120"/>
        <w:rPr>
          <w:rFonts w:cs="Arial"/>
          <w:szCs w:val="20"/>
        </w:rPr>
      </w:pPr>
      <w:bookmarkStart w:id="305" w:name="_Ref53584948"/>
      <w:r w:rsidRPr="000E5786">
        <w:rPr>
          <w:rFonts w:cs="Arial"/>
          <w:szCs w:val="20"/>
        </w:rPr>
        <w:lastRenderedPageBreak/>
        <w:t xml:space="preserve">Except as otherwise provided, each Party shall each bear its own costs and expenses incurred in respect of compliance with its obligations under this Agreement, including clauses </w:t>
      </w:r>
      <w:r w:rsidR="001E4ABE" w:rsidRPr="000E5786">
        <w:rPr>
          <w:rFonts w:cs="Arial"/>
          <w:szCs w:val="20"/>
        </w:rPr>
        <w:fldChar w:fldCharType="begin"/>
      </w:r>
      <w:r w:rsidR="001E4ABE" w:rsidRPr="000E5786">
        <w:rPr>
          <w:rFonts w:cs="Arial"/>
          <w:szCs w:val="20"/>
        </w:rPr>
        <w:instrText xml:space="preserve">  REF _Ref53584866 \w \h \* MERGEFORMAT </w:instrText>
      </w:r>
      <w:r w:rsidR="001E4ABE" w:rsidRPr="000E5786">
        <w:rPr>
          <w:rFonts w:cs="Arial"/>
          <w:szCs w:val="20"/>
        </w:rPr>
      </w:r>
      <w:r w:rsidR="001E4ABE" w:rsidRPr="000E5786">
        <w:rPr>
          <w:rFonts w:cs="Arial"/>
          <w:szCs w:val="20"/>
        </w:rPr>
        <w:fldChar w:fldCharType="separate"/>
      </w:r>
      <w:r w:rsidR="002523A8" w:rsidRPr="000E5786">
        <w:rPr>
          <w:rFonts w:cs="Arial"/>
          <w:szCs w:val="20"/>
        </w:rPr>
        <w:t>6.7</w:t>
      </w:r>
      <w:r w:rsidR="001E4ABE" w:rsidRPr="000E5786">
        <w:rPr>
          <w:rFonts w:cs="Arial"/>
          <w:szCs w:val="20"/>
        </w:rPr>
        <w:fldChar w:fldCharType="end"/>
      </w:r>
      <w:r w:rsidRPr="000E5786">
        <w:rPr>
          <w:rFonts w:cs="Arial"/>
          <w:szCs w:val="20"/>
        </w:rPr>
        <w:t xml:space="preserve"> (Testing and Achievement of Milestones), </w:t>
      </w:r>
      <w:r w:rsidR="001E4ABE" w:rsidRPr="000E5786">
        <w:rPr>
          <w:rFonts w:cs="Arial"/>
          <w:szCs w:val="20"/>
        </w:rPr>
        <w:fldChar w:fldCharType="begin"/>
      </w:r>
      <w:r w:rsidR="001E4ABE" w:rsidRPr="000E5786">
        <w:rPr>
          <w:rFonts w:cs="Arial"/>
          <w:szCs w:val="20"/>
        </w:rPr>
        <w:instrText xml:space="preserve">  REF _Ref53585711 \w \h \* MERGEFORMAT </w:instrText>
      </w:r>
      <w:r w:rsidR="001E4ABE" w:rsidRPr="000E5786">
        <w:rPr>
          <w:rFonts w:cs="Arial"/>
          <w:szCs w:val="20"/>
        </w:rPr>
      </w:r>
      <w:r w:rsidR="001E4ABE" w:rsidRPr="000E5786">
        <w:rPr>
          <w:rFonts w:cs="Arial"/>
          <w:szCs w:val="20"/>
        </w:rPr>
        <w:fldChar w:fldCharType="separate"/>
      </w:r>
      <w:r w:rsidR="002523A8" w:rsidRPr="000E5786">
        <w:rPr>
          <w:rFonts w:cs="Arial"/>
          <w:szCs w:val="20"/>
        </w:rPr>
        <w:t>14</w:t>
      </w:r>
      <w:r w:rsidR="001E4ABE" w:rsidRPr="000E5786">
        <w:rPr>
          <w:rFonts w:cs="Arial"/>
          <w:szCs w:val="20"/>
        </w:rPr>
        <w:fldChar w:fldCharType="end"/>
      </w:r>
      <w:r w:rsidRPr="000E5786">
        <w:rPr>
          <w:rFonts w:cs="Arial"/>
          <w:szCs w:val="20"/>
        </w:rPr>
        <w:t xml:space="preserve"> (Records, Reports</w:t>
      </w:r>
      <w:r w:rsidR="00C44DBA">
        <w:rPr>
          <w:rFonts w:cs="Arial"/>
          <w:szCs w:val="20"/>
        </w:rPr>
        <w:t xml:space="preserve"> &amp;</w:t>
      </w:r>
      <w:r w:rsidRPr="000E5786">
        <w:rPr>
          <w:rFonts w:cs="Arial"/>
          <w:szCs w:val="20"/>
        </w:rPr>
        <w:t xml:space="preserve"> Audits), </w:t>
      </w:r>
      <w:r w:rsidR="001E4ABE" w:rsidRPr="000E5786">
        <w:rPr>
          <w:rFonts w:cs="Arial"/>
          <w:szCs w:val="20"/>
        </w:rPr>
        <w:fldChar w:fldCharType="begin"/>
      </w:r>
      <w:r w:rsidR="001E4ABE" w:rsidRPr="000E5786">
        <w:rPr>
          <w:rFonts w:cs="Arial"/>
          <w:szCs w:val="20"/>
        </w:rPr>
        <w:instrText xml:space="preserve">  REF _Ref53585723 \w \h \* MERGEFORMAT </w:instrText>
      </w:r>
      <w:r w:rsidR="001E4ABE" w:rsidRPr="000E5786">
        <w:rPr>
          <w:rFonts w:cs="Arial"/>
          <w:szCs w:val="20"/>
        </w:rPr>
      </w:r>
      <w:r w:rsidR="001E4ABE" w:rsidRPr="000E5786">
        <w:rPr>
          <w:rFonts w:cs="Arial"/>
          <w:szCs w:val="20"/>
        </w:rPr>
        <w:fldChar w:fldCharType="separate"/>
      </w:r>
      <w:r w:rsidR="002523A8" w:rsidRPr="000E5786">
        <w:rPr>
          <w:rFonts w:cs="Arial"/>
          <w:szCs w:val="20"/>
        </w:rPr>
        <w:t>25</w:t>
      </w:r>
      <w:r w:rsidR="001E4ABE" w:rsidRPr="000E5786">
        <w:rPr>
          <w:rFonts w:cs="Arial"/>
          <w:szCs w:val="20"/>
        </w:rPr>
        <w:fldChar w:fldCharType="end"/>
      </w:r>
      <w:r w:rsidRPr="000E5786">
        <w:rPr>
          <w:rFonts w:cs="Arial"/>
          <w:szCs w:val="20"/>
        </w:rPr>
        <w:t xml:space="preserve"> (Freedom of Information), </w:t>
      </w:r>
      <w:r w:rsidR="001E4ABE" w:rsidRPr="000E5786">
        <w:rPr>
          <w:rFonts w:cs="Arial"/>
          <w:szCs w:val="20"/>
        </w:rPr>
        <w:fldChar w:fldCharType="begin"/>
      </w:r>
      <w:r w:rsidR="001E4ABE" w:rsidRPr="000E5786">
        <w:rPr>
          <w:rFonts w:cs="Arial"/>
          <w:szCs w:val="20"/>
        </w:rPr>
        <w:instrText xml:space="preserve">  REF _Ref53585724 \w \h \* MERGEFORMAT </w:instrText>
      </w:r>
      <w:r w:rsidR="001E4ABE" w:rsidRPr="000E5786">
        <w:rPr>
          <w:rFonts w:cs="Arial"/>
          <w:szCs w:val="20"/>
        </w:rPr>
      </w:r>
      <w:r w:rsidR="001E4ABE" w:rsidRPr="000E5786">
        <w:rPr>
          <w:rFonts w:cs="Arial"/>
          <w:szCs w:val="20"/>
        </w:rPr>
        <w:fldChar w:fldCharType="separate"/>
      </w:r>
      <w:r w:rsidR="002523A8" w:rsidRPr="000E5786">
        <w:rPr>
          <w:rFonts w:cs="Arial"/>
          <w:szCs w:val="20"/>
        </w:rPr>
        <w:t>26</w:t>
      </w:r>
      <w:r w:rsidR="001E4ABE" w:rsidRPr="000E5786">
        <w:rPr>
          <w:rFonts w:cs="Arial"/>
          <w:szCs w:val="20"/>
        </w:rPr>
        <w:fldChar w:fldCharType="end"/>
      </w:r>
      <w:r w:rsidRPr="000E5786">
        <w:rPr>
          <w:rFonts w:cs="Arial"/>
          <w:szCs w:val="20"/>
        </w:rPr>
        <w:t xml:space="preserve"> (Protection of Personal Data) and, to the extent specified therein, clause </w:t>
      </w:r>
      <w:r w:rsidR="0044343F" w:rsidRPr="000E5786">
        <w:rPr>
          <w:rFonts w:cs="Arial"/>
          <w:szCs w:val="20"/>
        </w:rPr>
        <w:fldChar w:fldCharType="begin"/>
      </w:r>
      <w:r w:rsidR="0044343F" w:rsidRPr="000E5786">
        <w:rPr>
          <w:rFonts w:cs="Arial"/>
          <w:szCs w:val="20"/>
        </w:rPr>
        <w:instrText xml:space="preserve">  REF _Ref53585730 \w \h \* MERGEFORMAT </w:instrText>
      </w:r>
      <w:r w:rsidR="0044343F" w:rsidRPr="000E5786">
        <w:rPr>
          <w:rFonts w:cs="Arial"/>
          <w:szCs w:val="20"/>
        </w:rPr>
      </w:r>
      <w:r w:rsidR="0044343F" w:rsidRPr="000E5786">
        <w:rPr>
          <w:rFonts w:cs="Arial"/>
          <w:szCs w:val="20"/>
        </w:rPr>
        <w:fldChar w:fldCharType="separate"/>
      </w:r>
      <w:r w:rsidR="002523A8" w:rsidRPr="000E5786">
        <w:rPr>
          <w:rFonts w:cs="Arial"/>
          <w:szCs w:val="20"/>
        </w:rPr>
        <w:t>32</w:t>
      </w:r>
      <w:r w:rsidR="0044343F" w:rsidRPr="000E5786">
        <w:rPr>
          <w:rFonts w:cs="Arial"/>
          <w:szCs w:val="20"/>
        </w:rPr>
        <w:fldChar w:fldCharType="end"/>
      </w:r>
      <w:r w:rsidRPr="000E5786">
        <w:rPr>
          <w:rFonts w:cs="Arial"/>
          <w:szCs w:val="20"/>
        </w:rPr>
        <w:t xml:space="preserve"> (Remedial Adviser) and clause </w:t>
      </w:r>
      <w:r w:rsidR="0044343F" w:rsidRPr="000E5786">
        <w:rPr>
          <w:rFonts w:cs="Arial"/>
          <w:szCs w:val="20"/>
        </w:rPr>
        <w:fldChar w:fldCharType="begin"/>
      </w:r>
      <w:r w:rsidR="0044343F" w:rsidRPr="000E5786">
        <w:rPr>
          <w:rFonts w:cs="Arial"/>
          <w:szCs w:val="20"/>
        </w:rPr>
        <w:instrText xml:space="preserve">  REF _Ref53585731 \w \h \* MERGEFORMAT </w:instrText>
      </w:r>
      <w:r w:rsidR="0044343F" w:rsidRPr="000E5786">
        <w:rPr>
          <w:rFonts w:cs="Arial"/>
          <w:szCs w:val="20"/>
        </w:rPr>
      </w:r>
      <w:r w:rsidR="0044343F" w:rsidRPr="000E5786">
        <w:rPr>
          <w:rFonts w:cs="Arial"/>
          <w:szCs w:val="20"/>
        </w:rPr>
        <w:fldChar w:fldCharType="separate"/>
      </w:r>
      <w:r w:rsidR="002523A8" w:rsidRPr="000E5786">
        <w:rPr>
          <w:rFonts w:cs="Arial"/>
          <w:szCs w:val="20"/>
        </w:rPr>
        <w:t>33</w:t>
      </w:r>
      <w:r w:rsidR="0044343F" w:rsidRPr="000E5786">
        <w:rPr>
          <w:rFonts w:cs="Arial"/>
          <w:szCs w:val="20"/>
        </w:rPr>
        <w:fldChar w:fldCharType="end"/>
      </w:r>
      <w:r w:rsidRPr="000E5786">
        <w:rPr>
          <w:rFonts w:cs="Arial"/>
          <w:szCs w:val="20"/>
        </w:rPr>
        <w:t xml:space="preserve"> (Step-In Rights).</w:t>
      </w:r>
      <w:bookmarkEnd w:id="305"/>
    </w:p>
    <w:p w14:paraId="6082F89F" w14:textId="21D21EF0" w:rsidR="00047747" w:rsidRPr="000E5786" w:rsidRDefault="0048699F" w:rsidP="00DD60F0">
      <w:pPr>
        <w:pStyle w:val="Heading2"/>
        <w:spacing w:after="120"/>
        <w:rPr>
          <w:rFonts w:cs="Arial"/>
          <w:szCs w:val="20"/>
        </w:rPr>
      </w:pPr>
      <w:bookmarkStart w:id="306" w:name="_Ref53584949"/>
      <w:r w:rsidRPr="000E5786">
        <w:rPr>
          <w:rFonts w:cs="Arial"/>
          <w:szCs w:val="20"/>
        </w:rPr>
        <w:t xml:space="preserve">If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fails to pay any undisputed Charges properly invoiced under this Agreement, the Supplier shall have the right to charge interest on the overdue amount at the applicable rate under the Late Payment of Commercial Debts (Interest) Act 1998, accruing </w:t>
      </w:r>
      <w:proofErr w:type="gramStart"/>
      <w:r w:rsidRPr="000E5786">
        <w:rPr>
          <w:rFonts w:cs="Arial"/>
          <w:szCs w:val="20"/>
        </w:rPr>
        <w:t>on a daily basis</w:t>
      </w:r>
      <w:proofErr w:type="gramEnd"/>
      <w:r w:rsidRPr="000E5786">
        <w:rPr>
          <w:rFonts w:cs="Arial"/>
          <w:szCs w:val="20"/>
        </w:rPr>
        <w:t xml:space="preserve"> from the due date up to the date of actual payment, whether before or after judgment. </w:t>
      </w:r>
    </w:p>
    <w:p w14:paraId="071CDBF0" w14:textId="530229B0" w:rsidR="0048699F" w:rsidRPr="000E5786" w:rsidRDefault="0048699F" w:rsidP="00CE5734">
      <w:pPr>
        <w:pStyle w:val="BodyText"/>
        <w:keepNext/>
        <w:spacing w:after="120"/>
        <w:ind w:left="709" w:firstLine="1"/>
        <w:rPr>
          <w:rFonts w:cs="Arial"/>
          <w:szCs w:val="20"/>
          <w:u w:val="single"/>
        </w:rPr>
      </w:pPr>
      <w:r w:rsidRPr="000E5786">
        <w:rPr>
          <w:rFonts w:cs="Arial"/>
          <w:szCs w:val="20"/>
          <w:u w:val="single"/>
        </w:rPr>
        <w:t>VAT</w:t>
      </w:r>
      <w:bookmarkEnd w:id="306"/>
    </w:p>
    <w:p w14:paraId="792E4859" w14:textId="5CC84F18" w:rsidR="0048699F" w:rsidRPr="000E5786" w:rsidRDefault="0048699F" w:rsidP="00DD60F0">
      <w:pPr>
        <w:pStyle w:val="Heading2"/>
        <w:spacing w:after="120"/>
        <w:rPr>
          <w:rFonts w:cs="Arial"/>
          <w:szCs w:val="20"/>
        </w:rPr>
      </w:pPr>
      <w:bookmarkStart w:id="307" w:name="_Ref53584950"/>
      <w:r w:rsidRPr="000E5786">
        <w:rPr>
          <w:rFonts w:cs="Arial"/>
          <w:szCs w:val="20"/>
        </w:rPr>
        <w:t xml:space="preserve">The Charges are stated exclusive of VAT, which shall be added at the prevailing rate as applicable and paid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following delivery of a valid VAT invoice.</w:t>
      </w:r>
      <w:bookmarkEnd w:id="307"/>
    </w:p>
    <w:p w14:paraId="7F9A6714" w14:textId="29226C5C" w:rsidR="0048699F" w:rsidRPr="000E5786" w:rsidRDefault="0048699F" w:rsidP="00DD60F0">
      <w:pPr>
        <w:pStyle w:val="Heading2"/>
        <w:spacing w:after="120"/>
        <w:rPr>
          <w:rFonts w:cs="Arial"/>
          <w:szCs w:val="20"/>
        </w:rPr>
      </w:pPr>
      <w:bookmarkStart w:id="308" w:name="_Ref53584951"/>
      <w:r w:rsidRPr="000E5786">
        <w:rPr>
          <w:rFonts w:cs="Arial"/>
          <w:szCs w:val="20"/>
        </w:rPr>
        <w:t xml:space="preserve">The Supplier shall indemnify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on a continuing basis against any liability, including any interest, penalties or costs incurred, that is levied, </w:t>
      </w:r>
      <w:proofErr w:type="gramStart"/>
      <w:r w:rsidRPr="000E5786">
        <w:rPr>
          <w:rFonts w:cs="Arial"/>
          <w:szCs w:val="20"/>
        </w:rPr>
        <w:t>demanded</w:t>
      </w:r>
      <w:proofErr w:type="gramEnd"/>
      <w:r w:rsidRPr="000E5786">
        <w:rPr>
          <w:rFonts w:cs="Arial"/>
          <w:szCs w:val="20"/>
        </w:rPr>
        <w:t xml:space="preserve"> or assessed on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at any time in respect of the Supplier’s failure to account for or to pay any VAT relating to payments made to the Supplier under this Agreement.</w:t>
      </w:r>
      <w:r w:rsidR="000578A4" w:rsidRPr="000E5786">
        <w:rPr>
          <w:rFonts w:cs="Arial"/>
          <w:szCs w:val="20"/>
        </w:rPr>
        <w:t xml:space="preserve"> </w:t>
      </w:r>
      <w:r w:rsidRPr="000E5786">
        <w:rPr>
          <w:rFonts w:cs="Arial"/>
          <w:szCs w:val="20"/>
        </w:rPr>
        <w:t xml:space="preserve">Any amounts due under this clause </w:t>
      </w:r>
      <w:r w:rsidR="0044343F" w:rsidRPr="000E5786">
        <w:rPr>
          <w:rFonts w:cs="Arial"/>
          <w:szCs w:val="20"/>
        </w:rPr>
        <w:fldChar w:fldCharType="begin"/>
      </w:r>
      <w:r w:rsidR="0044343F" w:rsidRPr="000E5786">
        <w:rPr>
          <w:rFonts w:cs="Arial"/>
          <w:szCs w:val="20"/>
        </w:rPr>
        <w:instrText xml:space="preserve">  REF _Ref53584951 \w \h \* MERGEFORMAT </w:instrText>
      </w:r>
      <w:r w:rsidR="0044343F" w:rsidRPr="000E5786">
        <w:rPr>
          <w:rFonts w:cs="Arial"/>
          <w:szCs w:val="20"/>
        </w:rPr>
      </w:r>
      <w:r w:rsidR="0044343F" w:rsidRPr="000E5786">
        <w:rPr>
          <w:rFonts w:cs="Arial"/>
          <w:szCs w:val="20"/>
        </w:rPr>
        <w:fldChar w:fldCharType="separate"/>
      </w:r>
      <w:r w:rsidR="002523A8" w:rsidRPr="000E5786">
        <w:rPr>
          <w:rFonts w:cs="Arial"/>
          <w:szCs w:val="20"/>
        </w:rPr>
        <w:t>12.6</w:t>
      </w:r>
      <w:r w:rsidR="0044343F" w:rsidRPr="000E5786">
        <w:rPr>
          <w:rFonts w:cs="Arial"/>
          <w:szCs w:val="20"/>
        </w:rPr>
        <w:fldChar w:fldCharType="end"/>
      </w:r>
      <w:r w:rsidRPr="000E5786">
        <w:rPr>
          <w:rFonts w:cs="Arial"/>
          <w:szCs w:val="20"/>
        </w:rPr>
        <w:t xml:space="preserve"> shall be paid in cleared funds by the Supplier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not less than five </w:t>
      </w:r>
      <w:bookmarkStart w:id="309" w:name="DocXTextRef123"/>
      <w:r w:rsidRPr="000E5786">
        <w:rPr>
          <w:rFonts w:cs="Arial"/>
          <w:szCs w:val="20"/>
        </w:rPr>
        <w:t>(5)</w:t>
      </w:r>
      <w:bookmarkEnd w:id="309"/>
      <w:r w:rsidRPr="000E5786">
        <w:rPr>
          <w:rFonts w:cs="Arial"/>
          <w:szCs w:val="20"/>
        </w:rPr>
        <w:t xml:space="preserve"> Working Days before the date upon which the tax or other liability is payable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w:t>
      </w:r>
      <w:bookmarkEnd w:id="308"/>
    </w:p>
    <w:p w14:paraId="71554971" w14:textId="1CB7247E" w:rsidR="006051AE" w:rsidRPr="000E5786" w:rsidRDefault="006A6B45" w:rsidP="00DD60F0">
      <w:pPr>
        <w:pStyle w:val="Heading2"/>
        <w:spacing w:after="120"/>
        <w:rPr>
          <w:rFonts w:cs="Arial"/>
          <w:szCs w:val="20"/>
        </w:rPr>
      </w:pPr>
      <w:r>
        <w:rPr>
          <w:rFonts w:cs="Arial"/>
          <w:szCs w:val="20"/>
        </w:rPr>
        <w:t>Not used</w:t>
      </w:r>
      <w:r w:rsidR="006051AE" w:rsidRPr="000E5786">
        <w:rPr>
          <w:rFonts w:cs="Arial"/>
          <w:szCs w:val="20"/>
        </w:rPr>
        <w:t>.</w:t>
      </w:r>
    </w:p>
    <w:p w14:paraId="61716812" w14:textId="0CA3D538" w:rsidR="0048699F" w:rsidRPr="000E5786" w:rsidRDefault="0048699F" w:rsidP="00CE5734">
      <w:pPr>
        <w:pStyle w:val="BodyText"/>
        <w:keepNext/>
        <w:spacing w:after="120"/>
        <w:ind w:left="709" w:firstLine="1"/>
        <w:rPr>
          <w:rFonts w:cs="Arial"/>
          <w:szCs w:val="20"/>
          <w:u w:val="single"/>
        </w:rPr>
      </w:pPr>
      <w:r w:rsidRPr="000E5786">
        <w:rPr>
          <w:rFonts w:cs="Arial"/>
          <w:szCs w:val="20"/>
          <w:u w:val="single"/>
        </w:rPr>
        <w:t xml:space="preserve">Set-off and </w:t>
      </w:r>
      <w:proofErr w:type="gramStart"/>
      <w:r w:rsidRPr="000E5786">
        <w:rPr>
          <w:rFonts w:cs="Arial"/>
          <w:szCs w:val="20"/>
          <w:u w:val="single"/>
        </w:rPr>
        <w:t>Withholding</w:t>
      </w:r>
      <w:proofErr w:type="gramEnd"/>
    </w:p>
    <w:p w14:paraId="56B2537A" w14:textId="39E68957" w:rsidR="0048699F" w:rsidRPr="000E5786" w:rsidRDefault="001F1C19" w:rsidP="00DD60F0">
      <w:pPr>
        <w:pStyle w:val="Heading2"/>
        <w:spacing w:after="120"/>
        <w:rPr>
          <w:rFonts w:cs="Arial"/>
          <w:szCs w:val="20"/>
        </w:rPr>
      </w:pPr>
      <w:bookmarkStart w:id="310" w:name="_Ref53584952"/>
      <w:proofErr w:type="spellStart"/>
      <w:r>
        <w:rPr>
          <w:rFonts w:cs="Arial"/>
          <w:szCs w:val="20"/>
        </w:rPr>
        <w:t>Netlink</w:t>
      </w:r>
      <w:proofErr w:type="spellEnd"/>
      <w:r>
        <w:rPr>
          <w:rFonts w:cs="Arial"/>
          <w:szCs w:val="20"/>
        </w:rPr>
        <w:t xml:space="preserve"> Star</w:t>
      </w:r>
      <w:r w:rsidR="0048699F" w:rsidRPr="000E5786">
        <w:rPr>
          <w:rFonts w:cs="Arial"/>
          <w:szCs w:val="20"/>
        </w:rPr>
        <w:t xml:space="preserve"> may set off any amount owed by the Supplier to </w:t>
      </w:r>
      <w:proofErr w:type="spellStart"/>
      <w:r>
        <w:rPr>
          <w:rFonts w:cs="Arial"/>
          <w:szCs w:val="20"/>
        </w:rPr>
        <w:t>Netlink</w:t>
      </w:r>
      <w:proofErr w:type="spellEnd"/>
      <w:r>
        <w:rPr>
          <w:rFonts w:cs="Arial"/>
          <w:szCs w:val="20"/>
        </w:rPr>
        <w:t xml:space="preserve"> Star</w:t>
      </w:r>
      <w:r w:rsidR="0048699F" w:rsidRPr="000E5786">
        <w:rPr>
          <w:rFonts w:cs="Arial"/>
          <w:szCs w:val="20"/>
        </w:rPr>
        <w:t xml:space="preserve"> against any amount due to the Supplier under this Agreement or under any other agreement between the Supplier and </w:t>
      </w:r>
      <w:proofErr w:type="spellStart"/>
      <w:r>
        <w:rPr>
          <w:rFonts w:cs="Arial"/>
          <w:szCs w:val="20"/>
        </w:rPr>
        <w:t>Netlink</w:t>
      </w:r>
      <w:proofErr w:type="spellEnd"/>
      <w:r>
        <w:rPr>
          <w:rFonts w:cs="Arial"/>
          <w:szCs w:val="20"/>
        </w:rPr>
        <w:t xml:space="preserve"> Star</w:t>
      </w:r>
      <w:r w:rsidR="0048699F" w:rsidRPr="000E5786">
        <w:rPr>
          <w:rFonts w:cs="Arial"/>
          <w:szCs w:val="20"/>
        </w:rPr>
        <w:t>.</w:t>
      </w:r>
      <w:bookmarkEnd w:id="310"/>
    </w:p>
    <w:p w14:paraId="12396077" w14:textId="1145EF56" w:rsidR="0048699F" w:rsidRPr="000E5786" w:rsidRDefault="0048699F" w:rsidP="00DD60F0">
      <w:pPr>
        <w:pStyle w:val="Heading2"/>
        <w:spacing w:after="120"/>
        <w:rPr>
          <w:rFonts w:cs="Arial"/>
          <w:szCs w:val="20"/>
        </w:rPr>
      </w:pPr>
      <w:bookmarkStart w:id="311" w:name="_Ref53584953"/>
      <w:r w:rsidRPr="000E5786">
        <w:rPr>
          <w:rFonts w:cs="Arial"/>
          <w:szCs w:val="20"/>
        </w:rPr>
        <w:t xml:space="preserve">If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wishes to:</w:t>
      </w:r>
      <w:bookmarkEnd w:id="311"/>
    </w:p>
    <w:p w14:paraId="3E367359" w14:textId="7C5236A9" w:rsidR="0048699F" w:rsidRPr="000E5786" w:rsidRDefault="0048699F" w:rsidP="00346A37">
      <w:pPr>
        <w:pStyle w:val="Heading3"/>
      </w:pPr>
      <w:bookmarkStart w:id="312" w:name="_Ref53584954"/>
      <w:r w:rsidRPr="000E5786">
        <w:t xml:space="preserve">set off any amount owed by the Supplier to </w:t>
      </w:r>
      <w:proofErr w:type="spellStart"/>
      <w:r w:rsidR="001F1C19">
        <w:t>Netlink</w:t>
      </w:r>
      <w:proofErr w:type="spellEnd"/>
      <w:r w:rsidR="001F1C19">
        <w:t xml:space="preserve"> Star</w:t>
      </w:r>
      <w:r w:rsidRPr="000E5786">
        <w:t xml:space="preserve"> against any amount due to the Supplier pursuant to clause </w:t>
      </w:r>
      <w:r w:rsidR="00257E09" w:rsidRPr="000E5786">
        <w:fldChar w:fldCharType="begin"/>
      </w:r>
      <w:r w:rsidR="00257E09" w:rsidRPr="000E5786">
        <w:instrText xml:space="preserve">  REF _Ref53584952 \w \h \* MERGEFORMAT </w:instrText>
      </w:r>
      <w:r w:rsidR="00257E09" w:rsidRPr="000E5786">
        <w:fldChar w:fldCharType="separate"/>
      </w:r>
      <w:r w:rsidR="002523A8" w:rsidRPr="000E5786">
        <w:t>12.8</w:t>
      </w:r>
      <w:r w:rsidR="00257E09" w:rsidRPr="000E5786">
        <w:fldChar w:fldCharType="end"/>
      </w:r>
      <w:r w:rsidRPr="000E5786">
        <w:t>; or</w:t>
      </w:r>
      <w:bookmarkEnd w:id="312"/>
    </w:p>
    <w:p w14:paraId="2CF42076" w14:textId="09F15127" w:rsidR="0048699F" w:rsidRPr="000E5786" w:rsidRDefault="0048699F" w:rsidP="00346A37">
      <w:pPr>
        <w:pStyle w:val="Heading3"/>
      </w:pPr>
      <w:bookmarkStart w:id="313" w:name="_Ref53584955"/>
      <w:r w:rsidRPr="000E5786">
        <w:t xml:space="preserve">exercise its right pursuant to clause </w:t>
      </w:r>
      <w:r w:rsidR="00257E09" w:rsidRPr="000E5786">
        <w:fldChar w:fldCharType="begin"/>
      </w:r>
      <w:r w:rsidR="00257E09" w:rsidRPr="000E5786">
        <w:instrText xml:space="preserve">  REF _Ref53584877 \w \h \* MERGEFORMAT </w:instrText>
      </w:r>
      <w:r w:rsidR="00257E09" w:rsidRPr="000E5786">
        <w:fldChar w:fldCharType="separate"/>
      </w:r>
      <w:r w:rsidR="002523A8" w:rsidRPr="000E5786">
        <w:t>8.2.3(b)</w:t>
      </w:r>
      <w:r w:rsidR="00257E09" w:rsidRPr="000E5786">
        <w:fldChar w:fldCharType="end"/>
      </w:r>
      <w:r w:rsidRPr="000E5786">
        <w:t xml:space="preserve"> (Performance Failures</w:t>
      </w:r>
      <w:r w:rsidRPr="000E5786">
        <w:rPr>
          <w:i/>
        </w:rPr>
        <w:t xml:space="preserve">) </w:t>
      </w:r>
      <w:r w:rsidRPr="000E5786">
        <w:t>to withhold payment of a proportion of the Service Charges, it shall give notice to the</w:t>
      </w:r>
      <w:r w:rsidR="00683D4B" w:rsidRPr="000E5786">
        <w:t xml:space="preserve"> </w:t>
      </w:r>
      <w:r w:rsidRPr="000E5786">
        <w:t xml:space="preserve">Supplier within thirty (30) days of receipt of the relevant invoice, setting out </w:t>
      </w:r>
      <w:proofErr w:type="spellStart"/>
      <w:r w:rsidR="001F1C19">
        <w:t>Netlink</w:t>
      </w:r>
      <w:proofErr w:type="spellEnd"/>
      <w:r w:rsidR="001F1C19">
        <w:t xml:space="preserve"> Star</w:t>
      </w:r>
      <w:r w:rsidRPr="000E5786">
        <w:t>’s reasons for withholding or retaining the relevant Charges.</w:t>
      </w:r>
      <w:bookmarkEnd w:id="313"/>
    </w:p>
    <w:p w14:paraId="2C8E2BEE" w14:textId="60454801" w:rsidR="0048699F" w:rsidRPr="000E5786" w:rsidRDefault="0048699F" w:rsidP="00CE5734">
      <w:pPr>
        <w:pStyle w:val="BodyText"/>
        <w:keepNext/>
        <w:spacing w:after="120"/>
        <w:ind w:left="709" w:firstLine="1"/>
        <w:rPr>
          <w:rFonts w:cs="Arial"/>
          <w:szCs w:val="20"/>
          <w:u w:val="single"/>
        </w:rPr>
      </w:pPr>
      <w:r w:rsidRPr="000E5786">
        <w:rPr>
          <w:rFonts w:cs="Arial"/>
          <w:szCs w:val="20"/>
          <w:u w:val="single"/>
        </w:rPr>
        <w:t>Benchmarking</w:t>
      </w:r>
    </w:p>
    <w:p w14:paraId="653813DD" w14:textId="48490AB5" w:rsidR="0048699F" w:rsidRPr="000E5786" w:rsidRDefault="0048699F" w:rsidP="00DD60F0">
      <w:pPr>
        <w:pStyle w:val="Heading2"/>
        <w:spacing w:after="120"/>
        <w:rPr>
          <w:rFonts w:cs="Arial"/>
          <w:szCs w:val="20"/>
        </w:rPr>
      </w:pPr>
      <w:bookmarkStart w:id="314" w:name="_Ref53584956"/>
      <w:r w:rsidRPr="000E5786">
        <w:rPr>
          <w:rFonts w:cs="Arial"/>
          <w:szCs w:val="20"/>
        </w:rPr>
        <w:t xml:space="preserve">The Parties shall comply with the provisions of </w:t>
      </w:r>
      <w:bookmarkStart w:id="315" w:name="DocXTextRef127"/>
      <w:r w:rsidRPr="000E5786">
        <w:rPr>
          <w:rFonts w:cs="Arial"/>
          <w:szCs w:val="20"/>
        </w:rPr>
        <w:t>Schedule 7.3</w:t>
      </w:r>
      <w:bookmarkEnd w:id="315"/>
      <w:r w:rsidRPr="000E5786">
        <w:rPr>
          <w:rFonts w:cs="Arial"/>
          <w:szCs w:val="20"/>
        </w:rPr>
        <w:t xml:space="preserve"> (Benchmarking) in relation to the benchmarking of any or </w:t>
      </w:r>
      <w:proofErr w:type="gramStart"/>
      <w:r w:rsidRPr="000E5786">
        <w:rPr>
          <w:rFonts w:cs="Arial"/>
          <w:szCs w:val="20"/>
        </w:rPr>
        <w:t>all of</w:t>
      </w:r>
      <w:proofErr w:type="gramEnd"/>
      <w:r w:rsidRPr="000E5786">
        <w:rPr>
          <w:rFonts w:cs="Arial"/>
          <w:szCs w:val="20"/>
        </w:rPr>
        <w:t xml:space="preserve"> the Services.</w:t>
      </w:r>
      <w:bookmarkEnd w:id="314"/>
    </w:p>
    <w:p w14:paraId="335EED49" w14:textId="07817399" w:rsidR="0048699F" w:rsidRPr="000E5786" w:rsidRDefault="0048699F" w:rsidP="00CE5734">
      <w:pPr>
        <w:pStyle w:val="BodyText"/>
        <w:keepNext/>
        <w:spacing w:after="120"/>
        <w:ind w:left="709" w:firstLine="1"/>
        <w:rPr>
          <w:rFonts w:cs="Arial"/>
          <w:szCs w:val="20"/>
          <w:u w:val="single"/>
        </w:rPr>
      </w:pPr>
      <w:r w:rsidRPr="000E5786">
        <w:rPr>
          <w:rFonts w:cs="Arial"/>
          <w:szCs w:val="20"/>
          <w:u w:val="single"/>
        </w:rPr>
        <w:t>Financial Distress</w:t>
      </w:r>
    </w:p>
    <w:p w14:paraId="5BC1E7DA" w14:textId="4465BE67" w:rsidR="0048699F" w:rsidRPr="000E5786" w:rsidRDefault="006A6B45" w:rsidP="00DD60F0">
      <w:pPr>
        <w:pStyle w:val="Heading2"/>
        <w:spacing w:after="120"/>
        <w:rPr>
          <w:rFonts w:cs="Arial"/>
          <w:szCs w:val="20"/>
        </w:rPr>
      </w:pPr>
      <w:bookmarkStart w:id="316" w:name="_Ref53584957"/>
      <w:r>
        <w:rPr>
          <w:rFonts w:cs="Arial"/>
          <w:szCs w:val="20"/>
        </w:rPr>
        <w:t>Not used</w:t>
      </w:r>
      <w:r w:rsidR="0048699F" w:rsidRPr="000E5786">
        <w:rPr>
          <w:rFonts w:cs="Arial"/>
          <w:szCs w:val="20"/>
        </w:rPr>
        <w:t>.</w:t>
      </w:r>
      <w:bookmarkEnd w:id="316"/>
    </w:p>
    <w:p w14:paraId="38E88A56" w14:textId="77B84EE8" w:rsidR="0048699F" w:rsidRPr="000E5786" w:rsidRDefault="0048699F" w:rsidP="00CE5734">
      <w:pPr>
        <w:pStyle w:val="BodyText"/>
        <w:keepNext/>
        <w:spacing w:after="120"/>
        <w:ind w:left="709" w:firstLine="1"/>
        <w:rPr>
          <w:rFonts w:cs="Arial"/>
          <w:szCs w:val="20"/>
          <w:u w:val="single"/>
        </w:rPr>
      </w:pPr>
      <w:r w:rsidRPr="000E5786">
        <w:rPr>
          <w:rFonts w:cs="Arial"/>
          <w:szCs w:val="20"/>
          <w:u w:val="single"/>
        </w:rPr>
        <w:t>Promoting Tax Compliance</w:t>
      </w:r>
    </w:p>
    <w:p w14:paraId="4C0FCD8C" w14:textId="076D0B22" w:rsidR="0048699F" w:rsidRPr="000E5786" w:rsidRDefault="0048699F" w:rsidP="00DD60F0">
      <w:pPr>
        <w:pStyle w:val="Heading2"/>
        <w:spacing w:after="120"/>
        <w:rPr>
          <w:rFonts w:cs="Arial"/>
          <w:szCs w:val="20"/>
        </w:rPr>
      </w:pPr>
      <w:bookmarkStart w:id="317" w:name="_Ref53584958"/>
      <w:r w:rsidRPr="000E5786">
        <w:rPr>
          <w:rFonts w:cs="Arial"/>
          <w:szCs w:val="20"/>
        </w:rPr>
        <w:t>If, at any point during the Term, an Occasion of Tax Non-Compliance occurs, the Supplier shall:</w:t>
      </w:r>
      <w:bookmarkEnd w:id="317"/>
    </w:p>
    <w:p w14:paraId="154D5891" w14:textId="61B876D4" w:rsidR="0048699F" w:rsidRPr="000E5786" w:rsidRDefault="0048699F" w:rsidP="00346A37">
      <w:pPr>
        <w:pStyle w:val="Heading3"/>
      </w:pPr>
      <w:bookmarkStart w:id="318" w:name="_Ref53584959"/>
      <w:r w:rsidRPr="000E5786">
        <w:t xml:space="preserve">notify </w:t>
      </w:r>
      <w:proofErr w:type="spellStart"/>
      <w:r w:rsidR="001F1C19">
        <w:t>Netlink</w:t>
      </w:r>
      <w:proofErr w:type="spellEnd"/>
      <w:r w:rsidR="001F1C19">
        <w:t xml:space="preserve"> Star</w:t>
      </w:r>
      <w:r w:rsidRPr="000E5786">
        <w:t xml:space="preserve"> in writing of such fact within five </w:t>
      </w:r>
      <w:bookmarkStart w:id="319" w:name="DocXTextRef129"/>
      <w:r w:rsidRPr="000E5786">
        <w:t>(5)</w:t>
      </w:r>
      <w:bookmarkEnd w:id="319"/>
      <w:r w:rsidRPr="000E5786">
        <w:t xml:space="preserve"> Working Days of its occurrence; and</w:t>
      </w:r>
      <w:bookmarkEnd w:id="318"/>
    </w:p>
    <w:p w14:paraId="534B6AF2" w14:textId="7716C1D3" w:rsidR="0048699F" w:rsidRPr="000E5786" w:rsidRDefault="0048699F" w:rsidP="00346A37">
      <w:pPr>
        <w:pStyle w:val="Heading3"/>
      </w:pPr>
      <w:bookmarkStart w:id="320" w:name="_Ref53584960"/>
      <w:r w:rsidRPr="000E5786">
        <w:t xml:space="preserve">promptly provide to </w:t>
      </w:r>
      <w:proofErr w:type="spellStart"/>
      <w:r w:rsidR="001F1C19">
        <w:t>Netlink</w:t>
      </w:r>
      <w:proofErr w:type="spellEnd"/>
      <w:r w:rsidR="001F1C19">
        <w:t xml:space="preserve"> Star</w:t>
      </w:r>
      <w:r w:rsidRPr="000E5786">
        <w:t>:</w:t>
      </w:r>
      <w:bookmarkEnd w:id="320"/>
    </w:p>
    <w:p w14:paraId="0F52AF91" w14:textId="3820CE9F" w:rsidR="0048699F" w:rsidRPr="000E5786" w:rsidRDefault="0048699F" w:rsidP="00DD60F0">
      <w:pPr>
        <w:pStyle w:val="Heading4"/>
        <w:spacing w:after="120"/>
        <w:rPr>
          <w:rFonts w:cs="Arial"/>
          <w:szCs w:val="20"/>
        </w:rPr>
      </w:pPr>
      <w:bookmarkStart w:id="321" w:name="_Ref53584961"/>
      <w:r w:rsidRPr="000E5786">
        <w:rPr>
          <w:rFonts w:cs="Arial"/>
          <w:szCs w:val="20"/>
        </w:rPr>
        <w:t>details of the steps which the Supplier is taking to address the Occasion of Tax Non-Compliance and to prevent the same from recurring, together with any mitigating factors that it considers relevant; and</w:t>
      </w:r>
      <w:bookmarkEnd w:id="321"/>
    </w:p>
    <w:p w14:paraId="37ADBF57" w14:textId="60DB777D" w:rsidR="0048699F" w:rsidRPr="000E5786" w:rsidRDefault="0048699F" w:rsidP="00DD60F0">
      <w:pPr>
        <w:pStyle w:val="Heading4"/>
        <w:spacing w:after="120"/>
        <w:rPr>
          <w:rFonts w:cs="Arial"/>
          <w:szCs w:val="20"/>
        </w:rPr>
      </w:pPr>
      <w:bookmarkStart w:id="322" w:name="_Ref53584962"/>
      <w:r w:rsidRPr="000E5786">
        <w:rPr>
          <w:rFonts w:cs="Arial"/>
          <w:szCs w:val="20"/>
        </w:rPr>
        <w:t>such other information in relation to the Occasion of Tax Non</w:t>
      </w:r>
      <w:r w:rsidR="0007130A" w:rsidRPr="000E5786">
        <w:rPr>
          <w:rFonts w:cs="Arial"/>
          <w:szCs w:val="20"/>
        </w:rPr>
        <w:t>-</w:t>
      </w:r>
      <w:r w:rsidRPr="000E5786">
        <w:rPr>
          <w:rFonts w:cs="Arial"/>
          <w:szCs w:val="20"/>
        </w:rPr>
        <w:t xml:space="preserve">Compliance as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reasonably require.</w:t>
      </w:r>
      <w:bookmarkEnd w:id="322"/>
    </w:p>
    <w:p w14:paraId="1F7CD3FD" w14:textId="66D8D8D3" w:rsidR="008916AA" w:rsidRPr="000E5786" w:rsidRDefault="008916AA" w:rsidP="00CE5734">
      <w:pPr>
        <w:pStyle w:val="BodyText"/>
        <w:keepNext/>
        <w:spacing w:after="120"/>
        <w:ind w:left="709" w:firstLine="1"/>
        <w:rPr>
          <w:rFonts w:cs="Arial"/>
          <w:szCs w:val="20"/>
          <w:u w:val="single"/>
        </w:rPr>
      </w:pPr>
      <w:r w:rsidRPr="000E5786">
        <w:rPr>
          <w:rFonts w:cs="Arial"/>
          <w:szCs w:val="20"/>
          <w:u w:val="single"/>
        </w:rPr>
        <w:t>Financial Responsibility</w:t>
      </w:r>
    </w:p>
    <w:p w14:paraId="3FD81FE8" w14:textId="490D54D9" w:rsidR="008916AA" w:rsidRPr="000E5786" w:rsidRDefault="008916AA" w:rsidP="00DD60F0">
      <w:pPr>
        <w:pStyle w:val="Heading2"/>
        <w:spacing w:after="120"/>
        <w:rPr>
          <w:rFonts w:cs="Arial"/>
          <w:szCs w:val="20"/>
        </w:rPr>
      </w:pPr>
      <w:r w:rsidRPr="000E5786">
        <w:rPr>
          <w:rFonts w:cs="Arial"/>
          <w:szCs w:val="20"/>
        </w:rPr>
        <w:t>If applicable, any Assets relevant to the provision of the Services shall be defined according to the following categories:</w:t>
      </w:r>
    </w:p>
    <w:p w14:paraId="075BA22D" w14:textId="5F3A3D62" w:rsidR="008916AA" w:rsidRPr="000E5786" w:rsidRDefault="008916AA" w:rsidP="00346A37">
      <w:pPr>
        <w:pStyle w:val="Heading3"/>
      </w:pPr>
      <w:r w:rsidRPr="000E5786">
        <w:lastRenderedPageBreak/>
        <w:t xml:space="preserve">Supplier Operated </w:t>
      </w:r>
      <w:proofErr w:type="gramStart"/>
      <w:r w:rsidRPr="000E5786">
        <w:t>Hardware;</w:t>
      </w:r>
      <w:proofErr w:type="gramEnd"/>
    </w:p>
    <w:p w14:paraId="4374F63B" w14:textId="77777777" w:rsidR="008916AA" w:rsidRPr="000E5786" w:rsidRDefault="008916AA" w:rsidP="00346A37">
      <w:pPr>
        <w:pStyle w:val="Heading3"/>
      </w:pPr>
      <w:r w:rsidRPr="000E5786">
        <w:t>Supplier Operated Software </w:t>
      </w:r>
    </w:p>
    <w:p w14:paraId="79170441" w14:textId="77777777" w:rsidR="008916AA" w:rsidRPr="000E5786" w:rsidRDefault="008916AA" w:rsidP="00346A37">
      <w:pPr>
        <w:pStyle w:val="Heading3"/>
      </w:pPr>
      <w:r w:rsidRPr="000E5786">
        <w:t>Supplier Provided Hardware </w:t>
      </w:r>
    </w:p>
    <w:p w14:paraId="030B351E" w14:textId="77777777" w:rsidR="008916AA" w:rsidRPr="000E5786" w:rsidRDefault="008916AA" w:rsidP="00346A37">
      <w:pPr>
        <w:pStyle w:val="Heading3"/>
      </w:pPr>
      <w:r w:rsidRPr="000E5786">
        <w:t>Supplier Provided Software </w:t>
      </w:r>
    </w:p>
    <w:p w14:paraId="60016AFB" w14:textId="493FACCF" w:rsidR="008916AA" w:rsidRPr="000E5786" w:rsidRDefault="001F1C19" w:rsidP="00346A37">
      <w:pPr>
        <w:pStyle w:val="Heading3"/>
      </w:pPr>
      <w:proofErr w:type="spellStart"/>
      <w:r>
        <w:t>Netlink</w:t>
      </w:r>
      <w:proofErr w:type="spellEnd"/>
      <w:r>
        <w:t xml:space="preserve"> Star</w:t>
      </w:r>
      <w:r w:rsidR="008916AA" w:rsidRPr="000E5786">
        <w:t xml:space="preserve"> Provided Hardware </w:t>
      </w:r>
    </w:p>
    <w:p w14:paraId="31720A09" w14:textId="2AD5611C" w:rsidR="008916AA" w:rsidRPr="000E5786" w:rsidRDefault="001F1C19" w:rsidP="00346A37">
      <w:pPr>
        <w:pStyle w:val="Heading3"/>
      </w:pPr>
      <w:proofErr w:type="spellStart"/>
      <w:r>
        <w:t>Netlink</w:t>
      </w:r>
      <w:proofErr w:type="spellEnd"/>
      <w:r>
        <w:t xml:space="preserve"> Star</w:t>
      </w:r>
      <w:r w:rsidR="008916AA" w:rsidRPr="000E5786">
        <w:t xml:space="preserve"> Provided Software. </w:t>
      </w:r>
    </w:p>
    <w:p w14:paraId="1F923D28" w14:textId="77777777" w:rsidR="0048699F" w:rsidRPr="000E5786" w:rsidRDefault="0048699F" w:rsidP="00DD60F0">
      <w:pPr>
        <w:pStyle w:val="BodyText"/>
        <w:spacing w:after="120"/>
        <w:rPr>
          <w:rFonts w:cs="Arial"/>
          <w:b/>
          <w:bCs/>
          <w:szCs w:val="20"/>
        </w:rPr>
      </w:pPr>
      <w:r w:rsidRPr="000E5786">
        <w:rPr>
          <w:rFonts w:cs="Arial"/>
          <w:b/>
          <w:bCs/>
          <w:szCs w:val="20"/>
        </w:rPr>
        <w:t>SECTION D – CONTRACT GOVERNANCE</w:t>
      </w:r>
    </w:p>
    <w:p w14:paraId="4840E51F" w14:textId="40277AE7" w:rsidR="0048699F" w:rsidRPr="000E5786" w:rsidRDefault="0048699F" w:rsidP="00DD60F0">
      <w:pPr>
        <w:pStyle w:val="Heading1"/>
        <w:spacing w:after="120"/>
        <w:rPr>
          <w:rFonts w:cs="Arial"/>
          <w:szCs w:val="20"/>
        </w:rPr>
      </w:pPr>
      <w:bookmarkStart w:id="323" w:name="_Ref53584963"/>
      <w:bookmarkStart w:id="324" w:name="_Ref53585710"/>
      <w:bookmarkStart w:id="325" w:name="_Toc71198937"/>
      <w:r w:rsidRPr="000E5786">
        <w:rPr>
          <w:rFonts w:cs="Arial"/>
          <w:szCs w:val="20"/>
        </w:rPr>
        <w:t>GOVERNANCE</w:t>
      </w:r>
      <w:bookmarkEnd w:id="323"/>
      <w:bookmarkEnd w:id="324"/>
      <w:bookmarkEnd w:id="325"/>
    </w:p>
    <w:p w14:paraId="7CA2BBF0" w14:textId="705055E1" w:rsidR="0048699F" w:rsidRPr="000E5786" w:rsidRDefault="0048699F" w:rsidP="00DD60F0">
      <w:pPr>
        <w:pStyle w:val="Heading2"/>
        <w:spacing w:after="120"/>
        <w:rPr>
          <w:rFonts w:cs="Arial"/>
          <w:szCs w:val="20"/>
        </w:rPr>
      </w:pPr>
      <w:bookmarkStart w:id="326" w:name="_Ref53584964"/>
      <w:r w:rsidRPr="000E5786">
        <w:rPr>
          <w:rFonts w:cs="Arial"/>
          <w:szCs w:val="20"/>
        </w:rPr>
        <w:t xml:space="preserve">The Parties shall comply with the provisions of </w:t>
      </w:r>
      <w:bookmarkStart w:id="327" w:name="DocXTextRef130"/>
      <w:r w:rsidRPr="000E5786">
        <w:rPr>
          <w:rFonts w:cs="Arial"/>
          <w:szCs w:val="20"/>
        </w:rPr>
        <w:t>Schedule 8.1</w:t>
      </w:r>
      <w:bookmarkEnd w:id="327"/>
      <w:r w:rsidRPr="000E5786">
        <w:rPr>
          <w:rFonts w:cs="Arial"/>
          <w:szCs w:val="20"/>
        </w:rPr>
        <w:t xml:space="preserve"> (Governance) in relation to the management and governance of this Agreement.</w:t>
      </w:r>
      <w:bookmarkEnd w:id="326"/>
    </w:p>
    <w:p w14:paraId="0A10D2B0" w14:textId="7338C365" w:rsidR="0048699F" w:rsidRPr="000E5786" w:rsidRDefault="0048699F" w:rsidP="00CE5734">
      <w:pPr>
        <w:pStyle w:val="BodyText"/>
        <w:keepNext/>
        <w:spacing w:after="120"/>
        <w:ind w:left="709" w:firstLine="1"/>
        <w:rPr>
          <w:rFonts w:cs="Arial"/>
          <w:szCs w:val="20"/>
          <w:u w:val="single"/>
        </w:rPr>
      </w:pPr>
      <w:r w:rsidRPr="000E5786">
        <w:rPr>
          <w:rFonts w:cs="Arial"/>
          <w:szCs w:val="20"/>
          <w:u w:val="single"/>
        </w:rPr>
        <w:t>Representatives</w:t>
      </w:r>
    </w:p>
    <w:p w14:paraId="426F5E03" w14:textId="0F8C67E5" w:rsidR="0048699F" w:rsidRPr="000E5786" w:rsidRDefault="0048699F" w:rsidP="00DD60F0">
      <w:pPr>
        <w:pStyle w:val="Heading2"/>
        <w:spacing w:after="120"/>
        <w:rPr>
          <w:rFonts w:cs="Arial"/>
          <w:szCs w:val="20"/>
        </w:rPr>
      </w:pPr>
      <w:bookmarkStart w:id="328" w:name="_Ref53584965"/>
      <w:r w:rsidRPr="000E5786">
        <w:rPr>
          <w:rFonts w:cs="Arial"/>
          <w:szCs w:val="20"/>
        </w:rPr>
        <w:t>Each Party shall have a representative for the duration of this Agreement who shall have the authority to act on behalf of their respective Party on the matters set out in, or in connection with, this Agreement.</w:t>
      </w:r>
      <w:bookmarkEnd w:id="328"/>
    </w:p>
    <w:p w14:paraId="45767C25" w14:textId="0E465302" w:rsidR="0048699F" w:rsidRPr="000E5786" w:rsidRDefault="0048699F" w:rsidP="00DD60F0">
      <w:pPr>
        <w:pStyle w:val="Heading2"/>
        <w:spacing w:after="120"/>
        <w:rPr>
          <w:rFonts w:cs="Arial"/>
          <w:szCs w:val="20"/>
        </w:rPr>
      </w:pPr>
      <w:bookmarkStart w:id="329" w:name="_Ref53584966"/>
      <w:r w:rsidRPr="000E5786">
        <w:rPr>
          <w:rFonts w:cs="Arial"/>
          <w:szCs w:val="20"/>
        </w:rPr>
        <w:t xml:space="preserve">The initial Supplier Representative shall be the person named as such in </w:t>
      </w:r>
      <w:bookmarkStart w:id="330" w:name="DocXTextRef132"/>
      <w:r w:rsidRPr="000E5786">
        <w:rPr>
          <w:rFonts w:cs="Arial"/>
          <w:szCs w:val="20"/>
        </w:rPr>
        <w:t>Schedule 9.</w:t>
      </w:r>
      <w:bookmarkEnd w:id="330"/>
      <w:r w:rsidR="00FA4034">
        <w:rPr>
          <w:rFonts w:cs="Arial"/>
          <w:szCs w:val="20"/>
        </w:rPr>
        <w:t>1</w:t>
      </w:r>
      <w:r w:rsidRPr="000E5786">
        <w:rPr>
          <w:rFonts w:cs="Arial"/>
          <w:szCs w:val="20"/>
        </w:rPr>
        <w:t xml:space="preserve"> (Key Personnel).</w:t>
      </w:r>
      <w:r w:rsidR="000578A4" w:rsidRPr="000E5786">
        <w:rPr>
          <w:rFonts w:cs="Arial"/>
          <w:szCs w:val="20"/>
        </w:rPr>
        <w:t xml:space="preserve"> </w:t>
      </w:r>
      <w:r w:rsidRPr="000E5786">
        <w:rPr>
          <w:rFonts w:cs="Arial"/>
          <w:szCs w:val="20"/>
        </w:rPr>
        <w:t xml:space="preserve">Any change to the Supplier Representative shall be agreed in accordance with clause </w:t>
      </w:r>
      <w:r w:rsidR="00257E09" w:rsidRPr="000E5786">
        <w:rPr>
          <w:rFonts w:cs="Arial"/>
          <w:szCs w:val="20"/>
        </w:rPr>
        <w:fldChar w:fldCharType="begin"/>
      </w:r>
      <w:r w:rsidR="00257E09" w:rsidRPr="000E5786">
        <w:rPr>
          <w:rFonts w:cs="Arial"/>
          <w:szCs w:val="20"/>
        </w:rPr>
        <w:instrText xml:space="preserve">  REF _Ref53585713 \w \h \* MERGEFORMAT </w:instrText>
      </w:r>
      <w:r w:rsidR="00257E09" w:rsidRPr="000E5786">
        <w:rPr>
          <w:rFonts w:cs="Arial"/>
          <w:szCs w:val="20"/>
        </w:rPr>
      </w:r>
      <w:r w:rsidR="00257E09" w:rsidRPr="000E5786">
        <w:rPr>
          <w:rFonts w:cs="Arial"/>
          <w:szCs w:val="20"/>
        </w:rPr>
        <w:fldChar w:fldCharType="separate"/>
      </w:r>
      <w:r w:rsidR="002523A8" w:rsidRPr="000E5786">
        <w:rPr>
          <w:rFonts w:cs="Arial"/>
          <w:szCs w:val="20"/>
        </w:rPr>
        <w:t>16</w:t>
      </w:r>
      <w:r w:rsidR="00257E09" w:rsidRPr="000E5786">
        <w:rPr>
          <w:rFonts w:cs="Arial"/>
          <w:szCs w:val="20"/>
        </w:rPr>
        <w:fldChar w:fldCharType="end"/>
      </w:r>
      <w:r w:rsidRPr="000E5786">
        <w:rPr>
          <w:rFonts w:cs="Arial"/>
          <w:szCs w:val="20"/>
        </w:rPr>
        <w:t xml:space="preserve"> (Supplier Personnel).</w:t>
      </w:r>
      <w:bookmarkEnd w:id="329"/>
    </w:p>
    <w:p w14:paraId="6D857639" w14:textId="06E6A08F" w:rsidR="0048699F" w:rsidRPr="000E5786" w:rsidRDefault="001F1C19" w:rsidP="00DD60F0">
      <w:pPr>
        <w:pStyle w:val="Heading2"/>
        <w:spacing w:after="120"/>
        <w:rPr>
          <w:rFonts w:cs="Arial"/>
          <w:szCs w:val="20"/>
        </w:rPr>
      </w:pPr>
      <w:bookmarkStart w:id="331" w:name="_Ref53584967"/>
      <w:proofErr w:type="spellStart"/>
      <w:r>
        <w:rPr>
          <w:rFonts w:cs="Arial"/>
          <w:szCs w:val="20"/>
        </w:rPr>
        <w:t>Netlink</w:t>
      </w:r>
      <w:proofErr w:type="spellEnd"/>
      <w:r>
        <w:rPr>
          <w:rFonts w:cs="Arial"/>
          <w:szCs w:val="20"/>
        </w:rPr>
        <w:t xml:space="preserve"> Star</w:t>
      </w:r>
      <w:r w:rsidR="0048699F" w:rsidRPr="000E5786">
        <w:rPr>
          <w:rFonts w:cs="Arial"/>
          <w:szCs w:val="20"/>
        </w:rPr>
        <w:t xml:space="preserve"> shall notify the Supplier of the identity of the initial </w:t>
      </w:r>
      <w:proofErr w:type="spellStart"/>
      <w:r>
        <w:rPr>
          <w:rFonts w:cs="Arial"/>
          <w:szCs w:val="20"/>
        </w:rPr>
        <w:t>Netlink</w:t>
      </w:r>
      <w:proofErr w:type="spellEnd"/>
      <w:r>
        <w:rPr>
          <w:rFonts w:cs="Arial"/>
          <w:szCs w:val="20"/>
        </w:rPr>
        <w:t xml:space="preserve"> Star</w:t>
      </w:r>
      <w:r w:rsidR="0048699F" w:rsidRPr="000E5786">
        <w:rPr>
          <w:rFonts w:cs="Arial"/>
          <w:szCs w:val="20"/>
        </w:rPr>
        <w:t xml:space="preserve"> Representative within five </w:t>
      </w:r>
      <w:bookmarkStart w:id="332" w:name="DocXTextRef133"/>
      <w:r w:rsidR="0048699F" w:rsidRPr="000E5786">
        <w:rPr>
          <w:rFonts w:cs="Arial"/>
          <w:szCs w:val="20"/>
        </w:rPr>
        <w:t>(5)</w:t>
      </w:r>
      <w:bookmarkEnd w:id="332"/>
      <w:r w:rsidR="0048699F" w:rsidRPr="000E5786">
        <w:rPr>
          <w:rFonts w:cs="Arial"/>
          <w:szCs w:val="20"/>
        </w:rPr>
        <w:t xml:space="preserve"> Working Days of the Effective Date.</w:t>
      </w:r>
      <w:r w:rsidR="000578A4" w:rsidRPr="000E5786">
        <w:rPr>
          <w:rFonts w:cs="Arial"/>
          <w:szCs w:val="20"/>
        </w:rPr>
        <w:t xml:space="preserve"> </w:t>
      </w:r>
      <w:proofErr w:type="spellStart"/>
      <w:r>
        <w:rPr>
          <w:rFonts w:cs="Arial"/>
          <w:szCs w:val="20"/>
        </w:rPr>
        <w:t>Netlink</w:t>
      </w:r>
      <w:proofErr w:type="spellEnd"/>
      <w:r>
        <w:rPr>
          <w:rFonts w:cs="Arial"/>
          <w:szCs w:val="20"/>
        </w:rPr>
        <w:t xml:space="preserve"> Star</w:t>
      </w:r>
      <w:r w:rsidR="0048699F" w:rsidRPr="000E5786">
        <w:rPr>
          <w:rFonts w:cs="Arial"/>
          <w:szCs w:val="20"/>
        </w:rPr>
        <w:t xml:space="preserve"> may, by written notice to the Supplier, revoke or amend the authority of the </w:t>
      </w:r>
      <w:proofErr w:type="spellStart"/>
      <w:r>
        <w:rPr>
          <w:rFonts w:cs="Arial"/>
          <w:szCs w:val="20"/>
        </w:rPr>
        <w:t>Netlink</w:t>
      </w:r>
      <w:proofErr w:type="spellEnd"/>
      <w:r>
        <w:rPr>
          <w:rFonts w:cs="Arial"/>
          <w:szCs w:val="20"/>
        </w:rPr>
        <w:t xml:space="preserve"> Star</w:t>
      </w:r>
      <w:r w:rsidR="0048699F" w:rsidRPr="000E5786">
        <w:rPr>
          <w:rFonts w:cs="Arial"/>
          <w:szCs w:val="20"/>
        </w:rPr>
        <w:t xml:space="preserve"> Representative or appoint a new </w:t>
      </w:r>
      <w:proofErr w:type="spellStart"/>
      <w:r>
        <w:rPr>
          <w:rFonts w:cs="Arial"/>
          <w:szCs w:val="20"/>
        </w:rPr>
        <w:t>Netlink</w:t>
      </w:r>
      <w:proofErr w:type="spellEnd"/>
      <w:r>
        <w:rPr>
          <w:rFonts w:cs="Arial"/>
          <w:szCs w:val="20"/>
        </w:rPr>
        <w:t xml:space="preserve"> Star</w:t>
      </w:r>
      <w:r w:rsidR="0048699F" w:rsidRPr="000E5786">
        <w:rPr>
          <w:rFonts w:cs="Arial"/>
          <w:szCs w:val="20"/>
        </w:rPr>
        <w:t xml:space="preserve"> Representative.</w:t>
      </w:r>
      <w:bookmarkEnd w:id="331"/>
    </w:p>
    <w:p w14:paraId="3415604B" w14:textId="09D40998" w:rsidR="0048699F" w:rsidRPr="000E5786" w:rsidRDefault="0048699F" w:rsidP="00DD60F0">
      <w:pPr>
        <w:pStyle w:val="Heading2"/>
        <w:spacing w:after="120"/>
        <w:rPr>
          <w:rFonts w:cs="Arial"/>
          <w:szCs w:val="20"/>
        </w:rPr>
      </w:pPr>
      <w:bookmarkStart w:id="333" w:name="_Ref53584968"/>
      <w:r w:rsidRPr="000E5786">
        <w:rPr>
          <w:rFonts w:cs="Arial"/>
          <w:szCs w:val="20"/>
        </w:rPr>
        <w:t xml:space="preserve">The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Representative may delegate any of his or her actions or functions under this Agreement and may cancel his delegation and will notify the Supplier in writing of such delegation or cancellation.</w:t>
      </w:r>
      <w:bookmarkEnd w:id="333"/>
    </w:p>
    <w:p w14:paraId="331BF331" w14:textId="0D8027A5" w:rsidR="0048699F" w:rsidRPr="000E5786" w:rsidRDefault="0048699F" w:rsidP="00DD60F0">
      <w:pPr>
        <w:pStyle w:val="Heading2"/>
        <w:spacing w:after="120"/>
        <w:rPr>
          <w:rFonts w:cs="Arial"/>
          <w:szCs w:val="20"/>
        </w:rPr>
      </w:pPr>
      <w:bookmarkStart w:id="334" w:name="_Ref53584969"/>
      <w:r w:rsidRPr="000E5786">
        <w:rPr>
          <w:rFonts w:cs="Arial"/>
          <w:szCs w:val="20"/>
        </w:rPr>
        <w:t xml:space="preserve">The Supplier will not act on instructions given by an employee or officer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(including any instructions to implement a change to the Services) unless the employee or officer is a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Representative or has been notified to the Supplier pursuant to clause </w:t>
      </w:r>
      <w:r w:rsidR="0038196E" w:rsidRPr="000E5786">
        <w:rPr>
          <w:rFonts w:cs="Arial"/>
          <w:szCs w:val="20"/>
        </w:rPr>
        <w:fldChar w:fldCharType="begin"/>
      </w:r>
      <w:r w:rsidR="0038196E" w:rsidRPr="000E5786">
        <w:rPr>
          <w:rFonts w:cs="Arial"/>
          <w:szCs w:val="20"/>
        </w:rPr>
        <w:instrText xml:space="preserve">  REF _Ref53584968 \w \h \* MERGEFORMAT </w:instrText>
      </w:r>
      <w:r w:rsidR="0038196E" w:rsidRPr="000E5786">
        <w:rPr>
          <w:rFonts w:cs="Arial"/>
          <w:szCs w:val="20"/>
        </w:rPr>
      </w:r>
      <w:r w:rsidR="0038196E" w:rsidRPr="000E5786">
        <w:rPr>
          <w:rFonts w:cs="Arial"/>
          <w:szCs w:val="20"/>
        </w:rPr>
        <w:fldChar w:fldCharType="separate"/>
      </w:r>
      <w:r w:rsidR="002523A8" w:rsidRPr="000E5786">
        <w:rPr>
          <w:rFonts w:cs="Arial"/>
          <w:szCs w:val="20"/>
        </w:rPr>
        <w:t>13.5</w:t>
      </w:r>
      <w:r w:rsidR="0038196E" w:rsidRPr="000E5786">
        <w:rPr>
          <w:rFonts w:cs="Arial"/>
          <w:szCs w:val="20"/>
        </w:rPr>
        <w:fldChar w:fldCharType="end"/>
      </w:r>
      <w:r w:rsidRPr="000E5786">
        <w:rPr>
          <w:rFonts w:cs="Arial"/>
          <w:szCs w:val="20"/>
        </w:rPr>
        <w:t xml:space="preserve"> above.</w:t>
      </w:r>
      <w:bookmarkEnd w:id="334"/>
    </w:p>
    <w:p w14:paraId="524D5F63" w14:textId="698B303A" w:rsidR="0048699F" w:rsidRPr="000E5786" w:rsidRDefault="0048699F" w:rsidP="00DD60F0">
      <w:pPr>
        <w:pStyle w:val="Heading1"/>
        <w:spacing w:after="120"/>
        <w:rPr>
          <w:rFonts w:cs="Arial"/>
          <w:szCs w:val="20"/>
        </w:rPr>
      </w:pPr>
      <w:bookmarkStart w:id="335" w:name="_Ref53584970"/>
      <w:bookmarkStart w:id="336" w:name="_Ref53585711"/>
      <w:bookmarkStart w:id="337" w:name="_Toc71198938"/>
      <w:r w:rsidRPr="000E5786">
        <w:rPr>
          <w:rFonts w:cs="Arial"/>
          <w:szCs w:val="20"/>
        </w:rPr>
        <w:t>RECORDS, REPORTS</w:t>
      </w:r>
      <w:r w:rsidR="00C44DBA">
        <w:rPr>
          <w:rFonts w:cs="Arial"/>
          <w:szCs w:val="20"/>
        </w:rPr>
        <w:t xml:space="preserve"> &amp;</w:t>
      </w:r>
      <w:r w:rsidRPr="000E5786">
        <w:rPr>
          <w:rFonts w:cs="Arial"/>
          <w:szCs w:val="20"/>
        </w:rPr>
        <w:t xml:space="preserve"> AUDITS</w:t>
      </w:r>
      <w:bookmarkEnd w:id="335"/>
      <w:bookmarkEnd w:id="336"/>
      <w:bookmarkEnd w:id="337"/>
    </w:p>
    <w:p w14:paraId="3FA72279" w14:textId="093C0EB3" w:rsidR="0048699F" w:rsidRPr="000E5786" w:rsidRDefault="0048699F" w:rsidP="006A6B45">
      <w:pPr>
        <w:pStyle w:val="Heading2"/>
        <w:spacing w:after="120"/>
        <w:rPr>
          <w:rFonts w:cs="Arial"/>
          <w:szCs w:val="20"/>
        </w:rPr>
      </w:pPr>
      <w:bookmarkStart w:id="338" w:name="_Ref53584971"/>
      <w:r w:rsidRPr="006A6B45">
        <w:rPr>
          <w:rFonts w:cs="Arial"/>
          <w:szCs w:val="20"/>
        </w:rPr>
        <w:t>The Supplier shall comply with the provisions of</w:t>
      </w:r>
      <w:r w:rsidR="006A6B45" w:rsidRPr="006A6B45">
        <w:rPr>
          <w:rFonts w:cs="Arial"/>
          <w:szCs w:val="20"/>
        </w:rPr>
        <w:t xml:space="preserve"> </w:t>
      </w:r>
      <w:bookmarkStart w:id="339" w:name="_Ref53584972"/>
      <w:bookmarkEnd w:id="338"/>
      <w:r w:rsidRPr="006A6B45">
        <w:rPr>
          <w:rFonts w:cs="Arial"/>
          <w:szCs w:val="20"/>
        </w:rPr>
        <w:t>Schedule 8.4 (Reports and Records Provisions) in relation to the maintenance and retention of Records</w:t>
      </w:r>
      <w:r w:rsidR="006A6B45">
        <w:rPr>
          <w:rFonts w:cs="Arial"/>
          <w:szCs w:val="20"/>
        </w:rPr>
        <w:t xml:space="preserve">. </w:t>
      </w:r>
      <w:bookmarkEnd w:id="339"/>
    </w:p>
    <w:p w14:paraId="09E2453E" w14:textId="189ECC17" w:rsidR="0048699F" w:rsidRPr="000E5786" w:rsidRDefault="0048699F" w:rsidP="00DD60F0">
      <w:pPr>
        <w:pStyle w:val="Heading2"/>
        <w:spacing w:after="120"/>
        <w:rPr>
          <w:rFonts w:cs="Arial"/>
          <w:szCs w:val="20"/>
        </w:rPr>
      </w:pPr>
      <w:bookmarkStart w:id="340" w:name="_Ref53584974"/>
      <w:r w:rsidRPr="000E5786">
        <w:rPr>
          <w:rFonts w:cs="Arial"/>
          <w:szCs w:val="20"/>
        </w:rPr>
        <w:t>The Parties shall comply with the provisions of:</w:t>
      </w:r>
      <w:bookmarkEnd w:id="340"/>
    </w:p>
    <w:p w14:paraId="4887015D" w14:textId="035F41A1" w:rsidR="0048699F" w:rsidRPr="000E5786" w:rsidRDefault="0048699F" w:rsidP="00346A37">
      <w:pPr>
        <w:pStyle w:val="Heading3"/>
      </w:pPr>
      <w:bookmarkStart w:id="341" w:name="_Ref53584975"/>
      <w:r w:rsidRPr="000E5786">
        <w:t xml:space="preserve">Part B of </w:t>
      </w:r>
      <w:bookmarkStart w:id="342" w:name="DocXTextRef136"/>
      <w:r w:rsidRPr="000E5786">
        <w:t>Schedule 7.</w:t>
      </w:r>
      <w:r w:rsidR="003550D6">
        <w:t>6</w:t>
      </w:r>
      <w:bookmarkEnd w:id="342"/>
      <w:r w:rsidRPr="000E5786">
        <w:t xml:space="preserve"> (Financial Reports and Audit Rights) in relation to the provision of the Financial Reports; and</w:t>
      </w:r>
      <w:bookmarkEnd w:id="341"/>
    </w:p>
    <w:p w14:paraId="7E4C1C35" w14:textId="7955B75A" w:rsidR="0048699F" w:rsidRPr="000E5786" w:rsidRDefault="0048699F" w:rsidP="00346A37">
      <w:pPr>
        <w:pStyle w:val="Heading3"/>
      </w:pPr>
      <w:bookmarkStart w:id="343" w:name="_Ref53584976"/>
      <w:r w:rsidRPr="000E5786">
        <w:t xml:space="preserve">Part C of </w:t>
      </w:r>
      <w:bookmarkStart w:id="344" w:name="DocXTextRef137"/>
      <w:r w:rsidRPr="000E5786">
        <w:t>Schedule 7.</w:t>
      </w:r>
      <w:r w:rsidR="003550D6">
        <w:t>6</w:t>
      </w:r>
      <w:bookmarkEnd w:id="344"/>
      <w:r w:rsidRPr="000E5786">
        <w:t xml:space="preserve"> (Financial Reports and Audit Rights) in relation to the exercise of the Audit Rights by </w:t>
      </w:r>
      <w:proofErr w:type="spellStart"/>
      <w:r w:rsidR="001F1C19">
        <w:t>Netlink</w:t>
      </w:r>
      <w:proofErr w:type="spellEnd"/>
      <w:r w:rsidR="001F1C19">
        <w:t xml:space="preserve"> Star</w:t>
      </w:r>
      <w:r w:rsidRPr="000E5786">
        <w:t xml:space="preserve"> or any Audit Agents.</w:t>
      </w:r>
      <w:bookmarkEnd w:id="343"/>
    </w:p>
    <w:p w14:paraId="48E30BC6" w14:textId="1232585D" w:rsidR="0048699F" w:rsidRPr="000E5786" w:rsidRDefault="0048699F" w:rsidP="00DD60F0">
      <w:pPr>
        <w:pStyle w:val="Heading1"/>
        <w:spacing w:after="120"/>
        <w:rPr>
          <w:rFonts w:cs="Arial"/>
          <w:szCs w:val="20"/>
        </w:rPr>
      </w:pPr>
      <w:bookmarkStart w:id="345" w:name="_Ref53584977"/>
      <w:bookmarkStart w:id="346" w:name="_Ref53585712"/>
      <w:bookmarkStart w:id="347" w:name="_Toc71198939"/>
      <w:r w:rsidRPr="000E5786">
        <w:rPr>
          <w:rFonts w:cs="Arial"/>
          <w:szCs w:val="20"/>
        </w:rPr>
        <w:t>CHANGE</w:t>
      </w:r>
      <w:bookmarkEnd w:id="345"/>
      <w:bookmarkEnd w:id="346"/>
      <w:bookmarkEnd w:id="347"/>
    </w:p>
    <w:p w14:paraId="494781C5" w14:textId="77777777" w:rsidR="0048699F" w:rsidRPr="000E5786" w:rsidRDefault="0048699F" w:rsidP="00CE5734">
      <w:pPr>
        <w:pStyle w:val="BodyText"/>
        <w:spacing w:after="120"/>
        <w:ind w:firstLine="284"/>
        <w:rPr>
          <w:rFonts w:cs="Arial"/>
          <w:b/>
          <w:bCs/>
          <w:szCs w:val="20"/>
        </w:rPr>
      </w:pPr>
      <w:r w:rsidRPr="000E5786">
        <w:rPr>
          <w:rFonts w:cs="Arial"/>
          <w:b/>
          <w:bCs/>
          <w:szCs w:val="20"/>
        </w:rPr>
        <w:t>Change Control Procedure</w:t>
      </w:r>
    </w:p>
    <w:p w14:paraId="574A5069" w14:textId="1648D606" w:rsidR="0048699F" w:rsidRPr="000E5786" w:rsidRDefault="0048699F" w:rsidP="00DD60F0">
      <w:pPr>
        <w:pStyle w:val="Heading2"/>
        <w:spacing w:after="120"/>
        <w:rPr>
          <w:rFonts w:cs="Arial"/>
          <w:szCs w:val="20"/>
        </w:rPr>
      </w:pPr>
      <w:bookmarkStart w:id="348" w:name="_Ref53584978"/>
      <w:r w:rsidRPr="000E5786">
        <w:rPr>
          <w:rFonts w:cs="Arial"/>
          <w:szCs w:val="20"/>
        </w:rPr>
        <w:t>Any requirement for a Change shall be subject to the Change Control Procedure.</w:t>
      </w:r>
      <w:bookmarkEnd w:id="348"/>
    </w:p>
    <w:p w14:paraId="58FBB0EC" w14:textId="068C3A2E" w:rsidR="0048699F" w:rsidRPr="000E5786" w:rsidRDefault="0048699F" w:rsidP="00CE5734">
      <w:pPr>
        <w:pStyle w:val="BodyText"/>
        <w:keepNext/>
        <w:spacing w:after="120"/>
        <w:ind w:left="709" w:firstLine="1"/>
        <w:rPr>
          <w:rFonts w:cs="Arial"/>
          <w:szCs w:val="20"/>
          <w:u w:val="single"/>
        </w:rPr>
      </w:pPr>
      <w:r w:rsidRPr="000E5786">
        <w:rPr>
          <w:rFonts w:cs="Arial"/>
          <w:szCs w:val="20"/>
          <w:u w:val="single"/>
        </w:rPr>
        <w:t>Change in Law</w:t>
      </w:r>
    </w:p>
    <w:p w14:paraId="4ABF3356" w14:textId="35C224FC" w:rsidR="0048699F" w:rsidRPr="000E5786" w:rsidRDefault="0048699F" w:rsidP="00DD60F0">
      <w:pPr>
        <w:pStyle w:val="Heading2"/>
        <w:spacing w:after="120"/>
        <w:rPr>
          <w:rFonts w:cs="Arial"/>
          <w:szCs w:val="20"/>
        </w:rPr>
      </w:pPr>
      <w:bookmarkStart w:id="349" w:name="_Ref53584979"/>
      <w:r w:rsidRPr="000E5786">
        <w:rPr>
          <w:rFonts w:cs="Arial"/>
          <w:szCs w:val="20"/>
        </w:rPr>
        <w:t>The Supplier shall neither be relieved of its obligations to supply the Services in accordance with the terms and conditions of this Agreement nor be entitled to an increase in the Charges as the result of:</w:t>
      </w:r>
      <w:bookmarkEnd w:id="349"/>
    </w:p>
    <w:p w14:paraId="24214FC6" w14:textId="16090133" w:rsidR="0048699F" w:rsidRPr="000E5786" w:rsidRDefault="0048699F" w:rsidP="00346A37">
      <w:pPr>
        <w:pStyle w:val="Heading3"/>
      </w:pPr>
      <w:bookmarkStart w:id="350" w:name="_Ref53584980"/>
      <w:r w:rsidRPr="000E5786">
        <w:t>a General Change in Law; or</w:t>
      </w:r>
      <w:bookmarkEnd w:id="350"/>
    </w:p>
    <w:p w14:paraId="2CFE1721" w14:textId="4136A913" w:rsidR="0048699F" w:rsidRPr="000E5786" w:rsidRDefault="0048699F" w:rsidP="00346A37">
      <w:pPr>
        <w:pStyle w:val="Heading3"/>
      </w:pPr>
      <w:bookmarkStart w:id="351" w:name="_Ref53584981"/>
      <w:r w:rsidRPr="000E5786">
        <w:t>a Specific Change in Law where the effect of that Specific Change in Law on the Services is reasonably foreseeable at the Effective Date.</w:t>
      </w:r>
      <w:bookmarkEnd w:id="351"/>
    </w:p>
    <w:p w14:paraId="2ACA094F" w14:textId="3B50FAAE" w:rsidR="0048699F" w:rsidRPr="000E5786" w:rsidRDefault="0048699F" w:rsidP="00DD60F0">
      <w:pPr>
        <w:pStyle w:val="Heading2"/>
        <w:spacing w:after="120"/>
        <w:rPr>
          <w:rFonts w:cs="Arial"/>
          <w:szCs w:val="20"/>
        </w:rPr>
      </w:pPr>
      <w:bookmarkStart w:id="352" w:name="_Ref53584982"/>
      <w:r w:rsidRPr="000E5786">
        <w:rPr>
          <w:rFonts w:cs="Arial"/>
          <w:szCs w:val="20"/>
        </w:rPr>
        <w:lastRenderedPageBreak/>
        <w:t xml:space="preserve">If a Specific Change in Law occurs or will occur during the Term (other than as referred to in clause </w:t>
      </w:r>
      <w:r w:rsidR="0038196E" w:rsidRPr="000E5786">
        <w:rPr>
          <w:rFonts w:cs="Arial"/>
          <w:szCs w:val="20"/>
        </w:rPr>
        <w:fldChar w:fldCharType="begin"/>
      </w:r>
      <w:r w:rsidR="0038196E" w:rsidRPr="000E5786">
        <w:rPr>
          <w:rFonts w:cs="Arial"/>
          <w:szCs w:val="20"/>
        </w:rPr>
        <w:instrText xml:space="preserve">  REF _Ref53584981 \w \h \* MERGEFORMAT </w:instrText>
      </w:r>
      <w:r w:rsidR="0038196E" w:rsidRPr="000E5786">
        <w:rPr>
          <w:rFonts w:cs="Arial"/>
          <w:szCs w:val="20"/>
        </w:rPr>
      </w:r>
      <w:r w:rsidR="0038196E" w:rsidRPr="000E5786">
        <w:rPr>
          <w:rFonts w:cs="Arial"/>
          <w:szCs w:val="20"/>
        </w:rPr>
        <w:fldChar w:fldCharType="separate"/>
      </w:r>
      <w:r w:rsidR="002523A8" w:rsidRPr="000E5786">
        <w:rPr>
          <w:rFonts w:cs="Arial"/>
          <w:szCs w:val="20"/>
        </w:rPr>
        <w:t>15.2.2</w:t>
      </w:r>
      <w:r w:rsidR="0038196E" w:rsidRPr="000E5786">
        <w:rPr>
          <w:rFonts w:cs="Arial"/>
          <w:szCs w:val="20"/>
        </w:rPr>
        <w:fldChar w:fldCharType="end"/>
      </w:r>
      <w:r w:rsidRPr="000E5786">
        <w:rPr>
          <w:rFonts w:cs="Arial"/>
          <w:szCs w:val="20"/>
        </w:rPr>
        <w:t>), the Supplier shall:</w:t>
      </w:r>
      <w:bookmarkEnd w:id="352"/>
    </w:p>
    <w:p w14:paraId="23D3D7A5" w14:textId="37783BDB" w:rsidR="0048699F" w:rsidRPr="000E5786" w:rsidRDefault="0048699F" w:rsidP="00346A37">
      <w:pPr>
        <w:pStyle w:val="Heading3"/>
      </w:pPr>
      <w:bookmarkStart w:id="353" w:name="_Ref53584983"/>
      <w:r w:rsidRPr="000E5786">
        <w:t xml:space="preserve">notify </w:t>
      </w:r>
      <w:proofErr w:type="spellStart"/>
      <w:r w:rsidR="001F1C19">
        <w:t>Netlink</w:t>
      </w:r>
      <w:proofErr w:type="spellEnd"/>
      <w:r w:rsidR="001F1C19">
        <w:t xml:space="preserve"> Star</w:t>
      </w:r>
      <w:r w:rsidRPr="000E5786">
        <w:t xml:space="preserve"> as soon as reasonably practicable of the likely effects of that change, including:</w:t>
      </w:r>
      <w:bookmarkEnd w:id="353"/>
    </w:p>
    <w:p w14:paraId="11049469" w14:textId="5E4C41FE" w:rsidR="0048699F" w:rsidRPr="000E5786" w:rsidRDefault="0048699F" w:rsidP="00834C1A">
      <w:pPr>
        <w:pStyle w:val="Heading4"/>
        <w:tabs>
          <w:tab w:val="clear" w:pos="1702"/>
          <w:tab w:val="num" w:pos="2694"/>
        </w:tabs>
        <w:spacing w:after="120"/>
        <w:ind w:left="2410"/>
        <w:rPr>
          <w:rFonts w:cs="Arial"/>
          <w:szCs w:val="20"/>
        </w:rPr>
      </w:pPr>
      <w:bookmarkStart w:id="354" w:name="_Ref53584984"/>
      <w:r w:rsidRPr="000E5786">
        <w:rPr>
          <w:rFonts w:cs="Arial"/>
          <w:szCs w:val="20"/>
        </w:rPr>
        <w:t xml:space="preserve">whether any Change is required to the Services, the </w:t>
      </w:r>
      <w:proofErr w:type="gramStart"/>
      <w:r w:rsidRPr="000E5786">
        <w:rPr>
          <w:rFonts w:cs="Arial"/>
          <w:szCs w:val="20"/>
        </w:rPr>
        <w:t>Charges</w:t>
      </w:r>
      <w:proofErr w:type="gramEnd"/>
      <w:r w:rsidRPr="000E5786">
        <w:rPr>
          <w:rFonts w:cs="Arial"/>
          <w:szCs w:val="20"/>
        </w:rPr>
        <w:t xml:space="preserve"> or this Agreement; and</w:t>
      </w:r>
      <w:bookmarkEnd w:id="354"/>
    </w:p>
    <w:p w14:paraId="55F1D664" w14:textId="6920F83F" w:rsidR="0048699F" w:rsidRPr="000E5786" w:rsidRDefault="0048699F" w:rsidP="00834C1A">
      <w:pPr>
        <w:pStyle w:val="Heading4"/>
        <w:tabs>
          <w:tab w:val="clear" w:pos="1702"/>
          <w:tab w:val="num" w:pos="2694"/>
        </w:tabs>
        <w:spacing w:after="120"/>
        <w:ind w:left="2410"/>
        <w:rPr>
          <w:rFonts w:cs="Arial"/>
          <w:szCs w:val="20"/>
        </w:rPr>
      </w:pPr>
      <w:bookmarkStart w:id="355" w:name="_Ref53584985"/>
      <w:r w:rsidRPr="000E5786">
        <w:rPr>
          <w:rFonts w:cs="Arial"/>
          <w:szCs w:val="20"/>
        </w:rPr>
        <w:t>whether any relief from compliance with the Supplier’s obligations</w:t>
      </w:r>
      <w:r w:rsidR="006B46E4" w:rsidRPr="000E5786">
        <w:rPr>
          <w:rFonts w:cs="Arial"/>
          <w:szCs w:val="20"/>
        </w:rPr>
        <w:t xml:space="preserve"> </w:t>
      </w:r>
      <w:r w:rsidRPr="000E5786">
        <w:rPr>
          <w:rFonts w:cs="Arial"/>
          <w:szCs w:val="20"/>
        </w:rPr>
        <w:t>is required, including any obligation to Achieve a Milestone and/or to meet the Target Performance Levels; and</w:t>
      </w:r>
      <w:bookmarkEnd w:id="355"/>
    </w:p>
    <w:p w14:paraId="39BA9E35" w14:textId="5047D886" w:rsidR="0048699F" w:rsidRPr="000E5786" w:rsidRDefault="0048699F" w:rsidP="00346A37">
      <w:pPr>
        <w:pStyle w:val="Heading3"/>
      </w:pPr>
      <w:bookmarkStart w:id="356" w:name="_Ref53584986"/>
      <w:r w:rsidRPr="000E5786">
        <w:t xml:space="preserve">provide </w:t>
      </w:r>
      <w:proofErr w:type="spellStart"/>
      <w:r w:rsidR="001F1C19">
        <w:t>Netlink</w:t>
      </w:r>
      <w:proofErr w:type="spellEnd"/>
      <w:r w:rsidR="001F1C19">
        <w:t xml:space="preserve"> Star</w:t>
      </w:r>
      <w:r w:rsidRPr="000E5786">
        <w:t xml:space="preserve"> with evidence:</w:t>
      </w:r>
      <w:bookmarkEnd w:id="356"/>
    </w:p>
    <w:p w14:paraId="475435F7" w14:textId="5955487B" w:rsidR="0048699F" w:rsidRPr="000E5786" w:rsidRDefault="0048699F" w:rsidP="00834C1A">
      <w:pPr>
        <w:pStyle w:val="Heading4"/>
        <w:tabs>
          <w:tab w:val="clear" w:pos="1702"/>
          <w:tab w:val="num" w:pos="2694"/>
        </w:tabs>
        <w:spacing w:after="120"/>
        <w:ind w:left="2410"/>
        <w:rPr>
          <w:rFonts w:cs="Arial"/>
          <w:szCs w:val="20"/>
        </w:rPr>
      </w:pPr>
      <w:bookmarkStart w:id="357" w:name="_Ref53584987"/>
      <w:r w:rsidRPr="000E5786">
        <w:rPr>
          <w:rFonts w:cs="Arial"/>
          <w:szCs w:val="20"/>
        </w:rPr>
        <w:t>that the Supplier has minimised any increase in costs or maximised any reduction in costs, including in respect of the costs of its Sub-</w:t>
      </w:r>
      <w:proofErr w:type="gramStart"/>
      <w:r w:rsidRPr="000E5786">
        <w:rPr>
          <w:rFonts w:cs="Arial"/>
          <w:szCs w:val="20"/>
        </w:rPr>
        <w:t>contractors;</w:t>
      </w:r>
      <w:bookmarkEnd w:id="357"/>
      <w:proofErr w:type="gramEnd"/>
    </w:p>
    <w:p w14:paraId="04A70EFD" w14:textId="1504ACB0" w:rsidR="0048699F" w:rsidRPr="000E5786" w:rsidRDefault="0048699F" w:rsidP="00834C1A">
      <w:pPr>
        <w:pStyle w:val="Heading4"/>
        <w:tabs>
          <w:tab w:val="clear" w:pos="1702"/>
          <w:tab w:val="num" w:pos="2694"/>
        </w:tabs>
        <w:spacing w:after="120"/>
        <w:ind w:left="2410"/>
        <w:rPr>
          <w:rFonts w:cs="Arial"/>
          <w:szCs w:val="20"/>
        </w:rPr>
      </w:pPr>
      <w:bookmarkStart w:id="358" w:name="_Ref53584988"/>
      <w:r w:rsidRPr="000E5786">
        <w:rPr>
          <w:rFonts w:cs="Arial"/>
          <w:szCs w:val="20"/>
        </w:rPr>
        <w:t>as to how the Specific Change in Law has affected the cost of providing the Services; and</w:t>
      </w:r>
      <w:bookmarkEnd w:id="358"/>
    </w:p>
    <w:p w14:paraId="17F6B39D" w14:textId="7BC1A8EC" w:rsidR="0048699F" w:rsidRPr="000E5786" w:rsidRDefault="0048699F" w:rsidP="00834C1A">
      <w:pPr>
        <w:pStyle w:val="Heading4"/>
        <w:tabs>
          <w:tab w:val="clear" w:pos="1702"/>
          <w:tab w:val="num" w:pos="2694"/>
        </w:tabs>
        <w:spacing w:after="120"/>
        <w:ind w:left="2410"/>
        <w:rPr>
          <w:rFonts w:cs="Arial"/>
          <w:szCs w:val="20"/>
        </w:rPr>
      </w:pPr>
      <w:bookmarkStart w:id="359" w:name="_Ref53584989"/>
      <w:r w:rsidRPr="000E5786">
        <w:rPr>
          <w:rFonts w:cs="Arial"/>
          <w:szCs w:val="20"/>
        </w:rPr>
        <w:t xml:space="preserve">demonstrating that any expenditure that has been avoided, for example which would have been required under the provisions of clause </w:t>
      </w:r>
      <w:r w:rsidR="0038196E" w:rsidRPr="000E5786">
        <w:rPr>
          <w:rFonts w:cs="Arial"/>
          <w:szCs w:val="20"/>
        </w:rPr>
        <w:fldChar w:fldCharType="begin"/>
      </w:r>
      <w:r w:rsidR="0038196E" w:rsidRPr="000E5786">
        <w:rPr>
          <w:rFonts w:cs="Arial"/>
          <w:szCs w:val="20"/>
        </w:rPr>
        <w:instrText xml:space="preserve">  REF _Ref53585706 \w \h \* MERGEFORMAT </w:instrText>
      </w:r>
      <w:r w:rsidR="0038196E" w:rsidRPr="000E5786">
        <w:rPr>
          <w:rFonts w:cs="Arial"/>
          <w:szCs w:val="20"/>
        </w:rPr>
      </w:r>
      <w:r w:rsidR="0038196E" w:rsidRPr="000E5786">
        <w:rPr>
          <w:rFonts w:cs="Arial"/>
          <w:szCs w:val="20"/>
        </w:rPr>
        <w:fldChar w:fldCharType="separate"/>
      </w:r>
      <w:r w:rsidR="002523A8" w:rsidRPr="000E5786">
        <w:rPr>
          <w:rFonts w:cs="Arial"/>
          <w:szCs w:val="20"/>
        </w:rPr>
        <w:t>9</w:t>
      </w:r>
      <w:r w:rsidR="0038196E" w:rsidRPr="000E5786">
        <w:rPr>
          <w:rFonts w:cs="Arial"/>
          <w:szCs w:val="20"/>
        </w:rPr>
        <w:fldChar w:fldCharType="end"/>
      </w:r>
      <w:r w:rsidRPr="000E5786">
        <w:rPr>
          <w:rFonts w:cs="Arial"/>
          <w:szCs w:val="20"/>
        </w:rPr>
        <w:t xml:space="preserve"> (Services Improvement), has been </w:t>
      </w:r>
      <w:proofErr w:type="gramStart"/>
      <w:r w:rsidRPr="000E5786">
        <w:rPr>
          <w:rFonts w:cs="Arial"/>
          <w:szCs w:val="20"/>
        </w:rPr>
        <w:t>taken into account</w:t>
      </w:r>
      <w:proofErr w:type="gramEnd"/>
      <w:r w:rsidRPr="000E5786">
        <w:rPr>
          <w:rFonts w:cs="Arial"/>
          <w:szCs w:val="20"/>
        </w:rPr>
        <w:t xml:space="preserve"> in amending the Charges.</w:t>
      </w:r>
      <w:bookmarkEnd w:id="359"/>
    </w:p>
    <w:p w14:paraId="59A7BA46" w14:textId="60B354F3" w:rsidR="0048699F" w:rsidRPr="000E5786" w:rsidRDefault="0048699F" w:rsidP="00DD60F0">
      <w:pPr>
        <w:pStyle w:val="Heading2"/>
        <w:spacing w:after="120"/>
        <w:rPr>
          <w:rFonts w:cs="Arial"/>
          <w:szCs w:val="20"/>
        </w:rPr>
      </w:pPr>
      <w:bookmarkStart w:id="360" w:name="_Ref53584990"/>
      <w:r w:rsidRPr="000E5786">
        <w:rPr>
          <w:rFonts w:cs="Arial"/>
          <w:szCs w:val="20"/>
        </w:rPr>
        <w:t xml:space="preserve">Any variation in the Charges or relief from the Supplier’s obligations resulting from a Specific Change in Law (other than as referred to in clause </w:t>
      </w:r>
      <w:r w:rsidR="0038196E" w:rsidRPr="000E5786">
        <w:rPr>
          <w:rFonts w:cs="Arial"/>
          <w:szCs w:val="20"/>
        </w:rPr>
        <w:fldChar w:fldCharType="begin"/>
      </w:r>
      <w:r w:rsidR="0038196E" w:rsidRPr="000E5786">
        <w:rPr>
          <w:rFonts w:cs="Arial"/>
          <w:szCs w:val="20"/>
        </w:rPr>
        <w:instrText xml:space="preserve">  REF _Ref53584981 \w \h \* MERGEFORMAT </w:instrText>
      </w:r>
      <w:r w:rsidR="0038196E" w:rsidRPr="000E5786">
        <w:rPr>
          <w:rFonts w:cs="Arial"/>
          <w:szCs w:val="20"/>
        </w:rPr>
      </w:r>
      <w:r w:rsidR="0038196E" w:rsidRPr="000E5786">
        <w:rPr>
          <w:rFonts w:cs="Arial"/>
          <w:szCs w:val="20"/>
        </w:rPr>
        <w:fldChar w:fldCharType="separate"/>
      </w:r>
      <w:r w:rsidR="002523A8" w:rsidRPr="000E5786">
        <w:rPr>
          <w:rFonts w:cs="Arial"/>
          <w:szCs w:val="20"/>
        </w:rPr>
        <w:t>15.2.2</w:t>
      </w:r>
      <w:r w:rsidR="0038196E" w:rsidRPr="000E5786">
        <w:rPr>
          <w:rFonts w:cs="Arial"/>
          <w:szCs w:val="20"/>
        </w:rPr>
        <w:fldChar w:fldCharType="end"/>
      </w:r>
      <w:r w:rsidRPr="000E5786">
        <w:rPr>
          <w:rFonts w:cs="Arial"/>
          <w:szCs w:val="20"/>
        </w:rPr>
        <w:t>) shall be implemented in accordance with the Change Control Procedure.</w:t>
      </w:r>
      <w:bookmarkEnd w:id="360"/>
    </w:p>
    <w:p w14:paraId="12A20525" w14:textId="77777777" w:rsidR="0048699F" w:rsidRPr="000E5786" w:rsidRDefault="0048699F" w:rsidP="00CE5734">
      <w:pPr>
        <w:pStyle w:val="BodyText"/>
        <w:keepNext/>
        <w:spacing w:after="120"/>
        <w:rPr>
          <w:rFonts w:cs="Arial"/>
          <w:b/>
          <w:bCs/>
          <w:szCs w:val="20"/>
        </w:rPr>
      </w:pPr>
      <w:r w:rsidRPr="000E5786">
        <w:rPr>
          <w:rFonts w:cs="Arial"/>
          <w:b/>
          <w:bCs/>
          <w:szCs w:val="20"/>
        </w:rPr>
        <w:t>SECTION E – SUPPLIER PERSONNEL AND SUPPLY CHAIN</w:t>
      </w:r>
    </w:p>
    <w:p w14:paraId="6CAC1DA0" w14:textId="7591E313" w:rsidR="0048699F" w:rsidRPr="000E5786" w:rsidRDefault="0048699F" w:rsidP="00CE5734">
      <w:pPr>
        <w:pStyle w:val="Heading1"/>
        <w:spacing w:after="120"/>
        <w:rPr>
          <w:rFonts w:cs="Arial"/>
          <w:szCs w:val="20"/>
        </w:rPr>
      </w:pPr>
      <w:bookmarkStart w:id="361" w:name="_Ref53584991"/>
      <w:bookmarkStart w:id="362" w:name="_Ref53585713"/>
      <w:bookmarkStart w:id="363" w:name="_Toc71198940"/>
      <w:r w:rsidRPr="000E5786">
        <w:rPr>
          <w:rFonts w:cs="Arial"/>
          <w:szCs w:val="20"/>
        </w:rPr>
        <w:t>SUPPLIER PERSONNEL</w:t>
      </w:r>
      <w:bookmarkEnd w:id="361"/>
      <w:bookmarkEnd w:id="362"/>
      <w:bookmarkEnd w:id="363"/>
    </w:p>
    <w:p w14:paraId="21F98461" w14:textId="6CCA0CF6" w:rsidR="0048699F" w:rsidRPr="000E5786" w:rsidRDefault="0048699F" w:rsidP="00CE5734">
      <w:pPr>
        <w:pStyle w:val="Heading2"/>
        <w:keepNext/>
        <w:spacing w:after="120"/>
        <w:rPr>
          <w:rFonts w:cs="Arial"/>
          <w:szCs w:val="20"/>
        </w:rPr>
      </w:pPr>
      <w:bookmarkStart w:id="364" w:name="_Ref53584992"/>
      <w:r w:rsidRPr="000E5786">
        <w:rPr>
          <w:rFonts w:cs="Arial"/>
          <w:szCs w:val="20"/>
        </w:rPr>
        <w:t>The Supplier shall:</w:t>
      </w:r>
      <w:bookmarkEnd w:id="364"/>
    </w:p>
    <w:p w14:paraId="7C583D73" w14:textId="4002CE4C" w:rsidR="0048699F" w:rsidRPr="000E5786" w:rsidRDefault="0048699F" w:rsidP="00346A37">
      <w:pPr>
        <w:pStyle w:val="Heading3"/>
      </w:pPr>
      <w:bookmarkStart w:id="365" w:name="_Ref53584993"/>
      <w:r w:rsidRPr="000E5786">
        <w:t xml:space="preserve">provide in advance of any admission to </w:t>
      </w:r>
      <w:proofErr w:type="spellStart"/>
      <w:r w:rsidR="001F1C19">
        <w:t>Netlink</w:t>
      </w:r>
      <w:proofErr w:type="spellEnd"/>
      <w:r w:rsidR="001F1C19">
        <w:t xml:space="preserve"> Star</w:t>
      </w:r>
      <w:r w:rsidRPr="000E5786">
        <w:t xml:space="preserve"> Premises a list of the names of all Supplier Personnel and prospective Supplier personnel it intends to engage in the provision of the Services or performance of the Supplier’s obligations under this </w:t>
      </w:r>
      <w:proofErr w:type="gramStart"/>
      <w:r w:rsidRPr="000E5786">
        <w:t>Agreement, and</w:t>
      </w:r>
      <w:proofErr w:type="gramEnd"/>
      <w:r w:rsidRPr="000E5786">
        <w:t xml:space="preserve"> shall promptly update the list as necessary.</w:t>
      </w:r>
      <w:r w:rsidR="000578A4" w:rsidRPr="000E5786">
        <w:t xml:space="preserve"> </w:t>
      </w:r>
      <w:r w:rsidRPr="000E5786">
        <w:t xml:space="preserve">In particular, the list shall specify the names of all Supplier Personnel requiring admission to </w:t>
      </w:r>
      <w:proofErr w:type="spellStart"/>
      <w:r w:rsidR="001F1C19">
        <w:t>Netlink</w:t>
      </w:r>
      <w:proofErr w:type="spellEnd"/>
      <w:r w:rsidR="001F1C19">
        <w:t xml:space="preserve"> Star</w:t>
      </w:r>
      <w:r w:rsidRPr="000E5786">
        <w:t xml:space="preserve"> Premises, specifying the capacity in which they require admission and giving such other particulars as </w:t>
      </w:r>
      <w:proofErr w:type="spellStart"/>
      <w:r w:rsidR="001F1C19">
        <w:t>Netlink</w:t>
      </w:r>
      <w:proofErr w:type="spellEnd"/>
      <w:r w:rsidR="001F1C19">
        <w:t xml:space="preserve"> Star</w:t>
      </w:r>
      <w:r w:rsidRPr="000E5786">
        <w:t xml:space="preserve"> may reasonably </w:t>
      </w:r>
      <w:proofErr w:type="gramStart"/>
      <w:r w:rsidRPr="000E5786">
        <w:t>require;</w:t>
      </w:r>
      <w:bookmarkEnd w:id="365"/>
      <w:proofErr w:type="gramEnd"/>
    </w:p>
    <w:p w14:paraId="603A582A" w14:textId="06F5B16D" w:rsidR="0048699F" w:rsidRPr="000E5786" w:rsidRDefault="0048699F" w:rsidP="00346A37">
      <w:pPr>
        <w:pStyle w:val="Heading3"/>
      </w:pPr>
      <w:bookmarkStart w:id="366" w:name="_Ref53584994"/>
      <w:r w:rsidRPr="000E5786">
        <w:t>ensure that all Supplier Personnel:</w:t>
      </w:r>
      <w:bookmarkEnd w:id="366"/>
    </w:p>
    <w:p w14:paraId="395538F9" w14:textId="5F4BE076" w:rsidR="0048699F" w:rsidRPr="000E5786" w:rsidRDefault="0048699F" w:rsidP="00834C1A">
      <w:pPr>
        <w:pStyle w:val="Heading4"/>
        <w:tabs>
          <w:tab w:val="clear" w:pos="1702"/>
          <w:tab w:val="num" w:pos="2694"/>
        </w:tabs>
        <w:spacing w:after="120"/>
        <w:ind w:left="2410"/>
        <w:rPr>
          <w:rFonts w:cs="Arial"/>
          <w:szCs w:val="20"/>
        </w:rPr>
      </w:pPr>
      <w:bookmarkStart w:id="367" w:name="_Ref53584995"/>
      <w:r w:rsidRPr="000E5786">
        <w:rPr>
          <w:rFonts w:cs="Arial"/>
          <w:szCs w:val="20"/>
        </w:rPr>
        <w:t xml:space="preserve">are appropriately qualified, trained and experienced to provide the Services with all reasonable skill, care and </w:t>
      </w:r>
      <w:proofErr w:type="gramStart"/>
      <w:r w:rsidRPr="000E5786">
        <w:rPr>
          <w:rFonts w:cs="Arial"/>
          <w:szCs w:val="20"/>
        </w:rPr>
        <w:t>diligence;</w:t>
      </w:r>
      <w:bookmarkEnd w:id="367"/>
      <w:proofErr w:type="gramEnd"/>
    </w:p>
    <w:p w14:paraId="157769A6" w14:textId="34BC17C2" w:rsidR="0048699F" w:rsidRPr="000E5786" w:rsidRDefault="0048699F" w:rsidP="00834C1A">
      <w:pPr>
        <w:pStyle w:val="Heading4"/>
        <w:tabs>
          <w:tab w:val="clear" w:pos="1702"/>
          <w:tab w:val="num" w:pos="2694"/>
        </w:tabs>
        <w:spacing w:after="120"/>
        <w:ind w:left="2410"/>
        <w:rPr>
          <w:rFonts w:cs="Arial"/>
          <w:szCs w:val="20"/>
        </w:rPr>
      </w:pPr>
      <w:bookmarkStart w:id="368" w:name="_Ref53584996"/>
      <w:r w:rsidRPr="000E5786">
        <w:rPr>
          <w:rFonts w:cs="Arial"/>
          <w:szCs w:val="20"/>
        </w:rPr>
        <w:t xml:space="preserve">are vetted in accordance with the Supplier’s staff vetting procedures as amended from time to time (which shall, in any event, be of a standard that is no less strict than Good Industry Practice) and, where applicable, the security requirements set out in </w:t>
      </w:r>
      <w:bookmarkStart w:id="369" w:name="DocXTextRef141"/>
      <w:r w:rsidRPr="000E5786">
        <w:rPr>
          <w:rFonts w:cs="Arial"/>
          <w:szCs w:val="20"/>
        </w:rPr>
        <w:t>Schedule 2.1</w:t>
      </w:r>
      <w:bookmarkEnd w:id="369"/>
      <w:r w:rsidRPr="000E5786">
        <w:rPr>
          <w:rFonts w:cs="Arial"/>
          <w:szCs w:val="20"/>
        </w:rPr>
        <w:t xml:space="preserve"> (Services Description), </w:t>
      </w:r>
      <w:bookmarkStart w:id="370" w:name="DocXTextRef142"/>
      <w:r w:rsidRPr="000E5786">
        <w:rPr>
          <w:rFonts w:cs="Arial"/>
          <w:szCs w:val="20"/>
        </w:rPr>
        <w:t>Schedule 2.</w:t>
      </w:r>
      <w:r w:rsidR="008446F2">
        <w:rPr>
          <w:rFonts w:cs="Arial"/>
          <w:szCs w:val="20"/>
        </w:rPr>
        <w:t>6</w:t>
      </w:r>
      <w:bookmarkEnd w:id="370"/>
      <w:r w:rsidRPr="000E5786">
        <w:rPr>
          <w:rFonts w:cs="Arial"/>
          <w:szCs w:val="20"/>
        </w:rPr>
        <w:t xml:space="preserve"> (Security Management</w:t>
      </w:r>
      <w:proofErr w:type="gramStart"/>
      <w:r w:rsidRPr="000E5786">
        <w:rPr>
          <w:rFonts w:cs="Arial"/>
          <w:szCs w:val="20"/>
        </w:rPr>
        <w:t>);</w:t>
      </w:r>
      <w:bookmarkEnd w:id="368"/>
      <w:proofErr w:type="gramEnd"/>
    </w:p>
    <w:p w14:paraId="211CB9D5" w14:textId="71B6A235" w:rsidR="0048699F" w:rsidRPr="000E5786" w:rsidRDefault="0048699F" w:rsidP="00834C1A">
      <w:pPr>
        <w:pStyle w:val="Heading4"/>
        <w:tabs>
          <w:tab w:val="clear" w:pos="1702"/>
          <w:tab w:val="num" w:pos="2694"/>
        </w:tabs>
        <w:spacing w:after="120"/>
        <w:ind w:left="2410"/>
        <w:rPr>
          <w:rFonts w:cs="Arial"/>
          <w:szCs w:val="20"/>
        </w:rPr>
      </w:pPr>
      <w:bookmarkStart w:id="371" w:name="_Ref53584997"/>
      <w:r w:rsidRPr="000E5786">
        <w:rPr>
          <w:rFonts w:cs="Arial"/>
          <w:szCs w:val="20"/>
        </w:rPr>
        <w:t>that were employed or engaged by the Supplier prior to the Effective Date were vetted and recruited on the basis that is equivalent to and no less strict than the Supplier’s staff vetting procedures in effect at the date upon which they were employed (which shall, in any event, be of a standard that is no less strict than Good Industry Practice); and</w:t>
      </w:r>
      <w:bookmarkEnd w:id="371"/>
    </w:p>
    <w:p w14:paraId="6611E084" w14:textId="37F50D77" w:rsidR="0048699F" w:rsidRPr="000E5786" w:rsidRDefault="0048699F" w:rsidP="00834C1A">
      <w:pPr>
        <w:pStyle w:val="Heading4"/>
        <w:tabs>
          <w:tab w:val="clear" w:pos="1702"/>
          <w:tab w:val="num" w:pos="2694"/>
        </w:tabs>
        <w:spacing w:after="120"/>
        <w:ind w:left="2410"/>
        <w:rPr>
          <w:rFonts w:cs="Arial"/>
          <w:szCs w:val="20"/>
        </w:rPr>
      </w:pPr>
      <w:bookmarkStart w:id="372" w:name="_Ref53584998"/>
      <w:r w:rsidRPr="000E5786">
        <w:rPr>
          <w:rFonts w:cs="Arial"/>
          <w:szCs w:val="20"/>
        </w:rPr>
        <w:t xml:space="preserve">comply with all reasonable requirements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concerning conduct 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Premises, including the security requirements as set out in </w:t>
      </w:r>
      <w:bookmarkStart w:id="373" w:name="DocXTextRef143"/>
      <w:r w:rsidRPr="000E5786">
        <w:rPr>
          <w:rFonts w:cs="Arial"/>
          <w:szCs w:val="20"/>
        </w:rPr>
        <w:t>Schedule 2.</w:t>
      </w:r>
      <w:r w:rsidR="008446F2">
        <w:rPr>
          <w:rFonts w:cs="Arial"/>
          <w:szCs w:val="20"/>
        </w:rPr>
        <w:t>6</w:t>
      </w:r>
      <w:bookmarkEnd w:id="373"/>
      <w:r w:rsidRPr="000E5786">
        <w:rPr>
          <w:rFonts w:cs="Arial"/>
          <w:szCs w:val="20"/>
        </w:rPr>
        <w:t xml:space="preserve"> (Security Management</w:t>
      </w:r>
      <w:proofErr w:type="gramStart"/>
      <w:r w:rsidRPr="000E5786">
        <w:rPr>
          <w:rFonts w:cs="Arial"/>
          <w:szCs w:val="20"/>
        </w:rPr>
        <w:t>);</w:t>
      </w:r>
      <w:bookmarkEnd w:id="372"/>
      <w:proofErr w:type="gramEnd"/>
    </w:p>
    <w:p w14:paraId="56DF1460" w14:textId="4B974DF5" w:rsidR="0048699F" w:rsidRPr="000E5786" w:rsidRDefault="0048699F" w:rsidP="00346A37">
      <w:pPr>
        <w:pStyle w:val="Heading3"/>
      </w:pPr>
      <w:bookmarkStart w:id="374" w:name="_Ref53584999"/>
      <w:r w:rsidRPr="000E5786">
        <w:t xml:space="preserve">subject to </w:t>
      </w:r>
      <w:bookmarkStart w:id="375" w:name="DocXTextRef144"/>
      <w:r w:rsidRPr="000E5786">
        <w:t xml:space="preserve">Schedule </w:t>
      </w:r>
      <w:r w:rsidR="00FA4034">
        <w:t>11</w:t>
      </w:r>
      <w:bookmarkEnd w:id="375"/>
      <w:r w:rsidRPr="000E5786">
        <w:t xml:space="preserve"> (Staff Transfer), retain overall control of the Supplier Personnel at all times so that the Supplier Personnel shall not be deemed to be employees, agents or contractors of </w:t>
      </w:r>
      <w:proofErr w:type="spellStart"/>
      <w:r w:rsidR="001F1C19">
        <w:t>Netlink</w:t>
      </w:r>
      <w:proofErr w:type="spellEnd"/>
      <w:r w:rsidR="001F1C19">
        <w:t xml:space="preserve"> </w:t>
      </w:r>
      <w:proofErr w:type="gramStart"/>
      <w:r w:rsidR="001F1C19">
        <w:t>Star</w:t>
      </w:r>
      <w:r w:rsidRPr="000E5786">
        <w:t>;</w:t>
      </w:r>
      <w:bookmarkEnd w:id="374"/>
      <w:proofErr w:type="gramEnd"/>
    </w:p>
    <w:p w14:paraId="471D7A58" w14:textId="26BE9870" w:rsidR="0048699F" w:rsidRPr="000E5786" w:rsidRDefault="0048699F" w:rsidP="00346A37">
      <w:pPr>
        <w:pStyle w:val="Heading3"/>
      </w:pPr>
      <w:bookmarkStart w:id="376" w:name="_Ref53585000"/>
      <w:r w:rsidRPr="000E5786">
        <w:lastRenderedPageBreak/>
        <w:t xml:space="preserve">be liable at all times for all acts or omissions of Supplier Personnel, so that any act or omission of a member of any Supplier Personnel which results in a Default under this Agreement shall be a Default by the </w:t>
      </w:r>
      <w:proofErr w:type="gramStart"/>
      <w:r w:rsidRPr="000E5786">
        <w:t>Supplier;</w:t>
      </w:r>
      <w:bookmarkEnd w:id="376"/>
      <w:proofErr w:type="gramEnd"/>
    </w:p>
    <w:p w14:paraId="50EB6925" w14:textId="25E7AEA1" w:rsidR="0048699F" w:rsidRPr="000E5786" w:rsidRDefault="0048699F" w:rsidP="00346A37">
      <w:pPr>
        <w:pStyle w:val="Heading3"/>
      </w:pPr>
      <w:bookmarkStart w:id="377" w:name="_Ref53585001"/>
      <w:r w:rsidRPr="000E5786">
        <w:t xml:space="preserve">use all reasonable endeavours to minimise the number of changes in Supplier </w:t>
      </w:r>
      <w:proofErr w:type="gramStart"/>
      <w:r w:rsidRPr="000E5786">
        <w:t>Personnel;</w:t>
      </w:r>
      <w:bookmarkEnd w:id="377"/>
      <w:proofErr w:type="gramEnd"/>
    </w:p>
    <w:p w14:paraId="722D8ED9" w14:textId="2E5281D4" w:rsidR="0048699F" w:rsidRPr="000E5786" w:rsidRDefault="0048699F" w:rsidP="00346A37">
      <w:pPr>
        <w:pStyle w:val="Heading3"/>
      </w:pPr>
      <w:bookmarkStart w:id="378" w:name="_Ref53585002"/>
      <w:r w:rsidRPr="000E5786">
        <w:t xml:space="preserve">replace (temporarily or permanently, as appropriate) any Supplier Personnel as soon as practicable if any Supplier Personnel have been removed or are unavailable for any reason </w:t>
      </w:r>
      <w:proofErr w:type="gramStart"/>
      <w:r w:rsidRPr="000E5786">
        <w:t>whatsoever;</w:t>
      </w:r>
      <w:bookmarkEnd w:id="378"/>
      <w:proofErr w:type="gramEnd"/>
    </w:p>
    <w:p w14:paraId="58CE15F0" w14:textId="67FF6915" w:rsidR="0048699F" w:rsidRPr="000E5786" w:rsidRDefault="0048699F" w:rsidP="00346A37">
      <w:pPr>
        <w:pStyle w:val="Heading3"/>
      </w:pPr>
      <w:bookmarkStart w:id="379" w:name="_Ref53585003"/>
      <w:r w:rsidRPr="000E5786">
        <w:t>bear the programme familiarisation and other costs associated with any replacement of any Supplier Personnel; and</w:t>
      </w:r>
      <w:bookmarkEnd w:id="379"/>
    </w:p>
    <w:p w14:paraId="47A32B3F" w14:textId="2467670D" w:rsidR="0048699F" w:rsidRPr="000E5786" w:rsidRDefault="0048699F" w:rsidP="00346A37">
      <w:pPr>
        <w:pStyle w:val="Heading3"/>
      </w:pPr>
      <w:bookmarkStart w:id="380" w:name="_Ref53585004"/>
      <w:r w:rsidRPr="000E5786">
        <w:t xml:space="preserve">procure that the Supplier Personnel shall vacate </w:t>
      </w:r>
      <w:proofErr w:type="spellStart"/>
      <w:r w:rsidR="001F1C19">
        <w:t>Netlink</w:t>
      </w:r>
      <w:proofErr w:type="spellEnd"/>
      <w:r w:rsidR="001F1C19">
        <w:t xml:space="preserve"> Star</w:t>
      </w:r>
      <w:r w:rsidRPr="000E5786">
        <w:t xml:space="preserve"> Premises immediately upon the termination or expiry of this Agreement.</w:t>
      </w:r>
      <w:bookmarkEnd w:id="380"/>
    </w:p>
    <w:p w14:paraId="59BEE707" w14:textId="1B2F281D" w:rsidR="0048699F" w:rsidRPr="000E5786" w:rsidRDefault="0048699F" w:rsidP="00DD60F0">
      <w:pPr>
        <w:pStyle w:val="Heading2"/>
        <w:spacing w:after="120"/>
        <w:rPr>
          <w:rFonts w:cs="Arial"/>
          <w:szCs w:val="20"/>
        </w:rPr>
      </w:pPr>
      <w:bookmarkStart w:id="381" w:name="_Ref53585005"/>
      <w:r w:rsidRPr="000E5786">
        <w:rPr>
          <w:rFonts w:cs="Arial"/>
          <w:szCs w:val="20"/>
        </w:rPr>
        <w:t xml:space="preserve">If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reasonably believes that any of the Supplier Personnel are unsuitable to undertake work in respect of this Agreement, it may:</w:t>
      </w:r>
      <w:bookmarkEnd w:id="381"/>
    </w:p>
    <w:p w14:paraId="0BB1DAE7" w14:textId="314E1ED6" w:rsidR="0048699F" w:rsidRPr="000E5786" w:rsidRDefault="0048699F" w:rsidP="00346A37">
      <w:pPr>
        <w:pStyle w:val="Heading3"/>
      </w:pPr>
      <w:bookmarkStart w:id="382" w:name="_Ref53585006"/>
      <w:r w:rsidRPr="000E5786">
        <w:t xml:space="preserve">refuse admission to the relevant person(s) to </w:t>
      </w:r>
      <w:proofErr w:type="spellStart"/>
      <w:r w:rsidR="001F1C19">
        <w:t>Netlink</w:t>
      </w:r>
      <w:proofErr w:type="spellEnd"/>
      <w:r w:rsidR="001F1C19">
        <w:t xml:space="preserve"> Star</w:t>
      </w:r>
      <w:r w:rsidRPr="000E5786">
        <w:t xml:space="preserve"> Premises; and/or</w:t>
      </w:r>
      <w:bookmarkEnd w:id="382"/>
    </w:p>
    <w:p w14:paraId="41277DD9" w14:textId="079B0F36" w:rsidR="0048699F" w:rsidRPr="000E5786" w:rsidRDefault="0048699F" w:rsidP="00346A37">
      <w:pPr>
        <w:pStyle w:val="Heading3"/>
      </w:pPr>
      <w:bookmarkStart w:id="383" w:name="_Ref53585007"/>
      <w:r w:rsidRPr="000E5786">
        <w:t>direct the Supplier to end the involvement in the provision of the Services of the relevant person(s).</w:t>
      </w:r>
      <w:bookmarkEnd w:id="383"/>
    </w:p>
    <w:p w14:paraId="2313D4EF" w14:textId="787825F1" w:rsidR="0048699F" w:rsidRPr="000E5786" w:rsidRDefault="0048699F" w:rsidP="00CE5734">
      <w:pPr>
        <w:pStyle w:val="BodyText"/>
        <w:keepNext/>
        <w:spacing w:after="120"/>
        <w:ind w:firstLine="284"/>
        <w:rPr>
          <w:rFonts w:cs="Arial"/>
          <w:szCs w:val="20"/>
          <w:u w:val="single"/>
        </w:rPr>
      </w:pPr>
      <w:r w:rsidRPr="000E5786">
        <w:rPr>
          <w:rFonts w:cs="Arial"/>
          <w:szCs w:val="20"/>
          <w:u w:val="single"/>
        </w:rPr>
        <w:t>Key Personnel</w:t>
      </w:r>
    </w:p>
    <w:p w14:paraId="4ADCAC44" w14:textId="5591D99D" w:rsidR="0048699F" w:rsidRPr="000E5786" w:rsidRDefault="0048699F" w:rsidP="00DD60F0">
      <w:pPr>
        <w:pStyle w:val="Heading2"/>
        <w:spacing w:after="120"/>
        <w:rPr>
          <w:rFonts w:cs="Arial"/>
          <w:szCs w:val="20"/>
        </w:rPr>
      </w:pPr>
      <w:bookmarkStart w:id="384" w:name="_Ref53585008"/>
      <w:r w:rsidRPr="000E5786">
        <w:rPr>
          <w:rFonts w:cs="Arial"/>
          <w:szCs w:val="20"/>
        </w:rPr>
        <w:t xml:space="preserve">The Supplier shall ensure that the Key Personnel </w:t>
      </w:r>
      <w:proofErr w:type="gramStart"/>
      <w:r w:rsidRPr="000E5786">
        <w:rPr>
          <w:rFonts w:cs="Arial"/>
          <w:szCs w:val="20"/>
        </w:rPr>
        <w:t>fulfil the Key Roles at all times</w:t>
      </w:r>
      <w:proofErr w:type="gramEnd"/>
      <w:r w:rsidRPr="000E5786">
        <w:rPr>
          <w:rFonts w:cs="Arial"/>
          <w:szCs w:val="20"/>
        </w:rPr>
        <w:t xml:space="preserve"> during the Term.</w:t>
      </w:r>
      <w:r w:rsidR="000578A4" w:rsidRPr="000E5786">
        <w:rPr>
          <w:rFonts w:cs="Arial"/>
          <w:szCs w:val="20"/>
        </w:rPr>
        <w:t xml:space="preserve"> </w:t>
      </w:r>
      <w:bookmarkStart w:id="385" w:name="DocXTextRef145"/>
      <w:r w:rsidRPr="000E5786">
        <w:rPr>
          <w:rFonts w:cs="Arial"/>
          <w:szCs w:val="20"/>
        </w:rPr>
        <w:t>Schedule 9.</w:t>
      </w:r>
      <w:r w:rsidR="00FA4034">
        <w:rPr>
          <w:rFonts w:cs="Arial"/>
          <w:szCs w:val="20"/>
        </w:rPr>
        <w:t>1</w:t>
      </w:r>
      <w:bookmarkEnd w:id="385"/>
      <w:r w:rsidRPr="000E5786">
        <w:rPr>
          <w:rFonts w:cs="Arial"/>
          <w:szCs w:val="20"/>
        </w:rPr>
        <w:t xml:space="preserve"> (Key Personnel) lists the Key Roles and names of the persons who the Supplier shall appoint to fill those Key Roles at the Effective Date.</w:t>
      </w:r>
      <w:bookmarkEnd w:id="384"/>
    </w:p>
    <w:p w14:paraId="0EC98592" w14:textId="74CF5360" w:rsidR="0048699F" w:rsidRPr="000E5786" w:rsidRDefault="001F1C19" w:rsidP="00DD60F0">
      <w:pPr>
        <w:pStyle w:val="Heading2"/>
        <w:spacing w:after="120"/>
        <w:rPr>
          <w:rFonts w:cs="Arial"/>
          <w:szCs w:val="20"/>
        </w:rPr>
      </w:pPr>
      <w:bookmarkStart w:id="386" w:name="_Ref53585009"/>
      <w:proofErr w:type="spellStart"/>
      <w:r>
        <w:rPr>
          <w:rFonts w:cs="Arial"/>
          <w:szCs w:val="20"/>
        </w:rPr>
        <w:t>Netlink</w:t>
      </w:r>
      <w:proofErr w:type="spellEnd"/>
      <w:r>
        <w:rPr>
          <w:rFonts w:cs="Arial"/>
          <w:szCs w:val="20"/>
        </w:rPr>
        <w:t xml:space="preserve"> Star</w:t>
      </w:r>
      <w:r w:rsidR="0048699F" w:rsidRPr="000E5786">
        <w:rPr>
          <w:rFonts w:cs="Arial"/>
          <w:szCs w:val="20"/>
        </w:rPr>
        <w:t xml:space="preserve"> may identify any further roles as being Key Roles and, following agreement to the same by the Supplier, the relevant person selected to fill those Key Roles shall be included on the list of Key Personnel.</w:t>
      </w:r>
      <w:bookmarkEnd w:id="386"/>
    </w:p>
    <w:p w14:paraId="6415F5D9" w14:textId="1DEBEB2B" w:rsidR="0048699F" w:rsidRPr="000E5786" w:rsidRDefault="0048699F" w:rsidP="00DD60F0">
      <w:pPr>
        <w:pStyle w:val="Heading2"/>
        <w:spacing w:after="120"/>
        <w:rPr>
          <w:rFonts w:cs="Arial"/>
          <w:szCs w:val="20"/>
        </w:rPr>
      </w:pPr>
      <w:bookmarkStart w:id="387" w:name="_Ref53585010"/>
      <w:r w:rsidRPr="000E5786">
        <w:rPr>
          <w:rFonts w:cs="Arial"/>
          <w:szCs w:val="20"/>
        </w:rPr>
        <w:t>The Supplier shall not remove or replace any Key Personnel (including when carrying out Exit Management) unless:</w:t>
      </w:r>
      <w:bookmarkEnd w:id="387"/>
    </w:p>
    <w:p w14:paraId="39856E6F" w14:textId="50DC34B1" w:rsidR="0048699F" w:rsidRPr="000E5786" w:rsidRDefault="0048699F" w:rsidP="00346A37">
      <w:pPr>
        <w:pStyle w:val="Heading3"/>
      </w:pPr>
      <w:bookmarkStart w:id="388" w:name="_Ref53585011"/>
      <w:r w:rsidRPr="000E5786">
        <w:t xml:space="preserve">requested to do so by </w:t>
      </w:r>
      <w:proofErr w:type="spellStart"/>
      <w:r w:rsidR="001F1C19">
        <w:t>Netlink</w:t>
      </w:r>
      <w:proofErr w:type="spellEnd"/>
      <w:r w:rsidR="001F1C19">
        <w:t xml:space="preserve"> </w:t>
      </w:r>
      <w:proofErr w:type="gramStart"/>
      <w:r w:rsidR="001F1C19">
        <w:t>Star</w:t>
      </w:r>
      <w:r w:rsidRPr="000E5786">
        <w:t>;</w:t>
      </w:r>
      <w:bookmarkEnd w:id="388"/>
      <w:proofErr w:type="gramEnd"/>
    </w:p>
    <w:p w14:paraId="4EEA61AE" w14:textId="098DD91B" w:rsidR="0048699F" w:rsidRPr="000E5786" w:rsidRDefault="0048699F" w:rsidP="00346A37">
      <w:pPr>
        <w:pStyle w:val="Heading3"/>
      </w:pPr>
      <w:bookmarkStart w:id="389" w:name="_Ref53585012"/>
      <w:r w:rsidRPr="000E5786">
        <w:t xml:space="preserve">the person concerned resigns, retires or dies or is on maternity or long-term sick </w:t>
      </w:r>
      <w:proofErr w:type="gramStart"/>
      <w:r w:rsidRPr="000E5786">
        <w:t>leave;</w:t>
      </w:r>
      <w:bookmarkEnd w:id="389"/>
      <w:proofErr w:type="gramEnd"/>
    </w:p>
    <w:p w14:paraId="10B22362" w14:textId="145B7C3D" w:rsidR="0048699F" w:rsidRPr="000E5786" w:rsidRDefault="0048699F" w:rsidP="00346A37">
      <w:pPr>
        <w:pStyle w:val="Heading3"/>
      </w:pPr>
      <w:bookmarkStart w:id="390" w:name="_Ref53585013"/>
      <w:r w:rsidRPr="000E5786">
        <w:t>the person’s employment or contractual arrangement with the Supplier or a Subcontractor is terminated for material breach of contract by the employee; or</w:t>
      </w:r>
      <w:bookmarkEnd w:id="390"/>
    </w:p>
    <w:p w14:paraId="1D0431E8" w14:textId="1166E63B" w:rsidR="0048699F" w:rsidRPr="000E5786" w:rsidRDefault="0048699F" w:rsidP="00346A37">
      <w:pPr>
        <w:pStyle w:val="Heading3"/>
      </w:pPr>
      <w:bookmarkStart w:id="391" w:name="_Ref53585014"/>
      <w:r w:rsidRPr="000E5786">
        <w:t xml:space="preserve">the Supplier obtains </w:t>
      </w:r>
      <w:proofErr w:type="spellStart"/>
      <w:r w:rsidR="001F1C19">
        <w:t>Netlink</w:t>
      </w:r>
      <w:proofErr w:type="spellEnd"/>
      <w:r w:rsidR="001F1C19">
        <w:t xml:space="preserve"> Star</w:t>
      </w:r>
      <w:r w:rsidRPr="000E5786">
        <w:t>’s prior written consent (such consent not to be unreasonably withheld or delayed).</w:t>
      </w:r>
      <w:bookmarkEnd w:id="391"/>
    </w:p>
    <w:p w14:paraId="44FB59D0" w14:textId="31B3F3FF" w:rsidR="0048699F" w:rsidRPr="000E5786" w:rsidRDefault="0048699F" w:rsidP="00DD60F0">
      <w:pPr>
        <w:pStyle w:val="Heading2"/>
        <w:spacing w:after="120"/>
        <w:rPr>
          <w:rFonts w:cs="Arial"/>
          <w:szCs w:val="20"/>
        </w:rPr>
      </w:pPr>
      <w:bookmarkStart w:id="392" w:name="_Ref53585015"/>
      <w:r w:rsidRPr="000E5786">
        <w:rPr>
          <w:rFonts w:cs="Arial"/>
          <w:szCs w:val="20"/>
        </w:rPr>
        <w:t>The Supplier shall:</w:t>
      </w:r>
      <w:bookmarkEnd w:id="392"/>
    </w:p>
    <w:p w14:paraId="79B153CE" w14:textId="0FCBBE27" w:rsidR="0048699F" w:rsidRPr="000E5786" w:rsidRDefault="0048699F" w:rsidP="00346A37">
      <w:pPr>
        <w:pStyle w:val="Heading3"/>
      </w:pPr>
      <w:bookmarkStart w:id="393" w:name="_Ref53585016"/>
      <w:r w:rsidRPr="000E5786">
        <w:t xml:space="preserve">notify </w:t>
      </w:r>
      <w:proofErr w:type="spellStart"/>
      <w:r w:rsidR="001F1C19">
        <w:t>Netlink</w:t>
      </w:r>
      <w:proofErr w:type="spellEnd"/>
      <w:r w:rsidR="001F1C19">
        <w:t xml:space="preserve"> Star</w:t>
      </w:r>
      <w:r w:rsidRPr="000E5786">
        <w:t xml:space="preserve"> promptly of the absence of any Key Personnel (other than for short-term sickness or holidays of two (2) weeks or less, in which case the Supplier shall ensure appropriate temporary cover for that Key Role</w:t>
      </w:r>
      <w:proofErr w:type="gramStart"/>
      <w:r w:rsidRPr="000E5786">
        <w:t>);</w:t>
      </w:r>
      <w:bookmarkEnd w:id="393"/>
      <w:proofErr w:type="gramEnd"/>
    </w:p>
    <w:p w14:paraId="22E8FE79" w14:textId="5F72C108" w:rsidR="0048699F" w:rsidRPr="000E5786" w:rsidRDefault="0048699F" w:rsidP="00346A37">
      <w:pPr>
        <w:pStyle w:val="Heading3"/>
      </w:pPr>
      <w:bookmarkStart w:id="394" w:name="_Ref53585017"/>
      <w:r w:rsidRPr="000E5786">
        <w:t xml:space="preserve">ensure that any Key Role is not vacant for any longer than ten </w:t>
      </w:r>
      <w:bookmarkStart w:id="395" w:name="DocXTextRef146"/>
      <w:r w:rsidRPr="000E5786">
        <w:t>(10)</w:t>
      </w:r>
      <w:bookmarkEnd w:id="395"/>
      <w:r w:rsidRPr="000E5786">
        <w:t xml:space="preserve"> Working </w:t>
      </w:r>
      <w:proofErr w:type="gramStart"/>
      <w:r w:rsidRPr="000E5786">
        <w:t>Days;</w:t>
      </w:r>
      <w:bookmarkEnd w:id="394"/>
      <w:proofErr w:type="gramEnd"/>
    </w:p>
    <w:p w14:paraId="5F772C84" w14:textId="0B7896DD" w:rsidR="0048699F" w:rsidRPr="000E5786" w:rsidRDefault="0048699F" w:rsidP="00346A37">
      <w:pPr>
        <w:pStyle w:val="Heading3"/>
      </w:pPr>
      <w:bookmarkStart w:id="396" w:name="_Ref53585018"/>
      <w:r w:rsidRPr="000E5786">
        <w:t xml:space="preserve">give as much notice as is reasonably practicable of its intention to remove or replace any member of Key Personnel and, except in the cases of death, unexpected ill health or a material breach of the Key Personnel’s employment contract, this will mean at least sixty </w:t>
      </w:r>
      <w:bookmarkStart w:id="397" w:name="DocXTextRef147"/>
      <w:r w:rsidRPr="000E5786">
        <w:t>(60)</w:t>
      </w:r>
      <w:bookmarkEnd w:id="397"/>
      <w:r w:rsidRPr="000E5786">
        <w:t xml:space="preserve"> Working Days’ </w:t>
      </w:r>
      <w:proofErr w:type="gramStart"/>
      <w:r w:rsidRPr="000E5786">
        <w:t>notice;</w:t>
      </w:r>
      <w:bookmarkEnd w:id="396"/>
      <w:proofErr w:type="gramEnd"/>
    </w:p>
    <w:p w14:paraId="79F3A582" w14:textId="3B4A73CD" w:rsidR="0048699F" w:rsidRPr="000E5786" w:rsidRDefault="0048699F" w:rsidP="00346A37">
      <w:pPr>
        <w:pStyle w:val="Heading3"/>
      </w:pPr>
      <w:bookmarkStart w:id="398" w:name="_Ref53585019"/>
      <w:r w:rsidRPr="000E5786">
        <w:t>ensure that all arrangements for planned changes in Key Personnel provide adequate periods during which incoming and outgoing personnel work together to transfer responsibilities and ensure that such change does not have an adverse impact on the performance of the Services; and</w:t>
      </w:r>
      <w:bookmarkEnd w:id="398"/>
    </w:p>
    <w:p w14:paraId="1321591A" w14:textId="0873DE2E" w:rsidR="0048699F" w:rsidRPr="000E5786" w:rsidRDefault="0048699F" w:rsidP="00346A37">
      <w:pPr>
        <w:pStyle w:val="Heading3"/>
      </w:pPr>
      <w:bookmarkStart w:id="399" w:name="_Ref53585020"/>
      <w:r w:rsidRPr="000E5786">
        <w:t>ensure that any replacement for a Key Role:</w:t>
      </w:r>
      <w:bookmarkEnd w:id="399"/>
    </w:p>
    <w:p w14:paraId="0163EB14" w14:textId="2FDD427E" w:rsidR="0048699F" w:rsidRPr="000E5786" w:rsidRDefault="0048699F" w:rsidP="00834C1A">
      <w:pPr>
        <w:pStyle w:val="Heading4"/>
        <w:tabs>
          <w:tab w:val="clear" w:pos="1702"/>
          <w:tab w:val="num" w:pos="2694"/>
        </w:tabs>
        <w:spacing w:after="120"/>
        <w:ind w:left="2410"/>
        <w:rPr>
          <w:rFonts w:cs="Arial"/>
          <w:szCs w:val="20"/>
        </w:rPr>
      </w:pPr>
      <w:bookmarkStart w:id="400" w:name="_Ref53585021"/>
      <w:r w:rsidRPr="000E5786">
        <w:rPr>
          <w:rFonts w:cs="Arial"/>
          <w:szCs w:val="20"/>
        </w:rPr>
        <w:t>has a level of qualifications and experience appropriate to the relevant Key Role; and</w:t>
      </w:r>
      <w:bookmarkEnd w:id="400"/>
    </w:p>
    <w:p w14:paraId="713E0D51" w14:textId="0251AEAD" w:rsidR="0048699F" w:rsidRPr="000E5786" w:rsidRDefault="0048699F" w:rsidP="00834C1A">
      <w:pPr>
        <w:pStyle w:val="Heading4"/>
        <w:tabs>
          <w:tab w:val="clear" w:pos="1702"/>
          <w:tab w:val="num" w:pos="2694"/>
        </w:tabs>
        <w:spacing w:after="120"/>
        <w:ind w:left="2410"/>
        <w:rPr>
          <w:rFonts w:cs="Arial"/>
          <w:szCs w:val="20"/>
        </w:rPr>
      </w:pPr>
      <w:bookmarkStart w:id="401" w:name="_Ref53585022"/>
      <w:r w:rsidRPr="000E5786">
        <w:rPr>
          <w:rFonts w:cs="Arial"/>
          <w:szCs w:val="20"/>
        </w:rPr>
        <w:lastRenderedPageBreak/>
        <w:t>is fully competent to carry out the tasks assigned to the Key Personnel whom he or she has replaced.</w:t>
      </w:r>
      <w:bookmarkEnd w:id="401"/>
    </w:p>
    <w:p w14:paraId="7491DF53" w14:textId="1EC0BF17" w:rsidR="0048699F" w:rsidRPr="000E5786" w:rsidRDefault="0048699F" w:rsidP="00CE5734">
      <w:pPr>
        <w:pStyle w:val="BodyText"/>
        <w:spacing w:after="120"/>
        <w:ind w:left="709" w:firstLine="0"/>
        <w:rPr>
          <w:rFonts w:cs="Arial"/>
          <w:szCs w:val="20"/>
          <w:u w:val="single"/>
        </w:rPr>
      </w:pPr>
      <w:r w:rsidRPr="000E5786">
        <w:rPr>
          <w:rFonts w:cs="Arial"/>
          <w:szCs w:val="20"/>
          <w:u w:val="single"/>
        </w:rPr>
        <w:t>Employment Indemnity</w:t>
      </w:r>
    </w:p>
    <w:p w14:paraId="1B31651F" w14:textId="668198F3" w:rsidR="0048699F" w:rsidRPr="000E5786" w:rsidRDefault="0048699F" w:rsidP="00DD60F0">
      <w:pPr>
        <w:pStyle w:val="Heading2"/>
        <w:spacing w:after="120"/>
        <w:rPr>
          <w:rFonts w:cs="Arial"/>
          <w:szCs w:val="20"/>
        </w:rPr>
      </w:pPr>
      <w:bookmarkStart w:id="402" w:name="_Ref53585023"/>
      <w:r w:rsidRPr="000E5786">
        <w:rPr>
          <w:rFonts w:cs="Arial"/>
          <w:szCs w:val="20"/>
        </w:rPr>
        <w:t>The Parties agree that:</w:t>
      </w:r>
      <w:bookmarkEnd w:id="402"/>
    </w:p>
    <w:p w14:paraId="51011460" w14:textId="0FC362B5" w:rsidR="0048699F" w:rsidRPr="000E5786" w:rsidRDefault="0048699F" w:rsidP="00346A37">
      <w:pPr>
        <w:pStyle w:val="Heading3"/>
      </w:pPr>
      <w:bookmarkStart w:id="403" w:name="_Ref53585024"/>
      <w:r w:rsidRPr="000E5786">
        <w:t xml:space="preserve">the Supplier shall both during and after the Term indemnify </w:t>
      </w:r>
      <w:proofErr w:type="spellStart"/>
      <w:r w:rsidR="001F1C19">
        <w:t>Netlink</w:t>
      </w:r>
      <w:proofErr w:type="spellEnd"/>
      <w:r w:rsidR="001F1C19">
        <w:t xml:space="preserve"> Star</w:t>
      </w:r>
      <w:r w:rsidRPr="000E5786">
        <w:t xml:space="preserve"> against all Employee Liabilities that may arise </w:t>
      </w:r>
      <w:proofErr w:type="gramStart"/>
      <w:r w:rsidRPr="000E5786">
        <w:t>as a result of</w:t>
      </w:r>
      <w:proofErr w:type="gramEnd"/>
      <w:r w:rsidRPr="000E5786">
        <w:t xml:space="preserve"> any claims brought against </w:t>
      </w:r>
      <w:proofErr w:type="spellStart"/>
      <w:r w:rsidR="001F1C19">
        <w:t>Netlink</w:t>
      </w:r>
      <w:proofErr w:type="spellEnd"/>
      <w:r w:rsidR="001F1C19">
        <w:t xml:space="preserve"> Star</w:t>
      </w:r>
      <w:r w:rsidRPr="000E5786">
        <w:t xml:space="preserve"> by any person where such claim arises from any act or omission of the Supplier or any Supplier Personnel; and</w:t>
      </w:r>
      <w:bookmarkEnd w:id="403"/>
    </w:p>
    <w:p w14:paraId="317796F8" w14:textId="64CB883B" w:rsidR="0048699F" w:rsidRPr="000E5786" w:rsidRDefault="001F1C19" w:rsidP="00346A37">
      <w:pPr>
        <w:pStyle w:val="Heading3"/>
      </w:pPr>
      <w:bookmarkStart w:id="404" w:name="_Ref53585025"/>
      <w:proofErr w:type="spellStart"/>
      <w:r>
        <w:t>Netlink</w:t>
      </w:r>
      <w:proofErr w:type="spellEnd"/>
      <w:r>
        <w:t xml:space="preserve"> Star</w:t>
      </w:r>
      <w:r w:rsidR="0048699F" w:rsidRPr="000E5786">
        <w:t xml:space="preserve"> shall both during and after the Term indemnify the Supplier against all Employee Liabilities that may arise </w:t>
      </w:r>
      <w:proofErr w:type="gramStart"/>
      <w:r w:rsidR="0048699F" w:rsidRPr="000E5786">
        <w:t>as a result of</w:t>
      </w:r>
      <w:proofErr w:type="gramEnd"/>
      <w:r w:rsidR="0048699F" w:rsidRPr="000E5786">
        <w:t xml:space="preserve"> any claims brought against the Supplier by any person where such claim arises from any act or omission of </w:t>
      </w:r>
      <w:proofErr w:type="spellStart"/>
      <w:r>
        <w:t>Netlink</w:t>
      </w:r>
      <w:proofErr w:type="spellEnd"/>
      <w:r>
        <w:t xml:space="preserve"> Star</w:t>
      </w:r>
      <w:r w:rsidR="0048699F" w:rsidRPr="000E5786">
        <w:t xml:space="preserve"> or any of </w:t>
      </w:r>
      <w:proofErr w:type="spellStart"/>
      <w:r>
        <w:t>Netlink</w:t>
      </w:r>
      <w:proofErr w:type="spellEnd"/>
      <w:r>
        <w:t xml:space="preserve"> Star</w:t>
      </w:r>
      <w:r w:rsidR="0048699F" w:rsidRPr="000E5786">
        <w:t>’s employees, agents, consultants and contractors.</w:t>
      </w:r>
      <w:bookmarkEnd w:id="404"/>
    </w:p>
    <w:p w14:paraId="53E777BE" w14:textId="7D2AD415" w:rsidR="0048699F" w:rsidRPr="000E5786" w:rsidRDefault="0048699F" w:rsidP="00CE5734">
      <w:pPr>
        <w:pStyle w:val="BodyText"/>
        <w:spacing w:after="120"/>
        <w:ind w:left="709" w:firstLine="0"/>
        <w:rPr>
          <w:rFonts w:cs="Arial"/>
          <w:szCs w:val="20"/>
          <w:u w:val="single"/>
        </w:rPr>
      </w:pPr>
      <w:r w:rsidRPr="000E5786">
        <w:rPr>
          <w:rFonts w:cs="Arial"/>
          <w:szCs w:val="20"/>
          <w:u w:val="single"/>
        </w:rPr>
        <w:t>Income Tax and National Insurance Contributions</w:t>
      </w:r>
    </w:p>
    <w:p w14:paraId="71E99115" w14:textId="4FD94631" w:rsidR="0048699F" w:rsidRPr="000E5786" w:rsidRDefault="0048699F" w:rsidP="00DD60F0">
      <w:pPr>
        <w:pStyle w:val="Heading2"/>
        <w:spacing w:after="120"/>
        <w:rPr>
          <w:rFonts w:cs="Arial"/>
          <w:szCs w:val="20"/>
        </w:rPr>
      </w:pPr>
      <w:bookmarkStart w:id="405" w:name="_Ref53585026"/>
      <w:r w:rsidRPr="000E5786">
        <w:rPr>
          <w:rFonts w:cs="Arial"/>
          <w:szCs w:val="20"/>
        </w:rPr>
        <w:t>Where the Supplier or any Supplier Personnel are liable to be taxed in the UK or to pay national insurance contributions in respect of consideration received under this Agreement, the Supplier shall:</w:t>
      </w:r>
      <w:bookmarkEnd w:id="405"/>
    </w:p>
    <w:p w14:paraId="286FC366" w14:textId="15726B7D" w:rsidR="0048699F" w:rsidRPr="000E5786" w:rsidRDefault="0048699F" w:rsidP="00346A37">
      <w:pPr>
        <w:pStyle w:val="Heading3"/>
      </w:pPr>
      <w:bookmarkStart w:id="406" w:name="_Ref53585027"/>
      <w:r w:rsidRPr="000E5786">
        <w:t>at all times comply with the Income Tax (Earnings and Pensions) Act 2003 and all other statutes and regulations relating to income tax, and the Social Security Contributions and Benefits Act 1992 and all other statutes and regulations relating to national insurance contributions, in respect of that consideration; and</w:t>
      </w:r>
      <w:bookmarkEnd w:id="406"/>
    </w:p>
    <w:p w14:paraId="62A7E1C4" w14:textId="4E941B57" w:rsidR="0048699F" w:rsidRPr="000E5786" w:rsidRDefault="0048699F" w:rsidP="00346A37">
      <w:pPr>
        <w:pStyle w:val="Heading3"/>
      </w:pPr>
      <w:bookmarkStart w:id="407" w:name="_Ref53585028"/>
      <w:r w:rsidRPr="000E5786">
        <w:t xml:space="preserve">indemnify </w:t>
      </w:r>
      <w:proofErr w:type="spellStart"/>
      <w:r w:rsidR="001F1C19">
        <w:t>Netlink</w:t>
      </w:r>
      <w:proofErr w:type="spellEnd"/>
      <w:r w:rsidR="001F1C19">
        <w:t xml:space="preserve"> Star</w:t>
      </w:r>
      <w:r w:rsidRPr="000E5786">
        <w:t xml:space="preserve"> against any income tax, national insurance and social security contributions and any other liability, deduction, contribution, </w:t>
      </w:r>
      <w:proofErr w:type="gramStart"/>
      <w:r w:rsidRPr="000E5786">
        <w:t>assessment</w:t>
      </w:r>
      <w:proofErr w:type="gramEnd"/>
      <w:r w:rsidRPr="000E5786">
        <w:t xml:space="preserve"> or claim arising from or made in connection with the provision of the Services by the Supplier or any Supplier Personnel.</w:t>
      </w:r>
      <w:bookmarkEnd w:id="407"/>
    </w:p>
    <w:p w14:paraId="5D8D0181" w14:textId="32076CF3" w:rsidR="0048699F" w:rsidRPr="000E5786" w:rsidRDefault="0048699F" w:rsidP="00CE5734">
      <w:pPr>
        <w:pStyle w:val="BodyText"/>
        <w:spacing w:after="120"/>
        <w:ind w:left="709" w:firstLine="0"/>
        <w:rPr>
          <w:rFonts w:cs="Arial"/>
          <w:szCs w:val="20"/>
          <w:u w:val="single"/>
        </w:rPr>
      </w:pPr>
      <w:r w:rsidRPr="000E5786">
        <w:rPr>
          <w:rFonts w:cs="Arial"/>
          <w:szCs w:val="20"/>
          <w:u w:val="single"/>
        </w:rPr>
        <w:t>Staff Transfer</w:t>
      </w:r>
    </w:p>
    <w:p w14:paraId="057FA1E3" w14:textId="2F66FDE7" w:rsidR="0048699F" w:rsidRPr="000E5786" w:rsidRDefault="0048699F" w:rsidP="00DD60F0">
      <w:pPr>
        <w:pStyle w:val="Heading2"/>
        <w:spacing w:after="120"/>
        <w:rPr>
          <w:rFonts w:cs="Arial"/>
          <w:szCs w:val="20"/>
        </w:rPr>
      </w:pPr>
      <w:bookmarkStart w:id="408" w:name="_Ref53585029"/>
      <w:r w:rsidRPr="000E5786">
        <w:rPr>
          <w:rFonts w:cs="Arial"/>
          <w:szCs w:val="20"/>
        </w:rPr>
        <w:t>The Parties agree that:</w:t>
      </w:r>
      <w:bookmarkEnd w:id="408"/>
    </w:p>
    <w:p w14:paraId="0C7223C9" w14:textId="6C443EF8" w:rsidR="0048699F" w:rsidRPr="000E5786" w:rsidRDefault="0048699F" w:rsidP="00346A37">
      <w:pPr>
        <w:pStyle w:val="Heading3"/>
      </w:pPr>
      <w:bookmarkStart w:id="409" w:name="_Ref53585030"/>
      <w:r w:rsidRPr="000E5786">
        <w:t xml:space="preserve">where the commencement of the provision of the Services or any part of the Services results in one or more Relevant Transfers of Transferring Former Supplier Employees, </w:t>
      </w:r>
      <w:bookmarkStart w:id="410" w:name="DocXTextRef150"/>
      <w:r w:rsidRPr="000E5786">
        <w:t>Part B</w:t>
      </w:r>
      <w:bookmarkEnd w:id="410"/>
      <w:r w:rsidRPr="000E5786">
        <w:t xml:space="preserve"> of </w:t>
      </w:r>
      <w:bookmarkStart w:id="411" w:name="DocXTextRef148"/>
      <w:r w:rsidRPr="000E5786">
        <w:t xml:space="preserve">Schedule </w:t>
      </w:r>
      <w:r w:rsidR="00FA4034">
        <w:t>11</w:t>
      </w:r>
      <w:bookmarkEnd w:id="411"/>
      <w:r w:rsidRPr="000E5786">
        <w:t xml:space="preserve"> (Staff Transfer) shall </w:t>
      </w:r>
      <w:r w:rsidR="006A6B45">
        <w:t xml:space="preserve">not </w:t>
      </w:r>
      <w:proofErr w:type="gramStart"/>
      <w:r w:rsidRPr="000E5786">
        <w:t>apply</w:t>
      </w:r>
      <w:proofErr w:type="gramEnd"/>
      <w:r w:rsidRPr="000E5786">
        <w:t xml:space="preserve"> and </w:t>
      </w:r>
      <w:bookmarkStart w:id="412" w:name="DocXTextRef151"/>
      <w:r w:rsidRPr="000E5786">
        <w:t>Part C</w:t>
      </w:r>
      <w:bookmarkEnd w:id="412"/>
      <w:r w:rsidRPr="000E5786">
        <w:t xml:space="preserve"> of </w:t>
      </w:r>
      <w:bookmarkStart w:id="413" w:name="DocXTextRef149"/>
      <w:r w:rsidRPr="000E5786">
        <w:t xml:space="preserve">Schedule </w:t>
      </w:r>
      <w:r w:rsidR="00B52BF5">
        <w:t>11</w:t>
      </w:r>
      <w:bookmarkEnd w:id="413"/>
      <w:r w:rsidRPr="000E5786">
        <w:t xml:space="preserve"> (Staff Transfer) shall not apply;</w:t>
      </w:r>
      <w:bookmarkEnd w:id="409"/>
    </w:p>
    <w:p w14:paraId="11D390D7" w14:textId="1130A848" w:rsidR="0048699F" w:rsidRPr="000E5786" w:rsidRDefault="0048699F" w:rsidP="00346A37">
      <w:pPr>
        <w:pStyle w:val="Heading3"/>
      </w:pPr>
      <w:bookmarkStart w:id="414" w:name="_Ref53585031"/>
      <w:r w:rsidRPr="000E5786">
        <w:t xml:space="preserve">where commencement of the provision of the Services or a part of the Services does not result in a Relevant Transfer, </w:t>
      </w:r>
      <w:bookmarkStart w:id="415" w:name="DocXTextRef154"/>
      <w:r w:rsidRPr="000E5786">
        <w:t>Part C</w:t>
      </w:r>
      <w:bookmarkEnd w:id="415"/>
      <w:r w:rsidRPr="000E5786">
        <w:t xml:space="preserve"> of </w:t>
      </w:r>
      <w:bookmarkStart w:id="416" w:name="DocXTextRef152"/>
      <w:r w:rsidRPr="000E5786">
        <w:t xml:space="preserve">Schedule </w:t>
      </w:r>
      <w:r w:rsidR="00FA4034">
        <w:t>11</w:t>
      </w:r>
      <w:bookmarkEnd w:id="416"/>
      <w:r w:rsidRPr="000E5786">
        <w:t xml:space="preserve"> (Staff Transfer) shall </w:t>
      </w:r>
      <w:proofErr w:type="gramStart"/>
      <w:r w:rsidRPr="000E5786">
        <w:t>apply</w:t>
      </w:r>
      <w:proofErr w:type="gramEnd"/>
      <w:r w:rsidRPr="000E5786">
        <w:t xml:space="preserve"> and </w:t>
      </w:r>
      <w:bookmarkStart w:id="417" w:name="DocXTextRef155"/>
      <w:r w:rsidRPr="000E5786">
        <w:t>Part B</w:t>
      </w:r>
      <w:bookmarkEnd w:id="417"/>
      <w:r w:rsidRPr="000E5786">
        <w:t xml:space="preserve"> of </w:t>
      </w:r>
      <w:bookmarkStart w:id="418" w:name="DocXTextRef153"/>
      <w:r w:rsidRPr="000E5786">
        <w:t xml:space="preserve">Schedule </w:t>
      </w:r>
      <w:r w:rsidR="00B52BF5">
        <w:t>11</w:t>
      </w:r>
      <w:bookmarkEnd w:id="418"/>
      <w:r w:rsidRPr="000E5786">
        <w:t xml:space="preserve"> (Staff Transfer) shall not apply; and</w:t>
      </w:r>
      <w:bookmarkEnd w:id="414"/>
    </w:p>
    <w:p w14:paraId="7C685222" w14:textId="512EA26A" w:rsidR="0048699F" w:rsidRPr="000E5786" w:rsidRDefault="0048699F" w:rsidP="00346A37">
      <w:pPr>
        <w:pStyle w:val="Heading3"/>
      </w:pPr>
      <w:bookmarkStart w:id="419" w:name="_Ref53585032"/>
      <w:r w:rsidRPr="000E5786">
        <w:t xml:space="preserve">Part D of </w:t>
      </w:r>
      <w:bookmarkStart w:id="420" w:name="DocXTextRef156"/>
      <w:r w:rsidRPr="000E5786">
        <w:t xml:space="preserve">Schedule </w:t>
      </w:r>
      <w:r w:rsidR="00FA4034">
        <w:t>11</w:t>
      </w:r>
      <w:bookmarkEnd w:id="420"/>
      <w:r w:rsidRPr="000E5786">
        <w:t xml:space="preserve"> (Staff Transfer) shall apply on the expiry or termination of the Services or any part of the Services.</w:t>
      </w:r>
      <w:bookmarkEnd w:id="419"/>
    </w:p>
    <w:p w14:paraId="4923CDE0" w14:textId="07B0CE5A" w:rsidR="0048699F" w:rsidRPr="000E5786" w:rsidRDefault="0048699F" w:rsidP="00DD60F0">
      <w:pPr>
        <w:pStyle w:val="Heading1"/>
        <w:spacing w:after="120"/>
        <w:rPr>
          <w:rFonts w:cs="Arial"/>
          <w:szCs w:val="20"/>
        </w:rPr>
      </w:pPr>
      <w:bookmarkStart w:id="421" w:name="_Ref53585033"/>
      <w:bookmarkStart w:id="422" w:name="_Ref53585714"/>
      <w:bookmarkStart w:id="423" w:name="_Toc71198941"/>
      <w:r w:rsidRPr="000E5786">
        <w:rPr>
          <w:rFonts w:cs="Arial"/>
          <w:szCs w:val="20"/>
        </w:rPr>
        <w:t>SUPPLY CHAIN RIGHTS AND PROTECTIONS</w:t>
      </w:r>
      <w:bookmarkEnd w:id="421"/>
      <w:bookmarkEnd w:id="422"/>
      <w:bookmarkEnd w:id="423"/>
    </w:p>
    <w:p w14:paraId="7D9DD706" w14:textId="420B1B8D" w:rsidR="0048699F" w:rsidRPr="000E5786" w:rsidRDefault="0048699F" w:rsidP="00CE5734">
      <w:pPr>
        <w:pStyle w:val="BodyText"/>
        <w:spacing w:after="120"/>
        <w:ind w:left="709" w:firstLine="0"/>
        <w:rPr>
          <w:rFonts w:cs="Arial"/>
          <w:szCs w:val="20"/>
          <w:u w:val="single"/>
        </w:rPr>
      </w:pPr>
      <w:r w:rsidRPr="000E5786">
        <w:rPr>
          <w:rFonts w:cs="Arial"/>
          <w:szCs w:val="20"/>
          <w:u w:val="single"/>
        </w:rPr>
        <w:t>Appointment of Sub-contractors</w:t>
      </w:r>
    </w:p>
    <w:p w14:paraId="2B4EFA6A" w14:textId="158096B8" w:rsidR="0048699F" w:rsidRPr="000E5786" w:rsidRDefault="0048699F" w:rsidP="00DD60F0">
      <w:pPr>
        <w:pStyle w:val="Heading2"/>
        <w:spacing w:after="120"/>
        <w:rPr>
          <w:rFonts w:cs="Arial"/>
          <w:szCs w:val="20"/>
        </w:rPr>
      </w:pPr>
      <w:bookmarkStart w:id="424" w:name="_Ref53585034"/>
      <w:r w:rsidRPr="000E5786">
        <w:rPr>
          <w:rFonts w:cs="Arial"/>
          <w:szCs w:val="20"/>
        </w:rPr>
        <w:t>The Supplier shall exercise due skill and care in the selection and appointment of any Subcontractors to ensure that the Supplier is able to:</w:t>
      </w:r>
      <w:bookmarkEnd w:id="424"/>
    </w:p>
    <w:p w14:paraId="0FE98A74" w14:textId="207F11A6" w:rsidR="0048699F" w:rsidRPr="000E5786" w:rsidRDefault="0048699F" w:rsidP="00346A37">
      <w:pPr>
        <w:pStyle w:val="Heading3"/>
      </w:pPr>
      <w:bookmarkStart w:id="425" w:name="_Ref53585035"/>
      <w:r w:rsidRPr="000E5786">
        <w:t xml:space="preserve">manage any Sub-contractors in accordance with Good Industry </w:t>
      </w:r>
      <w:proofErr w:type="gramStart"/>
      <w:r w:rsidRPr="000E5786">
        <w:t>Practice;</w:t>
      </w:r>
      <w:bookmarkEnd w:id="425"/>
      <w:proofErr w:type="gramEnd"/>
    </w:p>
    <w:p w14:paraId="0D7144BB" w14:textId="6BFF4673" w:rsidR="0048699F" w:rsidRPr="000E5786" w:rsidRDefault="0048699F" w:rsidP="00346A37">
      <w:pPr>
        <w:pStyle w:val="Heading3"/>
      </w:pPr>
      <w:bookmarkStart w:id="426" w:name="_Ref53585036"/>
      <w:r w:rsidRPr="000E5786">
        <w:t>comply with its obligations under this Agreement in the delivery of the Services; and</w:t>
      </w:r>
      <w:bookmarkEnd w:id="426"/>
    </w:p>
    <w:p w14:paraId="4D668370" w14:textId="55C1EDF3" w:rsidR="0048699F" w:rsidRPr="000E5786" w:rsidRDefault="003550D6" w:rsidP="00346A37">
      <w:pPr>
        <w:pStyle w:val="Heading3"/>
      </w:pPr>
      <w:bookmarkStart w:id="427" w:name="_Ref53585037"/>
      <w:r w:rsidRPr="00C0214D">
        <w:t>in the case of the selection and appointment of New Sub-contractors only</w:t>
      </w:r>
      <w:r>
        <w:t>,</w:t>
      </w:r>
      <w:r w:rsidRPr="000E5786">
        <w:t xml:space="preserve"> </w:t>
      </w:r>
      <w:r w:rsidR="0048699F" w:rsidRPr="000E5786">
        <w:t xml:space="preserve">assign, </w:t>
      </w:r>
      <w:proofErr w:type="gramStart"/>
      <w:r w:rsidR="0048699F" w:rsidRPr="000E5786">
        <w:t>novate</w:t>
      </w:r>
      <w:proofErr w:type="gramEnd"/>
      <w:r w:rsidR="0048699F" w:rsidRPr="000E5786">
        <w:t xml:space="preserve"> or otherwise transfer to </w:t>
      </w:r>
      <w:proofErr w:type="spellStart"/>
      <w:r w:rsidR="001F1C19">
        <w:t>Netlink</w:t>
      </w:r>
      <w:proofErr w:type="spellEnd"/>
      <w:r w:rsidR="001F1C19">
        <w:t xml:space="preserve"> Star</w:t>
      </w:r>
      <w:r w:rsidR="0048699F" w:rsidRPr="000E5786">
        <w:t xml:space="preserve"> or any Replacement Supplier any of its rights and/or obligations under each Sub-contract that relates exclusively to this Agreement.</w:t>
      </w:r>
      <w:bookmarkEnd w:id="427"/>
    </w:p>
    <w:p w14:paraId="70CD40CB" w14:textId="527AB981" w:rsidR="0048699F" w:rsidRPr="000E5786" w:rsidRDefault="0048699F" w:rsidP="00DD60F0">
      <w:pPr>
        <w:pStyle w:val="Heading2"/>
        <w:spacing w:after="120"/>
        <w:rPr>
          <w:rFonts w:cs="Arial"/>
          <w:szCs w:val="20"/>
        </w:rPr>
      </w:pPr>
      <w:bookmarkStart w:id="428" w:name="_Ref53585038"/>
      <w:r w:rsidRPr="000E5786">
        <w:rPr>
          <w:rFonts w:cs="Arial"/>
          <w:szCs w:val="20"/>
        </w:rPr>
        <w:t xml:space="preserve">Prior to sub-contracting any of its obligations under this Agreement, the Supplier shall notify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writing of:</w:t>
      </w:r>
      <w:bookmarkEnd w:id="428"/>
    </w:p>
    <w:p w14:paraId="0D3B952C" w14:textId="13BAEFC1" w:rsidR="0048699F" w:rsidRPr="000E5786" w:rsidRDefault="0048699F" w:rsidP="00346A37">
      <w:pPr>
        <w:pStyle w:val="Heading3"/>
      </w:pPr>
      <w:bookmarkStart w:id="429" w:name="_Ref53585039"/>
      <w:r w:rsidRPr="000E5786">
        <w:t xml:space="preserve">the proposed Sub-contractor’s name, registered office and company registration </w:t>
      </w:r>
      <w:proofErr w:type="gramStart"/>
      <w:r w:rsidRPr="000E5786">
        <w:t>number;</w:t>
      </w:r>
      <w:bookmarkEnd w:id="429"/>
      <w:proofErr w:type="gramEnd"/>
    </w:p>
    <w:p w14:paraId="41D68257" w14:textId="1A4DAD2E" w:rsidR="0048699F" w:rsidRPr="000E5786" w:rsidRDefault="0048699F" w:rsidP="00346A37">
      <w:pPr>
        <w:pStyle w:val="Heading3"/>
      </w:pPr>
      <w:bookmarkStart w:id="430" w:name="_Ref53585040"/>
      <w:r w:rsidRPr="000E5786">
        <w:lastRenderedPageBreak/>
        <w:t>the scope of any Services to be provided by the proposed Sub-contractor; and</w:t>
      </w:r>
      <w:bookmarkEnd w:id="430"/>
    </w:p>
    <w:p w14:paraId="5D5316C6" w14:textId="5ABD0975" w:rsidR="0048699F" w:rsidRPr="000E5786" w:rsidRDefault="0048699F" w:rsidP="00346A37">
      <w:pPr>
        <w:pStyle w:val="Heading3"/>
      </w:pPr>
      <w:bookmarkStart w:id="431" w:name="_Ref53585041"/>
      <w:r w:rsidRPr="000E5786">
        <w:t xml:space="preserve">where the proposed Sub-contractor is an Affiliate of the Supplier, evidence that demonstrates to the reasonable satisfaction of </w:t>
      </w:r>
      <w:proofErr w:type="spellStart"/>
      <w:r w:rsidR="001F1C19">
        <w:t>Netlink</w:t>
      </w:r>
      <w:proofErr w:type="spellEnd"/>
      <w:r w:rsidR="001F1C19">
        <w:t xml:space="preserve"> Star</w:t>
      </w:r>
      <w:r w:rsidRPr="000E5786">
        <w:t xml:space="preserve"> that the proposed Sub-contract has been agreed on “arm’s-length” terms.</w:t>
      </w:r>
      <w:bookmarkEnd w:id="431"/>
    </w:p>
    <w:p w14:paraId="579D9B98" w14:textId="4066C77D" w:rsidR="0048699F" w:rsidRPr="000E5786" w:rsidRDefault="0048699F" w:rsidP="00DD60F0">
      <w:pPr>
        <w:pStyle w:val="Heading2"/>
        <w:spacing w:after="120"/>
        <w:rPr>
          <w:rFonts w:cs="Arial"/>
          <w:szCs w:val="20"/>
        </w:rPr>
      </w:pPr>
      <w:bookmarkStart w:id="432" w:name="_Ref53585042"/>
      <w:r w:rsidRPr="000E5786">
        <w:rPr>
          <w:rFonts w:cs="Arial"/>
          <w:szCs w:val="20"/>
        </w:rPr>
        <w:t xml:space="preserve">If requested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within ten </w:t>
      </w:r>
      <w:bookmarkStart w:id="433" w:name="DocXTextRef157"/>
      <w:r w:rsidRPr="000E5786">
        <w:rPr>
          <w:rFonts w:cs="Arial"/>
          <w:szCs w:val="20"/>
        </w:rPr>
        <w:t>(10)</w:t>
      </w:r>
      <w:bookmarkEnd w:id="433"/>
      <w:r w:rsidRPr="000E5786">
        <w:rPr>
          <w:rFonts w:cs="Arial"/>
          <w:szCs w:val="20"/>
        </w:rPr>
        <w:t xml:space="preserve"> Working Days of receipt of the Supplier’s notice issued pursuant to clause </w:t>
      </w:r>
      <w:r w:rsidR="00AF3459" w:rsidRPr="000E5786">
        <w:rPr>
          <w:rFonts w:cs="Arial"/>
          <w:szCs w:val="20"/>
        </w:rPr>
        <w:fldChar w:fldCharType="begin"/>
      </w:r>
      <w:r w:rsidR="00AF3459" w:rsidRPr="000E5786">
        <w:rPr>
          <w:rFonts w:cs="Arial"/>
          <w:szCs w:val="20"/>
        </w:rPr>
        <w:instrText xml:space="preserve">  REF _Ref53585038 \w \h \* MERGEFORMAT </w:instrText>
      </w:r>
      <w:r w:rsidR="00AF3459" w:rsidRPr="000E5786">
        <w:rPr>
          <w:rFonts w:cs="Arial"/>
          <w:szCs w:val="20"/>
        </w:rPr>
      </w:r>
      <w:r w:rsidR="00AF3459" w:rsidRPr="000E5786">
        <w:rPr>
          <w:rFonts w:cs="Arial"/>
          <w:szCs w:val="20"/>
        </w:rPr>
        <w:fldChar w:fldCharType="separate"/>
      </w:r>
      <w:r w:rsidR="002523A8" w:rsidRPr="000E5786">
        <w:rPr>
          <w:rFonts w:cs="Arial"/>
          <w:szCs w:val="20"/>
        </w:rPr>
        <w:t>17.2</w:t>
      </w:r>
      <w:r w:rsidR="00AF3459" w:rsidRPr="000E5786">
        <w:rPr>
          <w:rFonts w:cs="Arial"/>
          <w:szCs w:val="20"/>
        </w:rPr>
        <w:fldChar w:fldCharType="end"/>
      </w:r>
      <w:r w:rsidRPr="000E5786">
        <w:rPr>
          <w:rFonts w:cs="Arial"/>
          <w:szCs w:val="20"/>
        </w:rPr>
        <w:t>, the Supplier shall also provide:</w:t>
      </w:r>
      <w:bookmarkEnd w:id="432"/>
    </w:p>
    <w:p w14:paraId="5467051D" w14:textId="206A8D5D" w:rsidR="0048699F" w:rsidRPr="000E5786" w:rsidRDefault="006A6B45" w:rsidP="00346A37">
      <w:pPr>
        <w:pStyle w:val="Heading3"/>
      </w:pPr>
      <w:bookmarkStart w:id="434" w:name="_Ref53585043"/>
      <w:r w:rsidRPr="00C0214D">
        <w:t xml:space="preserve">in the case of a Sub-contract with a New Sub-contractor, </w:t>
      </w:r>
      <w:r w:rsidR="0048699F" w:rsidRPr="000E5786">
        <w:t>a copy of the proposed Sub-contract; and</w:t>
      </w:r>
      <w:bookmarkEnd w:id="434"/>
    </w:p>
    <w:p w14:paraId="6974EDD7" w14:textId="73EBE920" w:rsidR="006A6B45" w:rsidRDefault="0048699F" w:rsidP="00346A37">
      <w:pPr>
        <w:pStyle w:val="Heading3"/>
      </w:pPr>
      <w:bookmarkStart w:id="435" w:name="_Ref53585044"/>
      <w:r w:rsidRPr="000E5786">
        <w:t xml:space="preserve">any further information reasonably requested by </w:t>
      </w:r>
      <w:proofErr w:type="spellStart"/>
      <w:r w:rsidR="001F1C19">
        <w:t>Netlink</w:t>
      </w:r>
      <w:proofErr w:type="spellEnd"/>
      <w:r w:rsidR="001F1C19">
        <w:t xml:space="preserve"> Star</w:t>
      </w:r>
      <w:r w:rsidR="006A6B45">
        <w:t>,</w:t>
      </w:r>
    </w:p>
    <w:p w14:paraId="0F3BFCC9" w14:textId="0E4AC674" w:rsidR="0048699F" w:rsidRPr="000E5786" w:rsidRDefault="006A6B45" w:rsidP="00346A37">
      <w:pPr>
        <w:pStyle w:val="Heading3"/>
      </w:pPr>
      <w:r w:rsidRPr="00C0214D">
        <w:t>together the “</w:t>
      </w:r>
      <w:r w:rsidRPr="006A6B45">
        <w:rPr>
          <w:b/>
        </w:rPr>
        <w:t>Sub-contractor Information</w:t>
      </w:r>
      <w:r w:rsidRPr="00C0214D">
        <w:t>”. The Supplier may redact commercially sensitive information (</w:t>
      </w:r>
      <w:proofErr w:type="gramStart"/>
      <w:r w:rsidRPr="00C0214D">
        <w:t>e.g.</w:t>
      </w:r>
      <w:proofErr w:type="gramEnd"/>
      <w:r w:rsidRPr="00C0214D">
        <w:t xml:space="preserve"> pricing) in the Sub-contractor Information.”</w:t>
      </w:r>
      <w:bookmarkEnd w:id="435"/>
    </w:p>
    <w:p w14:paraId="0B5D56EE" w14:textId="119CBAC8" w:rsidR="0048699F" w:rsidRPr="000E5786" w:rsidRDefault="001F1C19" w:rsidP="00DD60F0">
      <w:pPr>
        <w:pStyle w:val="Heading2"/>
        <w:spacing w:after="120"/>
        <w:rPr>
          <w:rFonts w:cs="Arial"/>
          <w:szCs w:val="20"/>
        </w:rPr>
      </w:pPr>
      <w:bookmarkStart w:id="436" w:name="_Ref53585045"/>
      <w:proofErr w:type="spellStart"/>
      <w:r>
        <w:rPr>
          <w:rFonts w:cs="Arial"/>
          <w:szCs w:val="20"/>
        </w:rPr>
        <w:t>Netlink</w:t>
      </w:r>
      <w:proofErr w:type="spellEnd"/>
      <w:r>
        <w:rPr>
          <w:rFonts w:cs="Arial"/>
          <w:szCs w:val="20"/>
        </w:rPr>
        <w:t xml:space="preserve"> Star</w:t>
      </w:r>
      <w:r w:rsidR="0048699F" w:rsidRPr="000E5786">
        <w:rPr>
          <w:rFonts w:cs="Arial"/>
          <w:szCs w:val="20"/>
        </w:rPr>
        <w:t xml:space="preserve"> may, within ten </w:t>
      </w:r>
      <w:bookmarkStart w:id="437" w:name="DocXTextRef159"/>
      <w:r w:rsidR="0048699F" w:rsidRPr="000E5786">
        <w:rPr>
          <w:rFonts w:cs="Arial"/>
          <w:szCs w:val="20"/>
        </w:rPr>
        <w:t>(10)</w:t>
      </w:r>
      <w:bookmarkEnd w:id="437"/>
      <w:r w:rsidR="0048699F" w:rsidRPr="000E5786">
        <w:rPr>
          <w:rFonts w:cs="Arial"/>
          <w:szCs w:val="20"/>
        </w:rPr>
        <w:t xml:space="preserve"> Working Days of receipt of the Supplier’s notice issued pursuant to clause </w:t>
      </w:r>
      <w:r w:rsidR="00AF3459" w:rsidRPr="000E5786">
        <w:rPr>
          <w:rFonts w:cs="Arial"/>
          <w:szCs w:val="20"/>
        </w:rPr>
        <w:fldChar w:fldCharType="begin"/>
      </w:r>
      <w:r w:rsidR="00AF3459" w:rsidRPr="000E5786">
        <w:rPr>
          <w:rFonts w:cs="Arial"/>
          <w:szCs w:val="20"/>
        </w:rPr>
        <w:instrText xml:space="preserve">  REF _Ref53585038 \w \h \* MERGEFORMAT </w:instrText>
      </w:r>
      <w:r w:rsidR="00AF3459" w:rsidRPr="000E5786">
        <w:rPr>
          <w:rFonts w:cs="Arial"/>
          <w:szCs w:val="20"/>
        </w:rPr>
      </w:r>
      <w:r w:rsidR="00AF3459" w:rsidRPr="000E5786">
        <w:rPr>
          <w:rFonts w:cs="Arial"/>
          <w:szCs w:val="20"/>
        </w:rPr>
        <w:fldChar w:fldCharType="separate"/>
      </w:r>
      <w:r w:rsidR="002523A8" w:rsidRPr="000E5786">
        <w:rPr>
          <w:rFonts w:cs="Arial"/>
          <w:szCs w:val="20"/>
        </w:rPr>
        <w:t>17.2</w:t>
      </w:r>
      <w:r w:rsidR="00AF3459" w:rsidRPr="000E5786">
        <w:rPr>
          <w:rFonts w:cs="Arial"/>
          <w:szCs w:val="20"/>
        </w:rPr>
        <w:fldChar w:fldCharType="end"/>
      </w:r>
      <w:r w:rsidR="0048699F" w:rsidRPr="000E5786">
        <w:rPr>
          <w:rFonts w:cs="Arial"/>
          <w:szCs w:val="20"/>
        </w:rPr>
        <w:t xml:space="preserve"> (or, if later, receipt of any further information requested pursuant to clause </w:t>
      </w:r>
      <w:r w:rsidR="00AF3459" w:rsidRPr="000E5786">
        <w:rPr>
          <w:rFonts w:cs="Arial"/>
          <w:szCs w:val="20"/>
        </w:rPr>
        <w:fldChar w:fldCharType="begin"/>
      </w:r>
      <w:r w:rsidR="00AF3459" w:rsidRPr="000E5786">
        <w:rPr>
          <w:rFonts w:cs="Arial"/>
          <w:szCs w:val="20"/>
        </w:rPr>
        <w:instrText xml:space="preserve">  REF _Ref53585042 \w \h \* MERGEFORMAT </w:instrText>
      </w:r>
      <w:r w:rsidR="00AF3459" w:rsidRPr="000E5786">
        <w:rPr>
          <w:rFonts w:cs="Arial"/>
          <w:szCs w:val="20"/>
        </w:rPr>
      </w:r>
      <w:r w:rsidR="00AF3459" w:rsidRPr="000E5786">
        <w:rPr>
          <w:rFonts w:cs="Arial"/>
          <w:szCs w:val="20"/>
        </w:rPr>
        <w:fldChar w:fldCharType="separate"/>
      </w:r>
      <w:r w:rsidR="002523A8" w:rsidRPr="000E5786">
        <w:rPr>
          <w:rFonts w:cs="Arial"/>
          <w:szCs w:val="20"/>
        </w:rPr>
        <w:t>17.3</w:t>
      </w:r>
      <w:r w:rsidR="00AF3459" w:rsidRPr="000E5786">
        <w:rPr>
          <w:rFonts w:cs="Arial"/>
          <w:szCs w:val="20"/>
        </w:rPr>
        <w:fldChar w:fldCharType="end"/>
      </w:r>
      <w:r w:rsidR="0048699F" w:rsidRPr="000E5786">
        <w:rPr>
          <w:rFonts w:cs="Arial"/>
          <w:szCs w:val="20"/>
        </w:rPr>
        <w:t xml:space="preserve">), object to the appointment of the relevant Sub-contractor </w:t>
      </w:r>
      <w:r w:rsidR="006A6B45" w:rsidRPr="00C0214D">
        <w:rPr>
          <w:rFonts w:cs="Arial"/>
          <w:bCs w:val="0"/>
          <w:szCs w:val="20"/>
        </w:rPr>
        <w:t xml:space="preserve">where that Sub-contractor is a New Sub-contractor and </w:t>
      </w:r>
      <w:r w:rsidR="0048699F" w:rsidRPr="000E5786">
        <w:rPr>
          <w:rFonts w:cs="Arial"/>
          <w:szCs w:val="20"/>
        </w:rPr>
        <w:t>if it considers that:</w:t>
      </w:r>
      <w:bookmarkEnd w:id="436"/>
    </w:p>
    <w:p w14:paraId="16DCACE0" w14:textId="2830D75B" w:rsidR="0048699F" w:rsidRPr="000E5786" w:rsidRDefault="0048699F" w:rsidP="00346A37">
      <w:pPr>
        <w:pStyle w:val="Heading3"/>
      </w:pPr>
      <w:bookmarkStart w:id="438" w:name="_Ref53585046"/>
      <w:r w:rsidRPr="000E5786">
        <w:t xml:space="preserve">the appointment of a proposed </w:t>
      </w:r>
      <w:r w:rsidR="006A6B45">
        <w:t xml:space="preserve">New </w:t>
      </w:r>
      <w:r w:rsidRPr="000E5786">
        <w:t xml:space="preserve">Sub-contractor may prejudice the provision of the Services and/or may be contrary to the interests of </w:t>
      </w:r>
      <w:proofErr w:type="spellStart"/>
      <w:r w:rsidR="001F1C19">
        <w:t>Netlink</w:t>
      </w:r>
      <w:proofErr w:type="spellEnd"/>
      <w:r w:rsidR="001F1C19">
        <w:t xml:space="preserve"> </w:t>
      </w:r>
      <w:proofErr w:type="gramStart"/>
      <w:r w:rsidR="001F1C19">
        <w:t>Star</w:t>
      </w:r>
      <w:r w:rsidRPr="000E5786">
        <w:t>;</w:t>
      </w:r>
      <w:bookmarkEnd w:id="438"/>
      <w:proofErr w:type="gramEnd"/>
    </w:p>
    <w:p w14:paraId="2AE0BAA2" w14:textId="46776EFB" w:rsidR="0048699F" w:rsidRPr="000E5786" w:rsidRDefault="0048699F" w:rsidP="00346A37">
      <w:pPr>
        <w:pStyle w:val="Heading3"/>
      </w:pPr>
      <w:bookmarkStart w:id="439" w:name="_Ref53585047"/>
      <w:r w:rsidRPr="000E5786">
        <w:t xml:space="preserve">the proposed </w:t>
      </w:r>
      <w:r w:rsidR="006A6B45">
        <w:t xml:space="preserve">New </w:t>
      </w:r>
      <w:r w:rsidRPr="000E5786">
        <w:t xml:space="preserve">Sub-contractor is unreliable and/or has not provided reasonable services to its other </w:t>
      </w:r>
      <w:proofErr w:type="gramStart"/>
      <w:r w:rsidRPr="000E5786">
        <w:t>customers;</w:t>
      </w:r>
      <w:bookmarkEnd w:id="439"/>
      <w:proofErr w:type="gramEnd"/>
    </w:p>
    <w:p w14:paraId="0A64A79B" w14:textId="0FAF654F" w:rsidR="0048699F" w:rsidRPr="000E5786" w:rsidRDefault="0048699F" w:rsidP="00346A37">
      <w:pPr>
        <w:pStyle w:val="Heading3"/>
      </w:pPr>
      <w:bookmarkStart w:id="440" w:name="_Ref53585048"/>
      <w:r w:rsidRPr="000E5786">
        <w:t xml:space="preserve">the proposed </w:t>
      </w:r>
      <w:r w:rsidR="006A6B45">
        <w:t xml:space="preserve">New </w:t>
      </w:r>
      <w:r w:rsidRPr="000E5786">
        <w:t>Sub-contractor employs unfit persons; and/or</w:t>
      </w:r>
      <w:bookmarkEnd w:id="440"/>
    </w:p>
    <w:p w14:paraId="527E951D" w14:textId="58C3477F" w:rsidR="0048699F" w:rsidRPr="000E5786" w:rsidRDefault="0048699F" w:rsidP="00346A37">
      <w:pPr>
        <w:pStyle w:val="Heading3"/>
      </w:pPr>
      <w:bookmarkStart w:id="441" w:name="_Ref53585049"/>
      <w:r w:rsidRPr="000E5786">
        <w:t xml:space="preserve">the proposed </w:t>
      </w:r>
      <w:r w:rsidR="006A6B45">
        <w:t xml:space="preserve">New </w:t>
      </w:r>
      <w:r w:rsidRPr="000E5786">
        <w:t xml:space="preserve">Sub-contractor should be excluded in accordance with clause </w:t>
      </w:r>
      <w:r w:rsidR="00AF3459" w:rsidRPr="000E5786">
        <w:fldChar w:fldCharType="begin"/>
      </w:r>
      <w:r w:rsidR="00AF3459" w:rsidRPr="000E5786">
        <w:instrText xml:space="preserve">  REF _Ref53585113 \w \h \* MERGEFORMAT </w:instrText>
      </w:r>
      <w:r w:rsidR="00AF3459" w:rsidRPr="000E5786">
        <w:fldChar w:fldCharType="separate"/>
      </w:r>
      <w:r w:rsidR="002523A8" w:rsidRPr="000E5786">
        <w:t>17.18</w:t>
      </w:r>
      <w:r w:rsidR="00AF3459" w:rsidRPr="000E5786">
        <w:fldChar w:fldCharType="end"/>
      </w:r>
      <w:r w:rsidRPr="000E5786">
        <w:t>,</w:t>
      </w:r>
      <w:bookmarkEnd w:id="441"/>
    </w:p>
    <w:p w14:paraId="5D2B4F07" w14:textId="77777777" w:rsidR="0048699F" w:rsidRPr="000E5786" w:rsidRDefault="0048699F" w:rsidP="00834C1A">
      <w:pPr>
        <w:pStyle w:val="BodyText2"/>
        <w:spacing w:after="120"/>
        <w:ind w:firstLine="0"/>
        <w:rPr>
          <w:rFonts w:cs="Arial"/>
          <w:szCs w:val="20"/>
        </w:rPr>
      </w:pPr>
      <w:r w:rsidRPr="000E5786">
        <w:rPr>
          <w:rFonts w:cs="Arial"/>
          <w:szCs w:val="20"/>
        </w:rPr>
        <w:t>in which case, the Supplier shall not proceed with the proposed appointment.</w:t>
      </w:r>
    </w:p>
    <w:p w14:paraId="6183A30C" w14:textId="484C55DD" w:rsidR="0048699F" w:rsidRPr="000E5786" w:rsidRDefault="0048699F" w:rsidP="00DD60F0">
      <w:pPr>
        <w:pStyle w:val="Heading2"/>
        <w:spacing w:after="120"/>
        <w:rPr>
          <w:rFonts w:cs="Arial"/>
          <w:szCs w:val="20"/>
        </w:rPr>
      </w:pPr>
      <w:bookmarkStart w:id="442" w:name="_Ref53585050"/>
      <w:r w:rsidRPr="000E5786">
        <w:rPr>
          <w:rFonts w:cs="Arial"/>
          <w:szCs w:val="20"/>
        </w:rPr>
        <w:t>If:</w:t>
      </w:r>
      <w:bookmarkEnd w:id="442"/>
    </w:p>
    <w:p w14:paraId="381971B9" w14:textId="371724B6" w:rsidR="009B1A79" w:rsidRPr="000E5786" w:rsidRDefault="001F1C19" w:rsidP="00346A37">
      <w:pPr>
        <w:pStyle w:val="Heading3"/>
      </w:pPr>
      <w:bookmarkStart w:id="443" w:name="_Ref53585051"/>
      <w:proofErr w:type="spellStart"/>
      <w:r>
        <w:t>Netlink</w:t>
      </w:r>
      <w:proofErr w:type="spellEnd"/>
      <w:r>
        <w:t xml:space="preserve"> Star</w:t>
      </w:r>
      <w:r w:rsidR="0048699F" w:rsidRPr="000E5786">
        <w:t xml:space="preserve"> has not notified the Supplier that it objects to the proposed Subcontractor’s appointment by the later of ten </w:t>
      </w:r>
      <w:bookmarkStart w:id="444" w:name="DocXTextRef163"/>
      <w:r w:rsidR="0048699F" w:rsidRPr="000E5786">
        <w:t>(10)</w:t>
      </w:r>
      <w:bookmarkEnd w:id="444"/>
      <w:r w:rsidR="0048699F" w:rsidRPr="000E5786">
        <w:t xml:space="preserve"> Working Days of receipt of:</w:t>
      </w:r>
      <w:bookmarkEnd w:id="443"/>
      <w:r w:rsidR="0048699F" w:rsidRPr="000E5786">
        <w:t xml:space="preserve"> </w:t>
      </w:r>
    </w:p>
    <w:p w14:paraId="1212E598" w14:textId="37239C9E" w:rsidR="0048699F" w:rsidRPr="000E5786" w:rsidRDefault="0048699F" w:rsidP="00834C1A">
      <w:pPr>
        <w:pStyle w:val="Heading4"/>
        <w:tabs>
          <w:tab w:val="clear" w:pos="1702"/>
          <w:tab w:val="num" w:pos="2552"/>
        </w:tabs>
        <w:spacing w:after="120"/>
        <w:ind w:left="2410"/>
        <w:rPr>
          <w:rFonts w:cs="Arial"/>
          <w:szCs w:val="20"/>
        </w:rPr>
      </w:pPr>
      <w:bookmarkStart w:id="445" w:name="_Ref53585052"/>
      <w:r w:rsidRPr="000E5786">
        <w:rPr>
          <w:rFonts w:cs="Arial"/>
          <w:szCs w:val="20"/>
        </w:rPr>
        <w:t xml:space="preserve">the Supplier’s notice issued pursuant to clause </w:t>
      </w:r>
      <w:r w:rsidR="00772A38" w:rsidRPr="000E5786">
        <w:rPr>
          <w:rFonts w:cs="Arial"/>
          <w:szCs w:val="20"/>
        </w:rPr>
        <w:fldChar w:fldCharType="begin"/>
      </w:r>
      <w:r w:rsidR="00772A38" w:rsidRPr="000E5786">
        <w:rPr>
          <w:rFonts w:cs="Arial"/>
          <w:szCs w:val="20"/>
        </w:rPr>
        <w:instrText xml:space="preserve">  REF _Ref53585034 \w \h \* MERGEFORMAT </w:instrText>
      </w:r>
      <w:r w:rsidR="00772A38" w:rsidRPr="000E5786">
        <w:rPr>
          <w:rFonts w:cs="Arial"/>
          <w:szCs w:val="20"/>
        </w:rPr>
      </w:r>
      <w:r w:rsidR="00772A38" w:rsidRPr="000E5786">
        <w:rPr>
          <w:rFonts w:cs="Arial"/>
          <w:szCs w:val="20"/>
        </w:rPr>
        <w:fldChar w:fldCharType="separate"/>
      </w:r>
      <w:r w:rsidR="002523A8" w:rsidRPr="000E5786">
        <w:rPr>
          <w:rFonts w:cs="Arial"/>
          <w:szCs w:val="20"/>
        </w:rPr>
        <w:t>17.1</w:t>
      </w:r>
      <w:r w:rsidR="00772A38" w:rsidRPr="000E5786">
        <w:rPr>
          <w:rFonts w:cs="Arial"/>
          <w:szCs w:val="20"/>
        </w:rPr>
        <w:fldChar w:fldCharType="end"/>
      </w:r>
      <w:r w:rsidRPr="000E5786">
        <w:rPr>
          <w:rFonts w:cs="Arial"/>
          <w:szCs w:val="20"/>
        </w:rPr>
        <w:t>; and</w:t>
      </w:r>
      <w:bookmarkEnd w:id="445"/>
    </w:p>
    <w:p w14:paraId="79FEB0B6" w14:textId="01002F51" w:rsidR="0048699F" w:rsidRPr="000E5786" w:rsidRDefault="0048699F" w:rsidP="00834C1A">
      <w:pPr>
        <w:pStyle w:val="Heading4"/>
        <w:tabs>
          <w:tab w:val="clear" w:pos="1702"/>
          <w:tab w:val="num" w:pos="2552"/>
        </w:tabs>
        <w:spacing w:after="120"/>
        <w:ind w:left="2410"/>
        <w:rPr>
          <w:rFonts w:cs="Arial"/>
          <w:szCs w:val="20"/>
        </w:rPr>
      </w:pPr>
      <w:bookmarkStart w:id="446" w:name="_Ref53585053"/>
      <w:r w:rsidRPr="000E5786">
        <w:rPr>
          <w:rFonts w:cs="Arial"/>
          <w:szCs w:val="20"/>
        </w:rPr>
        <w:t xml:space="preserve">any further information requested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pursuant to clause </w:t>
      </w:r>
      <w:r w:rsidR="00772A38" w:rsidRPr="000E5786">
        <w:rPr>
          <w:rFonts w:cs="Arial"/>
          <w:szCs w:val="20"/>
        </w:rPr>
        <w:fldChar w:fldCharType="begin"/>
      </w:r>
      <w:r w:rsidR="00772A38" w:rsidRPr="000E5786">
        <w:rPr>
          <w:rFonts w:cs="Arial"/>
          <w:szCs w:val="20"/>
        </w:rPr>
        <w:instrText xml:space="preserve">  REF _Ref53585042 \w \h \* MERGEFORMAT </w:instrText>
      </w:r>
      <w:r w:rsidR="00772A38" w:rsidRPr="000E5786">
        <w:rPr>
          <w:rFonts w:cs="Arial"/>
          <w:szCs w:val="20"/>
        </w:rPr>
      </w:r>
      <w:r w:rsidR="00772A38" w:rsidRPr="000E5786">
        <w:rPr>
          <w:rFonts w:cs="Arial"/>
          <w:szCs w:val="20"/>
        </w:rPr>
        <w:fldChar w:fldCharType="separate"/>
      </w:r>
      <w:r w:rsidR="002523A8" w:rsidRPr="000E5786">
        <w:rPr>
          <w:rFonts w:cs="Arial"/>
          <w:szCs w:val="20"/>
        </w:rPr>
        <w:t>17.3</w:t>
      </w:r>
      <w:r w:rsidR="00772A38" w:rsidRPr="000E5786">
        <w:rPr>
          <w:rFonts w:cs="Arial"/>
          <w:szCs w:val="20"/>
        </w:rPr>
        <w:fldChar w:fldCharType="end"/>
      </w:r>
      <w:r w:rsidRPr="000E5786">
        <w:rPr>
          <w:rFonts w:cs="Arial"/>
          <w:szCs w:val="20"/>
        </w:rPr>
        <w:t>; and</w:t>
      </w:r>
      <w:bookmarkEnd w:id="446"/>
    </w:p>
    <w:p w14:paraId="3ACE34AC" w14:textId="1CA12DFE" w:rsidR="0048699F" w:rsidRPr="000E5786" w:rsidRDefault="0048699F" w:rsidP="00346A37">
      <w:pPr>
        <w:pStyle w:val="Heading3"/>
      </w:pPr>
      <w:bookmarkStart w:id="447" w:name="_Ref53585054"/>
      <w:r w:rsidRPr="000E5786">
        <w:t xml:space="preserve">the proposed Sub-contract is not a Key Sub-contract (which shall require the written consent of </w:t>
      </w:r>
      <w:proofErr w:type="spellStart"/>
      <w:r w:rsidR="001F1C19">
        <w:t>Netlink</w:t>
      </w:r>
      <w:proofErr w:type="spellEnd"/>
      <w:r w:rsidR="001F1C19">
        <w:t xml:space="preserve"> Star</w:t>
      </w:r>
      <w:r w:rsidRPr="000E5786">
        <w:t xml:space="preserve"> in accordance with clause </w:t>
      </w:r>
      <w:r w:rsidR="00772A38" w:rsidRPr="000E5786">
        <w:fldChar w:fldCharType="begin"/>
      </w:r>
      <w:r w:rsidR="00772A38" w:rsidRPr="000E5786">
        <w:instrText xml:space="preserve">  REF _Ref53585055 \w \h \* MERGEFORMAT </w:instrText>
      </w:r>
      <w:r w:rsidR="00772A38" w:rsidRPr="000E5786">
        <w:fldChar w:fldCharType="separate"/>
      </w:r>
      <w:r w:rsidR="002523A8" w:rsidRPr="000E5786">
        <w:t>17.6</w:t>
      </w:r>
      <w:r w:rsidR="00772A38" w:rsidRPr="000E5786">
        <w:fldChar w:fldCharType="end"/>
      </w:r>
      <w:r w:rsidRPr="000E5786">
        <w:t xml:space="preserve"> (Appointment of Key Sub-contractors),</w:t>
      </w:r>
      <w:bookmarkEnd w:id="447"/>
    </w:p>
    <w:p w14:paraId="13C77C62" w14:textId="11BAA598" w:rsidR="0048699F" w:rsidRPr="000E5786" w:rsidRDefault="0048699F" w:rsidP="00834C1A">
      <w:pPr>
        <w:pStyle w:val="BodyText2"/>
        <w:spacing w:after="120"/>
        <w:ind w:firstLine="0"/>
        <w:rPr>
          <w:rFonts w:cs="Arial"/>
          <w:szCs w:val="20"/>
        </w:rPr>
      </w:pPr>
      <w:r w:rsidRPr="000E5786">
        <w:rPr>
          <w:rFonts w:cs="Arial"/>
          <w:szCs w:val="20"/>
        </w:rPr>
        <w:t>the Supplier may proceed with the proposed appointment.</w:t>
      </w:r>
    </w:p>
    <w:p w14:paraId="66FB8388" w14:textId="1AAFD0EC" w:rsidR="0048699F" w:rsidRPr="000E5786" w:rsidRDefault="0048699F" w:rsidP="00CE5734">
      <w:pPr>
        <w:pStyle w:val="BodyText"/>
        <w:spacing w:after="120"/>
        <w:ind w:left="709" w:firstLine="0"/>
        <w:rPr>
          <w:rFonts w:cs="Arial"/>
          <w:szCs w:val="20"/>
          <w:u w:val="single"/>
        </w:rPr>
      </w:pPr>
      <w:r w:rsidRPr="000E5786">
        <w:rPr>
          <w:rFonts w:cs="Arial"/>
          <w:szCs w:val="20"/>
          <w:u w:val="single"/>
        </w:rPr>
        <w:t>Appointment of Key Sub-contractors</w:t>
      </w:r>
    </w:p>
    <w:p w14:paraId="59F1E0A1" w14:textId="58661360" w:rsidR="0048699F" w:rsidRPr="000E5786" w:rsidRDefault="0048699F" w:rsidP="00DD60F0">
      <w:pPr>
        <w:pStyle w:val="Heading2"/>
        <w:spacing w:after="120"/>
        <w:rPr>
          <w:rFonts w:cs="Arial"/>
          <w:szCs w:val="20"/>
        </w:rPr>
      </w:pPr>
      <w:bookmarkStart w:id="448" w:name="_Ref53585055"/>
      <w:r w:rsidRPr="000E5786">
        <w:rPr>
          <w:rFonts w:cs="Arial"/>
          <w:szCs w:val="20"/>
        </w:rPr>
        <w:t xml:space="preserve">Where the Supplier wishes to </w:t>
      </w:r>
      <w:proofErr w:type="gramStart"/>
      <w:r w:rsidRPr="000E5786">
        <w:rPr>
          <w:rFonts w:cs="Arial"/>
          <w:szCs w:val="20"/>
        </w:rPr>
        <w:t>enter into</w:t>
      </w:r>
      <w:proofErr w:type="gramEnd"/>
      <w:r w:rsidRPr="000E5786">
        <w:rPr>
          <w:rFonts w:cs="Arial"/>
          <w:szCs w:val="20"/>
        </w:rPr>
        <w:t xml:space="preserve"> a Key Sub-contract or replace a Key Sub-contractor, it must obtain the prior written consent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such consent not to be unreasonably withheld or delayed.</w:t>
      </w:r>
      <w:r w:rsidR="000578A4" w:rsidRPr="000E5786">
        <w:rPr>
          <w:rFonts w:cs="Arial"/>
          <w:szCs w:val="20"/>
        </w:rPr>
        <w:t xml:space="preserve"> </w:t>
      </w:r>
      <w:r w:rsidRPr="000E5786">
        <w:rPr>
          <w:rFonts w:cs="Arial"/>
          <w:szCs w:val="20"/>
        </w:rPr>
        <w:t xml:space="preserve">For these purposes,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withhold its consent to the appointment of a Key Sub-contractor if it reasonably considers that:</w:t>
      </w:r>
      <w:bookmarkEnd w:id="448"/>
    </w:p>
    <w:p w14:paraId="2F4373BB" w14:textId="76E40CA7" w:rsidR="0048699F" w:rsidRPr="000E5786" w:rsidRDefault="0048699F" w:rsidP="00346A37">
      <w:pPr>
        <w:pStyle w:val="Heading3"/>
      </w:pPr>
      <w:bookmarkStart w:id="449" w:name="_Ref53585056"/>
      <w:r w:rsidRPr="000E5786">
        <w:t xml:space="preserve">the appointment of a proposed Key Sub-contractor may prejudice the provision of the Services or may be contrary to the interests of </w:t>
      </w:r>
      <w:proofErr w:type="spellStart"/>
      <w:r w:rsidR="001F1C19">
        <w:t>Netlink</w:t>
      </w:r>
      <w:proofErr w:type="spellEnd"/>
      <w:r w:rsidR="001F1C19">
        <w:t xml:space="preserve"> </w:t>
      </w:r>
      <w:proofErr w:type="gramStart"/>
      <w:r w:rsidR="001F1C19">
        <w:t>Star</w:t>
      </w:r>
      <w:r w:rsidRPr="000E5786">
        <w:t>;</w:t>
      </w:r>
      <w:bookmarkEnd w:id="449"/>
      <w:proofErr w:type="gramEnd"/>
    </w:p>
    <w:p w14:paraId="49BB8E59" w14:textId="406EC8AE" w:rsidR="0048699F" w:rsidRPr="000E5786" w:rsidRDefault="0048699F" w:rsidP="00346A37">
      <w:pPr>
        <w:pStyle w:val="Heading3"/>
      </w:pPr>
      <w:bookmarkStart w:id="450" w:name="_Ref53585057"/>
      <w:r w:rsidRPr="000E5786">
        <w:t>the proposed Key Sub-contractor is unreliable and/or has not provided reasonable services to its other customers; and/or</w:t>
      </w:r>
      <w:bookmarkEnd w:id="450"/>
    </w:p>
    <w:p w14:paraId="3B50B5C3" w14:textId="16DCAAF0" w:rsidR="0048699F" w:rsidRPr="000E5786" w:rsidRDefault="0048699F" w:rsidP="00346A37">
      <w:pPr>
        <w:pStyle w:val="Heading3"/>
      </w:pPr>
      <w:bookmarkStart w:id="451" w:name="_Ref53585058"/>
      <w:r w:rsidRPr="000E5786">
        <w:t>the proposed Key Sub-contractor employs unfit persons.</w:t>
      </w:r>
      <w:bookmarkEnd w:id="451"/>
    </w:p>
    <w:p w14:paraId="2259D3FB" w14:textId="11919215" w:rsidR="0048699F" w:rsidRPr="000E5786" w:rsidRDefault="001F1C19" w:rsidP="00DD60F0">
      <w:pPr>
        <w:pStyle w:val="Heading2"/>
        <w:spacing w:after="120"/>
        <w:rPr>
          <w:rFonts w:cs="Arial"/>
          <w:szCs w:val="20"/>
        </w:rPr>
      </w:pPr>
      <w:bookmarkStart w:id="452" w:name="_Ref53585059"/>
      <w:proofErr w:type="spellStart"/>
      <w:r>
        <w:rPr>
          <w:rFonts w:cs="Arial"/>
          <w:szCs w:val="20"/>
        </w:rPr>
        <w:t>Netlink</w:t>
      </w:r>
      <w:proofErr w:type="spellEnd"/>
      <w:r>
        <w:rPr>
          <w:rFonts w:cs="Arial"/>
          <w:szCs w:val="20"/>
        </w:rPr>
        <w:t xml:space="preserve"> Star</w:t>
      </w:r>
      <w:r w:rsidR="0048699F" w:rsidRPr="000E5786">
        <w:rPr>
          <w:rFonts w:cs="Arial"/>
          <w:szCs w:val="20"/>
        </w:rPr>
        <w:t xml:space="preserve"> consents to the appointment of the Key Sub-contractors listed in </w:t>
      </w:r>
      <w:bookmarkStart w:id="453" w:name="DocXTextRef168"/>
      <w:r w:rsidR="0048699F" w:rsidRPr="000E5786">
        <w:rPr>
          <w:rFonts w:cs="Arial"/>
          <w:szCs w:val="20"/>
        </w:rPr>
        <w:t>Schedule 4.3</w:t>
      </w:r>
      <w:bookmarkEnd w:id="453"/>
      <w:r w:rsidR="0048699F" w:rsidRPr="000E5786">
        <w:rPr>
          <w:rFonts w:cs="Arial"/>
          <w:szCs w:val="20"/>
        </w:rPr>
        <w:t xml:space="preserve"> (Notified Key Sub-contractors</w:t>
      </w:r>
      <w:r w:rsidR="0048699F" w:rsidRPr="000E5786">
        <w:rPr>
          <w:rFonts w:cs="Arial"/>
          <w:i/>
          <w:szCs w:val="20"/>
        </w:rPr>
        <w:t>)</w:t>
      </w:r>
      <w:r w:rsidR="0048699F" w:rsidRPr="000E5786">
        <w:rPr>
          <w:rFonts w:cs="Arial"/>
          <w:szCs w:val="20"/>
        </w:rPr>
        <w:t>.</w:t>
      </w:r>
      <w:bookmarkEnd w:id="452"/>
    </w:p>
    <w:p w14:paraId="6B260B5D" w14:textId="25C95BB1" w:rsidR="0048699F" w:rsidRPr="000E5786" w:rsidRDefault="0048699F" w:rsidP="00DD60F0">
      <w:pPr>
        <w:pStyle w:val="Heading2"/>
        <w:spacing w:after="120"/>
        <w:rPr>
          <w:rFonts w:cs="Arial"/>
          <w:szCs w:val="20"/>
        </w:rPr>
      </w:pPr>
      <w:bookmarkStart w:id="454" w:name="_Ref53585060"/>
      <w:r w:rsidRPr="000E5786">
        <w:rPr>
          <w:rFonts w:cs="Arial"/>
          <w:szCs w:val="20"/>
        </w:rPr>
        <w:t xml:space="preserve">Except where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has given its prior written consent, the Supplier shall ensure that each Key Sub-contract shall include:</w:t>
      </w:r>
      <w:bookmarkEnd w:id="454"/>
    </w:p>
    <w:p w14:paraId="2D8EDE0E" w14:textId="3BBFDE91" w:rsidR="0048699F" w:rsidRPr="000E5786" w:rsidRDefault="0048699F" w:rsidP="00346A37">
      <w:pPr>
        <w:pStyle w:val="Heading3"/>
      </w:pPr>
      <w:bookmarkStart w:id="455" w:name="_Ref53585061"/>
      <w:r w:rsidRPr="000E5786">
        <w:lastRenderedPageBreak/>
        <w:t xml:space="preserve">provisions which will enable the Supplier to discharge its obligations under this </w:t>
      </w:r>
      <w:proofErr w:type="gramStart"/>
      <w:r w:rsidRPr="000E5786">
        <w:t>Agreement;</w:t>
      </w:r>
      <w:bookmarkEnd w:id="455"/>
      <w:proofErr w:type="gramEnd"/>
    </w:p>
    <w:p w14:paraId="5CE98EE2" w14:textId="2261C3FD" w:rsidR="0048699F" w:rsidRPr="000E5786" w:rsidRDefault="0048699F" w:rsidP="00346A37">
      <w:pPr>
        <w:pStyle w:val="Heading3"/>
      </w:pPr>
      <w:bookmarkStart w:id="456" w:name="_Ref53585062"/>
      <w:r w:rsidRPr="000E5786">
        <w:t xml:space="preserve">a right under CRTPA for </w:t>
      </w:r>
      <w:proofErr w:type="spellStart"/>
      <w:r w:rsidR="001F1C19">
        <w:t>Netlink</w:t>
      </w:r>
      <w:proofErr w:type="spellEnd"/>
      <w:r w:rsidR="001F1C19">
        <w:t xml:space="preserve"> Star</w:t>
      </w:r>
      <w:r w:rsidRPr="000E5786">
        <w:t xml:space="preserve"> to enforce any provisions under the Key Sub-contract which are capable of conferring a benefit upon </w:t>
      </w:r>
      <w:proofErr w:type="spellStart"/>
      <w:r w:rsidR="001F1C19">
        <w:t>Netlink</w:t>
      </w:r>
      <w:proofErr w:type="spellEnd"/>
      <w:r w:rsidR="001F1C19">
        <w:t xml:space="preserve"> </w:t>
      </w:r>
      <w:proofErr w:type="gramStart"/>
      <w:r w:rsidR="001F1C19">
        <w:t>Star</w:t>
      </w:r>
      <w:r w:rsidRPr="000E5786">
        <w:t>;</w:t>
      </w:r>
      <w:bookmarkEnd w:id="456"/>
      <w:proofErr w:type="gramEnd"/>
    </w:p>
    <w:p w14:paraId="071B5F1A" w14:textId="01544C9E" w:rsidR="0048699F" w:rsidRPr="000E5786" w:rsidRDefault="0048699F" w:rsidP="00346A37">
      <w:pPr>
        <w:pStyle w:val="Heading3"/>
      </w:pPr>
      <w:bookmarkStart w:id="457" w:name="_Ref53585063"/>
      <w:r w:rsidRPr="000E5786">
        <w:t xml:space="preserve">a provision enabling </w:t>
      </w:r>
      <w:proofErr w:type="spellStart"/>
      <w:r w:rsidR="001F1C19">
        <w:t>Netlink</w:t>
      </w:r>
      <w:proofErr w:type="spellEnd"/>
      <w:r w:rsidR="001F1C19">
        <w:t xml:space="preserve"> Star</w:t>
      </w:r>
      <w:r w:rsidRPr="000E5786">
        <w:t xml:space="preserve"> to enforce the Key Sub-contract as if it were the </w:t>
      </w:r>
      <w:proofErr w:type="gramStart"/>
      <w:r w:rsidRPr="000E5786">
        <w:t>Supplier;</w:t>
      </w:r>
      <w:bookmarkEnd w:id="457"/>
      <w:proofErr w:type="gramEnd"/>
    </w:p>
    <w:p w14:paraId="401C2A9B" w14:textId="46AD6880" w:rsidR="0048699F" w:rsidRPr="000E5786" w:rsidRDefault="00905B46" w:rsidP="00346A37">
      <w:pPr>
        <w:pStyle w:val="Heading3"/>
      </w:pPr>
      <w:bookmarkStart w:id="458" w:name="_Ref53585064"/>
      <w:r w:rsidRPr="00C0214D">
        <w:t xml:space="preserve">in the case of a Key Sub-contract with a New Sub-contractor, </w:t>
      </w:r>
      <w:r w:rsidR="0048699F" w:rsidRPr="000E5786">
        <w:t xml:space="preserve">a provision enabling the Supplier to assign, novate or otherwise transfer any of its rights and/or obligations under the Key Sub-contract to </w:t>
      </w:r>
      <w:proofErr w:type="spellStart"/>
      <w:r w:rsidR="001F1C19">
        <w:t>Netlink</w:t>
      </w:r>
      <w:proofErr w:type="spellEnd"/>
      <w:r w:rsidR="001F1C19">
        <w:t xml:space="preserve"> Star</w:t>
      </w:r>
      <w:r w:rsidR="0048699F" w:rsidRPr="000E5786">
        <w:t xml:space="preserve"> or any Replacement Supplier without restriction (including any need to obtain any consent or approval) or payment by </w:t>
      </w:r>
      <w:proofErr w:type="spellStart"/>
      <w:r w:rsidR="001F1C19">
        <w:t>Netlink</w:t>
      </w:r>
      <w:proofErr w:type="spellEnd"/>
      <w:r w:rsidR="001F1C19">
        <w:t xml:space="preserve"> </w:t>
      </w:r>
      <w:proofErr w:type="gramStart"/>
      <w:r w:rsidR="001F1C19">
        <w:t>Star</w:t>
      </w:r>
      <w:r w:rsidR="0048699F" w:rsidRPr="000E5786">
        <w:t>;</w:t>
      </w:r>
      <w:bookmarkEnd w:id="458"/>
      <w:proofErr w:type="gramEnd"/>
    </w:p>
    <w:p w14:paraId="139B6510" w14:textId="17A005A5" w:rsidR="0048699F" w:rsidRPr="000E5786" w:rsidRDefault="0048699F" w:rsidP="00346A37">
      <w:pPr>
        <w:pStyle w:val="Heading3"/>
      </w:pPr>
      <w:bookmarkStart w:id="459" w:name="_Ref53585065"/>
      <w:r w:rsidRPr="000E5786">
        <w:t>obligations no less onerous on the Key Sub-contractor than those imposed on the Supplier under this Agreement in respect of:</w:t>
      </w:r>
      <w:bookmarkEnd w:id="459"/>
    </w:p>
    <w:p w14:paraId="4B80C7BE" w14:textId="618C0542" w:rsidR="0048699F" w:rsidRPr="000E5786" w:rsidRDefault="0048699F" w:rsidP="00834C1A">
      <w:pPr>
        <w:pStyle w:val="Heading4"/>
        <w:tabs>
          <w:tab w:val="clear" w:pos="1702"/>
          <w:tab w:val="num" w:pos="2552"/>
        </w:tabs>
        <w:spacing w:after="120"/>
        <w:ind w:left="2410"/>
        <w:rPr>
          <w:rFonts w:cs="Arial"/>
          <w:szCs w:val="20"/>
        </w:rPr>
      </w:pPr>
      <w:bookmarkStart w:id="460" w:name="_Ref53585066"/>
      <w:r w:rsidRPr="000E5786">
        <w:rPr>
          <w:rFonts w:cs="Arial"/>
          <w:szCs w:val="20"/>
        </w:rPr>
        <w:t xml:space="preserve">data protection requirements set out in clauses </w:t>
      </w:r>
      <w:r w:rsidR="00772A38" w:rsidRPr="000E5786">
        <w:rPr>
          <w:rFonts w:cs="Arial"/>
          <w:szCs w:val="20"/>
        </w:rPr>
        <w:fldChar w:fldCharType="begin"/>
      </w:r>
      <w:r w:rsidR="00772A38" w:rsidRPr="000E5786">
        <w:rPr>
          <w:rFonts w:cs="Arial"/>
          <w:szCs w:val="20"/>
        </w:rPr>
        <w:instrText xml:space="preserve">  REF _Ref53585721 \w \h \* MERGEFORMAT </w:instrText>
      </w:r>
      <w:r w:rsidR="00772A38" w:rsidRPr="000E5786">
        <w:rPr>
          <w:rFonts w:cs="Arial"/>
          <w:szCs w:val="20"/>
        </w:rPr>
      </w:r>
      <w:r w:rsidR="00772A38" w:rsidRPr="000E5786">
        <w:rPr>
          <w:rFonts w:cs="Arial"/>
          <w:szCs w:val="20"/>
        </w:rPr>
        <w:fldChar w:fldCharType="separate"/>
      </w:r>
      <w:r w:rsidR="002523A8" w:rsidRPr="000E5786">
        <w:rPr>
          <w:rFonts w:cs="Arial"/>
          <w:szCs w:val="20"/>
        </w:rPr>
        <w:t>23</w:t>
      </w:r>
      <w:r w:rsidR="00772A38" w:rsidRPr="000E5786">
        <w:rPr>
          <w:rFonts w:cs="Arial"/>
          <w:szCs w:val="20"/>
        </w:rPr>
        <w:fldChar w:fldCharType="end"/>
      </w:r>
      <w:r w:rsidRPr="000E5786">
        <w:rPr>
          <w:rFonts w:cs="Arial"/>
          <w:szCs w:val="20"/>
        </w:rPr>
        <w:t xml:space="preserv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Data and Security Requirements) and </w:t>
      </w:r>
      <w:r w:rsidR="00772A38" w:rsidRPr="000E5786">
        <w:rPr>
          <w:rFonts w:cs="Arial"/>
          <w:szCs w:val="20"/>
        </w:rPr>
        <w:fldChar w:fldCharType="begin"/>
      </w:r>
      <w:r w:rsidR="00772A38" w:rsidRPr="000E5786">
        <w:rPr>
          <w:rFonts w:cs="Arial"/>
          <w:szCs w:val="20"/>
        </w:rPr>
        <w:instrText xml:space="preserve">  REF _Ref53585724 \w \h \* MERGEFORMAT </w:instrText>
      </w:r>
      <w:r w:rsidR="00772A38" w:rsidRPr="000E5786">
        <w:rPr>
          <w:rFonts w:cs="Arial"/>
          <w:szCs w:val="20"/>
        </w:rPr>
      </w:r>
      <w:r w:rsidR="00772A38" w:rsidRPr="000E5786">
        <w:rPr>
          <w:rFonts w:cs="Arial"/>
          <w:szCs w:val="20"/>
        </w:rPr>
        <w:fldChar w:fldCharType="separate"/>
      </w:r>
      <w:r w:rsidR="002523A8" w:rsidRPr="000E5786">
        <w:rPr>
          <w:rFonts w:cs="Arial"/>
          <w:szCs w:val="20"/>
        </w:rPr>
        <w:t>26</w:t>
      </w:r>
      <w:r w:rsidR="00772A38" w:rsidRPr="000E5786">
        <w:rPr>
          <w:rFonts w:cs="Arial"/>
          <w:szCs w:val="20"/>
        </w:rPr>
        <w:fldChar w:fldCharType="end"/>
      </w:r>
      <w:r w:rsidRPr="000E5786">
        <w:rPr>
          <w:rFonts w:cs="Arial"/>
          <w:szCs w:val="20"/>
        </w:rPr>
        <w:t xml:space="preserve"> (Protection of Personal Data);</w:t>
      </w:r>
      <w:bookmarkEnd w:id="460"/>
    </w:p>
    <w:p w14:paraId="267B8EF4" w14:textId="1345B81D" w:rsidR="0048699F" w:rsidRPr="000E5786" w:rsidRDefault="0048699F" w:rsidP="00834C1A">
      <w:pPr>
        <w:pStyle w:val="Heading4"/>
        <w:tabs>
          <w:tab w:val="clear" w:pos="1702"/>
          <w:tab w:val="num" w:pos="2552"/>
        </w:tabs>
        <w:spacing w:after="120"/>
        <w:ind w:left="2410"/>
        <w:rPr>
          <w:rFonts w:cs="Arial"/>
          <w:szCs w:val="20"/>
        </w:rPr>
      </w:pPr>
      <w:bookmarkStart w:id="461" w:name="_Ref53585067"/>
      <w:r w:rsidRPr="000E5786">
        <w:rPr>
          <w:rFonts w:cs="Arial"/>
          <w:szCs w:val="20"/>
        </w:rPr>
        <w:t xml:space="preserve">FOIA requirements set out in clause </w:t>
      </w:r>
      <w:r w:rsidR="00772A38" w:rsidRPr="000E5786">
        <w:rPr>
          <w:rFonts w:cs="Arial"/>
          <w:szCs w:val="20"/>
        </w:rPr>
        <w:fldChar w:fldCharType="begin"/>
      </w:r>
      <w:r w:rsidR="00772A38" w:rsidRPr="000E5786">
        <w:rPr>
          <w:rFonts w:cs="Arial"/>
          <w:szCs w:val="20"/>
        </w:rPr>
        <w:instrText xml:space="preserve">  REF _Ref53585723 \w \h \* MERGEFORMAT </w:instrText>
      </w:r>
      <w:r w:rsidR="00772A38" w:rsidRPr="000E5786">
        <w:rPr>
          <w:rFonts w:cs="Arial"/>
          <w:szCs w:val="20"/>
        </w:rPr>
      </w:r>
      <w:r w:rsidR="00772A38" w:rsidRPr="000E5786">
        <w:rPr>
          <w:rFonts w:cs="Arial"/>
          <w:szCs w:val="20"/>
        </w:rPr>
        <w:fldChar w:fldCharType="separate"/>
      </w:r>
      <w:r w:rsidR="002523A8" w:rsidRPr="000E5786">
        <w:rPr>
          <w:rFonts w:cs="Arial"/>
          <w:szCs w:val="20"/>
        </w:rPr>
        <w:t>25</w:t>
      </w:r>
      <w:r w:rsidR="00772A38" w:rsidRPr="000E5786">
        <w:rPr>
          <w:rFonts w:cs="Arial"/>
          <w:szCs w:val="20"/>
        </w:rPr>
        <w:fldChar w:fldCharType="end"/>
      </w:r>
      <w:r w:rsidRPr="000E5786">
        <w:rPr>
          <w:rFonts w:cs="Arial"/>
          <w:szCs w:val="20"/>
        </w:rPr>
        <w:t xml:space="preserve"> (Freedom of Information</w:t>
      </w:r>
      <w:proofErr w:type="gramStart"/>
      <w:r w:rsidRPr="000E5786">
        <w:rPr>
          <w:rFonts w:cs="Arial"/>
          <w:szCs w:val="20"/>
        </w:rPr>
        <w:t>);</w:t>
      </w:r>
      <w:bookmarkEnd w:id="461"/>
      <w:proofErr w:type="gramEnd"/>
    </w:p>
    <w:p w14:paraId="6D27F2B1" w14:textId="5785D0E5" w:rsidR="0048699F" w:rsidRPr="000E5786" w:rsidRDefault="0048699F" w:rsidP="00834C1A">
      <w:pPr>
        <w:pStyle w:val="Heading4"/>
        <w:tabs>
          <w:tab w:val="clear" w:pos="1702"/>
          <w:tab w:val="num" w:pos="2552"/>
        </w:tabs>
        <w:spacing w:after="120"/>
        <w:ind w:left="2410"/>
        <w:rPr>
          <w:rFonts w:cs="Arial"/>
          <w:szCs w:val="20"/>
        </w:rPr>
      </w:pPr>
      <w:bookmarkStart w:id="462" w:name="_Ref53585068"/>
      <w:r w:rsidRPr="000E5786">
        <w:rPr>
          <w:rFonts w:cs="Arial"/>
          <w:szCs w:val="20"/>
        </w:rPr>
        <w:t xml:space="preserve">the obligation not to embarrass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or otherwise bring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into disrepute set out in clause </w:t>
      </w:r>
      <w:r w:rsidR="009F2771" w:rsidRPr="000E5786">
        <w:rPr>
          <w:rFonts w:cs="Arial"/>
          <w:szCs w:val="20"/>
        </w:rPr>
        <w:fldChar w:fldCharType="begin"/>
      </w:r>
      <w:r w:rsidR="009F2771" w:rsidRPr="000E5786">
        <w:rPr>
          <w:rFonts w:cs="Arial"/>
          <w:szCs w:val="20"/>
        </w:rPr>
        <w:instrText xml:space="preserve">  REF _Ref53584818 \w \h \* MERGEFORMAT </w:instrText>
      </w:r>
      <w:r w:rsidR="009F2771" w:rsidRPr="000E5786">
        <w:rPr>
          <w:rFonts w:cs="Arial"/>
          <w:szCs w:val="20"/>
        </w:rPr>
      </w:r>
      <w:r w:rsidR="009F2771" w:rsidRPr="000E5786">
        <w:rPr>
          <w:rFonts w:cs="Arial"/>
          <w:szCs w:val="20"/>
        </w:rPr>
        <w:fldChar w:fldCharType="separate"/>
      </w:r>
      <w:r w:rsidR="002523A8" w:rsidRPr="000E5786">
        <w:rPr>
          <w:rFonts w:cs="Arial"/>
          <w:szCs w:val="20"/>
        </w:rPr>
        <w:t>5.5.14</w:t>
      </w:r>
      <w:r w:rsidR="009F2771" w:rsidRPr="000E5786">
        <w:rPr>
          <w:rFonts w:cs="Arial"/>
          <w:szCs w:val="20"/>
        </w:rPr>
        <w:fldChar w:fldCharType="end"/>
      </w:r>
      <w:r w:rsidRPr="000E5786">
        <w:rPr>
          <w:rFonts w:cs="Arial"/>
          <w:szCs w:val="20"/>
        </w:rPr>
        <w:t xml:space="preserve"> (Services</w:t>
      </w:r>
      <w:proofErr w:type="gramStart"/>
      <w:r w:rsidRPr="000E5786">
        <w:rPr>
          <w:rFonts w:cs="Arial"/>
          <w:szCs w:val="20"/>
        </w:rPr>
        <w:t>);</w:t>
      </w:r>
      <w:bookmarkEnd w:id="462"/>
      <w:proofErr w:type="gramEnd"/>
    </w:p>
    <w:p w14:paraId="30965827" w14:textId="0CD1255C" w:rsidR="0048699F" w:rsidRPr="000E5786" w:rsidRDefault="0048699F" w:rsidP="00834C1A">
      <w:pPr>
        <w:pStyle w:val="Heading4"/>
        <w:tabs>
          <w:tab w:val="clear" w:pos="1702"/>
          <w:tab w:val="num" w:pos="2552"/>
        </w:tabs>
        <w:spacing w:after="120"/>
        <w:ind w:left="2410"/>
        <w:rPr>
          <w:rFonts w:cs="Arial"/>
          <w:szCs w:val="20"/>
        </w:rPr>
      </w:pPr>
      <w:bookmarkStart w:id="463" w:name="_Ref53585069"/>
      <w:r w:rsidRPr="000E5786">
        <w:rPr>
          <w:rFonts w:cs="Arial"/>
          <w:szCs w:val="20"/>
        </w:rPr>
        <w:t>the keeping of records in respect of the services being provided under the Key Sub-contract; and</w:t>
      </w:r>
      <w:bookmarkEnd w:id="463"/>
    </w:p>
    <w:p w14:paraId="12C0A0B8" w14:textId="4E92E069" w:rsidR="0048699F" w:rsidRPr="000E5786" w:rsidRDefault="0048699F" w:rsidP="00834C1A">
      <w:pPr>
        <w:pStyle w:val="Heading4"/>
        <w:tabs>
          <w:tab w:val="clear" w:pos="1702"/>
          <w:tab w:val="num" w:pos="2552"/>
        </w:tabs>
        <w:spacing w:after="120"/>
        <w:ind w:left="2410"/>
        <w:rPr>
          <w:rFonts w:cs="Arial"/>
          <w:szCs w:val="20"/>
        </w:rPr>
      </w:pPr>
      <w:bookmarkStart w:id="464" w:name="_Ref53585070"/>
      <w:r w:rsidRPr="000E5786">
        <w:rPr>
          <w:rFonts w:cs="Arial"/>
          <w:szCs w:val="20"/>
        </w:rPr>
        <w:t xml:space="preserve">the conduct of Audits set out in </w:t>
      </w:r>
      <w:bookmarkStart w:id="465" w:name="DocXTextRef174"/>
      <w:r w:rsidRPr="000E5786">
        <w:rPr>
          <w:rFonts w:cs="Arial"/>
          <w:szCs w:val="20"/>
        </w:rPr>
        <w:t>Part C</w:t>
      </w:r>
      <w:bookmarkEnd w:id="465"/>
      <w:r w:rsidRPr="000E5786">
        <w:rPr>
          <w:rFonts w:cs="Arial"/>
          <w:szCs w:val="20"/>
        </w:rPr>
        <w:t xml:space="preserve"> of </w:t>
      </w:r>
      <w:bookmarkStart w:id="466" w:name="DocXTextRef173"/>
      <w:r w:rsidRPr="000E5786">
        <w:rPr>
          <w:rFonts w:cs="Arial"/>
          <w:szCs w:val="20"/>
        </w:rPr>
        <w:t>Schedule 7.</w:t>
      </w:r>
      <w:r w:rsidR="004E16EB">
        <w:rPr>
          <w:rFonts w:cs="Arial"/>
          <w:szCs w:val="20"/>
        </w:rPr>
        <w:t>6</w:t>
      </w:r>
      <w:bookmarkEnd w:id="466"/>
      <w:r w:rsidRPr="000E5786">
        <w:rPr>
          <w:rFonts w:cs="Arial"/>
          <w:szCs w:val="20"/>
        </w:rPr>
        <w:t xml:space="preserve"> (Financial Reports and Audit Rights</w:t>
      </w:r>
      <w:proofErr w:type="gramStart"/>
      <w:r w:rsidRPr="000E5786">
        <w:rPr>
          <w:rFonts w:cs="Arial"/>
          <w:szCs w:val="20"/>
        </w:rPr>
        <w:t>);</w:t>
      </w:r>
      <w:bookmarkEnd w:id="464"/>
      <w:proofErr w:type="gramEnd"/>
    </w:p>
    <w:p w14:paraId="02E27070" w14:textId="6925FF83" w:rsidR="0048699F" w:rsidRPr="000E5786" w:rsidRDefault="0048699F" w:rsidP="00346A37">
      <w:pPr>
        <w:pStyle w:val="Heading3"/>
      </w:pPr>
      <w:bookmarkStart w:id="467" w:name="_Ref53585071"/>
      <w:r w:rsidRPr="000E5786">
        <w:t xml:space="preserve">provisions enabling the Supplier to terminate the Key Sub-contract on notice on terms no more onerous on the Supplier than those imposed on </w:t>
      </w:r>
      <w:proofErr w:type="spellStart"/>
      <w:r w:rsidR="001F1C19">
        <w:t>Netlink</w:t>
      </w:r>
      <w:proofErr w:type="spellEnd"/>
      <w:r w:rsidR="001F1C19">
        <w:t xml:space="preserve"> Star</w:t>
      </w:r>
      <w:r w:rsidRPr="000E5786">
        <w:t xml:space="preserve"> under clauses </w:t>
      </w:r>
      <w:r w:rsidR="009F2771" w:rsidRPr="000E5786">
        <w:fldChar w:fldCharType="begin"/>
      </w:r>
      <w:r w:rsidR="009F2771" w:rsidRPr="000E5786">
        <w:instrText xml:space="preserve">  REF _Ref53585546 \w \h \* MERGEFORMAT </w:instrText>
      </w:r>
      <w:r w:rsidR="009F2771" w:rsidRPr="000E5786">
        <w:fldChar w:fldCharType="separate"/>
      </w:r>
      <w:r w:rsidR="002523A8" w:rsidRPr="000E5786">
        <w:t>36.1</w:t>
      </w:r>
      <w:r w:rsidR="009F2771" w:rsidRPr="000E5786">
        <w:fldChar w:fldCharType="end"/>
      </w:r>
      <w:r w:rsidRPr="000E5786">
        <w:t xml:space="preserve"> (Termination by </w:t>
      </w:r>
      <w:proofErr w:type="spellStart"/>
      <w:r w:rsidR="001F1C19">
        <w:t>Netlink</w:t>
      </w:r>
      <w:proofErr w:type="spellEnd"/>
      <w:r w:rsidR="001F1C19">
        <w:t xml:space="preserve"> Star</w:t>
      </w:r>
      <w:r w:rsidRPr="000E5786">
        <w:t xml:space="preserve">) and </w:t>
      </w:r>
      <w:r w:rsidR="009F2771" w:rsidRPr="000E5786">
        <w:fldChar w:fldCharType="begin"/>
      </w:r>
      <w:r w:rsidR="009F2771" w:rsidRPr="000E5786">
        <w:instrText xml:space="preserve">  REF _Ref53585571 \w \h \* MERGEFORMAT </w:instrText>
      </w:r>
      <w:r w:rsidR="009F2771" w:rsidRPr="000E5786">
        <w:fldChar w:fldCharType="separate"/>
      </w:r>
      <w:r w:rsidR="002523A8" w:rsidRPr="000E5786">
        <w:t>37.4</w:t>
      </w:r>
      <w:r w:rsidR="009F2771" w:rsidRPr="000E5786">
        <w:fldChar w:fldCharType="end"/>
      </w:r>
      <w:r w:rsidRPr="000E5786">
        <w:t xml:space="preserve"> (Payments by </w:t>
      </w:r>
      <w:proofErr w:type="spellStart"/>
      <w:r w:rsidR="001F1C19">
        <w:t>Netlink</w:t>
      </w:r>
      <w:proofErr w:type="spellEnd"/>
      <w:r w:rsidR="001F1C19">
        <w:t xml:space="preserve"> Star</w:t>
      </w:r>
      <w:r w:rsidRPr="000E5786">
        <w:t xml:space="preserve">) and </w:t>
      </w:r>
      <w:bookmarkStart w:id="468" w:name="DocXTextRef175"/>
      <w:r w:rsidR="00906CD3">
        <w:t xml:space="preserve">Clause </w:t>
      </w:r>
      <w:r w:rsidRPr="000E5786">
        <w:t xml:space="preserve"> </w:t>
      </w:r>
      <w:r w:rsidR="004E16EB" w:rsidRPr="00C0214D">
        <w:rPr>
          <w:rFonts w:eastAsia="Verdana"/>
        </w:rPr>
        <w:t xml:space="preserve">37(Consequences of Termination) </w:t>
      </w:r>
      <w:bookmarkEnd w:id="468"/>
      <w:r w:rsidRPr="000E5786">
        <w:t>of this Agreement;</w:t>
      </w:r>
      <w:bookmarkEnd w:id="467"/>
    </w:p>
    <w:p w14:paraId="5771447F" w14:textId="007FCCBE" w:rsidR="0048699F" w:rsidRPr="000E5786" w:rsidRDefault="0048699F" w:rsidP="00346A37">
      <w:pPr>
        <w:pStyle w:val="Heading3"/>
      </w:pPr>
      <w:bookmarkStart w:id="469" w:name="_Ref53585072"/>
      <w:r w:rsidRPr="000E5786">
        <w:t>a provision restricting the ability of the Key Sub-contractor to sub-contract all or</w:t>
      </w:r>
      <w:r w:rsidR="00484CE8" w:rsidRPr="000E5786">
        <w:t xml:space="preserve"> </w:t>
      </w:r>
      <w:r w:rsidRPr="000E5786">
        <w:t xml:space="preserve">any part of the services provided to the Supplier under the Key Sub-contract without first seeking the written consent of </w:t>
      </w:r>
      <w:proofErr w:type="spellStart"/>
      <w:r w:rsidR="001F1C19">
        <w:t>Netlink</w:t>
      </w:r>
      <w:proofErr w:type="spellEnd"/>
      <w:r w:rsidR="001F1C19">
        <w:t xml:space="preserve"> </w:t>
      </w:r>
      <w:proofErr w:type="gramStart"/>
      <w:r w:rsidR="001F1C19">
        <w:t>Star</w:t>
      </w:r>
      <w:r w:rsidRPr="000E5786">
        <w:t>;</w:t>
      </w:r>
      <w:bookmarkEnd w:id="469"/>
      <w:proofErr w:type="gramEnd"/>
    </w:p>
    <w:p w14:paraId="2F5DAD94" w14:textId="48876D9B" w:rsidR="0048699F" w:rsidRPr="000E5786" w:rsidRDefault="0048699F" w:rsidP="00346A37">
      <w:pPr>
        <w:pStyle w:val="Heading3"/>
      </w:pPr>
      <w:bookmarkStart w:id="470" w:name="_Ref53585073"/>
      <w:r w:rsidRPr="000E5786">
        <w:t xml:space="preserve">a provision enabling the Supplier or </w:t>
      </w:r>
      <w:proofErr w:type="spellStart"/>
      <w:r w:rsidR="001F1C19">
        <w:t>Netlink</w:t>
      </w:r>
      <w:proofErr w:type="spellEnd"/>
      <w:r w:rsidR="001F1C19">
        <w:t xml:space="preserve"> Star</w:t>
      </w:r>
      <w:r w:rsidRPr="000E5786">
        <w:t xml:space="preserve"> to appoint a Remedial Adviser on substantially the same terms as are set out in clause </w:t>
      </w:r>
      <w:r w:rsidR="009F2771" w:rsidRPr="000E5786">
        <w:fldChar w:fldCharType="begin"/>
      </w:r>
      <w:r w:rsidR="009F2771" w:rsidRPr="000E5786">
        <w:instrText xml:space="preserve">  REF _Ref53585730 \w \h \* MERGEFORMAT </w:instrText>
      </w:r>
      <w:r w:rsidR="009F2771" w:rsidRPr="000E5786">
        <w:fldChar w:fldCharType="separate"/>
      </w:r>
      <w:r w:rsidR="002523A8" w:rsidRPr="000E5786">
        <w:t>32</w:t>
      </w:r>
      <w:r w:rsidR="009F2771" w:rsidRPr="000E5786">
        <w:fldChar w:fldCharType="end"/>
      </w:r>
      <w:r w:rsidRPr="000E5786">
        <w:t xml:space="preserve"> </w:t>
      </w:r>
      <w:r w:rsidRPr="000E5786">
        <w:rPr>
          <w:i/>
        </w:rPr>
        <w:t>(</w:t>
      </w:r>
      <w:r w:rsidRPr="000E5786">
        <w:t>Remedial Adviser</w:t>
      </w:r>
      <w:proofErr w:type="gramStart"/>
      <w:r w:rsidRPr="000E5786">
        <w:t>);</w:t>
      </w:r>
      <w:bookmarkEnd w:id="470"/>
      <w:proofErr w:type="gramEnd"/>
    </w:p>
    <w:p w14:paraId="37D8E0C1" w14:textId="0807EF4B" w:rsidR="0048699F" w:rsidRPr="000E5786" w:rsidRDefault="0048699F" w:rsidP="00346A37">
      <w:pPr>
        <w:pStyle w:val="Heading3"/>
      </w:pPr>
      <w:bookmarkStart w:id="471" w:name="_Ref53585074"/>
      <w:r w:rsidRPr="000E5786">
        <w:t xml:space="preserve">a provision enabling the Supplier, </w:t>
      </w:r>
      <w:proofErr w:type="spellStart"/>
      <w:r w:rsidR="001F1C19">
        <w:t>Netlink</w:t>
      </w:r>
      <w:proofErr w:type="spellEnd"/>
      <w:r w:rsidR="001F1C19">
        <w:t xml:space="preserve"> Star</w:t>
      </w:r>
      <w:r w:rsidRPr="000E5786">
        <w:t xml:space="preserve"> or any other person on behalf of </w:t>
      </w:r>
      <w:proofErr w:type="spellStart"/>
      <w:r w:rsidR="001F1C19">
        <w:t>Netlink</w:t>
      </w:r>
      <w:proofErr w:type="spellEnd"/>
      <w:r w:rsidR="001F1C19">
        <w:t xml:space="preserve"> Star</w:t>
      </w:r>
      <w:r w:rsidRPr="000E5786">
        <w:t xml:space="preserve"> to step-in on substantially the same terms as are set out in clause </w:t>
      </w:r>
      <w:r w:rsidR="009F2771" w:rsidRPr="000E5786">
        <w:fldChar w:fldCharType="begin"/>
      </w:r>
      <w:r w:rsidR="009F2771" w:rsidRPr="000E5786">
        <w:instrText xml:space="preserve">  REF _Ref53585731 \w \h \* MERGEFORMAT </w:instrText>
      </w:r>
      <w:r w:rsidR="009F2771" w:rsidRPr="000E5786">
        <w:fldChar w:fldCharType="separate"/>
      </w:r>
      <w:r w:rsidR="002523A8" w:rsidRPr="000E5786">
        <w:t>33</w:t>
      </w:r>
      <w:r w:rsidR="009F2771" w:rsidRPr="000E5786">
        <w:fldChar w:fldCharType="end"/>
      </w:r>
      <w:r w:rsidRPr="000E5786">
        <w:t xml:space="preserve"> </w:t>
      </w:r>
      <w:r w:rsidRPr="000E5786">
        <w:rPr>
          <w:i/>
        </w:rPr>
        <w:t>(</w:t>
      </w:r>
      <w:r w:rsidRPr="000E5786">
        <w:t>Step-In Rights</w:t>
      </w:r>
      <w:proofErr w:type="gramStart"/>
      <w:r w:rsidRPr="000E5786">
        <w:t>);</w:t>
      </w:r>
      <w:bookmarkEnd w:id="471"/>
      <w:proofErr w:type="gramEnd"/>
    </w:p>
    <w:p w14:paraId="4421295B" w14:textId="3052B4A2" w:rsidR="0048699F" w:rsidRPr="000E5786" w:rsidRDefault="0048699F" w:rsidP="00346A37">
      <w:pPr>
        <w:pStyle w:val="Heading3"/>
      </w:pPr>
      <w:bookmarkStart w:id="472" w:name="_Ref53585075"/>
      <w:r w:rsidRPr="000E5786">
        <w:t xml:space="preserve">a provision requiring the Key Sub-contractor to participate in, and if required by </w:t>
      </w:r>
      <w:proofErr w:type="spellStart"/>
      <w:r w:rsidR="001F1C19">
        <w:t>Netlink</w:t>
      </w:r>
      <w:proofErr w:type="spellEnd"/>
      <w:r w:rsidR="001F1C19">
        <w:t xml:space="preserve"> Star</w:t>
      </w:r>
      <w:r w:rsidRPr="000E5786">
        <w:t xml:space="preserve"> in the relevant Multi-Party Procedure Initiation Notice to procure</w:t>
      </w:r>
      <w:r w:rsidR="00F72E0F" w:rsidRPr="000E5786">
        <w:t xml:space="preserve"> </w:t>
      </w:r>
      <w:r w:rsidRPr="000E5786">
        <w:t xml:space="preserve">the participation of all or any of its Sub-contractors in, the Multi-Party Dispute Resolution </w:t>
      </w:r>
      <w:proofErr w:type="gramStart"/>
      <w:r w:rsidRPr="000E5786">
        <w:t>Procedure;</w:t>
      </w:r>
      <w:bookmarkEnd w:id="472"/>
      <w:proofErr w:type="gramEnd"/>
    </w:p>
    <w:p w14:paraId="12A9C90B" w14:textId="10F65E63" w:rsidR="0048699F" w:rsidRPr="000E5786" w:rsidRDefault="00905B46" w:rsidP="00346A37">
      <w:pPr>
        <w:pStyle w:val="Heading3"/>
      </w:pPr>
      <w:bookmarkStart w:id="473" w:name="_Ref53585076"/>
      <w:r>
        <w:t xml:space="preserve">not </w:t>
      </w:r>
      <w:proofErr w:type="gramStart"/>
      <w:r>
        <w:t>used;</w:t>
      </w:r>
      <w:proofErr w:type="gramEnd"/>
      <w:r>
        <w:t xml:space="preserve"> </w:t>
      </w:r>
      <w:bookmarkEnd w:id="473"/>
    </w:p>
    <w:p w14:paraId="16927960" w14:textId="7823C04A" w:rsidR="0048699F" w:rsidRPr="000E5786" w:rsidRDefault="0048699F" w:rsidP="00346A37">
      <w:pPr>
        <w:pStyle w:val="Heading3"/>
      </w:pPr>
      <w:bookmarkStart w:id="474" w:name="_Ref53585081"/>
      <w:r w:rsidRPr="000E5786">
        <w:t xml:space="preserve">provisions which require the Key Sub-contractor to notify </w:t>
      </w:r>
      <w:proofErr w:type="spellStart"/>
      <w:r w:rsidR="001F1C19">
        <w:t>Netlink</w:t>
      </w:r>
      <w:proofErr w:type="spellEnd"/>
      <w:r w:rsidR="001F1C19">
        <w:t xml:space="preserve"> Star</w:t>
      </w:r>
      <w:r w:rsidRPr="000E5786">
        <w:t xml:space="preserve"> promptly in writing of any material non-payment or late payment of any sums properly due to the Key Sub-contractor from the Supplier under the Key Sub-contract, under a specified valid invoice and not subject to a genuine </w:t>
      </w:r>
      <w:proofErr w:type="gramStart"/>
      <w:r w:rsidRPr="000E5786">
        <w:t>dispute;</w:t>
      </w:r>
      <w:bookmarkEnd w:id="474"/>
      <w:proofErr w:type="gramEnd"/>
    </w:p>
    <w:p w14:paraId="0C4716B5" w14:textId="6B73202B" w:rsidR="0048699F" w:rsidRPr="000E5786" w:rsidRDefault="0048699F" w:rsidP="00346A37">
      <w:pPr>
        <w:pStyle w:val="Heading3"/>
      </w:pPr>
      <w:bookmarkStart w:id="475" w:name="_Ref53585082"/>
      <w:r w:rsidRPr="000E5786">
        <w:t>a provision obliging the Key Sub-contractor to test its own service continuity plan on a regular basis and in any event not less than once in every Contract Year; and</w:t>
      </w:r>
      <w:bookmarkEnd w:id="475"/>
    </w:p>
    <w:p w14:paraId="1E3EC9C7" w14:textId="21F09418" w:rsidR="0048699F" w:rsidRPr="000E5786" w:rsidRDefault="0048699F" w:rsidP="00346A37">
      <w:pPr>
        <w:pStyle w:val="Heading3"/>
      </w:pPr>
      <w:bookmarkStart w:id="476" w:name="_Ref53585083"/>
      <w:r w:rsidRPr="000E5786">
        <w:t>a provision requiring the Key Sub-contractor to have in place an appropriate exit and migration plan which enables it to comply (and will enable the Supplier to comply) with the requirements of this Agreement, to put such plan into effect on any termination (however arising) or expiry of the Key Sub-contract, and otherwise to ensure that any such termination or expiry will not affect the continuity of the Services.</w:t>
      </w:r>
      <w:bookmarkEnd w:id="476"/>
    </w:p>
    <w:p w14:paraId="69CF92F9" w14:textId="61F7756E" w:rsidR="0048699F" w:rsidRPr="000E5786" w:rsidRDefault="0048699F" w:rsidP="00DD60F0">
      <w:pPr>
        <w:pStyle w:val="Heading2"/>
        <w:spacing w:after="120"/>
        <w:rPr>
          <w:rFonts w:cs="Arial"/>
          <w:szCs w:val="20"/>
        </w:rPr>
      </w:pPr>
      <w:bookmarkStart w:id="477" w:name="_Ref53585084"/>
      <w:r w:rsidRPr="000E5786">
        <w:rPr>
          <w:rFonts w:cs="Arial"/>
          <w:szCs w:val="20"/>
        </w:rPr>
        <w:lastRenderedPageBreak/>
        <w:t xml:space="preserve">The Supplier shall not terminate or materially amend the terms of any Key Sub-contract without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’s prior written consent, which shall not be unreasonably withheld or delayed.</w:t>
      </w:r>
      <w:bookmarkEnd w:id="477"/>
    </w:p>
    <w:p w14:paraId="5B463B13" w14:textId="30E0C68B" w:rsidR="0048699F" w:rsidRPr="000E5786" w:rsidRDefault="0048699F" w:rsidP="00CE5734">
      <w:pPr>
        <w:pStyle w:val="BodyText"/>
        <w:spacing w:after="120"/>
        <w:ind w:left="709" w:firstLine="0"/>
        <w:rPr>
          <w:rFonts w:cs="Arial"/>
          <w:szCs w:val="20"/>
          <w:u w:val="single"/>
        </w:rPr>
      </w:pPr>
      <w:r w:rsidRPr="000E5786">
        <w:rPr>
          <w:rFonts w:cs="Arial"/>
          <w:szCs w:val="20"/>
          <w:u w:val="single"/>
        </w:rPr>
        <w:t>Supply chain protection</w:t>
      </w:r>
    </w:p>
    <w:p w14:paraId="30553D8B" w14:textId="244782A3" w:rsidR="0048699F" w:rsidRPr="000E5786" w:rsidRDefault="0048699F" w:rsidP="00DD60F0">
      <w:pPr>
        <w:pStyle w:val="Heading2"/>
        <w:spacing w:after="120"/>
        <w:rPr>
          <w:rFonts w:cs="Arial"/>
          <w:szCs w:val="20"/>
        </w:rPr>
      </w:pPr>
      <w:bookmarkStart w:id="478" w:name="_Ref53585085"/>
      <w:r w:rsidRPr="000E5786">
        <w:rPr>
          <w:rFonts w:cs="Arial"/>
          <w:szCs w:val="20"/>
        </w:rPr>
        <w:t>The Supplier shall ensure that all Sub-contracts (which in this sub-clause includes any contract in the Supplier’s supply chain made wholly or substantially for the purpose of performing or contributing to the performance of the whole or any part of this Agreement, and Sub-contractor shall be construed accordingly) contain provisions:</w:t>
      </w:r>
      <w:bookmarkEnd w:id="478"/>
    </w:p>
    <w:p w14:paraId="5562C67D" w14:textId="400292EF" w:rsidR="0048699F" w:rsidRPr="000E5786" w:rsidRDefault="00905B46" w:rsidP="00346A37">
      <w:pPr>
        <w:pStyle w:val="Heading3"/>
      </w:pPr>
      <w:bookmarkStart w:id="479" w:name="_Ref53585086"/>
      <w:r w:rsidRPr="00C0214D">
        <w:rPr>
          <w:rFonts w:eastAsia="Verdana"/>
        </w:rPr>
        <w:t xml:space="preserve">in the case of a Sub-contract with a New Sub-contractor, </w:t>
      </w:r>
      <w:r w:rsidR="0048699F" w:rsidRPr="000E5786">
        <w:t>giving the Supplier a right to terminate the Sub-contract if the Sub-contractor</w:t>
      </w:r>
      <w:r w:rsidR="0097371F" w:rsidRPr="000E5786">
        <w:t xml:space="preserve"> </w:t>
      </w:r>
      <w:r w:rsidR="0048699F" w:rsidRPr="000E5786">
        <w:t xml:space="preserve">fails to comply in the performance of the Sub-contract with legal obligations in the fields of environmental, social or labour </w:t>
      </w:r>
      <w:proofErr w:type="gramStart"/>
      <w:r w:rsidR="0048699F" w:rsidRPr="000E5786">
        <w:t>law;</w:t>
      </w:r>
      <w:bookmarkEnd w:id="479"/>
      <w:proofErr w:type="gramEnd"/>
    </w:p>
    <w:p w14:paraId="49658F8A" w14:textId="4126B578" w:rsidR="0048699F" w:rsidRPr="000E5786" w:rsidRDefault="0048699F" w:rsidP="00346A37">
      <w:pPr>
        <w:pStyle w:val="Heading3"/>
      </w:pPr>
      <w:bookmarkStart w:id="480" w:name="_Ref53585087"/>
      <w:r w:rsidRPr="000E5786">
        <w:t xml:space="preserve">requiring the Supplier or other party receiving goods or services under the Subcontract to consider and verify invoices under that Sub-contract in a timely </w:t>
      </w:r>
      <w:proofErr w:type="gramStart"/>
      <w:r w:rsidRPr="000E5786">
        <w:t>fashion;</w:t>
      </w:r>
      <w:bookmarkEnd w:id="480"/>
      <w:proofErr w:type="gramEnd"/>
    </w:p>
    <w:p w14:paraId="58406AB6" w14:textId="5AD2CB91" w:rsidR="0048699F" w:rsidRPr="000E5786" w:rsidRDefault="0048699F" w:rsidP="00346A37">
      <w:pPr>
        <w:pStyle w:val="Heading3"/>
      </w:pPr>
      <w:bookmarkStart w:id="481" w:name="_Ref53585088"/>
      <w:r w:rsidRPr="000E5786">
        <w:t xml:space="preserve">stating that if the Supplier or other party fails to consider and verify an invoice in accordance with clause </w:t>
      </w:r>
      <w:r w:rsidR="009F2771" w:rsidRPr="000E5786">
        <w:fldChar w:fldCharType="begin"/>
      </w:r>
      <w:r w:rsidR="009F2771" w:rsidRPr="000E5786">
        <w:instrText xml:space="preserve">  REF _Ref53585087 \w \h \* MERGEFORMAT </w:instrText>
      </w:r>
      <w:r w:rsidR="009F2771" w:rsidRPr="000E5786">
        <w:fldChar w:fldCharType="separate"/>
      </w:r>
      <w:r w:rsidR="002523A8" w:rsidRPr="000E5786">
        <w:t>17.10.2</w:t>
      </w:r>
      <w:r w:rsidR="009F2771" w:rsidRPr="000E5786">
        <w:fldChar w:fldCharType="end"/>
      </w:r>
      <w:r w:rsidRPr="000E5786">
        <w:t xml:space="preserve">, the invoice shall be regarded as valid and undisputed for the purpose of clause </w:t>
      </w:r>
      <w:r w:rsidR="009F2771" w:rsidRPr="000E5786">
        <w:fldChar w:fldCharType="begin"/>
      </w:r>
      <w:r w:rsidR="009F2771" w:rsidRPr="000E5786">
        <w:instrText xml:space="preserve">  REF _Ref53585089 \w \h \* MERGEFORMAT </w:instrText>
      </w:r>
      <w:r w:rsidR="009F2771" w:rsidRPr="000E5786">
        <w:fldChar w:fldCharType="separate"/>
      </w:r>
      <w:r w:rsidR="002523A8" w:rsidRPr="000E5786">
        <w:t>17.10.4</w:t>
      </w:r>
      <w:r w:rsidR="009F2771" w:rsidRPr="000E5786">
        <w:fldChar w:fldCharType="end"/>
      </w:r>
      <w:r w:rsidRPr="000E5786">
        <w:t xml:space="preserve"> after a reasonable time has passed;</w:t>
      </w:r>
      <w:bookmarkEnd w:id="481"/>
    </w:p>
    <w:p w14:paraId="3A4AB031" w14:textId="7D048DFC" w:rsidR="0048699F" w:rsidRPr="000E5786" w:rsidRDefault="0048699F" w:rsidP="00346A37">
      <w:pPr>
        <w:pStyle w:val="Heading3"/>
      </w:pPr>
      <w:bookmarkStart w:id="482" w:name="_Ref53585089"/>
      <w:r w:rsidRPr="000E5786">
        <w:t xml:space="preserve">requiring the Supplier or other party to pay any undisputed sums which are due from it to the Sub-contractor within a specified period not exceeding thirty (30) days from verifying that the invoice is valid and </w:t>
      </w:r>
      <w:proofErr w:type="gramStart"/>
      <w:r w:rsidRPr="000E5786">
        <w:t>undisputed;</w:t>
      </w:r>
      <w:bookmarkEnd w:id="482"/>
      <w:proofErr w:type="gramEnd"/>
    </w:p>
    <w:p w14:paraId="5E562D1A" w14:textId="76DCB646" w:rsidR="0048699F" w:rsidRPr="000E5786" w:rsidRDefault="0048699F" w:rsidP="00346A37">
      <w:pPr>
        <w:pStyle w:val="Heading3"/>
      </w:pPr>
      <w:bookmarkStart w:id="483" w:name="_Ref53585090"/>
      <w:r w:rsidRPr="000E5786">
        <w:t xml:space="preserve">giving </w:t>
      </w:r>
      <w:proofErr w:type="spellStart"/>
      <w:r w:rsidR="001F1C19">
        <w:t>Netlink</w:t>
      </w:r>
      <w:proofErr w:type="spellEnd"/>
      <w:r w:rsidR="001F1C19">
        <w:t xml:space="preserve"> Star</w:t>
      </w:r>
      <w:r w:rsidRPr="000E5786">
        <w:t xml:space="preserve"> a right to publish the Supplier’s compliance with its obligation to pay undisputed invoices within the specified payment period; and</w:t>
      </w:r>
      <w:bookmarkEnd w:id="483"/>
    </w:p>
    <w:p w14:paraId="2B0D2E77" w14:textId="6B47D0D8" w:rsidR="0048699F" w:rsidRPr="000E5786" w:rsidRDefault="0048699F" w:rsidP="00346A37">
      <w:pPr>
        <w:pStyle w:val="Heading3"/>
      </w:pPr>
      <w:bookmarkStart w:id="484" w:name="_Ref53585091"/>
      <w:r w:rsidRPr="000E5786">
        <w:t xml:space="preserve">requiring the Sub-contractor to include a clause to the same effect as this clause </w:t>
      </w:r>
      <w:r w:rsidR="009F2771" w:rsidRPr="000E5786">
        <w:fldChar w:fldCharType="begin"/>
      </w:r>
      <w:r w:rsidR="009F2771" w:rsidRPr="000E5786">
        <w:instrText xml:space="preserve">  REF _Ref53585085 \w \h \* MERGEFORMAT </w:instrText>
      </w:r>
      <w:r w:rsidR="009F2771" w:rsidRPr="000E5786">
        <w:fldChar w:fldCharType="separate"/>
      </w:r>
      <w:r w:rsidR="002523A8" w:rsidRPr="000E5786">
        <w:t>17.10</w:t>
      </w:r>
      <w:r w:rsidR="009F2771" w:rsidRPr="000E5786">
        <w:fldChar w:fldCharType="end"/>
      </w:r>
      <w:r w:rsidRPr="000E5786">
        <w:t xml:space="preserve"> in any contracts it enters into wholly or substantially for the purpose of performing or contributing to the performance of the whole or any part of the Sub-contract.</w:t>
      </w:r>
      <w:bookmarkEnd w:id="484"/>
    </w:p>
    <w:p w14:paraId="33BC53E9" w14:textId="0B53ACD5" w:rsidR="0048699F" w:rsidRPr="000E5786" w:rsidRDefault="0048699F" w:rsidP="00DD60F0">
      <w:pPr>
        <w:pStyle w:val="Heading2"/>
        <w:spacing w:after="120"/>
        <w:rPr>
          <w:rFonts w:cs="Arial"/>
          <w:szCs w:val="20"/>
        </w:rPr>
      </w:pPr>
      <w:bookmarkStart w:id="485" w:name="_Ref53585092"/>
      <w:r w:rsidRPr="000E5786">
        <w:rPr>
          <w:rFonts w:cs="Arial"/>
          <w:szCs w:val="20"/>
        </w:rPr>
        <w:t>The Supplier shall:</w:t>
      </w:r>
      <w:bookmarkEnd w:id="485"/>
    </w:p>
    <w:p w14:paraId="5AEBF2D3" w14:textId="5EF2408E" w:rsidR="0048699F" w:rsidRPr="000E5786" w:rsidRDefault="0048699F" w:rsidP="00346A37">
      <w:pPr>
        <w:pStyle w:val="Heading3"/>
      </w:pPr>
      <w:bookmarkStart w:id="486" w:name="_Ref53585093"/>
      <w:r w:rsidRPr="000E5786">
        <w:t xml:space="preserve">pay any undisputed sums which are due from it to a Sub-contractor within thirty (30) days from verifying that an invoice is valid and </w:t>
      </w:r>
      <w:proofErr w:type="gramStart"/>
      <w:r w:rsidRPr="000E5786">
        <w:t>undisputed;</w:t>
      </w:r>
      <w:bookmarkEnd w:id="486"/>
      <w:proofErr w:type="gramEnd"/>
    </w:p>
    <w:p w14:paraId="28CF790C" w14:textId="568FB85B" w:rsidR="0048699F" w:rsidRPr="000E5786" w:rsidRDefault="0048699F" w:rsidP="00346A37">
      <w:pPr>
        <w:pStyle w:val="Heading3"/>
      </w:pPr>
      <w:bookmarkStart w:id="487" w:name="_Ref53585094"/>
      <w:r w:rsidRPr="000E5786">
        <w:t xml:space="preserve">include within the Balanced Scorecard Report produced by it pursuant to </w:t>
      </w:r>
      <w:bookmarkStart w:id="488" w:name="DocXTextRef185"/>
      <w:r w:rsidRPr="000E5786">
        <w:t>Schedule 2.2</w:t>
      </w:r>
      <w:bookmarkEnd w:id="488"/>
      <w:r w:rsidRPr="000E5786">
        <w:t xml:space="preserve"> (</w:t>
      </w:r>
      <w:r w:rsidR="008446F2">
        <w:t>Service</w:t>
      </w:r>
      <w:r w:rsidR="008446F2" w:rsidRPr="000E5786">
        <w:t xml:space="preserve"> </w:t>
      </w:r>
      <w:r w:rsidRPr="000E5786">
        <w:t xml:space="preserve">Levels) a summary of its compliance with clause </w:t>
      </w:r>
      <w:r w:rsidR="00501185" w:rsidRPr="000E5786">
        <w:fldChar w:fldCharType="begin"/>
      </w:r>
      <w:r w:rsidR="00501185" w:rsidRPr="000E5786">
        <w:instrText xml:space="preserve">  REF _Ref53585093 \w \h \* MERGEFORMAT </w:instrText>
      </w:r>
      <w:r w:rsidR="00501185" w:rsidRPr="000E5786">
        <w:fldChar w:fldCharType="separate"/>
      </w:r>
      <w:r w:rsidR="002523A8" w:rsidRPr="000E5786">
        <w:t>17.11.1</w:t>
      </w:r>
      <w:r w:rsidR="00501185" w:rsidRPr="000E5786">
        <w:fldChar w:fldCharType="end"/>
      </w:r>
      <w:r w:rsidRPr="000E5786">
        <w:t>, such data to be certified each Quarter by a director of the Supplier as being accurate and not misleading.</w:t>
      </w:r>
      <w:bookmarkEnd w:id="487"/>
    </w:p>
    <w:p w14:paraId="3A638685" w14:textId="215DF1E7" w:rsidR="0048699F" w:rsidRPr="000E5786" w:rsidRDefault="0048699F" w:rsidP="00DD60F0">
      <w:pPr>
        <w:pStyle w:val="Heading2"/>
        <w:spacing w:after="120"/>
        <w:rPr>
          <w:rFonts w:cs="Arial"/>
          <w:szCs w:val="20"/>
        </w:rPr>
      </w:pPr>
      <w:bookmarkStart w:id="489" w:name="_Ref53585095"/>
      <w:r w:rsidRPr="000E5786">
        <w:rPr>
          <w:rFonts w:cs="Arial"/>
          <w:szCs w:val="20"/>
        </w:rPr>
        <w:t xml:space="preserve">Notwithstanding any provision of clauses </w:t>
      </w:r>
      <w:r w:rsidR="00501185" w:rsidRPr="000E5786">
        <w:rPr>
          <w:rFonts w:cs="Arial"/>
          <w:szCs w:val="20"/>
        </w:rPr>
        <w:fldChar w:fldCharType="begin"/>
      </w:r>
      <w:r w:rsidR="00501185" w:rsidRPr="000E5786">
        <w:rPr>
          <w:rFonts w:cs="Arial"/>
          <w:szCs w:val="20"/>
        </w:rPr>
        <w:instrText xml:space="preserve">  REF _Ref53585722 \w \h \* MERGEFORMAT </w:instrText>
      </w:r>
      <w:r w:rsidR="00501185" w:rsidRPr="000E5786">
        <w:rPr>
          <w:rFonts w:cs="Arial"/>
          <w:szCs w:val="20"/>
        </w:rPr>
      </w:r>
      <w:r w:rsidR="00501185" w:rsidRPr="000E5786">
        <w:rPr>
          <w:rFonts w:cs="Arial"/>
          <w:szCs w:val="20"/>
        </w:rPr>
        <w:fldChar w:fldCharType="separate"/>
      </w:r>
      <w:r w:rsidR="002523A8" w:rsidRPr="000E5786">
        <w:rPr>
          <w:rFonts w:cs="Arial"/>
          <w:szCs w:val="20"/>
        </w:rPr>
        <w:t>24</w:t>
      </w:r>
      <w:r w:rsidR="00501185" w:rsidRPr="000E5786">
        <w:rPr>
          <w:rFonts w:cs="Arial"/>
          <w:szCs w:val="20"/>
        </w:rPr>
        <w:fldChar w:fldCharType="end"/>
      </w:r>
      <w:r w:rsidRPr="000E5786">
        <w:rPr>
          <w:rFonts w:cs="Arial"/>
          <w:szCs w:val="20"/>
        </w:rPr>
        <w:t xml:space="preserve"> (Confidentiality) and </w:t>
      </w:r>
      <w:r w:rsidR="00501185" w:rsidRPr="000E5786">
        <w:rPr>
          <w:rFonts w:cs="Arial"/>
          <w:szCs w:val="20"/>
        </w:rPr>
        <w:fldChar w:fldCharType="begin"/>
      </w:r>
      <w:r w:rsidR="00501185" w:rsidRPr="000E5786">
        <w:rPr>
          <w:rFonts w:cs="Arial"/>
          <w:szCs w:val="20"/>
        </w:rPr>
        <w:instrText xml:space="preserve">  REF _Ref53585311 \w \h \* MERGEFORMAT </w:instrText>
      </w:r>
      <w:r w:rsidR="00501185" w:rsidRPr="000E5786">
        <w:rPr>
          <w:rFonts w:cs="Arial"/>
          <w:szCs w:val="20"/>
        </w:rPr>
      </w:r>
      <w:r w:rsidR="00501185" w:rsidRPr="000E5786">
        <w:rPr>
          <w:rFonts w:cs="Arial"/>
          <w:szCs w:val="20"/>
        </w:rPr>
        <w:fldChar w:fldCharType="separate"/>
      </w:r>
      <w:r w:rsidR="002523A8" w:rsidRPr="000E5786">
        <w:rPr>
          <w:rFonts w:cs="Arial"/>
          <w:szCs w:val="20"/>
        </w:rPr>
        <w:t>26.1</w:t>
      </w:r>
      <w:r w:rsidR="00501185" w:rsidRPr="000E5786">
        <w:rPr>
          <w:rFonts w:cs="Arial"/>
          <w:szCs w:val="20"/>
        </w:rPr>
        <w:fldChar w:fldCharType="end"/>
      </w:r>
      <w:r w:rsidRPr="000E5786">
        <w:rPr>
          <w:rFonts w:cs="Arial"/>
          <w:szCs w:val="20"/>
        </w:rPr>
        <w:t xml:space="preserve"> (Publicity and Branding), if the Supplier notifies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(whether in a Balanced Scorecard Report or otherwise) that the Supplier has failed to pay a Sub-contractor’s undisputed invoice within thirty (30) days of receipt, or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otherwise discovers the same,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be entitled to publish the details of the late or non-payment (including on government websites and in the press).</w:t>
      </w:r>
      <w:bookmarkEnd w:id="489"/>
    </w:p>
    <w:p w14:paraId="172C68E5" w14:textId="0BAEF366" w:rsidR="0048699F" w:rsidRPr="000E5786" w:rsidRDefault="0048699F" w:rsidP="00CE5734">
      <w:pPr>
        <w:pStyle w:val="BodyText"/>
        <w:spacing w:after="120"/>
        <w:ind w:left="709" w:firstLine="0"/>
        <w:rPr>
          <w:rFonts w:cs="Arial"/>
          <w:szCs w:val="20"/>
          <w:u w:val="single"/>
        </w:rPr>
      </w:pPr>
      <w:r w:rsidRPr="000E5786">
        <w:rPr>
          <w:rFonts w:cs="Arial"/>
          <w:szCs w:val="20"/>
          <w:u w:val="single"/>
        </w:rPr>
        <w:t>Termination of Sub-contracts</w:t>
      </w:r>
    </w:p>
    <w:p w14:paraId="1DC0E519" w14:textId="57EA399C" w:rsidR="0048699F" w:rsidRPr="000E5786" w:rsidRDefault="00905B46" w:rsidP="00DD60F0">
      <w:pPr>
        <w:pStyle w:val="Heading2"/>
        <w:spacing w:after="120"/>
        <w:rPr>
          <w:rFonts w:cs="Arial"/>
          <w:szCs w:val="20"/>
        </w:rPr>
      </w:pPr>
      <w:bookmarkStart w:id="490" w:name="_Ref53585096"/>
      <w:r w:rsidRPr="00C0214D">
        <w:rPr>
          <w:rFonts w:eastAsia="Verdana" w:cs="Arial"/>
          <w:bCs w:val="0"/>
          <w:szCs w:val="20"/>
        </w:rPr>
        <w:t>In the case of a Sub-Contract with a New Sub-Contractor</w:t>
      </w:r>
      <w:r>
        <w:rPr>
          <w:rFonts w:eastAsia="Verdana" w:cs="Arial"/>
          <w:bCs w:val="0"/>
          <w:szCs w:val="20"/>
        </w:rPr>
        <w:t>,</w:t>
      </w:r>
      <w:r w:rsidRPr="000E5786">
        <w:rPr>
          <w:rFonts w:cs="Arial"/>
          <w:szCs w:val="20"/>
        </w:rPr>
        <w:t xml:space="preserve"> </w:t>
      </w:r>
      <w:proofErr w:type="spellStart"/>
      <w:r w:rsidR="001F1C19">
        <w:rPr>
          <w:rFonts w:cs="Arial"/>
          <w:szCs w:val="20"/>
        </w:rPr>
        <w:t>Netlink</w:t>
      </w:r>
      <w:proofErr w:type="spellEnd"/>
      <w:r w:rsidR="001F1C19">
        <w:rPr>
          <w:rFonts w:cs="Arial"/>
          <w:szCs w:val="20"/>
        </w:rPr>
        <w:t xml:space="preserve"> Star</w:t>
      </w:r>
      <w:r w:rsidR="0048699F" w:rsidRPr="000E5786">
        <w:rPr>
          <w:rFonts w:cs="Arial"/>
          <w:szCs w:val="20"/>
        </w:rPr>
        <w:t xml:space="preserve"> may require the Supplier to terminate:</w:t>
      </w:r>
      <w:bookmarkEnd w:id="490"/>
    </w:p>
    <w:p w14:paraId="0C21A3A3" w14:textId="567D2382" w:rsidR="0048699F" w:rsidRPr="00346A37" w:rsidRDefault="0048699F" w:rsidP="00346A37">
      <w:pPr>
        <w:pStyle w:val="Heading3"/>
      </w:pPr>
      <w:bookmarkStart w:id="491" w:name="_Ref53585097"/>
      <w:r w:rsidRPr="00346A37">
        <w:t>a Sub-contract where:</w:t>
      </w:r>
      <w:bookmarkEnd w:id="491"/>
    </w:p>
    <w:p w14:paraId="72F5F50A" w14:textId="605D9333" w:rsidR="0048699F" w:rsidRPr="000E5786" w:rsidRDefault="0048699F" w:rsidP="00834C1A">
      <w:pPr>
        <w:pStyle w:val="Heading4"/>
        <w:tabs>
          <w:tab w:val="clear" w:pos="1702"/>
          <w:tab w:val="num" w:pos="2552"/>
        </w:tabs>
        <w:spacing w:after="120"/>
        <w:ind w:left="2410"/>
        <w:rPr>
          <w:rFonts w:cs="Arial"/>
          <w:szCs w:val="20"/>
        </w:rPr>
      </w:pPr>
      <w:bookmarkStart w:id="492" w:name="_Ref53585098"/>
      <w:r w:rsidRPr="000E5786">
        <w:rPr>
          <w:rFonts w:cs="Arial"/>
          <w:szCs w:val="20"/>
        </w:rPr>
        <w:t>the acts or omissions of the relevant Sub-contractor have caused</w:t>
      </w:r>
      <w:r w:rsidR="00181D0C" w:rsidRPr="000E5786">
        <w:rPr>
          <w:rFonts w:cs="Arial"/>
          <w:szCs w:val="20"/>
        </w:rPr>
        <w:t xml:space="preserve"> </w:t>
      </w:r>
      <w:r w:rsidRPr="000E5786">
        <w:rPr>
          <w:rFonts w:cs="Arial"/>
          <w:szCs w:val="20"/>
        </w:rPr>
        <w:t xml:space="preserve">or materially contributed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right of termination pursuant to clause </w:t>
      </w:r>
      <w:r w:rsidR="00501185" w:rsidRPr="000E5786">
        <w:rPr>
          <w:rFonts w:cs="Arial"/>
          <w:szCs w:val="20"/>
        </w:rPr>
        <w:fldChar w:fldCharType="begin"/>
      </w:r>
      <w:r w:rsidR="00501185" w:rsidRPr="000E5786">
        <w:rPr>
          <w:rFonts w:cs="Arial"/>
          <w:szCs w:val="20"/>
        </w:rPr>
        <w:instrText xml:space="preserve">  REF _Ref53585547 \w \h \* MERGEFORMAT </w:instrText>
      </w:r>
      <w:r w:rsidR="00501185" w:rsidRPr="000E5786">
        <w:rPr>
          <w:rFonts w:cs="Arial"/>
          <w:szCs w:val="20"/>
        </w:rPr>
      </w:r>
      <w:r w:rsidR="00501185" w:rsidRPr="000E5786">
        <w:rPr>
          <w:rFonts w:cs="Arial"/>
          <w:szCs w:val="20"/>
        </w:rPr>
        <w:fldChar w:fldCharType="separate"/>
      </w:r>
      <w:r w:rsidR="002523A8" w:rsidRPr="000E5786">
        <w:rPr>
          <w:rFonts w:cs="Arial"/>
          <w:szCs w:val="20"/>
        </w:rPr>
        <w:t>36.1.1</w:t>
      </w:r>
      <w:r w:rsidR="00501185" w:rsidRPr="000E5786">
        <w:rPr>
          <w:rFonts w:cs="Arial"/>
          <w:szCs w:val="20"/>
        </w:rPr>
        <w:fldChar w:fldCharType="end"/>
      </w:r>
      <w:r w:rsidRPr="000E5786">
        <w:rPr>
          <w:rFonts w:cs="Arial"/>
          <w:szCs w:val="20"/>
        </w:rPr>
        <w:t xml:space="preserve"> (Termination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and/or</w:t>
      </w:r>
      <w:bookmarkEnd w:id="492"/>
    </w:p>
    <w:p w14:paraId="60C67598" w14:textId="4F159613" w:rsidR="0048699F" w:rsidRPr="000E5786" w:rsidRDefault="0048699F" w:rsidP="00834C1A">
      <w:pPr>
        <w:pStyle w:val="Heading4"/>
        <w:tabs>
          <w:tab w:val="clear" w:pos="1702"/>
          <w:tab w:val="num" w:pos="2552"/>
        </w:tabs>
        <w:spacing w:after="120"/>
        <w:ind w:left="2410"/>
        <w:rPr>
          <w:rFonts w:cs="Arial"/>
          <w:szCs w:val="20"/>
        </w:rPr>
      </w:pPr>
      <w:bookmarkStart w:id="493" w:name="_Ref53585099"/>
      <w:r w:rsidRPr="000E5786">
        <w:rPr>
          <w:rFonts w:cs="Arial"/>
          <w:szCs w:val="20"/>
        </w:rPr>
        <w:t xml:space="preserve">the relevant Sub-contractor or any of its Affiliates have embarrassed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or otherwise brought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into disrepute by engaging in any act or omission which is reasonably likely to diminish the trust that the public places in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regardless of whether or not such act or omission is related to the Sub-contractor’s obligations in relation to the Services or </w:t>
      </w:r>
      <w:proofErr w:type="gramStart"/>
      <w:r w:rsidRPr="000E5786">
        <w:rPr>
          <w:rFonts w:cs="Arial"/>
          <w:szCs w:val="20"/>
        </w:rPr>
        <w:t>otherwise;</w:t>
      </w:r>
      <w:bookmarkEnd w:id="493"/>
      <w:proofErr w:type="gramEnd"/>
    </w:p>
    <w:p w14:paraId="389A426D" w14:textId="273A9648" w:rsidR="0048699F" w:rsidRPr="000E5786" w:rsidRDefault="0048699F" w:rsidP="00834C1A">
      <w:pPr>
        <w:pStyle w:val="Heading4"/>
        <w:tabs>
          <w:tab w:val="clear" w:pos="1702"/>
          <w:tab w:val="num" w:pos="2552"/>
        </w:tabs>
        <w:spacing w:after="120"/>
        <w:ind w:left="2410"/>
        <w:rPr>
          <w:rFonts w:cs="Arial"/>
          <w:szCs w:val="20"/>
        </w:rPr>
      </w:pPr>
      <w:bookmarkStart w:id="494" w:name="_Ref53585100"/>
      <w:r w:rsidRPr="000E5786">
        <w:rPr>
          <w:rFonts w:cs="Arial"/>
          <w:szCs w:val="20"/>
        </w:rPr>
        <w:lastRenderedPageBreak/>
        <w:t xml:space="preserve">the relevant Sub-contractor has failed to comply in the performance of its Sub-contract with legal obligations in the fields of environmental, </w:t>
      </w:r>
      <w:proofErr w:type="gramStart"/>
      <w:r w:rsidRPr="000E5786">
        <w:rPr>
          <w:rFonts w:cs="Arial"/>
          <w:szCs w:val="20"/>
        </w:rPr>
        <w:t>social</w:t>
      </w:r>
      <w:proofErr w:type="gramEnd"/>
      <w:r w:rsidRPr="000E5786">
        <w:rPr>
          <w:rFonts w:cs="Arial"/>
          <w:szCs w:val="20"/>
        </w:rPr>
        <w:t xml:space="preserve"> or labour law; and/or</w:t>
      </w:r>
      <w:bookmarkEnd w:id="494"/>
    </w:p>
    <w:p w14:paraId="10F33341" w14:textId="09E5D617" w:rsidR="0048699F" w:rsidRPr="000E5786" w:rsidRDefault="001F1C19" w:rsidP="00834C1A">
      <w:pPr>
        <w:pStyle w:val="Heading4"/>
        <w:tabs>
          <w:tab w:val="clear" w:pos="1702"/>
          <w:tab w:val="num" w:pos="2552"/>
        </w:tabs>
        <w:spacing w:after="120"/>
        <w:ind w:left="2410"/>
        <w:rPr>
          <w:rFonts w:cs="Arial"/>
          <w:szCs w:val="20"/>
        </w:rPr>
      </w:pPr>
      <w:bookmarkStart w:id="495" w:name="_Ref53585101"/>
      <w:proofErr w:type="spellStart"/>
      <w:r>
        <w:rPr>
          <w:rFonts w:cs="Arial"/>
          <w:szCs w:val="20"/>
        </w:rPr>
        <w:t>Netlink</w:t>
      </w:r>
      <w:proofErr w:type="spellEnd"/>
      <w:r>
        <w:rPr>
          <w:rFonts w:cs="Arial"/>
          <w:szCs w:val="20"/>
        </w:rPr>
        <w:t xml:space="preserve"> Star</w:t>
      </w:r>
      <w:r w:rsidR="0048699F" w:rsidRPr="000E5786">
        <w:rPr>
          <w:rFonts w:cs="Arial"/>
          <w:szCs w:val="20"/>
        </w:rPr>
        <w:t xml:space="preserve"> has found grounds for exclusion of the Subcontractor in accordance with clause </w:t>
      </w:r>
      <w:r w:rsidR="00030361" w:rsidRPr="000E5786">
        <w:rPr>
          <w:rFonts w:cs="Arial"/>
          <w:szCs w:val="20"/>
        </w:rPr>
        <w:fldChar w:fldCharType="begin"/>
      </w:r>
      <w:r w:rsidR="00030361" w:rsidRPr="000E5786">
        <w:rPr>
          <w:rFonts w:cs="Arial"/>
          <w:szCs w:val="20"/>
        </w:rPr>
        <w:instrText xml:space="preserve">  REF _Ref53585113 \w \h \* MERGEFORMAT </w:instrText>
      </w:r>
      <w:r w:rsidR="00030361" w:rsidRPr="000E5786">
        <w:rPr>
          <w:rFonts w:cs="Arial"/>
          <w:szCs w:val="20"/>
        </w:rPr>
      </w:r>
      <w:r w:rsidR="00030361" w:rsidRPr="000E5786">
        <w:rPr>
          <w:rFonts w:cs="Arial"/>
          <w:szCs w:val="20"/>
        </w:rPr>
        <w:fldChar w:fldCharType="separate"/>
      </w:r>
      <w:r w:rsidR="002523A8" w:rsidRPr="000E5786">
        <w:rPr>
          <w:rFonts w:cs="Arial"/>
          <w:szCs w:val="20"/>
        </w:rPr>
        <w:t>17.18</w:t>
      </w:r>
      <w:r w:rsidR="00030361" w:rsidRPr="000E5786">
        <w:rPr>
          <w:rFonts w:cs="Arial"/>
          <w:szCs w:val="20"/>
        </w:rPr>
        <w:fldChar w:fldCharType="end"/>
      </w:r>
      <w:r w:rsidR="0048699F" w:rsidRPr="000E5786">
        <w:rPr>
          <w:rFonts w:cs="Arial"/>
          <w:szCs w:val="20"/>
        </w:rPr>
        <w:t>; and</w:t>
      </w:r>
      <w:bookmarkEnd w:id="495"/>
    </w:p>
    <w:p w14:paraId="5D020E6B" w14:textId="5C5EEB6B" w:rsidR="0048699F" w:rsidRPr="000E5786" w:rsidRDefault="0048699F" w:rsidP="00346A37">
      <w:pPr>
        <w:pStyle w:val="Heading3"/>
      </w:pPr>
      <w:bookmarkStart w:id="496" w:name="_Ref53585102"/>
      <w:r w:rsidRPr="000E5786">
        <w:t>a Key Sub-contract where there is a change of Control of the relevant Key Subcontractor, unless:</w:t>
      </w:r>
      <w:bookmarkEnd w:id="496"/>
    </w:p>
    <w:p w14:paraId="32EFF57D" w14:textId="1615FA5F" w:rsidR="0048699F" w:rsidRPr="000E5786" w:rsidRDefault="001F1C19" w:rsidP="00834C1A">
      <w:pPr>
        <w:pStyle w:val="Heading4"/>
        <w:tabs>
          <w:tab w:val="clear" w:pos="1702"/>
          <w:tab w:val="num" w:pos="2552"/>
        </w:tabs>
        <w:spacing w:after="120"/>
        <w:ind w:left="2410"/>
        <w:rPr>
          <w:rFonts w:cs="Arial"/>
          <w:szCs w:val="20"/>
        </w:rPr>
      </w:pPr>
      <w:bookmarkStart w:id="497" w:name="_Ref53585103"/>
      <w:proofErr w:type="spellStart"/>
      <w:r>
        <w:rPr>
          <w:rFonts w:cs="Arial"/>
          <w:szCs w:val="20"/>
        </w:rPr>
        <w:t>Netlink</w:t>
      </w:r>
      <w:proofErr w:type="spellEnd"/>
      <w:r>
        <w:rPr>
          <w:rFonts w:cs="Arial"/>
          <w:szCs w:val="20"/>
        </w:rPr>
        <w:t xml:space="preserve"> Star</w:t>
      </w:r>
      <w:r w:rsidR="0048699F" w:rsidRPr="000E5786">
        <w:rPr>
          <w:rFonts w:cs="Arial"/>
          <w:szCs w:val="20"/>
        </w:rPr>
        <w:t xml:space="preserve"> has given its prior written consent to the </w:t>
      </w:r>
      <w:proofErr w:type="gramStart"/>
      <w:r w:rsidR="0048699F" w:rsidRPr="000E5786">
        <w:rPr>
          <w:rFonts w:cs="Arial"/>
          <w:szCs w:val="20"/>
        </w:rPr>
        <w:t>particular change</w:t>
      </w:r>
      <w:proofErr w:type="gramEnd"/>
      <w:r w:rsidR="0048699F" w:rsidRPr="000E5786">
        <w:rPr>
          <w:rFonts w:cs="Arial"/>
          <w:szCs w:val="20"/>
        </w:rPr>
        <w:t xml:space="preserve"> of Control, which subsequently takes place as proposed; or</w:t>
      </w:r>
      <w:bookmarkEnd w:id="497"/>
    </w:p>
    <w:p w14:paraId="3AA9955A" w14:textId="1B5A3B0D" w:rsidR="0048699F" w:rsidRPr="000E5786" w:rsidRDefault="001F1C19" w:rsidP="00834C1A">
      <w:pPr>
        <w:pStyle w:val="Heading4"/>
        <w:tabs>
          <w:tab w:val="clear" w:pos="1702"/>
          <w:tab w:val="num" w:pos="2552"/>
        </w:tabs>
        <w:spacing w:after="120"/>
        <w:ind w:left="2410"/>
        <w:rPr>
          <w:rFonts w:cs="Arial"/>
          <w:szCs w:val="20"/>
        </w:rPr>
      </w:pPr>
      <w:bookmarkStart w:id="498" w:name="_Ref53585104"/>
      <w:proofErr w:type="spellStart"/>
      <w:r>
        <w:rPr>
          <w:rFonts w:cs="Arial"/>
          <w:szCs w:val="20"/>
        </w:rPr>
        <w:t>Netlink</w:t>
      </w:r>
      <w:proofErr w:type="spellEnd"/>
      <w:r>
        <w:rPr>
          <w:rFonts w:cs="Arial"/>
          <w:szCs w:val="20"/>
        </w:rPr>
        <w:t xml:space="preserve"> Star</w:t>
      </w:r>
      <w:r w:rsidR="0048699F" w:rsidRPr="000E5786">
        <w:rPr>
          <w:rFonts w:cs="Arial"/>
          <w:szCs w:val="20"/>
        </w:rPr>
        <w:t xml:space="preserve"> has not served its notice of objection within six (6) months of the later of the date the change of Control took place or the date on which </w:t>
      </w:r>
      <w:proofErr w:type="spellStart"/>
      <w:r>
        <w:rPr>
          <w:rFonts w:cs="Arial"/>
          <w:szCs w:val="20"/>
        </w:rPr>
        <w:t>Netlink</w:t>
      </w:r>
      <w:proofErr w:type="spellEnd"/>
      <w:r>
        <w:rPr>
          <w:rFonts w:cs="Arial"/>
          <w:szCs w:val="20"/>
        </w:rPr>
        <w:t xml:space="preserve"> Star</w:t>
      </w:r>
      <w:r w:rsidR="0048699F" w:rsidRPr="000E5786">
        <w:rPr>
          <w:rFonts w:cs="Arial"/>
          <w:szCs w:val="20"/>
        </w:rPr>
        <w:t xml:space="preserve"> was given notice of the change of Control.</w:t>
      </w:r>
      <w:bookmarkEnd w:id="498"/>
    </w:p>
    <w:p w14:paraId="16D3687A" w14:textId="2F7F9564" w:rsidR="0048699F" w:rsidRPr="000E5786" w:rsidRDefault="0048699F" w:rsidP="00CE5734">
      <w:pPr>
        <w:pStyle w:val="BodyText"/>
        <w:spacing w:after="120"/>
        <w:ind w:left="709" w:firstLine="0"/>
        <w:rPr>
          <w:rFonts w:cs="Arial"/>
          <w:szCs w:val="20"/>
          <w:u w:val="single"/>
        </w:rPr>
      </w:pPr>
      <w:r w:rsidRPr="000E5786">
        <w:rPr>
          <w:rFonts w:cs="Arial"/>
          <w:szCs w:val="20"/>
          <w:u w:val="single"/>
        </w:rPr>
        <w:t>Competitive Terms</w:t>
      </w:r>
    </w:p>
    <w:p w14:paraId="475BCE70" w14:textId="1F06C11D" w:rsidR="0048699F" w:rsidRPr="000E5786" w:rsidRDefault="0048699F" w:rsidP="00DD60F0">
      <w:pPr>
        <w:pStyle w:val="Heading2"/>
        <w:spacing w:after="120"/>
        <w:rPr>
          <w:rFonts w:cs="Arial"/>
          <w:szCs w:val="20"/>
        </w:rPr>
      </w:pPr>
      <w:bookmarkStart w:id="499" w:name="_Ref53585105"/>
      <w:r w:rsidRPr="000E5786">
        <w:rPr>
          <w:rFonts w:cs="Arial"/>
          <w:szCs w:val="20"/>
        </w:rPr>
        <w:t xml:space="preserve">If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t>
      </w:r>
      <w:proofErr w:type="gramStart"/>
      <w:r w:rsidRPr="000E5786">
        <w:rPr>
          <w:rFonts w:cs="Arial"/>
          <w:szCs w:val="20"/>
        </w:rPr>
        <w:t>is able to</w:t>
      </w:r>
      <w:proofErr w:type="gramEnd"/>
      <w:r w:rsidRPr="000E5786">
        <w:rPr>
          <w:rFonts w:cs="Arial"/>
          <w:szCs w:val="20"/>
        </w:rPr>
        <w:t xml:space="preserve"> obtain from any </w:t>
      </w:r>
      <w:r w:rsidR="00D07AAA">
        <w:rPr>
          <w:rFonts w:cs="Arial"/>
          <w:szCs w:val="20"/>
        </w:rPr>
        <w:t xml:space="preserve">New </w:t>
      </w:r>
      <w:r w:rsidRPr="000E5786">
        <w:rPr>
          <w:rFonts w:cs="Arial"/>
          <w:szCs w:val="20"/>
        </w:rPr>
        <w:t>Sub-contractor or any other third party (on a like</w:t>
      </w:r>
      <w:r w:rsidR="001E7D8A" w:rsidRPr="000E5786">
        <w:rPr>
          <w:rFonts w:cs="Arial"/>
          <w:szCs w:val="20"/>
        </w:rPr>
        <w:t>-</w:t>
      </w:r>
      <w:r w:rsidRPr="000E5786">
        <w:rPr>
          <w:rFonts w:cs="Arial"/>
          <w:szCs w:val="20"/>
        </w:rPr>
        <w:t xml:space="preserve">for-like basis) more favourable commercial terms with respect to the supply of any goods, software or services used by the Supplier or the Supplier Personnel in the supply of the Services, then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w:t>
      </w:r>
      <w:bookmarkEnd w:id="499"/>
    </w:p>
    <w:p w14:paraId="280B686B" w14:textId="7A1960DB" w:rsidR="0048699F" w:rsidRPr="000E5786" w:rsidRDefault="0048699F" w:rsidP="00346A37">
      <w:pPr>
        <w:pStyle w:val="Heading3"/>
      </w:pPr>
      <w:bookmarkStart w:id="500" w:name="_Ref53585106"/>
      <w:r w:rsidRPr="000E5786">
        <w:t xml:space="preserve">require the Supplier to replace its existing commercial terms with that person with the more favourable commercial terms obtained by </w:t>
      </w:r>
      <w:proofErr w:type="spellStart"/>
      <w:r w:rsidR="001F1C19">
        <w:t>Netlink</w:t>
      </w:r>
      <w:proofErr w:type="spellEnd"/>
      <w:r w:rsidR="001F1C19">
        <w:t xml:space="preserve"> Star</w:t>
      </w:r>
      <w:r w:rsidRPr="000E5786">
        <w:t xml:space="preserve"> in respect of the relevant item; or</w:t>
      </w:r>
      <w:bookmarkEnd w:id="500"/>
    </w:p>
    <w:p w14:paraId="58B1A085" w14:textId="097BD4C7" w:rsidR="0048699F" w:rsidRPr="000E5786" w:rsidRDefault="0048699F" w:rsidP="00346A37">
      <w:pPr>
        <w:pStyle w:val="Heading3"/>
      </w:pPr>
      <w:bookmarkStart w:id="501" w:name="_Ref53585107"/>
      <w:r w:rsidRPr="000E5786">
        <w:t xml:space="preserve">subject to clause </w:t>
      </w:r>
      <w:r w:rsidR="00030361" w:rsidRPr="000E5786">
        <w:fldChar w:fldCharType="begin"/>
      </w:r>
      <w:r w:rsidR="00030361" w:rsidRPr="000E5786">
        <w:instrText xml:space="preserve">  REF _Ref53585096 \w \h \* MERGEFORMAT </w:instrText>
      </w:r>
      <w:r w:rsidR="00030361" w:rsidRPr="000E5786">
        <w:fldChar w:fldCharType="separate"/>
      </w:r>
      <w:r w:rsidR="002523A8" w:rsidRPr="000E5786">
        <w:t>17.13</w:t>
      </w:r>
      <w:r w:rsidR="00030361" w:rsidRPr="000E5786">
        <w:fldChar w:fldCharType="end"/>
      </w:r>
      <w:r w:rsidRPr="000E5786">
        <w:t xml:space="preserve">, enter into a direct agreement with that </w:t>
      </w:r>
      <w:r w:rsidR="00905B46">
        <w:t xml:space="preserve">New </w:t>
      </w:r>
      <w:r w:rsidRPr="000E5786">
        <w:t>Sub-contractor or third party in respect of the relevant item.</w:t>
      </w:r>
      <w:bookmarkEnd w:id="501"/>
    </w:p>
    <w:p w14:paraId="3167EB61" w14:textId="30BB25DE" w:rsidR="0048699F" w:rsidRPr="000E5786" w:rsidRDefault="0048699F" w:rsidP="00DD60F0">
      <w:pPr>
        <w:pStyle w:val="Heading2"/>
        <w:spacing w:after="120"/>
        <w:rPr>
          <w:rFonts w:cs="Arial"/>
          <w:szCs w:val="20"/>
        </w:rPr>
      </w:pPr>
      <w:bookmarkStart w:id="502" w:name="_Ref53585108"/>
      <w:r w:rsidRPr="000E5786">
        <w:rPr>
          <w:rFonts w:cs="Arial"/>
          <w:szCs w:val="20"/>
        </w:rPr>
        <w:t xml:space="preserve">If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exercises either of its options pursuant to clause </w:t>
      </w:r>
      <w:r w:rsidR="00030361" w:rsidRPr="000E5786">
        <w:rPr>
          <w:rFonts w:cs="Arial"/>
          <w:szCs w:val="20"/>
        </w:rPr>
        <w:fldChar w:fldCharType="begin"/>
      </w:r>
      <w:r w:rsidR="00030361" w:rsidRPr="000E5786">
        <w:rPr>
          <w:rFonts w:cs="Arial"/>
          <w:szCs w:val="20"/>
        </w:rPr>
        <w:instrText xml:space="preserve">  REF _Ref53585105 \w \h \* MERGEFORMAT </w:instrText>
      </w:r>
      <w:r w:rsidR="00030361" w:rsidRPr="000E5786">
        <w:rPr>
          <w:rFonts w:cs="Arial"/>
          <w:szCs w:val="20"/>
        </w:rPr>
      </w:r>
      <w:r w:rsidR="00030361" w:rsidRPr="000E5786">
        <w:rPr>
          <w:rFonts w:cs="Arial"/>
          <w:szCs w:val="20"/>
        </w:rPr>
        <w:fldChar w:fldCharType="separate"/>
      </w:r>
      <w:r w:rsidR="002523A8" w:rsidRPr="000E5786">
        <w:rPr>
          <w:rFonts w:cs="Arial"/>
          <w:szCs w:val="20"/>
        </w:rPr>
        <w:t>17.14</w:t>
      </w:r>
      <w:r w:rsidR="00030361" w:rsidRPr="000E5786">
        <w:rPr>
          <w:rFonts w:cs="Arial"/>
          <w:szCs w:val="20"/>
        </w:rPr>
        <w:fldChar w:fldCharType="end"/>
      </w:r>
      <w:r w:rsidRPr="000E5786">
        <w:rPr>
          <w:rFonts w:cs="Arial"/>
          <w:szCs w:val="20"/>
        </w:rPr>
        <w:t>, then the Charges shall be reduced by an amount that is agreed in accordance with the Change Control Procedure.</w:t>
      </w:r>
      <w:bookmarkEnd w:id="502"/>
    </w:p>
    <w:p w14:paraId="7ABDB2A4" w14:textId="6813423B" w:rsidR="0048699F" w:rsidRPr="000E5786" w:rsidRDefault="001F1C19" w:rsidP="00DD60F0">
      <w:pPr>
        <w:pStyle w:val="Heading2"/>
        <w:spacing w:after="120"/>
        <w:rPr>
          <w:rFonts w:cs="Arial"/>
          <w:szCs w:val="20"/>
        </w:rPr>
      </w:pPr>
      <w:bookmarkStart w:id="503" w:name="_Ref53585109"/>
      <w:proofErr w:type="spellStart"/>
      <w:r>
        <w:rPr>
          <w:rFonts w:cs="Arial"/>
          <w:szCs w:val="20"/>
        </w:rPr>
        <w:t>Netlink</w:t>
      </w:r>
      <w:proofErr w:type="spellEnd"/>
      <w:r>
        <w:rPr>
          <w:rFonts w:cs="Arial"/>
          <w:szCs w:val="20"/>
        </w:rPr>
        <w:t xml:space="preserve"> Star</w:t>
      </w:r>
      <w:r w:rsidR="0048699F" w:rsidRPr="000E5786">
        <w:rPr>
          <w:rFonts w:cs="Arial"/>
          <w:szCs w:val="20"/>
        </w:rPr>
        <w:t>’s right to enter into a direct agreement for the supply of the relevant items is subject to:</w:t>
      </w:r>
      <w:bookmarkEnd w:id="503"/>
    </w:p>
    <w:p w14:paraId="5A7B2594" w14:textId="754815BD" w:rsidR="0048699F" w:rsidRPr="000E5786" w:rsidRDefault="001F1C19" w:rsidP="00346A37">
      <w:pPr>
        <w:pStyle w:val="Heading3"/>
      </w:pPr>
      <w:bookmarkStart w:id="504" w:name="_Ref53585110"/>
      <w:proofErr w:type="spellStart"/>
      <w:r>
        <w:t>Netlink</w:t>
      </w:r>
      <w:proofErr w:type="spellEnd"/>
      <w:r>
        <w:t xml:space="preserve"> Star</w:t>
      </w:r>
      <w:r w:rsidR="0048699F" w:rsidRPr="000E5786">
        <w:t xml:space="preserve"> making the relevant item available to the Supplier where this is necessary for the Supplier to provide the Services; and</w:t>
      </w:r>
      <w:bookmarkEnd w:id="504"/>
    </w:p>
    <w:p w14:paraId="415D7D1A" w14:textId="3D442644" w:rsidR="0048699F" w:rsidRPr="000E5786" w:rsidRDefault="0048699F" w:rsidP="00346A37">
      <w:pPr>
        <w:pStyle w:val="Heading3"/>
      </w:pPr>
      <w:bookmarkStart w:id="505" w:name="_Ref53585111"/>
      <w:r w:rsidRPr="000E5786">
        <w:t xml:space="preserve">any reduction in the Charges </w:t>
      </w:r>
      <w:proofErr w:type="gramStart"/>
      <w:r w:rsidRPr="000E5786">
        <w:t>taking into account</w:t>
      </w:r>
      <w:proofErr w:type="gramEnd"/>
      <w:r w:rsidRPr="000E5786">
        <w:t xml:space="preserve"> any unavoidable costs payable by the Supplier in respect of the substituted item, including in respect of any licence fees or early termination charges.</w:t>
      </w:r>
      <w:bookmarkEnd w:id="505"/>
    </w:p>
    <w:p w14:paraId="3A951C39" w14:textId="354C9471" w:rsidR="0048699F" w:rsidRPr="000E5786" w:rsidRDefault="0048699F" w:rsidP="00CE5734">
      <w:pPr>
        <w:pStyle w:val="BodyText"/>
        <w:spacing w:after="120"/>
        <w:ind w:left="709" w:firstLine="0"/>
        <w:rPr>
          <w:rFonts w:cs="Arial"/>
          <w:szCs w:val="20"/>
          <w:u w:val="single"/>
        </w:rPr>
      </w:pPr>
      <w:r w:rsidRPr="000E5786">
        <w:rPr>
          <w:rFonts w:cs="Arial"/>
          <w:szCs w:val="20"/>
          <w:u w:val="single"/>
        </w:rPr>
        <w:t>Retention of Legal Obligations</w:t>
      </w:r>
    </w:p>
    <w:p w14:paraId="05687F04" w14:textId="4C087E49" w:rsidR="0048699F" w:rsidRPr="000E5786" w:rsidRDefault="0048699F" w:rsidP="00DD60F0">
      <w:pPr>
        <w:pStyle w:val="Heading2"/>
        <w:spacing w:after="120"/>
        <w:rPr>
          <w:rFonts w:cs="Arial"/>
          <w:szCs w:val="20"/>
        </w:rPr>
      </w:pPr>
      <w:bookmarkStart w:id="506" w:name="_Ref53585112"/>
      <w:r w:rsidRPr="000E5786">
        <w:rPr>
          <w:rFonts w:cs="Arial"/>
          <w:szCs w:val="20"/>
        </w:rPr>
        <w:t xml:space="preserve">Notwithstanding the Supplier’s right to sub-contract pursuant to this clause </w:t>
      </w:r>
      <w:r w:rsidR="00030361" w:rsidRPr="000E5786">
        <w:rPr>
          <w:rFonts w:cs="Arial"/>
          <w:szCs w:val="20"/>
        </w:rPr>
        <w:fldChar w:fldCharType="begin"/>
      </w:r>
      <w:r w:rsidR="00030361" w:rsidRPr="000E5786">
        <w:rPr>
          <w:rFonts w:cs="Arial"/>
          <w:szCs w:val="20"/>
        </w:rPr>
        <w:instrText xml:space="preserve">  REF _Ref53585714 \w \h \* MERGEFORMAT </w:instrText>
      </w:r>
      <w:r w:rsidR="00030361" w:rsidRPr="000E5786">
        <w:rPr>
          <w:rFonts w:cs="Arial"/>
          <w:szCs w:val="20"/>
        </w:rPr>
      </w:r>
      <w:r w:rsidR="00030361" w:rsidRPr="000E5786">
        <w:rPr>
          <w:rFonts w:cs="Arial"/>
          <w:szCs w:val="20"/>
        </w:rPr>
        <w:fldChar w:fldCharType="separate"/>
      </w:r>
      <w:r w:rsidR="002523A8" w:rsidRPr="000E5786">
        <w:rPr>
          <w:rFonts w:cs="Arial"/>
          <w:szCs w:val="20"/>
        </w:rPr>
        <w:t>17</w:t>
      </w:r>
      <w:r w:rsidR="00030361" w:rsidRPr="000E5786">
        <w:rPr>
          <w:rFonts w:cs="Arial"/>
          <w:szCs w:val="20"/>
        </w:rPr>
        <w:fldChar w:fldCharType="end"/>
      </w:r>
      <w:r w:rsidRPr="000E5786">
        <w:rPr>
          <w:rFonts w:cs="Arial"/>
          <w:szCs w:val="20"/>
        </w:rPr>
        <w:t>, the Supplier shall remain responsible for all acts and omissions of its Sub-contractors and the acts and omissions of those employed or engaged by the Sub-contractors as if they were its own.</w:t>
      </w:r>
      <w:bookmarkEnd w:id="506"/>
    </w:p>
    <w:p w14:paraId="14DD7ACC" w14:textId="726CA9E7" w:rsidR="0048699F" w:rsidRPr="000E5786" w:rsidRDefault="0048699F" w:rsidP="00CE5734">
      <w:pPr>
        <w:pStyle w:val="BodyText"/>
        <w:spacing w:after="120"/>
        <w:ind w:left="709" w:firstLine="0"/>
        <w:rPr>
          <w:rFonts w:cs="Arial"/>
          <w:szCs w:val="20"/>
          <w:u w:val="single"/>
        </w:rPr>
      </w:pPr>
      <w:r w:rsidRPr="000E5786">
        <w:rPr>
          <w:rFonts w:cs="Arial"/>
          <w:szCs w:val="20"/>
          <w:u w:val="single"/>
        </w:rPr>
        <w:t>Exclusion of Sub-contractors</w:t>
      </w:r>
    </w:p>
    <w:p w14:paraId="0FBC9C62" w14:textId="57FA425E" w:rsidR="0048699F" w:rsidRPr="000E5786" w:rsidRDefault="0048699F" w:rsidP="00DD60F0">
      <w:pPr>
        <w:pStyle w:val="Heading2"/>
        <w:spacing w:after="120"/>
        <w:rPr>
          <w:rFonts w:cs="Arial"/>
          <w:szCs w:val="20"/>
        </w:rPr>
      </w:pPr>
      <w:bookmarkStart w:id="507" w:name="_Ref53585113"/>
      <w:r w:rsidRPr="000E5786">
        <w:rPr>
          <w:rFonts w:cs="Arial"/>
          <w:szCs w:val="20"/>
        </w:rPr>
        <w:t xml:space="preserve">Where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considers there are grounds for the exclusion of a Sub-contractor under Regulation 57 of the Public Contracts Regulations (by application of Regulation 80(2) of the Utilities Contracts Regulations), then:</w:t>
      </w:r>
      <w:bookmarkEnd w:id="507"/>
    </w:p>
    <w:p w14:paraId="51C81EE3" w14:textId="799F67C7" w:rsidR="0048699F" w:rsidRPr="000E5786" w:rsidRDefault="0048699F" w:rsidP="00346A37">
      <w:pPr>
        <w:pStyle w:val="Heading3"/>
      </w:pPr>
      <w:bookmarkStart w:id="508" w:name="_Ref53585114"/>
      <w:r w:rsidRPr="000E5786">
        <w:t xml:space="preserve">if </w:t>
      </w:r>
      <w:proofErr w:type="spellStart"/>
      <w:r w:rsidR="001F1C19">
        <w:t>Netlink</w:t>
      </w:r>
      <w:proofErr w:type="spellEnd"/>
      <w:r w:rsidR="001F1C19">
        <w:t xml:space="preserve"> Star</w:t>
      </w:r>
      <w:r w:rsidRPr="000E5786">
        <w:t xml:space="preserve"> finds there are mandatory grounds for exclusion, the Supplier shall replace or shall not appoint the Sub-</w:t>
      </w:r>
      <w:proofErr w:type="gramStart"/>
      <w:r w:rsidRPr="000E5786">
        <w:t>contractor;</w:t>
      </w:r>
      <w:bookmarkEnd w:id="508"/>
      <w:proofErr w:type="gramEnd"/>
    </w:p>
    <w:p w14:paraId="0555C8A7" w14:textId="746C72BA" w:rsidR="0048699F" w:rsidRPr="000E5786" w:rsidRDefault="0048699F" w:rsidP="00346A37">
      <w:pPr>
        <w:pStyle w:val="Heading3"/>
      </w:pPr>
      <w:bookmarkStart w:id="509" w:name="_Ref53585115"/>
      <w:r w:rsidRPr="000E5786">
        <w:t xml:space="preserve">if </w:t>
      </w:r>
      <w:proofErr w:type="spellStart"/>
      <w:r w:rsidR="001F1C19">
        <w:t>Netlink</w:t>
      </w:r>
      <w:proofErr w:type="spellEnd"/>
      <w:r w:rsidR="001F1C19">
        <w:t xml:space="preserve"> Star</w:t>
      </w:r>
      <w:r w:rsidRPr="000E5786">
        <w:t xml:space="preserve"> finds there are discretionary grounds for exclusion, </w:t>
      </w:r>
      <w:proofErr w:type="spellStart"/>
      <w:r w:rsidR="001F1C19">
        <w:t>Netlink</w:t>
      </w:r>
      <w:proofErr w:type="spellEnd"/>
      <w:r w:rsidR="001F1C19">
        <w:t xml:space="preserve"> Star</w:t>
      </w:r>
      <w:r w:rsidRPr="000E5786">
        <w:t xml:space="preserve"> may require the Supplier to replace or not to appoint the Sub-contractor and the Supplier shall comply with such a requirement.</w:t>
      </w:r>
      <w:bookmarkEnd w:id="509"/>
    </w:p>
    <w:p w14:paraId="46FF6E82" w14:textId="6AA74BCC" w:rsidR="0048699F" w:rsidRPr="000E5786" w:rsidRDefault="0048699F" w:rsidP="00CE5734">
      <w:pPr>
        <w:pStyle w:val="BodyText"/>
        <w:spacing w:after="120"/>
        <w:ind w:left="709" w:firstLine="0"/>
        <w:rPr>
          <w:rFonts w:cs="Arial"/>
          <w:szCs w:val="20"/>
          <w:u w:val="single"/>
        </w:rPr>
      </w:pPr>
      <w:r w:rsidRPr="000E5786">
        <w:rPr>
          <w:rFonts w:cs="Arial"/>
          <w:szCs w:val="20"/>
          <w:u w:val="single"/>
        </w:rPr>
        <w:t>Relevant Sub-Contractors</w:t>
      </w:r>
    </w:p>
    <w:p w14:paraId="503F41C6" w14:textId="12E8DFC0" w:rsidR="0048699F" w:rsidRPr="000E5786" w:rsidRDefault="0048699F" w:rsidP="00DD60F0">
      <w:pPr>
        <w:pStyle w:val="Heading2"/>
        <w:spacing w:after="120"/>
        <w:rPr>
          <w:rFonts w:cs="Arial"/>
          <w:szCs w:val="20"/>
        </w:rPr>
      </w:pPr>
      <w:bookmarkStart w:id="510" w:name="_Ref53585116"/>
      <w:r w:rsidRPr="000E5786">
        <w:rPr>
          <w:rFonts w:cs="Arial"/>
          <w:szCs w:val="20"/>
        </w:rPr>
        <w:t xml:space="preserve">The Supplier shall provide to the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Representative details of the name contact details and legal representatives of the Relevant Sub-</w:t>
      </w:r>
      <w:r w:rsidR="00413170">
        <w:rPr>
          <w:rFonts w:cs="Arial"/>
          <w:szCs w:val="20"/>
        </w:rPr>
        <w:t>c</w:t>
      </w:r>
      <w:r w:rsidRPr="000E5786">
        <w:rPr>
          <w:rFonts w:cs="Arial"/>
          <w:szCs w:val="20"/>
        </w:rPr>
        <w:t>ontractors by no later than the Implementation Services Commencement Date.</w:t>
      </w:r>
      <w:bookmarkEnd w:id="510"/>
    </w:p>
    <w:p w14:paraId="25CB2CE3" w14:textId="3EFE9DE3" w:rsidR="0048699F" w:rsidRPr="000E5786" w:rsidRDefault="0048699F" w:rsidP="00DD60F0">
      <w:pPr>
        <w:pStyle w:val="Heading2"/>
        <w:spacing w:after="120"/>
        <w:rPr>
          <w:rFonts w:cs="Arial"/>
          <w:szCs w:val="20"/>
        </w:rPr>
      </w:pPr>
      <w:bookmarkStart w:id="511" w:name="_Ref53585117"/>
      <w:r w:rsidRPr="000E5786">
        <w:rPr>
          <w:rFonts w:cs="Arial"/>
          <w:szCs w:val="20"/>
        </w:rPr>
        <w:t xml:space="preserve">During the Term the Supplier shall notify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writing within ten (10) days of:</w:t>
      </w:r>
      <w:bookmarkEnd w:id="511"/>
    </w:p>
    <w:p w14:paraId="7E85BFC7" w14:textId="1763267C" w:rsidR="0048699F" w:rsidRPr="000E5786" w:rsidRDefault="0048699F" w:rsidP="00346A37">
      <w:pPr>
        <w:pStyle w:val="Heading3"/>
      </w:pPr>
      <w:bookmarkStart w:id="512" w:name="_Ref53585118"/>
      <w:r w:rsidRPr="000E5786">
        <w:lastRenderedPageBreak/>
        <w:t xml:space="preserve">any changes to the information required to be notified to </w:t>
      </w:r>
      <w:proofErr w:type="spellStart"/>
      <w:r w:rsidR="001F1C19">
        <w:t>Netlink</w:t>
      </w:r>
      <w:proofErr w:type="spellEnd"/>
      <w:r w:rsidR="001F1C19">
        <w:t xml:space="preserve"> Star</w:t>
      </w:r>
      <w:r w:rsidRPr="000E5786">
        <w:t xml:space="preserve"> in accordance with clause </w:t>
      </w:r>
      <w:r w:rsidR="00030361" w:rsidRPr="000E5786">
        <w:fldChar w:fldCharType="begin"/>
      </w:r>
      <w:r w:rsidR="00030361" w:rsidRPr="000E5786">
        <w:instrText xml:space="preserve">  REF _Ref53585116 \w \h \* MERGEFORMAT </w:instrText>
      </w:r>
      <w:r w:rsidR="00030361" w:rsidRPr="000E5786">
        <w:fldChar w:fldCharType="separate"/>
      </w:r>
      <w:r w:rsidR="002523A8" w:rsidRPr="000E5786">
        <w:t>17.19</w:t>
      </w:r>
      <w:r w:rsidR="00030361" w:rsidRPr="000E5786">
        <w:fldChar w:fldCharType="end"/>
      </w:r>
      <w:r w:rsidRPr="000E5786">
        <w:t xml:space="preserve"> above; and/or</w:t>
      </w:r>
      <w:bookmarkEnd w:id="512"/>
    </w:p>
    <w:p w14:paraId="6C1B21C9" w14:textId="46C14CBC" w:rsidR="0048699F" w:rsidRPr="000E5786" w:rsidRDefault="0048699F" w:rsidP="00346A37">
      <w:pPr>
        <w:pStyle w:val="Heading3"/>
      </w:pPr>
      <w:bookmarkStart w:id="513" w:name="_Ref53585119"/>
      <w:r w:rsidRPr="000E5786">
        <w:t xml:space="preserve">the name </w:t>
      </w:r>
      <w:proofErr w:type="gramStart"/>
      <w:r w:rsidRPr="000E5786">
        <w:t>contact</w:t>
      </w:r>
      <w:proofErr w:type="gramEnd"/>
      <w:r w:rsidRPr="000E5786">
        <w:t xml:space="preserve"> details and legal representatives of any Relevant Sub</w:t>
      </w:r>
      <w:r w:rsidR="002701EF" w:rsidRPr="000E5786">
        <w:t>-</w:t>
      </w:r>
      <w:r w:rsidR="00413170">
        <w:t>c</w:t>
      </w:r>
      <w:r w:rsidRPr="000E5786">
        <w:t>ontractors appointed following the Implementation Services Commencement Date.</w:t>
      </w:r>
      <w:bookmarkEnd w:id="513"/>
    </w:p>
    <w:p w14:paraId="67EC1CD2" w14:textId="1330F9DA" w:rsidR="0048699F" w:rsidRPr="000E5786" w:rsidRDefault="0048699F" w:rsidP="00DD60F0">
      <w:pPr>
        <w:pStyle w:val="Heading2"/>
        <w:spacing w:after="120"/>
        <w:rPr>
          <w:rFonts w:cs="Arial"/>
          <w:szCs w:val="20"/>
        </w:rPr>
      </w:pPr>
      <w:bookmarkStart w:id="514" w:name="_Ref53585120"/>
      <w:r w:rsidRPr="000E5786">
        <w:rPr>
          <w:rFonts w:cs="Arial"/>
          <w:szCs w:val="20"/>
        </w:rPr>
        <w:t xml:space="preserve">Where the Supplier is required to notify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accordance with clauses </w:t>
      </w:r>
      <w:r w:rsidR="00030361" w:rsidRPr="000E5786">
        <w:rPr>
          <w:rFonts w:cs="Arial"/>
          <w:szCs w:val="20"/>
        </w:rPr>
        <w:fldChar w:fldCharType="begin"/>
      </w:r>
      <w:r w:rsidR="00030361" w:rsidRPr="000E5786">
        <w:rPr>
          <w:rFonts w:cs="Arial"/>
          <w:szCs w:val="20"/>
        </w:rPr>
        <w:instrText xml:space="preserve">  REF _Ref53585118 \w \h \* MERGEFORMAT </w:instrText>
      </w:r>
      <w:r w:rsidR="00030361" w:rsidRPr="000E5786">
        <w:rPr>
          <w:rFonts w:cs="Arial"/>
          <w:szCs w:val="20"/>
        </w:rPr>
      </w:r>
      <w:r w:rsidR="00030361" w:rsidRPr="000E5786">
        <w:rPr>
          <w:rFonts w:cs="Arial"/>
          <w:szCs w:val="20"/>
        </w:rPr>
        <w:fldChar w:fldCharType="separate"/>
      </w:r>
      <w:r w:rsidR="002523A8" w:rsidRPr="000E5786">
        <w:rPr>
          <w:rFonts w:cs="Arial"/>
          <w:szCs w:val="20"/>
        </w:rPr>
        <w:t>17.20.1</w:t>
      </w:r>
      <w:r w:rsidR="00030361" w:rsidRPr="000E5786">
        <w:rPr>
          <w:rFonts w:cs="Arial"/>
          <w:szCs w:val="20"/>
        </w:rPr>
        <w:fldChar w:fldCharType="end"/>
      </w:r>
      <w:r w:rsidRPr="000E5786">
        <w:rPr>
          <w:rFonts w:cs="Arial"/>
          <w:szCs w:val="20"/>
        </w:rPr>
        <w:t xml:space="preserve"> and </w:t>
      </w:r>
      <w:r w:rsidR="00030361" w:rsidRPr="000E5786">
        <w:rPr>
          <w:rFonts w:cs="Arial"/>
          <w:szCs w:val="20"/>
        </w:rPr>
        <w:fldChar w:fldCharType="begin"/>
      </w:r>
      <w:r w:rsidR="00030361" w:rsidRPr="000E5786">
        <w:rPr>
          <w:rFonts w:cs="Arial"/>
          <w:szCs w:val="20"/>
        </w:rPr>
        <w:instrText xml:space="preserve">  REF _Ref53585119 \w \h \* MERGEFORMAT </w:instrText>
      </w:r>
      <w:r w:rsidR="00030361" w:rsidRPr="000E5786">
        <w:rPr>
          <w:rFonts w:cs="Arial"/>
          <w:szCs w:val="20"/>
        </w:rPr>
      </w:r>
      <w:r w:rsidR="00030361" w:rsidRPr="000E5786">
        <w:rPr>
          <w:rFonts w:cs="Arial"/>
          <w:szCs w:val="20"/>
        </w:rPr>
        <w:fldChar w:fldCharType="separate"/>
      </w:r>
      <w:r w:rsidR="002523A8" w:rsidRPr="000E5786">
        <w:rPr>
          <w:rFonts w:cs="Arial"/>
          <w:szCs w:val="20"/>
        </w:rPr>
        <w:t>17.20.2</w:t>
      </w:r>
      <w:r w:rsidR="00030361" w:rsidRPr="000E5786">
        <w:rPr>
          <w:rFonts w:cs="Arial"/>
          <w:szCs w:val="20"/>
        </w:rPr>
        <w:fldChar w:fldCharType="end"/>
      </w:r>
      <w:r w:rsidRPr="000E5786">
        <w:rPr>
          <w:rFonts w:cs="Arial"/>
          <w:szCs w:val="20"/>
        </w:rPr>
        <w:t xml:space="preserve"> it must obtain the written consent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to the appointment or continued use of the Relevant Sub-</w:t>
      </w:r>
      <w:r w:rsidR="00413170">
        <w:rPr>
          <w:rFonts w:cs="Arial"/>
          <w:szCs w:val="20"/>
        </w:rPr>
        <w:t>c</w:t>
      </w:r>
      <w:r w:rsidRPr="000E5786">
        <w:rPr>
          <w:rFonts w:cs="Arial"/>
          <w:szCs w:val="20"/>
        </w:rPr>
        <w:t>ontractor(s).</w:t>
      </w:r>
      <w:bookmarkEnd w:id="514"/>
    </w:p>
    <w:p w14:paraId="681A876B" w14:textId="09C83200" w:rsidR="0048699F" w:rsidRPr="000E5786" w:rsidRDefault="0048699F" w:rsidP="00DD60F0">
      <w:pPr>
        <w:pStyle w:val="Heading2"/>
        <w:spacing w:after="120"/>
        <w:rPr>
          <w:rFonts w:cs="Arial"/>
          <w:szCs w:val="20"/>
        </w:rPr>
      </w:pPr>
      <w:bookmarkStart w:id="515" w:name="_Ref53585121"/>
      <w:r w:rsidRPr="000E5786">
        <w:rPr>
          <w:rFonts w:cs="Arial"/>
          <w:szCs w:val="20"/>
        </w:rPr>
        <w:t xml:space="preserve">In considering whether to grant written consent in accordance with clause </w:t>
      </w:r>
      <w:r w:rsidR="00BE79F0" w:rsidRPr="000E5786">
        <w:rPr>
          <w:rFonts w:cs="Arial"/>
          <w:szCs w:val="20"/>
        </w:rPr>
        <w:fldChar w:fldCharType="begin"/>
      </w:r>
      <w:r w:rsidR="00BE79F0" w:rsidRPr="000E5786">
        <w:rPr>
          <w:rFonts w:cs="Arial"/>
          <w:szCs w:val="20"/>
        </w:rPr>
        <w:instrText xml:space="preserve">  REF _Ref53585120 \w \h \* MERGEFORMAT </w:instrText>
      </w:r>
      <w:r w:rsidR="00BE79F0" w:rsidRPr="000E5786">
        <w:rPr>
          <w:rFonts w:cs="Arial"/>
          <w:szCs w:val="20"/>
        </w:rPr>
      </w:r>
      <w:r w:rsidR="00BE79F0" w:rsidRPr="000E5786">
        <w:rPr>
          <w:rFonts w:cs="Arial"/>
          <w:szCs w:val="20"/>
        </w:rPr>
        <w:fldChar w:fldCharType="separate"/>
      </w:r>
      <w:r w:rsidR="002523A8" w:rsidRPr="000E5786">
        <w:rPr>
          <w:rFonts w:cs="Arial"/>
          <w:szCs w:val="20"/>
        </w:rPr>
        <w:t>17.21</w:t>
      </w:r>
      <w:r w:rsidR="00BE79F0" w:rsidRPr="000E5786">
        <w:rPr>
          <w:rFonts w:cs="Arial"/>
          <w:szCs w:val="20"/>
        </w:rPr>
        <w:fldChar w:fldCharType="end"/>
      </w:r>
      <w:r w:rsidRPr="000E5786">
        <w:rPr>
          <w:rFonts w:cs="Arial"/>
          <w:szCs w:val="20"/>
        </w:rPr>
        <w:t xml:space="preserve">, the Supplier shall provide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with a European Single Procurement Document for the Relevant Sub-</w:t>
      </w:r>
      <w:r w:rsidR="00413170">
        <w:rPr>
          <w:rFonts w:cs="Arial"/>
          <w:szCs w:val="20"/>
        </w:rPr>
        <w:t>c</w:t>
      </w:r>
      <w:r w:rsidRPr="000E5786">
        <w:rPr>
          <w:rFonts w:cs="Arial"/>
          <w:szCs w:val="20"/>
        </w:rPr>
        <w:t>ontractor.</w:t>
      </w:r>
      <w:r w:rsidR="000578A4" w:rsidRPr="000E5786">
        <w:rPr>
          <w:rFonts w:cs="Arial"/>
          <w:szCs w:val="20"/>
        </w:rPr>
        <w:t xml:space="preserv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withhold its consent to the appointment or continued use of any Relevant Sub-</w:t>
      </w:r>
      <w:r w:rsidR="00413170">
        <w:rPr>
          <w:rFonts w:cs="Arial"/>
          <w:szCs w:val="20"/>
        </w:rPr>
        <w:t>c</w:t>
      </w:r>
      <w:r w:rsidRPr="000E5786">
        <w:rPr>
          <w:rFonts w:cs="Arial"/>
          <w:szCs w:val="20"/>
        </w:rPr>
        <w:t xml:space="preserve">ontractor where the European Single Procurement Document provided to it in accordance with this clause </w:t>
      </w:r>
      <w:r w:rsidR="00BE79F0" w:rsidRPr="000E5786">
        <w:rPr>
          <w:rFonts w:cs="Arial"/>
          <w:szCs w:val="20"/>
        </w:rPr>
        <w:fldChar w:fldCharType="begin"/>
      </w:r>
      <w:r w:rsidR="00BE79F0" w:rsidRPr="000E5786">
        <w:rPr>
          <w:rFonts w:cs="Arial"/>
          <w:szCs w:val="20"/>
        </w:rPr>
        <w:instrText xml:space="preserve">  REF _Ref53585121 \w \h \* MERGEFORMAT </w:instrText>
      </w:r>
      <w:r w:rsidR="00BE79F0" w:rsidRPr="000E5786">
        <w:rPr>
          <w:rFonts w:cs="Arial"/>
          <w:szCs w:val="20"/>
        </w:rPr>
      </w:r>
      <w:r w:rsidR="00BE79F0" w:rsidRPr="000E5786">
        <w:rPr>
          <w:rFonts w:cs="Arial"/>
          <w:szCs w:val="20"/>
        </w:rPr>
        <w:fldChar w:fldCharType="separate"/>
      </w:r>
      <w:r w:rsidR="002523A8" w:rsidRPr="000E5786">
        <w:rPr>
          <w:rFonts w:cs="Arial"/>
          <w:szCs w:val="20"/>
        </w:rPr>
        <w:t>17.22</w:t>
      </w:r>
      <w:r w:rsidR="00BE79F0" w:rsidRPr="000E5786">
        <w:rPr>
          <w:rFonts w:cs="Arial"/>
          <w:szCs w:val="20"/>
        </w:rPr>
        <w:fldChar w:fldCharType="end"/>
      </w:r>
      <w:r w:rsidRPr="000E5786">
        <w:rPr>
          <w:rFonts w:cs="Arial"/>
          <w:szCs w:val="20"/>
        </w:rPr>
        <w:t xml:space="preserve"> does not meet the Selection Criteria.</w:t>
      </w:r>
      <w:bookmarkEnd w:id="515"/>
    </w:p>
    <w:p w14:paraId="5CC9F99F" w14:textId="14582CA9" w:rsidR="0048699F" w:rsidRPr="000E5786" w:rsidRDefault="0048699F" w:rsidP="00DD60F0">
      <w:pPr>
        <w:pStyle w:val="Heading2"/>
        <w:spacing w:after="120"/>
        <w:rPr>
          <w:rFonts w:cs="Arial"/>
          <w:szCs w:val="20"/>
        </w:rPr>
      </w:pPr>
      <w:bookmarkStart w:id="516" w:name="_Ref53585122"/>
      <w:r w:rsidRPr="000E5786">
        <w:rPr>
          <w:rFonts w:cs="Arial"/>
          <w:szCs w:val="20"/>
        </w:rPr>
        <w:t xml:space="preserve">Where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withholds its consent in accordance with clause </w:t>
      </w:r>
      <w:r w:rsidR="00BE79F0" w:rsidRPr="000E5786">
        <w:rPr>
          <w:rFonts w:cs="Arial"/>
          <w:szCs w:val="20"/>
        </w:rPr>
        <w:fldChar w:fldCharType="begin"/>
      </w:r>
      <w:r w:rsidR="00BE79F0" w:rsidRPr="000E5786">
        <w:rPr>
          <w:rFonts w:cs="Arial"/>
          <w:szCs w:val="20"/>
        </w:rPr>
        <w:instrText xml:space="preserve">  REF _Ref53585121 \w \h \* MERGEFORMAT </w:instrText>
      </w:r>
      <w:r w:rsidR="00BE79F0" w:rsidRPr="000E5786">
        <w:rPr>
          <w:rFonts w:cs="Arial"/>
          <w:szCs w:val="20"/>
        </w:rPr>
      </w:r>
      <w:r w:rsidR="00BE79F0" w:rsidRPr="000E5786">
        <w:rPr>
          <w:rFonts w:cs="Arial"/>
          <w:szCs w:val="20"/>
        </w:rPr>
        <w:fldChar w:fldCharType="separate"/>
      </w:r>
      <w:r w:rsidR="002523A8" w:rsidRPr="000E5786">
        <w:rPr>
          <w:rFonts w:cs="Arial"/>
          <w:szCs w:val="20"/>
        </w:rPr>
        <w:t>17.22</w:t>
      </w:r>
      <w:r w:rsidR="00BE79F0" w:rsidRPr="000E5786">
        <w:rPr>
          <w:rFonts w:cs="Arial"/>
          <w:szCs w:val="20"/>
        </w:rPr>
        <w:fldChar w:fldCharType="end"/>
      </w:r>
      <w:r w:rsidRPr="000E5786">
        <w:rPr>
          <w:rFonts w:cs="Arial"/>
          <w:szCs w:val="20"/>
        </w:rPr>
        <w:t xml:space="preserve"> the Supplier shall replace the Relevant Sub-</w:t>
      </w:r>
      <w:r w:rsidR="00413170">
        <w:rPr>
          <w:rFonts w:cs="Arial"/>
          <w:szCs w:val="20"/>
        </w:rPr>
        <w:t>c</w:t>
      </w:r>
      <w:r w:rsidRPr="000E5786">
        <w:rPr>
          <w:rFonts w:cs="Arial"/>
          <w:szCs w:val="20"/>
        </w:rPr>
        <w:t xml:space="preserve">ontractor and shall propose a new sub-contractor by following the process detailed in clauses </w:t>
      </w:r>
      <w:r w:rsidR="00BE79F0" w:rsidRPr="000E5786">
        <w:rPr>
          <w:rFonts w:cs="Arial"/>
          <w:szCs w:val="20"/>
        </w:rPr>
        <w:fldChar w:fldCharType="begin"/>
      </w:r>
      <w:r w:rsidR="00BE79F0" w:rsidRPr="000E5786">
        <w:rPr>
          <w:rFonts w:cs="Arial"/>
          <w:szCs w:val="20"/>
        </w:rPr>
        <w:instrText xml:space="preserve">  REF _Ref53585117 \w \h \* MERGEFORMAT </w:instrText>
      </w:r>
      <w:r w:rsidR="00BE79F0" w:rsidRPr="000E5786">
        <w:rPr>
          <w:rFonts w:cs="Arial"/>
          <w:szCs w:val="20"/>
        </w:rPr>
      </w:r>
      <w:r w:rsidR="00BE79F0" w:rsidRPr="000E5786">
        <w:rPr>
          <w:rFonts w:cs="Arial"/>
          <w:szCs w:val="20"/>
        </w:rPr>
        <w:fldChar w:fldCharType="separate"/>
      </w:r>
      <w:r w:rsidR="002523A8" w:rsidRPr="000E5786">
        <w:rPr>
          <w:rFonts w:cs="Arial"/>
          <w:szCs w:val="20"/>
        </w:rPr>
        <w:t>17.20</w:t>
      </w:r>
      <w:r w:rsidR="00BE79F0" w:rsidRPr="000E5786">
        <w:rPr>
          <w:rFonts w:cs="Arial"/>
          <w:szCs w:val="20"/>
        </w:rPr>
        <w:fldChar w:fldCharType="end"/>
      </w:r>
      <w:r w:rsidRPr="000E5786">
        <w:rPr>
          <w:rFonts w:cs="Arial"/>
          <w:szCs w:val="20"/>
        </w:rPr>
        <w:t xml:space="preserve"> to </w:t>
      </w:r>
      <w:r w:rsidR="00BE79F0" w:rsidRPr="000E5786">
        <w:rPr>
          <w:rFonts w:cs="Arial"/>
          <w:szCs w:val="20"/>
        </w:rPr>
        <w:fldChar w:fldCharType="begin"/>
      </w:r>
      <w:r w:rsidR="00BE79F0" w:rsidRPr="000E5786">
        <w:rPr>
          <w:rFonts w:cs="Arial"/>
          <w:szCs w:val="20"/>
        </w:rPr>
        <w:instrText xml:space="preserve">  REF _Ref53585121 \w \h \* MERGEFORMAT </w:instrText>
      </w:r>
      <w:r w:rsidR="00BE79F0" w:rsidRPr="000E5786">
        <w:rPr>
          <w:rFonts w:cs="Arial"/>
          <w:szCs w:val="20"/>
        </w:rPr>
      </w:r>
      <w:r w:rsidR="00BE79F0" w:rsidRPr="000E5786">
        <w:rPr>
          <w:rFonts w:cs="Arial"/>
          <w:szCs w:val="20"/>
        </w:rPr>
        <w:fldChar w:fldCharType="separate"/>
      </w:r>
      <w:r w:rsidR="002523A8" w:rsidRPr="000E5786">
        <w:rPr>
          <w:rFonts w:cs="Arial"/>
          <w:szCs w:val="20"/>
        </w:rPr>
        <w:t>17.22</w:t>
      </w:r>
      <w:r w:rsidR="00BE79F0" w:rsidRPr="000E5786">
        <w:rPr>
          <w:rFonts w:cs="Arial"/>
          <w:szCs w:val="20"/>
        </w:rPr>
        <w:fldChar w:fldCharType="end"/>
      </w:r>
      <w:r w:rsidRPr="000E5786">
        <w:rPr>
          <w:rFonts w:cs="Arial"/>
          <w:szCs w:val="20"/>
        </w:rPr>
        <w:t xml:space="preserve"> above.</w:t>
      </w:r>
      <w:bookmarkEnd w:id="516"/>
    </w:p>
    <w:p w14:paraId="4B7A3C3A" w14:textId="5593CD48" w:rsidR="0048699F" w:rsidRPr="000E5786" w:rsidRDefault="0048699F" w:rsidP="00CE5734">
      <w:pPr>
        <w:pStyle w:val="BodyText"/>
        <w:spacing w:after="120"/>
        <w:ind w:left="709" w:firstLine="0"/>
        <w:rPr>
          <w:rFonts w:cs="Arial"/>
          <w:szCs w:val="20"/>
          <w:u w:val="single"/>
        </w:rPr>
      </w:pPr>
      <w:r w:rsidRPr="000E5786">
        <w:rPr>
          <w:rFonts w:cs="Arial"/>
          <w:szCs w:val="20"/>
          <w:u w:val="single"/>
        </w:rPr>
        <w:t>Data processing supply chain</w:t>
      </w:r>
    </w:p>
    <w:p w14:paraId="4E163C9F" w14:textId="29265F60" w:rsidR="0048699F" w:rsidRPr="000E5786" w:rsidRDefault="0048699F" w:rsidP="00DD60F0">
      <w:pPr>
        <w:pStyle w:val="Heading2"/>
        <w:spacing w:after="120"/>
        <w:rPr>
          <w:rFonts w:cs="Arial"/>
          <w:szCs w:val="20"/>
        </w:rPr>
      </w:pPr>
      <w:bookmarkStart w:id="517" w:name="_Ref53585123"/>
      <w:r w:rsidRPr="000E5786">
        <w:rPr>
          <w:rFonts w:cs="Arial"/>
          <w:szCs w:val="20"/>
        </w:rPr>
        <w:t xml:space="preserve">The provisions of this clause </w:t>
      </w:r>
      <w:r w:rsidR="00BE79F0" w:rsidRPr="000E5786">
        <w:rPr>
          <w:rFonts w:cs="Arial"/>
          <w:szCs w:val="20"/>
        </w:rPr>
        <w:fldChar w:fldCharType="begin"/>
      </w:r>
      <w:r w:rsidR="00BE79F0" w:rsidRPr="000E5786">
        <w:rPr>
          <w:rFonts w:cs="Arial"/>
          <w:szCs w:val="20"/>
        </w:rPr>
        <w:instrText xml:space="preserve">  REF _Ref53585714 \w \h \* MERGEFORMAT </w:instrText>
      </w:r>
      <w:r w:rsidR="00BE79F0" w:rsidRPr="000E5786">
        <w:rPr>
          <w:rFonts w:cs="Arial"/>
          <w:szCs w:val="20"/>
        </w:rPr>
      </w:r>
      <w:r w:rsidR="00BE79F0" w:rsidRPr="000E5786">
        <w:rPr>
          <w:rFonts w:cs="Arial"/>
          <w:szCs w:val="20"/>
        </w:rPr>
        <w:fldChar w:fldCharType="separate"/>
      </w:r>
      <w:r w:rsidR="002523A8" w:rsidRPr="000E5786">
        <w:rPr>
          <w:rFonts w:cs="Arial"/>
          <w:szCs w:val="20"/>
        </w:rPr>
        <w:t>17</w:t>
      </w:r>
      <w:r w:rsidR="00BE79F0" w:rsidRPr="000E5786">
        <w:rPr>
          <w:rFonts w:cs="Arial"/>
          <w:szCs w:val="20"/>
        </w:rPr>
        <w:fldChar w:fldCharType="end"/>
      </w:r>
      <w:r w:rsidRPr="000E5786">
        <w:rPr>
          <w:rFonts w:cs="Arial"/>
          <w:szCs w:val="20"/>
        </w:rPr>
        <w:t xml:space="preserve"> are subject to clause </w:t>
      </w:r>
      <w:r w:rsidR="00BE79F0" w:rsidRPr="000E5786">
        <w:rPr>
          <w:rFonts w:cs="Arial"/>
          <w:szCs w:val="20"/>
        </w:rPr>
        <w:fldChar w:fldCharType="begin"/>
      </w:r>
      <w:r w:rsidR="00BE79F0" w:rsidRPr="000E5786">
        <w:rPr>
          <w:rFonts w:cs="Arial"/>
          <w:szCs w:val="20"/>
        </w:rPr>
        <w:instrText xml:space="preserve">  REF _Ref53585724 \w \h \* MERGEFORMAT </w:instrText>
      </w:r>
      <w:r w:rsidR="00BE79F0" w:rsidRPr="000E5786">
        <w:rPr>
          <w:rFonts w:cs="Arial"/>
          <w:szCs w:val="20"/>
        </w:rPr>
      </w:r>
      <w:r w:rsidR="00BE79F0" w:rsidRPr="000E5786">
        <w:rPr>
          <w:rFonts w:cs="Arial"/>
          <w:szCs w:val="20"/>
        </w:rPr>
        <w:fldChar w:fldCharType="separate"/>
      </w:r>
      <w:r w:rsidR="002523A8" w:rsidRPr="000E5786">
        <w:rPr>
          <w:rFonts w:cs="Arial"/>
          <w:szCs w:val="20"/>
        </w:rPr>
        <w:t>26</w:t>
      </w:r>
      <w:r w:rsidR="00BE79F0" w:rsidRPr="000E5786">
        <w:rPr>
          <w:rFonts w:cs="Arial"/>
          <w:szCs w:val="20"/>
        </w:rPr>
        <w:fldChar w:fldCharType="end"/>
      </w:r>
      <w:r w:rsidRPr="000E5786">
        <w:rPr>
          <w:rFonts w:cs="Arial"/>
          <w:szCs w:val="20"/>
        </w:rPr>
        <w:t xml:space="preserve"> (Protection of Personal Data) in respect of any sub-contracts relating to data processing.</w:t>
      </w:r>
      <w:bookmarkEnd w:id="517"/>
    </w:p>
    <w:p w14:paraId="46207794" w14:textId="23600A49" w:rsidR="0048699F" w:rsidRPr="000E5786" w:rsidRDefault="0048699F" w:rsidP="00DD60F0">
      <w:pPr>
        <w:pStyle w:val="BodyText"/>
        <w:spacing w:after="120"/>
        <w:rPr>
          <w:rFonts w:cs="Arial"/>
          <w:b/>
          <w:bCs/>
          <w:szCs w:val="20"/>
        </w:rPr>
      </w:pPr>
      <w:r w:rsidRPr="000E5786">
        <w:rPr>
          <w:rFonts w:cs="Arial"/>
          <w:b/>
          <w:bCs/>
          <w:szCs w:val="20"/>
        </w:rPr>
        <w:t>SECTION F – INTELLECTUAL PROPERTY, DATA AND CONFIDENTIALITY</w:t>
      </w:r>
    </w:p>
    <w:p w14:paraId="66983E1B" w14:textId="00911130" w:rsidR="0048699F" w:rsidRPr="000E5786" w:rsidRDefault="0048699F" w:rsidP="00DD60F0">
      <w:pPr>
        <w:pStyle w:val="Heading1"/>
        <w:spacing w:after="120"/>
        <w:rPr>
          <w:rFonts w:cs="Arial"/>
          <w:szCs w:val="20"/>
        </w:rPr>
      </w:pPr>
      <w:bookmarkStart w:id="518" w:name="_Ref53585124"/>
      <w:bookmarkStart w:id="519" w:name="_Ref53585715"/>
      <w:bookmarkStart w:id="520" w:name="_Toc71198942"/>
      <w:r w:rsidRPr="000E5786">
        <w:rPr>
          <w:rFonts w:cs="Arial"/>
          <w:szCs w:val="20"/>
        </w:rPr>
        <w:t>INTELLECTUAL PROPERTY RIGHTS</w:t>
      </w:r>
      <w:bookmarkEnd w:id="518"/>
      <w:bookmarkEnd w:id="519"/>
      <w:bookmarkEnd w:id="520"/>
    </w:p>
    <w:p w14:paraId="79938DBD" w14:textId="4DA9A68D" w:rsidR="0048699F" w:rsidRPr="000E5786" w:rsidRDefault="0048699F" w:rsidP="00DD60F0">
      <w:pPr>
        <w:pStyle w:val="Heading2"/>
        <w:spacing w:after="120"/>
        <w:rPr>
          <w:rFonts w:cs="Arial"/>
          <w:szCs w:val="20"/>
        </w:rPr>
      </w:pPr>
      <w:bookmarkStart w:id="521" w:name="_Ref53585125"/>
      <w:r w:rsidRPr="000E5786">
        <w:rPr>
          <w:rFonts w:cs="Arial"/>
          <w:szCs w:val="20"/>
        </w:rPr>
        <w:t>Except as expressly set out in this Agreement:</w:t>
      </w:r>
      <w:bookmarkEnd w:id="521"/>
    </w:p>
    <w:p w14:paraId="2CB17623" w14:textId="45F3A75E" w:rsidR="0048699F" w:rsidRPr="000E5786" w:rsidRDefault="001F1C19" w:rsidP="00346A37">
      <w:pPr>
        <w:pStyle w:val="Heading3"/>
      </w:pPr>
      <w:bookmarkStart w:id="522" w:name="_Ref53585126"/>
      <w:proofErr w:type="spellStart"/>
      <w:r>
        <w:t>Netlink</w:t>
      </w:r>
      <w:proofErr w:type="spellEnd"/>
      <w:r>
        <w:t xml:space="preserve"> Star</w:t>
      </w:r>
      <w:r w:rsidR="0048699F" w:rsidRPr="000E5786">
        <w:t xml:space="preserve"> shall not acquire any right, </w:t>
      </w:r>
      <w:proofErr w:type="gramStart"/>
      <w:r w:rsidR="0048699F" w:rsidRPr="000E5786">
        <w:t>title</w:t>
      </w:r>
      <w:proofErr w:type="gramEnd"/>
      <w:r w:rsidR="0048699F" w:rsidRPr="000E5786">
        <w:t xml:space="preserve"> or interest in or to the Intellectual Property Rights of the Supplier or its licensors, namely:</w:t>
      </w:r>
      <w:bookmarkEnd w:id="522"/>
    </w:p>
    <w:p w14:paraId="2F0DD48A" w14:textId="7C06FF6B" w:rsidR="0048699F" w:rsidRPr="000E5786" w:rsidRDefault="0048699F" w:rsidP="00834C1A">
      <w:pPr>
        <w:pStyle w:val="Heading4"/>
        <w:tabs>
          <w:tab w:val="clear" w:pos="1702"/>
          <w:tab w:val="num" w:pos="2552"/>
        </w:tabs>
        <w:spacing w:after="120"/>
        <w:ind w:left="2410"/>
        <w:rPr>
          <w:rFonts w:cs="Arial"/>
          <w:szCs w:val="20"/>
        </w:rPr>
      </w:pPr>
      <w:bookmarkStart w:id="523" w:name="_Ref53585127"/>
      <w:r w:rsidRPr="000E5786">
        <w:rPr>
          <w:rFonts w:cs="Arial"/>
          <w:szCs w:val="20"/>
        </w:rPr>
        <w:t xml:space="preserve">the Supplier </w:t>
      </w:r>
      <w:proofErr w:type="gramStart"/>
      <w:r w:rsidRPr="000E5786">
        <w:rPr>
          <w:rFonts w:cs="Arial"/>
          <w:szCs w:val="20"/>
        </w:rPr>
        <w:t>Software;</w:t>
      </w:r>
      <w:bookmarkEnd w:id="523"/>
      <w:proofErr w:type="gramEnd"/>
    </w:p>
    <w:p w14:paraId="409F71F9" w14:textId="310A8AD1" w:rsidR="0048699F" w:rsidRPr="000E5786" w:rsidRDefault="0048699F" w:rsidP="00834C1A">
      <w:pPr>
        <w:pStyle w:val="Heading4"/>
        <w:tabs>
          <w:tab w:val="clear" w:pos="1702"/>
          <w:tab w:val="num" w:pos="2552"/>
        </w:tabs>
        <w:spacing w:after="120"/>
        <w:ind w:left="2410"/>
        <w:rPr>
          <w:rFonts w:cs="Arial"/>
          <w:szCs w:val="20"/>
        </w:rPr>
      </w:pPr>
      <w:bookmarkStart w:id="524" w:name="_Ref53585128"/>
      <w:r w:rsidRPr="000E5786">
        <w:rPr>
          <w:rFonts w:cs="Arial"/>
          <w:szCs w:val="20"/>
        </w:rPr>
        <w:t xml:space="preserve">the Third Party </w:t>
      </w:r>
      <w:proofErr w:type="gramStart"/>
      <w:r w:rsidRPr="000E5786">
        <w:rPr>
          <w:rFonts w:cs="Arial"/>
          <w:szCs w:val="20"/>
        </w:rPr>
        <w:t>Software;</w:t>
      </w:r>
      <w:bookmarkEnd w:id="524"/>
      <w:proofErr w:type="gramEnd"/>
    </w:p>
    <w:p w14:paraId="3FE42E01" w14:textId="38D4DB53" w:rsidR="0048699F" w:rsidRPr="000E5786" w:rsidRDefault="0048699F" w:rsidP="00834C1A">
      <w:pPr>
        <w:pStyle w:val="Heading4"/>
        <w:tabs>
          <w:tab w:val="clear" w:pos="1702"/>
          <w:tab w:val="num" w:pos="2552"/>
        </w:tabs>
        <w:spacing w:after="120"/>
        <w:ind w:left="2410"/>
        <w:rPr>
          <w:rFonts w:cs="Arial"/>
          <w:szCs w:val="20"/>
        </w:rPr>
      </w:pPr>
      <w:bookmarkStart w:id="525" w:name="_Ref53585129"/>
      <w:r w:rsidRPr="000E5786">
        <w:rPr>
          <w:rFonts w:cs="Arial"/>
          <w:szCs w:val="20"/>
        </w:rPr>
        <w:t>the Third Party IPRs; and</w:t>
      </w:r>
      <w:bookmarkEnd w:id="525"/>
    </w:p>
    <w:p w14:paraId="2FC5C052" w14:textId="273F1201" w:rsidR="0048699F" w:rsidRPr="000E5786" w:rsidRDefault="0048699F" w:rsidP="00834C1A">
      <w:pPr>
        <w:pStyle w:val="Heading4"/>
        <w:tabs>
          <w:tab w:val="clear" w:pos="1702"/>
          <w:tab w:val="num" w:pos="2552"/>
        </w:tabs>
        <w:spacing w:after="120"/>
        <w:ind w:left="2410"/>
        <w:rPr>
          <w:rFonts w:cs="Arial"/>
          <w:szCs w:val="20"/>
        </w:rPr>
      </w:pPr>
      <w:bookmarkStart w:id="526" w:name="_Ref53585130"/>
      <w:r w:rsidRPr="000E5786">
        <w:rPr>
          <w:rFonts w:cs="Arial"/>
          <w:szCs w:val="20"/>
        </w:rPr>
        <w:t xml:space="preserve">the Supplier Background </w:t>
      </w:r>
      <w:proofErr w:type="gramStart"/>
      <w:r w:rsidRPr="000E5786">
        <w:rPr>
          <w:rFonts w:cs="Arial"/>
          <w:szCs w:val="20"/>
        </w:rPr>
        <w:t>IPRs;</w:t>
      </w:r>
      <w:bookmarkEnd w:id="526"/>
      <w:proofErr w:type="gramEnd"/>
    </w:p>
    <w:p w14:paraId="506FC91A" w14:textId="23AD3960" w:rsidR="0048699F" w:rsidRPr="000E5786" w:rsidRDefault="0048699F" w:rsidP="00346A37">
      <w:pPr>
        <w:pStyle w:val="Heading3"/>
      </w:pPr>
      <w:bookmarkStart w:id="527" w:name="_Ref53585131"/>
      <w:r w:rsidRPr="000E5786">
        <w:t xml:space="preserve">the Supplier shall not acquire any right, </w:t>
      </w:r>
      <w:proofErr w:type="gramStart"/>
      <w:r w:rsidRPr="000E5786">
        <w:t>title</w:t>
      </w:r>
      <w:proofErr w:type="gramEnd"/>
      <w:r w:rsidRPr="000E5786">
        <w:t xml:space="preserve"> or interest in or to the Intellectual Property Rights of </w:t>
      </w:r>
      <w:proofErr w:type="spellStart"/>
      <w:r w:rsidR="001F1C19">
        <w:t>Netlink</w:t>
      </w:r>
      <w:proofErr w:type="spellEnd"/>
      <w:r w:rsidR="001F1C19">
        <w:t xml:space="preserve"> Star</w:t>
      </w:r>
      <w:r w:rsidRPr="000E5786">
        <w:t xml:space="preserve"> or its licensors, including:</w:t>
      </w:r>
      <w:bookmarkEnd w:id="527"/>
    </w:p>
    <w:p w14:paraId="6B82D6F0" w14:textId="06ED7638" w:rsidR="0048699F" w:rsidRPr="000E5786" w:rsidRDefault="001F1C19" w:rsidP="00834C1A">
      <w:pPr>
        <w:pStyle w:val="Heading4"/>
        <w:tabs>
          <w:tab w:val="clear" w:pos="1702"/>
          <w:tab w:val="num" w:pos="2552"/>
        </w:tabs>
        <w:spacing w:after="120"/>
        <w:ind w:left="2410"/>
        <w:rPr>
          <w:rFonts w:cs="Arial"/>
          <w:szCs w:val="20"/>
        </w:rPr>
      </w:pPr>
      <w:bookmarkStart w:id="528" w:name="_Ref53585132"/>
      <w:proofErr w:type="spellStart"/>
      <w:r>
        <w:rPr>
          <w:rFonts w:cs="Arial"/>
          <w:szCs w:val="20"/>
        </w:rPr>
        <w:t>Netlink</w:t>
      </w:r>
      <w:proofErr w:type="spellEnd"/>
      <w:r>
        <w:rPr>
          <w:rFonts w:cs="Arial"/>
          <w:szCs w:val="20"/>
        </w:rPr>
        <w:t xml:space="preserve"> Star</w:t>
      </w:r>
      <w:r w:rsidR="0048699F" w:rsidRPr="000E5786">
        <w:rPr>
          <w:rFonts w:cs="Arial"/>
          <w:szCs w:val="20"/>
        </w:rPr>
        <w:t xml:space="preserve"> </w:t>
      </w:r>
      <w:proofErr w:type="gramStart"/>
      <w:r w:rsidR="0048699F" w:rsidRPr="000E5786">
        <w:rPr>
          <w:rFonts w:cs="Arial"/>
          <w:szCs w:val="20"/>
        </w:rPr>
        <w:t>Software;</w:t>
      </w:r>
      <w:bookmarkEnd w:id="528"/>
      <w:proofErr w:type="gramEnd"/>
    </w:p>
    <w:p w14:paraId="157CB5FE" w14:textId="45113897" w:rsidR="0048699F" w:rsidRPr="000E5786" w:rsidRDefault="001F1C19" w:rsidP="00834C1A">
      <w:pPr>
        <w:pStyle w:val="Heading4"/>
        <w:tabs>
          <w:tab w:val="clear" w:pos="1702"/>
          <w:tab w:val="num" w:pos="2552"/>
        </w:tabs>
        <w:spacing w:after="120"/>
        <w:ind w:left="2410"/>
        <w:rPr>
          <w:rFonts w:cs="Arial"/>
          <w:szCs w:val="20"/>
        </w:rPr>
      </w:pPr>
      <w:bookmarkStart w:id="529" w:name="_Ref53585133"/>
      <w:proofErr w:type="spellStart"/>
      <w:r>
        <w:rPr>
          <w:rFonts w:cs="Arial"/>
          <w:szCs w:val="20"/>
        </w:rPr>
        <w:t>Netlink</w:t>
      </w:r>
      <w:proofErr w:type="spellEnd"/>
      <w:r>
        <w:rPr>
          <w:rFonts w:cs="Arial"/>
          <w:szCs w:val="20"/>
        </w:rPr>
        <w:t xml:space="preserve"> Star</w:t>
      </w:r>
      <w:r w:rsidR="0048699F" w:rsidRPr="000E5786">
        <w:rPr>
          <w:rFonts w:cs="Arial"/>
          <w:szCs w:val="20"/>
        </w:rPr>
        <w:t xml:space="preserve"> Data; and</w:t>
      </w:r>
      <w:bookmarkEnd w:id="529"/>
    </w:p>
    <w:p w14:paraId="6C5E8E0A" w14:textId="2D2DCB29" w:rsidR="0048699F" w:rsidRPr="000E5786" w:rsidRDefault="001F1C19" w:rsidP="00834C1A">
      <w:pPr>
        <w:pStyle w:val="Heading4"/>
        <w:tabs>
          <w:tab w:val="clear" w:pos="1702"/>
          <w:tab w:val="num" w:pos="2552"/>
        </w:tabs>
        <w:spacing w:after="120"/>
        <w:ind w:left="2410"/>
        <w:rPr>
          <w:rFonts w:cs="Arial"/>
          <w:szCs w:val="20"/>
        </w:rPr>
      </w:pPr>
      <w:bookmarkStart w:id="530" w:name="_Ref53585134"/>
      <w:proofErr w:type="spellStart"/>
      <w:r>
        <w:rPr>
          <w:rFonts w:cs="Arial"/>
          <w:szCs w:val="20"/>
        </w:rPr>
        <w:t>Netlink</w:t>
      </w:r>
      <w:proofErr w:type="spellEnd"/>
      <w:r>
        <w:rPr>
          <w:rFonts w:cs="Arial"/>
          <w:szCs w:val="20"/>
        </w:rPr>
        <w:t xml:space="preserve"> Star</w:t>
      </w:r>
      <w:r w:rsidR="0048699F" w:rsidRPr="000E5786">
        <w:rPr>
          <w:rFonts w:cs="Arial"/>
          <w:szCs w:val="20"/>
        </w:rPr>
        <w:t xml:space="preserve"> Background IPRs.</w:t>
      </w:r>
      <w:bookmarkEnd w:id="530"/>
    </w:p>
    <w:p w14:paraId="027BFB64" w14:textId="03CABCE0" w:rsidR="0048699F" w:rsidRPr="000E5786" w:rsidRDefault="0048699F" w:rsidP="00346A37">
      <w:pPr>
        <w:pStyle w:val="Heading3"/>
      </w:pPr>
      <w:bookmarkStart w:id="531" w:name="_Ref53585135"/>
      <w:r w:rsidRPr="000E5786">
        <w:t xml:space="preserve">Specially Written Software and Project Specific IPRs (except for any Know-How, trade secrets or Confidential Information contained therein) shall be the property of </w:t>
      </w:r>
      <w:proofErr w:type="spellStart"/>
      <w:r w:rsidR="001F1C19">
        <w:t>Netlink</w:t>
      </w:r>
      <w:proofErr w:type="spellEnd"/>
      <w:r w:rsidR="001F1C19">
        <w:t xml:space="preserve"> Star</w:t>
      </w:r>
      <w:r w:rsidRPr="000E5786">
        <w:t>.</w:t>
      </w:r>
      <w:bookmarkEnd w:id="531"/>
    </w:p>
    <w:p w14:paraId="6967D237" w14:textId="38A3CEE7" w:rsidR="0048699F" w:rsidRPr="000E5786" w:rsidRDefault="0048699F" w:rsidP="00DD60F0">
      <w:pPr>
        <w:pStyle w:val="Heading2"/>
        <w:spacing w:after="120"/>
        <w:rPr>
          <w:rFonts w:cs="Arial"/>
          <w:szCs w:val="20"/>
        </w:rPr>
      </w:pPr>
      <w:bookmarkStart w:id="532" w:name="_Ref53585136"/>
      <w:r w:rsidRPr="000E5786">
        <w:rPr>
          <w:rFonts w:cs="Arial"/>
          <w:szCs w:val="20"/>
        </w:rPr>
        <w:t xml:space="preserve">Where either Party acquires, by operation of law, title to Intellectual Property Rights that is inconsistent with the allocation of title set out in clause </w:t>
      </w:r>
      <w:r w:rsidR="00BE79F0" w:rsidRPr="000E5786">
        <w:rPr>
          <w:rFonts w:cs="Arial"/>
          <w:szCs w:val="20"/>
        </w:rPr>
        <w:fldChar w:fldCharType="begin"/>
      </w:r>
      <w:r w:rsidR="00BE79F0" w:rsidRPr="000E5786">
        <w:rPr>
          <w:rFonts w:cs="Arial"/>
          <w:szCs w:val="20"/>
        </w:rPr>
        <w:instrText xml:space="preserve">  REF _Ref53585125 \w \h \* MERGEFORMAT </w:instrText>
      </w:r>
      <w:r w:rsidR="00BE79F0" w:rsidRPr="000E5786">
        <w:rPr>
          <w:rFonts w:cs="Arial"/>
          <w:szCs w:val="20"/>
        </w:rPr>
      </w:r>
      <w:r w:rsidR="00BE79F0" w:rsidRPr="000E5786">
        <w:rPr>
          <w:rFonts w:cs="Arial"/>
          <w:szCs w:val="20"/>
        </w:rPr>
        <w:fldChar w:fldCharType="separate"/>
      </w:r>
      <w:r w:rsidR="002523A8" w:rsidRPr="000E5786">
        <w:rPr>
          <w:rFonts w:cs="Arial"/>
          <w:szCs w:val="20"/>
        </w:rPr>
        <w:t>18.1</w:t>
      </w:r>
      <w:r w:rsidR="00BE79F0" w:rsidRPr="000E5786">
        <w:rPr>
          <w:rFonts w:cs="Arial"/>
          <w:szCs w:val="20"/>
        </w:rPr>
        <w:fldChar w:fldCharType="end"/>
      </w:r>
      <w:r w:rsidRPr="000E5786">
        <w:rPr>
          <w:rFonts w:cs="Arial"/>
          <w:szCs w:val="20"/>
        </w:rPr>
        <w:t>, it shall assign in writing such Intellectual Property Rights as it has acquired to the other Party on the request of the other Party (whenever made).</w:t>
      </w:r>
      <w:bookmarkEnd w:id="532"/>
    </w:p>
    <w:p w14:paraId="4EF86C3C" w14:textId="1BEDF866" w:rsidR="0048699F" w:rsidRPr="000E5786" w:rsidRDefault="0048699F" w:rsidP="00DD60F0">
      <w:pPr>
        <w:pStyle w:val="Heading2"/>
        <w:spacing w:after="120"/>
        <w:rPr>
          <w:rFonts w:cs="Arial"/>
          <w:szCs w:val="20"/>
        </w:rPr>
      </w:pPr>
      <w:bookmarkStart w:id="533" w:name="_Ref53585137"/>
      <w:r w:rsidRPr="000E5786">
        <w:rPr>
          <w:rFonts w:cs="Arial"/>
          <w:szCs w:val="20"/>
        </w:rPr>
        <w:t xml:space="preserve">Neither Party shall have any right to use any of the other Party’s names, logos or </w:t>
      </w:r>
      <w:proofErr w:type="gramStart"/>
      <w:r w:rsidRPr="000E5786">
        <w:rPr>
          <w:rFonts w:cs="Arial"/>
          <w:szCs w:val="20"/>
        </w:rPr>
        <w:t>trade marks</w:t>
      </w:r>
      <w:proofErr w:type="gramEnd"/>
      <w:r w:rsidRPr="000E5786">
        <w:rPr>
          <w:rFonts w:cs="Arial"/>
          <w:szCs w:val="20"/>
        </w:rPr>
        <w:t xml:space="preserve"> on any of its products or services without the other Party’s prior written consent.</w:t>
      </w:r>
      <w:bookmarkEnd w:id="533"/>
    </w:p>
    <w:p w14:paraId="2B5D2BFD" w14:textId="57451D8C" w:rsidR="0048699F" w:rsidRPr="000E5786" w:rsidRDefault="0048699F" w:rsidP="00DD60F0">
      <w:pPr>
        <w:pStyle w:val="Heading2"/>
        <w:spacing w:after="120"/>
        <w:rPr>
          <w:rFonts w:cs="Arial"/>
          <w:szCs w:val="20"/>
        </w:rPr>
      </w:pPr>
      <w:bookmarkStart w:id="534" w:name="_Ref53585138"/>
      <w:r w:rsidRPr="000E5786">
        <w:rPr>
          <w:rFonts w:cs="Arial"/>
          <w:szCs w:val="20"/>
        </w:rPr>
        <w:t xml:space="preserve">Unless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stipulates otherwise in writing:</w:t>
      </w:r>
      <w:bookmarkEnd w:id="534"/>
    </w:p>
    <w:p w14:paraId="306D5BDB" w14:textId="2BBDA7B2" w:rsidR="0048699F" w:rsidRPr="000E5786" w:rsidRDefault="0048699F" w:rsidP="00346A37">
      <w:pPr>
        <w:pStyle w:val="Heading3"/>
      </w:pPr>
      <w:bookmarkStart w:id="535" w:name="_Ref53585139"/>
      <w:r w:rsidRPr="000E5786">
        <w:t xml:space="preserve">all Specially Written Software and Project Specific IPRs shall be created in a format, or able to be converted into a format, which is suitable for publication by </w:t>
      </w:r>
      <w:proofErr w:type="spellStart"/>
      <w:r w:rsidR="001F1C19">
        <w:t>Netlink</w:t>
      </w:r>
      <w:proofErr w:type="spellEnd"/>
      <w:r w:rsidR="001F1C19">
        <w:t xml:space="preserve"> Star</w:t>
      </w:r>
      <w:r w:rsidRPr="000E5786">
        <w:t xml:space="preserve"> as Open Source; and</w:t>
      </w:r>
      <w:bookmarkEnd w:id="535"/>
    </w:p>
    <w:p w14:paraId="6E69BD51" w14:textId="6676424B" w:rsidR="0048699F" w:rsidRPr="000E5786" w:rsidRDefault="0048699F" w:rsidP="00346A37">
      <w:pPr>
        <w:pStyle w:val="Heading3"/>
      </w:pPr>
      <w:bookmarkStart w:id="536" w:name="_Ref53585140"/>
      <w:r w:rsidRPr="000E5786">
        <w:t xml:space="preserve">where the Specially Written Software and Project Specific IPRs are written in a format that requires conversion before publication as Open Source, the Supplier shall also provide the converted format to </w:t>
      </w:r>
      <w:proofErr w:type="spellStart"/>
      <w:r w:rsidR="001F1C19">
        <w:t>Netlink</w:t>
      </w:r>
      <w:proofErr w:type="spellEnd"/>
      <w:r w:rsidR="001F1C19">
        <w:t xml:space="preserve"> Star</w:t>
      </w:r>
      <w:r w:rsidRPr="000E5786">
        <w:t>.</w:t>
      </w:r>
      <w:bookmarkEnd w:id="536"/>
    </w:p>
    <w:p w14:paraId="6990C7AE" w14:textId="51ADFC9D" w:rsidR="0048699F" w:rsidRPr="000E5786" w:rsidRDefault="0048699F" w:rsidP="00DD60F0">
      <w:pPr>
        <w:pStyle w:val="Heading2"/>
        <w:spacing w:after="120"/>
        <w:rPr>
          <w:rFonts w:cs="Arial"/>
          <w:szCs w:val="20"/>
        </w:rPr>
      </w:pPr>
      <w:bookmarkStart w:id="537" w:name="_Ref53585141"/>
      <w:r w:rsidRPr="000E5786">
        <w:rPr>
          <w:rFonts w:cs="Arial"/>
          <w:szCs w:val="20"/>
        </w:rPr>
        <w:lastRenderedPageBreak/>
        <w:t>Where</w:t>
      </w:r>
      <w:r w:rsidR="000578A4" w:rsidRPr="000E5786">
        <w:rPr>
          <w:rFonts w:cs="Arial"/>
          <w:szCs w:val="20"/>
        </w:rPr>
        <w:t xml:space="preserv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agrees</w:t>
      </w:r>
      <w:r w:rsidR="000578A4" w:rsidRPr="000E5786">
        <w:rPr>
          <w:rFonts w:cs="Arial"/>
          <w:szCs w:val="20"/>
        </w:rPr>
        <w:t xml:space="preserve"> </w:t>
      </w:r>
      <w:r w:rsidRPr="000E5786">
        <w:rPr>
          <w:rFonts w:cs="Arial"/>
          <w:szCs w:val="20"/>
        </w:rPr>
        <w:t>that</w:t>
      </w:r>
      <w:r w:rsidR="000578A4" w:rsidRPr="000E5786">
        <w:rPr>
          <w:rFonts w:cs="Arial"/>
          <w:szCs w:val="20"/>
        </w:rPr>
        <w:t xml:space="preserve"> </w:t>
      </w:r>
      <w:r w:rsidRPr="000E5786">
        <w:rPr>
          <w:rFonts w:cs="Arial"/>
          <w:szCs w:val="20"/>
        </w:rPr>
        <w:t>any</w:t>
      </w:r>
      <w:r w:rsidR="000578A4" w:rsidRPr="000E5786">
        <w:rPr>
          <w:rFonts w:cs="Arial"/>
          <w:szCs w:val="20"/>
        </w:rPr>
        <w:t xml:space="preserve"> </w:t>
      </w:r>
      <w:r w:rsidRPr="000E5786">
        <w:rPr>
          <w:rFonts w:cs="Arial"/>
          <w:szCs w:val="20"/>
        </w:rPr>
        <w:t>Specially</w:t>
      </w:r>
      <w:r w:rsidR="000578A4" w:rsidRPr="000E5786">
        <w:rPr>
          <w:rFonts w:cs="Arial"/>
          <w:szCs w:val="20"/>
        </w:rPr>
        <w:t xml:space="preserve"> </w:t>
      </w:r>
      <w:r w:rsidRPr="000E5786">
        <w:rPr>
          <w:rFonts w:cs="Arial"/>
          <w:szCs w:val="20"/>
        </w:rPr>
        <w:t>Written</w:t>
      </w:r>
      <w:r w:rsidR="000578A4" w:rsidRPr="000E5786">
        <w:rPr>
          <w:rFonts w:cs="Arial"/>
          <w:szCs w:val="20"/>
        </w:rPr>
        <w:t xml:space="preserve"> </w:t>
      </w:r>
      <w:r w:rsidRPr="000E5786">
        <w:rPr>
          <w:rFonts w:cs="Arial"/>
          <w:szCs w:val="20"/>
        </w:rPr>
        <w:t>Software</w:t>
      </w:r>
      <w:r w:rsidR="000578A4" w:rsidRPr="000E5786">
        <w:rPr>
          <w:rFonts w:cs="Arial"/>
          <w:szCs w:val="20"/>
        </w:rPr>
        <w:t xml:space="preserve"> </w:t>
      </w:r>
      <w:r w:rsidRPr="000E5786">
        <w:rPr>
          <w:rFonts w:cs="Arial"/>
          <w:szCs w:val="20"/>
        </w:rPr>
        <w:t>and/or</w:t>
      </w:r>
      <w:r w:rsidR="000578A4" w:rsidRPr="000E5786">
        <w:rPr>
          <w:rFonts w:cs="Arial"/>
          <w:szCs w:val="20"/>
        </w:rPr>
        <w:t xml:space="preserve"> </w:t>
      </w:r>
      <w:r w:rsidRPr="000E5786">
        <w:rPr>
          <w:rFonts w:cs="Arial"/>
          <w:szCs w:val="20"/>
        </w:rPr>
        <w:t>any software element of Project Specific IPRs should be excluded from Open Source publication, the Supplier shall as soon as reasonably</w:t>
      </w:r>
      <w:r w:rsidR="000578A4" w:rsidRPr="000E5786">
        <w:rPr>
          <w:rFonts w:cs="Arial"/>
          <w:szCs w:val="20"/>
        </w:rPr>
        <w:t xml:space="preserve"> </w:t>
      </w:r>
      <w:r w:rsidRPr="000E5786">
        <w:rPr>
          <w:rFonts w:cs="Arial"/>
          <w:szCs w:val="20"/>
        </w:rPr>
        <w:t>practicable</w:t>
      </w:r>
      <w:r w:rsidR="000578A4" w:rsidRPr="000E5786">
        <w:rPr>
          <w:rFonts w:cs="Arial"/>
          <w:szCs w:val="20"/>
        </w:rPr>
        <w:t xml:space="preserve"> </w:t>
      </w:r>
      <w:r w:rsidRPr="000E5786">
        <w:rPr>
          <w:rFonts w:cs="Arial"/>
          <w:szCs w:val="20"/>
        </w:rPr>
        <w:t>provide written details of the impact that such exclusion</w:t>
      </w:r>
      <w:r w:rsidR="000578A4" w:rsidRPr="000E5786">
        <w:rPr>
          <w:rFonts w:cs="Arial"/>
          <w:szCs w:val="20"/>
        </w:rPr>
        <w:t xml:space="preserve"> </w:t>
      </w:r>
      <w:r w:rsidRPr="000E5786">
        <w:rPr>
          <w:rFonts w:cs="Arial"/>
          <w:szCs w:val="20"/>
        </w:rPr>
        <w:t xml:space="preserve">will have on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ability to publish other Open Source software under clause </w:t>
      </w:r>
      <w:r w:rsidR="005C6939" w:rsidRPr="000E5786">
        <w:rPr>
          <w:rFonts w:cs="Arial"/>
          <w:szCs w:val="20"/>
        </w:rPr>
        <w:fldChar w:fldCharType="begin"/>
      </w:r>
      <w:r w:rsidR="005C6939" w:rsidRPr="000E5786">
        <w:rPr>
          <w:rFonts w:cs="Arial"/>
          <w:szCs w:val="20"/>
        </w:rPr>
        <w:instrText xml:space="preserve">  REF _Ref53585718 \w \h \* MERGEFORMAT </w:instrText>
      </w:r>
      <w:r w:rsidR="005C6939" w:rsidRPr="000E5786">
        <w:rPr>
          <w:rFonts w:cs="Arial"/>
          <w:szCs w:val="20"/>
        </w:rPr>
      </w:r>
      <w:r w:rsidR="005C6939" w:rsidRPr="000E5786">
        <w:rPr>
          <w:rFonts w:cs="Arial"/>
          <w:szCs w:val="20"/>
        </w:rPr>
        <w:fldChar w:fldCharType="separate"/>
      </w:r>
      <w:r w:rsidR="002523A8" w:rsidRPr="000E5786">
        <w:rPr>
          <w:rFonts w:cs="Arial"/>
          <w:szCs w:val="20"/>
        </w:rPr>
        <w:t>21</w:t>
      </w:r>
      <w:r w:rsidR="005C6939" w:rsidRPr="000E5786">
        <w:rPr>
          <w:rFonts w:cs="Arial"/>
          <w:szCs w:val="20"/>
        </w:rPr>
        <w:fldChar w:fldCharType="end"/>
      </w:r>
      <w:r w:rsidRPr="000E5786">
        <w:rPr>
          <w:rFonts w:cs="Arial"/>
          <w:szCs w:val="20"/>
        </w:rPr>
        <w:t xml:space="preserve"> (Open Source).</w:t>
      </w:r>
      <w:bookmarkEnd w:id="537"/>
    </w:p>
    <w:p w14:paraId="724956C5" w14:textId="3216AF8F" w:rsidR="0048699F" w:rsidRPr="000E5786" w:rsidRDefault="0048699F" w:rsidP="00DD60F0">
      <w:pPr>
        <w:pStyle w:val="Heading1"/>
        <w:spacing w:after="120"/>
        <w:rPr>
          <w:rFonts w:cs="Arial"/>
          <w:szCs w:val="20"/>
        </w:rPr>
      </w:pPr>
      <w:bookmarkStart w:id="538" w:name="_Ref53585142"/>
      <w:bookmarkStart w:id="539" w:name="_Ref53585716"/>
      <w:bookmarkStart w:id="540" w:name="_Toc71198943"/>
      <w:r w:rsidRPr="000E5786">
        <w:rPr>
          <w:rFonts w:cs="Arial"/>
          <w:szCs w:val="20"/>
        </w:rPr>
        <w:t>TRANSFER AND LICENCES GRANTED BY THE SUPPLIER</w:t>
      </w:r>
      <w:bookmarkEnd w:id="538"/>
      <w:bookmarkEnd w:id="539"/>
      <w:bookmarkEnd w:id="540"/>
    </w:p>
    <w:p w14:paraId="0292A760" w14:textId="53153E0A" w:rsidR="0048699F" w:rsidRPr="000E5786" w:rsidRDefault="0048699F" w:rsidP="00CE5734">
      <w:pPr>
        <w:pStyle w:val="BodyText"/>
        <w:spacing w:after="120"/>
        <w:ind w:left="709" w:firstLine="0"/>
        <w:rPr>
          <w:rFonts w:cs="Arial"/>
          <w:szCs w:val="20"/>
          <w:u w:val="single"/>
        </w:rPr>
      </w:pPr>
      <w:r w:rsidRPr="000E5786">
        <w:rPr>
          <w:rFonts w:cs="Arial"/>
          <w:szCs w:val="20"/>
          <w:u w:val="single"/>
        </w:rPr>
        <w:t>Software as a Service</w:t>
      </w:r>
    </w:p>
    <w:p w14:paraId="4F2BBF41" w14:textId="157AD0EB" w:rsidR="0048699F" w:rsidRPr="000E5786" w:rsidRDefault="0048699F" w:rsidP="00DD60F0">
      <w:pPr>
        <w:pStyle w:val="Heading2"/>
        <w:spacing w:after="120"/>
        <w:rPr>
          <w:rFonts w:cs="Arial"/>
          <w:szCs w:val="20"/>
        </w:rPr>
      </w:pPr>
      <w:bookmarkStart w:id="541" w:name="_Ref53585143"/>
      <w:r w:rsidRPr="000E5786">
        <w:rPr>
          <w:rFonts w:cs="Arial"/>
          <w:szCs w:val="20"/>
        </w:rPr>
        <w:t>Where any Software is to be provided by way of Software as a Service:</w:t>
      </w:r>
      <w:bookmarkEnd w:id="541"/>
    </w:p>
    <w:p w14:paraId="5C54EEFD" w14:textId="7F10E1E1" w:rsidR="0048699F" w:rsidRPr="000E5786" w:rsidRDefault="001F1C19" w:rsidP="00346A37">
      <w:pPr>
        <w:pStyle w:val="Heading3"/>
      </w:pPr>
      <w:bookmarkStart w:id="542" w:name="_Ref53585144"/>
      <w:proofErr w:type="spellStart"/>
      <w:r>
        <w:t>Netlink</w:t>
      </w:r>
      <w:proofErr w:type="spellEnd"/>
      <w:r>
        <w:t xml:space="preserve"> Star</w:t>
      </w:r>
      <w:r w:rsidR="0048699F" w:rsidRPr="000E5786">
        <w:t xml:space="preserve"> acknowledges it will not be provided with a physical copy of the Software and that use of the Software is restricted to use by way of Software as a Service, and the provisions of this clause </w:t>
      </w:r>
      <w:r w:rsidR="005C6939" w:rsidRPr="000E5786">
        <w:fldChar w:fldCharType="begin"/>
      </w:r>
      <w:r w:rsidR="005C6939" w:rsidRPr="000E5786">
        <w:instrText xml:space="preserve">  REF _Ref53585716 \w \h \* MERGEFORMAT </w:instrText>
      </w:r>
      <w:r w:rsidR="005C6939" w:rsidRPr="000E5786">
        <w:fldChar w:fldCharType="separate"/>
      </w:r>
      <w:r w:rsidR="002523A8" w:rsidRPr="000E5786">
        <w:t>19</w:t>
      </w:r>
      <w:r w:rsidR="005C6939" w:rsidRPr="000E5786">
        <w:fldChar w:fldCharType="end"/>
      </w:r>
      <w:r w:rsidR="0048699F" w:rsidRPr="000E5786">
        <w:t xml:space="preserve"> shall be construed accordingly; and</w:t>
      </w:r>
      <w:bookmarkEnd w:id="542"/>
    </w:p>
    <w:p w14:paraId="4D5E04FA" w14:textId="4169CF49" w:rsidR="0048699F" w:rsidRPr="000E5786" w:rsidRDefault="0048699F" w:rsidP="00346A37">
      <w:pPr>
        <w:pStyle w:val="Heading3"/>
      </w:pPr>
      <w:bookmarkStart w:id="543" w:name="_Ref53585145"/>
      <w:r w:rsidRPr="000E5786">
        <w:t xml:space="preserve">the licences granted by the Supplier pursuant to clauses </w:t>
      </w:r>
      <w:r w:rsidR="005C6939" w:rsidRPr="000E5786">
        <w:fldChar w:fldCharType="begin"/>
      </w:r>
      <w:r w:rsidR="005C6939" w:rsidRPr="000E5786">
        <w:instrText xml:space="preserve">  REF _Ref53585158 \w \h \* MERGEFORMAT </w:instrText>
      </w:r>
      <w:r w:rsidR="005C6939" w:rsidRPr="000E5786">
        <w:fldChar w:fldCharType="separate"/>
      </w:r>
      <w:r w:rsidR="002523A8" w:rsidRPr="000E5786">
        <w:t>19.4.1</w:t>
      </w:r>
      <w:r w:rsidR="005C6939" w:rsidRPr="000E5786">
        <w:fldChar w:fldCharType="end"/>
      </w:r>
      <w:r w:rsidRPr="000E5786">
        <w:t xml:space="preserve"> and/or 18.4.3</w:t>
      </w:r>
      <w:r w:rsidR="00FC3C78" w:rsidRPr="000E5786">
        <w:t xml:space="preserve"> </w:t>
      </w:r>
      <w:r w:rsidRPr="000E5786">
        <w:t xml:space="preserve">shall, in respect of any Software as a Service (only) be granted for the Term, instead of being of perpetual </w:t>
      </w:r>
      <w:proofErr w:type="gramStart"/>
      <w:r w:rsidRPr="000E5786">
        <w:t>duration</w:t>
      </w:r>
      <w:bookmarkEnd w:id="543"/>
      <w:proofErr w:type="gramEnd"/>
    </w:p>
    <w:p w14:paraId="2AF1CD47" w14:textId="2204326A" w:rsidR="0048699F" w:rsidRPr="000E5786" w:rsidRDefault="0048699F" w:rsidP="00CE5734">
      <w:pPr>
        <w:pStyle w:val="BodyText"/>
        <w:spacing w:after="120"/>
        <w:ind w:left="709" w:firstLine="0"/>
        <w:rPr>
          <w:rFonts w:cs="Arial"/>
          <w:szCs w:val="20"/>
          <w:u w:val="single"/>
        </w:rPr>
      </w:pPr>
      <w:r w:rsidRPr="000E5786">
        <w:rPr>
          <w:rFonts w:cs="Arial"/>
          <w:szCs w:val="20"/>
          <w:u w:val="single"/>
        </w:rPr>
        <w:t>Specially Written Software and Project Specific IPRs</w:t>
      </w:r>
    </w:p>
    <w:p w14:paraId="195CEA32" w14:textId="61C6D42C" w:rsidR="0048699F" w:rsidRPr="000E5786" w:rsidRDefault="0048699F" w:rsidP="00DD60F0">
      <w:pPr>
        <w:pStyle w:val="Heading2"/>
        <w:spacing w:after="120"/>
        <w:rPr>
          <w:rFonts w:cs="Arial"/>
          <w:szCs w:val="20"/>
        </w:rPr>
      </w:pPr>
      <w:bookmarkStart w:id="544" w:name="_Ref53585146"/>
      <w:r w:rsidRPr="000E5786">
        <w:rPr>
          <w:rFonts w:cs="Arial"/>
          <w:szCs w:val="20"/>
        </w:rPr>
        <w:t xml:space="preserve">Subject to clause </w:t>
      </w:r>
      <w:r w:rsidR="005C6939" w:rsidRPr="000E5786">
        <w:rPr>
          <w:rFonts w:cs="Arial"/>
          <w:szCs w:val="20"/>
        </w:rPr>
        <w:fldChar w:fldCharType="begin"/>
      </w:r>
      <w:r w:rsidR="005C6939" w:rsidRPr="000E5786">
        <w:rPr>
          <w:rFonts w:cs="Arial"/>
          <w:szCs w:val="20"/>
        </w:rPr>
        <w:instrText xml:space="preserve">  REF _Ref53585207 \w \h \* MERGEFORMAT </w:instrText>
      </w:r>
      <w:r w:rsidR="005C6939" w:rsidRPr="000E5786">
        <w:rPr>
          <w:rFonts w:cs="Arial"/>
          <w:szCs w:val="20"/>
        </w:rPr>
      </w:r>
      <w:r w:rsidR="005C6939" w:rsidRPr="000E5786">
        <w:rPr>
          <w:rFonts w:cs="Arial"/>
          <w:szCs w:val="20"/>
        </w:rPr>
        <w:fldChar w:fldCharType="separate"/>
      </w:r>
      <w:r w:rsidR="002523A8" w:rsidRPr="000E5786">
        <w:rPr>
          <w:rFonts w:cs="Arial"/>
          <w:szCs w:val="20"/>
        </w:rPr>
        <w:t>19.17</w:t>
      </w:r>
      <w:r w:rsidR="005C6939" w:rsidRPr="000E5786">
        <w:rPr>
          <w:rFonts w:cs="Arial"/>
          <w:szCs w:val="20"/>
        </w:rPr>
        <w:fldChar w:fldCharType="end"/>
      </w:r>
      <w:r w:rsidRPr="000E5786">
        <w:rPr>
          <w:rFonts w:cs="Arial"/>
          <w:szCs w:val="20"/>
        </w:rPr>
        <w:t xml:space="preserve">, the Supplier hereby agrees to transfer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or shall procure the transfer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of, all rights in the Specially Written Software and the Project Specific IPRs including:</w:t>
      </w:r>
      <w:bookmarkEnd w:id="544"/>
    </w:p>
    <w:p w14:paraId="1C914BFE" w14:textId="322B73FA" w:rsidR="0048699F" w:rsidRPr="000E5786" w:rsidRDefault="0048699F" w:rsidP="00346A37">
      <w:pPr>
        <w:pStyle w:val="Heading3"/>
      </w:pPr>
      <w:bookmarkStart w:id="545" w:name="_Ref53585147"/>
      <w:r w:rsidRPr="000E5786">
        <w:t xml:space="preserve">the Documentation, Source </w:t>
      </w:r>
      <w:proofErr w:type="gramStart"/>
      <w:r w:rsidRPr="000E5786">
        <w:t>Code</w:t>
      </w:r>
      <w:proofErr w:type="gramEnd"/>
      <w:r w:rsidRPr="000E5786">
        <w:t xml:space="preserve"> and the Object Code of the Specially Written Software; and</w:t>
      </w:r>
      <w:bookmarkEnd w:id="545"/>
    </w:p>
    <w:p w14:paraId="0D1D2239" w14:textId="015F764A" w:rsidR="0048699F" w:rsidRPr="000E5786" w:rsidRDefault="0048699F" w:rsidP="00346A37">
      <w:pPr>
        <w:pStyle w:val="Heading3"/>
      </w:pPr>
      <w:bookmarkStart w:id="546" w:name="_Ref53585148"/>
      <w:r w:rsidRPr="000E5786">
        <w:t>all build instructions, test instructions, test scripts, test data, operating instructions and other documents and tools necessary for maintaining and supporting the Specially Written Software (together the “</w:t>
      </w:r>
      <w:r w:rsidRPr="000E5786">
        <w:rPr>
          <w:b/>
        </w:rPr>
        <w:t>Software Supporting Materials</w:t>
      </w:r>
      <w:r w:rsidRPr="000E5786">
        <w:t>”),</w:t>
      </w:r>
      <w:bookmarkEnd w:id="546"/>
    </w:p>
    <w:p w14:paraId="31B69B1B" w14:textId="77777777" w:rsidR="0048699F" w:rsidRPr="000E5786" w:rsidRDefault="0048699F" w:rsidP="00834C1A">
      <w:pPr>
        <w:pStyle w:val="BodyText2"/>
        <w:spacing w:after="120"/>
        <w:ind w:firstLine="0"/>
        <w:rPr>
          <w:rFonts w:cs="Arial"/>
          <w:szCs w:val="20"/>
        </w:rPr>
      </w:pPr>
      <w:r w:rsidRPr="000E5786">
        <w:rPr>
          <w:rFonts w:cs="Arial"/>
          <w:szCs w:val="20"/>
        </w:rPr>
        <w:t>but not including any Know-How, trade secrets or Confidential Information.</w:t>
      </w:r>
    </w:p>
    <w:p w14:paraId="45692FB4" w14:textId="659AA1E4" w:rsidR="0048699F" w:rsidRPr="000E5786" w:rsidRDefault="0048699F" w:rsidP="00DD60F0">
      <w:pPr>
        <w:pStyle w:val="Heading2"/>
        <w:spacing w:after="120"/>
        <w:rPr>
          <w:rFonts w:cs="Arial"/>
          <w:szCs w:val="20"/>
        </w:rPr>
      </w:pPr>
      <w:bookmarkStart w:id="547" w:name="_Ref53585149"/>
      <w:r w:rsidRPr="000E5786">
        <w:rPr>
          <w:rFonts w:cs="Arial"/>
          <w:szCs w:val="20"/>
        </w:rPr>
        <w:t>The Supplier:</w:t>
      </w:r>
      <w:bookmarkEnd w:id="547"/>
    </w:p>
    <w:p w14:paraId="6F57DE82" w14:textId="6C8DC0E7" w:rsidR="0048699F" w:rsidRPr="000E5786" w:rsidRDefault="0048699F" w:rsidP="00346A37">
      <w:pPr>
        <w:pStyle w:val="Heading3"/>
      </w:pPr>
      <w:bookmarkStart w:id="548" w:name="_Ref53585150"/>
      <w:r w:rsidRPr="000E5786">
        <w:t>shall:</w:t>
      </w:r>
      <w:bookmarkEnd w:id="548"/>
    </w:p>
    <w:p w14:paraId="35824589" w14:textId="0B03DBDB" w:rsidR="0048699F" w:rsidRPr="000E5786" w:rsidRDefault="0048699F" w:rsidP="00834C1A">
      <w:pPr>
        <w:pStyle w:val="Heading4"/>
        <w:tabs>
          <w:tab w:val="clear" w:pos="1702"/>
          <w:tab w:val="num" w:pos="2552"/>
        </w:tabs>
        <w:spacing w:after="120"/>
        <w:ind w:left="2410"/>
        <w:rPr>
          <w:rFonts w:cs="Arial"/>
          <w:szCs w:val="20"/>
        </w:rPr>
      </w:pPr>
      <w:bookmarkStart w:id="549" w:name="_Ref53585151"/>
      <w:r w:rsidRPr="000E5786">
        <w:rPr>
          <w:rFonts w:cs="Arial"/>
          <w:szCs w:val="20"/>
        </w:rPr>
        <w:t xml:space="preserve">inform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of all Specially Written Software and any</w:t>
      </w:r>
      <w:r w:rsidR="00A25C0A" w:rsidRPr="000E5786">
        <w:rPr>
          <w:rFonts w:cs="Arial"/>
          <w:szCs w:val="20"/>
        </w:rPr>
        <w:t xml:space="preserve"> </w:t>
      </w:r>
      <w:r w:rsidRPr="000E5786">
        <w:rPr>
          <w:rFonts w:cs="Arial"/>
          <w:szCs w:val="20"/>
        </w:rPr>
        <w:t xml:space="preserve">element of Project Specific IPRs that constitutes modification or enhancement to Supplier Software or Third Party </w:t>
      </w:r>
      <w:proofErr w:type="gramStart"/>
      <w:r w:rsidRPr="000E5786">
        <w:rPr>
          <w:rFonts w:cs="Arial"/>
          <w:szCs w:val="20"/>
        </w:rPr>
        <w:t>Software;</w:t>
      </w:r>
      <w:bookmarkEnd w:id="549"/>
      <w:proofErr w:type="gramEnd"/>
    </w:p>
    <w:p w14:paraId="61B26DBD" w14:textId="3EEA1507" w:rsidR="0048699F" w:rsidRPr="000E5786" w:rsidRDefault="0048699F" w:rsidP="00834C1A">
      <w:pPr>
        <w:pStyle w:val="Heading4"/>
        <w:tabs>
          <w:tab w:val="clear" w:pos="1702"/>
          <w:tab w:val="num" w:pos="2552"/>
        </w:tabs>
        <w:spacing w:after="120"/>
        <w:ind w:left="2410"/>
        <w:rPr>
          <w:rFonts w:cs="Arial"/>
          <w:szCs w:val="20"/>
        </w:rPr>
      </w:pPr>
      <w:bookmarkStart w:id="550" w:name="_Ref53585152"/>
      <w:r w:rsidRPr="000E5786">
        <w:rPr>
          <w:rFonts w:cs="Arial"/>
          <w:szCs w:val="20"/>
        </w:rPr>
        <w:t xml:space="preserve">deliver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the Specially Written Software and the software element of Project Specific IPRs in both Source Code and Object Code forms together with relevant Documentation and all related Software Supporting Materials within seven days of the issue of a Milestone Achievement Certificate in respect of the relevant Deliverable and shall provide updates of the Source Code and of the Software Supporting Materials promptly following each new release of the Specially Written Software, in each case on media that is reasonably acceptable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and</w:t>
      </w:r>
      <w:bookmarkEnd w:id="550"/>
    </w:p>
    <w:p w14:paraId="1528C4C1" w14:textId="09314EF0" w:rsidR="0048699F" w:rsidRPr="000E5786" w:rsidRDefault="0048699F" w:rsidP="00834C1A">
      <w:pPr>
        <w:pStyle w:val="Heading4"/>
        <w:tabs>
          <w:tab w:val="clear" w:pos="1702"/>
          <w:tab w:val="num" w:pos="2552"/>
        </w:tabs>
        <w:spacing w:after="120"/>
        <w:ind w:left="2410"/>
        <w:rPr>
          <w:rFonts w:cs="Arial"/>
          <w:szCs w:val="20"/>
        </w:rPr>
      </w:pPr>
      <w:bookmarkStart w:id="551" w:name="_Ref53585153"/>
      <w:r w:rsidRPr="000E5786">
        <w:rPr>
          <w:rFonts w:cs="Arial"/>
          <w:szCs w:val="20"/>
        </w:rPr>
        <w:t xml:space="preserve">without prejudice to clause </w:t>
      </w:r>
      <w:r w:rsidR="005C6939" w:rsidRPr="000E5786">
        <w:rPr>
          <w:rFonts w:cs="Arial"/>
          <w:szCs w:val="20"/>
        </w:rPr>
        <w:fldChar w:fldCharType="begin"/>
      </w:r>
      <w:r w:rsidR="005C6939" w:rsidRPr="000E5786">
        <w:rPr>
          <w:rFonts w:cs="Arial"/>
          <w:szCs w:val="20"/>
        </w:rPr>
        <w:instrText xml:space="preserve">  REF _Ref53585183 \w \h \* MERGEFORMAT </w:instrText>
      </w:r>
      <w:r w:rsidR="005C6939" w:rsidRPr="000E5786">
        <w:rPr>
          <w:rFonts w:cs="Arial"/>
          <w:szCs w:val="20"/>
        </w:rPr>
      </w:r>
      <w:r w:rsidR="005C6939" w:rsidRPr="000E5786">
        <w:rPr>
          <w:rFonts w:cs="Arial"/>
          <w:szCs w:val="20"/>
        </w:rPr>
        <w:fldChar w:fldCharType="separate"/>
      </w:r>
      <w:r w:rsidR="002523A8" w:rsidRPr="000E5786">
        <w:rPr>
          <w:rFonts w:cs="Arial"/>
          <w:szCs w:val="20"/>
        </w:rPr>
        <w:t>19.11</w:t>
      </w:r>
      <w:r w:rsidR="005C6939" w:rsidRPr="000E5786">
        <w:rPr>
          <w:rFonts w:cs="Arial"/>
          <w:szCs w:val="20"/>
        </w:rPr>
        <w:fldChar w:fldCharType="end"/>
      </w:r>
      <w:r w:rsidRPr="000E5786">
        <w:rPr>
          <w:rFonts w:cs="Arial"/>
          <w:szCs w:val="20"/>
        </w:rPr>
        <w:t xml:space="preserve"> (Third Party Software and Third Party IPRs), provide full details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of any Supplier Background IPRs or Third Party IPRs which are embedded in or which are an integral part of the Specially Written Software or any element of Project Specific IPRs;</w:t>
      </w:r>
      <w:bookmarkEnd w:id="551"/>
    </w:p>
    <w:p w14:paraId="5810D277" w14:textId="43F53064" w:rsidR="0048699F" w:rsidRPr="000E5786" w:rsidRDefault="0048699F" w:rsidP="00346A37">
      <w:pPr>
        <w:pStyle w:val="Heading3"/>
      </w:pPr>
      <w:bookmarkStart w:id="552" w:name="_Ref53585154"/>
      <w:r w:rsidRPr="000E5786">
        <w:t xml:space="preserve">acknowledges and agrees that the ownership of the media referred to in clause </w:t>
      </w:r>
      <w:r w:rsidR="005C6939" w:rsidRPr="000E5786">
        <w:fldChar w:fldCharType="begin"/>
      </w:r>
      <w:r w:rsidR="005C6939" w:rsidRPr="000E5786">
        <w:instrText xml:space="preserve">  REF _Ref53585150 \w \h \* MERGEFORMAT </w:instrText>
      </w:r>
      <w:r w:rsidR="005C6939" w:rsidRPr="000E5786">
        <w:fldChar w:fldCharType="separate"/>
      </w:r>
      <w:r w:rsidR="002523A8" w:rsidRPr="000E5786">
        <w:t>19.3.1</w:t>
      </w:r>
      <w:r w:rsidR="005C6939" w:rsidRPr="000E5786">
        <w:fldChar w:fldCharType="end"/>
      </w:r>
      <w:r w:rsidRPr="000E5786">
        <w:t xml:space="preserve"> shall vest in </w:t>
      </w:r>
      <w:proofErr w:type="spellStart"/>
      <w:r w:rsidR="001F1C19">
        <w:t>Netlink</w:t>
      </w:r>
      <w:proofErr w:type="spellEnd"/>
      <w:r w:rsidR="001F1C19">
        <w:t xml:space="preserve"> Star</w:t>
      </w:r>
      <w:r w:rsidRPr="000E5786">
        <w:t xml:space="preserve"> upon their receipt by </w:t>
      </w:r>
      <w:proofErr w:type="spellStart"/>
      <w:r w:rsidR="001F1C19">
        <w:t>Netlink</w:t>
      </w:r>
      <w:proofErr w:type="spellEnd"/>
      <w:r w:rsidR="001F1C19">
        <w:t xml:space="preserve"> </w:t>
      </w:r>
      <w:proofErr w:type="gramStart"/>
      <w:r w:rsidR="001F1C19">
        <w:t>Star</w:t>
      </w:r>
      <w:r w:rsidRPr="000E5786">
        <w:t>;</w:t>
      </w:r>
      <w:bookmarkEnd w:id="552"/>
      <w:proofErr w:type="gramEnd"/>
    </w:p>
    <w:p w14:paraId="41C9F513" w14:textId="76C94EFC" w:rsidR="0048699F" w:rsidRPr="000E5786" w:rsidRDefault="0048699F" w:rsidP="00346A37">
      <w:pPr>
        <w:pStyle w:val="Heading3"/>
      </w:pPr>
      <w:bookmarkStart w:id="553" w:name="_Ref53585155"/>
      <w:r w:rsidRPr="000E5786">
        <w:t>shall execute or shall procure the execution of all such assignments as are</w:t>
      </w:r>
      <w:r w:rsidR="00A25C0A" w:rsidRPr="000E5786">
        <w:t xml:space="preserve"> </w:t>
      </w:r>
      <w:r w:rsidRPr="000E5786">
        <w:t xml:space="preserve">required to ensure that any rights in the Specially Written Software and Project Specific IPRs are properly transferred to </w:t>
      </w:r>
      <w:proofErr w:type="spellStart"/>
      <w:r w:rsidR="001F1C19">
        <w:t>Netlink</w:t>
      </w:r>
      <w:proofErr w:type="spellEnd"/>
      <w:r w:rsidR="001F1C19">
        <w:t xml:space="preserve"> Star</w:t>
      </w:r>
      <w:r w:rsidRPr="000E5786">
        <w:t>; and</w:t>
      </w:r>
      <w:bookmarkEnd w:id="553"/>
    </w:p>
    <w:p w14:paraId="3373CB98" w14:textId="087660BD" w:rsidR="003E390C" w:rsidRPr="000E5786" w:rsidRDefault="0048699F" w:rsidP="00346A37">
      <w:pPr>
        <w:pStyle w:val="Heading3"/>
      </w:pPr>
      <w:bookmarkStart w:id="554" w:name="_Ref53585156"/>
      <w:r w:rsidRPr="000E5786">
        <w:t xml:space="preserve">waives or shall procure a waiver of any moral rights in any copyright works assigned to </w:t>
      </w:r>
      <w:proofErr w:type="spellStart"/>
      <w:r w:rsidR="001F1C19">
        <w:t>Netlink</w:t>
      </w:r>
      <w:proofErr w:type="spellEnd"/>
      <w:r w:rsidR="001F1C19">
        <w:t xml:space="preserve"> Star</w:t>
      </w:r>
      <w:r w:rsidRPr="000E5786">
        <w:t xml:space="preserve"> under this Agreement.</w:t>
      </w:r>
      <w:bookmarkEnd w:id="554"/>
      <w:r w:rsidRPr="000E5786">
        <w:t xml:space="preserve"> </w:t>
      </w:r>
    </w:p>
    <w:p w14:paraId="7BCBA281" w14:textId="3E4335CD" w:rsidR="0048699F" w:rsidRPr="000E5786" w:rsidRDefault="0048699F" w:rsidP="00CE5734">
      <w:pPr>
        <w:pStyle w:val="BodyText"/>
        <w:spacing w:after="120"/>
        <w:ind w:firstLine="284"/>
        <w:rPr>
          <w:rFonts w:cs="Arial"/>
          <w:b/>
          <w:bCs/>
          <w:szCs w:val="20"/>
        </w:rPr>
      </w:pPr>
      <w:r w:rsidRPr="000E5786">
        <w:rPr>
          <w:rFonts w:cs="Arial"/>
          <w:b/>
          <w:bCs/>
          <w:szCs w:val="20"/>
        </w:rPr>
        <w:t>Supplier Software and Supplier Background IPRs</w:t>
      </w:r>
    </w:p>
    <w:p w14:paraId="4E262F71" w14:textId="1B44C3AA" w:rsidR="0048699F" w:rsidRPr="000E5786" w:rsidRDefault="0048699F" w:rsidP="00DD60F0">
      <w:pPr>
        <w:pStyle w:val="Heading2"/>
        <w:spacing w:after="120"/>
        <w:rPr>
          <w:rFonts w:cs="Arial"/>
          <w:szCs w:val="20"/>
        </w:rPr>
      </w:pPr>
      <w:bookmarkStart w:id="555" w:name="_Ref53585157"/>
      <w:r w:rsidRPr="000E5786">
        <w:rPr>
          <w:rFonts w:cs="Arial"/>
          <w:szCs w:val="20"/>
        </w:rPr>
        <w:lastRenderedPageBreak/>
        <w:t xml:space="preserve">The Supplier hereby grants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w:t>
      </w:r>
      <w:bookmarkEnd w:id="555"/>
    </w:p>
    <w:p w14:paraId="29F6D034" w14:textId="529736A0" w:rsidR="0048699F" w:rsidRPr="000E5786" w:rsidRDefault="0048699F" w:rsidP="00346A37">
      <w:pPr>
        <w:pStyle w:val="Heading3"/>
      </w:pPr>
      <w:bookmarkStart w:id="556" w:name="_Ref53585158"/>
      <w:r w:rsidRPr="000E5786">
        <w:t xml:space="preserve">subject to the provisions of clauses </w:t>
      </w:r>
      <w:r w:rsidR="005C6939" w:rsidRPr="000E5786">
        <w:fldChar w:fldCharType="begin"/>
      </w:r>
      <w:r w:rsidR="005C6939" w:rsidRPr="000E5786">
        <w:instrText xml:space="preserve">  REF _Ref53585207 \w \h \* MERGEFORMAT </w:instrText>
      </w:r>
      <w:r w:rsidR="005C6939" w:rsidRPr="000E5786">
        <w:fldChar w:fldCharType="separate"/>
      </w:r>
      <w:r w:rsidR="002523A8" w:rsidRPr="000E5786">
        <w:t>19.17</w:t>
      </w:r>
      <w:r w:rsidR="005C6939" w:rsidRPr="000E5786">
        <w:fldChar w:fldCharType="end"/>
      </w:r>
      <w:r w:rsidRPr="000E5786">
        <w:t xml:space="preserve"> and </w:t>
      </w:r>
      <w:r w:rsidR="00CE674A" w:rsidRPr="000E5786">
        <w:fldChar w:fldCharType="begin"/>
      </w:r>
      <w:r w:rsidR="00CE674A" w:rsidRPr="000E5786">
        <w:instrText xml:space="preserve">  REF _Ref53585595 \w \h \* MERGEFORMAT </w:instrText>
      </w:r>
      <w:r w:rsidR="00CE674A" w:rsidRPr="000E5786">
        <w:fldChar w:fldCharType="separate"/>
      </w:r>
      <w:r w:rsidR="002523A8" w:rsidRPr="000E5786">
        <w:t>37.11.2</w:t>
      </w:r>
      <w:r w:rsidR="00CE674A" w:rsidRPr="000E5786">
        <w:fldChar w:fldCharType="end"/>
      </w:r>
      <w:r w:rsidRPr="000E5786">
        <w:t xml:space="preserve"> (Consequences of expiry or termination), perpetual, royalty-free and non-exclusive licences to use (including but not limited to the right to load, execute, store, transmit, display and copy (for the purposes of archiving, backing-up, loading, execution, storage, transmission or display)):</w:t>
      </w:r>
      <w:bookmarkEnd w:id="556"/>
    </w:p>
    <w:p w14:paraId="7C9E1FAC" w14:textId="10274568" w:rsidR="0048699F" w:rsidRPr="000E5786" w:rsidRDefault="0048699F" w:rsidP="00834C1A">
      <w:pPr>
        <w:pStyle w:val="Heading4"/>
        <w:tabs>
          <w:tab w:val="clear" w:pos="1702"/>
          <w:tab w:val="num" w:pos="2552"/>
        </w:tabs>
        <w:spacing w:after="120"/>
        <w:ind w:left="2410"/>
        <w:rPr>
          <w:rFonts w:cs="Arial"/>
          <w:szCs w:val="20"/>
        </w:rPr>
      </w:pPr>
      <w:bookmarkStart w:id="557" w:name="_Ref53585159"/>
      <w:r w:rsidRPr="000E5786">
        <w:rPr>
          <w:rFonts w:cs="Arial"/>
          <w:szCs w:val="20"/>
        </w:rPr>
        <w:t xml:space="preserve">the Supplier Non-COTS Software for any purpose relating to the Services (or substantially equivalent services) or for any purpose relating to the exercise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’s (or any other Central Government Body’s) business or function; and</w:t>
      </w:r>
      <w:bookmarkEnd w:id="557"/>
    </w:p>
    <w:p w14:paraId="5931FFF2" w14:textId="01473891" w:rsidR="0048699F" w:rsidRPr="000E5786" w:rsidRDefault="0048699F" w:rsidP="00834C1A">
      <w:pPr>
        <w:pStyle w:val="Heading4"/>
        <w:tabs>
          <w:tab w:val="clear" w:pos="1702"/>
          <w:tab w:val="num" w:pos="2552"/>
        </w:tabs>
        <w:spacing w:after="120"/>
        <w:ind w:left="2410"/>
        <w:rPr>
          <w:rFonts w:cs="Arial"/>
          <w:szCs w:val="20"/>
        </w:rPr>
      </w:pPr>
      <w:bookmarkStart w:id="558" w:name="_Ref53585160"/>
      <w:r w:rsidRPr="000E5786">
        <w:rPr>
          <w:rFonts w:cs="Arial"/>
          <w:szCs w:val="20"/>
        </w:rPr>
        <w:t xml:space="preserve">the Supplier Non-COTS Background IPRs for any purpose relating to the Services (or substantially equivalent services) or for any purpose relating to the exercise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’s (or any other Central Government Body’s) business or function; and</w:t>
      </w:r>
      <w:bookmarkEnd w:id="558"/>
    </w:p>
    <w:p w14:paraId="79D63225" w14:textId="0E13E4CC" w:rsidR="0048699F" w:rsidRPr="000E5786" w:rsidRDefault="0048699F" w:rsidP="00346A37">
      <w:pPr>
        <w:pStyle w:val="Heading3"/>
      </w:pPr>
      <w:bookmarkStart w:id="559" w:name="_Ref53585161"/>
      <w:r w:rsidRPr="000E5786">
        <w:t xml:space="preserve">a licence to use the Supplier COTS Software and Supplier COTS Background IPRs on the licence terms identified in a letter in or substantially in the form set out in Annex </w:t>
      </w:r>
      <w:bookmarkStart w:id="560" w:name="DocXTextRef214"/>
      <w:r w:rsidRPr="000E5786">
        <w:t>1</w:t>
      </w:r>
      <w:bookmarkEnd w:id="560"/>
      <w:r w:rsidRPr="000E5786">
        <w:t xml:space="preserve"> to </w:t>
      </w:r>
      <w:bookmarkStart w:id="561" w:name="DocXTextRef213"/>
      <w:r w:rsidRPr="000E5786">
        <w:t>Schedule 5</w:t>
      </w:r>
      <w:bookmarkEnd w:id="561"/>
      <w:r w:rsidRPr="000E5786">
        <w:t xml:space="preserve"> (Software) and signed by or on behalf of the Parties on or before the Effective Date provided always that </w:t>
      </w:r>
      <w:proofErr w:type="spellStart"/>
      <w:r w:rsidR="001F1C19">
        <w:t>Netlink</w:t>
      </w:r>
      <w:proofErr w:type="spellEnd"/>
      <w:r w:rsidR="001F1C19">
        <w:t xml:space="preserve"> Star</w:t>
      </w:r>
      <w:r w:rsidRPr="000E5786">
        <w:t xml:space="preserve"> shall remain entitled to sub-license and to assign and novate the Supplier COTS Software and Supplier COTS Background IPRs on equivalent terms to those set out in clauses</w:t>
      </w:r>
      <w:r w:rsidR="00644582" w:rsidRPr="000E5786">
        <w:t xml:space="preserve"> </w:t>
      </w:r>
      <w:r w:rsidR="00CE674A" w:rsidRPr="000E5786">
        <w:fldChar w:fldCharType="begin"/>
      </w:r>
      <w:r w:rsidR="00CE674A" w:rsidRPr="000E5786">
        <w:instrText xml:space="preserve">  REF _Ref53585168 \w \h \* MERGEFORMAT </w:instrText>
      </w:r>
      <w:r w:rsidR="00CE674A" w:rsidRPr="000E5786">
        <w:fldChar w:fldCharType="separate"/>
      </w:r>
      <w:r w:rsidR="002523A8" w:rsidRPr="000E5786">
        <w:t>19.7</w:t>
      </w:r>
      <w:r w:rsidR="00CE674A" w:rsidRPr="000E5786">
        <w:fldChar w:fldCharType="end"/>
      </w:r>
      <w:r w:rsidRPr="000E5786">
        <w:t xml:space="preserve"> and </w:t>
      </w:r>
      <w:r w:rsidR="00CE674A" w:rsidRPr="000E5786">
        <w:fldChar w:fldCharType="begin"/>
      </w:r>
      <w:r w:rsidR="00CE674A" w:rsidRPr="000E5786">
        <w:instrText xml:space="preserve">  REF _Ref53585178 \w \h \* MERGEFORMAT </w:instrText>
      </w:r>
      <w:r w:rsidR="00CE674A" w:rsidRPr="000E5786">
        <w:fldChar w:fldCharType="separate"/>
      </w:r>
      <w:r w:rsidR="002523A8" w:rsidRPr="000E5786">
        <w:t>19.8</w:t>
      </w:r>
      <w:r w:rsidR="00CE674A" w:rsidRPr="000E5786">
        <w:fldChar w:fldCharType="end"/>
      </w:r>
      <w:r w:rsidRPr="000E5786">
        <w:t xml:space="preserve"> in relation to the Supplier Non-COTS Software and Supplier Non</w:t>
      </w:r>
      <w:r w:rsidR="0098655D">
        <w:t>-</w:t>
      </w:r>
      <w:r w:rsidRPr="000E5786">
        <w:t>COTS Background IPRs; and</w:t>
      </w:r>
      <w:bookmarkEnd w:id="559"/>
    </w:p>
    <w:p w14:paraId="294E9B92" w14:textId="5BF29D0E" w:rsidR="0048699F" w:rsidRPr="000E5786" w:rsidRDefault="0048699F" w:rsidP="00346A37">
      <w:pPr>
        <w:pStyle w:val="Heading3"/>
      </w:pPr>
      <w:bookmarkStart w:id="562" w:name="_Ref53585162"/>
      <w:r w:rsidRPr="000E5786">
        <w:t>a perpetual royalty-free non-exclusive licence</w:t>
      </w:r>
      <w:r w:rsidR="000578A4" w:rsidRPr="000E5786">
        <w:t xml:space="preserve"> </w:t>
      </w:r>
      <w:r w:rsidRPr="000E5786">
        <w:t>to use without limitation any Know-How, trade secrets or Confidential Information contained within the Specially Written Software or the Project Specific IPRs.</w:t>
      </w:r>
      <w:bookmarkEnd w:id="562"/>
    </w:p>
    <w:p w14:paraId="47B2F9B2" w14:textId="74509466" w:rsidR="0048699F" w:rsidRPr="000E5786" w:rsidRDefault="0048699F" w:rsidP="00DD60F0">
      <w:pPr>
        <w:pStyle w:val="Heading2"/>
        <w:spacing w:after="120"/>
        <w:rPr>
          <w:rFonts w:cs="Arial"/>
          <w:szCs w:val="20"/>
        </w:rPr>
      </w:pPr>
      <w:bookmarkStart w:id="563" w:name="_Ref53585163"/>
      <w:r w:rsidRPr="000E5786">
        <w:rPr>
          <w:rFonts w:cs="Arial"/>
          <w:szCs w:val="20"/>
        </w:rPr>
        <w:t xml:space="preserve">At any time during the Term or following termination or expiry of this Agreement, the Supplier may terminate the licence granted in respect of the Supplier Non-COTS Software under clause </w:t>
      </w:r>
      <w:r w:rsidR="00CE674A" w:rsidRPr="000E5786">
        <w:rPr>
          <w:rFonts w:cs="Arial"/>
          <w:szCs w:val="20"/>
        </w:rPr>
        <w:fldChar w:fldCharType="begin"/>
      </w:r>
      <w:r w:rsidR="00CE674A" w:rsidRPr="000E5786">
        <w:rPr>
          <w:rFonts w:cs="Arial"/>
          <w:szCs w:val="20"/>
        </w:rPr>
        <w:instrText xml:space="preserve">  REF _Ref53585159 \w \h \* MERGEFORMAT </w:instrText>
      </w:r>
      <w:r w:rsidR="00CE674A" w:rsidRPr="000E5786">
        <w:rPr>
          <w:rFonts w:cs="Arial"/>
          <w:szCs w:val="20"/>
        </w:rPr>
      </w:r>
      <w:r w:rsidR="00CE674A" w:rsidRPr="000E5786">
        <w:rPr>
          <w:rFonts w:cs="Arial"/>
          <w:szCs w:val="20"/>
        </w:rPr>
        <w:fldChar w:fldCharType="separate"/>
      </w:r>
      <w:r w:rsidR="002523A8" w:rsidRPr="000E5786">
        <w:rPr>
          <w:rFonts w:cs="Arial"/>
          <w:szCs w:val="20"/>
        </w:rPr>
        <w:t>19.4.1(a)</w:t>
      </w:r>
      <w:r w:rsidR="00CE674A" w:rsidRPr="000E5786">
        <w:rPr>
          <w:rFonts w:cs="Arial"/>
          <w:szCs w:val="20"/>
        </w:rPr>
        <w:fldChar w:fldCharType="end"/>
      </w:r>
      <w:r w:rsidRPr="000E5786">
        <w:rPr>
          <w:rFonts w:cs="Arial"/>
          <w:szCs w:val="20"/>
        </w:rPr>
        <w:t xml:space="preserve"> or in respect of the Supplier Non-COTS Background IPRs under clause </w:t>
      </w:r>
      <w:r w:rsidR="00CE674A" w:rsidRPr="000E5786">
        <w:rPr>
          <w:rFonts w:cs="Arial"/>
          <w:szCs w:val="20"/>
        </w:rPr>
        <w:fldChar w:fldCharType="begin"/>
      </w:r>
      <w:r w:rsidR="00CE674A" w:rsidRPr="000E5786">
        <w:rPr>
          <w:rFonts w:cs="Arial"/>
          <w:szCs w:val="20"/>
        </w:rPr>
        <w:instrText xml:space="preserve">  REF _Ref53585160 \w \h \* MERGEFORMAT </w:instrText>
      </w:r>
      <w:r w:rsidR="00CE674A" w:rsidRPr="000E5786">
        <w:rPr>
          <w:rFonts w:cs="Arial"/>
          <w:szCs w:val="20"/>
        </w:rPr>
      </w:r>
      <w:r w:rsidR="00CE674A" w:rsidRPr="000E5786">
        <w:rPr>
          <w:rFonts w:cs="Arial"/>
          <w:szCs w:val="20"/>
        </w:rPr>
        <w:fldChar w:fldCharType="separate"/>
      </w:r>
      <w:r w:rsidR="002523A8" w:rsidRPr="000E5786">
        <w:rPr>
          <w:rFonts w:cs="Arial"/>
          <w:szCs w:val="20"/>
        </w:rPr>
        <w:t>19.4.1(b)</w:t>
      </w:r>
      <w:r w:rsidR="00CE674A" w:rsidRPr="000E5786">
        <w:rPr>
          <w:rFonts w:cs="Arial"/>
          <w:szCs w:val="20"/>
        </w:rPr>
        <w:fldChar w:fldCharType="end"/>
      </w:r>
      <w:r w:rsidRPr="000E5786">
        <w:rPr>
          <w:rFonts w:cs="Arial"/>
          <w:szCs w:val="20"/>
        </w:rPr>
        <w:t xml:space="preserve"> by giving thirty (30) days’ notice in writing (or such other period as agreed by the Parties) if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or any person to whom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grants a sub-licence pursuant to clause </w:t>
      </w:r>
      <w:r w:rsidR="00CE674A" w:rsidRPr="000E5786">
        <w:rPr>
          <w:rFonts w:cs="Arial"/>
          <w:szCs w:val="20"/>
        </w:rPr>
        <w:fldChar w:fldCharType="begin"/>
      </w:r>
      <w:r w:rsidR="00CE674A" w:rsidRPr="000E5786">
        <w:rPr>
          <w:rFonts w:cs="Arial"/>
          <w:szCs w:val="20"/>
        </w:rPr>
        <w:instrText xml:space="preserve">  REF _Ref53585168 \w \h \* MERGEFORMAT </w:instrText>
      </w:r>
      <w:r w:rsidR="00CE674A" w:rsidRPr="000E5786">
        <w:rPr>
          <w:rFonts w:cs="Arial"/>
          <w:szCs w:val="20"/>
        </w:rPr>
      </w:r>
      <w:r w:rsidR="00CE674A" w:rsidRPr="000E5786">
        <w:rPr>
          <w:rFonts w:cs="Arial"/>
          <w:szCs w:val="20"/>
        </w:rPr>
        <w:fldChar w:fldCharType="separate"/>
      </w:r>
      <w:r w:rsidR="002523A8" w:rsidRPr="000E5786">
        <w:rPr>
          <w:rFonts w:cs="Arial"/>
          <w:szCs w:val="20"/>
        </w:rPr>
        <w:t>19.7</w:t>
      </w:r>
      <w:r w:rsidR="00CE674A" w:rsidRPr="000E5786">
        <w:rPr>
          <w:rFonts w:cs="Arial"/>
          <w:szCs w:val="20"/>
        </w:rPr>
        <w:fldChar w:fldCharType="end"/>
      </w:r>
      <w:r w:rsidRPr="000E5786">
        <w:rPr>
          <w:rFonts w:cs="Arial"/>
          <w:szCs w:val="20"/>
        </w:rPr>
        <w:t xml:space="preserv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right to sub-license) commits any material breach of the terms of clause </w:t>
      </w:r>
      <w:r w:rsidR="00CE674A" w:rsidRPr="000E5786">
        <w:rPr>
          <w:rFonts w:cs="Arial"/>
          <w:szCs w:val="20"/>
        </w:rPr>
        <w:fldChar w:fldCharType="begin"/>
      </w:r>
      <w:r w:rsidR="00CE674A" w:rsidRPr="000E5786">
        <w:rPr>
          <w:rFonts w:cs="Arial"/>
          <w:szCs w:val="20"/>
        </w:rPr>
        <w:instrText xml:space="preserve">  REF _Ref53585159 \w \h \* MERGEFORMAT </w:instrText>
      </w:r>
      <w:r w:rsidR="00CE674A" w:rsidRPr="000E5786">
        <w:rPr>
          <w:rFonts w:cs="Arial"/>
          <w:szCs w:val="20"/>
        </w:rPr>
      </w:r>
      <w:r w:rsidR="00CE674A" w:rsidRPr="000E5786">
        <w:rPr>
          <w:rFonts w:cs="Arial"/>
          <w:szCs w:val="20"/>
        </w:rPr>
        <w:fldChar w:fldCharType="separate"/>
      </w:r>
      <w:r w:rsidR="002523A8" w:rsidRPr="000E5786">
        <w:rPr>
          <w:rFonts w:cs="Arial"/>
          <w:szCs w:val="20"/>
        </w:rPr>
        <w:t>19.4.1(a)</w:t>
      </w:r>
      <w:r w:rsidR="00CE674A" w:rsidRPr="000E5786">
        <w:rPr>
          <w:rFonts w:cs="Arial"/>
          <w:szCs w:val="20"/>
        </w:rPr>
        <w:fldChar w:fldCharType="end"/>
      </w:r>
      <w:r w:rsidRPr="000E5786">
        <w:rPr>
          <w:rFonts w:cs="Arial"/>
          <w:szCs w:val="20"/>
        </w:rPr>
        <w:t xml:space="preserve"> or </w:t>
      </w:r>
      <w:r w:rsidR="00073BE5" w:rsidRPr="000E5786">
        <w:rPr>
          <w:rFonts w:cs="Arial"/>
          <w:szCs w:val="20"/>
        </w:rPr>
        <w:fldChar w:fldCharType="begin"/>
      </w:r>
      <w:r w:rsidR="00073BE5" w:rsidRPr="000E5786">
        <w:rPr>
          <w:rFonts w:cs="Arial"/>
          <w:szCs w:val="20"/>
        </w:rPr>
        <w:instrText xml:space="preserve">  REF _Ref53585160 \w \h \* MERGEFORMAT </w:instrText>
      </w:r>
      <w:r w:rsidR="00073BE5" w:rsidRPr="000E5786">
        <w:rPr>
          <w:rFonts w:cs="Arial"/>
          <w:szCs w:val="20"/>
        </w:rPr>
      </w:r>
      <w:r w:rsidR="00073BE5" w:rsidRPr="000E5786">
        <w:rPr>
          <w:rFonts w:cs="Arial"/>
          <w:szCs w:val="20"/>
        </w:rPr>
        <w:fldChar w:fldCharType="separate"/>
      </w:r>
      <w:r w:rsidR="002523A8" w:rsidRPr="000E5786">
        <w:rPr>
          <w:rFonts w:cs="Arial"/>
          <w:szCs w:val="20"/>
        </w:rPr>
        <w:t>19.4.1(b)</w:t>
      </w:r>
      <w:r w:rsidR="00073BE5" w:rsidRPr="000E5786">
        <w:rPr>
          <w:rFonts w:cs="Arial"/>
          <w:szCs w:val="20"/>
        </w:rPr>
        <w:fldChar w:fldCharType="end"/>
      </w:r>
      <w:r w:rsidRPr="000E5786">
        <w:rPr>
          <w:rFonts w:cs="Arial"/>
          <w:szCs w:val="20"/>
        </w:rPr>
        <w:t xml:space="preserve"> or </w:t>
      </w:r>
      <w:r w:rsidR="00073BE5" w:rsidRPr="000E5786">
        <w:rPr>
          <w:rFonts w:cs="Arial"/>
          <w:szCs w:val="20"/>
        </w:rPr>
        <w:fldChar w:fldCharType="begin"/>
      </w:r>
      <w:r w:rsidR="00073BE5" w:rsidRPr="000E5786">
        <w:rPr>
          <w:rFonts w:cs="Arial"/>
          <w:szCs w:val="20"/>
        </w:rPr>
        <w:instrText xml:space="preserve">  REF _Ref53585171 \w \h \* MERGEFORMAT </w:instrText>
      </w:r>
      <w:r w:rsidR="00073BE5" w:rsidRPr="000E5786">
        <w:rPr>
          <w:rFonts w:cs="Arial"/>
          <w:szCs w:val="20"/>
        </w:rPr>
      </w:r>
      <w:r w:rsidR="00073BE5" w:rsidRPr="000E5786">
        <w:rPr>
          <w:rFonts w:cs="Arial"/>
          <w:szCs w:val="20"/>
        </w:rPr>
        <w:fldChar w:fldCharType="separate"/>
      </w:r>
      <w:r w:rsidR="002523A8" w:rsidRPr="000E5786">
        <w:rPr>
          <w:rFonts w:cs="Arial"/>
          <w:szCs w:val="20"/>
        </w:rPr>
        <w:t>19.7.1(b)</w:t>
      </w:r>
      <w:r w:rsidR="00073BE5" w:rsidRPr="000E5786">
        <w:rPr>
          <w:rFonts w:cs="Arial"/>
          <w:szCs w:val="20"/>
        </w:rPr>
        <w:fldChar w:fldCharType="end"/>
      </w:r>
      <w:r w:rsidRPr="000E5786">
        <w:rPr>
          <w:rFonts w:cs="Arial"/>
          <w:szCs w:val="20"/>
        </w:rPr>
        <w:t xml:space="preserve"> (as the case may be) which, if the breach is capable of remedy, is not remedied within twenty </w:t>
      </w:r>
      <w:bookmarkStart w:id="564" w:name="DocXTextRef220"/>
      <w:r w:rsidRPr="000E5786">
        <w:rPr>
          <w:rFonts w:cs="Arial"/>
          <w:szCs w:val="20"/>
        </w:rPr>
        <w:t>(20)</w:t>
      </w:r>
      <w:bookmarkEnd w:id="564"/>
      <w:r w:rsidRPr="000E5786">
        <w:rPr>
          <w:rFonts w:cs="Arial"/>
          <w:szCs w:val="20"/>
        </w:rPr>
        <w:t xml:space="preserve"> Working Days after the Supplier gives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written notice specifying the breach and requiring its remedy.</w:t>
      </w:r>
      <w:bookmarkEnd w:id="563"/>
    </w:p>
    <w:p w14:paraId="3821EA58" w14:textId="0DD7CA34" w:rsidR="0048699F" w:rsidRPr="000E5786" w:rsidRDefault="0048699F" w:rsidP="00DD60F0">
      <w:pPr>
        <w:pStyle w:val="Heading2"/>
        <w:spacing w:after="120"/>
        <w:rPr>
          <w:rFonts w:cs="Arial"/>
          <w:szCs w:val="20"/>
        </w:rPr>
      </w:pPr>
      <w:bookmarkStart w:id="565" w:name="_Ref53585164"/>
      <w:r w:rsidRPr="000E5786">
        <w:rPr>
          <w:rFonts w:cs="Arial"/>
          <w:szCs w:val="20"/>
        </w:rPr>
        <w:t xml:space="preserve">In the event the licence of the Supplier Non-COTS Software or the Supplier Non-COTS Background IPRs is terminated pursuant to clause </w:t>
      </w:r>
      <w:r w:rsidR="00561898" w:rsidRPr="000E5786">
        <w:rPr>
          <w:rFonts w:cs="Arial"/>
          <w:szCs w:val="20"/>
        </w:rPr>
        <w:fldChar w:fldCharType="begin"/>
      </w:r>
      <w:r w:rsidR="00561898" w:rsidRPr="000E5786">
        <w:rPr>
          <w:rFonts w:cs="Arial"/>
          <w:szCs w:val="20"/>
        </w:rPr>
        <w:instrText xml:space="preserve">  REF _Ref53585163 \w \h \* MERGEFORMAT </w:instrText>
      </w:r>
      <w:r w:rsidR="00561898" w:rsidRPr="000E5786">
        <w:rPr>
          <w:rFonts w:cs="Arial"/>
          <w:szCs w:val="20"/>
        </w:rPr>
      </w:r>
      <w:r w:rsidR="00561898" w:rsidRPr="000E5786">
        <w:rPr>
          <w:rFonts w:cs="Arial"/>
          <w:szCs w:val="20"/>
        </w:rPr>
        <w:fldChar w:fldCharType="separate"/>
      </w:r>
      <w:r w:rsidR="002523A8" w:rsidRPr="000E5786">
        <w:rPr>
          <w:rFonts w:cs="Arial"/>
          <w:szCs w:val="20"/>
        </w:rPr>
        <w:t>19.5</w:t>
      </w:r>
      <w:r w:rsidR="00561898" w:rsidRPr="000E5786">
        <w:rPr>
          <w:rFonts w:cs="Arial"/>
          <w:szCs w:val="20"/>
        </w:rPr>
        <w:fldChar w:fldCharType="end"/>
      </w:r>
      <w:r w:rsidRPr="000E5786">
        <w:rPr>
          <w:rFonts w:cs="Arial"/>
          <w:szCs w:val="20"/>
        </w:rPr>
        <w:t xml:space="preserv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w:t>
      </w:r>
      <w:bookmarkEnd w:id="565"/>
    </w:p>
    <w:p w14:paraId="08281328" w14:textId="328EABF2" w:rsidR="0048699F" w:rsidRPr="000E5786" w:rsidRDefault="0048699F" w:rsidP="00346A37">
      <w:pPr>
        <w:pStyle w:val="Heading3"/>
      </w:pPr>
      <w:bookmarkStart w:id="566" w:name="_Ref53585165"/>
      <w:r w:rsidRPr="000E5786">
        <w:t>immediately cease all use of the Supplier Non-COTS Software or the Supplier Non-COTS Background IPRs (as the case may be</w:t>
      </w:r>
      <w:proofErr w:type="gramStart"/>
      <w:r w:rsidRPr="000E5786">
        <w:t>);</w:t>
      </w:r>
      <w:bookmarkEnd w:id="566"/>
      <w:proofErr w:type="gramEnd"/>
    </w:p>
    <w:p w14:paraId="04738933" w14:textId="7D17EF78" w:rsidR="0048699F" w:rsidRPr="000E5786" w:rsidRDefault="0048699F" w:rsidP="00346A37">
      <w:pPr>
        <w:pStyle w:val="Heading3"/>
      </w:pPr>
      <w:bookmarkStart w:id="567" w:name="_Ref53585166"/>
      <w:r w:rsidRPr="000E5786">
        <w:t xml:space="preserve">at the discretion of the Supplier, return or destroy documents and other tangible materials to the extent that they contain any of the Supplier Non-COTS Software and/or the Supplier Non-COTS Background IPRs, provided that if the Supplier has not made an election within six (6) months of the termination of the licence, </w:t>
      </w:r>
      <w:proofErr w:type="spellStart"/>
      <w:r w:rsidR="001F1C19">
        <w:t>Netlink</w:t>
      </w:r>
      <w:proofErr w:type="spellEnd"/>
      <w:r w:rsidR="001F1C19">
        <w:t xml:space="preserve"> Star</w:t>
      </w:r>
      <w:r w:rsidRPr="000E5786">
        <w:t xml:space="preserve"> may destroy the documents and other tangible materials that contain any of the Supplier Non-COTS Software and/or the Supplier Non-COTS Background IPRs (as the case may be); and</w:t>
      </w:r>
      <w:bookmarkEnd w:id="567"/>
    </w:p>
    <w:p w14:paraId="5F632EAF" w14:textId="7153DCC5" w:rsidR="0048699F" w:rsidRPr="000E5786" w:rsidRDefault="0048699F" w:rsidP="00346A37">
      <w:pPr>
        <w:pStyle w:val="Heading3"/>
      </w:pPr>
      <w:bookmarkStart w:id="568" w:name="_Ref53585167"/>
      <w:r w:rsidRPr="000E5786">
        <w:t xml:space="preserve">ensure, so far as reasonably practicable, that any Supplier Non-COTS Software and/or Supplier Non-COTS Background IPRs that are held in electronic, </w:t>
      </w:r>
      <w:proofErr w:type="gramStart"/>
      <w:r w:rsidRPr="000E5786">
        <w:t>digital</w:t>
      </w:r>
      <w:proofErr w:type="gramEnd"/>
      <w:r w:rsidRPr="000E5786">
        <w:t xml:space="preserve"> or other machine-readable form ceases to be readily accessible (other than by the information technology staff of </w:t>
      </w:r>
      <w:proofErr w:type="spellStart"/>
      <w:r w:rsidR="001F1C19">
        <w:t>Netlink</w:t>
      </w:r>
      <w:proofErr w:type="spellEnd"/>
      <w:r w:rsidR="001F1C19">
        <w:t xml:space="preserve"> Star</w:t>
      </w:r>
      <w:r w:rsidRPr="000E5786">
        <w:t>) from any computer, word processor, voicemail system or any other device containing such Supplier Non</w:t>
      </w:r>
      <w:r w:rsidR="002701EF" w:rsidRPr="000E5786">
        <w:t>-</w:t>
      </w:r>
      <w:r w:rsidRPr="000E5786">
        <w:t>COTS Software and/or Supplier Non-COTS Background IPRs.</w:t>
      </w:r>
      <w:bookmarkEnd w:id="568"/>
    </w:p>
    <w:p w14:paraId="7B02E283" w14:textId="556217C0" w:rsidR="0048699F" w:rsidRPr="000E5786" w:rsidRDefault="001F1C19" w:rsidP="00CE5734">
      <w:pPr>
        <w:pStyle w:val="BodyText"/>
        <w:spacing w:after="120"/>
        <w:ind w:left="709" w:firstLine="0"/>
        <w:rPr>
          <w:rFonts w:cs="Arial"/>
          <w:szCs w:val="20"/>
          <w:u w:val="single"/>
        </w:rPr>
      </w:pPr>
      <w:proofErr w:type="spellStart"/>
      <w:r>
        <w:rPr>
          <w:rFonts w:cs="Arial"/>
          <w:szCs w:val="20"/>
          <w:u w:val="single"/>
        </w:rPr>
        <w:t>Netlink</w:t>
      </w:r>
      <w:proofErr w:type="spellEnd"/>
      <w:r>
        <w:rPr>
          <w:rFonts w:cs="Arial"/>
          <w:szCs w:val="20"/>
          <w:u w:val="single"/>
        </w:rPr>
        <w:t xml:space="preserve"> Star</w:t>
      </w:r>
      <w:r w:rsidR="0048699F" w:rsidRPr="000E5786">
        <w:rPr>
          <w:rFonts w:cs="Arial"/>
          <w:szCs w:val="20"/>
          <w:u w:val="single"/>
        </w:rPr>
        <w:t>’s right to sub-license</w:t>
      </w:r>
    </w:p>
    <w:p w14:paraId="38B8ADDB" w14:textId="2F35FB31" w:rsidR="0048699F" w:rsidRPr="000E5786" w:rsidRDefault="0048699F" w:rsidP="00DD60F0">
      <w:pPr>
        <w:pStyle w:val="Heading2"/>
        <w:spacing w:after="120"/>
        <w:rPr>
          <w:rFonts w:cs="Arial"/>
          <w:szCs w:val="20"/>
        </w:rPr>
      </w:pPr>
      <w:bookmarkStart w:id="569" w:name="_Ref53585168"/>
      <w:r w:rsidRPr="000E5786">
        <w:rPr>
          <w:rFonts w:cs="Arial"/>
          <w:szCs w:val="20"/>
        </w:rPr>
        <w:t xml:space="preserve">Subject to clause </w:t>
      </w:r>
      <w:r w:rsidR="00561898" w:rsidRPr="000E5786">
        <w:rPr>
          <w:rFonts w:cs="Arial"/>
          <w:szCs w:val="20"/>
        </w:rPr>
        <w:fldChar w:fldCharType="begin"/>
      </w:r>
      <w:r w:rsidR="00561898" w:rsidRPr="000E5786">
        <w:rPr>
          <w:rFonts w:cs="Arial"/>
          <w:szCs w:val="20"/>
        </w:rPr>
        <w:instrText xml:space="preserve">  REF _Ref53585207 \w \h \* MERGEFORMAT </w:instrText>
      </w:r>
      <w:r w:rsidR="00561898" w:rsidRPr="000E5786">
        <w:rPr>
          <w:rFonts w:cs="Arial"/>
          <w:szCs w:val="20"/>
        </w:rPr>
      </w:r>
      <w:r w:rsidR="00561898" w:rsidRPr="000E5786">
        <w:rPr>
          <w:rFonts w:cs="Arial"/>
          <w:szCs w:val="20"/>
        </w:rPr>
        <w:fldChar w:fldCharType="separate"/>
      </w:r>
      <w:r w:rsidR="002523A8" w:rsidRPr="000E5786">
        <w:rPr>
          <w:rFonts w:cs="Arial"/>
          <w:szCs w:val="20"/>
        </w:rPr>
        <w:t>19.17</w:t>
      </w:r>
      <w:r w:rsidR="00561898" w:rsidRPr="000E5786">
        <w:rPr>
          <w:rFonts w:cs="Arial"/>
          <w:szCs w:val="20"/>
        </w:rPr>
        <w:fldChar w:fldCharType="end"/>
      </w:r>
      <w:r w:rsidRPr="000E5786">
        <w:rPr>
          <w:rFonts w:cs="Arial"/>
          <w:szCs w:val="20"/>
        </w:rPr>
        <w:t xml:space="preserv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sub-license:</w:t>
      </w:r>
      <w:bookmarkEnd w:id="569"/>
    </w:p>
    <w:p w14:paraId="1FF2848D" w14:textId="24A799F2" w:rsidR="0048699F" w:rsidRPr="000E5786" w:rsidRDefault="0048699F" w:rsidP="00346A37">
      <w:pPr>
        <w:pStyle w:val="Heading3"/>
      </w:pPr>
      <w:bookmarkStart w:id="570" w:name="_Ref53585169"/>
      <w:r w:rsidRPr="000E5786">
        <w:lastRenderedPageBreak/>
        <w:t xml:space="preserve">the rights granted under clause </w:t>
      </w:r>
      <w:r w:rsidR="00561898" w:rsidRPr="000E5786">
        <w:fldChar w:fldCharType="begin"/>
      </w:r>
      <w:r w:rsidR="00561898" w:rsidRPr="000E5786">
        <w:instrText xml:space="preserve">  REF _Ref53585158 \w \h \* MERGEFORMAT </w:instrText>
      </w:r>
      <w:r w:rsidR="00561898" w:rsidRPr="000E5786">
        <w:fldChar w:fldCharType="separate"/>
      </w:r>
      <w:r w:rsidR="002523A8" w:rsidRPr="000E5786">
        <w:t>19.4.1</w:t>
      </w:r>
      <w:r w:rsidR="00561898" w:rsidRPr="000E5786">
        <w:fldChar w:fldCharType="end"/>
      </w:r>
      <w:r w:rsidRPr="000E5786">
        <w:t xml:space="preserve"> (Supplier Software and Supplier Background IPRs) to a third party (including for the avoidance of doubt, any Replacement Supplier) provided that:</w:t>
      </w:r>
      <w:bookmarkEnd w:id="570"/>
    </w:p>
    <w:p w14:paraId="35D3CE78" w14:textId="232FEE0D" w:rsidR="0048699F" w:rsidRPr="000E5786" w:rsidRDefault="0048699F" w:rsidP="00834C1A">
      <w:pPr>
        <w:pStyle w:val="Heading4"/>
        <w:tabs>
          <w:tab w:val="clear" w:pos="1702"/>
          <w:tab w:val="num" w:pos="2552"/>
        </w:tabs>
        <w:spacing w:after="120"/>
        <w:ind w:left="2410"/>
        <w:rPr>
          <w:rFonts w:cs="Arial"/>
          <w:szCs w:val="20"/>
        </w:rPr>
      </w:pPr>
      <w:bookmarkStart w:id="571" w:name="_Ref53585170"/>
      <w:r w:rsidRPr="000E5786">
        <w:rPr>
          <w:rFonts w:cs="Arial"/>
          <w:szCs w:val="20"/>
        </w:rPr>
        <w:t xml:space="preserve">the sub-licence is on terms no broader than those granted to </w:t>
      </w:r>
      <w:proofErr w:type="spellStart"/>
      <w:r w:rsidR="001F1C19">
        <w:rPr>
          <w:rFonts w:cs="Arial"/>
          <w:szCs w:val="20"/>
        </w:rPr>
        <w:t>Netlink</w:t>
      </w:r>
      <w:proofErr w:type="spellEnd"/>
      <w:r w:rsidR="001F1C19">
        <w:rPr>
          <w:rFonts w:cs="Arial"/>
          <w:szCs w:val="20"/>
        </w:rPr>
        <w:t xml:space="preserve"> </w:t>
      </w:r>
      <w:proofErr w:type="gramStart"/>
      <w:r w:rsidR="001F1C19">
        <w:rPr>
          <w:rFonts w:cs="Arial"/>
          <w:szCs w:val="20"/>
        </w:rPr>
        <w:t>Star</w:t>
      </w:r>
      <w:r w:rsidRPr="000E5786">
        <w:rPr>
          <w:rFonts w:cs="Arial"/>
          <w:szCs w:val="20"/>
        </w:rPr>
        <w:t>;</w:t>
      </w:r>
      <w:bookmarkEnd w:id="571"/>
      <w:proofErr w:type="gramEnd"/>
    </w:p>
    <w:p w14:paraId="19A4A2BE" w14:textId="6CA06BEE" w:rsidR="0048699F" w:rsidRPr="000E5786" w:rsidRDefault="0048699F" w:rsidP="00834C1A">
      <w:pPr>
        <w:pStyle w:val="Heading4"/>
        <w:tabs>
          <w:tab w:val="clear" w:pos="1702"/>
          <w:tab w:val="num" w:pos="2552"/>
        </w:tabs>
        <w:spacing w:after="120"/>
        <w:ind w:left="2410"/>
        <w:rPr>
          <w:rFonts w:cs="Arial"/>
          <w:szCs w:val="20"/>
        </w:rPr>
      </w:pPr>
      <w:bookmarkStart w:id="572" w:name="_Ref53585171"/>
      <w:r w:rsidRPr="000E5786">
        <w:rPr>
          <w:rFonts w:cs="Arial"/>
          <w:szCs w:val="20"/>
        </w:rPr>
        <w:t xml:space="preserve">the sub-licence authorises the third party to use the rights licensed in clause </w:t>
      </w:r>
      <w:r w:rsidR="00561898" w:rsidRPr="000E5786">
        <w:rPr>
          <w:rFonts w:cs="Arial"/>
          <w:szCs w:val="20"/>
        </w:rPr>
        <w:fldChar w:fldCharType="begin"/>
      </w:r>
      <w:r w:rsidR="00561898" w:rsidRPr="000E5786">
        <w:rPr>
          <w:rFonts w:cs="Arial"/>
          <w:szCs w:val="20"/>
        </w:rPr>
        <w:instrText xml:space="preserve">  REF _Ref53585158 \w \h \* MERGEFORMAT </w:instrText>
      </w:r>
      <w:r w:rsidR="00561898" w:rsidRPr="000E5786">
        <w:rPr>
          <w:rFonts w:cs="Arial"/>
          <w:szCs w:val="20"/>
        </w:rPr>
      </w:r>
      <w:r w:rsidR="00561898" w:rsidRPr="000E5786">
        <w:rPr>
          <w:rFonts w:cs="Arial"/>
          <w:szCs w:val="20"/>
        </w:rPr>
        <w:fldChar w:fldCharType="separate"/>
      </w:r>
      <w:r w:rsidR="002523A8" w:rsidRPr="000E5786">
        <w:rPr>
          <w:rFonts w:cs="Arial"/>
          <w:szCs w:val="20"/>
        </w:rPr>
        <w:t>19.4.1</w:t>
      </w:r>
      <w:r w:rsidR="00561898" w:rsidRPr="000E5786">
        <w:rPr>
          <w:rFonts w:cs="Arial"/>
          <w:szCs w:val="20"/>
        </w:rPr>
        <w:fldChar w:fldCharType="end"/>
      </w:r>
      <w:r w:rsidRPr="000E5786">
        <w:rPr>
          <w:rFonts w:cs="Arial"/>
          <w:szCs w:val="20"/>
        </w:rPr>
        <w:t xml:space="preserve"> (Supplier Software and Supplier Background IPRs) only for purposes relating to the Services (or substantially equivalent services) or for any purpose relating to the exercise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’s (or any other Central Government Body’s) business or function; and</w:t>
      </w:r>
      <w:bookmarkEnd w:id="572"/>
    </w:p>
    <w:p w14:paraId="5C0421FF" w14:textId="66644D00" w:rsidR="0048699F" w:rsidRPr="000E5786" w:rsidRDefault="0048699F" w:rsidP="00834C1A">
      <w:pPr>
        <w:pStyle w:val="Heading4"/>
        <w:tabs>
          <w:tab w:val="clear" w:pos="1702"/>
          <w:tab w:val="num" w:pos="2552"/>
        </w:tabs>
        <w:spacing w:after="120"/>
        <w:ind w:left="2410"/>
        <w:rPr>
          <w:rFonts w:cs="Arial"/>
          <w:szCs w:val="20"/>
        </w:rPr>
      </w:pPr>
      <w:bookmarkStart w:id="573" w:name="_Ref53585172"/>
      <w:r w:rsidRPr="000E5786">
        <w:rPr>
          <w:rFonts w:cs="Arial"/>
          <w:szCs w:val="20"/>
        </w:rPr>
        <w:t xml:space="preserve">the sub-licensee shall have executed a confidentiality undertaking in favour of the Supplier in or substantially in the form set out in Annex </w:t>
      </w:r>
      <w:bookmarkStart w:id="574" w:name="DocXTextRef229"/>
      <w:r w:rsidRPr="000E5786">
        <w:rPr>
          <w:rFonts w:cs="Arial"/>
          <w:szCs w:val="20"/>
        </w:rPr>
        <w:t>2</w:t>
      </w:r>
      <w:bookmarkEnd w:id="574"/>
      <w:r w:rsidRPr="000E5786">
        <w:rPr>
          <w:rFonts w:cs="Arial"/>
          <w:szCs w:val="20"/>
        </w:rPr>
        <w:t xml:space="preserve"> to </w:t>
      </w:r>
      <w:bookmarkStart w:id="575" w:name="DocXTextRef228"/>
      <w:r w:rsidRPr="000E5786">
        <w:rPr>
          <w:rFonts w:cs="Arial"/>
          <w:szCs w:val="20"/>
        </w:rPr>
        <w:t>Schedule 5</w:t>
      </w:r>
      <w:bookmarkEnd w:id="575"/>
      <w:r w:rsidRPr="000E5786">
        <w:rPr>
          <w:rFonts w:cs="Arial"/>
          <w:szCs w:val="20"/>
        </w:rPr>
        <w:t xml:space="preserve"> (Software); and</w:t>
      </w:r>
      <w:bookmarkEnd w:id="573"/>
    </w:p>
    <w:p w14:paraId="25991EB6" w14:textId="12B7D68A" w:rsidR="0048699F" w:rsidRPr="000E5786" w:rsidRDefault="0048699F" w:rsidP="00346A37">
      <w:pPr>
        <w:pStyle w:val="Heading3"/>
      </w:pPr>
      <w:bookmarkStart w:id="576" w:name="_Ref53585173"/>
      <w:r w:rsidRPr="000E5786">
        <w:t xml:space="preserve">the rights granted under clause </w:t>
      </w:r>
      <w:r w:rsidR="00454E1A" w:rsidRPr="000E5786">
        <w:fldChar w:fldCharType="begin"/>
      </w:r>
      <w:r w:rsidR="00454E1A" w:rsidRPr="000E5786">
        <w:instrText xml:space="preserve">  REF _Ref53585158 \w \h \* MERGEFORMAT </w:instrText>
      </w:r>
      <w:r w:rsidR="00454E1A" w:rsidRPr="000E5786">
        <w:fldChar w:fldCharType="separate"/>
      </w:r>
      <w:r w:rsidR="002523A8" w:rsidRPr="000E5786">
        <w:t>19.4.1</w:t>
      </w:r>
      <w:r w:rsidR="00454E1A" w:rsidRPr="000E5786">
        <w:fldChar w:fldCharType="end"/>
      </w:r>
      <w:r w:rsidRPr="000E5786">
        <w:t xml:space="preserve"> (Supplier Software and Supplier Background IPRs) to any Approved Sub-Licensee to the extent necessary to use and/or obtain the benefit of the Specially Written Software and/or the Project Specific IPRs provided that:</w:t>
      </w:r>
      <w:bookmarkEnd w:id="576"/>
    </w:p>
    <w:p w14:paraId="7E3BF53E" w14:textId="546E9BCE" w:rsidR="0048699F" w:rsidRPr="000E5786" w:rsidRDefault="0048699F" w:rsidP="00834C1A">
      <w:pPr>
        <w:pStyle w:val="Heading4"/>
        <w:tabs>
          <w:tab w:val="clear" w:pos="1702"/>
          <w:tab w:val="num" w:pos="2552"/>
        </w:tabs>
        <w:spacing w:after="120"/>
        <w:ind w:left="2410"/>
        <w:rPr>
          <w:rFonts w:cs="Arial"/>
          <w:szCs w:val="20"/>
        </w:rPr>
      </w:pPr>
      <w:bookmarkStart w:id="577" w:name="_Ref53585174"/>
      <w:r w:rsidRPr="000E5786">
        <w:rPr>
          <w:rFonts w:cs="Arial"/>
          <w:szCs w:val="20"/>
        </w:rPr>
        <w:t xml:space="preserve">the sub-licence is on terms no broader than those granted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and</w:t>
      </w:r>
      <w:bookmarkEnd w:id="577"/>
    </w:p>
    <w:p w14:paraId="5D3C5684" w14:textId="23C3E709" w:rsidR="0048699F" w:rsidRPr="000E5786" w:rsidRDefault="0048699F" w:rsidP="00834C1A">
      <w:pPr>
        <w:pStyle w:val="Heading4"/>
        <w:tabs>
          <w:tab w:val="clear" w:pos="1702"/>
          <w:tab w:val="num" w:pos="2552"/>
        </w:tabs>
        <w:spacing w:after="120"/>
        <w:ind w:left="2410"/>
        <w:rPr>
          <w:rFonts w:cs="Arial"/>
          <w:szCs w:val="20"/>
        </w:rPr>
      </w:pPr>
      <w:bookmarkStart w:id="578" w:name="_Ref53585175"/>
      <w:r w:rsidRPr="000E5786">
        <w:rPr>
          <w:rFonts w:cs="Arial"/>
          <w:szCs w:val="20"/>
        </w:rPr>
        <w:t>either:</w:t>
      </w:r>
      <w:bookmarkEnd w:id="578"/>
    </w:p>
    <w:p w14:paraId="3778C40A" w14:textId="47EF9F09" w:rsidR="0048699F" w:rsidRPr="000E5786" w:rsidRDefault="0048699F" w:rsidP="00DD60F0">
      <w:pPr>
        <w:pStyle w:val="Heading5"/>
        <w:spacing w:after="120"/>
        <w:rPr>
          <w:rFonts w:cs="Arial"/>
          <w:szCs w:val="20"/>
        </w:rPr>
      </w:pPr>
      <w:bookmarkStart w:id="579" w:name="_Ref53585176"/>
      <w:r w:rsidRPr="000E5786">
        <w:rPr>
          <w:rFonts w:cs="Arial"/>
          <w:szCs w:val="20"/>
        </w:rPr>
        <w:t xml:space="preserve">the Supplier has received a confidentiality undertaking in its favour in or substantially in the form set out in Annex </w:t>
      </w:r>
      <w:bookmarkStart w:id="580" w:name="DocXTextRef232"/>
      <w:r w:rsidRPr="000E5786">
        <w:rPr>
          <w:rFonts w:cs="Arial"/>
          <w:szCs w:val="20"/>
        </w:rPr>
        <w:t>2</w:t>
      </w:r>
      <w:bookmarkEnd w:id="580"/>
      <w:r w:rsidRPr="000E5786">
        <w:rPr>
          <w:rFonts w:cs="Arial"/>
          <w:szCs w:val="20"/>
        </w:rPr>
        <w:t xml:space="preserve"> to</w:t>
      </w:r>
      <w:r w:rsidR="00516C72" w:rsidRPr="000E5786">
        <w:rPr>
          <w:rFonts w:cs="Arial"/>
          <w:szCs w:val="20"/>
        </w:rPr>
        <w:t xml:space="preserve"> </w:t>
      </w:r>
      <w:bookmarkStart w:id="581" w:name="DocXTextRef231"/>
      <w:r w:rsidRPr="000E5786">
        <w:rPr>
          <w:rFonts w:cs="Arial"/>
          <w:szCs w:val="20"/>
        </w:rPr>
        <w:t>Schedule 5</w:t>
      </w:r>
      <w:bookmarkEnd w:id="581"/>
      <w:r w:rsidRPr="000E5786">
        <w:rPr>
          <w:rFonts w:cs="Arial"/>
          <w:szCs w:val="20"/>
        </w:rPr>
        <w:t xml:space="preserve"> (Software) duly executed by the Approved Sub</w:t>
      </w:r>
      <w:r w:rsidR="002701EF" w:rsidRPr="000E5786">
        <w:rPr>
          <w:rFonts w:cs="Arial"/>
          <w:szCs w:val="20"/>
        </w:rPr>
        <w:t>-</w:t>
      </w:r>
      <w:r w:rsidRPr="000E5786">
        <w:rPr>
          <w:rFonts w:cs="Arial"/>
          <w:szCs w:val="20"/>
        </w:rPr>
        <w:t>Licensee; or</w:t>
      </w:r>
      <w:bookmarkEnd w:id="579"/>
    </w:p>
    <w:p w14:paraId="3ED10B07" w14:textId="6A662333" w:rsidR="00C05D4B" w:rsidRPr="000E5786" w:rsidRDefault="0048699F" w:rsidP="00DD60F0">
      <w:pPr>
        <w:pStyle w:val="Heading5"/>
        <w:spacing w:after="120"/>
        <w:rPr>
          <w:rFonts w:cs="Arial"/>
          <w:szCs w:val="20"/>
        </w:rPr>
      </w:pPr>
      <w:bookmarkStart w:id="582" w:name="_Ref53585177"/>
      <w:r w:rsidRPr="000E5786">
        <w:rPr>
          <w:rFonts w:cs="Arial"/>
          <w:szCs w:val="20"/>
        </w:rPr>
        <w:t xml:space="preserve">a confidentiality undertaking in the Supplier’s favour in or substantially in in the form set out in Annex </w:t>
      </w:r>
      <w:bookmarkStart w:id="583" w:name="DocXTextRef234"/>
      <w:r w:rsidRPr="000E5786">
        <w:rPr>
          <w:rFonts w:cs="Arial"/>
          <w:szCs w:val="20"/>
        </w:rPr>
        <w:t>2</w:t>
      </w:r>
      <w:bookmarkEnd w:id="583"/>
      <w:r w:rsidRPr="000E5786">
        <w:rPr>
          <w:rFonts w:cs="Arial"/>
          <w:szCs w:val="20"/>
        </w:rPr>
        <w:t xml:space="preserve"> to </w:t>
      </w:r>
      <w:bookmarkStart w:id="584" w:name="DocXTextRef233"/>
      <w:r w:rsidRPr="000E5786">
        <w:rPr>
          <w:rFonts w:cs="Arial"/>
          <w:szCs w:val="20"/>
        </w:rPr>
        <w:t>Schedule 5</w:t>
      </w:r>
      <w:bookmarkEnd w:id="584"/>
      <w:r w:rsidRPr="000E5786">
        <w:rPr>
          <w:rFonts w:cs="Arial"/>
          <w:szCs w:val="20"/>
        </w:rPr>
        <w:t xml:space="preserve"> (Software) duly executed by the Approved Sub Licensee has been received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who, without prejudice to the validity of the relevant sub-licence, will issue a copy of such confidentiality undertaking to the Supplier within ten </w:t>
      </w:r>
      <w:bookmarkStart w:id="585" w:name="DocXTextRef235"/>
      <w:r w:rsidRPr="000E5786">
        <w:rPr>
          <w:rFonts w:cs="Arial"/>
          <w:szCs w:val="20"/>
        </w:rPr>
        <w:t>(10)</w:t>
      </w:r>
      <w:bookmarkEnd w:id="585"/>
      <w:r w:rsidRPr="000E5786">
        <w:rPr>
          <w:rFonts w:cs="Arial"/>
          <w:szCs w:val="20"/>
        </w:rPr>
        <w:t xml:space="preserve"> Working Days of its receipt.</w:t>
      </w:r>
      <w:bookmarkEnd w:id="582"/>
    </w:p>
    <w:p w14:paraId="03112CA2" w14:textId="035E984E" w:rsidR="0048699F" w:rsidRPr="000E5786" w:rsidRDefault="001F1C19" w:rsidP="00CE5734">
      <w:pPr>
        <w:pStyle w:val="BodyText"/>
        <w:spacing w:after="120"/>
        <w:ind w:left="709" w:firstLine="0"/>
        <w:rPr>
          <w:rFonts w:cs="Arial"/>
          <w:szCs w:val="20"/>
          <w:u w:val="single"/>
        </w:rPr>
      </w:pPr>
      <w:proofErr w:type="spellStart"/>
      <w:r>
        <w:rPr>
          <w:rFonts w:cs="Arial"/>
          <w:szCs w:val="20"/>
          <w:u w:val="single"/>
        </w:rPr>
        <w:t>Netlink</w:t>
      </w:r>
      <w:proofErr w:type="spellEnd"/>
      <w:r>
        <w:rPr>
          <w:rFonts w:cs="Arial"/>
          <w:szCs w:val="20"/>
          <w:u w:val="single"/>
        </w:rPr>
        <w:t xml:space="preserve"> Star</w:t>
      </w:r>
      <w:r w:rsidR="0048699F" w:rsidRPr="000E5786">
        <w:rPr>
          <w:rFonts w:cs="Arial"/>
          <w:szCs w:val="20"/>
          <w:u w:val="single"/>
        </w:rPr>
        <w:t xml:space="preserve">’s right to assign/novate </w:t>
      </w:r>
      <w:proofErr w:type="gramStart"/>
      <w:r w:rsidR="0048699F" w:rsidRPr="000E5786">
        <w:rPr>
          <w:rFonts w:cs="Arial"/>
          <w:szCs w:val="20"/>
          <w:u w:val="single"/>
        </w:rPr>
        <w:t>licences</w:t>
      </w:r>
      <w:proofErr w:type="gramEnd"/>
    </w:p>
    <w:p w14:paraId="44E9F5E1" w14:textId="5F05A121" w:rsidR="0048699F" w:rsidRPr="000E5786" w:rsidRDefault="001F1C19" w:rsidP="00DD60F0">
      <w:pPr>
        <w:pStyle w:val="Heading2"/>
        <w:spacing w:after="120"/>
        <w:rPr>
          <w:rFonts w:cs="Arial"/>
          <w:szCs w:val="20"/>
        </w:rPr>
      </w:pPr>
      <w:bookmarkStart w:id="586" w:name="_Ref53585178"/>
      <w:proofErr w:type="spellStart"/>
      <w:r>
        <w:rPr>
          <w:rFonts w:cs="Arial"/>
          <w:szCs w:val="20"/>
        </w:rPr>
        <w:t>Netlink</w:t>
      </w:r>
      <w:proofErr w:type="spellEnd"/>
      <w:r>
        <w:rPr>
          <w:rFonts w:cs="Arial"/>
          <w:szCs w:val="20"/>
        </w:rPr>
        <w:t xml:space="preserve"> Star</w:t>
      </w:r>
      <w:r w:rsidR="0048699F" w:rsidRPr="000E5786">
        <w:rPr>
          <w:rFonts w:cs="Arial"/>
          <w:szCs w:val="20"/>
        </w:rPr>
        <w:t xml:space="preserve"> may assign, </w:t>
      </w:r>
      <w:proofErr w:type="gramStart"/>
      <w:r w:rsidR="0048699F" w:rsidRPr="000E5786">
        <w:rPr>
          <w:rFonts w:cs="Arial"/>
          <w:szCs w:val="20"/>
        </w:rPr>
        <w:t>novate</w:t>
      </w:r>
      <w:proofErr w:type="gramEnd"/>
      <w:r w:rsidR="0048699F" w:rsidRPr="000E5786">
        <w:rPr>
          <w:rFonts w:cs="Arial"/>
          <w:szCs w:val="20"/>
        </w:rPr>
        <w:t xml:space="preserve"> or otherwise transfer its rights and obligations under the licences granted pursuant to clause </w:t>
      </w:r>
      <w:r w:rsidR="00454E1A" w:rsidRPr="000E5786">
        <w:rPr>
          <w:rFonts w:cs="Arial"/>
          <w:szCs w:val="20"/>
        </w:rPr>
        <w:fldChar w:fldCharType="begin"/>
      </w:r>
      <w:r w:rsidR="00454E1A" w:rsidRPr="000E5786">
        <w:rPr>
          <w:rFonts w:cs="Arial"/>
          <w:szCs w:val="20"/>
        </w:rPr>
        <w:instrText xml:space="preserve">  REF _Ref53585158 \w \h \* MERGEFORMAT </w:instrText>
      </w:r>
      <w:r w:rsidR="00454E1A" w:rsidRPr="000E5786">
        <w:rPr>
          <w:rFonts w:cs="Arial"/>
          <w:szCs w:val="20"/>
        </w:rPr>
      </w:r>
      <w:r w:rsidR="00454E1A" w:rsidRPr="000E5786">
        <w:rPr>
          <w:rFonts w:cs="Arial"/>
          <w:szCs w:val="20"/>
        </w:rPr>
        <w:fldChar w:fldCharType="separate"/>
      </w:r>
      <w:r w:rsidR="002523A8" w:rsidRPr="000E5786">
        <w:rPr>
          <w:rFonts w:cs="Arial"/>
          <w:szCs w:val="20"/>
        </w:rPr>
        <w:t>19.4.1</w:t>
      </w:r>
      <w:r w:rsidR="00454E1A" w:rsidRPr="000E5786">
        <w:rPr>
          <w:rFonts w:cs="Arial"/>
          <w:szCs w:val="20"/>
        </w:rPr>
        <w:fldChar w:fldCharType="end"/>
      </w:r>
      <w:r w:rsidR="0048699F" w:rsidRPr="000E5786">
        <w:rPr>
          <w:rFonts w:cs="Arial"/>
          <w:szCs w:val="20"/>
        </w:rPr>
        <w:t xml:space="preserve"> (Supplier Software and Supplier Background IPRs) to:</w:t>
      </w:r>
      <w:bookmarkEnd w:id="586"/>
    </w:p>
    <w:p w14:paraId="5E8A86F7" w14:textId="5D4D007E" w:rsidR="0048699F" w:rsidRPr="000E5786" w:rsidRDefault="0048699F" w:rsidP="00346A37">
      <w:pPr>
        <w:pStyle w:val="Heading3"/>
      </w:pPr>
      <w:bookmarkStart w:id="587" w:name="_Ref53585179"/>
      <w:r w:rsidRPr="000E5786">
        <w:t>a Central Government Body; or</w:t>
      </w:r>
      <w:bookmarkEnd w:id="587"/>
    </w:p>
    <w:p w14:paraId="0368947D" w14:textId="3FB962CC" w:rsidR="0048699F" w:rsidRPr="000E5786" w:rsidRDefault="0048699F" w:rsidP="00346A37">
      <w:pPr>
        <w:pStyle w:val="Heading3"/>
      </w:pPr>
      <w:bookmarkStart w:id="588" w:name="_Ref53585180"/>
      <w:r w:rsidRPr="000E5786">
        <w:t xml:space="preserve">to </w:t>
      </w:r>
      <w:proofErr w:type="spellStart"/>
      <w:r w:rsidRPr="000E5786">
        <w:t>any body</w:t>
      </w:r>
      <w:proofErr w:type="spellEnd"/>
      <w:r w:rsidRPr="000E5786">
        <w:t xml:space="preserve"> (including any private sector body) which performs or carries on any of the functions and/or activities that previously had been performed and/or carried on by </w:t>
      </w:r>
      <w:proofErr w:type="spellStart"/>
      <w:r w:rsidR="001F1C19">
        <w:t>Netlink</w:t>
      </w:r>
      <w:proofErr w:type="spellEnd"/>
      <w:r w:rsidR="001F1C19">
        <w:t xml:space="preserve"> Star</w:t>
      </w:r>
      <w:r w:rsidRPr="000E5786">
        <w:t>.</w:t>
      </w:r>
      <w:bookmarkEnd w:id="588"/>
    </w:p>
    <w:p w14:paraId="5E154252" w14:textId="7D872CC0" w:rsidR="0048699F" w:rsidRPr="000E5786" w:rsidRDefault="0048699F" w:rsidP="00DD60F0">
      <w:pPr>
        <w:pStyle w:val="Heading2"/>
        <w:spacing w:after="120"/>
        <w:rPr>
          <w:rFonts w:cs="Arial"/>
          <w:szCs w:val="20"/>
        </w:rPr>
      </w:pPr>
      <w:bookmarkStart w:id="589" w:name="_Ref53585181"/>
      <w:r w:rsidRPr="000E5786">
        <w:rPr>
          <w:rFonts w:cs="Arial"/>
          <w:szCs w:val="20"/>
        </w:rPr>
        <w:t xml:space="preserve">Any change in the legal status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which means that it ceases to be a Central Government Body shall not affect the validity of any licence granted in clause </w:t>
      </w:r>
      <w:r w:rsidR="00454E1A" w:rsidRPr="000E5786">
        <w:rPr>
          <w:rFonts w:cs="Arial"/>
          <w:szCs w:val="20"/>
        </w:rPr>
        <w:fldChar w:fldCharType="begin"/>
      </w:r>
      <w:r w:rsidR="00454E1A" w:rsidRPr="000E5786">
        <w:rPr>
          <w:rFonts w:cs="Arial"/>
          <w:szCs w:val="20"/>
        </w:rPr>
        <w:instrText xml:space="preserve">  REF _Ref53585157 \w \h \* MERGEFORMAT </w:instrText>
      </w:r>
      <w:r w:rsidR="00454E1A" w:rsidRPr="000E5786">
        <w:rPr>
          <w:rFonts w:cs="Arial"/>
          <w:szCs w:val="20"/>
        </w:rPr>
      </w:r>
      <w:r w:rsidR="00454E1A" w:rsidRPr="000E5786">
        <w:rPr>
          <w:rFonts w:cs="Arial"/>
          <w:szCs w:val="20"/>
        </w:rPr>
        <w:fldChar w:fldCharType="separate"/>
      </w:r>
      <w:r w:rsidR="002523A8" w:rsidRPr="000E5786">
        <w:rPr>
          <w:rFonts w:cs="Arial"/>
          <w:szCs w:val="20"/>
        </w:rPr>
        <w:t>19.4</w:t>
      </w:r>
      <w:r w:rsidR="00454E1A" w:rsidRPr="000E5786">
        <w:rPr>
          <w:rFonts w:cs="Arial"/>
          <w:szCs w:val="20"/>
        </w:rPr>
        <w:fldChar w:fldCharType="end"/>
      </w:r>
      <w:r w:rsidRPr="000E5786">
        <w:rPr>
          <w:rFonts w:cs="Arial"/>
          <w:szCs w:val="20"/>
        </w:rPr>
        <w:t xml:space="preserve"> (Supplier Software and Supplier Background IPRs). The successor body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still be entitled to the benefit of the licences granted in clause </w:t>
      </w:r>
      <w:r w:rsidR="00454E1A" w:rsidRPr="000E5786">
        <w:rPr>
          <w:rFonts w:cs="Arial"/>
          <w:szCs w:val="20"/>
        </w:rPr>
        <w:fldChar w:fldCharType="begin"/>
      </w:r>
      <w:r w:rsidR="00454E1A" w:rsidRPr="000E5786">
        <w:rPr>
          <w:rFonts w:cs="Arial"/>
          <w:szCs w:val="20"/>
        </w:rPr>
        <w:instrText xml:space="preserve">  REF _Ref53585157 \w \h \* MERGEFORMAT </w:instrText>
      </w:r>
      <w:r w:rsidR="00454E1A" w:rsidRPr="000E5786">
        <w:rPr>
          <w:rFonts w:cs="Arial"/>
          <w:szCs w:val="20"/>
        </w:rPr>
      </w:r>
      <w:r w:rsidR="00454E1A" w:rsidRPr="000E5786">
        <w:rPr>
          <w:rFonts w:cs="Arial"/>
          <w:szCs w:val="20"/>
        </w:rPr>
        <w:fldChar w:fldCharType="separate"/>
      </w:r>
      <w:r w:rsidR="002523A8" w:rsidRPr="000E5786">
        <w:rPr>
          <w:rFonts w:cs="Arial"/>
          <w:szCs w:val="20"/>
        </w:rPr>
        <w:t>19.4</w:t>
      </w:r>
      <w:r w:rsidR="00454E1A" w:rsidRPr="000E5786">
        <w:rPr>
          <w:rFonts w:cs="Arial"/>
          <w:szCs w:val="20"/>
        </w:rPr>
        <w:fldChar w:fldCharType="end"/>
      </w:r>
      <w:r w:rsidRPr="000E5786">
        <w:rPr>
          <w:rFonts w:cs="Arial"/>
          <w:szCs w:val="20"/>
        </w:rPr>
        <w:t xml:space="preserve"> (Supplier Software and Supplier Background IPRs).</w:t>
      </w:r>
      <w:bookmarkEnd w:id="589"/>
    </w:p>
    <w:p w14:paraId="709E257E" w14:textId="481229E8" w:rsidR="0048699F" w:rsidRPr="000E5786" w:rsidRDefault="0048699F" w:rsidP="00DD60F0">
      <w:pPr>
        <w:pStyle w:val="Heading2"/>
        <w:spacing w:after="120"/>
        <w:rPr>
          <w:rFonts w:cs="Arial"/>
          <w:szCs w:val="20"/>
        </w:rPr>
      </w:pPr>
      <w:bookmarkStart w:id="590" w:name="_Ref53585182"/>
      <w:r w:rsidRPr="000E5786">
        <w:rPr>
          <w:rFonts w:cs="Arial"/>
          <w:szCs w:val="20"/>
        </w:rPr>
        <w:t xml:space="preserve">If a licence granted in clause </w:t>
      </w:r>
      <w:r w:rsidR="00454E1A" w:rsidRPr="000E5786">
        <w:rPr>
          <w:rFonts w:cs="Arial"/>
          <w:szCs w:val="20"/>
        </w:rPr>
        <w:fldChar w:fldCharType="begin"/>
      </w:r>
      <w:r w:rsidR="00454E1A" w:rsidRPr="000E5786">
        <w:rPr>
          <w:rFonts w:cs="Arial"/>
          <w:szCs w:val="20"/>
        </w:rPr>
        <w:instrText xml:space="preserve">  REF _Ref53585157 \w \h \* MERGEFORMAT </w:instrText>
      </w:r>
      <w:r w:rsidR="00454E1A" w:rsidRPr="000E5786">
        <w:rPr>
          <w:rFonts w:cs="Arial"/>
          <w:szCs w:val="20"/>
        </w:rPr>
      </w:r>
      <w:r w:rsidR="00454E1A" w:rsidRPr="000E5786">
        <w:rPr>
          <w:rFonts w:cs="Arial"/>
          <w:szCs w:val="20"/>
        </w:rPr>
        <w:fldChar w:fldCharType="separate"/>
      </w:r>
      <w:r w:rsidR="002523A8" w:rsidRPr="000E5786">
        <w:rPr>
          <w:rFonts w:cs="Arial"/>
          <w:szCs w:val="20"/>
        </w:rPr>
        <w:t>19.4</w:t>
      </w:r>
      <w:r w:rsidR="00454E1A" w:rsidRPr="000E5786">
        <w:rPr>
          <w:rFonts w:cs="Arial"/>
          <w:szCs w:val="20"/>
        </w:rPr>
        <w:fldChar w:fldCharType="end"/>
      </w:r>
      <w:r w:rsidRPr="000E5786">
        <w:rPr>
          <w:rFonts w:cs="Arial"/>
          <w:szCs w:val="20"/>
        </w:rPr>
        <w:t xml:space="preserve"> (Supplier Software and Supplier Background IPRs) is novated under clause </w:t>
      </w:r>
      <w:r w:rsidR="00454E1A" w:rsidRPr="000E5786">
        <w:rPr>
          <w:rFonts w:cs="Arial"/>
          <w:szCs w:val="20"/>
        </w:rPr>
        <w:fldChar w:fldCharType="begin"/>
      </w:r>
      <w:r w:rsidR="00454E1A" w:rsidRPr="000E5786">
        <w:rPr>
          <w:rFonts w:cs="Arial"/>
          <w:szCs w:val="20"/>
        </w:rPr>
        <w:instrText xml:space="preserve">  REF _Ref53585178 \w \h \* MERGEFORMAT </w:instrText>
      </w:r>
      <w:r w:rsidR="00454E1A" w:rsidRPr="000E5786">
        <w:rPr>
          <w:rFonts w:cs="Arial"/>
          <w:szCs w:val="20"/>
        </w:rPr>
      </w:r>
      <w:r w:rsidR="00454E1A" w:rsidRPr="000E5786">
        <w:rPr>
          <w:rFonts w:cs="Arial"/>
          <w:szCs w:val="20"/>
        </w:rPr>
        <w:fldChar w:fldCharType="separate"/>
      </w:r>
      <w:r w:rsidR="002523A8" w:rsidRPr="000E5786">
        <w:rPr>
          <w:rFonts w:cs="Arial"/>
          <w:szCs w:val="20"/>
        </w:rPr>
        <w:t>19.8</w:t>
      </w:r>
      <w:r w:rsidR="00454E1A" w:rsidRPr="000E5786">
        <w:rPr>
          <w:rFonts w:cs="Arial"/>
          <w:szCs w:val="20"/>
        </w:rPr>
        <w:fldChar w:fldCharType="end"/>
      </w:r>
      <w:r w:rsidRPr="000E5786">
        <w:rPr>
          <w:rFonts w:cs="Arial"/>
          <w:szCs w:val="20"/>
        </w:rPr>
        <w:t xml:space="preserv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right to assign/novate licences) or there is a change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status pursuant to clause </w:t>
      </w:r>
      <w:r w:rsidR="00454E1A" w:rsidRPr="000E5786">
        <w:rPr>
          <w:rFonts w:cs="Arial"/>
          <w:szCs w:val="20"/>
        </w:rPr>
        <w:fldChar w:fldCharType="begin"/>
      </w:r>
      <w:r w:rsidR="00454E1A" w:rsidRPr="000E5786">
        <w:rPr>
          <w:rFonts w:cs="Arial"/>
          <w:szCs w:val="20"/>
        </w:rPr>
        <w:instrText xml:space="preserve">  REF _Ref53585181 \w \h \* MERGEFORMAT </w:instrText>
      </w:r>
      <w:r w:rsidR="00454E1A" w:rsidRPr="000E5786">
        <w:rPr>
          <w:rFonts w:cs="Arial"/>
          <w:szCs w:val="20"/>
        </w:rPr>
      </w:r>
      <w:r w:rsidR="00454E1A" w:rsidRPr="000E5786">
        <w:rPr>
          <w:rFonts w:cs="Arial"/>
          <w:szCs w:val="20"/>
        </w:rPr>
        <w:fldChar w:fldCharType="separate"/>
      </w:r>
      <w:r w:rsidR="002523A8" w:rsidRPr="000E5786">
        <w:rPr>
          <w:rFonts w:cs="Arial"/>
          <w:szCs w:val="20"/>
        </w:rPr>
        <w:t>19.9</w:t>
      </w:r>
      <w:r w:rsidR="00454E1A" w:rsidRPr="000E5786">
        <w:rPr>
          <w:rFonts w:cs="Arial"/>
          <w:szCs w:val="20"/>
        </w:rPr>
        <w:fldChar w:fldCharType="end"/>
      </w:r>
      <w:r w:rsidRPr="000E5786">
        <w:rPr>
          <w:rFonts w:cs="Arial"/>
          <w:szCs w:val="20"/>
        </w:rPr>
        <w:t xml:space="preserve">, the rights acquired on that novation or change of status shall not extend beyond those previously enjoyed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w:t>
      </w:r>
      <w:bookmarkEnd w:id="590"/>
    </w:p>
    <w:p w14:paraId="7E114D94" w14:textId="14D9E9C6" w:rsidR="0048699F" w:rsidRPr="000E5786" w:rsidRDefault="0048699F" w:rsidP="00CE5734">
      <w:pPr>
        <w:pStyle w:val="BodyText"/>
        <w:spacing w:after="120"/>
        <w:ind w:left="709" w:firstLine="0"/>
        <w:rPr>
          <w:rFonts w:cs="Arial"/>
          <w:szCs w:val="20"/>
          <w:u w:val="single"/>
        </w:rPr>
      </w:pPr>
      <w:r w:rsidRPr="000E5786">
        <w:rPr>
          <w:rFonts w:cs="Arial"/>
          <w:szCs w:val="20"/>
          <w:u w:val="single"/>
        </w:rPr>
        <w:t>Third Party Software and Third Party IPRs</w:t>
      </w:r>
    </w:p>
    <w:p w14:paraId="78DA1BE0" w14:textId="661ABA2E" w:rsidR="0048699F" w:rsidRPr="000E5786" w:rsidRDefault="0048699F" w:rsidP="00DD60F0">
      <w:pPr>
        <w:pStyle w:val="Heading2"/>
        <w:spacing w:after="120"/>
        <w:rPr>
          <w:rFonts w:cs="Arial"/>
          <w:szCs w:val="20"/>
        </w:rPr>
      </w:pPr>
      <w:bookmarkStart w:id="591" w:name="_Ref53585183"/>
      <w:r w:rsidRPr="000E5786">
        <w:rPr>
          <w:rFonts w:cs="Arial"/>
          <w:szCs w:val="20"/>
        </w:rPr>
        <w:t xml:space="preserve">The Supplier shall not use in the provision of the Services (including in any Specially Written Software or in the software element of Project Specific IPRs) any </w:t>
      </w:r>
      <w:proofErr w:type="gramStart"/>
      <w:r w:rsidRPr="000E5786">
        <w:rPr>
          <w:rFonts w:cs="Arial"/>
          <w:szCs w:val="20"/>
        </w:rPr>
        <w:t>Third Party</w:t>
      </w:r>
      <w:proofErr w:type="gramEnd"/>
      <w:r w:rsidRPr="000E5786">
        <w:rPr>
          <w:rFonts w:cs="Arial"/>
          <w:szCs w:val="20"/>
        </w:rPr>
        <w:t xml:space="preserve"> Non-COTS Software or Third Party Non-COTS IPRs unless in each case it has:</w:t>
      </w:r>
      <w:bookmarkEnd w:id="591"/>
    </w:p>
    <w:p w14:paraId="626C5CFB" w14:textId="5B2B8B7F" w:rsidR="0048699F" w:rsidRPr="000E5786" w:rsidRDefault="0048699F" w:rsidP="00346A37">
      <w:pPr>
        <w:pStyle w:val="Heading3"/>
      </w:pPr>
      <w:bookmarkStart w:id="592" w:name="_Ref53585184"/>
      <w:r w:rsidRPr="000E5786">
        <w:lastRenderedPageBreak/>
        <w:t xml:space="preserve">first procured that the owner or an authorised licensor of the relevant </w:t>
      </w:r>
      <w:proofErr w:type="gramStart"/>
      <w:r w:rsidRPr="000E5786">
        <w:t>Third Party</w:t>
      </w:r>
      <w:proofErr w:type="gramEnd"/>
      <w:r w:rsidRPr="000E5786">
        <w:t xml:space="preserve"> Non-COTS IPRs or Third Party Non-COTS Software (as the case may be) has granted a direct licence to </w:t>
      </w:r>
      <w:proofErr w:type="spellStart"/>
      <w:r w:rsidR="001F1C19">
        <w:t>Netlink</w:t>
      </w:r>
      <w:proofErr w:type="spellEnd"/>
      <w:r w:rsidR="001F1C19">
        <w:t xml:space="preserve"> Star</w:t>
      </w:r>
      <w:r w:rsidRPr="000E5786">
        <w:t xml:space="preserve"> on a royalty-free basis to </w:t>
      </w:r>
      <w:proofErr w:type="spellStart"/>
      <w:r w:rsidR="001F1C19">
        <w:t>Netlink</w:t>
      </w:r>
      <w:proofErr w:type="spellEnd"/>
      <w:r w:rsidR="001F1C19">
        <w:t xml:space="preserve"> Star</w:t>
      </w:r>
      <w:r w:rsidRPr="000E5786">
        <w:t xml:space="preserve"> and on terms:</w:t>
      </w:r>
      <w:bookmarkEnd w:id="592"/>
    </w:p>
    <w:p w14:paraId="7237E5B8" w14:textId="6E5FC815" w:rsidR="0048699F" w:rsidRPr="000E5786" w:rsidRDefault="0048699F" w:rsidP="00834C1A">
      <w:pPr>
        <w:pStyle w:val="Heading4"/>
        <w:tabs>
          <w:tab w:val="clear" w:pos="1702"/>
          <w:tab w:val="num" w:pos="2552"/>
        </w:tabs>
        <w:spacing w:after="120"/>
        <w:ind w:left="2410"/>
        <w:rPr>
          <w:rFonts w:cs="Arial"/>
          <w:szCs w:val="20"/>
        </w:rPr>
      </w:pPr>
      <w:bookmarkStart w:id="593" w:name="_Ref53585185"/>
      <w:r w:rsidRPr="000E5786">
        <w:rPr>
          <w:rFonts w:cs="Arial"/>
          <w:szCs w:val="20"/>
        </w:rPr>
        <w:t xml:space="preserve">no less favourable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than those set out in clauses </w:t>
      </w:r>
      <w:r w:rsidR="00454E1A" w:rsidRPr="000E5786">
        <w:rPr>
          <w:rFonts w:cs="Arial"/>
          <w:szCs w:val="20"/>
        </w:rPr>
        <w:fldChar w:fldCharType="begin"/>
      </w:r>
      <w:r w:rsidR="00454E1A" w:rsidRPr="000E5786">
        <w:rPr>
          <w:rFonts w:cs="Arial"/>
          <w:szCs w:val="20"/>
        </w:rPr>
        <w:instrText xml:space="preserve">  REF _Ref53585158 \w \h \* MERGEFORMAT </w:instrText>
      </w:r>
      <w:r w:rsidR="00454E1A" w:rsidRPr="000E5786">
        <w:rPr>
          <w:rFonts w:cs="Arial"/>
          <w:szCs w:val="20"/>
        </w:rPr>
      </w:r>
      <w:r w:rsidR="00454E1A" w:rsidRPr="000E5786">
        <w:rPr>
          <w:rFonts w:cs="Arial"/>
          <w:szCs w:val="20"/>
        </w:rPr>
        <w:fldChar w:fldCharType="separate"/>
      </w:r>
      <w:r w:rsidR="002523A8" w:rsidRPr="000E5786">
        <w:rPr>
          <w:rFonts w:cs="Arial"/>
          <w:szCs w:val="20"/>
        </w:rPr>
        <w:t>19.4.1</w:t>
      </w:r>
      <w:r w:rsidR="00454E1A" w:rsidRPr="000E5786">
        <w:rPr>
          <w:rFonts w:cs="Arial"/>
          <w:szCs w:val="20"/>
        </w:rPr>
        <w:fldChar w:fldCharType="end"/>
      </w:r>
      <w:r w:rsidRPr="000E5786">
        <w:rPr>
          <w:rFonts w:cs="Arial"/>
          <w:szCs w:val="20"/>
        </w:rPr>
        <w:t xml:space="preserve"> and </w:t>
      </w:r>
      <w:r w:rsidR="00454E1A" w:rsidRPr="000E5786">
        <w:rPr>
          <w:rFonts w:cs="Arial"/>
          <w:szCs w:val="20"/>
        </w:rPr>
        <w:fldChar w:fldCharType="begin"/>
      </w:r>
      <w:r w:rsidR="00454E1A" w:rsidRPr="000E5786">
        <w:rPr>
          <w:rFonts w:cs="Arial"/>
          <w:szCs w:val="20"/>
        </w:rPr>
        <w:instrText xml:space="preserve">  REF _Ref53585163 \w \h \* MERGEFORMAT </w:instrText>
      </w:r>
      <w:r w:rsidR="00454E1A" w:rsidRPr="000E5786">
        <w:rPr>
          <w:rFonts w:cs="Arial"/>
          <w:szCs w:val="20"/>
        </w:rPr>
      </w:r>
      <w:r w:rsidR="00454E1A" w:rsidRPr="000E5786">
        <w:rPr>
          <w:rFonts w:cs="Arial"/>
          <w:szCs w:val="20"/>
        </w:rPr>
        <w:fldChar w:fldCharType="separate"/>
      </w:r>
      <w:r w:rsidR="002523A8" w:rsidRPr="000E5786">
        <w:rPr>
          <w:rFonts w:cs="Arial"/>
          <w:szCs w:val="20"/>
        </w:rPr>
        <w:t>19.5</w:t>
      </w:r>
      <w:r w:rsidR="00454E1A" w:rsidRPr="000E5786">
        <w:rPr>
          <w:rFonts w:cs="Arial"/>
          <w:szCs w:val="20"/>
        </w:rPr>
        <w:fldChar w:fldCharType="end"/>
      </w:r>
      <w:r w:rsidRPr="000E5786">
        <w:rPr>
          <w:rFonts w:cs="Arial"/>
          <w:szCs w:val="20"/>
        </w:rPr>
        <w:t xml:space="preserve"> (Supplier Software and Supplier Background IPRs) and clause </w:t>
      </w:r>
      <w:r w:rsidR="00454E1A" w:rsidRPr="000E5786">
        <w:rPr>
          <w:rFonts w:cs="Arial"/>
          <w:szCs w:val="20"/>
        </w:rPr>
        <w:fldChar w:fldCharType="begin"/>
      </w:r>
      <w:r w:rsidR="00454E1A" w:rsidRPr="000E5786">
        <w:rPr>
          <w:rFonts w:cs="Arial"/>
          <w:szCs w:val="20"/>
        </w:rPr>
        <w:instrText xml:space="preserve">  REF _Ref53585178 \w \h \* MERGEFORMAT </w:instrText>
      </w:r>
      <w:r w:rsidR="00454E1A" w:rsidRPr="000E5786">
        <w:rPr>
          <w:rFonts w:cs="Arial"/>
          <w:szCs w:val="20"/>
        </w:rPr>
      </w:r>
      <w:r w:rsidR="00454E1A" w:rsidRPr="000E5786">
        <w:rPr>
          <w:rFonts w:cs="Arial"/>
          <w:szCs w:val="20"/>
        </w:rPr>
        <w:fldChar w:fldCharType="separate"/>
      </w:r>
      <w:r w:rsidR="002523A8" w:rsidRPr="000E5786">
        <w:rPr>
          <w:rFonts w:cs="Arial"/>
          <w:szCs w:val="20"/>
        </w:rPr>
        <w:t>19.8</w:t>
      </w:r>
      <w:r w:rsidR="00454E1A" w:rsidRPr="000E5786">
        <w:rPr>
          <w:rFonts w:cs="Arial"/>
          <w:szCs w:val="20"/>
        </w:rPr>
        <w:fldChar w:fldCharType="end"/>
      </w:r>
      <w:r w:rsidRPr="000E5786">
        <w:rPr>
          <w:rFonts w:cs="Arial"/>
          <w:szCs w:val="20"/>
        </w:rPr>
        <w:t xml:space="preserv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’s right to assign/novate licences); and</w:t>
      </w:r>
      <w:bookmarkEnd w:id="593"/>
    </w:p>
    <w:p w14:paraId="6574AA32" w14:textId="4626E59D" w:rsidR="0048699F" w:rsidRPr="000E5786" w:rsidRDefault="0048699F" w:rsidP="00834C1A">
      <w:pPr>
        <w:pStyle w:val="Heading4"/>
        <w:tabs>
          <w:tab w:val="clear" w:pos="1702"/>
          <w:tab w:val="num" w:pos="2552"/>
        </w:tabs>
        <w:spacing w:after="120"/>
        <w:ind w:left="2410"/>
        <w:rPr>
          <w:rFonts w:cs="Arial"/>
          <w:szCs w:val="20"/>
        </w:rPr>
      </w:pPr>
      <w:bookmarkStart w:id="594" w:name="_Ref53585186"/>
      <w:r w:rsidRPr="000E5786">
        <w:rPr>
          <w:rFonts w:cs="Arial"/>
          <w:szCs w:val="20"/>
        </w:rPr>
        <w:t xml:space="preserve">which allow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to be able to sub-licence the rights granted to it to any Replacement Supplier, provided that:</w:t>
      </w:r>
      <w:bookmarkEnd w:id="594"/>
    </w:p>
    <w:p w14:paraId="47B21ECC" w14:textId="250D3BD7" w:rsidR="0048699F" w:rsidRPr="000E5786" w:rsidRDefault="0048699F" w:rsidP="00DD60F0">
      <w:pPr>
        <w:pStyle w:val="Heading5"/>
        <w:spacing w:after="120"/>
        <w:rPr>
          <w:rFonts w:cs="Arial"/>
          <w:szCs w:val="20"/>
        </w:rPr>
      </w:pPr>
      <w:bookmarkStart w:id="595" w:name="_Ref53585187"/>
      <w:r w:rsidRPr="000E5786">
        <w:rPr>
          <w:rFonts w:cs="Arial"/>
          <w:szCs w:val="20"/>
        </w:rPr>
        <w:t xml:space="preserve">the sub-licence is on terms no broader than those granted to </w:t>
      </w:r>
      <w:proofErr w:type="spellStart"/>
      <w:r w:rsidR="001F1C19">
        <w:rPr>
          <w:rFonts w:cs="Arial"/>
          <w:szCs w:val="20"/>
        </w:rPr>
        <w:t>Netlink</w:t>
      </w:r>
      <w:proofErr w:type="spellEnd"/>
      <w:r w:rsidR="001F1C19">
        <w:rPr>
          <w:rFonts w:cs="Arial"/>
          <w:szCs w:val="20"/>
        </w:rPr>
        <w:t xml:space="preserve"> </w:t>
      </w:r>
      <w:proofErr w:type="gramStart"/>
      <w:r w:rsidR="001F1C19">
        <w:rPr>
          <w:rFonts w:cs="Arial"/>
          <w:szCs w:val="20"/>
        </w:rPr>
        <w:t>Star</w:t>
      </w:r>
      <w:r w:rsidRPr="000E5786">
        <w:rPr>
          <w:rFonts w:cs="Arial"/>
          <w:szCs w:val="20"/>
        </w:rPr>
        <w:t>;</w:t>
      </w:r>
      <w:bookmarkEnd w:id="595"/>
      <w:proofErr w:type="gramEnd"/>
    </w:p>
    <w:p w14:paraId="175461C3" w14:textId="71552B5E" w:rsidR="0048699F" w:rsidRPr="000E5786" w:rsidRDefault="0048699F" w:rsidP="00DD60F0">
      <w:pPr>
        <w:pStyle w:val="Heading5"/>
        <w:spacing w:after="120"/>
        <w:rPr>
          <w:rFonts w:cs="Arial"/>
          <w:szCs w:val="20"/>
        </w:rPr>
      </w:pPr>
      <w:bookmarkStart w:id="596" w:name="_Ref53585188"/>
      <w:r w:rsidRPr="000E5786">
        <w:rPr>
          <w:rFonts w:cs="Arial"/>
          <w:szCs w:val="20"/>
        </w:rPr>
        <w:t xml:space="preserve">the sub-licence authorises the Replacement Supplier to use the rights licensed in this clause </w:t>
      </w:r>
      <w:r w:rsidR="001245A0" w:rsidRPr="000E5786">
        <w:rPr>
          <w:rFonts w:cs="Arial"/>
          <w:szCs w:val="20"/>
        </w:rPr>
        <w:fldChar w:fldCharType="begin"/>
      </w:r>
      <w:r w:rsidR="001245A0" w:rsidRPr="000E5786">
        <w:rPr>
          <w:rFonts w:cs="Arial"/>
          <w:szCs w:val="20"/>
        </w:rPr>
        <w:instrText xml:space="preserve">  REF _Ref53585183 \w \h \* MERGEFORMAT </w:instrText>
      </w:r>
      <w:r w:rsidR="001245A0" w:rsidRPr="000E5786">
        <w:rPr>
          <w:rFonts w:cs="Arial"/>
          <w:szCs w:val="20"/>
        </w:rPr>
      </w:r>
      <w:r w:rsidR="001245A0" w:rsidRPr="000E5786">
        <w:rPr>
          <w:rFonts w:cs="Arial"/>
          <w:szCs w:val="20"/>
        </w:rPr>
        <w:fldChar w:fldCharType="separate"/>
      </w:r>
      <w:r w:rsidR="002523A8" w:rsidRPr="000E5786">
        <w:rPr>
          <w:rFonts w:cs="Arial"/>
          <w:szCs w:val="20"/>
        </w:rPr>
        <w:t>19.11</w:t>
      </w:r>
      <w:r w:rsidR="001245A0" w:rsidRPr="000E5786">
        <w:rPr>
          <w:rFonts w:cs="Arial"/>
          <w:szCs w:val="20"/>
        </w:rPr>
        <w:fldChar w:fldCharType="end"/>
      </w:r>
      <w:r w:rsidRPr="000E5786">
        <w:rPr>
          <w:rFonts w:cs="Arial"/>
          <w:szCs w:val="20"/>
        </w:rPr>
        <w:t xml:space="preserve"> only for the purposes relating to the Services (or substantially equivalent services) or for any purpose relating to the exercise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’s or any Central Government Body’s business or functions; and</w:t>
      </w:r>
      <w:bookmarkEnd w:id="596"/>
    </w:p>
    <w:p w14:paraId="1B372DAA" w14:textId="6E2CF299" w:rsidR="0048699F" w:rsidRPr="000E5786" w:rsidRDefault="0048699F" w:rsidP="00DD60F0">
      <w:pPr>
        <w:pStyle w:val="Heading5"/>
        <w:spacing w:after="120"/>
        <w:rPr>
          <w:rFonts w:cs="Arial"/>
          <w:szCs w:val="20"/>
        </w:rPr>
      </w:pPr>
      <w:bookmarkStart w:id="597" w:name="_Ref53585189"/>
      <w:r w:rsidRPr="000E5786">
        <w:rPr>
          <w:rFonts w:cs="Arial"/>
          <w:szCs w:val="20"/>
        </w:rPr>
        <w:t xml:space="preserve">the Replacement Supplier shall have executed a confidentiality undertaking in favour of the Supplier in or substantially in the form set out in Annex </w:t>
      </w:r>
      <w:bookmarkStart w:id="598" w:name="DocXTextRef247"/>
      <w:r w:rsidRPr="000E5786">
        <w:rPr>
          <w:rFonts w:cs="Arial"/>
          <w:szCs w:val="20"/>
        </w:rPr>
        <w:t>2</w:t>
      </w:r>
      <w:bookmarkEnd w:id="598"/>
      <w:r w:rsidRPr="000E5786">
        <w:rPr>
          <w:rFonts w:cs="Arial"/>
          <w:szCs w:val="20"/>
        </w:rPr>
        <w:t xml:space="preserve"> to </w:t>
      </w:r>
      <w:bookmarkStart w:id="599" w:name="DocXTextRef246"/>
      <w:r w:rsidRPr="000E5786">
        <w:rPr>
          <w:rFonts w:cs="Arial"/>
          <w:szCs w:val="20"/>
        </w:rPr>
        <w:t>Schedule 5</w:t>
      </w:r>
      <w:bookmarkEnd w:id="599"/>
      <w:r w:rsidRPr="000E5786">
        <w:rPr>
          <w:rFonts w:cs="Arial"/>
          <w:szCs w:val="20"/>
        </w:rPr>
        <w:t xml:space="preserve"> (Software); or</w:t>
      </w:r>
      <w:bookmarkEnd w:id="597"/>
    </w:p>
    <w:p w14:paraId="2EDF9299" w14:textId="263DE445" w:rsidR="0048699F" w:rsidRPr="000E5786" w:rsidRDefault="0048699F" w:rsidP="00346A37">
      <w:pPr>
        <w:pStyle w:val="Heading3"/>
      </w:pPr>
      <w:bookmarkStart w:id="600" w:name="_Ref53585190"/>
      <w:r w:rsidRPr="000E5786">
        <w:t xml:space="preserve">complied with the provisions of clause </w:t>
      </w:r>
      <w:r w:rsidR="001245A0" w:rsidRPr="000E5786">
        <w:fldChar w:fldCharType="begin"/>
      </w:r>
      <w:r w:rsidR="001245A0" w:rsidRPr="000E5786">
        <w:instrText xml:space="preserve">  REF _Ref53585191 \w \h \* MERGEFORMAT </w:instrText>
      </w:r>
      <w:r w:rsidR="001245A0" w:rsidRPr="000E5786">
        <w:fldChar w:fldCharType="separate"/>
      </w:r>
      <w:r w:rsidR="002523A8" w:rsidRPr="000E5786">
        <w:t>19.12</w:t>
      </w:r>
      <w:r w:rsidR="001245A0" w:rsidRPr="000E5786">
        <w:fldChar w:fldCharType="end"/>
      </w:r>
      <w:r w:rsidRPr="000E5786">
        <w:t>.</w:t>
      </w:r>
      <w:bookmarkEnd w:id="600"/>
    </w:p>
    <w:p w14:paraId="5207C821" w14:textId="474F7529" w:rsidR="0048699F" w:rsidRPr="000E5786" w:rsidRDefault="0048699F" w:rsidP="00DD60F0">
      <w:pPr>
        <w:pStyle w:val="Heading2"/>
        <w:spacing w:after="120"/>
        <w:rPr>
          <w:rFonts w:cs="Arial"/>
          <w:szCs w:val="20"/>
        </w:rPr>
      </w:pPr>
      <w:bookmarkStart w:id="601" w:name="_Ref53585191"/>
      <w:r w:rsidRPr="000E5786">
        <w:rPr>
          <w:rFonts w:cs="Arial"/>
          <w:szCs w:val="20"/>
        </w:rPr>
        <w:t xml:space="preserve">If the Supplier cannot obtain for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 licence in respect of any </w:t>
      </w:r>
      <w:proofErr w:type="gramStart"/>
      <w:r w:rsidRPr="000E5786">
        <w:rPr>
          <w:rFonts w:cs="Arial"/>
          <w:szCs w:val="20"/>
        </w:rPr>
        <w:t>Third Party</w:t>
      </w:r>
      <w:proofErr w:type="gramEnd"/>
      <w:r w:rsidRPr="000E5786">
        <w:rPr>
          <w:rFonts w:cs="Arial"/>
          <w:szCs w:val="20"/>
        </w:rPr>
        <w:t xml:space="preserve"> Non</w:t>
      </w:r>
      <w:r w:rsidR="00062264" w:rsidRPr="000E5786">
        <w:rPr>
          <w:rFonts w:cs="Arial"/>
          <w:szCs w:val="20"/>
        </w:rPr>
        <w:t>-</w:t>
      </w:r>
      <w:r w:rsidRPr="000E5786">
        <w:rPr>
          <w:rFonts w:cs="Arial"/>
          <w:szCs w:val="20"/>
        </w:rPr>
        <w:t xml:space="preserve">COTS Software and/or Third Party Non-COTS IPRs in accordance with the licence terms set out in clause </w:t>
      </w:r>
      <w:r w:rsidR="001245A0" w:rsidRPr="000E5786">
        <w:rPr>
          <w:rFonts w:cs="Arial"/>
          <w:szCs w:val="20"/>
        </w:rPr>
        <w:fldChar w:fldCharType="begin"/>
      </w:r>
      <w:r w:rsidR="001245A0" w:rsidRPr="000E5786">
        <w:rPr>
          <w:rFonts w:cs="Arial"/>
          <w:szCs w:val="20"/>
        </w:rPr>
        <w:instrText xml:space="preserve">  REF _Ref53585184 \w \h \* MERGEFORMAT </w:instrText>
      </w:r>
      <w:r w:rsidR="001245A0" w:rsidRPr="000E5786">
        <w:rPr>
          <w:rFonts w:cs="Arial"/>
          <w:szCs w:val="20"/>
        </w:rPr>
      </w:r>
      <w:r w:rsidR="001245A0" w:rsidRPr="000E5786">
        <w:rPr>
          <w:rFonts w:cs="Arial"/>
          <w:szCs w:val="20"/>
        </w:rPr>
        <w:fldChar w:fldCharType="separate"/>
      </w:r>
      <w:r w:rsidR="002523A8" w:rsidRPr="000E5786">
        <w:rPr>
          <w:rFonts w:cs="Arial"/>
          <w:szCs w:val="20"/>
        </w:rPr>
        <w:t>19.11.1</w:t>
      </w:r>
      <w:r w:rsidR="001245A0" w:rsidRPr="000E5786">
        <w:rPr>
          <w:rFonts w:cs="Arial"/>
          <w:szCs w:val="20"/>
        </w:rPr>
        <w:fldChar w:fldCharType="end"/>
      </w:r>
      <w:r w:rsidRPr="000E5786">
        <w:rPr>
          <w:rFonts w:cs="Arial"/>
          <w:szCs w:val="20"/>
        </w:rPr>
        <w:t>, the Supplier shall:</w:t>
      </w:r>
      <w:bookmarkEnd w:id="601"/>
    </w:p>
    <w:p w14:paraId="750D6C3A" w14:textId="65062203" w:rsidR="0048699F" w:rsidRPr="000E5786" w:rsidRDefault="0048699F" w:rsidP="00346A37">
      <w:pPr>
        <w:pStyle w:val="Heading3"/>
      </w:pPr>
      <w:bookmarkStart w:id="602" w:name="_Ref53585192"/>
      <w:r w:rsidRPr="000E5786">
        <w:t xml:space="preserve">notify </w:t>
      </w:r>
      <w:proofErr w:type="spellStart"/>
      <w:r w:rsidR="001F1C19">
        <w:t>Netlink</w:t>
      </w:r>
      <w:proofErr w:type="spellEnd"/>
      <w:r w:rsidR="001F1C19">
        <w:t xml:space="preserve"> Star</w:t>
      </w:r>
      <w:r w:rsidRPr="000E5786">
        <w:t xml:space="preserve"> in writing giving details of what licence terms can be obtained</w:t>
      </w:r>
      <w:r w:rsidR="00096AFE" w:rsidRPr="000E5786">
        <w:t xml:space="preserve"> </w:t>
      </w:r>
      <w:r w:rsidRPr="000E5786">
        <w:t xml:space="preserve">from the relevant third party and whether there are alternative software providers which the Supplier could seek to </w:t>
      </w:r>
      <w:proofErr w:type="gramStart"/>
      <w:r w:rsidRPr="000E5786">
        <w:t>use;</w:t>
      </w:r>
      <w:bookmarkEnd w:id="602"/>
      <w:proofErr w:type="gramEnd"/>
    </w:p>
    <w:p w14:paraId="1EFDD992" w14:textId="04CAC7EB" w:rsidR="0048699F" w:rsidRPr="000E5786" w:rsidRDefault="0048699F" w:rsidP="00346A37">
      <w:pPr>
        <w:pStyle w:val="Heading3"/>
      </w:pPr>
      <w:bookmarkStart w:id="603" w:name="_Ref53585193"/>
      <w:r w:rsidRPr="000E5786">
        <w:t xml:space="preserve">use the relevant </w:t>
      </w:r>
      <w:proofErr w:type="gramStart"/>
      <w:r w:rsidRPr="000E5786">
        <w:t>Third Party</w:t>
      </w:r>
      <w:proofErr w:type="gramEnd"/>
      <w:r w:rsidRPr="000E5786">
        <w:t xml:space="preserve"> Non-COTS Software and/or Third Party Non-COTS IPRs only if </w:t>
      </w:r>
      <w:proofErr w:type="spellStart"/>
      <w:r w:rsidR="001F1C19">
        <w:t>Netlink</w:t>
      </w:r>
      <w:proofErr w:type="spellEnd"/>
      <w:r w:rsidR="001F1C19">
        <w:t xml:space="preserve"> Star</w:t>
      </w:r>
      <w:r w:rsidRPr="000E5786">
        <w:t xml:space="preserve"> has first approved in writing the terms of the licence from the relevant third party.</w:t>
      </w:r>
      <w:bookmarkEnd w:id="603"/>
    </w:p>
    <w:p w14:paraId="0B906A1E" w14:textId="2BCFCE63" w:rsidR="0048699F" w:rsidRPr="000E5786" w:rsidRDefault="0048699F" w:rsidP="00346A37">
      <w:pPr>
        <w:pStyle w:val="Heading3"/>
      </w:pPr>
      <w:bookmarkStart w:id="604" w:name="_Ref53585194"/>
      <w:r w:rsidRPr="000E5786">
        <w:t xml:space="preserve">if the Supplier cannot obtain for </w:t>
      </w:r>
      <w:proofErr w:type="spellStart"/>
      <w:r w:rsidR="001F1C19">
        <w:t>Netlink</w:t>
      </w:r>
      <w:proofErr w:type="spellEnd"/>
      <w:r w:rsidR="001F1C19">
        <w:t xml:space="preserve"> Star</w:t>
      </w:r>
      <w:r w:rsidRPr="000E5786">
        <w:t xml:space="preserve"> licence terms for the relevant </w:t>
      </w:r>
      <w:proofErr w:type="gramStart"/>
      <w:r w:rsidRPr="000E5786">
        <w:t>Third Party</w:t>
      </w:r>
      <w:proofErr w:type="gramEnd"/>
      <w:r w:rsidR="0098655D">
        <w:t xml:space="preserve"> </w:t>
      </w:r>
      <w:r w:rsidRPr="000E5786">
        <w:t xml:space="preserve">Non-COTS Software and/or Third Party Non-COTS IPRs acceptable to </w:t>
      </w:r>
      <w:proofErr w:type="spellStart"/>
      <w:r w:rsidR="001F1C19">
        <w:t>Netlink</w:t>
      </w:r>
      <w:proofErr w:type="spellEnd"/>
      <w:r w:rsidR="001F1C19">
        <w:t xml:space="preserve"> Star</w:t>
      </w:r>
      <w:r w:rsidRPr="000E5786">
        <w:t xml:space="preserve">, consult </w:t>
      </w:r>
      <w:proofErr w:type="spellStart"/>
      <w:r w:rsidR="001F1C19">
        <w:t>Netlink</w:t>
      </w:r>
      <w:proofErr w:type="spellEnd"/>
      <w:r w:rsidR="001F1C19">
        <w:t xml:space="preserve"> Star</w:t>
      </w:r>
      <w:r w:rsidRPr="000E5786">
        <w:t xml:space="preserve"> on alternatives to the relevant Third Party Non-COTS Software and/or Third Party Non-COTS IPRs.</w:t>
      </w:r>
      <w:r w:rsidR="000578A4" w:rsidRPr="000E5786">
        <w:t xml:space="preserve"> </w:t>
      </w:r>
      <w:r w:rsidRPr="000E5786">
        <w:t xml:space="preserve">Any alternative software approved by </w:t>
      </w:r>
      <w:proofErr w:type="spellStart"/>
      <w:r w:rsidR="001F1C19">
        <w:t>Netlink</w:t>
      </w:r>
      <w:proofErr w:type="spellEnd"/>
      <w:r w:rsidR="001F1C19">
        <w:t xml:space="preserve"> Star</w:t>
      </w:r>
      <w:r w:rsidRPr="000E5786">
        <w:t xml:space="preserve"> in accordance with this clause </w:t>
      </w:r>
      <w:r w:rsidR="001245A0" w:rsidRPr="000E5786">
        <w:fldChar w:fldCharType="begin"/>
      </w:r>
      <w:r w:rsidR="001245A0" w:rsidRPr="000E5786">
        <w:instrText xml:space="preserve">  REF _Ref53585194 \w \h \* MERGEFORMAT </w:instrText>
      </w:r>
      <w:r w:rsidR="001245A0" w:rsidRPr="000E5786">
        <w:fldChar w:fldCharType="separate"/>
      </w:r>
      <w:r w:rsidR="002523A8" w:rsidRPr="000E5786">
        <w:t>19.12.3</w:t>
      </w:r>
      <w:r w:rsidR="001245A0" w:rsidRPr="000E5786">
        <w:fldChar w:fldCharType="end"/>
      </w:r>
      <w:r w:rsidRPr="000E5786">
        <w:t xml:space="preserve"> shall be substituted for the relevant Third Party Software originally listed in </w:t>
      </w:r>
      <w:bookmarkStart w:id="605" w:name="DocXTextRef250"/>
      <w:r w:rsidRPr="000E5786">
        <w:t>Schedule 5</w:t>
      </w:r>
      <w:bookmarkEnd w:id="605"/>
      <w:r w:rsidRPr="000E5786">
        <w:t xml:space="preserve"> (Software) and shall be henceforth Third Party Software for the purposes of this Agreement, to which the provisions of clauses </w:t>
      </w:r>
      <w:r w:rsidR="001245A0" w:rsidRPr="000E5786">
        <w:fldChar w:fldCharType="begin"/>
      </w:r>
      <w:r w:rsidR="001245A0" w:rsidRPr="000E5786">
        <w:instrText xml:space="preserve">  REF _Ref53585183 \w \h \* MERGEFORMAT </w:instrText>
      </w:r>
      <w:r w:rsidR="001245A0" w:rsidRPr="000E5786">
        <w:fldChar w:fldCharType="separate"/>
      </w:r>
      <w:r w:rsidR="002523A8" w:rsidRPr="000E5786">
        <w:t>19.11</w:t>
      </w:r>
      <w:r w:rsidR="001245A0" w:rsidRPr="000E5786">
        <w:fldChar w:fldCharType="end"/>
      </w:r>
      <w:r w:rsidRPr="000E5786">
        <w:t xml:space="preserve"> to </w:t>
      </w:r>
      <w:r w:rsidR="001245A0" w:rsidRPr="000E5786">
        <w:fldChar w:fldCharType="begin"/>
      </w:r>
      <w:r w:rsidR="001245A0" w:rsidRPr="000E5786">
        <w:instrText xml:space="preserve">  REF _Ref53585195 \w \h \* MERGEFORMAT </w:instrText>
      </w:r>
      <w:r w:rsidR="001245A0" w:rsidRPr="000E5786">
        <w:fldChar w:fldCharType="separate"/>
      </w:r>
      <w:r w:rsidR="002523A8" w:rsidRPr="000E5786">
        <w:t>19.13</w:t>
      </w:r>
      <w:r w:rsidR="001245A0" w:rsidRPr="000E5786">
        <w:fldChar w:fldCharType="end"/>
      </w:r>
      <w:r w:rsidRPr="000E5786">
        <w:t xml:space="preserve"> (as applicable) shall apply.</w:t>
      </w:r>
      <w:bookmarkEnd w:id="604"/>
    </w:p>
    <w:p w14:paraId="3E43BD97" w14:textId="2419B48D" w:rsidR="0048699F" w:rsidRPr="000E5786" w:rsidRDefault="0048699F" w:rsidP="00DD60F0">
      <w:pPr>
        <w:pStyle w:val="Heading2"/>
        <w:spacing w:after="120"/>
        <w:rPr>
          <w:rFonts w:cs="Arial"/>
          <w:szCs w:val="20"/>
        </w:rPr>
      </w:pPr>
      <w:bookmarkStart w:id="606" w:name="_Ref53585195"/>
      <w:r w:rsidRPr="000E5786">
        <w:rPr>
          <w:rFonts w:cs="Arial"/>
          <w:szCs w:val="20"/>
        </w:rPr>
        <w:t>The Supplier shall:</w:t>
      </w:r>
      <w:bookmarkEnd w:id="606"/>
    </w:p>
    <w:p w14:paraId="47CD28A4" w14:textId="4D7CE30D" w:rsidR="0048699F" w:rsidRPr="000E5786" w:rsidRDefault="0048699F" w:rsidP="00346A37">
      <w:pPr>
        <w:pStyle w:val="Heading3"/>
      </w:pPr>
      <w:bookmarkStart w:id="607" w:name="_Ref53585196"/>
      <w:r w:rsidRPr="000E5786">
        <w:t xml:space="preserve">notify </w:t>
      </w:r>
      <w:proofErr w:type="spellStart"/>
      <w:r w:rsidR="001F1C19">
        <w:t>Netlink</w:t>
      </w:r>
      <w:proofErr w:type="spellEnd"/>
      <w:r w:rsidR="001F1C19">
        <w:t xml:space="preserve"> Star</w:t>
      </w:r>
      <w:r w:rsidRPr="000E5786">
        <w:t xml:space="preserve"> in writing of all </w:t>
      </w:r>
      <w:proofErr w:type="gramStart"/>
      <w:r w:rsidRPr="000E5786">
        <w:t>Third Party</w:t>
      </w:r>
      <w:proofErr w:type="gramEnd"/>
      <w:r w:rsidRPr="000E5786">
        <w:t xml:space="preserve"> COTS Software and Third Party COTS IPRs that it uses and the terms on which it uses them; and</w:t>
      </w:r>
      <w:bookmarkEnd w:id="607"/>
    </w:p>
    <w:p w14:paraId="249CECCD" w14:textId="283951F1" w:rsidR="0048699F" w:rsidRPr="000E5786" w:rsidRDefault="0048699F" w:rsidP="00346A37">
      <w:pPr>
        <w:pStyle w:val="Heading3"/>
      </w:pPr>
      <w:bookmarkStart w:id="608" w:name="_Ref53585197"/>
      <w:r w:rsidRPr="000E5786">
        <w:t xml:space="preserve">unless instructed otherwise in writing by </w:t>
      </w:r>
      <w:proofErr w:type="spellStart"/>
      <w:r w:rsidR="001F1C19">
        <w:t>Netlink</w:t>
      </w:r>
      <w:proofErr w:type="spellEnd"/>
      <w:r w:rsidR="001F1C19">
        <w:t xml:space="preserve"> Star</w:t>
      </w:r>
      <w:r w:rsidRPr="000E5786">
        <w:t xml:space="preserve"> in any case within twenty </w:t>
      </w:r>
      <w:bookmarkStart w:id="609" w:name="DocXTextRef254"/>
      <w:r w:rsidRPr="000E5786">
        <w:t>(20)</w:t>
      </w:r>
      <w:bookmarkEnd w:id="609"/>
      <w:r w:rsidRPr="000E5786">
        <w:t xml:space="preserve"> Working Days of notification pursuant to clause </w:t>
      </w:r>
      <w:r w:rsidR="001245A0" w:rsidRPr="000E5786">
        <w:fldChar w:fldCharType="begin"/>
      </w:r>
      <w:r w:rsidR="001245A0" w:rsidRPr="000E5786">
        <w:instrText xml:space="preserve">  REF _Ref53585196 \w \h \* MERGEFORMAT </w:instrText>
      </w:r>
      <w:r w:rsidR="001245A0" w:rsidRPr="000E5786">
        <w:fldChar w:fldCharType="separate"/>
      </w:r>
      <w:r w:rsidR="002523A8" w:rsidRPr="000E5786">
        <w:t>19.13.1</w:t>
      </w:r>
      <w:r w:rsidR="001245A0" w:rsidRPr="000E5786">
        <w:fldChar w:fldCharType="end"/>
      </w:r>
      <w:r w:rsidRPr="000E5786">
        <w:t xml:space="preserve">, use all reasonable endeavours to procure in each case that the owner or an authorised licensor of the relevant Third Party COTS Software and Third Party COTS IPRs grants a direct licence to </w:t>
      </w:r>
      <w:proofErr w:type="spellStart"/>
      <w:r w:rsidR="001F1C19">
        <w:t>Netlink</w:t>
      </w:r>
      <w:proofErr w:type="spellEnd"/>
      <w:r w:rsidR="001F1C19">
        <w:t xml:space="preserve"> Star</w:t>
      </w:r>
      <w:r w:rsidRPr="000E5786">
        <w:t xml:space="preserve"> on terms no less favourable (including as to indemnification against IPRs Claims) than those on which such software is usually made commercially available by the relevant third party.</w:t>
      </w:r>
      <w:bookmarkEnd w:id="608"/>
    </w:p>
    <w:p w14:paraId="33354A6B" w14:textId="7C12DCD3" w:rsidR="0048699F" w:rsidRPr="000E5786" w:rsidRDefault="0048699F" w:rsidP="00DD60F0">
      <w:pPr>
        <w:pStyle w:val="Heading2"/>
        <w:spacing w:after="120"/>
        <w:rPr>
          <w:rFonts w:cs="Arial"/>
          <w:szCs w:val="20"/>
        </w:rPr>
      </w:pPr>
      <w:bookmarkStart w:id="610" w:name="_Ref53585198"/>
      <w:r w:rsidRPr="000E5786">
        <w:rPr>
          <w:rFonts w:cs="Arial"/>
          <w:szCs w:val="20"/>
        </w:rPr>
        <w:t xml:space="preserve">Notwithstanding and without prejudice to the other provisions of clauses </w:t>
      </w:r>
      <w:r w:rsidR="001245A0" w:rsidRPr="000E5786">
        <w:rPr>
          <w:rFonts w:cs="Arial"/>
          <w:szCs w:val="20"/>
        </w:rPr>
        <w:fldChar w:fldCharType="begin"/>
      </w:r>
      <w:r w:rsidR="001245A0" w:rsidRPr="000E5786">
        <w:rPr>
          <w:rFonts w:cs="Arial"/>
          <w:szCs w:val="20"/>
        </w:rPr>
        <w:instrText xml:space="preserve">  REF _Ref53585715 \w \h \* MERGEFORMAT </w:instrText>
      </w:r>
      <w:r w:rsidR="001245A0" w:rsidRPr="000E5786">
        <w:rPr>
          <w:rFonts w:cs="Arial"/>
          <w:szCs w:val="20"/>
        </w:rPr>
      </w:r>
      <w:r w:rsidR="001245A0" w:rsidRPr="000E5786">
        <w:rPr>
          <w:rFonts w:cs="Arial"/>
          <w:szCs w:val="20"/>
        </w:rPr>
        <w:fldChar w:fldCharType="separate"/>
      </w:r>
      <w:r w:rsidR="002523A8" w:rsidRPr="000E5786">
        <w:rPr>
          <w:rFonts w:cs="Arial"/>
          <w:szCs w:val="20"/>
        </w:rPr>
        <w:t>18</w:t>
      </w:r>
      <w:r w:rsidR="001245A0" w:rsidRPr="000E5786">
        <w:rPr>
          <w:rFonts w:cs="Arial"/>
          <w:szCs w:val="20"/>
        </w:rPr>
        <w:fldChar w:fldCharType="end"/>
      </w:r>
      <w:r w:rsidRPr="000E5786">
        <w:rPr>
          <w:rFonts w:cs="Arial"/>
          <w:szCs w:val="20"/>
        </w:rPr>
        <w:t xml:space="preserve"> and </w:t>
      </w:r>
      <w:r w:rsidR="001245A0" w:rsidRPr="000E5786">
        <w:rPr>
          <w:rFonts w:cs="Arial"/>
          <w:szCs w:val="20"/>
        </w:rPr>
        <w:fldChar w:fldCharType="begin"/>
      </w:r>
      <w:r w:rsidR="001245A0" w:rsidRPr="000E5786">
        <w:rPr>
          <w:rFonts w:cs="Arial"/>
          <w:szCs w:val="20"/>
        </w:rPr>
        <w:instrText xml:space="preserve">  REF _Ref53585716 \w \h \* MERGEFORMAT </w:instrText>
      </w:r>
      <w:r w:rsidR="001245A0" w:rsidRPr="000E5786">
        <w:rPr>
          <w:rFonts w:cs="Arial"/>
          <w:szCs w:val="20"/>
        </w:rPr>
      </w:r>
      <w:r w:rsidR="001245A0" w:rsidRPr="000E5786">
        <w:rPr>
          <w:rFonts w:cs="Arial"/>
          <w:szCs w:val="20"/>
        </w:rPr>
        <w:fldChar w:fldCharType="separate"/>
      </w:r>
      <w:r w:rsidR="002523A8" w:rsidRPr="000E5786">
        <w:rPr>
          <w:rFonts w:cs="Arial"/>
          <w:szCs w:val="20"/>
        </w:rPr>
        <w:t>19</w:t>
      </w:r>
      <w:r w:rsidR="001245A0" w:rsidRPr="000E5786">
        <w:rPr>
          <w:rFonts w:cs="Arial"/>
          <w:szCs w:val="20"/>
        </w:rPr>
        <w:fldChar w:fldCharType="end"/>
      </w:r>
      <w:r w:rsidRPr="000E5786">
        <w:rPr>
          <w:rFonts w:cs="Arial"/>
          <w:szCs w:val="20"/>
        </w:rPr>
        <w:t>, should the Supplier become aware at any time, including after termination, that the Specially</w:t>
      </w:r>
      <w:r w:rsidR="000578A4" w:rsidRPr="000E5786">
        <w:rPr>
          <w:rFonts w:cs="Arial"/>
          <w:szCs w:val="20"/>
        </w:rPr>
        <w:t xml:space="preserve"> </w:t>
      </w:r>
      <w:r w:rsidRPr="000E5786">
        <w:rPr>
          <w:rFonts w:cs="Arial"/>
          <w:szCs w:val="20"/>
        </w:rPr>
        <w:t>Written Software and/or the Project Specific IPRs contain any Intellectual Property Rights</w:t>
      </w:r>
      <w:r w:rsidR="000578A4" w:rsidRPr="000E5786">
        <w:rPr>
          <w:rFonts w:cs="Arial"/>
          <w:szCs w:val="20"/>
        </w:rPr>
        <w:t xml:space="preserve"> </w:t>
      </w:r>
      <w:r w:rsidRPr="000E5786">
        <w:rPr>
          <w:rFonts w:cs="Arial"/>
          <w:szCs w:val="20"/>
        </w:rPr>
        <w:t xml:space="preserve">for which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does not have a suitable licence, then the Supplier must:</w:t>
      </w:r>
      <w:bookmarkEnd w:id="610"/>
    </w:p>
    <w:p w14:paraId="1E74AB76" w14:textId="2F8CADE7" w:rsidR="0048699F" w:rsidRPr="000E5786" w:rsidRDefault="0048699F" w:rsidP="00346A37">
      <w:pPr>
        <w:pStyle w:val="Heading3"/>
      </w:pPr>
      <w:bookmarkStart w:id="611" w:name="_Ref53585199"/>
      <w:r w:rsidRPr="000E5786">
        <w:lastRenderedPageBreak/>
        <w:t xml:space="preserve">notify </w:t>
      </w:r>
      <w:proofErr w:type="spellStart"/>
      <w:r w:rsidR="001F1C19">
        <w:t>Netlink</w:t>
      </w:r>
      <w:proofErr w:type="spellEnd"/>
      <w:r w:rsidR="001F1C19">
        <w:t xml:space="preserve"> Star</w:t>
      </w:r>
      <w:r w:rsidRPr="000E5786">
        <w:t xml:space="preserve"> within ten (10) days of what those rights are and which parts of the Specially</w:t>
      </w:r>
      <w:r w:rsidR="000578A4" w:rsidRPr="000E5786">
        <w:t xml:space="preserve"> </w:t>
      </w:r>
      <w:r w:rsidRPr="000E5786">
        <w:t>Written Software and the Project Specific IPRs they are found in; and</w:t>
      </w:r>
      <w:bookmarkEnd w:id="611"/>
    </w:p>
    <w:p w14:paraId="7CE2975E" w14:textId="6A4547B4" w:rsidR="0048699F" w:rsidRPr="000E5786" w:rsidRDefault="0048699F" w:rsidP="00346A37">
      <w:pPr>
        <w:pStyle w:val="Heading3"/>
      </w:pPr>
      <w:bookmarkStart w:id="612" w:name="_Ref53585200"/>
      <w:r w:rsidRPr="000E5786">
        <w:t xml:space="preserve">as soon as reasonably practicable procure that </w:t>
      </w:r>
      <w:proofErr w:type="spellStart"/>
      <w:r w:rsidR="001F1C19">
        <w:t>Netlink</w:t>
      </w:r>
      <w:proofErr w:type="spellEnd"/>
      <w:r w:rsidR="001F1C19">
        <w:t xml:space="preserve"> Star</w:t>
      </w:r>
      <w:r w:rsidRPr="000E5786">
        <w:t xml:space="preserve"> has all rights in </w:t>
      </w:r>
      <w:proofErr w:type="gramStart"/>
      <w:r w:rsidRPr="000E5786">
        <w:t>the such</w:t>
      </w:r>
      <w:proofErr w:type="gramEnd"/>
      <w:r w:rsidRPr="000E5786">
        <w:t xml:space="preserve"> Intellectual Property Rights, to satisfy the Supplier’s obligations under this clause </w:t>
      </w:r>
      <w:r w:rsidR="001245A0" w:rsidRPr="000E5786">
        <w:fldChar w:fldCharType="begin"/>
      </w:r>
      <w:r w:rsidR="001245A0" w:rsidRPr="000E5786">
        <w:instrText xml:space="preserve">  REF _Ref53585716 \w \h \* MERGEFORMAT </w:instrText>
      </w:r>
      <w:r w:rsidR="001245A0" w:rsidRPr="000E5786">
        <w:fldChar w:fldCharType="separate"/>
      </w:r>
      <w:r w:rsidR="002523A8" w:rsidRPr="000E5786">
        <w:t>19</w:t>
      </w:r>
      <w:r w:rsidR="001245A0" w:rsidRPr="000E5786">
        <w:fldChar w:fldCharType="end"/>
      </w:r>
      <w:r w:rsidRPr="000E5786">
        <w:t>.</w:t>
      </w:r>
      <w:bookmarkEnd w:id="612"/>
    </w:p>
    <w:p w14:paraId="1BD5F89F" w14:textId="15BCC7D0" w:rsidR="0048699F" w:rsidRPr="000E5786" w:rsidRDefault="0048699F" w:rsidP="00CE5734">
      <w:pPr>
        <w:pStyle w:val="BodyText"/>
        <w:spacing w:after="120"/>
        <w:ind w:left="709" w:firstLine="0"/>
        <w:rPr>
          <w:rFonts w:cs="Arial"/>
          <w:szCs w:val="20"/>
          <w:u w:val="single"/>
        </w:rPr>
      </w:pPr>
      <w:r w:rsidRPr="000E5786">
        <w:rPr>
          <w:rFonts w:cs="Arial"/>
          <w:szCs w:val="20"/>
          <w:u w:val="single"/>
        </w:rPr>
        <w:t>Termination and Replacement Suppliers</w:t>
      </w:r>
    </w:p>
    <w:p w14:paraId="7AAFAED2" w14:textId="51C6FFF8" w:rsidR="0048699F" w:rsidRPr="000E5786" w:rsidRDefault="0048699F" w:rsidP="00DD60F0">
      <w:pPr>
        <w:pStyle w:val="Heading2"/>
        <w:spacing w:after="120"/>
        <w:rPr>
          <w:rFonts w:cs="Arial"/>
          <w:szCs w:val="20"/>
        </w:rPr>
      </w:pPr>
      <w:bookmarkStart w:id="613" w:name="_Ref53585201"/>
      <w:r w:rsidRPr="000E5786">
        <w:rPr>
          <w:rFonts w:cs="Arial"/>
          <w:szCs w:val="20"/>
        </w:rPr>
        <w:t xml:space="preserve">For the avoidance of doubt, the termination or expiry of this Agreement shall not of itself result in any termination of any of the licences granted by the Supplier or relevant third party pursuant to or as contemplated by this clause </w:t>
      </w:r>
      <w:r w:rsidR="001245A0" w:rsidRPr="000E5786">
        <w:rPr>
          <w:rFonts w:cs="Arial"/>
          <w:szCs w:val="20"/>
        </w:rPr>
        <w:fldChar w:fldCharType="begin"/>
      </w:r>
      <w:r w:rsidR="001245A0" w:rsidRPr="000E5786">
        <w:rPr>
          <w:rFonts w:cs="Arial"/>
          <w:szCs w:val="20"/>
        </w:rPr>
        <w:instrText xml:space="preserve">  REF _Ref53585716 \w \h \* MERGEFORMAT </w:instrText>
      </w:r>
      <w:r w:rsidR="001245A0" w:rsidRPr="000E5786">
        <w:rPr>
          <w:rFonts w:cs="Arial"/>
          <w:szCs w:val="20"/>
        </w:rPr>
      </w:r>
      <w:r w:rsidR="001245A0" w:rsidRPr="000E5786">
        <w:rPr>
          <w:rFonts w:cs="Arial"/>
          <w:szCs w:val="20"/>
        </w:rPr>
        <w:fldChar w:fldCharType="separate"/>
      </w:r>
      <w:r w:rsidR="002523A8" w:rsidRPr="000E5786">
        <w:rPr>
          <w:rFonts w:cs="Arial"/>
          <w:szCs w:val="20"/>
        </w:rPr>
        <w:t>19</w:t>
      </w:r>
      <w:r w:rsidR="001245A0" w:rsidRPr="000E5786">
        <w:rPr>
          <w:rFonts w:cs="Arial"/>
          <w:szCs w:val="20"/>
        </w:rPr>
        <w:fldChar w:fldCharType="end"/>
      </w:r>
      <w:r w:rsidRPr="000E5786">
        <w:rPr>
          <w:rFonts w:cs="Arial"/>
          <w:szCs w:val="20"/>
        </w:rPr>
        <w:t>.</w:t>
      </w:r>
      <w:bookmarkEnd w:id="613"/>
    </w:p>
    <w:p w14:paraId="40D29DEF" w14:textId="6182D62B" w:rsidR="0048699F" w:rsidRPr="000E5786" w:rsidRDefault="0048699F" w:rsidP="00DD60F0">
      <w:pPr>
        <w:pStyle w:val="Heading2"/>
        <w:spacing w:after="120"/>
        <w:rPr>
          <w:rFonts w:cs="Arial"/>
          <w:szCs w:val="20"/>
        </w:rPr>
      </w:pPr>
      <w:bookmarkStart w:id="614" w:name="_Ref53585202"/>
      <w:r w:rsidRPr="000E5786">
        <w:rPr>
          <w:rFonts w:cs="Arial"/>
          <w:szCs w:val="20"/>
        </w:rPr>
        <w:t xml:space="preserve">The Supplier shall, if requested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accordance with </w:t>
      </w:r>
      <w:bookmarkStart w:id="615" w:name="DocXTextRef260"/>
      <w:r w:rsidRPr="000E5786">
        <w:rPr>
          <w:rFonts w:cs="Arial"/>
          <w:szCs w:val="20"/>
        </w:rPr>
        <w:t>Schedule 8.5</w:t>
      </w:r>
      <w:bookmarkEnd w:id="615"/>
      <w:r w:rsidRPr="000E5786">
        <w:rPr>
          <w:rFonts w:cs="Arial"/>
          <w:szCs w:val="20"/>
        </w:rPr>
        <w:t xml:space="preserve"> (Exit Management) and at the Supplier’s cost:</w:t>
      </w:r>
      <w:bookmarkEnd w:id="614"/>
    </w:p>
    <w:p w14:paraId="6B01A62D" w14:textId="47086120" w:rsidR="0048699F" w:rsidRPr="000E5786" w:rsidRDefault="0048699F" w:rsidP="00346A37">
      <w:pPr>
        <w:pStyle w:val="Heading3"/>
      </w:pPr>
      <w:bookmarkStart w:id="616" w:name="_Ref53585203"/>
      <w:r w:rsidRPr="000E5786">
        <w:t>grant (or procure the grant) to any Replacement Supplier of:</w:t>
      </w:r>
      <w:bookmarkEnd w:id="616"/>
    </w:p>
    <w:p w14:paraId="3950E9B6" w14:textId="4612AF26" w:rsidR="0048699F" w:rsidRPr="000E5786" w:rsidRDefault="0048699F" w:rsidP="00834C1A">
      <w:pPr>
        <w:pStyle w:val="Heading4"/>
        <w:tabs>
          <w:tab w:val="clear" w:pos="1702"/>
          <w:tab w:val="num" w:pos="2552"/>
        </w:tabs>
        <w:spacing w:after="120"/>
        <w:ind w:left="2410"/>
        <w:rPr>
          <w:rFonts w:cs="Arial"/>
          <w:szCs w:val="20"/>
        </w:rPr>
      </w:pPr>
      <w:bookmarkStart w:id="617" w:name="_Ref53585204"/>
      <w:r w:rsidRPr="000E5786">
        <w:rPr>
          <w:rFonts w:cs="Arial"/>
          <w:szCs w:val="20"/>
        </w:rPr>
        <w:t xml:space="preserve">a licence to use any Supplier Non-COTS Software, Supplier </w:t>
      </w:r>
      <w:proofErr w:type="spellStart"/>
      <w:r w:rsidRPr="000E5786">
        <w:rPr>
          <w:rFonts w:cs="Arial"/>
          <w:szCs w:val="20"/>
        </w:rPr>
        <w:t>NonCOTS</w:t>
      </w:r>
      <w:proofErr w:type="spellEnd"/>
      <w:r w:rsidRPr="000E5786">
        <w:rPr>
          <w:rFonts w:cs="Arial"/>
          <w:szCs w:val="20"/>
        </w:rPr>
        <w:t xml:space="preserve"> Background IPRs, Third Party Non-COTS IPRs and/or Third Party Non-COTS Software on a royalty-free basis to the Replacement Supplier and on terms no less favourable than those granted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respect of the relevant Software and/or IPRs pursuant to or as contemplated by this clause </w:t>
      </w:r>
      <w:r w:rsidR="00AB7588" w:rsidRPr="000E5786">
        <w:rPr>
          <w:rFonts w:cs="Arial"/>
          <w:szCs w:val="20"/>
        </w:rPr>
        <w:fldChar w:fldCharType="begin"/>
      </w:r>
      <w:r w:rsidR="00AB7588" w:rsidRPr="000E5786">
        <w:rPr>
          <w:rFonts w:cs="Arial"/>
          <w:szCs w:val="20"/>
        </w:rPr>
        <w:instrText xml:space="preserve">  REF _Ref53585716 \w \h \* MERGEFORMAT </w:instrText>
      </w:r>
      <w:r w:rsidR="00AB7588" w:rsidRPr="000E5786">
        <w:rPr>
          <w:rFonts w:cs="Arial"/>
          <w:szCs w:val="20"/>
        </w:rPr>
      </w:r>
      <w:r w:rsidR="00AB7588" w:rsidRPr="000E5786">
        <w:rPr>
          <w:rFonts w:cs="Arial"/>
          <w:szCs w:val="20"/>
        </w:rPr>
        <w:fldChar w:fldCharType="separate"/>
      </w:r>
      <w:r w:rsidR="002523A8" w:rsidRPr="000E5786">
        <w:rPr>
          <w:rFonts w:cs="Arial"/>
          <w:szCs w:val="20"/>
        </w:rPr>
        <w:t>19</w:t>
      </w:r>
      <w:r w:rsidR="00AB7588" w:rsidRPr="000E5786">
        <w:rPr>
          <w:rFonts w:cs="Arial"/>
          <w:szCs w:val="20"/>
        </w:rPr>
        <w:fldChar w:fldCharType="end"/>
      </w:r>
      <w:r w:rsidRPr="000E5786">
        <w:rPr>
          <w:rFonts w:cs="Arial"/>
          <w:szCs w:val="20"/>
        </w:rPr>
        <w:t xml:space="preserve"> subject to receipt by the Supplier of a confidentiality undertaking in its favour (Software) duly executed by the Replacement Supplier;</w:t>
      </w:r>
      <w:bookmarkEnd w:id="617"/>
    </w:p>
    <w:p w14:paraId="7022AB2E" w14:textId="1D22E4C4" w:rsidR="0048699F" w:rsidRPr="000E5786" w:rsidRDefault="0048699F" w:rsidP="00834C1A">
      <w:pPr>
        <w:pStyle w:val="Heading4"/>
        <w:tabs>
          <w:tab w:val="clear" w:pos="1702"/>
          <w:tab w:val="num" w:pos="2552"/>
        </w:tabs>
        <w:spacing w:after="120"/>
        <w:ind w:left="2410"/>
        <w:rPr>
          <w:rFonts w:cs="Arial"/>
          <w:szCs w:val="20"/>
        </w:rPr>
      </w:pPr>
      <w:bookmarkStart w:id="618" w:name="_Ref53585205"/>
      <w:r w:rsidRPr="000E5786">
        <w:rPr>
          <w:rFonts w:cs="Arial"/>
          <w:szCs w:val="20"/>
        </w:rPr>
        <w:t>a licence to use any Supplier COTS Software and/or Supplier COTS Background IPRs, on terms no less favourable (including as to indemnification against IPRs Claims) than those on which such software is usually made commercially available by the Supplier; and/or</w:t>
      </w:r>
      <w:bookmarkEnd w:id="618"/>
    </w:p>
    <w:p w14:paraId="7D0DE929" w14:textId="45291CF0" w:rsidR="0048699F" w:rsidRPr="000E5786" w:rsidRDefault="0048699F" w:rsidP="00346A37">
      <w:pPr>
        <w:pStyle w:val="Heading3"/>
      </w:pPr>
      <w:bookmarkStart w:id="619" w:name="_Ref53585206"/>
      <w:r w:rsidRPr="000E5786">
        <w:t xml:space="preserve">use all reasonable endeavours to procure the grant to any Replacement Supplier of a licence to use any </w:t>
      </w:r>
      <w:proofErr w:type="gramStart"/>
      <w:r w:rsidRPr="000E5786">
        <w:t>Third Party</w:t>
      </w:r>
      <w:proofErr w:type="gramEnd"/>
      <w:r w:rsidRPr="000E5786">
        <w:t xml:space="preserve"> COTS Software and/or Third Party COTS IPRs on terms no less favourable (including as to indemnification against IPRs Claims) than those on which such software is usually made commercially available by the relevant </w:t>
      </w:r>
      <w:r w:rsidR="00906957" w:rsidRPr="000E5786">
        <w:t>/</w:t>
      </w:r>
      <w:r w:rsidRPr="000E5786">
        <w:t>third party.</w:t>
      </w:r>
      <w:bookmarkEnd w:id="619"/>
    </w:p>
    <w:p w14:paraId="19B6C800" w14:textId="13DBC8D9" w:rsidR="0048699F" w:rsidRPr="000E5786" w:rsidRDefault="0048699F" w:rsidP="00CE5734">
      <w:pPr>
        <w:pStyle w:val="BodyText"/>
        <w:spacing w:after="120"/>
        <w:ind w:left="709" w:firstLine="0"/>
        <w:rPr>
          <w:rFonts w:cs="Arial"/>
          <w:szCs w:val="20"/>
          <w:u w:val="single"/>
        </w:rPr>
      </w:pPr>
      <w:r w:rsidRPr="000E5786">
        <w:rPr>
          <w:rFonts w:cs="Arial"/>
          <w:szCs w:val="20"/>
          <w:u w:val="single"/>
        </w:rPr>
        <w:t>Patents</w:t>
      </w:r>
    </w:p>
    <w:p w14:paraId="14237674" w14:textId="17EC08E4" w:rsidR="0048699F" w:rsidRPr="000E5786" w:rsidRDefault="0048699F" w:rsidP="00DD60F0">
      <w:pPr>
        <w:pStyle w:val="Heading2"/>
        <w:spacing w:after="120"/>
        <w:rPr>
          <w:rFonts w:cs="Arial"/>
          <w:szCs w:val="20"/>
        </w:rPr>
      </w:pPr>
      <w:bookmarkStart w:id="620" w:name="_Ref53585207"/>
      <w:r w:rsidRPr="000E5786">
        <w:rPr>
          <w:rFonts w:cs="Arial"/>
          <w:szCs w:val="20"/>
        </w:rPr>
        <w:t xml:space="preserve">Where a patent owned by the Supplier is necessarily infringed </w:t>
      </w:r>
      <w:proofErr w:type="gramStart"/>
      <w:r w:rsidRPr="000E5786">
        <w:rPr>
          <w:rFonts w:cs="Arial"/>
          <w:szCs w:val="20"/>
        </w:rPr>
        <w:t>by the use of</w:t>
      </w:r>
      <w:proofErr w:type="gramEnd"/>
      <w:r w:rsidRPr="000E5786">
        <w:rPr>
          <w:rFonts w:cs="Arial"/>
          <w:szCs w:val="20"/>
        </w:rPr>
        <w:t xml:space="preserve"> the Specially Written Software or Project Specific IPRs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or any Replacement Supplier, the Supplier hereby grants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and the Replacement Supplier a non-exclusive, irrevocable, royalty-free, worldwide patent licence to use the infringing methods, materials or software solely for the purpose for which they were delivered under this Agreement.</w:t>
      </w:r>
      <w:bookmarkEnd w:id="620"/>
    </w:p>
    <w:p w14:paraId="2F83FA70" w14:textId="563AFB95" w:rsidR="0048699F" w:rsidRPr="000E5786" w:rsidRDefault="0048699F" w:rsidP="00DD60F0">
      <w:pPr>
        <w:pStyle w:val="Heading1"/>
        <w:spacing w:after="120"/>
        <w:rPr>
          <w:rFonts w:cs="Arial"/>
          <w:szCs w:val="20"/>
        </w:rPr>
      </w:pPr>
      <w:bookmarkStart w:id="621" w:name="_Ref53585208"/>
      <w:bookmarkStart w:id="622" w:name="_Ref53585717"/>
      <w:bookmarkStart w:id="623" w:name="_Toc71198944"/>
      <w:r w:rsidRPr="000E5786">
        <w:rPr>
          <w:rFonts w:cs="Arial"/>
          <w:szCs w:val="20"/>
        </w:rPr>
        <w:t xml:space="preserve">LICENCES GRANTED BY </w:t>
      </w:r>
      <w:bookmarkEnd w:id="621"/>
      <w:bookmarkEnd w:id="622"/>
      <w:bookmarkEnd w:id="623"/>
      <w:r w:rsidR="001F1C19">
        <w:rPr>
          <w:rFonts w:cs="Arial"/>
          <w:szCs w:val="20"/>
        </w:rPr>
        <w:t>NETLINK STAR</w:t>
      </w:r>
    </w:p>
    <w:p w14:paraId="752B5A4C" w14:textId="3A07AAAF" w:rsidR="0048699F" w:rsidRPr="000E5786" w:rsidRDefault="001F1C19" w:rsidP="00DD60F0">
      <w:pPr>
        <w:pStyle w:val="Heading2"/>
        <w:spacing w:after="120"/>
        <w:rPr>
          <w:rFonts w:cs="Arial"/>
          <w:szCs w:val="20"/>
        </w:rPr>
      </w:pPr>
      <w:bookmarkStart w:id="624" w:name="_Ref53585209"/>
      <w:proofErr w:type="spellStart"/>
      <w:r>
        <w:rPr>
          <w:rFonts w:cs="Arial"/>
          <w:szCs w:val="20"/>
        </w:rPr>
        <w:t>Netlink</w:t>
      </w:r>
      <w:proofErr w:type="spellEnd"/>
      <w:r>
        <w:rPr>
          <w:rFonts w:cs="Arial"/>
          <w:szCs w:val="20"/>
        </w:rPr>
        <w:t xml:space="preserve"> Star</w:t>
      </w:r>
      <w:r w:rsidR="0048699F" w:rsidRPr="000E5786">
        <w:rPr>
          <w:rFonts w:cs="Arial"/>
          <w:szCs w:val="20"/>
        </w:rPr>
        <w:t xml:space="preserve"> hereby grants to the Supplier a royalty-free, non-exclusive, non-transferable licence during the Term to use </w:t>
      </w:r>
      <w:proofErr w:type="spellStart"/>
      <w:r>
        <w:rPr>
          <w:rFonts w:cs="Arial"/>
          <w:szCs w:val="20"/>
        </w:rPr>
        <w:t>Netlink</w:t>
      </w:r>
      <w:proofErr w:type="spellEnd"/>
      <w:r>
        <w:rPr>
          <w:rFonts w:cs="Arial"/>
          <w:szCs w:val="20"/>
        </w:rPr>
        <w:t xml:space="preserve"> Star</w:t>
      </w:r>
      <w:r w:rsidR="0048699F" w:rsidRPr="000E5786">
        <w:rPr>
          <w:rFonts w:cs="Arial"/>
          <w:szCs w:val="20"/>
        </w:rPr>
        <w:t xml:space="preserve"> Software, </w:t>
      </w:r>
      <w:proofErr w:type="spellStart"/>
      <w:r>
        <w:rPr>
          <w:rFonts w:cs="Arial"/>
          <w:szCs w:val="20"/>
        </w:rPr>
        <w:t>Netlink</w:t>
      </w:r>
      <w:proofErr w:type="spellEnd"/>
      <w:r>
        <w:rPr>
          <w:rFonts w:cs="Arial"/>
          <w:szCs w:val="20"/>
        </w:rPr>
        <w:t xml:space="preserve"> Star</w:t>
      </w:r>
      <w:r w:rsidR="0048699F" w:rsidRPr="000E5786">
        <w:rPr>
          <w:rFonts w:cs="Arial"/>
          <w:szCs w:val="20"/>
        </w:rPr>
        <w:t xml:space="preserve"> Background IPRs, </w:t>
      </w:r>
      <w:proofErr w:type="spellStart"/>
      <w:r>
        <w:rPr>
          <w:rFonts w:cs="Arial"/>
          <w:szCs w:val="20"/>
        </w:rPr>
        <w:t>Netlink</w:t>
      </w:r>
      <w:proofErr w:type="spellEnd"/>
      <w:r>
        <w:rPr>
          <w:rFonts w:cs="Arial"/>
          <w:szCs w:val="20"/>
        </w:rPr>
        <w:t xml:space="preserve"> Star</w:t>
      </w:r>
      <w:r w:rsidR="0048699F" w:rsidRPr="000E5786">
        <w:rPr>
          <w:rFonts w:cs="Arial"/>
          <w:szCs w:val="20"/>
        </w:rPr>
        <w:t xml:space="preserve"> Data, the Specially Written Software and the Project Specific IPRs solely to the extent necessary for performing the Services in accordance with this Agreement, including (but not limited to) the right to grant sub-licences to Sub-contractors provided that:</w:t>
      </w:r>
      <w:bookmarkEnd w:id="624"/>
    </w:p>
    <w:p w14:paraId="1B341DFB" w14:textId="1E39B18B" w:rsidR="0048699F" w:rsidRPr="000E5786" w:rsidRDefault="0048699F" w:rsidP="00346A37">
      <w:pPr>
        <w:pStyle w:val="Heading3"/>
      </w:pPr>
      <w:bookmarkStart w:id="625" w:name="_Ref53585210"/>
      <w:r w:rsidRPr="000E5786">
        <w:t xml:space="preserve">any relevant Sub-contractor has </w:t>
      </w:r>
      <w:proofErr w:type="gramStart"/>
      <w:r w:rsidRPr="000E5786">
        <w:t>entered into</w:t>
      </w:r>
      <w:proofErr w:type="gramEnd"/>
      <w:r w:rsidRPr="000E5786">
        <w:t xml:space="preserve"> a confidentiality undertaking with the Supplier on the same terms as set out in clause </w:t>
      </w:r>
      <w:r w:rsidR="00AB7588" w:rsidRPr="000E5786">
        <w:fldChar w:fldCharType="begin"/>
      </w:r>
      <w:r w:rsidR="00AB7588" w:rsidRPr="000E5786">
        <w:instrText xml:space="preserve">  REF _Ref53585722 \w \h \* MERGEFORMAT </w:instrText>
      </w:r>
      <w:r w:rsidR="00AB7588" w:rsidRPr="000E5786">
        <w:fldChar w:fldCharType="separate"/>
      </w:r>
      <w:r w:rsidR="002523A8" w:rsidRPr="000E5786">
        <w:t>24</w:t>
      </w:r>
      <w:r w:rsidR="00AB7588" w:rsidRPr="000E5786">
        <w:fldChar w:fldCharType="end"/>
      </w:r>
      <w:r w:rsidRPr="000E5786">
        <w:t xml:space="preserve"> (Confidentiality); and</w:t>
      </w:r>
      <w:bookmarkEnd w:id="625"/>
    </w:p>
    <w:p w14:paraId="396EF023" w14:textId="742DF7D0" w:rsidR="0048699F" w:rsidRPr="000E5786" w:rsidRDefault="0048699F" w:rsidP="00346A37">
      <w:pPr>
        <w:pStyle w:val="Heading3"/>
      </w:pPr>
      <w:bookmarkStart w:id="626" w:name="_Ref53585211"/>
      <w:r w:rsidRPr="000E5786">
        <w:t xml:space="preserve">the Supplier shall not, without </w:t>
      </w:r>
      <w:proofErr w:type="spellStart"/>
      <w:r w:rsidR="001F1C19">
        <w:t>Netlink</w:t>
      </w:r>
      <w:proofErr w:type="spellEnd"/>
      <w:r w:rsidR="001F1C19">
        <w:t xml:space="preserve"> Star</w:t>
      </w:r>
      <w:r w:rsidRPr="000E5786">
        <w:t xml:space="preserve">’s prior written consent, use the licensed materials for any other purpose or for the benefit of any person other than </w:t>
      </w:r>
      <w:proofErr w:type="spellStart"/>
      <w:r w:rsidR="001F1C19">
        <w:t>Netlink</w:t>
      </w:r>
      <w:proofErr w:type="spellEnd"/>
      <w:r w:rsidR="001F1C19">
        <w:t xml:space="preserve"> Star</w:t>
      </w:r>
      <w:r w:rsidRPr="000E5786">
        <w:t>.</w:t>
      </w:r>
      <w:bookmarkEnd w:id="626"/>
    </w:p>
    <w:p w14:paraId="6FFF5344" w14:textId="31D58341" w:rsidR="0048699F" w:rsidRPr="000E5786" w:rsidRDefault="0048699F" w:rsidP="00DD60F0">
      <w:pPr>
        <w:pStyle w:val="Heading2"/>
        <w:spacing w:after="120"/>
        <w:rPr>
          <w:rFonts w:cs="Arial"/>
          <w:szCs w:val="20"/>
        </w:rPr>
      </w:pPr>
      <w:bookmarkStart w:id="627" w:name="_Ref53585212"/>
      <w:r w:rsidRPr="000E5786">
        <w:rPr>
          <w:rFonts w:cs="Arial"/>
          <w:szCs w:val="20"/>
        </w:rPr>
        <w:t xml:space="preserve">In the event of the termination or expiry of this Agreement, the licence granted pursuant to clause </w:t>
      </w:r>
      <w:r w:rsidR="00AB7588" w:rsidRPr="000E5786">
        <w:rPr>
          <w:rFonts w:cs="Arial"/>
          <w:szCs w:val="20"/>
        </w:rPr>
        <w:fldChar w:fldCharType="begin"/>
      </w:r>
      <w:r w:rsidR="00AB7588" w:rsidRPr="000E5786">
        <w:rPr>
          <w:rFonts w:cs="Arial"/>
          <w:szCs w:val="20"/>
        </w:rPr>
        <w:instrText xml:space="preserve">  REF _Ref53585209 \w \h \* MERGEFORMAT </w:instrText>
      </w:r>
      <w:r w:rsidR="00AB7588" w:rsidRPr="000E5786">
        <w:rPr>
          <w:rFonts w:cs="Arial"/>
          <w:szCs w:val="20"/>
        </w:rPr>
      </w:r>
      <w:r w:rsidR="00AB7588" w:rsidRPr="000E5786">
        <w:rPr>
          <w:rFonts w:cs="Arial"/>
          <w:szCs w:val="20"/>
        </w:rPr>
        <w:fldChar w:fldCharType="separate"/>
      </w:r>
      <w:r w:rsidR="002523A8" w:rsidRPr="000E5786">
        <w:rPr>
          <w:rFonts w:cs="Arial"/>
          <w:szCs w:val="20"/>
        </w:rPr>
        <w:t>20.1</w:t>
      </w:r>
      <w:r w:rsidR="00AB7588" w:rsidRPr="000E5786">
        <w:rPr>
          <w:rFonts w:cs="Arial"/>
          <w:szCs w:val="20"/>
        </w:rPr>
        <w:fldChar w:fldCharType="end"/>
      </w:r>
      <w:r w:rsidRPr="000E5786">
        <w:rPr>
          <w:rFonts w:cs="Arial"/>
          <w:szCs w:val="20"/>
        </w:rPr>
        <w:t xml:space="preserve"> and any sub-licence granted by the Supplier in accordance with clause </w:t>
      </w:r>
      <w:r w:rsidR="00AB7588" w:rsidRPr="000E5786">
        <w:rPr>
          <w:rFonts w:cs="Arial"/>
          <w:szCs w:val="20"/>
        </w:rPr>
        <w:fldChar w:fldCharType="begin"/>
      </w:r>
      <w:r w:rsidR="00AB7588" w:rsidRPr="000E5786">
        <w:rPr>
          <w:rFonts w:cs="Arial"/>
          <w:szCs w:val="20"/>
        </w:rPr>
        <w:instrText xml:space="preserve">  REF _Ref53585209 \w \h \* MERGEFORMAT </w:instrText>
      </w:r>
      <w:r w:rsidR="00AB7588" w:rsidRPr="000E5786">
        <w:rPr>
          <w:rFonts w:cs="Arial"/>
          <w:szCs w:val="20"/>
        </w:rPr>
      </w:r>
      <w:r w:rsidR="00AB7588" w:rsidRPr="000E5786">
        <w:rPr>
          <w:rFonts w:cs="Arial"/>
          <w:szCs w:val="20"/>
        </w:rPr>
        <w:fldChar w:fldCharType="separate"/>
      </w:r>
      <w:r w:rsidR="002523A8" w:rsidRPr="000E5786">
        <w:rPr>
          <w:rFonts w:cs="Arial"/>
          <w:szCs w:val="20"/>
        </w:rPr>
        <w:t>20.1</w:t>
      </w:r>
      <w:r w:rsidR="00AB7588" w:rsidRPr="000E5786">
        <w:rPr>
          <w:rFonts w:cs="Arial"/>
          <w:szCs w:val="20"/>
        </w:rPr>
        <w:fldChar w:fldCharType="end"/>
      </w:r>
      <w:r w:rsidRPr="000E5786">
        <w:rPr>
          <w:rFonts w:cs="Arial"/>
          <w:szCs w:val="20"/>
        </w:rPr>
        <w:t xml:space="preserve"> shall terminate automatically on the date of such termination or expiry and the Supplier shall:</w:t>
      </w:r>
      <w:bookmarkEnd w:id="627"/>
    </w:p>
    <w:p w14:paraId="312A4EC4" w14:textId="28936AF9" w:rsidR="0048699F" w:rsidRPr="000E5786" w:rsidRDefault="0048699F" w:rsidP="00346A37">
      <w:pPr>
        <w:pStyle w:val="Heading3"/>
      </w:pPr>
      <w:bookmarkStart w:id="628" w:name="_Ref53585213"/>
      <w:r w:rsidRPr="000E5786">
        <w:t xml:space="preserve">immediately cease all use of </w:t>
      </w:r>
      <w:proofErr w:type="spellStart"/>
      <w:r w:rsidR="001F1C19">
        <w:t>Netlink</w:t>
      </w:r>
      <w:proofErr w:type="spellEnd"/>
      <w:r w:rsidR="001F1C19">
        <w:t xml:space="preserve"> Star</w:t>
      </w:r>
      <w:r w:rsidRPr="000E5786">
        <w:t xml:space="preserve"> Software, </w:t>
      </w:r>
      <w:proofErr w:type="spellStart"/>
      <w:r w:rsidR="001F1C19">
        <w:t>Netlink</w:t>
      </w:r>
      <w:proofErr w:type="spellEnd"/>
      <w:r w:rsidR="001F1C19">
        <w:t xml:space="preserve"> Star</w:t>
      </w:r>
      <w:r w:rsidRPr="000E5786">
        <w:t xml:space="preserve"> Background IPRs and </w:t>
      </w:r>
      <w:proofErr w:type="spellStart"/>
      <w:r w:rsidR="001F1C19">
        <w:t>Netlink</w:t>
      </w:r>
      <w:proofErr w:type="spellEnd"/>
      <w:r w:rsidR="001F1C19">
        <w:t xml:space="preserve"> Star</w:t>
      </w:r>
      <w:r w:rsidRPr="000E5786">
        <w:t xml:space="preserve"> Data (as the case may be</w:t>
      </w:r>
      <w:proofErr w:type="gramStart"/>
      <w:r w:rsidRPr="000E5786">
        <w:t>);</w:t>
      </w:r>
      <w:bookmarkEnd w:id="628"/>
      <w:proofErr w:type="gramEnd"/>
    </w:p>
    <w:p w14:paraId="3F1C80CE" w14:textId="5C9818D9" w:rsidR="0048699F" w:rsidRPr="000E5786" w:rsidRDefault="0048699F" w:rsidP="00346A37">
      <w:pPr>
        <w:pStyle w:val="Heading3"/>
      </w:pPr>
      <w:bookmarkStart w:id="629" w:name="_Ref53585214"/>
      <w:r w:rsidRPr="000E5786">
        <w:lastRenderedPageBreak/>
        <w:t xml:space="preserve">at the discretion of </w:t>
      </w:r>
      <w:proofErr w:type="spellStart"/>
      <w:r w:rsidR="001F1C19">
        <w:t>Netlink</w:t>
      </w:r>
      <w:proofErr w:type="spellEnd"/>
      <w:r w:rsidR="001F1C19">
        <w:t xml:space="preserve"> Star</w:t>
      </w:r>
      <w:r w:rsidRPr="000E5786">
        <w:t xml:space="preserve">, return or destroy documents and other tangible materials that contain any of the </w:t>
      </w:r>
      <w:proofErr w:type="spellStart"/>
      <w:r w:rsidR="001F1C19">
        <w:t>Netlink</w:t>
      </w:r>
      <w:proofErr w:type="spellEnd"/>
      <w:r w:rsidR="001F1C19">
        <w:t xml:space="preserve"> Star</w:t>
      </w:r>
      <w:r w:rsidRPr="000E5786">
        <w:t xml:space="preserve"> Software, </w:t>
      </w:r>
      <w:proofErr w:type="spellStart"/>
      <w:r w:rsidR="001F1C19">
        <w:t>Netlink</w:t>
      </w:r>
      <w:proofErr w:type="spellEnd"/>
      <w:r w:rsidR="001F1C19">
        <w:t xml:space="preserve"> Star</w:t>
      </w:r>
      <w:r w:rsidRPr="000E5786">
        <w:t xml:space="preserve"> Background IPRs and </w:t>
      </w:r>
      <w:proofErr w:type="spellStart"/>
      <w:r w:rsidR="001F1C19">
        <w:t>Netlink</w:t>
      </w:r>
      <w:proofErr w:type="spellEnd"/>
      <w:r w:rsidR="001F1C19">
        <w:t xml:space="preserve"> Star</w:t>
      </w:r>
      <w:r w:rsidRPr="000E5786">
        <w:t xml:space="preserve"> Data, provided that if </w:t>
      </w:r>
      <w:proofErr w:type="spellStart"/>
      <w:r w:rsidR="001F1C19">
        <w:t>Netlink</w:t>
      </w:r>
      <w:proofErr w:type="spellEnd"/>
      <w:r w:rsidR="001F1C19">
        <w:t xml:space="preserve"> Star</w:t>
      </w:r>
      <w:r w:rsidRPr="000E5786">
        <w:t xml:space="preserve"> has not made an election within six (6) months of the termination of the licence, the Supplier may destroy the documents and other tangible materials that contain any of the </w:t>
      </w:r>
      <w:proofErr w:type="spellStart"/>
      <w:r w:rsidR="001F1C19">
        <w:t>Netlink</w:t>
      </w:r>
      <w:proofErr w:type="spellEnd"/>
      <w:r w:rsidR="001F1C19">
        <w:t xml:space="preserve"> Star</w:t>
      </w:r>
      <w:r w:rsidRPr="000E5786">
        <w:t xml:space="preserve"> Software, the </w:t>
      </w:r>
      <w:proofErr w:type="spellStart"/>
      <w:r w:rsidR="001F1C19">
        <w:t>Netlink</w:t>
      </w:r>
      <w:proofErr w:type="spellEnd"/>
      <w:r w:rsidR="001F1C19">
        <w:t xml:space="preserve"> Star</w:t>
      </w:r>
      <w:r w:rsidRPr="000E5786">
        <w:t xml:space="preserve"> Background IPRs and the </w:t>
      </w:r>
      <w:proofErr w:type="spellStart"/>
      <w:r w:rsidR="001F1C19">
        <w:t>Netlink</w:t>
      </w:r>
      <w:proofErr w:type="spellEnd"/>
      <w:r w:rsidR="001F1C19">
        <w:t xml:space="preserve"> Star</w:t>
      </w:r>
      <w:r w:rsidRPr="000E5786">
        <w:t xml:space="preserve"> Data (as the case may be); and</w:t>
      </w:r>
      <w:bookmarkEnd w:id="629"/>
    </w:p>
    <w:p w14:paraId="4386433D" w14:textId="600F628D" w:rsidR="0048699F" w:rsidRPr="000E5786" w:rsidRDefault="0048699F" w:rsidP="00346A37">
      <w:pPr>
        <w:pStyle w:val="Heading3"/>
      </w:pPr>
      <w:bookmarkStart w:id="630" w:name="_Ref53585215"/>
      <w:r w:rsidRPr="000E5786">
        <w:t xml:space="preserve">ensure, so far as reasonably practicable, that any </w:t>
      </w:r>
      <w:proofErr w:type="spellStart"/>
      <w:r w:rsidR="001F1C19">
        <w:t>Netlink</w:t>
      </w:r>
      <w:proofErr w:type="spellEnd"/>
      <w:r w:rsidR="001F1C19">
        <w:t xml:space="preserve"> Star</w:t>
      </w:r>
      <w:r w:rsidRPr="000E5786">
        <w:t xml:space="preserve"> Software, </w:t>
      </w:r>
      <w:proofErr w:type="spellStart"/>
      <w:r w:rsidR="001F1C19">
        <w:t>Netlink</w:t>
      </w:r>
      <w:proofErr w:type="spellEnd"/>
      <w:r w:rsidR="001F1C19">
        <w:t xml:space="preserve"> Star</w:t>
      </w:r>
      <w:r w:rsidRPr="000E5786">
        <w:t xml:space="preserve"> Background IPRs and </w:t>
      </w:r>
      <w:proofErr w:type="spellStart"/>
      <w:r w:rsidR="001F1C19">
        <w:t>Netlink</w:t>
      </w:r>
      <w:proofErr w:type="spellEnd"/>
      <w:r w:rsidR="001F1C19">
        <w:t xml:space="preserve"> Star</w:t>
      </w:r>
      <w:r w:rsidRPr="000E5786">
        <w:t xml:space="preserve"> Data that are held in electronic, </w:t>
      </w:r>
      <w:proofErr w:type="gramStart"/>
      <w:r w:rsidRPr="000E5786">
        <w:t>digital</w:t>
      </w:r>
      <w:proofErr w:type="gramEnd"/>
      <w:r w:rsidRPr="000E5786">
        <w:t xml:space="preserve"> or other machine-readable form ceases to be readily accessible from any Supplier computer, word processor, voicemail system or any other Supplier device containing such </w:t>
      </w:r>
      <w:proofErr w:type="spellStart"/>
      <w:r w:rsidR="001F1C19">
        <w:t>Netlink</w:t>
      </w:r>
      <w:proofErr w:type="spellEnd"/>
      <w:r w:rsidR="001F1C19">
        <w:t xml:space="preserve"> Star</w:t>
      </w:r>
      <w:r w:rsidRPr="000E5786">
        <w:t xml:space="preserve"> Software, </w:t>
      </w:r>
      <w:proofErr w:type="spellStart"/>
      <w:r w:rsidR="001F1C19">
        <w:t>Netlink</w:t>
      </w:r>
      <w:proofErr w:type="spellEnd"/>
      <w:r w:rsidR="001F1C19">
        <w:t xml:space="preserve"> Star</w:t>
      </w:r>
      <w:r w:rsidRPr="000E5786">
        <w:t xml:space="preserve"> Background IPRs and/or </w:t>
      </w:r>
      <w:proofErr w:type="spellStart"/>
      <w:r w:rsidR="001F1C19">
        <w:t>Netlink</w:t>
      </w:r>
      <w:proofErr w:type="spellEnd"/>
      <w:r w:rsidR="001F1C19">
        <w:t xml:space="preserve"> Star</w:t>
      </w:r>
      <w:r w:rsidRPr="000E5786">
        <w:t xml:space="preserve"> Data.</w:t>
      </w:r>
      <w:bookmarkEnd w:id="630"/>
    </w:p>
    <w:p w14:paraId="10CE644A" w14:textId="1D6E8019" w:rsidR="0048699F" w:rsidRPr="000E5786" w:rsidRDefault="0048699F" w:rsidP="00DD60F0">
      <w:pPr>
        <w:pStyle w:val="Heading1"/>
        <w:spacing w:after="120"/>
        <w:rPr>
          <w:rFonts w:cs="Arial"/>
          <w:szCs w:val="20"/>
        </w:rPr>
      </w:pPr>
      <w:bookmarkStart w:id="631" w:name="_Ref53585216"/>
      <w:bookmarkStart w:id="632" w:name="_Ref53585718"/>
      <w:bookmarkStart w:id="633" w:name="_Toc71198945"/>
      <w:r w:rsidRPr="000E5786">
        <w:rPr>
          <w:rFonts w:cs="Arial"/>
          <w:szCs w:val="20"/>
        </w:rPr>
        <w:t>OPEN SOURCE</w:t>
      </w:r>
      <w:bookmarkEnd w:id="631"/>
      <w:bookmarkEnd w:id="632"/>
      <w:bookmarkEnd w:id="633"/>
    </w:p>
    <w:p w14:paraId="58EA184A" w14:textId="066F1F82" w:rsidR="0048699F" w:rsidRPr="000E5786" w:rsidRDefault="0048699F" w:rsidP="00DD60F0">
      <w:pPr>
        <w:pStyle w:val="Heading2"/>
        <w:spacing w:after="120"/>
        <w:rPr>
          <w:rFonts w:cs="Arial"/>
          <w:szCs w:val="20"/>
        </w:rPr>
      </w:pPr>
      <w:bookmarkStart w:id="634" w:name="_Ref53585217"/>
      <w:r w:rsidRPr="000E5786">
        <w:rPr>
          <w:rFonts w:cs="Arial"/>
          <w:szCs w:val="20"/>
        </w:rPr>
        <w:t>The Software does not contain any Open Source other than the OSS.</w:t>
      </w:r>
      <w:r w:rsidR="000578A4" w:rsidRPr="000E5786">
        <w:rPr>
          <w:rFonts w:cs="Arial"/>
          <w:szCs w:val="20"/>
        </w:rPr>
        <w:t xml:space="preserve"> </w:t>
      </w:r>
      <w:r w:rsidRPr="000E5786">
        <w:rPr>
          <w:rFonts w:cs="Arial"/>
          <w:szCs w:val="20"/>
        </w:rPr>
        <w:t>The Software (excluding the OSS) remains separable from or merely links or binds by name to the interfaces of the OSS.</w:t>
      </w:r>
      <w:bookmarkEnd w:id="634"/>
    </w:p>
    <w:p w14:paraId="27B2AB92" w14:textId="23F9BE09" w:rsidR="0048699F" w:rsidRPr="000E5786" w:rsidRDefault="0048699F" w:rsidP="00DD60F0">
      <w:pPr>
        <w:pStyle w:val="Heading2"/>
        <w:spacing w:after="120"/>
        <w:rPr>
          <w:rFonts w:cs="Arial"/>
          <w:szCs w:val="20"/>
        </w:rPr>
      </w:pPr>
      <w:bookmarkStart w:id="635" w:name="_Ref53585218"/>
      <w:r w:rsidRPr="000E5786">
        <w:rPr>
          <w:rFonts w:cs="Arial"/>
          <w:szCs w:val="20"/>
        </w:rPr>
        <w:t xml:space="preserve">The Supplier shall not at any time during the Term without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express written consent include in or aggregate with the Software any Open Source other than the </w:t>
      </w:r>
      <w:proofErr w:type="gramStart"/>
      <w:r w:rsidRPr="000E5786">
        <w:rPr>
          <w:rFonts w:cs="Arial"/>
          <w:szCs w:val="20"/>
        </w:rPr>
        <w:t>OSS, or</w:t>
      </w:r>
      <w:proofErr w:type="gramEnd"/>
      <w:r w:rsidRPr="000E5786">
        <w:rPr>
          <w:rFonts w:cs="Arial"/>
          <w:szCs w:val="20"/>
        </w:rPr>
        <w:t xml:space="preserve"> make any changes to the Software which require it to be aggregated with or operated in conjunction with any Open Source other than the OSS.</w:t>
      </w:r>
      <w:bookmarkEnd w:id="635"/>
    </w:p>
    <w:p w14:paraId="0C6CCDF8" w14:textId="0F2B8782" w:rsidR="0048699F" w:rsidRPr="000E5786" w:rsidRDefault="0048699F" w:rsidP="00DD60F0">
      <w:pPr>
        <w:pStyle w:val="Heading2"/>
        <w:spacing w:after="120"/>
        <w:rPr>
          <w:rFonts w:cs="Arial"/>
          <w:szCs w:val="20"/>
        </w:rPr>
      </w:pPr>
      <w:bookmarkStart w:id="636" w:name="_Ref53585219"/>
      <w:r w:rsidRPr="000E5786">
        <w:rPr>
          <w:rFonts w:cs="Arial"/>
          <w:szCs w:val="20"/>
        </w:rPr>
        <w:t xml:space="preserve">The Supplier warrants that the OSS is licensed upon terms which permit the use of such Open Source by the Supplier,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and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’s end users for all purposes contemplated by this Agreement.</w:t>
      </w:r>
      <w:bookmarkEnd w:id="636"/>
    </w:p>
    <w:p w14:paraId="452652F9" w14:textId="7260B946" w:rsidR="0048699F" w:rsidRPr="000E5786" w:rsidRDefault="0048699F" w:rsidP="00DD60F0">
      <w:pPr>
        <w:pStyle w:val="Heading2"/>
        <w:spacing w:after="120"/>
        <w:rPr>
          <w:rFonts w:cs="Arial"/>
          <w:szCs w:val="20"/>
        </w:rPr>
      </w:pPr>
      <w:bookmarkStart w:id="637" w:name="_Ref53585220"/>
      <w:r w:rsidRPr="000E5786">
        <w:rPr>
          <w:rFonts w:cs="Arial"/>
          <w:szCs w:val="20"/>
        </w:rPr>
        <w:t xml:space="preserve">The Supplier agrees that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at its sole discretion publish as Open Source all or part of the Specially Written Software and the Project Specific IPRs on or after the Operational Service Commencement Date.</w:t>
      </w:r>
      <w:bookmarkEnd w:id="637"/>
    </w:p>
    <w:p w14:paraId="6A49F6EB" w14:textId="40FAEA2B" w:rsidR="0048699F" w:rsidRPr="000E5786" w:rsidRDefault="0048699F" w:rsidP="00DD60F0">
      <w:pPr>
        <w:pStyle w:val="Heading2"/>
        <w:spacing w:after="120"/>
        <w:rPr>
          <w:rFonts w:cs="Arial"/>
          <w:szCs w:val="20"/>
        </w:rPr>
      </w:pPr>
      <w:bookmarkStart w:id="638" w:name="_Ref53585221"/>
      <w:r w:rsidRPr="000E5786">
        <w:rPr>
          <w:rFonts w:cs="Arial"/>
          <w:szCs w:val="20"/>
        </w:rPr>
        <w:t>The Supplier hereby warrant that the Specially Written Software and the Project Specific IPRs:</w:t>
      </w:r>
      <w:bookmarkEnd w:id="638"/>
    </w:p>
    <w:p w14:paraId="329274C2" w14:textId="14B165EB" w:rsidR="0048699F" w:rsidRPr="000E5786" w:rsidRDefault="0048699F" w:rsidP="00346A37">
      <w:pPr>
        <w:pStyle w:val="Heading3"/>
      </w:pPr>
      <w:bookmarkStart w:id="639" w:name="_Ref53585222"/>
      <w:r w:rsidRPr="000E5786">
        <w:t xml:space="preserve">are suitable for release as Open Source and that any release will not allow a third party to use the Open Source to in any way compromise the operation, running or security of the Specially Written Software, the Project Specific IPRs or the </w:t>
      </w:r>
      <w:proofErr w:type="spellStart"/>
      <w:r w:rsidR="001F1C19">
        <w:t>Netlink</w:t>
      </w:r>
      <w:proofErr w:type="spellEnd"/>
      <w:r w:rsidR="001F1C19">
        <w:t xml:space="preserve"> Star</w:t>
      </w:r>
      <w:r w:rsidRPr="000E5786">
        <w:t xml:space="preserve"> </w:t>
      </w:r>
      <w:proofErr w:type="gramStart"/>
      <w:r w:rsidRPr="000E5786">
        <w:t>System;</w:t>
      </w:r>
      <w:bookmarkEnd w:id="639"/>
      <w:proofErr w:type="gramEnd"/>
    </w:p>
    <w:p w14:paraId="3795F2B8" w14:textId="7D9334CA" w:rsidR="0048699F" w:rsidRPr="000E5786" w:rsidRDefault="0048699F" w:rsidP="00346A37">
      <w:pPr>
        <w:pStyle w:val="Heading3"/>
      </w:pPr>
      <w:bookmarkStart w:id="640" w:name="_Ref53585223"/>
      <w:r w:rsidRPr="000E5786">
        <w:t xml:space="preserve">shall not cause any harm or damage to any party using anything published as Open Source and that the Specially Written Software and the Project Specific IPRs do not contain any Malicious </w:t>
      </w:r>
      <w:proofErr w:type="gramStart"/>
      <w:r w:rsidRPr="000E5786">
        <w:t>Software;</w:t>
      </w:r>
      <w:bookmarkEnd w:id="640"/>
      <w:proofErr w:type="gramEnd"/>
    </w:p>
    <w:p w14:paraId="0E8D582F" w14:textId="5F8A6897" w:rsidR="0048699F" w:rsidRPr="000E5786" w:rsidRDefault="0048699F" w:rsidP="00346A37">
      <w:pPr>
        <w:pStyle w:val="Heading3"/>
      </w:pPr>
      <w:bookmarkStart w:id="641" w:name="_Ref53585224"/>
      <w:r w:rsidRPr="000E5786">
        <w:t xml:space="preserve">do not contain any material which would bring </w:t>
      </w:r>
      <w:proofErr w:type="spellStart"/>
      <w:r w:rsidR="001F1C19">
        <w:t>Netlink</w:t>
      </w:r>
      <w:proofErr w:type="spellEnd"/>
      <w:r w:rsidR="001F1C19">
        <w:t xml:space="preserve"> Star</w:t>
      </w:r>
      <w:r w:rsidRPr="000E5786">
        <w:t xml:space="preserve"> into disrepute upon publication as Open </w:t>
      </w:r>
      <w:proofErr w:type="gramStart"/>
      <w:r w:rsidRPr="000E5786">
        <w:t>Source;</w:t>
      </w:r>
      <w:bookmarkEnd w:id="641"/>
      <w:proofErr w:type="gramEnd"/>
    </w:p>
    <w:p w14:paraId="5F7CC6A8" w14:textId="7B791104" w:rsidR="0048699F" w:rsidRPr="000E5786" w:rsidRDefault="0048699F" w:rsidP="00346A37">
      <w:pPr>
        <w:pStyle w:val="Heading3"/>
      </w:pPr>
      <w:bookmarkStart w:id="642" w:name="_Ref53585225"/>
      <w:r w:rsidRPr="000E5786">
        <w:t>do not contain any IPR owned or claimed to be owned by any third party which is found, or alleged to be found, in the Specially Written Software and the Project Specific IPRs (“</w:t>
      </w:r>
      <w:r w:rsidRPr="000E5786">
        <w:rPr>
          <w:b/>
        </w:rPr>
        <w:t>Non-Party IPRs</w:t>
      </w:r>
      <w:r w:rsidRPr="000E5786">
        <w:t>”); and</w:t>
      </w:r>
      <w:bookmarkEnd w:id="642"/>
    </w:p>
    <w:p w14:paraId="50DE1517" w14:textId="45CB0551" w:rsidR="0048699F" w:rsidRPr="000E5786" w:rsidRDefault="0048699F" w:rsidP="00346A37">
      <w:pPr>
        <w:pStyle w:val="Heading3"/>
      </w:pPr>
      <w:bookmarkStart w:id="643" w:name="_Ref53585226"/>
      <w:r w:rsidRPr="000E5786">
        <w:t xml:space="preserve">will be supplied in a format suitable for publication as Open Source (the </w:t>
      </w:r>
      <w:r w:rsidRPr="000E5786">
        <w:rPr>
          <w:b/>
        </w:rPr>
        <w:t>“</w:t>
      </w:r>
      <w:proofErr w:type="gramStart"/>
      <w:r w:rsidRPr="000E5786">
        <w:rPr>
          <w:b/>
        </w:rPr>
        <w:t>Open Source</w:t>
      </w:r>
      <w:proofErr w:type="gramEnd"/>
      <w:r w:rsidRPr="000E5786">
        <w:rPr>
          <w:b/>
        </w:rPr>
        <w:t xml:space="preserve"> Publication Material”</w:t>
      </w:r>
      <w:r w:rsidRPr="000E5786">
        <w:t xml:space="preserve">) no later than the date specified in clause </w:t>
      </w:r>
      <w:r w:rsidR="00F10FE3" w:rsidRPr="000E5786">
        <w:fldChar w:fldCharType="begin"/>
      </w:r>
      <w:r w:rsidR="00F10FE3" w:rsidRPr="000E5786">
        <w:instrText xml:space="preserve">  REF _Ref53585220 \w \h \* MERGEFORMAT </w:instrText>
      </w:r>
      <w:r w:rsidR="00F10FE3" w:rsidRPr="000E5786">
        <w:fldChar w:fldCharType="separate"/>
      </w:r>
      <w:r w:rsidR="002523A8" w:rsidRPr="000E5786">
        <w:t>21.4</w:t>
      </w:r>
      <w:r w:rsidR="00F10FE3" w:rsidRPr="000E5786">
        <w:fldChar w:fldCharType="end"/>
      </w:r>
      <w:r w:rsidRPr="000E5786">
        <w:t>.</w:t>
      </w:r>
      <w:bookmarkEnd w:id="643"/>
    </w:p>
    <w:p w14:paraId="72DBE912" w14:textId="25D86AA7" w:rsidR="0048699F" w:rsidRPr="000E5786" w:rsidRDefault="0048699F" w:rsidP="00DD60F0">
      <w:pPr>
        <w:pStyle w:val="Heading2"/>
        <w:spacing w:after="120"/>
        <w:rPr>
          <w:rFonts w:cs="Arial"/>
          <w:szCs w:val="20"/>
        </w:rPr>
      </w:pPr>
      <w:bookmarkStart w:id="644" w:name="_Ref53585227"/>
      <w:r w:rsidRPr="000E5786">
        <w:rPr>
          <w:rFonts w:cs="Arial"/>
          <w:szCs w:val="20"/>
        </w:rPr>
        <w:t xml:space="preserve">The Supplier shall ensure that the </w:t>
      </w:r>
      <w:proofErr w:type="gramStart"/>
      <w:r w:rsidRPr="000E5786">
        <w:rPr>
          <w:rFonts w:cs="Arial"/>
          <w:szCs w:val="20"/>
        </w:rPr>
        <w:t>Open Source</w:t>
      </w:r>
      <w:proofErr w:type="gramEnd"/>
      <w:r w:rsidRPr="000E5786">
        <w:rPr>
          <w:rFonts w:cs="Arial"/>
          <w:szCs w:val="20"/>
        </w:rPr>
        <w:t xml:space="preserve"> Publication Material provided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does not include any Supplier Background IPRs save that any Supplier Background IPRs that the Supplier is willing to allow to be included in any Open Source publication can remain in the Open Source Publication Material supplied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such a case, the Supplier hereby acknowledges that any such Supplier Background IPRs will become Open Source and will be licensed and treated as such following publication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and any third party that uses the </w:t>
      </w:r>
      <w:proofErr w:type="gramStart"/>
      <w:r w:rsidRPr="000E5786">
        <w:rPr>
          <w:rFonts w:cs="Arial"/>
          <w:szCs w:val="20"/>
        </w:rPr>
        <w:t>Open Source</w:t>
      </w:r>
      <w:proofErr w:type="gramEnd"/>
      <w:r w:rsidRPr="000E5786">
        <w:rPr>
          <w:rFonts w:cs="Arial"/>
          <w:szCs w:val="20"/>
        </w:rPr>
        <w:t xml:space="preserve"> Publication Material on the terms of the Open Source licence used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when publishing as Open Source.</w:t>
      </w:r>
      <w:bookmarkEnd w:id="644"/>
    </w:p>
    <w:p w14:paraId="79894FF2" w14:textId="4C20DF6A" w:rsidR="0048699F" w:rsidRPr="000E5786" w:rsidRDefault="0048699F" w:rsidP="00DD60F0">
      <w:pPr>
        <w:pStyle w:val="Heading2"/>
        <w:spacing w:after="120"/>
        <w:rPr>
          <w:rFonts w:cs="Arial"/>
          <w:szCs w:val="20"/>
        </w:rPr>
      </w:pPr>
      <w:bookmarkStart w:id="645" w:name="_Ref53585228"/>
      <w:r w:rsidRPr="000E5786">
        <w:rPr>
          <w:rFonts w:cs="Arial"/>
          <w:szCs w:val="20"/>
        </w:rPr>
        <w:t xml:space="preserve">The Supplier herby indemnifies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against all claims in which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is, or is threatened to be, a party for any alleged infringement of any Non-Party IPRs arising from publication of the Specially Written Software and the Project Specific IPRs as Open Source under clause </w:t>
      </w:r>
      <w:r w:rsidR="00F10FE3" w:rsidRPr="000E5786">
        <w:rPr>
          <w:rFonts w:cs="Arial"/>
          <w:szCs w:val="20"/>
        </w:rPr>
        <w:fldChar w:fldCharType="begin"/>
      </w:r>
      <w:r w:rsidR="00F10FE3" w:rsidRPr="000E5786">
        <w:rPr>
          <w:rFonts w:cs="Arial"/>
          <w:szCs w:val="20"/>
        </w:rPr>
        <w:instrText xml:space="preserve">  REF _Ref53585220 \w \h \* MERGEFORMAT </w:instrText>
      </w:r>
      <w:r w:rsidR="00F10FE3" w:rsidRPr="000E5786">
        <w:rPr>
          <w:rFonts w:cs="Arial"/>
          <w:szCs w:val="20"/>
        </w:rPr>
      </w:r>
      <w:r w:rsidR="00F10FE3" w:rsidRPr="000E5786">
        <w:rPr>
          <w:rFonts w:cs="Arial"/>
          <w:szCs w:val="20"/>
        </w:rPr>
        <w:fldChar w:fldCharType="separate"/>
      </w:r>
      <w:r w:rsidR="002523A8" w:rsidRPr="000E5786">
        <w:rPr>
          <w:rFonts w:cs="Arial"/>
          <w:szCs w:val="20"/>
        </w:rPr>
        <w:t>21.4</w:t>
      </w:r>
      <w:r w:rsidR="00F10FE3" w:rsidRPr="000E5786">
        <w:rPr>
          <w:rFonts w:cs="Arial"/>
          <w:szCs w:val="20"/>
        </w:rPr>
        <w:fldChar w:fldCharType="end"/>
      </w:r>
      <w:r w:rsidRPr="000E5786">
        <w:rPr>
          <w:rFonts w:cs="Arial"/>
          <w:szCs w:val="20"/>
        </w:rPr>
        <w:t>.</w:t>
      </w:r>
      <w:bookmarkEnd w:id="645"/>
    </w:p>
    <w:p w14:paraId="6DD60403" w14:textId="357E458E" w:rsidR="0048699F" w:rsidRPr="000E5786" w:rsidRDefault="0048699F" w:rsidP="00DD60F0">
      <w:pPr>
        <w:pStyle w:val="Heading1"/>
        <w:spacing w:after="120"/>
        <w:rPr>
          <w:rFonts w:cs="Arial"/>
          <w:szCs w:val="20"/>
        </w:rPr>
      </w:pPr>
      <w:bookmarkStart w:id="646" w:name="_Ref53585233"/>
      <w:bookmarkStart w:id="647" w:name="_Ref53585720"/>
      <w:bookmarkStart w:id="648" w:name="_Toc71198946"/>
      <w:r w:rsidRPr="000E5786">
        <w:rPr>
          <w:rFonts w:cs="Arial"/>
          <w:szCs w:val="20"/>
        </w:rPr>
        <w:lastRenderedPageBreak/>
        <w:t>IPRs INDEMNITY</w:t>
      </w:r>
      <w:bookmarkEnd w:id="646"/>
      <w:bookmarkEnd w:id="647"/>
      <w:bookmarkEnd w:id="648"/>
    </w:p>
    <w:p w14:paraId="4664DC0E" w14:textId="048A192A" w:rsidR="0048699F" w:rsidRPr="000E5786" w:rsidRDefault="0048699F" w:rsidP="00DD60F0">
      <w:pPr>
        <w:pStyle w:val="Heading2"/>
        <w:spacing w:after="120"/>
        <w:rPr>
          <w:rFonts w:cs="Arial"/>
          <w:szCs w:val="20"/>
        </w:rPr>
      </w:pPr>
      <w:bookmarkStart w:id="649" w:name="_Ref53585234"/>
      <w:r w:rsidRPr="000E5786">
        <w:rPr>
          <w:rFonts w:cs="Arial"/>
          <w:szCs w:val="20"/>
        </w:rPr>
        <w:t xml:space="preserve">The Supplier </w:t>
      </w:r>
      <w:proofErr w:type="gramStart"/>
      <w:r w:rsidRPr="000E5786">
        <w:rPr>
          <w:rFonts w:cs="Arial"/>
          <w:szCs w:val="20"/>
        </w:rPr>
        <w:t>shall at all times</w:t>
      </w:r>
      <w:proofErr w:type="gramEnd"/>
      <w:r w:rsidRPr="000E5786">
        <w:rPr>
          <w:rFonts w:cs="Arial"/>
          <w:szCs w:val="20"/>
        </w:rPr>
        <w:t xml:space="preserve">, during and after the Term, on written demand indemnify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and each other Indemnified Person, and keep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and each other Indemnified Person indemnified, against all Losses incurred by, awarded against or agreed to be paid by an Indemnified Person arising from an IPRs Claim.</w:t>
      </w:r>
      <w:bookmarkEnd w:id="649"/>
    </w:p>
    <w:p w14:paraId="265ACD65" w14:textId="6DBD52F9" w:rsidR="0048699F" w:rsidRPr="000E5786" w:rsidRDefault="0048699F" w:rsidP="00DD60F0">
      <w:pPr>
        <w:pStyle w:val="Heading2"/>
        <w:spacing w:after="120"/>
        <w:rPr>
          <w:rFonts w:cs="Arial"/>
          <w:szCs w:val="20"/>
        </w:rPr>
      </w:pPr>
      <w:bookmarkStart w:id="650" w:name="_Ref53585235"/>
      <w:r w:rsidRPr="000E5786">
        <w:rPr>
          <w:rFonts w:cs="Arial"/>
          <w:szCs w:val="20"/>
        </w:rPr>
        <w:t>If an IPRs Claim is made, or the Supplier anticipates that an IPRs Claim might be made, the Supplier may, at its own expense and sole option, either:</w:t>
      </w:r>
      <w:bookmarkEnd w:id="650"/>
    </w:p>
    <w:p w14:paraId="04865A09" w14:textId="3AA8998E" w:rsidR="0048699F" w:rsidRPr="000E5786" w:rsidRDefault="0048699F" w:rsidP="00346A37">
      <w:pPr>
        <w:pStyle w:val="Heading3"/>
      </w:pPr>
      <w:bookmarkStart w:id="651" w:name="_Ref53585236"/>
      <w:r w:rsidRPr="000E5786">
        <w:t xml:space="preserve">procure for </w:t>
      </w:r>
      <w:proofErr w:type="spellStart"/>
      <w:r w:rsidR="001F1C19">
        <w:t>Netlink</w:t>
      </w:r>
      <w:proofErr w:type="spellEnd"/>
      <w:r w:rsidR="001F1C19">
        <w:t xml:space="preserve"> Star</w:t>
      </w:r>
      <w:r w:rsidRPr="000E5786">
        <w:t xml:space="preserve"> or other relevant Indemnified Person the right to continue using the relevant item which is subject to the IPRs Claim; or</w:t>
      </w:r>
      <w:bookmarkEnd w:id="651"/>
    </w:p>
    <w:p w14:paraId="3138C38B" w14:textId="439761D9" w:rsidR="0048699F" w:rsidRPr="000E5786" w:rsidRDefault="0048699F" w:rsidP="00346A37">
      <w:pPr>
        <w:pStyle w:val="Heading3"/>
      </w:pPr>
      <w:bookmarkStart w:id="652" w:name="_Ref53585237"/>
      <w:r w:rsidRPr="000E5786">
        <w:t>replace or modify the relevant item with non-infringing substitutes provided that:</w:t>
      </w:r>
      <w:bookmarkEnd w:id="652"/>
    </w:p>
    <w:p w14:paraId="69B26EC8" w14:textId="127840E2" w:rsidR="0048699F" w:rsidRPr="000E5786" w:rsidRDefault="0048699F" w:rsidP="00834C1A">
      <w:pPr>
        <w:pStyle w:val="Heading4"/>
        <w:tabs>
          <w:tab w:val="clear" w:pos="1702"/>
          <w:tab w:val="num" w:pos="2552"/>
        </w:tabs>
        <w:spacing w:after="120"/>
        <w:ind w:left="2410"/>
        <w:rPr>
          <w:rFonts w:cs="Arial"/>
          <w:szCs w:val="20"/>
        </w:rPr>
      </w:pPr>
      <w:bookmarkStart w:id="653" w:name="_Ref53585238"/>
      <w:r w:rsidRPr="000E5786">
        <w:rPr>
          <w:rFonts w:cs="Arial"/>
          <w:szCs w:val="20"/>
        </w:rPr>
        <w:t xml:space="preserve">the performance and functionality of the replaced or modified item is at least equivalent to the performance and functionality of the original </w:t>
      </w:r>
      <w:proofErr w:type="gramStart"/>
      <w:r w:rsidRPr="000E5786">
        <w:rPr>
          <w:rFonts w:cs="Arial"/>
          <w:szCs w:val="20"/>
        </w:rPr>
        <w:t>item;</w:t>
      </w:r>
      <w:bookmarkEnd w:id="653"/>
      <w:proofErr w:type="gramEnd"/>
    </w:p>
    <w:p w14:paraId="7D50CCD6" w14:textId="5E616AAD" w:rsidR="0048699F" w:rsidRPr="000E5786" w:rsidRDefault="0048699F" w:rsidP="00834C1A">
      <w:pPr>
        <w:pStyle w:val="Heading4"/>
        <w:tabs>
          <w:tab w:val="clear" w:pos="1702"/>
          <w:tab w:val="num" w:pos="2552"/>
        </w:tabs>
        <w:spacing w:after="120"/>
        <w:ind w:left="2410"/>
        <w:rPr>
          <w:rFonts w:cs="Arial"/>
          <w:szCs w:val="20"/>
        </w:rPr>
      </w:pPr>
      <w:bookmarkStart w:id="654" w:name="_Ref53585239"/>
      <w:proofErr w:type="spellStart"/>
      <w:r w:rsidRPr="000E5786">
        <w:rPr>
          <w:rFonts w:cs="Arial"/>
          <w:szCs w:val="20"/>
        </w:rPr>
        <w:t>the</w:t>
      </w:r>
      <w:proofErr w:type="spellEnd"/>
      <w:r w:rsidRPr="000E5786">
        <w:rPr>
          <w:rFonts w:cs="Arial"/>
          <w:szCs w:val="20"/>
        </w:rPr>
        <w:t xml:space="preserve"> replaced or modified item does not have an adverse effect on any other services or the IT </w:t>
      </w:r>
      <w:proofErr w:type="gramStart"/>
      <w:r w:rsidRPr="000E5786">
        <w:rPr>
          <w:rFonts w:cs="Arial"/>
          <w:szCs w:val="20"/>
        </w:rPr>
        <w:t>Environment;</w:t>
      </w:r>
      <w:bookmarkEnd w:id="654"/>
      <w:proofErr w:type="gramEnd"/>
    </w:p>
    <w:p w14:paraId="1FCF3A4F" w14:textId="6C1CCBA8" w:rsidR="0048699F" w:rsidRPr="000E5786" w:rsidRDefault="0048699F" w:rsidP="00834C1A">
      <w:pPr>
        <w:pStyle w:val="Heading4"/>
        <w:tabs>
          <w:tab w:val="clear" w:pos="1702"/>
          <w:tab w:val="num" w:pos="2552"/>
        </w:tabs>
        <w:spacing w:after="120"/>
        <w:ind w:left="2410"/>
        <w:rPr>
          <w:rFonts w:cs="Arial"/>
          <w:szCs w:val="20"/>
        </w:rPr>
      </w:pPr>
      <w:bookmarkStart w:id="655" w:name="_Ref53585240"/>
      <w:r w:rsidRPr="000E5786">
        <w:rPr>
          <w:rFonts w:cs="Arial"/>
          <w:szCs w:val="20"/>
        </w:rPr>
        <w:t xml:space="preserve">there is no additional cost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or relevant Indemnified Person (as the case may be); and</w:t>
      </w:r>
      <w:bookmarkEnd w:id="655"/>
    </w:p>
    <w:p w14:paraId="6BFCB93F" w14:textId="3AF782D2" w:rsidR="0048699F" w:rsidRPr="000E5786" w:rsidRDefault="0048699F" w:rsidP="00834C1A">
      <w:pPr>
        <w:pStyle w:val="Heading4"/>
        <w:tabs>
          <w:tab w:val="clear" w:pos="1702"/>
          <w:tab w:val="num" w:pos="2552"/>
        </w:tabs>
        <w:spacing w:after="120"/>
        <w:ind w:left="2410"/>
        <w:rPr>
          <w:rFonts w:cs="Arial"/>
          <w:szCs w:val="20"/>
        </w:rPr>
      </w:pPr>
      <w:bookmarkStart w:id="656" w:name="_Ref53585241"/>
      <w:r w:rsidRPr="000E5786">
        <w:rPr>
          <w:rFonts w:cs="Arial"/>
          <w:szCs w:val="20"/>
        </w:rPr>
        <w:t>the terms and conditions of this Agreement shall apply to the replaced or modified Services.</w:t>
      </w:r>
      <w:bookmarkEnd w:id="656"/>
    </w:p>
    <w:p w14:paraId="595B89D7" w14:textId="28450062" w:rsidR="0048699F" w:rsidRPr="000E5786" w:rsidRDefault="0048699F" w:rsidP="00DD60F0">
      <w:pPr>
        <w:pStyle w:val="Heading2"/>
        <w:spacing w:after="120"/>
        <w:rPr>
          <w:rFonts w:cs="Arial"/>
          <w:szCs w:val="20"/>
        </w:rPr>
      </w:pPr>
      <w:bookmarkStart w:id="657" w:name="_Ref53585242"/>
      <w:r w:rsidRPr="000E5786">
        <w:rPr>
          <w:rFonts w:cs="Arial"/>
          <w:szCs w:val="20"/>
        </w:rPr>
        <w:t xml:space="preserve">If the Supplier elects to procure a licence in accordance with clause </w:t>
      </w:r>
      <w:r w:rsidR="00F10FE3" w:rsidRPr="000E5786">
        <w:rPr>
          <w:rFonts w:cs="Arial"/>
          <w:szCs w:val="20"/>
        </w:rPr>
        <w:fldChar w:fldCharType="begin"/>
      </w:r>
      <w:r w:rsidR="00F10FE3" w:rsidRPr="000E5786">
        <w:rPr>
          <w:rFonts w:cs="Arial"/>
          <w:szCs w:val="20"/>
        </w:rPr>
        <w:instrText xml:space="preserve">  REF _Ref53585236 \w \h \* MERGEFORMAT </w:instrText>
      </w:r>
      <w:r w:rsidR="00F10FE3" w:rsidRPr="000E5786">
        <w:rPr>
          <w:rFonts w:cs="Arial"/>
          <w:szCs w:val="20"/>
        </w:rPr>
      </w:r>
      <w:r w:rsidR="00F10FE3" w:rsidRPr="000E5786">
        <w:rPr>
          <w:rFonts w:cs="Arial"/>
          <w:szCs w:val="20"/>
        </w:rPr>
        <w:fldChar w:fldCharType="separate"/>
      </w:r>
      <w:r w:rsidR="002523A8" w:rsidRPr="000E5786">
        <w:rPr>
          <w:rFonts w:cs="Arial"/>
          <w:szCs w:val="20"/>
        </w:rPr>
        <w:t>22.2.1</w:t>
      </w:r>
      <w:r w:rsidR="00F10FE3" w:rsidRPr="000E5786">
        <w:rPr>
          <w:rFonts w:cs="Arial"/>
          <w:szCs w:val="20"/>
        </w:rPr>
        <w:fldChar w:fldCharType="end"/>
      </w:r>
      <w:r w:rsidRPr="000E5786">
        <w:rPr>
          <w:rFonts w:cs="Arial"/>
          <w:szCs w:val="20"/>
        </w:rPr>
        <w:t xml:space="preserve"> or to modify or replace an item pursuant to clause </w:t>
      </w:r>
      <w:r w:rsidR="00F10FE3" w:rsidRPr="000E5786">
        <w:rPr>
          <w:rFonts w:cs="Arial"/>
          <w:szCs w:val="20"/>
        </w:rPr>
        <w:fldChar w:fldCharType="begin"/>
      </w:r>
      <w:r w:rsidR="00F10FE3" w:rsidRPr="000E5786">
        <w:rPr>
          <w:rFonts w:cs="Arial"/>
          <w:szCs w:val="20"/>
        </w:rPr>
        <w:instrText xml:space="preserve">  REF _Ref53585237 \w \h \* MERGEFORMAT </w:instrText>
      </w:r>
      <w:r w:rsidR="00F10FE3" w:rsidRPr="000E5786">
        <w:rPr>
          <w:rFonts w:cs="Arial"/>
          <w:szCs w:val="20"/>
        </w:rPr>
      </w:r>
      <w:r w:rsidR="00F10FE3" w:rsidRPr="000E5786">
        <w:rPr>
          <w:rFonts w:cs="Arial"/>
          <w:szCs w:val="20"/>
        </w:rPr>
        <w:fldChar w:fldCharType="separate"/>
      </w:r>
      <w:r w:rsidR="002523A8" w:rsidRPr="000E5786">
        <w:rPr>
          <w:rFonts w:cs="Arial"/>
          <w:szCs w:val="20"/>
        </w:rPr>
        <w:t>22.2.2</w:t>
      </w:r>
      <w:r w:rsidR="00F10FE3" w:rsidRPr="000E5786">
        <w:rPr>
          <w:rFonts w:cs="Arial"/>
          <w:szCs w:val="20"/>
        </w:rPr>
        <w:fldChar w:fldCharType="end"/>
      </w:r>
      <w:r w:rsidRPr="000E5786">
        <w:rPr>
          <w:rFonts w:cs="Arial"/>
          <w:szCs w:val="20"/>
        </w:rPr>
        <w:t>, but this has not avoided or resolved the IPRs Claim, then:</w:t>
      </w:r>
      <w:bookmarkEnd w:id="657"/>
    </w:p>
    <w:p w14:paraId="27C3E2EF" w14:textId="59F0DDC4" w:rsidR="0048699F" w:rsidRPr="000E5786" w:rsidRDefault="001F1C19" w:rsidP="00346A37">
      <w:pPr>
        <w:pStyle w:val="Heading3"/>
      </w:pPr>
      <w:bookmarkStart w:id="658" w:name="_Ref53585243"/>
      <w:proofErr w:type="spellStart"/>
      <w:r>
        <w:t>Netlink</w:t>
      </w:r>
      <w:proofErr w:type="spellEnd"/>
      <w:r>
        <w:t xml:space="preserve"> Star</w:t>
      </w:r>
      <w:r w:rsidR="0048699F" w:rsidRPr="000E5786">
        <w:t xml:space="preserve"> may terminate this Agreement (if subsisting) with immediate effect by written notice to the Supplier; and</w:t>
      </w:r>
      <w:bookmarkEnd w:id="658"/>
    </w:p>
    <w:p w14:paraId="20E5BEE5" w14:textId="6D1D2BDA" w:rsidR="0048699F" w:rsidRPr="000E5786" w:rsidRDefault="0048699F" w:rsidP="00346A37">
      <w:pPr>
        <w:pStyle w:val="Heading3"/>
      </w:pPr>
      <w:bookmarkStart w:id="659" w:name="_Ref53585244"/>
      <w:r w:rsidRPr="000E5786">
        <w:t xml:space="preserve">without prejudice to the indemnity set out in clause </w:t>
      </w:r>
      <w:r w:rsidR="00F10FE3" w:rsidRPr="000E5786">
        <w:fldChar w:fldCharType="begin"/>
      </w:r>
      <w:r w:rsidR="00F10FE3" w:rsidRPr="000E5786">
        <w:instrText xml:space="preserve">  REF _Ref53585234 \w \h \* MERGEFORMAT </w:instrText>
      </w:r>
      <w:r w:rsidR="00F10FE3" w:rsidRPr="000E5786">
        <w:fldChar w:fldCharType="separate"/>
      </w:r>
      <w:r w:rsidR="002523A8" w:rsidRPr="000E5786">
        <w:t>22.1</w:t>
      </w:r>
      <w:r w:rsidR="00F10FE3" w:rsidRPr="000E5786">
        <w:fldChar w:fldCharType="end"/>
      </w:r>
      <w:r w:rsidRPr="000E5786">
        <w:t>, the Supplier shall be liable for all reasonable and unavoidable costs of the substitute items and/or services including the additional costs of procuring, implementing and maintaining the substitute items.</w:t>
      </w:r>
      <w:bookmarkEnd w:id="659"/>
    </w:p>
    <w:p w14:paraId="28D92964" w14:textId="22A55956" w:rsidR="0048699F" w:rsidRPr="000E5786" w:rsidRDefault="001F1C19" w:rsidP="00DD60F0">
      <w:pPr>
        <w:pStyle w:val="Heading1"/>
        <w:spacing w:after="120"/>
        <w:rPr>
          <w:rFonts w:cs="Arial"/>
          <w:szCs w:val="20"/>
        </w:rPr>
      </w:pPr>
      <w:bookmarkStart w:id="660" w:name="_Ref53585245"/>
      <w:bookmarkStart w:id="661" w:name="_Ref53585721"/>
      <w:bookmarkStart w:id="662" w:name="_Toc71198947"/>
      <w:r>
        <w:rPr>
          <w:rFonts w:cs="Arial"/>
          <w:szCs w:val="20"/>
        </w:rPr>
        <w:t>NETLINK STAR</w:t>
      </w:r>
      <w:r w:rsidR="0048699F" w:rsidRPr="000E5786">
        <w:rPr>
          <w:rFonts w:cs="Arial"/>
          <w:szCs w:val="20"/>
        </w:rPr>
        <w:t xml:space="preserve"> DATA AND SECURITY REQUIREMENTS</w:t>
      </w:r>
      <w:bookmarkEnd w:id="660"/>
      <w:bookmarkEnd w:id="661"/>
      <w:bookmarkEnd w:id="662"/>
    </w:p>
    <w:p w14:paraId="2E159EC5" w14:textId="5038468A" w:rsidR="0048699F" w:rsidRPr="000E5786" w:rsidRDefault="0048699F" w:rsidP="00DD60F0">
      <w:pPr>
        <w:pStyle w:val="Heading2"/>
        <w:spacing w:after="120"/>
        <w:rPr>
          <w:rFonts w:cs="Arial"/>
          <w:szCs w:val="20"/>
        </w:rPr>
      </w:pPr>
      <w:bookmarkStart w:id="663" w:name="_Ref53585246"/>
      <w:r w:rsidRPr="000E5786">
        <w:rPr>
          <w:rFonts w:cs="Arial"/>
          <w:szCs w:val="20"/>
        </w:rPr>
        <w:t xml:space="preserve">The Supplier shall not delete or remove any proprietary notices contained within or relating to the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Data.</w:t>
      </w:r>
      <w:bookmarkEnd w:id="663"/>
    </w:p>
    <w:p w14:paraId="0E78C350" w14:textId="2FE2C856" w:rsidR="0048699F" w:rsidRPr="000E5786" w:rsidRDefault="0048699F" w:rsidP="00DD60F0">
      <w:pPr>
        <w:pStyle w:val="Heading2"/>
        <w:spacing w:after="120"/>
        <w:rPr>
          <w:rFonts w:cs="Arial"/>
          <w:szCs w:val="20"/>
        </w:rPr>
      </w:pPr>
      <w:bookmarkStart w:id="664" w:name="_Ref53585247"/>
      <w:r w:rsidRPr="000E5786">
        <w:rPr>
          <w:rFonts w:cs="Arial"/>
          <w:szCs w:val="20"/>
        </w:rPr>
        <w:t xml:space="preserve">The Supplier shall not store, copy, disclose, or use the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Data except as necessary for the performance by the Supplier of its obligations under this Agreement or as otherwise expressly authorised in writing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w:t>
      </w:r>
      <w:bookmarkEnd w:id="664"/>
    </w:p>
    <w:p w14:paraId="49E97C13" w14:textId="7AB78E73" w:rsidR="0048699F" w:rsidRPr="000E5786" w:rsidRDefault="0048699F" w:rsidP="00DD60F0">
      <w:pPr>
        <w:pStyle w:val="Heading2"/>
        <w:spacing w:after="120"/>
        <w:rPr>
          <w:rFonts w:cs="Arial"/>
          <w:szCs w:val="20"/>
        </w:rPr>
      </w:pPr>
      <w:bookmarkStart w:id="665" w:name="_Ref53585248"/>
      <w:r w:rsidRPr="000E5786">
        <w:rPr>
          <w:rFonts w:cs="Arial"/>
          <w:szCs w:val="20"/>
        </w:rPr>
        <w:t xml:space="preserve">To the extent that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Data is held and/or processed by the Supplier, the Supplier shall supply that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Data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as requested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the format specified in </w:t>
      </w:r>
      <w:bookmarkStart w:id="666" w:name="DocXTextRef275"/>
      <w:r w:rsidRPr="000E5786">
        <w:rPr>
          <w:rFonts w:cs="Arial"/>
          <w:szCs w:val="20"/>
        </w:rPr>
        <w:t>Schedule 2.1</w:t>
      </w:r>
      <w:bookmarkEnd w:id="666"/>
      <w:r w:rsidRPr="000E5786">
        <w:rPr>
          <w:rFonts w:cs="Arial"/>
          <w:szCs w:val="20"/>
        </w:rPr>
        <w:t xml:space="preserve"> (Services Description).</w:t>
      </w:r>
      <w:bookmarkEnd w:id="665"/>
    </w:p>
    <w:p w14:paraId="1D49BE98" w14:textId="54EAD778" w:rsidR="0048699F" w:rsidRPr="000E5786" w:rsidRDefault="0048699F" w:rsidP="00DD60F0">
      <w:pPr>
        <w:pStyle w:val="Heading2"/>
        <w:spacing w:after="120"/>
        <w:rPr>
          <w:rFonts w:cs="Arial"/>
          <w:szCs w:val="20"/>
        </w:rPr>
      </w:pPr>
      <w:bookmarkStart w:id="667" w:name="_Ref53585249"/>
      <w:r w:rsidRPr="000E5786">
        <w:rPr>
          <w:rFonts w:cs="Arial"/>
          <w:szCs w:val="20"/>
        </w:rPr>
        <w:t xml:space="preserve">The Supplier shall preserve the integrity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Data and </w:t>
      </w:r>
      <w:proofErr w:type="gramStart"/>
      <w:r w:rsidRPr="000E5786">
        <w:rPr>
          <w:rFonts w:cs="Arial"/>
          <w:szCs w:val="20"/>
        </w:rPr>
        <w:t xml:space="preserve">prevent the corruption or loss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Data at all times</w:t>
      </w:r>
      <w:proofErr w:type="gramEnd"/>
      <w:r w:rsidRPr="000E5786">
        <w:rPr>
          <w:rFonts w:cs="Arial"/>
          <w:szCs w:val="20"/>
        </w:rPr>
        <w:t xml:space="preserve"> that the relevant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Data is under its control or the control of any Sub-contractor.</w:t>
      </w:r>
      <w:bookmarkEnd w:id="667"/>
    </w:p>
    <w:p w14:paraId="312190F5" w14:textId="7D3C019D" w:rsidR="0048699F" w:rsidRPr="000E5786" w:rsidRDefault="0048699F" w:rsidP="00DD60F0">
      <w:pPr>
        <w:pStyle w:val="Heading2"/>
        <w:spacing w:after="120"/>
        <w:rPr>
          <w:rFonts w:cs="Arial"/>
          <w:szCs w:val="20"/>
        </w:rPr>
      </w:pPr>
      <w:bookmarkStart w:id="668" w:name="_Ref53585250"/>
      <w:r w:rsidRPr="000E5786">
        <w:rPr>
          <w:rFonts w:cs="Arial"/>
          <w:szCs w:val="20"/>
        </w:rPr>
        <w:t xml:space="preserve">The Supplier shall perform secure back-ups of all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Data and shall ensure that up-to-date back-ups are stored off-site in accordance with the BC and ITSC Plans.</w:t>
      </w:r>
      <w:r w:rsidR="000578A4" w:rsidRPr="000E5786">
        <w:rPr>
          <w:rFonts w:cs="Arial"/>
          <w:szCs w:val="20"/>
        </w:rPr>
        <w:t xml:space="preserve"> </w:t>
      </w:r>
      <w:r w:rsidRPr="000E5786">
        <w:rPr>
          <w:rFonts w:cs="Arial"/>
          <w:szCs w:val="20"/>
        </w:rPr>
        <w:t xml:space="preserve">The Supplier shall ensure that such back-ups are available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(or to such other person as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w:t>
      </w:r>
      <w:proofErr w:type="gramStart"/>
      <w:r w:rsidRPr="000E5786">
        <w:rPr>
          <w:rFonts w:cs="Arial"/>
          <w:szCs w:val="20"/>
        </w:rPr>
        <w:t>direct) at all times</w:t>
      </w:r>
      <w:proofErr w:type="gramEnd"/>
      <w:r w:rsidRPr="000E5786">
        <w:rPr>
          <w:rFonts w:cs="Arial"/>
          <w:szCs w:val="20"/>
        </w:rPr>
        <w:t xml:space="preserve"> upon request and are delivered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at no less</w:t>
      </w:r>
      <w:r w:rsidR="00C8255A" w:rsidRPr="000E5786">
        <w:rPr>
          <w:rFonts w:cs="Arial"/>
          <w:szCs w:val="20"/>
        </w:rPr>
        <w:t xml:space="preserve"> </w:t>
      </w:r>
      <w:r w:rsidRPr="000E5786">
        <w:rPr>
          <w:rFonts w:cs="Arial"/>
          <w:szCs w:val="20"/>
        </w:rPr>
        <w:t>than six (6) monthly intervals (or such other intervals as may be agreed in writing between the Parties).</w:t>
      </w:r>
      <w:bookmarkEnd w:id="668"/>
    </w:p>
    <w:p w14:paraId="6FC2C245" w14:textId="4B8C125E" w:rsidR="0048699F" w:rsidRPr="000E5786" w:rsidRDefault="0048699F" w:rsidP="00DD60F0">
      <w:pPr>
        <w:pStyle w:val="Heading2"/>
        <w:spacing w:after="120"/>
        <w:rPr>
          <w:rFonts w:cs="Arial"/>
          <w:szCs w:val="20"/>
        </w:rPr>
      </w:pPr>
      <w:bookmarkStart w:id="669" w:name="_Ref53585251"/>
      <w:r w:rsidRPr="000E5786">
        <w:rPr>
          <w:rFonts w:cs="Arial"/>
          <w:szCs w:val="20"/>
        </w:rPr>
        <w:t xml:space="preserve">The Supplier shall ensure that any system on which the Supplier holds any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Data, including back-up data, is a secure system that complies with the Security Requirements.</w:t>
      </w:r>
      <w:bookmarkEnd w:id="669"/>
    </w:p>
    <w:p w14:paraId="1DA3C4E8" w14:textId="02DC6CA0" w:rsidR="0048699F" w:rsidRPr="000E5786" w:rsidRDefault="0048699F" w:rsidP="00DD60F0">
      <w:pPr>
        <w:pStyle w:val="Heading2"/>
        <w:spacing w:after="120"/>
        <w:rPr>
          <w:rFonts w:cs="Arial"/>
          <w:szCs w:val="20"/>
        </w:rPr>
      </w:pPr>
      <w:bookmarkStart w:id="670" w:name="_Ref53585252"/>
      <w:r w:rsidRPr="000E5786">
        <w:rPr>
          <w:rFonts w:cs="Arial"/>
          <w:szCs w:val="20"/>
        </w:rPr>
        <w:t xml:space="preserve">If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Data is corrupted, lost or sufficiently degraded </w:t>
      </w:r>
      <w:proofErr w:type="gramStart"/>
      <w:r w:rsidRPr="000E5786">
        <w:rPr>
          <w:rFonts w:cs="Arial"/>
          <w:szCs w:val="20"/>
        </w:rPr>
        <w:t>as a result of</w:t>
      </w:r>
      <w:proofErr w:type="gramEnd"/>
      <w:r w:rsidRPr="000E5786">
        <w:rPr>
          <w:rFonts w:cs="Arial"/>
          <w:szCs w:val="20"/>
        </w:rPr>
        <w:t xml:space="preserve"> the Supplier’s Default so as to be unusable,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w:t>
      </w:r>
      <w:bookmarkEnd w:id="670"/>
    </w:p>
    <w:p w14:paraId="2EC5CB3A" w14:textId="11BC4E80" w:rsidR="0048699F" w:rsidRPr="000E5786" w:rsidRDefault="0048699F" w:rsidP="00346A37">
      <w:pPr>
        <w:pStyle w:val="Heading3"/>
      </w:pPr>
      <w:bookmarkStart w:id="671" w:name="_Ref53585253"/>
      <w:r w:rsidRPr="000E5786">
        <w:t xml:space="preserve">require the Supplier (at the Supplier’s expense) to restore or procure the restoration of </w:t>
      </w:r>
      <w:proofErr w:type="spellStart"/>
      <w:r w:rsidR="001F1C19">
        <w:t>Netlink</w:t>
      </w:r>
      <w:proofErr w:type="spellEnd"/>
      <w:r w:rsidR="001F1C19">
        <w:t xml:space="preserve"> Star</w:t>
      </w:r>
      <w:r w:rsidRPr="000E5786">
        <w:t xml:space="preserve"> Data to the extent and in accordance with the requirements specified </w:t>
      </w:r>
      <w:r w:rsidRPr="000E5786">
        <w:lastRenderedPageBreak/>
        <w:t xml:space="preserve">in </w:t>
      </w:r>
      <w:bookmarkStart w:id="672" w:name="DocXTextRef277"/>
      <w:r w:rsidRPr="000E5786">
        <w:t>Schedule 8.6</w:t>
      </w:r>
      <w:bookmarkEnd w:id="672"/>
      <w:r w:rsidRPr="000E5786">
        <w:t xml:space="preserve"> (Business Continuity and IT Service Continuity) and the Supplier shall do so as soon as practicable but not later than five </w:t>
      </w:r>
      <w:bookmarkStart w:id="673" w:name="DocXTextRef276"/>
      <w:r w:rsidRPr="000E5786">
        <w:t>(5)</w:t>
      </w:r>
      <w:bookmarkEnd w:id="673"/>
      <w:r w:rsidRPr="000E5786">
        <w:t xml:space="preserve"> Working Days from the date of receipt of </w:t>
      </w:r>
      <w:proofErr w:type="spellStart"/>
      <w:r w:rsidR="001F1C19">
        <w:t>Netlink</w:t>
      </w:r>
      <w:proofErr w:type="spellEnd"/>
      <w:r w:rsidR="001F1C19">
        <w:t xml:space="preserve"> Star</w:t>
      </w:r>
      <w:r w:rsidRPr="000E5786">
        <w:t>’s notice; and/or</w:t>
      </w:r>
      <w:bookmarkEnd w:id="671"/>
    </w:p>
    <w:p w14:paraId="75124CD4" w14:textId="18E2CD7A" w:rsidR="0048699F" w:rsidRPr="000E5786" w:rsidRDefault="0048699F" w:rsidP="00346A37">
      <w:pPr>
        <w:pStyle w:val="Heading3"/>
      </w:pPr>
      <w:bookmarkStart w:id="674" w:name="_Ref53585254"/>
      <w:r w:rsidRPr="000E5786">
        <w:t xml:space="preserve">itself restore or procure the restoration of </w:t>
      </w:r>
      <w:proofErr w:type="spellStart"/>
      <w:r w:rsidR="001F1C19">
        <w:t>Netlink</w:t>
      </w:r>
      <w:proofErr w:type="spellEnd"/>
      <w:r w:rsidR="001F1C19">
        <w:t xml:space="preserve"> Star</w:t>
      </w:r>
      <w:r w:rsidRPr="000E5786">
        <w:t xml:space="preserve"> </w:t>
      </w:r>
      <w:proofErr w:type="gramStart"/>
      <w:r w:rsidRPr="000E5786">
        <w:t>Data, and</w:t>
      </w:r>
      <w:proofErr w:type="gramEnd"/>
      <w:r w:rsidRPr="000E5786">
        <w:t xml:space="preserve"> shall be repaid by the Supplier any reasonable expenses incurred in doing so to the extent and in accordance with the requirements specified in </w:t>
      </w:r>
      <w:bookmarkStart w:id="675" w:name="DocXTextRef278"/>
      <w:r w:rsidRPr="000E5786">
        <w:t>Schedule 8.6</w:t>
      </w:r>
      <w:bookmarkEnd w:id="675"/>
      <w:r w:rsidRPr="000E5786">
        <w:t xml:space="preserve"> (Business Continuity and IT Service Continuity).</w:t>
      </w:r>
      <w:bookmarkEnd w:id="674"/>
    </w:p>
    <w:p w14:paraId="5A1A5C45" w14:textId="7B68DAC1" w:rsidR="0048699F" w:rsidRPr="000E5786" w:rsidRDefault="0048699F" w:rsidP="00DD60F0">
      <w:pPr>
        <w:pStyle w:val="Heading2"/>
        <w:spacing w:after="120"/>
        <w:rPr>
          <w:rFonts w:cs="Arial"/>
          <w:szCs w:val="20"/>
        </w:rPr>
      </w:pPr>
      <w:bookmarkStart w:id="676" w:name="_Ref53585255"/>
      <w:r w:rsidRPr="000E5786">
        <w:rPr>
          <w:rFonts w:cs="Arial"/>
          <w:szCs w:val="20"/>
        </w:rPr>
        <w:t xml:space="preserve">If at any time the Supplier suspects or has reason to believe that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Data has or may become corrupted, </w:t>
      </w:r>
      <w:proofErr w:type="gramStart"/>
      <w:r w:rsidRPr="000E5786">
        <w:rPr>
          <w:rFonts w:cs="Arial"/>
          <w:szCs w:val="20"/>
        </w:rPr>
        <w:t>lost</w:t>
      </w:r>
      <w:proofErr w:type="gramEnd"/>
      <w:r w:rsidRPr="000E5786">
        <w:rPr>
          <w:rFonts w:cs="Arial"/>
          <w:szCs w:val="20"/>
        </w:rPr>
        <w:t xml:space="preserve"> or sufficiently degraded in any way for any reason, then the Supplier shall notify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immediately and inform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of the remedial action the Supplier proposes to take.</w:t>
      </w:r>
      <w:bookmarkEnd w:id="676"/>
    </w:p>
    <w:p w14:paraId="4052BBA0" w14:textId="222B6842" w:rsidR="0048699F" w:rsidRPr="000E5786" w:rsidRDefault="0048699F" w:rsidP="00DD60F0">
      <w:pPr>
        <w:pStyle w:val="Heading2"/>
        <w:spacing w:after="120"/>
        <w:rPr>
          <w:rFonts w:cs="Arial"/>
          <w:szCs w:val="20"/>
        </w:rPr>
      </w:pPr>
      <w:bookmarkStart w:id="677" w:name="_Ref53585256"/>
      <w:r w:rsidRPr="000E5786">
        <w:rPr>
          <w:rFonts w:cs="Arial"/>
          <w:szCs w:val="20"/>
        </w:rPr>
        <w:t xml:space="preserve">The Supplier shall comply with the requirements of </w:t>
      </w:r>
      <w:bookmarkStart w:id="678" w:name="DocXTextRef279"/>
      <w:r w:rsidRPr="000E5786">
        <w:rPr>
          <w:rFonts w:cs="Arial"/>
          <w:szCs w:val="20"/>
        </w:rPr>
        <w:t>Schedule 2.</w:t>
      </w:r>
      <w:bookmarkEnd w:id="678"/>
      <w:r w:rsidR="008446F2">
        <w:rPr>
          <w:rFonts w:cs="Arial"/>
          <w:szCs w:val="20"/>
        </w:rPr>
        <w:t>6</w:t>
      </w:r>
      <w:r w:rsidRPr="000E5786">
        <w:rPr>
          <w:rFonts w:cs="Arial"/>
          <w:szCs w:val="20"/>
        </w:rPr>
        <w:t xml:space="preserve"> (Security Management).</w:t>
      </w:r>
      <w:bookmarkEnd w:id="677"/>
    </w:p>
    <w:p w14:paraId="40F4CCEE" w14:textId="1ED5C781" w:rsidR="0048699F" w:rsidRPr="000E5786" w:rsidRDefault="001F1C19" w:rsidP="00DD60F0">
      <w:pPr>
        <w:pStyle w:val="Heading2"/>
        <w:spacing w:after="120"/>
        <w:rPr>
          <w:rFonts w:cs="Arial"/>
          <w:szCs w:val="20"/>
        </w:rPr>
      </w:pPr>
      <w:bookmarkStart w:id="679" w:name="_Ref53585257"/>
      <w:proofErr w:type="spellStart"/>
      <w:r>
        <w:rPr>
          <w:rFonts w:cs="Arial"/>
          <w:szCs w:val="20"/>
        </w:rPr>
        <w:t>Netlink</w:t>
      </w:r>
      <w:proofErr w:type="spellEnd"/>
      <w:r>
        <w:rPr>
          <w:rFonts w:cs="Arial"/>
          <w:szCs w:val="20"/>
        </w:rPr>
        <w:t xml:space="preserve"> Star</w:t>
      </w:r>
      <w:r w:rsidR="0048699F" w:rsidRPr="000E5786">
        <w:rPr>
          <w:rFonts w:cs="Arial"/>
          <w:szCs w:val="20"/>
        </w:rPr>
        <w:t xml:space="preserve"> shall notify the Supplier of any changes or proposed changes to the Baseline Security Requirements.</w:t>
      </w:r>
      <w:bookmarkEnd w:id="679"/>
    </w:p>
    <w:p w14:paraId="0A669E35" w14:textId="6CA9CBC1" w:rsidR="0048699F" w:rsidRPr="000E5786" w:rsidRDefault="0048699F" w:rsidP="00DD60F0">
      <w:pPr>
        <w:pStyle w:val="Heading2"/>
        <w:spacing w:after="120"/>
        <w:rPr>
          <w:rFonts w:cs="Arial"/>
          <w:szCs w:val="20"/>
        </w:rPr>
      </w:pPr>
      <w:bookmarkStart w:id="680" w:name="_Ref53585258"/>
      <w:r w:rsidRPr="000E5786">
        <w:rPr>
          <w:rFonts w:cs="Arial"/>
          <w:szCs w:val="20"/>
        </w:rPr>
        <w:t xml:space="preserve">If the Supplier believes that a change or proposed change to the Baseline Security Requirements will have a material and unavoidable cost implication to the </w:t>
      </w:r>
      <w:proofErr w:type="gramStart"/>
      <w:r w:rsidRPr="000E5786">
        <w:rPr>
          <w:rFonts w:cs="Arial"/>
          <w:szCs w:val="20"/>
        </w:rPr>
        <w:t>Services</w:t>
      </w:r>
      <w:proofErr w:type="gramEnd"/>
      <w:r w:rsidRPr="000E5786">
        <w:rPr>
          <w:rFonts w:cs="Arial"/>
          <w:szCs w:val="20"/>
        </w:rPr>
        <w:t xml:space="preserve"> it may submit a Change Request.</w:t>
      </w:r>
      <w:r w:rsidR="000578A4" w:rsidRPr="000E5786">
        <w:rPr>
          <w:rFonts w:cs="Arial"/>
          <w:szCs w:val="20"/>
        </w:rPr>
        <w:t xml:space="preserve"> </w:t>
      </w:r>
      <w:r w:rsidRPr="000E5786">
        <w:rPr>
          <w:rFonts w:cs="Arial"/>
          <w:szCs w:val="20"/>
        </w:rPr>
        <w:t>In doing so, the Supplier must support its request by providing evidence of the cause of any increased costs and the steps that it has taken to mitigate those costs.</w:t>
      </w:r>
      <w:r w:rsidR="000578A4" w:rsidRPr="000E5786">
        <w:rPr>
          <w:rFonts w:cs="Arial"/>
          <w:szCs w:val="20"/>
        </w:rPr>
        <w:t xml:space="preserve"> </w:t>
      </w:r>
      <w:r w:rsidRPr="000E5786">
        <w:rPr>
          <w:rFonts w:cs="Arial"/>
          <w:szCs w:val="20"/>
        </w:rPr>
        <w:t>Any change to the Charges shall then be agreed in accordance with the Change Control Procedure.</w:t>
      </w:r>
      <w:bookmarkEnd w:id="680"/>
    </w:p>
    <w:p w14:paraId="1DCFFF45" w14:textId="135BA314" w:rsidR="0048699F" w:rsidRPr="000E5786" w:rsidRDefault="0048699F" w:rsidP="00DD60F0">
      <w:pPr>
        <w:pStyle w:val="Heading2"/>
        <w:spacing w:after="120"/>
        <w:rPr>
          <w:rFonts w:cs="Arial"/>
          <w:szCs w:val="20"/>
        </w:rPr>
      </w:pPr>
      <w:bookmarkStart w:id="681" w:name="_Ref53585259"/>
      <w:r w:rsidRPr="000E5786">
        <w:rPr>
          <w:rFonts w:cs="Arial"/>
          <w:szCs w:val="20"/>
        </w:rPr>
        <w:t xml:space="preserve">At any time prior to or during the Term, the Supplier acknowledges and agrees that it may be subject to assessment of its organisational security arrangements in any relevant jurisdiction being used to process any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Data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’s Data Protection Officer.</w:t>
      </w:r>
      <w:bookmarkEnd w:id="681"/>
    </w:p>
    <w:p w14:paraId="4F80AD64" w14:textId="100FEE69" w:rsidR="0048699F" w:rsidRPr="000E5786" w:rsidRDefault="0048699F" w:rsidP="00CE5734">
      <w:pPr>
        <w:pStyle w:val="BodyText"/>
        <w:spacing w:after="120"/>
        <w:ind w:left="709" w:firstLine="0"/>
        <w:rPr>
          <w:rFonts w:cs="Arial"/>
          <w:szCs w:val="20"/>
          <w:u w:val="single"/>
        </w:rPr>
      </w:pPr>
      <w:r w:rsidRPr="000E5786">
        <w:rPr>
          <w:rFonts w:cs="Arial"/>
          <w:szCs w:val="20"/>
          <w:u w:val="single"/>
        </w:rPr>
        <w:t>Malicious Software</w:t>
      </w:r>
    </w:p>
    <w:p w14:paraId="1688BF6E" w14:textId="186F69B7" w:rsidR="0048699F" w:rsidRPr="000E5786" w:rsidRDefault="0048699F" w:rsidP="00DD60F0">
      <w:pPr>
        <w:pStyle w:val="Heading2"/>
        <w:spacing w:after="120"/>
        <w:rPr>
          <w:rFonts w:cs="Arial"/>
          <w:szCs w:val="20"/>
        </w:rPr>
      </w:pPr>
      <w:bookmarkStart w:id="682" w:name="_Ref53585260"/>
      <w:r w:rsidRPr="000E5786">
        <w:rPr>
          <w:rFonts w:cs="Arial"/>
          <w:szCs w:val="20"/>
        </w:rPr>
        <w:t xml:space="preserve">The Supplier shall, as an enduring obligation throughout the Term, use the latest versions of anti-virus definitions and </w:t>
      </w:r>
      <w:r w:rsidR="00905B46" w:rsidRPr="00C0214D">
        <w:rPr>
          <w:rFonts w:eastAsia="Verdana" w:cs="Arial"/>
          <w:bCs w:val="0"/>
          <w:szCs w:val="20"/>
        </w:rPr>
        <w:t xml:space="preserve">currently supported </w:t>
      </w:r>
      <w:r w:rsidRPr="000E5786">
        <w:rPr>
          <w:rFonts w:cs="Arial"/>
          <w:szCs w:val="20"/>
        </w:rPr>
        <w:t>software available from an industry accepted anti-virus software vendor (unless otherwise agreed in writing between the Parties) to check for, contain the spread of, and minimise the impact of Malicious Software in the IT Environment (or as otherwise agreed by the Parties).</w:t>
      </w:r>
      <w:bookmarkEnd w:id="682"/>
    </w:p>
    <w:p w14:paraId="17249A3B" w14:textId="6A761F8D" w:rsidR="0048699F" w:rsidRPr="000E5786" w:rsidRDefault="0048699F" w:rsidP="00DD60F0">
      <w:pPr>
        <w:pStyle w:val="Heading2"/>
        <w:spacing w:after="120"/>
        <w:rPr>
          <w:rFonts w:cs="Arial"/>
          <w:szCs w:val="20"/>
        </w:rPr>
      </w:pPr>
      <w:bookmarkStart w:id="683" w:name="_Ref53585261"/>
      <w:r w:rsidRPr="000E5786">
        <w:rPr>
          <w:rFonts w:cs="Arial"/>
          <w:szCs w:val="20"/>
        </w:rPr>
        <w:t xml:space="preserve">Notwithstanding clause </w:t>
      </w:r>
      <w:r w:rsidR="00F10FE3" w:rsidRPr="000E5786">
        <w:rPr>
          <w:rFonts w:cs="Arial"/>
          <w:szCs w:val="20"/>
        </w:rPr>
        <w:fldChar w:fldCharType="begin"/>
      </w:r>
      <w:r w:rsidR="00F10FE3" w:rsidRPr="000E5786">
        <w:rPr>
          <w:rFonts w:cs="Arial"/>
          <w:szCs w:val="20"/>
        </w:rPr>
        <w:instrText xml:space="preserve">  REF _Ref53585260 \w \h \* MERGEFORMAT </w:instrText>
      </w:r>
      <w:r w:rsidR="00F10FE3" w:rsidRPr="000E5786">
        <w:rPr>
          <w:rFonts w:cs="Arial"/>
          <w:szCs w:val="20"/>
        </w:rPr>
      </w:r>
      <w:r w:rsidR="00F10FE3" w:rsidRPr="000E5786">
        <w:rPr>
          <w:rFonts w:cs="Arial"/>
          <w:szCs w:val="20"/>
        </w:rPr>
        <w:fldChar w:fldCharType="separate"/>
      </w:r>
      <w:r w:rsidR="002523A8" w:rsidRPr="000E5786">
        <w:rPr>
          <w:rFonts w:cs="Arial"/>
          <w:szCs w:val="20"/>
        </w:rPr>
        <w:t>23.13</w:t>
      </w:r>
      <w:r w:rsidR="00F10FE3" w:rsidRPr="000E5786">
        <w:rPr>
          <w:rFonts w:cs="Arial"/>
          <w:szCs w:val="20"/>
        </w:rPr>
        <w:fldChar w:fldCharType="end"/>
      </w:r>
      <w:r w:rsidRPr="000E5786">
        <w:rPr>
          <w:rFonts w:cs="Arial"/>
          <w:szCs w:val="20"/>
        </w:rPr>
        <w:t xml:space="preserve">, if Malicious Software is found, the Parties shall cooperate to reduce the effect of the Malicious Software and, particularly if Malicious Software causes loss of operational efficiency or loss or corruption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Data, assist each other to mitigate any Losses and to restore the Services to their desired operating efficiency.</w:t>
      </w:r>
      <w:bookmarkEnd w:id="683"/>
    </w:p>
    <w:p w14:paraId="723D96E8" w14:textId="36B5B84A" w:rsidR="0048699F" w:rsidRPr="000E5786" w:rsidRDefault="0048699F" w:rsidP="00DD60F0">
      <w:pPr>
        <w:pStyle w:val="Heading2"/>
        <w:spacing w:after="120"/>
        <w:rPr>
          <w:rFonts w:cs="Arial"/>
          <w:szCs w:val="20"/>
        </w:rPr>
      </w:pPr>
      <w:bookmarkStart w:id="684" w:name="_Ref53585262"/>
      <w:r w:rsidRPr="000E5786">
        <w:rPr>
          <w:rFonts w:cs="Arial"/>
          <w:szCs w:val="20"/>
        </w:rPr>
        <w:t xml:space="preserve">Any cost arising out of the actions of the Parties taken in compliance with the provisions of clause </w:t>
      </w:r>
      <w:r w:rsidR="00F10FE3" w:rsidRPr="000E5786">
        <w:rPr>
          <w:rFonts w:cs="Arial"/>
          <w:szCs w:val="20"/>
        </w:rPr>
        <w:fldChar w:fldCharType="begin"/>
      </w:r>
      <w:r w:rsidR="00F10FE3" w:rsidRPr="000E5786">
        <w:rPr>
          <w:rFonts w:cs="Arial"/>
          <w:szCs w:val="20"/>
        </w:rPr>
        <w:instrText xml:space="preserve">  REF _Ref53585261 \w \h \* MERGEFORMAT </w:instrText>
      </w:r>
      <w:r w:rsidR="00F10FE3" w:rsidRPr="000E5786">
        <w:rPr>
          <w:rFonts w:cs="Arial"/>
          <w:szCs w:val="20"/>
        </w:rPr>
      </w:r>
      <w:r w:rsidR="00F10FE3" w:rsidRPr="000E5786">
        <w:rPr>
          <w:rFonts w:cs="Arial"/>
          <w:szCs w:val="20"/>
        </w:rPr>
        <w:fldChar w:fldCharType="separate"/>
      </w:r>
      <w:r w:rsidR="002523A8" w:rsidRPr="000E5786">
        <w:rPr>
          <w:rFonts w:cs="Arial"/>
          <w:szCs w:val="20"/>
        </w:rPr>
        <w:t>23.14</w:t>
      </w:r>
      <w:r w:rsidR="00F10FE3" w:rsidRPr="000E5786">
        <w:rPr>
          <w:rFonts w:cs="Arial"/>
          <w:szCs w:val="20"/>
        </w:rPr>
        <w:fldChar w:fldCharType="end"/>
      </w:r>
      <w:r w:rsidRPr="000E5786">
        <w:rPr>
          <w:rFonts w:cs="Arial"/>
          <w:szCs w:val="20"/>
        </w:rPr>
        <w:t xml:space="preserve"> shall be borne by the Parties as follows:</w:t>
      </w:r>
      <w:bookmarkEnd w:id="684"/>
    </w:p>
    <w:p w14:paraId="259C2CF4" w14:textId="040C0F28" w:rsidR="0048699F" w:rsidRPr="000E5786" w:rsidRDefault="0048699F" w:rsidP="00346A37">
      <w:pPr>
        <w:pStyle w:val="Heading3"/>
      </w:pPr>
      <w:bookmarkStart w:id="685" w:name="_Ref53585263"/>
      <w:r w:rsidRPr="000E5786">
        <w:t>by the Supplier where the Malicious Software originates from the Supplier Software, the Third Party Software supplied by the Supplier (except where</w:t>
      </w:r>
      <w:r w:rsidR="00CB0107" w:rsidRPr="000E5786">
        <w:t xml:space="preserve"> </w:t>
      </w:r>
      <w:proofErr w:type="spellStart"/>
      <w:r w:rsidR="001F1C19">
        <w:t>Netlink</w:t>
      </w:r>
      <w:proofErr w:type="spellEnd"/>
      <w:r w:rsidR="001F1C19">
        <w:t xml:space="preserve"> Star</w:t>
      </w:r>
      <w:r w:rsidRPr="000E5786">
        <w:t xml:space="preserve"> has waived the obligation set out in clause </w:t>
      </w:r>
      <w:r w:rsidR="00562600" w:rsidRPr="000E5786">
        <w:fldChar w:fldCharType="begin"/>
      </w:r>
      <w:r w:rsidR="00562600" w:rsidRPr="000E5786">
        <w:instrText xml:space="preserve">  REF _Ref53585260 \w \h \* MERGEFORMAT </w:instrText>
      </w:r>
      <w:r w:rsidR="00562600" w:rsidRPr="000E5786">
        <w:fldChar w:fldCharType="separate"/>
      </w:r>
      <w:r w:rsidR="002523A8" w:rsidRPr="000E5786">
        <w:t>23.13</w:t>
      </w:r>
      <w:r w:rsidR="00562600" w:rsidRPr="000E5786">
        <w:fldChar w:fldCharType="end"/>
      </w:r>
      <w:r w:rsidRPr="000E5786">
        <w:t xml:space="preserve">) or </w:t>
      </w:r>
      <w:proofErr w:type="spellStart"/>
      <w:r w:rsidR="001F1C19">
        <w:t>Netlink</w:t>
      </w:r>
      <w:proofErr w:type="spellEnd"/>
      <w:r w:rsidR="001F1C19">
        <w:t xml:space="preserve"> Star</w:t>
      </w:r>
      <w:r w:rsidRPr="000E5786">
        <w:t xml:space="preserve"> Data (whilst the </w:t>
      </w:r>
      <w:proofErr w:type="spellStart"/>
      <w:r w:rsidR="001F1C19">
        <w:t>Netlink</w:t>
      </w:r>
      <w:proofErr w:type="spellEnd"/>
      <w:r w:rsidR="001F1C19">
        <w:t xml:space="preserve"> Star</w:t>
      </w:r>
      <w:r w:rsidRPr="000E5786">
        <w:t xml:space="preserve"> Data was under the control of the Supplier) unless the Supplier can demonstrate that such Malicious Software was present and not quarantined or otherwise identified by </w:t>
      </w:r>
      <w:proofErr w:type="spellStart"/>
      <w:r w:rsidR="001F1C19">
        <w:t>Netlink</w:t>
      </w:r>
      <w:proofErr w:type="spellEnd"/>
      <w:r w:rsidR="001F1C19">
        <w:t xml:space="preserve"> Star</w:t>
      </w:r>
      <w:r w:rsidRPr="000E5786">
        <w:t xml:space="preserve"> when provided to the Supplier; and</w:t>
      </w:r>
      <w:bookmarkEnd w:id="685"/>
    </w:p>
    <w:p w14:paraId="73754A61" w14:textId="4CC0803A" w:rsidR="0048699F" w:rsidRPr="000E5786" w:rsidRDefault="0048699F" w:rsidP="00346A37">
      <w:pPr>
        <w:pStyle w:val="Heading3"/>
      </w:pPr>
      <w:bookmarkStart w:id="686" w:name="_Ref53585264"/>
      <w:r w:rsidRPr="000E5786">
        <w:t xml:space="preserve">otherwise by </w:t>
      </w:r>
      <w:proofErr w:type="spellStart"/>
      <w:r w:rsidR="001F1C19">
        <w:t>Netlink</w:t>
      </w:r>
      <w:proofErr w:type="spellEnd"/>
      <w:r w:rsidR="001F1C19">
        <w:t xml:space="preserve"> Star</w:t>
      </w:r>
      <w:r w:rsidRPr="000E5786">
        <w:t>.</w:t>
      </w:r>
      <w:bookmarkEnd w:id="686"/>
    </w:p>
    <w:p w14:paraId="75B35EDA" w14:textId="7C3B0214" w:rsidR="0048699F" w:rsidRPr="000E5786" w:rsidRDefault="0048699F" w:rsidP="00CE5734">
      <w:pPr>
        <w:pStyle w:val="BodyText"/>
        <w:spacing w:after="120"/>
        <w:ind w:left="709" w:firstLine="0"/>
        <w:rPr>
          <w:rFonts w:cs="Arial"/>
          <w:szCs w:val="20"/>
          <w:u w:val="single"/>
        </w:rPr>
      </w:pPr>
      <w:r w:rsidRPr="000E5786">
        <w:rPr>
          <w:rFonts w:cs="Arial"/>
          <w:szCs w:val="20"/>
          <w:u w:val="single"/>
        </w:rPr>
        <w:t>Cyber Security</w:t>
      </w:r>
    </w:p>
    <w:p w14:paraId="7D4AB585" w14:textId="264B98F1" w:rsidR="0048699F" w:rsidRPr="000E5786" w:rsidRDefault="0048699F" w:rsidP="00DD60F0">
      <w:pPr>
        <w:pStyle w:val="Heading2"/>
        <w:spacing w:after="120"/>
        <w:rPr>
          <w:rFonts w:cs="Arial"/>
          <w:szCs w:val="20"/>
        </w:rPr>
      </w:pPr>
      <w:bookmarkStart w:id="687" w:name="_Ref53585265"/>
      <w:bookmarkStart w:id="688" w:name="_Hlk57572204"/>
      <w:r w:rsidRPr="000E5786">
        <w:rPr>
          <w:rFonts w:cs="Arial"/>
          <w:szCs w:val="20"/>
        </w:rPr>
        <w:t xml:space="preserve">The Supplier shall comply with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Security Policy </w:t>
      </w:r>
      <w:r w:rsidR="00A20CD5">
        <w:rPr>
          <w:rFonts w:eastAsia="Verdana" w:cs="Arial"/>
          <w:bCs w:val="0"/>
          <w:szCs w:val="20"/>
        </w:rPr>
        <w:t>–</w:t>
      </w:r>
      <w:r w:rsidR="00905B46" w:rsidRPr="00C0214D">
        <w:rPr>
          <w:rFonts w:eastAsia="Verdana" w:cs="Arial"/>
          <w:bCs w:val="0"/>
          <w:szCs w:val="20"/>
        </w:rPr>
        <w:t xml:space="preserve"> L1 Information Security Policy and L2 Security Manual Standard</w:t>
      </w:r>
      <w:r w:rsidRPr="000E5786">
        <w:rPr>
          <w:rFonts w:cs="Arial"/>
          <w:szCs w:val="20"/>
        </w:rPr>
        <w:t>.</w:t>
      </w:r>
      <w:bookmarkEnd w:id="687"/>
    </w:p>
    <w:p w14:paraId="3622B7E9" w14:textId="7D78C7D7" w:rsidR="0048699F" w:rsidRPr="000E5786" w:rsidRDefault="0048699F" w:rsidP="00DD60F0">
      <w:pPr>
        <w:pStyle w:val="Heading1"/>
        <w:spacing w:after="120"/>
        <w:rPr>
          <w:rFonts w:cs="Arial"/>
          <w:szCs w:val="20"/>
        </w:rPr>
      </w:pPr>
      <w:bookmarkStart w:id="689" w:name="_Ref53585266"/>
      <w:bookmarkStart w:id="690" w:name="_Ref53585722"/>
      <w:bookmarkStart w:id="691" w:name="_Toc71198948"/>
      <w:bookmarkEnd w:id="688"/>
      <w:r w:rsidRPr="000E5786">
        <w:rPr>
          <w:rFonts w:cs="Arial"/>
          <w:szCs w:val="20"/>
        </w:rPr>
        <w:t>CONFIDENTIALITY</w:t>
      </w:r>
      <w:bookmarkEnd w:id="689"/>
      <w:bookmarkEnd w:id="690"/>
      <w:bookmarkEnd w:id="691"/>
    </w:p>
    <w:p w14:paraId="6CF64494" w14:textId="5E4B08E7" w:rsidR="0048699F" w:rsidRPr="000E5786" w:rsidRDefault="0048699F" w:rsidP="00DD60F0">
      <w:pPr>
        <w:pStyle w:val="Heading2"/>
        <w:spacing w:after="120"/>
        <w:rPr>
          <w:rFonts w:cs="Arial"/>
          <w:szCs w:val="20"/>
        </w:rPr>
      </w:pPr>
      <w:bookmarkStart w:id="692" w:name="_Ref53585267"/>
      <w:r w:rsidRPr="000E5786">
        <w:rPr>
          <w:rFonts w:cs="Arial"/>
          <w:szCs w:val="20"/>
        </w:rPr>
        <w:t xml:space="preserve">For the purposes of this clause </w:t>
      </w:r>
      <w:r w:rsidR="00562600" w:rsidRPr="000E5786">
        <w:rPr>
          <w:rFonts w:cs="Arial"/>
          <w:szCs w:val="20"/>
        </w:rPr>
        <w:fldChar w:fldCharType="begin"/>
      </w:r>
      <w:r w:rsidR="00562600" w:rsidRPr="000E5786">
        <w:rPr>
          <w:rFonts w:cs="Arial"/>
          <w:szCs w:val="20"/>
        </w:rPr>
        <w:instrText xml:space="preserve">  REF _Ref53585722 \w \h \* MERGEFORMAT </w:instrText>
      </w:r>
      <w:r w:rsidR="00562600" w:rsidRPr="000E5786">
        <w:rPr>
          <w:rFonts w:cs="Arial"/>
          <w:szCs w:val="20"/>
        </w:rPr>
      </w:r>
      <w:r w:rsidR="00562600" w:rsidRPr="000E5786">
        <w:rPr>
          <w:rFonts w:cs="Arial"/>
          <w:szCs w:val="20"/>
        </w:rPr>
        <w:fldChar w:fldCharType="separate"/>
      </w:r>
      <w:r w:rsidR="002523A8" w:rsidRPr="000E5786">
        <w:rPr>
          <w:rFonts w:cs="Arial"/>
          <w:szCs w:val="20"/>
        </w:rPr>
        <w:t>24</w:t>
      </w:r>
      <w:r w:rsidR="00562600" w:rsidRPr="000E5786">
        <w:rPr>
          <w:rFonts w:cs="Arial"/>
          <w:szCs w:val="20"/>
        </w:rPr>
        <w:fldChar w:fldCharType="end"/>
      </w:r>
      <w:r w:rsidRPr="000E5786">
        <w:rPr>
          <w:rFonts w:cs="Arial"/>
          <w:szCs w:val="20"/>
        </w:rPr>
        <w:t>, the term “</w:t>
      </w:r>
      <w:r w:rsidRPr="000E5786">
        <w:rPr>
          <w:rFonts w:cs="Arial"/>
          <w:b/>
          <w:szCs w:val="20"/>
        </w:rPr>
        <w:t>Disclosing Party</w:t>
      </w:r>
      <w:r w:rsidRPr="000E5786">
        <w:rPr>
          <w:rFonts w:cs="Arial"/>
          <w:szCs w:val="20"/>
        </w:rPr>
        <w:t>” shall mean a Party which discloses or makes available directly or indirectly its Confidential Information and “</w:t>
      </w:r>
      <w:r w:rsidRPr="000E5786">
        <w:rPr>
          <w:rFonts w:cs="Arial"/>
          <w:b/>
          <w:szCs w:val="20"/>
        </w:rPr>
        <w:t>Recipient</w:t>
      </w:r>
      <w:r w:rsidRPr="000E5786">
        <w:rPr>
          <w:rFonts w:cs="Arial"/>
          <w:szCs w:val="20"/>
        </w:rPr>
        <w:t>” shall mean the Party which receives or obtains directly or indirectly Confidential Information.</w:t>
      </w:r>
      <w:bookmarkEnd w:id="692"/>
    </w:p>
    <w:p w14:paraId="3EB1C0ED" w14:textId="06F04A7D" w:rsidR="0048699F" w:rsidRPr="000E5786" w:rsidRDefault="0048699F" w:rsidP="00DD60F0">
      <w:pPr>
        <w:pStyle w:val="Heading2"/>
        <w:spacing w:after="120"/>
        <w:rPr>
          <w:rFonts w:cs="Arial"/>
          <w:szCs w:val="20"/>
        </w:rPr>
      </w:pPr>
      <w:bookmarkStart w:id="693" w:name="_Ref53585268"/>
      <w:r w:rsidRPr="000E5786">
        <w:rPr>
          <w:rFonts w:cs="Arial"/>
          <w:szCs w:val="20"/>
        </w:rPr>
        <w:t xml:space="preserve">Except to the extent set out in this clause </w:t>
      </w:r>
      <w:r w:rsidR="00562600" w:rsidRPr="000E5786">
        <w:rPr>
          <w:rFonts w:cs="Arial"/>
          <w:szCs w:val="20"/>
        </w:rPr>
        <w:fldChar w:fldCharType="begin"/>
      </w:r>
      <w:r w:rsidR="00562600" w:rsidRPr="000E5786">
        <w:rPr>
          <w:rFonts w:cs="Arial"/>
          <w:szCs w:val="20"/>
        </w:rPr>
        <w:instrText xml:space="preserve">  REF _Ref53585722 \w \h \* MERGEFORMAT </w:instrText>
      </w:r>
      <w:r w:rsidR="00562600" w:rsidRPr="000E5786">
        <w:rPr>
          <w:rFonts w:cs="Arial"/>
          <w:szCs w:val="20"/>
        </w:rPr>
      </w:r>
      <w:r w:rsidR="00562600" w:rsidRPr="000E5786">
        <w:rPr>
          <w:rFonts w:cs="Arial"/>
          <w:szCs w:val="20"/>
        </w:rPr>
        <w:fldChar w:fldCharType="separate"/>
      </w:r>
      <w:r w:rsidR="002523A8" w:rsidRPr="000E5786">
        <w:rPr>
          <w:rFonts w:cs="Arial"/>
          <w:szCs w:val="20"/>
        </w:rPr>
        <w:t>24</w:t>
      </w:r>
      <w:r w:rsidR="00562600" w:rsidRPr="000E5786">
        <w:rPr>
          <w:rFonts w:cs="Arial"/>
          <w:szCs w:val="20"/>
        </w:rPr>
        <w:fldChar w:fldCharType="end"/>
      </w:r>
      <w:r w:rsidRPr="000E5786">
        <w:rPr>
          <w:rFonts w:cs="Arial"/>
          <w:szCs w:val="20"/>
        </w:rPr>
        <w:t xml:space="preserve"> or where disclosure is expressly permitted elsewhere in this Agreement, the Recipient shall:</w:t>
      </w:r>
      <w:bookmarkEnd w:id="693"/>
    </w:p>
    <w:p w14:paraId="444311F3" w14:textId="6EC27116" w:rsidR="0048699F" w:rsidRPr="000E5786" w:rsidRDefault="0048699F" w:rsidP="00346A37">
      <w:pPr>
        <w:pStyle w:val="Heading3"/>
      </w:pPr>
      <w:bookmarkStart w:id="694" w:name="_Ref53585269"/>
      <w:r w:rsidRPr="000E5786">
        <w:lastRenderedPageBreak/>
        <w:t xml:space="preserve">treat the Disclosing Party’s Confidential Information as confidential and keep it in secure custody (which is appropriate depending upon the form in which such materials are </w:t>
      </w:r>
      <w:proofErr w:type="gramStart"/>
      <w:r w:rsidRPr="000E5786">
        <w:t>stored</w:t>
      </w:r>
      <w:proofErr w:type="gramEnd"/>
      <w:r w:rsidRPr="000E5786">
        <w:t xml:space="preserve"> and the nature of the Confidential Information contained in those materials);</w:t>
      </w:r>
      <w:bookmarkEnd w:id="694"/>
    </w:p>
    <w:p w14:paraId="5C14668D" w14:textId="1E1C1347" w:rsidR="0048699F" w:rsidRPr="000E5786" w:rsidRDefault="0048699F" w:rsidP="00346A37">
      <w:pPr>
        <w:pStyle w:val="Heading3"/>
      </w:pPr>
      <w:bookmarkStart w:id="695" w:name="_Ref53585270"/>
      <w:r w:rsidRPr="000E5786">
        <w:t xml:space="preserve">not disclose the Disclosing Party’s Confidential Information to any other person without obtaining the owner’s prior written </w:t>
      </w:r>
      <w:proofErr w:type="gramStart"/>
      <w:r w:rsidRPr="000E5786">
        <w:t>consent;</w:t>
      </w:r>
      <w:bookmarkEnd w:id="695"/>
      <w:proofErr w:type="gramEnd"/>
    </w:p>
    <w:p w14:paraId="15AF0FCF" w14:textId="74D39807" w:rsidR="0048699F" w:rsidRPr="000E5786" w:rsidRDefault="0048699F" w:rsidP="00346A37">
      <w:pPr>
        <w:pStyle w:val="Heading3"/>
      </w:pPr>
      <w:bookmarkStart w:id="696" w:name="_Ref53585271"/>
      <w:r w:rsidRPr="000E5786">
        <w:t>not use or exploit the Disclosing Party’s Confidential Information in any way except for the purposes anticipated under this Agreement; and</w:t>
      </w:r>
      <w:bookmarkEnd w:id="696"/>
    </w:p>
    <w:p w14:paraId="77FE30D8" w14:textId="79024B01" w:rsidR="0048699F" w:rsidRPr="000E5786" w:rsidRDefault="0048699F" w:rsidP="00346A37">
      <w:pPr>
        <w:pStyle w:val="Heading3"/>
      </w:pPr>
      <w:bookmarkStart w:id="697" w:name="_Ref53585272"/>
      <w:r w:rsidRPr="000E5786">
        <w:t>immediately notify the Disclosing Party if it suspects or becomes aware of any unauthorised access, copying, use or disclosure in any form of any of the Disclosing Party’s Confidential Information.</w:t>
      </w:r>
      <w:bookmarkEnd w:id="697"/>
    </w:p>
    <w:p w14:paraId="6DA4B498" w14:textId="5067A1C6" w:rsidR="0048699F" w:rsidRPr="000E5786" w:rsidRDefault="0048699F" w:rsidP="00DD60F0">
      <w:pPr>
        <w:pStyle w:val="Heading2"/>
        <w:spacing w:after="120"/>
        <w:rPr>
          <w:rFonts w:cs="Arial"/>
          <w:szCs w:val="20"/>
        </w:rPr>
      </w:pPr>
      <w:bookmarkStart w:id="698" w:name="_Ref53585273"/>
      <w:r w:rsidRPr="000E5786">
        <w:rPr>
          <w:rFonts w:cs="Arial"/>
          <w:szCs w:val="20"/>
        </w:rPr>
        <w:t>The Recipient shall be entitled to disclose the Confidential Information of the Disclosing Party where:</w:t>
      </w:r>
      <w:bookmarkEnd w:id="698"/>
    </w:p>
    <w:p w14:paraId="3F6EBBEA" w14:textId="3B924633" w:rsidR="0048699F" w:rsidRPr="000E5786" w:rsidRDefault="0048699F" w:rsidP="00346A37">
      <w:pPr>
        <w:pStyle w:val="Heading3"/>
      </w:pPr>
      <w:bookmarkStart w:id="699" w:name="_Ref53585274"/>
      <w:r w:rsidRPr="000E5786">
        <w:t>the Recipient is required to disclose the Confidential Information by Law,</w:t>
      </w:r>
      <w:r w:rsidR="00683EDB" w:rsidRPr="000E5786">
        <w:t xml:space="preserve"> </w:t>
      </w:r>
      <w:r w:rsidRPr="000E5786">
        <w:t xml:space="preserve">provided that clause </w:t>
      </w:r>
      <w:r w:rsidR="00562600" w:rsidRPr="000E5786">
        <w:fldChar w:fldCharType="begin"/>
      </w:r>
      <w:r w:rsidR="00562600" w:rsidRPr="000E5786">
        <w:instrText xml:space="preserve">  REF _Ref53585723 \w \h \* MERGEFORMAT </w:instrText>
      </w:r>
      <w:r w:rsidR="00562600" w:rsidRPr="000E5786">
        <w:fldChar w:fldCharType="separate"/>
      </w:r>
      <w:r w:rsidR="002523A8" w:rsidRPr="000E5786">
        <w:t>25</w:t>
      </w:r>
      <w:r w:rsidR="00562600" w:rsidRPr="000E5786">
        <w:fldChar w:fldCharType="end"/>
      </w:r>
      <w:r w:rsidRPr="000E5786">
        <w:t xml:space="preserve"> (Freedom of Information) shall apply to disclosures required under the FOIA or the </w:t>
      </w:r>
      <w:proofErr w:type="gramStart"/>
      <w:r w:rsidRPr="000E5786">
        <w:t>EIRs;</w:t>
      </w:r>
      <w:bookmarkEnd w:id="699"/>
      <w:proofErr w:type="gramEnd"/>
    </w:p>
    <w:p w14:paraId="162BE829" w14:textId="14189352" w:rsidR="0048699F" w:rsidRPr="000E5786" w:rsidRDefault="0048699F" w:rsidP="00346A37">
      <w:pPr>
        <w:pStyle w:val="Heading3"/>
      </w:pPr>
      <w:bookmarkStart w:id="700" w:name="_Ref53585275"/>
      <w:r w:rsidRPr="000E5786">
        <w:t>the need for such disclosure arises out of or in connection with:</w:t>
      </w:r>
      <w:bookmarkEnd w:id="700"/>
    </w:p>
    <w:p w14:paraId="2D7632CE" w14:textId="05147286" w:rsidR="0048699F" w:rsidRPr="000E5786" w:rsidRDefault="0048699F" w:rsidP="00834C1A">
      <w:pPr>
        <w:pStyle w:val="Heading4"/>
        <w:tabs>
          <w:tab w:val="clear" w:pos="1702"/>
          <w:tab w:val="num" w:pos="2552"/>
        </w:tabs>
        <w:spacing w:after="120"/>
        <w:ind w:left="2410"/>
        <w:rPr>
          <w:rFonts w:cs="Arial"/>
          <w:szCs w:val="20"/>
        </w:rPr>
      </w:pPr>
      <w:bookmarkStart w:id="701" w:name="_Ref53585276"/>
      <w:r w:rsidRPr="000E5786">
        <w:rPr>
          <w:rFonts w:cs="Arial"/>
          <w:szCs w:val="20"/>
        </w:rPr>
        <w:t xml:space="preserve">any legal challenge or potential legal challenge against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arising out of or in connection with this </w:t>
      </w:r>
      <w:proofErr w:type="gramStart"/>
      <w:r w:rsidRPr="000E5786">
        <w:rPr>
          <w:rFonts w:cs="Arial"/>
          <w:szCs w:val="20"/>
        </w:rPr>
        <w:t>Agreement;</w:t>
      </w:r>
      <w:bookmarkEnd w:id="701"/>
      <w:proofErr w:type="gramEnd"/>
    </w:p>
    <w:p w14:paraId="3704DB91" w14:textId="3A05EF4E" w:rsidR="0048699F" w:rsidRPr="000E5786" w:rsidRDefault="0048699F" w:rsidP="00834C1A">
      <w:pPr>
        <w:pStyle w:val="Heading4"/>
        <w:tabs>
          <w:tab w:val="clear" w:pos="1702"/>
          <w:tab w:val="num" w:pos="2552"/>
        </w:tabs>
        <w:spacing w:after="120"/>
        <w:ind w:left="2410"/>
        <w:rPr>
          <w:rFonts w:cs="Arial"/>
          <w:szCs w:val="20"/>
        </w:rPr>
      </w:pPr>
      <w:bookmarkStart w:id="702" w:name="_Ref53585277"/>
      <w:r w:rsidRPr="000E5786">
        <w:rPr>
          <w:rFonts w:cs="Arial"/>
          <w:szCs w:val="20"/>
        </w:rPr>
        <w:t xml:space="preserve">the examination and certification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’s accounts (provided that the disclosure is made on a confidential basis) or for any examination pursuant to section 6(1) of the National Audit Act 1983 of the economy, efficiency and effectiveness with which</w:t>
      </w:r>
      <w:r w:rsidR="00683EDB" w:rsidRPr="000E5786">
        <w:rPr>
          <w:rFonts w:cs="Arial"/>
          <w:szCs w:val="20"/>
        </w:rPr>
        <w:t xml:space="preserv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is making use of any Services provided under this Agreement; or</w:t>
      </w:r>
      <w:bookmarkEnd w:id="702"/>
    </w:p>
    <w:p w14:paraId="50682756" w14:textId="25E607B8" w:rsidR="0048699F" w:rsidRPr="000E5786" w:rsidRDefault="0048699F" w:rsidP="00834C1A">
      <w:pPr>
        <w:pStyle w:val="Heading4"/>
        <w:tabs>
          <w:tab w:val="clear" w:pos="1702"/>
          <w:tab w:val="num" w:pos="2552"/>
        </w:tabs>
        <w:spacing w:after="120"/>
        <w:ind w:left="2410"/>
        <w:rPr>
          <w:rFonts w:cs="Arial"/>
          <w:szCs w:val="20"/>
        </w:rPr>
      </w:pPr>
      <w:bookmarkStart w:id="703" w:name="_Ref53585278"/>
      <w:r w:rsidRPr="000E5786">
        <w:rPr>
          <w:rFonts w:cs="Arial"/>
          <w:szCs w:val="20"/>
        </w:rPr>
        <w:t>the conduct of a Central Government Body review in respect of this Agreement; or</w:t>
      </w:r>
      <w:bookmarkEnd w:id="703"/>
    </w:p>
    <w:p w14:paraId="46B9EA07" w14:textId="04621A05" w:rsidR="0048699F" w:rsidRPr="000E5786" w:rsidRDefault="0048699F" w:rsidP="00346A37">
      <w:pPr>
        <w:pStyle w:val="Heading3"/>
      </w:pPr>
      <w:bookmarkStart w:id="704" w:name="_Ref53585279"/>
      <w:r w:rsidRPr="000E5786">
        <w:t>the Recipient has reasonable grounds to believe that the Disclosing Party is involved in activity that may constitute a criminal offence under the Bribery Act 2010 and the disclosure is being made to the Serious Fraud Office.</w:t>
      </w:r>
      <w:bookmarkEnd w:id="704"/>
    </w:p>
    <w:p w14:paraId="6553FBF0" w14:textId="4B4924A6" w:rsidR="0048699F" w:rsidRPr="000E5786" w:rsidRDefault="0048699F" w:rsidP="00DD60F0">
      <w:pPr>
        <w:pStyle w:val="Heading2"/>
        <w:spacing w:after="120"/>
        <w:rPr>
          <w:rFonts w:cs="Arial"/>
          <w:szCs w:val="20"/>
        </w:rPr>
      </w:pPr>
      <w:bookmarkStart w:id="705" w:name="_Ref53585280"/>
      <w:r w:rsidRPr="000E5786">
        <w:rPr>
          <w:rFonts w:cs="Arial"/>
          <w:szCs w:val="20"/>
        </w:rPr>
        <w:t>If the Recipient is required by Law to make a disclosure of Confidential Information, the Recipient shall as soon as reasonably practicable and to the extent permitted by Law notify the Disclosing Party of the full circumstances of the required disclosure including the relevant Law and/or regulatory body requiring such disclosure and the Confidential Information to which such disclosure would apply.</w:t>
      </w:r>
      <w:bookmarkEnd w:id="705"/>
    </w:p>
    <w:p w14:paraId="61F50785" w14:textId="3F99E99C" w:rsidR="0048699F" w:rsidRPr="000E5786" w:rsidRDefault="0048699F" w:rsidP="00DD60F0">
      <w:pPr>
        <w:pStyle w:val="Heading2"/>
        <w:spacing w:after="120"/>
        <w:rPr>
          <w:rFonts w:cs="Arial"/>
          <w:szCs w:val="20"/>
        </w:rPr>
      </w:pPr>
      <w:bookmarkStart w:id="706" w:name="_Ref53585281"/>
      <w:r w:rsidRPr="000E5786">
        <w:rPr>
          <w:rFonts w:cs="Arial"/>
          <w:szCs w:val="20"/>
        </w:rPr>
        <w:t xml:space="preserve">The Supplier may disclose the Confidential Information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on a confidential basis only to:</w:t>
      </w:r>
      <w:bookmarkEnd w:id="706"/>
    </w:p>
    <w:p w14:paraId="5BF11A6F" w14:textId="455C8ADB" w:rsidR="0048699F" w:rsidRPr="000E5786" w:rsidRDefault="0048699F" w:rsidP="00346A37">
      <w:pPr>
        <w:pStyle w:val="Heading3"/>
      </w:pPr>
      <w:bookmarkStart w:id="707" w:name="_Ref53585282"/>
      <w:r w:rsidRPr="000E5786">
        <w:t>Supplier Personnel who are directly involved in the provision of the Services and</w:t>
      </w:r>
      <w:r w:rsidR="007D3C91" w:rsidRPr="000E5786">
        <w:t xml:space="preserve"> </w:t>
      </w:r>
      <w:r w:rsidRPr="000E5786">
        <w:t xml:space="preserve">need to know the Confidential Information to enable performance of the Supplier’s obligations under this </w:t>
      </w:r>
      <w:proofErr w:type="gramStart"/>
      <w:r w:rsidRPr="000E5786">
        <w:t>Agreement;</w:t>
      </w:r>
      <w:bookmarkEnd w:id="707"/>
      <w:proofErr w:type="gramEnd"/>
    </w:p>
    <w:p w14:paraId="4B900803" w14:textId="15511481" w:rsidR="0048699F" w:rsidRPr="000E5786" w:rsidRDefault="0048699F" w:rsidP="00346A37">
      <w:pPr>
        <w:pStyle w:val="Heading3"/>
      </w:pPr>
      <w:bookmarkStart w:id="708" w:name="_Ref53585283"/>
      <w:r w:rsidRPr="000E5786">
        <w:t>its auditors; and</w:t>
      </w:r>
      <w:bookmarkEnd w:id="708"/>
    </w:p>
    <w:p w14:paraId="6F90464F" w14:textId="5FC596D5" w:rsidR="0048699F" w:rsidRPr="000E5786" w:rsidRDefault="0048699F" w:rsidP="00346A37">
      <w:pPr>
        <w:pStyle w:val="Heading3"/>
      </w:pPr>
      <w:bookmarkStart w:id="709" w:name="_Ref53585284"/>
      <w:r w:rsidRPr="000E5786">
        <w:t>its professional advisers for the purposes of obtaining advice in relation to this Agreement.</w:t>
      </w:r>
      <w:bookmarkEnd w:id="709"/>
    </w:p>
    <w:p w14:paraId="0CE64222" w14:textId="4B93FF45" w:rsidR="0048699F" w:rsidRPr="000E5786" w:rsidRDefault="0048699F" w:rsidP="00834C1A">
      <w:pPr>
        <w:pStyle w:val="BodyText2"/>
        <w:spacing w:after="120"/>
        <w:ind w:firstLine="0"/>
        <w:rPr>
          <w:rFonts w:cs="Arial"/>
          <w:szCs w:val="20"/>
        </w:rPr>
      </w:pPr>
      <w:r w:rsidRPr="000E5786">
        <w:rPr>
          <w:rFonts w:cs="Arial"/>
          <w:szCs w:val="20"/>
        </w:rPr>
        <w:t xml:space="preserve">Where the Supplier discloses Confidential Information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pursuant to this clause </w:t>
      </w:r>
      <w:r w:rsidR="00562600" w:rsidRPr="000E5786">
        <w:rPr>
          <w:rFonts w:cs="Arial"/>
          <w:szCs w:val="20"/>
        </w:rPr>
        <w:fldChar w:fldCharType="begin"/>
      </w:r>
      <w:r w:rsidR="00562600" w:rsidRPr="000E5786">
        <w:rPr>
          <w:rFonts w:cs="Arial"/>
          <w:szCs w:val="20"/>
        </w:rPr>
        <w:instrText xml:space="preserve">  REF _Ref53585281 \w \h \* MERGEFORMAT </w:instrText>
      </w:r>
      <w:r w:rsidR="00562600" w:rsidRPr="000E5786">
        <w:rPr>
          <w:rFonts w:cs="Arial"/>
          <w:szCs w:val="20"/>
        </w:rPr>
      </w:r>
      <w:r w:rsidR="00562600" w:rsidRPr="000E5786">
        <w:rPr>
          <w:rFonts w:cs="Arial"/>
          <w:szCs w:val="20"/>
        </w:rPr>
        <w:fldChar w:fldCharType="separate"/>
      </w:r>
      <w:r w:rsidR="002523A8" w:rsidRPr="000E5786">
        <w:rPr>
          <w:rFonts w:cs="Arial"/>
          <w:szCs w:val="20"/>
        </w:rPr>
        <w:t>24.5</w:t>
      </w:r>
      <w:r w:rsidR="00562600" w:rsidRPr="000E5786">
        <w:rPr>
          <w:rFonts w:cs="Arial"/>
          <w:szCs w:val="20"/>
        </w:rPr>
        <w:fldChar w:fldCharType="end"/>
      </w:r>
      <w:r w:rsidRPr="000E5786">
        <w:rPr>
          <w:rFonts w:cs="Arial"/>
          <w:szCs w:val="20"/>
        </w:rPr>
        <w:t>, it shall remain responsible at all times for compliance with the confidentiality obligations set out in this Agreement by the persons to whom disclosure has been made.</w:t>
      </w:r>
    </w:p>
    <w:p w14:paraId="7883C886" w14:textId="07B4E704" w:rsidR="0048699F" w:rsidRPr="000E5786" w:rsidRDefault="001F1C19" w:rsidP="00DD60F0">
      <w:pPr>
        <w:pStyle w:val="Heading2"/>
        <w:spacing w:after="120"/>
        <w:rPr>
          <w:rFonts w:cs="Arial"/>
          <w:szCs w:val="20"/>
        </w:rPr>
      </w:pPr>
      <w:bookmarkStart w:id="710" w:name="_Ref53585285"/>
      <w:proofErr w:type="spellStart"/>
      <w:r>
        <w:rPr>
          <w:rFonts w:cs="Arial"/>
          <w:szCs w:val="20"/>
        </w:rPr>
        <w:t>Netlink</w:t>
      </w:r>
      <w:proofErr w:type="spellEnd"/>
      <w:r>
        <w:rPr>
          <w:rFonts w:cs="Arial"/>
          <w:szCs w:val="20"/>
        </w:rPr>
        <w:t xml:space="preserve"> Star</w:t>
      </w:r>
      <w:r w:rsidR="0048699F" w:rsidRPr="000E5786">
        <w:rPr>
          <w:rFonts w:cs="Arial"/>
          <w:szCs w:val="20"/>
        </w:rPr>
        <w:t xml:space="preserve"> may disclose the Confidential Information of the Supplier:</w:t>
      </w:r>
      <w:bookmarkEnd w:id="710"/>
    </w:p>
    <w:p w14:paraId="72B0A307" w14:textId="58EF27ED" w:rsidR="0048699F" w:rsidRPr="000E5786" w:rsidRDefault="0048699F" w:rsidP="00346A37">
      <w:pPr>
        <w:pStyle w:val="Heading3"/>
      </w:pPr>
      <w:bookmarkStart w:id="711" w:name="_Ref53585286"/>
      <w:r w:rsidRPr="000E5786">
        <w:t xml:space="preserve">on a confidential basis to any Central Government Body for any proper purpose of </w:t>
      </w:r>
      <w:proofErr w:type="spellStart"/>
      <w:r w:rsidR="001F1C19">
        <w:t>Netlink</w:t>
      </w:r>
      <w:proofErr w:type="spellEnd"/>
      <w:r w:rsidR="001F1C19">
        <w:t xml:space="preserve"> Star</w:t>
      </w:r>
      <w:r w:rsidRPr="000E5786">
        <w:t xml:space="preserve"> or of the relevant Central Government </w:t>
      </w:r>
      <w:proofErr w:type="gramStart"/>
      <w:r w:rsidRPr="000E5786">
        <w:t>Body;</w:t>
      </w:r>
      <w:bookmarkEnd w:id="711"/>
      <w:proofErr w:type="gramEnd"/>
    </w:p>
    <w:p w14:paraId="7D6B488A" w14:textId="6A4356E7" w:rsidR="0048699F" w:rsidRPr="000E5786" w:rsidRDefault="0048699F" w:rsidP="00346A37">
      <w:pPr>
        <w:pStyle w:val="Heading3"/>
      </w:pPr>
      <w:bookmarkStart w:id="712" w:name="_Ref53585287"/>
      <w:r w:rsidRPr="000E5786">
        <w:t xml:space="preserve">to Parliament and Parliamentary Committees or if required by any Parliamentary reporting </w:t>
      </w:r>
      <w:proofErr w:type="gramStart"/>
      <w:r w:rsidRPr="000E5786">
        <w:t>requirement;</w:t>
      </w:r>
      <w:bookmarkEnd w:id="712"/>
      <w:proofErr w:type="gramEnd"/>
    </w:p>
    <w:p w14:paraId="17CABFDC" w14:textId="6779ECED" w:rsidR="0048699F" w:rsidRPr="000E5786" w:rsidRDefault="0048699F" w:rsidP="00346A37">
      <w:pPr>
        <w:pStyle w:val="Heading3"/>
      </w:pPr>
      <w:bookmarkStart w:id="713" w:name="_Ref53585288"/>
      <w:r w:rsidRPr="000E5786">
        <w:lastRenderedPageBreak/>
        <w:t xml:space="preserve">to the extent that </w:t>
      </w:r>
      <w:proofErr w:type="spellStart"/>
      <w:r w:rsidR="001F1C19">
        <w:t>Netlink</w:t>
      </w:r>
      <w:proofErr w:type="spellEnd"/>
      <w:r w:rsidR="001F1C19">
        <w:t xml:space="preserve"> Star</w:t>
      </w:r>
      <w:r w:rsidRPr="000E5786">
        <w:t xml:space="preserve"> (acting reasonably) deems disclosure necessary or appropriate in the course of carrying out its public </w:t>
      </w:r>
      <w:proofErr w:type="gramStart"/>
      <w:r w:rsidRPr="000E5786">
        <w:t>functions;</w:t>
      </w:r>
      <w:bookmarkEnd w:id="713"/>
      <w:proofErr w:type="gramEnd"/>
    </w:p>
    <w:p w14:paraId="582F19C9" w14:textId="548ED969" w:rsidR="0048699F" w:rsidRPr="000E5786" w:rsidRDefault="0048699F" w:rsidP="00346A37">
      <w:pPr>
        <w:pStyle w:val="Heading3"/>
      </w:pPr>
      <w:bookmarkStart w:id="714" w:name="_Ref53585289"/>
      <w:r w:rsidRPr="000E5786">
        <w:t xml:space="preserve">on a confidential basis to a professional adviser, consultant, supplier or other person engaged by any of the entities described in clause </w:t>
      </w:r>
      <w:r w:rsidR="00562600" w:rsidRPr="000E5786">
        <w:fldChar w:fldCharType="begin"/>
      </w:r>
      <w:r w:rsidR="00562600" w:rsidRPr="000E5786">
        <w:instrText xml:space="preserve">  REF _Ref53585286 \w \h \* MERGEFORMAT </w:instrText>
      </w:r>
      <w:r w:rsidR="00562600" w:rsidRPr="000E5786">
        <w:fldChar w:fldCharType="separate"/>
      </w:r>
      <w:r w:rsidR="002523A8" w:rsidRPr="000E5786">
        <w:t>24.6.1</w:t>
      </w:r>
      <w:r w:rsidR="00562600" w:rsidRPr="000E5786">
        <w:fldChar w:fldCharType="end"/>
      </w:r>
      <w:r w:rsidRPr="000E5786">
        <w:t xml:space="preserve"> (including any benchmarking organisation) for any purpose relating to or connected with this </w:t>
      </w:r>
      <w:proofErr w:type="gramStart"/>
      <w:r w:rsidRPr="000E5786">
        <w:t>Agreement;</w:t>
      </w:r>
      <w:bookmarkEnd w:id="714"/>
      <w:proofErr w:type="gramEnd"/>
    </w:p>
    <w:p w14:paraId="06510858" w14:textId="3140B275" w:rsidR="0048699F" w:rsidRPr="000E5786" w:rsidRDefault="0048699F" w:rsidP="00346A37">
      <w:pPr>
        <w:pStyle w:val="Heading3"/>
      </w:pPr>
      <w:bookmarkStart w:id="715" w:name="_Ref53585290"/>
      <w:r w:rsidRPr="000E5786">
        <w:t xml:space="preserve">on a confidential basis for the purpose of the exercise of its rights under this Agreement, including the Audit Rights, its step-in rights pursuant to clause </w:t>
      </w:r>
      <w:r w:rsidR="00562600" w:rsidRPr="000E5786">
        <w:fldChar w:fldCharType="begin"/>
      </w:r>
      <w:r w:rsidR="00562600" w:rsidRPr="000E5786">
        <w:instrText xml:space="preserve">  REF _Ref53585731 \w \h \* MERGEFORMAT </w:instrText>
      </w:r>
      <w:r w:rsidR="00562600" w:rsidRPr="000E5786">
        <w:fldChar w:fldCharType="separate"/>
      </w:r>
      <w:r w:rsidR="002523A8" w:rsidRPr="000E5786">
        <w:t>33</w:t>
      </w:r>
      <w:r w:rsidR="00562600" w:rsidRPr="000E5786">
        <w:fldChar w:fldCharType="end"/>
      </w:r>
      <w:r w:rsidR="00986EF5" w:rsidRPr="000E5786">
        <w:t xml:space="preserve"> </w:t>
      </w:r>
      <w:r w:rsidRPr="000E5786">
        <w:t xml:space="preserve">(Step-In Rights), its rights to appoint a Remedial Adviser pursuant to clause </w:t>
      </w:r>
      <w:r w:rsidR="00562600" w:rsidRPr="000E5786">
        <w:fldChar w:fldCharType="begin"/>
      </w:r>
      <w:r w:rsidR="00562600" w:rsidRPr="000E5786">
        <w:instrText xml:space="preserve">  REF _Ref53585730 \w \h \* MERGEFORMAT </w:instrText>
      </w:r>
      <w:r w:rsidR="00562600" w:rsidRPr="000E5786">
        <w:fldChar w:fldCharType="separate"/>
      </w:r>
      <w:r w:rsidR="002523A8" w:rsidRPr="000E5786">
        <w:t>32</w:t>
      </w:r>
      <w:r w:rsidR="00562600" w:rsidRPr="000E5786">
        <w:fldChar w:fldCharType="end"/>
      </w:r>
      <w:r w:rsidRPr="000E5786">
        <w:t xml:space="preserve"> (Remedial Adviser) and Exit Management rights; or</w:t>
      </w:r>
      <w:bookmarkEnd w:id="715"/>
    </w:p>
    <w:p w14:paraId="6DB9D269" w14:textId="4AFE6856" w:rsidR="0048699F" w:rsidRPr="000E5786" w:rsidRDefault="0048699F" w:rsidP="00346A37">
      <w:pPr>
        <w:pStyle w:val="Heading3"/>
      </w:pPr>
      <w:bookmarkStart w:id="716" w:name="_Ref53585291"/>
      <w:r w:rsidRPr="000E5786">
        <w:t xml:space="preserve">on a confidential basis to a proposed Successor Body in connection with any assignment, </w:t>
      </w:r>
      <w:proofErr w:type="gramStart"/>
      <w:r w:rsidRPr="000E5786">
        <w:t>novation</w:t>
      </w:r>
      <w:proofErr w:type="gramEnd"/>
      <w:r w:rsidRPr="000E5786">
        <w:t xml:space="preserve"> or disposal of any of its rights, obligations or liabilities under this Agreement,</w:t>
      </w:r>
      <w:bookmarkEnd w:id="716"/>
    </w:p>
    <w:p w14:paraId="0CC9FA10" w14:textId="67D52BD9" w:rsidR="0048699F" w:rsidRPr="000E5786" w:rsidRDefault="0048699F" w:rsidP="00834C1A">
      <w:pPr>
        <w:pStyle w:val="BodyText2"/>
        <w:spacing w:after="120"/>
        <w:ind w:firstLine="0"/>
        <w:rPr>
          <w:rFonts w:cs="Arial"/>
          <w:szCs w:val="20"/>
        </w:rPr>
      </w:pPr>
      <w:r w:rsidRPr="000E5786">
        <w:rPr>
          <w:rFonts w:cs="Arial"/>
          <w:szCs w:val="20"/>
        </w:rPr>
        <w:t xml:space="preserve">and for the purposes of the foregoing, references to disclosure on a confidential basis shall mean disclosure subject to a confidentiality agreement or arrangement containing terms no less stringent than those placed on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under this clause </w:t>
      </w:r>
      <w:r w:rsidR="00562600" w:rsidRPr="000E5786">
        <w:rPr>
          <w:rFonts w:cs="Arial"/>
          <w:szCs w:val="20"/>
        </w:rPr>
        <w:fldChar w:fldCharType="begin"/>
      </w:r>
      <w:r w:rsidR="00562600" w:rsidRPr="000E5786">
        <w:rPr>
          <w:rFonts w:cs="Arial"/>
          <w:szCs w:val="20"/>
        </w:rPr>
        <w:instrText xml:space="preserve">  REF _Ref53585722 \w \h \* MERGEFORMAT </w:instrText>
      </w:r>
      <w:r w:rsidR="00562600" w:rsidRPr="000E5786">
        <w:rPr>
          <w:rFonts w:cs="Arial"/>
          <w:szCs w:val="20"/>
        </w:rPr>
      </w:r>
      <w:r w:rsidR="00562600" w:rsidRPr="000E5786">
        <w:rPr>
          <w:rFonts w:cs="Arial"/>
          <w:szCs w:val="20"/>
        </w:rPr>
        <w:fldChar w:fldCharType="separate"/>
      </w:r>
      <w:r w:rsidR="002523A8" w:rsidRPr="000E5786">
        <w:rPr>
          <w:rFonts w:cs="Arial"/>
          <w:szCs w:val="20"/>
        </w:rPr>
        <w:t>24</w:t>
      </w:r>
      <w:r w:rsidR="00562600" w:rsidRPr="000E5786">
        <w:rPr>
          <w:rFonts w:cs="Arial"/>
          <w:szCs w:val="20"/>
        </w:rPr>
        <w:fldChar w:fldCharType="end"/>
      </w:r>
      <w:r w:rsidRPr="000E5786">
        <w:rPr>
          <w:rFonts w:cs="Arial"/>
          <w:szCs w:val="20"/>
        </w:rPr>
        <w:t>.</w:t>
      </w:r>
    </w:p>
    <w:p w14:paraId="3B8AEB4A" w14:textId="773AA0EC" w:rsidR="0048699F" w:rsidRPr="000E5786" w:rsidRDefault="0048699F" w:rsidP="00DD60F0">
      <w:pPr>
        <w:pStyle w:val="Heading2"/>
        <w:spacing w:after="120"/>
        <w:rPr>
          <w:rFonts w:cs="Arial"/>
          <w:szCs w:val="20"/>
        </w:rPr>
      </w:pPr>
      <w:bookmarkStart w:id="717" w:name="_Ref53585292"/>
      <w:r w:rsidRPr="000E5786">
        <w:rPr>
          <w:rFonts w:cs="Arial"/>
          <w:szCs w:val="20"/>
        </w:rPr>
        <w:t xml:space="preserve">Nothing in this clause </w:t>
      </w:r>
      <w:r w:rsidR="00562600" w:rsidRPr="000E5786">
        <w:rPr>
          <w:rFonts w:cs="Arial"/>
          <w:szCs w:val="20"/>
        </w:rPr>
        <w:fldChar w:fldCharType="begin"/>
      </w:r>
      <w:r w:rsidR="00562600" w:rsidRPr="000E5786">
        <w:rPr>
          <w:rFonts w:cs="Arial"/>
          <w:szCs w:val="20"/>
        </w:rPr>
        <w:instrText xml:space="preserve">  REF _Ref53585722 \w \h \* MERGEFORMAT </w:instrText>
      </w:r>
      <w:r w:rsidR="00562600" w:rsidRPr="000E5786">
        <w:rPr>
          <w:rFonts w:cs="Arial"/>
          <w:szCs w:val="20"/>
        </w:rPr>
      </w:r>
      <w:r w:rsidR="00562600" w:rsidRPr="000E5786">
        <w:rPr>
          <w:rFonts w:cs="Arial"/>
          <w:szCs w:val="20"/>
        </w:rPr>
        <w:fldChar w:fldCharType="separate"/>
      </w:r>
      <w:r w:rsidR="002523A8" w:rsidRPr="000E5786">
        <w:rPr>
          <w:rFonts w:cs="Arial"/>
          <w:szCs w:val="20"/>
        </w:rPr>
        <w:t>24</w:t>
      </w:r>
      <w:r w:rsidR="00562600" w:rsidRPr="000E5786">
        <w:rPr>
          <w:rFonts w:cs="Arial"/>
          <w:szCs w:val="20"/>
        </w:rPr>
        <w:fldChar w:fldCharType="end"/>
      </w:r>
      <w:r w:rsidRPr="000E5786">
        <w:rPr>
          <w:rFonts w:cs="Arial"/>
          <w:szCs w:val="20"/>
        </w:rPr>
        <w:t xml:space="preserve"> shall prevent a Recipient from using any techniques, ideas or know-how gained during the performance of this Agreement in the course of its normal business to the extent that this use does not result in a disclosure of the Disclosing Party’s Confidential Information or an infringement of Intellectual Property Rights.</w:t>
      </w:r>
      <w:bookmarkEnd w:id="717"/>
    </w:p>
    <w:p w14:paraId="5B71478E" w14:textId="2E0FFB2C" w:rsidR="0048699F" w:rsidRPr="000E5786" w:rsidRDefault="0048699F" w:rsidP="00DD60F0">
      <w:pPr>
        <w:pStyle w:val="Heading1"/>
        <w:spacing w:after="120"/>
        <w:rPr>
          <w:rFonts w:cs="Arial"/>
          <w:szCs w:val="20"/>
        </w:rPr>
      </w:pPr>
      <w:bookmarkStart w:id="718" w:name="_Ref53585293"/>
      <w:bookmarkStart w:id="719" w:name="_Ref53585723"/>
      <w:bookmarkStart w:id="720" w:name="_Toc71198949"/>
      <w:r w:rsidRPr="000E5786">
        <w:rPr>
          <w:rFonts w:cs="Arial"/>
          <w:szCs w:val="20"/>
        </w:rPr>
        <w:t>TRANSPARENCY AND FREEDOM OF INFORMATION</w:t>
      </w:r>
      <w:bookmarkEnd w:id="718"/>
      <w:bookmarkEnd w:id="719"/>
      <w:bookmarkEnd w:id="720"/>
    </w:p>
    <w:p w14:paraId="23D2EBFA" w14:textId="780015A5" w:rsidR="0048699F" w:rsidRPr="000E5786" w:rsidRDefault="0048699F" w:rsidP="00DD60F0">
      <w:pPr>
        <w:pStyle w:val="Heading2"/>
        <w:spacing w:after="120"/>
        <w:rPr>
          <w:rFonts w:cs="Arial"/>
          <w:szCs w:val="20"/>
        </w:rPr>
      </w:pPr>
      <w:bookmarkStart w:id="721" w:name="_Ref53585294"/>
      <w:r w:rsidRPr="000E5786">
        <w:rPr>
          <w:rFonts w:cs="Arial"/>
          <w:szCs w:val="20"/>
        </w:rPr>
        <w:t xml:space="preserve">The Supplier acknowledges that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is subject to the requirements of the FOIA and the EIRs. The Supplier shall:</w:t>
      </w:r>
      <w:bookmarkEnd w:id="721"/>
    </w:p>
    <w:p w14:paraId="6DB3A40B" w14:textId="237F4E14" w:rsidR="0048699F" w:rsidRPr="000E5786" w:rsidRDefault="0048699F" w:rsidP="00346A37">
      <w:pPr>
        <w:pStyle w:val="Heading3"/>
      </w:pPr>
      <w:bookmarkStart w:id="722" w:name="_Ref53585295"/>
      <w:r w:rsidRPr="000E5786">
        <w:t xml:space="preserve">provide all necessary assistance and cooperation as reasonably requested by </w:t>
      </w:r>
      <w:proofErr w:type="spellStart"/>
      <w:r w:rsidR="001F1C19">
        <w:t>Netlink</w:t>
      </w:r>
      <w:proofErr w:type="spellEnd"/>
      <w:r w:rsidR="001F1C19">
        <w:t xml:space="preserve"> Star</w:t>
      </w:r>
      <w:r w:rsidRPr="000E5786">
        <w:t xml:space="preserve"> to enable </w:t>
      </w:r>
      <w:proofErr w:type="spellStart"/>
      <w:r w:rsidR="001F1C19">
        <w:t>Netlink</w:t>
      </w:r>
      <w:proofErr w:type="spellEnd"/>
      <w:r w:rsidR="001F1C19">
        <w:t xml:space="preserve"> Star</w:t>
      </w:r>
      <w:r w:rsidRPr="000E5786">
        <w:t xml:space="preserve"> to comply with its obligations under the FOIA and </w:t>
      </w:r>
      <w:proofErr w:type="gramStart"/>
      <w:r w:rsidRPr="000E5786">
        <w:t>EIRs;</w:t>
      </w:r>
      <w:bookmarkEnd w:id="722"/>
      <w:proofErr w:type="gramEnd"/>
    </w:p>
    <w:p w14:paraId="1FA92C1D" w14:textId="18CD7FD8" w:rsidR="0048699F" w:rsidRPr="000E5786" w:rsidRDefault="0048699F" w:rsidP="00346A37">
      <w:pPr>
        <w:pStyle w:val="Heading3"/>
      </w:pPr>
      <w:bookmarkStart w:id="723" w:name="_Ref53585296"/>
      <w:r w:rsidRPr="000E5786">
        <w:t xml:space="preserve">transfer to </w:t>
      </w:r>
      <w:proofErr w:type="spellStart"/>
      <w:r w:rsidR="001F1C19">
        <w:t>Netlink</w:t>
      </w:r>
      <w:proofErr w:type="spellEnd"/>
      <w:r w:rsidR="001F1C19">
        <w:t xml:space="preserve"> Star</w:t>
      </w:r>
      <w:r w:rsidRPr="000E5786">
        <w:t xml:space="preserve"> all Requests for Information relating to this Agreement that it receives as soon as practicable and in any event within two </w:t>
      </w:r>
      <w:bookmarkStart w:id="724" w:name="DocXTextRef292"/>
      <w:r w:rsidRPr="000E5786">
        <w:t>(2)</w:t>
      </w:r>
      <w:bookmarkEnd w:id="724"/>
      <w:r w:rsidRPr="000E5786">
        <w:t xml:space="preserve"> Working Days of </w:t>
      </w:r>
      <w:proofErr w:type="gramStart"/>
      <w:r w:rsidRPr="000E5786">
        <w:t>receipt;</w:t>
      </w:r>
      <w:bookmarkEnd w:id="723"/>
      <w:proofErr w:type="gramEnd"/>
    </w:p>
    <w:p w14:paraId="380E2097" w14:textId="57871C7E" w:rsidR="0048699F" w:rsidRPr="000E5786" w:rsidRDefault="0048699F" w:rsidP="00346A37">
      <w:pPr>
        <w:pStyle w:val="Heading3"/>
      </w:pPr>
      <w:bookmarkStart w:id="725" w:name="_Ref53585297"/>
      <w:r w:rsidRPr="000E5786">
        <w:t xml:space="preserve">provide </w:t>
      </w:r>
      <w:proofErr w:type="spellStart"/>
      <w:r w:rsidR="001F1C19">
        <w:t>Netlink</w:t>
      </w:r>
      <w:proofErr w:type="spellEnd"/>
      <w:r w:rsidR="001F1C19">
        <w:t xml:space="preserve"> Star</w:t>
      </w:r>
      <w:r w:rsidRPr="000E5786">
        <w:t xml:space="preserve"> with a copy of all Information held on behalf of </w:t>
      </w:r>
      <w:proofErr w:type="spellStart"/>
      <w:r w:rsidR="001F1C19">
        <w:t>Netlink</w:t>
      </w:r>
      <w:proofErr w:type="spellEnd"/>
      <w:r w:rsidR="001F1C19">
        <w:t xml:space="preserve"> Star</w:t>
      </w:r>
      <w:r w:rsidRPr="000E5786">
        <w:t xml:space="preserve"> which is requested in a Request </w:t>
      </w:r>
      <w:proofErr w:type="gramStart"/>
      <w:r w:rsidRPr="000E5786">
        <w:t>For</w:t>
      </w:r>
      <w:proofErr w:type="gramEnd"/>
      <w:r w:rsidRPr="000E5786">
        <w:t xml:space="preserve"> Information which is in its possession or control in the form </w:t>
      </w:r>
      <w:r w:rsidR="00905B46" w:rsidRPr="00C0214D">
        <w:rPr>
          <w:rFonts w:eastAsia="Verdana"/>
        </w:rPr>
        <w:t xml:space="preserve">held by the Supplier </w:t>
      </w:r>
      <w:r w:rsidRPr="000E5786">
        <w:t xml:space="preserve">within five </w:t>
      </w:r>
      <w:bookmarkStart w:id="726" w:name="DocXTextRef293"/>
      <w:r w:rsidRPr="000E5786">
        <w:t>(5)</w:t>
      </w:r>
      <w:bookmarkEnd w:id="726"/>
      <w:r w:rsidRPr="000E5786">
        <w:t xml:space="preserve"> Working Days (or such other period as </w:t>
      </w:r>
      <w:proofErr w:type="spellStart"/>
      <w:r w:rsidR="001F1C19">
        <w:t>Netlink</w:t>
      </w:r>
      <w:proofErr w:type="spellEnd"/>
      <w:r w:rsidR="001F1C19">
        <w:t xml:space="preserve"> Star</w:t>
      </w:r>
      <w:r w:rsidRPr="000E5786">
        <w:t xml:space="preserve"> may reasonably specify) of </w:t>
      </w:r>
      <w:proofErr w:type="spellStart"/>
      <w:r w:rsidR="001F1C19">
        <w:t>Netlink</w:t>
      </w:r>
      <w:proofErr w:type="spellEnd"/>
      <w:r w:rsidR="001F1C19">
        <w:t xml:space="preserve"> Star</w:t>
      </w:r>
      <w:r w:rsidRPr="000E5786">
        <w:t>’s request for such Information; and</w:t>
      </w:r>
      <w:bookmarkEnd w:id="725"/>
    </w:p>
    <w:p w14:paraId="11050259" w14:textId="55A75C00" w:rsidR="0048699F" w:rsidRPr="000E5786" w:rsidRDefault="0048699F" w:rsidP="00346A37">
      <w:pPr>
        <w:pStyle w:val="Heading3"/>
      </w:pPr>
      <w:bookmarkStart w:id="727" w:name="_Ref53585298"/>
      <w:r w:rsidRPr="000E5786">
        <w:t xml:space="preserve">not respond directly to a Request </w:t>
      </w:r>
      <w:proofErr w:type="gramStart"/>
      <w:r w:rsidRPr="000E5786">
        <w:t>For</w:t>
      </w:r>
      <w:proofErr w:type="gramEnd"/>
      <w:r w:rsidRPr="000E5786">
        <w:t xml:space="preserve"> Information addressed to </w:t>
      </w:r>
      <w:proofErr w:type="spellStart"/>
      <w:r w:rsidR="001F1C19">
        <w:t>Netlink</w:t>
      </w:r>
      <w:proofErr w:type="spellEnd"/>
      <w:r w:rsidR="001F1C19">
        <w:t xml:space="preserve"> Star</w:t>
      </w:r>
      <w:r w:rsidRPr="000E5786">
        <w:t xml:space="preserve"> unless authorised in writing to do so by </w:t>
      </w:r>
      <w:proofErr w:type="spellStart"/>
      <w:r w:rsidR="001F1C19">
        <w:t>Netlink</w:t>
      </w:r>
      <w:proofErr w:type="spellEnd"/>
      <w:r w:rsidR="001F1C19">
        <w:t xml:space="preserve"> Star</w:t>
      </w:r>
      <w:r w:rsidRPr="000E5786">
        <w:t>.</w:t>
      </w:r>
      <w:bookmarkEnd w:id="727"/>
    </w:p>
    <w:p w14:paraId="0837BA5F" w14:textId="73FE7642" w:rsidR="0048699F" w:rsidRPr="000E5786" w:rsidRDefault="0048699F" w:rsidP="00DD60F0">
      <w:pPr>
        <w:pStyle w:val="Heading2"/>
        <w:spacing w:after="120"/>
        <w:rPr>
          <w:rFonts w:cs="Arial"/>
          <w:szCs w:val="20"/>
        </w:rPr>
      </w:pPr>
      <w:bookmarkStart w:id="728" w:name="_Ref53585299"/>
      <w:r w:rsidRPr="000E5786">
        <w:rPr>
          <w:rFonts w:cs="Arial"/>
          <w:szCs w:val="20"/>
        </w:rPr>
        <w:t xml:space="preserve">The Supplier acknowledges that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be required under the FOIA and EIRs to disclose Information (including Commercially Sensitive Information) without consulting or obtaining consent from the Supplier.</w:t>
      </w:r>
      <w:r w:rsidR="000578A4" w:rsidRPr="000E5786">
        <w:rPr>
          <w:rFonts w:cs="Arial"/>
          <w:szCs w:val="20"/>
        </w:rPr>
        <w:t xml:space="preserv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take reasonable steps to notify the Supplier of a Request For Information (in accordance with the Secretary of State’s </w:t>
      </w:r>
      <w:bookmarkStart w:id="729" w:name="DocXTextRef294"/>
      <w:r w:rsidRPr="000E5786">
        <w:rPr>
          <w:rFonts w:cs="Arial"/>
          <w:szCs w:val="20"/>
        </w:rPr>
        <w:t>section 45</w:t>
      </w:r>
      <w:bookmarkEnd w:id="729"/>
      <w:r w:rsidRPr="000E5786">
        <w:rPr>
          <w:rFonts w:cs="Arial"/>
          <w:szCs w:val="20"/>
        </w:rPr>
        <w:t xml:space="preserve"> Code of Practice on the Discharge of the Functions of Public Authorities under </w:t>
      </w:r>
      <w:bookmarkStart w:id="730" w:name="DocXTextRef295"/>
      <w:r w:rsidRPr="000E5786">
        <w:rPr>
          <w:rFonts w:cs="Arial"/>
          <w:szCs w:val="20"/>
        </w:rPr>
        <w:t>Part 1</w:t>
      </w:r>
      <w:bookmarkEnd w:id="730"/>
      <w:r w:rsidRPr="000E5786">
        <w:rPr>
          <w:rFonts w:cs="Arial"/>
          <w:szCs w:val="20"/>
        </w:rPr>
        <w:t xml:space="preserve"> of the FOIA) to the extent that it is permissible and reasonably practical for it to do so but (notwithstanding any other provision in this Agreement)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be responsible for determining in its absolute discretion whether any Commercially Sensitive Information and/or any other information is exempt from disclosure in accordance with the FOIA and/or the EIRs.</w:t>
      </w:r>
      <w:bookmarkEnd w:id="728"/>
    </w:p>
    <w:p w14:paraId="5CF57E2A" w14:textId="516CE759" w:rsidR="0048699F" w:rsidRPr="000E5786" w:rsidRDefault="0048699F" w:rsidP="00DD60F0">
      <w:pPr>
        <w:pStyle w:val="Heading2"/>
        <w:spacing w:after="120"/>
        <w:rPr>
          <w:rFonts w:cs="Arial"/>
          <w:szCs w:val="20"/>
        </w:rPr>
      </w:pPr>
      <w:bookmarkStart w:id="731" w:name="_Ref53585300"/>
      <w:r w:rsidRPr="000E5786">
        <w:rPr>
          <w:rFonts w:cs="Arial"/>
          <w:szCs w:val="20"/>
        </w:rPr>
        <w:t xml:space="preserve">The Parties acknowledge </w:t>
      </w:r>
      <w:proofErr w:type="gramStart"/>
      <w:r w:rsidRPr="000E5786">
        <w:rPr>
          <w:rFonts w:cs="Arial"/>
          <w:szCs w:val="20"/>
        </w:rPr>
        <w:t>that</w:t>
      </w:r>
      <w:bookmarkEnd w:id="731"/>
      <w:proofErr w:type="gramEnd"/>
    </w:p>
    <w:p w14:paraId="50F5FF2D" w14:textId="6F0368A6" w:rsidR="0048699F" w:rsidRPr="000E5786" w:rsidRDefault="0048699F" w:rsidP="00346A37">
      <w:pPr>
        <w:pStyle w:val="Heading3"/>
      </w:pPr>
      <w:bookmarkStart w:id="732" w:name="_Ref53585301"/>
      <w:r w:rsidRPr="000E5786">
        <w:t>the Transparency Reports</w:t>
      </w:r>
      <w:r w:rsidR="00905B46">
        <w:t xml:space="preserve"> </w:t>
      </w:r>
      <w:r w:rsidR="00905B46" w:rsidRPr="00C0214D">
        <w:rPr>
          <w:rFonts w:eastAsia="Verdana"/>
        </w:rPr>
        <w:t>(excluding any Commercially Sensitive Data)</w:t>
      </w:r>
      <w:r w:rsidRPr="000E5786">
        <w:t>; and</w:t>
      </w:r>
      <w:bookmarkEnd w:id="732"/>
    </w:p>
    <w:p w14:paraId="084B4D19" w14:textId="45AFAFE8" w:rsidR="0048699F" w:rsidRPr="000E5786" w:rsidRDefault="0048699F" w:rsidP="00346A37">
      <w:pPr>
        <w:pStyle w:val="Heading3"/>
      </w:pPr>
      <w:bookmarkStart w:id="733" w:name="_Ref53585302"/>
      <w:r w:rsidRPr="000E5786">
        <w:t>the content of this Agreement, including any changes to this Agreement agreed from time to time, except for:</w:t>
      </w:r>
      <w:bookmarkEnd w:id="733"/>
    </w:p>
    <w:p w14:paraId="4BD97333" w14:textId="0570880E" w:rsidR="0048699F" w:rsidRPr="000E5786" w:rsidRDefault="0048699F" w:rsidP="00834C1A">
      <w:pPr>
        <w:pStyle w:val="Heading4"/>
        <w:tabs>
          <w:tab w:val="clear" w:pos="1702"/>
          <w:tab w:val="num" w:pos="2552"/>
        </w:tabs>
        <w:spacing w:after="120"/>
        <w:ind w:left="2410"/>
        <w:rPr>
          <w:rFonts w:cs="Arial"/>
          <w:szCs w:val="20"/>
        </w:rPr>
      </w:pPr>
      <w:bookmarkStart w:id="734" w:name="_Ref53585303"/>
      <w:r w:rsidRPr="000E5786">
        <w:rPr>
          <w:rFonts w:cs="Arial"/>
          <w:szCs w:val="20"/>
        </w:rPr>
        <w:t xml:space="preserve">any information which is exempt from disclosure in accordance with the provisions of the FOIA, which shall be determined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and</w:t>
      </w:r>
      <w:bookmarkEnd w:id="734"/>
    </w:p>
    <w:p w14:paraId="7025516D" w14:textId="3CD0322E" w:rsidR="0048699F" w:rsidRPr="000E5786" w:rsidRDefault="0048699F" w:rsidP="00834C1A">
      <w:pPr>
        <w:pStyle w:val="Heading4"/>
        <w:tabs>
          <w:tab w:val="clear" w:pos="1702"/>
          <w:tab w:val="num" w:pos="2552"/>
        </w:tabs>
        <w:spacing w:after="120"/>
        <w:ind w:left="2410"/>
        <w:rPr>
          <w:rFonts w:cs="Arial"/>
          <w:szCs w:val="20"/>
        </w:rPr>
      </w:pPr>
      <w:bookmarkStart w:id="735" w:name="_Ref53585304"/>
      <w:r w:rsidRPr="000E5786">
        <w:rPr>
          <w:rFonts w:cs="Arial"/>
          <w:szCs w:val="20"/>
        </w:rPr>
        <w:lastRenderedPageBreak/>
        <w:t xml:space="preserve">Commercially Sensitive </w:t>
      </w:r>
      <w:proofErr w:type="gramStart"/>
      <w:r w:rsidRPr="000E5786">
        <w:rPr>
          <w:rFonts w:cs="Arial"/>
          <w:szCs w:val="20"/>
        </w:rPr>
        <w:t>Information;</w:t>
      </w:r>
      <w:bookmarkEnd w:id="735"/>
      <w:proofErr w:type="gramEnd"/>
    </w:p>
    <w:p w14:paraId="62B1C3FF" w14:textId="77777777" w:rsidR="0048699F" w:rsidRPr="000E5786" w:rsidRDefault="0048699F" w:rsidP="00834C1A">
      <w:pPr>
        <w:pStyle w:val="BodyText3"/>
        <w:spacing w:after="120"/>
        <w:ind w:firstLine="0"/>
        <w:rPr>
          <w:rFonts w:cs="Arial"/>
          <w:szCs w:val="20"/>
        </w:rPr>
      </w:pPr>
      <w:r w:rsidRPr="000E5786">
        <w:rPr>
          <w:rFonts w:cs="Arial"/>
          <w:szCs w:val="20"/>
        </w:rPr>
        <w:t>(</w:t>
      </w:r>
      <w:proofErr w:type="gramStart"/>
      <w:r w:rsidRPr="000E5786">
        <w:rPr>
          <w:rFonts w:cs="Arial"/>
          <w:szCs w:val="20"/>
        </w:rPr>
        <w:t>together</w:t>
      </w:r>
      <w:proofErr w:type="gramEnd"/>
      <w:r w:rsidRPr="000E5786">
        <w:rPr>
          <w:rFonts w:cs="Arial"/>
          <w:szCs w:val="20"/>
        </w:rPr>
        <w:t xml:space="preserve"> the “</w:t>
      </w:r>
      <w:r w:rsidRPr="000E5786">
        <w:rPr>
          <w:rFonts w:cs="Arial"/>
          <w:b/>
          <w:szCs w:val="20"/>
        </w:rPr>
        <w:t>Transparency Information</w:t>
      </w:r>
      <w:r w:rsidRPr="000E5786">
        <w:rPr>
          <w:rFonts w:cs="Arial"/>
          <w:szCs w:val="20"/>
        </w:rPr>
        <w:t>”) are not Confidential Information.</w:t>
      </w:r>
    </w:p>
    <w:p w14:paraId="58B90226" w14:textId="6970DA3A" w:rsidR="0048699F" w:rsidRPr="000E5786" w:rsidRDefault="0048699F" w:rsidP="00DD60F0">
      <w:pPr>
        <w:pStyle w:val="Heading2"/>
        <w:spacing w:after="120"/>
        <w:rPr>
          <w:rFonts w:cs="Arial"/>
          <w:szCs w:val="20"/>
        </w:rPr>
      </w:pPr>
      <w:bookmarkStart w:id="736" w:name="_Ref53585305"/>
      <w:r w:rsidRPr="000E5786">
        <w:rPr>
          <w:rFonts w:cs="Arial"/>
          <w:szCs w:val="20"/>
        </w:rPr>
        <w:t xml:space="preserve">Notwithstanding any other provision of this Agreement, the Supplier hereby gives its consent for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to publish to the </w:t>
      </w:r>
      <w:proofErr w:type="gramStart"/>
      <w:r w:rsidRPr="000E5786">
        <w:rPr>
          <w:rFonts w:cs="Arial"/>
          <w:szCs w:val="20"/>
        </w:rPr>
        <w:t>general public</w:t>
      </w:r>
      <w:proofErr w:type="gramEnd"/>
      <w:r w:rsidRPr="000E5786">
        <w:rPr>
          <w:rFonts w:cs="Arial"/>
          <w:szCs w:val="20"/>
        </w:rPr>
        <w:t xml:space="preserve"> the Transparency Information in its entirety (but with any information which is exempt from disclosure in accordance with the provisions of the FOIA redacted).</w:t>
      </w:r>
      <w:r w:rsidR="000578A4" w:rsidRPr="000E5786">
        <w:rPr>
          <w:rFonts w:cs="Arial"/>
          <w:szCs w:val="20"/>
        </w:rPr>
        <w:t xml:space="preserv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prior to publication, consult with the Supplier on the manner and format of publication and to inform its decision regarding any redactions but shall have the final decision in its absolute discretion.</w:t>
      </w:r>
      <w:bookmarkEnd w:id="736"/>
    </w:p>
    <w:p w14:paraId="4C9456F4" w14:textId="55058811" w:rsidR="0048699F" w:rsidRPr="000E5786" w:rsidRDefault="0048699F" w:rsidP="00DD60F0">
      <w:pPr>
        <w:pStyle w:val="Heading2"/>
        <w:spacing w:after="120"/>
        <w:rPr>
          <w:rFonts w:cs="Arial"/>
          <w:szCs w:val="20"/>
        </w:rPr>
      </w:pPr>
      <w:bookmarkStart w:id="737" w:name="_Ref53585306"/>
      <w:r w:rsidRPr="000E5786">
        <w:rPr>
          <w:rFonts w:cs="Arial"/>
          <w:szCs w:val="20"/>
        </w:rPr>
        <w:t xml:space="preserve">The Supplier shall assist and co-operate with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to enable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to publish the Transparency Information, including preparation of the Transparency Reports in accordance with </w:t>
      </w:r>
      <w:bookmarkStart w:id="738" w:name="DocXTextRef296"/>
      <w:r w:rsidRPr="000E5786">
        <w:rPr>
          <w:rFonts w:cs="Arial"/>
          <w:szCs w:val="20"/>
        </w:rPr>
        <w:t>Schedule 8.4</w:t>
      </w:r>
      <w:bookmarkEnd w:id="738"/>
      <w:r w:rsidRPr="000E5786">
        <w:rPr>
          <w:rFonts w:cs="Arial"/>
          <w:szCs w:val="20"/>
        </w:rPr>
        <w:t xml:space="preserve"> (Reports and Records Provisions).</w:t>
      </w:r>
      <w:bookmarkEnd w:id="737"/>
    </w:p>
    <w:p w14:paraId="1E4E992C" w14:textId="6E3F8EFC" w:rsidR="0048699F" w:rsidRPr="000E5786" w:rsidRDefault="0048699F" w:rsidP="00DD60F0">
      <w:pPr>
        <w:pStyle w:val="Heading2"/>
        <w:spacing w:after="120"/>
        <w:rPr>
          <w:rFonts w:cs="Arial"/>
          <w:szCs w:val="20"/>
        </w:rPr>
      </w:pPr>
      <w:bookmarkStart w:id="739" w:name="_Ref53585307"/>
      <w:r w:rsidRPr="000E5786">
        <w:rPr>
          <w:rFonts w:cs="Arial"/>
          <w:szCs w:val="20"/>
        </w:rPr>
        <w:t xml:space="preserve">If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believes that publication of any element of the Transparency Information would be contrary to the public interest,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be entitled to exclude such information from publication.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acknowledges that it would expect the public</w:t>
      </w:r>
      <w:r w:rsidR="00811148" w:rsidRPr="000E5786">
        <w:rPr>
          <w:rFonts w:cs="Arial"/>
          <w:szCs w:val="20"/>
        </w:rPr>
        <w:t xml:space="preserve"> </w:t>
      </w:r>
      <w:r w:rsidRPr="000E5786">
        <w:rPr>
          <w:rFonts w:cs="Arial"/>
          <w:szCs w:val="20"/>
        </w:rPr>
        <w:t xml:space="preserve">interest by default to be best served by publication of the Transparency Information in its entirety. Accordingly,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acknowledges that it will only exclude Transparency Information from publication in exceptional circumstances and agrees that where it decides to exclude information from publication it will provide a clear explanation to the Supplier.</w:t>
      </w:r>
      <w:bookmarkEnd w:id="739"/>
    </w:p>
    <w:p w14:paraId="4856DEA9" w14:textId="57A4E367" w:rsidR="0048699F" w:rsidRPr="000E5786" w:rsidRDefault="001F1C19" w:rsidP="00DD60F0">
      <w:pPr>
        <w:pStyle w:val="Heading2"/>
        <w:spacing w:after="120"/>
        <w:rPr>
          <w:rFonts w:cs="Arial"/>
          <w:szCs w:val="20"/>
        </w:rPr>
      </w:pPr>
      <w:bookmarkStart w:id="740" w:name="_Ref53585308"/>
      <w:proofErr w:type="spellStart"/>
      <w:r>
        <w:rPr>
          <w:rFonts w:cs="Arial"/>
          <w:szCs w:val="20"/>
        </w:rPr>
        <w:t>Netlink</w:t>
      </w:r>
      <w:proofErr w:type="spellEnd"/>
      <w:r>
        <w:rPr>
          <w:rFonts w:cs="Arial"/>
          <w:szCs w:val="20"/>
        </w:rPr>
        <w:t xml:space="preserve"> Star</w:t>
      </w:r>
      <w:r w:rsidR="0048699F" w:rsidRPr="000E5786">
        <w:rPr>
          <w:rFonts w:cs="Arial"/>
          <w:szCs w:val="20"/>
        </w:rPr>
        <w:t xml:space="preserve"> shall publish the Transparency Information in a format that assists the </w:t>
      </w:r>
      <w:proofErr w:type="gramStart"/>
      <w:r w:rsidR="0048699F" w:rsidRPr="000E5786">
        <w:rPr>
          <w:rFonts w:cs="Arial"/>
          <w:szCs w:val="20"/>
        </w:rPr>
        <w:t>general public</w:t>
      </w:r>
      <w:proofErr w:type="gramEnd"/>
      <w:r w:rsidR="0048699F" w:rsidRPr="000E5786">
        <w:rPr>
          <w:rFonts w:cs="Arial"/>
          <w:szCs w:val="20"/>
        </w:rPr>
        <w:t xml:space="preserve"> in understanding the relevance and completeness of the information being published to ensure the public obtain a fair view on how the Agreement is being performed, having regard to the context of the wider commercial relationship with the Supplier.</w:t>
      </w:r>
      <w:bookmarkEnd w:id="740"/>
    </w:p>
    <w:p w14:paraId="47A8E3A5" w14:textId="50E38B2C" w:rsidR="0048699F" w:rsidRPr="000E5786" w:rsidRDefault="0048699F" w:rsidP="00DD60F0">
      <w:pPr>
        <w:pStyle w:val="Heading2"/>
        <w:spacing w:after="120"/>
        <w:rPr>
          <w:rFonts w:cs="Arial"/>
          <w:szCs w:val="20"/>
        </w:rPr>
      </w:pPr>
      <w:bookmarkStart w:id="741" w:name="_Ref53585309"/>
      <w:r w:rsidRPr="000E5786">
        <w:rPr>
          <w:rFonts w:cs="Arial"/>
          <w:szCs w:val="20"/>
        </w:rPr>
        <w:t xml:space="preserve">The Supplier agrees that any Information it holds that is not included in the Transparency Reports but is reasonably relevant to or that arises from the provision of the Services shall be provided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on request unless the cost of doing so would exceed the appropriate limit prescribed under </w:t>
      </w:r>
      <w:bookmarkStart w:id="742" w:name="DocXTextRef299"/>
      <w:r w:rsidRPr="000E5786">
        <w:rPr>
          <w:rFonts w:cs="Arial"/>
          <w:szCs w:val="20"/>
        </w:rPr>
        <w:t>section 12</w:t>
      </w:r>
      <w:bookmarkEnd w:id="742"/>
      <w:r w:rsidRPr="000E5786">
        <w:rPr>
          <w:rFonts w:cs="Arial"/>
          <w:szCs w:val="20"/>
        </w:rPr>
        <w:t xml:space="preserve"> of the FOIA.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disclose such information under the FOIA and the EIRs and may (except for Commercially Sensitive Information, Confidential Information (subject to clause </w:t>
      </w:r>
      <w:r w:rsidR="00600299" w:rsidRPr="000E5786">
        <w:rPr>
          <w:rFonts w:cs="Arial"/>
          <w:szCs w:val="20"/>
        </w:rPr>
        <w:fldChar w:fldCharType="begin"/>
      </w:r>
      <w:r w:rsidR="00600299" w:rsidRPr="000E5786">
        <w:rPr>
          <w:rFonts w:cs="Arial"/>
          <w:szCs w:val="20"/>
        </w:rPr>
        <w:instrText xml:space="preserve">  REF _Ref53585722 \w \h \* MERGEFORMAT </w:instrText>
      </w:r>
      <w:r w:rsidR="00600299" w:rsidRPr="000E5786">
        <w:rPr>
          <w:rFonts w:cs="Arial"/>
          <w:szCs w:val="20"/>
        </w:rPr>
      </w:r>
      <w:r w:rsidR="00600299" w:rsidRPr="000E5786">
        <w:rPr>
          <w:rFonts w:cs="Arial"/>
          <w:szCs w:val="20"/>
        </w:rPr>
        <w:fldChar w:fldCharType="separate"/>
      </w:r>
      <w:r w:rsidR="002523A8" w:rsidRPr="000E5786">
        <w:rPr>
          <w:rFonts w:cs="Arial"/>
          <w:szCs w:val="20"/>
        </w:rPr>
        <w:t>24</w:t>
      </w:r>
      <w:r w:rsidR="00600299" w:rsidRPr="000E5786">
        <w:rPr>
          <w:rFonts w:cs="Arial"/>
          <w:szCs w:val="20"/>
        </w:rPr>
        <w:fldChar w:fldCharType="end"/>
      </w:r>
      <w:r w:rsidRPr="000E5786">
        <w:rPr>
          <w:rFonts w:cs="Arial"/>
          <w:szCs w:val="20"/>
        </w:rPr>
        <w:t xml:space="preserve">) publish such Information. The Supplier shall provide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within five </w:t>
      </w:r>
      <w:bookmarkStart w:id="743" w:name="DocXTextRef298"/>
      <w:r w:rsidRPr="000E5786">
        <w:rPr>
          <w:rFonts w:cs="Arial"/>
          <w:szCs w:val="20"/>
        </w:rPr>
        <w:t>(5)</w:t>
      </w:r>
      <w:bookmarkEnd w:id="743"/>
      <w:r w:rsidRPr="000E5786">
        <w:rPr>
          <w:rFonts w:cs="Arial"/>
          <w:szCs w:val="20"/>
        </w:rPr>
        <w:t xml:space="preserve"> Working Days (or such other period as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reasonably specify) any such Information requested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w:t>
      </w:r>
      <w:bookmarkEnd w:id="741"/>
    </w:p>
    <w:p w14:paraId="3531FA26" w14:textId="54250812" w:rsidR="0048699F" w:rsidRPr="000E5786" w:rsidRDefault="0048699F" w:rsidP="00DD60F0">
      <w:pPr>
        <w:pStyle w:val="Heading1"/>
        <w:spacing w:after="120"/>
        <w:rPr>
          <w:rFonts w:cs="Arial"/>
          <w:szCs w:val="20"/>
        </w:rPr>
      </w:pPr>
      <w:bookmarkStart w:id="744" w:name="_Ref53585310"/>
      <w:bookmarkStart w:id="745" w:name="_Ref53585724"/>
      <w:bookmarkStart w:id="746" w:name="_Toc71198950"/>
      <w:r w:rsidRPr="000E5786">
        <w:rPr>
          <w:rFonts w:cs="Arial"/>
          <w:szCs w:val="20"/>
        </w:rPr>
        <w:t>PROTECTION OF PERSONAL DATA</w:t>
      </w:r>
      <w:bookmarkEnd w:id="744"/>
      <w:bookmarkEnd w:id="745"/>
      <w:bookmarkEnd w:id="746"/>
    </w:p>
    <w:p w14:paraId="5956490A" w14:textId="22E1D687" w:rsidR="0048699F" w:rsidRPr="000E5786" w:rsidRDefault="0048699F" w:rsidP="00DD60F0">
      <w:pPr>
        <w:pStyle w:val="Heading2"/>
        <w:spacing w:after="120"/>
        <w:rPr>
          <w:rFonts w:cs="Arial"/>
          <w:szCs w:val="20"/>
        </w:rPr>
      </w:pPr>
      <w:bookmarkStart w:id="747" w:name="_Ref53585311"/>
      <w:r w:rsidRPr="000E5786">
        <w:rPr>
          <w:rFonts w:cs="Arial"/>
          <w:szCs w:val="20"/>
        </w:rPr>
        <w:t xml:space="preserve">For the purposes of this clause </w:t>
      </w:r>
      <w:r w:rsidR="00600299" w:rsidRPr="000E5786">
        <w:rPr>
          <w:rFonts w:cs="Arial"/>
          <w:szCs w:val="20"/>
        </w:rPr>
        <w:fldChar w:fldCharType="begin"/>
      </w:r>
      <w:r w:rsidR="00600299" w:rsidRPr="000E5786">
        <w:rPr>
          <w:rFonts w:cs="Arial"/>
          <w:szCs w:val="20"/>
        </w:rPr>
        <w:instrText xml:space="preserve">  REF _Ref53585724 \w \h \* MERGEFORMAT </w:instrText>
      </w:r>
      <w:r w:rsidR="00600299" w:rsidRPr="000E5786">
        <w:rPr>
          <w:rFonts w:cs="Arial"/>
          <w:szCs w:val="20"/>
        </w:rPr>
      </w:r>
      <w:r w:rsidR="00600299" w:rsidRPr="000E5786">
        <w:rPr>
          <w:rFonts w:cs="Arial"/>
          <w:szCs w:val="20"/>
        </w:rPr>
        <w:fldChar w:fldCharType="separate"/>
      </w:r>
      <w:r w:rsidR="002523A8" w:rsidRPr="000E5786">
        <w:rPr>
          <w:rFonts w:cs="Arial"/>
          <w:szCs w:val="20"/>
        </w:rPr>
        <w:t>26</w:t>
      </w:r>
      <w:r w:rsidR="00600299" w:rsidRPr="000E5786">
        <w:rPr>
          <w:rFonts w:cs="Arial"/>
          <w:szCs w:val="20"/>
        </w:rPr>
        <w:fldChar w:fldCharType="end"/>
      </w:r>
      <w:r w:rsidRPr="000E5786">
        <w:rPr>
          <w:rFonts w:cs="Arial"/>
          <w:szCs w:val="20"/>
        </w:rPr>
        <w:t xml:space="preserve"> the following definitions </w:t>
      </w:r>
      <w:proofErr w:type="gramStart"/>
      <w:r w:rsidRPr="000E5786">
        <w:rPr>
          <w:rFonts w:cs="Arial"/>
          <w:szCs w:val="20"/>
        </w:rPr>
        <w:t>apply;</w:t>
      </w:r>
      <w:bookmarkEnd w:id="747"/>
      <w:proofErr w:type="gramEnd"/>
    </w:p>
    <w:p w14:paraId="5E3CD82D" w14:textId="0BC7DBA2" w:rsidR="0048699F" w:rsidRPr="000E5786" w:rsidRDefault="0048699F" w:rsidP="00346A37">
      <w:pPr>
        <w:pStyle w:val="Heading3"/>
      </w:pPr>
      <w:bookmarkStart w:id="748" w:name="_Ref53585312"/>
      <w:r w:rsidRPr="000E5786">
        <w:rPr>
          <w:b/>
        </w:rPr>
        <w:t xml:space="preserve">“Data Protection Legislation” </w:t>
      </w:r>
      <w:r w:rsidRPr="000E5786">
        <w:t xml:space="preserve">means </w:t>
      </w:r>
      <w:bookmarkStart w:id="749" w:name="DocXTextRef301"/>
      <w:r w:rsidRPr="000E5786">
        <w:t>(</w:t>
      </w:r>
      <w:proofErr w:type="spellStart"/>
      <w:r w:rsidRPr="000E5786">
        <w:t>i</w:t>
      </w:r>
      <w:proofErr w:type="spellEnd"/>
      <w:r w:rsidRPr="000E5786">
        <w:t>)</w:t>
      </w:r>
      <w:bookmarkEnd w:id="749"/>
      <w:r w:rsidRPr="000E5786">
        <w:t xml:space="preserve"> the GDPR, and any applicable national implementing laws as amended from time to time </w:t>
      </w:r>
      <w:bookmarkStart w:id="750" w:name="DocXTextRef302"/>
      <w:r w:rsidRPr="000E5786">
        <w:t>(ii)</w:t>
      </w:r>
      <w:bookmarkEnd w:id="750"/>
      <w:r w:rsidRPr="000E5786">
        <w:t xml:space="preserve"> the Data Protection Act 2018 to the extent that it relates to processing of personal data and privacy; </w:t>
      </w:r>
      <w:bookmarkStart w:id="751" w:name="DocXTextRef303"/>
      <w:r w:rsidRPr="000E5786">
        <w:t>(iii)</w:t>
      </w:r>
      <w:bookmarkEnd w:id="751"/>
      <w:r w:rsidRPr="000E5786">
        <w:t xml:space="preserve"> all applicable laws about the processing of personal data and privacy.</w:t>
      </w:r>
      <w:bookmarkEnd w:id="748"/>
    </w:p>
    <w:p w14:paraId="5F3E247E" w14:textId="0176304D" w:rsidR="0048699F" w:rsidRPr="000E5786" w:rsidRDefault="0048699F" w:rsidP="00346A37">
      <w:pPr>
        <w:pStyle w:val="Heading3"/>
      </w:pPr>
      <w:bookmarkStart w:id="752" w:name="_Ref53585313"/>
      <w:r w:rsidRPr="000E5786">
        <w:t>“Controller, Processor, Data Subject, Personal Data, Personal Data Breach, Data Protection Officer, Data Protection Impact Assessment” take the meaning given in the GDPR.</w:t>
      </w:r>
      <w:bookmarkEnd w:id="752"/>
    </w:p>
    <w:p w14:paraId="6E0AD00F" w14:textId="1C1BAB0A" w:rsidR="0048699F" w:rsidRPr="000E5786" w:rsidRDefault="0048699F" w:rsidP="00346A37">
      <w:pPr>
        <w:pStyle w:val="Heading3"/>
      </w:pPr>
      <w:bookmarkStart w:id="753" w:name="_Ref53585314"/>
      <w:r w:rsidRPr="000E5786">
        <w:rPr>
          <w:b/>
        </w:rPr>
        <w:t xml:space="preserve">“Data Loss Event” </w:t>
      </w:r>
      <w:r w:rsidRPr="000E5786">
        <w:t>means any event that results, or may result, in unauthorised access</w:t>
      </w:r>
      <w:r w:rsidR="00E77A7B" w:rsidRPr="000E5786">
        <w:t xml:space="preserve"> to any network or information system used to provide the Services or</w:t>
      </w:r>
      <w:r w:rsidRPr="000E5786">
        <w:t xml:space="preserve"> to Personal Data</w:t>
      </w:r>
      <w:r w:rsidR="00E77A7B" w:rsidRPr="000E5786">
        <w:t xml:space="preserve"> </w:t>
      </w:r>
      <w:r w:rsidRPr="000E5786">
        <w:t>held by the Supplier under this Agreement, and/or actual or potential loss and/or destruction of Personal Data in breach of this Agreement, including any Personal Data Breach.</w:t>
      </w:r>
      <w:bookmarkEnd w:id="753"/>
    </w:p>
    <w:p w14:paraId="2FDCCAEF" w14:textId="41C1FAF6" w:rsidR="0048699F" w:rsidRPr="000E5786" w:rsidRDefault="0048699F" w:rsidP="00346A37">
      <w:pPr>
        <w:pStyle w:val="Heading3"/>
      </w:pPr>
      <w:bookmarkStart w:id="754" w:name="_Ref53585315"/>
      <w:r w:rsidRPr="000E5786">
        <w:rPr>
          <w:b/>
        </w:rPr>
        <w:t>“Data Subject Request”</w:t>
      </w:r>
      <w:r w:rsidRPr="000E5786">
        <w:t xml:space="preserve"> means a request made by, or on behalf of, a Data Subject in accordance with rights granted pursuant to the Data Protection Legislation to access their Personal Data.</w:t>
      </w:r>
      <w:bookmarkEnd w:id="754"/>
    </w:p>
    <w:p w14:paraId="4461F37D" w14:textId="28710372" w:rsidR="0048699F" w:rsidRPr="000E5786" w:rsidRDefault="0048699F" w:rsidP="00346A37">
      <w:pPr>
        <w:pStyle w:val="Heading3"/>
      </w:pPr>
      <w:bookmarkStart w:id="755" w:name="_Ref53585316"/>
      <w:r w:rsidRPr="000E5786">
        <w:rPr>
          <w:b/>
        </w:rPr>
        <w:t>“GDPR”</w:t>
      </w:r>
      <w:r w:rsidRPr="000E5786">
        <w:t xml:space="preserve"> means the General Data Protection Regulation </w:t>
      </w:r>
      <w:r w:rsidRPr="000E5786">
        <w:rPr>
          <w:i/>
        </w:rPr>
        <w:t>(Regulation (EU) 2016/679)</w:t>
      </w:r>
      <w:r w:rsidRPr="000E5786">
        <w:t>.</w:t>
      </w:r>
      <w:bookmarkEnd w:id="755"/>
    </w:p>
    <w:p w14:paraId="7CC6D2E1" w14:textId="267FFD75" w:rsidR="0048699F" w:rsidRPr="000E5786" w:rsidRDefault="0048699F" w:rsidP="00346A37">
      <w:pPr>
        <w:pStyle w:val="Heading3"/>
      </w:pPr>
      <w:bookmarkStart w:id="756" w:name="_Ref53585317"/>
      <w:r w:rsidRPr="000E5786">
        <w:rPr>
          <w:b/>
        </w:rPr>
        <w:t>“Sub-processor”</w:t>
      </w:r>
      <w:r w:rsidRPr="000E5786">
        <w:t xml:space="preserve"> means any third Party appointed to process Personal Data on behalf of the Supplier.</w:t>
      </w:r>
      <w:bookmarkEnd w:id="756"/>
    </w:p>
    <w:p w14:paraId="72950516" w14:textId="4B579323" w:rsidR="0048699F" w:rsidRPr="000E5786" w:rsidRDefault="0048699F" w:rsidP="00DD60F0">
      <w:pPr>
        <w:pStyle w:val="Heading2"/>
        <w:spacing w:after="120"/>
        <w:rPr>
          <w:rFonts w:cs="Arial"/>
          <w:szCs w:val="20"/>
        </w:rPr>
      </w:pPr>
      <w:bookmarkStart w:id="757" w:name="_Ref53585318"/>
      <w:r w:rsidRPr="000E5786">
        <w:rPr>
          <w:rFonts w:cs="Arial"/>
          <w:szCs w:val="20"/>
        </w:rPr>
        <w:lastRenderedPageBreak/>
        <w:t xml:space="preserve">With respect to the Parties’ rights and obligations under this Agreement, the Parties acknowledge that for the purposes of the Data Protection Legislation,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is the </w:t>
      </w:r>
      <w:proofErr w:type="gramStart"/>
      <w:r w:rsidRPr="000E5786">
        <w:rPr>
          <w:rFonts w:cs="Arial"/>
          <w:szCs w:val="20"/>
        </w:rPr>
        <w:t>Controller</w:t>
      </w:r>
      <w:proofErr w:type="gramEnd"/>
      <w:r w:rsidRPr="000E5786">
        <w:rPr>
          <w:rFonts w:cs="Arial"/>
          <w:szCs w:val="20"/>
        </w:rPr>
        <w:t xml:space="preserve"> and the Supplier is the Processor.</w:t>
      </w:r>
      <w:bookmarkEnd w:id="757"/>
    </w:p>
    <w:p w14:paraId="59F106DD" w14:textId="5DAA632C" w:rsidR="0048699F" w:rsidRPr="000E5786" w:rsidRDefault="0048699F" w:rsidP="00DD60F0">
      <w:pPr>
        <w:pStyle w:val="Heading2"/>
        <w:spacing w:after="120"/>
        <w:rPr>
          <w:rFonts w:cs="Arial"/>
          <w:szCs w:val="20"/>
        </w:rPr>
      </w:pPr>
      <w:bookmarkStart w:id="758" w:name="_Ref53585319"/>
      <w:r w:rsidRPr="000E5786">
        <w:rPr>
          <w:rFonts w:cs="Arial"/>
          <w:szCs w:val="20"/>
        </w:rPr>
        <w:t xml:space="preserve">The only processing that the Supplier is authorised to do is listed in </w:t>
      </w:r>
      <w:bookmarkStart w:id="759" w:name="DocXTextRef304"/>
      <w:r w:rsidRPr="000E5786">
        <w:rPr>
          <w:rFonts w:cs="Arial"/>
          <w:szCs w:val="20"/>
        </w:rPr>
        <w:t>Schedule 12</w:t>
      </w:r>
      <w:bookmarkEnd w:id="759"/>
      <w:r w:rsidRPr="000E5786">
        <w:rPr>
          <w:rFonts w:cs="Arial"/>
          <w:szCs w:val="20"/>
        </w:rPr>
        <w:t xml:space="preserve"> (Protection of Personal Data)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and may not be determined by the Supplier.</w:t>
      </w:r>
      <w:bookmarkEnd w:id="758"/>
    </w:p>
    <w:p w14:paraId="0EA13F74" w14:textId="7D8FF94E" w:rsidR="0048699F" w:rsidRPr="000E5786" w:rsidRDefault="0048699F" w:rsidP="00DD60F0">
      <w:pPr>
        <w:pStyle w:val="Heading2"/>
        <w:spacing w:after="120"/>
        <w:rPr>
          <w:rFonts w:cs="Arial"/>
          <w:szCs w:val="20"/>
        </w:rPr>
      </w:pPr>
      <w:bookmarkStart w:id="760" w:name="_Ref53585320"/>
      <w:r w:rsidRPr="000E5786">
        <w:rPr>
          <w:rFonts w:cs="Arial"/>
          <w:szCs w:val="20"/>
        </w:rPr>
        <w:t xml:space="preserve">The Supplier shall provide all reasonable assistance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the preparation of any Data Protection Impact Assessment prior to commencing any processing.</w:t>
      </w:r>
      <w:bookmarkEnd w:id="760"/>
    </w:p>
    <w:p w14:paraId="5B0BFF95" w14:textId="039A09F6" w:rsidR="0048699F" w:rsidRPr="000E5786" w:rsidRDefault="0048699F" w:rsidP="00DD60F0">
      <w:pPr>
        <w:pStyle w:val="Heading2"/>
        <w:spacing w:after="120"/>
        <w:rPr>
          <w:rFonts w:cs="Arial"/>
          <w:szCs w:val="20"/>
        </w:rPr>
      </w:pPr>
      <w:bookmarkStart w:id="761" w:name="_Ref53585321"/>
      <w:r w:rsidRPr="000E5786">
        <w:rPr>
          <w:rFonts w:cs="Arial"/>
          <w:szCs w:val="20"/>
        </w:rPr>
        <w:t>The Supplier shall:</w:t>
      </w:r>
      <w:bookmarkEnd w:id="761"/>
    </w:p>
    <w:p w14:paraId="4C3DDEC3" w14:textId="72B08E3B" w:rsidR="0048699F" w:rsidRPr="000E5786" w:rsidRDefault="0048699F" w:rsidP="00346A37">
      <w:pPr>
        <w:pStyle w:val="Heading3"/>
      </w:pPr>
      <w:bookmarkStart w:id="762" w:name="_Ref53585322"/>
      <w:r w:rsidRPr="000E5786">
        <w:t xml:space="preserve">only process Personal Data to the extent strictly necessary and listed in </w:t>
      </w:r>
      <w:bookmarkStart w:id="763" w:name="DocXTextRef305"/>
      <w:r w:rsidRPr="000E5786">
        <w:t>Schedule</w:t>
      </w:r>
      <w:r w:rsidR="003E5446" w:rsidRPr="000E5786">
        <w:t xml:space="preserve"> </w:t>
      </w:r>
      <w:r w:rsidRPr="000E5786">
        <w:t>12</w:t>
      </w:r>
      <w:bookmarkEnd w:id="763"/>
      <w:r w:rsidRPr="000E5786">
        <w:t xml:space="preserve"> (Protection of Personal Data) to perform its obligations under this </w:t>
      </w:r>
      <w:proofErr w:type="gramStart"/>
      <w:r w:rsidRPr="000E5786">
        <w:t>Agreement;</w:t>
      </w:r>
      <w:bookmarkEnd w:id="762"/>
      <w:proofErr w:type="gramEnd"/>
    </w:p>
    <w:p w14:paraId="6155D6BF" w14:textId="19237031" w:rsidR="0048699F" w:rsidRPr="000E5786" w:rsidRDefault="0048699F" w:rsidP="00346A37">
      <w:pPr>
        <w:pStyle w:val="Heading3"/>
      </w:pPr>
      <w:bookmarkStart w:id="764" w:name="_Ref53585323"/>
      <w:r w:rsidRPr="000E5786">
        <w:t xml:space="preserve">ensure that it has in place protective measures which are </w:t>
      </w:r>
      <w:r w:rsidR="00905B46" w:rsidRPr="00C0214D">
        <w:rPr>
          <w:rFonts w:eastAsia="Verdana"/>
        </w:rPr>
        <w:t xml:space="preserve">agreed between the parties as </w:t>
      </w:r>
      <w:r w:rsidRPr="000E5786">
        <w:t>appropriate to protect</w:t>
      </w:r>
      <w:r w:rsidR="003E5446" w:rsidRPr="000E5786">
        <w:t xml:space="preserve"> </w:t>
      </w:r>
      <w:r w:rsidRPr="000E5786">
        <w:t xml:space="preserve">against a Data Loss </w:t>
      </w:r>
      <w:proofErr w:type="gramStart"/>
      <w:r w:rsidRPr="000E5786">
        <w:t>Event;</w:t>
      </w:r>
      <w:bookmarkEnd w:id="764"/>
      <w:proofErr w:type="gramEnd"/>
    </w:p>
    <w:p w14:paraId="351C4982" w14:textId="59F80862" w:rsidR="0048699F" w:rsidRPr="000E5786" w:rsidRDefault="0048699F" w:rsidP="00346A37">
      <w:pPr>
        <w:pStyle w:val="Heading3"/>
      </w:pPr>
      <w:bookmarkStart w:id="765" w:name="_Ref53585324"/>
      <w:r w:rsidRPr="000E5786">
        <w:t>take all reasonable steps to ensure the Supplier’s personnel who have access to Personal Data:</w:t>
      </w:r>
      <w:bookmarkEnd w:id="765"/>
    </w:p>
    <w:p w14:paraId="193CDE30" w14:textId="63A14688" w:rsidR="0048699F" w:rsidRPr="000E5786" w:rsidRDefault="0048699F" w:rsidP="00834C1A">
      <w:pPr>
        <w:pStyle w:val="Heading4"/>
        <w:tabs>
          <w:tab w:val="clear" w:pos="1702"/>
          <w:tab w:val="num" w:pos="2552"/>
        </w:tabs>
        <w:spacing w:after="120"/>
        <w:ind w:left="2410"/>
        <w:rPr>
          <w:rFonts w:cs="Arial"/>
          <w:szCs w:val="20"/>
        </w:rPr>
      </w:pPr>
      <w:bookmarkStart w:id="766" w:name="_Ref53585325"/>
      <w:r w:rsidRPr="000E5786">
        <w:rPr>
          <w:rFonts w:cs="Arial"/>
          <w:szCs w:val="20"/>
        </w:rPr>
        <w:t xml:space="preserve">are aware of and comply with the Supplier’s duties under this clause </w:t>
      </w:r>
      <w:r w:rsidR="00600299" w:rsidRPr="000E5786">
        <w:rPr>
          <w:rFonts w:cs="Arial"/>
          <w:szCs w:val="20"/>
        </w:rPr>
        <w:fldChar w:fldCharType="begin"/>
      </w:r>
      <w:r w:rsidR="00600299" w:rsidRPr="000E5786">
        <w:rPr>
          <w:rFonts w:cs="Arial"/>
          <w:szCs w:val="20"/>
        </w:rPr>
        <w:instrText xml:space="preserve">  REF _Ref53585724 \w \h \* MERGEFORMAT </w:instrText>
      </w:r>
      <w:r w:rsidR="00600299" w:rsidRPr="000E5786">
        <w:rPr>
          <w:rFonts w:cs="Arial"/>
          <w:szCs w:val="20"/>
        </w:rPr>
      </w:r>
      <w:r w:rsidR="00600299" w:rsidRPr="000E5786">
        <w:rPr>
          <w:rFonts w:cs="Arial"/>
          <w:szCs w:val="20"/>
        </w:rPr>
        <w:fldChar w:fldCharType="separate"/>
      </w:r>
      <w:r w:rsidR="002523A8" w:rsidRPr="000E5786">
        <w:rPr>
          <w:rFonts w:cs="Arial"/>
          <w:szCs w:val="20"/>
        </w:rPr>
        <w:t>26</w:t>
      </w:r>
      <w:r w:rsidR="00600299" w:rsidRPr="000E5786">
        <w:rPr>
          <w:rFonts w:cs="Arial"/>
          <w:szCs w:val="20"/>
        </w:rPr>
        <w:fldChar w:fldCharType="end"/>
      </w:r>
      <w:r w:rsidRPr="000E5786">
        <w:rPr>
          <w:rFonts w:cs="Arial"/>
          <w:szCs w:val="20"/>
        </w:rPr>
        <w:t>;</w:t>
      </w:r>
      <w:bookmarkEnd w:id="766"/>
    </w:p>
    <w:p w14:paraId="4F24A8BC" w14:textId="7B1F480C" w:rsidR="0048699F" w:rsidRPr="000E5786" w:rsidRDefault="0048699F" w:rsidP="00834C1A">
      <w:pPr>
        <w:pStyle w:val="Heading4"/>
        <w:tabs>
          <w:tab w:val="clear" w:pos="1702"/>
          <w:tab w:val="num" w:pos="2552"/>
        </w:tabs>
        <w:spacing w:after="120"/>
        <w:ind w:left="2410"/>
        <w:rPr>
          <w:rFonts w:cs="Arial"/>
          <w:szCs w:val="20"/>
        </w:rPr>
      </w:pPr>
      <w:bookmarkStart w:id="767" w:name="_Ref53585326"/>
      <w:r w:rsidRPr="000E5786">
        <w:rPr>
          <w:rFonts w:cs="Arial"/>
          <w:szCs w:val="20"/>
        </w:rPr>
        <w:t>are subject to appropriate confidentiality undertakings with the Supplier or any Sub-processor; and</w:t>
      </w:r>
      <w:bookmarkEnd w:id="767"/>
    </w:p>
    <w:p w14:paraId="4C6A1135" w14:textId="2217489F" w:rsidR="0048699F" w:rsidRPr="000E5786" w:rsidRDefault="0048699F" w:rsidP="00834C1A">
      <w:pPr>
        <w:pStyle w:val="Heading4"/>
        <w:tabs>
          <w:tab w:val="clear" w:pos="1702"/>
          <w:tab w:val="num" w:pos="2552"/>
        </w:tabs>
        <w:spacing w:after="120"/>
        <w:ind w:left="2410"/>
        <w:rPr>
          <w:rFonts w:cs="Arial"/>
          <w:szCs w:val="20"/>
        </w:rPr>
      </w:pPr>
      <w:bookmarkStart w:id="768" w:name="_Ref53585327"/>
      <w:r w:rsidRPr="000E5786">
        <w:rPr>
          <w:rFonts w:cs="Arial"/>
          <w:szCs w:val="20"/>
        </w:rPr>
        <w:t xml:space="preserve">have undergone adequate training in the use, care, protection and handling of Personal </w:t>
      </w:r>
      <w:proofErr w:type="gramStart"/>
      <w:r w:rsidRPr="000E5786">
        <w:rPr>
          <w:rFonts w:cs="Arial"/>
          <w:szCs w:val="20"/>
        </w:rPr>
        <w:t>Data;</w:t>
      </w:r>
      <w:bookmarkEnd w:id="768"/>
      <w:proofErr w:type="gramEnd"/>
    </w:p>
    <w:p w14:paraId="1C230116" w14:textId="21289B04" w:rsidR="0048699F" w:rsidRPr="000E5786" w:rsidRDefault="0048699F" w:rsidP="00346A37">
      <w:pPr>
        <w:pStyle w:val="Heading3"/>
      </w:pPr>
      <w:bookmarkStart w:id="769" w:name="_Ref53585328"/>
      <w:r w:rsidRPr="000E5786">
        <w:t xml:space="preserve">not transfer Personal Data to any country outside the European Economic Area (as it is made up from time to time) or the United Kingdom unless the prior written consent of </w:t>
      </w:r>
      <w:proofErr w:type="spellStart"/>
      <w:r w:rsidR="001F1C19">
        <w:t>Netlink</w:t>
      </w:r>
      <w:proofErr w:type="spellEnd"/>
      <w:r w:rsidR="001F1C19">
        <w:t xml:space="preserve"> Star</w:t>
      </w:r>
      <w:r w:rsidRPr="000E5786">
        <w:t xml:space="preserve"> has been obtained and the following conditions are fulfilled:</w:t>
      </w:r>
      <w:bookmarkEnd w:id="769"/>
    </w:p>
    <w:p w14:paraId="05ED72E0" w14:textId="7636DF2F" w:rsidR="0048699F" w:rsidRPr="000E5786" w:rsidRDefault="001F1C19" w:rsidP="00834C1A">
      <w:pPr>
        <w:pStyle w:val="Heading4"/>
        <w:tabs>
          <w:tab w:val="clear" w:pos="1702"/>
          <w:tab w:val="num" w:pos="2552"/>
        </w:tabs>
        <w:spacing w:after="120"/>
        <w:ind w:left="2410"/>
        <w:rPr>
          <w:rFonts w:cs="Arial"/>
          <w:szCs w:val="20"/>
        </w:rPr>
      </w:pPr>
      <w:bookmarkStart w:id="770" w:name="_Ref53585329"/>
      <w:proofErr w:type="spellStart"/>
      <w:r>
        <w:rPr>
          <w:rFonts w:cs="Arial"/>
          <w:szCs w:val="20"/>
        </w:rPr>
        <w:t>Netlink</w:t>
      </w:r>
      <w:proofErr w:type="spellEnd"/>
      <w:r>
        <w:rPr>
          <w:rFonts w:cs="Arial"/>
          <w:szCs w:val="20"/>
        </w:rPr>
        <w:t xml:space="preserve"> Star</w:t>
      </w:r>
      <w:r w:rsidR="0048699F" w:rsidRPr="000E5786">
        <w:rPr>
          <w:rFonts w:cs="Arial"/>
          <w:szCs w:val="20"/>
        </w:rPr>
        <w:t xml:space="preserve"> or the Supplier has provided appropriate safeguards in relation to the transfer as determined by </w:t>
      </w:r>
      <w:proofErr w:type="spellStart"/>
      <w:r>
        <w:rPr>
          <w:rFonts w:cs="Arial"/>
          <w:szCs w:val="20"/>
        </w:rPr>
        <w:t>Netlink</w:t>
      </w:r>
      <w:proofErr w:type="spellEnd"/>
      <w:r>
        <w:rPr>
          <w:rFonts w:cs="Arial"/>
          <w:szCs w:val="20"/>
        </w:rPr>
        <w:t xml:space="preserve"> Star</w:t>
      </w:r>
      <w:r w:rsidR="00905B46">
        <w:rPr>
          <w:rFonts w:cs="Arial"/>
          <w:szCs w:val="20"/>
        </w:rPr>
        <w:t xml:space="preserve"> (acting in good faith</w:t>
      </w:r>
      <w:proofErr w:type="gramStart"/>
      <w:r w:rsidR="00905B46">
        <w:rPr>
          <w:rFonts w:cs="Arial"/>
          <w:szCs w:val="20"/>
        </w:rPr>
        <w:t>)</w:t>
      </w:r>
      <w:r w:rsidR="0048699F" w:rsidRPr="000E5786">
        <w:rPr>
          <w:rFonts w:cs="Arial"/>
          <w:szCs w:val="20"/>
        </w:rPr>
        <w:t>;</w:t>
      </w:r>
      <w:bookmarkEnd w:id="770"/>
      <w:proofErr w:type="gramEnd"/>
    </w:p>
    <w:p w14:paraId="015CB29A" w14:textId="534CDBEF" w:rsidR="0048699F" w:rsidRPr="000E5786" w:rsidRDefault="0048699F" w:rsidP="00834C1A">
      <w:pPr>
        <w:pStyle w:val="Heading4"/>
        <w:tabs>
          <w:tab w:val="clear" w:pos="1702"/>
          <w:tab w:val="num" w:pos="2552"/>
        </w:tabs>
        <w:spacing w:after="120"/>
        <w:ind w:left="2410"/>
        <w:rPr>
          <w:rFonts w:cs="Arial"/>
          <w:szCs w:val="20"/>
        </w:rPr>
      </w:pPr>
      <w:bookmarkStart w:id="771" w:name="_Ref53585330"/>
      <w:r w:rsidRPr="000E5786">
        <w:rPr>
          <w:rFonts w:cs="Arial"/>
          <w:szCs w:val="20"/>
        </w:rPr>
        <w:t>the Data Subject has enforceable rights and effective legal remedies; and</w:t>
      </w:r>
      <w:bookmarkEnd w:id="771"/>
    </w:p>
    <w:p w14:paraId="5C3C6C66" w14:textId="1777D157" w:rsidR="0048699F" w:rsidRPr="000E5786" w:rsidRDefault="0048699F" w:rsidP="00834C1A">
      <w:pPr>
        <w:pStyle w:val="Heading4"/>
        <w:tabs>
          <w:tab w:val="clear" w:pos="1702"/>
          <w:tab w:val="num" w:pos="2552"/>
        </w:tabs>
        <w:spacing w:after="120"/>
        <w:ind w:left="2410"/>
        <w:rPr>
          <w:rFonts w:cs="Arial"/>
          <w:szCs w:val="20"/>
        </w:rPr>
      </w:pPr>
      <w:bookmarkStart w:id="772" w:name="_Ref53585331"/>
      <w:r w:rsidRPr="000E5786">
        <w:rPr>
          <w:rFonts w:cs="Arial"/>
          <w:szCs w:val="20"/>
        </w:rPr>
        <w:t xml:space="preserve">the Supplier complies with its obligations under Data Protection Legislation by providing an adequate level of protection to any Personal Data that is transferred (or, if it is not so bound, uses its best endeavours to assist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meeting its obligations); and</w:t>
      </w:r>
      <w:bookmarkEnd w:id="772"/>
    </w:p>
    <w:p w14:paraId="15177693" w14:textId="576004B7" w:rsidR="0048699F" w:rsidRPr="000E5786" w:rsidRDefault="0048699F" w:rsidP="00346A37">
      <w:pPr>
        <w:pStyle w:val="Heading3"/>
      </w:pPr>
      <w:bookmarkStart w:id="773" w:name="_Ref53585332"/>
      <w:r w:rsidRPr="000E5786">
        <w:t xml:space="preserve">at the written direction of </w:t>
      </w:r>
      <w:proofErr w:type="spellStart"/>
      <w:r w:rsidR="001F1C19">
        <w:t>Netlink</w:t>
      </w:r>
      <w:proofErr w:type="spellEnd"/>
      <w:r w:rsidR="001F1C19">
        <w:t xml:space="preserve"> Star</w:t>
      </w:r>
      <w:r w:rsidRPr="000E5786">
        <w:t xml:space="preserve">, delete or return Personal Data (and any copies of it) to </w:t>
      </w:r>
      <w:proofErr w:type="spellStart"/>
      <w:r w:rsidR="001F1C19">
        <w:t>Netlink</w:t>
      </w:r>
      <w:proofErr w:type="spellEnd"/>
      <w:r w:rsidR="001F1C19">
        <w:t xml:space="preserve"> Star</w:t>
      </w:r>
      <w:r w:rsidRPr="000E5786">
        <w:t xml:space="preserve"> on termination of the Agreement unless the Supplier is required by Law to retain the Personal Data.</w:t>
      </w:r>
      <w:bookmarkEnd w:id="773"/>
    </w:p>
    <w:p w14:paraId="402CAB76" w14:textId="3AC804F6" w:rsidR="0048699F" w:rsidRPr="000E5786" w:rsidRDefault="0048699F" w:rsidP="00DD60F0">
      <w:pPr>
        <w:pStyle w:val="Heading2"/>
        <w:spacing w:after="120"/>
        <w:rPr>
          <w:rFonts w:cs="Arial"/>
          <w:szCs w:val="20"/>
        </w:rPr>
      </w:pPr>
      <w:bookmarkStart w:id="774" w:name="_Ref53585333"/>
      <w:r w:rsidRPr="000E5786">
        <w:rPr>
          <w:rFonts w:cs="Arial"/>
          <w:szCs w:val="20"/>
        </w:rPr>
        <w:t xml:space="preserve">The Supplier shall notify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immediately if it:</w:t>
      </w:r>
      <w:bookmarkEnd w:id="774"/>
    </w:p>
    <w:p w14:paraId="0CBAA157" w14:textId="6B467D72" w:rsidR="0048699F" w:rsidRPr="000E5786" w:rsidRDefault="0048699F" w:rsidP="00346A37">
      <w:pPr>
        <w:pStyle w:val="Heading3"/>
      </w:pPr>
      <w:bookmarkStart w:id="775" w:name="_Ref53585334"/>
      <w:r w:rsidRPr="000E5786">
        <w:t>receives a Data Subject Request (or purported Data Subject Request</w:t>
      </w:r>
      <w:proofErr w:type="gramStart"/>
      <w:r w:rsidRPr="000E5786">
        <w:t>);</w:t>
      </w:r>
      <w:bookmarkEnd w:id="775"/>
      <w:proofErr w:type="gramEnd"/>
    </w:p>
    <w:p w14:paraId="6ECC476A" w14:textId="44D87C93" w:rsidR="0048699F" w:rsidRPr="000E5786" w:rsidRDefault="0048699F" w:rsidP="00346A37">
      <w:pPr>
        <w:pStyle w:val="Heading3"/>
      </w:pPr>
      <w:bookmarkStart w:id="776" w:name="_Ref53585335"/>
      <w:r w:rsidRPr="000E5786">
        <w:t xml:space="preserve">receives a request to rectify, block or erase any Personal </w:t>
      </w:r>
      <w:proofErr w:type="gramStart"/>
      <w:r w:rsidRPr="000E5786">
        <w:t>Data;</w:t>
      </w:r>
      <w:bookmarkEnd w:id="776"/>
      <w:proofErr w:type="gramEnd"/>
    </w:p>
    <w:p w14:paraId="2DDCB248" w14:textId="30C09E90" w:rsidR="0048699F" w:rsidRPr="000E5786" w:rsidRDefault="0048699F" w:rsidP="00346A37">
      <w:pPr>
        <w:pStyle w:val="Heading3"/>
      </w:pPr>
      <w:bookmarkStart w:id="777" w:name="_Ref53585336"/>
      <w:r w:rsidRPr="000E5786">
        <w:t xml:space="preserve">receives any other request, complaint or communication relating to either Party’s obligations under Data Protection </w:t>
      </w:r>
      <w:proofErr w:type="gramStart"/>
      <w:r w:rsidRPr="000E5786">
        <w:t>Legislation;</w:t>
      </w:r>
      <w:bookmarkEnd w:id="777"/>
      <w:proofErr w:type="gramEnd"/>
    </w:p>
    <w:p w14:paraId="06B048E7" w14:textId="0A14F101" w:rsidR="0048699F" w:rsidRPr="000E5786" w:rsidRDefault="0048699F" w:rsidP="00346A37">
      <w:pPr>
        <w:pStyle w:val="Heading3"/>
      </w:pPr>
      <w:bookmarkStart w:id="778" w:name="_Ref53585337"/>
      <w:r w:rsidRPr="000E5786">
        <w:t xml:space="preserve">receives any communication from the Information Commissioner or any other regulatory authority in connection with Personal Data processed under this </w:t>
      </w:r>
      <w:proofErr w:type="gramStart"/>
      <w:r w:rsidRPr="000E5786">
        <w:t>Agreement;</w:t>
      </w:r>
      <w:bookmarkEnd w:id="778"/>
      <w:proofErr w:type="gramEnd"/>
    </w:p>
    <w:p w14:paraId="608B4BCA" w14:textId="77777777" w:rsidR="009E6C1E" w:rsidRPr="000E5786" w:rsidRDefault="0048699F" w:rsidP="00346A37">
      <w:pPr>
        <w:pStyle w:val="Heading3"/>
      </w:pPr>
      <w:bookmarkStart w:id="779" w:name="_Ref53585338"/>
      <w:r w:rsidRPr="000E5786">
        <w:t>receives a request from any third party for disclosure of Personal Data where</w:t>
      </w:r>
      <w:r w:rsidR="0093144C" w:rsidRPr="000E5786">
        <w:t xml:space="preserve"> </w:t>
      </w:r>
      <w:r w:rsidRPr="000E5786">
        <w:t>compliance with such request is required or purported to be required by Law; or</w:t>
      </w:r>
    </w:p>
    <w:p w14:paraId="2163EC87" w14:textId="1C810D86" w:rsidR="0048699F" w:rsidRPr="000E5786" w:rsidRDefault="0048699F" w:rsidP="00346A37">
      <w:pPr>
        <w:pStyle w:val="Heading3"/>
      </w:pPr>
      <w:r w:rsidRPr="000E5786">
        <w:t>becomes aware of a Data Loss Event.</w:t>
      </w:r>
      <w:bookmarkEnd w:id="779"/>
    </w:p>
    <w:p w14:paraId="1175ABCC" w14:textId="727A8FF4" w:rsidR="0048699F" w:rsidRPr="000E5786" w:rsidRDefault="0048699F" w:rsidP="00DD60F0">
      <w:pPr>
        <w:pStyle w:val="Heading2"/>
        <w:spacing w:after="120"/>
        <w:rPr>
          <w:rFonts w:cs="Arial"/>
          <w:szCs w:val="20"/>
        </w:rPr>
      </w:pPr>
      <w:bookmarkStart w:id="780" w:name="_Ref53585339"/>
      <w:proofErr w:type="gramStart"/>
      <w:r w:rsidRPr="000E5786">
        <w:rPr>
          <w:rFonts w:cs="Arial"/>
          <w:szCs w:val="20"/>
        </w:rPr>
        <w:t>Taking into account</w:t>
      </w:r>
      <w:proofErr w:type="gramEnd"/>
      <w:r w:rsidRPr="000E5786">
        <w:rPr>
          <w:rFonts w:cs="Arial"/>
          <w:szCs w:val="20"/>
        </w:rPr>
        <w:t xml:space="preserve"> the nature of the processing, the Supplier shall provide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with full assistance in relation to either Party’s obligations under Data Protection Legislation and any complaint, communication or request made (and insofar as possible within the timescales reasonably required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including by promptly providing:</w:t>
      </w:r>
      <w:bookmarkEnd w:id="780"/>
    </w:p>
    <w:p w14:paraId="6A4C5FCA" w14:textId="6923B768" w:rsidR="0048699F" w:rsidRPr="000E5786" w:rsidRDefault="0048699F" w:rsidP="00346A37">
      <w:pPr>
        <w:pStyle w:val="Heading3"/>
      </w:pPr>
      <w:bookmarkStart w:id="781" w:name="_Ref53585340"/>
      <w:r w:rsidRPr="000E5786">
        <w:t xml:space="preserve">full details and copies of the complaint, communication or </w:t>
      </w:r>
      <w:proofErr w:type="gramStart"/>
      <w:r w:rsidRPr="000E5786">
        <w:t>request;</w:t>
      </w:r>
      <w:bookmarkEnd w:id="781"/>
      <w:proofErr w:type="gramEnd"/>
    </w:p>
    <w:p w14:paraId="0F03A872" w14:textId="426E1E56" w:rsidR="0048699F" w:rsidRPr="000E5786" w:rsidRDefault="0048699F" w:rsidP="00346A37">
      <w:pPr>
        <w:pStyle w:val="Heading3"/>
      </w:pPr>
      <w:bookmarkStart w:id="782" w:name="_Ref53585341"/>
      <w:r w:rsidRPr="000E5786">
        <w:lastRenderedPageBreak/>
        <w:t xml:space="preserve">such assistance as is reasonably requested by </w:t>
      </w:r>
      <w:proofErr w:type="spellStart"/>
      <w:r w:rsidR="001F1C19">
        <w:t>Netlink</w:t>
      </w:r>
      <w:proofErr w:type="spellEnd"/>
      <w:r w:rsidR="001F1C19">
        <w:t xml:space="preserve"> Star</w:t>
      </w:r>
      <w:r w:rsidRPr="000E5786">
        <w:t xml:space="preserve"> to enable </w:t>
      </w:r>
      <w:proofErr w:type="spellStart"/>
      <w:r w:rsidR="001F1C19">
        <w:t>Netlink</w:t>
      </w:r>
      <w:proofErr w:type="spellEnd"/>
      <w:r w:rsidR="001F1C19">
        <w:t xml:space="preserve"> Star</w:t>
      </w:r>
      <w:r w:rsidRPr="000E5786">
        <w:t xml:space="preserve"> to comply with a Data Subject Request within the relevant timescales set out in Data Protection </w:t>
      </w:r>
      <w:proofErr w:type="gramStart"/>
      <w:r w:rsidRPr="000E5786">
        <w:t>Legislation;</w:t>
      </w:r>
      <w:bookmarkEnd w:id="782"/>
      <w:proofErr w:type="gramEnd"/>
    </w:p>
    <w:p w14:paraId="1A61CBA6" w14:textId="1F8912B6" w:rsidR="0048699F" w:rsidRPr="000E5786" w:rsidRDefault="001F1C19" w:rsidP="00346A37">
      <w:pPr>
        <w:pStyle w:val="Heading3"/>
      </w:pPr>
      <w:bookmarkStart w:id="783" w:name="_Ref53585342"/>
      <w:proofErr w:type="spellStart"/>
      <w:r>
        <w:t>Netlink</w:t>
      </w:r>
      <w:proofErr w:type="spellEnd"/>
      <w:r>
        <w:t xml:space="preserve"> Star</w:t>
      </w:r>
      <w:r w:rsidR="0048699F" w:rsidRPr="000E5786">
        <w:t xml:space="preserve">, at its request, with any Personal Data it holds in relation to a Data </w:t>
      </w:r>
      <w:proofErr w:type="gramStart"/>
      <w:r w:rsidR="0048699F" w:rsidRPr="000E5786">
        <w:t>Subject;</w:t>
      </w:r>
      <w:bookmarkEnd w:id="783"/>
      <w:proofErr w:type="gramEnd"/>
    </w:p>
    <w:p w14:paraId="34CE558E" w14:textId="6A2AC65F" w:rsidR="0048699F" w:rsidRPr="000E5786" w:rsidRDefault="0048699F" w:rsidP="00346A37">
      <w:pPr>
        <w:pStyle w:val="Heading3"/>
      </w:pPr>
      <w:bookmarkStart w:id="784" w:name="_Ref53585343"/>
      <w:r w:rsidRPr="000E5786">
        <w:t xml:space="preserve">assistance as requested by </w:t>
      </w:r>
      <w:proofErr w:type="spellStart"/>
      <w:r w:rsidR="001F1C19">
        <w:t>Netlink</w:t>
      </w:r>
      <w:proofErr w:type="spellEnd"/>
      <w:r w:rsidR="001F1C19">
        <w:t xml:space="preserve"> Star</w:t>
      </w:r>
      <w:r w:rsidRPr="000E5786">
        <w:t xml:space="preserve"> following any Data Loss </w:t>
      </w:r>
      <w:proofErr w:type="gramStart"/>
      <w:r w:rsidRPr="000E5786">
        <w:t>Event;</w:t>
      </w:r>
      <w:bookmarkEnd w:id="784"/>
      <w:proofErr w:type="gramEnd"/>
    </w:p>
    <w:p w14:paraId="6AB4EF8A" w14:textId="0BFC33E4" w:rsidR="0048699F" w:rsidRPr="000E5786" w:rsidRDefault="0048699F" w:rsidP="00346A37">
      <w:pPr>
        <w:pStyle w:val="Heading3"/>
      </w:pPr>
      <w:bookmarkStart w:id="785" w:name="_Ref53585344"/>
      <w:r w:rsidRPr="000E5786">
        <w:t xml:space="preserve">assistance as requested by </w:t>
      </w:r>
      <w:proofErr w:type="spellStart"/>
      <w:r w:rsidR="001F1C19">
        <w:t>Netlink</w:t>
      </w:r>
      <w:proofErr w:type="spellEnd"/>
      <w:r w:rsidR="001F1C19">
        <w:t xml:space="preserve"> Star</w:t>
      </w:r>
      <w:r w:rsidRPr="000E5786">
        <w:t xml:space="preserve"> with respect to any request from the Information Commissioner’s Office</w:t>
      </w:r>
      <w:r w:rsidR="00236BBC" w:rsidRPr="000E5786">
        <w:t xml:space="preserve"> or any other regulatory authority</w:t>
      </w:r>
      <w:r w:rsidRPr="000E5786">
        <w:t xml:space="preserve">, or any consultation by </w:t>
      </w:r>
      <w:proofErr w:type="spellStart"/>
      <w:r w:rsidR="001F1C19">
        <w:t>Netlink</w:t>
      </w:r>
      <w:proofErr w:type="spellEnd"/>
      <w:r w:rsidR="001F1C19">
        <w:t xml:space="preserve"> Star</w:t>
      </w:r>
      <w:r w:rsidRPr="000E5786">
        <w:t xml:space="preserve"> with the Information Commissioner’s Office.</w:t>
      </w:r>
      <w:bookmarkEnd w:id="785"/>
    </w:p>
    <w:p w14:paraId="3A5681DC" w14:textId="14FFDFD8" w:rsidR="0048699F" w:rsidRPr="000E5786" w:rsidRDefault="0048699F" w:rsidP="00DD60F0">
      <w:pPr>
        <w:pStyle w:val="Heading2"/>
        <w:spacing w:after="120"/>
        <w:rPr>
          <w:rFonts w:cs="Arial"/>
          <w:szCs w:val="20"/>
        </w:rPr>
      </w:pPr>
      <w:bookmarkStart w:id="786" w:name="_Ref53585345"/>
      <w:r w:rsidRPr="000E5786">
        <w:rPr>
          <w:rFonts w:cs="Arial"/>
          <w:szCs w:val="20"/>
        </w:rPr>
        <w:t xml:space="preserve">The Supplier shall maintain complete and accurate records and information to demonstrate its compliance with this clause </w:t>
      </w:r>
      <w:r w:rsidR="00600299" w:rsidRPr="000E5786">
        <w:rPr>
          <w:rFonts w:cs="Arial"/>
          <w:szCs w:val="20"/>
        </w:rPr>
        <w:fldChar w:fldCharType="begin"/>
      </w:r>
      <w:r w:rsidR="00600299" w:rsidRPr="000E5786">
        <w:rPr>
          <w:rFonts w:cs="Arial"/>
          <w:szCs w:val="20"/>
        </w:rPr>
        <w:instrText xml:space="preserve">  REF _Ref53585724 \w \h \* MERGEFORMAT </w:instrText>
      </w:r>
      <w:r w:rsidR="00600299" w:rsidRPr="000E5786">
        <w:rPr>
          <w:rFonts w:cs="Arial"/>
          <w:szCs w:val="20"/>
        </w:rPr>
      </w:r>
      <w:r w:rsidR="00600299" w:rsidRPr="000E5786">
        <w:rPr>
          <w:rFonts w:cs="Arial"/>
          <w:szCs w:val="20"/>
        </w:rPr>
        <w:fldChar w:fldCharType="separate"/>
      </w:r>
      <w:r w:rsidR="002523A8" w:rsidRPr="000E5786">
        <w:rPr>
          <w:rFonts w:cs="Arial"/>
          <w:szCs w:val="20"/>
        </w:rPr>
        <w:t>26</w:t>
      </w:r>
      <w:r w:rsidR="00600299" w:rsidRPr="000E5786">
        <w:rPr>
          <w:rFonts w:cs="Arial"/>
          <w:szCs w:val="20"/>
        </w:rPr>
        <w:fldChar w:fldCharType="end"/>
      </w:r>
      <w:r w:rsidRPr="000E5786">
        <w:rPr>
          <w:rFonts w:cs="Arial"/>
          <w:szCs w:val="20"/>
        </w:rPr>
        <w:t xml:space="preserve"> and shall upon reasonable request, promptly make them available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w:t>
      </w:r>
      <w:bookmarkEnd w:id="786"/>
    </w:p>
    <w:p w14:paraId="23C0B103" w14:textId="36FD65BD" w:rsidR="0048699F" w:rsidRPr="000E5786" w:rsidRDefault="00905B46" w:rsidP="00DD60F0">
      <w:pPr>
        <w:pStyle w:val="Heading2"/>
        <w:spacing w:after="120"/>
        <w:rPr>
          <w:rFonts w:cs="Arial"/>
          <w:szCs w:val="20"/>
        </w:rPr>
      </w:pPr>
      <w:bookmarkStart w:id="787" w:name="_Ref53585346"/>
      <w:r w:rsidRPr="00C0214D">
        <w:rPr>
          <w:rFonts w:eastAsia="Verdana" w:cs="Arial"/>
          <w:bCs w:val="0"/>
          <w:szCs w:val="20"/>
        </w:rPr>
        <w:t xml:space="preserve">Save as for any audits required by the Information Commissioner’s Office or any other regulatory authority which the Supplier shall allow or due to a Data Loss Event the Supplier shall allow for no more than one (1) audit of its Data Processing activity by </w:t>
      </w:r>
      <w:proofErr w:type="spellStart"/>
      <w:r w:rsidR="001F1C19">
        <w:rPr>
          <w:rFonts w:eastAsia="Verdana" w:cs="Arial"/>
          <w:bCs w:val="0"/>
          <w:szCs w:val="20"/>
        </w:rPr>
        <w:t>Netlink</w:t>
      </w:r>
      <w:proofErr w:type="spellEnd"/>
      <w:r w:rsidR="001F1C19">
        <w:rPr>
          <w:rFonts w:eastAsia="Verdana" w:cs="Arial"/>
          <w:bCs w:val="0"/>
          <w:szCs w:val="20"/>
        </w:rPr>
        <w:t xml:space="preserve"> Star</w:t>
      </w:r>
      <w:r w:rsidRPr="00C0214D">
        <w:rPr>
          <w:rFonts w:eastAsia="Verdana" w:cs="Arial"/>
          <w:bCs w:val="0"/>
          <w:szCs w:val="20"/>
        </w:rPr>
        <w:t xml:space="preserve"> or </w:t>
      </w:r>
      <w:proofErr w:type="spellStart"/>
      <w:r w:rsidR="001F1C19">
        <w:rPr>
          <w:rFonts w:eastAsia="Verdana" w:cs="Arial"/>
          <w:bCs w:val="0"/>
          <w:szCs w:val="20"/>
        </w:rPr>
        <w:t>Netlink</w:t>
      </w:r>
      <w:proofErr w:type="spellEnd"/>
      <w:r w:rsidR="001F1C19">
        <w:rPr>
          <w:rFonts w:eastAsia="Verdana" w:cs="Arial"/>
          <w:bCs w:val="0"/>
          <w:szCs w:val="20"/>
        </w:rPr>
        <w:t xml:space="preserve"> Star</w:t>
      </w:r>
      <w:r w:rsidRPr="00C0214D">
        <w:rPr>
          <w:rFonts w:eastAsia="Verdana" w:cs="Arial"/>
          <w:bCs w:val="0"/>
          <w:szCs w:val="20"/>
        </w:rPr>
        <w:t>’s designated auditor per calendar year</w:t>
      </w:r>
      <w:r w:rsidR="0048699F" w:rsidRPr="000E5786">
        <w:rPr>
          <w:rFonts w:cs="Arial"/>
          <w:szCs w:val="20"/>
        </w:rPr>
        <w:t>.</w:t>
      </w:r>
      <w:bookmarkEnd w:id="787"/>
    </w:p>
    <w:p w14:paraId="32537CA2" w14:textId="625E2253" w:rsidR="0048699F" w:rsidRPr="000E5786" w:rsidRDefault="0048699F" w:rsidP="00DD60F0">
      <w:pPr>
        <w:pStyle w:val="Heading2"/>
        <w:spacing w:after="120"/>
        <w:rPr>
          <w:rFonts w:cs="Arial"/>
          <w:szCs w:val="20"/>
        </w:rPr>
      </w:pPr>
      <w:bookmarkStart w:id="788" w:name="_Ref53585347"/>
      <w:r w:rsidRPr="000E5786">
        <w:rPr>
          <w:rFonts w:cs="Arial"/>
          <w:szCs w:val="20"/>
        </w:rPr>
        <w:t xml:space="preserve">Before allowing any Sub-processor to process any Personal Data related to this Agreement, the Supplier must obtain the written consent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and enter into a written agreement with the Sub-processor which give effect to the terms set out in this clause </w:t>
      </w:r>
      <w:r w:rsidR="00600299" w:rsidRPr="000E5786">
        <w:rPr>
          <w:rFonts w:cs="Arial"/>
          <w:szCs w:val="20"/>
        </w:rPr>
        <w:fldChar w:fldCharType="begin"/>
      </w:r>
      <w:r w:rsidR="00600299" w:rsidRPr="000E5786">
        <w:rPr>
          <w:rFonts w:cs="Arial"/>
          <w:szCs w:val="20"/>
        </w:rPr>
        <w:instrText xml:space="preserve">  REF _Ref53585724 \w \h \* MERGEFORMAT </w:instrText>
      </w:r>
      <w:r w:rsidR="00600299" w:rsidRPr="000E5786">
        <w:rPr>
          <w:rFonts w:cs="Arial"/>
          <w:szCs w:val="20"/>
        </w:rPr>
      </w:r>
      <w:r w:rsidR="00600299" w:rsidRPr="000E5786">
        <w:rPr>
          <w:rFonts w:cs="Arial"/>
          <w:szCs w:val="20"/>
        </w:rPr>
        <w:fldChar w:fldCharType="separate"/>
      </w:r>
      <w:r w:rsidR="002523A8" w:rsidRPr="000E5786">
        <w:rPr>
          <w:rFonts w:cs="Arial"/>
          <w:szCs w:val="20"/>
        </w:rPr>
        <w:t>26</w:t>
      </w:r>
      <w:r w:rsidR="00600299" w:rsidRPr="000E5786">
        <w:rPr>
          <w:rFonts w:cs="Arial"/>
          <w:szCs w:val="20"/>
        </w:rPr>
        <w:fldChar w:fldCharType="end"/>
      </w:r>
      <w:r w:rsidRPr="000E5786">
        <w:rPr>
          <w:rFonts w:cs="Arial"/>
          <w:szCs w:val="20"/>
        </w:rPr>
        <w:t xml:space="preserve"> such that they apply to the Sub-processor.</w:t>
      </w:r>
      <w:bookmarkEnd w:id="788"/>
    </w:p>
    <w:p w14:paraId="47E123B3" w14:textId="464B21AA" w:rsidR="0048699F" w:rsidRPr="000E5786" w:rsidRDefault="0048699F" w:rsidP="00DD60F0">
      <w:pPr>
        <w:pStyle w:val="Heading1"/>
        <w:spacing w:after="120"/>
        <w:rPr>
          <w:rFonts w:cs="Arial"/>
          <w:szCs w:val="20"/>
        </w:rPr>
      </w:pPr>
      <w:bookmarkStart w:id="789" w:name="_Ref53585348"/>
      <w:bookmarkStart w:id="790" w:name="_Ref53585725"/>
      <w:bookmarkStart w:id="791" w:name="_Toc71198951"/>
      <w:r w:rsidRPr="000E5786">
        <w:rPr>
          <w:rFonts w:cs="Arial"/>
          <w:szCs w:val="20"/>
        </w:rPr>
        <w:t>PUBLICITY AND BRANDING</w:t>
      </w:r>
      <w:bookmarkEnd w:id="789"/>
      <w:bookmarkEnd w:id="790"/>
      <w:bookmarkEnd w:id="791"/>
    </w:p>
    <w:p w14:paraId="2323637E" w14:textId="74283C6F" w:rsidR="0048699F" w:rsidRPr="000E5786" w:rsidRDefault="0048699F" w:rsidP="00DD60F0">
      <w:pPr>
        <w:pStyle w:val="Heading2"/>
        <w:spacing w:after="120"/>
        <w:rPr>
          <w:rFonts w:cs="Arial"/>
          <w:szCs w:val="20"/>
        </w:rPr>
      </w:pPr>
      <w:bookmarkStart w:id="792" w:name="_Ref53585349"/>
      <w:r w:rsidRPr="000E5786">
        <w:rPr>
          <w:rFonts w:cs="Arial"/>
          <w:szCs w:val="20"/>
        </w:rPr>
        <w:t>The Supplier shall not:</w:t>
      </w:r>
      <w:bookmarkEnd w:id="792"/>
    </w:p>
    <w:p w14:paraId="1FACADF8" w14:textId="69C66409" w:rsidR="0048699F" w:rsidRPr="000E5786" w:rsidRDefault="0048699F" w:rsidP="00346A37">
      <w:pPr>
        <w:pStyle w:val="Heading3"/>
      </w:pPr>
      <w:bookmarkStart w:id="793" w:name="_Ref53585350"/>
      <w:r w:rsidRPr="000E5786">
        <w:t xml:space="preserve">make any press announcements or publicise this Agreement or its contents in any </w:t>
      </w:r>
      <w:proofErr w:type="gramStart"/>
      <w:r w:rsidRPr="000E5786">
        <w:t>way;</w:t>
      </w:r>
      <w:bookmarkEnd w:id="793"/>
      <w:proofErr w:type="gramEnd"/>
    </w:p>
    <w:p w14:paraId="3E9ACABA" w14:textId="78263BAA" w:rsidR="0048699F" w:rsidRPr="000E5786" w:rsidRDefault="0048699F" w:rsidP="00346A37">
      <w:pPr>
        <w:pStyle w:val="Heading3"/>
      </w:pPr>
      <w:bookmarkStart w:id="794" w:name="_Ref53585351"/>
      <w:r w:rsidRPr="000E5786">
        <w:t xml:space="preserve">use </w:t>
      </w:r>
      <w:proofErr w:type="spellStart"/>
      <w:r w:rsidR="001F1C19">
        <w:t>Netlink</w:t>
      </w:r>
      <w:proofErr w:type="spellEnd"/>
      <w:r w:rsidR="001F1C19">
        <w:t xml:space="preserve"> Star</w:t>
      </w:r>
      <w:r w:rsidRPr="000E5786">
        <w:t>’s name, brand or logo in any promotion or marketing or announcement of orders; or</w:t>
      </w:r>
      <w:bookmarkEnd w:id="794"/>
    </w:p>
    <w:p w14:paraId="53600DEC" w14:textId="42E1A83A" w:rsidR="0048699F" w:rsidRPr="000E5786" w:rsidRDefault="0048699F" w:rsidP="00346A37">
      <w:pPr>
        <w:pStyle w:val="Heading3"/>
      </w:pPr>
      <w:bookmarkStart w:id="795" w:name="_Ref53585352"/>
      <w:r w:rsidRPr="000E5786">
        <w:t xml:space="preserve">disclose that </w:t>
      </w:r>
      <w:proofErr w:type="spellStart"/>
      <w:r w:rsidR="001F1C19">
        <w:t>Netlink</w:t>
      </w:r>
      <w:proofErr w:type="spellEnd"/>
      <w:r w:rsidR="001F1C19">
        <w:t xml:space="preserve"> Star</w:t>
      </w:r>
      <w:r w:rsidRPr="000E5786">
        <w:t xml:space="preserve"> is a customer or client of the Supplier,</w:t>
      </w:r>
      <w:bookmarkEnd w:id="795"/>
    </w:p>
    <w:p w14:paraId="2702F419" w14:textId="0C39ABEC" w:rsidR="0048699F" w:rsidRPr="000E5786" w:rsidRDefault="0048699F" w:rsidP="00DD60F0">
      <w:pPr>
        <w:pStyle w:val="BodyText2"/>
        <w:spacing w:after="120"/>
        <w:rPr>
          <w:rFonts w:cs="Arial"/>
          <w:szCs w:val="20"/>
        </w:rPr>
      </w:pPr>
      <w:r w:rsidRPr="000E5786">
        <w:rPr>
          <w:rFonts w:cs="Arial"/>
          <w:szCs w:val="20"/>
        </w:rPr>
        <w:t xml:space="preserve">without the prior written consent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which shall not be unreasonably withheld or delayed.</w:t>
      </w:r>
    </w:p>
    <w:p w14:paraId="375B22FF" w14:textId="1B853336" w:rsidR="0048699F" w:rsidRPr="000E5786" w:rsidRDefault="0048699F" w:rsidP="00DD60F0">
      <w:pPr>
        <w:pStyle w:val="Heading2"/>
        <w:spacing w:after="120"/>
        <w:rPr>
          <w:rFonts w:cs="Arial"/>
          <w:szCs w:val="20"/>
        </w:rPr>
      </w:pPr>
      <w:bookmarkStart w:id="796" w:name="_Ref53585353"/>
      <w:r w:rsidRPr="000E5786">
        <w:rPr>
          <w:rFonts w:cs="Arial"/>
          <w:szCs w:val="20"/>
        </w:rPr>
        <w:t xml:space="preserve">Each Party acknowledges to the other that nothing in this Agreement either expressly or by implication constitutes an endorsement of any products or services of the other Party (including the Services, the Supplier System and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System) and each Party agrees not to conduct itself in such a way as to imply or express any such approval or endorsement.</w:t>
      </w:r>
      <w:bookmarkEnd w:id="796"/>
    </w:p>
    <w:p w14:paraId="3E5A6827" w14:textId="77777777" w:rsidR="0048699F" w:rsidRPr="000E5786" w:rsidRDefault="0048699F" w:rsidP="00DD60F0">
      <w:pPr>
        <w:pStyle w:val="BodyText"/>
        <w:spacing w:after="120"/>
        <w:rPr>
          <w:rFonts w:cs="Arial"/>
          <w:b/>
          <w:bCs/>
          <w:szCs w:val="20"/>
        </w:rPr>
      </w:pPr>
      <w:r w:rsidRPr="000E5786">
        <w:rPr>
          <w:rFonts w:cs="Arial"/>
          <w:b/>
          <w:bCs/>
          <w:szCs w:val="20"/>
        </w:rPr>
        <w:t xml:space="preserve">SECTION G – LIABILITY, </w:t>
      </w:r>
      <w:proofErr w:type="gramStart"/>
      <w:r w:rsidRPr="000E5786">
        <w:rPr>
          <w:rFonts w:cs="Arial"/>
          <w:b/>
          <w:bCs/>
          <w:szCs w:val="20"/>
        </w:rPr>
        <w:t>INDEMNITIES</w:t>
      </w:r>
      <w:proofErr w:type="gramEnd"/>
      <w:r w:rsidRPr="000E5786">
        <w:rPr>
          <w:rFonts w:cs="Arial"/>
          <w:b/>
          <w:bCs/>
          <w:szCs w:val="20"/>
        </w:rPr>
        <w:t xml:space="preserve"> AND INSURANCE</w:t>
      </w:r>
    </w:p>
    <w:p w14:paraId="2D5A8001" w14:textId="518A0A9E" w:rsidR="0048699F" w:rsidRPr="000E5786" w:rsidRDefault="0048699F" w:rsidP="00DD60F0">
      <w:pPr>
        <w:pStyle w:val="Heading1"/>
        <w:spacing w:after="120"/>
        <w:rPr>
          <w:rFonts w:cs="Arial"/>
          <w:szCs w:val="20"/>
        </w:rPr>
      </w:pPr>
      <w:bookmarkStart w:id="797" w:name="_Ref53585354"/>
      <w:bookmarkStart w:id="798" w:name="_Ref53585726"/>
      <w:bookmarkStart w:id="799" w:name="_Toc71198952"/>
      <w:r w:rsidRPr="000E5786">
        <w:rPr>
          <w:rFonts w:cs="Arial"/>
          <w:szCs w:val="20"/>
        </w:rPr>
        <w:t>LIMITATIONS ON LIABILITY</w:t>
      </w:r>
      <w:bookmarkEnd w:id="797"/>
      <w:bookmarkEnd w:id="798"/>
      <w:bookmarkEnd w:id="799"/>
    </w:p>
    <w:p w14:paraId="03ED660E" w14:textId="32D4D28B" w:rsidR="0048699F" w:rsidRPr="000E5786" w:rsidRDefault="0048699F" w:rsidP="00CE5734">
      <w:pPr>
        <w:pStyle w:val="BodyText"/>
        <w:spacing w:after="120"/>
        <w:ind w:left="709" w:firstLine="0"/>
        <w:rPr>
          <w:rFonts w:cs="Arial"/>
          <w:szCs w:val="20"/>
          <w:u w:val="single"/>
        </w:rPr>
      </w:pPr>
      <w:r w:rsidRPr="000E5786">
        <w:rPr>
          <w:rFonts w:cs="Arial"/>
          <w:szCs w:val="20"/>
          <w:u w:val="single"/>
        </w:rPr>
        <w:t>Unlimited liability</w:t>
      </w:r>
    </w:p>
    <w:p w14:paraId="4570E9B2" w14:textId="43301F0B" w:rsidR="0048699F" w:rsidRPr="000E5786" w:rsidRDefault="0048699F" w:rsidP="00DD60F0">
      <w:pPr>
        <w:pStyle w:val="Heading2"/>
        <w:spacing w:after="120"/>
        <w:rPr>
          <w:rFonts w:cs="Arial"/>
          <w:szCs w:val="20"/>
        </w:rPr>
      </w:pPr>
      <w:bookmarkStart w:id="800" w:name="_Ref53585355"/>
      <w:r w:rsidRPr="000E5786">
        <w:rPr>
          <w:rFonts w:cs="Arial"/>
          <w:szCs w:val="20"/>
        </w:rPr>
        <w:t>Neither Party limits its liability for:</w:t>
      </w:r>
      <w:bookmarkEnd w:id="800"/>
    </w:p>
    <w:p w14:paraId="17C23DDD" w14:textId="1DECE33E" w:rsidR="0048699F" w:rsidRPr="000E5786" w:rsidRDefault="0048699F" w:rsidP="00346A37">
      <w:pPr>
        <w:pStyle w:val="Heading3"/>
      </w:pPr>
      <w:bookmarkStart w:id="801" w:name="_Ref53585356"/>
      <w:r w:rsidRPr="000E5786">
        <w:t>death or personal injury caused by its negligence, or that of its employees, agents or Sub-contractors (as applicable</w:t>
      </w:r>
      <w:proofErr w:type="gramStart"/>
      <w:r w:rsidRPr="000E5786">
        <w:t>);</w:t>
      </w:r>
      <w:bookmarkEnd w:id="801"/>
      <w:proofErr w:type="gramEnd"/>
    </w:p>
    <w:p w14:paraId="11CC05DA" w14:textId="07953180" w:rsidR="0048699F" w:rsidRPr="000E5786" w:rsidRDefault="0048699F" w:rsidP="00346A37">
      <w:pPr>
        <w:pStyle w:val="Heading3"/>
      </w:pPr>
      <w:bookmarkStart w:id="802" w:name="_Ref53585357"/>
      <w:r w:rsidRPr="000E5786">
        <w:t xml:space="preserve">fraud or fraudulent misrepresentation by it or its </w:t>
      </w:r>
      <w:proofErr w:type="gramStart"/>
      <w:r w:rsidRPr="000E5786">
        <w:t>employees;</w:t>
      </w:r>
      <w:bookmarkEnd w:id="802"/>
      <w:proofErr w:type="gramEnd"/>
    </w:p>
    <w:p w14:paraId="5B09495F" w14:textId="76F208A5" w:rsidR="0048699F" w:rsidRPr="000E5786" w:rsidRDefault="0048699F" w:rsidP="00346A37">
      <w:pPr>
        <w:pStyle w:val="Heading3"/>
      </w:pPr>
      <w:bookmarkStart w:id="803" w:name="_Ref53585358"/>
      <w:r w:rsidRPr="000E5786">
        <w:t xml:space="preserve">breach of any obligation as to title implied by </w:t>
      </w:r>
      <w:bookmarkStart w:id="804" w:name="DocXTextRef309"/>
      <w:r w:rsidRPr="000E5786">
        <w:t>section 12</w:t>
      </w:r>
      <w:bookmarkEnd w:id="804"/>
      <w:r w:rsidRPr="000E5786">
        <w:t xml:space="preserve"> of the Sale of Goods Act 1979 or </w:t>
      </w:r>
      <w:bookmarkStart w:id="805" w:name="DocXTextRef310"/>
      <w:r w:rsidRPr="000E5786">
        <w:t>section 2</w:t>
      </w:r>
      <w:bookmarkEnd w:id="805"/>
      <w:r w:rsidRPr="000E5786">
        <w:t xml:space="preserve"> of the Supply of Goods and Services Act </w:t>
      </w:r>
      <w:proofErr w:type="gramStart"/>
      <w:r w:rsidRPr="000E5786">
        <w:t>1982;</w:t>
      </w:r>
      <w:bookmarkEnd w:id="803"/>
      <w:proofErr w:type="gramEnd"/>
    </w:p>
    <w:p w14:paraId="0E509ECD" w14:textId="39274F8A" w:rsidR="0048699F" w:rsidRPr="000E5786" w:rsidRDefault="0048699F" w:rsidP="00346A37">
      <w:pPr>
        <w:pStyle w:val="Heading3"/>
      </w:pPr>
      <w:bookmarkStart w:id="806" w:name="_Ref53585359"/>
      <w:r w:rsidRPr="000E5786">
        <w:t>any liability to the extent it cannot be limited or excluded by Law; or</w:t>
      </w:r>
      <w:bookmarkEnd w:id="806"/>
    </w:p>
    <w:p w14:paraId="45E8D76B" w14:textId="77CFDC4F" w:rsidR="0048699F" w:rsidRPr="000E5786" w:rsidRDefault="0048699F" w:rsidP="00DD60F0">
      <w:pPr>
        <w:pStyle w:val="Heading2"/>
        <w:spacing w:after="120"/>
        <w:rPr>
          <w:rFonts w:cs="Arial"/>
          <w:szCs w:val="20"/>
        </w:rPr>
      </w:pPr>
      <w:bookmarkStart w:id="807" w:name="_Ref53585360"/>
      <w:r w:rsidRPr="000E5786">
        <w:rPr>
          <w:rFonts w:cs="Arial"/>
          <w:szCs w:val="20"/>
        </w:rPr>
        <w:t>The Supplier’s liability in respect of:</w:t>
      </w:r>
      <w:bookmarkEnd w:id="807"/>
    </w:p>
    <w:p w14:paraId="006E4C4C" w14:textId="77777777" w:rsidR="00905B46" w:rsidRDefault="0048699F" w:rsidP="00346A37">
      <w:pPr>
        <w:pStyle w:val="Heading3"/>
      </w:pPr>
      <w:bookmarkStart w:id="808" w:name="_Ref53585361"/>
      <w:r w:rsidRPr="000E5786">
        <w:t xml:space="preserve">the indemnities in clause </w:t>
      </w:r>
      <w:r w:rsidR="00496676" w:rsidRPr="000E5786">
        <w:fldChar w:fldCharType="begin"/>
      </w:r>
      <w:r w:rsidR="00496676" w:rsidRPr="000E5786">
        <w:instrText xml:space="preserve">  REF _Ref53584951 \w \h \* MERGEFORMAT </w:instrText>
      </w:r>
      <w:r w:rsidR="00496676" w:rsidRPr="000E5786">
        <w:fldChar w:fldCharType="separate"/>
      </w:r>
      <w:r w:rsidR="002523A8" w:rsidRPr="000E5786">
        <w:t>12.6</w:t>
      </w:r>
      <w:r w:rsidR="00496676" w:rsidRPr="000E5786">
        <w:fldChar w:fldCharType="end"/>
      </w:r>
      <w:r w:rsidR="00496676" w:rsidRPr="000E5786">
        <w:t xml:space="preserve"> (VAT)</w:t>
      </w:r>
      <w:r w:rsidRPr="000E5786">
        <w:t xml:space="preserve">, clause </w:t>
      </w:r>
      <w:r w:rsidR="00496676" w:rsidRPr="000E5786">
        <w:fldChar w:fldCharType="begin"/>
      </w:r>
      <w:r w:rsidR="00496676" w:rsidRPr="000E5786">
        <w:instrText xml:space="preserve">  REF _Ref53585023 \w \h \* MERGEFORMAT </w:instrText>
      </w:r>
      <w:r w:rsidR="00496676" w:rsidRPr="000E5786">
        <w:fldChar w:fldCharType="separate"/>
      </w:r>
      <w:r w:rsidR="002523A8" w:rsidRPr="000E5786">
        <w:t>16.7</w:t>
      </w:r>
      <w:r w:rsidR="00496676" w:rsidRPr="000E5786">
        <w:fldChar w:fldCharType="end"/>
      </w:r>
      <w:r w:rsidRPr="000E5786">
        <w:t xml:space="preserve"> (Employment Indemnity), clause </w:t>
      </w:r>
      <w:r w:rsidR="00496676" w:rsidRPr="000E5786">
        <w:fldChar w:fldCharType="begin"/>
      </w:r>
      <w:r w:rsidR="00496676" w:rsidRPr="000E5786">
        <w:instrText xml:space="preserve">  REF _Ref53585026 \w \h \* MERGEFORMAT </w:instrText>
      </w:r>
      <w:r w:rsidR="00496676" w:rsidRPr="000E5786">
        <w:fldChar w:fldCharType="separate"/>
      </w:r>
      <w:r w:rsidR="002523A8" w:rsidRPr="000E5786">
        <w:t>16.8</w:t>
      </w:r>
      <w:r w:rsidR="00496676" w:rsidRPr="000E5786">
        <w:fldChar w:fldCharType="end"/>
      </w:r>
      <w:r w:rsidRPr="000E5786">
        <w:t xml:space="preserve"> (Income Tax and National Insurance Contributions), clause </w:t>
      </w:r>
      <w:r w:rsidR="00496676" w:rsidRPr="000E5786">
        <w:fldChar w:fldCharType="begin"/>
      </w:r>
      <w:r w:rsidR="00496676" w:rsidRPr="000E5786">
        <w:instrText xml:space="preserve">  REF _Ref53585720 \w \h \* MERGEFORMAT </w:instrText>
      </w:r>
      <w:r w:rsidR="00496676" w:rsidRPr="000E5786">
        <w:fldChar w:fldCharType="separate"/>
      </w:r>
      <w:r w:rsidR="002523A8" w:rsidRPr="000E5786">
        <w:t>22</w:t>
      </w:r>
      <w:r w:rsidR="00496676" w:rsidRPr="000E5786">
        <w:fldChar w:fldCharType="end"/>
      </w:r>
      <w:r w:rsidRPr="000E5786">
        <w:t xml:space="preserve"> (IPRs Indemnity) and </w:t>
      </w:r>
      <w:r w:rsidR="00905B46" w:rsidRPr="00C0214D">
        <w:rPr>
          <w:rFonts w:eastAsia="Verdana"/>
        </w:rPr>
        <w:t>Schedule 11 (Staff Transfer), shall be unlimited</w:t>
      </w:r>
      <w:r w:rsidRPr="000E5786">
        <w:t>; and</w:t>
      </w:r>
      <w:bookmarkStart w:id="809" w:name="_Hlk57574022"/>
      <w:r w:rsidR="0074426B" w:rsidRPr="000E5786">
        <w:t xml:space="preserve"> </w:t>
      </w:r>
      <w:bookmarkEnd w:id="809"/>
    </w:p>
    <w:p w14:paraId="109CFF83" w14:textId="5C5B7CC4" w:rsidR="0048699F" w:rsidRPr="000E5786" w:rsidRDefault="0048699F" w:rsidP="00346A37">
      <w:pPr>
        <w:pStyle w:val="Heading3"/>
      </w:pPr>
      <w:r w:rsidRPr="000E5786">
        <w:t>a</w:t>
      </w:r>
      <w:r w:rsidR="00905B46">
        <w:t>ll</w:t>
      </w:r>
      <w:r w:rsidRPr="000E5786">
        <w:t xml:space="preserve"> breach</w:t>
      </w:r>
      <w:r w:rsidR="00905B46">
        <w:t>es</w:t>
      </w:r>
      <w:r w:rsidRPr="000E5786">
        <w:t xml:space="preserve"> of clause </w:t>
      </w:r>
      <w:r w:rsidR="00915921" w:rsidRPr="000E5786">
        <w:fldChar w:fldCharType="begin"/>
      </w:r>
      <w:r w:rsidR="00915921" w:rsidRPr="000E5786">
        <w:instrText xml:space="preserve">  REF _Ref53585724 \w \h \* MERGEFORMAT </w:instrText>
      </w:r>
      <w:r w:rsidR="00915921" w:rsidRPr="000E5786">
        <w:fldChar w:fldCharType="separate"/>
      </w:r>
      <w:r w:rsidR="002523A8" w:rsidRPr="000E5786">
        <w:t>26</w:t>
      </w:r>
      <w:r w:rsidR="00915921" w:rsidRPr="000E5786">
        <w:fldChar w:fldCharType="end"/>
      </w:r>
      <w:r w:rsidRPr="000E5786">
        <w:t xml:space="preserve"> (Protection of Personal Data), shall be </w:t>
      </w:r>
      <w:r w:rsidR="00905B46" w:rsidRPr="00C0214D">
        <w:rPr>
          <w:rFonts w:eastAsia="Verdana"/>
        </w:rPr>
        <w:t>capped in aggregate at twenty million pounds (£20,000,000.00)</w:t>
      </w:r>
      <w:r w:rsidRPr="000E5786">
        <w:t>.</w:t>
      </w:r>
      <w:bookmarkEnd w:id="808"/>
    </w:p>
    <w:p w14:paraId="7202FDAF" w14:textId="71BFB340" w:rsidR="0048699F" w:rsidRPr="000E5786" w:rsidRDefault="001F1C19" w:rsidP="00DD60F0">
      <w:pPr>
        <w:pStyle w:val="Heading2"/>
        <w:spacing w:after="120"/>
        <w:rPr>
          <w:rFonts w:cs="Arial"/>
          <w:szCs w:val="20"/>
        </w:rPr>
      </w:pPr>
      <w:bookmarkStart w:id="810" w:name="_Ref53585362"/>
      <w:proofErr w:type="spellStart"/>
      <w:r>
        <w:rPr>
          <w:rFonts w:cs="Arial"/>
          <w:szCs w:val="20"/>
        </w:rPr>
        <w:lastRenderedPageBreak/>
        <w:t>Netlink</w:t>
      </w:r>
      <w:proofErr w:type="spellEnd"/>
      <w:r>
        <w:rPr>
          <w:rFonts w:cs="Arial"/>
          <w:szCs w:val="20"/>
        </w:rPr>
        <w:t xml:space="preserve"> Star</w:t>
      </w:r>
      <w:r w:rsidR="0048699F" w:rsidRPr="000E5786">
        <w:rPr>
          <w:rFonts w:cs="Arial"/>
          <w:szCs w:val="20"/>
        </w:rPr>
        <w:t xml:space="preserve">’s liability in respect of the indemnities in clause </w:t>
      </w:r>
      <w:r w:rsidR="00915921" w:rsidRPr="000E5786">
        <w:rPr>
          <w:rFonts w:cs="Arial"/>
          <w:szCs w:val="20"/>
        </w:rPr>
        <w:fldChar w:fldCharType="begin"/>
      </w:r>
      <w:r w:rsidR="00915921" w:rsidRPr="000E5786">
        <w:rPr>
          <w:rFonts w:cs="Arial"/>
          <w:szCs w:val="20"/>
        </w:rPr>
        <w:instrText xml:space="preserve">  REF _Ref53585023 \w \h \* MERGEFORMAT </w:instrText>
      </w:r>
      <w:r w:rsidR="00915921" w:rsidRPr="000E5786">
        <w:rPr>
          <w:rFonts w:cs="Arial"/>
          <w:szCs w:val="20"/>
        </w:rPr>
      </w:r>
      <w:r w:rsidR="00915921" w:rsidRPr="000E5786">
        <w:rPr>
          <w:rFonts w:cs="Arial"/>
          <w:szCs w:val="20"/>
        </w:rPr>
        <w:fldChar w:fldCharType="separate"/>
      </w:r>
      <w:r w:rsidR="002523A8" w:rsidRPr="000E5786">
        <w:rPr>
          <w:rFonts w:cs="Arial"/>
          <w:szCs w:val="20"/>
        </w:rPr>
        <w:t>16.7</w:t>
      </w:r>
      <w:r w:rsidR="00915921" w:rsidRPr="000E5786">
        <w:rPr>
          <w:rFonts w:cs="Arial"/>
          <w:szCs w:val="20"/>
        </w:rPr>
        <w:fldChar w:fldCharType="end"/>
      </w:r>
      <w:r w:rsidR="0048699F" w:rsidRPr="000E5786">
        <w:rPr>
          <w:rFonts w:cs="Arial"/>
          <w:szCs w:val="20"/>
        </w:rPr>
        <w:t xml:space="preserve"> (Employment Indemnity) and shall be unlimited.</w:t>
      </w:r>
      <w:bookmarkEnd w:id="810"/>
    </w:p>
    <w:p w14:paraId="77CB0C25" w14:textId="092F0B96" w:rsidR="0048699F" w:rsidRPr="000E5786" w:rsidRDefault="0048699F" w:rsidP="00CE5734">
      <w:pPr>
        <w:pStyle w:val="BodyText"/>
        <w:spacing w:after="120"/>
        <w:ind w:left="709" w:firstLine="0"/>
        <w:rPr>
          <w:rFonts w:cs="Arial"/>
          <w:szCs w:val="20"/>
          <w:u w:val="single"/>
        </w:rPr>
      </w:pPr>
      <w:r w:rsidRPr="000E5786">
        <w:rPr>
          <w:rFonts w:cs="Arial"/>
          <w:szCs w:val="20"/>
          <w:u w:val="single"/>
        </w:rPr>
        <w:t>Financial and other limits</w:t>
      </w:r>
    </w:p>
    <w:p w14:paraId="439DE519" w14:textId="128A12AE" w:rsidR="0048699F" w:rsidRPr="000E5786" w:rsidRDefault="0048699F" w:rsidP="00DD60F0">
      <w:pPr>
        <w:pStyle w:val="Heading2"/>
        <w:spacing w:after="120"/>
        <w:rPr>
          <w:rFonts w:cs="Arial"/>
          <w:szCs w:val="20"/>
        </w:rPr>
      </w:pPr>
      <w:bookmarkStart w:id="811" w:name="_Ref53585363"/>
      <w:r w:rsidRPr="000E5786">
        <w:rPr>
          <w:rFonts w:cs="Arial"/>
          <w:szCs w:val="20"/>
        </w:rPr>
        <w:t xml:space="preserve">Subject to clauses </w:t>
      </w:r>
      <w:r w:rsidR="00915921" w:rsidRPr="000E5786">
        <w:rPr>
          <w:rFonts w:cs="Arial"/>
          <w:szCs w:val="20"/>
        </w:rPr>
        <w:fldChar w:fldCharType="begin"/>
      </w:r>
      <w:r w:rsidR="00915921" w:rsidRPr="000E5786">
        <w:rPr>
          <w:rFonts w:cs="Arial"/>
          <w:szCs w:val="20"/>
        </w:rPr>
        <w:instrText xml:space="preserve">  REF _Ref53585355 \w \h \* MERGEFORMAT </w:instrText>
      </w:r>
      <w:r w:rsidR="00915921" w:rsidRPr="000E5786">
        <w:rPr>
          <w:rFonts w:cs="Arial"/>
          <w:szCs w:val="20"/>
        </w:rPr>
      </w:r>
      <w:r w:rsidR="00915921" w:rsidRPr="000E5786">
        <w:rPr>
          <w:rFonts w:cs="Arial"/>
          <w:szCs w:val="20"/>
        </w:rPr>
        <w:fldChar w:fldCharType="separate"/>
      </w:r>
      <w:r w:rsidR="002523A8" w:rsidRPr="000E5786">
        <w:rPr>
          <w:rFonts w:cs="Arial"/>
          <w:szCs w:val="20"/>
        </w:rPr>
        <w:t>28.1</w:t>
      </w:r>
      <w:r w:rsidR="00915921" w:rsidRPr="000E5786">
        <w:rPr>
          <w:rFonts w:cs="Arial"/>
          <w:szCs w:val="20"/>
        </w:rPr>
        <w:fldChar w:fldCharType="end"/>
      </w:r>
      <w:r w:rsidRPr="000E5786">
        <w:rPr>
          <w:rFonts w:cs="Arial"/>
          <w:szCs w:val="20"/>
        </w:rPr>
        <w:t xml:space="preserve"> and </w:t>
      </w:r>
      <w:r w:rsidR="00915921" w:rsidRPr="000E5786">
        <w:rPr>
          <w:rFonts w:cs="Arial"/>
          <w:szCs w:val="20"/>
        </w:rPr>
        <w:fldChar w:fldCharType="begin"/>
      </w:r>
      <w:r w:rsidR="00915921" w:rsidRPr="000E5786">
        <w:rPr>
          <w:rFonts w:cs="Arial"/>
          <w:szCs w:val="20"/>
        </w:rPr>
        <w:instrText xml:space="preserve">  REF _Ref53585360 \w \h \* MERGEFORMAT </w:instrText>
      </w:r>
      <w:r w:rsidR="00915921" w:rsidRPr="000E5786">
        <w:rPr>
          <w:rFonts w:cs="Arial"/>
          <w:szCs w:val="20"/>
        </w:rPr>
      </w:r>
      <w:r w:rsidR="00915921" w:rsidRPr="000E5786">
        <w:rPr>
          <w:rFonts w:cs="Arial"/>
          <w:szCs w:val="20"/>
        </w:rPr>
        <w:fldChar w:fldCharType="separate"/>
      </w:r>
      <w:r w:rsidR="002523A8" w:rsidRPr="000E5786">
        <w:rPr>
          <w:rFonts w:cs="Arial"/>
          <w:szCs w:val="20"/>
        </w:rPr>
        <w:t>28.2</w:t>
      </w:r>
      <w:r w:rsidR="00915921" w:rsidRPr="000E5786">
        <w:rPr>
          <w:rFonts w:cs="Arial"/>
          <w:szCs w:val="20"/>
        </w:rPr>
        <w:fldChar w:fldCharType="end"/>
      </w:r>
      <w:r w:rsidRPr="000E5786">
        <w:rPr>
          <w:rFonts w:cs="Arial"/>
          <w:szCs w:val="20"/>
        </w:rPr>
        <w:t xml:space="preserve"> (Unlimited Liability) and clauses </w:t>
      </w:r>
      <w:r w:rsidR="00054B03" w:rsidRPr="000E5786">
        <w:rPr>
          <w:rFonts w:cs="Arial"/>
          <w:szCs w:val="20"/>
        </w:rPr>
        <w:fldChar w:fldCharType="begin"/>
      </w:r>
      <w:r w:rsidR="00054B03" w:rsidRPr="000E5786">
        <w:rPr>
          <w:rFonts w:cs="Arial"/>
          <w:szCs w:val="20"/>
        </w:rPr>
        <w:instrText xml:space="preserve">  REF _Ref53585383 \w \h \* MERGEFORMAT </w:instrText>
      </w:r>
      <w:r w:rsidR="00054B03" w:rsidRPr="000E5786">
        <w:rPr>
          <w:rFonts w:cs="Arial"/>
          <w:szCs w:val="20"/>
        </w:rPr>
      </w:r>
      <w:r w:rsidR="00054B03" w:rsidRPr="000E5786">
        <w:rPr>
          <w:rFonts w:cs="Arial"/>
          <w:szCs w:val="20"/>
        </w:rPr>
        <w:fldChar w:fldCharType="separate"/>
      </w:r>
      <w:r w:rsidR="002523A8" w:rsidRPr="000E5786">
        <w:rPr>
          <w:rFonts w:cs="Arial"/>
          <w:szCs w:val="20"/>
        </w:rPr>
        <w:t>28.8</w:t>
      </w:r>
      <w:r w:rsidR="00054B03" w:rsidRPr="000E5786">
        <w:rPr>
          <w:rFonts w:cs="Arial"/>
          <w:szCs w:val="20"/>
        </w:rPr>
        <w:fldChar w:fldCharType="end"/>
      </w:r>
      <w:r w:rsidRPr="000E5786">
        <w:rPr>
          <w:rFonts w:cs="Arial"/>
          <w:szCs w:val="20"/>
        </w:rPr>
        <w:t xml:space="preserve"> and </w:t>
      </w:r>
      <w:r w:rsidR="00054B03" w:rsidRPr="000E5786">
        <w:rPr>
          <w:rFonts w:cs="Arial"/>
          <w:szCs w:val="20"/>
        </w:rPr>
        <w:fldChar w:fldCharType="begin"/>
      </w:r>
      <w:r w:rsidR="00054B03" w:rsidRPr="000E5786">
        <w:rPr>
          <w:rFonts w:cs="Arial"/>
          <w:szCs w:val="20"/>
        </w:rPr>
        <w:instrText xml:space="preserve">  REF _Ref53585386 \w \h \* MERGEFORMAT </w:instrText>
      </w:r>
      <w:r w:rsidR="00054B03" w:rsidRPr="000E5786">
        <w:rPr>
          <w:rFonts w:cs="Arial"/>
          <w:szCs w:val="20"/>
        </w:rPr>
      </w:r>
      <w:r w:rsidR="00054B03" w:rsidRPr="000E5786">
        <w:rPr>
          <w:rFonts w:cs="Arial"/>
          <w:szCs w:val="20"/>
        </w:rPr>
        <w:fldChar w:fldCharType="separate"/>
      </w:r>
      <w:r w:rsidR="002523A8" w:rsidRPr="000E5786">
        <w:rPr>
          <w:rFonts w:cs="Arial"/>
          <w:szCs w:val="20"/>
        </w:rPr>
        <w:t>28.9</w:t>
      </w:r>
      <w:r w:rsidR="00054B03" w:rsidRPr="000E5786">
        <w:rPr>
          <w:rFonts w:cs="Arial"/>
          <w:szCs w:val="20"/>
        </w:rPr>
        <w:fldChar w:fldCharType="end"/>
      </w:r>
      <w:r w:rsidRPr="000E5786">
        <w:rPr>
          <w:rFonts w:cs="Arial"/>
          <w:szCs w:val="20"/>
        </w:rPr>
        <w:t xml:space="preserve"> (Consequential losses):</w:t>
      </w:r>
      <w:bookmarkEnd w:id="811"/>
    </w:p>
    <w:p w14:paraId="1B6ABB16" w14:textId="38694F1C" w:rsidR="0048699F" w:rsidRPr="000E5786" w:rsidRDefault="0048699F" w:rsidP="00346A37">
      <w:pPr>
        <w:pStyle w:val="Heading3"/>
      </w:pPr>
      <w:bookmarkStart w:id="812" w:name="_Ref53585364"/>
      <w:r w:rsidRPr="000E5786">
        <w:t xml:space="preserve">the Supplier’s aggregate liability in respect of loss of or damage to </w:t>
      </w:r>
      <w:proofErr w:type="spellStart"/>
      <w:r w:rsidR="001F1C19">
        <w:t>Netlink</w:t>
      </w:r>
      <w:proofErr w:type="spellEnd"/>
      <w:r w:rsidR="001F1C19">
        <w:t xml:space="preserve"> Star</w:t>
      </w:r>
      <w:r w:rsidRPr="000E5786">
        <w:t xml:space="preserve"> Premises or other property or assets of </w:t>
      </w:r>
      <w:proofErr w:type="spellStart"/>
      <w:r w:rsidR="001F1C19">
        <w:t>Netlink</w:t>
      </w:r>
      <w:proofErr w:type="spellEnd"/>
      <w:r w:rsidR="001F1C19">
        <w:t xml:space="preserve"> Star</w:t>
      </w:r>
      <w:r w:rsidRPr="000E5786">
        <w:t xml:space="preserve"> (including technical infrastructure, assets or equipment but excluding any loss or damage to </w:t>
      </w:r>
      <w:proofErr w:type="spellStart"/>
      <w:r w:rsidR="001F1C19">
        <w:t>Netlink</w:t>
      </w:r>
      <w:proofErr w:type="spellEnd"/>
      <w:r w:rsidR="001F1C19">
        <w:t xml:space="preserve"> Star</w:t>
      </w:r>
      <w:r w:rsidRPr="000E5786">
        <w:t xml:space="preserve">’s Data or any other data) that is caused by Defaults of the Supplier occurring in each and any Contract Year shall in no event exceed £10 </w:t>
      </w:r>
      <w:proofErr w:type="gramStart"/>
      <w:r w:rsidRPr="000E5786">
        <w:t>million;</w:t>
      </w:r>
      <w:bookmarkEnd w:id="812"/>
      <w:proofErr w:type="gramEnd"/>
    </w:p>
    <w:p w14:paraId="2CDA894F" w14:textId="64D1CA92" w:rsidR="0048699F" w:rsidRPr="000E5786" w:rsidRDefault="0048699F" w:rsidP="00346A37">
      <w:pPr>
        <w:pStyle w:val="Heading3"/>
      </w:pPr>
      <w:bookmarkStart w:id="813" w:name="_Ref53585365"/>
      <w:r w:rsidRPr="000E5786">
        <w:t>the Supplier’s aggregate liability in respect of all</w:t>
      </w:r>
      <w:bookmarkStart w:id="814" w:name="_Ref53585366"/>
      <w:bookmarkEnd w:id="813"/>
      <w:r w:rsidR="003254EB" w:rsidRPr="000E5786">
        <w:t xml:space="preserve"> </w:t>
      </w:r>
      <w:r w:rsidRPr="000E5786">
        <w:t>Service Credits and</w:t>
      </w:r>
      <w:bookmarkEnd w:id="814"/>
      <w:r w:rsidR="003254EB" w:rsidRPr="000E5786">
        <w:t xml:space="preserve"> </w:t>
      </w:r>
      <w:r w:rsidRPr="000E5786">
        <w:t>incurred in any rolling period of twelve (12) months shall be subject to the Service Credit Cap; and</w:t>
      </w:r>
    </w:p>
    <w:p w14:paraId="56D27503" w14:textId="4969EE8C" w:rsidR="0048699F" w:rsidRPr="000E5786" w:rsidRDefault="0048699F" w:rsidP="00346A37">
      <w:pPr>
        <w:pStyle w:val="Heading3"/>
      </w:pPr>
      <w:bookmarkStart w:id="815" w:name="_Ref53585368"/>
      <w:r w:rsidRPr="000E5786">
        <w:t xml:space="preserve">the Supplier’s aggregate liability in respect of all other Losses incurred by </w:t>
      </w:r>
      <w:proofErr w:type="spellStart"/>
      <w:r w:rsidR="001F1C19">
        <w:t>Netlink</w:t>
      </w:r>
      <w:proofErr w:type="spellEnd"/>
      <w:r w:rsidR="001F1C19">
        <w:t xml:space="preserve"> Star</w:t>
      </w:r>
      <w:r w:rsidRPr="000E5786">
        <w:t xml:space="preserve"> under or in connection with this Agreement </w:t>
      </w:r>
      <w:proofErr w:type="gramStart"/>
      <w:r w:rsidRPr="000E5786">
        <w:t>as a result of</w:t>
      </w:r>
      <w:proofErr w:type="gramEnd"/>
      <w:r w:rsidRPr="000E5786">
        <w:t xml:space="preserve"> Defaults by the Supplier shall in no event exceed:</w:t>
      </w:r>
      <w:bookmarkEnd w:id="815"/>
    </w:p>
    <w:p w14:paraId="62DFE1B5" w14:textId="5274AF10" w:rsidR="0048699F" w:rsidRPr="00E15278" w:rsidRDefault="0048699F" w:rsidP="00834C1A">
      <w:pPr>
        <w:pStyle w:val="Heading4"/>
        <w:tabs>
          <w:tab w:val="clear" w:pos="1702"/>
          <w:tab w:val="num" w:pos="2552"/>
        </w:tabs>
        <w:spacing w:after="120"/>
        <w:ind w:left="2410"/>
        <w:rPr>
          <w:rFonts w:cs="Arial"/>
          <w:szCs w:val="20"/>
        </w:rPr>
      </w:pPr>
      <w:bookmarkStart w:id="816" w:name="_Ref53585369"/>
      <w:r w:rsidRPr="000E5786">
        <w:rPr>
          <w:rFonts w:cs="Arial"/>
          <w:szCs w:val="20"/>
        </w:rPr>
        <w:t xml:space="preserve">in relation </w:t>
      </w:r>
      <w:r w:rsidRPr="00E15278">
        <w:rPr>
          <w:rFonts w:cs="Arial"/>
          <w:szCs w:val="20"/>
        </w:rPr>
        <w:t>to Defaults occurring in the first Contract Year, an amount equal to 150%</w:t>
      </w:r>
      <w:r w:rsidR="001478E8" w:rsidRPr="00E15278">
        <w:rPr>
          <w:rFonts w:cs="Arial"/>
          <w:szCs w:val="20"/>
        </w:rPr>
        <w:t xml:space="preserve"> </w:t>
      </w:r>
      <w:r w:rsidRPr="00E15278">
        <w:rPr>
          <w:rFonts w:cs="Arial"/>
          <w:szCs w:val="20"/>
        </w:rPr>
        <w:t xml:space="preserve">of the Estimated Year </w:t>
      </w:r>
      <w:bookmarkStart w:id="817" w:name="DocXTextRef324"/>
      <w:r w:rsidRPr="00E15278">
        <w:rPr>
          <w:rFonts w:cs="Arial"/>
          <w:szCs w:val="20"/>
        </w:rPr>
        <w:t>1</w:t>
      </w:r>
      <w:bookmarkEnd w:id="817"/>
      <w:r w:rsidRPr="00E15278">
        <w:rPr>
          <w:rFonts w:cs="Arial"/>
          <w:szCs w:val="20"/>
        </w:rPr>
        <w:t xml:space="preserve"> </w:t>
      </w:r>
      <w:proofErr w:type="gramStart"/>
      <w:r w:rsidRPr="00E15278">
        <w:rPr>
          <w:rFonts w:cs="Arial"/>
          <w:szCs w:val="20"/>
        </w:rPr>
        <w:t>Charges;</w:t>
      </w:r>
      <w:bookmarkEnd w:id="816"/>
      <w:proofErr w:type="gramEnd"/>
    </w:p>
    <w:p w14:paraId="41E2D2FE" w14:textId="253C34F7" w:rsidR="0048699F" w:rsidRPr="00E15278" w:rsidRDefault="0048699F" w:rsidP="00834C1A">
      <w:pPr>
        <w:pStyle w:val="Heading4"/>
        <w:tabs>
          <w:tab w:val="clear" w:pos="1702"/>
          <w:tab w:val="num" w:pos="2552"/>
        </w:tabs>
        <w:spacing w:after="120"/>
        <w:ind w:left="2410"/>
        <w:rPr>
          <w:rFonts w:cs="Arial"/>
          <w:szCs w:val="20"/>
        </w:rPr>
      </w:pPr>
      <w:bookmarkStart w:id="818" w:name="_Ref53585370"/>
      <w:r w:rsidRPr="00E15278">
        <w:rPr>
          <w:rFonts w:cs="Arial"/>
          <w:szCs w:val="20"/>
        </w:rPr>
        <w:t>in relation to Defaults occurring during any subsequent Contract Year, an amount equal to 150% of the Charges paid and/or due to be paid to the Supplier under this Agreement in the Contract Year immediately preceding the occurrence of the Default; and</w:t>
      </w:r>
      <w:bookmarkEnd w:id="818"/>
    </w:p>
    <w:p w14:paraId="35C525E1" w14:textId="5A97B3AA" w:rsidR="0048699F" w:rsidRPr="00E15278" w:rsidRDefault="0048699F" w:rsidP="00834C1A">
      <w:pPr>
        <w:pStyle w:val="Heading4"/>
        <w:tabs>
          <w:tab w:val="clear" w:pos="1702"/>
          <w:tab w:val="num" w:pos="2552"/>
        </w:tabs>
        <w:spacing w:after="120"/>
        <w:ind w:left="2410"/>
        <w:rPr>
          <w:rFonts w:cs="Arial"/>
          <w:szCs w:val="20"/>
        </w:rPr>
      </w:pPr>
      <w:bookmarkStart w:id="819" w:name="_Ref53585371"/>
      <w:r w:rsidRPr="00E15278">
        <w:rPr>
          <w:rFonts w:cs="Arial"/>
          <w:szCs w:val="20"/>
        </w:rPr>
        <w:t>in relation to Defaults occurring after the end of the Term, an amount equal to 150% of the Charges paid and/or due to be paid to the Supplier in the twelve (12) month period immediately prior to the last day of the Term,</w:t>
      </w:r>
      <w:bookmarkEnd w:id="819"/>
    </w:p>
    <w:p w14:paraId="674AE6C7" w14:textId="256057D1" w:rsidR="0048699F" w:rsidRPr="000E5786" w:rsidRDefault="0048699F" w:rsidP="00834C1A">
      <w:pPr>
        <w:pStyle w:val="BodyText3"/>
        <w:spacing w:after="120"/>
        <w:ind w:firstLine="0"/>
        <w:rPr>
          <w:rFonts w:cs="Arial"/>
          <w:szCs w:val="20"/>
        </w:rPr>
      </w:pPr>
      <w:r w:rsidRPr="00E15278">
        <w:rPr>
          <w:rFonts w:cs="Arial"/>
          <w:szCs w:val="20"/>
        </w:rPr>
        <w:t xml:space="preserve">provided that where any Losses referred to in clause </w:t>
      </w:r>
      <w:r w:rsidR="00054B03" w:rsidRPr="00E15278">
        <w:rPr>
          <w:rFonts w:cs="Arial"/>
          <w:szCs w:val="20"/>
        </w:rPr>
        <w:fldChar w:fldCharType="begin"/>
      </w:r>
      <w:r w:rsidR="00054B03" w:rsidRPr="00E15278">
        <w:rPr>
          <w:rFonts w:cs="Arial"/>
          <w:szCs w:val="20"/>
        </w:rPr>
        <w:instrText xml:space="preserve">  REF _Ref53585368 \w \h \* MERGEFORMAT </w:instrText>
      </w:r>
      <w:r w:rsidR="00054B03" w:rsidRPr="00E15278">
        <w:rPr>
          <w:rFonts w:cs="Arial"/>
          <w:szCs w:val="20"/>
        </w:rPr>
      </w:r>
      <w:r w:rsidR="00054B03" w:rsidRPr="00E15278">
        <w:rPr>
          <w:rFonts w:cs="Arial"/>
          <w:szCs w:val="20"/>
        </w:rPr>
        <w:fldChar w:fldCharType="separate"/>
      </w:r>
      <w:r w:rsidR="002523A8" w:rsidRPr="00E15278">
        <w:rPr>
          <w:rFonts w:cs="Arial"/>
          <w:szCs w:val="20"/>
        </w:rPr>
        <w:t>28.4.3</w:t>
      </w:r>
      <w:r w:rsidR="00054B03" w:rsidRPr="00E15278">
        <w:rPr>
          <w:rFonts w:cs="Arial"/>
          <w:szCs w:val="20"/>
        </w:rPr>
        <w:fldChar w:fldCharType="end"/>
      </w:r>
      <w:r w:rsidRPr="00E15278">
        <w:rPr>
          <w:rFonts w:cs="Arial"/>
          <w:szCs w:val="20"/>
        </w:rPr>
        <w:t xml:space="preserve"> have been incurred by </w:t>
      </w:r>
      <w:proofErr w:type="spellStart"/>
      <w:r w:rsidR="001F1C19">
        <w:rPr>
          <w:rFonts w:cs="Arial"/>
          <w:szCs w:val="20"/>
        </w:rPr>
        <w:t>Netlink</w:t>
      </w:r>
      <w:proofErr w:type="spellEnd"/>
      <w:r w:rsidR="001F1C19">
        <w:rPr>
          <w:rFonts w:cs="Arial"/>
          <w:szCs w:val="20"/>
        </w:rPr>
        <w:t xml:space="preserve"> Star</w:t>
      </w:r>
      <w:r w:rsidRPr="00E15278">
        <w:rPr>
          <w:rFonts w:cs="Arial"/>
          <w:szCs w:val="20"/>
        </w:rPr>
        <w:t xml:space="preserve"> as a result of the Supplier’s abandonment of this Agreement or the Supplier’s wilful default, wilful breach of a fundamental term of this Agreement or wilful repudiatory breach of this Agreement, the references in such clause to 150% shall be deemed to be references to 200%.</w:t>
      </w:r>
    </w:p>
    <w:p w14:paraId="3F84496B" w14:textId="2BE8762E" w:rsidR="0048699F" w:rsidRPr="000E5786" w:rsidRDefault="0048699F" w:rsidP="00DD60F0">
      <w:pPr>
        <w:pStyle w:val="Heading2"/>
        <w:spacing w:after="120"/>
        <w:rPr>
          <w:rFonts w:cs="Arial"/>
          <w:szCs w:val="20"/>
        </w:rPr>
      </w:pPr>
      <w:bookmarkStart w:id="820" w:name="_Ref53585372"/>
      <w:r w:rsidRPr="000E5786">
        <w:rPr>
          <w:rFonts w:cs="Arial"/>
          <w:szCs w:val="20"/>
        </w:rPr>
        <w:t xml:space="preserve">Deductions from Charges shall not be taken into consideration when calculating the Supplier’s liability under clause </w:t>
      </w:r>
      <w:r w:rsidR="00054B03" w:rsidRPr="000E5786">
        <w:rPr>
          <w:rFonts w:cs="Arial"/>
          <w:szCs w:val="20"/>
        </w:rPr>
        <w:fldChar w:fldCharType="begin"/>
      </w:r>
      <w:r w:rsidR="00054B03" w:rsidRPr="000E5786">
        <w:rPr>
          <w:rFonts w:cs="Arial"/>
          <w:szCs w:val="20"/>
        </w:rPr>
        <w:instrText xml:space="preserve">  REF _Ref53585368 \w \h \* MERGEFORMAT </w:instrText>
      </w:r>
      <w:r w:rsidR="00054B03" w:rsidRPr="000E5786">
        <w:rPr>
          <w:rFonts w:cs="Arial"/>
          <w:szCs w:val="20"/>
        </w:rPr>
      </w:r>
      <w:r w:rsidR="00054B03" w:rsidRPr="000E5786">
        <w:rPr>
          <w:rFonts w:cs="Arial"/>
          <w:szCs w:val="20"/>
        </w:rPr>
        <w:fldChar w:fldCharType="separate"/>
      </w:r>
      <w:r w:rsidR="002523A8" w:rsidRPr="000E5786">
        <w:rPr>
          <w:rFonts w:cs="Arial"/>
          <w:szCs w:val="20"/>
        </w:rPr>
        <w:t>28.4.3</w:t>
      </w:r>
      <w:r w:rsidR="00054B03" w:rsidRPr="000E5786">
        <w:rPr>
          <w:rFonts w:cs="Arial"/>
          <w:szCs w:val="20"/>
        </w:rPr>
        <w:fldChar w:fldCharType="end"/>
      </w:r>
      <w:r w:rsidRPr="000E5786">
        <w:rPr>
          <w:rFonts w:cs="Arial"/>
          <w:szCs w:val="20"/>
        </w:rPr>
        <w:t>.</w:t>
      </w:r>
      <w:bookmarkEnd w:id="820"/>
    </w:p>
    <w:p w14:paraId="510161A4" w14:textId="7C15A245" w:rsidR="0048699F" w:rsidRPr="000E5786" w:rsidRDefault="0048699F" w:rsidP="00DD60F0">
      <w:pPr>
        <w:pStyle w:val="Heading2"/>
        <w:spacing w:after="120"/>
        <w:rPr>
          <w:rFonts w:cs="Arial"/>
          <w:szCs w:val="20"/>
        </w:rPr>
      </w:pPr>
      <w:bookmarkStart w:id="821" w:name="_Ref53585373"/>
      <w:r w:rsidRPr="000E5786">
        <w:rPr>
          <w:rFonts w:cs="Arial"/>
          <w:szCs w:val="20"/>
        </w:rPr>
        <w:t xml:space="preserve">Subject to clauses </w:t>
      </w:r>
      <w:r w:rsidR="00054B03" w:rsidRPr="000E5786">
        <w:rPr>
          <w:rFonts w:cs="Arial"/>
          <w:szCs w:val="20"/>
        </w:rPr>
        <w:fldChar w:fldCharType="begin"/>
      </w:r>
      <w:r w:rsidR="00054B03" w:rsidRPr="000E5786">
        <w:rPr>
          <w:rFonts w:cs="Arial"/>
          <w:szCs w:val="20"/>
        </w:rPr>
        <w:instrText xml:space="preserve">  REF _Ref53585355 \w \h \* MERGEFORMAT </w:instrText>
      </w:r>
      <w:r w:rsidR="00054B03" w:rsidRPr="000E5786">
        <w:rPr>
          <w:rFonts w:cs="Arial"/>
          <w:szCs w:val="20"/>
        </w:rPr>
      </w:r>
      <w:r w:rsidR="00054B03" w:rsidRPr="000E5786">
        <w:rPr>
          <w:rFonts w:cs="Arial"/>
          <w:szCs w:val="20"/>
        </w:rPr>
        <w:fldChar w:fldCharType="separate"/>
      </w:r>
      <w:r w:rsidR="002523A8" w:rsidRPr="000E5786">
        <w:rPr>
          <w:rFonts w:cs="Arial"/>
          <w:szCs w:val="20"/>
        </w:rPr>
        <w:t>28.1</w:t>
      </w:r>
      <w:r w:rsidR="00054B03" w:rsidRPr="000E5786">
        <w:rPr>
          <w:rFonts w:cs="Arial"/>
          <w:szCs w:val="20"/>
        </w:rPr>
        <w:fldChar w:fldCharType="end"/>
      </w:r>
      <w:r w:rsidRPr="000E5786">
        <w:rPr>
          <w:rFonts w:cs="Arial"/>
          <w:szCs w:val="20"/>
        </w:rPr>
        <w:t xml:space="preserve"> and </w:t>
      </w:r>
      <w:r w:rsidR="00054B03" w:rsidRPr="000E5786">
        <w:rPr>
          <w:rFonts w:cs="Arial"/>
          <w:szCs w:val="20"/>
        </w:rPr>
        <w:fldChar w:fldCharType="begin"/>
      </w:r>
      <w:r w:rsidR="00054B03" w:rsidRPr="000E5786">
        <w:rPr>
          <w:rFonts w:cs="Arial"/>
          <w:szCs w:val="20"/>
        </w:rPr>
        <w:instrText xml:space="preserve">  REF _Ref53585362 \w \h \* MERGEFORMAT </w:instrText>
      </w:r>
      <w:r w:rsidR="00054B03" w:rsidRPr="000E5786">
        <w:rPr>
          <w:rFonts w:cs="Arial"/>
          <w:szCs w:val="20"/>
        </w:rPr>
      </w:r>
      <w:r w:rsidR="00054B03" w:rsidRPr="000E5786">
        <w:rPr>
          <w:rFonts w:cs="Arial"/>
          <w:szCs w:val="20"/>
        </w:rPr>
        <w:fldChar w:fldCharType="separate"/>
      </w:r>
      <w:r w:rsidR="002523A8" w:rsidRPr="000E5786">
        <w:rPr>
          <w:rFonts w:cs="Arial"/>
          <w:szCs w:val="20"/>
        </w:rPr>
        <w:t>28.3</w:t>
      </w:r>
      <w:r w:rsidR="00054B03" w:rsidRPr="000E5786">
        <w:rPr>
          <w:rFonts w:cs="Arial"/>
          <w:szCs w:val="20"/>
        </w:rPr>
        <w:fldChar w:fldCharType="end"/>
      </w:r>
      <w:r w:rsidRPr="000E5786">
        <w:rPr>
          <w:rFonts w:cs="Arial"/>
          <w:szCs w:val="20"/>
        </w:rPr>
        <w:t xml:space="preserve"> (Unlimited Liability) and clause </w:t>
      </w:r>
      <w:r w:rsidR="00054B03" w:rsidRPr="000E5786">
        <w:rPr>
          <w:rFonts w:cs="Arial"/>
          <w:szCs w:val="20"/>
        </w:rPr>
        <w:fldChar w:fldCharType="begin"/>
      </w:r>
      <w:r w:rsidR="00054B03" w:rsidRPr="000E5786">
        <w:rPr>
          <w:rFonts w:cs="Arial"/>
          <w:szCs w:val="20"/>
        </w:rPr>
        <w:instrText xml:space="preserve">  REF _Ref53585383 \w \h \* MERGEFORMAT </w:instrText>
      </w:r>
      <w:r w:rsidR="00054B03" w:rsidRPr="000E5786">
        <w:rPr>
          <w:rFonts w:cs="Arial"/>
          <w:szCs w:val="20"/>
        </w:rPr>
      </w:r>
      <w:r w:rsidR="00054B03" w:rsidRPr="000E5786">
        <w:rPr>
          <w:rFonts w:cs="Arial"/>
          <w:szCs w:val="20"/>
        </w:rPr>
        <w:fldChar w:fldCharType="separate"/>
      </w:r>
      <w:r w:rsidR="002523A8" w:rsidRPr="000E5786">
        <w:rPr>
          <w:rFonts w:cs="Arial"/>
          <w:szCs w:val="20"/>
        </w:rPr>
        <w:t>28.8</w:t>
      </w:r>
      <w:r w:rsidR="00054B03" w:rsidRPr="000E5786">
        <w:rPr>
          <w:rFonts w:cs="Arial"/>
          <w:szCs w:val="20"/>
        </w:rPr>
        <w:fldChar w:fldCharType="end"/>
      </w:r>
      <w:r w:rsidRPr="000E5786">
        <w:rPr>
          <w:rFonts w:cs="Arial"/>
          <w:szCs w:val="20"/>
        </w:rPr>
        <w:t xml:space="preserve"> (Consequential Losses) and without prejudice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’s obligation to pay the Charges as and when they fall due for payment</w:t>
      </w:r>
      <w:r w:rsidR="00D9696C">
        <w:rPr>
          <w:rFonts w:cs="Arial"/>
          <w:szCs w:val="20"/>
        </w:rPr>
        <w:t xml:space="preserve"> (including </w:t>
      </w:r>
      <w:r w:rsidR="00D9696C" w:rsidRPr="000E5786">
        <w:t xml:space="preserve">payments in respect </w:t>
      </w:r>
      <w:r w:rsidR="00D9696C">
        <w:t xml:space="preserve">of </w:t>
      </w:r>
      <w:r w:rsidR="00D9696C" w:rsidRPr="00D9696C">
        <w:rPr>
          <w:rFonts w:cs="Arial"/>
          <w:szCs w:val="20"/>
        </w:rPr>
        <w:t xml:space="preserve">unpaid Charges for Services received up until the </w:t>
      </w:r>
      <w:r w:rsidR="00D9696C">
        <w:rPr>
          <w:rFonts w:cs="Arial"/>
          <w:szCs w:val="20"/>
        </w:rPr>
        <w:t>Termination Date)</w:t>
      </w:r>
      <w:r w:rsidRPr="000E5786">
        <w:rPr>
          <w:rFonts w:cs="Arial"/>
          <w:szCs w:val="20"/>
        </w:rPr>
        <w:t>:</w:t>
      </w:r>
      <w:bookmarkEnd w:id="821"/>
    </w:p>
    <w:p w14:paraId="1C100F66" w14:textId="0716BD24" w:rsidR="0048699F" w:rsidRPr="002A5E75" w:rsidRDefault="001F1C19" w:rsidP="002A5E75">
      <w:pPr>
        <w:pStyle w:val="Heading3"/>
      </w:pPr>
      <w:bookmarkStart w:id="822" w:name="_Ref53585374"/>
      <w:proofErr w:type="spellStart"/>
      <w:r>
        <w:t>Netlink</w:t>
      </w:r>
      <w:proofErr w:type="spellEnd"/>
      <w:r>
        <w:t xml:space="preserve"> Star</w:t>
      </w:r>
      <w:r w:rsidR="0048699F" w:rsidRPr="000E5786">
        <w:t xml:space="preserve">’s total aggregate liability in respect of all Losses incurred by the Supplier under or in connection with this Agreement as a result of early termination of this Agreement by </w:t>
      </w:r>
      <w:proofErr w:type="spellStart"/>
      <w:r>
        <w:t>Netlink</w:t>
      </w:r>
      <w:proofErr w:type="spellEnd"/>
      <w:r>
        <w:t xml:space="preserve"> Star</w:t>
      </w:r>
      <w:r w:rsidR="0048699F" w:rsidRPr="000E5786">
        <w:t xml:space="preserve"> pursuant to clause </w:t>
      </w:r>
      <w:r w:rsidR="00054B03" w:rsidRPr="000E5786">
        <w:fldChar w:fldCharType="begin"/>
      </w:r>
      <w:r w:rsidR="00054B03" w:rsidRPr="000E5786">
        <w:instrText xml:space="preserve">  REF _Ref53585546 \w \h \* MERGEFORMAT </w:instrText>
      </w:r>
      <w:r w:rsidR="00054B03" w:rsidRPr="000E5786">
        <w:fldChar w:fldCharType="separate"/>
      </w:r>
      <w:r w:rsidR="002523A8" w:rsidRPr="000E5786">
        <w:t>36.1</w:t>
      </w:r>
      <w:r w:rsidR="00054B03" w:rsidRPr="000E5786">
        <w:fldChar w:fldCharType="end"/>
      </w:r>
      <w:r w:rsidR="0048699F" w:rsidRPr="000E5786">
        <w:t xml:space="preserve"> (Termination by </w:t>
      </w:r>
      <w:proofErr w:type="spellStart"/>
      <w:r>
        <w:t>Netlink</w:t>
      </w:r>
      <w:proofErr w:type="spellEnd"/>
      <w:r>
        <w:t xml:space="preserve"> Star</w:t>
      </w:r>
      <w:r w:rsidR="0048699F" w:rsidRPr="000E5786">
        <w:t xml:space="preserve">) or by the Supplier pursuant to clause </w:t>
      </w:r>
      <w:r w:rsidR="00054B03" w:rsidRPr="000E5786">
        <w:fldChar w:fldCharType="begin"/>
      </w:r>
      <w:r w:rsidR="00054B03" w:rsidRPr="000E5786">
        <w:instrText xml:space="preserve">  REF _Ref53585556 \w \h \* MERGEFORMAT </w:instrText>
      </w:r>
      <w:r w:rsidR="00054B03" w:rsidRPr="000E5786">
        <w:fldChar w:fldCharType="separate"/>
      </w:r>
      <w:r w:rsidR="002523A8" w:rsidRPr="000E5786">
        <w:t>36.3.1</w:t>
      </w:r>
      <w:r w:rsidR="00054B03" w:rsidRPr="000E5786">
        <w:fldChar w:fldCharType="end"/>
      </w:r>
      <w:r w:rsidR="0048699F" w:rsidRPr="000E5786">
        <w:t xml:space="preserve"> (Termination by the Supplier) shall in no event exceed </w:t>
      </w:r>
      <w:r w:rsidR="00D9696C">
        <w:rPr>
          <w:rFonts w:eastAsia="Verdana"/>
          <w:bCs w:val="0"/>
        </w:rPr>
        <w:t>five hundred thousand pounds (£500,000)</w:t>
      </w:r>
      <w:r w:rsidR="002A5E75">
        <w:t>;</w:t>
      </w:r>
      <w:bookmarkStart w:id="823" w:name="_Ref53585377"/>
      <w:bookmarkEnd w:id="822"/>
      <w:r w:rsidR="002A5E75">
        <w:t xml:space="preserve"> </w:t>
      </w:r>
      <w:r w:rsidR="0048699F" w:rsidRPr="002A5E75">
        <w:t>and</w:t>
      </w:r>
      <w:bookmarkEnd w:id="823"/>
    </w:p>
    <w:p w14:paraId="2F2B753A" w14:textId="71A478C2" w:rsidR="0048699F" w:rsidRPr="000E5786" w:rsidRDefault="001F1C19" w:rsidP="00346A37">
      <w:pPr>
        <w:pStyle w:val="Heading3"/>
      </w:pPr>
      <w:bookmarkStart w:id="824" w:name="_Ref53585378"/>
      <w:proofErr w:type="spellStart"/>
      <w:r>
        <w:t>Netlink</w:t>
      </w:r>
      <w:proofErr w:type="spellEnd"/>
      <w:r>
        <w:t xml:space="preserve"> Star</w:t>
      </w:r>
      <w:r w:rsidR="0048699F" w:rsidRPr="000E5786">
        <w:t xml:space="preserve">’s aggregate liability in respect of all Losses incurred by the Supplier under or in connection with this Agreement </w:t>
      </w:r>
      <w:proofErr w:type="gramStart"/>
      <w:r w:rsidR="0048699F" w:rsidRPr="000E5786">
        <w:t>as a result of</w:t>
      </w:r>
      <w:proofErr w:type="gramEnd"/>
      <w:r w:rsidR="0048699F" w:rsidRPr="000E5786">
        <w:t xml:space="preserve"> Defaults of </w:t>
      </w:r>
      <w:proofErr w:type="spellStart"/>
      <w:r>
        <w:t>Netlink</w:t>
      </w:r>
      <w:proofErr w:type="spellEnd"/>
      <w:r>
        <w:t xml:space="preserve"> Star</w:t>
      </w:r>
      <w:r w:rsidR="0048699F" w:rsidRPr="000E5786">
        <w:t xml:space="preserve"> shall in no event exceed an amount equal to fifty per cent (50%) of the total Charges paid, due or which would have been payable during the Term, as set out in the </w:t>
      </w:r>
      <w:r w:rsidR="00D9696C">
        <w:t>Base Overhead Charge</w:t>
      </w:r>
      <w:r w:rsidR="0048699F" w:rsidRPr="000E5786">
        <w:t>.</w:t>
      </w:r>
      <w:bookmarkEnd w:id="824"/>
    </w:p>
    <w:p w14:paraId="313CFC40" w14:textId="5FEEED04" w:rsidR="0048699F" w:rsidRPr="000E5786" w:rsidRDefault="0048699F" w:rsidP="00DD60F0">
      <w:pPr>
        <w:pStyle w:val="Heading2"/>
        <w:spacing w:after="120"/>
        <w:rPr>
          <w:rFonts w:cs="Arial"/>
          <w:szCs w:val="20"/>
        </w:rPr>
      </w:pPr>
      <w:bookmarkStart w:id="825" w:name="_Ref53585379"/>
      <w:r w:rsidRPr="000E5786">
        <w:rPr>
          <w:rFonts w:cs="Arial"/>
          <w:szCs w:val="20"/>
        </w:rPr>
        <w:t>For the avoidance of doubt:</w:t>
      </w:r>
      <w:bookmarkEnd w:id="825"/>
    </w:p>
    <w:p w14:paraId="0BA5F659" w14:textId="160D2E5E" w:rsidR="0048699F" w:rsidRPr="000E5786" w:rsidRDefault="0048699F" w:rsidP="00346A37">
      <w:pPr>
        <w:pStyle w:val="Heading3"/>
      </w:pPr>
      <w:bookmarkStart w:id="826" w:name="_Ref53585380"/>
      <w:r w:rsidRPr="000E5786">
        <w:t xml:space="preserve">any liability of a party which falls within clause </w:t>
      </w:r>
      <w:r w:rsidR="00695B64" w:rsidRPr="000E5786">
        <w:fldChar w:fldCharType="begin"/>
      </w:r>
      <w:r w:rsidR="00695B64" w:rsidRPr="000E5786">
        <w:instrText xml:space="preserve">  REF _Ref53585355 \w \h \* MERGEFORMAT </w:instrText>
      </w:r>
      <w:r w:rsidR="00695B64" w:rsidRPr="000E5786">
        <w:fldChar w:fldCharType="separate"/>
      </w:r>
      <w:r w:rsidR="002523A8" w:rsidRPr="000E5786">
        <w:t>28.1</w:t>
      </w:r>
      <w:r w:rsidR="00695B64" w:rsidRPr="000E5786">
        <w:fldChar w:fldCharType="end"/>
      </w:r>
      <w:r w:rsidRPr="000E5786">
        <w:t xml:space="preserve"> of the Supplier which falls within clause </w:t>
      </w:r>
      <w:r w:rsidR="00695B64" w:rsidRPr="000E5786">
        <w:fldChar w:fldCharType="begin"/>
      </w:r>
      <w:r w:rsidR="00695B64" w:rsidRPr="000E5786">
        <w:instrText xml:space="preserve">  REF _Ref53585360 \w \h \* MERGEFORMAT </w:instrText>
      </w:r>
      <w:r w:rsidR="00695B64" w:rsidRPr="000E5786">
        <w:fldChar w:fldCharType="separate"/>
      </w:r>
      <w:r w:rsidR="002523A8" w:rsidRPr="000E5786">
        <w:t>28.2</w:t>
      </w:r>
      <w:r w:rsidR="00695B64" w:rsidRPr="000E5786">
        <w:fldChar w:fldCharType="end"/>
      </w:r>
      <w:r w:rsidRPr="000E5786">
        <w:t xml:space="preserve"> or of </w:t>
      </w:r>
      <w:proofErr w:type="spellStart"/>
      <w:r w:rsidR="001F1C19">
        <w:t>Netlink</w:t>
      </w:r>
      <w:proofErr w:type="spellEnd"/>
      <w:r w:rsidR="001F1C19">
        <w:t xml:space="preserve"> Star</w:t>
      </w:r>
      <w:r w:rsidRPr="000E5786">
        <w:t xml:space="preserve"> which falls within clause </w:t>
      </w:r>
      <w:r w:rsidR="00695B64" w:rsidRPr="000E5786">
        <w:fldChar w:fldCharType="begin"/>
      </w:r>
      <w:r w:rsidR="00695B64" w:rsidRPr="000E5786">
        <w:instrText xml:space="preserve">  REF _Ref53585362 \w \h \* MERGEFORMAT </w:instrText>
      </w:r>
      <w:r w:rsidR="00695B64" w:rsidRPr="000E5786">
        <w:fldChar w:fldCharType="separate"/>
      </w:r>
      <w:r w:rsidR="002523A8" w:rsidRPr="000E5786">
        <w:t>28.3</w:t>
      </w:r>
      <w:r w:rsidR="00695B64" w:rsidRPr="000E5786">
        <w:fldChar w:fldCharType="end"/>
      </w:r>
      <w:r w:rsidRPr="000E5786">
        <w:t xml:space="preserve"> will not be taken into account in assessing whether the financial limits in clauses </w:t>
      </w:r>
      <w:r w:rsidR="00695B64" w:rsidRPr="000E5786">
        <w:fldChar w:fldCharType="begin"/>
      </w:r>
      <w:r w:rsidR="00695B64" w:rsidRPr="000E5786">
        <w:instrText xml:space="preserve">  REF _Ref53585363 \w \h \* MERGEFORMAT </w:instrText>
      </w:r>
      <w:r w:rsidR="00695B64" w:rsidRPr="000E5786">
        <w:fldChar w:fldCharType="separate"/>
      </w:r>
      <w:r w:rsidR="002523A8" w:rsidRPr="000E5786">
        <w:t>28.4</w:t>
      </w:r>
      <w:r w:rsidR="00695B64" w:rsidRPr="000E5786">
        <w:fldChar w:fldCharType="end"/>
      </w:r>
      <w:r w:rsidRPr="000E5786">
        <w:t xml:space="preserve"> and/or </w:t>
      </w:r>
      <w:r w:rsidR="00695B64" w:rsidRPr="000E5786">
        <w:fldChar w:fldCharType="begin"/>
      </w:r>
      <w:r w:rsidR="00695B64" w:rsidRPr="000E5786">
        <w:instrText xml:space="preserve">  REF _Ref53585373 \w \h \* MERGEFORMAT </w:instrText>
      </w:r>
      <w:r w:rsidR="00695B64" w:rsidRPr="000E5786">
        <w:fldChar w:fldCharType="separate"/>
      </w:r>
      <w:r w:rsidR="002523A8" w:rsidRPr="000E5786">
        <w:t>28.6</w:t>
      </w:r>
      <w:r w:rsidR="00695B64" w:rsidRPr="000E5786">
        <w:fldChar w:fldCharType="end"/>
      </w:r>
      <w:r w:rsidRPr="000E5786">
        <w:t xml:space="preserve"> (as applicable) have been reached;</w:t>
      </w:r>
      <w:bookmarkEnd w:id="826"/>
    </w:p>
    <w:p w14:paraId="78E878AA" w14:textId="40C0F540" w:rsidR="0048699F" w:rsidRPr="000E5786" w:rsidRDefault="0048699F" w:rsidP="00346A37">
      <w:pPr>
        <w:pStyle w:val="Heading3"/>
      </w:pPr>
      <w:bookmarkStart w:id="827" w:name="_Ref53585381"/>
      <w:r w:rsidRPr="000E5786">
        <w:t xml:space="preserve">the financial limits in clauses </w:t>
      </w:r>
      <w:r w:rsidR="00695B64" w:rsidRPr="000E5786">
        <w:fldChar w:fldCharType="begin"/>
      </w:r>
      <w:r w:rsidR="00695B64" w:rsidRPr="000E5786">
        <w:instrText xml:space="preserve">  REF _Ref53585364 \w \h \* MERGEFORMAT </w:instrText>
      </w:r>
      <w:r w:rsidR="00695B64" w:rsidRPr="000E5786">
        <w:fldChar w:fldCharType="separate"/>
      </w:r>
      <w:r w:rsidR="002523A8" w:rsidRPr="000E5786">
        <w:t>28.4.1</w:t>
      </w:r>
      <w:r w:rsidR="00695B64" w:rsidRPr="000E5786">
        <w:fldChar w:fldCharType="end"/>
      </w:r>
      <w:r w:rsidRPr="000E5786">
        <w:t xml:space="preserve">, 28.4.2 and </w:t>
      </w:r>
      <w:r w:rsidR="00695B64" w:rsidRPr="000E5786">
        <w:fldChar w:fldCharType="begin"/>
      </w:r>
      <w:r w:rsidR="00695B64" w:rsidRPr="000E5786">
        <w:instrText xml:space="preserve">  REF _Ref53585368 \w \h \* MERGEFORMAT </w:instrText>
      </w:r>
      <w:r w:rsidR="00695B64" w:rsidRPr="000E5786">
        <w:fldChar w:fldCharType="separate"/>
      </w:r>
      <w:r w:rsidR="002523A8" w:rsidRPr="000E5786">
        <w:t>28.4.3</w:t>
      </w:r>
      <w:r w:rsidR="00695B64" w:rsidRPr="000E5786">
        <w:fldChar w:fldCharType="end"/>
      </w:r>
      <w:r w:rsidRPr="000E5786">
        <w:t xml:space="preserve"> are separate not cumulative and any liability of the Supplier which falls within one of those clauses shall not be </w:t>
      </w:r>
      <w:r w:rsidRPr="000E5786">
        <w:lastRenderedPageBreak/>
        <w:t>taken into account in assessing whether the financial limits in the other such clauses have been reached; and</w:t>
      </w:r>
      <w:bookmarkEnd w:id="827"/>
    </w:p>
    <w:p w14:paraId="096A04C7" w14:textId="3A7CBD29" w:rsidR="0048699F" w:rsidRPr="000E5786" w:rsidRDefault="0048699F" w:rsidP="00346A37">
      <w:pPr>
        <w:pStyle w:val="Heading3"/>
      </w:pPr>
      <w:bookmarkStart w:id="828" w:name="_Ref53585382"/>
      <w:r w:rsidRPr="000E5786">
        <w:t xml:space="preserve">the financial limits and </w:t>
      </w:r>
      <w:r w:rsidR="00695B64" w:rsidRPr="000E5786">
        <w:fldChar w:fldCharType="begin"/>
      </w:r>
      <w:r w:rsidR="00695B64" w:rsidRPr="000E5786">
        <w:instrText xml:space="preserve">  REF _Ref53585378 \w \h \* MERGEFORMAT </w:instrText>
      </w:r>
      <w:r w:rsidR="00695B64" w:rsidRPr="000E5786">
        <w:fldChar w:fldCharType="separate"/>
      </w:r>
      <w:r w:rsidR="002523A8" w:rsidRPr="000E5786">
        <w:t>28.6.2</w:t>
      </w:r>
      <w:r w:rsidR="00695B64" w:rsidRPr="000E5786">
        <w:fldChar w:fldCharType="end"/>
      </w:r>
      <w:r w:rsidRPr="000E5786">
        <w:t xml:space="preserve"> are separate not cumulative and any liability of </w:t>
      </w:r>
      <w:proofErr w:type="spellStart"/>
      <w:r w:rsidR="001F1C19">
        <w:t>Netlink</w:t>
      </w:r>
      <w:proofErr w:type="spellEnd"/>
      <w:r w:rsidR="001F1C19">
        <w:t xml:space="preserve"> Star</w:t>
      </w:r>
      <w:r w:rsidRPr="000E5786">
        <w:t xml:space="preserve"> which falls within one sub-clause in clause </w:t>
      </w:r>
      <w:r w:rsidR="00695B64" w:rsidRPr="000E5786">
        <w:fldChar w:fldCharType="begin"/>
      </w:r>
      <w:r w:rsidR="00695B64" w:rsidRPr="000E5786">
        <w:instrText xml:space="preserve">  REF _Ref53585373 \w \h \* MERGEFORMAT </w:instrText>
      </w:r>
      <w:r w:rsidR="00695B64" w:rsidRPr="000E5786">
        <w:fldChar w:fldCharType="separate"/>
      </w:r>
      <w:r w:rsidR="002523A8" w:rsidRPr="000E5786">
        <w:t>28.6</w:t>
      </w:r>
      <w:r w:rsidR="00695B64" w:rsidRPr="000E5786">
        <w:fldChar w:fldCharType="end"/>
      </w:r>
      <w:r w:rsidRPr="000E5786">
        <w:t xml:space="preserve"> shall not be taken into account in assessing whether the financial limits in any of the other sub-clauses have been reached.</w:t>
      </w:r>
      <w:bookmarkEnd w:id="828"/>
    </w:p>
    <w:p w14:paraId="4345F2E0" w14:textId="6399188E" w:rsidR="0048699F" w:rsidRPr="000E5786" w:rsidRDefault="0048699F" w:rsidP="00CE5734">
      <w:pPr>
        <w:pStyle w:val="BodyText"/>
        <w:spacing w:after="120"/>
        <w:ind w:left="709" w:firstLine="0"/>
        <w:rPr>
          <w:rFonts w:cs="Arial"/>
          <w:szCs w:val="20"/>
          <w:u w:val="single"/>
        </w:rPr>
      </w:pPr>
      <w:r w:rsidRPr="000E5786">
        <w:rPr>
          <w:rFonts w:cs="Arial"/>
          <w:szCs w:val="20"/>
          <w:u w:val="single"/>
        </w:rPr>
        <w:t>Consequential Losses</w:t>
      </w:r>
    </w:p>
    <w:p w14:paraId="6D835822" w14:textId="11E8FDC7" w:rsidR="0048699F" w:rsidRPr="000E5786" w:rsidRDefault="0048699F" w:rsidP="00DD60F0">
      <w:pPr>
        <w:pStyle w:val="Heading2"/>
        <w:spacing w:after="120"/>
        <w:rPr>
          <w:rFonts w:cs="Arial"/>
          <w:szCs w:val="20"/>
        </w:rPr>
      </w:pPr>
      <w:bookmarkStart w:id="829" w:name="_Ref53585383"/>
      <w:r w:rsidRPr="000E5786">
        <w:rPr>
          <w:rFonts w:cs="Arial"/>
          <w:szCs w:val="20"/>
        </w:rPr>
        <w:t xml:space="preserve">Subject to clauses </w:t>
      </w:r>
      <w:r w:rsidR="00695B64" w:rsidRPr="000E5786">
        <w:rPr>
          <w:rFonts w:cs="Arial"/>
          <w:szCs w:val="20"/>
        </w:rPr>
        <w:fldChar w:fldCharType="begin"/>
      </w:r>
      <w:r w:rsidR="00695B64" w:rsidRPr="000E5786">
        <w:rPr>
          <w:rFonts w:cs="Arial"/>
          <w:szCs w:val="20"/>
        </w:rPr>
        <w:instrText xml:space="preserve">  REF _Ref53585355 \w \h \* MERGEFORMAT </w:instrText>
      </w:r>
      <w:r w:rsidR="00695B64" w:rsidRPr="000E5786">
        <w:rPr>
          <w:rFonts w:cs="Arial"/>
          <w:szCs w:val="20"/>
        </w:rPr>
      </w:r>
      <w:r w:rsidR="00695B64" w:rsidRPr="000E5786">
        <w:rPr>
          <w:rFonts w:cs="Arial"/>
          <w:szCs w:val="20"/>
        </w:rPr>
        <w:fldChar w:fldCharType="separate"/>
      </w:r>
      <w:r w:rsidR="002523A8" w:rsidRPr="000E5786">
        <w:rPr>
          <w:rFonts w:cs="Arial"/>
          <w:szCs w:val="20"/>
        </w:rPr>
        <w:t>28.1</w:t>
      </w:r>
      <w:r w:rsidR="00695B64" w:rsidRPr="000E5786">
        <w:rPr>
          <w:rFonts w:cs="Arial"/>
          <w:szCs w:val="20"/>
        </w:rPr>
        <w:fldChar w:fldCharType="end"/>
      </w:r>
      <w:r w:rsidRPr="000E5786">
        <w:rPr>
          <w:rFonts w:cs="Arial"/>
          <w:szCs w:val="20"/>
        </w:rPr>
        <w:t xml:space="preserve">, </w:t>
      </w:r>
      <w:r w:rsidR="00695B64" w:rsidRPr="000E5786">
        <w:rPr>
          <w:rFonts w:cs="Arial"/>
          <w:szCs w:val="20"/>
        </w:rPr>
        <w:fldChar w:fldCharType="begin"/>
      </w:r>
      <w:r w:rsidR="00695B64" w:rsidRPr="000E5786">
        <w:rPr>
          <w:rFonts w:cs="Arial"/>
          <w:szCs w:val="20"/>
        </w:rPr>
        <w:instrText xml:space="preserve">  REF _Ref53585360 \w \h \* MERGEFORMAT </w:instrText>
      </w:r>
      <w:r w:rsidR="00695B64" w:rsidRPr="000E5786">
        <w:rPr>
          <w:rFonts w:cs="Arial"/>
          <w:szCs w:val="20"/>
        </w:rPr>
      </w:r>
      <w:r w:rsidR="00695B64" w:rsidRPr="000E5786">
        <w:rPr>
          <w:rFonts w:cs="Arial"/>
          <w:szCs w:val="20"/>
        </w:rPr>
        <w:fldChar w:fldCharType="separate"/>
      </w:r>
      <w:r w:rsidR="002523A8" w:rsidRPr="000E5786">
        <w:rPr>
          <w:rFonts w:cs="Arial"/>
          <w:szCs w:val="20"/>
        </w:rPr>
        <w:t>28.2</w:t>
      </w:r>
      <w:r w:rsidR="00695B64" w:rsidRPr="000E5786">
        <w:rPr>
          <w:rFonts w:cs="Arial"/>
          <w:szCs w:val="20"/>
        </w:rPr>
        <w:fldChar w:fldCharType="end"/>
      </w:r>
      <w:r w:rsidRPr="000E5786">
        <w:rPr>
          <w:rFonts w:cs="Arial"/>
          <w:szCs w:val="20"/>
        </w:rPr>
        <w:t xml:space="preserve"> and </w:t>
      </w:r>
      <w:r w:rsidR="00695B64" w:rsidRPr="000E5786">
        <w:rPr>
          <w:rFonts w:cs="Arial"/>
          <w:szCs w:val="20"/>
        </w:rPr>
        <w:fldChar w:fldCharType="begin"/>
      </w:r>
      <w:r w:rsidR="00695B64" w:rsidRPr="000E5786">
        <w:rPr>
          <w:rFonts w:cs="Arial"/>
          <w:szCs w:val="20"/>
        </w:rPr>
        <w:instrText xml:space="preserve">  REF _Ref53585362 \w \h \* MERGEFORMAT </w:instrText>
      </w:r>
      <w:r w:rsidR="00695B64" w:rsidRPr="000E5786">
        <w:rPr>
          <w:rFonts w:cs="Arial"/>
          <w:szCs w:val="20"/>
        </w:rPr>
      </w:r>
      <w:r w:rsidR="00695B64" w:rsidRPr="000E5786">
        <w:rPr>
          <w:rFonts w:cs="Arial"/>
          <w:szCs w:val="20"/>
        </w:rPr>
        <w:fldChar w:fldCharType="separate"/>
      </w:r>
      <w:r w:rsidR="002523A8" w:rsidRPr="000E5786">
        <w:rPr>
          <w:rFonts w:cs="Arial"/>
          <w:szCs w:val="20"/>
        </w:rPr>
        <w:t>28.3</w:t>
      </w:r>
      <w:r w:rsidR="00695B64" w:rsidRPr="000E5786">
        <w:rPr>
          <w:rFonts w:cs="Arial"/>
          <w:szCs w:val="20"/>
        </w:rPr>
        <w:fldChar w:fldCharType="end"/>
      </w:r>
      <w:r w:rsidRPr="000E5786">
        <w:rPr>
          <w:rFonts w:cs="Arial"/>
          <w:szCs w:val="20"/>
        </w:rPr>
        <w:t xml:space="preserve"> (Unlimited Liability) and clause </w:t>
      </w:r>
      <w:r w:rsidR="00695B64" w:rsidRPr="000E5786">
        <w:rPr>
          <w:rFonts w:cs="Arial"/>
          <w:szCs w:val="20"/>
        </w:rPr>
        <w:fldChar w:fldCharType="begin"/>
      </w:r>
      <w:r w:rsidR="00695B64" w:rsidRPr="000E5786">
        <w:rPr>
          <w:rFonts w:cs="Arial"/>
          <w:szCs w:val="20"/>
        </w:rPr>
        <w:instrText xml:space="preserve">  REF _Ref53585386 \w \h \* MERGEFORMAT </w:instrText>
      </w:r>
      <w:r w:rsidR="00695B64" w:rsidRPr="000E5786">
        <w:rPr>
          <w:rFonts w:cs="Arial"/>
          <w:szCs w:val="20"/>
        </w:rPr>
      </w:r>
      <w:r w:rsidR="00695B64" w:rsidRPr="000E5786">
        <w:rPr>
          <w:rFonts w:cs="Arial"/>
          <w:szCs w:val="20"/>
        </w:rPr>
        <w:fldChar w:fldCharType="separate"/>
      </w:r>
      <w:r w:rsidR="002523A8" w:rsidRPr="000E5786">
        <w:rPr>
          <w:rFonts w:cs="Arial"/>
          <w:szCs w:val="20"/>
        </w:rPr>
        <w:t>28.9</w:t>
      </w:r>
      <w:r w:rsidR="00695B64" w:rsidRPr="000E5786">
        <w:rPr>
          <w:rFonts w:cs="Arial"/>
          <w:szCs w:val="20"/>
        </w:rPr>
        <w:fldChar w:fldCharType="end"/>
      </w:r>
      <w:r w:rsidRPr="000E5786">
        <w:rPr>
          <w:rFonts w:cs="Arial"/>
          <w:szCs w:val="20"/>
        </w:rPr>
        <w:t>, neither Party shall be liable to the other Party for:</w:t>
      </w:r>
      <w:bookmarkEnd w:id="829"/>
    </w:p>
    <w:p w14:paraId="62D90B9B" w14:textId="2BF0097F" w:rsidR="0048699F" w:rsidRPr="000E5786" w:rsidRDefault="0048699F" w:rsidP="00346A37">
      <w:pPr>
        <w:pStyle w:val="Heading3"/>
      </w:pPr>
      <w:bookmarkStart w:id="830" w:name="_Ref53585384"/>
      <w:r w:rsidRPr="000E5786">
        <w:t xml:space="preserve">any indirect, </w:t>
      </w:r>
      <w:proofErr w:type="gramStart"/>
      <w:r w:rsidRPr="000E5786">
        <w:t>special</w:t>
      </w:r>
      <w:proofErr w:type="gramEnd"/>
      <w:r w:rsidRPr="000E5786">
        <w:t xml:space="preserve"> or consequential Loss; or</w:t>
      </w:r>
      <w:bookmarkEnd w:id="830"/>
    </w:p>
    <w:p w14:paraId="3B9F31DE" w14:textId="53F9509B" w:rsidR="0048699F" w:rsidRPr="000E5786" w:rsidRDefault="0048699F" w:rsidP="00346A37">
      <w:pPr>
        <w:pStyle w:val="Heading3"/>
      </w:pPr>
      <w:bookmarkStart w:id="831" w:name="_Ref53585385"/>
      <w:r w:rsidRPr="000E5786">
        <w:t>any loss of profits, turnover, business opportunities or damage to goodwill (in each case whether direct or indirect).</w:t>
      </w:r>
      <w:bookmarkEnd w:id="831"/>
    </w:p>
    <w:p w14:paraId="6548F573" w14:textId="72A9ADAB" w:rsidR="0048699F" w:rsidRPr="000E5786" w:rsidRDefault="0048699F" w:rsidP="00DD60F0">
      <w:pPr>
        <w:pStyle w:val="Heading2"/>
        <w:spacing w:after="120"/>
        <w:rPr>
          <w:rFonts w:cs="Arial"/>
          <w:szCs w:val="20"/>
        </w:rPr>
      </w:pPr>
      <w:bookmarkStart w:id="832" w:name="_Ref53585386"/>
      <w:r w:rsidRPr="000E5786">
        <w:rPr>
          <w:rFonts w:cs="Arial"/>
          <w:szCs w:val="20"/>
        </w:rPr>
        <w:t xml:space="preserve">Notwithstanding clause </w:t>
      </w:r>
      <w:r w:rsidR="00695B64" w:rsidRPr="000E5786">
        <w:rPr>
          <w:rFonts w:cs="Arial"/>
          <w:szCs w:val="20"/>
        </w:rPr>
        <w:fldChar w:fldCharType="begin"/>
      </w:r>
      <w:r w:rsidR="00695B64" w:rsidRPr="000E5786">
        <w:rPr>
          <w:rFonts w:cs="Arial"/>
          <w:szCs w:val="20"/>
        </w:rPr>
        <w:instrText xml:space="preserve">  REF _Ref53585383 \w \h \* MERGEFORMAT </w:instrText>
      </w:r>
      <w:r w:rsidR="00695B64" w:rsidRPr="000E5786">
        <w:rPr>
          <w:rFonts w:cs="Arial"/>
          <w:szCs w:val="20"/>
        </w:rPr>
      </w:r>
      <w:r w:rsidR="00695B64" w:rsidRPr="000E5786">
        <w:rPr>
          <w:rFonts w:cs="Arial"/>
          <w:szCs w:val="20"/>
        </w:rPr>
        <w:fldChar w:fldCharType="separate"/>
      </w:r>
      <w:r w:rsidR="002523A8" w:rsidRPr="000E5786">
        <w:rPr>
          <w:rFonts w:cs="Arial"/>
          <w:szCs w:val="20"/>
        </w:rPr>
        <w:t>28.8</w:t>
      </w:r>
      <w:r w:rsidR="00695B64" w:rsidRPr="000E5786">
        <w:rPr>
          <w:rFonts w:cs="Arial"/>
          <w:szCs w:val="20"/>
        </w:rPr>
        <w:fldChar w:fldCharType="end"/>
      </w:r>
      <w:r w:rsidRPr="000E5786">
        <w:rPr>
          <w:rFonts w:cs="Arial"/>
          <w:szCs w:val="20"/>
        </w:rPr>
        <w:t xml:space="preserve"> but subject to clause </w:t>
      </w:r>
      <w:r w:rsidR="00695B64" w:rsidRPr="000E5786">
        <w:rPr>
          <w:rFonts w:cs="Arial"/>
          <w:szCs w:val="20"/>
        </w:rPr>
        <w:fldChar w:fldCharType="begin"/>
      </w:r>
      <w:r w:rsidR="00695B64" w:rsidRPr="000E5786">
        <w:rPr>
          <w:rFonts w:cs="Arial"/>
          <w:szCs w:val="20"/>
        </w:rPr>
        <w:instrText xml:space="preserve">  REF _Ref53585363 \w \h \* MERGEFORMAT </w:instrText>
      </w:r>
      <w:r w:rsidR="00695B64" w:rsidRPr="000E5786">
        <w:rPr>
          <w:rFonts w:cs="Arial"/>
          <w:szCs w:val="20"/>
        </w:rPr>
      </w:r>
      <w:r w:rsidR="00695B64" w:rsidRPr="000E5786">
        <w:rPr>
          <w:rFonts w:cs="Arial"/>
          <w:szCs w:val="20"/>
        </w:rPr>
        <w:fldChar w:fldCharType="separate"/>
      </w:r>
      <w:r w:rsidR="002523A8" w:rsidRPr="000E5786">
        <w:rPr>
          <w:rFonts w:cs="Arial"/>
          <w:szCs w:val="20"/>
        </w:rPr>
        <w:t>28.4</w:t>
      </w:r>
      <w:r w:rsidR="00695B64" w:rsidRPr="000E5786">
        <w:rPr>
          <w:rFonts w:cs="Arial"/>
          <w:szCs w:val="20"/>
        </w:rPr>
        <w:fldChar w:fldCharType="end"/>
      </w:r>
      <w:r w:rsidRPr="000E5786">
        <w:rPr>
          <w:rFonts w:cs="Arial"/>
          <w:szCs w:val="20"/>
        </w:rPr>
        <w:t xml:space="preserve">, the Supplier acknowledges that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amongst other things, recover from the Supplier the following Losses incurred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to the extent that they arise as a result of a Default by the Supplier:</w:t>
      </w:r>
      <w:bookmarkEnd w:id="832"/>
      <w:r w:rsidRPr="000E5786">
        <w:rPr>
          <w:rFonts w:cs="Arial"/>
          <w:b/>
          <w:szCs w:val="20"/>
          <w:vertAlign w:val="superscript"/>
        </w:rPr>
        <w:t xml:space="preserve"> </w:t>
      </w:r>
    </w:p>
    <w:p w14:paraId="3AFD3AE2" w14:textId="66A7C218" w:rsidR="0048699F" w:rsidRPr="000E5786" w:rsidRDefault="0048699F" w:rsidP="00346A37">
      <w:pPr>
        <w:pStyle w:val="Heading3"/>
      </w:pPr>
      <w:bookmarkStart w:id="833" w:name="_Ref53585387"/>
      <w:r w:rsidRPr="000E5786">
        <w:t xml:space="preserve">any additional operational and/or administrative costs and expenses incurred by </w:t>
      </w:r>
      <w:proofErr w:type="spellStart"/>
      <w:r w:rsidR="001F1C19">
        <w:t>Netlink</w:t>
      </w:r>
      <w:proofErr w:type="spellEnd"/>
      <w:r w:rsidR="001F1C19">
        <w:t xml:space="preserve"> Star</w:t>
      </w:r>
      <w:r w:rsidRPr="000E5786">
        <w:t xml:space="preserve">, including costs relating to time spent by or on behalf of </w:t>
      </w:r>
      <w:proofErr w:type="spellStart"/>
      <w:r w:rsidR="001F1C19">
        <w:t>Netlink</w:t>
      </w:r>
      <w:proofErr w:type="spellEnd"/>
      <w:r w:rsidR="001F1C19">
        <w:t xml:space="preserve"> Star</w:t>
      </w:r>
      <w:r w:rsidRPr="000E5786">
        <w:t xml:space="preserve"> in dealing with the consequences of the </w:t>
      </w:r>
      <w:proofErr w:type="gramStart"/>
      <w:r w:rsidRPr="000E5786">
        <w:t>Default;</w:t>
      </w:r>
      <w:bookmarkEnd w:id="833"/>
      <w:proofErr w:type="gramEnd"/>
    </w:p>
    <w:p w14:paraId="1FC8BE7B" w14:textId="54E704FF" w:rsidR="0048699F" w:rsidRPr="000E5786" w:rsidRDefault="0048699F" w:rsidP="00346A37">
      <w:pPr>
        <w:pStyle w:val="Heading3"/>
      </w:pPr>
      <w:bookmarkStart w:id="834" w:name="_Ref53585388"/>
      <w:r w:rsidRPr="000E5786">
        <w:t xml:space="preserve">any wasted expenditure or </w:t>
      </w:r>
      <w:proofErr w:type="gramStart"/>
      <w:r w:rsidRPr="000E5786">
        <w:t>charges;</w:t>
      </w:r>
      <w:bookmarkEnd w:id="834"/>
      <w:proofErr w:type="gramEnd"/>
    </w:p>
    <w:p w14:paraId="73402802" w14:textId="1CEA2418" w:rsidR="0048699F" w:rsidRPr="000E5786" w:rsidRDefault="0048699F" w:rsidP="00346A37">
      <w:pPr>
        <w:pStyle w:val="Heading3"/>
      </w:pPr>
      <w:bookmarkStart w:id="835" w:name="_Ref53585389"/>
      <w:r w:rsidRPr="000E5786">
        <w:t xml:space="preserve">the additional cost of procuring Replacement Services for the remainder of the Term and/or replacement Deliverables, which shall include any incremental costs associated with such Replacement Services and/or replacement Deliverables above those which would have been payable under this </w:t>
      </w:r>
      <w:proofErr w:type="gramStart"/>
      <w:r w:rsidRPr="000E5786">
        <w:t>Agreement;</w:t>
      </w:r>
      <w:bookmarkEnd w:id="835"/>
      <w:proofErr w:type="gramEnd"/>
    </w:p>
    <w:p w14:paraId="7F4BBED2" w14:textId="25E84A34" w:rsidR="0048699F" w:rsidRPr="000E5786" w:rsidRDefault="0048699F" w:rsidP="00346A37">
      <w:pPr>
        <w:pStyle w:val="Heading3"/>
      </w:pPr>
      <w:bookmarkStart w:id="836" w:name="_Ref53585390"/>
      <w:r w:rsidRPr="000E5786">
        <w:t xml:space="preserve">any compensation or interest paid to a third party by </w:t>
      </w:r>
      <w:proofErr w:type="spellStart"/>
      <w:r w:rsidR="001F1C19">
        <w:t>Netlink</w:t>
      </w:r>
      <w:proofErr w:type="spellEnd"/>
      <w:r w:rsidR="001F1C19">
        <w:t xml:space="preserve"> </w:t>
      </w:r>
      <w:proofErr w:type="gramStart"/>
      <w:r w:rsidR="001F1C19">
        <w:t>Star</w:t>
      </w:r>
      <w:r w:rsidRPr="000E5786">
        <w:t>;</w:t>
      </w:r>
      <w:bookmarkEnd w:id="836"/>
      <w:proofErr w:type="gramEnd"/>
    </w:p>
    <w:p w14:paraId="17E48649" w14:textId="3618D80C" w:rsidR="0048699F" w:rsidRPr="000E5786" w:rsidRDefault="0048699F" w:rsidP="00346A37">
      <w:pPr>
        <w:pStyle w:val="Heading3"/>
      </w:pPr>
      <w:bookmarkStart w:id="837" w:name="_Ref53585391"/>
      <w:r w:rsidRPr="000E5786">
        <w:t xml:space="preserve">any fine or penalty incurred by </w:t>
      </w:r>
      <w:proofErr w:type="spellStart"/>
      <w:r w:rsidR="001F1C19">
        <w:t>Netlink</w:t>
      </w:r>
      <w:proofErr w:type="spellEnd"/>
      <w:r w:rsidR="001F1C19">
        <w:t xml:space="preserve"> Star</w:t>
      </w:r>
      <w:r w:rsidRPr="000E5786">
        <w:t xml:space="preserve"> pursuant to Law and any costs incurred by </w:t>
      </w:r>
      <w:proofErr w:type="spellStart"/>
      <w:r w:rsidR="001F1C19">
        <w:t>Netlink</w:t>
      </w:r>
      <w:proofErr w:type="spellEnd"/>
      <w:r w:rsidR="001F1C19">
        <w:t xml:space="preserve"> Star</w:t>
      </w:r>
      <w:r w:rsidRPr="000E5786">
        <w:t xml:space="preserve"> in defending any proceedings which result in such fine or penalty; and</w:t>
      </w:r>
      <w:bookmarkEnd w:id="837"/>
    </w:p>
    <w:p w14:paraId="35006C12" w14:textId="4605E490" w:rsidR="0048699F" w:rsidRPr="000E5786" w:rsidRDefault="0048699F" w:rsidP="00346A37">
      <w:pPr>
        <w:pStyle w:val="Heading3"/>
      </w:pPr>
      <w:bookmarkStart w:id="838" w:name="_Ref53585392"/>
      <w:r w:rsidRPr="000E5786">
        <w:t xml:space="preserve">any anticipated savings identified in </w:t>
      </w:r>
      <w:bookmarkStart w:id="839" w:name="DocXTextRef356"/>
      <w:r w:rsidRPr="000E5786">
        <w:t>Schedule 7.</w:t>
      </w:r>
      <w:r w:rsidR="004E16EB">
        <w:t>7</w:t>
      </w:r>
      <w:bookmarkEnd w:id="839"/>
      <w:r w:rsidRPr="000E5786">
        <w:t xml:space="preserve"> (Anticipated Savings).</w:t>
      </w:r>
      <w:bookmarkEnd w:id="838"/>
    </w:p>
    <w:p w14:paraId="6C3EC84D" w14:textId="59E34455" w:rsidR="0048699F" w:rsidRPr="000E5786" w:rsidRDefault="0048699F" w:rsidP="00CE5734">
      <w:pPr>
        <w:pStyle w:val="BodyText"/>
        <w:spacing w:after="120"/>
        <w:ind w:left="709" w:firstLine="0"/>
        <w:rPr>
          <w:rFonts w:cs="Arial"/>
          <w:szCs w:val="20"/>
          <w:u w:val="single"/>
        </w:rPr>
      </w:pPr>
      <w:r w:rsidRPr="000E5786">
        <w:rPr>
          <w:rFonts w:cs="Arial"/>
          <w:szCs w:val="20"/>
          <w:u w:val="single"/>
        </w:rPr>
        <w:t>Conduct of indemnity claims</w:t>
      </w:r>
    </w:p>
    <w:p w14:paraId="3F97230A" w14:textId="6FF4BD60" w:rsidR="0048699F" w:rsidRPr="000E5786" w:rsidRDefault="0048699F" w:rsidP="00DD60F0">
      <w:pPr>
        <w:pStyle w:val="Heading2"/>
        <w:spacing w:after="120"/>
        <w:rPr>
          <w:rFonts w:cs="Arial"/>
          <w:szCs w:val="20"/>
        </w:rPr>
      </w:pPr>
      <w:bookmarkStart w:id="840" w:name="_Ref53585393"/>
      <w:r w:rsidRPr="000E5786">
        <w:rPr>
          <w:rFonts w:cs="Arial"/>
          <w:szCs w:val="20"/>
        </w:rPr>
        <w:t xml:space="preserve">Where under this Agreement one Party indemnifies the other Party, the Parties shall comply with the provisions of </w:t>
      </w:r>
      <w:bookmarkStart w:id="841" w:name="DocXTextRef357"/>
      <w:r w:rsidRPr="000E5786">
        <w:rPr>
          <w:rFonts w:cs="Arial"/>
          <w:szCs w:val="20"/>
        </w:rPr>
        <w:t>Schedule 8.7</w:t>
      </w:r>
      <w:bookmarkEnd w:id="841"/>
      <w:r w:rsidRPr="000E5786">
        <w:rPr>
          <w:rFonts w:cs="Arial"/>
          <w:szCs w:val="20"/>
        </w:rPr>
        <w:t xml:space="preserve"> (Conduct of Claims) in relation to the conduct of claims made by a third person against the Party having (or claiming to have) the benefit of the indemnity.</w:t>
      </w:r>
      <w:bookmarkEnd w:id="840"/>
    </w:p>
    <w:p w14:paraId="24281438" w14:textId="3BD7E970" w:rsidR="0048699F" w:rsidRPr="000E5786" w:rsidRDefault="0048699F" w:rsidP="00CE5734">
      <w:pPr>
        <w:pStyle w:val="BodyText"/>
        <w:spacing w:after="120"/>
        <w:ind w:left="709" w:firstLine="0"/>
        <w:rPr>
          <w:rFonts w:cs="Arial"/>
          <w:szCs w:val="20"/>
          <w:u w:val="single"/>
        </w:rPr>
      </w:pPr>
      <w:r w:rsidRPr="000E5786">
        <w:rPr>
          <w:rFonts w:cs="Arial"/>
          <w:szCs w:val="20"/>
          <w:u w:val="single"/>
        </w:rPr>
        <w:t>Mitigation</w:t>
      </w:r>
    </w:p>
    <w:p w14:paraId="309C7D2A" w14:textId="24060690" w:rsidR="0048699F" w:rsidRPr="000E5786" w:rsidRDefault="0048699F" w:rsidP="00DD60F0">
      <w:pPr>
        <w:pStyle w:val="Heading2"/>
        <w:spacing w:after="120"/>
        <w:rPr>
          <w:rFonts w:cs="Arial"/>
          <w:szCs w:val="20"/>
        </w:rPr>
      </w:pPr>
      <w:bookmarkStart w:id="842" w:name="_Ref53585394"/>
      <w:r w:rsidRPr="000E5786">
        <w:rPr>
          <w:rFonts w:cs="Arial"/>
          <w:szCs w:val="20"/>
        </w:rPr>
        <w:t>Each Party shall use all reasonable endeavours to mitigate any loss or damage suffered arising out of or in connection with this Agreement, including any Losses for which the relevant Party is entitled to bring a claim against the other Party pursuant to the indemnities in this Agreement.</w:t>
      </w:r>
      <w:bookmarkEnd w:id="842"/>
    </w:p>
    <w:p w14:paraId="7E7A7F68" w14:textId="6CA7D3CA" w:rsidR="0048699F" w:rsidRPr="000E5786" w:rsidRDefault="0048699F" w:rsidP="00DD60F0">
      <w:pPr>
        <w:pStyle w:val="Heading1"/>
        <w:spacing w:after="120"/>
        <w:rPr>
          <w:rFonts w:cs="Arial"/>
          <w:szCs w:val="20"/>
        </w:rPr>
      </w:pPr>
      <w:bookmarkStart w:id="843" w:name="_Ref53585395"/>
      <w:bookmarkStart w:id="844" w:name="_Ref53585727"/>
      <w:bookmarkStart w:id="845" w:name="_Toc71198953"/>
      <w:r w:rsidRPr="000E5786">
        <w:rPr>
          <w:rFonts w:cs="Arial"/>
          <w:szCs w:val="20"/>
        </w:rPr>
        <w:t>INSURANCE</w:t>
      </w:r>
      <w:bookmarkEnd w:id="843"/>
      <w:bookmarkEnd w:id="844"/>
      <w:bookmarkEnd w:id="845"/>
    </w:p>
    <w:p w14:paraId="32B48115" w14:textId="6B1E53C2" w:rsidR="0048699F" w:rsidRPr="000E5786" w:rsidRDefault="0048699F" w:rsidP="00834C1A">
      <w:pPr>
        <w:pStyle w:val="BodyText2"/>
        <w:spacing w:after="120"/>
        <w:ind w:left="0" w:firstLine="0"/>
        <w:rPr>
          <w:rFonts w:cs="Arial"/>
          <w:szCs w:val="20"/>
        </w:rPr>
      </w:pPr>
      <w:r w:rsidRPr="000E5786">
        <w:rPr>
          <w:rFonts w:cs="Arial"/>
          <w:szCs w:val="20"/>
        </w:rPr>
        <w:t xml:space="preserve">The Supplier shall comply with the provisions of </w:t>
      </w:r>
      <w:bookmarkStart w:id="846" w:name="DocXTextRef358"/>
      <w:r w:rsidRPr="000E5786">
        <w:rPr>
          <w:rFonts w:cs="Arial"/>
          <w:szCs w:val="20"/>
        </w:rPr>
        <w:t>Schedule 2.</w:t>
      </w:r>
      <w:r w:rsidR="004E16EB">
        <w:rPr>
          <w:rFonts w:cs="Arial"/>
          <w:szCs w:val="20"/>
        </w:rPr>
        <w:t>7</w:t>
      </w:r>
      <w:bookmarkEnd w:id="846"/>
      <w:r w:rsidRPr="000E5786">
        <w:rPr>
          <w:rFonts w:cs="Arial"/>
          <w:szCs w:val="20"/>
        </w:rPr>
        <w:t xml:space="preserve"> (Insurance Requirements) in relation to obtaining and maintaining insurance.</w:t>
      </w:r>
    </w:p>
    <w:p w14:paraId="51C8E216" w14:textId="0EDA83E0" w:rsidR="0048699F" w:rsidRPr="000E5786" w:rsidRDefault="0048699F" w:rsidP="00DD60F0">
      <w:pPr>
        <w:pStyle w:val="BodyText"/>
        <w:spacing w:after="120"/>
        <w:rPr>
          <w:rFonts w:cs="Arial"/>
          <w:b/>
          <w:bCs/>
          <w:szCs w:val="20"/>
        </w:rPr>
      </w:pPr>
      <w:r w:rsidRPr="000E5786">
        <w:rPr>
          <w:rFonts w:cs="Arial"/>
          <w:b/>
          <w:bCs/>
          <w:szCs w:val="20"/>
        </w:rPr>
        <w:t>SECTION H – REMEDIES AND RELIEF</w:t>
      </w:r>
    </w:p>
    <w:p w14:paraId="22964F91" w14:textId="03968B33" w:rsidR="0048699F" w:rsidRPr="000E5786" w:rsidRDefault="0048699F" w:rsidP="00DD60F0">
      <w:pPr>
        <w:pStyle w:val="Heading1"/>
        <w:spacing w:after="120"/>
        <w:rPr>
          <w:rFonts w:cs="Arial"/>
          <w:szCs w:val="20"/>
        </w:rPr>
      </w:pPr>
      <w:bookmarkStart w:id="847" w:name="_Ref53585396"/>
      <w:bookmarkStart w:id="848" w:name="_Ref53585728"/>
      <w:bookmarkStart w:id="849" w:name="_Toc71198954"/>
      <w:r w:rsidRPr="000E5786">
        <w:rPr>
          <w:rFonts w:cs="Arial"/>
          <w:szCs w:val="20"/>
        </w:rPr>
        <w:t>RECTIFICATION PLAN PROCESS</w:t>
      </w:r>
      <w:bookmarkEnd w:id="847"/>
      <w:bookmarkEnd w:id="848"/>
      <w:bookmarkEnd w:id="849"/>
    </w:p>
    <w:p w14:paraId="7B7744E4" w14:textId="2B74868E" w:rsidR="0048699F" w:rsidRPr="000E5786" w:rsidRDefault="0048699F" w:rsidP="00DD60F0">
      <w:pPr>
        <w:pStyle w:val="Heading2"/>
        <w:spacing w:after="120"/>
        <w:rPr>
          <w:rFonts w:cs="Arial"/>
          <w:szCs w:val="20"/>
        </w:rPr>
      </w:pPr>
      <w:bookmarkStart w:id="850" w:name="_Ref53585397"/>
      <w:proofErr w:type="gramStart"/>
      <w:r w:rsidRPr="000E5786">
        <w:rPr>
          <w:rFonts w:cs="Arial"/>
          <w:szCs w:val="20"/>
        </w:rPr>
        <w:t>In the event that</w:t>
      </w:r>
      <w:proofErr w:type="gramEnd"/>
      <w:r w:rsidRPr="000E5786">
        <w:rPr>
          <w:rFonts w:cs="Arial"/>
          <w:szCs w:val="20"/>
        </w:rPr>
        <w:t>:</w:t>
      </w:r>
      <w:bookmarkEnd w:id="850"/>
    </w:p>
    <w:p w14:paraId="299AC927" w14:textId="1B9A5755" w:rsidR="0048699F" w:rsidRPr="000E5786" w:rsidRDefault="0048699F" w:rsidP="00346A37">
      <w:pPr>
        <w:pStyle w:val="Heading3"/>
      </w:pPr>
      <w:bookmarkStart w:id="851" w:name="_Ref53585398"/>
      <w:r w:rsidRPr="000E5786">
        <w:t xml:space="preserve">there is, or is reasonably likely to be, a </w:t>
      </w:r>
      <w:proofErr w:type="gramStart"/>
      <w:r w:rsidRPr="000E5786">
        <w:t>Delay;</w:t>
      </w:r>
      <w:bookmarkEnd w:id="851"/>
      <w:proofErr w:type="gramEnd"/>
    </w:p>
    <w:p w14:paraId="3223AD6B" w14:textId="5445E3CB" w:rsidR="0048699F" w:rsidRPr="000E5786" w:rsidRDefault="0048699F" w:rsidP="00346A37">
      <w:pPr>
        <w:pStyle w:val="Heading3"/>
      </w:pPr>
      <w:bookmarkStart w:id="852" w:name="_Ref53585399"/>
      <w:r w:rsidRPr="000E5786">
        <w:t>in any Service Period there has been:</w:t>
      </w:r>
      <w:bookmarkEnd w:id="852"/>
    </w:p>
    <w:p w14:paraId="1DC0A9F4" w14:textId="411996EF" w:rsidR="0048699F" w:rsidRPr="000E5786" w:rsidRDefault="0048699F" w:rsidP="00DD60F0">
      <w:pPr>
        <w:pStyle w:val="Heading4"/>
        <w:spacing w:after="120"/>
        <w:rPr>
          <w:rFonts w:cs="Arial"/>
          <w:szCs w:val="20"/>
        </w:rPr>
      </w:pPr>
      <w:bookmarkStart w:id="853" w:name="_Ref53585400"/>
      <w:r w:rsidRPr="000E5786">
        <w:rPr>
          <w:rFonts w:cs="Arial"/>
          <w:szCs w:val="20"/>
        </w:rPr>
        <w:t>a Material KPI Failure; and/or</w:t>
      </w:r>
      <w:bookmarkEnd w:id="853"/>
    </w:p>
    <w:p w14:paraId="005744B0" w14:textId="662E8208" w:rsidR="0048699F" w:rsidRPr="000E5786" w:rsidRDefault="0048699F" w:rsidP="00DD60F0">
      <w:pPr>
        <w:pStyle w:val="Heading4"/>
        <w:spacing w:after="120"/>
        <w:rPr>
          <w:rFonts w:cs="Arial"/>
          <w:szCs w:val="20"/>
        </w:rPr>
      </w:pPr>
      <w:bookmarkStart w:id="854" w:name="_Ref53585402"/>
      <w:r w:rsidRPr="000E5786">
        <w:rPr>
          <w:rFonts w:cs="Arial"/>
          <w:szCs w:val="20"/>
        </w:rPr>
        <w:lastRenderedPageBreak/>
        <w:t xml:space="preserve">the Supplier commits a material Default that is capable of remedy (and for these purposes a material Default may be a single material Default or </w:t>
      </w:r>
      <w:proofErr w:type="gramStart"/>
      <w:r w:rsidRPr="000E5786">
        <w:rPr>
          <w:rFonts w:cs="Arial"/>
          <w:szCs w:val="20"/>
        </w:rPr>
        <w:t>a number of</w:t>
      </w:r>
      <w:proofErr w:type="gramEnd"/>
      <w:r w:rsidRPr="000E5786">
        <w:rPr>
          <w:rFonts w:cs="Arial"/>
          <w:szCs w:val="20"/>
        </w:rPr>
        <w:t xml:space="preserve"> Defaults or repeated Defaults (whether of the same or different obligations and regardless of whether such Defaults are remedied) which taken together constitute a material Default),</w:t>
      </w:r>
      <w:bookmarkEnd w:id="854"/>
    </w:p>
    <w:p w14:paraId="5EC9D97C" w14:textId="639D6B5B" w:rsidR="002701EF" w:rsidRPr="000E5786" w:rsidRDefault="0048699F" w:rsidP="00834C1A">
      <w:pPr>
        <w:pStyle w:val="BodyText1"/>
        <w:spacing w:after="120"/>
        <w:ind w:firstLine="0"/>
        <w:rPr>
          <w:rFonts w:cs="Arial"/>
          <w:szCs w:val="20"/>
        </w:rPr>
      </w:pPr>
      <w:r w:rsidRPr="000E5786">
        <w:rPr>
          <w:rFonts w:cs="Arial"/>
          <w:szCs w:val="20"/>
        </w:rPr>
        <w:t>(each a “</w:t>
      </w:r>
      <w:r w:rsidRPr="000E5786">
        <w:rPr>
          <w:rFonts w:cs="Arial"/>
          <w:b/>
          <w:szCs w:val="20"/>
        </w:rPr>
        <w:t>Notifiable Default</w:t>
      </w:r>
      <w:r w:rsidRPr="000E5786">
        <w:rPr>
          <w:rFonts w:cs="Arial"/>
          <w:szCs w:val="20"/>
        </w:rPr>
        <w:t xml:space="preserve">”), the Supplier shall notify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of the Notifiable Default as soon as practicable but in any event within three </w:t>
      </w:r>
      <w:bookmarkStart w:id="855" w:name="DocXTextRef359"/>
      <w:r w:rsidRPr="000E5786">
        <w:rPr>
          <w:rFonts w:cs="Arial"/>
          <w:szCs w:val="20"/>
        </w:rPr>
        <w:t>(3)</w:t>
      </w:r>
      <w:bookmarkEnd w:id="855"/>
      <w:r w:rsidRPr="000E5786">
        <w:rPr>
          <w:rFonts w:cs="Arial"/>
          <w:szCs w:val="20"/>
        </w:rPr>
        <w:t xml:space="preserve"> Working Days of becoming aware of the Notifiable Default, detailing the actual or anticipated effect of the Notifiable Default and, unless the Notifiable Default also constitutes a Rectification Plan Failure or other Supplier Termination Event,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not terminate this Agreement in whole or in part on the grounds of the Notifiable Default without first following the Rectification Plan Process. </w:t>
      </w:r>
    </w:p>
    <w:p w14:paraId="2EF2D61A" w14:textId="080FBCC7" w:rsidR="0048699F" w:rsidRPr="000E5786" w:rsidRDefault="0048699F" w:rsidP="00CE5734">
      <w:pPr>
        <w:pStyle w:val="BodyText1"/>
        <w:spacing w:after="120"/>
        <w:ind w:left="0" w:firstLine="709"/>
        <w:rPr>
          <w:rFonts w:cs="Arial"/>
          <w:szCs w:val="20"/>
        </w:rPr>
      </w:pPr>
      <w:r w:rsidRPr="000E5786">
        <w:rPr>
          <w:rFonts w:cs="Arial"/>
          <w:b/>
          <w:szCs w:val="20"/>
        </w:rPr>
        <w:t>Notification</w:t>
      </w:r>
    </w:p>
    <w:p w14:paraId="350C7CD5" w14:textId="591647D9" w:rsidR="0048699F" w:rsidRPr="000E5786" w:rsidRDefault="0048699F" w:rsidP="00DD60F0">
      <w:pPr>
        <w:pStyle w:val="Heading2"/>
        <w:spacing w:after="120"/>
        <w:rPr>
          <w:rFonts w:cs="Arial"/>
          <w:szCs w:val="20"/>
        </w:rPr>
      </w:pPr>
      <w:bookmarkStart w:id="856" w:name="_Ref53585403"/>
      <w:r w:rsidRPr="000E5786">
        <w:rPr>
          <w:rFonts w:cs="Arial"/>
          <w:szCs w:val="20"/>
        </w:rPr>
        <w:t>If:</w:t>
      </w:r>
      <w:bookmarkEnd w:id="856"/>
    </w:p>
    <w:p w14:paraId="3B1DB558" w14:textId="292C6FE8" w:rsidR="0048699F" w:rsidRPr="000E5786" w:rsidRDefault="0048699F" w:rsidP="00346A37">
      <w:pPr>
        <w:pStyle w:val="Heading3"/>
      </w:pPr>
      <w:bookmarkStart w:id="857" w:name="_Ref53585404"/>
      <w:r w:rsidRPr="000E5786">
        <w:t xml:space="preserve">the Supplier notifies </w:t>
      </w:r>
      <w:proofErr w:type="spellStart"/>
      <w:r w:rsidR="001F1C19">
        <w:t>Netlink</w:t>
      </w:r>
      <w:proofErr w:type="spellEnd"/>
      <w:r w:rsidR="001F1C19">
        <w:t xml:space="preserve"> Star</w:t>
      </w:r>
      <w:r w:rsidRPr="000E5786">
        <w:t xml:space="preserve"> pursuant to clause </w:t>
      </w:r>
      <w:r w:rsidR="00D31E2D" w:rsidRPr="000E5786">
        <w:fldChar w:fldCharType="begin"/>
      </w:r>
      <w:r w:rsidR="00D31E2D" w:rsidRPr="000E5786">
        <w:instrText xml:space="preserve">  REF _Ref53585397 \w \h \* MERGEFORMAT </w:instrText>
      </w:r>
      <w:r w:rsidR="00D31E2D" w:rsidRPr="000E5786">
        <w:fldChar w:fldCharType="separate"/>
      </w:r>
      <w:r w:rsidR="002523A8" w:rsidRPr="000E5786">
        <w:t>30.1</w:t>
      </w:r>
      <w:r w:rsidR="00D31E2D" w:rsidRPr="000E5786">
        <w:fldChar w:fldCharType="end"/>
      </w:r>
      <w:r w:rsidRPr="000E5786">
        <w:t xml:space="preserve"> that a Notifiable Default has occurred; or</w:t>
      </w:r>
      <w:bookmarkEnd w:id="857"/>
    </w:p>
    <w:p w14:paraId="4D42774B" w14:textId="6DE898D2" w:rsidR="00120E40" w:rsidRPr="000E5786" w:rsidRDefault="001F1C19" w:rsidP="00346A37">
      <w:pPr>
        <w:pStyle w:val="Heading3"/>
      </w:pPr>
      <w:bookmarkStart w:id="858" w:name="_Ref53585405"/>
      <w:proofErr w:type="spellStart"/>
      <w:r>
        <w:t>Netlink</w:t>
      </w:r>
      <w:proofErr w:type="spellEnd"/>
      <w:r>
        <w:t xml:space="preserve"> Star</w:t>
      </w:r>
      <w:r w:rsidR="0048699F" w:rsidRPr="000E5786">
        <w:t xml:space="preserve"> notifies the Supplier that it considers that a Notifiable Default has occurred (setting out sufficient detail so that it is reasonably clear what the Supplier </w:t>
      </w:r>
      <w:proofErr w:type="gramStart"/>
      <w:r w:rsidR="0048699F" w:rsidRPr="000E5786">
        <w:t>has to</w:t>
      </w:r>
      <w:proofErr w:type="gramEnd"/>
      <w:r w:rsidR="0048699F" w:rsidRPr="000E5786">
        <w:t xml:space="preserve"> rectify),</w:t>
      </w:r>
      <w:bookmarkEnd w:id="858"/>
      <w:r w:rsidR="006E53BB" w:rsidRPr="000E5786">
        <w:t xml:space="preserve"> </w:t>
      </w:r>
    </w:p>
    <w:p w14:paraId="362A4A84" w14:textId="1568E418" w:rsidR="0048699F" w:rsidRPr="000E5786" w:rsidRDefault="0048699F" w:rsidP="00834C1A">
      <w:pPr>
        <w:pStyle w:val="BodyText2"/>
        <w:spacing w:after="120"/>
        <w:ind w:firstLine="0"/>
        <w:rPr>
          <w:rFonts w:cs="Arial"/>
          <w:szCs w:val="20"/>
        </w:rPr>
      </w:pPr>
      <w:r w:rsidRPr="000E5786">
        <w:rPr>
          <w:rFonts w:cs="Arial"/>
          <w:szCs w:val="20"/>
        </w:rPr>
        <w:t xml:space="preserve">then, unless the Notifiable Default also constitutes a Supplier Termination Event and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serves a Termination Notice, the Supplier shall comply with the Rectification Plan Process.</w:t>
      </w:r>
    </w:p>
    <w:p w14:paraId="0F798658" w14:textId="1909F02D" w:rsidR="0048699F" w:rsidRPr="000E5786" w:rsidRDefault="0048699F" w:rsidP="00DD60F0">
      <w:pPr>
        <w:pStyle w:val="Heading2"/>
        <w:spacing w:after="120"/>
        <w:rPr>
          <w:rFonts w:cs="Arial"/>
          <w:szCs w:val="20"/>
        </w:rPr>
      </w:pPr>
      <w:bookmarkStart w:id="859" w:name="_Ref53585406"/>
      <w:r w:rsidRPr="000E5786">
        <w:rPr>
          <w:rFonts w:cs="Arial"/>
          <w:szCs w:val="20"/>
        </w:rPr>
        <w:t>The “</w:t>
      </w:r>
      <w:r w:rsidRPr="000E5786">
        <w:rPr>
          <w:rFonts w:cs="Arial"/>
          <w:b/>
          <w:szCs w:val="20"/>
        </w:rPr>
        <w:t>Rectification Plan Process</w:t>
      </w:r>
      <w:r w:rsidRPr="000E5786">
        <w:rPr>
          <w:rFonts w:cs="Arial"/>
          <w:szCs w:val="20"/>
        </w:rPr>
        <w:t xml:space="preserve">” shall be as set out in clauses </w:t>
      </w:r>
      <w:r w:rsidR="00D31E2D" w:rsidRPr="000E5786">
        <w:rPr>
          <w:rFonts w:cs="Arial"/>
          <w:szCs w:val="20"/>
        </w:rPr>
        <w:fldChar w:fldCharType="begin"/>
      </w:r>
      <w:r w:rsidR="00D31E2D" w:rsidRPr="000E5786">
        <w:rPr>
          <w:rFonts w:cs="Arial"/>
          <w:szCs w:val="20"/>
        </w:rPr>
        <w:instrText xml:space="preserve">  REF _Ref53585407 \w \h \* MERGEFORMAT </w:instrText>
      </w:r>
      <w:r w:rsidR="00D31E2D" w:rsidRPr="000E5786">
        <w:rPr>
          <w:rFonts w:cs="Arial"/>
          <w:szCs w:val="20"/>
        </w:rPr>
      </w:r>
      <w:r w:rsidR="00D31E2D" w:rsidRPr="000E5786">
        <w:rPr>
          <w:rFonts w:cs="Arial"/>
          <w:szCs w:val="20"/>
        </w:rPr>
        <w:fldChar w:fldCharType="separate"/>
      </w:r>
      <w:r w:rsidR="002523A8" w:rsidRPr="000E5786">
        <w:rPr>
          <w:rFonts w:cs="Arial"/>
          <w:szCs w:val="20"/>
        </w:rPr>
        <w:t>30.4</w:t>
      </w:r>
      <w:r w:rsidR="00D31E2D" w:rsidRPr="000E5786">
        <w:rPr>
          <w:rFonts w:cs="Arial"/>
          <w:szCs w:val="20"/>
        </w:rPr>
        <w:fldChar w:fldCharType="end"/>
      </w:r>
      <w:r w:rsidRPr="000E5786">
        <w:rPr>
          <w:rFonts w:cs="Arial"/>
          <w:szCs w:val="20"/>
        </w:rPr>
        <w:t xml:space="preserve"> (Submission of the draft Rectification Plan) to </w:t>
      </w:r>
      <w:r w:rsidR="00D31E2D" w:rsidRPr="000E5786">
        <w:rPr>
          <w:rFonts w:cs="Arial"/>
          <w:szCs w:val="20"/>
        </w:rPr>
        <w:fldChar w:fldCharType="begin"/>
      </w:r>
      <w:r w:rsidR="00D31E2D" w:rsidRPr="000E5786">
        <w:rPr>
          <w:rFonts w:cs="Arial"/>
          <w:szCs w:val="20"/>
        </w:rPr>
        <w:instrText xml:space="preserve">  REF _Ref53585419 \w \h \* MERGEFORMAT </w:instrText>
      </w:r>
      <w:r w:rsidR="00D31E2D" w:rsidRPr="000E5786">
        <w:rPr>
          <w:rFonts w:cs="Arial"/>
          <w:szCs w:val="20"/>
        </w:rPr>
      </w:r>
      <w:r w:rsidR="00D31E2D" w:rsidRPr="000E5786">
        <w:rPr>
          <w:rFonts w:cs="Arial"/>
          <w:szCs w:val="20"/>
        </w:rPr>
        <w:fldChar w:fldCharType="separate"/>
      </w:r>
      <w:r w:rsidR="002523A8" w:rsidRPr="000E5786">
        <w:rPr>
          <w:rFonts w:cs="Arial"/>
          <w:szCs w:val="20"/>
        </w:rPr>
        <w:t>30.9</w:t>
      </w:r>
      <w:r w:rsidR="00D31E2D" w:rsidRPr="000E5786">
        <w:rPr>
          <w:rFonts w:cs="Arial"/>
          <w:szCs w:val="20"/>
        </w:rPr>
        <w:fldChar w:fldCharType="end"/>
      </w:r>
      <w:r w:rsidRPr="000E5786">
        <w:rPr>
          <w:rFonts w:cs="Arial"/>
          <w:szCs w:val="20"/>
        </w:rPr>
        <w:t xml:space="preserve"> (Agreement of the Rectification Plan).</w:t>
      </w:r>
      <w:bookmarkEnd w:id="859"/>
    </w:p>
    <w:p w14:paraId="44239005" w14:textId="60043E68" w:rsidR="0048699F" w:rsidRPr="000E5786" w:rsidRDefault="0048699F" w:rsidP="00CE5734">
      <w:pPr>
        <w:pStyle w:val="BodyText"/>
        <w:spacing w:after="120"/>
        <w:ind w:left="709" w:firstLine="0"/>
        <w:rPr>
          <w:rFonts w:cs="Arial"/>
          <w:szCs w:val="20"/>
          <w:u w:val="single"/>
        </w:rPr>
      </w:pPr>
      <w:r w:rsidRPr="000E5786">
        <w:rPr>
          <w:rFonts w:cs="Arial"/>
          <w:szCs w:val="20"/>
          <w:u w:val="single"/>
        </w:rPr>
        <w:t>Submission of the draft Rectification Plan</w:t>
      </w:r>
    </w:p>
    <w:p w14:paraId="2358F68C" w14:textId="74033971" w:rsidR="0048699F" w:rsidRPr="000E5786" w:rsidRDefault="0048699F" w:rsidP="00DD60F0">
      <w:pPr>
        <w:pStyle w:val="Heading2"/>
        <w:spacing w:after="120"/>
        <w:rPr>
          <w:rFonts w:cs="Arial"/>
          <w:szCs w:val="20"/>
        </w:rPr>
      </w:pPr>
      <w:bookmarkStart w:id="860" w:name="_Ref53585407"/>
      <w:r w:rsidRPr="000E5786">
        <w:rPr>
          <w:rFonts w:cs="Arial"/>
          <w:szCs w:val="20"/>
        </w:rPr>
        <w:t xml:space="preserve">The Supplier shall submit a draft Rectification Plan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for it to review as soon as possible and in any event within ten </w:t>
      </w:r>
      <w:bookmarkStart w:id="861" w:name="DocXTextRef363"/>
      <w:r w:rsidRPr="000E5786">
        <w:rPr>
          <w:rFonts w:cs="Arial"/>
          <w:szCs w:val="20"/>
        </w:rPr>
        <w:t>(10)</w:t>
      </w:r>
      <w:bookmarkEnd w:id="861"/>
      <w:r w:rsidRPr="000E5786">
        <w:rPr>
          <w:rFonts w:cs="Arial"/>
          <w:szCs w:val="20"/>
        </w:rPr>
        <w:t xml:space="preserve"> Working Days (or such other period as may be agreed between the Parties) after the original notification pursuant to clause </w:t>
      </w:r>
      <w:r w:rsidR="00D31E2D" w:rsidRPr="000E5786">
        <w:rPr>
          <w:rFonts w:cs="Arial"/>
          <w:szCs w:val="20"/>
        </w:rPr>
        <w:fldChar w:fldCharType="begin"/>
      </w:r>
      <w:r w:rsidR="00D31E2D" w:rsidRPr="000E5786">
        <w:rPr>
          <w:rFonts w:cs="Arial"/>
          <w:szCs w:val="20"/>
        </w:rPr>
        <w:instrText xml:space="preserve">  REF _Ref53585403 \w \h \* MERGEFORMAT </w:instrText>
      </w:r>
      <w:r w:rsidR="00D31E2D" w:rsidRPr="000E5786">
        <w:rPr>
          <w:rFonts w:cs="Arial"/>
          <w:szCs w:val="20"/>
        </w:rPr>
      </w:r>
      <w:r w:rsidR="00D31E2D" w:rsidRPr="000E5786">
        <w:rPr>
          <w:rFonts w:cs="Arial"/>
          <w:szCs w:val="20"/>
        </w:rPr>
        <w:fldChar w:fldCharType="separate"/>
      </w:r>
      <w:r w:rsidR="002523A8" w:rsidRPr="000E5786">
        <w:rPr>
          <w:rFonts w:cs="Arial"/>
          <w:szCs w:val="20"/>
        </w:rPr>
        <w:t>30.2</w:t>
      </w:r>
      <w:r w:rsidR="00D31E2D" w:rsidRPr="000E5786">
        <w:rPr>
          <w:rFonts w:cs="Arial"/>
          <w:szCs w:val="20"/>
        </w:rPr>
        <w:fldChar w:fldCharType="end"/>
      </w:r>
      <w:r w:rsidRPr="000E5786">
        <w:rPr>
          <w:rFonts w:cs="Arial"/>
          <w:szCs w:val="20"/>
        </w:rPr>
        <w:t xml:space="preserve"> (Notification).</w:t>
      </w:r>
      <w:r w:rsidR="000578A4" w:rsidRPr="000E5786">
        <w:rPr>
          <w:rFonts w:cs="Arial"/>
          <w:szCs w:val="20"/>
        </w:rPr>
        <w:t xml:space="preserve"> </w:t>
      </w:r>
      <w:r w:rsidRPr="000E5786">
        <w:rPr>
          <w:rFonts w:cs="Arial"/>
          <w:szCs w:val="20"/>
        </w:rPr>
        <w:t>The Supplier shall submit a draft Rectification Plan even if the Supplier disputes that it is responsible for the Notifiable Default.</w:t>
      </w:r>
      <w:bookmarkEnd w:id="860"/>
    </w:p>
    <w:p w14:paraId="26F70D76" w14:textId="2442C5C4" w:rsidR="0048699F" w:rsidRPr="000E5786" w:rsidRDefault="0048699F" w:rsidP="00DD60F0">
      <w:pPr>
        <w:pStyle w:val="Heading2"/>
        <w:spacing w:after="120"/>
        <w:rPr>
          <w:rFonts w:cs="Arial"/>
          <w:szCs w:val="20"/>
        </w:rPr>
      </w:pPr>
      <w:bookmarkStart w:id="862" w:name="_Ref53585408"/>
      <w:r w:rsidRPr="000E5786">
        <w:rPr>
          <w:rFonts w:cs="Arial"/>
          <w:szCs w:val="20"/>
        </w:rPr>
        <w:t>The draft Rectification Plan shall set out:</w:t>
      </w:r>
      <w:bookmarkEnd w:id="862"/>
    </w:p>
    <w:p w14:paraId="6ECC2EF9" w14:textId="29B3DF52" w:rsidR="0048699F" w:rsidRPr="000E5786" w:rsidRDefault="0048699F" w:rsidP="00346A37">
      <w:pPr>
        <w:pStyle w:val="Heading3"/>
      </w:pPr>
      <w:bookmarkStart w:id="863" w:name="_Ref53585409"/>
      <w:r w:rsidRPr="000E5786">
        <w:t xml:space="preserve">full details of the Notifiable Default that has occurred, including a root cause </w:t>
      </w:r>
      <w:proofErr w:type="gramStart"/>
      <w:r w:rsidRPr="000E5786">
        <w:t>analysis;</w:t>
      </w:r>
      <w:bookmarkEnd w:id="863"/>
      <w:proofErr w:type="gramEnd"/>
    </w:p>
    <w:p w14:paraId="2A32EEC2" w14:textId="5470DB21" w:rsidR="0048699F" w:rsidRPr="000E5786" w:rsidRDefault="0048699F" w:rsidP="00346A37">
      <w:pPr>
        <w:pStyle w:val="Heading3"/>
      </w:pPr>
      <w:bookmarkStart w:id="864" w:name="_Ref53585410"/>
      <w:r w:rsidRPr="000E5786">
        <w:t>the actual or anticipated effect of the Notifiable Default; and</w:t>
      </w:r>
      <w:bookmarkEnd w:id="864"/>
    </w:p>
    <w:p w14:paraId="7EFE5C51" w14:textId="40750B8E" w:rsidR="0048699F" w:rsidRPr="000E5786" w:rsidRDefault="0048699F" w:rsidP="00346A37">
      <w:pPr>
        <w:pStyle w:val="Heading3"/>
      </w:pPr>
      <w:bookmarkStart w:id="865" w:name="_Ref53585411"/>
      <w:r w:rsidRPr="000E5786">
        <w:t>the steps which the Supplier proposes to take to rectify the Notifiable Default (if applicable) and to prevent such Notifiable Default from recurring, including timescales for such steps and for the rectification of the Notifiable Default (where applicable).</w:t>
      </w:r>
      <w:bookmarkEnd w:id="865"/>
    </w:p>
    <w:p w14:paraId="7F289971" w14:textId="082A2594" w:rsidR="0048699F" w:rsidRPr="000E5786" w:rsidRDefault="0048699F" w:rsidP="00DD60F0">
      <w:pPr>
        <w:pStyle w:val="Heading2"/>
        <w:spacing w:after="120"/>
        <w:rPr>
          <w:rFonts w:cs="Arial"/>
          <w:szCs w:val="20"/>
        </w:rPr>
      </w:pPr>
      <w:bookmarkStart w:id="866" w:name="_Ref53585412"/>
      <w:r w:rsidRPr="000E5786">
        <w:rPr>
          <w:rFonts w:cs="Arial"/>
          <w:szCs w:val="20"/>
        </w:rPr>
        <w:t xml:space="preserve">The Supplier shall promptly provide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any further documentation that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reasonably requires to assess the Supplier’s root cause analysis.</w:t>
      </w:r>
      <w:r w:rsidR="000578A4" w:rsidRPr="000E5786">
        <w:rPr>
          <w:rFonts w:cs="Arial"/>
          <w:szCs w:val="20"/>
        </w:rPr>
        <w:t xml:space="preserve"> </w:t>
      </w:r>
      <w:r w:rsidRPr="000E5786">
        <w:rPr>
          <w:rFonts w:cs="Arial"/>
          <w:szCs w:val="20"/>
        </w:rPr>
        <w:t xml:space="preserve">If the Parties do not agree on the root cause set out in the draft Rectification Plan, either Party may refer the matter to be determined by an expert in accordance with Paragraph </w:t>
      </w:r>
      <w:bookmarkStart w:id="867" w:name="DocXTextRef366"/>
      <w:r w:rsidRPr="000E5786">
        <w:rPr>
          <w:rFonts w:cs="Arial"/>
          <w:szCs w:val="20"/>
        </w:rPr>
        <w:t>6</w:t>
      </w:r>
      <w:bookmarkEnd w:id="867"/>
      <w:r w:rsidRPr="000E5786">
        <w:rPr>
          <w:rFonts w:cs="Arial"/>
          <w:szCs w:val="20"/>
        </w:rPr>
        <w:t xml:space="preserve"> of </w:t>
      </w:r>
      <w:bookmarkStart w:id="868" w:name="DocXTextRef365"/>
      <w:r w:rsidRPr="000E5786">
        <w:rPr>
          <w:rFonts w:cs="Arial"/>
          <w:szCs w:val="20"/>
        </w:rPr>
        <w:t>Schedule 8.3</w:t>
      </w:r>
      <w:bookmarkEnd w:id="868"/>
      <w:r w:rsidRPr="000E5786">
        <w:rPr>
          <w:rFonts w:cs="Arial"/>
          <w:szCs w:val="20"/>
        </w:rPr>
        <w:t xml:space="preserve"> (Dispute Resolution Procedure).</w:t>
      </w:r>
      <w:bookmarkEnd w:id="866"/>
    </w:p>
    <w:p w14:paraId="5393745E" w14:textId="53FD9BB2" w:rsidR="0048699F" w:rsidRPr="000E5786" w:rsidRDefault="0048699F" w:rsidP="00CE5734">
      <w:pPr>
        <w:pStyle w:val="BodyText"/>
        <w:spacing w:after="120"/>
        <w:ind w:left="709" w:firstLine="0"/>
        <w:rPr>
          <w:rFonts w:cs="Arial"/>
          <w:szCs w:val="20"/>
          <w:u w:val="single"/>
        </w:rPr>
      </w:pPr>
      <w:r w:rsidRPr="000E5786">
        <w:rPr>
          <w:rFonts w:cs="Arial"/>
          <w:szCs w:val="20"/>
          <w:u w:val="single"/>
        </w:rPr>
        <w:t>Agreement of the Rectification Plan</w:t>
      </w:r>
    </w:p>
    <w:p w14:paraId="5AE41EC7" w14:textId="46E5EFBC" w:rsidR="0048699F" w:rsidRPr="000E5786" w:rsidRDefault="001F1C19" w:rsidP="00DD60F0">
      <w:pPr>
        <w:pStyle w:val="Heading2"/>
        <w:spacing w:after="120"/>
        <w:rPr>
          <w:rFonts w:cs="Arial"/>
          <w:szCs w:val="20"/>
        </w:rPr>
      </w:pPr>
      <w:bookmarkStart w:id="869" w:name="_Ref53585413"/>
      <w:proofErr w:type="spellStart"/>
      <w:r>
        <w:rPr>
          <w:rFonts w:cs="Arial"/>
          <w:szCs w:val="20"/>
        </w:rPr>
        <w:t>Netlink</w:t>
      </w:r>
      <w:proofErr w:type="spellEnd"/>
      <w:r>
        <w:rPr>
          <w:rFonts w:cs="Arial"/>
          <w:szCs w:val="20"/>
        </w:rPr>
        <w:t xml:space="preserve"> Star</w:t>
      </w:r>
      <w:r w:rsidR="0048699F" w:rsidRPr="000E5786">
        <w:rPr>
          <w:rFonts w:cs="Arial"/>
          <w:szCs w:val="20"/>
        </w:rPr>
        <w:t xml:space="preserve"> may reject the draft Rectification Plan by notice to the Supplier if, acting reasonably, it considers that the draft Rectification Plan is inadequate, for example because the draft Rectification Plan:</w:t>
      </w:r>
      <w:bookmarkEnd w:id="869"/>
    </w:p>
    <w:p w14:paraId="7C7D8FF5" w14:textId="7EF7CEE7" w:rsidR="0048699F" w:rsidRPr="000E5786" w:rsidRDefault="0048699F" w:rsidP="00346A37">
      <w:pPr>
        <w:pStyle w:val="Heading3"/>
      </w:pPr>
      <w:bookmarkStart w:id="870" w:name="_Ref53585414"/>
      <w:r w:rsidRPr="000E5786">
        <w:t xml:space="preserve">is insufficiently detailed to be capable of proper </w:t>
      </w:r>
      <w:proofErr w:type="gramStart"/>
      <w:r w:rsidRPr="000E5786">
        <w:t>evaluation;</w:t>
      </w:r>
      <w:bookmarkEnd w:id="870"/>
      <w:proofErr w:type="gramEnd"/>
    </w:p>
    <w:p w14:paraId="780897C5" w14:textId="6D4853A0" w:rsidR="0048699F" w:rsidRPr="000E5786" w:rsidRDefault="0048699F" w:rsidP="00346A37">
      <w:pPr>
        <w:pStyle w:val="Heading3"/>
      </w:pPr>
      <w:bookmarkStart w:id="871" w:name="_Ref53585415"/>
      <w:r w:rsidRPr="000E5786">
        <w:t xml:space="preserve">will take too long to </w:t>
      </w:r>
      <w:proofErr w:type="gramStart"/>
      <w:r w:rsidRPr="000E5786">
        <w:t>complete;</w:t>
      </w:r>
      <w:bookmarkEnd w:id="871"/>
      <w:proofErr w:type="gramEnd"/>
    </w:p>
    <w:p w14:paraId="7CB364D0" w14:textId="72386B62" w:rsidR="0048699F" w:rsidRPr="000E5786" w:rsidRDefault="0048699F" w:rsidP="00346A37">
      <w:pPr>
        <w:pStyle w:val="Heading3"/>
      </w:pPr>
      <w:bookmarkStart w:id="872" w:name="_Ref53585416"/>
      <w:r w:rsidRPr="000E5786">
        <w:t>will not prevent reoccurrence of the Notifiable Default; and/or</w:t>
      </w:r>
      <w:bookmarkEnd w:id="872"/>
    </w:p>
    <w:p w14:paraId="092F7055" w14:textId="2C7C8418" w:rsidR="0048699F" w:rsidRPr="000E5786" w:rsidRDefault="0048699F" w:rsidP="00346A37">
      <w:pPr>
        <w:pStyle w:val="Heading3"/>
      </w:pPr>
      <w:bookmarkStart w:id="873" w:name="_Ref53585417"/>
      <w:r w:rsidRPr="000E5786">
        <w:t xml:space="preserve">will rectify the Notifiable Default but in a manner which is unacceptable to </w:t>
      </w:r>
      <w:proofErr w:type="spellStart"/>
      <w:r w:rsidR="001F1C19">
        <w:t>Netlink</w:t>
      </w:r>
      <w:proofErr w:type="spellEnd"/>
      <w:r w:rsidR="001F1C19">
        <w:t xml:space="preserve"> Star</w:t>
      </w:r>
      <w:r w:rsidRPr="000E5786">
        <w:t>.</w:t>
      </w:r>
      <w:bookmarkEnd w:id="873"/>
    </w:p>
    <w:p w14:paraId="7BF52E96" w14:textId="661C6973" w:rsidR="0048699F" w:rsidRPr="000E5786" w:rsidRDefault="001F1C19" w:rsidP="00DD60F0">
      <w:pPr>
        <w:pStyle w:val="Heading2"/>
        <w:spacing w:after="120"/>
        <w:rPr>
          <w:rFonts w:cs="Arial"/>
          <w:szCs w:val="20"/>
        </w:rPr>
      </w:pPr>
      <w:bookmarkStart w:id="874" w:name="_Ref53585418"/>
      <w:proofErr w:type="spellStart"/>
      <w:r>
        <w:rPr>
          <w:rFonts w:cs="Arial"/>
          <w:szCs w:val="20"/>
        </w:rPr>
        <w:lastRenderedPageBreak/>
        <w:t>Netlink</w:t>
      </w:r>
      <w:proofErr w:type="spellEnd"/>
      <w:r>
        <w:rPr>
          <w:rFonts w:cs="Arial"/>
          <w:szCs w:val="20"/>
        </w:rPr>
        <w:t xml:space="preserve"> Star</w:t>
      </w:r>
      <w:r w:rsidR="0048699F" w:rsidRPr="000E5786">
        <w:rPr>
          <w:rFonts w:cs="Arial"/>
          <w:szCs w:val="20"/>
        </w:rPr>
        <w:t xml:space="preserve"> shall notify the Supplier whether it consents to the draft Rectification Plan as soon as reasonably practicable.</w:t>
      </w:r>
      <w:r w:rsidR="000578A4" w:rsidRPr="000E5786">
        <w:rPr>
          <w:rFonts w:cs="Arial"/>
          <w:szCs w:val="20"/>
        </w:rPr>
        <w:t xml:space="preserve"> </w:t>
      </w:r>
      <w:r w:rsidR="0048699F" w:rsidRPr="000E5786">
        <w:rPr>
          <w:rFonts w:cs="Arial"/>
          <w:szCs w:val="20"/>
        </w:rPr>
        <w:t xml:space="preserve">If </w:t>
      </w:r>
      <w:proofErr w:type="spellStart"/>
      <w:r>
        <w:rPr>
          <w:rFonts w:cs="Arial"/>
          <w:szCs w:val="20"/>
        </w:rPr>
        <w:t>Netlink</w:t>
      </w:r>
      <w:proofErr w:type="spellEnd"/>
      <w:r>
        <w:rPr>
          <w:rFonts w:cs="Arial"/>
          <w:szCs w:val="20"/>
        </w:rPr>
        <w:t xml:space="preserve"> Star</w:t>
      </w:r>
      <w:r w:rsidR="0048699F" w:rsidRPr="000E5786">
        <w:rPr>
          <w:rFonts w:cs="Arial"/>
          <w:szCs w:val="20"/>
        </w:rPr>
        <w:t xml:space="preserve"> rejects the draft Rectification Plan, </w:t>
      </w:r>
      <w:proofErr w:type="spellStart"/>
      <w:r>
        <w:rPr>
          <w:rFonts w:cs="Arial"/>
          <w:szCs w:val="20"/>
        </w:rPr>
        <w:t>Netlink</w:t>
      </w:r>
      <w:proofErr w:type="spellEnd"/>
      <w:r>
        <w:rPr>
          <w:rFonts w:cs="Arial"/>
          <w:szCs w:val="20"/>
        </w:rPr>
        <w:t xml:space="preserve"> Star</w:t>
      </w:r>
      <w:r w:rsidR="0048699F" w:rsidRPr="000E5786">
        <w:rPr>
          <w:rFonts w:cs="Arial"/>
          <w:szCs w:val="20"/>
        </w:rPr>
        <w:t xml:space="preserve"> shall give reasons for its decision and the Supplier shall take the reasons into account in the preparation of a revised Rectification Plan.</w:t>
      </w:r>
      <w:r w:rsidR="000578A4" w:rsidRPr="000E5786">
        <w:rPr>
          <w:rFonts w:cs="Arial"/>
          <w:szCs w:val="20"/>
        </w:rPr>
        <w:t xml:space="preserve"> </w:t>
      </w:r>
      <w:r w:rsidR="0048699F" w:rsidRPr="000E5786">
        <w:rPr>
          <w:rFonts w:cs="Arial"/>
          <w:szCs w:val="20"/>
        </w:rPr>
        <w:t xml:space="preserve">The Supplier shall submit the revised draft of the Rectification Plan to </w:t>
      </w:r>
      <w:proofErr w:type="spellStart"/>
      <w:r>
        <w:rPr>
          <w:rFonts w:cs="Arial"/>
          <w:szCs w:val="20"/>
        </w:rPr>
        <w:t>Netlink</w:t>
      </w:r>
      <w:proofErr w:type="spellEnd"/>
      <w:r>
        <w:rPr>
          <w:rFonts w:cs="Arial"/>
          <w:szCs w:val="20"/>
        </w:rPr>
        <w:t xml:space="preserve"> Star</w:t>
      </w:r>
      <w:r w:rsidR="0048699F" w:rsidRPr="000E5786">
        <w:rPr>
          <w:rFonts w:cs="Arial"/>
          <w:szCs w:val="20"/>
        </w:rPr>
        <w:t xml:space="preserve"> for review within five </w:t>
      </w:r>
      <w:bookmarkStart w:id="875" w:name="DocXTextRef367"/>
      <w:r w:rsidR="0048699F" w:rsidRPr="000E5786">
        <w:rPr>
          <w:rFonts w:cs="Arial"/>
          <w:szCs w:val="20"/>
        </w:rPr>
        <w:t>(5)</w:t>
      </w:r>
      <w:bookmarkEnd w:id="875"/>
      <w:r w:rsidR="0048699F" w:rsidRPr="000E5786">
        <w:rPr>
          <w:rFonts w:cs="Arial"/>
          <w:szCs w:val="20"/>
        </w:rPr>
        <w:t xml:space="preserve"> Working Days (or such other period as agreed between the Parties) of </w:t>
      </w:r>
      <w:proofErr w:type="spellStart"/>
      <w:r>
        <w:rPr>
          <w:rFonts w:cs="Arial"/>
          <w:szCs w:val="20"/>
        </w:rPr>
        <w:t>Netlink</w:t>
      </w:r>
      <w:proofErr w:type="spellEnd"/>
      <w:r>
        <w:rPr>
          <w:rFonts w:cs="Arial"/>
          <w:szCs w:val="20"/>
        </w:rPr>
        <w:t xml:space="preserve"> Star</w:t>
      </w:r>
      <w:r w:rsidR="0048699F" w:rsidRPr="000E5786">
        <w:rPr>
          <w:rFonts w:cs="Arial"/>
          <w:szCs w:val="20"/>
        </w:rPr>
        <w:t>’s notice rejecting the first draft.</w:t>
      </w:r>
      <w:bookmarkEnd w:id="874"/>
    </w:p>
    <w:p w14:paraId="08093C2A" w14:textId="7B487490" w:rsidR="0048699F" w:rsidRPr="000E5786" w:rsidRDefault="0048699F" w:rsidP="00DD60F0">
      <w:pPr>
        <w:pStyle w:val="Heading2"/>
        <w:spacing w:after="120"/>
        <w:rPr>
          <w:rFonts w:cs="Arial"/>
          <w:szCs w:val="20"/>
        </w:rPr>
      </w:pPr>
      <w:bookmarkStart w:id="876" w:name="_Ref53585419"/>
      <w:r w:rsidRPr="000E5786">
        <w:rPr>
          <w:rFonts w:cs="Arial"/>
          <w:szCs w:val="20"/>
        </w:rPr>
        <w:t xml:space="preserve">If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consents to the Rectification Plan:</w:t>
      </w:r>
      <w:bookmarkEnd w:id="876"/>
    </w:p>
    <w:p w14:paraId="6555BA8C" w14:textId="43E1D6CF" w:rsidR="0048699F" w:rsidRPr="000E5786" w:rsidRDefault="0048699F" w:rsidP="00346A37">
      <w:pPr>
        <w:pStyle w:val="Heading3"/>
      </w:pPr>
      <w:bookmarkStart w:id="877" w:name="_Ref53585420"/>
      <w:r w:rsidRPr="000E5786">
        <w:t>the Supplier shall immediately start work on the actions set out in the Rectification Plan; and</w:t>
      </w:r>
      <w:bookmarkEnd w:id="877"/>
    </w:p>
    <w:p w14:paraId="24E27BE8" w14:textId="56E59AC0" w:rsidR="0048699F" w:rsidRPr="000E5786" w:rsidRDefault="001F1C19" w:rsidP="00346A37">
      <w:pPr>
        <w:pStyle w:val="Heading3"/>
      </w:pPr>
      <w:bookmarkStart w:id="878" w:name="_Ref53585421"/>
      <w:proofErr w:type="spellStart"/>
      <w:r>
        <w:t>Netlink</w:t>
      </w:r>
      <w:proofErr w:type="spellEnd"/>
      <w:r>
        <w:t xml:space="preserve"> Star</w:t>
      </w:r>
      <w:r w:rsidR="0048699F" w:rsidRPr="000E5786">
        <w:t xml:space="preserve"> may no longer terminate this Agreement in whole or in part on the grounds of the relevant Notifiable Event.</w:t>
      </w:r>
      <w:bookmarkEnd w:id="878"/>
    </w:p>
    <w:p w14:paraId="1FB82E1A" w14:textId="5E5383CE" w:rsidR="0048699F" w:rsidRPr="000E5786" w:rsidRDefault="0048699F" w:rsidP="00DD60F0">
      <w:pPr>
        <w:pStyle w:val="Heading1"/>
        <w:spacing w:after="120"/>
        <w:rPr>
          <w:rFonts w:cs="Arial"/>
          <w:szCs w:val="20"/>
        </w:rPr>
      </w:pPr>
      <w:bookmarkStart w:id="879" w:name="_Ref53585422"/>
      <w:bookmarkStart w:id="880" w:name="_Ref53585729"/>
      <w:bookmarkStart w:id="881" w:name="_Toc71198955"/>
      <w:r w:rsidRPr="000E5786">
        <w:rPr>
          <w:rFonts w:cs="Arial"/>
          <w:szCs w:val="20"/>
        </w:rPr>
        <w:t>DELAY PAYMENTS</w:t>
      </w:r>
      <w:bookmarkEnd w:id="879"/>
      <w:bookmarkEnd w:id="880"/>
      <w:bookmarkEnd w:id="881"/>
    </w:p>
    <w:p w14:paraId="77CD6579" w14:textId="5A9E3B42" w:rsidR="0048699F" w:rsidRPr="000E5786" w:rsidRDefault="0048699F" w:rsidP="00DD60F0">
      <w:pPr>
        <w:pStyle w:val="Heading2"/>
        <w:spacing w:after="120"/>
        <w:rPr>
          <w:rFonts w:cs="Arial"/>
          <w:szCs w:val="20"/>
        </w:rPr>
      </w:pPr>
      <w:bookmarkStart w:id="882" w:name="_Ref53585423"/>
      <w:r w:rsidRPr="000E5786">
        <w:rPr>
          <w:rFonts w:cs="Arial"/>
          <w:szCs w:val="20"/>
        </w:rPr>
        <w:t xml:space="preserve">If a Key Milestone has not been Achieved by its relevant Milestone Date, the provisions of Paragraph </w:t>
      </w:r>
      <w:bookmarkStart w:id="883" w:name="DocXTextRef369"/>
      <w:r w:rsidRPr="000E5786">
        <w:rPr>
          <w:rFonts w:cs="Arial"/>
          <w:szCs w:val="20"/>
        </w:rPr>
        <w:t>1</w:t>
      </w:r>
      <w:bookmarkEnd w:id="883"/>
      <w:r w:rsidRPr="000E5786">
        <w:rPr>
          <w:rFonts w:cs="Arial"/>
          <w:szCs w:val="20"/>
        </w:rPr>
        <w:t xml:space="preserve"> of </w:t>
      </w:r>
      <w:bookmarkStart w:id="884" w:name="DocXTextRef370"/>
      <w:r w:rsidRPr="000E5786">
        <w:rPr>
          <w:rFonts w:cs="Arial"/>
          <w:szCs w:val="20"/>
        </w:rPr>
        <w:t>Part C</w:t>
      </w:r>
      <w:bookmarkEnd w:id="884"/>
      <w:r w:rsidRPr="000E5786">
        <w:rPr>
          <w:rFonts w:cs="Arial"/>
          <w:szCs w:val="20"/>
        </w:rPr>
        <w:t xml:space="preserve"> of </w:t>
      </w:r>
      <w:bookmarkStart w:id="885" w:name="DocXTextRef368"/>
      <w:r w:rsidRPr="000E5786">
        <w:rPr>
          <w:rFonts w:cs="Arial"/>
          <w:szCs w:val="20"/>
        </w:rPr>
        <w:t>Schedule 7.1</w:t>
      </w:r>
      <w:bookmarkEnd w:id="885"/>
      <w:r w:rsidRPr="000E5786">
        <w:rPr>
          <w:rFonts w:cs="Arial"/>
          <w:szCs w:val="20"/>
        </w:rPr>
        <w:t xml:space="preserve"> (Charges and Invoicing) shall apply in relation to the payment of Delay Payments.</w:t>
      </w:r>
      <w:bookmarkEnd w:id="882"/>
    </w:p>
    <w:p w14:paraId="40545088" w14:textId="694FDE10" w:rsidR="0048699F" w:rsidRPr="000E5786" w:rsidRDefault="004E16EB" w:rsidP="004E16EB">
      <w:pPr>
        <w:pStyle w:val="Heading2"/>
      </w:pPr>
      <w:bookmarkStart w:id="886" w:name="_Ref53585427"/>
      <w:r>
        <w:t>Not used</w:t>
      </w:r>
      <w:r w:rsidR="0048699F" w:rsidRPr="000E5786">
        <w:t>.</w:t>
      </w:r>
      <w:bookmarkEnd w:id="886"/>
    </w:p>
    <w:p w14:paraId="7DA24326" w14:textId="4E773E56" w:rsidR="0048699F" w:rsidRPr="000E5786" w:rsidRDefault="0048699F" w:rsidP="00DD60F0">
      <w:pPr>
        <w:pStyle w:val="Heading1"/>
        <w:spacing w:after="120"/>
        <w:rPr>
          <w:rFonts w:cs="Arial"/>
          <w:szCs w:val="20"/>
        </w:rPr>
      </w:pPr>
      <w:bookmarkStart w:id="887" w:name="_Ref53585428"/>
      <w:bookmarkStart w:id="888" w:name="_Ref53585730"/>
      <w:bookmarkStart w:id="889" w:name="_Toc71198956"/>
      <w:r w:rsidRPr="000E5786">
        <w:rPr>
          <w:rFonts w:cs="Arial"/>
          <w:szCs w:val="20"/>
        </w:rPr>
        <w:t>REMEDIAL ADVISER</w:t>
      </w:r>
      <w:bookmarkEnd w:id="887"/>
      <w:bookmarkEnd w:id="888"/>
      <w:bookmarkEnd w:id="889"/>
    </w:p>
    <w:p w14:paraId="54F70F86" w14:textId="79C41C65" w:rsidR="0048699F" w:rsidRPr="000E5786" w:rsidRDefault="0048699F" w:rsidP="00DD60F0">
      <w:pPr>
        <w:pStyle w:val="Heading2"/>
        <w:spacing w:after="120"/>
        <w:rPr>
          <w:rFonts w:cs="Arial"/>
          <w:szCs w:val="20"/>
        </w:rPr>
      </w:pPr>
      <w:bookmarkStart w:id="890" w:name="_Ref53585429"/>
      <w:r w:rsidRPr="000E5786">
        <w:rPr>
          <w:rFonts w:cs="Arial"/>
          <w:szCs w:val="20"/>
        </w:rPr>
        <w:t>If:</w:t>
      </w:r>
      <w:bookmarkEnd w:id="890"/>
    </w:p>
    <w:p w14:paraId="251B784D" w14:textId="5B719D5E" w:rsidR="0048699F" w:rsidRPr="000E5786" w:rsidRDefault="0048699F" w:rsidP="00346A37">
      <w:pPr>
        <w:pStyle w:val="Heading3"/>
      </w:pPr>
      <w:bookmarkStart w:id="891" w:name="_Ref53585430"/>
      <w:r w:rsidRPr="000E5786">
        <w:t>any of the Intervention Trigger Events occur; or</w:t>
      </w:r>
      <w:bookmarkEnd w:id="891"/>
    </w:p>
    <w:p w14:paraId="29E2D5AD" w14:textId="55706162" w:rsidR="0048699F" w:rsidRPr="000E5786" w:rsidRDefault="001F1C19" w:rsidP="00346A37">
      <w:pPr>
        <w:pStyle w:val="Heading3"/>
      </w:pPr>
      <w:bookmarkStart w:id="892" w:name="_Ref53585431"/>
      <w:proofErr w:type="spellStart"/>
      <w:r>
        <w:t>Netlink</w:t>
      </w:r>
      <w:proofErr w:type="spellEnd"/>
      <w:r>
        <w:t xml:space="preserve"> Star</w:t>
      </w:r>
      <w:r w:rsidR="0048699F" w:rsidRPr="000E5786">
        <w:t xml:space="preserve"> reasonably believes that any of the Intervention Trigger Events are likely to occur,</w:t>
      </w:r>
      <w:bookmarkEnd w:id="892"/>
    </w:p>
    <w:p w14:paraId="7E2C0E0F" w14:textId="70DDF6DA" w:rsidR="0048699F" w:rsidRPr="000E5786" w:rsidRDefault="0048699F" w:rsidP="00834C1A">
      <w:pPr>
        <w:pStyle w:val="BodyText3"/>
        <w:spacing w:after="120"/>
        <w:ind w:firstLine="0"/>
        <w:rPr>
          <w:rFonts w:cs="Arial"/>
          <w:szCs w:val="20"/>
        </w:rPr>
      </w:pPr>
      <w:r w:rsidRPr="000E5786">
        <w:rPr>
          <w:rFonts w:cs="Arial"/>
          <w:szCs w:val="20"/>
        </w:rPr>
        <w:t>(</w:t>
      </w:r>
      <w:proofErr w:type="gramStart"/>
      <w:r w:rsidRPr="000E5786">
        <w:rPr>
          <w:rFonts w:cs="Arial"/>
          <w:szCs w:val="20"/>
        </w:rPr>
        <w:t>each</w:t>
      </w:r>
      <w:proofErr w:type="gramEnd"/>
      <w:r w:rsidRPr="000E5786">
        <w:rPr>
          <w:rFonts w:cs="Arial"/>
          <w:szCs w:val="20"/>
        </w:rPr>
        <w:t xml:space="preserve"> an “</w:t>
      </w:r>
      <w:r w:rsidRPr="000E5786">
        <w:rPr>
          <w:rFonts w:cs="Arial"/>
          <w:b/>
          <w:szCs w:val="20"/>
        </w:rPr>
        <w:t>Intervention Cause</w:t>
      </w:r>
      <w:r w:rsidRPr="000E5786">
        <w:rPr>
          <w:rFonts w:cs="Arial"/>
          <w:szCs w:val="20"/>
        </w:rPr>
        <w:t xml:space="preserv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give notice to the Supplier (an “</w:t>
      </w:r>
      <w:r w:rsidRPr="000E5786">
        <w:rPr>
          <w:rFonts w:cs="Arial"/>
          <w:b/>
          <w:szCs w:val="20"/>
        </w:rPr>
        <w:t>Intervention Notice</w:t>
      </w:r>
      <w:r w:rsidRPr="000E5786">
        <w:rPr>
          <w:rFonts w:cs="Arial"/>
          <w:szCs w:val="20"/>
        </w:rPr>
        <w:t>”) giving reasonable details of the Intervention Cause and requiring:</w:t>
      </w:r>
    </w:p>
    <w:p w14:paraId="3A0B2F75" w14:textId="0E53EBE1" w:rsidR="0048699F" w:rsidRPr="000E5786" w:rsidRDefault="0048699F" w:rsidP="00DD60F0">
      <w:pPr>
        <w:pStyle w:val="Heading4"/>
        <w:spacing w:after="120"/>
        <w:rPr>
          <w:rFonts w:cs="Arial"/>
          <w:szCs w:val="20"/>
        </w:rPr>
      </w:pPr>
      <w:bookmarkStart w:id="893" w:name="_Ref53585432"/>
      <w:r w:rsidRPr="000E5786">
        <w:rPr>
          <w:rFonts w:cs="Arial"/>
          <w:szCs w:val="20"/>
        </w:rPr>
        <w:t xml:space="preserve">a meeting between the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Representative and the</w:t>
      </w:r>
      <w:r w:rsidR="00363D09" w:rsidRPr="000E5786">
        <w:rPr>
          <w:rFonts w:cs="Arial"/>
          <w:szCs w:val="20"/>
        </w:rPr>
        <w:t xml:space="preserve"> </w:t>
      </w:r>
      <w:r w:rsidRPr="000E5786">
        <w:rPr>
          <w:rFonts w:cs="Arial"/>
          <w:szCs w:val="20"/>
        </w:rPr>
        <w:t>Supplier Representative to discuss the Intervention Cause; and/or</w:t>
      </w:r>
      <w:bookmarkEnd w:id="893"/>
    </w:p>
    <w:p w14:paraId="5A285CC4" w14:textId="416800FD" w:rsidR="0048699F" w:rsidRPr="000E5786" w:rsidRDefault="0048699F" w:rsidP="00DD60F0">
      <w:pPr>
        <w:pStyle w:val="Heading4"/>
        <w:spacing w:after="120"/>
        <w:rPr>
          <w:rFonts w:cs="Arial"/>
          <w:szCs w:val="20"/>
        </w:rPr>
      </w:pPr>
      <w:bookmarkStart w:id="894" w:name="_Ref53585433"/>
      <w:r w:rsidRPr="000E5786">
        <w:rPr>
          <w:rFonts w:cs="Arial"/>
          <w:szCs w:val="20"/>
        </w:rPr>
        <w:t xml:space="preserve">the appointment as soon as practicable by the Supplier of a Remedial Adviser, as further described in this clause </w:t>
      </w:r>
      <w:r w:rsidR="00D31E2D" w:rsidRPr="000E5786">
        <w:rPr>
          <w:rFonts w:cs="Arial"/>
          <w:szCs w:val="20"/>
        </w:rPr>
        <w:fldChar w:fldCharType="begin"/>
      </w:r>
      <w:r w:rsidR="00D31E2D" w:rsidRPr="000E5786">
        <w:rPr>
          <w:rFonts w:cs="Arial"/>
          <w:szCs w:val="20"/>
        </w:rPr>
        <w:instrText xml:space="preserve">  REF _Ref53585730 \w \h \* MERGEFORMAT </w:instrText>
      </w:r>
      <w:r w:rsidR="00D31E2D" w:rsidRPr="000E5786">
        <w:rPr>
          <w:rFonts w:cs="Arial"/>
          <w:szCs w:val="20"/>
        </w:rPr>
      </w:r>
      <w:r w:rsidR="00D31E2D" w:rsidRPr="000E5786">
        <w:rPr>
          <w:rFonts w:cs="Arial"/>
          <w:szCs w:val="20"/>
        </w:rPr>
        <w:fldChar w:fldCharType="separate"/>
      </w:r>
      <w:r w:rsidR="002523A8" w:rsidRPr="000E5786">
        <w:rPr>
          <w:rFonts w:cs="Arial"/>
          <w:szCs w:val="20"/>
        </w:rPr>
        <w:t>32</w:t>
      </w:r>
      <w:r w:rsidR="00D31E2D" w:rsidRPr="000E5786">
        <w:rPr>
          <w:rFonts w:cs="Arial"/>
          <w:szCs w:val="20"/>
        </w:rPr>
        <w:fldChar w:fldCharType="end"/>
      </w:r>
      <w:r w:rsidRPr="000E5786">
        <w:rPr>
          <w:rFonts w:cs="Arial"/>
          <w:szCs w:val="20"/>
        </w:rPr>
        <w:t>.</w:t>
      </w:r>
      <w:bookmarkEnd w:id="894"/>
    </w:p>
    <w:p w14:paraId="597BAD0F" w14:textId="3AA16EAB" w:rsidR="0048699F" w:rsidRPr="000E5786" w:rsidRDefault="0048699F" w:rsidP="00834C1A">
      <w:pPr>
        <w:pStyle w:val="BodyText3"/>
        <w:spacing w:after="120"/>
        <w:ind w:firstLine="0"/>
        <w:rPr>
          <w:rFonts w:cs="Arial"/>
          <w:szCs w:val="20"/>
        </w:rPr>
      </w:pPr>
      <w:r w:rsidRPr="000E5786">
        <w:rPr>
          <w:rFonts w:cs="Arial"/>
          <w:szCs w:val="20"/>
        </w:rPr>
        <w:t xml:space="preserve">For the avoidance of doubt, if the Intervention Cause is also a Supplier Termination Event,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has no obligation to exercise its rights under this clause </w:t>
      </w:r>
      <w:r w:rsidR="00D31E2D" w:rsidRPr="000E5786">
        <w:rPr>
          <w:rFonts w:cs="Arial"/>
          <w:szCs w:val="20"/>
        </w:rPr>
        <w:fldChar w:fldCharType="begin"/>
      </w:r>
      <w:r w:rsidR="00D31E2D" w:rsidRPr="000E5786">
        <w:rPr>
          <w:rFonts w:cs="Arial"/>
          <w:szCs w:val="20"/>
        </w:rPr>
        <w:instrText xml:space="preserve">  REF _Ref53585429 \w \h \* MERGEFORMAT </w:instrText>
      </w:r>
      <w:r w:rsidR="00D31E2D" w:rsidRPr="000E5786">
        <w:rPr>
          <w:rFonts w:cs="Arial"/>
          <w:szCs w:val="20"/>
        </w:rPr>
      </w:r>
      <w:r w:rsidR="00D31E2D" w:rsidRPr="000E5786">
        <w:rPr>
          <w:rFonts w:cs="Arial"/>
          <w:szCs w:val="20"/>
        </w:rPr>
        <w:fldChar w:fldCharType="separate"/>
      </w:r>
      <w:r w:rsidR="002523A8" w:rsidRPr="000E5786">
        <w:rPr>
          <w:rFonts w:cs="Arial"/>
          <w:szCs w:val="20"/>
        </w:rPr>
        <w:t>32.1</w:t>
      </w:r>
      <w:r w:rsidR="00D31E2D" w:rsidRPr="000E5786">
        <w:rPr>
          <w:rFonts w:cs="Arial"/>
          <w:szCs w:val="20"/>
        </w:rPr>
        <w:fldChar w:fldCharType="end"/>
      </w:r>
      <w:r w:rsidRPr="000E5786">
        <w:rPr>
          <w:rFonts w:cs="Arial"/>
          <w:szCs w:val="20"/>
        </w:rPr>
        <w:t xml:space="preserve"> prior to or instead of exercising its right to terminate this Agreement.</w:t>
      </w:r>
    </w:p>
    <w:p w14:paraId="78AAFAD4" w14:textId="5E1F5941" w:rsidR="0048699F" w:rsidRPr="000E5786" w:rsidRDefault="0048699F" w:rsidP="00DD60F0">
      <w:pPr>
        <w:pStyle w:val="Heading2"/>
        <w:spacing w:after="120"/>
        <w:rPr>
          <w:rFonts w:cs="Arial"/>
          <w:szCs w:val="20"/>
        </w:rPr>
      </w:pPr>
      <w:bookmarkStart w:id="895" w:name="_Ref53585434"/>
      <w:r w:rsidRPr="000E5786">
        <w:rPr>
          <w:rFonts w:cs="Arial"/>
          <w:szCs w:val="20"/>
        </w:rPr>
        <w:t xml:space="preserve">If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gives notice that it requires the appointment of a Remedial Adviser:</w:t>
      </w:r>
      <w:bookmarkEnd w:id="895"/>
    </w:p>
    <w:p w14:paraId="526583D0" w14:textId="7D80F460" w:rsidR="0048699F" w:rsidRPr="000E5786" w:rsidRDefault="0048699F" w:rsidP="00346A37">
      <w:pPr>
        <w:pStyle w:val="Heading3"/>
      </w:pPr>
      <w:bookmarkStart w:id="896" w:name="_Ref53585435"/>
      <w:r w:rsidRPr="000E5786">
        <w:t>the Remedial Adviser shall be:</w:t>
      </w:r>
      <w:bookmarkEnd w:id="896"/>
    </w:p>
    <w:p w14:paraId="1B7E9283" w14:textId="5166E6E0" w:rsidR="0048699F" w:rsidRPr="000E5786" w:rsidRDefault="0048699F" w:rsidP="00834C1A">
      <w:pPr>
        <w:pStyle w:val="Heading4"/>
        <w:tabs>
          <w:tab w:val="clear" w:pos="1702"/>
          <w:tab w:val="num" w:pos="2268"/>
        </w:tabs>
        <w:spacing w:after="120"/>
        <w:ind w:left="2410"/>
        <w:rPr>
          <w:rFonts w:cs="Arial"/>
          <w:szCs w:val="20"/>
        </w:rPr>
      </w:pPr>
      <w:bookmarkStart w:id="897" w:name="_Ref53585436"/>
      <w:r w:rsidRPr="000E5786">
        <w:rPr>
          <w:rFonts w:cs="Arial"/>
          <w:szCs w:val="20"/>
        </w:rPr>
        <w:t xml:space="preserve">a person selected by the Supplier and approved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or</w:t>
      </w:r>
      <w:bookmarkEnd w:id="897"/>
    </w:p>
    <w:p w14:paraId="61C77E29" w14:textId="1F290093" w:rsidR="0048699F" w:rsidRPr="000E5786" w:rsidRDefault="0048699F" w:rsidP="00834C1A">
      <w:pPr>
        <w:pStyle w:val="Heading4"/>
        <w:tabs>
          <w:tab w:val="clear" w:pos="1702"/>
          <w:tab w:val="num" w:pos="2268"/>
        </w:tabs>
        <w:spacing w:after="120"/>
        <w:ind w:left="2410"/>
        <w:rPr>
          <w:rFonts w:cs="Arial"/>
          <w:szCs w:val="20"/>
        </w:rPr>
      </w:pPr>
      <w:bookmarkStart w:id="898" w:name="_Ref53585437"/>
      <w:r w:rsidRPr="000E5786">
        <w:rPr>
          <w:rFonts w:cs="Arial"/>
          <w:szCs w:val="20"/>
        </w:rPr>
        <w:t xml:space="preserve">if none of the persons selected by the Supplier have been approved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(or no person has been selected by the Supplier) within ten </w:t>
      </w:r>
      <w:bookmarkStart w:id="899" w:name="DocXTextRef374"/>
      <w:r w:rsidRPr="000E5786">
        <w:rPr>
          <w:rFonts w:cs="Arial"/>
          <w:szCs w:val="20"/>
        </w:rPr>
        <w:t>(10)</w:t>
      </w:r>
      <w:bookmarkEnd w:id="899"/>
      <w:r w:rsidRPr="000E5786">
        <w:rPr>
          <w:rFonts w:cs="Arial"/>
          <w:szCs w:val="20"/>
        </w:rPr>
        <w:t xml:space="preserve"> Working Days following the date on which the Intervention Notice is given, a person identified by </w:t>
      </w:r>
      <w:proofErr w:type="spellStart"/>
      <w:r w:rsidR="001F1C19">
        <w:rPr>
          <w:rFonts w:cs="Arial"/>
          <w:szCs w:val="20"/>
        </w:rPr>
        <w:t>Netlink</w:t>
      </w:r>
      <w:proofErr w:type="spellEnd"/>
      <w:r w:rsidR="001F1C19">
        <w:rPr>
          <w:rFonts w:cs="Arial"/>
          <w:szCs w:val="20"/>
        </w:rPr>
        <w:t xml:space="preserve"> </w:t>
      </w:r>
      <w:proofErr w:type="gramStart"/>
      <w:r w:rsidR="001F1C19">
        <w:rPr>
          <w:rFonts w:cs="Arial"/>
          <w:szCs w:val="20"/>
        </w:rPr>
        <w:t>Star</w:t>
      </w:r>
      <w:r w:rsidRPr="000E5786">
        <w:rPr>
          <w:rFonts w:cs="Arial"/>
          <w:szCs w:val="20"/>
        </w:rPr>
        <w:t>;</w:t>
      </w:r>
      <w:bookmarkEnd w:id="898"/>
      <w:proofErr w:type="gramEnd"/>
    </w:p>
    <w:p w14:paraId="3D3FCB2E" w14:textId="0D66BFC7" w:rsidR="0048699F" w:rsidRPr="000E5786" w:rsidRDefault="0048699F" w:rsidP="00346A37">
      <w:pPr>
        <w:pStyle w:val="Heading3"/>
      </w:pPr>
      <w:bookmarkStart w:id="900" w:name="_Ref53585438"/>
      <w:r w:rsidRPr="000E5786">
        <w:t xml:space="preserve">the terms of engagement and start date agreed with the Remedial Adviser must be approved by </w:t>
      </w:r>
      <w:proofErr w:type="spellStart"/>
      <w:r w:rsidR="001F1C19">
        <w:t>Netlink</w:t>
      </w:r>
      <w:proofErr w:type="spellEnd"/>
      <w:r w:rsidR="001F1C19">
        <w:t xml:space="preserve"> Star</w:t>
      </w:r>
      <w:r w:rsidRPr="000E5786">
        <w:t>; and</w:t>
      </w:r>
      <w:bookmarkEnd w:id="900"/>
    </w:p>
    <w:p w14:paraId="536266D9" w14:textId="18E04243" w:rsidR="0048699F" w:rsidRPr="000E5786" w:rsidRDefault="0048699F" w:rsidP="00346A37">
      <w:pPr>
        <w:pStyle w:val="Heading3"/>
      </w:pPr>
      <w:bookmarkStart w:id="901" w:name="_Ref53585439"/>
      <w:r w:rsidRPr="000E5786">
        <w:t xml:space="preserve">any right of </w:t>
      </w:r>
      <w:proofErr w:type="spellStart"/>
      <w:r w:rsidR="001F1C19">
        <w:t>Netlink</w:t>
      </w:r>
      <w:proofErr w:type="spellEnd"/>
      <w:r w:rsidR="001F1C19">
        <w:t xml:space="preserve"> Star</w:t>
      </w:r>
      <w:r w:rsidRPr="000E5786">
        <w:t xml:space="preserve"> to terminate this Agreement pursuant to clause </w:t>
      </w:r>
      <w:r w:rsidR="00D31E2D" w:rsidRPr="000E5786">
        <w:fldChar w:fldCharType="begin"/>
      </w:r>
      <w:r w:rsidR="00D31E2D" w:rsidRPr="000E5786">
        <w:instrText xml:space="preserve">  REF _Ref53585547 \w \h \* MERGEFORMAT </w:instrText>
      </w:r>
      <w:r w:rsidR="00D31E2D" w:rsidRPr="000E5786">
        <w:fldChar w:fldCharType="separate"/>
      </w:r>
      <w:r w:rsidR="002523A8" w:rsidRPr="000E5786">
        <w:t>36.1.1</w:t>
      </w:r>
      <w:r w:rsidR="00D31E2D" w:rsidRPr="000E5786">
        <w:fldChar w:fldCharType="end"/>
      </w:r>
      <w:r w:rsidRPr="000E5786">
        <w:t xml:space="preserve"> (Termination by </w:t>
      </w:r>
      <w:proofErr w:type="spellStart"/>
      <w:r w:rsidR="001F1C19">
        <w:t>Netlink</w:t>
      </w:r>
      <w:proofErr w:type="spellEnd"/>
      <w:r w:rsidR="001F1C19">
        <w:t xml:space="preserve"> Star</w:t>
      </w:r>
      <w:r w:rsidRPr="000E5786">
        <w:t xml:space="preserve">) for the occurrence of that Intervention Cause shall be suspended for sixty </w:t>
      </w:r>
      <w:bookmarkStart w:id="902" w:name="DocXTextRef375"/>
      <w:r w:rsidRPr="000E5786">
        <w:t>(60)</w:t>
      </w:r>
      <w:bookmarkEnd w:id="902"/>
      <w:r w:rsidRPr="000E5786">
        <w:t xml:space="preserve"> Working Days from (and including) the date of the Intervention Notice (or such other period as may be agreed between the Parties)(the “</w:t>
      </w:r>
      <w:r w:rsidRPr="000E5786">
        <w:rPr>
          <w:b/>
        </w:rPr>
        <w:t>Intervention Period</w:t>
      </w:r>
      <w:r w:rsidRPr="000E5786">
        <w:t>”).</w:t>
      </w:r>
      <w:bookmarkEnd w:id="901"/>
    </w:p>
    <w:p w14:paraId="01106316" w14:textId="0FB3381F" w:rsidR="0048699F" w:rsidRPr="000E5786" w:rsidRDefault="0048699F" w:rsidP="00DD60F0">
      <w:pPr>
        <w:pStyle w:val="Heading2"/>
        <w:spacing w:after="120"/>
        <w:rPr>
          <w:rFonts w:cs="Arial"/>
          <w:szCs w:val="20"/>
        </w:rPr>
      </w:pPr>
      <w:bookmarkStart w:id="903" w:name="_Ref53585440"/>
      <w:r w:rsidRPr="000E5786">
        <w:rPr>
          <w:rFonts w:cs="Arial"/>
          <w:szCs w:val="20"/>
        </w:rPr>
        <w:t>The Remedial Adviser’s overall objective shall be to mitigate the effects of, and (to the extent capable of being remedied) to remedy, the Intervention Cause and to avoid the occurrence of similar circumstances in the future.</w:t>
      </w:r>
      <w:r w:rsidR="000578A4" w:rsidRPr="000E5786">
        <w:rPr>
          <w:rFonts w:cs="Arial"/>
          <w:szCs w:val="20"/>
        </w:rPr>
        <w:t xml:space="preserve"> </w:t>
      </w:r>
      <w:r w:rsidRPr="000E5786">
        <w:rPr>
          <w:rFonts w:cs="Arial"/>
          <w:szCs w:val="20"/>
        </w:rPr>
        <w:t xml:space="preserve">In furtherance of this objective (but without diminishing the </w:t>
      </w:r>
      <w:r w:rsidRPr="000E5786">
        <w:rPr>
          <w:rFonts w:cs="Arial"/>
          <w:szCs w:val="20"/>
        </w:rPr>
        <w:lastRenderedPageBreak/>
        <w:t xml:space="preserve">Supplier’s responsibilities under this Agreement), the Parties agree that the Remedial Adviser may undertake </w:t>
      </w:r>
      <w:proofErr w:type="gramStart"/>
      <w:r w:rsidRPr="000E5786">
        <w:rPr>
          <w:rFonts w:cs="Arial"/>
          <w:szCs w:val="20"/>
        </w:rPr>
        <w:t>any one</w:t>
      </w:r>
      <w:proofErr w:type="gramEnd"/>
      <w:r w:rsidRPr="000E5786">
        <w:rPr>
          <w:rFonts w:cs="Arial"/>
          <w:szCs w:val="20"/>
        </w:rPr>
        <w:t xml:space="preserve"> </w:t>
      </w:r>
      <w:bookmarkStart w:id="904" w:name="DocXTextRef377"/>
      <w:r w:rsidRPr="000E5786">
        <w:rPr>
          <w:rFonts w:cs="Arial"/>
          <w:szCs w:val="20"/>
        </w:rPr>
        <w:t>(1)</w:t>
      </w:r>
      <w:bookmarkEnd w:id="904"/>
      <w:r w:rsidRPr="000E5786">
        <w:rPr>
          <w:rFonts w:cs="Arial"/>
          <w:szCs w:val="20"/>
        </w:rPr>
        <w:t xml:space="preserve"> or more of the following actions:</w:t>
      </w:r>
      <w:bookmarkEnd w:id="903"/>
    </w:p>
    <w:p w14:paraId="6CB5E4B5" w14:textId="3B93BCB4" w:rsidR="0048699F" w:rsidRPr="000E5786" w:rsidRDefault="0048699F" w:rsidP="00346A37">
      <w:pPr>
        <w:pStyle w:val="Heading3"/>
      </w:pPr>
      <w:bookmarkStart w:id="905" w:name="_Ref53585441"/>
      <w:r w:rsidRPr="000E5786">
        <w:t xml:space="preserve">observe the conduct of and work alongside the Supplier Personnel to the extent that the Remedial Adviser considers reasonable and proportionate having regard to the Intervention </w:t>
      </w:r>
      <w:proofErr w:type="gramStart"/>
      <w:r w:rsidRPr="000E5786">
        <w:t>Cause;</w:t>
      </w:r>
      <w:bookmarkEnd w:id="905"/>
      <w:proofErr w:type="gramEnd"/>
    </w:p>
    <w:p w14:paraId="1913E9EB" w14:textId="78E24A54" w:rsidR="0048699F" w:rsidRPr="000E5786" w:rsidRDefault="0048699F" w:rsidP="00346A37">
      <w:pPr>
        <w:pStyle w:val="Heading3"/>
      </w:pPr>
      <w:bookmarkStart w:id="906" w:name="_Ref53585442"/>
      <w:r w:rsidRPr="000E5786">
        <w:t xml:space="preserve">gather any information the Remedial Adviser considers relevant in the furtherance of its </w:t>
      </w:r>
      <w:proofErr w:type="gramStart"/>
      <w:r w:rsidRPr="000E5786">
        <w:t>objective;</w:t>
      </w:r>
      <w:bookmarkEnd w:id="906"/>
      <w:proofErr w:type="gramEnd"/>
    </w:p>
    <w:p w14:paraId="2C01AC9F" w14:textId="5053713B" w:rsidR="0048699F" w:rsidRPr="000E5786" w:rsidRDefault="0048699F" w:rsidP="00346A37">
      <w:pPr>
        <w:pStyle w:val="Heading3"/>
      </w:pPr>
      <w:bookmarkStart w:id="907" w:name="_Ref53585443"/>
      <w:r w:rsidRPr="000E5786">
        <w:t xml:space="preserve">write reports and provide information to </w:t>
      </w:r>
      <w:proofErr w:type="spellStart"/>
      <w:r w:rsidR="001F1C19">
        <w:t>Netlink</w:t>
      </w:r>
      <w:proofErr w:type="spellEnd"/>
      <w:r w:rsidR="001F1C19">
        <w:t xml:space="preserve"> Star</w:t>
      </w:r>
      <w:r w:rsidRPr="000E5786">
        <w:t xml:space="preserve"> in connection with the steps being taken by the Supplier to remedy the Intervention </w:t>
      </w:r>
      <w:proofErr w:type="gramStart"/>
      <w:r w:rsidRPr="000E5786">
        <w:t>Cause;</w:t>
      </w:r>
      <w:bookmarkEnd w:id="907"/>
      <w:proofErr w:type="gramEnd"/>
    </w:p>
    <w:p w14:paraId="03C78945" w14:textId="4768D3E9" w:rsidR="0048699F" w:rsidRPr="000E5786" w:rsidRDefault="0048699F" w:rsidP="00346A37">
      <w:pPr>
        <w:pStyle w:val="Heading3"/>
      </w:pPr>
      <w:bookmarkStart w:id="908" w:name="_Ref53585444"/>
      <w:r w:rsidRPr="000E5786">
        <w:t xml:space="preserve">make recommendations to </w:t>
      </w:r>
      <w:proofErr w:type="spellStart"/>
      <w:r w:rsidR="001F1C19">
        <w:t>Netlink</w:t>
      </w:r>
      <w:proofErr w:type="spellEnd"/>
      <w:r w:rsidR="001F1C19">
        <w:t xml:space="preserve"> Star</w:t>
      </w:r>
      <w:r w:rsidRPr="000E5786">
        <w:t xml:space="preserve"> and/or the Supplier as to how the</w:t>
      </w:r>
      <w:r w:rsidR="00EE10BB" w:rsidRPr="000E5786">
        <w:t xml:space="preserve"> </w:t>
      </w:r>
      <w:r w:rsidRPr="000E5786">
        <w:t>Intervention Cause might be mitigated or avoided in the future; and/or</w:t>
      </w:r>
      <w:bookmarkEnd w:id="908"/>
    </w:p>
    <w:p w14:paraId="18E9E0B4" w14:textId="4F11A278" w:rsidR="0048699F" w:rsidRPr="000E5786" w:rsidRDefault="0048699F" w:rsidP="00346A37">
      <w:pPr>
        <w:pStyle w:val="Heading3"/>
      </w:pPr>
      <w:bookmarkStart w:id="909" w:name="_Ref53585445"/>
      <w:r w:rsidRPr="000E5786">
        <w:t xml:space="preserve">take any other steps that </w:t>
      </w:r>
      <w:proofErr w:type="spellStart"/>
      <w:r w:rsidR="001F1C19">
        <w:t>Netlink</w:t>
      </w:r>
      <w:proofErr w:type="spellEnd"/>
      <w:r w:rsidR="001F1C19">
        <w:t xml:space="preserve"> Star</w:t>
      </w:r>
      <w:r w:rsidRPr="000E5786">
        <w:t xml:space="preserve"> and/or the Remedial Adviser reasonably considers necessary or expedient </w:t>
      </w:r>
      <w:proofErr w:type="gramStart"/>
      <w:r w:rsidRPr="000E5786">
        <w:t>in order to</w:t>
      </w:r>
      <w:proofErr w:type="gramEnd"/>
      <w:r w:rsidRPr="000E5786">
        <w:t xml:space="preserve"> mitigate or rectify the Intervention Cause.</w:t>
      </w:r>
      <w:bookmarkEnd w:id="909"/>
    </w:p>
    <w:p w14:paraId="5F5E1B8D" w14:textId="5F7D12F8" w:rsidR="0048699F" w:rsidRPr="000E5786" w:rsidRDefault="0048699F" w:rsidP="00DD60F0">
      <w:pPr>
        <w:pStyle w:val="Heading2"/>
        <w:spacing w:after="120"/>
        <w:rPr>
          <w:rFonts w:cs="Arial"/>
          <w:szCs w:val="20"/>
        </w:rPr>
      </w:pPr>
      <w:bookmarkStart w:id="910" w:name="_Ref53585446"/>
      <w:r w:rsidRPr="000E5786">
        <w:rPr>
          <w:rFonts w:cs="Arial"/>
          <w:szCs w:val="20"/>
        </w:rPr>
        <w:t>The Supplier shall:</w:t>
      </w:r>
      <w:bookmarkEnd w:id="910"/>
    </w:p>
    <w:p w14:paraId="3853D8F9" w14:textId="393DD1B6" w:rsidR="0048699F" w:rsidRPr="000E5786" w:rsidRDefault="0048699F" w:rsidP="00346A37">
      <w:pPr>
        <w:pStyle w:val="Heading3"/>
      </w:pPr>
      <w:bookmarkStart w:id="911" w:name="_Ref53585447"/>
      <w:r w:rsidRPr="000E5786">
        <w:t xml:space="preserve">work alongside, provide information </w:t>
      </w:r>
      <w:proofErr w:type="gramStart"/>
      <w:r w:rsidRPr="000E5786">
        <w:t>to,</w:t>
      </w:r>
      <w:proofErr w:type="gramEnd"/>
      <w:r w:rsidRPr="000E5786">
        <w:t xml:space="preserve"> co-operate in good faith with and adopt any reasonable methodology in providing the Services recommended by the Remedial Adviser;</w:t>
      </w:r>
      <w:bookmarkEnd w:id="911"/>
    </w:p>
    <w:p w14:paraId="03B79FC1" w14:textId="243704D2" w:rsidR="0048699F" w:rsidRPr="000E5786" w:rsidRDefault="0048699F" w:rsidP="00346A37">
      <w:pPr>
        <w:pStyle w:val="Heading3"/>
      </w:pPr>
      <w:bookmarkStart w:id="912" w:name="_Ref53585448"/>
      <w:r w:rsidRPr="000E5786">
        <w:t xml:space="preserve">ensure that the Remedial Adviser has all the access it may require in order to carry out its objective, including access to the </w:t>
      </w:r>
      <w:proofErr w:type="gramStart"/>
      <w:r w:rsidRPr="000E5786">
        <w:t>Assets;</w:t>
      </w:r>
      <w:bookmarkEnd w:id="912"/>
      <w:proofErr w:type="gramEnd"/>
    </w:p>
    <w:p w14:paraId="367853AE" w14:textId="7FD7EC3B" w:rsidR="0048699F" w:rsidRPr="000E5786" w:rsidRDefault="0048699F" w:rsidP="00346A37">
      <w:pPr>
        <w:pStyle w:val="Heading3"/>
      </w:pPr>
      <w:bookmarkStart w:id="913" w:name="_Ref53585449"/>
      <w:r w:rsidRPr="000E5786">
        <w:t xml:space="preserve">submit to such monitoring as </w:t>
      </w:r>
      <w:proofErr w:type="spellStart"/>
      <w:r w:rsidR="001F1C19">
        <w:t>Netlink</w:t>
      </w:r>
      <w:proofErr w:type="spellEnd"/>
      <w:r w:rsidR="001F1C19">
        <w:t xml:space="preserve"> Star</w:t>
      </w:r>
      <w:r w:rsidRPr="000E5786">
        <w:t xml:space="preserve"> and/or the Remedial Adviser considers reasonable and proportionate in respect of the Intervention </w:t>
      </w:r>
      <w:proofErr w:type="gramStart"/>
      <w:r w:rsidRPr="000E5786">
        <w:t>Cause;</w:t>
      </w:r>
      <w:bookmarkEnd w:id="913"/>
      <w:proofErr w:type="gramEnd"/>
    </w:p>
    <w:p w14:paraId="412F0643" w14:textId="67BCE898" w:rsidR="0048699F" w:rsidRPr="000E5786" w:rsidRDefault="0048699F" w:rsidP="00346A37">
      <w:pPr>
        <w:pStyle w:val="Heading3"/>
      </w:pPr>
      <w:bookmarkStart w:id="914" w:name="_Ref53585450"/>
      <w:r w:rsidRPr="000E5786">
        <w:t xml:space="preserve">implement any reasonable recommendations made by the Remedial Adviser that have been approved by </w:t>
      </w:r>
      <w:proofErr w:type="spellStart"/>
      <w:r w:rsidR="001F1C19">
        <w:t>Netlink</w:t>
      </w:r>
      <w:proofErr w:type="spellEnd"/>
      <w:r w:rsidR="001F1C19">
        <w:t xml:space="preserve"> Star</w:t>
      </w:r>
      <w:r w:rsidRPr="000E5786">
        <w:t xml:space="preserve"> within the timescales given by the Remedial Adviser; and</w:t>
      </w:r>
      <w:bookmarkEnd w:id="914"/>
    </w:p>
    <w:p w14:paraId="44102031" w14:textId="78D71F8D" w:rsidR="0048699F" w:rsidRPr="000E5786" w:rsidRDefault="0048699F" w:rsidP="00346A37">
      <w:pPr>
        <w:pStyle w:val="Heading3"/>
      </w:pPr>
      <w:bookmarkStart w:id="915" w:name="_Ref53585451"/>
      <w:r w:rsidRPr="000E5786">
        <w:t xml:space="preserve">not terminate the appointment of the Remedial Adviser prior to the end of the Intervention Period without the prior consent of </w:t>
      </w:r>
      <w:proofErr w:type="spellStart"/>
      <w:r w:rsidR="001F1C19">
        <w:t>Netlink</w:t>
      </w:r>
      <w:proofErr w:type="spellEnd"/>
      <w:r w:rsidR="001F1C19">
        <w:t xml:space="preserve"> Star</w:t>
      </w:r>
      <w:r w:rsidRPr="000E5786">
        <w:t xml:space="preserve"> (such consent not to be unreasonably withheld).</w:t>
      </w:r>
      <w:bookmarkEnd w:id="915"/>
    </w:p>
    <w:p w14:paraId="39AFC833" w14:textId="170E2273" w:rsidR="0048699F" w:rsidRPr="000E5786" w:rsidRDefault="0048699F" w:rsidP="00DD60F0">
      <w:pPr>
        <w:pStyle w:val="Heading2"/>
        <w:spacing w:after="120"/>
        <w:rPr>
          <w:rFonts w:cs="Arial"/>
          <w:szCs w:val="20"/>
        </w:rPr>
      </w:pPr>
      <w:bookmarkStart w:id="916" w:name="_Ref53585452"/>
      <w:r w:rsidRPr="000E5786">
        <w:rPr>
          <w:rFonts w:cs="Arial"/>
          <w:szCs w:val="20"/>
        </w:rPr>
        <w:t>The Supplier shall be responsible for:</w:t>
      </w:r>
      <w:bookmarkEnd w:id="916"/>
    </w:p>
    <w:p w14:paraId="27A0228C" w14:textId="7E4CD218" w:rsidR="0048699F" w:rsidRPr="000E5786" w:rsidRDefault="0048699F" w:rsidP="00346A37">
      <w:pPr>
        <w:pStyle w:val="Heading3"/>
      </w:pPr>
      <w:bookmarkStart w:id="917" w:name="_Ref53585453"/>
      <w:r w:rsidRPr="000E5786">
        <w:t>the costs of appointing, and the fees charged by, the Remedial Adviser; and</w:t>
      </w:r>
      <w:bookmarkEnd w:id="917"/>
    </w:p>
    <w:p w14:paraId="455A1C6A" w14:textId="70AE49A8" w:rsidR="0048699F" w:rsidRPr="000E5786" w:rsidRDefault="0048699F" w:rsidP="00346A37">
      <w:pPr>
        <w:pStyle w:val="Heading3"/>
      </w:pPr>
      <w:bookmarkStart w:id="918" w:name="_Ref53585454"/>
      <w:r w:rsidRPr="000E5786">
        <w:t xml:space="preserve">its own costs in connection with any action required by </w:t>
      </w:r>
      <w:proofErr w:type="spellStart"/>
      <w:r w:rsidR="001F1C19">
        <w:t>Netlink</w:t>
      </w:r>
      <w:proofErr w:type="spellEnd"/>
      <w:r w:rsidR="001F1C19">
        <w:t xml:space="preserve"> Star</w:t>
      </w:r>
      <w:r w:rsidRPr="000E5786">
        <w:t xml:space="preserve"> and/or the Remedial Adviser pursuant to this clause </w:t>
      </w:r>
      <w:r w:rsidR="005207B7" w:rsidRPr="000E5786">
        <w:fldChar w:fldCharType="begin"/>
      </w:r>
      <w:r w:rsidR="005207B7" w:rsidRPr="000E5786">
        <w:instrText xml:space="preserve">  REF _Ref53585730 \w \h \* MERGEFORMAT </w:instrText>
      </w:r>
      <w:r w:rsidR="005207B7" w:rsidRPr="000E5786">
        <w:fldChar w:fldCharType="separate"/>
      </w:r>
      <w:r w:rsidR="002523A8" w:rsidRPr="000E5786">
        <w:t>32</w:t>
      </w:r>
      <w:r w:rsidR="005207B7" w:rsidRPr="000E5786">
        <w:fldChar w:fldCharType="end"/>
      </w:r>
      <w:r w:rsidRPr="000E5786">
        <w:t>.</w:t>
      </w:r>
      <w:bookmarkEnd w:id="918"/>
    </w:p>
    <w:p w14:paraId="2D00FA42" w14:textId="75237F17" w:rsidR="0048699F" w:rsidRPr="000E5786" w:rsidRDefault="0048699F" w:rsidP="00DD60F0">
      <w:pPr>
        <w:pStyle w:val="Heading2"/>
        <w:spacing w:after="120"/>
        <w:rPr>
          <w:rFonts w:cs="Arial"/>
          <w:szCs w:val="20"/>
        </w:rPr>
      </w:pPr>
      <w:bookmarkStart w:id="919" w:name="_Ref53585455"/>
      <w:r w:rsidRPr="000E5786">
        <w:rPr>
          <w:rFonts w:cs="Arial"/>
          <w:szCs w:val="20"/>
        </w:rPr>
        <w:t>If:</w:t>
      </w:r>
      <w:bookmarkEnd w:id="919"/>
    </w:p>
    <w:p w14:paraId="198D7119" w14:textId="170750FE" w:rsidR="0048699F" w:rsidRPr="000E5786" w:rsidRDefault="0048699F" w:rsidP="00346A37">
      <w:pPr>
        <w:pStyle w:val="Heading3"/>
      </w:pPr>
      <w:bookmarkStart w:id="920" w:name="_Ref53585456"/>
      <w:r w:rsidRPr="000E5786">
        <w:t>the Supplier:</w:t>
      </w:r>
      <w:bookmarkEnd w:id="920"/>
    </w:p>
    <w:p w14:paraId="62388B9F" w14:textId="1FE77613" w:rsidR="0048699F" w:rsidRPr="000E5786" w:rsidRDefault="0048699F" w:rsidP="00834C1A">
      <w:pPr>
        <w:pStyle w:val="Heading4"/>
        <w:tabs>
          <w:tab w:val="clear" w:pos="1702"/>
          <w:tab w:val="num" w:pos="2268"/>
        </w:tabs>
        <w:spacing w:after="120"/>
        <w:ind w:left="2410"/>
        <w:rPr>
          <w:rFonts w:cs="Arial"/>
          <w:szCs w:val="20"/>
        </w:rPr>
      </w:pPr>
      <w:bookmarkStart w:id="921" w:name="_Ref53585457"/>
      <w:r w:rsidRPr="000E5786">
        <w:rPr>
          <w:rFonts w:cs="Arial"/>
          <w:szCs w:val="20"/>
        </w:rPr>
        <w:t xml:space="preserve">fails to perform any of the steps required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an Intervention Notice; and/or</w:t>
      </w:r>
      <w:bookmarkEnd w:id="921"/>
    </w:p>
    <w:p w14:paraId="2E512DCD" w14:textId="54710A8E" w:rsidR="0048699F" w:rsidRPr="000E5786" w:rsidRDefault="0048699F" w:rsidP="00834C1A">
      <w:pPr>
        <w:pStyle w:val="Heading4"/>
        <w:tabs>
          <w:tab w:val="clear" w:pos="1702"/>
          <w:tab w:val="num" w:pos="2268"/>
        </w:tabs>
        <w:spacing w:after="120"/>
        <w:ind w:left="2410"/>
        <w:rPr>
          <w:rFonts w:cs="Arial"/>
          <w:szCs w:val="20"/>
        </w:rPr>
      </w:pPr>
      <w:bookmarkStart w:id="922" w:name="_Ref53585458"/>
      <w:r w:rsidRPr="000E5786">
        <w:rPr>
          <w:rFonts w:cs="Arial"/>
          <w:szCs w:val="20"/>
        </w:rPr>
        <w:t xml:space="preserve">is in Default of any of its obligations under clause </w:t>
      </w:r>
      <w:r w:rsidR="005207B7" w:rsidRPr="000E5786">
        <w:rPr>
          <w:rFonts w:cs="Arial"/>
          <w:szCs w:val="20"/>
        </w:rPr>
        <w:fldChar w:fldCharType="begin"/>
      </w:r>
      <w:r w:rsidR="005207B7" w:rsidRPr="000E5786">
        <w:rPr>
          <w:rFonts w:cs="Arial"/>
          <w:szCs w:val="20"/>
        </w:rPr>
        <w:instrText xml:space="preserve">  REF _Ref53585446 \w \h \* MERGEFORMAT </w:instrText>
      </w:r>
      <w:r w:rsidR="005207B7" w:rsidRPr="000E5786">
        <w:rPr>
          <w:rFonts w:cs="Arial"/>
          <w:szCs w:val="20"/>
        </w:rPr>
      </w:r>
      <w:r w:rsidR="005207B7" w:rsidRPr="000E5786">
        <w:rPr>
          <w:rFonts w:cs="Arial"/>
          <w:szCs w:val="20"/>
        </w:rPr>
        <w:fldChar w:fldCharType="separate"/>
      </w:r>
      <w:r w:rsidR="002523A8" w:rsidRPr="000E5786">
        <w:rPr>
          <w:rFonts w:cs="Arial"/>
          <w:szCs w:val="20"/>
        </w:rPr>
        <w:t>32.4</w:t>
      </w:r>
      <w:r w:rsidR="005207B7" w:rsidRPr="000E5786">
        <w:rPr>
          <w:rFonts w:cs="Arial"/>
          <w:szCs w:val="20"/>
        </w:rPr>
        <w:fldChar w:fldCharType="end"/>
      </w:r>
      <w:r w:rsidRPr="000E5786">
        <w:rPr>
          <w:rFonts w:cs="Arial"/>
          <w:szCs w:val="20"/>
        </w:rPr>
        <w:t>; and/or</w:t>
      </w:r>
      <w:bookmarkEnd w:id="922"/>
    </w:p>
    <w:p w14:paraId="4ECAE20A" w14:textId="68DCABDF" w:rsidR="0048699F" w:rsidRPr="000E5786" w:rsidRDefault="0048699F" w:rsidP="00346A37">
      <w:pPr>
        <w:pStyle w:val="Heading3"/>
      </w:pPr>
      <w:bookmarkStart w:id="923" w:name="_Ref53585459"/>
      <w:r w:rsidRPr="000E5786">
        <w:t>the relevant Intervention Trigger Event is not rectified by the end of the Intervention Period,</w:t>
      </w:r>
      <w:r w:rsidR="004921CF" w:rsidRPr="000E5786">
        <w:t xml:space="preserve"> </w:t>
      </w:r>
      <w:r w:rsidRPr="000E5786">
        <w:t>(each a “</w:t>
      </w:r>
      <w:r w:rsidRPr="000E5786">
        <w:rPr>
          <w:b/>
        </w:rPr>
        <w:t>Remedial Adviser Failure</w:t>
      </w:r>
      <w:r w:rsidRPr="000E5786">
        <w:t xml:space="preserve">”), </w:t>
      </w:r>
      <w:proofErr w:type="spellStart"/>
      <w:r w:rsidR="001F1C19">
        <w:t>Netlink</w:t>
      </w:r>
      <w:proofErr w:type="spellEnd"/>
      <w:r w:rsidR="001F1C19">
        <w:t xml:space="preserve"> Star</w:t>
      </w:r>
      <w:r w:rsidRPr="000E5786">
        <w:t xml:space="preserve"> shall be entitled to terminate this Agreement pursuant to clause </w:t>
      </w:r>
      <w:r w:rsidR="005207B7" w:rsidRPr="000E5786">
        <w:fldChar w:fldCharType="begin"/>
      </w:r>
      <w:r w:rsidR="005207B7" w:rsidRPr="000E5786">
        <w:instrText xml:space="preserve">  REF _Ref53585547 \w \h \* MERGEFORMAT </w:instrText>
      </w:r>
      <w:r w:rsidR="005207B7" w:rsidRPr="000E5786">
        <w:fldChar w:fldCharType="separate"/>
      </w:r>
      <w:r w:rsidR="002523A8" w:rsidRPr="000E5786">
        <w:t>36.1.1</w:t>
      </w:r>
      <w:r w:rsidR="005207B7" w:rsidRPr="000E5786">
        <w:fldChar w:fldCharType="end"/>
      </w:r>
      <w:r w:rsidRPr="000E5786">
        <w:t xml:space="preserve"> (Termination by </w:t>
      </w:r>
      <w:proofErr w:type="spellStart"/>
      <w:r w:rsidR="001F1C19">
        <w:t>Netlink</w:t>
      </w:r>
      <w:proofErr w:type="spellEnd"/>
      <w:r w:rsidR="001F1C19">
        <w:t xml:space="preserve"> Star</w:t>
      </w:r>
      <w:r w:rsidRPr="000E5786">
        <w:t>).</w:t>
      </w:r>
      <w:bookmarkEnd w:id="923"/>
    </w:p>
    <w:p w14:paraId="584E6DED" w14:textId="36CFDEBA" w:rsidR="0048699F" w:rsidRPr="000E5786" w:rsidRDefault="0048699F" w:rsidP="00DD60F0">
      <w:pPr>
        <w:pStyle w:val="Heading1"/>
        <w:spacing w:after="120"/>
        <w:rPr>
          <w:rFonts w:cs="Arial"/>
          <w:szCs w:val="20"/>
        </w:rPr>
      </w:pPr>
      <w:bookmarkStart w:id="924" w:name="_Ref53585460"/>
      <w:bookmarkStart w:id="925" w:name="_Ref53585731"/>
      <w:bookmarkStart w:id="926" w:name="_Ref55485597"/>
      <w:bookmarkStart w:id="927" w:name="_Toc71198957"/>
      <w:r w:rsidRPr="000E5786">
        <w:rPr>
          <w:rFonts w:cs="Arial"/>
          <w:szCs w:val="20"/>
        </w:rPr>
        <w:t>STEP-IN RIGHTS</w:t>
      </w:r>
      <w:bookmarkEnd w:id="924"/>
      <w:bookmarkEnd w:id="925"/>
      <w:bookmarkEnd w:id="926"/>
      <w:bookmarkEnd w:id="927"/>
    </w:p>
    <w:p w14:paraId="53DC0433" w14:textId="2E4C61C9" w:rsidR="0048699F" w:rsidRPr="000E5786" w:rsidRDefault="0048699F" w:rsidP="00DD60F0">
      <w:pPr>
        <w:pStyle w:val="Heading2"/>
        <w:spacing w:after="120"/>
        <w:rPr>
          <w:rFonts w:cs="Arial"/>
          <w:szCs w:val="20"/>
        </w:rPr>
      </w:pPr>
      <w:bookmarkStart w:id="928" w:name="_Ref53585461"/>
      <w:r w:rsidRPr="000E5786">
        <w:rPr>
          <w:rFonts w:cs="Arial"/>
          <w:szCs w:val="20"/>
        </w:rPr>
        <w:t xml:space="preserve">On the occurrence of a Step-In Trigger Event,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serve notice on the Supplier (a “</w:t>
      </w:r>
      <w:r w:rsidRPr="000E5786">
        <w:rPr>
          <w:rFonts w:cs="Arial"/>
          <w:b/>
          <w:szCs w:val="20"/>
        </w:rPr>
        <w:t>Step-In Notice</w:t>
      </w:r>
      <w:r w:rsidRPr="000E5786">
        <w:rPr>
          <w:rFonts w:cs="Arial"/>
          <w:szCs w:val="20"/>
        </w:rPr>
        <w:t xml:space="preserve">”) that it will be taking action under this clause </w:t>
      </w:r>
      <w:r w:rsidR="005207B7" w:rsidRPr="000E5786">
        <w:rPr>
          <w:rFonts w:cs="Arial"/>
          <w:szCs w:val="20"/>
        </w:rPr>
        <w:fldChar w:fldCharType="begin"/>
      </w:r>
      <w:r w:rsidR="005207B7" w:rsidRPr="000E5786">
        <w:rPr>
          <w:rFonts w:cs="Arial"/>
          <w:szCs w:val="20"/>
        </w:rPr>
        <w:instrText xml:space="preserve">  REF _Ref53585731 \w \h \* MERGEFORMAT </w:instrText>
      </w:r>
      <w:r w:rsidR="005207B7" w:rsidRPr="000E5786">
        <w:rPr>
          <w:rFonts w:cs="Arial"/>
          <w:szCs w:val="20"/>
        </w:rPr>
      </w:r>
      <w:r w:rsidR="005207B7" w:rsidRPr="000E5786">
        <w:rPr>
          <w:rFonts w:cs="Arial"/>
          <w:szCs w:val="20"/>
        </w:rPr>
        <w:fldChar w:fldCharType="separate"/>
      </w:r>
      <w:r w:rsidR="002523A8" w:rsidRPr="000E5786">
        <w:rPr>
          <w:rFonts w:cs="Arial"/>
          <w:szCs w:val="20"/>
        </w:rPr>
        <w:t>33</w:t>
      </w:r>
      <w:r w:rsidR="005207B7" w:rsidRPr="000E5786">
        <w:rPr>
          <w:rFonts w:cs="Arial"/>
          <w:szCs w:val="20"/>
        </w:rPr>
        <w:fldChar w:fldCharType="end"/>
      </w:r>
      <w:r w:rsidRPr="000E5786">
        <w:rPr>
          <w:rFonts w:cs="Arial"/>
          <w:szCs w:val="20"/>
        </w:rPr>
        <w:t xml:space="preserve"> (Step-In Rights), either itself or with the assistance of a third party (provided that the Supplier may require any third parties to comply with a confidentiality undertaking equivalent to clause </w:t>
      </w:r>
      <w:r w:rsidR="005207B7" w:rsidRPr="000E5786">
        <w:rPr>
          <w:rFonts w:cs="Arial"/>
          <w:szCs w:val="20"/>
        </w:rPr>
        <w:fldChar w:fldCharType="begin"/>
      </w:r>
      <w:r w:rsidR="005207B7" w:rsidRPr="000E5786">
        <w:rPr>
          <w:rFonts w:cs="Arial"/>
          <w:szCs w:val="20"/>
        </w:rPr>
        <w:instrText xml:space="preserve">  REF _Ref53585722 \w \h \* MERGEFORMAT </w:instrText>
      </w:r>
      <w:r w:rsidR="005207B7" w:rsidRPr="000E5786">
        <w:rPr>
          <w:rFonts w:cs="Arial"/>
          <w:szCs w:val="20"/>
        </w:rPr>
      </w:r>
      <w:r w:rsidR="005207B7" w:rsidRPr="000E5786">
        <w:rPr>
          <w:rFonts w:cs="Arial"/>
          <w:szCs w:val="20"/>
        </w:rPr>
        <w:fldChar w:fldCharType="separate"/>
      </w:r>
      <w:r w:rsidR="002523A8" w:rsidRPr="000E5786">
        <w:rPr>
          <w:rFonts w:cs="Arial"/>
          <w:szCs w:val="20"/>
        </w:rPr>
        <w:t>24</w:t>
      </w:r>
      <w:r w:rsidR="005207B7" w:rsidRPr="000E5786">
        <w:rPr>
          <w:rFonts w:cs="Arial"/>
          <w:szCs w:val="20"/>
        </w:rPr>
        <w:fldChar w:fldCharType="end"/>
      </w:r>
      <w:r w:rsidRPr="000E5786">
        <w:rPr>
          <w:rFonts w:cs="Arial"/>
          <w:szCs w:val="20"/>
        </w:rPr>
        <w:t xml:space="preserve"> (Confidentiality)).</w:t>
      </w:r>
      <w:r w:rsidR="000578A4" w:rsidRPr="000E5786">
        <w:rPr>
          <w:rFonts w:cs="Arial"/>
          <w:szCs w:val="20"/>
        </w:rPr>
        <w:t xml:space="preserve"> </w:t>
      </w:r>
      <w:r w:rsidRPr="000E5786">
        <w:rPr>
          <w:rFonts w:cs="Arial"/>
          <w:szCs w:val="20"/>
        </w:rPr>
        <w:t>The Step-In Notice shall set out the following:</w:t>
      </w:r>
      <w:bookmarkEnd w:id="928"/>
    </w:p>
    <w:p w14:paraId="3A99EFF8" w14:textId="2D700844" w:rsidR="0048699F" w:rsidRPr="000E5786" w:rsidRDefault="0048699F" w:rsidP="00346A37">
      <w:pPr>
        <w:pStyle w:val="Heading3"/>
      </w:pPr>
      <w:bookmarkStart w:id="929" w:name="_Ref53585462"/>
      <w:r w:rsidRPr="000E5786">
        <w:t xml:space="preserve">the action </w:t>
      </w:r>
      <w:proofErr w:type="spellStart"/>
      <w:r w:rsidR="001F1C19">
        <w:t>Netlink</w:t>
      </w:r>
      <w:proofErr w:type="spellEnd"/>
      <w:r w:rsidR="001F1C19">
        <w:t xml:space="preserve"> Star</w:t>
      </w:r>
      <w:r w:rsidRPr="000E5786">
        <w:t xml:space="preserve"> wishes to take and in particular the Services that it wishes to control (or appoint a third party to control) (the “</w:t>
      </w:r>
      <w:r w:rsidRPr="000E5786">
        <w:rPr>
          <w:b/>
        </w:rPr>
        <w:t>Required Action</w:t>
      </w:r>
      <w:r w:rsidRPr="000E5786">
        <w:t>”</w:t>
      </w:r>
      <w:proofErr w:type="gramStart"/>
      <w:r w:rsidRPr="000E5786">
        <w:t>);</w:t>
      </w:r>
      <w:bookmarkEnd w:id="929"/>
      <w:proofErr w:type="gramEnd"/>
    </w:p>
    <w:p w14:paraId="3E97D5F6" w14:textId="0E1D7C14" w:rsidR="0048699F" w:rsidRPr="000E5786" w:rsidRDefault="0048699F" w:rsidP="00346A37">
      <w:pPr>
        <w:pStyle w:val="Heading3"/>
      </w:pPr>
      <w:bookmarkStart w:id="930" w:name="_Ref53585463"/>
      <w:r w:rsidRPr="000E5786">
        <w:lastRenderedPageBreak/>
        <w:t xml:space="preserve">the Step-In Trigger Event that has occurred and whether </w:t>
      </w:r>
      <w:proofErr w:type="spellStart"/>
      <w:r w:rsidR="001F1C19">
        <w:t>Netlink</w:t>
      </w:r>
      <w:proofErr w:type="spellEnd"/>
      <w:r w:rsidR="001F1C19">
        <w:t xml:space="preserve"> Star</w:t>
      </w:r>
      <w:r w:rsidRPr="000E5786">
        <w:t xml:space="preserve"> believes that the Required Action is due to the Supplier’s </w:t>
      </w:r>
      <w:proofErr w:type="gramStart"/>
      <w:r w:rsidRPr="000E5786">
        <w:t>Default;</w:t>
      </w:r>
      <w:bookmarkEnd w:id="930"/>
      <w:proofErr w:type="gramEnd"/>
    </w:p>
    <w:p w14:paraId="61F8022D" w14:textId="2F4A16E7" w:rsidR="0048699F" w:rsidRPr="000E5786" w:rsidRDefault="0048699F" w:rsidP="00346A37">
      <w:pPr>
        <w:pStyle w:val="Heading3"/>
      </w:pPr>
      <w:bookmarkStart w:id="931" w:name="_Ref53585464"/>
      <w:r w:rsidRPr="000E5786">
        <w:t xml:space="preserve">the date on which it wishes to commence the Required </w:t>
      </w:r>
      <w:proofErr w:type="gramStart"/>
      <w:r w:rsidRPr="000E5786">
        <w:t>Action;</w:t>
      </w:r>
      <w:bookmarkEnd w:id="931"/>
      <w:proofErr w:type="gramEnd"/>
    </w:p>
    <w:p w14:paraId="027860F4" w14:textId="3F96C0E5" w:rsidR="0048699F" w:rsidRPr="000E5786" w:rsidRDefault="0048699F" w:rsidP="00346A37">
      <w:pPr>
        <w:pStyle w:val="Heading3"/>
      </w:pPr>
      <w:bookmarkStart w:id="932" w:name="_Ref53585465"/>
      <w:r w:rsidRPr="000E5786">
        <w:t xml:space="preserve">the time period which it believes will be necessary for the Required </w:t>
      </w:r>
      <w:proofErr w:type="gramStart"/>
      <w:r w:rsidRPr="000E5786">
        <w:t>Action;</w:t>
      </w:r>
      <w:bookmarkEnd w:id="932"/>
      <w:proofErr w:type="gramEnd"/>
    </w:p>
    <w:p w14:paraId="5F2C13A1" w14:textId="497631D7" w:rsidR="0048699F" w:rsidRPr="000E5786" w:rsidRDefault="0048699F" w:rsidP="00346A37">
      <w:pPr>
        <w:pStyle w:val="Heading3"/>
      </w:pPr>
      <w:bookmarkStart w:id="933" w:name="_Ref53585466"/>
      <w:r w:rsidRPr="000E5786">
        <w:t xml:space="preserve">whether </w:t>
      </w:r>
      <w:proofErr w:type="spellStart"/>
      <w:r w:rsidR="001F1C19">
        <w:t>Netlink</w:t>
      </w:r>
      <w:proofErr w:type="spellEnd"/>
      <w:r w:rsidR="001F1C19">
        <w:t xml:space="preserve"> Star</w:t>
      </w:r>
      <w:r w:rsidRPr="000E5786">
        <w:t xml:space="preserve"> will require access to the Supplier’s premises and/or the Sites; and</w:t>
      </w:r>
      <w:bookmarkEnd w:id="933"/>
    </w:p>
    <w:p w14:paraId="38FA0106" w14:textId="05516300" w:rsidR="0048699F" w:rsidRPr="000E5786" w:rsidRDefault="0048699F" w:rsidP="00346A37">
      <w:pPr>
        <w:pStyle w:val="Heading3"/>
      </w:pPr>
      <w:bookmarkStart w:id="934" w:name="_Ref53585467"/>
      <w:r w:rsidRPr="000E5786">
        <w:t xml:space="preserve">to the extent practicable, the impact that </w:t>
      </w:r>
      <w:proofErr w:type="spellStart"/>
      <w:r w:rsidR="001F1C19">
        <w:t>Netlink</w:t>
      </w:r>
      <w:proofErr w:type="spellEnd"/>
      <w:r w:rsidR="001F1C19">
        <w:t xml:space="preserve"> Star</w:t>
      </w:r>
      <w:r w:rsidRPr="000E5786">
        <w:t xml:space="preserve"> anticipates the Required Action will have on the Supplier’s obligations to provide the Services during the period that the Required Action is being taken.</w:t>
      </w:r>
      <w:bookmarkEnd w:id="934"/>
    </w:p>
    <w:p w14:paraId="6A06257C" w14:textId="5B152CA1" w:rsidR="0048699F" w:rsidRPr="000E5786" w:rsidRDefault="0048699F" w:rsidP="00DD60F0">
      <w:pPr>
        <w:pStyle w:val="Heading2"/>
        <w:spacing w:after="120"/>
        <w:rPr>
          <w:rFonts w:cs="Arial"/>
          <w:szCs w:val="20"/>
        </w:rPr>
      </w:pPr>
      <w:bookmarkStart w:id="935" w:name="_Ref53585468"/>
      <w:r w:rsidRPr="000E5786">
        <w:rPr>
          <w:rFonts w:cs="Arial"/>
          <w:szCs w:val="20"/>
        </w:rPr>
        <w:t xml:space="preserve">Following service of a Step-In Notice,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w:t>
      </w:r>
      <w:bookmarkEnd w:id="935"/>
    </w:p>
    <w:p w14:paraId="04DDC473" w14:textId="3547C703" w:rsidR="0048699F" w:rsidRPr="000E5786" w:rsidRDefault="0048699F" w:rsidP="00346A37">
      <w:pPr>
        <w:pStyle w:val="Heading3"/>
      </w:pPr>
      <w:bookmarkStart w:id="936" w:name="_Ref53585469"/>
      <w:r w:rsidRPr="000E5786">
        <w:t>take the Required Action, or procure that a third party takes the action, set out</w:t>
      </w:r>
      <w:r w:rsidR="00B43E65" w:rsidRPr="000E5786">
        <w:t xml:space="preserve"> </w:t>
      </w:r>
      <w:r w:rsidRPr="000E5786">
        <w:t xml:space="preserve">in the Step-In Notice and any consequential additional action as it reasonably believes is necessary to achieve the Required </w:t>
      </w:r>
      <w:proofErr w:type="gramStart"/>
      <w:r w:rsidRPr="000E5786">
        <w:t>Action;</w:t>
      </w:r>
      <w:bookmarkEnd w:id="936"/>
      <w:proofErr w:type="gramEnd"/>
    </w:p>
    <w:p w14:paraId="4AC61B9C" w14:textId="14C2622D" w:rsidR="0048699F" w:rsidRPr="000E5786" w:rsidRDefault="0048699F" w:rsidP="00346A37">
      <w:pPr>
        <w:pStyle w:val="Heading3"/>
      </w:pPr>
      <w:bookmarkStart w:id="937" w:name="_Ref53585470"/>
      <w:r w:rsidRPr="000E5786">
        <w:t xml:space="preserve">be cognisant of any objections raised by the Supplier in respect of the appointment of a third party, though notwithstanding the foregoing, </w:t>
      </w:r>
      <w:proofErr w:type="spellStart"/>
      <w:r w:rsidR="001F1C19">
        <w:t>Netlink</w:t>
      </w:r>
      <w:proofErr w:type="spellEnd"/>
      <w:r w:rsidR="001F1C19">
        <w:t xml:space="preserve"> Star</w:t>
      </w:r>
      <w:r w:rsidRPr="000E5786">
        <w:t xml:space="preserve"> shall be free to take the Required Action or any other action permitted by clause </w:t>
      </w:r>
      <w:r w:rsidR="005207B7" w:rsidRPr="000E5786">
        <w:fldChar w:fldCharType="begin"/>
      </w:r>
      <w:r w:rsidR="005207B7" w:rsidRPr="000E5786">
        <w:instrText xml:space="preserve">  REF _Ref53585469 \w \h \* MERGEFORMAT </w:instrText>
      </w:r>
      <w:r w:rsidR="005207B7" w:rsidRPr="000E5786">
        <w:fldChar w:fldCharType="separate"/>
      </w:r>
      <w:r w:rsidR="002523A8" w:rsidRPr="000E5786">
        <w:t>33.2.1</w:t>
      </w:r>
      <w:r w:rsidR="005207B7" w:rsidRPr="000E5786">
        <w:fldChar w:fldCharType="end"/>
      </w:r>
      <w:r w:rsidRPr="000E5786">
        <w:t xml:space="preserve"> at its sole discretion;</w:t>
      </w:r>
      <w:bookmarkEnd w:id="937"/>
    </w:p>
    <w:p w14:paraId="2D1E137A" w14:textId="070C6099" w:rsidR="0048699F" w:rsidRPr="000E5786" w:rsidRDefault="0048699F" w:rsidP="00346A37">
      <w:pPr>
        <w:pStyle w:val="Heading3"/>
      </w:pPr>
      <w:bookmarkStart w:id="938" w:name="_Ref53585471"/>
      <w:r w:rsidRPr="000E5786">
        <w:t xml:space="preserve">keep records of the Required Action taken and provide information about the Required Action to the </w:t>
      </w:r>
      <w:proofErr w:type="gramStart"/>
      <w:r w:rsidRPr="000E5786">
        <w:t>Supplier;</w:t>
      </w:r>
      <w:bookmarkEnd w:id="938"/>
      <w:proofErr w:type="gramEnd"/>
    </w:p>
    <w:p w14:paraId="75DE070F" w14:textId="389B6526" w:rsidR="0048699F" w:rsidRPr="000E5786" w:rsidRDefault="0048699F" w:rsidP="00346A37">
      <w:pPr>
        <w:pStyle w:val="Heading3"/>
      </w:pPr>
      <w:bookmarkStart w:id="939" w:name="_Ref53585472"/>
      <w:r w:rsidRPr="000E5786">
        <w:t xml:space="preserve">co-operate wherever reasonable with the Supplier </w:t>
      </w:r>
      <w:proofErr w:type="gramStart"/>
      <w:r w:rsidRPr="000E5786">
        <w:t>in order to</w:t>
      </w:r>
      <w:proofErr w:type="gramEnd"/>
      <w:r w:rsidRPr="000E5786">
        <w:t xml:space="preserve"> enable the Supplier to continue to provide the Services in relation to which </w:t>
      </w:r>
      <w:proofErr w:type="spellStart"/>
      <w:r w:rsidR="001F1C19">
        <w:t>Netlink</w:t>
      </w:r>
      <w:proofErr w:type="spellEnd"/>
      <w:r w:rsidR="001F1C19">
        <w:t xml:space="preserve"> Star</w:t>
      </w:r>
      <w:r w:rsidRPr="000E5786">
        <w:t xml:space="preserve"> is not assuming control; and</w:t>
      </w:r>
      <w:bookmarkEnd w:id="939"/>
    </w:p>
    <w:p w14:paraId="61C1BF30" w14:textId="4C92F25C" w:rsidR="0048699F" w:rsidRPr="000E5786" w:rsidRDefault="0048699F" w:rsidP="00346A37">
      <w:pPr>
        <w:pStyle w:val="Heading3"/>
      </w:pPr>
      <w:bookmarkStart w:id="940" w:name="_Ref53585473"/>
      <w:r w:rsidRPr="000E5786">
        <w:t xml:space="preserve">act reasonably in mitigating the cost that the Supplier will incur </w:t>
      </w:r>
      <w:proofErr w:type="gramStart"/>
      <w:r w:rsidRPr="000E5786">
        <w:t>as a result of</w:t>
      </w:r>
      <w:proofErr w:type="gramEnd"/>
      <w:r w:rsidRPr="000E5786">
        <w:t xml:space="preserve"> the exercise of </w:t>
      </w:r>
      <w:proofErr w:type="spellStart"/>
      <w:r w:rsidR="001F1C19">
        <w:t>Netlink</w:t>
      </w:r>
      <w:proofErr w:type="spellEnd"/>
      <w:r w:rsidR="001F1C19">
        <w:t xml:space="preserve"> Star</w:t>
      </w:r>
      <w:r w:rsidRPr="000E5786">
        <w:t xml:space="preserve">’s rights under this clause </w:t>
      </w:r>
      <w:r w:rsidR="005207B7" w:rsidRPr="000E5786">
        <w:fldChar w:fldCharType="begin"/>
      </w:r>
      <w:r w:rsidR="005207B7" w:rsidRPr="000E5786">
        <w:instrText xml:space="preserve">  REF _Ref53585731 \w \h \* MERGEFORMAT </w:instrText>
      </w:r>
      <w:r w:rsidR="005207B7" w:rsidRPr="000E5786">
        <w:fldChar w:fldCharType="separate"/>
      </w:r>
      <w:r w:rsidR="002523A8" w:rsidRPr="000E5786">
        <w:t>33</w:t>
      </w:r>
      <w:r w:rsidR="005207B7" w:rsidRPr="000E5786">
        <w:fldChar w:fldCharType="end"/>
      </w:r>
      <w:r w:rsidRPr="000E5786">
        <w:t>.</w:t>
      </w:r>
      <w:bookmarkEnd w:id="940"/>
    </w:p>
    <w:p w14:paraId="60D06E46" w14:textId="1932885F" w:rsidR="0048699F" w:rsidRPr="000E5786" w:rsidRDefault="0048699F" w:rsidP="00DD60F0">
      <w:pPr>
        <w:pStyle w:val="Heading2"/>
        <w:spacing w:after="120"/>
        <w:rPr>
          <w:rFonts w:cs="Arial"/>
          <w:szCs w:val="20"/>
        </w:rPr>
      </w:pPr>
      <w:bookmarkStart w:id="941" w:name="_Ref53585474"/>
      <w:r w:rsidRPr="000E5786">
        <w:rPr>
          <w:rFonts w:cs="Arial"/>
          <w:szCs w:val="20"/>
        </w:rPr>
        <w:t>For so long as and to the extent that the Required Action is continuing, then:</w:t>
      </w:r>
      <w:bookmarkEnd w:id="941"/>
    </w:p>
    <w:p w14:paraId="37236B77" w14:textId="6FA482A1" w:rsidR="0048699F" w:rsidRPr="000E5786" w:rsidRDefault="0048699F" w:rsidP="00346A37">
      <w:pPr>
        <w:pStyle w:val="Heading3"/>
      </w:pPr>
      <w:bookmarkStart w:id="942" w:name="_Ref53585475"/>
      <w:r w:rsidRPr="000E5786">
        <w:t xml:space="preserve">the Supplier shall not be obliged to provide the Services to the extent that they are the subject of the Required </w:t>
      </w:r>
      <w:proofErr w:type="gramStart"/>
      <w:r w:rsidRPr="000E5786">
        <w:t>Action;</w:t>
      </w:r>
      <w:bookmarkEnd w:id="942"/>
      <w:proofErr w:type="gramEnd"/>
    </w:p>
    <w:p w14:paraId="64DE8D9E" w14:textId="6FB23E32" w:rsidR="0048699F" w:rsidRPr="000E5786" w:rsidRDefault="0048699F" w:rsidP="00346A37">
      <w:pPr>
        <w:pStyle w:val="Heading3"/>
      </w:pPr>
      <w:bookmarkStart w:id="943" w:name="_Ref53585476"/>
      <w:r w:rsidRPr="000E5786">
        <w:t xml:space="preserve">no Deductions shall be applicable in relation to Charges in respect of Services that are the subject of the Required Action and the provisions of clause </w:t>
      </w:r>
      <w:r w:rsidR="005207B7" w:rsidRPr="000E5786">
        <w:fldChar w:fldCharType="begin"/>
      </w:r>
      <w:r w:rsidR="005207B7" w:rsidRPr="000E5786">
        <w:instrText xml:space="preserve">  REF _Ref53585484 \w \h \* MERGEFORMAT </w:instrText>
      </w:r>
      <w:r w:rsidR="005207B7" w:rsidRPr="000E5786">
        <w:fldChar w:fldCharType="separate"/>
      </w:r>
      <w:r w:rsidR="002523A8" w:rsidRPr="000E5786">
        <w:t>33.4</w:t>
      </w:r>
      <w:r w:rsidR="005207B7" w:rsidRPr="000E5786">
        <w:fldChar w:fldCharType="end"/>
      </w:r>
      <w:r w:rsidRPr="000E5786">
        <w:t xml:space="preserve"> shall apply to Deductions from Charges in respect of other </w:t>
      </w:r>
      <w:proofErr w:type="gramStart"/>
      <w:r w:rsidRPr="000E5786">
        <w:t>Services;</w:t>
      </w:r>
      <w:bookmarkEnd w:id="943"/>
      <w:proofErr w:type="gramEnd"/>
    </w:p>
    <w:p w14:paraId="48EBDAFD" w14:textId="63A858E5" w:rsidR="0048699F" w:rsidRPr="000E5786" w:rsidRDefault="001F1C19" w:rsidP="00346A37">
      <w:pPr>
        <w:pStyle w:val="Heading3"/>
      </w:pPr>
      <w:bookmarkStart w:id="944" w:name="_Ref53585477"/>
      <w:proofErr w:type="spellStart"/>
      <w:r>
        <w:t>Netlink</w:t>
      </w:r>
      <w:proofErr w:type="spellEnd"/>
      <w:r>
        <w:t xml:space="preserve"> Star</w:t>
      </w:r>
      <w:r w:rsidR="0048699F" w:rsidRPr="000E5786">
        <w:t xml:space="preserve"> shall pay to the Supplier the Charges after subtracting any applicable Deductions and </w:t>
      </w:r>
      <w:proofErr w:type="spellStart"/>
      <w:r>
        <w:t>Netlink</w:t>
      </w:r>
      <w:proofErr w:type="spellEnd"/>
      <w:r>
        <w:t xml:space="preserve"> Star</w:t>
      </w:r>
      <w:r w:rsidR="0048699F" w:rsidRPr="000E5786">
        <w:t xml:space="preserve">’s costs of taking the Required </w:t>
      </w:r>
      <w:proofErr w:type="gramStart"/>
      <w:r w:rsidR="0048699F" w:rsidRPr="000E5786">
        <w:t>Action;</w:t>
      </w:r>
      <w:bookmarkEnd w:id="944"/>
      <w:proofErr w:type="gramEnd"/>
    </w:p>
    <w:p w14:paraId="1B3CE7AA" w14:textId="01D3828A" w:rsidR="0048699F" w:rsidRPr="000E5786" w:rsidRDefault="0048699F" w:rsidP="00346A37">
      <w:pPr>
        <w:pStyle w:val="Heading3"/>
      </w:pPr>
      <w:bookmarkStart w:id="945" w:name="_Ref53585478"/>
      <w:r w:rsidRPr="000E5786">
        <w:t xml:space="preserve">the Supplier shall cooperate fully with </w:t>
      </w:r>
      <w:proofErr w:type="spellStart"/>
      <w:r w:rsidR="001F1C19">
        <w:t>Netlink</w:t>
      </w:r>
      <w:proofErr w:type="spellEnd"/>
      <w:r w:rsidR="001F1C19">
        <w:t xml:space="preserve"> Star</w:t>
      </w:r>
      <w:r w:rsidRPr="000E5786">
        <w:t xml:space="preserve"> and any third party appointed by </w:t>
      </w:r>
      <w:proofErr w:type="spellStart"/>
      <w:r w:rsidR="001F1C19">
        <w:t>Netlink</w:t>
      </w:r>
      <w:proofErr w:type="spellEnd"/>
      <w:r w:rsidR="001F1C19">
        <w:t xml:space="preserve"> Star</w:t>
      </w:r>
      <w:r w:rsidRPr="000E5786">
        <w:t xml:space="preserve"> under clause </w:t>
      </w:r>
      <w:r w:rsidR="005207B7" w:rsidRPr="000E5786">
        <w:fldChar w:fldCharType="begin"/>
      </w:r>
      <w:r w:rsidR="005207B7" w:rsidRPr="000E5786">
        <w:instrText xml:space="preserve">  REF _Ref53585469 \w \h \* MERGEFORMAT </w:instrText>
      </w:r>
      <w:r w:rsidR="005207B7" w:rsidRPr="000E5786">
        <w:fldChar w:fldCharType="separate"/>
      </w:r>
      <w:r w:rsidR="002523A8" w:rsidRPr="000E5786">
        <w:t>33.2.1</w:t>
      </w:r>
      <w:r w:rsidR="005207B7" w:rsidRPr="000E5786">
        <w:fldChar w:fldCharType="end"/>
      </w:r>
      <w:r w:rsidRPr="000E5786">
        <w:t xml:space="preserve"> to facilitate the steps </w:t>
      </w:r>
      <w:proofErr w:type="gramStart"/>
      <w:r w:rsidRPr="000E5786">
        <w:t>taken;</w:t>
      </w:r>
      <w:bookmarkEnd w:id="945"/>
      <w:proofErr w:type="gramEnd"/>
    </w:p>
    <w:p w14:paraId="0A9030BD" w14:textId="64930514" w:rsidR="0048699F" w:rsidRPr="000E5786" w:rsidRDefault="0048699F" w:rsidP="00346A37">
      <w:pPr>
        <w:pStyle w:val="Heading3"/>
      </w:pPr>
      <w:bookmarkStart w:id="946" w:name="_Ref53585479"/>
      <w:r w:rsidRPr="000E5786">
        <w:t xml:space="preserve">the Supplier shall grant and procure that any Sub-contractor or relevant third party grants such licences and permissions as are reasonably required provided that these result in no additional cost to either </w:t>
      </w:r>
      <w:proofErr w:type="spellStart"/>
      <w:r w:rsidR="001F1C19">
        <w:t>Netlink</w:t>
      </w:r>
      <w:proofErr w:type="spellEnd"/>
      <w:r w:rsidR="001F1C19">
        <w:t xml:space="preserve"> Star</w:t>
      </w:r>
      <w:r w:rsidRPr="000E5786">
        <w:t xml:space="preserve"> or the Supplier; and</w:t>
      </w:r>
      <w:bookmarkEnd w:id="946"/>
    </w:p>
    <w:p w14:paraId="58AA7D2E" w14:textId="6C0BD186" w:rsidR="0048699F" w:rsidRPr="000E5786" w:rsidRDefault="0048699F" w:rsidP="00346A37">
      <w:pPr>
        <w:pStyle w:val="Heading3"/>
      </w:pPr>
      <w:bookmarkStart w:id="947" w:name="_Ref53585480"/>
      <w:r w:rsidRPr="000E5786">
        <w:t xml:space="preserve">the Supplier shall afford (and procure that its Sub-contractors afford as applicable) to </w:t>
      </w:r>
      <w:proofErr w:type="spellStart"/>
      <w:r w:rsidR="001F1C19">
        <w:t>Netlink</w:t>
      </w:r>
      <w:proofErr w:type="spellEnd"/>
      <w:r w:rsidR="001F1C19">
        <w:t xml:space="preserve"> Star</w:t>
      </w:r>
      <w:r w:rsidRPr="000E5786">
        <w:t xml:space="preserve"> such cooperation, access to and use of (as applicable):</w:t>
      </w:r>
      <w:bookmarkEnd w:id="947"/>
    </w:p>
    <w:p w14:paraId="1DDB0714" w14:textId="48E28BF1" w:rsidR="0048699F" w:rsidRPr="000E5786" w:rsidRDefault="0048699F" w:rsidP="00834C1A">
      <w:pPr>
        <w:pStyle w:val="Heading4"/>
        <w:tabs>
          <w:tab w:val="clear" w:pos="1702"/>
          <w:tab w:val="num" w:pos="2268"/>
        </w:tabs>
        <w:spacing w:after="120"/>
        <w:ind w:left="2410"/>
        <w:rPr>
          <w:rFonts w:cs="Arial"/>
          <w:szCs w:val="20"/>
        </w:rPr>
      </w:pPr>
      <w:bookmarkStart w:id="948" w:name="_Ref53585481"/>
      <w:r w:rsidRPr="000E5786">
        <w:rPr>
          <w:rFonts w:cs="Arial"/>
          <w:szCs w:val="20"/>
        </w:rPr>
        <w:t xml:space="preserve">such </w:t>
      </w:r>
      <w:r w:rsidRPr="000E5786">
        <w:rPr>
          <w:rFonts w:cs="Arial"/>
          <w:szCs w:val="20"/>
        </w:rPr>
        <w:tab/>
        <w:t>equipment, goods, services, premises,</w:t>
      </w:r>
      <w:r w:rsidR="00132E53" w:rsidRPr="000E5786">
        <w:rPr>
          <w:rFonts w:cs="Arial"/>
          <w:szCs w:val="20"/>
        </w:rPr>
        <w:t xml:space="preserve"> </w:t>
      </w:r>
      <w:r w:rsidRPr="000E5786">
        <w:rPr>
          <w:rFonts w:cs="Arial"/>
          <w:szCs w:val="20"/>
        </w:rPr>
        <w:t>personnel,</w:t>
      </w:r>
      <w:r w:rsidR="00132E53" w:rsidRPr="000E5786">
        <w:rPr>
          <w:rFonts w:cs="Arial"/>
          <w:szCs w:val="20"/>
        </w:rPr>
        <w:t xml:space="preserve"> </w:t>
      </w:r>
      <w:r w:rsidRPr="000E5786">
        <w:rPr>
          <w:rFonts w:cs="Arial"/>
          <w:szCs w:val="20"/>
        </w:rPr>
        <w:t xml:space="preserve">documents, information and other items as are reasonably required to provide the </w:t>
      </w:r>
      <w:proofErr w:type="gramStart"/>
      <w:r w:rsidRPr="000E5786">
        <w:rPr>
          <w:rFonts w:cs="Arial"/>
          <w:szCs w:val="20"/>
        </w:rPr>
        <w:t>Services;</w:t>
      </w:r>
      <w:bookmarkEnd w:id="948"/>
      <w:proofErr w:type="gramEnd"/>
    </w:p>
    <w:p w14:paraId="76AB5557" w14:textId="53048F03" w:rsidR="0048699F" w:rsidRPr="000E5786" w:rsidRDefault="0048699F" w:rsidP="00834C1A">
      <w:pPr>
        <w:pStyle w:val="Heading4"/>
        <w:tabs>
          <w:tab w:val="clear" w:pos="1702"/>
          <w:tab w:val="num" w:pos="2268"/>
        </w:tabs>
        <w:spacing w:after="120"/>
        <w:ind w:left="2410"/>
        <w:rPr>
          <w:rFonts w:cs="Arial"/>
          <w:szCs w:val="20"/>
        </w:rPr>
      </w:pPr>
      <w:bookmarkStart w:id="949" w:name="_Ref53585482"/>
      <w:r w:rsidRPr="000E5786">
        <w:rPr>
          <w:rFonts w:cs="Arial"/>
          <w:szCs w:val="20"/>
        </w:rPr>
        <w:t>the Supplier’s Intellectual Property Rights used in relation to the Services (excluding any source code); and</w:t>
      </w:r>
      <w:bookmarkEnd w:id="949"/>
    </w:p>
    <w:p w14:paraId="25F5EAF6" w14:textId="75D5777E" w:rsidR="0048699F" w:rsidRPr="000E5786" w:rsidRDefault="0048699F" w:rsidP="00834C1A">
      <w:pPr>
        <w:pStyle w:val="Heading4"/>
        <w:tabs>
          <w:tab w:val="clear" w:pos="1702"/>
          <w:tab w:val="num" w:pos="2268"/>
        </w:tabs>
        <w:spacing w:after="120"/>
        <w:ind w:left="2410"/>
        <w:rPr>
          <w:rFonts w:cs="Arial"/>
          <w:szCs w:val="20"/>
        </w:rPr>
      </w:pPr>
      <w:bookmarkStart w:id="950" w:name="_Ref53585483"/>
      <w:r w:rsidRPr="000E5786">
        <w:rPr>
          <w:rFonts w:cs="Arial"/>
          <w:szCs w:val="20"/>
        </w:rPr>
        <w:t xml:space="preserve">premises, equipment, personnel, documents, </w:t>
      </w:r>
      <w:proofErr w:type="gramStart"/>
      <w:r w:rsidRPr="000E5786">
        <w:rPr>
          <w:rFonts w:cs="Arial"/>
          <w:szCs w:val="20"/>
        </w:rPr>
        <w:t>information</w:t>
      </w:r>
      <w:proofErr w:type="gramEnd"/>
      <w:r w:rsidRPr="000E5786">
        <w:rPr>
          <w:rFonts w:cs="Arial"/>
          <w:szCs w:val="20"/>
        </w:rPr>
        <w:t xml:space="preserve"> or other items as are reasonably required.</w:t>
      </w:r>
      <w:bookmarkEnd w:id="950"/>
    </w:p>
    <w:p w14:paraId="664398AF" w14:textId="3C294699" w:rsidR="0048699F" w:rsidRPr="000E5786" w:rsidRDefault="0048699F" w:rsidP="00DD60F0">
      <w:pPr>
        <w:pStyle w:val="Heading2"/>
        <w:spacing w:after="120"/>
        <w:rPr>
          <w:rFonts w:cs="Arial"/>
          <w:szCs w:val="20"/>
        </w:rPr>
      </w:pPr>
      <w:bookmarkStart w:id="951" w:name="_Ref53585484"/>
      <w:r w:rsidRPr="000E5786">
        <w:rPr>
          <w:rFonts w:cs="Arial"/>
          <w:szCs w:val="20"/>
        </w:rPr>
        <w:t xml:space="preserve">If the Supplier demonstrates to the reasonable satisfaction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that the Required Action has resulted in:</w:t>
      </w:r>
      <w:bookmarkEnd w:id="951"/>
    </w:p>
    <w:p w14:paraId="4A7AFDF6" w14:textId="3BBE4B12" w:rsidR="00060253" w:rsidRPr="000E5786" w:rsidRDefault="0048699F" w:rsidP="00346A37">
      <w:pPr>
        <w:pStyle w:val="Heading3"/>
      </w:pPr>
      <w:bookmarkStart w:id="952" w:name="_Ref53585485"/>
      <w:r w:rsidRPr="000E5786">
        <w:t>the degradation of any Services not subject to the Required Action; or</w:t>
      </w:r>
      <w:bookmarkEnd w:id="952"/>
      <w:r w:rsidRPr="000E5786">
        <w:t xml:space="preserve"> </w:t>
      </w:r>
    </w:p>
    <w:p w14:paraId="6D679ACC" w14:textId="26374EB3" w:rsidR="00060253" w:rsidRPr="000E5786" w:rsidRDefault="0048699F" w:rsidP="00346A37">
      <w:pPr>
        <w:pStyle w:val="Heading3"/>
      </w:pPr>
      <w:bookmarkStart w:id="953" w:name="_Ref53585486"/>
      <w:r w:rsidRPr="000E5786">
        <w:lastRenderedPageBreak/>
        <w:t>the non-Achievement of a Milestone,</w:t>
      </w:r>
      <w:bookmarkEnd w:id="953"/>
      <w:r w:rsidR="00536ED8" w:rsidRPr="000E5786">
        <w:t xml:space="preserve"> </w:t>
      </w:r>
    </w:p>
    <w:p w14:paraId="64E893F0" w14:textId="625DC4D4" w:rsidR="0048699F" w:rsidRPr="000E5786" w:rsidRDefault="0048699F" w:rsidP="00834C1A">
      <w:pPr>
        <w:pStyle w:val="BodyText1"/>
        <w:spacing w:after="120"/>
        <w:ind w:firstLine="0"/>
        <w:rPr>
          <w:rFonts w:cs="Arial"/>
          <w:szCs w:val="20"/>
        </w:rPr>
      </w:pPr>
      <w:r w:rsidRPr="000E5786">
        <w:rPr>
          <w:rFonts w:cs="Arial"/>
          <w:szCs w:val="20"/>
        </w:rPr>
        <w:t xml:space="preserve">beyond that which would have been the case had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not taken the Required Action, then the Supplier shall be entitled to an agreed adjustment of the Charges.</w:t>
      </w:r>
    </w:p>
    <w:p w14:paraId="498049A2" w14:textId="4254E8F5" w:rsidR="0048699F" w:rsidRPr="000E5786" w:rsidRDefault="0048699F" w:rsidP="00DD60F0">
      <w:pPr>
        <w:pStyle w:val="Heading2"/>
        <w:spacing w:after="120"/>
        <w:rPr>
          <w:rFonts w:cs="Arial"/>
          <w:szCs w:val="20"/>
        </w:rPr>
      </w:pPr>
      <w:bookmarkStart w:id="954" w:name="_Ref53585487"/>
      <w:r w:rsidRPr="000E5786">
        <w:rPr>
          <w:rFonts w:cs="Arial"/>
          <w:szCs w:val="20"/>
        </w:rPr>
        <w:t>Before ceasing to exercise its step</w:t>
      </w:r>
      <w:r w:rsidR="00CC400E">
        <w:rPr>
          <w:rFonts w:cs="Arial"/>
          <w:szCs w:val="20"/>
        </w:rPr>
        <w:t>-</w:t>
      </w:r>
      <w:r w:rsidRPr="000E5786">
        <w:rPr>
          <w:rFonts w:cs="Arial"/>
          <w:szCs w:val="20"/>
        </w:rPr>
        <w:t xml:space="preserve">in rights under this clause </w:t>
      </w:r>
      <w:r w:rsidR="005207B7" w:rsidRPr="000E5786">
        <w:rPr>
          <w:rFonts w:cs="Arial"/>
          <w:szCs w:val="20"/>
        </w:rPr>
        <w:fldChar w:fldCharType="begin"/>
      </w:r>
      <w:r w:rsidR="005207B7" w:rsidRPr="000E5786">
        <w:rPr>
          <w:rFonts w:cs="Arial"/>
          <w:szCs w:val="20"/>
        </w:rPr>
        <w:instrText xml:space="preserve">  REF _Ref53585731 \w \h \* MERGEFORMAT </w:instrText>
      </w:r>
      <w:r w:rsidR="005207B7" w:rsidRPr="000E5786">
        <w:rPr>
          <w:rFonts w:cs="Arial"/>
          <w:szCs w:val="20"/>
        </w:rPr>
      </w:r>
      <w:r w:rsidR="005207B7" w:rsidRPr="000E5786">
        <w:rPr>
          <w:rFonts w:cs="Arial"/>
          <w:szCs w:val="20"/>
        </w:rPr>
        <w:fldChar w:fldCharType="separate"/>
      </w:r>
      <w:r w:rsidR="002523A8" w:rsidRPr="000E5786">
        <w:rPr>
          <w:rFonts w:cs="Arial"/>
          <w:szCs w:val="20"/>
        </w:rPr>
        <w:t>33</w:t>
      </w:r>
      <w:r w:rsidR="005207B7" w:rsidRPr="000E5786">
        <w:rPr>
          <w:rFonts w:cs="Arial"/>
          <w:szCs w:val="20"/>
        </w:rPr>
        <w:fldChar w:fldCharType="end"/>
      </w:r>
      <w:r w:rsidRPr="000E5786">
        <w:rPr>
          <w:rFonts w:cs="Arial"/>
          <w:szCs w:val="20"/>
        </w:rPr>
        <w:t xml:space="preserv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deliver a written notice to the Supplier (a “</w:t>
      </w:r>
      <w:r w:rsidRPr="000E5786">
        <w:rPr>
          <w:rFonts w:cs="Arial"/>
          <w:b/>
          <w:szCs w:val="20"/>
        </w:rPr>
        <w:t>Step-Out Notice</w:t>
      </w:r>
      <w:r w:rsidRPr="000E5786">
        <w:rPr>
          <w:rFonts w:cs="Arial"/>
          <w:szCs w:val="20"/>
        </w:rPr>
        <w:t>”), specifying:</w:t>
      </w:r>
      <w:bookmarkEnd w:id="954"/>
    </w:p>
    <w:p w14:paraId="5995B7D2" w14:textId="04EFAC01" w:rsidR="0048699F" w:rsidRPr="000E5786" w:rsidRDefault="0048699F" w:rsidP="00346A37">
      <w:pPr>
        <w:pStyle w:val="Heading3"/>
      </w:pPr>
      <w:bookmarkStart w:id="955" w:name="_Ref53585488"/>
      <w:r w:rsidRPr="000E5786">
        <w:t xml:space="preserve">the Required Action it has </w:t>
      </w:r>
      <w:proofErr w:type="gramStart"/>
      <w:r w:rsidRPr="000E5786">
        <w:t>actually taken</w:t>
      </w:r>
      <w:proofErr w:type="gramEnd"/>
      <w:r w:rsidRPr="000E5786">
        <w:t>; and</w:t>
      </w:r>
      <w:bookmarkEnd w:id="955"/>
    </w:p>
    <w:p w14:paraId="5FB9E9AD" w14:textId="761DFD32" w:rsidR="0048699F" w:rsidRPr="000E5786" w:rsidRDefault="0048699F" w:rsidP="00346A37">
      <w:pPr>
        <w:pStyle w:val="Heading3"/>
      </w:pPr>
      <w:bookmarkStart w:id="956" w:name="_Ref53585489"/>
      <w:r w:rsidRPr="000E5786">
        <w:t xml:space="preserve">the date on which </w:t>
      </w:r>
      <w:proofErr w:type="spellStart"/>
      <w:r w:rsidR="001F1C19">
        <w:t>Netlink</w:t>
      </w:r>
      <w:proofErr w:type="spellEnd"/>
      <w:r w:rsidR="001F1C19">
        <w:t xml:space="preserve"> Star</w:t>
      </w:r>
      <w:r w:rsidRPr="000E5786">
        <w:t xml:space="preserve"> plans to end the Required Action (the “</w:t>
      </w:r>
      <w:r w:rsidRPr="000E5786">
        <w:rPr>
          <w:b/>
        </w:rPr>
        <w:t>Step-Out Date</w:t>
      </w:r>
      <w:r w:rsidRPr="000E5786">
        <w:t xml:space="preserve">”) subject to </w:t>
      </w:r>
      <w:proofErr w:type="spellStart"/>
      <w:r w:rsidR="001F1C19">
        <w:t>Netlink</w:t>
      </w:r>
      <w:proofErr w:type="spellEnd"/>
      <w:r w:rsidR="001F1C19">
        <w:t xml:space="preserve"> Star</w:t>
      </w:r>
      <w:r w:rsidRPr="000E5786">
        <w:t xml:space="preserve"> being satisfied with the Supplier’s ability to resume the provision of the Services and the Supplier’s plan developed in accordance with clause </w:t>
      </w:r>
      <w:r w:rsidR="005207B7" w:rsidRPr="000E5786">
        <w:fldChar w:fldCharType="begin"/>
      </w:r>
      <w:r w:rsidR="005207B7" w:rsidRPr="000E5786">
        <w:instrText xml:space="preserve">  REF _Ref53585490 \w \h \* MERGEFORMAT </w:instrText>
      </w:r>
      <w:r w:rsidR="005207B7" w:rsidRPr="000E5786">
        <w:fldChar w:fldCharType="separate"/>
      </w:r>
      <w:r w:rsidR="002523A8" w:rsidRPr="000E5786">
        <w:t>33.6</w:t>
      </w:r>
      <w:r w:rsidR="005207B7" w:rsidRPr="000E5786">
        <w:fldChar w:fldCharType="end"/>
      </w:r>
      <w:r w:rsidRPr="000E5786">
        <w:t>.</w:t>
      </w:r>
      <w:bookmarkEnd w:id="956"/>
    </w:p>
    <w:p w14:paraId="7A466B62" w14:textId="67610CB0" w:rsidR="0048699F" w:rsidRPr="000E5786" w:rsidRDefault="0048699F" w:rsidP="00DD60F0">
      <w:pPr>
        <w:pStyle w:val="Heading2"/>
        <w:spacing w:after="120"/>
        <w:rPr>
          <w:rFonts w:cs="Arial"/>
          <w:szCs w:val="20"/>
        </w:rPr>
      </w:pPr>
      <w:bookmarkStart w:id="957" w:name="_Ref53585490"/>
      <w:r w:rsidRPr="000E5786">
        <w:rPr>
          <w:rFonts w:cs="Arial"/>
          <w:szCs w:val="20"/>
        </w:rPr>
        <w:t xml:space="preserve">The Supplier shall, following receipt of a Step-Out Notice and not less than twenty </w:t>
      </w:r>
      <w:bookmarkStart w:id="958" w:name="DocXTextRef389"/>
      <w:r w:rsidRPr="000E5786">
        <w:rPr>
          <w:rFonts w:cs="Arial"/>
          <w:szCs w:val="20"/>
        </w:rPr>
        <w:t>(20)</w:t>
      </w:r>
      <w:bookmarkEnd w:id="958"/>
      <w:r w:rsidRPr="000E5786">
        <w:rPr>
          <w:rFonts w:cs="Arial"/>
          <w:szCs w:val="20"/>
        </w:rPr>
        <w:t xml:space="preserve"> Working Days prior to the Step-Out Date, develop for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’s approval a draft plan (a “</w:t>
      </w:r>
      <w:r w:rsidRPr="000E5786">
        <w:rPr>
          <w:rFonts w:cs="Arial"/>
          <w:b/>
          <w:szCs w:val="20"/>
        </w:rPr>
        <w:t>Step-Out Plan</w:t>
      </w:r>
      <w:r w:rsidRPr="000E5786">
        <w:rPr>
          <w:rFonts w:cs="Arial"/>
          <w:szCs w:val="20"/>
        </w:rPr>
        <w:t>”) relating to the resumption by the Supplier of the Services, including any action the Supplier proposes to take to ensure that the affected Services satisfy the requirements of this Agreement.</w:t>
      </w:r>
      <w:bookmarkEnd w:id="957"/>
    </w:p>
    <w:p w14:paraId="7A929120" w14:textId="7931966C" w:rsidR="0048699F" w:rsidRPr="000E5786" w:rsidRDefault="0048699F" w:rsidP="00DD60F0">
      <w:pPr>
        <w:pStyle w:val="Heading2"/>
        <w:spacing w:after="120"/>
        <w:rPr>
          <w:rFonts w:cs="Arial"/>
          <w:szCs w:val="20"/>
        </w:rPr>
      </w:pPr>
      <w:bookmarkStart w:id="959" w:name="_Ref53585491"/>
      <w:r w:rsidRPr="000E5786">
        <w:rPr>
          <w:rFonts w:cs="Arial"/>
          <w:szCs w:val="20"/>
        </w:rPr>
        <w:t xml:space="preserve">If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does not approve the draft Step-Out Plan,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inform the Supplier of its reasons for not approving it.</w:t>
      </w:r>
      <w:r w:rsidR="000578A4" w:rsidRPr="000E5786">
        <w:rPr>
          <w:rFonts w:cs="Arial"/>
          <w:szCs w:val="20"/>
        </w:rPr>
        <w:t xml:space="preserve"> </w:t>
      </w:r>
      <w:r w:rsidRPr="000E5786">
        <w:rPr>
          <w:rFonts w:cs="Arial"/>
          <w:szCs w:val="20"/>
        </w:rPr>
        <w:t>The Supplier shall then revise the draft Step</w:t>
      </w:r>
      <w:r w:rsidR="00AF28CF">
        <w:rPr>
          <w:rFonts w:cs="Arial"/>
          <w:szCs w:val="20"/>
        </w:rPr>
        <w:t>-</w:t>
      </w:r>
      <w:r w:rsidRPr="000E5786">
        <w:rPr>
          <w:rFonts w:cs="Arial"/>
          <w:szCs w:val="20"/>
        </w:rPr>
        <w:t xml:space="preserve">Out Plan taking those reasons into account and shall re-submit the revised plan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for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’s approval.</w:t>
      </w:r>
      <w:r w:rsidR="000578A4" w:rsidRPr="000E5786">
        <w:rPr>
          <w:rFonts w:cs="Arial"/>
          <w:szCs w:val="20"/>
        </w:rPr>
        <w:t xml:space="preserv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not withhold or delay its approval of the draft Step-Out Plan unnecessarily.</w:t>
      </w:r>
      <w:bookmarkEnd w:id="959"/>
    </w:p>
    <w:p w14:paraId="63D662A6" w14:textId="547DC8FE" w:rsidR="0048699F" w:rsidRPr="000E5786" w:rsidRDefault="0048699F" w:rsidP="00DD60F0">
      <w:pPr>
        <w:pStyle w:val="Heading2"/>
        <w:spacing w:after="120"/>
        <w:rPr>
          <w:rFonts w:cs="Arial"/>
          <w:szCs w:val="20"/>
        </w:rPr>
      </w:pPr>
      <w:bookmarkStart w:id="960" w:name="_Ref53585492"/>
      <w:r w:rsidRPr="000E5786">
        <w:rPr>
          <w:rFonts w:cs="Arial"/>
          <w:szCs w:val="20"/>
        </w:rPr>
        <w:t xml:space="preserve">The Supplier shall bear its own costs in connection with any step-in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under this clause </w:t>
      </w:r>
      <w:r w:rsidR="005207B7" w:rsidRPr="000E5786">
        <w:rPr>
          <w:rFonts w:cs="Arial"/>
          <w:szCs w:val="20"/>
        </w:rPr>
        <w:fldChar w:fldCharType="begin"/>
      </w:r>
      <w:r w:rsidR="005207B7" w:rsidRPr="000E5786">
        <w:rPr>
          <w:rFonts w:cs="Arial"/>
          <w:szCs w:val="20"/>
        </w:rPr>
        <w:instrText xml:space="preserve">  REF _Ref53585731 \w \h \* MERGEFORMAT </w:instrText>
      </w:r>
      <w:r w:rsidR="005207B7" w:rsidRPr="000E5786">
        <w:rPr>
          <w:rFonts w:cs="Arial"/>
          <w:szCs w:val="20"/>
        </w:rPr>
      </w:r>
      <w:r w:rsidR="005207B7" w:rsidRPr="000E5786">
        <w:rPr>
          <w:rFonts w:cs="Arial"/>
          <w:szCs w:val="20"/>
        </w:rPr>
        <w:fldChar w:fldCharType="separate"/>
      </w:r>
      <w:r w:rsidR="002523A8" w:rsidRPr="000E5786">
        <w:rPr>
          <w:rFonts w:cs="Arial"/>
          <w:szCs w:val="20"/>
        </w:rPr>
        <w:t>33</w:t>
      </w:r>
      <w:r w:rsidR="005207B7" w:rsidRPr="000E5786">
        <w:rPr>
          <w:rFonts w:cs="Arial"/>
          <w:szCs w:val="20"/>
        </w:rPr>
        <w:fldChar w:fldCharType="end"/>
      </w:r>
      <w:r w:rsidRPr="000E5786">
        <w:rPr>
          <w:rFonts w:cs="Arial"/>
          <w:szCs w:val="20"/>
        </w:rPr>
        <w:t xml:space="preserve">, provided that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reimburse the Supplier’s reasonable additional expenses incurred directly </w:t>
      </w:r>
      <w:proofErr w:type="gramStart"/>
      <w:r w:rsidRPr="000E5786">
        <w:rPr>
          <w:rFonts w:cs="Arial"/>
          <w:szCs w:val="20"/>
        </w:rPr>
        <w:t>as a result of</w:t>
      </w:r>
      <w:proofErr w:type="gramEnd"/>
      <w:r w:rsidRPr="000E5786">
        <w:rPr>
          <w:rFonts w:cs="Arial"/>
          <w:szCs w:val="20"/>
        </w:rPr>
        <w:t xml:space="preserve"> any step-in action taken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under:</w:t>
      </w:r>
      <w:bookmarkEnd w:id="960"/>
    </w:p>
    <w:p w14:paraId="3293550B" w14:textId="30CA226C" w:rsidR="0048699F" w:rsidRPr="000E5786" w:rsidRDefault="0048699F" w:rsidP="00346A37">
      <w:pPr>
        <w:pStyle w:val="Heading3"/>
      </w:pPr>
      <w:bookmarkStart w:id="961" w:name="_Ref53585493"/>
      <w:r w:rsidRPr="000E5786">
        <w:t xml:space="preserve">limbs </w:t>
      </w:r>
      <w:bookmarkStart w:id="962" w:name="DocXTextRef391"/>
      <w:r w:rsidR="000D476B">
        <w:t xml:space="preserve">(c) </w:t>
      </w:r>
      <w:bookmarkEnd w:id="962"/>
      <w:r w:rsidRPr="000E5786">
        <w:t xml:space="preserve">or </w:t>
      </w:r>
      <w:bookmarkStart w:id="963" w:name="DocXTextRef392"/>
      <w:r w:rsidRPr="000E5786">
        <w:t>(d)</w:t>
      </w:r>
      <w:bookmarkEnd w:id="963"/>
      <w:r w:rsidRPr="000E5786">
        <w:t xml:space="preserve"> of the definition of a Step-In Trigger Event; or</w:t>
      </w:r>
      <w:bookmarkEnd w:id="961"/>
    </w:p>
    <w:p w14:paraId="59325F8F" w14:textId="750148C7" w:rsidR="0048699F" w:rsidRPr="000E5786" w:rsidRDefault="0048699F" w:rsidP="00346A37">
      <w:pPr>
        <w:pStyle w:val="Heading3"/>
      </w:pPr>
      <w:bookmarkStart w:id="964" w:name="_Ref53585494"/>
      <w:r w:rsidRPr="000E5786">
        <w:t>lim</w:t>
      </w:r>
      <w:bookmarkStart w:id="965" w:name="DocXTextRef393"/>
      <w:r w:rsidR="000D476B">
        <w:t xml:space="preserve">bs </w:t>
      </w:r>
      <w:r w:rsidRPr="000E5786">
        <w:t>(e)</w:t>
      </w:r>
      <w:bookmarkEnd w:id="965"/>
      <w:r w:rsidRPr="000E5786">
        <w:t xml:space="preserve">, </w:t>
      </w:r>
      <w:bookmarkStart w:id="966" w:name="DocXTextRef394"/>
      <w:r w:rsidRPr="000E5786">
        <w:t>(f)</w:t>
      </w:r>
      <w:bookmarkEnd w:id="966"/>
      <w:r w:rsidRPr="000E5786">
        <w:t xml:space="preserve"> and </w:t>
      </w:r>
      <w:bookmarkStart w:id="967" w:name="DocXTextRef395"/>
      <w:r w:rsidRPr="000E5786">
        <w:t>(g)</w:t>
      </w:r>
      <w:bookmarkEnd w:id="967"/>
      <w:r w:rsidRPr="000E5786">
        <w:t xml:space="preserve"> of the definition of a Step-In Trigger Event (insofar as the primary cause of </w:t>
      </w:r>
      <w:proofErr w:type="spellStart"/>
      <w:r w:rsidR="001F1C19">
        <w:t>Netlink</w:t>
      </w:r>
      <w:proofErr w:type="spellEnd"/>
      <w:r w:rsidR="001F1C19">
        <w:t xml:space="preserve"> Star</w:t>
      </w:r>
      <w:r w:rsidRPr="000E5786">
        <w:t xml:space="preserve"> serving the Step-In Notice is identified as not being the result of the Supplier’s Default).</w:t>
      </w:r>
      <w:bookmarkEnd w:id="964"/>
    </w:p>
    <w:p w14:paraId="7C88E59C" w14:textId="53C62C61" w:rsidR="0048699F" w:rsidRPr="000E5786" w:rsidRDefault="001F1C19" w:rsidP="00DD60F0">
      <w:pPr>
        <w:pStyle w:val="Heading1"/>
        <w:spacing w:after="120"/>
        <w:rPr>
          <w:rFonts w:cs="Arial"/>
          <w:szCs w:val="20"/>
        </w:rPr>
      </w:pPr>
      <w:bookmarkStart w:id="968" w:name="_Ref53585495"/>
      <w:bookmarkStart w:id="969" w:name="_Ref53585732"/>
      <w:bookmarkStart w:id="970" w:name="_Toc71198958"/>
      <w:r>
        <w:rPr>
          <w:rFonts w:cs="Arial"/>
          <w:szCs w:val="20"/>
        </w:rPr>
        <w:t>NETLINK STAR</w:t>
      </w:r>
      <w:r w:rsidR="0048699F" w:rsidRPr="000E5786">
        <w:rPr>
          <w:rFonts w:cs="Arial"/>
          <w:szCs w:val="20"/>
        </w:rPr>
        <w:t xml:space="preserve"> CAUSE</w:t>
      </w:r>
      <w:bookmarkEnd w:id="968"/>
      <w:bookmarkEnd w:id="969"/>
      <w:bookmarkEnd w:id="970"/>
    </w:p>
    <w:p w14:paraId="2ADD8AC2" w14:textId="1162B7DB" w:rsidR="0048699F" w:rsidRPr="000E5786" w:rsidRDefault="0048699F" w:rsidP="00DD60F0">
      <w:pPr>
        <w:pStyle w:val="Heading2"/>
        <w:spacing w:after="120"/>
        <w:rPr>
          <w:rFonts w:cs="Arial"/>
          <w:szCs w:val="20"/>
        </w:rPr>
      </w:pPr>
      <w:bookmarkStart w:id="971" w:name="_Ref53585496"/>
      <w:r w:rsidRPr="000E5786">
        <w:rPr>
          <w:rFonts w:cs="Arial"/>
          <w:szCs w:val="20"/>
        </w:rPr>
        <w:t>Notwithstanding any other provision of this Agreement, if the Supplier has failed to:</w:t>
      </w:r>
      <w:bookmarkEnd w:id="971"/>
    </w:p>
    <w:p w14:paraId="1020FC56" w14:textId="13BCB879" w:rsidR="0048699F" w:rsidRPr="000E5786" w:rsidRDefault="0048699F" w:rsidP="00346A37">
      <w:pPr>
        <w:pStyle w:val="Heading3"/>
      </w:pPr>
      <w:bookmarkStart w:id="972" w:name="_Ref53585497"/>
      <w:r w:rsidRPr="000E5786">
        <w:t xml:space="preserve">Achieve a Milestone by its Milestone </w:t>
      </w:r>
      <w:proofErr w:type="gramStart"/>
      <w:r w:rsidRPr="000E5786">
        <w:t>Date;</w:t>
      </w:r>
      <w:bookmarkEnd w:id="972"/>
      <w:proofErr w:type="gramEnd"/>
    </w:p>
    <w:p w14:paraId="5C7D2A22" w14:textId="69175EB5" w:rsidR="0048699F" w:rsidRPr="000E5786" w:rsidRDefault="0048699F" w:rsidP="00346A37">
      <w:pPr>
        <w:pStyle w:val="Heading3"/>
      </w:pPr>
      <w:bookmarkStart w:id="973" w:name="_Ref53585498"/>
      <w:r w:rsidRPr="000E5786">
        <w:t>provide the Operational Services in accordance with the Target Performance Levels; and/or</w:t>
      </w:r>
      <w:bookmarkEnd w:id="973"/>
    </w:p>
    <w:p w14:paraId="48C651B6" w14:textId="2277126B" w:rsidR="0048699F" w:rsidRPr="000E5786" w:rsidRDefault="0048699F" w:rsidP="00346A37">
      <w:pPr>
        <w:pStyle w:val="Heading3"/>
      </w:pPr>
      <w:bookmarkStart w:id="974" w:name="_Ref53585499"/>
      <w:r w:rsidRPr="000E5786">
        <w:t>comply with its obligations under this Agreement,</w:t>
      </w:r>
      <w:bookmarkEnd w:id="974"/>
    </w:p>
    <w:p w14:paraId="6BE9AD44" w14:textId="7F5FA201" w:rsidR="0048699F" w:rsidRPr="000E5786" w:rsidRDefault="0048699F" w:rsidP="00834C1A">
      <w:pPr>
        <w:pStyle w:val="BodyText3"/>
        <w:spacing w:after="120"/>
        <w:ind w:firstLine="0"/>
        <w:rPr>
          <w:rFonts w:cs="Arial"/>
          <w:bCs/>
          <w:iCs/>
          <w:szCs w:val="20"/>
        </w:rPr>
      </w:pPr>
      <w:r w:rsidRPr="000E5786">
        <w:rPr>
          <w:rFonts w:cs="Arial"/>
          <w:iCs/>
          <w:szCs w:val="20"/>
        </w:rPr>
        <w:t>(</w:t>
      </w:r>
      <w:proofErr w:type="gramStart"/>
      <w:r w:rsidRPr="000E5786">
        <w:rPr>
          <w:rFonts w:cs="Arial"/>
          <w:iCs/>
          <w:szCs w:val="20"/>
        </w:rPr>
        <w:t>each</w:t>
      </w:r>
      <w:proofErr w:type="gramEnd"/>
      <w:r w:rsidRPr="000E5786">
        <w:rPr>
          <w:rFonts w:cs="Arial"/>
          <w:iCs/>
          <w:szCs w:val="20"/>
        </w:rPr>
        <w:t xml:space="preserve"> a “</w:t>
      </w:r>
      <w:r w:rsidRPr="000E5786">
        <w:rPr>
          <w:rFonts w:cs="Arial"/>
          <w:b/>
          <w:bCs/>
          <w:iCs/>
          <w:szCs w:val="20"/>
        </w:rPr>
        <w:t>Supplier Non-Performance</w:t>
      </w:r>
      <w:r w:rsidRPr="000E5786">
        <w:rPr>
          <w:rFonts w:cs="Arial"/>
          <w:iCs/>
          <w:szCs w:val="20"/>
        </w:rPr>
        <w:t>”),</w:t>
      </w:r>
      <w:r w:rsidR="005248A1" w:rsidRPr="000E5786">
        <w:rPr>
          <w:rFonts w:cs="Arial"/>
          <w:bCs/>
          <w:iCs/>
          <w:szCs w:val="20"/>
        </w:rPr>
        <w:t xml:space="preserve"> </w:t>
      </w:r>
      <w:r w:rsidRPr="000E5786">
        <w:rPr>
          <w:rFonts w:cs="Arial"/>
          <w:szCs w:val="20"/>
        </w:rPr>
        <w:t xml:space="preserve">and can demonstrate that the Supplier Non-Performance would not have occurred but for a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Cause, then (subject to the Supplier fulfilling its obligations in this clause </w:t>
      </w:r>
      <w:r w:rsidR="00B92CF3" w:rsidRPr="000E5786">
        <w:rPr>
          <w:rFonts w:cs="Arial"/>
          <w:szCs w:val="20"/>
        </w:rPr>
        <w:fldChar w:fldCharType="begin"/>
      </w:r>
      <w:r w:rsidR="00B92CF3" w:rsidRPr="000E5786">
        <w:rPr>
          <w:rFonts w:cs="Arial"/>
          <w:szCs w:val="20"/>
        </w:rPr>
        <w:instrText xml:space="preserve">  REF _Ref53585732 \w \h \* MERGEFORMAT </w:instrText>
      </w:r>
      <w:r w:rsidR="00B92CF3" w:rsidRPr="000E5786">
        <w:rPr>
          <w:rFonts w:cs="Arial"/>
          <w:szCs w:val="20"/>
        </w:rPr>
      </w:r>
      <w:r w:rsidR="00B92CF3" w:rsidRPr="000E5786">
        <w:rPr>
          <w:rFonts w:cs="Arial"/>
          <w:szCs w:val="20"/>
        </w:rPr>
        <w:fldChar w:fldCharType="separate"/>
      </w:r>
      <w:r w:rsidR="002523A8" w:rsidRPr="000E5786">
        <w:rPr>
          <w:rFonts w:cs="Arial"/>
          <w:szCs w:val="20"/>
        </w:rPr>
        <w:t>34</w:t>
      </w:r>
      <w:r w:rsidR="00B92CF3" w:rsidRPr="000E5786">
        <w:rPr>
          <w:rFonts w:cs="Arial"/>
          <w:szCs w:val="20"/>
        </w:rPr>
        <w:fldChar w:fldCharType="end"/>
      </w:r>
      <w:r w:rsidRPr="000E5786">
        <w:rPr>
          <w:rFonts w:cs="Arial"/>
          <w:szCs w:val="20"/>
        </w:rPr>
        <w:t>):</w:t>
      </w:r>
    </w:p>
    <w:p w14:paraId="7EA8F885" w14:textId="12D6ECA3" w:rsidR="0048699F" w:rsidRPr="000E5786" w:rsidRDefault="0048699F" w:rsidP="00834C1A">
      <w:pPr>
        <w:pStyle w:val="Heading4"/>
        <w:tabs>
          <w:tab w:val="clear" w:pos="1702"/>
        </w:tabs>
        <w:spacing w:after="120"/>
        <w:ind w:left="2410"/>
        <w:rPr>
          <w:rFonts w:cs="Arial"/>
          <w:szCs w:val="20"/>
        </w:rPr>
      </w:pPr>
      <w:bookmarkStart w:id="975" w:name="_Ref53585500"/>
      <w:r w:rsidRPr="000E5786">
        <w:rPr>
          <w:rFonts w:cs="Arial"/>
          <w:szCs w:val="20"/>
        </w:rPr>
        <w:t xml:space="preserve">the Supplier shall not be treated as being in breach of this Agreement to the extent the Supplier can demonstrate that the Supplier Non-Performance was caused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t>
      </w:r>
      <w:proofErr w:type="gramStart"/>
      <w:r w:rsidRPr="000E5786">
        <w:rPr>
          <w:rFonts w:cs="Arial"/>
          <w:szCs w:val="20"/>
        </w:rPr>
        <w:t>Cause;</w:t>
      </w:r>
      <w:bookmarkEnd w:id="975"/>
      <w:proofErr w:type="gramEnd"/>
    </w:p>
    <w:p w14:paraId="3352F908" w14:textId="32BF49A6" w:rsidR="0048699F" w:rsidRPr="000E5786" w:rsidRDefault="001F1C19" w:rsidP="00834C1A">
      <w:pPr>
        <w:pStyle w:val="Heading4"/>
        <w:tabs>
          <w:tab w:val="clear" w:pos="1702"/>
        </w:tabs>
        <w:spacing w:after="120"/>
        <w:ind w:left="2410"/>
        <w:rPr>
          <w:rFonts w:cs="Arial"/>
          <w:szCs w:val="20"/>
        </w:rPr>
      </w:pPr>
      <w:bookmarkStart w:id="976" w:name="_Ref53585501"/>
      <w:proofErr w:type="spellStart"/>
      <w:r>
        <w:rPr>
          <w:rFonts w:cs="Arial"/>
          <w:szCs w:val="20"/>
        </w:rPr>
        <w:t>Netlink</w:t>
      </w:r>
      <w:proofErr w:type="spellEnd"/>
      <w:r>
        <w:rPr>
          <w:rFonts w:cs="Arial"/>
          <w:szCs w:val="20"/>
        </w:rPr>
        <w:t xml:space="preserve"> Star</w:t>
      </w:r>
      <w:r w:rsidR="0048699F" w:rsidRPr="000E5786">
        <w:rPr>
          <w:rFonts w:cs="Arial"/>
          <w:szCs w:val="20"/>
        </w:rPr>
        <w:t xml:space="preserve"> shall not be entitled to exercise any rights that may arise </w:t>
      </w:r>
      <w:proofErr w:type="gramStart"/>
      <w:r w:rsidR="0048699F" w:rsidRPr="000E5786">
        <w:rPr>
          <w:rFonts w:cs="Arial"/>
          <w:szCs w:val="20"/>
        </w:rPr>
        <w:t>as a result of</w:t>
      </w:r>
      <w:proofErr w:type="gramEnd"/>
      <w:r w:rsidR="0048699F" w:rsidRPr="000E5786">
        <w:rPr>
          <w:rFonts w:cs="Arial"/>
          <w:szCs w:val="20"/>
        </w:rPr>
        <w:t xml:space="preserve"> that Supplier Non-Performance:</w:t>
      </w:r>
      <w:bookmarkEnd w:id="976"/>
    </w:p>
    <w:p w14:paraId="5A9047DA" w14:textId="110869DC" w:rsidR="0048699F" w:rsidRPr="000E5786" w:rsidRDefault="0048699F" w:rsidP="00DD60F0">
      <w:pPr>
        <w:pStyle w:val="Heading5"/>
        <w:spacing w:after="120"/>
        <w:rPr>
          <w:rFonts w:cs="Arial"/>
          <w:szCs w:val="20"/>
        </w:rPr>
      </w:pPr>
      <w:bookmarkStart w:id="977" w:name="_Ref53585502"/>
      <w:r w:rsidRPr="000E5786">
        <w:rPr>
          <w:rFonts w:cs="Arial"/>
          <w:szCs w:val="20"/>
        </w:rPr>
        <w:t xml:space="preserve">to terminate this Agreement pursuant to clause </w:t>
      </w:r>
      <w:r w:rsidR="00B92CF3" w:rsidRPr="000E5786">
        <w:rPr>
          <w:rFonts w:cs="Arial"/>
          <w:szCs w:val="20"/>
        </w:rPr>
        <w:fldChar w:fldCharType="begin"/>
      </w:r>
      <w:r w:rsidR="00B92CF3" w:rsidRPr="000E5786">
        <w:rPr>
          <w:rFonts w:cs="Arial"/>
          <w:szCs w:val="20"/>
        </w:rPr>
        <w:instrText xml:space="preserve">  REF _Ref53585547 \w \h \* MERGEFORMAT </w:instrText>
      </w:r>
      <w:r w:rsidR="00B92CF3" w:rsidRPr="000E5786">
        <w:rPr>
          <w:rFonts w:cs="Arial"/>
          <w:szCs w:val="20"/>
        </w:rPr>
      </w:r>
      <w:r w:rsidR="00B92CF3" w:rsidRPr="000E5786">
        <w:rPr>
          <w:rFonts w:cs="Arial"/>
          <w:szCs w:val="20"/>
        </w:rPr>
        <w:fldChar w:fldCharType="separate"/>
      </w:r>
      <w:r w:rsidR="002523A8" w:rsidRPr="000E5786">
        <w:rPr>
          <w:rFonts w:cs="Arial"/>
          <w:szCs w:val="20"/>
        </w:rPr>
        <w:t>36.1.1</w:t>
      </w:r>
      <w:r w:rsidR="00B92CF3" w:rsidRPr="000E5786">
        <w:rPr>
          <w:rFonts w:cs="Arial"/>
          <w:szCs w:val="20"/>
        </w:rPr>
        <w:fldChar w:fldCharType="end"/>
      </w:r>
      <w:r w:rsidR="005248A1" w:rsidRPr="000E5786">
        <w:rPr>
          <w:rFonts w:cs="Arial"/>
          <w:szCs w:val="20"/>
        </w:rPr>
        <w:t xml:space="preserve"> </w:t>
      </w:r>
      <w:r w:rsidRPr="000E5786">
        <w:rPr>
          <w:rFonts w:cs="Arial"/>
          <w:szCs w:val="20"/>
        </w:rPr>
        <w:t xml:space="preserve">(Termination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or</w:t>
      </w:r>
      <w:bookmarkEnd w:id="977"/>
    </w:p>
    <w:p w14:paraId="6C214997" w14:textId="07CAEC42" w:rsidR="0048699F" w:rsidRPr="000E5786" w:rsidRDefault="0048699F" w:rsidP="00DD60F0">
      <w:pPr>
        <w:pStyle w:val="Heading5"/>
        <w:spacing w:after="120"/>
        <w:rPr>
          <w:rFonts w:cs="Arial"/>
          <w:szCs w:val="20"/>
        </w:rPr>
      </w:pPr>
      <w:bookmarkStart w:id="978" w:name="_Ref53585503"/>
      <w:r w:rsidRPr="000E5786">
        <w:rPr>
          <w:rFonts w:cs="Arial"/>
          <w:szCs w:val="20"/>
        </w:rPr>
        <w:t xml:space="preserve">to take action pursuant clauses </w:t>
      </w:r>
      <w:r w:rsidR="00B92CF3" w:rsidRPr="000E5786">
        <w:rPr>
          <w:rFonts w:cs="Arial"/>
          <w:szCs w:val="20"/>
        </w:rPr>
        <w:fldChar w:fldCharType="begin"/>
      </w:r>
      <w:r w:rsidR="00B92CF3" w:rsidRPr="000E5786">
        <w:rPr>
          <w:rFonts w:cs="Arial"/>
          <w:szCs w:val="20"/>
        </w:rPr>
        <w:instrText xml:space="preserve">  REF _Ref53585730 \w \h \* MERGEFORMAT </w:instrText>
      </w:r>
      <w:r w:rsidR="00B92CF3" w:rsidRPr="000E5786">
        <w:rPr>
          <w:rFonts w:cs="Arial"/>
          <w:szCs w:val="20"/>
        </w:rPr>
      </w:r>
      <w:r w:rsidR="00B92CF3" w:rsidRPr="000E5786">
        <w:rPr>
          <w:rFonts w:cs="Arial"/>
          <w:szCs w:val="20"/>
        </w:rPr>
        <w:fldChar w:fldCharType="separate"/>
      </w:r>
      <w:r w:rsidR="002523A8" w:rsidRPr="000E5786">
        <w:rPr>
          <w:rFonts w:cs="Arial"/>
          <w:szCs w:val="20"/>
        </w:rPr>
        <w:t>32</w:t>
      </w:r>
      <w:r w:rsidR="00B92CF3" w:rsidRPr="000E5786">
        <w:rPr>
          <w:rFonts w:cs="Arial"/>
          <w:szCs w:val="20"/>
        </w:rPr>
        <w:fldChar w:fldCharType="end"/>
      </w:r>
      <w:r w:rsidRPr="000E5786">
        <w:rPr>
          <w:rFonts w:cs="Arial"/>
          <w:szCs w:val="20"/>
        </w:rPr>
        <w:t xml:space="preserve"> (Remedial Adviser) or </w:t>
      </w:r>
      <w:r w:rsidR="00B92CF3" w:rsidRPr="000E5786">
        <w:rPr>
          <w:rFonts w:cs="Arial"/>
          <w:szCs w:val="20"/>
        </w:rPr>
        <w:fldChar w:fldCharType="begin"/>
      </w:r>
      <w:r w:rsidR="00B92CF3" w:rsidRPr="000E5786">
        <w:rPr>
          <w:rFonts w:cs="Arial"/>
          <w:szCs w:val="20"/>
        </w:rPr>
        <w:instrText xml:space="preserve">  REF _Ref53585731 \w \h \* MERGEFORMAT </w:instrText>
      </w:r>
      <w:r w:rsidR="00B92CF3" w:rsidRPr="000E5786">
        <w:rPr>
          <w:rFonts w:cs="Arial"/>
          <w:szCs w:val="20"/>
        </w:rPr>
      </w:r>
      <w:r w:rsidR="00B92CF3" w:rsidRPr="000E5786">
        <w:rPr>
          <w:rFonts w:cs="Arial"/>
          <w:szCs w:val="20"/>
        </w:rPr>
        <w:fldChar w:fldCharType="separate"/>
      </w:r>
      <w:r w:rsidR="002523A8" w:rsidRPr="000E5786">
        <w:rPr>
          <w:rFonts w:cs="Arial"/>
          <w:szCs w:val="20"/>
        </w:rPr>
        <w:t>33</w:t>
      </w:r>
      <w:r w:rsidR="00B92CF3" w:rsidRPr="000E5786">
        <w:rPr>
          <w:rFonts w:cs="Arial"/>
          <w:szCs w:val="20"/>
        </w:rPr>
        <w:fldChar w:fldCharType="end"/>
      </w:r>
      <w:r w:rsidRPr="000E5786">
        <w:rPr>
          <w:rFonts w:cs="Arial"/>
          <w:szCs w:val="20"/>
        </w:rPr>
        <w:t xml:space="preserve"> (Step</w:t>
      </w:r>
      <w:r w:rsidR="00275E2E">
        <w:rPr>
          <w:rFonts w:cs="Arial"/>
          <w:szCs w:val="20"/>
        </w:rPr>
        <w:t>-</w:t>
      </w:r>
      <w:r w:rsidRPr="000E5786">
        <w:rPr>
          <w:rFonts w:cs="Arial"/>
          <w:szCs w:val="20"/>
        </w:rPr>
        <w:t>In</w:t>
      </w:r>
      <w:proofErr w:type="gramStart"/>
      <w:r w:rsidRPr="000E5786">
        <w:rPr>
          <w:rFonts w:cs="Arial"/>
          <w:szCs w:val="20"/>
        </w:rPr>
        <w:t>);</w:t>
      </w:r>
      <w:bookmarkEnd w:id="978"/>
      <w:proofErr w:type="gramEnd"/>
    </w:p>
    <w:p w14:paraId="54110610" w14:textId="5A039571" w:rsidR="0048699F" w:rsidRPr="000E5786" w:rsidRDefault="0048699F" w:rsidP="00834C1A">
      <w:pPr>
        <w:pStyle w:val="Heading4"/>
        <w:tabs>
          <w:tab w:val="clear" w:pos="1702"/>
        </w:tabs>
        <w:spacing w:after="120"/>
        <w:ind w:left="2410"/>
        <w:rPr>
          <w:rFonts w:cs="Arial"/>
          <w:szCs w:val="20"/>
        </w:rPr>
      </w:pPr>
      <w:bookmarkStart w:id="979" w:name="_Ref53585504"/>
      <w:r w:rsidRPr="000E5786">
        <w:rPr>
          <w:rFonts w:cs="Arial"/>
          <w:szCs w:val="20"/>
        </w:rPr>
        <w:t>where the Supplier Non-Performance constitutes the failure to Achieve a Milestone by its Milestone Date:</w:t>
      </w:r>
      <w:bookmarkEnd w:id="979"/>
    </w:p>
    <w:p w14:paraId="2C227658" w14:textId="3EA897F8" w:rsidR="0048699F" w:rsidRPr="000E5786" w:rsidRDefault="0048699F" w:rsidP="00DD60F0">
      <w:pPr>
        <w:pStyle w:val="Heading5"/>
        <w:spacing w:after="120"/>
        <w:rPr>
          <w:rFonts w:cs="Arial"/>
          <w:szCs w:val="20"/>
        </w:rPr>
      </w:pPr>
      <w:bookmarkStart w:id="980" w:name="_Ref53585505"/>
      <w:r w:rsidRPr="000E5786">
        <w:rPr>
          <w:rFonts w:cs="Arial"/>
          <w:szCs w:val="20"/>
        </w:rPr>
        <w:lastRenderedPageBreak/>
        <w:t xml:space="preserve">the Milestone Date shall be postponed by a period equal to the period of Delay that the Supplier can demonstrate was caused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t>
      </w:r>
      <w:proofErr w:type="gramStart"/>
      <w:r w:rsidRPr="000E5786">
        <w:rPr>
          <w:rFonts w:cs="Arial"/>
          <w:szCs w:val="20"/>
        </w:rPr>
        <w:t>Cause;</w:t>
      </w:r>
      <w:bookmarkEnd w:id="980"/>
      <w:proofErr w:type="gramEnd"/>
    </w:p>
    <w:p w14:paraId="4122E257" w14:textId="397A1929" w:rsidR="0048699F" w:rsidRPr="000E5786" w:rsidRDefault="0048699F" w:rsidP="00DD60F0">
      <w:pPr>
        <w:pStyle w:val="Heading5"/>
        <w:spacing w:after="120"/>
        <w:rPr>
          <w:rFonts w:cs="Arial"/>
          <w:szCs w:val="20"/>
        </w:rPr>
      </w:pPr>
      <w:bookmarkStart w:id="981" w:name="_Ref53585506"/>
      <w:r w:rsidRPr="000E5786">
        <w:rPr>
          <w:rFonts w:cs="Arial"/>
          <w:szCs w:val="20"/>
        </w:rPr>
        <w:t xml:space="preserve">if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acting reasonably, considers it appropriate, the Implementation Plan shall be amended to reflect any consequential revisions required to subsequent Milestone Dates resulting from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t>
      </w:r>
      <w:proofErr w:type="gramStart"/>
      <w:r w:rsidRPr="000E5786">
        <w:rPr>
          <w:rFonts w:cs="Arial"/>
          <w:szCs w:val="20"/>
        </w:rPr>
        <w:t>Cause;</w:t>
      </w:r>
      <w:bookmarkEnd w:id="981"/>
      <w:proofErr w:type="gramEnd"/>
    </w:p>
    <w:p w14:paraId="7251EB4F" w14:textId="5300A98E" w:rsidR="0048699F" w:rsidRPr="000E5786" w:rsidRDefault="0048699F" w:rsidP="00DD60F0">
      <w:pPr>
        <w:pStyle w:val="Heading5"/>
        <w:spacing w:after="120"/>
        <w:rPr>
          <w:rFonts w:cs="Arial"/>
          <w:szCs w:val="20"/>
        </w:rPr>
      </w:pPr>
      <w:bookmarkStart w:id="982" w:name="_Ref53585507"/>
      <w:r w:rsidRPr="000E5786">
        <w:rPr>
          <w:rFonts w:cs="Arial"/>
          <w:szCs w:val="20"/>
        </w:rPr>
        <w:t xml:space="preserve">if the Milestone is a Key Milestone, the Supplier shall have no liability to pay any Delay Payments associated with the Key Milestone to the extent that the Supplier can demonstrate that such failure was caused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Cause; and</w:t>
      </w:r>
      <w:bookmarkEnd w:id="982"/>
    </w:p>
    <w:p w14:paraId="33CF9BD8" w14:textId="4DC511A4" w:rsidR="0048699F" w:rsidRPr="000E5786" w:rsidRDefault="0048699F" w:rsidP="00DD60F0">
      <w:pPr>
        <w:pStyle w:val="Heading5"/>
        <w:spacing w:after="120"/>
        <w:rPr>
          <w:rFonts w:cs="Arial"/>
          <w:szCs w:val="20"/>
        </w:rPr>
      </w:pPr>
      <w:bookmarkStart w:id="983" w:name="_Ref53585508"/>
      <w:r w:rsidRPr="000E5786">
        <w:rPr>
          <w:rFonts w:cs="Arial"/>
          <w:szCs w:val="20"/>
        </w:rPr>
        <w:t>the Supplier shall be entitled to claim compensation subject to and</w:t>
      </w:r>
      <w:r w:rsidR="00D91791" w:rsidRPr="000E5786">
        <w:rPr>
          <w:rFonts w:cs="Arial"/>
          <w:szCs w:val="20"/>
        </w:rPr>
        <w:t xml:space="preserve"> </w:t>
      </w:r>
      <w:r w:rsidRPr="000E5786">
        <w:rPr>
          <w:rFonts w:cs="Arial"/>
          <w:szCs w:val="20"/>
        </w:rPr>
        <w:t xml:space="preserve">in accordance with the principles set out in Paragraph </w:t>
      </w:r>
      <w:bookmarkStart w:id="984" w:name="DocXTextRef401"/>
      <w:r w:rsidRPr="000E5786">
        <w:rPr>
          <w:rFonts w:cs="Arial"/>
          <w:szCs w:val="20"/>
        </w:rPr>
        <w:t>2</w:t>
      </w:r>
      <w:bookmarkEnd w:id="984"/>
      <w:r w:rsidRPr="000E5786">
        <w:rPr>
          <w:rFonts w:cs="Arial"/>
          <w:szCs w:val="20"/>
        </w:rPr>
        <w:t xml:space="preserve"> of </w:t>
      </w:r>
      <w:bookmarkStart w:id="985" w:name="DocXTextRef402"/>
      <w:r w:rsidRPr="000E5786">
        <w:rPr>
          <w:rFonts w:cs="Arial"/>
          <w:szCs w:val="20"/>
        </w:rPr>
        <w:t>Part C</w:t>
      </w:r>
      <w:bookmarkEnd w:id="985"/>
      <w:r w:rsidRPr="000E5786">
        <w:rPr>
          <w:rFonts w:cs="Arial"/>
          <w:szCs w:val="20"/>
        </w:rPr>
        <w:t xml:space="preserve"> of </w:t>
      </w:r>
      <w:bookmarkStart w:id="986" w:name="DocXTextRef400"/>
      <w:r w:rsidRPr="000E5786">
        <w:rPr>
          <w:rFonts w:cs="Arial"/>
          <w:szCs w:val="20"/>
        </w:rPr>
        <w:t>Schedule 7.1</w:t>
      </w:r>
      <w:bookmarkEnd w:id="986"/>
      <w:r w:rsidRPr="000E5786">
        <w:rPr>
          <w:rFonts w:cs="Arial"/>
          <w:szCs w:val="20"/>
        </w:rPr>
        <w:t xml:space="preserve"> (Charges and Invoicing); and/or</w:t>
      </w:r>
      <w:bookmarkEnd w:id="983"/>
    </w:p>
    <w:p w14:paraId="45717F79" w14:textId="3BCA8D37" w:rsidR="0048699F" w:rsidRPr="000E5786" w:rsidRDefault="0048699F" w:rsidP="00834C1A">
      <w:pPr>
        <w:pStyle w:val="Heading4"/>
        <w:tabs>
          <w:tab w:val="clear" w:pos="1702"/>
        </w:tabs>
        <w:spacing w:after="120"/>
        <w:ind w:left="2410"/>
        <w:rPr>
          <w:rFonts w:cs="Arial"/>
          <w:szCs w:val="20"/>
        </w:rPr>
      </w:pPr>
      <w:bookmarkStart w:id="987" w:name="_Ref53585509"/>
      <w:r w:rsidRPr="000E5786">
        <w:rPr>
          <w:rFonts w:cs="Arial"/>
          <w:szCs w:val="20"/>
        </w:rPr>
        <w:t>where the Supplier Non-Performance constitutes a Performance</w:t>
      </w:r>
      <w:r w:rsidR="00D91791" w:rsidRPr="000E5786">
        <w:rPr>
          <w:rFonts w:cs="Arial"/>
          <w:szCs w:val="20"/>
        </w:rPr>
        <w:t xml:space="preserve"> </w:t>
      </w:r>
      <w:r w:rsidRPr="000E5786">
        <w:rPr>
          <w:rFonts w:cs="Arial"/>
          <w:szCs w:val="20"/>
        </w:rPr>
        <w:t>Failure:</w:t>
      </w:r>
      <w:bookmarkEnd w:id="987"/>
    </w:p>
    <w:p w14:paraId="2E341030" w14:textId="54C22CC2" w:rsidR="0048699F" w:rsidRPr="000E5786" w:rsidRDefault="0048699F" w:rsidP="00DD60F0">
      <w:pPr>
        <w:pStyle w:val="Heading5"/>
        <w:spacing w:after="120"/>
        <w:rPr>
          <w:rFonts w:cs="Arial"/>
          <w:szCs w:val="20"/>
        </w:rPr>
      </w:pPr>
      <w:bookmarkStart w:id="988" w:name="_Ref53585510"/>
      <w:r w:rsidRPr="000E5786">
        <w:rPr>
          <w:rFonts w:cs="Arial"/>
          <w:szCs w:val="20"/>
        </w:rPr>
        <w:t xml:space="preserve">the Supplier shall not be liable to accrue Service </w:t>
      </w:r>
      <w:proofErr w:type="gramStart"/>
      <w:r w:rsidRPr="000E5786">
        <w:rPr>
          <w:rFonts w:cs="Arial"/>
          <w:szCs w:val="20"/>
        </w:rPr>
        <w:t>Credits;</w:t>
      </w:r>
      <w:bookmarkEnd w:id="988"/>
      <w:proofErr w:type="gramEnd"/>
    </w:p>
    <w:p w14:paraId="1E5DC301" w14:textId="1207B098" w:rsidR="0048699F" w:rsidRPr="000E5786" w:rsidRDefault="001F1C19" w:rsidP="00DD60F0">
      <w:pPr>
        <w:pStyle w:val="Heading5"/>
        <w:spacing w:after="120"/>
        <w:rPr>
          <w:rFonts w:cs="Arial"/>
          <w:szCs w:val="20"/>
        </w:rPr>
      </w:pPr>
      <w:bookmarkStart w:id="989" w:name="_Ref53585511"/>
      <w:proofErr w:type="spellStart"/>
      <w:r>
        <w:rPr>
          <w:rFonts w:cs="Arial"/>
          <w:szCs w:val="20"/>
        </w:rPr>
        <w:t>Netlink</w:t>
      </w:r>
      <w:proofErr w:type="spellEnd"/>
      <w:r>
        <w:rPr>
          <w:rFonts w:cs="Arial"/>
          <w:szCs w:val="20"/>
        </w:rPr>
        <w:t xml:space="preserve"> Star</w:t>
      </w:r>
      <w:r w:rsidR="0048699F" w:rsidRPr="000E5786">
        <w:rPr>
          <w:rFonts w:cs="Arial"/>
          <w:szCs w:val="20"/>
        </w:rPr>
        <w:t xml:space="preserve"> shall not be entitled to withhold any of the Service Charges pursuant to clause </w:t>
      </w:r>
      <w:r w:rsidR="00B92CF3" w:rsidRPr="000E5786">
        <w:rPr>
          <w:rFonts w:cs="Arial"/>
          <w:szCs w:val="20"/>
        </w:rPr>
        <w:fldChar w:fldCharType="begin"/>
      </w:r>
      <w:r w:rsidR="00B92CF3" w:rsidRPr="000E5786">
        <w:rPr>
          <w:rFonts w:cs="Arial"/>
          <w:szCs w:val="20"/>
        </w:rPr>
        <w:instrText xml:space="preserve">  REF _Ref53584877 \w \h \* MERGEFORMAT </w:instrText>
      </w:r>
      <w:r w:rsidR="00B92CF3" w:rsidRPr="000E5786">
        <w:rPr>
          <w:rFonts w:cs="Arial"/>
          <w:szCs w:val="20"/>
        </w:rPr>
      </w:r>
      <w:r w:rsidR="00B92CF3" w:rsidRPr="000E5786">
        <w:rPr>
          <w:rFonts w:cs="Arial"/>
          <w:szCs w:val="20"/>
        </w:rPr>
        <w:fldChar w:fldCharType="separate"/>
      </w:r>
      <w:r w:rsidR="002523A8" w:rsidRPr="000E5786">
        <w:rPr>
          <w:rFonts w:cs="Arial"/>
          <w:szCs w:val="20"/>
        </w:rPr>
        <w:t>8.2.3(b)</w:t>
      </w:r>
      <w:r w:rsidR="00B92CF3" w:rsidRPr="000E5786">
        <w:rPr>
          <w:rFonts w:cs="Arial"/>
          <w:szCs w:val="20"/>
        </w:rPr>
        <w:fldChar w:fldCharType="end"/>
      </w:r>
      <w:r w:rsidR="0048699F" w:rsidRPr="000E5786">
        <w:rPr>
          <w:rFonts w:cs="Arial"/>
          <w:szCs w:val="20"/>
        </w:rPr>
        <w:t xml:space="preserve"> (Performance Failures</w:t>
      </w:r>
      <w:proofErr w:type="gramStart"/>
      <w:r w:rsidR="0048699F" w:rsidRPr="000E5786">
        <w:rPr>
          <w:rFonts w:cs="Arial"/>
          <w:szCs w:val="20"/>
        </w:rPr>
        <w:t>);</w:t>
      </w:r>
      <w:bookmarkEnd w:id="989"/>
      <w:proofErr w:type="gramEnd"/>
    </w:p>
    <w:p w14:paraId="0E0EAE5F" w14:textId="784D8324" w:rsidR="0048699F" w:rsidRPr="000E5786" w:rsidRDefault="001F1C19" w:rsidP="00DD60F0">
      <w:pPr>
        <w:pStyle w:val="Heading5"/>
        <w:spacing w:after="120"/>
        <w:rPr>
          <w:rFonts w:cs="Arial"/>
          <w:szCs w:val="20"/>
        </w:rPr>
      </w:pPr>
      <w:bookmarkStart w:id="990" w:name="_Ref53585512"/>
      <w:proofErr w:type="spellStart"/>
      <w:r>
        <w:rPr>
          <w:rFonts w:cs="Arial"/>
          <w:szCs w:val="20"/>
        </w:rPr>
        <w:t>Netlink</w:t>
      </w:r>
      <w:proofErr w:type="spellEnd"/>
      <w:r>
        <w:rPr>
          <w:rFonts w:cs="Arial"/>
          <w:szCs w:val="20"/>
        </w:rPr>
        <w:t xml:space="preserve"> Star</w:t>
      </w:r>
      <w:r w:rsidR="0048699F" w:rsidRPr="000E5786">
        <w:rPr>
          <w:rFonts w:cs="Arial"/>
          <w:szCs w:val="20"/>
        </w:rPr>
        <w:t xml:space="preserve"> shall not be entitled to withhold and retain any Compensation for Unacceptable KPI Failure pursuant to clause </w:t>
      </w:r>
      <w:r w:rsidR="00B92CF3" w:rsidRPr="000E5786">
        <w:rPr>
          <w:rFonts w:cs="Arial"/>
          <w:szCs w:val="20"/>
        </w:rPr>
        <w:fldChar w:fldCharType="begin"/>
      </w:r>
      <w:r w:rsidR="00B92CF3" w:rsidRPr="000E5786">
        <w:rPr>
          <w:rFonts w:cs="Arial"/>
          <w:szCs w:val="20"/>
        </w:rPr>
        <w:instrText xml:space="preserve">  REF _Ref53584889 \w \h \* MERGEFORMAT </w:instrText>
      </w:r>
      <w:r w:rsidR="00B92CF3" w:rsidRPr="000E5786">
        <w:rPr>
          <w:rFonts w:cs="Arial"/>
          <w:szCs w:val="20"/>
        </w:rPr>
      </w:r>
      <w:r w:rsidR="00B92CF3" w:rsidRPr="000E5786">
        <w:rPr>
          <w:rFonts w:cs="Arial"/>
          <w:szCs w:val="20"/>
        </w:rPr>
        <w:fldChar w:fldCharType="separate"/>
      </w:r>
      <w:r w:rsidR="002523A8" w:rsidRPr="000E5786">
        <w:rPr>
          <w:rFonts w:cs="Arial"/>
          <w:szCs w:val="20"/>
        </w:rPr>
        <w:t>8.4.1</w:t>
      </w:r>
      <w:r w:rsidR="00B92CF3" w:rsidRPr="000E5786">
        <w:rPr>
          <w:rFonts w:cs="Arial"/>
          <w:szCs w:val="20"/>
        </w:rPr>
        <w:fldChar w:fldCharType="end"/>
      </w:r>
      <w:r w:rsidR="0048699F" w:rsidRPr="000E5786">
        <w:rPr>
          <w:rFonts w:cs="Arial"/>
          <w:szCs w:val="20"/>
        </w:rPr>
        <w:t xml:space="preserve"> (Unacceptable KPI Failure); and</w:t>
      </w:r>
      <w:bookmarkEnd w:id="990"/>
    </w:p>
    <w:p w14:paraId="64441E0B" w14:textId="5821F253" w:rsidR="0048699F" w:rsidRPr="000E5786" w:rsidRDefault="0048699F" w:rsidP="00DD60F0">
      <w:pPr>
        <w:pStyle w:val="Heading5"/>
        <w:spacing w:after="120"/>
        <w:rPr>
          <w:rFonts w:cs="Arial"/>
          <w:szCs w:val="20"/>
        </w:rPr>
      </w:pPr>
      <w:bookmarkStart w:id="991" w:name="_Ref53585513"/>
      <w:r w:rsidRPr="000E5786">
        <w:rPr>
          <w:rFonts w:cs="Arial"/>
          <w:szCs w:val="20"/>
        </w:rPr>
        <w:t xml:space="preserve">the Supplier shall be entitled to invoice for the Service Charges for the relevant Operational Services affected by the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Cause,</w:t>
      </w:r>
      <w:bookmarkEnd w:id="991"/>
    </w:p>
    <w:p w14:paraId="24417A4B" w14:textId="65CFD22A" w:rsidR="0048699F" w:rsidRPr="000E5786" w:rsidRDefault="0048699F" w:rsidP="00834C1A">
      <w:pPr>
        <w:pStyle w:val="BodyText4"/>
        <w:spacing w:after="120"/>
        <w:ind w:firstLine="0"/>
        <w:rPr>
          <w:rFonts w:cs="Arial"/>
          <w:szCs w:val="20"/>
        </w:rPr>
      </w:pPr>
      <w:r w:rsidRPr="000E5786">
        <w:rPr>
          <w:rFonts w:cs="Arial"/>
          <w:szCs w:val="20"/>
        </w:rPr>
        <w:t xml:space="preserve">in each case, to the extent that the Supplier can demonstrate that the Performance Failure was caused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Cause.</w:t>
      </w:r>
    </w:p>
    <w:p w14:paraId="7EFD511B" w14:textId="56BB6C9A" w:rsidR="0048699F" w:rsidRPr="000E5786" w:rsidRDefault="0048699F" w:rsidP="00DD60F0">
      <w:pPr>
        <w:pStyle w:val="Heading2"/>
        <w:spacing w:after="120"/>
        <w:rPr>
          <w:rFonts w:cs="Arial"/>
          <w:szCs w:val="20"/>
        </w:rPr>
      </w:pPr>
      <w:bookmarkStart w:id="992" w:name="_Ref53585514"/>
      <w:r w:rsidRPr="000E5786">
        <w:rPr>
          <w:rFonts w:cs="Arial"/>
          <w:szCs w:val="20"/>
        </w:rPr>
        <w:t xml:space="preserve">In order to claim any of the rights and/or relief referred to in clause </w:t>
      </w:r>
      <w:r w:rsidR="00B92CF3" w:rsidRPr="000E5786">
        <w:rPr>
          <w:rFonts w:cs="Arial"/>
          <w:szCs w:val="20"/>
        </w:rPr>
        <w:fldChar w:fldCharType="begin"/>
      </w:r>
      <w:r w:rsidR="00B92CF3" w:rsidRPr="000E5786">
        <w:rPr>
          <w:rFonts w:cs="Arial"/>
          <w:szCs w:val="20"/>
        </w:rPr>
        <w:instrText xml:space="preserve">  REF _Ref53585496 \w \h \* MERGEFORMAT </w:instrText>
      </w:r>
      <w:r w:rsidR="00B92CF3" w:rsidRPr="000E5786">
        <w:rPr>
          <w:rFonts w:cs="Arial"/>
          <w:szCs w:val="20"/>
        </w:rPr>
      </w:r>
      <w:r w:rsidR="00B92CF3" w:rsidRPr="000E5786">
        <w:rPr>
          <w:rFonts w:cs="Arial"/>
          <w:szCs w:val="20"/>
        </w:rPr>
        <w:fldChar w:fldCharType="separate"/>
      </w:r>
      <w:r w:rsidR="002523A8" w:rsidRPr="000E5786">
        <w:rPr>
          <w:rFonts w:cs="Arial"/>
          <w:szCs w:val="20"/>
        </w:rPr>
        <w:t>34.1</w:t>
      </w:r>
      <w:r w:rsidR="00B92CF3" w:rsidRPr="000E5786">
        <w:rPr>
          <w:rFonts w:cs="Arial"/>
          <w:szCs w:val="20"/>
        </w:rPr>
        <w:fldChar w:fldCharType="end"/>
      </w:r>
      <w:r w:rsidRPr="000E5786">
        <w:rPr>
          <w:rFonts w:cs="Arial"/>
          <w:szCs w:val="20"/>
        </w:rPr>
        <w:t xml:space="preserve">, the Supplier shall as soon as reasonably practicable (and in any event within ten </w:t>
      </w:r>
      <w:bookmarkStart w:id="993" w:name="DocXTextRef405"/>
      <w:r w:rsidRPr="000E5786">
        <w:rPr>
          <w:rFonts w:cs="Arial"/>
          <w:szCs w:val="20"/>
        </w:rPr>
        <w:t>(10)</w:t>
      </w:r>
      <w:bookmarkEnd w:id="993"/>
      <w:r w:rsidRPr="000E5786">
        <w:rPr>
          <w:rFonts w:cs="Arial"/>
          <w:szCs w:val="20"/>
        </w:rPr>
        <w:t xml:space="preserve"> Working Days) after becoming aware that an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Cause has caused, or is reasonably likely to cause, a Supplier Non-Performance, give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notice (a “</w:t>
      </w:r>
      <w:r w:rsidRPr="000E5786">
        <w:rPr>
          <w:rFonts w:cs="Arial"/>
          <w:b/>
          <w:szCs w:val="20"/>
        </w:rPr>
        <w:t>Relief Notice</w:t>
      </w:r>
      <w:r w:rsidRPr="000E5786">
        <w:rPr>
          <w:rFonts w:cs="Arial"/>
          <w:szCs w:val="20"/>
        </w:rPr>
        <w:t>”) setting out details of:</w:t>
      </w:r>
      <w:bookmarkEnd w:id="992"/>
    </w:p>
    <w:p w14:paraId="571D6C0C" w14:textId="2ADEA793" w:rsidR="0048699F" w:rsidRPr="000E5786" w:rsidRDefault="0048699F" w:rsidP="00346A37">
      <w:pPr>
        <w:pStyle w:val="Heading3"/>
      </w:pPr>
      <w:bookmarkStart w:id="994" w:name="_Ref53585515"/>
      <w:r w:rsidRPr="000E5786">
        <w:t xml:space="preserve">the Supplier </w:t>
      </w:r>
      <w:proofErr w:type="gramStart"/>
      <w:r w:rsidRPr="000E5786">
        <w:t>Non-Performance;</w:t>
      </w:r>
      <w:bookmarkEnd w:id="994"/>
      <w:proofErr w:type="gramEnd"/>
    </w:p>
    <w:p w14:paraId="1EC6F04A" w14:textId="22D064B5" w:rsidR="0048699F" w:rsidRPr="000E5786" w:rsidRDefault="0048699F" w:rsidP="00346A37">
      <w:pPr>
        <w:pStyle w:val="Heading3"/>
      </w:pPr>
      <w:bookmarkStart w:id="995" w:name="_Ref53585516"/>
      <w:r w:rsidRPr="000E5786">
        <w:t xml:space="preserve">the </w:t>
      </w:r>
      <w:proofErr w:type="spellStart"/>
      <w:r w:rsidR="001F1C19">
        <w:t>Netlink</w:t>
      </w:r>
      <w:proofErr w:type="spellEnd"/>
      <w:r w:rsidR="001F1C19">
        <w:t xml:space="preserve"> Star</w:t>
      </w:r>
      <w:r w:rsidRPr="000E5786">
        <w:t xml:space="preserve"> Cause and its effect, or likely effect, on the Supplier’s ability to meet its obligations under this </w:t>
      </w:r>
      <w:proofErr w:type="gramStart"/>
      <w:r w:rsidRPr="000E5786">
        <w:t>Agreement;</w:t>
      </w:r>
      <w:bookmarkEnd w:id="995"/>
      <w:proofErr w:type="gramEnd"/>
    </w:p>
    <w:p w14:paraId="50FCF7E3" w14:textId="0301D1AD" w:rsidR="0048699F" w:rsidRPr="000E5786" w:rsidRDefault="0048699F" w:rsidP="00346A37">
      <w:pPr>
        <w:pStyle w:val="Heading3"/>
      </w:pPr>
      <w:bookmarkStart w:id="996" w:name="_Ref53585517"/>
      <w:r w:rsidRPr="000E5786">
        <w:t xml:space="preserve">any steps which </w:t>
      </w:r>
      <w:proofErr w:type="spellStart"/>
      <w:r w:rsidR="001F1C19">
        <w:t>Netlink</w:t>
      </w:r>
      <w:proofErr w:type="spellEnd"/>
      <w:r w:rsidR="001F1C19">
        <w:t xml:space="preserve"> Star</w:t>
      </w:r>
      <w:r w:rsidRPr="000E5786">
        <w:t xml:space="preserve"> can take to eliminate or mitigate the consequences and impact of such </w:t>
      </w:r>
      <w:proofErr w:type="spellStart"/>
      <w:r w:rsidR="001F1C19">
        <w:t>Netlink</w:t>
      </w:r>
      <w:proofErr w:type="spellEnd"/>
      <w:r w:rsidR="001F1C19">
        <w:t xml:space="preserve"> Star</w:t>
      </w:r>
      <w:r w:rsidRPr="000E5786">
        <w:t xml:space="preserve"> Cause; and</w:t>
      </w:r>
      <w:bookmarkEnd w:id="996"/>
    </w:p>
    <w:p w14:paraId="13BE915D" w14:textId="0D2C6B5F" w:rsidR="0048699F" w:rsidRPr="000E5786" w:rsidRDefault="0048699F" w:rsidP="00346A37">
      <w:pPr>
        <w:pStyle w:val="Heading3"/>
      </w:pPr>
      <w:bookmarkStart w:id="997" w:name="_Ref53585518"/>
      <w:r w:rsidRPr="000E5786">
        <w:t>the relief and/or compensation claimed by the Supplier.</w:t>
      </w:r>
      <w:bookmarkEnd w:id="997"/>
    </w:p>
    <w:p w14:paraId="10DB64B8" w14:textId="1C5EE60C" w:rsidR="0048699F" w:rsidRPr="000E5786" w:rsidRDefault="0048699F" w:rsidP="00DD60F0">
      <w:pPr>
        <w:pStyle w:val="Heading2"/>
        <w:spacing w:after="120"/>
        <w:rPr>
          <w:rFonts w:cs="Arial"/>
          <w:szCs w:val="20"/>
        </w:rPr>
      </w:pPr>
      <w:bookmarkStart w:id="998" w:name="_Ref53585519"/>
      <w:r w:rsidRPr="000E5786">
        <w:rPr>
          <w:rFonts w:cs="Arial"/>
          <w:szCs w:val="20"/>
        </w:rPr>
        <w:t xml:space="preserve">Following the receipt of a Relief Notice,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as soon as reasonably </w:t>
      </w:r>
      <w:proofErr w:type="gramStart"/>
      <w:r w:rsidRPr="000E5786">
        <w:rPr>
          <w:rFonts w:cs="Arial"/>
          <w:szCs w:val="20"/>
        </w:rPr>
        <w:t>practicable</w:t>
      </w:r>
      <w:proofErr w:type="gramEnd"/>
      <w:r w:rsidRPr="000E5786">
        <w:rPr>
          <w:rFonts w:cs="Arial"/>
          <w:szCs w:val="20"/>
        </w:rPr>
        <w:t xml:space="preserve"> consider the nature of the Supplier Non-Performance and the alleged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Cause and whether it agrees with the Supplier’s assessment set out in the Relief Notice as to the effect of the relevant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Cause and its entitlement to relief and/or compensation, consulting with the Supplier where necessary.</w:t>
      </w:r>
      <w:bookmarkEnd w:id="998"/>
    </w:p>
    <w:p w14:paraId="4BB3A8B5" w14:textId="1E92EA72" w:rsidR="0048699F" w:rsidRPr="000E5786" w:rsidRDefault="0048699F" w:rsidP="00DD60F0">
      <w:pPr>
        <w:pStyle w:val="Heading2"/>
        <w:spacing w:after="120"/>
        <w:rPr>
          <w:rFonts w:cs="Arial"/>
          <w:szCs w:val="20"/>
        </w:rPr>
      </w:pPr>
      <w:bookmarkStart w:id="999" w:name="_Ref53585520"/>
      <w:r w:rsidRPr="000E5786">
        <w:rPr>
          <w:rFonts w:cs="Arial"/>
          <w:szCs w:val="20"/>
        </w:rPr>
        <w:t xml:space="preserve">The Supplier shall use all reasonable endeavours to eliminate or mitigate the consequences and impact of a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Cause, including any Losses that the Supplier may incur and the duration and consequences of any Delay or anticipated Delay.</w:t>
      </w:r>
      <w:bookmarkEnd w:id="999"/>
    </w:p>
    <w:p w14:paraId="465BF4A1" w14:textId="3F4AAD5D" w:rsidR="0048699F" w:rsidRPr="000E5786" w:rsidRDefault="0048699F" w:rsidP="00DD60F0">
      <w:pPr>
        <w:pStyle w:val="Heading2"/>
        <w:spacing w:after="120"/>
        <w:rPr>
          <w:rFonts w:cs="Arial"/>
          <w:szCs w:val="20"/>
        </w:rPr>
      </w:pPr>
      <w:bookmarkStart w:id="1000" w:name="_Ref53585521"/>
      <w:r w:rsidRPr="000E5786">
        <w:rPr>
          <w:rFonts w:cs="Arial"/>
          <w:szCs w:val="20"/>
        </w:rPr>
        <w:t xml:space="preserve">Without prejudice to clause </w:t>
      </w:r>
      <w:r w:rsidR="00B92CF3" w:rsidRPr="000E5786">
        <w:rPr>
          <w:rFonts w:cs="Arial"/>
          <w:szCs w:val="20"/>
        </w:rPr>
        <w:fldChar w:fldCharType="begin"/>
      </w:r>
      <w:r w:rsidR="00B92CF3" w:rsidRPr="000E5786">
        <w:rPr>
          <w:rFonts w:cs="Arial"/>
          <w:szCs w:val="20"/>
        </w:rPr>
        <w:instrText xml:space="preserve">  REF _Ref53584837 \w \h \* MERGEFORMAT </w:instrText>
      </w:r>
      <w:r w:rsidR="00B92CF3" w:rsidRPr="000E5786">
        <w:rPr>
          <w:rFonts w:cs="Arial"/>
          <w:szCs w:val="20"/>
        </w:rPr>
      </w:r>
      <w:r w:rsidR="00B92CF3" w:rsidRPr="000E5786">
        <w:rPr>
          <w:rFonts w:cs="Arial"/>
          <w:szCs w:val="20"/>
        </w:rPr>
        <w:fldChar w:fldCharType="separate"/>
      </w:r>
      <w:r w:rsidR="002523A8" w:rsidRPr="000E5786">
        <w:rPr>
          <w:rFonts w:cs="Arial"/>
          <w:szCs w:val="20"/>
        </w:rPr>
        <w:t>5.10</w:t>
      </w:r>
      <w:r w:rsidR="00B92CF3" w:rsidRPr="000E5786">
        <w:rPr>
          <w:rFonts w:cs="Arial"/>
          <w:szCs w:val="20"/>
        </w:rPr>
        <w:fldChar w:fldCharType="end"/>
      </w:r>
      <w:r w:rsidRPr="000E5786">
        <w:rPr>
          <w:rFonts w:cs="Arial"/>
          <w:szCs w:val="20"/>
        </w:rPr>
        <w:t xml:space="preserve"> (Continuing obligation to provide the Services), if a Dispute arises as to:</w:t>
      </w:r>
      <w:bookmarkEnd w:id="1000"/>
    </w:p>
    <w:p w14:paraId="50C4AC43" w14:textId="264FB3D9" w:rsidR="0048699F" w:rsidRPr="000E5786" w:rsidRDefault="0048699F" w:rsidP="00346A37">
      <w:pPr>
        <w:pStyle w:val="Heading3"/>
      </w:pPr>
      <w:bookmarkStart w:id="1001" w:name="_Ref53585522"/>
      <w:r w:rsidRPr="000E5786">
        <w:t xml:space="preserve">whether a Supplier Non-Performance would not have occurred but for a </w:t>
      </w:r>
      <w:proofErr w:type="spellStart"/>
      <w:r w:rsidR="001F1C19">
        <w:t>Netlink</w:t>
      </w:r>
      <w:proofErr w:type="spellEnd"/>
      <w:r w:rsidR="001F1C19">
        <w:t xml:space="preserve"> Star</w:t>
      </w:r>
      <w:r w:rsidRPr="000E5786">
        <w:t xml:space="preserve"> Cause; and/or</w:t>
      </w:r>
      <w:bookmarkEnd w:id="1001"/>
    </w:p>
    <w:p w14:paraId="24117623" w14:textId="36B90EC1" w:rsidR="0048699F" w:rsidRPr="000E5786" w:rsidRDefault="0048699F" w:rsidP="00346A37">
      <w:pPr>
        <w:pStyle w:val="Heading3"/>
      </w:pPr>
      <w:bookmarkStart w:id="1002" w:name="_Ref53585523"/>
      <w:r w:rsidRPr="000E5786">
        <w:t>the nature and/or extent of the relief and/or compensation claimed by the Supplier,</w:t>
      </w:r>
      <w:bookmarkEnd w:id="1002"/>
    </w:p>
    <w:p w14:paraId="4CEDD07D" w14:textId="77777777" w:rsidR="0048699F" w:rsidRPr="000E5786" w:rsidRDefault="0048699F" w:rsidP="002D5245">
      <w:pPr>
        <w:pStyle w:val="BodyText1"/>
        <w:spacing w:after="120"/>
        <w:ind w:firstLine="0"/>
        <w:rPr>
          <w:rFonts w:cs="Arial"/>
          <w:szCs w:val="20"/>
        </w:rPr>
      </w:pPr>
      <w:r w:rsidRPr="000E5786">
        <w:rPr>
          <w:rFonts w:cs="Arial"/>
          <w:szCs w:val="20"/>
        </w:rPr>
        <w:lastRenderedPageBreak/>
        <w:t>either Party may refer the Dispute to the Dispute Resolution Procedure. Pending the resolution of the Dispute, both Parties shall continue to resolve the causes of, and mitigate the effects of, the Supplier Non-Performance.</w:t>
      </w:r>
    </w:p>
    <w:p w14:paraId="5A6438F4" w14:textId="2B76B691" w:rsidR="0048699F" w:rsidRPr="000E5786" w:rsidRDefault="0048699F" w:rsidP="00DD60F0">
      <w:pPr>
        <w:pStyle w:val="Heading2"/>
        <w:spacing w:after="120"/>
        <w:rPr>
          <w:rFonts w:cs="Arial"/>
          <w:szCs w:val="20"/>
        </w:rPr>
      </w:pPr>
      <w:bookmarkStart w:id="1003" w:name="_Ref53585524"/>
      <w:r w:rsidRPr="000E5786">
        <w:rPr>
          <w:rFonts w:cs="Arial"/>
          <w:szCs w:val="20"/>
        </w:rPr>
        <w:t xml:space="preserve">Any Change that is required to the Implementation Plan or to the Charges pursuant to this clause </w:t>
      </w:r>
      <w:r w:rsidR="00B92CF3" w:rsidRPr="000E5786">
        <w:rPr>
          <w:rFonts w:cs="Arial"/>
          <w:szCs w:val="20"/>
        </w:rPr>
        <w:fldChar w:fldCharType="begin"/>
      </w:r>
      <w:r w:rsidR="00B92CF3" w:rsidRPr="000E5786">
        <w:rPr>
          <w:rFonts w:cs="Arial"/>
          <w:szCs w:val="20"/>
        </w:rPr>
        <w:instrText xml:space="preserve">  REF _Ref53585732 \w \h \* MERGEFORMAT </w:instrText>
      </w:r>
      <w:r w:rsidR="00B92CF3" w:rsidRPr="000E5786">
        <w:rPr>
          <w:rFonts w:cs="Arial"/>
          <w:szCs w:val="20"/>
        </w:rPr>
      </w:r>
      <w:r w:rsidR="00B92CF3" w:rsidRPr="000E5786">
        <w:rPr>
          <w:rFonts w:cs="Arial"/>
          <w:szCs w:val="20"/>
        </w:rPr>
        <w:fldChar w:fldCharType="separate"/>
      </w:r>
      <w:r w:rsidR="002523A8" w:rsidRPr="000E5786">
        <w:rPr>
          <w:rFonts w:cs="Arial"/>
          <w:szCs w:val="20"/>
        </w:rPr>
        <w:t>34</w:t>
      </w:r>
      <w:r w:rsidR="00B92CF3" w:rsidRPr="000E5786">
        <w:rPr>
          <w:rFonts w:cs="Arial"/>
          <w:szCs w:val="20"/>
        </w:rPr>
        <w:fldChar w:fldCharType="end"/>
      </w:r>
      <w:r w:rsidRPr="000E5786">
        <w:rPr>
          <w:rFonts w:cs="Arial"/>
          <w:szCs w:val="20"/>
        </w:rPr>
        <w:t xml:space="preserve"> shall be implemented in accordance with the Change Control Procedure.</w:t>
      </w:r>
      <w:bookmarkEnd w:id="1003"/>
    </w:p>
    <w:p w14:paraId="51E9D7E9" w14:textId="58194CDC" w:rsidR="0048699F" w:rsidRPr="000E5786" w:rsidRDefault="0048699F" w:rsidP="00DD60F0">
      <w:pPr>
        <w:pStyle w:val="Heading1"/>
        <w:spacing w:after="120"/>
        <w:rPr>
          <w:rFonts w:cs="Arial"/>
          <w:szCs w:val="20"/>
        </w:rPr>
      </w:pPr>
      <w:bookmarkStart w:id="1004" w:name="_Ref53585525"/>
      <w:bookmarkStart w:id="1005" w:name="_Ref53585733"/>
      <w:bookmarkStart w:id="1006" w:name="_Toc71198959"/>
      <w:r w:rsidRPr="000E5786">
        <w:rPr>
          <w:rFonts w:cs="Arial"/>
          <w:szCs w:val="20"/>
        </w:rPr>
        <w:t>FORCE MAJEURE</w:t>
      </w:r>
      <w:bookmarkEnd w:id="1004"/>
      <w:bookmarkEnd w:id="1005"/>
      <w:bookmarkEnd w:id="1006"/>
    </w:p>
    <w:p w14:paraId="130CD55F" w14:textId="63AAEDBC" w:rsidR="0048699F" w:rsidRPr="000E5786" w:rsidRDefault="0048699F" w:rsidP="00DD60F0">
      <w:pPr>
        <w:pStyle w:val="Heading2"/>
        <w:spacing w:after="120"/>
        <w:rPr>
          <w:rFonts w:cs="Arial"/>
          <w:szCs w:val="20"/>
        </w:rPr>
      </w:pPr>
      <w:bookmarkStart w:id="1007" w:name="_Ref53585526"/>
      <w:r w:rsidRPr="000E5786">
        <w:rPr>
          <w:rFonts w:cs="Arial"/>
          <w:szCs w:val="20"/>
        </w:rPr>
        <w:t xml:space="preserve">Subject to the remaining provisions of this clause </w:t>
      </w:r>
      <w:r w:rsidR="00B92CF3" w:rsidRPr="000E5786">
        <w:rPr>
          <w:rFonts w:cs="Arial"/>
          <w:szCs w:val="20"/>
        </w:rPr>
        <w:fldChar w:fldCharType="begin"/>
      </w:r>
      <w:r w:rsidR="00B92CF3" w:rsidRPr="000E5786">
        <w:rPr>
          <w:rFonts w:cs="Arial"/>
          <w:szCs w:val="20"/>
        </w:rPr>
        <w:instrText xml:space="preserve">  REF _Ref53585733 \w \h \* MERGEFORMAT </w:instrText>
      </w:r>
      <w:r w:rsidR="00B92CF3" w:rsidRPr="000E5786">
        <w:rPr>
          <w:rFonts w:cs="Arial"/>
          <w:szCs w:val="20"/>
        </w:rPr>
      </w:r>
      <w:r w:rsidR="00B92CF3" w:rsidRPr="000E5786">
        <w:rPr>
          <w:rFonts w:cs="Arial"/>
          <w:szCs w:val="20"/>
        </w:rPr>
        <w:fldChar w:fldCharType="separate"/>
      </w:r>
      <w:r w:rsidR="002523A8" w:rsidRPr="000E5786">
        <w:rPr>
          <w:rFonts w:cs="Arial"/>
          <w:szCs w:val="20"/>
        </w:rPr>
        <w:t>35</w:t>
      </w:r>
      <w:r w:rsidR="00B92CF3" w:rsidRPr="000E5786">
        <w:rPr>
          <w:rFonts w:cs="Arial"/>
          <w:szCs w:val="20"/>
        </w:rPr>
        <w:fldChar w:fldCharType="end"/>
      </w:r>
      <w:r w:rsidRPr="000E5786">
        <w:rPr>
          <w:rFonts w:cs="Arial"/>
          <w:szCs w:val="20"/>
        </w:rPr>
        <w:t xml:space="preserve"> (and, in relation to the Supplier, subject to its compliance with its obligations in </w:t>
      </w:r>
      <w:bookmarkStart w:id="1008" w:name="DocXTextRef411"/>
      <w:r w:rsidRPr="000E5786">
        <w:rPr>
          <w:rFonts w:cs="Arial"/>
          <w:szCs w:val="20"/>
        </w:rPr>
        <w:t>Schedule 8.6</w:t>
      </w:r>
      <w:bookmarkEnd w:id="1008"/>
      <w:r w:rsidRPr="000E5786">
        <w:rPr>
          <w:rFonts w:cs="Arial"/>
          <w:szCs w:val="20"/>
        </w:rPr>
        <w:t xml:space="preserve"> (Business Continuity and IT Service Continuity)), a Party may claim relief under this clause </w:t>
      </w:r>
      <w:r w:rsidR="00B92CF3" w:rsidRPr="000E5786">
        <w:rPr>
          <w:rFonts w:cs="Arial"/>
          <w:szCs w:val="20"/>
        </w:rPr>
        <w:fldChar w:fldCharType="begin"/>
      </w:r>
      <w:r w:rsidR="00B92CF3" w:rsidRPr="000E5786">
        <w:rPr>
          <w:rFonts w:cs="Arial"/>
          <w:szCs w:val="20"/>
        </w:rPr>
        <w:instrText xml:space="preserve">  REF _Ref53585733 \w \h \* MERGEFORMAT </w:instrText>
      </w:r>
      <w:r w:rsidR="00B92CF3" w:rsidRPr="000E5786">
        <w:rPr>
          <w:rFonts w:cs="Arial"/>
          <w:szCs w:val="20"/>
        </w:rPr>
      </w:r>
      <w:r w:rsidR="00B92CF3" w:rsidRPr="000E5786">
        <w:rPr>
          <w:rFonts w:cs="Arial"/>
          <w:szCs w:val="20"/>
        </w:rPr>
        <w:fldChar w:fldCharType="separate"/>
      </w:r>
      <w:r w:rsidR="002523A8" w:rsidRPr="000E5786">
        <w:rPr>
          <w:rFonts w:cs="Arial"/>
          <w:szCs w:val="20"/>
        </w:rPr>
        <w:t>35</w:t>
      </w:r>
      <w:r w:rsidR="00B92CF3" w:rsidRPr="000E5786">
        <w:rPr>
          <w:rFonts w:cs="Arial"/>
          <w:szCs w:val="20"/>
        </w:rPr>
        <w:fldChar w:fldCharType="end"/>
      </w:r>
      <w:r w:rsidRPr="000E5786">
        <w:rPr>
          <w:rFonts w:cs="Arial"/>
          <w:szCs w:val="20"/>
        </w:rPr>
        <w:t xml:space="preserve"> from liability for failure to meet its obligations under this Agreement for as long as and only to the extent that the performance of those obligations is directly affected by a Force Majeure Event.</w:t>
      </w:r>
      <w:r w:rsidR="000578A4" w:rsidRPr="000E5786">
        <w:rPr>
          <w:rFonts w:cs="Arial"/>
          <w:szCs w:val="20"/>
        </w:rPr>
        <w:t xml:space="preserve"> </w:t>
      </w:r>
      <w:r w:rsidRPr="000E5786">
        <w:rPr>
          <w:rFonts w:cs="Arial"/>
          <w:szCs w:val="20"/>
        </w:rPr>
        <w:t>Any failure or delay by the Supplier in performing its obligations under this Agreement which results from a failure or delay by an agent, Sub-contractor or supplier shall be regarded as due to a Force Majeure Event only if that agent, Sub-</w:t>
      </w:r>
      <w:proofErr w:type="gramStart"/>
      <w:r w:rsidRPr="000E5786">
        <w:rPr>
          <w:rFonts w:cs="Arial"/>
          <w:szCs w:val="20"/>
        </w:rPr>
        <w:t>contractor</w:t>
      </w:r>
      <w:proofErr w:type="gramEnd"/>
      <w:r w:rsidRPr="000E5786">
        <w:rPr>
          <w:rFonts w:cs="Arial"/>
          <w:szCs w:val="20"/>
        </w:rPr>
        <w:t xml:space="preserve"> or supplier is itself impeded by a Force Majeure Event from complying with an obligation to the Supplier.</w:t>
      </w:r>
      <w:bookmarkEnd w:id="1007"/>
    </w:p>
    <w:p w14:paraId="6E625B2D" w14:textId="740A6E4C" w:rsidR="0048699F" w:rsidRPr="000E5786" w:rsidRDefault="0048699F" w:rsidP="00DD60F0">
      <w:pPr>
        <w:pStyle w:val="Heading2"/>
        <w:spacing w:after="120"/>
        <w:rPr>
          <w:rFonts w:cs="Arial"/>
          <w:szCs w:val="20"/>
        </w:rPr>
      </w:pPr>
      <w:bookmarkStart w:id="1009" w:name="_Ref53585527"/>
      <w:r w:rsidRPr="000E5786">
        <w:rPr>
          <w:rFonts w:cs="Arial"/>
          <w:szCs w:val="20"/>
        </w:rPr>
        <w:t xml:space="preserve">The Affected Party shall as soon as reasonably </w:t>
      </w:r>
      <w:proofErr w:type="gramStart"/>
      <w:r w:rsidRPr="000E5786">
        <w:rPr>
          <w:rFonts w:cs="Arial"/>
          <w:szCs w:val="20"/>
        </w:rPr>
        <w:t>practicable</w:t>
      </w:r>
      <w:proofErr w:type="gramEnd"/>
      <w:r w:rsidRPr="000E5786">
        <w:rPr>
          <w:rFonts w:cs="Arial"/>
          <w:szCs w:val="20"/>
        </w:rPr>
        <w:t xml:space="preserve"> issue a Force Majeure Notice, which shall include details of the Force Majeure Event, its effect on the obligations of the Affected Party and any action the Affected Party proposes to take to mitigate its effect.</w:t>
      </w:r>
      <w:bookmarkEnd w:id="1009"/>
    </w:p>
    <w:p w14:paraId="4E50B9FE" w14:textId="10FFFFBF" w:rsidR="0048699F" w:rsidRPr="000E5786" w:rsidRDefault="0048699F" w:rsidP="00DD60F0">
      <w:pPr>
        <w:pStyle w:val="Heading2"/>
        <w:spacing w:after="120"/>
        <w:rPr>
          <w:rFonts w:cs="Arial"/>
          <w:szCs w:val="20"/>
        </w:rPr>
      </w:pPr>
      <w:bookmarkStart w:id="1010" w:name="_Ref53585528"/>
      <w:r w:rsidRPr="000E5786">
        <w:rPr>
          <w:rFonts w:cs="Arial"/>
          <w:szCs w:val="20"/>
        </w:rPr>
        <w:t xml:space="preserve">If the Supplier is the Affected Party, it shall not be entitled to claim relief under this clause </w:t>
      </w:r>
      <w:r w:rsidR="00B92CF3" w:rsidRPr="000E5786">
        <w:rPr>
          <w:rFonts w:cs="Arial"/>
          <w:szCs w:val="20"/>
        </w:rPr>
        <w:fldChar w:fldCharType="begin"/>
      </w:r>
      <w:r w:rsidR="00B92CF3" w:rsidRPr="000E5786">
        <w:rPr>
          <w:rFonts w:cs="Arial"/>
          <w:szCs w:val="20"/>
        </w:rPr>
        <w:instrText xml:space="preserve">  REF _Ref53585733 \w \h \* MERGEFORMAT </w:instrText>
      </w:r>
      <w:r w:rsidR="00B92CF3" w:rsidRPr="000E5786">
        <w:rPr>
          <w:rFonts w:cs="Arial"/>
          <w:szCs w:val="20"/>
        </w:rPr>
      </w:r>
      <w:r w:rsidR="00B92CF3" w:rsidRPr="000E5786">
        <w:rPr>
          <w:rFonts w:cs="Arial"/>
          <w:szCs w:val="20"/>
        </w:rPr>
        <w:fldChar w:fldCharType="separate"/>
      </w:r>
      <w:r w:rsidR="002523A8" w:rsidRPr="000E5786">
        <w:rPr>
          <w:rFonts w:cs="Arial"/>
          <w:szCs w:val="20"/>
        </w:rPr>
        <w:t>35</w:t>
      </w:r>
      <w:r w:rsidR="00B92CF3" w:rsidRPr="000E5786">
        <w:rPr>
          <w:rFonts w:cs="Arial"/>
          <w:szCs w:val="20"/>
        </w:rPr>
        <w:fldChar w:fldCharType="end"/>
      </w:r>
      <w:r w:rsidRPr="000E5786">
        <w:rPr>
          <w:rFonts w:cs="Arial"/>
          <w:szCs w:val="20"/>
        </w:rPr>
        <w:t xml:space="preserve"> to the extent that consequences of the relevant Force Majeure Event:</w:t>
      </w:r>
      <w:bookmarkEnd w:id="1010"/>
    </w:p>
    <w:p w14:paraId="09FC2DCD" w14:textId="0B7D6D44" w:rsidR="0048699F" w:rsidRPr="000E5786" w:rsidRDefault="0048699F" w:rsidP="00346A37">
      <w:pPr>
        <w:pStyle w:val="Heading3"/>
      </w:pPr>
      <w:bookmarkStart w:id="1011" w:name="_Ref53585529"/>
      <w:r w:rsidRPr="000E5786">
        <w:t>are capable of being mitigated by any of the Services including the Business Continuity Services and IT Service Continuity Management Services, but the Supplier has failed to do so; and/or</w:t>
      </w:r>
      <w:bookmarkEnd w:id="1011"/>
    </w:p>
    <w:p w14:paraId="2A75D3DC" w14:textId="2C4E861D" w:rsidR="0048699F" w:rsidRPr="000E5786" w:rsidRDefault="0048699F" w:rsidP="00346A37">
      <w:pPr>
        <w:pStyle w:val="Heading3"/>
      </w:pPr>
      <w:bookmarkStart w:id="1012" w:name="_Ref53585530"/>
      <w:r w:rsidRPr="000E5786">
        <w:t xml:space="preserve">should have been foreseen and prevented or avoided by a prudent provider of services </w:t>
      </w:r>
      <w:proofErr w:type="gramStart"/>
      <w:r w:rsidRPr="000E5786">
        <w:t>similar to</w:t>
      </w:r>
      <w:proofErr w:type="gramEnd"/>
      <w:r w:rsidRPr="000E5786">
        <w:t xml:space="preserve"> the Services, operating to the standards required by this Agreement.</w:t>
      </w:r>
      <w:bookmarkEnd w:id="1012"/>
    </w:p>
    <w:p w14:paraId="054D7638" w14:textId="39534C73" w:rsidR="0048699F" w:rsidRPr="000E5786" w:rsidRDefault="0048699F" w:rsidP="00DD60F0">
      <w:pPr>
        <w:pStyle w:val="Heading2"/>
        <w:spacing w:after="120"/>
        <w:rPr>
          <w:rFonts w:cs="Arial"/>
          <w:szCs w:val="20"/>
        </w:rPr>
      </w:pPr>
      <w:bookmarkStart w:id="1013" w:name="_Ref53585531"/>
      <w:r w:rsidRPr="000E5786">
        <w:rPr>
          <w:rFonts w:cs="Arial"/>
          <w:szCs w:val="20"/>
        </w:rPr>
        <w:t xml:space="preserve">Subject to clause </w:t>
      </w:r>
      <w:r w:rsidR="00B92CF3" w:rsidRPr="000E5786">
        <w:rPr>
          <w:rFonts w:cs="Arial"/>
          <w:szCs w:val="20"/>
        </w:rPr>
        <w:fldChar w:fldCharType="begin"/>
      </w:r>
      <w:r w:rsidR="00B92CF3" w:rsidRPr="000E5786">
        <w:rPr>
          <w:rFonts w:cs="Arial"/>
          <w:szCs w:val="20"/>
        </w:rPr>
        <w:instrText xml:space="preserve">  REF _Ref53585532 \w \h \* MERGEFORMAT </w:instrText>
      </w:r>
      <w:r w:rsidR="00B92CF3" w:rsidRPr="000E5786">
        <w:rPr>
          <w:rFonts w:cs="Arial"/>
          <w:szCs w:val="20"/>
        </w:rPr>
      </w:r>
      <w:r w:rsidR="00B92CF3" w:rsidRPr="000E5786">
        <w:rPr>
          <w:rFonts w:cs="Arial"/>
          <w:szCs w:val="20"/>
        </w:rPr>
        <w:fldChar w:fldCharType="separate"/>
      </w:r>
      <w:r w:rsidR="002523A8" w:rsidRPr="000E5786">
        <w:rPr>
          <w:rFonts w:cs="Arial"/>
          <w:szCs w:val="20"/>
        </w:rPr>
        <w:t>35.5</w:t>
      </w:r>
      <w:r w:rsidR="00B92CF3" w:rsidRPr="000E5786">
        <w:rPr>
          <w:rFonts w:cs="Arial"/>
          <w:szCs w:val="20"/>
        </w:rPr>
        <w:fldChar w:fldCharType="end"/>
      </w:r>
      <w:r w:rsidRPr="000E5786">
        <w:rPr>
          <w:rFonts w:cs="Arial"/>
          <w:szCs w:val="20"/>
        </w:rPr>
        <w:t>, as soon as practicable after the Affected Party issues the Force Majeure Notice, and at regular intervals thereafter, the Parties shall consult in good faith and use reasonable endeavours to agree any steps to be taken and an appropriate timetable in which those steps should be taken, to enable continued provision of the Services affected by the Force Majeure Event.</w:t>
      </w:r>
      <w:bookmarkEnd w:id="1013"/>
    </w:p>
    <w:p w14:paraId="07BCE6EA" w14:textId="1D032342" w:rsidR="0048699F" w:rsidRPr="000E5786" w:rsidRDefault="0048699F" w:rsidP="00DD60F0">
      <w:pPr>
        <w:pStyle w:val="Heading2"/>
        <w:spacing w:after="120"/>
        <w:rPr>
          <w:rFonts w:cs="Arial"/>
          <w:szCs w:val="20"/>
        </w:rPr>
      </w:pPr>
      <w:bookmarkStart w:id="1014" w:name="_Ref53585532"/>
      <w:r w:rsidRPr="000E5786">
        <w:rPr>
          <w:rFonts w:cs="Arial"/>
          <w:szCs w:val="20"/>
        </w:rPr>
        <w:t xml:space="preserve">The Parties </w:t>
      </w:r>
      <w:proofErr w:type="gramStart"/>
      <w:r w:rsidRPr="000E5786">
        <w:rPr>
          <w:rFonts w:cs="Arial"/>
          <w:szCs w:val="20"/>
        </w:rPr>
        <w:t>shall at all times</w:t>
      </w:r>
      <w:proofErr w:type="gramEnd"/>
      <w:r w:rsidRPr="000E5786">
        <w:rPr>
          <w:rFonts w:cs="Arial"/>
          <w:szCs w:val="20"/>
        </w:rPr>
        <w:t xml:space="preserve"> following the occurrence of a Force Majeure Event and during its subsistence use their respective reasonable endeavours to prevent and mitigate the effects of the Force Majeure Event.</w:t>
      </w:r>
      <w:r w:rsidR="000578A4" w:rsidRPr="000E5786">
        <w:rPr>
          <w:rFonts w:cs="Arial"/>
          <w:szCs w:val="20"/>
        </w:rPr>
        <w:t xml:space="preserve"> </w:t>
      </w:r>
      <w:r w:rsidRPr="000E5786">
        <w:rPr>
          <w:rFonts w:cs="Arial"/>
          <w:szCs w:val="20"/>
        </w:rPr>
        <w:t>Where the Supplier is the Affected Party, it shall take all steps in accordance with Good Industry Practice to overcome or minimise the consequences of the Force Majeure Event.</w:t>
      </w:r>
      <w:bookmarkEnd w:id="1014"/>
    </w:p>
    <w:p w14:paraId="74F344B2" w14:textId="33800428" w:rsidR="0048699F" w:rsidRPr="000E5786" w:rsidRDefault="0048699F" w:rsidP="00DD60F0">
      <w:pPr>
        <w:pStyle w:val="Heading2"/>
        <w:spacing w:after="120"/>
        <w:rPr>
          <w:rFonts w:cs="Arial"/>
          <w:szCs w:val="20"/>
        </w:rPr>
      </w:pPr>
      <w:bookmarkStart w:id="1015" w:name="_Ref53585533"/>
      <w:proofErr w:type="gramStart"/>
      <w:r w:rsidRPr="000E5786">
        <w:rPr>
          <w:rFonts w:cs="Arial"/>
          <w:szCs w:val="20"/>
        </w:rPr>
        <w:t>Where</w:t>
      </w:r>
      <w:proofErr w:type="gramEnd"/>
      <w:r w:rsidRPr="000E5786">
        <w:rPr>
          <w:rFonts w:cs="Arial"/>
          <w:szCs w:val="20"/>
        </w:rPr>
        <w:t>, as a result of a Force Majeure Event:</w:t>
      </w:r>
      <w:bookmarkEnd w:id="1015"/>
    </w:p>
    <w:p w14:paraId="339F4884" w14:textId="7D09EC7B" w:rsidR="0048699F" w:rsidRPr="000E5786" w:rsidRDefault="0048699F" w:rsidP="00346A37">
      <w:pPr>
        <w:pStyle w:val="Heading3"/>
      </w:pPr>
      <w:bookmarkStart w:id="1016" w:name="_Ref53585534"/>
      <w:r w:rsidRPr="000E5786">
        <w:t>an Affected Party fails to perform its obligations in accordance with this Agreement, then during the continuance of the Force Majeure Event:</w:t>
      </w:r>
      <w:bookmarkEnd w:id="1016"/>
    </w:p>
    <w:p w14:paraId="24BED275" w14:textId="40D48A9E" w:rsidR="0048699F" w:rsidRPr="000E5786" w:rsidRDefault="0048699F" w:rsidP="00834C1A">
      <w:pPr>
        <w:pStyle w:val="Heading4"/>
        <w:tabs>
          <w:tab w:val="clear" w:pos="1702"/>
        </w:tabs>
        <w:spacing w:after="120"/>
        <w:ind w:left="2410"/>
        <w:rPr>
          <w:rFonts w:cs="Arial"/>
          <w:szCs w:val="20"/>
        </w:rPr>
      </w:pPr>
      <w:bookmarkStart w:id="1017" w:name="_Ref53585535"/>
      <w:r w:rsidRPr="000E5786">
        <w:rPr>
          <w:rFonts w:cs="Arial"/>
          <w:szCs w:val="20"/>
        </w:rPr>
        <w:t xml:space="preserve">the other Party shall not be entitled to exercise any rights to terminate this Agreement in whole or in part as a result of such failure other than pursuant to clause </w:t>
      </w:r>
      <w:r w:rsidR="00B92CF3" w:rsidRPr="000E5786">
        <w:rPr>
          <w:rFonts w:cs="Arial"/>
          <w:szCs w:val="20"/>
        </w:rPr>
        <w:fldChar w:fldCharType="begin"/>
      </w:r>
      <w:r w:rsidR="00B92CF3" w:rsidRPr="000E5786">
        <w:rPr>
          <w:rFonts w:cs="Arial"/>
          <w:szCs w:val="20"/>
        </w:rPr>
        <w:instrText xml:space="preserve">  REF _Ref53585549 \w \h \* MERGEFORMAT </w:instrText>
      </w:r>
      <w:r w:rsidR="00B92CF3" w:rsidRPr="000E5786">
        <w:rPr>
          <w:rFonts w:cs="Arial"/>
          <w:szCs w:val="20"/>
        </w:rPr>
      </w:r>
      <w:r w:rsidR="00B92CF3" w:rsidRPr="000E5786">
        <w:rPr>
          <w:rFonts w:cs="Arial"/>
          <w:szCs w:val="20"/>
        </w:rPr>
        <w:fldChar w:fldCharType="separate"/>
      </w:r>
      <w:r w:rsidR="002523A8" w:rsidRPr="000E5786">
        <w:rPr>
          <w:rFonts w:cs="Arial"/>
          <w:szCs w:val="20"/>
        </w:rPr>
        <w:t>36.1.3</w:t>
      </w:r>
      <w:r w:rsidR="00B92CF3" w:rsidRPr="000E5786">
        <w:rPr>
          <w:rFonts w:cs="Arial"/>
          <w:szCs w:val="20"/>
        </w:rPr>
        <w:fldChar w:fldCharType="end"/>
      </w:r>
      <w:r w:rsidRPr="000E5786">
        <w:rPr>
          <w:rFonts w:cs="Arial"/>
          <w:szCs w:val="20"/>
        </w:rPr>
        <w:t xml:space="preserve"> (Termination by</w:t>
      </w:r>
      <w:r w:rsidR="00613A6B" w:rsidRPr="000E5786">
        <w:rPr>
          <w:rFonts w:cs="Arial"/>
          <w:szCs w:val="20"/>
        </w:rPr>
        <w:t xml:space="preserv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or clause </w:t>
      </w:r>
      <w:r w:rsidR="00B92CF3" w:rsidRPr="000E5786">
        <w:rPr>
          <w:rFonts w:cs="Arial"/>
          <w:szCs w:val="20"/>
        </w:rPr>
        <w:fldChar w:fldCharType="begin"/>
      </w:r>
      <w:r w:rsidR="00B92CF3" w:rsidRPr="000E5786">
        <w:rPr>
          <w:rFonts w:cs="Arial"/>
          <w:szCs w:val="20"/>
        </w:rPr>
        <w:instrText xml:space="preserve">  REF _Ref53585557 \w \h \* MERGEFORMAT </w:instrText>
      </w:r>
      <w:r w:rsidR="00B92CF3" w:rsidRPr="000E5786">
        <w:rPr>
          <w:rFonts w:cs="Arial"/>
          <w:szCs w:val="20"/>
        </w:rPr>
      </w:r>
      <w:r w:rsidR="00B92CF3" w:rsidRPr="000E5786">
        <w:rPr>
          <w:rFonts w:cs="Arial"/>
          <w:szCs w:val="20"/>
        </w:rPr>
        <w:fldChar w:fldCharType="separate"/>
      </w:r>
      <w:r w:rsidR="002523A8" w:rsidRPr="000E5786">
        <w:rPr>
          <w:rFonts w:cs="Arial"/>
          <w:szCs w:val="20"/>
        </w:rPr>
        <w:t>36.3.2</w:t>
      </w:r>
      <w:r w:rsidR="00B92CF3" w:rsidRPr="000E5786">
        <w:rPr>
          <w:rFonts w:cs="Arial"/>
          <w:szCs w:val="20"/>
        </w:rPr>
        <w:fldChar w:fldCharType="end"/>
      </w:r>
      <w:r w:rsidRPr="000E5786">
        <w:rPr>
          <w:rFonts w:cs="Arial"/>
          <w:szCs w:val="20"/>
        </w:rPr>
        <w:t xml:space="preserve"> (Termination by the Supplier); and</w:t>
      </w:r>
      <w:bookmarkEnd w:id="1017"/>
    </w:p>
    <w:p w14:paraId="479C91D2" w14:textId="4A04A1FD" w:rsidR="0048699F" w:rsidRPr="000E5786" w:rsidRDefault="0048699F" w:rsidP="00834C1A">
      <w:pPr>
        <w:pStyle w:val="Heading4"/>
        <w:tabs>
          <w:tab w:val="clear" w:pos="1702"/>
        </w:tabs>
        <w:spacing w:after="120"/>
        <w:ind w:left="2410"/>
        <w:rPr>
          <w:rFonts w:cs="Arial"/>
          <w:szCs w:val="20"/>
        </w:rPr>
      </w:pPr>
      <w:bookmarkStart w:id="1018" w:name="_Ref53585536"/>
      <w:r w:rsidRPr="000E5786">
        <w:rPr>
          <w:rFonts w:cs="Arial"/>
          <w:szCs w:val="20"/>
        </w:rPr>
        <w:t xml:space="preserve">neither Party shall be liable for any Default arising as a result of such </w:t>
      </w:r>
      <w:proofErr w:type="gramStart"/>
      <w:r w:rsidRPr="000E5786">
        <w:rPr>
          <w:rFonts w:cs="Arial"/>
          <w:szCs w:val="20"/>
        </w:rPr>
        <w:t>failure;</w:t>
      </w:r>
      <w:bookmarkEnd w:id="1018"/>
      <w:proofErr w:type="gramEnd"/>
    </w:p>
    <w:p w14:paraId="5C92F6EC" w14:textId="0440B4FB" w:rsidR="0048699F" w:rsidRPr="000E5786" w:rsidRDefault="0048699F" w:rsidP="00346A37">
      <w:pPr>
        <w:pStyle w:val="Heading3"/>
      </w:pPr>
      <w:bookmarkStart w:id="1019" w:name="_Ref53585537"/>
      <w:r w:rsidRPr="000E5786">
        <w:t>the Supplier fails to perform its obligations in accordance with this Agreement:</w:t>
      </w:r>
      <w:bookmarkEnd w:id="1019"/>
    </w:p>
    <w:p w14:paraId="0D17A4CA" w14:textId="224CD3E4" w:rsidR="0048699F" w:rsidRPr="000E5786" w:rsidRDefault="001F1C19" w:rsidP="00834C1A">
      <w:pPr>
        <w:pStyle w:val="Heading4"/>
        <w:tabs>
          <w:tab w:val="clear" w:pos="1702"/>
        </w:tabs>
        <w:spacing w:after="120"/>
        <w:ind w:left="2410"/>
        <w:rPr>
          <w:rFonts w:cs="Arial"/>
          <w:szCs w:val="20"/>
        </w:rPr>
      </w:pPr>
      <w:bookmarkStart w:id="1020" w:name="_Ref53585538"/>
      <w:proofErr w:type="spellStart"/>
      <w:r>
        <w:rPr>
          <w:rFonts w:cs="Arial"/>
          <w:szCs w:val="20"/>
        </w:rPr>
        <w:t>Netlink</w:t>
      </w:r>
      <w:proofErr w:type="spellEnd"/>
      <w:r>
        <w:rPr>
          <w:rFonts w:cs="Arial"/>
          <w:szCs w:val="20"/>
        </w:rPr>
        <w:t xml:space="preserve"> Star</w:t>
      </w:r>
      <w:r w:rsidR="0048699F" w:rsidRPr="000E5786">
        <w:rPr>
          <w:rFonts w:cs="Arial"/>
          <w:szCs w:val="20"/>
        </w:rPr>
        <w:t xml:space="preserve"> shall not be entitled:</w:t>
      </w:r>
      <w:bookmarkEnd w:id="1020"/>
    </w:p>
    <w:p w14:paraId="70497C18" w14:textId="502C90B9" w:rsidR="0048699F" w:rsidRPr="000E5786" w:rsidRDefault="0048699F" w:rsidP="00DD60F0">
      <w:pPr>
        <w:pStyle w:val="Heading5"/>
        <w:spacing w:after="120"/>
        <w:rPr>
          <w:rFonts w:cs="Arial"/>
          <w:szCs w:val="20"/>
        </w:rPr>
      </w:pPr>
      <w:bookmarkStart w:id="1021" w:name="_Ref53585539"/>
      <w:r w:rsidRPr="000E5786">
        <w:rPr>
          <w:rFonts w:cs="Arial"/>
          <w:szCs w:val="20"/>
        </w:rPr>
        <w:t>during the continuance of the Force Majeure Event to exercise its</w:t>
      </w:r>
      <w:r w:rsidR="00613A6B" w:rsidRPr="000E5786">
        <w:rPr>
          <w:rFonts w:cs="Arial"/>
          <w:szCs w:val="20"/>
        </w:rPr>
        <w:t xml:space="preserve"> </w:t>
      </w:r>
      <w:r w:rsidRPr="000E5786">
        <w:rPr>
          <w:rFonts w:cs="Arial"/>
          <w:szCs w:val="20"/>
        </w:rPr>
        <w:t xml:space="preserve">rights under clause </w:t>
      </w:r>
      <w:r w:rsidR="00B92CF3" w:rsidRPr="000E5786">
        <w:rPr>
          <w:rFonts w:cs="Arial"/>
          <w:szCs w:val="20"/>
        </w:rPr>
        <w:fldChar w:fldCharType="begin"/>
      </w:r>
      <w:r w:rsidR="00B92CF3" w:rsidRPr="000E5786">
        <w:rPr>
          <w:rFonts w:cs="Arial"/>
          <w:szCs w:val="20"/>
        </w:rPr>
        <w:instrText xml:space="preserve">  REF _Ref53585730 \w \h \* MERGEFORMAT </w:instrText>
      </w:r>
      <w:r w:rsidR="00B92CF3" w:rsidRPr="000E5786">
        <w:rPr>
          <w:rFonts w:cs="Arial"/>
          <w:szCs w:val="20"/>
        </w:rPr>
      </w:r>
      <w:r w:rsidR="00B92CF3" w:rsidRPr="000E5786">
        <w:rPr>
          <w:rFonts w:cs="Arial"/>
          <w:szCs w:val="20"/>
        </w:rPr>
        <w:fldChar w:fldCharType="separate"/>
      </w:r>
      <w:r w:rsidR="002523A8" w:rsidRPr="000E5786">
        <w:rPr>
          <w:rFonts w:cs="Arial"/>
          <w:szCs w:val="20"/>
        </w:rPr>
        <w:t>32</w:t>
      </w:r>
      <w:r w:rsidR="00B92CF3" w:rsidRPr="000E5786">
        <w:rPr>
          <w:rFonts w:cs="Arial"/>
          <w:szCs w:val="20"/>
        </w:rPr>
        <w:fldChar w:fldCharType="end"/>
      </w:r>
      <w:r w:rsidRPr="000E5786">
        <w:rPr>
          <w:rFonts w:cs="Arial"/>
          <w:szCs w:val="20"/>
        </w:rPr>
        <w:t xml:space="preserve"> (Remedial Adviser) and/or clause </w:t>
      </w:r>
      <w:r w:rsidR="008A7C81" w:rsidRPr="000E5786">
        <w:rPr>
          <w:rFonts w:cs="Arial"/>
          <w:szCs w:val="20"/>
        </w:rPr>
        <w:fldChar w:fldCharType="begin"/>
      </w:r>
      <w:r w:rsidR="008A7C81" w:rsidRPr="000E5786">
        <w:rPr>
          <w:rFonts w:cs="Arial"/>
          <w:szCs w:val="20"/>
        </w:rPr>
        <w:instrText xml:space="preserve">  REF _Ref53585731 \w \h \* MERGEFORMAT </w:instrText>
      </w:r>
      <w:r w:rsidR="008A7C81" w:rsidRPr="000E5786">
        <w:rPr>
          <w:rFonts w:cs="Arial"/>
          <w:szCs w:val="20"/>
        </w:rPr>
      </w:r>
      <w:r w:rsidR="008A7C81" w:rsidRPr="000E5786">
        <w:rPr>
          <w:rFonts w:cs="Arial"/>
          <w:szCs w:val="20"/>
        </w:rPr>
        <w:fldChar w:fldCharType="separate"/>
      </w:r>
      <w:r w:rsidR="002523A8" w:rsidRPr="000E5786">
        <w:rPr>
          <w:rFonts w:cs="Arial"/>
          <w:szCs w:val="20"/>
        </w:rPr>
        <w:t>33</w:t>
      </w:r>
      <w:r w:rsidR="008A7C81" w:rsidRPr="000E5786">
        <w:rPr>
          <w:rFonts w:cs="Arial"/>
          <w:szCs w:val="20"/>
        </w:rPr>
        <w:fldChar w:fldCharType="end"/>
      </w:r>
      <w:r w:rsidRPr="000E5786">
        <w:rPr>
          <w:rFonts w:cs="Arial"/>
          <w:szCs w:val="20"/>
        </w:rPr>
        <w:t xml:space="preserve"> (Step</w:t>
      </w:r>
      <w:r w:rsidR="00275E2E">
        <w:rPr>
          <w:rFonts w:cs="Arial"/>
          <w:szCs w:val="20"/>
        </w:rPr>
        <w:t>-</w:t>
      </w:r>
      <w:r w:rsidRPr="000E5786">
        <w:rPr>
          <w:rFonts w:cs="Arial"/>
          <w:szCs w:val="20"/>
        </w:rPr>
        <w:t>In Rights) as a result of such failure;</w:t>
      </w:r>
      <w:bookmarkEnd w:id="1021"/>
    </w:p>
    <w:p w14:paraId="532E58B1" w14:textId="7FE20196" w:rsidR="0048699F" w:rsidRPr="000E5786" w:rsidRDefault="0048699F" w:rsidP="00DD60F0">
      <w:pPr>
        <w:pStyle w:val="Heading5"/>
        <w:spacing w:after="120"/>
        <w:rPr>
          <w:rFonts w:cs="Arial"/>
          <w:szCs w:val="20"/>
        </w:rPr>
      </w:pPr>
      <w:bookmarkStart w:id="1022" w:name="_Ref53585540"/>
      <w:r w:rsidRPr="000E5786">
        <w:rPr>
          <w:rFonts w:cs="Arial"/>
          <w:szCs w:val="20"/>
        </w:rPr>
        <w:lastRenderedPageBreak/>
        <w:t xml:space="preserve">to receive Delay Payments pursuant to clause </w:t>
      </w:r>
      <w:r w:rsidR="008A7C81" w:rsidRPr="000E5786">
        <w:rPr>
          <w:rFonts w:cs="Arial"/>
          <w:szCs w:val="20"/>
        </w:rPr>
        <w:fldChar w:fldCharType="begin"/>
      </w:r>
      <w:r w:rsidR="008A7C81" w:rsidRPr="000E5786">
        <w:rPr>
          <w:rFonts w:cs="Arial"/>
          <w:szCs w:val="20"/>
        </w:rPr>
        <w:instrText xml:space="preserve">  REF _Ref53585729 \w \h \* MERGEFORMAT </w:instrText>
      </w:r>
      <w:r w:rsidR="008A7C81" w:rsidRPr="000E5786">
        <w:rPr>
          <w:rFonts w:cs="Arial"/>
          <w:szCs w:val="20"/>
        </w:rPr>
      </w:r>
      <w:r w:rsidR="008A7C81" w:rsidRPr="000E5786">
        <w:rPr>
          <w:rFonts w:cs="Arial"/>
          <w:szCs w:val="20"/>
        </w:rPr>
        <w:fldChar w:fldCharType="separate"/>
      </w:r>
      <w:r w:rsidR="002523A8" w:rsidRPr="000E5786">
        <w:rPr>
          <w:rFonts w:cs="Arial"/>
          <w:szCs w:val="20"/>
        </w:rPr>
        <w:t>31</w:t>
      </w:r>
      <w:r w:rsidR="008A7C81" w:rsidRPr="000E5786">
        <w:rPr>
          <w:rFonts w:cs="Arial"/>
          <w:szCs w:val="20"/>
        </w:rPr>
        <w:fldChar w:fldCharType="end"/>
      </w:r>
      <w:r w:rsidRPr="000E5786">
        <w:rPr>
          <w:rFonts w:cs="Arial"/>
          <w:szCs w:val="20"/>
        </w:rPr>
        <w:t xml:space="preserve"> (Delay</w:t>
      </w:r>
      <w:r w:rsidR="00613A6B" w:rsidRPr="000E5786">
        <w:rPr>
          <w:rFonts w:cs="Arial"/>
          <w:szCs w:val="20"/>
        </w:rPr>
        <w:t xml:space="preserve"> </w:t>
      </w:r>
      <w:r w:rsidRPr="000E5786">
        <w:rPr>
          <w:rFonts w:cs="Arial"/>
          <w:szCs w:val="20"/>
        </w:rPr>
        <w:t>Payments) to the extent that the Achievement of any Milestone is affected by the Force Majeure Event; and</w:t>
      </w:r>
      <w:bookmarkEnd w:id="1022"/>
    </w:p>
    <w:p w14:paraId="340D4FF9" w14:textId="0FABEEF5" w:rsidR="0048699F" w:rsidRPr="000E5786" w:rsidRDefault="0048699F" w:rsidP="00DD60F0">
      <w:pPr>
        <w:pStyle w:val="Heading5"/>
        <w:spacing w:after="120"/>
        <w:rPr>
          <w:rFonts w:cs="Arial"/>
          <w:szCs w:val="20"/>
        </w:rPr>
      </w:pPr>
      <w:bookmarkStart w:id="1023" w:name="_Ref53585541"/>
      <w:r w:rsidRPr="000E5786">
        <w:rPr>
          <w:rFonts w:cs="Arial"/>
          <w:szCs w:val="20"/>
        </w:rPr>
        <w:t xml:space="preserve">to receive Service Credits, to withhold any of the Service Charges pursuant to clause </w:t>
      </w:r>
      <w:r w:rsidR="008A7C81" w:rsidRPr="000E5786">
        <w:rPr>
          <w:rFonts w:cs="Arial"/>
          <w:szCs w:val="20"/>
        </w:rPr>
        <w:fldChar w:fldCharType="begin"/>
      </w:r>
      <w:r w:rsidR="008A7C81" w:rsidRPr="000E5786">
        <w:rPr>
          <w:rFonts w:cs="Arial"/>
          <w:szCs w:val="20"/>
        </w:rPr>
        <w:instrText xml:space="preserve">  REF _Ref53584877 \w \h \* MERGEFORMAT </w:instrText>
      </w:r>
      <w:r w:rsidR="008A7C81" w:rsidRPr="000E5786">
        <w:rPr>
          <w:rFonts w:cs="Arial"/>
          <w:szCs w:val="20"/>
        </w:rPr>
      </w:r>
      <w:r w:rsidR="008A7C81" w:rsidRPr="000E5786">
        <w:rPr>
          <w:rFonts w:cs="Arial"/>
          <w:szCs w:val="20"/>
        </w:rPr>
        <w:fldChar w:fldCharType="separate"/>
      </w:r>
      <w:r w:rsidR="002523A8" w:rsidRPr="000E5786">
        <w:rPr>
          <w:rFonts w:cs="Arial"/>
          <w:szCs w:val="20"/>
        </w:rPr>
        <w:t>8.2.3(b)</w:t>
      </w:r>
      <w:r w:rsidR="008A7C81" w:rsidRPr="000E5786">
        <w:rPr>
          <w:rFonts w:cs="Arial"/>
          <w:szCs w:val="20"/>
        </w:rPr>
        <w:fldChar w:fldCharType="end"/>
      </w:r>
      <w:r w:rsidRPr="000E5786">
        <w:rPr>
          <w:rFonts w:cs="Arial"/>
          <w:szCs w:val="20"/>
        </w:rPr>
        <w:t xml:space="preserve"> (Performance Failures) or withhold and retain any of the Service Charges as compensation pursuant to clause </w:t>
      </w:r>
      <w:r w:rsidR="008A7C81" w:rsidRPr="000E5786">
        <w:rPr>
          <w:rFonts w:cs="Arial"/>
          <w:szCs w:val="20"/>
        </w:rPr>
        <w:fldChar w:fldCharType="begin"/>
      </w:r>
      <w:r w:rsidR="008A7C81" w:rsidRPr="000E5786">
        <w:rPr>
          <w:rFonts w:cs="Arial"/>
          <w:szCs w:val="20"/>
        </w:rPr>
        <w:instrText xml:space="preserve">  REF _Ref53584889 \w \h \* MERGEFORMAT </w:instrText>
      </w:r>
      <w:r w:rsidR="008A7C81" w:rsidRPr="000E5786">
        <w:rPr>
          <w:rFonts w:cs="Arial"/>
          <w:szCs w:val="20"/>
        </w:rPr>
      </w:r>
      <w:r w:rsidR="008A7C81" w:rsidRPr="000E5786">
        <w:rPr>
          <w:rFonts w:cs="Arial"/>
          <w:szCs w:val="20"/>
        </w:rPr>
        <w:fldChar w:fldCharType="separate"/>
      </w:r>
      <w:r w:rsidR="002523A8" w:rsidRPr="000E5786">
        <w:rPr>
          <w:rFonts w:cs="Arial"/>
          <w:szCs w:val="20"/>
        </w:rPr>
        <w:t>8.4.1</w:t>
      </w:r>
      <w:r w:rsidR="008A7C81" w:rsidRPr="000E5786">
        <w:rPr>
          <w:rFonts w:cs="Arial"/>
          <w:szCs w:val="20"/>
        </w:rPr>
        <w:fldChar w:fldCharType="end"/>
      </w:r>
      <w:r w:rsidRPr="000E5786">
        <w:rPr>
          <w:rFonts w:cs="Arial"/>
          <w:szCs w:val="20"/>
        </w:rPr>
        <w:t xml:space="preserve"> (Unacceptable KPI Failure) to the extent that a Performance Failure has been caused by the Force Majeure Event; and</w:t>
      </w:r>
      <w:bookmarkEnd w:id="1023"/>
    </w:p>
    <w:p w14:paraId="7DC1DCD8" w14:textId="0DD03541" w:rsidR="0048699F" w:rsidRPr="000E5786" w:rsidRDefault="0048699F" w:rsidP="00834C1A">
      <w:pPr>
        <w:pStyle w:val="Heading4"/>
        <w:tabs>
          <w:tab w:val="clear" w:pos="1702"/>
        </w:tabs>
        <w:spacing w:after="120"/>
        <w:ind w:left="2410"/>
        <w:rPr>
          <w:rFonts w:cs="Arial"/>
          <w:szCs w:val="20"/>
        </w:rPr>
      </w:pPr>
      <w:bookmarkStart w:id="1024" w:name="_Ref53585542"/>
      <w:r w:rsidRPr="000E5786">
        <w:rPr>
          <w:rFonts w:cs="Arial"/>
          <w:szCs w:val="20"/>
        </w:rPr>
        <w:t>the Supplier shall be entitled to receive payment of the Charges (or a proportional payment of them) only to the extent that the Services (or part of the Services) continue to be performed in accordance with the terms of this Agreement during the occurrence of the Force Majeure Event.</w:t>
      </w:r>
      <w:bookmarkEnd w:id="1024"/>
    </w:p>
    <w:p w14:paraId="11423F0F" w14:textId="3B12FD32" w:rsidR="0048699F" w:rsidRPr="000E5786" w:rsidRDefault="0048699F" w:rsidP="00DD60F0">
      <w:pPr>
        <w:pStyle w:val="Heading2"/>
        <w:spacing w:after="120"/>
        <w:rPr>
          <w:rFonts w:cs="Arial"/>
          <w:szCs w:val="20"/>
        </w:rPr>
      </w:pPr>
      <w:bookmarkStart w:id="1025" w:name="_Ref53585543"/>
      <w:r w:rsidRPr="000E5786">
        <w:rPr>
          <w:rFonts w:cs="Arial"/>
          <w:szCs w:val="20"/>
        </w:rPr>
        <w:t>The Affected Party shall notify the other Party as soon as practicable after the Force Majeure Event ceases or no longer causes the Affected Party to be unable to comply with its obligations under this Agreement.</w:t>
      </w:r>
      <w:bookmarkEnd w:id="1025"/>
    </w:p>
    <w:p w14:paraId="21B40CDF" w14:textId="72D08DB1" w:rsidR="0048699F" w:rsidRPr="000E5786" w:rsidRDefault="0048699F" w:rsidP="00DD60F0">
      <w:pPr>
        <w:pStyle w:val="Heading2"/>
        <w:spacing w:after="120"/>
        <w:rPr>
          <w:rFonts w:cs="Arial"/>
          <w:szCs w:val="20"/>
        </w:rPr>
      </w:pPr>
      <w:bookmarkStart w:id="1026" w:name="_Ref53585544"/>
      <w:r w:rsidRPr="000E5786">
        <w:rPr>
          <w:rFonts w:cs="Arial"/>
          <w:szCs w:val="20"/>
        </w:rPr>
        <w:t xml:space="preserve">Relief from liability for the Affected Party under this clause </w:t>
      </w:r>
      <w:r w:rsidR="008A7C81" w:rsidRPr="000E5786">
        <w:rPr>
          <w:rFonts w:cs="Arial"/>
          <w:szCs w:val="20"/>
        </w:rPr>
        <w:fldChar w:fldCharType="begin"/>
      </w:r>
      <w:r w:rsidR="008A7C81" w:rsidRPr="000E5786">
        <w:rPr>
          <w:rFonts w:cs="Arial"/>
          <w:szCs w:val="20"/>
        </w:rPr>
        <w:instrText xml:space="preserve">  REF _Ref53585733 \w \h \* MERGEFORMAT </w:instrText>
      </w:r>
      <w:r w:rsidR="008A7C81" w:rsidRPr="000E5786">
        <w:rPr>
          <w:rFonts w:cs="Arial"/>
          <w:szCs w:val="20"/>
        </w:rPr>
      </w:r>
      <w:r w:rsidR="008A7C81" w:rsidRPr="000E5786">
        <w:rPr>
          <w:rFonts w:cs="Arial"/>
          <w:szCs w:val="20"/>
        </w:rPr>
        <w:fldChar w:fldCharType="separate"/>
      </w:r>
      <w:r w:rsidR="002523A8" w:rsidRPr="000E5786">
        <w:rPr>
          <w:rFonts w:cs="Arial"/>
          <w:szCs w:val="20"/>
        </w:rPr>
        <w:t>35</w:t>
      </w:r>
      <w:r w:rsidR="008A7C81" w:rsidRPr="000E5786">
        <w:rPr>
          <w:rFonts w:cs="Arial"/>
          <w:szCs w:val="20"/>
        </w:rPr>
        <w:fldChar w:fldCharType="end"/>
      </w:r>
      <w:r w:rsidRPr="000E5786">
        <w:rPr>
          <w:rFonts w:cs="Arial"/>
          <w:szCs w:val="20"/>
        </w:rPr>
        <w:t xml:space="preserve"> shall end as soon as the Force Majeure Event no longer causes the Affected Party to be unable to comply with its obligations under this Agreement and shall not be dependent on the serving of notice under clause </w:t>
      </w:r>
      <w:r w:rsidR="00AB56E0" w:rsidRPr="000E5786">
        <w:rPr>
          <w:rFonts w:cs="Arial"/>
          <w:szCs w:val="20"/>
        </w:rPr>
        <w:fldChar w:fldCharType="begin"/>
      </w:r>
      <w:r w:rsidR="00AB56E0" w:rsidRPr="000E5786">
        <w:rPr>
          <w:rFonts w:cs="Arial"/>
          <w:szCs w:val="20"/>
        </w:rPr>
        <w:instrText xml:space="preserve">  REF _Ref53585543 \w \h \* MERGEFORMAT </w:instrText>
      </w:r>
      <w:r w:rsidR="00AB56E0" w:rsidRPr="000E5786">
        <w:rPr>
          <w:rFonts w:cs="Arial"/>
          <w:szCs w:val="20"/>
        </w:rPr>
      </w:r>
      <w:r w:rsidR="00AB56E0" w:rsidRPr="000E5786">
        <w:rPr>
          <w:rFonts w:cs="Arial"/>
          <w:szCs w:val="20"/>
        </w:rPr>
        <w:fldChar w:fldCharType="separate"/>
      </w:r>
      <w:r w:rsidR="002523A8" w:rsidRPr="000E5786">
        <w:rPr>
          <w:rFonts w:cs="Arial"/>
          <w:szCs w:val="20"/>
        </w:rPr>
        <w:t>35.7</w:t>
      </w:r>
      <w:r w:rsidR="00AB56E0" w:rsidRPr="000E5786">
        <w:rPr>
          <w:rFonts w:cs="Arial"/>
          <w:szCs w:val="20"/>
        </w:rPr>
        <w:fldChar w:fldCharType="end"/>
      </w:r>
      <w:r w:rsidRPr="000E5786">
        <w:rPr>
          <w:rFonts w:cs="Arial"/>
          <w:szCs w:val="20"/>
        </w:rPr>
        <w:t>.</w:t>
      </w:r>
      <w:bookmarkEnd w:id="1026"/>
    </w:p>
    <w:p w14:paraId="135E8189" w14:textId="77777777" w:rsidR="0048699F" w:rsidRPr="000E5786" w:rsidRDefault="0048699F" w:rsidP="00DD60F0">
      <w:pPr>
        <w:pStyle w:val="BodyText"/>
        <w:spacing w:after="120"/>
        <w:rPr>
          <w:rFonts w:cs="Arial"/>
          <w:b/>
          <w:bCs/>
          <w:szCs w:val="20"/>
        </w:rPr>
      </w:pPr>
      <w:r w:rsidRPr="000E5786">
        <w:rPr>
          <w:rFonts w:cs="Arial"/>
          <w:b/>
          <w:bCs/>
          <w:szCs w:val="20"/>
        </w:rPr>
        <w:t>SECTION I – TERMINATION AND EXIT MANAGEMENT</w:t>
      </w:r>
    </w:p>
    <w:p w14:paraId="2B9C12ED" w14:textId="1FB19105" w:rsidR="0048699F" w:rsidRPr="000E5786" w:rsidRDefault="0048699F" w:rsidP="00DD60F0">
      <w:pPr>
        <w:pStyle w:val="Heading1"/>
        <w:spacing w:after="120"/>
        <w:rPr>
          <w:rFonts w:cs="Arial"/>
          <w:szCs w:val="20"/>
        </w:rPr>
      </w:pPr>
      <w:bookmarkStart w:id="1027" w:name="_Ref53585545"/>
      <w:bookmarkStart w:id="1028" w:name="_Ref53585734"/>
      <w:bookmarkStart w:id="1029" w:name="_Ref55487029"/>
      <w:bookmarkStart w:id="1030" w:name="_Toc71198960"/>
      <w:r w:rsidRPr="000E5786">
        <w:rPr>
          <w:rFonts w:cs="Arial"/>
          <w:szCs w:val="20"/>
        </w:rPr>
        <w:t>TERMINATION RIGHTS</w:t>
      </w:r>
      <w:bookmarkEnd w:id="1027"/>
      <w:bookmarkEnd w:id="1028"/>
      <w:bookmarkEnd w:id="1029"/>
      <w:bookmarkEnd w:id="1030"/>
    </w:p>
    <w:p w14:paraId="1D8EE3BE" w14:textId="1814D886" w:rsidR="0048699F" w:rsidRPr="000E5786" w:rsidRDefault="0048699F" w:rsidP="00CE5734">
      <w:pPr>
        <w:pStyle w:val="BodyText"/>
        <w:spacing w:after="120"/>
        <w:ind w:left="709" w:firstLine="0"/>
        <w:rPr>
          <w:rFonts w:cs="Arial"/>
          <w:szCs w:val="20"/>
          <w:u w:val="single"/>
        </w:rPr>
      </w:pPr>
      <w:r w:rsidRPr="000E5786">
        <w:rPr>
          <w:rFonts w:cs="Arial"/>
          <w:szCs w:val="20"/>
          <w:u w:val="single"/>
        </w:rPr>
        <w:t xml:space="preserve">Termination by </w:t>
      </w:r>
      <w:proofErr w:type="spellStart"/>
      <w:r w:rsidR="001F1C19">
        <w:rPr>
          <w:rFonts w:cs="Arial"/>
          <w:szCs w:val="20"/>
          <w:u w:val="single"/>
        </w:rPr>
        <w:t>Netlink</w:t>
      </w:r>
      <w:proofErr w:type="spellEnd"/>
      <w:r w:rsidR="001F1C19">
        <w:rPr>
          <w:rFonts w:cs="Arial"/>
          <w:szCs w:val="20"/>
          <w:u w:val="single"/>
        </w:rPr>
        <w:t xml:space="preserve"> Star</w:t>
      </w:r>
    </w:p>
    <w:p w14:paraId="0DC3BB1B" w14:textId="72C35150" w:rsidR="0048699F" w:rsidRPr="000E5786" w:rsidRDefault="001F1C19" w:rsidP="00DD60F0">
      <w:pPr>
        <w:pStyle w:val="Heading2"/>
        <w:spacing w:after="120"/>
        <w:rPr>
          <w:rFonts w:cs="Arial"/>
          <w:szCs w:val="20"/>
        </w:rPr>
      </w:pPr>
      <w:bookmarkStart w:id="1031" w:name="_Ref53585546"/>
      <w:proofErr w:type="spellStart"/>
      <w:r>
        <w:rPr>
          <w:rFonts w:cs="Arial"/>
          <w:szCs w:val="20"/>
        </w:rPr>
        <w:t>Netlink</w:t>
      </w:r>
      <w:proofErr w:type="spellEnd"/>
      <w:r>
        <w:rPr>
          <w:rFonts w:cs="Arial"/>
          <w:szCs w:val="20"/>
        </w:rPr>
        <w:t xml:space="preserve"> Star</w:t>
      </w:r>
      <w:r w:rsidR="0048699F" w:rsidRPr="000E5786">
        <w:rPr>
          <w:rFonts w:cs="Arial"/>
          <w:szCs w:val="20"/>
        </w:rPr>
        <w:t xml:space="preserve"> may terminate this Agreement by issuing a Termination Notice to the Supplier:</w:t>
      </w:r>
      <w:bookmarkEnd w:id="1031"/>
    </w:p>
    <w:p w14:paraId="28EDAE70" w14:textId="5221F99A" w:rsidR="0048699F" w:rsidRPr="000E5786" w:rsidRDefault="0048699F" w:rsidP="00346A37">
      <w:pPr>
        <w:pStyle w:val="Heading3"/>
      </w:pPr>
      <w:bookmarkStart w:id="1032" w:name="_Ref53585547"/>
      <w:r w:rsidRPr="000E5786">
        <w:t xml:space="preserve">for convenience at any time, </w:t>
      </w:r>
      <w:r w:rsidR="004E16EB" w:rsidRPr="00C0214D">
        <w:rPr>
          <w:rFonts w:eastAsia="Verdana"/>
        </w:rPr>
        <w:t xml:space="preserve">effective 90 days from issue of such Termination Notice, except </w:t>
      </w:r>
      <w:r w:rsidRPr="000E5786">
        <w:t xml:space="preserve">where the Agreement should not have been entered into in view of a serious infringement of obligations under European Law declared by the Court of Justice of the European Union under Article </w:t>
      </w:r>
      <w:bookmarkStart w:id="1033" w:name="DocXTextRef423"/>
      <w:r w:rsidRPr="000E5786">
        <w:t>258</w:t>
      </w:r>
      <w:bookmarkEnd w:id="1033"/>
      <w:r w:rsidRPr="000E5786">
        <w:t xml:space="preserve"> of the Treaty on the Functioning of the EU</w:t>
      </w:r>
      <w:r w:rsidR="004E16EB">
        <w:t xml:space="preserve"> </w:t>
      </w:r>
      <w:r w:rsidR="004E16EB" w:rsidRPr="00C0214D">
        <w:rPr>
          <w:rFonts w:eastAsia="Verdana"/>
        </w:rPr>
        <w:t xml:space="preserve">in which case such notice may be effective immediately. If such termination for convenience occurs prior to final acceptance of the Initial Transition </w:t>
      </w:r>
      <w:proofErr w:type="gramStart"/>
      <w:r w:rsidR="004E16EB" w:rsidRPr="00C0214D">
        <w:rPr>
          <w:rFonts w:eastAsia="Verdana"/>
        </w:rPr>
        <w:t>Project</w:t>
      </w:r>
      <w:proofErr w:type="gramEnd"/>
      <w:r w:rsidR="004E16EB" w:rsidRPr="00C0214D">
        <w:rPr>
          <w:rFonts w:eastAsia="Verdana"/>
        </w:rPr>
        <w:t xml:space="preserve"> then Supplier shall not be required to pay any amounts it has received</w:t>
      </w:r>
      <w:r w:rsidR="004E16EB">
        <w:rPr>
          <w:rFonts w:eastAsia="Verdana"/>
        </w:rPr>
        <w:t xml:space="preserve"> or due</w:t>
      </w:r>
      <w:r w:rsidR="004E16EB" w:rsidRPr="00C0214D">
        <w:rPr>
          <w:rFonts w:eastAsia="Verdana"/>
        </w:rPr>
        <w:t xml:space="preserve"> in respect of Milestones which have been Achieved</w:t>
      </w:r>
      <w:r w:rsidRPr="000E5786">
        <w:t>;</w:t>
      </w:r>
      <w:bookmarkEnd w:id="1032"/>
    </w:p>
    <w:p w14:paraId="5137B032" w14:textId="25D2F365" w:rsidR="001660DA" w:rsidRPr="000E5786" w:rsidRDefault="0048699F" w:rsidP="00346A37">
      <w:pPr>
        <w:pStyle w:val="Heading3"/>
      </w:pPr>
      <w:bookmarkStart w:id="1034" w:name="_Ref53585548"/>
      <w:r w:rsidRPr="000E5786">
        <w:t xml:space="preserve">if a Supplier Termination Event </w:t>
      </w:r>
      <w:proofErr w:type="gramStart"/>
      <w:r w:rsidRPr="000E5786">
        <w:t>occurs;</w:t>
      </w:r>
      <w:bookmarkEnd w:id="1034"/>
      <w:proofErr w:type="gramEnd"/>
    </w:p>
    <w:p w14:paraId="44221CF9" w14:textId="71DDF7A0" w:rsidR="0048699F" w:rsidRPr="000E5786" w:rsidRDefault="0048699F" w:rsidP="00346A37">
      <w:pPr>
        <w:pStyle w:val="Heading3"/>
      </w:pPr>
      <w:bookmarkStart w:id="1035" w:name="_Ref53585549"/>
      <w:r w:rsidRPr="000E5786">
        <w:t>if a Force Majeure Event endures for a continuous period of more than ninety (90) days; or</w:t>
      </w:r>
      <w:bookmarkEnd w:id="1035"/>
    </w:p>
    <w:p w14:paraId="6BBE4B6E" w14:textId="5AA05650" w:rsidR="0048699F" w:rsidRPr="000E5786" w:rsidRDefault="0048699F" w:rsidP="00346A37">
      <w:pPr>
        <w:pStyle w:val="Heading3"/>
      </w:pPr>
      <w:bookmarkStart w:id="1036" w:name="_Ref53585550"/>
      <w:r w:rsidRPr="000E5786">
        <w:t>if the Agreement has been amended to the extent that the Utilities Contracts Regulations require a new procurement procedure,</w:t>
      </w:r>
      <w:bookmarkEnd w:id="1036"/>
    </w:p>
    <w:p w14:paraId="7E60A608" w14:textId="77777777" w:rsidR="0048699F" w:rsidRPr="000E5786" w:rsidRDefault="0048699F" w:rsidP="00834C1A">
      <w:pPr>
        <w:pStyle w:val="BodyText1"/>
        <w:spacing w:after="120"/>
        <w:ind w:firstLine="0"/>
        <w:rPr>
          <w:rFonts w:cs="Arial"/>
          <w:szCs w:val="20"/>
        </w:rPr>
      </w:pPr>
      <w:r w:rsidRPr="000E5786">
        <w:rPr>
          <w:rFonts w:cs="Arial"/>
          <w:szCs w:val="20"/>
        </w:rPr>
        <w:t>and this Agreement shall terminate on the date specified in the Termination Notice.</w:t>
      </w:r>
    </w:p>
    <w:p w14:paraId="5CCE7079" w14:textId="0931E3D1" w:rsidR="0048699F" w:rsidRPr="000E5786" w:rsidRDefault="0048699F" w:rsidP="00DD60F0">
      <w:pPr>
        <w:pStyle w:val="Heading2"/>
        <w:spacing w:after="120"/>
        <w:rPr>
          <w:rFonts w:cs="Arial"/>
          <w:szCs w:val="20"/>
        </w:rPr>
      </w:pPr>
      <w:bookmarkStart w:id="1037" w:name="_Ref53585551"/>
      <w:r w:rsidRPr="000E5786">
        <w:rPr>
          <w:rFonts w:cs="Arial"/>
          <w:szCs w:val="20"/>
        </w:rPr>
        <w:t xml:space="preserve">Where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w:t>
      </w:r>
      <w:bookmarkEnd w:id="1037"/>
    </w:p>
    <w:p w14:paraId="76BDBDA0" w14:textId="7C1D41E4" w:rsidR="0048699F" w:rsidRPr="000E5786" w:rsidRDefault="0048699F" w:rsidP="00346A37">
      <w:pPr>
        <w:pStyle w:val="Heading3"/>
      </w:pPr>
      <w:bookmarkStart w:id="1038" w:name="_Ref53585552"/>
      <w:r w:rsidRPr="000E5786">
        <w:t xml:space="preserve">is terminating this Agreement under clause </w:t>
      </w:r>
      <w:r w:rsidR="00AB56E0" w:rsidRPr="000E5786">
        <w:fldChar w:fldCharType="begin"/>
      </w:r>
      <w:r w:rsidR="00AB56E0" w:rsidRPr="000E5786">
        <w:instrText xml:space="preserve">  REF _Ref53585548 \w \h \* MERGEFORMAT </w:instrText>
      </w:r>
      <w:r w:rsidR="00AB56E0" w:rsidRPr="000E5786">
        <w:fldChar w:fldCharType="separate"/>
      </w:r>
      <w:r w:rsidR="002523A8" w:rsidRPr="000E5786">
        <w:t>36.1.2</w:t>
      </w:r>
      <w:r w:rsidR="00AB56E0" w:rsidRPr="000E5786">
        <w:fldChar w:fldCharType="end"/>
      </w:r>
      <w:r w:rsidRPr="000E5786">
        <w:t xml:space="preserve"> due to the occurrence of either limb </w:t>
      </w:r>
      <w:bookmarkStart w:id="1039" w:name="DocXTextRef424"/>
      <w:r w:rsidRPr="000E5786">
        <w:t>(b)</w:t>
      </w:r>
      <w:bookmarkEnd w:id="1039"/>
      <w:r w:rsidRPr="000E5786">
        <w:t xml:space="preserve"> and/or </w:t>
      </w:r>
      <w:bookmarkStart w:id="1040" w:name="DocXTextRef425"/>
      <w:r w:rsidRPr="000E5786">
        <w:t>(</w:t>
      </w:r>
      <w:proofErr w:type="spellStart"/>
      <w:r w:rsidRPr="000E5786">
        <w:t>i</w:t>
      </w:r>
      <w:proofErr w:type="spellEnd"/>
      <w:r w:rsidRPr="000E5786">
        <w:t>)</w:t>
      </w:r>
      <w:bookmarkEnd w:id="1040"/>
      <w:r w:rsidRPr="000E5786">
        <w:t xml:space="preserve"> and/or </w:t>
      </w:r>
      <w:bookmarkStart w:id="1041" w:name="DocXTextRef426"/>
      <w:r w:rsidRPr="000E5786">
        <w:t>(j)</w:t>
      </w:r>
      <w:bookmarkEnd w:id="1041"/>
      <w:r w:rsidRPr="000E5786">
        <w:t xml:space="preserve"> of the definition of Supplier Termination Event, it may rely on a single material Default or on a number of Defaults or repeated Defaults (whether of the same or different obligations and regardless of whether such Defaults are cured) which taken together constitute a material Default; and/or</w:t>
      </w:r>
      <w:bookmarkEnd w:id="1038"/>
    </w:p>
    <w:p w14:paraId="47407E06" w14:textId="7D041579" w:rsidR="0048699F" w:rsidRPr="000E5786" w:rsidRDefault="0048699F" w:rsidP="00346A37">
      <w:pPr>
        <w:pStyle w:val="Heading3"/>
      </w:pPr>
      <w:bookmarkStart w:id="1042" w:name="_Ref53585553"/>
      <w:r w:rsidRPr="000E5786">
        <w:t xml:space="preserve">wishes to terminate this Agreement under clause </w:t>
      </w:r>
      <w:r w:rsidR="008E72B1" w:rsidRPr="000E5786">
        <w:fldChar w:fldCharType="begin"/>
      </w:r>
      <w:r w:rsidR="008E72B1" w:rsidRPr="000E5786">
        <w:instrText xml:space="preserve">  REF _Ref53585547 \w \h \* MERGEFORMAT </w:instrText>
      </w:r>
      <w:r w:rsidR="008E72B1" w:rsidRPr="000E5786">
        <w:fldChar w:fldCharType="separate"/>
      </w:r>
      <w:r w:rsidR="002523A8" w:rsidRPr="000E5786">
        <w:t>36.1.1</w:t>
      </w:r>
      <w:r w:rsidR="008E72B1" w:rsidRPr="000E5786">
        <w:fldChar w:fldCharType="end"/>
      </w:r>
      <w:r w:rsidRPr="000E5786">
        <w:t xml:space="preserve"> it may, prior to or</w:t>
      </w:r>
      <w:r w:rsidR="005858E2" w:rsidRPr="000E5786">
        <w:t xml:space="preserve"> </w:t>
      </w:r>
      <w:r w:rsidRPr="000E5786">
        <w:t>instead of terminating the whole of the Agreement, serve a Termination Notice requiring the partial termination of this Agreement</w:t>
      </w:r>
      <w:r w:rsidR="00501F4B" w:rsidRPr="000E5786">
        <w:t xml:space="preserve">, the termination of any element(s) of the Services and/or the </w:t>
      </w:r>
      <w:r w:rsidR="007D2E63" w:rsidRPr="000E5786">
        <w:t>termination or partial termination of any one or more Project Sheets</w:t>
      </w:r>
      <w:r w:rsidRPr="000E5786">
        <w:t>; and/or</w:t>
      </w:r>
      <w:bookmarkEnd w:id="1042"/>
    </w:p>
    <w:p w14:paraId="102F86D9" w14:textId="62A7AAB6" w:rsidR="0048699F" w:rsidRPr="000E5786" w:rsidRDefault="0048699F" w:rsidP="00346A37">
      <w:pPr>
        <w:pStyle w:val="Heading3"/>
      </w:pPr>
      <w:bookmarkStart w:id="1043" w:name="_Ref53585554"/>
      <w:r w:rsidRPr="000E5786">
        <w:t xml:space="preserve">has the right to terminate this Agreement under clause </w:t>
      </w:r>
      <w:r w:rsidR="008E72B1" w:rsidRPr="000E5786">
        <w:fldChar w:fldCharType="begin"/>
      </w:r>
      <w:r w:rsidR="008E72B1" w:rsidRPr="000E5786">
        <w:instrText xml:space="preserve">  REF _Ref53585548 \w \h \* MERGEFORMAT </w:instrText>
      </w:r>
      <w:r w:rsidR="008E72B1" w:rsidRPr="000E5786">
        <w:fldChar w:fldCharType="separate"/>
      </w:r>
      <w:r w:rsidR="002523A8" w:rsidRPr="000E5786">
        <w:t>36.1.2</w:t>
      </w:r>
      <w:r w:rsidR="008E72B1" w:rsidRPr="000E5786">
        <w:fldChar w:fldCharType="end"/>
      </w:r>
      <w:r w:rsidRPr="000E5786">
        <w:t xml:space="preserve"> or clause </w:t>
      </w:r>
      <w:r w:rsidR="008E72B1" w:rsidRPr="000E5786">
        <w:fldChar w:fldCharType="begin"/>
      </w:r>
      <w:r w:rsidR="008E72B1" w:rsidRPr="000E5786">
        <w:instrText xml:space="preserve">  REF _Ref53585549 \w \h \* MERGEFORMAT </w:instrText>
      </w:r>
      <w:r w:rsidR="008E72B1" w:rsidRPr="000E5786">
        <w:fldChar w:fldCharType="separate"/>
      </w:r>
      <w:r w:rsidR="002523A8" w:rsidRPr="000E5786">
        <w:t>36.1.3</w:t>
      </w:r>
      <w:r w:rsidR="008E72B1" w:rsidRPr="000E5786">
        <w:fldChar w:fldCharType="end"/>
      </w:r>
      <w:r w:rsidRPr="000E5786">
        <w:t xml:space="preserve">, it may, prior to or instead of terminating the whole of this Agreement, serve a Termination Notice requiring the partial termination of this Agreement to the extent </w:t>
      </w:r>
      <w:r w:rsidRPr="000E5786">
        <w:lastRenderedPageBreak/>
        <w:t>that it relates to any part of the Services which are materially affected by the relevant circumstances.</w:t>
      </w:r>
      <w:bookmarkEnd w:id="1043"/>
    </w:p>
    <w:p w14:paraId="4B79F8E2" w14:textId="0F98C528" w:rsidR="00470602" w:rsidRPr="000E5786" w:rsidRDefault="00081EE9" w:rsidP="00CE5734">
      <w:pPr>
        <w:pStyle w:val="BodyText"/>
        <w:spacing w:after="120"/>
        <w:ind w:left="709" w:firstLine="1"/>
        <w:rPr>
          <w:rFonts w:cs="Arial"/>
          <w:szCs w:val="20"/>
        </w:rPr>
      </w:pPr>
      <w:r w:rsidRPr="000E5786">
        <w:rPr>
          <w:rFonts w:cs="Arial"/>
          <w:szCs w:val="20"/>
        </w:rPr>
        <w:t xml:space="preserve">Notwithstanding clause </w:t>
      </w:r>
      <w:r w:rsidR="00EA6531" w:rsidRPr="000E5786">
        <w:rPr>
          <w:rFonts w:cs="Arial"/>
          <w:szCs w:val="20"/>
        </w:rPr>
        <w:fldChar w:fldCharType="begin"/>
      </w:r>
      <w:r w:rsidR="00EA6531" w:rsidRPr="000E5786">
        <w:rPr>
          <w:rFonts w:cs="Arial"/>
          <w:szCs w:val="20"/>
        </w:rPr>
        <w:instrText xml:space="preserve"> REF _Ref53585551 \r \h </w:instrText>
      </w:r>
      <w:r w:rsidR="00735203" w:rsidRPr="000E5786">
        <w:rPr>
          <w:rFonts w:cs="Arial"/>
          <w:szCs w:val="20"/>
        </w:rPr>
        <w:instrText xml:space="preserve"> \* MERGEFORMAT </w:instrText>
      </w:r>
      <w:r w:rsidR="00EA6531" w:rsidRPr="000E5786">
        <w:rPr>
          <w:rFonts w:cs="Arial"/>
          <w:szCs w:val="20"/>
        </w:rPr>
      </w:r>
      <w:r w:rsidR="00EA6531" w:rsidRPr="000E5786">
        <w:rPr>
          <w:rFonts w:cs="Arial"/>
          <w:szCs w:val="20"/>
        </w:rPr>
        <w:fldChar w:fldCharType="separate"/>
      </w:r>
      <w:r w:rsidR="002523A8" w:rsidRPr="000E5786">
        <w:rPr>
          <w:rFonts w:cs="Arial"/>
          <w:szCs w:val="20"/>
        </w:rPr>
        <w:t>36.2</w:t>
      </w:r>
      <w:r w:rsidR="00EA6531" w:rsidRPr="000E5786">
        <w:rPr>
          <w:rFonts w:cs="Arial"/>
          <w:szCs w:val="20"/>
        </w:rPr>
        <w:fldChar w:fldCharType="end"/>
      </w:r>
      <w:r w:rsidRPr="000E5786">
        <w:rPr>
          <w:rFonts w:cs="Arial"/>
          <w:szCs w:val="20"/>
        </w:rPr>
        <w:t xml:space="preserve"> above</w:t>
      </w:r>
      <w:r w:rsidR="00E313FF" w:rsidRPr="000E5786">
        <w:rPr>
          <w:rFonts w:cs="Arial"/>
          <w:szCs w:val="20"/>
        </w:rPr>
        <w:t xml:space="preserve"> but subject to clause </w:t>
      </w:r>
      <w:r w:rsidR="00E313FF" w:rsidRPr="000E5786">
        <w:rPr>
          <w:rFonts w:cs="Arial"/>
          <w:szCs w:val="20"/>
        </w:rPr>
        <w:fldChar w:fldCharType="begin"/>
      </w:r>
      <w:r w:rsidR="00E313FF" w:rsidRPr="000E5786">
        <w:rPr>
          <w:rFonts w:cs="Arial"/>
          <w:szCs w:val="20"/>
        </w:rPr>
        <w:instrText xml:space="preserve"> REF _Ref55485597 \r \h </w:instrText>
      </w:r>
      <w:r w:rsidR="00735203" w:rsidRPr="000E5786">
        <w:rPr>
          <w:rFonts w:cs="Arial"/>
          <w:szCs w:val="20"/>
        </w:rPr>
        <w:instrText xml:space="preserve"> \* MERGEFORMAT </w:instrText>
      </w:r>
      <w:r w:rsidR="00E313FF" w:rsidRPr="000E5786">
        <w:rPr>
          <w:rFonts w:cs="Arial"/>
          <w:szCs w:val="20"/>
        </w:rPr>
      </w:r>
      <w:r w:rsidR="00E313FF" w:rsidRPr="000E5786">
        <w:rPr>
          <w:rFonts w:cs="Arial"/>
          <w:szCs w:val="20"/>
        </w:rPr>
        <w:fldChar w:fldCharType="separate"/>
      </w:r>
      <w:r w:rsidR="002523A8" w:rsidRPr="000E5786">
        <w:rPr>
          <w:rFonts w:cs="Arial"/>
          <w:szCs w:val="20"/>
        </w:rPr>
        <w:t>33</w:t>
      </w:r>
      <w:r w:rsidR="00E313FF" w:rsidRPr="000E5786">
        <w:rPr>
          <w:rFonts w:cs="Arial"/>
          <w:szCs w:val="20"/>
        </w:rPr>
        <w:fldChar w:fldCharType="end"/>
      </w:r>
      <w:r w:rsidRPr="000E5786">
        <w:rPr>
          <w:rFonts w:cs="Arial"/>
          <w:szCs w:val="20"/>
        </w:rPr>
        <w:t xml:space="preserve">, </w:t>
      </w:r>
      <w:r w:rsidR="009973B4" w:rsidRPr="000E5786">
        <w:rPr>
          <w:rFonts w:cs="Arial"/>
          <w:szCs w:val="20"/>
        </w:rPr>
        <w:t xml:space="preserve">unless </w:t>
      </w:r>
      <w:proofErr w:type="spellStart"/>
      <w:r w:rsidR="001F1C19">
        <w:rPr>
          <w:rFonts w:cs="Arial"/>
          <w:szCs w:val="20"/>
        </w:rPr>
        <w:t>Netlink</w:t>
      </w:r>
      <w:proofErr w:type="spellEnd"/>
      <w:r w:rsidR="001F1C19">
        <w:rPr>
          <w:rFonts w:cs="Arial"/>
          <w:szCs w:val="20"/>
        </w:rPr>
        <w:t xml:space="preserve"> Star</w:t>
      </w:r>
      <w:r w:rsidR="009973B4" w:rsidRPr="000E5786">
        <w:rPr>
          <w:rFonts w:cs="Arial"/>
          <w:szCs w:val="20"/>
        </w:rPr>
        <w:t xml:space="preserve"> terminates th</w:t>
      </w:r>
      <w:r w:rsidR="00B7027F" w:rsidRPr="000E5786">
        <w:rPr>
          <w:rFonts w:cs="Arial"/>
          <w:szCs w:val="20"/>
        </w:rPr>
        <w:t>is</w:t>
      </w:r>
      <w:r w:rsidR="009973B4" w:rsidRPr="000E5786">
        <w:rPr>
          <w:rFonts w:cs="Arial"/>
          <w:szCs w:val="20"/>
        </w:rPr>
        <w:t xml:space="preserve"> Agreement in full, </w:t>
      </w:r>
      <w:r w:rsidR="00A90D8F" w:rsidRPr="000E5786">
        <w:rPr>
          <w:rFonts w:cs="Arial"/>
          <w:szCs w:val="20"/>
        </w:rPr>
        <w:t>at a minimum</w:t>
      </w:r>
      <w:r w:rsidR="00095712" w:rsidRPr="000E5786">
        <w:rPr>
          <w:rFonts w:cs="Arial"/>
          <w:szCs w:val="20"/>
        </w:rPr>
        <w:t xml:space="preserve"> </w:t>
      </w:r>
      <w:proofErr w:type="spellStart"/>
      <w:r w:rsidR="001F1C19">
        <w:rPr>
          <w:rFonts w:cs="Arial"/>
          <w:szCs w:val="20"/>
        </w:rPr>
        <w:t>Netlink</w:t>
      </w:r>
      <w:proofErr w:type="spellEnd"/>
      <w:r w:rsidR="001F1C19">
        <w:rPr>
          <w:rFonts w:cs="Arial"/>
          <w:szCs w:val="20"/>
        </w:rPr>
        <w:t xml:space="preserve"> Star</w:t>
      </w:r>
      <w:r w:rsidR="00095712" w:rsidRPr="000E5786">
        <w:rPr>
          <w:rFonts w:cs="Arial"/>
          <w:szCs w:val="20"/>
        </w:rPr>
        <w:t xml:space="preserve"> shall continue to pay the Base Overhead Charges and</w:t>
      </w:r>
      <w:r w:rsidR="00A90D8F" w:rsidRPr="000E5786">
        <w:rPr>
          <w:rFonts w:cs="Arial"/>
          <w:szCs w:val="20"/>
        </w:rPr>
        <w:t xml:space="preserve"> </w:t>
      </w:r>
      <w:r w:rsidR="009973B4" w:rsidRPr="000E5786">
        <w:rPr>
          <w:rFonts w:cs="Arial"/>
          <w:szCs w:val="20"/>
        </w:rPr>
        <w:t xml:space="preserve">the Supplier shall always </w:t>
      </w:r>
      <w:r w:rsidR="00EA6531" w:rsidRPr="000E5786">
        <w:rPr>
          <w:rFonts w:cs="Arial"/>
          <w:szCs w:val="20"/>
        </w:rPr>
        <w:t>continue to provide</w:t>
      </w:r>
      <w:r w:rsidR="00095712" w:rsidRPr="000E5786">
        <w:rPr>
          <w:rFonts w:cs="Arial"/>
          <w:szCs w:val="20"/>
        </w:rPr>
        <w:t xml:space="preserve"> the associated Services</w:t>
      </w:r>
      <w:r w:rsidR="00EA6531" w:rsidRPr="000E5786">
        <w:rPr>
          <w:rFonts w:cs="Arial"/>
          <w:szCs w:val="20"/>
        </w:rPr>
        <w:t xml:space="preserve">. </w:t>
      </w:r>
    </w:p>
    <w:p w14:paraId="0A54DE12" w14:textId="3444B900" w:rsidR="0048699F" w:rsidRPr="000E5786" w:rsidRDefault="0048699F" w:rsidP="00CE5734">
      <w:pPr>
        <w:pStyle w:val="BodyText"/>
        <w:spacing w:after="120"/>
        <w:ind w:left="709" w:firstLine="0"/>
        <w:rPr>
          <w:rFonts w:cs="Arial"/>
          <w:szCs w:val="20"/>
          <w:u w:val="single"/>
        </w:rPr>
      </w:pPr>
      <w:r w:rsidRPr="000E5786">
        <w:rPr>
          <w:rFonts w:cs="Arial"/>
          <w:szCs w:val="20"/>
          <w:u w:val="single"/>
        </w:rPr>
        <w:t>Termination by the Supplier</w:t>
      </w:r>
    </w:p>
    <w:p w14:paraId="74D80498" w14:textId="72D04421" w:rsidR="0048699F" w:rsidRPr="000E5786" w:rsidRDefault="0048699F" w:rsidP="00DD60F0">
      <w:pPr>
        <w:pStyle w:val="Heading2"/>
        <w:spacing w:after="120"/>
        <w:rPr>
          <w:rFonts w:cs="Arial"/>
          <w:szCs w:val="20"/>
        </w:rPr>
      </w:pPr>
      <w:bookmarkStart w:id="1044" w:name="_Ref53585555"/>
      <w:r w:rsidRPr="000E5786">
        <w:rPr>
          <w:rFonts w:cs="Arial"/>
          <w:szCs w:val="20"/>
        </w:rPr>
        <w:t xml:space="preserve">The Supplier may, by issuing a Termination Notice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terminate:</w:t>
      </w:r>
      <w:bookmarkEnd w:id="1044"/>
    </w:p>
    <w:p w14:paraId="1E3533EE" w14:textId="3D7D4D21" w:rsidR="0048699F" w:rsidRPr="000E5786" w:rsidRDefault="0048699F" w:rsidP="00346A37">
      <w:pPr>
        <w:pStyle w:val="Heading3"/>
      </w:pPr>
      <w:bookmarkStart w:id="1045" w:name="_Ref53585556"/>
      <w:r w:rsidRPr="000E5786">
        <w:t xml:space="preserve">this Agreement if </w:t>
      </w:r>
      <w:proofErr w:type="spellStart"/>
      <w:r w:rsidR="001F1C19">
        <w:t>Netlink</w:t>
      </w:r>
      <w:proofErr w:type="spellEnd"/>
      <w:r w:rsidR="001F1C19">
        <w:t xml:space="preserve"> Star</w:t>
      </w:r>
      <w:r w:rsidRPr="000E5786">
        <w:t xml:space="preserve"> fails to pay an undisputed sum due to the Supplier under this Agreement which in aggregate exceeds £500,000.00</w:t>
      </w:r>
      <w:r w:rsidRPr="000E5786">
        <w:rPr>
          <w:b/>
        </w:rPr>
        <w:t xml:space="preserve"> </w:t>
      </w:r>
      <w:r w:rsidRPr="000E5786">
        <w:t xml:space="preserve">and such amount remains outstanding forty </w:t>
      </w:r>
      <w:bookmarkStart w:id="1046" w:name="DocXTextRef431"/>
      <w:r w:rsidRPr="000E5786">
        <w:t>(40)</w:t>
      </w:r>
      <w:bookmarkEnd w:id="1046"/>
      <w:r w:rsidRPr="000E5786">
        <w:t xml:space="preserve"> Working Days after the receipt by </w:t>
      </w:r>
      <w:proofErr w:type="spellStart"/>
      <w:r w:rsidR="001F1C19">
        <w:t>Netlink</w:t>
      </w:r>
      <w:proofErr w:type="spellEnd"/>
      <w:r w:rsidR="001F1C19">
        <w:t xml:space="preserve"> Star</w:t>
      </w:r>
      <w:r w:rsidRPr="000E5786">
        <w:t xml:space="preserve"> of a notice of non-payment from the Supplier; or</w:t>
      </w:r>
      <w:bookmarkEnd w:id="1045"/>
    </w:p>
    <w:p w14:paraId="29B4CDDF" w14:textId="37A1AAA0" w:rsidR="00D24A5E" w:rsidRPr="000E5786" w:rsidRDefault="0048699F" w:rsidP="00346A37">
      <w:pPr>
        <w:pStyle w:val="Heading3"/>
      </w:pPr>
      <w:bookmarkStart w:id="1047" w:name="_Ref53585557"/>
      <w:r w:rsidRPr="000E5786">
        <w:t>any Services that are materially impacted by a Force Majeure Event that endures for a continuous period of more than ninety (90) days,</w:t>
      </w:r>
      <w:bookmarkEnd w:id="1047"/>
      <w:r w:rsidR="008E48C5" w:rsidRPr="000E5786">
        <w:t xml:space="preserve"> </w:t>
      </w:r>
    </w:p>
    <w:p w14:paraId="3894737A" w14:textId="0AFCB746" w:rsidR="0048699F" w:rsidRPr="000E5786" w:rsidRDefault="0048699F" w:rsidP="00834C1A">
      <w:pPr>
        <w:pStyle w:val="BodyText1"/>
        <w:spacing w:after="120"/>
        <w:ind w:firstLine="0"/>
        <w:rPr>
          <w:rFonts w:cs="Arial"/>
          <w:szCs w:val="20"/>
        </w:rPr>
      </w:pPr>
      <w:r w:rsidRPr="000E5786">
        <w:rPr>
          <w:rFonts w:cs="Arial"/>
          <w:szCs w:val="20"/>
        </w:rPr>
        <w:t xml:space="preserve">and this Agreement or the relevant Services (as the case may be) shall then terminate on the date specified in the Termination Notice (which shall not be less than twenty </w:t>
      </w:r>
      <w:bookmarkStart w:id="1048" w:name="DocXTextRef432"/>
      <w:r w:rsidRPr="000E5786">
        <w:rPr>
          <w:rFonts w:cs="Arial"/>
          <w:szCs w:val="20"/>
        </w:rPr>
        <w:t>(20)</w:t>
      </w:r>
      <w:bookmarkEnd w:id="1048"/>
      <w:r w:rsidRPr="000E5786">
        <w:rPr>
          <w:rFonts w:cs="Arial"/>
          <w:szCs w:val="20"/>
        </w:rPr>
        <w:t xml:space="preserve"> Working Days from the date of the issue of the Termination Notice).</w:t>
      </w:r>
      <w:r w:rsidR="000578A4" w:rsidRPr="000E5786">
        <w:rPr>
          <w:rFonts w:cs="Arial"/>
          <w:szCs w:val="20"/>
        </w:rPr>
        <w:t xml:space="preserve"> </w:t>
      </w:r>
      <w:r w:rsidRPr="000E5786">
        <w:rPr>
          <w:rFonts w:cs="Arial"/>
          <w:szCs w:val="20"/>
        </w:rPr>
        <w:t xml:space="preserve">If the operation of clause </w:t>
      </w:r>
      <w:r w:rsidR="000B582F" w:rsidRPr="000E5786">
        <w:rPr>
          <w:rFonts w:cs="Arial"/>
          <w:szCs w:val="20"/>
        </w:rPr>
        <w:fldChar w:fldCharType="begin"/>
      </w:r>
      <w:r w:rsidR="000B582F" w:rsidRPr="000E5786">
        <w:rPr>
          <w:rFonts w:cs="Arial"/>
          <w:szCs w:val="20"/>
        </w:rPr>
        <w:instrText xml:space="preserve">  REF _Ref53585557 \w \h \* MERGEFORMAT </w:instrText>
      </w:r>
      <w:r w:rsidR="000B582F" w:rsidRPr="000E5786">
        <w:rPr>
          <w:rFonts w:cs="Arial"/>
          <w:szCs w:val="20"/>
        </w:rPr>
      </w:r>
      <w:r w:rsidR="000B582F" w:rsidRPr="000E5786">
        <w:rPr>
          <w:rFonts w:cs="Arial"/>
          <w:szCs w:val="20"/>
        </w:rPr>
        <w:fldChar w:fldCharType="separate"/>
      </w:r>
      <w:r w:rsidR="002523A8" w:rsidRPr="000E5786">
        <w:rPr>
          <w:rFonts w:cs="Arial"/>
          <w:szCs w:val="20"/>
        </w:rPr>
        <w:t>36.3.2</w:t>
      </w:r>
      <w:r w:rsidR="000B582F" w:rsidRPr="000E5786">
        <w:rPr>
          <w:rFonts w:cs="Arial"/>
          <w:szCs w:val="20"/>
        </w:rPr>
        <w:fldChar w:fldCharType="end"/>
      </w:r>
      <w:r w:rsidRPr="000E5786">
        <w:rPr>
          <w:rFonts w:cs="Arial"/>
          <w:szCs w:val="20"/>
        </w:rPr>
        <w:t xml:space="preserve"> would result in a Partial Termination, the provisions of clause </w:t>
      </w:r>
      <w:r w:rsidR="000B582F" w:rsidRPr="000E5786">
        <w:rPr>
          <w:rFonts w:cs="Arial"/>
          <w:szCs w:val="20"/>
        </w:rPr>
        <w:fldChar w:fldCharType="begin"/>
      </w:r>
      <w:r w:rsidR="000B582F" w:rsidRPr="000E5786">
        <w:rPr>
          <w:rFonts w:cs="Arial"/>
          <w:szCs w:val="20"/>
        </w:rPr>
        <w:instrText xml:space="preserve">  REF _Ref53585558 \w \h \* MERGEFORMAT </w:instrText>
      </w:r>
      <w:r w:rsidR="000B582F" w:rsidRPr="000E5786">
        <w:rPr>
          <w:rFonts w:cs="Arial"/>
          <w:szCs w:val="20"/>
        </w:rPr>
      </w:r>
      <w:r w:rsidR="000B582F" w:rsidRPr="000E5786">
        <w:rPr>
          <w:rFonts w:cs="Arial"/>
          <w:szCs w:val="20"/>
        </w:rPr>
        <w:fldChar w:fldCharType="separate"/>
      </w:r>
      <w:r w:rsidR="002523A8" w:rsidRPr="000E5786">
        <w:rPr>
          <w:rFonts w:cs="Arial"/>
          <w:szCs w:val="20"/>
        </w:rPr>
        <w:t>36.4</w:t>
      </w:r>
      <w:r w:rsidR="000B582F" w:rsidRPr="000E5786">
        <w:rPr>
          <w:rFonts w:cs="Arial"/>
          <w:szCs w:val="20"/>
        </w:rPr>
        <w:fldChar w:fldCharType="end"/>
      </w:r>
      <w:r w:rsidRPr="000E5786">
        <w:rPr>
          <w:rFonts w:cs="Arial"/>
          <w:szCs w:val="20"/>
        </w:rPr>
        <w:t xml:space="preserve"> (Partial Termination) shall apply.</w:t>
      </w:r>
    </w:p>
    <w:p w14:paraId="321EDA79" w14:textId="31A6FF87" w:rsidR="0048699F" w:rsidRPr="000E5786" w:rsidRDefault="0048699F" w:rsidP="00CE5734">
      <w:pPr>
        <w:pStyle w:val="BodyText"/>
        <w:spacing w:after="120"/>
        <w:ind w:left="709" w:firstLine="0"/>
        <w:rPr>
          <w:rFonts w:cs="Arial"/>
          <w:szCs w:val="20"/>
          <w:u w:val="single"/>
        </w:rPr>
      </w:pPr>
      <w:r w:rsidRPr="000E5786">
        <w:rPr>
          <w:rFonts w:cs="Arial"/>
          <w:szCs w:val="20"/>
          <w:u w:val="single"/>
        </w:rPr>
        <w:t>Partial Termination</w:t>
      </w:r>
    </w:p>
    <w:p w14:paraId="64B034EA" w14:textId="12B3A88A" w:rsidR="0048699F" w:rsidRPr="000E5786" w:rsidRDefault="0048699F" w:rsidP="00DD60F0">
      <w:pPr>
        <w:pStyle w:val="Heading2"/>
        <w:spacing w:after="120"/>
        <w:rPr>
          <w:rFonts w:cs="Arial"/>
          <w:szCs w:val="20"/>
        </w:rPr>
      </w:pPr>
      <w:bookmarkStart w:id="1049" w:name="_Ref53585558"/>
      <w:r w:rsidRPr="000E5786">
        <w:rPr>
          <w:rFonts w:cs="Arial"/>
          <w:szCs w:val="20"/>
        </w:rPr>
        <w:t xml:space="preserve">If the Supplier notifies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pursuant to clause </w:t>
      </w:r>
      <w:r w:rsidR="000B582F" w:rsidRPr="000E5786">
        <w:rPr>
          <w:rFonts w:cs="Arial"/>
          <w:szCs w:val="20"/>
        </w:rPr>
        <w:fldChar w:fldCharType="begin"/>
      </w:r>
      <w:r w:rsidR="000B582F" w:rsidRPr="000E5786">
        <w:rPr>
          <w:rFonts w:cs="Arial"/>
          <w:szCs w:val="20"/>
        </w:rPr>
        <w:instrText xml:space="preserve">  REF _Ref53585557 \w \h \* MERGEFORMAT </w:instrText>
      </w:r>
      <w:r w:rsidR="000B582F" w:rsidRPr="000E5786">
        <w:rPr>
          <w:rFonts w:cs="Arial"/>
          <w:szCs w:val="20"/>
        </w:rPr>
      </w:r>
      <w:r w:rsidR="000B582F" w:rsidRPr="000E5786">
        <w:rPr>
          <w:rFonts w:cs="Arial"/>
          <w:szCs w:val="20"/>
        </w:rPr>
        <w:fldChar w:fldCharType="separate"/>
      </w:r>
      <w:r w:rsidR="002523A8" w:rsidRPr="000E5786">
        <w:rPr>
          <w:rFonts w:cs="Arial"/>
          <w:szCs w:val="20"/>
        </w:rPr>
        <w:t>36.3.2</w:t>
      </w:r>
      <w:r w:rsidR="000B582F" w:rsidRPr="000E5786">
        <w:rPr>
          <w:rFonts w:cs="Arial"/>
          <w:szCs w:val="20"/>
        </w:rPr>
        <w:fldChar w:fldCharType="end"/>
      </w:r>
      <w:r w:rsidRPr="000E5786">
        <w:rPr>
          <w:rFonts w:cs="Arial"/>
          <w:szCs w:val="20"/>
        </w:rPr>
        <w:t xml:space="preserve"> (Termination by the Supplier) that it intends to terminate this Agreement in part and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acting reasonably, believes that the effect of such Partial Termination is to render the remaining Services incapable of meeting a significant part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Requirements, then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be entitled to terminate the remaining part of this Agreement by serving a Termination Notice to the Supplier within one (1) month of receiving the Supplier’s Termination Notice.</w:t>
      </w:r>
      <w:r w:rsidR="000578A4" w:rsidRPr="000E5786">
        <w:rPr>
          <w:rFonts w:cs="Arial"/>
          <w:szCs w:val="20"/>
        </w:rPr>
        <w:t xml:space="preserve"> </w:t>
      </w:r>
      <w:r w:rsidRPr="000E5786">
        <w:rPr>
          <w:rFonts w:cs="Arial"/>
          <w:szCs w:val="20"/>
        </w:rPr>
        <w:t xml:space="preserve">For the purpose of this clause </w:t>
      </w:r>
      <w:r w:rsidR="000B582F" w:rsidRPr="000E5786">
        <w:rPr>
          <w:rFonts w:cs="Arial"/>
          <w:szCs w:val="20"/>
        </w:rPr>
        <w:fldChar w:fldCharType="begin"/>
      </w:r>
      <w:r w:rsidR="000B582F" w:rsidRPr="000E5786">
        <w:rPr>
          <w:rFonts w:cs="Arial"/>
          <w:szCs w:val="20"/>
        </w:rPr>
        <w:instrText xml:space="preserve">  REF _Ref53585558 \w \h \* MERGEFORMAT </w:instrText>
      </w:r>
      <w:r w:rsidR="000B582F" w:rsidRPr="000E5786">
        <w:rPr>
          <w:rFonts w:cs="Arial"/>
          <w:szCs w:val="20"/>
        </w:rPr>
      </w:r>
      <w:r w:rsidR="000B582F" w:rsidRPr="000E5786">
        <w:rPr>
          <w:rFonts w:cs="Arial"/>
          <w:szCs w:val="20"/>
        </w:rPr>
        <w:fldChar w:fldCharType="separate"/>
      </w:r>
      <w:r w:rsidR="002523A8" w:rsidRPr="000E5786">
        <w:rPr>
          <w:rFonts w:cs="Arial"/>
          <w:szCs w:val="20"/>
        </w:rPr>
        <w:t>36.4</w:t>
      </w:r>
      <w:r w:rsidR="000B582F" w:rsidRPr="000E5786">
        <w:rPr>
          <w:rFonts w:cs="Arial"/>
          <w:szCs w:val="20"/>
        </w:rPr>
        <w:fldChar w:fldCharType="end"/>
      </w:r>
      <w:r w:rsidRPr="000E5786">
        <w:rPr>
          <w:rFonts w:cs="Arial"/>
          <w:szCs w:val="20"/>
        </w:rPr>
        <w:t xml:space="preserve">, in assessing the significance of any part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Requirements, regard shall be had not only to the proportion of that part to the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Requirements as a whole, but also to the importance of the relevant part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w:t>
      </w:r>
      <w:bookmarkEnd w:id="1049"/>
    </w:p>
    <w:p w14:paraId="56EAD07F" w14:textId="6F2B96F6" w:rsidR="0048699F" w:rsidRPr="000E5786" w:rsidRDefault="0048699F" w:rsidP="00DD60F0">
      <w:pPr>
        <w:pStyle w:val="Heading2"/>
        <w:spacing w:after="120"/>
        <w:rPr>
          <w:rFonts w:cs="Arial"/>
          <w:szCs w:val="20"/>
        </w:rPr>
      </w:pPr>
      <w:bookmarkStart w:id="1050" w:name="_Ref53585559"/>
      <w:r w:rsidRPr="000E5786">
        <w:rPr>
          <w:rFonts w:cs="Arial"/>
          <w:szCs w:val="20"/>
        </w:rPr>
        <w:t>The Parties shall agree the effect of any Change necessitated by a Partial Termination in accordance with the Change Control Procedure, including the effect the Partial Termination may have on any other Services and the Charges, provided that:</w:t>
      </w:r>
      <w:bookmarkEnd w:id="1050"/>
    </w:p>
    <w:p w14:paraId="094D69AA" w14:textId="5ADE25CB" w:rsidR="0048699F" w:rsidRPr="000E5786" w:rsidRDefault="0048699F" w:rsidP="00346A37">
      <w:pPr>
        <w:pStyle w:val="Heading3"/>
      </w:pPr>
      <w:bookmarkStart w:id="1051" w:name="_Ref53585560"/>
      <w:r w:rsidRPr="000E5786">
        <w:t xml:space="preserve">the Supplier shall not be entitled to an increase in the Charges in respect of the Services that have not been terminated if the Partial Termination arises due to the occurrence of a Supplier Termination </w:t>
      </w:r>
      <w:proofErr w:type="gramStart"/>
      <w:r w:rsidRPr="000E5786">
        <w:t>Event;</w:t>
      </w:r>
      <w:bookmarkEnd w:id="1051"/>
      <w:proofErr w:type="gramEnd"/>
    </w:p>
    <w:p w14:paraId="79DB43D8" w14:textId="05B90B2A" w:rsidR="0048699F" w:rsidRPr="000E5786" w:rsidRDefault="0048699F" w:rsidP="00346A37">
      <w:pPr>
        <w:pStyle w:val="Heading3"/>
      </w:pPr>
      <w:bookmarkStart w:id="1052" w:name="_Ref53585561"/>
      <w:r w:rsidRPr="000E5786">
        <w:t>any adjustment to the Charges (if any) shall be calculated in accordance with the Financial Model and must be reasonable; and</w:t>
      </w:r>
      <w:bookmarkEnd w:id="1052"/>
    </w:p>
    <w:p w14:paraId="6BC6B24C" w14:textId="034CE8D3" w:rsidR="0048699F" w:rsidRPr="000E5786" w:rsidRDefault="0048699F" w:rsidP="00346A37">
      <w:pPr>
        <w:pStyle w:val="Heading3"/>
      </w:pPr>
      <w:bookmarkStart w:id="1053" w:name="_Ref53585562"/>
      <w:r w:rsidRPr="000E5786">
        <w:t>the Supplier shall not be entitled to reject the Change.</w:t>
      </w:r>
      <w:bookmarkEnd w:id="1053"/>
    </w:p>
    <w:p w14:paraId="3F48FADD" w14:textId="4B6DF612" w:rsidR="00E803C5" w:rsidRPr="000E5786" w:rsidRDefault="00E803C5" w:rsidP="00CE5734">
      <w:pPr>
        <w:pStyle w:val="BodyText"/>
        <w:spacing w:after="120"/>
        <w:ind w:left="709" w:firstLine="0"/>
        <w:rPr>
          <w:rFonts w:cs="Arial"/>
          <w:szCs w:val="20"/>
          <w:u w:val="single"/>
        </w:rPr>
      </w:pPr>
      <w:r w:rsidRPr="000E5786">
        <w:rPr>
          <w:rFonts w:cs="Arial"/>
          <w:szCs w:val="20"/>
          <w:u w:val="single"/>
        </w:rPr>
        <w:t>Suspension</w:t>
      </w:r>
    </w:p>
    <w:p w14:paraId="5B691A59" w14:textId="4D7FA7E6" w:rsidR="00E803C5" w:rsidRPr="000E5786" w:rsidRDefault="00A70128" w:rsidP="00DD60F0">
      <w:pPr>
        <w:pStyle w:val="Heading2"/>
        <w:spacing w:after="120"/>
        <w:rPr>
          <w:rFonts w:cs="Arial"/>
          <w:szCs w:val="20"/>
        </w:rPr>
      </w:pPr>
      <w:r w:rsidRPr="000E5786">
        <w:rPr>
          <w:rFonts w:cs="Arial"/>
          <w:szCs w:val="20"/>
        </w:rPr>
        <w:t>Without prejudice to any other rights available to it at law or pursuant to this Agreement, if the right</w:t>
      </w:r>
      <w:r w:rsidR="004A6AE7" w:rsidRPr="000E5786">
        <w:rPr>
          <w:rFonts w:cs="Arial"/>
          <w:szCs w:val="20"/>
        </w:rPr>
        <w:t xml:space="preserve"> for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to terminate this Agreement </w:t>
      </w:r>
      <w:r w:rsidR="007A4BFF" w:rsidRPr="000E5786">
        <w:rPr>
          <w:rFonts w:cs="Arial"/>
          <w:szCs w:val="20"/>
        </w:rPr>
        <w:t xml:space="preserve">either partially or in full </w:t>
      </w:r>
      <w:r w:rsidR="00093B7E" w:rsidRPr="000E5786">
        <w:rPr>
          <w:rFonts w:cs="Arial"/>
          <w:szCs w:val="20"/>
        </w:rPr>
        <w:t xml:space="preserve">arises </w:t>
      </w:r>
      <w:r w:rsidRPr="000E5786">
        <w:rPr>
          <w:rFonts w:cs="Arial"/>
          <w:szCs w:val="20"/>
        </w:rPr>
        <w:t xml:space="preserve">pursuant to </w:t>
      </w:r>
      <w:r w:rsidR="00093B7E" w:rsidRPr="000E5786">
        <w:rPr>
          <w:rFonts w:cs="Arial"/>
          <w:szCs w:val="20"/>
        </w:rPr>
        <w:t xml:space="preserve">this clause </w:t>
      </w:r>
      <w:r w:rsidR="00093B7E" w:rsidRPr="000E5786">
        <w:rPr>
          <w:rFonts w:cs="Arial"/>
          <w:szCs w:val="20"/>
        </w:rPr>
        <w:fldChar w:fldCharType="begin"/>
      </w:r>
      <w:r w:rsidR="00093B7E" w:rsidRPr="000E5786">
        <w:rPr>
          <w:rFonts w:cs="Arial"/>
          <w:szCs w:val="20"/>
        </w:rPr>
        <w:instrText xml:space="preserve"> REF _Ref55487029 \r \h </w:instrText>
      </w:r>
      <w:r w:rsidR="00735203" w:rsidRPr="000E5786">
        <w:rPr>
          <w:rFonts w:cs="Arial"/>
          <w:szCs w:val="20"/>
        </w:rPr>
        <w:instrText xml:space="preserve"> \* MERGEFORMAT </w:instrText>
      </w:r>
      <w:r w:rsidR="00093B7E" w:rsidRPr="000E5786">
        <w:rPr>
          <w:rFonts w:cs="Arial"/>
          <w:szCs w:val="20"/>
        </w:rPr>
      </w:r>
      <w:r w:rsidR="00093B7E" w:rsidRPr="000E5786">
        <w:rPr>
          <w:rFonts w:cs="Arial"/>
          <w:szCs w:val="20"/>
        </w:rPr>
        <w:fldChar w:fldCharType="separate"/>
      </w:r>
      <w:r w:rsidR="002523A8" w:rsidRPr="000E5786">
        <w:rPr>
          <w:rFonts w:cs="Arial"/>
          <w:szCs w:val="20"/>
        </w:rPr>
        <w:t>36</w:t>
      </w:r>
      <w:r w:rsidR="00093B7E" w:rsidRPr="000E5786">
        <w:rPr>
          <w:rFonts w:cs="Arial"/>
          <w:szCs w:val="20"/>
        </w:rPr>
        <w:fldChar w:fldCharType="end"/>
      </w:r>
      <w:r w:rsidRPr="000E5786">
        <w:rPr>
          <w:rFonts w:cs="Arial"/>
          <w:szCs w:val="20"/>
        </w:rPr>
        <w:t xml:space="preserv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choose in the alternative and in its absolute discretion to suspend the provision of the Services</w:t>
      </w:r>
      <w:r w:rsidR="000A1C2E" w:rsidRPr="000E5786">
        <w:rPr>
          <w:rFonts w:cs="Arial"/>
          <w:szCs w:val="20"/>
        </w:rPr>
        <w:t xml:space="preserve"> </w:t>
      </w:r>
      <w:r w:rsidR="00C10579" w:rsidRPr="000E5786">
        <w:rPr>
          <w:rFonts w:cs="Arial"/>
          <w:szCs w:val="20"/>
        </w:rPr>
        <w:t>by providing a Suspension Notice</w:t>
      </w:r>
      <w:r w:rsidR="000A1C2E" w:rsidRPr="000E5786">
        <w:rPr>
          <w:rFonts w:cs="Arial"/>
          <w:szCs w:val="20"/>
        </w:rPr>
        <w:t xml:space="preserve"> to the Supplier.</w:t>
      </w:r>
    </w:p>
    <w:p w14:paraId="40B2FF20" w14:textId="17134E67" w:rsidR="0048699F" w:rsidRPr="000E5786" w:rsidRDefault="0048699F" w:rsidP="00DD60F0">
      <w:pPr>
        <w:pStyle w:val="Heading1"/>
        <w:spacing w:after="120"/>
        <w:rPr>
          <w:rFonts w:cs="Arial"/>
          <w:szCs w:val="20"/>
        </w:rPr>
      </w:pPr>
      <w:bookmarkStart w:id="1054" w:name="_Ref53585563"/>
      <w:bookmarkStart w:id="1055" w:name="_Ref53585735"/>
      <w:bookmarkStart w:id="1056" w:name="_Toc71198961"/>
      <w:r w:rsidRPr="000E5786">
        <w:rPr>
          <w:rFonts w:cs="Arial"/>
          <w:szCs w:val="20"/>
        </w:rPr>
        <w:t>CONSEQUENCES OF EXPIRY OR TERMINATION</w:t>
      </w:r>
      <w:bookmarkEnd w:id="1054"/>
      <w:bookmarkEnd w:id="1055"/>
      <w:bookmarkEnd w:id="1056"/>
    </w:p>
    <w:p w14:paraId="2DF24FA9" w14:textId="57EBCD70" w:rsidR="0048699F" w:rsidRPr="000E5786" w:rsidRDefault="0048699F" w:rsidP="00CE5734">
      <w:pPr>
        <w:pStyle w:val="BodyText"/>
        <w:spacing w:after="120"/>
        <w:ind w:left="709" w:firstLine="0"/>
        <w:rPr>
          <w:rFonts w:cs="Arial"/>
          <w:szCs w:val="20"/>
          <w:u w:val="single"/>
        </w:rPr>
      </w:pPr>
      <w:r w:rsidRPr="000E5786">
        <w:rPr>
          <w:rFonts w:cs="Arial"/>
          <w:szCs w:val="20"/>
          <w:u w:val="single"/>
        </w:rPr>
        <w:t>General Provisions on Expiry or Termination</w:t>
      </w:r>
    </w:p>
    <w:p w14:paraId="06C002D1" w14:textId="28686258" w:rsidR="0048699F" w:rsidRPr="000E5786" w:rsidRDefault="0048699F" w:rsidP="00DD60F0">
      <w:pPr>
        <w:pStyle w:val="Heading2"/>
        <w:spacing w:after="120"/>
        <w:rPr>
          <w:rFonts w:cs="Arial"/>
          <w:szCs w:val="20"/>
        </w:rPr>
      </w:pPr>
      <w:bookmarkStart w:id="1057" w:name="_Ref53585564"/>
      <w:r w:rsidRPr="000E5786">
        <w:rPr>
          <w:rFonts w:cs="Arial"/>
          <w:szCs w:val="20"/>
        </w:rPr>
        <w:t xml:space="preserve">The provisions of clauses </w:t>
      </w:r>
      <w:r w:rsidR="000B582F" w:rsidRPr="000E5786">
        <w:rPr>
          <w:rFonts w:cs="Arial"/>
          <w:szCs w:val="20"/>
        </w:rPr>
        <w:fldChar w:fldCharType="begin"/>
      </w:r>
      <w:r w:rsidR="000B582F" w:rsidRPr="000E5786">
        <w:rPr>
          <w:rFonts w:cs="Arial"/>
          <w:szCs w:val="20"/>
        </w:rPr>
        <w:instrText xml:space="preserve">  REF _Ref53584825 \w \h \* MERGEFORMAT </w:instrText>
      </w:r>
      <w:r w:rsidR="000B582F" w:rsidRPr="000E5786">
        <w:rPr>
          <w:rFonts w:cs="Arial"/>
          <w:szCs w:val="20"/>
        </w:rPr>
      </w:r>
      <w:r w:rsidR="000B582F" w:rsidRPr="000E5786">
        <w:rPr>
          <w:rFonts w:cs="Arial"/>
          <w:szCs w:val="20"/>
        </w:rPr>
        <w:fldChar w:fldCharType="separate"/>
      </w:r>
      <w:r w:rsidR="002523A8" w:rsidRPr="000E5786">
        <w:rPr>
          <w:rFonts w:cs="Arial"/>
          <w:szCs w:val="20"/>
        </w:rPr>
        <w:t>5.8</w:t>
      </w:r>
      <w:r w:rsidR="000B582F" w:rsidRPr="000E5786">
        <w:rPr>
          <w:rFonts w:cs="Arial"/>
          <w:szCs w:val="20"/>
        </w:rPr>
        <w:fldChar w:fldCharType="end"/>
      </w:r>
      <w:r w:rsidRPr="000E5786">
        <w:rPr>
          <w:rFonts w:cs="Arial"/>
          <w:szCs w:val="20"/>
        </w:rPr>
        <w:t xml:space="preserve"> (Specially Written Software warranty), </w:t>
      </w:r>
      <w:r w:rsidR="000B582F" w:rsidRPr="000E5786">
        <w:rPr>
          <w:rFonts w:cs="Arial"/>
          <w:szCs w:val="20"/>
        </w:rPr>
        <w:fldChar w:fldCharType="begin"/>
      </w:r>
      <w:r w:rsidR="000B582F" w:rsidRPr="000E5786">
        <w:rPr>
          <w:rFonts w:cs="Arial"/>
          <w:szCs w:val="20"/>
        </w:rPr>
        <w:instrText xml:space="preserve">  REF _Ref53584950 \w \h \* MERGEFORMAT </w:instrText>
      </w:r>
      <w:r w:rsidR="000B582F" w:rsidRPr="000E5786">
        <w:rPr>
          <w:rFonts w:cs="Arial"/>
          <w:szCs w:val="20"/>
        </w:rPr>
      </w:r>
      <w:r w:rsidR="000B582F" w:rsidRPr="000E5786">
        <w:rPr>
          <w:rFonts w:cs="Arial"/>
          <w:szCs w:val="20"/>
        </w:rPr>
        <w:fldChar w:fldCharType="separate"/>
      </w:r>
      <w:r w:rsidR="002523A8" w:rsidRPr="000E5786">
        <w:rPr>
          <w:rFonts w:cs="Arial"/>
          <w:szCs w:val="20"/>
        </w:rPr>
        <w:t>12.5</w:t>
      </w:r>
      <w:r w:rsidR="000B582F" w:rsidRPr="000E5786">
        <w:rPr>
          <w:rFonts w:cs="Arial"/>
          <w:szCs w:val="20"/>
        </w:rPr>
        <w:fldChar w:fldCharType="end"/>
      </w:r>
      <w:r w:rsidRPr="000E5786">
        <w:rPr>
          <w:rFonts w:cs="Arial"/>
          <w:szCs w:val="20"/>
        </w:rPr>
        <w:t xml:space="preserve"> and </w:t>
      </w:r>
      <w:r w:rsidR="000B582F" w:rsidRPr="000E5786">
        <w:rPr>
          <w:rFonts w:cs="Arial"/>
          <w:szCs w:val="20"/>
        </w:rPr>
        <w:fldChar w:fldCharType="begin"/>
      </w:r>
      <w:r w:rsidR="000B582F" w:rsidRPr="000E5786">
        <w:rPr>
          <w:rFonts w:cs="Arial"/>
          <w:szCs w:val="20"/>
        </w:rPr>
        <w:instrText xml:space="preserve">  REF _Ref53584951 \w \h \* MERGEFORMAT </w:instrText>
      </w:r>
      <w:r w:rsidR="000B582F" w:rsidRPr="000E5786">
        <w:rPr>
          <w:rFonts w:cs="Arial"/>
          <w:szCs w:val="20"/>
        </w:rPr>
      </w:r>
      <w:r w:rsidR="000B582F" w:rsidRPr="000E5786">
        <w:rPr>
          <w:rFonts w:cs="Arial"/>
          <w:szCs w:val="20"/>
        </w:rPr>
        <w:fldChar w:fldCharType="separate"/>
      </w:r>
      <w:r w:rsidR="002523A8" w:rsidRPr="000E5786">
        <w:rPr>
          <w:rFonts w:cs="Arial"/>
          <w:szCs w:val="20"/>
        </w:rPr>
        <w:t>12.6</w:t>
      </w:r>
      <w:r w:rsidR="000B582F" w:rsidRPr="000E5786">
        <w:rPr>
          <w:rFonts w:cs="Arial"/>
          <w:szCs w:val="20"/>
        </w:rPr>
        <w:fldChar w:fldCharType="end"/>
      </w:r>
      <w:r w:rsidR="000B582F" w:rsidRPr="000E5786">
        <w:rPr>
          <w:rFonts w:cs="Arial"/>
          <w:szCs w:val="20"/>
        </w:rPr>
        <w:t xml:space="preserve"> (VAT)</w:t>
      </w:r>
      <w:r w:rsidRPr="000E5786">
        <w:rPr>
          <w:rFonts w:cs="Arial"/>
          <w:szCs w:val="20"/>
        </w:rPr>
        <w:t xml:space="preserve">, </w:t>
      </w:r>
      <w:r w:rsidR="00C94785" w:rsidRPr="000E5786">
        <w:rPr>
          <w:rFonts w:cs="Arial"/>
          <w:szCs w:val="20"/>
        </w:rPr>
        <w:fldChar w:fldCharType="begin"/>
      </w:r>
      <w:r w:rsidR="00C94785" w:rsidRPr="000E5786">
        <w:rPr>
          <w:rFonts w:cs="Arial"/>
          <w:szCs w:val="20"/>
        </w:rPr>
        <w:instrText xml:space="preserve">  REF _Ref53584952 \w \h \* MERGEFORMAT </w:instrText>
      </w:r>
      <w:r w:rsidR="00C94785" w:rsidRPr="000E5786">
        <w:rPr>
          <w:rFonts w:cs="Arial"/>
          <w:szCs w:val="20"/>
        </w:rPr>
      </w:r>
      <w:r w:rsidR="00C94785" w:rsidRPr="000E5786">
        <w:rPr>
          <w:rFonts w:cs="Arial"/>
          <w:szCs w:val="20"/>
        </w:rPr>
        <w:fldChar w:fldCharType="separate"/>
      </w:r>
      <w:r w:rsidR="002523A8" w:rsidRPr="000E5786">
        <w:rPr>
          <w:rFonts w:cs="Arial"/>
          <w:szCs w:val="20"/>
        </w:rPr>
        <w:t>12.8</w:t>
      </w:r>
      <w:r w:rsidR="00C94785" w:rsidRPr="000E5786">
        <w:rPr>
          <w:rFonts w:cs="Arial"/>
          <w:szCs w:val="20"/>
        </w:rPr>
        <w:fldChar w:fldCharType="end"/>
      </w:r>
      <w:r w:rsidRPr="000E5786">
        <w:rPr>
          <w:rFonts w:cs="Arial"/>
          <w:szCs w:val="20"/>
        </w:rPr>
        <w:t xml:space="preserve"> and </w:t>
      </w:r>
      <w:r w:rsidR="00C94785" w:rsidRPr="000E5786">
        <w:rPr>
          <w:rFonts w:cs="Arial"/>
          <w:szCs w:val="20"/>
        </w:rPr>
        <w:fldChar w:fldCharType="begin"/>
      </w:r>
      <w:r w:rsidR="00C94785" w:rsidRPr="000E5786">
        <w:rPr>
          <w:rFonts w:cs="Arial"/>
          <w:szCs w:val="20"/>
        </w:rPr>
        <w:instrText xml:space="preserve">  REF _Ref53584953 \w \h \* MERGEFORMAT </w:instrText>
      </w:r>
      <w:r w:rsidR="00C94785" w:rsidRPr="000E5786">
        <w:rPr>
          <w:rFonts w:cs="Arial"/>
          <w:szCs w:val="20"/>
        </w:rPr>
      </w:r>
      <w:r w:rsidR="00C94785" w:rsidRPr="000E5786">
        <w:rPr>
          <w:rFonts w:cs="Arial"/>
          <w:szCs w:val="20"/>
        </w:rPr>
        <w:fldChar w:fldCharType="separate"/>
      </w:r>
      <w:r w:rsidR="002523A8" w:rsidRPr="000E5786">
        <w:rPr>
          <w:rFonts w:cs="Arial"/>
          <w:szCs w:val="20"/>
        </w:rPr>
        <w:t>12.9</w:t>
      </w:r>
      <w:r w:rsidR="00C94785" w:rsidRPr="000E5786">
        <w:rPr>
          <w:rFonts w:cs="Arial"/>
          <w:szCs w:val="20"/>
        </w:rPr>
        <w:fldChar w:fldCharType="end"/>
      </w:r>
      <w:r w:rsidRPr="000E5786">
        <w:rPr>
          <w:rFonts w:cs="Arial"/>
          <w:szCs w:val="20"/>
        </w:rPr>
        <w:t xml:space="preserve"> (Set-off and Withholding), </w:t>
      </w:r>
      <w:r w:rsidR="00C94785" w:rsidRPr="000E5786">
        <w:rPr>
          <w:rFonts w:cs="Arial"/>
          <w:szCs w:val="20"/>
        </w:rPr>
        <w:fldChar w:fldCharType="begin"/>
      </w:r>
      <w:r w:rsidR="00C94785" w:rsidRPr="000E5786">
        <w:rPr>
          <w:rFonts w:cs="Arial"/>
          <w:szCs w:val="20"/>
        </w:rPr>
        <w:instrText xml:space="preserve">  REF _Ref53585711 \w \h \* MERGEFORMAT </w:instrText>
      </w:r>
      <w:r w:rsidR="00C94785" w:rsidRPr="000E5786">
        <w:rPr>
          <w:rFonts w:cs="Arial"/>
          <w:szCs w:val="20"/>
        </w:rPr>
      </w:r>
      <w:r w:rsidR="00C94785" w:rsidRPr="000E5786">
        <w:rPr>
          <w:rFonts w:cs="Arial"/>
          <w:szCs w:val="20"/>
        </w:rPr>
        <w:fldChar w:fldCharType="separate"/>
      </w:r>
      <w:r w:rsidR="002523A8" w:rsidRPr="000E5786">
        <w:rPr>
          <w:rFonts w:cs="Arial"/>
          <w:szCs w:val="20"/>
        </w:rPr>
        <w:t>14</w:t>
      </w:r>
      <w:r w:rsidR="00C94785" w:rsidRPr="000E5786">
        <w:rPr>
          <w:rFonts w:cs="Arial"/>
          <w:szCs w:val="20"/>
        </w:rPr>
        <w:fldChar w:fldCharType="end"/>
      </w:r>
      <w:r w:rsidRPr="000E5786">
        <w:rPr>
          <w:rFonts w:cs="Arial"/>
          <w:szCs w:val="20"/>
        </w:rPr>
        <w:t xml:space="preserve"> (Records, Reports</w:t>
      </w:r>
      <w:r w:rsidR="00C44DBA">
        <w:rPr>
          <w:rFonts w:cs="Arial"/>
          <w:szCs w:val="20"/>
        </w:rPr>
        <w:t xml:space="preserve"> &amp;</w:t>
      </w:r>
      <w:r w:rsidRPr="000E5786">
        <w:rPr>
          <w:rFonts w:cs="Arial"/>
          <w:szCs w:val="20"/>
        </w:rPr>
        <w:t xml:space="preserve"> Audits), </w:t>
      </w:r>
      <w:r w:rsidR="00C94785" w:rsidRPr="000E5786">
        <w:rPr>
          <w:rFonts w:cs="Arial"/>
          <w:szCs w:val="20"/>
        </w:rPr>
        <w:fldChar w:fldCharType="begin"/>
      </w:r>
      <w:r w:rsidR="00C94785" w:rsidRPr="000E5786">
        <w:rPr>
          <w:rFonts w:cs="Arial"/>
          <w:szCs w:val="20"/>
        </w:rPr>
        <w:instrText xml:space="preserve">  REF _Ref53585023 \w \h \* MERGEFORMAT </w:instrText>
      </w:r>
      <w:r w:rsidR="00C94785" w:rsidRPr="000E5786">
        <w:rPr>
          <w:rFonts w:cs="Arial"/>
          <w:szCs w:val="20"/>
        </w:rPr>
      </w:r>
      <w:r w:rsidR="00C94785" w:rsidRPr="000E5786">
        <w:rPr>
          <w:rFonts w:cs="Arial"/>
          <w:szCs w:val="20"/>
        </w:rPr>
        <w:fldChar w:fldCharType="separate"/>
      </w:r>
      <w:r w:rsidR="002523A8" w:rsidRPr="000E5786">
        <w:rPr>
          <w:rFonts w:cs="Arial"/>
          <w:szCs w:val="20"/>
        </w:rPr>
        <w:t>16.7</w:t>
      </w:r>
      <w:r w:rsidR="00C94785" w:rsidRPr="000E5786">
        <w:rPr>
          <w:rFonts w:cs="Arial"/>
          <w:szCs w:val="20"/>
        </w:rPr>
        <w:fldChar w:fldCharType="end"/>
      </w:r>
      <w:r w:rsidRPr="000E5786">
        <w:rPr>
          <w:rFonts w:cs="Arial"/>
          <w:szCs w:val="20"/>
        </w:rPr>
        <w:t xml:space="preserve"> (Employment Indemnity), </w:t>
      </w:r>
      <w:r w:rsidR="00C94785" w:rsidRPr="000E5786">
        <w:rPr>
          <w:rFonts w:cs="Arial"/>
          <w:szCs w:val="20"/>
        </w:rPr>
        <w:fldChar w:fldCharType="begin"/>
      </w:r>
      <w:r w:rsidR="00C94785" w:rsidRPr="000E5786">
        <w:rPr>
          <w:rFonts w:cs="Arial"/>
          <w:szCs w:val="20"/>
        </w:rPr>
        <w:instrText xml:space="preserve">  REF _Ref53585026 \w \h \* MERGEFORMAT </w:instrText>
      </w:r>
      <w:r w:rsidR="00C94785" w:rsidRPr="000E5786">
        <w:rPr>
          <w:rFonts w:cs="Arial"/>
          <w:szCs w:val="20"/>
        </w:rPr>
      </w:r>
      <w:r w:rsidR="00C94785" w:rsidRPr="000E5786">
        <w:rPr>
          <w:rFonts w:cs="Arial"/>
          <w:szCs w:val="20"/>
        </w:rPr>
        <w:fldChar w:fldCharType="separate"/>
      </w:r>
      <w:r w:rsidR="002523A8" w:rsidRPr="000E5786">
        <w:rPr>
          <w:rFonts w:cs="Arial"/>
          <w:szCs w:val="20"/>
        </w:rPr>
        <w:t>16.8</w:t>
      </w:r>
      <w:r w:rsidR="00C94785" w:rsidRPr="000E5786">
        <w:rPr>
          <w:rFonts w:cs="Arial"/>
          <w:szCs w:val="20"/>
        </w:rPr>
        <w:fldChar w:fldCharType="end"/>
      </w:r>
      <w:r w:rsidRPr="000E5786">
        <w:rPr>
          <w:rFonts w:cs="Arial"/>
          <w:szCs w:val="20"/>
        </w:rPr>
        <w:t xml:space="preserve"> (Income Tax and National Insurance Contributions), </w:t>
      </w:r>
      <w:r w:rsidR="00C94785" w:rsidRPr="000E5786">
        <w:rPr>
          <w:rFonts w:cs="Arial"/>
          <w:szCs w:val="20"/>
        </w:rPr>
        <w:fldChar w:fldCharType="begin"/>
      </w:r>
      <w:r w:rsidR="00C94785" w:rsidRPr="000E5786">
        <w:rPr>
          <w:rFonts w:cs="Arial"/>
          <w:szCs w:val="20"/>
        </w:rPr>
        <w:instrText xml:space="preserve">  REF _Ref53585715 \w \h \* MERGEFORMAT </w:instrText>
      </w:r>
      <w:r w:rsidR="00C94785" w:rsidRPr="000E5786">
        <w:rPr>
          <w:rFonts w:cs="Arial"/>
          <w:szCs w:val="20"/>
        </w:rPr>
      </w:r>
      <w:r w:rsidR="00C94785" w:rsidRPr="000E5786">
        <w:rPr>
          <w:rFonts w:cs="Arial"/>
          <w:szCs w:val="20"/>
        </w:rPr>
        <w:fldChar w:fldCharType="separate"/>
      </w:r>
      <w:r w:rsidR="002523A8" w:rsidRPr="000E5786">
        <w:rPr>
          <w:rFonts w:cs="Arial"/>
          <w:szCs w:val="20"/>
        </w:rPr>
        <w:t>18</w:t>
      </w:r>
      <w:r w:rsidR="00C94785" w:rsidRPr="000E5786">
        <w:rPr>
          <w:rFonts w:cs="Arial"/>
          <w:szCs w:val="20"/>
        </w:rPr>
        <w:fldChar w:fldCharType="end"/>
      </w:r>
      <w:r w:rsidRPr="000E5786">
        <w:rPr>
          <w:rFonts w:cs="Arial"/>
          <w:szCs w:val="20"/>
        </w:rPr>
        <w:t xml:space="preserve"> (Intellectual Property Rights), </w:t>
      </w:r>
      <w:r w:rsidR="00C94785" w:rsidRPr="000E5786">
        <w:rPr>
          <w:rFonts w:cs="Arial"/>
          <w:szCs w:val="20"/>
        </w:rPr>
        <w:fldChar w:fldCharType="begin"/>
      </w:r>
      <w:r w:rsidR="00C94785" w:rsidRPr="000E5786">
        <w:rPr>
          <w:rFonts w:cs="Arial"/>
          <w:szCs w:val="20"/>
        </w:rPr>
        <w:instrText xml:space="preserve">  REF _Ref53585716 \w \h \* MERGEFORMAT </w:instrText>
      </w:r>
      <w:r w:rsidR="00C94785" w:rsidRPr="000E5786">
        <w:rPr>
          <w:rFonts w:cs="Arial"/>
          <w:szCs w:val="20"/>
        </w:rPr>
      </w:r>
      <w:r w:rsidR="00C94785" w:rsidRPr="000E5786">
        <w:rPr>
          <w:rFonts w:cs="Arial"/>
          <w:szCs w:val="20"/>
        </w:rPr>
        <w:fldChar w:fldCharType="separate"/>
      </w:r>
      <w:r w:rsidR="002523A8" w:rsidRPr="000E5786">
        <w:rPr>
          <w:rFonts w:cs="Arial"/>
          <w:szCs w:val="20"/>
        </w:rPr>
        <w:t>19</w:t>
      </w:r>
      <w:r w:rsidR="00C94785" w:rsidRPr="000E5786">
        <w:rPr>
          <w:rFonts w:cs="Arial"/>
          <w:szCs w:val="20"/>
        </w:rPr>
        <w:fldChar w:fldCharType="end"/>
      </w:r>
      <w:r w:rsidRPr="000E5786">
        <w:rPr>
          <w:rFonts w:cs="Arial"/>
          <w:szCs w:val="20"/>
        </w:rPr>
        <w:t xml:space="preserve"> (Licences Granted by the Supplier), </w:t>
      </w:r>
      <w:r w:rsidR="00C94785" w:rsidRPr="000E5786">
        <w:rPr>
          <w:rFonts w:cs="Arial"/>
          <w:szCs w:val="20"/>
        </w:rPr>
        <w:fldChar w:fldCharType="begin"/>
      </w:r>
      <w:r w:rsidR="00C94785" w:rsidRPr="000E5786">
        <w:rPr>
          <w:rFonts w:cs="Arial"/>
          <w:szCs w:val="20"/>
        </w:rPr>
        <w:instrText xml:space="preserve">  REF _Ref53585234 \w \h \* MERGEFORMAT </w:instrText>
      </w:r>
      <w:r w:rsidR="00C94785" w:rsidRPr="000E5786">
        <w:rPr>
          <w:rFonts w:cs="Arial"/>
          <w:szCs w:val="20"/>
        </w:rPr>
      </w:r>
      <w:r w:rsidR="00C94785" w:rsidRPr="000E5786">
        <w:rPr>
          <w:rFonts w:cs="Arial"/>
          <w:szCs w:val="20"/>
        </w:rPr>
        <w:fldChar w:fldCharType="separate"/>
      </w:r>
      <w:r w:rsidR="002523A8" w:rsidRPr="000E5786">
        <w:rPr>
          <w:rFonts w:cs="Arial"/>
          <w:szCs w:val="20"/>
        </w:rPr>
        <w:t>22.1</w:t>
      </w:r>
      <w:r w:rsidR="00C94785" w:rsidRPr="000E5786">
        <w:rPr>
          <w:rFonts w:cs="Arial"/>
          <w:szCs w:val="20"/>
        </w:rPr>
        <w:fldChar w:fldCharType="end"/>
      </w:r>
      <w:r w:rsidRPr="000E5786">
        <w:rPr>
          <w:rFonts w:cs="Arial"/>
          <w:szCs w:val="20"/>
        </w:rPr>
        <w:t xml:space="preserve"> (IPRs Indemnity), , </w:t>
      </w:r>
      <w:r w:rsidR="00C5268E" w:rsidRPr="000E5786">
        <w:rPr>
          <w:rFonts w:cs="Arial"/>
          <w:szCs w:val="20"/>
        </w:rPr>
        <w:fldChar w:fldCharType="begin"/>
      </w:r>
      <w:r w:rsidR="00C5268E" w:rsidRPr="000E5786">
        <w:rPr>
          <w:rFonts w:cs="Arial"/>
          <w:szCs w:val="20"/>
        </w:rPr>
        <w:instrText xml:space="preserve">  REF _Ref53585722 \w \h \* MERGEFORMAT </w:instrText>
      </w:r>
      <w:r w:rsidR="00C5268E" w:rsidRPr="000E5786">
        <w:rPr>
          <w:rFonts w:cs="Arial"/>
          <w:szCs w:val="20"/>
        </w:rPr>
      </w:r>
      <w:r w:rsidR="00C5268E" w:rsidRPr="000E5786">
        <w:rPr>
          <w:rFonts w:cs="Arial"/>
          <w:szCs w:val="20"/>
        </w:rPr>
        <w:fldChar w:fldCharType="separate"/>
      </w:r>
      <w:r w:rsidR="002523A8" w:rsidRPr="000E5786">
        <w:rPr>
          <w:rFonts w:cs="Arial"/>
          <w:szCs w:val="20"/>
        </w:rPr>
        <w:t>24</w:t>
      </w:r>
      <w:r w:rsidR="00C5268E" w:rsidRPr="000E5786">
        <w:rPr>
          <w:rFonts w:cs="Arial"/>
          <w:szCs w:val="20"/>
        </w:rPr>
        <w:fldChar w:fldCharType="end"/>
      </w:r>
      <w:r w:rsidRPr="000E5786">
        <w:rPr>
          <w:rFonts w:cs="Arial"/>
          <w:szCs w:val="20"/>
        </w:rPr>
        <w:t xml:space="preserve"> (Confidentiality), </w:t>
      </w:r>
      <w:r w:rsidR="00C5268E" w:rsidRPr="000E5786">
        <w:rPr>
          <w:rFonts w:cs="Arial"/>
          <w:szCs w:val="20"/>
        </w:rPr>
        <w:fldChar w:fldCharType="begin"/>
      </w:r>
      <w:r w:rsidR="00C5268E" w:rsidRPr="000E5786">
        <w:rPr>
          <w:rFonts w:cs="Arial"/>
          <w:szCs w:val="20"/>
        </w:rPr>
        <w:instrText xml:space="preserve">  REF _Ref53585723 \w \h \* MERGEFORMAT </w:instrText>
      </w:r>
      <w:r w:rsidR="00C5268E" w:rsidRPr="000E5786">
        <w:rPr>
          <w:rFonts w:cs="Arial"/>
          <w:szCs w:val="20"/>
        </w:rPr>
      </w:r>
      <w:r w:rsidR="00C5268E" w:rsidRPr="000E5786">
        <w:rPr>
          <w:rFonts w:cs="Arial"/>
          <w:szCs w:val="20"/>
        </w:rPr>
        <w:fldChar w:fldCharType="separate"/>
      </w:r>
      <w:r w:rsidR="002523A8" w:rsidRPr="000E5786">
        <w:rPr>
          <w:rFonts w:cs="Arial"/>
          <w:szCs w:val="20"/>
        </w:rPr>
        <w:t>25</w:t>
      </w:r>
      <w:r w:rsidR="00C5268E" w:rsidRPr="000E5786">
        <w:rPr>
          <w:rFonts w:cs="Arial"/>
          <w:szCs w:val="20"/>
        </w:rPr>
        <w:fldChar w:fldCharType="end"/>
      </w:r>
      <w:r w:rsidRPr="000E5786">
        <w:rPr>
          <w:rFonts w:cs="Arial"/>
          <w:szCs w:val="20"/>
        </w:rPr>
        <w:t xml:space="preserve"> (Freedom of Information), </w:t>
      </w:r>
      <w:r w:rsidR="00C5268E" w:rsidRPr="000E5786">
        <w:rPr>
          <w:rFonts w:cs="Arial"/>
          <w:szCs w:val="20"/>
        </w:rPr>
        <w:fldChar w:fldCharType="begin"/>
      </w:r>
      <w:r w:rsidR="00C5268E" w:rsidRPr="000E5786">
        <w:rPr>
          <w:rFonts w:cs="Arial"/>
          <w:szCs w:val="20"/>
        </w:rPr>
        <w:instrText xml:space="preserve">  REF _Ref53585724 \w \h \* MERGEFORMAT </w:instrText>
      </w:r>
      <w:r w:rsidR="00C5268E" w:rsidRPr="000E5786">
        <w:rPr>
          <w:rFonts w:cs="Arial"/>
          <w:szCs w:val="20"/>
        </w:rPr>
      </w:r>
      <w:r w:rsidR="00C5268E" w:rsidRPr="000E5786">
        <w:rPr>
          <w:rFonts w:cs="Arial"/>
          <w:szCs w:val="20"/>
        </w:rPr>
        <w:fldChar w:fldCharType="separate"/>
      </w:r>
      <w:r w:rsidR="002523A8" w:rsidRPr="000E5786">
        <w:rPr>
          <w:rFonts w:cs="Arial"/>
          <w:szCs w:val="20"/>
        </w:rPr>
        <w:t>26</w:t>
      </w:r>
      <w:r w:rsidR="00C5268E" w:rsidRPr="000E5786">
        <w:rPr>
          <w:rFonts w:cs="Arial"/>
          <w:szCs w:val="20"/>
        </w:rPr>
        <w:fldChar w:fldCharType="end"/>
      </w:r>
      <w:r w:rsidRPr="000E5786">
        <w:rPr>
          <w:rFonts w:cs="Arial"/>
          <w:szCs w:val="20"/>
        </w:rPr>
        <w:t xml:space="preserve"> (Protection of Personal Data), </w:t>
      </w:r>
      <w:r w:rsidR="00C5268E" w:rsidRPr="000E5786">
        <w:rPr>
          <w:rFonts w:cs="Arial"/>
          <w:szCs w:val="20"/>
        </w:rPr>
        <w:fldChar w:fldCharType="begin"/>
      </w:r>
      <w:r w:rsidR="00C5268E" w:rsidRPr="000E5786">
        <w:rPr>
          <w:rFonts w:cs="Arial"/>
          <w:szCs w:val="20"/>
        </w:rPr>
        <w:instrText xml:space="preserve">  REF _Ref53585726 \w \h \* MERGEFORMAT </w:instrText>
      </w:r>
      <w:r w:rsidR="00C5268E" w:rsidRPr="000E5786">
        <w:rPr>
          <w:rFonts w:cs="Arial"/>
          <w:szCs w:val="20"/>
        </w:rPr>
      </w:r>
      <w:r w:rsidR="00C5268E" w:rsidRPr="000E5786">
        <w:rPr>
          <w:rFonts w:cs="Arial"/>
          <w:szCs w:val="20"/>
        </w:rPr>
        <w:fldChar w:fldCharType="separate"/>
      </w:r>
      <w:r w:rsidR="002523A8" w:rsidRPr="000E5786">
        <w:rPr>
          <w:rFonts w:cs="Arial"/>
          <w:szCs w:val="20"/>
        </w:rPr>
        <w:t>28</w:t>
      </w:r>
      <w:r w:rsidR="00C5268E" w:rsidRPr="000E5786">
        <w:rPr>
          <w:rFonts w:cs="Arial"/>
          <w:szCs w:val="20"/>
        </w:rPr>
        <w:fldChar w:fldCharType="end"/>
      </w:r>
      <w:r w:rsidRPr="000E5786">
        <w:rPr>
          <w:rFonts w:cs="Arial"/>
          <w:szCs w:val="20"/>
        </w:rPr>
        <w:t xml:space="preserve"> (Limitations on Liability), </w:t>
      </w:r>
      <w:r w:rsidR="00C5268E" w:rsidRPr="000E5786">
        <w:rPr>
          <w:rFonts w:cs="Arial"/>
          <w:szCs w:val="20"/>
        </w:rPr>
        <w:fldChar w:fldCharType="begin"/>
      </w:r>
      <w:r w:rsidR="00C5268E" w:rsidRPr="000E5786">
        <w:rPr>
          <w:rFonts w:cs="Arial"/>
          <w:szCs w:val="20"/>
        </w:rPr>
        <w:instrText xml:space="preserve">  REF _Ref53585735 \w \h \* MERGEFORMAT </w:instrText>
      </w:r>
      <w:r w:rsidR="00C5268E" w:rsidRPr="000E5786">
        <w:rPr>
          <w:rFonts w:cs="Arial"/>
          <w:szCs w:val="20"/>
        </w:rPr>
      </w:r>
      <w:r w:rsidR="00C5268E" w:rsidRPr="000E5786">
        <w:rPr>
          <w:rFonts w:cs="Arial"/>
          <w:szCs w:val="20"/>
        </w:rPr>
        <w:fldChar w:fldCharType="separate"/>
      </w:r>
      <w:r w:rsidR="002523A8" w:rsidRPr="000E5786">
        <w:rPr>
          <w:rFonts w:cs="Arial"/>
          <w:szCs w:val="20"/>
        </w:rPr>
        <w:t>37</w:t>
      </w:r>
      <w:r w:rsidR="00C5268E" w:rsidRPr="000E5786">
        <w:rPr>
          <w:rFonts w:cs="Arial"/>
          <w:szCs w:val="20"/>
        </w:rPr>
        <w:fldChar w:fldCharType="end"/>
      </w:r>
      <w:r w:rsidRPr="000E5786">
        <w:rPr>
          <w:rFonts w:cs="Arial"/>
          <w:szCs w:val="20"/>
        </w:rPr>
        <w:t xml:space="preserve"> (Consequences of Expiry or</w:t>
      </w:r>
      <w:r w:rsidR="003A301E" w:rsidRPr="000E5786">
        <w:rPr>
          <w:rFonts w:cs="Arial"/>
          <w:szCs w:val="20"/>
        </w:rPr>
        <w:t xml:space="preserve"> </w:t>
      </w:r>
      <w:r w:rsidRPr="000E5786">
        <w:rPr>
          <w:rFonts w:cs="Arial"/>
          <w:szCs w:val="20"/>
        </w:rPr>
        <w:t xml:space="preserve">Termination), </w:t>
      </w:r>
      <w:r w:rsidR="00C5268E" w:rsidRPr="000E5786">
        <w:rPr>
          <w:rFonts w:cs="Arial"/>
          <w:szCs w:val="20"/>
        </w:rPr>
        <w:fldChar w:fldCharType="begin"/>
      </w:r>
      <w:r w:rsidR="00C5268E" w:rsidRPr="000E5786">
        <w:rPr>
          <w:rFonts w:cs="Arial"/>
          <w:szCs w:val="20"/>
        </w:rPr>
        <w:instrText xml:space="preserve">  REF _Ref53585742 \w \h \* MERGEFORMAT </w:instrText>
      </w:r>
      <w:r w:rsidR="00C5268E" w:rsidRPr="000E5786">
        <w:rPr>
          <w:rFonts w:cs="Arial"/>
          <w:szCs w:val="20"/>
        </w:rPr>
      </w:r>
      <w:r w:rsidR="00C5268E" w:rsidRPr="000E5786">
        <w:rPr>
          <w:rFonts w:cs="Arial"/>
          <w:szCs w:val="20"/>
        </w:rPr>
        <w:fldChar w:fldCharType="separate"/>
      </w:r>
      <w:r w:rsidR="002523A8" w:rsidRPr="000E5786">
        <w:rPr>
          <w:rFonts w:cs="Arial"/>
          <w:szCs w:val="20"/>
        </w:rPr>
        <w:t>44</w:t>
      </w:r>
      <w:r w:rsidR="00C5268E" w:rsidRPr="000E5786">
        <w:rPr>
          <w:rFonts w:cs="Arial"/>
          <w:szCs w:val="20"/>
        </w:rPr>
        <w:fldChar w:fldCharType="end"/>
      </w:r>
      <w:r w:rsidRPr="000E5786">
        <w:rPr>
          <w:rFonts w:cs="Arial"/>
          <w:szCs w:val="20"/>
        </w:rPr>
        <w:t xml:space="preserve"> (Severance), </w:t>
      </w:r>
      <w:r w:rsidR="00C5268E" w:rsidRPr="000E5786">
        <w:rPr>
          <w:rFonts w:cs="Arial"/>
          <w:szCs w:val="20"/>
        </w:rPr>
        <w:fldChar w:fldCharType="begin"/>
      </w:r>
      <w:r w:rsidR="00C5268E" w:rsidRPr="000E5786">
        <w:rPr>
          <w:rFonts w:cs="Arial"/>
          <w:szCs w:val="20"/>
        </w:rPr>
        <w:instrText xml:space="preserve">  REF _Ref53585744 \w \h \* MERGEFORMAT </w:instrText>
      </w:r>
      <w:r w:rsidR="00C5268E" w:rsidRPr="000E5786">
        <w:rPr>
          <w:rFonts w:cs="Arial"/>
          <w:szCs w:val="20"/>
        </w:rPr>
      </w:r>
      <w:r w:rsidR="00C5268E" w:rsidRPr="000E5786">
        <w:rPr>
          <w:rFonts w:cs="Arial"/>
          <w:szCs w:val="20"/>
        </w:rPr>
        <w:fldChar w:fldCharType="separate"/>
      </w:r>
      <w:r w:rsidR="002523A8" w:rsidRPr="000E5786">
        <w:rPr>
          <w:rFonts w:cs="Arial"/>
          <w:szCs w:val="20"/>
        </w:rPr>
        <w:t>46</w:t>
      </w:r>
      <w:r w:rsidR="00C5268E" w:rsidRPr="000E5786">
        <w:rPr>
          <w:rFonts w:cs="Arial"/>
          <w:szCs w:val="20"/>
        </w:rPr>
        <w:fldChar w:fldCharType="end"/>
      </w:r>
      <w:r w:rsidRPr="000E5786">
        <w:rPr>
          <w:rFonts w:cs="Arial"/>
          <w:szCs w:val="20"/>
        </w:rPr>
        <w:t xml:space="preserve"> (Entire Agreement), </w:t>
      </w:r>
      <w:r w:rsidR="00C5268E" w:rsidRPr="000E5786">
        <w:rPr>
          <w:rFonts w:cs="Arial"/>
          <w:szCs w:val="20"/>
        </w:rPr>
        <w:fldChar w:fldCharType="begin"/>
      </w:r>
      <w:r w:rsidR="00C5268E" w:rsidRPr="000E5786">
        <w:rPr>
          <w:rFonts w:cs="Arial"/>
          <w:szCs w:val="20"/>
        </w:rPr>
        <w:instrText xml:space="preserve">  REF _Ref53585745 \w \h \* MERGEFORMAT </w:instrText>
      </w:r>
      <w:r w:rsidR="00C5268E" w:rsidRPr="000E5786">
        <w:rPr>
          <w:rFonts w:cs="Arial"/>
          <w:szCs w:val="20"/>
        </w:rPr>
      </w:r>
      <w:r w:rsidR="00C5268E" w:rsidRPr="000E5786">
        <w:rPr>
          <w:rFonts w:cs="Arial"/>
          <w:szCs w:val="20"/>
        </w:rPr>
        <w:fldChar w:fldCharType="separate"/>
      </w:r>
      <w:r w:rsidR="002523A8" w:rsidRPr="000E5786">
        <w:rPr>
          <w:rFonts w:cs="Arial"/>
          <w:szCs w:val="20"/>
        </w:rPr>
        <w:t>47</w:t>
      </w:r>
      <w:r w:rsidR="00C5268E" w:rsidRPr="000E5786">
        <w:rPr>
          <w:rFonts w:cs="Arial"/>
          <w:szCs w:val="20"/>
        </w:rPr>
        <w:fldChar w:fldCharType="end"/>
      </w:r>
      <w:r w:rsidRPr="000E5786">
        <w:rPr>
          <w:rFonts w:cs="Arial"/>
          <w:szCs w:val="20"/>
        </w:rPr>
        <w:t xml:space="preserve"> (Third Party Rights), </w:t>
      </w:r>
      <w:r w:rsidR="00C5268E" w:rsidRPr="000E5786">
        <w:rPr>
          <w:rFonts w:cs="Arial"/>
          <w:szCs w:val="20"/>
        </w:rPr>
        <w:fldChar w:fldCharType="begin"/>
      </w:r>
      <w:r w:rsidR="00C5268E" w:rsidRPr="000E5786">
        <w:rPr>
          <w:rFonts w:cs="Arial"/>
          <w:szCs w:val="20"/>
        </w:rPr>
        <w:instrText xml:space="preserve">  REF _Ref53585747 \w \h \* MERGEFORMAT </w:instrText>
      </w:r>
      <w:r w:rsidR="00C5268E" w:rsidRPr="000E5786">
        <w:rPr>
          <w:rFonts w:cs="Arial"/>
          <w:szCs w:val="20"/>
        </w:rPr>
      </w:r>
      <w:r w:rsidR="00C5268E" w:rsidRPr="000E5786">
        <w:rPr>
          <w:rFonts w:cs="Arial"/>
          <w:szCs w:val="20"/>
        </w:rPr>
        <w:fldChar w:fldCharType="separate"/>
      </w:r>
      <w:r w:rsidR="002523A8" w:rsidRPr="000E5786">
        <w:rPr>
          <w:rFonts w:cs="Arial"/>
          <w:szCs w:val="20"/>
        </w:rPr>
        <w:t>49</w:t>
      </w:r>
      <w:r w:rsidR="00C5268E" w:rsidRPr="000E5786">
        <w:rPr>
          <w:rFonts w:cs="Arial"/>
          <w:szCs w:val="20"/>
        </w:rPr>
        <w:fldChar w:fldCharType="end"/>
      </w:r>
      <w:r w:rsidRPr="000E5786">
        <w:rPr>
          <w:rFonts w:cs="Arial"/>
          <w:szCs w:val="20"/>
        </w:rPr>
        <w:t xml:space="preserve"> (Disputes), </w:t>
      </w:r>
      <w:r w:rsidR="00C5268E" w:rsidRPr="000E5786">
        <w:rPr>
          <w:rFonts w:cs="Arial"/>
          <w:szCs w:val="20"/>
        </w:rPr>
        <w:fldChar w:fldCharType="begin"/>
      </w:r>
      <w:r w:rsidR="00C5268E" w:rsidRPr="000E5786">
        <w:rPr>
          <w:rFonts w:cs="Arial"/>
          <w:szCs w:val="20"/>
        </w:rPr>
        <w:instrText xml:space="preserve">  REF _Ref53585748 \w \h \* MERGEFORMAT </w:instrText>
      </w:r>
      <w:r w:rsidR="00C5268E" w:rsidRPr="000E5786">
        <w:rPr>
          <w:rFonts w:cs="Arial"/>
          <w:szCs w:val="20"/>
        </w:rPr>
      </w:r>
      <w:r w:rsidR="00C5268E" w:rsidRPr="000E5786">
        <w:rPr>
          <w:rFonts w:cs="Arial"/>
          <w:szCs w:val="20"/>
        </w:rPr>
        <w:fldChar w:fldCharType="separate"/>
      </w:r>
      <w:r w:rsidR="002523A8" w:rsidRPr="000E5786">
        <w:rPr>
          <w:rFonts w:cs="Arial"/>
          <w:szCs w:val="20"/>
        </w:rPr>
        <w:t>50</w:t>
      </w:r>
      <w:r w:rsidR="00C5268E" w:rsidRPr="000E5786">
        <w:rPr>
          <w:rFonts w:cs="Arial"/>
          <w:szCs w:val="20"/>
        </w:rPr>
        <w:fldChar w:fldCharType="end"/>
      </w:r>
      <w:r w:rsidRPr="000E5786">
        <w:rPr>
          <w:rFonts w:cs="Arial"/>
          <w:szCs w:val="20"/>
        </w:rPr>
        <w:t xml:space="preserve"> (Governing Law and Jurisdiction) and </w:t>
      </w:r>
      <w:r w:rsidR="00C5268E" w:rsidRPr="000E5786">
        <w:rPr>
          <w:rFonts w:cs="Arial"/>
          <w:szCs w:val="20"/>
        </w:rPr>
        <w:fldChar w:fldCharType="begin"/>
      </w:r>
      <w:r w:rsidR="00C5268E" w:rsidRPr="000E5786">
        <w:rPr>
          <w:rFonts w:cs="Arial"/>
          <w:szCs w:val="20"/>
        </w:rPr>
        <w:instrText xml:space="preserve">  REF _Ref53585750 \w \h \* MERGEFORMAT </w:instrText>
      </w:r>
      <w:r w:rsidR="00C5268E" w:rsidRPr="000E5786">
        <w:rPr>
          <w:rFonts w:cs="Arial"/>
          <w:szCs w:val="20"/>
        </w:rPr>
      </w:r>
      <w:r w:rsidR="00C5268E" w:rsidRPr="000E5786">
        <w:rPr>
          <w:rFonts w:cs="Arial"/>
          <w:szCs w:val="20"/>
        </w:rPr>
        <w:fldChar w:fldCharType="separate"/>
      </w:r>
      <w:r w:rsidR="002523A8" w:rsidRPr="000E5786">
        <w:rPr>
          <w:rFonts w:cs="Arial"/>
          <w:szCs w:val="20"/>
        </w:rPr>
        <w:t>52</w:t>
      </w:r>
      <w:r w:rsidR="00C5268E" w:rsidRPr="000E5786">
        <w:rPr>
          <w:rFonts w:cs="Arial"/>
          <w:szCs w:val="20"/>
        </w:rPr>
        <w:fldChar w:fldCharType="end"/>
      </w:r>
      <w:r w:rsidRPr="000E5786">
        <w:rPr>
          <w:rFonts w:cs="Arial"/>
          <w:szCs w:val="20"/>
        </w:rPr>
        <w:t xml:space="preserve"> (Intermediaries </w:t>
      </w:r>
      <w:r w:rsidRPr="000E5786">
        <w:rPr>
          <w:rFonts w:cs="Arial"/>
          <w:szCs w:val="20"/>
        </w:rPr>
        <w:lastRenderedPageBreak/>
        <w:t xml:space="preserve">Legislation), and the provisions of </w:t>
      </w:r>
      <w:bookmarkStart w:id="1058" w:name="DocXTextRef437"/>
      <w:r w:rsidRPr="000E5786">
        <w:rPr>
          <w:rFonts w:cs="Arial"/>
          <w:szCs w:val="20"/>
        </w:rPr>
        <w:t>Schedules</w:t>
      </w:r>
      <w:bookmarkEnd w:id="1058"/>
      <w:r w:rsidR="0025168C" w:rsidRPr="000E5786">
        <w:rPr>
          <w:rFonts w:cs="Arial"/>
          <w:szCs w:val="20"/>
        </w:rPr>
        <w:t xml:space="preserve"> </w:t>
      </w:r>
      <w:r w:rsidRPr="000E5786">
        <w:rPr>
          <w:rFonts w:cs="Arial"/>
          <w:szCs w:val="20"/>
        </w:rPr>
        <w:t>shall survive the termination or expiry of this Agreement.</w:t>
      </w:r>
      <w:bookmarkEnd w:id="1057"/>
    </w:p>
    <w:p w14:paraId="0F38B165" w14:textId="5DC58F10" w:rsidR="0048699F" w:rsidRPr="000E5786" w:rsidRDefault="0048699F" w:rsidP="00CE5734">
      <w:pPr>
        <w:pStyle w:val="BodyText"/>
        <w:spacing w:after="120"/>
        <w:ind w:left="709" w:firstLine="0"/>
        <w:rPr>
          <w:rFonts w:cs="Arial"/>
          <w:szCs w:val="20"/>
          <w:u w:val="single"/>
        </w:rPr>
      </w:pPr>
      <w:r w:rsidRPr="000E5786">
        <w:rPr>
          <w:rFonts w:cs="Arial"/>
          <w:szCs w:val="20"/>
          <w:u w:val="single"/>
        </w:rPr>
        <w:t>Exit Management</w:t>
      </w:r>
    </w:p>
    <w:p w14:paraId="0CFA1C47" w14:textId="3559023D" w:rsidR="0048699F" w:rsidRPr="000E5786" w:rsidRDefault="0048699F" w:rsidP="00DD60F0">
      <w:pPr>
        <w:pStyle w:val="Heading2"/>
        <w:spacing w:after="120"/>
        <w:rPr>
          <w:rFonts w:cs="Arial"/>
          <w:szCs w:val="20"/>
        </w:rPr>
      </w:pPr>
      <w:bookmarkStart w:id="1059" w:name="_Ref53585565"/>
      <w:r w:rsidRPr="000E5786">
        <w:rPr>
          <w:rFonts w:cs="Arial"/>
          <w:szCs w:val="20"/>
        </w:rPr>
        <w:t xml:space="preserve">The Parties shall comply with the provisions of </w:t>
      </w:r>
      <w:bookmarkStart w:id="1060" w:name="DocXTextRef468"/>
      <w:r w:rsidRPr="000E5786">
        <w:rPr>
          <w:rFonts w:cs="Arial"/>
          <w:szCs w:val="20"/>
        </w:rPr>
        <w:t>Schedule 8.5</w:t>
      </w:r>
      <w:bookmarkEnd w:id="1060"/>
      <w:r w:rsidRPr="000E5786">
        <w:rPr>
          <w:rFonts w:cs="Arial"/>
          <w:szCs w:val="20"/>
        </w:rPr>
        <w:t xml:space="preserve"> (Exit Management) and any current Exit Plan in relation to orderly transition of the Services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or a Replacement Supplier.</w:t>
      </w:r>
      <w:bookmarkEnd w:id="1059"/>
    </w:p>
    <w:p w14:paraId="721B8630" w14:textId="5AE62D36" w:rsidR="0048699F" w:rsidRPr="000E5786" w:rsidRDefault="0048699F" w:rsidP="00CE5734">
      <w:pPr>
        <w:pStyle w:val="BodyText"/>
        <w:spacing w:after="120"/>
        <w:ind w:left="709" w:firstLine="0"/>
        <w:rPr>
          <w:rFonts w:cs="Arial"/>
          <w:szCs w:val="20"/>
          <w:u w:val="single"/>
        </w:rPr>
      </w:pPr>
      <w:r w:rsidRPr="000E5786">
        <w:rPr>
          <w:rFonts w:cs="Arial"/>
          <w:szCs w:val="20"/>
          <w:u w:val="single"/>
        </w:rPr>
        <w:t xml:space="preserve">Payments by </w:t>
      </w:r>
      <w:proofErr w:type="spellStart"/>
      <w:r w:rsidR="001F1C19">
        <w:rPr>
          <w:rFonts w:cs="Arial"/>
          <w:szCs w:val="20"/>
          <w:u w:val="single"/>
        </w:rPr>
        <w:t>Netlink</w:t>
      </w:r>
      <w:proofErr w:type="spellEnd"/>
      <w:r w:rsidR="001F1C19">
        <w:rPr>
          <w:rFonts w:cs="Arial"/>
          <w:szCs w:val="20"/>
          <w:u w:val="single"/>
        </w:rPr>
        <w:t xml:space="preserve"> Star</w:t>
      </w:r>
    </w:p>
    <w:p w14:paraId="24F7DAB2" w14:textId="7661BC2C" w:rsidR="0048699F" w:rsidRPr="000E5786" w:rsidRDefault="0048699F" w:rsidP="00DD60F0">
      <w:pPr>
        <w:pStyle w:val="Heading2"/>
        <w:spacing w:after="120"/>
        <w:rPr>
          <w:rFonts w:cs="Arial"/>
          <w:szCs w:val="20"/>
        </w:rPr>
      </w:pPr>
      <w:bookmarkStart w:id="1061" w:name="_Ref53585566"/>
      <w:r w:rsidRPr="000E5786">
        <w:rPr>
          <w:rFonts w:cs="Arial"/>
          <w:szCs w:val="20"/>
        </w:rPr>
        <w:t xml:space="preserve">If this Agreement is terminated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pursuant to clause </w:t>
      </w:r>
      <w:r w:rsidR="00F25EE0" w:rsidRPr="000E5786">
        <w:rPr>
          <w:rFonts w:cs="Arial"/>
          <w:szCs w:val="20"/>
        </w:rPr>
        <w:fldChar w:fldCharType="begin"/>
      </w:r>
      <w:r w:rsidR="00F25EE0" w:rsidRPr="000E5786">
        <w:rPr>
          <w:rFonts w:cs="Arial"/>
          <w:szCs w:val="20"/>
        </w:rPr>
        <w:instrText xml:space="preserve">  REF _Ref53585546 \w \h \* MERGEFORMAT </w:instrText>
      </w:r>
      <w:r w:rsidR="00F25EE0" w:rsidRPr="000E5786">
        <w:rPr>
          <w:rFonts w:cs="Arial"/>
          <w:szCs w:val="20"/>
        </w:rPr>
      </w:r>
      <w:r w:rsidR="00F25EE0" w:rsidRPr="000E5786">
        <w:rPr>
          <w:rFonts w:cs="Arial"/>
          <w:szCs w:val="20"/>
        </w:rPr>
        <w:fldChar w:fldCharType="separate"/>
      </w:r>
      <w:r w:rsidR="002523A8" w:rsidRPr="000E5786">
        <w:rPr>
          <w:rFonts w:cs="Arial"/>
          <w:szCs w:val="20"/>
        </w:rPr>
        <w:t>36.1</w:t>
      </w:r>
      <w:r w:rsidR="00F25EE0" w:rsidRPr="000E5786">
        <w:rPr>
          <w:rFonts w:cs="Arial"/>
          <w:szCs w:val="20"/>
        </w:rPr>
        <w:fldChar w:fldCharType="end"/>
      </w:r>
      <w:r w:rsidR="004E16EB">
        <w:rPr>
          <w:rFonts w:cs="Arial"/>
          <w:szCs w:val="20"/>
        </w:rPr>
        <w:t>.1</w:t>
      </w:r>
      <w:r w:rsidRPr="000E5786">
        <w:rPr>
          <w:rFonts w:cs="Arial"/>
          <w:szCs w:val="20"/>
        </w:rPr>
        <w:t xml:space="preserve"> (Termination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or by the Supplier pursuant to clause </w:t>
      </w:r>
      <w:r w:rsidR="00F25EE0" w:rsidRPr="000E5786">
        <w:rPr>
          <w:rFonts w:cs="Arial"/>
          <w:szCs w:val="20"/>
        </w:rPr>
        <w:fldChar w:fldCharType="begin"/>
      </w:r>
      <w:r w:rsidR="00F25EE0" w:rsidRPr="000E5786">
        <w:rPr>
          <w:rFonts w:cs="Arial"/>
          <w:szCs w:val="20"/>
        </w:rPr>
        <w:instrText xml:space="preserve">  REF _Ref53585556 \w \h \* MERGEFORMAT </w:instrText>
      </w:r>
      <w:r w:rsidR="00F25EE0" w:rsidRPr="000E5786">
        <w:rPr>
          <w:rFonts w:cs="Arial"/>
          <w:szCs w:val="20"/>
        </w:rPr>
      </w:r>
      <w:r w:rsidR="00F25EE0" w:rsidRPr="000E5786">
        <w:rPr>
          <w:rFonts w:cs="Arial"/>
          <w:szCs w:val="20"/>
        </w:rPr>
        <w:fldChar w:fldCharType="separate"/>
      </w:r>
      <w:r w:rsidR="002523A8" w:rsidRPr="000E5786">
        <w:rPr>
          <w:rFonts w:cs="Arial"/>
          <w:szCs w:val="20"/>
        </w:rPr>
        <w:t>36.3.1</w:t>
      </w:r>
      <w:r w:rsidR="00F25EE0" w:rsidRPr="000E5786">
        <w:rPr>
          <w:rFonts w:cs="Arial"/>
          <w:szCs w:val="20"/>
        </w:rPr>
        <w:fldChar w:fldCharType="end"/>
      </w:r>
      <w:r w:rsidRPr="000E5786">
        <w:rPr>
          <w:rFonts w:cs="Arial"/>
          <w:szCs w:val="20"/>
        </w:rPr>
        <w:t xml:space="preserve"> (Termination by the Supplier),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pay the Supplier the following payments (which shall be the Supplier’s sole remedy for the termination of this Agreement):</w:t>
      </w:r>
      <w:bookmarkEnd w:id="1061"/>
    </w:p>
    <w:p w14:paraId="538DB0DC" w14:textId="32E69C40" w:rsidR="0048699F" w:rsidRPr="000E5786" w:rsidRDefault="0048699F" w:rsidP="00346A37">
      <w:pPr>
        <w:pStyle w:val="Heading3"/>
      </w:pPr>
      <w:bookmarkStart w:id="1062" w:name="_Ref53585567"/>
      <w:r w:rsidRPr="000E5786">
        <w:t>the Termination Payment</w:t>
      </w:r>
      <w:r w:rsidR="00470602" w:rsidRPr="000E5786">
        <w:t xml:space="preserve"> (as applicable)</w:t>
      </w:r>
      <w:r w:rsidRPr="000E5786">
        <w:t>; and</w:t>
      </w:r>
      <w:bookmarkEnd w:id="1062"/>
    </w:p>
    <w:p w14:paraId="1AA55D09" w14:textId="0CA7F8F8" w:rsidR="0048699F" w:rsidRPr="000E5786" w:rsidRDefault="0048699F" w:rsidP="00DD60F0">
      <w:pPr>
        <w:pStyle w:val="Heading2"/>
        <w:spacing w:after="120"/>
        <w:rPr>
          <w:rFonts w:cs="Arial"/>
          <w:szCs w:val="20"/>
        </w:rPr>
      </w:pPr>
      <w:bookmarkStart w:id="1063" w:name="_Ref53585571"/>
      <w:r w:rsidRPr="000E5786">
        <w:rPr>
          <w:rFonts w:cs="Arial"/>
          <w:szCs w:val="20"/>
        </w:rPr>
        <w:t xml:space="preserve">If this Agreement is terminated (in part or in whole)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pursuant to clauses </w:t>
      </w:r>
      <w:r w:rsidR="004E16EB">
        <w:rPr>
          <w:rFonts w:cs="Arial"/>
          <w:szCs w:val="20"/>
        </w:rPr>
        <w:t>36.1.2</w:t>
      </w:r>
      <w:r w:rsidRPr="000E5786">
        <w:rPr>
          <w:rFonts w:cs="Arial"/>
          <w:szCs w:val="20"/>
        </w:rPr>
        <w:t xml:space="preserve">, 36.1.3 and/or </w:t>
      </w:r>
      <w:r w:rsidR="006F2D57" w:rsidRPr="000E5786">
        <w:rPr>
          <w:rFonts w:cs="Arial"/>
          <w:szCs w:val="20"/>
        </w:rPr>
        <w:fldChar w:fldCharType="begin"/>
      </w:r>
      <w:r w:rsidR="006F2D57" w:rsidRPr="000E5786">
        <w:rPr>
          <w:rFonts w:cs="Arial"/>
          <w:szCs w:val="20"/>
        </w:rPr>
        <w:instrText xml:space="preserve">  REF _Ref53585551 \w \h \* MERGEFORMAT </w:instrText>
      </w:r>
      <w:r w:rsidR="006F2D57" w:rsidRPr="000E5786">
        <w:rPr>
          <w:rFonts w:cs="Arial"/>
          <w:szCs w:val="20"/>
        </w:rPr>
      </w:r>
      <w:r w:rsidR="006F2D57" w:rsidRPr="000E5786">
        <w:rPr>
          <w:rFonts w:cs="Arial"/>
          <w:szCs w:val="20"/>
        </w:rPr>
        <w:fldChar w:fldCharType="separate"/>
      </w:r>
      <w:r w:rsidR="002523A8" w:rsidRPr="000E5786">
        <w:rPr>
          <w:rFonts w:cs="Arial"/>
          <w:szCs w:val="20"/>
        </w:rPr>
        <w:t>36.2</w:t>
      </w:r>
      <w:r w:rsidR="006F2D57" w:rsidRPr="000E5786">
        <w:rPr>
          <w:rFonts w:cs="Arial"/>
          <w:szCs w:val="20"/>
        </w:rPr>
        <w:fldChar w:fldCharType="end"/>
      </w:r>
      <w:r w:rsidRPr="000E5786">
        <w:rPr>
          <w:rFonts w:cs="Arial"/>
          <w:szCs w:val="20"/>
        </w:rPr>
        <w:t xml:space="preserve"> (Termination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and/or by the Supplier pursuant to clause </w:t>
      </w:r>
      <w:r w:rsidR="006F2D57" w:rsidRPr="000E5786">
        <w:rPr>
          <w:rFonts w:cs="Arial"/>
          <w:szCs w:val="20"/>
        </w:rPr>
        <w:fldChar w:fldCharType="begin"/>
      </w:r>
      <w:r w:rsidR="006F2D57" w:rsidRPr="000E5786">
        <w:rPr>
          <w:rFonts w:cs="Arial"/>
          <w:szCs w:val="20"/>
        </w:rPr>
        <w:instrText xml:space="preserve">  REF _Ref53585557 \w \h \* MERGEFORMAT </w:instrText>
      </w:r>
      <w:r w:rsidR="006F2D57" w:rsidRPr="000E5786">
        <w:rPr>
          <w:rFonts w:cs="Arial"/>
          <w:szCs w:val="20"/>
        </w:rPr>
      </w:r>
      <w:r w:rsidR="006F2D57" w:rsidRPr="000E5786">
        <w:rPr>
          <w:rFonts w:cs="Arial"/>
          <w:szCs w:val="20"/>
        </w:rPr>
        <w:fldChar w:fldCharType="separate"/>
      </w:r>
      <w:r w:rsidR="002523A8" w:rsidRPr="000E5786">
        <w:rPr>
          <w:rFonts w:cs="Arial"/>
          <w:szCs w:val="20"/>
        </w:rPr>
        <w:t>36.3.2</w:t>
      </w:r>
      <w:r w:rsidR="006F2D57" w:rsidRPr="000E5786">
        <w:rPr>
          <w:rFonts w:cs="Arial"/>
          <w:szCs w:val="20"/>
        </w:rPr>
        <w:fldChar w:fldCharType="end"/>
      </w:r>
      <w:r w:rsidRPr="000E5786">
        <w:rPr>
          <w:rFonts w:cs="Arial"/>
          <w:szCs w:val="20"/>
        </w:rPr>
        <w:t xml:space="preserve">, or the Term expires, the only payments that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be required to make as a result of such termination (whether by way of compensation or otherwise) are:</w:t>
      </w:r>
      <w:bookmarkEnd w:id="1063"/>
    </w:p>
    <w:p w14:paraId="54EEE3FB" w14:textId="03D28C14" w:rsidR="0048699F" w:rsidRPr="000E5786" w:rsidRDefault="0048699F" w:rsidP="00346A37">
      <w:pPr>
        <w:pStyle w:val="Heading3"/>
      </w:pPr>
      <w:bookmarkStart w:id="1064" w:name="_Ref53585572"/>
      <w:r w:rsidRPr="000E5786">
        <w:t xml:space="preserve">payments in respect of any Assets or apportionments in accordance with </w:t>
      </w:r>
      <w:bookmarkStart w:id="1065" w:name="DocXTextRef479"/>
      <w:r w:rsidRPr="000E5786">
        <w:t>Schedule 8.5</w:t>
      </w:r>
      <w:bookmarkEnd w:id="1065"/>
      <w:r w:rsidRPr="000E5786">
        <w:t xml:space="preserve"> (Exit Management); and</w:t>
      </w:r>
      <w:bookmarkEnd w:id="1064"/>
    </w:p>
    <w:p w14:paraId="6BACF97C" w14:textId="710B69BA" w:rsidR="0048699F" w:rsidRPr="000E5786" w:rsidRDefault="0048699F" w:rsidP="00346A37">
      <w:pPr>
        <w:pStyle w:val="Heading3"/>
      </w:pPr>
      <w:bookmarkStart w:id="1066" w:name="_Ref53585573"/>
      <w:r w:rsidRPr="000E5786">
        <w:t>payments in respect of unpaid Charges for Services received up until the Termination Date.</w:t>
      </w:r>
      <w:bookmarkEnd w:id="1066"/>
    </w:p>
    <w:p w14:paraId="65EBFA10" w14:textId="09EA0F99" w:rsidR="0048699F" w:rsidRPr="000E5786" w:rsidRDefault="0048699F" w:rsidP="00DD60F0">
      <w:pPr>
        <w:pStyle w:val="Heading2"/>
        <w:spacing w:after="120"/>
        <w:rPr>
          <w:rFonts w:cs="Arial"/>
          <w:szCs w:val="20"/>
        </w:rPr>
      </w:pPr>
      <w:bookmarkStart w:id="1067" w:name="_Ref53585574"/>
      <w:r w:rsidRPr="000E5786">
        <w:rPr>
          <w:rFonts w:cs="Arial"/>
          <w:szCs w:val="20"/>
        </w:rPr>
        <w:t>Unless otherwise set out in this Agreement and/or a relevant Schedule, the costs of termination incurred by the Parties shall lie where they fall if:</w:t>
      </w:r>
      <w:bookmarkEnd w:id="1067"/>
    </w:p>
    <w:p w14:paraId="28E526EF" w14:textId="302EF217" w:rsidR="0048699F" w:rsidRPr="000E5786" w:rsidRDefault="0048699F" w:rsidP="00346A37">
      <w:pPr>
        <w:pStyle w:val="Heading3"/>
      </w:pPr>
      <w:bookmarkStart w:id="1068" w:name="_Ref53585575"/>
      <w:r w:rsidRPr="000E5786">
        <w:t xml:space="preserve">either Party terminates or partially terminates this Agreement for a continuing Force Majeure Event pursuant to clauses </w:t>
      </w:r>
      <w:r w:rsidR="000E0F00" w:rsidRPr="000E5786">
        <w:fldChar w:fldCharType="begin"/>
      </w:r>
      <w:r w:rsidR="000E0F00" w:rsidRPr="000E5786">
        <w:instrText xml:space="preserve">  REF _Ref53585549 \w \h \* MERGEFORMAT </w:instrText>
      </w:r>
      <w:r w:rsidR="000E0F00" w:rsidRPr="000E5786">
        <w:fldChar w:fldCharType="separate"/>
      </w:r>
      <w:r w:rsidR="002523A8" w:rsidRPr="000E5786">
        <w:t>36.1.3</w:t>
      </w:r>
      <w:r w:rsidR="000E0F00" w:rsidRPr="000E5786">
        <w:fldChar w:fldCharType="end"/>
      </w:r>
      <w:r w:rsidRPr="000E5786">
        <w:t xml:space="preserve"> or 36.2.3 (Termination by </w:t>
      </w:r>
      <w:proofErr w:type="spellStart"/>
      <w:r w:rsidR="001F1C19">
        <w:t>Netlink</w:t>
      </w:r>
      <w:proofErr w:type="spellEnd"/>
      <w:r w:rsidR="001F1C19">
        <w:t xml:space="preserve"> Star</w:t>
      </w:r>
      <w:r w:rsidRPr="000E5786">
        <w:t>) or 36.3.2 (Termination by the Supplier); or</w:t>
      </w:r>
      <w:bookmarkEnd w:id="1068"/>
    </w:p>
    <w:p w14:paraId="7A13609C" w14:textId="678045D1" w:rsidR="0048699F" w:rsidRPr="000E5786" w:rsidRDefault="001F1C19" w:rsidP="00346A37">
      <w:pPr>
        <w:pStyle w:val="Heading3"/>
      </w:pPr>
      <w:bookmarkStart w:id="1069" w:name="_Ref53585576"/>
      <w:proofErr w:type="spellStart"/>
      <w:r>
        <w:t>Netlink</w:t>
      </w:r>
      <w:proofErr w:type="spellEnd"/>
      <w:r>
        <w:t xml:space="preserve"> Star</w:t>
      </w:r>
      <w:r w:rsidR="0048699F" w:rsidRPr="000E5786">
        <w:t xml:space="preserve"> terminates this Agreement under clause </w:t>
      </w:r>
      <w:r w:rsidR="000E0F00" w:rsidRPr="000E5786">
        <w:fldChar w:fldCharType="begin"/>
      </w:r>
      <w:r w:rsidR="000E0F00" w:rsidRPr="000E5786">
        <w:instrText xml:space="preserve">  REF _Ref53585550 \w \h \* MERGEFORMAT </w:instrText>
      </w:r>
      <w:r w:rsidR="000E0F00" w:rsidRPr="000E5786">
        <w:fldChar w:fldCharType="separate"/>
      </w:r>
      <w:r w:rsidR="002523A8" w:rsidRPr="000E5786">
        <w:t>36.1.4</w:t>
      </w:r>
      <w:r w:rsidR="000E0F00" w:rsidRPr="000E5786">
        <w:fldChar w:fldCharType="end"/>
      </w:r>
      <w:r w:rsidR="0048699F" w:rsidRPr="000E5786">
        <w:t>.</w:t>
      </w:r>
      <w:bookmarkEnd w:id="1069"/>
    </w:p>
    <w:p w14:paraId="546E2CF1" w14:textId="460082B3" w:rsidR="0048699F" w:rsidRPr="000E5786" w:rsidRDefault="0048699F" w:rsidP="00CE5734">
      <w:pPr>
        <w:pStyle w:val="BodyText"/>
        <w:spacing w:after="120"/>
        <w:ind w:left="709" w:firstLine="0"/>
        <w:rPr>
          <w:rFonts w:cs="Arial"/>
          <w:szCs w:val="20"/>
          <w:u w:val="single"/>
        </w:rPr>
      </w:pPr>
      <w:r w:rsidRPr="000E5786">
        <w:rPr>
          <w:rFonts w:cs="Arial"/>
          <w:szCs w:val="20"/>
          <w:u w:val="single"/>
        </w:rPr>
        <w:t>Payments by the Supplier</w:t>
      </w:r>
    </w:p>
    <w:p w14:paraId="21BF0586" w14:textId="130B312D" w:rsidR="0048699F" w:rsidRPr="000E5786" w:rsidRDefault="0048699F" w:rsidP="00DD60F0">
      <w:pPr>
        <w:pStyle w:val="Heading2"/>
        <w:spacing w:after="120"/>
        <w:rPr>
          <w:rFonts w:cs="Arial"/>
          <w:szCs w:val="20"/>
        </w:rPr>
      </w:pPr>
      <w:bookmarkStart w:id="1070" w:name="_Ref53585577"/>
      <w:r w:rsidRPr="000E5786">
        <w:rPr>
          <w:rFonts w:cs="Arial"/>
          <w:szCs w:val="20"/>
        </w:rPr>
        <w:t xml:space="preserve">In the event of termination or expiry of this Agreement, the Supplier shall repay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all Charges it has been paid in advance in respect of Services not provided by the Supplier as at the date of expiry or termination.</w:t>
      </w:r>
      <w:bookmarkEnd w:id="1070"/>
    </w:p>
    <w:p w14:paraId="3843B5B4" w14:textId="2B9FCE08" w:rsidR="0048699F" w:rsidRPr="000E5786" w:rsidRDefault="0048699F" w:rsidP="00DD60F0">
      <w:pPr>
        <w:pStyle w:val="Heading2"/>
        <w:spacing w:after="120"/>
        <w:rPr>
          <w:rFonts w:cs="Arial"/>
          <w:szCs w:val="20"/>
        </w:rPr>
      </w:pPr>
      <w:bookmarkStart w:id="1071" w:name="_Ref53585578"/>
      <w:r w:rsidRPr="000E5786">
        <w:rPr>
          <w:rFonts w:cs="Arial"/>
          <w:szCs w:val="20"/>
        </w:rPr>
        <w:t xml:space="preserve">If this Agreement is terminated (in whole or in part)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pursuant to clause </w:t>
      </w:r>
      <w:r w:rsidR="000E0F00" w:rsidRPr="000E5786">
        <w:rPr>
          <w:rFonts w:cs="Arial"/>
          <w:szCs w:val="20"/>
        </w:rPr>
        <w:fldChar w:fldCharType="begin"/>
      </w:r>
      <w:r w:rsidR="000E0F00" w:rsidRPr="000E5786">
        <w:rPr>
          <w:rFonts w:cs="Arial"/>
          <w:szCs w:val="20"/>
        </w:rPr>
        <w:instrText xml:space="preserve">  REF _Ref53585547 \w \h \* MERGEFORMAT </w:instrText>
      </w:r>
      <w:r w:rsidR="000E0F00" w:rsidRPr="000E5786">
        <w:rPr>
          <w:rFonts w:cs="Arial"/>
          <w:szCs w:val="20"/>
        </w:rPr>
      </w:r>
      <w:r w:rsidR="000E0F00" w:rsidRPr="000E5786">
        <w:rPr>
          <w:rFonts w:cs="Arial"/>
          <w:szCs w:val="20"/>
        </w:rPr>
        <w:fldChar w:fldCharType="separate"/>
      </w:r>
      <w:r w:rsidR="002523A8" w:rsidRPr="000E5786">
        <w:rPr>
          <w:rFonts w:cs="Arial"/>
          <w:szCs w:val="20"/>
        </w:rPr>
        <w:t>36.1.1</w:t>
      </w:r>
      <w:r w:rsidR="000E0F00" w:rsidRPr="000E5786">
        <w:rPr>
          <w:rFonts w:cs="Arial"/>
          <w:szCs w:val="20"/>
        </w:rPr>
        <w:fldChar w:fldCharType="end"/>
      </w:r>
      <w:r w:rsidRPr="000E5786">
        <w:rPr>
          <w:rFonts w:cs="Arial"/>
          <w:szCs w:val="20"/>
        </w:rPr>
        <w:t xml:space="preserve"> (Termination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prior to Achievement of one or more CPP Milestones,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at any time on or within twelve (12) months of the issue of the relevant Termination Notice by issue to the Supplier of written notice (a “</w:t>
      </w:r>
      <w:r w:rsidRPr="000E5786">
        <w:rPr>
          <w:rFonts w:cs="Arial"/>
          <w:b/>
          <w:szCs w:val="20"/>
        </w:rPr>
        <w:t>Milestone Adjustment Payment Notice</w:t>
      </w:r>
      <w:r w:rsidRPr="000E5786">
        <w:rPr>
          <w:rFonts w:cs="Arial"/>
          <w:szCs w:val="20"/>
        </w:rPr>
        <w:t xml:space="preserve">”) require the Supplier to repay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an amount equal to the aggregate Milestone Adjustment Payment Amounts in respect of each CPP Milestone to which the Milestone Adjustment Payment Notice relates.</w:t>
      </w:r>
      <w:bookmarkEnd w:id="1071"/>
    </w:p>
    <w:p w14:paraId="189E93EF" w14:textId="6F752C16" w:rsidR="0048699F" w:rsidRPr="000E5786" w:rsidRDefault="0048699F" w:rsidP="00DD60F0">
      <w:pPr>
        <w:pStyle w:val="Heading2"/>
        <w:spacing w:after="120"/>
        <w:rPr>
          <w:rFonts w:cs="Arial"/>
          <w:szCs w:val="20"/>
        </w:rPr>
      </w:pPr>
      <w:bookmarkStart w:id="1072" w:name="_Ref53585579"/>
      <w:r w:rsidRPr="000E5786">
        <w:rPr>
          <w:rFonts w:cs="Arial"/>
          <w:szCs w:val="20"/>
        </w:rPr>
        <w:t>A Milestone Adjustment Payment Notice shall specify:</w:t>
      </w:r>
      <w:bookmarkEnd w:id="1072"/>
    </w:p>
    <w:p w14:paraId="169DEDA0" w14:textId="3DF8913C" w:rsidR="0048699F" w:rsidRPr="000E5786" w:rsidRDefault="0048699F" w:rsidP="00346A37">
      <w:pPr>
        <w:pStyle w:val="Heading3"/>
      </w:pPr>
      <w:bookmarkStart w:id="1073" w:name="_Ref53585580"/>
      <w:r w:rsidRPr="000E5786">
        <w:t xml:space="preserve">each CPP Milestone to which it </w:t>
      </w:r>
      <w:proofErr w:type="gramStart"/>
      <w:r w:rsidRPr="000E5786">
        <w:t>relates;</w:t>
      </w:r>
      <w:bookmarkEnd w:id="1073"/>
      <w:proofErr w:type="gramEnd"/>
    </w:p>
    <w:p w14:paraId="43B1D6A3" w14:textId="2439A1E8" w:rsidR="0048699F" w:rsidRPr="000E5786" w:rsidRDefault="0048699F" w:rsidP="00346A37">
      <w:pPr>
        <w:pStyle w:val="Heading3"/>
      </w:pPr>
      <w:bookmarkStart w:id="1074" w:name="_Ref53585581"/>
      <w:r w:rsidRPr="000E5786">
        <w:t xml:space="preserve">in relation to each such CPP Milestone, each Deliverable relating to that CPP Milestone that </w:t>
      </w:r>
      <w:proofErr w:type="spellStart"/>
      <w:r w:rsidR="001F1C19">
        <w:t>Netlink</w:t>
      </w:r>
      <w:proofErr w:type="spellEnd"/>
      <w:r w:rsidR="001F1C19">
        <w:t xml:space="preserve"> Star</w:t>
      </w:r>
      <w:r w:rsidRPr="000E5786">
        <w:t xml:space="preserve"> wishes to retain, if any (each such Deliverable being a “</w:t>
      </w:r>
      <w:r w:rsidRPr="000E5786">
        <w:rPr>
          <w:b/>
        </w:rPr>
        <w:t>Retained Deliverable</w:t>
      </w:r>
      <w:r w:rsidRPr="000E5786">
        <w:t>”); and</w:t>
      </w:r>
      <w:bookmarkEnd w:id="1074"/>
    </w:p>
    <w:p w14:paraId="1883F7F2" w14:textId="36BBB5EE" w:rsidR="0048699F" w:rsidRPr="000E5786" w:rsidRDefault="0048699F" w:rsidP="00346A37">
      <w:pPr>
        <w:pStyle w:val="Heading3"/>
      </w:pPr>
      <w:bookmarkStart w:id="1075" w:name="_Ref53585582"/>
      <w:r w:rsidRPr="000E5786">
        <w:t xml:space="preserve">those Retained Deliverables, if any, the Allowable Price for which </w:t>
      </w:r>
      <w:proofErr w:type="spellStart"/>
      <w:r w:rsidR="001F1C19">
        <w:t>Netlink</w:t>
      </w:r>
      <w:proofErr w:type="spellEnd"/>
      <w:r w:rsidR="001F1C19">
        <w:t xml:space="preserve"> Star</w:t>
      </w:r>
      <w:r w:rsidRPr="000E5786">
        <w:t xml:space="preserve"> considers should be subject to deduction of an adjusting payment on the grounds that they do not or will not perform in all material respects in accordance with their specification (such adjusting payment being an “</w:t>
      </w:r>
      <w:r w:rsidRPr="000E5786">
        <w:rPr>
          <w:b/>
        </w:rPr>
        <w:t>Allowable Price Adjustment</w:t>
      </w:r>
      <w:r w:rsidRPr="000E5786">
        <w:t>”),</w:t>
      </w:r>
      <w:bookmarkEnd w:id="1075"/>
    </w:p>
    <w:p w14:paraId="19CBB264" w14:textId="77777777" w:rsidR="0048699F" w:rsidRPr="000E5786" w:rsidRDefault="0048699F" w:rsidP="00834C1A">
      <w:pPr>
        <w:pStyle w:val="BodyText3"/>
        <w:spacing w:after="120"/>
        <w:ind w:left="709" w:firstLine="0"/>
        <w:rPr>
          <w:rFonts w:cs="Arial"/>
          <w:szCs w:val="20"/>
        </w:rPr>
      </w:pPr>
      <w:r w:rsidRPr="000E5786">
        <w:rPr>
          <w:rFonts w:cs="Arial"/>
          <w:szCs w:val="20"/>
        </w:rPr>
        <w:t>and may form part of a Termination Notice.</w:t>
      </w:r>
    </w:p>
    <w:p w14:paraId="36877800" w14:textId="383C4491" w:rsidR="0048699F" w:rsidRPr="000E5786" w:rsidRDefault="0048699F" w:rsidP="00DD60F0">
      <w:pPr>
        <w:pStyle w:val="Heading2"/>
        <w:spacing w:after="120"/>
        <w:rPr>
          <w:rFonts w:cs="Arial"/>
          <w:szCs w:val="20"/>
        </w:rPr>
      </w:pPr>
      <w:bookmarkStart w:id="1076" w:name="_Ref53585583"/>
      <w:r w:rsidRPr="000E5786">
        <w:rPr>
          <w:rFonts w:cs="Arial"/>
          <w:szCs w:val="20"/>
        </w:rPr>
        <w:t xml:space="preserve">The Supplier shall within ten </w:t>
      </w:r>
      <w:bookmarkStart w:id="1077" w:name="DocXTextRef483"/>
      <w:r w:rsidRPr="000E5786">
        <w:rPr>
          <w:rFonts w:cs="Arial"/>
          <w:szCs w:val="20"/>
        </w:rPr>
        <w:t>(10)</w:t>
      </w:r>
      <w:bookmarkEnd w:id="1077"/>
      <w:r w:rsidRPr="000E5786">
        <w:rPr>
          <w:rFonts w:cs="Arial"/>
          <w:szCs w:val="20"/>
        </w:rPr>
        <w:t xml:space="preserve"> Working Days of receipt of a Milestone Adjustment Payment Notice, in each case as applicable:</w:t>
      </w:r>
      <w:bookmarkEnd w:id="1076"/>
    </w:p>
    <w:p w14:paraId="06137165" w14:textId="0A21764F" w:rsidR="0048699F" w:rsidRPr="000E5786" w:rsidRDefault="0048699F" w:rsidP="00346A37">
      <w:pPr>
        <w:pStyle w:val="Heading3"/>
      </w:pPr>
      <w:bookmarkStart w:id="1078" w:name="_Ref53585584"/>
      <w:r w:rsidRPr="000E5786">
        <w:lastRenderedPageBreak/>
        <w:t xml:space="preserve">notify </w:t>
      </w:r>
      <w:proofErr w:type="spellStart"/>
      <w:r w:rsidR="001F1C19">
        <w:t>Netlink</w:t>
      </w:r>
      <w:proofErr w:type="spellEnd"/>
      <w:r w:rsidR="001F1C19">
        <w:t xml:space="preserve"> Star</w:t>
      </w:r>
      <w:r w:rsidRPr="000E5786">
        <w:t xml:space="preserve"> whether it agrees that the Retained Deliverables which </w:t>
      </w:r>
      <w:proofErr w:type="spellStart"/>
      <w:r w:rsidR="001F1C19">
        <w:t>Netlink</w:t>
      </w:r>
      <w:proofErr w:type="spellEnd"/>
      <w:r w:rsidR="001F1C19">
        <w:t xml:space="preserve"> Star</w:t>
      </w:r>
      <w:r w:rsidRPr="000E5786">
        <w:t xml:space="preserve"> considers should be subject to an Allowable Price Adjustment as specified in the relevant Milestone Adjustment Payment Notice should be so subject; and</w:t>
      </w:r>
      <w:bookmarkEnd w:id="1078"/>
    </w:p>
    <w:p w14:paraId="32F1D78E" w14:textId="5277667B" w:rsidR="0048699F" w:rsidRPr="000E5786" w:rsidRDefault="0048699F" w:rsidP="00346A37">
      <w:pPr>
        <w:pStyle w:val="Heading3"/>
      </w:pPr>
      <w:bookmarkStart w:id="1079" w:name="_Ref53585585"/>
      <w:r w:rsidRPr="000E5786">
        <w:t xml:space="preserve">in relation to each such Retained Deliverable that the Supplier agrees should be subject to an Allowable Price Adjustment, notify </w:t>
      </w:r>
      <w:proofErr w:type="spellStart"/>
      <w:r w:rsidR="001F1C19">
        <w:t>Netlink</w:t>
      </w:r>
      <w:proofErr w:type="spellEnd"/>
      <w:r w:rsidR="001F1C19">
        <w:t xml:space="preserve"> Star</w:t>
      </w:r>
      <w:r w:rsidRPr="000E5786">
        <w:t xml:space="preserve"> of the Supplier’s proposed amount of the Allowable Price Adjustment and the basis for its </w:t>
      </w:r>
      <w:proofErr w:type="gramStart"/>
      <w:r w:rsidRPr="000E5786">
        <w:t>approval;</w:t>
      </w:r>
      <w:bookmarkEnd w:id="1079"/>
      <w:proofErr w:type="gramEnd"/>
    </w:p>
    <w:p w14:paraId="02E72E58" w14:textId="38707626" w:rsidR="0048699F" w:rsidRPr="000E5786" w:rsidRDefault="0048699F" w:rsidP="00346A37">
      <w:pPr>
        <w:pStyle w:val="Heading3"/>
      </w:pPr>
      <w:bookmarkStart w:id="1080" w:name="_Ref53585586"/>
      <w:r w:rsidRPr="000E5786">
        <w:t xml:space="preserve">provide </w:t>
      </w:r>
      <w:proofErr w:type="spellStart"/>
      <w:r w:rsidR="001F1C19">
        <w:t>Netlink</w:t>
      </w:r>
      <w:proofErr w:type="spellEnd"/>
      <w:r w:rsidR="001F1C19">
        <w:t xml:space="preserve"> Star</w:t>
      </w:r>
      <w:r w:rsidRPr="000E5786">
        <w:t xml:space="preserve"> with its calculation of the Milestone Adjustment Payment Amount in respect of each CPP Milestone the subject of the relevant Milestone Adjustment Payment Notice using its proposed Allowable Price Adjustment, including details of:</w:t>
      </w:r>
      <w:bookmarkEnd w:id="1080"/>
    </w:p>
    <w:p w14:paraId="79E98B94" w14:textId="61C06853" w:rsidR="0048699F" w:rsidRPr="000E5786" w:rsidRDefault="0048699F" w:rsidP="00834C1A">
      <w:pPr>
        <w:pStyle w:val="Heading4"/>
        <w:tabs>
          <w:tab w:val="clear" w:pos="1702"/>
          <w:tab w:val="num" w:pos="2410"/>
        </w:tabs>
        <w:spacing w:after="120"/>
        <w:ind w:left="2410"/>
        <w:rPr>
          <w:rFonts w:cs="Arial"/>
          <w:szCs w:val="20"/>
        </w:rPr>
      </w:pPr>
      <w:bookmarkStart w:id="1081" w:name="_Ref53585587"/>
      <w:r w:rsidRPr="000E5786">
        <w:rPr>
          <w:rFonts w:cs="Arial"/>
          <w:szCs w:val="20"/>
        </w:rPr>
        <w:t>all relevant Milestone Payments; and</w:t>
      </w:r>
      <w:bookmarkEnd w:id="1081"/>
    </w:p>
    <w:p w14:paraId="0F9CB404" w14:textId="56E0880B" w:rsidR="0048699F" w:rsidRPr="000E5786" w:rsidRDefault="0048699F" w:rsidP="00834C1A">
      <w:pPr>
        <w:pStyle w:val="Heading4"/>
        <w:tabs>
          <w:tab w:val="clear" w:pos="1702"/>
          <w:tab w:val="num" w:pos="2410"/>
        </w:tabs>
        <w:spacing w:after="120"/>
        <w:ind w:left="2410"/>
        <w:rPr>
          <w:rFonts w:cs="Arial"/>
          <w:szCs w:val="20"/>
        </w:rPr>
      </w:pPr>
      <w:bookmarkStart w:id="1082" w:name="_Ref53585588"/>
      <w:r w:rsidRPr="000E5786">
        <w:rPr>
          <w:rFonts w:cs="Arial"/>
          <w:szCs w:val="20"/>
        </w:rPr>
        <w:t>the Allowable Price of each Retained Deliverable; and</w:t>
      </w:r>
      <w:bookmarkEnd w:id="1082"/>
    </w:p>
    <w:p w14:paraId="09B2C29E" w14:textId="2EDEFD3C" w:rsidR="0048699F" w:rsidRPr="000E5786" w:rsidRDefault="0048699F" w:rsidP="00346A37">
      <w:pPr>
        <w:pStyle w:val="Heading3"/>
      </w:pPr>
      <w:bookmarkStart w:id="1083" w:name="_Ref53585589"/>
      <w:r w:rsidRPr="000E5786">
        <w:t xml:space="preserve">provide </w:t>
      </w:r>
      <w:proofErr w:type="spellStart"/>
      <w:r w:rsidR="001F1C19">
        <w:t>Netlink</w:t>
      </w:r>
      <w:proofErr w:type="spellEnd"/>
      <w:r w:rsidR="001F1C19">
        <w:t xml:space="preserve"> Star</w:t>
      </w:r>
      <w:r w:rsidRPr="000E5786">
        <w:t xml:space="preserve"> with such supporting information as </w:t>
      </w:r>
      <w:proofErr w:type="spellStart"/>
      <w:r w:rsidR="001F1C19">
        <w:t>Netlink</w:t>
      </w:r>
      <w:proofErr w:type="spellEnd"/>
      <w:r w:rsidR="001F1C19">
        <w:t xml:space="preserve"> Star</w:t>
      </w:r>
      <w:r w:rsidRPr="000E5786">
        <w:t xml:space="preserve"> may require.</w:t>
      </w:r>
      <w:bookmarkEnd w:id="1083"/>
    </w:p>
    <w:p w14:paraId="29E0CD9D" w14:textId="1CF48203" w:rsidR="0048699F" w:rsidRPr="000E5786" w:rsidRDefault="0048699F" w:rsidP="00DD60F0">
      <w:pPr>
        <w:pStyle w:val="Heading2"/>
        <w:spacing w:after="120"/>
        <w:rPr>
          <w:rFonts w:cs="Arial"/>
          <w:szCs w:val="20"/>
        </w:rPr>
      </w:pPr>
      <w:bookmarkStart w:id="1084" w:name="_Ref53585590"/>
      <w:r w:rsidRPr="000E5786">
        <w:rPr>
          <w:rFonts w:cs="Arial"/>
          <w:szCs w:val="20"/>
        </w:rPr>
        <w:t xml:space="preserve">If the Parties do not agree the calculation of a Milestone Adjustment Payment Amount within twenty </w:t>
      </w:r>
      <w:bookmarkStart w:id="1085" w:name="DocXTextRef484"/>
      <w:r w:rsidRPr="000E5786">
        <w:rPr>
          <w:rFonts w:cs="Arial"/>
          <w:szCs w:val="20"/>
        </w:rPr>
        <w:t>(20)</w:t>
      </w:r>
      <w:bookmarkEnd w:id="1085"/>
      <w:r w:rsidRPr="000E5786">
        <w:rPr>
          <w:rFonts w:cs="Arial"/>
          <w:szCs w:val="20"/>
        </w:rPr>
        <w:t xml:space="preserve"> Working Days of the Supplier’s receipt of the relevant Milestone Adjustment Payment Notice, either Party may refer the Dispute to the Dispute Resolution Procedure.</w:t>
      </w:r>
      <w:bookmarkEnd w:id="1084"/>
    </w:p>
    <w:p w14:paraId="303CCBF0" w14:textId="16D1A1AE" w:rsidR="0048699F" w:rsidRPr="000E5786" w:rsidRDefault="0048699F" w:rsidP="00DD60F0">
      <w:pPr>
        <w:pStyle w:val="Heading2"/>
        <w:spacing w:after="120"/>
        <w:rPr>
          <w:rFonts w:cs="Arial"/>
          <w:szCs w:val="20"/>
        </w:rPr>
      </w:pPr>
      <w:bookmarkStart w:id="1086" w:name="_Ref53585591"/>
      <w:r w:rsidRPr="000E5786">
        <w:rPr>
          <w:rFonts w:cs="Arial"/>
          <w:szCs w:val="20"/>
        </w:rPr>
        <w:t xml:space="preserve">If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issues a Milestone Adjustment Payment Notice pursuant to clause </w:t>
      </w:r>
      <w:r w:rsidR="000E0F00" w:rsidRPr="000E5786">
        <w:rPr>
          <w:rFonts w:cs="Arial"/>
          <w:szCs w:val="20"/>
        </w:rPr>
        <w:fldChar w:fldCharType="begin"/>
      </w:r>
      <w:r w:rsidR="000E0F00" w:rsidRPr="000E5786">
        <w:rPr>
          <w:rFonts w:cs="Arial"/>
          <w:szCs w:val="20"/>
        </w:rPr>
        <w:instrText xml:space="preserve">  REF _Ref53585578 \w \h \* MERGEFORMAT </w:instrText>
      </w:r>
      <w:r w:rsidR="000E0F00" w:rsidRPr="000E5786">
        <w:rPr>
          <w:rFonts w:cs="Arial"/>
          <w:szCs w:val="20"/>
        </w:rPr>
      </w:r>
      <w:r w:rsidR="000E0F00" w:rsidRPr="000E5786">
        <w:rPr>
          <w:rFonts w:cs="Arial"/>
          <w:szCs w:val="20"/>
        </w:rPr>
        <w:fldChar w:fldCharType="separate"/>
      </w:r>
      <w:r w:rsidR="002523A8" w:rsidRPr="000E5786">
        <w:rPr>
          <w:rFonts w:cs="Arial"/>
          <w:szCs w:val="20"/>
        </w:rPr>
        <w:t>37.7</w:t>
      </w:r>
      <w:r w:rsidR="000E0F00" w:rsidRPr="000E5786">
        <w:rPr>
          <w:rFonts w:cs="Arial"/>
          <w:szCs w:val="20"/>
        </w:rPr>
        <w:fldChar w:fldCharType="end"/>
      </w:r>
      <w:r w:rsidRPr="000E5786">
        <w:rPr>
          <w:rFonts w:cs="Arial"/>
          <w:szCs w:val="20"/>
        </w:rPr>
        <w:t>:</w:t>
      </w:r>
      <w:bookmarkEnd w:id="1086"/>
    </w:p>
    <w:p w14:paraId="2768901A" w14:textId="10309B5A" w:rsidR="0048699F" w:rsidRPr="000E5786" w:rsidRDefault="001F1C19" w:rsidP="00346A37">
      <w:pPr>
        <w:pStyle w:val="Heading3"/>
      </w:pPr>
      <w:bookmarkStart w:id="1087" w:name="_Ref53585592"/>
      <w:proofErr w:type="spellStart"/>
      <w:r>
        <w:t>Netlink</w:t>
      </w:r>
      <w:proofErr w:type="spellEnd"/>
      <w:r>
        <w:t xml:space="preserve"> Star</w:t>
      </w:r>
      <w:r w:rsidR="0048699F" w:rsidRPr="000E5786">
        <w:t xml:space="preserve"> shall:</w:t>
      </w:r>
      <w:bookmarkEnd w:id="1087"/>
    </w:p>
    <w:p w14:paraId="716D0E15" w14:textId="4F1E3629" w:rsidR="0048699F" w:rsidRPr="000E5786" w:rsidRDefault="0048699F" w:rsidP="00834C1A">
      <w:pPr>
        <w:pStyle w:val="Heading4"/>
        <w:tabs>
          <w:tab w:val="clear" w:pos="1702"/>
          <w:tab w:val="num" w:pos="2410"/>
        </w:tabs>
        <w:spacing w:after="120"/>
        <w:ind w:left="2410"/>
        <w:rPr>
          <w:rFonts w:cs="Arial"/>
          <w:szCs w:val="20"/>
        </w:rPr>
      </w:pPr>
      <w:bookmarkStart w:id="1088" w:name="_Ref53585593"/>
      <w:r w:rsidRPr="000E5786">
        <w:rPr>
          <w:rFonts w:cs="Arial"/>
          <w:szCs w:val="20"/>
        </w:rPr>
        <w:t>securely destroy or return to the Supplier all Non-retained Deliverables that are in tangible form; and</w:t>
      </w:r>
      <w:bookmarkEnd w:id="1088"/>
    </w:p>
    <w:p w14:paraId="7FC23742" w14:textId="7329D65B" w:rsidR="0048699F" w:rsidRPr="000E5786" w:rsidRDefault="0048699F" w:rsidP="00834C1A">
      <w:pPr>
        <w:pStyle w:val="Heading4"/>
        <w:tabs>
          <w:tab w:val="clear" w:pos="1702"/>
          <w:tab w:val="num" w:pos="2410"/>
        </w:tabs>
        <w:spacing w:after="120"/>
        <w:ind w:left="2410"/>
        <w:rPr>
          <w:rFonts w:cs="Arial"/>
          <w:szCs w:val="20"/>
        </w:rPr>
      </w:pPr>
      <w:bookmarkStart w:id="1089" w:name="_Ref53585594"/>
      <w:r w:rsidRPr="000E5786">
        <w:rPr>
          <w:rFonts w:cs="Arial"/>
          <w:szCs w:val="20"/>
        </w:rPr>
        <w:t xml:space="preserve">ensure that all Non-retained Deliverables that are held in electronic, digital or other machine-readable form cease to be readily accessible (other than by the information technology staff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from any computer, word processor, voicemail system or any other device containing such </w:t>
      </w:r>
      <w:proofErr w:type="gramStart"/>
      <w:r w:rsidRPr="000E5786">
        <w:rPr>
          <w:rFonts w:cs="Arial"/>
          <w:szCs w:val="20"/>
        </w:rPr>
        <w:t>all Non-</w:t>
      </w:r>
      <w:proofErr w:type="gramEnd"/>
      <w:r w:rsidRPr="000E5786">
        <w:rPr>
          <w:rFonts w:cs="Arial"/>
          <w:szCs w:val="20"/>
        </w:rPr>
        <w:t>retained Deliverables,</w:t>
      </w:r>
      <w:bookmarkEnd w:id="1089"/>
    </w:p>
    <w:p w14:paraId="58CED417" w14:textId="77777777" w:rsidR="0048699F" w:rsidRPr="000E5786" w:rsidRDefault="0048699F" w:rsidP="00834C1A">
      <w:pPr>
        <w:pStyle w:val="BodyText3"/>
        <w:spacing w:after="120"/>
        <w:ind w:firstLine="0"/>
        <w:rPr>
          <w:rFonts w:cs="Arial"/>
          <w:szCs w:val="20"/>
        </w:rPr>
      </w:pPr>
      <w:r w:rsidRPr="000E5786">
        <w:rPr>
          <w:rFonts w:cs="Arial"/>
          <w:szCs w:val="20"/>
        </w:rPr>
        <w:t>in each case as soon as reasonably practicable after repayment of the aggregate Milestone Adjustment Payment Amounts repayable pursuant to that Milestone Adjustment Payment Notice; and</w:t>
      </w:r>
    </w:p>
    <w:p w14:paraId="11AB4C9A" w14:textId="14F14495" w:rsidR="0048699F" w:rsidRPr="000E5786" w:rsidRDefault="0048699F" w:rsidP="00346A37">
      <w:pPr>
        <w:pStyle w:val="Heading3"/>
      </w:pPr>
      <w:bookmarkStart w:id="1090" w:name="_Ref53585595"/>
      <w:r w:rsidRPr="000E5786">
        <w:t xml:space="preserve">all licences granted pursuant to clause </w:t>
      </w:r>
      <w:r w:rsidR="000E0F00" w:rsidRPr="000E5786">
        <w:fldChar w:fldCharType="begin"/>
      </w:r>
      <w:r w:rsidR="000E0F00" w:rsidRPr="000E5786">
        <w:instrText xml:space="preserve">  REF _Ref53585716 \w \h \* MERGEFORMAT </w:instrText>
      </w:r>
      <w:r w:rsidR="000E0F00" w:rsidRPr="000E5786">
        <w:fldChar w:fldCharType="separate"/>
      </w:r>
      <w:r w:rsidR="002523A8" w:rsidRPr="000E5786">
        <w:t>19</w:t>
      </w:r>
      <w:r w:rsidR="000E0F00" w:rsidRPr="000E5786">
        <w:fldChar w:fldCharType="end"/>
      </w:r>
      <w:r w:rsidRPr="000E5786">
        <w:t xml:space="preserve"> (Licences granted by the Supplier) in respect of any Supplier Non-COTS Software and/or Supplier Background IPRs shall terminate upon such repayment to the extent that they relate to the Non</w:t>
      </w:r>
      <w:r w:rsidR="00CC400E">
        <w:t>-</w:t>
      </w:r>
      <w:r w:rsidRPr="000E5786">
        <w:t xml:space="preserve">retained Deliverables and </w:t>
      </w:r>
      <w:proofErr w:type="spellStart"/>
      <w:r w:rsidR="001F1C19">
        <w:t>Netlink</w:t>
      </w:r>
      <w:proofErr w:type="spellEnd"/>
      <w:r w:rsidR="001F1C19">
        <w:t xml:space="preserve"> Star</w:t>
      </w:r>
      <w:r w:rsidRPr="000E5786">
        <w:t xml:space="preserve"> shall, upon request by the Supplier, reassign to the Supplier any title that </w:t>
      </w:r>
      <w:proofErr w:type="spellStart"/>
      <w:r w:rsidR="001F1C19">
        <w:t>Netlink</w:t>
      </w:r>
      <w:proofErr w:type="spellEnd"/>
      <w:r w:rsidR="001F1C19">
        <w:t xml:space="preserve"> Star</w:t>
      </w:r>
      <w:r w:rsidRPr="000E5786">
        <w:t xml:space="preserve"> has (if any) to, and all rights and interest (if any) that </w:t>
      </w:r>
      <w:proofErr w:type="spellStart"/>
      <w:r w:rsidR="001F1C19">
        <w:t>Netlink</w:t>
      </w:r>
      <w:proofErr w:type="spellEnd"/>
      <w:r w:rsidR="001F1C19">
        <w:t xml:space="preserve"> Star</w:t>
      </w:r>
      <w:r w:rsidRPr="000E5786">
        <w:t xml:space="preserve"> has in, any Specially Written Software and Project Specific IPRs to the extent that these form part of the Non-retained Deliverables.</w:t>
      </w:r>
      <w:bookmarkEnd w:id="1090"/>
    </w:p>
    <w:p w14:paraId="73A6660A" w14:textId="77777777" w:rsidR="0048699F" w:rsidRPr="000E5786" w:rsidRDefault="0048699F" w:rsidP="00DD60F0">
      <w:pPr>
        <w:pStyle w:val="BodyText"/>
        <w:spacing w:after="120"/>
        <w:rPr>
          <w:rFonts w:cs="Arial"/>
          <w:b/>
          <w:bCs/>
          <w:szCs w:val="20"/>
        </w:rPr>
      </w:pPr>
      <w:r w:rsidRPr="000E5786">
        <w:rPr>
          <w:rFonts w:cs="Arial"/>
          <w:b/>
          <w:bCs/>
          <w:szCs w:val="20"/>
        </w:rPr>
        <w:t>SECTION J – MISCELLANEOUS AND GOVERNING LAW</w:t>
      </w:r>
    </w:p>
    <w:p w14:paraId="51A59361" w14:textId="77C2AE2E" w:rsidR="0048699F" w:rsidRPr="000E5786" w:rsidRDefault="0048699F" w:rsidP="00DD60F0">
      <w:pPr>
        <w:pStyle w:val="Heading1"/>
        <w:spacing w:after="120"/>
        <w:rPr>
          <w:rFonts w:cs="Arial"/>
          <w:szCs w:val="20"/>
        </w:rPr>
      </w:pPr>
      <w:bookmarkStart w:id="1091" w:name="_Ref53585596"/>
      <w:bookmarkStart w:id="1092" w:name="_Ref53585736"/>
      <w:bookmarkStart w:id="1093" w:name="_Toc71198962"/>
      <w:r w:rsidRPr="000E5786">
        <w:rPr>
          <w:rFonts w:cs="Arial"/>
          <w:szCs w:val="20"/>
        </w:rPr>
        <w:t>COMPLIANCE</w:t>
      </w:r>
      <w:bookmarkEnd w:id="1091"/>
      <w:bookmarkEnd w:id="1092"/>
      <w:bookmarkEnd w:id="1093"/>
    </w:p>
    <w:p w14:paraId="5813D2EB" w14:textId="4668332D" w:rsidR="0048699F" w:rsidRPr="000E5786" w:rsidRDefault="0048699F" w:rsidP="00CE5734">
      <w:pPr>
        <w:pStyle w:val="BodyText"/>
        <w:spacing w:after="120"/>
        <w:ind w:left="709" w:firstLine="0"/>
        <w:rPr>
          <w:rFonts w:cs="Arial"/>
          <w:szCs w:val="20"/>
          <w:u w:val="single"/>
        </w:rPr>
      </w:pPr>
      <w:r w:rsidRPr="000E5786">
        <w:rPr>
          <w:rFonts w:cs="Arial"/>
          <w:szCs w:val="20"/>
          <w:u w:val="single"/>
        </w:rPr>
        <w:t>Health and Safety</w:t>
      </w:r>
    </w:p>
    <w:p w14:paraId="0B8F63AE" w14:textId="2EE8CC55" w:rsidR="0048699F" w:rsidRPr="000E5786" w:rsidRDefault="0048699F" w:rsidP="00DD60F0">
      <w:pPr>
        <w:pStyle w:val="Heading2"/>
        <w:spacing w:after="120"/>
        <w:rPr>
          <w:rFonts w:cs="Arial"/>
          <w:szCs w:val="20"/>
        </w:rPr>
      </w:pPr>
      <w:bookmarkStart w:id="1094" w:name="_Ref53585597"/>
      <w:r w:rsidRPr="000E5786">
        <w:rPr>
          <w:rFonts w:cs="Arial"/>
          <w:szCs w:val="20"/>
        </w:rPr>
        <w:t>The Supplier shall perform its obligations under this Agreement (including those in relation to the Services) in accordance with:</w:t>
      </w:r>
      <w:bookmarkEnd w:id="1094"/>
    </w:p>
    <w:p w14:paraId="16EFC9AE" w14:textId="0C8E194B" w:rsidR="0048699F" w:rsidRPr="000E5786" w:rsidRDefault="0048699F" w:rsidP="00346A37">
      <w:pPr>
        <w:pStyle w:val="Heading3"/>
      </w:pPr>
      <w:bookmarkStart w:id="1095" w:name="_Ref53585598"/>
      <w:r w:rsidRPr="000E5786">
        <w:t>all applicable Law regarding health and safety; and</w:t>
      </w:r>
      <w:bookmarkEnd w:id="1095"/>
    </w:p>
    <w:p w14:paraId="0818C5EC" w14:textId="0A523838" w:rsidR="0048699F" w:rsidRPr="000E5786" w:rsidRDefault="0048699F" w:rsidP="00346A37">
      <w:pPr>
        <w:pStyle w:val="Heading3"/>
      </w:pPr>
      <w:bookmarkStart w:id="1096" w:name="_Ref53585599"/>
      <w:r w:rsidRPr="000E5786">
        <w:t xml:space="preserve">the Health and Safety Policy whilst at </w:t>
      </w:r>
      <w:proofErr w:type="spellStart"/>
      <w:r w:rsidR="001F1C19">
        <w:t>Netlink</w:t>
      </w:r>
      <w:proofErr w:type="spellEnd"/>
      <w:r w:rsidR="001F1C19">
        <w:t xml:space="preserve"> Star</w:t>
      </w:r>
      <w:r w:rsidRPr="000E5786">
        <w:t xml:space="preserve"> Premises.</w:t>
      </w:r>
      <w:bookmarkEnd w:id="1096"/>
    </w:p>
    <w:p w14:paraId="396D9A91" w14:textId="29BE4084" w:rsidR="0048699F" w:rsidRPr="000E5786" w:rsidRDefault="0048699F" w:rsidP="00DD60F0">
      <w:pPr>
        <w:pStyle w:val="Heading2"/>
        <w:spacing w:after="120"/>
        <w:rPr>
          <w:rFonts w:cs="Arial"/>
          <w:szCs w:val="20"/>
        </w:rPr>
      </w:pPr>
      <w:bookmarkStart w:id="1097" w:name="_Ref53585600"/>
      <w:r w:rsidRPr="000E5786">
        <w:rPr>
          <w:rFonts w:cs="Arial"/>
          <w:szCs w:val="20"/>
        </w:rPr>
        <w:t xml:space="preserve">Each Party shall notify the other as soon as practicable of any health and safety incidents or material health and safety hazards 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Premises of which it becomes </w:t>
      </w:r>
      <w:proofErr w:type="gramStart"/>
      <w:r w:rsidRPr="000E5786">
        <w:rPr>
          <w:rFonts w:cs="Arial"/>
          <w:szCs w:val="20"/>
        </w:rPr>
        <w:t>aware</w:t>
      </w:r>
      <w:proofErr w:type="gramEnd"/>
      <w:r w:rsidRPr="000E5786">
        <w:rPr>
          <w:rFonts w:cs="Arial"/>
          <w:szCs w:val="20"/>
        </w:rPr>
        <w:t xml:space="preserve"> and which relate to or arise in connection with the performance of this Agreement.</w:t>
      </w:r>
      <w:r w:rsidR="000578A4" w:rsidRPr="000E5786">
        <w:rPr>
          <w:rFonts w:cs="Arial"/>
          <w:szCs w:val="20"/>
        </w:rPr>
        <w:t xml:space="preserve"> </w:t>
      </w:r>
      <w:r w:rsidRPr="000E5786">
        <w:rPr>
          <w:rFonts w:cs="Arial"/>
          <w:szCs w:val="20"/>
        </w:rPr>
        <w:t xml:space="preserve">The Supplier shall instruct the Supplier Personnel to adopt any necessary associated safety measures </w:t>
      </w:r>
      <w:proofErr w:type="gramStart"/>
      <w:r w:rsidRPr="000E5786">
        <w:rPr>
          <w:rFonts w:cs="Arial"/>
          <w:szCs w:val="20"/>
        </w:rPr>
        <w:t>in order to</w:t>
      </w:r>
      <w:proofErr w:type="gramEnd"/>
      <w:r w:rsidRPr="000E5786">
        <w:rPr>
          <w:rFonts w:cs="Arial"/>
          <w:szCs w:val="20"/>
        </w:rPr>
        <w:t xml:space="preserve"> manage any such material health and safety hazards.</w:t>
      </w:r>
      <w:bookmarkEnd w:id="1097"/>
    </w:p>
    <w:p w14:paraId="3CCF907B" w14:textId="1396DF4E" w:rsidR="0048699F" w:rsidRPr="000E5786" w:rsidRDefault="0048699F" w:rsidP="00CE5734">
      <w:pPr>
        <w:pStyle w:val="BodyText"/>
        <w:spacing w:after="120"/>
        <w:ind w:left="709" w:firstLine="0"/>
        <w:rPr>
          <w:rFonts w:cs="Arial"/>
          <w:szCs w:val="20"/>
          <w:u w:val="single"/>
        </w:rPr>
      </w:pPr>
      <w:r w:rsidRPr="000E5786">
        <w:rPr>
          <w:rFonts w:cs="Arial"/>
          <w:szCs w:val="20"/>
          <w:u w:val="single"/>
        </w:rPr>
        <w:t>Equality and Diversity</w:t>
      </w:r>
    </w:p>
    <w:p w14:paraId="01E6966E" w14:textId="41277178" w:rsidR="0048699F" w:rsidRPr="000E5786" w:rsidRDefault="0048699F" w:rsidP="00DD60F0">
      <w:pPr>
        <w:pStyle w:val="Heading2"/>
        <w:spacing w:after="120"/>
        <w:rPr>
          <w:rFonts w:cs="Arial"/>
          <w:szCs w:val="20"/>
        </w:rPr>
      </w:pPr>
      <w:bookmarkStart w:id="1098" w:name="_Ref53585601"/>
      <w:r w:rsidRPr="000E5786">
        <w:rPr>
          <w:rFonts w:cs="Arial"/>
          <w:szCs w:val="20"/>
        </w:rPr>
        <w:t>The Supplier shall:</w:t>
      </w:r>
      <w:bookmarkEnd w:id="1098"/>
    </w:p>
    <w:p w14:paraId="0625A1FA" w14:textId="2713F538" w:rsidR="0048699F" w:rsidRPr="000E5786" w:rsidRDefault="0048699F" w:rsidP="00346A37">
      <w:pPr>
        <w:pStyle w:val="Heading3"/>
      </w:pPr>
      <w:bookmarkStart w:id="1099" w:name="_Ref53585602"/>
      <w:r w:rsidRPr="000E5786">
        <w:lastRenderedPageBreak/>
        <w:t>perform its obligations under this Agreement (including those in relation to the Services) in accordance with:</w:t>
      </w:r>
      <w:bookmarkEnd w:id="1099"/>
    </w:p>
    <w:p w14:paraId="6CC3A725" w14:textId="7437AC7D" w:rsidR="0048699F" w:rsidRPr="000E5786" w:rsidRDefault="0048699F" w:rsidP="00834C1A">
      <w:pPr>
        <w:pStyle w:val="Heading4"/>
        <w:tabs>
          <w:tab w:val="clear" w:pos="1702"/>
          <w:tab w:val="num" w:pos="2410"/>
        </w:tabs>
        <w:spacing w:after="120"/>
        <w:ind w:left="2410"/>
        <w:rPr>
          <w:rFonts w:cs="Arial"/>
          <w:szCs w:val="20"/>
        </w:rPr>
      </w:pPr>
      <w:bookmarkStart w:id="1100" w:name="_Ref53585603"/>
      <w:r w:rsidRPr="000E5786">
        <w:rPr>
          <w:rFonts w:cs="Arial"/>
          <w:szCs w:val="20"/>
        </w:rPr>
        <w:t>all applicable equality Law (whether in relation to race, sex, gender reassignment, age, disability, sexual orientation, religion or belief, pregnancy, maternity or otherwise</w:t>
      </w:r>
      <w:proofErr w:type="gramStart"/>
      <w:r w:rsidRPr="000E5786">
        <w:rPr>
          <w:rFonts w:cs="Arial"/>
          <w:szCs w:val="20"/>
        </w:rPr>
        <w:t>);</w:t>
      </w:r>
      <w:bookmarkEnd w:id="1100"/>
      <w:proofErr w:type="gramEnd"/>
    </w:p>
    <w:p w14:paraId="28F03789" w14:textId="72D33FE3" w:rsidR="0048699F" w:rsidRPr="000E5786" w:rsidRDefault="001F1C19" w:rsidP="00834C1A">
      <w:pPr>
        <w:pStyle w:val="Heading4"/>
        <w:tabs>
          <w:tab w:val="clear" w:pos="1702"/>
          <w:tab w:val="num" w:pos="2410"/>
        </w:tabs>
        <w:spacing w:after="120"/>
        <w:ind w:left="2410"/>
        <w:rPr>
          <w:rFonts w:cs="Arial"/>
          <w:szCs w:val="20"/>
        </w:rPr>
      </w:pPr>
      <w:bookmarkStart w:id="1101" w:name="_Ref53585604"/>
      <w:proofErr w:type="spellStart"/>
      <w:r>
        <w:rPr>
          <w:rFonts w:cs="Arial"/>
          <w:szCs w:val="20"/>
        </w:rPr>
        <w:t>Netlink</w:t>
      </w:r>
      <w:proofErr w:type="spellEnd"/>
      <w:r>
        <w:rPr>
          <w:rFonts w:cs="Arial"/>
          <w:szCs w:val="20"/>
        </w:rPr>
        <w:t xml:space="preserve"> Star</w:t>
      </w:r>
      <w:r w:rsidR="0048699F" w:rsidRPr="000E5786">
        <w:rPr>
          <w:rFonts w:cs="Arial"/>
          <w:szCs w:val="20"/>
        </w:rPr>
        <w:t>’s equality and diversity policy as provided to the Supplier from time to time; and</w:t>
      </w:r>
      <w:bookmarkEnd w:id="1101"/>
    </w:p>
    <w:p w14:paraId="228F4C20" w14:textId="6D79D16D" w:rsidR="0048699F" w:rsidRPr="000E5786" w:rsidRDefault="0048699F" w:rsidP="00834C1A">
      <w:pPr>
        <w:pStyle w:val="Heading4"/>
        <w:tabs>
          <w:tab w:val="clear" w:pos="1702"/>
          <w:tab w:val="num" w:pos="2410"/>
        </w:tabs>
        <w:spacing w:after="120"/>
        <w:ind w:left="2410"/>
        <w:rPr>
          <w:rFonts w:cs="Arial"/>
          <w:szCs w:val="20"/>
        </w:rPr>
      </w:pPr>
      <w:bookmarkStart w:id="1102" w:name="_Ref53585605"/>
      <w:r w:rsidRPr="000E5786">
        <w:rPr>
          <w:rFonts w:cs="Arial"/>
          <w:szCs w:val="20"/>
        </w:rPr>
        <w:t xml:space="preserve">any other requirements and instructions which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reasonably imposes in connection with any equality obligations imposed on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at any time under applicable equality Law; and</w:t>
      </w:r>
      <w:bookmarkEnd w:id="1102"/>
    </w:p>
    <w:p w14:paraId="6E683ACB" w14:textId="5240BE95" w:rsidR="0048699F" w:rsidRPr="000E5786" w:rsidRDefault="0048699F" w:rsidP="00346A37">
      <w:pPr>
        <w:pStyle w:val="Heading3"/>
      </w:pPr>
      <w:bookmarkStart w:id="1103" w:name="_Ref53585606"/>
      <w:r w:rsidRPr="000E5786">
        <w:t xml:space="preserve">take all reasonable steps to secure the observance of clause </w:t>
      </w:r>
      <w:r w:rsidR="000E0F00" w:rsidRPr="000E5786">
        <w:fldChar w:fldCharType="begin"/>
      </w:r>
      <w:r w:rsidR="000E0F00" w:rsidRPr="000E5786">
        <w:instrText xml:space="preserve">  REF _Ref53585602 \w \h \* MERGEFORMAT </w:instrText>
      </w:r>
      <w:r w:rsidR="000E0F00" w:rsidRPr="000E5786">
        <w:fldChar w:fldCharType="separate"/>
      </w:r>
      <w:r w:rsidR="002523A8" w:rsidRPr="000E5786">
        <w:t>38.3.1</w:t>
      </w:r>
      <w:r w:rsidR="000E0F00" w:rsidRPr="000E5786">
        <w:fldChar w:fldCharType="end"/>
      </w:r>
      <w:r w:rsidRPr="000E5786">
        <w:t xml:space="preserve"> above by its employees, agents, </w:t>
      </w:r>
      <w:proofErr w:type="gramStart"/>
      <w:r w:rsidRPr="000E5786">
        <w:t>representatives</w:t>
      </w:r>
      <w:proofErr w:type="gramEnd"/>
      <w:r w:rsidRPr="000E5786">
        <w:t xml:space="preserve"> and Sub-contractors.</w:t>
      </w:r>
      <w:bookmarkEnd w:id="1103"/>
    </w:p>
    <w:p w14:paraId="2FA46F6A" w14:textId="0FE6EAF4" w:rsidR="0048699F" w:rsidRPr="000E5786" w:rsidRDefault="0048699F" w:rsidP="00346A37">
      <w:pPr>
        <w:pStyle w:val="Heading3"/>
      </w:pPr>
      <w:bookmarkStart w:id="1104" w:name="_Ref53585607"/>
      <w:r w:rsidRPr="000E5786">
        <w:t xml:space="preserve">take all necessary steps, and inform </w:t>
      </w:r>
      <w:proofErr w:type="spellStart"/>
      <w:r w:rsidR="001F1C19">
        <w:t>Netlink</w:t>
      </w:r>
      <w:proofErr w:type="spellEnd"/>
      <w:r w:rsidR="001F1C19">
        <w:t xml:space="preserve"> Star</w:t>
      </w:r>
      <w:r w:rsidRPr="000E5786">
        <w:t xml:space="preserve"> of the steps taken, to prevent unlawful discrimination designated as such by any court or tribunal, or the Equality and Human Rights Commission or (any successor organisation).</w:t>
      </w:r>
      <w:bookmarkEnd w:id="1104"/>
    </w:p>
    <w:p w14:paraId="5252FE1D" w14:textId="1BACCCAE" w:rsidR="0048699F" w:rsidRPr="000E5786" w:rsidRDefault="0048699F" w:rsidP="00DD60F0">
      <w:pPr>
        <w:pStyle w:val="Heading2"/>
        <w:spacing w:after="120"/>
        <w:rPr>
          <w:rFonts w:cs="Arial"/>
          <w:szCs w:val="20"/>
        </w:rPr>
      </w:pPr>
      <w:bookmarkStart w:id="1105" w:name="_Ref53585608"/>
      <w:r w:rsidRPr="000E5786">
        <w:rPr>
          <w:rFonts w:cs="Arial"/>
          <w:szCs w:val="20"/>
        </w:rPr>
        <w:t xml:space="preserve">The Supplier acknowledges that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is under a duty under </w:t>
      </w:r>
      <w:bookmarkStart w:id="1106" w:name="DocXTextRef488"/>
      <w:r w:rsidRPr="000E5786">
        <w:rPr>
          <w:rFonts w:cs="Arial"/>
          <w:szCs w:val="20"/>
        </w:rPr>
        <w:t>section 149</w:t>
      </w:r>
      <w:bookmarkEnd w:id="1106"/>
      <w:r w:rsidRPr="000E5786">
        <w:rPr>
          <w:rFonts w:cs="Arial"/>
          <w:szCs w:val="20"/>
        </w:rPr>
        <w:t xml:space="preserve"> of the Equality Act 2010 to have due regard to the need to eliminate unlawful discrimination (on the grounds of a Relevant Protected Characteristic), to advance equality of opportunity, and to foster good relations, between persons who share a Relevant Protected Characteristic and persons who do not share it. In performing its obligations under this Agreement, the Supplier shall assist and co-operate with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where possible in satisfying this duty.</w:t>
      </w:r>
      <w:bookmarkEnd w:id="1105"/>
    </w:p>
    <w:p w14:paraId="54EB78BF" w14:textId="7BF240BC" w:rsidR="0048699F" w:rsidRPr="000E5786" w:rsidRDefault="0048699F" w:rsidP="00CE5734">
      <w:pPr>
        <w:pStyle w:val="BodyText"/>
        <w:spacing w:after="120"/>
        <w:ind w:left="709" w:firstLine="0"/>
        <w:rPr>
          <w:rFonts w:cs="Arial"/>
          <w:szCs w:val="20"/>
          <w:u w:val="single"/>
        </w:rPr>
      </w:pPr>
      <w:r w:rsidRPr="000E5786">
        <w:rPr>
          <w:rFonts w:cs="Arial"/>
          <w:szCs w:val="20"/>
          <w:u w:val="single"/>
        </w:rPr>
        <w:t>Official Secrets Act and Finance Act</w:t>
      </w:r>
    </w:p>
    <w:p w14:paraId="68842BE6" w14:textId="7D1660AC" w:rsidR="0048699F" w:rsidRPr="000E5786" w:rsidRDefault="0048699F" w:rsidP="00DD60F0">
      <w:pPr>
        <w:pStyle w:val="Heading2"/>
        <w:spacing w:after="120"/>
        <w:rPr>
          <w:rFonts w:cs="Arial"/>
          <w:szCs w:val="20"/>
        </w:rPr>
      </w:pPr>
      <w:bookmarkStart w:id="1107" w:name="_Ref53585609"/>
      <w:r w:rsidRPr="000E5786">
        <w:rPr>
          <w:rFonts w:cs="Arial"/>
          <w:szCs w:val="20"/>
        </w:rPr>
        <w:t>The Supplier shall comply with the provisions of:</w:t>
      </w:r>
      <w:bookmarkEnd w:id="1107"/>
    </w:p>
    <w:p w14:paraId="319501B4" w14:textId="0F32136B" w:rsidR="0048699F" w:rsidRPr="000E5786" w:rsidRDefault="0048699F" w:rsidP="00346A37">
      <w:pPr>
        <w:pStyle w:val="Heading3"/>
      </w:pPr>
      <w:bookmarkStart w:id="1108" w:name="_Ref53585610"/>
      <w:r w:rsidRPr="000E5786">
        <w:t xml:space="preserve">the Official Secrets Acts 1911 to </w:t>
      </w:r>
      <w:bookmarkStart w:id="1109" w:name="DocXTextRef489"/>
      <w:r w:rsidRPr="000E5786">
        <w:t>1989</w:t>
      </w:r>
      <w:bookmarkEnd w:id="1109"/>
      <w:r w:rsidRPr="000E5786">
        <w:t>; and</w:t>
      </w:r>
      <w:bookmarkEnd w:id="1108"/>
    </w:p>
    <w:p w14:paraId="3C6F267D" w14:textId="69791F9F" w:rsidR="0048699F" w:rsidRPr="000E5786" w:rsidRDefault="0048699F" w:rsidP="00346A37">
      <w:pPr>
        <w:pStyle w:val="Heading3"/>
      </w:pPr>
      <w:bookmarkStart w:id="1110" w:name="_Ref53585611"/>
      <w:r w:rsidRPr="000E5786">
        <w:t>section 182 of the Finance Act 1989.</w:t>
      </w:r>
      <w:bookmarkEnd w:id="1110"/>
    </w:p>
    <w:p w14:paraId="0F2469EC" w14:textId="264A3E40" w:rsidR="0048699F" w:rsidRPr="000E5786" w:rsidRDefault="0048699F" w:rsidP="00DD60F0">
      <w:pPr>
        <w:pStyle w:val="Heading1"/>
        <w:spacing w:after="120"/>
        <w:rPr>
          <w:rFonts w:cs="Arial"/>
          <w:szCs w:val="20"/>
        </w:rPr>
      </w:pPr>
      <w:bookmarkStart w:id="1111" w:name="_Ref53585612"/>
      <w:bookmarkStart w:id="1112" w:name="_Ref53585737"/>
      <w:bookmarkStart w:id="1113" w:name="_Toc71198963"/>
      <w:r w:rsidRPr="000E5786">
        <w:rPr>
          <w:rFonts w:cs="Arial"/>
          <w:szCs w:val="20"/>
        </w:rPr>
        <w:t>LONDON LIVING WAGE</w:t>
      </w:r>
      <w:bookmarkEnd w:id="1111"/>
      <w:bookmarkEnd w:id="1112"/>
      <w:bookmarkEnd w:id="1113"/>
    </w:p>
    <w:p w14:paraId="0300346A" w14:textId="5439B5EB" w:rsidR="0048699F" w:rsidRPr="000E5786" w:rsidRDefault="0048699F" w:rsidP="00DD60F0">
      <w:pPr>
        <w:pStyle w:val="Heading2"/>
        <w:spacing w:after="120"/>
        <w:rPr>
          <w:rFonts w:cs="Arial"/>
          <w:szCs w:val="20"/>
        </w:rPr>
      </w:pPr>
      <w:bookmarkStart w:id="1114" w:name="_Ref53585613"/>
      <w:r w:rsidRPr="000E5786">
        <w:rPr>
          <w:rFonts w:cs="Arial"/>
          <w:szCs w:val="20"/>
        </w:rPr>
        <w:t>The Supplier shall and shall procure that its relevant Sub-contractors shall:</w:t>
      </w:r>
      <w:bookmarkEnd w:id="1114"/>
    </w:p>
    <w:p w14:paraId="39E78A65" w14:textId="2294D8E0" w:rsidR="0048699F" w:rsidRPr="000E5786" w:rsidRDefault="0048699F" w:rsidP="00346A37">
      <w:pPr>
        <w:pStyle w:val="Heading3"/>
      </w:pPr>
      <w:bookmarkStart w:id="1115" w:name="_Ref53585614"/>
      <w:r w:rsidRPr="000E5786">
        <w:t>ensure that none of its workers or its Sub-contractors’ workers engaged in the performance of this Agreement in the Greater London Area (but not otherwise) and who would also satisfy the eligibility criteria set by the Living Wage Foundation (or</w:t>
      </w:r>
      <w:r w:rsidR="00DB28FF" w:rsidRPr="000E5786">
        <w:t xml:space="preserve"> </w:t>
      </w:r>
      <w:r w:rsidRPr="000E5786">
        <w:t>any replacement thereof) are paid an hourly wage (or equivalent of an hourly wage) less than the London Living Wage; and</w:t>
      </w:r>
      <w:bookmarkEnd w:id="1115"/>
    </w:p>
    <w:p w14:paraId="02B50DE7" w14:textId="2136BFF4" w:rsidR="0048699F" w:rsidRPr="000E5786" w:rsidRDefault="0048699F" w:rsidP="00346A37">
      <w:pPr>
        <w:pStyle w:val="Heading3"/>
      </w:pPr>
      <w:bookmarkStart w:id="1116" w:name="_Ref53585615"/>
      <w:r w:rsidRPr="000E5786">
        <w:t xml:space="preserve">co-operate and provide all reasonable assistance to </w:t>
      </w:r>
      <w:proofErr w:type="spellStart"/>
      <w:r w:rsidR="001F1C19">
        <w:t>Netlink</w:t>
      </w:r>
      <w:proofErr w:type="spellEnd"/>
      <w:r w:rsidR="001F1C19">
        <w:t xml:space="preserve"> Star</w:t>
      </w:r>
      <w:r w:rsidRPr="000E5786">
        <w:t xml:space="preserve"> in monitoring the effect of the London Living Wage.</w:t>
      </w:r>
      <w:bookmarkEnd w:id="1116"/>
    </w:p>
    <w:p w14:paraId="76E30CCA" w14:textId="31DE8F79" w:rsidR="0048699F" w:rsidRPr="000E5786" w:rsidRDefault="0048699F" w:rsidP="00DD60F0">
      <w:pPr>
        <w:pStyle w:val="Heading2"/>
        <w:spacing w:after="120"/>
        <w:rPr>
          <w:rFonts w:cs="Arial"/>
          <w:szCs w:val="20"/>
        </w:rPr>
      </w:pPr>
      <w:bookmarkStart w:id="1117" w:name="_Ref53585616"/>
      <w:r w:rsidRPr="000E5786">
        <w:rPr>
          <w:rFonts w:cs="Arial"/>
          <w:szCs w:val="20"/>
        </w:rPr>
        <w:t>If the London Living Wage increases during the Term, the Supplier shall not be entitled to adjust the Charges and the Parties agree and acknowledge that any increases in the London Living Wage anticipated during the Term have been factored into the Charges.</w:t>
      </w:r>
      <w:bookmarkEnd w:id="1117"/>
    </w:p>
    <w:p w14:paraId="7F6E9239" w14:textId="24718020" w:rsidR="0048699F" w:rsidRPr="000E5786" w:rsidRDefault="0048699F" w:rsidP="00DD60F0">
      <w:pPr>
        <w:pStyle w:val="Heading2"/>
        <w:spacing w:after="120"/>
        <w:rPr>
          <w:rFonts w:cs="Arial"/>
          <w:szCs w:val="20"/>
        </w:rPr>
      </w:pPr>
      <w:bookmarkStart w:id="1118" w:name="_Ref53585617"/>
      <w:r w:rsidRPr="000E5786">
        <w:rPr>
          <w:rFonts w:cs="Arial"/>
          <w:szCs w:val="20"/>
        </w:rPr>
        <w:t xml:space="preserve">Any failure by the Supplier to comply with the provisions of clause </w:t>
      </w:r>
      <w:r w:rsidR="000E0F00" w:rsidRPr="000E5786">
        <w:rPr>
          <w:rFonts w:cs="Arial"/>
          <w:szCs w:val="20"/>
        </w:rPr>
        <w:fldChar w:fldCharType="begin"/>
      </w:r>
      <w:r w:rsidR="000E0F00" w:rsidRPr="000E5786">
        <w:rPr>
          <w:rFonts w:cs="Arial"/>
          <w:szCs w:val="20"/>
        </w:rPr>
        <w:instrText xml:space="preserve">  REF _Ref53585737 \w \h \* MERGEFORMAT </w:instrText>
      </w:r>
      <w:r w:rsidR="000E0F00" w:rsidRPr="000E5786">
        <w:rPr>
          <w:rFonts w:cs="Arial"/>
          <w:szCs w:val="20"/>
        </w:rPr>
      </w:r>
      <w:r w:rsidR="000E0F00" w:rsidRPr="000E5786">
        <w:rPr>
          <w:rFonts w:cs="Arial"/>
          <w:szCs w:val="20"/>
        </w:rPr>
        <w:fldChar w:fldCharType="separate"/>
      </w:r>
      <w:r w:rsidR="002523A8" w:rsidRPr="000E5786">
        <w:rPr>
          <w:rFonts w:cs="Arial"/>
          <w:szCs w:val="20"/>
        </w:rPr>
        <w:t>39</w:t>
      </w:r>
      <w:r w:rsidR="000E0F00" w:rsidRPr="000E5786">
        <w:rPr>
          <w:rFonts w:cs="Arial"/>
          <w:szCs w:val="20"/>
        </w:rPr>
        <w:fldChar w:fldCharType="end"/>
      </w:r>
      <w:r w:rsidRPr="000E5786">
        <w:rPr>
          <w:rFonts w:cs="Arial"/>
          <w:szCs w:val="20"/>
        </w:rPr>
        <w:t xml:space="preserve"> shall be treated as a material breach under this Agreement.</w:t>
      </w:r>
      <w:bookmarkEnd w:id="1118"/>
    </w:p>
    <w:p w14:paraId="4FEC9AC1" w14:textId="35CB5381" w:rsidR="0048699F" w:rsidRPr="000E5786" w:rsidRDefault="0048699F" w:rsidP="00DD60F0">
      <w:pPr>
        <w:pStyle w:val="Heading1"/>
        <w:spacing w:after="120"/>
        <w:rPr>
          <w:rFonts w:cs="Arial"/>
          <w:szCs w:val="20"/>
        </w:rPr>
      </w:pPr>
      <w:bookmarkStart w:id="1119" w:name="_Ref53585618"/>
      <w:bookmarkStart w:id="1120" w:name="_Ref53585738"/>
      <w:bookmarkStart w:id="1121" w:name="_Toc71198964"/>
      <w:r w:rsidRPr="000E5786">
        <w:rPr>
          <w:rFonts w:cs="Arial"/>
          <w:szCs w:val="20"/>
        </w:rPr>
        <w:t>ASSIGNMENT AND NOVATION</w:t>
      </w:r>
      <w:bookmarkEnd w:id="1119"/>
      <w:bookmarkEnd w:id="1120"/>
      <w:bookmarkEnd w:id="1121"/>
    </w:p>
    <w:p w14:paraId="42F9B64E" w14:textId="3E987BAE" w:rsidR="0048699F" w:rsidRPr="000E5786" w:rsidRDefault="0048699F" w:rsidP="00DD60F0">
      <w:pPr>
        <w:pStyle w:val="Heading2"/>
        <w:spacing w:after="120"/>
        <w:rPr>
          <w:rFonts w:cs="Arial"/>
          <w:szCs w:val="20"/>
        </w:rPr>
      </w:pPr>
      <w:bookmarkStart w:id="1122" w:name="_Ref53585619"/>
      <w:r w:rsidRPr="000E5786">
        <w:rPr>
          <w:rFonts w:cs="Arial"/>
          <w:szCs w:val="20"/>
        </w:rPr>
        <w:t xml:space="preserve">The Supplier shall not assign, </w:t>
      </w:r>
      <w:proofErr w:type="gramStart"/>
      <w:r w:rsidRPr="000E5786">
        <w:rPr>
          <w:rFonts w:cs="Arial"/>
          <w:szCs w:val="20"/>
        </w:rPr>
        <w:t>novate</w:t>
      </w:r>
      <w:proofErr w:type="gramEnd"/>
      <w:r w:rsidRPr="000E5786">
        <w:rPr>
          <w:rFonts w:cs="Arial"/>
          <w:szCs w:val="20"/>
        </w:rPr>
        <w:t xml:space="preserve"> or otherwise dispose of or create any trust in relation to any or all of its rights, obligations or liabilities under this Agreement without the prior written consent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w:t>
      </w:r>
      <w:bookmarkEnd w:id="1122"/>
    </w:p>
    <w:p w14:paraId="00D3A029" w14:textId="3EBDE40D" w:rsidR="0048699F" w:rsidRPr="000E5786" w:rsidRDefault="001F1C19" w:rsidP="00DD60F0">
      <w:pPr>
        <w:pStyle w:val="Heading2"/>
        <w:spacing w:after="120"/>
        <w:rPr>
          <w:rFonts w:cs="Arial"/>
          <w:szCs w:val="20"/>
        </w:rPr>
      </w:pPr>
      <w:bookmarkStart w:id="1123" w:name="_Ref53585620"/>
      <w:proofErr w:type="spellStart"/>
      <w:r>
        <w:rPr>
          <w:rFonts w:cs="Arial"/>
          <w:szCs w:val="20"/>
        </w:rPr>
        <w:t>Netlink</w:t>
      </w:r>
      <w:proofErr w:type="spellEnd"/>
      <w:r>
        <w:rPr>
          <w:rFonts w:cs="Arial"/>
          <w:szCs w:val="20"/>
        </w:rPr>
        <w:t xml:space="preserve"> Star</w:t>
      </w:r>
      <w:r w:rsidR="0048699F" w:rsidRPr="000E5786">
        <w:rPr>
          <w:rFonts w:cs="Arial"/>
          <w:szCs w:val="20"/>
        </w:rPr>
        <w:t xml:space="preserve"> may at its discretion assign, novate or otherwise dispose of any or </w:t>
      </w:r>
      <w:proofErr w:type="gramStart"/>
      <w:r w:rsidR="0048699F" w:rsidRPr="000E5786">
        <w:rPr>
          <w:rFonts w:cs="Arial"/>
          <w:szCs w:val="20"/>
        </w:rPr>
        <w:t>all of</w:t>
      </w:r>
      <w:proofErr w:type="gramEnd"/>
      <w:r w:rsidR="0048699F" w:rsidRPr="000E5786">
        <w:rPr>
          <w:rFonts w:cs="Arial"/>
          <w:szCs w:val="20"/>
        </w:rPr>
        <w:t xml:space="preserve"> its rights, obligations and liabilities under this Agreement and/or any associated licences to:</w:t>
      </w:r>
      <w:bookmarkEnd w:id="1123"/>
    </w:p>
    <w:p w14:paraId="51B405DB" w14:textId="1ECFF7AF" w:rsidR="0048699F" w:rsidRPr="000E5786" w:rsidRDefault="0048699F" w:rsidP="00346A37">
      <w:pPr>
        <w:pStyle w:val="Heading3"/>
      </w:pPr>
      <w:bookmarkStart w:id="1124" w:name="_Ref53585621"/>
      <w:r w:rsidRPr="000E5786">
        <w:t>any Central Government Body; or</w:t>
      </w:r>
      <w:bookmarkEnd w:id="1124"/>
    </w:p>
    <w:p w14:paraId="02518EE9" w14:textId="16B5D264" w:rsidR="0048699F" w:rsidRPr="000E5786" w:rsidRDefault="0048699F" w:rsidP="00346A37">
      <w:pPr>
        <w:pStyle w:val="Heading3"/>
      </w:pPr>
      <w:bookmarkStart w:id="1125" w:name="_Ref53585622"/>
      <w:r w:rsidRPr="000E5786">
        <w:t xml:space="preserve">to a body other than a Central Government Body (including any private sector body) which performs any of the functions that previously had been performed by </w:t>
      </w:r>
      <w:proofErr w:type="spellStart"/>
      <w:r w:rsidR="001F1C19">
        <w:t>Netlink</w:t>
      </w:r>
      <w:proofErr w:type="spellEnd"/>
      <w:r w:rsidR="001F1C19">
        <w:t xml:space="preserve"> Star</w:t>
      </w:r>
      <w:r w:rsidRPr="000E5786">
        <w:t>,</w:t>
      </w:r>
      <w:bookmarkEnd w:id="1125"/>
    </w:p>
    <w:p w14:paraId="0DE43240" w14:textId="34B9FE2C" w:rsidR="0048699F" w:rsidRPr="000E5786" w:rsidRDefault="0048699F" w:rsidP="00CE5734">
      <w:pPr>
        <w:pStyle w:val="BodyText1"/>
        <w:spacing w:after="120"/>
        <w:ind w:firstLine="0"/>
        <w:rPr>
          <w:rFonts w:cs="Arial"/>
          <w:szCs w:val="20"/>
        </w:rPr>
      </w:pPr>
      <w:r w:rsidRPr="000E5786">
        <w:rPr>
          <w:rFonts w:cs="Arial"/>
          <w:szCs w:val="20"/>
        </w:rPr>
        <w:lastRenderedPageBreak/>
        <w:t xml:space="preserve">and the Supplier shall, 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request, enter into a novation agreement in such form as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reasonably specify </w:t>
      </w:r>
      <w:proofErr w:type="gramStart"/>
      <w:r w:rsidRPr="000E5786">
        <w:rPr>
          <w:rFonts w:cs="Arial"/>
          <w:szCs w:val="20"/>
        </w:rPr>
        <w:t>in order to</w:t>
      </w:r>
      <w:proofErr w:type="gramEnd"/>
      <w:r w:rsidRPr="000E5786">
        <w:rPr>
          <w:rFonts w:cs="Arial"/>
          <w:szCs w:val="20"/>
        </w:rPr>
        <w:t xml:space="preserve"> enable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to exercise its rights pursuant to this clause </w:t>
      </w:r>
      <w:r w:rsidR="000E0F00" w:rsidRPr="000E5786">
        <w:rPr>
          <w:rFonts w:cs="Arial"/>
          <w:szCs w:val="20"/>
        </w:rPr>
        <w:fldChar w:fldCharType="begin"/>
      </w:r>
      <w:r w:rsidR="000E0F00" w:rsidRPr="000E5786">
        <w:rPr>
          <w:rFonts w:cs="Arial"/>
          <w:szCs w:val="20"/>
        </w:rPr>
        <w:instrText xml:space="preserve">  REF _Ref53585620 \w \h \* MERGEFORMAT </w:instrText>
      </w:r>
      <w:r w:rsidR="000E0F00" w:rsidRPr="000E5786">
        <w:rPr>
          <w:rFonts w:cs="Arial"/>
          <w:szCs w:val="20"/>
        </w:rPr>
      </w:r>
      <w:r w:rsidR="000E0F00" w:rsidRPr="000E5786">
        <w:rPr>
          <w:rFonts w:cs="Arial"/>
          <w:szCs w:val="20"/>
        </w:rPr>
        <w:fldChar w:fldCharType="separate"/>
      </w:r>
      <w:r w:rsidR="002523A8" w:rsidRPr="000E5786">
        <w:rPr>
          <w:rFonts w:cs="Arial"/>
          <w:szCs w:val="20"/>
        </w:rPr>
        <w:t>40.2</w:t>
      </w:r>
      <w:r w:rsidR="000E0F00" w:rsidRPr="000E5786">
        <w:rPr>
          <w:rFonts w:cs="Arial"/>
          <w:szCs w:val="20"/>
        </w:rPr>
        <w:fldChar w:fldCharType="end"/>
      </w:r>
      <w:r w:rsidRPr="000E5786">
        <w:rPr>
          <w:rFonts w:cs="Arial"/>
          <w:szCs w:val="20"/>
        </w:rPr>
        <w:t>.</w:t>
      </w:r>
    </w:p>
    <w:p w14:paraId="06687E2C" w14:textId="0B8B6E19" w:rsidR="0048699F" w:rsidRPr="000E5786" w:rsidRDefault="0048699F" w:rsidP="00DD60F0">
      <w:pPr>
        <w:pStyle w:val="Heading2"/>
        <w:spacing w:after="120"/>
        <w:rPr>
          <w:rFonts w:cs="Arial"/>
          <w:szCs w:val="20"/>
        </w:rPr>
      </w:pPr>
      <w:bookmarkStart w:id="1126" w:name="_Ref53585623"/>
      <w:r w:rsidRPr="000E5786">
        <w:rPr>
          <w:rFonts w:cs="Arial"/>
          <w:szCs w:val="20"/>
        </w:rPr>
        <w:t xml:space="preserve">A change in the legal status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not (subject to clause </w:t>
      </w:r>
      <w:r w:rsidR="000E0F00" w:rsidRPr="000E5786">
        <w:rPr>
          <w:rFonts w:cs="Arial"/>
          <w:szCs w:val="20"/>
        </w:rPr>
        <w:fldChar w:fldCharType="begin"/>
      </w:r>
      <w:r w:rsidR="000E0F00" w:rsidRPr="000E5786">
        <w:rPr>
          <w:rFonts w:cs="Arial"/>
          <w:szCs w:val="20"/>
        </w:rPr>
        <w:instrText xml:space="preserve">  REF _Ref53585624 \w \h \* MERGEFORMAT </w:instrText>
      </w:r>
      <w:r w:rsidR="000E0F00" w:rsidRPr="000E5786">
        <w:rPr>
          <w:rFonts w:cs="Arial"/>
          <w:szCs w:val="20"/>
        </w:rPr>
      </w:r>
      <w:r w:rsidR="000E0F00" w:rsidRPr="000E5786">
        <w:rPr>
          <w:rFonts w:cs="Arial"/>
          <w:szCs w:val="20"/>
        </w:rPr>
        <w:fldChar w:fldCharType="separate"/>
      </w:r>
      <w:r w:rsidR="002523A8" w:rsidRPr="000E5786">
        <w:rPr>
          <w:rFonts w:cs="Arial"/>
          <w:szCs w:val="20"/>
        </w:rPr>
        <w:t>40.4</w:t>
      </w:r>
      <w:r w:rsidR="000E0F00" w:rsidRPr="000E5786">
        <w:rPr>
          <w:rFonts w:cs="Arial"/>
          <w:szCs w:val="20"/>
        </w:rPr>
        <w:fldChar w:fldCharType="end"/>
      </w:r>
      <w:r w:rsidRPr="000E5786">
        <w:rPr>
          <w:rFonts w:cs="Arial"/>
          <w:szCs w:val="20"/>
        </w:rPr>
        <w:t xml:space="preserve">) affect the validity of this Agreement and this Agreement shall be binding on any successor body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w:t>
      </w:r>
      <w:bookmarkEnd w:id="1126"/>
    </w:p>
    <w:p w14:paraId="71BD1BF3" w14:textId="725E681D" w:rsidR="0048699F" w:rsidRPr="000E5786" w:rsidRDefault="0048699F" w:rsidP="00DD60F0">
      <w:pPr>
        <w:pStyle w:val="Heading2"/>
        <w:spacing w:after="120"/>
        <w:rPr>
          <w:rFonts w:cs="Arial"/>
          <w:szCs w:val="20"/>
        </w:rPr>
      </w:pPr>
      <w:bookmarkStart w:id="1127" w:name="_Ref53585624"/>
      <w:r w:rsidRPr="000E5786">
        <w:rPr>
          <w:rFonts w:cs="Arial"/>
          <w:szCs w:val="20"/>
        </w:rPr>
        <w:t xml:space="preserve">If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assigns, novates or otherwise disposes of any of its rights, obligations or liabilities under this Agreement to a body which is not a</w:t>
      </w:r>
      <w:r w:rsidR="000578A4" w:rsidRPr="000E5786">
        <w:rPr>
          <w:rFonts w:cs="Arial"/>
          <w:szCs w:val="20"/>
        </w:rPr>
        <w:t xml:space="preserve"> </w:t>
      </w:r>
      <w:r w:rsidRPr="000E5786">
        <w:rPr>
          <w:rFonts w:cs="Arial"/>
          <w:szCs w:val="20"/>
        </w:rPr>
        <w:t xml:space="preserve">Central Government Body or if a body which is not a Central Government Body succeeds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(any such body a “</w:t>
      </w:r>
      <w:r w:rsidRPr="000E5786">
        <w:rPr>
          <w:rFonts w:cs="Arial"/>
          <w:b/>
          <w:szCs w:val="20"/>
        </w:rPr>
        <w:t>Successor Body</w:t>
      </w:r>
      <w:r w:rsidRPr="000E5786">
        <w:rPr>
          <w:rFonts w:cs="Arial"/>
          <w:szCs w:val="20"/>
        </w:rPr>
        <w:t xml:space="preserve">”), the Supplier shall have the right to terminate for an Insolvency Event affecting the Successor Body identical to the right of termination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under limb </w:t>
      </w:r>
      <w:bookmarkStart w:id="1128" w:name="DocXTextRef493"/>
      <w:r w:rsidRPr="000E5786">
        <w:rPr>
          <w:rFonts w:cs="Arial"/>
          <w:szCs w:val="20"/>
        </w:rPr>
        <w:t>(k)</w:t>
      </w:r>
      <w:bookmarkEnd w:id="1128"/>
      <w:r w:rsidRPr="000E5786">
        <w:rPr>
          <w:rFonts w:cs="Arial"/>
          <w:szCs w:val="20"/>
        </w:rPr>
        <w:t xml:space="preserve"> of the definition of Supplier Termination Event (as if references in that limb </w:t>
      </w:r>
      <w:bookmarkStart w:id="1129" w:name="DocXTextRef494"/>
      <w:r w:rsidRPr="000E5786">
        <w:rPr>
          <w:rFonts w:cs="Arial"/>
          <w:szCs w:val="20"/>
        </w:rPr>
        <w:t>(k)</w:t>
      </w:r>
      <w:bookmarkEnd w:id="1129"/>
      <w:r w:rsidRPr="000E5786">
        <w:rPr>
          <w:rFonts w:cs="Arial"/>
          <w:szCs w:val="20"/>
        </w:rPr>
        <w:t xml:space="preserve"> to the Supplier and the Guarantor and references to a Party in the definition of Insolvency Event were references to the Successor Body).</w:t>
      </w:r>
      <w:bookmarkEnd w:id="1127"/>
    </w:p>
    <w:p w14:paraId="7EE61B6E" w14:textId="310BE310" w:rsidR="0048699F" w:rsidRPr="000E5786" w:rsidRDefault="0048699F" w:rsidP="00DD60F0">
      <w:pPr>
        <w:pStyle w:val="Heading1"/>
        <w:spacing w:after="120"/>
        <w:rPr>
          <w:rFonts w:cs="Arial"/>
          <w:szCs w:val="20"/>
        </w:rPr>
      </w:pPr>
      <w:bookmarkStart w:id="1130" w:name="_Ref53585625"/>
      <w:bookmarkStart w:id="1131" w:name="_Ref53585739"/>
      <w:bookmarkStart w:id="1132" w:name="_Toc71198965"/>
      <w:r w:rsidRPr="000E5786">
        <w:rPr>
          <w:rFonts w:cs="Arial"/>
          <w:szCs w:val="20"/>
        </w:rPr>
        <w:t>WAIVER AND CUMULATIVE REMEDIES</w:t>
      </w:r>
      <w:bookmarkEnd w:id="1130"/>
      <w:bookmarkEnd w:id="1131"/>
      <w:bookmarkEnd w:id="1132"/>
    </w:p>
    <w:p w14:paraId="5CB7495D" w14:textId="67EE859C" w:rsidR="0048699F" w:rsidRPr="000E5786" w:rsidRDefault="0048699F" w:rsidP="00DD60F0">
      <w:pPr>
        <w:pStyle w:val="Heading2"/>
        <w:spacing w:after="120"/>
        <w:rPr>
          <w:rFonts w:cs="Arial"/>
          <w:szCs w:val="20"/>
        </w:rPr>
      </w:pPr>
      <w:bookmarkStart w:id="1133" w:name="_Ref53585626"/>
      <w:r w:rsidRPr="000E5786">
        <w:rPr>
          <w:rFonts w:cs="Arial"/>
          <w:szCs w:val="20"/>
        </w:rPr>
        <w:t>The rights and remedies under this Agreement may be waived only by notice and in a manner that expressly states that a waiver is intended.</w:t>
      </w:r>
      <w:r w:rsidR="000578A4" w:rsidRPr="000E5786">
        <w:rPr>
          <w:rFonts w:cs="Arial"/>
          <w:szCs w:val="20"/>
        </w:rPr>
        <w:t xml:space="preserve"> </w:t>
      </w:r>
      <w:r w:rsidRPr="000E5786">
        <w:rPr>
          <w:rFonts w:cs="Arial"/>
          <w:szCs w:val="20"/>
        </w:rPr>
        <w:t>A failure or delay by a Party in ascertaining or exercising a right or remedy provided under this Agreement or by law shall not constitute a waiver of that right or remedy, nor shall it prevent or restrict the further exercise of that or any other right or remedy.</w:t>
      </w:r>
      <w:r w:rsidR="000578A4" w:rsidRPr="000E5786">
        <w:rPr>
          <w:rFonts w:cs="Arial"/>
          <w:szCs w:val="20"/>
        </w:rPr>
        <w:t xml:space="preserve"> </w:t>
      </w:r>
      <w:r w:rsidRPr="000E5786">
        <w:rPr>
          <w:rFonts w:cs="Arial"/>
          <w:szCs w:val="20"/>
        </w:rPr>
        <w:t>No single or partial exercise of any right or remedy shall prevent or restrict the further exercise of that or any other right or remedy.</w:t>
      </w:r>
      <w:bookmarkEnd w:id="1133"/>
    </w:p>
    <w:p w14:paraId="7E865F1B" w14:textId="1AD41684" w:rsidR="0048699F" w:rsidRPr="000E5786" w:rsidRDefault="0048699F" w:rsidP="00DD60F0">
      <w:pPr>
        <w:pStyle w:val="Heading2"/>
        <w:spacing w:after="120"/>
        <w:rPr>
          <w:rFonts w:cs="Arial"/>
          <w:szCs w:val="20"/>
        </w:rPr>
      </w:pPr>
      <w:bookmarkStart w:id="1134" w:name="_Ref53585627"/>
      <w:r w:rsidRPr="000E5786">
        <w:rPr>
          <w:rFonts w:cs="Arial"/>
          <w:szCs w:val="20"/>
        </w:rPr>
        <w:t>Unless otherwise provided in this Agreement, rights and remedies under this Agreement are cumulative and do not exclude any rights or remedies provided by law, in equity or otherwise.</w:t>
      </w:r>
      <w:bookmarkEnd w:id="1134"/>
    </w:p>
    <w:p w14:paraId="03FB8559" w14:textId="096C943D" w:rsidR="0048699F" w:rsidRPr="000E5786" w:rsidRDefault="0048699F" w:rsidP="00DD60F0">
      <w:pPr>
        <w:pStyle w:val="Heading1"/>
        <w:spacing w:after="120"/>
        <w:rPr>
          <w:rFonts w:cs="Arial"/>
          <w:szCs w:val="20"/>
        </w:rPr>
      </w:pPr>
      <w:bookmarkStart w:id="1135" w:name="_Ref53585628"/>
      <w:bookmarkStart w:id="1136" w:name="_Ref53585740"/>
      <w:bookmarkStart w:id="1137" w:name="_Toc71198966"/>
      <w:r w:rsidRPr="000E5786">
        <w:rPr>
          <w:rFonts w:cs="Arial"/>
          <w:szCs w:val="20"/>
        </w:rPr>
        <w:t>RELATIONSHIP OF THE PARTIES</w:t>
      </w:r>
      <w:bookmarkEnd w:id="1135"/>
      <w:bookmarkEnd w:id="1136"/>
      <w:bookmarkEnd w:id="1137"/>
    </w:p>
    <w:p w14:paraId="63376898" w14:textId="77777777" w:rsidR="0048699F" w:rsidRPr="000E5786" w:rsidRDefault="0048699F" w:rsidP="00CE5734">
      <w:pPr>
        <w:pStyle w:val="BodyText1"/>
        <w:spacing w:after="120"/>
        <w:ind w:firstLine="0"/>
        <w:rPr>
          <w:rFonts w:cs="Arial"/>
          <w:szCs w:val="20"/>
        </w:rPr>
      </w:pPr>
      <w:r w:rsidRPr="000E5786">
        <w:rPr>
          <w:rFonts w:cs="Arial"/>
          <w:szCs w:val="20"/>
        </w:rPr>
        <w:t xml:space="preserve">Except as expressly provided otherwise in this Agreement, nothing in this Agreement, nor any actions taken by the Parties pursuant to this Agreement, shall create a partnership, joint venture or relationship of employer and employee or principal and agent between the Parties, or authorise either Party to make representations or </w:t>
      </w:r>
      <w:proofErr w:type="gramStart"/>
      <w:r w:rsidRPr="000E5786">
        <w:rPr>
          <w:rFonts w:cs="Arial"/>
          <w:szCs w:val="20"/>
        </w:rPr>
        <w:t>enter into</w:t>
      </w:r>
      <w:proofErr w:type="gramEnd"/>
      <w:r w:rsidRPr="000E5786">
        <w:rPr>
          <w:rFonts w:cs="Arial"/>
          <w:szCs w:val="20"/>
        </w:rPr>
        <w:t xml:space="preserve"> any commitments for or on behalf of any other Party.</w:t>
      </w:r>
    </w:p>
    <w:p w14:paraId="5FB47113" w14:textId="77D98170" w:rsidR="0048699F" w:rsidRPr="000E5786" w:rsidRDefault="0048699F" w:rsidP="00DD60F0">
      <w:pPr>
        <w:pStyle w:val="Heading1"/>
        <w:spacing w:after="120"/>
        <w:rPr>
          <w:rFonts w:cs="Arial"/>
          <w:szCs w:val="20"/>
        </w:rPr>
      </w:pPr>
      <w:bookmarkStart w:id="1138" w:name="_Ref53585629"/>
      <w:bookmarkStart w:id="1139" w:name="_Ref53585741"/>
      <w:bookmarkStart w:id="1140" w:name="_Toc71198967"/>
      <w:r w:rsidRPr="000E5786">
        <w:rPr>
          <w:rFonts w:cs="Arial"/>
          <w:szCs w:val="20"/>
        </w:rPr>
        <w:t>PREVENTION OF FRAUD AND BRIBERY</w:t>
      </w:r>
      <w:bookmarkEnd w:id="1138"/>
      <w:bookmarkEnd w:id="1139"/>
      <w:bookmarkEnd w:id="1140"/>
    </w:p>
    <w:p w14:paraId="2862C849" w14:textId="2720CFEE" w:rsidR="0048699F" w:rsidRPr="000E5786" w:rsidRDefault="0048699F" w:rsidP="00DD60F0">
      <w:pPr>
        <w:pStyle w:val="Heading2"/>
        <w:spacing w:after="120"/>
        <w:rPr>
          <w:rFonts w:cs="Arial"/>
          <w:szCs w:val="20"/>
        </w:rPr>
      </w:pPr>
      <w:bookmarkStart w:id="1141" w:name="_Ref53585630"/>
      <w:r w:rsidRPr="000E5786">
        <w:rPr>
          <w:rFonts w:cs="Arial"/>
          <w:szCs w:val="20"/>
        </w:rPr>
        <w:t>The Supplier represents and warrants that neither it, nor to the best of its knowledge any Supplier Personnel, have at any time prior to the Effective Date:</w:t>
      </w:r>
      <w:bookmarkEnd w:id="1141"/>
    </w:p>
    <w:p w14:paraId="70AA5EF3" w14:textId="4C3BD5E6" w:rsidR="0048699F" w:rsidRPr="000E5786" w:rsidRDefault="0048699F" w:rsidP="00346A37">
      <w:pPr>
        <w:pStyle w:val="Heading3"/>
      </w:pPr>
      <w:bookmarkStart w:id="1142" w:name="_Ref53585631"/>
      <w:r w:rsidRPr="000E5786">
        <w:t>committed a Prohibited Act or been formally notified that it is subject to an investigation or prosecution which relates to an alleged Prohibited Act; and/or</w:t>
      </w:r>
      <w:bookmarkEnd w:id="1142"/>
    </w:p>
    <w:p w14:paraId="53098697" w14:textId="1C9E3DB0" w:rsidR="0048699F" w:rsidRPr="000E5786" w:rsidRDefault="0048699F" w:rsidP="00346A37">
      <w:pPr>
        <w:pStyle w:val="Heading3"/>
      </w:pPr>
      <w:bookmarkStart w:id="1143" w:name="_Ref53585632"/>
      <w:r w:rsidRPr="000E5786">
        <w:t>been listed by any government department or agency as being debarred, suspended, proposed for suspension or debarment, or otherwise ineligible for participation in government procurement programmes or contracts on the grounds of a Prohibited Act.</w:t>
      </w:r>
      <w:bookmarkEnd w:id="1143"/>
    </w:p>
    <w:p w14:paraId="2F7D2181" w14:textId="1032CE7D" w:rsidR="0048699F" w:rsidRPr="000E5786" w:rsidRDefault="0048699F" w:rsidP="00DD60F0">
      <w:pPr>
        <w:pStyle w:val="Heading2"/>
        <w:spacing w:after="120"/>
        <w:rPr>
          <w:rFonts w:cs="Arial"/>
          <w:szCs w:val="20"/>
        </w:rPr>
      </w:pPr>
      <w:bookmarkStart w:id="1144" w:name="_Ref53585633"/>
      <w:r w:rsidRPr="000E5786">
        <w:rPr>
          <w:rFonts w:cs="Arial"/>
          <w:szCs w:val="20"/>
        </w:rPr>
        <w:t>The Supplier, and using best endeavours procure that the Supplier Personnel, shall not during the term of this Agreement:</w:t>
      </w:r>
      <w:bookmarkEnd w:id="1144"/>
    </w:p>
    <w:p w14:paraId="6E7B12C0" w14:textId="7962800C" w:rsidR="0048699F" w:rsidRPr="000E5786" w:rsidRDefault="0048699F" w:rsidP="00346A37">
      <w:pPr>
        <w:pStyle w:val="Heading3"/>
      </w:pPr>
      <w:bookmarkStart w:id="1145" w:name="_Ref53585634"/>
      <w:r w:rsidRPr="000E5786">
        <w:t>commit a Prohibited Act; and/or</w:t>
      </w:r>
      <w:bookmarkEnd w:id="1145"/>
    </w:p>
    <w:p w14:paraId="028B3522" w14:textId="456FFED5" w:rsidR="0048699F" w:rsidRPr="000E5786" w:rsidRDefault="0048699F" w:rsidP="00346A37">
      <w:pPr>
        <w:pStyle w:val="Heading3"/>
      </w:pPr>
      <w:bookmarkStart w:id="1146" w:name="_Ref53585635"/>
      <w:r w:rsidRPr="000E5786">
        <w:t xml:space="preserve">do or suffer anything to be done which would cause </w:t>
      </w:r>
      <w:proofErr w:type="spellStart"/>
      <w:r w:rsidR="001F1C19">
        <w:t>Netlink</w:t>
      </w:r>
      <w:proofErr w:type="spellEnd"/>
      <w:r w:rsidR="001F1C19">
        <w:t xml:space="preserve"> Star</w:t>
      </w:r>
      <w:r w:rsidRPr="000E5786">
        <w:t xml:space="preserve"> or any of </w:t>
      </w:r>
      <w:proofErr w:type="spellStart"/>
      <w:r w:rsidR="001F1C19">
        <w:t>Netlink</w:t>
      </w:r>
      <w:proofErr w:type="spellEnd"/>
      <w:r w:rsidR="001F1C19">
        <w:t xml:space="preserve"> Star</w:t>
      </w:r>
      <w:r w:rsidRPr="000E5786">
        <w:t>’s employees, consultants, contractors, sub-</w:t>
      </w:r>
      <w:proofErr w:type="gramStart"/>
      <w:r w:rsidRPr="000E5786">
        <w:t>contractors</w:t>
      </w:r>
      <w:proofErr w:type="gramEnd"/>
      <w:r w:rsidRPr="000E5786">
        <w:t xml:space="preserve"> or agents to contravene any of the Relevant Requirements or otherwise incur any liability in relation to the Relevant Requirements.</w:t>
      </w:r>
      <w:bookmarkEnd w:id="1146"/>
    </w:p>
    <w:p w14:paraId="318203B0" w14:textId="0425CEFC" w:rsidR="0048699F" w:rsidRPr="000E5786" w:rsidRDefault="0048699F" w:rsidP="00DD60F0">
      <w:pPr>
        <w:pStyle w:val="Heading2"/>
        <w:spacing w:after="120"/>
        <w:rPr>
          <w:rFonts w:cs="Arial"/>
          <w:szCs w:val="20"/>
        </w:rPr>
      </w:pPr>
      <w:bookmarkStart w:id="1147" w:name="_Ref53585636"/>
      <w:r w:rsidRPr="000E5786">
        <w:rPr>
          <w:rFonts w:cs="Arial"/>
          <w:szCs w:val="20"/>
        </w:rPr>
        <w:t>The Supplier shall during the term of this Agreement:</w:t>
      </w:r>
      <w:bookmarkEnd w:id="1147"/>
    </w:p>
    <w:p w14:paraId="6106C3AB" w14:textId="63D2868B" w:rsidR="0048699F" w:rsidRPr="000E5786" w:rsidRDefault="0048699F" w:rsidP="00346A37">
      <w:pPr>
        <w:pStyle w:val="Heading3"/>
      </w:pPr>
      <w:bookmarkStart w:id="1148" w:name="_Ref53585637"/>
      <w:r w:rsidRPr="000E5786">
        <w:t>establish, maintain and enforce, and require that its Sub-contractors establish,</w:t>
      </w:r>
      <w:r w:rsidR="002701EF" w:rsidRPr="000E5786">
        <w:t xml:space="preserve"> </w:t>
      </w:r>
      <w:r w:rsidRPr="000E5786">
        <w:t xml:space="preserve">maintain and enforce, policies and procedures to ensure compliance with the Relevant Requirements and prevent the occurrence of a Prohibited </w:t>
      </w:r>
      <w:proofErr w:type="gramStart"/>
      <w:r w:rsidRPr="000E5786">
        <w:t>Act;</w:t>
      </w:r>
      <w:bookmarkEnd w:id="1148"/>
      <w:proofErr w:type="gramEnd"/>
    </w:p>
    <w:p w14:paraId="58F46D31" w14:textId="7E27853A" w:rsidR="0048699F" w:rsidRPr="000E5786" w:rsidRDefault="0048699F" w:rsidP="00346A37">
      <w:pPr>
        <w:pStyle w:val="Heading3"/>
      </w:pPr>
      <w:bookmarkStart w:id="1149" w:name="_Ref53585638"/>
      <w:r w:rsidRPr="000E5786">
        <w:t>keep appropriate records of its compliance with its obligations under clause</w:t>
      </w:r>
      <w:r w:rsidR="00CA2269" w:rsidRPr="000E5786">
        <w:t xml:space="preserve"> </w:t>
      </w:r>
      <w:r w:rsidR="000E0F00" w:rsidRPr="000E5786">
        <w:fldChar w:fldCharType="begin"/>
      </w:r>
      <w:r w:rsidR="000E0F00" w:rsidRPr="000E5786">
        <w:instrText xml:space="preserve">  REF _Ref53585637 \w \h \* MERGEFORMAT </w:instrText>
      </w:r>
      <w:r w:rsidR="000E0F00" w:rsidRPr="000E5786">
        <w:fldChar w:fldCharType="separate"/>
      </w:r>
      <w:r w:rsidR="002523A8" w:rsidRPr="000E5786">
        <w:t>43.3.1</w:t>
      </w:r>
      <w:r w:rsidR="000E0F00" w:rsidRPr="000E5786">
        <w:fldChar w:fldCharType="end"/>
      </w:r>
      <w:r w:rsidRPr="000E5786">
        <w:t xml:space="preserve"> and make such records available to </w:t>
      </w:r>
      <w:proofErr w:type="spellStart"/>
      <w:r w:rsidR="001F1C19">
        <w:t>Netlink</w:t>
      </w:r>
      <w:proofErr w:type="spellEnd"/>
      <w:r w:rsidR="001F1C19">
        <w:t xml:space="preserve"> Star</w:t>
      </w:r>
      <w:r w:rsidRPr="000E5786">
        <w:t xml:space="preserve"> promptly on </w:t>
      </w:r>
      <w:proofErr w:type="gramStart"/>
      <w:r w:rsidRPr="000E5786">
        <w:t>request;</w:t>
      </w:r>
      <w:bookmarkEnd w:id="1149"/>
      <w:proofErr w:type="gramEnd"/>
    </w:p>
    <w:p w14:paraId="340DD0EF" w14:textId="5F8F6386" w:rsidR="0048699F" w:rsidRPr="000E5786" w:rsidRDefault="0048699F" w:rsidP="00346A37">
      <w:pPr>
        <w:pStyle w:val="Heading3"/>
      </w:pPr>
      <w:bookmarkStart w:id="1150" w:name="_Ref53585639"/>
      <w:r w:rsidRPr="000E5786">
        <w:lastRenderedPageBreak/>
        <w:t xml:space="preserve">keep appropriate records of any gifts or hospitality, whether directly or indirectly given or received in connection with this </w:t>
      </w:r>
      <w:proofErr w:type="gramStart"/>
      <w:r w:rsidRPr="000E5786">
        <w:t>Agreement,</w:t>
      </w:r>
      <w:r w:rsidR="00275E2E">
        <w:t xml:space="preserve"> </w:t>
      </w:r>
      <w:r w:rsidRPr="000E5786">
        <w:t>and</w:t>
      </w:r>
      <w:proofErr w:type="gramEnd"/>
      <w:r w:rsidRPr="000E5786">
        <w:t xml:space="preserve"> make such records available to </w:t>
      </w:r>
      <w:proofErr w:type="spellStart"/>
      <w:r w:rsidR="001F1C19">
        <w:t>Netlink</w:t>
      </w:r>
      <w:proofErr w:type="spellEnd"/>
      <w:r w:rsidR="001F1C19">
        <w:t xml:space="preserve"> Star</w:t>
      </w:r>
      <w:r w:rsidRPr="000E5786">
        <w:t xml:space="preserve"> on request.</w:t>
      </w:r>
      <w:r w:rsidR="000578A4" w:rsidRPr="000E5786">
        <w:t xml:space="preserve"> </w:t>
      </w:r>
      <w:r w:rsidRPr="000E5786">
        <w:t xml:space="preserve">The Supplier shall be responsible for notifying </w:t>
      </w:r>
      <w:proofErr w:type="spellStart"/>
      <w:r w:rsidR="001F1C19">
        <w:t>Netlink</w:t>
      </w:r>
      <w:proofErr w:type="spellEnd"/>
      <w:r w:rsidR="001F1C19">
        <w:t xml:space="preserve"> Star</w:t>
      </w:r>
      <w:r w:rsidRPr="000E5786">
        <w:t xml:space="preserve"> of any gift or hospitality, whether directly or indirectly given or received in connection with this Agreement, which has a value of more than </w:t>
      </w:r>
      <w:proofErr w:type="gramStart"/>
      <w:r w:rsidRPr="000E5786">
        <w:t>£15;</w:t>
      </w:r>
      <w:bookmarkEnd w:id="1150"/>
      <w:proofErr w:type="gramEnd"/>
    </w:p>
    <w:p w14:paraId="11153C64" w14:textId="64FB37C3" w:rsidR="0048699F" w:rsidRPr="000E5786" w:rsidRDefault="0048699F" w:rsidP="00346A37">
      <w:pPr>
        <w:pStyle w:val="Heading3"/>
      </w:pPr>
      <w:bookmarkStart w:id="1151" w:name="_Ref53585640"/>
      <w:r w:rsidRPr="000E5786">
        <w:t xml:space="preserve">comply with </w:t>
      </w:r>
      <w:proofErr w:type="spellStart"/>
      <w:r w:rsidR="001F1C19">
        <w:t>Netlink</w:t>
      </w:r>
      <w:proofErr w:type="spellEnd"/>
      <w:r w:rsidR="001F1C19">
        <w:t xml:space="preserve"> Star</w:t>
      </w:r>
      <w:r w:rsidRPr="000E5786">
        <w:t xml:space="preserve">’s code of business ethics and corporate hospitality, conflicts of interests and speak out (whistleblowing) policies and any updates </w:t>
      </w:r>
      <w:proofErr w:type="gramStart"/>
      <w:r w:rsidRPr="000E5786">
        <w:t>thereof;</w:t>
      </w:r>
      <w:bookmarkEnd w:id="1151"/>
      <w:proofErr w:type="gramEnd"/>
    </w:p>
    <w:p w14:paraId="76BA7A74" w14:textId="68D6433B" w:rsidR="0048699F" w:rsidRPr="000E5786" w:rsidRDefault="0048699F" w:rsidP="00346A37">
      <w:pPr>
        <w:pStyle w:val="Heading3"/>
      </w:pPr>
      <w:bookmarkStart w:id="1152" w:name="_Ref53585641"/>
      <w:r w:rsidRPr="000E5786">
        <w:t>conduct reasonable and proportionate due diligence on any person or Subcontractor who is to perform services or provide goods in connection with this Agreement, before engaging with such person, to ensure compliance with the Relevant Requirements and prevent the occurrence of a Prohibited Act; and</w:t>
      </w:r>
      <w:bookmarkEnd w:id="1152"/>
    </w:p>
    <w:p w14:paraId="6AF8A1D5" w14:textId="4CEFEC7D" w:rsidR="0048699F" w:rsidRPr="000E5786" w:rsidRDefault="0048699F" w:rsidP="00346A37">
      <w:pPr>
        <w:pStyle w:val="Heading3"/>
      </w:pPr>
      <w:bookmarkStart w:id="1153" w:name="_Ref53585642"/>
      <w:r w:rsidRPr="000E5786">
        <w:t xml:space="preserve">ensure that any person or Sub-contractor associated with the Supplier who is performing services or providing goods in connection with this Agreement does so only on the basis of a written contract which imposes on and secures from such persons terms at least equivalent to those imposed on the Supplier in this clause </w:t>
      </w:r>
      <w:r w:rsidR="0037736A" w:rsidRPr="000E5786">
        <w:fldChar w:fldCharType="begin"/>
      </w:r>
      <w:r w:rsidR="0037736A" w:rsidRPr="000E5786">
        <w:instrText xml:space="preserve">  REF _Ref53585741 \w \h \* MERGEFORMAT </w:instrText>
      </w:r>
      <w:r w:rsidR="0037736A" w:rsidRPr="000E5786">
        <w:fldChar w:fldCharType="separate"/>
      </w:r>
      <w:r w:rsidR="002523A8" w:rsidRPr="000E5786">
        <w:t>43</w:t>
      </w:r>
      <w:r w:rsidR="0037736A" w:rsidRPr="000E5786">
        <w:fldChar w:fldCharType="end"/>
      </w:r>
      <w:r w:rsidRPr="000E5786">
        <w:t xml:space="preserve">. The Supplier shall be responsible for the observance and performance, by such persons or Sub-contractors, of this clause </w:t>
      </w:r>
      <w:r w:rsidR="0037736A" w:rsidRPr="000E5786">
        <w:fldChar w:fldCharType="begin"/>
      </w:r>
      <w:r w:rsidR="0037736A" w:rsidRPr="000E5786">
        <w:instrText xml:space="preserve">  REF _Ref53585741 \w \h \* MERGEFORMAT </w:instrText>
      </w:r>
      <w:r w:rsidR="0037736A" w:rsidRPr="000E5786">
        <w:fldChar w:fldCharType="separate"/>
      </w:r>
      <w:r w:rsidR="002523A8" w:rsidRPr="000E5786">
        <w:t>43</w:t>
      </w:r>
      <w:r w:rsidR="0037736A" w:rsidRPr="000E5786">
        <w:fldChar w:fldCharType="end"/>
      </w:r>
      <w:r w:rsidRPr="000E5786">
        <w:t xml:space="preserve">, and shall be directly liable to </w:t>
      </w:r>
      <w:proofErr w:type="spellStart"/>
      <w:r w:rsidR="001F1C19">
        <w:t>Netlink</w:t>
      </w:r>
      <w:proofErr w:type="spellEnd"/>
      <w:r w:rsidR="001F1C19">
        <w:t xml:space="preserve"> Star</w:t>
      </w:r>
      <w:r w:rsidRPr="000E5786">
        <w:t xml:space="preserve"> for any breach by such persons of this clause </w:t>
      </w:r>
      <w:r w:rsidR="0037736A" w:rsidRPr="000E5786">
        <w:fldChar w:fldCharType="begin"/>
      </w:r>
      <w:r w:rsidR="0037736A" w:rsidRPr="000E5786">
        <w:instrText xml:space="preserve">  REF _Ref53585741 \w \h \* MERGEFORMAT </w:instrText>
      </w:r>
      <w:r w:rsidR="0037736A" w:rsidRPr="000E5786">
        <w:fldChar w:fldCharType="separate"/>
      </w:r>
      <w:r w:rsidR="002523A8" w:rsidRPr="000E5786">
        <w:t>43</w:t>
      </w:r>
      <w:r w:rsidR="0037736A" w:rsidRPr="000E5786">
        <w:fldChar w:fldCharType="end"/>
      </w:r>
      <w:r w:rsidRPr="000E5786">
        <w:t>.</w:t>
      </w:r>
      <w:bookmarkEnd w:id="1153"/>
    </w:p>
    <w:p w14:paraId="5F656595" w14:textId="61723FCC" w:rsidR="0048699F" w:rsidRPr="000E5786" w:rsidRDefault="0048699F" w:rsidP="00DD60F0">
      <w:pPr>
        <w:pStyle w:val="Heading2"/>
        <w:spacing w:after="120"/>
        <w:rPr>
          <w:rFonts w:cs="Arial"/>
          <w:szCs w:val="20"/>
        </w:rPr>
      </w:pPr>
      <w:bookmarkStart w:id="1154" w:name="_Ref53585643"/>
      <w:r w:rsidRPr="000E5786">
        <w:rPr>
          <w:rFonts w:cs="Arial"/>
          <w:szCs w:val="20"/>
        </w:rPr>
        <w:t xml:space="preserve">The Supplier shall immediately notify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writing if it becomes aware of any breach of clause </w:t>
      </w:r>
      <w:r w:rsidR="0037736A" w:rsidRPr="000E5786">
        <w:rPr>
          <w:rFonts w:cs="Arial"/>
          <w:szCs w:val="20"/>
        </w:rPr>
        <w:fldChar w:fldCharType="begin"/>
      </w:r>
      <w:r w:rsidR="0037736A" w:rsidRPr="000E5786">
        <w:rPr>
          <w:rFonts w:cs="Arial"/>
          <w:szCs w:val="20"/>
        </w:rPr>
        <w:instrText xml:space="preserve">  REF _Ref53585630 \w \h \* MERGEFORMAT </w:instrText>
      </w:r>
      <w:r w:rsidR="0037736A" w:rsidRPr="000E5786">
        <w:rPr>
          <w:rFonts w:cs="Arial"/>
          <w:szCs w:val="20"/>
        </w:rPr>
      </w:r>
      <w:r w:rsidR="0037736A" w:rsidRPr="000E5786">
        <w:rPr>
          <w:rFonts w:cs="Arial"/>
          <w:szCs w:val="20"/>
        </w:rPr>
        <w:fldChar w:fldCharType="separate"/>
      </w:r>
      <w:r w:rsidR="002523A8" w:rsidRPr="000E5786">
        <w:rPr>
          <w:rFonts w:cs="Arial"/>
          <w:szCs w:val="20"/>
        </w:rPr>
        <w:t>43.1</w:t>
      </w:r>
      <w:r w:rsidR="0037736A" w:rsidRPr="000E5786">
        <w:rPr>
          <w:rFonts w:cs="Arial"/>
          <w:szCs w:val="20"/>
        </w:rPr>
        <w:fldChar w:fldCharType="end"/>
      </w:r>
      <w:r w:rsidRPr="000E5786">
        <w:rPr>
          <w:rFonts w:cs="Arial"/>
          <w:szCs w:val="20"/>
        </w:rPr>
        <w:t xml:space="preserve"> and/or </w:t>
      </w:r>
      <w:r w:rsidR="0037736A" w:rsidRPr="000E5786">
        <w:rPr>
          <w:rFonts w:cs="Arial"/>
          <w:szCs w:val="20"/>
        </w:rPr>
        <w:fldChar w:fldCharType="begin"/>
      </w:r>
      <w:r w:rsidR="0037736A" w:rsidRPr="000E5786">
        <w:rPr>
          <w:rFonts w:cs="Arial"/>
          <w:szCs w:val="20"/>
        </w:rPr>
        <w:instrText xml:space="preserve">  REF _Ref53585633 \w \h \* MERGEFORMAT </w:instrText>
      </w:r>
      <w:r w:rsidR="0037736A" w:rsidRPr="000E5786">
        <w:rPr>
          <w:rFonts w:cs="Arial"/>
          <w:szCs w:val="20"/>
        </w:rPr>
      </w:r>
      <w:r w:rsidR="0037736A" w:rsidRPr="000E5786">
        <w:rPr>
          <w:rFonts w:cs="Arial"/>
          <w:szCs w:val="20"/>
        </w:rPr>
        <w:fldChar w:fldCharType="separate"/>
      </w:r>
      <w:r w:rsidR="002523A8" w:rsidRPr="000E5786">
        <w:rPr>
          <w:rFonts w:cs="Arial"/>
          <w:szCs w:val="20"/>
        </w:rPr>
        <w:t>43.2</w:t>
      </w:r>
      <w:r w:rsidR="0037736A" w:rsidRPr="000E5786">
        <w:rPr>
          <w:rFonts w:cs="Arial"/>
          <w:szCs w:val="20"/>
        </w:rPr>
        <w:fldChar w:fldCharType="end"/>
      </w:r>
      <w:r w:rsidRPr="000E5786">
        <w:rPr>
          <w:rFonts w:cs="Arial"/>
          <w:szCs w:val="20"/>
        </w:rPr>
        <w:t>, or has reason to believe that it has or any of the Supplier Personnel have:</w:t>
      </w:r>
      <w:bookmarkEnd w:id="1154"/>
    </w:p>
    <w:p w14:paraId="4FF6F30C" w14:textId="590F8D5A" w:rsidR="0048699F" w:rsidRPr="000E5786" w:rsidRDefault="0048699F" w:rsidP="00346A37">
      <w:pPr>
        <w:pStyle w:val="Heading3"/>
      </w:pPr>
      <w:bookmarkStart w:id="1155" w:name="_Ref53585644"/>
      <w:r w:rsidRPr="000E5786">
        <w:t xml:space="preserve">been subject to an investigation or prosecution which relates to an alleged Prohibited </w:t>
      </w:r>
      <w:proofErr w:type="gramStart"/>
      <w:r w:rsidRPr="000E5786">
        <w:t>Act;</w:t>
      </w:r>
      <w:bookmarkEnd w:id="1155"/>
      <w:proofErr w:type="gramEnd"/>
    </w:p>
    <w:p w14:paraId="4FD6FF1B" w14:textId="11BC3B1D" w:rsidR="0048699F" w:rsidRPr="000E5786" w:rsidRDefault="0048699F" w:rsidP="00346A37">
      <w:pPr>
        <w:pStyle w:val="Heading3"/>
      </w:pPr>
      <w:bookmarkStart w:id="1156" w:name="_Ref53585645"/>
      <w:r w:rsidRPr="000E5786">
        <w:t>been listed by any government department or agency as being debarred, suspended, proposed for suspension or debarment, or otherwise ineligible for participation in government procurement programmes or contracts on the grounds of a Prohibited Act; and/or</w:t>
      </w:r>
      <w:bookmarkEnd w:id="1156"/>
    </w:p>
    <w:p w14:paraId="0605904B" w14:textId="4CC2678B" w:rsidR="0048699F" w:rsidRPr="000E5786" w:rsidRDefault="0048699F" w:rsidP="00346A37">
      <w:pPr>
        <w:pStyle w:val="Heading3"/>
      </w:pPr>
      <w:bookmarkStart w:id="1157" w:name="_Ref53585646"/>
      <w:r w:rsidRPr="000E5786">
        <w:t>received a request or demand for any undue financial or other advantage of any kind in connection with the performance of this Agreement or otherwise suspects that any person or Party directly or indirectly connected with this Agreement has committed or attempted to commit a Prohibited Act.</w:t>
      </w:r>
      <w:bookmarkEnd w:id="1157"/>
    </w:p>
    <w:p w14:paraId="1E7D4CCA" w14:textId="65A4773C" w:rsidR="0048699F" w:rsidRPr="000E5786" w:rsidRDefault="0048699F" w:rsidP="00DD60F0">
      <w:pPr>
        <w:pStyle w:val="Heading2"/>
        <w:spacing w:after="120"/>
        <w:rPr>
          <w:rFonts w:cs="Arial"/>
          <w:szCs w:val="20"/>
        </w:rPr>
      </w:pPr>
      <w:bookmarkStart w:id="1158" w:name="_Ref53585647"/>
      <w:r w:rsidRPr="000E5786">
        <w:rPr>
          <w:rFonts w:cs="Arial"/>
          <w:szCs w:val="20"/>
        </w:rPr>
        <w:t xml:space="preserve">If the Supplier makes a notification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pursuant to clause </w:t>
      </w:r>
      <w:r w:rsidR="0037736A" w:rsidRPr="000E5786">
        <w:rPr>
          <w:rFonts w:cs="Arial"/>
          <w:szCs w:val="20"/>
        </w:rPr>
        <w:fldChar w:fldCharType="begin"/>
      </w:r>
      <w:r w:rsidR="0037736A" w:rsidRPr="000E5786">
        <w:rPr>
          <w:rFonts w:cs="Arial"/>
          <w:szCs w:val="20"/>
        </w:rPr>
        <w:instrText xml:space="preserve">  REF _Ref53585642 \w \h \* MERGEFORMAT </w:instrText>
      </w:r>
      <w:r w:rsidR="0037736A" w:rsidRPr="000E5786">
        <w:rPr>
          <w:rFonts w:cs="Arial"/>
          <w:szCs w:val="20"/>
        </w:rPr>
      </w:r>
      <w:r w:rsidR="0037736A" w:rsidRPr="000E5786">
        <w:rPr>
          <w:rFonts w:cs="Arial"/>
          <w:szCs w:val="20"/>
        </w:rPr>
        <w:fldChar w:fldCharType="separate"/>
      </w:r>
      <w:r w:rsidR="002523A8" w:rsidRPr="000E5786">
        <w:rPr>
          <w:rFonts w:cs="Arial"/>
          <w:szCs w:val="20"/>
        </w:rPr>
        <w:t>43.3.6</w:t>
      </w:r>
      <w:r w:rsidR="0037736A" w:rsidRPr="000E5786">
        <w:rPr>
          <w:rFonts w:cs="Arial"/>
          <w:szCs w:val="20"/>
        </w:rPr>
        <w:fldChar w:fldCharType="end"/>
      </w:r>
      <w:r w:rsidRPr="000E5786">
        <w:rPr>
          <w:rFonts w:cs="Arial"/>
          <w:szCs w:val="20"/>
        </w:rPr>
        <w:t xml:space="preserve">, the Supplier, and using best endeavours procure that the Supplier Personnel, shall respond promptly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enquiries, co-operate with any investigation, and allow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to Audit any books, Records and/or any other relevant documentation in accordance with clause </w:t>
      </w:r>
      <w:r w:rsidR="0037736A" w:rsidRPr="000E5786">
        <w:rPr>
          <w:rFonts w:cs="Arial"/>
          <w:szCs w:val="20"/>
        </w:rPr>
        <w:fldChar w:fldCharType="begin"/>
      </w:r>
      <w:r w:rsidR="0037736A" w:rsidRPr="000E5786">
        <w:rPr>
          <w:rFonts w:cs="Arial"/>
          <w:szCs w:val="20"/>
        </w:rPr>
        <w:instrText xml:space="preserve">  REF _Ref53585711 \w \h \* MERGEFORMAT </w:instrText>
      </w:r>
      <w:r w:rsidR="0037736A" w:rsidRPr="000E5786">
        <w:rPr>
          <w:rFonts w:cs="Arial"/>
          <w:szCs w:val="20"/>
        </w:rPr>
      </w:r>
      <w:r w:rsidR="0037736A" w:rsidRPr="000E5786">
        <w:rPr>
          <w:rFonts w:cs="Arial"/>
          <w:szCs w:val="20"/>
        </w:rPr>
        <w:fldChar w:fldCharType="separate"/>
      </w:r>
      <w:r w:rsidR="002523A8" w:rsidRPr="000E5786">
        <w:rPr>
          <w:rFonts w:cs="Arial"/>
          <w:szCs w:val="20"/>
        </w:rPr>
        <w:t>14</w:t>
      </w:r>
      <w:r w:rsidR="0037736A" w:rsidRPr="000E5786">
        <w:rPr>
          <w:rFonts w:cs="Arial"/>
          <w:szCs w:val="20"/>
        </w:rPr>
        <w:fldChar w:fldCharType="end"/>
      </w:r>
      <w:r w:rsidRPr="000E5786">
        <w:rPr>
          <w:rFonts w:cs="Arial"/>
          <w:szCs w:val="20"/>
        </w:rPr>
        <w:t xml:space="preserve"> (Records, Reports</w:t>
      </w:r>
      <w:r w:rsidR="00C44DBA">
        <w:rPr>
          <w:rFonts w:cs="Arial"/>
          <w:szCs w:val="20"/>
        </w:rPr>
        <w:t xml:space="preserve"> &amp;</w:t>
      </w:r>
      <w:r w:rsidRPr="000E5786">
        <w:rPr>
          <w:rFonts w:cs="Arial"/>
          <w:szCs w:val="20"/>
        </w:rPr>
        <w:t>Audits).</w:t>
      </w:r>
      <w:bookmarkEnd w:id="1158"/>
    </w:p>
    <w:p w14:paraId="47F7960F" w14:textId="3AF7A551" w:rsidR="0048699F" w:rsidRPr="000E5786" w:rsidRDefault="0048699F" w:rsidP="00DD60F0">
      <w:pPr>
        <w:pStyle w:val="Heading2"/>
        <w:spacing w:after="120"/>
        <w:rPr>
          <w:rFonts w:cs="Arial"/>
          <w:szCs w:val="20"/>
        </w:rPr>
      </w:pPr>
      <w:bookmarkStart w:id="1159" w:name="_Ref53585648"/>
      <w:r w:rsidRPr="000E5786">
        <w:rPr>
          <w:rFonts w:cs="Arial"/>
          <w:szCs w:val="20"/>
        </w:rPr>
        <w:t xml:space="preserve">If the Supplier, or the Supplier’s Personnel (whether acting in the Supplier’s knowledge or otherwise), is in Default under clauses </w:t>
      </w:r>
      <w:r w:rsidR="0037736A" w:rsidRPr="000E5786">
        <w:rPr>
          <w:rFonts w:cs="Arial"/>
          <w:szCs w:val="20"/>
        </w:rPr>
        <w:fldChar w:fldCharType="begin"/>
      </w:r>
      <w:r w:rsidR="0037736A" w:rsidRPr="000E5786">
        <w:rPr>
          <w:rFonts w:cs="Arial"/>
          <w:szCs w:val="20"/>
        </w:rPr>
        <w:instrText xml:space="preserve">  REF _Ref53585630 \w \h \* MERGEFORMAT </w:instrText>
      </w:r>
      <w:r w:rsidR="0037736A" w:rsidRPr="000E5786">
        <w:rPr>
          <w:rFonts w:cs="Arial"/>
          <w:szCs w:val="20"/>
        </w:rPr>
      </w:r>
      <w:r w:rsidR="0037736A" w:rsidRPr="000E5786">
        <w:rPr>
          <w:rFonts w:cs="Arial"/>
          <w:szCs w:val="20"/>
        </w:rPr>
        <w:fldChar w:fldCharType="separate"/>
      </w:r>
      <w:r w:rsidR="002523A8" w:rsidRPr="000E5786">
        <w:rPr>
          <w:rFonts w:cs="Arial"/>
          <w:szCs w:val="20"/>
        </w:rPr>
        <w:t>43.1</w:t>
      </w:r>
      <w:r w:rsidR="0037736A" w:rsidRPr="000E5786">
        <w:rPr>
          <w:rFonts w:cs="Arial"/>
          <w:szCs w:val="20"/>
        </w:rPr>
        <w:fldChar w:fldCharType="end"/>
      </w:r>
      <w:r w:rsidRPr="000E5786">
        <w:rPr>
          <w:rFonts w:cs="Arial"/>
          <w:szCs w:val="20"/>
        </w:rPr>
        <w:t xml:space="preserve"> and/or </w:t>
      </w:r>
      <w:r w:rsidR="0037736A" w:rsidRPr="000E5786">
        <w:rPr>
          <w:rFonts w:cs="Arial"/>
          <w:szCs w:val="20"/>
        </w:rPr>
        <w:fldChar w:fldCharType="begin"/>
      </w:r>
      <w:r w:rsidR="0037736A" w:rsidRPr="000E5786">
        <w:rPr>
          <w:rFonts w:cs="Arial"/>
          <w:szCs w:val="20"/>
        </w:rPr>
        <w:instrText xml:space="preserve">  REF _Ref53585633 \w \h \* MERGEFORMAT </w:instrText>
      </w:r>
      <w:r w:rsidR="0037736A" w:rsidRPr="000E5786">
        <w:rPr>
          <w:rFonts w:cs="Arial"/>
          <w:szCs w:val="20"/>
        </w:rPr>
      </w:r>
      <w:r w:rsidR="0037736A" w:rsidRPr="000E5786">
        <w:rPr>
          <w:rFonts w:cs="Arial"/>
          <w:szCs w:val="20"/>
        </w:rPr>
        <w:fldChar w:fldCharType="separate"/>
      </w:r>
      <w:r w:rsidR="002523A8" w:rsidRPr="000E5786">
        <w:rPr>
          <w:rFonts w:cs="Arial"/>
          <w:szCs w:val="20"/>
        </w:rPr>
        <w:t>43.2</w:t>
      </w:r>
      <w:r w:rsidR="0037736A" w:rsidRPr="000E5786">
        <w:rPr>
          <w:rFonts w:cs="Arial"/>
          <w:szCs w:val="20"/>
        </w:rPr>
        <w:fldChar w:fldCharType="end"/>
      </w:r>
      <w:r w:rsidRPr="000E5786">
        <w:rPr>
          <w:rFonts w:cs="Arial"/>
          <w:szCs w:val="20"/>
        </w:rPr>
        <w:t xml:space="preserve">, </w:t>
      </w:r>
      <w:r w:rsidR="0037736A" w:rsidRPr="000E5786">
        <w:rPr>
          <w:rFonts w:cs="Arial"/>
          <w:szCs w:val="20"/>
        </w:rPr>
        <w:fldChar w:fldCharType="begin"/>
      </w:r>
      <w:r w:rsidR="0037736A" w:rsidRPr="000E5786">
        <w:rPr>
          <w:rFonts w:cs="Arial"/>
          <w:szCs w:val="20"/>
        </w:rPr>
        <w:instrText xml:space="preserve">  REF _Ref53585636 \w \h \* MERGEFORMAT </w:instrText>
      </w:r>
      <w:r w:rsidR="0037736A" w:rsidRPr="000E5786">
        <w:rPr>
          <w:rFonts w:cs="Arial"/>
          <w:szCs w:val="20"/>
        </w:rPr>
      </w:r>
      <w:r w:rsidR="0037736A" w:rsidRPr="000E5786">
        <w:rPr>
          <w:rFonts w:cs="Arial"/>
          <w:szCs w:val="20"/>
        </w:rPr>
        <w:fldChar w:fldCharType="separate"/>
      </w:r>
      <w:r w:rsidR="002523A8" w:rsidRPr="000E5786">
        <w:rPr>
          <w:rFonts w:cs="Arial"/>
          <w:szCs w:val="20"/>
        </w:rPr>
        <w:t>43.3</w:t>
      </w:r>
      <w:r w:rsidR="0037736A" w:rsidRPr="000E5786">
        <w:rPr>
          <w:rFonts w:cs="Arial"/>
          <w:szCs w:val="20"/>
        </w:rPr>
        <w:fldChar w:fldCharType="end"/>
      </w:r>
      <w:r w:rsidRPr="000E5786">
        <w:rPr>
          <w:rFonts w:cs="Arial"/>
          <w:szCs w:val="20"/>
        </w:rPr>
        <w:t xml:space="preserve">, and/or any of </w:t>
      </w:r>
      <w:r w:rsidR="00537A4F" w:rsidRPr="000E5786">
        <w:rPr>
          <w:rFonts w:cs="Arial"/>
          <w:szCs w:val="20"/>
        </w:rPr>
        <w:fldChar w:fldCharType="begin"/>
      </w:r>
      <w:r w:rsidR="00537A4F" w:rsidRPr="000E5786">
        <w:rPr>
          <w:rFonts w:cs="Arial"/>
          <w:szCs w:val="20"/>
        </w:rPr>
        <w:instrText xml:space="preserve">  REF _Ref53585653 \w \h \* MERGEFORMAT </w:instrText>
      </w:r>
      <w:r w:rsidR="00537A4F" w:rsidRPr="000E5786">
        <w:rPr>
          <w:rFonts w:cs="Arial"/>
          <w:szCs w:val="20"/>
        </w:rPr>
      </w:r>
      <w:r w:rsidR="00537A4F" w:rsidRPr="000E5786">
        <w:rPr>
          <w:rFonts w:cs="Arial"/>
          <w:szCs w:val="20"/>
        </w:rPr>
        <w:fldChar w:fldCharType="separate"/>
      </w:r>
      <w:r w:rsidR="002523A8" w:rsidRPr="000E5786">
        <w:rPr>
          <w:rFonts w:cs="Arial"/>
          <w:szCs w:val="20"/>
        </w:rPr>
        <w:t>43.9</w:t>
      </w:r>
      <w:r w:rsidR="00537A4F" w:rsidRPr="000E5786">
        <w:rPr>
          <w:rFonts w:cs="Arial"/>
          <w:szCs w:val="20"/>
        </w:rPr>
        <w:fldChar w:fldCharType="end"/>
      </w:r>
      <w:r w:rsidRPr="000E5786">
        <w:rPr>
          <w:rFonts w:cs="Arial"/>
          <w:szCs w:val="20"/>
        </w:rPr>
        <w:t xml:space="preserve"> to </w:t>
      </w:r>
      <w:r w:rsidR="00537A4F" w:rsidRPr="000E5786">
        <w:rPr>
          <w:rFonts w:cs="Arial"/>
          <w:szCs w:val="20"/>
        </w:rPr>
        <w:fldChar w:fldCharType="begin"/>
      </w:r>
      <w:r w:rsidR="00537A4F" w:rsidRPr="000E5786">
        <w:rPr>
          <w:rFonts w:cs="Arial"/>
          <w:szCs w:val="20"/>
        </w:rPr>
        <w:instrText xml:space="preserve">  REF _Ref53585655 \w \h \* MERGEFORMAT </w:instrText>
      </w:r>
      <w:r w:rsidR="00537A4F" w:rsidRPr="000E5786">
        <w:rPr>
          <w:rFonts w:cs="Arial"/>
          <w:szCs w:val="20"/>
        </w:rPr>
      </w:r>
      <w:r w:rsidR="00537A4F" w:rsidRPr="000E5786">
        <w:rPr>
          <w:rFonts w:cs="Arial"/>
          <w:szCs w:val="20"/>
        </w:rPr>
        <w:fldChar w:fldCharType="separate"/>
      </w:r>
      <w:r w:rsidR="002523A8" w:rsidRPr="000E5786">
        <w:rPr>
          <w:rFonts w:cs="Arial"/>
          <w:szCs w:val="20"/>
        </w:rPr>
        <w:t>43.11</w:t>
      </w:r>
      <w:r w:rsidR="00537A4F" w:rsidRPr="000E5786">
        <w:rPr>
          <w:rFonts w:cs="Arial"/>
          <w:szCs w:val="20"/>
        </w:rPr>
        <w:fldChar w:fldCharType="end"/>
      </w:r>
      <w:r w:rsidRPr="000E5786">
        <w:rPr>
          <w:rFonts w:cs="Arial"/>
          <w:szCs w:val="20"/>
        </w:rPr>
        <w:t xml:space="preserv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by notice:</w:t>
      </w:r>
      <w:bookmarkEnd w:id="1159"/>
    </w:p>
    <w:p w14:paraId="00448B87" w14:textId="312432E9" w:rsidR="0048699F" w:rsidRPr="000E5786" w:rsidRDefault="0048699F" w:rsidP="00346A37">
      <w:pPr>
        <w:pStyle w:val="Heading3"/>
      </w:pPr>
      <w:bookmarkStart w:id="1160" w:name="_Ref53585649"/>
      <w:r w:rsidRPr="000E5786">
        <w:t>require the Supplier to remove from performance of this Agreement any Supplier Personnel whose acts or omissions have caused the Default; or</w:t>
      </w:r>
      <w:bookmarkEnd w:id="1160"/>
    </w:p>
    <w:p w14:paraId="60A977DB" w14:textId="078CB156" w:rsidR="0048699F" w:rsidRPr="000E5786" w:rsidRDefault="0048699F" w:rsidP="00346A37">
      <w:pPr>
        <w:pStyle w:val="Heading3"/>
      </w:pPr>
      <w:bookmarkStart w:id="1161" w:name="_Ref53585650"/>
      <w:r w:rsidRPr="000E5786">
        <w:t>immediately terminate this Agreement.</w:t>
      </w:r>
      <w:bookmarkEnd w:id="1161"/>
    </w:p>
    <w:p w14:paraId="60680724" w14:textId="185070DB" w:rsidR="0048699F" w:rsidRPr="000E5786" w:rsidRDefault="0048699F" w:rsidP="00DD60F0">
      <w:pPr>
        <w:pStyle w:val="Heading2"/>
        <w:spacing w:after="120"/>
        <w:rPr>
          <w:rFonts w:cs="Arial"/>
          <w:szCs w:val="20"/>
        </w:rPr>
      </w:pPr>
      <w:bookmarkStart w:id="1162" w:name="_Ref53585651"/>
      <w:r w:rsidRPr="000E5786">
        <w:rPr>
          <w:rFonts w:cs="Arial"/>
          <w:szCs w:val="20"/>
        </w:rPr>
        <w:t xml:space="preserve">Any termination under clause </w:t>
      </w:r>
      <w:r w:rsidR="00537A4F" w:rsidRPr="000E5786">
        <w:rPr>
          <w:rFonts w:cs="Arial"/>
          <w:szCs w:val="20"/>
        </w:rPr>
        <w:fldChar w:fldCharType="begin"/>
      </w:r>
      <w:r w:rsidR="00537A4F" w:rsidRPr="000E5786">
        <w:rPr>
          <w:rFonts w:cs="Arial"/>
          <w:szCs w:val="20"/>
        </w:rPr>
        <w:instrText xml:space="preserve">  REF _Ref53585648 \w \h \* MERGEFORMAT </w:instrText>
      </w:r>
      <w:r w:rsidR="00537A4F" w:rsidRPr="000E5786">
        <w:rPr>
          <w:rFonts w:cs="Arial"/>
          <w:szCs w:val="20"/>
        </w:rPr>
      </w:r>
      <w:r w:rsidR="00537A4F" w:rsidRPr="000E5786">
        <w:rPr>
          <w:rFonts w:cs="Arial"/>
          <w:szCs w:val="20"/>
        </w:rPr>
        <w:fldChar w:fldCharType="separate"/>
      </w:r>
      <w:r w:rsidR="002523A8" w:rsidRPr="000E5786">
        <w:rPr>
          <w:rFonts w:cs="Arial"/>
          <w:szCs w:val="20"/>
        </w:rPr>
        <w:t>43.6</w:t>
      </w:r>
      <w:r w:rsidR="00537A4F" w:rsidRPr="000E5786">
        <w:rPr>
          <w:rFonts w:cs="Arial"/>
          <w:szCs w:val="20"/>
        </w:rPr>
        <w:fldChar w:fldCharType="end"/>
      </w:r>
      <w:r w:rsidRPr="000E5786">
        <w:rPr>
          <w:rFonts w:cs="Arial"/>
          <w:szCs w:val="20"/>
        </w:rPr>
        <w:t xml:space="preserve"> will be without prejudice to any right or remedy which has already accrued or subsequently accrues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w:t>
      </w:r>
      <w:bookmarkEnd w:id="1162"/>
    </w:p>
    <w:p w14:paraId="11E6DE9A" w14:textId="23BFA3D7" w:rsidR="0048699F" w:rsidRPr="000E5786" w:rsidRDefault="0048699F" w:rsidP="00DD60F0">
      <w:pPr>
        <w:pStyle w:val="Heading2"/>
        <w:spacing w:after="120"/>
        <w:rPr>
          <w:rFonts w:cs="Arial"/>
          <w:szCs w:val="20"/>
        </w:rPr>
      </w:pPr>
      <w:bookmarkStart w:id="1163" w:name="_Ref53585652"/>
      <w:r w:rsidRPr="000E5786">
        <w:rPr>
          <w:rFonts w:cs="Arial"/>
          <w:szCs w:val="20"/>
        </w:rPr>
        <w:t xml:space="preserve">Any notice served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under clause </w:t>
      </w:r>
      <w:r w:rsidR="00537A4F" w:rsidRPr="000E5786">
        <w:rPr>
          <w:rFonts w:cs="Arial"/>
          <w:szCs w:val="20"/>
        </w:rPr>
        <w:fldChar w:fldCharType="begin"/>
      </w:r>
      <w:r w:rsidR="00537A4F" w:rsidRPr="000E5786">
        <w:rPr>
          <w:rFonts w:cs="Arial"/>
          <w:szCs w:val="20"/>
        </w:rPr>
        <w:instrText xml:space="preserve">  REF _Ref53585648 \w \h \* MERGEFORMAT </w:instrText>
      </w:r>
      <w:r w:rsidR="00537A4F" w:rsidRPr="000E5786">
        <w:rPr>
          <w:rFonts w:cs="Arial"/>
          <w:szCs w:val="20"/>
        </w:rPr>
      </w:r>
      <w:r w:rsidR="00537A4F" w:rsidRPr="000E5786">
        <w:rPr>
          <w:rFonts w:cs="Arial"/>
          <w:szCs w:val="20"/>
        </w:rPr>
        <w:fldChar w:fldCharType="separate"/>
      </w:r>
      <w:r w:rsidR="002523A8" w:rsidRPr="000E5786">
        <w:rPr>
          <w:rFonts w:cs="Arial"/>
          <w:szCs w:val="20"/>
        </w:rPr>
        <w:t>43.6</w:t>
      </w:r>
      <w:r w:rsidR="00537A4F" w:rsidRPr="000E5786">
        <w:rPr>
          <w:rFonts w:cs="Arial"/>
          <w:szCs w:val="20"/>
        </w:rPr>
        <w:fldChar w:fldCharType="end"/>
      </w:r>
      <w:r w:rsidRPr="000E5786">
        <w:rPr>
          <w:rFonts w:cs="Arial"/>
          <w:szCs w:val="20"/>
        </w:rPr>
        <w:t xml:space="preserve"> shall specify the nature of the Prohibited Act, the identity of the Party who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believes has committed the Prohibited Act and the action that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has elected to take (including, where relevant, the date on which this Agreement shall terminate).</w:t>
      </w:r>
      <w:bookmarkEnd w:id="1163"/>
    </w:p>
    <w:p w14:paraId="60F66A59" w14:textId="4881139B" w:rsidR="0048699F" w:rsidRPr="000E5786" w:rsidRDefault="0048699F" w:rsidP="00DD60F0">
      <w:pPr>
        <w:pStyle w:val="Heading2"/>
        <w:spacing w:after="120"/>
        <w:rPr>
          <w:rFonts w:cs="Arial"/>
          <w:szCs w:val="20"/>
        </w:rPr>
      </w:pPr>
      <w:bookmarkStart w:id="1164" w:name="_Ref53585653"/>
      <w:r w:rsidRPr="000E5786">
        <w:rPr>
          <w:rFonts w:cs="Arial"/>
          <w:szCs w:val="20"/>
        </w:rPr>
        <w:t>The Supplier shall comply with all anti-slavery legislation, including the Modern Slavery Act 2015.</w:t>
      </w:r>
      <w:bookmarkEnd w:id="1164"/>
    </w:p>
    <w:p w14:paraId="685ABF35" w14:textId="49690513" w:rsidR="0048699F" w:rsidRPr="000E5786" w:rsidRDefault="0048699F" w:rsidP="00DD60F0">
      <w:pPr>
        <w:pStyle w:val="Heading2"/>
        <w:spacing w:after="120"/>
        <w:rPr>
          <w:rFonts w:cs="Arial"/>
          <w:szCs w:val="20"/>
        </w:rPr>
      </w:pPr>
      <w:bookmarkStart w:id="1165" w:name="_Ref53585654"/>
      <w:r w:rsidRPr="000E5786">
        <w:rPr>
          <w:rFonts w:cs="Arial"/>
          <w:szCs w:val="20"/>
        </w:rPr>
        <w:lastRenderedPageBreak/>
        <w:t xml:space="preserve">The Supplier shall implement due diligence procedures for its own suppliers, </w:t>
      </w:r>
      <w:proofErr w:type="gramStart"/>
      <w:r w:rsidRPr="000E5786">
        <w:rPr>
          <w:rFonts w:cs="Arial"/>
          <w:szCs w:val="20"/>
        </w:rPr>
        <w:t>subcontractors</w:t>
      </w:r>
      <w:proofErr w:type="gramEnd"/>
      <w:r w:rsidRPr="000E5786">
        <w:rPr>
          <w:rFonts w:cs="Arial"/>
          <w:szCs w:val="20"/>
        </w:rPr>
        <w:t xml:space="preserve"> and other participants in its supply chains, to ensure that there is no slavery or human trafficking in its supply chain.</w:t>
      </w:r>
      <w:bookmarkEnd w:id="1165"/>
    </w:p>
    <w:p w14:paraId="7C663D26" w14:textId="450006C4" w:rsidR="0048699F" w:rsidRPr="000E5786" w:rsidRDefault="0048699F" w:rsidP="00DD60F0">
      <w:pPr>
        <w:pStyle w:val="Heading2"/>
        <w:spacing w:after="120"/>
        <w:rPr>
          <w:rFonts w:cs="Arial"/>
          <w:szCs w:val="20"/>
        </w:rPr>
      </w:pPr>
      <w:bookmarkStart w:id="1166" w:name="_Ref53585655"/>
      <w:r w:rsidRPr="000E5786">
        <w:rPr>
          <w:rFonts w:cs="Arial"/>
          <w:szCs w:val="20"/>
        </w:rPr>
        <w:t>The Supplier shall use reasonable endeavours not to purchase any raw materials, resources or products from any country that has been sourced from producers or manufacturers using forced labour in its operations or practice.</w:t>
      </w:r>
      <w:bookmarkEnd w:id="1166"/>
    </w:p>
    <w:p w14:paraId="7944E665" w14:textId="19F15117" w:rsidR="0048699F" w:rsidRPr="000E5786" w:rsidRDefault="0048699F" w:rsidP="00DD60F0">
      <w:pPr>
        <w:pStyle w:val="Heading1"/>
        <w:spacing w:after="120"/>
        <w:rPr>
          <w:rFonts w:cs="Arial"/>
          <w:szCs w:val="20"/>
        </w:rPr>
      </w:pPr>
      <w:bookmarkStart w:id="1167" w:name="_Ref53585656"/>
      <w:bookmarkStart w:id="1168" w:name="_Ref53585742"/>
      <w:bookmarkStart w:id="1169" w:name="_Toc71198968"/>
      <w:r w:rsidRPr="000E5786">
        <w:rPr>
          <w:rFonts w:cs="Arial"/>
          <w:szCs w:val="20"/>
        </w:rPr>
        <w:t>SEVERANCE</w:t>
      </w:r>
      <w:bookmarkEnd w:id="1167"/>
      <w:bookmarkEnd w:id="1168"/>
      <w:bookmarkEnd w:id="1169"/>
    </w:p>
    <w:p w14:paraId="634799D0" w14:textId="2C9650C1" w:rsidR="0048699F" w:rsidRPr="000E5786" w:rsidRDefault="0048699F" w:rsidP="00DD60F0">
      <w:pPr>
        <w:pStyle w:val="Heading2"/>
        <w:spacing w:after="120"/>
        <w:rPr>
          <w:rFonts w:cs="Arial"/>
          <w:szCs w:val="20"/>
        </w:rPr>
      </w:pPr>
      <w:bookmarkStart w:id="1170" w:name="_Ref53585657"/>
      <w:r w:rsidRPr="000E5786">
        <w:rPr>
          <w:rFonts w:cs="Arial"/>
          <w:szCs w:val="20"/>
        </w:rPr>
        <w:t>If any provision of this Agreement (or part of any provision) is held to be void or otherwise unenforceable by any court of competent jurisdiction, such provision (or part) shall to the extent necessary to ensure that the remaining provisions of this Agreement are not void or unenforceable be deemed to be deleted and the validity and/or enforceability of the remaining provisions of this Agreement shall not be affected.</w:t>
      </w:r>
      <w:bookmarkEnd w:id="1170"/>
    </w:p>
    <w:p w14:paraId="4CE4BAC5" w14:textId="640D3A1B" w:rsidR="0048699F" w:rsidRPr="000E5786" w:rsidRDefault="0048699F" w:rsidP="00DD60F0">
      <w:pPr>
        <w:pStyle w:val="Heading2"/>
        <w:spacing w:after="120"/>
        <w:rPr>
          <w:rFonts w:cs="Arial"/>
          <w:szCs w:val="20"/>
        </w:rPr>
      </w:pPr>
      <w:bookmarkStart w:id="1171" w:name="_Ref53585658"/>
      <w:r w:rsidRPr="000E5786">
        <w:rPr>
          <w:rFonts w:cs="Arial"/>
          <w:szCs w:val="20"/>
        </w:rPr>
        <w:t xml:space="preserve">In the event that any deemed deletion under clause </w:t>
      </w:r>
      <w:r w:rsidR="00537A4F" w:rsidRPr="000E5786">
        <w:rPr>
          <w:rFonts w:cs="Arial"/>
          <w:szCs w:val="20"/>
        </w:rPr>
        <w:fldChar w:fldCharType="begin"/>
      </w:r>
      <w:r w:rsidR="00537A4F" w:rsidRPr="000E5786">
        <w:rPr>
          <w:rFonts w:cs="Arial"/>
          <w:szCs w:val="20"/>
        </w:rPr>
        <w:instrText xml:space="preserve">  REF _Ref53585657 \w \h \* MERGEFORMAT </w:instrText>
      </w:r>
      <w:r w:rsidR="00537A4F" w:rsidRPr="000E5786">
        <w:rPr>
          <w:rFonts w:cs="Arial"/>
          <w:szCs w:val="20"/>
        </w:rPr>
      </w:r>
      <w:r w:rsidR="00537A4F" w:rsidRPr="000E5786">
        <w:rPr>
          <w:rFonts w:cs="Arial"/>
          <w:szCs w:val="20"/>
        </w:rPr>
        <w:fldChar w:fldCharType="separate"/>
      </w:r>
      <w:r w:rsidR="002523A8" w:rsidRPr="000E5786">
        <w:rPr>
          <w:rFonts w:cs="Arial"/>
          <w:szCs w:val="20"/>
        </w:rPr>
        <w:t>44.1</w:t>
      </w:r>
      <w:r w:rsidR="00537A4F" w:rsidRPr="000E5786">
        <w:rPr>
          <w:rFonts w:cs="Arial"/>
          <w:szCs w:val="20"/>
        </w:rPr>
        <w:fldChar w:fldCharType="end"/>
      </w:r>
      <w:r w:rsidRPr="000E5786">
        <w:rPr>
          <w:rFonts w:cs="Arial"/>
          <w:szCs w:val="20"/>
        </w:rPr>
        <w:t xml:space="preserve"> is so fundamental as to prevent the accomplishment of the purpose of this Agreement or materially alters the balance of risks and rewards in this Agreement, either Party may give notice to the other Party requiring the Parties to commence good faith negotiations to amend this Agreement so that, as amended, it is valid and enforceable, preserves the balance of risks and rewards in this Agreement and, to the extent that is reasonably possible, achieves the Parties’ original commercial intention.</w:t>
      </w:r>
      <w:bookmarkEnd w:id="1171"/>
    </w:p>
    <w:p w14:paraId="7DDDFB38" w14:textId="3B48D5E0" w:rsidR="0048699F" w:rsidRPr="000E5786" w:rsidRDefault="0048699F" w:rsidP="00DD60F0">
      <w:pPr>
        <w:pStyle w:val="Heading2"/>
        <w:spacing w:after="120"/>
        <w:rPr>
          <w:rFonts w:cs="Arial"/>
          <w:szCs w:val="20"/>
        </w:rPr>
      </w:pPr>
      <w:bookmarkStart w:id="1172" w:name="_Ref53585659"/>
      <w:r w:rsidRPr="000E5786">
        <w:rPr>
          <w:rFonts w:cs="Arial"/>
          <w:szCs w:val="20"/>
        </w:rPr>
        <w:t xml:space="preserve">If the Parties are unable to agree on the revisions to this Agreement within </w:t>
      </w:r>
      <w:bookmarkStart w:id="1173" w:name="DocXTextRef511"/>
      <w:r w:rsidRPr="000E5786">
        <w:rPr>
          <w:rFonts w:cs="Arial"/>
          <w:szCs w:val="20"/>
        </w:rPr>
        <w:t>5</w:t>
      </w:r>
      <w:bookmarkEnd w:id="1173"/>
      <w:r w:rsidRPr="000E5786">
        <w:rPr>
          <w:rFonts w:cs="Arial"/>
          <w:szCs w:val="20"/>
        </w:rPr>
        <w:t xml:space="preserve"> Working Days of the date of the notice given pursuant to clause </w:t>
      </w:r>
      <w:r w:rsidR="00537A4F" w:rsidRPr="000E5786">
        <w:rPr>
          <w:rFonts w:cs="Arial"/>
          <w:szCs w:val="20"/>
        </w:rPr>
        <w:fldChar w:fldCharType="begin"/>
      </w:r>
      <w:r w:rsidR="00537A4F" w:rsidRPr="000E5786">
        <w:rPr>
          <w:rFonts w:cs="Arial"/>
          <w:szCs w:val="20"/>
        </w:rPr>
        <w:instrText xml:space="preserve">  REF _Ref53585658 \w \h \* MERGEFORMAT </w:instrText>
      </w:r>
      <w:r w:rsidR="00537A4F" w:rsidRPr="000E5786">
        <w:rPr>
          <w:rFonts w:cs="Arial"/>
          <w:szCs w:val="20"/>
        </w:rPr>
      </w:r>
      <w:r w:rsidR="00537A4F" w:rsidRPr="000E5786">
        <w:rPr>
          <w:rFonts w:cs="Arial"/>
          <w:szCs w:val="20"/>
        </w:rPr>
        <w:fldChar w:fldCharType="separate"/>
      </w:r>
      <w:r w:rsidR="002523A8" w:rsidRPr="000E5786">
        <w:rPr>
          <w:rFonts w:cs="Arial"/>
          <w:szCs w:val="20"/>
        </w:rPr>
        <w:t>44.2</w:t>
      </w:r>
      <w:r w:rsidR="00537A4F" w:rsidRPr="000E5786">
        <w:rPr>
          <w:rFonts w:cs="Arial"/>
          <w:szCs w:val="20"/>
        </w:rPr>
        <w:fldChar w:fldCharType="end"/>
      </w:r>
      <w:r w:rsidRPr="000E5786">
        <w:rPr>
          <w:rFonts w:cs="Arial"/>
          <w:szCs w:val="20"/>
        </w:rPr>
        <w:t xml:space="preserve">, the matter shall be dealt with in accordance with Paragraph </w:t>
      </w:r>
      <w:bookmarkStart w:id="1174" w:name="DocXTextRef516"/>
      <w:r w:rsidRPr="000E5786">
        <w:rPr>
          <w:rFonts w:cs="Arial"/>
          <w:szCs w:val="20"/>
        </w:rPr>
        <w:t>4</w:t>
      </w:r>
      <w:bookmarkEnd w:id="1174"/>
      <w:r w:rsidRPr="000E5786">
        <w:rPr>
          <w:rFonts w:cs="Arial"/>
          <w:szCs w:val="20"/>
        </w:rPr>
        <w:t xml:space="preserve"> (Commercial Negotiation) of </w:t>
      </w:r>
      <w:bookmarkStart w:id="1175" w:name="DocXTextRef513"/>
      <w:r w:rsidRPr="000E5786">
        <w:rPr>
          <w:rFonts w:cs="Arial"/>
          <w:szCs w:val="20"/>
        </w:rPr>
        <w:t>Schedule 8.3</w:t>
      </w:r>
      <w:bookmarkEnd w:id="1175"/>
      <w:r w:rsidRPr="000E5786">
        <w:rPr>
          <w:rFonts w:cs="Arial"/>
          <w:szCs w:val="20"/>
        </w:rPr>
        <w:t xml:space="preserve"> (Dispute Resolution Procedure) except that if the representatives are unable to resolve the dispute within thirty </w:t>
      </w:r>
      <w:bookmarkStart w:id="1176" w:name="DocXTextRef512"/>
      <w:r w:rsidRPr="000E5786">
        <w:rPr>
          <w:rFonts w:cs="Arial"/>
          <w:szCs w:val="20"/>
        </w:rPr>
        <w:t>(30)</w:t>
      </w:r>
      <w:bookmarkEnd w:id="1176"/>
      <w:r w:rsidRPr="000E5786">
        <w:rPr>
          <w:rFonts w:cs="Arial"/>
          <w:szCs w:val="20"/>
        </w:rPr>
        <w:t xml:space="preserve"> Working Days of the matter being referred to them, this Agreement shall automatically terminate with immediate effect.</w:t>
      </w:r>
      <w:r w:rsidR="000578A4" w:rsidRPr="000E5786">
        <w:rPr>
          <w:rFonts w:cs="Arial"/>
          <w:szCs w:val="20"/>
        </w:rPr>
        <w:t xml:space="preserve"> </w:t>
      </w:r>
      <w:r w:rsidRPr="000E5786">
        <w:rPr>
          <w:rFonts w:cs="Arial"/>
          <w:szCs w:val="20"/>
        </w:rPr>
        <w:t xml:space="preserve">The costs of termination incurred by the Parties shall lie where they fall if this Agreement is terminated pursuant to this clause </w:t>
      </w:r>
      <w:r w:rsidR="000E7302" w:rsidRPr="000E5786">
        <w:rPr>
          <w:rFonts w:cs="Arial"/>
          <w:szCs w:val="20"/>
        </w:rPr>
        <w:fldChar w:fldCharType="begin"/>
      </w:r>
      <w:r w:rsidR="000E7302" w:rsidRPr="000E5786">
        <w:rPr>
          <w:rFonts w:cs="Arial"/>
          <w:szCs w:val="20"/>
        </w:rPr>
        <w:instrText xml:space="preserve">  REF _Ref53585659 \w \h \* MERGEFORMAT </w:instrText>
      </w:r>
      <w:r w:rsidR="000E7302" w:rsidRPr="000E5786">
        <w:rPr>
          <w:rFonts w:cs="Arial"/>
          <w:szCs w:val="20"/>
        </w:rPr>
      </w:r>
      <w:r w:rsidR="000E7302" w:rsidRPr="000E5786">
        <w:rPr>
          <w:rFonts w:cs="Arial"/>
          <w:szCs w:val="20"/>
        </w:rPr>
        <w:fldChar w:fldCharType="separate"/>
      </w:r>
      <w:r w:rsidR="002523A8" w:rsidRPr="000E5786">
        <w:rPr>
          <w:rFonts w:cs="Arial"/>
          <w:szCs w:val="20"/>
        </w:rPr>
        <w:t>44.3</w:t>
      </w:r>
      <w:r w:rsidR="000E7302" w:rsidRPr="000E5786">
        <w:rPr>
          <w:rFonts w:cs="Arial"/>
          <w:szCs w:val="20"/>
        </w:rPr>
        <w:fldChar w:fldCharType="end"/>
      </w:r>
      <w:r w:rsidRPr="000E5786">
        <w:rPr>
          <w:rFonts w:cs="Arial"/>
          <w:szCs w:val="20"/>
        </w:rPr>
        <w:t>.</w:t>
      </w:r>
      <w:bookmarkEnd w:id="1172"/>
    </w:p>
    <w:p w14:paraId="47FB8383" w14:textId="7BA42CC9" w:rsidR="0048699F" w:rsidRPr="000E5786" w:rsidRDefault="0048699F" w:rsidP="00DD60F0">
      <w:pPr>
        <w:pStyle w:val="Heading1"/>
        <w:spacing w:after="120"/>
        <w:rPr>
          <w:rFonts w:cs="Arial"/>
          <w:szCs w:val="20"/>
        </w:rPr>
      </w:pPr>
      <w:bookmarkStart w:id="1177" w:name="_Ref53585660"/>
      <w:bookmarkStart w:id="1178" w:name="_Ref53585743"/>
      <w:bookmarkStart w:id="1179" w:name="_Toc71198969"/>
      <w:r w:rsidRPr="000E5786">
        <w:rPr>
          <w:rFonts w:cs="Arial"/>
          <w:szCs w:val="20"/>
        </w:rPr>
        <w:t>FURTHER ASSURANCES</w:t>
      </w:r>
      <w:bookmarkEnd w:id="1177"/>
      <w:bookmarkEnd w:id="1178"/>
      <w:bookmarkEnd w:id="1179"/>
    </w:p>
    <w:p w14:paraId="16F10F49" w14:textId="77777777" w:rsidR="0048699F" w:rsidRPr="000E5786" w:rsidRDefault="0048699F" w:rsidP="00834C1A">
      <w:pPr>
        <w:pStyle w:val="BodyText1"/>
        <w:spacing w:after="120"/>
        <w:ind w:firstLine="0"/>
        <w:rPr>
          <w:rFonts w:cs="Arial"/>
          <w:szCs w:val="20"/>
        </w:rPr>
      </w:pPr>
      <w:r w:rsidRPr="000E5786">
        <w:rPr>
          <w:rFonts w:cs="Arial"/>
          <w:szCs w:val="20"/>
        </w:rPr>
        <w:t>Each Party undertakes at the request of the other, and at the cost of the requesting Party to do all acts and execute all documents which may be reasonably necessary to give effect to the meaning of this Agreement.</w:t>
      </w:r>
    </w:p>
    <w:p w14:paraId="38E41D11" w14:textId="73E496D0" w:rsidR="0048699F" w:rsidRPr="000E5786" w:rsidRDefault="0048699F" w:rsidP="00DD60F0">
      <w:pPr>
        <w:pStyle w:val="Heading1"/>
        <w:spacing w:after="120"/>
        <w:rPr>
          <w:rFonts w:cs="Arial"/>
          <w:szCs w:val="20"/>
        </w:rPr>
      </w:pPr>
      <w:bookmarkStart w:id="1180" w:name="_Ref53585661"/>
      <w:bookmarkStart w:id="1181" w:name="_Ref53585744"/>
      <w:bookmarkStart w:id="1182" w:name="_Toc71198970"/>
      <w:r w:rsidRPr="000E5786">
        <w:rPr>
          <w:rFonts w:cs="Arial"/>
          <w:szCs w:val="20"/>
        </w:rPr>
        <w:t>ENTIRE AGREEMENT</w:t>
      </w:r>
      <w:bookmarkEnd w:id="1180"/>
      <w:bookmarkEnd w:id="1181"/>
      <w:bookmarkEnd w:id="1182"/>
    </w:p>
    <w:p w14:paraId="223BDBD6" w14:textId="71EFEE5C" w:rsidR="0048699F" w:rsidRPr="000E5786" w:rsidRDefault="0048699F" w:rsidP="00DD60F0">
      <w:pPr>
        <w:pStyle w:val="Heading2"/>
        <w:spacing w:after="120"/>
        <w:rPr>
          <w:rFonts w:cs="Arial"/>
          <w:szCs w:val="20"/>
        </w:rPr>
      </w:pPr>
      <w:bookmarkStart w:id="1183" w:name="_Ref53585662"/>
      <w:r w:rsidRPr="000E5786">
        <w:rPr>
          <w:rFonts w:cs="Arial"/>
          <w:szCs w:val="20"/>
        </w:rPr>
        <w:t>This Agreement constitutes the entire agreement between the Parties in respect of its subject matter and supersedes and extinguishes all prior negotiations, arrangements, understanding, course of dealings or agreements made between the Parties in relation to its subject matter, whether written or oral.</w:t>
      </w:r>
      <w:bookmarkEnd w:id="1183"/>
    </w:p>
    <w:p w14:paraId="6D6D5F3B" w14:textId="311A414C" w:rsidR="0048699F" w:rsidRPr="000E5786" w:rsidRDefault="0048699F" w:rsidP="00DD60F0">
      <w:pPr>
        <w:pStyle w:val="Heading2"/>
        <w:spacing w:after="120"/>
        <w:rPr>
          <w:rFonts w:cs="Arial"/>
          <w:szCs w:val="20"/>
        </w:rPr>
      </w:pPr>
      <w:bookmarkStart w:id="1184" w:name="_Ref53585663"/>
      <w:r w:rsidRPr="000E5786">
        <w:rPr>
          <w:rFonts w:cs="Arial"/>
          <w:szCs w:val="20"/>
        </w:rPr>
        <w:t>Neither Party has been given, nor entered into this Agreement in reliance on, any warranty, statement, promise or representation other than those expressly set out in this Agreement.</w:t>
      </w:r>
      <w:bookmarkEnd w:id="1184"/>
    </w:p>
    <w:p w14:paraId="17EB4702" w14:textId="4895EE9E" w:rsidR="0048699F" w:rsidRPr="000E5786" w:rsidRDefault="0048699F" w:rsidP="00DD60F0">
      <w:pPr>
        <w:pStyle w:val="Heading2"/>
        <w:spacing w:after="120"/>
        <w:rPr>
          <w:rFonts w:cs="Arial"/>
          <w:szCs w:val="20"/>
        </w:rPr>
      </w:pPr>
      <w:bookmarkStart w:id="1185" w:name="_Ref53585664"/>
      <w:r w:rsidRPr="000E5786">
        <w:rPr>
          <w:rFonts w:cs="Arial"/>
          <w:szCs w:val="20"/>
        </w:rPr>
        <w:t xml:space="preserve">Nothing in this clause </w:t>
      </w:r>
      <w:r w:rsidR="000E7302" w:rsidRPr="000E5786">
        <w:rPr>
          <w:rFonts w:cs="Arial"/>
          <w:szCs w:val="20"/>
        </w:rPr>
        <w:fldChar w:fldCharType="begin"/>
      </w:r>
      <w:r w:rsidR="000E7302" w:rsidRPr="000E5786">
        <w:rPr>
          <w:rFonts w:cs="Arial"/>
          <w:szCs w:val="20"/>
        </w:rPr>
        <w:instrText xml:space="preserve">  REF _Ref53585744 \w \h \* MERGEFORMAT </w:instrText>
      </w:r>
      <w:r w:rsidR="000E7302" w:rsidRPr="000E5786">
        <w:rPr>
          <w:rFonts w:cs="Arial"/>
          <w:szCs w:val="20"/>
        </w:rPr>
      </w:r>
      <w:r w:rsidR="000E7302" w:rsidRPr="000E5786">
        <w:rPr>
          <w:rFonts w:cs="Arial"/>
          <w:szCs w:val="20"/>
        </w:rPr>
        <w:fldChar w:fldCharType="separate"/>
      </w:r>
      <w:r w:rsidR="002523A8" w:rsidRPr="000E5786">
        <w:rPr>
          <w:rFonts w:cs="Arial"/>
          <w:szCs w:val="20"/>
        </w:rPr>
        <w:t>46</w:t>
      </w:r>
      <w:r w:rsidR="000E7302" w:rsidRPr="000E5786">
        <w:rPr>
          <w:rFonts w:cs="Arial"/>
          <w:szCs w:val="20"/>
        </w:rPr>
        <w:fldChar w:fldCharType="end"/>
      </w:r>
      <w:r w:rsidRPr="000E5786">
        <w:rPr>
          <w:rFonts w:cs="Arial"/>
          <w:szCs w:val="20"/>
        </w:rPr>
        <w:t xml:space="preserve"> shall exclude any liability in respect of misrepresentations made fraudulently.</w:t>
      </w:r>
      <w:bookmarkEnd w:id="1185"/>
    </w:p>
    <w:p w14:paraId="380FD2D9" w14:textId="58167BD5" w:rsidR="0048699F" w:rsidRPr="000E5786" w:rsidRDefault="0048699F" w:rsidP="00DD60F0">
      <w:pPr>
        <w:pStyle w:val="Heading1"/>
        <w:spacing w:after="120"/>
        <w:rPr>
          <w:rFonts w:cs="Arial"/>
          <w:szCs w:val="20"/>
        </w:rPr>
      </w:pPr>
      <w:bookmarkStart w:id="1186" w:name="_Ref53585665"/>
      <w:bookmarkStart w:id="1187" w:name="_Ref53585745"/>
      <w:bookmarkStart w:id="1188" w:name="_Toc71198971"/>
      <w:r w:rsidRPr="000E5786">
        <w:rPr>
          <w:rFonts w:cs="Arial"/>
          <w:szCs w:val="20"/>
        </w:rPr>
        <w:t>THIRD PARTY RIGHTS</w:t>
      </w:r>
      <w:bookmarkEnd w:id="1186"/>
      <w:bookmarkEnd w:id="1187"/>
      <w:bookmarkEnd w:id="1188"/>
    </w:p>
    <w:p w14:paraId="52188E5F" w14:textId="0021DCCF" w:rsidR="0048699F" w:rsidRPr="000E5786" w:rsidRDefault="0048699F" w:rsidP="00DD60F0">
      <w:pPr>
        <w:pStyle w:val="Heading2"/>
        <w:spacing w:after="120"/>
        <w:rPr>
          <w:rFonts w:cs="Arial"/>
          <w:szCs w:val="20"/>
        </w:rPr>
      </w:pPr>
      <w:bookmarkStart w:id="1189" w:name="_Ref53585666"/>
      <w:r w:rsidRPr="000E5786">
        <w:rPr>
          <w:rFonts w:cs="Arial"/>
          <w:szCs w:val="20"/>
        </w:rPr>
        <w:t xml:space="preserve">The provisions of clause </w:t>
      </w:r>
      <w:r w:rsidR="000E7302" w:rsidRPr="000E5786">
        <w:rPr>
          <w:rFonts w:cs="Arial"/>
          <w:szCs w:val="20"/>
        </w:rPr>
        <w:fldChar w:fldCharType="begin"/>
      </w:r>
      <w:r w:rsidR="000E7302" w:rsidRPr="000E5786">
        <w:rPr>
          <w:rFonts w:cs="Arial"/>
          <w:szCs w:val="20"/>
        </w:rPr>
        <w:instrText xml:space="preserve">  REF _Ref53585234 \w \h \* MERGEFORMAT </w:instrText>
      </w:r>
      <w:r w:rsidR="000E7302" w:rsidRPr="000E5786">
        <w:rPr>
          <w:rFonts w:cs="Arial"/>
          <w:szCs w:val="20"/>
        </w:rPr>
      </w:r>
      <w:r w:rsidR="000E7302" w:rsidRPr="000E5786">
        <w:rPr>
          <w:rFonts w:cs="Arial"/>
          <w:szCs w:val="20"/>
        </w:rPr>
        <w:fldChar w:fldCharType="separate"/>
      </w:r>
      <w:r w:rsidR="002523A8" w:rsidRPr="000E5786">
        <w:rPr>
          <w:rFonts w:cs="Arial"/>
          <w:szCs w:val="20"/>
        </w:rPr>
        <w:t>22.1</w:t>
      </w:r>
      <w:r w:rsidR="000E7302" w:rsidRPr="000E5786">
        <w:rPr>
          <w:rFonts w:cs="Arial"/>
          <w:szCs w:val="20"/>
        </w:rPr>
        <w:fldChar w:fldCharType="end"/>
      </w:r>
      <w:r w:rsidRPr="000E5786">
        <w:rPr>
          <w:rFonts w:cs="Arial"/>
          <w:szCs w:val="20"/>
        </w:rPr>
        <w:t xml:space="preserve"> (IPRs Indemnity), Paragraphs </w:t>
      </w:r>
      <w:bookmarkStart w:id="1190" w:name="DocXTextRef524"/>
      <w:r w:rsidRPr="000E5786">
        <w:rPr>
          <w:rFonts w:cs="Arial"/>
          <w:szCs w:val="20"/>
        </w:rPr>
        <w:t>2.1</w:t>
      </w:r>
      <w:bookmarkEnd w:id="1190"/>
      <w:r w:rsidRPr="000E5786">
        <w:rPr>
          <w:rFonts w:cs="Arial"/>
          <w:szCs w:val="20"/>
        </w:rPr>
        <w:t xml:space="preserve">, </w:t>
      </w:r>
      <w:bookmarkStart w:id="1191" w:name="DocXTextRef531"/>
      <w:r w:rsidRPr="000E5786">
        <w:rPr>
          <w:rFonts w:cs="Arial"/>
          <w:szCs w:val="20"/>
        </w:rPr>
        <w:t>2.6</w:t>
      </w:r>
      <w:bookmarkEnd w:id="1191"/>
      <w:r w:rsidRPr="000E5786">
        <w:rPr>
          <w:rFonts w:cs="Arial"/>
          <w:szCs w:val="20"/>
        </w:rPr>
        <w:t xml:space="preserve">, </w:t>
      </w:r>
      <w:bookmarkStart w:id="1192" w:name="DocXTextRef532"/>
      <w:r w:rsidRPr="000E5786">
        <w:rPr>
          <w:rFonts w:cs="Arial"/>
          <w:szCs w:val="20"/>
        </w:rPr>
        <w:t>3.1</w:t>
      </w:r>
      <w:bookmarkEnd w:id="1192"/>
      <w:r w:rsidRPr="000E5786">
        <w:rPr>
          <w:rFonts w:cs="Arial"/>
          <w:szCs w:val="20"/>
        </w:rPr>
        <w:t xml:space="preserve"> and </w:t>
      </w:r>
      <w:bookmarkStart w:id="1193" w:name="DocXTextRef520"/>
      <w:r w:rsidRPr="000E5786">
        <w:rPr>
          <w:rFonts w:cs="Arial"/>
          <w:szCs w:val="20"/>
        </w:rPr>
        <w:t>3.3</w:t>
      </w:r>
      <w:bookmarkEnd w:id="1193"/>
      <w:r w:rsidRPr="000E5786">
        <w:rPr>
          <w:rFonts w:cs="Arial"/>
          <w:szCs w:val="20"/>
        </w:rPr>
        <w:t xml:space="preserve"> of </w:t>
      </w:r>
      <w:bookmarkStart w:id="1194" w:name="DocXTextRef528"/>
      <w:r w:rsidRPr="000E5786">
        <w:rPr>
          <w:rFonts w:cs="Arial"/>
          <w:szCs w:val="20"/>
        </w:rPr>
        <w:t>Part B</w:t>
      </w:r>
      <w:bookmarkEnd w:id="1194"/>
      <w:r w:rsidRPr="000E5786">
        <w:rPr>
          <w:rFonts w:cs="Arial"/>
          <w:szCs w:val="20"/>
        </w:rPr>
        <w:t xml:space="preserve">, Paragraphs </w:t>
      </w:r>
      <w:bookmarkStart w:id="1195" w:name="DocXTextRef525"/>
      <w:r w:rsidRPr="000E5786">
        <w:rPr>
          <w:rFonts w:cs="Arial"/>
          <w:szCs w:val="20"/>
        </w:rPr>
        <w:t>2.1</w:t>
      </w:r>
      <w:bookmarkEnd w:id="1195"/>
      <w:r w:rsidRPr="000E5786">
        <w:rPr>
          <w:rFonts w:cs="Arial"/>
          <w:szCs w:val="20"/>
        </w:rPr>
        <w:t xml:space="preserve"> and </w:t>
      </w:r>
      <w:bookmarkStart w:id="1196" w:name="DocXTextRef521"/>
      <w:r w:rsidRPr="000E5786">
        <w:rPr>
          <w:rFonts w:cs="Arial"/>
          <w:szCs w:val="20"/>
        </w:rPr>
        <w:t>2.3</w:t>
      </w:r>
      <w:bookmarkEnd w:id="1196"/>
      <w:r w:rsidRPr="000E5786">
        <w:rPr>
          <w:rFonts w:cs="Arial"/>
          <w:szCs w:val="20"/>
        </w:rPr>
        <w:t xml:space="preserve"> of </w:t>
      </w:r>
      <w:bookmarkStart w:id="1197" w:name="DocXTextRef529"/>
      <w:r w:rsidRPr="000E5786">
        <w:rPr>
          <w:rFonts w:cs="Arial"/>
          <w:szCs w:val="20"/>
        </w:rPr>
        <w:t>Part C</w:t>
      </w:r>
      <w:bookmarkEnd w:id="1197"/>
      <w:r w:rsidRPr="000E5786">
        <w:rPr>
          <w:rFonts w:cs="Arial"/>
          <w:szCs w:val="20"/>
        </w:rPr>
        <w:t xml:space="preserve"> and Paragraphs </w:t>
      </w:r>
      <w:bookmarkStart w:id="1198" w:name="DocXTextRef526"/>
      <w:r w:rsidRPr="000E5786">
        <w:rPr>
          <w:rFonts w:cs="Arial"/>
          <w:szCs w:val="20"/>
        </w:rPr>
        <w:t>1.4</w:t>
      </w:r>
      <w:bookmarkEnd w:id="1198"/>
      <w:r w:rsidRPr="000E5786">
        <w:rPr>
          <w:rFonts w:cs="Arial"/>
          <w:szCs w:val="20"/>
        </w:rPr>
        <w:t xml:space="preserve">, </w:t>
      </w:r>
      <w:bookmarkStart w:id="1199" w:name="DocXTextRef533"/>
      <w:r w:rsidRPr="000E5786">
        <w:rPr>
          <w:rFonts w:cs="Arial"/>
          <w:szCs w:val="20"/>
        </w:rPr>
        <w:t>2.3</w:t>
      </w:r>
      <w:bookmarkEnd w:id="1199"/>
      <w:r w:rsidRPr="000E5786">
        <w:rPr>
          <w:rFonts w:cs="Arial"/>
          <w:szCs w:val="20"/>
        </w:rPr>
        <w:t xml:space="preserve"> and </w:t>
      </w:r>
      <w:bookmarkStart w:id="1200" w:name="DocXTextRef522"/>
      <w:r w:rsidRPr="000E5786">
        <w:rPr>
          <w:rFonts w:cs="Arial"/>
          <w:szCs w:val="20"/>
        </w:rPr>
        <w:t>2.8</w:t>
      </w:r>
      <w:bookmarkEnd w:id="1200"/>
      <w:r w:rsidRPr="000E5786">
        <w:rPr>
          <w:rFonts w:cs="Arial"/>
          <w:szCs w:val="20"/>
        </w:rPr>
        <w:t xml:space="preserve"> of </w:t>
      </w:r>
      <w:bookmarkStart w:id="1201" w:name="DocXTextRef530"/>
      <w:r w:rsidRPr="000E5786">
        <w:rPr>
          <w:rFonts w:cs="Arial"/>
          <w:szCs w:val="20"/>
        </w:rPr>
        <w:t>Part D</w:t>
      </w:r>
      <w:bookmarkEnd w:id="1201"/>
      <w:r w:rsidRPr="000E5786">
        <w:rPr>
          <w:rFonts w:cs="Arial"/>
          <w:szCs w:val="20"/>
        </w:rPr>
        <w:t xml:space="preserve"> of </w:t>
      </w:r>
      <w:bookmarkStart w:id="1202" w:name="DocXTextRef518"/>
      <w:r w:rsidRPr="000E5786">
        <w:rPr>
          <w:rFonts w:cs="Arial"/>
          <w:szCs w:val="20"/>
        </w:rPr>
        <w:t xml:space="preserve">Schedule </w:t>
      </w:r>
      <w:r w:rsidR="00FA4034">
        <w:rPr>
          <w:rFonts w:cs="Arial"/>
          <w:szCs w:val="20"/>
        </w:rPr>
        <w:t>11</w:t>
      </w:r>
      <w:bookmarkEnd w:id="1202"/>
      <w:r w:rsidRPr="000E5786">
        <w:rPr>
          <w:rFonts w:cs="Arial"/>
          <w:szCs w:val="20"/>
        </w:rPr>
        <w:t xml:space="preserve"> (Staff Transfer) and the provisions of Paragraph </w:t>
      </w:r>
      <w:bookmarkStart w:id="1203" w:name="DocXTextRef527"/>
      <w:r w:rsidRPr="000E5786">
        <w:rPr>
          <w:rFonts w:cs="Arial"/>
          <w:szCs w:val="20"/>
        </w:rPr>
        <w:t>6.9</w:t>
      </w:r>
      <w:bookmarkEnd w:id="1203"/>
      <w:r w:rsidRPr="000E5786">
        <w:rPr>
          <w:rFonts w:cs="Arial"/>
          <w:szCs w:val="20"/>
        </w:rPr>
        <w:t xml:space="preserve"> of </w:t>
      </w:r>
      <w:bookmarkStart w:id="1204" w:name="DocXTextRef519"/>
      <w:r w:rsidRPr="000E5786">
        <w:rPr>
          <w:rFonts w:cs="Arial"/>
          <w:szCs w:val="20"/>
        </w:rPr>
        <w:t>Schedule 8.5</w:t>
      </w:r>
      <w:bookmarkEnd w:id="1204"/>
      <w:r w:rsidRPr="000E5786">
        <w:rPr>
          <w:rFonts w:cs="Arial"/>
          <w:szCs w:val="20"/>
        </w:rPr>
        <w:t xml:space="preserve"> (Exit Management) (together “</w:t>
      </w:r>
      <w:r w:rsidRPr="000E5786">
        <w:rPr>
          <w:rFonts w:cs="Arial"/>
          <w:b/>
          <w:szCs w:val="20"/>
        </w:rPr>
        <w:t>Third Party Provisions</w:t>
      </w:r>
      <w:r w:rsidRPr="000E5786">
        <w:rPr>
          <w:rFonts w:cs="Arial"/>
          <w:szCs w:val="20"/>
        </w:rPr>
        <w:t>”) confer benefits on persons named in such provisions other than the Parties (each such person a “</w:t>
      </w:r>
      <w:r w:rsidRPr="000E5786">
        <w:rPr>
          <w:rFonts w:cs="Arial"/>
          <w:b/>
          <w:szCs w:val="20"/>
        </w:rPr>
        <w:t>Third Party Beneficiary</w:t>
      </w:r>
      <w:r w:rsidRPr="000E5786">
        <w:rPr>
          <w:rFonts w:cs="Arial"/>
          <w:szCs w:val="20"/>
        </w:rPr>
        <w:t>”) and are intended to be enforceable by Third Parties Beneficiaries by virtue of the CRTPA.</w:t>
      </w:r>
      <w:bookmarkEnd w:id="1189"/>
    </w:p>
    <w:p w14:paraId="131AAD8D" w14:textId="1D3D83A4" w:rsidR="0048699F" w:rsidRPr="000E5786" w:rsidRDefault="0048699F" w:rsidP="00DD60F0">
      <w:pPr>
        <w:pStyle w:val="Heading2"/>
        <w:spacing w:after="120"/>
        <w:rPr>
          <w:rFonts w:cs="Arial"/>
          <w:szCs w:val="20"/>
        </w:rPr>
      </w:pPr>
      <w:bookmarkStart w:id="1205" w:name="_Ref53585667"/>
      <w:r w:rsidRPr="000E5786">
        <w:rPr>
          <w:rFonts w:cs="Arial"/>
          <w:szCs w:val="20"/>
        </w:rPr>
        <w:t xml:space="preserve">Subject to clause </w:t>
      </w:r>
      <w:r w:rsidR="00BB73D1" w:rsidRPr="000E5786">
        <w:rPr>
          <w:rFonts w:cs="Arial"/>
          <w:szCs w:val="20"/>
        </w:rPr>
        <w:fldChar w:fldCharType="begin"/>
      </w:r>
      <w:r w:rsidR="00BB73D1" w:rsidRPr="000E5786">
        <w:rPr>
          <w:rFonts w:cs="Arial"/>
          <w:szCs w:val="20"/>
        </w:rPr>
        <w:instrText xml:space="preserve">  REF _Ref53585666 \w \h \* MERGEFORMAT </w:instrText>
      </w:r>
      <w:r w:rsidR="00BB73D1" w:rsidRPr="000E5786">
        <w:rPr>
          <w:rFonts w:cs="Arial"/>
          <w:szCs w:val="20"/>
        </w:rPr>
      </w:r>
      <w:r w:rsidR="00BB73D1" w:rsidRPr="000E5786">
        <w:rPr>
          <w:rFonts w:cs="Arial"/>
          <w:szCs w:val="20"/>
        </w:rPr>
        <w:fldChar w:fldCharType="separate"/>
      </w:r>
      <w:r w:rsidR="002523A8" w:rsidRPr="000E5786">
        <w:rPr>
          <w:rFonts w:cs="Arial"/>
          <w:szCs w:val="20"/>
        </w:rPr>
        <w:t>47.1</w:t>
      </w:r>
      <w:r w:rsidR="00BB73D1" w:rsidRPr="000E5786">
        <w:rPr>
          <w:rFonts w:cs="Arial"/>
          <w:szCs w:val="20"/>
        </w:rPr>
        <w:fldChar w:fldCharType="end"/>
      </w:r>
      <w:r w:rsidRPr="000E5786">
        <w:rPr>
          <w:rFonts w:cs="Arial"/>
          <w:szCs w:val="20"/>
        </w:rPr>
        <w:t>, a person who is not a Party to this Agreement has no right under the CRTPA to enforce any term of this Agreement but this does not affect any right or remedy of any person which exists or is available otherwise than pursuant to that Act.</w:t>
      </w:r>
      <w:bookmarkEnd w:id="1205"/>
    </w:p>
    <w:p w14:paraId="0180C84D" w14:textId="2FEF0A8E" w:rsidR="0048699F" w:rsidRPr="000E5786" w:rsidRDefault="0048699F" w:rsidP="00DD60F0">
      <w:pPr>
        <w:pStyle w:val="Heading2"/>
        <w:spacing w:after="120"/>
        <w:rPr>
          <w:rFonts w:cs="Arial"/>
          <w:szCs w:val="20"/>
        </w:rPr>
      </w:pPr>
      <w:bookmarkStart w:id="1206" w:name="_Ref53585668"/>
      <w:r w:rsidRPr="000E5786">
        <w:rPr>
          <w:rFonts w:cs="Arial"/>
          <w:szCs w:val="20"/>
        </w:rPr>
        <w:t xml:space="preserve">No </w:t>
      </w:r>
      <w:proofErr w:type="gramStart"/>
      <w:r w:rsidRPr="000E5786">
        <w:rPr>
          <w:rFonts w:cs="Arial"/>
          <w:szCs w:val="20"/>
        </w:rPr>
        <w:t>Third Party</w:t>
      </w:r>
      <w:proofErr w:type="gramEnd"/>
      <w:r w:rsidRPr="000E5786">
        <w:rPr>
          <w:rFonts w:cs="Arial"/>
          <w:szCs w:val="20"/>
        </w:rPr>
        <w:t xml:space="preserve"> Beneficiary may enforce, or take any step to enforce, any Third Party Provision without the prior written consent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which may, if given, be given on and subject to such terms as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determine.</w:t>
      </w:r>
      <w:bookmarkEnd w:id="1206"/>
    </w:p>
    <w:p w14:paraId="4490EFCA" w14:textId="3E8AE81E" w:rsidR="0048699F" w:rsidRPr="000E5786" w:rsidRDefault="0048699F" w:rsidP="00DD60F0">
      <w:pPr>
        <w:pStyle w:val="Heading2"/>
        <w:spacing w:after="120"/>
        <w:rPr>
          <w:rFonts w:cs="Arial"/>
          <w:szCs w:val="20"/>
        </w:rPr>
      </w:pPr>
      <w:bookmarkStart w:id="1207" w:name="_Ref53585669"/>
      <w:r w:rsidRPr="000E5786">
        <w:rPr>
          <w:rFonts w:cs="Arial"/>
          <w:szCs w:val="20"/>
        </w:rPr>
        <w:lastRenderedPageBreak/>
        <w:t xml:space="preserve">Any amendments or modifications to this Agreement may be made, and any rights created under clause </w:t>
      </w:r>
      <w:r w:rsidR="00BB73D1" w:rsidRPr="000E5786">
        <w:rPr>
          <w:rFonts w:cs="Arial"/>
          <w:szCs w:val="20"/>
        </w:rPr>
        <w:fldChar w:fldCharType="begin"/>
      </w:r>
      <w:r w:rsidR="00BB73D1" w:rsidRPr="000E5786">
        <w:rPr>
          <w:rFonts w:cs="Arial"/>
          <w:szCs w:val="20"/>
        </w:rPr>
        <w:instrText xml:space="preserve">  REF _Ref53585666 \w \h \* MERGEFORMAT </w:instrText>
      </w:r>
      <w:r w:rsidR="00BB73D1" w:rsidRPr="000E5786">
        <w:rPr>
          <w:rFonts w:cs="Arial"/>
          <w:szCs w:val="20"/>
        </w:rPr>
      </w:r>
      <w:r w:rsidR="00BB73D1" w:rsidRPr="000E5786">
        <w:rPr>
          <w:rFonts w:cs="Arial"/>
          <w:szCs w:val="20"/>
        </w:rPr>
        <w:fldChar w:fldCharType="separate"/>
      </w:r>
      <w:r w:rsidR="002523A8" w:rsidRPr="000E5786">
        <w:rPr>
          <w:rFonts w:cs="Arial"/>
          <w:szCs w:val="20"/>
        </w:rPr>
        <w:t>47.1</w:t>
      </w:r>
      <w:r w:rsidR="00BB73D1" w:rsidRPr="000E5786">
        <w:rPr>
          <w:rFonts w:cs="Arial"/>
          <w:szCs w:val="20"/>
        </w:rPr>
        <w:fldChar w:fldCharType="end"/>
      </w:r>
      <w:r w:rsidRPr="000E5786">
        <w:rPr>
          <w:rFonts w:cs="Arial"/>
          <w:szCs w:val="20"/>
        </w:rPr>
        <w:t xml:space="preserve"> may be altered or extinguished, by the Parties without the consent of any </w:t>
      </w:r>
      <w:proofErr w:type="gramStart"/>
      <w:r w:rsidRPr="000E5786">
        <w:rPr>
          <w:rFonts w:cs="Arial"/>
          <w:szCs w:val="20"/>
        </w:rPr>
        <w:t>Third Party</w:t>
      </w:r>
      <w:proofErr w:type="gramEnd"/>
      <w:r w:rsidRPr="000E5786">
        <w:rPr>
          <w:rFonts w:cs="Arial"/>
          <w:szCs w:val="20"/>
        </w:rPr>
        <w:t xml:space="preserve"> Beneficiary.</w:t>
      </w:r>
      <w:bookmarkEnd w:id="1207"/>
    </w:p>
    <w:p w14:paraId="074BEC9B" w14:textId="194943AE" w:rsidR="0048699F" w:rsidRPr="000E5786" w:rsidRDefault="0048699F" w:rsidP="00DD60F0">
      <w:pPr>
        <w:pStyle w:val="Heading1"/>
        <w:spacing w:after="120"/>
        <w:rPr>
          <w:rFonts w:cs="Arial"/>
          <w:szCs w:val="20"/>
        </w:rPr>
      </w:pPr>
      <w:bookmarkStart w:id="1208" w:name="_Ref53585670"/>
      <w:bookmarkStart w:id="1209" w:name="_Ref53585746"/>
      <w:bookmarkStart w:id="1210" w:name="_Toc71198972"/>
      <w:r w:rsidRPr="000E5786">
        <w:rPr>
          <w:rFonts w:cs="Arial"/>
          <w:szCs w:val="20"/>
        </w:rPr>
        <w:t>NOTICES</w:t>
      </w:r>
      <w:bookmarkEnd w:id="1208"/>
      <w:bookmarkEnd w:id="1209"/>
      <w:bookmarkEnd w:id="1210"/>
    </w:p>
    <w:p w14:paraId="06C0BB8C" w14:textId="0BCE47F0" w:rsidR="0048699F" w:rsidRPr="000E5786" w:rsidRDefault="0048699F" w:rsidP="00DD60F0">
      <w:pPr>
        <w:pStyle w:val="Heading2"/>
        <w:spacing w:after="120"/>
        <w:rPr>
          <w:rFonts w:cs="Arial"/>
          <w:szCs w:val="20"/>
        </w:rPr>
      </w:pPr>
      <w:bookmarkStart w:id="1211" w:name="_Ref53585671"/>
      <w:r w:rsidRPr="000E5786">
        <w:rPr>
          <w:rFonts w:cs="Arial"/>
          <w:szCs w:val="20"/>
        </w:rPr>
        <w:t>Any notices sent under this Agreement must be in writing.</w:t>
      </w:r>
      <w:bookmarkEnd w:id="1211"/>
    </w:p>
    <w:p w14:paraId="2AE7970B" w14:textId="59FAD8AE" w:rsidR="0048699F" w:rsidRPr="000E5786" w:rsidRDefault="0048699F" w:rsidP="00DD60F0">
      <w:pPr>
        <w:pStyle w:val="Heading2"/>
        <w:spacing w:after="120"/>
        <w:rPr>
          <w:rFonts w:cs="Arial"/>
          <w:szCs w:val="20"/>
        </w:rPr>
      </w:pPr>
      <w:bookmarkStart w:id="1212" w:name="_Ref53585672"/>
      <w:r w:rsidRPr="000E5786">
        <w:rPr>
          <w:rFonts w:cs="Arial"/>
          <w:szCs w:val="20"/>
        </w:rPr>
        <w:t xml:space="preserve">Subject to clause </w:t>
      </w:r>
      <w:r w:rsidR="00BB73D1" w:rsidRPr="000E5786">
        <w:rPr>
          <w:rFonts w:cs="Arial"/>
          <w:szCs w:val="20"/>
        </w:rPr>
        <w:fldChar w:fldCharType="begin"/>
      </w:r>
      <w:r w:rsidR="00BB73D1" w:rsidRPr="000E5786">
        <w:rPr>
          <w:rFonts w:cs="Arial"/>
          <w:szCs w:val="20"/>
        </w:rPr>
        <w:instrText xml:space="preserve">  REF _Ref53585676 \w \h \* MERGEFORMAT </w:instrText>
      </w:r>
      <w:r w:rsidR="00BB73D1" w:rsidRPr="000E5786">
        <w:rPr>
          <w:rFonts w:cs="Arial"/>
          <w:szCs w:val="20"/>
        </w:rPr>
      </w:r>
      <w:r w:rsidR="00BB73D1" w:rsidRPr="000E5786">
        <w:rPr>
          <w:rFonts w:cs="Arial"/>
          <w:szCs w:val="20"/>
        </w:rPr>
        <w:fldChar w:fldCharType="separate"/>
      </w:r>
      <w:r w:rsidR="002523A8" w:rsidRPr="000E5786">
        <w:rPr>
          <w:rFonts w:cs="Arial"/>
          <w:szCs w:val="20"/>
        </w:rPr>
        <w:t>48.6</w:t>
      </w:r>
      <w:r w:rsidR="00BB73D1" w:rsidRPr="000E5786">
        <w:rPr>
          <w:rFonts w:cs="Arial"/>
          <w:szCs w:val="20"/>
        </w:rPr>
        <w:fldChar w:fldCharType="end"/>
      </w:r>
      <w:r w:rsidRPr="000E5786">
        <w:rPr>
          <w:rFonts w:cs="Arial"/>
          <w:szCs w:val="20"/>
        </w:rPr>
        <w:t>, the following table sets out the method by which notices may be served under this Agreement and the respective deemed time and proof of service:</w:t>
      </w:r>
      <w:bookmarkEnd w:id="1212"/>
    </w:p>
    <w:p w14:paraId="119A48C8" w14:textId="3E64FF51" w:rsidR="0048699F" w:rsidRPr="000E5786" w:rsidRDefault="0048699F" w:rsidP="00DD60F0">
      <w:pPr>
        <w:pStyle w:val="Heading2"/>
        <w:spacing w:after="120"/>
        <w:rPr>
          <w:rFonts w:cs="Arial"/>
          <w:szCs w:val="20"/>
        </w:rPr>
      </w:pPr>
      <w:bookmarkStart w:id="1213" w:name="_Ref53585673"/>
    </w:p>
    <w:tbl>
      <w:tblPr>
        <w:tblStyle w:val="TableGrid"/>
        <w:tblW w:w="9060" w:type="dxa"/>
        <w:tblInd w:w="6" w:type="dxa"/>
        <w:tblCellMar>
          <w:top w:w="46" w:type="dxa"/>
          <w:left w:w="107" w:type="dxa"/>
          <w:right w:w="45" w:type="dxa"/>
        </w:tblCellMar>
        <w:tblLook w:val="04A0" w:firstRow="1" w:lastRow="0" w:firstColumn="1" w:lastColumn="0" w:noHBand="0" w:noVBand="1"/>
      </w:tblPr>
      <w:tblGrid>
        <w:gridCol w:w="2596"/>
        <w:gridCol w:w="2772"/>
        <w:gridCol w:w="3692"/>
      </w:tblGrid>
      <w:tr w:rsidR="0048699F" w:rsidRPr="000E5786" w14:paraId="3239D17B" w14:textId="77777777" w:rsidTr="00A86BA0">
        <w:trPr>
          <w:trHeight w:val="466"/>
        </w:trPr>
        <w:tc>
          <w:tcPr>
            <w:tcW w:w="2596" w:type="dxa"/>
            <w:tcBorders>
              <w:top w:val="single" w:sz="4" w:space="0" w:color="000000"/>
              <w:left w:val="single" w:sz="4" w:space="0" w:color="000000"/>
              <w:bottom w:val="single" w:sz="4" w:space="0" w:color="000000"/>
              <w:right w:val="single" w:sz="4" w:space="0" w:color="000000"/>
            </w:tcBorders>
            <w:shd w:val="clear" w:color="auto" w:fill="DFDFDF"/>
          </w:tcPr>
          <w:bookmarkEnd w:id="1213"/>
          <w:p w14:paraId="66E6D494" w14:textId="77777777" w:rsidR="0048699F" w:rsidRPr="000E5786" w:rsidRDefault="0048699F" w:rsidP="00DD60F0">
            <w:pPr>
              <w:rPr>
                <w:rFonts w:ascii="Arial" w:hAnsi="Arial" w:cs="Arial"/>
                <w:sz w:val="20"/>
                <w:szCs w:val="20"/>
              </w:rPr>
            </w:pPr>
            <w:r w:rsidRPr="000E5786">
              <w:rPr>
                <w:rFonts w:ascii="Arial" w:eastAsia="Times New Roman" w:hAnsi="Arial" w:cs="Arial"/>
                <w:b/>
                <w:sz w:val="20"/>
                <w:szCs w:val="20"/>
              </w:rPr>
              <w:t>Manner of Delivery</w:t>
            </w:r>
          </w:p>
        </w:tc>
        <w:tc>
          <w:tcPr>
            <w:tcW w:w="2772" w:type="dxa"/>
            <w:tcBorders>
              <w:top w:val="single" w:sz="4" w:space="0" w:color="000000"/>
              <w:left w:val="single" w:sz="4" w:space="0" w:color="000000"/>
              <w:bottom w:val="single" w:sz="4" w:space="0" w:color="000000"/>
              <w:right w:val="single" w:sz="4" w:space="0" w:color="000000"/>
            </w:tcBorders>
            <w:shd w:val="clear" w:color="auto" w:fill="DFDFDF"/>
          </w:tcPr>
          <w:p w14:paraId="40762D3F" w14:textId="77777777" w:rsidR="0048699F" w:rsidRPr="000E5786" w:rsidRDefault="0048699F" w:rsidP="00834C1A">
            <w:pPr>
              <w:ind w:left="1" w:hanging="1"/>
              <w:rPr>
                <w:rFonts w:ascii="Arial" w:hAnsi="Arial" w:cs="Arial"/>
                <w:sz w:val="20"/>
                <w:szCs w:val="20"/>
              </w:rPr>
            </w:pPr>
            <w:r w:rsidRPr="000E5786">
              <w:rPr>
                <w:rFonts w:ascii="Arial" w:eastAsia="Times New Roman" w:hAnsi="Arial" w:cs="Arial"/>
                <w:b/>
                <w:sz w:val="20"/>
                <w:szCs w:val="20"/>
              </w:rPr>
              <w:t>Deemed time of service</w:t>
            </w:r>
          </w:p>
        </w:tc>
        <w:tc>
          <w:tcPr>
            <w:tcW w:w="3692" w:type="dxa"/>
            <w:tcBorders>
              <w:top w:val="single" w:sz="4" w:space="0" w:color="000000"/>
              <w:left w:val="single" w:sz="4" w:space="0" w:color="000000"/>
              <w:bottom w:val="single" w:sz="4" w:space="0" w:color="000000"/>
              <w:right w:val="single" w:sz="4" w:space="0" w:color="000000"/>
            </w:tcBorders>
            <w:shd w:val="clear" w:color="auto" w:fill="DFDFDF"/>
          </w:tcPr>
          <w:p w14:paraId="10B2B0EB" w14:textId="77777777" w:rsidR="0048699F" w:rsidRPr="000E5786" w:rsidRDefault="0048699F" w:rsidP="00834C1A">
            <w:pPr>
              <w:ind w:left="1" w:firstLine="39"/>
              <w:rPr>
                <w:rFonts w:ascii="Arial" w:hAnsi="Arial" w:cs="Arial"/>
                <w:sz w:val="20"/>
                <w:szCs w:val="20"/>
              </w:rPr>
            </w:pPr>
            <w:r w:rsidRPr="000E5786">
              <w:rPr>
                <w:rFonts w:ascii="Arial" w:eastAsia="Times New Roman" w:hAnsi="Arial" w:cs="Arial"/>
                <w:b/>
                <w:sz w:val="20"/>
                <w:szCs w:val="20"/>
              </w:rPr>
              <w:t>Proof of service</w:t>
            </w:r>
          </w:p>
        </w:tc>
      </w:tr>
      <w:tr w:rsidR="0048699F" w:rsidRPr="000E5786" w14:paraId="583240BE" w14:textId="77777777" w:rsidTr="00A86BA0">
        <w:trPr>
          <w:trHeight w:val="905"/>
        </w:trPr>
        <w:tc>
          <w:tcPr>
            <w:tcW w:w="2596" w:type="dxa"/>
            <w:tcBorders>
              <w:top w:val="single" w:sz="4" w:space="0" w:color="000000"/>
              <w:left w:val="single" w:sz="4" w:space="0" w:color="000000"/>
              <w:bottom w:val="single" w:sz="4" w:space="0" w:color="000000"/>
              <w:right w:val="single" w:sz="4" w:space="0" w:color="000000"/>
            </w:tcBorders>
          </w:tcPr>
          <w:p w14:paraId="6F2638AB" w14:textId="77777777" w:rsidR="0048699F" w:rsidRPr="000E5786" w:rsidRDefault="0048699F" w:rsidP="00DD60F0">
            <w:pPr>
              <w:rPr>
                <w:rFonts w:ascii="Arial" w:hAnsi="Arial" w:cs="Arial"/>
                <w:sz w:val="20"/>
                <w:szCs w:val="20"/>
              </w:rPr>
            </w:pPr>
            <w:r w:rsidRPr="000E5786">
              <w:rPr>
                <w:rFonts w:ascii="Arial" w:eastAsia="Times New Roman" w:hAnsi="Arial" w:cs="Arial"/>
                <w:sz w:val="20"/>
                <w:szCs w:val="20"/>
              </w:rPr>
              <w:t>Email</w:t>
            </w:r>
          </w:p>
        </w:tc>
        <w:tc>
          <w:tcPr>
            <w:tcW w:w="2772" w:type="dxa"/>
            <w:tcBorders>
              <w:top w:val="single" w:sz="4" w:space="0" w:color="000000"/>
              <w:left w:val="single" w:sz="4" w:space="0" w:color="000000"/>
              <w:bottom w:val="single" w:sz="4" w:space="0" w:color="000000"/>
              <w:right w:val="single" w:sz="4" w:space="0" w:color="000000"/>
            </w:tcBorders>
          </w:tcPr>
          <w:p w14:paraId="2858E1EC" w14:textId="77777777" w:rsidR="0048699F" w:rsidRPr="000E5786" w:rsidRDefault="0048699F" w:rsidP="00DD60F0">
            <w:pPr>
              <w:rPr>
                <w:rFonts w:ascii="Arial" w:hAnsi="Arial" w:cs="Arial"/>
                <w:sz w:val="20"/>
                <w:szCs w:val="20"/>
              </w:rPr>
            </w:pPr>
            <w:r w:rsidRPr="000E5786">
              <w:rPr>
                <w:rFonts w:ascii="Arial" w:eastAsia="Times New Roman" w:hAnsi="Arial" w:cs="Arial"/>
                <w:sz w:val="20"/>
                <w:szCs w:val="20"/>
              </w:rPr>
              <w:t>9.00am on the first Working</w:t>
            </w:r>
          </w:p>
          <w:p w14:paraId="74DFE07D" w14:textId="77777777" w:rsidR="0048699F" w:rsidRPr="000E5786" w:rsidRDefault="0048699F" w:rsidP="00DD60F0">
            <w:pPr>
              <w:rPr>
                <w:rFonts w:ascii="Arial" w:hAnsi="Arial" w:cs="Arial"/>
                <w:sz w:val="20"/>
                <w:szCs w:val="20"/>
              </w:rPr>
            </w:pPr>
            <w:r w:rsidRPr="000E5786">
              <w:rPr>
                <w:rFonts w:ascii="Arial" w:eastAsia="Times New Roman" w:hAnsi="Arial" w:cs="Arial"/>
                <w:sz w:val="20"/>
                <w:szCs w:val="20"/>
              </w:rPr>
              <w:t>Day after sending</w:t>
            </w:r>
          </w:p>
        </w:tc>
        <w:tc>
          <w:tcPr>
            <w:tcW w:w="3692" w:type="dxa"/>
            <w:tcBorders>
              <w:top w:val="single" w:sz="4" w:space="0" w:color="000000"/>
              <w:left w:val="single" w:sz="4" w:space="0" w:color="000000"/>
              <w:bottom w:val="single" w:sz="4" w:space="0" w:color="000000"/>
              <w:right w:val="single" w:sz="4" w:space="0" w:color="000000"/>
            </w:tcBorders>
          </w:tcPr>
          <w:p w14:paraId="4BB41FBC" w14:textId="77777777" w:rsidR="0048699F" w:rsidRPr="000E5786" w:rsidRDefault="0048699F" w:rsidP="00834C1A">
            <w:pPr>
              <w:ind w:left="0" w:right="67" w:firstLine="0"/>
              <w:rPr>
                <w:rFonts w:ascii="Arial" w:hAnsi="Arial" w:cs="Arial"/>
                <w:sz w:val="20"/>
                <w:szCs w:val="20"/>
              </w:rPr>
            </w:pPr>
            <w:r w:rsidRPr="000E5786">
              <w:rPr>
                <w:rFonts w:ascii="Arial" w:eastAsia="Times New Roman" w:hAnsi="Arial" w:cs="Arial"/>
                <w:sz w:val="20"/>
                <w:szCs w:val="20"/>
              </w:rPr>
              <w:t>Dispatched as a pdf attachment to an email to the correct email address without any error message.</w:t>
            </w:r>
          </w:p>
        </w:tc>
      </w:tr>
      <w:tr w:rsidR="0048699F" w:rsidRPr="000E5786" w14:paraId="7450DFF1" w14:textId="77777777" w:rsidTr="00A86BA0">
        <w:trPr>
          <w:trHeight w:val="1565"/>
        </w:trPr>
        <w:tc>
          <w:tcPr>
            <w:tcW w:w="2596" w:type="dxa"/>
            <w:tcBorders>
              <w:top w:val="single" w:sz="4" w:space="0" w:color="000000"/>
              <w:left w:val="single" w:sz="4" w:space="0" w:color="000000"/>
              <w:bottom w:val="single" w:sz="4" w:space="0" w:color="000000"/>
              <w:right w:val="single" w:sz="4" w:space="0" w:color="000000"/>
            </w:tcBorders>
          </w:tcPr>
          <w:p w14:paraId="1AEAA3E0" w14:textId="77777777" w:rsidR="0048699F" w:rsidRPr="000E5786" w:rsidRDefault="0048699F" w:rsidP="00DD60F0">
            <w:pPr>
              <w:rPr>
                <w:rFonts w:ascii="Arial" w:hAnsi="Arial" w:cs="Arial"/>
                <w:sz w:val="20"/>
                <w:szCs w:val="20"/>
              </w:rPr>
            </w:pPr>
            <w:r w:rsidRPr="000E5786">
              <w:rPr>
                <w:rFonts w:ascii="Arial" w:eastAsia="Times New Roman" w:hAnsi="Arial" w:cs="Arial"/>
                <w:sz w:val="20"/>
                <w:szCs w:val="20"/>
              </w:rPr>
              <w:t>Personal delivery</w:t>
            </w:r>
          </w:p>
        </w:tc>
        <w:tc>
          <w:tcPr>
            <w:tcW w:w="2772" w:type="dxa"/>
            <w:tcBorders>
              <w:top w:val="single" w:sz="4" w:space="0" w:color="000000"/>
              <w:left w:val="single" w:sz="4" w:space="0" w:color="000000"/>
              <w:bottom w:val="single" w:sz="4" w:space="0" w:color="000000"/>
              <w:right w:val="single" w:sz="4" w:space="0" w:color="000000"/>
            </w:tcBorders>
          </w:tcPr>
          <w:p w14:paraId="369D7C9A" w14:textId="4B4480C4" w:rsidR="0048699F" w:rsidRPr="000E5786" w:rsidRDefault="0048699F" w:rsidP="00834C1A">
            <w:pPr>
              <w:ind w:left="-20" w:right="66" w:firstLine="20"/>
              <w:rPr>
                <w:rFonts w:ascii="Arial" w:hAnsi="Arial" w:cs="Arial"/>
                <w:sz w:val="20"/>
                <w:szCs w:val="20"/>
              </w:rPr>
            </w:pPr>
            <w:r w:rsidRPr="000E5786">
              <w:rPr>
                <w:rFonts w:ascii="Arial" w:eastAsia="Times New Roman" w:hAnsi="Arial" w:cs="Arial"/>
                <w:sz w:val="20"/>
                <w:szCs w:val="20"/>
              </w:rPr>
              <w:t xml:space="preserve">On delivery, provided delivery is between </w:t>
            </w:r>
            <w:bookmarkStart w:id="1214" w:name="DocXTextRef538"/>
            <w:r w:rsidRPr="000E5786">
              <w:rPr>
                <w:rFonts w:ascii="Arial" w:eastAsia="Times New Roman" w:hAnsi="Arial" w:cs="Arial"/>
                <w:sz w:val="20"/>
                <w:szCs w:val="20"/>
              </w:rPr>
              <w:t>9.00</w:t>
            </w:r>
            <w:bookmarkEnd w:id="1214"/>
            <w:r w:rsidRPr="000E5786">
              <w:rPr>
                <w:rFonts w:ascii="Arial" w:eastAsia="Times New Roman" w:hAnsi="Arial" w:cs="Arial"/>
                <w:sz w:val="20"/>
                <w:szCs w:val="20"/>
              </w:rPr>
              <w:t xml:space="preserve">am and </w:t>
            </w:r>
            <w:bookmarkStart w:id="1215" w:name="DocXTextRef537"/>
            <w:r w:rsidRPr="000E5786">
              <w:rPr>
                <w:rFonts w:ascii="Arial" w:eastAsia="Times New Roman" w:hAnsi="Arial" w:cs="Arial"/>
                <w:sz w:val="20"/>
                <w:szCs w:val="20"/>
              </w:rPr>
              <w:t>5</w:t>
            </w:r>
            <w:bookmarkEnd w:id="1215"/>
            <w:r w:rsidRPr="000E5786">
              <w:rPr>
                <w:rFonts w:ascii="Arial" w:eastAsia="Times New Roman" w:hAnsi="Arial" w:cs="Arial"/>
                <w:sz w:val="20"/>
                <w:szCs w:val="20"/>
              </w:rPr>
              <w:t>.00pm on a Working Day.</w:t>
            </w:r>
            <w:r w:rsidR="000578A4" w:rsidRPr="000E5786">
              <w:rPr>
                <w:rFonts w:ascii="Arial" w:eastAsia="Times New Roman" w:hAnsi="Arial" w:cs="Arial"/>
                <w:sz w:val="20"/>
                <w:szCs w:val="20"/>
              </w:rPr>
              <w:t xml:space="preserve"> </w:t>
            </w:r>
            <w:r w:rsidRPr="000E5786">
              <w:rPr>
                <w:rFonts w:ascii="Arial" w:eastAsia="Times New Roman" w:hAnsi="Arial" w:cs="Arial"/>
                <w:sz w:val="20"/>
                <w:szCs w:val="20"/>
              </w:rPr>
              <w:t xml:space="preserve">Otherwise, delivery will occur at </w:t>
            </w:r>
            <w:bookmarkStart w:id="1216" w:name="DocXTextRef539"/>
            <w:r w:rsidRPr="000E5786">
              <w:rPr>
                <w:rFonts w:ascii="Arial" w:eastAsia="Times New Roman" w:hAnsi="Arial" w:cs="Arial"/>
                <w:sz w:val="20"/>
                <w:szCs w:val="20"/>
              </w:rPr>
              <w:t>9.00</w:t>
            </w:r>
            <w:bookmarkEnd w:id="1216"/>
            <w:r w:rsidRPr="000E5786">
              <w:rPr>
                <w:rFonts w:ascii="Arial" w:eastAsia="Times New Roman" w:hAnsi="Arial" w:cs="Arial"/>
                <w:sz w:val="20"/>
                <w:szCs w:val="20"/>
              </w:rPr>
              <w:t>am on the next Working Day.</w:t>
            </w:r>
          </w:p>
        </w:tc>
        <w:tc>
          <w:tcPr>
            <w:tcW w:w="3692" w:type="dxa"/>
            <w:tcBorders>
              <w:top w:val="single" w:sz="4" w:space="0" w:color="000000"/>
              <w:left w:val="single" w:sz="4" w:space="0" w:color="000000"/>
              <w:bottom w:val="single" w:sz="4" w:space="0" w:color="000000"/>
              <w:right w:val="single" w:sz="4" w:space="0" w:color="000000"/>
            </w:tcBorders>
          </w:tcPr>
          <w:p w14:paraId="52C1EA93" w14:textId="77777777" w:rsidR="0048699F" w:rsidRPr="000E5786" w:rsidRDefault="0048699F" w:rsidP="00834C1A">
            <w:pPr>
              <w:ind w:left="0" w:right="65" w:firstLine="0"/>
              <w:rPr>
                <w:rFonts w:ascii="Arial" w:hAnsi="Arial" w:cs="Arial"/>
                <w:sz w:val="20"/>
                <w:szCs w:val="20"/>
              </w:rPr>
            </w:pPr>
            <w:r w:rsidRPr="000E5786">
              <w:rPr>
                <w:rFonts w:ascii="Arial" w:eastAsia="Times New Roman" w:hAnsi="Arial" w:cs="Arial"/>
                <w:sz w:val="20"/>
                <w:szCs w:val="20"/>
              </w:rPr>
              <w:t>Properly addressed and delivered as evidenced by signature of a delivery receipt.</w:t>
            </w:r>
          </w:p>
        </w:tc>
      </w:tr>
      <w:tr w:rsidR="0048699F" w:rsidRPr="000E5786" w14:paraId="3A48FE00" w14:textId="77777777" w:rsidTr="00A86BA0">
        <w:trPr>
          <w:trHeight w:val="2655"/>
        </w:trPr>
        <w:tc>
          <w:tcPr>
            <w:tcW w:w="2596" w:type="dxa"/>
            <w:tcBorders>
              <w:top w:val="single" w:sz="4" w:space="0" w:color="000000"/>
              <w:left w:val="single" w:sz="4" w:space="0" w:color="000000"/>
              <w:bottom w:val="single" w:sz="4" w:space="0" w:color="000000"/>
              <w:right w:val="single" w:sz="4" w:space="0" w:color="000000"/>
            </w:tcBorders>
          </w:tcPr>
          <w:p w14:paraId="5DAC18E2" w14:textId="77777777" w:rsidR="0048699F" w:rsidRPr="000E5786" w:rsidRDefault="0048699F" w:rsidP="00834C1A">
            <w:pPr>
              <w:ind w:left="22" w:right="62" w:hanging="22"/>
              <w:rPr>
                <w:rFonts w:ascii="Arial" w:hAnsi="Arial" w:cs="Arial"/>
                <w:sz w:val="20"/>
                <w:szCs w:val="20"/>
              </w:rPr>
            </w:pPr>
            <w:r w:rsidRPr="000E5786">
              <w:rPr>
                <w:rFonts w:ascii="Arial" w:eastAsia="Times New Roman" w:hAnsi="Arial" w:cs="Arial"/>
                <w:sz w:val="20"/>
                <w:szCs w:val="20"/>
              </w:rPr>
              <w:t>Prepaid, Royal Mail Signed for 1</w:t>
            </w:r>
            <w:r w:rsidRPr="000E5786">
              <w:rPr>
                <w:rFonts w:ascii="Arial" w:eastAsia="Times New Roman" w:hAnsi="Arial" w:cs="Arial"/>
                <w:sz w:val="20"/>
                <w:szCs w:val="20"/>
                <w:vertAlign w:val="superscript"/>
              </w:rPr>
              <w:t>st</w:t>
            </w:r>
            <w:r w:rsidRPr="000E5786">
              <w:rPr>
                <w:rFonts w:ascii="Arial" w:eastAsia="Times New Roman" w:hAnsi="Arial" w:cs="Arial"/>
                <w:sz w:val="20"/>
                <w:szCs w:val="20"/>
              </w:rPr>
              <w:t xml:space="preserve"> Class or other prepaid, next working day service providing proof of delivery.</w:t>
            </w:r>
          </w:p>
        </w:tc>
        <w:tc>
          <w:tcPr>
            <w:tcW w:w="2772" w:type="dxa"/>
            <w:tcBorders>
              <w:top w:val="single" w:sz="4" w:space="0" w:color="000000"/>
              <w:left w:val="single" w:sz="4" w:space="0" w:color="000000"/>
              <w:bottom w:val="single" w:sz="4" w:space="0" w:color="000000"/>
              <w:right w:val="single" w:sz="4" w:space="0" w:color="000000"/>
            </w:tcBorders>
          </w:tcPr>
          <w:p w14:paraId="2E438B84" w14:textId="69268C89" w:rsidR="0048699F" w:rsidRPr="000E5786" w:rsidRDefault="0048699F" w:rsidP="00834C1A">
            <w:pPr>
              <w:ind w:left="0" w:right="64" w:firstLine="0"/>
              <w:rPr>
                <w:rFonts w:ascii="Arial" w:hAnsi="Arial" w:cs="Arial"/>
                <w:sz w:val="20"/>
                <w:szCs w:val="20"/>
              </w:rPr>
            </w:pPr>
            <w:r w:rsidRPr="000E5786">
              <w:rPr>
                <w:rFonts w:ascii="Arial" w:eastAsia="Times New Roman" w:hAnsi="Arial" w:cs="Arial"/>
                <w:sz w:val="20"/>
                <w:szCs w:val="20"/>
              </w:rPr>
              <w:t xml:space="preserve">At the time recorded by the delivery service, </w:t>
            </w:r>
            <w:proofErr w:type="gramStart"/>
            <w:r w:rsidRPr="000E5786">
              <w:rPr>
                <w:rFonts w:ascii="Arial" w:eastAsia="Times New Roman" w:hAnsi="Arial" w:cs="Arial"/>
                <w:sz w:val="20"/>
                <w:szCs w:val="20"/>
              </w:rPr>
              <w:t>provided that</w:t>
            </w:r>
            <w:proofErr w:type="gramEnd"/>
            <w:r w:rsidRPr="000E5786">
              <w:rPr>
                <w:rFonts w:ascii="Arial" w:eastAsia="Times New Roman" w:hAnsi="Arial" w:cs="Arial"/>
                <w:sz w:val="20"/>
                <w:szCs w:val="20"/>
              </w:rPr>
              <w:t xml:space="preserve"> delivery is between </w:t>
            </w:r>
            <w:bookmarkStart w:id="1217" w:name="DocXTextRef541"/>
            <w:r w:rsidRPr="000E5786">
              <w:rPr>
                <w:rFonts w:ascii="Arial" w:eastAsia="Times New Roman" w:hAnsi="Arial" w:cs="Arial"/>
                <w:sz w:val="20"/>
                <w:szCs w:val="20"/>
              </w:rPr>
              <w:t>9.00</w:t>
            </w:r>
            <w:bookmarkEnd w:id="1217"/>
            <w:r w:rsidRPr="000E5786">
              <w:rPr>
                <w:rFonts w:ascii="Arial" w:eastAsia="Times New Roman" w:hAnsi="Arial" w:cs="Arial"/>
                <w:sz w:val="20"/>
                <w:szCs w:val="20"/>
              </w:rPr>
              <w:t xml:space="preserve">am and </w:t>
            </w:r>
            <w:bookmarkStart w:id="1218" w:name="DocXTextRef540"/>
            <w:r w:rsidRPr="000E5786">
              <w:rPr>
                <w:rFonts w:ascii="Arial" w:eastAsia="Times New Roman" w:hAnsi="Arial" w:cs="Arial"/>
                <w:sz w:val="20"/>
                <w:szCs w:val="20"/>
              </w:rPr>
              <w:t>5</w:t>
            </w:r>
            <w:bookmarkEnd w:id="1218"/>
            <w:r w:rsidRPr="000E5786">
              <w:rPr>
                <w:rFonts w:ascii="Arial" w:eastAsia="Times New Roman" w:hAnsi="Arial" w:cs="Arial"/>
                <w:sz w:val="20"/>
                <w:szCs w:val="20"/>
              </w:rPr>
              <w:t>.00pm on a Working Day.</w:t>
            </w:r>
            <w:r w:rsidR="000578A4" w:rsidRPr="000E5786">
              <w:rPr>
                <w:rFonts w:ascii="Arial" w:eastAsia="Times New Roman" w:hAnsi="Arial" w:cs="Arial"/>
                <w:sz w:val="20"/>
                <w:szCs w:val="20"/>
              </w:rPr>
              <w:t xml:space="preserve"> </w:t>
            </w:r>
            <w:r w:rsidRPr="000E5786">
              <w:rPr>
                <w:rFonts w:ascii="Arial" w:eastAsia="Times New Roman" w:hAnsi="Arial" w:cs="Arial"/>
                <w:sz w:val="20"/>
                <w:szCs w:val="20"/>
              </w:rPr>
              <w:t xml:space="preserve">Otherwise, delivery will occur at </w:t>
            </w:r>
            <w:bookmarkStart w:id="1219" w:name="DocXTextRef542"/>
            <w:r w:rsidRPr="000E5786">
              <w:rPr>
                <w:rFonts w:ascii="Arial" w:eastAsia="Times New Roman" w:hAnsi="Arial" w:cs="Arial"/>
                <w:sz w:val="20"/>
                <w:szCs w:val="20"/>
              </w:rPr>
              <w:t>9.00</w:t>
            </w:r>
            <w:bookmarkEnd w:id="1219"/>
            <w:r w:rsidRPr="000E5786">
              <w:rPr>
                <w:rFonts w:ascii="Arial" w:eastAsia="Times New Roman" w:hAnsi="Arial" w:cs="Arial"/>
                <w:sz w:val="20"/>
                <w:szCs w:val="20"/>
              </w:rPr>
              <w:t xml:space="preserve">am on the </w:t>
            </w:r>
            <w:proofErr w:type="gramStart"/>
            <w:r w:rsidRPr="000E5786">
              <w:rPr>
                <w:rFonts w:ascii="Arial" w:eastAsia="Times New Roman" w:hAnsi="Arial" w:cs="Arial"/>
                <w:sz w:val="20"/>
                <w:szCs w:val="20"/>
              </w:rPr>
              <w:t>same</w:t>
            </w:r>
            <w:proofErr w:type="gramEnd"/>
          </w:p>
          <w:p w14:paraId="704C12A1" w14:textId="77777777" w:rsidR="0048699F" w:rsidRPr="000E5786" w:rsidRDefault="0048699F" w:rsidP="00834C1A">
            <w:pPr>
              <w:ind w:left="-20" w:right="65" w:firstLine="20"/>
              <w:rPr>
                <w:rFonts w:ascii="Arial" w:hAnsi="Arial" w:cs="Arial"/>
                <w:sz w:val="20"/>
                <w:szCs w:val="20"/>
              </w:rPr>
            </w:pPr>
            <w:r w:rsidRPr="000E5786">
              <w:rPr>
                <w:rFonts w:ascii="Arial" w:eastAsia="Times New Roman" w:hAnsi="Arial" w:cs="Arial"/>
                <w:sz w:val="20"/>
                <w:szCs w:val="20"/>
              </w:rPr>
              <w:t xml:space="preserve">Working Day (if delivery before </w:t>
            </w:r>
            <w:bookmarkStart w:id="1220" w:name="DocXTextRef543"/>
            <w:r w:rsidRPr="000E5786">
              <w:rPr>
                <w:rFonts w:ascii="Arial" w:eastAsia="Times New Roman" w:hAnsi="Arial" w:cs="Arial"/>
                <w:sz w:val="20"/>
                <w:szCs w:val="20"/>
              </w:rPr>
              <w:t>9.00</w:t>
            </w:r>
            <w:bookmarkEnd w:id="1220"/>
            <w:r w:rsidRPr="000E5786">
              <w:rPr>
                <w:rFonts w:ascii="Arial" w:eastAsia="Times New Roman" w:hAnsi="Arial" w:cs="Arial"/>
                <w:sz w:val="20"/>
                <w:szCs w:val="20"/>
              </w:rPr>
              <w:t xml:space="preserve">am) or on the next Working Day (if after </w:t>
            </w:r>
            <w:bookmarkStart w:id="1221" w:name="DocXTextRef544"/>
            <w:r w:rsidRPr="000E5786">
              <w:rPr>
                <w:rFonts w:ascii="Arial" w:eastAsia="Times New Roman" w:hAnsi="Arial" w:cs="Arial"/>
                <w:sz w:val="20"/>
                <w:szCs w:val="20"/>
              </w:rPr>
              <w:t>5.00</w:t>
            </w:r>
            <w:bookmarkEnd w:id="1221"/>
            <w:r w:rsidRPr="000E5786">
              <w:rPr>
                <w:rFonts w:ascii="Arial" w:eastAsia="Times New Roman" w:hAnsi="Arial" w:cs="Arial"/>
                <w:sz w:val="20"/>
                <w:szCs w:val="20"/>
              </w:rPr>
              <w:t>pm).</w:t>
            </w:r>
          </w:p>
        </w:tc>
        <w:tc>
          <w:tcPr>
            <w:tcW w:w="3692" w:type="dxa"/>
            <w:tcBorders>
              <w:top w:val="single" w:sz="4" w:space="0" w:color="000000"/>
              <w:left w:val="single" w:sz="4" w:space="0" w:color="000000"/>
              <w:bottom w:val="single" w:sz="4" w:space="0" w:color="000000"/>
              <w:right w:val="single" w:sz="4" w:space="0" w:color="000000"/>
            </w:tcBorders>
          </w:tcPr>
          <w:p w14:paraId="317395DD" w14:textId="77777777" w:rsidR="0048699F" w:rsidRPr="000E5786" w:rsidRDefault="0048699F" w:rsidP="00834C1A">
            <w:pPr>
              <w:ind w:left="0" w:right="65" w:firstLine="0"/>
              <w:rPr>
                <w:rFonts w:ascii="Arial" w:hAnsi="Arial" w:cs="Arial"/>
                <w:sz w:val="20"/>
                <w:szCs w:val="20"/>
              </w:rPr>
            </w:pPr>
            <w:r w:rsidRPr="000E5786">
              <w:rPr>
                <w:rFonts w:ascii="Arial" w:eastAsia="Times New Roman" w:hAnsi="Arial" w:cs="Arial"/>
                <w:sz w:val="20"/>
                <w:szCs w:val="20"/>
              </w:rPr>
              <w:t>Properly addressed prepaid and delivered as evidenced by signature of a delivery receipt.</w:t>
            </w:r>
          </w:p>
        </w:tc>
      </w:tr>
    </w:tbl>
    <w:p w14:paraId="1D45211E" w14:textId="77777777" w:rsidR="0048699F" w:rsidRPr="000E5786" w:rsidRDefault="0048699F" w:rsidP="00DD60F0">
      <w:pPr>
        <w:rPr>
          <w:rFonts w:cs="Arial"/>
          <w:szCs w:val="20"/>
        </w:rPr>
      </w:pPr>
    </w:p>
    <w:p w14:paraId="00142A95" w14:textId="178E032D" w:rsidR="0048699F" w:rsidRPr="000E5786" w:rsidRDefault="0048699F" w:rsidP="00DD60F0">
      <w:pPr>
        <w:pStyle w:val="Heading2"/>
        <w:spacing w:after="120"/>
        <w:rPr>
          <w:rFonts w:cs="Arial"/>
          <w:szCs w:val="20"/>
        </w:rPr>
      </w:pPr>
      <w:bookmarkStart w:id="1222" w:name="_Ref53585674"/>
      <w:r w:rsidRPr="000E5786">
        <w:rPr>
          <w:rFonts w:cs="Arial"/>
          <w:szCs w:val="20"/>
        </w:rPr>
        <w:t>Notices shall be sent to the addresses set out below or at such other address as the relevant Party may give notice to the other Party for the purpose of service of notices under this Agreement:</w:t>
      </w:r>
      <w:bookmarkEnd w:id="1222"/>
    </w:p>
    <w:tbl>
      <w:tblPr>
        <w:tblStyle w:val="TableGrid"/>
        <w:tblW w:w="9065" w:type="dxa"/>
        <w:tblInd w:w="1" w:type="dxa"/>
        <w:tblCellMar>
          <w:top w:w="46" w:type="dxa"/>
          <w:left w:w="107" w:type="dxa"/>
          <w:right w:w="47" w:type="dxa"/>
        </w:tblCellMar>
        <w:tblLook w:val="04A0" w:firstRow="1" w:lastRow="0" w:firstColumn="1" w:lastColumn="0" w:noHBand="0" w:noVBand="1"/>
      </w:tblPr>
      <w:tblGrid>
        <w:gridCol w:w="2126"/>
        <w:gridCol w:w="4065"/>
        <w:gridCol w:w="2874"/>
      </w:tblGrid>
      <w:tr w:rsidR="0048699F" w:rsidRPr="000E5786" w14:paraId="45B3ED12" w14:textId="77777777" w:rsidTr="00843E59">
        <w:trPr>
          <w:trHeight w:val="468"/>
        </w:trPr>
        <w:tc>
          <w:tcPr>
            <w:tcW w:w="2126" w:type="dxa"/>
            <w:tcBorders>
              <w:top w:val="nil"/>
              <w:left w:val="nil"/>
              <w:bottom w:val="single" w:sz="4" w:space="0" w:color="000000"/>
              <w:right w:val="single" w:sz="4" w:space="0" w:color="000000"/>
            </w:tcBorders>
          </w:tcPr>
          <w:p w14:paraId="20B24FD3" w14:textId="77777777" w:rsidR="0048699F" w:rsidRPr="000E5786" w:rsidRDefault="0048699F" w:rsidP="00DD60F0">
            <w:pPr>
              <w:rPr>
                <w:rFonts w:ascii="Arial" w:hAnsi="Arial" w:cs="Arial"/>
                <w:sz w:val="20"/>
                <w:szCs w:val="20"/>
              </w:rPr>
            </w:pPr>
          </w:p>
        </w:tc>
        <w:tc>
          <w:tcPr>
            <w:tcW w:w="4065" w:type="dxa"/>
            <w:tcBorders>
              <w:top w:val="single" w:sz="4" w:space="0" w:color="000000"/>
              <w:left w:val="single" w:sz="4" w:space="0" w:color="000000"/>
              <w:bottom w:val="single" w:sz="4" w:space="0" w:color="000000"/>
              <w:right w:val="single" w:sz="4" w:space="0" w:color="000000"/>
            </w:tcBorders>
            <w:shd w:val="clear" w:color="auto" w:fill="D9D9D9"/>
          </w:tcPr>
          <w:p w14:paraId="73AD263F" w14:textId="77777777" w:rsidR="0048699F" w:rsidRPr="000E5786" w:rsidRDefault="0048699F" w:rsidP="00834C1A">
            <w:pPr>
              <w:ind w:left="1" w:hanging="1"/>
              <w:rPr>
                <w:rFonts w:ascii="Arial" w:hAnsi="Arial" w:cs="Arial"/>
                <w:sz w:val="20"/>
                <w:szCs w:val="20"/>
              </w:rPr>
            </w:pPr>
            <w:r w:rsidRPr="000E5786">
              <w:rPr>
                <w:rFonts w:ascii="Arial" w:eastAsia="Times New Roman" w:hAnsi="Arial" w:cs="Arial"/>
                <w:b/>
                <w:sz w:val="20"/>
                <w:szCs w:val="20"/>
              </w:rPr>
              <w:t>Supplier</w:t>
            </w:r>
          </w:p>
        </w:tc>
        <w:tc>
          <w:tcPr>
            <w:tcW w:w="2874" w:type="dxa"/>
            <w:tcBorders>
              <w:top w:val="single" w:sz="4" w:space="0" w:color="000000"/>
              <w:left w:val="single" w:sz="4" w:space="0" w:color="000000"/>
              <w:bottom w:val="single" w:sz="4" w:space="0" w:color="000000"/>
              <w:right w:val="single" w:sz="4" w:space="0" w:color="000000"/>
            </w:tcBorders>
            <w:shd w:val="clear" w:color="auto" w:fill="D9D9D9"/>
          </w:tcPr>
          <w:p w14:paraId="54A12922" w14:textId="63539C9E" w:rsidR="0048699F" w:rsidRPr="000E5786" w:rsidRDefault="001F1C19" w:rsidP="00834C1A">
            <w:pPr>
              <w:ind w:left="1" w:hanging="1"/>
              <w:rPr>
                <w:rFonts w:ascii="Arial" w:hAnsi="Arial" w:cs="Arial"/>
                <w:sz w:val="20"/>
                <w:szCs w:val="20"/>
              </w:rPr>
            </w:pPr>
            <w:proofErr w:type="spellStart"/>
            <w:r>
              <w:rPr>
                <w:rFonts w:ascii="Arial" w:eastAsia="Times New Roman" w:hAnsi="Arial" w:cs="Arial"/>
                <w:b/>
                <w:sz w:val="20"/>
                <w:szCs w:val="20"/>
              </w:rPr>
              <w:t>Netlink</w:t>
            </w:r>
            <w:proofErr w:type="spellEnd"/>
            <w:r>
              <w:rPr>
                <w:rFonts w:ascii="Arial" w:eastAsia="Times New Roman" w:hAnsi="Arial" w:cs="Arial"/>
                <w:b/>
                <w:sz w:val="20"/>
                <w:szCs w:val="20"/>
              </w:rPr>
              <w:t xml:space="preserve"> Star</w:t>
            </w:r>
          </w:p>
        </w:tc>
      </w:tr>
      <w:tr w:rsidR="0048699F" w:rsidRPr="000E5786" w14:paraId="207A30F9" w14:textId="77777777" w:rsidTr="00843E59">
        <w:trPr>
          <w:trHeight w:val="666"/>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229A9EB6" w14:textId="77777777" w:rsidR="0048699F" w:rsidRPr="000E5786" w:rsidRDefault="0048699F" w:rsidP="00DD60F0">
            <w:pPr>
              <w:rPr>
                <w:rFonts w:ascii="Arial" w:hAnsi="Arial" w:cs="Arial"/>
                <w:sz w:val="20"/>
                <w:szCs w:val="20"/>
              </w:rPr>
            </w:pPr>
            <w:r w:rsidRPr="000E5786">
              <w:rPr>
                <w:rFonts w:ascii="Arial" w:eastAsia="Times New Roman" w:hAnsi="Arial" w:cs="Arial"/>
                <w:b/>
                <w:sz w:val="20"/>
                <w:szCs w:val="20"/>
              </w:rPr>
              <w:t>Contact</w:t>
            </w:r>
          </w:p>
        </w:tc>
        <w:tc>
          <w:tcPr>
            <w:tcW w:w="4065" w:type="dxa"/>
            <w:tcBorders>
              <w:top w:val="single" w:sz="4" w:space="0" w:color="000000"/>
              <w:left w:val="single" w:sz="4" w:space="0" w:color="000000"/>
              <w:bottom w:val="single" w:sz="4" w:space="0" w:color="000000"/>
              <w:right w:val="single" w:sz="4" w:space="0" w:color="000000"/>
            </w:tcBorders>
          </w:tcPr>
          <w:p w14:paraId="1F3D32C4" w14:textId="32721422" w:rsidR="0048699F" w:rsidRPr="000E5786" w:rsidRDefault="00843E59" w:rsidP="00843E59">
            <w:pPr>
              <w:ind w:left="1" w:hanging="1"/>
              <w:rPr>
                <w:rFonts w:ascii="Arial" w:hAnsi="Arial" w:cs="Arial"/>
                <w:sz w:val="20"/>
                <w:szCs w:val="20"/>
              </w:rPr>
            </w:pPr>
            <w:r w:rsidRPr="00843E59">
              <w:rPr>
                <w:rFonts w:ascii="Arial" w:hAnsi="Arial" w:cs="Arial"/>
                <w:sz w:val="20"/>
                <w:szCs w:val="20"/>
              </w:rPr>
              <w:t>Company Secretary</w:t>
            </w:r>
          </w:p>
        </w:tc>
        <w:tc>
          <w:tcPr>
            <w:tcW w:w="2874" w:type="dxa"/>
            <w:tcBorders>
              <w:top w:val="single" w:sz="4" w:space="0" w:color="000000"/>
              <w:left w:val="single" w:sz="4" w:space="0" w:color="000000"/>
              <w:bottom w:val="single" w:sz="4" w:space="0" w:color="000000"/>
              <w:right w:val="single" w:sz="4" w:space="0" w:color="000000"/>
            </w:tcBorders>
          </w:tcPr>
          <w:p w14:paraId="09D15C74" w14:textId="77777777" w:rsidR="0048699F" w:rsidRPr="000E5786" w:rsidRDefault="0048699F" w:rsidP="00834C1A">
            <w:pPr>
              <w:ind w:left="1" w:hanging="1"/>
              <w:rPr>
                <w:rFonts w:ascii="Arial" w:hAnsi="Arial" w:cs="Arial"/>
                <w:sz w:val="20"/>
                <w:szCs w:val="20"/>
              </w:rPr>
            </w:pPr>
            <w:r w:rsidRPr="000E5786">
              <w:rPr>
                <w:rFonts w:ascii="Arial" w:eastAsia="Times New Roman" w:hAnsi="Arial" w:cs="Arial"/>
                <w:sz w:val="20"/>
                <w:szCs w:val="20"/>
              </w:rPr>
              <w:t>Company Secretary</w:t>
            </w:r>
          </w:p>
          <w:p w14:paraId="3FD47A0D" w14:textId="19AC581B" w:rsidR="0048699F" w:rsidRPr="000E5786" w:rsidRDefault="001F1C19" w:rsidP="00834C1A">
            <w:pPr>
              <w:ind w:left="1" w:hanging="1"/>
              <w:rPr>
                <w:rFonts w:ascii="Arial" w:hAnsi="Arial" w:cs="Arial"/>
                <w:sz w:val="20"/>
                <w:szCs w:val="20"/>
              </w:rPr>
            </w:pPr>
            <w:proofErr w:type="spellStart"/>
            <w:r>
              <w:rPr>
                <w:rFonts w:ascii="Arial" w:eastAsia="Times New Roman" w:hAnsi="Arial" w:cs="Arial"/>
                <w:sz w:val="20"/>
                <w:szCs w:val="20"/>
              </w:rPr>
              <w:t>Netlink</w:t>
            </w:r>
            <w:proofErr w:type="spellEnd"/>
            <w:r>
              <w:rPr>
                <w:rFonts w:ascii="Arial" w:eastAsia="Times New Roman" w:hAnsi="Arial" w:cs="Arial"/>
                <w:sz w:val="20"/>
                <w:szCs w:val="20"/>
              </w:rPr>
              <w:t xml:space="preserve"> Star</w:t>
            </w:r>
            <w:r w:rsidR="0048699F" w:rsidRPr="000E5786">
              <w:rPr>
                <w:rFonts w:ascii="Arial" w:eastAsia="Times New Roman" w:hAnsi="Arial" w:cs="Arial"/>
                <w:sz w:val="20"/>
                <w:szCs w:val="20"/>
              </w:rPr>
              <w:t xml:space="preserve"> Infrastructure</w:t>
            </w:r>
          </w:p>
          <w:p w14:paraId="555B0922" w14:textId="77777777" w:rsidR="0048699F" w:rsidRPr="000E5786" w:rsidRDefault="0048699F" w:rsidP="00834C1A">
            <w:pPr>
              <w:ind w:left="1" w:hanging="1"/>
              <w:rPr>
                <w:rFonts w:ascii="Arial" w:hAnsi="Arial" w:cs="Arial"/>
                <w:sz w:val="20"/>
                <w:szCs w:val="20"/>
              </w:rPr>
            </w:pPr>
            <w:r w:rsidRPr="000E5786">
              <w:rPr>
                <w:rFonts w:ascii="Arial" w:eastAsia="Times New Roman" w:hAnsi="Arial" w:cs="Arial"/>
                <w:sz w:val="20"/>
                <w:szCs w:val="20"/>
              </w:rPr>
              <w:t>Limited</w:t>
            </w:r>
          </w:p>
        </w:tc>
      </w:tr>
      <w:tr w:rsidR="0048699F" w:rsidRPr="000E5786" w14:paraId="39042864" w14:textId="77777777" w:rsidTr="00843E59">
        <w:trPr>
          <w:trHeight w:val="668"/>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0AB58F36" w14:textId="77777777" w:rsidR="0048699F" w:rsidRPr="000E5786" w:rsidRDefault="0048699F" w:rsidP="00DD60F0">
            <w:pPr>
              <w:rPr>
                <w:rFonts w:ascii="Arial" w:hAnsi="Arial" w:cs="Arial"/>
                <w:sz w:val="20"/>
                <w:szCs w:val="20"/>
              </w:rPr>
            </w:pPr>
            <w:r w:rsidRPr="000E5786">
              <w:rPr>
                <w:rFonts w:ascii="Arial" w:eastAsia="Times New Roman" w:hAnsi="Arial" w:cs="Arial"/>
                <w:b/>
                <w:sz w:val="20"/>
                <w:szCs w:val="20"/>
              </w:rPr>
              <w:t>Address</w:t>
            </w:r>
          </w:p>
        </w:tc>
        <w:tc>
          <w:tcPr>
            <w:tcW w:w="4065" w:type="dxa"/>
            <w:tcBorders>
              <w:top w:val="single" w:sz="4" w:space="0" w:color="000000"/>
              <w:left w:val="single" w:sz="4" w:space="0" w:color="000000"/>
              <w:bottom w:val="single" w:sz="4" w:space="0" w:color="000000"/>
              <w:right w:val="single" w:sz="4" w:space="0" w:color="000000"/>
            </w:tcBorders>
          </w:tcPr>
          <w:p w14:paraId="40CA4126" w14:textId="6C070FDD" w:rsidR="0048699F" w:rsidRPr="000E5786" w:rsidRDefault="00843E59" w:rsidP="00843E59">
            <w:pPr>
              <w:ind w:left="1" w:right="159" w:hanging="1"/>
              <w:rPr>
                <w:rFonts w:ascii="Arial" w:hAnsi="Arial" w:cs="Arial"/>
                <w:sz w:val="20"/>
                <w:szCs w:val="20"/>
              </w:rPr>
            </w:pPr>
            <w:r w:rsidRPr="00843E59">
              <w:rPr>
                <w:rFonts w:ascii="Arial" w:hAnsi="Arial" w:cs="Arial"/>
                <w:sz w:val="20"/>
                <w:szCs w:val="20"/>
              </w:rPr>
              <w:t xml:space="preserve">1 </w:t>
            </w:r>
            <w:proofErr w:type="spellStart"/>
            <w:r w:rsidR="00BA32BB">
              <w:rPr>
                <w:rFonts w:ascii="Arial" w:hAnsi="Arial" w:cs="Arial"/>
                <w:sz w:val="20"/>
                <w:szCs w:val="20"/>
              </w:rPr>
              <w:t>Blotten</w:t>
            </w:r>
            <w:proofErr w:type="spellEnd"/>
            <w:r w:rsidR="00BA32BB">
              <w:rPr>
                <w:rFonts w:ascii="Arial" w:hAnsi="Arial" w:cs="Arial"/>
                <w:sz w:val="20"/>
                <w:szCs w:val="20"/>
              </w:rPr>
              <w:t xml:space="preserve"> Vu</w:t>
            </w:r>
            <w:r w:rsidRPr="00843E59">
              <w:rPr>
                <w:rFonts w:ascii="Arial" w:hAnsi="Arial" w:cs="Arial"/>
                <w:sz w:val="20"/>
                <w:szCs w:val="20"/>
              </w:rPr>
              <w:t xml:space="preserve">, Woking, Surrey, </w:t>
            </w:r>
            <w:r w:rsidR="00BA32BB">
              <w:rPr>
                <w:rFonts w:ascii="Arial" w:hAnsi="Arial" w:cs="Arial"/>
                <w:sz w:val="20"/>
                <w:szCs w:val="20"/>
              </w:rPr>
              <w:t>KR98</w:t>
            </w:r>
            <w:r w:rsidRPr="00843E59">
              <w:rPr>
                <w:rFonts w:ascii="Arial" w:hAnsi="Arial" w:cs="Arial"/>
                <w:sz w:val="20"/>
                <w:szCs w:val="20"/>
              </w:rPr>
              <w:t xml:space="preserve"> 6DB</w:t>
            </w:r>
          </w:p>
        </w:tc>
        <w:tc>
          <w:tcPr>
            <w:tcW w:w="2874" w:type="dxa"/>
            <w:tcBorders>
              <w:top w:val="single" w:sz="4" w:space="0" w:color="000000"/>
              <w:left w:val="single" w:sz="4" w:space="0" w:color="000000"/>
              <w:bottom w:val="single" w:sz="4" w:space="0" w:color="000000"/>
              <w:right w:val="single" w:sz="4" w:space="0" w:color="000000"/>
            </w:tcBorders>
          </w:tcPr>
          <w:p w14:paraId="2A323801" w14:textId="6E9DFEBA" w:rsidR="0048699F" w:rsidRPr="000E5786" w:rsidRDefault="0048699F" w:rsidP="00834C1A">
            <w:pPr>
              <w:ind w:left="1" w:hanging="1"/>
              <w:rPr>
                <w:rFonts w:ascii="Arial" w:hAnsi="Arial" w:cs="Arial"/>
                <w:sz w:val="20"/>
                <w:szCs w:val="20"/>
              </w:rPr>
            </w:pPr>
            <w:r w:rsidRPr="000E5786">
              <w:rPr>
                <w:rFonts w:ascii="Arial" w:eastAsia="Times New Roman" w:hAnsi="Arial" w:cs="Arial"/>
                <w:sz w:val="20"/>
                <w:szCs w:val="20"/>
              </w:rPr>
              <w:t xml:space="preserve">1 </w:t>
            </w:r>
            <w:r w:rsidR="00BA32BB">
              <w:rPr>
                <w:rFonts w:ascii="Arial" w:eastAsia="Times New Roman" w:hAnsi="Arial" w:cs="Arial"/>
                <w:sz w:val="20"/>
                <w:szCs w:val="20"/>
              </w:rPr>
              <w:t>Elysian</w:t>
            </w:r>
            <w:r w:rsidRPr="000E5786">
              <w:rPr>
                <w:rFonts w:ascii="Arial" w:eastAsia="Times New Roman" w:hAnsi="Arial" w:cs="Arial"/>
                <w:sz w:val="20"/>
                <w:szCs w:val="20"/>
              </w:rPr>
              <w:t xml:space="preserve"> Street</w:t>
            </w:r>
          </w:p>
          <w:p w14:paraId="639B5919" w14:textId="77777777" w:rsidR="0048699F" w:rsidRPr="000E5786" w:rsidRDefault="0048699F" w:rsidP="00834C1A">
            <w:pPr>
              <w:ind w:left="1" w:hanging="1"/>
              <w:rPr>
                <w:rFonts w:ascii="Arial" w:hAnsi="Arial" w:cs="Arial"/>
                <w:sz w:val="20"/>
                <w:szCs w:val="20"/>
              </w:rPr>
            </w:pPr>
            <w:r w:rsidRPr="000E5786">
              <w:rPr>
                <w:rFonts w:ascii="Arial" w:eastAsia="Times New Roman" w:hAnsi="Arial" w:cs="Arial"/>
                <w:sz w:val="20"/>
                <w:szCs w:val="20"/>
              </w:rPr>
              <w:t>London</w:t>
            </w:r>
          </w:p>
          <w:p w14:paraId="59B61302" w14:textId="4D578B47" w:rsidR="0048699F" w:rsidRPr="000E5786" w:rsidRDefault="00BA32BB" w:rsidP="00834C1A">
            <w:pPr>
              <w:ind w:left="1" w:hanging="1"/>
              <w:rPr>
                <w:rFonts w:ascii="Arial" w:hAnsi="Arial" w:cs="Arial"/>
                <w:sz w:val="20"/>
                <w:szCs w:val="20"/>
              </w:rPr>
            </w:pPr>
            <w:r>
              <w:rPr>
                <w:rFonts w:ascii="Arial" w:eastAsia="Times New Roman" w:hAnsi="Arial" w:cs="Arial"/>
                <w:sz w:val="20"/>
                <w:szCs w:val="20"/>
              </w:rPr>
              <w:t>EE7</w:t>
            </w:r>
            <w:r w:rsidR="0048699F" w:rsidRPr="000E5786">
              <w:rPr>
                <w:rFonts w:ascii="Arial" w:eastAsia="Times New Roman" w:hAnsi="Arial" w:cs="Arial"/>
                <w:sz w:val="20"/>
                <w:szCs w:val="20"/>
              </w:rPr>
              <w:t xml:space="preserve"> 2DN</w:t>
            </w:r>
          </w:p>
        </w:tc>
      </w:tr>
      <w:tr w:rsidR="0048699F" w:rsidRPr="000E5786" w14:paraId="56E8FAA3" w14:textId="77777777" w:rsidTr="00843E59">
        <w:trPr>
          <w:trHeight w:val="467"/>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6F8E570C" w14:textId="77777777" w:rsidR="0048699F" w:rsidRPr="000E5786" w:rsidRDefault="0048699F" w:rsidP="00DD60F0">
            <w:pPr>
              <w:rPr>
                <w:rFonts w:ascii="Arial" w:hAnsi="Arial" w:cs="Arial"/>
                <w:sz w:val="20"/>
                <w:szCs w:val="20"/>
              </w:rPr>
            </w:pPr>
            <w:r w:rsidRPr="000E5786">
              <w:rPr>
                <w:rFonts w:ascii="Arial" w:eastAsia="Times New Roman" w:hAnsi="Arial" w:cs="Arial"/>
                <w:b/>
                <w:sz w:val="20"/>
                <w:szCs w:val="20"/>
              </w:rPr>
              <w:t>Email</w:t>
            </w:r>
          </w:p>
        </w:tc>
        <w:tc>
          <w:tcPr>
            <w:tcW w:w="4065" w:type="dxa"/>
            <w:tcBorders>
              <w:top w:val="single" w:sz="4" w:space="0" w:color="000000"/>
              <w:left w:val="single" w:sz="4" w:space="0" w:color="000000"/>
              <w:bottom w:val="single" w:sz="4" w:space="0" w:color="000000"/>
              <w:right w:val="single" w:sz="4" w:space="0" w:color="000000"/>
            </w:tcBorders>
          </w:tcPr>
          <w:p w14:paraId="42AE5594" w14:textId="076909A6" w:rsidR="0048699F" w:rsidRPr="00843E59" w:rsidRDefault="00000000" w:rsidP="00843E59">
            <w:pPr>
              <w:ind w:left="1" w:right="159" w:hanging="1"/>
              <w:rPr>
                <w:rFonts w:ascii="Arial" w:eastAsia="Times New Roman" w:hAnsi="Arial" w:cs="Arial"/>
                <w:sz w:val="20"/>
                <w:szCs w:val="20"/>
                <w:u w:val="single" w:color="000000"/>
              </w:rPr>
            </w:pPr>
            <w:hyperlink r:id="rId14" w:history="1">
              <w:r w:rsidR="00843E59" w:rsidRPr="00843E59">
                <w:rPr>
                  <w:rFonts w:ascii="Arial" w:eastAsia="Times New Roman" w:hAnsi="Arial"/>
                  <w:sz w:val="20"/>
                  <w:u w:val="single" w:color="000000"/>
                </w:rPr>
                <w:t>companysecretary.uk@</w:t>
              </w:r>
              <w:r w:rsidR="000159CE">
                <w:rPr>
                  <w:rFonts w:ascii="Arial" w:eastAsia="Times New Roman" w:hAnsi="Arial"/>
                  <w:sz w:val="20"/>
                  <w:u w:val="single" w:color="000000"/>
                </w:rPr>
                <w:t>Quroserv</w:t>
              </w:r>
              <w:r w:rsidR="00843E59" w:rsidRPr="00843E59">
                <w:rPr>
                  <w:rFonts w:ascii="Arial" w:eastAsia="Times New Roman" w:hAnsi="Arial"/>
                  <w:sz w:val="20"/>
                  <w:u w:val="single" w:color="000000"/>
                </w:rPr>
                <w:t>.com</w:t>
              </w:r>
            </w:hyperlink>
            <w:r w:rsidR="00843E59" w:rsidRPr="00843E59">
              <w:rPr>
                <w:rFonts w:ascii="Arial" w:eastAsia="Times New Roman" w:hAnsi="Arial" w:cs="Arial"/>
                <w:sz w:val="20"/>
                <w:szCs w:val="20"/>
                <w:u w:val="single" w:color="000000"/>
              </w:rPr>
              <w:t xml:space="preserve">  </w:t>
            </w:r>
          </w:p>
        </w:tc>
        <w:tc>
          <w:tcPr>
            <w:tcW w:w="2874" w:type="dxa"/>
            <w:tcBorders>
              <w:top w:val="single" w:sz="4" w:space="0" w:color="000000"/>
              <w:left w:val="single" w:sz="4" w:space="0" w:color="000000"/>
              <w:bottom w:val="single" w:sz="4" w:space="0" w:color="000000"/>
              <w:right w:val="single" w:sz="4" w:space="0" w:color="000000"/>
            </w:tcBorders>
          </w:tcPr>
          <w:p w14:paraId="25A8C70D" w14:textId="74337E02" w:rsidR="0048699F" w:rsidRPr="000E5786" w:rsidRDefault="0048699F" w:rsidP="00CE5734">
            <w:pPr>
              <w:ind w:left="1" w:hanging="1"/>
              <w:rPr>
                <w:rFonts w:ascii="Arial" w:hAnsi="Arial" w:cs="Arial"/>
                <w:sz w:val="20"/>
                <w:szCs w:val="20"/>
              </w:rPr>
            </w:pPr>
            <w:r w:rsidRPr="000E5786">
              <w:rPr>
                <w:rFonts w:ascii="Arial" w:eastAsia="Times New Roman" w:hAnsi="Arial" w:cs="Arial"/>
                <w:sz w:val="20"/>
                <w:szCs w:val="20"/>
                <w:u w:val="single" w:color="000000"/>
              </w:rPr>
              <w:t>notices@net.co.uk</w:t>
            </w:r>
            <w:r w:rsidRPr="000E5786">
              <w:rPr>
                <w:rFonts w:ascii="Arial" w:eastAsia="Times New Roman" w:hAnsi="Arial" w:cs="Arial"/>
                <w:sz w:val="20"/>
                <w:szCs w:val="20"/>
              </w:rPr>
              <w:t xml:space="preserve"> </w:t>
            </w:r>
          </w:p>
        </w:tc>
      </w:tr>
    </w:tbl>
    <w:p w14:paraId="42E432E7" w14:textId="77777777" w:rsidR="0048699F" w:rsidRPr="000E5786" w:rsidRDefault="0048699F" w:rsidP="00DD60F0">
      <w:pPr>
        <w:rPr>
          <w:rFonts w:cs="Arial"/>
          <w:szCs w:val="20"/>
        </w:rPr>
      </w:pPr>
    </w:p>
    <w:p w14:paraId="4781B324" w14:textId="1683B0E3" w:rsidR="0048699F" w:rsidRPr="000E5786" w:rsidRDefault="0048699F" w:rsidP="00DD60F0">
      <w:pPr>
        <w:pStyle w:val="Heading2"/>
        <w:spacing w:after="120"/>
        <w:rPr>
          <w:rFonts w:cs="Arial"/>
          <w:szCs w:val="20"/>
        </w:rPr>
      </w:pPr>
      <w:bookmarkStart w:id="1223" w:name="_Ref53585675"/>
      <w:r w:rsidRPr="000E5786">
        <w:rPr>
          <w:rFonts w:cs="Arial"/>
          <w:szCs w:val="20"/>
        </w:rPr>
        <w:t xml:space="preserve">Where any </w:t>
      </w:r>
      <w:bookmarkStart w:id="1224" w:name="_Hlk90037018"/>
      <w:r w:rsidRPr="000E5786">
        <w:rPr>
          <w:rFonts w:cs="Arial"/>
          <w:szCs w:val="20"/>
        </w:rPr>
        <w:t xml:space="preserve">information or documentation is to be provided or submitted to the Representatives </w:t>
      </w:r>
      <w:bookmarkEnd w:id="1224"/>
      <w:r w:rsidRPr="000E5786">
        <w:rPr>
          <w:rFonts w:cs="Arial"/>
          <w:szCs w:val="20"/>
        </w:rPr>
        <w:t>it shall be provided signed by or on behalf of the party giving it and shall be served by sending it to the addresses set out below:</w:t>
      </w:r>
      <w:bookmarkEnd w:id="1223"/>
    </w:p>
    <w:tbl>
      <w:tblPr>
        <w:tblStyle w:val="TableGrid"/>
        <w:tblW w:w="9065" w:type="dxa"/>
        <w:tblInd w:w="1" w:type="dxa"/>
        <w:tblCellMar>
          <w:top w:w="46" w:type="dxa"/>
          <w:left w:w="107" w:type="dxa"/>
          <w:right w:w="48" w:type="dxa"/>
        </w:tblCellMar>
        <w:tblLook w:val="04A0" w:firstRow="1" w:lastRow="0" w:firstColumn="1" w:lastColumn="0" w:noHBand="0" w:noVBand="1"/>
      </w:tblPr>
      <w:tblGrid>
        <w:gridCol w:w="2126"/>
        <w:gridCol w:w="4025"/>
        <w:gridCol w:w="2914"/>
      </w:tblGrid>
      <w:tr w:rsidR="0048699F" w:rsidRPr="000E5786" w14:paraId="744199AF" w14:textId="77777777" w:rsidTr="00843E59">
        <w:trPr>
          <w:trHeight w:val="467"/>
        </w:trPr>
        <w:tc>
          <w:tcPr>
            <w:tcW w:w="2126" w:type="dxa"/>
            <w:tcBorders>
              <w:top w:val="nil"/>
              <w:left w:val="nil"/>
              <w:bottom w:val="single" w:sz="4" w:space="0" w:color="000000"/>
              <w:right w:val="single" w:sz="4" w:space="0" w:color="000000"/>
            </w:tcBorders>
          </w:tcPr>
          <w:p w14:paraId="55C24325" w14:textId="77777777" w:rsidR="0048699F" w:rsidRPr="000E5786" w:rsidRDefault="0048699F" w:rsidP="00DD60F0">
            <w:pPr>
              <w:rPr>
                <w:rFonts w:ascii="Arial" w:hAnsi="Arial" w:cs="Arial"/>
                <w:sz w:val="20"/>
                <w:szCs w:val="20"/>
              </w:rPr>
            </w:pPr>
          </w:p>
        </w:tc>
        <w:tc>
          <w:tcPr>
            <w:tcW w:w="4025" w:type="dxa"/>
            <w:tcBorders>
              <w:top w:val="single" w:sz="4" w:space="0" w:color="000000"/>
              <w:left w:val="single" w:sz="4" w:space="0" w:color="000000"/>
              <w:bottom w:val="single" w:sz="4" w:space="0" w:color="000000"/>
              <w:right w:val="single" w:sz="4" w:space="0" w:color="000000"/>
            </w:tcBorders>
            <w:shd w:val="clear" w:color="auto" w:fill="D9D9D9"/>
          </w:tcPr>
          <w:p w14:paraId="1896BED5" w14:textId="77777777" w:rsidR="0048699F" w:rsidRPr="000E5786" w:rsidRDefault="0048699F" w:rsidP="00834C1A">
            <w:pPr>
              <w:ind w:left="1" w:hanging="1"/>
              <w:rPr>
                <w:rFonts w:ascii="Arial" w:hAnsi="Arial" w:cs="Arial"/>
                <w:sz w:val="20"/>
                <w:szCs w:val="20"/>
              </w:rPr>
            </w:pPr>
            <w:r w:rsidRPr="000E5786">
              <w:rPr>
                <w:rFonts w:ascii="Arial" w:eastAsia="Times New Roman" w:hAnsi="Arial" w:cs="Arial"/>
                <w:b/>
                <w:sz w:val="20"/>
                <w:szCs w:val="20"/>
              </w:rPr>
              <w:t>Supplier Representative</w:t>
            </w:r>
          </w:p>
        </w:tc>
        <w:tc>
          <w:tcPr>
            <w:tcW w:w="2914" w:type="dxa"/>
            <w:tcBorders>
              <w:top w:val="single" w:sz="4" w:space="0" w:color="000000"/>
              <w:left w:val="single" w:sz="4" w:space="0" w:color="000000"/>
              <w:bottom w:val="single" w:sz="4" w:space="0" w:color="000000"/>
              <w:right w:val="single" w:sz="4" w:space="0" w:color="000000"/>
            </w:tcBorders>
            <w:shd w:val="clear" w:color="auto" w:fill="D9D9D9"/>
          </w:tcPr>
          <w:p w14:paraId="6A23A36E" w14:textId="03BCBD35" w:rsidR="0048699F" w:rsidRPr="000E5786" w:rsidRDefault="001F1C19" w:rsidP="00834C1A">
            <w:pPr>
              <w:ind w:left="1" w:hanging="1"/>
              <w:rPr>
                <w:rFonts w:ascii="Arial" w:hAnsi="Arial" w:cs="Arial"/>
                <w:sz w:val="20"/>
                <w:szCs w:val="20"/>
              </w:rPr>
            </w:pPr>
            <w:proofErr w:type="spellStart"/>
            <w:r>
              <w:rPr>
                <w:rFonts w:ascii="Arial" w:eastAsia="Times New Roman" w:hAnsi="Arial" w:cs="Arial"/>
                <w:b/>
                <w:sz w:val="20"/>
                <w:szCs w:val="20"/>
              </w:rPr>
              <w:t>Netlink</w:t>
            </w:r>
            <w:proofErr w:type="spellEnd"/>
            <w:r>
              <w:rPr>
                <w:rFonts w:ascii="Arial" w:eastAsia="Times New Roman" w:hAnsi="Arial" w:cs="Arial"/>
                <w:b/>
                <w:sz w:val="20"/>
                <w:szCs w:val="20"/>
              </w:rPr>
              <w:t xml:space="preserve"> Star</w:t>
            </w:r>
            <w:r w:rsidR="0048699F" w:rsidRPr="000E5786">
              <w:rPr>
                <w:rFonts w:ascii="Arial" w:eastAsia="Times New Roman" w:hAnsi="Arial" w:cs="Arial"/>
                <w:b/>
                <w:sz w:val="20"/>
                <w:szCs w:val="20"/>
              </w:rPr>
              <w:t xml:space="preserve"> Representative</w:t>
            </w:r>
          </w:p>
        </w:tc>
      </w:tr>
      <w:tr w:rsidR="00843E59" w:rsidRPr="000E5786" w14:paraId="0A542193" w14:textId="77777777" w:rsidTr="00843E59">
        <w:trPr>
          <w:trHeight w:val="667"/>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13B1CFE7" w14:textId="77777777" w:rsidR="00843E59" w:rsidRPr="000E5786" w:rsidRDefault="00843E59" w:rsidP="00843E59">
            <w:pPr>
              <w:rPr>
                <w:rFonts w:ascii="Arial" w:hAnsi="Arial" w:cs="Arial"/>
                <w:sz w:val="20"/>
                <w:szCs w:val="20"/>
              </w:rPr>
            </w:pPr>
            <w:r w:rsidRPr="000E5786">
              <w:rPr>
                <w:rFonts w:ascii="Arial" w:eastAsia="Times New Roman" w:hAnsi="Arial" w:cs="Arial"/>
                <w:b/>
                <w:sz w:val="20"/>
                <w:szCs w:val="20"/>
              </w:rPr>
              <w:t>Contact</w:t>
            </w:r>
          </w:p>
        </w:tc>
        <w:tc>
          <w:tcPr>
            <w:tcW w:w="4025" w:type="dxa"/>
            <w:tcBorders>
              <w:top w:val="single" w:sz="4" w:space="0" w:color="000000"/>
              <w:left w:val="single" w:sz="4" w:space="0" w:color="000000"/>
              <w:bottom w:val="single" w:sz="4" w:space="0" w:color="000000"/>
              <w:right w:val="single" w:sz="4" w:space="0" w:color="000000"/>
            </w:tcBorders>
          </w:tcPr>
          <w:p w14:paraId="2781982D" w14:textId="16D1E88A" w:rsidR="00843E59" w:rsidRPr="000E5786" w:rsidRDefault="00843E59" w:rsidP="00843E59">
            <w:pPr>
              <w:ind w:left="1" w:right="159" w:hanging="1"/>
              <w:rPr>
                <w:rFonts w:ascii="Arial" w:hAnsi="Arial" w:cs="Arial"/>
                <w:sz w:val="20"/>
                <w:szCs w:val="20"/>
              </w:rPr>
            </w:pPr>
            <w:r w:rsidRPr="00843E59">
              <w:rPr>
                <w:rFonts w:ascii="Arial" w:hAnsi="Arial" w:cs="Arial"/>
                <w:sz w:val="20"/>
                <w:szCs w:val="20"/>
              </w:rPr>
              <w:t>Company Secretary</w:t>
            </w:r>
          </w:p>
        </w:tc>
        <w:tc>
          <w:tcPr>
            <w:tcW w:w="2914" w:type="dxa"/>
            <w:tcBorders>
              <w:top w:val="single" w:sz="4" w:space="0" w:color="000000"/>
              <w:left w:val="single" w:sz="4" w:space="0" w:color="000000"/>
              <w:bottom w:val="single" w:sz="4" w:space="0" w:color="000000"/>
              <w:right w:val="single" w:sz="4" w:space="0" w:color="000000"/>
            </w:tcBorders>
          </w:tcPr>
          <w:p w14:paraId="31B7C639" w14:textId="77777777" w:rsidR="00843E59" w:rsidRPr="000E5786" w:rsidRDefault="00843E59" w:rsidP="00843E59">
            <w:pPr>
              <w:ind w:left="1" w:hanging="1"/>
              <w:rPr>
                <w:rFonts w:ascii="Arial" w:hAnsi="Arial" w:cs="Arial"/>
                <w:sz w:val="20"/>
                <w:szCs w:val="20"/>
              </w:rPr>
            </w:pPr>
            <w:r w:rsidRPr="000E5786">
              <w:rPr>
                <w:rFonts w:ascii="Arial" w:eastAsia="Times New Roman" w:hAnsi="Arial" w:cs="Arial"/>
                <w:sz w:val="20"/>
                <w:szCs w:val="20"/>
              </w:rPr>
              <w:t>Company Secretary</w:t>
            </w:r>
          </w:p>
          <w:p w14:paraId="723C444F" w14:textId="7AB352F9" w:rsidR="00843E59" w:rsidRPr="000E5786" w:rsidRDefault="001F1C19" w:rsidP="00843E59">
            <w:pPr>
              <w:ind w:left="1" w:hanging="1"/>
              <w:rPr>
                <w:rFonts w:ascii="Arial" w:hAnsi="Arial" w:cs="Arial"/>
                <w:sz w:val="20"/>
                <w:szCs w:val="20"/>
              </w:rPr>
            </w:pPr>
            <w:proofErr w:type="spellStart"/>
            <w:r>
              <w:rPr>
                <w:rFonts w:ascii="Arial" w:eastAsia="Times New Roman" w:hAnsi="Arial" w:cs="Arial"/>
                <w:sz w:val="20"/>
                <w:szCs w:val="20"/>
              </w:rPr>
              <w:t>Netlink</w:t>
            </w:r>
            <w:proofErr w:type="spellEnd"/>
            <w:r>
              <w:rPr>
                <w:rFonts w:ascii="Arial" w:eastAsia="Times New Roman" w:hAnsi="Arial" w:cs="Arial"/>
                <w:sz w:val="20"/>
                <w:szCs w:val="20"/>
              </w:rPr>
              <w:t xml:space="preserve"> Star</w:t>
            </w:r>
            <w:r w:rsidR="00843E59" w:rsidRPr="000E5786">
              <w:rPr>
                <w:rFonts w:ascii="Arial" w:eastAsia="Times New Roman" w:hAnsi="Arial" w:cs="Arial"/>
                <w:sz w:val="20"/>
                <w:szCs w:val="20"/>
              </w:rPr>
              <w:t xml:space="preserve"> Infrastructure</w:t>
            </w:r>
          </w:p>
          <w:p w14:paraId="0D156F1B" w14:textId="77777777" w:rsidR="00843E59" w:rsidRPr="000E5786" w:rsidRDefault="00843E59" w:rsidP="00843E59">
            <w:pPr>
              <w:ind w:left="1" w:hanging="1"/>
              <w:rPr>
                <w:rFonts w:ascii="Arial" w:hAnsi="Arial" w:cs="Arial"/>
                <w:sz w:val="20"/>
                <w:szCs w:val="20"/>
              </w:rPr>
            </w:pPr>
            <w:r w:rsidRPr="000E5786">
              <w:rPr>
                <w:rFonts w:ascii="Arial" w:eastAsia="Times New Roman" w:hAnsi="Arial" w:cs="Arial"/>
                <w:sz w:val="20"/>
                <w:szCs w:val="20"/>
              </w:rPr>
              <w:t>Limited</w:t>
            </w:r>
          </w:p>
        </w:tc>
      </w:tr>
      <w:tr w:rsidR="00843E59" w:rsidRPr="000E5786" w14:paraId="554CCEDF" w14:textId="77777777" w:rsidTr="00843E59">
        <w:trPr>
          <w:trHeight w:val="665"/>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5898B1CF" w14:textId="77777777" w:rsidR="00843E59" w:rsidRPr="000E5786" w:rsidRDefault="00843E59" w:rsidP="00843E59">
            <w:pPr>
              <w:rPr>
                <w:rFonts w:ascii="Arial" w:hAnsi="Arial" w:cs="Arial"/>
                <w:sz w:val="20"/>
                <w:szCs w:val="20"/>
              </w:rPr>
            </w:pPr>
            <w:r w:rsidRPr="000E5786">
              <w:rPr>
                <w:rFonts w:ascii="Arial" w:eastAsia="Times New Roman" w:hAnsi="Arial" w:cs="Arial"/>
                <w:b/>
                <w:sz w:val="20"/>
                <w:szCs w:val="20"/>
              </w:rPr>
              <w:t>Address</w:t>
            </w:r>
          </w:p>
        </w:tc>
        <w:tc>
          <w:tcPr>
            <w:tcW w:w="4025" w:type="dxa"/>
            <w:tcBorders>
              <w:top w:val="single" w:sz="4" w:space="0" w:color="000000"/>
              <w:left w:val="single" w:sz="4" w:space="0" w:color="000000"/>
              <w:bottom w:val="single" w:sz="4" w:space="0" w:color="000000"/>
              <w:right w:val="single" w:sz="4" w:space="0" w:color="000000"/>
            </w:tcBorders>
          </w:tcPr>
          <w:p w14:paraId="701E3A91" w14:textId="077D0D94" w:rsidR="00843E59" w:rsidRPr="000E5786" w:rsidRDefault="00843E59" w:rsidP="00843E59">
            <w:pPr>
              <w:ind w:left="1" w:right="159" w:hanging="1"/>
              <w:rPr>
                <w:rFonts w:ascii="Arial" w:hAnsi="Arial" w:cs="Arial"/>
                <w:sz w:val="20"/>
                <w:szCs w:val="20"/>
              </w:rPr>
            </w:pPr>
            <w:r w:rsidRPr="00843E59">
              <w:rPr>
                <w:rFonts w:ascii="Arial" w:hAnsi="Arial" w:cs="Arial"/>
                <w:sz w:val="20"/>
                <w:szCs w:val="20"/>
              </w:rPr>
              <w:t xml:space="preserve">1 </w:t>
            </w:r>
            <w:proofErr w:type="spellStart"/>
            <w:r w:rsidR="00BA32BB">
              <w:rPr>
                <w:rFonts w:ascii="Arial" w:hAnsi="Arial" w:cs="Arial"/>
                <w:sz w:val="20"/>
                <w:szCs w:val="20"/>
              </w:rPr>
              <w:t>Blotten</w:t>
            </w:r>
            <w:proofErr w:type="spellEnd"/>
            <w:r w:rsidR="00BA32BB">
              <w:rPr>
                <w:rFonts w:ascii="Arial" w:hAnsi="Arial" w:cs="Arial"/>
                <w:sz w:val="20"/>
                <w:szCs w:val="20"/>
              </w:rPr>
              <w:t xml:space="preserve"> Vu</w:t>
            </w:r>
            <w:r w:rsidRPr="00843E59">
              <w:rPr>
                <w:rFonts w:ascii="Arial" w:hAnsi="Arial" w:cs="Arial"/>
                <w:sz w:val="20"/>
                <w:szCs w:val="20"/>
              </w:rPr>
              <w:t xml:space="preserve">, Woking, Surrey, </w:t>
            </w:r>
            <w:r w:rsidR="00BA32BB">
              <w:rPr>
                <w:rFonts w:ascii="Arial" w:hAnsi="Arial" w:cs="Arial"/>
                <w:sz w:val="20"/>
                <w:szCs w:val="20"/>
              </w:rPr>
              <w:t>KR98</w:t>
            </w:r>
            <w:r w:rsidRPr="00843E59">
              <w:rPr>
                <w:rFonts w:ascii="Arial" w:hAnsi="Arial" w:cs="Arial"/>
                <w:sz w:val="20"/>
                <w:szCs w:val="20"/>
              </w:rPr>
              <w:t xml:space="preserve"> 6DB</w:t>
            </w:r>
          </w:p>
        </w:tc>
        <w:tc>
          <w:tcPr>
            <w:tcW w:w="2914" w:type="dxa"/>
            <w:tcBorders>
              <w:top w:val="single" w:sz="4" w:space="0" w:color="000000"/>
              <w:left w:val="single" w:sz="4" w:space="0" w:color="000000"/>
              <w:bottom w:val="single" w:sz="4" w:space="0" w:color="000000"/>
              <w:right w:val="single" w:sz="4" w:space="0" w:color="000000"/>
            </w:tcBorders>
          </w:tcPr>
          <w:p w14:paraId="52B9CF80" w14:textId="077413ED" w:rsidR="00843E59" w:rsidRPr="000E5786" w:rsidRDefault="00843E59" w:rsidP="00843E59">
            <w:pPr>
              <w:ind w:left="1" w:hanging="1"/>
              <w:rPr>
                <w:rFonts w:ascii="Arial" w:hAnsi="Arial" w:cs="Arial"/>
                <w:sz w:val="20"/>
                <w:szCs w:val="20"/>
              </w:rPr>
            </w:pPr>
            <w:r w:rsidRPr="000E5786">
              <w:rPr>
                <w:rFonts w:ascii="Arial" w:eastAsia="Times New Roman" w:hAnsi="Arial" w:cs="Arial"/>
                <w:sz w:val="20"/>
                <w:szCs w:val="20"/>
              </w:rPr>
              <w:t xml:space="preserve">1 </w:t>
            </w:r>
            <w:r w:rsidR="00BA32BB">
              <w:rPr>
                <w:rFonts w:ascii="Arial" w:eastAsia="Times New Roman" w:hAnsi="Arial" w:cs="Arial"/>
                <w:sz w:val="20"/>
                <w:szCs w:val="20"/>
              </w:rPr>
              <w:t>Elysian</w:t>
            </w:r>
            <w:r w:rsidRPr="000E5786">
              <w:rPr>
                <w:rFonts w:ascii="Arial" w:eastAsia="Times New Roman" w:hAnsi="Arial" w:cs="Arial"/>
                <w:sz w:val="20"/>
                <w:szCs w:val="20"/>
              </w:rPr>
              <w:t xml:space="preserve"> Street</w:t>
            </w:r>
          </w:p>
          <w:p w14:paraId="3D5A4109" w14:textId="77777777" w:rsidR="00843E59" w:rsidRPr="000E5786" w:rsidRDefault="00843E59" w:rsidP="00843E59">
            <w:pPr>
              <w:ind w:left="1" w:hanging="1"/>
              <w:rPr>
                <w:rFonts w:ascii="Arial" w:hAnsi="Arial" w:cs="Arial"/>
                <w:sz w:val="20"/>
                <w:szCs w:val="20"/>
              </w:rPr>
            </w:pPr>
            <w:r w:rsidRPr="000E5786">
              <w:rPr>
                <w:rFonts w:ascii="Arial" w:eastAsia="Times New Roman" w:hAnsi="Arial" w:cs="Arial"/>
                <w:sz w:val="20"/>
                <w:szCs w:val="20"/>
              </w:rPr>
              <w:t>London</w:t>
            </w:r>
          </w:p>
          <w:p w14:paraId="4A7DC073" w14:textId="02E989B6" w:rsidR="00843E59" w:rsidRPr="000E5786" w:rsidRDefault="00BA32BB" w:rsidP="00843E59">
            <w:pPr>
              <w:ind w:left="1" w:hanging="1"/>
              <w:rPr>
                <w:rFonts w:ascii="Arial" w:hAnsi="Arial" w:cs="Arial"/>
                <w:sz w:val="20"/>
                <w:szCs w:val="20"/>
              </w:rPr>
            </w:pPr>
            <w:r>
              <w:rPr>
                <w:rFonts w:ascii="Arial" w:eastAsia="Times New Roman" w:hAnsi="Arial" w:cs="Arial"/>
                <w:sz w:val="20"/>
                <w:szCs w:val="20"/>
              </w:rPr>
              <w:t>EE7</w:t>
            </w:r>
            <w:r w:rsidR="00843E59" w:rsidRPr="000E5786">
              <w:rPr>
                <w:rFonts w:ascii="Arial" w:eastAsia="Times New Roman" w:hAnsi="Arial" w:cs="Arial"/>
                <w:sz w:val="20"/>
                <w:szCs w:val="20"/>
              </w:rPr>
              <w:t xml:space="preserve"> 2DN</w:t>
            </w:r>
          </w:p>
        </w:tc>
      </w:tr>
      <w:tr w:rsidR="00843E59" w:rsidRPr="000E5786" w14:paraId="0C14A498" w14:textId="77777777" w:rsidTr="00843E59">
        <w:trPr>
          <w:trHeight w:val="469"/>
        </w:trPr>
        <w:tc>
          <w:tcPr>
            <w:tcW w:w="2126" w:type="dxa"/>
            <w:tcBorders>
              <w:top w:val="single" w:sz="4" w:space="0" w:color="000000"/>
              <w:left w:val="single" w:sz="4" w:space="0" w:color="000000"/>
              <w:bottom w:val="single" w:sz="4" w:space="0" w:color="000000"/>
              <w:right w:val="single" w:sz="4" w:space="0" w:color="000000"/>
            </w:tcBorders>
            <w:shd w:val="clear" w:color="auto" w:fill="D9D9D9"/>
          </w:tcPr>
          <w:p w14:paraId="7EA92BB5" w14:textId="77777777" w:rsidR="00843E59" w:rsidRPr="000E5786" w:rsidRDefault="00843E59" w:rsidP="00843E59">
            <w:pPr>
              <w:rPr>
                <w:rFonts w:ascii="Arial" w:hAnsi="Arial" w:cs="Arial"/>
                <w:sz w:val="20"/>
                <w:szCs w:val="20"/>
              </w:rPr>
            </w:pPr>
            <w:r w:rsidRPr="000E5786">
              <w:rPr>
                <w:rFonts w:ascii="Arial" w:eastAsia="Times New Roman" w:hAnsi="Arial" w:cs="Arial"/>
                <w:b/>
                <w:sz w:val="20"/>
                <w:szCs w:val="20"/>
              </w:rPr>
              <w:t>Email</w:t>
            </w:r>
          </w:p>
        </w:tc>
        <w:tc>
          <w:tcPr>
            <w:tcW w:w="4025" w:type="dxa"/>
            <w:tcBorders>
              <w:top w:val="single" w:sz="4" w:space="0" w:color="000000"/>
              <w:left w:val="single" w:sz="4" w:space="0" w:color="000000"/>
              <w:bottom w:val="single" w:sz="4" w:space="0" w:color="000000"/>
              <w:right w:val="single" w:sz="4" w:space="0" w:color="000000"/>
            </w:tcBorders>
          </w:tcPr>
          <w:p w14:paraId="3AFEB1C5" w14:textId="1E33942D" w:rsidR="00843E59" w:rsidRPr="000E5786" w:rsidRDefault="00000000" w:rsidP="00843E59">
            <w:pPr>
              <w:ind w:left="1" w:right="159" w:hanging="1"/>
              <w:rPr>
                <w:rFonts w:ascii="Arial" w:hAnsi="Arial" w:cs="Arial"/>
                <w:sz w:val="20"/>
                <w:szCs w:val="20"/>
              </w:rPr>
            </w:pPr>
            <w:hyperlink r:id="rId15" w:history="1">
              <w:r w:rsidR="00843E59" w:rsidRPr="00843E59">
                <w:rPr>
                  <w:rFonts w:ascii="Arial" w:eastAsia="Times New Roman" w:hAnsi="Arial"/>
                  <w:sz w:val="20"/>
                  <w:u w:val="single" w:color="000000"/>
                </w:rPr>
                <w:t>companysecretary.uk@</w:t>
              </w:r>
              <w:r w:rsidR="000159CE">
                <w:rPr>
                  <w:rFonts w:ascii="Arial" w:eastAsia="Times New Roman" w:hAnsi="Arial"/>
                  <w:sz w:val="20"/>
                  <w:u w:val="single" w:color="000000"/>
                </w:rPr>
                <w:t>Quroserv</w:t>
              </w:r>
              <w:r w:rsidR="00843E59" w:rsidRPr="00843E59">
                <w:rPr>
                  <w:rFonts w:ascii="Arial" w:eastAsia="Times New Roman" w:hAnsi="Arial"/>
                  <w:sz w:val="20"/>
                  <w:u w:val="single" w:color="000000"/>
                </w:rPr>
                <w:t>.com</w:t>
              </w:r>
            </w:hyperlink>
            <w:r w:rsidR="00843E59" w:rsidRPr="00843E59">
              <w:rPr>
                <w:rFonts w:ascii="Arial" w:eastAsia="Times New Roman" w:hAnsi="Arial" w:cs="Arial"/>
                <w:sz w:val="20"/>
                <w:szCs w:val="20"/>
                <w:u w:val="single" w:color="000000"/>
              </w:rPr>
              <w:t xml:space="preserve">  </w:t>
            </w:r>
          </w:p>
        </w:tc>
        <w:tc>
          <w:tcPr>
            <w:tcW w:w="2914" w:type="dxa"/>
            <w:tcBorders>
              <w:top w:val="single" w:sz="4" w:space="0" w:color="000000"/>
              <w:left w:val="single" w:sz="4" w:space="0" w:color="000000"/>
              <w:bottom w:val="single" w:sz="4" w:space="0" w:color="000000"/>
              <w:right w:val="single" w:sz="4" w:space="0" w:color="000000"/>
            </w:tcBorders>
          </w:tcPr>
          <w:p w14:paraId="2C386F5A" w14:textId="31A12B51" w:rsidR="00843E59" w:rsidRPr="000E5786" w:rsidRDefault="00843E59" w:rsidP="00843E59">
            <w:pPr>
              <w:ind w:left="1" w:hanging="1"/>
              <w:rPr>
                <w:rFonts w:ascii="Arial" w:hAnsi="Arial" w:cs="Arial"/>
                <w:sz w:val="20"/>
                <w:szCs w:val="20"/>
              </w:rPr>
            </w:pPr>
            <w:r w:rsidRPr="000E5786">
              <w:rPr>
                <w:rFonts w:ascii="Arial" w:eastAsia="Times New Roman" w:hAnsi="Arial" w:cs="Arial"/>
                <w:sz w:val="20"/>
                <w:szCs w:val="20"/>
                <w:u w:val="single" w:color="000000"/>
              </w:rPr>
              <w:t>notices@net.co.uk</w:t>
            </w:r>
            <w:r w:rsidRPr="000E5786">
              <w:rPr>
                <w:rFonts w:ascii="Arial" w:eastAsia="Times New Roman" w:hAnsi="Arial" w:cs="Arial"/>
                <w:sz w:val="20"/>
                <w:szCs w:val="20"/>
              </w:rPr>
              <w:t xml:space="preserve"> </w:t>
            </w:r>
          </w:p>
        </w:tc>
      </w:tr>
    </w:tbl>
    <w:p w14:paraId="0EFB06FB" w14:textId="77777777" w:rsidR="0048699F" w:rsidRPr="000E5786" w:rsidRDefault="0048699F" w:rsidP="00DD60F0">
      <w:pPr>
        <w:rPr>
          <w:rFonts w:cs="Arial"/>
          <w:szCs w:val="20"/>
        </w:rPr>
      </w:pPr>
    </w:p>
    <w:p w14:paraId="4F4781A8" w14:textId="2CEE81DC" w:rsidR="0048699F" w:rsidRPr="000E5786" w:rsidRDefault="0048699F" w:rsidP="00DD60F0">
      <w:pPr>
        <w:pStyle w:val="Heading2"/>
        <w:spacing w:after="120"/>
        <w:rPr>
          <w:rFonts w:cs="Arial"/>
          <w:szCs w:val="20"/>
        </w:rPr>
      </w:pPr>
      <w:bookmarkStart w:id="1225" w:name="_Ref53585676"/>
      <w:r w:rsidRPr="000E5786">
        <w:rPr>
          <w:rFonts w:cs="Arial"/>
          <w:szCs w:val="20"/>
        </w:rPr>
        <w:t xml:space="preserve">The following notices may only be served as an attachment to an email if the original notice is then sent to the recipient by personal delivery or recorded delivery in the manner set out in the table in clause </w:t>
      </w:r>
      <w:r w:rsidR="0014616D" w:rsidRPr="000E5786">
        <w:rPr>
          <w:rFonts w:cs="Arial"/>
          <w:szCs w:val="20"/>
        </w:rPr>
        <w:fldChar w:fldCharType="begin"/>
      </w:r>
      <w:r w:rsidR="0014616D" w:rsidRPr="000E5786">
        <w:rPr>
          <w:rFonts w:cs="Arial"/>
          <w:szCs w:val="20"/>
        </w:rPr>
        <w:instrText xml:space="preserve">  REF _Ref53585672 \w \h \* MERGEFORMAT </w:instrText>
      </w:r>
      <w:r w:rsidR="0014616D" w:rsidRPr="000E5786">
        <w:rPr>
          <w:rFonts w:cs="Arial"/>
          <w:szCs w:val="20"/>
        </w:rPr>
      </w:r>
      <w:r w:rsidR="0014616D" w:rsidRPr="000E5786">
        <w:rPr>
          <w:rFonts w:cs="Arial"/>
          <w:szCs w:val="20"/>
        </w:rPr>
        <w:fldChar w:fldCharType="separate"/>
      </w:r>
      <w:r w:rsidR="002523A8" w:rsidRPr="000E5786">
        <w:rPr>
          <w:rFonts w:cs="Arial"/>
          <w:szCs w:val="20"/>
        </w:rPr>
        <w:t>48.2</w:t>
      </w:r>
      <w:r w:rsidR="0014616D" w:rsidRPr="000E5786">
        <w:rPr>
          <w:rFonts w:cs="Arial"/>
          <w:szCs w:val="20"/>
        </w:rPr>
        <w:fldChar w:fldCharType="end"/>
      </w:r>
      <w:r w:rsidRPr="000E5786">
        <w:rPr>
          <w:rFonts w:cs="Arial"/>
          <w:szCs w:val="20"/>
        </w:rPr>
        <w:t>:</w:t>
      </w:r>
      <w:bookmarkEnd w:id="1225"/>
    </w:p>
    <w:p w14:paraId="0545E5E6" w14:textId="0E0861CE" w:rsidR="0048699F" w:rsidRPr="000E5786" w:rsidRDefault="0048699F" w:rsidP="00346A37">
      <w:pPr>
        <w:pStyle w:val="Heading3"/>
      </w:pPr>
      <w:bookmarkStart w:id="1226" w:name="_Ref53585677"/>
      <w:r w:rsidRPr="000E5786">
        <w:t xml:space="preserve">Step-In </w:t>
      </w:r>
      <w:proofErr w:type="gramStart"/>
      <w:r w:rsidRPr="000E5786">
        <w:t>Notices;</w:t>
      </w:r>
      <w:bookmarkEnd w:id="1226"/>
      <w:proofErr w:type="gramEnd"/>
    </w:p>
    <w:p w14:paraId="65915031" w14:textId="63A54D61" w:rsidR="0048699F" w:rsidRPr="000E5786" w:rsidRDefault="0048699F" w:rsidP="00346A37">
      <w:pPr>
        <w:pStyle w:val="Heading3"/>
      </w:pPr>
      <w:bookmarkStart w:id="1227" w:name="_Ref53585678"/>
      <w:r w:rsidRPr="000E5786">
        <w:t xml:space="preserve">Force Majeure </w:t>
      </w:r>
      <w:proofErr w:type="gramStart"/>
      <w:r w:rsidRPr="000E5786">
        <w:t>Notices;</w:t>
      </w:r>
      <w:bookmarkEnd w:id="1227"/>
      <w:proofErr w:type="gramEnd"/>
    </w:p>
    <w:p w14:paraId="12BE4504" w14:textId="207994F8" w:rsidR="0048699F" w:rsidRPr="000E5786" w:rsidRDefault="0048699F" w:rsidP="00346A37">
      <w:pPr>
        <w:pStyle w:val="Heading3"/>
      </w:pPr>
      <w:bookmarkStart w:id="1228" w:name="_Ref53585679"/>
      <w:r w:rsidRPr="000E5786">
        <w:t xml:space="preserve">notices issued by the Supplier pursuant to clause </w:t>
      </w:r>
      <w:r w:rsidR="0014616D" w:rsidRPr="000E5786">
        <w:fldChar w:fldCharType="begin"/>
      </w:r>
      <w:r w:rsidR="0014616D" w:rsidRPr="000E5786">
        <w:instrText xml:space="preserve">  REF _Ref53585555 \w \h \* MERGEFORMAT </w:instrText>
      </w:r>
      <w:r w:rsidR="0014616D" w:rsidRPr="000E5786">
        <w:fldChar w:fldCharType="separate"/>
      </w:r>
      <w:r w:rsidR="002523A8" w:rsidRPr="000E5786">
        <w:t>36.3</w:t>
      </w:r>
      <w:r w:rsidR="0014616D" w:rsidRPr="000E5786">
        <w:fldChar w:fldCharType="end"/>
      </w:r>
      <w:r w:rsidRPr="000E5786">
        <w:t xml:space="preserve"> (Termination by the Supplier</w:t>
      </w:r>
      <w:proofErr w:type="gramStart"/>
      <w:r w:rsidRPr="000E5786">
        <w:t>);</w:t>
      </w:r>
      <w:bookmarkEnd w:id="1228"/>
      <w:proofErr w:type="gramEnd"/>
    </w:p>
    <w:p w14:paraId="286A5C6F" w14:textId="4DDB32F3" w:rsidR="0048699F" w:rsidRPr="000E5786" w:rsidRDefault="0048699F" w:rsidP="00346A37">
      <w:pPr>
        <w:pStyle w:val="Heading3"/>
      </w:pPr>
      <w:bookmarkStart w:id="1229" w:name="_Ref53585680"/>
      <w:r w:rsidRPr="000E5786">
        <w:t>Termination Notices; and</w:t>
      </w:r>
      <w:bookmarkEnd w:id="1229"/>
    </w:p>
    <w:p w14:paraId="1368C7B9" w14:textId="4D8B90EC" w:rsidR="0048699F" w:rsidRPr="000E5786" w:rsidRDefault="0048699F" w:rsidP="00346A37">
      <w:pPr>
        <w:pStyle w:val="Heading3"/>
      </w:pPr>
      <w:bookmarkStart w:id="1230" w:name="_Ref53585681"/>
      <w:r w:rsidRPr="000E5786">
        <w:t>Dispute Notices.</w:t>
      </w:r>
      <w:bookmarkEnd w:id="1230"/>
    </w:p>
    <w:p w14:paraId="35C2BCEE" w14:textId="4788F652" w:rsidR="0048699F" w:rsidRPr="000E5786" w:rsidRDefault="0048699F" w:rsidP="00DD60F0">
      <w:pPr>
        <w:pStyle w:val="Heading2"/>
        <w:spacing w:after="120"/>
        <w:rPr>
          <w:rFonts w:cs="Arial"/>
          <w:szCs w:val="20"/>
        </w:rPr>
      </w:pPr>
      <w:bookmarkStart w:id="1231" w:name="_Ref53585682"/>
      <w:r w:rsidRPr="000E5786">
        <w:rPr>
          <w:rFonts w:cs="Arial"/>
          <w:szCs w:val="20"/>
        </w:rPr>
        <w:t xml:space="preserve">Failure to send any original notice by personal delivery or recorded delivery in accordance with clause </w:t>
      </w:r>
      <w:r w:rsidR="0014616D" w:rsidRPr="000E5786">
        <w:rPr>
          <w:rFonts w:cs="Arial"/>
          <w:szCs w:val="20"/>
        </w:rPr>
        <w:fldChar w:fldCharType="begin"/>
      </w:r>
      <w:r w:rsidR="0014616D" w:rsidRPr="000E5786">
        <w:rPr>
          <w:rFonts w:cs="Arial"/>
          <w:szCs w:val="20"/>
        </w:rPr>
        <w:instrText xml:space="preserve">  REF _Ref53585676 \w \h \* MERGEFORMAT </w:instrText>
      </w:r>
      <w:r w:rsidR="0014616D" w:rsidRPr="000E5786">
        <w:rPr>
          <w:rFonts w:cs="Arial"/>
          <w:szCs w:val="20"/>
        </w:rPr>
      </w:r>
      <w:r w:rsidR="0014616D" w:rsidRPr="000E5786">
        <w:rPr>
          <w:rFonts w:cs="Arial"/>
          <w:szCs w:val="20"/>
        </w:rPr>
        <w:fldChar w:fldCharType="separate"/>
      </w:r>
      <w:r w:rsidR="002523A8" w:rsidRPr="000E5786">
        <w:rPr>
          <w:rFonts w:cs="Arial"/>
          <w:szCs w:val="20"/>
        </w:rPr>
        <w:t>48.6</w:t>
      </w:r>
      <w:r w:rsidR="0014616D" w:rsidRPr="000E5786">
        <w:rPr>
          <w:rFonts w:cs="Arial"/>
          <w:szCs w:val="20"/>
        </w:rPr>
        <w:fldChar w:fldCharType="end"/>
      </w:r>
      <w:r w:rsidRPr="000E5786">
        <w:rPr>
          <w:rFonts w:cs="Arial"/>
          <w:szCs w:val="20"/>
        </w:rPr>
        <w:t xml:space="preserve"> shall invalidate the service of the related e-mail transmission.</w:t>
      </w:r>
      <w:r w:rsidR="000578A4" w:rsidRPr="000E5786">
        <w:rPr>
          <w:rFonts w:cs="Arial"/>
          <w:szCs w:val="20"/>
        </w:rPr>
        <w:t xml:space="preserve"> </w:t>
      </w:r>
      <w:r w:rsidRPr="000E5786">
        <w:rPr>
          <w:rFonts w:cs="Arial"/>
          <w:szCs w:val="20"/>
        </w:rPr>
        <w:t xml:space="preserve">The deemed time of delivery of such notice shall be the deemed time of delivery of the original notice sent by personal delivery or Royal Mail Signed </w:t>
      </w:r>
      <w:r w:rsidRPr="00A20CD5">
        <w:rPr>
          <w:rFonts w:cs="Arial"/>
          <w:szCs w:val="20"/>
          <w:vertAlign w:val="superscript"/>
        </w:rPr>
        <w:t>Fo</w:t>
      </w:r>
      <w:r w:rsidRPr="000E5786">
        <w:rPr>
          <w:rFonts w:cs="Arial"/>
          <w:szCs w:val="20"/>
        </w:rPr>
        <w:t xml:space="preserve">r™ 1st Class delivery (as set out in the table in clause </w:t>
      </w:r>
      <w:r w:rsidR="0014616D" w:rsidRPr="000E5786">
        <w:rPr>
          <w:rFonts w:cs="Arial"/>
          <w:szCs w:val="20"/>
        </w:rPr>
        <w:fldChar w:fldCharType="begin"/>
      </w:r>
      <w:r w:rsidR="0014616D" w:rsidRPr="000E5786">
        <w:rPr>
          <w:rFonts w:cs="Arial"/>
          <w:szCs w:val="20"/>
        </w:rPr>
        <w:instrText xml:space="preserve">  REF _Ref53585672 \w \h \* MERGEFORMAT </w:instrText>
      </w:r>
      <w:r w:rsidR="0014616D" w:rsidRPr="000E5786">
        <w:rPr>
          <w:rFonts w:cs="Arial"/>
          <w:szCs w:val="20"/>
        </w:rPr>
      </w:r>
      <w:r w:rsidR="0014616D" w:rsidRPr="000E5786">
        <w:rPr>
          <w:rFonts w:cs="Arial"/>
          <w:szCs w:val="20"/>
        </w:rPr>
        <w:fldChar w:fldCharType="separate"/>
      </w:r>
      <w:r w:rsidR="002523A8" w:rsidRPr="000E5786">
        <w:rPr>
          <w:rFonts w:cs="Arial"/>
          <w:szCs w:val="20"/>
        </w:rPr>
        <w:t>48.2</w:t>
      </w:r>
      <w:r w:rsidR="0014616D" w:rsidRPr="000E5786">
        <w:rPr>
          <w:rFonts w:cs="Arial"/>
          <w:szCs w:val="20"/>
        </w:rPr>
        <w:fldChar w:fldCharType="end"/>
      </w:r>
      <w:r w:rsidRPr="000E5786">
        <w:rPr>
          <w:rFonts w:cs="Arial"/>
          <w:szCs w:val="20"/>
        </w:rPr>
        <w:t>) or, if earlier, the time of response or acknowledgement by the other Party to the email attaching the notice.</w:t>
      </w:r>
      <w:bookmarkEnd w:id="1231"/>
    </w:p>
    <w:p w14:paraId="0AD6BD32" w14:textId="5F782E78" w:rsidR="0048699F" w:rsidRPr="000E5786" w:rsidRDefault="0048699F" w:rsidP="00DD60F0">
      <w:pPr>
        <w:pStyle w:val="Heading2"/>
        <w:spacing w:after="120"/>
        <w:rPr>
          <w:rFonts w:cs="Arial"/>
          <w:szCs w:val="20"/>
        </w:rPr>
      </w:pPr>
      <w:bookmarkStart w:id="1232" w:name="_Ref53585683"/>
      <w:r w:rsidRPr="000E5786">
        <w:rPr>
          <w:rFonts w:cs="Arial"/>
          <w:szCs w:val="20"/>
        </w:rPr>
        <w:t xml:space="preserve">This clause </w:t>
      </w:r>
      <w:r w:rsidR="0014616D" w:rsidRPr="000E5786">
        <w:rPr>
          <w:rFonts w:cs="Arial"/>
          <w:szCs w:val="20"/>
        </w:rPr>
        <w:fldChar w:fldCharType="begin"/>
      </w:r>
      <w:r w:rsidR="0014616D" w:rsidRPr="000E5786">
        <w:rPr>
          <w:rFonts w:cs="Arial"/>
          <w:szCs w:val="20"/>
        </w:rPr>
        <w:instrText xml:space="preserve">  REF _Ref53585746 \w \h \* MERGEFORMAT </w:instrText>
      </w:r>
      <w:r w:rsidR="0014616D" w:rsidRPr="000E5786">
        <w:rPr>
          <w:rFonts w:cs="Arial"/>
          <w:szCs w:val="20"/>
        </w:rPr>
      </w:r>
      <w:r w:rsidR="0014616D" w:rsidRPr="000E5786">
        <w:rPr>
          <w:rFonts w:cs="Arial"/>
          <w:szCs w:val="20"/>
        </w:rPr>
        <w:fldChar w:fldCharType="separate"/>
      </w:r>
      <w:r w:rsidR="002523A8" w:rsidRPr="000E5786">
        <w:rPr>
          <w:rFonts w:cs="Arial"/>
          <w:szCs w:val="20"/>
        </w:rPr>
        <w:t>48</w:t>
      </w:r>
      <w:r w:rsidR="0014616D" w:rsidRPr="000E5786">
        <w:rPr>
          <w:rFonts w:cs="Arial"/>
          <w:szCs w:val="20"/>
        </w:rPr>
        <w:fldChar w:fldCharType="end"/>
      </w:r>
      <w:r w:rsidRPr="000E5786">
        <w:rPr>
          <w:rFonts w:cs="Arial"/>
          <w:szCs w:val="20"/>
        </w:rPr>
        <w:t xml:space="preserve"> does not apply to the service of any proceedings or other documents in any legal action or, where applicable, any arbitration or other method of dispute resolution (other than the service of a Dispute Notice under </w:t>
      </w:r>
      <w:bookmarkStart w:id="1233" w:name="DocXTextRef552"/>
      <w:r w:rsidRPr="000E5786">
        <w:rPr>
          <w:rFonts w:cs="Arial"/>
          <w:szCs w:val="20"/>
        </w:rPr>
        <w:t>Schedule 8.3</w:t>
      </w:r>
      <w:bookmarkEnd w:id="1233"/>
      <w:r w:rsidRPr="000E5786">
        <w:rPr>
          <w:rFonts w:cs="Arial"/>
          <w:szCs w:val="20"/>
        </w:rPr>
        <w:t xml:space="preserve"> (Dispute Resolution Procedure)).</w:t>
      </w:r>
      <w:bookmarkEnd w:id="1232"/>
    </w:p>
    <w:p w14:paraId="6B24EC9F" w14:textId="705EDE42" w:rsidR="0048699F" w:rsidRPr="000E5786" w:rsidRDefault="0048699F" w:rsidP="00DD60F0">
      <w:pPr>
        <w:pStyle w:val="Heading1"/>
        <w:spacing w:after="120"/>
        <w:rPr>
          <w:rFonts w:cs="Arial"/>
          <w:szCs w:val="20"/>
        </w:rPr>
      </w:pPr>
      <w:bookmarkStart w:id="1234" w:name="_Ref53585684"/>
      <w:bookmarkStart w:id="1235" w:name="_Ref53585747"/>
      <w:bookmarkStart w:id="1236" w:name="_Toc71198973"/>
      <w:r w:rsidRPr="000E5786">
        <w:rPr>
          <w:rFonts w:cs="Arial"/>
          <w:szCs w:val="20"/>
        </w:rPr>
        <w:t>DISPUTES</w:t>
      </w:r>
      <w:bookmarkEnd w:id="1234"/>
      <w:bookmarkEnd w:id="1235"/>
      <w:bookmarkEnd w:id="1236"/>
    </w:p>
    <w:p w14:paraId="02967837" w14:textId="6E07FE3F" w:rsidR="0048699F" w:rsidRPr="000E5786" w:rsidRDefault="0048699F" w:rsidP="00DD60F0">
      <w:pPr>
        <w:pStyle w:val="Heading2"/>
        <w:spacing w:after="120"/>
        <w:rPr>
          <w:rFonts w:cs="Arial"/>
          <w:szCs w:val="20"/>
        </w:rPr>
      </w:pPr>
      <w:bookmarkStart w:id="1237" w:name="_Ref53585685"/>
      <w:r w:rsidRPr="000E5786">
        <w:rPr>
          <w:rFonts w:cs="Arial"/>
          <w:szCs w:val="20"/>
        </w:rPr>
        <w:t>The Parties shall resolve Disputes arising out of or in connection with this Agreement in accordance with the Dispute Resolution Procedure.</w:t>
      </w:r>
      <w:bookmarkEnd w:id="1237"/>
    </w:p>
    <w:p w14:paraId="618E918C" w14:textId="2751E6B5" w:rsidR="0048699F" w:rsidRPr="000E5786" w:rsidRDefault="0048699F" w:rsidP="00DD60F0">
      <w:pPr>
        <w:pStyle w:val="Heading2"/>
        <w:spacing w:after="120"/>
        <w:rPr>
          <w:rFonts w:cs="Arial"/>
          <w:szCs w:val="20"/>
        </w:rPr>
      </w:pPr>
      <w:bookmarkStart w:id="1238" w:name="_Ref53585686"/>
      <w:r w:rsidRPr="000E5786">
        <w:rPr>
          <w:rFonts w:cs="Arial"/>
          <w:szCs w:val="20"/>
        </w:rPr>
        <w:t>The Supplier shall continue to provide the Services in accordance with the terms of this Agreement until a Dispute has been resolved.</w:t>
      </w:r>
      <w:bookmarkEnd w:id="1238"/>
    </w:p>
    <w:p w14:paraId="35729136" w14:textId="203BD2D1" w:rsidR="0048699F" w:rsidRPr="000E5786" w:rsidRDefault="0048699F" w:rsidP="00DD60F0">
      <w:pPr>
        <w:pStyle w:val="Heading1"/>
        <w:spacing w:after="120"/>
        <w:rPr>
          <w:rFonts w:cs="Arial"/>
          <w:szCs w:val="20"/>
        </w:rPr>
      </w:pPr>
      <w:bookmarkStart w:id="1239" w:name="_Ref53585687"/>
      <w:bookmarkStart w:id="1240" w:name="_Ref53585748"/>
      <w:bookmarkStart w:id="1241" w:name="_Toc71198974"/>
      <w:r w:rsidRPr="000E5786">
        <w:rPr>
          <w:rFonts w:cs="Arial"/>
          <w:szCs w:val="20"/>
        </w:rPr>
        <w:t>GOVERNING LAW AND JURISDICTION</w:t>
      </w:r>
      <w:bookmarkEnd w:id="1239"/>
      <w:bookmarkEnd w:id="1240"/>
      <w:bookmarkEnd w:id="1241"/>
    </w:p>
    <w:p w14:paraId="07399DEF" w14:textId="09AB523A" w:rsidR="0048699F" w:rsidRPr="000E5786" w:rsidRDefault="0048699F" w:rsidP="00DD60F0">
      <w:pPr>
        <w:pStyle w:val="Heading2"/>
        <w:spacing w:after="120"/>
        <w:rPr>
          <w:rFonts w:cs="Arial"/>
          <w:szCs w:val="20"/>
        </w:rPr>
      </w:pPr>
      <w:bookmarkStart w:id="1242" w:name="_Ref53585688"/>
      <w:r w:rsidRPr="000E5786">
        <w:rPr>
          <w:rFonts w:cs="Arial"/>
          <w:szCs w:val="20"/>
        </w:rPr>
        <w:t xml:space="preserve">This Agreement and any issues, </w:t>
      </w:r>
      <w:proofErr w:type="gramStart"/>
      <w:r w:rsidRPr="000E5786">
        <w:rPr>
          <w:rFonts w:cs="Arial"/>
          <w:szCs w:val="20"/>
        </w:rPr>
        <w:t>disputes</w:t>
      </w:r>
      <w:proofErr w:type="gramEnd"/>
      <w:r w:rsidRPr="000E5786">
        <w:rPr>
          <w:rFonts w:cs="Arial"/>
          <w:szCs w:val="20"/>
        </w:rPr>
        <w:t xml:space="preserve"> or claims (whether contractual or non-contractual) arising out of or in connection with it or its subject matter or formation shall be governed by and construed in accordance with the laws of England and Wales.</w:t>
      </w:r>
      <w:bookmarkEnd w:id="1242"/>
    </w:p>
    <w:p w14:paraId="486CA115" w14:textId="4C83078D" w:rsidR="0048699F" w:rsidRPr="000E5786" w:rsidRDefault="0048699F" w:rsidP="00DD60F0">
      <w:pPr>
        <w:pStyle w:val="Heading2"/>
        <w:spacing w:after="120"/>
        <w:rPr>
          <w:rFonts w:cs="Arial"/>
          <w:szCs w:val="20"/>
        </w:rPr>
      </w:pPr>
      <w:bookmarkStart w:id="1243" w:name="_Ref53585689"/>
      <w:r w:rsidRPr="000E5786">
        <w:rPr>
          <w:rFonts w:cs="Arial"/>
          <w:szCs w:val="20"/>
        </w:rPr>
        <w:t xml:space="preserve">Subject to clause </w:t>
      </w:r>
      <w:r w:rsidR="0014616D" w:rsidRPr="000E5786">
        <w:rPr>
          <w:rFonts w:cs="Arial"/>
          <w:szCs w:val="20"/>
        </w:rPr>
        <w:fldChar w:fldCharType="begin"/>
      </w:r>
      <w:r w:rsidR="0014616D" w:rsidRPr="000E5786">
        <w:rPr>
          <w:rFonts w:cs="Arial"/>
          <w:szCs w:val="20"/>
        </w:rPr>
        <w:instrText xml:space="preserve">  REF _Ref53585747 \w \h \* MERGEFORMAT </w:instrText>
      </w:r>
      <w:r w:rsidR="0014616D" w:rsidRPr="000E5786">
        <w:rPr>
          <w:rFonts w:cs="Arial"/>
          <w:szCs w:val="20"/>
        </w:rPr>
      </w:r>
      <w:r w:rsidR="0014616D" w:rsidRPr="000E5786">
        <w:rPr>
          <w:rFonts w:cs="Arial"/>
          <w:szCs w:val="20"/>
        </w:rPr>
        <w:fldChar w:fldCharType="separate"/>
      </w:r>
      <w:r w:rsidR="002523A8" w:rsidRPr="000E5786">
        <w:rPr>
          <w:rFonts w:cs="Arial"/>
          <w:szCs w:val="20"/>
        </w:rPr>
        <w:t>49</w:t>
      </w:r>
      <w:r w:rsidR="0014616D" w:rsidRPr="000E5786">
        <w:rPr>
          <w:rFonts w:cs="Arial"/>
          <w:szCs w:val="20"/>
        </w:rPr>
        <w:fldChar w:fldCharType="end"/>
      </w:r>
      <w:r w:rsidRPr="000E5786">
        <w:rPr>
          <w:rFonts w:cs="Arial"/>
          <w:szCs w:val="20"/>
        </w:rPr>
        <w:t xml:space="preserve"> (Disputes) and </w:t>
      </w:r>
      <w:bookmarkStart w:id="1244" w:name="DocXTextRef554"/>
      <w:r w:rsidRPr="000E5786">
        <w:rPr>
          <w:rFonts w:cs="Arial"/>
          <w:szCs w:val="20"/>
        </w:rPr>
        <w:t>Schedule 8.3</w:t>
      </w:r>
      <w:bookmarkEnd w:id="1244"/>
      <w:r w:rsidRPr="000E5786">
        <w:rPr>
          <w:rFonts w:cs="Arial"/>
          <w:szCs w:val="20"/>
        </w:rPr>
        <w:t xml:space="preserve"> (Dispute Resolution Procedure) (including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’s right to refer the dispute to arbitration), the Parties agree that the courts of England and Wales shall have exclusive jurisdiction to settle any dispute or claim (whether contractual or non-contractual) that arises out of or in connection with this Agreement or its subject matter or formation.</w:t>
      </w:r>
      <w:bookmarkEnd w:id="1243"/>
    </w:p>
    <w:p w14:paraId="0A6C7282" w14:textId="09BD3767" w:rsidR="0048699F" w:rsidRPr="000E5786" w:rsidRDefault="0048699F" w:rsidP="00DD60F0">
      <w:pPr>
        <w:pStyle w:val="Heading1"/>
        <w:spacing w:after="120"/>
        <w:rPr>
          <w:rFonts w:cs="Arial"/>
          <w:szCs w:val="20"/>
        </w:rPr>
      </w:pPr>
      <w:bookmarkStart w:id="1245" w:name="_Ref53585690"/>
      <w:bookmarkStart w:id="1246" w:name="_Ref53585749"/>
      <w:bookmarkStart w:id="1247" w:name="_Toc71198975"/>
      <w:r w:rsidRPr="000E5786">
        <w:rPr>
          <w:rFonts w:cs="Arial"/>
          <w:szCs w:val="20"/>
        </w:rPr>
        <w:t>COUNTERPARTS/DUPLICATES</w:t>
      </w:r>
      <w:bookmarkEnd w:id="1245"/>
      <w:bookmarkEnd w:id="1246"/>
      <w:bookmarkEnd w:id="1247"/>
    </w:p>
    <w:p w14:paraId="7D718A76" w14:textId="13B44EA1" w:rsidR="0048699F" w:rsidRPr="000E5786" w:rsidRDefault="0048699F" w:rsidP="00DD60F0">
      <w:pPr>
        <w:pStyle w:val="Heading2"/>
        <w:spacing w:after="120"/>
        <w:rPr>
          <w:rFonts w:cs="Arial"/>
          <w:szCs w:val="20"/>
        </w:rPr>
      </w:pPr>
      <w:bookmarkStart w:id="1248" w:name="_Ref53585691"/>
      <w:r w:rsidRPr="000E5786">
        <w:rPr>
          <w:rFonts w:cs="Arial"/>
          <w:szCs w:val="20"/>
        </w:rPr>
        <w:t>This Agreement may be executed in any number of counterparts, each of which shall constitute an original, but which shall together constitute one agreement.</w:t>
      </w:r>
      <w:bookmarkEnd w:id="1248"/>
    </w:p>
    <w:p w14:paraId="07D9DBA3" w14:textId="24868562" w:rsidR="0048699F" w:rsidRPr="000E5786" w:rsidRDefault="0048699F" w:rsidP="00DD60F0">
      <w:pPr>
        <w:pStyle w:val="Heading2"/>
        <w:spacing w:after="120"/>
        <w:rPr>
          <w:rFonts w:cs="Arial"/>
          <w:szCs w:val="20"/>
        </w:rPr>
      </w:pPr>
      <w:bookmarkStart w:id="1249" w:name="_Ref53585692"/>
      <w:r w:rsidRPr="000E5786">
        <w:rPr>
          <w:rFonts w:cs="Arial"/>
          <w:szCs w:val="20"/>
        </w:rPr>
        <w:t>This Agreement may be executed in duplicate, each of which shall constitute an original.</w:t>
      </w:r>
      <w:bookmarkEnd w:id="1249"/>
    </w:p>
    <w:p w14:paraId="4BCBBEFA" w14:textId="5585929A" w:rsidR="0048699F" w:rsidRPr="000E5786" w:rsidRDefault="0048699F" w:rsidP="00DD60F0">
      <w:pPr>
        <w:pStyle w:val="Heading1"/>
        <w:spacing w:after="120"/>
        <w:rPr>
          <w:rFonts w:cs="Arial"/>
          <w:szCs w:val="20"/>
        </w:rPr>
      </w:pPr>
      <w:bookmarkStart w:id="1250" w:name="_Ref53585693"/>
      <w:bookmarkStart w:id="1251" w:name="_Ref53585750"/>
      <w:bookmarkStart w:id="1252" w:name="_Toc71198976"/>
      <w:r w:rsidRPr="000E5786">
        <w:rPr>
          <w:rFonts w:cs="Arial"/>
          <w:szCs w:val="20"/>
        </w:rPr>
        <w:lastRenderedPageBreak/>
        <w:t>INTERMEDIARIES LEGISLATION</w:t>
      </w:r>
      <w:bookmarkEnd w:id="1250"/>
      <w:bookmarkEnd w:id="1251"/>
      <w:bookmarkEnd w:id="1252"/>
    </w:p>
    <w:p w14:paraId="626A5097" w14:textId="64511A51" w:rsidR="0048699F" w:rsidRPr="000E5786" w:rsidRDefault="0026522A" w:rsidP="00834C1A">
      <w:pPr>
        <w:pStyle w:val="BodyText1"/>
        <w:spacing w:after="120"/>
        <w:ind w:firstLine="0"/>
        <w:rPr>
          <w:rFonts w:cs="Arial"/>
          <w:szCs w:val="20"/>
        </w:rPr>
      </w:pPr>
      <w:r w:rsidRPr="000E5786">
        <w:rPr>
          <w:rFonts w:cs="Arial"/>
          <w:szCs w:val="20"/>
        </w:rPr>
        <w:t>The</w:t>
      </w:r>
      <w:r w:rsidR="00F460DD" w:rsidRPr="000E5786">
        <w:rPr>
          <w:rFonts w:cs="Arial"/>
          <w:szCs w:val="20"/>
        </w:rPr>
        <w:t xml:space="preserve"> </w:t>
      </w:r>
      <w:r w:rsidR="0048699F" w:rsidRPr="000E5786">
        <w:rPr>
          <w:rFonts w:cs="Arial"/>
          <w:szCs w:val="20"/>
        </w:rPr>
        <w:t xml:space="preserve">Services provided through this Agreement are assessed by </w:t>
      </w:r>
      <w:proofErr w:type="spellStart"/>
      <w:r w:rsidR="001F1C19">
        <w:rPr>
          <w:rFonts w:cs="Arial"/>
          <w:szCs w:val="20"/>
        </w:rPr>
        <w:t>Netlink</w:t>
      </w:r>
      <w:proofErr w:type="spellEnd"/>
      <w:r w:rsidR="001F1C19">
        <w:rPr>
          <w:rFonts w:cs="Arial"/>
          <w:szCs w:val="20"/>
        </w:rPr>
        <w:t xml:space="preserve"> Star</w:t>
      </w:r>
      <w:r w:rsidR="0048699F" w:rsidRPr="000E5786">
        <w:rPr>
          <w:rFonts w:cs="Arial"/>
          <w:szCs w:val="20"/>
        </w:rPr>
        <w:t xml:space="preserve"> to fall under the Intermediaries Legislation and:</w:t>
      </w:r>
    </w:p>
    <w:p w14:paraId="23A28D8B" w14:textId="166B8B5E" w:rsidR="0048699F" w:rsidRPr="000E5786" w:rsidRDefault="0048699F" w:rsidP="00DD60F0">
      <w:pPr>
        <w:pStyle w:val="Heading2"/>
        <w:spacing w:after="120"/>
        <w:rPr>
          <w:rFonts w:cs="Arial"/>
          <w:szCs w:val="20"/>
        </w:rPr>
      </w:pPr>
      <w:bookmarkStart w:id="1253" w:name="_Ref53585694"/>
      <w:r w:rsidRPr="000E5786">
        <w:rPr>
          <w:rFonts w:cs="Arial"/>
          <w:szCs w:val="20"/>
        </w:rPr>
        <w:t xml:space="preserve">the Supplier shall comply with the Intermediaries Legislation and all reasonable instructions and requests for information from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respect </w:t>
      </w:r>
      <w:proofErr w:type="gramStart"/>
      <w:r w:rsidRPr="000E5786">
        <w:rPr>
          <w:rFonts w:cs="Arial"/>
          <w:szCs w:val="20"/>
        </w:rPr>
        <w:t>thereof;</w:t>
      </w:r>
      <w:bookmarkEnd w:id="1253"/>
      <w:proofErr w:type="gramEnd"/>
    </w:p>
    <w:p w14:paraId="241A947B" w14:textId="768BE905" w:rsidR="0048699F" w:rsidRPr="000E5786" w:rsidRDefault="0048699F" w:rsidP="00DD60F0">
      <w:pPr>
        <w:pStyle w:val="Heading2"/>
        <w:spacing w:after="120"/>
        <w:rPr>
          <w:rFonts w:cs="Arial"/>
          <w:szCs w:val="20"/>
        </w:rPr>
      </w:pPr>
      <w:bookmarkStart w:id="1254" w:name="_Ref53585695"/>
      <w:r w:rsidRPr="000E5786">
        <w:rPr>
          <w:rFonts w:cs="Arial"/>
          <w:szCs w:val="20"/>
        </w:rPr>
        <w:t xml:space="preserve">the Supplier shall supply all the information required, and to any specified time, for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to report to the Department for Transport and HM Treasury as to compliance with the</w:t>
      </w:r>
      <w:r w:rsidR="007A21E7" w:rsidRPr="000E5786">
        <w:rPr>
          <w:rFonts w:cs="Arial"/>
          <w:szCs w:val="20"/>
        </w:rPr>
        <w:t xml:space="preserve"> </w:t>
      </w:r>
      <w:r w:rsidRPr="000E5786">
        <w:rPr>
          <w:rFonts w:cs="Arial"/>
          <w:szCs w:val="20"/>
        </w:rPr>
        <w:t xml:space="preserve">Intermediaries Legislation including the number of workers </w:t>
      </w:r>
      <w:proofErr w:type="gramStart"/>
      <w:r w:rsidRPr="000E5786">
        <w:rPr>
          <w:rFonts w:cs="Arial"/>
          <w:szCs w:val="20"/>
        </w:rPr>
        <w:t>affected;</w:t>
      </w:r>
      <w:bookmarkEnd w:id="1254"/>
      <w:proofErr w:type="gramEnd"/>
    </w:p>
    <w:p w14:paraId="2ABEE8C9" w14:textId="27946B24" w:rsidR="0048699F" w:rsidRPr="000E5786" w:rsidRDefault="0048699F" w:rsidP="00DD60F0">
      <w:pPr>
        <w:pStyle w:val="Heading2"/>
        <w:spacing w:after="120"/>
        <w:rPr>
          <w:rFonts w:cs="Arial"/>
          <w:szCs w:val="20"/>
        </w:rPr>
      </w:pPr>
      <w:bookmarkStart w:id="1255" w:name="_Ref53585696"/>
      <w:r w:rsidRPr="000E5786">
        <w:rPr>
          <w:rFonts w:cs="Arial"/>
          <w:szCs w:val="20"/>
        </w:rPr>
        <w:t xml:space="preserve">the Supplier shall be liable for and shall indemnify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against all and any loss, damage, cost, expense, liability, claims and proceedings whatsoever in respect of a failure of the Supplier to comply with this clause </w:t>
      </w:r>
      <w:r w:rsidR="0014616D" w:rsidRPr="000E5786">
        <w:rPr>
          <w:rFonts w:cs="Arial"/>
          <w:szCs w:val="20"/>
        </w:rPr>
        <w:fldChar w:fldCharType="begin"/>
      </w:r>
      <w:r w:rsidR="0014616D" w:rsidRPr="000E5786">
        <w:rPr>
          <w:rFonts w:cs="Arial"/>
          <w:szCs w:val="20"/>
        </w:rPr>
        <w:instrText xml:space="preserve">  REF _Ref53585750 \w \h \* MERGEFORMAT </w:instrText>
      </w:r>
      <w:r w:rsidR="0014616D" w:rsidRPr="000E5786">
        <w:rPr>
          <w:rFonts w:cs="Arial"/>
          <w:szCs w:val="20"/>
        </w:rPr>
      </w:r>
      <w:r w:rsidR="0014616D" w:rsidRPr="000E5786">
        <w:rPr>
          <w:rFonts w:cs="Arial"/>
          <w:szCs w:val="20"/>
        </w:rPr>
        <w:fldChar w:fldCharType="separate"/>
      </w:r>
      <w:r w:rsidR="002523A8" w:rsidRPr="000E5786">
        <w:rPr>
          <w:rFonts w:cs="Arial"/>
          <w:szCs w:val="20"/>
        </w:rPr>
        <w:t>52</w:t>
      </w:r>
      <w:r w:rsidR="0014616D" w:rsidRPr="000E5786">
        <w:rPr>
          <w:rFonts w:cs="Arial"/>
          <w:szCs w:val="20"/>
        </w:rPr>
        <w:fldChar w:fldCharType="end"/>
      </w:r>
      <w:r w:rsidRPr="000E5786">
        <w:rPr>
          <w:rFonts w:cs="Arial"/>
          <w:szCs w:val="20"/>
        </w:rPr>
        <w:t>;</w:t>
      </w:r>
      <w:bookmarkEnd w:id="1255"/>
    </w:p>
    <w:p w14:paraId="7A1ACEE1" w14:textId="7678C9EE" w:rsidR="003623C9" w:rsidRPr="00BE32D9" w:rsidRDefault="001F1C19" w:rsidP="003623C9">
      <w:pPr>
        <w:pStyle w:val="CommentText"/>
        <w:rPr>
          <w:rFonts w:ascii="Arial" w:hAnsi="Arial" w:cs="Arial"/>
        </w:rPr>
      </w:pPr>
      <w:bookmarkStart w:id="1256" w:name="_Ref53585697"/>
      <w:proofErr w:type="spellStart"/>
      <w:r>
        <w:rPr>
          <w:rFonts w:ascii="Arial" w:hAnsi="Arial" w:cs="Arial"/>
        </w:rPr>
        <w:t>Netlink</w:t>
      </w:r>
      <w:proofErr w:type="spellEnd"/>
      <w:r>
        <w:rPr>
          <w:rFonts w:ascii="Arial" w:hAnsi="Arial" w:cs="Arial"/>
        </w:rPr>
        <w:t xml:space="preserve"> Star</w:t>
      </w:r>
      <w:r w:rsidR="0048699F" w:rsidRPr="00BE32D9">
        <w:rPr>
          <w:rFonts w:ascii="Arial" w:hAnsi="Arial" w:cs="Arial"/>
        </w:rPr>
        <w:t xml:space="preserve"> shall provide all reasonably requested information within a reasonable timescale to support the Supplier in its compliance with the Intermediaries Legislation; and</w:t>
      </w:r>
    </w:p>
    <w:p w14:paraId="69B7B2A8" w14:textId="717F822D" w:rsidR="00713C50" w:rsidRPr="000E5786" w:rsidRDefault="00713C50" w:rsidP="00DD60F0">
      <w:pPr>
        <w:pStyle w:val="Heading2"/>
        <w:spacing w:after="120"/>
        <w:rPr>
          <w:rFonts w:cs="Arial"/>
          <w:szCs w:val="20"/>
        </w:rPr>
      </w:pPr>
    </w:p>
    <w:p w14:paraId="52DB7F2F" w14:textId="77777777" w:rsidR="003623C9" w:rsidRDefault="0048699F" w:rsidP="00DD60F0">
      <w:pPr>
        <w:pStyle w:val="Heading2"/>
        <w:spacing w:after="120"/>
        <w:rPr>
          <w:rFonts w:cs="Arial"/>
          <w:szCs w:val="20"/>
        </w:rPr>
      </w:pPr>
      <w:r w:rsidRPr="000E5786">
        <w:rPr>
          <w:rFonts w:cs="Arial"/>
          <w:szCs w:val="20"/>
        </w:rPr>
        <w:t xml:space="preserve"> </w:t>
      </w:r>
      <w:r w:rsidR="00713C50" w:rsidRPr="000E5786">
        <w:rPr>
          <w:rFonts w:cs="Arial"/>
          <w:szCs w:val="20"/>
        </w:rPr>
        <w:t>F</w:t>
      </w:r>
      <w:r w:rsidRPr="000E5786">
        <w:rPr>
          <w:rFonts w:cs="Arial"/>
          <w:szCs w:val="20"/>
        </w:rPr>
        <w:t xml:space="preserve">ailure by the Supplier to comply with this clause </w:t>
      </w:r>
      <w:r w:rsidR="00537A4F" w:rsidRPr="000E5786">
        <w:rPr>
          <w:rFonts w:cs="Arial"/>
          <w:szCs w:val="20"/>
        </w:rPr>
        <w:fldChar w:fldCharType="begin"/>
      </w:r>
      <w:r w:rsidR="00537A4F" w:rsidRPr="000E5786">
        <w:rPr>
          <w:rFonts w:cs="Arial"/>
          <w:szCs w:val="20"/>
        </w:rPr>
        <w:instrText xml:space="preserve">  REF _Ref53585750 \w \h \* MERGEFORMAT </w:instrText>
      </w:r>
      <w:r w:rsidR="00537A4F" w:rsidRPr="000E5786">
        <w:rPr>
          <w:rFonts w:cs="Arial"/>
          <w:szCs w:val="20"/>
        </w:rPr>
      </w:r>
      <w:r w:rsidR="00537A4F" w:rsidRPr="000E5786">
        <w:rPr>
          <w:rFonts w:cs="Arial"/>
          <w:szCs w:val="20"/>
        </w:rPr>
        <w:fldChar w:fldCharType="separate"/>
      </w:r>
      <w:r w:rsidR="002523A8" w:rsidRPr="000E5786">
        <w:rPr>
          <w:rFonts w:cs="Arial"/>
          <w:szCs w:val="20"/>
        </w:rPr>
        <w:t>52</w:t>
      </w:r>
      <w:r w:rsidR="00537A4F" w:rsidRPr="000E5786">
        <w:rPr>
          <w:rFonts w:cs="Arial"/>
          <w:szCs w:val="20"/>
        </w:rPr>
        <w:fldChar w:fldCharType="end"/>
      </w:r>
      <w:r w:rsidRPr="000E5786">
        <w:rPr>
          <w:rFonts w:cs="Arial"/>
          <w:szCs w:val="20"/>
        </w:rPr>
        <w:t xml:space="preserve"> shall be a Supplier Termination Event</w:t>
      </w:r>
    </w:p>
    <w:tbl>
      <w:tblPr>
        <w:tblW w:w="9075" w:type="dxa"/>
        <w:tblCellMar>
          <w:left w:w="0" w:type="dxa"/>
          <w:right w:w="0" w:type="dxa"/>
        </w:tblCellMar>
        <w:tblLook w:val="04A0" w:firstRow="1" w:lastRow="0" w:firstColumn="1" w:lastColumn="0" w:noHBand="0" w:noVBand="1"/>
      </w:tblPr>
      <w:tblGrid>
        <w:gridCol w:w="9467"/>
      </w:tblGrid>
      <w:tr w:rsidR="003623C9" w14:paraId="3755D5A6" w14:textId="77777777" w:rsidTr="003623C9">
        <w:trPr>
          <w:trHeight w:val="3313"/>
        </w:trPr>
        <w:tc>
          <w:tcPr>
            <w:tcW w:w="9075" w:type="dxa"/>
            <w:tcMar>
              <w:top w:w="0" w:type="dxa"/>
              <w:left w:w="108" w:type="dxa"/>
              <w:bottom w:w="0" w:type="dxa"/>
              <w:right w:w="108" w:type="dxa"/>
            </w:tcMar>
            <w:hideMark/>
          </w:tcPr>
          <w:tbl>
            <w:tblPr>
              <w:tblW w:w="9142" w:type="dxa"/>
              <w:tblInd w:w="109" w:type="dxa"/>
              <w:tblCellMar>
                <w:left w:w="0" w:type="dxa"/>
                <w:right w:w="0" w:type="dxa"/>
              </w:tblCellMar>
              <w:tblLook w:val="04A0" w:firstRow="1" w:lastRow="0" w:firstColumn="1" w:lastColumn="0" w:noHBand="0" w:noVBand="1"/>
            </w:tblPr>
            <w:tblGrid>
              <w:gridCol w:w="2500"/>
              <w:gridCol w:w="1705"/>
              <w:gridCol w:w="469"/>
              <w:gridCol w:w="1775"/>
              <w:gridCol w:w="2693"/>
            </w:tblGrid>
            <w:tr w:rsidR="003623C9" w14:paraId="70D30EF6" w14:textId="77777777" w:rsidTr="00285241">
              <w:trPr>
                <w:trHeight w:val="481"/>
              </w:trPr>
              <w:tc>
                <w:tcPr>
                  <w:tcW w:w="4205" w:type="dxa"/>
                  <w:gridSpan w:val="2"/>
                  <w:tcMar>
                    <w:top w:w="0" w:type="dxa"/>
                    <w:left w:w="108" w:type="dxa"/>
                    <w:bottom w:w="0" w:type="dxa"/>
                    <w:right w:w="108" w:type="dxa"/>
                  </w:tcMar>
                  <w:hideMark/>
                </w:tcPr>
                <w:p w14:paraId="44D67513" w14:textId="77777777" w:rsidR="003623C9" w:rsidRDefault="003623C9">
                  <w:pPr>
                    <w:spacing w:line="252" w:lineRule="auto"/>
                    <w:rPr>
                      <w:rFonts w:cs="Arial"/>
                      <w:szCs w:val="20"/>
                    </w:rPr>
                  </w:pPr>
                  <w:r>
                    <w:rPr>
                      <w:rFonts w:cs="Arial"/>
                      <w:szCs w:val="20"/>
                    </w:rPr>
                    <w:t>For and on behalf of</w:t>
                  </w:r>
                </w:p>
              </w:tc>
              <w:tc>
                <w:tcPr>
                  <w:tcW w:w="469" w:type="dxa"/>
                  <w:tcMar>
                    <w:top w:w="0" w:type="dxa"/>
                    <w:left w:w="108" w:type="dxa"/>
                    <w:bottom w:w="0" w:type="dxa"/>
                    <w:right w:w="108" w:type="dxa"/>
                  </w:tcMar>
                </w:tcPr>
                <w:p w14:paraId="72563949" w14:textId="77777777" w:rsidR="003623C9" w:rsidRDefault="003623C9">
                  <w:pPr>
                    <w:spacing w:line="252" w:lineRule="auto"/>
                    <w:rPr>
                      <w:rFonts w:cs="Arial"/>
                      <w:szCs w:val="20"/>
                    </w:rPr>
                  </w:pPr>
                </w:p>
              </w:tc>
              <w:tc>
                <w:tcPr>
                  <w:tcW w:w="4468" w:type="dxa"/>
                  <w:gridSpan w:val="2"/>
                  <w:tcMar>
                    <w:top w:w="0" w:type="dxa"/>
                    <w:left w:w="108" w:type="dxa"/>
                    <w:bottom w:w="0" w:type="dxa"/>
                    <w:right w:w="108" w:type="dxa"/>
                  </w:tcMar>
                  <w:hideMark/>
                </w:tcPr>
                <w:p w14:paraId="70E0881F" w14:textId="77777777" w:rsidR="003623C9" w:rsidRDefault="003623C9">
                  <w:pPr>
                    <w:spacing w:line="252" w:lineRule="auto"/>
                    <w:rPr>
                      <w:rFonts w:cs="Arial"/>
                      <w:szCs w:val="20"/>
                    </w:rPr>
                  </w:pPr>
                  <w:r>
                    <w:rPr>
                      <w:rFonts w:cs="Arial"/>
                      <w:szCs w:val="20"/>
                    </w:rPr>
                    <w:t>For and on behalf of</w:t>
                  </w:r>
                </w:p>
              </w:tc>
            </w:tr>
            <w:tr w:rsidR="003623C9" w14:paraId="2F939B32" w14:textId="77777777" w:rsidTr="00285241">
              <w:trPr>
                <w:trHeight w:val="963"/>
              </w:trPr>
              <w:tc>
                <w:tcPr>
                  <w:tcW w:w="4205" w:type="dxa"/>
                  <w:gridSpan w:val="2"/>
                  <w:tcMar>
                    <w:top w:w="0" w:type="dxa"/>
                    <w:left w:w="108" w:type="dxa"/>
                    <w:bottom w:w="0" w:type="dxa"/>
                    <w:right w:w="108" w:type="dxa"/>
                  </w:tcMar>
                  <w:hideMark/>
                </w:tcPr>
                <w:p w14:paraId="6BF1DD63" w14:textId="12E79631" w:rsidR="003623C9" w:rsidRDefault="001F1C19">
                  <w:pPr>
                    <w:spacing w:line="252" w:lineRule="auto"/>
                    <w:rPr>
                      <w:rFonts w:cs="Arial"/>
                      <w:b/>
                      <w:bCs/>
                      <w:szCs w:val="20"/>
                    </w:rPr>
                  </w:pPr>
                  <w:proofErr w:type="spellStart"/>
                  <w:r>
                    <w:rPr>
                      <w:rFonts w:cs="Arial"/>
                      <w:b/>
                      <w:bCs/>
                      <w:szCs w:val="20"/>
                    </w:rPr>
                    <w:t>Netlink</w:t>
                  </w:r>
                  <w:proofErr w:type="spellEnd"/>
                  <w:r>
                    <w:rPr>
                      <w:rFonts w:cs="Arial"/>
                      <w:b/>
                      <w:bCs/>
                      <w:szCs w:val="20"/>
                    </w:rPr>
                    <w:t xml:space="preserve"> Star</w:t>
                  </w:r>
                  <w:r w:rsidR="003623C9">
                    <w:rPr>
                      <w:rFonts w:cs="Arial"/>
                      <w:b/>
                      <w:bCs/>
                      <w:szCs w:val="20"/>
                    </w:rPr>
                    <w:t xml:space="preserve"> Infrastructure Limited</w:t>
                  </w:r>
                </w:p>
              </w:tc>
              <w:tc>
                <w:tcPr>
                  <w:tcW w:w="469" w:type="dxa"/>
                  <w:tcMar>
                    <w:top w:w="0" w:type="dxa"/>
                    <w:left w:w="108" w:type="dxa"/>
                    <w:bottom w:w="0" w:type="dxa"/>
                    <w:right w:w="108" w:type="dxa"/>
                  </w:tcMar>
                </w:tcPr>
                <w:p w14:paraId="38C72011" w14:textId="77777777" w:rsidR="003623C9" w:rsidRDefault="003623C9">
                  <w:pPr>
                    <w:spacing w:line="252" w:lineRule="auto"/>
                    <w:rPr>
                      <w:rFonts w:cs="Arial"/>
                      <w:szCs w:val="20"/>
                    </w:rPr>
                  </w:pPr>
                </w:p>
              </w:tc>
              <w:tc>
                <w:tcPr>
                  <w:tcW w:w="4468" w:type="dxa"/>
                  <w:gridSpan w:val="2"/>
                  <w:vAlign w:val="center"/>
                  <w:hideMark/>
                </w:tcPr>
                <w:p w14:paraId="4A2604D1" w14:textId="0F717B87" w:rsidR="003623C9" w:rsidRPr="003623C9" w:rsidRDefault="003623C9">
                  <w:pPr>
                    <w:rPr>
                      <w:rFonts w:ascii="Calibri" w:hAnsi="Calibri" w:cs="Calibri"/>
                      <w:b/>
                      <w:bCs/>
                      <w:sz w:val="22"/>
                      <w:szCs w:val="22"/>
                      <w:u w:val="single"/>
                    </w:rPr>
                  </w:pPr>
                  <w:r>
                    <w:t> </w:t>
                  </w:r>
                  <w:proofErr w:type="spellStart"/>
                  <w:r w:rsidR="000159CE">
                    <w:rPr>
                      <w:b/>
                      <w:bCs/>
                      <w:u w:val="single"/>
                    </w:rPr>
                    <w:t>Quroserv</w:t>
                  </w:r>
                  <w:proofErr w:type="spellEnd"/>
                  <w:r w:rsidRPr="003623C9">
                    <w:rPr>
                      <w:b/>
                      <w:bCs/>
                      <w:u w:val="single"/>
                    </w:rPr>
                    <w:t xml:space="preserve"> </w:t>
                  </w:r>
                  <w:r w:rsidR="00D07AAA">
                    <w:rPr>
                      <w:b/>
                      <w:bCs/>
                      <w:u w:val="single"/>
                    </w:rPr>
                    <w:t xml:space="preserve">UK </w:t>
                  </w:r>
                  <w:r w:rsidRPr="003623C9">
                    <w:rPr>
                      <w:b/>
                      <w:bCs/>
                      <w:u w:val="single"/>
                    </w:rPr>
                    <w:t>PLC</w:t>
                  </w:r>
                </w:p>
              </w:tc>
            </w:tr>
            <w:tr w:rsidR="003623C9" w14:paraId="0E3582DC" w14:textId="77777777" w:rsidTr="00285241">
              <w:trPr>
                <w:cantSplit/>
                <w:trHeight w:val="376"/>
              </w:trPr>
              <w:tc>
                <w:tcPr>
                  <w:tcW w:w="2500" w:type="dxa"/>
                  <w:tcMar>
                    <w:top w:w="0" w:type="dxa"/>
                    <w:left w:w="108" w:type="dxa"/>
                    <w:bottom w:w="0" w:type="dxa"/>
                    <w:right w:w="108" w:type="dxa"/>
                  </w:tcMar>
                  <w:hideMark/>
                </w:tcPr>
                <w:p w14:paraId="4CB59BC3" w14:textId="77777777" w:rsidR="003623C9" w:rsidRDefault="003623C9">
                  <w:pPr>
                    <w:pStyle w:val="BodyText"/>
                    <w:spacing w:line="252" w:lineRule="auto"/>
                    <w:rPr>
                      <w:rFonts w:cs="Arial"/>
                    </w:rPr>
                  </w:pPr>
                  <w:r>
                    <w:rPr>
                      <w:rFonts w:cs="Arial"/>
                    </w:rPr>
                    <w:t>Signature:</w:t>
                  </w:r>
                </w:p>
              </w:tc>
              <w:tc>
                <w:tcPr>
                  <w:tcW w:w="1705" w:type="dxa"/>
                  <w:tcBorders>
                    <w:top w:val="nil"/>
                    <w:left w:val="nil"/>
                    <w:bottom w:val="single" w:sz="8" w:space="0" w:color="auto"/>
                    <w:right w:val="nil"/>
                  </w:tcBorders>
                  <w:tcMar>
                    <w:top w:w="0" w:type="dxa"/>
                    <w:left w:w="108" w:type="dxa"/>
                    <w:bottom w:w="0" w:type="dxa"/>
                    <w:right w:w="108" w:type="dxa"/>
                  </w:tcMar>
                </w:tcPr>
                <w:p w14:paraId="6E25766E" w14:textId="77777777" w:rsidR="003623C9" w:rsidRDefault="003623C9">
                  <w:pPr>
                    <w:pStyle w:val="BodyText"/>
                    <w:spacing w:line="252" w:lineRule="auto"/>
                    <w:rPr>
                      <w:rFonts w:cs="Arial"/>
                    </w:rPr>
                  </w:pPr>
                </w:p>
              </w:tc>
              <w:tc>
                <w:tcPr>
                  <w:tcW w:w="469" w:type="dxa"/>
                  <w:tcMar>
                    <w:top w:w="0" w:type="dxa"/>
                    <w:left w:w="108" w:type="dxa"/>
                    <w:bottom w:w="0" w:type="dxa"/>
                    <w:right w:w="108" w:type="dxa"/>
                  </w:tcMar>
                </w:tcPr>
                <w:p w14:paraId="2E3D5E10" w14:textId="77777777" w:rsidR="003623C9" w:rsidRDefault="003623C9">
                  <w:pPr>
                    <w:pStyle w:val="BodyText"/>
                    <w:spacing w:line="252" w:lineRule="auto"/>
                    <w:rPr>
                      <w:rFonts w:cs="Arial"/>
                    </w:rPr>
                  </w:pPr>
                </w:p>
              </w:tc>
              <w:tc>
                <w:tcPr>
                  <w:tcW w:w="1775" w:type="dxa"/>
                  <w:tcMar>
                    <w:top w:w="0" w:type="dxa"/>
                    <w:left w:w="108" w:type="dxa"/>
                    <w:bottom w:w="0" w:type="dxa"/>
                    <w:right w:w="108" w:type="dxa"/>
                  </w:tcMar>
                  <w:hideMark/>
                </w:tcPr>
                <w:p w14:paraId="034E4849" w14:textId="77777777" w:rsidR="003623C9" w:rsidRDefault="003623C9">
                  <w:pPr>
                    <w:pStyle w:val="BodyText"/>
                    <w:spacing w:line="252" w:lineRule="auto"/>
                    <w:rPr>
                      <w:rFonts w:cs="Arial"/>
                    </w:rPr>
                  </w:pPr>
                  <w:r>
                    <w:rPr>
                      <w:rFonts w:cs="Arial"/>
                    </w:rPr>
                    <w:t>Signature:</w:t>
                  </w:r>
                </w:p>
              </w:tc>
              <w:tc>
                <w:tcPr>
                  <w:tcW w:w="2693" w:type="dxa"/>
                  <w:tcBorders>
                    <w:top w:val="nil"/>
                    <w:left w:val="nil"/>
                    <w:bottom w:val="single" w:sz="8" w:space="0" w:color="auto"/>
                    <w:right w:val="nil"/>
                  </w:tcBorders>
                  <w:tcMar>
                    <w:top w:w="0" w:type="dxa"/>
                    <w:left w:w="108" w:type="dxa"/>
                    <w:bottom w:w="0" w:type="dxa"/>
                    <w:right w:w="108" w:type="dxa"/>
                  </w:tcMar>
                </w:tcPr>
                <w:p w14:paraId="6D37BC08" w14:textId="77777777" w:rsidR="003623C9" w:rsidRDefault="003623C9">
                  <w:pPr>
                    <w:pStyle w:val="BodyText"/>
                    <w:spacing w:line="252" w:lineRule="auto"/>
                    <w:rPr>
                      <w:rFonts w:cs="Arial"/>
                    </w:rPr>
                  </w:pPr>
                </w:p>
              </w:tc>
            </w:tr>
            <w:tr w:rsidR="003623C9" w14:paraId="2AD55FDF" w14:textId="77777777" w:rsidTr="00285241">
              <w:trPr>
                <w:cantSplit/>
                <w:trHeight w:val="361"/>
              </w:trPr>
              <w:tc>
                <w:tcPr>
                  <w:tcW w:w="2500" w:type="dxa"/>
                  <w:tcMar>
                    <w:top w:w="0" w:type="dxa"/>
                    <w:left w:w="108" w:type="dxa"/>
                    <w:bottom w:w="0" w:type="dxa"/>
                    <w:right w:w="108" w:type="dxa"/>
                  </w:tcMar>
                </w:tcPr>
                <w:p w14:paraId="35E9F762" w14:textId="77777777" w:rsidR="003623C9" w:rsidRDefault="003623C9">
                  <w:pPr>
                    <w:pStyle w:val="BodyText"/>
                    <w:spacing w:line="252" w:lineRule="auto"/>
                    <w:rPr>
                      <w:rFonts w:cs="Arial"/>
                    </w:rPr>
                  </w:pPr>
                </w:p>
              </w:tc>
              <w:tc>
                <w:tcPr>
                  <w:tcW w:w="1705" w:type="dxa"/>
                  <w:tcMar>
                    <w:top w:w="0" w:type="dxa"/>
                    <w:left w:w="108" w:type="dxa"/>
                    <w:bottom w:w="0" w:type="dxa"/>
                    <w:right w:w="108" w:type="dxa"/>
                  </w:tcMar>
                </w:tcPr>
                <w:p w14:paraId="6BC42CB0" w14:textId="77777777" w:rsidR="003623C9" w:rsidRDefault="003623C9">
                  <w:pPr>
                    <w:pStyle w:val="BodyText"/>
                    <w:spacing w:line="252" w:lineRule="auto"/>
                    <w:rPr>
                      <w:rFonts w:cs="Arial"/>
                    </w:rPr>
                  </w:pPr>
                </w:p>
              </w:tc>
              <w:tc>
                <w:tcPr>
                  <w:tcW w:w="469" w:type="dxa"/>
                  <w:tcMar>
                    <w:top w:w="0" w:type="dxa"/>
                    <w:left w:w="108" w:type="dxa"/>
                    <w:bottom w:w="0" w:type="dxa"/>
                    <w:right w:w="108" w:type="dxa"/>
                  </w:tcMar>
                </w:tcPr>
                <w:p w14:paraId="5FF33DB8" w14:textId="77777777" w:rsidR="003623C9" w:rsidRDefault="003623C9">
                  <w:pPr>
                    <w:pStyle w:val="BodyText"/>
                    <w:spacing w:line="252" w:lineRule="auto"/>
                    <w:rPr>
                      <w:rFonts w:cs="Arial"/>
                    </w:rPr>
                  </w:pPr>
                </w:p>
              </w:tc>
              <w:tc>
                <w:tcPr>
                  <w:tcW w:w="1775" w:type="dxa"/>
                  <w:tcMar>
                    <w:top w:w="0" w:type="dxa"/>
                    <w:left w:w="108" w:type="dxa"/>
                    <w:bottom w:w="0" w:type="dxa"/>
                    <w:right w:w="108" w:type="dxa"/>
                  </w:tcMar>
                </w:tcPr>
                <w:p w14:paraId="11939756" w14:textId="77777777" w:rsidR="003623C9" w:rsidRDefault="003623C9">
                  <w:pPr>
                    <w:pStyle w:val="BodyText"/>
                    <w:spacing w:line="252" w:lineRule="auto"/>
                    <w:rPr>
                      <w:rFonts w:cs="Arial"/>
                    </w:rPr>
                  </w:pPr>
                </w:p>
              </w:tc>
              <w:tc>
                <w:tcPr>
                  <w:tcW w:w="2693" w:type="dxa"/>
                  <w:tcMar>
                    <w:top w:w="0" w:type="dxa"/>
                    <w:left w:w="108" w:type="dxa"/>
                    <w:bottom w:w="0" w:type="dxa"/>
                    <w:right w:w="108" w:type="dxa"/>
                  </w:tcMar>
                </w:tcPr>
                <w:p w14:paraId="66216966" w14:textId="77777777" w:rsidR="003623C9" w:rsidRDefault="003623C9">
                  <w:pPr>
                    <w:pStyle w:val="BodyText"/>
                    <w:spacing w:line="252" w:lineRule="auto"/>
                    <w:rPr>
                      <w:rFonts w:cs="Arial"/>
                    </w:rPr>
                  </w:pPr>
                </w:p>
              </w:tc>
            </w:tr>
            <w:tr w:rsidR="003623C9" w14:paraId="54FA4F09" w14:textId="77777777" w:rsidTr="00285241">
              <w:trPr>
                <w:cantSplit/>
                <w:trHeight w:val="361"/>
              </w:trPr>
              <w:tc>
                <w:tcPr>
                  <w:tcW w:w="2500" w:type="dxa"/>
                  <w:tcMar>
                    <w:top w:w="0" w:type="dxa"/>
                    <w:left w:w="108" w:type="dxa"/>
                    <w:bottom w:w="0" w:type="dxa"/>
                    <w:right w:w="108" w:type="dxa"/>
                  </w:tcMar>
                  <w:hideMark/>
                </w:tcPr>
                <w:p w14:paraId="56CBC47A" w14:textId="77777777" w:rsidR="003623C9" w:rsidRDefault="003623C9">
                  <w:pPr>
                    <w:pStyle w:val="BodyText"/>
                    <w:spacing w:line="252" w:lineRule="auto"/>
                    <w:rPr>
                      <w:rFonts w:cs="Arial"/>
                    </w:rPr>
                  </w:pPr>
                  <w:r>
                    <w:rPr>
                      <w:rFonts w:cs="Arial"/>
                    </w:rPr>
                    <w:t>Name:</w:t>
                  </w:r>
                </w:p>
              </w:tc>
              <w:tc>
                <w:tcPr>
                  <w:tcW w:w="1705" w:type="dxa"/>
                  <w:tcBorders>
                    <w:top w:val="nil"/>
                    <w:left w:val="nil"/>
                    <w:bottom w:val="single" w:sz="8" w:space="0" w:color="auto"/>
                    <w:right w:val="nil"/>
                  </w:tcBorders>
                  <w:tcMar>
                    <w:top w:w="0" w:type="dxa"/>
                    <w:left w:w="108" w:type="dxa"/>
                    <w:bottom w:w="0" w:type="dxa"/>
                    <w:right w:w="108" w:type="dxa"/>
                  </w:tcMar>
                </w:tcPr>
                <w:p w14:paraId="623D6DAF" w14:textId="77777777" w:rsidR="003623C9" w:rsidRDefault="003623C9">
                  <w:pPr>
                    <w:pStyle w:val="BodyText"/>
                    <w:spacing w:line="252" w:lineRule="auto"/>
                    <w:rPr>
                      <w:rFonts w:cs="Arial"/>
                    </w:rPr>
                  </w:pPr>
                </w:p>
              </w:tc>
              <w:tc>
                <w:tcPr>
                  <w:tcW w:w="469" w:type="dxa"/>
                  <w:tcMar>
                    <w:top w:w="0" w:type="dxa"/>
                    <w:left w:w="108" w:type="dxa"/>
                    <w:bottom w:w="0" w:type="dxa"/>
                    <w:right w:w="108" w:type="dxa"/>
                  </w:tcMar>
                </w:tcPr>
                <w:p w14:paraId="69A5CBF5" w14:textId="77777777" w:rsidR="003623C9" w:rsidRDefault="003623C9">
                  <w:pPr>
                    <w:pStyle w:val="BodyText"/>
                    <w:spacing w:line="252" w:lineRule="auto"/>
                    <w:rPr>
                      <w:rFonts w:cs="Arial"/>
                    </w:rPr>
                  </w:pPr>
                </w:p>
              </w:tc>
              <w:tc>
                <w:tcPr>
                  <w:tcW w:w="1775" w:type="dxa"/>
                  <w:tcMar>
                    <w:top w:w="0" w:type="dxa"/>
                    <w:left w:w="108" w:type="dxa"/>
                    <w:bottom w:w="0" w:type="dxa"/>
                    <w:right w:w="108" w:type="dxa"/>
                  </w:tcMar>
                  <w:hideMark/>
                </w:tcPr>
                <w:p w14:paraId="188E59BC" w14:textId="77777777" w:rsidR="003623C9" w:rsidRDefault="003623C9">
                  <w:pPr>
                    <w:pStyle w:val="BodyText"/>
                    <w:spacing w:line="252" w:lineRule="auto"/>
                    <w:rPr>
                      <w:rFonts w:cs="Arial"/>
                    </w:rPr>
                  </w:pPr>
                  <w:r>
                    <w:rPr>
                      <w:rFonts w:cs="Arial"/>
                    </w:rPr>
                    <w:t>Name:</w:t>
                  </w:r>
                </w:p>
              </w:tc>
              <w:tc>
                <w:tcPr>
                  <w:tcW w:w="2693" w:type="dxa"/>
                  <w:tcBorders>
                    <w:top w:val="nil"/>
                    <w:left w:val="nil"/>
                    <w:bottom w:val="single" w:sz="8" w:space="0" w:color="auto"/>
                    <w:right w:val="nil"/>
                  </w:tcBorders>
                  <w:tcMar>
                    <w:top w:w="0" w:type="dxa"/>
                    <w:left w:w="108" w:type="dxa"/>
                    <w:bottom w:w="0" w:type="dxa"/>
                    <w:right w:w="108" w:type="dxa"/>
                  </w:tcMar>
                </w:tcPr>
                <w:p w14:paraId="28155212" w14:textId="2D83EBE9" w:rsidR="003623C9" w:rsidRDefault="003623C9">
                  <w:pPr>
                    <w:pStyle w:val="BodyText"/>
                    <w:spacing w:line="252" w:lineRule="auto"/>
                    <w:rPr>
                      <w:rFonts w:cs="Arial"/>
                    </w:rPr>
                  </w:pPr>
                </w:p>
              </w:tc>
            </w:tr>
            <w:tr w:rsidR="003623C9" w14:paraId="6EA0F4B1" w14:textId="77777777" w:rsidTr="00285241">
              <w:trPr>
                <w:cantSplit/>
                <w:trHeight w:val="361"/>
              </w:trPr>
              <w:tc>
                <w:tcPr>
                  <w:tcW w:w="2500" w:type="dxa"/>
                  <w:tcMar>
                    <w:top w:w="0" w:type="dxa"/>
                    <w:left w:w="108" w:type="dxa"/>
                    <w:bottom w:w="0" w:type="dxa"/>
                    <w:right w:w="108" w:type="dxa"/>
                  </w:tcMar>
                </w:tcPr>
                <w:p w14:paraId="21B6E596" w14:textId="77777777" w:rsidR="003623C9" w:rsidRDefault="003623C9">
                  <w:pPr>
                    <w:pStyle w:val="BodyText"/>
                    <w:spacing w:line="252" w:lineRule="auto"/>
                    <w:rPr>
                      <w:rFonts w:cs="Arial"/>
                    </w:rPr>
                  </w:pPr>
                </w:p>
              </w:tc>
              <w:tc>
                <w:tcPr>
                  <w:tcW w:w="1705" w:type="dxa"/>
                  <w:tcMar>
                    <w:top w:w="0" w:type="dxa"/>
                    <w:left w:w="108" w:type="dxa"/>
                    <w:bottom w:w="0" w:type="dxa"/>
                    <w:right w:w="108" w:type="dxa"/>
                  </w:tcMar>
                </w:tcPr>
                <w:p w14:paraId="009272C1" w14:textId="77777777" w:rsidR="003623C9" w:rsidRDefault="003623C9">
                  <w:pPr>
                    <w:pStyle w:val="BodyText"/>
                    <w:spacing w:line="252" w:lineRule="auto"/>
                    <w:rPr>
                      <w:rFonts w:cs="Arial"/>
                    </w:rPr>
                  </w:pPr>
                </w:p>
              </w:tc>
              <w:tc>
                <w:tcPr>
                  <w:tcW w:w="469" w:type="dxa"/>
                  <w:tcMar>
                    <w:top w:w="0" w:type="dxa"/>
                    <w:left w:w="108" w:type="dxa"/>
                    <w:bottom w:w="0" w:type="dxa"/>
                    <w:right w:w="108" w:type="dxa"/>
                  </w:tcMar>
                </w:tcPr>
                <w:p w14:paraId="0D48FFA1" w14:textId="77777777" w:rsidR="003623C9" w:rsidRDefault="003623C9">
                  <w:pPr>
                    <w:pStyle w:val="BodyText"/>
                    <w:spacing w:line="252" w:lineRule="auto"/>
                    <w:rPr>
                      <w:rFonts w:cs="Arial"/>
                    </w:rPr>
                  </w:pPr>
                </w:p>
              </w:tc>
              <w:tc>
                <w:tcPr>
                  <w:tcW w:w="1775" w:type="dxa"/>
                  <w:tcMar>
                    <w:top w:w="0" w:type="dxa"/>
                    <w:left w:w="108" w:type="dxa"/>
                    <w:bottom w:w="0" w:type="dxa"/>
                    <w:right w:w="108" w:type="dxa"/>
                  </w:tcMar>
                </w:tcPr>
                <w:p w14:paraId="448368BB" w14:textId="77777777" w:rsidR="003623C9" w:rsidRDefault="003623C9">
                  <w:pPr>
                    <w:pStyle w:val="BodyText"/>
                    <w:spacing w:line="252" w:lineRule="auto"/>
                    <w:rPr>
                      <w:rFonts w:cs="Arial"/>
                    </w:rPr>
                  </w:pPr>
                </w:p>
              </w:tc>
              <w:tc>
                <w:tcPr>
                  <w:tcW w:w="2693" w:type="dxa"/>
                  <w:tcMar>
                    <w:top w:w="0" w:type="dxa"/>
                    <w:left w:w="108" w:type="dxa"/>
                    <w:bottom w:w="0" w:type="dxa"/>
                    <w:right w:w="108" w:type="dxa"/>
                  </w:tcMar>
                </w:tcPr>
                <w:p w14:paraId="0055977B" w14:textId="77777777" w:rsidR="003623C9" w:rsidRDefault="003623C9">
                  <w:pPr>
                    <w:pStyle w:val="BodyText"/>
                    <w:spacing w:line="252" w:lineRule="auto"/>
                    <w:rPr>
                      <w:rFonts w:cs="Arial"/>
                    </w:rPr>
                  </w:pPr>
                </w:p>
              </w:tc>
            </w:tr>
            <w:tr w:rsidR="003623C9" w14:paraId="24A39E2A" w14:textId="77777777" w:rsidTr="00285241">
              <w:trPr>
                <w:cantSplit/>
                <w:trHeight w:val="361"/>
              </w:trPr>
              <w:tc>
                <w:tcPr>
                  <w:tcW w:w="2500" w:type="dxa"/>
                  <w:tcMar>
                    <w:top w:w="0" w:type="dxa"/>
                    <w:left w:w="108" w:type="dxa"/>
                    <w:bottom w:w="0" w:type="dxa"/>
                    <w:right w:w="108" w:type="dxa"/>
                  </w:tcMar>
                  <w:hideMark/>
                </w:tcPr>
                <w:p w14:paraId="2FD80E2F" w14:textId="77777777" w:rsidR="003623C9" w:rsidRDefault="003623C9">
                  <w:pPr>
                    <w:pStyle w:val="BodyText"/>
                    <w:spacing w:line="252" w:lineRule="auto"/>
                    <w:rPr>
                      <w:rFonts w:cs="Arial"/>
                    </w:rPr>
                  </w:pPr>
                  <w:r>
                    <w:rPr>
                      <w:rFonts w:cs="Arial"/>
                    </w:rPr>
                    <w:t>Title:</w:t>
                  </w:r>
                </w:p>
              </w:tc>
              <w:tc>
                <w:tcPr>
                  <w:tcW w:w="1705" w:type="dxa"/>
                  <w:tcBorders>
                    <w:top w:val="nil"/>
                    <w:left w:val="nil"/>
                    <w:bottom w:val="single" w:sz="8" w:space="0" w:color="auto"/>
                    <w:right w:val="nil"/>
                  </w:tcBorders>
                  <w:tcMar>
                    <w:top w:w="0" w:type="dxa"/>
                    <w:left w:w="108" w:type="dxa"/>
                    <w:bottom w:w="0" w:type="dxa"/>
                    <w:right w:w="108" w:type="dxa"/>
                  </w:tcMar>
                </w:tcPr>
                <w:p w14:paraId="0EA4E7E3" w14:textId="77777777" w:rsidR="003623C9" w:rsidRDefault="003623C9">
                  <w:pPr>
                    <w:pStyle w:val="BodyText"/>
                    <w:spacing w:line="252" w:lineRule="auto"/>
                    <w:rPr>
                      <w:rFonts w:cs="Arial"/>
                    </w:rPr>
                  </w:pPr>
                </w:p>
              </w:tc>
              <w:tc>
                <w:tcPr>
                  <w:tcW w:w="469" w:type="dxa"/>
                  <w:tcMar>
                    <w:top w:w="0" w:type="dxa"/>
                    <w:left w:w="108" w:type="dxa"/>
                    <w:bottom w:w="0" w:type="dxa"/>
                    <w:right w:w="108" w:type="dxa"/>
                  </w:tcMar>
                </w:tcPr>
                <w:p w14:paraId="67609587" w14:textId="77777777" w:rsidR="003623C9" w:rsidRDefault="003623C9">
                  <w:pPr>
                    <w:pStyle w:val="BodyText"/>
                    <w:spacing w:line="252" w:lineRule="auto"/>
                    <w:rPr>
                      <w:rFonts w:cs="Arial"/>
                    </w:rPr>
                  </w:pPr>
                </w:p>
              </w:tc>
              <w:tc>
                <w:tcPr>
                  <w:tcW w:w="1775" w:type="dxa"/>
                  <w:tcMar>
                    <w:top w:w="0" w:type="dxa"/>
                    <w:left w:w="108" w:type="dxa"/>
                    <w:bottom w:w="0" w:type="dxa"/>
                    <w:right w:w="108" w:type="dxa"/>
                  </w:tcMar>
                  <w:hideMark/>
                </w:tcPr>
                <w:p w14:paraId="7F55405E" w14:textId="77777777" w:rsidR="003623C9" w:rsidRDefault="003623C9">
                  <w:pPr>
                    <w:pStyle w:val="BodyText"/>
                    <w:spacing w:line="252" w:lineRule="auto"/>
                    <w:rPr>
                      <w:rFonts w:cs="Arial"/>
                    </w:rPr>
                  </w:pPr>
                  <w:r>
                    <w:rPr>
                      <w:rFonts w:cs="Arial"/>
                    </w:rPr>
                    <w:t>Title:</w:t>
                  </w:r>
                </w:p>
              </w:tc>
              <w:tc>
                <w:tcPr>
                  <w:tcW w:w="2693" w:type="dxa"/>
                  <w:tcBorders>
                    <w:top w:val="nil"/>
                    <w:left w:val="nil"/>
                    <w:bottom w:val="single" w:sz="8" w:space="0" w:color="auto"/>
                    <w:right w:val="nil"/>
                  </w:tcBorders>
                  <w:tcMar>
                    <w:top w:w="0" w:type="dxa"/>
                    <w:left w:w="108" w:type="dxa"/>
                    <w:bottom w:w="0" w:type="dxa"/>
                    <w:right w:w="108" w:type="dxa"/>
                  </w:tcMar>
                </w:tcPr>
                <w:p w14:paraId="04935EAC" w14:textId="779C4DD2" w:rsidR="003623C9" w:rsidRDefault="00285241">
                  <w:pPr>
                    <w:pStyle w:val="BodyText"/>
                    <w:spacing w:line="252" w:lineRule="auto"/>
                    <w:rPr>
                      <w:rFonts w:cs="Arial"/>
                    </w:rPr>
                  </w:pPr>
                  <w:r>
                    <w:rPr>
                      <w:rFonts w:cs="Arial"/>
                    </w:rPr>
                    <w:t>UK Legal Finance Director</w:t>
                  </w:r>
                </w:p>
              </w:tc>
            </w:tr>
          </w:tbl>
          <w:p w14:paraId="33F77525" w14:textId="77777777" w:rsidR="003623C9" w:rsidRDefault="003623C9">
            <w:pPr>
              <w:rPr>
                <w:rFonts w:ascii="Times New Roman" w:hAnsi="Times New Roman"/>
                <w:szCs w:val="20"/>
              </w:rPr>
            </w:pPr>
          </w:p>
        </w:tc>
      </w:tr>
    </w:tbl>
    <w:p w14:paraId="72F20689" w14:textId="77777777" w:rsidR="003623C9" w:rsidRDefault="003623C9" w:rsidP="003623C9">
      <w:pPr>
        <w:rPr>
          <w:rFonts w:ascii="Calibri" w:eastAsiaTheme="minorHAnsi" w:hAnsi="Calibri" w:cs="Calibri"/>
          <w:sz w:val="22"/>
          <w:szCs w:val="22"/>
          <w:lang w:eastAsia="en-US"/>
        </w:rPr>
      </w:pPr>
    </w:p>
    <w:p w14:paraId="49F1AFAD" w14:textId="77777777" w:rsidR="003623C9" w:rsidRDefault="003623C9" w:rsidP="003623C9"/>
    <w:p w14:paraId="78F52009" w14:textId="69ED6228" w:rsidR="0048699F" w:rsidRPr="000E5786" w:rsidRDefault="0048699F" w:rsidP="003623C9">
      <w:pPr>
        <w:pStyle w:val="Heading2"/>
        <w:numPr>
          <w:ilvl w:val="0"/>
          <w:numId w:val="0"/>
        </w:numPr>
        <w:spacing w:after="120"/>
        <w:ind w:left="709"/>
        <w:rPr>
          <w:rFonts w:cs="Arial"/>
          <w:szCs w:val="20"/>
        </w:rPr>
      </w:pPr>
      <w:r w:rsidRPr="000E5786">
        <w:rPr>
          <w:rFonts w:cs="Arial"/>
          <w:szCs w:val="20"/>
        </w:rPr>
        <w:t>.</w:t>
      </w:r>
      <w:bookmarkEnd w:id="1256"/>
    </w:p>
    <w:p w14:paraId="11A4F71F" w14:textId="1DF10BC3" w:rsidR="00932673" w:rsidRPr="000E5786" w:rsidRDefault="007B00B3" w:rsidP="00DD60F0">
      <w:pPr>
        <w:rPr>
          <w:rFonts w:cs="Arial"/>
          <w:b/>
          <w:bCs/>
          <w:caps/>
          <w:szCs w:val="20"/>
        </w:rPr>
      </w:pPr>
      <w:r w:rsidRPr="000E5786">
        <w:rPr>
          <w:rFonts w:cs="Arial"/>
          <w:szCs w:val="20"/>
        </w:rPr>
        <w:br w:type="page"/>
      </w:r>
    </w:p>
    <w:p w14:paraId="7070F500" w14:textId="77777777" w:rsidR="002D5245" w:rsidRDefault="002D5245" w:rsidP="002D5245">
      <w:pPr>
        <w:jc w:val="center"/>
        <w:rPr>
          <w:rFonts w:cs="Arial"/>
          <w:b/>
          <w:bCs/>
          <w:szCs w:val="20"/>
        </w:rPr>
      </w:pPr>
      <w:r>
        <w:rPr>
          <w:rFonts w:cs="Arial"/>
          <w:b/>
          <w:bCs/>
          <w:szCs w:val="20"/>
        </w:rPr>
        <w:lastRenderedPageBreak/>
        <w:t>APPENDIX 1</w:t>
      </w:r>
    </w:p>
    <w:p w14:paraId="7A968336" w14:textId="7B34B389" w:rsidR="002D5245" w:rsidRDefault="002D5245" w:rsidP="002D5245">
      <w:pPr>
        <w:jc w:val="center"/>
        <w:rPr>
          <w:rFonts w:cs="Arial"/>
          <w:b/>
          <w:bCs/>
          <w:szCs w:val="20"/>
        </w:rPr>
      </w:pPr>
      <w:r>
        <w:rPr>
          <w:rFonts w:cs="Arial"/>
          <w:b/>
          <w:bCs/>
          <w:szCs w:val="20"/>
        </w:rPr>
        <w:t>COLLABORATION AGREEMENT</w:t>
      </w:r>
    </w:p>
    <w:tbl>
      <w:tblPr>
        <w:tblW w:w="5000" w:type="pct"/>
        <w:tblLayout w:type="fixed"/>
        <w:tblLook w:val="0000" w:firstRow="0" w:lastRow="0" w:firstColumn="0" w:lastColumn="0" w:noHBand="0" w:noVBand="0"/>
      </w:tblPr>
      <w:tblGrid>
        <w:gridCol w:w="9029"/>
      </w:tblGrid>
      <w:tr w:rsidR="00E538A1" w:rsidRPr="00235CE6" w14:paraId="5A63001C" w14:textId="77777777" w:rsidTr="00F57B9A">
        <w:trPr>
          <w:trHeight w:hRule="exact" w:val="1440"/>
        </w:trPr>
        <w:tc>
          <w:tcPr>
            <w:tcW w:w="5000" w:type="pct"/>
            <w:tcBorders>
              <w:bottom w:val="nil"/>
            </w:tcBorders>
          </w:tcPr>
          <w:p w14:paraId="0D7EF3FE" w14:textId="77777777" w:rsidR="00E538A1" w:rsidRPr="00235CE6" w:rsidRDefault="00E538A1" w:rsidP="00F57B9A">
            <w:pPr>
              <w:pStyle w:val="CommentText"/>
              <w:widowControl w:val="0"/>
              <w:rPr>
                <w:rFonts w:asciiTheme="minorHAnsi" w:hAnsiTheme="minorHAnsi" w:cstheme="minorHAnsi"/>
                <w:noProof/>
                <w:sz w:val="22"/>
                <w:szCs w:val="22"/>
              </w:rPr>
            </w:pPr>
          </w:p>
        </w:tc>
      </w:tr>
      <w:tr w:rsidR="00E538A1" w:rsidRPr="00235CE6" w14:paraId="026DF490" w14:textId="77777777" w:rsidTr="00F57B9A">
        <w:trPr>
          <w:trHeight w:hRule="exact" w:val="864"/>
        </w:trPr>
        <w:tc>
          <w:tcPr>
            <w:tcW w:w="5000" w:type="pct"/>
            <w:tcBorders>
              <w:bottom w:val="nil"/>
            </w:tcBorders>
          </w:tcPr>
          <w:p w14:paraId="23080BCA" w14:textId="77777777" w:rsidR="00E538A1" w:rsidRPr="00235CE6" w:rsidRDefault="00E538A1" w:rsidP="00F57B9A">
            <w:pPr>
              <w:widowControl w:val="0"/>
              <w:rPr>
                <w:rFonts w:asciiTheme="minorHAnsi" w:hAnsiTheme="minorHAnsi" w:cstheme="minorHAnsi"/>
                <w:sz w:val="22"/>
                <w:szCs w:val="22"/>
              </w:rPr>
            </w:pPr>
          </w:p>
          <w:p w14:paraId="06B90127" w14:textId="77777777" w:rsidR="00E538A1" w:rsidRPr="00235CE6" w:rsidRDefault="00E538A1" w:rsidP="00F57B9A">
            <w:pPr>
              <w:widowControl w:val="0"/>
              <w:rPr>
                <w:rFonts w:asciiTheme="minorHAnsi" w:hAnsiTheme="minorHAnsi" w:cstheme="minorHAnsi"/>
                <w:sz w:val="22"/>
                <w:szCs w:val="22"/>
              </w:rPr>
            </w:pPr>
          </w:p>
        </w:tc>
      </w:tr>
      <w:tr w:rsidR="00E538A1" w:rsidRPr="00235CE6" w14:paraId="48789611" w14:textId="77777777" w:rsidTr="00F57B9A">
        <w:trPr>
          <w:trHeight w:hRule="exact" w:val="2160"/>
        </w:trPr>
        <w:tc>
          <w:tcPr>
            <w:tcW w:w="5000" w:type="pct"/>
          </w:tcPr>
          <w:p w14:paraId="2CB8CC0B" w14:textId="77777777" w:rsidR="00E538A1" w:rsidRPr="00235CE6" w:rsidRDefault="00E538A1" w:rsidP="00E538A1">
            <w:pPr>
              <w:pStyle w:val="Heading7"/>
              <w:widowControl w:val="0"/>
              <w:numPr>
                <w:ilvl w:val="0"/>
                <w:numId w:val="0"/>
              </w:numPr>
              <w:spacing w:before="80"/>
              <w:rPr>
                <w:rFonts w:asciiTheme="minorHAnsi" w:hAnsiTheme="minorHAnsi" w:cstheme="minorHAnsi"/>
                <w:b/>
                <w:sz w:val="22"/>
              </w:rPr>
            </w:pPr>
          </w:p>
        </w:tc>
      </w:tr>
      <w:tr w:rsidR="00E538A1" w:rsidRPr="00235CE6" w14:paraId="0F100C52" w14:textId="77777777" w:rsidTr="00F57B9A">
        <w:trPr>
          <w:trHeight w:hRule="exact" w:val="1152"/>
        </w:trPr>
        <w:tc>
          <w:tcPr>
            <w:tcW w:w="5000" w:type="pct"/>
          </w:tcPr>
          <w:p w14:paraId="5521DC5F" w14:textId="77777777" w:rsidR="00E538A1" w:rsidRPr="002E3BC1" w:rsidRDefault="00E538A1" w:rsidP="00F57B9A">
            <w:pPr>
              <w:pStyle w:val="Cover1"/>
              <w:widowControl w:val="0"/>
              <w:spacing w:before="280"/>
              <w:jc w:val="both"/>
              <w:rPr>
                <w:rFonts w:cs="Arial"/>
                <w:sz w:val="20"/>
                <w:szCs w:val="20"/>
              </w:rPr>
            </w:pPr>
            <w:r w:rsidRPr="002E3BC1">
              <w:rPr>
                <w:rFonts w:cs="Arial"/>
                <w:sz w:val="20"/>
                <w:szCs w:val="20"/>
              </w:rPr>
              <w:t>Dated</w:t>
            </w:r>
            <w:r w:rsidRPr="002E3BC1">
              <w:rPr>
                <w:rFonts w:cs="Arial"/>
                <w:sz w:val="20"/>
                <w:szCs w:val="20"/>
              </w:rPr>
              <w:tab/>
            </w:r>
            <w:r w:rsidRPr="002E3BC1">
              <w:rPr>
                <w:rFonts w:cs="Arial"/>
                <w:sz w:val="20"/>
                <w:szCs w:val="20"/>
              </w:rPr>
              <w:tab/>
            </w:r>
          </w:p>
        </w:tc>
      </w:tr>
      <w:tr w:rsidR="00E538A1" w:rsidRPr="00235CE6" w14:paraId="247F96CD" w14:textId="77777777" w:rsidTr="00F57B9A">
        <w:trPr>
          <w:trHeight w:hRule="exact" w:val="6048"/>
        </w:trPr>
        <w:tc>
          <w:tcPr>
            <w:tcW w:w="5000" w:type="pct"/>
            <w:vAlign w:val="center"/>
          </w:tcPr>
          <w:p w14:paraId="75B5572A" w14:textId="71366890" w:rsidR="00E538A1" w:rsidRPr="002E3BC1" w:rsidRDefault="001F1C19" w:rsidP="00F57B9A">
            <w:pPr>
              <w:pStyle w:val="Cover2"/>
              <w:jc w:val="both"/>
              <w:rPr>
                <w:rFonts w:cs="Arial"/>
                <w:sz w:val="20"/>
                <w:szCs w:val="20"/>
              </w:rPr>
            </w:pPr>
            <w:proofErr w:type="spellStart"/>
            <w:r>
              <w:rPr>
                <w:rFonts w:cs="Arial"/>
                <w:sz w:val="20"/>
                <w:szCs w:val="20"/>
              </w:rPr>
              <w:t>Netlink</w:t>
            </w:r>
            <w:proofErr w:type="spellEnd"/>
            <w:r>
              <w:rPr>
                <w:rFonts w:cs="Arial"/>
                <w:sz w:val="20"/>
                <w:szCs w:val="20"/>
              </w:rPr>
              <w:t xml:space="preserve"> Star</w:t>
            </w:r>
            <w:r w:rsidR="00E538A1" w:rsidRPr="002E3BC1">
              <w:rPr>
                <w:rFonts w:cs="Arial"/>
                <w:sz w:val="20"/>
                <w:szCs w:val="20"/>
              </w:rPr>
              <w:t xml:space="preserve"> Infrastructure Limited </w:t>
            </w:r>
          </w:p>
          <w:p w14:paraId="48DDDAFF" w14:textId="77777777" w:rsidR="00E538A1" w:rsidRPr="002E3BC1" w:rsidRDefault="00E538A1" w:rsidP="00F57B9A">
            <w:pPr>
              <w:pStyle w:val="Cover2"/>
              <w:jc w:val="both"/>
              <w:rPr>
                <w:rFonts w:cs="Arial"/>
                <w:sz w:val="20"/>
                <w:szCs w:val="20"/>
              </w:rPr>
            </w:pPr>
            <w:r w:rsidRPr="002E3BC1">
              <w:rPr>
                <w:rFonts w:cs="Arial"/>
                <w:sz w:val="20"/>
                <w:szCs w:val="20"/>
              </w:rPr>
              <w:t>(Customer)</w:t>
            </w:r>
            <w:bookmarkStart w:id="1257" w:name="bmkNotParty2_001"/>
          </w:p>
          <w:p w14:paraId="0227427B" w14:textId="77777777" w:rsidR="00E538A1" w:rsidRPr="002E3BC1" w:rsidRDefault="00E538A1" w:rsidP="00F57B9A">
            <w:pPr>
              <w:pStyle w:val="Cover1"/>
              <w:rPr>
                <w:rFonts w:cs="Arial"/>
                <w:sz w:val="20"/>
                <w:szCs w:val="20"/>
              </w:rPr>
            </w:pPr>
            <w:r w:rsidRPr="002E3BC1">
              <w:rPr>
                <w:rFonts w:cs="Arial"/>
                <w:sz w:val="20"/>
                <w:szCs w:val="20"/>
              </w:rPr>
              <w:t>[XXX]</w:t>
            </w:r>
          </w:p>
          <w:p w14:paraId="372E13FE" w14:textId="77777777" w:rsidR="00E538A1" w:rsidRPr="002E3BC1" w:rsidRDefault="00E538A1" w:rsidP="00F57B9A">
            <w:pPr>
              <w:pStyle w:val="Cover2"/>
              <w:rPr>
                <w:rFonts w:cs="Arial"/>
                <w:sz w:val="20"/>
                <w:szCs w:val="20"/>
              </w:rPr>
            </w:pPr>
            <w:r w:rsidRPr="002E3BC1">
              <w:rPr>
                <w:rFonts w:cs="Arial"/>
                <w:sz w:val="20"/>
                <w:szCs w:val="20"/>
              </w:rPr>
              <w:t>(Supplier)</w:t>
            </w:r>
          </w:p>
          <w:p w14:paraId="7DC1D0A9" w14:textId="77777777" w:rsidR="00E538A1" w:rsidRPr="002E3BC1" w:rsidRDefault="00E538A1" w:rsidP="00F57B9A">
            <w:pPr>
              <w:pStyle w:val="Cover2"/>
              <w:jc w:val="both"/>
              <w:rPr>
                <w:rFonts w:cs="Arial"/>
                <w:sz w:val="20"/>
                <w:szCs w:val="20"/>
              </w:rPr>
            </w:pPr>
            <w:r w:rsidRPr="002E3BC1">
              <w:rPr>
                <w:rFonts w:cs="Arial"/>
                <w:sz w:val="20"/>
                <w:szCs w:val="20"/>
              </w:rPr>
              <w:t>and</w:t>
            </w:r>
          </w:p>
          <w:bookmarkEnd w:id="1257"/>
          <w:p w14:paraId="0F6EEEFD" w14:textId="77777777" w:rsidR="00E538A1" w:rsidRPr="002E3BC1" w:rsidRDefault="00E538A1" w:rsidP="00F57B9A">
            <w:pPr>
              <w:pStyle w:val="Cover1"/>
              <w:rPr>
                <w:rFonts w:cs="Arial"/>
                <w:sz w:val="20"/>
                <w:szCs w:val="20"/>
              </w:rPr>
            </w:pPr>
            <w:r w:rsidRPr="002E3BC1">
              <w:rPr>
                <w:rFonts w:cs="Arial"/>
                <w:sz w:val="20"/>
                <w:szCs w:val="20"/>
              </w:rPr>
              <w:t>each person who has separately executed a valid Accession Agreement in the form set out in Schedule 2</w:t>
            </w:r>
          </w:p>
          <w:p w14:paraId="2DD322AC" w14:textId="77777777" w:rsidR="00E538A1" w:rsidRPr="002E3BC1" w:rsidRDefault="00E538A1" w:rsidP="00F57B9A">
            <w:pPr>
              <w:pStyle w:val="Cover2"/>
              <w:rPr>
                <w:rFonts w:cs="Arial"/>
                <w:sz w:val="20"/>
                <w:szCs w:val="20"/>
              </w:rPr>
            </w:pPr>
            <w:r w:rsidRPr="002E3BC1">
              <w:rPr>
                <w:rFonts w:cs="Arial"/>
                <w:sz w:val="20"/>
                <w:szCs w:val="20"/>
              </w:rPr>
              <w:t>(Acceding Members)</w:t>
            </w:r>
          </w:p>
          <w:p w14:paraId="17E5F442" w14:textId="77777777" w:rsidR="00E538A1" w:rsidRPr="002E3BC1" w:rsidRDefault="00E538A1" w:rsidP="00F57B9A">
            <w:pPr>
              <w:pStyle w:val="Cover1"/>
              <w:rPr>
                <w:rFonts w:cs="Arial"/>
                <w:sz w:val="20"/>
                <w:szCs w:val="20"/>
              </w:rPr>
            </w:pPr>
          </w:p>
          <w:p w14:paraId="6BD83E4C" w14:textId="77777777" w:rsidR="00E538A1" w:rsidRPr="002E3BC1" w:rsidRDefault="00E538A1" w:rsidP="00F57B9A">
            <w:pPr>
              <w:pStyle w:val="Cover1"/>
              <w:jc w:val="both"/>
              <w:rPr>
                <w:rFonts w:cs="Arial"/>
                <w:sz w:val="20"/>
                <w:szCs w:val="20"/>
              </w:rPr>
            </w:pPr>
            <w:r w:rsidRPr="002E3BC1">
              <w:rPr>
                <w:rFonts w:cs="Arial"/>
                <w:sz w:val="20"/>
                <w:szCs w:val="20"/>
                <w:highlight w:val="yellow"/>
              </w:rPr>
              <w:br/>
            </w:r>
            <w:r w:rsidRPr="002E3BC1">
              <w:rPr>
                <w:rFonts w:cs="Arial"/>
                <w:sz w:val="20"/>
                <w:szCs w:val="20"/>
                <w:highlight w:val="yellow"/>
              </w:rPr>
              <w:br/>
            </w:r>
            <w:r w:rsidRPr="002E3BC1">
              <w:rPr>
                <w:rFonts w:cs="Arial"/>
                <w:sz w:val="20"/>
                <w:szCs w:val="20"/>
                <w:highlight w:val="yellow"/>
              </w:rPr>
              <w:br/>
            </w:r>
          </w:p>
          <w:p w14:paraId="61DADDE5" w14:textId="77777777" w:rsidR="00E538A1" w:rsidRPr="002E3BC1" w:rsidRDefault="00E538A1" w:rsidP="00F57B9A">
            <w:pPr>
              <w:pStyle w:val="Cover1"/>
              <w:widowControl w:val="0"/>
              <w:jc w:val="both"/>
              <w:rPr>
                <w:rFonts w:cs="Arial"/>
                <w:sz w:val="20"/>
                <w:szCs w:val="20"/>
              </w:rPr>
            </w:pPr>
          </w:p>
        </w:tc>
      </w:tr>
    </w:tbl>
    <w:p w14:paraId="25068C18" w14:textId="77777777" w:rsidR="00E538A1" w:rsidRDefault="00E538A1" w:rsidP="00B52BF5">
      <w:pPr>
        <w:pStyle w:val="TOC1"/>
      </w:pPr>
      <w:bookmarkStart w:id="1258" w:name="CurrentPosition"/>
      <w:bookmarkStart w:id="1259" w:name="CoverStart"/>
      <w:bookmarkEnd w:id="1258"/>
      <w:bookmarkEnd w:id="1259"/>
    </w:p>
    <w:p w14:paraId="3A542EF8" w14:textId="77777777" w:rsidR="00E538A1" w:rsidRDefault="00E538A1">
      <w:pPr>
        <w:rPr>
          <w:rFonts w:asciiTheme="minorHAnsi" w:hAnsiTheme="minorHAnsi" w:cstheme="minorHAnsi"/>
          <w:b/>
          <w:caps/>
          <w:sz w:val="22"/>
          <w:szCs w:val="22"/>
        </w:rPr>
      </w:pPr>
      <w:r>
        <w:rPr>
          <w:rFonts w:asciiTheme="minorHAnsi" w:hAnsiTheme="minorHAnsi" w:cstheme="minorHAnsi"/>
          <w:sz w:val="22"/>
        </w:rPr>
        <w:br w:type="page"/>
      </w:r>
    </w:p>
    <w:p w14:paraId="085024D9" w14:textId="07393FE0" w:rsidR="00E538A1" w:rsidRPr="00235CE6" w:rsidRDefault="00E538A1" w:rsidP="00B52BF5">
      <w:pPr>
        <w:pStyle w:val="TOC1"/>
      </w:pPr>
      <w:r w:rsidRPr="00235CE6">
        <w:lastRenderedPageBreak/>
        <w:t>Contents</w:t>
      </w:r>
    </w:p>
    <w:p w14:paraId="05A25621" w14:textId="77777777" w:rsidR="00E538A1" w:rsidRDefault="00E538A1" w:rsidP="00B52BF5">
      <w:pPr>
        <w:pStyle w:val="TOC1"/>
        <w:rPr>
          <w:rFonts w:asciiTheme="minorHAnsi" w:eastAsiaTheme="minorEastAsia" w:hAnsiTheme="minorHAnsi" w:cstheme="minorBidi"/>
          <w:sz w:val="22"/>
        </w:rPr>
      </w:pPr>
      <w:r w:rsidRPr="00235CE6">
        <w:rPr>
          <w:rFonts w:asciiTheme="minorHAnsi" w:hAnsiTheme="minorHAnsi" w:cstheme="minorHAnsi"/>
          <w:sz w:val="22"/>
        </w:rPr>
        <w:fldChar w:fldCharType="begin"/>
      </w:r>
      <w:r w:rsidRPr="00235CE6">
        <w:rPr>
          <w:rFonts w:asciiTheme="minorHAnsi" w:hAnsiTheme="minorHAnsi" w:cstheme="minorHAnsi"/>
          <w:sz w:val="22"/>
        </w:rPr>
        <w:instrText xml:space="preserve"> TOC \o "1-1" \w \h \b"main"</w:instrText>
      </w:r>
      <w:r w:rsidRPr="00235CE6">
        <w:rPr>
          <w:rFonts w:asciiTheme="minorHAnsi" w:hAnsiTheme="minorHAnsi" w:cstheme="minorHAnsi"/>
          <w:sz w:val="22"/>
        </w:rPr>
        <w:fldChar w:fldCharType="separate"/>
      </w:r>
      <w:hyperlink w:anchor="_Toc57263854" w:history="1">
        <w:r w:rsidRPr="003B48C3">
          <w:rPr>
            <w:rStyle w:val="Hyperlink"/>
            <w:rFonts w:cstheme="minorHAnsi"/>
          </w:rPr>
          <w:t>1</w:t>
        </w:r>
        <w:r w:rsidRPr="003B48C3">
          <w:rPr>
            <w:rStyle w:val="Hyperlink"/>
            <w:rFonts w:cstheme="minorHAnsi"/>
          </w:rPr>
          <w:tab/>
          <w:t>Interpretation</w:t>
        </w:r>
        <w:r>
          <w:tab/>
        </w:r>
        <w:r>
          <w:fldChar w:fldCharType="begin"/>
        </w:r>
        <w:r>
          <w:instrText xml:space="preserve"> PAGEREF _Toc57263854 \h </w:instrText>
        </w:r>
        <w:r>
          <w:fldChar w:fldCharType="separate"/>
        </w:r>
        <w:r>
          <w:t>2</w:t>
        </w:r>
        <w:r>
          <w:fldChar w:fldCharType="end"/>
        </w:r>
      </w:hyperlink>
    </w:p>
    <w:p w14:paraId="3FCED36E" w14:textId="77777777" w:rsidR="00E538A1" w:rsidRDefault="00000000" w:rsidP="00B52BF5">
      <w:pPr>
        <w:pStyle w:val="TOC1"/>
        <w:rPr>
          <w:rFonts w:asciiTheme="minorHAnsi" w:eastAsiaTheme="minorEastAsia" w:hAnsiTheme="minorHAnsi" w:cstheme="minorBidi"/>
          <w:sz w:val="22"/>
        </w:rPr>
      </w:pPr>
      <w:hyperlink w:anchor="_Toc57263855" w:history="1">
        <w:r w:rsidR="00E538A1" w:rsidRPr="003B48C3">
          <w:rPr>
            <w:rStyle w:val="Hyperlink"/>
            <w:rFonts w:cstheme="minorHAnsi"/>
          </w:rPr>
          <w:t>2</w:t>
        </w:r>
        <w:r w:rsidR="00E538A1" w:rsidRPr="003B48C3">
          <w:rPr>
            <w:rStyle w:val="Hyperlink"/>
            <w:rFonts w:cstheme="minorHAnsi"/>
          </w:rPr>
          <w:tab/>
          <w:t>Term</w:t>
        </w:r>
        <w:r w:rsidR="00E538A1">
          <w:tab/>
        </w:r>
        <w:r w:rsidR="00E538A1">
          <w:fldChar w:fldCharType="begin"/>
        </w:r>
        <w:r w:rsidR="00E538A1">
          <w:instrText xml:space="preserve"> PAGEREF _Toc57263855 \h </w:instrText>
        </w:r>
        <w:r w:rsidR="00E538A1">
          <w:fldChar w:fldCharType="separate"/>
        </w:r>
        <w:r w:rsidR="00E538A1">
          <w:t>2</w:t>
        </w:r>
        <w:r w:rsidR="00E538A1">
          <w:fldChar w:fldCharType="end"/>
        </w:r>
      </w:hyperlink>
    </w:p>
    <w:p w14:paraId="7C91F993" w14:textId="77777777" w:rsidR="00E538A1" w:rsidRDefault="00000000" w:rsidP="00B52BF5">
      <w:pPr>
        <w:pStyle w:val="TOC1"/>
        <w:rPr>
          <w:rFonts w:asciiTheme="minorHAnsi" w:eastAsiaTheme="minorEastAsia" w:hAnsiTheme="minorHAnsi" w:cstheme="minorBidi"/>
          <w:sz w:val="22"/>
        </w:rPr>
      </w:pPr>
      <w:hyperlink w:anchor="_Toc57263856" w:history="1">
        <w:r w:rsidR="00E538A1" w:rsidRPr="003B48C3">
          <w:rPr>
            <w:rStyle w:val="Hyperlink"/>
            <w:rFonts w:cstheme="minorHAnsi"/>
          </w:rPr>
          <w:t>3</w:t>
        </w:r>
        <w:r w:rsidR="00E538A1" w:rsidRPr="003B48C3">
          <w:rPr>
            <w:rStyle w:val="Hyperlink"/>
            <w:rFonts w:cstheme="minorHAnsi"/>
          </w:rPr>
          <w:tab/>
          <w:t>Accession</w:t>
        </w:r>
        <w:r w:rsidR="00E538A1">
          <w:tab/>
        </w:r>
        <w:r w:rsidR="00E538A1">
          <w:fldChar w:fldCharType="begin"/>
        </w:r>
        <w:r w:rsidR="00E538A1">
          <w:instrText xml:space="preserve"> PAGEREF _Toc57263856 \h </w:instrText>
        </w:r>
        <w:r w:rsidR="00E538A1">
          <w:fldChar w:fldCharType="separate"/>
        </w:r>
        <w:r w:rsidR="00E538A1">
          <w:t>3</w:t>
        </w:r>
        <w:r w:rsidR="00E538A1">
          <w:fldChar w:fldCharType="end"/>
        </w:r>
      </w:hyperlink>
    </w:p>
    <w:p w14:paraId="07207BB6" w14:textId="77777777" w:rsidR="00E538A1" w:rsidRDefault="00000000" w:rsidP="00B52BF5">
      <w:pPr>
        <w:pStyle w:val="TOC1"/>
        <w:rPr>
          <w:rFonts w:asciiTheme="minorHAnsi" w:eastAsiaTheme="minorEastAsia" w:hAnsiTheme="minorHAnsi" w:cstheme="minorBidi"/>
          <w:sz w:val="22"/>
        </w:rPr>
      </w:pPr>
      <w:hyperlink w:anchor="_Toc57263857" w:history="1">
        <w:r w:rsidR="00E538A1" w:rsidRPr="003B48C3">
          <w:rPr>
            <w:rStyle w:val="Hyperlink"/>
            <w:rFonts w:cstheme="minorHAnsi"/>
          </w:rPr>
          <w:t>4</w:t>
        </w:r>
        <w:r w:rsidR="00E538A1" w:rsidRPr="003B48C3">
          <w:rPr>
            <w:rStyle w:val="Hyperlink"/>
            <w:rFonts w:cstheme="minorHAnsi"/>
          </w:rPr>
          <w:tab/>
          <w:t>Purpose</w:t>
        </w:r>
        <w:r w:rsidR="00E538A1">
          <w:tab/>
        </w:r>
        <w:r w:rsidR="00E538A1">
          <w:fldChar w:fldCharType="begin"/>
        </w:r>
        <w:r w:rsidR="00E538A1">
          <w:instrText xml:space="preserve"> PAGEREF _Toc57263857 \h </w:instrText>
        </w:r>
        <w:r w:rsidR="00E538A1">
          <w:fldChar w:fldCharType="separate"/>
        </w:r>
        <w:r w:rsidR="00E538A1">
          <w:t>3</w:t>
        </w:r>
        <w:r w:rsidR="00E538A1">
          <w:fldChar w:fldCharType="end"/>
        </w:r>
      </w:hyperlink>
    </w:p>
    <w:p w14:paraId="0436999C" w14:textId="77777777" w:rsidR="00E538A1" w:rsidRDefault="00000000" w:rsidP="00B52BF5">
      <w:pPr>
        <w:pStyle w:val="TOC1"/>
        <w:rPr>
          <w:rFonts w:asciiTheme="minorHAnsi" w:eastAsiaTheme="minorEastAsia" w:hAnsiTheme="minorHAnsi" w:cstheme="minorBidi"/>
          <w:sz w:val="22"/>
        </w:rPr>
      </w:pPr>
      <w:hyperlink w:anchor="_Toc57263858" w:history="1">
        <w:r w:rsidR="00E538A1" w:rsidRPr="003B48C3">
          <w:rPr>
            <w:rStyle w:val="Hyperlink"/>
            <w:rFonts w:cstheme="minorHAnsi"/>
          </w:rPr>
          <w:t>5</w:t>
        </w:r>
        <w:r w:rsidR="00E538A1" w:rsidRPr="003B48C3">
          <w:rPr>
            <w:rStyle w:val="Hyperlink"/>
            <w:rFonts w:cstheme="minorHAnsi"/>
          </w:rPr>
          <w:tab/>
          <w:t>Cooperation and Collaboration</w:t>
        </w:r>
        <w:r w:rsidR="00E538A1">
          <w:tab/>
        </w:r>
        <w:r w:rsidR="00E538A1">
          <w:fldChar w:fldCharType="begin"/>
        </w:r>
        <w:r w:rsidR="00E538A1">
          <w:instrText xml:space="preserve"> PAGEREF _Toc57263858 \h </w:instrText>
        </w:r>
        <w:r w:rsidR="00E538A1">
          <w:fldChar w:fldCharType="separate"/>
        </w:r>
        <w:r w:rsidR="00E538A1">
          <w:t>4</w:t>
        </w:r>
        <w:r w:rsidR="00E538A1">
          <w:fldChar w:fldCharType="end"/>
        </w:r>
      </w:hyperlink>
    </w:p>
    <w:p w14:paraId="3DAFBAC2" w14:textId="77777777" w:rsidR="00E538A1" w:rsidRDefault="00000000" w:rsidP="00B52BF5">
      <w:pPr>
        <w:pStyle w:val="TOC1"/>
        <w:rPr>
          <w:rFonts w:asciiTheme="minorHAnsi" w:eastAsiaTheme="minorEastAsia" w:hAnsiTheme="minorHAnsi" w:cstheme="minorBidi"/>
          <w:sz w:val="22"/>
        </w:rPr>
      </w:pPr>
      <w:hyperlink w:anchor="_Toc57263859" w:history="1">
        <w:r w:rsidR="00E538A1" w:rsidRPr="003B48C3">
          <w:rPr>
            <w:rStyle w:val="Hyperlink"/>
            <w:rFonts w:cstheme="minorHAnsi"/>
          </w:rPr>
          <w:t>6</w:t>
        </w:r>
        <w:r w:rsidR="00E538A1" w:rsidRPr="003B48C3">
          <w:rPr>
            <w:rStyle w:val="Hyperlink"/>
            <w:rFonts w:cstheme="minorHAnsi"/>
          </w:rPr>
          <w:tab/>
          <w:t>Dependencies</w:t>
        </w:r>
        <w:r w:rsidR="00E538A1">
          <w:tab/>
        </w:r>
        <w:r w:rsidR="00E538A1">
          <w:fldChar w:fldCharType="begin"/>
        </w:r>
        <w:r w:rsidR="00E538A1">
          <w:instrText xml:space="preserve"> PAGEREF _Toc57263859 \h </w:instrText>
        </w:r>
        <w:r w:rsidR="00E538A1">
          <w:fldChar w:fldCharType="separate"/>
        </w:r>
        <w:r w:rsidR="00E538A1">
          <w:t>4</w:t>
        </w:r>
        <w:r w:rsidR="00E538A1">
          <w:fldChar w:fldCharType="end"/>
        </w:r>
      </w:hyperlink>
    </w:p>
    <w:p w14:paraId="199C6A16" w14:textId="77777777" w:rsidR="00E538A1" w:rsidRDefault="00000000" w:rsidP="00B52BF5">
      <w:pPr>
        <w:pStyle w:val="TOC1"/>
        <w:rPr>
          <w:rFonts w:asciiTheme="minorHAnsi" w:eastAsiaTheme="minorEastAsia" w:hAnsiTheme="minorHAnsi" w:cstheme="minorBidi"/>
          <w:sz w:val="22"/>
        </w:rPr>
      </w:pPr>
      <w:hyperlink w:anchor="_Toc57263860" w:history="1">
        <w:r w:rsidR="00E538A1" w:rsidRPr="003B48C3">
          <w:rPr>
            <w:rStyle w:val="Hyperlink"/>
            <w:rFonts w:cstheme="minorHAnsi"/>
          </w:rPr>
          <w:t>7</w:t>
        </w:r>
        <w:r w:rsidR="00E538A1" w:rsidRPr="003B48C3">
          <w:rPr>
            <w:rStyle w:val="Hyperlink"/>
            <w:rFonts w:cstheme="minorHAnsi"/>
          </w:rPr>
          <w:tab/>
          <w:t>Remediation</w:t>
        </w:r>
        <w:r w:rsidR="00E538A1">
          <w:tab/>
        </w:r>
        <w:r w:rsidR="00E538A1">
          <w:fldChar w:fldCharType="begin"/>
        </w:r>
        <w:r w:rsidR="00E538A1">
          <w:instrText xml:space="preserve"> PAGEREF _Toc57263860 \h </w:instrText>
        </w:r>
        <w:r w:rsidR="00E538A1">
          <w:fldChar w:fldCharType="separate"/>
        </w:r>
        <w:r w:rsidR="00E538A1">
          <w:t>6</w:t>
        </w:r>
        <w:r w:rsidR="00E538A1">
          <w:fldChar w:fldCharType="end"/>
        </w:r>
      </w:hyperlink>
    </w:p>
    <w:p w14:paraId="209E9E05" w14:textId="77777777" w:rsidR="00E538A1" w:rsidRDefault="00000000" w:rsidP="00B52BF5">
      <w:pPr>
        <w:pStyle w:val="TOC1"/>
        <w:rPr>
          <w:rFonts w:asciiTheme="minorHAnsi" w:eastAsiaTheme="minorEastAsia" w:hAnsiTheme="minorHAnsi" w:cstheme="minorBidi"/>
          <w:sz w:val="22"/>
        </w:rPr>
      </w:pPr>
      <w:hyperlink w:anchor="_Toc57263861" w:history="1">
        <w:r w:rsidR="00E538A1" w:rsidRPr="003B48C3">
          <w:rPr>
            <w:rStyle w:val="Hyperlink"/>
            <w:rFonts w:cstheme="minorHAnsi"/>
          </w:rPr>
          <w:t>8</w:t>
        </w:r>
        <w:r w:rsidR="00E538A1" w:rsidRPr="003B48C3">
          <w:rPr>
            <w:rStyle w:val="Hyperlink"/>
            <w:rFonts w:cstheme="minorHAnsi"/>
          </w:rPr>
          <w:tab/>
          <w:t>Charges and payment</w:t>
        </w:r>
        <w:r w:rsidR="00E538A1">
          <w:tab/>
        </w:r>
        <w:r w:rsidR="00E538A1">
          <w:fldChar w:fldCharType="begin"/>
        </w:r>
        <w:r w:rsidR="00E538A1">
          <w:instrText xml:space="preserve"> PAGEREF _Toc57263861 \h </w:instrText>
        </w:r>
        <w:r w:rsidR="00E538A1">
          <w:fldChar w:fldCharType="separate"/>
        </w:r>
        <w:r w:rsidR="00E538A1">
          <w:t>6</w:t>
        </w:r>
        <w:r w:rsidR="00E538A1">
          <w:fldChar w:fldCharType="end"/>
        </w:r>
      </w:hyperlink>
    </w:p>
    <w:p w14:paraId="0020D8FF" w14:textId="77777777" w:rsidR="00E538A1" w:rsidRDefault="00000000" w:rsidP="00B52BF5">
      <w:pPr>
        <w:pStyle w:val="TOC1"/>
        <w:rPr>
          <w:rFonts w:asciiTheme="minorHAnsi" w:eastAsiaTheme="minorEastAsia" w:hAnsiTheme="minorHAnsi" w:cstheme="minorBidi"/>
          <w:sz w:val="22"/>
        </w:rPr>
      </w:pPr>
      <w:hyperlink w:anchor="_Toc57263862" w:history="1">
        <w:r w:rsidR="00E538A1" w:rsidRPr="003B48C3">
          <w:rPr>
            <w:rStyle w:val="Hyperlink"/>
            <w:rFonts w:cstheme="minorHAnsi"/>
          </w:rPr>
          <w:t>9</w:t>
        </w:r>
        <w:r w:rsidR="00E538A1" w:rsidRPr="003B48C3">
          <w:rPr>
            <w:rStyle w:val="Hyperlink"/>
            <w:rFonts w:cstheme="minorHAnsi"/>
          </w:rPr>
          <w:tab/>
          <w:t>Governance</w:t>
        </w:r>
        <w:r w:rsidR="00E538A1">
          <w:tab/>
        </w:r>
        <w:r w:rsidR="00E538A1">
          <w:fldChar w:fldCharType="begin"/>
        </w:r>
        <w:r w:rsidR="00E538A1">
          <w:instrText xml:space="preserve"> PAGEREF _Toc57263862 \h </w:instrText>
        </w:r>
        <w:r w:rsidR="00E538A1">
          <w:fldChar w:fldCharType="separate"/>
        </w:r>
        <w:r w:rsidR="00E538A1">
          <w:t>6</w:t>
        </w:r>
        <w:r w:rsidR="00E538A1">
          <w:fldChar w:fldCharType="end"/>
        </w:r>
      </w:hyperlink>
    </w:p>
    <w:p w14:paraId="07316470" w14:textId="77777777" w:rsidR="00E538A1" w:rsidRDefault="00000000" w:rsidP="00B52BF5">
      <w:pPr>
        <w:pStyle w:val="TOC1"/>
        <w:rPr>
          <w:rFonts w:asciiTheme="minorHAnsi" w:eastAsiaTheme="minorEastAsia" w:hAnsiTheme="minorHAnsi" w:cstheme="minorBidi"/>
          <w:sz w:val="22"/>
        </w:rPr>
      </w:pPr>
      <w:hyperlink w:anchor="_Toc57263863" w:history="1">
        <w:r w:rsidR="00E538A1" w:rsidRPr="003B48C3">
          <w:rPr>
            <w:rStyle w:val="Hyperlink"/>
            <w:rFonts w:cstheme="minorHAnsi"/>
          </w:rPr>
          <w:t>10</w:t>
        </w:r>
        <w:r w:rsidR="00E538A1" w:rsidRPr="003B48C3">
          <w:rPr>
            <w:rStyle w:val="Hyperlink"/>
            <w:rFonts w:cstheme="minorHAnsi"/>
          </w:rPr>
          <w:tab/>
          <w:t>Intellectual property</w:t>
        </w:r>
        <w:r w:rsidR="00E538A1">
          <w:tab/>
        </w:r>
        <w:r w:rsidR="00E538A1">
          <w:fldChar w:fldCharType="begin"/>
        </w:r>
        <w:r w:rsidR="00E538A1">
          <w:instrText xml:space="preserve"> PAGEREF _Toc57263863 \h </w:instrText>
        </w:r>
        <w:r w:rsidR="00E538A1">
          <w:fldChar w:fldCharType="separate"/>
        </w:r>
        <w:r w:rsidR="00E538A1">
          <w:t>7</w:t>
        </w:r>
        <w:r w:rsidR="00E538A1">
          <w:fldChar w:fldCharType="end"/>
        </w:r>
      </w:hyperlink>
    </w:p>
    <w:p w14:paraId="0CE6E034" w14:textId="77777777" w:rsidR="00E538A1" w:rsidRDefault="00000000" w:rsidP="00B52BF5">
      <w:pPr>
        <w:pStyle w:val="TOC1"/>
        <w:rPr>
          <w:rFonts w:asciiTheme="minorHAnsi" w:eastAsiaTheme="minorEastAsia" w:hAnsiTheme="minorHAnsi" w:cstheme="minorBidi"/>
          <w:sz w:val="22"/>
        </w:rPr>
      </w:pPr>
      <w:hyperlink w:anchor="_Toc57263864" w:history="1">
        <w:r w:rsidR="00E538A1" w:rsidRPr="003B48C3">
          <w:rPr>
            <w:rStyle w:val="Hyperlink"/>
            <w:rFonts w:cstheme="minorHAnsi"/>
          </w:rPr>
          <w:t>11</w:t>
        </w:r>
        <w:r w:rsidR="00E538A1" w:rsidRPr="003B48C3">
          <w:rPr>
            <w:rStyle w:val="Hyperlink"/>
            <w:rFonts w:cstheme="minorHAnsi"/>
          </w:rPr>
          <w:tab/>
          <w:t>Confidentiality</w:t>
        </w:r>
        <w:r w:rsidR="00E538A1">
          <w:tab/>
        </w:r>
        <w:r w:rsidR="00E538A1">
          <w:fldChar w:fldCharType="begin"/>
        </w:r>
        <w:r w:rsidR="00E538A1">
          <w:instrText xml:space="preserve"> PAGEREF _Toc57263864 \h </w:instrText>
        </w:r>
        <w:r w:rsidR="00E538A1">
          <w:fldChar w:fldCharType="separate"/>
        </w:r>
        <w:r w:rsidR="00E538A1">
          <w:t>7</w:t>
        </w:r>
        <w:r w:rsidR="00E538A1">
          <w:fldChar w:fldCharType="end"/>
        </w:r>
      </w:hyperlink>
    </w:p>
    <w:p w14:paraId="1033DFA2" w14:textId="77777777" w:rsidR="00E538A1" w:rsidRDefault="00000000" w:rsidP="00B52BF5">
      <w:pPr>
        <w:pStyle w:val="TOC1"/>
        <w:rPr>
          <w:rFonts w:asciiTheme="minorHAnsi" w:eastAsiaTheme="minorEastAsia" w:hAnsiTheme="minorHAnsi" w:cstheme="minorBidi"/>
          <w:sz w:val="22"/>
        </w:rPr>
      </w:pPr>
      <w:hyperlink w:anchor="_Toc57263865" w:history="1">
        <w:r w:rsidR="00E538A1" w:rsidRPr="003B48C3">
          <w:rPr>
            <w:rStyle w:val="Hyperlink"/>
            <w:rFonts w:cstheme="minorHAnsi"/>
          </w:rPr>
          <w:t>12</w:t>
        </w:r>
        <w:r w:rsidR="00E538A1" w:rsidRPr="003B48C3">
          <w:rPr>
            <w:rStyle w:val="Hyperlink"/>
            <w:rFonts w:cstheme="minorHAnsi"/>
          </w:rPr>
          <w:tab/>
          <w:t>Liability and limitations</w:t>
        </w:r>
        <w:r w:rsidR="00E538A1">
          <w:tab/>
        </w:r>
        <w:r w:rsidR="00E538A1">
          <w:fldChar w:fldCharType="begin"/>
        </w:r>
        <w:r w:rsidR="00E538A1">
          <w:instrText xml:space="preserve"> PAGEREF _Toc57263865 \h </w:instrText>
        </w:r>
        <w:r w:rsidR="00E538A1">
          <w:fldChar w:fldCharType="separate"/>
        </w:r>
        <w:r w:rsidR="00E538A1">
          <w:t>9</w:t>
        </w:r>
        <w:r w:rsidR="00E538A1">
          <w:fldChar w:fldCharType="end"/>
        </w:r>
      </w:hyperlink>
    </w:p>
    <w:p w14:paraId="31170FA4" w14:textId="77777777" w:rsidR="00E538A1" w:rsidRDefault="00000000" w:rsidP="00B52BF5">
      <w:pPr>
        <w:pStyle w:val="TOC1"/>
        <w:rPr>
          <w:rFonts w:asciiTheme="minorHAnsi" w:eastAsiaTheme="minorEastAsia" w:hAnsiTheme="minorHAnsi" w:cstheme="minorBidi"/>
          <w:sz w:val="22"/>
        </w:rPr>
      </w:pPr>
      <w:hyperlink w:anchor="_Toc57263866" w:history="1">
        <w:r w:rsidR="00E538A1" w:rsidRPr="003B48C3">
          <w:rPr>
            <w:rStyle w:val="Hyperlink"/>
            <w:rFonts w:cstheme="minorHAnsi"/>
          </w:rPr>
          <w:t>13</w:t>
        </w:r>
        <w:r w:rsidR="00E538A1" w:rsidRPr="003B48C3">
          <w:rPr>
            <w:rStyle w:val="Hyperlink"/>
            <w:rFonts w:cstheme="minorHAnsi"/>
          </w:rPr>
          <w:tab/>
          <w:t>Termination</w:t>
        </w:r>
        <w:r w:rsidR="00E538A1">
          <w:tab/>
        </w:r>
        <w:r w:rsidR="00E538A1">
          <w:fldChar w:fldCharType="begin"/>
        </w:r>
        <w:r w:rsidR="00E538A1">
          <w:instrText xml:space="preserve"> PAGEREF _Toc57263866 \h </w:instrText>
        </w:r>
        <w:r w:rsidR="00E538A1">
          <w:fldChar w:fldCharType="separate"/>
        </w:r>
        <w:r w:rsidR="00E538A1">
          <w:t>10</w:t>
        </w:r>
        <w:r w:rsidR="00E538A1">
          <w:fldChar w:fldCharType="end"/>
        </w:r>
      </w:hyperlink>
    </w:p>
    <w:p w14:paraId="5CBFC597" w14:textId="77777777" w:rsidR="00E538A1" w:rsidRDefault="00000000" w:rsidP="00B52BF5">
      <w:pPr>
        <w:pStyle w:val="TOC1"/>
        <w:rPr>
          <w:rFonts w:asciiTheme="minorHAnsi" w:eastAsiaTheme="minorEastAsia" w:hAnsiTheme="minorHAnsi" w:cstheme="minorBidi"/>
          <w:sz w:val="22"/>
        </w:rPr>
      </w:pPr>
      <w:hyperlink w:anchor="_Toc57263867" w:history="1">
        <w:r w:rsidR="00E538A1" w:rsidRPr="003B48C3">
          <w:rPr>
            <w:rStyle w:val="Hyperlink"/>
            <w:rFonts w:cstheme="minorHAnsi"/>
          </w:rPr>
          <w:t>14</w:t>
        </w:r>
        <w:r w:rsidR="00E538A1" w:rsidRPr="003B48C3">
          <w:rPr>
            <w:rStyle w:val="Hyperlink"/>
            <w:rFonts w:cstheme="minorHAnsi"/>
          </w:rPr>
          <w:tab/>
          <w:t>Consequences of termination</w:t>
        </w:r>
        <w:r w:rsidR="00E538A1">
          <w:tab/>
        </w:r>
        <w:r w:rsidR="00E538A1">
          <w:fldChar w:fldCharType="begin"/>
        </w:r>
        <w:r w:rsidR="00E538A1">
          <w:instrText xml:space="preserve"> PAGEREF _Toc57263867 \h </w:instrText>
        </w:r>
        <w:r w:rsidR="00E538A1">
          <w:fldChar w:fldCharType="separate"/>
        </w:r>
        <w:r w:rsidR="00E538A1">
          <w:t>11</w:t>
        </w:r>
        <w:r w:rsidR="00E538A1">
          <w:fldChar w:fldCharType="end"/>
        </w:r>
      </w:hyperlink>
    </w:p>
    <w:p w14:paraId="440C28D7" w14:textId="77777777" w:rsidR="00E538A1" w:rsidRDefault="00000000" w:rsidP="00B52BF5">
      <w:pPr>
        <w:pStyle w:val="TOC1"/>
        <w:rPr>
          <w:rFonts w:asciiTheme="minorHAnsi" w:eastAsiaTheme="minorEastAsia" w:hAnsiTheme="minorHAnsi" w:cstheme="minorBidi"/>
          <w:sz w:val="22"/>
        </w:rPr>
      </w:pPr>
      <w:hyperlink w:anchor="_Toc57263868" w:history="1">
        <w:r w:rsidR="00E538A1" w:rsidRPr="003B48C3">
          <w:rPr>
            <w:rStyle w:val="Hyperlink"/>
            <w:rFonts w:cstheme="minorHAnsi"/>
          </w:rPr>
          <w:t>15</w:t>
        </w:r>
        <w:r w:rsidR="00E538A1" w:rsidRPr="003B48C3">
          <w:rPr>
            <w:rStyle w:val="Hyperlink"/>
            <w:rFonts w:cstheme="minorHAnsi"/>
          </w:rPr>
          <w:tab/>
          <w:t>Dispute resolution</w:t>
        </w:r>
        <w:r w:rsidR="00E538A1">
          <w:tab/>
        </w:r>
        <w:r w:rsidR="00E538A1">
          <w:fldChar w:fldCharType="begin"/>
        </w:r>
        <w:r w:rsidR="00E538A1">
          <w:instrText xml:space="preserve"> PAGEREF _Toc57263868 \h </w:instrText>
        </w:r>
        <w:r w:rsidR="00E538A1">
          <w:fldChar w:fldCharType="separate"/>
        </w:r>
        <w:r w:rsidR="00E538A1">
          <w:t>13</w:t>
        </w:r>
        <w:r w:rsidR="00E538A1">
          <w:fldChar w:fldCharType="end"/>
        </w:r>
      </w:hyperlink>
    </w:p>
    <w:p w14:paraId="2187AB08" w14:textId="77777777" w:rsidR="00E538A1" w:rsidRDefault="00000000" w:rsidP="00B52BF5">
      <w:pPr>
        <w:pStyle w:val="TOC1"/>
        <w:rPr>
          <w:rFonts w:asciiTheme="minorHAnsi" w:eastAsiaTheme="minorEastAsia" w:hAnsiTheme="minorHAnsi" w:cstheme="minorBidi"/>
          <w:sz w:val="22"/>
        </w:rPr>
      </w:pPr>
      <w:hyperlink w:anchor="_Toc57263869" w:history="1">
        <w:r w:rsidR="00E538A1" w:rsidRPr="003B48C3">
          <w:rPr>
            <w:rStyle w:val="Hyperlink"/>
            <w:rFonts w:cstheme="minorHAnsi"/>
          </w:rPr>
          <w:t>16</w:t>
        </w:r>
        <w:r w:rsidR="00E538A1" w:rsidRPr="003B48C3">
          <w:rPr>
            <w:rStyle w:val="Hyperlink"/>
            <w:rFonts w:cstheme="minorHAnsi"/>
          </w:rPr>
          <w:tab/>
          <w:t>Expert determination</w:t>
        </w:r>
        <w:r w:rsidR="00E538A1">
          <w:tab/>
        </w:r>
        <w:r w:rsidR="00E538A1">
          <w:fldChar w:fldCharType="begin"/>
        </w:r>
        <w:r w:rsidR="00E538A1">
          <w:instrText xml:space="preserve"> PAGEREF _Toc57263869 \h </w:instrText>
        </w:r>
        <w:r w:rsidR="00E538A1">
          <w:fldChar w:fldCharType="separate"/>
        </w:r>
        <w:r w:rsidR="00E538A1">
          <w:t>13</w:t>
        </w:r>
        <w:r w:rsidR="00E538A1">
          <w:fldChar w:fldCharType="end"/>
        </w:r>
      </w:hyperlink>
    </w:p>
    <w:p w14:paraId="6CB90D19" w14:textId="77777777" w:rsidR="00E538A1" w:rsidRDefault="00000000" w:rsidP="00B52BF5">
      <w:pPr>
        <w:pStyle w:val="TOC1"/>
        <w:rPr>
          <w:rFonts w:asciiTheme="minorHAnsi" w:eastAsiaTheme="minorEastAsia" w:hAnsiTheme="minorHAnsi" w:cstheme="minorBidi"/>
          <w:sz w:val="22"/>
        </w:rPr>
      </w:pPr>
      <w:hyperlink w:anchor="_Toc57263870" w:history="1">
        <w:r w:rsidR="00E538A1" w:rsidRPr="003B48C3">
          <w:rPr>
            <w:rStyle w:val="Hyperlink"/>
            <w:rFonts w:cstheme="minorHAnsi"/>
          </w:rPr>
          <w:t>17</w:t>
        </w:r>
        <w:r w:rsidR="00E538A1" w:rsidRPr="003B48C3">
          <w:rPr>
            <w:rStyle w:val="Hyperlink"/>
            <w:rFonts w:cstheme="minorHAnsi"/>
          </w:rPr>
          <w:tab/>
          <w:t>Mediation</w:t>
        </w:r>
        <w:r w:rsidR="00E538A1">
          <w:tab/>
        </w:r>
        <w:r w:rsidR="00E538A1">
          <w:fldChar w:fldCharType="begin"/>
        </w:r>
        <w:r w:rsidR="00E538A1">
          <w:instrText xml:space="preserve"> PAGEREF _Toc57263870 \h </w:instrText>
        </w:r>
        <w:r w:rsidR="00E538A1">
          <w:fldChar w:fldCharType="separate"/>
        </w:r>
        <w:r w:rsidR="00E538A1">
          <w:t>14</w:t>
        </w:r>
        <w:r w:rsidR="00E538A1">
          <w:fldChar w:fldCharType="end"/>
        </w:r>
      </w:hyperlink>
    </w:p>
    <w:p w14:paraId="123864F5" w14:textId="77777777" w:rsidR="00E538A1" w:rsidRDefault="00000000" w:rsidP="00B52BF5">
      <w:pPr>
        <w:pStyle w:val="TOC1"/>
        <w:rPr>
          <w:rFonts w:asciiTheme="minorHAnsi" w:eastAsiaTheme="minorEastAsia" w:hAnsiTheme="minorHAnsi" w:cstheme="minorBidi"/>
          <w:sz w:val="22"/>
        </w:rPr>
      </w:pPr>
      <w:hyperlink w:anchor="_Toc57263871" w:history="1">
        <w:r w:rsidR="00E538A1" w:rsidRPr="003B48C3">
          <w:rPr>
            <w:rStyle w:val="Hyperlink"/>
            <w:rFonts w:cstheme="minorHAnsi"/>
          </w:rPr>
          <w:t>18</w:t>
        </w:r>
        <w:r w:rsidR="00E538A1" w:rsidRPr="003B48C3">
          <w:rPr>
            <w:rStyle w:val="Hyperlink"/>
            <w:rFonts w:cstheme="minorHAnsi"/>
          </w:rPr>
          <w:tab/>
          <w:t>Amendments</w:t>
        </w:r>
        <w:r w:rsidR="00E538A1">
          <w:tab/>
        </w:r>
        <w:r w:rsidR="00E538A1">
          <w:fldChar w:fldCharType="begin"/>
        </w:r>
        <w:r w:rsidR="00E538A1">
          <w:instrText xml:space="preserve"> PAGEREF _Toc57263871 \h </w:instrText>
        </w:r>
        <w:r w:rsidR="00E538A1">
          <w:fldChar w:fldCharType="separate"/>
        </w:r>
        <w:r w:rsidR="00E538A1">
          <w:t>15</w:t>
        </w:r>
        <w:r w:rsidR="00E538A1">
          <w:fldChar w:fldCharType="end"/>
        </w:r>
      </w:hyperlink>
    </w:p>
    <w:p w14:paraId="1885BBA3" w14:textId="77777777" w:rsidR="00E538A1" w:rsidRDefault="00000000" w:rsidP="00B52BF5">
      <w:pPr>
        <w:pStyle w:val="TOC1"/>
        <w:rPr>
          <w:rFonts w:asciiTheme="minorHAnsi" w:eastAsiaTheme="minorEastAsia" w:hAnsiTheme="minorHAnsi" w:cstheme="minorBidi"/>
          <w:sz w:val="22"/>
        </w:rPr>
      </w:pPr>
      <w:hyperlink w:anchor="_Toc57263872" w:history="1">
        <w:r w:rsidR="00E538A1" w:rsidRPr="003B48C3">
          <w:rPr>
            <w:rStyle w:val="Hyperlink"/>
            <w:rFonts w:cstheme="minorHAnsi"/>
          </w:rPr>
          <w:t>19</w:t>
        </w:r>
        <w:r w:rsidR="00E538A1" w:rsidRPr="003B48C3">
          <w:rPr>
            <w:rStyle w:val="Hyperlink"/>
            <w:rFonts w:cstheme="minorHAnsi"/>
          </w:rPr>
          <w:tab/>
          <w:t>Cumulative Rights</w:t>
        </w:r>
        <w:r w:rsidR="00E538A1">
          <w:tab/>
        </w:r>
        <w:r w:rsidR="00E538A1">
          <w:fldChar w:fldCharType="begin"/>
        </w:r>
        <w:r w:rsidR="00E538A1">
          <w:instrText xml:space="preserve"> PAGEREF _Toc57263872 \h </w:instrText>
        </w:r>
        <w:r w:rsidR="00E538A1">
          <w:fldChar w:fldCharType="separate"/>
        </w:r>
        <w:r w:rsidR="00E538A1">
          <w:t>15</w:t>
        </w:r>
        <w:r w:rsidR="00E538A1">
          <w:fldChar w:fldCharType="end"/>
        </w:r>
      </w:hyperlink>
    </w:p>
    <w:p w14:paraId="5D7C0B45" w14:textId="77777777" w:rsidR="00E538A1" w:rsidRDefault="00000000" w:rsidP="00B52BF5">
      <w:pPr>
        <w:pStyle w:val="TOC1"/>
        <w:rPr>
          <w:rFonts w:asciiTheme="minorHAnsi" w:eastAsiaTheme="minorEastAsia" w:hAnsiTheme="minorHAnsi" w:cstheme="minorBidi"/>
          <w:sz w:val="22"/>
        </w:rPr>
      </w:pPr>
      <w:hyperlink w:anchor="_Toc57263873" w:history="1">
        <w:r w:rsidR="00E538A1" w:rsidRPr="003B48C3">
          <w:rPr>
            <w:rStyle w:val="Hyperlink"/>
            <w:rFonts w:cstheme="minorHAnsi"/>
          </w:rPr>
          <w:t>20</w:t>
        </w:r>
        <w:r w:rsidR="00E538A1" w:rsidRPr="003B48C3">
          <w:rPr>
            <w:rStyle w:val="Hyperlink"/>
            <w:rFonts w:cstheme="minorHAnsi"/>
          </w:rPr>
          <w:tab/>
          <w:t>Waiver</w:t>
        </w:r>
        <w:r w:rsidR="00E538A1">
          <w:tab/>
        </w:r>
        <w:r w:rsidR="00E538A1">
          <w:fldChar w:fldCharType="begin"/>
        </w:r>
        <w:r w:rsidR="00E538A1">
          <w:instrText xml:space="preserve"> PAGEREF _Toc57263873 \h </w:instrText>
        </w:r>
        <w:r w:rsidR="00E538A1">
          <w:fldChar w:fldCharType="separate"/>
        </w:r>
        <w:r w:rsidR="00E538A1">
          <w:t>15</w:t>
        </w:r>
        <w:r w:rsidR="00E538A1">
          <w:fldChar w:fldCharType="end"/>
        </w:r>
      </w:hyperlink>
    </w:p>
    <w:p w14:paraId="7AC93299" w14:textId="77777777" w:rsidR="00E538A1" w:rsidRDefault="00000000" w:rsidP="00B52BF5">
      <w:pPr>
        <w:pStyle w:val="TOC1"/>
        <w:rPr>
          <w:rFonts w:asciiTheme="minorHAnsi" w:eastAsiaTheme="minorEastAsia" w:hAnsiTheme="minorHAnsi" w:cstheme="minorBidi"/>
          <w:sz w:val="22"/>
        </w:rPr>
      </w:pPr>
      <w:hyperlink w:anchor="_Toc57263874" w:history="1">
        <w:r w:rsidR="00E538A1" w:rsidRPr="003B48C3">
          <w:rPr>
            <w:rStyle w:val="Hyperlink"/>
            <w:rFonts w:cstheme="minorHAnsi"/>
          </w:rPr>
          <w:t>21</w:t>
        </w:r>
        <w:r w:rsidR="00E538A1" w:rsidRPr="003B48C3">
          <w:rPr>
            <w:rStyle w:val="Hyperlink"/>
            <w:rFonts w:cstheme="minorHAnsi"/>
          </w:rPr>
          <w:tab/>
          <w:t>Whole Agreement</w:t>
        </w:r>
        <w:r w:rsidR="00E538A1">
          <w:tab/>
        </w:r>
        <w:r w:rsidR="00E538A1">
          <w:fldChar w:fldCharType="begin"/>
        </w:r>
        <w:r w:rsidR="00E538A1">
          <w:instrText xml:space="preserve"> PAGEREF _Toc57263874 \h </w:instrText>
        </w:r>
        <w:r w:rsidR="00E538A1">
          <w:fldChar w:fldCharType="separate"/>
        </w:r>
        <w:r w:rsidR="00E538A1">
          <w:t>16</w:t>
        </w:r>
        <w:r w:rsidR="00E538A1">
          <w:fldChar w:fldCharType="end"/>
        </w:r>
      </w:hyperlink>
    </w:p>
    <w:p w14:paraId="13A7244D" w14:textId="77777777" w:rsidR="00E538A1" w:rsidRDefault="00000000" w:rsidP="00B52BF5">
      <w:pPr>
        <w:pStyle w:val="TOC1"/>
        <w:rPr>
          <w:rFonts w:asciiTheme="minorHAnsi" w:eastAsiaTheme="minorEastAsia" w:hAnsiTheme="minorHAnsi" w:cstheme="minorBidi"/>
          <w:sz w:val="22"/>
        </w:rPr>
      </w:pPr>
      <w:hyperlink w:anchor="_Toc57263875" w:history="1">
        <w:r w:rsidR="00E538A1" w:rsidRPr="003B48C3">
          <w:rPr>
            <w:rStyle w:val="Hyperlink"/>
            <w:rFonts w:cstheme="minorHAnsi"/>
          </w:rPr>
          <w:t>22</w:t>
        </w:r>
        <w:r w:rsidR="00E538A1" w:rsidRPr="003B48C3">
          <w:rPr>
            <w:rStyle w:val="Hyperlink"/>
            <w:rFonts w:cstheme="minorHAnsi"/>
          </w:rPr>
          <w:tab/>
          <w:t>Assignment and Sub-contracting</w:t>
        </w:r>
        <w:r w:rsidR="00E538A1">
          <w:tab/>
        </w:r>
        <w:r w:rsidR="00E538A1">
          <w:fldChar w:fldCharType="begin"/>
        </w:r>
        <w:r w:rsidR="00E538A1">
          <w:instrText xml:space="preserve"> PAGEREF _Toc57263875 \h </w:instrText>
        </w:r>
        <w:r w:rsidR="00E538A1">
          <w:fldChar w:fldCharType="separate"/>
        </w:r>
        <w:r w:rsidR="00E538A1">
          <w:t>16</w:t>
        </w:r>
        <w:r w:rsidR="00E538A1">
          <w:fldChar w:fldCharType="end"/>
        </w:r>
      </w:hyperlink>
    </w:p>
    <w:p w14:paraId="0E28563F" w14:textId="77777777" w:rsidR="00E538A1" w:rsidRDefault="00000000" w:rsidP="00B52BF5">
      <w:pPr>
        <w:pStyle w:val="TOC1"/>
        <w:rPr>
          <w:rFonts w:asciiTheme="minorHAnsi" w:eastAsiaTheme="minorEastAsia" w:hAnsiTheme="minorHAnsi" w:cstheme="minorBidi"/>
          <w:sz w:val="22"/>
        </w:rPr>
      </w:pPr>
      <w:hyperlink w:anchor="_Toc57263876" w:history="1">
        <w:r w:rsidR="00E538A1" w:rsidRPr="003B48C3">
          <w:rPr>
            <w:rStyle w:val="Hyperlink"/>
            <w:rFonts w:cstheme="minorHAnsi"/>
          </w:rPr>
          <w:t>23</w:t>
        </w:r>
        <w:r w:rsidR="00E538A1" w:rsidRPr="003B48C3">
          <w:rPr>
            <w:rStyle w:val="Hyperlink"/>
            <w:rFonts w:cstheme="minorHAnsi"/>
          </w:rPr>
          <w:tab/>
          <w:t>Communications</w:t>
        </w:r>
        <w:r w:rsidR="00E538A1">
          <w:tab/>
        </w:r>
        <w:r w:rsidR="00E538A1">
          <w:fldChar w:fldCharType="begin"/>
        </w:r>
        <w:r w:rsidR="00E538A1">
          <w:instrText xml:space="preserve"> PAGEREF _Toc57263876 \h </w:instrText>
        </w:r>
        <w:r w:rsidR="00E538A1">
          <w:fldChar w:fldCharType="separate"/>
        </w:r>
        <w:r w:rsidR="00E538A1">
          <w:t>17</w:t>
        </w:r>
        <w:r w:rsidR="00E538A1">
          <w:fldChar w:fldCharType="end"/>
        </w:r>
      </w:hyperlink>
    </w:p>
    <w:p w14:paraId="3C81722C" w14:textId="77777777" w:rsidR="00E538A1" w:rsidRDefault="00000000" w:rsidP="00B52BF5">
      <w:pPr>
        <w:pStyle w:val="TOC1"/>
        <w:rPr>
          <w:rFonts w:asciiTheme="minorHAnsi" w:eastAsiaTheme="minorEastAsia" w:hAnsiTheme="minorHAnsi" w:cstheme="minorBidi"/>
          <w:sz w:val="22"/>
        </w:rPr>
      </w:pPr>
      <w:hyperlink w:anchor="_Toc57263877" w:history="1">
        <w:r w:rsidR="00E538A1" w:rsidRPr="003B48C3">
          <w:rPr>
            <w:rStyle w:val="Hyperlink"/>
            <w:rFonts w:cstheme="minorHAnsi"/>
          </w:rPr>
          <w:t>24</w:t>
        </w:r>
        <w:r w:rsidR="00E538A1" w:rsidRPr="003B48C3">
          <w:rPr>
            <w:rStyle w:val="Hyperlink"/>
            <w:rFonts w:cstheme="minorHAnsi"/>
          </w:rPr>
          <w:tab/>
          <w:t>Service of process</w:t>
        </w:r>
        <w:r w:rsidR="00E538A1">
          <w:tab/>
        </w:r>
        <w:r w:rsidR="00E538A1">
          <w:fldChar w:fldCharType="begin"/>
        </w:r>
        <w:r w:rsidR="00E538A1">
          <w:instrText xml:space="preserve"> PAGEREF _Toc57263877 \h </w:instrText>
        </w:r>
        <w:r w:rsidR="00E538A1">
          <w:fldChar w:fldCharType="separate"/>
        </w:r>
        <w:r w:rsidR="00E538A1">
          <w:t>18</w:t>
        </w:r>
        <w:r w:rsidR="00E538A1">
          <w:fldChar w:fldCharType="end"/>
        </w:r>
      </w:hyperlink>
    </w:p>
    <w:p w14:paraId="4D05E02B" w14:textId="77777777" w:rsidR="00E538A1" w:rsidRDefault="00000000" w:rsidP="00B52BF5">
      <w:pPr>
        <w:pStyle w:val="TOC1"/>
        <w:rPr>
          <w:rFonts w:asciiTheme="minorHAnsi" w:eastAsiaTheme="minorEastAsia" w:hAnsiTheme="minorHAnsi" w:cstheme="minorBidi"/>
          <w:sz w:val="22"/>
        </w:rPr>
      </w:pPr>
      <w:hyperlink w:anchor="_Toc57263878" w:history="1">
        <w:r w:rsidR="00E538A1" w:rsidRPr="003B48C3">
          <w:rPr>
            <w:rStyle w:val="Hyperlink"/>
            <w:rFonts w:cstheme="minorHAnsi"/>
          </w:rPr>
          <w:t>25</w:t>
        </w:r>
        <w:r w:rsidR="00E538A1" w:rsidRPr="003B48C3">
          <w:rPr>
            <w:rStyle w:val="Hyperlink"/>
            <w:rFonts w:cstheme="minorHAnsi"/>
          </w:rPr>
          <w:tab/>
          <w:t>No agency or partnership</w:t>
        </w:r>
        <w:r w:rsidR="00E538A1">
          <w:tab/>
        </w:r>
        <w:r w:rsidR="00E538A1">
          <w:fldChar w:fldCharType="begin"/>
        </w:r>
        <w:r w:rsidR="00E538A1">
          <w:instrText xml:space="preserve"> PAGEREF _Toc57263878 \h </w:instrText>
        </w:r>
        <w:r w:rsidR="00E538A1">
          <w:fldChar w:fldCharType="separate"/>
        </w:r>
        <w:r w:rsidR="00E538A1">
          <w:t>18</w:t>
        </w:r>
        <w:r w:rsidR="00E538A1">
          <w:fldChar w:fldCharType="end"/>
        </w:r>
      </w:hyperlink>
    </w:p>
    <w:p w14:paraId="7575B7D2" w14:textId="77777777" w:rsidR="00E538A1" w:rsidRDefault="00000000" w:rsidP="00B52BF5">
      <w:pPr>
        <w:pStyle w:val="TOC1"/>
        <w:rPr>
          <w:rFonts w:asciiTheme="minorHAnsi" w:eastAsiaTheme="minorEastAsia" w:hAnsiTheme="minorHAnsi" w:cstheme="minorBidi"/>
          <w:sz w:val="22"/>
        </w:rPr>
      </w:pPr>
      <w:hyperlink w:anchor="_Toc57263879" w:history="1">
        <w:r w:rsidR="00E538A1" w:rsidRPr="003B48C3">
          <w:rPr>
            <w:rStyle w:val="Hyperlink"/>
            <w:rFonts w:cstheme="minorHAnsi"/>
          </w:rPr>
          <w:t>26</w:t>
        </w:r>
        <w:r w:rsidR="00E538A1" w:rsidRPr="003B48C3">
          <w:rPr>
            <w:rStyle w:val="Hyperlink"/>
            <w:rFonts w:cstheme="minorHAnsi"/>
          </w:rPr>
          <w:tab/>
          <w:t>Third party rights</w:t>
        </w:r>
        <w:r w:rsidR="00E538A1">
          <w:tab/>
        </w:r>
        <w:r w:rsidR="00E538A1">
          <w:fldChar w:fldCharType="begin"/>
        </w:r>
        <w:r w:rsidR="00E538A1">
          <w:instrText xml:space="preserve"> PAGEREF _Toc57263879 \h </w:instrText>
        </w:r>
        <w:r w:rsidR="00E538A1">
          <w:fldChar w:fldCharType="separate"/>
        </w:r>
        <w:r w:rsidR="00E538A1">
          <w:t>18</w:t>
        </w:r>
        <w:r w:rsidR="00E538A1">
          <w:fldChar w:fldCharType="end"/>
        </w:r>
      </w:hyperlink>
    </w:p>
    <w:p w14:paraId="4019EA33" w14:textId="77777777" w:rsidR="00E538A1" w:rsidRDefault="00000000" w:rsidP="00B52BF5">
      <w:pPr>
        <w:pStyle w:val="TOC1"/>
        <w:rPr>
          <w:rFonts w:asciiTheme="minorHAnsi" w:eastAsiaTheme="minorEastAsia" w:hAnsiTheme="minorHAnsi" w:cstheme="minorBidi"/>
          <w:sz w:val="22"/>
        </w:rPr>
      </w:pPr>
      <w:hyperlink w:anchor="_Toc57263880" w:history="1">
        <w:r w:rsidR="00E538A1" w:rsidRPr="003B48C3">
          <w:rPr>
            <w:rStyle w:val="Hyperlink"/>
            <w:rFonts w:cstheme="minorHAnsi"/>
          </w:rPr>
          <w:t>27</w:t>
        </w:r>
        <w:r w:rsidR="00E538A1" w:rsidRPr="003B48C3">
          <w:rPr>
            <w:rStyle w:val="Hyperlink"/>
            <w:rFonts w:cstheme="minorHAnsi"/>
          </w:rPr>
          <w:tab/>
          <w:t>Severability</w:t>
        </w:r>
        <w:r w:rsidR="00E538A1">
          <w:tab/>
        </w:r>
        <w:r w:rsidR="00E538A1">
          <w:fldChar w:fldCharType="begin"/>
        </w:r>
        <w:r w:rsidR="00E538A1">
          <w:instrText xml:space="preserve"> PAGEREF _Toc57263880 \h </w:instrText>
        </w:r>
        <w:r w:rsidR="00E538A1">
          <w:fldChar w:fldCharType="separate"/>
        </w:r>
        <w:r w:rsidR="00E538A1">
          <w:t>19</w:t>
        </w:r>
        <w:r w:rsidR="00E538A1">
          <w:fldChar w:fldCharType="end"/>
        </w:r>
      </w:hyperlink>
    </w:p>
    <w:p w14:paraId="3D3A8A8F" w14:textId="77777777" w:rsidR="00E538A1" w:rsidRDefault="00000000" w:rsidP="00B52BF5">
      <w:pPr>
        <w:pStyle w:val="TOC1"/>
        <w:rPr>
          <w:rFonts w:asciiTheme="minorHAnsi" w:eastAsiaTheme="minorEastAsia" w:hAnsiTheme="minorHAnsi" w:cstheme="minorBidi"/>
          <w:sz w:val="22"/>
        </w:rPr>
      </w:pPr>
      <w:hyperlink w:anchor="_Toc57263881" w:history="1">
        <w:r w:rsidR="00E538A1" w:rsidRPr="003B48C3">
          <w:rPr>
            <w:rStyle w:val="Hyperlink"/>
            <w:rFonts w:cstheme="minorHAnsi"/>
          </w:rPr>
          <w:t>28</w:t>
        </w:r>
        <w:r w:rsidR="00E538A1" w:rsidRPr="003B48C3">
          <w:rPr>
            <w:rStyle w:val="Hyperlink"/>
            <w:rFonts w:cstheme="minorHAnsi"/>
          </w:rPr>
          <w:tab/>
          <w:t>Counterparts</w:t>
        </w:r>
        <w:r w:rsidR="00E538A1">
          <w:tab/>
        </w:r>
        <w:r w:rsidR="00E538A1">
          <w:fldChar w:fldCharType="begin"/>
        </w:r>
        <w:r w:rsidR="00E538A1">
          <w:instrText xml:space="preserve"> PAGEREF _Toc57263881 \h </w:instrText>
        </w:r>
        <w:r w:rsidR="00E538A1">
          <w:fldChar w:fldCharType="separate"/>
        </w:r>
        <w:r w:rsidR="00E538A1">
          <w:t>19</w:t>
        </w:r>
        <w:r w:rsidR="00E538A1">
          <w:fldChar w:fldCharType="end"/>
        </w:r>
      </w:hyperlink>
    </w:p>
    <w:p w14:paraId="09E2563C" w14:textId="77777777" w:rsidR="00E538A1" w:rsidRDefault="00000000" w:rsidP="00B52BF5">
      <w:pPr>
        <w:pStyle w:val="TOC1"/>
        <w:rPr>
          <w:rFonts w:asciiTheme="minorHAnsi" w:eastAsiaTheme="minorEastAsia" w:hAnsiTheme="minorHAnsi" w:cstheme="minorBidi"/>
          <w:sz w:val="22"/>
        </w:rPr>
      </w:pPr>
      <w:hyperlink w:anchor="_Toc57263882" w:history="1">
        <w:r w:rsidR="00E538A1" w:rsidRPr="003B48C3">
          <w:rPr>
            <w:rStyle w:val="Hyperlink"/>
            <w:rFonts w:cstheme="minorHAnsi"/>
          </w:rPr>
          <w:t>29</w:t>
        </w:r>
        <w:r w:rsidR="00E538A1" w:rsidRPr="003B48C3">
          <w:rPr>
            <w:rStyle w:val="Hyperlink"/>
            <w:rFonts w:cstheme="minorHAnsi"/>
          </w:rPr>
          <w:tab/>
          <w:t>Costs and expenses</w:t>
        </w:r>
        <w:r w:rsidR="00E538A1">
          <w:tab/>
        </w:r>
        <w:r w:rsidR="00E538A1">
          <w:fldChar w:fldCharType="begin"/>
        </w:r>
        <w:r w:rsidR="00E538A1">
          <w:instrText xml:space="preserve"> PAGEREF _Toc57263882 \h </w:instrText>
        </w:r>
        <w:r w:rsidR="00E538A1">
          <w:fldChar w:fldCharType="separate"/>
        </w:r>
        <w:r w:rsidR="00E538A1">
          <w:t>19</w:t>
        </w:r>
        <w:r w:rsidR="00E538A1">
          <w:fldChar w:fldCharType="end"/>
        </w:r>
      </w:hyperlink>
    </w:p>
    <w:p w14:paraId="4B12FDCF" w14:textId="77777777" w:rsidR="00E538A1" w:rsidRDefault="00000000" w:rsidP="00B52BF5">
      <w:pPr>
        <w:pStyle w:val="TOC1"/>
        <w:rPr>
          <w:rFonts w:asciiTheme="minorHAnsi" w:eastAsiaTheme="minorEastAsia" w:hAnsiTheme="minorHAnsi" w:cstheme="minorBidi"/>
          <w:sz w:val="22"/>
        </w:rPr>
      </w:pPr>
      <w:hyperlink w:anchor="_Toc57263883" w:history="1">
        <w:r w:rsidR="00E538A1" w:rsidRPr="003B48C3">
          <w:rPr>
            <w:rStyle w:val="Hyperlink"/>
            <w:rFonts w:cstheme="minorHAnsi"/>
          </w:rPr>
          <w:t>30</w:t>
        </w:r>
        <w:r w:rsidR="00E538A1" w:rsidRPr="003B48C3">
          <w:rPr>
            <w:rStyle w:val="Hyperlink"/>
            <w:rFonts w:cstheme="minorHAnsi"/>
          </w:rPr>
          <w:tab/>
          <w:t>Further assurance and good faith</w:t>
        </w:r>
        <w:r w:rsidR="00E538A1">
          <w:tab/>
        </w:r>
        <w:r w:rsidR="00E538A1">
          <w:fldChar w:fldCharType="begin"/>
        </w:r>
        <w:r w:rsidR="00E538A1">
          <w:instrText xml:space="preserve"> PAGEREF _Toc57263883 \h </w:instrText>
        </w:r>
        <w:r w:rsidR="00E538A1">
          <w:fldChar w:fldCharType="separate"/>
        </w:r>
        <w:r w:rsidR="00E538A1">
          <w:t>19</w:t>
        </w:r>
        <w:r w:rsidR="00E538A1">
          <w:fldChar w:fldCharType="end"/>
        </w:r>
      </w:hyperlink>
    </w:p>
    <w:p w14:paraId="329FC903" w14:textId="77777777" w:rsidR="00E538A1" w:rsidRDefault="00000000" w:rsidP="00B52BF5">
      <w:pPr>
        <w:pStyle w:val="TOC1"/>
        <w:rPr>
          <w:rFonts w:asciiTheme="minorHAnsi" w:eastAsiaTheme="minorEastAsia" w:hAnsiTheme="minorHAnsi" w:cstheme="minorBidi"/>
          <w:sz w:val="22"/>
        </w:rPr>
      </w:pPr>
      <w:hyperlink w:anchor="_Toc57263884" w:history="1">
        <w:r w:rsidR="00E538A1" w:rsidRPr="003B48C3">
          <w:rPr>
            <w:rStyle w:val="Hyperlink"/>
            <w:rFonts w:cstheme="minorHAnsi"/>
          </w:rPr>
          <w:t>31</w:t>
        </w:r>
        <w:r w:rsidR="00E538A1" w:rsidRPr="003B48C3">
          <w:rPr>
            <w:rStyle w:val="Hyperlink"/>
            <w:rFonts w:cstheme="minorHAnsi"/>
          </w:rPr>
          <w:tab/>
          <w:t>Governing law and jurisdiction</w:t>
        </w:r>
        <w:r w:rsidR="00E538A1">
          <w:tab/>
        </w:r>
        <w:r w:rsidR="00E538A1">
          <w:fldChar w:fldCharType="begin"/>
        </w:r>
        <w:r w:rsidR="00E538A1">
          <w:instrText xml:space="preserve"> PAGEREF _Toc57263884 \h </w:instrText>
        </w:r>
        <w:r w:rsidR="00E538A1">
          <w:fldChar w:fldCharType="separate"/>
        </w:r>
        <w:r w:rsidR="00E538A1">
          <w:t>19</w:t>
        </w:r>
        <w:r w:rsidR="00E538A1">
          <w:fldChar w:fldCharType="end"/>
        </w:r>
      </w:hyperlink>
    </w:p>
    <w:p w14:paraId="36EF57A0" w14:textId="77777777" w:rsidR="00E538A1" w:rsidRPr="00235CE6" w:rsidRDefault="00E538A1" w:rsidP="00E538A1">
      <w:pPr>
        <w:widowControl w:val="0"/>
        <w:rPr>
          <w:rFonts w:asciiTheme="minorHAnsi" w:hAnsiTheme="minorHAnsi" w:cstheme="minorHAnsi"/>
          <w:sz w:val="22"/>
          <w:szCs w:val="22"/>
        </w:rPr>
      </w:pPr>
      <w:r w:rsidRPr="00235CE6">
        <w:rPr>
          <w:rFonts w:asciiTheme="minorHAnsi" w:hAnsiTheme="minorHAnsi" w:cstheme="minorHAnsi"/>
          <w:sz w:val="22"/>
          <w:szCs w:val="22"/>
        </w:rPr>
        <w:fldChar w:fldCharType="end"/>
      </w:r>
    </w:p>
    <w:p w14:paraId="17015F4F" w14:textId="77777777" w:rsidR="00E538A1" w:rsidRDefault="00E538A1" w:rsidP="00B52BF5">
      <w:pPr>
        <w:pStyle w:val="TOC1"/>
        <w:rPr>
          <w:rFonts w:asciiTheme="minorHAnsi" w:eastAsiaTheme="minorEastAsia" w:hAnsiTheme="minorHAnsi" w:cstheme="minorBidi"/>
          <w:sz w:val="22"/>
        </w:rPr>
      </w:pPr>
      <w:r w:rsidRPr="00235CE6">
        <w:rPr>
          <w:rFonts w:asciiTheme="minorHAnsi" w:hAnsiTheme="minorHAnsi"/>
          <w:sz w:val="22"/>
        </w:rPr>
        <w:fldChar w:fldCharType="begin"/>
      </w:r>
      <w:r w:rsidRPr="00235CE6">
        <w:rPr>
          <w:rFonts w:asciiTheme="minorHAnsi" w:hAnsiTheme="minorHAnsi"/>
          <w:sz w:val="22"/>
        </w:rPr>
        <w:instrText xml:space="preserve"> TOC \t "schedule, 1,Appendix,1" \w \h</w:instrText>
      </w:r>
      <w:r w:rsidRPr="00235CE6">
        <w:rPr>
          <w:rFonts w:asciiTheme="minorHAnsi" w:hAnsiTheme="minorHAnsi"/>
          <w:sz w:val="22"/>
        </w:rPr>
        <w:fldChar w:fldCharType="separate"/>
      </w:r>
      <w:hyperlink w:anchor="_Toc57263885" w:history="1">
        <w:r w:rsidRPr="00AF7FBA">
          <w:rPr>
            <w:rStyle w:val="Hyperlink"/>
            <w:rFonts w:cstheme="minorHAnsi"/>
          </w:rPr>
          <w:t>Schedule 1 – Definitions and interpretation</w:t>
        </w:r>
        <w:r>
          <w:tab/>
        </w:r>
        <w:r>
          <w:fldChar w:fldCharType="begin"/>
        </w:r>
        <w:r>
          <w:instrText xml:space="preserve"> PAGEREF _Toc57263885 \h </w:instrText>
        </w:r>
        <w:r>
          <w:fldChar w:fldCharType="separate"/>
        </w:r>
        <w:r>
          <w:t>22</w:t>
        </w:r>
        <w:r>
          <w:fldChar w:fldCharType="end"/>
        </w:r>
      </w:hyperlink>
    </w:p>
    <w:p w14:paraId="2AB2066F" w14:textId="77777777" w:rsidR="00E538A1" w:rsidRDefault="00000000" w:rsidP="00B52BF5">
      <w:pPr>
        <w:pStyle w:val="TOC1"/>
        <w:rPr>
          <w:rFonts w:asciiTheme="minorHAnsi" w:eastAsiaTheme="minorEastAsia" w:hAnsiTheme="minorHAnsi" w:cstheme="minorBidi"/>
          <w:sz w:val="22"/>
        </w:rPr>
      </w:pPr>
      <w:hyperlink w:anchor="_Toc57263886" w:history="1">
        <w:r w:rsidR="00E538A1" w:rsidRPr="00AF7FBA">
          <w:rPr>
            <w:rStyle w:val="Hyperlink"/>
            <w:rFonts w:cstheme="minorHAnsi"/>
          </w:rPr>
          <w:t>Schedule 2 – Accession Agreement</w:t>
        </w:r>
        <w:r w:rsidR="00E538A1">
          <w:tab/>
        </w:r>
        <w:r w:rsidR="00E538A1">
          <w:fldChar w:fldCharType="begin"/>
        </w:r>
        <w:r w:rsidR="00E538A1">
          <w:instrText xml:space="preserve"> PAGEREF _Toc57263886 \h </w:instrText>
        </w:r>
        <w:r w:rsidR="00E538A1">
          <w:fldChar w:fldCharType="separate"/>
        </w:r>
        <w:r w:rsidR="00E538A1">
          <w:t>27</w:t>
        </w:r>
        <w:r w:rsidR="00E538A1">
          <w:fldChar w:fldCharType="end"/>
        </w:r>
      </w:hyperlink>
    </w:p>
    <w:p w14:paraId="0AAD94AA" w14:textId="77777777" w:rsidR="00E538A1" w:rsidRDefault="00000000" w:rsidP="00B52BF5">
      <w:pPr>
        <w:pStyle w:val="TOC1"/>
        <w:rPr>
          <w:rFonts w:asciiTheme="minorHAnsi" w:eastAsiaTheme="minorEastAsia" w:hAnsiTheme="minorHAnsi" w:cstheme="minorBidi"/>
          <w:sz w:val="22"/>
        </w:rPr>
      </w:pPr>
      <w:hyperlink w:anchor="_Toc57263887" w:history="1">
        <w:r w:rsidR="00E538A1" w:rsidRPr="00AF7FBA">
          <w:rPr>
            <w:rStyle w:val="Hyperlink"/>
            <w:rFonts w:cstheme="minorHAnsi"/>
          </w:rPr>
          <w:t>Schedule 3 – Governance</w:t>
        </w:r>
        <w:r w:rsidR="00E538A1">
          <w:tab/>
        </w:r>
        <w:r w:rsidR="00E538A1">
          <w:fldChar w:fldCharType="begin"/>
        </w:r>
        <w:r w:rsidR="00E538A1">
          <w:instrText xml:space="preserve"> PAGEREF _Toc57263887 \h </w:instrText>
        </w:r>
        <w:r w:rsidR="00E538A1">
          <w:fldChar w:fldCharType="separate"/>
        </w:r>
        <w:r w:rsidR="00E538A1">
          <w:t>28</w:t>
        </w:r>
        <w:r w:rsidR="00E538A1">
          <w:fldChar w:fldCharType="end"/>
        </w:r>
      </w:hyperlink>
    </w:p>
    <w:p w14:paraId="402CE40C" w14:textId="2634DE7F" w:rsidR="00E538A1" w:rsidRDefault="00000000" w:rsidP="00B52BF5">
      <w:pPr>
        <w:pStyle w:val="TOC1"/>
        <w:rPr>
          <w:rFonts w:asciiTheme="minorHAnsi" w:eastAsiaTheme="minorEastAsia" w:hAnsiTheme="minorHAnsi" w:cstheme="minorBidi"/>
          <w:sz w:val="22"/>
        </w:rPr>
      </w:pPr>
      <w:hyperlink w:anchor="_Toc57263888" w:history="1">
        <w:r w:rsidR="00E538A1" w:rsidRPr="00AF7FBA">
          <w:rPr>
            <w:rStyle w:val="Hyperlink"/>
            <w:rFonts w:cstheme="minorHAnsi"/>
          </w:rPr>
          <w:t>Sched</w:t>
        </w:r>
        <w:r w:rsidR="0031398C">
          <w:rPr>
            <w:rStyle w:val="Hyperlink"/>
            <w:rFonts w:cstheme="minorHAnsi"/>
          </w:rPr>
          <w:t>u</w:t>
        </w:r>
        <w:r w:rsidR="00E538A1" w:rsidRPr="00AF7FBA">
          <w:rPr>
            <w:rStyle w:val="Hyperlink"/>
            <w:rFonts w:cstheme="minorHAnsi"/>
          </w:rPr>
          <w:t>le 4 - Operating Level Agreement</w:t>
        </w:r>
        <w:r w:rsidR="00E538A1">
          <w:tab/>
        </w:r>
        <w:r w:rsidR="00E538A1">
          <w:fldChar w:fldCharType="begin"/>
        </w:r>
        <w:r w:rsidR="00E538A1">
          <w:instrText xml:space="preserve"> PAGEREF _Toc57263888 \h </w:instrText>
        </w:r>
        <w:r w:rsidR="00E538A1">
          <w:fldChar w:fldCharType="separate"/>
        </w:r>
        <w:r w:rsidR="00E538A1">
          <w:t>31</w:t>
        </w:r>
        <w:r w:rsidR="00E538A1">
          <w:fldChar w:fldCharType="end"/>
        </w:r>
      </w:hyperlink>
    </w:p>
    <w:p w14:paraId="1535733C" w14:textId="77777777" w:rsidR="00E538A1" w:rsidRPr="00235CE6" w:rsidRDefault="00E538A1" w:rsidP="00E538A1">
      <w:pPr>
        <w:widowControl w:val="0"/>
        <w:rPr>
          <w:rFonts w:asciiTheme="minorHAnsi" w:hAnsiTheme="minorHAnsi" w:cstheme="minorHAnsi"/>
          <w:sz w:val="22"/>
          <w:szCs w:val="22"/>
        </w:rPr>
      </w:pPr>
      <w:r w:rsidRPr="00235CE6">
        <w:rPr>
          <w:rFonts w:asciiTheme="minorHAnsi" w:hAnsiTheme="minorHAnsi" w:cstheme="minorHAnsi"/>
          <w:sz w:val="22"/>
          <w:szCs w:val="22"/>
        </w:rPr>
        <w:fldChar w:fldCharType="end"/>
      </w:r>
    </w:p>
    <w:p w14:paraId="3E92743A" w14:textId="77777777" w:rsidR="00E538A1" w:rsidRPr="00235CE6" w:rsidRDefault="00E538A1" w:rsidP="00E538A1">
      <w:pPr>
        <w:widowControl w:val="0"/>
        <w:rPr>
          <w:rFonts w:asciiTheme="minorHAnsi" w:hAnsiTheme="minorHAnsi" w:cstheme="minorHAnsi"/>
          <w:b/>
          <w:bCs/>
          <w:noProof/>
          <w:sz w:val="22"/>
          <w:szCs w:val="22"/>
        </w:rPr>
      </w:pPr>
    </w:p>
    <w:p w14:paraId="1381AE17" w14:textId="77777777" w:rsidR="00E538A1" w:rsidRPr="00235CE6" w:rsidRDefault="00E538A1" w:rsidP="00E538A1">
      <w:pPr>
        <w:widowControl w:val="0"/>
        <w:rPr>
          <w:rFonts w:asciiTheme="minorHAnsi" w:hAnsiTheme="minorHAnsi" w:cstheme="minorHAnsi"/>
          <w:noProof/>
          <w:sz w:val="22"/>
          <w:szCs w:val="22"/>
        </w:rPr>
        <w:sectPr w:rsidR="00E538A1" w:rsidRPr="00235CE6" w:rsidSect="002E3BC1">
          <w:headerReference w:type="even" r:id="rId16"/>
          <w:headerReference w:type="default" r:id="rId17"/>
          <w:footerReference w:type="even" r:id="rId18"/>
          <w:footerReference w:type="default" r:id="rId19"/>
          <w:headerReference w:type="first" r:id="rId20"/>
          <w:footerReference w:type="first" r:id="rId21"/>
          <w:pgSz w:w="11909" w:h="16834" w:code="9"/>
          <w:pgMar w:top="1440" w:right="1440" w:bottom="1440" w:left="1440" w:header="720" w:footer="720" w:gutter="0"/>
          <w:paperSrc w:first="259" w:other="259"/>
          <w:pgNumType w:start="1"/>
          <w:cols w:space="720"/>
          <w:docGrid w:linePitch="299"/>
        </w:sectPr>
      </w:pPr>
    </w:p>
    <w:p w14:paraId="34995A05" w14:textId="77777777" w:rsidR="00E538A1" w:rsidRPr="00E538A1" w:rsidRDefault="00E538A1" w:rsidP="00E538A1">
      <w:pPr>
        <w:pStyle w:val="Leader"/>
        <w:jc w:val="both"/>
        <w:rPr>
          <w:rFonts w:cs="Arial"/>
          <w:sz w:val="20"/>
          <w:szCs w:val="20"/>
        </w:rPr>
      </w:pPr>
      <w:r w:rsidRPr="00E538A1">
        <w:rPr>
          <w:rFonts w:cs="Arial"/>
          <w:sz w:val="20"/>
          <w:szCs w:val="20"/>
        </w:rPr>
        <w:lastRenderedPageBreak/>
        <w:t xml:space="preserve">Dated </w:t>
      </w:r>
      <w:r w:rsidRPr="00E538A1">
        <w:rPr>
          <w:rFonts w:cs="Arial"/>
          <w:sz w:val="20"/>
          <w:szCs w:val="20"/>
        </w:rPr>
        <w:tab/>
      </w:r>
      <w:r w:rsidRPr="00E538A1">
        <w:rPr>
          <w:rFonts w:cs="Arial"/>
          <w:sz w:val="20"/>
          <w:szCs w:val="20"/>
        </w:rPr>
        <w:tab/>
      </w:r>
      <w:r w:rsidRPr="00E538A1">
        <w:rPr>
          <w:rFonts w:cs="Arial"/>
          <w:sz w:val="20"/>
          <w:szCs w:val="20"/>
        </w:rPr>
        <w:tab/>
      </w:r>
      <w:r w:rsidRPr="00E538A1">
        <w:rPr>
          <w:rFonts w:cs="Arial"/>
          <w:sz w:val="20"/>
          <w:szCs w:val="20"/>
        </w:rPr>
        <w:tab/>
      </w:r>
    </w:p>
    <w:p w14:paraId="7A1F3C11" w14:textId="77777777" w:rsidR="00E538A1" w:rsidRPr="00E538A1" w:rsidRDefault="00E538A1" w:rsidP="00E538A1">
      <w:pPr>
        <w:pStyle w:val="Leader"/>
        <w:jc w:val="both"/>
        <w:rPr>
          <w:rFonts w:cs="Arial"/>
          <w:sz w:val="20"/>
          <w:szCs w:val="20"/>
        </w:rPr>
      </w:pPr>
      <w:r w:rsidRPr="00E538A1">
        <w:rPr>
          <w:rFonts w:cs="Arial"/>
          <w:sz w:val="20"/>
          <w:szCs w:val="20"/>
        </w:rPr>
        <w:t>Between</w:t>
      </w:r>
    </w:p>
    <w:p w14:paraId="1B50589B" w14:textId="0533AE36" w:rsidR="00E538A1" w:rsidRPr="00E538A1" w:rsidRDefault="00E538A1" w:rsidP="009D675B">
      <w:pPr>
        <w:pStyle w:val="Parties"/>
        <w:numPr>
          <w:ilvl w:val="0"/>
          <w:numId w:val="99"/>
        </w:numPr>
        <w:spacing w:line="276" w:lineRule="auto"/>
        <w:jc w:val="left"/>
        <w:outlineLvl w:val="9"/>
        <w:rPr>
          <w:rFonts w:cs="Arial"/>
          <w:szCs w:val="20"/>
        </w:rPr>
      </w:pPr>
      <w:bookmarkStart w:id="1260" w:name="_Ref323149827"/>
      <w:r w:rsidRPr="00E538A1">
        <w:rPr>
          <w:rFonts w:cs="Arial"/>
          <w:b/>
          <w:bCs/>
          <w:szCs w:val="20"/>
        </w:rPr>
        <w:t xml:space="preserve"> </w:t>
      </w:r>
      <w:r w:rsidR="001F1C19">
        <w:rPr>
          <w:rFonts w:cs="Arial"/>
          <w:szCs w:val="20"/>
        </w:rPr>
        <w:t>NETLINK STAR</w:t>
      </w:r>
      <w:r w:rsidRPr="00E538A1">
        <w:rPr>
          <w:rFonts w:eastAsia="Arial" w:cs="Arial"/>
          <w:szCs w:val="20"/>
        </w:rPr>
        <w:t xml:space="preserve"> INFRASTRUCTURE LIMITED (registered in England &amp; Wales as company number </w:t>
      </w:r>
      <w:r w:rsidR="00916458">
        <w:rPr>
          <w:rFonts w:eastAsia="Arial" w:cs="Arial"/>
          <w:szCs w:val="20"/>
        </w:rPr>
        <w:t>9666661</w:t>
      </w:r>
      <w:r w:rsidRPr="00E538A1">
        <w:rPr>
          <w:rFonts w:eastAsia="Arial" w:cs="Arial"/>
          <w:szCs w:val="20"/>
        </w:rPr>
        <w:t xml:space="preserve">) and having its registered office at 1 </w:t>
      </w:r>
      <w:r w:rsidR="00BA32BB">
        <w:rPr>
          <w:rFonts w:eastAsia="Arial" w:cs="Arial"/>
          <w:szCs w:val="20"/>
        </w:rPr>
        <w:t>Elysian</w:t>
      </w:r>
      <w:r w:rsidRPr="00E538A1">
        <w:rPr>
          <w:rFonts w:eastAsia="Arial" w:cs="Arial"/>
          <w:szCs w:val="20"/>
        </w:rPr>
        <w:t xml:space="preserve"> Street, London </w:t>
      </w:r>
      <w:r w:rsidR="00BA32BB">
        <w:rPr>
          <w:rFonts w:eastAsia="Arial" w:cs="Arial"/>
          <w:szCs w:val="20"/>
        </w:rPr>
        <w:t>EE7</w:t>
      </w:r>
      <w:r w:rsidRPr="00E538A1">
        <w:rPr>
          <w:rFonts w:eastAsia="Arial" w:cs="Arial"/>
          <w:szCs w:val="20"/>
        </w:rPr>
        <w:t xml:space="preserve"> 2DN (“the Employer”, which term shall include its successors and assigns</w:t>
      </w:r>
      <w:r w:rsidRPr="00E538A1">
        <w:rPr>
          <w:rFonts w:cs="Arial"/>
          <w:szCs w:val="20"/>
        </w:rPr>
        <w:t xml:space="preserve"> (</w:t>
      </w:r>
      <w:r w:rsidRPr="00E538A1">
        <w:rPr>
          <w:rFonts w:cs="Arial"/>
          <w:b/>
          <w:bCs/>
          <w:szCs w:val="20"/>
        </w:rPr>
        <w:t>Customer</w:t>
      </w:r>
      <w:proofErr w:type="gramStart"/>
      <w:r w:rsidRPr="00E538A1">
        <w:rPr>
          <w:rFonts w:cs="Arial"/>
          <w:szCs w:val="20"/>
        </w:rPr>
        <w:t>);</w:t>
      </w:r>
      <w:proofErr w:type="gramEnd"/>
      <w:r w:rsidRPr="00E538A1">
        <w:rPr>
          <w:rFonts w:cs="Arial"/>
          <w:szCs w:val="20"/>
        </w:rPr>
        <w:t xml:space="preserve"> </w:t>
      </w:r>
      <w:bookmarkEnd w:id="1260"/>
    </w:p>
    <w:p w14:paraId="7463F2AB" w14:textId="77777777" w:rsidR="00E538A1" w:rsidRPr="00E538A1" w:rsidRDefault="00E538A1" w:rsidP="009D675B">
      <w:pPr>
        <w:pStyle w:val="Parties"/>
        <w:numPr>
          <w:ilvl w:val="0"/>
          <w:numId w:val="99"/>
        </w:numPr>
        <w:spacing w:line="276" w:lineRule="auto"/>
        <w:jc w:val="left"/>
        <w:outlineLvl w:val="9"/>
        <w:rPr>
          <w:rFonts w:cs="Arial"/>
          <w:szCs w:val="20"/>
        </w:rPr>
      </w:pPr>
      <w:r w:rsidRPr="00E538A1">
        <w:rPr>
          <w:rFonts w:cs="Arial"/>
          <w:szCs w:val="20"/>
        </w:rPr>
        <w:t>[SUPPLIER 1 DETAILS</w:t>
      </w:r>
      <w:proofErr w:type="gramStart"/>
      <w:r w:rsidRPr="00E538A1">
        <w:rPr>
          <w:rFonts w:cs="Arial"/>
          <w:szCs w:val="20"/>
        </w:rPr>
        <w:t>];</w:t>
      </w:r>
      <w:proofErr w:type="gramEnd"/>
      <w:r w:rsidRPr="00E538A1">
        <w:rPr>
          <w:rFonts w:cs="Arial"/>
          <w:szCs w:val="20"/>
        </w:rPr>
        <w:t xml:space="preserve"> </w:t>
      </w:r>
    </w:p>
    <w:p w14:paraId="39618B73" w14:textId="5711EAE1" w:rsidR="00E538A1" w:rsidRPr="00E538A1" w:rsidRDefault="00E538A1" w:rsidP="009D675B">
      <w:pPr>
        <w:pStyle w:val="Parties"/>
        <w:numPr>
          <w:ilvl w:val="0"/>
          <w:numId w:val="99"/>
        </w:numPr>
        <w:spacing w:line="276" w:lineRule="auto"/>
        <w:jc w:val="left"/>
        <w:outlineLvl w:val="9"/>
        <w:rPr>
          <w:rFonts w:cs="Arial"/>
          <w:szCs w:val="20"/>
        </w:rPr>
      </w:pPr>
      <w:bookmarkStart w:id="1261" w:name="_Ref369807132"/>
      <w:r w:rsidRPr="00E538A1">
        <w:rPr>
          <w:rFonts w:cs="Arial"/>
          <w:szCs w:val="20"/>
        </w:rPr>
        <w:t xml:space="preserve">[SUPPLIER 2 DETAILS]; </w:t>
      </w:r>
      <w:r w:rsidRPr="00E538A1">
        <w:rPr>
          <w:rFonts w:cs="Arial"/>
          <w:b/>
          <w:bCs/>
          <w:szCs w:val="20"/>
          <w:highlight w:val="yellow"/>
        </w:rPr>
        <w:t>[Note to Bidders: Number of suppliers involved to be confirmed]</w:t>
      </w:r>
      <w:r w:rsidRPr="00E538A1">
        <w:rPr>
          <w:rFonts w:cs="Arial"/>
          <w:b/>
          <w:bCs/>
          <w:szCs w:val="20"/>
        </w:rPr>
        <w:t xml:space="preserve"> </w:t>
      </w:r>
      <w:r w:rsidRPr="00E538A1">
        <w:rPr>
          <w:rFonts w:cs="Arial"/>
          <w:szCs w:val="20"/>
        </w:rPr>
        <w:t xml:space="preserve">each a </w:t>
      </w:r>
      <w:proofErr w:type="gramStart"/>
      <w:r w:rsidRPr="00E538A1">
        <w:rPr>
          <w:rFonts w:cs="Arial"/>
          <w:b/>
          <w:bCs/>
          <w:szCs w:val="20"/>
        </w:rPr>
        <w:t>Member;</w:t>
      </w:r>
      <w:proofErr w:type="gramEnd"/>
    </w:p>
    <w:p w14:paraId="6E2F8208" w14:textId="77777777" w:rsidR="00E538A1" w:rsidRPr="00E538A1" w:rsidRDefault="00E538A1" w:rsidP="00E538A1">
      <w:pPr>
        <w:pStyle w:val="Parties"/>
        <w:numPr>
          <w:ilvl w:val="0"/>
          <w:numId w:val="0"/>
        </w:numPr>
        <w:ind w:left="720"/>
        <w:rPr>
          <w:rFonts w:cs="Arial"/>
          <w:szCs w:val="20"/>
        </w:rPr>
      </w:pPr>
      <w:r w:rsidRPr="00E538A1">
        <w:rPr>
          <w:rFonts w:cs="Arial"/>
          <w:szCs w:val="20"/>
        </w:rPr>
        <w:t>and</w:t>
      </w:r>
    </w:p>
    <w:p w14:paraId="2F9C6325" w14:textId="77777777" w:rsidR="00E538A1" w:rsidRPr="00E538A1" w:rsidRDefault="00E538A1" w:rsidP="009D675B">
      <w:pPr>
        <w:pStyle w:val="Parties"/>
        <w:numPr>
          <w:ilvl w:val="0"/>
          <w:numId w:val="99"/>
        </w:numPr>
        <w:spacing w:line="276" w:lineRule="auto"/>
        <w:jc w:val="left"/>
        <w:outlineLvl w:val="9"/>
        <w:rPr>
          <w:rFonts w:cs="Arial"/>
          <w:szCs w:val="20"/>
        </w:rPr>
      </w:pPr>
      <w:r w:rsidRPr="00E538A1">
        <w:rPr>
          <w:rFonts w:cs="Arial"/>
          <w:szCs w:val="20"/>
        </w:rPr>
        <w:t xml:space="preserve">each person who has separately executed a valid Accession Agreement in the form set out in </w:t>
      </w:r>
      <w:r w:rsidRPr="00E538A1">
        <w:rPr>
          <w:rFonts w:cs="Arial"/>
          <w:szCs w:val="20"/>
        </w:rPr>
        <w:fldChar w:fldCharType="begin"/>
      </w:r>
      <w:r w:rsidRPr="00E538A1">
        <w:rPr>
          <w:rFonts w:cs="Arial"/>
          <w:szCs w:val="20"/>
        </w:rPr>
        <w:instrText xml:space="preserve"> REF _Ref389651382 \w \h  \* MERGEFORMAT </w:instrText>
      </w:r>
      <w:r w:rsidRPr="00E538A1">
        <w:rPr>
          <w:rFonts w:cs="Arial"/>
          <w:szCs w:val="20"/>
        </w:rPr>
      </w:r>
      <w:r w:rsidRPr="00E538A1">
        <w:rPr>
          <w:rFonts w:cs="Arial"/>
          <w:szCs w:val="20"/>
        </w:rPr>
        <w:fldChar w:fldCharType="separate"/>
      </w:r>
      <w:r w:rsidRPr="00E538A1">
        <w:rPr>
          <w:rFonts w:cs="Arial"/>
          <w:szCs w:val="20"/>
        </w:rPr>
        <w:t>Schedule 2</w:t>
      </w:r>
      <w:r w:rsidRPr="00E538A1">
        <w:rPr>
          <w:rFonts w:cs="Arial"/>
          <w:szCs w:val="20"/>
        </w:rPr>
        <w:fldChar w:fldCharType="end"/>
      </w:r>
      <w:r w:rsidRPr="00E538A1">
        <w:rPr>
          <w:rFonts w:cs="Arial"/>
          <w:szCs w:val="20"/>
        </w:rPr>
        <w:t xml:space="preserve"> (Accession Agreement) of this Agreement</w:t>
      </w:r>
      <w:bookmarkEnd w:id="1261"/>
      <w:r w:rsidRPr="00E538A1">
        <w:rPr>
          <w:rFonts w:cs="Arial"/>
          <w:b/>
          <w:szCs w:val="20"/>
        </w:rPr>
        <w:t xml:space="preserve"> </w:t>
      </w:r>
      <w:r w:rsidRPr="00E538A1">
        <w:rPr>
          <w:rFonts w:cs="Arial"/>
          <w:szCs w:val="20"/>
        </w:rPr>
        <w:t>(the</w:t>
      </w:r>
      <w:r w:rsidRPr="00E538A1">
        <w:rPr>
          <w:rFonts w:cs="Arial"/>
          <w:b/>
          <w:szCs w:val="20"/>
        </w:rPr>
        <w:t xml:space="preserve"> Acceding Members</w:t>
      </w:r>
      <w:r w:rsidRPr="00E538A1">
        <w:rPr>
          <w:rFonts w:cs="Arial"/>
          <w:szCs w:val="20"/>
        </w:rPr>
        <w:t>),</w:t>
      </w:r>
    </w:p>
    <w:p w14:paraId="1D944E32" w14:textId="77777777" w:rsidR="00E538A1" w:rsidRPr="00E538A1" w:rsidRDefault="00E538A1" w:rsidP="00E538A1">
      <w:pPr>
        <w:pStyle w:val="BodyText"/>
        <w:rPr>
          <w:rFonts w:cs="Arial"/>
          <w:szCs w:val="20"/>
        </w:rPr>
      </w:pPr>
      <w:r w:rsidRPr="00E538A1">
        <w:rPr>
          <w:rFonts w:cs="Arial"/>
          <w:szCs w:val="20"/>
        </w:rPr>
        <w:t xml:space="preserve">together the </w:t>
      </w:r>
      <w:r w:rsidRPr="00E538A1">
        <w:rPr>
          <w:rFonts w:cs="Arial"/>
          <w:b/>
          <w:bCs/>
          <w:szCs w:val="20"/>
        </w:rPr>
        <w:t>Parties</w:t>
      </w:r>
      <w:r w:rsidRPr="00E538A1">
        <w:rPr>
          <w:rFonts w:cs="Arial"/>
          <w:szCs w:val="20"/>
        </w:rPr>
        <w:t xml:space="preserve"> and each a </w:t>
      </w:r>
      <w:r w:rsidRPr="00E538A1">
        <w:rPr>
          <w:rFonts w:cs="Arial"/>
          <w:b/>
          <w:bCs/>
          <w:szCs w:val="20"/>
        </w:rPr>
        <w:t>Party</w:t>
      </w:r>
      <w:r w:rsidRPr="00E538A1">
        <w:rPr>
          <w:rFonts w:cs="Arial"/>
          <w:szCs w:val="20"/>
        </w:rPr>
        <w:t>.</w:t>
      </w:r>
    </w:p>
    <w:p w14:paraId="5D88A024" w14:textId="77777777" w:rsidR="00E538A1" w:rsidRPr="00E538A1" w:rsidRDefault="00E538A1" w:rsidP="00E538A1">
      <w:pPr>
        <w:pStyle w:val="Leader"/>
        <w:jc w:val="both"/>
        <w:rPr>
          <w:rFonts w:cs="Arial"/>
          <w:b w:val="0"/>
          <w:sz w:val="20"/>
          <w:szCs w:val="20"/>
        </w:rPr>
      </w:pPr>
      <w:r w:rsidRPr="00E538A1">
        <w:rPr>
          <w:rFonts w:cs="Arial"/>
          <w:sz w:val="20"/>
          <w:szCs w:val="20"/>
        </w:rPr>
        <w:t xml:space="preserve">Background </w:t>
      </w:r>
    </w:p>
    <w:p w14:paraId="5D7465F5" w14:textId="78A1785C" w:rsidR="00E538A1" w:rsidRPr="00E538A1" w:rsidRDefault="00E538A1" w:rsidP="00E538A1">
      <w:pPr>
        <w:pStyle w:val="Recital"/>
        <w:jc w:val="both"/>
        <w:rPr>
          <w:rFonts w:cs="Arial"/>
          <w:szCs w:val="20"/>
        </w:rPr>
      </w:pPr>
      <w:r w:rsidRPr="00E538A1">
        <w:rPr>
          <w:rFonts w:cs="Arial"/>
          <w:szCs w:val="20"/>
        </w:rPr>
        <w:t xml:space="preserve">The Members (as defined below) are leading practitioners in advising and consulting on, configuring and engineering, delivering and operating data centre solutions for critical national infrastructure and tools, architecture, and information technology solutions in the </w:t>
      </w:r>
      <w:r w:rsidR="00D62A39">
        <w:rPr>
          <w:rFonts w:cs="Arial"/>
          <w:szCs w:val="20"/>
        </w:rPr>
        <w:t>asset</w:t>
      </w:r>
      <w:r w:rsidRPr="00E538A1">
        <w:rPr>
          <w:rFonts w:cs="Arial"/>
          <w:szCs w:val="20"/>
        </w:rPr>
        <w:t xml:space="preserve"> sector. </w:t>
      </w:r>
    </w:p>
    <w:p w14:paraId="557862E3" w14:textId="06400332" w:rsidR="00E538A1" w:rsidRPr="00E538A1" w:rsidRDefault="00E538A1" w:rsidP="00E538A1">
      <w:pPr>
        <w:pStyle w:val="Recital"/>
        <w:rPr>
          <w:rFonts w:cs="Arial"/>
          <w:szCs w:val="20"/>
        </w:rPr>
      </w:pPr>
      <w:bookmarkStart w:id="1262" w:name="_Ref322970862"/>
      <w:bookmarkStart w:id="1263" w:name="_Ref366841664"/>
      <w:r w:rsidRPr="00E538A1">
        <w:rPr>
          <w:rFonts w:cs="Arial"/>
          <w:szCs w:val="20"/>
        </w:rPr>
        <w:t xml:space="preserve">The Customer intends to migrate its </w:t>
      </w:r>
      <w:r w:rsidR="007A2AA0">
        <w:rPr>
          <w:rFonts w:cs="Arial"/>
          <w:szCs w:val="20"/>
        </w:rPr>
        <w:t>asset set</w:t>
      </w:r>
      <w:r w:rsidRPr="00E538A1">
        <w:rPr>
          <w:rFonts w:cs="Arial"/>
          <w:szCs w:val="20"/>
        </w:rPr>
        <w:t xml:space="preserve"> operating centre to a </w:t>
      </w:r>
      <w:r w:rsidRPr="00E538A1">
        <w:rPr>
          <w:rStyle w:val="normaltextrun"/>
          <w:rFonts w:cs="Arial"/>
          <w:color w:val="293947"/>
          <w:szCs w:val="20"/>
          <w:shd w:val="clear" w:color="auto" w:fill="FFFFFF"/>
        </w:rPr>
        <w:t>deliver a new centralised data centre capability into two new data centre facilities in order to exit its current legacy end-of-live critical data platforms in order to operate the organi</w:t>
      </w:r>
      <w:r w:rsidR="000D476B">
        <w:rPr>
          <w:rStyle w:val="normaltextrun"/>
          <w:rFonts w:cs="Arial"/>
          <w:color w:val="293947"/>
          <w:szCs w:val="20"/>
          <w:shd w:val="clear" w:color="auto" w:fill="FFFFFF"/>
        </w:rPr>
        <w:t>s</w:t>
      </w:r>
      <w:r w:rsidRPr="00E538A1">
        <w:rPr>
          <w:rStyle w:val="normaltextrun"/>
          <w:rFonts w:cs="Arial"/>
          <w:color w:val="293947"/>
          <w:szCs w:val="20"/>
          <w:shd w:val="clear" w:color="auto" w:fill="FFFFFF"/>
        </w:rPr>
        <w:t xml:space="preserve">ation's Critical Network and IT Infrastructure (CNI), for the safe and efficient operation of the </w:t>
      </w:r>
      <w:r w:rsidR="007A2AA0">
        <w:rPr>
          <w:rStyle w:val="normaltextrun"/>
          <w:rFonts w:cs="Arial"/>
          <w:color w:val="293947"/>
          <w:szCs w:val="20"/>
          <w:shd w:val="clear" w:color="auto" w:fill="FFFFFF"/>
        </w:rPr>
        <w:t>asset set</w:t>
      </w:r>
      <w:r w:rsidRPr="00E538A1">
        <w:rPr>
          <w:rStyle w:val="normaltextrun"/>
          <w:rFonts w:cs="Arial"/>
          <w:color w:val="293947"/>
          <w:szCs w:val="20"/>
          <w:shd w:val="clear" w:color="auto" w:fill="FFFFFF"/>
        </w:rPr>
        <w:t xml:space="preserve"> and the Members are all providing Services critical to the success of the Programme</w:t>
      </w:r>
      <w:r w:rsidRPr="00E538A1">
        <w:rPr>
          <w:rFonts w:cs="Arial"/>
          <w:szCs w:val="20"/>
        </w:rPr>
        <w:t xml:space="preserve"> (the </w:t>
      </w:r>
      <w:r w:rsidRPr="00E538A1">
        <w:rPr>
          <w:rFonts w:cs="Arial"/>
          <w:b/>
          <w:szCs w:val="20"/>
        </w:rPr>
        <w:t>Programme</w:t>
      </w:r>
      <w:r w:rsidRPr="00E538A1">
        <w:rPr>
          <w:rFonts w:cs="Arial"/>
          <w:szCs w:val="20"/>
        </w:rPr>
        <w:t xml:space="preserve">). </w:t>
      </w:r>
    </w:p>
    <w:p w14:paraId="0676741D" w14:textId="77777777" w:rsidR="00E538A1" w:rsidRPr="00E538A1" w:rsidRDefault="00E538A1" w:rsidP="00E538A1">
      <w:pPr>
        <w:pStyle w:val="Recital"/>
        <w:jc w:val="both"/>
        <w:rPr>
          <w:rFonts w:cs="Arial"/>
          <w:szCs w:val="20"/>
        </w:rPr>
      </w:pPr>
      <w:bookmarkStart w:id="1264" w:name="_Ref390105630"/>
      <w:bookmarkEnd w:id="1262"/>
      <w:bookmarkEnd w:id="1263"/>
      <w:r w:rsidRPr="00E538A1">
        <w:rPr>
          <w:rFonts w:cs="Arial"/>
          <w:szCs w:val="20"/>
        </w:rPr>
        <w:t xml:space="preserve">The Customer has entered into an agreement with each Member (each, a </w:t>
      </w:r>
      <w:r w:rsidRPr="00E538A1">
        <w:rPr>
          <w:rFonts w:cs="Arial"/>
          <w:b/>
          <w:szCs w:val="20"/>
        </w:rPr>
        <w:t>Services Agreement</w:t>
      </w:r>
      <w:r w:rsidRPr="00E538A1">
        <w:rPr>
          <w:rFonts w:cs="Arial"/>
          <w:szCs w:val="20"/>
        </w:rPr>
        <w:t xml:space="preserve">) pursuant to which the Customer and the relevant Member have agreed that the relevant Member will provide services to the Customer in connection with the Programme on the terms set out in that agreement (the </w:t>
      </w:r>
      <w:r w:rsidRPr="00E538A1">
        <w:rPr>
          <w:rFonts w:cs="Arial"/>
          <w:b/>
          <w:szCs w:val="20"/>
        </w:rPr>
        <w:t>Services</w:t>
      </w:r>
      <w:r w:rsidRPr="00E538A1">
        <w:rPr>
          <w:rFonts w:cs="Arial"/>
          <w:szCs w:val="20"/>
        </w:rPr>
        <w:t>).</w:t>
      </w:r>
      <w:bookmarkEnd w:id="1264"/>
    </w:p>
    <w:p w14:paraId="09512141" w14:textId="77777777" w:rsidR="00E538A1" w:rsidRPr="00E538A1" w:rsidRDefault="00E538A1" w:rsidP="00E538A1">
      <w:pPr>
        <w:pStyle w:val="Recital"/>
        <w:jc w:val="both"/>
        <w:rPr>
          <w:rFonts w:cs="Arial"/>
          <w:b/>
          <w:szCs w:val="20"/>
          <w:lang w:eastAsia="en-GB"/>
        </w:rPr>
      </w:pPr>
      <w:bookmarkStart w:id="1265" w:name="_Ref369807135"/>
      <w:r w:rsidRPr="00E538A1">
        <w:rPr>
          <w:rFonts w:cs="Arial"/>
          <w:szCs w:val="20"/>
          <w:lang w:eastAsia="en-GB"/>
        </w:rPr>
        <w:t>In connection with their respective Services Agreements, the Members wish to enter into this Agreement with each other and with the Customer in order to ensure the smooth and effective delivery of the Programme to the Customer and to document in the necessary level of detail the particulars and Dependencies (as defined below) of the manner in which they will co-operate in providing Services to the Customer, ensure continuity of services in respect of their obligations under their respective Services Agreements and avoid any disruption to the Programme.</w:t>
      </w:r>
      <w:bookmarkEnd w:id="1265"/>
    </w:p>
    <w:p w14:paraId="08756E3E" w14:textId="77777777" w:rsidR="00E538A1" w:rsidRPr="00E538A1" w:rsidRDefault="00E538A1" w:rsidP="00E538A1">
      <w:pPr>
        <w:pStyle w:val="Leader"/>
        <w:keepNext/>
        <w:jc w:val="both"/>
        <w:rPr>
          <w:rFonts w:cs="Arial"/>
          <w:sz w:val="20"/>
          <w:szCs w:val="20"/>
        </w:rPr>
      </w:pPr>
      <w:bookmarkStart w:id="1266" w:name="main"/>
      <w:r w:rsidRPr="00E538A1">
        <w:rPr>
          <w:rFonts w:cs="Arial"/>
          <w:sz w:val="20"/>
          <w:szCs w:val="20"/>
        </w:rPr>
        <w:t>It is agreed</w:t>
      </w:r>
      <w:r w:rsidRPr="00E538A1">
        <w:rPr>
          <w:rFonts w:cs="Arial"/>
          <w:b w:val="0"/>
          <w:bCs/>
          <w:sz w:val="20"/>
          <w:szCs w:val="20"/>
        </w:rPr>
        <w:t>:</w:t>
      </w:r>
    </w:p>
    <w:p w14:paraId="1C12F9C5" w14:textId="77777777" w:rsidR="00E538A1" w:rsidRPr="00E538A1" w:rsidRDefault="00E538A1" w:rsidP="009D675B">
      <w:pPr>
        <w:pStyle w:val="Heading1"/>
        <w:numPr>
          <w:ilvl w:val="0"/>
          <w:numId w:val="102"/>
        </w:numPr>
        <w:ind w:left="709" w:hanging="709"/>
        <w:rPr>
          <w:rFonts w:cs="Arial"/>
          <w:szCs w:val="20"/>
        </w:rPr>
      </w:pPr>
      <w:bookmarkStart w:id="1267" w:name="_Toc69894176"/>
      <w:bookmarkStart w:id="1268" w:name="_Toc69894391"/>
      <w:bookmarkStart w:id="1269" w:name="_Toc231187961"/>
      <w:bookmarkStart w:id="1270" w:name="_Toc57263854"/>
      <w:r w:rsidRPr="00E538A1">
        <w:rPr>
          <w:rFonts w:cs="Arial"/>
          <w:szCs w:val="20"/>
        </w:rPr>
        <w:t>Interpretation</w:t>
      </w:r>
      <w:bookmarkEnd w:id="1267"/>
      <w:bookmarkEnd w:id="1268"/>
      <w:bookmarkEnd w:id="1269"/>
      <w:bookmarkEnd w:id="1270"/>
    </w:p>
    <w:p w14:paraId="1F04CBB7" w14:textId="77777777" w:rsidR="00E538A1" w:rsidRPr="00E538A1" w:rsidRDefault="00E538A1" w:rsidP="009D675B">
      <w:pPr>
        <w:pStyle w:val="Heading2"/>
        <w:numPr>
          <w:ilvl w:val="1"/>
          <w:numId w:val="102"/>
        </w:numPr>
        <w:ind w:left="709" w:hanging="709"/>
        <w:rPr>
          <w:rFonts w:cs="Arial"/>
          <w:szCs w:val="20"/>
        </w:rPr>
      </w:pPr>
      <w:bookmarkStart w:id="1271" w:name="_Toc450972301"/>
      <w:r w:rsidRPr="00E538A1">
        <w:rPr>
          <w:rFonts w:cs="Arial"/>
          <w:szCs w:val="20"/>
        </w:rPr>
        <w:t xml:space="preserve">Interpretation:  This Agreement shall be interpreted in accordance with </w:t>
      </w:r>
      <w:r w:rsidRPr="00E538A1">
        <w:rPr>
          <w:rFonts w:cs="Arial"/>
          <w:szCs w:val="20"/>
        </w:rPr>
        <w:fldChar w:fldCharType="begin"/>
      </w:r>
      <w:r w:rsidRPr="00E538A1">
        <w:rPr>
          <w:rFonts w:cs="Arial"/>
          <w:szCs w:val="20"/>
        </w:rPr>
        <w:instrText xml:space="preserve"> REF _Ref200454820 \r \h  \* MERGEFORMAT </w:instrText>
      </w:r>
      <w:r w:rsidRPr="00E538A1">
        <w:rPr>
          <w:rFonts w:cs="Arial"/>
          <w:szCs w:val="20"/>
        </w:rPr>
      </w:r>
      <w:r w:rsidRPr="00E538A1">
        <w:rPr>
          <w:rFonts w:cs="Arial"/>
          <w:szCs w:val="20"/>
        </w:rPr>
        <w:fldChar w:fldCharType="separate"/>
      </w:r>
      <w:r w:rsidRPr="00E538A1">
        <w:rPr>
          <w:rFonts w:cs="Arial"/>
          <w:szCs w:val="20"/>
        </w:rPr>
        <w:t>Schedule 1</w:t>
      </w:r>
      <w:r w:rsidRPr="00E538A1">
        <w:rPr>
          <w:rFonts w:cs="Arial"/>
          <w:szCs w:val="20"/>
        </w:rPr>
        <w:fldChar w:fldCharType="end"/>
      </w:r>
      <w:r w:rsidRPr="00E538A1">
        <w:rPr>
          <w:rFonts w:cs="Arial"/>
          <w:szCs w:val="20"/>
        </w:rPr>
        <w:t xml:space="preserve"> (Definitions and interpretation).</w:t>
      </w:r>
    </w:p>
    <w:p w14:paraId="1607FA75" w14:textId="77777777" w:rsidR="00E538A1" w:rsidRPr="00E538A1" w:rsidRDefault="00E538A1" w:rsidP="009D675B">
      <w:pPr>
        <w:pStyle w:val="Heading2"/>
        <w:numPr>
          <w:ilvl w:val="1"/>
          <w:numId w:val="102"/>
        </w:numPr>
        <w:ind w:left="709" w:hanging="709"/>
        <w:rPr>
          <w:rFonts w:cs="Arial"/>
          <w:szCs w:val="20"/>
        </w:rPr>
      </w:pPr>
      <w:bookmarkStart w:id="1272" w:name="_Toc369713373"/>
      <w:bookmarkStart w:id="1273" w:name="_Ref369807145"/>
      <w:bookmarkStart w:id="1274" w:name="_Toc372740629"/>
      <w:bookmarkStart w:id="1275" w:name="_Ref389638012"/>
      <w:r w:rsidRPr="00E538A1">
        <w:rPr>
          <w:rFonts w:cs="Arial"/>
          <w:szCs w:val="20"/>
        </w:rPr>
        <w:t>Pr</w:t>
      </w:r>
      <w:bookmarkEnd w:id="1272"/>
      <w:bookmarkEnd w:id="1273"/>
      <w:bookmarkEnd w:id="1274"/>
      <w:r w:rsidRPr="00E538A1">
        <w:rPr>
          <w:rFonts w:cs="Arial"/>
          <w:szCs w:val="20"/>
        </w:rPr>
        <w:t>ecedence:</w:t>
      </w:r>
      <w:bookmarkStart w:id="1276" w:name="_Ref369807146"/>
      <w:r w:rsidRPr="00E538A1">
        <w:rPr>
          <w:rFonts w:cs="Arial"/>
          <w:szCs w:val="20"/>
        </w:rPr>
        <w:t xml:space="preserve"> If and to the extent of any conflict or inconsistency between:</w:t>
      </w:r>
      <w:bookmarkEnd w:id="1275"/>
      <w:r w:rsidRPr="00E538A1">
        <w:rPr>
          <w:rFonts w:cs="Arial"/>
          <w:szCs w:val="20"/>
        </w:rPr>
        <w:t xml:space="preserve"> </w:t>
      </w:r>
    </w:p>
    <w:p w14:paraId="4B201F36"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lastRenderedPageBreak/>
        <w:t>the Clauses and the Schedules and/or any annexes to the Schedules the conflict shall be resolved in accordance with the following order of precedence:</w:t>
      </w:r>
      <w:bookmarkEnd w:id="1276"/>
    </w:p>
    <w:p w14:paraId="2A5A4A1D" w14:textId="77777777" w:rsidR="00E538A1" w:rsidRPr="00E538A1" w:rsidRDefault="00E538A1" w:rsidP="009D675B">
      <w:pPr>
        <w:pStyle w:val="Heading5"/>
        <w:numPr>
          <w:ilvl w:val="4"/>
          <w:numId w:val="102"/>
        </w:numPr>
        <w:tabs>
          <w:tab w:val="clear" w:pos="2160"/>
          <w:tab w:val="num" w:pos="3119"/>
        </w:tabs>
        <w:ind w:left="3119" w:hanging="709"/>
        <w:rPr>
          <w:rFonts w:cs="Arial"/>
          <w:szCs w:val="20"/>
        </w:rPr>
      </w:pPr>
      <w:bookmarkStart w:id="1277" w:name="_Ref369807147"/>
      <w:r w:rsidRPr="00E538A1">
        <w:rPr>
          <w:rFonts w:cs="Arial"/>
          <w:szCs w:val="20"/>
        </w:rPr>
        <w:t xml:space="preserve">the </w:t>
      </w:r>
      <w:proofErr w:type="gramStart"/>
      <w:r w:rsidRPr="00E538A1">
        <w:rPr>
          <w:rFonts w:cs="Arial"/>
          <w:szCs w:val="20"/>
        </w:rPr>
        <w:t>Clauses;</w:t>
      </w:r>
      <w:bookmarkEnd w:id="1277"/>
      <w:proofErr w:type="gramEnd"/>
    </w:p>
    <w:p w14:paraId="64D9F8CC" w14:textId="77777777" w:rsidR="00E538A1" w:rsidRPr="00E538A1" w:rsidRDefault="00E538A1" w:rsidP="009D675B">
      <w:pPr>
        <w:pStyle w:val="Heading5"/>
        <w:numPr>
          <w:ilvl w:val="4"/>
          <w:numId w:val="102"/>
        </w:numPr>
        <w:tabs>
          <w:tab w:val="clear" w:pos="2160"/>
          <w:tab w:val="num" w:pos="3119"/>
        </w:tabs>
        <w:ind w:left="3119" w:hanging="709"/>
        <w:rPr>
          <w:rFonts w:cs="Arial"/>
          <w:szCs w:val="20"/>
        </w:rPr>
      </w:pPr>
      <w:bookmarkStart w:id="1278" w:name="_Ref369807148"/>
      <w:r w:rsidRPr="00E538A1">
        <w:rPr>
          <w:rFonts w:cs="Arial"/>
          <w:szCs w:val="20"/>
        </w:rPr>
        <w:t>the Schedules and the annexes</w:t>
      </w:r>
      <w:bookmarkEnd w:id="1278"/>
      <w:r w:rsidRPr="00E538A1">
        <w:rPr>
          <w:rFonts w:cs="Arial"/>
          <w:szCs w:val="20"/>
        </w:rPr>
        <w:t>; and</w:t>
      </w:r>
    </w:p>
    <w:p w14:paraId="192AA824"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bookmarkStart w:id="1279" w:name="_Ref369807149"/>
      <w:r w:rsidRPr="00E538A1">
        <w:rPr>
          <w:rFonts w:cs="Arial"/>
          <w:szCs w:val="20"/>
        </w:rPr>
        <w:t>this Agreement and a Services Agreement, the conflict shall be resolved in accordance with the following order of precedence:</w:t>
      </w:r>
      <w:bookmarkEnd w:id="1279"/>
    </w:p>
    <w:p w14:paraId="1481347D" w14:textId="77777777" w:rsidR="00E538A1" w:rsidRPr="00E538A1" w:rsidRDefault="00E538A1" w:rsidP="009D675B">
      <w:pPr>
        <w:pStyle w:val="Heading5"/>
        <w:numPr>
          <w:ilvl w:val="4"/>
          <w:numId w:val="102"/>
        </w:numPr>
        <w:tabs>
          <w:tab w:val="clear" w:pos="2160"/>
          <w:tab w:val="num" w:pos="3119"/>
        </w:tabs>
        <w:ind w:left="3119" w:hanging="709"/>
        <w:rPr>
          <w:rFonts w:cs="Arial"/>
          <w:szCs w:val="20"/>
        </w:rPr>
      </w:pPr>
      <w:bookmarkStart w:id="1280" w:name="_Ref369807152"/>
      <w:bookmarkStart w:id="1281" w:name="_Ref369807151"/>
      <w:r w:rsidRPr="00E538A1">
        <w:rPr>
          <w:rFonts w:cs="Arial"/>
          <w:szCs w:val="20"/>
        </w:rPr>
        <w:t xml:space="preserve">the Services </w:t>
      </w:r>
      <w:proofErr w:type="gramStart"/>
      <w:r w:rsidRPr="00E538A1">
        <w:rPr>
          <w:rFonts w:cs="Arial"/>
          <w:szCs w:val="20"/>
        </w:rPr>
        <w:t>Agreement;</w:t>
      </w:r>
      <w:proofErr w:type="gramEnd"/>
    </w:p>
    <w:p w14:paraId="3BC756DC" w14:textId="77777777" w:rsidR="00E538A1" w:rsidRPr="00E538A1" w:rsidRDefault="00E538A1" w:rsidP="009D675B">
      <w:pPr>
        <w:pStyle w:val="Heading5"/>
        <w:numPr>
          <w:ilvl w:val="4"/>
          <w:numId w:val="102"/>
        </w:numPr>
        <w:tabs>
          <w:tab w:val="clear" w:pos="2160"/>
          <w:tab w:val="num" w:pos="3119"/>
        </w:tabs>
        <w:ind w:left="3119" w:hanging="709"/>
        <w:rPr>
          <w:rFonts w:cs="Arial"/>
          <w:szCs w:val="20"/>
        </w:rPr>
      </w:pPr>
      <w:r w:rsidRPr="00E538A1">
        <w:rPr>
          <w:rFonts w:cs="Arial"/>
          <w:szCs w:val="20"/>
        </w:rPr>
        <w:t>this Agreement</w:t>
      </w:r>
      <w:bookmarkEnd w:id="1280"/>
      <w:r w:rsidRPr="00E538A1">
        <w:rPr>
          <w:rFonts w:cs="Arial"/>
          <w:szCs w:val="20"/>
        </w:rPr>
        <w:t>.</w:t>
      </w:r>
    </w:p>
    <w:bookmarkEnd w:id="1281"/>
    <w:p w14:paraId="695BF948"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Cumulative obligations: Where one provision of this Agreement (including its Schedules) imposes upon any of the Parties a standard or duty in relation to any obligation which is more onerous than, or additional to, that imposed by a provision of the relevant Services Agreement in relation to that same obligation, this shall not be treated as a conflict or inconsistency for the purposes of Clause </w:t>
      </w:r>
      <w:r w:rsidRPr="00E538A1">
        <w:rPr>
          <w:rFonts w:cs="Arial"/>
          <w:szCs w:val="20"/>
        </w:rPr>
        <w:fldChar w:fldCharType="begin"/>
      </w:r>
      <w:r w:rsidRPr="00E538A1">
        <w:rPr>
          <w:rFonts w:cs="Arial"/>
          <w:szCs w:val="20"/>
        </w:rPr>
        <w:instrText xml:space="preserve"> REF _Ref389638012 \w \h  \* MERGEFORMAT </w:instrText>
      </w:r>
      <w:r w:rsidRPr="00E538A1">
        <w:rPr>
          <w:rFonts w:cs="Arial"/>
          <w:szCs w:val="20"/>
        </w:rPr>
      </w:r>
      <w:r w:rsidRPr="00E538A1">
        <w:rPr>
          <w:rFonts w:cs="Arial"/>
          <w:szCs w:val="20"/>
        </w:rPr>
        <w:fldChar w:fldCharType="separate"/>
      </w:r>
      <w:r w:rsidRPr="00E538A1">
        <w:rPr>
          <w:rFonts w:cs="Arial"/>
          <w:szCs w:val="20"/>
        </w:rPr>
        <w:t>1.2</w:t>
      </w:r>
      <w:r w:rsidRPr="00E538A1">
        <w:rPr>
          <w:rFonts w:cs="Arial"/>
          <w:szCs w:val="20"/>
        </w:rPr>
        <w:fldChar w:fldCharType="end"/>
      </w:r>
      <w:r w:rsidRPr="00E538A1">
        <w:rPr>
          <w:rFonts w:cs="Arial"/>
          <w:szCs w:val="20"/>
        </w:rPr>
        <w:t xml:space="preserve"> (Precedence).  Rather the relevant standard or duty in relation to that obligation shall, so far as possible, be treated as cumulative, failing which the more onerous standard or duty shall apply.</w:t>
      </w:r>
    </w:p>
    <w:p w14:paraId="08772450" w14:textId="77777777" w:rsidR="00E538A1" w:rsidRPr="00E538A1" w:rsidRDefault="00E538A1" w:rsidP="009D675B">
      <w:pPr>
        <w:pStyle w:val="Heading1"/>
        <w:numPr>
          <w:ilvl w:val="0"/>
          <w:numId w:val="102"/>
        </w:numPr>
        <w:ind w:left="709" w:hanging="709"/>
        <w:rPr>
          <w:rFonts w:cs="Arial"/>
          <w:szCs w:val="20"/>
        </w:rPr>
      </w:pPr>
      <w:bookmarkStart w:id="1282" w:name="_Toc69894178"/>
      <w:bookmarkStart w:id="1283" w:name="_Toc69894393"/>
      <w:bookmarkStart w:id="1284" w:name="_Ref201476528"/>
      <w:bookmarkStart w:id="1285" w:name="_Toc231187962"/>
      <w:bookmarkStart w:id="1286" w:name="_Ref322102922"/>
      <w:bookmarkStart w:id="1287" w:name="_Toc57263855"/>
      <w:bookmarkEnd w:id="1271"/>
      <w:r w:rsidRPr="00E538A1">
        <w:rPr>
          <w:rFonts w:cs="Arial"/>
          <w:szCs w:val="20"/>
        </w:rPr>
        <w:t>Term</w:t>
      </w:r>
      <w:bookmarkEnd w:id="1282"/>
      <w:bookmarkEnd w:id="1283"/>
      <w:bookmarkEnd w:id="1284"/>
      <w:bookmarkEnd w:id="1285"/>
      <w:bookmarkEnd w:id="1286"/>
      <w:bookmarkEnd w:id="1287"/>
    </w:p>
    <w:p w14:paraId="5DB8CCC7" w14:textId="77777777" w:rsidR="00E538A1" w:rsidRPr="00E538A1" w:rsidRDefault="00E538A1" w:rsidP="009D675B">
      <w:pPr>
        <w:pStyle w:val="Heading2"/>
        <w:numPr>
          <w:ilvl w:val="1"/>
          <w:numId w:val="102"/>
        </w:numPr>
        <w:ind w:left="709" w:hanging="709"/>
        <w:rPr>
          <w:rFonts w:cs="Arial"/>
          <w:szCs w:val="20"/>
        </w:rPr>
      </w:pPr>
      <w:bookmarkStart w:id="1288" w:name="_Ref247656657"/>
      <w:bookmarkStart w:id="1289" w:name="_Ref389639728"/>
      <w:r w:rsidRPr="00E538A1">
        <w:rPr>
          <w:rFonts w:cs="Arial"/>
          <w:szCs w:val="20"/>
        </w:rPr>
        <w:t xml:space="preserve">Term:  </w:t>
      </w:r>
      <w:bookmarkStart w:id="1290" w:name="_Ref323149581"/>
      <w:bookmarkEnd w:id="1288"/>
      <w:r w:rsidRPr="00E538A1">
        <w:rPr>
          <w:rFonts w:cs="Arial"/>
          <w:szCs w:val="20"/>
        </w:rPr>
        <w:t>The obligations and rights of each Party under this Agreement shall become effective upon execution of:</w:t>
      </w:r>
      <w:bookmarkEnd w:id="1289"/>
      <w:r w:rsidRPr="00E538A1">
        <w:rPr>
          <w:rFonts w:cs="Arial"/>
          <w:szCs w:val="20"/>
        </w:rPr>
        <w:t xml:space="preserve"> </w:t>
      </w:r>
    </w:p>
    <w:p w14:paraId="1594E595"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 xml:space="preserve">in relation to the Customer and a Member, this Agreement </w:t>
      </w:r>
      <w:r w:rsidRPr="00E538A1">
        <w:rPr>
          <w:rFonts w:cs="Arial"/>
          <w:b/>
          <w:bCs w:val="0"/>
          <w:szCs w:val="20"/>
          <w:highlight w:val="yellow"/>
        </w:rPr>
        <w:t>[Note to Bidders:</w:t>
      </w:r>
      <w:r w:rsidRPr="00E538A1">
        <w:rPr>
          <w:rFonts w:cs="Arial"/>
          <w:b/>
          <w:szCs w:val="20"/>
          <w:highlight w:val="yellow"/>
        </w:rPr>
        <w:t xml:space="preserve"> Intention is for this Agreement to be executed at the same time as the Services Agreement.</w:t>
      </w:r>
      <w:r w:rsidRPr="00E538A1">
        <w:rPr>
          <w:rFonts w:cs="Arial"/>
          <w:szCs w:val="20"/>
          <w:highlight w:val="yellow"/>
        </w:rPr>
        <w:t>]</w:t>
      </w:r>
      <w:r w:rsidRPr="00E538A1">
        <w:rPr>
          <w:rFonts w:cs="Arial"/>
          <w:szCs w:val="20"/>
        </w:rPr>
        <w:t>; and</w:t>
      </w:r>
    </w:p>
    <w:p w14:paraId="0C383F34"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 xml:space="preserve">in relation to an Acceding Member, an Accession Agreement by that Acceding </w:t>
      </w:r>
      <w:proofErr w:type="gramStart"/>
      <w:r w:rsidRPr="00E538A1">
        <w:rPr>
          <w:rFonts w:cs="Arial"/>
          <w:szCs w:val="20"/>
        </w:rPr>
        <w:t>Member</w:t>
      </w:r>
      <w:proofErr w:type="gramEnd"/>
      <w:r w:rsidRPr="00E538A1">
        <w:rPr>
          <w:rFonts w:cs="Arial"/>
          <w:szCs w:val="20"/>
        </w:rPr>
        <w:t xml:space="preserve"> and the Customer, </w:t>
      </w:r>
    </w:p>
    <w:p w14:paraId="64DD5899" w14:textId="77777777" w:rsidR="00E538A1" w:rsidRPr="00E538A1" w:rsidRDefault="00E538A1" w:rsidP="00E538A1">
      <w:pPr>
        <w:pStyle w:val="Heading2"/>
        <w:numPr>
          <w:ilvl w:val="0"/>
          <w:numId w:val="0"/>
        </w:numPr>
        <w:ind w:left="709"/>
        <w:rPr>
          <w:rFonts w:cs="Arial"/>
          <w:szCs w:val="20"/>
        </w:rPr>
      </w:pPr>
      <w:r w:rsidRPr="00E538A1">
        <w:rPr>
          <w:rFonts w:cs="Arial"/>
          <w:szCs w:val="20"/>
        </w:rPr>
        <w:t>(</w:t>
      </w:r>
      <w:proofErr w:type="gramStart"/>
      <w:r w:rsidRPr="00E538A1">
        <w:rPr>
          <w:rFonts w:cs="Arial"/>
          <w:szCs w:val="20"/>
        </w:rPr>
        <w:t>the</w:t>
      </w:r>
      <w:proofErr w:type="gramEnd"/>
      <w:r w:rsidRPr="00E538A1">
        <w:rPr>
          <w:rFonts w:cs="Arial"/>
          <w:szCs w:val="20"/>
        </w:rPr>
        <w:t xml:space="preserve"> </w:t>
      </w:r>
      <w:r w:rsidRPr="00E538A1">
        <w:rPr>
          <w:rFonts w:cs="Arial"/>
          <w:b/>
          <w:bCs w:val="0"/>
          <w:szCs w:val="20"/>
        </w:rPr>
        <w:t>Collaboration Agreement Commencement Date</w:t>
      </w:r>
      <w:r w:rsidRPr="00E538A1">
        <w:rPr>
          <w:rFonts w:cs="Arial"/>
          <w:szCs w:val="20"/>
        </w:rPr>
        <w:t xml:space="preserve">) and shall continue in force in relation to each Party until it is terminated in accordance with Clause </w:t>
      </w:r>
      <w:r w:rsidRPr="00E538A1">
        <w:rPr>
          <w:rFonts w:cs="Arial"/>
          <w:szCs w:val="20"/>
        </w:rPr>
        <w:fldChar w:fldCharType="begin"/>
      </w:r>
      <w:r w:rsidRPr="00E538A1">
        <w:rPr>
          <w:rFonts w:cs="Arial"/>
          <w:szCs w:val="20"/>
        </w:rPr>
        <w:instrText xml:space="preserve"> REF _Ref389755159 \w \h  \* MERGEFORMAT </w:instrText>
      </w:r>
      <w:r w:rsidRPr="00E538A1">
        <w:rPr>
          <w:rFonts w:cs="Arial"/>
          <w:szCs w:val="20"/>
        </w:rPr>
      </w:r>
      <w:r w:rsidRPr="00E538A1">
        <w:rPr>
          <w:rFonts w:cs="Arial"/>
          <w:szCs w:val="20"/>
        </w:rPr>
        <w:fldChar w:fldCharType="separate"/>
      </w:r>
      <w:r w:rsidRPr="00E538A1">
        <w:rPr>
          <w:rFonts w:cs="Arial"/>
          <w:szCs w:val="20"/>
        </w:rPr>
        <w:t>13</w:t>
      </w:r>
      <w:r w:rsidRPr="00E538A1">
        <w:rPr>
          <w:rFonts w:cs="Arial"/>
          <w:szCs w:val="20"/>
        </w:rPr>
        <w:fldChar w:fldCharType="end"/>
      </w:r>
      <w:r w:rsidRPr="00E538A1">
        <w:rPr>
          <w:rFonts w:cs="Arial"/>
          <w:szCs w:val="20"/>
        </w:rPr>
        <w:t xml:space="preserve"> (Termination) in respect of that Party (the </w:t>
      </w:r>
      <w:r w:rsidRPr="00E538A1">
        <w:rPr>
          <w:rFonts w:cs="Arial"/>
          <w:b/>
          <w:bCs w:val="0"/>
          <w:szCs w:val="20"/>
        </w:rPr>
        <w:t>Term</w:t>
      </w:r>
      <w:r w:rsidRPr="00E538A1">
        <w:rPr>
          <w:rFonts w:cs="Arial"/>
          <w:szCs w:val="20"/>
        </w:rPr>
        <w:t xml:space="preserve">). This Agreement shall remain in force in respect to any remaining Parties pursuant to Clause </w:t>
      </w:r>
      <w:r w:rsidRPr="00E538A1">
        <w:rPr>
          <w:rFonts w:cs="Arial"/>
          <w:szCs w:val="20"/>
        </w:rPr>
        <w:fldChar w:fldCharType="begin"/>
      </w:r>
      <w:r w:rsidRPr="00E538A1">
        <w:rPr>
          <w:rFonts w:cs="Arial"/>
          <w:szCs w:val="20"/>
        </w:rPr>
        <w:instrText xml:space="preserve"> REF _Ref390098855 \w \h  \* MERGEFORMAT </w:instrText>
      </w:r>
      <w:r w:rsidRPr="00E538A1">
        <w:rPr>
          <w:rFonts w:cs="Arial"/>
          <w:szCs w:val="20"/>
        </w:rPr>
      </w:r>
      <w:r w:rsidRPr="00E538A1">
        <w:rPr>
          <w:rFonts w:cs="Arial"/>
          <w:szCs w:val="20"/>
        </w:rPr>
        <w:fldChar w:fldCharType="separate"/>
      </w:r>
      <w:r w:rsidRPr="00E538A1">
        <w:rPr>
          <w:rFonts w:cs="Arial"/>
          <w:szCs w:val="20"/>
        </w:rPr>
        <w:t>14.3</w:t>
      </w:r>
      <w:r w:rsidRPr="00E538A1">
        <w:rPr>
          <w:rFonts w:cs="Arial"/>
          <w:szCs w:val="20"/>
        </w:rPr>
        <w:fldChar w:fldCharType="end"/>
      </w:r>
      <w:r w:rsidRPr="00E538A1">
        <w:rPr>
          <w:rFonts w:cs="Arial"/>
          <w:szCs w:val="20"/>
        </w:rPr>
        <w:t xml:space="preserve"> (Remaining Members).  </w:t>
      </w:r>
    </w:p>
    <w:p w14:paraId="1A9CD3F4" w14:textId="77777777" w:rsidR="00E538A1" w:rsidRPr="00E538A1" w:rsidRDefault="00E538A1" w:rsidP="009D675B">
      <w:pPr>
        <w:pStyle w:val="Heading2"/>
        <w:numPr>
          <w:ilvl w:val="1"/>
          <w:numId w:val="102"/>
        </w:numPr>
        <w:ind w:left="709" w:hanging="709"/>
        <w:rPr>
          <w:rFonts w:cs="Arial"/>
          <w:szCs w:val="20"/>
        </w:rPr>
      </w:pPr>
      <w:bookmarkStart w:id="1291" w:name="_Ref219266464"/>
      <w:bookmarkStart w:id="1292" w:name="_Ref390098416"/>
      <w:r w:rsidRPr="00E538A1">
        <w:rPr>
          <w:rFonts w:cs="Arial"/>
          <w:szCs w:val="20"/>
        </w:rPr>
        <w:t>Undertaking: Each Party undertakes and agrees with each other Party that it will</w:t>
      </w:r>
      <w:bookmarkEnd w:id="1291"/>
      <w:r w:rsidRPr="00E538A1">
        <w:rPr>
          <w:rFonts w:cs="Arial"/>
          <w:szCs w:val="20"/>
        </w:rPr>
        <w:t xml:space="preserve"> be bound by, and comply with, the terms of this Agreement, as may be amended from time to time in accordance with Clause </w:t>
      </w:r>
      <w:r w:rsidRPr="00E538A1">
        <w:rPr>
          <w:rFonts w:cs="Arial"/>
          <w:szCs w:val="20"/>
        </w:rPr>
        <w:fldChar w:fldCharType="begin"/>
      </w:r>
      <w:r w:rsidRPr="00E538A1">
        <w:rPr>
          <w:rFonts w:cs="Arial"/>
          <w:szCs w:val="20"/>
        </w:rPr>
        <w:instrText xml:space="preserve"> REF _Ref222730527 \w \h  \* MERGEFORMAT </w:instrText>
      </w:r>
      <w:r w:rsidRPr="00E538A1">
        <w:rPr>
          <w:rFonts w:cs="Arial"/>
          <w:szCs w:val="20"/>
        </w:rPr>
      </w:r>
      <w:r w:rsidRPr="00E538A1">
        <w:rPr>
          <w:rFonts w:cs="Arial"/>
          <w:szCs w:val="20"/>
        </w:rPr>
        <w:fldChar w:fldCharType="separate"/>
      </w:r>
      <w:r w:rsidRPr="00E538A1">
        <w:rPr>
          <w:rFonts w:cs="Arial"/>
          <w:szCs w:val="20"/>
        </w:rPr>
        <w:t>18</w:t>
      </w:r>
      <w:r w:rsidRPr="00E538A1">
        <w:rPr>
          <w:rFonts w:cs="Arial"/>
          <w:szCs w:val="20"/>
        </w:rPr>
        <w:fldChar w:fldCharType="end"/>
      </w:r>
      <w:r w:rsidRPr="00E538A1">
        <w:rPr>
          <w:rFonts w:cs="Arial"/>
          <w:szCs w:val="20"/>
        </w:rPr>
        <w:t xml:space="preserve"> (Amendments), for the Term. This Clause </w:t>
      </w:r>
      <w:r w:rsidRPr="00E538A1">
        <w:rPr>
          <w:rFonts w:cs="Arial"/>
          <w:szCs w:val="20"/>
        </w:rPr>
        <w:fldChar w:fldCharType="begin"/>
      </w:r>
      <w:r w:rsidRPr="00E538A1">
        <w:rPr>
          <w:rFonts w:cs="Arial"/>
          <w:szCs w:val="20"/>
        </w:rPr>
        <w:instrText xml:space="preserve"> REF _Ref390098416 \w \h  \* MERGEFORMAT </w:instrText>
      </w:r>
      <w:r w:rsidRPr="00E538A1">
        <w:rPr>
          <w:rFonts w:cs="Arial"/>
          <w:szCs w:val="20"/>
        </w:rPr>
      </w:r>
      <w:r w:rsidRPr="00E538A1">
        <w:rPr>
          <w:rFonts w:cs="Arial"/>
          <w:szCs w:val="20"/>
        </w:rPr>
        <w:fldChar w:fldCharType="separate"/>
      </w:r>
      <w:r w:rsidRPr="00E538A1">
        <w:rPr>
          <w:rFonts w:cs="Arial"/>
          <w:szCs w:val="20"/>
        </w:rPr>
        <w:t>2.2</w:t>
      </w:r>
      <w:r w:rsidRPr="00E538A1">
        <w:rPr>
          <w:rFonts w:cs="Arial"/>
          <w:szCs w:val="20"/>
        </w:rPr>
        <w:fldChar w:fldCharType="end"/>
      </w:r>
      <w:r w:rsidRPr="00E538A1">
        <w:rPr>
          <w:rFonts w:cs="Arial"/>
          <w:szCs w:val="20"/>
        </w:rPr>
        <w:t xml:space="preserve"> is not conditional upon signature of this Agreement by any other Party (except that this Agreement shall initially take effect in accordance with Clause </w:t>
      </w:r>
      <w:r w:rsidRPr="00E538A1">
        <w:rPr>
          <w:rFonts w:cs="Arial"/>
          <w:szCs w:val="20"/>
        </w:rPr>
        <w:fldChar w:fldCharType="begin"/>
      </w:r>
      <w:r w:rsidRPr="00E538A1">
        <w:rPr>
          <w:rFonts w:cs="Arial"/>
          <w:szCs w:val="20"/>
        </w:rPr>
        <w:instrText xml:space="preserve"> REF _Ref389639728 \r \h  \* MERGEFORMAT </w:instrText>
      </w:r>
      <w:r w:rsidRPr="00E538A1">
        <w:rPr>
          <w:rFonts w:cs="Arial"/>
          <w:szCs w:val="20"/>
        </w:rPr>
      </w:r>
      <w:r w:rsidRPr="00E538A1">
        <w:rPr>
          <w:rFonts w:cs="Arial"/>
          <w:szCs w:val="20"/>
        </w:rPr>
        <w:fldChar w:fldCharType="separate"/>
      </w:r>
      <w:r w:rsidRPr="00E538A1">
        <w:rPr>
          <w:rFonts w:cs="Arial"/>
          <w:szCs w:val="20"/>
        </w:rPr>
        <w:t>2.1</w:t>
      </w:r>
      <w:r w:rsidRPr="00E538A1">
        <w:rPr>
          <w:rFonts w:cs="Arial"/>
          <w:szCs w:val="20"/>
        </w:rPr>
        <w:fldChar w:fldCharType="end"/>
      </w:r>
      <w:r w:rsidRPr="00E538A1">
        <w:rPr>
          <w:rFonts w:cs="Arial"/>
          <w:szCs w:val="20"/>
        </w:rPr>
        <w:t>(a) (Term)) and shall apply to and have effect in respect to all Parties from time to time, regardless of whether they become a Party by executing this Agreement, or pursuant to an Accession Agreement.</w:t>
      </w:r>
      <w:bookmarkEnd w:id="1292"/>
      <w:r w:rsidRPr="00E538A1">
        <w:rPr>
          <w:rFonts w:cs="Arial"/>
          <w:szCs w:val="20"/>
        </w:rPr>
        <w:t xml:space="preserve"> </w:t>
      </w:r>
    </w:p>
    <w:p w14:paraId="0D7C0079" w14:textId="573DD86C" w:rsidR="00E538A1" w:rsidRPr="00E538A1" w:rsidRDefault="00E538A1" w:rsidP="009D675B">
      <w:pPr>
        <w:pStyle w:val="Heading2"/>
        <w:numPr>
          <w:ilvl w:val="1"/>
          <w:numId w:val="102"/>
        </w:numPr>
        <w:ind w:left="709" w:hanging="709"/>
        <w:rPr>
          <w:rFonts w:cs="Arial"/>
          <w:szCs w:val="20"/>
        </w:rPr>
      </w:pPr>
      <w:bookmarkStart w:id="1293" w:name="_Ref390098591"/>
      <w:bookmarkStart w:id="1294" w:name="_Ref228074638"/>
      <w:r w:rsidRPr="00E538A1">
        <w:rPr>
          <w:rFonts w:cs="Arial"/>
          <w:szCs w:val="20"/>
        </w:rPr>
        <w:t>Membe</w:t>
      </w:r>
      <w:r w:rsidR="000D476B">
        <w:rPr>
          <w:rFonts w:cs="Arial"/>
          <w:szCs w:val="20"/>
        </w:rPr>
        <w:t>r</w:t>
      </w:r>
      <w:r w:rsidRPr="00E538A1">
        <w:rPr>
          <w:rFonts w:cs="Arial"/>
          <w:szCs w:val="20"/>
        </w:rPr>
        <w:t>s: A "</w:t>
      </w:r>
      <w:r w:rsidR="000D476B">
        <w:rPr>
          <w:rFonts w:cs="Arial"/>
          <w:bCs w:val="0"/>
          <w:szCs w:val="20"/>
        </w:rPr>
        <w:t>M</w:t>
      </w:r>
      <w:r w:rsidRPr="00E538A1">
        <w:rPr>
          <w:rFonts w:cs="Arial"/>
          <w:bCs w:val="0"/>
          <w:szCs w:val="20"/>
        </w:rPr>
        <w:t xml:space="preserve">ember" </w:t>
      </w:r>
      <w:r w:rsidRPr="00E538A1">
        <w:rPr>
          <w:rFonts w:cs="Arial"/>
          <w:szCs w:val="20"/>
        </w:rPr>
        <w:t>shall be:</w:t>
      </w:r>
      <w:bookmarkEnd w:id="1293"/>
    </w:p>
    <w:p w14:paraId="692AEAB6" w14:textId="77777777" w:rsidR="00E538A1" w:rsidRPr="00E538A1" w:rsidRDefault="00E538A1" w:rsidP="009D675B">
      <w:pPr>
        <w:pStyle w:val="Heading4"/>
        <w:numPr>
          <w:ilvl w:val="3"/>
          <w:numId w:val="102"/>
        </w:numPr>
        <w:tabs>
          <w:tab w:val="clear" w:pos="1440"/>
          <w:tab w:val="num" w:pos="1702"/>
        </w:tabs>
        <w:spacing w:after="230"/>
        <w:ind w:left="1418" w:hanging="709"/>
        <w:rPr>
          <w:rFonts w:cs="Arial"/>
          <w:b/>
          <w:bCs w:val="0"/>
          <w:szCs w:val="20"/>
        </w:rPr>
      </w:pPr>
      <w:r w:rsidRPr="00E538A1">
        <w:rPr>
          <w:rFonts w:cs="Arial"/>
          <w:b/>
          <w:bCs w:val="0"/>
          <w:szCs w:val="20"/>
          <w:highlight w:val="yellow"/>
        </w:rPr>
        <w:t>[Note to Bidders: Insert Suppliers entering into this Agreement at date of signature]</w:t>
      </w:r>
    </w:p>
    <w:p w14:paraId="2E7B3045" w14:textId="77777777" w:rsidR="00E538A1" w:rsidRPr="00E538A1" w:rsidRDefault="00E538A1" w:rsidP="009D675B">
      <w:pPr>
        <w:pStyle w:val="Heading4"/>
        <w:numPr>
          <w:ilvl w:val="3"/>
          <w:numId w:val="102"/>
        </w:numPr>
        <w:tabs>
          <w:tab w:val="clear" w:pos="1440"/>
          <w:tab w:val="num" w:pos="1702"/>
        </w:tabs>
        <w:spacing w:after="230"/>
        <w:ind w:left="1418" w:hanging="709"/>
        <w:rPr>
          <w:rFonts w:cs="Arial"/>
          <w:szCs w:val="20"/>
        </w:rPr>
      </w:pPr>
      <w:r w:rsidRPr="00E538A1">
        <w:rPr>
          <w:rFonts w:cs="Arial"/>
          <w:szCs w:val="20"/>
        </w:rPr>
        <w:t xml:space="preserve">each person which after the date of this Agreement, </w:t>
      </w:r>
      <w:bookmarkStart w:id="1295" w:name="_Ref223434434"/>
      <w:bookmarkEnd w:id="1294"/>
      <w:r w:rsidRPr="00E538A1">
        <w:rPr>
          <w:rFonts w:cs="Arial"/>
          <w:szCs w:val="20"/>
        </w:rPr>
        <w:t xml:space="preserve">executes an Accession Agreement together with the </w:t>
      </w:r>
      <w:bookmarkEnd w:id="1295"/>
      <w:r w:rsidRPr="00E538A1">
        <w:rPr>
          <w:rFonts w:cs="Arial"/>
          <w:szCs w:val="20"/>
        </w:rPr>
        <w:t xml:space="preserve">Customer, </w:t>
      </w:r>
    </w:p>
    <w:p w14:paraId="46F78CF9" w14:textId="608A5C05" w:rsidR="00E538A1" w:rsidRPr="00E538A1" w:rsidRDefault="00E538A1" w:rsidP="00E538A1">
      <w:pPr>
        <w:pStyle w:val="Heading4"/>
        <w:numPr>
          <w:ilvl w:val="0"/>
          <w:numId w:val="0"/>
        </w:numPr>
        <w:spacing w:after="230"/>
        <w:ind w:left="709"/>
        <w:rPr>
          <w:rFonts w:cs="Arial"/>
          <w:szCs w:val="20"/>
        </w:rPr>
      </w:pPr>
      <w:r w:rsidRPr="00E538A1">
        <w:rPr>
          <w:rFonts w:cs="Arial"/>
          <w:szCs w:val="20"/>
        </w:rPr>
        <w:t xml:space="preserve">provided that it has not ceased to be a </w:t>
      </w:r>
      <w:proofErr w:type="gramStart"/>
      <w:r w:rsidRPr="00E538A1">
        <w:rPr>
          <w:rFonts w:cs="Arial"/>
          <w:szCs w:val="20"/>
        </w:rPr>
        <w:t>Member</w:t>
      </w:r>
      <w:proofErr w:type="gramEnd"/>
      <w:r w:rsidRPr="00E538A1">
        <w:rPr>
          <w:rFonts w:cs="Arial"/>
          <w:szCs w:val="20"/>
        </w:rPr>
        <w:t xml:space="preserve"> pursuant to Clause </w:t>
      </w:r>
      <w:r w:rsidRPr="00E538A1">
        <w:rPr>
          <w:rFonts w:cs="Arial"/>
          <w:szCs w:val="20"/>
        </w:rPr>
        <w:fldChar w:fldCharType="begin"/>
      </w:r>
      <w:r w:rsidRPr="00E538A1">
        <w:rPr>
          <w:rFonts w:cs="Arial"/>
          <w:szCs w:val="20"/>
        </w:rPr>
        <w:instrText xml:space="preserve"> REF _Ref389755159 \w \h  \* MERGEFORMAT </w:instrText>
      </w:r>
      <w:r w:rsidRPr="00E538A1">
        <w:rPr>
          <w:rFonts w:cs="Arial"/>
          <w:szCs w:val="20"/>
        </w:rPr>
      </w:r>
      <w:r w:rsidRPr="00E538A1">
        <w:rPr>
          <w:rFonts w:cs="Arial"/>
          <w:szCs w:val="20"/>
        </w:rPr>
        <w:fldChar w:fldCharType="separate"/>
      </w:r>
      <w:r w:rsidRPr="00E538A1">
        <w:rPr>
          <w:rFonts w:cs="Arial"/>
          <w:szCs w:val="20"/>
        </w:rPr>
        <w:t>13</w:t>
      </w:r>
      <w:r w:rsidRPr="00E538A1">
        <w:rPr>
          <w:rFonts w:cs="Arial"/>
          <w:szCs w:val="20"/>
        </w:rPr>
        <w:fldChar w:fldCharType="end"/>
      </w:r>
      <w:r w:rsidRPr="00E538A1">
        <w:rPr>
          <w:rFonts w:cs="Arial"/>
          <w:szCs w:val="20"/>
        </w:rPr>
        <w:t xml:space="preserve"> (Termination). For the avoidance of doubt, the provisions of Clause </w:t>
      </w:r>
      <w:r w:rsidRPr="00E538A1">
        <w:rPr>
          <w:rFonts w:cs="Arial"/>
          <w:szCs w:val="20"/>
        </w:rPr>
        <w:fldChar w:fldCharType="begin"/>
      </w:r>
      <w:r w:rsidRPr="00E538A1">
        <w:rPr>
          <w:rFonts w:cs="Arial"/>
          <w:szCs w:val="20"/>
        </w:rPr>
        <w:instrText xml:space="preserve"> REF _Ref390098416 \w \h  \* MERGEFORMAT </w:instrText>
      </w:r>
      <w:r w:rsidRPr="00E538A1">
        <w:rPr>
          <w:rFonts w:cs="Arial"/>
          <w:szCs w:val="20"/>
        </w:rPr>
      </w:r>
      <w:r w:rsidRPr="00E538A1">
        <w:rPr>
          <w:rFonts w:cs="Arial"/>
          <w:szCs w:val="20"/>
        </w:rPr>
        <w:fldChar w:fldCharType="separate"/>
      </w:r>
      <w:r w:rsidRPr="00E538A1">
        <w:rPr>
          <w:rFonts w:cs="Arial"/>
          <w:szCs w:val="20"/>
        </w:rPr>
        <w:t>2.2</w:t>
      </w:r>
      <w:r w:rsidRPr="00E538A1">
        <w:rPr>
          <w:rFonts w:cs="Arial"/>
          <w:szCs w:val="20"/>
        </w:rPr>
        <w:fldChar w:fldCharType="end"/>
      </w:r>
      <w:r w:rsidRPr="00E538A1">
        <w:rPr>
          <w:rFonts w:cs="Arial"/>
          <w:szCs w:val="20"/>
        </w:rPr>
        <w:t xml:space="preserve"> (Undertaking) shall apply to and have effect in respect to all Members from time to time and the expre</w:t>
      </w:r>
      <w:r w:rsidR="000D476B">
        <w:rPr>
          <w:rFonts w:cs="Arial"/>
          <w:szCs w:val="20"/>
        </w:rPr>
        <w:t>s</w:t>
      </w:r>
      <w:r w:rsidRPr="00E538A1">
        <w:rPr>
          <w:rFonts w:cs="Arial"/>
          <w:szCs w:val="20"/>
        </w:rPr>
        <w:t>sion "</w:t>
      </w:r>
      <w:r w:rsidR="000D476B">
        <w:rPr>
          <w:rFonts w:cs="Arial"/>
          <w:b/>
          <w:szCs w:val="20"/>
        </w:rPr>
        <w:t>M</w:t>
      </w:r>
      <w:r w:rsidRPr="00E538A1">
        <w:rPr>
          <w:rFonts w:cs="Arial"/>
          <w:b/>
          <w:szCs w:val="20"/>
        </w:rPr>
        <w:t>ember</w:t>
      </w:r>
      <w:r w:rsidRPr="00E538A1">
        <w:rPr>
          <w:rFonts w:cs="Arial"/>
          <w:szCs w:val="20"/>
        </w:rPr>
        <w:t>" shall include all such Members from time to time.</w:t>
      </w:r>
    </w:p>
    <w:p w14:paraId="21E8185B" w14:textId="77777777" w:rsidR="00E538A1" w:rsidRPr="00E538A1" w:rsidRDefault="00E538A1" w:rsidP="009D675B">
      <w:pPr>
        <w:pStyle w:val="Heading1"/>
        <w:numPr>
          <w:ilvl w:val="0"/>
          <w:numId w:val="102"/>
        </w:numPr>
        <w:ind w:left="709" w:hanging="709"/>
        <w:rPr>
          <w:rFonts w:cs="Arial"/>
          <w:b w:val="0"/>
          <w:szCs w:val="20"/>
        </w:rPr>
      </w:pPr>
      <w:bookmarkStart w:id="1296" w:name="_Toc369713369"/>
      <w:bookmarkStart w:id="1297" w:name="_Ref369807137"/>
      <w:bookmarkStart w:id="1298" w:name="_Toc372740625"/>
      <w:bookmarkStart w:id="1299" w:name="_Toc57263856"/>
      <w:r w:rsidRPr="00E538A1">
        <w:rPr>
          <w:rFonts w:cs="Arial"/>
          <w:szCs w:val="20"/>
        </w:rPr>
        <w:lastRenderedPageBreak/>
        <w:t>Accession</w:t>
      </w:r>
      <w:bookmarkEnd w:id="1296"/>
      <w:bookmarkEnd w:id="1297"/>
      <w:bookmarkEnd w:id="1298"/>
      <w:bookmarkEnd w:id="1299"/>
      <w:r w:rsidRPr="00E538A1">
        <w:rPr>
          <w:rFonts w:cs="Arial"/>
          <w:szCs w:val="20"/>
        </w:rPr>
        <w:t xml:space="preserve"> </w:t>
      </w:r>
      <w:r w:rsidRPr="00E538A1">
        <w:rPr>
          <w:rFonts w:cs="Arial"/>
          <w:b w:val="0"/>
          <w:szCs w:val="20"/>
        </w:rPr>
        <w:t xml:space="preserve"> </w:t>
      </w:r>
    </w:p>
    <w:p w14:paraId="5FFB241D" w14:textId="77777777" w:rsidR="00E538A1" w:rsidRPr="00E538A1" w:rsidRDefault="00E538A1" w:rsidP="009D675B">
      <w:pPr>
        <w:pStyle w:val="Heading2"/>
        <w:numPr>
          <w:ilvl w:val="1"/>
          <w:numId w:val="102"/>
        </w:numPr>
        <w:ind w:left="709" w:hanging="709"/>
        <w:rPr>
          <w:rFonts w:cs="Arial"/>
          <w:szCs w:val="20"/>
        </w:rPr>
      </w:pPr>
      <w:bookmarkStart w:id="1300" w:name="_Ref369807138"/>
      <w:r w:rsidRPr="00E538A1">
        <w:rPr>
          <w:rFonts w:cs="Arial"/>
          <w:szCs w:val="20"/>
        </w:rPr>
        <w:t xml:space="preserve">New Member: The Customer shall have the sole and absolute right to, at any time, agree with a third party that it will become a Member for the purposes of this Agreement through the execution of an Accession Agreement in the form set out in </w:t>
      </w:r>
      <w:r w:rsidRPr="00E538A1">
        <w:rPr>
          <w:rFonts w:cs="Arial"/>
          <w:szCs w:val="20"/>
        </w:rPr>
        <w:fldChar w:fldCharType="begin"/>
      </w:r>
      <w:r w:rsidRPr="00E538A1">
        <w:rPr>
          <w:rFonts w:cs="Arial"/>
          <w:szCs w:val="20"/>
        </w:rPr>
        <w:instrText xml:space="preserve"> REF _Ref389651382 \w \h  \* MERGEFORMAT </w:instrText>
      </w:r>
      <w:r w:rsidRPr="00E538A1">
        <w:rPr>
          <w:rFonts w:cs="Arial"/>
          <w:szCs w:val="20"/>
        </w:rPr>
      </w:r>
      <w:r w:rsidRPr="00E538A1">
        <w:rPr>
          <w:rFonts w:cs="Arial"/>
          <w:szCs w:val="20"/>
        </w:rPr>
        <w:fldChar w:fldCharType="separate"/>
      </w:r>
      <w:r w:rsidRPr="00E538A1">
        <w:rPr>
          <w:rFonts w:cs="Arial"/>
          <w:szCs w:val="20"/>
        </w:rPr>
        <w:t>Schedule 2</w:t>
      </w:r>
      <w:r w:rsidRPr="00E538A1">
        <w:rPr>
          <w:rFonts w:cs="Arial"/>
          <w:szCs w:val="20"/>
        </w:rPr>
        <w:fldChar w:fldCharType="end"/>
      </w:r>
      <w:r w:rsidRPr="00E538A1">
        <w:rPr>
          <w:rFonts w:cs="Arial"/>
          <w:szCs w:val="20"/>
        </w:rPr>
        <w:t xml:space="preserve"> (Accession Agreement). Upon execution of an Accession Agreement, the Customer shall notify the Members of the addition of the new Member.</w:t>
      </w:r>
      <w:bookmarkEnd w:id="1300"/>
    </w:p>
    <w:p w14:paraId="40A54A32" w14:textId="601967AF" w:rsidR="00E538A1" w:rsidRPr="00E538A1" w:rsidRDefault="00E538A1" w:rsidP="009D675B">
      <w:pPr>
        <w:pStyle w:val="Heading2"/>
        <w:numPr>
          <w:ilvl w:val="1"/>
          <w:numId w:val="102"/>
        </w:numPr>
        <w:ind w:left="709" w:hanging="709"/>
        <w:rPr>
          <w:rFonts w:cs="Arial"/>
          <w:szCs w:val="20"/>
        </w:rPr>
      </w:pPr>
      <w:bookmarkStart w:id="1301" w:name="_Ref369807139"/>
      <w:r w:rsidRPr="00E538A1">
        <w:rPr>
          <w:rFonts w:cs="Arial"/>
          <w:szCs w:val="20"/>
        </w:rPr>
        <w:t xml:space="preserve">No objection: No Member shall be entitled to object to the addition of a new Member to this Agreement. </w:t>
      </w:r>
      <w:proofErr w:type="gramStart"/>
      <w:r w:rsidRPr="00E538A1">
        <w:rPr>
          <w:rFonts w:cs="Arial"/>
          <w:szCs w:val="20"/>
        </w:rPr>
        <w:t>All of</w:t>
      </w:r>
      <w:proofErr w:type="gramEnd"/>
      <w:r w:rsidRPr="00E538A1">
        <w:rPr>
          <w:rFonts w:cs="Arial"/>
          <w:szCs w:val="20"/>
        </w:rPr>
        <w:t xml:space="preserve"> the Parties to this Agreement prior to the execution of an Accession Agreement shall remain bound by the terms of this Agreement following execution of the Accession Agreement and in addition, from the date on which the relevant Accession Agreement was executed, the new Member shall have all of the rights and obligations of a Member under this Agreement.</w:t>
      </w:r>
      <w:bookmarkEnd w:id="1301"/>
      <w:r w:rsidRPr="00E538A1">
        <w:rPr>
          <w:rFonts w:cs="Arial"/>
          <w:szCs w:val="20"/>
        </w:rPr>
        <w:t xml:space="preserve"> </w:t>
      </w:r>
    </w:p>
    <w:p w14:paraId="201C3BF4" w14:textId="77777777" w:rsidR="00E538A1" w:rsidRPr="00E538A1" w:rsidRDefault="00E538A1" w:rsidP="009D675B">
      <w:pPr>
        <w:pStyle w:val="Heading2"/>
        <w:numPr>
          <w:ilvl w:val="1"/>
          <w:numId w:val="102"/>
        </w:numPr>
        <w:ind w:left="709" w:hanging="709"/>
        <w:rPr>
          <w:rFonts w:cs="Arial"/>
          <w:szCs w:val="20"/>
        </w:rPr>
      </w:pPr>
      <w:bookmarkStart w:id="1302" w:name="_Ref369807140"/>
      <w:r w:rsidRPr="00E538A1">
        <w:rPr>
          <w:rFonts w:cs="Arial"/>
          <w:szCs w:val="20"/>
        </w:rPr>
        <w:t xml:space="preserve">Consequential Changes: Where a new Member becomes a Party under this Agreement and the Customer considers that consequential changes are required to this Agreement, such changes shall be subject to the variation procedure set out in Clause </w:t>
      </w:r>
      <w:r w:rsidRPr="00E538A1">
        <w:rPr>
          <w:rFonts w:cs="Arial"/>
          <w:szCs w:val="20"/>
        </w:rPr>
        <w:fldChar w:fldCharType="begin"/>
      </w:r>
      <w:r w:rsidRPr="00E538A1">
        <w:rPr>
          <w:rFonts w:cs="Arial"/>
          <w:szCs w:val="20"/>
        </w:rPr>
        <w:instrText xml:space="preserve"> REF _Ref222730527 \w \h  \* MERGEFORMAT </w:instrText>
      </w:r>
      <w:r w:rsidRPr="00E538A1">
        <w:rPr>
          <w:rFonts w:cs="Arial"/>
          <w:szCs w:val="20"/>
        </w:rPr>
      </w:r>
      <w:r w:rsidRPr="00E538A1">
        <w:rPr>
          <w:rFonts w:cs="Arial"/>
          <w:szCs w:val="20"/>
        </w:rPr>
        <w:fldChar w:fldCharType="separate"/>
      </w:r>
      <w:r w:rsidRPr="00E538A1">
        <w:rPr>
          <w:rFonts w:cs="Arial"/>
          <w:szCs w:val="20"/>
        </w:rPr>
        <w:t>18</w:t>
      </w:r>
      <w:r w:rsidRPr="00E538A1">
        <w:rPr>
          <w:rFonts w:cs="Arial"/>
          <w:szCs w:val="20"/>
        </w:rPr>
        <w:fldChar w:fldCharType="end"/>
      </w:r>
      <w:r w:rsidRPr="00E538A1">
        <w:rPr>
          <w:rFonts w:cs="Arial"/>
          <w:szCs w:val="20"/>
        </w:rPr>
        <w:t xml:space="preserve"> (Amendments).</w:t>
      </w:r>
      <w:bookmarkEnd w:id="1302"/>
    </w:p>
    <w:p w14:paraId="7634C6AB" w14:textId="77777777" w:rsidR="00E538A1" w:rsidRPr="00E538A1" w:rsidRDefault="00E538A1" w:rsidP="009D675B">
      <w:pPr>
        <w:pStyle w:val="Heading1"/>
        <w:numPr>
          <w:ilvl w:val="0"/>
          <w:numId w:val="102"/>
        </w:numPr>
        <w:ind w:left="709" w:hanging="709"/>
        <w:rPr>
          <w:rFonts w:cs="Arial"/>
          <w:szCs w:val="20"/>
        </w:rPr>
      </w:pPr>
      <w:bookmarkStart w:id="1303" w:name="_Toc369713375"/>
      <w:bookmarkStart w:id="1304" w:name="_Ref369807153"/>
      <w:bookmarkStart w:id="1305" w:name="_Toc372740631"/>
      <w:bookmarkStart w:id="1306" w:name="_Ref390157777"/>
      <w:bookmarkStart w:id="1307" w:name="_Toc57263857"/>
      <w:r w:rsidRPr="00E538A1">
        <w:rPr>
          <w:rFonts w:cs="Arial"/>
          <w:szCs w:val="20"/>
        </w:rPr>
        <w:t>Purpose</w:t>
      </w:r>
      <w:bookmarkEnd w:id="1303"/>
      <w:bookmarkEnd w:id="1304"/>
      <w:bookmarkEnd w:id="1305"/>
      <w:bookmarkEnd w:id="1306"/>
      <w:bookmarkEnd w:id="1307"/>
    </w:p>
    <w:p w14:paraId="61B695D1" w14:textId="77777777" w:rsidR="00E538A1" w:rsidRPr="00E538A1" w:rsidRDefault="00E538A1" w:rsidP="00E538A1">
      <w:pPr>
        <w:pStyle w:val="BodyText2"/>
        <w:rPr>
          <w:rFonts w:cs="Arial"/>
          <w:szCs w:val="20"/>
        </w:rPr>
      </w:pPr>
      <w:r w:rsidRPr="00E538A1">
        <w:rPr>
          <w:rFonts w:cs="Arial"/>
          <w:szCs w:val="20"/>
        </w:rPr>
        <w:t xml:space="preserve">This Agreement is intended to create binding rights and obligations between the Members with each other and with the Customer to </w:t>
      </w:r>
      <w:proofErr w:type="gramStart"/>
      <w:r w:rsidRPr="00E538A1">
        <w:rPr>
          <w:rFonts w:cs="Arial"/>
          <w:szCs w:val="20"/>
        </w:rPr>
        <w:t>individually and collectively enable</w:t>
      </w:r>
      <w:proofErr w:type="gramEnd"/>
      <w:r w:rsidRPr="00E538A1">
        <w:rPr>
          <w:rFonts w:cs="Arial"/>
          <w:szCs w:val="20"/>
        </w:rPr>
        <w:t>:</w:t>
      </w:r>
    </w:p>
    <w:p w14:paraId="349E4AF8"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bookmarkStart w:id="1308" w:name="_Ref369807158"/>
      <w:bookmarkStart w:id="1309" w:name="_Ref369807155"/>
      <w:r w:rsidRPr="00E538A1">
        <w:rPr>
          <w:rFonts w:cs="Arial"/>
          <w:szCs w:val="20"/>
        </w:rPr>
        <w:t xml:space="preserve">each Party to co-operate with each other Party in order that the Members are able to provide their Services in accordance with the terms of their respective Services Agreements, to the extent required for the successful delivery of the </w:t>
      </w:r>
      <w:proofErr w:type="gramStart"/>
      <w:r w:rsidRPr="00E538A1">
        <w:rPr>
          <w:rFonts w:cs="Arial"/>
          <w:szCs w:val="20"/>
        </w:rPr>
        <w:t>Programme;</w:t>
      </w:r>
      <w:proofErr w:type="gramEnd"/>
    </w:p>
    <w:p w14:paraId="37AECFFB"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bookmarkStart w:id="1310" w:name="_Ref369807154"/>
      <w:bookmarkEnd w:id="1308"/>
      <w:bookmarkEnd w:id="1309"/>
      <w:r w:rsidRPr="00E538A1">
        <w:rPr>
          <w:rFonts w:cs="Arial"/>
          <w:szCs w:val="20"/>
        </w:rPr>
        <w:t xml:space="preserve">the Members to ensure that their delivery of the Services, to the fullest extent possible, supports the successful delivery of the Programme in a manner that achieves the Purpose in the most efficient and effective </w:t>
      </w:r>
      <w:proofErr w:type="gramStart"/>
      <w:r w:rsidRPr="00E538A1">
        <w:rPr>
          <w:rFonts w:cs="Arial"/>
          <w:szCs w:val="20"/>
        </w:rPr>
        <w:t>way;</w:t>
      </w:r>
      <w:proofErr w:type="gramEnd"/>
      <w:r w:rsidRPr="00E538A1">
        <w:rPr>
          <w:rFonts w:cs="Arial"/>
          <w:szCs w:val="20"/>
        </w:rPr>
        <w:t xml:space="preserve"> </w:t>
      </w:r>
    </w:p>
    <w:p w14:paraId="486D9963"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 xml:space="preserve">the Members to work collectively to perform the Services, deliver the Dependencies to successfully deliver the </w:t>
      </w:r>
      <w:proofErr w:type="gramStart"/>
      <w:r w:rsidRPr="00E538A1">
        <w:rPr>
          <w:rFonts w:cs="Arial"/>
          <w:szCs w:val="20"/>
        </w:rPr>
        <w:t>Programme;</w:t>
      </w:r>
      <w:proofErr w:type="gramEnd"/>
    </w:p>
    <w:p w14:paraId="2FA25690" w14:textId="77777777" w:rsidR="00E538A1" w:rsidRPr="00E538A1" w:rsidRDefault="00E538A1" w:rsidP="009D675B">
      <w:pPr>
        <w:pStyle w:val="Heading4"/>
        <w:numPr>
          <w:ilvl w:val="3"/>
          <w:numId w:val="102"/>
        </w:numPr>
        <w:tabs>
          <w:tab w:val="clear" w:pos="1440"/>
          <w:tab w:val="num" w:pos="1702"/>
        </w:tabs>
        <w:ind w:left="1702" w:hanging="709"/>
        <w:rPr>
          <w:rFonts w:cs="Arial"/>
          <w:b/>
          <w:szCs w:val="20"/>
        </w:rPr>
      </w:pPr>
      <w:r w:rsidRPr="00E538A1">
        <w:rPr>
          <w:rFonts w:cs="Arial"/>
          <w:szCs w:val="20"/>
        </w:rPr>
        <w:t xml:space="preserve">the Customer to achieve the upskilling and development of its staff; and  </w:t>
      </w:r>
    </w:p>
    <w:p w14:paraId="01DFA5DD" w14:textId="581CA0A1"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lang w:val="en"/>
        </w:rPr>
        <w:t xml:space="preserve">continued delivery of value to the Customer and that the data </w:t>
      </w:r>
      <w:proofErr w:type="spellStart"/>
      <w:r w:rsidRPr="00E538A1">
        <w:rPr>
          <w:rFonts w:cs="Arial"/>
          <w:szCs w:val="20"/>
          <w:lang w:val="en"/>
        </w:rPr>
        <w:t>centre</w:t>
      </w:r>
      <w:proofErr w:type="spellEnd"/>
      <w:r w:rsidRPr="00E538A1">
        <w:rPr>
          <w:rFonts w:cs="Arial"/>
          <w:szCs w:val="20"/>
          <w:lang w:val="en"/>
        </w:rPr>
        <w:t xml:space="preserve"> can continue to evolve and meet the requirements of the Customer as well as increased return on the Cu</w:t>
      </w:r>
      <w:r w:rsidR="000D476B">
        <w:rPr>
          <w:rFonts w:cs="Arial"/>
          <w:szCs w:val="20"/>
          <w:lang w:val="en"/>
        </w:rPr>
        <w:t>s</w:t>
      </w:r>
      <w:r w:rsidRPr="00E538A1">
        <w:rPr>
          <w:rFonts w:cs="Arial"/>
          <w:szCs w:val="20"/>
          <w:lang w:val="en"/>
        </w:rPr>
        <w:t xml:space="preserve">tomer's investment in the future, </w:t>
      </w:r>
    </w:p>
    <w:p w14:paraId="7BEAB0B3" w14:textId="77777777" w:rsidR="00E538A1" w:rsidRPr="00E538A1" w:rsidRDefault="00E538A1" w:rsidP="00E538A1">
      <w:pPr>
        <w:pStyle w:val="Heading4"/>
        <w:numPr>
          <w:ilvl w:val="0"/>
          <w:numId w:val="0"/>
        </w:numPr>
        <w:ind w:left="720"/>
        <w:rPr>
          <w:rFonts w:cs="Arial"/>
          <w:szCs w:val="20"/>
        </w:rPr>
      </w:pPr>
      <w:r w:rsidRPr="00E538A1">
        <w:rPr>
          <w:rFonts w:cs="Arial"/>
          <w:szCs w:val="20"/>
        </w:rPr>
        <w:t>(</w:t>
      </w:r>
      <w:proofErr w:type="gramStart"/>
      <w:r w:rsidRPr="00E538A1">
        <w:rPr>
          <w:rFonts w:cs="Arial"/>
          <w:szCs w:val="20"/>
        </w:rPr>
        <w:t>the</w:t>
      </w:r>
      <w:proofErr w:type="gramEnd"/>
      <w:r w:rsidRPr="00E538A1">
        <w:rPr>
          <w:rFonts w:cs="Arial"/>
          <w:szCs w:val="20"/>
        </w:rPr>
        <w:t xml:space="preserve"> </w:t>
      </w:r>
      <w:r w:rsidRPr="00E538A1">
        <w:rPr>
          <w:rFonts w:cs="Arial"/>
          <w:b/>
          <w:szCs w:val="20"/>
        </w:rPr>
        <w:t>Programme Objectives</w:t>
      </w:r>
      <w:r w:rsidRPr="00E538A1">
        <w:rPr>
          <w:rFonts w:cs="Arial"/>
          <w:szCs w:val="20"/>
        </w:rPr>
        <w:t xml:space="preserve">). </w:t>
      </w:r>
    </w:p>
    <w:p w14:paraId="7589C3AE" w14:textId="77777777" w:rsidR="00E538A1" w:rsidRPr="00E538A1" w:rsidRDefault="00E538A1" w:rsidP="009D675B">
      <w:pPr>
        <w:pStyle w:val="Heading1"/>
        <w:numPr>
          <w:ilvl w:val="0"/>
          <w:numId w:val="102"/>
        </w:numPr>
        <w:ind w:left="709" w:hanging="709"/>
        <w:rPr>
          <w:rFonts w:cs="Arial"/>
          <w:szCs w:val="20"/>
        </w:rPr>
      </w:pPr>
      <w:bookmarkStart w:id="1311" w:name="_Ref390091581"/>
      <w:bookmarkStart w:id="1312" w:name="_Toc57263858"/>
      <w:bookmarkEnd w:id="1310"/>
      <w:r w:rsidRPr="00E538A1">
        <w:rPr>
          <w:rFonts w:cs="Arial"/>
          <w:szCs w:val="20"/>
        </w:rPr>
        <w:t>Cooperation and Collaboration</w:t>
      </w:r>
      <w:bookmarkEnd w:id="1311"/>
      <w:bookmarkEnd w:id="1312"/>
    </w:p>
    <w:p w14:paraId="4124D655" w14:textId="562A7A0C" w:rsidR="00E538A1" w:rsidRPr="00E538A1" w:rsidRDefault="00E538A1" w:rsidP="00E538A1">
      <w:pPr>
        <w:pStyle w:val="Heading2"/>
        <w:numPr>
          <w:ilvl w:val="0"/>
          <w:numId w:val="0"/>
        </w:numPr>
        <w:ind w:left="720"/>
        <w:rPr>
          <w:rFonts w:cs="Arial"/>
          <w:szCs w:val="20"/>
        </w:rPr>
      </w:pPr>
      <w:bookmarkStart w:id="1313" w:name="_Ref369807195"/>
      <w:bookmarkStart w:id="1314" w:name="_Ref390092979"/>
      <w:r w:rsidRPr="00E538A1">
        <w:rPr>
          <w:rFonts w:cs="Arial"/>
          <w:szCs w:val="20"/>
        </w:rPr>
        <w:t xml:space="preserve">In order to ensure the effective delivery of the Programme Objectives, the Members shall </w:t>
      </w:r>
      <w:bookmarkStart w:id="1315" w:name="_Ref366668385"/>
      <w:bookmarkStart w:id="1316" w:name="_Ref369807196"/>
      <w:bookmarkEnd w:id="1313"/>
      <w:r w:rsidRPr="00E538A1">
        <w:rPr>
          <w:rFonts w:cs="Arial"/>
          <w:szCs w:val="20"/>
        </w:rPr>
        <w:t>co-operate with Customer and each Member and Cu</w:t>
      </w:r>
      <w:r w:rsidR="000D476B">
        <w:rPr>
          <w:rFonts w:cs="Arial"/>
          <w:szCs w:val="20"/>
        </w:rPr>
        <w:t>s</w:t>
      </w:r>
      <w:r w:rsidRPr="00E538A1">
        <w:rPr>
          <w:rFonts w:cs="Arial"/>
          <w:szCs w:val="20"/>
        </w:rPr>
        <w:t>tomer's other suppliers, sub-contractors, agents, representatives and professional advisors and such other parties as may be reasonably necessary in connection with the Programme and the performance of the Services, to ensure its Services (and the Services to be provided by each other Member) can be provided in a co-ordinated, effective and timely manner</w:t>
      </w:r>
      <w:bookmarkEnd w:id="1315"/>
      <w:r w:rsidRPr="00E538A1">
        <w:rPr>
          <w:rFonts w:cs="Arial"/>
          <w:szCs w:val="20"/>
        </w:rPr>
        <w:t xml:space="preserve"> as required to achieve the Member Behaviours and Programme Objectives. Without limitation to the foregoing, each Member shall</w:t>
      </w:r>
      <w:bookmarkEnd w:id="1314"/>
      <w:r w:rsidRPr="00E538A1">
        <w:rPr>
          <w:rFonts w:cs="Arial"/>
          <w:szCs w:val="20"/>
        </w:rPr>
        <w:t xml:space="preserve"> perform its Services in a manner that meets or exceeds any measures set out in the Operating Level Agreement. </w:t>
      </w:r>
    </w:p>
    <w:p w14:paraId="3D3F58EA" w14:textId="77777777" w:rsidR="00E538A1" w:rsidRPr="00E538A1" w:rsidRDefault="00E538A1" w:rsidP="009D675B">
      <w:pPr>
        <w:pStyle w:val="Heading1"/>
        <w:numPr>
          <w:ilvl w:val="0"/>
          <w:numId w:val="102"/>
        </w:numPr>
        <w:ind w:left="709" w:hanging="709"/>
        <w:rPr>
          <w:rFonts w:cs="Arial"/>
          <w:szCs w:val="20"/>
        </w:rPr>
      </w:pPr>
      <w:bookmarkStart w:id="1317" w:name="_Toc372740640"/>
      <w:bookmarkStart w:id="1318" w:name="_Ref372742786"/>
      <w:bookmarkStart w:id="1319" w:name="_Ref390078980"/>
      <w:bookmarkStart w:id="1320" w:name="_Ref12257476"/>
      <w:bookmarkStart w:id="1321" w:name="_Toc57263859"/>
      <w:bookmarkStart w:id="1322" w:name="_Ref369807218"/>
      <w:bookmarkStart w:id="1323" w:name="_Ref205994023"/>
      <w:bookmarkStart w:id="1324" w:name="_Toc231187980"/>
      <w:bookmarkEnd w:id="1290"/>
      <w:bookmarkEnd w:id="1316"/>
      <w:r w:rsidRPr="00E538A1">
        <w:rPr>
          <w:rFonts w:cs="Arial"/>
          <w:szCs w:val="20"/>
        </w:rPr>
        <w:t>Dependencies</w:t>
      </w:r>
      <w:bookmarkEnd w:id="1317"/>
      <w:bookmarkEnd w:id="1318"/>
      <w:bookmarkEnd w:id="1319"/>
      <w:bookmarkEnd w:id="1320"/>
      <w:bookmarkEnd w:id="1321"/>
    </w:p>
    <w:p w14:paraId="4242E146"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Recording Dependencies: Each of the Parties shall clearly identify and document its Dependencies on each other Party including the Dependencies it has on the Customer, other </w:t>
      </w:r>
      <w:r w:rsidRPr="00E538A1">
        <w:rPr>
          <w:rFonts w:cs="Arial"/>
          <w:szCs w:val="20"/>
        </w:rPr>
        <w:lastRenderedPageBreak/>
        <w:t>Members and the Dependencies other Members have on it in relation to the provision of their Services. In relation to Dependencies:</w:t>
      </w:r>
    </w:p>
    <w:p w14:paraId="1AC91339" w14:textId="0663BB30"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on the Customer, the Dependencies (if any) shall be set out in the relevant Services Agreement; and</w:t>
      </w:r>
    </w:p>
    <w:p w14:paraId="2EF32E8D"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 xml:space="preserve">between the Members, the Dependencies (if any) shall be set out in Schedule [X] </w:t>
      </w:r>
      <w:r w:rsidRPr="00E538A1">
        <w:rPr>
          <w:rFonts w:cs="Arial"/>
          <w:szCs w:val="20"/>
          <w:highlight w:val="yellow"/>
        </w:rPr>
        <w:t>[</w:t>
      </w:r>
      <w:r w:rsidRPr="00E538A1">
        <w:rPr>
          <w:rFonts w:cs="Arial"/>
          <w:b/>
          <w:szCs w:val="20"/>
          <w:highlight w:val="yellow"/>
        </w:rPr>
        <w:t xml:space="preserve">Note to Bidders: At this stage, the programme is in the process of identifying clear inter-Dependencies between each Supplier. If these arise through the Programme, then these will be identified under Clause </w:t>
      </w:r>
      <w:r w:rsidRPr="00E538A1">
        <w:rPr>
          <w:rFonts w:cs="Arial"/>
          <w:b/>
          <w:szCs w:val="20"/>
          <w:highlight w:val="yellow"/>
        </w:rPr>
        <w:fldChar w:fldCharType="begin"/>
      </w:r>
      <w:r w:rsidRPr="00E538A1">
        <w:rPr>
          <w:rFonts w:cs="Arial"/>
          <w:b/>
          <w:szCs w:val="20"/>
          <w:highlight w:val="yellow"/>
        </w:rPr>
        <w:instrText xml:space="preserve"> REF _Ref369807216 \w \h  \* MERGEFORMAT </w:instrText>
      </w:r>
      <w:r w:rsidRPr="00E538A1">
        <w:rPr>
          <w:rFonts w:cs="Arial"/>
          <w:b/>
          <w:szCs w:val="20"/>
          <w:highlight w:val="yellow"/>
        </w:rPr>
      </w:r>
      <w:r w:rsidRPr="00E538A1">
        <w:rPr>
          <w:rFonts w:cs="Arial"/>
          <w:b/>
          <w:szCs w:val="20"/>
          <w:highlight w:val="yellow"/>
        </w:rPr>
        <w:fldChar w:fldCharType="separate"/>
      </w:r>
      <w:r w:rsidRPr="00E538A1">
        <w:rPr>
          <w:rFonts w:cs="Arial"/>
          <w:b/>
          <w:szCs w:val="20"/>
          <w:highlight w:val="yellow"/>
        </w:rPr>
        <w:t>6.2</w:t>
      </w:r>
      <w:r w:rsidRPr="00E538A1">
        <w:rPr>
          <w:rFonts w:cs="Arial"/>
          <w:b/>
          <w:szCs w:val="20"/>
          <w:highlight w:val="yellow"/>
        </w:rPr>
        <w:fldChar w:fldCharType="end"/>
      </w:r>
      <w:r w:rsidRPr="00E538A1">
        <w:rPr>
          <w:rFonts w:cs="Arial"/>
          <w:b/>
          <w:szCs w:val="20"/>
          <w:highlight w:val="yellow"/>
        </w:rPr>
        <w:t xml:space="preserve"> and the rest of Clause </w:t>
      </w:r>
      <w:r w:rsidRPr="00E538A1">
        <w:rPr>
          <w:rFonts w:cs="Arial"/>
          <w:b/>
          <w:szCs w:val="20"/>
          <w:highlight w:val="yellow"/>
        </w:rPr>
        <w:fldChar w:fldCharType="begin"/>
      </w:r>
      <w:r w:rsidRPr="00E538A1">
        <w:rPr>
          <w:rFonts w:cs="Arial"/>
          <w:b/>
          <w:szCs w:val="20"/>
          <w:highlight w:val="yellow"/>
        </w:rPr>
        <w:instrText xml:space="preserve"> REF _Ref12257476 \r \h  \* MERGEFORMAT </w:instrText>
      </w:r>
      <w:r w:rsidRPr="00E538A1">
        <w:rPr>
          <w:rFonts w:cs="Arial"/>
          <w:b/>
          <w:szCs w:val="20"/>
          <w:highlight w:val="yellow"/>
        </w:rPr>
      </w:r>
      <w:r w:rsidRPr="00E538A1">
        <w:rPr>
          <w:rFonts w:cs="Arial"/>
          <w:b/>
          <w:szCs w:val="20"/>
          <w:highlight w:val="yellow"/>
        </w:rPr>
        <w:fldChar w:fldCharType="separate"/>
      </w:r>
      <w:r w:rsidRPr="00E538A1">
        <w:rPr>
          <w:rFonts w:cs="Arial"/>
          <w:b/>
          <w:szCs w:val="20"/>
          <w:highlight w:val="yellow"/>
        </w:rPr>
        <w:t>6</w:t>
      </w:r>
      <w:r w:rsidRPr="00E538A1">
        <w:rPr>
          <w:rFonts w:cs="Arial"/>
          <w:b/>
          <w:szCs w:val="20"/>
          <w:highlight w:val="yellow"/>
        </w:rPr>
        <w:fldChar w:fldCharType="end"/>
      </w:r>
      <w:r w:rsidRPr="00E538A1">
        <w:rPr>
          <w:rFonts w:cs="Arial"/>
          <w:b/>
          <w:szCs w:val="20"/>
          <w:highlight w:val="yellow"/>
        </w:rPr>
        <w:t xml:space="preserve"> will apply.</w:t>
      </w:r>
      <w:r w:rsidRPr="00E538A1">
        <w:rPr>
          <w:rFonts w:cs="Arial"/>
          <w:b/>
          <w:szCs w:val="20"/>
        </w:rPr>
        <w:t>]</w:t>
      </w:r>
    </w:p>
    <w:p w14:paraId="424D9D95" w14:textId="77777777" w:rsidR="00E538A1" w:rsidRPr="00E538A1" w:rsidRDefault="00E538A1" w:rsidP="009D675B">
      <w:pPr>
        <w:pStyle w:val="Heading2"/>
        <w:numPr>
          <w:ilvl w:val="1"/>
          <w:numId w:val="102"/>
        </w:numPr>
        <w:ind w:left="709" w:hanging="709"/>
        <w:rPr>
          <w:rFonts w:cs="Arial"/>
          <w:szCs w:val="20"/>
        </w:rPr>
      </w:pPr>
      <w:bookmarkStart w:id="1325" w:name="_Ref369807216"/>
      <w:r w:rsidRPr="00E538A1">
        <w:rPr>
          <w:rFonts w:cs="Arial"/>
          <w:szCs w:val="20"/>
        </w:rPr>
        <w:t xml:space="preserve">New Dependencies: The Members agree to work together in order to identify and notify each other of any Dependencies on each other that may arise following the relevant Collaboration Agreement Commencement Date (whether by virtue of a change to any of the Services Agreements, or otherwise) or which may have been previously unidentified, by collating the Dependencies specified in the individual Services Agreements in </w:t>
      </w:r>
      <w:r w:rsidRPr="00E538A1">
        <w:rPr>
          <w:rFonts w:cs="Arial"/>
          <w:b/>
          <w:bCs w:val="0"/>
          <w:szCs w:val="20"/>
          <w:highlight w:val="yellow"/>
        </w:rPr>
        <w:t>[Note to Bidders: applicable references to be inserted]</w:t>
      </w:r>
      <w:r w:rsidRPr="00E538A1">
        <w:rPr>
          <w:rFonts w:cs="Arial"/>
          <w:szCs w:val="20"/>
        </w:rPr>
        <w:t xml:space="preserve"> and adding any Dependencies which may have been previously unidentified.</w:t>
      </w:r>
      <w:bookmarkEnd w:id="1325"/>
    </w:p>
    <w:p w14:paraId="36A3261C" w14:textId="77777777" w:rsidR="00E538A1" w:rsidRPr="00E538A1" w:rsidRDefault="00E538A1" w:rsidP="009D675B">
      <w:pPr>
        <w:pStyle w:val="Heading2"/>
        <w:numPr>
          <w:ilvl w:val="1"/>
          <w:numId w:val="102"/>
        </w:numPr>
        <w:ind w:left="709" w:hanging="709"/>
        <w:rPr>
          <w:rFonts w:cs="Arial"/>
          <w:szCs w:val="20"/>
        </w:rPr>
      </w:pPr>
      <w:bookmarkStart w:id="1326" w:name="_Ref390162678"/>
      <w:r w:rsidRPr="00E538A1">
        <w:rPr>
          <w:rFonts w:cs="Arial"/>
          <w:szCs w:val="20"/>
        </w:rPr>
        <w:t xml:space="preserve">Failure: Where a </w:t>
      </w:r>
      <w:proofErr w:type="gramStart"/>
      <w:r w:rsidRPr="00E538A1">
        <w:rPr>
          <w:rFonts w:cs="Arial"/>
          <w:szCs w:val="20"/>
        </w:rPr>
        <w:t>Member</w:t>
      </w:r>
      <w:proofErr w:type="gramEnd"/>
      <w:r w:rsidRPr="00E538A1">
        <w:rPr>
          <w:rFonts w:cs="Arial"/>
          <w:szCs w:val="20"/>
        </w:rPr>
        <w:t xml:space="preserve"> fails to perform, or is likely to fail to perform, any relevant Dependency (the Defaulting Supplier) and this results, or is likely to result, in any other Member (the Non-Defaulting Supplier) being directly or indirectly in breach of their relevant obligations under the relevant Services Agreement then:</w:t>
      </w:r>
      <w:bookmarkEnd w:id="1322"/>
      <w:bookmarkEnd w:id="1326"/>
    </w:p>
    <w:p w14:paraId="2BF9D6DE"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bookmarkStart w:id="1327" w:name="_Ref369807219"/>
      <w:r w:rsidRPr="00E538A1">
        <w:rPr>
          <w:rFonts w:cs="Arial"/>
          <w:szCs w:val="20"/>
        </w:rPr>
        <w:t xml:space="preserve">the Defaulting Supplier and the Non-Defaulting Supplier shall each notify the Customer as soon as either becomes aware of the relevant failure or likely failure, giving reasons for such default or likely </w:t>
      </w:r>
      <w:proofErr w:type="gramStart"/>
      <w:r w:rsidRPr="00E538A1">
        <w:rPr>
          <w:rFonts w:cs="Arial"/>
          <w:szCs w:val="20"/>
        </w:rPr>
        <w:t>default;</w:t>
      </w:r>
      <w:bookmarkEnd w:id="1327"/>
      <w:proofErr w:type="gramEnd"/>
      <w:r w:rsidRPr="00E538A1">
        <w:rPr>
          <w:rFonts w:cs="Arial"/>
          <w:szCs w:val="20"/>
        </w:rPr>
        <w:t xml:space="preserve"> </w:t>
      </w:r>
    </w:p>
    <w:p w14:paraId="2AB4BC32"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bookmarkStart w:id="1328" w:name="_Ref369807220"/>
      <w:r w:rsidRPr="00E538A1">
        <w:rPr>
          <w:rFonts w:cs="Arial"/>
          <w:szCs w:val="20"/>
        </w:rPr>
        <w:t xml:space="preserve">the Defaulting Supplier and the Non-Defaulting Supplier shall work together to minimise the effect of any failure or likely failure to perform a relevant Dependency on the performance of its obligations under this Agreement and the provision of the Services under the relevant Services Agreement and shall continue to perform any unaffected obligations or Services in accordance with the terms of this Agreement and the relevant Services </w:t>
      </w:r>
      <w:proofErr w:type="gramStart"/>
      <w:r w:rsidRPr="00E538A1">
        <w:rPr>
          <w:rFonts w:cs="Arial"/>
          <w:szCs w:val="20"/>
        </w:rPr>
        <w:t>Agreement;</w:t>
      </w:r>
      <w:bookmarkEnd w:id="1328"/>
      <w:proofErr w:type="gramEnd"/>
    </w:p>
    <w:p w14:paraId="72A490D2"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bookmarkStart w:id="1329" w:name="_Ref369807221"/>
      <w:r w:rsidRPr="00E538A1">
        <w:rPr>
          <w:rFonts w:cs="Arial"/>
          <w:szCs w:val="20"/>
        </w:rPr>
        <w:t xml:space="preserve">the Non-Defaulting Supplier shall resume the performance of its obligations and the provision of the Services in accordance with this Agreement and the Services Agreement as soon as reasonably practicable after the Defaulting Supplier performs the relevant </w:t>
      </w:r>
      <w:proofErr w:type="gramStart"/>
      <w:r w:rsidRPr="00E538A1">
        <w:rPr>
          <w:rFonts w:cs="Arial"/>
          <w:szCs w:val="20"/>
        </w:rPr>
        <w:t>Dependency;</w:t>
      </w:r>
      <w:bookmarkEnd w:id="1329"/>
      <w:proofErr w:type="gramEnd"/>
    </w:p>
    <w:p w14:paraId="2E54AD25"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bookmarkStart w:id="1330" w:name="_Ref369807222"/>
      <w:r w:rsidRPr="00E538A1">
        <w:rPr>
          <w:rFonts w:cs="Arial"/>
          <w:szCs w:val="20"/>
        </w:rPr>
        <w:t xml:space="preserve">the Non-Defaulting Supplier shall take whatever action it reasonably can to mitigate its losses and to mitigate the effect of the failure or likely failure on its delivery of the </w:t>
      </w:r>
      <w:proofErr w:type="gramStart"/>
      <w:r w:rsidRPr="00E538A1">
        <w:rPr>
          <w:rFonts w:cs="Arial"/>
          <w:szCs w:val="20"/>
        </w:rPr>
        <w:t>Services;</w:t>
      </w:r>
      <w:proofErr w:type="gramEnd"/>
      <w:r w:rsidRPr="00E538A1">
        <w:rPr>
          <w:rFonts w:cs="Arial"/>
          <w:szCs w:val="20"/>
        </w:rPr>
        <w:t xml:space="preserve"> </w:t>
      </w:r>
      <w:bookmarkEnd w:id="1330"/>
    </w:p>
    <w:p w14:paraId="01832ACE"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bookmarkStart w:id="1331" w:name="_Ref369807223"/>
      <w:r w:rsidRPr="00E538A1">
        <w:rPr>
          <w:rFonts w:cs="Arial"/>
          <w:szCs w:val="20"/>
        </w:rPr>
        <w:t>the Non-Defaulting Supplier shall give the Defaulting Supplier notification if the Defaulting Supplier’s actual or likely default will result in losses and what the scale of these losses would be; and</w:t>
      </w:r>
      <w:bookmarkEnd w:id="1331"/>
    </w:p>
    <w:p w14:paraId="200DC375"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bookmarkStart w:id="1332" w:name="_Ref369807224"/>
      <w:r w:rsidRPr="00E538A1">
        <w:rPr>
          <w:rFonts w:cs="Arial"/>
          <w:szCs w:val="20"/>
        </w:rPr>
        <w:t>the Non-Defaulting Supplier shall, as soon as is reasonably practicable, notify the Customer of the failure, default and actions taken by the Parties to mitigate the effect of the failure or default and recover the Services.</w:t>
      </w:r>
      <w:bookmarkEnd w:id="1332"/>
    </w:p>
    <w:p w14:paraId="4B100FD5" w14:textId="78D4EC4F" w:rsidR="00E538A1" w:rsidRPr="00E538A1" w:rsidRDefault="00E538A1" w:rsidP="009D675B">
      <w:pPr>
        <w:pStyle w:val="Heading2"/>
        <w:numPr>
          <w:ilvl w:val="1"/>
          <w:numId w:val="102"/>
        </w:numPr>
        <w:ind w:left="709" w:hanging="709"/>
        <w:rPr>
          <w:rFonts w:cs="Arial"/>
          <w:szCs w:val="20"/>
        </w:rPr>
      </w:pPr>
      <w:bookmarkStart w:id="1333" w:name="_Ref11750695"/>
      <w:bookmarkStart w:id="1334" w:name="_Ref369807185"/>
      <w:r w:rsidRPr="00E538A1">
        <w:rPr>
          <w:rFonts w:cs="Arial"/>
          <w:szCs w:val="20"/>
        </w:rPr>
        <w:t>Each Member acknowledges and agrees that, to the maximum extent permitted by Applicable Law, the Customer shall have no liability, whether in contract, tort (including negligence) or otherwise, to any Non-Defaulting Supplier in connection with a Defaulting Su</w:t>
      </w:r>
      <w:r w:rsidR="000D476B">
        <w:rPr>
          <w:rFonts w:cs="Arial"/>
          <w:szCs w:val="20"/>
        </w:rPr>
        <w:t>p</w:t>
      </w:r>
      <w:r w:rsidRPr="00E538A1">
        <w:rPr>
          <w:rFonts w:cs="Arial"/>
          <w:szCs w:val="20"/>
        </w:rPr>
        <w:t xml:space="preserve">plier's failure to perform, or likely failure to perform, any Dependency.  </w:t>
      </w:r>
    </w:p>
    <w:p w14:paraId="423C49CA" w14:textId="77777777" w:rsidR="00E538A1" w:rsidRPr="00E538A1" w:rsidRDefault="00E538A1" w:rsidP="009D675B">
      <w:pPr>
        <w:pStyle w:val="Heading1"/>
        <w:numPr>
          <w:ilvl w:val="0"/>
          <w:numId w:val="102"/>
        </w:numPr>
        <w:ind w:left="709" w:hanging="709"/>
        <w:rPr>
          <w:rFonts w:cs="Arial"/>
          <w:szCs w:val="20"/>
        </w:rPr>
      </w:pPr>
      <w:bookmarkStart w:id="1335" w:name="_Toc57263860"/>
      <w:r w:rsidRPr="00E538A1">
        <w:rPr>
          <w:rFonts w:cs="Arial"/>
          <w:szCs w:val="20"/>
        </w:rPr>
        <w:lastRenderedPageBreak/>
        <w:t>Remediation</w:t>
      </w:r>
      <w:bookmarkEnd w:id="1333"/>
      <w:bookmarkEnd w:id="1335"/>
    </w:p>
    <w:p w14:paraId="1DE79FA7" w14:textId="77777777" w:rsidR="00E538A1" w:rsidRPr="00E538A1" w:rsidRDefault="00E538A1" w:rsidP="009D675B">
      <w:pPr>
        <w:pStyle w:val="Heading2"/>
        <w:numPr>
          <w:ilvl w:val="1"/>
          <w:numId w:val="102"/>
        </w:numPr>
        <w:ind w:left="709" w:hanging="709"/>
        <w:rPr>
          <w:rFonts w:cs="Arial"/>
          <w:szCs w:val="20"/>
        </w:rPr>
      </w:pPr>
      <w:bookmarkStart w:id="1336" w:name="_Ref369807204"/>
      <w:bookmarkStart w:id="1337" w:name="_Ref389656412"/>
      <w:bookmarkStart w:id="1338" w:name="_Ref369807208"/>
      <w:bookmarkEnd w:id="1334"/>
      <w:r w:rsidRPr="00E538A1">
        <w:rPr>
          <w:rFonts w:cs="Arial"/>
          <w:szCs w:val="20"/>
        </w:rPr>
        <w:t xml:space="preserve">Notification: Where a </w:t>
      </w:r>
      <w:proofErr w:type="gramStart"/>
      <w:r w:rsidRPr="00E538A1">
        <w:rPr>
          <w:rFonts w:cs="Arial"/>
          <w:szCs w:val="20"/>
        </w:rPr>
        <w:t>Member</w:t>
      </w:r>
      <w:proofErr w:type="gramEnd"/>
      <w:r w:rsidRPr="00E538A1">
        <w:rPr>
          <w:rFonts w:cs="Arial"/>
          <w:szCs w:val="20"/>
        </w:rPr>
        <w:t>:</w:t>
      </w:r>
    </w:p>
    <w:p w14:paraId="59E49844"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bookmarkStart w:id="1339" w:name="_Ref12259078"/>
      <w:r w:rsidRPr="00E538A1">
        <w:rPr>
          <w:rFonts w:cs="Arial"/>
          <w:szCs w:val="20"/>
        </w:rPr>
        <w:t xml:space="preserve">fails or becomes aware that it is likely to fail to comply with any element of its obligations under this Agreement or its Services Agreement, and that failure could impact on the performance of the Services by any other Member, it shall as soon as is reasonably practicable notify the Customer and the </w:t>
      </w:r>
      <w:bookmarkEnd w:id="1336"/>
      <w:r w:rsidRPr="00E538A1">
        <w:rPr>
          <w:rFonts w:cs="Arial"/>
          <w:szCs w:val="20"/>
        </w:rPr>
        <w:t xml:space="preserve">other Members in accordance with </w:t>
      </w:r>
      <w:r w:rsidRPr="00E538A1">
        <w:rPr>
          <w:rFonts w:cs="Arial"/>
          <w:szCs w:val="20"/>
        </w:rPr>
        <w:fldChar w:fldCharType="begin"/>
      </w:r>
      <w:r w:rsidRPr="00E538A1">
        <w:rPr>
          <w:rFonts w:cs="Arial"/>
          <w:szCs w:val="20"/>
        </w:rPr>
        <w:instrText xml:space="preserve"> REF _Ref389651721 \w \h  \* MERGEFORMAT </w:instrText>
      </w:r>
      <w:r w:rsidRPr="00E538A1">
        <w:rPr>
          <w:rFonts w:cs="Arial"/>
          <w:szCs w:val="20"/>
        </w:rPr>
      </w:r>
      <w:r w:rsidRPr="00E538A1">
        <w:rPr>
          <w:rFonts w:cs="Arial"/>
          <w:szCs w:val="20"/>
        </w:rPr>
        <w:fldChar w:fldCharType="separate"/>
      </w:r>
      <w:r w:rsidRPr="00E538A1">
        <w:rPr>
          <w:rFonts w:cs="Arial"/>
          <w:szCs w:val="20"/>
        </w:rPr>
        <w:t>Schedule 3</w:t>
      </w:r>
      <w:r w:rsidRPr="00E538A1">
        <w:rPr>
          <w:rFonts w:cs="Arial"/>
          <w:szCs w:val="20"/>
        </w:rPr>
        <w:fldChar w:fldCharType="end"/>
      </w:r>
      <w:r w:rsidRPr="00E538A1">
        <w:rPr>
          <w:rFonts w:cs="Arial"/>
          <w:szCs w:val="20"/>
        </w:rPr>
        <w:t xml:space="preserve"> (Governance);</w:t>
      </w:r>
      <w:bookmarkEnd w:id="1337"/>
      <w:r w:rsidRPr="00E538A1">
        <w:rPr>
          <w:rFonts w:cs="Arial"/>
          <w:szCs w:val="20"/>
        </w:rPr>
        <w:t xml:space="preserve"> or</w:t>
      </w:r>
      <w:bookmarkEnd w:id="1339"/>
      <w:r w:rsidRPr="00E538A1">
        <w:rPr>
          <w:rFonts w:cs="Arial"/>
          <w:szCs w:val="20"/>
        </w:rPr>
        <w:t xml:space="preserve"> </w:t>
      </w:r>
    </w:p>
    <w:p w14:paraId="31B2574C"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bookmarkStart w:id="1340" w:name="_Ref389656414"/>
      <w:bookmarkStart w:id="1341" w:name="_Ref12259083"/>
      <w:bookmarkStart w:id="1342" w:name="_Ref389643012"/>
      <w:r w:rsidRPr="00E538A1">
        <w:rPr>
          <w:rFonts w:cs="Arial"/>
          <w:szCs w:val="20"/>
        </w:rPr>
        <w:t xml:space="preserve">(acting reasonably and in good faith) is of the opinion that a requirement set out in this Agreement has not successfully been met by another Member, it shall notify the Customer and the other Members in accordance with </w:t>
      </w:r>
      <w:r w:rsidRPr="00E538A1">
        <w:rPr>
          <w:rFonts w:cs="Arial"/>
          <w:szCs w:val="20"/>
        </w:rPr>
        <w:fldChar w:fldCharType="begin"/>
      </w:r>
      <w:r w:rsidRPr="00E538A1">
        <w:rPr>
          <w:rFonts w:cs="Arial"/>
          <w:szCs w:val="20"/>
        </w:rPr>
        <w:instrText xml:space="preserve"> REF _Ref389651721 \w \h  \* MERGEFORMAT </w:instrText>
      </w:r>
      <w:r w:rsidRPr="00E538A1">
        <w:rPr>
          <w:rFonts w:cs="Arial"/>
          <w:szCs w:val="20"/>
        </w:rPr>
      </w:r>
      <w:r w:rsidRPr="00E538A1">
        <w:rPr>
          <w:rFonts w:cs="Arial"/>
          <w:szCs w:val="20"/>
        </w:rPr>
        <w:fldChar w:fldCharType="separate"/>
      </w:r>
      <w:r w:rsidRPr="00E538A1">
        <w:rPr>
          <w:rFonts w:cs="Arial"/>
          <w:szCs w:val="20"/>
        </w:rPr>
        <w:t>Schedule 3</w:t>
      </w:r>
      <w:r w:rsidRPr="00E538A1">
        <w:rPr>
          <w:rFonts w:cs="Arial"/>
          <w:szCs w:val="20"/>
        </w:rPr>
        <w:fldChar w:fldCharType="end"/>
      </w:r>
      <w:r w:rsidRPr="00E538A1">
        <w:rPr>
          <w:rFonts w:cs="Arial"/>
          <w:szCs w:val="20"/>
        </w:rPr>
        <w:t xml:space="preserve"> (Governance)</w:t>
      </w:r>
      <w:bookmarkEnd w:id="1340"/>
      <w:r w:rsidRPr="00E538A1">
        <w:rPr>
          <w:rFonts w:cs="Arial"/>
          <w:szCs w:val="20"/>
        </w:rPr>
        <w:t>.</w:t>
      </w:r>
      <w:bookmarkEnd w:id="1341"/>
    </w:p>
    <w:p w14:paraId="21CBDC59" w14:textId="0BB055DA" w:rsidR="00E538A1" w:rsidRPr="00E538A1" w:rsidRDefault="00E538A1" w:rsidP="009D675B">
      <w:pPr>
        <w:pStyle w:val="Heading2"/>
        <w:numPr>
          <w:ilvl w:val="1"/>
          <w:numId w:val="102"/>
        </w:numPr>
        <w:ind w:left="709" w:hanging="709"/>
        <w:rPr>
          <w:rFonts w:cs="Arial"/>
          <w:szCs w:val="20"/>
        </w:rPr>
      </w:pPr>
      <w:bookmarkStart w:id="1343" w:name="_Ref389650816"/>
      <w:bookmarkStart w:id="1344" w:name="_Ref369807213"/>
      <w:bookmarkEnd w:id="1338"/>
      <w:bookmarkEnd w:id="1342"/>
      <w:r w:rsidRPr="00E538A1">
        <w:rPr>
          <w:rFonts w:cs="Arial"/>
          <w:szCs w:val="20"/>
        </w:rPr>
        <w:t xml:space="preserve">Resolution: In the event that the Customer has received notice under either Clause </w:t>
      </w:r>
      <w:r w:rsidRPr="00E538A1">
        <w:rPr>
          <w:rFonts w:cs="Arial"/>
          <w:szCs w:val="20"/>
        </w:rPr>
        <w:fldChar w:fldCharType="begin"/>
      </w:r>
      <w:r w:rsidRPr="00E538A1">
        <w:rPr>
          <w:rFonts w:cs="Arial"/>
          <w:szCs w:val="20"/>
        </w:rPr>
        <w:instrText xml:space="preserve"> REF _Ref12259078 \w \h  \* MERGEFORMAT </w:instrText>
      </w:r>
      <w:r w:rsidRPr="00E538A1">
        <w:rPr>
          <w:rFonts w:cs="Arial"/>
          <w:szCs w:val="20"/>
        </w:rPr>
      </w:r>
      <w:r w:rsidRPr="00E538A1">
        <w:rPr>
          <w:rFonts w:cs="Arial"/>
          <w:szCs w:val="20"/>
        </w:rPr>
        <w:fldChar w:fldCharType="separate"/>
      </w:r>
      <w:r w:rsidRPr="00E538A1">
        <w:rPr>
          <w:rFonts w:cs="Arial"/>
          <w:szCs w:val="20"/>
        </w:rPr>
        <w:t>7.1(a)</w:t>
      </w:r>
      <w:r w:rsidRPr="00E538A1">
        <w:rPr>
          <w:rFonts w:cs="Arial"/>
          <w:szCs w:val="20"/>
        </w:rPr>
        <w:fldChar w:fldCharType="end"/>
      </w:r>
      <w:r w:rsidRPr="00E538A1">
        <w:rPr>
          <w:rFonts w:cs="Arial"/>
          <w:szCs w:val="20"/>
        </w:rPr>
        <w:t xml:space="preserve"> or Clause </w:t>
      </w:r>
      <w:r w:rsidRPr="00E538A1">
        <w:rPr>
          <w:rFonts w:cs="Arial"/>
          <w:szCs w:val="20"/>
        </w:rPr>
        <w:fldChar w:fldCharType="begin"/>
      </w:r>
      <w:r w:rsidRPr="00E538A1">
        <w:rPr>
          <w:rFonts w:cs="Arial"/>
          <w:szCs w:val="20"/>
        </w:rPr>
        <w:instrText xml:space="preserve"> REF _Ref12259083 \w \h  \* MERGEFORMAT </w:instrText>
      </w:r>
      <w:r w:rsidRPr="00E538A1">
        <w:rPr>
          <w:rFonts w:cs="Arial"/>
          <w:szCs w:val="20"/>
        </w:rPr>
      </w:r>
      <w:r w:rsidRPr="00E538A1">
        <w:rPr>
          <w:rFonts w:cs="Arial"/>
          <w:szCs w:val="20"/>
        </w:rPr>
        <w:fldChar w:fldCharType="separate"/>
      </w:r>
      <w:r w:rsidRPr="00E538A1">
        <w:rPr>
          <w:rFonts w:cs="Arial"/>
          <w:szCs w:val="20"/>
        </w:rPr>
        <w:t>7.1(b)</w:t>
      </w:r>
      <w:r w:rsidRPr="00E538A1">
        <w:rPr>
          <w:rFonts w:cs="Arial"/>
          <w:szCs w:val="20"/>
        </w:rPr>
        <w:fldChar w:fldCharType="end"/>
      </w:r>
      <w:r w:rsidRPr="00E538A1">
        <w:rPr>
          <w:rFonts w:cs="Arial"/>
          <w:szCs w:val="20"/>
        </w:rPr>
        <w:t xml:space="preserve"> and is (acting reasonably and in good faith) of the opinion that a requirement set out in this Agreement or a Services Agreement has not successfully been met by a Member</w:t>
      </w:r>
      <w:bookmarkEnd w:id="1343"/>
      <w:r w:rsidRPr="00E538A1">
        <w:rPr>
          <w:rFonts w:cs="Arial"/>
          <w:szCs w:val="20"/>
        </w:rPr>
        <w:t>, it may require that the Members meet as soon as is reasonably practicable with a view to resolving the issue. If the Members are unable to resolve the issue (to the Cu</w:t>
      </w:r>
      <w:r w:rsidR="000D476B">
        <w:rPr>
          <w:rFonts w:cs="Arial"/>
          <w:szCs w:val="20"/>
        </w:rPr>
        <w:t>s</w:t>
      </w:r>
      <w:r w:rsidRPr="00E538A1">
        <w:rPr>
          <w:rFonts w:cs="Arial"/>
          <w:szCs w:val="20"/>
        </w:rPr>
        <w:t xml:space="preserve">tomer's satisfaction) by means of this meeting, the provisions of Clause </w:t>
      </w:r>
      <w:r w:rsidRPr="00E538A1">
        <w:rPr>
          <w:rFonts w:cs="Arial"/>
          <w:szCs w:val="20"/>
        </w:rPr>
        <w:fldChar w:fldCharType="begin"/>
      </w:r>
      <w:r w:rsidRPr="00E538A1">
        <w:rPr>
          <w:rFonts w:cs="Arial"/>
          <w:szCs w:val="20"/>
        </w:rPr>
        <w:instrText xml:space="preserve"> REF _Ref201030388 \w \h  \* MERGEFORMAT </w:instrText>
      </w:r>
      <w:r w:rsidRPr="00E538A1">
        <w:rPr>
          <w:rFonts w:cs="Arial"/>
          <w:szCs w:val="20"/>
        </w:rPr>
      </w:r>
      <w:r w:rsidRPr="00E538A1">
        <w:rPr>
          <w:rFonts w:cs="Arial"/>
          <w:szCs w:val="20"/>
        </w:rPr>
        <w:fldChar w:fldCharType="separate"/>
      </w:r>
      <w:r w:rsidRPr="00E538A1">
        <w:rPr>
          <w:rFonts w:cs="Arial"/>
          <w:szCs w:val="20"/>
        </w:rPr>
        <w:t>15</w:t>
      </w:r>
      <w:r w:rsidRPr="00E538A1">
        <w:rPr>
          <w:rFonts w:cs="Arial"/>
          <w:szCs w:val="20"/>
        </w:rPr>
        <w:fldChar w:fldCharType="end"/>
      </w:r>
      <w:r w:rsidRPr="00E538A1">
        <w:rPr>
          <w:rFonts w:cs="Arial"/>
          <w:szCs w:val="20"/>
        </w:rPr>
        <w:t xml:space="preserve"> (Dispute resolution) will apply.  </w:t>
      </w:r>
    </w:p>
    <w:p w14:paraId="24D0FEBA"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Customer rights: Without limiting any provision of this Agreement or any Services Agreement, if the Customer is of the opinion that any Member has poorly performed its obligations under this Agreement over the course of two consecutive quarters, it may exercise its rights of termination under Clause </w:t>
      </w:r>
      <w:r w:rsidRPr="00E538A1">
        <w:rPr>
          <w:rFonts w:cs="Arial"/>
          <w:szCs w:val="20"/>
        </w:rPr>
        <w:fldChar w:fldCharType="begin"/>
      </w:r>
      <w:r w:rsidRPr="00E538A1">
        <w:rPr>
          <w:rFonts w:cs="Arial"/>
          <w:szCs w:val="20"/>
        </w:rPr>
        <w:instrText xml:space="preserve"> REF _Ref389755159 \w \h  \* MERGEFORMAT </w:instrText>
      </w:r>
      <w:r w:rsidRPr="00E538A1">
        <w:rPr>
          <w:rFonts w:cs="Arial"/>
          <w:szCs w:val="20"/>
        </w:rPr>
      </w:r>
      <w:r w:rsidRPr="00E538A1">
        <w:rPr>
          <w:rFonts w:cs="Arial"/>
          <w:szCs w:val="20"/>
        </w:rPr>
        <w:fldChar w:fldCharType="separate"/>
      </w:r>
      <w:r w:rsidRPr="00E538A1">
        <w:rPr>
          <w:rFonts w:cs="Arial"/>
          <w:szCs w:val="20"/>
        </w:rPr>
        <w:t>13</w:t>
      </w:r>
      <w:r w:rsidRPr="00E538A1">
        <w:rPr>
          <w:rFonts w:cs="Arial"/>
          <w:szCs w:val="20"/>
        </w:rPr>
        <w:fldChar w:fldCharType="end"/>
      </w:r>
      <w:r w:rsidRPr="00E538A1">
        <w:rPr>
          <w:rFonts w:cs="Arial"/>
          <w:szCs w:val="20"/>
        </w:rPr>
        <w:t xml:space="preserve"> (Termination). </w:t>
      </w:r>
    </w:p>
    <w:p w14:paraId="00C8E87C" w14:textId="77777777" w:rsidR="00E538A1" w:rsidRPr="00E538A1" w:rsidRDefault="00E538A1" w:rsidP="009D675B">
      <w:pPr>
        <w:pStyle w:val="Heading1"/>
        <w:keepNext w:val="0"/>
        <w:numPr>
          <w:ilvl w:val="0"/>
          <w:numId w:val="102"/>
        </w:numPr>
        <w:ind w:left="709" w:hanging="709"/>
        <w:rPr>
          <w:rFonts w:cs="Arial"/>
          <w:szCs w:val="20"/>
        </w:rPr>
      </w:pPr>
      <w:bookmarkStart w:id="1345" w:name="_Toc450972328"/>
      <w:bookmarkStart w:id="1346" w:name="_Toc69894191"/>
      <w:bookmarkStart w:id="1347" w:name="_Toc69894406"/>
      <w:bookmarkStart w:id="1348" w:name="_Ref205955213"/>
      <w:bookmarkStart w:id="1349" w:name="_Ref205993093"/>
      <w:bookmarkStart w:id="1350" w:name="_Ref205993684"/>
      <w:bookmarkStart w:id="1351" w:name="_Ref205995352"/>
      <w:bookmarkStart w:id="1352" w:name="_Toc231187982"/>
      <w:bookmarkStart w:id="1353" w:name="_Ref322971470"/>
      <w:bookmarkStart w:id="1354" w:name="_Toc57263861"/>
      <w:bookmarkEnd w:id="1323"/>
      <w:bookmarkEnd w:id="1324"/>
      <w:bookmarkEnd w:id="1344"/>
      <w:r w:rsidRPr="00E538A1">
        <w:rPr>
          <w:rFonts w:cs="Arial"/>
          <w:szCs w:val="20"/>
        </w:rPr>
        <w:t>C</w:t>
      </w:r>
      <w:bookmarkEnd w:id="1345"/>
      <w:r w:rsidRPr="00E538A1">
        <w:rPr>
          <w:rFonts w:cs="Arial"/>
          <w:szCs w:val="20"/>
        </w:rPr>
        <w:t>harges</w:t>
      </w:r>
      <w:bookmarkEnd w:id="1346"/>
      <w:bookmarkEnd w:id="1347"/>
      <w:r w:rsidRPr="00E538A1">
        <w:rPr>
          <w:rFonts w:cs="Arial"/>
          <w:szCs w:val="20"/>
        </w:rPr>
        <w:t xml:space="preserve"> and payment</w:t>
      </w:r>
      <w:bookmarkEnd w:id="1348"/>
      <w:bookmarkEnd w:id="1349"/>
      <w:bookmarkEnd w:id="1350"/>
      <w:bookmarkEnd w:id="1351"/>
      <w:bookmarkEnd w:id="1352"/>
      <w:bookmarkEnd w:id="1353"/>
      <w:bookmarkEnd w:id="1354"/>
    </w:p>
    <w:p w14:paraId="368B9864" w14:textId="77777777" w:rsidR="00E538A1" w:rsidRPr="00E538A1" w:rsidRDefault="00E538A1" w:rsidP="00E538A1">
      <w:pPr>
        <w:pStyle w:val="Heading2"/>
        <w:numPr>
          <w:ilvl w:val="0"/>
          <w:numId w:val="0"/>
        </w:numPr>
        <w:ind w:left="720"/>
        <w:rPr>
          <w:rFonts w:cs="Arial"/>
          <w:szCs w:val="20"/>
        </w:rPr>
      </w:pPr>
      <w:bookmarkStart w:id="1355" w:name="_Ref322966469"/>
      <w:r w:rsidRPr="00E538A1">
        <w:rPr>
          <w:rFonts w:cs="Arial"/>
          <w:szCs w:val="20"/>
        </w:rPr>
        <w:t>The Customer shall pay each Member the Charges for the performance of the Services in accordance with the terms of the relevant Services Agreement.</w:t>
      </w:r>
      <w:bookmarkEnd w:id="1355"/>
      <w:r w:rsidRPr="00E538A1">
        <w:rPr>
          <w:rFonts w:cs="Arial"/>
          <w:szCs w:val="20"/>
        </w:rPr>
        <w:t xml:space="preserve"> The Charges shall include all costs, </w:t>
      </w:r>
      <w:proofErr w:type="gramStart"/>
      <w:r w:rsidRPr="00E538A1">
        <w:rPr>
          <w:rFonts w:cs="Arial"/>
          <w:szCs w:val="20"/>
        </w:rPr>
        <w:t>fees</w:t>
      </w:r>
      <w:proofErr w:type="gramEnd"/>
      <w:r w:rsidRPr="00E538A1">
        <w:rPr>
          <w:rFonts w:cs="Arial"/>
          <w:szCs w:val="20"/>
        </w:rPr>
        <w:t xml:space="preserve"> and expenses of each Member in providing the Services and otherwise performing its obligations in accordance with this Agreement.</w:t>
      </w:r>
    </w:p>
    <w:p w14:paraId="246208C7" w14:textId="77777777" w:rsidR="00E538A1" w:rsidRPr="00E538A1" w:rsidRDefault="00E538A1" w:rsidP="009D675B">
      <w:pPr>
        <w:pStyle w:val="Heading1"/>
        <w:numPr>
          <w:ilvl w:val="0"/>
          <w:numId w:val="102"/>
        </w:numPr>
        <w:ind w:left="709" w:hanging="709"/>
        <w:rPr>
          <w:rFonts w:cs="Arial"/>
          <w:szCs w:val="20"/>
        </w:rPr>
      </w:pPr>
      <w:bookmarkStart w:id="1356" w:name="_Ref339315151"/>
      <w:bookmarkStart w:id="1357" w:name="_Toc353826838"/>
      <w:bookmarkStart w:id="1358" w:name="_Toc358977066"/>
      <w:bookmarkStart w:id="1359" w:name="_Toc57263862"/>
      <w:bookmarkStart w:id="1360" w:name="_Toc450972329"/>
      <w:r w:rsidRPr="00E538A1">
        <w:rPr>
          <w:rFonts w:cs="Arial"/>
          <w:szCs w:val="20"/>
        </w:rPr>
        <w:t>Governance</w:t>
      </w:r>
      <w:bookmarkEnd w:id="1356"/>
      <w:bookmarkEnd w:id="1357"/>
      <w:bookmarkEnd w:id="1358"/>
      <w:bookmarkEnd w:id="1359"/>
    </w:p>
    <w:p w14:paraId="5FF76E11" w14:textId="77777777" w:rsidR="00E538A1" w:rsidRPr="00E538A1" w:rsidRDefault="00E538A1" w:rsidP="009D675B">
      <w:pPr>
        <w:pStyle w:val="Heading2"/>
        <w:numPr>
          <w:ilvl w:val="1"/>
          <w:numId w:val="102"/>
        </w:numPr>
        <w:ind w:left="709" w:hanging="709"/>
        <w:rPr>
          <w:rFonts w:cs="Arial"/>
          <w:szCs w:val="20"/>
        </w:rPr>
      </w:pPr>
      <w:bookmarkStart w:id="1361" w:name="_Ref369807257"/>
      <w:r w:rsidRPr="00E538A1">
        <w:rPr>
          <w:rFonts w:cs="Arial"/>
          <w:szCs w:val="20"/>
        </w:rPr>
        <w:t>Customer Governance: The Members acknowledge that their respective relationships with the Customer are governed by the governance and contract management provisions within the relevant Services Agreement.</w:t>
      </w:r>
      <w:bookmarkEnd w:id="1361"/>
    </w:p>
    <w:p w14:paraId="32466FB9" w14:textId="3C809745" w:rsidR="00E538A1" w:rsidRPr="00E538A1" w:rsidRDefault="00E538A1" w:rsidP="009D675B">
      <w:pPr>
        <w:pStyle w:val="Heading2"/>
        <w:numPr>
          <w:ilvl w:val="1"/>
          <w:numId w:val="102"/>
        </w:numPr>
        <w:ind w:left="709" w:hanging="709"/>
        <w:rPr>
          <w:rFonts w:cs="Arial"/>
          <w:szCs w:val="20"/>
        </w:rPr>
      </w:pPr>
      <w:bookmarkStart w:id="1362" w:name="_Ref369807258"/>
      <w:r w:rsidRPr="00E538A1">
        <w:rPr>
          <w:rFonts w:cs="Arial"/>
          <w:szCs w:val="20"/>
        </w:rPr>
        <w:t>Consortium Governance: In addition to those governance and contract management provisions with the Customer, the P</w:t>
      </w:r>
      <w:r w:rsidR="000D476B">
        <w:rPr>
          <w:rFonts w:cs="Arial"/>
          <w:szCs w:val="20"/>
        </w:rPr>
        <w:t>a</w:t>
      </w:r>
      <w:r w:rsidRPr="00E538A1">
        <w:rPr>
          <w:rFonts w:cs="Arial"/>
          <w:szCs w:val="20"/>
        </w:rPr>
        <w:t xml:space="preserve">rties' respective representatives shall each comply with their obligations and responsibilities to participate in the meetings and other activities and hold the meetings set out in </w:t>
      </w:r>
      <w:r w:rsidRPr="00E538A1">
        <w:rPr>
          <w:rFonts w:cs="Arial"/>
          <w:szCs w:val="20"/>
        </w:rPr>
        <w:fldChar w:fldCharType="begin"/>
      </w:r>
      <w:r w:rsidRPr="00E538A1">
        <w:rPr>
          <w:rFonts w:cs="Arial"/>
          <w:szCs w:val="20"/>
        </w:rPr>
        <w:instrText xml:space="preserve"> REF _Ref389651721 \w \h  \* MERGEFORMAT </w:instrText>
      </w:r>
      <w:r w:rsidRPr="00E538A1">
        <w:rPr>
          <w:rFonts w:cs="Arial"/>
          <w:szCs w:val="20"/>
        </w:rPr>
      </w:r>
      <w:r w:rsidRPr="00E538A1">
        <w:rPr>
          <w:rFonts w:cs="Arial"/>
          <w:szCs w:val="20"/>
        </w:rPr>
        <w:fldChar w:fldCharType="separate"/>
      </w:r>
      <w:r w:rsidRPr="00E538A1">
        <w:rPr>
          <w:rFonts w:cs="Arial"/>
          <w:szCs w:val="20"/>
        </w:rPr>
        <w:t>Schedule 3</w:t>
      </w:r>
      <w:r w:rsidRPr="00E538A1">
        <w:rPr>
          <w:rFonts w:cs="Arial"/>
          <w:szCs w:val="20"/>
        </w:rPr>
        <w:fldChar w:fldCharType="end"/>
      </w:r>
      <w:r w:rsidRPr="00E538A1">
        <w:rPr>
          <w:rFonts w:cs="Arial"/>
          <w:szCs w:val="20"/>
        </w:rPr>
        <w:t xml:space="preserve"> (Governance) to discuss the matters identified in that Schedule.</w:t>
      </w:r>
      <w:bookmarkEnd w:id="1362"/>
      <w:r w:rsidRPr="00E538A1">
        <w:rPr>
          <w:rFonts w:cs="Arial"/>
          <w:szCs w:val="20"/>
        </w:rPr>
        <w:t xml:space="preserve"> </w:t>
      </w:r>
    </w:p>
    <w:p w14:paraId="5338D51D" w14:textId="77777777" w:rsidR="00E538A1" w:rsidRPr="00E538A1" w:rsidRDefault="00E538A1" w:rsidP="009D675B">
      <w:pPr>
        <w:pStyle w:val="Heading1"/>
        <w:numPr>
          <w:ilvl w:val="0"/>
          <w:numId w:val="102"/>
        </w:numPr>
        <w:ind w:left="709" w:hanging="709"/>
        <w:rPr>
          <w:rFonts w:cs="Arial"/>
          <w:szCs w:val="20"/>
        </w:rPr>
      </w:pPr>
      <w:bookmarkStart w:id="1363" w:name="_Toc69894195"/>
      <w:bookmarkStart w:id="1364" w:name="_Toc69894410"/>
      <w:bookmarkStart w:id="1365" w:name="_Ref205979507"/>
      <w:bookmarkStart w:id="1366" w:name="_Ref205994042"/>
      <w:bookmarkStart w:id="1367" w:name="_Toc231187986"/>
      <w:bookmarkStart w:id="1368" w:name="_Ref232484426"/>
      <w:bookmarkStart w:id="1369" w:name="_Ref247656531"/>
      <w:bookmarkStart w:id="1370" w:name="_Ref253774243"/>
      <w:bookmarkStart w:id="1371" w:name="_Ref322709768"/>
      <w:bookmarkStart w:id="1372" w:name="_Ref390084403"/>
      <w:bookmarkStart w:id="1373" w:name="_Ref390708372"/>
      <w:bookmarkStart w:id="1374" w:name="_Toc57263863"/>
      <w:bookmarkEnd w:id="1360"/>
      <w:r w:rsidRPr="00E538A1">
        <w:rPr>
          <w:rFonts w:cs="Arial"/>
          <w:szCs w:val="20"/>
        </w:rPr>
        <w:t>Intellectual property</w:t>
      </w:r>
      <w:bookmarkEnd w:id="1363"/>
      <w:bookmarkEnd w:id="1364"/>
      <w:bookmarkEnd w:id="1365"/>
      <w:bookmarkEnd w:id="1366"/>
      <w:bookmarkEnd w:id="1367"/>
      <w:bookmarkEnd w:id="1368"/>
      <w:bookmarkEnd w:id="1369"/>
      <w:bookmarkEnd w:id="1370"/>
      <w:bookmarkEnd w:id="1371"/>
      <w:bookmarkEnd w:id="1372"/>
      <w:bookmarkEnd w:id="1373"/>
      <w:bookmarkEnd w:id="1374"/>
    </w:p>
    <w:p w14:paraId="46548942"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Application: As between the:</w:t>
      </w:r>
    </w:p>
    <w:p w14:paraId="34228D02"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Customer and any Member, the applicable provisions in relation to ownership and licencing of IPR shall be the relevant provisions in the Services Agreement; and</w:t>
      </w:r>
    </w:p>
    <w:p w14:paraId="2C884C03"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 xml:space="preserve">Members, the Members shall separately agree between them the position in relation to ownership and licencing of IPR between the Members. </w:t>
      </w:r>
    </w:p>
    <w:p w14:paraId="03D8D11B" w14:textId="7FC18019"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Each Member acknowledges and agrees that, to the maximum extent permitted by Applicable Law and except where (and only to the extent) expressly set out otherwise in a Services Agreement, the Customer shall have no liability, whether in contract, tort (including negligence) or otherwise, to any Member in connection with any other </w:t>
      </w:r>
      <w:r w:rsidR="000D476B">
        <w:rPr>
          <w:rFonts w:cs="Arial"/>
          <w:szCs w:val="20"/>
        </w:rPr>
        <w:t>M</w:t>
      </w:r>
      <w:r w:rsidRPr="00E538A1">
        <w:rPr>
          <w:rFonts w:cs="Arial"/>
          <w:szCs w:val="20"/>
        </w:rPr>
        <w:t xml:space="preserve">ember's use, </w:t>
      </w:r>
      <w:proofErr w:type="gramStart"/>
      <w:r w:rsidRPr="00E538A1">
        <w:rPr>
          <w:rFonts w:cs="Arial"/>
          <w:szCs w:val="20"/>
        </w:rPr>
        <w:t>adaption</w:t>
      </w:r>
      <w:proofErr w:type="gramEnd"/>
      <w:r w:rsidRPr="00E538A1">
        <w:rPr>
          <w:rFonts w:cs="Arial"/>
          <w:szCs w:val="20"/>
        </w:rPr>
        <w:t xml:space="preserve"> or modification of the first </w:t>
      </w:r>
      <w:r w:rsidR="000D476B">
        <w:rPr>
          <w:rFonts w:cs="Arial"/>
          <w:szCs w:val="20"/>
        </w:rPr>
        <w:t>M</w:t>
      </w:r>
      <w:r w:rsidRPr="00E538A1">
        <w:rPr>
          <w:rFonts w:cs="Arial"/>
          <w:szCs w:val="20"/>
        </w:rPr>
        <w:t xml:space="preserve">ember's IPR.  </w:t>
      </w:r>
    </w:p>
    <w:p w14:paraId="2FDAAD42" w14:textId="77777777" w:rsidR="00E538A1" w:rsidRPr="00E538A1" w:rsidRDefault="00E538A1" w:rsidP="009D675B">
      <w:pPr>
        <w:pStyle w:val="Heading1"/>
        <w:keepNext w:val="0"/>
        <w:numPr>
          <w:ilvl w:val="0"/>
          <w:numId w:val="102"/>
        </w:numPr>
        <w:ind w:left="709" w:hanging="709"/>
        <w:rPr>
          <w:rFonts w:cs="Arial"/>
          <w:szCs w:val="20"/>
        </w:rPr>
      </w:pPr>
      <w:bookmarkStart w:id="1375" w:name="_Ref197862843"/>
      <w:bookmarkStart w:id="1376" w:name="_Toc200887470"/>
      <w:bookmarkStart w:id="1377" w:name="_Toc231187988"/>
      <w:bookmarkStart w:id="1378" w:name="_Toc57263864"/>
      <w:r w:rsidRPr="00E538A1">
        <w:rPr>
          <w:rFonts w:cs="Arial"/>
          <w:szCs w:val="20"/>
        </w:rPr>
        <w:lastRenderedPageBreak/>
        <w:t>Confidentiality</w:t>
      </w:r>
      <w:bookmarkEnd w:id="1375"/>
      <w:bookmarkEnd w:id="1376"/>
      <w:bookmarkEnd w:id="1377"/>
      <w:bookmarkEnd w:id="1378"/>
    </w:p>
    <w:p w14:paraId="73359C82" w14:textId="77777777" w:rsidR="00E538A1" w:rsidRPr="00E538A1" w:rsidRDefault="00E538A1" w:rsidP="009D675B">
      <w:pPr>
        <w:pStyle w:val="Heading2"/>
        <w:numPr>
          <w:ilvl w:val="1"/>
          <w:numId w:val="102"/>
        </w:numPr>
        <w:ind w:left="709" w:hanging="709"/>
        <w:rPr>
          <w:rFonts w:cs="Arial"/>
          <w:szCs w:val="20"/>
        </w:rPr>
      </w:pPr>
      <w:bookmarkStart w:id="1379" w:name="_Ref197942740"/>
      <w:bookmarkStart w:id="1380" w:name="_Toc53923992"/>
      <w:r w:rsidRPr="00E538A1">
        <w:rPr>
          <w:rFonts w:cs="Arial"/>
          <w:szCs w:val="20"/>
        </w:rPr>
        <w:t>Application: As between:</w:t>
      </w:r>
    </w:p>
    <w:p w14:paraId="6AC217C4"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 xml:space="preserve">the Customer and any Member, the applicable provisions in relation to Confidential Information shall be the relevant provisions in the Services Agreement and the provisions of this Clause </w:t>
      </w:r>
      <w:r w:rsidRPr="00E538A1">
        <w:rPr>
          <w:rFonts w:cs="Arial"/>
          <w:szCs w:val="20"/>
        </w:rPr>
        <w:fldChar w:fldCharType="begin"/>
      </w:r>
      <w:r w:rsidRPr="00E538A1">
        <w:rPr>
          <w:rFonts w:cs="Arial"/>
          <w:szCs w:val="20"/>
        </w:rPr>
        <w:instrText xml:space="preserve"> REF _Ref197862843 \w \h  \* MERGEFORMAT </w:instrText>
      </w:r>
      <w:r w:rsidRPr="00E538A1">
        <w:rPr>
          <w:rFonts w:cs="Arial"/>
          <w:szCs w:val="20"/>
        </w:rPr>
      </w:r>
      <w:r w:rsidRPr="00E538A1">
        <w:rPr>
          <w:rFonts w:cs="Arial"/>
          <w:szCs w:val="20"/>
        </w:rPr>
        <w:fldChar w:fldCharType="separate"/>
      </w:r>
      <w:r w:rsidRPr="00E538A1">
        <w:rPr>
          <w:rFonts w:cs="Arial"/>
          <w:szCs w:val="20"/>
        </w:rPr>
        <w:t>11</w:t>
      </w:r>
      <w:r w:rsidRPr="00E538A1">
        <w:rPr>
          <w:rFonts w:cs="Arial"/>
          <w:szCs w:val="20"/>
        </w:rPr>
        <w:fldChar w:fldCharType="end"/>
      </w:r>
      <w:r w:rsidRPr="00E538A1">
        <w:rPr>
          <w:rFonts w:cs="Arial"/>
          <w:szCs w:val="20"/>
        </w:rPr>
        <w:t xml:space="preserve"> shall not apply; and</w:t>
      </w:r>
    </w:p>
    <w:p w14:paraId="3316B3D0"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 xml:space="preserve">the Members, the remaining provisions of this Clause </w:t>
      </w:r>
      <w:r w:rsidRPr="00E538A1">
        <w:rPr>
          <w:rFonts w:cs="Arial"/>
          <w:szCs w:val="20"/>
        </w:rPr>
        <w:fldChar w:fldCharType="begin"/>
      </w:r>
      <w:r w:rsidRPr="00E538A1">
        <w:rPr>
          <w:rFonts w:cs="Arial"/>
          <w:szCs w:val="20"/>
        </w:rPr>
        <w:instrText xml:space="preserve"> REF _Ref197862843 \w \h  \* MERGEFORMAT </w:instrText>
      </w:r>
      <w:r w:rsidRPr="00E538A1">
        <w:rPr>
          <w:rFonts w:cs="Arial"/>
          <w:szCs w:val="20"/>
        </w:rPr>
      </w:r>
      <w:r w:rsidRPr="00E538A1">
        <w:rPr>
          <w:rFonts w:cs="Arial"/>
          <w:szCs w:val="20"/>
        </w:rPr>
        <w:fldChar w:fldCharType="separate"/>
      </w:r>
      <w:r w:rsidRPr="00E538A1">
        <w:rPr>
          <w:rFonts w:cs="Arial"/>
          <w:szCs w:val="20"/>
        </w:rPr>
        <w:t>11</w:t>
      </w:r>
      <w:r w:rsidRPr="00E538A1">
        <w:rPr>
          <w:rFonts w:cs="Arial"/>
          <w:szCs w:val="20"/>
        </w:rPr>
        <w:fldChar w:fldCharType="end"/>
      </w:r>
      <w:r w:rsidRPr="00E538A1">
        <w:rPr>
          <w:rFonts w:cs="Arial"/>
          <w:szCs w:val="20"/>
        </w:rPr>
        <w:t xml:space="preserve"> shall apply in relation to Confidential Information between the Members.</w:t>
      </w:r>
    </w:p>
    <w:p w14:paraId="08FD04D6"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Confidential Information:  Each Member (the Recipient) undertakes not to disclose at any time and shall treat, and shall procure that each of its employees, directors, sub-contractors, agents, representatives and Affiliates involved in performing this Agreement shall not disclose and shall treat as confidential all Confidential Information of the other Member (the Discloser) pursuant to this Agreement and shall not without the prior written consent of the Discloser divulge, use or copy such Confidential Information, except:</w:t>
      </w:r>
      <w:bookmarkEnd w:id="1379"/>
    </w:p>
    <w:p w14:paraId="6DAF4A26" w14:textId="5261DC8B" w:rsidR="00E538A1" w:rsidRPr="00E538A1" w:rsidRDefault="00E538A1" w:rsidP="009D675B">
      <w:pPr>
        <w:pStyle w:val="Heading4"/>
        <w:numPr>
          <w:ilvl w:val="3"/>
          <w:numId w:val="102"/>
        </w:numPr>
        <w:tabs>
          <w:tab w:val="clear" w:pos="1440"/>
          <w:tab w:val="num" w:pos="1702"/>
        </w:tabs>
        <w:ind w:left="1702" w:hanging="709"/>
        <w:rPr>
          <w:rFonts w:cs="Arial"/>
          <w:szCs w:val="20"/>
        </w:rPr>
      </w:pPr>
      <w:bookmarkStart w:id="1381" w:name="_Ref448813994"/>
      <w:bookmarkStart w:id="1382" w:name="_Ref35188320"/>
      <w:r w:rsidRPr="00E538A1">
        <w:rPr>
          <w:rFonts w:cs="Arial"/>
          <w:szCs w:val="20"/>
        </w:rPr>
        <w:t>with the Dis</w:t>
      </w:r>
      <w:r w:rsidR="000D476B">
        <w:rPr>
          <w:rFonts w:cs="Arial"/>
          <w:szCs w:val="20"/>
        </w:rPr>
        <w:t>c</w:t>
      </w:r>
      <w:r w:rsidRPr="00E538A1">
        <w:rPr>
          <w:rFonts w:cs="Arial"/>
          <w:szCs w:val="20"/>
        </w:rPr>
        <w:t>loser's prior consent in writing that the information in question does not need to be treated as confidential; or</w:t>
      </w:r>
    </w:p>
    <w:p w14:paraId="78BC8DC9"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bookmarkStart w:id="1383" w:name="_Ref247656365"/>
      <w:r w:rsidRPr="00E538A1">
        <w:rPr>
          <w:rFonts w:cs="Arial"/>
          <w:szCs w:val="20"/>
        </w:rPr>
        <w:t>if the Confidential Information is divulged to:</w:t>
      </w:r>
      <w:bookmarkEnd w:id="1383"/>
    </w:p>
    <w:p w14:paraId="74984D21" w14:textId="3F9D8A5A" w:rsidR="00E538A1" w:rsidRPr="00E538A1" w:rsidRDefault="00E538A1" w:rsidP="009D675B">
      <w:pPr>
        <w:pStyle w:val="Heading5"/>
        <w:numPr>
          <w:ilvl w:val="4"/>
          <w:numId w:val="102"/>
        </w:numPr>
        <w:tabs>
          <w:tab w:val="clear" w:pos="2160"/>
          <w:tab w:val="num" w:pos="3119"/>
        </w:tabs>
        <w:ind w:left="3119" w:hanging="709"/>
        <w:rPr>
          <w:rFonts w:cs="Arial"/>
          <w:szCs w:val="20"/>
        </w:rPr>
      </w:pPr>
      <w:r w:rsidRPr="00E538A1">
        <w:rPr>
          <w:rFonts w:cs="Arial"/>
          <w:szCs w:val="20"/>
        </w:rPr>
        <w:t xml:space="preserve">its employees, directors, Approved Sub-Contractor, agents, representatives and Affiliates involved in performing this Agreement (collectively </w:t>
      </w:r>
      <w:r w:rsidRPr="00E538A1">
        <w:rPr>
          <w:rFonts w:cs="Arial"/>
          <w:b/>
          <w:bCs w:val="0"/>
          <w:szCs w:val="20"/>
        </w:rPr>
        <w:t>Agents</w:t>
      </w:r>
      <w:r w:rsidRPr="00E538A1">
        <w:rPr>
          <w:rFonts w:cs="Arial"/>
          <w:szCs w:val="20"/>
        </w:rPr>
        <w:t xml:space="preserve">), and then only to those who need to know the </w:t>
      </w:r>
      <w:bookmarkEnd w:id="1381"/>
      <w:r w:rsidRPr="00E538A1">
        <w:rPr>
          <w:rFonts w:cs="Arial"/>
          <w:szCs w:val="20"/>
        </w:rPr>
        <w:t xml:space="preserve">Confidential Information and who have undertaken to observe the confidentiality obligations in relation to such Confidential </w:t>
      </w:r>
      <w:proofErr w:type="gramStart"/>
      <w:r w:rsidRPr="00E538A1">
        <w:rPr>
          <w:rFonts w:cs="Arial"/>
          <w:szCs w:val="20"/>
        </w:rPr>
        <w:t xml:space="preserve">Information </w:t>
      </w:r>
      <w:r w:rsidR="00D07AAA">
        <w:rPr>
          <w:rFonts w:cs="Arial"/>
          <w:szCs w:val="20"/>
        </w:rPr>
        <w:t xml:space="preserve"> in</w:t>
      </w:r>
      <w:proofErr w:type="gramEnd"/>
      <w:r w:rsidR="00D07AAA">
        <w:rPr>
          <w:rFonts w:cs="Arial"/>
          <w:szCs w:val="20"/>
        </w:rPr>
        <w:t xml:space="preserve"> their contracts of employment</w:t>
      </w:r>
      <w:bookmarkEnd w:id="1382"/>
      <w:r w:rsidRPr="00E538A1">
        <w:rPr>
          <w:rFonts w:cs="Arial"/>
          <w:szCs w:val="20"/>
        </w:rPr>
        <w:t>); and/or</w:t>
      </w:r>
    </w:p>
    <w:p w14:paraId="11D3E799" w14:textId="77777777" w:rsidR="00E538A1" w:rsidRPr="00E538A1" w:rsidRDefault="00E538A1" w:rsidP="009D675B">
      <w:pPr>
        <w:pStyle w:val="Heading5"/>
        <w:numPr>
          <w:ilvl w:val="4"/>
          <w:numId w:val="102"/>
        </w:numPr>
        <w:tabs>
          <w:tab w:val="clear" w:pos="2160"/>
          <w:tab w:val="num" w:pos="3119"/>
        </w:tabs>
        <w:ind w:left="3119" w:hanging="709"/>
        <w:rPr>
          <w:rFonts w:cs="Arial"/>
          <w:szCs w:val="20"/>
        </w:rPr>
      </w:pPr>
      <w:bookmarkStart w:id="1384" w:name="_Ref448814009"/>
      <w:r w:rsidRPr="00E538A1">
        <w:rPr>
          <w:rFonts w:cs="Arial"/>
          <w:szCs w:val="20"/>
        </w:rPr>
        <w:t xml:space="preserve">its auditors, professional advisers, HM Inspector of Taxes, HM Revenue and Customs and any other persons or bodies having a statutory or regulatory right to receive that Confidential Information, and then only in pursuance of such </w:t>
      </w:r>
      <w:proofErr w:type="gramStart"/>
      <w:r w:rsidRPr="00E538A1">
        <w:rPr>
          <w:rFonts w:cs="Arial"/>
          <w:szCs w:val="20"/>
        </w:rPr>
        <w:t>right</w:t>
      </w:r>
      <w:bookmarkEnd w:id="1384"/>
      <w:r w:rsidRPr="00E538A1">
        <w:rPr>
          <w:rFonts w:cs="Arial"/>
          <w:szCs w:val="20"/>
        </w:rPr>
        <w:t>;</w:t>
      </w:r>
      <w:proofErr w:type="gramEnd"/>
    </w:p>
    <w:p w14:paraId="09688EC2" w14:textId="77777777" w:rsidR="00E538A1" w:rsidRPr="00E538A1" w:rsidRDefault="00E538A1" w:rsidP="00E538A1">
      <w:pPr>
        <w:pStyle w:val="BodyText4"/>
        <w:rPr>
          <w:rFonts w:cs="Arial"/>
          <w:szCs w:val="20"/>
        </w:rPr>
      </w:pPr>
      <w:r w:rsidRPr="00E538A1">
        <w:rPr>
          <w:rFonts w:cs="Arial"/>
          <w:szCs w:val="20"/>
        </w:rPr>
        <w:t xml:space="preserve">provided that this Clause </w:t>
      </w:r>
      <w:r w:rsidRPr="00E538A1">
        <w:rPr>
          <w:rFonts w:cs="Arial"/>
          <w:szCs w:val="20"/>
        </w:rPr>
        <w:fldChar w:fldCharType="begin"/>
      </w:r>
      <w:r w:rsidRPr="00E538A1">
        <w:rPr>
          <w:rFonts w:cs="Arial"/>
          <w:szCs w:val="20"/>
        </w:rPr>
        <w:instrText xml:space="preserve"> REF _Ref197862843 \r \h  \* MERGEFORMAT </w:instrText>
      </w:r>
      <w:r w:rsidRPr="00E538A1">
        <w:rPr>
          <w:rFonts w:cs="Arial"/>
          <w:szCs w:val="20"/>
        </w:rPr>
      </w:r>
      <w:r w:rsidRPr="00E538A1">
        <w:rPr>
          <w:rFonts w:cs="Arial"/>
          <w:szCs w:val="20"/>
        </w:rPr>
        <w:fldChar w:fldCharType="separate"/>
      </w:r>
      <w:r w:rsidRPr="00E538A1">
        <w:rPr>
          <w:rFonts w:cs="Arial"/>
          <w:szCs w:val="20"/>
        </w:rPr>
        <w:t>11</w:t>
      </w:r>
      <w:r w:rsidRPr="00E538A1">
        <w:rPr>
          <w:rFonts w:cs="Arial"/>
          <w:szCs w:val="20"/>
        </w:rPr>
        <w:fldChar w:fldCharType="end"/>
      </w:r>
      <w:r w:rsidRPr="00E538A1">
        <w:rPr>
          <w:rFonts w:cs="Arial"/>
          <w:szCs w:val="20"/>
        </w:rPr>
        <w:t xml:space="preserve"> shall not extend to information which:</w:t>
      </w:r>
    </w:p>
    <w:p w14:paraId="0B396878" w14:textId="77777777" w:rsidR="00E538A1" w:rsidRPr="00E538A1" w:rsidRDefault="00E538A1" w:rsidP="009D675B">
      <w:pPr>
        <w:pStyle w:val="Heading5"/>
        <w:numPr>
          <w:ilvl w:val="4"/>
          <w:numId w:val="102"/>
        </w:numPr>
        <w:tabs>
          <w:tab w:val="clear" w:pos="2160"/>
          <w:tab w:val="num" w:pos="3119"/>
        </w:tabs>
        <w:ind w:left="3119" w:hanging="709"/>
        <w:rPr>
          <w:rFonts w:cs="Arial"/>
          <w:szCs w:val="20"/>
        </w:rPr>
      </w:pPr>
      <w:r w:rsidRPr="00E538A1">
        <w:rPr>
          <w:rFonts w:cs="Arial"/>
          <w:szCs w:val="20"/>
        </w:rPr>
        <w:t xml:space="preserve">was rightfully in the possession of the Recipient prior to the commencement of its dealings with the Discloser, or subsequently comes to be in the possession of the Recipient after such date (otherwise than as a result of breach of this Clause </w:t>
      </w:r>
      <w:r w:rsidRPr="00E538A1">
        <w:rPr>
          <w:rFonts w:cs="Arial"/>
          <w:szCs w:val="20"/>
        </w:rPr>
        <w:fldChar w:fldCharType="begin"/>
      </w:r>
      <w:r w:rsidRPr="00E538A1">
        <w:rPr>
          <w:rFonts w:cs="Arial"/>
          <w:szCs w:val="20"/>
        </w:rPr>
        <w:instrText xml:space="preserve"> REF _Ref197862843 \w \h  \* MERGEFORMAT </w:instrText>
      </w:r>
      <w:r w:rsidRPr="00E538A1">
        <w:rPr>
          <w:rFonts w:cs="Arial"/>
          <w:szCs w:val="20"/>
        </w:rPr>
      </w:r>
      <w:r w:rsidRPr="00E538A1">
        <w:rPr>
          <w:rFonts w:cs="Arial"/>
          <w:szCs w:val="20"/>
        </w:rPr>
        <w:fldChar w:fldCharType="separate"/>
      </w:r>
      <w:r w:rsidRPr="00E538A1">
        <w:rPr>
          <w:rFonts w:cs="Arial"/>
          <w:szCs w:val="20"/>
        </w:rPr>
        <w:t>11</w:t>
      </w:r>
      <w:r w:rsidRPr="00E538A1">
        <w:rPr>
          <w:rFonts w:cs="Arial"/>
          <w:szCs w:val="20"/>
        </w:rPr>
        <w:fldChar w:fldCharType="end"/>
      </w:r>
      <w:r w:rsidRPr="00E538A1">
        <w:rPr>
          <w:rFonts w:cs="Arial"/>
          <w:szCs w:val="20"/>
        </w:rPr>
        <w:t xml:space="preserve"> and provided that such information was not originally given to it by or on behalf of the Discloser and is not subject to obligations of confidentiality); </w:t>
      </w:r>
    </w:p>
    <w:p w14:paraId="34697BB7" w14:textId="77777777" w:rsidR="00E538A1" w:rsidRPr="00E538A1" w:rsidRDefault="00E538A1" w:rsidP="009D675B">
      <w:pPr>
        <w:pStyle w:val="Heading5"/>
        <w:numPr>
          <w:ilvl w:val="4"/>
          <w:numId w:val="102"/>
        </w:numPr>
        <w:tabs>
          <w:tab w:val="clear" w:pos="2160"/>
          <w:tab w:val="num" w:pos="3119"/>
        </w:tabs>
        <w:ind w:left="3119" w:hanging="709"/>
        <w:rPr>
          <w:rFonts w:cs="Arial"/>
          <w:szCs w:val="20"/>
        </w:rPr>
      </w:pPr>
      <w:r w:rsidRPr="00E538A1">
        <w:rPr>
          <w:rFonts w:cs="Arial"/>
          <w:szCs w:val="20"/>
        </w:rPr>
        <w:t xml:space="preserve">is already public knowledge or which becomes so at a future date (otherwise than </w:t>
      </w:r>
      <w:proofErr w:type="gramStart"/>
      <w:r w:rsidRPr="00E538A1">
        <w:rPr>
          <w:rFonts w:cs="Arial"/>
          <w:szCs w:val="20"/>
        </w:rPr>
        <w:t>as a result of</w:t>
      </w:r>
      <w:proofErr w:type="gramEnd"/>
      <w:r w:rsidRPr="00E538A1">
        <w:rPr>
          <w:rFonts w:cs="Arial"/>
          <w:szCs w:val="20"/>
        </w:rPr>
        <w:t xml:space="preserve"> breach of this Clause </w:t>
      </w:r>
      <w:r w:rsidRPr="00E538A1">
        <w:rPr>
          <w:rFonts w:cs="Arial"/>
          <w:szCs w:val="20"/>
        </w:rPr>
        <w:fldChar w:fldCharType="begin"/>
      </w:r>
      <w:r w:rsidRPr="00E538A1">
        <w:rPr>
          <w:rFonts w:cs="Arial"/>
          <w:szCs w:val="20"/>
        </w:rPr>
        <w:instrText xml:space="preserve"> REF _Ref197862843 \r \h  \* MERGEFORMAT </w:instrText>
      </w:r>
      <w:r w:rsidRPr="00E538A1">
        <w:rPr>
          <w:rFonts w:cs="Arial"/>
          <w:szCs w:val="20"/>
        </w:rPr>
      </w:r>
      <w:r w:rsidRPr="00E538A1">
        <w:rPr>
          <w:rFonts w:cs="Arial"/>
          <w:szCs w:val="20"/>
        </w:rPr>
        <w:fldChar w:fldCharType="separate"/>
      </w:r>
      <w:r w:rsidRPr="00E538A1">
        <w:rPr>
          <w:rFonts w:cs="Arial"/>
          <w:szCs w:val="20"/>
        </w:rPr>
        <w:t>11</w:t>
      </w:r>
      <w:r w:rsidRPr="00E538A1">
        <w:rPr>
          <w:rFonts w:cs="Arial"/>
          <w:szCs w:val="20"/>
        </w:rPr>
        <w:fldChar w:fldCharType="end"/>
      </w:r>
      <w:r w:rsidRPr="00E538A1">
        <w:rPr>
          <w:rFonts w:cs="Arial"/>
          <w:szCs w:val="20"/>
        </w:rPr>
        <w:t>); or</w:t>
      </w:r>
    </w:p>
    <w:p w14:paraId="4DBBF731" w14:textId="77777777" w:rsidR="00E538A1" w:rsidRPr="00E538A1" w:rsidRDefault="00E538A1" w:rsidP="009D675B">
      <w:pPr>
        <w:pStyle w:val="Heading5"/>
        <w:numPr>
          <w:ilvl w:val="4"/>
          <w:numId w:val="102"/>
        </w:numPr>
        <w:tabs>
          <w:tab w:val="clear" w:pos="2160"/>
          <w:tab w:val="num" w:pos="3119"/>
        </w:tabs>
        <w:ind w:left="3119" w:hanging="709"/>
        <w:rPr>
          <w:rFonts w:cs="Arial"/>
          <w:szCs w:val="20"/>
        </w:rPr>
      </w:pPr>
      <w:r w:rsidRPr="00E538A1">
        <w:rPr>
          <w:rFonts w:cs="Arial"/>
          <w:szCs w:val="20"/>
        </w:rPr>
        <w:t>is independently developed by the Recipient without reference to, or any use of Confidential Information and is not derived from Confidential Information.</w:t>
      </w:r>
    </w:p>
    <w:p w14:paraId="3F06F93A"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Agent notice:  The Recipient undertakes to ensure that all its Agents and the persons and bodies mentioned in Clause </w:t>
      </w:r>
      <w:r w:rsidRPr="00E538A1">
        <w:rPr>
          <w:rFonts w:cs="Arial"/>
          <w:szCs w:val="20"/>
        </w:rPr>
        <w:fldChar w:fldCharType="begin"/>
      </w:r>
      <w:r w:rsidRPr="00E538A1">
        <w:rPr>
          <w:rFonts w:cs="Arial"/>
          <w:szCs w:val="20"/>
        </w:rPr>
        <w:instrText xml:space="preserve"> REF _Ref247656365 \r \h  \* MERGEFORMAT </w:instrText>
      </w:r>
      <w:r w:rsidRPr="00E538A1">
        <w:rPr>
          <w:rFonts w:cs="Arial"/>
          <w:szCs w:val="20"/>
        </w:rPr>
      </w:r>
      <w:r w:rsidRPr="00E538A1">
        <w:rPr>
          <w:rFonts w:cs="Arial"/>
          <w:szCs w:val="20"/>
        </w:rPr>
        <w:fldChar w:fldCharType="separate"/>
      </w:r>
      <w:r w:rsidRPr="00E538A1">
        <w:rPr>
          <w:rFonts w:cs="Arial"/>
          <w:szCs w:val="20"/>
        </w:rPr>
        <w:t>11.2(b)</w:t>
      </w:r>
      <w:r w:rsidRPr="00E538A1">
        <w:rPr>
          <w:rFonts w:cs="Arial"/>
          <w:szCs w:val="20"/>
        </w:rPr>
        <w:fldChar w:fldCharType="end"/>
      </w:r>
      <w:r w:rsidRPr="00E538A1">
        <w:rPr>
          <w:rFonts w:cs="Arial"/>
          <w:szCs w:val="20"/>
        </w:rPr>
        <w:t xml:space="preserve"> (Confidential information) are made aware, prior to the disclosure of any part of the Confidential Information, that it is confidential and agree to keep it confidential on terms no less onerous than those contained in this Clause </w:t>
      </w:r>
      <w:r w:rsidRPr="00E538A1">
        <w:rPr>
          <w:rFonts w:cs="Arial"/>
          <w:szCs w:val="20"/>
        </w:rPr>
        <w:fldChar w:fldCharType="begin"/>
      </w:r>
      <w:r w:rsidRPr="00E538A1">
        <w:rPr>
          <w:rFonts w:cs="Arial"/>
          <w:szCs w:val="20"/>
        </w:rPr>
        <w:instrText xml:space="preserve"> REF _Ref197862843 \r \h  \* MERGEFORMAT </w:instrText>
      </w:r>
      <w:r w:rsidRPr="00E538A1">
        <w:rPr>
          <w:rFonts w:cs="Arial"/>
          <w:szCs w:val="20"/>
        </w:rPr>
      </w:r>
      <w:r w:rsidRPr="00E538A1">
        <w:rPr>
          <w:rFonts w:cs="Arial"/>
          <w:szCs w:val="20"/>
        </w:rPr>
        <w:fldChar w:fldCharType="separate"/>
      </w:r>
      <w:r w:rsidRPr="00E538A1">
        <w:rPr>
          <w:rFonts w:cs="Arial"/>
          <w:szCs w:val="20"/>
        </w:rPr>
        <w:t>11</w:t>
      </w:r>
      <w:r w:rsidRPr="00E538A1">
        <w:rPr>
          <w:rFonts w:cs="Arial"/>
          <w:szCs w:val="20"/>
        </w:rPr>
        <w:fldChar w:fldCharType="end"/>
      </w:r>
      <w:r w:rsidRPr="00E538A1">
        <w:rPr>
          <w:rFonts w:cs="Arial"/>
          <w:szCs w:val="20"/>
        </w:rPr>
        <w:t xml:space="preserve">. </w:t>
      </w:r>
    </w:p>
    <w:p w14:paraId="09940B87"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Agent compliance:  The Recipient shall ensure the compliance by its Agents, and any person employed or engaged by its Agents, with the obligations set out in this Clause </w:t>
      </w:r>
      <w:r w:rsidRPr="00E538A1">
        <w:rPr>
          <w:rFonts w:cs="Arial"/>
          <w:szCs w:val="20"/>
        </w:rPr>
        <w:fldChar w:fldCharType="begin"/>
      </w:r>
      <w:r w:rsidRPr="00E538A1">
        <w:rPr>
          <w:rFonts w:cs="Arial"/>
          <w:szCs w:val="20"/>
        </w:rPr>
        <w:instrText xml:space="preserve"> REF _Ref197862843 \r \h  \* MERGEFORMAT </w:instrText>
      </w:r>
      <w:r w:rsidRPr="00E538A1">
        <w:rPr>
          <w:rFonts w:cs="Arial"/>
          <w:szCs w:val="20"/>
        </w:rPr>
      </w:r>
      <w:r w:rsidRPr="00E538A1">
        <w:rPr>
          <w:rFonts w:cs="Arial"/>
          <w:szCs w:val="20"/>
        </w:rPr>
        <w:fldChar w:fldCharType="separate"/>
      </w:r>
      <w:r w:rsidRPr="00E538A1">
        <w:rPr>
          <w:rFonts w:cs="Arial"/>
          <w:szCs w:val="20"/>
        </w:rPr>
        <w:t>11</w:t>
      </w:r>
      <w:r w:rsidRPr="00E538A1">
        <w:rPr>
          <w:rFonts w:cs="Arial"/>
          <w:szCs w:val="20"/>
        </w:rPr>
        <w:fldChar w:fldCharType="end"/>
      </w:r>
      <w:r w:rsidRPr="00E538A1">
        <w:rPr>
          <w:rFonts w:cs="Arial"/>
          <w:szCs w:val="20"/>
        </w:rPr>
        <w:t>.</w:t>
      </w:r>
    </w:p>
    <w:p w14:paraId="0F8AEB46" w14:textId="77777777" w:rsidR="00E538A1" w:rsidRPr="00E538A1" w:rsidRDefault="00E538A1" w:rsidP="009D675B">
      <w:pPr>
        <w:pStyle w:val="Heading2"/>
        <w:numPr>
          <w:ilvl w:val="1"/>
          <w:numId w:val="102"/>
        </w:numPr>
        <w:ind w:left="709" w:hanging="709"/>
        <w:rPr>
          <w:rFonts w:cs="Arial"/>
          <w:szCs w:val="20"/>
        </w:rPr>
      </w:pPr>
      <w:r w:rsidRPr="00E538A1">
        <w:rPr>
          <w:rFonts w:eastAsia="MS Mincho" w:cs="Arial"/>
          <w:szCs w:val="20"/>
        </w:rPr>
        <w:lastRenderedPageBreak/>
        <w:t xml:space="preserve">Remedy:  The Parties agree that damages may not be an adequate remedy for any breach of this Clause </w:t>
      </w:r>
      <w:r w:rsidRPr="00E538A1">
        <w:rPr>
          <w:rFonts w:cs="Arial"/>
          <w:szCs w:val="20"/>
        </w:rPr>
        <w:fldChar w:fldCharType="begin"/>
      </w:r>
      <w:r w:rsidRPr="00E538A1">
        <w:rPr>
          <w:rFonts w:cs="Arial"/>
          <w:szCs w:val="20"/>
        </w:rPr>
        <w:instrText xml:space="preserve"> REF _Ref197862843 \r \h  \* MERGEFORMAT </w:instrText>
      </w:r>
      <w:r w:rsidRPr="00E538A1">
        <w:rPr>
          <w:rFonts w:cs="Arial"/>
          <w:szCs w:val="20"/>
        </w:rPr>
      </w:r>
      <w:r w:rsidRPr="00E538A1">
        <w:rPr>
          <w:rFonts w:cs="Arial"/>
          <w:szCs w:val="20"/>
        </w:rPr>
        <w:fldChar w:fldCharType="separate"/>
      </w:r>
      <w:r w:rsidRPr="00E538A1">
        <w:rPr>
          <w:rFonts w:cs="Arial"/>
          <w:szCs w:val="20"/>
        </w:rPr>
        <w:t>11</w:t>
      </w:r>
      <w:r w:rsidRPr="00E538A1">
        <w:rPr>
          <w:rFonts w:cs="Arial"/>
          <w:szCs w:val="20"/>
        </w:rPr>
        <w:fldChar w:fldCharType="end"/>
      </w:r>
      <w:r w:rsidRPr="00E538A1">
        <w:rPr>
          <w:rFonts w:eastAsia="MS Mincho" w:cs="Arial"/>
          <w:szCs w:val="20"/>
        </w:rPr>
        <w:t xml:space="preserve"> and, notwithstanding Clauses </w:t>
      </w:r>
      <w:r w:rsidRPr="00E538A1">
        <w:rPr>
          <w:rFonts w:cs="Arial"/>
          <w:szCs w:val="20"/>
        </w:rPr>
        <w:fldChar w:fldCharType="begin"/>
      </w:r>
      <w:r w:rsidRPr="00E538A1">
        <w:rPr>
          <w:rFonts w:cs="Arial"/>
          <w:szCs w:val="20"/>
        </w:rPr>
        <w:instrText xml:space="preserve"> REF _Ref201030388 \r \h  \* MERGEFORMAT </w:instrText>
      </w:r>
      <w:r w:rsidRPr="00E538A1">
        <w:rPr>
          <w:rFonts w:cs="Arial"/>
          <w:szCs w:val="20"/>
        </w:rPr>
      </w:r>
      <w:r w:rsidRPr="00E538A1">
        <w:rPr>
          <w:rFonts w:cs="Arial"/>
          <w:szCs w:val="20"/>
        </w:rPr>
        <w:fldChar w:fldCharType="separate"/>
      </w:r>
      <w:r w:rsidRPr="00E538A1">
        <w:rPr>
          <w:rFonts w:eastAsia="MS Mincho" w:cs="Arial"/>
          <w:szCs w:val="20"/>
        </w:rPr>
        <w:t>15</w:t>
      </w:r>
      <w:r w:rsidRPr="00E538A1">
        <w:rPr>
          <w:rFonts w:cs="Arial"/>
          <w:szCs w:val="20"/>
        </w:rPr>
        <w:fldChar w:fldCharType="end"/>
      </w:r>
      <w:r w:rsidRPr="00E538A1">
        <w:rPr>
          <w:rFonts w:eastAsia="MS Mincho" w:cs="Arial"/>
          <w:szCs w:val="20"/>
        </w:rPr>
        <w:t xml:space="preserve"> (Dispute Resolution), </w:t>
      </w:r>
      <w:r w:rsidRPr="00E538A1">
        <w:rPr>
          <w:rFonts w:eastAsia="MS Mincho" w:cs="Arial"/>
          <w:szCs w:val="20"/>
        </w:rPr>
        <w:fldChar w:fldCharType="begin"/>
      </w:r>
      <w:r w:rsidRPr="00E538A1">
        <w:rPr>
          <w:rFonts w:eastAsia="MS Mincho" w:cs="Arial"/>
          <w:szCs w:val="20"/>
        </w:rPr>
        <w:instrText xml:space="preserve"> REF _Ref390089984 \w \h  \* MERGEFORMAT </w:instrText>
      </w:r>
      <w:r w:rsidRPr="00E538A1">
        <w:rPr>
          <w:rFonts w:eastAsia="MS Mincho" w:cs="Arial"/>
          <w:szCs w:val="20"/>
        </w:rPr>
      </w:r>
      <w:r w:rsidRPr="00E538A1">
        <w:rPr>
          <w:rFonts w:eastAsia="MS Mincho" w:cs="Arial"/>
          <w:szCs w:val="20"/>
        </w:rPr>
        <w:fldChar w:fldCharType="separate"/>
      </w:r>
      <w:r w:rsidRPr="00E538A1">
        <w:rPr>
          <w:rFonts w:eastAsia="MS Mincho" w:cs="Arial"/>
          <w:szCs w:val="20"/>
        </w:rPr>
        <w:t>16</w:t>
      </w:r>
      <w:r w:rsidRPr="00E538A1">
        <w:rPr>
          <w:rFonts w:eastAsia="MS Mincho" w:cs="Arial"/>
          <w:szCs w:val="20"/>
        </w:rPr>
        <w:fldChar w:fldCharType="end"/>
      </w:r>
      <w:r w:rsidRPr="00E538A1">
        <w:rPr>
          <w:rFonts w:eastAsia="MS Mincho" w:cs="Arial"/>
          <w:szCs w:val="20"/>
        </w:rPr>
        <w:t xml:space="preserve"> (Expert determination), </w:t>
      </w:r>
      <w:r w:rsidRPr="00E538A1">
        <w:rPr>
          <w:rFonts w:eastAsia="MS Mincho" w:cs="Arial"/>
          <w:szCs w:val="20"/>
        </w:rPr>
        <w:fldChar w:fldCharType="begin"/>
      </w:r>
      <w:r w:rsidRPr="00E538A1">
        <w:rPr>
          <w:rFonts w:eastAsia="MS Mincho" w:cs="Arial"/>
          <w:szCs w:val="20"/>
        </w:rPr>
        <w:instrText xml:space="preserve"> REF _Ref390164009 \w \h  \* MERGEFORMAT </w:instrText>
      </w:r>
      <w:r w:rsidRPr="00E538A1">
        <w:rPr>
          <w:rFonts w:eastAsia="MS Mincho" w:cs="Arial"/>
          <w:szCs w:val="20"/>
        </w:rPr>
      </w:r>
      <w:r w:rsidRPr="00E538A1">
        <w:rPr>
          <w:rFonts w:eastAsia="MS Mincho" w:cs="Arial"/>
          <w:szCs w:val="20"/>
        </w:rPr>
        <w:fldChar w:fldCharType="separate"/>
      </w:r>
      <w:r w:rsidRPr="00E538A1">
        <w:rPr>
          <w:rFonts w:eastAsia="MS Mincho" w:cs="Arial"/>
          <w:szCs w:val="20"/>
        </w:rPr>
        <w:t>17</w:t>
      </w:r>
      <w:r w:rsidRPr="00E538A1">
        <w:rPr>
          <w:rFonts w:eastAsia="MS Mincho" w:cs="Arial"/>
          <w:szCs w:val="20"/>
        </w:rPr>
        <w:fldChar w:fldCharType="end"/>
      </w:r>
      <w:r w:rsidRPr="00E538A1">
        <w:rPr>
          <w:rFonts w:eastAsia="MS Mincho" w:cs="Arial"/>
          <w:szCs w:val="20"/>
        </w:rPr>
        <w:t xml:space="preserve"> (Mediation), the Discloser shall be entitled to seek any legal and/or equitable relief, including an injunction, in the event of any breach of the provisions of this Clause </w:t>
      </w:r>
      <w:r w:rsidRPr="00E538A1">
        <w:rPr>
          <w:rFonts w:cs="Arial"/>
          <w:szCs w:val="20"/>
        </w:rPr>
        <w:fldChar w:fldCharType="begin"/>
      </w:r>
      <w:r w:rsidRPr="00E538A1">
        <w:rPr>
          <w:rFonts w:cs="Arial"/>
          <w:szCs w:val="20"/>
        </w:rPr>
        <w:instrText xml:space="preserve"> REF _Ref197862843 \r \h  \* MERGEFORMAT </w:instrText>
      </w:r>
      <w:r w:rsidRPr="00E538A1">
        <w:rPr>
          <w:rFonts w:cs="Arial"/>
          <w:szCs w:val="20"/>
        </w:rPr>
      </w:r>
      <w:r w:rsidRPr="00E538A1">
        <w:rPr>
          <w:rFonts w:cs="Arial"/>
          <w:szCs w:val="20"/>
        </w:rPr>
        <w:fldChar w:fldCharType="separate"/>
      </w:r>
      <w:r w:rsidRPr="00E538A1">
        <w:rPr>
          <w:rFonts w:cs="Arial"/>
          <w:szCs w:val="20"/>
        </w:rPr>
        <w:t>11</w:t>
      </w:r>
      <w:r w:rsidRPr="00E538A1">
        <w:rPr>
          <w:rFonts w:cs="Arial"/>
          <w:szCs w:val="20"/>
        </w:rPr>
        <w:fldChar w:fldCharType="end"/>
      </w:r>
      <w:r w:rsidRPr="00E538A1">
        <w:rPr>
          <w:rFonts w:eastAsia="MS Mincho" w:cs="Arial"/>
          <w:szCs w:val="20"/>
        </w:rPr>
        <w:t xml:space="preserve"> in addition to its other remedies under this Agreement or otherwise at law or in equity.</w:t>
      </w:r>
    </w:p>
    <w:p w14:paraId="5F709CDE" w14:textId="77777777" w:rsidR="00E538A1" w:rsidRPr="00E538A1" w:rsidRDefault="00E538A1" w:rsidP="009D675B">
      <w:pPr>
        <w:pStyle w:val="Heading2"/>
        <w:numPr>
          <w:ilvl w:val="1"/>
          <w:numId w:val="102"/>
        </w:numPr>
        <w:ind w:left="709" w:hanging="709"/>
        <w:rPr>
          <w:rFonts w:cs="Arial"/>
          <w:szCs w:val="20"/>
        </w:rPr>
      </w:pPr>
      <w:bookmarkStart w:id="1385" w:name="_Toc53923994"/>
      <w:bookmarkEnd w:id="1380"/>
      <w:r w:rsidRPr="00E538A1">
        <w:rPr>
          <w:rFonts w:cs="Arial"/>
          <w:szCs w:val="20"/>
        </w:rPr>
        <w:t>Announcements:  Unless otherwise required by any Applicable Law (but only to that extent), each Member shall not (and shall ensure that each of their Affiliates shall not) make or permit or procure to be made any public announcement or disclosure (whether for publication in its written literature, the press, the radio, television, screen, the Internet or any other medium) of its involvement in this Agreement or any matters relating to it, without the prior written consent of the other Member.</w:t>
      </w:r>
      <w:bookmarkEnd w:id="1385"/>
    </w:p>
    <w:p w14:paraId="7E3ED294" w14:textId="77777777" w:rsidR="00E538A1" w:rsidRPr="00E538A1" w:rsidRDefault="00E538A1" w:rsidP="009D675B">
      <w:pPr>
        <w:pStyle w:val="Heading2"/>
        <w:numPr>
          <w:ilvl w:val="1"/>
          <w:numId w:val="102"/>
        </w:numPr>
        <w:ind w:left="709" w:hanging="709"/>
        <w:rPr>
          <w:rFonts w:cs="Arial"/>
          <w:szCs w:val="20"/>
        </w:rPr>
      </w:pPr>
      <w:bookmarkStart w:id="1386" w:name="_Toc53923996"/>
      <w:bookmarkStart w:id="1387" w:name="_Ref79315782"/>
      <w:r w:rsidRPr="00E538A1">
        <w:rPr>
          <w:rFonts w:cs="Arial"/>
          <w:szCs w:val="20"/>
        </w:rPr>
        <w:t>Know-how:  Nothing in this Agreement shall be so construed as to prevent a Member from using data processing techniques, ideas, know</w:t>
      </w:r>
      <w:r w:rsidRPr="00E538A1">
        <w:rPr>
          <w:rFonts w:cs="Arial"/>
          <w:szCs w:val="20"/>
        </w:rPr>
        <w:noBreakHyphen/>
        <w:t>how and the like gained during the performance of this Agreement in the furtherance of its normal business, to the extent that this does not result in any disclosure of Confidential Information or infringement of any Intellectual Property Rights of a Member which is not otherwise licensed or permitted under this Agreement.</w:t>
      </w:r>
    </w:p>
    <w:p w14:paraId="4B21611D" w14:textId="77777777" w:rsidR="00E538A1" w:rsidRPr="00E538A1" w:rsidRDefault="00E538A1" w:rsidP="009D675B">
      <w:pPr>
        <w:pStyle w:val="Heading2"/>
        <w:numPr>
          <w:ilvl w:val="1"/>
          <w:numId w:val="102"/>
        </w:numPr>
        <w:ind w:left="709" w:hanging="709"/>
        <w:rPr>
          <w:rFonts w:cs="Arial"/>
          <w:b/>
          <w:bCs w:val="0"/>
          <w:szCs w:val="20"/>
        </w:rPr>
      </w:pPr>
      <w:bookmarkStart w:id="1388" w:name="_Ref197943550"/>
      <w:bookmarkEnd w:id="1386"/>
      <w:bookmarkEnd w:id="1387"/>
      <w:r w:rsidRPr="00E538A1">
        <w:rPr>
          <w:rFonts w:cs="Arial"/>
          <w:szCs w:val="20"/>
        </w:rPr>
        <w:t xml:space="preserve">Existing confidentiality agreements:  </w:t>
      </w:r>
      <w:r w:rsidRPr="00E538A1">
        <w:rPr>
          <w:rFonts w:cs="Arial"/>
          <w:b/>
          <w:bCs w:val="0"/>
          <w:szCs w:val="20"/>
        </w:rPr>
        <w:t>So that there is no doubt:</w:t>
      </w:r>
      <w:bookmarkEnd w:id="1388"/>
    </w:p>
    <w:p w14:paraId="5A977E5C" w14:textId="77777777" w:rsidR="00E538A1" w:rsidRPr="00E538A1" w:rsidRDefault="00E538A1" w:rsidP="009D675B">
      <w:pPr>
        <w:pStyle w:val="Heading4"/>
        <w:numPr>
          <w:ilvl w:val="3"/>
          <w:numId w:val="102"/>
        </w:numPr>
        <w:tabs>
          <w:tab w:val="clear" w:pos="1440"/>
          <w:tab w:val="num" w:pos="1702"/>
        </w:tabs>
        <w:ind w:left="1400" w:hanging="700"/>
        <w:rPr>
          <w:rFonts w:cs="Arial"/>
          <w:szCs w:val="20"/>
        </w:rPr>
      </w:pPr>
      <w:bookmarkStart w:id="1389" w:name="_Ref121858942"/>
      <w:r w:rsidRPr="00E538A1">
        <w:rPr>
          <w:rFonts w:cs="Arial"/>
          <w:szCs w:val="20"/>
        </w:rPr>
        <w:t xml:space="preserve">the provisions of this Clause </w:t>
      </w:r>
      <w:r w:rsidRPr="00E538A1">
        <w:rPr>
          <w:rFonts w:cs="Arial"/>
          <w:szCs w:val="20"/>
        </w:rPr>
        <w:fldChar w:fldCharType="begin"/>
      </w:r>
      <w:r w:rsidRPr="00E538A1">
        <w:rPr>
          <w:rFonts w:cs="Arial"/>
          <w:szCs w:val="20"/>
        </w:rPr>
        <w:instrText xml:space="preserve"> REF _Ref197862843 \r \h  \* MERGEFORMAT </w:instrText>
      </w:r>
      <w:r w:rsidRPr="00E538A1">
        <w:rPr>
          <w:rFonts w:cs="Arial"/>
          <w:szCs w:val="20"/>
        </w:rPr>
      </w:r>
      <w:r w:rsidRPr="00E538A1">
        <w:rPr>
          <w:rFonts w:cs="Arial"/>
          <w:szCs w:val="20"/>
        </w:rPr>
        <w:fldChar w:fldCharType="separate"/>
      </w:r>
      <w:r w:rsidRPr="00E538A1">
        <w:rPr>
          <w:rFonts w:cs="Arial"/>
          <w:szCs w:val="20"/>
        </w:rPr>
        <w:t>11</w:t>
      </w:r>
      <w:r w:rsidRPr="00E538A1">
        <w:rPr>
          <w:rFonts w:cs="Arial"/>
          <w:szCs w:val="20"/>
        </w:rPr>
        <w:fldChar w:fldCharType="end"/>
      </w:r>
      <w:r w:rsidRPr="00E538A1">
        <w:rPr>
          <w:rFonts w:cs="Arial"/>
          <w:szCs w:val="20"/>
        </w:rPr>
        <w:t xml:space="preserve"> shall apply to all Confidential Information in connection with this Agreement or disclosed by, or on behalf of, one </w:t>
      </w:r>
      <w:r w:rsidRPr="00E538A1">
        <w:rPr>
          <w:rFonts w:cs="Arial"/>
          <w:bCs w:val="0"/>
          <w:szCs w:val="20"/>
        </w:rPr>
        <w:t>Member</w:t>
      </w:r>
      <w:r w:rsidRPr="00E538A1">
        <w:rPr>
          <w:rFonts w:cs="Arial"/>
          <w:szCs w:val="20"/>
        </w:rPr>
        <w:t xml:space="preserve"> to the another </w:t>
      </w:r>
      <w:r w:rsidRPr="00E538A1">
        <w:rPr>
          <w:rFonts w:cs="Arial"/>
          <w:bCs w:val="0"/>
          <w:szCs w:val="20"/>
        </w:rPr>
        <w:t>Member</w:t>
      </w:r>
      <w:r w:rsidRPr="00E538A1">
        <w:rPr>
          <w:rFonts w:cs="Arial"/>
          <w:szCs w:val="20"/>
        </w:rPr>
        <w:t xml:space="preserve"> on or after the Collaboration Agreement Commencement Date to the exclusion of all other legal and other obligations which may have applied to such information before the Collaboration Agreement Commencement Date;</w:t>
      </w:r>
      <w:bookmarkEnd w:id="1389"/>
    </w:p>
    <w:p w14:paraId="00D76DB0" w14:textId="77777777" w:rsidR="00E538A1" w:rsidRPr="00E538A1" w:rsidRDefault="00E538A1" w:rsidP="009D675B">
      <w:pPr>
        <w:pStyle w:val="Heading4"/>
        <w:numPr>
          <w:ilvl w:val="3"/>
          <w:numId w:val="102"/>
        </w:numPr>
        <w:tabs>
          <w:tab w:val="clear" w:pos="1440"/>
          <w:tab w:val="num" w:pos="1702"/>
        </w:tabs>
        <w:ind w:left="1400" w:hanging="700"/>
        <w:rPr>
          <w:rFonts w:cs="Arial"/>
          <w:szCs w:val="20"/>
        </w:rPr>
      </w:pPr>
      <w:bookmarkStart w:id="1390" w:name="_Ref121858978"/>
      <w:r w:rsidRPr="00E538A1">
        <w:rPr>
          <w:rFonts w:cs="Arial"/>
          <w:szCs w:val="20"/>
        </w:rPr>
        <w:t xml:space="preserve">to the extent that information other than that referred to in Clause </w:t>
      </w:r>
      <w:r w:rsidRPr="00E538A1">
        <w:rPr>
          <w:rFonts w:cs="Arial"/>
          <w:szCs w:val="20"/>
        </w:rPr>
        <w:fldChar w:fldCharType="begin"/>
      </w:r>
      <w:r w:rsidRPr="00E538A1">
        <w:rPr>
          <w:rFonts w:cs="Arial"/>
          <w:szCs w:val="20"/>
        </w:rPr>
        <w:instrText xml:space="preserve"> REF _Ref197943550 \r \h  \* MERGEFORMAT </w:instrText>
      </w:r>
      <w:r w:rsidRPr="00E538A1">
        <w:rPr>
          <w:rFonts w:cs="Arial"/>
          <w:szCs w:val="20"/>
        </w:rPr>
      </w:r>
      <w:r w:rsidRPr="00E538A1">
        <w:rPr>
          <w:rFonts w:cs="Arial"/>
          <w:szCs w:val="20"/>
        </w:rPr>
        <w:fldChar w:fldCharType="separate"/>
      </w:r>
      <w:r w:rsidRPr="00E538A1">
        <w:rPr>
          <w:rFonts w:cs="Arial"/>
          <w:szCs w:val="20"/>
        </w:rPr>
        <w:t>11.8</w:t>
      </w:r>
      <w:r w:rsidRPr="00E538A1">
        <w:rPr>
          <w:rFonts w:cs="Arial"/>
          <w:szCs w:val="20"/>
        </w:rPr>
        <w:fldChar w:fldCharType="end"/>
      </w:r>
      <w:r w:rsidRPr="00E538A1">
        <w:rPr>
          <w:rFonts w:cs="Arial"/>
          <w:szCs w:val="20"/>
        </w:rPr>
        <w:fldChar w:fldCharType="begin"/>
      </w:r>
      <w:r w:rsidRPr="00E538A1">
        <w:rPr>
          <w:rFonts w:cs="Arial"/>
          <w:szCs w:val="20"/>
        </w:rPr>
        <w:instrText xml:space="preserve"> REF _Ref121858942 \r \h  \* MERGEFORMAT </w:instrText>
      </w:r>
      <w:r w:rsidRPr="00E538A1">
        <w:rPr>
          <w:rFonts w:cs="Arial"/>
          <w:szCs w:val="20"/>
        </w:rPr>
      </w:r>
      <w:r w:rsidRPr="00E538A1">
        <w:rPr>
          <w:rFonts w:cs="Arial"/>
          <w:szCs w:val="20"/>
        </w:rPr>
        <w:fldChar w:fldCharType="separate"/>
      </w:r>
      <w:r w:rsidRPr="00E538A1">
        <w:rPr>
          <w:rFonts w:cs="Arial"/>
          <w:szCs w:val="20"/>
        </w:rPr>
        <w:t>(a)</w:t>
      </w:r>
      <w:r w:rsidRPr="00E538A1">
        <w:rPr>
          <w:rFonts w:cs="Arial"/>
          <w:szCs w:val="20"/>
        </w:rPr>
        <w:fldChar w:fldCharType="end"/>
      </w:r>
      <w:r w:rsidRPr="00E538A1">
        <w:rPr>
          <w:rFonts w:cs="Arial"/>
          <w:szCs w:val="20"/>
        </w:rPr>
        <w:t xml:space="preserve"> was protected by an existing confidentiality agreement between the </w:t>
      </w:r>
      <w:r w:rsidRPr="00E538A1">
        <w:rPr>
          <w:rFonts w:cs="Arial"/>
          <w:bCs w:val="0"/>
          <w:szCs w:val="20"/>
        </w:rPr>
        <w:t>Member</w:t>
      </w:r>
      <w:r w:rsidRPr="00E538A1">
        <w:rPr>
          <w:rFonts w:cs="Arial"/>
          <w:szCs w:val="20"/>
        </w:rPr>
        <w:t>s or legal or other obligations before the Collaboration Agreement Commencement Date, nothing in this Agreement shall be taken as affecting those obligations;</w:t>
      </w:r>
      <w:bookmarkEnd w:id="1390"/>
    </w:p>
    <w:p w14:paraId="63979961" w14:textId="77777777" w:rsidR="00E538A1" w:rsidRPr="00E538A1" w:rsidRDefault="00E538A1" w:rsidP="009D675B">
      <w:pPr>
        <w:pStyle w:val="Heading4"/>
        <w:numPr>
          <w:ilvl w:val="3"/>
          <w:numId w:val="102"/>
        </w:numPr>
        <w:tabs>
          <w:tab w:val="clear" w:pos="1440"/>
          <w:tab w:val="num" w:pos="1702"/>
        </w:tabs>
        <w:ind w:left="1400" w:hanging="700"/>
        <w:rPr>
          <w:rFonts w:cs="Arial"/>
          <w:szCs w:val="20"/>
        </w:rPr>
      </w:pPr>
      <w:bookmarkStart w:id="1391" w:name="_Ref232228945"/>
      <w:r w:rsidRPr="00E538A1">
        <w:rPr>
          <w:rFonts w:cs="Arial"/>
          <w:szCs w:val="20"/>
        </w:rPr>
        <w:t xml:space="preserve">the provisions of Clause </w:t>
      </w:r>
      <w:r w:rsidRPr="00E538A1">
        <w:rPr>
          <w:rFonts w:cs="Arial"/>
          <w:szCs w:val="20"/>
        </w:rPr>
        <w:fldChar w:fldCharType="begin"/>
      </w:r>
      <w:r w:rsidRPr="00E538A1">
        <w:rPr>
          <w:rFonts w:cs="Arial"/>
          <w:szCs w:val="20"/>
        </w:rPr>
        <w:instrText xml:space="preserve"> REF _Ref197943550 \r \h  \* MERGEFORMAT </w:instrText>
      </w:r>
      <w:r w:rsidRPr="00E538A1">
        <w:rPr>
          <w:rFonts w:cs="Arial"/>
          <w:szCs w:val="20"/>
        </w:rPr>
      </w:r>
      <w:r w:rsidRPr="00E538A1">
        <w:rPr>
          <w:rFonts w:cs="Arial"/>
          <w:szCs w:val="20"/>
        </w:rPr>
        <w:fldChar w:fldCharType="separate"/>
      </w:r>
      <w:r w:rsidRPr="00E538A1">
        <w:rPr>
          <w:rFonts w:cs="Arial"/>
          <w:szCs w:val="20"/>
        </w:rPr>
        <w:t>11.8</w:t>
      </w:r>
      <w:r w:rsidRPr="00E538A1">
        <w:rPr>
          <w:rFonts w:cs="Arial"/>
          <w:szCs w:val="20"/>
        </w:rPr>
        <w:fldChar w:fldCharType="end"/>
      </w:r>
      <w:r w:rsidRPr="00E538A1">
        <w:rPr>
          <w:rFonts w:cs="Arial"/>
          <w:szCs w:val="20"/>
        </w:rPr>
        <w:fldChar w:fldCharType="begin"/>
      </w:r>
      <w:r w:rsidRPr="00E538A1">
        <w:rPr>
          <w:rFonts w:cs="Arial"/>
          <w:szCs w:val="20"/>
        </w:rPr>
        <w:instrText xml:space="preserve"> REF _Ref121858942 \r \h  \* MERGEFORMAT </w:instrText>
      </w:r>
      <w:r w:rsidRPr="00E538A1">
        <w:rPr>
          <w:rFonts w:cs="Arial"/>
          <w:szCs w:val="20"/>
        </w:rPr>
      </w:r>
      <w:r w:rsidRPr="00E538A1">
        <w:rPr>
          <w:rFonts w:cs="Arial"/>
          <w:szCs w:val="20"/>
        </w:rPr>
        <w:fldChar w:fldCharType="separate"/>
      </w:r>
      <w:r w:rsidRPr="00E538A1">
        <w:rPr>
          <w:rFonts w:cs="Arial"/>
          <w:szCs w:val="20"/>
        </w:rPr>
        <w:t>(a)</w:t>
      </w:r>
      <w:r w:rsidRPr="00E538A1">
        <w:rPr>
          <w:rFonts w:cs="Arial"/>
          <w:szCs w:val="20"/>
        </w:rPr>
        <w:fldChar w:fldCharType="end"/>
      </w:r>
      <w:r w:rsidRPr="00E538A1">
        <w:rPr>
          <w:rFonts w:cs="Arial"/>
          <w:szCs w:val="20"/>
        </w:rPr>
        <w:t xml:space="preserve"> and Clause </w:t>
      </w:r>
      <w:r w:rsidRPr="00E538A1">
        <w:rPr>
          <w:rFonts w:cs="Arial"/>
          <w:szCs w:val="20"/>
        </w:rPr>
        <w:fldChar w:fldCharType="begin"/>
      </w:r>
      <w:r w:rsidRPr="00E538A1">
        <w:rPr>
          <w:rFonts w:cs="Arial"/>
          <w:szCs w:val="20"/>
        </w:rPr>
        <w:instrText xml:space="preserve"> REF _Ref197943550 \r \h  \* MERGEFORMAT </w:instrText>
      </w:r>
      <w:r w:rsidRPr="00E538A1">
        <w:rPr>
          <w:rFonts w:cs="Arial"/>
          <w:szCs w:val="20"/>
        </w:rPr>
      </w:r>
      <w:r w:rsidRPr="00E538A1">
        <w:rPr>
          <w:rFonts w:cs="Arial"/>
          <w:szCs w:val="20"/>
        </w:rPr>
        <w:fldChar w:fldCharType="separate"/>
      </w:r>
      <w:r w:rsidRPr="00E538A1">
        <w:rPr>
          <w:rFonts w:cs="Arial"/>
          <w:szCs w:val="20"/>
        </w:rPr>
        <w:t>11.8</w:t>
      </w:r>
      <w:r w:rsidRPr="00E538A1">
        <w:rPr>
          <w:rFonts w:cs="Arial"/>
          <w:szCs w:val="20"/>
        </w:rPr>
        <w:fldChar w:fldCharType="end"/>
      </w:r>
      <w:r w:rsidRPr="00E538A1">
        <w:rPr>
          <w:rFonts w:cs="Arial"/>
          <w:szCs w:val="20"/>
        </w:rPr>
        <w:fldChar w:fldCharType="begin"/>
      </w:r>
      <w:r w:rsidRPr="00E538A1">
        <w:rPr>
          <w:rFonts w:cs="Arial"/>
          <w:szCs w:val="20"/>
        </w:rPr>
        <w:instrText xml:space="preserve"> REF _Ref121858978 \r \h  \* MERGEFORMAT </w:instrText>
      </w:r>
      <w:r w:rsidRPr="00E538A1">
        <w:rPr>
          <w:rFonts w:cs="Arial"/>
          <w:szCs w:val="20"/>
        </w:rPr>
      </w:r>
      <w:r w:rsidRPr="00E538A1">
        <w:rPr>
          <w:rFonts w:cs="Arial"/>
          <w:szCs w:val="20"/>
        </w:rPr>
        <w:fldChar w:fldCharType="separate"/>
      </w:r>
      <w:r w:rsidRPr="00E538A1">
        <w:rPr>
          <w:rFonts w:cs="Arial"/>
          <w:szCs w:val="20"/>
        </w:rPr>
        <w:t>(b)</w:t>
      </w:r>
      <w:r w:rsidRPr="00E538A1">
        <w:rPr>
          <w:rFonts w:cs="Arial"/>
          <w:szCs w:val="20"/>
        </w:rPr>
        <w:fldChar w:fldCharType="end"/>
      </w:r>
      <w:r w:rsidRPr="00E538A1">
        <w:rPr>
          <w:rFonts w:cs="Arial"/>
          <w:szCs w:val="20"/>
        </w:rPr>
        <w:t xml:space="preserve"> shall be without prejudice to any accrued rights which any </w:t>
      </w:r>
      <w:r w:rsidRPr="00E538A1">
        <w:rPr>
          <w:rFonts w:cs="Arial"/>
          <w:bCs w:val="0"/>
          <w:szCs w:val="20"/>
        </w:rPr>
        <w:t>Member</w:t>
      </w:r>
      <w:r w:rsidRPr="00E538A1">
        <w:rPr>
          <w:rFonts w:cs="Arial"/>
          <w:szCs w:val="20"/>
        </w:rPr>
        <w:t xml:space="preserve"> may have on the Collaboration Agreement Commencement Date in respect of any breach of confidence.</w:t>
      </w:r>
      <w:bookmarkEnd w:id="1391"/>
    </w:p>
    <w:p w14:paraId="49E41108" w14:textId="0A289EDF"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No Derogation: For the avoidance of doubt, nothing in this Clause </w:t>
      </w:r>
      <w:r w:rsidRPr="00E538A1">
        <w:rPr>
          <w:rFonts w:cs="Arial"/>
          <w:szCs w:val="20"/>
        </w:rPr>
        <w:fldChar w:fldCharType="begin"/>
      </w:r>
      <w:r w:rsidRPr="00E538A1">
        <w:rPr>
          <w:rFonts w:cs="Arial"/>
          <w:szCs w:val="20"/>
        </w:rPr>
        <w:instrText xml:space="preserve"> REF _Ref197862843 \r \h  \* MERGEFORMAT </w:instrText>
      </w:r>
      <w:r w:rsidRPr="00E538A1">
        <w:rPr>
          <w:rFonts w:cs="Arial"/>
          <w:szCs w:val="20"/>
        </w:rPr>
      </w:r>
      <w:r w:rsidRPr="00E538A1">
        <w:rPr>
          <w:rFonts w:cs="Arial"/>
          <w:szCs w:val="20"/>
        </w:rPr>
        <w:fldChar w:fldCharType="separate"/>
      </w:r>
      <w:r w:rsidRPr="00E538A1">
        <w:rPr>
          <w:rFonts w:cs="Arial"/>
          <w:szCs w:val="20"/>
        </w:rPr>
        <w:t>11</w:t>
      </w:r>
      <w:r w:rsidRPr="00E538A1">
        <w:rPr>
          <w:rFonts w:cs="Arial"/>
          <w:szCs w:val="20"/>
        </w:rPr>
        <w:fldChar w:fldCharType="end"/>
      </w:r>
      <w:r w:rsidRPr="00E538A1">
        <w:rPr>
          <w:rFonts w:cs="Arial"/>
          <w:szCs w:val="20"/>
        </w:rPr>
        <w:t xml:space="preserve"> shall prejudice or derogate from Cu</w:t>
      </w:r>
      <w:r w:rsidR="000D476B">
        <w:rPr>
          <w:rFonts w:cs="Arial"/>
          <w:szCs w:val="20"/>
        </w:rPr>
        <w:t>s</w:t>
      </w:r>
      <w:r w:rsidRPr="00E538A1">
        <w:rPr>
          <w:rFonts w:cs="Arial"/>
          <w:szCs w:val="20"/>
        </w:rPr>
        <w:t xml:space="preserve">tomer's full enjoyment of the Services, or from each </w:t>
      </w:r>
      <w:r w:rsidR="000D476B">
        <w:rPr>
          <w:rFonts w:cs="Arial"/>
          <w:szCs w:val="20"/>
        </w:rPr>
        <w:t>M</w:t>
      </w:r>
      <w:r w:rsidRPr="00E538A1">
        <w:rPr>
          <w:rFonts w:cs="Arial"/>
          <w:szCs w:val="20"/>
        </w:rPr>
        <w:t xml:space="preserve">ember's rights under Clause </w:t>
      </w:r>
      <w:r w:rsidRPr="00E538A1">
        <w:rPr>
          <w:rFonts w:cs="Arial"/>
          <w:szCs w:val="20"/>
        </w:rPr>
        <w:fldChar w:fldCharType="begin"/>
      </w:r>
      <w:r w:rsidRPr="00E538A1">
        <w:rPr>
          <w:rFonts w:cs="Arial"/>
          <w:szCs w:val="20"/>
        </w:rPr>
        <w:instrText xml:space="preserve"> REF _Ref390708372 \w \h  \* MERGEFORMAT </w:instrText>
      </w:r>
      <w:r w:rsidRPr="00E538A1">
        <w:rPr>
          <w:rFonts w:cs="Arial"/>
          <w:szCs w:val="20"/>
        </w:rPr>
      </w:r>
      <w:r w:rsidRPr="00E538A1">
        <w:rPr>
          <w:rFonts w:cs="Arial"/>
          <w:szCs w:val="20"/>
        </w:rPr>
        <w:fldChar w:fldCharType="separate"/>
      </w:r>
      <w:r w:rsidRPr="00E538A1">
        <w:rPr>
          <w:rFonts w:cs="Arial"/>
          <w:szCs w:val="20"/>
        </w:rPr>
        <w:t>10</w:t>
      </w:r>
      <w:r w:rsidRPr="00E538A1">
        <w:rPr>
          <w:rFonts w:cs="Arial"/>
          <w:szCs w:val="20"/>
        </w:rPr>
        <w:fldChar w:fldCharType="end"/>
      </w:r>
      <w:r w:rsidRPr="00E538A1">
        <w:rPr>
          <w:rFonts w:cs="Arial"/>
          <w:szCs w:val="20"/>
        </w:rPr>
        <w:t xml:space="preserve"> (Intellectual Property).</w:t>
      </w:r>
    </w:p>
    <w:p w14:paraId="4D6E2956" w14:textId="77777777" w:rsidR="00E538A1" w:rsidRPr="00E538A1" w:rsidRDefault="00E538A1" w:rsidP="009D675B">
      <w:pPr>
        <w:pStyle w:val="Heading1"/>
        <w:keepNext w:val="0"/>
        <w:numPr>
          <w:ilvl w:val="0"/>
          <w:numId w:val="102"/>
        </w:numPr>
        <w:ind w:left="709" w:hanging="709"/>
        <w:rPr>
          <w:rFonts w:cs="Arial"/>
          <w:szCs w:val="20"/>
        </w:rPr>
      </w:pPr>
      <w:bookmarkStart w:id="1392" w:name="_Ref121719340"/>
      <w:bookmarkStart w:id="1393" w:name="_Ref121719376"/>
      <w:bookmarkStart w:id="1394" w:name="_Toc200887474"/>
      <w:bookmarkStart w:id="1395" w:name="_Ref201405009"/>
      <w:bookmarkStart w:id="1396" w:name="_Ref201405257"/>
      <w:bookmarkStart w:id="1397" w:name="_Ref201405630"/>
      <w:bookmarkStart w:id="1398" w:name="_Ref205994119"/>
      <w:bookmarkStart w:id="1399" w:name="_Toc231187991"/>
      <w:bookmarkStart w:id="1400" w:name="_Toc260263784"/>
      <w:bookmarkStart w:id="1401" w:name="_Ref322970741"/>
      <w:bookmarkStart w:id="1402" w:name="_Ref389664508"/>
      <w:bookmarkStart w:id="1403" w:name="_Ref391044764"/>
      <w:bookmarkStart w:id="1404" w:name="_Ref12008933"/>
      <w:bookmarkStart w:id="1405" w:name="_Toc57263865"/>
      <w:r w:rsidRPr="00E538A1">
        <w:rPr>
          <w:rFonts w:cs="Arial"/>
          <w:szCs w:val="20"/>
        </w:rPr>
        <w:t>Liability</w:t>
      </w:r>
      <w:bookmarkEnd w:id="1392"/>
      <w:bookmarkEnd w:id="1393"/>
      <w:r w:rsidRPr="00E538A1">
        <w:rPr>
          <w:rFonts w:cs="Arial"/>
          <w:szCs w:val="20"/>
        </w:rPr>
        <w:t xml:space="preserve"> and limitations</w:t>
      </w:r>
      <w:bookmarkEnd w:id="1394"/>
      <w:bookmarkEnd w:id="1395"/>
      <w:bookmarkEnd w:id="1396"/>
      <w:bookmarkEnd w:id="1397"/>
      <w:bookmarkEnd w:id="1398"/>
      <w:bookmarkEnd w:id="1399"/>
      <w:bookmarkEnd w:id="1400"/>
      <w:bookmarkEnd w:id="1401"/>
      <w:bookmarkEnd w:id="1402"/>
      <w:bookmarkEnd w:id="1403"/>
      <w:bookmarkEnd w:id="1404"/>
      <w:bookmarkEnd w:id="1405"/>
    </w:p>
    <w:p w14:paraId="1634A262" w14:textId="2C8D517A" w:rsidR="00E538A1" w:rsidRPr="00E538A1" w:rsidRDefault="00E538A1" w:rsidP="009D675B">
      <w:pPr>
        <w:pStyle w:val="Heading2"/>
        <w:numPr>
          <w:ilvl w:val="1"/>
          <w:numId w:val="102"/>
        </w:numPr>
        <w:ind w:left="709" w:hanging="709"/>
        <w:rPr>
          <w:rFonts w:cs="Arial"/>
          <w:szCs w:val="20"/>
        </w:rPr>
      </w:pPr>
      <w:bookmarkStart w:id="1406" w:name="_Ref323233996"/>
      <w:bookmarkStart w:id="1407" w:name="_Ref197146341"/>
      <w:bookmarkStart w:id="1408" w:name="_Toc53924085"/>
      <w:bookmarkStart w:id="1409" w:name="_Toc53924084"/>
      <w:bookmarkStart w:id="1410" w:name="_Ref79930018"/>
      <w:bookmarkStart w:id="1411" w:name="_Ref121859306"/>
      <w:bookmarkStart w:id="1412" w:name="_Ref197145640"/>
      <w:bookmarkStart w:id="1413" w:name="_Ref201405188"/>
      <w:bookmarkStart w:id="1414" w:name="_Ref254024374"/>
      <w:bookmarkStart w:id="1415" w:name="_Ref256723229"/>
      <w:bookmarkStart w:id="1416" w:name="_Ref259099262"/>
      <w:bookmarkStart w:id="1417" w:name="_Ref323149713"/>
      <w:r w:rsidRPr="00E538A1">
        <w:rPr>
          <w:rFonts w:cs="Arial"/>
          <w:szCs w:val="20"/>
        </w:rPr>
        <w:t>Customer liability:  The aggregate liability of Customer to each Member under, or in connection with, this Agreement shall be subject to, and shall not exceed</w:t>
      </w:r>
      <w:bookmarkEnd w:id="1406"/>
      <w:r w:rsidRPr="00E538A1">
        <w:rPr>
          <w:rFonts w:cs="Arial"/>
          <w:szCs w:val="20"/>
        </w:rPr>
        <w:t>, the exclusions and limitations on the Cu</w:t>
      </w:r>
      <w:r w:rsidR="000D476B">
        <w:rPr>
          <w:rFonts w:cs="Arial"/>
          <w:szCs w:val="20"/>
        </w:rPr>
        <w:t>s</w:t>
      </w:r>
      <w:r w:rsidRPr="00E538A1">
        <w:rPr>
          <w:rFonts w:cs="Arial"/>
          <w:szCs w:val="20"/>
        </w:rPr>
        <w:t>tomer's liability as set out in the relevant Services Agreement. In calculating whether any of the financial limits set out in the Services Agreement have been reached, any liability of the Customer to the relevant Member arising under this Agreement shall be included in such calculation.</w:t>
      </w:r>
    </w:p>
    <w:bookmarkEnd w:id="1407"/>
    <w:bookmarkEnd w:id="1408"/>
    <w:p w14:paraId="7C4650C8" w14:textId="3D67E5E1"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Consortium liability to the Customer and the Customer Group: The aggregate liability of each individual Member directly to the Customer and Customer Group </w:t>
      </w:r>
      <w:r w:rsidRPr="00E538A1">
        <w:rPr>
          <w:rFonts w:cs="Arial"/>
          <w:bCs w:val="0"/>
          <w:szCs w:val="20"/>
        </w:rPr>
        <w:t xml:space="preserve">under, or in connection with, this Agreement shall be subject to, and shall not exceed, the exclusions and limitations on the </w:t>
      </w:r>
      <w:r w:rsidR="000D476B">
        <w:rPr>
          <w:rFonts w:cs="Arial"/>
          <w:bCs w:val="0"/>
          <w:szCs w:val="20"/>
        </w:rPr>
        <w:t>M</w:t>
      </w:r>
      <w:r w:rsidRPr="00E538A1">
        <w:rPr>
          <w:rFonts w:cs="Arial"/>
          <w:bCs w:val="0"/>
          <w:szCs w:val="20"/>
        </w:rPr>
        <w:t xml:space="preserve">ember's liability as set out in the relevant Services Agreement. </w:t>
      </w:r>
      <w:r w:rsidRPr="00E538A1">
        <w:rPr>
          <w:rFonts w:cs="Arial"/>
          <w:szCs w:val="20"/>
        </w:rPr>
        <w:t>In calculating whether any of the financial limits set out in the Services Agreement have been reached, any liability of the Member to the Customer and/or the Customer Group arising under this Agreement shall be included in such calculation. For the avoidance of doubt, any payment paid between Members under his Agreement shall not be included under or count towards the Members liability as set out in the relevant Services Agreement.</w:t>
      </w:r>
    </w:p>
    <w:p w14:paraId="3095F7ED" w14:textId="77777777" w:rsidR="00E538A1" w:rsidRPr="00E538A1" w:rsidRDefault="00E538A1" w:rsidP="009D675B">
      <w:pPr>
        <w:pStyle w:val="Heading2"/>
        <w:numPr>
          <w:ilvl w:val="1"/>
          <w:numId w:val="102"/>
        </w:numPr>
        <w:ind w:left="709" w:hanging="709"/>
        <w:rPr>
          <w:rFonts w:cs="Arial"/>
          <w:szCs w:val="20"/>
        </w:rPr>
      </w:pPr>
      <w:bookmarkStart w:id="1418" w:name="_Ref12263427"/>
      <w:r w:rsidRPr="00E538A1">
        <w:rPr>
          <w:rFonts w:cs="Arial"/>
          <w:szCs w:val="20"/>
        </w:rPr>
        <w:lastRenderedPageBreak/>
        <w:t>Each Member acknowledges and agrees that, to the maximum extent permitted by Applicable Law, the Customer shall have no liability, whether in contract, tort (including negligence) or otherwise, to any Member for any costs, claims, demands, expenses and liabilities of whatsoever nature arising out of or in connection with any claim which arises from, or in connection with, the default of another Member under or in connection with this Agreement.</w:t>
      </w:r>
      <w:bookmarkEnd w:id="1418"/>
    </w:p>
    <w:p w14:paraId="04550EE6" w14:textId="44C7D3A5"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Without limiting Clause </w:t>
      </w:r>
      <w:r w:rsidRPr="00E538A1">
        <w:rPr>
          <w:rFonts w:cs="Arial"/>
          <w:szCs w:val="20"/>
        </w:rPr>
        <w:fldChar w:fldCharType="begin"/>
      </w:r>
      <w:r w:rsidRPr="00E538A1">
        <w:rPr>
          <w:rFonts w:cs="Arial"/>
          <w:szCs w:val="20"/>
        </w:rPr>
        <w:instrText xml:space="preserve"> REF _Ref12263427 \w \h  \* MERGEFORMAT </w:instrText>
      </w:r>
      <w:r w:rsidRPr="00E538A1">
        <w:rPr>
          <w:rFonts w:cs="Arial"/>
          <w:szCs w:val="20"/>
        </w:rPr>
      </w:r>
      <w:r w:rsidRPr="00E538A1">
        <w:rPr>
          <w:rFonts w:cs="Arial"/>
          <w:szCs w:val="20"/>
        </w:rPr>
        <w:fldChar w:fldCharType="separate"/>
      </w:r>
      <w:r w:rsidRPr="00E538A1">
        <w:rPr>
          <w:rFonts w:cs="Arial"/>
          <w:szCs w:val="20"/>
        </w:rPr>
        <w:t>12.3</w:t>
      </w:r>
      <w:r w:rsidRPr="00E538A1">
        <w:rPr>
          <w:rFonts w:cs="Arial"/>
          <w:szCs w:val="20"/>
        </w:rPr>
        <w:fldChar w:fldCharType="end"/>
      </w:r>
      <w:r w:rsidRPr="00E538A1">
        <w:rPr>
          <w:rFonts w:cs="Arial"/>
          <w:szCs w:val="20"/>
        </w:rPr>
        <w:t xml:space="preserve">, no Member shall be entitled to recover from the Customer for losses arising from another </w:t>
      </w:r>
      <w:r w:rsidR="000D476B">
        <w:rPr>
          <w:rFonts w:cs="Arial"/>
          <w:szCs w:val="20"/>
        </w:rPr>
        <w:t>M</w:t>
      </w:r>
      <w:r w:rsidRPr="00E538A1">
        <w:rPr>
          <w:rFonts w:cs="Arial"/>
          <w:szCs w:val="20"/>
        </w:rPr>
        <w:t>ember's default, including for any one or more of the following:</w:t>
      </w:r>
    </w:p>
    <w:p w14:paraId="4E295230"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 xml:space="preserve">additional operational costs and expenses in relation to the provision or receipt of the Services which would not otherwise have been incurred by a </w:t>
      </w:r>
      <w:proofErr w:type="gramStart"/>
      <w:r w:rsidRPr="00E538A1">
        <w:rPr>
          <w:rFonts w:cs="Arial"/>
          <w:szCs w:val="20"/>
        </w:rPr>
        <w:t>Member</w:t>
      </w:r>
      <w:proofErr w:type="gramEnd"/>
      <w:r w:rsidRPr="00E538A1">
        <w:rPr>
          <w:rFonts w:cs="Arial"/>
          <w:szCs w:val="20"/>
        </w:rPr>
        <w:t xml:space="preserve"> including additional costs to correct and re-perform Services arising from the default;</w:t>
      </w:r>
    </w:p>
    <w:p w14:paraId="2242E3F7"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 xml:space="preserve">expenditure or charges paid by a </w:t>
      </w:r>
      <w:proofErr w:type="gramStart"/>
      <w:r w:rsidRPr="00E538A1">
        <w:rPr>
          <w:rFonts w:cs="Arial"/>
          <w:szCs w:val="20"/>
        </w:rPr>
        <w:t>Member</w:t>
      </w:r>
      <w:proofErr w:type="gramEnd"/>
      <w:r w:rsidRPr="00E538A1">
        <w:rPr>
          <w:rFonts w:cs="Arial"/>
          <w:szCs w:val="20"/>
        </w:rPr>
        <w:t xml:space="preserve"> which would not otherwise have been incurred, would have ceased, or would not have recurred, including (aa) any additional costs incurred by any Member in connection with the Programme, and (bb) any additional systems or operational costs passed to a Member by or on behalf of another Member as a consequence of the relevant default; or </w:t>
      </w:r>
    </w:p>
    <w:p w14:paraId="7B303D1D"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 xml:space="preserve">the Member’s costs of taking emergency measures, including changing over to other computer systems or engaging third parties.  </w:t>
      </w:r>
    </w:p>
    <w:p w14:paraId="04A57F32" w14:textId="77777777" w:rsidR="00E538A1" w:rsidRPr="00E538A1" w:rsidRDefault="00E538A1" w:rsidP="009D675B">
      <w:pPr>
        <w:pStyle w:val="Heading1"/>
        <w:keepNext w:val="0"/>
        <w:numPr>
          <w:ilvl w:val="0"/>
          <w:numId w:val="102"/>
        </w:numPr>
        <w:ind w:left="709" w:hanging="709"/>
        <w:rPr>
          <w:rFonts w:cs="Arial"/>
          <w:szCs w:val="20"/>
        </w:rPr>
      </w:pPr>
      <w:bookmarkStart w:id="1419" w:name="_Ref389755159"/>
      <w:bookmarkStart w:id="1420" w:name="_Toc57263866"/>
      <w:bookmarkStart w:id="1421" w:name="_Toc47422062"/>
      <w:bookmarkStart w:id="1422" w:name="_Toc53924100"/>
      <w:bookmarkStart w:id="1423" w:name="_Ref79928971"/>
      <w:bookmarkStart w:id="1424" w:name="_Toc79936948"/>
      <w:bookmarkStart w:id="1425" w:name="_Ref80058612"/>
      <w:bookmarkStart w:id="1426" w:name="_Ref80059536"/>
      <w:bookmarkStart w:id="1427" w:name="_Ref80060229"/>
      <w:bookmarkStart w:id="1428" w:name="_Ref89055699"/>
      <w:bookmarkStart w:id="1429" w:name="_Ref121769618"/>
      <w:bookmarkStart w:id="1430" w:name="_Ref121770880"/>
      <w:bookmarkStart w:id="1431" w:name="_Ref121776441"/>
      <w:bookmarkStart w:id="1432" w:name="_Ref197227394"/>
      <w:bookmarkStart w:id="1433" w:name="_Ref197847036"/>
      <w:bookmarkStart w:id="1434" w:name="_Ref200813857"/>
      <w:bookmarkStart w:id="1435" w:name="_Toc200887481"/>
      <w:bookmarkStart w:id="1436" w:name="_Ref201477452"/>
      <w:bookmarkStart w:id="1437" w:name="_Ref201482349"/>
      <w:bookmarkStart w:id="1438" w:name="_Ref201484269"/>
      <w:bookmarkStart w:id="1439" w:name="_Ref205992948"/>
      <w:bookmarkStart w:id="1440" w:name="_Toc231187995"/>
      <w:bookmarkStart w:id="1441" w:name="_Ref231279678"/>
      <w:bookmarkStart w:id="1442" w:name="_Ref249159262"/>
      <w:bookmarkStart w:id="1443" w:name="_Ref249159772"/>
      <w:bookmarkEnd w:id="1409"/>
      <w:bookmarkEnd w:id="1410"/>
      <w:bookmarkEnd w:id="1411"/>
      <w:bookmarkEnd w:id="1412"/>
      <w:bookmarkEnd w:id="1413"/>
      <w:bookmarkEnd w:id="1414"/>
      <w:bookmarkEnd w:id="1415"/>
      <w:bookmarkEnd w:id="1416"/>
      <w:bookmarkEnd w:id="1417"/>
      <w:r w:rsidRPr="00E538A1">
        <w:rPr>
          <w:rFonts w:cs="Arial"/>
          <w:szCs w:val="20"/>
        </w:rPr>
        <w:t>Termination</w:t>
      </w:r>
      <w:bookmarkEnd w:id="1419"/>
      <w:bookmarkEnd w:id="1420"/>
      <w:r w:rsidRPr="00E538A1">
        <w:rPr>
          <w:rFonts w:cs="Arial"/>
          <w:szCs w:val="20"/>
        </w:rPr>
        <w:t xml:space="preserve"> </w:t>
      </w:r>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p>
    <w:p w14:paraId="5C0D45CD" w14:textId="77777777" w:rsidR="00E538A1" w:rsidRPr="00E538A1" w:rsidRDefault="00E538A1" w:rsidP="009D675B">
      <w:pPr>
        <w:pStyle w:val="Heading2"/>
        <w:numPr>
          <w:ilvl w:val="1"/>
          <w:numId w:val="102"/>
        </w:numPr>
        <w:ind w:left="709" w:hanging="709"/>
        <w:rPr>
          <w:rFonts w:cs="Arial"/>
          <w:szCs w:val="20"/>
        </w:rPr>
      </w:pPr>
      <w:bookmarkStart w:id="1444" w:name="_Toc53924098"/>
      <w:bookmarkStart w:id="1445" w:name="_Ref200770819"/>
      <w:bookmarkStart w:id="1446" w:name="_Ref201484512"/>
      <w:bookmarkStart w:id="1447" w:name="_Ref252812948"/>
      <w:bookmarkStart w:id="1448" w:name="_Ref260255777"/>
      <w:bookmarkStart w:id="1449" w:name="_Ref260309933"/>
      <w:bookmarkStart w:id="1450" w:name="_Ref260309934"/>
      <w:bookmarkStart w:id="1451" w:name="_Toc53924102"/>
      <w:r w:rsidRPr="00E538A1">
        <w:rPr>
          <w:rFonts w:cs="Arial"/>
          <w:szCs w:val="20"/>
        </w:rPr>
        <w:t xml:space="preserve">Termination: This Agreement shall continue in force in relation to each Member until it is terminated in accordance with this Clause </w:t>
      </w:r>
      <w:hyperlink w:anchor="_Termination" w:history="1">
        <w:r w:rsidRPr="00E538A1">
          <w:rPr>
            <w:rStyle w:val="Hyperlink"/>
            <w:rFonts w:cs="Arial"/>
            <w:b/>
            <w:color w:val="auto"/>
            <w:szCs w:val="20"/>
          </w:rPr>
          <w:fldChar w:fldCharType="begin"/>
        </w:r>
        <w:r w:rsidRPr="00E538A1">
          <w:rPr>
            <w:rFonts w:cs="Arial"/>
            <w:szCs w:val="20"/>
          </w:rPr>
          <w:instrText xml:space="preserve"> REF _Ref389755159 \w \h </w:instrText>
        </w:r>
        <w:r w:rsidRPr="00E538A1">
          <w:rPr>
            <w:rStyle w:val="Hyperlink"/>
            <w:rFonts w:cs="Arial"/>
            <w:b/>
            <w:color w:val="auto"/>
            <w:szCs w:val="20"/>
          </w:rPr>
          <w:instrText xml:space="preserve"> \* MERGEFORMAT </w:instrText>
        </w:r>
        <w:r w:rsidRPr="00E538A1">
          <w:rPr>
            <w:rStyle w:val="Hyperlink"/>
            <w:rFonts w:cs="Arial"/>
            <w:b/>
            <w:color w:val="auto"/>
            <w:szCs w:val="20"/>
          </w:rPr>
        </w:r>
        <w:r w:rsidRPr="00E538A1">
          <w:rPr>
            <w:rStyle w:val="Hyperlink"/>
            <w:rFonts w:cs="Arial"/>
            <w:b/>
            <w:color w:val="auto"/>
            <w:szCs w:val="20"/>
          </w:rPr>
          <w:fldChar w:fldCharType="separate"/>
        </w:r>
        <w:r w:rsidRPr="00E538A1">
          <w:rPr>
            <w:rFonts w:cs="Arial"/>
            <w:szCs w:val="20"/>
          </w:rPr>
          <w:t>13</w:t>
        </w:r>
        <w:r w:rsidRPr="00E538A1">
          <w:rPr>
            <w:rStyle w:val="Hyperlink"/>
            <w:rFonts w:cs="Arial"/>
            <w:b/>
            <w:color w:val="auto"/>
            <w:szCs w:val="20"/>
          </w:rPr>
          <w:fldChar w:fldCharType="end"/>
        </w:r>
      </w:hyperlink>
      <w:r w:rsidRPr="00E538A1">
        <w:rPr>
          <w:rFonts w:cs="Arial"/>
          <w:szCs w:val="20"/>
        </w:rPr>
        <w:t xml:space="preserve"> in respect to that Member. This Agreement shall remain in force and effect in respect to all other Members and the Customer pursuant to Clause </w:t>
      </w:r>
      <w:r w:rsidRPr="00E538A1">
        <w:rPr>
          <w:rFonts w:cs="Arial"/>
          <w:szCs w:val="20"/>
        </w:rPr>
        <w:fldChar w:fldCharType="begin"/>
      </w:r>
      <w:r w:rsidRPr="00E538A1">
        <w:rPr>
          <w:rFonts w:cs="Arial"/>
          <w:szCs w:val="20"/>
        </w:rPr>
        <w:instrText xml:space="preserve"> REF _Ref223433791 \r \h  \* MERGEFORMAT </w:instrText>
      </w:r>
      <w:r w:rsidRPr="00E538A1">
        <w:rPr>
          <w:rFonts w:cs="Arial"/>
          <w:szCs w:val="20"/>
        </w:rPr>
      </w:r>
      <w:r w:rsidRPr="00E538A1">
        <w:rPr>
          <w:rFonts w:cs="Arial"/>
          <w:szCs w:val="20"/>
        </w:rPr>
        <w:fldChar w:fldCharType="separate"/>
      </w:r>
      <w:r w:rsidRPr="00E538A1">
        <w:rPr>
          <w:rFonts w:cs="Arial"/>
          <w:szCs w:val="20"/>
        </w:rPr>
        <w:t>14.3(a)</w:t>
      </w:r>
      <w:r w:rsidRPr="00E538A1">
        <w:rPr>
          <w:rFonts w:cs="Arial"/>
          <w:szCs w:val="20"/>
        </w:rPr>
        <w:fldChar w:fldCharType="end"/>
      </w:r>
      <w:r w:rsidRPr="00E538A1">
        <w:rPr>
          <w:rFonts w:cs="Arial"/>
          <w:szCs w:val="20"/>
        </w:rPr>
        <w:t xml:space="preserve"> (Remaining Members).  </w:t>
      </w:r>
    </w:p>
    <w:p w14:paraId="043BC2DC" w14:textId="49A8BEA2" w:rsidR="00E538A1" w:rsidRPr="00E538A1" w:rsidRDefault="00E538A1" w:rsidP="009D675B">
      <w:pPr>
        <w:pStyle w:val="Heading2"/>
        <w:numPr>
          <w:ilvl w:val="1"/>
          <w:numId w:val="102"/>
        </w:numPr>
        <w:ind w:left="709" w:hanging="709"/>
        <w:rPr>
          <w:rFonts w:cs="Arial"/>
          <w:szCs w:val="20"/>
        </w:rPr>
      </w:pPr>
      <w:bookmarkStart w:id="1452" w:name="_Ref219266515"/>
      <w:bookmarkStart w:id="1453" w:name="_Ref390076236"/>
      <w:bookmarkStart w:id="1454" w:name="_Ref392074760"/>
      <w:r w:rsidRPr="00E538A1">
        <w:rPr>
          <w:rFonts w:cs="Arial"/>
          <w:szCs w:val="20"/>
        </w:rPr>
        <w:t xml:space="preserve">Voluntary Termination: The Customer may terminate all or any part of this Agreement in respect to any or all </w:t>
      </w:r>
      <w:hyperlink w:anchor="_Termination" w:history="1">
        <w:r w:rsidRPr="00E538A1">
          <w:rPr>
            <w:rStyle w:val="Hyperlink"/>
            <w:rFonts w:cs="Arial"/>
            <w:b/>
            <w:color w:val="auto"/>
            <w:szCs w:val="20"/>
          </w:rPr>
          <w:t>Consortium</w:t>
        </w:r>
      </w:hyperlink>
      <w:r w:rsidRPr="00E538A1">
        <w:rPr>
          <w:rFonts w:cs="Arial"/>
          <w:szCs w:val="20"/>
        </w:rPr>
        <w:t xml:space="preserve"> Members on 20 Busines</w:t>
      </w:r>
      <w:r w:rsidR="000D476B">
        <w:rPr>
          <w:rFonts w:cs="Arial"/>
          <w:szCs w:val="20"/>
        </w:rPr>
        <w:t>s</w:t>
      </w:r>
      <w:r w:rsidRPr="00E538A1">
        <w:rPr>
          <w:rFonts w:cs="Arial"/>
          <w:szCs w:val="20"/>
        </w:rPr>
        <w:t xml:space="preserve"> Days' written notice to the specific </w:t>
      </w:r>
      <w:hyperlink w:anchor="_Termination" w:history="1">
        <w:r w:rsidRPr="00E538A1">
          <w:rPr>
            <w:rStyle w:val="Hyperlink"/>
            <w:rFonts w:cs="Arial"/>
            <w:b/>
            <w:color w:val="auto"/>
            <w:szCs w:val="20"/>
          </w:rPr>
          <w:t>Consortium</w:t>
        </w:r>
      </w:hyperlink>
      <w:r w:rsidRPr="00E538A1">
        <w:rPr>
          <w:rFonts w:cs="Arial"/>
          <w:szCs w:val="20"/>
        </w:rPr>
        <w:t xml:space="preserve"> Member or </w:t>
      </w:r>
      <w:hyperlink w:anchor="_Termination" w:history="1">
        <w:r w:rsidRPr="00E538A1">
          <w:rPr>
            <w:rStyle w:val="Hyperlink"/>
            <w:rFonts w:cs="Arial"/>
            <w:b/>
            <w:color w:val="auto"/>
            <w:szCs w:val="20"/>
          </w:rPr>
          <w:t>Consortium</w:t>
        </w:r>
      </w:hyperlink>
      <w:r w:rsidRPr="00E538A1">
        <w:rPr>
          <w:rFonts w:cs="Arial"/>
          <w:szCs w:val="20"/>
        </w:rPr>
        <w:t xml:space="preserve"> Members at any time.</w:t>
      </w:r>
      <w:bookmarkEnd w:id="1452"/>
      <w:bookmarkEnd w:id="1453"/>
      <w:r w:rsidRPr="00E538A1">
        <w:rPr>
          <w:rFonts w:cs="Arial"/>
          <w:szCs w:val="20"/>
        </w:rPr>
        <w:t xml:space="preserve"> </w:t>
      </w:r>
      <w:bookmarkEnd w:id="1454"/>
    </w:p>
    <w:p w14:paraId="03AF2F4B" w14:textId="77777777" w:rsidR="00E538A1" w:rsidRPr="00E538A1" w:rsidRDefault="00E538A1" w:rsidP="009D675B">
      <w:pPr>
        <w:pStyle w:val="Heading2"/>
        <w:numPr>
          <w:ilvl w:val="1"/>
          <w:numId w:val="102"/>
        </w:numPr>
        <w:ind w:left="709" w:hanging="709"/>
        <w:rPr>
          <w:rFonts w:cs="Arial"/>
          <w:szCs w:val="20"/>
        </w:rPr>
      </w:pPr>
      <w:bookmarkStart w:id="1455" w:name="_Ref389759363"/>
      <w:r w:rsidRPr="00E538A1">
        <w:rPr>
          <w:rFonts w:cs="Arial"/>
          <w:szCs w:val="20"/>
        </w:rPr>
        <w:t xml:space="preserve">Breach: The Customer may terminate this Agreement in respect to a </w:t>
      </w:r>
      <w:proofErr w:type="gramStart"/>
      <w:r w:rsidRPr="00E538A1">
        <w:rPr>
          <w:rFonts w:cs="Arial"/>
          <w:szCs w:val="20"/>
        </w:rPr>
        <w:t>Member</w:t>
      </w:r>
      <w:proofErr w:type="gramEnd"/>
      <w:r w:rsidRPr="00E538A1">
        <w:rPr>
          <w:rFonts w:cs="Arial"/>
          <w:szCs w:val="20"/>
        </w:rPr>
        <w:t xml:space="preserve"> or Members (the Breaching Member) immediately on written notice to the Breaching Member if:</w:t>
      </w:r>
      <w:bookmarkEnd w:id="1455"/>
    </w:p>
    <w:p w14:paraId="72B5FAA7"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 xml:space="preserve">the Breaching Member in question commits a material breach of this </w:t>
      </w:r>
      <w:proofErr w:type="gramStart"/>
      <w:r w:rsidRPr="00E538A1">
        <w:rPr>
          <w:rFonts w:cs="Arial"/>
          <w:szCs w:val="20"/>
        </w:rPr>
        <w:t>Agreement</w:t>
      </w:r>
      <w:proofErr w:type="gramEnd"/>
      <w:r w:rsidRPr="00E538A1">
        <w:rPr>
          <w:rFonts w:cs="Arial"/>
          <w:szCs w:val="20"/>
        </w:rPr>
        <w:t xml:space="preserve"> which is not capable of remedy or, in the case of a breach which is capable of remedy, is not remedied within 10 Business Days of service upon the Breaching Member of a notice specifying the breach and requiring it to be remedied; or </w:t>
      </w:r>
    </w:p>
    <w:p w14:paraId="4A5DD187" w14:textId="6F20AB5D"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 xml:space="preserve">a right has arisen for the Customer to terminate the Breaching </w:t>
      </w:r>
      <w:r w:rsidR="000D476B">
        <w:rPr>
          <w:rFonts w:cs="Arial"/>
          <w:szCs w:val="20"/>
        </w:rPr>
        <w:t>M</w:t>
      </w:r>
      <w:r w:rsidRPr="00E538A1">
        <w:rPr>
          <w:rFonts w:cs="Arial"/>
          <w:szCs w:val="20"/>
        </w:rPr>
        <w:t>ember's Services Agreement in accordance with its terms, regardless of whether the Customer exercises that right.</w:t>
      </w:r>
    </w:p>
    <w:p w14:paraId="0C3C0170"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Automatic termination: Unless terminated earlier pursuant to its terms, this Agreement shall terminate automatically:</w:t>
      </w:r>
    </w:p>
    <w:p w14:paraId="750FCD8C" w14:textId="62DA259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 xml:space="preserve">in respect of a Member, on expiry or termination of that </w:t>
      </w:r>
      <w:r w:rsidR="000D476B">
        <w:rPr>
          <w:rFonts w:cs="Arial"/>
          <w:szCs w:val="20"/>
        </w:rPr>
        <w:t>M</w:t>
      </w:r>
      <w:r w:rsidRPr="00E538A1">
        <w:rPr>
          <w:rFonts w:cs="Arial"/>
          <w:szCs w:val="20"/>
        </w:rPr>
        <w:t>ember's Services Agreement; and</w:t>
      </w:r>
    </w:p>
    <w:p w14:paraId="7A4D65F9" w14:textId="03346104"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in its entirety on expiry or termination of all M</w:t>
      </w:r>
      <w:r w:rsidR="000D476B">
        <w:rPr>
          <w:rFonts w:cs="Arial"/>
          <w:szCs w:val="20"/>
        </w:rPr>
        <w:t>e</w:t>
      </w:r>
      <w:r w:rsidRPr="00E538A1">
        <w:rPr>
          <w:rFonts w:cs="Arial"/>
          <w:szCs w:val="20"/>
        </w:rPr>
        <w:t>mbers' Services Agreements.</w:t>
      </w:r>
    </w:p>
    <w:p w14:paraId="064DF3E0"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Not used. </w:t>
      </w:r>
    </w:p>
    <w:p w14:paraId="779199EF" w14:textId="77777777" w:rsidR="00E538A1" w:rsidRPr="00E538A1" w:rsidRDefault="00E538A1" w:rsidP="009D675B">
      <w:pPr>
        <w:pStyle w:val="Heading1"/>
        <w:numPr>
          <w:ilvl w:val="0"/>
          <w:numId w:val="102"/>
        </w:numPr>
        <w:ind w:left="709" w:hanging="709"/>
        <w:rPr>
          <w:rFonts w:cs="Arial"/>
          <w:szCs w:val="20"/>
        </w:rPr>
      </w:pPr>
      <w:bookmarkStart w:id="1456" w:name="_Toc227744294"/>
      <w:bookmarkStart w:id="1457" w:name="_Ref389759270"/>
      <w:bookmarkStart w:id="1458" w:name="_Ref390077355"/>
      <w:bookmarkStart w:id="1459" w:name="_Ref390102393"/>
      <w:bookmarkStart w:id="1460" w:name="_Toc57263867"/>
      <w:bookmarkStart w:id="1461" w:name="_Ref91003108"/>
      <w:r w:rsidRPr="00E538A1">
        <w:rPr>
          <w:rFonts w:cs="Arial"/>
          <w:szCs w:val="20"/>
        </w:rPr>
        <w:lastRenderedPageBreak/>
        <w:t>Consequences of termination</w:t>
      </w:r>
      <w:bookmarkEnd w:id="1456"/>
      <w:bookmarkEnd w:id="1457"/>
      <w:bookmarkEnd w:id="1458"/>
      <w:bookmarkEnd w:id="1459"/>
      <w:bookmarkEnd w:id="1460"/>
      <w:bookmarkEnd w:id="1461"/>
    </w:p>
    <w:p w14:paraId="27CB638E" w14:textId="77777777" w:rsidR="00E538A1" w:rsidRPr="00E538A1" w:rsidRDefault="00E538A1" w:rsidP="009D675B">
      <w:pPr>
        <w:pStyle w:val="Heading2"/>
        <w:numPr>
          <w:ilvl w:val="1"/>
          <w:numId w:val="102"/>
        </w:numPr>
        <w:ind w:left="709" w:hanging="709"/>
        <w:rPr>
          <w:rFonts w:cs="Arial"/>
          <w:szCs w:val="20"/>
        </w:rPr>
      </w:pPr>
      <w:bookmarkStart w:id="1462" w:name="_Toc53924113"/>
      <w:bookmarkStart w:id="1463" w:name="_Ref222730406"/>
      <w:r w:rsidRPr="00E538A1">
        <w:rPr>
          <w:rFonts w:cs="Arial"/>
          <w:szCs w:val="20"/>
        </w:rPr>
        <w:t xml:space="preserve">Termination:  Notwithstanding any other provision of this Agreement, on service of a notice of termination, this Agreement shall only terminate in accordance with the provisions of this Clause </w:t>
      </w:r>
      <w:r w:rsidRPr="00E538A1">
        <w:rPr>
          <w:rFonts w:cs="Arial"/>
          <w:szCs w:val="20"/>
        </w:rPr>
        <w:fldChar w:fldCharType="begin"/>
      </w:r>
      <w:r w:rsidRPr="00E538A1">
        <w:rPr>
          <w:rFonts w:cs="Arial"/>
          <w:szCs w:val="20"/>
        </w:rPr>
        <w:instrText xml:space="preserve"> REF _Ref390077355 \w \h  \* MERGEFORMAT </w:instrText>
      </w:r>
      <w:r w:rsidRPr="00E538A1">
        <w:rPr>
          <w:rFonts w:cs="Arial"/>
          <w:szCs w:val="20"/>
        </w:rPr>
      </w:r>
      <w:r w:rsidRPr="00E538A1">
        <w:rPr>
          <w:rFonts w:cs="Arial"/>
          <w:szCs w:val="20"/>
        </w:rPr>
        <w:fldChar w:fldCharType="separate"/>
      </w:r>
      <w:r w:rsidRPr="00E538A1">
        <w:rPr>
          <w:rFonts w:cs="Arial"/>
          <w:szCs w:val="20"/>
        </w:rPr>
        <w:t>14</w:t>
      </w:r>
      <w:r w:rsidRPr="00E538A1">
        <w:rPr>
          <w:rFonts w:cs="Arial"/>
          <w:szCs w:val="20"/>
        </w:rPr>
        <w:fldChar w:fldCharType="end"/>
      </w:r>
      <w:r w:rsidRPr="00E538A1">
        <w:rPr>
          <w:rFonts w:cs="Arial"/>
          <w:szCs w:val="20"/>
        </w:rPr>
        <w:t>.</w:t>
      </w:r>
      <w:bookmarkEnd w:id="1462"/>
    </w:p>
    <w:p w14:paraId="40B710A2"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Exiting Members: On termination of this Agreement in accordance with Clause </w:t>
      </w:r>
      <w:hyperlink w:anchor="_Termination" w:history="1">
        <w:r w:rsidRPr="00E538A1">
          <w:rPr>
            <w:rStyle w:val="Hyperlink"/>
            <w:rFonts w:cs="Arial"/>
            <w:b/>
            <w:color w:val="auto"/>
            <w:szCs w:val="20"/>
          </w:rPr>
          <w:fldChar w:fldCharType="begin"/>
        </w:r>
        <w:r w:rsidRPr="00E538A1">
          <w:rPr>
            <w:rFonts w:cs="Arial"/>
            <w:szCs w:val="20"/>
          </w:rPr>
          <w:instrText xml:space="preserve"> REF _Ref389755159 \w \h </w:instrText>
        </w:r>
        <w:r w:rsidRPr="00E538A1">
          <w:rPr>
            <w:rStyle w:val="Hyperlink"/>
            <w:rFonts w:cs="Arial"/>
            <w:b/>
            <w:color w:val="auto"/>
            <w:szCs w:val="20"/>
          </w:rPr>
          <w:instrText xml:space="preserve"> \* MERGEFORMAT </w:instrText>
        </w:r>
        <w:r w:rsidRPr="00E538A1">
          <w:rPr>
            <w:rStyle w:val="Hyperlink"/>
            <w:rFonts w:cs="Arial"/>
            <w:b/>
            <w:color w:val="auto"/>
            <w:szCs w:val="20"/>
          </w:rPr>
        </w:r>
        <w:r w:rsidRPr="00E538A1">
          <w:rPr>
            <w:rStyle w:val="Hyperlink"/>
            <w:rFonts w:cs="Arial"/>
            <w:b/>
            <w:color w:val="auto"/>
            <w:szCs w:val="20"/>
          </w:rPr>
          <w:fldChar w:fldCharType="separate"/>
        </w:r>
        <w:r w:rsidRPr="00E538A1">
          <w:rPr>
            <w:rFonts w:cs="Arial"/>
            <w:szCs w:val="20"/>
          </w:rPr>
          <w:t>13</w:t>
        </w:r>
        <w:r w:rsidRPr="00E538A1">
          <w:rPr>
            <w:rStyle w:val="Hyperlink"/>
            <w:rFonts w:cs="Arial"/>
            <w:b/>
            <w:color w:val="auto"/>
            <w:szCs w:val="20"/>
          </w:rPr>
          <w:fldChar w:fldCharType="end"/>
        </w:r>
      </w:hyperlink>
      <w:r w:rsidRPr="00E538A1">
        <w:rPr>
          <w:rFonts w:cs="Arial"/>
          <w:szCs w:val="20"/>
        </w:rPr>
        <w:t xml:space="preserve"> each Member in respect to which it is terminated (an </w:t>
      </w:r>
      <w:r w:rsidRPr="00E538A1">
        <w:rPr>
          <w:rFonts w:cs="Arial"/>
          <w:bCs w:val="0"/>
          <w:szCs w:val="20"/>
        </w:rPr>
        <w:t>Exiting Member</w:t>
      </w:r>
      <w:r w:rsidRPr="00E538A1">
        <w:rPr>
          <w:rFonts w:cs="Arial"/>
          <w:szCs w:val="20"/>
        </w:rPr>
        <w:t>) shall:</w:t>
      </w:r>
      <w:bookmarkEnd w:id="1463"/>
    </w:p>
    <w:p w14:paraId="4A05ECB8"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bookmarkStart w:id="1464" w:name="_Ref222806864"/>
      <w:bookmarkStart w:id="1465" w:name="_Ref219266656"/>
      <w:r w:rsidRPr="00E538A1">
        <w:rPr>
          <w:rFonts w:cs="Arial"/>
          <w:szCs w:val="20"/>
        </w:rPr>
        <w:t xml:space="preserve">immediately cease to be a </w:t>
      </w:r>
      <w:proofErr w:type="gramStart"/>
      <w:r w:rsidRPr="00E538A1">
        <w:rPr>
          <w:rFonts w:cs="Arial"/>
          <w:szCs w:val="20"/>
        </w:rPr>
        <w:t>Member</w:t>
      </w:r>
      <w:proofErr w:type="gramEnd"/>
      <w:r w:rsidRPr="00E538A1">
        <w:rPr>
          <w:rFonts w:cs="Arial"/>
          <w:szCs w:val="20"/>
        </w:rPr>
        <w:t>;</w:t>
      </w:r>
      <w:bookmarkEnd w:id="1464"/>
      <w:r w:rsidRPr="00E538A1">
        <w:rPr>
          <w:rFonts w:cs="Arial"/>
          <w:szCs w:val="20"/>
        </w:rPr>
        <w:t xml:space="preserve"> and</w:t>
      </w:r>
    </w:p>
    <w:p w14:paraId="60572ED3"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bookmarkStart w:id="1466" w:name="_Ref233457957"/>
      <w:r w:rsidRPr="00E538A1">
        <w:rPr>
          <w:rFonts w:cs="Arial"/>
          <w:szCs w:val="20"/>
        </w:rPr>
        <w:t>save as otherwise permitted under its Services Agreement:</w:t>
      </w:r>
    </w:p>
    <w:p w14:paraId="0BAC48A5" w14:textId="7ACCEF56" w:rsidR="00E538A1" w:rsidRPr="00E538A1" w:rsidRDefault="00E538A1" w:rsidP="009D675B">
      <w:pPr>
        <w:pStyle w:val="Heading5"/>
        <w:numPr>
          <w:ilvl w:val="4"/>
          <w:numId w:val="102"/>
        </w:numPr>
        <w:tabs>
          <w:tab w:val="clear" w:pos="2160"/>
          <w:tab w:val="num" w:pos="3119"/>
        </w:tabs>
        <w:ind w:left="3119" w:hanging="709"/>
        <w:rPr>
          <w:rFonts w:cs="Arial"/>
          <w:szCs w:val="20"/>
        </w:rPr>
      </w:pPr>
      <w:r w:rsidRPr="00E538A1">
        <w:rPr>
          <w:rFonts w:cs="Arial"/>
          <w:szCs w:val="20"/>
        </w:rPr>
        <w:t xml:space="preserve">upon request of the Party that has provided any Intellectual Property Rights or Confidential Information (the </w:t>
      </w:r>
      <w:r w:rsidRPr="00E538A1">
        <w:rPr>
          <w:rFonts w:cs="Arial"/>
          <w:b/>
          <w:szCs w:val="20"/>
        </w:rPr>
        <w:t>Provider</w:t>
      </w:r>
      <w:r w:rsidRPr="00E538A1">
        <w:rPr>
          <w:rFonts w:cs="Arial"/>
          <w:szCs w:val="20"/>
        </w:rPr>
        <w:t>), immediately return to the Provider, as applicable, or irrevocably destroy or delete (at the Pr</w:t>
      </w:r>
      <w:r w:rsidR="000D476B">
        <w:rPr>
          <w:rFonts w:cs="Arial"/>
          <w:szCs w:val="20"/>
        </w:rPr>
        <w:t>o</w:t>
      </w:r>
      <w:r w:rsidRPr="00E538A1">
        <w:rPr>
          <w:rFonts w:cs="Arial"/>
          <w:szCs w:val="20"/>
        </w:rPr>
        <w:t>vider's sole option) all Intellectual Property Rights and Confidential Information and all information, documentation and other materials relating to the Intellectual Property Rights and Confidential Information belonging to the Provider; and</w:t>
      </w:r>
      <w:bookmarkEnd w:id="1465"/>
      <w:bookmarkEnd w:id="1466"/>
    </w:p>
    <w:p w14:paraId="6B6B9C4F" w14:textId="77777777" w:rsidR="00E538A1" w:rsidRPr="00E538A1" w:rsidRDefault="00E538A1" w:rsidP="009D675B">
      <w:pPr>
        <w:pStyle w:val="Heading5"/>
        <w:numPr>
          <w:ilvl w:val="4"/>
          <w:numId w:val="102"/>
        </w:numPr>
        <w:tabs>
          <w:tab w:val="clear" w:pos="2160"/>
          <w:tab w:val="num" w:pos="3119"/>
        </w:tabs>
        <w:ind w:left="3119" w:hanging="709"/>
        <w:rPr>
          <w:rFonts w:cs="Arial"/>
          <w:szCs w:val="20"/>
        </w:rPr>
      </w:pPr>
      <w:r w:rsidRPr="00E538A1">
        <w:rPr>
          <w:rFonts w:cs="Arial"/>
          <w:szCs w:val="20"/>
        </w:rPr>
        <w:t>immediately cease using or otherwise dealing with the Intellectual Property Rights and Confidential Information belonging to the Customer or any other Member (other than the Member who is the Exiting Member).</w:t>
      </w:r>
    </w:p>
    <w:p w14:paraId="1A586FA6" w14:textId="77777777" w:rsidR="00E538A1" w:rsidRPr="00E538A1" w:rsidRDefault="00E538A1" w:rsidP="009D675B">
      <w:pPr>
        <w:pStyle w:val="Heading2"/>
        <w:numPr>
          <w:ilvl w:val="1"/>
          <w:numId w:val="102"/>
        </w:numPr>
        <w:ind w:left="709" w:hanging="709"/>
        <w:rPr>
          <w:rFonts w:cs="Arial"/>
          <w:szCs w:val="20"/>
        </w:rPr>
      </w:pPr>
      <w:bookmarkStart w:id="1467" w:name="_Ref390098855"/>
      <w:r w:rsidRPr="00E538A1">
        <w:rPr>
          <w:rFonts w:cs="Arial"/>
          <w:szCs w:val="20"/>
        </w:rPr>
        <w:t>Remaining Members: Upon termination of this Agreement in respect to an Exiting Member:</w:t>
      </w:r>
      <w:bookmarkEnd w:id="1467"/>
    </w:p>
    <w:p w14:paraId="4DBFEAFA"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bookmarkStart w:id="1468" w:name="_Ref223433791"/>
      <w:r w:rsidRPr="00E538A1">
        <w:rPr>
          <w:rFonts w:cs="Arial"/>
          <w:szCs w:val="20"/>
        </w:rPr>
        <w:t xml:space="preserve">this Agreement shall remain in full force and effect in respect to all Members who are not Exiting Members (the </w:t>
      </w:r>
      <w:r w:rsidRPr="00E538A1">
        <w:rPr>
          <w:rFonts w:cs="Arial"/>
          <w:b/>
          <w:bCs w:val="0"/>
          <w:szCs w:val="20"/>
        </w:rPr>
        <w:t>Remaining Members</w:t>
      </w:r>
      <w:r w:rsidRPr="00E538A1">
        <w:rPr>
          <w:rFonts w:cs="Arial"/>
          <w:szCs w:val="20"/>
        </w:rPr>
        <w:t>); and</w:t>
      </w:r>
      <w:bookmarkEnd w:id="1468"/>
    </w:p>
    <w:p w14:paraId="56A65116"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 xml:space="preserve">subject to Clause </w:t>
      </w:r>
      <w:r w:rsidRPr="00E538A1">
        <w:rPr>
          <w:rFonts w:cs="Arial"/>
          <w:szCs w:val="20"/>
        </w:rPr>
        <w:fldChar w:fldCharType="begin"/>
      </w:r>
      <w:r w:rsidRPr="00E538A1">
        <w:rPr>
          <w:rFonts w:cs="Arial"/>
          <w:szCs w:val="20"/>
        </w:rPr>
        <w:instrText xml:space="preserve"> REF _Ref390102325 \w \h  \* MERGEFORMAT </w:instrText>
      </w:r>
      <w:r w:rsidRPr="00E538A1">
        <w:rPr>
          <w:rFonts w:cs="Arial"/>
          <w:szCs w:val="20"/>
        </w:rPr>
      </w:r>
      <w:r w:rsidRPr="00E538A1">
        <w:rPr>
          <w:rFonts w:cs="Arial"/>
          <w:szCs w:val="20"/>
        </w:rPr>
        <w:fldChar w:fldCharType="separate"/>
      </w:r>
      <w:r w:rsidRPr="00E538A1">
        <w:rPr>
          <w:rFonts w:cs="Arial"/>
          <w:szCs w:val="20"/>
        </w:rPr>
        <w:t>14.8</w:t>
      </w:r>
      <w:r w:rsidRPr="00E538A1">
        <w:rPr>
          <w:rFonts w:cs="Arial"/>
          <w:szCs w:val="20"/>
        </w:rPr>
        <w:fldChar w:fldCharType="end"/>
      </w:r>
      <w:r w:rsidRPr="00E538A1">
        <w:rPr>
          <w:rFonts w:cs="Arial"/>
          <w:szCs w:val="20"/>
        </w:rPr>
        <w:t xml:space="preserve"> (Continuing Obligations), the Remaining Members shall cease to owe any further rights or obligations to the Exiting Member, and subject to Clauses </w:t>
      </w:r>
      <w:r w:rsidRPr="00E538A1">
        <w:rPr>
          <w:rFonts w:cs="Arial"/>
          <w:szCs w:val="20"/>
        </w:rPr>
        <w:fldChar w:fldCharType="begin"/>
      </w:r>
      <w:r w:rsidRPr="00E538A1">
        <w:rPr>
          <w:rFonts w:cs="Arial"/>
          <w:szCs w:val="20"/>
        </w:rPr>
        <w:instrText xml:space="preserve"> REF _Ref222730406 \r \h  \* MERGEFORMAT </w:instrText>
      </w:r>
      <w:r w:rsidRPr="00E538A1">
        <w:rPr>
          <w:rFonts w:cs="Arial"/>
          <w:szCs w:val="20"/>
        </w:rPr>
      </w:r>
      <w:r w:rsidRPr="00E538A1">
        <w:rPr>
          <w:rFonts w:cs="Arial"/>
          <w:szCs w:val="20"/>
        </w:rPr>
        <w:fldChar w:fldCharType="separate"/>
      </w:r>
      <w:r w:rsidRPr="00E538A1">
        <w:rPr>
          <w:rFonts w:cs="Arial"/>
          <w:szCs w:val="20"/>
        </w:rPr>
        <w:t>14.1</w:t>
      </w:r>
      <w:r w:rsidRPr="00E538A1">
        <w:rPr>
          <w:rFonts w:cs="Arial"/>
          <w:szCs w:val="20"/>
        </w:rPr>
        <w:fldChar w:fldCharType="end"/>
      </w:r>
      <w:r w:rsidRPr="00E538A1">
        <w:rPr>
          <w:rFonts w:cs="Arial"/>
          <w:szCs w:val="20"/>
        </w:rPr>
        <w:t xml:space="preserve"> (Termination) and </w:t>
      </w:r>
      <w:r w:rsidRPr="00E538A1">
        <w:rPr>
          <w:rFonts w:cs="Arial"/>
          <w:szCs w:val="20"/>
        </w:rPr>
        <w:fldChar w:fldCharType="begin"/>
      </w:r>
      <w:r w:rsidRPr="00E538A1">
        <w:rPr>
          <w:rFonts w:cs="Arial"/>
          <w:szCs w:val="20"/>
        </w:rPr>
        <w:instrText xml:space="preserve"> REF _Ref390102325 \w \h  \* MERGEFORMAT </w:instrText>
      </w:r>
      <w:r w:rsidRPr="00E538A1">
        <w:rPr>
          <w:rFonts w:cs="Arial"/>
          <w:szCs w:val="20"/>
        </w:rPr>
      </w:r>
      <w:r w:rsidRPr="00E538A1">
        <w:rPr>
          <w:rFonts w:cs="Arial"/>
          <w:szCs w:val="20"/>
        </w:rPr>
        <w:fldChar w:fldCharType="separate"/>
      </w:r>
      <w:r w:rsidRPr="00E538A1">
        <w:rPr>
          <w:rFonts w:cs="Arial"/>
          <w:szCs w:val="20"/>
        </w:rPr>
        <w:t>14.8</w:t>
      </w:r>
      <w:r w:rsidRPr="00E538A1">
        <w:rPr>
          <w:rFonts w:cs="Arial"/>
          <w:szCs w:val="20"/>
        </w:rPr>
        <w:fldChar w:fldCharType="end"/>
      </w:r>
      <w:r w:rsidRPr="00E538A1">
        <w:rPr>
          <w:rFonts w:cs="Arial"/>
          <w:szCs w:val="20"/>
        </w:rPr>
        <w:t xml:space="preserve"> (Continuing Obligations), the Exiting Member shall cease to owe any further rights or obligations to the Remaining Members.</w:t>
      </w:r>
    </w:p>
    <w:p w14:paraId="458191C8" w14:textId="7474F5FF" w:rsidR="00E538A1" w:rsidRPr="00E538A1" w:rsidRDefault="00E538A1" w:rsidP="009D675B">
      <w:pPr>
        <w:pStyle w:val="Heading2"/>
        <w:numPr>
          <w:ilvl w:val="1"/>
          <w:numId w:val="102"/>
        </w:numPr>
        <w:ind w:left="709" w:hanging="709"/>
        <w:rPr>
          <w:rFonts w:cs="Arial"/>
          <w:szCs w:val="20"/>
        </w:rPr>
      </w:pPr>
      <w:bookmarkStart w:id="1469" w:name="_Toc53924111"/>
      <w:bookmarkEnd w:id="1444"/>
      <w:bookmarkEnd w:id="1445"/>
      <w:bookmarkEnd w:id="1446"/>
      <w:bookmarkEnd w:id="1447"/>
      <w:bookmarkEnd w:id="1448"/>
      <w:bookmarkEnd w:id="1449"/>
      <w:bookmarkEnd w:id="1450"/>
      <w:bookmarkEnd w:id="1451"/>
      <w:r w:rsidRPr="00E538A1">
        <w:rPr>
          <w:rFonts w:cs="Arial"/>
          <w:szCs w:val="20"/>
        </w:rPr>
        <w:t>Notification: Each Member shall notify Customer in writing of the occurrence, and details, of any material breach of this Agreement by it and of any event or circumstance which is likely, with the passage of time or otherwise, to constitute or give rise to a material breach of this Agreement, in either case promptly on that Member becoming aware of its occurrence.</w:t>
      </w:r>
    </w:p>
    <w:bookmarkEnd w:id="1469"/>
    <w:p w14:paraId="16C288DD" w14:textId="460E1B97"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Breach of Agreement: Notwithstanding whether Customer exercises its right to terminate this Agreement, the occurrence of any of the events set out in Clause </w:t>
      </w:r>
      <w:r w:rsidRPr="00E538A1">
        <w:rPr>
          <w:rFonts w:cs="Arial"/>
          <w:szCs w:val="20"/>
        </w:rPr>
        <w:fldChar w:fldCharType="begin"/>
      </w:r>
      <w:r w:rsidRPr="00E538A1">
        <w:rPr>
          <w:rFonts w:cs="Arial"/>
          <w:szCs w:val="20"/>
        </w:rPr>
        <w:instrText xml:space="preserve"> REF _Ref389759363 \w \h  \* MERGEFORMAT </w:instrText>
      </w:r>
      <w:r w:rsidRPr="00E538A1">
        <w:rPr>
          <w:rFonts w:cs="Arial"/>
          <w:szCs w:val="20"/>
        </w:rPr>
      </w:r>
      <w:r w:rsidRPr="00E538A1">
        <w:rPr>
          <w:rFonts w:cs="Arial"/>
          <w:szCs w:val="20"/>
        </w:rPr>
        <w:fldChar w:fldCharType="separate"/>
      </w:r>
      <w:r w:rsidRPr="00E538A1">
        <w:rPr>
          <w:rFonts w:cs="Arial"/>
          <w:szCs w:val="20"/>
        </w:rPr>
        <w:t>13.3</w:t>
      </w:r>
      <w:r w:rsidRPr="00E538A1">
        <w:rPr>
          <w:rFonts w:cs="Arial"/>
          <w:szCs w:val="20"/>
        </w:rPr>
        <w:fldChar w:fldCharType="end"/>
      </w:r>
      <w:r w:rsidRPr="00E538A1">
        <w:rPr>
          <w:rFonts w:cs="Arial"/>
          <w:szCs w:val="20"/>
        </w:rPr>
        <w:t xml:space="preserve"> (Breach) shall constitute breach of this Agreement, and shall entitle Customer to exercise any right or remedy it may have in connection therewith under this Agreement, at law or in equity.</w:t>
      </w:r>
    </w:p>
    <w:p w14:paraId="40094CA5" w14:textId="264555AF" w:rsidR="00E538A1" w:rsidRPr="00E538A1" w:rsidRDefault="00E538A1" w:rsidP="009D675B">
      <w:pPr>
        <w:pStyle w:val="Heading2"/>
        <w:numPr>
          <w:ilvl w:val="1"/>
          <w:numId w:val="102"/>
        </w:numPr>
        <w:ind w:left="709" w:hanging="709"/>
        <w:rPr>
          <w:rFonts w:cs="Arial"/>
          <w:szCs w:val="20"/>
        </w:rPr>
      </w:pPr>
      <w:bookmarkStart w:id="1470" w:name="_Toc53924114"/>
      <w:r w:rsidRPr="00E538A1">
        <w:rPr>
          <w:rFonts w:cs="Arial"/>
          <w:szCs w:val="20"/>
        </w:rPr>
        <w:t>Continued effect – no waiver: Notwithstanding any breach of this Agreement by any Party, and without prejudice to any other rights which the other Parties may have in relation to it, the other Parties may elect to continue to treat this Agreement as being in full force and effect and to enforce its rights under this Agreement.  The failure of any Party to exercise any right under this Agreement, including any right to terminate this Agreement and any right to claim damages, shall not be deemed a waiver of such right for any continuing or subsequent breach.</w:t>
      </w:r>
      <w:bookmarkEnd w:id="1470"/>
    </w:p>
    <w:p w14:paraId="3FCE1EEC" w14:textId="4CF4EEA5" w:rsidR="00E538A1" w:rsidRPr="00E538A1" w:rsidRDefault="00E538A1" w:rsidP="009D675B">
      <w:pPr>
        <w:pStyle w:val="Heading2"/>
        <w:numPr>
          <w:ilvl w:val="1"/>
          <w:numId w:val="102"/>
        </w:numPr>
        <w:ind w:left="709" w:hanging="709"/>
        <w:rPr>
          <w:rFonts w:cs="Arial"/>
          <w:szCs w:val="20"/>
        </w:rPr>
      </w:pPr>
      <w:bookmarkStart w:id="1471" w:name="_Toc53924115"/>
      <w:r w:rsidRPr="00E538A1">
        <w:rPr>
          <w:rFonts w:cs="Arial"/>
          <w:szCs w:val="20"/>
        </w:rPr>
        <w:t>Continued performance: Subject to any exercise by Customer of its rights to perform, or to procure a third party to perform the obligations of any or all Members, the Parties shall continue to perform their obligations under this Agreement, notwithstanding the giving of any notice of default or notice of termination, until the termination of this Agreement becomes effective in accordance with this Agreement</w:t>
      </w:r>
      <w:bookmarkEnd w:id="1471"/>
      <w:r w:rsidRPr="00E538A1">
        <w:rPr>
          <w:rFonts w:cs="Arial"/>
          <w:szCs w:val="20"/>
        </w:rPr>
        <w:t xml:space="preserve">.  </w:t>
      </w:r>
    </w:p>
    <w:p w14:paraId="61851A6D" w14:textId="77777777" w:rsidR="00E538A1" w:rsidRPr="00E538A1" w:rsidRDefault="00E538A1" w:rsidP="009D675B">
      <w:pPr>
        <w:pStyle w:val="Heading2"/>
        <w:numPr>
          <w:ilvl w:val="1"/>
          <w:numId w:val="102"/>
        </w:numPr>
        <w:ind w:left="709" w:hanging="709"/>
        <w:rPr>
          <w:rFonts w:cs="Arial"/>
          <w:szCs w:val="20"/>
        </w:rPr>
      </w:pPr>
      <w:bookmarkStart w:id="1472" w:name="_Toc53924118"/>
      <w:bookmarkStart w:id="1473" w:name="_Ref390102325"/>
      <w:r w:rsidRPr="00E538A1">
        <w:rPr>
          <w:rFonts w:cs="Arial"/>
          <w:szCs w:val="20"/>
        </w:rPr>
        <w:t>Continuing obligations:  Save as otherwise expressly provided in this Agreement:</w:t>
      </w:r>
      <w:bookmarkEnd w:id="1472"/>
      <w:bookmarkEnd w:id="1473"/>
    </w:p>
    <w:p w14:paraId="4A53A781" w14:textId="77777777" w:rsidR="00E538A1" w:rsidRPr="00E538A1" w:rsidRDefault="00E538A1" w:rsidP="009D675B">
      <w:pPr>
        <w:pStyle w:val="Heading4"/>
        <w:numPr>
          <w:ilvl w:val="3"/>
          <w:numId w:val="105"/>
        </w:numPr>
        <w:tabs>
          <w:tab w:val="clear" w:pos="1418"/>
          <w:tab w:val="num" w:pos="0"/>
        </w:tabs>
        <w:ind w:left="0" w:firstLine="0"/>
        <w:rPr>
          <w:rFonts w:cs="Arial"/>
          <w:szCs w:val="20"/>
        </w:rPr>
      </w:pPr>
      <w:r w:rsidRPr="00E538A1">
        <w:rPr>
          <w:rFonts w:cs="Arial"/>
          <w:szCs w:val="20"/>
        </w:rPr>
        <w:lastRenderedPageBreak/>
        <w:t xml:space="preserve">expiry or termination of this Agreement shall be without prejudice to any accrued rights and obligations under this Agreement as at the date of such expiry or </w:t>
      </w:r>
      <w:proofErr w:type="gramStart"/>
      <w:r w:rsidRPr="00E538A1">
        <w:rPr>
          <w:rFonts w:cs="Arial"/>
          <w:szCs w:val="20"/>
        </w:rPr>
        <w:t>termination;</w:t>
      </w:r>
      <w:proofErr w:type="gramEnd"/>
    </w:p>
    <w:p w14:paraId="064DECE3" w14:textId="77777777" w:rsidR="00E538A1" w:rsidRPr="00E538A1" w:rsidRDefault="00E538A1" w:rsidP="009D675B">
      <w:pPr>
        <w:pStyle w:val="Heading4"/>
        <w:numPr>
          <w:ilvl w:val="3"/>
          <w:numId w:val="105"/>
        </w:numPr>
        <w:tabs>
          <w:tab w:val="clear" w:pos="1418"/>
          <w:tab w:val="num" w:pos="0"/>
        </w:tabs>
        <w:ind w:left="0" w:firstLine="0"/>
        <w:rPr>
          <w:rFonts w:cs="Arial"/>
          <w:szCs w:val="20"/>
        </w:rPr>
      </w:pPr>
      <w:r w:rsidRPr="00E538A1">
        <w:rPr>
          <w:rFonts w:cs="Arial"/>
          <w:szCs w:val="20"/>
        </w:rPr>
        <w:t xml:space="preserve">where this Agreement does not end in its entirety, </w:t>
      </w:r>
      <w:proofErr w:type="gramStart"/>
      <w:r w:rsidRPr="00E538A1">
        <w:rPr>
          <w:rFonts w:cs="Arial"/>
          <w:szCs w:val="20"/>
        </w:rPr>
        <w:t>expiry</w:t>
      </w:r>
      <w:proofErr w:type="gramEnd"/>
      <w:r w:rsidRPr="00E538A1">
        <w:rPr>
          <w:rFonts w:cs="Arial"/>
          <w:szCs w:val="20"/>
        </w:rPr>
        <w:t xml:space="preserve"> or termination of any part of the Agreement shall not affect the continuing rights and obligations of the relevant Parties in respect of the other parts of the Agreement; and</w:t>
      </w:r>
    </w:p>
    <w:p w14:paraId="76857EF4" w14:textId="77777777" w:rsidR="00E538A1" w:rsidRPr="00E538A1" w:rsidRDefault="00E538A1" w:rsidP="009D675B">
      <w:pPr>
        <w:pStyle w:val="Heading4"/>
        <w:numPr>
          <w:ilvl w:val="3"/>
          <w:numId w:val="105"/>
        </w:numPr>
        <w:tabs>
          <w:tab w:val="clear" w:pos="1418"/>
          <w:tab w:val="num" w:pos="0"/>
        </w:tabs>
        <w:ind w:left="0" w:firstLine="0"/>
        <w:rPr>
          <w:rFonts w:cs="Arial"/>
          <w:szCs w:val="20"/>
        </w:rPr>
      </w:pPr>
      <w:r w:rsidRPr="00E538A1">
        <w:rPr>
          <w:rFonts w:cs="Arial"/>
          <w:szCs w:val="20"/>
        </w:rPr>
        <w:t xml:space="preserve">expiry or termination of this Agreement shall not affect the continuing rights and obligations of the Parties under Clauses </w:t>
      </w:r>
      <w:r w:rsidRPr="00E538A1">
        <w:rPr>
          <w:rFonts w:cs="Arial"/>
          <w:szCs w:val="20"/>
        </w:rPr>
        <w:fldChar w:fldCharType="begin"/>
      </w:r>
      <w:r w:rsidRPr="00E538A1">
        <w:rPr>
          <w:rFonts w:cs="Arial"/>
          <w:szCs w:val="20"/>
        </w:rPr>
        <w:instrText xml:space="preserve"> REF _Ref205994042 \r \h  \* MERGEFORMAT </w:instrText>
      </w:r>
      <w:r w:rsidRPr="00E538A1">
        <w:rPr>
          <w:rFonts w:cs="Arial"/>
          <w:szCs w:val="20"/>
        </w:rPr>
      </w:r>
      <w:r w:rsidRPr="00E538A1">
        <w:rPr>
          <w:rFonts w:cs="Arial"/>
          <w:szCs w:val="20"/>
        </w:rPr>
        <w:fldChar w:fldCharType="separate"/>
      </w:r>
      <w:r w:rsidRPr="00E538A1">
        <w:rPr>
          <w:rFonts w:cs="Arial"/>
          <w:szCs w:val="20"/>
        </w:rPr>
        <w:t>10</w:t>
      </w:r>
      <w:r w:rsidRPr="00E538A1">
        <w:rPr>
          <w:rFonts w:cs="Arial"/>
          <w:szCs w:val="20"/>
        </w:rPr>
        <w:fldChar w:fldCharType="end"/>
      </w:r>
      <w:r w:rsidRPr="00E538A1">
        <w:rPr>
          <w:rFonts w:cs="Arial"/>
          <w:szCs w:val="20"/>
        </w:rPr>
        <w:t xml:space="preserve"> (Intellectual property), </w:t>
      </w:r>
      <w:r w:rsidRPr="00E538A1">
        <w:rPr>
          <w:rFonts w:cs="Arial"/>
          <w:szCs w:val="20"/>
        </w:rPr>
        <w:fldChar w:fldCharType="begin"/>
      </w:r>
      <w:r w:rsidRPr="00E538A1">
        <w:rPr>
          <w:rFonts w:cs="Arial"/>
          <w:szCs w:val="20"/>
        </w:rPr>
        <w:instrText xml:space="preserve"> REF _Ref197862843 \r \h  \* MERGEFORMAT </w:instrText>
      </w:r>
      <w:r w:rsidRPr="00E538A1">
        <w:rPr>
          <w:rFonts w:cs="Arial"/>
          <w:szCs w:val="20"/>
        </w:rPr>
      </w:r>
      <w:r w:rsidRPr="00E538A1">
        <w:rPr>
          <w:rFonts w:cs="Arial"/>
          <w:szCs w:val="20"/>
        </w:rPr>
        <w:fldChar w:fldCharType="separate"/>
      </w:r>
      <w:r w:rsidRPr="00E538A1">
        <w:rPr>
          <w:rFonts w:cs="Arial"/>
          <w:szCs w:val="20"/>
        </w:rPr>
        <w:t>11</w:t>
      </w:r>
      <w:r w:rsidRPr="00E538A1">
        <w:rPr>
          <w:rFonts w:cs="Arial"/>
          <w:szCs w:val="20"/>
        </w:rPr>
        <w:fldChar w:fldCharType="end"/>
      </w:r>
      <w:r w:rsidRPr="00E538A1">
        <w:rPr>
          <w:rFonts w:cs="Arial"/>
          <w:szCs w:val="20"/>
        </w:rPr>
        <w:t xml:space="preserve"> (Confidentiality), </w:t>
      </w:r>
      <w:r w:rsidRPr="00E538A1">
        <w:rPr>
          <w:rFonts w:cs="Arial"/>
          <w:szCs w:val="20"/>
        </w:rPr>
        <w:fldChar w:fldCharType="begin"/>
      </w:r>
      <w:r w:rsidRPr="00E538A1">
        <w:rPr>
          <w:rFonts w:cs="Arial"/>
          <w:szCs w:val="20"/>
        </w:rPr>
        <w:instrText xml:space="preserve"> REF _Ref12008933 \w \h  \* MERGEFORMAT </w:instrText>
      </w:r>
      <w:r w:rsidRPr="00E538A1">
        <w:rPr>
          <w:rFonts w:cs="Arial"/>
          <w:szCs w:val="20"/>
        </w:rPr>
      </w:r>
      <w:r w:rsidRPr="00E538A1">
        <w:rPr>
          <w:rFonts w:cs="Arial"/>
          <w:szCs w:val="20"/>
        </w:rPr>
        <w:fldChar w:fldCharType="separate"/>
      </w:r>
      <w:r w:rsidRPr="00E538A1">
        <w:rPr>
          <w:rFonts w:cs="Arial"/>
          <w:szCs w:val="20"/>
        </w:rPr>
        <w:t>12</w:t>
      </w:r>
      <w:r w:rsidRPr="00E538A1">
        <w:rPr>
          <w:rFonts w:cs="Arial"/>
          <w:szCs w:val="20"/>
        </w:rPr>
        <w:fldChar w:fldCharType="end"/>
      </w:r>
      <w:r w:rsidRPr="00E538A1">
        <w:rPr>
          <w:rFonts w:cs="Arial"/>
          <w:szCs w:val="20"/>
        </w:rPr>
        <w:t xml:space="preserve"> (Liability and Limitations), </w:t>
      </w:r>
      <w:r w:rsidRPr="00E538A1">
        <w:rPr>
          <w:rFonts w:cs="Arial"/>
          <w:szCs w:val="20"/>
        </w:rPr>
        <w:fldChar w:fldCharType="begin"/>
      </w:r>
      <w:r w:rsidRPr="00E538A1">
        <w:rPr>
          <w:rFonts w:cs="Arial"/>
          <w:szCs w:val="20"/>
        </w:rPr>
        <w:instrText xml:space="preserve"> REF _Ref390102393 \w \h  \* MERGEFORMAT </w:instrText>
      </w:r>
      <w:r w:rsidRPr="00E538A1">
        <w:rPr>
          <w:rFonts w:cs="Arial"/>
          <w:szCs w:val="20"/>
        </w:rPr>
      </w:r>
      <w:r w:rsidRPr="00E538A1">
        <w:rPr>
          <w:rFonts w:cs="Arial"/>
          <w:szCs w:val="20"/>
        </w:rPr>
        <w:fldChar w:fldCharType="separate"/>
      </w:r>
      <w:r w:rsidRPr="00E538A1">
        <w:rPr>
          <w:rFonts w:cs="Arial"/>
          <w:szCs w:val="20"/>
        </w:rPr>
        <w:t>14</w:t>
      </w:r>
      <w:r w:rsidRPr="00E538A1">
        <w:rPr>
          <w:rFonts w:cs="Arial"/>
          <w:szCs w:val="20"/>
        </w:rPr>
        <w:fldChar w:fldCharType="end"/>
      </w:r>
      <w:r w:rsidRPr="00E538A1">
        <w:rPr>
          <w:rFonts w:cs="Arial"/>
          <w:szCs w:val="20"/>
        </w:rPr>
        <w:t xml:space="preserve"> (Consequences of termination), </w:t>
      </w:r>
      <w:r w:rsidRPr="00E538A1">
        <w:rPr>
          <w:rFonts w:cs="Arial"/>
          <w:szCs w:val="20"/>
        </w:rPr>
        <w:fldChar w:fldCharType="begin"/>
      </w:r>
      <w:r w:rsidRPr="00E538A1">
        <w:rPr>
          <w:rFonts w:cs="Arial"/>
          <w:szCs w:val="20"/>
        </w:rPr>
        <w:instrText xml:space="preserve"> REF _Ref201030388 \r \h  \* MERGEFORMAT </w:instrText>
      </w:r>
      <w:r w:rsidRPr="00E538A1">
        <w:rPr>
          <w:rFonts w:cs="Arial"/>
          <w:szCs w:val="20"/>
        </w:rPr>
      </w:r>
      <w:r w:rsidRPr="00E538A1">
        <w:rPr>
          <w:rFonts w:cs="Arial"/>
          <w:szCs w:val="20"/>
        </w:rPr>
        <w:fldChar w:fldCharType="separate"/>
      </w:r>
      <w:r w:rsidRPr="00E538A1">
        <w:rPr>
          <w:rFonts w:cs="Arial"/>
          <w:szCs w:val="20"/>
        </w:rPr>
        <w:t>15</w:t>
      </w:r>
      <w:r w:rsidRPr="00E538A1">
        <w:rPr>
          <w:rFonts w:cs="Arial"/>
          <w:szCs w:val="20"/>
        </w:rPr>
        <w:fldChar w:fldCharType="end"/>
      </w:r>
      <w:r w:rsidRPr="00E538A1">
        <w:rPr>
          <w:rFonts w:cs="Arial"/>
          <w:szCs w:val="20"/>
        </w:rPr>
        <w:t xml:space="preserve"> (Dispute resolution), </w:t>
      </w:r>
      <w:r w:rsidRPr="00E538A1">
        <w:rPr>
          <w:rFonts w:eastAsia="MS Mincho" w:cs="Arial"/>
          <w:bCs w:val="0"/>
          <w:szCs w:val="20"/>
        </w:rPr>
        <w:fldChar w:fldCharType="begin"/>
      </w:r>
      <w:r w:rsidRPr="00E538A1">
        <w:rPr>
          <w:rFonts w:eastAsia="MS Mincho" w:cs="Arial"/>
          <w:bCs w:val="0"/>
          <w:szCs w:val="20"/>
        </w:rPr>
        <w:instrText xml:space="preserve"> REF _Ref390089984 \w \h  \* MERGEFORMAT </w:instrText>
      </w:r>
      <w:r w:rsidRPr="00E538A1">
        <w:rPr>
          <w:rFonts w:eastAsia="MS Mincho" w:cs="Arial"/>
          <w:bCs w:val="0"/>
          <w:szCs w:val="20"/>
        </w:rPr>
      </w:r>
      <w:r w:rsidRPr="00E538A1">
        <w:rPr>
          <w:rFonts w:eastAsia="MS Mincho" w:cs="Arial"/>
          <w:bCs w:val="0"/>
          <w:szCs w:val="20"/>
        </w:rPr>
        <w:fldChar w:fldCharType="separate"/>
      </w:r>
      <w:r w:rsidRPr="00E538A1">
        <w:rPr>
          <w:rFonts w:eastAsia="MS Mincho" w:cs="Arial"/>
          <w:bCs w:val="0"/>
          <w:szCs w:val="20"/>
        </w:rPr>
        <w:t>16</w:t>
      </w:r>
      <w:r w:rsidRPr="00E538A1">
        <w:rPr>
          <w:rFonts w:eastAsia="MS Mincho" w:cs="Arial"/>
          <w:bCs w:val="0"/>
          <w:szCs w:val="20"/>
        </w:rPr>
        <w:fldChar w:fldCharType="end"/>
      </w:r>
      <w:r w:rsidRPr="00E538A1">
        <w:rPr>
          <w:rFonts w:eastAsia="MS Mincho" w:cs="Arial"/>
          <w:bCs w:val="0"/>
          <w:szCs w:val="20"/>
        </w:rPr>
        <w:t xml:space="preserve"> (Expert determination), </w:t>
      </w:r>
      <w:r w:rsidRPr="00E538A1">
        <w:rPr>
          <w:rFonts w:eastAsia="MS Mincho" w:cs="Arial"/>
          <w:bCs w:val="0"/>
          <w:szCs w:val="20"/>
        </w:rPr>
        <w:fldChar w:fldCharType="begin"/>
      </w:r>
      <w:r w:rsidRPr="00E538A1">
        <w:rPr>
          <w:rFonts w:eastAsia="MS Mincho" w:cs="Arial"/>
          <w:bCs w:val="0"/>
          <w:szCs w:val="20"/>
        </w:rPr>
        <w:instrText xml:space="preserve"> REF _Ref390164009 \w \h  \* MERGEFORMAT </w:instrText>
      </w:r>
      <w:r w:rsidRPr="00E538A1">
        <w:rPr>
          <w:rFonts w:eastAsia="MS Mincho" w:cs="Arial"/>
          <w:bCs w:val="0"/>
          <w:szCs w:val="20"/>
        </w:rPr>
      </w:r>
      <w:r w:rsidRPr="00E538A1">
        <w:rPr>
          <w:rFonts w:eastAsia="MS Mincho" w:cs="Arial"/>
          <w:bCs w:val="0"/>
          <w:szCs w:val="20"/>
        </w:rPr>
        <w:fldChar w:fldCharType="separate"/>
      </w:r>
      <w:r w:rsidRPr="00E538A1">
        <w:rPr>
          <w:rFonts w:eastAsia="MS Mincho" w:cs="Arial"/>
          <w:bCs w:val="0"/>
          <w:szCs w:val="20"/>
        </w:rPr>
        <w:t>17</w:t>
      </w:r>
      <w:r w:rsidRPr="00E538A1">
        <w:rPr>
          <w:rFonts w:eastAsia="MS Mincho" w:cs="Arial"/>
          <w:bCs w:val="0"/>
          <w:szCs w:val="20"/>
        </w:rPr>
        <w:fldChar w:fldCharType="end"/>
      </w:r>
      <w:r w:rsidRPr="00E538A1">
        <w:rPr>
          <w:rFonts w:eastAsia="MS Mincho" w:cs="Arial"/>
          <w:bCs w:val="0"/>
          <w:szCs w:val="20"/>
        </w:rPr>
        <w:t xml:space="preserve"> (Mediation),</w:t>
      </w:r>
      <w:r w:rsidRPr="00E538A1">
        <w:rPr>
          <w:rFonts w:cs="Arial"/>
          <w:szCs w:val="20"/>
        </w:rPr>
        <w:t xml:space="preserve"> </w:t>
      </w:r>
      <w:r w:rsidRPr="00E538A1">
        <w:rPr>
          <w:rFonts w:cs="Arial"/>
          <w:szCs w:val="20"/>
        </w:rPr>
        <w:fldChar w:fldCharType="begin"/>
      </w:r>
      <w:r w:rsidRPr="00E538A1">
        <w:rPr>
          <w:rFonts w:cs="Arial"/>
          <w:szCs w:val="20"/>
        </w:rPr>
        <w:instrText xml:space="preserve"> REF _Ref205994177 \r \h  \* MERGEFORMAT </w:instrText>
      </w:r>
      <w:r w:rsidRPr="00E538A1">
        <w:rPr>
          <w:rFonts w:cs="Arial"/>
          <w:szCs w:val="20"/>
        </w:rPr>
      </w:r>
      <w:r w:rsidRPr="00E538A1">
        <w:rPr>
          <w:rFonts w:cs="Arial"/>
          <w:szCs w:val="20"/>
        </w:rPr>
        <w:fldChar w:fldCharType="separate"/>
      </w:r>
      <w:r w:rsidRPr="00E538A1">
        <w:rPr>
          <w:rFonts w:cs="Arial"/>
          <w:szCs w:val="20"/>
        </w:rPr>
        <w:t>23</w:t>
      </w:r>
      <w:r w:rsidRPr="00E538A1">
        <w:rPr>
          <w:rFonts w:cs="Arial"/>
          <w:szCs w:val="20"/>
        </w:rPr>
        <w:fldChar w:fldCharType="end"/>
      </w:r>
      <w:r w:rsidRPr="00E538A1">
        <w:rPr>
          <w:rFonts w:cs="Arial"/>
          <w:szCs w:val="20"/>
        </w:rPr>
        <w:t xml:space="preserve"> (Communications), </w:t>
      </w:r>
      <w:r w:rsidRPr="00E538A1">
        <w:rPr>
          <w:rFonts w:cs="Arial"/>
          <w:szCs w:val="20"/>
        </w:rPr>
        <w:fldChar w:fldCharType="begin"/>
      </w:r>
      <w:r w:rsidRPr="00E538A1">
        <w:rPr>
          <w:rFonts w:cs="Arial"/>
          <w:szCs w:val="20"/>
        </w:rPr>
        <w:instrText xml:space="preserve"> REF _Ref205994222 \r \h  \* MERGEFORMAT </w:instrText>
      </w:r>
      <w:r w:rsidRPr="00E538A1">
        <w:rPr>
          <w:rFonts w:cs="Arial"/>
          <w:szCs w:val="20"/>
        </w:rPr>
      </w:r>
      <w:r w:rsidRPr="00E538A1">
        <w:rPr>
          <w:rFonts w:cs="Arial"/>
          <w:szCs w:val="20"/>
        </w:rPr>
        <w:fldChar w:fldCharType="separate"/>
      </w:r>
      <w:r w:rsidRPr="00E538A1">
        <w:rPr>
          <w:rFonts w:cs="Arial"/>
          <w:szCs w:val="20"/>
        </w:rPr>
        <w:t>30</w:t>
      </w:r>
      <w:r w:rsidRPr="00E538A1">
        <w:rPr>
          <w:rFonts w:cs="Arial"/>
          <w:szCs w:val="20"/>
        </w:rPr>
        <w:fldChar w:fldCharType="end"/>
      </w:r>
      <w:r w:rsidRPr="00E538A1">
        <w:rPr>
          <w:rFonts w:cs="Arial"/>
          <w:szCs w:val="20"/>
        </w:rPr>
        <w:t xml:space="preserve"> (Further assurance and good faith), </w:t>
      </w:r>
      <w:r w:rsidRPr="00E538A1">
        <w:rPr>
          <w:rFonts w:cs="Arial"/>
          <w:szCs w:val="20"/>
        </w:rPr>
        <w:fldChar w:fldCharType="begin"/>
      </w:r>
      <w:r w:rsidRPr="00E538A1">
        <w:rPr>
          <w:rFonts w:cs="Arial"/>
          <w:szCs w:val="20"/>
        </w:rPr>
        <w:instrText xml:space="preserve"> REF _Ref205994192 \r \h  \* MERGEFORMAT </w:instrText>
      </w:r>
      <w:r w:rsidRPr="00E538A1">
        <w:rPr>
          <w:rFonts w:cs="Arial"/>
          <w:szCs w:val="20"/>
        </w:rPr>
      </w:r>
      <w:r w:rsidRPr="00E538A1">
        <w:rPr>
          <w:rFonts w:cs="Arial"/>
          <w:szCs w:val="20"/>
        </w:rPr>
        <w:fldChar w:fldCharType="separate"/>
      </w:r>
      <w:r w:rsidRPr="00E538A1">
        <w:rPr>
          <w:rFonts w:cs="Arial"/>
          <w:szCs w:val="20"/>
        </w:rPr>
        <w:t>31</w:t>
      </w:r>
      <w:r w:rsidRPr="00E538A1">
        <w:rPr>
          <w:rFonts w:cs="Arial"/>
          <w:szCs w:val="20"/>
        </w:rPr>
        <w:fldChar w:fldCharType="end"/>
      </w:r>
      <w:r w:rsidRPr="00E538A1">
        <w:rPr>
          <w:rFonts w:cs="Arial"/>
          <w:szCs w:val="20"/>
        </w:rPr>
        <w:t xml:space="preserve"> (Governing law and jurisdiction), or under any other provision of this Agreement which is expressed or intended to survive termination or which is required to give effect to such termination or the consequences of such termination.</w:t>
      </w:r>
    </w:p>
    <w:p w14:paraId="7A644335"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No Termination Charges: </w:t>
      </w:r>
      <w:proofErr w:type="gramStart"/>
      <w:r w:rsidRPr="00E538A1">
        <w:rPr>
          <w:rFonts w:cs="Arial"/>
          <w:szCs w:val="20"/>
        </w:rPr>
        <w:t>In the event that</w:t>
      </w:r>
      <w:proofErr w:type="gramEnd"/>
      <w:r w:rsidRPr="00E538A1">
        <w:rPr>
          <w:rFonts w:cs="Arial"/>
          <w:szCs w:val="20"/>
        </w:rPr>
        <w:t xml:space="preserve"> the Customer exercises its right to terminate this Agreement (without prejudice to accrued rights and liabilities), no termination charges or any other expenses, compensation or payments shall be due to any Member from Customer in connection with this Agreement.</w:t>
      </w:r>
    </w:p>
    <w:p w14:paraId="73735019" w14:textId="77777777" w:rsidR="00E538A1" w:rsidRPr="00E538A1" w:rsidRDefault="00E538A1" w:rsidP="009D675B">
      <w:pPr>
        <w:pStyle w:val="Heading1"/>
        <w:keepNext w:val="0"/>
        <w:numPr>
          <w:ilvl w:val="0"/>
          <w:numId w:val="102"/>
        </w:numPr>
        <w:ind w:left="709" w:hanging="709"/>
        <w:rPr>
          <w:rFonts w:cs="Arial"/>
          <w:szCs w:val="20"/>
        </w:rPr>
      </w:pPr>
      <w:bookmarkStart w:id="1474" w:name="_Toc450972344"/>
      <w:bookmarkStart w:id="1475" w:name="_Toc69894205"/>
      <w:bookmarkStart w:id="1476" w:name="_Toc69894420"/>
      <w:bookmarkStart w:id="1477" w:name="_Ref201030388"/>
      <w:bookmarkStart w:id="1478" w:name="_Toc231187998"/>
      <w:bookmarkStart w:id="1479" w:name="_Ref249158912"/>
      <w:bookmarkStart w:id="1480" w:name="_Ref249160397"/>
      <w:bookmarkStart w:id="1481" w:name="_Toc57263868"/>
      <w:r w:rsidRPr="00E538A1">
        <w:rPr>
          <w:rFonts w:cs="Arial"/>
          <w:szCs w:val="20"/>
        </w:rPr>
        <w:t>D</w:t>
      </w:r>
      <w:bookmarkEnd w:id="1474"/>
      <w:r w:rsidRPr="00E538A1">
        <w:rPr>
          <w:rFonts w:cs="Arial"/>
          <w:szCs w:val="20"/>
        </w:rPr>
        <w:t>ispute</w:t>
      </w:r>
      <w:bookmarkEnd w:id="1475"/>
      <w:bookmarkEnd w:id="1476"/>
      <w:r w:rsidRPr="00E538A1">
        <w:rPr>
          <w:rFonts w:cs="Arial"/>
          <w:szCs w:val="20"/>
        </w:rPr>
        <w:t xml:space="preserve"> resolution</w:t>
      </w:r>
      <w:bookmarkEnd w:id="1477"/>
      <w:bookmarkEnd w:id="1478"/>
      <w:bookmarkEnd w:id="1479"/>
      <w:bookmarkEnd w:id="1480"/>
      <w:bookmarkEnd w:id="1481"/>
    </w:p>
    <w:p w14:paraId="29D4B510" w14:textId="6B740223" w:rsidR="00E538A1" w:rsidRPr="00E538A1" w:rsidRDefault="00E538A1" w:rsidP="009D675B">
      <w:pPr>
        <w:pStyle w:val="Heading2"/>
        <w:numPr>
          <w:ilvl w:val="1"/>
          <w:numId w:val="102"/>
        </w:numPr>
        <w:ind w:left="709" w:hanging="709"/>
        <w:rPr>
          <w:rFonts w:cs="Arial"/>
          <w:szCs w:val="20"/>
        </w:rPr>
      </w:pPr>
      <w:bookmarkStart w:id="1482" w:name="_Ref367377817"/>
      <w:bookmarkStart w:id="1483" w:name="_Ref205971021"/>
      <w:r w:rsidRPr="00E538A1">
        <w:rPr>
          <w:rFonts w:cs="Arial"/>
          <w:szCs w:val="20"/>
        </w:rPr>
        <w:t>Attempt to resolve promptly: If a Dispute arises out of or in connection with this Agreement, then, except as expressly provided otherwise in this Agreement, the Parties shall in good faith attempt to resolve that Dispute promptly.</w:t>
      </w:r>
      <w:bookmarkEnd w:id="1482"/>
    </w:p>
    <w:p w14:paraId="6032E287" w14:textId="2352B20F" w:rsidR="00E538A1" w:rsidRPr="00E538A1" w:rsidRDefault="00E538A1" w:rsidP="009D675B">
      <w:pPr>
        <w:pStyle w:val="Heading2"/>
        <w:numPr>
          <w:ilvl w:val="1"/>
          <w:numId w:val="102"/>
        </w:numPr>
        <w:ind w:left="709" w:hanging="709"/>
        <w:rPr>
          <w:rFonts w:cs="Arial"/>
          <w:szCs w:val="20"/>
        </w:rPr>
      </w:pPr>
      <w:bookmarkStart w:id="1484" w:name="_Ref393121485"/>
      <w:r w:rsidRPr="00E538A1">
        <w:rPr>
          <w:rFonts w:cs="Arial"/>
          <w:szCs w:val="20"/>
        </w:rPr>
        <w:t xml:space="preserve">Escalation:  The </w:t>
      </w:r>
      <w:bookmarkStart w:id="1485" w:name="_Ref205971242"/>
      <w:bookmarkEnd w:id="1483"/>
      <w:r w:rsidRPr="00E538A1">
        <w:rPr>
          <w:rFonts w:cs="Arial"/>
          <w:szCs w:val="20"/>
        </w:rPr>
        <w:t xml:space="preserve">Dispute shall be referred for consideration and resolution by the </w:t>
      </w:r>
      <w:proofErr w:type="gramStart"/>
      <w:r w:rsidRPr="00E538A1">
        <w:rPr>
          <w:rFonts w:cs="Arial"/>
          <w:szCs w:val="20"/>
        </w:rPr>
        <w:t>P</w:t>
      </w:r>
      <w:r w:rsidR="000D476B">
        <w:rPr>
          <w:rFonts w:cs="Arial"/>
          <w:szCs w:val="20"/>
        </w:rPr>
        <w:t>a</w:t>
      </w:r>
      <w:r w:rsidRPr="00E538A1">
        <w:rPr>
          <w:rFonts w:cs="Arial"/>
          <w:szCs w:val="20"/>
        </w:rPr>
        <w:t>rties'</w:t>
      </w:r>
      <w:proofErr w:type="gramEnd"/>
      <w:r w:rsidRPr="00E538A1">
        <w:rPr>
          <w:rFonts w:cs="Arial"/>
          <w:szCs w:val="20"/>
        </w:rPr>
        <w:t xml:space="preserve"> in accordance with the escalation process set out in </w:t>
      </w:r>
      <w:r w:rsidRPr="00E538A1">
        <w:rPr>
          <w:rFonts w:cs="Arial"/>
          <w:szCs w:val="20"/>
        </w:rPr>
        <w:fldChar w:fldCharType="begin"/>
      </w:r>
      <w:r w:rsidRPr="00E538A1">
        <w:rPr>
          <w:rFonts w:cs="Arial"/>
          <w:szCs w:val="20"/>
        </w:rPr>
        <w:instrText xml:space="preserve"> REF _Ref389651721 \w \h  \* MERGEFORMAT </w:instrText>
      </w:r>
      <w:r w:rsidRPr="00E538A1">
        <w:rPr>
          <w:rFonts w:cs="Arial"/>
          <w:szCs w:val="20"/>
        </w:rPr>
      </w:r>
      <w:r w:rsidRPr="00E538A1">
        <w:rPr>
          <w:rFonts w:cs="Arial"/>
          <w:szCs w:val="20"/>
        </w:rPr>
        <w:fldChar w:fldCharType="separate"/>
      </w:r>
      <w:r w:rsidRPr="00E538A1">
        <w:rPr>
          <w:rFonts w:cs="Arial"/>
          <w:szCs w:val="20"/>
        </w:rPr>
        <w:t>Schedule 3</w:t>
      </w:r>
      <w:r w:rsidRPr="00E538A1">
        <w:rPr>
          <w:rFonts w:cs="Arial"/>
          <w:szCs w:val="20"/>
        </w:rPr>
        <w:fldChar w:fldCharType="end"/>
      </w:r>
      <w:r w:rsidRPr="00E538A1">
        <w:rPr>
          <w:rFonts w:cs="Arial"/>
          <w:szCs w:val="20"/>
        </w:rPr>
        <w:t xml:space="preserve"> (Governance).</w:t>
      </w:r>
      <w:bookmarkEnd w:id="1484"/>
      <w:bookmarkEnd w:id="1485"/>
      <w:r w:rsidRPr="00E538A1">
        <w:rPr>
          <w:rFonts w:cs="Arial"/>
          <w:szCs w:val="20"/>
        </w:rPr>
        <w:t xml:space="preserve"> </w:t>
      </w:r>
      <w:bookmarkStart w:id="1486" w:name="_Ref366772003"/>
    </w:p>
    <w:p w14:paraId="1B294C55" w14:textId="4E6C18C9" w:rsidR="00E538A1" w:rsidRPr="00E538A1" w:rsidRDefault="00E538A1" w:rsidP="009D675B">
      <w:pPr>
        <w:pStyle w:val="Heading2"/>
        <w:numPr>
          <w:ilvl w:val="1"/>
          <w:numId w:val="102"/>
        </w:numPr>
        <w:ind w:left="709" w:hanging="709"/>
        <w:rPr>
          <w:rFonts w:cs="Arial"/>
          <w:szCs w:val="20"/>
        </w:rPr>
      </w:pPr>
      <w:r w:rsidRPr="00E538A1">
        <w:rPr>
          <w:rFonts w:cs="Arial"/>
          <w:szCs w:val="20"/>
        </w:rPr>
        <w:t>Further action:  If the Dispute cannot be resolved by the P</w:t>
      </w:r>
      <w:r w:rsidR="000D476B">
        <w:rPr>
          <w:rFonts w:cs="Arial"/>
          <w:szCs w:val="20"/>
        </w:rPr>
        <w:t>a</w:t>
      </w:r>
      <w:r w:rsidRPr="00E538A1">
        <w:rPr>
          <w:rFonts w:cs="Arial"/>
          <w:szCs w:val="20"/>
        </w:rPr>
        <w:t xml:space="preserve">rties' in the escalation process set out in </w:t>
      </w:r>
      <w:r w:rsidRPr="00E538A1">
        <w:rPr>
          <w:rFonts w:cs="Arial"/>
          <w:szCs w:val="20"/>
        </w:rPr>
        <w:fldChar w:fldCharType="begin"/>
      </w:r>
      <w:r w:rsidRPr="00E538A1">
        <w:rPr>
          <w:rFonts w:cs="Arial"/>
          <w:szCs w:val="20"/>
        </w:rPr>
        <w:instrText xml:space="preserve"> REF _Ref389651721 \w \h  \* MERGEFORMAT </w:instrText>
      </w:r>
      <w:r w:rsidRPr="00E538A1">
        <w:rPr>
          <w:rFonts w:cs="Arial"/>
          <w:szCs w:val="20"/>
        </w:rPr>
      </w:r>
      <w:r w:rsidRPr="00E538A1">
        <w:rPr>
          <w:rFonts w:cs="Arial"/>
          <w:szCs w:val="20"/>
        </w:rPr>
        <w:fldChar w:fldCharType="separate"/>
      </w:r>
      <w:r w:rsidRPr="00E538A1">
        <w:rPr>
          <w:rFonts w:cs="Arial"/>
          <w:szCs w:val="20"/>
        </w:rPr>
        <w:t>Schedule 3</w:t>
      </w:r>
      <w:r w:rsidRPr="00E538A1">
        <w:rPr>
          <w:rFonts w:cs="Arial"/>
          <w:szCs w:val="20"/>
        </w:rPr>
        <w:fldChar w:fldCharType="end"/>
      </w:r>
      <w:r w:rsidRPr="00E538A1">
        <w:rPr>
          <w:rFonts w:cs="Arial"/>
          <w:szCs w:val="20"/>
        </w:rPr>
        <w:t xml:space="preserve"> (Governance) within ten (10) days (or such longer period as may be agreed between them) after it was referred under Clause </w:t>
      </w:r>
      <w:r w:rsidRPr="00E538A1">
        <w:rPr>
          <w:rFonts w:cs="Arial"/>
          <w:szCs w:val="20"/>
        </w:rPr>
        <w:fldChar w:fldCharType="begin"/>
      </w:r>
      <w:r w:rsidRPr="00E538A1">
        <w:rPr>
          <w:rFonts w:cs="Arial"/>
          <w:szCs w:val="20"/>
        </w:rPr>
        <w:instrText xml:space="preserve"> REF _Ref205971242 \r \h  \* MERGEFORMAT </w:instrText>
      </w:r>
      <w:r w:rsidRPr="00E538A1">
        <w:rPr>
          <w:rFonts w:cs="Arial"/>
          <w:szCs w:val="20"/>
        </w:rPr>
      </w:r>
      <w:r w:rsidRPr="00E538A1">
        <w:rPr>
          <w:rFonts w:cs="Arial"/>
          <w:szCs w:val="20"/>
        </w:rPr>
        <w:fldChar w:fldCharType="separate"/>
      </w:r>
      <w:r w:rsidRPr="00E538A1">
        <w:rPr>
          <w:rFonts w:cs="Arial"/>
          <w:szCs w:val="20"/>
        </w:rPr>
        <w:t>15.2</w:t>
      </w:r>
      <w:r w:rsidRPr="00E538A1">
        <w:rPr>
          <w:rFonts w:cs="Arial"/>
          <w:szCs w:val="20"/>
        </w:rPr>
        <w:fldChar w:fldCharType="end"/>
      </w:r>
      <w:r w:rsidRPr="00E538A1">
        <w:rPr>
          <w:rFonts w:cs="Arial"/>
          <w:szCs w:val="20"/>
        </w:rPr>
        <w:t xml:space="preserve"> (Escalation)</w:t>
      </w:r>
      <w:bookmarkEnd w:id="1486"/>
      <w:r w:rsidRPr="00E538A1">
        <w:rPr>
          <w:rFonts w:cs="Arial"/>
          <w:szCs w:val="20"/>
        </w:rPr>
        <w:t xml:space="preserve"> and the Dispute is a:</w:t>
      </w:r>
    </w:p>
    <w:p w14:paraId="1A6212F3"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 xml:space="preserve">Qualifying Dispute, the Dispute shall be referred to expert determination in accordance with Clause </w:t>
      </w:r>
      <w:r w:rsidRPr="00E538A1">
        <w:rPr>
          <w:rFonts w:cs="Arial"/>
          <w:szCs w:val="20"/>
        </w:rPr>
        <w:fldChar w:fldCharType="begin"/>
      </w:r>
      <w:r w:rsidRPr="00E538A1">
        <w:rPr>
          <w:rFonts w:cs="Arial"/>
          <w:szCs w:val="20"/>
        </w:rPr>
        <w:instrText xml:space="preserve"> REF _Ref390089984 \w \h  \* MERGEFORMAT </w:instrText>
      </w:r>
      <w:r w:rsidRPr="00E538A1">
        <w:rPr>
          <w:rFonts w:cs="Arial"/>
          <w:szCs w:val="20"/>
        </w:rPr>
      </w:r>
      <w:r w:rsidRPr="00E538A1">
        <w:rPr>
          <w:rFonts w:cs="Arial"/>
          <w:szCs w:val="20"/>
        </w:rPr>
        <w:fldChar w:fldCharType="separate"/>
      </w:r>
      <w:r w:rsidRPr="00E538A1">
        <w:rPr>
          <w:rFonts w:cs="Arial"/>
          <w:szCs w:val="20"/>
        </w:rPr>
        <w:t>16</w:t>
      </w:r>
      <w:r w:rsidRPr="00E538A1">
        <w:rPr>
          <w:rFonts w:cs="Arial"/>
          <w:szCs w:val="20"/>
        </w:rPr>
        <w:fldChar w:fldCharType="end"/>
      </w:r>
      <w:r w:rsidRPr="00E538A1">
        <w:rPr>
          <w:rFonts w:cs="Arial"/>
          <w:szCs w:val="20"/>
        </w:rPr>
        <w:t xml:space="preserve"> (Expert determination); and</w:t>
      </w:r>
    </w:p>
    <w:p w14:paraId="3F7DC55A"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bookmarkStart w:id="1487" w:name="_Ref393121576"/>
      <w:r w:rsidRPr="00E538A1">
        <w:rPr>
          <w:rFonts w:cs="Arial"/>
          <w:szCs w:val="20"/>
        </w:rPr>
        <w:t>Non-Qualifying Dispute, the Dispute shall:</w:t>
      </w:r>
      <w:bookmarkEnd w:id="1487"/>
    </w:p>
    <w:p w14:paraId="5708D5B3" w14:textId="77777777" w:rsidR="00E538A1" w:rsidRPr="00E538A1" w:rsidRDefault="00E538A1" w:rsidP="009D675B">
      <w:pPr>
        <w:pStyle w:val="Heading5"/>
        <w:numPr>
          <w:ilvl w:val="4"/>
          <w:numId w:val="102"/>
        </w:numPr>
        <w:tabs>
          <w:tab w:val="clear" w:pos="2160"/>
          <w:tab w:val="num" w:pos="3119"/>
        </w:tabs>
        <w:ind w:left="3119" w:hanging="709"/>
        <w:rPr>
          <w:rFonts w:cs="Arial"/>
          <w:szCs w:val="20"/>
        </w:rPr>
      </w:pPr>
      <w:r w:rsidRPr="00E538A1">
        <w:rPr>
          <w:rFonts w:cs="Arial"/>
          <w:szCs w:val="20"/>
        </w:rPr>
        <w:t xml:space="preserve">initially be referred for mediation </w:t>
      </w:r>
      <w:proofErr w:type="gramStart"/>
      <w:r w:rsidRPr="00E538A1">
        <w:rPr>
          <w:rFonts w:cs="Arial"/>
          <w:szCs w:val="20"/>
        </w:rPr>
        <w:t>in an attempt to</w:t>
      </w:r>
      <w:proofErr w:type="gramEnd"/>
      <w:r w:rsidRPr="00E538A1">
        <w:rPr>
          <w:rFonts w:cs="Arial"/>
          <w:szCs w:val="20"/>
        </w:rPr>
        <w:t xml:space="preserve"> reach a binding agreement in accordance with Clause </w:t>
      </w:r>
      <w:r w:rsidRPr="00E538A1">
        <w:rPr>
          <w:rFonts w:cs="Arial"/>
          <w:szCs w:val="20"/>
        </w:rPr>
        <w:fldChar w:fldCharType="begin"/>
      </w:r>
      <w:r w:rsidRPr="00E538A1">
        <w:rPr>
          <w:rFonts w:cs="Arial"/>
          <w:szCs w:val="20"/>
        </w:rPr>
        <w:instrText xml:space="preserve"> REF _Ref390090425 \w \h  \* MERGEFORMAT </w:instrText>
      </w:r>
      <w:r w:rsidRPr="00E538A1">
        <w:rPr>
          <w:rFonts w:cs="Arial"/>
          <w:szCs w:val="20"/>
        </w:rPr>
      </w:r>
      <w:r w:rsidRPr="00E538A1">
        <w:rPr>
          <w:rFonts w:cs="Arial"/>
          <w:szCs w:val="20"/>
        </w:rPr>
        <w:fldChar w:fldCharType="separate"/>
      </w:r>
      <w:r w:rsidRPr="00E538A1">
        <w:rPr>
          <w:rFonts w:cs="Arial"/>
          <w:szCs w:val="20"/>
        </w:rPr>
        <w:t>17</w:t>
      </w:r>
      <w:r w:rsidRPr="00E538A1">
        <w:rPr>
          <w:rFonts w:cs="Arial"/>
          <w:szCs w:val="20"/>
        </w:rPr>
        <w:fldChar w:fldCharType="end"/>
      </w:r>
      <w:r w:rsidRPr="00E538A1">
        <w:rPr>
          <w:rFonts w:cs="Arial"/>
          <w:szCs w:val="20"/>
        </w:rPr>
        <w:t xml:space="preserve"> (Mediation); and</w:t>
      </w:r>
    </w:p>
    <w:p w14:paraId="08FB233A" w14:textId="3B10CA19" w:rsidR="00E538A1" w:rsidRPr="00E538A1" w:rsidRDefault="00E538A1" w:rsidP="009D675B">
      <w:pPr>
        <w:pStyle w:val="Heading5"/>
        <w:numPr>
          <w:ilvl w:val="4"/>
          <w:numId w:val="102"/>
        </w:numPr>
        <w:tabs>
          <w:tab w:val="clear" w:pos="2160"/>
          <w:tab w:val="num" w:pos="3119"/>
        </w:tabs>
        <w:ind w:left="3119" w:hanging="709"/>
        <w:rPr>
          <w:rFonts w:cs="Arial"/>
          <w:szCs w:val="20"/>
        </w:rPr>
      </w:pPr>
      <w:r w:rsidRPr="00E538A1">
        <w:rPr>
          <w:rFonts w:cs="Arial"/>
          <w:szCs w:val="20"/>
        </w:rPr>
        <w:t xml:space="preserve">if no binding agreement is reached in mediation, be referred to and finally resolved by the courts in accordance with Clause </w:t>
      </w:r>
      <w:r w:rsidRPr="00E538A1">
        <w:rPr>
          <w:rFonts w:cs="Arial"/>
          <w:szCs w:val="20"/>
        </w:rPr>
        <w:fldChar w:fldCharType="begin"/>
      </w:r>
      <w:r w:rsidRPr="00E538A1">
        <w:rPr>
          <w:rFonts w:cs="Arial"/>
          <w:szCs w:val="20"/>
        </w:rPr>
        <w:instrText xml:space="preserve"> REF _Ref205994192 \r \h  \* MERGEFORMAT </w:instrText>
      </w:r>
      <w:r w:rsidRPr="00E538A1">
        <w:rPr>
          <w:rFonts w:cs="Arial"/>
          <w:szCs w:val="20"/>
        </w:rPr>
      </w:r>
      <w:r w:rsidRPr="00E538A1">
        <w:rPr>
          <w:rFonts w:cs="Arial"/>
          <w:szCs w:val="20"/>
        </w:rPr>
        <w:fldChar w:fldCharType="separate"/>
      </w:r>
      <w:r w:rsidRPr="00E538A1">
        <w:rPr>
          <w:rFonts w:cs="Arial"/>
          <w:szCs w:val="20"/>
        </w:rPr>
        <w:t>31</w:t>
      </w:r>
      <w:r w:rsidRPr="00E538A1">
        <w:rPr>
          <w:rFonts w:cs="Arial"/>
          <w:szCs w:val="20"/>
        </w:rPr>
        <w:fldChar w:fldCharType="end"/>
      </w:r>
      <w:r w:rsidRPr="00E538A1">
        <w:rPr>
          <w:rFonts w:cs="Arial"/>
          <w:szCs w:val="20"/>
        </w:rPr>
        <w:t xml:space="preserve"> (Governing law and jurisdiction).</w:t>
      </w:r>
    </w:p>
    <w:p w14:paraId="25830A77" w14:textId="77777777" w:rsidR="00E538A1" w:rsidRPr="00E538A1" w:rsidRDefault="00E538A1" w:rsidP="009D675B">
      <w:pPr>
        <w:pStyle w:val="Heading1"/>
        <w:numPr>
          <w:ilvl w:val="0"/>
          <w:numId w:val="102"/>
        </w:numPr>
        <w:ind w:left="709" w:hanging="709"/>
        <w:rPr>
          <w:rFonts w:cs="Arial"/>
          <w:szCs w:val="20"/>
        </w:rPr>
      </w:pPr>
      <w:bookmarkStart w:id="1488" w:name="_Ref390089984"/>
      <w:bookmarkStart w:id="1489" w:name="_Toc57263869"/>
      <w:r w:rsidRPr="00E538A1">
        <w:rPr>
          <w:rFonts w:cs="Arial"/>
          <w:szCs w:val="20"/>
        </w:rPr>
        <w:t>Expert determination</w:t>
      </w:r>
      <w:bookmarkEnd w:id="1488"/>
      <w:bookmarkEnd w:id="1489"/>
    </w:p>
    <w:p w14:paraId="2F353905" w14:textId="77777777" w:rsidR="00E538A1" w:rsidRPr="00E538A1" w:rsidRDefault="00E538A1" w:rsidP="009D675B">
      <w:pPr>
        <w:pStyle w:val="Heading2"/>
        <w:numPr>
          <w:ilvl w:val="1"/>
          <w:numId w:val="102"/>
        </w:numPr>
        <w:ind w:left="709" w:hanging="709"/>
        <w:rPr>
          <w:rFonts w:cs="Arial"/>
          <w:szCs w:val="20"/>
        </w:rPr>
      </w:pPr>
      <w:bookmarkStart w:id="1490" w:name="_Ref390090643"/>
      <w:r w:rsidRPr="00E538A1">
        <w:rPr>
          <w:rFonts w:cs="Arial"/>
          <w:szCs w:val="20"/>
        </w:rPr>
        <w:t>Qualifying Dispute:</w:t>
      </w:r>
      <w:bookmarkStart w:id="1491" w:name="_Ref390079662"/>
      <w:r w:rsidRPr="00E538A1">
        <w:rPr>
          <w:rFonts w:cs="Arial"/>
          <w:szCs w:val="20"/>
        </w:rPr>
        <w:t xml:space="preserve"> The Parties must ask a single expert to decide a Dispute arising out of or in connection with:</w:t>
      </w:r>
      <w:bookmarkEnd w:id="1490"/>
      <w:bookmarkEnd w:id="1491"/>
    </w:p>
    <w:p w14:paraId="27D93ABA"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 xml:space="preserve">Clause </w:t>
      </w:r>
      <w:r w:rsidRPr="00E538A1">
        <w:rPr>
          <w:rFonts w:cs="Arial"/>
          <w:szCs w:val="20"/>
        </w:rPr>
        <w:fldChar w:fldCharType="begin"/>
      </w:r>
      <w:r w:rsidRPr="00E538A1">
        <w:rPr>
          <w:rFonts w:cs="Arial"/>
          <w:szCs w:val="20"/>
        </w:rPr>
        <w:instrText xml:space="preserve"> REF _Ref390091581 \w \h  \* MERGEFORMAT </w:instrText>
      </w:r>
      <w:r w:rsidRPr="00E538A1">
        <w:rPr>
          <w:rFonts w:cs="Arial"/>
          <w:szCs w:val="20"/>
        </w:rPr>
      </w:r>
      <w:r w:rsidRPr="00E538A1">
        <w:rPr>
          <w:rFonts w:cs="Arial"/>
          <w:szCs w:val="20"/>
        </w:rPr>
        <w:fldChar w:fldCharType="separate"/>
      </w:r>
      <w:r w:rsidRPr="00E538A1">
        <w:rPr>
          <w:rFonts w:cs="Arial"/>
          <w:szCs w:val="20"/>
        </w:rPr>
        <w:t>5</w:t>
      </w:r>
      <w:r w:rsidRPr="00E538A1">
        <w:rPr>
          <w:rFonts w:cs="Arial"/>
          <w:szCs w:val="20"/>
        </w:rPr>
        <w:fldChar w:fldCharType="end"/>
      </w:r>
      <w:r w:rsidRPr="00E538A1">
        <w:rPr>
          <w:rFonts w:cs="Arial"/>
          <w:szCs w:val="20"/>
        </w:rPr>
        <w:t xml:space="preserve"> (Cooperation and Collaboration</w:t>
      </w:r>
      <w:proofErr w:type="gramStart"/>
      <w:r w:rsidRPr="00E538A1">
        <w:rPr>
          <w:rFonts w:cs="Arial"/>
          <w:szCs w:val="20"/>
        </w:rPr>
        <w:t>);</w:t>
      </w:r>
      <w:proofErr w:type="gramEnd"/>
    </w:p>
    <w:p w14:paraId="53AEB71A"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 xml:space="preserve">Clause </w:t>
      </w:r>
      <w:r w:rsidRPr="00E538A1">
        <w:rPr>
          <w:rFonts w:cs="Arial"/>
          <w:szCs w:val="20"/>
        </w:rPr>
        <w:fldChar w:fldCharType="begin"/>
      </w:r>
      <w:r w:rsidRPr="00E538A1">
        <w:rPr>
          <w:rFonts w:cs="Arial"/>
          <w:szCs w:val="20"/>
        </w:rPr>
        <w:instrText xml:space="preserve"> REF _Ref390078980 \w \h  \* MERGEFORMAT </w:instrText>
      </w:r>
      <w:r w:rsidRPr="00E538A1">
        <w:rPr>
          <w:rFonts w:cs="Arial"/>
          <w:szCs w:val="20"/>
        </w:rPr>
      </w:r>
      <w:r w:rsidRPr="00E538A1">
        <w:rPr>
          <w:rFonts w:cs="Arial"/>
          <w:szCs w:val="20"/>
        </w:rPr>
        <w:fldChar w:fldCharType="separate"/>
      </w:r>
      <w:r w:rsidRPr="00E538A1">
        <w:rPr>
          <w:rFonts w:cs="Arial"/>
          <w:szCs w:val="20"/>
        </w:rPr>
        <w:t>6</w:t>
      </w:r>
      <w:r w:rsidRPr="00E538A1">
        <w:rPr>
          <w:rFonts w:cs="Arial"/>
          <w:szCs w:val="20"/>
        </w:rPr>
        <w:fldChar w:fldCharType="end"/>
      </w:r>
      <w:r w:rsidRPr="00E538A1">
        <w:rPr>
          <w:rFonts w:cs="Arial"/>
          <w:szCs w:val="20"/>
        </w:rPr>
        <w:t xml:space="preserve"> (Dependencies); or</w:t>
      </w:r>
    </w:p>
    <w:p w14:paraId="70B34FDC"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 xml:space="preserve">Clause </w:t>
      </w:r>
      <w:r w:rsidRPr="00E538A1">
        <w:rPr>
          <w:rFonts w:cs="Arial"/>
          <w:szCs w:val="20"/>
        </w:rPr>
        <w:fldChar w:fldCharType="begin"/>
      </w:r>
      <w:r w:rsidRPr="00E538A1">
        <w:rPr>
          <w:rFonts w:cs="Arial"/>
          <w:szCs w:val="20"/>
        </w:rPr>
        <w:instrText xml:space="preserve"> REF _Ref11750695 \r \h  \* MERGEFORMAT </w:instrText>
      </w:r>
      <w:r w:rsidRPr="00E538A1">
        <w:rPr>
          <w:rFonts w:cs="Arial"/>
          <w:szCs w:val="20"/>
        </w:rPr>
      </w:r>
      <w:r w:rsidRPr="00E538A1">
        <w:rPr>
          <w:rFonts w:cs="Arial"/>
          <w:szCs w:val="20"/>
        </w:rPr>
        <w:fldChar w:fldCharType="separate"/>
      </w:r>
      <w:r w:rsidRPr="00E538A1">
        <w:rPr>
          <w:rFonts w:cs="Arial"/>
          <w:szCs w:val="20"/>
        </w:rPr>
        <w:t>6.4</w:t>
      </w:r>
      <w:r w:rsidRPr="00E538A1">
        <w:rPr>
          <w:rFonts w:cs="Arial"/>
          <w:szCs w:val="20"/>
        </w:rPr>
        <w:fldChar w:fldCharType="end"/>
      </w:r>
      <w:r w:rsidRPr="00E538A1">
        <w:rPr>
          <w:rFonts w:cs="Arial"/>
          <w:szCs w:val="20"/>
        </w:rPr>
        <w:t xml:space="preserve"> (Remediation),</w:t>
      </w:r>
    </w:p>
    <w:p w14:paraId="2A0BAEF2" w14:textId="77777777" w:rsidR="00E538A1" w:rsidRPr="00E538A1" w:rsidRDefault="00E538A1" w:rsidP="00E538A1">
      <w:pPr>
        <w:pStyle w:val="Heading4"/>
        <w:numPr>
          <w:ilvl w:val="0"/>
          <w:numId w:val="0"/>
        </w:numPr>
        <w:ind w:left="720"/>
        <w:rPr>
          <w:rFonts w:cs="Arial"/>
          <w:szCs w:val="20"/>
        </w:rPr>
      </w:pPr>
      <w:r w:rsidRPr="00E538A1">
        <w:rPr>
          <w:rFonts w:cs="Arial"/>
          <w:szCs w:val="20"/>
        </w:rPr>
        <w:t xml:space="preserve">provided that the monetary value of the Dispute is less than [x] (£250,000) (a </w:t>
      </w:r>
      <w:r w:rsidRPr="00E538A1">
        <w:rPr>
          <w:rFonts w:cs="Arial"/>
          <w:b/>
          <w:szCs w:val="20"/>
        </w:rPr>
        <w:t>Qualifying Dispute</w:t>
      </w:r>
      <w:r w:rsidRPr="00E538A1">
        <w:rPr>
          <w:rFonts w:cs="Arial"/>
          <w:szCs w:val="20"/>
        </w:rPr>
        <w:t xml:space="preserve">). </w:t>
      </w:r>
    </w:p>
    <w:p w14:paraId="1D4355DB" w14:textId="30A03C0D" w:rsidR="00E538A1" w:rsidRPr="00E538A1" w:rsidRDefault="00E538A1" w:rsidP="009D675B">
      <w:pPr>
        <w:pStyle w:val="Heading2"/>
        <w:numPr>
          <w:ilvl w:val="1"/>
          <w:numId w:val="102"/>
        </w:numPr>
        <w:ind w:left="709" w:hanging="709"/>
        <w:rPr>
          <w:rFonts w:cs="Arial"/>
          <w:szCs w:val="20"/>
        </w:rPr>
      </w:pPr>
      <w:r w:rsidRPr="00E538A1">
        <w:rPr>
          <w:rFonts w:cs="Arial"/>
          <w:szCs w:val="20"/>
        </w:rPr>
        <w:lastRenderedPageBreak/>
        <w:t xml:space="preserve">Arbitration Act: The expert must act as an expert and not as an arbitrator. The Arbitration Act 1996 and the law of arbitration shall not apply to the expert, to the determination procedure, or to the </w:t>
      </w:r>
      <w:r w:rsidR="000D476B">
        <w:rPr>
          <w:rFonts w:cs="Arial"/>
          <w:szCs w:val="20"/>
        </w:rPr>
        <w:t>e</w:t>
      </w:r>
      <w:r w:rsidRPr="00E538A1">
        <w:rPr>
          <w:rFonts w:cs="Arial"/>
          <w:szCs w:val="20"/>
        </w:rPr>
        <w:t>xpert's decision.</w:t>
      </w:r>
    </w:p>
    <w:p w14:paraId="3B41612A"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The appointment: To start a determination, one Party must write to the other relevant Parties, identifying the issue and proposing an expert. The relevant Parties must try to agree a jointly appointed expert within 14 days after one Party sends the letter proposing the expert and identifying the issues. After 14 days, if the relevant Parties have not agreed on a joint appointment, any relevant Party may ask the President of the Centre for Effective Dispute Resolution to nominate an expert.  The expert nominated by the Centre for Effective Dispute Resolution must be appointed by the Parties. </w:t>
      </w:r>
    </w:p>
    <w:p w14:paraId="56396159"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The determination: The expert determination must take place in London. The Parties and expert must conduct the determination in English. Once appointed, the expert must deliver a final written decision within 3 months.</w:t>
      </w:r>
    </w:p>
    <w:p w14:paraId="72586C0B" w14:textId="0A02E7D6"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The decision: The </w:t>
      </w:r>
      <w:r w:rsidR="000D476B">
        <w:rPr>
          <w:rFonts w:cs="Arial"/>
          <w:szCs w:val="20"/>
        </w:rPr>
        <w:t>e</w:t>
      </w:r>
      <w:r w:rsidRPr="00E538A1">
        <w:rPr>
          <w:rFonts w:cs="Arial"/>
          <w:szCs w:val="20"/>
        </w:rPr>
        <w:t xml:space="preserve">xpert's final written decision must include full detailed reasons to explain the findings and justify the decision. The </w:t>
      </w:r>
      <w:r w:rsidR="000D476B">
        <w:rPr>
          <w:rFonts w:cs="Arial"/>
          <w:szCs w:val="20"/>
        </w:rPr>
        <w:t>e</w:t>
      </w:r>
      <w:r w:rsidRPr="00E538A1">
        <w:rPr>
          <w:rFonts w:cs="Arial"/>
          <w:szCs w:val="20"/>
        </w:rPr>
        <w:t>xpert's decision is final and binds the parties unless there is manifest error by the expert or fraud.</w:t>
      </w:r>
    </w:p>
    <w:p w14:paraId="4535E499"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Other disputes: Clause </w:t>
      </w:r>
      <w:r w:rsidRPr="00E538A1">
        <w:rPr>
          <w:rFonts w:cs="Arial"/>
          <w:szCs w:val="20"/>
        </w:rPr>
        <w:fldChar w:fldCharType="begin"/>
      </w:r>
      <w:r w:rsidRPr="00E538A1">
        <w:rPr>
          <w:rFonts w:cs="Arial"/>
          <w:szCs w:val="20"/>
        </w:rPr>
        <w:instrText xml:space="preserve"> REF _Ref205994192 \w \h  \* MERGEFORMAT </w:instrText>
      </w:r>
      <w:r w:rsidRPr="00E538A1">
        <w:rPr>
          <w:rFonts w:cs="Arial"/>
          <w:szCs w:val="20"/>
        </w:rPr>
      </w:r>
      <w:r w:rsidRPr="00E538A1">
        <w:rPr>
          <w:rFonts w:cs="Arial"/>
          <w:szCs w:val="20"/>
        </w:rPr>
        <w:fldChar w:fldCharType="separate"/>
      </w:r>
      <w:r w:rsidRPr="00E538A1">
        <w:rPr>
          <w:rFonts w:cs="Arial"/>
          <w:szCs w:val="20"/>
        </w:rPr>
        <w:t>31</w:t>
      </w:r>
      <w:r w:rsidRPr="00E538A1">
        <w:rPr>
          <w:rFonts w:cs="Arial"/>
          <w:szCs w:val="20"/>
        </w:rPr>
        <w:fldChar w:fldCharType="end"/>
      </w:r>
      <w:r w:rsidRPr="00E538A1">
        <w:rPr>
          <w:rFonts w:cs="Arial"/>
          <w:szCs w:val="20"/>
        </w:rPr>
        <w:t xml:space="preserve"> (Governing Law and jurisdiction) shall apply to all Non-Qualifying Disputes under this Agreement.</w:t>
      </w:r>
    </w:p>
    <w:p w14:paraId="3F8F8C23" w14:textId="77777777" w:rsidR="00E538A1" w:rsidRPr="00E538A1" w:rsidRDefault="00E538A1" w:rsidP="009D675B">
      <w:pPr>
        <w:pStyle w:val="Heading1"/>
        <w:numPr>
          <w:ilvl w:val="0"/>
          <w:numId w:val="102"/>
        </w:numPr>
        <w:ind w:left="709" w:hanging="709"/>
        <w:rPr>
          <w:rFonts w:cs="Arial"/>
          <w:szCs w:val="20"/>
        </w:rPr>
      </w:pPr>
      <w:bookmarkStart w:id="1492" w:name="_Toc504473611"/>
      <w:bookmarkStart w:id="1493" w:name="_Ref390088054"/>
      <w:bookmarkStart w:id="1494" w:name="_Ref390090425"/>
      <w:bookmarkStart w:id="1495" w:name="_Ref390096973"/>
      <w:bookmarkStart w:id="1496" w:name="_Ref390164009"/>
      <w:bookmarkStart w:id="1497" w:name="_Toc57263870"/>
      <w:r w:rsidRPr="00E538A1">
        <w:rPr>
          <w:rFonts w:cs="Arial"/>
          <w:szCs w:val="20"/>
        </w:rPr>
        <w:t>Mediation</w:t>
      </w:r>
      <w:bookmarkEnd w:id="1492"/>
      <w:bookmarkEnd w:id="1493"/>
      <w:bookmarkEnd w:id="1494"/>
      <w:bookmarkEnd w:id="1495"/>
      <w:bookmarkEnd w:id="1496"/>
      <w:bookmarkEnd w:id="1497"/>
    </w:p>
    <w:p w14:paraId="00FFEA4B"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Reference to mediation: The Parties must refer to mediation any Non-Qualifying Dispute </w:t>
      </w:r>
      <w:proofErr w:type="gramStart"/>
      <w:r w:rsidRPr="00E538A1">
        <w:rPr>
          <w:rFonts w:cs="Arial"/>
          <w:szCs w:val="20"/>
        </w:rPr>
        <w:t>in an attempt to</w:t>
      </w:r>
      <w:proofErr w:type="gramEnd"/>
      <w:r w:rsidRPr="00E538A1">
        <w:rPr>
          <w:rFonts w:cs="Arial"/>
          <w:szCs w:val="20"/>
        </w:rPr>
        <w:t xml:space="preserve"> reach a binding agreement.  This does not affect Clause </w:t>
      </w:r>
      <w:r w:rsidRPr="00E538A1">
        <w:rPr>
          <w:rFonts w:cs="Arial"/>
          <w:szCs w:val="20"/>
        </w:rPr>
        <w:fldChar w:fldCharType="begin"/>
      </w:r>
      <w:r w:rsidRPr="00E538A1">
        <w:rPr>
          <w:rFonts w:cs="Arial"/>
          <w:szCs w:val="20"/>
        </w:rPr>
        <w:instrText xml:space="preserve"> REF _Ref390079888 \w \h  \* MERGEFORMAT </w:instrText>
      </w:r>
      <w:r w:rsidRPr="00E538A1">
        <w:rPr>
          <w:rFonts w:cs="Arial"/>
          <w:szCs w:val="20"/>
        </w:rPr>
      </w:r>
      <w:r w:rsidRPr="00E538A1">
        <w:rPr>
          <w:rFonts w:cs="Arial"/>
          <w:szCs w:val="20"/>
        </w:rPr>
        <w:fldChar w:fldCharType="separate"/>
      </w:r>
      <w:r w:rsidRPr="00E538A1">
        <w:rPr>
          <w:rFonts w:cs="Arial"/>
          <w:szCs w:val="20"/>
        </w:rPr>
        <w:t>31.2</w:t>
      </w:r>
      <w:r w:rsidRPr="00E538A1">
        <w:rPr>
          <w:rFonts w:cs="Arial"/>
          <w:szCs w:val="20"/>
        </w:rPr>
        <w:fldChar w:fldCharType="end"/>
      </w:r>
      <w:r w:rsidRPr="00E538A1">
        <w:rPr>
          <w:rFonts w:cs="Arial"/>
          <w:szCs w:val="20"/>
        </w:rPr>
        <w:t xml:space="preserve"> (J</w:t>
      </w:r>
      <w:r w:rsidRPr="00E538A1">
        <w:rPr>
          <w:rFonts w:cs="Arial"/>
          <w:iCs w:val="0"/>
          <w:szCs w:val="20"/>
        </w:rPr>
        <w:t>urisdiction)</w:t>
      </w:r>
      <w:r w:rsidRPr="00E538A1">
        <w:rPr>
          <w:rFonts w:cs="Arial"/>
          <w:szCs w:val="20"/>
        </w:rPr>
        <w:t>.</w:t>
      </w:r>
    </w:p>
    <w:p w14:paraId="74CBEEF9" w14:textId="77777777" w:rsidR="00E538A1" w:rsidRPr="00E538A1" w:rsidRDefault="00E538A1" w:rsidP="009D675B">
      <w:pPr>
        <w:pStyle w:val="Heading2"/>
        <w:numPr>
          <w:ilvl w:val="1"/>
          <w:numId w:val="102"/>
        </w:numPr>
        <w:ind w:left="709" w:hanging="709"/>
        <w:rPr>
          <w:rFonts w:cs="Arial"/>
          <w:szCs w:val="20"/>
        </w:rPr>
      </w:pPr>
      <w:bookmarkStart w:id="1498" w:name="_Ref158608492"/>
      <w:r w:rsidRPr="00E538A1">
        <w:rPr>
          <w:rFonts w:cs="Arial"/>
          <w:szCs w:val="20"/>
        </w:rPr>
        <w:t>Starting mediation</w:t>
      </w:r>
      <w:bookmarkEnd w:id="1498"/>
      <w:r w:rsidRPr="00E538A1">
        <w:rPr>
          <w:rFonts w:cs="Arial"/>
          <w:szCs w:val="20"/>
        </w:rPr>
        <w:t xml:space="preserve">: To start a mediation, a Party must give notice in writing to the other parties to the Dispute asking for a mediation under this Clause.  </w:t>
      </w:r>
    </w:p>
    <w:p w14:paraId="4E9BBB59"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Appointing a mediator: Within 14 days of the notice under Clause </w:t>
      </w:r>
      <w:r w:rsidRPr="00E538A1">
        <w:rPr>
          <w:rFonts w:cs="Arial"/>
          <w:szCs w:val="20"/>
        </w:rPr>
        <w:fldChar w:fldCharType="begin"/>
      </w:r>
      <w:r w:rsidRPr="00E538A1">
        <w:rPr>
          <w:rFonts w:cs="Arial"/>
          <w:szCs w:val="20"/>
        </w:rPr>
        <w:instrText xml:space="preserve"> REF _Ref158608492 \r \h  \* MERGEFORMAT </w:instrText>
      </w:r>
      <w:r w:rsidRPr="00E538A1">
        <w:rPr>
          <w:rFonts w:cs="Arial"/>
          <w:szCs w:val="20"/>
        </w:rPr>
      </w:r>
      <w:r w:rsidRPr="00E538A1">
        <w:rPr>
          <w:rFonts w:cs="Arial"/>
          <w:szCs w:val="20"/>
        </w:rPr>
        <w:fldChar w:fldCharType="separate"/>
      </w:r>
      <w:r w:rsidRPr="00E538A1">
        <w:rPr>
          <w:rFonts w:cs="Arial"/>
          <w:szCs w:val="20"/>
        </w:rPr>
        <w:t>17.2</w:t>
      </w:r>
      <w:r w:rsidRPr="00E538A1">
        <w:rPr>
          <w:rFonts w:cs="Arial"/>
          <w:szCs w:val="20"/>
        </w:rPr>
        <w:fldChar w:fldCharType="end"/>
      </w:r>
      <w:r w:rsidRPr="00E538A1">
        <w:rPr>
          <w:rFonts w:cs="Arial"/>
          <w:szCs w:val="20"/>
        </w:rPr>
        <w:t xml:space="preserve"> (Starting mediation) the parties to the Non-Qualifying Dispute must jointly appoint a single mediator.  If they cannot agree on a mediator within those 14 days any party to the Non-Qualifying Dispute may within the following 14 </w:t>
      </w:r>
      <w:proofErr w:type="gramStart"/>
      <w:r w:rsidRPr="00E538A1">
        <w:rPr>
          <w:rFonts w:cs="Arial"/>
          <w:szCs w:val="20"/>
        </w:rPr>
        <w:t>days</w:t>
      </w:r>
      <w:proofErr w:type="gramEnd"/>
      <w:r w:rsidRPr="00E538A1">
        <w:rPr>
          <w:rFonts w:cs="Arial"/>
          <w:szCs w:val="20"/>
        </w:rPr>
        <w:t xml:space="preserve"> ask the Centre for Effective Dispute Resolution to appoint a mediator.</w:t>
      </w:r>
    </w:p>
    <w:p w14:paraId="476F1222" w14:textId="20BA7993" w:rsidR="00E538A1" w:rsidRPr="00E538A1" w:rsidRDefault="00E538A1" w:rsidP="009D675B">
      <w:pPr>
        <w:pStyle w:val="Heading2"/>
        <w:numPr>
          <w:ilvl w:val="1"/>
          <w:numId w:val="102"/>
        </w:numPr>
        <w:ind w:left="709" w:hanging="709"/>
        <w:rPr>
          <w:rFonts w:cs="Arial"/>
          <w:szCs w:val="20"/>
        </w:rPr>
      </w:pPr>
      <w:bookmarkStart w:id="1499" w:name="_Ref159145357"/>
      <w:r w:rsidRPr="00E538A1">
        <w:rPr>
          <w:rFonts w:cs="Arial"/>
          <w:szCs w:val="20"/>
        </w:rPr>
        <w:t>Mediation procedure</w:t>
      </w:r>
      <w:bookmarkEnd w:id="1499"/>
      <w:r w:rsidRPr="00E538A1">
        <w:rPr>
          <w:rFonts w:cs="Arial"/>
          <w:szCs w:val="20"/>
        </w:rPr>
        <w:t>: The mediation must follow the Centre for Effective Dispute Reso</w:t>
      </w:r>
      <w:r w:rsidR="000D476B">
        <w:rPr>
          <w:rFonts w:cs="Arial"/>
          <w:szCs w:val="20"/>
        </w:rPr>
        <w:t>l</w:t>
      </w:r>
      <w:r w:rsidRPr="00E538A1">
        <w:rPr>
          <w:rFonts w:cs="Arial"/>
          <w:szCs w:val="20"/>
        </w:rPr>
        <w:t>ution's Model Mediation Procedure. However</w:t>
      </w:r>
      <w:r w:rsidR="00E5767E">
        <w:rPr>
          <w:rFonts w:cs="Arial"/>
          <w:szCs w:val="20"/>
        </w:rPr>
        <w:t>,</w:t>
      </w:r>
      <w:r w:rsidRPr="00E538A1">
        <w:rPr>
          <w:rFonts w:cs="Arial"/>
          <w:szCs w:val="20"/>
        </w:rPr>
        <w:t xml:space="preserve"> the mediation must end automatically if any Party to it refers the Dispute under mediation to court under Clause </w:t>
      </w:r>
      <w:r w:rsidRPr="00E538A1">
        <w:rPr>
          <w:rFonts w:cs="Arial"/>
          <w:szCs w:val="20"/>
        </w:rPr>
        <w:fldChar w:fldCharType="begin"/>
      </w:r>
      <w:r w:rsidRPr="00E538A1">
        <w:rPr>
          <w:rFonts w:cs="Arial"/>
          <w:szCs w:val="20"/>
        </w:rPr>
        <w:instrText xml:space="preserve"> REF _Ref390079888 \w \h  \* MERGEFORMAT </w:instrText>
      </w:r>
      <w:r w:rsidRPr="00E538A1">
        <w:rPr>
          <w:rFonts w:cs="Arial"/>
          <w:szCs w:val="20"/>
        </w:rPr>
      </w:r>
      <w:r w:rsidRPr="00E538A1">
        <w:rPr>
          <w:rFonts w:cs="Arial"/>
          <w:szCs w:val="20"/>
        </w:rPr>
        <w:fldChar w:fldCharType="separate"/>
      </w:r>
      <w:r w:rsidRPr="00E538A1">
        <w:rPr>
          <w:rFonts w:cs="Arial"/>
          <w:szCs w:val="20"/>
        </w:rPr>
        <w:t>31.2</w:t>
      </w:r>
      <w:r w:rsidRPr="00E538A1">
        <w:rPr>
          <w:rFonts w:cs="Arial"/>
          <w:szCs w:val="20"/>
        </w:rPr>
        <w:fldChar w:fldCharType="end"/>
      </w:r>
      <w:r w:rsidRPr="00E538A1">
        <w:rPr>
          <w:rFonts w:cs="Arial"/>
          <w:szCs w:val="20"/>
        </w:rPr>
        <w:t xml:space="preserve"> (Jurisdiction).</w:t>
      </w:r>
    </w:p>
    <w:p w14:paraId="0B17832A" w14:textId="77777777" w:rsidR="00E538A1" w:rsidRPr="00E538A1" w:rsidRDefault="00E538A1" w:rsidP="009D675B">
      <w:pPr>
        <w:pStyle w:val="Heading1"/>
        <w:numPr>
          <w:ilvl w:val="0"/>
          <w:numId w:val="102"/>
        </w:numPr>
        <w:spacing w:before="230" w:after="230"/>
        <w:ind w:left="709" w:hanging="709"/>
        <w:rPr>
          <w:rFonts w:cs="Arial"/>
          <w:szCs w:val="20"/>
        </w:rPr>
      </w:pPr>
      <w:bookmarkStart w:id="1500" w:name="_Ref222730527"/>
      <w:bookmarkStart w:id="1501" w:name="_Toc227744297"/>
      <w:bookmarkStart w:id="1502" w:name="_Toc57263871"/>
      <w:r w:rsidRPr="00E538A1">
        <w:rPr>
          <w:rFonts w:cs="Arial"/>
          <w:szCs w:val="20"/>
        </w:rPr>
        <w:t>Amendments</w:t>
      </w:r>
      <w:bookmarkEnd w:id="1500"/>
      <w:bookmarkEnd w:id="1501"/>
      <w:bookmarkEnd w:id="1502"/>
    </w:p>
    <w:p w14:paraId="200F8973"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No variation: No variation or amendment to this Agreement other than pursuant to an express provision of this Agreement, shall be effective unless and to the extent that the variation or amendment is agreed in writing by each Party. </w:t>
      </w:r>
    </w:p>
    <w:p w14:paraId="0F18B42E" w14:textId="77777777" w:rsidR="00E538A1" w:rsidRPr="00E538A1" w:rsidRDefault="00E538A1" w:rsidP="009D675B">
      <w:pPr>
        <w:pStyle w:val="Heading2"/>
        <w:numPr>
          <w:ilvl w:val="1"/>
          <w:numId w:val="102"/>
        </w:numPr>
        <w:ind w:left="709" w:hanging="709"/>
        <w:rPr>
          <w:rFonts w:cs="Arial"/>
          <w:szCs w:val="20"/>
        </w:rPr>
      </w:pPr>
      <w:bookmarkStart w:id="1503" w:name="_Ref390077182"/>
      <w:bookmarkStart w:id="1504" w:name="_Ref390076486"/>
      <w:r w:rsidRPr="00E538A1">
        <w:rPr>
          <w:rFonts w:cs="Arial"/>
          <w:szCs w:val="20"/>
        </w:rPr>
        <w:t>Agreed variations: The Customer shall be entitled to:</w:t>
      </w:r>
    </w:p>
    <w:p w14:paraId="41C5136A" w14:textId="77777777" w:rsidR="00E538A1" w:rsidRPr="00E538A1" w:rsidRDefault="00E538A1" w:rsidP="009D675B">
      <w:pPr>
        <w:pStyle w:val="Heading30"/>
        <w:numPr>
          <w:ilvl w:val="2"/>
          <w:numId w:val="102"/>
        </w:numPr>
        <w:tabs>
          <w:tab w:val="clear" w:pos="720"/>
          <w:tab w:val="num" w:pos="1702"/>
        </w:tabs>
        <w:ind w:left="1702" w:hanging="992"/>
      </w:pPr>
      <w:r w:rsidRPr="00E538A1">
        <w:t xml:space="preserve">make any minor variation to the terms of this Agreement without the written agreement of the Members, </w:t>
      </w:r>
      <w:proofErr w:type="gramStart"/>
      <w:r w:rsidRPr="00E538A1">
        <w:t>provided that</w:t>
      </w:r>
      <w:proofErr w:type="gramEnd"/>
      <w:r w:rsidRPr="00E538A1">
        <w:t xml:space="preserve"> it notifies the Members in writing of any such variation within 10 Business Days of the variation becoming effective; and </w:t>
      </w:r>
    </w:p>
    <w:p w14:paraId="4086A705" w14:textId="77777777" w:rsidR="00E538A1" w:rsidRPr="00E538A1" w:rsidRDefault="00E538A1" w:rsidP="009D675B">
      <w:pPr>
        <w:pStyle w:val="Heading30"/>
        <w:numPr>
          <w:ilvl w:val="2"/>
          <w:numId w:val="102"/>
        </w:numPr>
        <w:tabs>
          <w:tab w:val="clear" w:pos="720"/>
          <w:tab w:val="num" w:pos="1702"/>
        </w:tabs>
        <w:ind w:left="1702" w:hanging="992"/>
      </w:pPr>
      <w:r w:rsidRPr="00E538A1">
        <w:t xml:space="preserve">materially vary the terms of this Agreement with the written agreement of </w:t>
      </w:r>
      <w:proofErr w:type="gramStart"/>
      <w:r w:rsidRPr="00E538A1">
        <w:t>all of</w:t>
      </w:r>
      <w:proofErr w:type="gramEnd"/>
      <w:r w:rsidRPr="00E538A1">
        <w:t xml:space="preserve"> the Members. The Customer shall notify the Members in writing of any proposed variation or amendment (a </w:t>
      </w:r>
      <w:r w:rsidRPr="00E538A1">
        <w:rPr>
          <w:b/>
        </w:rPr>
        <w:t>Variation Notice</w:t>
      </w:r>
      <w:r w:rsidRPr="00E538A1">
        <w:t>). Each Member shall notify the Customer in writing within 10 Business Days of receipt of the Variation Notice either that it:</w:t>
      </w:r>
      <w:bookmarkEnd w:id="1503"/>
    </w:p>
    <w:p w14:paraId="08C238AC"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agrees to such variation or amendment, in which case any such changes shall be effective, in relation to the Customer and that Member immediately</w:t>
      </w:r>
      <w:bookmarkEnd w:id="1504"/>
      <w:r w:rsidRPr="00E538A1">
        <w:rPr>
          <w:rFonts w:cs="Arial"/>
          <w:szCs w:val="20"/>
        </w:rPr>
        <w:t>; or</w:t>
      </w:r>
    </w:p>
    <w:p w14:paraId="1E04C766" w14:textId="401D91E6"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lastRenderedPageBreak/>
        <w:t xml:space="preserve">does not agree to such variation or amendment, in which case the Parties shall negotiate in good faith to vary and/or amend the terms.  However, in the event that agreement cannot be reached, the </w:t>
      </w:r>
      <w:r w:rsidRPr="00E538A1">
        <w:rPr>
          <w:rFonts w:cs="Arial"/>
          <w:bCs w:val="0"/>
          <w:szCs w:val="20"/>
        </w:rPr>
        <w:t xml:space="preserve">matter shall be referred for consideration and resolution by the </w:t>
      </w:r>
      <w:proofErr w:type="gramStart"/>
      <w:r w:rsidRPr="00E538A1">
        <w:rPr>
          <w:rFonts w:cs="Arial"/>
          <w:bCs w:val="0"/>
          <w:szCs w:val="20"/>
        </w:rPr>
        <w:t>P</w:t>
      </w:r>
      <w:r w:rsidR="000D476B">
        <w:rPr>
          <w:rFonts w:cs="Arial"/>
          <w:bCs w:val="0"/>
          <w:szCs w:val="20"/>
        </w:rPr>
        <w:t>a</w:t>
      </w:r>
      <w:r w:rsidRPr="00E538A1">
        <w:rPr>
          <w:rFonts w:cs="Arial"/>
          <w:bCs w:val="0"/>
          <w:szCs w:val="20"/>
        </w:rPr>
        <w:t>rties'</w:t>
      </w:r>
      <w:proofErr w:type="gramEnd"/>
      <w:r w:rsidRPr="00E538A1">
        <w:rPr>
          <w:rFonts w:cs="Arial"/>
          <w:bCs w:val="0"/>
          <w:szCs w:val="20"/>
        </w:rPr>
        <w:t xml:space="preserve"> in accordance with the escalation process set out in </w:t>
      </w:r>
      <w:r w:rsidRPr="00E538A1">
        <w:rPr>
          <w:rFonts w:cs="Arial"/>
          <w:bCs w:val="0"/>
          <w:szCs w:val="20"/>
        </w:rPr>
        <w:fldChar w:fldCharType="begin"/>
      </w:r>
      <w:r w:rsidRPr="00E538A1">
        <w:rPr>
          <w:rFonts w:cs="Arial"/>
          <w:bCs w:val="0"/>
          <w:szCs w:val="20"/>
        </w:rPr>
        <w:instrText xml:space="preserve"> REF _Ref389651721 \w \h  \* MERGEFORMAT </w:instrText>
      </w:r>
      <w:r w:rsidRPr="00E538A1">
        <w:rPr>
          <w:rFonts w:cs="Arial"/>
          <w:bCs w:val="0"/>
          <w:szCs w:val="20"/>
        </w:rPr>
      </w:r>
      <w:r w:rsidRPr="00E538A1">
        <w:rPr>
          <w:rFonts w:cs="Arial"/>
          <w:bCs w:val="0"/>
          <w:szCs w:val="20"/>
        </w:rPr>
        <w:fldChar w:fldCharType="separate"/>
      </w:r>
      <w:r w:rsidRPr="00E538A1">
        <w:rPr>
          <w:rFonts w:cs="Arial"/>
          <w:bCs w:val="0"/>
          <w:szCs w:val="20"/>
        </w:rPr>
        <w:t>Schedule 3</w:t>
      </w:r>
      <w:r w:rsidRPr="00E538A1">
        <w:rPr>
          <w:rFonts w:cs="Arial"/>
          <w:bCs w:val="0"/>
          <w:szCs w:val="20"/>
        </w:rPr>
        <w:fldChar w:fldCharType="end"/>
      </w:r>
      <w:r w:rsidRPr="00E538A1">
        <w:rPr>
          <w:rFonts w:cs="Arial"/>
          <w:bCs w:val="0"/>
          <w:szCs w:val="20"/>
        </w:rPr>
        <w:t xml:space="preserve"> (Governance).</w:t>
      </w:r>
      <w:r w:rsidRPr="00E538A1">
        <w:rPr>
          <w:rFonts w:cs="Arial"/>
          <w:szCs w:val="20"/>
        </w:rPr>
        <w:t xml:space="preserve"> If, following completion of the escalation process set out in </w:t>
      </w:r>
      <w:r w:rsidRPr="00E538A1">
        <w:rPr>
          <w:rFonts w:cs="Arial"/>
          <w:bCs w:val="0"/>
          <w:szCs w:val="20"/>
        </w:rPr>
        <w:fldChar w:fldCharType="begin"/>
      </w:r>
      <w:r w:rsidRPr="00E538A1">
        <w:rPr>
          <w:rFonts w:cs="Arial"/>
          <w:bCs w:val="0"/>
          <w:szCs w:val="20"/>
        </w:rPr>
        <w:instrText xml:space="preserve"> REF _Ref389651721 \w \h  \* MERGEFORMAT </w:instrText>
      </w:r>
      <w:r w:rsidRPr="00E538A1">
        <w:rPr>
          <w:rFonts w:cs="Arial"/>
          <w:bCs w:val="0"/>
          <w:szCs w:val="20"/>
        </w:rPr>
      </w:r>
      <w:r w:rsidRPr="00E538A1">
        <w:rPr>
          <w:rFonts w:cs="Arial"/>
          <w:bCs w:val="0"/>
          <w:szCs w:val="20"/>
        </w:rPr>
        <w:fldChar w:fldCharType="separate"/>
      </w:r>
      <w:r w:rsidRPr="00E538A1">
        <w:rPr>
          <w:rFonts w:cs="Arial"/>
          <w:bCs w:val="0"/>
          <w:szCs w:val="20"/>
        </w:rPr>
        <w:t>Schedule 3</w:t>
      </w:r>
      <w:r w:rsidRPr="00E538A1">
        <w:rPr>
          <w:rFonts w:cs="Arial"/>
          <w:bCs w:val="0"/>
          <w:szCs w:val="20"/>
        </w:rPr>
        <w:fldChar w:fldCharType="end"/>
      </w:r>
      <w:r w:rsidRPr="00E538A1">
        <w:rPr>
          <w:rFonts w:cs="Arial"/>
          <w:bCs w:val="0"/>
          <w:szCs w:val="20"/>
        </w:rPr>
        <w:t xml:space="preserve"> (Governance), the Customer does not withdraw the proposed variation or amendment and the Member continues to reject such</w:t>
      </w:r>
      <w:r w:rsidRPr="00E538A1">
        <w:rPr>
          <w:rFonts w:cs="Arial"/>
          <w:szCs w:val="20"/>
        </w:rPr>
        <w:t xml:space="preserve"> variation or amendment, the Customer may terminate this Agreement with respect to that Member in accordance with Clause </w:t>
      </w:r>
      <w:r w:rsidRPr="00E538A1">
        <w:rPr>
          <w:rFonts w:cs="Arial"/>
          <w:szCs w:val="20"/>
        </w:rPr>
        <w:fldChar w:fldCharType="begin"/>
      </w:r>
      <w:r w:rsidRPr="00E538A1">
        <w:rPr>
          <w:rFonts w:cs="Arial"/>
          <w:szCs w:val="20"/>
        </w:rPr>
        <w:instrText xml:space="preserve"> REF _Ref389755159 \r \h  \* MERGEFORMAT </w:instrText>
      </w:r>
      <w:r w:rsidRPr="00E538A1">
        <w:rPr>
          <w:rFonts w:cs="Arial"/>
          <w:szCs w:val="20"/>
        </w:rPr>
      </w:r>
      <w:r w:rsidRPr="00E538A1">
        <w:rPr>
          <w:rFonts w:cs="Arial"/>
          <w:szCs w:val="20"/>
        </w:rPr>
        <w:fldChar w:fldCharType="separate"/>
      </w:r>
      <w:r w:rsidRPr="00E538A1">
        <w:rPr>
          <w:rFonts w:cs="Arial"/>
          <w:szCs w:val="20"/>
        </w:rPr>
        <w:t>13</w:t>
      </w:r>
      <w:r w:rsidRPr="00E538A1">
        <w:rPr>
          <w:rFonts w:cs="Arial"/>
          <w:szCs w:val="20"/>
        </w:rPr>
        <w:fldChar w:fldCharType="end"/>
      </w:r>
    </w:p>
    <w:p w14:paraId="38624E46" w14:textId="77777777" w:rsidR="00E538A1" w:rsidRPr="00E538A1" w:rsidRDefault="00E538A1" w:rsidP="009D675B">
      <w:pPr>
        <w:pStyle w:val="Heading1"/>
        <w:keepNext w:val="0"/>
        <w:numPr>
          <w:ilvl w:val="0"/>
          <w:numId w:val="102"/>
        </w:numPr>
        <w:ind w:left="709" w:hanging="709"/>
        <w:rPr>
          <w:rFonts w:cs="Arial"/>
          <w:szCs w:val="20"/>
        </w:rPr>
      </w:pPr>
      <w:bookmarkStart w:id="1505" w:name="_Toc57263872"/>
      <w:r w:rsidRPr="00E538A1">
        <w:rPr>
          <w:rFonts w:cs="Arial"/>
          <w:szCs w:val="20"/>
        </w:rPr>
        <w:t>Cumulative Rights</w:t>
      </w:r>
      <w:bookmarkEnd w:id="1505"/>
    </w:p>
    <w:p w14:paraId="2E61B271" w14:textId="77777777" w:rsidR="00E538A1" w:rsidRPr="00E538A1" w:rsidRDefault="00E538A1" w:rsidP="00E538A1">
      <w:pPr>
        <w:pStyle w:val="BodyText1"/>
        <w:rPr>
          <w:rFonts w:cs="Arial"/>
          <w:szCs w:val="20"/>
        </w:rPr>
      </w:pPr>
      <w:r w:rsidRPr="00E538A1">
        <w:rPr>
          <w:rFonts w:cs="Arial"/>
          <w:b/>
          <w:bCs/>
          <w:szCs w:val="20"/>
          <w:lang w:val="en-US"/>
        </w:rPr>
        <w:t>Cumulative rights</w:t>
      </w:r>
      <w:r w:rsidRPr="00E538A1">
        <w:rPr>
          <w:rFonts w:cs="Arial"/>
          <w:szCs w:val="20"/>
          <w:lang w:val="en-US"/>
        </w:rPr>
        <w:t>:  The rights and remedies of the Parties in connection with this Agreement are cumulative and, except as expressly stated in this Agreement, are not exclusive of any other rights or remedies provided by this Agreement, law, equity or otherwise.  Except as expressly stated in this Agreement (or in law or in equity in the case of rights and remedies provided by law or equity) any right or remedy may be exercised wholly or partially from time to time.</w:t>
      </w:r>
    </w:p>
    <w:p w14:paraId="750758D0" w14:textId="77777777" w:rsidR="00E538A1" w:rsidRPr="00E538A1" w:rsidRDefault="00E538A1" w:rsidP="009D675B">
      <w:pPr>
        <w:pStyle w:val="Heading1"/>
        <w:keepNext w:val="0"/>
        <w:numPr>
          <w:ilvl w:val="0"/>
          <w:numId w:val="102"/>
        </w:numPr>
        <w:ind w:left="709" w:hanging="709"/>
        <w:rPr>
          <w:rFonts w:cs="Arial"/>
          <w:szCs w:val="20"/>
        </w:rPr>
      </w:pPr>
      <w:bookmarkStart w:id="1506" w:name="_Toc69894206"/>
      <w:bookmarkStart w:id="1507" w:name="_Toc69894421"/>
      <w:bookmarkStart w:id="1508" w:name="_Toc231187999"/>
      <w:bookmarkStart w:id="1509" w:name="_Toc57263873"/>
      <w:r w:rsidRPr="00E538A1">
        <w:rPr>
          <w:rFonts w:cs="Arial"/>
          <w:szCs w:val="20"/>
        </w:rPr>
        <w:t>Waiver</w:t>
      </w:r>
      <w:bookmarkEnd w:id="1506"/>
      <w:bookmarkEnd w:id="1507"/>
      <w:bookmarkEnd w:id="1508"/>
      <w:bookmarkEnd w:id="1509"/>
    </w:p>
    <w:p w14:paraId="35E71382" w14:textId="77777777" w:rsidR="00E538A1" w:rsidRPr="00E538A1" w:rsidRDefault="00E538A1" w:rsidP="00E538A1">
      <w:pPr>
        <w:pStyle w:val="Heading2"/>
        <w:numPr>
          <w:ilvl w:val="0"/>
          <w:numId w:val="0"/>
        </w:numPr>
        <w:ind w:left="700"/>
        <w:rPr>
          <w:rFonts w:cs="Arial"/>
          <w:szCs w:val="20"/>
        </w:rPr>
      </w:pPr>
      <w:bookmarkStart w:id="1510" w:name="_Toc450972352"/>
      <w:r w:rsidRPr="00E538A1">
        <w:rPr>
          <w:rFonts w:cs="Arial"/>
          <w:szCs w:val="20"/>
        </w:rPr>
        <w:t xml:space="preserve">Waiver:  Any relaxation, forbearance, </w:t>
      </w:r>
      <w:proofErr w:type="gramStart"/>
      <w:r w:rsidRPr="00E538A1">
        <w:rPr>
          <w:rFonts w:cs="Arial"/>
          <w:szCs w:val="20"/>
        </w:rPr>
        <w:t>indulgence</w:t>
      </w:r>
      <w:proofErr w:type="gramEnd"/>
      <w:r w:rsidRPr="00E538A1">
        <w:rPr>
          <w:rFonts w:cs="Arial"/>
          <w:szCs w:val="20"/>
        </w:rPr>
        <w:t xml:space="preserve"> or delay of either Party in exercising any right, shall not be construed as a waiver of that right and shall not affect the ability of that Party subsequently to exercise that right or to pursue any remedy, nor shall any indulgence constitute a waiver of any other right, whether against that Party or any other person.</w:t>
      </w:r>
    </w:p>
    <w:p w14:paraId="7CE42416" w14:textId="77777777" w:rsidR="00E538A1" w:rsidRPr="00E538A1" w:rsidRDefault="00E538A1" w:rsidP="009D675B">
      <w:pPr>
        <w:pStyle w:val="Heading1"/>
        <w:keepNext w:val="0"/>
        <w:numPr>
          <w:ilvl w:val="0"/>
          <w:numId w:val="102"/>
        </w:numPr>
        <w:ind w:left="709" w:hanging="709"/>
        <w:rPr>
          <w:rFonts w:cs="Arial"/>
          <w:szCs w:val="20"/>
        </w:rPr>
      </w:pPr>
      <w:bookmarkStart w:id="1511" w:name="_Toc69894207"/>
      <w:bookmarkStart w:id="1512" w:name="_Toc69894422"/>
      <w:bookmarkStart w:id="1513" w:name="_Ref205972858"/>
      <w:bookmarkStart w:id="1514" w:name="_Toc231188000"/>
      <w:bookmarkStart w:id="1515" w:name="_Toc57263874"/>
      <w:bookmarkEnd w:id="1510"/>
      <w:r w:rsidRPr="00E538A1">
        <w:rPr>
          <w:rFonts w:cs="Arial"/>
          <w:szCs w:val="20"/>
        </w:rPr>
        <w:t>Whole Agreement</w:t>
      </w:r>
      <w:bookmarkEnd w:id="1511"/>
      <w:bookmarkEnd w:id="1512"/>
      <w:bookmarkEnd w:id="1513"/>
      <w:bookmarkEnd w:id="1514"/>
      <w:bookmarkEnd w:id="1515"/>
    </w:p>
    <w:p w14:paraId="5749533B"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Whole agreement:  Except where expressly stated otherwise in this Agreement, this Agreement constitutes the whole agreement between the Parties in connection with its subject matter and supersedes all prior representations, communications, </w:t>
      </w:r>
      <w:proofErr w:type="gramStart"/>
      <w:r w:rsidRPr="00E538A1">
        <w:rPr>
          <w:rFonts w:cs="Arial"/>
          <w:szCs w:val="20"/>
        </w:rPr>
        <w:t>negotiations</w:t>
      </w:r>
      <w:proofErr w:type="gramEnd"/>
      <w:r w:rsidRPr="00E538A1">
        <w:rPr>
          <w:rFonts w:cs="Arial"/>
          <w:szCs w:val="20"/>
        </w:rPr>
        <w:t xml:space="preserve"> and understandings concerning the subject matter of this Agreement. </w:t>
      </w:r>
    </w:p>
    <w:p w14:paraId="330AE65C"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No representation:  Each Party acknowledges that:</w:t>
      </w:r>
    </w:p>
    <w:p w14:paraId="44342ECA"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it does not enter into this Agreement on the basis of, and does not rely, and has not relied, on any statement or representation (whether negligent or innocent) or warranty or other provision (in any case whether oral or written, express or implied) made or agreed to by any person (whether a Party or not), except those expressly repeated or referred to in this Agreement, and the only remedy or remedies available in respect of any misrepresentation or untrue statement made to it shall be any remedy available under this Agreement; and</w:t>
      </w:r>
    </w:p>
    <w:p w14:paraId="20F3CD48"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 xml:space="preserve">this Clause </w:t>
      </w:r>
      <w:r w:rsidRPr="00E538A1">
        <w:rPr>
          <w:rFonts w:cs="Arial"/>
          <w:szCs w:val="20"/>
        </w:rPr>
        <w:fldChar w:fldCharType="begin"/>
      </w:r>
      <w:r w:rsidRPr="00E538A1">
        <w:rPr>
          <w:rFonts w:cs="Arial"/>
          <w:szCs w:val="20"/>
        </w:rPr>
        <w:instrText xml:space="preserve"> REF _Ref205972858 \r \h  \* MERGEFORMAT </w:instrText>
      </w:r>
      <w:r w:rsidRPr="00E538A1">
        <w:rPr>
          <w:rFonts w:cs="Arial"/>
          <w:szCs w:val="20"/>
        </w:rPr>
      </w:r>
      <w:r w:rsidRPr="00E538A1">
        <w:rPr>
          <w:rFonts w:cs="Arial"/>
          <w:szCs w:val="20"/>
        </w:rPr>
        <w:fldChar w:fldCharType="separate"/>
      </w:r>
      <w:r w:rsidRPr="00E538A1">
        <w:rPr>
          <w:rFonts w:cs="Arial"/>
          <w:szCs w:val="20"/>
        </w:rPr>
        <w:t>21</w:t>
      </w:r>
      <w:r w:rsidRPr="00E538A1">
        <w:rPr>
          <w:rFonts w:cs="Arial"/>
          <w:szCs w:val="20"/>
        </w:rPr>
        <w:fldChar w:fldCharType="end"/>
      </w:r>
      <w:r w:rsidRPr="00E538A1">
        <w:rPr>
          <w:rFonts w:cs="Arial"/>
          <w:szCs w:val="20"/>
        </w:rPr>
        <w:t xml:space="preserve"> shall not apply to any statement, representation or warranty made fraudulently, or to any provision of this Agreement which was induced by fraud, for which the remedies available shall be all those available under the law governing this Agreement.</w:t>
      </w:r>
    </w:p>
    <w:p w14:paraId="44170B16" w14:textId="77777777" w:rsidR="00E538A1" w:rsidRPr="00E538A1" w:rsidRDefault="00E538A1" w:rsidP="009D675B">
      <w:pPr>
        <w:pStyle w:val="Heading1"/>
        <w:keepNext w:val="0"/>
        <w:numPr>
          <w:ilvl w:val="0"/>
          <w:numId w:val="102"/>
        </w:numPr>
        <w:ind w:left="709" w:hanging="709"/>
        <w:rPr>
          <w:rFonts w:cs="Arial"/>
          <w:szCs w:val="20"/>
        </w:rPr>
      </w:pPr>
      <w:bookmarkStart w:id="1516" w:name="_Toc69894208"/>
      <w:bookmarkStart w:id="1517" w:name="_Toc69894423"/>
      <w:bookmarkStart w:id="1518" w:name="_Ref205993952"/>
      <w:bookmarkStart w:id="1519" w:name="_Toc231188001"/>
      <w:bookmarkStart w:id="1520" w:name="_Toc57263875"/>
      <w:r w:rsidRPr="00E538A1">
        <w:rPr>
          <w:rFonts w:cs="Arial"/>
          <w:szCs w:val="20"/>
        </w:rPr>
        <w:t xml:space="preserve">Assignment and </w:t>
      </w:r>
      <w:bookmarkEnd w:id="1516"/>
      <w:bookmarkEnd w:id="1517"/>
      <w:r w:rsidRPr="00E538A1">
        <w:rPr>
          <w:rFonts w:cs="Arial"/>
          <w:szCs w:val="20"/>
        </w:rPr>
        <w:t>Sub-contracting</w:t>
      </w:r>
      <w:bookmarkEnd w:id="1518"/>
      <w:bookmarkEnd w:id="1519"/>
      <w:bookmarkEnd w:id="1520"/>
    </w:p>
    <w:p w14:paraId="43113338" w14:textId="620C81EC" w:rsidR="00E538A1" w:rsidRPr="00E538A1" w:rsidRDefault="00E538A1" w:rsidP="009D675B">
      <w:pPr>
        <w:pStyle w:val="Heading2"/>
        <w:numPr>
          <w:ilvl w:val="1"/>
          <w:numId w:val="102"/>
        </w:numPr>
        <w:ind w:left="709" w:hanging="709"/>
        <w:rPr>
          <w:rFonts w:cs="Arial"/>
          <w:szCs w:val="20"/>
        </w:rPr>
      </w:pPr>
      <w:bookmarkStart w:id="1521" w:name="_Ref205975710"/>
      <w:r w:rsidRPr="00E538A1">
        <w:rPr>
          <w:rFonts w:cs="Arial"/>
          <w:szCs w:val="20"/>
        </w:rPr>
        <w:t>Binding on assignees: This Agreement and any other agreement in connection with its subject matter to which both Customer and any Member are a party shall be binding on, and shall en</w:t>
      </w:r>
      <w:r w:rsidR="00275E2E">
        <w:rPr>
          <w:rFonts w:cs="Arial"/>
          <w:szCs w:val="20"/>
        </w:rPr>
        <w:t>s</w:t>
      </w:r>
      <w:r w:rsidRPr="00E538A1">
        <w:rPr>
          <w:rFonts w:cs="Arial"/>
          <w:szCs w:val="20"/>
        </w:rPr>
        <w:t>ure to the benefit of, that Member and Customer and their respective permitted successors and transferees with effect from the date of such succession or transfer.</w:t>
      </w:r>
      <w:bookmarkEnd w:id="1521"/>
    </w:p>
    <w:p w14:paraId="05E6B839" w14:textId="77777777" w:rsidR="00E538A1" w:rsidRPr="00E538A1" w:rsidRDefault="00E538A1" w:rsidP="009D675B">
      <w:pPr>
        <w:pStyle w:val="Heading2"/>
        <w:numPr>
          <w:ilvl w:val="1"/>
          <w:numId w:val="102"/>
        </w:numPr>
        <w:ind w:left="709" w:hanging="709"/>
        <w:rPr>
          <w:rFonts w:cs="Arial"/>
          <w:szCs w:val="20"/>
        </w:rPr>
      </w:pPr>
      <w:bookmarkStart w:id="1522" w:name="_Ref205975268"/>
      <w:r w:rsidRPr="00E538A1">
        <w:rPr>
          <w:rFonts w:cs="Arial"/>
          <w:szCs w:val="20"/>
        </w:rPr>
        <w:t xml:space="preserve">No disposal:  Subject to Clause </w:t>
      </w:r>
      <w:r w:rsidRPr="00E538A1">
        <w:rPr>
          <w:rFonts w:cs="Arial"/>
          <w:szCs w:val="20"/>
        </w:rPr>
        <w:fldChar w:fldCharType="begin"/>
      </w:r>
      <w:r w:rsidRPr="00E538A1">
        <w:rPr>
          <w:rFonts w:cs="Arial"/>
          <w:szCs w:val="20"/>
        </w:rPr>
        <w:instrText xml:space="preserve"> REF _Ref390104509 \w \h  \* MERGEFORMAT </w:instrText>
      </w:r>
      <w:r w:rsidRPr="00E538A1">
        <w:rPr>
          <w:rFonts w:cs="Arial"/>
          <w:szCs w:val="20"/>
        </w:rPr>
      </w:r>
      <w:r w:rsidRPr="00E538A1">
        <w:rPr>
          <w:rFonts w:cs="Arial"/>
          <w:szCs w:val="20"/>
        </w:rPr>
        <w:fldChar w:fldCharType="separate"/>
      </w:r>
      <w:r w:rsidRPr="00E538A1">
        <w:rPr>
          <w:rFonts w:cs="Arial"/>
          <w:szCs w:val="20"/>
        </w:rPr>
        <w:t>22.3</w:t>
      </w:r>
      <w:r w:rsidRPr="00E538A1">
        <w:rPr>
          <w:rFonts w:cs="Arial"/>
          <w:szCs w:val="20"/>
        </w:rPr>
        <w:fldChar w:fldCharType="end"/>
      </w:r>
      <w:r w:rsidRPr="00E538A1">
        <w:rPr>
          <w:rFonts w:cs="Arial"/>
          <w:szCs w:val="20"/>
        </w:rPr>
        <w:t xml:space="preserve"> (Sub-Contracting to Members), each Member shall not, without the prior written consent of Customer, assign, sub-contract, transfer, charge or otherwise dispose of any interest in this Agreement except to an Approved Sub-Contractor.</w:t>
      </w:r>
      <w:bookmarkEnd w:id="1522"/>
      <w:r w:rsidRPr="00E538A1">
        <w:rPr>
          <w:rFonts w:cs="Arial"/>
          <w:szCs w:val="20"/>
        </w:rPr>
        <w:t xml:space="preserve"> Each Member shall remain responsible for the acts and omissions of </w:t>
      </w:r>
      <w:proofErr w:type="gramStart"/>
      <w:r w:rsidRPr="00E538A1">
        <w:rPr>
          <w:rFonts w:cs="Arial"/>
          <w:szCs w:val="20"/>
        </w:rPr>
        <w:t>all of</w:t>
      </w:r>
      <w:proofErr w:type="gramEnd"/>
      <w:r w:rsidRPr="00E538A1">
        <w:rPr>
          <w:rFonts w:cs="Arial"/>
          <w:szCs w:val="20"/>
        </w:rPr>
        <w:t xml:space="preserve"> its Approved Sub-Contractors as though they were its own.</w:t>
      </w:r>
    </w:p>
    <w:p w14:paraId="7F36241E" w14:textId="77777777" w:rsidR="00E538A1" w:rsidRPr="00E538A1" w:rsidRDefault="00E538A1" w:rsidP="009D675B">
      <w:pPr>
        <w:pStyle w:val="Heading2"/>
        <w:numPr>
          <w:ilvl w:val="1"/>
          <w:numId w:val="102"/>
        </w:numPr>
        <w:ind w:left="709" w:hanging="709"/>
        <w:rPr>
          <w:rFonts w:cs="Arial"/>
          <w:szCs w:val="20"/>
        </w:rPr>
      </w:pPr>
      <w:bookmarkStart w:id="1523" w:name="_Ref390104509"/>
      <w:r w:rsidRPr="00E538A1">
        <w:rPr>
          <w:rFonts w:cs="Arial"/>
          <w:bCs w:val="0"/>
          <w:szCs w:val="20"/>
        </w:rPr>
        <w:lastRenderedPageBreak/>
        <w:t>Sub-Contracting to Members</w:t>
      </w:r>
      <w:r w:rsidRPr="00E538A1">
        <w:rPr>
          <w:rFonts w:cs="Arial"/>
          <w:szCs w:val="20"/>
        </w:rPr>
        <w:t>: A Member (the Sub-Contracting Member) may sub-contract an immaterial part of its Services to any other Member or Members without the prior written consent of the Customer, provided that:</w:t>
      </w:r>
      <w:bookmarkEnd w:id="1523"/>
    </w:p>
    <w:p w14:paraId="5B1482B1"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 xml:space="preserve">the Sub-Contracting Member provides prior written notice to the </w:t>
      </w:r>
      <w:proofErr w:type="gramStart"/>
      <w:r w:rsidRPr="00E538A1">
        <w:rPr>
          <w:rFonts w:cs="Arial"/>
          <w:szCs w:val="20"/>
        </w:rPr>
        <w:t>Customer;</w:t>
      </w:r>
      <w:proofErr w:type="gramEnd"/>
    </w:p>
    <w:p w14:paraId="3CE69A71"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there is no increase in the Charges to the Customer or impact on the Programme; and</w:t>
      </w:r>
    </w:p>
    <w:p w14:paraId="75BFA83B" w14:textId="3F2F915B"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the Sub-Contracting Member</w:t>
      </w:r>
      <w:r w:rsidRPr="00E538A1">
        <w:rPr>
          <w:rFonts w:cs="Arial"/>
          <w:bCs w:val="0"/>
          <w:szCs w:val="20"/>
        </w:rPr>
        <w:t xml:space="preserve"> shall remain responsible for the acts and omissions of the Member performing </w:t>
      </w:r>
      <w:r w:rsidRPr="00E538A1">
        <w:rPr>
          <w:rFonts w:cs="Arial"/>
          <w:szCs w:val="20"/>
        </w:rPr>
        <w:t xml:space="preserve">the Sub-Contracting </w:t>
      </w:r>
      <w:r w:rsidR="000D476B">
        <w:rPr>
          <w:rFonts w:cs="Arial"/>
          <w:szCs w:val="20"/>
        </w:rPr>
        <w:t>M</w:t>
      </w:r>
      <w:r w:rsidRPr="00E538A1">
        <w:rPr>
          <w:rFonts w:cs="Arial"/>
          <w:szCs w:val="20"/>
        </w:rPr>
        <w:t>ember</w:t>
      </w:r>
      <w:r w:rsidRPr="00E538A1">
        <w:rPr>
          <w:rFonts w:cs="Arial"/>
          <w:bCs w:val="0"/>
          <w:szCs w:val="20"/>
        </w:rPr>
        <w:t>'s Services as though they were its own.</w:t>
      </w:r>
    </w:p>
    <w:p w14:paraId="54A5CEB4"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Customer disposal:  Customer may </w:t>
      </w:r>
      <w:proofErr w:type="gramStart"/>
      <w:r w:rsidRPr="00E538A1">
        <w:rPr>
          <w:rFonts w:cs="Arial"/>
          <w:szCs w:val="20"/>
        </w:rPr>
        <w:t>at all times</w:t>
      </w:r>
      <w:proofErr w:type="gramEnd"/>
      <w:r w:rsidRPr="00E538A1">
        <w:rPr>
          <w:rFonts w:cs="Arial"/>
          <w:szCs w:val="20"/>
        </w:rPr>
        <w:t xml:space="preserve"> assign, sub-contract, transfer, charge or otherwise dispose of any interest in this Agreement:</w:t>
      </w:r>
    </w:p>
    <w:p w14:paraId="77F79F30"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 xml:space="preserve">to any other member of the Customer </w:t>
      </w:r>
      <w:proofErr w:type="gramStart"/>
      <w:r w:rsidRPr="00E538A1">
        <w:rPr>
          <w:rFonts w:cs="Arial"/>
          <w:szCs w:val="20"/>
        </w:rPr>
        <w:t>Group;</w:t>
      </w:r>
      <w:proofErr w:type="gramEnd"/>
    </w:p>
    <w:p w14:paraId="71A2DF6F" w14:textId="48495482"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 xml:space="preserve">to any third party, subject to each </w:t>
      </w:r>
      <w:r w:rsidR="000D476B">
        <w:rPr>
          <w:rFonts w:cs="Arial"/>
          <w:szCs w:val="20"/>
        </w:rPr>
        <w:t>M</w:t>
      </w:r>
      <w:r w:rsidRPr="00E538A1">
        <w:rPr>
          <w:rFonts w:cs="Arial"/>
          <w:szCs w:val="20"/>
        </w:rPr>
        <w:t>ember's prior written consent (such consent not to be unreasonably withheld or delayed).</w:t>
      </w:r>
    </w:p>
    <w:p w14:paraId="10628DDA"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No further sub-contracting:  Without prejudice to Clause </w:t>
      </w:r>
      <w:r w:rsidRPr="00E538A1">
        <w:rPr>
          <w:rFonts w:cs="Arial"/>
          <w:szCs w:val="20"/>
        </w:rPr>
        <w:fldChar w:fldCharType="begin"/>
      </w:r>
      <w:r w:rsidRPr="00E538A1">
        <w:rPr>
          <w:rFonts w:cs="Arial"/>
          <w:szCs w:val="20"/>
        </w:rPr>
        <w:instrText xml:space="preserve"> REF _Ref205975710 \r \h  \* MERGEFORMAT </w:instrText>
      </w:r>
      <w:r w:rsidRPr="00E538A1">
        <w:rPr>
          <w:rFonts w:cs="Arial"/>
          <w:szCs w:val="20"/>
        </w:rPr>
      </w:r>
      <w:r w:rsidRPr="00E538A1">
        <w:rPr>
          <w:rFonts w:cs="Arial"/>
          <w:szCs w:val="20"/>
        </w:rPr>
        <w:fldChar w:fldCharType="separate"/>
      </w:r>
      <w:r w:rsidRPr="00E538A1">
        <w:rPr>
          <w:rFonts w:cs="Arial"/>
          <w:szCs w:val="20"/>
        </w:rPr>
        <w:t>22.1</w:t>
      </w:r>
      <w:r w:rsidRPr="00E538A1">
        <w:rPr>
          <w:rFonts w:cs="Arial"/>
          <w:szCs w:val="20"/>
        </w:rPr>
        <w:fldChar w:fldCharType="end"/>
      </w:r>
      <w:r w:rsidRPr="00E538A1">
        <w:rPr>
          <w:rFonts w:cs="Arial"/>
          <w:szCs w:val="20"/>
        </w:rPr>
        <w:t xml:space="preserve"> (Binding on assignees) and Clause </w:t>
      </w:r>
      <w:r w:rsidRPr="00E538A1">
        <w:rPr>
          <w:rFonts w:cs="Arial"/>
          <w:szCs w:val="20"/>
        </w:rPr>
        <w:fldChar w:fldCharType="begin"/>
      </w:r>
      <w:r w:rsidRPr="00E538A1">
        <w:rPr>
          <w:rFonts w:cs="Arial"/>
          <w:szCs w:val="20"/>
        </w:rPr>
        <w:instrText xml:space="preserve"> REF _Ref205975268 \r \h  \* MERGEFORMAT </w:instrText>
      </w:r>
      <w:r w:rsidRPr="00E538A1">
        <w:rPr>
          <w:rFonts w:cs="Arial"/>
          <w:szCs w:val="20"/>
        </w:rPr>
      </w:r>
      <w:r w:rsidRPr="00E538A1">
        <w:rPr>
          <w:rFonts w:cs="Arial"/>
          <w:szCs w:val="20"/>
        </w:rPr>
        <w:fldChar w:fldCharType="separate"/>
      </w:r>
      <w:r w:rsidRPr="00E538A1">
        <w:rPr>
          <w:rFonts w:cs="Arial"/>
          <w:szCs w:val="20"/>
        </w:rPr>
        <w:t>22.2</w:t>
      </w:r>
      <w:r w:rsidRPr="00E538A1">
        <w:rPr>
          <w:rFonts w:cs="Arial"/>
          <w:szCs w:val="20"/>
        </w:rPr>
        <w:fldChar w:fldCharType="end"/>
      </w:r>
      <w:r w:rsidRPr="00E538A1">
        <w:rPr>
          <w:rFonts w:cs="Arial"/>
          <w:szCs w:val="20"/>
        </w:rPr>
        <w:t xml:space="preserve"> (No disposal), each Member shall procure that none of its Approved Sub-Contractors shall sub-contract any of their obligations or functions under the relevant sub-contract without the prior written consent of Customer.</w:t>
      </w:r>
    </w:p>
    <w:p w14:paraId="2FE8A6A8" w14:textId="77777777" w:rsidR="00E538A1" w:rsidRPr="00E538A1" w:rsidRDefault="00E538A1" w:rsidP="009D675B">
      <w:pPr>
        <w:pStyle w:val="Heading1"/>
        <w:keepNext w:val="0"/>
        <w:numPr>
          <w:ilvl w:val="0"/>
          <w:numId w:val="102"/>
        </w:numPr>
        <w:ind w:left="709" w:hanging="709"/>
        <w:rPr>
          <w:rFonts w:cs="Arial"/>
          <w:szCs w:val="20"/>
        </w:rPr>
      </w:pPr>
      <w:bookmarkStart w:id="1524" w:name="_Ref205994177"/>
      <w:bookmarkStart w:id="1525" w:name="_Toc231188002"/>
      <w:bookmarkStart w:id="1526" w:name="_Toc57263876"/>
      <w:r w:rsidRPr="00E538A1">
        <w:rPr>
          <w:rFonts w:cs="Arial"/>
          <w:szCs w:val="20"/>
        </w:rPr>
        <w:t>Communications</w:t>
      </w:r>
      <w:bookmarkEnd w:id="1524"/>
      <w:bookmarkEnd w:id="1525"/>
      <w:bookmarkEnd w:id="1526"/>
    </w:p>
    <w:p w14:paraId="0B4E594B" w14:textId="77777777" w:rsidR="00E538A1" w:rsidRPr="00E538A1" w:rsidRDefault="00E538A1" w:rsidP="009D675B">
      <w:pPr>
        <w:pStyle w:val="Heading2"/>
        <w:numPr>
          <w:ilvl w:val="1"/>
          <w:numId w:val="102"/>
        </w:numPr>
        <w:ind w:left="709" w:hanging="709"/>
        <w:rPr>
          <w:rFonts w:cs="Arial"/>
          <w:szCs w:val="20"/>
        </w:rPr>
      </w:pPr>
      <w:bookmarkStart w:id="1527" w:name="_Ref233787596"/>
      <w:r w:rsidRPr="00E538A1">
        <w:rPr>
          <w:rFonts w:cs="Arial"/>
          <w:szCs w:val="20"/>
        </w:rPr>
        <w:t xml:space="preserve">Notices between Parties:  All notices given by any Party to any other Party under this Agreement shall be in writing and served by delivering the same by hand or sending the same by pre-paid first class or registered post to an address in England, </w:t>
      </w:r>
      <w:proofErr w:type="gramStart"/>
      <w:r w:rsidRPr="00E538A1">
        <w:rPr>
          <w:rFonts w:cs="Arial"/>
          <w:szCs w:val="20"/>
        </w:rPr>
        <w:t>Wales</w:t>
      </w:r>
      <w:proofErr w:type="gramEnd"/>
      <w:r w:rsidRPr="00E538A1">
        <w:rPr>
          <w:rFonts w:cs="Arial"/>
          <w:szCs w:val="20"/>
        </w:rPr>
        <w:t xml:space="preserve"> or Scotland. </w:t>
      </w:r>
      <w:r w:rsidRPr="00E538A1">
        <w:rPr>
          <w:rFonts w:cs="Arial"/>
          <w:bCs w:val="0"/>
          <w:szCs w:val="20"/>
        </w:rPr>
        <w:t xml:space="preserve">In addition, notices given by the Parties under this Agreement can also be by facsimile or by email (provided that any notice sent by email is confirmed by sending a copy of the notice by pre-paid first class or registered post), </w:t>
      </w:r>
      <w:r w:rsidRPr="00E538A1">
        <w:rPr>
          <w:rFonts w:cs="Arial"/>
          <w:szCs w:val="20"/>
        </w:rPr>
        <w:t>to the address and for the attention of the relevant Party set out below:</w:t>
      </w:r>
      <w:bookmarkEnd w:id="1527"/>
    </w:p>
    <w:p w14:paraId="57C4590D" w14:textId="77777777" w:rsidR="00E538A1" w:rsidRPr="00E538A1" w:rsidRDefault="00E538A1" w:rsidP="00E538A1">
      <w:pPr>
        <w:pStyle w:val="BodyText2"/>
        <w:rPr>
          <w:rFonts w:cs="Arial"/>
          <w:b/>
          <w:bCs/>
          <w:szCs w:val="20"/>
        </w:rPr>
      </w:pPr>
      <w:r w:rsidRPr="00E538A1">
        <w:rPr>
          <w:rFonts w:cs="Arial"/>
          <w:b/>
          <w:bCs/>
          <w:szCs w:val="20"/>
          <w:highlight w:val="yellow"/>
        </w:rPr>
        <w:t>[Note to Bidders: Details to be inserted in final draft]</w:t>
      </w:r>
    </w:p>
    <w:p w14:paraId="22993A84" w14:textId="77777777" w:rsidR="00E538A1" w:rsidRPr="00E538A1" w:rsidRDefault="00E538A1" w:rsidP="00E538A1">
      <w:pPr>
        <w:pStyle w:val="BodyText2"/>
        <w:keepNext/>
        <w:rPr>
          <w:rFonts w:cs="Arial"/>
          <w:b/>
          <w:bCs/>
          <w:szCs w:val="20"/>
        </w:rPr>
      </w:pPr>
      <w:r w:rsidRPr="00E538A1">
        <w:rPr>
          <w:rFonts w:cs="Arial"/>
          <w:b/>
          <w:bCs/>
          <w:szCs w:val="20"/>
        </w:rPr>
        <w:t>If to Customer:</w:t>
      </w:r>
    </w:p>
    <w:p w14:paraId="6B6697EB" w14:textId="77777777" w:rsidR="00E538A1" w:rsidRPr="00E538A1" w:rsidRDefault="00E538A1" w:rsidP="00E538A1">
      <w:pPr>
        <w:pStyle w:val="BodyText2"/>
        <w:keepNext/>
        <w:spacing w:after="0"/>
        <w:rPr>
          <w:rFonts w:cs="Arial"/>
          <w:szCs w:val="20"/>
        </w:rPr>
      </w:pPr>
      <w:r w:rsidRPr="00E538A1">
        <w:rPr>
          <w:rFonts w:cs="Arial"/>
          <w:szCs w:val="20"/>
        </w:rPr>
        <w:t xml:space="preserve">For the attention of: </w:t>
      </w:r>
      <w:r w:rsidRPr="00E538A1">
        <w:rPr>
          <w:rFonts w:cs="Arial"/>
          <w:szCs w:val="20"/>
        </w:rPr>
        <w:tab/>
        <w:t>Company Secretary</w:t>
      </w:r>
    </w:p>
    <w:p w14:paraId="59DEF487" w14:textId="77777777" w:rsidR="00E538A1" w:rsidRPr="00E538A1" w:rsidRDefault="00E538A1" w:rsidP="00E538A1">
      <w:pPr>
        <w:pStyle w:val="BodyText2"/>
        <w:spacing w:after="0"/>
        <w:rPr>
          <w:rFonts w:cs="Arial"/>
          <w:szCs w:val="20"/>
        </w:rPr>
      </w:pPr>
      <w:r w:rsidRPr="00E538A1">
        <w:rPr>
          <w:rFonts w:cs="Arial"/>
          <w:szCs w:val="20"/>
        </w:rPr>
        <w:tab/>
      </w:r>
      <w:r w:rsidRPr="00E538A1">
        <w:rPr>
          <w:rFonts w:cs="Arial"/>
          <w:szCs w:val="20"/>
        </w:rPr>
        <w:tab/>
      </w:r>
      <w:r w:rsidRPr="00E538A1">
        <w:rPr>
          <w:rFonts w:cs="Arial"/>
          <w:szCs w:val="20"/>
        </w:rPr>
        <w:tab/>
      </w:r>
    </w:p>
    <w:p w14:paraId="5957B715" w14:textId="77777777" w:rsidR="00E538A1" w:rsidRPr="00E538A1" w:rsidRDefault="00E538A1" w:rsidP="00E538A1">
      <w:pPr>
        <w:pStyle w:val="BodyText2"/>
        <w:spacing w:after="0"/>
        <w:rPr>
          <w:rFonts w:cs="Arial"/>
          <w:szCs w:val="20"/>
        </w:rPr>
      </w:pPr>
      <w:r w:rsidRPr="00E538A1">
        <w:rPr>
          <w:rFonts w:cs="Arial"/>
          <w:szCs w:val="20"/>
        </w:rPr>
        <w:t xml:space="preserve">Address: </w:t>
      </w:r>
      <w:r w:rsidRPr="00E538A1">
        <w:rPr>
          <w:rFonts w:cs="Arial"/>
          <w:szCs w:val="20"/>
        </w:rPr>
        <w:tab/>
      </w:r>
      <w:r w:rsidRPr="00E538A1">
        <w:rPr>
          <w:rFonts w:cs="Arial"/>
          <w:szCs w:val="20"/>
        </w:rPr>
        <w:tab/>
      </w:r>
    </w:p>
    <w:p w14:paraId="15178AE1" w14:textId="77777777" w:rsidR="00E538A1" w:rsidRPr="00E538A1" w:rsidRDefault="00E538A1" w:rsidP="00E538A1">
      <w:pPr>
        <w:pStyle w:val="BodyText2"/>
        <w:spacing w:after="0"/>
        <w:ind w:left="0"/>
        <w:rPr>
          <w:rFonts w:cs="Arial"/>
          <w:szCs w:val="20"/>
        </w:rPr>
      </w:pPr>
    </w:p>
    <w:p w14:paraId="4337A2F1" w14:textId="77777777" w:rsidR="00E538A1" w:rsidRPr="00E538A1" w:rsidRDefault="00E538A1" w:rsidP="00E538A1">
      <w:pPr>
        <w:pStyle w:val="BodyText2"/>
        <w:rPr>
          <w:rFonts w:cs="Arial"/>
          <w:b/>
          <w:bCs/>
          <w:szCs w:val="20"/>
        </w:rPr>
      </w:pPr>
      <w:r w:rsidRPr="00E538A1">
        <w:rPr>
          <w:rFonts w:cs="Arial"/>
          <w:b/>
          <w:bCs/>
          <w:szCs w:val="20"/>
        </w:rPr>
        <w:t>If to [Supplier details]:</w:t>
      </w:r>
    </w:p>
    <w:p w14:paraId="4872E326" w14:textId="77777777" w:rsidR="00E538A1" w:rsidRPr="00E538A1" w:rsidRDefault="00E538A1" w:rsidP="00E538A1">
      <w:pPr>
        <w:pStyle w:val="BodyText2"/>
        <w:spacing w:after="0"/>
        <w:rPr>
          <w:rFonts w:cs="Arial"/>
          <w:szCs w:val="20"/>
        </w:rPr>
      </w:pPr>
      <w:r w:rsidRPr="00E538A1">
        <w:rPr>
          <w:rFonts w:cs="Arial"/>
          <w:szCs w:val="20"/>
        </w:rPr>
        <w:t>For the attention of:</w:t>
      </w:r>
      <w:r w:rsidRPr="00E538A1">
        <w:rPr>
          <w:rFonts w:cs="Arial"/>
          <w:szCs w:val="20"/>
        </w:rPr>
        <w:tab/>
      </w:r>
    </w:p>
    <w:p w14:paraId="7A80FC59" w14:textId="77777777" w:rsidR="00E538A1" w:rsidRPr="00E538A1" w:rsidRDefault="00E538A1" w:rsidP="00E538A1">
      <w:pPr>
        <w:pStyle w:val="BodyText2"/>
        <w:spacing w:after="0"/>
        <w:rPr>
          <w:rFonts w:cs="Arial"/>
          <w:szCs w:val="20"/>
        </w:rPr>
      </w:pPr>
    </w:p>
    <w:p w14:paraId="415DD07A" w14:textId="77777777" w:rsidR="00E538A1" w:rsidRPr="00E538A1" w:rsidRDefault="00E538A1" w:rsidP="00E538A1">
      <w:pPr>
        <w:pStyle w:val="BodyText2"/>
        <w:spacing w:after="0"/>
        <w:rPr>
          <w:rFonts w:cs="Arial"/>
          <w:szCs w:val="20"/>
        </w:rPr>
      </w:pPr>
      <w:r w:rsidRPr="00E538A1">
        <w:rPr>
          <w:rFonts w:cs="Arial"/>
          <w:szCs w:val="20"/>
        </w:rPr>
        <w:t>Address:</w:t>
      </w:r>
      <w:r w:rsidRPr="00E538A1">
        <w:rPr>
          <w:rFonts w:cs="Arial"/>
          <w:szCs w:val="20"/>
        </w:rPr>
        <w:tab/>
      </w:r>
      <w:r w:rsidRPr="00E538A1">
        <w:rPr>
          <w:rFonts w:cs="Arial"/>
          <w:szCs w:val="20"/>
        </w:rPr>
        <w:tab/>
      </w:r>
    </w:p>
    <w:p w14:paraId="4713B2C2" w14:textId="77777777" w:rsidR="00E538A1" w:rsidRPr="00E538A1" w:rsidRDefault="00E538A1" w:rsidP="00E538A1">
      <w:pPr>
        <w:pStyle w:val="BodyText2"/>
        <w:spacing w:after="0"/>
        <w:rPr>
          <w:rFonts w:cs="Arial"/>
          <w:szCs w:val="20"/>
        </w:rPr>
      </w:pPr>
    </w:p>
    <w:p w14:paraId="59BD9F88" w14:textId="77777777" w:rsidR="00E538A1" w:rsidRPr="00E538A1" w:rsidRDefault="00E538A1" w:rsidP="00E538A1">
      <w:pPr>
        <w:pStyle w:val="BodyText2"/>
        <w:spacing w:after="0"/>
        <w:rPr>
          <w:rFonts w:cs="Arial"/>
          <w:szCs w:val="20"/>
        </w:rPr>
      </w:pPr>
      <w:r w:rsidRPr="00E538A1">
        <w:rPr>
          <w:rFonts w:cs="Arial"/>
          <w:szCs w:val="20"/>
        </w:rPr>
        <w:t xml:space="preserve">Email: </w:t>
      </w:r>
      <w:r w:rsidRPr="00E538A1">
        <w:rPr>
          <w:rFonts w:cs="Arial"/>
          <w:szCs w:val="20"/>
        </w:rPr>
        <w:tab/>
      </w:r>
      <w:r w:rsidRPr="00E538A1">
        <w:rPr>
          <w:rFonts w:cs="Arial"/>
          <w:szCs w:val="20"/>
        </w:rPr>
        <w:tab/>
      </w:r>
      <w:r w:rsidRPr="00E538A1">
        <w:rPr>
          <w:rFonts w:cs="Arial"/>
          <w:szCs w:val="20"/>
        </w:rPr>
        <w:tab/>
      </w:r>
    </w:p>
    <w:p w14:paraId="5A9E0330" w14:textId="77777777" w:rsidR="00E538A1" w:rsidRPr="00E538A1" w:rsidRDefault="00E538A1" w:rsidP="00E538A1">
      <w:pPr>
        <w:pStyle w:val="BodyText2"/>
        <w:spacing w:after="0"/>
        <w:rPr>
          <w:rFonts w:cs="Arial"/>
          <w:szCs w:val="20"/>
        </w:rPr>
      </w:pPr>
    </w:p>
    <w:p w14:paraId="7AED4005" w14:textId="77777777" w:rsidR="00E538A1" w:rsidRPr="00E538A1" w:rsidRDefault="00E538A1" w:rsidP="00E538A1">
      <w:pPr>
        <w:pStyle w:val="BodyText2"/>
        <w:rPr>
          <w:rFonts w:cs="Arial"/>
          <w:b/>
          <w:bCs/>
          <w:szCs w:val="20"/>
        </w:rPr>
      </w:pPr>
    </w:p>
    <w:p w14:paraId="7ABDFC1F" w14:textId="77777777" w:rsidR="00E538A1" w:rsidRPr="00E538A1" w:rsidRDefault="00E538A1" w:rsidP="00E538A1">
      <w:pPr>
        <w:pStyle w:val="BodyText2"/>
        <w:rPr>
          <w:rFonts w:cs="Arial"/>
          <w:b/>
          <w:bCs/>
          <w:szCs w:val="20"/>
        </w:rPr>
      </w:pPr>
      <w:r w:rsidRPr="00E538A1">
        <w:rPr>
          <w:rFonts w:cs="Arial"/>
          <w:b/>
          <w:bCs/>
          <w:szCs w:val="20"/>
        </w:rPr>
        <w:t>If to [Supplier Details]:</w:t>
      </w:r>
    </w:p>
    <w:p w14:paraId="657E1849" w14:textId="77777777" w:rsidR="00E538A1" w:rsidRPr="00E538A1" w:rsidRDefault="00E538A1" w:rsidP="00E538A1">
      <w:pPr>
        <w:pStyle w:val="BodyText2"/>
        <w:spacing w:after="0"/>
        <w:rPr>
          <w:rFonts w:cs="Arial"/>
          <w:szCs w:val="20"/>
        </w:rPr>
      </w:pPr>
      <w:r w:rsidRPr="00E538A1">
        <w:rPr>
          <w:rFonts w:cs="Arial"/>
          <w:szCs w:val="20"/>
        </w:rPr>
        <w:t>For the attention of:</w:t>
      </w:r>
      <w:r w:rsidRPr="00E538A1">
        <w:rPr>
          <w:rFonts w:cs="Arial"/>
          <w:szCs w:val="20"/>
        </w:rPr>
        <w:tab/>
      </w:r>
    </w:p>
    <w:p w14:paraId="31769F6F" w14:textId="77777777" w:rsidR="00E538A1" w:rsidRPr="00E538A1" w:rsidRDefault="00E538A1" w:rsidP="00E538A1">
      <w:pPr>
        <w:pStyle w:val="BodyText2"/>
        <w:spacing w:after="0"/>
        <w:rPr>
          <w:rFonts w:cs="Arial"/>
          <w:szCs w:val="20"/>
        </w:rPr>
      </w:pPr>
    </w:p>
    <w:p w14:paraId="2ECF22EB" w14:textId="77777777" w:rsidR="00E538A1" w:rsidRPr="00E538A1" w:rsidRDefault="00E538A1" w:rsidP="00E538A1">
      <w:pPr>
        <w:pStyle w:val="BodyText2"/>
        <w:spacing w:after="0"/>
        <w:rPr>
          <w:rFonts w:cs="Arial"/>
          <w:szCs w:val="20"/>
        </w:rPr>
      </w:pPr>
      <w:r w:rsidRPr="00E538A1">
        <w:rPr>
          <w:rFonts w:cs="Arial"/>
          <w:szCs w:val="20"/>
        </w:rPr>
        <w:t>Address:</w:t>
      </w:r>
      <w:r w:rsidRPr="00E538A1">
        <w:rPr>
          <w:rFonts w:cs="Arial"/>
          <w:szCs w:val="20"/>
        </w:rPr>
        <w:tab/>
      </w:r>
      <w:r w:rsidRPr="00E538A1">
        <w:rPr>
          <w:rFonts w:cs="Arial"/>
          <w:szCs w:val="20"/>
        </w:rPr>
        <w:tab/>
      </w:r>
    </w:p>
    <w:p w14:paraId="5B7B50AF" w14:textId="77777777" w:rsidR="00E538A1" w:rsidRPr="00E538A1" w:rsidRDefault="00E538A1" w:rsidP="00E538A1">
      <w:pPr>
        <w:pStyle w:val="BodyText2"/>
        <w:spacing w:after="0"/>
        <w:rPr>
          <w:rFonts w:cs="Arial"/>
          <w:szCs w:val="20"/>
        </w:rPr>
      </w:pPr>
    </w:p>
    <w:p w14:paraId="24D33613" w14:textId="77777777" w:rsidR="00E538A1" w:rsidRPr="00E538A1" w:rsidRDefault="00E538A1" w:rsidP="00E538A1">
      <w:pPr>
        <w:pStyle w:val="BodyText2"/>
        <w:spacing w:after="0"/>
        <w:rPr>
          <w:rFonts w:cs="Arial"/>
          <w:szCs w:val="20"/>
        </w:rPr>
      </w:pPr>
      <w:r w:rsidRPr="00E538A1">
        <w:rPr>
          <w:rFonts w:cs="Arial"/>
          <w:szCs w:val="20"/>
        </w:rPr>
        <w:t xml:space="preserve">Email: </w:t>
      </w:r>
      <w:r w:rsidRPr="00E538A1">
        <w:rPr>
          <w:rFonts w:cs="Arial"/>
          <w:szCs w:val="20"/>
        </w:rPr>
        <w:tab/>
      </w:r>
      <w:r w:rsidRPr="00E538A1">
        <w:rPr>
          <w:rFonts w:cs="Arial"/>
          <w:szCs w:val="20"/>
        </w:rPr>
        <w:tab/>
      </w:r>
      <w:r w:rsidRPr="00E538A1">
        <w:rPr>
          <w:rFonts w:cs="Arial"/>
          <w:szCs w:val="20"/>
        </w:rPr>
        <w:tab/>
      </w:r>
    </w:p>
    <w:p w14:paraId="55CE2AFA" w14:textId="77777777" w:rsidR="00E538A1" w:rsidRPr="00E538A1" w:rsidRDefault="00E538A1" w:rsidP="00E538A1">
      <w:pPr>
        <w:pStyle w:val="BodyText2"/>
        <w:spacing w:after="0"/>
        <w:rPr>
          <w:rFonts w:cs="Arial"/>
          <w:szCs w:val="20"/>
        </w:rPr>
      </w:pPr>
    </w:p>
    <w:p w14:paraId="61539BE0" w14:textId="77777777" w:rsidR="00E538A1" w:rsidRPr="00E538A1" w:rsidRDefault="00E538A1" w:rsidP="00E538A1">
      <w:pPr>
        <w:pStyle w:val="BodyText2"/>
        <w:spacing w:after="0"/>
        <w:rPr>
          <w:rFonts w:cs="Arial"/>
          <w:szCs w:val="20"/>
        </w:rPr>
      </w:pPr>
    </w:p>
    <w:p w14:paraId="5F8FBF28" w14:textId="77777777" w:rsidR="00E538A1" w:rsidRPr="00E538A1" w:rsidRDefault="00E538A1" w:rsidP="00E538A1">
      <w:pPr>
        <w:spacing w:after="240"/>
        <w:ind w:left="720"/>
        <w:rPr>
          <w:rFonts w:cs="Arial"/>
          <w:b/>
          <w:bCs/>
          <w:szCs w:val="20"/>
        </w:rPr>
      </w:pPr>
      <w:r w:rsidRPr="00E538A1">
        <w:rPr>
          <w:rFonts w:cs="Arial"/>
          <w:b/>
          <w:bCs/>
          <w:szCs w:val="20"/>
        </w:rPr>
        <w:t xml:space="preserve">If to any Acceding Member: </w:t>
      </w:r>
      <w:r w:rsidRPr="00E538A1">
        <w:rPr>
          <w:rFonts w:cs="Arial"/>
          <w:bCs/>
          <w:szCs w:val="20"/>
        </w:rPr>
        <w:t>The address specified in the relevant Accession Agreement.</w:t>
      </w:r>
    </w:p>
    <w:p w14:paraId="28A5591E"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Documents relating to legal proceedings: Where any claim forms, application notices, judgments, </w:t>
      </w:r>
      <w:proofErr w:type="gramStart"/>
      <w:r w:rsidRPr="00E538A1">
        <w:rPr>
          <w:rFonts w:cs="Arial"/>
          <w:szCs w:val="20"/>
        </w:rPr>
        <w:t>orders</w:t>
      </w:r>
      <w:proofErr w:type="gramEnd"/>
      <w:r w:rsidRPr="00E538A1">
        <w:rPr>
          <w:rFonts w:cs="Arial"/>
          <w:szCs w:val="20"/>
        </w:rPr>
        <w:t xml:space="preserve"> or other notices of legal process relating to a Party are delivered to or served on another Party, the recipient Party shall immediately notify the other Party of such documents and immediately forward the same to it for its urgent attention.</w:t>
      </w:r>
    </w:p>
    <w:p w14:paraId="6A58A9D7" w14:textId="77777777" w:rsidR="00E538A1" w:rsidRPr="00E538A1" w:rsidRDefault="00E538A1" w:rsidP="009D675B">
      <w:pPr>
        <w:pStyle w:val="Heading2"/>
        <w:numPr>
          <w:ilvl w:val="1"/>
          <w:numId w:val="102"/>
        </w:numPr>
        <w:ind w:left="709" w:hanging="709"/>
        <w:rPr>
          <w:rFonts w:cs="Arial"/>
          <w:b/>
          <w:bCs w:val="0"/>
          <w:szCs w:val="20"/>
        </w:rPr>
      </w:pPr>
      <w:r w:rsidRPr="00E538A1">
        <w:rPr>
          <w:rFonts w:cs="Arial"/>
          <w:szCs w:val="20"/>
        </w:rPr>
        <w:t xml:space="preserve">Timing of notices:  </w:t>
      </w:r>
    </w:p>
    <w:p w14:paraId="6678840E"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Notices sent by post shall be effective on the earlier of:</w:t>
      </w:r>
    </w:p>
    <w:p w14:paraId="386EFCF4" w14:textId="77777777" w:rsidR="00E538A1" w:rsidRPr="00E538A1" w:rsidRDefault="00E538A1" w:rsidP="009D675B">
      <w:pPr>
        <w:pStyle w:val="Heading5"/>
        <w:numPr>
          <w:ilvl w:val="4"/>
          <w:numId w:val="102"/>
        </w:numPr>
        <w:tabs>
          <w:tab w:val="clear" w:pos="2160"/>
          <w:tab w:val="num" w:pos="3119"/>
        </w:tabs>
        <w:ind w:left="3119" w:hanging="709"/>
        <w:rPr>
          <w:rFonts w:cs="Arial"/>
          <w:szCs w:val="20"/>
        </w:rPr>
      </w:pPr>
      <w:r w:rsidRPr="00E538A1">
        <w:rPr>
          <w:rFonts w:cs="Arial"/>
          <w:szCs w:val="20"/>
        </w:rPr>
        <w:t>actual receipt; and</w:t>
      </w:r>
    </w:p>
    <w:p w14:paraId="14EAFDC0" w14:textId="77777777" w:rsidR="00E538A1" w:rsidRPr="00E538A1" w:rsidRDefault="00E538A1" w:rsidP="009D675B">
      <w:pPr>
        <w:pStyle w:val="Heading5"/>
        <w:numPr>
          <w:ilvl w:val="4"/>
          <w:numId w:val="102"/>
        </w:numPr>
        <w:tabs>
          <w:tab w:val="clear" w:pos="2160"/>
          <w:tab w:val="num" w:pos="3119"/>
        </w:tabs>
        <w:ind w:left="3119" w:hanging="709"/>
        <w:rPr>
          <w:rFonts w:cs="Arial"/>
          <w:szCs w:val="20"/>
        </w:rPr>
      </w:pPr>
      <w:r w:rsidRPr="00E538A1">
        <w:rPr>
          <w:rFonts w:cs="Arial"/>
          <w:szCs w:val="20"/>
        </w:rPr>
        <w:t>five (5) Business Days from mailing; and</w:t>
      </w:r>
    </w:p>
    <w:p w14:paraId="161571D0" w14:textId="77777777" w:rsidR="00E538A1" w:rsidRPr="00E538A1" w:rsidRDefault="00E538A1" w:rsidP="009D675B">
      <w:pPr>
        <w:pStyle w:val="Heading4"/>
        <w:numPr>
          <w:ilvl w:val="3"/>
          <w:numId w:val="102"/>
        </w:numPr>
        <w:tabs>
          <w:tab w:val="clear" w:pos="1440"/>
          <w:tab w:val="num" w:pos="1702"/>
        </w:tabs>
        <w:ind w:left="1702" w:hanging="709"/>
        <w:rPr>
          <w:rFonts w:cs="Arial"/>
          <w:szCs w:val="20"/>
        </w:rPr>
      </w:pPr>
      <w:r w:rsidRPr="00E538A1">
        <w:rPr>
          <w:rFonts w:cs="Arial"/>
          <w:szCs w:val="20"/>
        </w:rPr>
        <w:t xml:space="preserve">Notices delivered by hand shall be effective on delivery. </w:t>
      </w:r>
    </w:p>
    <w:p w14:paraId="4FBC01D7"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Change of address:  Any Party may change its nominated address, facsimile </w:t>
      </w:r>
      <w:proofErr w:type="gramStart"/>
      <w:r w:rsidRPr="00E538A1">
        <w:rPr>
          <w:rFonts w:cs="Arial"/>
          <w:szCs w:val="20"/>
        </w:rPr>
        <w:t>number</w:t>
      </w:r>
      <w:proofErr w:type="gramEnd"/>
      <w:r w:rsidRPr="00E538A1">
        <w:rPr>
          <w:rFonts w:cs="Arial"/>
          <w:szCs w:val="20"/>
        </w:rPr>
        <w:t xml:space="preserve"> or email address by prior written notice to the other Parties.</w:t>
      </w:r>
    </w:p>
    <w:p w14:paraId="7A9F87AB" w14:textId="77777777" w:rsidR="00E538A1" w:rsidRPr="00E538A1" w:rsidRDefault="00E538A1" w:rsidP="009D675B">
      <w:pPr>
        <w:pStyle w:val="Heading1"/>
        <w:numPr>
          <w:ilvl w:val="0"/>
          <w:numId w:val="102"/>
        </w:numPr>
        <w:ind w:left="709" w:hanging="709"/>
        <w:rPr>
          <w:rFonts w:cs="Arial"/>
          <w:szCs w:val="20"/>
        </w:rPr>
      </w:pPr>
      <w:bookmarkStart w:id="1528" w:name="_Toc370288042"/>
      <w:bookmarkStart w:id="1529" w:name="_Toc57263877"/>
      <w:bookmarkStart w:id="1530" w:name="_Toc69894211"/>
      <w:bookmarkStart w:id="1531" w:name="_Toc69894426"/>
      <w:bookmarkStart w:id="1532" w:name="_Toc231188003"/>
      <w:r w:rsidRPr="00E538A1">
        <w:rPr>
          <w:rFonts w:cs="Arial"/>
          <w:szCs w:val="20"/>
        </w:rPr>
        <w:t>Service of process</w:t>
      </w:r>
      <w:bookmarkEnd w:id="1528"/>
      <w:bookmarkEnd w:id="1529"/>
    </w:p>
    <w:p w14:paraId="5524A0E8" w14:textId="77777777" w:rsidR="00E538A1" w:rsidRPr="00E538A1" w:rsidRDefault="00E538A1" w:rsidP="00E538A1">
      <w:pPr>
        <w:pStyle w:val="Heading2"/>
        <w:numPr>
          <w:ilvl w:val="0"/>
          <w:numId w:val="0"/>
        </w:numPr>
        <w:ind w:left="720"/>
        <w:rPr>
          <w:rFonts w:cs="Arial"/>
          <w:szCs w:val="20"/>
        </w:rPr>
      </w:pPr>
      <w:r w:rsidRPr="00E538A1">
        <w:rPr>
          <w:rFonts w:cs="Arial"/>
          <w:szCs w:val="20"/>
        </w:rPr>
        <w:t xml:space="preserve">Any claim forms, application notices, judgments, orders or other notices of legal process relating to this Agreement may be served by posting it by pre-paid first class recorded delivery post, or delivered by hand to the address for the appropriate Party as follows (or to another address for service in England given in accordance with Clause </w:t>
      </w:r>
      <w:r w:rsidRPr="00E538A1">
        <w:rPr>
          <w:rFonts w:cs="Arial"/>
          <w:szCs w:val="20"/>
        </w:rPr>
        <w:fldChar w:fldCharType="begin"/>
      </w:r>
      <w:r w:rsidRPr="00E538A1">
        <w:rPr>
          <w:rFonts w:cs="Arial"/>
          <w:szCs w:val="20"/>
        </w:rPr>
        <w:instrText xml:space="preserve"> REF _Ref205994177 \w \h  \* MERGEFORMAT </w:instrText>
      </w:r>
      <w:r w:rsidRPr="00E538A1">
        <w:rPr>
          <w:rFonts w:cs="Arial"/>
          <w:szCs w:val="20"/>
        </w:rPr>
      </w:r>
      <w:r w:rsidRPr="00E538A1">
        <w:rPr>
          <w:rFonts w:cs="Arial"/>
          <w:szCs w:val="20"/>
        </w:rPr>
        <w:fldChar w:fldCharType="separate"/>
      </w:r>
      <w:r w:rsidRPr="00E538A1">
        <w:rPr>
          <w:rFonts w:cs="Arial"/>
          <w:szCs w:val="20"/>
        </w:rPr>
        <w:t>23</w:t>
      </w:r>
      <w:r w:rsidRPr="00E538A1">
        <w:rPr>
          <w:rFonts w:cs="Arial"/>
          <w:szCs w:val="20"/>
        </w:rPr>
        <w:fldChar w:fldCharType="end"/>
      </w:r>
      <w:r w:rsidRPr="00E538A1">
        <w:rPr>
          <w:rFonts w:cs="Arial"/>
          <w:szCs w:val="20"/>
        </w:rPr>
        <w:t xml:space="preserve"> (Communications) to Customer):</w:t>
      </w:r>
    </w:p>
    <w:p w14:paraId="793DD2CC" w14:textId="77777777" w:rsidR="00E538A1" w:rsidRPr="00E538A1" w:rsidRDefault="00E538A1" w:rsidP="009D675B">
      <w:pPr>
        <w:pStyle w:val="Heading4"/>
        <w:keepNext/>
        <w:numPr>
          <w:ilvl w:val="3"/>
          <w:numId w:val="102"/>
        </w:numPr>
        <w:tabs>
          <w:tab w:val="clear" w:pos="1440"/>
          <w:tab w:val="num" w:pos="1702"/>
        </w:tabs>
        <w:ind w:left="1702" w:hanging="709"/>
        <w:rPr>
          <w:rFonts w:cs="Arial"/>
          <w:szCs w:val="20"/>
        </w:rPr>
      </w:pPr>
      <w:r w:rsidRPr="00E538A1">
        <w:rPr>
          <w:rFonts w:cs="Arial"/>
          <w:szCs w:val="20"/>
        </w:rPr>
        <w:t xml:space="preserve">Supplier </w:t>
      </w:r>
      <w:r w:rsidRPr="00E538A1">
        <w:rPr>
          <w:rFonts w:cs="Arial"/>
          <w:b/>
          <w:bCs w:val="0"/>
          <w:szCs w:val="20"/>
          <w:highlight w:val="yellow"/>
        </w:rPr>
        <w:t>[Note to Bidders: contact details to be inserted where they differ from Cl. 23 details]</w:t>
      </w:r>
    </w:p>
    <w:p w14:paraId="53CCD93D" w14:textId="77777777" w:rsidR="00E538A1" w:rsidRPr="00E538A1" w:rsidRDefault="00E538A1" w:rsidP="009D675B">
      <w:pPr>
        <w:pStyle w:val="Heading1"/>
        <w:keepNext w:val="0"/>
        <w:numPr>
          <w:ilvl w:val="0"/>
          <w:numId w:val="102"/>
        </w:numPr>
        <w:ind w:left="709" w:hanging="709"/>
        <w:rPr>
          <w:rFonts w:cs="Arial"/>
          <w:szCs w:val="20"/>
        </w:rPr>
      </w:pPr>
      <w:bookmarkStart w:id="1533" w:name="_Toc57263878"/>
      <w:r w:rsidRPr="00E538A1">
        <w:rPr>
          <w:rFonts w:cs="Arial"/>
          <w:szCs w:val="20"/>
        </w:rPr>
        <w:t>No agency or partnership</w:t>
      </w:r>
      <w:bookmarkEnd w:id="1530"/>
      <w:bookmarkEnd w:id="1531"/>
      <w:bookmarkEnd w:id="1532"/>
      <w:bookmarkEnd w:id="1533"/>
    </w:p>
    <w:p w14:paraId="74B6E02F"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No partnership:  Nothing in this Agreement shall be construed as creating a partnership or relationship of employment between any Party.</w:t>
      </w:r>
    </w:p>
    <w:p w14:paraId="26C361EA"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No agency:  Save as otherwise expressly provided in this Agreement, no Party shall be or be deemed to be an agent of any other Party and shall not hold itself out as having authority or power to bind any other Party in any way.</w:t>
      </w:r>
    </w:p>
    <w:p w14:paraId="309004C8" w14:textId="77777777" w:rsidR="00E538A1" w:rsidRPr="00E538A1" w:rsidRDefault="00E538A1" w:rsidP="009D675B">
      <w:pPr>
        <w:pStyle w:val="Heading1"/>
        <w:keepNext w:val="0"/>
        <w:numPr>
          <w:ilvl w:val="0"/>
          <w:numId w:val="102"/>
        </w:numPr>
        <w:ind w:left="709" w:hanging="709"/>
        <w:rPr>
          <w:rFonts w:cs="Arial"/>
          <w:szCs w:val="20"/>
        </w:rPr>
      </w:pPr>
      <w:bookmarkStart w:id="1534" w:name="_Toc231188004"/>
      <w:bookmarkStart w:id="1535" w:name="_Ref323154122"/>
      <w:bookmarkStart w:id="1536" w:name="_Toc57263879"/>
      <w:r w:rsidRPr="00E538A1">
        <w:rPr>
          <w:rFonts w:cs="Arial"/>
          <w:szCs w:val="20"/>
        </w:rPr>
        <w:t>Third party rights</w:t>
      </w:r>
      <w:bookmarkEnd w:id="1534"/>
      <w:bookmarkEnd w:id="1535"/>
      <w:bookmarkEnd w:id="1536"/>
    </w:p>
    <w:p w14:paraId="20143E08"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Third parties:  For the purposes of the Contracts (Rights of Third Parties) Act 1999, this Agreement is not intended to, and does not, give any person who is not a Party (including any Affiliate) any rights to enforce any provisions contained in it except that each right expressed to be favour of Customer under this Agreement may be enforced by any other member of the Customer Group (as if, and to the same extent as, such right is expressed to be in favour of Customer).</w:t>
      </w:r>
    </w:p>
    <w:p w14:paraId="439C766C"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Rights in Approved Sub-Contracts:  Each Member shall ensure that each Approved Sub-Contract shall entitle the Customer to enforce that Approved Sub-Contract in place of the Member (whether under the Contracts (Rights of Third Parties) Act 1999 or otherwise).</w:t>
      </w:r>
    </w:p>
    <w:p w14:paraId="6477EBF1" w14:textId="77777777" w:rsidR="00E538A1" w:rsidRPr="00E538A1" w:rsidRDefault="00E538A1" w:rsidP="009D675B">
      <w:pPr>
        <w:pStyle w:val="Heading1"/>
        <w:keepNext w:val="0"/>
        <w:numPr>
          <w:ilvl w:val="0"/>
          <w:numId w:val="102"/>
        </w:numPr>
        <w:ind w:left="709" w:hanging="709"/>
        <w:rPr>
          <w:rFonts w:cs="Arial"/>
          <w:szCs w:val="20"/>
        </w:rPr>
      </w:pPr>
      <w:bookmarkStart w:id="1537" w:name="_Toc231188006"/>
      <w:bookmarkStart w:id="1538" w:name="_Toc57263880"/>
      <w:r w:rsidRPr="00E538A1">
        <w:rPr>
          <w:rFonts w:cs="Arial"/>
          <w:szCs w:val="20"/>
        </w:rPr>
        <w:t>Severability</w:t>
      </w:r>
      <w:bookmarkEnd w:id="1537"/>
      <w:bookmarkEnd w:id="1538"/>
    </w:p>
    <w:p w14:paraId="67A36D2A" w14:textId="77777777" w:rsidR="00E538A1" w:rsidRPr="00E538A1" w:rsidRDefault="00E538A1" w:rsidP="00E538A1">
      <w:pPr>
        <w:pStyle w:val="Heading2"/>
        <w:numPr>
          <w:ilvl w:val="0"/>
          <w:numId w:val="0"/>
        </w:numPr>
        <w:ind w:left="709"/>
        <w:rPr>
          <w:rFonts w:cs="Arial"/>
          <w:szCs w:val="20"/>
        </w:rPr>
      </w:pPr>
      <w:r w:rsidRPr="00E538A1">
        <w:rPr>
          <w:rFonts w:cs="Arial"/>
          <w:szCs w:val="20"/>
        </w:rPr>
        <w:t xml:space="preserve">If any provision of this Agreement shall be declared invalid, </w:t>
      </w:r>
      <w:proofErr w:type="gramStart"/>
      <w:r w:rsidRPr="00E538A1">
        <w:rPr>
          <w:rFonts w:cs="Arial"/>
          <w:szCs w:val="20"/>
        </w:rPr>
        <w:t>unenforceable</w:t>
      </w:r>
      <w:proofErr w:type="gramEnd"/>
      <w:r w:rsidRPr="00E538A1">
        <w:rPr>
          <w:rFonts w:cs="Arial"/>
          <w:szCs w:val="20"/>
        </w:rPr>
        <w:t xml:space="preserve"> or illegal by the courts of any jurisdiction to which it is subject, such provision may be severed and such </w:t>
      </w:r>
      <w:r w:rsidRPr="00E538A1">
        <w:rPr>
          <w:rFonts w:cs="Arial"/>
          <w:szCs w:val="20"/>
        </w:rPr>
        <w:lastRenderedPageBreak/>
        <w:t>invalidity, unenforceability or illegality shall not prejudice or affect the validity, enforceability or legality of the remaining provisions of this Agreement.</w:t>
      </w:r>
    </w:p>
    <w:p w14:paraId="039FE4B0" w14:textId="77777777" w:rsidR="00E538A1" w:rsidRPr="00E538A1" w:rsidRDefault="00E538A1" w:rsidP="009D675B">
      <w:pPr>
        <w:pStyle w:val="Heading1"/>
        <w:keepNext w:val="0"/>
        <w:numPr>
          <w:ilvl w:val="0"/>
          <w:numId w:val="102"/>
        </w:numPr>
        <w:ind w:left="709" w:hanging="709"/>
        <w:rPr>
          <w:rFonts w:cs="Arial"/>
          <w:szCs w:val="20"/>
        </w:rPr>
      </w:pPr>
      <w:bookmarkStart w:id="1539" w:name="_Toc69894215"/>
      <w:bookmarkStart w:id="1540" w:name="_Toc69894430"/>
      <w:bookmarkStart w:id="1541" w:name="_Toc231188007"/>
      <w:bookmarkStart w:id="1542" w:name="_Toc57263881"/>
      <w:r w:rsidRPr="00E538A1">
        <w:rPr>
          <w:rFonts w:cs="Arial"/>
          <w:szCs w:val="20"/>
        </w:rPr>
        <w:t>Counterparts</w:t>
      </w:r>
      <w:bookmarkEnd w:id="1539"/>
      <w:bookmarkEnd w:id="1540"/>
      <w:bookmarkEnd w:id="1541"/>
      <w:bookmarkEnd w:id="1542"/>
    </w:p>
    <w:p w14:paraId="2814F427" w14:textId="77777777" w:rsidR="00E538A1" w:rsidRPr="00E538A1" w:rsidRDefault="00E538A1" w:rsidP="00E538A1">
      <w:pPr>
        <w:pStyle w:val="BodyText1"/>
        <w:rPr>
          <w:rFonts w:cs="Arial"/>
          <w:szCs w:val="20"/>
        </w:rPr>
      </w:pPr>
      <w:bookmarkStart w:id="1543" w:name="_Toc525948335"/>
      <w:bookmarkStart w:id="1544" w:name="_Toc525954121"/>
      <w:bookmarkStart w:id="1545" w:name="_Toc525954353"/>
      <w:bookmarkStart w:id="1546" w:name="_Toc527433758"/>
      <w:bookmarkStart w:id="1547" w:name="_Toc527438012"/>
      <w:r w:rsidRPr="00E538A1">
        <w:rPr>
          <w:rFonts w:cs="Arial"/>
          <w:szCs w:val="20"/>
        </w:rPr>
        <w:t xml:space="preserve">This Agreement may be executed in </w:t>
      </w:r>
      <w:bookmarkEnd w:id="1543"/>
      <w:bookmarkEnd w:id="1544"/>
      <w:bookmarkEnd w:id="1545"/>
      <w:bookmarkEnd w:id="1546"/>
      <w:bookmarkEnd w:id="1547"/>
      <w:r w:rsidRPr="00E538A1">
        <w:rPr>
          <w:rFonts w:cs="Arial"/>
          <w:szCs w:val="20"/>
        </w:rPr>
        <w:t>any one or more counterparts.  Any single counterpart of a set of counterparts executed, in either case, by both Parties, shall constitute a full original of this Agreement for all purposes.</w:t>
      </w:r>
    </w:p>
    <w:p w14:paraId="46E74932" w14:textId="77777777" w:rsidR="00E538A1" w:rsidRPr="00E538A1" w:rsidRDefault="00E538A1" w:rsidP="009D675B">
      <w:pPr>
        <w:pStyle w:val="Heading1"/>
        <w:keepNext w:val="0"/>
        <w:numPr>
          <w:ilvl w:val="0"/>
          <w:numId w:val="102"/>
        </w:numPr>
        <w:ind w:left="709" w:hanging="709"/>
        <w:rPr>
          <w:rFonts w:cs="Arial"/>
          <w:szCs w:val="20"/>
        </w:rPr>
      </w:pPr>
      <w:bookmarkStart w:id="1548" w:name="_Toc231188008"/>
      <w:bookmarkStart w:id="1549" w:name="_Toc57263882"/>
      <w:bookmarkStart w:id="1550" w:name="_Toc69894217"/>
      <w:bookmarkStart w:id="1551" w:name="_Toc69894432"/>
      <w:r w:rsidRPr="00E538A1">
        <w:rPr>
          <w:rFonts w:cs="Arial"/>
          <w:szCs w:val="20"/>
        </w:rPr>
        <w:t>Costs and expenses</w:t>
      </w:r>
      <w:bookmarkEnd w:id="1548"/>
      <w:bookmarkEnd w:id="1549"/>
    </w:p>
    <w:p w14:paraId="31EFD284" w14:textId="77777777" w:rsidR="00E538A1" w:rsidRPr="00E538A1" w:rsidRDefault="00E538A1" w:rsidP="00E538A1">
      <w:pPr>
        <w:pStyle w:val="BodyText1"/>
        <w:rPr>
          <w:rFonts w:cs="Arial"/>
          <w:szCs w:val="20"/>
        </w:rPr>
      </w:pPr>
      <w:r w:rsidRPr="00E538A1">
        <w:rPr>
          <w:rFonts w:cs="Arial"/>
          <w:szCs w:val="20"/>
        </w:rPr>
        <w:t xml:space="preserve">Each Party shall bear its own costs and expenses incurred in connection with the negotiation, </w:t>
      </w:r>
      <w:proofErr w:type="gramStart"/>
      <w:r w:rsidRPr="00E538A1">
        <w:rPr>
          <w:rFonts w:cs="Arial"/>
          <w:szCs w:val="20"/>
        </w:rPr>
        <w:t>preparation</w:t>
      </w:r>
      <w:proofErr w:type="gramEnd"/>
      <w:r w:rsidRPr="00E538A1">
        <w:rPr>
          <w:rFonts w:cs="Arial"/>
          <w:szCs w:val="20"/>
        </w:rPr>
        <w:t xml:space="preserve"> and execution of this Agreement.</w:t>
      </w:r>
    </w:p>
    <w:p w14:paraId="586BD324" w14:textId="77777777" w:rsidR="00E538A1" w:rsidRPr="00E538A1" w:rsidRDefault="00E538A1" w:rsidP="009D675B">
      <w:pPr>
        <w:pStyle w:val="Heading1"/>
        <w:keepNext w:val="0"/>
        <w:numPr>
          <w:ilvl w:val="0"/>
          <w:numId w:val="102"/>
        </w:numPr>
        <w:ind w:left="709" w:hanging="709"/>
        <w:rPr>
          <w:rFonts w:cs="Arial"/>
          <w:szCs w:val="20"/>
        </w:rPr>
      </w:pPr>
      <w:bookmarkStart w:id="1552" w:name="_Ref205994222"/>
      <w:bookmarkStart w:id="1553" w:name="_Toc231188009"/>
      <w:bookmarkStart w:id="1554" w:name="_Toc57263883"/>
      <w:bookmarkEnd w:id="1550"/>
      <w:bookmarkEnd w:id="1551"/>
      <w:r w:rsidRPr="00E538A1">
        <w:rPr>
          <w:rFonts w:cs="Arial"/>
          <w:szCs w:val="20"/>
        </w:rPr>
        <w:t>Further assurance and good faith</w:t>
      </w:r>
      <w:bookmarkEnd w:id="1552"/>
      <w:bookmarkEnd w:id="1553"/>
      <w:bookmarkEnd w:id="1554"/>
    </w:p>
    <w:p w14:paraId="3B8FE6F7" w14:textId="77777777" w:rsidR="00E538A1" w:rsidRPr="00E538A1" w:rsidRDefault="00E538A1" w:rsidP="00E538A1">
      <w:pPr>
        <w:pStyle w:val="BodyText1"/>
        <w:rPr>
          <w:rFonts w:cs="Arial"/>
          <w:szCs w:val="20"/>
        </w:rPr>
      </w:pPr>
      <w:r w:rsidRPr="00E538A1">
        <w:rPr>
          <w:rFonts w:cs="Arial"/>
          <w:szCs w:val="20"/>
        </w:rPr>
        <w:t xml:space="preserve">Each Party shall execute all further documents and, do all such acts and things necessary or desirable to give full effect to this Agreement and, in particular, to vest to the relevant other Party the applicable rights in respect of the applicable IPR in accordance with Clause </w:t>
      </w:r>
      <w:r w:rsidRPr="00E538A1">
        <w:rPr>
          <w:rFonts w:cs="Arial"/>
          <w:szCs w:val="20"/>
        </w:rPr>
        <w:fldChar w:fldCharType="begin"/>
      </w:r>
      <w:r w:rsidRPr="00E538A1">
        <w:rPr>
          <w:rFonts w:cs="Arial"/>
          <w:szCs w:val="20"/>
        </w:rPr>
        <w:instrText xml:space="preserve"> REF _Ref205979507 \r \h  \* MERGEFORMAT </w:instrText>
      </w:r>
      <w:r w:rsidRPr="00E538A1">
        <w:rPr>
          <w:rFonts w:cs="Arial"/>
          <w:szCs w:val="20"/>
        </w:rPr>
      </w:r>
      <w:r w:rsidRPr="00E538A1">
        <w:rPr>
          <w:rFonts w:cs="Arial"/>
          <w:szCs w:val="20"/>
        </w:rPr>
        <w:fldChar w:fldCharType="separate"/>
      </w:r>
      <w:r w:rsidRPr="00E538A1">
        <w:rPr>
          <w:rFonts w:cs="Arial"/>
          <w:szCs w:val="20"/>
        </w:rPr>
        <w:t>10</w:t>
      </w:r>
      <w:r w:rsidRPr="00E538A1">
        <w:rPr>
          <w:rFonts w:cs="Arial"/>
          <w:szCs w:val="20"/>
        </w:rPr>
        <w:fldChar w:fldCharType="end"/>
      </w:r>
      <w:r w:rsidRPr="00E538A1">
        <w:rPr>
          <w:rFonts w:cs="Arial"/>
          <w:szCs w:val="20"/>
        </w:rPr>
        <w:t xml:space="preserve"> (Intellectual property).</w:t>
      </w:r>
    </w:p>
    <w:p w14:paraId="1A9C783C" w14:textId="77777777" w:rsidR="00E538A1" w:rsidRPr="00E538A1" w:rsidRDefault="00E538A1" w:rsidP="009D675B">
      <w:pPr>
        <w:pStyle w:val="Heading1"/>
        <w:keepNext w:val="0"/>
        <w:numPr>
          <w:ilvl w:val="0"/>
          <w:numId w:val="102"/>
        </w:numPr>
        <w:ind w:left="709" w:hanging="709"/>
        <w:rPr>
          <w:rFonts w:cs="Arial"/>
          <w:szCs w:val="20"/>
        </w:rPr>
      </w:pPr>
      <w:bookmarkStart w:id="1555" w:name="_Ref205994192"/>
      <w:bookmarkStart w:id="1556" w:name="_Toc231188010"/>
      <w:bookmarkStart w:id="1557" w:name="_Toc57263884"/>
      <w:r w:rsidRPr="00E538A1">
        <w:rPr>
          <w:rFonts w:cs="Arial"/>
          <w:szCs w:val="20"/>
        </w:rPr>
        <w:t>Governing law and jurisdiction</w:t>
      </w:r>
      <w:bookmarkEnd w:id="1555"/>
      <w:bookmarkEnd w:id="1556"/>
      <w:bookmarkEnd w:id="1557"/>
    </w:p>
    <w:p w14:paraId="7FBD5BDA"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Governing law: This Agreement and all non-contractual obligations arising out of or in connection with it shall be subject to the laws of England.</w:t>
      </w:r>
    </w:p>
    <w:p w14:paraId="1E79B408" w14:textId="77777777" w:rsidR="00E538A1" w:rsidRPr="00E538A1" w:rsidRDefault="00E538A1" w:rsidP="009D675B">
      <w:pPr>
        <w:pStyle w:val="Heading2"/>
        <w:numPr>
          <w:ilvl w:val="1"/>
          <w:numId w:val="102"/>
        </w:numPr>
        <w:ind w:left="709" w:hanging="709"/>
        <w:rPr>
          <w:rFonts w:cs="Arial"/>
          <w:szCs w:val="20"/>
        </w:rPr>
      </w:pPr>
      <w:bookmarkStart w:id="1558" w:name="_Ref390079888"/>
      <w:r w:rsidRPr="00E538A1">
        <w:rPr>
          <w:rFonts w:cs="Arial"/>
          <w:szCs w:val="20"/>
        </w:rPr>
        <w:t xml:space="preserve">Jurisdiction:  Subject to Clauses </w:t>
      </w:r>
      <w:r w:rsidRPr="00E538A1">
        <w:rPr>
          <w:rFonts w:cs="Arial"/>
          <w:szCs w:val="20"/>
        </w:rPr>
        <w:fldChar w:fldCharType="begin"/>
      </w:r>
      <w:r w:rsidRPr="00E538A1">
        <w:rPr>
          <w:rFonts w:cs="Arial"/>
          <w:szCs w:val="20"/>
        </w:rPr>
        <w:instrText xml:space="preserve"> REF _Ref201030388 \r \h  \* MERGEFORMAT </w:instrText>
      </w:r>
      <w:r w:rsidRPr="00E538A1">
        <w:rPr>
          <w:rFonts w:cs="Arial"/>
          <w:szCs w:val="20"/>
        </w:rPr>
      </w:r>
      <w:r w:rsidRPr="00E538A1">
        <w:rPr>
          <w:rFonts w:cs="Arial"/>
          <w:szCs w:val="20"/>
        </w:rPr>
        <w:fldChar w:fldCharType="separate"/>
      </w:r>
      <w:r w:rsidRPr="00E538A1">
        <w:rPr>
          <w:rFonts w:cs="Arial"/>
          <w:szCs w:val="20"/>
        </w:rPr>
        <w:t>15</w:t>
      </w:r>
      <w:r w:rsidRPr="00E538A1">
        <w:rPr>
          <w:rFonts w:cs="Arial"/>
          <w:szCs w:val="20"/>
        </w:rPr>
        <w:fldChar w:fldCharType="end"/>
      </w:r>
      <w:r w:rsidRPr="00E538A1">
        <w:rPr>
          <w:rFonts w:cs="Arial"/>
          <w:szCs w:val="20"/>
        </w:rPr>
        <w:t xml:space="preserve"> (Dispute Resolution), </w:t>
      </w:r>
      <w:r w:rsidRPr="00E538A1">
        <w:rPr>
          <w:rFonts w:cs="Arial"/>
          <w:szCs w:val="20"/>
        </w:rPr>
        <w:fldChar w:fldCharType="begin"/>
      </w:r>
      <w:r w:rsidRPr="00E538A1">
        <w:rPr>
          <w:rFonts w:cs="Arial"/>
          <w:szCs w:val="20"/>
        </w:rPr>
        <w:instrText xml:space="preserve"> REF _Ref390088054 \w \h  \* MERGEFORMAT </w:instrText>
      </w:r>
      <w:r w:rsidRPr="00E538A1">
        <w:rPr>
          <w:rFonts w:cs="Arial"/>
          <w:szCs w:val="20"/>
        </w:rPr>
      </w:r>
      <w:r w:rsidRPr="00E538A1">
        <w:rPr>
          <w:rFonts w:cs="Arial"/>
          <w:szCs w:val="20"/>
        </w:rPr>
        <w:fldChar w:fldCharType="separate"/>
      </w:r>
      <w:r w:rsidRPr="00E538A1">
        <w:rPr>
          <w:rFonts w:cs="Arial"/>
          <w:szCs w:val="20"/>
        </w:rPr>
        <w:t>17</w:t>
      </w:r>
      <w:r w:rsidRPr="00E538A1">
        <w:rPr>
          <w:rFonts w:cs="Arial"/>
          <w:szCs w:val="20"/>
        </w:rPr>
        <w:fldChar w:fldCharType="end"/>
      </w:r>
      <w:r w:rsidRPr="00E538A1">
        <w:rPr>
          <w:rFonts w:cs="Arial"/>
          <w:szCs w:val="20"/>
        </w:rPr>
        <w:t xml:space="preserve"> (Meditation), the Parties irrevocably agree for the benefit of the Customer, that the courts of England shall have exclusive jurisdiction to hear and settle any dispute arising out of or in connection with this Agreement, save that Customer (but not any other Party) may take proceedings against [Supplier ] in any other court of competent jurisdiction.  Each Party irrevocably agrees, in relation to any court whose jurisdiction is provided for in this Clause </w:t>
      </w:r>
      <w:r w:rsidRPr="00E538A1">
        <w:rPr>
          <w:rFonts w:cs="Arial"/>
          <w:szCs w:val="20"/>
        </w:rPr>
        <w:fldChar w:fldCharType="begin"/>
      </w:r>
      <w:r w:rsidRPr="00E538A1">
        <w:rPr>
          <w:rFonts w:cs="Arial"/>
          <w:szCs w:val="20"/>
        </w:rPr>
        <w:instrText xml:space="preserve"> REF _Ref390079888 \w \h  \* MERGEFORMAT </w:instrText>
      </w:r>
      <w:r w:rsidRPr="00E538A1">
        <w:rPr>
          <w:rFonts w:cs="Arial"/>
          <w:szCs w:val="20"/>
        </w:rPr>
      </w:r>
      <w:r w:rsidRPr="00E538A1">
        <w:rPr>
          <w:rFonts w:cs="Arial"/>
          <w:szCs w:val="20"/>
        </w:rPr>
        <w:fldChar w:fldCharType="separate"/>
      </w:r>
      <w:r w:rsidRPr="00E538A1">
        <w:rPr>
          <w:rFonts w:cs="Arial"/>
          <w:szCs w:val="20"/>
        </w:rPr>
        <w:t>31.2</w:t>
      </w:r>
      <w:r w:rsidRPr="00E538A1">
        <w:rPr>
          <w:rFonts w:cs="Arial"/>
          <w:szCs w:val="20"/>
        </w:rPr>
        <w:fldChar w:fldCharType="end"/>
      </w:r>
      <w:r w:rsidRPr="00E538A1">
        <w:rPr>
          <w:rFonts w:cs="Arial"/>
          <w:szCs w:val="20"/>
        </w:rPr>
        <w:t>:</w:t>
      </w:r>
      <w:bookmarkEnd w:id="1558"/>
    </w:p>
    <w:p w14:paraId="3DFC57DF" w14:textId="1D3388CE" w:rsidR="00E538A1" w:rsidRPr="00E538A1" w:rsidRDefault="00E538A1" w:rsidP="009D675B">
      <w:pPr>
        <w:pStyle w:val="Heading4"/>
        <w:keepNext/>
        <w:numPr>
          <w:ilvl w:val="3"/>
          <w:numId w:val="102"/>
        </w:numPr>
        <w:tabs>
          <w:tab w:val="clear" w:pos="1440"/>
          <w:tab w:val="num" w:pos="1702"/>
        </w:tabs>
        <w:ind w:left="1702" w:hanging="709"/>
        <w:rPr>
          <w:rFonts w:cs="Arial"/>
          <w:szCs w:val="20"/>
        </w:rPr>
      </w:pPr>
      <w:r w:rsidRPr="00E538A1">
        <w:rPr>
          <w:rFonts w:cs="Arial"/>
          <w:szCs w:val="20"/>
        </w:rPr>
        <w:t>to waive any objection to that</w:t>
      </w:r>
      <w:r w:rsidR="000D476B">
        <w:rPr>
          <w:rFonts w:cs="Arial"/>
          <w:szCs w:val="20"/>
        </w:rPr>
        <w:t xml:space="preserve"> </w:t>
      </w:r>
      <w:r w:rsidRPr="00E538A1">
        <w:rPr>
          <w:rFonts w:cs="Arial"/>
          <w:szCs w:val="20"/>
        </w:rPr>
        <w:t>court's jurisdiction, whether on the grounds of venue or that the forum is not appropriate; and</w:t>
      </w:r>
    </w:p>
    <w:p w14:paraId="14C3CBFF" w14:textId="77777777" w:rsidR="00E538A1" w:rsidRPr="00E538A1" w:rsidRDefault="00E538A1" w:rsidP="009D675B">
      <w:pPr>
        <w:pStyle w:val="Heading4"/>
        <w:keepNext/>
        <w:numPr>
          <w:ilvl w:val="3"/>
          <w:numId w:val="102"/>
        </w:numPr>
        <w:tabs>
          <w:tab w:val="clear" w:pos="1440"/>
          <w:tab w:val="num" w:pos="1702"/>
        </w:tabs>
        <w:ind w:left="1702" w:hanging="709"/>
        <w:rPr>
          <w:rFonts w:cs="Arial"/>
          <w:szCs w:val="20"/>
        </w:rPr>
      </w:pPr>
      <w:r w:rsidRPr="00E538A1">
        <w:rPr>
          <w:rFonts w:cs="Arial"/>
          <w:szCs w:val="20"/>
        </w:rPr>
        <w:t>that a judgment of that court is to be conclusive and binding on the Parties and enforceable in the courts of any other jurisdiction.</w:t>
      </w:r>
    </w:p>
    <w:p w14:paraId="3675C224" w14:textId="77777777" w:rsidR="00E538A1" w:rsidRPr="00E538A1" w:rsidRDefault="00E538A1" w:rsidP="00E538A1">
      <w:pPr>
        <w:pStyle w:val="BodyText1"/>
        <w:ind w:left="0"/>
        <w:rPr>
          <w:rFonts w:cs="Arial"/>
          <w:b/>
          <w:bCs/>
          <w:szCs w:val="20"/>
        </w:rPr>
      </w:pPr>
      <w:bookmarkStart w:id="1559" w:name="A15"/>
      <w:bookmarkEnd w:id="1559"/>
    </w:p>
    <w:p w14:paraId="5EA5A403" w14:textId="77777777" w:rsidR="00E538A1" w:rsidRPr="00E538A1" w:rsidRDefault="00E538A1" w:rsidP="00E538A1">
      <w:pPr>
        <w:rPr>
          <w:rFonts w:cs="Arial"/>
          <w:b/>
          <w:bCs/>
          <w:szCs w:val="20"/>
        </w:rPr>
      </w:pPr>
      <w:r w:rsidRPr="00E538A1">
        <w:rPr>
          <w:rFonts w:cs="Arial"/>
          <w:b/>
          <w:bCs/>
          <w:szCs w:val="20"/>
        </w:rPr>
        <w:br w:type="page"/>
      </w:r>
      <w:r w:rsidRPr="00E538A1">
        <w:rPr>
          <w:rFonts w:cs="Arial"/>
          <w:b/>
          <w:bCs/>
          <w:szCs w:val="20"/>
        </w:rPr>
        <w:lastRenderedPageBreak/>
        <w:t xml:space="preserve">Signed </w:t>
      </w:r>
      <w:r w:rsidRPr="00E538A1">
        <w:rPr>
          <w:rFonts w:cs="Arial"/>
          <w:bCs/>
          <w:szCs w:val="20"/>
        </w:rPr>
        <w:t>by the parties or their authorised representatives:</w:t>
      </w:r>
    </w:p>
    <w:p w14:paraId="1391E521" w14:textId="77777777" w:rsidR="00E538A1" w:rsidRPr="00E538A1" w:rsidRDefault="00E538A1" w:rsidP="00E538A1">
      <w:pPr>
        <w:pStyle w:val="BodyText1"/>
        <w:ind w:left="0"/>
        <w:rPr>
          <w:rFonts w:cs="Arial"/>
          <w:b/>
          <w:bCs/>
          <w:szCs w:val="20"/>
        </w:rPr>
      </w:pPr>
    </w:p>
    <w:p w14:paraId="5F0FD4E4" w14:textId="77777777" w:rsidR="00E538A1" w:rsidRPr="00E538A1" w:rsidRDefault="00E538A1" w:rsidP="00E538A1">
      <w:pPr>
        <w:ind w:left="720"/>
        <w:rPr>
          <w:rFonts w:cs="Arial"/>
          <w:i/>
          <w:szCs w:val="20"/>
        </w:rPr>
      </w:pPr>
    </w:p>
    <w:p w14:paraId="7D67079D" w14:textId="77777777" w:rsidR="00E538A1" w:rsidRPr="00E538A1" w:rsidRDefault="00E538A1" w:rsidP="00E538A1">
      <w:pPr>
        <w:rPr>
          <w:rFonts w:cs="Arial"/>
          <w:b/>
          <w:bCs/>
          <w:szCs w:val="20"/>
        </w:rPr>
      </w:pPr>
      <w:r w:rsidRPr="00E538A1">
        <w:rPr>
          <w:rFonts w:cs="Arial"/>
          <w:b/>
          <w:bCs/>
          <w:szCs w:val="20"/>
        </w:rPr>
        <w:br w:type="page"/>
      </w:r>
    </w:p>
    <w:p w14:paraId="749C1B9A" w14:textId="77777777" w:rsidR="00E538A1" w:rsidRPr="00E538A1" w:rsidRDefault="00E538A1" w:rsidP="009D675B">
      <w:pPr>
        <w:pStyle w:val="Schedule"/>
        <w:keepNext w:val="0"/>
        <w:numPr>
          <w:ilvl w:val="0"/>
          <w:numId w:val="101"/>
        </w:numPr>
        <w:spacing w:line="276" w:lineRule="auto"/>
        <w:jc w:val="both"/>
        <w:rPr>
          <w:rFonts w:ascii="Arial" w:hAnsi="Arial" w:cs="Arial"/>
          <w:sz w:val="20"/>
        </w:rPr>
      </w:pPr>
      <w:bookmarkStart w:id="1560" w:name="_Toc79927420"/>
      <w:bookmarkStart w:id="1561" w:name="_Ref80062471"/>
      <w:bookmarkStart w:id="1562" w:name="_Ref80063797"/>
      <w:bookmarkStart w:id="1563" w:name="_Toc86838797"/>
      <w:bookmarkStart w:id="1564" w:name="_Ref200454820"/>
      <w:bookmarkStart w:id="1565" w:name="_Toc200887498"/>
      <w:bookmarkStart w:id="1566" w:name="_Toc321417663"/>
      <w:bookmarkStart w:id="1567" w:name="_Toc57263885"/>
      <w:bookmarkEnd w:id="1266"/>
      <w:r w:rsidRPr="00E538A1">
        <w:rPr>
          <w:rFonts w:ascii="Arial" w:hAnsi="Arial" w:cs="Arial"/>
          <w:sz w:val="20"/>
        </w:rPr>
        <w:lastRenderedPageBreak/>
        <w:t>– Definitions and interpretation</w:t>
      </w:r>
      <w:bookmarkStart w:id="1568" w:name="_Toc231188011"/>
      <w:bookmarkEnd w:id="1560"/>
      <w:bookmarkEnd w:id="1561"/>
      <w:bookmarkEnd w:id="1562"/>
      <w:bookmarkEnd w:id="1563"/>
      <w:bookmarkEnd w:id="1564"/>
      <w:bookmarkEnd w:id="1565"/>
      <w:bookmarkEnd w:id="1566"/>
      <w:bookmarkEnd w:id="1567"/>
    </w:p>
    <w:p w14:paraId="23DBCFAB" w14:textId="77777777" w:rsidR="00E538A1" w:rsidRPr="00E538A1" w:rsidRDefault="00E538A1" w:rsidP="009D675B">
      <w:pPr>
        <w:pStyle w:val="Heading1"/>
        <w:numPr>
          <w:ilvl w:val="0"/>
          <w:numId w:val="106"/>
        </w:numPr>
        <w:tabs>
          <w:tab w:val="clear" w:pos="720"/>
        </w:tabs>
        <w:ind w:hanging="360"/>
        <w:rPr>
          <w:rFonts w:cs="Arial"/>
          <w:szCs w:val="20"/>
        </w:rPr>
      </w:pPr>
      <w:r w:rsidRPr="00E538A1">
        <w:rPr>
          <w:rFonts w:cs="Arial"/>
          <w:szCs w:val="20"/>
        </w:rPr>
        <w:t>Definitions</w:t>
      </w:r>
      <w:bookmarkEnd w:id="1568"/>
    </w:p>
    <w:p w14:paraId="42BA9C2D" w14:textId="2375C81F" w:rsidR="00E538A1" w:rsidRPr="00E538A1" w:rsidRDefault="00E538A1" w:rsidP="009D675B">
      <w:pPr>
        <w:pStyle w:val="Heading2"/>
        <w:numPr>
          <w:ilvl w:val="1"/>
          <w:numId w:val="102"/>
        </w:numPr>
        <w:ind w:left="709" w:hanging="709"/>
        <w:rPr>
          <w:rFonts w:cs="Arial"/>
          <w:szCs w:val="20"/>
        </w:rPr>
      </w:pPr>
      <w:r w:rsidRPr="00E538A1">
        <w:rPr>
          <w:rFonts w:cs="Arial"/>
          <w:szCs w:val="20"/>
        </w:rPr>
        <w:t>In this Agreement (including the recitals and Schedules), unless the context otherwise requires, the following expressions have the following meani</w:t>
      </w:r>
      <w:r w:rsidR="000D476B">
        <w:rPr>
          <w:rFonts w:cs="Arial"/>
          <w:szCs w:val="20"/>
        </w:rPr>
        <w:t>n</w:t>
      </w:r>
      <w:r w:rsidRPr="00E538A1">
        <w:rPr>
          <w:rFonts w:cs="Arial"/>
          <w:szCs w:val="20"/>
        </w:rPr>
        <w:t>gs:</w:t>
      </w:r>
    </w:p>
    <w:p w14:paraId="0C064803" w14:textId="77777777" w:rsidR="00E538A1" w:rsidRPr="00E538A1" w:rsidRDefault="00E538A1" w:rsidP="00E538A1">
      <w:pPr>
        <w:ind w:right="46"/>
        <w:rPr>
          <w:rFonts w:cs="Arial"/>
          <w:szCs w:val="20"/>
        </w:rPr>
      </w:pPr>
    </w:p>
    <w:tbl>
      <w:tblPr>
        <w:tblW w:w="0" w:type="auto"/>
        <w:tblInd w:w="108" w:type="dxa"/>
        <w:tblLook w:val="01E0" w:firstRow="1" w:lastRow="1" w:firstColumn="1" w:lastColumn="1" w:noHBand="0" w:noVBand="0"/>
      </w:tblPr>
      <w:tblGrid>
        <w:gridCol w:w="3119"/>
        <w:gridCol w:w="5802"/>
      </w:tblGrid>
      <w:tr w:rsidR="00E538A1" w:rsidRPr="00E538A1" w14:paraId="13560AE2" w14:textId="77777777" w:rsidTr="00F57B9A">
        <w:tc>
          <w:tcPr>
            <w:tcW w:w="3119" w:type="dxa"/>
          </w:tcPr>
          <w:p w14:paraId="68055083" w14:textId="52363B29" w:rsidR="00E538A1" w:rsidRPr="00E538A1" w:rsidRDefault="00E538A1" w:rsidP="00F57B9A">
            <w:pPr>
              <w:spacing w:before="120"/>
              <w:rPr>
                <w:rFonts w:cs="Arial"/>
                <w:b/>
                <w:bCs/>
                <w:szCs w:val="20"/>
              </w:rPr>
            </w:pPr>
            <w:r w:rsidRPr="00E538A1">
              <w:rPr>
                <w:rFonts w:cs="Arial"/>
                <w:b/>
                <w:bCs/>
                <w:szCs w:val="20"/>
              </w:rPr>
              <w:t xml:space="preserve">"Acceding </w:t>
            </w:r>
            <w:r w:rsidR="00F419A2">
              <w:rPr>
                <w:rFonts w:cs="Arial"/>
                <w:b/>
                <w:bCs/>
                <w:szCs w:val="20"/>
              </w:rPr>
              <w:t>M</w:t>
            </w:r>
            <w:r w:rsidRPr="00E538A1">
              <w:rPr>
                <w:rFonts w:cs="Arial"/>
                <w:b/>
                <w:bCs/>
                <w:szCs w:val="20"/>
              </w:rPr>
              <w:t>ember"</w:t>
            </w:r>
          </w:p>
        </w:tc>
        <w:tc>
          <w:tcPr>
            <w:tcW w:w="5802" w:type="dxa"/>
          </w:tcPr>
          <w:p w14:paraId="2EEE9EFD" w14:textId="5FA1430D" w:rsidR="00E538A1" w:rsidRPr="00E538A1" w:rsidRDefault="00E538A1" w:rsidP="00F57B9A">
            <w:pPr>
              <w:spacing w:before="120"/>
              <w:rPr>
                <w:rFonts w:cs="Arial"/>
                <w:szCs w:val="20"/>
              </w:rPr>
            </w:pPr>
            <w:r w:rsidRPr="00E538A1">
              <w:rPr>
                <w:rFonts w:cs="Arial"/>
                <w:szCs w:val="20"/>
              </w:rPr>
              <w:t xml:space="preserve">means any Member that has become a </w:t>
            </w:r>
            <w:proofErr w:type="gramStart"/>
            <w:r w:rsidRPr="00E538A1">
              <w:rPr>
                <w:rFonts w:cs="Arial"/>
                <w:szCs w:val="20"/>
              </w:rPr>
              <w:t>Member</w:t>
            </w:r>
            <w:proofErr w:type="gramEnd"/>
            <w:r w:rsidRPr="00E538A1">
              <w:rPr>
                <w:rFonts w:cs="Arial"/>
                <w:szCs w:val="20"/>
              </w:rPr>
              <w:t xml:space="preserve"> after the date of this Agreement by executing an Accession Agreement together with the Custo</w:t>
            </w:r>
            <w:r w:rsidR="00F419A2">
              <w:rPr>
                <w:rFonts w:cs="Arial"/>
                <w:szCs w:val="20"/>
              </w:rPr>
              <w:t>m</w:t>
            </w:r>
            <w:r w:rsidRPr="00E538A1">
              <w:rPr>
                <w:rFonts w:cs="Arial"/>
                <w:szCs w:val="20"/>
              </w:rPr>
              <w:t>er;</w:t>
            </w:r>
          </w:p>
        </w:tc>
      </w:tr>
      <w:tr w:rsidR="00E538A1" w:rsidRPr="00E538A1" w14:paraId="21E8F8D0" w14:textId="77777777" w:rsidTr="00F57B9A">
        <w:tc>
          <w:tcPr>
            <w:tcW w:w="3119" w:type="dxa"/>
          </w:tcPr>
          <w:p w14:paraId="66EC31B4" w14:textId="0C8BDBA6" w:rsidR="00E538A1" w:rsidRPr="00E538A1" w:rsidRDefault="00E538A1" w:rsidP="00F57B9A">
            <w:pPr>
              <w:spacing w:before="120"/>
              <w:rPr>
                <w:rFonts w:cs="Arial"/>
                <w:b/>
                <w:bCs/>
                <w:szCs w:val="20"/>
              </w:rPr>
            </w:pPr>
            <w:r w:rsidRPr="00E538A1">
              <w:rPr>
                <w:rFonts w:cs="Arial"/>
                <w:b/>
                <w:bCs/>
                <w:szCs w:val="20"/>
              </w:rPr>
              <w:t>"Ag</w:t>
            </w:r>
            <w:r w:rsidR="00275E2E">
              <w:rPr>
                <w:rFonts w:cs="Arial"/>
                <w:b/>
                <w:bCs/>
                <w:szCs w:val="20"/>
              </w:rPr>
              <w:t>r</w:t>
            </w:r>
            <w:r w:rsidR="00F419A2">
              <w:rPr>
                <w:rFonts w:cs="Arial"/>
                <w:b/>
                <w:bCs/>
                <w:szCs w:val="20"/>
              </w:rPr>
              <w:t>ee</w:t>
            </w:r>
            <w:r w:rsidRPr="00E538A1">
              <w:rPr>
                <w:rFonts w:cs="Arial"/>
                <w:b/>
                <w:bCs/>
                <w:szCs w:val="20"/>
              </w:rPr>
              <w:t>ment"</w:t>
            </w:r>
          </w:p>
        </w:tc>
        <w:tc>
          <w:tcPr>
            <w:tcW w:w="5802" w:type="dxa"/>
          </w:tcPr>
          <w:p w14:paraId="0E3BA9AD" w14:textId="096C37FD" w:rsidR="00E538A1" w:rsidRPr="00E538A1" w:rsidRDefault="00E538A1" w:rsidP="00F57B9A">
            <w:pPr>
              <w:spacing w:before="120"/>
              <w:rPr>
                <w:rFonts w:cs="Arial"/>
                <w:szCs w:val="20"/>
              </w:rPr>
            </w:pPr>
            <w:r w:rsidRPr="00E538A1">
              <w:rPr>
                <w:rFonts w:cs="Arial"/>
                <w:szCs w:val="20"/>
              </w:rPr>
              <w:t>means this document and its Schedules and Appendices, as amended from time to time, and any other documents generated in accordance with this document or incorporated by refere</w:t>
            </w:r>
            <w:r w:rsidR="00F419A2">
              <w:rPr>
                <w:rFonts w:cs="Arial"/>
                <w:szCs w:val="20"/>
              </w:rPr>
              <w:t>n</w:t>
            </w:r>
            <w:r w:rsidRPr="00E538A1">
              <w:rPr>
                <w:rFonts w:cs="Arial"/>
                <w:szCs w:val="20"/>
              </w:rPr>
              <w:t>ce;</w:t>
            </w:r>
          </w:p>
        </w:tc>
      </w:tr>
      <w:tr w:rsidR="00E538A1" w:rsidRPr="00E538A1" w14:paraId="0CB621D0" w14:textId="77777777" w:rsidTr="00F57B9A">
        <w:tc>
          <w:tcPr>
            <w:tcW w:w="3119" w:type="dxa"/>
          </w:tcPr>
          <w:p w14:paraId="019E086D" w14:textId="55364A6D" w:rsidR="00E538A1" w:rsidRPr="00E538A1" w:rsidRDefault="00E538A1" w:rsidP="00F57B9A">
            <w:pPr>
              <w:spacing w:before="120"/>
              <w:rPr>
                <w:rFonts w:cs="Arial"/>
                <w:b/>
                <w:bCs/>
                <w:szCs w:val="20"/>
              </w:rPr>
            </w:pPr>
            <w:r w:rsidRPr="00E538A1">
              <w:rPr>
                <w:rFonts w:cs="Arial"/>
                <w:b/>
                <w:bCs/>
                <w:szCs w:val="20"/>
              </w:rPr>
              <w:t>"Applicab</w:t>
            </w:r>
            <w:r w:rsidR="00F419A2">
              <w:rPr>
                <w:rFonts w:cs="Arial"/>
                <w:b/>
                <w:bCs/>
                <w:szCs w:val="20"/>
              </w:rPr>
              <w:t>l</w:t>
            </w:r>
            <w:r w:rsidRPr="00E538A1">
              <w:rPr>
                <w:rFonts w:cs="Arial"/>
                <w:b/>
                <w:bCs/>
                <w:szCs w:val="20"/>
              </w:rPr>
              <w:t>e Law"</w:t>
            </w:r>
          </w:p>
        </w:tc>
        <w:tc>
          <w:tcPr>
            <w:tcW w:w="5802" w:type="dxa"/>
          </w:tcPr>
          <w:p w14:paraId="26B5EE4E" w14:textId="77777777" w:rsidR="00E538A1" w:rsidRPr="00E538A1" w:rsidRDefault="00E538A1" w:rsidP="00F57B9A">
            <w:pPr>
              <w:spacing w:before="120"/>
              <w:rPr>
                <w:rFonts w:cs="Arial"/>
                <w:szCs w:val="20"/>
              </w:rPr>
            </w:pPr>
            <w:r w:rsidRPr="00E538A1">
              <w:rPr>
                <w:rFonts w:cs="Arial"/>
                <w:szCs w:val="20"/>
              </w:rPr>
              <w:t>means:</w:t>
            </w:r>
          </w:p>
          <w:p w14:paraId="2C83DC5D" w14:textId="77777777" w:rsidR="00E538A1" w:rsidRPr="00E538A1" w:rsidRDefault="00E538A1" w:rsidP="009D675B">
            <w:pPr>
              <w:pStyle w:val="Heading4"/>
              <w:numPr>
                <w:ilvl w:val="3"/>
                <w:numId w:val="121"/>
              </w:numPr>
              <w:tabs>
                <w:tab w:val="clear" w:pos="1440"/>
              </w:tabs>
              <w:ind w:left="742" w:hanging="360"/>
              <w:rPr>
                <w:rFonts w:cs="Arial"/>
                <w:szCs w:val="20"/>
              </w:rPr>
            </w:pPr>
            <w:proofErr w:type="gramStart"/>
            <w:r w:rsidRPr="00E538A1">
              <w:rPr>
                <w:rFonts w:cs="Arial"/>
                <w:szCs w:val="20"/>
              </w:rPr>
              <w:t>any and all</w:t>
            </w:r>
            <w:proofErr w:type="gramEnd"/>
            <w:r w:rsidRPr="00E538A1">
              <w:rPr>
                <w:rFonts w:cs="Arial"/>
                <w:szCs w:val="20"/>
              </w:rPr>
              <w:t xml:space="preserve"> laws, statutes, orders, rules, regulations, directives and codes of conduct and mandatory guidelines in each case which have legal effect, whether local, national, international or otherwise existing from time to time; and</w:t>
            </w:r>
          </w:p>
          <w:p w14:paraId="59A99956" w14:textId="77777777" w:rsidR="00E538A1" w:rsidRPr="00E538A1" w:rsidRDefault="00E538A1" w:rsidP="009D675B">
            <w:pPr>
              <w:pStyle w:val="Heading4"/>
              <w:numPr>
                <w:ilvl w:val="3"/>
                <w:numId w:val="121"/>
              </w:numPr>
              <w:tabs>
                <w:tab w:val="clear" w:pos="1440"/>
              </w:tabs>
              <w:ind w:left="742" w:hanging="360"/>
              <w:rPr>
                <w:rFonts w:cs="Arial"/>
                <w:szCs w:val="20"/>
              </w:rPr>
            </w:pPr>
            <w:r w:rsidRPr="00E538A1">
              <w:rPr>
                <w:rFonts w:cs="Arial"/>
                <w:szCs w:val="20"/>
              </w:rPr>
              <w:t xml:space="preserve">any other similar instrument which is legally </w:t>
            </w:r>
            <w:proofErr w:type="gramStart"/>
            <w:r w:rsidRPr="00E538A1">
              <w:rPr>
                <w:rFonts w:cs="Arial"/>
                <w:szCs w:val="20"/>
              </w:rPr>
              <w:t>binding;</w:t>
            </w:r>
            <w:proofErr w:type="gramEnd"/>
          </w:p>
          <w:p w14:paraId="5A6C6D9E" w14:textId="7E15EEC9" w:rsidR="00E538A1" w:rsidRPr="00E538A1" w:rsidRDefault="00E538A1" w:rsidP="00F57B9A">
            <w:pPr>
              <w:spacing w:before="120"/>
              <w:rPr>
                <w:rFonts w:cs="Arial"/>
                <w:szCs w:val="20"/>
              </w:rPr>
            </w:pPr>
            <w:r w:rsidRPr="00E538A1">
              <w:rPr>
                <w:rFonts w:cs="Arial"/>
                <w:szCs w:val="20"/>
              </w:rPr>
              <w:t xml:space="preserve">affecting a Party or its business or applicable to a Party and including the coming into effect, repeal, </w:t>
            </w:r>
            <w:proofErr w:type="gramStart"/>
            <w:r w:rsidRPr="00E538A1">
              <w:rPr>
                <w:rFonts w:cs="Arial"/>
                <w:szCs w:val="20"/>
              </w:rPr>
              <w:t>amendment</w:t>
            </w:r>
            <w:proofErr w:type="gramEnd"/>
            <w:r w:rsidRPr="00E538A1">
              <w:rPr>
                <w:rFonts w:cs="Arial"/>
                <w:szCs w:val="20"/>
              </w:rPr>
              <w:t xml:space="preserve"> or variation of any of the above after the date of this Agreement. So that there is no doubt, Applicable Law shall include </w:t>
            </w:r>
            <w:proofErr w:type="gramStart"/>
            <w:r w:rsidRPr="00E538A1">
              <w:rPr>
                <w:rFonts w:cs="Arial"/>
                <w:szCs w:val="20"/>
              </w:rPr>
              <w:t>any and all</w:t>
            </w:r>
            <w:proofErr w:type="gramEnd"/>
            <w:r w:rsidRPr="00E538A1">
              <w:rPr>
                <w:rFonts w:cs="Arial"/>
                <w:szCs w:val="20"/>
              </w:rPr>
              <w:t xml:space="preserve"> Indian laws, statutes, orders, rules, regulations, directives and codes of conduct and mandatory guidelines in each case which are applicable to the Services and/or this Agreem</w:t>
            </w:r>
            <w:r w:rsidR="00275E2E">
              <w:rPr>
                <w:rFonts w:cs="Arial"/>
                <w:szCs w:val="20"/>
              </w:rPr>
              <w:t>e</w:t>
            </w:r>
            <w:r w:rsidRPr="00E538A1">
              <w:rPr>
                <w:rFonts w:cs="Arial"/>
                <w:szCs w:val="20"/>
              </w:rPr>
              <w:t>nt;</w:t>
            </w:r>
          </w:p>
        </w:tc>
      </w:tr>
      <w:tr w:rsidR="00E538A1" w:rsidRPr="00E538A1" w14:paraId="1275190E" w14:textId="77777777" w:rsidTr="00F57B9A">
        <w:tc>
          <w:tcPr>
            <w:tcW w:w="3119" w:type="dxa"/>
          </w:tcPr>
          <w:p w14:paraId="423BF31E" w14:textId="1FDA9964" w:rsidR="00E538A1" w:rsidRPr="00E538A1" w:rsidRDefault="00E538A1" w:rsidP="00F57B9A">
            <w:pPr>
              <w:spacing w:before="120"/>
              <w:rPr>
                <w:rFonts w:cs="Arial"/>
                <w:b/>
                <w:bCs/>
                <w:szCs w:val="20"/>
              </w:rPr>
            </w:pPr>
            <w:r w:rsidRPr="00E538A1">
              <w:rPr>
                <w:rFonts w:cs="Arial"/>
                <w:b/>
                <w:bCs/>
                <w:szCs w:val="20"/>
              </w:rPr>
              <w:t>"Approved Sub-Cont</w:t>
            </w:r>
            <w:r w:rsidR="00F419A2">
              <w:rPr>
                <w:rFonts w:cs="Arial"/>
                <w:b/>
                <w:bCs/>
                <w:szCs w:val="20"/>
              </w:rPr>
              <w:t>r</w:t>
            </w:r>
            <w:r w:rsidRPr="00E538A1">
              <w:rPr>
                <w:rFonts w:cs="Arial"/>
                <w:b/>
                <w:bCs/>
                <w:szCs w:val="20"/>
              </w:rPr>
              <w:t>actor"</w:t>
            </w:r>
          </w:p>
        </w:tc>
        <w:tc>
          <w:tcPr>
            <w:tcW w:w="5802" w:type="dxa"/>
          </w:tcPr>
          <w:p w14:paraId="10EA957A" w14:textId="0864A9BD" w:rsidR="00E538A1" w:rsidRPr="00E538A1" w:rsidRDefault="00E538A1" w:rsidP="00F57B9A">
            <w:pPr>
              <w:spacing w:before="120"/>
              <w:rPr>
                <w:rFonts w:cs="Arial"/>
                <w:szCs w:val="20"/>
              </w:rPr>
            </w:pPr>
            <w:r w:rsidRPr="00E538A1">
              <w:rPr>
                <w:rFonts w:cs="Arial"/>
                <w:szCs w:val="20"/>
              </w:rPr>
              <w:t xml:space="preserve">means each sub-contractor approved by the Customer in accordance with the terms of the relevant </w:t>
            </w:r>
            <w:r w:rsidR="00A20CD5">
              <w:rPr>
                <w:rFonts w:cs="Arial"/>
                <w:szCs w:val="20"/>
              </w:rPr>
              <w:t>’</w:t>
            </w:r>
            <w:r w:rsidRPr="00E538A1">
              <w:rPr>
                <w:rFonts w:cs="Arial"/>
                <w:szCs w:val="20"/>
              </w:rPr>
              <w:t>ember's Services Agreeme</w:t>
            </w:r>
            <w:r w:rsidR="00F419A2">
              <w:rPr>
                <w:rFonts w:cs="Arial"/>
                <w:szCs w:val="20"/>
              </w:rPr>
              <w:t>n</w:t>
            </w:r>
            <w:r w:rsidRPr="00E538A1">
              <w:rPr>
                <w:rFonts w:cs="Arial"/>
                <w:szCs w:val="20"/>
              </w:rPr>
              <w:t xml:space="preserve">t; </w:t>
            </w:r>
          </w:p>
        </w:tc>
      </w:tr>
      <w:tr w:rsidR="00E538A1" w:rsidRPr="00E538A1" w14:paraId="58328172" w14:textId="77777777" w:rsidTr="00F57B9A">
        <w:tc>
          <w:tcPr>
            <w:tcW w:w="3119" w:type="dxa"/>
          </w:tcPr>
          <w:p w14:paraId="314ED640" w14:textId="0C270C5C" w:rsidR="00E538A1" w:rsidRPr="00E538A1" w:rsidRDefault="00E538A1" w:rsidP="00F57B9A">
            <w:pPr>
              <w:keepNext/>
              <w:spacing w:before="120"/>
              <w:rPr>
                <w:rFonts w:cs="Arial"/>
                <w:b/>
                <w:bCs/>
                <w:szCs w:val="20"/>
              </w:rPr>
            </w:pPr>
            <w:r w:rsidRPr="00E538A1">
              <w:rPr>
                <w:rFonts w:cs="Arial"/>
                <w:b/>
                <w:bCs/>
                <w:szCs w:val="20"/>
              </w:rPr>
              <w:t>"Busine</w:t>
            </w:r>
            <w:r w:rsidR="00F419A2">
              <w:rPr>
                <w:rFonts w:cs="Arial"/>
                <w:b/>
                <w:bCs/>
                <w:szCs w:val="20"/>
              </w:rPr>
              <w:t>s</w:t>
            </w:r>
            <w:r w:rsidRPr="00E538A1">
              <w:rPr>
                <w:rFonts w:cs="Arial"/>
                <w:b/>
                <w:bCs/>
                <w:szCs w:val="20"/>
              </w:rPr>
              <w:t>s Day"</w:t>
            </w:r>
          </w:p>
        </w:tc>
        <w:tc>
          <w:tcPr>
            <w:tcW w:w="5802" w:type="dxa"/>
          </w:tcPr>
          <w:p w14:paraId="387E1683" w14:textId="35057DDD" w:rsidR="00E538A1" w:rsidRPr="00E538A1" w:rsidRDefault="00E538A1" w:rsidP="00F57B9A">
            <w:pPr>
              <w:keepNext/>
              <w:spacing w:before="120"/>
              <w:rPr>
                <w:rFonts w:cs="Arial"/>
                <w:szCs w:val="20"/>
              </w:rPr>
            </w:pPr>
            <w:r w:rsidRPr="00E538A1">
              <w:rPr>
                <w:rFonts w:cs="Arial"/>
                <w:szCs w:val="20"/>
              </w:rPr>
              <w:t xml:space="preserve">means a day other than a Saturday, </w:t>
            </w:r>
            <w:proofErr w:type="gramStart"/>
            <w:r w:rsidRPr="00E538A1">
              <w:rPr>
                <w:rFonts w:cs="Arial"/>
                <w:szCs w:val="20"/>
              </w:rPr>
              <w:t>Sunday</w:t>
            </w:r>
            <w:proofErr w:type="gramEnd"/>
            <w:r w:rsidRPr="00E538A1">
              <w:rPr>
                <w:rFonts w:cs="Arial"/>
                <w:szCs w:val="20"/>
              </w:rPr>
              <w:t xml:space="preserve"> or a bank holiday in the relevant territory in which the Services are being provi</w:t>
            </w:r>
            <w:r w:rsidR="00F419A2">
              <w:rPr>
                <w:rFonts w:cs="Arial"/>
                <w:szCs w:val="20"/>
              </w:rPr>
              <w:t>d</w:t>
            </w:r>
            <w:r w:rsidRPr="00E538A1">
              <w:rPr>
                <w:rFonts w:cs="Arial"/>
                <w:szCs w:val="20"/>
              </w:rPr>
              <w:t>ed;</w:t>
            </w:r>
          </w:p>
        </w:tc>
      </w:tr>
      <w:tr w:rsidR="00E538A1" w:rsidRPr="00E538A1" w14:paraId="1C971072" w14:textId="77777777" w:rsidTr="00F57B9A">
        <w:tc>
          <w:tcPr>
            <w:tcW w:w="3119" w:type="dxa"/>
          </w:tcPr>
          <w:p w14:paraId="249CD4CC" w14:textId="404C4D5D" w:rsidR="00E538A1" w:rsidRPr="00E538A1" w:rsidRDefault="00E538A1" w:rsidP="00F57B9A">
            <w:pPr>
              <w:spacing w:before="120"/>
              <w:rPr>
                <w:rFonts w:cs="Arial"/>
                <w:b/>
                <w:bCs/>
                <w:szCs w:val="20"/>
              </w:rPr>
            </w:pPr>
            <w:r w:rsidRPr="00E538A1">
              <w:rPr>
                <w:rFonts w:cs="Arial"/>
                <w:b/>
                <w:bCs/>
                <w:szCs w:val="20"/>
              </w:rPr>
              <w:t>"C</w:t>
            </w:r>
            <w:r w:rsidR="00F419A2">
              <w:rPr>
                <w:rFonts w:cs="Arial"/>
                <w:b/>
                <w:bCs/>
                <w:szCs w:val="20"/>
              </w:rPr>
              <w:t>h</w:t>
            </w:r>
            <w:r w:rsidRPr="00E538A1">
              <w:rPr>
                <w:rFonts w:cs="Arial"/>
                <w:b/>
                <w:bCs/>
                <w:szCs w:val="20"/>
              </w:rPr>
              <w:t>arges"</w:t>
            </w:r>
          </w:p>
        </w:tc>
        <w:tc>
          <w:tcPr>
            <w:tcW w:w="5802" w:type="dxa"/>
          </w:tcPr>
          <w:p w14:paraId="2F9C5C8B" w14:textId="32E17581" w:rsidR="00E538A1" w:rsidRPr="00E538A1" w:rsidRDefault="00E538A1" w:rsidP="00F57B9A">
            <w:pPr>
              <w:spacing w:before="120"/>
              <w:rPr>
                <w:rFonts w:cs="Arial"/>
                <w:szCs w:val="20"/>
              </w:rPr>
            </w:pPr>
            <w:r w:rsidRPr="00E538A1">
              <w:rPr>
                <w:rFonts w:cs="Arial"/>
                <w:szCs w:val="20"/>
              </w:rPr>
              <w:t>means the charges for the performance of the Services as set out in, and as calculated in accordance with, the relevant Services Agreem</w:t>
            </w:r>
            <w:r w:rsidR="00F419A2">
              <w:rPr>
                <w:rFonts w:cs="Arial"/>
                <w:szCs w:val="20"/>
              </w:rPr>
              <w:t>e</w:t>
            </w:r>
            <w:r w:rsidRPr="00E538A1">
              <w:rPr>
                <w:rFonts w:cs="Arial"/>
                <w:szCs w:val="20"/>
              </w:rPr>
              <w:t>nt;</w:t>
            </w:r>
          </w:p>
        </w:tc>
      </w:tr>
      <w:tr w:rsidR="00E538A1" w:rsidRPr="00E538A1" w14:paraId="7B3C9483" w14:textId="77777777" w:rsidTr="00F57B9A">
        <w:tc>
          <w:tcPr>
            <w:tcW w:w="3119" w:type="dxa"/>
          </w:tcPr>
          <w:p w14:paraId="6A5EB7FC" w14:textId="34AB93D1" w:rsidR="00E538A1" w:rsidRPr="00E538A1" w:rsidRDefault="00E538A1" w:rsidP="00F57B9A">
            <w:pPr>
              <w:spacing w:before="120"/>
              <w:rPr>
                <w:rFonts w:cs="Arial"/>
                <w:b/>
                <w:szCs w:val="20"/>
              </w:rPr>
            </w:pPr>
            <w:r w:rsidRPr="00E538A1">
              <w:rPr>
                <w:rFonts w:cs="Arial"/>
                <w:b/>
                <w:szCs w:val="20"/>
              </w:rPr>
              <w:t>"Mem</w:t>
            </w:r>
            <w:r w:rsidR="00F419A2">
              <w:rPr>
                <w:rFonts w:cs="Arial"/>
                <w:b/>
                <w:szCs w:val="20"/>
              </w:rPr>
              <w:t>be</w:t>
            </w:r>
            <w:r w:rsidRPr="00E538A1">
              <w:rPr>
                <w:rFonts w:cs="Arial"/>
                <w:b/>
                <w:szCs w:val="20"/>
              </w:rPr>
              <w:t>r(s)"</w:t>
            </w:r>
          </w:p>
        </w:tc>
        <w:tc>
          <w:tcPr>
            <w:tcW w:w="5802" w:type="dxa"/>
          </w:tcPr>
          <w:p w14:paraId="4EC51ED4" w14:textId="3BA17D34" w:rsidR="00E538A1" w:rsidRPr="00E538A1" w:rsidRDefault="00E538A1" w:rsidP="00F57B9A">
            <w:pPr>
              <w:spacing w:before="120"/>
              <w:rPr>
                <w:rFonts w:cs="Arial"/>
                <w:szCs w:val="20"/>
              </w:rPr>
            </w:pPr>
            <w:r w:rsidRPr="00E538A1">
              <w:rPr>
                <w:rFonts w:cs="Arial"/>
                <w:szCs w:val="20"/>
              </w:rPr>
              <w:t xml:space="preserve">has the meaning given in Clause </w:t>
            </w:r>
            <w:r w:rsidRPr="00E538A1">
              <w:rPr>
                <w:rFonts w:cs="Arial"/>
                <w:szCs w:val="20"/>
              </w:rPr>
              <w:fldChar w:fldCharType="begin"/>
            </w:r>
            <w:r w:rsidRPr="00E538A1">
              <w:rPr>
                <w:rFonts w:cs="Arial"/>
                <w:szCs w:val="20"/>
              </w:rPr>
              <w:instrText xml:space="preserve"> REF _Ref390098591 \w \h  \* MERGEFORMAT </w:instrText>
            </w:r>
            <w:r w:rsidRPr="00E538A1">
              <w:rPr>
                <w:rFonts w:cs="Arial"/>
                <w:szCs w:val="20"/>
              </w:rPr>
            </w:r>
            <w:r w:rsidRPr="00E538A1">
              <w:rPr>
                <w:rFonts w:cs="Arial"/>
                <w:szCs w:val="20"/>
              </w:rPr>
              <w:fldChar w:fldCharType="separate"/>
            </w:r>
            <w:r w:rsidRPr="00E538A1">
              <w:rPr>
                <w:rFonts w:cs="Arial"/>
                <w:szCs w:val="20"/>
              </w:rPr>
              <w:t>2.3</w:t>
            </w:r>
            <w:r w:rsidRPr="00E538A1">
              <w:rPr>
                <w:rFonts w:cs="Arial"/>
                <w:szCs w:val="20"/>
              </w:rPr>
              <w:fldChar w:fldCharType="end"/>
            </w:r>
            <w:r w:rsidRPr="00E538A1">
              <w:rPr>
                <w:rFonts w:cs="Arial"/>
                <w:szCs w:val="20"/>
              </w:rPr>
              <w:t xml:space="preserve"> (Membe</w:t>
            </w:r>
            <w:r w:rsidR="00F419A2">
              <w:rPr>
                <w:rFonts w:cs="Arial"/>
                <w:szCs w:val="20"/>
              </w:rPr>
              <w:t>r</w:t>
            </w:r>
            <w:r w:rsidRPr="00E538A1">
              <w:rPr>
                <w:rFonts w:cs="Arial"/>
                <w:szCs w:val="20"/>
              </w:rPr>
              <w:t>s);</w:t>
            </w:r>
          </w:p>
        </w:tc>
      </w:tr>
      <w:tr w:rsidR="00E538A1" w:rsidRPr="00E538A1" w14:paraId="7BF8461F" w14:textId="77777777" w:rsidTr="00F57B9A">
        <w:tc>
          <w:tcPr>
            <w:tcW w:w="3119" w:type="dxa"/>
          </w:tcPr>
          <w:p w14:paraId="5E1A5C33" w14:textId="4FA195C7" w:rsidR="00E538A1" w:rsidRPr="00E538A1" w:rsidRDefault="00E538A1" w:rsidP="00F57B9A">
            <w:pPr>
              <w:spacing w:before="120"/>
              <w:rPr>
                <w:rFonts w:cs="Arial"/>
                <w:b/>
                <w:bCs/>
                <w:szCs w:val="20"/>
              </w:rPr>
            </w:pPr>
            <w:r w:rsidRPr="00E538A1">
              <w:rPr>
                <w:rFonts w:cs="Arial"/>
                <w:b/>
                <w:bCs/>
                <w:szCs w:val="20"/>
              </w:rPr>
              <w:t>"Confidential Infor</w:t>
            </w:r>
            <w:r w:rsidR="00F419A2">
              <w:rPr>
                <w:rFonts w:cs="Arial"/>
                <w:b/>
                <w:bCs/>
                <w:szCs w:val="20"/>
              </w:rPr>
              <w:t>m</w:t>
            </w:r>
            <w:r w:rsidRPr="00E538A1">
              <w:rPr>
                <w:rFonts w:cs="Arial"/>
                <w:b/>
                <w:bCs/>
                <w:szCs w:val="20"/>
              </w:rPr>
              <w:t>ation"</w:t>
            </w:r>
          </w:p>
        </w:tc>
        <w:tc>
          <w:tcPr>
            <w:tcW w:w="5802" w:type="dxa"/>
          </w:tcPr>
          <w:p w14:paraId="344FFF0C" w14:textId="4C9D1024" w:rsidR="00E538A1" w:rsidRPr="00E538A1" w:rsidRDefault="00E538A1" w:rsidP="00F57B9A">
            <w:pPr>
              <w:spacing w:before="120"/>
              <w:rPr>
                <w:rFonts w:cs="Arial"/>
                <w:szCs w:val="20"/>
              </w:rPr>
            </w:pPr>
            <w:r w:rsidRPr="00E538A1">
              <w:rPr>
                <w:rFonts w:cs="Arial"/>
                <w:szCs w:val="20"/>
              </w:rPr>
              <w:t xml:space="preserve">means, in respect of each Party, all information relating to that Party or its operations or business which is supplied by or on behalf of that Party or generated by the receiving Party from such information, either in writing, orally or in any other form, directly or indirectly from or pursuant to discussions with the other Party or which is obtained through observations made by the receiving Party, including all analyses, compilations, studies and other documents whether prepared by or on behalf of a Party </w:t>
            </w:r>
            <w:r w:rsidRPr="00E538A1">
              <w:rPr>
                <w:rFonts w:cs="Arial"/>
                <w:szCs w:val="20"/>
              </w:rPr>
              <w:lastRenderedPageBreak/>
              <w:t>which contain or otherwise reflect or are derived from such informat</w:t>
            </w:r>
            <w:r w:rsidR="00F419A2">
              <w:rPr>
                <w:rFonts w:cs="Arial"/>
                <w:szCs w:val="20"/>
              </w:rPr>
              <w:t>i</w:t>
            </w:r>
            <w:r w:rsidRPr="00E538A1">
              <w:rPr>
                <w:rFonts w:cs="Arial"/>
                <w:szCs w:val="20"/>
              </w:rPr>
              <w:t>on;</w:t>
            </w:r>
          </w:p>
        </w:tc>
      </w:tr>
      <w:tr w:rsidR="00E538A1" w:rsidRPr="00E538A1" w14:paraId="6D09893A" w14:textId="77777777" w:rsidTr="00F57B9A">
        <w:tc>
          <w:tcPr>
            <w:tcW w:w="3119" w:type="dxa"/>
          </w:tcPr>
          <w:p w14:paraId="7EA72080" w14:textId="33E68ADF" w:rsidR="00E538A1" w:rsidRPr="00E538A1" w:rsidRDefault="00E538A1" w:rsidP="00F57B9A">
            <w:pPr>
              <w:spacing w:before="120"/>
              <w:rPr>
                <w:rFonts w:cs="Arial"/>
                <w:b/>
                <w:bCs/>
                <w:szCs w:val="20"/>
              </w:rPr>
            </w:pPr>
            <w:r w:rsidRPr="00E538A1">
              <w:rPr>
                <w:rFonts w:cs="Arial"/>
                <w:b/>
                <w:bCs/>
                <w:szCs w:val="20"/>
              </w:rPr>
              <w:lastRenderedPageBreak/>
              <w:t>"Customer</w:t>
            </w:r>
            <w:r w:rsidR="00F419A2">
              <w:rPr>
                <w:rFonts w:cs="Arial"/>
                <w:b/>
                <w:bCs/>
                <w:szCs w:val="20"/>
              </w:rPr>
              <w:t xml:space="preserve"> </w:t>
            </w:r>
            <w:r w:rsidRPr="00E538A1">
              <w:rPr>
                <w:rFonts w:cs="Arial"/>
                <w:b/>
                <w:bCs/>
                <w:szCs w:val="20"/>
              </w:rPr>
              <w:t>Group"</w:t>
            </w:r>
          </w:p>
        </w:tc>
        <w:tc>
          <w:tcPr>
            <w:tcW w:w="5802" w:type="dxa"/>
          </w:tcPr>
          <w:p w14:paraId="6C96B779" w14:textId="2E6A4955" w:rsidR="00E538A1" w:rsidRPr="00E538A1" w:rsidRDefault="00E538A1" w:rsidP="00F57B9A">
            <w:pPr>
              <w:spacing w:before="120"/>
              <w:rPr>
                <w:rFonts w:cs="Arial"/>
                <w:szCs w:val="20"/>
              </w:rPr>
            </w:pPr>
            <w:r w:rsidRPr="00E538A1">
              <w:rPr>
                <w:rFonts w:cs="Arial"/>
                <w:szCs w:val="20"/>
              </w:rPr>
              <w:t>means the Customer and each of its subsidiaries (as defined in Section 1159 of the Companies Act 200</w:t>
            </w:r>
            <w:r w:rsidR="00A20CD5">
              <w:rPr>
                <w:rFonts w:cs="Arial"/>
                <w:szCs w:val="20"/>
              </w:rPr>
              <w:t>“</w:t>
            </w:r>
            <w:r w:rsidRPr="00E538A1">
              <w:rPr>
                <w:rFonts w:cs="Arial"/>
                <w:szCs w:val="20"/>
              </w:rPr>
              <w:t xml:space="preserve">); </w:t>
            </w:r>
          </w:p>
        </w:tc>
      </w:tr>
      <w:tr w:rsidR="00E538A1" w:rsidRPr="00E538A1" w14:paraId="237C0E1D" w14:textId="77777777" w:rsidTr="00F57B9A">
        <w:tc>
          <w:tcPr>
            <w:tcW w:w="3119" w:type="dxa"/>
          </w:tcPr>
          <w:p w14:paraId="21E2620B" w14:textId="1B95471F" w:rsidR="00E538A1" w:rsidRPr="00E538A1" w:rsidRDefault="00E538A1" w:rsidP="00F57B9A">
            <w:pPr>
              <w:rPr>
                <w:rFonts w:cs="Arial"/>
                <w:b/>
                <w:szCs w:val="20"/>
              </w:rPr>
            </w:pPr>
            <w:r w:rsidRPr="00E538A1">
              <w:rPr>
                <w:rFonts w:cs="Arial"/>
                <w:b/>
                <w:szCs w:val="20"/>
              </w:rPr>
              <w:t>"Depe</w:t>
            </w:r>
            <w:r w:rsidR="00F419A2">
              <w:rPr>
                <w:rFonts w:cs="Arial"/>
                <w:b/>
                <w:szCs w:val="20"/>
              </w:rPr>
              <w:t>n</w:t>
            </w:r>
            <w:r w:rsidRPr="00E538A1">
              <w:rPr>
                <w:rFonts w:cs="Arial"/>
                <w:b/>
                <w:szCs w:val="20"/>
              </w:rPr>
              <w:t xml:space="preserve">dency" </w:t>
            </w:r>
          </w:p>
        </w:tc>
        <w:tc>
          <w:tcPr>
            <w:tcW w:w="5802" w:type="dxa"/>
          </w:tcPr>
          <w:p w14:paraId="04D81019" w14:textId="28FC69CA" w:rsidR="00E538A1" w:rsidRPr="00E538A1" w:rsidRDefault="00E538A1" w:rsidP="00F57B9A">
            <w:pPr>
              <w:rPr>
                <w:rFonts w:cs="Arial"/>
                <w:szCs w:val="20"/>
              </w:rPr>
            </w:pPr>
            <w:r w:rsidRPr="00E538A1">
              <w:rPr>
                <w:rFonts w:cs="Arial"/>
                <w:szCs w:val="20"/>
              </w:rPr>
              <w:t xml:space="preserve">means any dependency between Members, as identified as part of the </w:t>
            </w:r>
            <w:proofErr w:type="gramStart"/>
            <w:r w:rsidRPr="00E538A1">
              <w:rPr>
                <w:rFonts w:cs="Arial"/>
                <w:szCs w:val="20"/>
              </w:rPr>
              <w:t>Service</w:t>
            </w:r>
            <w:r w:rsidR="00A20CD5">
              <w:rPr>
                <w:rFonts w:cs="Arial"/>
                <w:szCs w:val="20"/>
              </w:rPr>
              <w:t>“</w:t>
            </w:r>
            <w:r w:rsidRPr="00E538A1">
              <w:rPr>
                <w:rFonts w:cs="Arial"/>
                <w:szCs w:val="20"/>
              </w:rPr>
              <w:t xml:space="preserve"> and</w:t>
            </w:r>
            <w:proofErr w:type="gramEnd"/>
            <w:r w:rsidRPr="00E538A1">
              <w:rPr>
                <w:rFonts w:cs="Arial"/>
                <w:szCs w:val="20"/>
              </w:rPr>
              <w:t xml:space="preserve"> "</w:t>
            </w:r>
            <w:r w:rsidRPr="00E538A1">
              <w:rPr>
                <w:rFonts w:cs="Arial"/>
                <w:b/>
                <w:szCs w:val="20"/>
              </w:rPr>
              <w:t>Depend</w:t>
            </w:r>
            <w:r w:rsidR="00F419A2">
              <w:rPr>
                <w:rFonts w:cs="Arial"/>
                <w:b/>
                <w:szCs w:val="20"/>
              </w:rPr>
              <w:t>e</w:t>
            </w:r>
            <w:r w:rsidRPr="00E538A1">
              <w:rPr>
                <w:rFonts w:cs="Arial"/>
                <w:b/>
                <w:szCs w:val="20"/>
              </w:rPr>
              <w:t>ncies</w:t>
            </w:r>
            <w:r w:rsidRPr="00E538A1">
              <w:rPr>
                <w:rFonts w:cs="Arial"/>
                <w:szCs w:val="20"/>
              </w:rPr>
              <w:t>" shall be construed according</w:t>
            </w:r>
            <w:r w:rsidR="00F419A2">
              <w:rPr>
                <w:rFonts w:cs="Arial"/>
                <w:szCs w:val="20"/>
              </w:rPr>
              <w:t>l</w:t>
            </w:r>
            <w:r w:rsidRPr="00E538A1">
              <w:rPr>
                <w:rFonts w:cs="Arial"/>
                <w:szCs w:val="20"/>
              </w:rPr>
              <w:t>y;</w:t>
            </w:r>
          </w:p>
          <w:p w14:paraId="6FEE4939" w14:textId="77777777" w:rsidR="00E538A1" w:rsidRPr="00E538A1" w:rsidRDefault="00E538A1" w:rsidP="00F57B9A">
            <w:pPr>
              <w:rPr>
                <w:rFonts w:cs="Arial"/>
                <w:szCs w:val="20"/>
              </w:rPr>
            </w:pPr>
          </w:p>
        </w:tc>
      </w:tr>
      <w:tr w:rsidR="00E538A1" w:rsidRPr="00E538A1" w14:paraId="1C31782D" w14:textId="77777777" w:rsidTr="00F57B9A">
        <w:tc>
          <w:tcPr>
            <w:tcW w:w="3119" w:type="dxa"/>
          </w:tcPr>
          <w:p w14:paraId="6936327E" w14:textId="6DB949CF" w:rsidR="00E538A1" w:rsidRPr="00E538A1" w:rsidRDefault="00E538A1" w:rsidP="00F57B9A">
            <w:pPr>
              <w:spacing w:before="120"/>
              <w:rPr>
                <w:rFonts w:cs="Arial"/>
                <w:b/>
                <w:bCs/>
                <w:szCs w:val="20"/>
              </w:rPr>
            </w:pPr>
            <w:r w:rsidRPr="00E538A1">
              <w:rPr>
                <w:rFonts w:cs="Arial"/>
                <w:b/>
                <w:bCs/>
                <w:szCs w:val="20"/>
              </w:rPr>
              <w:t>"D</w:t>
            </w:r>
            <w:r w:rsidR="00F419A2">
              <w:rPr>
                <w:rFonts w:cs="Arial"/>
                <w:b/>
                <w:bCs/>
                <w:szCs w:val="20"/>
              </w:rPr>
              <w:t>i</w:t>
            </w:r>
            <w:r w:rsidRPr="00E538A1">
              <w:rPr>
                <w:rFonts w:cs="Arial"/>
                <w:b/>
                <w:bCs/>
                <w:szCs w:val="20"/>
              </w:rPr>
              <w:t>spute"</w:t>
            </w:r>
          </w:p>
        </w:tc>
        <w:tc>
          <w:tcPr>
            <w:tcW w:w="5802" w:type="dxa"/>
          </w:tcPr>
          <w:p w14:paraId="5F3C024F" w14:textId="66A297ED" w:rsidR="00E538A1" w:rsidRPr="00E538A1" w:rsidRDefault="00E538A1" w:rsidP="00F57B9A">
            <w:pPr>
              <w:spacing w:before="120"/>
              <w:ind w:left="-8" w:firstLine="8"/>
              <w:rPr>
                <w:rFonts w:cs="Arial"/>
                <w:szCs w:val="20"/>
              </w:rPr>
            </w:pPr>
            <w:r w:rsidRPr="00E538A1">
              <w:rPr>
                <w:rFonts w:cs="Arial"/>
                <w:szCs w:val="20"/>
              </w:rPr>
              <w:t xml:space="preserve">means any claim, </w:t>
            </w:r>
            <w:proofErr w:type="gramStart"/>
            <w:r w:rsidRPr="00E538A1">
              <w:rPr>
                <w:rFonts w:cs="Arial"/>
                <w:szCs w:val="20"/>
              </w:rPr>
              <w:t>dispute</w:t>
            </w:r>
            <w:proofErr w:type="gramEnd"/>
            <w:r w:rsidRPr="00E538A1">
              <w:rPr>
                <w:rFonts w:cs="Arial"/>
                <w:szCs w:val="20"/>
              </w:rPr>
              <w:t xml:space="preserve"> or differenc</w:t>
            </w:r>
            <w:r w:rsidR="00F419A2">
              <w:rPr>
                <w:rFonts w:cs="Arial"/>
                <w:szCs w:val="20"/>
              </w:rPr>
              <w:t>e</w:t>
            </w:r>
            <w:r w:rsidRPr="00E538A1">
              <w:rPr>
                <w:rFonts w:cs="Arial"/>
                <w:szCs w:val="20"/>
              </w:rPr>
              <w:t xml:space="preserve">;  </w:t>
            </w:r>
          </w:p>
        </w:tc>
      </w:tr>
      <w:tr w:rsidR="00E538A1" w:rsidRPr="00E538A1" w14:paraId="1E5F2534" w14:textId="77777777" w:rsidTr="00F57B9A">
        <w:tc>
          <w:tcPr>
            <w:tcW w:w="3119" w:type="dxa"/>
          </w:tcPr>
          <w:p w14:paraId="30DC2A45" w14:textId="7773DEA4" w:rsidR="00E538A1" w:rsidRPr="00E538A1" w:rsidRDefault="00E538A1" w:rsidP="00F57B9A">
            <w:pPr>
              <w:spacing w:before="120"/>
              <w:rPr>
                <w:rFonts w:cs="Arial"/>
                <w:b/>
                <w:bCs/>
                <w:szCs w:val="20"/>
              </w:rPr>
            </w:pPr>
            <w:r w:rsidRPr="00E538A1">
              <w:rPr>
                <w:rFonts w:cs="Arial"/>
                <w:b/>
                <w:bCs/>
                <w:szCs w:val="20"/>
              </w:rPr>
              <w:t>"Good Industry Pr</w:t>
            </w:r>
            <w:r w:rsidR="00F419A2">
              <w:rPr>
                <w:rFonts w:cs="Arial"/>
                <w:b/>
                <w:bCs/>
                <w:szCs w:val="20"/>
              </w:rPr>
              <w:t>a</w:t>
            </w:r>
            <w:r w:rsidRPr="00E538A1">
              <w:rPr>
                <w:rFonts w:cs="Arial"/>
                <w:b/>
                <w:bCs/>
                <w:szCs w:val="20"/>
              </w:rPr>
              <w:t>ctice"</w:t>
            </w:r>
          </w:p>
        </w:tc>
        <w:tc>
          <w:tcPr>
            <w:tcW w:w="5802" w:type="dxa"/>
          </w:tcPr>
          <w:p w14:paraId="094E5D54" w14:textId="0271402F" w:rsidR="00E538A1" w:rsidRPr="00E538A1" w:rsidRDefault="00E538A1" w:rsidP="00F57B9A">
            <w:pPr>
              <w:spacing w:before="120"/>
              <w:rPr>
                <w:rFonts w:cs="Arial"/>
                <w:szCs w:val="20"/>
              </w:rPr>
            </w:pPr>
            <w:r w:rsidRPr="00E538A1">
              <w:rPr>
                <w:rFonts w:cs="Arial"/>
                <w:szCs w:val="20"/>
              </w:rPr>
              <w:t xml:space="preserve">means using standards, practices, </w:t>
            </w:r>
            <w:proofErr w:type="gramStart"/>
            <w:r w:rsidRPr="00E538A1">
              <w:rPr>
                <w:rFonts w:cs="Arial"/>
                <w:szCs w:val="20"/>
              </w:rPr>
              <w:t>methods</w:t>
            </w:r>
            <w:proofErr w:type="gramEnd"/>
            <w:r w:rsidRPr="00E538A1">
              <w:rPr>
                <w:rFonts w:cs="Arial"/>
                <w:szCs w:val="20"/>
              </w:rPr>
              <w:t xml:space="preserve"> and procedures conforming to Applicable Law, offering the level of assistance, and exercising that degree of skill and care, diligence, prudence and foresight which would reasonably and ordinarily be expected from a leading practice engaged in a similar type of undertaking under the same or similar circumstances in the United King</w:t>
            </w:r>
            <w:r w:rsidR="00F419A2">
              <w:rPr>
                <w:rFonts w:cs="Arial"/>
                <w:szCs w:val="20"/>
              </w:rPr>
              <w:t>d</w:t>
            </w:r>
            <w:r w:rsidRPr="00E538A1">
              <w:rPr>
                <w:rFonts w:cs="Arial"/>
                <w:szCs w:val="20"/>
              </w:rPr>
              <w:t>om;</w:t>
            </w:r>
          </w:p>
        </w:tc>
      </w:tr>
      <w:tr w:rsidR="00E538A1" w:rsidRPr="00E538A1" w14:paraId="1B7A428F" w14:textId="77777777" w:rsidTr="00F57B9A">
        <w:tc>
          <w:tcPr>
            <w:tcW w:w="3119" w:type="dxa"/>
          </w:tcPr>
          <w:p w14:paraId="4322EC85" w14:textId="570983AD" w:rsidR="00E538A1" w:rsidRPr="00E538A1" w:rsidRDefault="00E538A1" w:rsidP="00F57B9A">
            <w:pPr>
              <w:spacing w:before="120"/>
              <w:rPr>
                <w:rFonts w:cs="Arial"/>
                <w:b/>
                <w:bCs/>
                <w:szCs w:val="20"/>
              </w:rPr>
            </w:pPr>
            <w:r w:rsidRPr="00E538A1">
              <w:rPr>
                <w:rFonts w:cs="Arial"/>
                <w:b/>
                <w:bCs/>
                <w:szCs w:val="20"/>
              </w:rPr>
              <w:t>"Intellectual</w:t>
            </w:r>
            <w:r w:rsidR="00EF4BAD">
              <w:rPr>
                <w:rFonts w:cs="Arial"/>
                <w:b/>
                <w:bCs/>
                <w:szCs w:val="20"/>
              </w:rPr>
              <w:t xml:space="preserve"> </w:t>
            </w:r>
            <w:r w:rsidRPr="00E538A1">
              <w:rPr>
                <w:rFonts w:cs="Arial"/>
                <w:b/>
                <w:bCs/>
                <w:szCs w:val="20"/>
              </w:rPr>
              <w:t xml:space="preserve">Property </w:t>
            </w:r>
            <w:r w:rsidR="00EF4BAD">
              <w:rPr>
                <w:rFonts w:cs="Arial"/>
                <w:b/>
                <w:bCs/>
                <w:szCs w:val="20"/>
              </w:rPr>
              <w:t>R</w:t>
            </w:r>
            <w:r w:rsidRPr="00E538A1">
              <w:rPr>
                <w:rFonts w:cs="Arial"/>
                <w:b/>
                <w:bCs/>
                <w:szCs w:val="20"/>
              </w:rPr>
              <w:t>ight"</w:t>
            </w:r>
            <w:r w:rsidR="00EF4BAD">
              <w:rPr>
                <w:rFonts w:cs="Arial"/>
                <w:b/>
                <w:bCs/>
                <w:szCs w:val="20"/>
              </w:rPr>
              <w:t xml:space="preserve"> </w:t>
            </w:r>
            <w:r w:rsidRPr="00E538A1">
              <w:rPr>
                <w:rFonts w:cs="Arial"/>
                <w:b/>
                <w:bCs/>
                <w:szCs w:val="20"/>
              </w:rPr>
              <w:t>"IPR"</w:t>
            </w:r>
          </w:p>
        </w:tc>
        <w:tc>
          <w:tcPr>
            <w:tcW w:w="5802" w:type="dxa"/>
          </w:tcPr>
          <w:p w14:paraId="2DD87FBC" w14:textId="77777777" w:rsidR="00E538A1" w:rsidRPr="00E538A1" w:rsidRDefault="00E538A1" w:rsidP="00F57B9A">
            <w:pPr>
              <w:spacing w:before="120"/>
              <w:rPr>
                <w:rFonts w:cs="Arial"/>
                <w:szCs w:val="20"/>
              </w:rPr>
            </w:pPr>
            <w:r w:rsidRPr="00E538A1">
              <w:rPr>
                <w:rFonts w:cs="Arial"/>
                <w:szCs w:val="20"/>
              </w:rPr>
              <w:t xml:space="preserve">means any right, </w:t>
            </w:r>
            <w:proofErr w:type="gramStart"/>
            <w:r w:rsidRPr="00E538A1">
              <w:rPr>
                <w:rFonts w:cs="Arial"/>
                <w:szCs w:val="20"/>
              </w:rPr>
              <w:t>title</w:t>
            </w:r>
            <w:proofErr w:type="gramEnd"/>
            <w:r w:rsidRPr="00E538A1">
              <w:rPr>
                <w:rFonts w:cs="Arial"/>
                <w:szCs w:val="20"/>
              </w:rPr>
              <w:t xml:space="preserve"> or interest in:</w:t>
            </w:r>
          </w:p>
          <w:p w14:paraId="65A92BD5" w14:textId="77777777" w:rsidR="00E538A1" w:rsidRPr="00E538A1" w:rsidRDefault="00E538A1" w:rsidP="009D675B">
            <w:pPr>
              <w:pStyle w:val="Heading4"/>
              <w:numPr>
                <w:ilvl w:val="3"/>
                <w:numId w:val="122"/>
              </w:numPr>
              <w:tabs>
                <w:tab w:val="clear" w:pos="1440"/>
              </w:tabs>
              <w:ind w:left="742" w:hanging="709"/>
              <w:rPr>
                <w:rFonts w:cs="Arial"/>
                <w:szCs w:val="20"/>
              </w:rPr>
            </w:pPr>
            <w:r w:rsidRPr="00E538A1">
              <w:rPr>
                <w:rFonts w:cs="Arial"/>
                <w:szCs w:val="20"/>
              </w:rPr>
              <w:t xml:space="preserve">patents, </w:t>
            </w:r>
            <w:proofErr w:type="spellStart"/>
            <w:proofErr w:type="gramStart"/>
            <w:r w:rsidRPr="00E538A1">
              <w:rPr>
                <w:rFonts w:cs="Arial"/>
                <w:szCs w:val="20"/>
              </w:rPr>
              <w:t>trade marks</w:t>
            </w:r>
            <w:proofErr w:type="spellEnd"/>
            <w:proofErr w:type="gramEnd"/>
            <w:r w:rsidRPr="00E538A1">
              <w:rPr>
                <w:rFonts w:cs="Arial"/>
                <w:szCs w:val="20"/>
              </w:rPr>
              <w:t>, trade names, goodwill, registered designs, design rights, semiconductor topography rights, database rights, copyrights and other forms of intellectual or industrial property (in each case in any part of the world), whether or not registered or registrable for their full period of registration with all extensions, renewals and revivals, and including all applications for registration licences, permissions and consents or otherwise;</w:t>
            </w:r>
          </w:p>
          <w:p w14:paraId="260370BC" w14:textId="77777777" w:rsidR="00E538A1" w:rsidRPr="00E538A1" w:rsidRDefault="00E538A1" w:rsidP="009D675B">
            <w:pPr>
              <w:pStyle w:val="Heading4"/>
              <w:numPr>
                <w:ilvl w:val="3"/>
                <w:numId w:val="121"/>
              </w:numPr>
              <w:tabs>
                <w:tab w:val="clear" w:pos="1440"/>
              </w:tabs>
              <w:ind w:left="742" w:hanging="360"/>
              <w:rPr>
                <w:rFonts w:cs="Arial"/>
                <w:szCs w:val="20"/>
              </w:rPr>
            </w:pPr>
            <w:r w:rsidRPr="00E538A1">
              <w:rPr>
                <w:rFonts w:cs="Arial"/>
                <w:szCs w:val="20"/>
              </w:rPr>
              <w:t>inventions, formulae, confidential information, trade secrets (including know-how or secret processes</w:t>
            </w:r>
            <w:proofErr w:type="gramStart"/>
            <w:r w:rsidRPr="00E538A1">
              <w:rPr>
                <w:rFonts w:cs="Arial"/>
                <w:szCs w:val="20"/>
              </w:rPr>
              <w:t>);</w:t>
            </w:r>
            <w:proofErr w:type="gramEnd"/>
          </w:p>
          <w:p w14:paraId="6D08946A" w14:textId="77777777" w:rsidR="00E538A1" w:rsidRPr="00E538A1" w:rsidRDefault="00E538A1" w:rsidP="009D675B">
            <w:pPr>
              <w:pStyle w:val="Heading4"/>
              <w:numPr>
                <w:ilvl w:val="3"/>
                <w:numId w:val="121"/>
              </w:numPr>
              <w:tabs>
                <w:tab w:val="clear" w:pos="1440"/>
              </w:tabs>
              <w:ind w:left="742" w:hanging="360"/>
              <w:rPr>
                <w:rFonts w:cs="Arial"/>
                <w:szCs w:val="20"/>
              </w:rPr>
            </w:pPr>
            <w:r w:rsidRPr="00E538A1">
              <w:rPr>
                <w:rFonts w:cs="Arial"/>
                <w:szCs w:val="20"/>
              </w:rPr>
              <w:t>rights in computer software; and</w:t>
            </w:r>
          </w:p>
          <w:p w14:paraId="7D32A894" w14:textId="77777777" w:rsidR="00E538A1" w:rsidRPr="00E538A1" w:rsidRDefault="00E538A1" w:rsidP="009D675B">
            <w:pPr>
              <w:pStyle w:val="Heading4"/>
              <w:numPr>
                <w:ilvl w:val="3"/>
                <w:numId w:val="121"/>
              </w:numPr>
              <w:tabs>
                <w:tab w:val="clear" w:pos="1440"/>
              </w:tabs>
              <w:ind w:left="742" w:hanging="360"/>
              <w:rPr>
                <w:rFonts w:cs="Arial"/>
                <w:szCs w:val="20"/>
              </w:rPr>
            </w:pPr>
            <w:r w:rsidRPr="00E538A1">
              <w:rPr>
                <w:rFonts w:cs="Arial"/>
                <w:szCs w:val="20"/>
              </w:rPr>
              <w:t xml:space="preserve">any similar or equivalent rights and assets which may now or in the future subsist anywhere in the world; </w:t>
            </w:r>
          </w:p>
        </w:tc>
      </w:tr>
      <w:tr w:rsidR="00E538A1" w:rsidRPr="00E538A1" w14:paraId="0D7D1567" w14:textId="77777777" w:rsidTr="00F57B9A">
        <w:tc>
          <w:tcPr>
            <w:tcW w:w="3119" w:type="dxa"/>
          </w:tcPr>
          <w:p w14:paraId="3C58271D" w14:textId="77777777" w:rsidR="00E538A1" w:rsidRPr="00E538A1" w:rsidRDefault="00E538A1" w:rsidP="00F57B9A">
            <w:pPr>
              <w:spacing w:before="120"/>
              <w:rPr>
                <w:rFonts w:cs="Arial"/>
                <w:b/>
                <w:bCs/>
                <w:szCs w:val="20"/>
              </w:rPr>
            </w:pPr>
            <w:r w:rsidRPr="00E538A1">
              <w:rPr>
                <w:rFonts w:cs="Arial"/>
                <w:b/>
                <w:bCs/>
                <w:szCs w:val="20"/>
              </w:rPr>
              <w:t>“Member Behaviours”</w:t>
            </w:r>
          </w:p>
        </w:tc>
        <w:tc>
          <w:tcPr>
            <w:tcW w:w="5802" w:type="dxa"/>
          </w:tcPr>
          <w:p w14:paraId="7C7FA4BD" w14:textId="230D6BA0" w:rsidR="00F419A2" w:rsidRDefault="00E538A1" w:rsidP="00F57B9A">
            <w:pPr>
              <w:spacing w:before="120"/>
              <w:rPr>
                <w:rFonts w:cs="Arial"/>
                <w:szCs w:val="20"/>
              </w:rPr>
            </w:pPr>
            <w:r w:rsidRPr="00E538A1">
              <w:rPr>
                <w:rFonts w:cs="Arial"/>
                <w:szCs w:val="20"/>
              </w:rPr>
              <w:t xml:space="preserve">means the behaviours identified as such in </w:t>
            </w:r>
            <w:r w:rsidRPr="00E538A1">
              <w:rPr>
                <w:rFonts w:cs="Arial"/>
                <w:szCs w:val="20"/>
              </w:rPr>
              <w:fldChar w:fldCharType="begin"/>
            </w:r>
            <w:r w:rsidRPr="00E538A1">
              <w:rPr>
                <w:rFonts w:cs="Arial"/>
                <w:szCs w:val="20"/>
              </w:rPr>
              <w:instrText xml:space="preserve"> REF _Ref390160861 \r \h  \* MERGEFORMAT </w:instrText>
            </w:r>
            <w:r w:rsidRPr="00E538A1">
              <w:rPr>
                <w:rFonts w:cs="Arial"/>
                <w:szCs w:val="20"/>
              </w:rPr>
            </w:r>
            <w:r w:rsidRPr="00E538A1">
              <w:rPr>
                <w:rFonts w:cs="Arial"/>
                <w:szCs w:val="20"/>
              </w:rPr>
              <w:fldChar w:fldCharType="separate"/>
            </w:r>
            <w:r w:rsidRPr="00E538A1">
              <w:rPr>
                <w:rFonts w:cs="Arial"/>
                <w:szCs w:val="20"/>
              </w:rPr>
              <w:t>Schedule 4</w:t>
            </w:r>
            <w:r w:rsidRPr="00E538A1">
              <w:rPr>
                <w:rFonts w:cs="Arial"/>
                <w:szCs w:val="20"/>
              </w:rPr>
              <w:fldChar w:fldCharType="end"/>
            </w:r>
            <w:r w:rsidRPr="00E538A1">
              <w:rPr>
                <w:rFonts w:cs="Arial"/>
                <w:szCs w:val="20"/>
              </w:rPr>
              <w:t xml:space="preserve"> </w:t>
            </w:r>
          </w:p>
          <w:p w14:paraId="1CE16219" w14:textId="2EF6FBBA" w:rsidR="00E538A1" w:rsidRPr="00E538A1" w:rsidRDefault="00E538A1" w:rsidP="00F57B9A">
            <w:pPr>
              <w:spacing w:before="120"/>
              <w:rPr>
                <w:rFonts w:cs="Arial"/>
                <w:szCs w:val="20"/>
              </w:rPr>
            </w:pPr>
            <w:r w:rsidRPr="00E538A1">
              <w:rPr>
                <w:rFonts w:cs="Arial"/>
                <w:szCs w:val="20"/>
              </w:rPr>
              <w:t>(Operating Level Agreeme</w:t>
            </w:r>
            <w:r w:rsidR="00F419A2">
              <w:rPr>
                <w:rFonts w:cs="Arial"/>
                <w:szCs w:val="20"/>
              </w:rPr>
              <w:t>n</w:t>
            </w:r>
            <w:r w:rsidRPr="00E538A1">
              <w:rPr>
                <w:rFonts w:cs="Arial"/>
                <w:szCs w:val="20"/>
              </w:rPr>
              <w:t>t);</w:t>
            </w:r>
          </w:p>
        </w:tc>
      </w:tr>
      <w:tr w:rsidR="00E538A1" w:rsidRPr="00E538A1" w14:paraId="5E782A51" w14:textId="77777777" w:rsidTr="00F57B9A">
        <w:tc>
          <w:tcPr>
            <w:tcW w:w="3119" w:type="dxa"/>
          </w:tcPr>
          <w:p w14:paraId="12AACC5D" w14:textId="7DCC1604" w:rsidR="00E538A1" w:rsidRPr="00E538A1" w:rsidRDefault="00E538A1" w:rsidP="00F57B9A">
            <w:pPr>
              <w:spacing w:before="120"/>
              <w:rPr>
                <w:rFonts w:cs="Arial"/>
                <w:b/>
                <w:bCs/>
                <w:szCs w:val="20"/>
              </w:rPr>
            </w:pPr>
            <w:r w:rsidRPr="00E538A1">
              <w:rPr>
                <w:rFonts w:cs="Arial"/>
                <w:b/>
                <w:bCs/>
                <w:szCs w:val="20"/>
              </w:rPr>
              <w:t>"Non-Qualifying D</w:t>
            </w:r>
            <w:r w:rsidR="00F419A2">
              <w:rPr>
                <w:rFonts w:cs="Arial"/>
                <w:b/>
                <w:bCs/>
                <w:szCs w:val="20"/>
              </w:rPr>
              <w:t>i</w:t>
            </w:r>
            <w:r w:rsidRPr="00E538A1">
              <w:rPr>
                <w:rFonts w:cs="Arial"/>
                <w:b/>
                <w:bCs/>
                <w:szCs w:val="20"/>
              </w:rPr>
              <w:t>spute"</w:t>
            </w:r>
          </w:p>
        </w:tc>
        <w:tc>
          <w:tcPr>
            <w:tcW w:w="5802" w:type="dxa"/>
          </w:tcPr>
          <w:p w14:paraId="3D6ECB40" w14:textId="4DC3CB29" w:rsidR="00E538A1" w:rsidRPr="00E538A1" w:rsidRDefault="00E538A1" w:rsidP="00F57B9A">
            <w:pPr>
              <w:spacing w:before="120"/>
              <w:rPr>
                <w:rFonts w:cs="Arial"/>
                <w:szCs w:val="20"/>
              </w:rPr>
            </w:pPr>
            <w:r w:rsidRPr="00E538A1">
              <w:rPr>
                <w:rFonts w:cs="Arial"/>
                <w:szCs w:val="20"/>
              </w:rPr>
              <w:t>means any Dispute, other than a Qualifying Disp</w:t>
            </w:r>
            <w:r w:rsidR="00F419A2">
              <w:rPr>
                <w:rFonts w:cs="Arial"/>
                <w:szCs w:val="20"/>
              </w:rPr>
              <w:t>u</w:t>
            </w:r>
            <w:r w:rsidRPr="00E538A1">
              <w:rPr>
                <w:rFonts w:cs="Arial"/>
                <w:szCs w:val="20"/>
              </w:rPr>
              <w:t>te;</w:t>
            </w:r>
          </w:p>
        </w:tc>
      </w:tr>
      <w:tr w:rsidR="00E538A1" w:rsidRPr="00E538A1" w14:paraId="4D190470" w14:textId="77777777" w:rsidTr="00F57B9A">
        <w:tc>
          <w:tcPr>
            <w:tcW w:w="3119" w:type="dxa"/>
          </w:tcPr>
          <w:p w14:paraId="42FC5DFC" w14:textId="562E2682" w:rsidR="00E538A1" w:rsidRPr="00E538A1" w:rsidRDefault="00E538A1" w:rsidP="00F57B9A">
            <w:pPr>
              <w:spacing w:before="120"/>
              <w:rPr>
                <w:rFonts w:cs="Arial"/>
                <w:b/>
                <w:bCs/>
                <w:szCs w:val="20"/>
              </w:rPr>
            </w:pPr>
            <w:r w:rsidRPr="00E538A1">
              <w:rPr>
                <w:rFonts w:cs="Arial"/>
                <w:b/>
                <w:bCs/>
                <w:szCs w:val="20"/>
              </w:rPr>
              <w:t>"Operating Level Agr</w:t>
            </w:r>
            <w:r w:rsidR="00F419A2">
              <w:rPr>
                <w:rFonts w:cs="Arial"/>
                <w:b/>
                <w:bCs/>
                <w:szCs w:val="20"/>
              </w:rPr>
              <w:t>e</w:t>
            </w:r>
            <w:r w:rsidRPr="00E538A1">
              <w:rPr>
                <w:rFonts w:cs="Arial"/>
                <w:b/>
                <w:bCs/>
                <w:szCs w:val="20"/>
              </w:rPr>
              <w:t>ement"</w:t>
            </w:r>
          </w:p>
        </w:tc>
        <w:tc>
          <w:tcPr>
            <w:tcW w:w="5802" w:type="dxa"/>
          </w:tcPr>
          <w:p w14:paraId="66AE7059" w14:textId="77777777" w:rsidR="00E538A1" w:rsidRPr="00E538A1" w:rsidRDefault="00E538A1" w:rsidP="00F57B9A">
            <w:pPr>
              <w:spacing w:before="120"/>
              <w:rPr>
                <w:rFonts w:cs="Arial"/>
                <w:szCs w:val="20"/>
              </w:rPr>
            </w:pPr>
            <w:r w:rsidRPr="00E538A1">
              <w:rPr>
                <w:rFonts w:cs="Arial"/>
                <w:szCs w:val="20"/>
              </w:rPr>
              <w:t xml:space="preserve">means the measures set out in </w:t>
            </w:r>
            <w:r w:rsidRPr="00E538A1">
              <w:rPr>
                <w:rFonts w:cs="Arial"/>
                <w:szCs w:val="20"/>
              </w:rPr>
              <w:fldChar w:fldCharType="begin"/>
            </w:r>
            <w:r w:rsidRPr="00E538A1">
              <w:rPr>
                <w:rFonts w:cs="Arial"/>
                <w:szCs w:val="20"/>
              </w:rPr>
              <w:instrText xml:space="preserve"> REF _Ref390160861 \w \h  \* MERGEFORMAT </w:instrText>
            </w:r>
            <w:r w:rsidRPr="00E538A1">
              <w:rPr>
                <w:rFonts w:cs="Arial"/>
                <w:szCs w:val="20"/>
              </w:rPr>
            </w:r>
            <w:r w:rsidRPr="00E538A1">
              <w:rPr>
                <w:rFonts w:cs="Arial"/>
                <w:szCs w:val="20"/>
              </w:rPr>
              <w:fldChar w:fldCharType="separate"/>
            </w:r>
            <w:r w:rsidRPr="00E538A1">
              <w:rPr>
                <w:rFonts w:cs="Arial"/>
                <w:szCs w:val="20"/>
              </w:rPr>
              <w:t>Schedule 4</w:t>
            </w:r>
            <w:r w:rsidRPr="00E538A1">
              <w:rPr>
                <w:rFonts w:cs="Arial"/>
                <w:szCs w:val="20"/>
              </w:rPr>
              <w:fldChar w:fldCharType="end"/>
            </w:r>
            <w:r w:rsidRPr="00E538A1">
              <w:rPr>
                <w:rFonts w:cs="Arial"/>
                <w:szCs w:val="20"/>
              </w:rPr>
              <w:t xml:space="preserve"> (Operating Level Agreement);</w:t>
            </w:r>
          </w:p>
        </w:tc>
      </w:tr>
      <w:tr w:rsidR="00E538A1" w:rsidRPr="00E538A1" w14:paraId="57579E99" w14:textId="77777777" w:rsidTr="00F57B9A">
        <w:tc>
          <w:tcPr>
            <w:tcW w:w="3119" w:type="dxa"/>
          </w:tcPr>
          <w:p w14:paraId="53CC0B10" w14:textId="77777777" w:rsidR="00E538A1" w:rsidRPr="00E538A1" w:rsidRDefault="00E538A1" w:rsidP="00F57B9A">
            <w:pPr>
              <w:spacing w:before="120"/>
              <w:rPr>
                <w:rFonts w:cs="Arial"/>
                <w:b/>
                <w:bCs/>
                <w:szCs w:val="20"/>
              </w:rPr>
            </w:pPr>
            <w:r w:rsidRPr="00E538A1">
              <w:rPr>
                <w:rFonts w:cs="Arial"/>
                <w:b/>
                <w:bCs/>
                <w:szCs w:val="20"/>
              </w:rPr>
              <w:t xml:space="preserve">“Programme” </w:t>
            </w:r>
          </w:p>
        </w:tc>
        <w:tc>
          <w:tcPr>
            <w:tcW w:w="5802" w:type="dxa"/>
          </w:tcPr>
          <w:p w14:paraId="55D13E80" w14:textId="4388241D" w:rsidR="00E538A1" w:rsidRPr="00E538A1" w:rsidRDefault="00E538A1" w:rsidP="00F57B9A">
            <w:pPr>
              <w:spacing w:before="120"/>
              <w:rPr>
                <w:rFonts w:cs="Arial"/>
                <w:szCs w:val="20"/>
              </w:rPr>
            </w:pPr>
            <w:r w:rsidRPr="00E538A1">
              <w:rPr>
                <w:rFonts w:cs="Arial"/>
                <w:szCs w:val="20"/>
              </w:rPr>
              <w:t xml:space="preserve">has the meaning given in Recital </w:t>
            </w:r>
            <w:r w:rsidRPr="00E538A1">
              <w:rPr>
                <w:rFonts w:cs="Arial"/>
                <w:szCs w:val="20"/>
              </w:rPr>
              <w:fldChar w:fldCharType="begin"/>
            </w:r>
            <w:r w:rsidRPr="00E538A1">
              <w:rPr>
                <w:rFonts w:cs="Arial"/>
                <w:szCs w:val="20"/>
              </w:rPr>
              <w:instrText xml:space="preserve"> REF _Ref366841664 \r \h  \* MERGEFORMAT </w:instrText>
            </w:r>
            <w:r w:rsidR="00A20CD5">
              <w:rPr>
                <w:rFonts w:cs="Arial"/>
                <w:szCs w:val="20"/>
              </w:rPr>
              <w:instrText>“</w:instrText>
            </w:r>
            <w:r w:rsidRPr="00E538A1">
              <w:rPr>
                <w:rFonts w:cs="Arial"/>
                <w:szCs w:val="20"/>
              </w:rPr>
              <w:instrText>B</w:instrText>
            </w:r>
            <w:r w:rsidRPr="00E538A1">
              <w:rPr>
                <w:rFonts w:cs="Arial"/>
                <w:szCs w:val="20"/>
              </w:rPr>
            </w:r>
            <w:r w:rsidRPr="00E538A1">
              <w:rPr>
                <w:rFonts w:cs="Arial"/>
                <w:szCs w:val="20"/>
              </w:rPr>
              <w:fldChar w:fldCharType="end"/>
            </w:r>
            <w:r w:rsidRPr="00E538A1">
              <w:rPr>
                <w:rFonts w:cs="Arial"/>
                <w:szCs w:val="20"/>
              </w:rPr>
              <w:t>;</w:t>
            </w:r>
          </w:p>
        </w:tc>
      </w:tr>
      <w:tr w:rsidR="00E538A1" w:rsidRPr="00E538A1" w14:paraId="237BF74D" w14:textId="77777777" w:rsidTr="00F57B9A">
        <w:tc>
          <w:tcPr>
            <w:tcW w:w="3119" w:type="dxa"/>
          </w:tcPr>
          <w:p w14:paraId="576C3536" w14:textId="646A95C5" w:rsidR="00E538A1" w:rsidRPr="00E538A1" w:rsidRDefault="00E538A1" w:rsidP="00F57B9A">
            <w:pPr>
              <w:spacing w:before="120"/>
              <w:rPr>
                <w:rFonts w:cs="Arial"/>
                <w:b/>
                <w:bCs/>
                <w:szCs w:val="20"/>
              </w:rPr>
            </w:pPr>
            <w:r w:rsidRPr="00E538A1">
              <w:rPr>
                <w:rFonts w:cs="Arial"/>
                <w:b/>
                <w:bCs/>
                <w:szCs w:val="20"/>
              </w:rPr>
              <w:t>"Programme Obj</w:t>
            </w:r>
            <w:r w:rsidR="00F419A2">
              <w:rPr>
                <w:rFonts w:cs="Arial"/>
                <w:b/>
                <w:bCs/>
                <w:szCs w:val="20"/>
              </w:rPr>
              <w:t>ec</w:t>
            </w:r>
            <w:r w:rsidRPr="00E538A1">
              <w:rPr>
                <w:rFonts w:cs="Arial"/>
                <w:b/>
                <w:bCs/>
                <w:szCs w:val="20"/>
              </w:rPr>
              <w:t>tives"</w:t>
            </w:r>
          </w:p>
        </w:tc>
        <w:tc>
          <w:tcPr>
            <w:tcW w:w="5802" w:type="dxa"/>
          </w:tcPr>
          <w:p w14:paraId="6D424C74" w14:textId="784A906E" w:rsidR="00E538A1" w:rsidRPr="00E538A1" w:rsidRDefault="00E538A1" w:rsidP="00F57B9A">
            <w:pPr>
              <w:spacing w:before="120"/>
              <w:rPr>
                <w:rFonts w:cs="Arial"/>
                <w:szCs w:val="20"/>
              </w:rPr>
            </w:pPr>
            <w:r w:rsidRPr="00E538A1">
              <w:rPr>
                <w:rFonts w:cs="Arial"/>
                <w:szCs w:val="20"/>
              </w:rPr>
              <w:t xml:space="preserve">means the objectives of the Programme, as set out in Clause </w:t>
            </w:r>
            <w:r w:rsidRPr="00E538A1">
              <w:rPr>
                <w:rFonts w:cs="Arial"/>
                <w:szCs w:val="20"/>
              </w:rPr>
              <w:fldChar w:fldCharType="begin"/>
            </w:r>
            <w:r w:rsidRPr="00E538A1">
              <w:rPr>
                <w:rFonts w:cs="Arial"/>
                <w:szCs w:val="20"/>
              </w:rPr>
              <w:instrText xml:space="preserve"> REF _Ref390157777 \w \h  \* MERGEFORMAT </w:instrText>
            </w:r>
            <w:r w:rsidRPr="00E538A1">
              <w:rPr>
                <w:rFonts w:cs="Arial"/>
                <w:szCs w:val="20"/>
              </w:rPr>
            </w:r>
            <w:r w:rsidRPr="00E538A1">
              <w:rPr>
                <w:rFonts w:cs="Arial"/>
                <w:szCs w:val="20"/>
              </w:rPr>
              <w:fldChar w:fldCharType="separate"/>
            </w:r>
            <w:r w:rsidRPr="00E538A1">
              <w:rPr>
                <w:rFonts w:cs="Arial"/>
                <w:szCs w:val="20"/>
              </w:rPr>
              <w:t>4</w:t>
            </w:r>
            <w:r w:rsidRPr="00E538A1">
              <w:rPr>
                <w:rFonts w:cs="Arial"/>
                <w:szCs w:val="20"/>
              </w:rPr>
              <w:fldChar w:fldCharType="end"/>
            </w:r>
            <w:r w:rsidRPr="00E538A1">
              <w:rPr>
                <w:rFonts w:cs="Arial"/>
                <w:szCs w:val="20"/>
              </w:rPr>
              <w:t xml:space="preserve"> (Purpose) and in the Operating Level Agreem</w:t>
            </w:r>
            <w:r w:rsidR="00F419A2">
              <w:rPr>
                <w:rFonts w:cs="Arial"/>
                <w:szCs w:val="20"/>
              </w:rPr>
              <w:t>e</w:t>
            </w:r>
            <w:r w:rsidRPr="00E538A1">
              <w:rPr>
                <w:rFonts w:cs="Arial"/>
                <w:szCs w:val="20"/>
              </w:rPr>
              <w:t>nt;</w:t>
            </w:r>
          </w:p>
        </w:tc>
      </w:tr>
      <w:tr w:rsidR="00E538A1" w:rsidRPr="00E538A1" w14:paraId="6116EA26" w14:textId="77777777" w:rsidTr="00F57B9A">
        <w:tc>
          <w:tcPr>
            <w:tcW w:w="3119" w:type="dxa"/>
          </w:tcPr>
          <w:p w14:paraId="65CB13DF" w14:textId="4348C1CD" w:rsidR="00E538A1" w:rsidRPr="00E538A1" w:rsidRDefault="00E538A1" w:rsidP="00F57B9A">
            <w:pPr>
              <w:spacing w:before="120"/>
              <w:rPr>
                <w:rFonts w:cs="Arial"/>
                <w:b/>
                <w:bCs/>
                <w:szCs w:val="20"/>
              </w:rPr>
            </w:pPr>
            <w:r w:rsidRPr="00E538A1">
              <w:rPr>
                <w:rFonts w:cs="Arial"/>
                <w:b/>
                <w:bCs/>
                <w:szCs w:val="20"/>
              </w:rPr>
              <w:t>"P</w:t>
            </w:r>
            <w:r w:rsidR="00F419A2">
              <w:rPr>
                <w:rFonts w:cs="Arial"/>
                <w:b/>
                <w:bCs/>
                <w:szCs w:val="20"/>
              </w:rPr>
              <w:t>u</w:t>
            </w:r>
            <w:r w:rsidRPr="00E538A1">
              <w:rPr>
                <w:rFonts w:cs="Arial"/>
                <w:b/>
                <w:bCs/>
                <w:szCs w:val="20"/>
              </w:rPr>
              <w:t>rpose"</w:t>
            </w:r>
          </w:p>
        </w:tc>
        <w:tc>
          <w:tcPr>
            <w:tcW w:w="5802" w:type="dxa"/>
          </w:tcPr>
          <w:p w14:paraId="3AC6361E" w14:textId="1D21E19F" w:rsidR="00E538A1" w:rsidRPr="00E538A1" w:rsidRDefault="00E538A1" w:rsidP="00F57B9A">
            <w:pPr>
              <w:spacing w:before="120"/>
              <w:rPr>
                <w:rFonts w:cs="Arial"/>
                <w:szCs w:val="20"/>
              </w:rPr>
            </w:pPr>
            <w:r w:rsidRPr="00E538A1">
              <w:rPr>
                <w:rFonts w:cs="Arial"/>
                <w:szCs w:val="20"/>
              </w:rPr>
              <w:t>means the purpose of migrating the Cu</w:t>
            </w:r>
            <w:r w:rsidR="00F419A2">
              <w:rPr>
                <w:rFonts w:cs="Arial"/>
                <w:szCs w:val="20"/>
              </w:rPr>
              <w:t>s</w:t>
            </w:r>
            <w:r w:rsidRPr="00E538A1">
              <w:rPr>
                <w:rFonts w:cs="Arial"/>
                <w:szCs w:val="20"/>
              </w:rPr>
              <w:t xml:space="preserve">tomer's data centre used by the Customer prior to the date of this Agreement to a new modular, flexible architecture and that is stable, </w:t>
            </w:r>
            <w:r w:rsidRPr="00E538A1">
              <w:rPr>
                <w:rFonts w:cs="Arial"/>
                <w:szCs w:val="20"/>
              </w:rPr>
              <w:lastRenderedPageBreak/>
              <w:t>robust and achieves a high level of performance in accordance with Good Industry Pract</w:t>
            </w:r>
            <w:r w:rsidR="00F419A2">
              <w:rPr>
                <w:rFonts w:cs="Arial"/>
                <w:szCs w:val="20"/>
              </w:rPr>
              <w:t>i</w:t>
            </w:r>
            <w:r w:rsidRPr="00E538A1">
              <w:rPr>
                <w:rFonts w:cs="Arial"/>
                <w:szCs w:val="20"/>
              </w:rPr>
              <w:t>ce;</w:t>
            </w:r>
          </w:p>
        </w:tc>
      </w:tr>
      <w:tr w:rsidR="00E538A1" w:rsidRPr="00E538A1" w14:paraId="3C16133A" w14:textId="77777777" w:rsidTr="00F57B9A">
        <w:tc>
          <w:tcPr>
            <w:tcW w:w="3119" w:type="dxa"/>
          </w:tcPr>
          <w:p w14:paraId="4721980F" w14:textId="26FBB43D" w:rsidR="00E538A1" w:rsidRPr="00E538A1" w:rsidRDefault="00E538A1" w:rsidP="00F57B9A">
            <w:pPr>
              <w:spacing w:before="120"/>
              <w:rPr>
                <w:rFonts w:cs="Arial"/>
                <w:b/>
                <w:bCs/>
                <w:szCs w:val="20"/>
              </w:rPr>
            </w:pPr>
            <w:r w:rsidRPr="00E538A1">
              <w:rPr>
                <w:rFonts w:cs="Arial"/>
                <w:b/>
                <w:bCs/>
                <w:szCs w:val="20"/>
              </w:rPr>
              <w:lastRenderedPageBreak/>
              <w:t>"Qualifying D</w:t>
            </w:r>
            <w:r w:rsidR="00F419A2">
              <w:rPr>
                <w:rFonts w:cs="Arial"/>
                <w:b/>
                <w:bCs/>
                <w:szCs w:val="20"/>
              </w:rPr>
              <w:t>i</w:t>
            </w:r>
            <w:r w:rsidRPr="00E538A1">
              <w:rPr>
                <w:rFonts w:cs="Arial"/>
                <w:b/>
                <w:bCs/>
                <w:szCs w:val="20"/>
              </w:rPr>
              <w:t>spute"</w:t>
            </w:r>
          </w:p>
        </w:tc>
        <w:tc>
          <w:tcPr>
            <w:tcW w:w="5802" w:type="dxa"/>
          </w:tcPr>
          <w:p w14:paraId="6ED352A2" w14:textId="6BCA8AA7" w:rsidR="00E538A1" w:rsidRPr="00E538A1" w:rsidRDefault="00E538A1" w:rsidP="00F57B9A">
            <w:pPr>
              <w:spacing w:before="120"/>
              <w:rPr>
                <w:rFonts w:cs="Arial"/>
                <w:szCs w:val="20"/>
              </w:rPr>
            </w:pPr>
            <w:r w:rsidRPr="00E538A1">
              <w:rPr>
                <w:rFonts w:cs="Arial"/>
                <w:szCs w:val="20"/>
              </w:rPr>
              <w:t xml:space="preserve">has the meaning given in Clause </w:t>
            </w:r>
            <w:r w:rsidRPr="00E538A1">
              <w:rPr>
                <w:rFonts w:cs="Arial"/>
                <w:szCs w:val="20"/>
              </w:rPr>
              <w:fldChar w:fldCharType="begin"/>
            </w:r>
            <w:r w:rsidRPr="00E538A1">
              <w:rPr>
                <w:rFonts w:cs="Arial"/>
                <w:szCs w:val="20"/>
              </w:rPr>
              <w:instrText xml:space="preserve"> REF _Ref390090643 \w \h  \* MERGEFORMAT </w:instrText>
            </w:r>
            <w:r w:rsidRPr="00E538A1">
              <w:rPr>
                <w:rFonts w:cs="Arial"/>
                <w:szCs w:val="20"/>
              </w:rPr>
            </w:r>
            <w:r w:rsidRPr="00E538A1">
              <w:rPr>
                <w:rFonts w:cs="Arial"/>
                <w:szCs w:val="20"/>
              </w:rPr>
              <w:fldChar w:fldCharType="separate"/>
            </w:r>
            <w:r w:rsidRPr="00E538A1">
              <w:rPr>
                <w:rFonts w:cs="Arial"/>
                <w:szCs w:val="20"/>
              </w:rPr>
              <w:t>16.1</w:t>
            </w:r>
            <w:r w:rsidRPr="00E538A1">
              <w:rPr>
                <w:rFonts w:cs="Arial"/>
                <w:szCs w:val="20"/>
              </w:rPr>
              <w:fldChar w:fldCharType="end"/>
            </w:r>
            <w:r w:rsidRPr="00E538A1">
              <w:rPr>
                <w:rFonts w:cs="Arial"/>
                <w:szCs w:val="20"/>
              </w:rPr>
              <w:t xml:space="preserve"> (Qualifying Dispu</w:t>
            </w:r>
            <w:r w:rsidR="00F419A2">
              <w:rPr>
                <w:rFonts w:cs="Arial"/>
                <w:szCs w:val="20"/>
              </w:rPr>
              <w:t>t</w:t>
            </w:r>
            <w:r w:rsidRPr="00E538A1">
              <w:rPr>
                <w:rFonts w:cs="Arial"/>
                <w:szCs w:val="20"/>
              </w:rPr>
              <w:t>e);</w:t>
            </w:r>
          </w:p>
        </w:tc>
      </w:tr>
      <w:tr w:rsidR="00E538A1" w:rsidRPr="00E538A1" w14:paraId="561D96C1" w14:textId="77777777" w:rsidTr="00F57B9A">
        <w:tc>
          <w:tcPr>
            <w:tcW w:w="3119" w:type="dxa"/>
          </w:tcPr>
          <w:p w14:paraId="35EC7402" w14:textId="38C89301" w:rsidR="00E538A1" w:rsidRPr="00E538A1" w:rsidRDefault="00E538A1" w:rsidP="00F57B9A">
            <w:pPr>
              <w:spacing w:before="120"/>
              <w:rPr>
                <w:rFonts w:cs="Arial"/>
                <w:b/>
                <w:bCs/>
                <w:szCs w:val="20"/>
              </w:rPr>
            </w:pPr>
            <w:r w:rsidRPr="00E538A1">
              <w:rPr>
                <w:rFonts w:cs="Arial"/>
                <w:b/>
                <w:bCs/>
                <w:szCs w:val="20"/>
              </w:rPr>
              <w:t>"Se</w:t>
            </w:r>
            <w:r w:rsidR="00F419A2">
              <w:rPr>
                <w:rFonts w:cs="Arial"/>
                <w:b/>
                <w:bCs/>
                <w:szCs w:val="20"/>
              </w:rPr>
              <w:t>r</w:t>
            </w:r>
            <w:r w:rsidRPr="00E538A1">
              <w:rPr>
                <w:rFonts w:cs="Arial"/>
                <w:b/>
                <w:bCs/>
                <w:szCs w:val="20"/>
              </w:rPr>
              <w:t>vices"</w:t>
            </w:r>
          </w:p>
        </w:tc>
        <w:tc>
          <w:tcPr>
            <w:tcW w:w="5802" w:type="dxa"/>
          </w:tcPr>
          <w:p w14:paraId="4B2B45B2" w14:textId="77777777" w:rsidR="00E538A1" w:rsidRPr="00E538A1" w:rsidRDefault="00E538A1" w:rsidP="00F57B9A">
            <w:pPr>
              <w:spacing w:before="120"/>
              <w:rPr>
                <w:rFonts w:cs="Arial"/>
                <w:szCs w:val="20"/>
              </w:rPr>
            </w:pPr>
            <w:r w:rsidRPr="00E538A1">
              <w:rPr>
                <w:rFonts w:cs="Arial"/>
                <w:szCs w:val="20"/>
              </w:rPr>
              <w:t xml:space="preserve">has the meaning given in Recital </w:t>
            </w:r>
            <w:r w:rsidRPr="00E538A1">
              <w:rPr>
                <w:rFonts w:cs="Arial"/>
                <w:szCs w:val="20"/>
              </w:rPr>
              <w:fldChar w:fldCharType="begin"/>
            </w:r>
            <w:r w:rsidRPr="00E538A1">
              <w:rPr>
                <w:rFonts w:cs="Arial"/>
                <w:szCs w:val="20"/>
              </w:rPr>
              <w:instrText xml:space="preserve"> REF _Ref390105630 \w \h  \* MERGEFORMAT </w:instrText>
            </w:r>
            <w:r w:rsidRPr="00E538A1">
              <w:rPr>
                <w:rFonts w:cs="Arial"/>
                <w:szCs w:val="20"/>
              </w:rPr>
            </w:r>
            <w:r w:rsidRPr="00E538A1">
              <w:rPr>
                <w:rFonts w:cs="Arial"/>
                <w:szCs w:val="20"/>
              </w:rPr>
              <w:fldChar w:fldCharType="separate"/>
            </w:r>
            <w:r w:rsidRPr="00E538A1">
              <w:rPr>
                <w:rFonts w:cs="Arial"/>
                <w:szCs w:val="20"/>
              </w:rPr>
              <w:t>C</w:t>
            </w:r>
            <w:r w:rsidRPr="00E538A1">
              <w:rPr>
                <w:rFonts w:cs="Arial"/>
                <w:szCs w:val="20"/>
              </w:rPr>
              <w:fldChar w:fldCharType="end"/>
            </w:r>
            <w:r w:rsidRPr="00E538A1">
              <w:rPr>
                <w:rFonts w:cs="Arial"/>
                <w:szCs w:val="20"/>
              </w:rPr>
              <w:t xml:space="preserve">; and </w:t>
            </w:r>
          </w:p>
        </w:tc>
      </w:tr>
      <w:tr w:rsidR="00E538A1" w:rsidRPr="00E538A1" w14:paraId="5308022B" w14:textId="77777777" w:rsidTr="00F57B9A">
        <w:tc>
          <w:tcPr>
            <w:tcW w:w="3119" w:type="dxa"/>
          </w:tcPr>
          <w:p w14:paraId="5CC97C53" w14:textId="77FC7FA4" w:rsidR="00E538A1" w:rsidRPr="00E538A1" w:rsidRDefault="00A20CD5" w:rsidP="00F57B9A">
            <w:pPr>
              <w:spacing w:before="120"/>
              <w:rPr>
                <w:rFonts w:cs="Arial"/>
                <w:b/>
                <w:bCs/>
                <w:szCs w:val="20"/>
              </w:rPr>
            </w:pPr>
            <w:r>
              <w:t>”</w:t>
            </w:r>
            <w:r w:rsidR="00E538A1" w:rsidRPr="00E538A1">
              <w:rPr>
                <w:rFonts w:cs="Arial"/>
                <w:b/>
                <w:bCs/>
                <w:szCs w:val="20"/>
              </w:rPr>
              <w:t>"Term"</w:t>
            </w:r>
          </w:p>
        </w:tc>
        <w:tc>
          <w:tcPr>
            <w:tcW w:w="5802" w:type="dxa"/>
          </w:tcPr>
          <w:p w14:paraId="38B35671" w14:textId="77777777" w:rsidR="00E538A1" w:rsidRPr="00E538A1" w:rsidRDefault="00E538A1" w:rsidP="00F57B9A">
            <w:pPr>
              <w:spacing w:before="120"/>
              <w:rPr>
                <w:rFonts w:cs="Arial"/>
                <w:szCs w:val="20"/>
              </w:rPr>
            </w:pPr>
            <w:r w:rsidRPr="00E538A1">
              <w:rPr>
                <w:rFonts w:cs="Arial"/>
                <w:szCs w:val="20"/>
              </w:rPr>
              <w:t xml:space="preserve">means the term of this Agreement, as described in Clause </w:t>
            </w:r>
            <w:r w:rsidRPr="00E538A1">
              <w:rPr>
                <w:rFonts w:cs="Arial"/>
                <w:szCs w:val="20"/>
              </w:rPr>
              <w:fldChar w:fldCharType="begin"/>
            </w:r>
            <w:r w:rsidRPr="00E538A1">
              <w:rPr>
                <w:rFonts w:cs="Arial"/>
                <w:szCs w:val="20"/>
              </w:rPr>
              <w:instrText xml:space="preserve"> REF _Ref389639728 \w \h  \* MERGEFORMAT </w:instrText>
            </w:r>
            <w:r w:rsidRPr="00E538A1">
              <w:rPr>
                <w:rFonts w:cs="Arial"/>
                <w:szCs w:val="20"/>
              </w:rPr>
            </w:r>
            <w:r w:rsidRPr="00E538A1">
              <w:rPr>
                <w:rFonts w:cs="Arial"/>
                <w:szCs w:val="20"/>
              </w:rPr>
              <w:fldChar w:fldCharType="separate"/>
            </w:r>
            <w:r w:rsidRPr="00E538A1">
              <w:rPr>
                <w:rFonts w:cs="Arial"/>
                <w:szCs w:val="20"/>
              </w:rPr>
              <w:t>2.1</w:t>
            </w:r>
            <w:r w:rsidRPr="00E538A1">
              <w:rPr>
                <w:rFonts w:cs="Arial"/>
                <w:szCs w:val="20"/>
              </w:rPr>
              <w:fldChar w:fldCharType="end"/>
            </w:r>
            <w:r w:rsidRPr="00E538A1">
              <w:rPr>
                <w:rFonts w:cs="Arial"/>
                <w:szCs w:val="20"/>
              </w:rPr>
              <w:t xml:space="preserve"> (Term).</w:t>
            </w:r>
          </w:p>
        </w:tc>
      </w:tr>
    </w:tbl>
    <w:p w14:paraId="754812A5" w14:textId="77777777" w:rsidR="00E538A1" w:rsidRPr="00E538A1" w:rsidRDefault="00E538A1" w:rsidP="009D675B">
      <w:pPr>
        <w:pStyle w:val="Heading1"/>
        <w:numPr>
          <w:ilvl w:val="0"/>
          <w:numId w:val="106"/>
        </w:numPr>
        <w:tabs>
          <w:tab w:val="clear" w:pos="720"/>
        </w:tabs>
        <w:ind w:hanging="360"/>
        <w:rPr>
          <w:rFonts w:cs="Arial"/>
          <w:szCs w:val="20"/>
        </w:rPr>
      </w:pPr>
      <w:bookmarkStart w:id="1569" w:name="_Toc231188012"/>
      <w:r w:rsidRPr="00E538A1">
        <w:rPr>
          <w:rFonts w:cs="Arial"/>
          <w:szCs w:val="20"/>
        </w:rPr>
        <w:t>Interpretatio</w:t>
      </w:r>
      <w:bookmarkEnd w:id="1569"/>
      <w:r w:rsidRPr="00E538A1">
        <w:rPr>
          <w:rFonts w:cs="Arial"/>
          <w:szCs w:val="20"/>
        </w:rPr>
        <w:t xml:space="preserve">n </w:t>
      </w:r>
    </w:p>
    <w:p w14:paraId="69003AC7" w14:textId="77777777" w:rsidR="00E538A1" w:rsidRPr="00E538A1" w:rsidRDefault="00E538A1" w:rsidP="009D675B">
      <w:pPr>
        <w:pStyle w:val="Heading2"/>
        <w:numPr>
          <w:ilvl w:val="1"/>
          <w:numId w:val="102"/>
        </w:numPr>
        <w:ind w:left="709" w:hanging="709"/>
        <w:rPr>
          <w:rFonts w:cs="Arial"/>
          <w:szCs w:val="20"/>
        </w:rPr>
      </w:pPr>
      <w:bookmarkStart w:id="1570" w:name="_Interpretation"/>
      <w:bookmarkEnd w:id="1570"/>
      <w:r w:rsidRPr="00E538A1">
        <w:rPr>
          <w:rFonts w:cs="Arial"/>
          <w:szCs w:val="20"/>
        </w:rPr>
        <w:t>In this Agreement the following interpretations apply:</w:t>
      </w:r>
    </w:p>
    <w:p w14:paraId="48DBC16E" w14:textId="77777777" w:rsidR="00E538A1" w:rsidRPr="00E538A1" w:rsidRDefault="00E538A1" w:rsidP="009D675B">
      <w:pPr>
        <w:pStyle w:val="Heading30"/>
        <w:numPr>
          <w:ilvl w:val="2"/>
          <w:numId w:val="102"/>
        </w:numPr>
        <w:tabs>
          <w:tab w:val="clear" w:pos="720"/>
          <w:tab w:val="num" w:pos="1702"/>
        </w:tabs>
        <w:ind w:left="1702" w:hanging="992"/>
      </w:pPr>
      <w:bookmarkStart w:id="1571" w:name="_Ref526242223"/>
      <w:r w:rsidRPr="00E538A1">
        <w:t>Headings: Headings are for ease of reference only and to be ignored when interpreting this Agreement.</w:t>
      </w:r>
      <w:bookmarkEnd w:id="1571"/>
      <w:r w:rsidRPr="00E538A1">
        <w:t xml:space="preserve"> </w:t>
      </w:r>
    </w:p>
    <w:p w14:paraId="31986A56" w14:textId="77777777" w:rsidR="00E538A1" w:rsidRPr="00E538A1" w:rsidRDefault="00E538A1" w:rsidP="009D675B">
      <w:pPr>
        <w:pStyle w:val="Heading30"/>
        <w:numPr>
          <w:ilvl w:val="2"/>
          <w:numId w:val="102"/>
        </w:numPr>
        <w:tabs>
          <w:tab w:val="clear" w:pos="720"/>
          <w:tab w:val="num" w:pos="1702"/>
        </w:tabs>
        <w:ind w:left="1702" w:hanging="992"/>
      </w:pPr>
      <w:bookmarkStart w:id="1572" w:name="_[see_explanatory_note"/>
      <w:bookmarkStart w:id="1573" w:name="cl_1_2b"/>
      <w:bookmarkStart w:id="1574" w:name="_references_to_any"/>
      <w:bookmarkStart w:id="1575" w:name="cl_1_2c"/>
      <w:bookmarkEnd w:id="1572"/>
      <w:bookmarkEnd w:id="1573"/>
      <w:bookmarkEnd w:id="1574"/>
      <w:bookmarkEnd w:id="1575"/>
      <w:r w:rsidRPr="00E538A1">
        <w:t xml:space="preserve">Clause, paragraph, </w:t>
      </w:r>
      <w:proofErr w:type="gramStart"/>
      <w:r w:rsidRPr="00E538A1">
        <w:t>Schedule</w:t>
      </w:r>
      <w:proofErr w:type="gramEnd"/>
      <w:r w:rsidRPr="00E538A1">
        <w:t xml:space="preserve"> or recital: References to any Clause, paragraph, Schedule or recital are to those contained in this Agreement.  All the Schedules are an integral part of this Agreement. </w:t>
      </w:r>
    </w:p>
    <w:p w14:paraId="3F3422C2" w14:textId="77777777" w:rsidR="00E538A1" w:rsidRPr="00E538A1" w:rsidRDefault="00E538A1" w:rsidP="009D675B">
      <w:pPr>
        <w:pStyle w:val="Heading30"/>
        <w:numPr>
          <w:ilvl w:val="2"/>
          <w:numId w:val="102"/>
        </w:numPr>
        <w:tabs>
          <w:tab w:val="clear" w:pos="720"/>
          <w:tab w:val="num" w:pos="1702"/>
        </w:tabs>
        <w:ind w:left="1702" w:hanging="992"/>
      </w:pPr>
      <w:bookmarkStart w:id="1576" w:name="_the_expression_this"/>
      <w:bookmarkStart w:id="1577" w:name="cl_1_2d"/>
      <w:bookmarkEnd w:id="1576"/>
      <w:bookmarkEnd w:id="1577"/>
      <w:r w:rsidRPr="00E538A1">
        <w:t xml:space="preserve">This Clause: The expression this Clause, unless followed by the number of a specific part of the Clause, refers to the whole clause in which it occurs. </w:t>
      </w:r>
    </w:p>
    <w:p w14:paraId="4E264B2F" w14:textId="32183B5A" w:rsidR="00E538A1" w:rsidRPr="00E538A1" w:rsidRDefault="00E538A1" w:rsidP="009D675B">
      <w:pPr>
        <w:pStyle w:val="Heading30"/>
        <w:numPr>
          <w:ilvl w:val="2"/>
          <w:numId w:val="102"/>
        </w:numPr>
        <w:tabs>
          <w:tab w:val="clear" w:pos="720"/>
          <w:tab w:val="num" w:pos="1702"/>
        </w:tabs>
        <w:ind w:left="1702" w:hanging="992"/>
      </w:pPr>
      <w:bookmarkStart w:id="1578" w:name="cl_1_2e"/>
      <w:bookmarkStart w:id="1579" w:name="_Ref526242242"/>
      <w:bookmarkEnd w:id="1578"/>
      <w:r w:rsidRPr="00E538A1">
        <w:t xml:space="preserve">Successors in title and transferees: Reference to any person, including a party, includes that </w:t>
      </w:r>
      <w:r w:rsidR="000D476B">
        <w:t>p</w:t>
      </w:r>
      <w:r w:rsidRPr="00E538A1">
        <w:t xml:space="preserve">erson's successors in title and transferees (unless the transfer to the successor in title or transferee was in breach of this Agreement).  </w:t>
      </w:r>
    </w:p>
    <w:p w14:paraId="2E1F3AB1" w14:textId="77777777" w:rsidR="00E538A1" w:rsidRPr="00E538A1" w:rsidRDefault="00E538A1" w:rsidP="009D675B">
      <w:pPr>
        <w:pStyle w:val="Heading30"/>
        <w:numPr>
          <w:ilvl w:val="2"/>
          <w:numId w:val="102"/>
        </w:numPr>
        <w:tabs>
          <w:tab w:val="clear" w:pos="720"/>
          <w:tab w:val="num" w:pos="1702"/>
        </w:tabs>
        <w:ind w:left="1702" w:hanging="992"/>
      </w:pPr>
      <w:r w:rsidRPr="00E538A1">
        <w:t>Gender:  Reference to any gender includes the others</w:t>
      </w:r>
      <w:bookmarkEnd w:id="1579"/>
      <w:r w:rsidRPr="00E538A1">
        <w:t>.</w:t>
      </w:r>
      <w:bookmarkStart w:id="1580" w:name="_references_to_a"/>
      <w:bookmarkStart w:id="1581" w:name="cl_1_2k"/>
      <w:bookmarkStart w:id="1582" w:name="_Ref526242283"/>
      <w:bookmarkEnd w:id="1580"/>
      <w:bookmarkEnd w:id="1581"/>
      <w:r w:rsidRPr="00E538A1">
        <w:t xml:space="preserve"> </w:t>
      </w:r>
    </w:p>
    <w:p w14:paraId="7F1B725C" w14:textId="77777777" w:rsidR="00E538A1" w:rsidRPr="00E538A1" w:rsidRDefault="00E538A1" w:rsidP="009D675B">
      <w:pPr>
        <w:pStyle w:val="Heading30"/>
        <w:numPr>
          <w:ilvl w:val="2"/>
          <w:numId w:val="102"/>
        </w:numPr>
        <w:tabs>
          <w:tab w:val="clear" w:pos="720"/>
          <w:tab w:val="num" w:pos="1702"/>
        </w:tabs>
        <w:ind w:left="1702" w:hanging="992"/>
      </w:pPr>
      <w:bookmarkStart w:id="1583" w:name="_Ref526242308"/>
      <w:bookmarkStart w:id="1584" w:name="Ejusdem_Generis"/>
      <w:r w:rsidRPr="00E538A1">
        <w:t xml:space="preserve">Ejusdem Generis:  The Ejusdem Generis rule does not apply to the interpretation of this Agreement.  The words include, including and </w:t>
      </w:r>
      <w:proofErr w:type="gramStart"/>
      <w:r w:rsidRPr="00E538A1">
        <w:t>in particular indicate</w:t>
      </w:r>
      <w:proofErr w:type="gramEnd"/>
      <w:r w:rsidRPr="00E538A1">
        <w:t xml:space="preserve"> examples only.  They do not limit the general nature of any preceding words</w:t>
      </w:r>
      <w:bookmarkEnd w:id="1583"/>
      <w:r w:rsidRPr="00E538A1">
        <w:t>.</w:t>
      </w:r>
      <w:bookmarkStart w:id="1585" w:name="_Ref526242312"/>
      <w:r w:rsidRPr="00E538A1">
        <w:t xml:space="preserve">  A phrase finishing with the words or other or otherwise is not limited by any preceding words where a wider interpretation is possible.</w:t>
      </w:r>
      <w:bookmarkEnd w:id="1584"/>
      <w:bookmarkEnd w:id="1585"/>
    </w:p>
    <w:p w14:paraId="5AFF405C" w14:textId="77777777" w:rsidR="00E538A1" w:rsidRPr="00E538A1" w:rsidRDefault="00E538A1" w:rsidP="009D675B">
      <w:pPr>
        <w:pStyle w:val="Heading30"/>
        <w:numPr>
          <w:ilvl w:val="2"/>
          <w:numId w:val="102"/>
        </w:numPr>
        <w:tabs>
          <w:tab w:val="clear" w:pos="720"/>
          <w:tab w:val="num" w:pos="1702"/>
        </w:tabs>
        <w:ind w:left="1702" w:hanging="992"/>
      </w:pPr>
      <w:bookmarkStart w:id="1586" w:name="cl1_2m"/>
      <w:bookmarkStart w:id="1587" w:name="cl_1_2r"/>
      <w:bookmarkStart w:id="1588" w:name="_Ref167070760"/>
      <w:bookmarkEnd w:id="1586"/>
      <w:bookmarkEnd w:id="1587"/>
      <w:r w:rsidRPr="00E538A1">
        <w:t>Related words:  Where this Agreement defines a word or expression related words and expressions have a consistent meaning.</w:t>
      </w:r>
      <w:bookmarkEnd w:id="1588"/>
    </w:p>
    <w:p w14:paraId="0D54FCE4" w14:textId="77777777" w:rsidR="00E538A1" w:rsidRPr="00E538A1" w:rsidRDefault="00E538A1" w:rsidP="009D675B">
      <w:pPr>
        <w:pStyle w:val="Heading30"/>
        <w:numPr>
          <w:ilvl w:val="2"/>
          <w:numId w:val="102"/>
        </w:numPr>
        <w:tabs>
          <w:tab w:val="clear" w:pos="720"/>
          <w:tab w:val="num" w:pos="1702"/>
        </w:tabs>
        <w:ind w:left="1702" w:hanging="992"/>
      </w:pPr>
      <w:bookmarkStart w:id="1589" w:name="_Ref167070851"/>
      <w:r w:rsidRPr="00E538A1">
        <w:t xml:space="preserve">Dates and times:  </w:t>
      </w:r>
      <w:proofErr w:type="gramStart"/>
      <w:r w:rsidRPr="00E538A1">
        <w:t>A day</w:t>
      </w:r>
      <w:proofErr w:type="gramEnd"/>
      <w:r w:rsidRPr="00E538A1">
        <w:t xml:space="preserve"> means the 24 hours from midnight to midnight.  Reference to a date is to the corresponding day.  References to time are to the time in London.</w:t>
      </w:r>
      <w:bookmarkEnd w:id="1589"/>
    </w:p>
    <w:p w14:paraId="107666C9" w14:textId="77777777" w:rsidR="00E538A1" w:rsidRPr="00E538A1" w:rsidRDefault="00E538A1" w:rsidP="009D675B">
      <w:pPr>
        <w:pStyle w:val="Heading30"/>
        <w:numPr>
          <w:ilvl w:val="2"/>
          <w:numId w:val="102"/>
        </w:numPr>
        <w:tabs>
          <w:tab w:val="clear" w:pos="720"/>
          <w:tab w:val="num" w:pos="1702"/>
        </w:tabs>
        <w:ind w:left="1702" w:hanging="992"/>
      </w:pPr>
      <w:bookmarkStart w:id="1590" w:name="_[see_explanatory_note_1"/>
      <w:bookmarkStart w:id="1591" w:name="_law_includes_any"/>
      <w:bookmarkStart w:id="1592" w:name="cl_1_2h"/>
      <w:bookmarkStart w:id="1593" w:name="_references_to_legislation"/>
      <w:bookmarkStart w:id="1594" w:name="cl_1_2i"/>
      <w:bookmarkStart w:id="1595" w:name="_Ref526244284"/>
      <w:bookmarkStart w:id="1596" w:name="_Ref111351238"/>
      <w:bookmarkEnd w:id="1582"/>
      <w:bookmarkEnd w:id="1590"/>
      <w:bookmarkEnd w:id="1591"/>
      <w:bookmarkEnd w:id="1592"/>
      <w:bookmarkEnd w:id="1593"/>
      <w:bookmarkEnd w:id="1594"/>
      <w:r w:rsidRPr="00E538A1">
        <w:t>Legislation:  References to legislation include statutes, by-laws, regulations, rules, subordinate or delegated legislation and orders.  Any reference to legislation is to that legislation at the date of this Agreement but:</w:t>
      </w:r>
    </w:p>
    <w:p w14:paraId="2951EA16" w14:textId="77777777" w:rsidR="00E538A1" w:rsidRPr="00E538A1" w:rsidRDefault="00E538A1" w:rsidP="009D675B">
      <w:pPr>
        <w:keepNext/>
        <w:numPr>
          <w:ilvl w:val="3"/>
          <w:numId w:val="102"/>
        </w:numPr>
        <w:spacing w:after="240" w:line="276" w:lineRule="auto"/>
        <w:jc w:val="left"/>
        <w:outlineLvl w:val="3"/>
        <w:rPr>
          <w:rFonts w:cs="Arial"/>
          <w:szCs w:val="20"/>
        </w:rPr>
      </w:pPr>
      <w:bookmarkStart w:id="1597" w:name="_Ref166919994"/>
      <w:bookmarkStart w:id="1598" w:name="_Ref167158146"/>
      <w:r w:rsidRPr="00E538A1">
        <w:rPr>
          <w:rFonts w:cs="Arial"/>
          <w:szCs w:val="20"/>
        </w:rPr>
        <w:t xml:space="preserve">where the reference relates to an obligation arising or to be performed after the date of this Agreement, it refers to any replacement, </w:t>
      </w:r>
      <w:proofErr w:type="gramStart"/>
      <w:r w:rsidRPr="00E538A1">
        <w:rPr>
          <w:rFonts w:cs="Arial"/>
          <w:szCs w:val="20"/>
        </w:rPr>
        <w:t>restatement</w:t>
      </w:r>
      <w:proofErr w:type="gramEnd"/>
      <w:r w:rsidRPr="00E538A1">
        <w:rPr>
          <w:rFonts w:cs="Arial"/>
          <w:szCs w:val="20"/>
        </w:rPr>
        <w:t xml:space="preserve"> or variation of that legislation at that time</w:t>
      </w:r>
      <w:bookmarkEnd w:id="1597"/>
      <w:r w:rsidRPr="00E538A1">
        <w:rPr>
          <w:rFonts w:cs="Arial"/>
          <w:szCs w:val="20"/>
        </w:rPr>
        <w:t>; and</w:t>
      </w:r>
      <w:bookmarkEnd w:id="1598"/>
    </w:p>
    <w:p w14:paraId="468E2941" w14:textId="77777777" w:rsidR="00E538A1" w:rsidRPr="00E538A1" w:rsidRDefault="00E538A1" w:rsidP="009D675B">
      <w:pPr>
        <w:keepNext/>
        <w:numPr>
          <w:ilvl w:val="3"/>
          <w:numId w:val="102"/>
        </w:numPr>
        <w:spacing w:after="240" w:line="276" w:lineRule="auto"/>
        <w:jc w:val="left"/>
        <w:outlineLvl w:val="3"/>
        <w:rPr>
          <w:rFonts w:cs="Arial"/>
          <w:szCs w:val="20"/>
        </w:rPr>
      </w:pPr>
      <w:bookmarkStart w:id="1599" w:name="_Ref166926217"/>
      <w:r w:rsidRPr="00E538A1">
        <w:rPr>
          <w:rFonts w:cs="Arial"/>
          <w:szCs w:val="20"/>
        </w:rPr>
        <w:t xml:space="preserve">where the reference relates to a representation about circumstances on or before the date of this Agreement, it includes any prior legislation or law of which the legislation specified is a replacement, </w:t>
      </w:r>
      <w:proofErr w:type="gramStart"/>
      <w:r w:rsidRPr="00E538A1">
        <w:rPr>
          <w:rFonts w:cs="Arial"/>
          <w:szCs w:val="20"/>
        </w:rPr>
        <w:t>restatement</w:t>
      </w:r>
      <w:proofErr w:type="gramEnd"/>
      <w:r w:rsidRPr="00E538A1">
        <w:rPr>
          <w:rFonts w:cs="Arial"/>
          <w:szCs w:val="20"/>
        </w:rPr>
        <w:t xml:space="preserve"> or variation</w:t>
      </w:r>
      <w:bookmarkEnd w:id="1599"/>
      <w:r w:rsidRPr="00E538A1">
        <w:rPr>
          <w:rFonts w:cs="Arial"/>
          <w:szCs w:val="20"/>
        </w:rPr>
        <w:t>.</w:t>
      </w:r>
    </w:p>
    <w:p w14:paraId="56D18598" w14:textId="77777777" w:rsidR="00E538A1" w:rsidRPr="00E538A1" w:rsidRDefault="00E538A1" w:rsidP="009D675B">
      <w:pPr>
        <w:pStyle w:val="Heading30"/>
        <w:numPr>
          <w:ilvl w:val="2"/>
          <w:numId w:val="102"/>
        </w:numPr>
        <w:tabs>
          <w:tab w:val="clear" w:pos="720"/>
          <w:tab w:val="num" w:pos="1702"/>
        </w:tabs>
        <w:ind w:left="1702" w:hanging="992"/>
      </w:pPr>
      <w:bookmarkStart w:id="1600" w:name="_[[see_explanatory_note"/>
      <w:bookmarkEnd w:id="1595"/>
      <w:bookmarkEnd w:id="1596"/>
      <w:bookmarkEnd w:id="1600"/>
      <w:r w:rsidRPr="00E538A1">
        <w:t xml:space="preserve">English concepts and terms:  Reference to any English concept or term is treated, when considered in relation to any jurisdiction other than England and Wales, as referring to the concept or terms most nearly approximating it in the other jurisdiction.  This sub-clause does not affect any express term relating </w:t>
      </w:r>
      <w:proofErr w:type="gramStart"/>
      <w:r w:rsidRPr="00E538A1">
        <w:t>to choice</w:t>
      </w:r>
      <w:proofErr w:type="gramEnd"/>
      <w:r w:rsidRPr="00E538A1">
        <w:t xml:space="preserve"> of law or jurisdiction. </w:t>
      </w:r>
    </w:p>
    <w:p w14:paraId="3EFEF009" w14:textId="77777777" w:rsidR="00E538A1" w:rsidRPr="00E538A1" w:rsidRDefault="00E538A1" w:rsidP="009D675B">
      <w:pPr>
        <w:pStyle w:val="Heading30"/>
        <w:numPr>
          <w:ilvl w:val="2"/>
          <w:numId w:val="102"/>
        </w:numPr>
        <w:tabs>
          <w:tab w:val="clear" w:pos="720"/>
          <w:tab w:val="num" w:pos="1702"/>
        </w:tabs>
        <w:ind w:left="1702" w:hanging="992"/>
      </w:pPr>
      <w:bookmarkStart w:id="1601" w:name="_[see_explanatory_note_2"/>
      <w:bookmarkStart w:id="1602" w:name="cl_1_2l"/>
      <w:bookmarkStart w:id="1603" w:name="_Ref526243022"/>
      <w:bookmarkStart w:id="1604" w:name="_Ref245286539"/>
      <w:bookmarkEnd w:id="1601"/>
      <w:bookmarkEnd w:id="1602"/>
      <w:r w:rsidRPr="00E538A1">
        <w:t xml:space="preserve">Companies Act definitions:  </w:t>
      </w:r>
      <w:bookmarkStart w:id="1605" w:name="_[see_explanatory_note_3"/>
      <w:bookmarkStart w:id="1606" w:name="cl_1_2m"/>
      <w:bookmarkStart w:id="1607" w:name="_[see_explanatory_note_6"/>
      <w:bookmarkStart w:id="1608" w:name="_[see_explanatory_note_8"/>
      <w:bookmarkEnd w:id="1603"/>
      <w:bookmarkEnd w:id="1605"/>
      <w:bookmarkEnd w:id="1606"/>
      <w:bookmarkEnd w:id="1607"/>
      <w:bookmarkEnd w:id="1608"/>
      <w:r w:rsidRPr="00E538A1">
        <w:t xml:space="preserve">The words and expressions defined in sections 250, 251, 390, 1159, 1161 and 1162 of the Companies Act 2006 have the same meanings in this Agreement, except that a company is to be treated as a member </w:t>
      </w:r>
      <w:r w:rsidRPr="00E538A1">
        <w:lastRenderedPageBreak/>
        <w:t>of another company for the purposes of subsections 1159(1)(b) and (c) even if its shares in that other company are registered in the name of:</w:t>
      </w:r>
    </w:p>
    <w:p w14:paraId="554B5E9D" w14:textId="77777777" w:rsidR="00E538A1" w:rsidRPr="00E538A1" w:rsidRDefault="00E538A1" w:rsidP="009D675B">
      <w:pPr>
        <w:keepNext/>
        <w:numPr>
          <w:ilvl w:val="3"/>
          <w:numId w:val="102"/>
        </w:numPr>
        <w:spacing w:after="240" w:line="276" w:lineRule="auto"/>
        <w:jc w:val="left"/>
        <w:outlineLvl w:val="3"/>
        <w:rPr>
          <w:rFonts w:cs="Arial"/>
          <w:szCs w:val="20"/>
        </w:rPr>
      </w:pPr>
      <w:r w:rsidRPr="00E538A1">
        <w:rPr>
          <w:rFonts w:cs="Arial"/>
          <w:szCs w:val="20"/>
        </w:rPr>
        <w:t xml:space="preserve">its nominee or any other person acting on its behalf, or </w:t>
      </w:r>
    </w:p>
    <w:p w14:paraId="4779829A" w14:textId="77777777" w:rsidR="00E538A1" w:rsidRPr="00E538A1" w:rsidRDefault="00E538A1" w:rsidP="009D675B">
      <w:pPr>
        <w:keepNext/>
        <w:numPr>
          <w:ilvl w:val="3"/>
          <w:numId w:val="102"/>
        </w:numPr>
        <w:spacing w:after="240" w:line="276" w:lineRule="auto"/>
        <w:jc w:val="left"/>
        <w:outlineLvl w:val="3"/>
        <w:rPr>
          <w:rFonts w:cs="Arial"/>
          <w:szCs w:val="20"/>
        </w:rPr>
      </w:pPr>
      <w:r w:rsidRPr="00E538A1">
        <w:rPr>
          <w:rFonts w:cs="Arial"/>
          <w:szCs w:val="20"/>
        </w:rPr>
        <w:t>another person by way of security over those shares.</w:t>
      </w:r>
      <w:bookmarkEnd w:id="1604"/>
    </w:p>
    <w:p w14:paraId="1B94386C" w14:textId="77777777" w:rsidR="00E538A1" w:rsidRPr="00E538A1" w:rsidRDefault="00E538A1" w:rsidP="009D675B">
      <w:pPr>
        <w:pStyle w:val="Heading30"/>
        <w:numPr>
          <w:ilvl w:val="2"/>
          <w:numId w:val="102"/>
        </w:numPr>
        <w:tabs>
          <w:tab w:val="clear" w:pos="720"/>
          <w:tab w:val="num" w:pos="1702"/>
        </w:tabs>
        <w:ind w:left="1702" w:hanging="992"/>
      </w:pPr>
      <w:r w:rsidRPr="00E538A1">
        <w:t xml:space="preserve">Company: The word company includes </w:t>
      </w:r>
      <w:proofErr w:type="spellStart"/>
      <w:r w:rsidRPr="00E538A1">
        <w:t>any body</w:t>
      </w:r>
      <w:proofErr w:type="spellEnd"/>
      <w:r w:rsidRPr="00E538A1">
        <w:t xml:space="preserve"> corporate, wherever established.</w:t>
      </w:r>
    </w:p>
    <w:p w14:paraId="20453EFC" w14:textId="77777777" w:rsidR="00E538A1" w:rsidRPr="00E538A1" w:rsidRDefault="00E538A1" w:rsidP="009D675B">
      <w:pPr>
        <w:pStyle w:val="Heading30"/>
        <w:numPr>
          <w:ilvl w:val="2"/>
          <w:numId w:val="102"/>
        </w:numPr>
        <w:tabs>
          <w:tab w:val="clear" w:pos="720"/>
          <w:tab w:val="num" w:pos="1702"/>
        </w:tabs>
        <w:ind w:left="1702" w:hanging="992"/>
      </w:pPr>
      <w:bookmarkStart w:id="1609" w:name="_[see_explanatory_note_4"/>
      <w:bookmarkStart w:id="1610" w:name="cl_1_2n"/>
      <w:bookmarkStart w:id="1611" w:name="_[see_explanatory_note_5"/>
      <w:bookmarkStart w:id="1612" w:name="cl_1_2o"/>
      <w:bookmarkEnd w:id="1609"/>
      <w:bookmarkEnd w:id="1610"/>
      <w:bookmarkEnd w:id="1611"/>
      <w:bookmarkEnd w:id="1612"/>
      <w:r w:rsidRPr="00E538A1">
        <w:t>Person: The word person includes each of the following, even if they have no separate legal personality: an individual, firm, partnership, trust, joint venture, body corporate, unincorporated body, association, organisation or any government, state or local body or authority.</w:t>
      </w:r>
    </w:p>
    <w:p w14:paraId="1B8E026C" w14:textId="77777777" w:rsidR="00E538A1" w:rsidRPr="00E538A1" w:rsidRDefault="00E538A1" w:rsidP="009D675B">
      <w:pPr>
        <w:pStyle w:val="Heading30"/>
        <w:numPr>
          <w:ilvl w:val="2"/>
          <w:numId w:val="102"/>
        </w:numPr>
        <w:tabs>
          <w:tab w:val="clear" w:pos="720"/>
          <w:tab w:val="num" w:pos="1702"/>
        </w:tabs>
        <w:ind w:left="1702" w:hanging="992"/>
      </w:pPr>
      <w:bookmarkStart w:id="1613" w:name="_[see_explanatory_note_7"/>
      <w:bookmarkStart w:id="1614" w:name="cl_1_2s"/>
      <w:bookmarkStart w:id="1615" w:name="_Ref526242315"/>
      <w:bookmarkStart w:id="1616" w:name="_Ref34730172"/>
      <w:bookmarkEnd w:id="1613"/>
      <w:bookmarkEnd w:id="1614"/>
      <w:r w:rsidRPr="00E538A1">
        <w:t>Writing: The term in writing means any communication made on paper, by fax</w:t>
      </w:r>
      <w:bookmarkEnd w:id="1615"/>
      <w:bookmarkEnd w:id="1616"/>
      <w:r w:rsidRPr="00E538A1">
        <w:t xml:space="preserve"> or by email.</w:t>
      </w:r>
    </w:p>
    <w:p w14:paraId="31FF978B" w14:textId="77777777" w:rsidR="00E538A1" w:rsidRPr="00E538A1" w:rsidRDefault="00E538A1" w:rsidP="00E538A1">
      <w:pPr>
        <w:pStyle w:val="BodyText2"/>
        <w:keepNext/>
        <w:rPr>
          <w:rFonts w:cs="Arial"/>
          <w:szCs w:val="20"/>
        </w:rPr>
      </w:pPr>
    </w:p>
    <w:p w14:paraId="35656CB7" w14:textId="77777777" w:rsidR="00E538A1" w:rsidRPr="00E538A1" w:rsidRDefault="00E538A1" w:rsidP="00E538A1">
      <w:pPr>
        <w:rPr>
          <w:rFonts w:cs="Arial"/>
          <w:szCs w:val="20"/>
        </w:rPr>
      </w:pPr>
      <w:r w:rsidRPr="00E538A1">
        <w:rPr>
          <w:rFonts w:cs="Arial"/>
          <w:b/>
          <w:bCs/>
          <w:szCs w:val="20"/>
        </w:rPr>
        <w:br w:type="page"/>
      </w:r>
    </w:p>
    <w:p w14:paraId="0F086B52" w14:textId="77777777" w:rsidR="00E538A1" w:rsidRPr="00E538A1" w:rsidRDefault="00E538A1" w:rsidP="009D675B">
      <w:pPr>
        <w:pStyle w:val="Schedule"/>
        <w:keepNext w:val="0"/>
        <w:numPr>
          <w:ilvl w:val="0"/>
          <w:numId w:val="101"/>
        </w:numPr>
        <w:spacing w:line="276" w:lineRule="auto"/>
        <w:jc w:val="both"/>
        <w:rPr>
          <w:rFonts w:ascii="Arial" w:hAnsi="Arial" w:cs="Arial"/>
          <w:sz w:val="20"/>
        </w:rPr>
      </w:pPr>
      <w:r w:rsidRPr="00E538A1">
        <w:rPr>
          <w:rFonts w:ascii="Arial" w:hAnsi="Arial" w:cs="Arial"/>
          <w:sz w:val="20"/>
        </w:rPr>
        <w:lastRenderedPageBreak/>
        <w:t xml:space="preserve"> </w:t>
      </w:r>
      <w:bookmarkStart w:id="1617" w:name="_Ref206004843"/>
      <w:bookmarkStart w:id="1618" w:name="_Ref233709047"/>
      <w:bookmarkStart w:id="1619" w:name="_Toc321417664"/>
      <w:bookmarkStart w:id="1620" w:name="_Ref322094068"/>
      <w:bookmarkStart w:id="1621" w:name="_Ref322094119"/>
      <w:bookmarkStart w:id="1622" w:name="_Ref389651382"/>
      <w:bookmarkStart w:id="1623" w:name="_Toc57263886"/>
      <w:r w:rsidRPr="00E538A1">
        <w:rPr>
          <w:rFonts w:ascii="Arial" w:hAnsi="Arial" w:cs="Arial"/>
          <w:sz w:val="20"/>
        </w:rPr>
        <w:t xml:space="preserve">– </w:t>
      </w:r>
      <w:bookmarkEnd w:id="1617"/>
      <w:bookmarkEnd w:id="1618"/>
      <w:bookmarkEnd w:id="1619"/>
      <w:bookmarkEnd w:id="1620"/>
      <w:bookmarkEnd w:id="1621"/>
      <w:r w:rsidRPr="00E538A1">
        <w:rPr>
          <w:rFonts w:ascii="Arial" w:hAnsi="Arial" w:cs="Arial"/>
          <w:sz w:val="20"/>
        </w:rPr>
        <w:t>Accession Agreement</w:t>
      </w:r>
      <w:bookmarkEnd w:id="1622"/>
      <w:bookmarkEnd w:id="1623"/>
      <w:r w:rsidRPr="00E538A1">
        <w:rPr>
          <w:rFonts w:ascii="Arial" w:hAnsi="Arial" w:cs="Arial"/>
          <w:sz w:val="20"/>
        </w:rPr>
        <w:t xml:space="preserve"> </w:t>
      </w:r>
    </w:p>
    <w:p w14:paraId="5109DD2A" w14:textId="77777777" w:rsidR="00E538A1" w:rsidRPr="00E538A1" w:rsidRDefault="00E538A1" w:rsidP="00E538A1">
      <w:pPr>
        <w:pStyle w:val="Leader"/>
        <w:jc w:val="both"/>
        <w:rPr>
          <w:rFonts w:cs="Arial"/>
          <w:sz w:val="20"/>
          <w:szCs w:val="20"/>
        </w:rPr>
      </w:pPr>
      <w:r w:rsidRPr="00E538A1">
        <w:rPr>
          <w:rFonts w:cs="Arial"/>
          <w:sz w:val="20"/>
          <w:szCs w:val="20"/>
        </w:rPr>
        <w:t xml:space="preserve">Dated </w:t>
      </w:r>
      <w:r w:rsidRPr="00E538A1">
        <w:rPr>
          <w:rFonts w:cs="Arial"/>
          <w:sz w:val="20"/>
          <w:szCs w:val="20"/>
        </w:rPr>
        <w:tab/>
      </w:r>
      <w:r w:rsidRPr="00E538A1">
        <w:rPr>
          <w:rFonts w:cs="Arial"/>
          <w:sz w:val="20"/>
          <w:szCs w:val="20"/>
        </w:rPr>
        <w:tab/>
      </w:r>
      <w:r w:rsidRPr="00E538A1">
        <w:rPr>
          <w:rFonts w:cs="Arial"/>
          <w:sz w:val="20"/>
          <w:szCs w:val="20"/>
        </w:rPr>
        <w:tab/>
      </w:r>
      <w:r w:rsidRPr="00E538A1">
        <w:rPr>
          <w:rFonts w:cs="Arial"/>
          <w:sz w:val="20"/>
          <w:szCs w:val="20"/>
        </w:rPr>
        <w:tab/>
      </w:r>
    </w:p>
    <w:p w14:paraId="02766CD4" w14:textId="77777777" w:rsidR="00E538A1" w:rsidRPr="00E538A1" w:rsidRDefault="00E538A1" w:rsidP="00E538A1">
      <w:pPr>
        <w:spacing w:after="240"/>
        <w:rPr>
          <w:rFonts w:cs="Arial"/>
          <w:b/>
          <w:szCs w:val="20"/>
        </w:rPr>
      </w:pPr>
      <w:r w:rsidRPr="00E538A1">
        <w:rPr>
          <w:rFonts w:cs="Arial"/>
          <w:b/>
          <w:szCs w:val="20"/>
        </w:rPr>
        <w:t>BETWEEN</w:t>
      </w:r>
    </w:p>
    <w:p w14:paraId="1439A8F5" w14:textId="4019F4BD" w:rsidR="00E538A1" w:rsidRPr="00E538A1" w:rsidRDefault="00E538A1" w:rsidP="009D675B">
      <w:pPr>
        <w:pStyle w:val="Parties"/>
        <w:numPr>
          <w:ilvl w:val="0"/>
          <w:numId w:val="123"/>
        </w:numPr>
        <w:spacing w:line="276" w:lineRule="auto"/>
        <w:jc w:val="left"/>
        <w:outlineLvl w:val="9"/>
        <w:rPr>
          <w:rFonts w:cs="Arial"/>
          <w:szCs w:val="20"/>
        </w:rPr>
      </w:pPr>
      <w:r w:rsidRPr="00E538A1">
        <w:rPr>
          <w:rFonts w:cs="Arial"/>
          <w:szCs w:val="20"/>
        </w:rPr>
        <w:t>(</w:t>
      </w:r>
      <w:r w:rsidRPr="00E538A1">
        <w:rPr>
          <w:rFonts w:cs="Arial"/>
          <w:b/>
          <w:bCs/>
          <w:szCs w:val="20"/>
        </w:rPr>
        <w:t>Custom</w:t>
      </w:r>
    </w:p>
    <w:p w14:paraId="03136B5E" w14:textId="77777777" w:rsidR="00E538A1" w:rsidRPr="00A20CD5" w:rsidRDefault="00E538A1" w:rsidP="009D675B">
      <w:pPr>
        <w:pStyle w:val="ListParagraph"/>
        <w:numPr>
          <w:ilvl w:val="1"/>
          <w:numId w:val="132"/>
        </w:numPr>
        <w:spacing w:after="240"/>
        <w:rPr>
          <w:rFonts w:cs="Arial"/>
          <w:szCs w:val="20"/>
        </w:rPr>
      </w:pPr>
      <w:r w:rsidRPr="00A20CD5">
        <w:rPr>
          <w:rFonts w:cs="Arial"/>
          <w:szCs w:val="20"/>
        </w:rPr>
        <w:t xml:space="preserve"> (2)</w:t>
      </w:r>
      <w:r w:rsidRPr="00A20CD5">
        <w:rPr>
          <w:rFonts w:cs="Arial"/>
          <w:szCs w:val="20"/>
        </w:rPr>
        <w:tab/>
        <w:t>[</w:t>
      </w:r>
      <w:r w:rsidRPr="00A20CD5">
        <w:rPr>
          <w:rFonts w:cs="Arial"/>
          <w:b/>
          <w:i/>
          <w:szCs w:val="20"/>
        </w:rPr>
        <w:t>NAME</w:t>
      </w:r>
      <w:r w:rsidRPr="00A20CD5">
        <w:rPr>
          <w:rFonts w:cs="Arial"/>
          <w:szCs w:val="20"/>
        </w:rPr>
        <w:t xml:space="preserve">] a company registered in </w:t>
      </w:r>
      <w:r w:rsidRPr="00A20CD5">
        <w:rPr>
          <w:rFonts w:cs="Arial"/>
          <w:i/>
          <w:szCs w:val="20"/>
        </w:rPr>
        <w:t>[]</w:t>
      </w:r>
      <w:r w:rsidRPr="00A20CD5">
        <w:rPr>
          <w:rFonts w:cs="Arial"/>
          <w:szCs w:val="20"/>
        </w:rPr>
        <w:t xml:space="preserve"> under company number </w:t>
      </w:r>
      <w:r w:rsidRPr="00A20CD5">
        <w:rPr>
          <w:rFonts w:cs="Arial"/>
          <w:i/>
          <w:szCs w:val="20"/>
        </w:rPr>
        <w:t>[]</w:t>
      </w:r>
      <w:r w:rsidRPr="00A20CD5">
        <w:rPr>
          <w:rFonts w:cs="Arial"/>
          <w:szCs w:val="20"/>
        </w:rPr>
        <w:t xml:space="preserve"> whose registered office is at </w:t>
      </w:r>
      <w:r w:rsidRPr="00A20CD5">
        <w:rPr>
          <w:rFonts w:cs="Arial"/>
          <w:i/>
          <w:szCs w:val="20"/>
        </w:rPr>
        <w:t>[]</w:t>
      </w:r>
      <w:r w:rsidRPr="00A20CD5">
        <w:rPr>
          <w:rFonts w:cs="Arial"/>
          <w:szCs w:val="20"/>
        </w:rPr>
        <w:t xml:space="preserve"> (</w:t>
      </w:r>
      <w:r w:rsidRPr="00A20CD5">
        <w:rPr>
          <w:rFonts w:cs="Arial"/>
          <w:b/>
          <w:szCs w:val="20"/>
        </w:rPr>
        <w:t>Acceding Member</w:t>
      </w:r>
      <w:r w:rsidRPr="00A20CD5">
        <w:rPr>
          <w:rFonts w:cs="Arial"/>
          <w:szCs w:val="20"/>
        </w:rPr>
        <w:t>).</w:t>
      </w:r>
    </w:p>
    <w:p w14:paraId="1B0AADA6" w14:textId="77777777" w:rsidR="00E538A1" w:rsidRPr="00E538A1" w:rsidRDefault="00E538A1" w:rsidP="00E538A1">
      <w:pPr>
        <w:pStyle w:val="Leader"/>
        <w:jc w:val="both"/>
        <w:rPr>
          <w:rFonts w:cs="Arial"/>
          <w:sz w:val="20"/>
          <w:szCs w:val="20"/>
        </w:rPr>
      </w:pPr>
      <w:r w:rsidRPr="00E538A1">
        <w:rPr>
          <w:rFonts w:cs="Arial"/>
          <w:sz w:val="20"/>
          <w:szCs w:val="20"/>
        </w:rPr>
        <w:t>It is agreed</w:t>
      </w:r>
      <w:r w:rsidRPr="00E538A1">
        <w:rPr>
          <w:rFonts w:cs="Arial"/>
          <w:b w:val="0"/>
          <w:bCs/>
          <w:sz w:val="20"/>
          <w:szCs w:val="20"/>
        </w:rPr>
        <w:t>:</w:t>
      </w:r>
    </w:p>
    <w:p w14:paraId="03B46B23" w14:textId="77777777" w:rsidR="00E538A1" w:rsidRPr="00E538A1" w:rsidRDefault="00E538A1" w:rsidP="009D675B">
      <w:pPr>
        <w:pStyle w:val="Heading1"/>
        <w:numPr>
          <w:ilvl w:val="0"/>
          <w:numId w:val="124"/>
        </w:numPr>
        <w:tabs>
          <w:tab w:val="clear" w:pos="720"/>
        </w:tabs>
        <w:ind w:left="853" w:hanging="709"/>
        <w:rPr>
          <w:rFonts w:cs="Arial"/>
          <w:szCs w:val="20"/>
        </w:rPr>
      </w:pPr>
      <w:bookmarkStart w:id="1624" w:name="_Ref369807396"/>
      <w:bookmarkStart w:id="1625" w:name="_Toc372740686"/>
      <w:r w:rsidRPr="00E538A1">
        <w:rPr>
          <w:rFonts w:cs="Arial"/>
          <w:szCs w:val="20"/>
        </w:rPr>
        <w:t>Background</w:t>
      </w:r>
      <w:bookmarkEnd w:id="1624"/>
      <w:bookmarkEnd w:id="1625"/>
    </w:p>
    <w:p w14:paraId="3B7EE02D" w14:textId="77777777" w:rsidR="00E538A1" w:rsidRPr="00E538A1" w:rsidRDefault="00E538A1" w:rsidP="009D675B">
      <w:pPr>
        <w:numPr>
          <w:ilvl w:val="1"/>
          <w:numId w:val="102"/>
        </w:numPr>
        <w:spacing w:after="240" w:line="276" w:lineRule="auto"/>
        <w:jc w:val="left"/>
        <w:outlineLvl w:val="1"/>
        <w:rPr>
          <w:rFonts w:cs="Arial"/>
          <w:bCs/>
          <w:szCs w:val="20"/>
        </w:rPr>
      </w:pPr>
      <w:bookmarkStart w:id="1626" w:name="_Ref369807397"/>
      <w:r w:rsidRPr="00E538A1">
        <w:rPr>
          <w:rFonts w:cs="Arial"/>
          <w:bCs/>
          <w:szCs w:val="20"/>
        </w:rPr>
        <w:t xml:space="preserve">On </w:t>
      </w:r>
      <w:r w:rsidRPr="00E538A1">
        <w:rPr>
          <w:rFonts w:cs="Arial"/>
          <w:bCs/>
          <w:i/>
          <w:szCs w:val="20"/>
          <w:highlight w:val="yellow"/>
        </w:rPr>
        <w:t>[insert date of Collaboration Agreement]</w:t>
      </w:r>
      <w:r w:rsidRPr="00E538A1">
        <w:rPr>
          <w:rFonts w:cs="Arial"/>
          <w:bCs/>
          <w:szCs w:val="20"/>
        </w:rPr>
        <w:t xml:space="preserve">, the Customer entered into a multiparty Collaboration Agreement with </w:t>
      </w:r>
      <w:proofErr w:type="gramStart"/>
      <w:r w:rsidRPr="00E538A1">
        <w:rPr>
          <w:rFonts w:cs="Arial"/>
          <w:bCs/>
          <w:szCs w:val="20"/>
        </w:rPr>
        <w:t>a number of</w:t>
      </w:r>
      <w:proofErr w:type="gramEnd"/>
      <w:r w:rsidRPr="00E538A1">
        <w:rPr>
          <w:rFonts w:cs="Arial"/>
          <w:bCs/>
          <w:szCs w:val="20"/>
        </w:rPr>
        <w:t xml:space="preserve"> information technology suppliers (the </w:t>
      </w:r>
      <w:r w:rsidRPr="00E538A1">
        <w:rPr>
          <w:rFonts w:cs="Arial"/>
          <w:b/>
          <w:bCs/>
          <w:szCs w:val="20"/>
        </w:rPr>
        <w:t>Collaboration Agreement</w:t>
      </w:r>
      <w:r w:rsidRPr="00E538A1">
        <w:rPr>
          <w:rFonts w:cs="Arial"/>
          <w:bCs/>
          <w:szCs w:val="20"/>
        </w:rPr>
        <w:t>, as such may be amended from time to time).</w:t>
      </w:r>
      <w:bookmarkEnd w:id="1626"/>
    </w:p>
    <w:p w14:paraId="0D6AFC9C" w14:textId="77777777" w:rsidR="00E538A1" w:rsidRPr="00E538A1" w:rsidRDefault="00E538A1" w:rsidP="009D675B">
      <w:pPr>
        <w:numPr>
          <w:ilvl w:val="1"/>
          <w:numId w:val="102"/>
        </w:numPr>
        <w:spacing w:after="240" w:line="276" w:lineRule="auto"/>
        <w:jc w:val="left"/>
        <w:outlineLvl w:val="1"/>
        <w:rPr>
          <w:rFonts w:cs="Arial"/>
          <w:bCs/>
          <w:szCs w:val="20"/>
        </w:rPr>
      </w:pPr>
      <w:bookmarkStart w:id="1627" w:name="_Ref369807398"/>
      <w:r w:rsidRPr="00E538A1">
        <w:rPr>
          <w:rFonts w:cs="Arial"/>
          <w:bCs/>
          <w:szCs w:val="20"/>
        </w:rPr>
        <w:t xml:space="preserve">The Customer and the </w:t>
      </w:r>
      <w:r w:rsidRPr="00E538A1">
        <w:rPr>
          <w:rFonts w:cs="Arial"/>
          <w:szCs w:val="20"/>
        </w:rPr>
        <w:t>Acceding Member</w:t>
      </w:r>
      <w:r w:rsidRPr="00E538A1">
        <w:rPr>
          <w:rFonts w:cs="Arial"/>
          <w:bCs/>
          <w:szCs w:val="20"/>
        </w:rPr>
        <w:t xml:space="preserve"> have agreed that the </w:t>
      </w:r>
      <w:r w:rsidRPr="00E538A1">
        <w:rPr>
          <w:rFonts w:cs="Arial"/>
          <w:szCs w:val="20"/>
        </w:rPr>
        <w:t>Acceding Member</w:t>
      </w:r>
      <w:r w:rsidRPr="00E538A1">
        <w:rPr>
          <w:rFonts w:cs="Arial"/>
          <w:bCs/>
          <w:szCs w:val="20"/>
        </w:rPr>
        <w:t xml:space="preserve"> shall become a party to the Collaboration Agreement as a Member in accordance with Clause 3 of the Collaboration Agreement.</w:t>
      </w:r>
      <w:bookmarkEnd w:id="1627"/>
    </w:p>
    <w:p w14:paraId="5C69B37A" w14:textId="77777777" w:rsidR="00E538A1" w:rsidRPr="00E538A1" w:rsidRDefault="00E538A1" w:rsidP="009D675B">
      <w:pPr>
        <w:keepNext/>
        <w:numPr>
          <w:ilvl w:val="0"/>
          <w:numId w:val="102"/>
        </w:numPr>
        <w:spacing w:before="240" w:after="240" w:line="276" w:lineRule="auto"/>
        <w:jc w:val="left"/>
        <w:outlineLvl w:val="0"/>
        <w:rPr>
          <w:rFonts w:cs="Arial"/>
          <w:b/>
          <w:bCs/>
          <w:szCs w:val="20"/>
        </w:rPr>
      </w:pPr>
      <w:bookmarkStart w:id="1628" w:name="_Ref369807399"/>
      <w:bookmarkStart w:id="1629" w:name="_Toc372740687"/>
      <w:r w:rsidRPr="00E538A1">
        <w:rPr>
          <w:rFonts w:cs="Arial"/>
          <w:b/>
          <w:bCs/>
          <w:szCs w:val="20"/>
        </w:rPr>
        <w:t>Accession</w:t>
      </w:r>
      <w:bookmarkEnd w:id="1628"/>
      <w:bookmarkEnd w:id="1629"/>
    </w:p>
    <w:p w14:paraId="5E17421C" w14:textId="77777777" w:rsidR="00E538A1" w:rsidRPr="00E538A1" w:rsidRDefault="00E538A1" w:rsidP="009D675B">
      <w:pPr>
        <w:numPr>
          <w:ilvl w:val="1"/>
          <w:numId w:val="102"/>
        </w:numPr>
        <w:spacing w:after="240" w:line="276" w:lineRule="auto"/>
        <w:jc w:val="left"/>
        <w:outlineLvl w:val="1"/>
        <w:rPr>
          <w:rFonts w:cs="Arial"/>
          <w:bCs/>
          <w:iCs/>
          <w:szCs w:val="20"/>
        </w:rPr>
      </w:pPr>
      <w:bookmarkStart w:id="1630" w:name="_Ref369807400"/>
      <w:r w:rsidRPr="00E538A1">
        <w:rPr>
          <w:rFonts w:cs="Arial"/>
          <w:bCs/>
          <w:szCs w:val="20"/>
        </w:rPr>
        <w:t xml:space="preserve">The Customer agrees that, in entering into this Accession Agreement, the </w:t>
      </w:r>
      <w:r w:rsidRPr="00E538A1">
        <w:rPr>
          <w:rFonts w:cs="Arial"/>
          <w:szCs w:val="20"/>
        </w:rPr>
        <w:t>Acceding Member</w:t>
      </w:r>
      <w:r w:rsidRPr="00E538A1">
        <w:rPr>
          <w:rFonts w:cs="Arial"/>
          <w:bCs/>
          <w:szCs w:val="20"/>
        </w:rPr>
        <w:t xml:space="preserve"> shall become a </w:t>
      </w:r>
      <w:bookmarkEnd w:id="1630"/>
      <w:r w:rsidRPr="00E538A1">
        <w:rPr>
          <w:rFonts w:cs="Arial"/>
          <w:bCs/>
          <w:iCs/>
          <w:szCs w:val="20"/>
        </w:rPr>
        <w:t>Member.</w:t>
      </w:r>
    </w:p>
    <w:p w14:paraId="3D501080" w14:textId="77777777" w:rsidR="00E538A1" w:rsidRPr="00E538A1" w:rsidRDefault="00E538A1" w:rsidP="009D675B">
      <w:pPr>
        <w:numPr>
          <w:ilvl w:val="1"/>
          <w:numId w:val="102"/>
        </w:numPr>
        <w:spacing w:after="240" w:line="276" w:lineRule="auto"/>
        <w:jc w:val="left"/>
        <w:outlineLvl w:val="1"/>
        <w:rPr>
          <w:rFonts w:cs="Arial"/>
          <w:bCs/>
          <w:szCs w:val="20"/>
        </w:rPr>
      </w:pPr>
      <w:bookmarkStart w:id="1631" w:name="_Ref369807401"/>
      <w:r w:rsidRPr="00E538A1">
        <w:rPr>
          <w:rFonts w:cs="Arial"/>
          <w:bCs/>
          <w:szCs w:val="20"/>
        </w:rPr>
        <w:t xml:space="preserve">The Acceding Member agrees that, in entering into this Accession Agreement, it shall have </w:t>
      </w:r>
      <w:proofErr w:type="gramStart"/>
      <w:r w:rsidRPr="00E538A1">
        <w:rPr>
          <w:rFonts w:cs="Arial"/>
          <w:bCs/>
          <w:szCs w:val="20"/>
        </w:rPr>
        <w:t>all of</w:t>
      </w:r>
      <w:proofErr w:type="gramEnd"/>
      <w:r w:rsidRPr="00E538A1">
        <w:rPr>
          <w:rFonts w:cs="Arial"/>
          <w:bCs/>
          <w:szCs w:val="20"/>
        </w:rPr>
        <w:t xml:space="preserve"> the rights and obligations of a Member under the Collaboration Agreement</w:t>
      </w:r>
      <w:bookmarkEnd w:id="1631"/>
      <w:r w:rsidRPr="00E538A1">
        <w:rPr>
          <w:rFonts w:cs="Arial"/>
          <w:bCs/>
          <w:szCs w:val="20"/>
        </w:rPr>
        <w:t xml:space="preserve"> and undertakes and agrees with each other Member that it will from the date of this Accession Agreement be bound by, and comply with, the terms of the Accession Agreement.</w:t>
      </w:r>
    </w:p>
    <w:p w14:paraId="4395E0A8" w14:textId="77777777" w:rsidR="00E538A1" w:rsidRPr="00E538A1" w:rsidRDefault="00E538A1" w:rsidP="009D675B">
      <w:pPr>
        <w:keepNext/>
        <w:numPr>
          <w:ilvl w:val="0"/>
          <w:numId w:val="102"/>
        </w:numPr>
        <w:spacing w:before="240" w:after="240" w:line="276" w:lineRule="auto"/>
        <w:jc w:val="left"/>
        <w:outlineLvl w:val="0"/>
        <w:rPr>
          <w:rFonts w:cs="Arial"/>
          <w:b/>
          <w:bCs/>
          <w:szCs w:val="20"/>
        </w:rPr>
      </w:pPr>
      <w:bookmarkStart w:id="1632" w:name="_Ref369807402"/>
      <w:bookmarkStart w:id="1633" w:name="_Toc372740688"/>
      <w:r w:rsidRPr="00E538A1">
        <w:rPr>
          <w:rFonts w:cs="Arial"/>
          <w:b/>
          <w:bCs/>
          <w:szCs w:val="20"/>
        </w:rPr>
        <w:t>Governing law</w:t>
      </w:r>
      <w:bookmarkEnd w:id="1632"/>
      <w:bookmarkEnd w:id="1633"/>
    </w:p>
    <w:p w14:paraId="67D864EC" w14:textId="77777777" w:rsidR="00E538A1" w:rsidRPr="00E538A1" w:rsidRDefault="00E538A1" w:rsidP="00E538A1">
      <w:pPr>
        <w:spacing w:after="240"/>
        <w:ind w:left="720"/>
        <w:rPr>
          <w:rFonts w:cs="Arial"/>
          <w:szCs w:val="20"/>
        </w:rPr>
      </w:pPr>
      <w:r w:rsidRPr="00E538A1">
        <w:rPr>
          <w:rFonts w:cs="Arial"/>
          <w:szCs w:val="20"/>
        </w:rPr>
        <w:t xml:space="preserve">This Accession Agreement shall be governed by and construed in accordance with English law and, without prejudice to Clause </w:t>
      </w:r>
      <w:r w:rsidRPr="00E538A1">
        <w:rPr>
          <w:rFonts w:cs="Arial"/>
          <w:szCs w:val="20"/>
        </w:rPr>
        <w:fldChar w:fldCharType="begin"/>
      </w:r>
      <w:r w:rsidRPr="00E538A1">
        <w:rPr>
          <w:rFonts w:cs="Arial"/>
          <w:szCs w:val="20"/>
        </w:rPr>
        <w:instrText xml:space="preserve"> REF _Ref205994192 \w \h  \* MERGEFORMAT </w:instrText>
      </w:r>
      <w:r w:rsidRPr="00E538A1">
        <w:rPr>
          <w:rFonts w:cs="Arial"/>
          <w:szCs w:val="20"/>
        </w:rPr>
      </w:r>
      <w:r w:rsidRPr="00E538A1">
        <w:rPr>
          <w:rFonts w:cs="Arial"/>
          <w:szCs w:val="20"/>
        </w:rPr>
        <w:fldChar w:fldCharType="separate"/>
      </w:r>
      <w:r w:rsidRPr="00E538A1">
        <w:rPr>
          <w:rFonts w:cs="Arial"/>
          <w:szCs w:val="20"/>
        </w:rPr>
        <w:t>31</w:t>
      </w:r>
      <w:r w:rsidRPr="00E538A1">
        <w:rPr>
          <w:rFonts w:cs="Arial"/>
          <w:szCs w:val="20"/>
        </w:rPr>
        <w:fldChar w:fldCharType="end"/>
      </w:r>
      <w:r w:rsidRPr="00E538A1">
        <w:rPr>
          <w:rFonts w:cs="Arial"/>
          <w:szCs w:val="20"/>
        </w:rPr>
        <w:t xml:space="preserve"> (Governing law and jurisdiction)</w:t>
      </w:r>
      <w:r w:rsidRPr="00E538A1">
        <w:rPr>
          <w:rFonts w:cs="Arial"/>
          <w:i/>
          <w:szCs w:val="20"/>
        </w:rPr>
        <w:t xml:space="preserve"> </w:t>
      </w:r>
      <w:r w:rsidRPr="00E538A1">
        <w:rPr>
          <w:rFonts w:cs="Arial"/>
          <w:szCs w:val="20"/>
        </w:rPr>
        <w:t>of the Collaboration Agreement, each party agrees to submit to the exclusive jurisdiction of the courts of England.</w:t>
      </w:r>
    </w:p>
    <w:p w14:paraId="73A48E0B" w14:textId="77777777" w:rsidR="00E538A1" w:rsidRPr="00E538A1" w:rsidRDefault="00E538A1" w:rsidP="00E538A1">
      <w:pPr>
        <w:pStyle w:val="BodyText1"/>
        <w:ind w:left="0"/>
        <w:rPr>
          <w:rFonts w:cs="Arial"/>
          <w:b/>
          <w:bCs/>
          <w:szCs w:val="20"/>
        </w:rPr>
      </w:pPr>
      <w:r w:rsidRPr="00E538A1">
        <w:rPr>
          <w:rFonts w:cs="Arial"/>
          <w:b/>
          <w:bCs/>
          <w:szCs w:val="20"/>
        </w:rPr>
        <w:t xml:space="preserve">Signed </w:t>
      </w:r>
      <w:r w:rsidRPr="00E538A1">
        <w:rPr>
          <w:rFonts w:cs="Arial"/>
          <w:bCs/>
          <w:szCs w:val="20"/>
        </w:rPr>
        <w:t>by the parties or their authorised representatives:</w:t>
      </w:r>
    </w:p>
    <w:p w14:paraId="0AEA33CF" w14:textId="77777777" w:rsidR="00E538A1" w:rsidRPr="00E538A1" w:rsidRDefault="00E538A1" w:rsidP="00E538A1">
      <w:pPr>
        <w:spacing w:after="240"/>
        <w:ind w:left="5040" w:hanging="5040"/>
        <w:rPr>
          <w:rFonts w:cs="Arial"/>
          <w:szCs w:val="20"/>
        </w:rPr>
      </w:pPr>
      <w:r w:rsidRPr="00E538A1">
        <w:rPr>
          <w:rFonts w:cs="Arial"/>
          <w:b/>
          <w:bCs/>
          <w:szCs w:val="20"/>
        </w:rPr>
        <w:t xml:space="preserve">SIGNED </w:t>
      </w:r>
      <w:r w:rsidRPr="00E538A1">
        <w:rPr>
          <w:rFonts w:cs="Arial"/>
          <w:szCs w:val="20"/>
        </w:rPr>
        <w:t xml:space="preserve">for and on behalf of </w:t>
      </w:r>
      <w:r w:rsidRPr="00E538A1">
        <w:rPr>
          <w:rFonts w:cs="Arial"/>
          <w:bCs/>
          <w:iCs/>
          <w:szCs w:val="20"/>
        </w:rPr>
        <w:t>Customer</w:t>
      </w:r>
      <w:r w:rsidRPr="00E538A1">
        <w:rPr>
          <w:rFonts w:cs="Arial"/>
          <w:b/>
          <w:bCs/>
          <w:szCs w:val="20"/>
        </w:rPr>
        <w:tab/>
        <w:t xml:space="preserve">SIGNED </w:t>
      </w:r>
      <w:r w:rsidRPr="00E538A1">
        <w:rPr>
          <w:rFonts w:cs="Arial"/>
          <w:szCs w:val="20"/>
        </w:rPr>
        <w:t>for and on behalf of Acceding Member</w:t>
      </w:r>
    </w:p>
    <w:p w14:paraId="55D250C2" w14:textId="3351B2AB" w:rsidR="00E538A1" w:rsidRPr="00E538A1" w:rsidRDefault="000D476B" w:rsidP="00E538A1">
      <w:pPr>
        <w:spacing w:after="240"/>
        <w:ind w:left="5040" w:hanging="5040"/>
        <w:rPr>
          <w:rFonts w:cs="Arial"/>
          <w:szCs w:val="20"/>
        </w:rPr>
      </w:pPr>
      <w:r w:rsidRPr="00E538A1">
        <w:rPr>
          <w:rFonts w:cs="Arial"/>
          <w:szCs w:val="20"/>
        </w:rPr>
        <w:t>Sig</w:t>
      </w:r>
      <w:r>
        <w:rPr>
          <w:rFonts w:cs="Arial"/>
          <w:szCs w:val="20"/>
        </w:rPr>
        <w:t>nature</w:t>
      </w:r>
      <w:r w:rsidR="00E538A1" w:rsidRPr="00E538A1">
        <w:rPr>
          <w:rFonts w:cs="Arial"/>
          <w:szCs w:val="20"/>
        </w:rPr>
        <w:t xml:space="preserve">........................................... </w:t>
      </w:r>
      <w:r w:rsidR="00E538A1" w:rsidRPr="00E538A1">
        <w:rPr>
          <w:rFonts w:cs="Arial"/>
          <w:szCs w:val="20"/>
        </w:rPr>
        <w:tab/>
      </w:r>
      <w:r w:rsidRPr="00E538A1">
        <w:rPr>
          <w:rFonts w:cs="Arial"/>
          <w:szCs w:val="20"/>
        </w:rPr>
        <w:t>Sig</w:t>
      </w:r>
      <w:r>
        <w:rPr>
          <w:rFonts w:cs="Arial"/>
          <w:szCs w:val="20"/>
        </w:rPr>
        <w:t>nature</w:t>
      </w:r>
      <w:r w:rsidR="00E538A1" w:rsidRPr="00E538A1">
        <w:rPr>
          <w:rFonts w:cs="Arial"/>
          <w:szCs w:val="20"/>
        </w:rPr>
        <w:t>.............................................</w:t>
      </w:r>
    </w:p>
    <w:p w14:paraId="0071040A" w14:textId="77777777" w:rsidR="00E538A1" w:rsidRPr="00E538A1" w:rsidRDefault="00E538A1" w:rsidP="00E538A1">
      <w:pPr>
        <w:spacing w:after="240"/>
        <w:ind w:left="5040" w:hanging="5040"/>
        <w:rPr>
          <w:rFonts w:cs="Arial"/>
          <w:szCs w:val="20"/>
        </w:rPr>
      </w:pPr>
      <w:proofErr w:type="gramStart"/>
      <w:r w:rsidRPr="00E538A1">
        <w:rPr>
          <w:rFonts w:cs="Arial"/>
          <w:szCs w:val="20"/>
        </w:rPr>
        <w:t>Name:................................................</w:t>
      </w:r>
      <w:proofErr w:type="gramEnd"/>
      <w:r w:rsidRPr="00E538A1">
        <w:rPr>
          <w:rFonts w:cs="Arial"/>
          <w:szCs w:val="20"/>
        </w:rPr>
        <w:tab/>
        <w:t>Name...................................................</w:t>
      </w:r>
    </w:p>
    <w:p w14:paraId="0AB493C8" w14:textId="77777777" w:rsidR="00E538A1" w:rsidRPr="00E538A1" w:rsidRDefault="00E538A1" w:rsidP="00E538A1">
      <w:pPr>
        <w:spacing w:after="240"/>
        <w:ind w:left="5040" w:hanging="5040"/>
        <w:rPr>
          <w:rFonts w:cs="Arial"/>
          <w:szCs w:val="20"/>
        </w:rPr>
      </w:pPr>
      <w:r w:rsidRPr="00E538A1">
        <w:rPr>
          <w:rFonts w:cs="Arial"/>
          <w:szCs w:val="20"/>
        </w:rPr>
        <w:t>Date...................................................</w:t>
      </w:r>
      <w:r w:rsidRPr="00E538A1">
        <w:rPr>
          <w:rFonts w:cs="Arial"/>
          <w:szCs w:val="20"/>
        </w:rPr>
        <w:tab/>
        <w:t>Date.....................................................</w:t>
      </w:r>
    </w:p>
    <w:p w14:paraId="4C961036" w14:textId="77777777" w:rsidR="00E538A1" w:rsidRPr="00E538A1" w:rsidRDefault="00E538A1" w:rsidP="00E538A1">
      <w:pPr>
        <w:rPr>
          <w:rFonts w:cs="Arial"/>
          <w:szCs w:val="20"/>
        </w:rPr>
        <w:sectPr w:rsidR="00E538A1" w:rsidRPr="00E538A1" w:rsidSect="002C7090">
          <w:headerReference w:type="even" r:id="rId22"/>
          <w:footerReference w:type="even" r:id="rId23"/>
          <w:headerReference w:type="first" r:id="rId24"/>
          <w:footerReference w:type="first" r:id="rId25"/>
          <w:pgSz w:w="11909" w:h="16834" w:code="9"/>
          <w:pgMar w:top="1440" w:right="1440" w:bottom="1440" w:left="1440" w:header="720" w:footer="720" w:gutter="0"/>
          <w:paperSrc w:first="259" w:other="259"/>
          <w:cols w:space="720"/>
          <w:docGrid w:linePitch="299"/>
        </w:sectPr>
      </w:pPr>
    </w:p>
    <w:p w14:paraId="33F8C192" w14:textId="77777777" w:rsidR="00E538A1" w:rsidRPr="00E538A1" w:rsidRDefault="00E538A1" w:rsidP="009D675B">
      <w:pPr>
        <w:pStyle w:val="Schedule"/>
        <w:keepNext w:val="0"/>
        <w:numPr>
          <w:ilvl w:val="0"/>
          <w:numId w:val="101"/>
        </w:numPr>
        <w:spacing w:line="276" w:lineRule="auto"/>
        <w:jc w:val="both"/>
        <w:rPr>
          <w:rFonts w:ascii="Arial" w:hAnsi="Arial" w:cs="Arial"/>
          <w:sz w:val="20"/>
        </w:rPr>
      </w:pPr>
      <w:r w:rsidRPr="00E538A1">
        <w:rPr>
          <w:rFonts w:ascii="Arial" w:hAnsi="Arial" w:cs="Arial"/>
          <w:sz w:val="20"/>
        </w:rPr>
        <w:lastRenderedPageBreak/>
        <w:t xml:space="preserve"> </w:t>
      </w:r>
      <w:bookmarkStart w:id="1634" w:name="_Ref389651721"/>
      <w:bookmarkStart w:id="1635" w:name="_Toc57263887"/>
      <w:r w:rsidRPr="00E538A1">
        <w:rPr>
          <w:rFonts w:ascii="Arial" w:hAnsi="Arial" w:cs="Arial"/>
          <w:sz w:val="20"/>
        </w:rPr>
        <w:t>– Governance</w:t>
      </w:r>
      <w:bookmarkEnd w:id="1634"/>
      <w:bookmarkEnd w:id="1635"/>
      <w:r w:rsidRPr="00E538A1">
        <w:rPr>
          <w:rFonts w:ascii="Arial" w:hAnsi="Arial" w:cs="Arial"/>
          <w:sz w:val="20"/>
        </w:rPr>
        <w:t xml:space="preserve"> </w:t>
      </w:r>
    </w:p>
    <w:p w14:paraId="6926C704" w14:textId="77777777" w:rsidR="00E538A1" w:rsidRPr="00E538A1" w:rsidRDefault="00E538A1" w:rsidP="009D675B">
      <w:pPr>
        <w:pStyle w:val="Heading1"/>
        <w:numPr>
          <w:ilvl w:val="0"/>
          <w:numId w:val="133"/>
        </w:numPr>
        <w:tabs>
          <w:tab w:val="clear" w:pos="720"/>
        </w:tabs>
        <w:ind w:left="360" w:hanging="360"/>
        <w:rPr>
          <w:rFonts w:cs="Arial"/>
          <w:szCs w:val="20"/>
        </w:rPr>
      </w:pPr>
      <w:bookmarkStart w:id="1636" w:name="_Toc11140579"/>
      <w:r w:rsidRPr="00E538A1">
        <w:rPr>
          <w:rFonts w:cs="Arial"/>
          <w:szCs w:val="20"/>
        </w:rPr>
        <w:t>Structure</w:t>
      </w:r>
      <w:bookmarkEnd w:id="1636"/>
    </w:p>
    <w:p w14:paraId="0FADE183"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Governance bodies will be formed at each of the levels below, with named Member participants meeting at the agreed intervals to review progress and resolve blockers.</w:t>
      </w:r>
    </w:p>
    <w:p w14:paraId="1CB11823"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There is a joint responsibility on all Members to ensure appropriate attendance at governance sessions. However, the Customer will have the responsibility to arrange the required sessions. It is expected that this structure will evolve over time based on client need subject to agreement of all Members.</w:t>
      </w:r>
    </w:p>
    <w:p w14:paraId="50F7BD5F" w14:textId="77777777" w:rsidR="00E538A1" w:rsidRPr="00E538A1" w:rsidRDefault="00E538A1" w:rsidP="00E538A1">
      <w:pPr>
        <w:jc w:val="center"/>
        <w:rPr>
          <w:rFonts w:cs="Arial"/>
          <w:i/>
          <w:szCs w:val="20"/>
        </w:rPr>
      </w:pPr>
      <w:r w:rsidRPr="00E538A1">
        <w:rPr>
          <w:rFonts w:cs="Arial"/>
          <w:i/>
          <w:noProof/>
          <w:szCs w:val="20"/>
        </w:rPr>
        <mc:AlternateContent>
          <mc:Choice Requires="wps">
            <w:drawing>
              <wp:anchor distT="0" distB="0" distL="114300" distR="114300" simplePos="0" relativeHeight="251668480" behindDoc="0" locked="0" layoutInCell="1" allowOverlap="1" wp14:anchorId="47ED031B" wp14:editId="6A9D050A">
                <wp:simplePos x="0" y="0"/>
                <wp:positionH relativeFrom="column">
                  <wp:posOffset>4552950</wp:posOffset>
                </wp:positionH>
                <wp:positionV relativeFrom="paragraph">
                  <wp:posOffset>1209675</wp:posOffset>
                </wp:positionV>
                <wp:extent cx="814705" cy="263525"/>
                <wp:effectExtent l="0" t="0" r="4445" b="3175"/>
                <wp:wrapNone/>
                <wp:docPr id="14" name="Text Box 14"/>
                <wp:cNvGraphicFramePr/>
                <a:graphic xmlns:a="http://schemas.openxmlformats.org/drawingml/2006/main">
                  <a:graphicData uri="http://schemas.microsoft.com/office/word/2010/wordprocessingShape">
                    <wps:wsp>
                      <wps:cNvSpPr txBox="1"/>
                      <wps:spPr>
                        <a:xfrm>
                          <a:off x="0" y="0"/>
                          <a:ext cx="814705" cy="263525"/>
                        </a:xfrm>
                        <a:prstGeom prst="rect">
                          <a:avLst/>
                        </a:prstGeom>
                        <a:solidFill>
                          <a:schemeClr val="lt1"/>
                        </a:solidFill>
                        <a:ln w="6350">
                          <a:noFill/>
                        </a:ln>
                      </wps:spPr>
                      <wps:txbx>
                        <w:txbxContent>
                          <w:p w14:paraId="56E9D47B" w14:textId="77777777" w:rsidR="00283998" w:rsidRDefault="00283998" w:rsidP="00E538A1">
                            <w:r>
                              <w:t xml:space="preserve">Fortnightly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ED031B" id="_x0000_t202" coordsize="21600,21600" o:spt="202" path="m,l,21600r21600,l21600,xe">
                <v:stroke joinstyle="miter"/>
                <v:path gradientshapeok="t" o:connecttype="rect"/>
              </v:shapetype>
              <v:shape id="Text Box 14" o:spid="_x0000_s1026" type="#_x0000_t202" style="position:absolute;left:0;text-align:left;margin-left:358.5pt;margin-top:95.25pt;width:64.15pt;height:20.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" fillcolor="white [3201]" stroked="f" strokeweight=".5pt">
                <v:textbox>
                  <w:txbxContent>
                    <w:p w14:paraId="56E9D47B" w14:textId="77777777" w:rsidR="00283998" w:rsidRDefault="00283998" w:rsidP="00E538A1">
                      <w:r>
                        <w:t xml:space="preserve">Fortnightly </w:t>
                      </w:r>
                    </w:p>
                  </w:txbxContent>
                </v:textbox>
              </v:shape>
            </w:pict>
          </mc:Fallback>
        </mc:AlternateContent>
      </w:r>
      <w:r w:rsidRPr="00E538A1">
        <w:rPr>
          <w:rFonts w:cs="Arial"/>
          <w:i/>
          <w:noProof/>
          <w:szCs w:val="20"/>
        </w:rPr>
        <mc:AlternateContent>
          <mc:Choice Requires="wps">
            <w:drawing>
              <wp:anchor distT="0" distB="0" distL="114300" distR="114300" simplePos="0" relativeHeight="251669504" behindDoc="0" locked="0" layoutInCell="1" allowOverlap="1" wp14:anchorId="24D72F7E" wp14:editId="6E45CCF6">
                <wp:simplePos x="0" y="0"/>
                <wp:positionH relativeFrom="column">
                  <wp:posOffset>4570095</wp:posOffset>
                </wp:positionH>
                <wp:positionV relativeFrom="paragraph">
                  <wp:posOffset>1696085</wp:posOffset>
                </wp:positionV>
                <wp:extent cx="814754" cy="263769"/>
                <wp:effectExtent l="0" t="0" r="4445" b="3175"/>
                <wp:wrapNone/>
                <wp:docPr id="15" name="Text Box 15"/>
                <wp:cNvGraphicFramePr/>
                <a:graphic xmlns:a="http://schemas.openxmlformats.org/drawingml/2006/main">
                  <a:graphicData uri="http://schemas.microsoft.com/office/word/2010/wordprocessingShape">
                    <wps:wsp>
                      <wps:cNvSpPr txBox="1"/>
                      <wps:spPr>
                        <a:xfrm>
                          <a:off x="0" y="0"/>
                          <a:ext cx="814754" cy="263769"/>
                        </a:xfrm>
                        <a:prstGeom prst="rect">
                          <a:avLst/>
                        </a:prstGeom>
                        <a:solidFill>
                          <a:schemeClr val="lt1"/>
                        </a:solidFill>
                        <a:ln w="6350">
                          <a:noFill/>
                        </a:ln>
                      </wps:spPr>
                      <wps:txbx>
                        <w:txbxContent>
                          <w:p w14:paraId="2799A7B6" w14:textId="77777777" w:rsidR="00283998" w:rsidRDefault="00283998" w:rsidP="00E538A1">
                            <w:r>
                              <w:t xml:space="preserve">Weekly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72F7E" id="Text Box 15" o:spid="_x0000_s1027" type="#_x0000_t202" style="position:absolute;left:0;text-align:left;margin-left:359.85pt;margin-top:133.55pt;width:64.15pt;height:20.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" fillcolor="white [3201]" stroked="f" strokeweight=".5pt">
                <v:textbox>
                  <w:txbxContent>
                    <w:p w14:paraId="2799A7B6" w14:textId="77777777" w:rsidR="00283998" w:rsidRDefault="00283998" w:rsidP="00E538A1">
                      <w:r>
                        <w:t xml:space="preserve">Weekly </w:t>
                      </w:r>
                    </w:p>
                  </w:txbxContent>
                </v:textbox>
              </v:shape>
            </w:pict>
          </mc:Fallback>
        </mc:AlternateContent>
      </w:r>
      <w:r w:rsidRPr="00E538A1">
        <w:rPr>
          <w:rFonts w:cs="Arial"/>
          <w:i/>
          <w:noProof/>
          <w:szCs w:val="20"/>
        </w:rPr>
        <mc:AlternateContent>
          <mc:Choice Requires="wps">
            <w:drawing>
              <wp:anchor distT="0" distB="0" distL="114300" distR="114300" simplePos="0" relativeHeight="251666432" behindDoc="0" locked="0" layoutInCell="1" allowOverlap="1" wp14:anchorId="06D4F18E" wp14:editId="3243958D">
                <wp:simplePos x="0" y="0"/>
                <wp:positionH relativeFrom="column">
                  <wp:posOffset>758825</wp:posOffset>
                </wp:positionH>
                <wp:positionV relativeFrom="paragraph">
                  <wp:posOffset>1066800</wp:posOffset>
                </wp:positionV>
                <wp:extent cx="4712335" cy="509270"/>
                <wp:effectExtent l="0" t="0" r="12065" b="24130"/>
                <wp:wrapNone/>
                <wp:docPr id="16" name="Rectangle 16"/>
                <wp:cNvGraphicFramePr/>
                <a:graphic xmlns:a="http://schemas.openxmlformats.org/drawingml/2006/main">
                  <a:graphicData uri="http://schemas.microsoft.com/office/word/2010/wordprocessingShape">
                    <wps:wsp>
                      <wps:cNvSpPr/>
                      <wps:spPr>
                        <a:xfrm>
                          <a:off x="0" y="0"/>
                          <a:ext cx="4712335" cy="509270"/>
                        </a:xfrm>
                        <a:prstGeom prst="rect">
                          <a:avLst/>
                        </a:prstGeom>
                        <a:noFill/>
                        <a:ln w="9525">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986B86" id="Rectangle 16" o:spid="_x0000_s1026" style="position:absolute;margin-left:59.75pt;margin-top:84pt;width:371.05pt;height:40.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" filled="f" strokecolor="#1f4d78 [1604]">
                <v:stroke dashstyle="1 1"/>
              </v:rect>
            </w:pict>
          </mc:Fallback>
        </mc:AlternateContent>
      </w:r>
      <w:r w:rsidRPr="00E538A1">
        <w:rPr>
          <w:rFonts w:cs="Arial"/>
          <w:i/>
          <w:noProof/>
          <w:szCs w:val="20"/>
        </w:rPr>
        <mc:AlternateContent>
          <mc:Choice Requires="wps">
            <w:drawing>
              <wp:anchor distT="0" distB="0" distL="114300" distR="114300" simplePos="0" relativeHeight="251667456" behindDoc="0" locked="0" layoutInCell="1" allowOverlap="1" wp14:anchorId="65CD0834" wp14:editId="05C0A5C2">
                <wp:simplePos x="0" y="0"/>
                <wp:positionH relativeFrom="margin">
                  <wp:posOffset>752475</wp:posOffset>
                </wp:positionH>
                <wp:positionV relativeFrom="paragraph">
                  <wp:posOffset>1611630</wp:posOffset>
                </wp:positionV>
                <wp:extent cx="4712677" cy="509466"/>
                <wp:effectExtent l="0" t="0" r="12065" b="24130"/>
                <wp:wrapNone/>
                <wp:docPr id="18" name="Rectangle 18"/>
                <wp:cNvGraphicFramePr/>
                <a:graphic xmlns:a="http://schemas.openxmlformats.org/drawingml/2006/main">
                  <a:graphicData uri="http://schemas.microsoft.com/office/word/2010/wordprocessingShape">
                    <wps:wsp>
                      <wps:cNvSpPr/>
                      <wps:spPr>
                        <a:xfrm>
                          <a:off x="0" y="0"/>
                          <a:ext cx="4712677" cy="509466"/>
                        </a:xfrm>
                        <a:prstGeom prst="rect">
                          <a:avLst/>
                        </a:prstGeom>
                        <a:noFill/>
                        <a:ln w="9525">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F5CF7C" id="Rectangle 18" o:spid="_x0000_s1026" style="position:absolute;margin-left:59.25pt;margin-top:126.9pt;width:371.1pt;height:40.1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" filled="f" strokecolor="#1f4d78 [1604]">
                <v:stroke dashstyle="1 1"/>
                <w10:wrap anchorx="margin"/>
              </v:rect>
            </w:pict>
          </mc:Fallback>
        </mc:AlternateContent>
      </w:r>
      <w:r w:rsidRPr="00E538A1">
        <w:rPr>
          <w:rFonts w:cs="Arial"/>
          <w:noProof/>
          <w:szCs w:val="20"/>
        </w:rPr>
        <w:drawing>
          <wp:inline distT="0" distB="0" distL="0" distR="0" wp14:anchorId="4AA3C869" wp14:editId="282CDDAF">
            <wp:extent cx="4325815" cy="2273691"/>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B28CA5D"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Sponsoring Group:</w:t>
      </w:r>
    </w:p>
    <w:p w14:paraId="76E83E5A" w14:textId="77777777" w:rsidR="00E538A1" w:rsidRPr="00E538A1" w:rsidRDefault="00E538A1" w:rsidP="009D675B">
      <w:pPr>
        <w:numPr>
          <w:ilvl w:val="0"/>
          <w:numId w:val="125"/>
        </w:numPr>
        <w:spacing w:after="240" w:line="276" w:lineRule="auto"/>
        <w:jc w:val="left"/>
        <w:rPr>
          <w:rFonts w:cs="Arial"/>
          <w:szCs w:val="20"/>
        </w:rPr>
      </w:pPr>
      <w:r w:rsidRPr="00E538A1">
        <w:rPr>
          <w:rFonts w:cs="Arial"/>
          <w:szCs w:val="20"/>
        </w:rPr>
        <w:t>Senior leadership from each Member</w:t>
      </w:r>
    </w:p>
    <w:p w14:paraId="46AD0A77" w14:textId="77777777" w:rsidR="00E538A1" w:rsidRPr="00E538A1" w:rsidRDefault="00E538A1" w:rsidP="009D675B">
      <w:pPr>
        <w:numPr>
          <w:ilvl w:val="0"/>
          <w:numId w:val="125"/>
        </w:numPr>
        <w:spacing w:after="240" w:line="276" w:lineRule="auto"/>
        <w:jc w:val="left"/>
        <w:rPr>
          <w:rFonts w:cs="Arial"/>
          <w:szCs w:val="20"/>
        </w:rPr>
      </w:pPr>
      <w:r w:rsidRPr="00E538A1">
        <w:rPr>
          <w:rFonts w:cs="Arial"/>
          <w:szCs w:val="20"/>
        </w:rPr>
        <w:t>Fortnightly review of progress against charter, business outcomes &amp; measures</w:t>
      </w:r>
    </w:p>
    <w:p w14:paraId="77775629" w14:textId="77777777" w:rsidR="00E538A1" w:rsidRPr="00E538A1" w:rsidRDefault="00E538A1" w:rsidP="009D675B">
      <w:pPr>
        <w:numPr>
          <w:ilvl w:val="0"/>
          <w:numId w:val="125"/>
        </w:numPr>
        <w:spacing w:after="240" w:line="276" w:lineRule="auto"/>
        <w:jc w:val="left"/>
        <w:rPr>
          <w:rFonts w:cs="Arial"/>
          <w:szCs w:val="20"/>
        </w:rPr>
      </w:pPr>
      <w:r w:rsidRPr="00E538A1">
        <w:rPr>
          <w:rFonts w:cs="Arial"/>
          <w:szCs w:val="20"/>
        </w:rPr>
        <w:t xml:space="preserve">Resolve escalated consortium </w:t>
      </w:r>
      <w:proofErr w:type="gramStart"/>
      <w:r w:rsidRPr="00E538A1">
        <w:rPr>
          <w:rFonts w:cs="Arial"/>
          <w:szCs w:val="20"/>
        </w:rPr>
        <w:t>issues</w:t>
      </w:r>
      <w:proofErr w:type="gramEnd"/>
    </w:p>
    <w:p w14:paraId="3831686B"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Consortium Leadership Team, Architecture and Technical SMEs:</w:t>
      </w:r>
    </w:p>
    <w:p w14:paraId="5A7F9EB8" w14:textId="77777777" w:rsidR="00E538A1" w:rsidRPr="00E538A1" w:rsidRDefault="00E538A1" w:rsidP="009D675B">
      <w:pPr>
        <w:numPr>
          <w:ilvl w:val="0"/>
          <w:numId w:val="126"/>
        </w:numPr>
        <w:spacing w:after="240" w:line="276" w:lineRule="auto"/>
        <w:jc w:val="left"/>
        <w:rPr>
          <w:rFonts w:cs="Arial"/>
          <w:szCs w:val="20"/>
        </w:rPr>
      </w:pPr>
      <w:r w:rsidRPr="00E538A1">
        <w:rPr>
          <w:rFonts w:cs="Arial"/>
          <w:szCs w:val="20"/>
        </w:rPr>
        <w:t xml:space="preserve">Leads from each </w:t>
      </w:r>
      <w:proofErr w:type="gramStart"/>
      <w:r w:rsidRPr="00E538A1">
        <w:rPr>
          <w:rFonts w:cs="Arial"/>
          <w:szCs w:val="20"/>
        </w:rPr>
        <w:t>consortium</w:t>
      </w:r>
      <w:proofErr w:type="gramEnd"/>
    </w:p>
    <w:p w14:paraId="6CF8EE7B" w14:textId="77777777" w:rsidR="00E538A1" w:rsidRPr="00E538A1" w:rsidRDefault="00E538A1" w:rsidP="009D675B">
      <w:pPr>
        <w:numPr>
          <w:ilvl w:val="0"/>
          <w:numId w:val="126"/>
        </w:numPr>
        <w:spacing w:after="240" w:line="276" w:lineRule="auto"/>
        <w:jc w:val="left"/>
        <w:rPr>
          <w:rFonts w:cs="Arial"/>
          <w:szCs w:val="20"/>
        </w:rPr>
      </w:pPr>
      <w:r w:rsidRPr="00E538A1">
        <w:rPr>
          <w:rFonts w:cs="Arial"/>
          <w:szCs w:val="20"/>
        </w:rPr>
        <w:t>Meet weekly &amp; track measures/</w:t>
      </w:r>
      <w:proofErr w:type="gramStart"/>
      <w:r w:rsidRPr="00E538A1">
        <w:rPr>
          <w:rFonts w:cs="Arial"/>
          <w:szCs w:val="20"/>
        </w:rPr>
        <w:t>progress</w:t>
      </w:r>
      <w:proofErr w:type="gramEnd"/>
    </w:p>
    <w:p w14:paraId="24E1C545" w14:textId="77777777" w:rsidR="00E538A1" w:rsidRPr="00E538A1" w:rsidRDefault="00E538A1" w:rsidP="009D675B">
      <w:pPr>
        <w:numPr>
          <w:ilvl w:val="0"/>
          <w:numId w:val="126"/>
        </w:numPr>
        <w:spacing w:after="240" w:line="276" w:lineRule="auto"/>
        <w:jc w:val="left"/>
        <w:rPr>
          <w:rFonts w:cs="Arial"/>
          <w:szCs w:val="20"/>
        </w:rPr>
      </w:pPr>
      <w:r w:rsidRPr="00E538A1">
        <w:rPr>
          <w:rFonts w:cs="Arial"/>
          <w:szCs w:val="20"/>
        </w:rPr>
        <w:t xml:space="preserve">Consolidate &amp; review forward dependencies and any steps that need to be </w:t>
      </w:r>
      <w:proofErr w:type="gramStart"/>
      <w:r w:rsidRPr="00E538A1">
        <w:rPr>
          <w:rFonts w:cs="Arial"/>
          <w:szCs w:val="20"/>
        </w:rPr>
        <w:t>taken</w:t>
      </w:r>
      <w:proofErr w:type="gramEnd"/>
    </w:p>
    <w:p w14:paraId="0459A0CB" w14:textId="77777777" w:rsidR="00E538A1" w:rsidRPr="00E538A1" w:rsidRDefault="00E538A1" w:rsidP="009D675B">
      <w:pPr>
        <w:numPr>
          <w:ilvl w:val="0"/>
          <w:numId w:val="126"/>
        </w:numPr>
        <w:spacing w:after="240" w:line="276" w:lineRule="auto"/>
        <w:jc w:val="left"/>
        <w:rPr>
          <w:rFonts w:cs="Arial"/>
          <w:szCs w:val="20"/>
        </w:rPr>
      </w:pPr>
      <w:r w:rsidRPr="00E538A1">
        <w:rPr>
          <w:rFonts w:cs="Arial"/>
          <w:szCs w:val="20"/>
        </w:rPr>
        <w:t xml:space="preserve">Resolve </w:t>
      </w:r>
      <w:proofErr w:type="gramStart"/>
      <w:r w:rsidRPr="00E538A1">
        <w:rPr>
          <w:rFonts w:cs="Arial"/>
          <w:szCs w:val="20"/>
        </w:rPr>
        <w:t>issues</w:t>
      </w:r>
      <w:proofErr w:type="gramEnd"/>
    </w:p>
    <w:p w14:paraId="7D7A2C1D"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Meeting Terms of Reference</w:t>
      </w:r>
    </w:p>
    <w:p w14:paraId="52FB405B" w14:textId="77777777" w:rsidR="00E538A1" w:rsidRPr="00E538A1" w:rsidRDefault="00E538A1" w:rsidP="009D675B">
      <w:pPr>
        <w:pStyle w:val="Heading30"/>
        <w:numPr>
          <w:ilvl w:val="2"/>
          <w:numId w:val="102"/>
        </w:numPr>
        <w:tabs>
          <w:tab w:val="clear" w:pos="720"/>
          <w:tab w:val="num" w:pos="1702"/>
        </w:tabs>
        <w:ind w:left="1702" w:hanging="992"/>
      </w:pPr>
      <w:r w:rsidRPr="00E538A1">
        <w:t>Sponsoring Group/SLT</w:t>
      </w:r>
    </w:p>
    <w:p w14:paraId="0BE0CB96" w14:textId="77777777" w:rsidR="00E538A1" w:rsidRPr="00E538A1" w:rsidRDefault="00E538A1" w:rsidP="009D675B">
      <w:pPr>
        <w:numPr>
          <w:ilvl w:val="0"/>
          <w:numId w:val="131"/>
        </w:numPr>
        <w:spacing w:after="0"/>
        <w:jc w:val="left"/>
        <w:textAlignment w:val="baseline"/>
        <w:rPr>
          <w:rFonts w:cs="Arial"/>
          <w:szCs w:val="20"/>
        </w:rPr>
      </w:pPr>
      <w:r w:rsidRPr="00E538A1">
        <w:rPr>
          <w:rFonts w:cs="Arial"/>
          <w:b/>
          <w:bCs/>
          <w:szCs w:val="20"/>
        </w:rPr>
        <w:t>Objective 1</w:t>
      </w:r>
      <w:r w:rsidRPr="00E538A1">
        <w:rPr>
          <w:rFonts w:cs="Arial"/>
          <w:szCs w:val="20"/>
        </w:rPr>
        <w:t xml:space="preserve">: Ensure alignment of portfolio of work for coming period aligns with business </w:t>
      </w:r>
      <w:proofErr w:type="gramStart"/>
      <w:r w:rsidRPr="00E538A1">
        <w:rPr>
          <w:rFonts w:cs="Arial"/>
          <w:szCs w:val="20"/>
        </w:rPr>
        <w:t>priorities</w:t>
      </w:r>
      <w:proofErr w:type="gramEnd"/>
    </w:p>
    <w:p w14:paraId="49EEFBE1" w14:textId="77777777" w:rsidR="00E538A1" w:rsidRPr="00E538A1" w:rsidRDefault="00E538A1" w:rsidP="009D675B">
      <w:pPr>
        <w:numPr>
          <w:ilvl w:val="1"/>
          <w:numId w:val="131"/>
        </w:numPr>
        <w:spacing w:after="0"/>
        <w:jc w:val="left"/>
        <w:textAlignment w:val="baseline"/>
        <w:rPr>
          <w:rFonts w:cs="Arial"/>
          <w:szCs w:val="20"/>
        </w:rPr>
      </w:pPr>
      <w:r w:rsidRPr="00E538A1">
        <w:rPr>
          <w:rFonts w:cs="Arial"/>
          <w:i/>
          <w:iCs/>
          <w:szCs w:val="20"/>
        </w:rPr>
        <w:t>Inputs</w:t>
      </w:r>
      <w:r w:rsidRPr="00E538A1">
        <w:rPr>
          <w:rFonts w:cs="Arial"/>
          <w:szCs w:val="20"/>
        </w:rPr>
        <w:t>: View of portfolio of work for coming period; view of business priorities; assessment of progress towards Consortium Objectives</w:t>
      </w:r>
    </w:p>
    <w:p w14:paraId="7041BE07" w14:textId="77777777" w:rsidR="00E538A1" w:rsidRPr="00E538A1" w:rsidRDefault="00E538A1" w:rsidP="009D675B">
      <w:pPr>
        <w:numPr>
          <w:ilvl w:val="1"/>
          <w:numId w:val="131"/>
        </w:numPr>
        <w:spacing w:after="0"/>
        <w:jc w:val="left"/>
        <w:textAlignment w:val="baseline"/>
        <w:rPr>
          <w:rFonts w:cs="Arial"/>
          <w:szCs w:val="20"/>
        </w:rPr>
      </w:pPr>
      <w:r w:rsidRPr="00E538A1">
        <w:rPr>
          <w:rFonts w:cs="Arial"/>
          <w:i/>
          <w:iCs/>
          <w:szCs w:val="20"/>
        </w:rPr>
        <w:t>Outputs</w:t>
      </w:r>
      <w:r w:rsidRPr="00E538A1">
        <w:rPr>
          <w:rFonts w:cs="Arial"/>
          <w:szCs w:val="20"/>
        </w:rPr>
        <w:t>: Agreement to proceed with current portfolio; and/or actions to stop/start/change work of delivery teams</w:t>
      </w:r>
    </w:p>
    <w:p w14:paraId="252403D6" w14:textId="77777777" w:rsidR="00E538A1" w:rsidRPr="00E538A1" w:rsidRDefault="00E538A1" w:rsidP="00E538A1">
      <w:pPr>
        <w:ind w:left="1440"/>
        <w:textAlignment w:val="baseline"/>
        <w:rPr>
          <w:rFonts w:cs="Arial"/>
          <w:szCs w:val="20"/>
        </w:rPr>
      </w:pPr>
    </w:p>
    <w:p w14:paraId="71B3F4CB" w14:textId="77777777" w:rsidR="00E538A1" w:rsidRPr="00E538A1" w:rsidRDefault="00E538A1" w:rsidP="009D675B">
      <w:pPr>
        <w:numPr>
          <w:ilvl w:val="0"/>
          <w:numId w:val="131"/>
        </w:numPr>
        <w:spacing w:after="0"/>
        <w:jc w:val="left"/>
        <w:textAlignment w:val="baseline"/>
        <w:rPr>
          <w:rFonts w:cs="Arial"/>
          <w:szCs w:val="20"/>
        </w:rPr>
      </w:pPr>
      <w:r w:rsidRPr="00E538A1">
        <w:rPr>
          <w:rFonts w:cs="Arial"/>
          <w:b/>
          <w:bCs/>
          <w:szCs w:val="20"/>
        </w:rPr>
        <w:lastRenderedPageBreak/>
        <w:t>Objective 2</w:t>
      </w:r>
      <w:r w:rsidRPr="00E538A1">
        <w:rPr>
          <w:rFonts w:cs="Arial"/>
          <w:szCs w:val="20"/>
        </w:rPr>
        <w:t xml:space="preserve">: Set objectives for Consortium, in line with agreed portfolio of work, using balanced scorecard framework, and agree parties responsible for </w:t>
      </w:r>
      <w:proofErr w:type="gramStart"/>
      <w:r w:rsidRPr="00E538A1">
        <w:rPr>
          <w:rFonts w:cs="Arial"/>
          <w:szCs w:val="20"/>
        </w:rPr>
        <w:t>measures</w:t>
      </w:r>
      <w:proofErr w:type="gramEnd"/>
    </w:p>
    <w:p w14:paraId="1FC2F799" w14:textId="77777777" w:rsidR="00E538A1" w:rsidRPr="00E538A1" w:rsidRDefault="00E538A1" w:rsidP="009D675B">
      <w:pPr>
        <w:numPr>
          <w:ilvl w:val="1"/>
          <w:numId w:val="131"/>
        </w:numPr>
        <w:spacing w:after="0"/>
        <w:jc w:val="left"/>
        <w:textAlignment w:val="baseline"/>
        <w:rPr>
          <w:rFonts w:cs="Arial"/>
          <w:szCs w:val="20"/>
        </w:rPr>
      </w:pPr>
      <w:r w:rsidRPr="00E538A1">
        <w:rPr>
          <w:rFonts w:cs="Arial"/>
          <w:i/>
          <w:iCs/>
          <w:szCs w:val="20"/>
        </w:rPr>
        <w:t>Inputs</w:t>
      </w:r>
      <w:r w:rsidRPr="00E538A1">
        <w:rPr>
          <w:rFonts w:cs="Arial"/>
          <w:szCs w:val="20"/>
        </w:rPr>
        <w:t>: Agreed portfolio of work for coming period</w:t>
      </w:r>
    </w:p>
    <w:p w14:paraId="15A17922" w14:textId="77777777" w:rsidR="00E538A1" w:rsidRPr="00E538A1" w:rsidRDefault="00E538A1" w:rsidP="009D675B">
      <w:pPr>
        <w:numPr>
          <w:ilvl w:val="1"/>
          <w:numId w:val="131"/>
        </w:numPr>
        <w:spacing w:after="0"/>
        <w:jc w:val="left"/>
        <w:textAlignment w:val="baseline"/>
        <w:rPr>
          <w:rFonts w:cs="Arial"/>
          <w:szCs w:val="20"/>
        </w:rPr>
      </w:pPr>
      <w:r w:rsidRPr="00E538A1">
        <w:rPr>
          <w:rFonts w:cs="Arial"/>
          <w:i/>
          <w:iCs/>
          <w:szCs w:val="20"/>
        </w:rPr>
        <w:t>Outputs</w:t>
      </w:r>
      <w:r w:rsidRPr="00E538A1">
        <w:rPr>
          <w:rFonts w:cs="Arial"/>
          <w:szCs w:val="20"/>
        </w:rPr>
        <w:t>: Agreed objectives; agreed measures and responsible parties</w:t>
      </w:r>
    </w:p>
    <w:p w14:paraId="6EB0CAF1" w14:textId="77777777" w:rsidR="00E538A1" w:rsidRPr="00E538A1" w:rsidRDefault="00E538A1" w:rsidP="00E538A1">
      <w:pPr>
        <w:ind w:left="1440"/>
        <w:textAlignment w:val="baseline"/>
        <w:rPr>
          <w:rFonts w:cs="Arial"/>
          <w:szCs w:val="20"/>
        </w:rPr>
      </w:pPr>
    </w:p>
    <w:p w14:paraId="0F66653B" w14:textId="77777777" w:rsidR="00E538A1" w:rsidRPr="00E538A1" w:rsidRDefault="00E538A1" w:rsidP="009D675B">
      <w:pPr>
        <w:numPr>
          <w:ilvl w:val="0"/>
          <w:numId w:val="131"/>
        </w:numPr>
        <w:spacing w:after="0"/>
        <w:jc w:val="left"/>
        <w:textAlignment w:val="baseline"/>
        <w:rPr>
          <w:rFonts w:cs="Arial"/>
          <w:szCs w:val="20"/>
        </w:rPr>
      </w:pPr>
      <w:r w:rsidRPr="00E538A1">
        <w:rPr>
          <w:rFonts w:cs="Arial"/>
          <w:b/>
          <w:bCs/>
          <w:szCs w:val="20"/>
        </w:rPr>
        <w:t>Objective 3</w:t>
      </w:r>
      <w:r w:rsidRPr="00E538A1">
        <w:rPr>
          <w:rFonts w:cs="Arial"/>
          <w:szCs w:val="20"/>
        </w:rPr>
        <w:t xml:space="preserve">: Resolve or agree actions to address any escalated Consortium risks and </w:t>
      </w:r>
      <w:proofErr w:type="gramStart"/>
      <w:r w:rsidRPr="00E538A1">
        <w:rPr>
          <w:rFonts w:cs="Arial"/>
          <w:szCs w:val="20"/>
        </w:rPr>
        <w:t>issues</w:t>
      </w:r>
      <w:proofErr w:type="gramEnd"/>
    </w:p>
    <w:p w14:paraId="66464EA4" w14:textId="77777777" w:rsidR="00E538A1" w:rsidRPr="00E538A1" w:rsidRDefault="00E538A1" w:rsidP="009D675B">
      <w:pPr>
        <w:numPr>
          <w:ilvl w:val="1"/>
          <w:numId w:val="131"/>
        </w:numPr>
        <w:spacing w:after="0"/>
        <w:jc w:val="left"/>
        <w:textAlignment w:val="baseline"/>
        <w:rPr>
          <w:rFonts w:cs="Arial"/>
          <w:szCs w:val="20"/>
        </w:rPr>
      </w:pPr>
      <w:r w:rsidRPr="00E538A1">
        <w:rPr>
          <w:rFonts w:cs="Arial"/>
          <w:i/>
          <w:iCs/>
          <w:szCs w:val="20"/>
        </w:rPr>
        <w:t>Inputs</w:t>
      </w:r>
      <w:r w:rsidRPr="00E538A1">
        <w:rPr>
          <w:rFonts w:cs="Arial"/>
          <w:szCs w:val="20"/>
        </w:rPr>
        <w:t>: Details of escalated risks and issues</w:t>
      </w:r>
    </w:p>
    <w:p w14:paraId="3243CAFC" w14:textId="77777777" w:rsidR="00E538A1" w:rsidRPr="00E538A1" w:rsidRDefault="00E538A1" w:rsidP="009D675B">
      <w:pPr>
        <w:numPr>
          <w:ilvl w:val="1"/>
          <w:numId w:val="131"/>
        </w:numPr>
        <w:spacing w:after="0"/>
        <w:jc w:val="left"/>
        <w:textAlignment w:val="baseline"/>
        <w:rPr>
          <w:rFonts w:cs="Arial"/>
          <w:szCs w:val="20"/>
        </w:rPr>
      </w:pPr>
      <w:r w:rsidRPr="00E538A1">
        <w:rPr>
          <w:rFonts w:cs="Arial"/>
          <w:i/>
          <w:iCs/>
          <w:szCs w:val="20"/>
        </w:rPr>
        <w:t>Outputs</w:t>
      </w:r>
      <w:r w:rsidRPr="00E538A1">
        <w:rPr>
          <w:rFonts w:cs="Arial"/>
          <w:szCs w:val="20"/>
        </w:rPr>
        <w:t>: Agreed actions to address</w:t>
      </w:r>
    </w:p>
    <w:p w14:paraId="6DCF047B" w14:textId="77777777" w:rsidR="00E538A1" w:rsidRPr="00E538A1" w:rsidRDefault="00E538A1" w:rsidP="00E538A1">
      <w:pPr>
        <w:ind w:left="1440"/>
        <w:textAlignment w:val="baseline"/>
        <w:rPr>
          <w:rFonts w:cs="Arial"/>
          <w:szCs w:val="20"/>
        </w:rPr>
      </w:pPr>
    </w:p>
    <w:p w14:paraId="39EBC1D8" w14:textId="77777777" w:rsidR="00E538A1" w:rsidRPr="00E538A1" w:rsidRDefault="00E538A1" w:rsidP="009D675B">
      <w:pPr>
        <w:numPr>
          <w:ilvl w:val="0"/>
          <w:numId w:val="131"/>
        </w:numPr>
        <w:spacing w:after="0"/>
        <w:jc w:val="left"/>
        <w:textAlignment w:val="baseline"/>
        <w:rPr>
          <w:rFonts w:cs="Arial"/>
          <w:szCs w:val="20"/>
        </w:rPr>
      </w:pPr>
      <w:r w:rsidRPr="00E538A1">
        <w:rPr>
          <w:rFonts w:cs="Arial"/>
          <w:b/>
          <w:bCs/>
          <w:szCs w:val="20"/>
        </w:rPr>
        <w:t>Objective 4</w:t>
      </w:r>
      <w:r w:rsidRPr="00E538A1">
        <w:rPr>
          <w:rFonts w:cs="Arial"/>
          <w:szCs w:val="20"/>
        </w:rPr>
        <w:t>: Monitor overall Consortium performance, and agree any actions required to respond (incl. incentives and penalties)</w:t>
      </w:r>
    </w:p>
    <w:p w14:paraId="24784952" w14:textId="77777777" w:rsidR="00E538A1" w:rsidRPr="00E538A1" w:rsidRDefault="00E538A1" w:rsidP="009D675B">
      <w:pPr>
        <w:numPr>
          <w:ilvl w:val="1"/>
          <w:numId w:val="131"/>
        </w:numPr>
        <w:spacing w:after="0"/>
        <w:jc w:val="left"/>
        <w:textAlignment w:val="baseline"/>
        <w:rPr>
          <w:rFonts w:cs="Arial"/>
          <w:szCs w:val="20"/>
        </w:rPr>
      </w:pPr>
      <w:r w:rsidRPr="00E538A1">
        <w:rPr>
          <w:rFonts w:cs="Arial"/>
          <w:i/>
          <w:iCs/>
          <w:szCs w:val="20"/>
        </w:rPr>
        <w:t>Inputs</w:t>
      </w:r>
      <w:r w:rsidRPr="00E538A1">
        <w:rPr>
          <w:rFonts w:cs="Arial"/>
          <w:szCs w:val="20"/>
        </w:rPr>
        <w:t xml:space="preserve">: Assessment of Consortium performance against </w:t>
      </w:r>
      <w:proofErr w:type="gramStart"/>
      <w:r w:rsidRPr="00E538A1">
        <w:rPr>
          <w:rFonts w:cs="Arial"/>
          <w:szCs w:val="20"/>
        </w:rPr>
        <w:t>previously-agreed</w:t>
      </w:r>
      <w:proofErr w:type="gramEnd"/>
      <w:r w:rsidRPr="00E538A1">
        <w:rPr>
          <w:rFonts w:cs="Arial"/>
          <w:szCs w:val="20"/>
        </w:rPr>
        <w:t xml:space="preserve"> objectives</w:t>
      </w:r>
    </w:p>
    <w:p w14:paraId="35A19E10" w14:textId="77777777" w:rsidR="00E538A1" w:rsidRPr="00E538A1" w:rsidRDefault="00E538A1" w:rsidP="009D675B">
      <w:pPr>
        <w:numPr>
          <w:ilvl w:val="1"/>
          <w:numId w:val="131"/>
        </w:numPr>
        <w:spacing w:after="240"/>
        <w:jc w:val="left"/>
        <w:textAlignment w:val="baseline"/>
        <w:rPr>
          <w:rFonts w:cs="Arial"/>
          <w:szCs w:val="20"/>
        </w:rPr>
      </w:pPr>
      <w:r w:rsidRPr="00E538A1">
        <w:rPr>
          <w:rFonts w:cs="Arial"/>
          <w:i/>
          <w:iCs/>
          <w:szCs w:val="20"/>
        </w:rPr>
        <w:t>Outputs</w:t>
      </w:r>
      <w:r w:rsidRPr="00E538A1">
        <w:rPr>
          <w:rFonts w:cs="Arial"/>
          <w:szCs w:val="20"/>
        </w:rPr>
        <w:t>: Agreed actions to respond</w:t>
      </w:r>
    </w:p>
    <w:p w14:paraId="1439AC66" w14:textId="77777777" w:rsidR="00E538A1" w:rsidRPr="00E538A1" w:rsidRDefault="00E538A1" w:rsidP="009D675B">
      <w:pPr>
        <w:pStyle w:val="Heading2"/>
        <w:numPr>
          <w:ilvl w:val="1"/>
          <w:numId w:val="102"/>
        </w:numPr>
        <w:ind w:left="709" w:hanging="709"/>
        <w:rPr>
          <w:rFonts w:cs="Arial"/>
          <w:szCs w:val="20"/>
        </w:rPr>
      </w:pPr>
      <w:bookmarkStart w:id="1637" w:name="_Toc11140580"/>
      <w:r w:rsidRPr="00E538A1">
        <w:rPr>
          <w:rFonts w:cs="Arial"/>
          <w:szCs w:val="20"/>
        </w:rPr>
        <w:t>Cadence</w:t>
      </w:r>
      <w:bookmarkEnd w:id="1637"/>
    </w:p>
    <w:tbl>
      <w:tblPr>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445"/>
        <w:gridCol w:w="2446"/>
        <w:gridCol w:w="2446"/>
      </w:tblGrid>
      <w:tr w:rsidR="00E538A1" w:rsidRPr="00E538A1" w14:paraId="5ED67A30" w14:textId="77777777" w:rsidTr="00F57B9A">
        <w:tc>
          <w:tcPr>
            <w:tcW w:w="1725" w:type="dxa"/>
            <w:shd w:val="clear" w:color="auto" w:fill="auto"/>
            <w:tcMar>
              <w:top w:w="100" w:type="dxa"/>
              <w:left w:w="100" w:type="dxa"/>
              <w:bottom w:w="100" w:type="dxa"/>
              <w:right w:w="100" w:type="dxa"/>
            </w:tcMar>
          </w:tcPr>
          <w:p w14:paraId="03977DB4" w14:textId="77777777" w:rsidR="00E538A1" w:rsidRPr="00E538A1" w:rsidRDefault="00E538A1" w:rsidP="00F57B9A">
            <w:pPr>
              <w:rPr>
                <w:rFonts w:cs="Arial"/>
                <w:szCs w:val="20"/>
              </w:rPr>
            </w:pPr>
          </w:p>
        </w:tc>
        <w:tc>
          <w:tcPr>
            <w:tcW w:w="2445" w:type="dxa"/>
            <w:shd w:val="clear" w:color="auto" w:fill="auto"/>
            <w:tcMar>
              <w:top w:w="100" w:type="dxa"/>
              <w:left w:w="100" w:type="dxa"/>
              <w:bottom w:w="100" w:type="dxa"/>
              <w:right w:w="100" w:type="dxa"/>
            </w:tcMar>
          </w:tcPr>
          <w:p w14:paraId="65BE2227" w14:textId="77777777" w:rsidR="00E538A1" w:rsidRPr="00E538A1" w:rsidRDefault="00E538A1" w:rsidP="00F57B9A">
            <w:pPr>
              <w:rPr>
                <w:rFonts w:cs="Arial"/>
                <w:szCs w:val="20"/>
              </w:rPr>
            </w:pPr>
            <w:r w:rsidRPr="00E538A1">
              <w:rPr>
                <w:rFonts w:cs="Arial"/>
                <w:szCs w:val="20"/>
              </w:rPr>
              <w:t>Weekly</w:t>
            </w:r>
          </w:p>
        </w:tc>
        <w:tc>
          <w:tcPr>
            <w:tcW w:w="2446" w:type="dxa"/>
            <w:shd w:val="clear" w:color="auto" w:fill="auto"/>
            <w:tcMar>
              <w:top w:w="100" w:type="dxa"/>
              <w:left w:w="100" w:type="dxa"/>
              <w:bottom w:w="100" w:type="dxa"/>
              <w:right w:w="100" w:type="dxa"/>
            </w:tcMar>
          </w:tcPr>
          <w:p w14:paraId="4A31221C" w14:textId="77777777" w:rsidR="00E538A1" w:rsidRPr="00E538A1" w:rsidRDefault="00E538A1" w:rsidP="00F57B9A">
            <w:pPr>
              <w:rPr>
                <w:rFonts w:cs="Arial"/>
                <w:szCs w:val="20"/>
              </w:rPr>
            </w:pPr>
            <w:r w:rsidRPr="00E538A1">
              <w:rPr>
                <w:rFonts w:cs="Arial"/>
                <w:szCs w:val="20"/>
              </w:rPr>
              <w:t>Fortnightly</w:t>
            </w:r>
          </w:p>
        </w:tc>
        <w:tc>
          <w:tcPr>
            <w:tcW w:w="2446" w:type="dxa"/>
            <w:shd w:val="clear" w:color="auto" w:fill="auto"/>
            <w:tcMar>
              <w:top w:w="100" w:type="dxa"/>
              <w:left w:w="100" w:type="dxa"/>
              <w:bottom w:w="100" w:type="dxa"/>
              <w:right w:w="100" w:type="dxa"/>
            </w:tcMar>
          </w:tcPr>
          <w:p w14:paraId="59F6743F" w14:textId="77777777" w:rsidR="00E538A1" w:rsidRPr="00E538A1" w:rsidRDefault="00E538A1" w:rsidP="00F57B9A">
            <w:pPr>
              <w:rPr>
                <w:rFonts w:cs="Arial"/>
                <w:szCs w:val="20"/>
              </w:rPr>
            </w:pPr>
            <w:r w:rsidRPr="00E538A1">
              <w:rPr>
                <w:rFonts w:cs="Arial"/>
                <w:szCs w:val="20"/>
              </w:rPr>
              <w:t>Attendees</w:t>
            </w:r>
          </w:p>
        </w:tc>
      </w:tr>
      <w:tr w:rsidR="00E538A1" w:rsidRPr="00E538A1" w14:paraId="76C3D01D" w14:textId="77777777" w:rsidTr="00F57B9A">
        <w:tc>
          <w:tcPr>
            <w:tcW w:w="1725" w:type="dxa"/>
            <w:shd w:val="clear" w:color="auto" w:fill="auto"/>
            <w:tcMar>
              <w:top w:w="100" w:type="dxa"/>
              <w:left w:w="100" w:type="dxa"/>
              <w:bottom w:w="100" w:type="dxa"/>
              <w:right w:w="100" w:type="dxa"/>
            </w:tcMar>
          </w:tcPr>
          <w:p w14:paraId="651A7374" w14:textId="77777777" w:rsidR="00E538A1" w:rsidRPr="00E538A1" w:rsidRDefault="00E538A1" w:rsidP="00F57B9A">
            <w:pPr>
              <w:rPr>
                <w:rFonts w:cs="Arial"/>
                <w:szCs w:val="20"/>
              </w:rPr>
            </w:pPr>
            <w:r w:rsidRPr="00E538A1">
              <w:rPr>
                <w:rFonts w:cs="Arial"/>
                <w:szCs w:val="20"/>
              </w:rPr>
              <w:t>Sponsoring Group</w:t>
            </w:r>
          </w:p>
        </w:tc>
        <w:tc>
          <w:tcPr>
            <w:tcW w:w="2445" w:type="dxa"/>
            <w:shd w:val="clear" w:color="auto" w:fill="auto"/>
            <w:tcMar>
              <w:top w:w="100" w:type="dxa"/>
              <w:left w:w="100" w:type="dxa"/>
              <w:bottom w:w="100" w:type="dxa"/>
              <w:right w:w="100" w:type="dxa"/>
            </w:tcMar>
          </w:tcPr>
          <w:p w14:paraId="42CC182F" w14:textId="77777777" w:rsidR="00E538A1" w:rsidRPr="00E538A1" w:rsidRDefault="00E538A1" w:rsidP="00F57B9A">
            <w:pPr>
              <w:rPr>
                <w:rFonts w:cs="Arial"/>
                <w:szCs w:val="20"/>
              </w:rPr>
            </w:pPr>
            <w:r w:rsidRPr="00E538A1">
              <w:rPr>
                <w:rFonts w:cs="Arial"/>
                <w:szCs w:val="20"/>
              </w:rPr>
              <w:t>Informal weekly check-in with Programme Leads via Key Resource</w:t>
            </w:r>
          </w:p>
        </w:tc>
        <w:tc>
          <w:tcPr>
            <w:tcW w:w="2446" w:type="dxa"/>
            <w:shd w:val="clear" w:color="auto" w:fill="auto"/>
            <w:tcMar>
              <w:top w:w="100" w:type="dxa"/>
              <w:left w:w="100" w:type="dxa"/>
              <w:bottom w:w="100" w:type="dxa"/>
              <w:right w:w="100" w:type="dxa"/>
            </w:tcMar>
          </w:tcPr>
          <w:p w14:paraId="2AC8A442" w14:textId="77777777" w:rsidR="00E538A1" w:rsidRPr="00E538A1" w:rsidRDefault="00E538A1" w:rsidP="00F57B9A">
            <w:pPr>
              <w:rPr>
                <w:rFonts w:cs="Arial"/>
                <w:szCs w:val="20"/>
              </w:rPr>
            </w:pPr>
            <w:r w:rsidRPr="00E538A1">
              <w:rPr>
                <w:rFonts w:cs="Arial"/>
                <w:szCs w:val="20"/>
              </w:rPr>
              <w:t>Formal check in with Consortium Engagement/Account Managers and Programme Leads</w:t>
            </w:r>
          </w:p>
        </w:tc>
        <w:tc>
          <w:tcPr>
            <w:tcW w:w="2446" w:type="dxa"/>
            <w:shd w:val="clear" w:color="auto" w:fill="auto"/>
            <w:tcMar>
              <w:top w:w="100" w:type="dxa"/>
              <w:left w:w="100" w:type="dxa"/>
              <w:bottom w:w="100" w:type="dxa"/>
              <w:right w:w="100" w:type="dxa"/>
            </w:tcMar>
          </w:tcPr>
          <w:p w14:paraId="6E524201" w14:textId="77777777" w:rsidR="00E538A1" w:rsidRPr="00E538A1" w:rsidRDefault="00E538A1" w:rsidP="00F57B9A">
            <w:pPr>
              <w:rPr>
                <w:rFonts w:cs="Arial"/>
                <w:szCs w:val="20"/>
              </w:rPr>
            </w:pPr>
            <w:r w:rsidRPr="00E538A1">
              <w:rPr>
                <w:rFonts w:cs="Arial"/>
                <w:szCs w:val="20"/>
              </w:rPr>
              <w:br/>
            </w:r>
          </w:p>
          <w:p w14:paraId="64BB0BE2" w14:textId="77777777" w:rsidR="00E538A1" w:rsidRPr="00E538A1" w:rsidRDefault="00E538A1" w:rsidP="00F57B9A">
            <w:pPr>
              <w:rPr>
                <w:rFonts w:cs="Arial"/>
                <w:szCs w:val="20"/>
                <w:highlight w:val="yellow"/>
              </w:rPr>
            </w:pPr>
          </w:p>
        </w:tc>
      </w:tr>
      <w:tr w:rsidR="00E538A1" w:rsidRPr="00E538A1" w14:paraId="6EE074B1" w14:textId="77777777" w:rsidTr="00F57B9A">
        <w:tc>
          <w:tcPr>
            <w:tcW w:w="1725" w:type="dxa"/>
            <w:shd w:val="clear" w:color="auto" w:fill="auto"/>
            <w:tcMar>
              <w:top w:w="100" w:type="dxa"/>
              <w:left w:w="100" w:type="dxa"/>
              <w:bottom w:w="100" w:type="dxa"/>
              <w:right w:w="100" w:type="dxa"/>
            </w:tcMar>
          </w:tcPr>
          <w:p w14:paraId="5113E1C5" w14:textId="77777777" w:rsidR="00E538A1" w:rsidRPr="00E538A1" w:rsidRDefault="00E538A1" w:rsidP="00F57B9A">
            <w:pPr>
              <w:rPr>
                <w:rFonts w:cs="Arial"/>
                <w:szCs w:val="20"/>
              </w:rPr>
            </w:pPr>
            <w:r w:rsidRPr="00E538A1">
              <w:rPr>
                <w:rFonts w:cs="Arial"/>
                <w:szCs w:val="20"/>
              </w:rPr>
              <w:t>Consortium Leadership Team</w:t>
            </w:r>
          </w:p>
        </w:tc>
        <w:tc>
          <w:tcPr>
            <w:tcW w:w="2445" w:type="dxa"/>
            <w:shd w:val="clear" w:color="auto" w:fill="auto"/>
            <w:tcMar>
              <w:top w:w="100" w:type="dxa"/>
              <w:left w:w="100" w:type="dxa"/>
              <w:bottom w:w="100" w:type="dxa"/>
              <w:right w:w="100" w:type="dxa"/>
            </w:tcMar>
          </w:tcPr>
          <w:p w14:paraId="02C91883" w14:textId="77777777" w:rsidR="00E538A1" w:rsidRPr="00E538A1" w:rsidRDefault="00E538A1" w:rsidP="00F57B9A">
            <w:pPr>
              <w:rPr>
                <w:rFonts w:cs="Arial"/>
                <w:szCs w:val="20"/>
              </w:rPr>
            </w:pPr>
            <w:r w:rsidRPr="00E538A1">
              <w:rPr>
                <w:rFonts w:cs="Arial"/>
                <w:szCs w:val="20"/>
              </w:rPr>
              <w:t xml:space="preserve">Formal meeting/call with key reps from all members on progress against plan, </w:t>
            </w:r>
            <w:proofErr w:type="gramStart"/>
            <w:r w:rsidRPr="00E538A1">
              <w:rPr>
                <w:rFonts w:cs="Arial"/>
                <w:szCs w:val="20"/>
              </w:rPr>
              <w:t>risks</w:t>
            </w:r>
            <w:proofErr w:type="gramEnd"/>
            <w:r w:rsidRPr="00E538A1">
              <w:rPr>
                <w:rFonts w:cs="Arial"/>
                <w:szCs w:val="20"/>
              </w:rPr>
              <w:t xml:space="preserve"> and issues</w:t>
            </w:r>
          </w:p>
          <w:p w14:paraId="77BE1A2D" w14:textId="77777777" w:rsidR="00E538A1" w:rsidRPr="00E538A1" w:rsidRDefault="00E538A1" w:rsidP="00F57B9A">
            <w:pPr>
              <w:rPr>
                <w:rFonts w:cs="Arial"/>
                <w:szCs w:val="20"/>
              </w:rPr>
            </w:pPr>
          </w:p>
        </w:tc>
        <w:tc>
          <w:tcPr>
            <w:tcW w:w="2446" w:type="dxa"/>
            <w:shd w:val="clear" w:color="auto" w:fill="auto"/>
            <w:tcMar>
              <w:top w:w="100" w:type="dxa"/>
              <w:left w:w="100" w:type="dxa"/>
              <w:bottom w:w="100" w:type="dxa"/>
              <w:right w:w="100" w:type="dxa"/>
            </w:tcMar>
          </w:tcPr>
          <w:p w14:paraId="52FF2038" w14:textId="77777777" w:rsidR="00E538A1" w:rsidRPr="00E538A1" w:rsidRDefault="00E538A1" w:rsidP="00F57B9A">
            <w:pPr>
              <w:rPr>
                <w:rFonts w:cs="Arial"/>
                <w:szCs w:val="20"/>
              </w:rPr>
            </w:pPr>
            <w:r w:rsidRPr="00E538A1">
              <w:rPr>
                <w:rFonts w:cs="Arial"/>
                <w:szCs w:val="20"/>
              </w:rPr>
              <w:t>Formal meeting on progress against plan, constraints, issues, Front Door process and resourcing</w:t>
            </w:r>
          </w:p>
          <w:p w14:paraId="2083D618" w14:textId="77777777" w:rsidR="00E538A1" w:rsidRPr="00E538A1" w:rsidRDefault="00E538A1" w:rsidP="00F57B9A">
            <w:pPr>
              <w:rPr>
                <w:rFonts w:cs="Arial"/>
                <w:szCs w:val="20"/>
              </w:rPr>
            </w:pPr>
          </w:p>
          <w:p w14:paraId="7CB910B6" w14:textId="77777777" w:rsidR="00E538A1" w:rsidRPr="00E538A1" w:rsidRDefault="00E538A1" w:rsidP="00F57B9A">
            <w:pPr>
              <w:rPr>
                <w:rFonts w:cs="Arial"/>
                <w:szCs w:val="20"/>
              </w:rPr>
            </w:pPr>
            <w:r w:rsidRPr="00E538A1">
              <w:rPr>
                <w:rFonts w:cs="Arial"/>
                <w:szCs w:val="20"/>
              </w:rPr>
              <w:t>Status update on key measures</w:t>
            </w:r>
          </w:p>
        </w:tc>
        <w:tc>
          <w:tcPr>
            <w:tcW w:w="2446" w:type="dxa"/>
            <w:shd w:val="clear" w:color="auto" w:fill="auto"/>
            <w:tcMar>
              <w:top w:w="100" w:type="dxa"/>
              <w:left w:w="100" w:type="dxa"/>
              <w:bottom w:w="100" w:type="dxa"/>
              <w:right w:w="100" w:type="dxa"/>
            </w:tcMar>
          </w:tcPr>
          <w:p w14:paraId="62C30695" w14:textId="77777777" w:rsidR="00E538A1" w:rsidRPr="00E538A1" w:rsidRDefault="00E538A1" w:rsidP="00F57B9A">
            <w:pPr>
              <w:rPr>
                <w:rFonts w:cs="Arial"/>
                <w:szCs w:val="20"/>
              </w:rPr>
            </w:pPr>
          </w:p>
        </w:tc>
      </w:tr>
    </w:tbl>
    <w:p w14:paraId="33E9A017" w14:textId="77777777" w:rsidR="00E538A1" w:rsidRPr="00E538A1" w:rsidRDefault="00E538A1" w:rsidP="00E538A1">
      <w:pPr>
        <w:rPr>
          <w:rFonts w:cs="Arial"/>
          <w:szCs w:val="20"/>
        </w:rPr>
      </w:pPr>
    </w:p>
    <w:p w14:paraId="24AF5A83"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Dispute Resolution</w:t>
      </w:r>
    </w:p>
    <w:p w14:paraId="76302A5B" w14:textId="1D8AFF0B" w:rsidR="00E538A1" w:rsidRPr="00E538A1" w:rsidRDefault="00E538A1" w:rsidP="009D675B">
      <w:pPr>
        <w:pStyle w:val="Heading30"/>
        <w:numPr>
          <w:ilvl w:val="2"/>
          <w:numId w:val="102"/>
        </w:numPr>
        <w:tabs>
          <w:tab w:val="clear" w:pos="720"/>
          <w:tab w:val="num" w:pos="1702"/>
        </w:tabs>
        <w:ind w:left="1702" w:hanging="992"/>
      </w:pPr>
      <w:r w:rsidRPr="00E538A1">
        <w:t xml:space="preserve">The intention of all Members is to collaborate effectively, with a focus on </w:t>
      </w:r>
      <w:proofErr w:type="gramStart"/>
      <w:r w:rsidRPr="00E538A1">
        <w:t xml:space="preserve">delivering the best outcomes for </w:t>
      </w:r>
      <w:proofErr w:type="spellStart"/>
      <w:r w:rsidR="001F1C19">
        <w:t>Netlink</w:t>
      </w:r>
      <w:proofErr w:type="spellEnd"/>
      <w:r w:rsidR="001F1C19">
        <w:t xml:space="preserve"> Star</w:t>
      </w:r>
      <w:r w:rsidRPr="00E538A1">
        <w:t xml:space="preserve"> at all times</w:t>
      </w:r>
      <w:proofErr w:type="gramEnd"/>
      <w:r w:rsidRPr="00E538A1">
        <w:t>. However, it is necessary to outline the approach to dispute resolution to be referred to if required.</w:t>
      </w:r>
    </w:p>
    <w:p w14:paraId="30D5CBF0" w14:textId="77777777" w:rsidR="00E538A1" w:rsidRPr="00E538A1" w:rsidRDefault="00E538A1" w:rsidP="009D675B">
      <w:pPr>
        <w:pStyle w:val="Heading30"/>
        <w:numPr>
          <w:ilvl w:val="2"/>
          <w:numId w:val="102"/>
        </w:numPr>
        <w:tabs>
          <w:tab w:val="clear" w:pos="720"/>
          <w:tab w:val="num" w:pos="1702"/>
        </w:tabs>
        <w:ind w:left="1702" w:hanging="992"/>
      </w:pPr>
      <w:r w:rsidRPr="00E538A1">
        <w:t>To mitigate the risk of any interparty dispute, formalised regular meetings will take place with leads from each supplier to review risks and issues. Members will address any issues that may have potential to cause dispute, in a timely and professional manner.</w:t>
      </w:r>
    </w:p>
    <w:p w14:paraId="14FD78CD" w14:textId="77777777" w:rsidR="00E538A1" w:rsidRPr="00E538A1" w:rsidRDefault="00E538A1" w:rsidP="009D675B">
      <w:pPr>
        <w:pStyle w:val="Heading30"/>
        <w:numPr>
          <w:ilvl w:val="2"/>
          <w:numId w:val="102"/>
        </w:numPr>
        <w:tabs>
          <w:tab w:val="clear" w:pos="720"/>
          <w:tab w:val="num" w:pos="1702"/>
        </w:tabs>
        <w:ind w:left="1702" w:hanging="992"/>
      </w:pPr>
      <w:r w:rsidRPr="00E538A1">
        <w:t xml:space="preserve">Members agree on the following approach for dispute resolution, before work starts, and will continue to review this on a regular basis, to ensure the process is working. </w:t>
      </w:r>
    </w:p>
    <w:p w14:paraId="5B10164E" w14:textId="77777777" w:rsidR="00E538A1" w:rsidRPr="00E538A1" w:rsidRDefault="00E538A1" w:rsidP="009D675B">
      <w:pPr>
        <w:pStyle w:val="Heading30"/>
        <w:numPr>
          <w:ilvl w:val="2"/>
          <w:numId w:val="102"/>
        </w:numPr>
        <w:tabs>
          <w:tab w:val="clear" w:pos="720"/>
          <w:tab w:val="num" w:pos="1702"/>
        </w:tabs>
        <w:ind w:left="1702" w:hanging="992"/>
      </w:pPr>
      <w:r w:rsidRPr="00E538A1">
        <w:t>Where disputes arise:</w:t>
      </w:r>
    </w:p>
    <w:p w14:paraId="13349344" w14:textId="786711AC" w:rsidR="00E538A1" w:rsidRPr="00E538A1" w:rsidRDefault="00E538A1" w:rsidP="009D675B">
      <w:pPr>
        <w:numPr>
          <w:ilvl w:val="0"/>
          <w:numId w:val="132"/>
        </w:numPr>
        <w:spacing w:after="240"/>
        <w:jc w:val="left"/>
        <w:textAlignment w:val="baseline"/>
        <w:rPr>
          <w:rFonts w:cs="Arial"/>
          <w:szCs w:val="20"/>
        </w:rPr>
      </w:pPr>
      <w:r w:rsidRPr="00E538A1">
        <w:rPr>
          <w:rFonts w:cs="Arial"/>
          <w:szCs w:val="20"/>
        </w:rPr>
        <w:t xml:space="preserve">The parties involved take responsibility for resolving any dispute between themselves, by applying reasonable use of the Front-Door Process policies. This should not be escalated to </w:t>
      </w:r>
      <w:proofErr w:type="spellStart"/>
      <w:r w:rsidR="001F1C19">
        <w:rPr>
          <w:rFonts w:cs="Arial"/>
          <w:szCs w:val="20"/>
        </w:rPr>
        <w:t>Netlink</w:t>
      </w:r>
      <w:proofErr w:type="spellEnd"/>
      <w:r w:rsidR="001F1C19">
        <w:rPr>
          <w:rFonts w:cs="Arial"/>
          <w:szCs w:val="20"/>
        </w:rPr>
        <w:t xml:space="preserve"> Star</w:t>
      </w:r>
      <w:r w:rsidRPr="00E538A1">
        <w:rPr>
          <w:rFonts w:cs="Arial"/>
          <w:szCs w:val="20"/>
        </w:rPr>
        <w:t xml:space="preserve"> Consortium leads.</w:t>
      </w:r>
    </w:p>
    <w:p w14:paraId="630264E1" w14:textId="251DFB08" w:rsidR="00E538A1" w:rsidRPr="00E538A1" w:rsidRDefault="00E538A1" w:rsidP="009D675B">
      <w:pPr>
        <w:numPr>
          <w:ilvl w:val="0"/>
          <w:numId w:val="132"/>
        </w:numPr>
        <w:spacing w:after="240"/>
        <w:jc w:val="left"/>
        <w:textAlignment w:val="baseline"/>
        <w:rPr>
          <w:rFonts w:cs="Arial"/>
          <w:szCs w:val="20"/>
        </w:rPr>
      </w:pPr>
      <w:r w:rsidRPr="00E538A1">
        <w:rPr>
          <w:rFonts w:cs="Arial"/>
          <w:szCs w:val="20"/>
        </w:rPr>
        <w:t xml:space="preserve">If the situation appears to be unresolvable between the relevant parties, named supplier leads will be responsible for escalating the dispute to </w:t>
      </w:r>
      <w:proofErr w:type="spellStart"/>
      <w:r w:rsidR="001F1C19">
        <w:rPr>
          <w:rFonts w:cs="Arial"/>
          <w:szCs w:val="20"/>
        </w:rPr>
        <w:t>Netlink</w:t>
      </w:r>
      <w:proofErr w:type="spellEnd"/>
      <w:r w:rsidR="001F1C19">
        <w:rPr>
          <w:rFonts w:cs="Arial"/>
          <w:szCs w:val="20"/>
        </w:rPr>
        <w:t xml:space="preserve"> Star</w:t>
      </w:r>
      <w:r w:rsidRPr="00E538A1">
        <w:rPr>
          <w:rFonts w:cs="Arial"/>
          <w:szCs w:val="20"/>
        </w:rPr>
        <w:t xml:space="preserve"> Consortium Leads, in a formalised meeting, where all relevant parties are represented.</w:t>
      </w:r>
    </w:p>
    <w:p w14:paraId="6DE4E906" w14:textId="0E893B38" w:rsidR="00E538A1" w:rsidRPr="00E538A1" w:rsidRDefault="00E538A1" w:rsidP="009D675B">
      <w:pPr>
        <w:numPr>
          <w:ilvl w:val="0"/>
          <w:numId w:val="132"/>
        </w:numPr>
        <w:spacing w:after="240"/>
        <w:jc w:val="left"/>
        <w:textAlignment w:val="baseline"/>
        <w:rPr>
          <w:rFonts w:cs="Arial"/>
          <w:szCs w:val="20"/>
        </w:rPr>
      </w:pPr>
      <w:r w:rsidRPr="00E538A1">
        <w:rPr>
          <w:rFonts w:cs="Arial"/>
          <w:szCs w:val="20"/>
        </w:rPr>
        <w:lastRenderedPageBreak/>
        <w:t xml:space="preserve">If there is a situation where </w:t>
      </w:r>
      <w:proofErr w:type="spellStart"/>
      <w:r w:rsidR="001F1C19">
        <w:rPr>
          <w:rFonts w:cs="Arial"/>
          <w:szCs w:val="20"/>
        </w:rPr>
        <w:t>Netlink</w:t>
      </w:r>
      <w:proofErr w:type="spellEnd"/>
      <w:r w:rsidR="001F1C19">
        <w:rPr>
          <w:rFonts w:cs="Arial"/>
          <w:szCs w:val="20"/>
        </w:rPr>
        <w:t xml:space="preserve"> Star</w:t>
      </w:r>
      <w:r w:rsidRPr="00E538A1">
        <w:rPr>
          <w:rFonts w:cs="Arial"/>
          <w:szCs w:val="20"/>
        </w:rPr>
        <w:t xml:space="preserve"> Members are one of the parties in dispute, Consortium leads (from the relevant supplier) can escalate to a named senior member from </w:t>
      </w:r>
      <w:proofErr w:type="spellStart"/>
      <w:r w:rsidR="001F1C19">
        <w:rPr>
          <w:rFonts w:cs="Arial"/>
          <w:szCs w:val="20"/>
        </w:rPr>
        <w:t>Netlink</w:t>
      </w:r>
      <w:proofErr w:type="spellEnd"/>
      <w:r w:rsidR="001F1C19">
        <w:rPr>
          <w:rFonts w:cs="Arial"/>
          <w:szCs w:val="20"/>
        </w:rPr>
        <w:t xml:space="preserve"> Star</w:t>
      </w:r>
      <w:r w:rsidRPr="00E538A1">
        <w:rPr>
          <w:rFonts w:cs="Arial"/>
          <w:szCs w:val="20"/>
        </w:rPr>
        <w:t>, who would take responsibility for managing dispute resolution, to ensure delivery is not i</w:t>
      </w:r>
      <w:r w:rsidR="000D476B">
        <w:rPr>
          <w:rFonts w:cs="Arial"/>
          <w:szCs w:val="20"/>
        </w:rPr>
        <w:t>m</w:t>
      </w:r>
      <w:r w:rsidRPr="00E538A1">
        <w:rPr>
          <w:rFonts w:cs="Arial"/>
          <w:szCs w:val="20"/>
        </w:rPr>
        <w:t>pacted.</w:t>
      </w:r>
    </w:p>
    <w:p w14:paraId="01CC6A7E" w14:textId="77777777" w:rsidR="00E538A1" w:rsidRPr="00E538A1" w:rsidRDefault="00E538A1" w:rsidP="00E538A1">
      <w:pPr>
        <w:rPr>
          <w:rFonts w:cs="Arial"/>
          <w:szCs w:val="20"/>
        </w:rPr>
      </w:pPr>
      <w:r w:rsidRPr="00E538A1">
        <w:rPr>
          <w:rFonts w:cs="Arial"/>
          <w:szCs w:val="20"/>
        </w:rPr>
        <w:br w:type="page"/>
      </w:r>
    </w:p>
    <w:p w14:paraId="1A1E190D" w14:textId="77777777" w:rsidR="00E538A1" w:rsidRPr="00E538A1" w:rsidRDefault="00E538A1" w:rsidP="009D675B">
      <w:pPr>
        <w:pStyle w:val="Schedule"/>
        <w:keepNext w:val="0"/>
        <w:numPr>
          <w:ilvl w:val="0"/>
          <w:numId w:val="101"/>
        </w:numPr>
        <w:spacing w:line="276" w:lineRule="auto"/>
        <w:jc w:val="left"/>
        <w:rPr>
          <w:rFonts w:ascii="Arial" w:hAnsi="Arial" w:cs="Arial"/>
          <w:sz w:val="20"/>
        </w:rPr>
      </w:pPr>
      <w:r w:rsidRPr="00E538A1">
        <w:rPr>
          <w:rFonts w:ascii="Arial" w:hAnsi="Arial" w:cs="Arial"/>
          <w:sz w:val="20"/>
        </w:rPr>
        <w:lastRenderedPageBreak/>
        <w:t xml:space="preserve"> </w:t>
      </w:r>
      <w:bookmarkStart w:id="1638" w:name="_Ref390160861"/>
      <w:bookmarkStart w:id="1639" w:name="_Toc57263888"/>
      <w:r w:rsidRPr="00E538A1">
        <w:rPr>
          <w:rFonts w:ascii="Arial" w:hAnsi="Arial" w:cs="Arial"/>
          <w:sz w:val="20"/>
        </w:rPr>
        <w:t>- Operating Level Agreement</w:t>
      </w:r>
      <w:bookmarkEnd w:id="1638"/>
      <w:bookmarkEnd w:id="1639"/>
    </w:p>
    <w:p w14:paraId="0FB3C0D3" w14:textId="77777777" w:rsidR="00E538A1" w:rsidRPr="00E538A1" w:rsidRDefault="00E538A1" w:rsidP="009D675B">
      <w:pPr>
        <w:pStyle w:val="Heading1"/>
        <w:numPr>
          <w:ilvl w:val="0"/>
          <w:numId w:val="127"/>
        </w:numPr>
        <w:ind w:left="709" w:hanging="709"/>
        <w:rPr>
          <w:rFonts w:cs="Arial"/>
          <w:szCs w:val="20"/>
        </w:rPr>
      </w:pPr>
      <w:r w:rsidRPr="00E538A1">
        <w:rPr>
          <w:rFonts w:cs="Arial"/>
          <w:szCs w:val="20"/>
        </w:rPr>
        <w:t>General</w:t>
      </w:r>
    </w:p>
    <w:p w14:paraId="7DF91280" w14:textId="77777777" w:rsidR="00E538A1" w:rsidRPr="00E538A1" w:rsidRDefault="00E538A1" w:rsidP="00E538A1">
      <w:pPr>
        <w:pStyle w:val="BodyText"/>
        <w:keepNext/>
        <w:ind w:left="720"/>
        <w:outlineLvl w:val="0"/>
        <w:rPr>
          <w:rFonts w:cs="Arial"/>
          <w:szCs w:val="20"/>
        </w:rPr>
      </w:pPr>
      <w:r w:rsidRPr="00E538A1">
        <w:rPr>
          <w:rFonts w:cs="Arial"/>
          <w:szCs w:val="20"/>
        </w:rPr>
        <w:t xml:space="preserve">The Services shall be </w:t>
      </w:r>
      <w:proofErr w:type="gramStart"/>
      <w:r w:rsidRPr="00E538A1">
        <w:rPr>
          <w:rFonts w:cs="Arial"/>
          <w:szCs w:val="20"/>
        </w:rPr>
        <w:t>undertaken at all times</w:t>
      </w:r>
      <w:proofErr w:type="gramEnd"/>
      <w:r w:rsidRPr="00E538A1">
        <w:rPr>
          <w:rFonts w:cs="Arial"/>
          <w:szCs w:val="20"/>
        </w:rPr>
        <w:t xml:space="preserve"> by the Members (together the </w:t>
      </w:r>
      <w:r w:rsidRPr="00E538A1">
        <w:rPr>
          <w:rFonts w:cs="Arial"/>
          <w:b/>
          <w:szCs w:val="20"/>
        </w:rPr>
        <w:t>Consortium</w:t>
      </w:r>
      <w:r w:rsidRPr="00E538A1">
        <w:rPr>
          <w:rFonts w:cs="Arial"/>
          <w:szCs w:val="20"/>
        </w:rPr>
        <w:t xml:space="preserve">) in accordance with the terms of this Operating Level Agreement. </w:t>
      </w:r>
    </w:p>
    <w:p w14:paraId="5747AD03" w14:textId="77777777" w:rsidR="00E538A1" w:rsidRPr="00E538A1" w:rsidRDefault="00E538A1" w:rsidP="009D675B">
      <w:pPr>
        <w:pStyle w:val="Heading1"/>
        <w:numPr>
          <w:ilvl w:val="0"/>
          <w:numId w:val="102"/>
        </w:numPr>
        <w:ind w:left="709" w:hanging="709"/>
        <w:rPr>
          <w:rFonts w:cs="Arial"/>
          <w:szCs w:val="20"/>
        </w:rPr>
      </w:pPr>
      <w:r w:rsidRPr="00E538A1">
        <w:rPr>
          <w:rFonts w:cs="Arial"/>
          <w:szCs w:val="20"/>
        </w:rPr>
        <w:t>Member Behaviours</w:t>
      </w:r>
    </w:p>
    <w:p w14:paraId="73C5374F"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The Members will aim to operate in a manner that reduces waste and optimises the delivery of value in meeting the identified Programme Objectives. To be successful the Members needs to develop strong, </w:t>
      </w:r>
      <w:proofErr w:type="gramStart"/>
      <w:r w:rsidRPr="00E538A1">
        <w:rPr>
          <w:rFonts w:cs="Arial"/>
          <w:szCs w:val="20"/>
        </w:rPr>
        <w:t>open</w:t>
      </w:r>
      <w:proofErr w:type="gramEnd"/>
      <w:r w:rsidRPr="00E538A1">
        <w:rPr>
          <w:rFonts w:cs="Arial"/>
          <w:szCs w:val="20"/>
        </w:rPr>
        <w:t xml:space="preserve"> and trusted relationships, by committing to and consistently demonstrating the behaviours set out in this Operating Level Agreement.</w:t>
      </w:r>
    </w:p>
    <w:p w14:paraId="6FE7CF20" w14:textId="77777777" w:rsidR="00E538A1" w:rsidRPr="00E538A1" w:rsidRDefault="00E538A1" w:rsidP="009D675B">
      <w:pPr>
        <w:pStyle w:val="Heading2"/>
        <w:numPr>
          <w:ilvl w:val="1"/>
          <w:numId w:val="102"/>
        </w:numPr>
        <w:ind w:left="709" w:hanging="709"/>
        <w:rPr>
          <w:rFonts w:cs="Arial"/>
          <w:b/>
          <w:bCs w:val="0"/>
          <w:szCs w:val="20"/>
        </w:rPr>
      </w:pPr>
      <w:bookmarkStart w:id="1640" w:name="_Toc11140558"/>
      <w:r w:rsidRPr="00E538A1">
        <w:rPr>
          <w:rFonts w:cs="Arial"/>
          <w:b/>
          <w:bCs w:val="0"/>
          <w:szCs w:val="20"/>
        </w:rPr>
        <w:t>Authenticity</w:t>
      </w:r>
      <w:bookmarkEnd w:id="1640"/>
    </w:p>
    <w:p w14:paraId="2B020187" w14:textId="77777777" w:rsidR="00E538A1" w:rsidRPr="00E538A1" w:rsidRDefault="00E538A1" w:rsidP="009D675B">
      <w:pPr>
        <w:pStyle w:val="Heading30"/>
        <w:numPr>
          <w:ilvl w:val="2"/>
          <w:numId w:val="102"/>
        </w:numPr>
        <w:tabs>
          <w:tab w:val="clear" w:pos="720"/>
          <w:tab w:val="num" w:pos="1702"/>
        </w:tabs>
        <w:ind w:left="1702" w:hanging="992"/>
      </w:pPr>
      <w:r w:rsidRPr="00E538A1">
        <w:t xml:space="preserve">In all interactions Members will act with integrity, </w:t>
      </w:r>
      <w:proofErr w:type="gramStart"/>
      <w:r w:rsidRPr="00E538A1">
        <w:t>empathy</w:t>
      </w:r>
      <w:proofErr w:type="gramEnd"/>
      <w:r w:rsidRPr="00E538A1">
        <w:t xml:space="preserve"> and consistency, in the best interests of the Consortium as a whole. </w:t>
      </w:r>
    </w:p>
    <w:p w14:paraId="0701581C" w14:textId="77777777" w:rsidR="00E538A1" w:rsidRPr="00E538A1" w:rsidRDefault="00E538A1" w:rsidP="009D675B">
      <w:pPr>
        <w:pStyle w:val="Heading30"/>
        <w:numPr>
          <w:ilvl w:val="2"/>
          <w:numId w:val="102"/>
        </w:numPr>
        <w:tabs>
          <w:tab w:val="clear" w:pos="720"/>
          <w:tab w:val="num" w:pos="1702"/>
        </w:tabs>
        <w:ind w:left="1702" w:hanging="992"/>
      </w:pPr>
      <w:r w:rsidRPr="00E538A1">
        <w:t xml:space="preserve">Members appreciate the impact of their actions on other team members who depend on </w:t>
      </w:r>
      <w:proofErr w:type="gramStart"/>
      <w:r w:rsidRPr="00E538A1">
        <w:t>them, and</w:t>
      </w:r>
      <w:proofErr w:type="gramEnd"/>
      <w:r w:rsidRPr="00E538A1">
        <w:t xml:space="preserve"> will do what they say they are going to do.  </w:t>
      </w:r>
    </w:p>
    <w:p w14:paraId="599DE943" w14:textId="77777777" w:rsidR="00E538A1" w:rsidRPr="00E538A1" w:rsidRDefault="00E538A1" w:rsidP="009D675B">
      <w:pPr>
        <w:pStyle w:val="Heading30"/>
        <w:numPr>
          <w:ilvl w:val="2"/>
          <w:numId w:val="102"/>
        </w:numPr>
        <w:tabs>
          <w:tab w:val="clear" w:pos="720"/>
          <w:tab w:val="num" w:pos="1702"/>
        </w:tabs>
        <w:ind w:left="1702" w:hanging="992"/>
      </w:pPr>
      <w:r w:rsidRPr="00E538A1">
        <w:t>Members will be open about their motivations and objectives, speak frankly and directly, and provide open and honest feedback to colleagues, respectfully.</w:t>
      </w:r>
    </w:p>
    <w:p w14:paraId="1A0A86EF" w14:textId="77777777" w:rsidR="00E538A1" w:rsidRPr="00E538A1" w:rsidRDefault="00E538A1" w:rsidP="009D675B">
      <w:pPr>
        <w:pStyle w:val="Heading30"/>
        <w:numPr>
          <w:ilvl w:val="2"/>
          <w:numId w:val="102"/>
        </w:numPr>
        <w:tabs>
          <w:tab w:val="clear" w:pos="720"/>
          <w:tab w:val="num" w:pos="1702"/>
        </w:tabs>
        <w:ind w:left="1702" w:hanging="992"/>
      </w:pPr>
      <w:r w:rsidRPr="00E538A1">
        <w:t>Members will listen actively to each other, looking first to genuinely understand, then checking and confirming understanding.</w:t>
      </w:r>
    </w:p>
    <w:p w14:paraId="20E73F44" w14:textId="77777777" w:rsidR="00E538A1" w:rsidRPr="00E538A1" w:rsidRDefault="00E538A1" w:rsidP="009D675B">
      <w:pPr>
        <w:pStyle w:val="Heading30"/>
        <w:numPr>
          <w:ilvl w:val="2"/>
          <w:numId w:val="102"/>
        </w:numPr>
        <w:tabs>
          <w:tab w:val="clear" w:pos="720"/>
          <w:tab w:val="num" w:pos="1702"/>
        </w:tabs>
        <w:ind w:left="1702" w:hanging="992"/>
      </w:pPr>
      <w:r w:rsidRPr="00E538A1">
        <w:t>Members will raise issues early and constructively when they can be resolved quickly and cost-effectively, and in a manner that acknowledges that all team members are working to the best of their abilities.</w:t>
      </w:r>
      <w:bookmarkStart w:id="1641" w:name="_vuyql3l468yy" w:colFirst="0" w:colLast="0"/>
      <w:bookmarkStart w:id="1642" w:name="_Toc11140559"/>
      <w:bookmarkEnd w:id="1641"/>
    </w:p>
    <w:p w14:paraId="6272CF45" w14:textId="77777777" w:rsidR="00E538A1" w:rsidRPr="00E538A1" w:rsidRDefault="00E538A1" w:rsidP="009D675B">
      <w:pPr>
        <w:pStyle w:val="Heading2"/>
        <w:numPr>
          <w:ilvl w:val="1"/>
          <w:numId w:val="102"/>
        </w:numPr>
        <w:ind w:left="709" w:hanging="709"/>
        <w:rPr>
          <w:rFonts w:cs="Arial"/>
          <w:b/>
          <w:bCs w:val="0"/>
          <w:szCs w:val="20"/>
        </w:rPr>
      </w:pPr>
      <w:r w:rsidRPr="00E538A1">
        <w:rPr>
          <w:rFonts w:cs="Arial"/>
          <w:b/>
          <w:bCs w:val="0"/>
          <w:szCs w:val="20"/>
        </w:rPr>
        <w:t>Alignment</w:t>
      </w:r>
      <w:bookmarkEnd w:id="1642"/>
    </w:p>
    <w:p w14:paraId="6986736A" w14:textId="77777777" w:rsidR="00E538A1" w:rsidRPr="00E538A1" w:rsidRDefault="00E538A1" w:rsidP="009D675B">
      <w:pPr>
        <w:pStyle w:val="Heading30"/>
        <w:numPr>
          <w:ilvl w:val="2"/>
          <w:numId w:val="102"/>
        </w:numPr>
        <w:tabs>
          <w:tab w:val="clear" w:pos="720"/>
          <w:tab w:val="num" w:pos="1702"/>
        </w:tabs>
        <w:ind w:left="1702" w:hanging="992"/>
      </w:pPr>
      <w:r w:rsidRPr="00E538A1">
        <w:t xml:space="preserve">Members will apply their creativity, innovation, and expertise in pursuit of the same goals and objectives, and understand that success is shared by all, collectively. Members’ </w:t>
      </w:r>
      <w:proofErr w:type="gramStart"/>
      <w:r w:rsidRPr="00E538A1">
        <w:t>past experience</w:t>
      </w:r>
      <w:proofErr w:type="gramEnd"/>
      <w:r w:rsidRPr="00E538A1">
        <w:t>, ideas, thoughts and expertise is valued and welcomed.</w:t>
      </w:r>
    </w:p>
    <w:p w14:paraId="6606922E" w14:textId="77777777" w:rsidR="00E538A1" w:rsidRPr="00E538A1" w:rsidRDefault="00E538A1" w:rsidP="009D675B">
      <w:pPr>
        <w:pStyle w:val="Heading30"/>
        <w:numPr>
          <w:ilvl w:val="2"/>
          <w:numId w:val="102"/>
        </w:numPr>
        <w:tabs>
          <w:tab w:val="clear" w:pos="720"/>
          <w:tab w:val="num" w:pos="1702"/>
        </w:tabs>
        <w:ind w:left="1702" w:hanging="992"/>
      </w:pPr>
      <w:r w:rsidRPr="00E538A1">
        <w:t>Members will seek to share knowledge effectively, reduce waste and duplication of effort, and leverage lessons learned across all teams.</w:t>
      </w:r>
    </w:p>
    <w:p w14:paraId="2522E566" w14:textId="77777777" w:rsidR="00E538A1" w:rsidRPr="00E538A1" w:rsidRDefault="00E538A1" w:rsidP="009D675B">
      <w:pPr>
        <w:pStyle w:val="Heading30"/>
        <w:numPr>
          <w:ilvl w:val="2"/>
          <w:numId w:val="102"/>
        </w:numPr>
        <w:tabs>
          <w:tab w:val="clear" w:pos="720"/>
          <w:tab w:val="num" w:pos="1702"/>
        </w:tabs>
        <w:ind w:left="1702" w:hanging="992"/>
      </w:pPr>
      <w:r w:rsidRPr="00E538A1">
        <w:t xml:space="preserve">Members will have the courage to fail fast in trialling new ways of doing things, appreciating that lessons learned will be for the benefit of all. </w:t>
      </w:r>
    </w:p>
    <w:p w14:paraId="46C7491B" w14:textId="77777777" w:rsidR="00E538A1" w:rsidRPr="00E538A1" w:rsidRDefault="00E538A1" w:rsidP="009D675B">
      <w:pPr>
        <w:pStyle w:val="Heading30"/>
        <w:numPr>
          <w:ilvl w:val="2"/>
          <w:numId w:val="102"/>
        </w:numPr>
        <w:tabs>
          <w:tab w:val="clear" w:pos="720"/>
          <w:tab w:val="num" w:pos="1702"/>
        </w:tabs>
        <w:ind w:left="1702" w:hanging="992"/>
      </w:pPr>
      <w:r w:rsidRPr="00E538A1">
        <w:t>Members will be open and committed to continuous learning and improvement, always looking for ways to improve ways of working and increase productivity.</w:t>
      </w:r>
      <w:bookmarkStart w:id="1643" w:name="_78co095w5z24" w:colFirst="0" w:colLast="0"/>
      <w:bookmarkEnd w:id="1643"/>
      <w:r w:rsidRPr="00E538A1">
        <w:br/>
      </w:r>
    </w:p>
    <w:p w14:paraId="664C5C7C" w14:textId="77777777" w:rsidR="00E538A1" w:rsidRPr="00E538A1" w:rsidRDefault="00E538A1" w:rsidP="009D675B">
      <w:pPr>
        <w:pStyle w:val="Heading2"/>
        <w:numPr>
          <w:ilvl w:val="1"/>
          <w:numId w:val="102"/>
        </w:numPr>
        <w:ind w:left="709" w:hanging="709"/>
        <w:rPr>
          <w:rFonts w:cs="Arial"/>
          <w:szCs w:val="20"/>
        </w:rPr>
      </w:pPr>
      <w:bookmarkStart w:id="1644" w:name="_Toc11140560"/>
      <w:r w:rsidRPr="00E538A1">
        <w:rPr>
          <w:rFonts w:cs="Arial"/>
          <w:szCs w:val="20"/>
        </w:rPr>
        <w:t>Autonomy</w:t>
      </w:r>
      <w:bookmarkEnd w:id="1644"/>
      <w:r w:rsidRPr="00E538A1">
        <w:rPr>
          <w:rFonts w:cs="Arial"/>
          <w:szCs w:val="20"/>
        </w:rPr>
        <w:t>: Members are trusted to do the right thing, with responsibility for decision-making devolved to those closest to the issue, escalating appropriately where required.</w:t>
      </w:r>
    </w:p>
    <w:p w14:paraId="1A84EC6C" w14:textId="77777777" w:rsidR="00E538A1" w:rsidRPr="00E538A1" w:rsidRDefault="00E538A1" w:rsidP="009D675B">
      <w:pPr>
        <w:pStyle w:val="Heading2"/>
        <w:numPr>
          <w:ilvl w:val="1"/>
          <w:numId w:val="102"/>
        </w:numPr>
        <w:ind w:left="709" w:hanging="709"/>
        <w:rPr>
          <w:rFonts w:cs="Arial"/>
          <w:b/>
          <w:bCs w:val="0"/>
          <w:szCs w:val="20"/>
        </w:rPr>
      </w:pPr>
      <w:bookmarkStart w:id="1645" w:name="_Toc11140561"/>
      <w:r w:rsidRPr="00E538A1">
        <w:rPr>
          <w:rFonts w:cs="Arial"/>
          <w:b/>
          <w:bCs w:val="0"/>
          <w:szCs w:val="20"/>
        </w:rPr>
        <w:t>Transparency</w:t>
      </w:r>
      <w:bookmarkEnd w:id="1645"/>
    </w:p>
    <w:p w14:paraId="786EA9DF" w14:textId="77777777" w:rsidR="00E538A1" w:rsidRPr="00E538A1" w:rsidRDefault="00E538A1" w:rsidP="009D675B">
      <w:pPr>
        <w:pStyle w:val="Heading30"/>
        <w:numPr>
          <w:ilvl w:val="2"/>
          <w:numId w:val="102"/>
        </w:numPr>
        <w:tabs>
          <w:tab w:val="clear" w:pos="720"/>
          <w:tab w:val="num" w:pos="1702"/>
        </w:tabs>
        <w:ind w:left="1702" w:hanging="992"/>
      </w:pPr>
      <w:r w:rsidRPr="00E538A1">
        <w:t>Members will behave in an open and transparent manner, sharing issues, concerns, and innovative thinking.</w:t>
      </w:r>
    </w:p>
    <w:p w14:paraId="4877CA85" w14:textId="77777777" w:rsidR="00E538A1" w:rsidRPr="00E538A1" w:rsidRDefault="00E538A1" w:rsidP="009D675B">
      <w:pPr>
        <w:pStyle w:val="Heading30"/>
        <w:numPr>
          <w:ilvl w:val="2"/>
          <w:numId w:val="102"/>
        </w:numPr>
        <w:tabs>
          <w:tab w:val="clear" w:pos="720"/>
          <w:tab w:val="num" w:pos="1702"/>
        </w:tabs>
        <w:ind w:left="1702" w:hanging="992"/>
      </w:pPr>
      <w:r w:rsidRPr="00E538A1">
        <w:t>Members will communicate more than just the minimum required, using good judgement to share the full breadth of useful information that may be required.</w:t>
      </w:r>
    </w:p>
    <w:p w14:paraId="36A1298F" w14:textId="77777777" w:rsidR="00E538A1" w:rsidRPr="00E538A1" w:rsidRDefault="00E538A1" w:rsidP="009D675B">
      <w:pPr>
        <w:pStyle w:val="Heading30"/>
        <w:numPr>
          <w:ilvl w:val="2"/>
          <w:numId w:val="102"/>
        </w:numPr>
        <w:tabs>
          <w:tab w:val="clear" w:pos="720"/>
          <w:tab w:val="num" w:pos="1702"/>
        </w:tabs>
        <w:ind w:left="1702" w:hanging="992"/>
      </w:pPr>
      <w:r w:rsidRPr="00E538A1">
        <w:t xml:space="preserve">Members should take appropriate risks with open communication, building trust by finding out more about each other’s objectives, constraints, </w:t>
      </w:r>
      <w:proofErr w:type="gramStart"/>
      <w:r w:rsidRPr="00E538A1">
        <w:t>context</w:t>
      </w:r>
      <w:proofErr w:type="gramEnd"/>
      <w:r w:rsidRPr="00E538A1">
        <w:t xml:space="preserve"> and experiences.</w:t>
      </w:r>
    </w:p>
    <w:p w14:paraId="5FC4133C" w14:textId="77777777" w:rsidR="00E538A1" w:rsidRPr="00E538A1" w:rsidRDefault="00E538A1" w:rsidP="009D675B">
      <w:pPr>
        <w:pStyle w:val="Heading30"/>
        <w:numPr>
          <w:ilvl w:val="2"/>
          <w:numId w:val="102"/>
        </w:numPr>
        <w:tabs>
          <w:tab w:val="clear" w:pos="720"/>
          <w:tab w:val="num" w:pos="1702"/>
        </w:tabs>
        <w:ind w:left="1702" w:hanging="992"/>
      </w:pPr>
      <w:r w:rsidRPr="00E538A1">
        <w:lastRenderedPageBreak/>
        <w:t xml:space="preserve">Members will look to continuously improve the means and impact of their communication process, </w:t>
      </w:r>
      <w:proofErr w:type="gramStart"/>
      <w:r w:rsidRPr="00E538A1">
        <w:t>tooling</w:t>
      </w:r>
      <w:proofErr w:type="gramEnd"/>
      <w:r w:rsidRPr="00E538A1">
        <w:t xml:space="preserve"> and patterns, particularly considering the needs of remote team members.</w:t>
      </w:r>
      <w:bookmarkStart w:id="1646" w:name="_wflgpyb36qi0" w:colFirst="0" w:colLast="0"/>
      <w:bookmarkEnd w:id="1646"/>
    </w:p>
    <w:p w14:paraId="0022DF29" w14:textId="77777777" w:rsidR="00E538A1" w:rsidRPr="00E538A1" w:rsidRDefault="00E538A1" w:rsidP="009D675B">
      <w:pPr>
        <w:pStyle w:val="Heading2"/>
        <w:numPr>
          <w:ilvl w:val="1"/>
          <w:numId w:val="102"/>
        </w:numPr>
        <w:ind w:left="709" w:hanging="709"/>
        <w:rPr>
          <w:rFonts w:cs="Arial"/>
          <w:szCs w:val="20"/>
        </w:rPr>
      </w:pPr>
      <w:bookmarkStart w:id="1647" w:name="_Toc11140562"/>
      <w:r w:rsidRPr="00E538A1">
        <w:rPr>
          <w:rFonts w:cs="Arial"/>
          <w:szCs w:val="20"/>
        </w:rPr>
        <w:t>Collaboration and commitment to Partner Enablement</w:t>
      </w:r>
      <w:bookmarkEnd w:id="1647"/>
    </w:p>
    <w:p w14:paraId="54D7CCC2" w14:textId="77777777" w:rsidR="00E538A1" w:rsidRPr="00E538A1" w:rsidRDefault="00E538A1" w:rsidP="009D675B">
      <w:pPr>
        <w:pStyle w:val="Heading30"/>
        <w:numPr>
          <w:ilvl w:val="2"/>
          <w:numId w:val="102"/>
        </w:numPr>
        <w:tabs>
          <w:tab w:val="clear" w:pos="720"/>
          <w:tab w:val="num" w:pos="1702"/>
        </w:tabs>
        <w:ind w:left="1702" w:hanging="992"/>
      </w:pPr>
      <w:r w:rsidRPr="00E538A1">
        <w:t>Members will adopt a partnering approach, collaborating openly, transparently, and in a trusting manner to establish a healthy and productive work environment for all.</w:t>
      </w:r>
    </w:p>
    <w:p w14:paraId="75D71667" w14:textId="77777777" w:rsidR="00E538A1" w:rsidRPr="00E538A1" w:rsidRDefault="00E538A1" w:rsidP="009D675B">
      <w:pPr>
        <w:pStyle w:val="Heading30"/>
        <w:numPr>
          <w:ilvl w:val="2"/>
          <w:numId w:val="102"/>
        </w:numPr>
        <w:tabs>
          <w:tab w:val="clear" w:pos="720"/>
          <w:tab w:val="num" w:pos="1702"/>
        </w:tabs>
        <w:ind w:left="1702" w:hanging="992"/>
      </w:pPr>
      <w:r w:rsidRPr="00E538A1">
        <w:t>Members will take a remote-first approach, ensuring that all team members have access to the knowledge, and relationships to participate effectively.</w:t>
      </w:r>
    </w:p>
    <w:p w14:paraId="5783532B" w14:textId="77777777" w:rsidR="00E538A1" w:rsidRPr="00E538A1" w:rsidRDefault="00E538A1" w:rsidP="009D675B">
      <w:pPr>
        <w:pStyle w:val="Heading30"/>
        <w:numPr>
          <w:ilvl w:val="2"/>
          <w:numId w:val="102"/>
        </w:numPr>
        <w:tabs>
          <w:tab w:val="clear" w:pos="720"/>
          <w:tab w:val="num" w:pos="1702"/>
        </w:tabs>
        <w:ind w:left="1702" w:hanging="992"/>
      </w:pPr>
      <w:r w:rsidRPr="00E538A1">
        <w:t>Members will share knowledge in ways of working in a constructive, supportive way with a commitment to enable and upskill the Customer such that they adopt appropriate ways of working sustainably.</w:t>
      </w:r>
    </w:p>
    <w:p w14:paraId="641A8C3C" w14:textId="77777777" w:rsidR="00E538A1" w:rsidRPr="00E538A1" w:rsidRDefault="00E538A1" w:rsidP="009D675B">
      <w:pPr>
        <w:pStyle w:val="Heading1"/>
        <w:numPr>
          <w:ilvl w:val="0"/>
          <w:numId w:val="102"/>
        </w:numPr>
        <w:ind w:left="709" w:hanging="709"/>
        <w:rPr>
          <w:rFonts w:cs="Arial"/>
          <w:szCs w:val="20"/>
        </w:rPr>
      </w:pPr>
      <w:bookmarkStart w:id="1648" w:name="_p6tw3e27h8xv" w:colFirst="0" w:colLast="0"/>
      <w:bookmarkStart w:id="1649" w:name="_q2drggta7dc" w:colFirst="0" w:colLast="0"/>
      <w:bookmarkEnd w:id="1648"/>
      <w:bookmarkEnd w:id="1649"/>
      <w:r w:rsidRPr="00E538A1">
        <w:rPr>
          <w:rFonts w:cs="Arial"/>
          <w:szCs w:val="20"/>
        </w:rPr>
        <w:t>Technical Design</w:t>
      </w:r>
    </w:p>
    <w:p w14:paraId="6982BE0C"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 xml:space="preserve">Architectural Guidelines </w:t>
      </w:r>
    </w:p>
    <w:p w14:paraId="57C1D3E9" w14:textId="77777777" w:rsidR="00E538A1" w:rsidRPr="00E538A1" w:rsidRDefault="00E538A1" w:rsidP="00E538A1">
      <w:pPr>
        <w:pStyle w:val="BodyText1"/>
        <w:rPr>
          <w:rFonts w:cs="Arial"/>
          <w:szCs w:val="20"/>
        </w:rPr>
      </w:pPr>
      <w:r w:rsidRPr="00E538A1">
        <w:rPr>
          <w:rFonts w:cs="Arial"/>
          <w:szCs w:val="20"/>
        </w:rPr>
        <w:t xml:space="preserve">Each Consortium Member will adhere to the following guidelines in technical design which shall be considered a Member Behaviour: </w:t>
      </w:r>
    </w:p>
    <w:p w14:paraId="41EB6DA8" w14:textId="77777777" w:rsidR="00E538A1" w:rsidRPr="00E538A1" w:rsidRDefault="00E538A1" w:rsidP="009D675B">
      <w:pPr>
        <w:pStyle w:val="Heading30"/>
        <w:numPr>
          <w:ilvl w:val="2"/>
          <w:numId w:val="102"/>
        </w:numPr>
        <w:tabs>
          <w:tab w:val="clear" w:pos="720"/>
          <w:tab w:val="num" w:pos="1702"/>
        </w:tabs>
        <w:ind w:left="1702" w:hanging="992"/>
        <w:rPr>
          <w:b/>
        </w:rPr>
      </w:pPr>
      <w:r w:rsidRPr="00E538A1">
        <w:rPr>
          <w:b/>
        </w:rPr>
        <w:t xml:space="preserve">Business led: </w:t>
      </w:r>
      <w:r w:rsidRPr="00E538A1">
        <w:t>All software and technology must be aligned to the NRT DC reference architecture and objectives Consortium Members need to understand the opportunity before we design solutions. </w:t>
      </w:r>
    </w:p>
    <w:p w14:paraId="7FDAA1F7" w14:textId="77777777" w:rsidR="00E538A1" w:rsidRPr="00E538A1" w:rsidRDefault="00E538A1" w:rsidP="009D675B">
      <w:pPr>
        <w:pStyle w:val="Heading30"/>
        <w:numPr>
          <w:ilvl w:val="2"/>
          <w:numId w:val="102"/>
        </w:numPr>
        <w:tabs>
          <w:tab w:val="clear" w:pos="720"/>
          <w:tab w:val="num" w:pos="1702"/>
        </w:tabs>
        <w:ind w:left="1702" w:hanging="992"/>
        <w:rPr>
          <w:b/>
        </w:rPr>
      </w:pPr>
      <w:r w:rsidRPr="00E538A1">
        <w:rPr>
          <w:b/>
        </w:rPr>
        <w:t>Evergreen: </w:t>
      </w:r>
      <w:r w:rsidRPr="00E538A1">
        <w:t>Consortium Members will consider the full lifecycle of our solutions, and plan for regular maintenance during run. </w:t>
      </w:r>
    </w:p>
    <w:p w14:paraId="01847C11" w14:textId="4EE7B81B" w:rsidR="00E538A1" w:rsidRPr="00E538A1" w:rsidRDefault="00E538A1" w:rsidP="009D675B">
      <w:pPr>
        <w:pStyle w:val="Heading30"/>
        <w:numPr>
          <w:ilvl w:val="2"/>
          <w:numId w:val="102"/>
        </w:numPr>
        <w:tabs>
          <w:tab w:val="clear" w:pos="720"/>
          <w:tab w:val="num" w:pos="1702"/>
        </w:tabs>
        <w:ind w:left="1702" w:hanging="992"/>
        <w:rPr>
          <w:b/>
        </w:rPr>
      </w:pPr>
      <w:r w:rsidRPr="00E538A1">
        <w:rPr>
          <w:b/>
        </w:rPr>
        <w:t>Secure &amp; Compliant:</w:t>
      </w:r>
      <w:r w:rsidR="000D476B">
        <w:rPr>
          <w:b/>
        </w:rPr>
        <w:t xml:space="preserve"> </w:t>
      </w:r>
      <w:r w:rsidRPr="00E538A1">
        <w:t>Information's integrity, availability, confidentiality, and authenticity is protected. Security traceability includes proper inception and application of the auditing system and monitoring tools. Consortium Members will remain compliant to relevant regulations and laws. </w:t>
      </w:r>
    </w:p>
    <w:p w14:paraId="52984B0D" w14:textId="77777777" w:rsidR="00E538A1" w:rsidRPr="00E538A1" w:rsidRDefault="00E538A1" w:rsidP="009D675B">
      <w:pPr>
        <w:pStyle w:val="Heading30"/>
        <w:numPr>
          <w:ilvl w:val="2"/>
          <w:numId w:val="102"/>
        </w:numPr>
        <w:tabs>
          <w:tab w:val="clear" w:pos="720"/>
          <w:tab w:val="num" w:pos="1702"/>
        </w:tabs>
        <w:ind w:left="1702" w:hanging="992"/>
        <w:rPr>
          <w:b/>
        </w:rPr>
      </w:pPr>
      <w:r w:rsidRPr="00E538A1">
        <w:rPr>
          <w:b/>
        </w:rPr>
        <w:t xml:space="preserve">Unsurprising: </w:t>
      </w:r>
      <w:r w:rsidRPr="00E538A1">
        <w:t>Platforms will be used for what they are designed to be used for, naming should reflect functionality, architecture should follow industry standards.</w:t>
      </w:r>
    </w:p>
    <w:p w14:paraId="37841860"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Technical Design Authority</w:t>
      </w:r>
    </w:p>
    <w:p w14:paraId="61A7FA55" w14:textId="40A9BF81" w:rsidR="00E538A1" w:rsidRPr="00E538A1" w:rsidRDefault="00E538A1" w:rsidP="009D675B">
      <w:pPr>
        <w:pStyle w:val="Heading30"/>
        <w:numPr>
          <w:ilvl w:val="2"/>
          <w:numId w:val="102"/>
        </w:numPr>
        <w:tabs>
          <w:tab w:val="clear" w:pos="720"/>
          <w:tab w:val="num" w:pos="1702"/>
        </w:tabs>
        <w:ind w:left="1702" w:hanging="992"/>
      </w:pPr>
      <w:r w:rsidRPr="00E538A1">
        <w:t xml:space="preserve">The Members will act as a Technical Design Authority (TDA) to work alongside </w:t>
      </w:r>
      <w:r w:rsidR="000D476B">
        <w:t>t</w:t>
      </w:r>
      <w:r w:rsidRPr="00E538A1">
        <w:t xml:space="preserve">he Customer's Architects as and when required, to give assurance that technical design decisions are made </w:t>
      </w:r>
      <w:proofErr w:type="gramStart"/>
      <w:r w:rsidRPr="00E538A1">
        <w:t>effectively, and</w:t>
      </w:r>
      <w:proofErr w:type="gramEnd"/>
      <w:r w:rsidRPr="00E538A1">
        <w:t xml:space="preserve"> help ensure those decisions are managed consistently across the programme. The key people involved in the TDA could be part-time resources, SMEs or Member tech resources embedded throughout the wider teams. </w:t>
      </w:r>
    </w:p>
    <w:p w14:paraId="043B7875" w14:textId="77777777" w:rsidR="00E538A1" w:rsidRPr="00E538A1" w:rsidRDefault="00E538A1" w:rsidP="00E538A1">
      <w:pPr>
        <w:pStyle w:val="BodyText1"/>
        <w:rPr>
          <w:rFonts w:cs="Arial"/>
          <w:szCs w:val="20"/>
        </w:rPr>
      </w:pPr>
      <w:r w:rsidRPr="00E538A1">
        <w:rPr>
          <w:rFonts w:cs="Arial"/>
          <w:szCs w:val="20"/>
        </w:rPr>
        <w:t>The key benefits of the TDA are:</w:t>
      </w:r>
    </w:p>
    <w:p w14:paraId="7888D15B" w14:textId="77777777" w:rsidR="00E538A1" w:rsidRPr="00E538A1" w:rsidRDefault="00E538A1" w:rsidP="009D675B">
      <w:pPr>
        <w:pStyle w:val="BodyText1"/>
        <w:numPr>
          <w:ilvl w:val="0"/>
          <w:numId w:val="128"/>
        </w:numPr>
        <w:spacing w:line="276" w:lineRule="auto"/>
        <w:jc w:val="left"/>
        <w:rPr>
          <w:rFonts w:eastAsia="Gill Sans" w:cs="Arial"/>
          <w:szCs w:val="20"/>
        </w:rPr>
      </w:pPr>
      <w:r w:rsidRPr="00E538A1">
        <w:rPr>
          <w:rFonts w:cs="Arial"/>
          <w:szCs w:val="20"/>
        </w:rPr>
        <w:t xml:space="preserve">Act as a sounding board to help validate architectural </w:t>
      </w:r>
      <w:proofErr w:type="gramStart"/>
      <w:r w:rsidRPr="00E538A1">
        <w:rPr>
          <w:rFonts w:cs="Arial"/>
          <w:szCs w:val="20"/>
        </w:rPr>
        <w:t>decisions</w:t>
      </w:r>
      <w:proofErr w:type="gramEnd"/>
    </w:p>
    <w:p w14:paraId="33D47A62" w14:textId="77777777" w:rsidR="00E538A1" w:rsidRPr="00E538A1" w:rsidRDefault="00E538A1" w:rsidP="009D675B">
      <w:pPr>
        <w:pStyle w:val="BodyText1"/>
        <w:numPr>
          <w:ilvl w:val="0"/>
          <w:numId w:val="128"/>
        </w:numPr>
        <w:spacing w:line="276" w:lineRule="auto"/>
        <w:jc w:val="left"/>
        <w:rPr>
          <w:rFonts w:eastAsia="Gill Sans" w:cs="Arial"/>
          <w:szCs w:val="20"/>
        </w:rPr>
      </w:pPr>
      <w:r w:rsidRPr="00E538A1">
        <w:rPr>
          <w:rFonts w:cs="Arial"/>
          <w:szCs w:val="20"/>
        </w:rPr>
        <w:t xml:space="preserve">Bring external insight and lessons </w:t>
      </w:r>
      <w:proofErr w:type="gramStart"/>
      <w:r w:rsidRPr="00E538A1">
        <w:rPr>
          <w:rFonts w:cs="Arial"/>
          <w:szCs w:val="20"/>
        </w:rPr>
        <w:t>learned</w:t>
      </w:r>
      <w:proofErr w:type="gramEnd"/>
      <w:r w:rsidRPr="00E538A1">
        <w:rPr>
          <w:rFonts w:cs="Arial"/>
          <w:szCs w:val="20"/>
        </w:rPr>
        <w:t xml:space="preserve"> </w:t>
      </w:r>
    </w:p>
    <w:p w14:paraId="7967D1D9" w14:textId="77777777" w:rsidR="00E538A1" w:rsidRPr="00E538A1" w:rsidRDefault="00E538A1" w:rsidP="009D675B">
      <w:pPr>
        <w:pStyle w:val="BodyText1"/>
        <w:numPr>
          <w:ilvl w:val="0"/>
          <w:numId w:val="128"/>
        </w:numPr>
        <w:spacing w:line="276" w:lineRule="auto"/>
        <w:jc w:val="left"/>
        <w:rPr>
          <w:rFonts w:eastAsia="Gill Sans" w:cs="Arial"/>
          <w:szCs w:val="20"/>
        </w:rPr>
      </w:pPr>
      <w:r w:rsidRPr="00E538A1">
        <w:rPr>
          <w:rFonts w:cs="Arial"/>
          <w:szCs w:val="20"/>
        </w:rPr>
        <w:t xml:space="preserve">Help ensure architectural decisions are communicated effectively across business stakeholders and </w:t>
      </w:r>
      <w:proofErr w:type="gramStart"/>
      <w:r w:rsidRPr="00E538A1">
        <w:rPr>
          <w:rFonts w:cs="Arial"/>
          <w:szCs w:val="20"/>
        </w:rPr>
        <w:t>teams</w:t>
      </w:r>
      <w:proofErr w:type="gramEnd"/>
    </w:p>
    <w:p w14:paraId="1EEA6047" w14:textId="77777777" w:rsidR="00E538A1" w:rsidRPr="00E538A1" w:rsidRDefault="00E538A1" w:rsidP="009D675B">
      <w:pPr>
        <w:pStyle w:val="BodyText1"/>
        <w:numPr>
          <w:ilvl w:val="0"/>
          <w:numId w:val="128"/>
        </w:numPr>
        <w:spacing w:line="276" w:lineRule="auto"/>
        <w:jc w:val="left"/>
        <w:rPr>
          <w:rFonts w:eastAsia="Gill Sans" w:cs="Arial"/>
          <w:szCs w:val="20"/>
        </w:rPr>
      </w:pPr>
      <w:r w:rsidRPr="00E538A1">
        <w:rPr>
          <w:rFonts w:cs="Arial"/>
          <w:szCs w:val="20"/>
        </w:rPr>
        <w:t xml:space="preserve">Help align architectural decisions with principles and engineering best practices, to be able to drive key business </w:t>
      </w:r>
      <w:proofErr w:type="gramStart"/>
      <w:r w:rsidRPr="00E538A1">
        <w:rPr>
          <w:rFonts w:cs="Arial"/>
          <w:szCs w:val="20"/>
        </w:rPr>
        <w:t>outcomes</w:t>
      </w:r>
      <w:proofErr w:type="gramEnd"/>
    </w:p>
    <w:p w14:paraId="207C53BE" w14:textId="77777777" w:rsidR="00E538A1" w:rsidRPr="00E538A1" w:rsidRDefault="00E538A1" w:rsidP="009D675B">
      <w:pPr>
        <w:pStyle w:val="BodyText1"/>
        <w:numPr>
          <w:ilvl w:val="0"/>
          <w:numId w:val="128"/>
        </w:numPr>
        <w:spacing w:line="276" w:lineRule="auto"/>
        <w:jc w:val="left"/>
        <w:rPr>
          <w:rFonts w:eastAsia="Gill Sans" w:cs="Arial"/>
          <w:szCs w:val="20"/>
        </w:rPr>
      </w:pPr>
      <w:r w:rsidRPr="00E538A1">
        <w:rPr>
          <w:rFonts w:cs="Arial"/>
          <w:szCs w:val="20"/>
        </w:rPr>
        <w:t xml:space="preserve">Build </w:t>
      </w:r>
      <w:proofErr w:type="gramStart"/>
      <w:r w:rsidRPr="00E538A1">
        <w:rPr>
          <w:rFonts w:cs="Arial"/>
          <w:szCs w:val="20"/>
        </w:rPr>
        <w:t>consistency</w:t>
      </w:r>
      <w:proofErr w:type="gramEnd"/>
    </w:p>
    <w:p w14:paraId="5CA57298" w14:textId="77777777" w:rsidR="00E538A1" w:rsidRPr="00E538A1" w:rsidRDefault="00E538A1" w:rsidP="009D675B">
      <w:pPr>
        <w:pStyle w:val="Heading2"/>
        <w:numPr>
          <w:ilvl w:val="1"/>
          <w:numId w:val="102"/>
        </w:numPr>
        <w:ind w:left="709" w:hanging="709"/>
        <w:rPr>
          <w:rFonts w:cs="Arial"/>
          <w:szCs w:val="20"/>
        </w:rPr>
      </w:pPr>
      <w:r w:rsidRPr="00E538A1">
        <w:rPr>
          <w:rFonts w:cs="Arial"/>
          <w:szCs w:val="20"/>
        </w:rPr>
        <w:t>Performance and Commercial Management</w:t>
      </w:r>
    </w:p>
    <w:p w14:paraId="522A1180" w14:textId="77777777" w:rsidR="00E538A1" w:rsidRPr="00E538A1" w:rsidRDefault="00E538A1" w:rsidP="009D675B">
      <w:pPr>
        <w:pStyle w:val="Heading30"/>
        <w:numPr>
          <w:ilvl w:val="2"/>
          <w:numId w:val="102"/>
        </w:numPr>
        <w:tabs>
          <w:tab w:val="clear" w:pos="720"/>
          <w:tab w:val="num" w:pos="1702"/>
        </w:tabs>
        <w:ind w:left="1702" w:hanging="992"/>
      </w:pPr>
      <w:bookmarkStart w:id="1650" w:name="_Toc11140582"/>
      <w:r w:rsidRPr="00E538A1">
        <w:rPr>
          <w:b/>
        </w:rPr>
        <w:lastRenderedPageBreak/>
        <w:t>Overview</w:t>
      </w:r>
      <w:bookmarkEnd w:id="1650"/>
      <w:r w:rsidRPr="00E538A1">
        <w:rPr>
          <w:b/>
        </w:rPr>
        <w:t>:</w:t>
      </w:r>
      <w:r w:rsidRPr="00E538A1">
        <w:t xml:space="preserve"> The Consortium Performance &amp; Commercial Management approach is designed to be:</w:t>
      </w:r>
    </w:p>
    <w:p w14:paraId="32EE4500" w14:textId="77777777" w:rsidR="00E538A1" w:rsidRPr="00E538A1" w:rsidRDefault="00E538A1" w:rsidP="009D675B">
      <w:pPr>
        <w:pStyle w:val="BodyText1"/>
        <w:numPr>
          <w:ilvl w:val="0"/>
          <w:numId w:val="129"/>
        </w:numPr>
        <w:spacing w:line="276" w:lineRule="auto"/>
        <w:rPr>
          <w:rFonts w:cs="Arial"/>
          <w:szCs w:val="20"/>
        </w:rPr>
      </w:pPr>
      <w:r w:rsidRPr="00E538A1">
        <w:rPr>
          <w:rFonts w:cs="Arial"/>
          <w:szCs w:val="20"/>
        </w:rPr>
        <w:t>Effective in delivering performance in line with the Consortium Objectives</w:t>
      </w:r>
    </w:p>
    <w:p w14:paraId="79D9E13F" w14:textId="77777777" w:rsidR="00E538A1" w:rsidRPr="00E538A1" w:rsidRDefault="00E538A1" w:rsidP="009D675B">
      <w:pPr>
        <w:pStyle w:val="BodyText1"/>
        <w:numPr>
          <w:ilvl w:val="0"/>
          <w:numId w:val="129"/>
        </w:numPr>
        <w:spacing w:line="276" w:lineRule="auto"/>
        <w:rPr>
          <w:rFonts w:cs="Arial"/>
          <w:szCs w:val="20"/>
        </w:rPr>
      </w:pPr>
      <w:r w:rsidRPr="00E538A1">
        <w:rPr>
          <w:rFonts w:cs="Arial"/>
          <w:szCs w:val="20"/>
        </w:rPr>
        <w:t>Effective in supporting the expected Consortium Culture &amp; Behaviours</w:t>
      </w:r>
    </w:p>
    <w:p w14:paraId="36A31C55" w14:textId="77777777" w:rsidR="00E538A1" w:rsidRPr="00E538A1" w:rsidRDefault="00E538A1" w:rsidP="009D675B">
      <w:pPr>
        <w:pStyle w:val="BodyText1"/>
        <w:numPr>
          <w:ilvl w:val="0"/>
          <w:numId w:val="129"/>
        </w:numPr>
        <w:spacing w:line="276" w:lineRule="auto"/>
        <w:rPr>
          <w:rFonts w:cs="Arial"/>
          <w:szCs w:val="20"/>
        </w:rPr>
      </w:pPr>
      <w:r w:rsidRPr="00E538A1">
        <w:rPr>
          <w:rFonts w:cs="Arial"/>
          <w:szCs w:val="20"/>
        </w:rPr>
        <w:t xml:space="preserve">Straightforward and simple to </w:t>
      </w:r>
      <w:proofErr w:type="gramStart"/>
      <w:r w:rsidRPr="00E538A1">
        <w:rPr>
          <w:rFonts w:cs="Arial"/>
          <w:szCs w:val="20"/>
        </w:rPr>
        <w:t>operate</w:t>
      </w:r>
      <w:proofErr w:type="gramEnd"/>
    </w:p>
    <w:p w14:paraId="2A82B8D4" w14:textId="77777777" w:rsidR="00E538A1" w:rsidRPr="00E538A1" w:rsidRDefault="00E538A1" w:rsidP="009D675B">
      <w:pPr>
        <w:pStyle w:val="Heading2"/>
        <w:numPr>
          <w:ilvl w:val="1"/>
          <w:numId w:val="102"/>
        </w:numPr>
        <w:ind w:left="709" w:hanging="709"/>
        <w:rPr>
          <w:rFonts w:cs="Arial"/>
          <w:szCs w:val="20"/>
        </w:rPr>
      </w:pPr>
      <w:bookmarkStart w:id="1651" w:name="_o7uinvn30y7" w:colFirst="0" w:colLast="0"/>
      <w:bookmarkStart w:id="1652" w:name="_Toc11140583"/>
      <w:bookmarkEnd w:id="1651"/>
      <w:r w:rsidRPr="00E538A1">
        <w:rPr>
          <w:rFonts w:cs="Arial"/>
          <w:szCs w:val="20"/>
        </w:rPr>
        <w:t>Approach to Performance Management</w:t>
      </w:r>
      <w:bookmarkEnd w:id="1652"/>
    </w:p>
    <w:p w14:paraId="73F96F95" w14:textId="77777777" w:rsidR="00E538A1" w:rsidRPr="00E538A1" w:rsidRDefault="00E538A1" w:rsidP="009D675B">
      <w:pPr>
        <w:pStyle w:val="Heading30"/>
        <w:numPr>
          <w:ilvl w:val="2"/>
          <w:numId w:val="102"/>
        </w:numPr>
        <w:tabs>
          <w:tab w:val="clear" w:pos="720"/>
          <w:tab w:val="num" w:pos="1702"/>
        </w:tabs>
        <w:ind w:left="1702" w:hanging="992"/>
      </w:pPr>
      <w:r w:rsidRPr="00E538A1">
        <w:rPr>
          <w:rFonts w:eastAsia="Arial"/>
        </w:rPr>
        <w:t>The over-arching principles shaping this approach to performance management are:</w:t>
      </w:r>
    </w:p>
    <w:p w14:paraId="433AADC6" w14:textId="4E05D007" w:rsidR="00E538A1" w:rsidRPr="00E538A1" w:rsidRDefault="00E538A1" w:rsidP="009D675B">
      <w:pPr>
        <w:pStyle w:val="BodyText1"/>
        <w:numPr>
          <w:ilvl w:val="0"/>
          <w:numId w:val="130"/>
        </w:numPr>
        <w:spacing w:line="276" w:lineRule="auto"/>
        <w:rPr>
          <w:rFonts w:cs="Arial"/>
          <w:szCs w:val="20"/>
        </w:rPr>
      </w:pPr>
      <w:r w:rsidRPr="00E538A1">
        <w:rPr>
          <w:rFonts w:eastAsia="Arial" w:cs="Arial"/>
          <w:b/>
          <w:szCs w:val="20"/>
        </w:rPr>
        <w:t>Aligning objectives betw</w:t>
      </w:r>
      <w:r w:rsidR="000D476B">
        <w:rPr>
          <w:rFonts w:eastAsia="Arial" w:cs="Arial"/>
          <w:b/>
          <w:szCs w:val="20"/>
        </w:rPr>
        <w:t>ee</w:t>
      </w:r>
      <w:r w:rsidRPr="00E538A1">
        <w:rPr>
          <w:rFonts w:eastAsia="Arial" w:cs="Arial"/>
          <w:b/>
          <w:szCs w:val="20"/>
        </w:rPr>
        <w:t>n parties</w:t>
      </w:r>
      <w:r w:rsidRPr="00E538A1">
        <w:rPr>
          <w:rFonts w:eastAsia="Arial" w:cs="Arial"/>
          <w:szCs w:val="20"/>
        </w:rPr>
        <w:t xml:space="preserve"> - so it is in everyone’s interests for suppliers to perform well, and to be rewarded for performing </w:t>
      </w:r>
      <w:proofErr w:type="gramStart"/>
      <w:r w:rsidRPr="00E538A1">
        <w:rPr>
          <w:rFonts w:eastAsia="Arial" w:cs="Arial"/>
          <w:szCs w:val="20"/>
        </w:rPr>
        <w:t>well</w:t>
      </w:r>
      <w:proofErr w:type="gramEnd"/>
    </w:p>
    <w:p w14:paraId="3D296E81" w14:textId="3BABC7F0" w:rsidR="00E538A1" w:rsidRPr="00E538A1" w:rsidRDefault="00E538A1" w:rsidP="009D675B">
      <w:pPr>
        <w:pStyle w:val="BodyText1"/>
        <w:numPr>
          <w:ilvl w:val="0"/>
          <w:numId w:val="130"/>
        </w:numPr>
        <w:spacing w:line="276" w:lineRule="auto"/>
        <w:rPr>
          <w:rFonts w:cs="Arial"/>
          <w:szCs w:val="20"/>
        </w:rPr>
      </w:pPr>
      <w:r w:rsidRPr="00E538A1">
        <w:rPr>
          <w:rFonts w:eastAsia="Arial" w:cs="Arial"/>
          <w:b/>
          <w:szCs w:val="20"/>
        </w:rPr>
        <w:t xml:space="preserve">Enabling and supporting the desired culture for teams to </w:t>
      </w:r>
      <w:r w:rsidR="000D476B">
        <w:rPr>
          <w:rFonts w:eastAsia="Arial" w:cs="Arial"/>
          <w:b/>
          <w:szCs w:val="20"/>
        </w:rPr>
        <w:t>w</w:t>
      </w:r>
      <w:r w:rsidRPr="00E538A1">
        <w:rPr>
          <w:rFonts w:eastAsia="Arial" w:cs="Arial"/>
          <w:b/>
          <w:szCs w:val="20"/>
        </w:rPr>
        <w:t>ork within</w:t>
      </w:r>
      <w:r w:rsidRPr="00E538A1">
        <w:rPr>
          <w:rFonts w:eastAsia="Arial" w:cs="Arial"/>
          <w:szCs w:val="20"/>
        </w:rPr>
        <w:t xml:space="preserve"> - to avoid distorting behaviours to achieve unnecessary </w:t>
      </w:r>
      <w:proofErr w:type="gramStart"/>
      <w:r w:rsidRPr="00E538A1">
        <w:rPr>
          <w:rFonts w:eastAsia="Arial" w:cs="Arial"/>
          <w:szCs w:val="20"/>
        </w:rPr>
        <w:t>targets</w:t>
      </w:r>
      <w:proofErr w:type="gramEnd"/>
    </w:p>
    <w:p w14:paraId="79812214" w14:textId="60AB1DED" w:rsidR="00E538A1" w:rsidRPr="00E538A1" w:rsidRDefault="00E538A1" w:rsidP="009D675B">
      <w:pPr>
        <w:pStyle w:val="BodyText1"/>
        <w:numPr>
          <w:ilvl w:val="0"/>
          <w:numId w:val="130"/>
        </w:numPr>
        <w:spacing w:line="276" w:lineRule="auto"/>
        <w:rPr>
          <w:rFonts w:cs="Arial"/>
          <w:szCs w:val="20"/>
        </w:rPr>
      </w:pPr>
      <w:r w:rsidRPr="00E538A1">
        <w:rPr>
          <w:rFonts w:eastAsia="Arial" w:cs="Arial"/>
          <w:b/>
          <w:szCs w:val="20"/>
        </w:rPr>
        <w:t xml:space="preserve">Simplicity and ease of </w:t>
      </w:r>
      <w:r w:rsidR="00F419A2">
        <w:rPr>
          <w:rFonts w:eastAsia="Arial" w:cs="Arial"/>
          <w:b/>
          <w:szCs w:val="20"/>
        </w:rPr>
        <w:t>a</w:t>
      </w:r>
      <w:r w:rsidRPr="00E538A1">
        <w:rPr>
          <w:rFonts w:eastAsia="Arial" w:cs="Arial"/>
          <w:b/>
          <w:szCs w:val="20"/>
        </w:rPr>
        <w:t>pplication</w:t>
      </w:r>
      <w:r w:rsidRPr="00E538A1">
        <w:rPr>
          <w:rFonts w:eastAsia="Arial" w:cs="Arial"/>
          <w:szCs w:val="20"/>
        </w:rPr>
        <w:t xml:space="preserve"> - so that we use available data and reports from existing systems and processes, and don’t create more </w:t>
      </w:r>
      <w:proofErr w:type="gramStart"/>
      <w:r w:rsidRPr="00E538A1">
        <w:rPr>
          <w:rFonts w:eastAsia="Arial" w:cs="Arial"/>
          <w:szCs w:val="20"/>
        </w:rPr>
        <w:t>work</w:t>
      </w:r>
      <w:proofErr w:type="gramEnd"/>
    </w:p>
    <w:p w14:paraId="6A054396" w14:textId="77777777" w:rsidR="00E538A1" w:rsidRPr="00E538A1" w:rsidRDefault="00E538A1" w:rsidP="009D675B">
      <w:pPr>
        <w:pStyle w:val="Heading2"/>
        <w:numPr>
          <w:ilvl w:val="1"/>
          <w:numId w:val="102"/>
        </w:numPr>
        <w:ind w:left="709" w:hanging="709"/>
        <w:rPr>
          <w:rFonts w:cs="Arial"/>
          <w:szCs w:val="20"/>
        </w:rPr>
      </w:pPr>
      <w:bookmarkStart w:id="1653" w:name="_Toc11140584"/>
      <w:r w:rsidRPr="00E538A1">
        <w:rPr>
          <w:rFonts w:cs="Arial"/>
          <w:szCs w:val="20"/>
        </w:rPr>
        <w:t>Measures</w:t>
      </w:r>
      <w:bookmarkEnd w:id="1653"/>
    </w:p>
    <w:p w14:paraId="66FEC81A" w14:textId="77777777" w:rsidR="00E538A1" w:rsidRPr="00E538A1" w:rsidRDefault="00E538A1" w:rsidP="009D675B">
      <w:pPr>
        <w:pStyle w:val="Heading30"/>
        <w:numPr>
          <w:ilvl w:val="2"/>
          <w:numId w:val="102"/>
        </w:numPr>
        <w:tabs>
          <w:tab w:val="clear" w:pos="720"/>
          <w:tab w:val="num" w:pos="1702"/>
        </w:tabs>
        <w:ind w:left="1702" w:hanging="992"/>
      </w:pPr>
      <w:r w:rsidRPr="00E538A1">
        <w:t xml:space="preserve">Consortium-level measures will reflect the business objectives of the Consortium overall.  As these priorities will evolve over the lifetime of the consortium, these measures will be determined on a quarterly basis, from a set of potential measures, as part of a balanced scorecard.  As the measures are agreed, the Consortium Members, with a </w:t>
      </w:r>
      <w:proofErr w:type="gramStart"/>
      <w:r w:rsidRPr="00E538A1">
        <w:t>Customer</w:t>
      </w:r>
      <w:proofErr w:type="gramEnd"/>
      <w:r w:rsidRPr="00E538A1">
        <w:t xml:space="preserve"> representative, will make sure that they can be captured, tracked and reported against.</w:t>
      </w:r>
    </w:p>
    <w:p w14:paraId="574F7BE3" w14:textId="77777777" w:rsidR="00E538A1" w:rsidRPr="00E538A1" w:rsidRDefault="00E538A1" w:rsidP="009D675B">
      <w:pPr>
        <w:pStyle w:val="Heading30"/>
        <w:numPr>
          <w:ilvl w:val="2"/>
          <w:numId w:val="102"/>
        </w:numPr>
        <w:tabs>
          <w:tab w:val="clear" w:pos="720"/>
          <w:tab w:val="num" w:pos="1702"/>
        </w:tabs>
        <w:ind w:left="1702" w:hanging="992"/>
      </w:pPr>
      <w:r w:rsidRPr="00E538A1">
        <w:t xml:space="preserve">Individual measures will be agreed between Delivery Leads and team </w:t>
      </w:r>
      <w:proofErr w:type="gramStart"/>
      <w:r w:rsidRPr="00E538A1">
        <w:t>members, and</w:t>
      </w:r>
      <w:proofErr w:type="gramEnd"/>
      <w:r w:rsidRPr="00E538A1">
        <w:t xml:space="preserve"> will be agreed and reviewed on a regular basis, TBD by individual teams.</w:t>
      </w:r>
    </w:p>
    <w:p w14:paraId="1F50A9A1" w14:textId="77777777" w:rsidR="00E538A1" w:rsidRPr="00E538A1" w:rsidRDefault="00E538A1" w:rsidP="009D675B">
      <w:pPr>
        <w:pStyle w:val="Heading2"/>
        <w:numPr>
          <w:ilvl w:val="1"/>
          <w:numId w:val="102"/>
        </w:numPr>
        <w:ind w:left="709" w:hanging="709"/>
        <w:rPr>
          <w:rFonts w:cs="Arial"/>
          <w:szCs w:val="20"/>
        </w:rPr>
      </w:pPr>
      <w:bookmarkStart w:id="1654" w:name="_Toc11140585"/>
      <w:r w:rsidRPr="00E538A1">
        <w:rPr>
          <w:rFonts w:cs="Arial"/>
          <w:szCs w:val="20"/>
        </w:rPr>
        <w:t>Consortium-level Objectives</w:t>
      </w:r>
      <w:bookmarkEnd w:id="1654"/>
    </w:p>
    <w:p w14:paraId="74884A1F" w14:textId="77777777" w:rsidR="00E538A1" w:rsidRPr="00E538A1" w:rsidRDefault="00E538A1" w:rsidP="009D675B">
      <w:pPr>
        <w:pStyle w:val="Heading30"/>
        <w:numPr>
          <w:ilvl w:val="2"/>
          <w:numId w:val="102"/>
        </w:numPr>
        <w:tabs>
          <w:tab w:val="clear" w:pos="720"/>
          <w:tab w:val="num" w:pos="1702"/>
        </w:tabs>
        <w:ind w:left="1702" w:hanging="992"/>
        <w:rPr>
          <w:b/>
          <w:bCs w:val="0"/>
        </w:rPr>
      </w:pPr>
      <w:r w:rsidRPr="00E538A1">
        <w:t xml:space="preserve">Any objectives set by the Customer will support the over-arching business objectives. These, along with other potential additional measures will be determined and then assessed quarterly, at the Senior Leadership Team meetings, using a balanced scorecard </w:t>
      </w:r>
      <w:r w:rsidRPr="00E538A1">
        <w:rPr>
          <w:b/>
          <w:bCs w:val="0"/>
          <w:highlight w:val="yellow"/>
        </w:rPr>
        <w:t>[Note to Bidders: balanced scorecard to be inserted before signature]</w:t>
      </w:r>
    </w:p>
    <w:p w14:paraId="2B906FCA" w14:textId="0471764C" w:rsidR="00E538A1" w:rsidRPr="00E538A1" w:rsidRDefault="00E538A1" w:rsidP="009D675B">
      <w:pPr>
        <w:pStyle w:val="Heading2"/>
        <w:numPr>
          <w:ilvl w:val="1"/>
          <w:numId w:val="102"/>
        </w:numPr>
        <w:ind w:left="709" w:hanging="709"/>
        <w:rPr>
          <w:rFonts w:eastAsia="Gill Sans" w:cs="Arial"/>
          <w:szCs w:val="20"/>
        </w:rPr>
      </w:pPr>
      <w:r w:rsidRPr="00E538A1">
        <w:rPr>
          <w:rFonts w:eastAsia="Gill Sans" w:cs="Arial"/>
          <w:szCs w:val="20"/>
        </w:rPr>
        <w:t xml:space="preserve">Consortium-level and </w:t>
      </w:r>
      <w:r w:rsidR="00F419A2">
        <w:rPr>
          <w:rFonts w:eastAsia="Gill Sans" w:cs="Arial"/>
          <w:szCs w:val="20"/>
        </w:rPr>
        <w:t>accountabilities</w:t>
      </w:r>
    </w:p>
    <w:p w14:paraId="5F1D5AD8" w14:textId="0FD3E282" w:rsidR="00E538A1" w:rsidRPr="00E538A1" w:rsidRDefault="00E538A1" w:rsidP="009D675B">
      <w:pPr>
        <w:pStyle w:val="BodyText2"/>
        <w:numPr>
          <w:ilvl w:val="1"/>
          <w:numId w:val="132"/>
        </w:numPr>
        <w:rPr>
          <w:rFonts w:eastAsia="Gill Sans" w:cs="Arial"/>
          <w:szCs w:val="20"/>
        </w:rPr>
      </w:pPr>
      <w:proofErr w:type="gramStart"/>
      <w:r w:rsidRPr="00E538A1">
        <w:rPr>
          <w:rFonts w:eastAsia="Gill Sans" w:cs="Arial"/>
          <w:szCs w:val="20"/>
        </w:rPr>
        <w:t xml:space="preserve">3.8  </w:t>
      </w:r>
      <w:r w:rsidRPr="00E538A1">
        <w:rPr>
          <w:rFonts w:eastAsia="Gill Sans" w:cs="Arial"/>
          <w:szCs w:val="20"/>
        </w:rPr>
        <w:tab/>
      </w:r>
      <w:proofErr w:type="gramEnd"/>
      <w:r w:rsidRPr="00E538A1">
        <w:rPr>
          <w:rFonts w:eastAsia="Gill Sans" w:cs="Arial"/>
          <w:szCs w:val="20"/>
        </w:rPr>
        <w:t xml:space="preserve">Individual Member </w:t>
      </w:r>
      <w:r w:rsidR="00F419A2" w:rsidRPr="00E538A1">
        <w:rPr>
          <w:rFonts w:eastAsia="Gill Sans" w:cs="Arial"/>
          <w:szCs w:val="20"/>
        </w:rPr>
        <w:t>accountabilities</w:t>
      </w:r>
    </w:p>
    <w:p w14:paraId="2FD897F7" w14:textId="0432EEBC" w:rsidR="002D5245" w:rsidRPr="00E538A1" w:rsidRDefault="00E538A1" w:rsidP="00E538A1">
      <w:pPr>
        <w:jc w:val="center"/>
        <w:rPr>
          <w:rFonts w:cs="Arial"/>
          <w:b/>
          <w:bCs/>
          <w:szCs w:val="20"/>
        </w:rPr>
      </w:pPr>
      <w:r w:rsidRPr="00E538A1">
        <w:rPr>
          <w:rFonts w:cs="Arial"/>
          <w:b/>
          <w:bCs/>
          <w:szCs w:val="20"/>
          <w:highlight w:val="yellow"/>
        </w:rPr>
        <w:t xml:space="preserve">[Note to Bidders: areas of responsibility and accountability to be populated before signature based on RACI </w:t>
      </w:r>
      <w:proofErr w:type="gramStart"/>
      <w:r w:rsidRPr="00E538A1">
        <w:rPr>
          <w:rFonts w:cs="Arial"/>
          <w:b/>
          <w:bCs/>
          <w:szCs w:val="20"/>
          <w:highlight w:val="yellow"/>
        </w:rPr>
        <w:t>charts</w:t>
      </w:r>
      <w:proofErr w:type="gramEnd"/>
    </w:p>
    <w:p w14:paraId="6930AE2F" w14:textId="6384D970" w:rsidR="002D5245" w:rsidRDefault="002D5245">
      <w:pPr>
        <w:rPr>
          <w:rFonts w:cs="Arial"/>
          <w:b/>
          <w:bCs/>
          <w:szCs w:val="20"/>
        </w:rPr>
      </w:pPr>
      <w:r>
        <w:rPr>
          <w:rFonts w:cs="Arial"/>
          <w:b/>
          <w:bCs/>
          <w:szCs w:val="20"/>
        </w:rPr>
        <w:br w:type="page"/>
      </w:r>
    </w:p>
    <w:p w14:paraId="6AB39608" w14:textId="7BB1A5C0" w:rsidR="002D5245" w:rsidRPr="002D5245" w:rsidRDefault="002D5245" w:rsidP="002D5245">
      <w:pPr>
        <w:jc w:val="center"/>
        <w:rPr>
          <w:rFonts w:cs="Arial"/>
          <w:b/>
          <w:bCs/>
          <w:szCs w:val="20"/>
        </w:rPr>
      </w:pPr>
      <w:r w:rsidRPr="002D5245">
        <w:rPr>
          <w:rFonts w:cs="Arial"/>
          <w:b/>
          <w:bCs/>
          <w:szCs w:val="20"/>
        </w:rPr>
        <w:lastRenderedPageBreak/>
        <w:t>SCHEDULE 1</w:t>
      </w:r>
    </w:p>
    <w:p w14:paraId="2598F344" w14:textId="77777777" w:rsidR="002D5245" w:rsidRPr="002D5245" w:rsidRDefault="002D5245" w:rsidP="002D5245">
      <w:pPr>
        <w:jc w:val="center"/>
        <w:rPr>
          <w:rFonts w:cs="Arial"/>
          <w:b/>
          <w:bCs/>
          <w:szCs w:val="20"/>
        </w:rPr>
      </w:pPr>
      <w:r w:rsidRPr="002D5245">
        <w:rPr>
          <w:rFonts w:cs="Arial"/>
          <w:b/>
          <w:bCs/>
          <w:szCs w:val="20"/>
        </w:rPr>
        <w:t>DEFINITIONS</w:t>
      </w:r>
    </w:p>
    <w:p w14:paraId="48816F25" w14:textId="581A08EF" w:rsidR="00CE5734" w:rsidRPr="006A15F3" w:rsidRDefault="006A15F3" w:rsidP="006A15F3">
      <w:pPr>
        <w:jc w:val="center"/>
        <w:rPr>
          <w:rFonts w:cs="Arial"/>
          <w:b/>
          <w:bCs/>
          <w:szCs w:val="20"/>
        </w:rPr>
      </w:pPr>
      <w:r w:rsidRPr="006A15F3">
        <w:rPr>
          <w:b/>
          <w:bCs/>
        </w:rPr>
        <w:t>IN STANDALONE DOCUMENT</w:t>
      </w:r>
      <w:r w:rsidR="00CE5734" w:rsidRPr="006A15F3">
        <w:rPr>
          <w:rFonts w:cs="Arial"/>
          <w:b/>
          <w:bCs/>
          <w:szCs w:val="20"/>
        </w:rPr>
        <w:br w:type="page"/>
      </w:r>
    </w:p>
    <w:p w14:paraId="51A96E35" w14:textId="5FCCA276" w:rsidR="006E0235" w:rsidRPr="000E5786" w:rsidRDefault="006E0235" w:rsidP="00DD60F0">
      <w:pPr>
        <w:pStyle w:val="ScheduleSubheading"/>
        <w:numPr>
          <w:ilvl w:val="0"/>
          <w:numId w:val="0"/>
        </w:numPr>
        <w:spacing w:after="120"/>
        <w:rPr>
          <w:rFonts w:cs="Arial"/>
          <w:szCs w:val="20"/>
        </w:rPr>
      </w:pPr>
      <w:bookmarkStart w:id="1655" w:name="_Hlk90396703"/>
      <w:r w:rsidRPr="000E5786">
        <w:rPr>
          <w:rFonts w:cs="Arial"/>
          <w:szCs w:val="20"/>
        </w:rPr>
        <w:lastRenderedPageBreak/>
        <w:t>SCHEDULE 2.1</w:t>
      </w:r>
    </w:p>
    <w:p w14:paraId="7B49CC37" w14:textId="41201F97" w:rsidR="006E0235" w:rsidRPr="000E5786" w:rsidRDefault="006E0235" w:rsidP="00DD60F0">
      <w:pPr>
        <w:pStyle w:val="Sch1"/>
        <w:numPr>
          <w:ilvl w:val="0"/>
          <w:numId w:val="0"/>
        </w:numPr>
        <w:spacing w:after="120"/>
        <w:jc w:val="center"/>
        <w:rPr>
          <w:rFonts w:cs="Arial"/>
          <w:b/>
          <w:szCs w:val="20"/>
        </w:rPr>
      </w:pPr>
      <w:r w:rsidRPr="000E5786">
        <w:rPr>
          <w:rFonts w:cs="Arial"/>
          <w:b/>
          <w:szCs w:val="20"/>
        </w:rPr>
        <w:t>SERVICE DESCRIPTIONS</w:t>
      </w:r>
    </w:p>
    <w:p w14:paraId="08F9012A" w14:textId="77777777" w:rsidR="006E0235" w:rsidRPr="000E5786" w:rsidRDefault="006E0235" w:rsidP="009D675B">
      <w:pPr>
        <w:pStyle w:val="Heading1"/>
        <w:numPr>
          <w:ilvl w:val="0"/>
          <w:numId w:val="35"/>
        </w:numPr>
        <w:spacing w:after="120"/>
        <w:rPr>
          <w:rFonts w:cs="Arial"/>
          <w:szCs w:val="20"/>
        </w:rPr>
      </w:pPr>
      <w:r w:rsidRPr="000E5786">
        <w:rPr>
          <w:rFonts w:cs="Arial"/>
          <w:szCs w:val="20"/>
        </w:rPr>
        <w:t>Introduction</w:t>
      </w:r>
    </w:p>
    <w:p w14:paraId="53AE6805" w14:textId="77777777" w:rsidR="006E0235" w:rsidRPr="000E5786" w:rsidRDefault="006E0235" w:rsidP="00DA42BF">
      <w:pPr>
        <w:pStyle w:val="Heading2"/>
        <w:spacing w:after="120"/>
        <w:rPr>
          <w:rFonts w:cs="Arial"/>
          <w:szCs w:val="20"/>
        </w:rPr>
      </w:pPr>
      <w:r w:rsidRPr="000E5786">
        <w:rPr>
          <w:rFonts w:cs="Arial"/>
          <w:szCs w:val="20"/>
        </w:rPr>
        <w:t xml:space="preserve">This Schedule sets out the scope of the Services that the Supplier shall provide. The Supplier shall supply the Services in accordance with the Service Levels defined in Schedule 2.2 (Service Levels).  </w:t>
      </w:r>
    </w:p>
    <w:p w14:paraId="64D977C2" w14:textId="77777777" w:rsidR="006E0235" w:rsidRPr="000E5786" w:rsidRDefault="006E0235" w:rsidP="00DA42BF">
      <w:pPr>
        <w:pStyle w:val="Heading2"/>
        <w:spacing w:after="120"/>
        <w:rPr>
          <w:rFonts w:cs="Arial"/>
          <w:szCs w:val="20"/>
        </w:rPr>
      </w:pPr>
      <w:r w:rsidRPr="000E5786">
        <w:rPr>
          <w:rFonts w:cs="Arial"/>
          <w:szCs w:val="20"/>
        </w:rPr>
        <w:t xml:space="preserve">The Supplier shall deliver the Services in accordance with the </w:t>
      </w:r>
      <w:proofErr w:type="gramStart"/>
      <w:r w:rsidRPr="000E5786">
        <w:rPr>
          <w:rFonts w:cs="Arial"/>
          <w:szCs w:val="20"/>
        </w:rPr>
        <w:t>high level</w:t>
      </w:r>
      <w:proofErr w:type="gramEnd"/>
      <w:r w:rsidRPr="000E5786">
        <w:rPr>
          <w:rFonts w:cs="Arial"/>
          <w:szCs w:val="20"/>
        </w:rPr>
        <w:t xml:space="preserve"> solution set out in Schedule 4.1 (Supplier Solution) and further defined by the Supplier in its detailed solution as provided as a Deliverable in accordance with the Initial Transition Project set out in Schedule 6.4 (Initial Transition Project) from and to the premises listed in Schedule 2.5 (Locations). </w:t>
      </w:r>
    </w:p>
    <w:p w14:paraId="05D4358E" w14:textId="77777777" w:rsidR="006E0235" w:rsidRPr="000E5786" w:rsidRDefault="006E0235" w:rsidP="00DA42BF">
      <w:pPr>
        <w:pStyle w:val="Heading2"/>
        <w:spacing w:after="120"/>
        <w:rPr>
          <w:rFonts w:cs="Arial"/>
          <w:szCs w:val="20"/>
        </w:rPr>
      </w:pPr>
      <w:r w:rsidRPr="000E5786">
        <w:rPr>
          <w:rFonts w:cs="Arial"/>
          <w:szCs w:val="20"/>
        </w:rPr>
        <w:t xml:space="preserve">The Supplier shall deliver the Services utilising the ITIL Framework at version 3 or </w:t>
      </w:r>
      <w:proofErr w:type="gramStart"/>
      <w:r w:rsidRPr="000E5786">
        <w:rPr>
          <w:rFonts w:cs="Arial"/>
          <w:szCs w:val="20"/>
        </w:rPr>
        <w:t>above;</w:t>
      </w:r>
      <w:proofErr w:type="gramEnd"/>
    </w:p>
    <w:p w14:paraId="39174787" w14:textId="77777777" w:rsidR="006E0235" w:rsidRPr="000E5786" w:rsidRDefault="006E0235" w:rsidP="00DA42BF">
      <w:pPr>
        <w:pStyle w:val="Heading2"/>
        <w:spacing w:after="120"/>
        <w:rPr>
          <w:rFonts w:cs="Arial"/>
          <w:szCs w:val="20"/>
        </w:rPr>
      </w:pPr>
      <w:r w:rsidRPr="000E5786">
        <w:rPr>
          <w:rFonts w:cs="Arial"/>
          <w:szCs w:val="20"/>
        </w:rPr>
        <w:t>The Supplier shall supply services over the Term, comprising:</w:t>
      </w:r>
    </w:p>
    <w:p w14:paraId="4D1FCFB2" w14:textId="77777777" w:rsidR="006E0235" w:rsidRPr="000E5786" w:rsidRDefault="006E0235" w:rsidP="00346A37">
      <w:pPr>
        <w:pStyle w:val="Heading3"/>
      </w:pPr>
      <w:r w:rsidRPr="000E5786">
        <w:t xml:space="preserve">the Initial Transition Project to transition the Data Centre LAN service from the incumbent supplier and to take on operational responsibility from the incumbent suppliers as further detailed in Schedule 6.4 (Initial Transition Project) into the Operate </w:t>
      </w:r>
      <w:proofErr w:type="gramStart"/>
      <w:r w:rsidRPr="000E5786">
        <w:t>Service;</w:t>
      </w:r>
      <w:proofErr w:type="gramEnd"/>
    </w:p>
    <w:p w14:paraId="586FCEB5" w14:textId="77777777" w:rsidR="006E0235" w:rsidRPr="000E5786" w:rsidRDefault="006E0235" w:rsidP="00346A37">
      <w:pPr>
        <w:pStyle w:val="Heading3"/>
      </w:pPr>
      <w:r w:rsidRPr="000E5786">
        <w:t xml:space="preserve">the Migration project to migrate all existing Applications hosted in the Current Data Centres as further detailed in Schedule 6.5 (Migration Project) into the Operate </w:t>
      </w:r>
      <w:proofErr w:type="gramStart"/>
      <w:r w:rsidRPr="000E5786">
        <w:t>Service;</w:t>
      </w:r>
      <w:proofErr w:type="gramEnd"/>
    </w:p>
    <w:p w14:paraId="5459D6EF" w14:textId="5BC78E7E" w:rsidR="006E0235" w:rsidRPr="000E5786" w:rsidRDefault="008462B3" w:rsidP="00346A37">
      <w:pPr>
        <w:pStyle w:val="Heading3"/>
      </w:pPr>
      <w:r>
        <w:t xml:space="preserve">the Operate Service including </w:t>
      </w:r>
      <w:r w:rsidR="006E0235" w:rsidRPr="000E5786">
        <w:t xml:space="preserve">business as usual transitions, to incorporate new Service </w:t>
      </w:r>
      <w:proofErr w:type="gramStart"/>
      <w:r w:rsidR="006E0235" w:rsidRPr="000E5786">
        <w:t>Components</w:t>
      </w:r>
      <w:proofErr w:type="gramEnd"/>
      <w:r w:rsidR="006E0235" w:rsidRPr="000E5786">
        <w:t xml:space="preserve"> types into the Operate Service; </w:t>
      </w:r>
    </w:p>
    <w:p w14:paraId="15977F38" w14:textId="77777777" w:rsidR="006E0235" w:rsidRPr="000E5786" w:rsidRDefault="006E0235" w:rsidP="00346A37">
      <w:pPr>
        <w:pStyle w:val="Heading3"/>
      </w:pPr>
      <w:r w:rsidRPr="000E5786">
        <w:t>preparation for Exit as required and in accordance with Schedule 8.5 Exit Management, by ensuring the Operate Service is easily transferable to a new supplier at the end of the Term; and</w:t>
      </w:r>
    </w:p>
    <w:p w14:paraId="6FF84C80" w14:textId="4E0FD4C1" w:rsidR="006E0235" w:rsidRDefault="006E0235" w:rsidP="00346A37">
      <w:pPr>
        <w:pStyle w:val="Heading3"/>
      </w:pPr>
      <w:r w:rsidRPr="000E5786">
        <w:t>Exit Assistance as defined in Schedule 8.5 (Exit Management).</w:t>
      </w:r>
    </w:p>
    <w:p w14:paraId="5061D3D8" w14:textId="77777777" w:rsidR="00F53841" w:rsidRPr="000E5786" w:rsidRDefault="00F53841" w:rsidP="00085C44">
      <w:pPr>
        <w:pStyle w:val="Heading3"/>
        <w:numPr>
          <w:ilvl w:val="0"/>
          <w:numId w:val="0"/>
        </w:numPr>
        <w:ind w:left="1702"/>
      </w:pPr>
    </w:p>
    <w:p w14:paraId="28BF641B" w14:textId="77777777" w:rsidR="006E0235" w:rsidRPr="000E5786" w:rsidRDefault="006E0235" w:rsidP="00DA42BF">
      <w:pPr>
        <w:pStyle w:val="Heading1"/>
        <w:spacing w:after="120"/>
        <w:rPr>
          <w:rFonts w:cs="Arial"/>
          <w:szCs w:val="20"/>
        </w:rPr>
      </w:pPr>
      <w:r w:rsidRPr="000E5786">
        <w:rPr>
          <w:rFonts w:cs="Arial"/>
          <w:szCs w:val="20"/>
        </w:rPr>
        <w:t>Operate Service</w:t>
      </w:r>
    </w:p>
    <w:p w14:paraId="45F1A1D5" w14:textId="4735EC9B" w:rsidR="00407A01" w:rsidRDefault="00407A01" w:rsidP="00CE5734">
      <w:pPr>
        <w:pStyle w:val="Caption"/>
        <w:ind w:left="1134"/>
        <w:rPr>
          <w:rFonts w:ascii="Arial" w:hAnsi="Arial" w:cs="Arial"/>
          <w:noProof/>
        </w:rPr>
      </w:pPr>
    </w:p>
    <w:p w14:paraId="1D25B10C" w14:textId="0727FB55" w:rsidR="007A2AA0" w:rsidRDefault="007A2AA0" w:rsidP="007A2AA0">
      <w:r>
        <w:t>Redacted Diagram</w:t>
      </w:r>
    </w:p>
    <w:p w14:paraId="60474918" w14:textId="77777777" w:rsidR="007A2AA0" w:rsidRDefault="007A2AA0" w:rsidP="007A2AA0"/>
    <w:p w14:paraId="15E700F2" w14:textId="77777777" w:rsidR="007A2AA0" w:rsidRPr="007A2AA0" w:rsidRDefault="007A2AA0" w:rsidP="007A2AA0"/>
    <w:p w14:paraId="5170214C" w14:textId="4EA53EBC" w:rsidR="006E0235" w:rsidRPr="000E5786" w:rsidRDefault="006E0235" w:rsidP="00CE5734">
      <w:pPr>
        <w:pStyle w:val="Caption"/>
        <w:ind w:left="709" w:firstLine="0"/>
        <w:rPr>
          <w:rFonts w:ascii="Arial" w:hAnsi="Arial" w:cs="Arial"/>
        </w:rPr>
      </w:pPr>
      <w:r w:rsidRPr="000E5786">
        <w:rPr>
          <w:rFonts w:ascii="Arial" w:hAnsi="Arial" w:cs="Arial"/>
        </w:rPr>
        <w:t>Diagram 1: Explanation of the key definitions in this schedule SET OUT FOR EXPLANATORY</w:t>
      </w:r>
      <w:r w:rsidR="00085C44">
        <w:rPr>
          <w:rFonts w:ascii="Arial" w:hAnsi="Arial" w:cs="Arial"/>
        </w:rPr>
        <w:t xml:space="preserve"> </w:t>
      </w:r>
      <w:r w:rsidRPr="000E5786">
        <w:rPr>
          <w:rFonts w:ascii="Arial" w:hAnsi="Arial" w:cs="Arial"/>
        </w:rPr>
        <w:t>PURPOSES ONLY</w:t>
      </w:r>
    </w:p>
    <w:p w14:paraId="55BA3102" w14:textId="3AB05B5B" w:rsidR="006E0235" w:rsidRPr="000E5786" w:rsidRDefault="006E0235" w:rsidP="00DA42BF">
      <w:pPr>
        <w:pStyle w:val="Heading2"/>
        <w:spacing w:after="120"/>
        <w:rPr>
          <w:rFonts w:cs="Arial"/>
          <w:szCs w:val="20"/>
        </w:rPr>
      </w:pPr>
      <w:r w:rsidRPr="000E5786">
        <w:rPr>
          <w:rFonts w:cs="Arial"/>
          <w:szCs w:val="20"/>
        </w:rPr>
        <w:t>The Operate Service includes the provision, maintenance, monitoring and operation by Supplier of all the Assets, Infrastructure or Platform Components, Service Components</w:t>
      </w:r>
      <w:r w:rsidR="008462B3">
        <w:rPr>
          <w:rFonts w:cs="Arial"/>
          <w:szCs w:val="20"/>
        </w:rPr>
        <w:t>, Assets</w:t>
      </w:r>
      <w:r w:rsidRPr="000E5786">
        <w:rPr>
          <w:rFonts w:cs="Arial"/>
          <w:szCs w:val="20"/>
        </w:rPr>
        <w:t xml:space="preserve"> and Service Bundles shown in Diagram 1 including the following Service Components fully listed in Schedule 7.4 (Product and Service Catalogue): </w:t>
      </w:r>
    </w:p>
    <w:p w14:paraId="62F6EFBE" w14:textId="77777777" w:rsidR="006E0235" w:rsidRPr="000E5786" w:rsidRDefault="006E0235" w:rsidP="00346A37">
      <w:pPr>
        <w:pStyle w:val="Heading3"/>
      </w:pPr>
      <w:r w:rsidRPr="000E5786">
        <w:t xml:space="preserve">Back up and Storage </w:t>
      </w:r>
      <w:proofErr w:type="gramStart"/>
      <w:r w:rsidRPr="000E5786">
        <w:t>capability;</w:t>
      </w:r>
      <w:proofErr w:type="gramEnd"/>
    </w:p>
    <w:p w14:paraId="365839F2" w14:textId="77777777" w:rsidR="006E0235" w:rsidRPr="000E5786" w:rsidRDefault="006E0235" w:rsidP="00346A37">
      <w:pPr>
        <w:pStyle w:val="Heading3"/>
      </w:pPr>
      <w:r w:rsidRPr="000E5786">
        <w:t xml:space="preserve">Virtual and Physical </w:t>
      </w:r>
      <w:proofErr w:type="gramStart"/>
      <w:r w:rsidRPr="000E5786">
        <w:t>Servers;</w:t>
      </w:r>
      <w:proofErr w:type="gramEnd"/>
      <w:r w:rsidRPr="000E5786">
        <w:t xml:space="preserve"> </w:t>
      </w:r>
    </w:p>
    <w:p w14:paraId="71B3BE4C" w14:textId="77777777" w:rsidR="006E0235" w:rsidRPr="000E5786" w:rsidRDefault="006E0235" w:rsidP="00346A37">
      <w:pPr>
        <w:pStyle w:val="Heading3"/>
      </w:pPr>
      <w:r w:rsidRPr="000E5786">
        <w:t xml:space="preserve">Devices and </w:t>
      </w:r>
      <w:proofErr w:type="gramStart"/>
      <w:r w:rsidRPr="000E5786">
        <w:t>appliances;</w:t>
      </w:r>
      <w:proofErr w:type="gramEnd"/>
    </w:p>
    <w:p w14:paraId="17984B18" w14:textId="486EB15E" w:rsidR="006E0235" w:rsidRPr="000E5786" w:rsidRDefault="006E0235" w:rsidP="00346A37">
      <w:pPr>
        <w:pStyle w:val="Heading3"/>
      </w:pPr>
      <w:r w:rsidRPr="000E5786">
        <w:t>Platforms (including Database instances, Active Directory servers, Citrix Virtual Desktop servers, Web Servers,</w:t>
      </w:r>
      <w:r w:rsidR="00A20CD5" w:rsidRPr="000E5786">
        <w:t xml:space="preserve"> </w:t>
      </w:r>
      <w:r w:rsidRPr="000E5786">
        <w:t>Infoblox, VMware VCF</w:t>
      </w:r>
      <w:proofErr w:type="gramStart"/>
      <w:r w:rsidRPr="000E5786">
        <w:t>);</w:t>
      </w:r>
      <w:proofErr w:type="gramEnd"/>
      <w:r w:rsidRPr="000E5786">
        <w:t xml:space="preserve"> </w:t>
      </w:r>
    </w:p>
    <w:p w14:paraId="48859755" w14:textId="77777777" w:rsidR="006E0235" w:rsidRPr="000E5786" w:rsidRDefault="006E0235" w:rsidP="00346A37">
      <w:pPr>
        <w:pStyle w:val="Heading3"/>
      </w:pPr>
      <w:r w:rsidRPr="000E5786">
        <w:t>Data Centre Network (including LAN at Data Centre Locations according to Schedule 2.5); and</w:t>
      </w:r>
    </w:p>
    <w:p w14:paraId="480B79E3" w14:textId="77777777" w:rsidR="006E0235" w:rsidRPr="000E5786" w:rsidRDefault="006E0235" w:rsidP="00346A37">
      <w:pPr>
        <w:pStyle w:val="Heading3"/>
      </w:pPr>
      <w:r w:rsidRPr="000E5786">
        <w:t>Remote hands and eyes.</w:t>
      </w:r>
    </w:p>
    <w:p w14:paraId="7B4FC36A" w14:textId="77777777" w:rsidR="006E0235" w:rsidRPr="000E5786" w:rsidRDefault="006E0235" w:rsidP="00DA42BF">
      <w:pPr>
        <w:pStyle w:val="Heading2"/>
        <w:spacing w:after="120"/>
        <w:rPr>
          <w:rFonts w:cs="Arial"/>
          <w:szCs w:val="20"/>
        </w:rPr>
      </w:pPr>
      <w:r w:rsidRPr="000E5786">
        <w:rPr>
          <w:rFonts w:cs="Arial"/>
          <w:szCs w:val="20"/>
        </w:rPr>
        <w:t>As part of the Operate Service the Supplier shall:</w:t>
      </w:r>
    </w:p>
    <w:p w14:paraId="3E08C46D" w14:textId="41B19BCD" w:rsidR="006E0235" w:rsidRPr="000E5786" w:rsidRDefault="006E0235" w:rsidP="00346A37">
      <w:pPr>
        <w:pStyle w:val="Heading3"/>
      </w:pPr>
      <w:r w:rsidRPr="000E5786">
        <w:lastRenderedPageBreak/>
        <w:t xml:space="preserve">monitor and manage the Service Components </w:t>
      </w:r>
      <w:r w:rsidR="008462B3">
        <w:t xml:space="preserve">(including engaging and leading the management of </w:t>
      </w:r>
      <w:proofErr w:type="gramStart"/>
      <w:r w:rsidR="008462B3">
        <w:t>third party</w:t>
      </w:r>
      <w:proofErr w:type="gramEnd"/>
      <w:r w:rsidR="008462B3">
        <w:t xml:space="preserve"> suppliers that interact with the Services) </w:t>
      </w:r>
      <w:r w:rsidRPr="000E5786">
        <w:t xml:space="preserve">to ensure performance and availability, with required changes being fed back to </w:t>
      </w:r>
      <w:proofErr w:type="spellStart"/>
      <w:r w:rsidR="001F1C19">
        <w:t>Netlink</w:t>
      </w:r>
      <w:proofErr w:type="spellEnd"/>
      <w:r w:rsidR="001F1C19">
        <w:t xml:space="preserve"> Star</w:t>
      </w:r>
      <w:r w:rsidRPr="000E5786">
        <w:t xml:space="preserve"> in accordance with the Change </w:t>
      </w:r>
      <w:r w:rsidR="00872CD7" w:rsidRPr="000E5786">
        <w:t xml:space="preserve">process </w:t>
      </w:r>
      <w:r w:rsidRPr="000E5786">
        <w:t xml:space="preserve">for notification or approval </w:t>
      </w:r>
    </w:p>
    <w:p w14:paraId="71645A71" w14:textId="62AD6D76" w:rsidR="006E0235" w:rsidRPr="000E5786" w:rsidRDefault="006E0235" w:rsidP="00346A37">
      <w:pPr>
        <w:pStyle w:val="Heading3"/>
      </w:pPr>
      <w:bookmarkStart w:id="1656" w:name="_Hlk81991133"/>
      <w:r w:rsidRPr="000E5786">
        <w:t xml:space="preserve">configure all Service Components to report back to </w:t>
      </w:r>
      <w:proofErr w:type="spellStart"/>
      <w:r w:rsidR="001F1C19">
        <w:t>Netlink</w:t>
      </w:r>
      <w:proofErr w:type="spellEnd"/>
      <w:r w:rsidR="001F1C19">
        <w:t xml:space="preserve"> Star</w:t>
      </w:r>
      <w:r w:rsidRPr="000E5786">
        <w:t xml:space="preserve">’s monitoring and alerting systems where required by </w:t>
      </w:r>
      <w:proofErr w:type="spellStart"/>
      <w:r w:rsidR="001F1C19">
        <w:t>Netlink</w:t>
      </w:r>
      <w:proofErr w:type="spellEnd"/>
      <w:r w:rsidR="001F1C19">
        <w:t xml:space="preserve"> Star</w:t>
      </w:r>
      <w:r w:rsidRPr="000E5786">
        <w:t xml:space="preserve"> to provide end to end visibility and events correlation to support business applications management</w:t>
      </w:r>
      <w:bookmarkEnd w:id="1656"/>
      <w:r w:rsidRPr="000E5786">
        <w:t xml:space="preserve"> subject to </w:t>
      </w:r>
      <w:proofErr w:type="spellStart"/>
      <w:r w:rsidR="001F1C19">
        <w:t>Netlink</w:t>
      </w:r>
      <w:proofErr w:type="spellEnd"/>
      <w:r w:rsidR="001F1C19">
        <w:t xml:space="preserve"> Star</w:t>
      </w:r>
      <w:r w:rsidRPr="000E5786">
        <w:t xml:space="preserve"> providing the appropriate tool capable of such functionality in accordance with Schedule 3 for Supplier to be able to achieve </w:t>
      </w:r>
      <w:proofErr w:type="gramStart"/>
      <w:r w:rsidRPr="000E5786">
        <w:t>this;</w:t>
      </w:r>
      <w:proofErr w:type="gramEnd"/>
    </w:p>
    <w:p w14:paraId="31EEA0E1" w14:textId="77777777" w:rsidR="006E0235" w:rsidRPr="000E5786" w:rsidRDefault="006E0235" w:rsidP="00346A37">
      <w:pPr>
        <w:pStyle w:val="Heading3"/>
      </w:pPr>
      <w:r w:rsidRPr="000E5786">
        <w:t>complete the pre-defined batch and bulk processes specified in Run Books (and update the Run Books accordingly); and</w:t>
      </w:r>
    </w:p>
    <w:p w14:paraId="2A9EAD15" w14:textId="324D2B39" w:rsidR="006E0235" w:rsidRPr="000E5786" w:rsidRDefault="006E0235" w:rsidP="00346A37">
      <w:pPr>
        <w:pStyle w:val="Heading3"/>
      </w:pPr>
      <w:bookmarkStart w:id="1657" w:name="_Hlk82155329"/>
      <w:r w:rsidRPr="000E5786">
        <w:t xml:space="preserve">perform risk management (as agreed by the Parties) for any risks that may impact any of the Operate Services (including identifying, assessing, </w:t>
      </w:r>
      <w:proofErr w:type="gramStart"/>
      <w:r w:rsidRPr="000E5786">
        <w:t>mitigating</w:t>
      </w:r>
      <w:proofErr w:type="gramEnd"/>
      <w:r w:rsidRPr="000E5786">
        <w:t xml:space="preserve"> and controlling risks, maintaining a risk log, reporting in accordance with Schedule 8.1 (Governance), carrying out upfront risk reviews with </w:t>
      </w:r>
      <w:proofErr w:type="spellStart"/>
      <w:r w:rsidR="001F1C19">
        <w:t>Netlink</w:t>
      </w:r>
      <w:proofErr w:type="spellEnd"/>
      <w:r w:rsidR="001F1C19">
        <w:t xml:space="preserve"> Star</w:t>
      </w:r>
      <w:r w:rsidRPr="000E5786">
        <w:t>, agreeing responsibilities and accountability (in accordance with the terms of this Agreement for actions to mitigate risks).)</w:t>
      </w:r>
    </w:p>
    <w:bookmarkEnd w:id="1657"/>
    <w:p w14:paraId="2462D433" w14:textId="7B0F15E2" w:rsidR="006E0235" w:rsidRPr="000E5786" w:rsidRDefault="001F1C19" w:rsidP="00DA42BF">
      <w:pPr>
        <w:pStyle w:val="Heading2"/>
        <w:spacing w:after="120"/>
        <w:rPr>
          <w:rFonts w:cs="Arial"/>
          <w:szCs w:val="20"/>
        </w:rPr>
      </w:pPr>
      <w:proofErr w:type="spellStart"/>
      <w:r>
        <w:rPr>
          <w:rFonts w:cs="Arial"/>
          <w:szCs w:val="20"/>
        </w:rPr>
        <w:t>Netlink</w:t>
      </w:r>
      <w:proofErr w:type="spellEnd"/>
      <w:r>
        <w:rPr>
          <w:rFonts w:cs="Arial"/>
          <w:szCs w:val="20"/>
        </w:rPr>
        <w:t xml:space="preserve"> Star</w:t>
      </w:r>
      <w:r w:rsidR="006E0235" w:rsidRPr="000E5786">
        <w:rPr>
          <w:rFonts w:cs="Arial"/>
          <w:szCs w:val="20"/>
        </w:rPr>
        <w:t xml:space="preserve"> shall support the Operate Service as set out in Schedule 3 (</w:t>
      </w:r>
      <w:proofErr w:type="spellStart"/>
      <w:r>
        <w:rPr>
          <w:rFonts w:cs="Arial"/>
          <w:szCs w:val="20"/>
        </w:rPr>
        <w:t>Netlink</w:t>
      </w:r>
      <w:proofErr w:type="spellEnd"/>
      <w:r>
        <w:rPr>
          <w:rFonts w:cs="Arial"/>
          <w:szCs w:val="20"/>
        </w:rPr>
        <w:t xml:space="preserve"> Star</w:t>
      </w:r>
      <w:r w:rsidR="006E0235" w:rsidRPr="000E5786">
        <w:rPr>
          <w:rFonts w:cs="Arial"/>
          <w:szCs w:val="20"/>
        </w:rPr>
        <w:t xml:space="preserve"> Responsibilities).</w:t>
      </w:r>
    </w:p>
    <w:p w14:paraId="7E736CA2" w14:textId="0CC77E55" w:rsidR="006E0235" w:rsidRPr="000E5786" w:rsidRDefault="006E0235" w:rsidP="00DA42BF">
      <w:pPr>
        <w:pStyle w:val="Heading2"/>
        <w:spacing w:after="120"/>
        <w:rPr>
          <w:rFonts w:cs="Arial"/>
          <w:szCs w:val="20"/>
        </w:rPr>
      </w:pPr>
      <w:r w:rsidRPr="000E5786">
        <w:rPr>
          <w:rFonts w:cs="Arial"/>
          <w:szCs w:val="20"/>
        </w:rPr>
        <w:t xml:space="preserve">The Supplier shall supply additional services </w:t>
      </w:r>
      <w:proofErr w:type="gramStart"/>
      <w:r w:rsidRPr="000E5786">
        <w:rPr>
          <w:rFonts w:cs="Arial"/>
          <w:szCs w:val="20"/>
        </w:rPr>
        <w:t>where</w:t>
      </w:r>
      <w:proofErr w:type="gramEnd"/>
      <w:r w:rsidRPr="000E5786">
        <w:rPr>
          <w:rFonts w:cs="Arial"/>
          <w:szCs w:val="20"/>
        </w:rPr>
        <w:t xml:space="preserve"> requested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during the Term, including:</w:t>
      </w:r>
    </w:p>
    <w:p w14:paraId="2D1B8754" w14:textId="77777777" w:rsidR="006E0235" w:rsidRPr="000E5786" w:rsidRDefault="006E0235" w:rsidP="00346A37">
      <w:pPr>
        <w:pStyle w:val="Heading3"/>
      </w:pPr>
      <w:r w:rsidRPr="000E5786">
        <w:t>Project Services as defined in Schedule 6.2 (Project Services); and</w:t>
      </w:r>
    </w:p>
    <w:p w14:paraId="14235A64" w14:textId="77777777" w:rsidR="006E0235" w:rsidRPr="000E5786" w:rsidRDefault="006E0235" w:rsidP="00346A37">
      <w:pPr>
        <w:pStyle w:val="Heading3"/>
      </w:pPr>
      <w:r w:rsidRPr="000E5786">
        <w:t>Product &amp; Service Catalogue, to add, modify or remove Service Components to the Operate Service, including physical intervention requests within each applicable Data Centre beyond what is required to deliver the Operate Service, as defined in Schedule 7.4 (Product and Service Catalogue).</w:t>
      </w:r>
    </w:p>
    <w:p w14:paraId="2B4F5CA3" w14:textId="77777777" w:rsidR="006E0235" w:rsidRPr="000E5786" w:rsidRDefault="006E0235" w:rsidP="00DA42BF">
      <w:pPr>
        <w:pStyle w:val="Heading2"/>
        <w:spacing w:after="120"/>
        <w:rPr>
          <w:rFonts w:cs="Arial"/>
          <w:szCs w:val="20"/>
        </w:rPr>
      </w:pPr>
      <w:r w:rsidRPr="000E5786">
        <w:rPr>
          <w:rFonts w:cs="Arial"/>
          <w:szCs w:val="20"/>
        </w:rPr>
        <w:t>Charges for the Optional Services are based on the rates set out in Schedule 7.8</w:t>
      </w:r>
      <w:r w:rsidRPr="000E5786">
        <w:rPr>
          <w:rFonts w:cs="Arial"/>
          <w:b/>
          <w:szCs w:val="20"/>
        </w:rPr>
        <w:t xml:space="preserve"> </w:t>
      </w:r>
      <w:r w:rsidRPr="000E5786">
        <w:rPr>
          <w:rFonts w:cs="Arial"/>
          <w:szCs w:val="20"/>
        </w:rPr>
        <w:t>(Suppliers Financial Model)</w:t>
      </w:r>
      <w:r w:rsidRPr="000E5786">
        <w:rPr>
          <w:rFonts w:cs="Arial"/>
          <w:b/>
          <w:szCs w:val="20"/>
        </w:rPr>
        <w:t>.</w:t>
      </w:r>
    </w:p>
    <w:p w14:paraId="1EA1966F" w14:textId="77777777" w:rsidR="006E0235" w:rsidRPr="000E5786" w:rsidRDefault="006E0235" w:rsidP="00DA42BF">
      <w:pPr>
        <w:pStyle w:val="Heading2"/>
        <w:spacing w:after="120"/>
        <w:rPr>
          <w:rFonts w:cs="Arial"/>
          <w:szCs w:val="20"/>
        </w:rPr>
      </w:pPr>
      <w:r w:rsidRPr="000E5786">
        <w:rPr>
          <w:rFonts w:cs="Arial"/>
          <w:szCs w:val="20"/>
        </w:rPr>
        <w:t>The Supplier shall use the Migration Project to refine the design of Service Components that were specified as part of the Initial Transition Project (including updating the Product and Service Catalogue).</w:t>
      </w:r>
    </w:p>
    <w:p w14:paraId="3814E329" w14:textId="5C4646D6" w:rsidR="006E0235" w:rsidRPr="000E5786" w:rsidRDefault="006E0235" w:rsidP="00DA42BF">
      <w:pPr>
        <w:pStyle w:val="Heading2"/>
        <w:spacing w:after="120"/>
        <w:rPr>
          <w:rFonts w:cs="Arial"/>
          <w:szCs w:val="20"/>
        </w:rPr>
      </w:pPr>
      <w:r w:rsidRPr="000E5786">
        <w:rPr>
          <w:rFonts w:cs="Arial"/>
          <w:szCs w:val="20"/>
        </w:rPr>
        <w:t xml:space="preserve">Supplier shall, 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request, tag Service Components running in the Operate Service as connected to each other in the CMDB and then reported on and monitored for health and availability as a single entity.  </w:t>
      </w:r>
    </w:p>
    <w:p w14:paraId="145B76A3" w14:textId="77777777" w:rsidR="006E0235" w:rsidRPr="000E5786" w:rsidRDefault="006E0235" w:rsidP="00DD60F0">
      <w:pPr>
        <w:pStyle w:val="Level2"/>
        <w:numPr>
          <w:ilvl w:val="1"/>
          <w:numId w:val="0"/>
        </w:numPr>
        <w:spacing w:after="120" w:line="240" w:lineRule="auto"/>
        <w:ind w:left="37"/>
        <w:rPr>
          <w:rFonts w:ascii="Arial" w:hAnsi="Arial" w:cs="Arial"/>
        </w:rPr>
      </w:pPr>
    </w:p>
    <w:p w14:paraId="13E2FD6B" w14:textId="77777777" w:rsidR="006E0235" w:rsidRPr="000E5786" w:rsidRDefault="006E0235" w:rsidP="00DD60F0">
      <w:pPr>
        <w:pStyle w:val="Level2"/>
        <w:numPr>
          <w:ilvl w:val="0"/>
          <w:numId w:val="0"/>
        </w:numPr>
        <w:spacing w:after="120" w:line="240" w:lineRule="auto"/>
        <w:ind w:left="1021"/>
        <w:rPr>
          <w:rFonts w:ascii="Arial" w:hAnsi="Arial" w:cs="Arial"/>
        </w:rPr>
      </w:pPr>
    </w:p>
    <w:p w14:paraId="0620C02D" w14:textId="77777777" w:rsidR="006E0235" w:rsidRPr="000E5786" w:rsidRDefault="006E0235" w:rsidP="00DA42BF">
      <w:pPr>
        <w:pStyle w:val="Heading1"/>
        <w:spacing w:after="120"/>
        <w:rPr>
          <w:rFonts w:cs="Arial"/>
          <w:szCs w:val="20"/>
        </w:rPr>
      </w:pPr>
      <w:r w:rsidRPr="000E5786">
        <w:rPr>
          <w:rFonts w:cs="Arial"/>
          <w:szCs w:val="20"/>
        </w:rPr>
        <w:t>Transition Service</w:t>
      </w:r>
    </w:p>
    <w:p w14:paraId="31792AB5" w14:textId="0F187648" w:rsidR="006E0235" w:rsidRPr="000E5786" w:rsidRDefault="006E0235" w:rsidP="00DA42BF">
      <w:pPr>
        <w:pStyle w:val="Heading2"/>
        <w:spacing w:after="120"/>
        <w:rPr>
          <w:rFonts w:cs="Arial"/>
          <w:szCs w:val="20"/>
        </w:rPr>
      </w:pPr>
      <w:r w:rsidRPr="000E5786">
        <w:rPr>
          <w:rFonts w:cs="Arial"/>
          <w:szCs w:val="20"/>
        </w:rPr>
        <w:t xml:space="preserve">The design, </w:t>
      </w:r>
      <w:proofErr w:type="gramStart"/>
      <w:r w:rsidRPr="000E5786">
        <w:rPr>
          <w:rFonts w:cs="Arial"/>
          <w:szCs w:val="20"/>
        </w:rPr>
        <w:t>delivery</w:t>
      </w:r>
      <w:proofErr w:type="gramEnd"/>
      <w:r w:rsidRPr="000E5786">
        <w:rPr>
          <w:rFonts w:cs="Arial"/>
          <w:szCs w:val="20"/>
        </w:rPr>
        <w:t xml:space="preserve"> and entry into operational service of any or any combination of any Service Components will be managed on an ongoing basis via change, release and deployment management to be set out by the Supplier during the Initial Transition Project so that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retains oversight of the entire lifecycle.</w:t>
      </w:r>
    </w:p>
    <w:p w14:paraId="1068299D" w14:textId="387E6945" w:rsidR="006E0235" w:rsidRPr="000E5786" w:rsidRDefault="006E0235" w:rsidP="00DA42BF">
      <w:pPr>
        <w:pStyle w:val="Heading2"/>
        <w:spacing w:after="120"/>
        <w:rPr>
          <w:rFonts w:cs="Arial"/>
          <w:szCs w:val="20"/>
        </w:rPr>
      </w:pPr>
      <w:r w:rsidRPr="000E5786">
        <w:rPr>
          <w:rFonts w:cs="Arial"/>
          <w:szCs w:val="20"/>
        </w:rPr>
        <w:t xml:space="preserve">At the end of this Agreement whether due to termination or expiration the Supplier shall provide </w:t>
      </w:r>
      <w:r w:rsidR="00701207">
        <w:rPr>
          <w:rFonts w:cs="Arial"/>
          <w:szCs w:val="20"/>
        </w:rPr>
        <w:t>e</w:t>
      </w:r>
      <w:r w:rsidRPr="000E5786">
        <w:rPr>
          <w:rFonts w:cs="Arial"/>
          <w:szCs w:val="20"/>
        </w:rPr>
        <w:t xml:space="preserve">xit </w:t>
      </w:r>
      <w:r w:rsidR="00872CD7" w:rsidRPr="000E5786">
        <w:rPr>
          <w:rFonts w:cs="Arial"/>
          <w:szCs w:val="20"/>
        </w:rPr>
        <w:t xml:space="preserve">assistance </w:t>
      </w:r>
      <w:r w:rsidRPr="000E5786">
        <w:rPr>
          <w:rFonts w:cs="Arial"/>
          <w:szCs w:val="20"/>
        </w:rPr>
        <w:t xml:space="preserve">services as defined in Schedule 8.5 (Exit Management) to enable full transfer of some or </w:t>
      </w:r>
      <w:proofErr w:type="gramStart"/>
      <w:r w:rsidRPr="000E5786">
        <w:rPr>
          <w:rFonts w:cs="Arial"/>
          <w:szCs w:val="20"/>
        </w:rPr>
        <w:t>all of</w:t>
      </w:r>
      <w:proofErr w:type="gramEnd"/>
      <w:r w:rsidRPr="000E5786">
        <w:rPr>
          <w:rFonts w:cs="Arial"/>
          <w:szCs w:val="20"/>
        </w:rPr>
        <w:t xml:space="preserve"> the services to one or more new suppliers (or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without any loss of data or impact to service availability or quality. Charges for </w:t>
      </w:r>
      <w:r w:rsidR="00701207">
        <w:rPr>
          <w:rFonts w:cs="Arial"/>
          <w:szCs w:val="20"/>
        </w:rPr>
        <w:t>e</w:t>
      </w:r>
      <w:r w:rsidRPr="000E5786">
        <w:rPr>
          <w:rFonts w:cs="Arial"/>
          <w:szCs w:val="20"/>
        </w:rPr>
        <w:t xml:space="preserve">xit </w:t>
      </w:r>
      <w:r w:rsidR="00872CD7" w:rsidRPr="000E5786">
        <w:rPr>
          <w:rFonts w:cs="Arial"/>
          <w:szCs w:val="20"/>
        </w:rPr>
        <w:t xml:space="preserve">assistance </w:t>
      </w:r>
      <w:r w:rsidRPr="000E5786">
        <w:rPr>
          <w:rFonts w:cs="Arial"/>
          <w:szCs w:val="20"/>
        </w:rPr>
        <w:t xml:space="preserve">shall be in accordance with the rates set out in the commercial model in Schedule 7.4 (Product and Service Catalogue). </w:t>
      </w:r>
    </w:p>
    <w:p w14:paraId="11F91A47" w14:textId="77777777" w:rsidR="00407A01" w:rsidRPr="000E5786" w:rsidRDefault="00407A01" w:rsidP="00407A01">
      <w:pPr>
        <w:pStyle w:val="Heading2"/>
        <w:numPr>
          <w:ilvl w:val="0"/>
          <w:numId w:val="0"/>
        </w:numPr>
        <w:spacing w:after="120"/>
        <w:ind w:left="709"/>
        <w:rPr>
          <w:rFonts w:cs="Arial"/>
          <w:szCs w:val="20"/>
        </w:rPr>
      </w:pPr>
    </w:p>
    <w:p w14:paraId="071126EF" w14:textId="77777777" w:rsidR="006E0235" w:rsidRPr="000E5786" w:rsidRDefault="006E0235" w:rsidP="00DA42BF">
      <w:pPr>
        <w:pStyle w:val="Heading1"/>
        <w:spacing w:after="120"/>
        <w:rPr>
          <w:rFonts w:cs="Arial"/>
          <w:szCs w:val="20"/>
        </w:rPr>
      </w:pPr>
      <w:r w:rsidRPr="000E5786">
        <w:rPr>
          <w:rFonts w:cs="Arial"/>
          <w:szCs w:val="20"/>
        </w:rPr>
        <w:t>Service Levels</w:t>
      </w:r>
    </w:p>
    <w:p w14:paraId="380F4976" w14:textId="1C71D4F6" w:rsidR="006E0235" w:rsidRPr="000E5786" w:rsidRDefault="006E0235" w:rsidP="00407A01">
      <w:pPr>
        <w:pStyle w:val="Heading2"/>
        <w:numPr>
          <w:ilvl w:val="0"/>
          <w:numId w:val="0"/>
        </w:numPr>
        <w:spacing w:after="120"/>
        <w:ind w:left="709"/>
        <w:rPr>
          <w:rFonts w:cs="Arial"/>
          <w:szCs w:val="20"/>
        </w:rPr>
      </w:pPr>
      <w:r w:rsidRPr="000E5786">
        <w:rPr>
          <w:rFonts w:cs="Arial"/>
          <w:szCs w:val="20"/>
        </w:rPr>
        <w:t>The Service Levels are defined in Schedule 2.2 (Service Levels).</w:t>
      </w:r>
    </w:p>
    <w:p w14:paraId="56039990" w14:textId="77777777" w:rsidR="00407A01" w:rsidRPr="000E5786" w:rsidRDefault="00407A01" w:rsidP="00407A01">
      <w:pPr>
        <w:pStyle w:val="Heading2"/>
        <w:numPr>
          <w:ilvl w:val="0"/>
          <w:numId w:val="0"/>
        </w:numPr>
        <w:spacing w:after="120"/>
        <w:ind w:left="709" w:hanging="709"/>
        <w:rPr>
          <w:rFonts w:cs="Arial"/>
          <w:szCs w:val="20"/>
        </w:rPr>
      </w:pPr>
    </w:p>
    <w:p w14:paraId="3D81F4E8" w14:textId="77777777" w:rsidR="006E0235" w:rsidRPr="000E5786" w:rsidRDefault="006E0235" w:rsidP="00DA42BF">
      <w:pPr>
        <w:pStyle w:val="Heading1"/>
        <w:spacing w:after="120"/>
        <w:rPr>
          <w:rFonts w:cs="Arial"/>
          <w:szCs w:val="20"/>
        </w:rPr>
      </w:pPr>
      <w:r w:rsidRPr="000E5786">
        <w:rPr>
          <w:rFonts w:cs="Arial"/>
          <w:szCs w:val="20"/>
        </w:rPr>
        <w:t>Provision of Operate Service</w:t>
      </w:r>
    </w:p>
    <w:p w14:paraId="3D9D353C" w14:textId="691FFA2B" w:rsidR="006E0235" w:rsidRPr="000E5786" w:rsidRDefault="006E0235" w:rsidP="00DA42BF">
      <w:pPr>
        <w:pStyle w:val="Heading2"/>
        <w:spacing w:after="120"/>
        <w:rPr>
          <w:rFonts w:cs="Arial"/>
          <w:szCs w:val="20"/>
        </w:rPr>
      </w:pPr>
      <w:r w:rsidRPr="000E5786">
        <w:rPr>
          <w:rFonts w:cs="Arial"/>
          <w:szCs w:val="20"/>
        </w:rPr>
        <w:t xml:space="preserve">The Supplier shall take full control of systems management as described in </w:t>
      </w:r>
      <w:r w:rsidR="00872CD7" w:rsidRPr="000E5786">
        <w:rPr>
          <w:rFonts w:cs="Arial"/>
          <w:szCs w:val="20"/>
        </w:rPr>
        <w:t>Para</w:t>
      </w:r>
      <w:r w:rsidR="00872CD7">
        <w:rPr>
          <w:rFonts w:cs="Arial"/>
          <w:szCs w:val="20"/>
        </w:rPr>
        <w:t>graph</w:t>
      </w:r>
      <w:r w:rsidR="00872CD7" w:rsidRPr="000E5786">
        <w:rPr>
          <w:rFonts w:cs="Arial"/>
          <w:szCs w:val="20"/>
        </w:rPr>
        <w:t xml:space="preserve">s </w:t>
      </w:r>
      <w:r w:rsidRPr="000E5786">
        <w:rPr>
          <w:rFonts w:cs="Arial"/>
          <w:szCs w:val="20"/>
        </w:rPr>
        <w:t xml:space="preserve">5.1.1 to 5.1.15 for the Service Components within the Data Centre to ensure the </w:t>
      </w:r>
      <w:r w:rsidRPr="00CE5734">
        <w:rPr>
          <w:rFonts w:cs="Arial"/>
          <w:bCs w:val="0"/>
          <w:szCs w:val="20"/>
        </w:rPr>
        <w:t>Operate Service</w:t>
      </w:r>
      <w:r w:rsidRPr="000E5786">
        <w:rPr>
          <w:rFonts w:cs="Arial"/>
          <w:szCs w:val="20"/>
        </w:rPr>
        <w:t xml:space="preserve"> is provided in accordance with this Agreement. This includes:</w:t>
      </w:r>
    </w:p>
    <w:p w14:paraId="5310072D" w14:textId="34D651D9" w:rsidR="006E0235" w:rsidRPr="000E5786" w:rsidRDefault="006E0235" w:rsidP="00346A37">
      <w:pPr>
        <w:pStyle w:val="Heading3"/>
      </w:pPr>
      <w:r w:rsidRPr="000E5786">
        <w:t xml:space="preserve">monitoring for, and resolution of any events </w:t>
      </w:r>
      <w:r w:rsidR="008462B3">
        <w:t xml:space="preserve">and problems </w:t>
      </w:r>
      <w:r w:rsidRPr="000E5786">
        <w:t xml:space="preserve">that may impact the Services, to ensure optimal performance and resource consumption combined with maximum service availability within the defined Service </w:t>
      </w:r>
      <w:proofErr w:type="gramStart"/>
      <w:r w:rsidRPr="000E5786">
        <w:t>Levels;</w:t>
      </w:r>
      <w:proofErr w:type="gramEnd"/>
    </w:p>
    <w:p w14:paraId="28F03505" w14:textId="77777777" w:rsidR="006E0235" w:rsidRPr="000E5786" w:rsidRDefault="006E0235" w:rsidP="00346A37">
      <w:pPr>
        <w:pStyle w:val="Heading3"/>
      </w:pPr>
      <w:r w:rsidRPr="000E5786">
        <w:t xml:space="preserve">the configuration and validation of Assets underpinning the Service Components and ensure that such components meet the approved design requirements as part of the Service Component deployment </w:t>
      </w:r>
      <w:proofErr w:type="gramStart"/>
      <w:r w:rsidRPr="000E5786">
        <w:t>activity;</w:t>
      </w:r>
      <w:proofErr w:type="gramEnd"/>
      <w:r w:rsidRPr="000E5786">
        <w:t xml:space="preserve"> </w:t>
      </w:r>
    </w:p>
    <w:p w14:paraId="222EDB55" w14:textId="64994FFC" w:rsidR="006E0235" w:rsidRPr="000E5786" w:rsidRDefault="006E0235" w:rsidP="00346A37">
      <w:pPr>
        <w:pStyle w:val="Heading3"/>
      </w:pPr>
      <w:bookmarkStart w:id="1658" w:name="_Ref446407597"/>
      <w:r w:rsidRPr="000E5786">
        <w:t xml:space="preserve">monitoring, managing and maintaining the data communications within the Data Centre Locations to the Service Levels (this could include the link(s) between the Data Centres but excludes </w:t>
      </w:r>
      <w:proofErr w:type="spellStart"/>
      <w:r w:rsidR="001F1C19">
        <w:t>Netlink</w:t>
      </w:r>
      <w:proofErr w:type="spellEnd"/>
      <w:r w:rsidR="001F1C19">
        <w:t xml:space="preserve"> Star</w:t>
      </w:r>
      <w:r w:rsidRPr="000E5786">
        <w:t>’s WAN and any other data communications not wholly routed within the Data Centre LAN</w:t>
      </w:r>
      <w:proofErr w:type="gramStart"/>
      <w:r w:rsidRPr="000E5786">
        <w:t>);</w:t>
      </w:r>
      <w:bookmarkEnd w:id="1658"/>
      <w:proofErr w:type="gramEnd"/>
    </w:p>
    <w:p w14:paraId="7AA10F89" w14:textId="5EC0EC4F" w:rsidR="006E0235" w:rsidRPr="000E5786" w:rsidRDefault="006E0235" w:rsidP="00346A37">
      <w:pPr>
        <w:pStyle w:val="Heading3"/>
      </w:pPr>
      <w:r w:rsidRPr="000E5786">
        <w:t xml:space="preserve">patching and updating of all Service Components </w:t>
      </w:r>
      <w:r w:rsidR="008462B3">
        <w:t xml:space="preserve">and Assets </w:t>
      </w:r>
      <w:r w:rsidRPr="000E5786">
        <w:t>agreed as in scope of a patch management process during the Transition phase, in accordance with Schedule 8.2 (Change Control Procedure</w:t>
      </w:r>
      <w:proofErr w:type="gramStart"/>
      <w:r w:rsidRPr="000E5786">
        <w:t>);</w:t>
      </w:r>
      <w:proofErr w:type="gramEnd"/>
      <w:r w:rsidRPr="000E5786">
        <w:t xml:space="preserve"> </w:t>
      </w:r>
    </w:p>
    <w:p w14:paraId="0FDDFBCD" w14:textId="77777777" w:rsidR="006E0235" w:rsidRPr="000E5786" w:rsidRDefault="006E0235" w:rsidP="00346A37">
      <w:pPr>
        <w:pStyle w:val="Heading3"/>
      </w:pPr>
      <w:bookmarkStart w:id="1659" w:name="_Hlk79564110"/>
      <w:bookmarkStart w:id="1660" w:name="_Hlk79564005"/>
      <w:r w:rsidRPr="000E5786">
        <w:t>application of anti-virus updates for all Service Components agreed as in scope of an anti-virus management process during the Transition phase, in compliance with the Standards and in accordance with Schedule 2.6 (Security Management</w:t>
      </w:r>
      <w:proofErr w:type="gramStart"/>
      <w:r w:rsidRPr="000E5786">
        <w:t>);</w:t>
      </w:r>
      <w:proofErr w:type="gramEnd"/>
    </w:p>
    <w:bookmarkEnd w:id="1659"/>
    <w:p w14:paraId="521192DB" w14:textId="689E612B" w:rsidR="006E0235" w:rsidRPr="000E5786" w:rsidRDefault="006E0235" w:rsidP="00346A37">
      <w:pPr>
        <w:pStyle w:val="Heading3"/>
      </w:pPr>
      <w:r w:rsidRPr="000E5786">
        <w:t xml:space="preserve">active directory management as agreed in writing with </w:t>
      </w:r>
      <w:proofErr w:type="spellStart"/>
      <w:r w:rsidR="001F1C19">
        <w:t>Netlink</w:t>
      </w:r>
      <w:proofErr w:type="spellEnd"/>
      <w:r w:rsidR="001F1C19">
        <w:t xml:space="preserve"> Star</w:t>
      </w:r>
      <w:r w:rsidRPr="000E5786">
        <w:t xml:space="preserve"> for all Service Components</w:t>
      </w:r>
      <w:bookmarkEnd w:id="1660"/>
      <w:r w:rsidRPr="000E5786">
        <w:t xml:space="preserve"> in accordance with Schedule 2.6 (Security Management</w:t>
      </w:r>
      <w:proofErr w:type="gramStart"/>
      <w:r w:rsidRPr="000E5786">
        <w:t>);</w:t>
      </w:r>
      <w:proofErr w:type="gramEnd"/>
    </w:p>
    <w:p w14:paraId="073BBBEC" w14:textId="7A9CB0D1" w:rsidR="006E0235" w:rsidRPr="000E5786" w:rsidRDefault="006E0235" w:rsidP="00346A37">
      <w:pPr>
        <w:pStyle w:val="Heading3"/>
      </w:pPr>
      <w:r w:rsidRPr="000E5786">
        <w:t xml:space="preserve">backup in accordance with </w:t>
      </w:r>
      <w:r w:rsidR="00872CD7" w:rsidRPr="000E5786">
        <w:t xml:space="preserve">Paragraph </w:t>
      </w:r>
      <w:r w:rsidRPr="000E5786">
        <w:fldChar w:fldCharType="begin"/>
      </w:r>
      <w:r w:rsidRPr="000E5786">
        <w:instrText xml:space="preserve"> REF _Ref82173689 \r \h  \* MERGEFORMAT </w:instrText>
      </w:r>
      <w:r w:rsidRPr="000E5786">
        <w:fldChar w:fldCharType="separate"/>
      </w:r>
      <w:r w:rsidRPr="000E5786">
        <w:t>5.4</w:t>
      </w:r>
      <w:r w:rsidRPr="000E5786">
        <w:fldChar w:fldCharType="end"/>
      </w:r>
      <w:r w:rsidRPr="000E5786">
        <w:t xml:space="preserve"> of this </w:t>
      </w:r>
      <w:proofErr w:type="gramStart"/>
      <w:r w:rsidR="00872CD7" w:rsidRPr="000E5786">
        <w:t>Schedule</w:t>
      </w:r>
      <w:r w:rsidRPr="000E5786">
        <w:t>;</w:t>
      </w:r>
      <w:proofErr w:type="gramEnd"/>
    </w:p>
    <w:p w14:paraId="19A4F07A" w14:textId="4DCCE616" w:rsidR="006E0235" w:rsidRPr="000E5786" w:rsidRDefault="006E0235" w:rsidP="00346A37">
      <w:pPr>
        <w:pStyle w:val="Heading3"/>
      </w:pPr>
      <w:r w:rsidRPr="000E5786">
        <w:t xml:space="preserve">disaster recovery, including failures in any Service Component or from complete systems failure, in accordance with Schedule 8.6 (Business Continuity and IT Service Continuity) and </w:t>
      </w:r>
      <w:r w:rsidR="00872CD7" w:rsidRPr="000E5786">
        <w:t xml:space="preserve">Paragraph </w:t>
      </w:r>
      <w:r w:rsidRPr="000E5786">
        <w:fldChar w:fldCharType="begin"/>
      </w:r>
      <w:r w:rsidRPr="000E5786">
        <w:instrText xml:space="preserve"> REF _Ref82174049 \r \h  \* MERGEFORMAT </w:instrText>
      </w:r>
      <w:r w:rsidRPr="000E5786">
        <w:fldChar w:fldCharType="separate"/>
      </w:r>
      <w:r w:rsidRPr="000E5786">
        <w:t>6</w:t>
      </w:r>
      <w:r w:rsidRPr="000E5786">
        <w:fldChar w:fldCharType="end"/>
      </w:r>
      <w:r w:rsidRPr="000E5786">
        <w:t xml:space="preserve"> of this </w:t>
      </w:r>
      <w:proofErr w:type="gramStart"/>
      <w:r w:rsidRPr="000E5786">
        <w:t>Schedule;</w:t>
      </w:r>
      <w:proofErr w:type="gramEnd"/>
    </w:p>
    <w:p w14:paraId="67AA4472" w14:textId="41F4691D" w:rsidR="006E0235" w:rsidRPr="000E5786" w:rsidRDefault="006E0235" w:rsidP="00346A37">
      <w:pPr>
        <w:pStyle w:val="Heading3"/>
      </w:pPr>
      <w:r w:rsidRPr="000E5786">
        <w:t xml:space="preserve">capacity management by informing </w:t>
      </w:r>
      <w:proofErr w:type="spellStart"/>
      <w:r w:rsidR="001F1C19">
        <w:t>Netlink</w:t>
      </w:r>
      <w:proofErr w:type="spellEnd"/>
      <w:r w:rsidR="001F1C19">
        <w:t xml:space="preserve"> Star</w:t>
      </w:r>
      <w:r w:rsidRPr="000E5786">
        <w:t xml:space="preserve"> of increases or decreases that the Supplier considers necessary to ensure ongoing Operate Service. </w:t>
      </w:r>
      <w:proofErr w:type="spellStart"/>
      <w:r w:rsidR="001F1C19">
        <w:t>Netlink</w:t>
      </w:r>
      <w:proofErr w:type="spellEnd"/>
      <w:r w:rsidR="001F1C19">
        <w:t xml:space="preserve"> Star</w:t>
      </w:r>
      <w:r w:rsidRPr="000E5786">
        <w:t xml:space="preserve"> shall purchase additional hardware as reasonably requested by the Supplier in accordance with </w:t>
      </w:r>
      <w:r w:rsidR="00872CD7" w:rsidRPr="000E5786">
        <w:t xml:space="preserve">Paragraph </w:t>
      </w:r>
      <w:r w:rsidRPr="000E5786">
        <w:t xml:space="preserve">10.4 of this </w:t>
      </w:r>
      <w:proofErr w:type="gramStart"/>
      <w:r w:rsidRPr="000E5786">
        <w:t>Schedule;</w:t>
      </w:r>
      <w:proofErr w:type="gramEnd"/>
      <w:r w:rsidRPr="000E5786">
        <w:t xml:space="preserve"> </w:t>
      </w:r>
    </w:p>
    <w:p w14:paraId="0A10B83D" w14:textId="587152F4" w:rsidR="006E0235" w:rsidRPr="000E5786" w:rsidRDefault="006E0235" w:rsidP="00346A37">
      <w:pPr>
        <w:pStyle w:val="Heading3"/>
      </w:pPr>
      <w:r w:rsidRPr="000E5786">
        <w:t xml:space="preserve">Incident management, including liaison with </w:t>
      </w:r>
      <w:proofErr w:type="spellStart"/>
      <w:r w:rsidR="001F1C19">
        <w:t>Netlink</w:t>
      </w:r>
      <w:proofErr w:type="spellEnd"/>
      <w:r w:rsidR="001F1C19">
        <w:t xml:space="preserve"> Star</w:t>
      </w:r>
      <w:r w:rsidRPr="000E5786">
        <w:t xml:space="preserve"> stakeholders and/or third parties as appropriate to meet target restoration objectives in accordance with </w:t>
      </w:r>
      <w:r w:rsidR="00872CD7" w:rsidRPr="000E5786">
        <w:t xml:space="preserve">Paragraph </w:t>
      </w:r>
      <w:r w:rsidRPr="000E5786">
        <w:fldChar w:fldCharType="begin"/>
      </w:r>
      <w:r w:rsidRPr="000E5786">
        <w:instrText xml:space="preserve"> REF _Ref82174196 \r \h  \* MERGEFORMAT </w:instrText>
      </w:r>
      <w:r w:rsidRPr="000E5786">
        <w:fldChar w:fldCharType="separate"/>
      </w:r>
      <w:r w:rsidRPr="000E5786">
        <w:t>10.7</w:t>
      </w:r>
      <w:r w:rsidRPr="000E5786">
        <w:fldChar w:fldCharType="end"/>
      </w:r>
      <w:r w:rsidRPr="000E5786">
        <w:t xml:space="preserve"> of this </w:t>
      </w:r>
      <w:proofErr w:type="gramStart"/>
      <w:r w:rsidRPr="000E5786">
        <w:t>Schedule;</w:t>
      </w:r>
      <w:proofErr w:type="gramEnd"/>
    </w:p>
    <w:p w14:paraId="3E78A213" w14:textId="0EFBB118" w:rsidR="006E0235" w:rsidRPr="000E5786" w:rsidRDefault="00872CD7" w:rsidP="00346A37">
      <w:pPr>
        <w:pStyle w:val="Heading3"/>
      </w:pPr>
      <w:r w:rsidRPr="000E5786">
        <w:t xml:space="preserve">use </w:t>
      </w:r>
      <w:r w:rsidR="006E0235" w:rsidRPr="000E5786">
        <w:t xml:space="preserve">predictive analytics and alerts to undertake pre-emptive maintenance, proactively investigate recurring incidents to identify mitigations and to minimise the impact of incidents that cannot be </w:t>
      </w:r>
      <w:proofErr w:type="gramStart"/>
      <w:r w:rsidR="006E0235" w:rsidRPr="000E5786">
        <w:t>prevented;</w:t>
      </w:r>
      <w:proofErr w:type="gramEnd"/>
    </w:p>
    <w:p w14:paraId="34EE894C" w14:textId="77777777" w:rsidR="006E0235" w:rsidRPr="000E5786" w:rsidRDefault="006E0235" w:rsidP="00346A37">
      <w:pPr>
        <w:pStyle w:val="Heading3"/>
      </w:pPr>
      <w:r w:rsidRPr="000E5786">
        <w:t>undertake proactive maintenance activities within a Scheduled Maintenance Window defined in Schedule 2.2 (Service Levels</w:t>
      </w:r>
      <w:proofErr w:type="gramStart"/>
      <w:r w:rsidRPr="000E5786">
        <w:t>);</w:t>
      </w:r>
      <w:proofErr w:type="gramEnd"/>
    </w:p>
    <w:p w14:paraId="3E15ECA5" w14:textId="0E88372E" w:rsidR="006E0235" w:rsidRPr="000E5786" w:rsidRDefault="006E0235" w:rsidP="00346A37">
      <w:pPr>
        <w:pStyle w:val="Heading3"/>
      </w:pPr>
      <w:r w:rsidRPr="000E5786">
        <w:t xml:space="preserve">provide reasonable cooperation (at no additional cost to Supplier) regarding warranty contracts for </w:t>
      </w:r>
      <w:proofErr w:type="spellStart"/>
      <w:r w:rsidR="001F1C19">
        <w:t>Netlink</w:t>
      </w:r>
      <w:proofErr w:type="spellEnd"/>
      <w:r w:rsidR="001F1C19">
        <w:t xml:space="preserve"> Star</w:t>
      </w:r>
      <w:r w:rsidRPr="000E5786">
        <w:t xml:space="preserve"> Assets (hardware and software) which are necessary for the Services, subject always to Supplier not being responsible for any failure on the part of such third party to meet its warranty support </w:t>
      </w:r>
      <w:proofErr w:type="gramStart"/>
      <w:r w:rsidRPr="000E5786">
        <w:t>obligations;</w:t>
      </w:r>
      <w:proofErr w:type="gramEnd"/>
    </w:p>
    <w:p w14:paraId="6A244D15" w14:textId="1AB99FB4" w:rsidR="006E0235" w:rsidRPr="000E5786" w:rsidRDefault="006E0235" w:rsidP="00346A37">
      <w:pPr>
        <w:pStyle w:val="Heading3"/>
      </w:pPr>
      <w:r w:rsidRPr="000E5786">
        <w:t xml:space="preserve">provide technical support via a support desk 24 hours a day, seven (7) days a week, which interfaces with </w:t>
      </w:r>
      <w:proofErr w:type="spellStart"/>
      <w:r w:rsidR="001F1C19">
        <w:t>Netlink</w:t>
      </w:r>
      <w:proofErr w:type="spellEnd"/>
      <w:r w:rsidR="001F1C19">
        <w:t xml:space="preserve"> Star</w:t>
      </w:r>
      <w:r w:rsidRPr="000E5786">
        <w:t xml:space="preserve"> and/ or </w:t>
      </w:r>
      <w:proofErr w:type="gramStart"/>
      <w:r w:rsidRPr="000E5786">
        <w:t>third party</w:t>
      </w:r>
      <w:proofErr w:type="gramEnd"/>
      <w:r w:rsidRPr="000E5786">
        <w:t xml:space="preserve"> service desks; and</w:t>
      </w:r>
    </w:p>
    <w:p w14:paraId="0DAE01FD" w14:textId="0AD652E2" w:rsidR="006E0235" w:rsidRPr="000E5786" w:rsidRDefault="006E0235" w:rsidP="00346A37">
      <w:pPr>
        <w:pStyle w:val="Heading3"/>
      </w:pPr>
      <w:r w:rsidRPr="000E5786">
        <w:t xml:space="preserve">provide support for all tooling and applications involved in the provision of the Operate Services, including those listed in Schedule 5 </w:t>
      </w:r>
      <w:r w:rsidR="00872CD7" w:rsidRPr="000E5786">
        <w:t>Para</w:t>
      </w:r>
      <w:r w:rsidR="00872CD7">
        <w:t>graph</w:t>
      </w:r>
      <w:r w:rsidR="00872CD7" w:rsidRPr="000E5786">
        <w:t xml:space="preserve"> </w:t>
      </w:r>
      <w:proofErr w:type="gramStart"/>
      <w:r w:rsidRPr="000E5786">
        <w:t>4;</w:t>
      </w:r>
      <w:proofErr w:type="gramEnd"/>
    </w:p>
    <w:p w14:paraId="678EF4D7" w14:textId="03F2A14E" w:rsidR="006E0235" w:rsidRPr="000E5786" w:rsidRDefault="006E0235" w:rsidP="00DA42BF">
      <w:pPr>
        <w:pStyle w:val="Heading2"/>
        <w:spacing w:after="120"/>
        <w:rPr>
          <w:rFonts w:cs="Arial"/>
          <w:szCs w:val="20"/>
        </w:rPr>
      </w:pPr>
      <w:r w:rsidRPr="000E5786">
        <w:rPr>
          <w:rFonts w:cs="Arial"/>
          <w:szCs w:val="20"/>
        </w:rPr>
        <w:t xml:space="preserve">The Supplier shall complete </w:t>
      </w:r>
      <w:proofErr w:type="gramStart"/>
      <w:r w:rsidRPr="000E5786">
        <w:rPr>
          <w:rFonts w:cs="Arial"/>
          <w:szCs w:val="20"/>
        </w:rPr>
        <w:t>scheduled</w:t>
      </w:r>
      <w:proofErr w:type="gramEnd"/>
      <w:r w:rsidRPr="000E5786">
        <w:rPr>
          <w:rFonts w:cs="Arial"/>
          <w:szCs w:val="20"/>
        </w:rPr>
        <w:t xml:space="preserve"> or batch operations reasonably required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where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provides written instructions or Run Books. These operations include:</w:t>
      </w:r>
    </w:p>
    <w:p w14:paraId="7253C334" w14:textId="77777777" w:rsidR="006E0235" w:rsidRPr="000E5786" w:rsidRDefault="006E0235" w:rsidP="00346A37">
      <w:pPr>
        <w:pStyle w:val="Heading3"/>
      </w:pPr>
      <w:r w:rsidRPr="000E5786">
        <w:t xml:space="preserve">running and monitoring backups of component configurations and </w:t>
      </w:r>
      <w:proofErr w:type="gramStart"/>
      <w:r w:rsidRPr="000E5786">
        <w:t>data;</w:t>
      </w:r>
      <w:proofErr w:type="gramEnd"/>
    </w:p>
    <w:p w14:paraId="12749FB3" w14:textId="77777777" w:rsidR="006E0235" w:rsidRPr="000E5786" w:rsidRDefault="006E0235" w:rsidP="00346A37">
      <w:pPr>
        <w:pStyle w:val="Heading3"/>
      </w:pPr>
      <w:r w:rsidRPr="000E5786">
        <w:lastRenderedPageBreak/>
        <w:t xml:space="preserve">master data archiving; and </w:t>
      </w:r>
    </w:p>
    <w:p w14:paraId="1F1F489B" w14:textId="77777777" w:rsidR="006E0235" w:rsidRPr="000E5786" w:rsidRDefault="006E0235" w:rsidP="00346A37">
      <w:pPr>
        <w:pStyle w:val="Heading3"/>
      </w:pPr>
      <w:r w:rsidRPr="000E5786">
        <w:t>morning checks after overnight runs including overnight reporting processing.</w:t>
      </w:r>
    </w:p>
    <w:p w14:paraId="0E312D17" w14:textId="3A17F5C3" w:rsidR="006E0235" w:rsidRPr="000E5786" w:rsidRDefault="006E0235" w:rsidP="00DA42BF">
      <w:pPr>
        <w:pStyle w:val="Heading2"/>
        <w:spacing w:after="120"/>
        <w:rPr>
          <w:rFonts w:cs="Arial"/>
          <w:b/>
          <w:szCs w:val="20"/>
        </w:rPr>
      </w:pPr>
      <w:bookmarkStart w:id="1661" w:name="_Ref82173689"/>
      <w:r w:rsidRPr="000E5786">
        <w:rPr>
          <w:rFonts w:cs="Arial"/>
          <w:szCs w:val="20"/>
        </w:rPr>
        <w:t>The Supplier shall backup in accordance with the Backup Policy which shall be made available to the Supplier during the Initial Transition Project in accordance with Schedule 6.4 (Initial Transition Project), including:</w:t>
      </w:r>
      <w:bookmarkEnd w:id="1661"/>
    </w:p>
    <w:p w14:paraId="0F9B8979" w14:textId="68C58D47" w:rsidR="006E0235" w:rsidRPr="000E5786" w:rsidRDefault="006E0235" w:rsidP="00346A37">
      <w:pPr>
        <w:pStyle w:val="Heading3"/>
      </w:pPr>
      <w:bookmarkStart w:id="1662" w:name="_Ref79150633"/>
      <w:r w:rsidRPr="000E5786">
        <w:t>backup of the Service Components and configurations of the Operate Service on a daily basis between 6pm-</w:t>
      </w:r>
      <w:proofErr w:type="gramStart"/>
      <w:r w:rsidRPr="000E5786">
        <w:t>1am;</w:t>
      </w:r>
      <w:bookmarkEnd w:id="1662"/>
      <w:proofErr w:type="gramEnd"/>
    </w:p>
    <w:p w14:paraId="5CF5B0AF" w14:textId="77777777" w:rsidR="006E0235" w:rsidRPr="000E5786" w:rsidRDefault="006E0235" w:rsidP="00346A37">
      <w:pPr>
        <w:pStyle w:val="Heading3"/>
      </w:pPr>
      <w:r w:rsidRPr="000E5786">
        <w:t xml:space="preserve">logging and reporting on all backup and restoration failures and time required to </w:t>
      </w:r>
      <w:proofErr w:type="gramStart"/>
      <w:r w:rsidRPr="000E5786">
        <w:t>complete;</w:t>
      </w:r>
      <w:proofErr w:type="gramEnd"/>
    </w:p>
    <w:p w14:paraId="58881F96" w14:textId="77777777" w:rsidR="006E0235" w:rsidRPr="000E5786" w:rsidRDefault="006E0235" w:rsidP="00346A37">
      <w:pPr>
        <w:pStyle w:val="Heading3"/>
      </w:pPr>
      <w:r w:rsidRPr="000E5786">
        <w:t xml:space="preserve">any failed backup to be restarted and successfully </w:t>
      </w:r>
      <w:proofErr w:type="gramStart"/>
      <w:r w:rsidRPr="000E5786">
        <w:t>completed;</w:t>
      </w:r>
      <w:proofErr w:type="gramEnd"/>
    </w:p>
    <w:p w14:paraId="79309A8D" w14:textId="7DC9D965" w:rsidR="006E0235" w:rsidRPr="000E5786" w:rsidRDefault="006E0235" w:rsidP="00346A37">
      <w:pPr>
        <w:pStyle w:val="Heading3"/>
      </w:pPr>
      <w:r w:rsidRPr="000E5786">
        <w:t xml:space="preserve">performing Cyclic Redundancy Checks Errors to indicate where data has been corrupted by verifying it against the data extracted, ensuring its accuracy with monthly </w:t>
      </w:r>
      <w:proofErr w:type="gramStart"/>
      <w:r w:rsidRPr="000E5786">
        <w:t>reports;</w:t>
      </w:r>
      <w:proofErr w:type="gramEnd"/>
      <w:r w:rsidRPr="000E5786">
        <w:t xml:space="preserve"> </w:t>
      </w:r>
    </w:p>
    <w:p w14:paraId="58A603FD" w14:textId="77777777" w:rsidR="006E0235" w:rsidRPr="000E5786" w:rsidRDefault="006E0235" w:rsidP="00346A37">
      <w:pPr>
        <w:pStyle w:val="Heading3"/>
      </w:pPr>
      <w:r w:rsidRPr="000E5786">
        <w:t xml:space="preserve">providing recommendations for backup schedules efficiency improvements to ensure backup window limitations are </w:t>
      </w:r>
      <w:proofErr w:type="gramStart"/>
      <w:r w:rsidRPr="000E5786">
        <w:t>met;</w:t>
      </w:r>
      <w:proofErr w:type="gramEnd"/>
    </w:p>
    <w:p w14:paraId="73F3E8FC" w14:textId="0E22ED67" w:rsidR="006E0235" w:rsidRPr="000E5786" w:rsidRDefault="006E0235" w:rsidP="00346A37">
      <w:pPr>
        <w:pStyle w:val="Heading3"/>
      </w:pPr>
      <w:r w:rsidRPr="000E5786">
        <w:t xml:space="preserve">creation and maintenance of back up Run Books with input from </w:t>
      </w:r>
      <w:proofErr w:type="spellStart"/>
      <w:r w:rsidR="001F1C19">
        <w:t>Netlink</w:t>
      </w:r>
      <w:proofErr w:type="spellEnd"/>
      <w:r w:rsidR="001F1C19">
        <w:t xml:space="preserve"> Star</w:t>
      </w:r>
      <w:r w:rsidRPr="000E5786">
        <w:t xml:space="preserve">’s application owners and </w:t>
      </w:r>
      <w:proofErr w:type="gramStart"/>
      <w:r w:rsidRPr="000E5786">
        <w:t>SMEs;</w:t>
      </w:r>
      <w:proofErr w:type="gramEnd"/>
    </w:p>
    <w:p w14:paraId="6F3DF0D9" w14:textId="77777777" w:rsidR="006E0235" w:rsidRPr="000E5786" w:rsidRDefault="006E0235" w:rsidP="00346A37">
      <w:pPr>
        <w:pStyle w:val="Heading3"/>
      </w:pPr>
      <w:r w:rsidRPr="000E5786">
        <w:t xml:space="preserve">backup all data on the storage infrastructure and retention of the same for one (1) </w:t>
      </w:r>
      <w:proofErr w:type="gramStart"/>
      <w:r w:rsidRPr="000E5786">
        <w:t>year;</w:t>
      </w:r>
      <w:proofErr w:type="gramEnd"/>
      <w:r w:rsidRPr="000E5786">
        <w:t xml:space="preserve"> </w:t>
      </w:r>
    </w:p>
    <w:p w14:paraId="364DA4DA" w14:textId="77777777" w:rsidR="006E0235" w:rsidRPr="000E5786" w:rsidRDefault="006E0235" w:rsidP="00346A37">
      <w:pPr>
        <w:pStyle w:val="Heading3"/>
      </w:pPr>
      <w:r w:rsidRPr="000E5786">
        <w:t xml:space="preserve">full backups weekly and monthly, and with incremental backups </w:t>
      </w:r>
      <w:proofErr w:type="gramStart"/>
      <w:r w:rsidRPr="000E5786">
        <w:t>daily;</w:t>
      </w:r>
      <w:proofErr w:type="gramEnd"/>
      <w:r w:rsidRPr="000E5786">
        <w:t xml:space="preserve"> </w:t>
      </w:r>
    </w:p>
    <w:p w14:paraId="5BBA07F3" w14:textId="77777777" w:rsidR="006E0235" w:rsidRPr="000E5786" w:rsidRDefault="006E0235" w:rsidP="00346A37">
      <w:pPr>
        <w:pStyle w:val="Heading3"/>
      </w:pPr>
      <w:r w:rsidRPr="000E5786">
        <w:t xml:space="preserve">backups shall be replicated to the Manchester Data Centre in accordance with Schedule 2.5 (Customer Locations) onto the </w:t>
      </w:r>
      <w:bookmarkStart w:id="1663" w:name="_Hlk81993665"/>
      <w:r w:rsidRPr="000E5786">
        <w:t xml:space="preserve">backup platform </w:t>
      </w:r>
      <w:bookmarkEnd w:id="1663"/>
      <w:r w:rsidRPr="000E5786">
        <w:t xml:space="preserve">managed and maintained by the </w:t>
      </w:r>
      <w:proofErr w:type="gramStart"/>
      <w:r w:rsidRPr="000E5786">
        <w:t>Supplier;</w:t>
      </w:r>
      <w:proofErr w:type="gramEnd"/>
      <w:r w:rsidRPr="000E5786">
        <w:t xml:space="preserve"> </w:t>
      </w:r>
    </w:p>
    <w:p w14:paraId="0ACFDD6E" w14:textId="77777777" w:rsidR="006E0235" w:rsidRPr="000E5786" w:rsidRDefault="006E0235" w:rsidP="00346A37">
      <w:pPr>
        <w:pStyle w:val="Heading3"/>
      </w:pPr>
      <w:r w:rsidRPr="000E5786">
        <w:t>the backup platform includes recovery application (Avamar), backup storage system (Data Domain), backup vault system (Cyber Recovery Vault), backup proxy system, backup agents and integration.</w:t>
      </w:r>
    </w:p>
    <w:p w14:paraId="636E8ADE" w14:textId="77777777" w:rsidR="006E0235" w:rsidRPr="000E5786" w:rsidRDefault="006E0235" w:rsidP="00346A37">
      <w:pPr>
        <w:pStyle w:val="Heading3"/>
      </w:pPr>
      <w:r w:rsidRPr="000E5786">
        <w:t>testing the restore process at least once per month; and</w:t>
      </w:r>
    </w:p>
    <w:p w14:paraId="22D2528C" w14:textId="6CFA4781" w:rsidR="006E0235" w:rsidRPr="000E5786" w:rsidRDefault="006E0235" w:rsidP="00346A37">
      <w:pPr>
        <w:pStyle w:val="Heading3"/>
      </w:pPr>
      <w:r w:rsidRPr="000E5786">
        <w:t xml:space="preserve">retaining media for backups, using the media and off-site storage service provided by </w:t>
      </w:r>
      <w:proofErr w:type="spellStart"/>
      <w:r w:rsidR="001F1C19">
        <w:t>Netlink</w:t>
      </w:r>
      <w:proofErr w:type="spellEnd"/>
      <w:r w:rsidR="001F1C19">
        <w:t xml:space="preserve"> Star</w:t>
      </w:r>
      <w:r w:rsidRPr="000E5786">
        <w:t xml:space="preserve"> or a nominated third-party, as follows and subject to change in the backup policy. At a minimum: </w:t>
      </w:r>
    </w:p>
    <w:p w14:paraId="79B58DE9" w14:textId="217DBA74" w:rsidR="006E0235" w:rsidRPr="000E5786" w:rsidRDefault="00CE5734" w:rsidP="00CE5734">
      <w:pPr>
        <w:pStyle w:val="Heading4"/>
        <w:tabs>
          <w:tab w:val="clear" w:pos="1702"/>
        </w:tabs>
        <w:spacing w:after="120"/>
        <w:ind w:left="2410"/>
        <w:rPr>
          <w:rFonts w:cs="Arial"/>
          <w:szCs w:val="20"/>
        </w:rPr>
      </w:pPr>
      <w:r w:rsidRPr="000E5786">
        <w:rPr>
          <w:rFonts w:cs="Arial"/>
          <w:szCs w:val="20"/>
        </w:rPr>
        <w:t xml:space="preserve">each </w:t>
      </w:r>
      <w:r w:rsidR="006E0235" w:rsidRPr="000E5786">
        <w:rPr>
          <w:rFonts w:cs="Arial"/>
          <w:szCs w:val="20"/>
        </w:rPr>
        <w:t xml:space="preserve">daily incremental backup shall be retained for one </w:t>
      </w:r>
      <w:r w:rsidR="00872CD7">
        <w:rPr>
          <w:rFonts w:cs="Arial"/>
          <w:szCs w:val="20"/>
        </w:rPr>
        <w:t xml:space="preserve">(1) </w:t>
      </w:r>
      <w:proofErr w:type="gramStart"/>
      <w:r w:rsidR="006E0235" w:rsidRPr="000E5786">
        <w:rPr>
          <w:rFonts w:cs="Arial"/>
          <w:szCs w:val="20"/>
        </w:rPr>
        <w:t>week;</w:t>
      </w:r>
      <w:proofErr w:type="gramEnd"/>
    </w:p>
    <w:p w14:paraId="451227AB" w14:textId="3736E783" w:rsidR="006E0235" w:rsidRPr="000E5786" w:rsidRDefault="006E0235" w:rsidP="00CE5734">
      <w:pPr>
        <w:pStyle w:val="Heading4"/>
        <w:tabs>
          <w:tab w:val="clear" w:pos="1702"/>
        </w:tabs>
        <w:spacing w:after="120"/>
        <w:ind w:left="2410"/>
        <w:rPr>
          <w:rFonts w:cs="Arial"/>
          <w:szCs w:val="20"/>
        </w:rPr>
      </w:pPr>
      <w:r w:rsidRPr="000E5786">
        <w:rPr>
          <w:rFonts w:cs="Arial"/>
          <w:szCs w:val="20"/>
        </w:rPr>
        <w:t>each weekly full backup shall be retained for one</w:t>
      </w:r>
      <w:r w:rsidR="00872CD7">
        <w:rPr>
          <w:rFonts w:cs="Arial"/>
          <w:szCs w:val="20"/>
        </w:rPr>
        <w:t xml:space="preserve"> (1)</w:t>
      </w:r>
      <w:r w:rsidRPr="000E5786">
        <w:rPr>
          <w:rFonts w:cs="Arial"/>
          <w:szCs w:val="20"/>
        </w:rPr>
        <w:t xml:space="preserve"> </w:t>
      </w:r>
      <w:proofErr w:type="gramStart"/>
      <w:r w:rsidRPr="000E5786">
        <w:rPr>
          <w:rFonts w:cs="Arial"/>
          <w:szCs w:val="20"/>
        </w:rPr>
        <w:t>month;</w:t>
      </w:r>
      <w:proofErr w:type="gramEnd"/>
    </w:p>
    <w:p w14:paraId="6488A70E" w14:textId="40C6B210" w:rsidR="006E0235" w:rsidRPr="000E5786" w:rsidRDefault="006E0235" w:rsidP="00CE5734">
      <w:pPr>
        <w:pStyle w:val="Heading4"/>
        <w:tabs>
          <w:tab w:val="clear" w:pos="1702"/>
        </w:tabs>
        <w:spacing w:after="120"/>
        <w:ind w:left="2410"/>
        <w:rPr>
          <w:rFonts w:cs="Arial"/>
          <w:szCs w:val="20"/>
        </w:rPr>
      </w:pPr>
      <w:r w:rsidRPr="000E5786">
        <w:rPr>
          <w:rFonts w:cs="Arial"/>
          <w:szCs w:val="20"/>
        </w:rPr>
        <w:t xml:space="preserve">each monthly full backup shall be retained off-site for six </w:t>
      </w:r>
      <w:r w:rsidR="00872CD7">
        <w:rPr>
          <w:rFonts w:cs="Arial"/>
          <w:szCs w:val="20"/>
        </w:rPr>
        <w:t xml:space="preserve">(6) </w:t>
      </w:r>
      <w:proofErr w:type="gramStart"/>
      <w:r w:rsidRPr="000E5786">
        <w:rPr>
          <w:rFonts w:cs="Arial"/>
          <w:szCs w:val="20"/>
        </w:rPr>
        <w:t>months;</w:t>
      </w:r>
      <w:proofErr w:type="gramEnd"/>
    </w:p>
    <w:p w14:paraId="697DBF6A" w14:textId="7460C97B" w:rsidR="006E0235" w:rsidRPr="000E5786" w:rsidRDefault="006E0235" w:rsidP="00CE5734">
      <w:pPr>
        <w:pStyle w:val="Heading4"/>
        <w:tabs>
          <w:tab w:val="clear" w:pos="1702"/>
        </w:tabs>
        <w:spacing w:after="120"/>
        <w:ind w:left="2410"/>
        <w:rPr>
          <w:rFonts w:cs="Arial"/>
          <w:szCs w:val="20"/>
        </w:rPr>
      </w:pPr>
      <w:r w:rsidRPr="000E5786">
        <w:rPr>
          <w:rFonts w:cs="Arial"/>
          <w:szCs w:val="20"/>
        </w:rPr>
        <w:t xml:space="preserve">each annual full backup shall be retained off-site for one </w:t>
      </w:r>
      <w:r w:rsidR="00872CD7">
        <w:rPr>
          <w:rFonts w:cs="Arial"/>
          <w:szCs w:val="20"/>
        </w:rPr>
        <w:t xml:space="preserve">(1) </w:t>
      </w:r>
      <w:r w:rsidRPr="000E5786">
        <w:rPr>
          <w:rFonts w:cs="Arial"/>
          <w:szCs w:val="20"/>
        </w:rPr>
        <w:t>year; and</w:t>
      </w:r>
    </w:p>
    <w:p w14:paraId="182544F7" w14:textId="77777777" w:rsidR="006E0235" w:rsidRPr="000E5786" w:rsidRDefault="006E0235" w:rsidP="00CE5734">
      <w:pPr>
        <w:pStyle w:val="Heading4"/>
        <w:tabs>
          <w:tab w:val="clear" w:pos="1702"/>
        </w:tabs>
        <w:spacing w:after="120"/>
        <w:ind w:left="2410"/>
        <w:rPr>
          <w:rFonts w:cs="Arial"/>
          <w:b/>
          <w:szCs w:val="20"/>
        </w:rPr>
      </w:pPr>
      <w:r w:rsidRPr="000E5786">
        <w:rPr>
          <w:rFonts w:cs="Arial"/>
          <w:szCs w:val="20"/>
        </w:rPr>
        <w:t>the foregoing will be confirmed in the Backup Policy to be provided by the Supplier.</w:t>
      </w:r>
    </w:p>
    <w:p w14:paraId="68D36A15" w14:textId="77777777" w:rsidR="006E0235" w:rsidRPr="000E5786" w:rsidRDefault="006E0235" w:rsidP="00DA42BF">
      <w:pPr>
        <w:pStyle w:val="Heading2"/>
        <w:spacing w:after="120"/>
        <w:rPr>
          <w:rFonts w:cs="Arial"/>
          <w:szCs w:val="20"/>
        </w:rPr>
      </w:pPr>
      <w:bookmarkStart w:id="1664" w:name="_Ref79154362"/>
      <w:r w:rsidRPr="000E5786">
        <w:rPr>
          <w:rFonts w:cs="Arial"/>
          <w:szCs w:val="20"/>
        </w:rPr>
        <w:t>The Supplier shall provide Asset management services to manage assets across their entire lifecycle including:</w:t>
      </w:r>
      <w:bookmarkEnd w:id="1664"/>
    </w:p>
    <w:p w14:paraId="119983DE" w14:textId="77777777" w:rsidR="006E0235" w:rsidRPr="000E5786" w:rsidRDefault="006E0235" w:rsidP="00346A37">
      <w:pPr>
        <w:pStyle w:val="Heading3"/>
      </w:pPr>
      <w:r w:rsidRPr="000E5786">
        <w:t xml:space="preserve">ensuring Assets are compliant with the terms of applicable licensing </w:t>
      </w:r>
      <w:proofErr w:type="gramStart"/>
      <w:r w:rsidRPr="000E5786">
        <w:t>agreements;</w:t>
      </w:r>
      <w:proofErr w:type="gramEnd"/>
    </w:p>
    <w:p w14:paraId="4964A620" w14:textId="58961DD1" w:rsidR="006E0235" w:rsidRPr="000E5786" w:rsidRDefault="006E0235" w:rsidP="00346A37">
      <w:pPr>
        <w:pStyle w:val="Heading3"/>
      </w:pPr>
      <w:r w:rsidRPr="000E5786">
        <w:t xml:space="preserve">deployment and use of the software assets is managed proactively to optimise for cost and benefits to </w:t>
      </w:r>
      <w:proofErr w:type="spellStart"/>
      <w:r w:rsidR="001F1C19">
        <w:t>Netlink</w:t>
      </w:r>
      <w:proofErr w:type="spellEnd"/>
      <w:r w:rsidR="001F1C19">
        <w:t xml:space="preserve"> </w:t>
      </w:r>
      <w:proofErr w:type="gramStart"/>
      <w:r w:rsidR="001F1C19">
        <w:t>Star</w:t>
      </w:r>
      <w:r w:rsidRPr="000E5786">
        <w:t>;</w:t>
      </w:r>
      <w:proofErr w:type="gramEnd"/>
    </w:p>
    <w:p w14:paraId="35460898" w14:textId="77777777" w:rsidR="006E0235" w:rsidRPr="000E5786" w:rsidRDefault="006E0235" w:rsidP="00346A37">
      <w:pPr>
        <w:pStyle w:val="Heading3"/>
      </w:pPr>
      <w:r w:rsidRPr="000E5786">
        <w:t>lifecycle events are mitigated with agreed appropriate proactive actions (</w:t>
      </w:r>
      <w:proofErr w:type="gramStart"/>
      <w:r w:rsidRPr="000E5786">
        <w:t>e.g.</w:t>
      </w:r>
      <w:proofErr w:type="gramEnd"/>
      <w:r w:rsidRPr="000E5786">
        <w:t xml:space="preserve"> patch, upgrade, renew, replace, retire);</w:t>
      </w:r>
    </w:p>
    <w:p w14:paraId="5AC4896E" w14:textId="77777777" w:rsidR="006E0235" w:rsidRPr="000E5786" w:rsidRDefault="006E0235" w:rsidP="00346A37">
      <w:pPr>
        <w:pStyle w:val="Heading3"/>
      </w:pPr>
      <w:r w:rsidRPr="000E5786">
        <w:t xml:space="preserve">that service designs reviewed and agreed during transition, are maintained over their entire </w:t>
      </w:r>
      <w:proofErr w:type="gramStart"/>
      <w:r w:rsidRPr="000E5786">
        <w:t>lifecycle</w:t>
      </w:r>
      <w:proofErr w:type="gramEnd"/>
      <w:r w:rsidRPr="000E5786">
        <w:t xml:space="preserve"> and shall include:</w:t>
      </w:r>
    </w:p>
    <w:p w14:paraId="40D9357A" w14:textId="77777777" w:rsidR="006E0235" w:rsidRPr="000E5786" w:rsidRDefault="006E0235" w:rsidP="00CE5734">
      <w:pPr>
        <w:pStyle w:val="Heading4"/>
        <w:tabs>
          <w:tab w:val="clear" w:pos="1702"/>
        </w:tabs>
        <w:spacing w:after="120"/>
        <w:ind w:left="2410"/>
        <w:rPr>
          <w:rFonts w:cs="Arial"/>
          <w:szCs w:val="20"/>
        </w:rPr>
      </w:pPr>
      <w:r w:rsidRPr="000E5786">
        <w:rPr>
          <w:rFonts w:cs="Arial"/>
          <w:szCs w:val="20"/>
        </w:rPr>
        <w:t>a software asset lifecycle budget (including purchase, maintenance, support</w:t>
      </w:r>
      <w:proofErr w:type="gramStart"/>
      <w:r w:rsidRPr="000E5786">
        <w:rPr>
          <w:rFonts w:cs="Arial"/>
          <w:szCs w:val="20"/>
        </w:rPr>
        <w:t>);</w:t>
      </w:r>
      <w:proofErr w:type="gramEnd"/>
    </w:p>
    <w:p w14:paraId="67E54E1A" w14:textId="77777777" w:rsidR="006E0235" w:rsidRPr="000E5786" w:rsidRDefault="006E0235" w:rsidP="00CE5734">
      <w:pPr>
        <w:pStyle w:val="Heading4"/>
        <w:tabs>
          <w:tab w:val="clear" w:pos="1702"/>
        </w:tabs>
        <w:spacing w:after="120"/>
        <w:ind w:left="2410"/>
        <w:rPr>
          <w:rFonts w:cs="Arial"/>
          <w:szCs w:val="20"/>
        </w:rPr>
      </w:pPr>
      <w:r w:rsidRPr="000E5786">
        <w:rPr>
          <w:rFonts w:cs="Arial"/>
          <w:szCs w:val="20"/>
        </w:rPr>
        <w:lastRenderedPageBreak/>
        <w:t>a software asset lifecycle plan, specifying major lifecycle events (patching schedules, end of manufacturer, end of support, refresh, replace, retire etc.); and</w:t>
      </w:r>
    </w:p>
    <w:p w14:paraId="62F231E8" w14:textId="77777777" w:rsidR="006E0235" w:rsidRPr="000E5786" w:rsidRDefault="006E0235" w:rsidP="00CE5734">
      <w:pPr>
        <w:pStyle w:val="Heading4"/>
        <w:tabs>
          <w:tab w:val="clear" w:pos="1702"/>
        </w:tabs>
        <w:spacing w:after="120"/>
        <w:ind w:left="2410"/>
        <w:rPr>
          <w:rFonts w:cs="Arial"/>
          <w:szCs w:val="20"/>
        </w:rPr>
      </w:pPr>
      <w:r w:rsidRPr="000E5786">
        <w:rPr>
          <w:rFonts w:cs="Arial"/>
          <w:szCs w:val="20"/>
        </w:rPr>
        <w:t xml:space="preserve">tooling (or manual workarounds) to provide software inventory </w:t>
      </w:r>
      <w:proofErr w:type="gramStart"/>
      <w:r w:rsidRPr="000E5786">
        <w:rPr>
          <w:rFonts w:cs="Arial"/>
          <w:szCs w:val="20"/>
        </w:rPr>
        <w:t>data;</w:t>
      </w:r>
      <w:proofErr w:type="gramEnd"/>
    </w:p>
    <w:p w14:paraId="007171CB" w14:textId="77777777" w:rsidR="006E0235" w:rsidRPr="000E5786" w:rsidRDefault="006E0235" w:rsidP="00346A37">
      <w:pPr>
        <w:pStyle w:val="Heading3"/>
      </w:pPr>
      <w:r w:rsidRPr="000E5786">
        <w:t>updating and routinely (at a minimum quarterly) re-publishing the software asset lifecycle plan for each asset/</w:t>
      </w:r>
      <w:proofErr w:type="gramStart"/>
      <w:r w:rsidRPr="000E5786">
        <w:t>class;</w:t>
      </w:r>
      <w:proofErr w:type="gramEnd"/>
    </w:p>
    <w:p w14:paraId="1B272A6D" w14:textId="77777777" w:rsidR="006E0235" w:rsidRPr="000E5786" w:rsidRDefault="006E0235" w:rsidP="00346A37">
      <w:pPr>
        <w:pStyle w:val="Heading3"/>
      </w:pPr>
      <w:r w:rsidRPr="000E5786">
        <w:t xml:space="preserve">routinely reviewing the lifecycle position and agreeing actions to mitigate and </w:t>
      </w:r>
      <w:proofErr w:type="gramStart"/>
      <w:r w:rsidRPr="000E5786">
        <w:t>optimise;</w:t>
      </w:r>
      <w:proofErr w:type="gramEnd"/>
    </w:p>
    <w:p w14:paraId="48935B7C" w14:textId="77777777" w:rsidR="006E0235" w:rsidRPr="000E5786" w:rsidRDefault="006E0235" w:rsidP="00346A37">
      <w:pPr>
        <w:pStyle w:val="Heading3"/>
      </w:pPr>
      <w:r w:rsidRPr="000E5786">
        <w:t xml:space="preserve">maintaining and verifying the accuracy of the deployed software </w:t>
      </w:r>
      <w:proofErr w:type="gramStart"/>
      <w:r w:rsidRPr="000E5786">
        <w:t>inventory;</w:t>
      </w:r>
      <w:proofErr w:type="gramEnd"/>
    </w:p>
    <w:p w14:paraId="582978C1" w14:textId="77777777" w:rsidR="006E0235" w:rsidRPr="000E5786" w:rsidRDefault="006E0235" w:rsidP="00346A37">
      <w:pPr>
        <w:pStyle w:val="Heading3"/>
      </w:pPr>
      <w:r w:rsidRPr="000E5786">
        <w:t>maintaining and verifying the accuracy of the software asset register (licenses held/owned</w:t>
      </w:r>
      <w:proofErr w:type="gramStart"/>
      <w:r w:rsidRPr="000E5786">
        <w:t>);</w:t>
      </w:r>
      <w:proofErr w:type="gramEnd"/>
    </w:p>
    <w:p w14:paraId="4A0A5808" w14:textId="77777777" w:rsidR="006E0235" w:rsidRPr="000E5786" w:rsidRDefault="006E0235" w:rsidP="00346A37">
      <w:pPr>
        <w:pStyle w:val="Heading3"/>
      </w:pPr>
      <w:r w:rsidRPr="000E5786">
        <w:t xml:space="preserve">providing reports/dashboards on the overall license compliance </w:t>
      </w:r>
      <w:proofErr w:type="gramStart"/>
      <w:r w:rsidRPr="000E5786">
        <w:t>position;</w:t>
      </w:r>
      <w:proofErr w:type="gramEnd"/>
      <w:r w:rsidRPr="000E5786">
        <w:t xml:space="preserve"> </w:t>
      </w:r>
    </w:p>
    <w:p w14:paraId="09E01588" w14:textId="1202C1CE" w:rsidR="006E0235" w:rsidRPr="000E5786" w:rsidRDefault="006E0235" w:rsidP="00346A37">
      <w:pPr>
        <w:pStyle w:val="Heading3"/>
      </w:pPr>
      <w:r w:rsidRPr="000E5786">
        <w:t xml:space="preserve">providing resources to </w:t>
      </w:r>
      <w:proofErr w:type="spellStart"/>
      <w:r w:rsidR="001F1C19">
        <w:t>Netlink</w:t>
      </w:r>
      <w:proofErr w:type="spellEnd"/>
      <w:r w:rsidR="001F1C19">
        <w:t xml:space="preserve"> Star</w:t>
      </w:r>
      <w:r w:rsidRPr="000E5786">
        <w:t xml:space="preserve"> to assist them in responding to internal and external audit </w:t>
      </w:r>
      <w:proofErr w:type="gramStart"/>
      <w:r w:rsidRPr="000E5786">
        <w:t>requests;</w:t>
      </w:r>
      <w:proofErr w:type="gramEnd"/>
      <w:r w:rsidRPr="000E5786">
        <w:t xml:space="preserve"> </w:t>
      </w:r>
    </w:p>
    <w:p w14:paraId="74A6C816" w14:textId="0ED1BE60" w:rsidR="006E0235" w:rsidRPr="000E5786" w:rsidRDefault="006E0235" w:rsidP="00346A37">
      <w:pPr>
        <w:pStyle w:val="Heading3"/>
      </w:pPr>
      <w:r w:rsidRPr="000E5786">
        <w:t xml:space="preserve">maintaining a register of the release version numbers recommended by it for all Infrastructure or Platform Service Components which is accessible by </w:t>
      </w:r>
      <w:proofErr w:type="spellStart"/>
      <w:r w:rsidR="001F1C19">
        <w:t>Netlink</w:t>
      </w:r>
      <w:proofErr w:type="spellEnd"/>
      <w:r w:rsidR="001F1C19">
        <w:t xml:space="preserve"> Star</w:t>
      </w:r>
      <w:r w:rsidRPr="000E5786">
        <w:t xml:space="preserve"> on a real time basis (“</w:t>
      </w:r>
      <w:r w:rsidRPr="000E5786">
        <w:rPr>
          <w:b/>
        </w:rPr>
        <w:t>Release Register</w:t>
      </w:r>
      <w:r w:rsidRPr="000E5786">
        <w:t>”</w:t>
      </w:r>
      <w:proofErr w:type="gramStart"/>
      <w:r w:rsidRPr="000E5786">
        <w:t>);</w:t>
      </w:r>
      <w:proofErr w:type="gramEnd"/>
      <w:r w:rsidRPr="000E5786">
        <w:t xml:space="preserve"> </w:t>
      </w:r>
    </w:p>
    <w:p w14:paraId="3D56F159" w14:textId="1F8127BE" w:rsidR="006E0235" w:rsidRPr="000E5786" w:rsidRDefault="006E0235" w:rsidP="00346A37">
      <w:pPr>
        <w:pStyle w:val="Heading3"/>
      </w:pPr>
      <w:r w:rsidRPr="000E5786">
        <w:t xml:space="preserve">reviewing the Release Register on a quarterly basis with </w:t>
      </w:r>
      <w:proofErr w:type="spellStart"/>
      <w:r w:rsidR="001F1C19">
        <w:t>Netlink</w:t>
      </w:r>
      <w:proofErr w:type="spellEnd"/>
      <w:r w:rsidR="001F1C19">
        <w:t xml:space="preserve"> Star</w:t>
      </w:r>
      <w:r w:rsidRPr="000E5786">
        <w:t xml:space="preserve"> to agree and define a forecast plan for Infrastructure or Platform Service Component Upgrades to be managed by the Supplier together with reporting on the progress of upgrades for the previous quarter in accordance with Schedule 2.6 (Security Management); and</w:t>
      </w:r>
    </w:p>
    <w:p w14:paraId="4B75B8D3" w14:textId="38DE66B6" w:rsidR="006E0235" w:rsidRPr="000E5786" w:rsidRDefault="006E0235" w:rsidP="00346A37">
      <w:pPr>
        <w:pStyle w:val="Heading3"/>
      </w:pPr>
      <w:r w:rsidRPr="000E5786">
        <w:t xml:space="preserve">maintaining the </w:t>
      </w:r>
      <w:proofErr w:type="spellStart"/>
      <w:r w:rsidR="001F1C19">
        <w:t>Netlink</w:t>
      </w:r>
      <w:proofErr w:type="spellEnd"/>
      <w:r w:rsidR="001F1C19">
        <w:t xml:space="preserve"> Star</w:t>
      </w:r>
      <w:r w:rsidRPr="000E5786">
        <w:t xml:space="preserve"> CMDB in accordance with </w:t>
      </w:r>
      <w:r w:rsidR="00872CD7" w:rsidRPr="000E5786">
        <w:t xml:space="preserve">Paragraph </w:t>
      </w:r>
      <w:r w:rsidRPr="000E5786">
        <w:fldChar w:fldCharType="begin"/>
      </w:r>
      <w:r w:rsidRPr="000E5786">
        <w:instrText xml:space="preserve"> REF _Ref79156042 \r \h  \* MERGEFORMAT </w:instrText>
      </w:r>
      <w:r w:rsidRPr="000E5786">
        <w:fldChar w:fldCharType="separate"/>
      </w:r>
      <w:r w:rsidRPr="000E5786">
        <w:t>10.4</w:t>
      </w:r>
      <w:r w:rsidRPr="000E5786">
        <w:fldChar w:fldCharType="end"/>
      </w:r>
      <w:r w:rsidRPr="000E5786">
        <w:t xml:space="preserve"> in this Schedule.</w:t>
      </w:r>
    </w:p>
    <w:p w14:paraId="7E405A27" w14:textId="471720EB" w:rsidR="006E0235" w:rsidRPr="000E5786" w:rsidRDefault="006E0235" w:rsidP="00DA42BF">
      <w:pPr>
        <w:pStyle w:val="Heading2"/>
        <w:spacing w:after="120"/>
        <w:rPr>
          <w:rFonts w:cs="Arial"/>
          <w:szCs w:val="20"/>
        </w:rPr>
      </w:pPr>
      <w:r w:rsidRPr="000E5786">
        <w:rPr>
          <w:rFonts w:cs="Arial"/>
          <w:szCs w:val="20"/>
        </w:rPr>
        <w:t xml:space="preserve">The Supplier shall provide a Remote Hands and Eyes Service where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require on-site engineering activities, including:</w:t>
      </w:r>
    </w:p>
    <w:p w14:paraId="05CF92C4" w14:textId="5D56B82D" w:rsidR="006E0235" w:rsidRPr="000E5786" w:rsidRDefault="006E0235" w:rsidP="00346A37">
      <w:pPr>
        <w:pStyle w:val="Heading3"/>
      </w:pPr>
      <w:r w:rsidRPr="000E5786">
        <w:t xml:space="preserve">rebooting or visually inspecting any equipment or cabling and reporting on its state to </w:t>
      </w:r>
      <w:proofErr w:type="spellStart"/>
      <w:r w:rsidR="001F1C19">
        <w:t>Netlink</w:t>
      </w:r>
      <w:proofErr w:type="spellEnd"/>
      <w:r w:rsidR="001F1C19">
        <w:t xml:space="preserve"> </w:t>
      </w:r>
      <w:proofErr w:type="gramStart"/>
      <w:r w:rsidR="001F1C19">
        <w:t>Star</w:t>
      </w:r>
      <w:r w:rsidRPr="000E5786">
        <w:t>;</w:t>
      </w:r>
      <w:proofErr w:type="gramEnd"/>
    </w:p>
    <w:p w14:paraId="073E21C7" w14:textId="62E48A43" w:rsidR="006E0235" w:rsidRPr="000E5786" w:rsidRDefault="006E0235" w:rsidP="00346A37">
      <w:pPr>
        <w:pStyle w:val="Heading3"/>
      </w:pPr>
      <w:r w:rsidRPr="000E5786">
        <w:t xml:space="preserve">deploying, replacing, configuring and relocating data centre hardware components as requested by </w:t>
      </w:r>
      <w:proofErr w:type="spellStart"/>
      <w:r w:rsidR="001F1C19">
        <w:t>Netlink</w:t>
      </w:r>
      <w:proofErr w:type="spellEnd"/>
      <w:r w:rsidR="001F1C19">
        <w:t xml:space="preserve"> </w:t>
      </w:r>
      <w:proofErr w:type="gramStart"/>
      <w:r w:rsidR="001F1C19">
        <w:t>Star</w:t>
      </w:r>
      <w:r w:rsidRPr="000E5786">
        <w:t>;</w:t>
      </w:r>
      <w:proofErr w:type="gramEnd"/>
    </w:p>
    <w:p w14:paraId="75A28816" w14:textId="7499061A" w:rsidR="006E0235" w:rsidRPr="000E5786" w:rsidRDefault="006E0235" w:rsidP="00346A37">
      <w:pPr>
        <w:pStyle w:val="Heading3"/>
      </w:pPr>
      <w:r w:rsidRPr="000E5786">
        <w:t xml:space="preserve">replacing or fixing failed or failing components in accordance with Customer policies and standards detailed in the Policies (and subject to the applicable </w:t>
      </w:r>
      <w:proofErr w:type="gramStart"/>
      <w:r w:rsidRPr="000E5786">
        <w:t>third party</w:t>
      </w:r>
      <w:proofErr w:type="gramEnd"/>
      <w:r w:rsidRPr="000E5786">
        <w:t xml:space="preserve"> support contracts being maintained by </w:t>
      </w:r>
      <w:proofErr w:type="spellStart"/>
      <w:r w:rsidR="001F1C19">
        <w:t>Netlink</w:t>
      </w:r>
      <w:proofErr w:type="spellEnd"/>
      <w:r w:rsidR="001F1C19">
        <w:t xml:space="preserve"> Star</w:t>
      </w:r>
      <w:r w:rsidRPr="000E5786">
        <w:t>) for the following where requested:</w:t>
      </w:r>
    </w:p>
    <w:p w14:paraId="774BA80E" w14:textId="77777777" w:rsidR="006E0235" w:rsidRPr="000E5786" w:rsidRDefault="006E0235" w:rsidP="00CE5734">
      <w:pPr>
        <w:pStyle w:val="Heading4"/>
        <w:tabs>
          <w:tab w:val="clear" w:pos="1702"/>
        </w:tabs>
        <w:spacing w:after="120"/>
        <w:ind w:left="2410"/>
        <w:rPr>
          <w:rFonts w:cs="Arial"/>
          <w:szCs w:val="20"/>
        </w:rPr>
      </w:pPr>
      <w:r w:rsidRPr="000E5786">
        <w:rPr>
          <w:rFonts w:cs="Arial"/>
          <w:szCs w:val="20"/>
        </w:rPr>
        <w:t>Hardware (</w:t>
      </w:r>
      <w:proofErr w:type="gramStart"/>
      <w:r w:rsidRPr="000E5786">
        <w:rPr>
          <w:rFonts w:cs="Arial"/>
          <w:szCs w:val="20"/>
        </w:rPr>
        <w:t>e.g.</w:t>
      </w:r>
      <w:proofErr w:type="gramEnd"/>
      <w:r w:rsidRPr="000E5786">
        <w:rPr>
          <w:rFonts w:cs="Arial"/>
          <w:szCs w:val="20"/>
        </w:rPr>
        <w:t xml:space="preserve"> including CPU, Storage, appliances);</w:t>
      </w:r>
    </w:p>
    <w:p w14:paraId="2C7B08DD" w14:textId="77777777" w:rsidR="006E0235" w:rsidRPr="000E5786" w:rsidRDefault="006E0235" w:rsidP="00CE5734">
      <w:pPr>
        <w:pStyle w:val="Heading4"/>
        <w:tabs>
          <w:tab w:val="clear" w:pos="1702"/>
        </w:tabs>
        <w:spacing w:after="120"/>
        <w:ind w:left="2410"/>
        <w:rPr>
          <w:rFonts w:cs="Arial"/>
          <w:szCs w:val="20"/>
        </w:rPr>
      </w:pPr>
      <w:r w:rsidRPr="000E5786">
        <w:rPr>
          <w:rFonts w:cs="Arial"/>
          <w:szCs w:val="20"/>
        </w:rPr>
        <w:t xml:space="preserve">DC </w:t>
      </w:r>
      <w:proofErr w:type="gramStart"/>
      <w:r w:rsidRPr="000E5786">
        <w:rPr>
          <w:rFonts w:cs="Arial"/>
          <w:szCs w:val="20"/>
        </w:rPr>
        <w:t>LAN;</w:t>
      </w:r>
      <w:proofErr w:type="gramEnd"/>
    </w:p>
    <w:p w14:paraId="070FCFCB" w14:textId="2D8C0483" w:rsidR="006E0235" w:rsidRPr="000E5786" w:rsidRDefault="001F1C19" w:rsidP="00CE5734">
      <w:pPr>
        <w:pStyle w:val="Heading4"/>
        <w:tabs>
          <w:tab w:val="clear" w:pos="1702"/>
        </w:tabs>
        <w:spacing w:after="120"/>
        <w:ind w:left="2410"/>
        <w:rPr>
          <w:rFonts w:cs="Arial"/>
          <w:szCs w:val="20"/>
        </w:rPr>
      </w:pPr>
      <w:proofErr w:type="spellStart"/>
      <w:r>
        <w:rPr>
          <w:rFonts w:cs="Arial"/>
          <w:szCs w:val="20"/>
        </w:rPr>
        <w:t>Netlink</w:t>
      </w:r>
      <w:proofErr w:type="spellEnd"/>
      <w:r>
        <w:rPr>
          <w:rFonts w:cs="Arial"/>
          <w:szCs w:val="20"/>
        </w:rPr>
        <w:t xml:space="preserve"> Star</w:t>
      </w:r>
      <w:r w:rsidR="006E0235" w:rsidRPr="000E5786">
        <w:rPr>
          <w:rFonts w:cs="Arial"/>
          <w:szCs w:val="20"/>
        </w:rPr>
        <w:t xml:space="preserve"> WAN and Security; and</w:t>
      </w:r>
    </w:p>
    <w:p w14:paraId="04A3597E" w14:textId="77777777" w:rsidR="006E0235" w:rsidRPr="000E5786" w:rsidRDefault="006E0235" w:rsidP="00CE5734">
      <w:pPr>
        <w:pStyle w:val="Heading4"/>
        <w:tabs>
          <w:tab w:val="clear" w:pos="1702"/>
        </w:tabs>
        <w:spacing w:after="120"/>
        <w:ind w:left="2410"/>
        <w:rPr>
          <w:rFonts w:cs="Arial"/>
          <w:szCs w:val="20"/>
        </w:rPr>
      </w:pPr>
      <w:r w:rsidRPr="000E5786">
        <w:rPr>
          <w:rFonts w:cs="Arial"/>
          <w:szCs w:val="20"/>
        </w:rPr>
        <w:t>Application Hosting,</w:t>
      </w:r>
    </w:p>
    <w:p w14:paraId="09ACF9D7" w14:textId="7BA97A96" w:rsidR="006E0235" w:rsidRDefault="006E0235" w:rsidP="00CE5734">
      <w:pPr>
        <w:pStyle w:val="Level3"/>
        <w:numPr>
          <w:ilvl w:val="0"/>
          <w:numId w:val="0"/>
        </w:numPr>
        <w:spacing w:line="240" w:lineRule="auto"/>
        <w:ind w:left="1701"/>
        <w:rPr>
          <w:rFonts w:ascii="Arial" w:hAnsi="Arial" w:cs="Arial"/>
        </w:rPr>
      </w:pPr>
      <w:r w:rsidRPr="000E5786">
        <w:rPr>
          <w:rFonts w:ascii="Arial" w:hAnsi="Arial" w:cs="Arial"/>
        </w:rPr>
        <w:t>at all the Data Centre Locations.</w:t>
      </w:r>
    </w:p>
    <w:p w14:paraId="519C7231" w14:textId="79D59C63" w:rsidR="008462B3" w:rsidRPr="006B00E1" w:rsidRDefault="008462B3" w:rsidP="008462B3">
      <w:pPr>
        <w:pStyle w:val="Level3"/>
        <w:numPr>
          <w:ilvl w:val="0"/>
          <w:numId w:val="0"/>
        </w:numPr>
        <w:spacing w:line="240" w:lineRule="auto"/>
        <w:ind w:left="1843" w:hanging="992"/>
        <w:rPr>
          <w:rFonts w:ascii="Arial" w:hAnsi="Arial" w:cs="Arial"/>
        </w:rPr>
      </w:pPr>
    </w:p>
    <w:p w14:paraId="4BF95006" w14:textId="2FD0C5F4" w:rsidR="006E0235" w:rsidRPr="000E5786" w:rsidRDefault="008462B3" w:rsidP="00013915">
      <w:pPr>
        <w:ind w:left="0" w:firstLine="0"/>
        <w:rPr>
          <w:rFonts w:cs="Arial"/>
          <w:b/>
          <w:bCs/>
          <w:caps/>
          <w:szCs w:val="20"/>
        </w:rPr>
      </w:pPr>
      <w:r w:rsidRPr="006B00E1">
        <w:rPr>
          <w:rFonts w:cs="Arial"/>
        </w:rPr>
        <w:t>5.5.4</w:t>
      </w:r>
      <w:r w:rsidRPr="006B00E1">
        <w:rPr>
          <w:rFonts w:cs="Arial"/>
        </w:rPr>
        <w:tab/>
        <w:t xml:space="preserve"> in addition to being an intrinsic part of the Operate Service the Remote Hands and Eyes Service is accessible to undertake Service Requests in accordance with Schedule 7.4 (Service Catalogue).</w:t>
      </w:r>
    </w:p>
    <w:p w14:paraId="367FC262" w14:textId="77777777" w:rsidR="006E0235" w:rsidRPr="000E5786" w:rsidRDefault="006E0235" w:rsidP="00DA42BF">
      <w:pPr>
        <w:pStyle w:val="Heading1"/>
        <w:spacing w:after="120"/>
        <w:rPr>
          <w:rFonts w:cs="Arial"/>
          <w:szCs w:val="20"/>
        </w:rPr>
      </w:pPr>
      <w:bookmarkStart w:id="1665" w:name="_Ref82174049"/>
      <w:r w:rsidRPr="000E5786">
        <w:rPr>
          <w:rFonts w:cs="Arial"/>
          <w:szCs w:val="20"/>
        </w:rPr>
        <w:t>OPERATE RESILIENCE</w:t>
      </w:r>
      <w:bookmarkEnd w:id="1665"/>
      <w:r w:rsidRPr="000E5786">
        <w:rPr>
          <w:rFonts w:cs="Arial"/>
          <w:szCs w:val="20"/>
        </w:rPr>
        <w:t xml:space="preserve"> </w:t>
      </w:r>
    </w:p>
    <w:p w14:paraId="5E50F906" w14:textId="77777777" w:rsidR="006E0235" w:rsidRPr="000E5786" w:rsidRDefault="006E0235" w:rsidP="00DA42BF">
      <w:pPr>
        <w:pStyle w:val="Heading2"/>
        <w:spacing w:after="120"/>
        <w:rPr>
          <w:rFonts w:cs="Arial"/>
          <w:szCs w:val="20"/>
        </w:rPr>
      </w:pPr>
      <w:r w:rsidRPr="000E5786">
        <w:rPr>
          <w:rFonts w:cs="Arial"/>
          <w:szCs w:val="20"/>
        </w:rPr>
        <w:t>The Supplier shall, once each year, test the resilience of the Service Components according to the Test Procedures in Schedule 6.3 as well as the business continuity and disaster recovery capabilities in accordance with Schedule 8.6 (Business Continuity and IT Service Continuity). of the Operate Service and report on the results of such testing and confirm whether the capabilities are robust and were available on testing.</w:t>
      </w:r>
    </w:p>
    <w:p w14:paraId="636E49B2" w14:textId="77777777" w:rsidR="006E0235" w:rsidRPr="000E5786" w:rsidRDefault="006E0235" w:rsidP="00DA42BF">
      <w:pPr>
        <w:pStyle w:val="Heading2"/>
        <w:spacing w:after="120"/>
        <w:rPr>
          <w:rFonts w:cs="Arial"/>
          <w:szCs w:val="20"/>
        </w:rPr>
      </w:pPr>
      <w:r w:rsidRPr="000E5786">
        <w:rPr>
          <w:rFonts w:cs="Arial"/>
          <w:szCs w:val="20"/>
        </w:rPr>
        <w:lastRenderedPageBreak/>
        <w:t xml:space="preserve">The Supplier shall assess the impact of any Significant Change on the Service Components on the Business Continuity Plan for the </w:t>
      </w:r>
      <w:proofErr w:type="gramStart"/>
      <w:r w:rsidRPr="000E5786">
        <w:rPr>
          <w:rFonts w:cs="Arial"/>
          <w:szCs w:val="20"/>
        </w:rPr>
        <w:t>Services, and</w:t>
      </w:r>
      <w:proofErr w:type="gramEnd"/>
      <w:r w:rsidRPr="000E5786">
        <w:rPr>
          <w:rFonts w:cs="Arial"/>
          <w:szCs w:val="20"/>
        </w:rPr>
        <w:t xml:space="preserve"> recommend as required any failover and disaster recovery testing of the Operate Service.</w:t>
      </w:r>
    </w:p>
    <w:p w14:paraId="190E2ECC" w14:textId="77777777" w:rsidR="006E0235" w:rsidRPr="000E5786" w:rsidRDefault="006E0235" w:rsidP="00DA42BF">
      <w:pPr>
        <w:pStyle w:val="Heading2"/>
        <w:spacing w:after="120"/>
        <w:rPr>
          <w:rFonts w:cs="Arial"/>
          <w:szCs w:val="20"/>
        </w:rPr>
      </w:pPr>
      <w:r w:rsidRPr="000E5786">
        <w:rPr>
          <w:rFonts w:cs="Arial"/>
          <w:szCs w:val="20"/>
        </w:rPr>
        <w:t>The Supplier shall ensure that the configuration of the Operate Service is able to adjust appropriately between logical and physical Infrastructure or Platform Components</w:t>
      </w:r>
      <w:r w:rsidRPr="000E5786" w:rsidDel="00B21F9A">
        <w:rPr>
          <w:rFonts w:cs="Arial"/>
          <w:szCs w:val="20"/>
        </w:rPr>
        <w:t xml:space="preserve"> </w:t>
      </w:r>
      <w:r w:rsidRPr="000E5786">
        <w:rPr>
          <w:rFonts w:cs="Arial"/>
          <w:szCs w:val="20"/>
        </w:rPr>
        <w:t>to optimise resilience and service Availability of the Service Components.</w:t>
      </w:r>
    </w:p>
    <w:p w14:paraId="5026089F" w14:textId="7746E60C" w:rsidR="006E0235" w:rsidRPr="000E5786" w:rsidRDefault="006E0235" w:rsidP="00DA42BF">
      <w:pPr>
        <w:pStyle w:val="Heading2"/>
        <w:spacing w:after="120"/>
        <w:rPr>
          <w:rFonts w:cs="Arial"/>
          <w:szCs w:val="20"/>
        </w:rPr>
      </w:pPr>
      <w:r w:rsidRPr="000E5786">
        <w:rPr>
          <w:rFonts w:cs="Arial"/>
          <w:szCs w:val="20"/>
        </w:rPr>
        <w:t>The Supplier shall optimise capacity utilisation across the Service Components both in terms of user interaction and transaction processing.</w:t>
      </w:r>
    </w:p>
    <w:p w14:paraId="5E25A4A9" w14:textId="6F95F32C" w:rsidR="006E0235" w:rsidRPr="000E5786" w:rsidRDefault="006E0235" w:rsidP="00DA42BF">
      <w:pPr>
        <w:pStyle w:val="Heading2"/>
        <w:spacing w:after="120"/>
        <w:rPr>
          <w:rFonts w:cs="Arial"/>
          <w:noProof/>
          <w:szCs w:val="20"/>
        </w:rPr>
      </w:pPr>
      <w:r w:rsidRPr="000E5786">
        <w:rPr>
          <w:rFonts w:cs="Arial"/>
          <w:szCs w:val="20"/>
        </w:rPr>
        <w:t>The Supplier shall p</w:t>
      </w:r>
      <w:r w:rsidRPr="000E5786">
        <w:rPr>
          <w:rFonts w:cs="Arial"/>
          <w:noProof/>
          <w:szCs w:val="20"/>
        </w:rPr>
        <w:t xml:space="preserve">ublish regular reporting on performance against metrics defined by </w:t>
      </w:r>
      <w:r w:rsidR="001F1C19">
        <w:rPr>
          <w:rFonts w:cs="Arial"/>
          <w:noProof/>
          <w:szCs w:val="20"/>
        </w:rPr>
        <w:t>Netlink Star</w:t>
      </w:r>
      <w:r w:rsidRPr="000E5786">
        <w:rPr>
          <w:rFonts w:cs="Arial"/>
          <w:noProof/>
          <w:szCs w:val="20"/>
        </w:rPr>
        <w:t xml:space="preserve"> for Service Components as well as Service performance asset out in Schedule 2.2 (Service Levels). </w:t>
      </w:r>
    </w:p>
    <w:p w14:paraId="652ACC9F" w14:textId="77777777" w:rsidR="006E0235" w:rsidRPr="000E5786" w:rsidRDefault="006E0235" w:rsidP="00DD60F0">
      <w:pPr>
        <w:rPr>
          <w:rFonts w:cs="Arial"/>
          <w:b/>
          <w:bCs/>
          <w:szCs w:val="20"/>
        </w:rPr>
      </w:pPr>
    </w:p>
    <w:p w14:paraId="35F8D8D0" w14:textId="77777777" w:rsidR="006E0235" w:rsidRPr="000E5786" w:rsidRDefault="006E0235" w:rsidP="00DA42BF">
      <w:pPr>
        <w:pStyle w:val="Heading1"/>
        <w:spacing w:after="120"/>
        <w:rPr>
          <w:rFonts w:cs="Arial"/>
          <w:szCs w:val="20"/>
        </w:rPr>
      </w:pPr>
      <w:r w:rsidRPr="000E5786">
        <w:rPr>
          <w:rFonts w:cs="Arial"/>
          <w:szCs w:val="20"/>
        </w:rPr>
        <w:t>SERVICE MANAGEMENT REQUIREMENTS</w:t>
      </w:r>
    </w:p>
    <w:p w14:paraId="26A2705E" w14:textId="669EDA2A" w:rsidR="006E0235" w:rsidRPr="000E5786" w:rsidRDefault="006E0235" w:rsidP="00407A01">
      <w:pPr>
        <w:pStyle w:val="Heading2"/>
        <w:numPr>
          <w:ilvl w:val="0"/>
          <w:numId w:val="0"/>
        </w:numPr>
        <w:spacing w:after="120"/>
        <w:ind w:left="709"/>
        <w:rPr>
          <w:rFonts w:cs="Arial"/>
          <w:szCs w:val="20"/>
        </w:rPr>
      </w:pPr>
      <w:r w:rsidRPr="000E5786">
        <w:rPr>
          <w:rFonts w:cs="Arial"/>
          <w:szCs w:val="20"/>
        </w:rPr>
        <w:t xml:space="preserve">The Service Management Requirements are described according to the ITIL V3 framework as currently used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w:t>
      </w:r>
    </w:p>
    <w:p w14:paraId="6C03F194" w14:textId="77777777" w:rsidR="00407A01" w:rsidRPr="000E5786" w:rsidRDefault="00407A01" w:rsidP="00407A01">
      <w:pPr>
        <w:pStyle w:val="Heading2"/>
        <w:numPr>
          <w:ilvl w:val="0"/>
          <w:numId w:val="0"/>
        </w:numPr>
        <w:spacing w:after="120"/>
        <w:ind w:left="709"/>
        <w:rPr>
          <w:rFonts w:cs="Arial"/>
          <w:szCs w:val="20"/>
        </w:rPr>
      </w:pPr>
    </w:p>
    <w:p w14:paraId="40BD8098" w14:textId="77777777" w:rsidR="006E0235" w:rsidRPr="000E5786" w:rsidRDefault="006E0235" w:rsidP="00DA42BF">
      <w:pPr>
        <w:pStyle w:val="Heading1"/>
        <w:spacing w:after="120"/>
        <w:rPr>
          <w:rFonts w:cs="Arial"/>
          <w:szCs w:val="20"/>
        </w:rPr>
      </w:pPr>
      <w:r w:rsidRPr="000E5786">
        <w:rPr>
          <w:rFonts w:cs="Arial"/>
          <w:szCs w:val="20"/>
        </w:rPr>
        <w:t>SERVICE STRATEGY</w:t>
      </w:r>
    </w:p>
    <w:p w14:paraId="40FB14C5" w14:textId="77246EC5" w:rsidR="006E0235" w:rsidRPr="000E5786" w:rsidRDefault="006E0235" w:rsidP="00DA42BF">
      <w:pPr>
        <w:pStyle w:val="Heading2"/>
        <w:spacing w:after="120"/>
        <w:rPr>
          <w:rFonts w:cs="Arial"/>
          <w:szCs w:val="20"/>
        </w:rPr>
      </w:pPr>
      <w:r w:rsidRPr="000E5786">
        <w:rPr>
          <w:rFonts w:cs="Arial"/>
          <w:szCs w:val="20"/>
        </w:rPr>
        <w:t xml:space="preserve">All areas of service strategy are owned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i.e.:</w:t>
      </w:r>
    </w:p>
    <w:p w14:paraId="7B58A354" w14:textId="4BBA82E3" w:rsidR="006E0235" w:rsidRPr="000E5786" w:rsidRDefault="006E0235" w:rsidP="00346A37">
      <w:pPr>
        <w:pStyle w:val="Heading3"/>
      </w:pPr>
      <w:r w:rsidRPr="000E5786">
        <w:t xml:space="preserve">strategy generation, including the </w:t>
      </w:r>
      <w:proofErr w:type="spellStart"/>
      <w:r w:rsidR="001F1C19">
        <w:t>Netlink</w:t>
      </w:r>
      <w:proofErr w:type="spellEnd"/>
      <w:r w:rsidR="001F1C19">
        <w:t xml:space="preserve"> Star</w:t>
      </w:r>
      <w:r w:rsidRPr="000E5786">
        <w:t xml:space="preserve">’s Strategic Technology </w:t>
      </w:r>
      <w:proofErr w:type="gramStart"/>
      <w:r w:rsidRPr="000E5786">
        <w:t>Framework;</w:t>
      </w:r>
      <w:proofErr w:type="gramEnd"/>
    </w:p>
    <w:p w14:paraId="127EBE96" w14:textId="77777777" w:rsidR="006E0235" w:rsidRPr="000E5786" w:rsidRDefault="006E0235" w:rsidP="00346A37">
      <w:pPr>
        <w:pStyle w:val="Heading3"/>
      </w:pPr>
      <w:r w:rsidRPr="000E5786">
        <w:t xml:space="preserve">financial </w:t>
      </w:r>
      <w:proofErr w:type="gramStart"/>
      <w:r w:rsidRPr="000E5786">
        <w:t>management;</w:t>
      </w:r>
      <w:proofErr w:type="gramEnd"/>
    </w:p>
    <w:p w14:paraId="236237B7" w14:textId="77777777" w:rsidR="006E0235" w:rsidRPr="000E5786" w:rsidRDefault="006E0235" w:rsidP="00346A37">
      <w:pPr>
        <w:pStyle w:val="Heading3"/>
      </w:pPr>
      <w:r w:rsidRPr="000E5786">
        <w:t>service portfolio management; and</w:t>
      </w:r>
    </w:p>
    <w:p w14:paraId="0A003C4E" w14:textId="77777777" w:rsidR="006E0235" w:rsidRPr="000E5786" w:rsidRDefault="006E0235" w:rsidP="00346A37">
      <w:pPr>
        <w:pStyle w:val="Heading3"/>
      </w:pPr>
      <w:r w:rsidRPr="000E5786">
        <w:t>demand management.</w:t>
      </w:r>
    </w:p>
    <w:p w14:paraId="46162120" w14:textId="77777777" w:rsidR="006E0235" w:rsidRPr="000E5786" w:rsidRDefault="006E0235" w:rsidP="00DA42BF">
      <w:pPr>
        <w:pStyle w:val="Heading2"/>
        <w:spacing w:after="120"/>
        <w:rPr>
          <w:rFonts w:cs="Arial"/>
          <w:szCs w:val="20"/>
        </w:rPr>
      </w:pPr>
      <w:r w:rsidRPr="000E5786">
        <w:rPr>
          <w:rFonts w:cs="Arial"/>
          <w:szCs w:val="20"/>
        </w:rPr>
        <w:t>The Supplier may be consulted from time to time to provide input and recommendations to the service strategy.</w:t>
      </w:r>
    </w:p>
    <w:p w14:paraId="5A01A995" w14:textId="4D3C1A1A" w:rsidR="006E0235" w:rsidRPr="000E5786" w:rsidRDefault="006E0235" w:rsidP="00DA42BF">
      <w:pPr>
        <w:pStyle w:val="Heading2"/>
        <w:spacing w:after="120"/>
        <w:rPr>
          <w:rFonts w:cs="Arial"/>
          <w:szCs w:val="20"/>
        </w:rPr>
      </w:pPr>
      <w:r w:rsidRPr="000E5786">
        <w:rPr>
          <w:rFonts w:cs="Arial"/>
          <w:szCs w:val="20"/>
        </w:rPr>
        <w:t xml:space="preserve">The Supplier shall highlight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innovative ideas for improved service through the governance procedures set out in Schedule 8.1 (Governance).</w:t>
      </w:r>
    </w:p>
    <w:p w14:paraId="0CD3949F" w14:textId="77777777" w:rsidR="006E0235" w:rsidRPr="000E5786" w:rsidRDefault="006E0235" w:rsidP="00DD60F0">
      <w:pPr>
        <w:rPr>
          <w:rFonts w:cs="Arial"/>
          <w:b/>
          <w:bCs/>
          <w:szCs w:val="20"/>
        </w:rPr>
      </w:pPr>
    </w:p>
    <w:p w14:paraId="2BF942EC" w14:textId="77777777" w:rsidR="006E0235" w:rsidRPr="000E5786" w:rsidRDefault="006E0235" w:rsidP="00DA42BF">
      <w:pPr>
        <w:pStyle w:val="Heading1"/>
        <w:spacing w:after="120"/>
        <w:rPr>
          <w:rFonts w:cs="Arial"/>
          <w:szCs w:val="20"/>
        </w:rPr>
      </w:pPr>
      <w:r w:rsidRPr="000E5786">
        <w:rPr>
          <w:rFonts w:cs="Arial"/>
          <w:szCs w:val="20"/>
        </w:rPr>
        <w:t>SERVICE DESIGN</w:t>
      </w:r>
    </w:p>
    <w:p w14:paraId="14892331" w14:textId="15C236E8" w:rsidR="006E0235" w:rsidRPr="000E5786" w:rsidRDefault="006E0235" w:rsidP="00DA42BF">
      <w:pPr>
        <w:pStyle w:val="Heading2"/>
        <w:spacing w:after="120"/>
        <w:rPr>
          <w:rFonts w:cs="Arial"/>
          <w:b/>
          <w:szCs w:val="20"/>
        </w:rPr>
      </w:pPr>
      <w:r w:rsidRPr="000E5786">
        <w:rPr>
          <w:rFonts w:cs="Arial"/>
          <w:szCs w:val="20"/>
        </w:rPr>
        <w:t xml:space="preserve">Future service design shall be the Supplier’s responsibility in accordance with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desired business outcomes and objectives and the ITIL framework and will include asset management as set out in </w:t>
      </w:r>
      <w:r w:rsidR="00CE5734" w:rsidRPr="000E5786">
        <w:rPr>
          <w:rFonts w:cs="Arial"/>
          <w:szCs w:val="20"/>
        </w:rPr>
        <w:t xml:space="preserve">Paragraph </w:t>
      </w:r>
      <w:r w:rsidRPr="000E5786">
        <w:rPr>
          <w:rFonts w:cs="Arial"/>
          <w:szCs w:val="20"/>
        </w:rPr>
        <w:fldChar w:fldCharType="begin"/>
      </w:r>
      <w:r w:rsidRPr="000E5786">
        <w:rPr>
          <w:rFonts w:cs="Arial"/>
          <w:szCs w:val="20"/>
        </w:rPr>
        <w:instrText xml:space="preserve"> REF _Ref79154362 \r \h  \* MERGEFORMAT </w:instrText>
      </w:r>
      <w:r w:rsidRPr="000E5786">
        <w:rPr>
          <w:rFonts w:cs="Arial"/>
          <w:szCs w:val="20"/>
        </w:rPr>
      </w:r>
      <w:r w:rsidRPr="000E5786">
        <w:rPr>
          <w:rFonts w:cs="Arial"/>
          <w:szCs w:val="20"/>
        </w:rPr>
        <w:fldChar w:fldCharType="separate"/>
      </w:r>
      <w:r w:rsidRPr="000E5786">
        <w:rPr>
          <w:rFonts w:cs="Arial"/>
          <w:szCs w:val="20"/>
        </w:rPr>
        <w:t>5.5</w:t>
      </w:r>
      <w:r w:rsidRPr="000E5786">
        <w:rPr>
          <w:rFonts w:cs="Arial"/>
          <w:szCs w:val="20"/>
        </w:rPr>
        <w:fldChar w:fldCharType="end"/>
      </w:r>
      <w:r w:rsidRPr="000E5786">
        <w:rPr>
          <w:rFonts w:cs="Arial"/>
          <w:b/>
          <w:szCs w:val="20"/>
        </w:rPr>
        <w:t>.</w:t>
      </w:r>
    </w:p>
    <w:p w14:paraId="6C17BEE7" w14:textId="77777777" w:rsidR="006E0235" w:rsidRPr="00CE5734" w:rsidRDefault="006E0235" w:rsidP="00DA42BF">
      <w:pPr>
        <w:pStyle w:val="Heading2"/>
        <w:spacing w:after="120"/>
        <w:rPr>
          <w:rFonts w:cs="Arial"/>
          <w:b/>
          <w:szCs w:val="20"/>
        </w:rPr>
      </w:pPr>
      <w:bookmarkStart w:id="1666" w:name="_Toc277250806"/>
      <w:r w:rsidRPr="00CE5734">
        <w:rPr>
          <w:rFonts w:cs="Arial"/>
          <w:b/>
          <w:szCs w:val="20"/>
        </w:rPr>
        <w:t>Service Catalogue Management</w:t>
      </w:r>
      <w:bookmarkEnd w:id="1666"/>
    </w:p>
    <w:p w14:paraId="66039548" w14:textId="56C1257E" w:rsidR="006E0235" w:rsidRPr="000E5786" w:rsidRDefault="001F1C19" w:rsidP="00346A37">
      <w:pPr>
        <w:pStyle w:val="Heading3"/>
      </w:pPr>
      <w:proofErr w:type="spellStart"/>
      <w:r>
        <w:t>Netlink</w:t>
      </w:r>
      <w:proofErr w:type="spellEnd"/>
      <w:r>
        <w:t xml:space="preserve"> Star</w:t>
      </w:r>
      <w:r w:rsidR="006E0235" w:rsidRPr="000E5786">
        <w:t xml:space="preserve"> defines and manages the Service Catalogue in alignment with its broader service portfolio. Changes to the service definitions and Service Catalogue will be managed via the Change Control Procedure.</w:t>
      </w:r>
    </w:p>
    <w:p w14:paraId="3282E49E" w14:textId="75F45457" w:rsidR="006E0235" w:rsidRPr="00CE5734" w:rsidRDefault="006E0235" w:rsidP="00DA42BF">
      <w:pPr>
        <w:pStyle w:val="Heading2"/>
        <w:spacing w:after="120"/>
        <w:rPr>
          <w:rFonts w:cs="Arial"/>
          <w:b/>
          <w:szCs w:val="20"/>
        </w:rPr>
      </w:pPr>
      <w:bookmarkStart w:id="1667" w:name="_Toc277250808"/>
      <w:r w:rsidRPr="00CE5734">
        <w:rPr>
          <w:rFonts w:cs="Arial"/>
          <w:b/>
          <w:szCs w:val="20"/>
        </w:rPr>
        <w:t>Capacity Management</w:t>
      </w:r>
      <w:bookmarkEnd w:id="1667"/>
    </w:p>
    <w:p w14:paraId="628945BB" w14:textId="4AC829FD" w:rsidR="006E0235" w:rsidRPr="000E5786" w:rsidRDefault="006E0235" w:rsidP="00346A37">
      <w:pPr>
        <w:pStyle w:val="Heading3"/>
        <w:rPr>
          <w:b/>
        </w:rPr>
      </w:pPr>
      <w:bookmarkStart w:id="1668" w:name="_Ref79154722"/>
      <w:r w:rsidRPr="000E5786">
        <w:t xml:space="preserve">At periodic intervals during the Term, the Supplier and </w:t>
      </w:r>
      <w:proofErr w:type="spellStart"/>
      <w:r w:rsidR="001F1C19">
        <w:t>Netlink</w:t>
      </w:r>
      <w:proofErr w:type="spellEnd"/>
      <w:r w:rsidR="001F1C19">
        <w:t xml:space="preserve"> Star</w:t>
      </w:r>
      <w:r w:rsidRPr="000E5786">
        <w:t xml:space="preserve"> shall jointly conduct demand planning as part of the </w:t>
      </w:r>
      <w:r w:rsidR="004D6BBF" w:rsidRPr="000E5786">
        <w:t xml:space="preserve">capacity management </w:t>
      </w:r>
      <w:r w:rsidRPr="000E5786">
        <w:t>function for the Service to ensure that the infrastructure is adequate to support the anticipated Volumes.</w:t>
      </w:r>
      <w:bookmarkEnd w:id="1668"/>
    </w:p>
    <w:p w14:paraId="474509F3" w14:textId="7BFFB93B" w:rsidR="006E0235" w:rsidRPr="000E5786" w:rsidRDefault="006E0235" w:rsidP="00346A37">
      <w:pPr>
        <w:pStyle w:val="Heading3"/>
        <w:rPr>
          <w:b/>
        </w:rPr>
      </w:pPr>
      <w:r w:rsidRPr="000E5786">
        <w:t xml:space="preserve">The Supplier shall raise requests to </w:t>
      </w:r>
      <w:proofErr w:type="spellStart"/>
      <w:r w:rsidR="001F1C19">
        <w:t>Netlink</w:t>
      </w:r>
      <w:proofErr w:type="spellEnd"/>
      <w:r w:rsidR="001F1C19">
        <w:t xml:space="preserve"> Star</w:t>
      </w:r>
      <w:r w:rsidRPr="000E5786">
        <w:t xml:space="preserve"> for additional capacity where it is above the tolerances as agreed in capacity planning as set out in </w:t>
      </w:r>
      <w:r w:rsidR="00CE5734" w:rsidRPr="000E5786">
        <w:t xml:space="preserve">Paragraph </w:t>
      </w:r>
      <w:r w:rsidRPr="000E5786">
        <w:fldChar w:fldCharType="begin"/>
      </w:r>
      <w:r w:rsidRPr="000E5786">
        <w:instrText xml:space="preserve"> REF _Ref79154722 \r \h  \* MERGEFORMAT </w:instrText>
      </w:r>
      <w:r w:rsidRPr="000E5786">
        <w:fldChar w:fldCharType="separate"/>
      </w:r>
      <w:r w:rsidRPr="000E5786">
        <w:t>9.3.1</w:t>
      </w:r>
      <w:r w:rsidRPr="000E5786">
        <w:fldChar w:fldCharType="end"/>
      </w:r>
      <w:r w:rsidRPr="000E5786">
        <w:t>.  Such requests shall be raised via the Change Control Procedure.</w:t>
      </w:r>
    </w:p>
    <w:p w14:paraId="3E9B8226" w14:textId="1C7202F9" w:rsidR="006E0235" w:rsidRPr="000E5786" w:rsidRDefault="001F1C19" w:rsidP="00346A37">
      <w:pPr>
        <w:pStyle w:val="Heading3"/>
      </w:pPr>
      <w:proofErr w:type="spellStart"/>
      <w:r>
        <w:t>Netlink</w:t>
      </w:r>
      <w:proofErr w:type="spellEnd"/>
      <w:r>
        <w:t xml:space="preserve"> Star</w:t>
      </w:r>
      <w:r w:rsidR="006E0235" w:rsidRPr="000E5786">
        <w:t xml:space="preserve"> shall monitor and manage network bandwidth and performance to Supplier access points.</w:t>
      </w:r>
    </w:p>
    <w:p w14:paraId="6EDCC198" w14:textId="77777777" w:rsidR="006E0235" w:rsidRPr="00CE5734" w:rsidRDefault="006E0235" w:rsidP="00DA42BF">
      <w:pPr>
        <w:pStyle w:val="Heading2"/>
        <w:spacing w:after="120"/>
        <w:rPr>
          <w:rFonts w:cs="Arial"/>
          <w:b/>
          <w:szCs w:val="20"/>
        </w:rPr>
      </w:pPr>
      <w:bookmarkStart w:id="1669" w:name="_Toc277250809"/>
      <w:r w:rsidRPr="00CE5734">
        <w:rPr>
          <w:rFonts w:cs="Arial"/>
          <w:b/>
          <w:szCs w:val="20"/>
        </w:rPr>
        <w:t>Availability Management</w:t>
      </w:r>
      <w:bookmarkEnd w:id="1669"/>
    </w:p>
    <w:p w14:paraId="25FBE399" w14:textId="46D11566" w:rsidR="006E0235" w:rsidRPr="000E5786" w:rsidRDefault="006E0235" w:rsidP="00346A37">
      <w:pPr>
        <w:pStyle w:val="Heading3"/>
      </w:pPr>
      <w:r w:rsidRPr="000E5786">
        <w:lastRenderedPageBreak/>
        <w:t>The Supplier shall provide Availability Management</w:t>
      </w:r>
      <w:r w:rsidR="002A5E75">
        <w:t xml:space="preserve"> </w:t>
      </w:r>
      <w:r w:rsidRPr="000E5786">
        <w:t>in compliance with the Service Levels in Schedule 2.2</w:t>
      </w:r>
      <w:r w:rsidR="00872CD7">
        <w:t xml:space="preserve"> (Service Levels)</w:t>
      </w:r>
      <w:r w:rsidRPr="000E5786">
        <w:t xml:space="preserve">. </w:t>
      </w:r>
    </w:p>
    <w:p w14:paraId="4B573654" w14:textId="50260B0E" w:rsidR="006E0235" w:rsidRPr="00E766BF" w:rsidRDefault="006E0235" w:rsidP="00346A37">
      <w:pPr>
        <w:pStyle w:val="Heading3"/>
      </w:pPr>
      <w:r w:rsidRPr="000E5786">
        <w:t xml:space="preserve">The Supplier shall have a feedback route through the Service Management Review Team meetings in accordance with Schedule 8.1 (Governance) for potential </w:t>
      </w:r>
      <w:r w:rsidRPr="00E766BF">
        <w:t>variations to the availability.</w:t>
      </w:r>
    </w:p>
    <w:p w14:paraId="6BCC14DF" w14:textId="77777777" w:rsidR="006E0235" w:rsidRPr="00CE5734" w:rsidRDefault="006E0235" w:rsidP="00DA42BF">
      <w:pPr>
        <w:pStyle w:val="Heading2"/>
        <w:spacing w:after="120"/>
        <w:rPr>
          <w:rFonts w:cs="Arial"/>
          <w:b/>
          <w:szCs w:val="20"/>
        </w:rPr>
      </w:pPr>
      <w:bookmarkStart w:id="1670" w:name="_Toc277250810"/>
      <w:r w:rsidRPr="00CE5734">
        <w:rPr>
          <w:rFonts w:cs="Arial"/>
          <w:b/>
          <w:szCs w:val="20"/>
        </w:rPr>
        <w:t>Security Management</w:t>
      </w:r>
      <w:bookmarkEnd w:id="1670"/>
    </w:p>
    <w:p w14:paraId="0F499F7B" w14:textId="395482B8" w:rsidR="006E0235" w:rsidRPr="000E5786" w:rsidRDefault="006E0235" w:rsidP="00346A37">
      <w:pPr>
        <w:pStyle w:val="Heading3"/>
      </w:pPr>
      <w:bookmarkStart w:id="1671" w:name="_Toc277250811"/>
      <w:r w:rsidRPr="000E5786">
        <w:t>The Supplier shall provide Information Security Management</w:t>
      </w:r>
      <w:bookmarkEnd w:id="1671"/>
      <w:r w:rsidRPr="000E5786">
        <w:t xml:space="preserve"> in accordance with Schedule 2.6 (Security Management). </w:t>
      </w:r>
    </w:p>
    <w:p w14:paraId="1677FDE3" w14:textId="77777777" w:rsidR="006E0235" w:rsidRPr="00CE5734" w:rsidRDefault="006E0235" w:rsidP="00DA42BF">
      <w:pPr>
        <w:pStyle w:val="Heading2"/>
        <w:spacing w:after="120"/>
        <w:rPr>
          <w:rFonts w:cs="Arial"/>
          <w:b/>
          <w:szCs w:val="20"/>
        </w:rPr>
      </w:pPr>
      <w:bookmarkStart w:id="1672" w:name="_Toc277250812"/>
      <w:r w:rsidRPr="00CE5734">
        <w:rPr>
          <w:rFonts w:cs="Arial"/>
          <w:b/>
          <w:szCs w:val="20"/>
        </w:rPr>
        <w:t>Supplier Management</w:t>
      </w:r>
      <w:bookmarkEnd w:id="1672"/>
    </w:p>
    <w:p w14:paraId="1453BCE4" w14:textId="77777777" w:rsidR="006E0235" w:rsidRPr="000E5786" w:rsidRDefault="006E0235" w:rsidP="00346A37">
      <w:pPr>
        <w:pStyle w:val="Heading3"/>
      </w:pPr>
      <w:r w:rsidRPr="000E5786">
        <w:t>The Supplier management governance process shall be as described in Schedule 8.1 (Governance).</w:t>
      </w:r>
    </w:p>
    <w:p w14:paraId="6B823EFB" w14:textId="5CE8CBB8" w:rsidR="006E0235" w:rsidRPr="000E5786" w:rsidRDefault="001F1C19" w:rsidP="00346A37">
      <w:pPr>
        <w:pStyle w:val="Heading3"/>
      </w:pPr>
      <w:proofErr w:type="spellStart"/>
      <w:r>
        <w:t>Netlink</w:t>
      </w:r>
      <w:proofErr w:type="spellEnd"/>
      <w:r>
        <w:t xml:space="preserve"> Star</w:t>
      </w:r>
      <w:r w:rsidR="006E0235" w:rsidRPr="000E5786">
        <w:t xml:space="preserve"> and the Supplier shall have regular meetings to review service delivery quality as described in the Schedule 8.1 (Governance).</w:t>
      </w:r>
    </w:p>
    <w:p w14:paraId="32B8BB5D" w14:textId="77777777" w:rsidR="00407A01" w:rsidRPr="000E5786" w:rsidRDefault="00407A01" w:rsidP="00701207">
      <w:pPr>
        <w:pStyle w:val="Heading3"/>
        <w:numPr>
          <w:ilvl w:val="0"/>
          <w:numId w:val="0"/>
        </w:numPr>
        <w:ind w:left="1702"/>
      </w:pPr>
    </w:p>
    <w:p w14:paraId="7EB7204F" w14:textId="77777777" w:rsidR="006E0235" w:rsidRPr="000E5786" w:rsidRDefault="006E0235" w:rsidP="00DA42BF">
      <w:pPr>
        <w:pStyle w:val="Heading1"/>
        <w:spacing w:after="120"/>
        <w:rPr>
          <w:rFonts w:cs="Arial"/>
          <w:szCs w:val="20"/>
        </w:rPr>
      </w:pPr>
      <w:r w:rsidRPr="000E5786">
        <w:rPr>
          <w:rFonts w:cs="Arial"/>
          <w:szCs w:val="20"/>
        </w:rPr>
        <w:t>SERVICE TRANSITION</w:t>
      </w:r>
    </w:p>
    <w:p w14:paraId="525F8417" w14:textId="69DC33B3" w:rsidR="006E0235" w:rsidRPr="000E5786" w:rsidRDefault="006E0235" w:rsidP="00DA42BF">
      <w:pPr>
        <w:pStyle w:val="Heading2"/>
        <w:spacing w:after="120"/>
        <w:rPr>
          <w:rFonts w:cs="Arial"/>
          <w:szCs w:val="20"/>
        </w:rPr>
      </w:pPr>
      <w:r w:rsidRPr="000E5786">
        <w:rPr>
          <w:rFonts w:cs="Arial"/>
          <w:szCs w:val="20"/>
        </w:rPr>
        <w:t xml:space="preserve">The Supplier shall successfully transition existing Data Centre Network LAN Services to the Operate Service as part of the Initial Transition Project according to Schedule 6.4 (Initial Transition Project) from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’s current supplier.</w:t>
      </w:r>
    </w:p>
    <w:p w14:paraId="355B36E8" w14:textId="77777777" w:rsidR="006E0235" w:rsidRPr="000E5786" w:rsidRDefault="006E0235" w:rsidP="00DA42BF">
      <w:pPr>
        <w:pStyle w:val="Heading2"/>
        <w:spacing w:after="120"/>
        <w:rPr>
          <w:rFonts w:cs="Arial"/>
          <w:szCs w:val="20"/>
        </w:rPr>
      </w:pPr>
      <w:r w:rsidRPr="000E5786">
        <w:rPr>
          <w:rFonts w:cs="Arial"/>
          <w:szCs w:val="20"/>
        </w:rPr>
        <w:t>The Supplier shall provide ongoing transition planning and support services as part all Project implementations in accordance with Schedule 6.2 (Project Services</w:t>
      </w:r>
      <w:r w:rsidRPr="000E5786">
        <w:rPr>
          <w:rFonts w:cs="Arial"/>
          <w:i/>
          <w:iCs w:val="0"/>
          <w:szCs w:val="20"/>
        </w:rPr>
        <w:t>)</w:t>
      </w:r>
      <w:r w:rsidRPr="000E5786">
        <w:rPr>
          <w:rFonts w:cs="Arial"/>
          <w:szCs w:val="20"/>
        </w:rPr>
        <w:t>.</w:t>
      </w:r>
      <w:bookmarkStart w:id="1673" w:name="_Toc277250815"/>
    </w:p>
    <w:p w14:paraId="06B46B98" w14:textId="7A27A315" w:rsidR="00CE5734" w:rsidRPr="00CE5734" w:rsidRDefault="006E0235" w:rsidP="00DA42BF">
      <w:pPr>
        <w:pStyle w:val="Heading2"/>
        <w:spacing w:after="120"/>
        <w:rPr>
          <w:rFonts w:cs="Arial"/>
          <w:b/>
          <w:szCs w:val="20"/>
        </w:rPr>
      </w:pPr>
      <w:r w:rsidRPr="00CE5734">
        <w:rPr>
          <w:rFonts w:cs="Arial"/>
          <w:b/>
          <w:szCs w:val="20"/>
        </w:rPr>
        <w:t>Change Management</w:t>
      </w:r>
      <w:bookmarkEnd w:id="1673"/>
      <w:r w:rsidR="00CE5734">
        <w:rPr>
          <w:rFonts w:cs="Arial"/>
          <w:szCs w:val="20"/>
        </w:rPr>
        <w:t xml:space="preserve">. </w:t>
      </w:r>
    </w:p>
    <w:p w14:paraId="0E1193B1" w14:textId="3FB83C69" w:rsidR="006E0235" w:rsidRPr="00CE5734" w:rsidRDefault="006E0235" w:rsidP="00346A37">
      <w:pPr>
        <w:pStyle w:val="Heading3"/>
      </w:pPr>
      <w:r w:rsidRPr="00CE5734">
        <w:t xml:space="preserve">Either </w:t>
      </w:r>
      <w:proofErr w:type="spellStart"/>
      <w:r w:rsidR="001F1C19">
        <w:t>Netlink</w:t>
      </w:r>
      <w:proofErr w:type="spellEnd"/>
      <w:r w:rsidR="001F1C19">
        <w:t xml:space="preserve"> Star</w:t>
      </w:r>
      <w:r w:rsidRPr="00CE5734">
        <w:t xml:space="preserve"> or the Supplier may identify changes required to the Services. All changes shall be brought under the Change Control Procedure in accordance with Schedule 8.2 (Change Control Procedure).</w:t>
      </w:r>
    </w:p>
    <w:p w14:paraId="7FFF83C2" w14:textId="7FBD53B6" w:rsidR="006E0235" w:rsidRPr="00CE5734" w:rsidRDefault="001F1C19" w:rsidP="00CE5734">
      <w:pPr>
        <w:pStyle w:val="Heading2"/>
        <w:spacing w:after="120"/>
        <w:rPr>
          <w:rFonts w:cs="Arial"/>
          <w:szCs w:val="20"/>
        </w:rPr>
      </w:pPr>
      <w:bookmarkStart w:id="1674" w:name="_Ref447785414"/>
      <w:proofErr w:type="spellStart"/>
      <w:r>
        <w:rPr>
          <w:rFonts w:cs="Arial"/>
          <w:b/>
          <w:szCs w:val="20"/>
        </w:rPr>
        <w:t>Netlink</w:t>
      </w:r>
      <w:proofErr w:type="spellEnd"/>
      <w:r>
        <w:rPr>
          <w:rFonts w:cs="Arial"/>
          <w:b/>
          <w:szCs w:val="20"/>
        </w:rPr>
        <w:t xml:space="preserve"> Star</w:t>
      </w:r>
      <w:r w:rsidR="006E0235" w:rsidRPr="00CE5734">
        <w:rPr>
          <w:rFonts w:cs="Arial"/>
          <w:b/>
          <w:szCs w:val="20"/>
        </w:rPr>
        <w:t xml:space="preserve"> Configuration Management Database </w:t>
      </w:r>
      <w:bookmarkStart w:id="1675" w:name="_Ref79156042"/>
      <w:bookmarkEnd w:id="1674"/>
      <w:r w:rsidR="006E0235" w:rsidRPr="00CE5734">
        <w:rPr>
          <w:rFonts w:cs="Arial"/>
          <w:b/>
          <w:szCs w:val="20"/>
        </w:rPr>
        <w:t>(CMDB)</w:t>
      </w:r>
      <w:r w:rsidR="00CE5734" w:rsidRPr="00CE5734">
        <w:rPr>
          <w:rFonts w:cs="Arial"/>
          <w:b/>
          <w:szCs w:val="20"/>
        </w:rPr>
        <w:t xml:space="preserve">. </w:t>
      </w:r>
      <w:r w:rsidR="006E0235" w:rsidRPr="00CE5734">
        <w:rPr>
          <w:rFonts w:cs="Arial"/>
          <w:szCs w:val="20"/>
        </w:rPr>
        <w:t xml:space="preserve">The Supplier shall prepare, </w:t>
      </w:r>
      <w:proofErr w:type="gramStart"/>
      <w:r w:rsidR="006E0235" w:rsidRPr="00CE5734">
        <w:rPr>
          <w:rFonts w:cs="Arial"/>
          <w:szCs w:val="20"/>
        </w:rPr>
        <w:t>manage</w:t>
      </w:r>
      <w:proofErr w:type="gramEnd"/>
      <w:r w:rsidR="006E0235" w:rsidRPr="00CE5734">
        <w:rPr>
          <w:rFonts w:cs="Arial"/>
          <w:szCs w:val="20"/>
        </w:rPr>
        <w:t xml:space="preserve"> and keep up to date the </w:t>
      </w:r>
      <w:proofErr w:type="spellStart"/>
      <w:r>
        <w:rPr>
          <w:rFonts w:cs="Arial"/>
          <w:szCs w:val="20"/>
        </w:rPr>
        <w:t>Netlink</w:t>
      </w:r>
      <w:proofErr w:type="spellEnd"/>
      <w:r>
        <w:rPr>
          <w:rFonts w:cs="Arial"/>
          <w:szCs w:val="20"/>
        </w:rPr>
        <w:t xml:space="preserve"> Star</w:t>
      </w:r>
      <w:r w:rsidR="006E0235" w:rsidRPr="00CE5734">
        <w:rPr>
          <w:rFonts w:cs="Arial"/>
          <w:szCs w:val="20"/>
        </w:rPr>
        <w:t xml:space="preserve"> CMDB for all Service Components (for the </w:t>
      </w:r>
      <w:r w:rsidR="006E0235" w:rsidRPr="00CE5734">
        <w:rPr>
          <w:rFonts w:cs="Arial"/>
          <w:bCs w:val="0"/>
          <w:szCs w:val="20"/>
        </w:rPr>
        <w:t>purposes</w:t>
      </w:r>
      <w:r w:rsidR="006E0235" w:rsidRPr="00CE5734">
        <w:rPr>
          <w:rFonts w:cs="Arial"/>
          <w:szCs w:val="20"/>
        </w:rPr>
        <w:t xml:space="preserve"> of satisfying its audit and regulatory compliance needs</w:t>
      </w:r>
      <w:bookmarkEnd w:id="1675"/>
      <w:r w:rsidR="006E0235" w:rsidRPr="00CE5734">
        <w:rPr>
          <w:rFonts w:cs="Arial"/>
          <w:szCs w:val="20"/>
        </w:rPr>
        <w:t>) including:</w:t>
      </w:r>
    </w:p>
    <w:p w14:paraId="086EB2E6" w14:textId="77777777" w:rsidR="006E0235" w:rsidRPr="000E5786" w:rsidRDefault="006E0235" w:rsidP="00346A37">
      <w:pPr>
        <w:pStyle w:val="Heading3"/>
      </w:pPr>
      <w:r w:rsidRPr="000E5786">
        <w:t>track and report the status of all Service Components, Infrastructure or Platform Components, Service Bundles, and Assets in accordance with Schedule 2.2 (Service Levels</w:t>
      </w:r>
      <w:proofErr w:type="gramStart"/>
      <w:r w:rsidRPr="000E5786">
        <w:rPr>
          <w:i/>
        </w:rPr>
        <w:t>);</w:t>
      </w:r>
      <w:proofErr w:type="gramEnd"/>
    </w:p>
    <w:p w14:paraId="19D1DA21" w14:textId="7D6E8C9A" w:rsidR="006E0235" w:rsidRPr="000E5786" w:rsidRDefault="006E0235" w:rsidP="00346A37">
      <w:pPr>
        <w:pStyle w:val="Heading3"/>
      </w:pPr>
      <w:r w:rsidRPr="000E5786">
        <w:t xml:space="preserve">ensure that the </w:t>
      </w:r>
      <w:proofErr w:type="spellStart"/>
      <w:r w:rsidR="001F1C19">
        <w:t>Netlink</w:t>
      </w:r>
      <w:proofErr w:type="spellEnd"/>
      <w:r w:rsidR="001F1C19">
        <w:t xml:space="preserve"> Star</w:t>
      </w:r>
      <w:r w:rsidRPr="000E5786">
        <w:t xml:space="preserve"> intellectual property licensing database is kept up to date (</w:t>
      </w:r>
      <w:proofErr w:type="spellStart"/>
      <w:r w:rsidR="001F1C19">
        <w:t>Netlink</w:t>
      </w:r>
      <w:proofErr w:type="spellEnd"/>
      <w:r w:rsidR="001F1C19">
        <w:t xml:space="preserve"> Star</w:t>
      </w:r>
      <w:r w:rsidRPr="000E5786">
        <w:t xml:space="preserve"> currently uses Flexera</w:t>
      </w:r>
      <w:proofErr w:type="gramStart"/>
      <w:r w:rsidRPr="000E5786">
        <w:t>);</w:t>
      </w:r>
      <w:proofErr w:type="gramEnd"/>
    </w:p>
    <w:p w14:paraId="22A9DCC9" w14:textId="1514DE78" w:rsidR="006E0235" w:rsidRPr="000E5786" w:rsidRDefault="006E0235" w:rsidP="00346A37">
      <w:pPr>
        <w:pStyle w:val="Heading3"/>
      </w:pPr>
      <w:r w:rsidRPr="000E5786">
        <w:t xml:space="preserve">ensure that deployment and use of the Service Components Infrastructure or Platform Components, Service Bundles, and Assets are managed proactively to optimise for cost and benefits to </w:t>
      </w:r>
      <w:proofErr w:type="spellStart"/>
      <w:r w:rsidR="001F1C19">
        <w:t>Netlink</w:t>
      </w:r>
      <w:proofErr w:type="spellEnd"/>
      <w:r w:rsidR="001F1C19">
        <w:t xml:space="preserve"> </w:t>
      </w:r>
      <w:proofErr w:type="gramStart"/>
      <w:r w:rsidR="001F1C19">
        <w:t>Star</w:t>
      </w:r>
      <w:r w:rsidRPr="000E5786">
        <w:t>;</w:t>
      </w:r>
      <w:proofErr w:type="gramEnd"/>
    </w:p>
    <w:p w14:paraId="6987D8B8" w14:textId="77777777" w:rsidR="006E0235" w:rsidRPr="000E5786" w:rsidRDefault="006E0235" w:rsidP="00346A37">
      <w:pPr>
        <w:pStyle w:val="Heading3"/>
      </w:pPr>
      <w:r w:rsidRPr="000E5786">
        <w:t>ensure that all lifecycle events are mitigated with appropriate proactive actions (</w:t>
      </w:r>
      <w:proofErr w:type="gramStart"/>
      <w:r w:rsidRPr="000E5786">
        <w:t>e.g.</w:t>
      </w:r>
      <w:proofErr w:type="gramEnd"/>
      <w:r w:rsidRPr="000E5786">
        <w:t xml:space="preserve"> patch, upgrade, renew, replace, retire);</w:t>
      </w:r>
    </w:p>
    <w:p w14:paraId="1B91F28C" w14:textId="77777777" w:rsidR="006E0235" w:rsidRPr="000E5786" w:rsidRDefault="006E0235" w:rsidP="00346A37">
      <w:pPr>
        <w:pStyle w:val="Heading3"/>
      </w:pPr>
      <w:r w:rsidRPr="000E5786">
        <w:t xml:space="preserve">allow the association between the Assets and applicable documentation held in a managed document </w:t>
      </w:r>
      <w:proofErr w:type="gramStart"/>
      <w:r w:rsidRPr="000E5786">
        <w:t>repository;</w:t>
      </w:r>
      <w:proofErr w:type="gramEnd"/>
    </w:p>
    <w:p w14:paraId="4912A752" w14:textId="77777777" w:rsidR="006E0235" w:rsidRPr="000E5786" w:rsidRDefault="006E0235" w:rsidP="00346A37">
      <w:pPr>
        <w:pStyle w:val="Heading3"/>
      </w:pPr>
      <w:r w:rsidRPr="000E5786">
        <w:t>allow the association between Service Components and applications (“</w:t>
      </w:r>
      <w:r w:rsidRPr="000E5786">
        <w:rPr>
          <w:b/>
        </w:rPr>
        <w:t>Service Bundles</w:t>
      </w:r>
      <w:r w:rsidRPr="000E5786">
        <w:t>”) as shown in Diagram 1.</w:t>
      </w:r>
    </w:p>
    <w:p w14:paraId="6BA9D30C" w14:textId="77777777" w:rsidR="006E0235" w:rsidRPr="000E5786" w:rsidRDefault="006E0235" w:rsidP="00346A37">
      <w:pPr>
        <w:pStyle w:val="Heading3"/>
      </w:pPr>
      <w:r w:rsidRPr="000E5786">
        <w:t>allow Incidents to be correlated to the specific Service Components to allow for prioritisation; and</w:t>
      </w:r>
    </w:p>
    <w:p w14:paraId="6D126087" w14:textId="5CA75212" w:rsidR="006E0235" w:rsidRPr="000E5786" w:rsidRDefault="006E0235" w:rsidP="00346A37">
      <w:pPr>
        <w:pStyle w:val="Heading3"/>
      </w:pPr>
      <w:r w:rsidRPr="000E5786">
        <w:t xml:space="preserve">support </w:t>
      </w:r>
      <w:proofErr w:type="spellStart"/>
      <w:r w:rsidR="001F1C19">
        <w:t>Netlink</w:t>
      </w:r>
      <w:proofErr w:type="spellEnd"/>
      <w:r w:rsidR="001F1C19">
        <w:t xml:space="preserve"> Star</w:t>
      </w:r>
      <w:r w:rsidRPr="000E5786">
        <w:t>’s needs for audit and compliance reporting.</w:t>
      </w:r>
    </w:p>
    <w:p w14:paraId="750E0DE8" w14:textId="77777777" w:rsidR="006E0235" w:rsidRPr="00CE5734" w:rsidRDefault="006E0235" w:rsidP="00DA42BF">
      <w:pPr>
        <w:pStyle w:val="Heading2"/>
        <w:spacing w:after="120"/>
        <w:rPr>
          <w:rFonts w:cs="Arial"/>
          <w:b/>
          <w:szCs w:val="20"/>
        </w:rPr>
      </w:pPr>
      <w:bookmarkStart w:id="1676" w:name="_Toc277250817"/>
      <w:bookmarkStart w:id="1677" w:name="OLE_LINK3"/>
      <w:bookmarkStart w:id="1678" w:name="OLE_LINK4"/>
      <w:r w:rsidRPr="00CE5734">
        <w:rPr>
          <w:rFonts w:cs="Arial"/>
          <w:b/>
          <w:szCs w:val="20"/>
        </w:rPr>
        <w:t>Release and Deployment Management</w:t>
      </w:r>
      <w:bookmarkEnd w:id="1676"/>
    </w:p>
    <w:p w14:paraId="373868A8" w14:textId="77777777" w:rsidR="006E0235" w:rsidRPr="000E5786" w:rsidRDefault="006E0235" w:rsidP="00346A37">
      <w:pPr>
        <w:pStyle w:val="Heading3"/>
      </w:pPr>
      <w:r w:rsidRPr="000E5786">
        <w:t>The Supplier shall be responsible for any non-functional acceptance testing for the deployment of changes for release into the Operate Service.</w:t>
      </w:r>
    </w:p>
    <w:p w14:paraId="0A13B3C0" w14:textId="420EECE5" w:rsidR="006E0235" w:rsidRPr="000E5786" w:rsidRDefault="006E0235" w:rsidP="00346A37">
      <w:pPr>
        <w:pStyle w:val="Heading3"/>
      </w:pPr>
      <w:r w:rsidRPr="000E5786">
        <w:lastRenderedPageBreak/>
        <w:t>For Supplier supported applications (</w:t>
      </w:r>
      <w:r w:rsidR="00872CD7" w:rsidRPr="000E5786">
        <w:t xml:space="preserve">Paragraph </w:t>
      </w:r>
      <w:r w:rsidRPr="000E5786">
        <w:t>5.1.15), the Supplier is also responsible for impact assessment as part of the release and deployment management.</w:t>
      </w:r>
    </w:p>
    <w:p w14:paraId="30E38180" w14:textId="36721662" w:rsidR="006E0235" w:rsidRPr="000E5786" w:rsidRDefault="006E0235" w:rsidP="00346A37">
      <w:pPr>
        <w:pStyle w:val="Heading3"/>
      </w:pPr>
      <w:r w:rsidRPr="000E5786">
        <w:t xml:space="preserve">The Supplier will set out the process for Release Management during Initial Transition Project to be approved by </w:t>
      </w:r>
      <w:proofErr w:type="spellStart"/>
      <w:r w:rsidR="001F1C19">
        <w:t>Netlink</w:t>
      </w:r>
      <w:proofErr w:type="spellEnd"/>
      <w:r w:rsidR="001F1C19">
        <w:t xml:space="preserve"> Star</w:t>
      </w:r>
      <w:r w:rsidRPr="000E5786">
        <w:t>.</w:t>
      </w:r>
    </w:p>
    <w:p w14:paraId="22EBE08C" w14:textId="77777777" w:rsidR="006E0235" w:rsidRPr="00CE5734" w:rsidRDefault="006E0235" w:rsidP="00DA42BF">
      <w:pPr>
        <w:pStyle w:val="Heading2"/>
        <w:spacing w:after="120"/>
        <w:rPr>
          <w:rFonts w:cs="Arial"/>
          <w:b/>
          <w:szCs w:val="20"/>
        </w:rPr>
      </w:pPr>
      <w:bookmarkStart w:id="1679" w:name="_Toc277250818"/>
      <w:bookmarkEnd w:id="1677"/>
      <w:bookmarkEnd w:id="1678"/>
      <w:r w:rsidRPr="00CE5734">
        <w:rPr>
          <w:rFonts w:cs="Arial"/>
          <w:b/>
          <w:szCs w:val="20"/>
        </w:rPr>
        <w:t>Service Validation and Testing</w:t>
      </w:r>
      <w:bookmarkEnd w:id="1679"/>
    </w:p>
    <w:p w14:paraId="4E12148E" w14:textId="51D16CD7" w:rsidR="006E0235" w:rsidRPr="000E5786" w:rsidRDefault="001F1C19" w:rsidP="00346A37">
      <w:pPr>
        <w:pStyle w:val="Heading3"/>
      </w:pPr>
      <w:proofErr w:type="spellStart"/>
      <w:r>
        <w:t>Netlink</w:t>
      </w:r>
      <w:proofErr w:type="spellEnd"/>
      <w:r>
        <w:t xml:space="preserve"> Star</w:t>
      </w:r>
      <w:r w:rsidR="006E0235" w:rsidRPr="000E5786">
        <w:t xml:space="preserve"> shall provide test resources for acceptance </w:t>
      </w:r>
      <w:proofErr w:type="gramStart"/>
      <w:r w:rsidR="006E0235" w:rsidRPr="000E5786">
        <w:t>where</w:t>
      </w:r>
      <w:proofErr w:type="gramEnd"/>
      <w:r w:rsidR="006E0235" w:rsidRPr="000E5786">
        <w:t xml:space="preserve"> identified in the applicable agreed project plan.</w:t>
      </w:r>
    </w:p>
    <w:p w14:paraId="26AB602F" w14:textId="77777777" w:rsidR="006E0235" w:rsidRPr="000E5786" w:rsidRDefault="006E0235" w:rsidP="00346A37">
      <w:pPr>
        <w:pStyle w:val="Heading3"/>
      </w:pPr>
      <w:r w:rsidRPr="000E5786">
        <w:t>The Supplier shall conduct testing in accordance with Schedule 6.3 (Testing Procedures).</w:t>
      </w:r>
    </w:p>
    <w:p w14:paraId="1795A153" w14:textId="77777777" w:rsidR="006E0235" w:rsidRPr="00CE5734" w:rsidRDefault="006E0235" w:rsidP="00DA42BF">
      <w:pPr>
        <w:pStyle w:val="Heading2"/>
        <w:spacing w:after="120"/>
        <w:rPr>
          <w:rFonts w:cs="Arial"/>
          <w:b/>
          <w:szCs w:val="20"/>
        </w:rPr>
      </w:pPr>
      <w:bookmarkStart w:id="1680" w:name="_Toc277250821"/>
      <w:bookmarkStart w:id="1681" w:name="_Ref82174196"/>
      <w:r w:rsidRPr="00CE5734">
        <w:rPr>
          <w:rFonts w:cs="Arial"/>
          <w:b/>
          <w:szCs w:val="20"/>
        </w:rPr>
        <w:t>Event and Incident Management</w:t>
      </w:r>
      <w:bookmarkEnd w:id="1680"/>
      <w:bookmarkEnd w:id="1681"/>
    </w:p>
    <w:p w14:paraId="625AB41C" w14:textId="6A4959A2" w:rsidR="006E0235" w:rsidRPr="000E5786" w:rsidRDefault="001F1C19" w:rsidP="00346A37">
      <w:pPr>
        <w:pStyle w:val="Heading3"/>
      </w:pPr>
      <w:proofErr w:type="spellStart"/>
      <w:r>
        <w:t>Netlink</w:t>
      </w:r>
      <w:proofErr w:type="spellEnd"/>
      <w:r>
        <w:t xml:space="preserve"> Star</w:t>
      </w:r>
      <w:r w:rsidR="006E0235" w:rsidRPr="000E5786">
        <w:t xml:space="preserve"> uses a service desk based on the SCCD toolset for service ticket logging and management. The Supplier shall integrate with this toolset ensuring no loss in data fidelity. </w:t>
      </w:r>
    </w:p>
    <w:p w14:paraId="4CBC7089" w14:textId="1B007A6A" w:rsidR="006E0235" w:rsidRPr="000E5786" w:rsidRDefault="006E0235" w:rsidP="00346A37">
      <w:pPr>
        <w:pStyle w:val="Heading3"/>
      </w:pPr>
      <w:r w:rsidRPr="000E5786">
        <w:t xml:space="preserve">The Supplier shall receive and update service tickets following the agreed procedures and timescales on the </w:t>
      </w:r>
      <w:proofErr w:type="spellStart"/>
      <w:r w:rsidR="001F1C19">
        <w:t>Netlink</w:t>
      </w:r>
      <w:proofErr w:type="spellEnd"/>
      <w:r w:rsidR="001F1C19">
        <w:t xml:space="preserve"> Star</w:t>
      </w:r>
      <w:r w:rsidRPr="000E5786">
        <w:t xml:space="preserve"> Service Desk tool, which is the single record of all activity. </w:t>
      </w:r>
    </w:p>
    <w:p w14:paraId="743613DB" w14:textId="7C64F0D2" w:rsidR="006E0235" w:rsidRPr="000E5786" w:rsidRDefault="006E0235" w:rsidP="00346A37">
      <w:pPr>
        <w:pStyle w:val="Heading3"/>
      </w:pPr>
      <w:r w:rsidRPr="000E5786">
        <w:t xml:space="preserve">The Supplier shall report any events that have the potential to turn into an Incident, and Incidents, to the </w:t>
      </w:r>
      <w:proofErr w:type="spellStart"/>
      <w:r w:rsidR="001F1C19">
        <w:t>Netlink</w:t>
      </w:r>
      <w:proofErr w:type="spellEnd"/>
      <w:r w:rsidR="001F1C19">
        <w:t xml:space="preserve"> Star</w:t>
      </w:r>
      <w:r w:rsidRPr="000E5786">
        <w:t xml:space="preserve"> Service Desk.</w:t>
      </w:r>
    </w:p>
    <w:p w14:paraId="59A49B76" w14:textId="55CC8CD5" w:rsidR="006E0235" w:rsidRPr="000E5786" w:rsidRDefault="006E0235" w:rsidP="00346A37">
      <w:pPr>
        <w:pStyle w:val="Heading3"/>
      </w:pPr>
      <w:r w:rsidRPr="000E5786">
        <w:t xml:space="preserve">Priority 1 Incidents and Priority 2 Incidents shall also be notified by phone call to the </w:t>
      </w:r>
      <w:proofErr w:type="spellStart"/>
      <w:r w:rsidR="001F1C19">
        <w:t>Netlink</w:t>
      </w:r>
      <w:proofErr w:type="spellEnd"/>
      <w:r w:rsidR="001F1C19">
        <w:t xml:space="preserve"> Star</w:t>
      </w:r>
      <w:r w:rsidRPr="000E5786">
        <w:t xml:space="preserve"> Service Desk and a </w:t>
      </w:r>
      <w:proofErr w:type="spellStart"/>
      <w:r w:rsidR="001F1C19">
        <w:t>Netlink</w:t>
      </w:r>
      <w:proofErr w:type="spellEnd"/>
      <w:r w:rsidR="001F1C19">
        <w:t xml:space="preserve"> Star</w:t>
      </w:r>
      <w:r w:rsidRPr="000E5786">
        <w:t xml:space="preserve"> email address to be provided during the Initial Transition Project.</w:t>
      </w:r>
    </w:p>
    <w:p w14:paraId="1AECF515" w14:textId="23439B73" w:rsidR="006E0235" w:rsidRPr="000E5786" w:rsidRDefault="006E0235" w:rsidP="00346A37">
      <w:pPr>
        <w:pStyle w:val="Heading3"/>
      </w:pPr>
      <w:r w:rsidRPr="000E5786">
        <w:t xml:space="preserve">The Supplier shall provide a support desk as a single point of contact for </w:t>
      </w:r>
      <w:proofErr w:type="spellStart"/>
      <w:r w:rsidR="001F1C19">
        <w:t>Netlink</w:t>
      </w:r>
      <w:proofErr w:type="spellEnd"/>
      <w:r w:rsidR="001F1C19">
        <w:t xml:space="preserve"> Star</w:t>
      </w:r>
      <w:r w:rsidRPr="000E5786">
        <w:t xml:space="preserve"> through both online (voice and video) and voice channel.</w:t>
      </w:r>
      <w:bookmarkEnd w:id="1655"/>
    </w:p>
    <w:p w14:paraId="1874D989" w14:textId="77777777" w:rsidR="006E0235" w:rsidRPr="000E5786" w:rsidRDefault="006E0235" w:rsidP="00DD60F0">
      <w:pPr>
        <w:rPr>
          <w:rFonts w:cs="Arial"/>
          <w:szCs w:val="20"/>
        </w:rPr>
      </w:pPr>
    </w:p>
    <w:p w14:paraId="4A9BABB7" w14:textId="02883EA4" w:rsidR="009A2964" w:rsidRPr="00822819" w:rsidRDefault="006E0235" w:rsidP="00822819">
      <w:pPr>
        <w:jc w:val="center"/>
        <w:rPr>
          <w:rFonts w:cs="Arial"/>
          <w:b/>
          <w:bCs/>
        </w:rPr>
      </w:pPr>
      <w:r w:rsidRPr="000E5786">
        <w:rPr>
          <w:rFonts w:cs="Arial"/>
          <w:szCs w:val="20"/>
        </w:rPr>
        <w:br w:type="page"/>
      </w:r>
      <w:bookmarkStart w:id="1682" w:name="_Hlk90394570"/>
      <w:r w:rsidR="009A2964" w:rsidRPr="00822819">
        <w:rPr>
          <w:rFonts w:cs="Arial"/>
          <w:b/>
          <w:bCs/>
        </w:rPr>
        <w:lastRenderedPageBreak/>
        <w:t>SCHEDULE 2.2</w:t>
      </w:r>
    </w:p>
    <w:p w14:paraId="452713AF" w14:textId="2BF884EA" w:rsidR="009A2964" w:rsidRPr="009A2964" w:rsidRDefault="009A2964" w:rsidP="009A2964">
      <w:pPr>
        <w:pStyle w:val="ScheduleSubheading"/>
        <w:numPr>
          <w:ilvl w:val="0"/>
          <w:numId w:val="0"/>
        </w:numPr>
      </w:pPr>
      <w:r>
        <w:t>SERVICE LEVELS</w:t>
      </w:r>
    </w:p>
    <w:p w14:paraId="08187DAA" w14:textId="77777777" w:rsidR="009A2964" w:rsidRPr="00BB50F2" w:rsidRDefault="009A2964" w:rsidP="00F8293A">
      <w:pPr>
        <w:pStyle w:val="Level1"/>
        <w:numPr>
          <w:ilvl w:val="0"/>
          <w:numId w:val="0"/>
        </w:numPr>
        <w:spacing w:line="240" w:lineRule="auto"/>
        <w:rPr>
          <w:rFonts w:ascii="Arial" w:hAnsi="Arial" w:cs="Arial"/>
        </w:rPr>
      </w:pPr>
      <w:r w:rsidRPr="00BB50F2">
        <w:rPr>
          <w:rFonts w:ascii="Arial" w:hAnsi="Arial" w:cs="Arial"/>
        </w:rPr>
        <w:t xml:space="preserve">This Schedule 2.2 sets out the Services Levels that shall apply to various aspects of the Operate Service provided by the </w:t>
      </w:r>
      <w:proofErr w:type="gramStart"/>
      <w:r w:rsidRPr="00BB50F2">
        <w:rPr>
          <w:rFonts w:ascii="Arial" w:hAnsi="Arial" w:cs="Arial"/>
        </w:rPr>
        <w:t>Supplier</w:t>
      </w:r>
      <w:proofErr w:type="gramEnd"/>
    </w:p>
    <w:p w14:paraId="2E99A0CD" w14:textId="77777777" w:rsidR="009A2964" w:rsidRPr="00BB50F2" w:rsidRDefault="009A2964" w:rsidP="009A2964">
      <w:pPr>
        <w:pStyle w:val="Level1"/>
        <w:tabs>
          <w:tab w:val="clear" w:pos="2411"/>
          <w:tab w:val="num" w:pos="851"/>
        </w:tabs>
        <w:spacing w:after="120" w:line="240" w:lineRule="auto"/>
        <w:ind w:left="851"/>
        <w:jc w:val="left"/>
        <w:rPr>
          <w:rFonts w:ascii="Arial" w:hAnsi="Arial" w:cs="Arial"/>
          <w:b/>
          <w:bCs/>
        </w:rPr>
      </w:pPr>
      <w:r w:rsidRPr="00BB50F2">
        <w:rPr>
          <w:rFonts w:ascii="Arial" w:hAnsi="Arial" w:cs="Arial"/>
          <w:b/>
          <w:bCs/>
        </w:rPr>
        <w:t>HOURS OF OPERATION</w:t>
      </w:r>
    </w:p>
    <w:p w14:paraId="56BA9B3C" w14:textId="77777777"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hAnsi="Arial" w:cs="Arial"/>
        </w:rPr>
        <w:t>The Service Hours for the Operate Service shall be 24 x 7 inclusive for each day in the calendar year.</w:t>
      </w:r>
    </w:p>
    <w:p w14:paraId="4FE22091" w14:textId="77777777" w:rsidR="009A2964" w:rsidRPr="00BB50F2" w:rsidRDefault="009A2964" w:rsidP="009A2964">
      <w:pPr>
        <w:pStyle w:val="Level1"/>
        <w:tabs>
          <w:tab w:val="clear" w:pos="2411"/>
          <w:tab w:val="num" w:pos="851"/>
        </w:tabs>
        <w:spacing w:after="120" w:line="240" w:lineRule="auto"/>
        <w:ind w:left="851"/>
        <w:jc w:val="left"/>
        <w:rPr>
          <w:rFonts w:ascii="Arial" w:hAnsi="Arial" w:cs="Arial"/>
          <w:b/>
          <w:bCs/>
        </w:rPr>
      </w:pPr>
      <w:r w:rsidRPr="00BB50F2">
        <w:rPr>
          <w:rFonts w:ascii="Arial" w:hAnsi="Arial" w:cs="Arial"/>
          <w:b/>
          <w:bCs/>
        </w:rPr>
        <w:t>MAINTENANCE</w:t>
      </w:r>
    </w:p>
    <w:p w14:paraId="3108375D" w14:textId="60BC6337"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hAnsi="Arial" w:cs="Arial"/>
        </w:rPr>
        <w:t xml:space="preserve">The Supplier shall maintain a rolling maintenance schedule covering at least the forthcoming six (6) month period in a format to be agreed with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xml:space="preserve"> (the “</w:t>
      </w:r>
      <w:r w:rsidRPr="00BB50F2">
        <w:rPr>
          <w:rFonts w:ascii="Arial" w:hAnsi="Arial" w:cs="Arial"/>
          <w:b/>
          <w:bCs/>
        </w:rPr>
        <w:t>Maintenance Schedule</w:t>
      </w:r>
      <w:r w:rsidRPr="00BB50F2">
        <w:rPr>
          <w:rFonts w:ascii="Arial" w:hAnsi="Arial" w:cs="Arial"/>
        </w:rPr>
        <w:t>”).</w:t>
      </w:r>
    </w:p>
    <w:p w14:paraId="2340B8B6" w14:textId="7D34326F" w:rsidR="009A2964" w:rsidRPr="00BB50F2" w:rsidRDefault="009A2964" w:rsidP="009A2964">
      <w:pPr>
        <w:pStyle w:val="Level2"/>
        <w:tabs>
          <w:tab w:val="clear" w:pos="1135"/>
        </w:tabs>
        <w:spacing w:after="120" w:line="240" w:lineRule="auto"/>
        <w:ind w:left="851"/>
        <w:rPr>
          <w:rFonts w:ascii="Arial" w:hAnsi="Arial" w:cs="Arial"/>
        </w:rPr>
      </w:pPr>
      <w:bookmarkStart w:id="1683" w:name="_Ref82175531"/>
      <w:r w:rsidRPr="00BB50F2">
        <w:rPr>
          <w:rFonts w:ascii="Arial" w:hAnsi="Arial" w:cs="Arial"/>
        </w:rPr>
        <w:t>Any maintenance for the Operate Service must be conducted between the hours of 00:00 to 05:00 hours (UK time) Sunday (“</w:t>
      </w:r>
      <w:r w:rsidRPr="00BB50F2">
        <w:rPr>
          <w:rFonts w:ascii="Arial" w:hAnsi="Arial" w:cs="Arial"/>
          <w:b/>
        </w:rPr>
        <w:t>Scheduled Maintenance Window</w:t>
      </w:r>
      <w:r w:rsidRPr="00BB50F2">
        <w:rPr>
          <w:rFonts w:ascii="Arial" w:hAnsi="Arial" w:cs="Arial"/>
        </w:rPr>
        <w:t xml:space="preserve">”) with a maximum Service Outage of one (1) hour pre-approved in writing by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xml:space="preserve"> where it is agreed in advance in writing by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xml:space="preserve"> except for any emergency maintenance downtime required outside these hours.</w:t>
      </w:r>
      <w:bookmarkEnd w:id="1683"/>
    </w:p>
    <w:p w14:paraId="04FAF45D" w14:textId="567FD345"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hAnsi="Arial" w:cs="Arial"/>
        </w:rPr>
        <w:t xml:space="preserve">Once agreed by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the period of planned maintenance (“</w:t>
      </w:r>
      <w:r w:rsidRPr="00BB50F2">
        <w:rPr>
          <w:rFonts w:ascii="Arial" w:hAnsi="Arial" w:cs="Arial"/>
          <w:b/>
          <w:bCs/>
        </w:rPr>
        <w:t>Scheduled Downtime</w:t>
      </w:r>
      <w:r w:rsidRPr="00BB50F2">
        <w:rPr>
          <w:rFonts w:ascii="Arial" w:hAnsi="Arial" w:cs="Arial"/>
        </w:rPr>
        <w:t>”) shall be entered onto the Maintenance Schedule.</w:t>
      </w:r>
    </w:p>
    <w:p w14:paraId="2A7D49E3" w14:textId="00D8DD28"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hAnsi="Arial" w:cs="Arial"/>
        </w:rPr>
        <w:t xml:space="preserve">Where the Supplier believes it requires an exceptional maintenance window beyond the maximum amount allowed for as Scheduled Maintenance in Paragraph </w:t>
      </w:r>
      <w:r w:rsidRPr="00BB50F2">
        <w:rPr>
          <w:rFonts w:ascii="Arial" w:hAnsi="Arial" w:cs="Arial"/>
        </w:rPr>
        <w:fldChar w:fldCharType="begin"/>
      </w:r>
      <w:r w:rsidRPr="00BB50F2">
        <w:rPr>
          <w:rFonts w:ascii="Arial" w:hAnsi="Arial" w:cs="Arial"/>
        </w:rPr>
        <w:instrText xml:space="preserve"> REF _Ref82175531 \r \h  \* MERGEFORMAT </w:instrText>
      </w:r>
      <w:r w:rsidRPr="00BB50F2">
        <w:rPr>
          <w:rFonts w:ascii="Arial" w:hAnsi="Arial" w:cs="Arial"/>
        </w:rPr>
      </w:r>
      <w:r w:rsidRPr="00BB50F2">
        <w:rPr>
          <w:rFonts w:ascii="Arial" w:hAnsi="Arial" w:cs="Arial"/>
        </w:rPr>
        <w:fldChar w:fldCharType="separate"/>
      </w:r>
      <w:r w:rsidRPr="00BB50F2">
        <w:rPr>
          <w:rFonts w:ascii="Arial" w:hAnsi="Arial" w:cs="Arial"/>
        </w:rPr>
        <w:t>2.2</w:t>
      </w:r>
      <w:r w:rsidRPr="00BB50F2">
        <w:rPr>
          <w:rFonts w:ascii="Arial" w:hAnsi="Arial" w:cs="Arial"/>
        </w:rPr>
        <w:fldChar w:fldCharType="end"/>
      </w:r>
      <w:r w:rsidRPr="00BB50F2">
        <w:rPr>
          <w:rFonts w:ascii="Arial" w:hAnsi="Arial" w:cs="Arial"/>
        </w:rPr>
        <w:t xml:space="preserve">, it shall present its case to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xml:space="preserve"> at least eight (8) weeks in advance of such a requirement. The Parties shall discuss the reasons and alternatives.</w:t>
      </w:r>
    </w:p>
    <w:p w14:paraId="2388427D" w14:textId="77777777"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hAnsi="Arial" w:cs="Arial"/>
        </w:rPr>
        <w:t>Service downtime arising from Scheduled Downtime shall be excluded in the calculation of the total Service Hours for the purposes of the calculation of performance against the Service Levels. Any downtime period beyond the agreed window shall be included as unavailability in the calculation of performance against the Service Levels.</w:t>
      </w:r>
    </w:p>
    <w:p w14:paraId="3D6B71A7" w14:textId="77777777" w:rsidR="009A2964" w:rsidRPr="00BB50F2" w:rsidRDefault="009A2964" w:rsidP="009A2964">
      <w:pPr>
        <w:pStyle w:val="Level1"/>
        <w:tabs>
          <w:tab w:val="clear" w:pos="2411"/>
          <w:tab w:val="num" w:pos="851"/>
        </w:tabs>
        <w:spacing w:after="120" w:line="240" w:lineRule="auto"/>
        <w:ind w:left="851"/>
        <w:jc w:val="left"/>
        <w:rPr>
          <w:rFonts w:ascii="Arial" w:hAnsi="Arial" w:cs="Arial"/>
          <w:b/>
          <w:bCs/>
        </w:rPr>
      </w:pPr>
      <w:r w:rsidRPr="00BB50F2">
        <w:rPr>
          <w:rFonts w:ascii="Arial" w:hAnsi="Arial" w:cs="Arial"/>
          <w:b/>
          <w:bCs/>
        </w:rPr>
        <w:t>SUMMARY OF SERVICE LEVELS</w:t>
      </w:r>
    </w:p>
    <w:p w14:paraId="5DF3EF01" w14:textId="77777777"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hAnsi="Arial" w:cs="Arial"/>
        </w:rPr>
        <w:t xml:space="preserve">The Services shall be provided according to the Service Levels documented in this </w:t>
      </w:r>
      <w:r w:rsidRPr="00BB50F2">
        <w:rPr>
          <w:rFonts w:ascii="Arial" w:hAnsi="Arial" w:cs="Arial"/>
          <w:bCs/>
        </w:rPr>
        <w:t>Schedule 2.2</w:t>
      </w:r>
      <w:r w:rsidRPr="00BB50F2">
        <w:rPr>
          <w:rFonts w:ascii="Arial" w:hAnsi="Arial" w:cs="Arial"/>
          <w:b/>
        </w:rPr>
        <w:t xml:space="preserve"> </w:t>
      </w:r>
      <w:r w:rsidRPr="00BB50F2">
        <w:rPr>
          <w:rFonts w:ascii="Arial" w:hAnsi="Arial" w:cs="Arial"/>
          <w:bCs/>
        </w:rPr>
        <w:t>(Service Levels)</w:t>
      </w:r>
      <w:r w:rsidRPr="00BB50F2">
        <w:rPr>
          <w:rFonts w:ascii="Arial" w:hAnsi="Arial" w:cs="Arial"/>
        </w:rPr>
        <w:t>. Notwithstanding any other Paragraph of this Schedule 2.2 or Schedule 7.2</w:t>
      </w:r>
      <w:r>
        <w:rPr>
          <w:rFonts w:ascii="Arial" w:hAnsi="Arial" w:cs="Arial"/>
        </w:rPr>
        <w:t xml:space="preserve"> (Service Credits)</w:t>
      </w:r>
      <w:r w:rsidRPr="00BB50F2">
        <w:rPr>
          <w:rFonts w:ascii="Arial" w:hAnsi="Arial" w:cs="Arial"/>
        </w:rPr>
        <w:t xml:space="preserve">, a Service shall not be regarded as falling below or failing a Service Level (including an Aspiration Level, Minimum Level or Service Credit Boundary Level), and the Supplier shall not be liable for any failure to provide the Services according to the Service Levels (including the Aspiration Levels, Minimum Levels and Service Credit Boundary Levels), to the extent that such failure results from the acts or omissions of a third party that is not a Sub-contractor.    </w:t>
      </w:r>
    </w:p>
    <w:p w14:paraId="7224E34F" w14:textId="77777777" w:rsidR="009A2964" w:rsidRPr="00BB50F2" w:rsidRDefault="009A2964" w:rsidP="009A2964">
      <w:pPr>
        <w:pStyle w:val="Level2"/>
        <w:tabs>
          <w:tab w:val="clear" w:pos="1135"/>
        </w:tabs>
        <w:spacing w:after="120" w:line="240" w:lineRule="auto"/>
        <w:ind w:left="851"/>
        <w:rPr>
          <w:rFonts w:ascii="Arial" w:hAnsi="Arial" w:cs="Arial"/>
          <w:lang w:val="en-US"/>
        </w:rPr>
      </w:pPr>
      <w:bookmarkStart w:id="1684" w:name="_Ref82175592"/>
      <w:r w:rsidRPr="00BB50F2">
        <w:rPr>
          <w:rFonts w:ascii="Arial" w:hAnsi="Arial" w:cs="Arial"/>
          <w:lang w:val="en-US"/>
        </w:rPr>
        <w:t xml:space="preserve">There shall be two (2) </w:t>
      </w:r>
      <w:r w:rsidRPr="000C516C">
        <w:rPr>
          <w:rFonts w:ascii="Arial" w:hAnsi="Arial" w:cs="Arial"/>
        </w:rPr>
        <w:t>types</w:t>
      </w:r>
      <w:r w:rsidRPr="00BB50F2">
        <w:rPr>
          <w:rFonts w:ascii="Arial" w:hAnsi="Arial" w:cs="Arial"/>
          <w:lang w:val="en-US"/>
        </w:rPr>
        <w:t xml:space="preserve"> of Service Levels associated with the delivery of Service:</w:t>
      </w:r>
      <w:bookmarkEnd w:id="1684"/>
    </w:p>
    <w:p w14:paraId="0C3147C3"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Binary Service Levels, equivalent to a pass or fail measure (</w:t>
      </w:r>
      <w:proofErr w:type="gramStart"/>
      <w:r w:rsidRPr="00BB50F2">
        <w:rPr>
          <w:rFonts w:ascii="Arial" w:hAnsi="Arial" w:cs="Arial"/>
        </w:rPr>
        <w:t>e.g.</w:t>
      </w:r>
      <w:proofErr w:type="gramEnd"/>
      <w:r w:rsidRPr="00BB50F2">
        <w:rPr>
          <w:rFonts w:ascii="Arial" w:hAnsi="Arial" w:cs="Arial"/>
        </w:rPr>
        <w:t xml:space="preserve"> delivery of a Catalogue Request within the agreed period); and</w:t>
      </w:r>
    </w:p>
    <w:p w14:paraId="599AB345"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Continuous Service Levels assessed on a continuous numeric scale over a calendar month period from 0 to 100% (</w:t>
      </w:r>
      <w:proofErr w:type="gramStart"/>
      <w:r w:rsidRPr="00BB50F2">
        <w:rPr>
          <w:rFonts w:ascii="Arial" w:hAnsi="Arial" w:cs="Arial"/>
        </w:rPr>
        <w:t>e.g.</w:t>
      </w:r>
      <w:proofErr w:type="gramEnd"/>
      <w:r w:rsidRPr="00BB50F2">
        <w:rPr>
          <w:rFonts w:ascii="Arial" w:hAnsi="Arial" w:cs="Arial"/>
        </w:rPr>
        <w:t xml:space="preserve"> availability of a service).</w:t>
      </w:r>
    </w:p>
    <w:p w14:paraId="1EDC3715" w14:textId="77777777" w:rsidR="009A2964" w:rsidRPr="00BB50F2" w:rsidRDefault="009A2964" w:rsidP="009A2964">
      <w:pPr>
        <w:pStyle w:val="Level2"/>
        <w:tabs>
          <w:tab w:val="clear" w:pos="1135"/>
        </w:tabs>
        <w:spacing w:after="120" w:line="240" w:lineRule="auto"/>
        <w:ind w:left="851"/>
        <w:rPr>
          <w:rFonts w:ascii="Arial" w:hAnsi="Arial" w:cs="Arial"/>
          <w:lang w:val="en-US"/>
        </w:rPr>
      </w:pPr>
      <w:r w:rsidRPr="00BB50F2">
        <w:rPr>
          <w:rFonts w:ascii="Arial" w:hAnsi="Arial" w:cs="Arial"/>
          <w:lang w:val="en-US"/>
        </w:rPr>
        <w:t>The Service Levels are specified in Table 1 against the specific Service to which they apply. Table 1:</w:t>
      </w:r>
    </w:p>
    <w:p w14:paraId="0139F261" w14:textId="77777777" w:rsidR="009A2964" w:rsidRPr="00BB50F2" w:rsidRDefault="009A2964" w:rsidP="009A2964">
      <w:pPr>
        <w:pStyle w:val="Level3"/>
        <w:spacing w:line="240" w:lineRule="auto"/>
        <w:ind w:hanging="851"/>
        <w:rPr>
          <w:rFonts w:ascii="Arial" w:hAnsi="Arial" w:cs="Arial"/>
        </w:rPr>
      </w:pPr>
      <w:proofErr w:type="spellStart"/>
      <w:r w:rsidRPr="00BB50F2">
        <w:rPr>
          <w:rFonts w:ascii="Arial" w:hAnsi="Arial" w:cs="Arial"/>
          <w:lang w:val="en-US"/>
        </w:rPr>
        <w:t>summarises</w:t>
      </w:r>
      <w:proofErr w:type="spellEnd"/>
      <w:r w:rsidRPr="00BB50F2">
        <w:rPr>
          <w:rFonts w:ascii="Arial" w:hAnsi="Arial" w:cs="Arial"/>
          <w:lang w:val="en-US"/>
        </w:rPr>
        <w:t xml:space="preserve"> key </w:t>
      </w:r>
      <w:r w:rsidRPr="00BB50F2">
        <w:rPr>
          <w:rFonts w:ascii="Arial" w:hAnsi="Arial" w:cs="Arial"/>
        </w:rPr>
        <w:t>details</w:t>
      </w:r>
      <w:r w:rsidRPr="00BB50F2">
        <w:rPr>
          <w:rFonts w:ascii="Arial" w:hAnsi="Arial" w:cs="Arial"/>
          <w:lang w:val="en-US"/>
        </w:rPr>
        <w:t xml:space="preserve"> of the Service Levels for reference which should be read in conjunction with Schedule 7.2 (Service Credits) which </w:t>
      </w:r>
      <w:r w:rsidRPr="00BB50F2">
        <w:rPr>
          <w:rFonts w:ascii="Arial" w:hAnsi="Arial" w:cs="Arial"/>
        </w:rPr>
        <w:t xml:space="preserve">sets out the mechanism by which performance against the Service Levels are converted into Service </w:t>
      </w:r>
      <w:proofErr w:type="gramStart"/>
      <w:r w:rsidRPr="00BB50F2">
        <w:rPr>
          <w:rFonts w:ascii="Arial" w:hAnsi="Arial" w:cs="Arial"/>
        </w:rPr>
        <w:t>Credits;</w:t>
      </w:r>
      <w:proofErr w:type="gramEnd"/>
    </w:p>
    <w:p w14:paraId="27142D3C"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specifies the type of Service Level in relation to Paragraph </w:t>
      </w:r>
      <w:r w:rsidRPr="00BB50F2">
        <w:rPr>
          <w:rFonts w:ascii="Arial" w:hAnsi="Arial" w:cs="Arial"/>
        </w:rPr>
        <w:fldChar w:fldCharType="begin"/>
      </w:r>
      <w:r w:rsidRPr="00BB50F2">
        <w:rPr>
          <w:rFonts w:ascii="Arial" w:hAnsi="Arial" w:cs="Arial"/>
        </w:rPr>
        <w:instrText xml:space="preserve"> REF _Ref82175592 \r \h  \* MERGEFORMAT </w:instrText>
      </w:r>
      <w:r w:rsidRPr="00BB50F2">
        <w:rPr>
          <w:rFonts w:ascii="Arial" w:hAnsi="Arial" w:cs="Arial"/>
        </w:rPr>
      </w:r>
      <w:r w:rsidRPr="00BB50F2">
        <w:rPr>
          <w:rFonts w:ascii="Arial" w:hAnsi="Arial" w:cs="Arial"/>
        </w:rPr>
        <w:fldChar w:fldCharType="separate"/>
      </w:r>
      <w:r w:rsidRPr="00BB50F2">
        <w:rPr>
          <w:rFonts w:ascii="Arial" w:hAnsi="Arial" w:cs="Arial"/>
        </w:rPr>
        <w:t>3.2</w:t>
      </w:r>
      <w:r w:rsidRPr="00BB50F2">
        <w:rPr>
          <w:rFonts w:ascii="Arial" w:hAnsi="Arial" w:cs="Arial"/>
        </w:rPr>
        <w:fldChar w:fldCharType="end"/>
      </w:r>
      <w:r w:rsidRPr="00BB50F2">
        <w:rPr>
          <w:rFonts w:ascii="Arial" w:hAnsi="Arial" w:cs="Arial"/>
        </w:rPr>
        <w:t>;</w:t>
      </w:r>
    </w:p>
    <w:p w14:paraId="4C1820E7"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identifies the metric/measure (“</w:t>
      </w:r>
      <w:r w:rsidRPr="00BB50F2">
        <w:rPr>
          <w:rFonts w:ascii="Arial" w:hAnsi="Arial" w:cs="Arial"/>
          <w:b/>
          <w:bCs/>
        </w:rPr>
        <w:t>KPI</w:t>
      </w:r>
      <w:r w:rsidRPr="00BB50F2">
        <w:rPr>
          <w:rFonts w:ascii="Arial" w:hAnsi="Arial" w:cs="Arial"/>
        </w:rPr>
        <w:t xml:space="preserve">”) that the Service Level is based on and therefore shall be tracked, baselined, and reported on in accordance with reporting in Paragraphs </w:t>
      </w:r>
      <w:r w:rsidRPr="00BB50F2">
        <w:rPr>
          <w:rFonts w:ascii="Arial" w:hAnsi="Arial" w:cs="Arial"/>
        </w:rPr>
        <w:fldChar w:fldCharType="begin"/>
      </w:r>
      <w:r w:rsidRPr="00BB50F2">
        <w:rPr>
          <w:rFonts w:ascii="Arial" w:hAnsi="Arial" w:cs="Arial"/>
        </w:rPr>
        <w:instrText xml:space="preserve"> REF _Ref82175614 \r \h  \* MERGEFORMAT </w:instrText>
      </w:r>
      <w:r w:rsidRPr="00BB50F2">
        <w:rPr>
          <w:rFonts w:ascii="Arial" w:hAnsi="Arial" w:cs="Arial"/>
        </w:rPr>
      </w:r>
      <w:r w:rsidRPr="00BB50F2">
        <w:rPr>
          <w:rFonts w:ascii="Arial" w:hAnsi="Arial" w:cs="Arial"/>
        </w:rPr>
        <w:fldChar w:fldCharType="separate"/>
      </w:r>
      <w:r w:rsidRPr="00BB50F2">
        <w:rPr>
          <w:rFonts w:ascii="Arial" w:hAnsi="Arial" w:cs="Arial"/>
        </w:rPr>
        <w:t>5</w:t>
      </w:r>
      <w:r w:rsidRPr="00BB50F2">
        <w:rPr>
          <w:rFonts w:ascii="Arial" w:hAnsi="Arial" w:cs="Arial"/>
        </w:rPr>
        <w:fldChar w:fldCharType="end"/>
      </w:r>
      <w:r w:rsidRPr="00BB50F2">
        <w:rPr>
          <w:rFonts w:ascii="Arial" w:hAnsi="Arial" w:cs="Arial"/>
        </w:rPr>
        <w:t xml:space="preserve"> and </w:t>
      </w:r>
      <w:r w:rsidRPr="00BB50F2">
        <w:rPr>
          <w:rFonts w:ascii="Arial" w:hAnsi="Arial" w:cs="Arial"/>
        </w:rPr>
        <w:fldChar w:fldCharType="begin"/>
      </w:r>
      <w:r w:rsidRPr="00BB50F2">
        <w:rPr>
          <w:rFonts w:ascii="Arial" w:hAnsi="Arial" w:cs="Arial"/>
        </w:rPr>
        <w:instrText xml:space="preserve"> REF _Ref82175626 \r \h  \* MERGEFORMAT </w:instrText>
      </w:r>
      <w:r w:rsidRPr="00BB50F2">
        <w:rPr>
          <w:rFonts w:ascii="Arial" w:hAnsi="Arial" w:cs="Arial"/>
        </w:rPr>
      </w:r>
      <w:r w:rsidRPr="00BB50F2">
        <w:rPr>
          <w:rFonts w:ascii="Arial" w:hAnsi="Arial" w:cs="Arial"/>
        </w:rPr>
        <w:fldChar w:fldCharType="separate"/>
      </w:r>
      <w:r w:rsidRPr="00BB50F2">
        <w:rPr>
          <w:rFonts w:ascii="Arial" w:hAnsi="Arial" w:cs="Arial"/>
        </w:rPr>
        <w:t>7</w:t>
      </w:r>
      <w:r w:rsidRPr="00BB50F2">
        <w:rPr>
          <w:rFonts w:ascii="Arial" w:hAnsi="Arial" w:cs="Arial"/>
        </w:rPr>
        <w:fldChar w:fldCharType="end"/>
      </w:r>
      <w:r w:rsidRPr="00BB50F2">
        <w:rPr>
          <w:rFonts w:ascii="Arial" w:hAnsi="Arial" w:cs="Arial"/>
        </w:rPr>
        <w:t>;</w:t>
      </w:r>
    </w:p>
    <w:p w14:paraId="54B3158C"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lastRenderedPageBreak/>
        <w:t>sets out the aspirational Service Level (“</w:t>
      </w:r>
      <w:r w:rsidRPr="00BB50F2">
        <w:rPr>
          <w:rFonts w:ascii="Arial" w:hAnsi="Arial" w:cs="Arial"/>
          <w:b/>
          <w:bCs/>
        </w:rPr>
        <w:t>Aspiration Level</w:t>
      </w:r>
      <w:r w:rsidRPr="00BB50F2">
        <w:rPr>
          <w:rFonts w:ascii="Arial" w:hAnsi="Arial" w:cs="Arial"/>
        </w:rPr>
        <w:t xml:space="preserve">”) which the Supplier will aspire to achieve through its Service improvement obligations. For the avoidance of doubt, the Parties have not confirmed that the Supplier Solution is capable of achieving the Aspiration Level and the service shall not be deemed to be failing if it does not meet the Aspiration </w:t>
      </w:r>
      <w:proofErr w:type="gramStart"/>
      <w:r w:rsidRPr="00BB50F2">
        <w:rPr>
          <w:rFonts w:ascii="Arial" w:hAnsi="Arial" w:cs="Arial"/>
        </w:rPr>
        <w:t>Level;</w:t>
      </w:r>
      <w:proofErr w:type="gramEnd"/>
    </w:p>
    <w:p w14:paraId="754E72EC"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sets out the minimum Service Level (“</w:t>
      </w:r>
      <w:r w:rsidRPr="00BB50F2">
        <w:rPr>
          <w:rFonts w:ascii="Arial" w:hAnsi="Arial" w:cs="Arial"/>
          <w:b/>
          <w:bCs/>
        </w:rPr>
        <w:t>Minimum Level</w:t>
      </w:r>
      <w:r w:rsidRPr="00BB50F2">
        <w:rPr>
          <w:rFonts w:ascii="Arial" w:hAnsi="Arial" w:cs="Arial"/>
        </w:rPr>
        <w:t>”) below which Service Credits become payable; and</w:t>
      </w:r>
    </w:p>
    <w:p w14:paraId="5D9BCA7C" w14:textId="1AA8E7E7" w:rsidR="009A2964" w:rsidRDefault="009A2964" w:rsidP="009A2964">
      <w:pPr>
        <w:pStyle w:val="Level3"/>
        <w:spacing w:line="240" w:lineRule="auto"/>
        <w:ind w:hanging="851"/>
        <w:rPr>
          <w:rFonts w:ascii="Arial" w:hAnsi="Arial" w:cs="Arial"/>
        </w:rPr>
      </w:pPr>
      <w:r w:rsidRPr="00BB50F2">
        <w:rPr>
          <w:rFonts w:ascii="Arial" w:hAnsi="Arial" w:cs="Arial"/>
        </w:rPr>
        <w:t xml:space="preserve">sets out the Service Credit Boundary that is the performance level at which the maximum allocated Service Credits for that Service Level measure become payable to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w:t>
      </w:r>
    </w:p>
    <w:p w14:paraId="371A4FC8" w14:textId="4BFC57F5" w:rsidR="005B43B5" w:rsidRPr="005B43B5" w:rsidRDefault="005B43B5" w:rsidP="005B43B5">
      <w:pPr>
        <w:pStyle w:val="Level2"/>
        <w:rPr>
          <w:rFonts w:ascii="Arial" w:hAnsi="Arial" w:cs="Arial"/>
          <w:lang w:val="en-US"/>
        </w:rPr>
      </w:pPr>
      <w:r w:rsidRPr="005B43B5">
        <w:rPr>
          <w:rFonts w:ascii="Arial" w:hAnsi="Arial" w:cs="Arial"/>
          <w:lang w:val="en-US"/>
        </w:rPr>
        <w:tab/>
        <w:t xml:space="preserve">The following will constitute a Material KPI Failure: </w:t>
      </w:r>
    </w:p>
    <w:p w14:paraId="07737251" w14:textId="2AC73223" w:rsidR="005B43B5" w:rsidRPr="005B43B5" w:rsidRDefault="005B43B5" w:rsidP="005B43B5">
      <w:pPr>
        <w:pStyle w:val="Level3"/>
        <w:rPr>
          <w:rFonts w:ascii="Arial" w:hAnsi="Arial" w:cs="Arial"/>
          <w:lang w:val="en-US"/>
        </w:rPr>
      </w:pPr>
      <w:r w:rsidRPr="005B43B5">
        <w:rPr>
          <w:rFonts w:ascii="Arial" w:hAnsi="Arial" w:cs="Arial"/>
          <w:lang w:val="en-US"/>
        </w:rPr>
        <w:t xml:space="preserve">if in a single Invoicing Period, a Service Level that is identified as Key Critical results in a Service </w:t>
      </w:r>
      <w:proofErr w:type="gramStart"/>
      <w:r w:rsidRPr="005B43B5">
        <w:rPr>
          <w:rFonts w:ascii="Arial" w:hAnsi="Arial" w:cs="Arial"/>
          <w:lang w:val="en-US"/>
        </w:rPr>
        <w:t>Failure;</w:t>
      </w:r>
      <w:proofErr w:type="gramEnd"/>
      <w:r w:rsidRPr="005B43B5">
        <w:rPr>
          <w:rFonts w:ascii="Arial" w:hAnsi="Arial" w:cs="Arial"/>
          <w:lang w:val="en-US"/>
        </w:rPr>
        <w:t xml:space="preserve"> </w:t>
      </w:r>
    </w:p>
    <w:p w14:paraId="72F54BEA" w14:textId="19D17564" w:rsidR="005B43B5" w:rsidRPr="005B43B5" w:rsidRDefault="005B43B5" w:rsidP="005B43B5">
      <w:pPr>
        <w:pStyle w:val="Level3"/>
        <w:rPr>
          <w:rFonts w:ascii="Arial" w:hAnsi="Arial" w:cs="Arial"/>
          <w:lang w:val="en-US"/>
        </w:rPr>
      </w:pPr>
      <w:r w:rsidRPr="005B43B5">
        <w:rPr>
          <w:rFonts w:ascii="Arial" w:hAnsi="Arial" w:cs="Arial"/>
          <w:lang w:val="en-US"/>
        </w:rPr>
        <w:t>if th</w:t>
      </w:r>
      <w:r w:rsidR="00D07AAA">
        <w:rPr>
          <w:rFonts w:ascii="Arial" w:hAnsi="Arial" w:cs="Arial"/>
          <w:lang w:val="en-US"/>
        </w:rPr>
        <w:t>ere</w:t>
      </w:r>
      <w:r w:rsidRPr="005B43B5">
        <w:rPr>
          <w:rFonts w:ascii="Arial" w:hAnsi="Arial" w:cs="Arial"/>
          <w:lang w:val="en-US"/>
        </w:rPr>
        <w:t xml:space="preserve"> is a consecutive failure of any Service Level (</w:t>
      </w:r>
      <w:proofErr w:type="gramStart"/>
      <w:r w:rsidRPr="005B43B5">
        <w:rPr>
          <w:rFonts w:ascii="Arial" w:hAnsi="Arial" w:cs="Arial"/>
          <w:lang w:val="en-US"/>
        </w:rPr>
        <w:t>i.e.</w:t>
      </w:r>
      <w:proofErr w:type="gramEnd"/>
      <w:r w:rsidRPr="005B43B5">
        <w:rPr>
          <w:rFonts w:ascii="Arial" w:hAnsi="Arial" w:cs="Arial"/>
          <w:lang w:val="en-US"/>
        </w:rPr>
        <w:t xml:space="preserve"> below Minimum Level) three (3) times or more in a row; or</w:t>
      </w:r>
    </w:p>
    <w:p w14:paraId="3CB3CF8A" w14:textId="3F54899B" w:rsidR="009A2964" w:rsidRPr="00BB50F2" w:rsidRDefault="005B43B5" w:rsidP="009A2964">
      <w:pPr>
        <w:pStyle w:val="Level2"/>
        <w:tabs>
          <w:tab w:val="clear" w:pos="1135"/>
        </w:tabs>
        <w:spacing w:after="120" w:line="240" w:lineRule="auto"/>
        <w:ind w:left="851"/>
        <w:rPr>
          <w:rFonts w:ascii="Arial" w:hAnsi="Arial" w:cs="Arial"/>
        </w:rPr>
      </w:pPr>
      <w:r w:rsidRPr="005B43B5">
        <w:rPr>
          <w:rFonts w:ascii="Arial" w:hAnsi="Arial" w:cs="Arial"/>
          <w:lang w:val="en-US"/>
        </w:rPr>
        <w:t>if in a single Invoicing Period the Supplier causes two (2) or more individual Service Levels to fall below their Minimum Level, and each such Service Level is below the Minimum Level four (4) or more months in any rolling six (6) month period.</w:t>
      </w:r>
      <w:r w:rsidR="00D07AAA">
        <w:rPr>
          <w:rFonts w:ascii="Arial" w:hAnsi="Arial" w:cs="Arial"/>
          <w:lang w:val="en-US"/>
        </w:rPr>
        <w:t xml:space="preserve"> </w:t>
      </w:r>
      <w:r w:rsidR="009A2964" w:rsidRPr="00BB50F2">
        <w:rPr>
          <w:rFonts w:ascii="Arial" w:hAnsi="Arial" w:cs="Arial"/>
        </w:rPr>
        <w:t>These Service Levels apply to the Operate Services</w:t>
      </w:r>
      <w:r w:rsidR="00A455FF">
        <w:rPr>
          <w:rFonts w:ascii="Arial" w:hAnsi="Arial" w:cs="Arial"/>
        </w:rPr>
        <w:t xml:space="preserve"> </w:t>
      </w:r>
      <w:r w:rsidR="00A455FF" w:rsidRPr="00A455FF">
        <w:rPr>
          <w:rFonts w:ascii="Arial" w:hAnsi="Arial" w:cs="Arial"/>
        </w:rPr>
        <w:t xml:space="preserve">and are summarised in </w:t>
      </w:r>
      <w:r w:rsidR="00A455FF">
        <w:rPr>
          <w:rFonts w:ascii="Arial" w:hAnsi="Arial" w:cs="Arial"/>
        </w:rPr>
        <w:t>T</w:t>
      </w:r>
      <w:r w:rsidR="00A455FF" w:rsidRPr="00A455FF">
        <w:rPr>
          <w:rFonts w:ascii="Arial" w:hAnsi="Arial" w:cs="Arial"/>
        </w:rPr>
        <w:t>able 1. Annex A: Service level calculations provides additional detail</w:t>
      </w:r>
      <w:r w:rsidR="009A2964" w:rsidRPr="00BB50F2">
        <w:rPr>
          <w:rFonts w:ascii="Arial" w:hAnsi="Arial" w:cs="Arial"/>
        </w:rPr>
        <w:t xml:space="preserve">: </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04"/>
        <w:gridCol w:w="1276"/>
        <w:gridCol w:w="1276"/>
        <w:gridCol w:w="2126"/>
        <w:gridCol w:w="1276"/>
        <w:gridCol w:w="1134"/>
        <w:gridCol w:w="1275"/>
      </w:tblGrid>
      <w:tr w:rsidR="009A2964" w:rsidRPr="00BB50F2" w14:paraId="0FC515DB" w14:textId="77777777" w:rsidTr="00FA59F9">
        <w:trPr>
          <w:tblHeader/>
        </w:trPr>
        <w:tc>
          <w:tcPr>
            <w:tcW w:w="704" w:type="dxa"/>
          </w:tcPr>
          <w:p w14:paraId="592DA877" w14:textId="77777777" w:rsidR="009A2964" w:rsidRPr="00BB50F2" w:rsidRDefault="009A2964" w:rsidP="00F8293A">
            <w:pPr>
              <w:rPr>
                <w:rFonts w:cs="Arial"/>
              </w:rPr>
            </w:pPr>
            <w:r w:rsidRPr="00BB50F2">
              <w:rPr>
                <w:rFonts w:cs="Arial"/>
                <w:b/>
                <w:bCs/>
              </w:rPr>
              <w:t>Ref</w:t>
            </w:r>
          </w:p>
        </w:tc>
        <w:tc>
          <w:tcPr>
            <w:tcW w:w="1276" w:type="dxa"/>
          </w:tcPr>
          <w:p w14:paraId="47A4B412" w14:textId="77777777" w:rsidR="009A2964" w:rsidRPr="00BB50F2" w:rsidRDefault="009A2964" w:rsidP="00F8293A">
            <w:pPr>
              <w:rPr>
                <w:rFonts w:cs="Arial"/>
                <w:b/>
                <w:bCs/>
              </w:rPr>
            </w:pPr>
            <w:r w:rsidRPr="00BB50F2">
              <w:rPr>
                <w:rFonts w:cs="Arial"/>
                <w:b/>
                <w:bCs/>
              </w:rPr>
              <w:t>Name</w:t>
            </w:r>
          </w:p>
        </w:tc>
        <w:tc>
          <w:tcPr>
            <w:tcW w:w="1276" w:type="dxa"/>
          </w:tcPr>
          <w:p w14:paraId="149D0463" w14:textId="77777777" w:rsidR="009A2964" w:rsidRPr="00BB50F2" w:rsidRDefault="009A2964" w:rsidP="00F8293A">
            <w:pPr>
              <w:rPr>
                <w:rFonts w:cs="Arial"/>
                <w:b/>
                <w:bCs/>
              </w:rPr>
            </w:pPr>
            <w:r w:rsidRPr="00BB50F2">
              <w:rPr>
                <w:rFonts w:cs="Arial"/>
                <w:b/>
                <w:bCs/>
              </w:rPr>
              <w:t>Type</w:t>
            </w:r>
          </w:p>
        </w:tc>
        <w:tc>
          <w:tcPr>
            <w:tcW w:w="2126" w:type="dxa"/>
          </w:tcPr>
          <w:p w14:paraId="66BE0861" w14:textId="77777777" w:rsidR="009A2964" w:rsidRPr="00BB50F2" w:rsidRDefault="009A2964" w:rsidP="00F8293A">
            <w:pPr>
              <w:rPr>
                <w:rFonts w:cs="Arial"/>
                <w:b/>
                <w:bCs/>
              </w:rPr>
            </w:pPr>
            <w:r w:rsidRPr="00BB50F2">
              <w:rPr>
                <w:rFonts w:cs="Arial"/>
                <w:b/>
                <w:bCs/>
              </w:rPr>
              <w:t>Metric/ Measure</w:t>
            </w:r>
          </w:p>
        </w:tc>
        <w:tc>
          <w:tcPr>
            <w:tcW w:w="1276" w:type="dxa"/>
          </w:tcPr>
          <w:p w14:paraId="235456D8" w14:textId="77777777" w:rsidR="009A2964" w:rsidRPr="00BB50F2" w:rsidRDefault="009A2964" w:rsidP="00F8293A">
            <w:pPr>
              <w:rPr>
                <w:rFonts w:cs="Arial"/>
                <w:b/>
                <w:bCs/>
              </w:rPr>
            </w:pPr>
            <w:r w:rsidRPr="00BB50F2">
              <w:rPr>
                <w:rFonts w:cs="Arial"/>
                <w:b/>
                <w:bCs/>
              </w:rPr>
              <w:t>Aspiration</w:t>
            </w:r>
          </w:p>
          <w:p w14:paraId="75945BA1" w14:textId="77777777" w:rsidR="009A2964" w:rsidRPr="00BB50F2" w:rsidRDefault="009A2964" w:rsidP="00F8293A">
            <w:pPr>
              <w:rPr>
                <w:rFonts w:cs="Arial"/>
                <w:b/>
                <w:bCs/>
              </w:rPr>
            </w:pPr>
            <w:r w:rsidRPr="00BB50F2">
              <w:rPr>
                <w:rFonts w:cs="Arial"/>
                <w:b/>
                <w:bCs/>
              </w:rPr>
              <w:t>Level</w:t>
            </w:r>
          </w:p>
        </w:tc>
        <w:tc>
          <w:tcPr>
            <w:tcW w:w="1134" w:type="dxa"/>
          </w:tcPr>
          <w:p w14:paraId="578C3469" w14:textId="77777777" w:rsidR="009A2964" w:rsidRPr="00BB50F2" w:rsidRDefault="009A2964" w:rsidP="00F8293A">
            <w:pPr>
              <w:rPr>
                <w:rFonts w:cs="Arial"/>
                <w:b/>
                <w:bCs/>
              </w:rPr>
            </w:pPr>
            <w:r w:rsidRPr="00BB50F2">
              <w:rPr>
                <w:rFonts w:cs="Arial"/>
                <w:b/>
                <w:bCs/>
              </w:rPr>
              <w:t>Minimum</w:t>
            </w:r>
          </w:p>
          <w:p w14:paraId="3F847AB3" w14:textId="13DF48C1" w:rsidR="009A2964" w:rsidRPr="00BB50F2" w:rsidRDefault="009A2964" w:rsidP="00F8293A">
            <w:pPr>
              <w:jc w:val="left"/>
              <w:rPr>
                <w:rFonts w:cs="Arial"/>
                <w:i/>
                <w:iCs/>
              </w:rPr>
            </w:pPr>
            <w:r w:rsidRPr="00BB50F2">
              <w:rPr>
                <w:rFonts w:cs="Arial"/>
                <w:b/>
                <w:bCs/>
              </w:rPr>
              <w:t xml:space="preserve">Level </w:t>
            </w:r>
          </w:p>
        </w:tc>
        <w:tc>
          <w:tcPr>
            <w:tcW w:w="1275" w:type="dxa"/>
          </w:tcPr>
          <w:p w14:paraId="5864029D" w14:textId="77777777" w:rsidR="009A2964" w:rsidRPr="00BB50F2" w:rsidRDefault="009A2964" w:rsidP="00FA59F9">
            <w:pPr>
              <w:ind w:left="0" w:firstLine="0"/>
              <w:rPr>
                <w:rFonts w:cs="Arial"/>
                <w:i/>
                <w:iCs/>
              </w:rPr>
            </w:pPr>
            <w:r w:rsidRPr="00BB50F2">
              <w:rPr>
                <w:rFonts w:cs="Arial"/>
                <w:b/>
                <w:bCs/>
              </w:rPr>
              <w:t>Service Credit Boundary Level</w:t>
            </w:r>
          </w:p>
        </w:tc>
      </w:tr>
      <w:tr w:rsidR="009A2964" w:rsidRPr="00BB50F2" w14:paraId="3F8DA54D" w14:textId="77777777" w:rsidTr="00FA59F9">
        <w:tc>
          <w:tcPr>
            <w:tcW w:w="704" w:type="dxa"/>
            <w:vMerge w:val="restart"/>
          </w:tcPr>
          <w:p w14:paraId="16E43DB7" w14:textId="77777777" w:rsidR="009A2964" w:rsidRPr="00BB50F2" w:rsidRDefault="009A2964" w:rsidP="00F8293A">
            <w:pPr>
              <w:jc w:val="left"/>
              <w:rPr>
                <w:rFonts w:cs="Arial"/>
              </w:rPr>
            </w:pPr>
            <w:r w:rsidRPr="00BB50F2">
              <w:rPr>
                <w:rFonts w:cs="Arial"/>
              </w:rPr>
              <w:t>A-1a</w:t>
            </w:r>
          </w:p>
        </w:tc>
        <w:tc>
          <w:tcPr>
            <w:tcW w:w="1276" w:type="dxa"/>
          </w:tcPr>
          <w:p w14:paraId="4D205013" w14:textId="77777777" w:rsidR="009A2964" w:rsidRPr="00BB50F2" w:rsidRDefault="009A2964" w:rsidP="00F57B9A">
            <w:pPr>
              <w:ind w:left="0" w:firstLine="0"/>
              <w:jc w:val="left"/>
              <w:rPr>
                <w:rFonts w:cs="Arial"/>
              </w:rPr>
            </w:pPr>
            <w:r w:rsidRPr="00BB50F2">
              <w:rPr>
                <w:rFonts w:cs="Arial"/>
              </w:rPr>
              <w:t xml:space="preserve">Service Component Availability </w:t>
            </w:r>
          </w:p>
          <w:p w14:paraId="6BACC463" w14:textId="77777777" w:rsidR="009A2964" w:rsidRPr="00BB50F2" w:rsidRDefault="009A2964" w:rsidP="00F8293A">
            <w:pPr>
              <w:jc w:val="left"/>
              <w:rPr>
                <w:rFonts w:cs="Arial"/>
              </w:rPr>
            </w:pPr>
          </w:p>
        </w:tc>
        <w:tc>
          <w:tcPr>
            <w:tcW w:w="1276" w:type="dxa"/>
          </w:tcPr>
          <w:p w14:paraId="5DF701D9" w14:textId="77777777" w:rsidR="009A2964" w:rsidRPr="00BB50F2" w:rsidRDefault="009A2964" w:rsidP="00F8293A">
            <w:pPr>
              <w:jc w:val="left"/>
              <w:rPr>
                <w:rFonts w:cs="Arial"/>
              </w:rPr>
            </w:pPr>
            <w:r w:rsidRPr="00BB50F2">
              <w:rPr>
                <w:rFonts w:cs="Arial"/>
              </w:rPr>
              <w:t>Continuous</w:t>
            </w:r>
          </w:p>
        </w:tc>
        <w:tc>
          <w:tcPr>
            <w:tcW w:w="2126" w:type="dxa"/>
          </w:tcPr>
          <w:p w14:paraId="680ED3A5" w14:textId="77777777" w:rsidR="009A2964" w:rsidRPr="00BB50F2" w:rsidRDefault="009A2964" w:rsidP="00F57B9A">
            <w:pPr>
              <w:ind w:left="0" w:firstLine="0"/>
              <w:jc w:val="left"/>
              <w:rPr>
                <w:rFonts w:cs="Arial"/>
              </w:rPr>
            </w:pPr>
            <w:r w:rsidRPr="00BB50F2">
              <w:rPr>
                <w:rFonts w:cs="Arial"/>
              </w:rPr>
              <w:t>Average availability across all service components per month</w:t>
            </w:r>
          </w:p>
        </w:tc>
        <w:tc>
          <w:tcPr>
            <w:tcW w:w="1276" w:type="dxa"/>
          </w:tcPr>
          <w:p w14:paraId="1BDA5DC6" w14:textId="77777777" w:rsidR="009A2964" w:rsidRPr="00BB50F2" w:rsidRDefault="009A2964" w:rsidP="00F8293A">
            <w:pPr>
              <w:jc w:val="left"/>
              <w:rPr>
                <w:rFonts w:cs="Arial"/>
              </w:rPr>
            </w:pPr>
            <w:r w:rsidRPr="00BB50F2">
              <w:rPr>
                <w:rFonts w:cs="Arial"/>
              </w:rPr>
              <w:t xml:space="preserve">99.98% </w:t>
            </w:r>
          </w:p>
        </w:tc>
        <w:tc>
          <w:tcPr>
            <w:tcW w:w="1134" w:type="dxa"/>
          </w:tcPr>
          <w:p w14:paraId="234C3FEF" w14:textId="77777777" w:rsidR="009A2964" w:rsidRPr="00BB50F2" w:rsidRDefault="009A2964" w:rsidP="00F8293A">
            <w:pPr>
              <w:jc w:val="left"/>
              <w:rPr>
                <w:rFonts w:cs="Arial"/>
              </w:rPr>
            </w:pPr>
            <w:r w:rsidRPr="00BB50F2">
              <w:rPr>
                <w:rFonts w:cs="Arial"/>
              </w:rPr>
              <w:t xml:space="preserve">99.98% </w:t>
            </w:r>
          </w:p>
        </w:tc>
        <w:tc>
          <w:tcPr>
            <w:tcW w:w="1275" w:type="dxa"/>
          </w:tcPr>
          <w:p w14:paraId="3F3D86D8" w14:textId="77F6D500" w:rsidR="009A2964" w:rsidRPr="00BB50F2" w:rsidRDefault="00984608" w:rsidP="00F8293A">
            <w:pPr>
              <w:jc w:val="left"/>
              <w:rPr>
                <w:rFonts w:cs="Arial"/>
              </w:rPr>
            </w:pPr>
            <w:r>
              <w:rPr>
                <w:rFonts w:cs="Arial"/>
              </w:rPr>
              <w:t>95</w:t>
            </w:r>
            <w:r w:rsidR="009A2964" w:rsidRPr="00BB50F2">
              <w:rPr>
                <w:rFonts w:cs="Arial"/>
              </w:rPr>
              <w:t>%</w:t>
            </w:r>
          </w:p>
          <w:p w14:paraId="366AF033" w14:textId="77777777" w:rsidR="009A2964" w:rsidRPr="00BB50F2" w:rsidRDefault="009A2964" w:rsidP="00F8293A">
            <w:pPr>
              <w:jc w:val="left"/>
              <w:rPr>
                <w:rFonts w:cs="Arial"/>
                <w:i/>
                <w:iCs/>
              </w:rPr>
            </w:pPr>
          </w:p>
        </w:tc>
      </w:tr>
      <w:tr w:rsidR="009A2964" w:rsidRPr="00BB50F2" w14:paraId="6921CA59" w14:textId="77777777" w:rsidTr="00F8293A">
        <w:tc>
          <w:tcPr>
            <w:tcW w:w="704" w:type="dxa"/>
            <w:vMerge/>
          </w:tcPr>
          <w:p w14:paraId="380B4D78" w14:textId="77777777" w:rsidR="009A2964" w:rsidRPr="00BB50F2" w:rsidRDefault="009A2964" w:rsidP="00F8293A">
            <w:pPr>
              <w:jc w:val="left"/>
              <w:rPr>
                <w:rFonts w:cs="Arial"/>
              </w:rPr>
            </w:pPr>
          </w:p>
        </w:tc>
        <w:tc>
          <w:tcPr>
            <w:tcW w:w="8363" w:type="dxa"/>
            <w:gridSpan w:val="6"/>
          </w:tcPr>
          <w:p w14:paraId="24A7CDE9" w14:textId="53564661" w:rsidR="009A2964" w:rsidRPr="00BB50F2" w:rsidRDefault="009A2964" w:rsidP="00FA59F9">
            <w:pPr>
              <w:ind w:left="0" w:firstLine="0"/>
              <w:jc w:val="left"/>
              <w:rPr>
                <w:rFonts w:cs="Arial"/>
              </w:rPr>
            </w:pPr>
            <w:r w:rsidRPr="00BB50F2">
              <w:rPr>
                <w:rFonts w:cs="Arial"/>
              </w:rPr>
              <w:t xml:space="preserve">This measures the average availability across the following Service Components: Virtual machines, virtual storage volumes, database instances, Active Directory instances, virtual web servers, virtual VDI servers and VLANs.  A component is considered unavailable for the period it cannot be accessed due to a failure </w:t>
            </w:r>
            <w:r w:rsidR="001B650D">
              <w:rPr>
                <w:rFonts w:cs="Arial"/>
              </w:rPr>
              <w:t>un</w:t>
            </w:r>
            <w:r w:rsidR="001B650D" w:rsidRPr="001B650D">
              <w:rPr>
                <w:rFonts w:cs="Arial"/>
              </w:rPr>
              <w:t>less the Supplier can demonstrate that the failure is</w:t>
            </w:r>
            <w:r w:rsidR="001B650D">
              <w:rPr>
                <w:rFonts w:cs="Arial"/>
              </w:rPr>
              <w:t xml:space="preserve"> </w:t>
            </w:r>
            <w:r w:rsidR="001B650D" w:rsidRPr="001B650D">
              <w:rPr>
                <w:rFonts w:cs="Arial"/>
              </w:rPr>
              <w:t xml:space="preserve">due to a third party (excluding Sub-Contractors). </w:t>
            </w:r>
          </w:p>
          <w:p w14:paraId="54932AE7" w14:textId="77777777" w:rsidR="009A2964" w:rsidRPr="00BB50F2" w:rsidRDefault="009A2964" w:rsidP="00F8293A">
            <w:pPr>
              <w:jc w:val="left"/>
              <w:rPr>
                <w:rFonts w:cs="Arial"/>
              </w:rPr>
            </w:pPr>
          </w:p>
          <w:p w14:paraId="2CE1AFCB" w14:textId="523802EA" w:rsidR="009A2964" w:rsidRPr="00BB50F2" w:rsidRDefault="009A2964" w:rsidP="00FA59F9">
            <w:pPr>
              <w:ind w:left="0" w:firstLine="0"/>
              <w:jc w:val="left"/>
              <w:rPr>
                <w:rFonts w:cs="Arial"/>
              </w:rPr>
            </w:pPr>
            <w:r w:rsidRPr="00BB50F2">
              <w:rPr>
                <w:rFonts w:cs="Arial"/>
              </w:rPr>
              <w:t xml:space="preserve">Example: if there are 1000 Service Components, </w:t>
            </w:r>
            <w:r w:rsidR="00A455FF" w:rsidRPr="00A455FF">
              <w:rPr>
                <w:rFonts w:cs="Arial"/>
              </w:rPr>
              <w:t>100 virtual storage volumes, 20 virtual networks,</w:t>
            </w:r>
            <w:r w:rsidR="00A455FF">
              <w:rPr>
                <w:rFonts w:cs="Arial"/>
              </w:rPr>
              <w:t xml:space="preserve"> 800 virtual servers all </w:t>
            </w:r>
            <w:r w:rsidRPr="00BB50F2">
              <w:rPr>
                <w:rFonts w:cs="Arial"/>
              </w:rPr>
              <w:t xml:space="preserve">with 100% availability, 60 </w:t>
            </w:r>
            <w:r w:rsidR="00A455FF" w:rsidRPr="00A455FF">
              <w:rPr>
                <w:rFonts w:cs="Arial"/>
              </w:rPr>
              <w:t xml:space="preserve">virtual servers </w:t>
            </w:r>
            <w:r w:rsidRPr="00BB50F2">
              <w:rPr>
                <w:rFonts w:cs="Arial"/>
              </w:rPr>
              <w:t>with 99.9995%, 19</w:t>
            </w:r>
            <w:r w:rsidR="00A455FF">
              <w:t xml:space="preserve"> </w:t>
            </w:r>
            <w:r w:rsidR="00A455FF" w:rsidRPr="00A455FF">
              <w:rPr>
                <w:rFonts w:cs="Arial"/>
              </w:rPr>
              <w:t>virtual servers</w:t>
            </w:r>
            <w:r w:rsidRPr="00BB50F2">
              <w:rPr>
                <w:rFonts w:cs="Arial"/>
              </w:rPr>
              <w:t xml:space="preserve"> with 99.995%, and 1</w:t>
            </w:r>
            <w:r w:rsidR="00A455FF">
              <w:rPr>
                <w:rFonts w:cs="Arial"/>
              </w:rPr>
              <w:t xml:space="preserve"> vi</w:t>
            </w:r>
            <w:r w:rsidR="007C5ABE">
              <w:rPr>
                <w:rFonts w:cs="Arial"/>
              </w:rPr>
              <w:t>r</w:t>
            </w:r>
            <w:r w:rsidR="00A455FF">
              <w:rPr>
                <w:rFonts w:cs="Arial"/>
              </w:rPr>
              <w:t>tual server</w:t>
            </w:r>
            <w:r w:rsidRPr="00BB50F2">
              <w:rPr>
                <w:rFonts w:cs="Arial"/>
              </w:rPr>
              <w:t xml:space="preserve"> with 93.4% (48.2 Hours of outage) this would give an average availability of 99.9932% and would </w:t>
            </w:r>
            <w:r w:rsidRPr="00BB50F2">
              <w:rPr>
                <w:rFonts w:cs="Arial"/>
                <w:b/>
                <w:bCs/>
              </w:rPr>
              <w:t>pass</w:t>
            </w:r>
            <w:r w:rsidRPr="00BB50F2">
              <w:rPr>
                <w:rFonts w:cs="Arial"/>
              </w:rPr>
              <w:t xml:space="preserve"> the </w:t>
            </w:r>
            <w:r w:rsidR="006A429B">
              <w:rPr>
                <w:rFonts w:cs="Arial"/>
              </w:rPr>
              <w:t>Aspiration</w:t>
            </w:r>
            <w:r w:rsidR="006A429B" w:rsidRPr="00BB50F2">
              <w:rPr>
                <w:rFonts w:cs="Arial"/>
              </w:rPr>
              <w:t xml:space="preserve"> </w:t>
            </w:r>
            <w:r w:rsidRPr="00BB50F2">
              <w:rPr>
                <w:rFonts w:cs="Arial"/>
              </w:rPr>
              <w:t xml:space="preserve">Level. </w:t>
            </w:r>
          </w:p>
        </w:tc>
      </w:tr>
      <w:tr w:rsidR="009A2964" w:rsidRPr="00BB50F2" w14:paraId="1F7B75EB" w14:textId="77777777" w:rsidTr="00FA59F9">
        <w:tc>
          <w:tcPr>
            <w:tcW w:w="704" w:type="dxa"/>
            <w:vMerge w:val="restart"/>
          </w:tcPr>
          <w:p w14:paraId="505C9CBC" w14:textId="77777777" w:rsidR="009A2964" w:rsidRPr="00BB50F2" w:rsidRDefault="009A2964" w:rsidP="00F8293A">
            <w:pPr>
              <w:jc w:val="left"/>
              <w:rPr>
                <w:rFonts w:cs="Arial"/>
              </w:rPr>
            </w:pPr>
            <w:r w:rsidRPr="00BB50F2">
              <w:rPr>
                <w:rFonts w:cs="Arial"/>
              </w:rPr>
              <w:t>A-1b</w:t>
            </w:r>
          </w:p>
        </w:tc>
        <w:tc>
          <w:tcPr>
            <w:tcW w:w="1276" w:type="dxa"/>
          </w:tcPr>
          <w:p w14:paraId="0BF5C16D" w14:textId="77777777" w:rsidR="009A2964" w:rsidRPr="00BB50F2" w:rsidRDefault="009A2964" w:rsidP="00F57B9A">
            <w:pPr>
              <w:ind w:left="0" w:firstLine="0"/>
              <w:jc w:val="left"/>
              <w:rPr>
                <w:rFonts w:cs="Arial"/>
              </w:rPr>
            </w:pPr>
            <w:r w:rsidRPr="00BB50F2">
              <w:rPr>
                <w:rFonts w:cs="Arial"/>
              </w:rPr>
              <w:t>Service Component availability adherence</w:t>
            </w:r>
          </w:p>
        </w:tc>
        <w:tc>
          <w:tcPr>
            <w:tcW w:w="1276" w:type="dxa"/>
          </w:tcPr>
          <w:p w14:paraId="6E0A2000" w14:textId="77777777" w:rsidR="009A2964" w:rsidRPr="00BB50F2" w:rsidRDefault="009A2964" w:rsidP="00F8293A">
            <w:pPr>
              <w:jc w:val="left"/>
              <w:rPr>
                <w:rFonts w:cs="Arial"/>
              </w:rPr>
            </w:pPr>
            <w:r w:rsidRPr="00BB50F2">
              <w:rPr>
                <w:rFonts w:cs="Arial"/>
              </w:rPr>
              <w:t>Continuous</w:t>
            </w:r>
          </w:p>
        </w:tc>
        <w:tc>
          <w:tcPr>
            <w:tcW w:w="2126" w:type="dxa"/>
          </w:tcPr>
          <w:p w14:paraId="157AA30D" w14:textId="77777777" w:rsidR="009A2964" w:rsidRPr="00BB50F2" w:rsidRDefault="009A2964" w:rsidP="00F57B9A">
            <w:pPr>
              <w:ind w:left="0" w:firstLine="0"/>
              <w:jc w:val="left"/>
              <w:rPr>
                <w:rFonts w:cs="Arial"/>
              </w:rPr>
            </w:pPr>
            <w:r w:rsidRPr="00BB50F2">
              <w:rPr>
                <w:rFonts w:cs="Arial"/>
              </w:rPr>
              <w:t>Percentage of Service Components that meet availability target per month</w:t>
            </w:r>
          </w:p>
        </w:tc>
        <w:tc>
          <w:tcPr>
            <w:tcW w:w="1276" w:type="dxa"/>
          </w:tcPr>
          <w:p w14:paraId="1CCDF7BA" w14:textId="77777777" w:rsidR="009A2964" w:rsidRPr="00BB50F2" w:rsidRDefault="009A2964" w:rsidP="00F8293A">
            <w:pPr>
              <w:jc w:val="left"/>
              <w:rPr>
                <w:rFonts w:cs="Arial"/>
              </w:rPr>
            </w:pPr>
            <w:r w:rsidRPr="00BB50F2">
              <w:rPr>
                <w:rFonts w:cs="Arial"/>
              </w:rPr>
              <w:t>99%</w:t>
            </w:r>
          </w:p>
        </w:tc>
        <w:tc>
          <w:tcPr>
            <w:tcW w:w="1134" w:type="dxa"/>
          </w:tcPr>
          <w:p w14:paraId="24A5516B" w14:textId="77777777" w:rsidR="009A2964" w:rsidRPr="00BB50F2" w:rsidRDefault="009A2964" w:rsidP="00F8293A">
            <w:pPr>
              <w:jc w:val="left"/>
              <w:rPr>
                <w:rFonts w:cs="Arial"/>
              </w:rPr>
            </w:pPr>
            <w:r w:rsidRPr="00BB50F2">
              <w:rPr>
                <w:rFonts w:cs="Arial"/>
              </w:rPr>
              <w:t>98%</w:t>
            </w:r>
          </w:p>
          <w:p w14:paraId="75314E35" w14:textId="77777777" w:rsidR="009A2964" w:rsidRPr="00BB50F2" w:rsidRDefault="009A2964" w:rsidP="00F8293A">
            <w:pPr>
              <w:jc w:val="left"/>
              <w:rPr>
                <w:rFonts w:cs="Arial"/>
                <w:i/>
                <w:iCs/>
              </w:rPr>
            </w:pPr>
          </w:p>
        </w:tc>
        <w:tc>
          <w:tcPr>
            <w:tcW w:w="1275" w:type="dxa"/>
          </w:tcPr>
          <w:p w14:paraId="7F924D5F" w14:textId="00AD6903" w:rsidR="009A2964" w:rsidRPr="00BB50F2" w:rsidRDefault="00984608" w:rsidP="00F8293A">
            <w:pPr>
              <w:jc w:val="left"/>
              <w:rPr>
                <w:rFonts w:cs="Arial"/>
              </w:rPr>
            </w:pPr>
            <w:r>
              <w:rPr>
                <w:rFonts w:cs="Arial"/>
              </w:rPr>
              <w:t>90</w:t>
            </w:r>
            <w:r w:rsidR="009A2964" w:rsidRPr="00BB50F2">
              <w:rPr>
                <w:rFonts w:cs="Arial"/>
              </w:rPr>
              <w:t>%</w:t>
            </w:r>
          </w:p>
          <w:p w14:paraId="2AAF3B1C" w14:textId="77777777" w:rsidR="009A2964" w:rsidRPr="00BB50F2" w:rsidRDefault="009A2964" w:rsidP="00F8293A">
            <w:pPr>
              <w:jc w:val="left"/>
              <w:rPr>
                <w:rFonts w:cs="Arial"/>
                <w:i/>
                <w:iCs/>
              </w:rPr>
            </w:pPr>
          </w:p>
        </w:tc>
      </w:tr>
      <w:tr w:rsidR="009A2964" w:rsidRPr="00BB50F2" w14:paraId="54E34525" w14:textId="77777777" w:rsidTr="00F8293A">
        <w:tc>
          <w:tcPr>
            <w:tcW w:w="704" w:type="dxa"/>
            <w:vMerge/>
          </w:tcPr>
          <w:p w14:paraId="5E677C8E" w14:textId="77777777" w:rsidR="009A2964" w:rsidRPr="00BB50F2" w:rsidRDefault="009A2964" w:rsidP="00F8293A">
            <w:pPr>
              <w:jc w:val="left"/>
              <w:rPr>
                <w:rFonts w:cs="Arial"/>
              </w:rPr>
            </w:pPr>
          </w:p>
        </w:tc>
        <w:tc>
          <w:tcPr>
            <w:tcW w:w="8363" w:type="dxa"/>
            <w:gridSpan w:val="6"/>
          </w:tcPr>
          <w:p w14:paraId="432238AA" w14:textId="293C7D0B" w:rsidR="009A2964" w:rsidRPr="00BB50F2" w:rsidRDefault="009A2964" w:rsidP="00FA59F9">
            <w:pPr>
              <w:ind w:left="0" w:firstLine="0"/>
              <w:jc w:val="left"/>
              <w:rPr>
                <w:rFonts w:cs="Arial"/>
              </w:rPr>
            </w:pPr>
            <w:r w:rsidRPr="00BB50F2">
              <w:rPr>
                <w:rFonts w:cs="Arial"/>
              </w:rPr>
              <w:t>This is to determine what percentage of the following individual Service Components met the</w:t>
            </w:r>
            <w:r w:rsidR="00A455FF">
              <w:rPr>
                <w:rFonts w:cs="Arial"/>
              </w:rPr>
              <w:t>ir</w:t>
            </w:r>
            <w:r w:rsidRPr="00BB50F2">
              <w:rPr>
                <w:rFonts w:cs="Arial"/>
              </w:rPr>
              <w:t xml:space="preserve"> availability target: Virtual </w:t>
            </w:r>
            <w:r w:rsidR="00A455FF">
              <w:rPr>
                <w:rFonts w:cs="Arial"/>
              </w:rPr>
              <w:t>servers</w:t>
            </w:r>
            <w:r w:rsidRPr="00BB50F2">
              <w:rPr>
                <w:rFonts w:cs="Arial"/>
              </w:rPr>
              <w:t>, virtual storage volumes, database instances, Active Directory instances, virtual web servers, virtual VDI servers and VLANs</w:t>
            </w:r>
            <w:r w:rsidR="00A455FF">
              <w:rPr>
                <w:rFonts w:cs="Arial"/>
              </w:rPr>
              <w:t xml:space="preserve"> </w:t>
            </w:r>
            <w:r w:rsidR="00A455FF" w:rsidRPr="00A455FF">
              <w:rPr>
                <w:rFonts w:cs="Arial"/>
              </w:rPr>
              <w:t>have specific availability targets</w:t>
            </w:r>
            <w:r w:rsidR="003E2248">
              <w:rPr>
                <w:rFonts w:cs="Arial"/>
              </w:rPr>
              <w:t xml:space="preserve"> Table N</w:t>
            </w:r>
            <w:r w:rsidRPr="00BB50F2">
              <w:rPr>
                <w:rFonts w:cs="Arial"/>
              </w:rPr>
              <w:t xml:space="preserve">. A component is considered unavailable for the period it cannot be accessed due to a failure </w:t>
            </w:r>
            <w:r w:rsidR="001B650D">
              <w:rPr>
                <w:rFonts w:cs="Arial"/>
              </w:rPr>
              <w:t>un</w:t>
            </w:r>
            <w:r w:rsidR="001B650D" w:rsidRPr="001B650D">
              <w:rPr>
                <w:rFonts w:cs="Arial"/>
              </w:rPr>
              <w:t>less the Supplier can demonstrate that the failure is</w:t>
            </w:r>
            <w:r w:rsidR="001B650D">
              <w:rPr>
                <w:rFonts w:cs="Arial"/>
              </w:rPr>
              <w:t xml:space="preserve"> </w:t>
            </w:r>
            <w:r w:rsidR="001B650D" w:rsidRPr="001B650D">
              <w:rPr>
                <w:rFonts w:cs="Arial"/>
              </w:rPr>
              <w:t>due to a third party (excluding Sub-Contractors)</w:t>
            </w:r>
            <w:r w:rsidRPr="00BB50F2">
              <w:rPr>
                <w:rFonts w:cs="Arial"/>
              </w:rPr>
              <w:t xml:space="preserve">.  Service Credits start to be incurred if 2% of Service Components miss </w:t>
            </w:r>
            <w:proofErr w:type="gramStart"/>
            <w:r w:rsidRPr="00BB50F2">
              <w:rPr>
                <w:rFonts w:cs="Arial"/>
              </w:rPr>
              <w:t>the</w:t>
            </w:r>
            <w:r w:rsidR="00AF02D5">
              <w:rPr>
                <w:rFonts w:cs="Arial"/>
              </w:rPr>
              <w:t>ir</w:t>
            </w:r>
            <w:r w:rsidRPr="00BB50F2">
              <w:rPr>
                <w:rFonts w:cs="Arial"/>
              </w:rPr>
              <w:t xml:space="preserve">  </w:t>
            </w:r>
            <w:r w:rsidR="00AF02D5">
              <w:rPr>
                <w:rFonts w:cs="Arial"/>
              </w:rPr>
              <w:t>respective</w:t>
            </w:r>
            <w:proofErr w:type="gramEnd"/>
            <w:r w:rsidR="00AF02D5">
              <w:rPr>
                <w:rFonts w:cs="Arial"/>
              </w:rPr>
              <w:t xml:space="preserve"> </w:t>
            </w:r>
            <w:r w:rsidRPr="00BB50F2">
              <w:rPr>
                <w:rFonts w:cs="Arial"/>
              </w:rPr>
              <w:t xml:space="preserve">availability target. If </w:t>
            </w:r>
            <w:r w:rsidR="001B650D">
              <w:rPr>
                <w:rFonts w:cs="Arial"/>
              </w:rPr>
              <w:t>10</w:t>
            </w:r>
            <w:r w:rsidRPr="00BB50F2">
              <w:rPr>
                <w:rFonts w:cs="Arial"/>
              </w:rPr>
              <w:t xml:space="preserve">% of Service Components fail to </w:t>
            </w:r>
            <w:r w:rsidRPr="00BB50F2">
              <w:rPr>
                <w:rFonts w:cs="Arial"/>
              </w:rPr>
              <w:lastRenderedPageBreak/>
              <w:t>reach</w:t>
            </w:r>
            <w:r w:rsidR="00A455FF">
              <w:rPr>
                <w:rFonts w:cs="Arial"/>
              </w:rPr>
              <w:t xml:space="preserve"> their</w:t>
            </w:r>
            <w:r w:rsidRPr="00BB50F2">
              <w:rPr>
                <w:rFonts w:cs="Arial"/>
              </w:rPr>
              <w:t xml:space="preserve"> </w:t>
            </w:r>
            <w:r w:rsidR="00AF02D5">
              <w:rPr>
                <w:rFonts w:cs="Arial"/>
              </w:rPr>
              <w:t xml:space="preserve">respective </w:t>
            </w:r>
            <w:r w:rsidRPr="00BB50F2">
              <w:rPr>
                <w:rFonts w:cs="Arial"/>
              </w:rPr>
              <w:t>availability</w:t>
            </w:r>
            <w:r w:rsidR="00A455FF">
              <w:rPr>
                <w:rFonts w:cs="Arial"/>
              </w:rPr>
              <w:t xml:space="preserve"> targets</w:t>
            </w:r>
            <w:r w:rsidRPr="00BB50F2">
              <w:rPr>
                <w:rFonts w:cs="Arial"/>
              </w:rPr>
              <w:t>, then 100% of the Service Credit allocated is payable.</w:t>
            </w:r>
          </w:p>
          <w:p w14:paraId="12E4ACE0" w14:textId="77777777" w:rsidR="009A2964" w:rsidRPr="00BB50F2" w:rsidRDefault="009A2964" w:rsidP="00F8293A">
            <w:pPr>
              <w:jc w:val="left"/>
              <w:rPr>
                <w:rFonts w:cs="Arial"/>
              </w:rPr>
            </w:pPr>
          </w:p>
          <w:p w14:paraId="69C8BC0E" w14:textId="2B525A5B" w:rsidR="009A2964" w:rsidRPr="00BB50F2" w:rsidRDefault="009A2964" w:rsidP="00FA59F9">
            <w:pPr>
              <w:ind w:left="0" w:firstLine="0"/>
              <w:jc w:val="left"/>
              <w:rPr>
                <w:rFonts w:cs="Arial"/>
              </w:rPr>
            </w:pPr>
            <w:r w:rsidRPr="00BB50F2">
              <w:rPr>
                <w:rFonts w:cs="Arial"/>
              </w:rPr>
              <w:t>Example: Using the same example as A-1a, the percentage of Service Components that met the</w:t>
            </w:r>
            <w:r w:rsidR="00A455FF">
              <w:rPr>
                <w:rFonts w:cs="Arial"/>
              </w:rPr>
              <w:t>ir</w:t>
            </w:r>
            <w:r w:rsidRPr="00BB50F2">
              <w:rPr>
                <w:rFonts w:cs="Arial"/>
              </w:rPr>
              <w:t xml:space="preserve"> availability </w:t>
            </w:r>
            <w:r w:rsidR="00A455FF">
              <w:rPr>
                <w:rFonts w:cs="Arial"/>
              </w:rPr>
              <w:t xml:space="preserve">target </w:t>
            </w:r>
            <w:r w:rsidRPr="00BB50F2">
              <w:rPr>
                <w:rFonts w:cs="Arial"/>
              </w:rPr>
              <w:t xml:space="preserve">is </w:t>
            </w:r>
            <w:r w:rsidRPr="00BB50F2">
              <w:rPr>
                <w:rFonts w:cs="Arial"/>
                <w:b/>
                <w:bCs/>
              </w:rPr>
              <w:t>99.9%</w:t>
            </w:r>
            <w:r w:rsidRPr="00BB50F2">
              <w:rPr>
                <w:rFonts w:cs="Arial"/>
              </w:rPr>
              <w:t xml:space="preserve"> (</w:t>
            </w:r>
            <w:r w:rsidR="00A455FF" w:rsidRPr="00A455FF">
              <w:rPr>
                <w:rFonts w:cs="Arial"/>
              </w:rPr>
              <w:t>1 virtual server didn’t meet its</w:t>
            </w:r>
            <w:r w:rsidR="00A455FF" w:rsidRPr="00A455FF" w:rsidDel="00A455FF">
              <w:rPr>
                <w:rFonts w:cs="Arial"/>
              </w:rPr>
              <w:t xml:space="preserve"> </w:t>
            </w:r>
            <w:r w:rsidRPr="00BB50F2">
              <w:rPr>
                <w:rFonts w:cs="Arial"/>
              </w:rPr>
              <w:t>99.9</w:t>
            </w:r>
            <w:r w:rsidR="00A455FF">
              <w:rPr>
                <w:rFonts w:cs="Arial"/>
              </w:rPr>
              <w:t>9</w:t>
            </w:r>
            <w:r w:rsidRPr="00BB50F2">
              <w:rPr>
                <w:rFonts w:cs="Arial"/>
              </w:rPr>
              <w:t>% availability</w:t>
            </w:r>
            <w:r w:rsidR="00A455FF">
              <w:rPr>
                <w:rFonts w:cs="Arial"/>
              </w:rPr>
              <w:t xml:space="preserve"> target</w:t>
            </w:r>
            <w:r w:rsidRPr="00BB50F2">
              <w:rPr>
                <w:rFonts w:cs="Arial"/>
              </w:rPr>
              <w:t xml:space="preserve">) therefore this would </w:t>
            </w:r>
            <w:r w:rsidRPr="00BB50F2">
              <w:rPr>
                <w:rFonts w:cs="Arial"/>
                <w:b/>
                <w:bCs/>
              </w:rPr>
              <w:t>pass</w:t>
            </w:r>
            <w:r w:rsidRPr="00BB50F2">
              <w:rPr>
                <w:rFonts w:cs="Arial"/>
              </w:rPr>
              <w:t xml:space="preserve"> the </w:t>
            </w:r>
            <w:r w:rsidR="001B650D">
              <w:rPr>
                <w:rFonts w:cs="Arial"/>
              </w:rPr>
              <w:t>Aspiration</w:t>
            </w:r>
            <w:r w:rsidR="001B650D" w:rsidRPr="00BB50F2">
              <w:rPr>
                <w:rFonts w:cs="Arial"/>
              </w:rPr>
              <w:t xml:space="preserve"> </w:t>
            </w:r>
            <w:r w:rsidRPr="00BB50F2">
              <w:rPr>
                <w:rFonts w:cs="Arial"/>
              </w:rPr>
              <w:t xml:space="preserve">Level. </w:t>
            </w:r>
          </w:p>
        </w:tc>
      </w:tr>
      <w:tr w:rsidR="009A2964" w:rsidRPr="00BB50F2" w14:paraId="59A311DB" w14:textId="77777777" w:rsidTr="00FA59F9">
        <w:tc>
          <w:tcPr>
            <w:tcW w:w="704" w:type="dxa"/>
            <w:vMerge w:val="restart"/>
          </w:tcPr>
          <w:p w14:paraId="2DE07109" w14:textId="77777777" w:rsidR="009A2964" w:rsidRPr="00BB50F2" w:rsidRDefault="009A2964" w:rsidP="00F8293A">
            <w:pPr>
              <w:keepNext/>
              <w:jc w:val="left"/>
              <w:rPr>
                <w:rFonts w:cs="Arial"/>
              </w:rPr>
            </w:pPr>
            <w:r w:rsidRPr="00BB50F2">
              <w:rPr>
                <w:rFonts w:cs="Arial"/>
              </w:rPr>
              <w:lastRenderedPageBreak/>
              <w:t>A-2</w:t>
            </w:r>
          </w:p>
        </w:tc>
        <w:tc>
          <w:tcPr>
            <w:tcW w:w="1276" w:type="dxa"/>
          </w:tcPr>
          <w:p w14:paraId="165D42E2" w14:textId="77777777" w:rsidR="009A2964" w:rsidRPr="00BB50F2" w:rsidRDefault="009A2964" w:rsidP="00F57B9A">
            <w:pPr>
              <w:ind w:left="0" w:firstLine="0"/>
              <w:jc w:val="left"/>
              <w:rPr>
                <w:rFonts w:cs="Arial"/>
              </w:rPr>
            </w:pPr>
            <w:r w:rsidRPr="00BB50F2">
              <w:rPr>
                <w:rFonts w:cs="Arial"/>
              </w:rPr>
              <w:t>Service Component non- Availability (how many failures)</w:t>
            </w:r>
          </w:p>
        </w:tc>
        <w:tc>
          <w:tcPr>
            <w:tcW w:w="1276" w:type="dxa"/>
          </w:tcPr>
          <w:p w14:paraId="12DB9F10" w14:textId="77777777" w:rsidR="009A2964" w:rsidRPr="00BB50F2" w:rsidRDefault="009A2964" w:rsidP="00F8293A">
            <w:pPr>
              <w:keepNext/>
              <w:jc w:val="left"/>
              <w:rPr>
                <w:rFonts w:cs="Arial"/>
              </w:rPr>
            </w:pPr>
            <w:r w:rsidRPr="00BB50F2">
              <w:rPr>
                <w:rFonts w:cs="Arial"/>
              </w:rPr>
              <w:t>Continuous</w:t>
            </w:r>
          </w:p>
        </w:tc>
        <w:tc>
          <w:tcPr>
            <w:tcW w:w="2126" w:type="dxa"/>
          </w:tcPr>
          <w:p w14:paraId="0E71DCD1" w14:textId="77777777" w:rsidR="009A2964" w:rsidRPr="00BB50F2" w:rsidRDefault="009A2964" w:rsidP="00F57B9A">
            <w:pPr>
              <w:ind w:left="0" w:firstLine="0"/>
              <w:jc w:val="left"/>
              <w:rPr>
                <w:rFonts w:cs="Arial"/>
              </w:rPr>
            </w:pPr>
            <w:r w:rsidRPr="00BB50F2">
              <w:rPr>
                <w:rFonts w:cs="Arial"/>
              </w:rPr>
              <w:t>Percentage of all Service Components that have experienced less than 100% of availability per month</w:t>
            </w:r>
          </w:p>
        </w:tc>
        <w:tc>
          <w:tcPr>
            <w:tcW w:w="1276" w:type="dxa"/>
          </w:tcPr>
          <w:p w14:paraId="4130F3A6" w14:textId="77777777" w:rsidR="009A2964" w:rsidRPr="00BB50F2" w:rsidRDefault="009A2964" w:rsidP="00F8293A">
            <w:pPr>
              <w:keepNext/>
              <w:jc w:val="left"/>
              <w:rPr>
                <w:rFonts w:cs="Arial"/>
              </w:rPr>
            </w:pPr>
            <w:r w:rsidRPr="00BB50F2">
              <w:rPr>
                <w:rFonts w:cs="Arial"/>
              </w:rPr>
              <w:t>5%</w:t>
            </w:r>
          </w:p>
        </w:tc>
        <w:tc>
          <w:tcPr>
            <w:tcW w:w="1134" w:type="dxa"/>
          </w:tcPr>
          <w:p w14:paraId="0E000A37" w14:textId="77777777" w:rsidR="009A2964" w:rsidRPr="00BB50F2" w:rsidRDefault="009A2964" w:rsidP="00F8293A">
            <w:pPr>
              <w:keepNext/>
              <w:jc w:val="left"/>
              <w:rPr>
                <w:rFonts w:cs="Arial"/>
              </w:rPr>
            </w:pPr>
            <w:r w:rsidRPr="00BB50F2">
              <w:rPr>
                <w:rFonts w:cs="Arial"/>
              </w:rPr>
              <w:t>10%</w:t>
            </w:r>
          </w:p>
          <w:p w14:paraId="32948A77" w14:textId="77777777" w:rsidR="009A2964" w:rsidRPr="00BB50F2" w:rsidRDefault="009A2964" w:rsidP="00F8293A">
            <w:pPr>
              <w:keepNext/>
              <w:jc w:val="left"/>
              <w:rPr>
                <w:rFonts w:cs="Arial"/>
                <w:i/>
                <w:iCs/>
              </w:rPr>
            </w:pPr>
          </w:p>
        </w:tc>
        <w:tc>
          <w:tcPr>
            <w:tcW w:w="1275" w:type="dxa"/>
          </w:tcPr>
          <w:p w14:paraId="0790D0B3" w14:textId="77777777" w:rsidR="009A2964" w:rsidRPr="00BB50F2" w:rsidRDefault="009A2964" w:rsidP="00F8293A">
            <w:pPr>
              <w:keepNext/>
              <w:jc w:val="left"/>
              <w:rPr>
                <w:rFonts w:cs="Arial"/>
              </w:rPr>
            </w:pPr>
            <w:r w:rsidRPr="00BB50F2">
              <w:rPr>
                <w:rFonts w:cs="Arial"/>
              </w:rPr>
              <w:t>25%</w:t>
            </w:r>
          </w:p>
        </w:tc>
      </w:tr>
      <w:tr w:rsidR="009A2964" w:rsidRPr="00BB50F2" w14:paraId="1D078145" w14:textId="77777777" w:rsidTr="00F8293A">
        <w:tc>
          <w:tcPr>
            <w:tcW w:w="704" w:type="dxa"/>
            <w:vMerge/>
          </w:tcPr>
          <w:p w14:paraId="5FF0EC8D" w14:textId="77777777" w:rsidR="009A2964" w:rsidRPr="00BB50F2" w:rsidRDefault="009A2964" w:rsidP="00F8293A">
            <w:pPr>
              <w:keepNext/>
              <w:jc w:val="left"/>
              <w:rPr>
                <w:rFonts w:cs="Arial"/>
              </w:rPr>
            </w:pPr>
          </w:p>
        </w:tc>
        <w:tc>
          <w:tcPr>
            <w:tcW w:w="8363" w:type="dxa"/>
            <w:gridSpan w:val="6"/>
          </w:tcPr>
          <w:p w14:paraId="38AFCFF0" w14:textId="53603821" w:rsidR="009A2964" w:rsidRPr="00BB50F2" w:rsidRDefault="009A2964" w:rsidP="00FA59F9">
            <w:pPr>
              <w:ind w:left="0" w:firstLine="0"/>
              <w:jc w:val="left"/>
              <w:rPr>
                <w:rFonts w:cs="Arial"/>
              </w:rPr>
            </w:pPr>
            <w:r w:rsidRPr="00BB50F2">
              <w:rPr>
                <w:rFonts w:cs="Arial"/>
              </w:rPr>
              <w:t xml:space="preserve">This measure is used to determine how many Service Component failures occurred regardless of the failure outage duration.  This measure applies only to virtual machines, virtual storage volumes, database instances, Active Directory instances, virtual web servers, virtual VDI servers and VLANs.  A Service Component is considered unavailable for the period it cannot be accessed due to a failure </w:t>
            </w:r>
            <w:r w:rsidR="001B650D">
              <w:rPr>
                <w:rFonts w:cs="Arial"/>
              </w:rPr>
              <w:t>un</w:t>
            </w:r>
            <w:r w:rsidR="001B650D" w:rsidRPr="001B650D">
              <w:rPr>
                <w:rFonts w:cs="Arial"/>
              </w:rPr>
              <w:t>less the Supplier can demonstrate that the failure is</w:t>
            </w:r>
            <w:r w:rsidR="001B650D">
              <w:rPr>
                <w:rFonts w:cs="Arial"/>
              </w:rPr>
              <w:t xml:space="preserve"> </w:t>
            </w:r>
            <w:r w:rsidR="001B650D" w:rsidRPr="001B650D">
              <w:rPr>
                <w:rFonts w:cs="Arial"/>
              </w:rPr>
              <w:t>due to a third party (excluding Sub-Contractors)</w:t>
            </w:r>
            <w:r w:rsidRPr="00BB50F2">
              <w:rPr>
                <w:rFonts w:cs="Arial"/>
              </w:rPr>
              <w:t>.</w:t>
            </w:r>
          </w:p>
          <w:p w14:paraId="4BC9078C" w14:textId="77777777" w:rsidR="009A2964" w:rsidRPr="00BB50F2" w:rsidRDefault="009A2964" w:rsidP="00F8293A">
            <w:pPr>
              <w:keepNext/>
              <w:jc w:val="left"/>
              <w:rPr>
                <w:rFonts w:cs="Arial"/>
              </w:rPr>
            </w:pPr>
          </w:p>
          <w:p w14:paraId="21C8523C" w14:textId="2D562D92" w:rsidR="009A2964" w:rsidRPr="00BB50F2" w:rsidRDefault="009A2964" w:rsidP="00FA59F9">
            <w:pPr>
              <w:ind w:left="0" w:firstLine="0"/>
              <w:jc w:val="left"/>
              <w:rPr>
                <w:rFonts w:cs="Arial"/>
              </w:rPr>
            </w:pPr>
            <w:r w:rsidRPr="00BB50F2">
              <w:rPr>
                <w:rFonts w:cs="Arial"/>
              </w:rPr>
              <w:t>Example: Using the same example as A-1a, 80 Service Components out of 1000 (</w:t>
            </w:r>
            <w:r w:rsidRPr="00BB50F2">
              <w:rPr>
                <w:rFonts w:cs="Arial"/>
                <w:b/>
                <w:bCs/>
              </w:rPr>
              <w:t>8%</w:t>
            </w:r>
            <w:r w:rsidRPr="00BB50F2">
              <w:rPr>
                <w:rFonts w:cs="Arial"/>
              </w:rPr>
              <w:t>) had some degree of outage, this would pass to meet the Minimum Level.</w:t>
            </w:r>
          </w:p>
        </w:tc>
      </w:tr>
      <w:tr w:rsidR="009A2964" w:rsidRPr="00BB50F2" w14:paraId="42E4E309" w14:textId="77777777" w:rsidTr="00FA59F9">
        <w:tc>
          <w:tcPr>
            <w:tcW w:w="704" w:type="dxa"/>
            <w:vMerge w:val="restart"/>
          </w:tcPr>
          <w:p w14:paraId="43F6F3C1" w14:textId="77777777" w:rsidR="009A2964" w:rsidRPr="00BB50F2" w:rsidRDefault="009A2964" w:rsidP="00F8293A">
            <w:pPr>
              <w:jc w:val="left"/>
              <w:rPr>
                <w:rFonts w:cs="Arial"/>
              </w:rPr>
            </w:pPr>
            <w:r w:rsidRPr="00BB50F2">
              <w:rPr>
                <w:rFonts w:cs="Arial"/>
              </w:rPr>
              <w:t>A-3</w:t>
            </w:r>
          </w:p>
        </w:tc>
        <w:tc>
          <w:tcPr>
            <w:tcW w:w="1276" w:type="dxa"/>
          </w:tcPr>
          <w:p w14:paraId="73F21C16" w14:textId="77777777" w:rsidR="009A2964" w:rsidRPr="00BB50F2" w:rsidRDefault="009A2964" w:rsidP="00F57B9A">
            <w:pPr>
              <w:ind w:left="0" w:firstLine="0"/>
              <w:jc w:val="left"/>
              <w:rPr>
                <w:rFonts w:cs="Arial"/>
              </w:rPr>
            </w:pPr>
            <w:r w:rsidRPr="00BB50F2">
              <w:rPr>
                <w:rFonts w:cs="Arial"/>
              </w:rPr>
              <w:t xml:space="preserve">Maximum Service Outage duration </w:t>
            </w:r>
          </w:p>
        </w:tc>
        <w:tc>
          <w:tcPr>
            <w:tcW w:w="1276" w:type="dxa"/>
          </w:tcPr>
          <w:p w14:paraId="2A2C6431" w14:textId="77777777" w:rsidR="009A2964" w:rsidRPr="00BB50F2" w:rsidRDefault="009A2964" w:rsidP="00F57B9A">
            <w:pPr>
              <w:ind w:left="0" w:firstLine="0"/>
              <w:jc w:val="left"/>
              <w:rPr>
                <w:rFonts w:cs="Arial"/>
              </w:rPr>
            </w:pPr>
            <w:r w:rsidRPr="00BB50F2">
              <w:rPr>
                <w:rFonts w:cs="Arial"/>
              </w:rPr>
              <w:t>Binary</w:t>
            </w:r>
            <w:r w:rsidRPr="00D17248">
              <w:rPr>
                <w:rFonts w:cs="Arial"/>
                <w:b/>
                <w:bCs/>
                <w:u w:val="single"/>
              </w:rPr>
              <w:t>/Key Critical</w:t>
            </w:r>
          </w:p>
          <w:p w14:paraId="040C6A5F" w14:textId="77777777" w:rsidR="009A2964" w:rsidRPr="00BB50F2" w:rsidRDefault="009A2964" w:rsidP="00F8293A">
            <w:pPr>
              <w:rPr>
                <w:rFonts w:cs="Arial"/>
              </w:rPr>
            </w:pPr>
          </w:p>
          <w:p w14:paraId="6B596552" w14:textId="77777777" w:rsidR="009A2964" w:rsidRPr="00BB50F2" w:rsidRDefault="009A2964" w:rsidP="00F8293A">
            <w:pPr>
              <w:rPr>
                <w:rFonts w:cs="Arial"/>
              </w:rPr>
            </w:pPr>
          </w:p>
          <w:p w14:paraId="5F90FE70" w14:textId="77777777" w:rsidR="009A2964" w:rsidRPr="00BB50F2" w:rsidRDefault="009A2964" w:rsidP="00F8293A">
            <w:pPr>
              <w:jc w:val="center"/>
              <w:rPr>
                <w:rFonts w:cs="Arial"/>
              </w:rPr>
            </w:pPr>
          </w:p>
        </w:tc>
        <w:tc>
          <w:tcPr>
            <w:tcW w:w="2126" w:type="dxa"/>
          </w:tcPr>
          <w:p w14:paraId="587DEE12" w14:textId="77777777" w:rsidR="009A2964" w:rsidRPr="00BB50F2" w:rsidRDefault="009A2964" w:rsidP="00F57B9A">
            <w:pPr>
              <w:ind w:left="0" w:firstLine="0"/>
              <w:jc w:val="left"/>
              <w:rPr>
                <w:rFonts w:cs="Arial"/>
              </w:rPr>
            </w:pPr>
            <w:r w:rsidRPr="00BB50F2">
              <w:rPr>
                <w:rFonts w:cs="Arial"/>
              </w:rPr>
              <w:t xml:space="preserve">Number of Service Components that exceed 48 Hours per month of   unplanned </w:t>
            </w:r>
            <w:proofErr w:type="gramStart"/>
            <w:r w:rsidRPr="00BB50F2">
              <w:rPr>
                <w:rFonts w:cs="Arial"/>
              </w:rPr>
              <w:t>unavailability</w:t>
            </w:r>
            <w:proofErr w:type="gramEnd"/>
          </w:p>
          <w:p w14:paraId="72230B24" w14:textId="77777777" w:rsidR="009A2964" w:rsidRPr="00BB50F2" w:rsidRDefault="009A2964" w:rsidP="00F8293A">
            <w:pPr>
              <w:jc w:val="left"/>
              <w:rPr>
                <w:rFonts w:cs="Arial"/>
              </w:rPr>
            </w:pPr>
          </w:p>
        </w:tc>
        <w:tc>
          <w:tcPr>
            <w:tcW w:w="1276" w:type="dxa"/>
          </w:tcPr>
          <w:p w14:paraId="456F65C7" w14:textId="6E8FC900" w:rsidR="009A2964" w:rsidRPr="00BB50F2" w:rsidRDefault="008E71E8" w:rsidP="00F8293A">
            <w:pPr>
              <w:jc w:val="left"/>
              <w:rPr>
                <w:rFonts w:cs="Arial"/>
              </w:rPr>
            </w:pPr>
            <w:r>
              <w:rPr>
                <w:rFonts w:cs="Arial"/>
              </w:rPr>
              <w:t>0</w:t>
            </w:r>
          </w:p>
          <w:p w14:paraId="5DA06D51" w14:textId="77777777" w:rsidR="009A2964" w:rsidRPr="00BB50F2" w:rsidRDefault="009A2964" w:rsidP="00F8293A">
            <w:pPr>
              <w:jc w:val="left"/>
              <w:rPr>
                <w:rFonts w:cs="Arial"/>
                <w:i/>
                <w:iCs/>
              </w:rPr>
            </w:pPr>
          </w:p>
        </w:tc>
        <w:tc>
          <w:tcPr>
            <w:tcW w:w="1134" w:type="dxa"/>
          </w:tcPr>
          <w:p w14:paraId="6E8E9716" w14:textId="77777777" w:rsidR="009A2964" w:rsidRPr="00BB50F2" w:rsidRDefault="009A2964" w:rsidP="00F8293A">
            <w:pPr>
              <w:jc w:val="left"/>
              <w:rPr>
                <w:rFonts w:cs="Arial"/>
              </w:rPr>
            </w:pPr>
            <w:r w:rsidRPr="00BB50F2">
              <w:rPr>
                <w:rFonts w:cs="Arial"/>
              </w:rPr>
              <w:t>2</w:t>
            </w:r>
          </w:p>
          <w:p w14:paraId="6F471EF3" w14:textId="77777777" w:rsidR="009A2964" w:rsidRPr="00BB50F2" w:rsidRDefault="009A2964" w:rsidP="00F8293A">
            <w:pPr>
              <w:jc w:val="left"/>
              <w:rPr>
                <w:rFonts w:cs="Arial"/>
              </w:rPr>
            </w:pPr>
          </w:p>
          <w:p w14:paraId="167B4924" w14:textId="77777777" w:rsidR="009A2964" w:rsidRPr="00BB50F2" w:rsidRDefault="009A2964" w:rsidP="00F8293A">
            <w:pPr>
              <w:jc w:val="left"/>
              <w:rPr>
                <w:rFonts w:cs="Arial"/>
                <w:i/>
                <w:iCs/>
              </w:rPr>
            </w:pPr>
          </w:p>
        </w:tc>
        <w:tc>
          <w:tcPr>
            <w:tcW w:w="1275" w:type="dxa"/>
          </w:tcPr>
          <w:p w14:paraId="12B19D1B" w14:textId="77777777" w:rsidR="009A2964" w:rsidRPr="00BB50F2" w:rsidRDefault="009A2964" w:rsidP="00F8293A">
            <w:pPr>
              <w:jc w:val="left"/>
              <w:rPr>
                <w:rFonts w:cs="Arial"/>
              </w:rPr>
            </w:pPr>
            <w:r w:rsidRPr="00BB50F2">
              <w:rPr>
                <w:rFonts w:cs="Arial"/>
              </w:rPr>
              <w:t>N/A</w:t>
            </w:r>
          </w:p>
        </w:tc>
      </w:tr>
      <w:tr w:rsidR="009A2964" w:rsidRPr="00BB50F2" w14:paraId="6F784A2F" w14:textId="77777777" w:rsidTr="00F8293A">
        <w:tc>
          <w:tcPr>
            <w:tcW w:w="704" w:type="dxa"/>
            <w:vMerge/>
          </w:tcPr>
          <w:p w14:paraId="61E69C05" w14:textId="77777777" w:rsidR="009A2964" w:rsidRPr="00BB50F2" w:rsidRDefault="009A2964" w:rsidP="00F8293A">
            <w:pPr>
              <w:jc w:val="left"/>
              <w:rPr>
                <w:rFonts w:cs="Arial"/>
              </w:rPr>
            </w:pPr>
          </w:p>
        </w:tc>
        <w:tc>
          <w:tcPr>
            <w:tcW w:w="8363" w:type="dxa"/>
            <w:gridSpan w:val="6"/>
          </w:tcPr>
          <w:p w14:paraId="0F26AED9" w14:textId="4F611A75" w:rsidR="001B650D" w:rsidRPr="006A429B" w:rsidRDefault="001B650D" w:rsidP="001B650D">
            <w:pPr>
              <w:ind w:left="0" w:firstLine="0"/>
              <w:jc w:val="left"/>
              <w:rPr>
                <w:rFonts w:cs="Arial"/>
                <w:color w:val="auto"/>
              </w:rPr>
            </w:pPr>
            <w:r w:rsidRPr="006A429B">
              <w:rPr>
                <w:rFonts w:cs="Arial"/>
                <w:color w:val="auto"/>
              </w:rPr>
              <w:t xml:space="preserve">This is to track the number of Service Components which are unavailable for more than 48 hours of unplanned outage in a month for the following: Virtual machines, virtual storage volumes, database instances, Active Directory instances, virtual web servers, virtual VDI servers and VLANs. A component is considered unavailable for the period it cannot be accessed due to a failure unless the Supplier can demonstrate that the failure is due to a third party (excluding Sub-Contractors. This is a binary measure, so fail would result is the </w:t>
            </w:r>
            <w:proofErr w:type="gramStart"/>
            <w:r w:rsidRPr="006A429B">
              <w:rPr>
                <w:rFonts w:cs="Arial"/>
                <w:color w:val="auto"/>
              </w:rPr>
              <w:t>full Service</w:t>
            </w:r>
            <w:proofErr w:type="gramEnd"/>
            <w:r w:rsidRPr="006A429B">
              <w:rPr>
                <w:rFonts w:cs="Arial"/>
                <w:color w:val="auto"/>
              </w:rPr>
              <w:t xml:space="preserve"> Credit being payable.</w:t>
            </w:r>
          </w:p>
          <w:p w14:paraId="0D9D8808" w14:textId="683DC2D9" w:rsidR="009A2964" w:rsidRPr="00BB50F2" w:rsidRDefault="001B650D" w:rsidP="00FA59F9">
            <w:pPr>
              <w:ind w:left="0" w:firstLine="0"/>
              <w:jc w:val="left"/>
              <w:rPr>
                <w:rFonts w:cs="Arial"/>
              </w:rPr>
            </w:pPr>
            <w:r w:rsidRPr="006A429B">
              <w:rPr>
                <w:rFonts w:cs="Arial"/>
                <w:color w:val="auto"/>
              </w:rPr>
              <w:t>Example: Using the same example as A-1a, as 1 Service Component experienced 48.18 Hours of outage, this would meet the Minimum Level.</w:t>
            </w:r>
          </w:p>
        </w:tc>
      </w:tr>
      <w:tr w:rsidR="009A2964" w:rsidRPr="00BB50F2" w14:paraId="7ADD87F9" w14:textId="77777777" w:rsidTr="00F8293A">
        <w:tc>
          <w:tcPr>
            <w:tcW w:w="704" w:type="dxa"/>
            <w:vMerge/>
          </w:tcPr>
          <w:p w14:paraId="74C2DE83" w14:textId="77777777" w:rsidR="009A2964" w:rsidRPr="00BB50F2" w:rsidRDefault="009A2964" w:rsidP="00F8293A">
            <w:pPr>
              <w:jc w:val="left"/>
              <w:rPr>
                <w:rFonts w:cs="Arial"/>
              </w:rPr>
            </w:pPr>
          </w:p>
        </w:tc>
        <w:tc>
          <w:tcPr>
            <w:tcW w:w="8363" w:type="dxa"/>
            <w:gridSpan w:val="6"/>
          </w:tcPr>
          <w:p w14:paraId="72DF4817" w14:textId="77777777" w:rsidR="009A2964" w:rsidRPr="00BB50F2" w:rsidRDefault="009A2964" w:rsidP="00F8293A">
            <w:pPr>
              <w:jc w:val="left"/>
              <w:rPr>
                <w:rFonts w:cs="Arial"/>
              </w:rPr>
            </w:pPr>
          </w:p>
        </w:tc>
      </w:tr>
      <w:tr w:rsidR="009A2964" w:rsidRPr="00BB50F2" w14:paraId="4CFB3152" w14:textId="77777777" w:rsidTr="00FA59F9">
        <w:trPr>
          <w:trHeight w:val="742"/>
        </w:trPr>
        <w:tc>
          <w:tcPr>
            <w:tcW w:w="704" w:type="dxa"/>
            <w:shd w:val="clear" w:color="auto" w:fill="FFFFFF" w:themeFill="background1"/>
          </w:tcPr>
          <w:p w14:paraId="1FB651C5" w14:textId="77777777" w:rsidR="009A2964" w:rsidRPr="00BB50F2" w:rsidRDefault="009A2964" w:rsidP="00F8293A">
            <w:pPr>
              <w:jc w:val="left"/>
              <w:rPr>
                <w:rFonts w:cs="Arial"/>
              </w:rPr>
            </w:pPr>
            <w:r w:rsidRPr="00BB50F2">
              <w:rPr>
                <w:rFonts w:cs="Arial"/>
              </w:rPr>
              <w:t>BC-1</w:t>
            </w:r>
          </w:p>
        </w:tc>
        <w:tc>
          <w:tcPr>
            <w:tcW w:w="1276" w:type="dxa"/>
            <w:shd w:val="clear" w:color="auto" w:fill="FFFFFF" w:themeFill="background1"/>
          </w:tcPr>
          <w:p w14:paraId="306BC537" w14:textId="2468E09E" w:rsidR="009A2964" w:rsidRPr="00BB50F2" w:rsidRDefault="009A2964" w:rsidP="00F57B9A">
            <w:pPr>
              <w:ind w:left="0" w:firstLine="0"/>
              <w:jc w:val="left"/>
              <w:rPr>
                <w:rFonts w:cs="Arial"/>
              </w:rPr>
            </w:pPr>
            <w:r w:rsidRPr="00BB50F2">
              <w:rPr>
                <w:rFonts w:cs="Arial"/>
              </w:rPr>
              <w:t xml:space="preserve">Business continuity </w:t>
            </w:r>
          </w:p>
        </w:tc>
        <w:tc>
          <w:tcPr>
            <w:tcW w:w="1276" w:type="dxa"/>
            <w:shd w:val="clear" w:color="auto" w:fill="FFFFFF" w:themeFill="background1"/>
          </w:tcPr>
          <w:p w14:paraId="31798FDF" w14:textId="77777777" w:rsidR="009A2964" w:rsidRPr="00BB50F2" w:rsidRDefault="009A2964" w:rsidP="00F8293A">
            <w:pPr>
              <w:jc w:val="left"/>
              <w:rPr>
                <w:rFonts w:cs="Arial"/>
              </w:rPr>
            </w:pPr>
            <w:r w:rsidRPr="00BB50F2">
              <w:rPr>
                <w:rFonts w:cs="Arial"/>
              </w:rPr>
              <w:t>Binary</w:t>
            </w:r>
          </w:p>
          <w:p w14:paraId="1F911D07" w14:textId="77777777" w:rsidR="009A2964" w:rsidRPr="00BB50F2" w:rsidRDefault="009A2964" w:rsidP="00F8293A">
            <w:pPr>
              <w:jc w:val="left"/>
              <w:rPr>
                <w:rFonts w:cs="Arial"/>
              </w:rPr>
            </w:pPr>
          </w:p>
        </w:tc>
        <w:tc>
          <w:tcPr>
            <w:tcW w:w="2126" w:type="dxa"/>
          </w:tcPr>
          <w:p w14:paraId="1D13662B" w14:textId="77777777" w:rsidR="009A2964" w:rsidRPr="00BB50F2" w:rsidRDefault="009A2964" w:rsidP="00F57B9A">
            <w:pPr>
              <w:ind w:left="0" w:firstLine="0"/>
              <w:jc w:val="left"/>
              <w:rPr>
                <w:rFonts w:cs="Arial"/>
              </w:rPr>
            </w:pPr>
            <w:r w:rsidRPr="00BB50F2">
              <w:rPr>
                <w:rFonts w:cs="Arial"/>
              </w:rPr>
              <w:t xml:space="preserve">Restoration of all Service Components within their defined RTO targets within a Disaster Recovery </w:t>
            </w:r>
            <w:r w:rsidRPr="009C77E2">
              <w:rPr>
                <w:rFonts w:cs="Arial"/>
              </w:rPr>
              <w:t>or declared Disaster</w:t>
            </w:r>
          </w:p>
        </w:tc>
        <w:tc>
          <w:tcPr>
            <w:tcW w:w="1276" w:type="dxa"/>
          </w:tcPr>
          <w:p w14:paraId="0C43442F" w14:textId="01998056" w:rsidR="009A2964" w:rsidRPr="00BB50F2" w:rsidRDefault="009A2964" w:rsidP="00F57B9A">
            <w:pPr>
              <w:ind w:left="0" w:firstLine="0"/>
              <w:jc w:val="left"/>
              <w:rPr>
                <w:rFonts w:cs="Arial"/>
              </w:rPr>
            </w:pPr>
            <w:r w:rsidRPr="00BB50F2">
              <w:rPr>
                <w:rFonts w:cs="Arial"/>
              </w:rPr>
              <w:t>Assessed via Disaster Recovery agreed in accordance with Schedule 8.6 (</w:t>
            </w:r>
            <w:r w:rsidRPr="00BB50F2">
              <w:rPr>
                <w:rFonts w:cs="Arial"/>
                <w:i/>
                <w:iCs/>
              </w:rPr>
              <w:t xml:space="preserve">Business Continuity and IT Service </w:t>
            </w:r>
            <w:r w:rsidRPr="00BB50F2">
              <w:rPr>
                <w:rFonts w:cs="Arial"/>
                <w:i/>
                <w:iCs/>
              </w:rPr>
              <w:lastRenderedPageBreak/>
              <w:t>Continuity</w:t>
            </w:r>
            <w:r w:rsidRPr="00BB50F2">
              <w:rPr>
                <w:rFonts w:cs="Arial"/>
              </w:rPr>
              <w:t>) and according to Table 5.</w:t>
            </w:r>
          </w:p>
        </w:tc>
        <w:tc>
          <w:tcPr>
            <w:tcW w:w="1134" w:type="dxa"/>
          </w:tcPr>
          <w:p w14:paraId="0B9B7A45" w14:textId="77777777" w:rsidR="009A2964" w:rsidRPr="00BB50F2" w:rsidRDefault="009A2964" w:rsidP="00F8293A">
            <w:pPr>
              <w:jc w:val="left"/>
              <w:rPr>
                <w:rFonts w:cs="Arial"/>
              </w:rPr>
            </w:pPr>
            <w:r w:rsidRPr="00BB50F2">
              <w:rPr>
                <w:rFonts w:cs="Arial"/>
              </w:rPr>
              <w:lastRenderedPageBreak/>
              <w:t>N/A</w:t>
            </w:r>
          </w:p>
        </w:tc>
        <w:tc>
          <w:tcPr>
            <w:tcW w:w="1275" w:type="dxa"/>
          </w:tcPr>
          <w:p w14:paraId="66AE6F92" w14:textId="77777777" w:rsidR="009A2964" w:rsidRPr="00BB50F2" w:rsidRDefault="009A2964" w:rsidP="00F8293A">
            <w:pPr>
              <w:jc w:val="left"/>
              <w:rPr>
                <w:rFonts w:cs="Arial"/>
              </w:rPr>
            </w:pPr>
            <w:r w:rsidRPr="00BB50F2">
              <w:rPr>
                <w:rFonts w:cs="Arial"/>
              </w:rPr>
              <w:t>N/A</w:t>
            </w:r>
          </w:p>
        </w:tc>
      </w:tr>
      <w:tr w:rsidR="009A2964" w:rsidRPr="00BB50F2" w14:paraId="46E0DA65" w14:textId="77777777" w:rsidTr="00FA59F9">
        <w:tc>
          <w:tcPr>
            <w:tcW w:w="704" w:type="dxa"/>
            <w:vMerge w:val="restart"/>
          </w:tcPr>
          <w:p w14:paraId="5B9FE53D" w14:textId="77777777" w:rsidR="009A2964" w:rsidRPr="00BB50F2" w:rsidRDefault="009A2964" w:rsidP="00F8293A">
            <w:pPr>
              <w:keepNext/>
              <w:jc w:val="left"/>
              <w:rPr>
                <w:rFonts w:cs="Arial"/>
              </w:rPr>
            </w:pPr>
            <w:r w:rsidRPr="00BB50F2">
              <w:rPr>
                <w:rFonts w:cs="Arial"/>
              </w:rPr>
              <w:t>BC-2</w:t>
            </w:r>
          </w:p>
        </w:tc>
        <w:tc>
          <w:tcPr>
            <w:tcW w:w="1276" w:type="dxa"/>
          </w:tcPr>
          <w:p w14:paraId="202A35D2" w14:textId="77777777" w:rsidR="009A2964" w:rsidRPr="00BB50F2" w:rsidRDefault="009A2964" w:rsidP="00F57B9A">
            <w:pPr>
              <w:ind w:left="0" w:firstLine="0"/>
              <w:jc w:val="left"/>
              <w:rPr>
                <w:rFonts w:cs="Arial"/>
              </w:rPr>
            </w:pPr>
            <w:r w:rsidRPr="00BB50F2">
              <w:rPr>
                <w:rFonts w:cs="Arial"/>
              </w:rPr>
              <w:t xml:space="preserve">Backup Success </w:t>
            </w:r>
          </w:p>
        </w:tc>
        <w:tc>
          <w:tcPr>
            <w:tcW w:w="1276" w:type="dxa"/>
          </w:tcPr>
          <w:p w14:paraId="0E5F78E8" w14:textId="77777777" w:rsidR="009A2964" w:rsidRPr="00BB50F2" w:rsidRDefault="009A2964" w:rsidP="00F8293A">
            <w:pPr>
              <w:keepNext/>
              <w:jc w:val="left"/>
              <w:rPr>
                <w:rFonts w:cs="Arial"/>
              </w:rPr>
            </w:pPr>
            <w:r w:rsidRPr="00BB50F2">
              <w:rPr>
                <w:rFonts w:cs="Arial"/>
              </w:rPr>
              <w:t>Continuous</w:t>
            </w:r>
          </w:p>
        </w:tc>
        <w:tc>
          <w:tcPr>
            <w:tcW w:w="2126" w:type="dxa"/>
          </w:tcPr>
          <w:p w14:paraId="7FAE17EC" w14:textId="6AC9499E" w:rsidR="009A2964" w:rsidRPr="00BB50F2" w:rsidRDefault="009A2964" w:rsidP="00F57B9A">
            <w:pPr>
              <w:ind w:left="0" w:firstLine="0"/>
              <w:jc w:val="left"/>
              <w:rPr>
                <w:rFonts w:cs="Arial"/>
              </w:rPr>
            </w:pPr>
            <w:r w:rsidRPr="00BB50F2">
              <w:rPr>
                <w:rFonts w:cs="Arial"/>
              </w:rPr>
              <w:t>Percentage of Service Component backups that are successful each month for applicable Service Components</w:t>
            </w:r>
            <w:r w:rsidR="003E2248">
              <w:rPr>
                <w:rFonts w:cs="Arial"/>
              </w:rPr>
              <w:t xml:space="preserve">. </w:t>
            </w:r>
            <w:r w:rsidR="003E2248" w:rsidRPr="001E402B">
              <w:rPr>
                <w:rFonts w:cs="Arial"/>
              </w:rPr>
              <w:t>If a failed backup of a Service Component is rerun and successfully accomplished within 24 hours, it will be considered a success.</w:t>
            </w:r>
          </w:p>
        </w:tc>
        <w:tc>
          <w:tcPr>
            <w:tcW w:w="1276" w:type="dxa"/>
          </w:tcPr>
          <w:p w14:paraId="54D8A90D" w14:textId="77777777" w:rsidR="009A2964" w:rsidRPr="00BB50F2" w:rsidRDefault="009A2964" w:rsidP="00F8293A">
            <w:pPr>
              <w:keepNext/>
              <w:jc w:val="left"/>
              <w:rPr>
                <w:rFonts w:cs="Arial"/>
              </w:rPr>
            </w:pPr>
            <w:r w:rsidRPr="00BB50F2">
              <w:rPr>
                <w:rFonts w:cs="Arial"/>
              </w:rPr>
              <w:t>100%</w:t>
            </w:r>
          </w:p>
          <w:p w14:paraId="16DA3C5B" w14:textId="77777777" w:rsidR="009A2964" w:rsidRPr="00BB50F2" w:rsidDel="00854987" w:rsidRDefault="009A2964" w:rsidP="00F8293A">
            <w:pPr>
              <w:keepNext/>
              <w:jc w:val="left"/>
              <w:rPr>
                <w:rFonts w:cs="Arial"/>
              </w:rPr>
            </w:pPr>
          </w:p>
        </w:tc>
        <w:tc>
          <w:tcPr>
            <w:tcW w:w="1134" w:type="dxa"/>
          </w:tcPr>
          <w:p w14:paraId="4D4A205C" w14:textId="77777777" w:rsidR="009A2964" w:rsidRPr="00BB50F2" w:rsidRDefault="009A2964" w:rsidP="00F8293A">
            <w:pPr>
              <w:keepNext/>
              <w:jc w:val="left"/>
              <w:rPr>
                <w:rFonts w:cs="Arial"/>
              </w:rPr>
            </w:pPr>
            <w:r w:rsidRPr="00BB50F2">
              <w:rPr>
                <w:rFonts w:cs="Arial"/>
              </w:rPr>
              <w:t xml:space="preserve">98% </w:t>
            </w:r>
          </w:p>
          <w:p w14:paraId="2FC85731" w14:textId="77777777" w:rsidR="009A2964" w:rsidRPr="00BB50F2" w:rsidRDefault="009A2964" w:rsidP="00F8293A">
            <w:pPr>
              <w:keepNext/>
              <w:jc w:val="left"/>
              <w:rPr>
                <w:rFonts w:cs="Arial"/>
              </w:rPr>
            </w:pPr>
          </w:p>
        </w:tc>
        <w:tc>
          <w:tcPr>
            <w:tcW w:w="1275" w:type="dxa"/>
          </w:tcPr>
          <w:p w14:paraId="33C5D09D" w14:textId="77777777" w:rsidR="009A2964" w:rsidRPr="00BB50F2" w:rsidRDefault="009A2964" w:rsidP="00F8293A">
            <w:pPr>
              <w:keepNext/>
              <w:jc w:val="left"/>
              <w:rPr>
                <w:rFonts w:cs="Arial"/>
              </w:rPr>
            </w:pPr>
            <w:r w:rsidRPr="00BB50F2">
              <w:rPr>
                <w:rFonts w:cs="Arial"/>
              </w:rPr>
              <w:t>90%</w:t>
            </w:r>
          </w:p>
        </w:tc>
      </w:tr>
      <w:tr w:rsidR="009A2964" w:rsidRPr="00BB50F2" w14:paraId="1FF2F326" w14:textId="77777777" w:rsidTr="00F8293A">
        <w:tc>
          <w:tcPr>
            <w:tcW w:w="704" w:type="dxa"/>
            <w:vMerge/>
          </w:tcPr>
          <w:p w14:paraId="3B2739D8" w14:textId="77777777" w:rsidR="009A2964" w:rsidRPr="00BB50F2" w:rsidRDefault="009A2964" w:rsidP="00F8293A">
            <w:pPr>
              <w:keepNext/>
              <w:jc w:val="left"/>
              <w:rPr>
                <w:rFonts w:cs="Arial"/>
              </w:rPr>
            </w:pPr>
          </w:p>
        </w:tc>
        <w:tc>
          <w:tcPr>
            <w:tcW w:w="8363" w:type="dxa"/>
            <w:gridSpan w:val="6"/>
          </w:tcPr>
          <w:p w14:paraId="6AE2F58C" w14:textId="77777777" w:rsidR="009A2964" w:rsidRPr="00BB50F2" w:rsidRDefault="009A2964" w:rsidP="00FA59F9">
            <w:pPr>
              <w:ind w:left="0" w:firstLine="0"/>
              <w:jc w:val="left"/>
              <w:rPr>
                <w:rFonts w:cs="Arial"/>
              </w:rPr>
            </w:pPr>
            <w:r w:rsidRPr="00BB50F2">
              <w:rPr>
                <w:rFonts w:cs="Arial"/>
              </w:rPr>
              <w:t xml:space="preserve">This covers backups in accordance the Backup Policy. This allows for 2% of Service Components to have backup failures reported against them to trigger a </w:t>
            </w:r>
            <w:r w:rsidRPr="00BB50F2">
              <w:rPr>
                <w:rFonts w:cs="Arial"/>
                <w:b/>
                <w:bCs/>
              </w:rPr>
              <w:t>fail</w:t>
            </w:r>
            <w:r w:rsidRPr="00BB50F2">
              <w:rPr>
                <w:rFonts w:cs="Arial"/>
              </w:rPr>
              <w:t xml:space="preserve"> to meet the Minimum Level. Note that 1 Service Component could have many failures reported but this counts as 1 failure.</w:t>
            </w:r>
          </w:p>
        </w:tc>
      </w:tr>
      <w:tr w:rsidR="009A2964" w:rsidRPr="00BB50F2" w14:paraId="78463DD2" w14:textId="77777777" w:rsidTr="00FA59F9">
        <w:tc>
          <w:tcPr>
            <w:tcW w:w="704" w:type="dxa"/>
            <w:vMerge w:val="restart"/>
          </w:tcPr>
          <w:p w14:paraId="4666B2E0" w14:textId="77777777" w:rsidR="009A2964" w:rsidRPr="00BB50F2" w:rsidRDefault="009A2964" w:rsidP="00F8293A">
            <w:pPr>
              <w:jc w:val="left"/>
              <w:rPr>
                <w:rFonts w:cs="Arial"/>
              </w:rPr>
            </w:pPr>
            <w:r w:rsidRPr="00BB50F2">
              <w:rPr>
                <w:rFonts w:cs="Arial"/>
              </w:rPr>
              <w:t>BC-3</w:t>
            </w:r>
          </w:p>
        </w:tc>
        <w:tc>
          <w:tcPr>
            <w:tcW w:w="1276" w:type="dxa"/>
          </w:tcPr>
          <w:p w14:paraId="6CE90C72" w14:textId="78DD0C73" w:rsidR="009A2964" w:rsidRPr="00BB50F2" w:rsidRDefault="004E415B" w:rsidP="00F57B9A">
            <w:pPr>
              <w:ind w:left="0" w:firstLine="0"/>
              <w:jc w:val="left"/>
              <w:rPr>
                <w:rFonts w:cs="Arial"/>
              </w:rPr>
            </w:pPr>
            <w:r w:rsidRPr="00BB50F2">
              <w:rPr>
                <w:rFonts w:cs="Arial"/>
              </w:rPr>
              <w:t>Backup Restoration</w:t>
            </w:r>
            <w:r w:rsidR="009A2964" w:rsidRPr="00BB50F2">
              <w:rPr>
                <w:rFonts w:cs="Arial"/>
              </w:rPr>
              <w:t xml:space="preserve"> Success </w:t>
            </w:r>
          </w:p>
        </w:tc>
        <w:tc>
          <w:tcPr>
            <w:tcW w:w="1276" w:type="dxa"/>
          </w:tcPr>
          <w:p w14:paraId="438F5FC9" w14:textId="77777777" w:rsidR="009A2964" w:rsidRPr="00BB50F2" w:rsidRDefault="009A2964" w:rsidP="00F8293A">
            <w:pPr>
              <w:jc w:val="left"/>
              <w:rPr>
                <w:rFonts w:cs="Arial"/>
              </w:rPr>
            </w:pPr>
            <w:r w:rsidRPr="00BB50F2">
              <w:rPr>
                <w:rFonts w:cs="Arial"/>
              </w:rPr>
              <w:t>Continuous</w:t>
            </w:r>
          </w:p>
        </w:tc>
        <w:tc>
          <w:tcPr>
            <w:tcW w:w="2126" w:type="dxa"/>
          </w:tcPr>
          <w:p w14:paraId="6E5A6AEC" w14:textId="77777777" w:rsidR="009A2964" w:rsidRPr="00BB50F2" w:rsidRDefault="009A2964" w:rsidP="00F57B9A">
            <w:pPr>
              <w:ind w:left="0" w:firstLine="0"/>
              <w:jc w:val="left"/>
              <w:rPr>
                <w:rFonts w:cs="Arial"/>
              </w:rPr>
            </w:pPr>
            <w:r w:rsidRPr="00BB50F2">
              <w:rPr>
                <w:rFonts w:cs="Arial"/>
              </w:rPr>
              <w:t>Percentage of Service Component backups that are successfully restored each month for all Service Components</w:t>
            </w:r>
          </w:p>
        </w:tc>
        <w:tc>
          <w:tcPr>
            <w:tcW w:w="1276" w:type="dxa"/>
          </w:tcPr>
          <w:p w14:paraId="1DC4D5D3" w14:textId="77777777" w:rsidR="009A2964" w:rsidRPr="00BB50F2" w:rsidRDefault="009A2964" w:rsidP="00F8293A">
            <w:pPr>
              <w:jc w:val="left"/>
              <w:rPr>
                <w:rFonts w:cs="Arial"/>
              </w:rPr>
            </w:pPr>
            <w:r w:rsidRPr="00BB50F2">
              <w:rPr>
                <w:rFonts w:cs="Arial"/>
              </w:rPr>
              <w:t>99.5%</w:t>
            </w:r>
          </w:p>
          <w:p w14:paraId="234BBD52" w14:textId="77777777" w:rsidR="009A2964" w:rsidRPr="00BB50F2" w:rsidRDefault="009A2964" w:rsidP="00F8293A">
            <w:pPr>
              <w:jc w:val="left"/>
              <w:rPr>
                <w:rFonts w:cs="Arial"/>
              </w:rPr>
            </w:pPr>
          </w:p>
        </w:tc>
        <w:tc>
          <w:tcPr>
            <w:tcW w:w="1134" w:type="dxa"/>
          </w:tcPr>
          <w:p w14:paraId="2BAAB913" w14:textId="77777777" w:rsidR="009A2964" w:rsidRPr="00BB50F2" w:rsidRDefault="009A2964" w:rsidP="00F8293A">
            <w:pPr>
              <w:jc w:val="left"/>
              <w:rPr>
                <w:rFonts w:cs="Arial"/>
              </w:rPr>
            </w:pPr>
            <w:r w:rsidRPr="00BB50F2">
              <w:rPr>
                <w:rFonts w:cs="Arial"/>
              </w:rPr>
              <w:t xml:space="preserve">99% </w:t>
            </w:r>
          </w:p>
          <w:p w14:paraId="4F8ACFEA" w14:textId="77777777" w:rsidR="009A2964" w:rsidRPr="00BB50F2" w:rsidRDefault="009A2964" w:rsidP="00F8293A">
            <w:pPr>
              <w:jc w:val="left"/>
              <w:rPr>
                <w:rFonts w:cs="Arial"/>
              </w:rPr>
            </w:pPr>
          </w:p>
        </w:tc>
        <w:tc>
          <w:tcPr>
            <w:tcW w:w="1275" w:type="dxa"/>
          </w:tcPr>
          <w:p w14:paraId="1B571ED3" w14:textId="77777777" w:rsidR="009A2964" w:rsidRPr="00BB50F2" w:rsidRDefault="009A2964" w:rsidP="00F8293A">
            <w:pPr>
              <w:jc w:val="left"/>
              <w:rPr>
                <w:rFonts w:cs="Arial"/>
              </w:rPr>
            </w:pPr>
            <w:r w:rsidRPr="00BB50F2">
              <w:rPr>
                <w:rFonts w:cs="Arial"/>
              </w:rPr>
              <w:t>92%</w:t>
            </w:r>
          </w:p>
        </w:tc>
      </w:tr>
      <w:tr w:rsidR="009A2964" w:rsidRPr="00BB50F2" w14:paraId="53F8A4D9" w14:textId="77777777" w:rsidTr="00F8293A">
        <w:tc>
          <w:tcPr>
            <w:tcW w:w="704" w:type="dxa"/>
            <w:vMerge/>
          </w:tcPr>
          <w:p w14:paraId="39BE91D5" w14:textId="77777777" w:rsidR="009A2964" w:rsidRPr="00BB50F2" w:rsidRDefault="009A2964" w:rsidP="00F8293A">
            <w:pPr>
              <w:jc w:val="left"/>
              <w:rPr>
                <w:rFonts w:cs="Arial"/>
              </w:rPr>
            </w:pPr>
          </w:p>
        </w:tc>
        <w:tc>
          <w:tcPr>
            <w:tcW w:w="8363" w:type="dxa"/>
            <w:gridSpan w:val="6"/>
          </w:tcPr>
          <w:p w14:paraId="5EED6B9F" w14:textId="77777777" w:rsidR="009A2964" w:rsidRPr="00BB50F2" w:rsidRDefault="009A2964" w:rsidP="00FA59F9">
            <w:pPr>
              <w:ind w:left="0" w:firstLine="0"/>
              <w:jc w:val="left"/>
              <w:rPr>
                <w:rFonts w:cs="Arial"/>
              </w:rPr>
            </w:pPr>
            <w:r w:rsidRPr="00BB50F2">
              <w:rPr>
                <w:rFonts w:cs="Arial"/>
              </w:rPr>
              <w:t xml:space="preserve">This tracks all backup restoration requests in a month and allows for 1% of Service Components to have restoration failures reported </w:t>
            </w:r>
            <w:proofErr w:type="gramStart"/>
            <w:r w:rsidRPr="00BB50F2">
              <w:rPr>
                <w:rFonts w:cs="Arial"/>
              </w:rPr>
              <w:t>in order to</w:t>
            </w:r>
            <w:proofErr w:type="gramEnd"/>
            <w:r w:rsidRPr="00BB50F2">
              <w:rPr>
                <w:rFonts w:cs="Arial"/>
              </w:rPr>
              <w:t xml:space="preserve"> </w:t>
            </w:r>
            <w:r w:rsidRPr="00BB50F2">
              <w:rPr>
                <w:rFonts w:cs="Arial"/>
                <w:b/>
                <w:bCs/>
              </w:rPr>
              <w:t xml:space="preserve">pass </w:t>
            </w:r>
            <w:r w:rsidRPr="00BB50F2">
              <w:rPr>
                <w:rFonts w:cs="Arial"/>
              </w:rPr>
              <w:t xml:space="preserve">the Minimum Level. </w:t>
            </w:r>
          </w:p>
          <w:p w14:paraId="5546AB65" w14:textId="77777777" w:rsidR="009A2964" w:rsidRPr="00BB50F2" w:rsidRDefault="009A2964" w:rsidP="00F8293A">
            <w:pPr>
              <w:jc w:val="left"/>
              <w:rPr>
                <w:rFonts w:cs="Arial"/>
              </w:rPr>
            </w:pPr>
          </w:p>
          <w:p w14:paraId="132A2C78" w14:textId="77777777" w:rsidR="009A2964" w:rsidRPr="00BB50F2" w:rsidRDefault="009A2964" w:rsidP="00FA59F9">
            <w:pPr>
              <w:ind w:left="0" w:firstLine="0"/>
              <w:jc w:val="left"/>
              <w:rPr>
                <w:rFonts w:cs="Arial"/>
              </w:rPr>
            </w:pPr>
            <w:r w:rsidRPr="00BB50F2">
              <w:rPr>
                <w:rFonts w:cs="Arial"/>
              </w:rPr>
              <w:t xml:space="preserve">Example: if 100 restores are requested and 1 Service Component had reported 50 restoration failures, but the other 99 had none, this means that 1/100 (1%) failed. This would pass the Minimum Level. </w:t>
            </w:r>
          </w:p>
        </w:tc>
      </w:tr>
      <w:tr w:rsidR="009A2964" w:rsidRPr="00BB50F2" w14:paraId="4EE90986" w14:textId="77777777" w:rsidTr="00FA59F9">
        <w:tc>
          <w:tcPr>
            <w:tcW w:w="704" w:type="dxa"/>
          </w:tcPr>
          <w:p w14:paraId="04D90DF3" w14:textId="77777777" w:rsidR="009A2964" w:rsidRPr="00BB50F2" w:rsidRDefault="009A2964" w:rsidP="00F8293A">
            <w:pPr>
              <w:jc w:val="left"/>
              <w:rPr>
                <w:rFonts w:cs="Arial"/>
              </w:rPr>
            </w:pPr>
            <w:r w:rsidRPr="00BB50F2">
              <w:rPr>
                <w:rFonts w:cs="Arial"/>
              </w:rPr>
              <w:t>R-1</w:t>
            </w:r>
          </w:p>
        </w:tc>
        <w:tc>
          <w:tcPr>
            <w:tcW w:w="1276" w:type="dxa"/>
          </w:tcPr>
          <w:p w14:paraId="15F8D316" w14:textId="77777777" w:rsidR="009A2964" w:rsidRPr="00BB50F2" w:rsidRDefault="009A2964" w:rsidP="00F57B9A">
            <w:pPr>
              <w:ind w:left="0" w:firstLine="0"/>
              <w:jc w:val="left"/>
              <w:rPr>
                <w:rFonts w:cs="Arial"/>
              </w:rPr>
            </w:pPr>
            <w:r w:rsidRPr="00BB50F2">
              <w:rPr>
                <w:rFonts w:cs="Arial"/>
              </w:rPr>
              <w:t xml:space="preserve">Response Time for Priority 1 Incidents </w:t>
            </w:r>
          </w:p>
        </w:tc>
        <w:tc>
          <w:tcPr>
            <w:tcW w:w="1276" w:type="dxa"/>
          </w:tcPr>
          <w:p w14:paraId="05C6A220" w14:textId="77777777" w:rsidR="009A2964" w:rsidRPr="00BB50F2" w:rsidRDefault="009A2964" w:rsidP="00F8293A">
            <w:pPr>
              <w:jc w:val="left"/>
              <w:rPr>
                <w:rFonts w:cs="Arial"/>
              </w:rPr>
            </w:pPr>
            <w:r w:rsidRPr="00BB50F2">
              <w:rPr>
                <w:rFonts w:cs="Arial"/>
              </w:rPr>
              <w:t>Continuous</w:t>
            </w:r>
          </w:p>
        </w:tc>
        <w:tc>
          <w:tcPr>
            <w:tcW w:w="2126" w:type="dxa"/>
          </w:tcPr>
          <w:p w14:paraId="304662C5" w14:textId="1ED4DBEE" w:rsidR="009A2964" w:rsidRPr="00BB50F2" w:rsidRDefault="009A2964" w:rsidP="00F57B9A">
            <w:pPr>
              <w:ind w:left="0" w:firstLine="0"/>
              <w:jc w:val="left"/>
              <w:rPr>
                <w:rFonts w:cs="Arial"/>
              </w:rPr>
            </w:pPr>
            <w:r w:rsidRPr="00BB50F2">
              <w:rPr>
                <w:rFonts w:cs="Arial"/>
              </w:rPr>
              <w:t>P1 Incidents responded to within target time per month</w:t>
            </w:r>
            <w:r w:rsidR="003E2248">
              <w:rPr>
                <w:rFonts w:cs="Arial"/>
              </w:rPr>
              <w:t xml:space="preserve"> </w:t>
            </w:r>
            <w:r w:rsidR="003E2248" w:rsidRPr="001E402B">
              <w:rPr>
                <w:rFonts w:cs="Arial"/>
              </w:rPr>
              <w:t>Table 3</w:t>
            </w:r>
          </w:p>
        </w:tc>
        <w:tc>
          <w:tcPr>
            <w:tcW w:w="1276" w:type="dxa"/>
          </w:tcPr>
          <w:p w14:paraId="1747DB70" w14:textId="77777777" w:rsidR="009A2964" w:rsidRPr="00BB50F2" w:rsidRDefault="009A2964" w:rsidP="00F8293A">
            <w:pPr>
              <w:jc w:val="left"/>
              <w:rPr>
                <w:rFonts w:cs="Arial"/>
              </w:rPr>
            </w:pPr>
            <w:r w:rsidRPr="00BB50F2">
              <w:rPr>
                <w:rFonts w:cs="Arial"/>
              </w:rPr>
              <w:t xml:space="preserve">98% </w:t>
            </w:r>
          </w:p>
        </w:tc>
        <w:tc>
          <w:tcPr>
            <w:tcW w:w="1134" w:type="dxa"/>
          </w:tcPr>
          <w:p w14:paraId="3ABA102F" w14:textId="77777777" w:rsidR="009A2964" w:rsidRPr="00BB50F2" w:rsidRDefault="009A2964" w:rsidP="00F8293A">
            <w:pPr>
              <w:jc w:val="left"/>
              <w:rPr>
                <w:rFonts w:cs="Arial"/>
              </w:rPr>
            </w:pPr>
            <w:r w:rsidRPr="00BB50F2">
              <w:rPr>
                <w:rFonts w:cs="Arial"/>
              </w:rPr>
              <w:t xml:space="preserve">95% </w:t>
            </w:r>
          </w:p>
        </w:tc>
        <w:tc>
          <w:tcPr>
            <w:tcW w:w="1275" w:type="dxa"/>
          </w:tcPr>
          <w:p w14:paraId="0F0BB345" w14:textId="77777777" w:rsidR="009A2964" w:rsidRPr="00BB50F2" w:rsidRDefault="009A2964" w:rsidP="00F8293A">
            <w:pPr>
              <w:jc w:val="left"/>
              <w:rPr>
                <w:rFonts w:cs="Arial"/>
              </w:rPr>
            </w:pPr>
            <w:r w:rsidRPr="00BB50F2">
              <w:rPr>
                <w:rFonts w:cs="Arial"/>
              </w:rPr>
              <w:t>80%</w:t>
            </w:r>
          </w:p>
        </w:tc>
      </w:tr>
      <w:tr w:rsidR="009A2964" w:rsidRPr="00BB50F2" w14:paraId="74EB0879" w14:textId="77777777" w:rsidTr="00FA59F9">
        <w:tc>
          <w:tcPr>
            <w:tcW w:w="704" w:type="dxa"/>
          </w:tcPr>
          <w:p w14:paraId="5D1F4101" w14:textId="77777777" w:rsidR="009A2964" w:rsidRPr="00BB50F2" w:rsidRDefault="009A2964" w:rsidP="00F8293A">
            <w:pPr>
              <w:jc w:val="left"/>
              <w:rPr>
                <w:rFonts w:cs="Arial"/>
              </w:rPr>
            </w:pPr>
            <w:r w:rsidRPr="00BB50F2">
              <w:rPr>
                <w:rFonts w:cs="Arial"/>
              </w:rPr>
              <w:t>R-2</w:t>
            </w:r>
          </w:p>
        </w:tc>
        <w:tc>
          <w:tcPr>
            <w:tcW w:w="1276" w:type="dxa"/>
          </w:tcPr>
          <w:p w14:paraId="130DAFB6" w14:textId="77777777" w:rsidR="009A2964" w:rsidRPr="00BB50F2" w:rsidRDefault="009A2964" w:rsidP="00F57B9A">
            <w:pPr>
              <w:ind w:left="0" w:firstLine="0"/>
              <w:jc w:val="left"/>
              <w:rPr>
                <w:rFonts w:cs="Arial"/>
              </w:rPr>
            </w:pPr>
            <w:r w:rsidRPr="00BB50F2">
              <w:rPr>
                <w:rFonts w:cs="Arial"/>
              </w:rPr>
              <w:t xml:space="preserve">Response Time for Priority 2 Incidents </w:t>
            </w:r>
          </w:p>
        </w:tc>
        <w:tc>
          <w:tcPr>
            <w:tcW w:w="1276" w:type="dxa"/>
          </w:tcPr>
          <w:p w14:paraId="0F1AA59F" w14:textId="77777777" w:rsidR="009A2964" w:rsidRPr="00BB50F2" w:rsidRDefault="009A2964" w:rsidP="00F8293A">
            <w:pPr>
              <w:jc w:val="left"/>
              <w:rPr>
                <w:rFonts w:cs="Arial"/>
              </w:rPr>
            </w:pPr>
            <w:r w:rsidRPr="00BB50F2">
              <w:rPr>
                <w:rFonts w:cs="Arial"/>
              </w:rPr>
              <w:t>Continuous</w:t>
            </w:r>
          </w:p>
        </w:tc>
        <w:tc>
          <w:tcPr>
            <w:tcW w:w="2126" w:type="dxa"/>
          </w:tcPr>
          <w:p w14:paraId="0C5089B3" w14:textId="0A397309" w:rsidR="009A2964" w:rsidRPr="00BB50F2" w:rsidRDefault="009A2964" w:rsidP="00F57B9A">
            <w:pPr>
              <w:ind w:left="0" w:firstLine="0"/>
              <w:jc w:val="left"/>
              <w:rPr>
                <w:rFonts w:cs="Arial"/>
              </w:rPr>
            </w:pPr>
            <w:r w:rsidRPr="00BB50F2">
              <w:rPr>
                <w:rFonts w:cs="Arial"/>
              </w:rPr>
              <w:t>P2 Incidents responded to within target time per month</w:t>
            </w:r>
            <w:r w:rsidR="003E2248">
              <w:rPr>
                <w:rFonts w:cs="Arial"/>
              </w:rPr>
              <w:t xml:space="preserve"> </w:t>
            </w:r>
            <w:r w:rsidR="003E2248" w:rsidRPr="001E402B">
              <w:rPr>
                <w:rFonts w:cs="Arial"/>
              </w:rPr>
              <w:t>Table 3</w:t>
            </w:r>
          </w:p>
        </w:tc>
        <w:tc>
          <w:tcPr>
            <w:tcW w:w="1276" w:type="dxa"/>
          </w:tcPr>
          <w:p w14:paraId="08BF4FB4" w14:textId="77777777" w:rsidR="009A2964" w:rsidRPr="00BB50F2" w:rsidRDefault="009A2964" w:rsidP="00F8293A">
            <w:pPr>
              <w:jc w:val="left"/>
              <w:rPr>
                <w:rFonts w:cs="Arial"/>
              </w:rPr>
            </w:pPr>
            <w:r w:rsidRPr="00BB50F2">
              <w:rPr>
                <w:rFonts w:cs="Arial"/>
              </w:rPr>
              <w:t xml:space="preserve">95% </w:t>
            </w:r>
          </w:p>
        </w:tc>
        <w:tc>
          <w:tcPr>
            <w:tcW w:w="1134" w:type="dxa"/>
          </w:tcPr>
          <w:p w14:paraId="2E615E4B" w14:textId="77777777" w:rsidR="009A2964" w:rsidRPr="00BB50F2" w:rsidRDefault="009A2964" w:rsidP="00F8293A">
            <w:pPr>
              <w:jc w:val="left"/>
              <w:rPr>
                <w:rFonts w:cs="Arial"/>
              </w:rPr>
            </w:pPr>
            <w:r w:rsidRPr="00BB50F2">
              <w:rPr>
                <w:rFonts w:cs="Arial"/>
              </w:rPr>
              <w:t xml:space="preserve">90% </w:t>
            </w:r>
          </w:p>
        </w:tc>
        <w:tc>
          <w:tcPr>
            <w:tcW w:w="1275" w:type="dxa"/>
          </w:tcPr>
          <w:p w14:paraId="686B3C09" w14:textId="77777777" w:rsidR="009A2964" w:rsidRPr="00BB50F2" w:rsidRDefault="009A2964" w:rsidP="00F8293A">
            <w:pPr>
              <w:jc w:val="left"/>
              <w:rPr>
                <w:rFonts w:cs="Arial"/>
              </w:rPr>
            </w:pPr>
            <w:r w:rsidRPr="00BB50F2">
              <w:rPr>
                <w:rFonts w:cs="Arial"/>
              </w:rPr>
              <w:t>75%</w:t>
            </w:r>
          </w:p>
        </w:tc>
      </w:tr>
      <w:tr w:rsidR="009A2964" w:rsidRPr="00BB50F2" w14:paraId="7AA80CD2" w14:textId="77777777" w:rsidTr="00FA59F9">
        <w:tc>
          <w:tcPr>
            <w:tcW w:w="704" w:type="dxa"/>
          </w:tcPr>
          <w:p w14:paraId="77B0F6AD" w14:textId="77777777" w:rsidR="009A2964" w:rsidRPr="00BB50F2" w:rsidRDefault="009A2964" w:rsidP="00F8293A">
            <w:pPr>
              <w:jc w:val="left"/>
              <w:rPr>
                <w:rFonts w:cs="Arial"/>
              </w:rPr>
            </w:pPr>
            <w:bookmarkStart w:id="1685" w:name="_Hlk81553563"/>
            <w:r w:rsidRPr="00BB50F2">
              <w:rPr>
                <w:rFonts w:cs="Arial"/>
              </w:rPr>
              <w:t>R-3</w:t>
            </w:r>
          </w:p>
        </w:tc>
        <w:tc>
          <w:tcPr>
            <w:tcW w:w="1276" w:type="dxa"/>
          </w:tcPr>
          <w:p w14:paraId="5AF43A44" w14:textId="77777777" w:rsidR="009A2964" w:rsidRPr="00BB50F2" w:rsidRDefault="009A2964" w:rsidP="00F57B9A">
            <w:pPr>
              <w:ind w:left="0" w:firstLine="0"/>
              <w:jc w:val="left"/>
              <w:rPr>
                <w:rFonts w:cs="Arial"/>
              </w:rPr>
            </w:pPr>
            <w:r w:rsidRPr="00BB50F2">
              <w:rPr>
                <w:rFonts w:cs="Arial"/>
              </w:rPr>
              <w:t>Response Time for Priority 3 Incidents</w:t>
            </w:r>
          </w:p>
        </w:tc>
        <w:tc>
          <w:tcPr>
            <w:tcW w:w="1276" w:type="dxa"/>
          </w:tcPr>
          <w:p w14:paraId="666C2070" w14:textId="77777777" w:rsidR="009A2964" w:rsidRPr="00BB50F2" w:rsidRDefault="009A2964" w:rsidP="00F8293A">
            <w:pPr>
              <w:jc w:val="left"/>
              <w:rPr>
                <w:rFonts w:cs="Arial"/>
              </w:rPr>
            </w:pPr>
            <w:r w:rsidRPr="00BB50F2">
              <w:rPr>
                <w:rFonts w:cs="Arial"/>
              </w:rPr>
              <w:t>Continuous</w:t>
            </w:r>
          </w:p>
        </w:tc>
        <w:tc>
          <w:tcPr>
            <w:tcW w:w="2126" w:type="dxa"/>
          </w:tcPr>
          <w:p w14:paraId="5D254B71" w14:textId="12A04336" w:rsidR="009A2964" w:rsidRPr="00BB50F2" w:rsidRDefault="009A2964" w:rsidP="00F57B9A">
            <w:pPr>
              <w:ind w:left="0" w:firstLine="0"/>
              <w:jc w:val="left"/>
              <w:rPr>
                <w:rFonts w:cs="Arial"/>
              </w:rPr>
            </w:pPr>
            <w:r w:rsidRPr="00BB50F2">
              <w:rPr>
                <w:rFonts w:cs="Arial"/>
              </w:rPr>
              <w:t>P3 Incidents responded to within target time per month</w:t>
            </w:r>
            <w:r w:rsidR="003E2248">
              <w:rPr>
                <w:rFonts w:cs="Arial"/>
              </w:rPr>
              <w:t xml:space="preserve"> </w:t>
            </w:r>
            <w:r w:rsidR="003E2248" w:rsidRPr="001E402B">
              <w:rPr>
                <w:rFonts w:cs="Arial"/>
              </w:rPr>
              <w:t>Table 3</w:t>
            </w:r>
          </w:p>
        </w:tc>
        <w:tc>
          <w:tcPr>
            <w:tcW w:w="1276" w:type="dxa"/>
          </w:tcPr>
          <w:p w14:paraId="7ACC1752" w14:textId="77777777" w:rsidR="009A2964" w:rsidRPr="00BB50F2" w:rsidRDefault="009A2964" w:rsidP="00F8293A">
            <w:pPr>
              <w:jc w:val="left"/>
              <w:rPr>
                <w:rFonts w:cs="Arial"/>
              </w:rPr>
            </w:pPr>
            <w:r w:rsidRPr="00BB50F2">
              <w:rPr>
                <w:rFonts w:cs="Arial"/>
              </w:rPr>
              <w:t>95%</w:t>
            </w:r>
          </w:p>
        </w:tc>
        <w:tc>
          <w:tcPr>
            <w:tcW w:w="1134" w:type="dxa"/>
          </w:tcPr>
          <w:p w14:paraId="02A7ACDD" w14:textId="77777777" w:rsidR="009A2964" w:rsidRPr="00BB50F2" w:rsidRDefault="009A2964" w:rsidP="00F8293A">
            <w:pPr>
              <w:jc w:val="left"/>
              <w:rPr>
                <w:rFonts w:cs="Arial"/>
              </w:rPr>
            </w:pPr>
            <w:r w:rsidRPr="00BB50F2">
              <w:rPr>
                <w:rFonts w:cs="Arial"/>
              </w:rPr>
              <w:t xml:space="preserve">90% </w:t>
            </w:r>
          </w:p>
        </w:tc>
        <w:tc>
          <w:tcPr>
            <w:tcW w:w="1275" w:type="dxa"/>
          </w:tcPr>
          <w:p w14:paraId="759F485D" w14:textId="77777777" w:rsidR="009A2964" w:rsidRPr="00BB50F2" w:rsidRDefault="009A2964" w:rsidP="00F8293A">
            <w:pPr>
              <w:jc w:val="left"/>
              <w:rPr>
                <w:rFonts w:cs="Arial"/>
              </w:rPr>
            </w:pPr>
            <w:r w:rsidRPr="00BB50F2">
              <w:rPr>
                <w:rFonts w:cs="Arial"/>
              </w:rPr>
              <w:t>75%</w:t>
            </w:r>
          </w:p>
        </w:tc>
      </w:tr>
      <w:bookmarkEnd w:id="1685"/>
      <w:tr w:rsidR="009A2964" w:rsidRPr="00BB50F2" w14:paraId="7F1FAF55" w14:textId="77777777" w:rsidTr="00FA59F9">
        <w:tc>
          <w:tcPr>
            <w:tcW w:w="704" w:type="dxa"/>
          </w:tcPr>
          <w:p w14:paraId="1C00E0EF" w14:textId="77777777" w:rsidR="009A2964" w:rsidRPr="00BB50F2" w:rsidRDefault="009A2964" w:rsidP="00F8293A">
            <w:pPr>
              <w:jc w:val="left"/>
              <w:rPr>
                <w:rFonts w:cs="Arial"/>
              </w:rPr>
            </w:pPr>
            <w:r w:rsidRPr="00BB50F2">
              <w:rPr>
                <w:rFonts w:cs="Arial"/>
              </w:rPr>
              <w:t>R-4</w:t>
            </w:r>
          </w:p>
        </w:tc>
        <w:tc>
          <w:tcPr>
            <w:tcW w:w="1276" w:type="dxa"/>
          </w:tcPr>
          <w:p w14:paraId="68C1E20D" w14:textId="77777777" w:rsidR="009A2964" w:rsidRPr="00BB50F2" w:rsidRDefault="009A2964" w:rsidP="00F57B9A">
            <w:pPr>
              <w:ind w:left="0" w:firstLine="0"/>
              <w:jc w:val="left"/>
              <w:rPr>
                <w:rFonts w:cs="Arial"/>
              </w:rPr>
            </w:pPr>
            <w:r w:rsidRPr="00BB50F2">
              <w:rPr>
                <w:rFonts w:cs="Arial"/>
              </w:rPr>
              <w:t xml:space="preserve">Response Time for </w:t>
            </w:r>
            <w:r w:rsidRPr="00BB50F2">
              <w:rPr>
                <w:rFonts w:cs="Arial"/>
              </w:rPr>
              <w:lastRenderedPageBreak/>
              <w:t>Priority 4 Incidents</w:t>
            </w:r>
          </w:p>
        </w:tc>
        <w:tc>
          <w:tcPr>
            <w:tcW w:w="1276" w:type="dxa"/>
          </w:tcPr>
          <w:p w14:paraId="7109F386" w14:textId="77777777" w:rsidR="009A2964" w:rsidRPr="00BB50F2" w:rsidRDefault="009A2964" w:rsidP="00F8293A">
            <w:pPr>
              <w:jc w:val="left"/>
              <w:rPr>
                <w:rFonts w:cs="Arial"/>
              </w:rPr>
            </w:pPr>
            <w:r w:rsidRPr="00BB50F2">
              <w:rPr>
                <w:rFonts w:cs="Arial"/>
              </w:rPr>
              <w:lastRenderedPageBreak/>
              <w:t>Continuous</w:t>
            </w:r>
          </w:p>
        </w:tc>
        <w:tc>
          <w:tcPr>
            <w:tcW w:w="2126" w:type="dxa"/>
          </w:tcPr>
          <w:p w14:paraId="25D03D9D" w14:textId="6D4D734C" w:rsidR="009A2964" w:rsidRPr="00BB50F2" w:rsidRDefault="009A2964" w:rsidP="00F57B9A">
            <w:pPr>
              <w:ind w:left="0" w:firstLine="0"/>
              <w:jc w:val="left"/>
              <w:rPr>
                <w:rFonts w:cs="Arial"/>
              </w:rPr>
            </w:pPr>
            <w:r w:rsidRPr="00BB50F2">
              <w:rPr>
                <w:rFonts w:cs="Arial"/>
              </w:rPr>
              <w:t xml:space="preserve">P4 Incidents responded to within </w:t>
            </w:r>
            <w:r w:rsidRPr="00BB50F2">
              <w:rPr>
                <w:rFonts w:cs="Arial"/>
              </w:rPr>
              <w:lastRenderedPageBreak/>
              <w:t>target time per month</w:t>
            </w:r>
            <w:r w:rsidR="003E2248">
              <w:rPr>
                <w:rFonts w:cs="Arial"/>
              </w:rPr>
              <w:t xml:space="preserve"> </w:t>
            </w:r>
            <w:r w:rsidR="003E2248" w:rsidRPr="001E402B">
              <w:rPr>
                <w:rFonts w:cs="Arial"/>
              </w:rPr>
              <w:t>Table 3</w:t>
            </w:r>
          </w:p>
        </w:tc>
        <w:tc>
          <w:tcPr>
            <w:tcW w:w="1276" w:type="dxa"/>
          </w:tcPr>
          <w:p w14:paraId="40D87319" w14:textId="77777777" w:rsidR="009A2964" w:rsidRPr="00BB50F2" w:rsidRDefault="009A2964" w:rsidP="00F8293A">
            <w:pPr>
              <w:jc w:val="left"/>
              <w:rPr>
                <w:rFonts w:cs="Arial"/>
              </w:rPr>
            </w:pPr>
            <w:r w:rsidRPr="00BB50F2">
              <w:rPr>
                <w:rFonts w:cs="Arial"/>
              </w:rPr>
              <w:lastRenderedPageBreak/>
              <w:t>95%</w:t>
            </w:r>
          </w:p>
        </w:tc>
        <w:tc>
          <w:tcPr>
            <w:tcW w:w="1134" w:type="dxa"/>
          </w:tcPr>
          <w:p w14:paraId="4AC44F5D" w14:textId="77777777" w:rsidR="009A2964" w:rsidRPr="00BB50F2" w:rsidRDefault="009A2964" w:rsidP="00F8293A">
            <w:pPr>
              <w:jc w:val="left"/>
              <w:rPr>
                <w:rFonts w:cs="Arial"/>
              </w:rPr>
            </w:pPr>
            <w:r w:rsidRPr="00BB50F2">
              <w:rPr>
                <w:rFonts w:cs="Arial"/>
              </w:rPr>
              <w:t xml:space="preserve">90% </w:t>
            </w:r>
          </w:p>
        </w:tc>
        <w:tc>
          <w:tcPr>
            <w:tcW w:w="1275" w:type="dxa"/>
          </w:tcPr>
          <w:p w14:paraId="68256EFC" w14:textId="77777777" w:rsidR="009A2964" w:rsidRPr="00BB50F2" w:rsidRDefault="009A2964" w:rsidP="00F8293A">
            <w:pPr>
              <w:jc w:val="left"/>
              <w:rPr>
                <w:rFonts w:cs="Arial"/>
              </w:rPr>
            </w:pPr>
            <w:r w:rsidRPr="00BB50F2">
              <w:rPr>
                <w:rFonts w:cs="Arial"/>
              </w:rPr>
              <w:t>75%</w:t>
            </w:r>
          </w:p>
        </w:tc>
      </w:tr>
      <w:tr w:rsidR="009A2964" w:rsidRPr="00BB50F2" w14:paraId="0282D357" w14:textId="77777777" w:rsidTr="00FA59F9">
        <w:tc>
          <w:tcPr>
            <w:tcW w:w="704" w:type="dxa"/>
          </w:tcPr>
          <w:p w14:paraId="7D963E65" w14:textId="77777777" w:rsidR="009A2964" w:rsidRPr="00BB50F2" w:rsidRDefault="009A2964" w:rsidP="00F8293A">
            <w:pPr>
              <w:keepNext/>
              <w:jc w:val="left"/>
              <w:rPr>
                <w:rFonts w:cs="Arial"/>
              </w:rPr>
            </w:pPr>
            <w:r w:rsidRPr="00BB50F2">
              <w:rPr>
                <w:rFonts w:cs="Arial"/>
              </w:rPr>
              <w:t>R-5</w:t>
            </w:r>
          </w:p>
        </w:tc>
        <w:tc>
          <w:tcPr>
            <w:tcW w:w="1276" w:type="dxa"/>
          </w:tcPr>
          <w:p w14:paraId="07E4A5E6" w14:textId="77777777" w:rsidR="009A2964" w:rsidRPr="00BB50F2" w:rsidRDefault="009A2964" w:rsidP="00F57B9A">
            <w:pPr>
              <w:ind w:left="0" w:firstLine="0"/>
              <w:jc w:val="left"/>
              <w:rPr>
                <w:rFonts w:cs="Arial"/>
              </w:rPr>
            </w:pPr>
            <w:r w:rsidRPr="00BB50F2">
              <w:rPr>
                <w:rFonts w:cs="Arial"/>
              </w:rPr>
              <w:t xml:space="preserve">Resolution Time for Priority 1 Incidents </w:t>
            </w:r>
          </w:p>
        </w:tc>
        <w:tc>
          <w:tcPr>
            <w:tcW w:w="1276" w:type="dxa"/>
          </w:tcPr>
          <w:p w14:paraId="69BD301C" w14:textId="77777777" w:rsidR="009A2964" w:rsidRPr="00BB50F2" w:rsidRDefault="009A2964" w:rsidP="00F8293A">
            <w:pPr>
              <w:keepNext/>
              <w:jc w:val="left"/>
              <w:rPr>
                <w:rFonts w:cs="Arial"/>
              </w:rPr>
            </w:pPr>
            <w:r w:rsidRPr="00BB50F2">
              <w:rPr>
                <w:rFonts w:cs="Arial"/>
              </w:rPr>
              <w:t>Continuous</w:t>
            </w:r>
          </w:p>
        </w:tc>
        <w:tc>
          <w:tcPr>
            <w:tcW w:w="2126" w:type="dxa"/>
          </w:tcPr>
          <w:p w14:paraId="19EB8DEC" w14:textId="3F213589" w:rsidR="009A2964" w:rsidRPr="00BB50F2" w:rsidRDefault="009A2964" w:rsidP="00F57B9A">
            <w:pPr>
              <w:ind w:left="0" w:firstLine="0"/>
              <w:jc w:val="left"/>
              <w:rPr>
                <w:rFonts w:cs="Arial"/>
              </w:rPr>
            </w:pPr>
            <w:r w:rsidRPr="00BB50F2">
              <w:rPr>
                <w:rFonts w:cs="Arial"/>
              </w:rPr>
              <w:t>P1 Incidents resolved within target time per month</w:t>
            </w:r>
            <w:r w:rsidR="003E2248">
              <w:rPr>
                <w:rFonts w:cs="Arial"/>
              </w:rPr>
              <w:t xml:space="preserve"> Table 4</w:t>
            </w:r>
          </w:p>
        </w:tc>
        <w:tc>
          <w:tcPr>
            <w:tcW w:w="1276" w:type="dxa"/>
          </w:tcPr>
          <w:p w14:paraId="7CB051D9" w14:textId="77777777" w:rsidR="009A2964" w:rsidRPr="00BB50F2" w:rsidRDefault="009A2964" w:rsidP="00F8293A">
            <w:pPr>
              <w:keepNext/>
              <w:jc w:val="left"/>
              <w:rPr>
                <w:rFonts w:cs="Arial"/>
              </w:rPr>
            </w:pPr>
            <w:r w:rsidRPr="00BB50F2">
              <w:rPr>
                <w:rFonts w:cs="Arial"/>
              </w:rPr>
              <w:t xml:space="preserve">98% </w:t>
            </w:r>
          </w:p>
        </w:tc>
        <w:tc>
          <w:tcPr>
            <w:tcW w:w="1134" w:type="dxa"/>
          </w:tcPr>
          <w:p w14:paraId="1340FE1A" w14:textId="77777777" w:rsidR="009A2964" w:rsidRPr="00BB50F2" w:rsidRDefault="009A2964" w:rsidP="00F8293A">
            <w:pPr>
              <w:keepNext/>
              <w:jc w:val="left"/>
              <w:rPr>
                <w:rFonts w:cs="Arial"/>
              </w:rPr>
            </w:pPr>
            <w:r w:rsidRPr="00BB50F2">
              <w:rPr>
                <w:rFonts w:cs="Arial"/>
              </w:rPr>
              <w:t xml:space="preserve">95% </w:t>
            </w:r>
          </w:p>
        </w:tc>
        <w:tc>
          <w:tcPr>
            <w:tcW w:w="1275" w:type="dxa"/>
          </w:tcPr>
          <w:p w14:paraId="3F60E01F" w14:textId="77777777" w:rsidR="009A2964" w:rsidRPr="00BB50F2" w:rsidRDefault="009A2964" w:rsidP="00FA59F9">
            <w:pPr>
              <w:keepNext/>
              <w:ind w:left="0" w:firstLine="0"/>
              <w:jc w:val="left"/>
              <w:rPr>
                <w:rFonts w:cs="Arial"/>
              </w:rPr>
            </w:pPr>
            <w:r w:rsidRPr="00BB50F2">
              <w:rPr>
                <w:rFonts w:cs="Arial"/>
              </w:rPr>
              <w:t>70%</w:t>
            </w:r>
          </w:p>
        </w:tc>
      </w:tr>
      <w:tr w:rsidR="009A2964" w:rsidRPr="00BB50F2" w14:paraId="4EB094B3" w14:textId="77777777" w:rsidTr="00FA59F9">
        <w:tc>
          <w:tcPr>
            <w:tcW w:w="704" w:type="dxa"/>
          </w:tcPr>
          <w:p w14:paraId="6FF26E6B" w14:textId="77777777" w:rsidR="009A2964" w:rsidRPr="00BB50F2" w:rsidRDefault="009A2964" w:rsidP="00F8293A">
            <w:pPr>
              <w:jc w:val="left"/>
              <w:rPr>
                <w:rFonts w:cs="Arial"/>
              </w:rPr>
            </w:pPr>
            <w:r w:rsidRPr="00BB50F2">
              <w:rPr>
                <w:rFonts w:cs="Arial"/>
              </w:rPr>
              <w:t>R-6</w:t>
            </w:r>
          </w:p>
        </w:tc>
        <w:tc>
          <w:tcPr>
            <w:tcW w:w="1276" w:type="dxa"/>
          </w:tcPr>
          <w:p w14:paraId="4282F975" w14:textId="77777777" w:rsidR="009A2964" w:rsidRPr="00BB50F2" w:rsidRDefault="009A2964" w:rsidP="00F57B9A">
            <w:pPr>
              <w:ind w:left="0" w:firstLine="0"/>
              <w:jc w:val="left"/>
              <w:rPr>
                <w:rFonts w:cs="Arial"/>
              </w:rPr>
            </w:pPr>
            <w:r w:rsidRPr="00BB50F2">
              <w:rPr>
                <w:rFonts w:cs="Arial"/>
              </w:rPr>
              <w:t xml:space="preserve">Resolution Time for Priority 2 Incidents </w:t>
            </w:r>
          </w:p>
        </w:tc>
        <w:tc>
          <w:tcPr>
            <w:tcW w:w="1276" w:type="dxa"/>
          </w:tcPr>
          <w:p w14:paraId="35A8CE5A" w14:textId="77777777" w:rsidR="009A2964" w:rsidRPr="00BB50F2" w:rsidRDefault="009A2964" w:rsidP="00F8293A">
            <w:pPr>
              <w:jc w:val="left"/>
              <w:rPr>
                <w:rFonts w:cs="Arial"/>
              </w:rPr>
            </w:pPr>
            <w:r w:rsidRPr="00BB50F2">
              <w:rPr>
                <w:rFonts w:cs="Arial"/>
              </w:rPr>
              <w:t>Continuous</w:t>
            </w:r>
          </w:p>
        </w:tc>
        <w:tc>
          <w:tcPr>
            <w:tcW w:w="2126" w:type="dxa"/>
          </w:tcPr>
          <w:p w14:paraId="28012C29" w14:textId="320BFF3F" w:rsidR="009A2964" w:rsidRPr="00BB50F2" w:rsidRDefault="009A2964" w:rsidP="00F57B9A">
            <w:pPr>
              <w:ind w:left="0" w:firstLine="0"/>
              <w:jc w:val="left"/>
              <w:rPr>
                <w:rFonts w:cs="Arial"/>
              </w:rPr>
            </w:pPr>
            <w:r w:rsidRPr="00BB50F2">
              <w:rPr>
                <w:rFonts w:cs="Arial"/>
              </w:rPr>
              <w:t>P2 Incidents resolved within target time per month</w:t>
            </w:r>
            <w:r w:rsidR="003E2248">
              <w:rPr>
                <w:rFonts w:cs="Arial"/>
              </w:rPr>
              <w:t xml:space="preserve"> Table 4</w:t>
            </w:r>
          </w:p>
        </w:tc>
        <w:tc>
          <w:tcPr>
            <w:tcW w:w="1276" w:type="dxa"/>
          </w:tcPr>
          <w:p w14:paraId="5007F616" w14:textId="77777777" w:rsidR="009A2964" w:rsidRPr="00BB50F2" w:rsidRDefault="009A2964" w:rsidP="00F8293A">
            <w:pPr>
              <w:jc w:val="left"/>
              <w:rPr>
                <w:rFonts w:cs="Arial"/>
              </w:rPr>
            </w:pPr>
            <w:r w:rsidRPr="00BB50F2">
              <w:rPr>
                <w:rFonts w:cs="Arial"/>
              </w:rPr>
              <w:t xml:space="preserve">95% </w:t>
            </w:r>
          </w:p>
        </w:tc>
        <w:tc>
          <w:tcPr>
            <w:tcW w:w="1134" w:type="dxa"/>
          </w:tcPr>
          <w:p w14:paraId="5C7897FC" w14:textId="77777777" w:rsidR="009A2964" w:rsidRPr="00BB50F2" w:rsidRDefault="009A2964" w:rsidP="00F8293A">
            <w:pPr>
              <w:jc w:val="left"/>
              <w:rPr>
                <w:rFonts w:cs="Arial"/>
              </w:rPr>
            </w:pPr>
            <w:r w:rsidRPr="00BB50F2">
              <w:rPr>
                <w:rFonts w:cs="Arial"/>
              </w:rPr>
              <w:t xml:space="preserve">90% </w:t>
            </w:r>
          </w:p>
        </w:tc>
        <w:tc>
          <w:tcPr>
            <w:tcW w:w="1275" w:type="dxa"/>
          </w:tcPr>
          <w:p w14:paraId="196B9144" w14:textId="77777777" w:rsidR="009A2964" w:rsidRPr="00BB50F2" w:rsidRDefault="009A2964" w:rsidP="00F8293A">
            <w:pPr>
              <w:jc w:val="left"/>
              <w:rPr>
                <w:rFonts w:cs="Arial"/>
              </w:rPr>
            </w:pPr>
            <w:r w:rsidRPr="00BB50F2">
              <w:rPr>
                <w:rFonts w:cs="Arial"/>
              </w:rPr>
              <w:t>70%</w:t>
            </w:r>
          </w:p>
        </w:tc>
      </w:tr>
      <w:tr w:rsidR="009A2964" w:rsidRPr="00BB50F2" w14:paraId="7041EA38" w14:textId="77777777" w:rsidTr="00FA59F9">
        <w:tc>
          <w:tcPr>
            <w:tcW w:w="704" w:type="dxa"/>
          </w:tcPr>
          <w:p w14:paraId="67457D4D" w14:textId="77777777" w:rsidR="009A2964" w:rsidRPr="00BB50F2" w:rsidRDefault="009A2964" w:rsidP="00F8293A">
            <w:pPr>
              <w:jc w:val="left"/>
              <w:rPr>
                <w:rFonts w:cs="Arial"/>
              </w:rPr>
            </w:pPr>
            <w:r w:rsidRPr="00BB50F2">
              <w:rPr>
                <w:rFonts w:cs="Arial"/>
              </w:rPr>
              <w:t>R-7</w:t>
            </w:r>
          </w:p>
        </w:tc>
        <w:tc>
          <w:tcPr>
            <w:tcW w:w="1276" w:type="dxa"/>
          </w:tcPr>
          <w:p w14:paraId="6FE4F0D9" w14:textId="77777777" w:rsidR="009A2964" w:rsidRPr="00BB50F2" w:rsidRDefault="009A2964" w:rsidP="00F57B9A">
            <w:pPr>
              <w:ind w:left="0" w:firstLine="0"/>
              <w:jc w:val="left"/>
              <w:rPr>
                <w:rFonts w:cs="Arial"/>
              </w:rPr>
            </w:pPr>
            <w:r w:rsidRPr="00BB50F2">
              <w:rPr>
                <w:rFonts w:cs="Arial"/>
              </w:rPr>
              <w:t>Resolution Time for Priority 3 Incidents</w:t>
            </w:r>
          </w:p>
        </w:tc>
        <w:tc>
          <w:tcPr>
            <w:tcW w:w="1276" w:type="dxa"/>
          </w:tcPr>
          <w:p w14:paraId="3CF8BB07" w14:textId="77777777" w:rsidR="009A2964" w:rsidRPr="00BB50F2" w:rsidRDefault="009A2964" w:rsidP="00F8293A">
            <w:pPr>
              <w:jc w:val="left"/>
              <w:rPr>
                <w:rFonts w:cs="Arial"/>
              </w:rPr>
            </w:pPr>
            <w:r w:rsidRPr="00BB50F2">
              <w:rPr>
                <w:rFonts w:cs="Arial"/>
              </w:rPr>
              <w:t>Continuous</w:t>
            </w:r>
          </w:p>
        </w:tc>
        <w:tc>
          <w:tcPr>
            <w:tcW w:w="2126" w:type="dxa"/>
          </w:tcPr>
          <w:p w14:paraId="2D2BE1AC" w14:textId="28E04AC3" w:rsidR="009A2964" w:rsidRPr="00BB50F2" w:rsidRDefault="009A2964" w:rsidP="00F57B9A">
            <w:pPr>
              <w:ind w:left="0" w:firstLine="0"/>
              <w:jc w:val="left"/>
              <w:rPr>
                <w:rFonts w:cs="Arial"/>
              </w:rPr>
            </w:pPr>
            <w:r w:rsidRPr="00BB50F2">
              <w:rPr>
                <w:rFonts w:cs="Arial"/>
              </w:rPr>
              <w:t>P3 Incidents responded to within target time per month</w:t>
            </w:r>
            <w:r w:rsidR="003E2248">
              <w:rPr>
                <w:rFonts w:cs="Arial"/>
              </w:rPr>
              <w:t xml:space="preserve"> Table 4</w:t>
            </w:r>
          </w:p>
        </w:tc>
        <w:tc>
          <w:tcPr>
            <w:tcW w:w="1276" w:type="dxa"/>
          </w:tcPr>
          <w:p w14:paraId="077D4D11" w14:textId="77777777" w:rsidR="009A2964" w:rsidRPr="00BB50F2" w:rsidRDefault="009A2964" w:rsidP="00F8293A">
            <w:pPr>
              <w:jc w:val="left"/>
              <w:rPr>
                <w:rFonts w:cs="Arial"/>
              </w:rPr>
            </w:pPr>
            <w:r w:rsidRPr="00BB50F2">
              <w:rPr>
                <w:rFonts w:cs="Arial"/>
              </w:rPr>
              <w:t>95%</w:t>
            </w:r>
          </w:p>
        </w:tc>
        <w:tc>
          <w:tcPr>
            <w:tcW w:w="1134" w:type="dxa"/>
          </w:tcPr>
          <w:p w14:paraId="6D0246E3" w14:textId="77777777" w:rsidR="009A2964" w:rsidRPr="00BB50F2" w:rsidRDefault="009A2964" w:rsidP="00F8293A">
            <w:pPr>
              <w:jc w:val="left"/>
              <w:rPr>
                <w:rFonts w:cs="Arial"/>
              </w:rPr>
            </w:pPr>
            <w:r w:rsidRPr="00BB50F2">
              <w:rPr>
                <w:rFonts w:cs="Arial"/>
              </w:rPr>
              <w:t xml:space="preserve">90% </w:t>
            </w:r>
          </w:p>
        </w:tc>
        <w:tc>
          <w:tcPr>
            <w:tcW w:w="1275" w:type="dxa"/>
          </w:tcPr>
          <w:p w14:paraId="0B6657C5" w14:textId="77777777" w:rsidR="009A2964" w:rsidRPr="00BB50F2" w:rsidRDefault="009A2964" w:rsidP="00F8293A">
            <w:pPr>
              <w:jc w:val="left"/>
              <w:rPr>
                <w:rFonts w:cs="Arial"/>
              </w:rPr>
            </w:pPr>
            <w:r w:rsidRPr="00BB50F2">
              <w:rPr>
                <w:rFonts w:cs="Arial"/>
              </w:rPr>
              <w:t>75%</w:t>
            </w:r>
          </w:p>
        </w:tc>
      </w:tr>
      <w:tr w:rsidR="009A2964" w:rsidRPr="00BB50F2" w14:paraId="4E024A8C" w14:textId="77777777" w:rsidTr="00FA59F9">
        <w:tc>
          <w:tcPr>
            <w:tcW w:w="704" w:type="dxa"/>
          </w:tcPr>
          <w:p w14:paraId="2BC35564" w14:textId="77777777" w:rsidR="009A2964" w:rsidRPr="00BB50F2" w:rsidRDefault="009A2964" w:rsidP="00F8293A">
            <w:pPr>
              <w:jc w:val="left"/>
              <w:rPr>
                <w:rFonts w:cs="Arial"/>
              </w:rPr>
            </w:pPr>
            <w:r w:rsidRPr="00BB50F2">
              <w:rPr>
                <w:rFonts w:cs="Arial"/>
              </w:rPr>
              <w:t>R-8</w:t>
            </w:r>
          </w:p>
        </w:tc>
        <w:tc>
          <w:tcPr>
            <w:tcW w:w="1276" w:type="dxa"/>
          </w:tcPr>
          <w:p w14:paraId="7FAF984B" w14:textId="77777777" w:rsidR="009A2964" w:rsidRPr="00BB50F2" w:rsidRDefault="009A2964" w:rsidP="00F57B9A">
            <w:pPr>
              <w:ind w:left="0" w:firstLine="0"/>
              <w:jc w:val="left"/>
              <w:rPr>
                <w:rFonts w:cs="Arial"/>
              </w:rPr>
            </w:pPr>
            <w:r w:rsidRPr="00BB50F2">
              <w:rPr>
                <w:rFonts w:cs="Arial"/>
              </w:rPr>
              <w:t>Resolution Time for Priority 4 Incidents</w:t>
            </w:r>
          </w:p>
        </w:tc>
        <w:tc>
          <w:tcPr>
            <w:tcW w:w="1276" w:type="dxa"/>
          </w:tcPr>
          <w:p w14:paraId="0E727394" w14:textId="77777777" w:rsidR="009A2964" w:rsidRPr="00BB50F2" w:rsidRDefault="009A2964" w:rsidP="00F8293A">
            <w:pPr>
              <w:jc w:val="left"/>
              <w:rPr>
                <w:rFonts w:cs="Arial"/>
              </w:rPr>
            </w:pPr>
            <w:r w:rsidRPr="00BB50F2">
              <w:rPr>
                <w:rFonts w:cs="Arial"/>
              </w:rPr>
              <w:t>Continuous</w:t>
            </w:r>
          </w:p>
        </w:tc>
        <w:tc>
          <w:tcPr>
            <w:tcW w:w="2126" w:type="dxa"/>
          </w:tcPr>
          <w:p w14:paraId="57C8B1D5" w14:textId="5BC9D89E" w:rsidR="009A2964" w:rsidRPr="00BB50F2" w:rsidRDefault="009A2964" w:rsidP="00F57B9A">
            <w:pPr>
              <w:ind w:left="0" w:firstLine="0"/>
              <w:jc w:val="left"/>
              <w:rPr>
                <w:rFonts w:cs="Arial"/>
              </w:rPr>
            </w:pPr>
            <w:r w:rsidRPr="00BB50F2">
              <w:rPr>
                <w:rFonts w:cs="Arial"/>
              </w:rPr>
              <w:t>P4 Incidents responded to within target time per month</w:t>
            </w:r>
            <w:r w:rsidR="003623C9">
              <w:rPr>
                <w:rFonts w:cs="Arial"/>
              </w:rPr>
              <w:t xml:space="preserve"> Table 4</w:t>
            </w:r>
            <w:r w:rsidR="003E2248">
              <w:rPr>
                <w:rFonts w:cs="Arial"/>
              </w:rPr>
              <w:t xml:space="preserve"> </w:t>
            </w:r>
          </w:p>
        </w:tc>
        <w:tc>
          <w:tcPr>
            <w:tcW w:w="1276" w:type="dxa"/>
          </w:tcPr>
          <w:p w14:paraId="495B13A4" w14:textId="77777777" w:rsidR="009A2964" w:rsidRPr="00BB50F2" w:rsidRDefault="009A2964" w:rsidP="00F8293A">
            <w:pPr>
              <w:jc w:val="left"/>
              <w:rPr>
                <w:rFonts w:cs="Arial"/>
              </w:rPr>
            </w:pPr>
            <w:r w:rsidRPr="00BB50F2">
              <w:rPr>
                <w:rFonts w:cs="Arial"/>
              </w:rPr>
              <w:t>95%</w:t>
            </w:r>
          </w:p>
        </w:tc>
        <w:tc>
          <w:tcPr>
            <w:tcW w:w="1134" w:type="dxa"/>
          </w:tcPr>
          <w:p w14:paraId="460D5D8F" w14:textId="77777777" w:rsidR="009A2964" w:rsidRPr="00BB50F2" w:rsidRDefault="009A2964" w:rsidP="00F8293A">
            <w:pPr>
              <w:jc w:val="left"/>
              <w:rPr>
                <w:rFonts w:cs="Arial"/>
              </w:rPr>
            </w:pPr>
            <w:r w:rsidRPr="00BB50F2">
              <w:rPr>
                <w:rFonts w:cs="Arial"/>
              </w:rPr>
              <w:t xml:space="preserve">90% </w:t>
            </w:r>
          </w:p>
        </w:tc>
        <w:tc>
          <w:tcPr>
            <w:tcW w:w="1275" w:type="dxa"/>
          </w:tcPr>
          <w:p w14:paraId="09CB0EC5" w14:textId="77777777" w:rsidR="009A2964" w:rsidRPr="00BB50F2" w:rsidRDefault="009A2964" w:rsidP="00F8293A">
            <w:pPr>
              <w:jc w:val="left"/>
              <w:rPr>
                <w:rFonts w:cs="Arial"/>
              </w:rPr>
            </w:pPr>
            <w:r w:rsidRPr="00BB50F2">
              <w:rPr>
                <w:rFonts w:cs="Arial"/>
              </w:rPr>
              <w:t>75%</w:t>
            </w:r>
          </w:p>
        </w:tc>
      </w:tr>
      <w:tr w:rsidR="009A2964" w:rsidRPr="00BB50F2" w14:paraId="0A3CE67A" w14:textId="77777777" w:rsidTr="00FA59F9">
        <w:tc>
          <w:tcPr>
            <w:tcW w:w="704" w:type="dxa"/>
          </w:tcPr>
          <w:p w14:paraId="48F2B26D" w14:textId="77777777" w:rsidR="009A2964" w:rsidRPr="00BB50F2" w:rsidRDefault="009A2964" w:rsidP="00F8293A">
            <w:pPr>
              <w:jc w:val="left"/>
              <w:rPr>
                <w:rFonts w:cs="Arial"/>
              </w:rPr>
            </w:pPr>
            <w:r w:rsidRPr="00BB50F2">
              <w:rPr>
                <w:rFonts w:cs="Arial"/>
              </w:rPr>
              <w:t>R-9</w:t>
            </w:r>
          </w:p>
        </w:tc>
        <w:tc>
          <w:tcPr>
            <w:tcW w:w="1276" w:type="dxa"/>
          </w:tcPr>
          <w:p w14:paraId="21B3EA13" w14:textId="77777777" w:rsidR="009A2964" w:rsidRPr="00BB50F2" w:rsidRDefault="009A2964" w:rsidP="00F57B9A">
            <w:pPr>
              <w:ind w:left="0" w:firstLine="0"/>
              <w:jc w:val="left"/>
              <w:rPr>
                <w:rFonts w:cs="Arial"/>
              </w:rPr>
            </w:pPr>
            <w:r w:rsidRPr="00BB50F2">
              <w:rPr>
                <w:rFonts w:cs="Arial"/>
              </w:rPr>
              <w:t>Service catalogue fulfilment 1 (On time delivery)</w:t>
            </w:r>
          </w:p>
        </w:tc>
        <w:tc>
          <w:tcPr>
            <w:tcW w:w="1276" w:type="dxa"/>
          </w:tcPr>
          <w:p w14:paraId="0E2792A7" w14:textId="77777777" w:rsidR="009A2964" w:rsidRPr="00BB50F2" w:rsidRDefault="009A2964" w:rsidP="00F8293A">
            <w:pPr>
              <w:jc w:val="left"/>
              <w:rPr>
                <w:rFonts w:cs="Arial"/>
              </w:rPr>
            </w:pPr>
            <w:r w:rsidRPr="00BB50F2">
              <w:rPr>
                <w:rFonts w:cs="Arial"/>
              </w:rPr>
              <w:t>Continuous</w:t>
            </w:r>
          </w:p>
        </w:tc>
        <w:tc>
          <w:tcPr>
            <w:tcW w:w="2126" w:type="dxa"/>
          </w:tcPr>
          <w:p w14:paraId="1F31C98A" w14:textId="641C494C" w:rsidR="009A2964" w:rsidRPr="00BB50F2" w:rsidRDefault="009A2964" w:rsidP="00F57B9A">
            <w:pPr>
              <w:ind w:left="0" w:firstLine="0"/>
              <w:jc w:val="left"/>
              <w:rPr>
                <w:rFonts w:cs="Arial"/>
              </w:rPr>
            </w:pPr>
            <w:r w:rsidRPr="00BB50F2">
              <w:rPr>
                <w:rFonts w:cs="Arial"/>
              </w:rPr>
              <w:t>Service Catalogue Requests fulfilled within target time per month</w:t>
            </w:r>
            <w:r w:rsidR="003E2248">
              <w:rPr>
                <w:rFonts w:cs="Arial"/>
              </w:rPr>
              <w:t xml:space="preserve"> Section 3.15</w:t>
            </w:r>
          </w:p>
        </w:tc>
        <w:tc>
          <w:tcPr>
            <w:tcW w:w="1276" w:type="dxa"/>
          </w:tcPr>
          <w:p w14:paraId="540D87CD" w14:textId="77777777" w:rsidR="009A2964" w:rsidRPr="00BB50F2" w:rsidRDefault="009A2964" w:rsidP="00F8293A">
            <w:pPr>
              <w:jc w:val="left"/>
              <w:rPr>
                <w:rFonts w:cs="Arial"/>
              </w:rPr>
            </w:pPr>
            <w:r w:rsidRPr="00BB50F2">
              <w:rPr>
                <w:rFonts w:cs="Arial"/>
              </w:rPr>
              <w:t xml:space="preserve">98% </w:t>
            </w:r>
          </w:p>
        </w:tc>
        <w:tc>
          <w:tcPr>
            <w:tcW w:w="1134" w:type="dxa"/>
          </w:tcPr>
          <w:p w14:paraId="261FA70E" w14:textId="77777777" w:rsidR="009A2964" w:rsidRPr="00BB50F2" w:rsidRDefault="009A2964" w:rsidP="00F8293A">
            <w:pPr>
              <w:jc w:val="left"/>
              <w:rPr>
                <w:rFonts w:cs="Arial"/>
              </w:rPr>
            </w:pPr>
            <w:r w:rsidRPr="00BB50F2">
              <w:rPr>
                <w:rFonts w:cs="Arial"/>
              </w:rPr>
              <w:t xml:space="preserve">95% </w:t>
            </w:r>
          </w:p>
        </w:tc>
        <w:tc>
          <w:tcPr>
            <w:tcW w:w="1275" w:type="dxa"/>
          </w:tcPr>
          <w:p w14:paraId="275886EC" w14:textId="77777777" w:rsidR="009A2964" w:rsidRPr="00BB50F2" w:rsidRDefault="009A2964" w:rsidP="00F8293A">
            <w:pPr>
              <w:jc w:val="left"/>
              <w:rPr>
                <w:rFonts w:cs="Arial"/>
              </w:rPr>
            </w:pPr>
            <w:r w:rsidRPr="00BB50F2">
              <w:rPr>
                <w:rFonts w:cs="Arial"/>
              </w:rPr>
              <w:t>75%</w:t>
            </w:r>
          </w:p>
        </w:tc>
      </w:tr>
      <w:tr w:rsidR="001B650D" w:rsidRPr="00BB50F2" w14:paraId="7F545A9E" w14:textId="77777777" w:rsidTr="00FA59F9">
        <w:tc>
          <w:tcPr>
            <w:tcW w:w="704" w:type="dxa"/>
          </w:tcPr>
          <w:p w14:paraId="64D43115" w14:textId="6C8F7F3D" w:rsidR="001B650D" w:rsidRPr="00BB50F2" w:rsidRDefault="001B650D" w:rsidP="001B650D">
            <w:pPr>
              <w:jc w:val="left"/>
              <w:rPr>
                <w:rFonts w:cs="Arial"/>
              </w:rPr>
            </w:pPr>
            <w:r w:rsidRPr="008306D5">
              <w:t>R-10</w:t>
            </w:r>
          </w:p>
        </w:tc>
        <w:tc>
          <w:tcPr>
            <w:tcW w:w="1276" w:type="dxa"/>
          </w:tcPr>
          <w:p w14:paraId="3B6BED4A" w14:textId="581125B8" w:rsidR="001B650D" w:rsidRPr="00BB50F2" w:rsidRDefault="001B650D" w:rsidP="001B650D">
            <w:pPr>
              <w:ind w:left="0" w:firstLine="0"/>
              <w:jc w:val="left"/>
              <w:rPr>
                <w:rFonts w:cs="Arial"/>
              </w:rPr>
            </w:pPr>
            <w:r w:rsidRPr="008306D5">
              <w:t>Acknowledgement time</w:t>
            </w:r>
          </w:p>
        </w:tc>
        <w:tc>
          <w:tcPr>
            <w:tcW w:w="1276" w:type="dxa"/>
          </w:tcPr>
          <w:p w14:paraId="367AF09F" w14:textId="24E0E6AD" w:rsidR="001B650D" w:rsidRPr="00BB50F2" w:rsidRDefault="001B650D" w:rsidP="001B650D">
            <w:pPr>
              <w:jc w:val="left"/>
              <w:rPr>
                <w:rFonts w:cs="Arial"/>
              </w:rPr>
            </w:pPr>
            <w:r w:rsidRPr="008306D5">
              <w:t>Continuous</w:t>
            </w:r>
          </w:p>
        </w:tc>
        <w:tc>
          <w:tcPr>
            <w:tcW w:w="2126" w:type="dxa"/>
          </w:tcPr>
          <w:p w14:paraId="256DDB34" w14:textId="2A294F32" w:rsidR="001B650D" w:rsidRPr="00BB50F2" w:rsidRDefault="001B650D" w:rsidP="001B650D">
            <w:pPr>
              <w:ind w:left="0" w:firstLine="0"/>
              <w:jc w:val="left"/>
              <w:rPr>
                <w:rFonts w:cs="Arial"/>
              </w:rPr>
            </w:pPr>
            <w:r w:rsidRPr="008306D5">
              <w:t xml:space="preserve">Incidents </w:t>
            </w:r>
            <w:proofErr w:type="spellStart"/>
            <w:r w:rsidRPr="008306D5">
              <w:t>acknow</w:t>
            </w:r>
            <w:proofErr w:type="spellEnd"/>
            <w:r w:rsidRPr="008306D5">
              <w:t>-ledged within target time per month</w:t>
            </w:r>
            <w:r w:rsidR="003E2248">
              <w:t xml:space="preserve"> Section 3.8</w:t>
            </w:r>
          </w:p>
        </w:tc>
        <w:tc>
          <w:tcPr>
            <w:tcW w:w="1276" w:type="dxa"/>
          </w:tcPr>
          <w:p w14:paraId="027F32C2" w14:textId="4F9F7128" w:rsidR="001B650D" w:rsidRPr="00BB50F2" w:rsidRDefault="001B650D" w:rsidP="001B650D">
            <w:pPr>
              <w:jc w:val="left"/>
              <w:rPr>
                <w:rFonts w:cs="Arial"/>
              </w:rPr>
            </w:pPr>
            <w:r w:rsidRPr="008306D5">
              <w:t>100%</w:t>
            </w:r>
          </w:p>
        </w:tc>
        <w:tc>
          <w:tcPr>
            <w:tcW w:w="1134" w:type="dxa"/>
          </w:tcPr>
          <w:p w14:paraId="64CB0049" w14:textId="32C4E05A" w:rsidR="001B650D" w:rsidRPr="00BB50F2" w:rsidRDefault="001B650D" w:rsidP="001B650D">
            <w:pPr>
              <w:jc w:val="left"/>
              <w:rPr>
                <w:rFonts w:cs="Arial"/>
              </w:rPr>
            </w:pPr>
            <w:r w:rsidRPr="008306D5">
              <w:t>98%</w:t>
            </w:r>
          </w:p>
        </w:tc>
        <w:tc>
          <w:tcPr>
            <w:tcW w:w="1275" w:type="dxa"/>
          </w:tcPr>
          <w:p w14:paraId="5AD6D91F" w14:textId="45DFA7D9" w:rsidR="001B650D" w:rsidRPr="00BB50F2" w:rsidRDefault="001B650D" w:rsidP="001B650D">
            <w:pPr>
              <w:jc w:val="left"/>
              <w:rPr>
                <w:rFonts w:cs="Arial"/>
              </w:rPr>
            </w:pPr>
            <w:r w:rsidRPr="008306D5">
              <w:t>80%</w:t>
            </w:r>
          </w:p>
        </w:tc>
      </w:tr>
      <w:tr w:rsidR="009A2964" w:rsidRPr="00BB50F2" w14:paraId="0180F374" w14:textId="77777777" w:rsidTr="00FA59F9">
        <w:tc>
          <w:tcPr>
            <w:tcW w:w="704" w:type="dxa"/>
          </w:tcPr>
          <w:p w14:paraId="5D628885" w14:textId="77777777" w:rsidR="009A2964" w:rsidRPr="00BB50F2" w:rsidRDefault="009A2964" w:rsidP="00F8293A">
            <w:pPr>
              <w:jc w:val="left"/>
              <w:rPr>
                <w:rFonts w:cs="Arial"/>
              </w:rPr>
            </w:pPr>
            <w:r w:rsidRPr="00BB50F2">
              <w:rPr>
                <w:rFonts w:cs="Arial"/>
              </w:rPr>
              <w:t>Q-1</w:t>
            </w:r>
          </w:p>
        </w:tc>
        <w:tc>
          <w:tcPr>
            <w:tcW w:w="1276" w:type="dxa"/>
          </w:tcPr>
          <w:p w14:paraId="281C4AFB" w14:textId="77777777" w:rsidR="009A2964" w:rsidRPr="00BB50F2" w:rsidRDefault="009A2964" w:rsidP="00F57B9A">
            <w:pPr>
              <w:ind w:left="0" w:firstLine="0"/>
              <w:jc w:val="left"/>
              <w:rPr>
                <w:rFonts w:cs="Arial"/>
              </w:rPr>
            </w:pPr>
            <w:r w:rsidRPr="00BB50F2">
              <w:rPr>
                <w:rFonts w:cs="Arial"/>
              </w:rPr>
              <w:t>Customer input to resolve Priority 1 and Priority 2 incidents</w:t>
            </w:r>
          </w:p>
        </w:tc>
        <w:tc>
          <w:tcPr>
            <w:tcW w:w="1276" w:type="dxa"/>
          </w:tcPr>
          <w:p w14:paraId="607551E7" w14:textId="77777777" w:rsidR="009A2964" w:rsidRPr="00BB50F2" w:rsidRDefault="009A2964" w:rsidP="00F8293A">
            <w:pPr>
              <w:jc w:val="left"/>
              <w:rPr>
                <w:rFonts w:cs="Arial"/>
              </w:rPr>
            </w:pPr>
            <w:r w:rsidRPr="00BB50F2">
              <w:rPr>
                <w:rFonts w:cs="Arial"/>
              </w:rPr>
              <w:t>Continuous</w:t>
            </w:r>
          </w:p>
        </w:tc>
        <w:tc>
          <w:tcPr>
            <w:tcW w:w="2126" w:type="dxa"/>
          </w:tcPr>
          <w:p w14:paraId="0FD3F924" w14:textId="5CD54E60" w:rsidR="009A2964" w:rsidRPr="00BB50F2" w:rsidRDefault="009A2964" w:rsidP="00F57B9A">
            <w:pPr>
              <w:ind w:left="0" w:firstLine="0"/>
              <w:jc w:val="left"/>
              <w:rPr>
                <w:rFonts w:cs="Arial"/>
              </w:rPr>
            </w:pPr>
            <w:r w:rsidRPr="00BB50F2">
              <w:rPr>
                <w:rFonts w:cs="Arial"/>
              </w:rPr>
              <w:t xml:space="preserve">The Supplier shall be self-sufficient, and each month shall resolve P1 </w:t>
            </w:r>
            <w:r w:rsidRPr="00F57B9A">
              <w:rPr>
                <w:rFonts w:cs="Arial"/>
              </w:rPr>
              <w:t xml:space="preserve">and P2 </w:t>
            </w:r>
            <w:r w:rsidRPr="00BB50F2">
              <w:rPr>
                <w:rFonts w:cs="Arial"/>
              </w:rPr>
              <w:t xml:space="preserve">incidents without requesting </w:t>
            </w:r>
            <w:proofErr w:type="spellStart"/>
            <w:r w:rsidR="001F1C19">
              <w:rPr>
                <w:rFonts w:cs="Arial"/>
              </w:rPr>
              <w:t>Netlink</w:t>
            </w:r>
            <w:proofErr w:type="spellEnd"/>
            <w:r w:rsidR="001F1C19">
              <w:rPr>
                <w:rFonts w:cs="Arial"/>
              </w:rPr>
              <w:t xml:space="preserve"> Star</w:t>
            </w:r>
            <w:r w:rsidRPr="00BB50F2">
              <w:rPr>
                <w:rFonts w:cs="Arial"/>
              </w:rPr>
              <w:t xml:space="preserve"> subject matter assistance from a technical perspective [Excluding confirmation requests]</w:t>
            </w:r>
          </w:p>
        </w:tc>
        <w:tc>
          <w:tcPr>
            <w:tcW w:w="1276" w:type="dxa"/>
          </w:tcPr>
          <w:p w14:paraId="520994F9" w14:textId="52C4AED3" w:rsidR="009A2964" w:rsidRPr="001B650D" w:rsidRDefault="009A2964" w:rsidP="00FA59F9">
            <w:pPr>
              <w:ind w:left="0" w:firstLine="0"/>
              <w:jc w:val="left"/>
              <w:rPr>
                <w:rFonts w:cs="Arial"/>
                <w:color w:val="FF0000"/>
              </w:rPr>
            </w:pPr>
            <w:r w:rsidRPr="001B650D">
              <w:rPr>
                <w:rFonts w:cs="Arial"/>
                <w:color w:val="FF0000"/>
              </w:rPr>
              <w:t>No more than 1 major incident per quarter needing technical guidance</w:t>
            </w:r>
          </w:p>
        </w:tc>
        <w:tc>
          <w:tcPr>
            <w:tcW w:w="1134" w:type="dxa"/>
          </w:tcPr>
          <w:p w14:paraId="54A4E574" w14:textId="5E73C651" w:rsidR="009A2964" w:rsidRPr="001B650D" w:rsidRDefault="009A2964" w:rsidP="00FA59F9">
            <w:pPr>
              <w:ind w:left="0" w:firstLine="0"/>
              <w:jc w:val="left"/>
              <w:rPr>
                <w:rFonts w:cs="Arial"/>
                <w:color w:val="FF0000"/>
              </w:rPr>
            </w:pPr>
            <w:r w:rsidRPr="001B650D">
              <w:rPr>
                <w:rFonts w:cs="Arial"/>
                <w:color w:val="FF0000"/>
              </w:rPr>
              <w:t>No more than 2 major incidents per quarter needing technical guidance</w:t>
            </w:r>
          </w:p>
        </w:tc>
        <w:tc>
          <w:tcPr>
            <w:tcW w:w="1275" w:type="dxa"/>
          </w:tcPr>
          <w:p w14:paraId="55037A8A" w14:textId="212D85C4" w:rsidR="009A2964" w:rsidRPr="00BB50F2" w:rsidRDefault="009A2964" w:rsidP="00F8293A">
            <w:pPr>
              <w:jc w:val="left"/>
              <w:rPr>
                <w:rFonts w:cs="Arial"/>
                <w:highlight w:val="yellow"/>
              </w:rPr>
            </w:pPr>
            <w:r w:rsidRPr="000C516C">
              <w:rPr>
                <w:rFonts w:cs="Arial"/>
              </w:rPr>
              <w:t>10</w:t>
            </w:r>
            <w:r w:rsidR="003E2248">
              <w:rPr>
                <w:rFonts w:cs="Arial"/>
              </w:rPr>
              <w:t xml:space="preserve"> per Quarter</w:t>
            </w:r>
          </w:p>
        </w:tc>
      </w:tr>
      <w:tr w:rsidR="009A2964" w:rsidRPr="00BB50F2" w14:paraId="64949647" w14:textId="77777777" w:rsidTr="00FA59F9">
        <w:tc>
          <w:tcPr>
            <w:tcW w:w="704" w:type="dxa"/>
          </w:tcPr>
          <w:p w14:paraId="4B084B28" w14:textId="77777777" w:rsidR="009A2964" w:rsidRPr="00BB50F2" w:rsidRDefault="009A2964" w:rsidP="00F8293A">
            <w:pPr>
              <w:keepNext/>
              <w:jc w:val="left"/>
              <w:rPr>
                <w:rFonts w:cs="Arial"/>
              </w:rPr>
            </w:pPr>
            <w:r w:rsidRPr="00BB50F2">
              <w:rPr>
                <w:rFonts w:cs="Arial"/>
              </w:rPr>
              <w:t>Q-2</w:t>
            </w:r>
          </w:p>
        </w:tc>
        <w:tc>
          <w:tcPr>
            <w:tcW w:w="1276" w:type="dxa"/>
          </w:tcPr>
          <w:p w14:paraId="18382935" w14:textId="77777777" w:rsidR="009A2964" w:rsidRPr="00BB50F2" w:rsidRDefault="009A2964" w:rsidP="00F57B9A">
            <w:pPr>
              <w:ind w:left="0" w:firstLine="0"/>
              <w:jc w:val="left"/>
              <w:rPr>
                <w:rFonts w:cs="Arial"/>
              </w:rPr>
            </w:pPr>
            <w:r w:rsidRPr="00BB50F2">
              <w:rPr>
                <w:rFonts w:cs="Arial"/>
              </w:rPr>
              <w:t>Supplier Staff Churn</w:t>
            </w:r>
          </w:p>
        </w:tc>
        <w:tc>
          <w:tcPr>
            <w:tcW w:w="1276" w:type="dxa"/>
          </w:tcPr>
          <w:p w14:paraId="3D9195DE" w14:textId="77777777" w:rsidR="009A2964" w:rsidRPr="00BB50F2" w:rsidRDefault="009A2964" w:rsidP="00F8293A">
            <w:pPr>
              <w:keepNext/>
              <w:jc w:val="left"/>
              <w:rPr>
                <w:rFonts w:cs="Arial"/>
              </w:rPr>
            </w:pPr>
            <w:r w:rsidRPr="00BB50F2">
              <w:rPr>
                <w:rFonts w:cs="Arial"/>
              </w:rPr>
              <w:t>Continuous</w:t>
            </w:r>
          </w:p>
        </w:tc>
        <w:tc>
          <w:tcPr>
            <w:tcW w:w="2126" w:type="dxa"/>
          </w:tcPr>
          <w:p w14:paraId="152F47A8" w14:textId="77777777" w:rsidR="009A2964" w:rsidRPr="00BB50F2" w:rsidRDefault="009A2964" w:rsidP="00F57B9A">
            <w:pPr>
              <w:ind w:left="0" w:firstLine="0"/>
              <w:jc w:val="left"/>
              <w:rPr>
                <w:rFonts w:cs="Arial"/>
              </w:rPr>
            </w:pPr>
            <w:r w:rsidRPr="00BB50F2">
              <w:rPr>
                <w:rFonts w:cs="Arial"/>
              </w:rPr>
              <w:t xml:space="preserve">Percentage of Supplier team (non-shared resources) who remain allocated to NRT account on rolling </w:t>
            </w:r>
            <w:proofErr w:type="gramStart"/>
            <w:r w:rsidRPr="00BB50F2">
              <w:rPr>
                <w:rFonts w:cs="Arial"/>
              </w:rPr>
              <w:t>three month</w:t>
            </w:r>
            <w:proofErr w:type="gramEnd"/>
            <w:r w:rsidRPr="00BB50F2">
              <w:rPr>
                <w:rFonts w:cs="Arial"/>
              </w:rPr>
              <w:t xml:space="preserve"> basis</w:t>
            </w:r>
          </w:p>
        </w:tc>
        <w:tc>
          <w:tcPr>
            <w:tcW w:w="1276" w:type="dxa"/>
          </w:tcPr>
          <w:p w14:paraId="51DCC1FC" w14:textId="77777777" w:rsidR="009A2964" w:rsidRPr="00BB50F2" w:rsidRDefault="009A2964" w:rsidP="00FA59F9">
            <w:pPr>
              <w:ind w:left="0" w:firstLine="0"/>
              <w:jc w:val="left"/>
              <w:rPr>
                <w:rFonts w:cs="Arial"/>
              </w:rPr>
            </w:pPr>
            <w:r w:rsidRPr="00BB50F2">
              <w:rPr>
                <w:rFonts w:cs="Arial"/>
              </w:rPr>
              <w:t>85% Onshore.  75% Offshore.</w:t>
            </w:r>
          </w:p>
          <w:p w14:paraId="1D0AC51A" w14:textId="77777777" w:rsidR="009A2964" w:rsidRPr="00BB50F2" w:rsidRDefault="009A2964" w:rsidP="00F8293A">
            <w:pPr>
              <w:keepNext/>
              <w:jc w:val="left"/>
              <w:rPr>
                <w:rFonts w:cs="Arial"/>
              </w:rPr>
            </w:pPr>
          </w:p>
          <w:p w14:paraId="41384725" w14:textId="77777777" w:rsidR="009A2964" w:rsidRPr="00BB50F2" w:rsidRDefault="009A2964" w:rsidP="00F8293A">
            <w:pPr>
              <w:keepNext/>
              <w:jc w:val="left"/>
              <w:rPr>
                <w:rFonts w:cs="Arial"/>
              </w:rPr>
            </w:pPr>
          </w:p>
        </w:tc>
        <w:tc>
          <w:tcPr>
            <w:tcW w:w="1134" w:type="dxa"/>
          </w:tcPr>
          <w:p w14:paraId="270E21F9" w14:textId="77777777" w:rsidR="009A2964" w:rsidRPr="00BB50F2" w:rsidRDefault="009A2964" w:rsidP="00FA59F9">
            <w:pPr>
              <w:ind w:left="0" w:firstLine="0"/>
              <w:jc w:val="left"/>
              <w:rPr>
                <w:rFonts w:cs="Arial"/>
              </w:rPr>
            </w:pPr>
            <w:r w:rsidRPr="00BB50F2">
              <w:rPr>
                <w:rFonts w:cs="Arial"/>
              </w:rPr>
              <w:t>80% Onshore, 70% Offshore</w:t>
            </w:r>
          </w:p>
          <w:p w14:paraId="643A0487" w14:textId="77777777" w:rsidR="009A2964" w:rsidRPr="00BB50F2" w:rsidRDefault="009A2964" w:rsidP="00FA59F9">
            <w:pPr>
              <w:ind w:left="0" w:firstLine="0"/>
              <w:jc w:val="left"/>
              <w:rPr>
                <w:rFonts w:cs="Arial"/>
              </w:rPr>
            </w:pPr>
          </w:p>
        </w:tc>
        <w:tc>
          <w:tcPr>
            <w:tcW w:w="1275" w:type="dxa"/>
          </w:tcPr>
          <w:p w14:paraId="20CC9C4A" w14:textId="77777777" w:rsidR="009A2964" w:rsidRPr="00BB50F2" w:rsidRDefault="009A2964" w:rsidP="00F8293A">
            <w:pPr>
              <w:jc w:val="left"/>
              <w:rPr>
                <w:rFonts w:cs="Arial"/>
              </w:rPr>
            </w:pPr>
            <w:r w:rsidRPr="00BB50F2">
              <w:rPr>
                <w:rFonts w:cs="Arial"/>
              </w:rPr>
              <w:t>0%</w:t>
            </w:r>
          </w:p>
        </w:tc>
      </w:tr>
      <w:tr w:rsidR="009A2964" w:rsidRPr="00BB50F2" w14:paraId="47D93A29" w14:textId="77777777" w:rsidTr="00FA59F9">
        <w:tc>
          <w:tcPr>
            <w:tcW w:w="704" w:type="dxa"/>
          </w:tcPr>
          <w:p w14:paraId="33560201" w14:textId="77777777" w:rsidR="009A2964" w:rsidRPr="00BB50F2" w:rsidRDefault="009A2964" w:rsidP="00F8293A">
            <w:pPr>
              <w:jc w:val="left"/>
              <w:rPr>
                <w:rFonts w:cs="Arial"/>
              </w:rPr>
            </w:pPr>
            <w:r w:rsidRPr="00BB50F2">
              <w:rPr>
                <w:rFonts w:cs="Arial"/>
              </w:rPr>
              <w:t>Q3</w:t>
            </w:r>
          </w:p>
        </w:tc>
        <w:tc>
          <w:tcPr>
            <w:tcW w:w="1276" w:type="dxa"/>
          </w:tcPr>
          <w:p w14:paraId="05979C89" w14:textId="77777777" w:rsidR="009A2964" w:rsidRPr="00BB50F2" w:rsidRDefault="009A2964" w:rsidP="00F57B9A">
            <w:pPr>
              <w:ind w:left="0" w:firstLine="0"/>
              <w:jc w:val="left"/>
              <w:rPr>
                <w:rFonts w:cs="Arial"/>
              </w:rPr>
            </w:pPr>
            <w:r w:rsidRPr="00BB50F2">
              <w:rPr>
                <w:rFonts w:cs="Arial"/>
              </w:rPr>
              <w:t>Contract Schedule 2.1 Non-compliance</w:t>
            </w:r>
          </w:p>
        </w:tc>
        <w:tc>
          <w:tcPr>
            <w:tcW w:w="1276" w:type="dxa"/>
          </w:tcPr>
          <w:p w14:paraId="245CE1C7" w14:textId="77777777" w:rsidR="009A2964" w:rsidRPr="00BB50F2" w:rsidRDefault="009A2964" w:rsidP="00F8293A">
            <w:pPr>
              <w:jc w:val="left"/>
              <w:rPr>
                <w:rFonts w:cs="Arial"/>
              </w:rPr>
            </w:pPr>
            <w:r w:rsidRPr="00BB50F2">
              <w:rPr>
                <w:rFonts w:cs="Arial"/>
              </w:rPr>
              <w:t>Continuous</w:t>
            </w:r>
          </w:p>
        </w:tc>
        <w:tc>
          <w:tcPr>
            <w:tcW w:w="2126" w:type="dxa"/>
          </w:tcPr>
          <w:p w14:paraId="1A4E5701" w14:textId="7E2CACD3" w:rsidR="009A2964" w:rsidRPr="00BB50F2" w:rsidRDefault="009A2964" w:rsidP="00F57B9A">
            <w:pPr>
              <w:ind w:left="0" w:firstLine="0"/>
              <w:jc w:val="left"/>
              <w:rPr>
                <w:rFonts w:cs="Arial"/>
              </w:rPr>
            </w:pPr>
            <w:r w:rsidRPr="00BB50F2">
              <w:rPr>
                <w:rFonts w:cs="Arial"/>
              </w:rPr>
              <w:t xml:space="preserve">Number of key non-compliance instances of Schedule 2.1 by the </w:t>
            </w:r>
            <w:r w:rsidRPr="00BB50F2">
              <w:rPr>
                <w:rFonts w:cs="Arial"/>
              </w:rPr>
              <w:lastRenderedPageBreak/>
              <w:t xml:space="preserve">Supplier in a month evidenced by </w:t>
            </w:r>
            <w:proofErr w:type="spellStart"/>
            <w:r w:rsidR="001F1C19">
              <w:rPr>
                <w:rFonts w:cs="Arial"/>
              </w:rPr>
              <w:t>Netlink</w:t>
            </w:r>
            <w:proofErr w:type="spellEnd"/>
            <w:r w:rsidR="001F1C19">
              <w:rPr>
                <w:rFonts w:cs="Arial"/>
              </w:rPr>
              <w:t xml:space="preserve"> Star</w:t>
            </w:r>
          </w:p>
        </w:tc>
        <w:tc>
          <w:tcPr>
            <w:tcW w:w="1276" w:type="dxa"/>
          </w:tcPr>
          <w:p w14:paraId="4A6C6E52" w14:textId="77777777" w:rsidR="009A2964" w:rsidRPr="00BB50F2" w:rsidRDefault="009A2964" w:rsidP="00F8293A">
            <w:pPr>
              <w:jc w:val="left"/>
              <w:rPr>
                <w:rFonts w:cs="Arial"/>
              </w:rPr>
            </w:pPr>
            <w:r w:rsidRPr="00BB50F2">
              <w:rPr>
                <w:rFonts w:cs="Arial"/>
              </w:rPr>
              <w:lastRenderedPageBreak/>
              <w:t>0</w:t>
            </w:r>
          </w:p>
        </w:tc>
        <w:tc>
          <w:tcPr>
            <w:tcW w:w="1134" w:type="dxa"/>
          </w:tcPr>
          <w:p w14:paraId="3CD11907" w14:textId="77777777" w:rsidR="009A2964" w:rsidRPr="00BB50F2" w:rsidRDefault="009A2964" w:rsidP="00F8293A">
            <w:pPr>
              <w:jc w:val="left"/>
              <w:rPr>
                <w:rFonts w:cs="Arial"/>
              </w:rPr>
            </w:pPr>
            <w:r w:rsidRPr="00BB50F2">
              <w:rPr>
                <w:rFonts w:cs="Arial"/>
              </w:rPr>
              <w:t>2</w:t>
            </w:r>
          </w:p>
        </w:tc>
        <w:tc>
          <w:tcPr>
            <w:tcW w:w="1275" w:type="dxa"/>
          </w:tcPr>
          <w:p w14:paraId="3CBA0832" w14:textId="77777777" w:rsidR="009A2964" w:rsidRPr="00BB50F2" w:rsidRDefault="009A2964" w:rsidP="00F8293A">
            <w:pPr>
              <w:jc w:val="left"/>
              <w:rPr>
                <w:rFonts w:cs="Arial"/>
              </w:rPr>
            </w:pPr>
            <w:r w:rsidRPr="00BB50F2">
              <w:rPr>
                <w:rFonts w:cs="Arial"/>
              </w:rPr>
              <w:t>10</w:t>
            </w:r>
          </w:p>
        </w:tc>
      </w:tr>
    </w:tbl>
    <w:p w14:paraId="4FF34730" w14:textId="77777777" w:rsidR="009A2964" w:rsidRPr="00BB50F2" w:rsidRDefault="009A2964" w:rsidP="00F8293A">
      <w:pPr>
        <w:pStyle w:val="Caption"/>
        <w:ind w:left="0"/>
        <w:jc w:val="left"/>
        <w:rPr>
          <w:rFonts w:ascii="Arial" w:hAnsi="Arial" w:cs="Arial"/>
        </w:rPr>
      </w:pPr>
      <w:r w:rsidRPr="00BB50F2">
        <w:rPr>
          <w:rFonts w:ascii="Arial" w:hAnsi="Arial" w:cs="Arial"/>
        </w:rPr>
        <w:t xml:space="preserve">Table </w:t>
      </w:r>
      <w:r w:rsidRPr="00BB50F2">
        <w:rPr>
          <w:rFonts w:ascii="Arial" w:hAnsi="Arial" w:cs="Arial"/>
        </w:rPr>
        <w:fldChar w:fldCharType="begin"/>
      </w:r>
      <w:r w:rsidRPr="00BB50F2">
        <w:rPr>
          <w:rFonts w:ascii="Arial" w:hAnsi="Arial" w:cs="Arial"/>
        </w:rPr>
        <w:instrText xml:space="preserve"> SEQ Table \* ARABIC </w:instrText>
      </w:r>
      <w:r w:rsidRPr="00BB50F2">
        <w:rPr>
          <w:rFonts w:ascii="Arial" w:hAnsi="Arial" w:cs="Arial"/>
        </w:rPr>
        <w:fldChar w:fldCharType="separate"/>
      </w:r>
      <w:r w:rsidRPr="00BB50F2">
        <w:rPr>
          <w:rFonts w:ascii="Arial" w:hAnsi="Arial" w:cs="Arial"/>
          <w:noProof/>
        </w:rPr>
        <w:t>1</w:t>
      </w:r>
      <w:r w:rsidRPr="00BB50F2">
        <w:rPr>
          <w:rFonts w:ascii="Arial" w:hAnsi="Arial" w:cs="Arial"/>
          <w:noProof/>
        </w:rPr>
        <w:fldChar w:fldCharType="end"/>
      </w:r>
      <w:r w:rsidRPr="00BB50F2">
        <w:rPr>
          <w:rFonts w:ascii="Arial" w:hAnsi="Arial" w:cs="Arial"/>
          <w:noProof/>
        </w:rPr>
        <w:t xml:space="preserve"> </w:t>
      </w:r>
      <w:r w:rsidRPr="00BB50F2">
        <w:rPr>
          <w:rFonts w:ascii="Arial" w:hAnsi="Arial" w:cs="Arial"/>
        </w:rPr>
        <w:t>Summary of Service Levels first year of Service</w:t>
      </w:r>
    </w:p>
    <w:tbl>
      <w:tblPr>
        <w:tblStyle w:val="TableGrid0"/>
        <w:tblW w:w="0" w:type="auto"/>
        <w:tblLook w:val="04A0" w:firstRow="1" w:lastRow="0" w:firstColumn="1" w:lastColumn="0" w:noHBand="0" w:noVBand="1"/>
      </w:tblPr>
      <w:tblGrid>
        <w:gridCol w:w="4508"/>
        <w:gridCol w:w="4508"/>
      </w:tblGrid>
      <w:tr w:rsidR="003E2248" w:rsidRPr="001E402B" w14:paraId="08014C64" w14:textId="77777777" w:rsidTr="003E2248">
        <w:tc>
          <w:tcPr>
            <w:tcW w:w="4508" w:type="dxa"/>
          </w:tcPr>
          <w:p w14:paraId="33BA34D6" w14:textId="77777777" w:rsidR="003E2248" w:rsidRPr="001E402B" w:rsidRDefault="003E2248" w:rsidP="003E2248">
            <w:pPr>
              <w:rPr>
                <w:rFonts w:ascii="Arial" w:hAnsi="Arial" w:cs="Arial"/>
              </w:rPr>
            </w:pPr>
            <w:r w:rsidRPr="001E402B">
              <w:rPr>
                <w:rFonts w:ascii="Arial" w:hAnsi="Arial" w:cs="Arial"/>
              </w:rPr>
              <w:t>Service Component type</w:t>
            </w:r>
          </w:p>
        </w:tc>
        <w:tc>
          <w:tcPr>
            <w:tcW w:w="4508" w:type="dxa"/>
          </w:tcPr>
          <w:p w14:paraId="0989D6C7" w14:textId="77777777" w:rsidR="003E2248" w:rsidRPr="001E402B" w:rsidRDefault="003E2248" w:rsidP="003E2248">
            <w:pPr>
              <w:rPr>
                <w:rFonts w:ascii="Arial" w:hAnsi="Arial" w:cs="Arial"/>
              </w:rPr>
            </w:pPr>
            <w:r w:rsidRPr="001E402B">
              <w:rPr>
                <w:rFonts w:ascii="Arial" w:hAnsi="Arial" w:cs="Arial"/>
              </w:rPr>
              <w:t>Availability target</w:t>
            </w:r>
          </w:p>
        </w:tc>
      </w:tr>
      <w:tr w:rsidR="003E2248" w:rsidRPr="001E402B" w14:paraId="0DCC7DC5" w14:textId="77777777" w:rsidTr="003E2248">
        <w:tc>
          <w:tcPr>
            <w:tcW w:w="4508" w:type="dxa"/>
          </w:tcPr>
          <w:p w14:paraId="34DC3F5E" w14:textId="77777777" w:rsidR="003E2248" w:rsidRPr="001E402B" w:rsidRDefault="003E2248" w:rsidP="003E2248">
            <w:pPr>
              <w:rPr>
                <w:rFonts w:ascii="Arial" w:hAnsi="Arial" w:cs="Arial"/>
              </w:rPr>
            </w:pPr>
            <w:r w:rsidRPr="001E402B">
              <w:rPr>
                <w:rFonts w:ascii="Arial" w:hAnsi="Arial" w:cs="Arial"/>
              </w:rPr>
              <w:t>Data Storage (SAN)</w:t>
            </w:r>
          </w:p>
        </w:tc>
        <w:tc>
          <w:tcPr>
            <w:tcW w:w="4508" w:type="dxa"/>
          </w:tcPr>
          <w:p w14:paraId="0077C4FB" w14:textId="77777777" w:rsidR="003E2248" w:rsidRPr="001E402B" w:rsidRDefault="003E2248" w:rsidP="003E2248">
            <w:pPr>
              <w:rPr>
                <w:rFonts w:ascii="Arial" w:hAnsi="Arial" w:cs="Arial"/>
              </w:rPr>
            </w:pPr>
            <w:r w:rsidRPr="001E402B">
              <w:rPr>
                <w:rFonts w:ascii="Arial" w:hAnsi="Arial" w:cs="Arial"/>
              </w:rPr>
              <w:t>99.999%</w:t>
            </w:r>
          </w:p>
        </w:tc>
      </w:tr>
      <w:tr w:rsidR="003E2248" w:rsidRPr="001E402B" w14:paraId="78674481" w14:textId="77777777" w:rsidTr="003E2248">
        <w:tc>
          <w:tcPr>
            <w:tcW w:w="4508" w:type="dxa"/>
          </w:tcPr>
          <w:p w14:paraId="7901A4F6" w14:textId="77777777" w:rsidR="003E2248" w:rsidRPr="001E402B" w:rsidRDefault="003E2248" w:rsidP="003E2248">
            <w:pPr>
              <w:rPr>
                <w:rFonts w:ascii="Arial" w:hAnsi="Arial" w:cs="Arial"/>
              </w:rPr>
            </w:pPr>
            <w:r w:rsidRPr="001E402B">
              <w:rPr>
                <w:rFonts w:ascii="Arial" w:hAnsi="Arial" w:cs="Arial"/>
              </w:rPr>
              <w:t>Virtual Server</w:t>
            </w:r>
          </w:p>
        </w:tc>
        <w:tc>
          <w:tcPr>
            <w:tcW w:w="4508" w:type="dxa"/>
          </w:tcPr>
          <w:p w14:paraId="4F227820" w14:textId="77777777" w:rsidR="003E2248" w:rsidRPr="001E402B" w:rsidRDefault="003E2248" w:rsidP="003E2248">
            <w:pPr>
              <w:rPr>
                <w:rFonts w:ascii="Arial" w:hAnsi="Arial" w:cs="Arial"/>
              </w:rPr>
            </w:pPr>
            <w:r w:rsidRPr="001E402B">
              <w:rPr>
                <w:rFonts w:ascii="Arial" w:hAnsi="Arial" w:cs="Arial"/>
              </w:rPr>
              <w:t>99.99%</w:t>
            </w:r>
          </w:p>
        </w:tc>
      </w:tr>
      <w:tr w:rsidR="003E2248" w:rsidRPr="001E402B" w14:paraId="4B50D9FC" w14:textId="77777777" w:rsidTr="003E2248">
        <w:tc>
          <w:tcPr>
            <w:tcW w:w="4508" w:type="dxa"/>
          </w:tcPr>
          <w:p w14:paraId="2CBC03BF" w14:textId="77777777" w:rsidR="003E2248" w:rsidRPr="001E402B" w:rsidRDefault="003E2248" w:rsidP="003E2248">
            <w:pPr>
              <w:rPr>
                <w:rFonts w:ascii="Arial" w:hAnsi="Arial" w:cs="Arial"/>
              </w:rPr>
            </w:pPr>
            <w:r w:rsidRPr="001E402B">
              <w:rPr>
                <w:rFonts w:ascii="Arial" w:hAnsi="Arial" w:cs="Arial"/>
              </w:rPr>
              <w:t>DC LAN</w:t>
            </w:r>
          </w:p>
        </w:tc>
        <w:tc>
          <w:tcPr>
            <w:tcW w:w="4508" w:type="dxa"/>
          </w:tcPr>
          <w:p w14:paraId="43E88C08" w14:textId="77777777" w:rsidR="003E2248" w:rsidRPr="001E402B" w:rsidRDefault="003E2248" w:rsidP="003E2248">
            <w:pPr>
              <w:rPr>
                <w:rFonts w:ascii="Arial" w:hAnsi="Arial" w:cs="Arial"/>
              </w:rPr>
            </w:pPr>
            <w:r w:rsidRPr="001E402B">
              <w:rPr>
                <w:rFonts w:ascii="Arial" w:hAnsi="Arial" w:cs="Arial"/>
              </w:rPr>
              <w:t>99.99%</w:t>
            </w:r>
          </w:p>
        </w:tc>
      </w:tr>
      <w:tr w:rsidR="003E2248" w:rsidRPr="001E402B" w14:paraId="444A4763" w14:textId="77777777" w:rsidTr="003E2248">
        <w:tc>
          <w:tcPr>
            <w:tcW w:w="4508" w:type="dxa"/>
          </w:tcPr>
          <w:p w14:paraId="77C77288" w14:textId="77777777" w:rsidR="003E2248" w:rsidRPr="001E402B" w:rsidRDefault="003E2248" w:rsidP="003E2248">
            <w:pPr>
              <w:rPr>
                <w:rFonts w:ascii="Arial" w:hAnsi="Arial" w:cs="Arial"/>
              </w:rPr>
            </w:pPr>
            <w:r w:rsidRPr="001E402B">
              <w:rPr>
                <w:rFonts w:ascii="Arial" w:hAnsi="Arial" w:cs="Arial"/>
              </w:rPr>
              <w:t>Database</w:t>
            </w:r>
          </w:p>
        </w:tc>
        <w:tc>
          <w:tcPr>
            <w:tcW w:w="4508" w:type="dxa"/>
          </w:tcPr>
          <w:p w14:paraId="3981D161" w14:textId="77777777" w:rsidR="003E2248" w:rsidRPr="001E402B" w:rsidRDefault="003E2248" w:rsidP="003E2248">
            <w:pPr>
              <w:rPr>
                <w:rFonts w:ascii="Arial" w:hAnsi="Arial" w:cs="Arial"/>
              </w:rPr>
            </w:pPr>
            <w:r w:rsidRPr="001E402B">
              <w:rPr>
                <w:rFonts w:ascii="Arial" w:hAnsi="Arial" w:cs="Arial"/>
              </w:rPr>
              <w:t>99.9%</w:t>
            </w:r>
          </w:p>
        </w:tc>
      </w:tr>
      <w:tr w:rsidR="003E2248" w:rsidRPr="005E57EF" w14:paraId="2C18148C" w14:textId="77777777" w:rsidTr="003E2248">
        <w:tc>
          <w:tcPr>
            <w:tcW w:w="4508" w:type="dxa"/>
          </w:tcPr>
          <w:p w14:paraId="70A16FF0" w14:textId="77777777" w:rsidR="003E2248" w:rsidRPr="001E402B" w:rsidRDefault="003E2248" w:rsidP="003E2248">
            <w:pPr>
              <w:rPr>
                <w:rFonts w:ascii="Arial" w:hAnsi="Arial" w:cs="Arial"/>
              </w:rPr>
            </w:pPr>
            <w:r w:rsidRPr="001E402B">
              <w:rPr>
                <w:rFonts w:ascii="Arial" w:hAnsi="Arial" w:cs="Arial"/>
              </w:rPr>
              <w:t>Web Server</w:t>
            </w:r>
          </w:p>
        </w:tc>
        <w:tc>
          <w:tcPr>
            <w:tcW w:w="4508" w:type="dxa"/>
          </w:tcPr>
          <w:p w14:paraId="7C503542" w14:textId="77777777" w:rsidR="003E2248" w:rsidRPr="001E402B" w:rsidRDefault="003E2248" w:rsidP="003E2248">
            <w:pPr>
              <w:rPr>
                <w:rFonts w:ascii="Arial" w:hAnsi="Arial" w:cs="Arial"/>
              </w:rPr>
            </w:pPr>
            <w:r w:rsidRPr="001E402B">
              <w:rPr>
                <w:rFonts w:ascii="Arial" w:hAnsi="Arial" w:cs="Arial"/>
              </w:rPr>
              <w:t>99.9%</w:t>
            </w:r>
          </w:p>
        </w:tc>
      </w:tr>
      <w:tr w:rsidR="003E2248" w:rsidRPr="001E402B" w14:paraId="6EB4C25F" w14:textId="77777777" w:rsidTr="003E2248">
        <w:tc>
          <w:tcPr>
            <w:tcW w:w="4508" w:type="dxa"/>
          </w:tcPr>
          <w:p w14:paraId="32D9042B" w14:textId="77777777" w:rsidR="003E2248" w:rsidRPr="001E402B" w:rsidRDefault="003E2248" w:rsidP="003E2248">
            <w:pPr>
              <w:rPr>
                <w:rFonts w:ascii="Arial" w:hAnsi="Arial" w:cs="Arial"/>
              </w:rPr>
            </w:pPr>
            <w:r w:rsidRPr="001E402B">
              <w:rPr>
                <w:rFonts w:ascii="Arial" w:hAnsi="Arial" w:cs="Arial"/>
              </w:rPr>
              <w:t>Active Directory</w:t>
            </w:r>
          </w:p>
        </w:tc>
        <w:tc>
          <w:tcPr>
            <w:tcW w:w="4508" w:type="dxa"/>
          </w:tcPr>
          <w:p w14:paraId="4A81C022" w14:textId="77777777" w:rsidR="003E2248" w:rsidRPr="001E402B" w:rsidRDefault="003E2248" w:rsidP="003E2248">
            <w:pPr>
              <w:rPr>
                <w:rFonts w:ascii="Arial" w:hAnsi="Arial" w:cs="Arial"/>
              </w:rPr>
            </w:pPr>
            <w:r w:rsidRPr="001E402B">
              <w:rPr>
                <w:rFonts w:ascii="Arial" w:hAnsi="Arial" w:cs="Arial"/>
              </w:rPr>
              <w:t>99.99%</w:t>
            </w:r>
          </w:p>
        </w:tc>
      </w:tr>
      <w:tr w:rsidR="003E2248" w:rsidRPr="001E402B" w14:paraId="1DB76A19" w14:textId="77777777" w:rsidTr="003E2248">
        <w:tc>
          <w:tcPr>
            <w:tcW w:w="4508" w:type="dxa"/>
          </w:tcPr>
          <w:p w14:paraId="2791B78A" w14:textId="77777777" w:rsidR="003E2248" w:rsidRPr="001E402B" w:rsidRDefault="003E2248" w:rsidP="003E2248">
            <w:pPr>
              <w:rPr>
                <w:rFonts w:ascii="Arial" w:hAnsi="Arial" w:cs="Arial"/>
              </w:rPr>
            </w:pPr>
            <w:r w:rsidRPr="001E402B">
              <w:rPr>
                <w:rFonts w:ascii="Arial" w:hAnsi="Arial" w:cs="Arial"/>
              </w:rPr>
              <w:t xml:space="preserve">Virtual Desktop Interface </w:t>
            </w:r>
          </w:p>
        </w:tc>
        <w:tc>
          <w:tcPr>
            <w:tcW w:w="4508" w:type="dxa"/>
          </w:tcPr>
          <w:p w14:paraId="1C3AFAE2" w14:textId="77777777" w:rsidR="003E2248" w:rsidRPr="001E402B" w:rsidRDefault="003E2248" w:rsidP="003E2248">
            <w:pPr>
              <w:rPr>
                <w:rFonts w:ascii="Arial" w:hAnsi="Arial" w:cs="Arial"/>
              </w:rPr>
            </w:pPr>
            <w:r w:rsidRPr="001E402B">
              <w:rPr>
                <w:rFonts w:ascii="Arial" w:hAnsi="Arial" w:cs="Arial"/>
              </w:rPr>
              <w:t>99.99%</w:t>
            </w:r>
          </w:p>
        </w:tc>
      </w:tr>
    </w:tbl>
    <w:p w14:paraId="206E0B30" w14:textId="77777777" w:rsidR="003E2248" w:rsidRPr="001E402B" w:rsidRDefault="003E2248" w:rsidP="003E2248">
      <w:pPr>
        <w:rPr>
          <w:rFonts w:cs="Arial"/>
        </w:rPr>
      </w:pPr>
    </w:p>
    <w:p w14:paraId="74076C34" w14:textId="38AFFC91" w:rsidR="003E2248" w:rsidRDefault="003E2248" w:rsidP="003E2248">
      <w:pPr>
        <w:rPr>
          <w:rFonts w:cs="Arial"/>
        </w:rPr>
      </w:pPr>
      <w:r w:rsidRPr="001E402B">
        <w:rPr>
          <w:rFonts w:cs="Arial"/>
        </w:rPr>
        <w:t>Table N</w:t>
      </w:r>
      <w:r w:rsidRPr="001E402B">
        <w:rPr>
          <w:rFonts w:cs="Arial"/>
          <w:noProof/>
        </w:rPr>
        <w:t xml:space="preserve"> </w:t>
      </w:r>
      <w:r w:rsidRPr="001E402B">
        <w:rPr>
          <w:rFonts w:cs="Arial"/>
        </w:rPr>
        <w:t>Summary of Service Component Availability target</w:t>
      </w:r>
    </w:p>
    <w:p w14:paraId="4513379A" w14:textId="77777777" w:rsidR="009A2964" w:rsidRPr="00BB50F2" w:rsidRDefault="009A2964" w:rsidP="003E2248">
      <w:pPr>
        <w:ind w:left="0" w:firstLine="0"/>
        <w:jc w:val="left"/>
        <w:rPr>
          <w:rFonts w:cs="Arial"/>
        </w:rPr>
      </w:pPr>
      <w:r w:rsidRPr="00BB50F2">
        <w:rPr>
          <w:rFonts w:cs="Arial"/>
        </w:rPr>
        <w:br w:type="page"/>
      </w:r>
    </w:p>
    <w:p w14:paraId="0D48F91F" w14:textId="1A8C0052"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hAnsi="Arial" w:cs="Arial"/>
        </w:rPr>
        <w:lastRenderedPageBreak/>
        <w:t>The Incident Priority Levels are defined according to Table 2</w:t>
      </w:r>
      <w:r>
        <w:rPr>
          <w:rFonts w:ascii="Arial" w:hAnsi="Arial" w:cs="Arial"/>
        </w:rPr>
        <w:t>:</w:t>
      </w:r>
    </w:p>
    <w:tbl>
      <w:tblPr>
        <w:tblStyle w:val="TableGrid0"/>
        <w:tblW w:w="0" w:type="auto"/>
        <w:tblLook w:val="04A0" w:firstRow="1" w:lastRow="0" w:firstColumn="1" w:lastColumn="0" w:noHBand="0" w:noVBand="1"/>
      </w:tblPr>
      <w:tblGrid>
        <w:gridCol w:w="1515"/>
        <w:gridCol w:w="2290"/>
        <w:gridCol w:w="2034"/>
        <w:gridCol w:w="1687"/>
        <w:gridCol w:w="1490"/>
      </w:tblGrid>
      <w:tr w:rsidR="009A2964" w:rsidRPr="006B0C32" w14:paraId="4C963B7D" w14:textId="77777777" w:rsidTr="009C4051">
        <w:trPr>
          <w:trHeight w:val="424"/>
        </w:trPr>
        <w:tc>
          <w:tcPr>
            <w:tcW w:w="1515" w:type="dxa"/>
          </w:tcPr>
          <w:p w14:paraId="4389DC80" w14:textId="77777777" w:rsidR="009A2964" w:rsidRPr="006B0C32" w:rsidRDefault="009A2964" w:rsidP="00F8293A">
            <w:pPr>
              <w:pStyle w:val="Level3"/>
              <w:numPr>
                <w:ilvl w:val="0"/>
                <w:numId w:val="0"/>
              </w:numPr>
              <w:spacing w:line="240" w:lineRule="auto"/>
              <w:rPr>
                <w:rFonts w:ascii="Arial" w:hAnsi="Arial" w:cs="Arial"/>
                <w:sz w:val="20"/>
              </w:rPr>
            </w:pPr>
          </w:p>
        </w:tc>
        <w:tc>
          <w:tcPr>
            <w:tcW w:w="2308" w:type="dxa"/>
          </w:tcPr>
          <w:p w14:paraId="1ADCE3DB" w14:textId="77777777" w:rsidR="009A2964" w:rsidRPr="006B0C32" w:rsidRDefault="009A2964" w:rsidP="00F8293A">
            <w:pPr>
              <w:pStyle w:val="Level3"/>
              <w:numPr>
                <w:ilvl w:val="0"/>
                <w:numId w:val="0"/>
              </w:numPr>
              <w:spacing w:line="240" w:lineRule="auto"/>
              <w:rPr>
                <w:rFonts w:ascii="Arial" w:hAnsi="Arial" w:cs="Arial"/>
                <w:sz w:val="20"/>
              </w:rPr>
            </w:pPr>
            <w:r w:rsidRPr="006B0C32">
              <w:rPr>
                <w:rFonts w:ascii="Arial" w:hAnsi="Arial" w:cs="Arial"/>
                <w:sz w:val="20"/>
              </w:rPr>
              <w:t xml:space="preserve">Priority </w:t>
            </w:r>
          </w:p>
          <w:p w14:paraId="271E1BBB" w14:textId="77777777" w:rsidR="009A2964" w:rsidRPr="006B0C32" w:rsidRDefault="009A2964" w:rsidP="00F8293A">
            <w:pPr>
              <w:pStyle w:val="Level3"/>
              <w:numPr>
                <w:ilvl w:val="0"/>
                <w:numId w:val="0"/>
              </w:numPr>
              <w:spacing w:line="240" w:lineRule="auto"/>
              <w:rPr>
                <w:rFonts w:ascii="Arial" w:hAnsi="Arial" w:cs="Arial"/>
                <w:sz w:val="20"/>
              </w:rPr>
            </w:pPr>
            <w:r w:rsidRPr="006B0C32">
              <w:rPr>
                <w:rFonts w:ascii="Arial" w:hAnsi="Arial" w:cs="Arial"/>
                <w:sz w:val="20"/>
              </w:rPr>
              <w:t>Level 1</w:t>
            </w:r>
          </w:p>
        </w:tc>
        <w:tc>
          <w:tcPr>
            <w:tcW w:w="2047" w:type="dxa"/>
          </w:tcPr>
          <w:p w14:paraId="491AA03C" w14:textId="77777777" w:rsidR="009A2964" w:rsidRPr="006B0C32" w:rsidRDefault="009A2964" w:rsidP="00F8293A">
            <w:pPr>
              <w:pStyle w:val="Level3"/>
              <w:numPr>
                <w:ilvl w:val="0"/>
                <w:numId w:val="0"/>
              </w:numPr>
              <w:spacing w:line="240" w:lineRule="auto"/>
              <w:rPr>
                <w:rFonts w:ascii="Arial" w:hAnsi="Arial" w:cs="Arial"/>
                <w:sz w:val="20"/>
              </w:rPr>
            </w:pPr>
            <w:r w:rsidRPr="006B0C32">
              <w:rPr>
                <w:rFonts w:ascii="Arial" w:hAnsi="Arial" w:cs="Arial"/>
                <w:sz w:val="20"/>
              </w:rPr>
              <w:t>Priority</w:t>
            </w:r>
          </w:p>
          <w:p w14:paraId="1D820CB1" w14:textId="77777777" w:rsidR="009A2964" w:rsidRPr="006B0C32" w:rsidRDefault="009A2964" w:rsidP="00F8293A">
            <w:pPr>
              <w:pStyle w:val="Level3"/>
              <w:numPr>
                <w:ilvl w:val="0"/>
                <w:numId w:val="0"/>
              </w:numPr>
              <w:spacing w:line="240" w:lineRule="auto"/>
              <w:rPr>
                <w:rFonts w:ascii="Arial" w:hAnsi="Arial" w:cs="Arial"/>
                <w:sz w:val="20"/>
              </w:rPr>
            </w:pPr>
            <w:r w:rsidRPr="006B0C32">
              <w:rPr>
                <w:rFonts w:ascii="Arial" w:hAnsi="Arial" w:cs="Arial"/>
                <w:sz w:val="20"/>
              </w:rPr>
              <w:t>Level 2</w:t>
            </w:r>
          </w:p>
        </w:tc>
        <w:tc>
          <w:tcPr>
            <w:tcW w:w="1693" w:type="dxa"/>
          </w:tcPr>
          <w:p w14:paraId="212DB58C" w14:textId="77777777" w:rsidR="009A2964" w:rsidRPr="006B0C32" w:rsidRDefault="009A2964" w:rsidP="009C4051">
            <w:pPr>
              <w:pStyle w:val="Level3"/>
              <w:numPr>
                <w:ilvl w:val="0"/>
                <w:numId w:val="0"/>
              </w:numPr>
              <w:spacing w:line="240" w:lineRule="auto"/>
              <w:rPr>
                <w:rFonts w:ascii="Arial" w:hAnsi="Arial" w:cs="Arial"/>
                <w:sz w:val="20"/>
              </w:rPr>
            </w:pPr>
            <w:r w:rsidRPr="006B0C32">
              <w:rPr>
                <w:rFonts w:ascii="Arial" w:hAnsi="Arial" w:cs="Arial"/>
                <w:sz w:val="20"/>
              </w:rPr>
              <w:t xml:space="preserve">Priority </w:t>
            </w:r>
          </w:p>
          <w:p w14:paraId="719A8E21" w14:textId="77777777" w:rsidR="009A2964" w:rsidRPr="006B0C32" w:rsidRDefault="009A2964" w:rsidP="009C4051">
            <w:pPr>
              <w:pStyle w:val="Level3"/>
              <w:numPr>
                <w:ilvl w:val="0"/>
                <w:numId w:val="0"/>
              </w:numPr>
              <w:spacing w:line="240" w:lineRule="auto"/>
              <w:rPr>
                <w:rFonts w:ascii="Arial" w:hAnsi="Arial" w:cs="Arial"/>
                <w:sz w:val="20"/>
              </w:rPr>
            </w:pPr>
            <w:r w:rsidRPr="006B0C32">
              <w:rPr>
                <w:rFonts w:ascii="Arial" w:hAnsi="Arial" w:cs="Arial"/>
                <w:sz w:val="20"/>
              </w:rPr>
              <w:t>Level 3</w:t>
            </w:r>
          </w:p>
        </w:tc>
        <w:tc>
          <w:tcPr>
            <w:tcW w:w="1498" w:type="dxa"/>
          </w:tcPr>
          <w:p w14:paraId="514B72C3" w14:textId="77777777" w:rsidR="009A2964" w:rsidRPr="006B0C32" w:rsidRDefault="009A2964" w:rsidP="009C4051">
            <w:pPr>
              <w:pStyle w:val="Level3"/>
              <w:numPr>
                <w:ilvl w:val="0"/>
                <w:numId w:val="0"/>
              </w:numPr>
              <w:spacing w:line="240" w:lineRule="auto"/>
              <w:rPr>
                <w:rFonts w:ascii="Arial" w:hAnsi="Arial" w:cs="Arial"/>
                <w:sz w:val="20"/>
              </w:rPr>
            </w:pPr>
            <w:r w:rsidRPr="006B0C32">
              <w:rPr>
                <w:rFonts w:ascii="Arial" w:hAnsi="Arial" w:cs="Arial"/>
                <w:sz w:val="20"/>
              </w:rPr>
              <w:t xml:space="preserve">Priority </w:t>
            </w:r>
          </w:p>
          <w:p w14:paraId="567E7689" w14:textId="77777777" w:rsidR="009A2964" w:rsidRPr="006B0C32" w:rsidRDefault="009A2964" w:rsidP="009C4051">
            <w:pPr>
              <w:pStyle w:val="Level3"/>
              <w:numPr>
                <w:ilvl w:val="0"/>
                <w:numId w:val="0"/>
              </w:numPr>
              <w:spacing w:line="240" w:lineRule="auto"/>
              <w:rPr>
                <w:rFonts w:ascii="Arial" w:hAnsi="Arial" w:cs="Arial"/>
                <w:sz w:val="20"/>
              </w:rPr>
            </w:pPr>
            <w:r w:rsidRPr="006B0C32">
              <w:rPr>
                <w:rFonts w:ascii="Arial" w:hAnsi="Arial" w:cs="Arial"/>
                <w:sz w:val="20"/>
              </w:rPr>
              <w:t>Level 4</w:t>
            </w:r>
          </w:p>
        </w:tc>
      </w:tr>
      <w:tr w:rsidR="009A2964" w:rsidRPr="006B0C32" w14:paraId="6629F098" w14:textId="77777777" w:rsidTr="009C4051">
        <w:tc>
          <w:tcPr>
            <w:tcW w:w="1515" w:type="dxa"/>
            <w:vMerge w:val="restart"/>
          </w:tcPr>
          <w:p w14:paraId="3A74FC75" w14:textId="77777777" w:rsidR="009A2964" w:rsidRPr="006B0C32" w:rsidRDefault="009A2964" w:rsidP="00F8293A">
            <w:pPr>
              <w:pStyle w:val="Body1"/>
              <w:spacing w:after="120"/>
              <w:rPr>
                <w:rFonts w:ascii="Arial" w:hAnsi="Arial" w:cs="Arial"/>
                <w:b/>
                <w:bCs/>
                <w:sz w:val="20"/>
              </w:rPr>
            </w:pPr>
          </w:p>
          <w:p w14:paraId="3505EA5F" w14:textId="77777777" w:rsidR="009A2964" w:rsidRPr="006B0C32" w:rsidRDefault="009A2964" w:rsidP="00F8293A">
            <w:pPr>
              <w:pStyle w:val="Body1"/>
              <w:spacing w:after="120"/>
              <w:rPr>
                <w:rFonts w:ascii="Arial" w:hAnsi="Arial" w:cs="Arial"/>
                <w:b/>
                <w:bCs/>
                <w:sz w:val="20"/>
              </w:rPr>
            </w:pPr>
          </w:p>
          <w:p w14:paraId="3EFD1E7F" w14:textId="77777777" w:rsidR="009A2964" w:rsidRPr="006B0C32" w:rsidRDefault="009A2964" w:rsidP="00F8293A">
            <w:pPr>
              <w:pStyle w:val="Body1"/>
              <w:spacing w:after="120"/>
              <w:rPr>
                <w:rFonts w:ascii="Arial" w:hAnsi="Arial" w:cs="Arial"/>
                <w:b/>
                <w:bCs/>
                <w:sz w:val="20"/>
              </w:rPr>
            </w:pPr>
          </w:p>
          <w:p w14:paraId="0F87BBC4" w14:textId="77777777" w:rsidR="009A2964" w:rsidRPr="006B0C32" w:rsidRDefault="009A2964" w:rsidP="00F8293A">
            <w:pPr>
              <w:pStyle w:val="Body1"/>
              <w:spacing w:after="120"/>
              <w:rPr>
                <w:rFonts w:ascii="Arial" w:hAnsi="Arial" w:cs="Arial"/>
                <w:b/>
                <w:bCs/>
                <w:sz w:val="20"/>
              </w:rPr>
            </w:pPr>
          </w:p>
          <w:p w14:paraId="653B0892" w14:textId="77777777" w:rsidR="009A2964" w:rsidRPr="006B0C32" w:rsidRDefault="009A2964" w:rsidP="00F8293A">
            <w:pPr>
              <w:pStyle w:val="Body1"/>
              <w:spacing w:after="120"/>
              <w:rPr>
                <w:rFonts w:ascii="Arial" w:hAnsi="Arial" w:cs="Arial"/>
                <w:b/>
                <w:bCs/>
                <w:sz w:val="20"/>
              </w:rPr>
            </w:pPr>
          </w:p>
          <w:p w14:paraId="24C4B5FD" w14:textId="77777777" w:rsidR="009A2964" w:rsidRPr="006B0C32" w:rsidRDefault="009A2964" w:rsidP="00F8293A">
            <w:pPr>
              <w:pStyle w:val="Body1"/>
              <w:spacing w:after="120"/>
              <w:rPr>
                <w:rFonts w:ascii="Arial" w:hAnsi="Arial" w:cs="Arial"/>
                <w:b/>
                <w:bCs/>
                <w:sz w:val="20"/>
              </w:rPr>
            </w:pPr>
          </w:p>
          <w:p w14:paraId="2986626F" w14:textId="77777777" w:rsidR="009A2964" w:rsidRPr="006B0C32" w:rsidRDefault="009A2964" w:rsidP="00F8293A">
            <w:pPr>
              <w:pStyle w:val="Body1"/>
              <w:spacing w:after="120"/>
              <w:rPr>
                <w:rFonts w:ascii="Arial" w:hAnsi="Arial" w:cs="Arial"/>
                <w:b/>
                <w:bCs/>
                <w:sz w:val="20"/>
              </w:rPr>
            </w:pPr>
          </w:p>
          <w:p w14:paraId="237B06A8" w14:textId="77777777" w:rsidR="009A2964" w:rsidRPr="006B0C32" w:rsidRDefault="009A2964" w:rsidP="00F8293A">
            <w:pPr>
              <w:pStyle w:val="Body1"/>
              <w:spacing w:after="120"/>
              <w:rPr>
                <w:rFonts w:ascii="Arial" w:hAnsi="Arial" w:cs="Arial"/>
                <w:b/>
                <w:bCs/>
                <w:sz w:val="20"/>
              </w:rPr>
            </w:pPr>
          </w:p>
          <w:p w14:paraId="41BB15B3" w14:textId="77777777" w:rsidR="009A2964" w:rsidRPr="006B0C32" w:rsidRDefault="009A2964" w:rsidP="00F8293A">
            <w:pPr>
              <w:pStyle w:val="Body1"/>
              <w:spacing w:after="120"/>
              <w:rPr>
                <w:rFonts w:ascii="Arial" w:hAnsi="Arial" w:cs="Arial"/>
                <w:b/>
                <w:bCs/>
                <w:sz w:val="20"/>
              </w:rPr>
            </w:pPr>
          </w:p>
          <w:p w14:paraId="413C567C" w14:textId="77777777" w:rsidR="009A2964" w:rsidRPr="006B0C32" w:rsidRDefault="009A2964" w:rsidP="009C4051">
            <w:pPr>
              <w:pStyle w:val="Body1"/>
              <w:spacing w:after="120"/>
              <w:ind w:left="0" w:firstLine="0"/>
              <w:rPr>
                <w:rFonts w:ascii="Arial" w:hAnsi="Arial" w:cs="Arial"/>
                <w:b/>
                <w:bCs/>
                <w:sz w:val="20"/>
              </w:rPr>
            </w:pPr>
          </w:p>
          <w:p w14:paraId="42CEA073" w14:textId="77777777" w:rsidR="009A2964" w:rsidRPr="006B0C32" w:rsidRDefault="009A2964" w:rsidP="009C4051">
            <w:pPr>
              <w:pStyle w:val="Body1"/>
              <w:spacing w:after="120"/>
              <w:ind w:left="164" w:firstLine="0"/>
              <w:rPr>
                <w:rFonts w:ascii="Arial" w:hAnsi="Arial" w:cs="Arial"/>
                <w:b/>
                <w:bCs/>
                <w:sz w:val="20"/>
              </w:rPr>
            </w:pPr>
            <w:r w:rsidRPr="006B0C32">
              <w:rPr>
                <w:rFonts w:ascii="Arial" w:hAnsi="Arial" w:cs="Arial"/>
                <w:b/>
                <w:bCs/>
                <w:sz w:val="20"/>
              </w:rPr>
              <w:t>Widespread / Majority</w:t>
            </w:r>
          </w:p>
        </w:tc>
        <w:tc>
          <w:tcPr>
            <w:tcW w:w="2308" w:type="dxa"/>
            <w:shd w:val="clear" w:color="auto" w:fill="BFBFBF" w:themeFill="background1" w:themeFillShade="BF"/>
          </w:tcPr>
          <w:p w14:paraId="0BEE279C" w14:textId="794D0A6E" w:rsidR="009A2964" w:rsidRPr="006B0C32" w:rsidRDefault="00D770DE" w:rsidP="009C4051">
            <w:pPr>
              <w:pStyle w:val="Body1"/>
              <w:spacing w:after="120"/>
              <w:ind w:left="19" w:hanging="19"/>
              <w:rPr>
                <w:rFonts w:ascii="Arial" w:hAnsi="Arial" w:cs="Arial"/>
                <w:sz w:val="20"/>
              </w:rPr>
            </w:pPr>
            <w:r>
              <w:rPr>
                <w:rFonts w:ascii="Arial" w:hAnsi="Arial" w:cs="Arial"/>
                <w:sz w:val="20"/>
              </w:rPr>
              <w:t>Service</w:t>
            </w:r>
            <w:r w:rsidR="009A2964" w:rsidRPr="006B0C32">
              <w:rPr>
                <w:rFonts w:ascii="Arial" w:hAnsi="Arial" w:cs="Arial"/>
                <w:sz w:val="20"/>
              </w:rPr>
              <w:t xml:space="preserve"> Delay -or- </w:t>
            </w:r>
          </w:p>
          <w:p w14:paraId="4A723841" w14:textId="77777777" w:rsidR="009A2964" w:rsidRPr="006B0C32" w:rsidRDefault="009A2964" w:rsidP="009C4051">
            <w:pPr>
              <w:pStyle w:val="Body1"/>
              <w:spacing w:after="120"/>
              <w:ind w:left="19" w:hanging="19"/>
              <w:rPr>
                <w:rFonts w:ascii="Arial" w:hAnsi="Arial" w:cs="Arial"/>
                <w:sz w:val="20"/>
              </w:rPr>
            </w:pPr>
            <w:r w:rsidRPr="006B0C32">
              <w:rPr>
                <w:rFonts w:ascii="Arial" w:hAnsi="Arial" w:cs="Arial"/>
                <w:sz w:val="20"/>
              </w:rPr>
              <w:t xml:space="preserve">Impact /Potential Impact to Safety -or- </w:t>
            </w:r>
          </w:p>
          <w:p w14:paraId="1AE4F261" w14:textId="77777777" w:rsidR="009A2964" w:rsidRPr="006B0C32" w:rsidRDefault="009A2964" w:rsidP="009C4051">
            <w:pPr>
              <w:pStyle w:val="Body1"/>
              <w:spacing w:after="120"/>
              <w:ind w:left="19" w:hanging="19"/>
              <w:rPr>
                <w:rFonts w:ascii="Arial" w:hAnsi="Arial" w:cs="Arial"/>
                <w:sz w:val="20"/>
              </w:rPr>
            </w:pPr>
            <w:r w:rsidRPr="006B0C32">
              <w:rPr>
                <w:rFonts w:ascii="Arial" w:hAnsi="Arial" w:cs="Arial"/>
                <w:sz w:val="20"/>
              </w:rPr>
              <w:t xml:space="preserve">Potential to impact NR reputation -or- </w:t>
            </w:r>
          </w:p>
          <w:p w14:paraId="5C3321C4" w14:textId="77777777" w:rsidR="009A2964" w:rsidRPr="006B0C32" w:rsidRDefault="009A2964" w:rsidP="009C4051">
            <w:pPr>
              <w:pStyle w:val="Body1"/>
              <w:spacing w:after="120"/>
              <w:ind w:left="19" w:hanging="19"/>
              <w:rPr>
                <w:rFonts w:ascii="Arial" w:hAnsi="Arial" w:cs="Arial"/>
                <w:sz w:val="20"/>
              </w:rPr>
            </w:pPr>
            <w:r w:rsidRPr="006B0C32">
              <w:rPr>
                <w:rFonts w:ascii="Arial" w:hAnsi="Arial" w:cs="Arial"/>
                <w:sz w:val="20"/>
              </w:rPr>
              <w:t>there is a high commercial business impact with regulation or legislative breaches OR</w:t>
            </w:r>
          </w:p>
        </w:tc>
        <w:tc>
          <w:tcPr>
            <w:tcW w:w="2047" w:type="dxa"/>
            <w:vMerge w:val="restart"/>
          </w:tcPr>
          <w:p w14:paraId="30A354B0" w14:textId="77777777" w:rsidR="009A2964" w:rsidRPr="006B0C32" w:rsidRDefault="009A2964" w:rsidP="009C4051">
            <w:pPr>
              <w:pStyle w:val="Body1"/>
              <w:spacing w:after="120"/>
              <w:ind w:left="23" w:firstLine="0"/>
              <w:rPr>
                <w:rFonts w:ascii="Arial" w:hAnsi="Arial" w:cs="Arial"/>
                <w:sz w:val="20"/>
              </w:rPr>
            </w:pPr>
            <w:r w:rsidRPr="006B0C32">
              <w:rPr>
                <w:rFonts w:ascii="Arial" w:hAnsi="Arial" w:cs="Arial"/>
                <w:sz w:val="20"/>
              </w:rPr>
              <w:t>Loss or degraded service to important business systems.</w:t>
            </w:r>
          </w:p>
        </w:tc>
        <w:tc>
          <w:tcPr>
            <w:tcW w:w="1693" w:type="dxa"/>
            <w:vMerge w:val="restart"/>
          </w:tcPr>
          <w:p w14:paraId="04F4C0C7" w14:textId="5D9DB1BF" w:rsidR="009A2964" w:rsidRPr="006B0C32" w:rsidRDefault="009A2964" w:rsidP="009C4051">
            <w:pPr>
              <w:pStyle w:val="Body1"/>
              <w:spacing w:after="120"/>
              <w:ind w:left="0" w:hanging="50"/>
              <w:rPr>
                <w:rFonts w:ascii="Arial" w:hAnsi="Arial" w:cs="Arial"/>
                <w:sz w:val="20"/>
              </w:rPr>
            </w:pPr>
            <w:r w:rsidRPr="006B0C32">
              <w:rPr>
                <w:rFonts w:ascii="Arial" w:hAnsi="Arial" w:cs="Arial"/>
                <w:sz w:val="20"/>
              </w:rPr>
              <w:t>Degraded resilience to non-critical service - or Degraded service of non-critical system</w:t>
            </w:r>
          </w:p>
          <w:p w14:paraId="3C9447CB" w14:textId="77777777" w:rsidR="009A2964" w:rsidRPr="006B0C32" w:rsidRDefault="009A2964" w:rsidP="009C4051">
            <w:pPr>
              <w:pStyle w:val="Body1"/>
              <w:spacing w:after="120"/>
              <w:ind w:left="131" w:firstLine="0"/>
              <w:rPr>
                <w:rFonts w:ascii="Arial" w:hAnsi="Arial" w:cs="Arial"/>
                <w:sz w:val="20"/>
              </w:rPr>
            </w:pPr>
            <w:r w:rsidRPr="006B0C32">
              <w:rPr>
                <w:rFonts w:ascii="Arial" w:hAnsi="Arial" w:cs="Arial"/>
                <w:sz w:val="20"/>
              </w:rPr>
              <w:t> </w:t>
            </w:r>
          </w:p>
        </w:tc>
        <w:tc>
          <w:tcPr>
            <w:tcW w:w="1498" w:type="dxa"/>
            <w:vMerge w:val="restart"/>
          </w:tcPr>
          <w:p w14:paraId="1F9304C0" w14:textId="77777777" w:rsidR="009A2964" w:rsidRPr="006B0C32" w:rsidRDefault="009A2964" w:rsidP="009C4051">
            <w:pPr>
              <w:pStyle w:val="Body1"/>
              <w:spacing w:after="120"/>
              <w:ind w:left="0" w:hanging="3"/>
              <w:rPr>
                <w:rFonts w:ascii="Arial" w:hAnsi="Arial" w:cs="Arial"/>
                <w:sz w:val="20"/>
              </w:rPr>
            </w:pPr>
            <w:r w:rsidRPr="006B0C32">
              <w:rPr>
                <w:rFonts w:ascii="Arial" w:hAnsi="Arial" w:cs="Arial"/>
                <w:sz w:val="20"/>
              </w:rPr>
              <w:t> N/A</w:t>
            </w:r>
          </w:p>
        </w:tc>
      </w:tr>
      <w:tr w:rsidR="009A2964" w:rsidRPr="006B0C32" w14:paraId="570ABA44" w14:textId="77777777" w:rsidTr="009C4051">
        <w:tc>
          <w:tcPr>
            <w:tcW w:w="1515" w:type="dxa"/>
            <w:vMerge/>
          </w:tcPr>
          <w:p w14:paraId="71FFF5EB" w14:textId="77777777" w:rsidR="009A2964" w:rsidRPr="006B0C32" w:rsidRDefault="009A2964" w:rsidP="00F8293A">
            <w:pPr>
              <w:pStyle w:val="Body1"/>
              <w:spacing w:after="120"/>
              <w:rPr>
                <w:rFonts w:ascii="Arial" w:hAnsi="Arial" w:cs="Arial"/>
                <w:b/>
                <w:bCs/>
                <w:sz w:val="20"/>
              </w:rPr>
            </w:pPr>
          </w:p>
        </w:tc>
        <w:tc>
          <w:tcPr>
            <w:tcW w:w="2308" w:type="dxa"/>
            <w:shd w:val="clear" w:color="auto" w:fill="D9D9D9" w:themeFill="background1" w:themeFillShade="D9"/>
            <w:vAlign w:val="center"/>
          </w:tcPr>
          <w:p w14:paraId="038A3E7F" w14:textId="64665187" w:rsidR="009A2964" w:rsidRPr="006B0C32" w:rsidRDefault="009A2964" w:rsidP="009C4051">
            <w:pPr>
              <w:pStyle w:val="Body1"/>
              <w:spacing w:after="120"/>
              <w:ind w:left="19" w:hanging="19"/>
              <w:rPr>
                <w:rFonts w:ascii="Arial" w:hAnsi="Arial" w:cs="Arial"/>
                <w:sz w:val="20"/>
              </w:rPr>
            </w:pPr>
            <w:r w:rsidRPr="006B0C32">
              <w:rPr>
                <w:rFonts w:ascii="Arial" w:hAnsi="Arial" w:cs="Arial"/>
                <w:sz w:val="20"/>
              </w:rPr>
              <w:t xml:space="preserve">Loss of service causing high risk of </w:t>
            </w:r>
            <w:r w:rsidR="00D770DE">
              <w:rPr>
                <w:rFonts w:ascii="Arial" w:hAnsi="Arial" w:cs="Arial"/>
                <w:sz w:val="20"/>
              </w:rPr>
              <w:t>Service</w:t>
            </w:r>
            <w:r w:rsidRPr="006B0C32">
              <w:rPr>
                <w:rFonts w:ascii="Arial" w:hAnsi="Arial" w:cs="Arial"/>
                <w:sz w:val="20"/>
              </w:rPr>
              <w:t xml:space="preserve"> Delay - Or- Loss or degraded service to important business systems used to move </w:t>
            </w:r>
            <w:r w:rsidR="00D770DE">
              <w:rPr>
                <w:rFonts w:ascii="Arial" w:hAnsi="Arial" w:cs="Arial"/>
                <w:sz w:val="20"/>
              </w:rPr>
              <w:t>asset</w:t>
            </w:r>
            <w:r w:rsidRPr="006B0C32">
              <w:rPr>
                <w:rFonts w:ascii="Arial" w:hAnsi="Arial" w:cs="Arial"/>
                <w:sz w:val="20"/>
              </w:rPr>
              <w:t xml:space="preserve"> or manage / monitor the operational </w:t>
            </w:r>
            <w:r w:rsidR="007A2AA0">
              <w:rPr>
                <w:rFonts w:ascii="Arial" w:hAnsi="Arial" w:cs="Arial"/>
                <w:sz w:val="20"/>
              </w:rPr>
              <w:t>asset set</w:t>
            </w:r>
            <w:r w:rsidRPr="006B0C32">
              <w:rPr>
                <w:rFonts w:ascii="Arial" w:hAnsi="Arial" w:cs="Arial"/>
                <w:sz w:val="20"/>
              </w:rPr>
              <w:t xml:space="preserve"> infrastructure</w:t>
            </w:r>
          </w:p>
        </w:tc>
        <w:tc>
          <w:tcPr>
            <w:tcW w:w="2047" w:type="dxa"/>
            <w:vMerge/>
            <w:shd w:val="clear" w:color="auto" w:fill="F2F2F2" w:themeFill="background1" w:themeFillShade="F2"/>
            <w:vAlign w:val="center"/>
          </w:tcPr>
          <w:p w14:paraId="698C4701" w14:textId="77777777" w:rsidR="009A2964" w:rsidRPr="006B0C32" w:rsidRDefault="009A2964" w:rsidP="00F8293A">
            <w:pPr>
              <w:pStyle w:val="Body1"/>
              <w:spacing w:after="120"/>
              <w:rPr>
                <w:rFonts w:ascii="Arial" w:hAnsi="Arial" w:cs="Arial"/>
                <w:sz w:val="20"/>
              </w:rPr>
            </w:pPr>
          </w:p>
        </w:tc>
        <w:tc>
          <w:tcPr>
            <w:tcW w:w="1693" w:type="dxa"/>
            <w:vMerge/>
            <w:vAlign w:val="center"/>
          </w:tcPr>
          <w:p w14:paraId="458CEC65" w14:textId="77777777" w:rsidR="009A2964" w:rsidRPr="006B0C32" w:rsidRDefault="009A2964" w:rsidP="009C4051">
            <w:pPr>
              <w:pStyle w:val="Body1"/>
              <w:spacing w:after="120"/>
              <w:ind w:left="131" w:firstLine="0"/>
              <w:rPr>
                <w:rFonts w:ascii="Arial" w:hAnsi="Arial" w:cs="Arial"/>
                <w:sz w:val="20"/>
              </w:rPr>
            </w:pPr>
          </w:p>
        </w:tc>
        <w:tc>
          <w:tcPr>
            <w:tcW w:w="1498" w:type="dxa"/>
            <w:vMerge/>
            <w:vAlign w:val="center"/>
          </w:tcPr>
          <w:p w14:paraId="4A55C245" w14:textId="77777777" w:rsidR="009A2964" w:rsidRPr="006B0C32" w:rsidRDefault="009A2964" w:rsidP="00F8293A">
            <w:pPr>
              <w:pStyle w:val="Body1"/>
              <w:spacing w:after="120"/>
              <w:rPr>
                <w:rFonts w:ascii="Arial" w:hAnsi="Arial" w:cs="Arial"/>
                <w:sz w:val="20"/>
              </w:rPr>
            </w:pPr>
          </w:p>
        </w:tc>
      </w:tr>
      <w:tr w:rsidR="009A2964" w:rsidRPr="006B0C32" w14:paraId="10E01892" w14:textId="77777777" w:rsidTr="009C4051">
        <w:tc>
          <w:tcPr>
            <w:tcW w:w="1515" w:type="dxa"/>
            <w:vAlign w:val="center"/>
          </w:tcPr>
          <w:p w14:paraId="51989D71" w14:textId="77777777" w:rsidR="009A2964" w:rsidRPr="006B0C32" w:rsidRDefault="009A2964" w:rsidP="009C4051">
            <w:pPr>
              <w:pStyle w:val="Body1"/>
              <w:spacing w:after="120"/>
              <w:ind w:left="164" w:firstLine="0"/>
              <w:rPr>
                <w:rFonts w:ascii="Arial" w:hAnsi="Arial" w:cs="Arial"/>
                <w:b/>
                <w:bCs/>
                <w:sz w:val="20"/>
              </w:rPr>
            </w:pPr>
            <w:r w:rsidRPr="006B0C32">
              <w:rPr>
                <w:rFonts w:ascii="Arial" w:hAnsi="Arial" w:cs="Arial"/>
                <w:b/>
                <w:bCs/>
                <w:sz w:val="20"/>
              </w:rPr>
              <w:t xml:space="preserve">Significant / Multiple </w:t>
            </w:r>
          </w:p>
        </w:tc>
        <w:tc>
          <w:tcPr>
            <w:tcW w:w="2308" w:type="dxa"/>
            <w:shd w:val="clear" w:color="auto" w:fill="BFBFBF" w:themeFill="background1" w:themeFillShade="BF"/>
            <w:vAlign w:val="center"/>
          </w:tcPr>
          <w:p w14:paraId="66DCD09D" w14:textId="6BC4BB89" w:rsidR="009A2964" w:rsidRPr="006B0C32" w:rsidRDefault="00FB3E8D" w:rsidP="009C4051">
            <w:pPr>
              <w:pStyle w:val="Body1"/>
              <w:spacing w:after="120"/>
              <w:ind w:left="19" w:hanging="19"/>
              <w:rPr>
                <w:rFonts w:ascii="Arial" w:hAnsi="Arial" w:cs="Arial"/>
                <w:sz w:val="20"/>
              </w:rPr>
            </w:pPr>
            <w:r>
              <w:rPr>
                <w:rFonts w:ascii="Arial" w:hAnsi="Arial" w:cs="Arial"/>
                <w:sz w:val="20"/>
              </w:rPr>
              <w:t>Service</w:t>
            </w:r>
            <w:r w:rsidR="009A2964" w:rsidRPr="006B0C32">
              <w:rPr>
                <w:rFonts w:ascii="Arial" w:hAnsi="Arial" w:cs="Arial"/>
                <w:sz w:val="20"/>
              </w:rPr>
              <w:t xml:space="preserve"> Delay -or- </w:t>
            </w:r>
            <w:r w:rsidR="009A2964" w:rsidRPr="006B0C32">
              <w:rPr>
                <w:rFonts w:ascii="Arial" w:hAnsi="Arial" w:cs="Arial"/>
                <w:sz w:val="20"/>
              </w:rPr>
              <w:br/>
              <w:t xml:space="preserve">Impact /Potential Impact to Safety -or- </w:t>
            </w:r>
            <w:r w:rsidR="009A2964" w:rsidRPr="006B0C32">
              <w:rPr>
                <w:rFonts w:ascii="Arial" w:hAnsi="Arial" w:cs="Arial"/>
                <w:sz w:val="20"/>
              </w:rPr>
              <w:br/>
              <w:t xml:space="preserve">Potential to impact NR reputation -or- </w:t>
            </w:r>
            <w:r w:rsidR="009A2964" w:rsidRPr="006B0C32">
              <w:rPr>
                <w:rFonts w:ascii="Arial" w:hAnsi="Arial" w:cs="Arial"/>
                <w:sz w:val="20"/>
              </w:rPr>
              <w:br/>
              <w:t>there is a high commercial business impact with regulation or legislative breaches</w:t>
            </w:r>
          </w:p>
        </w:tc>
        <w:tc>
          <w:tcPr>
            <w:tcW w:w="2047" w:type="dxa"/>
            <w:shd w:val="clear" w:color="auto" w:fill="D9D9D9" w:themeFill="background1" w:themeFillShade="D9"/>
            <w:vAlign w:val="center"/>
          </w:tcPr>
          <w:p w14:paraId="403C0BB3" w14:textId="32BAE9E7" w:rsidR="009A2964" w:rsidRPr="006B0C32" w:rsidRDefault="009A2964" w:rsidP="009C4051">
            <w:pPr>
              <w:pStyle w:val="Body1"/>
              <w:spacing w:after="120"/>
              <w:ind w:left="23" w:firstLine="0"/>
              <w:rPr>
                <w:rFonts w:ascii="Arial" w:hAnsi="Arial" w:cs="Arial"/>
                <w:sz w:val="20"/>
              </w:rPr>
            </w:pPr>
            <w:r w:rsidRPr="006B0C32">
              <w:rPr>
                <w:rFonts w:ascii="Arial" w:hAnsi="Arial" w:cs="Arial"/>
                <w:sz w:val="20"/>
              </w:rPr>
              <w:t xml:space="preserve">Loss of service causing high risk of </w:t>
            </w:r>
            <w:r w:rsidR="00FB3E8D">
              <w:rPr>
                <w:rFonts w:ascii="Arial" w:hAnsi="Arial" w:cs="Arial"/>
                <w:sz w:val="20"/>
              </w:rPr>
              <w:t>Service</w:t>
            </w:r>
            <w:r w:rsidRPr="006B0C32">
              <w:rPr>
                <w:rFonts w:ascii="Arial" w:hAnsi="Arial" w:cs="Arial"/>
                <w:sz w:val="20"/>
              </w:rPr>
              <w:t xml:space="preserve"> Delay - Or- Loss or degraded service to important business systems used to move </w:t>
            </w:r>
            <w:r w:rsidR="00FB3E8D">
              <w:rPr>
                <w:rFonts w:ascii="Arial" w:hAnsi="Arial" w:cs="Arial"/>
                <w:sz w:val="20"/>
              </w:rPr>
              <w:t>assets</w:t>
            </w:r>
            <w:r w:rsidRPr="006B0C32">
              <w:rPr>
                <w:rFonts w:ascii="Arial" w:hAnsi="Arial" w:cs="Arial"/>
                <w:sz w:val="20"/>
              </w:rPr>
              <w:t xml:space="preserve"> or manage / monitor the operational </w:t>
            </w:r>
            <w:r w:rsidR="007A2AA0">
              <w:rPr>
                <w:rFonts w:ascii="Arial" w:hAnsi="Arial" w:cs="Arial"/>
                <w:sz w:val="20"/>
              </w:rPr>
              <w:t>asset set</w:t>
            </w:r>
            <w:r w:rsidRPr="006B0C32">
              <w:rPr>
                <w:rFonts w:ascii="Arial" w:hAnsi="Arial" w:cs="Arial"/>
                <w:sz w:val="20"/>
              </w:rPr>
              <w:t xml:space="preserve"> infrastructure</w:t>
            </w:r>
          </w:p>
        </w:tc>
        <w:tc>
          <w:tcPr>
            <w:tcW w:w="1693" w:type="dxa"/>
            <w:shd w:val="clear" w:color="auto" w:fill="F2F2F2" w:themeFill="background1" w:themeFillShade="F2"/>
            <w:vAlign w:val="center"/>
          </w:tcPr>
          <w:p w14:paraId="5A99A4BF" w14:textId="77777777" w:rsidR="009A2964" w:rsidRPr="006B0C32" w:rsidRDefault="009A2964" w:rsidP="009C4051">
            <w:pPr>
              <w:pStyle w:val="Body1"/>
              <w:spacing w:after="120"/>
              <w:ind w:left="0" w:hanging="50"/>
              <w:rPr>
                <w:rFonts w:ascii="Arial" w:hAnsi="Arial" w:cs="Arial"/>
                <w:sz w:val="20"/>
              </w:rPr>
            </w:pPr>
            <w:r w:rsidRPr="006B0C32">
              <w:rPr>
                <w:rFonts w:ascii="Arial" w:hAnsi="Arial" w:cs="Arial"/>
                <w:sz w:val="20"/>
              </w:rPr>
              <w:t>Loss or degraded service to important business systems.</w:t>
            </w:r>
          </w:p>
        </w:tc>
        <w:tc>
          <w:tcPr>
            <w:tcW w:w="1498" w:type="dxa"/>
            <w:vAlign w:val="center"/>
          </w:tcPr>
          <w:p w14:paraId="5352219B" w14:textId="12604142" w:rsidR="009A2964" w:rsidRPr="006B0C32" w:rsidRDefault="009A2964" w:rsidP="009C4051">
            <w:pPr>
              <w:pStyle w:val="Body1"/>
              <w:spacing w:after="120"/>
              <w:ind w:left="0" w:hanging="3"/>
              <w:rPr>
                <w:rFonts w:ascii="Arial" w:hAnsi="Arial" w:cs="Arial"/>
                <w:sz w:val="20"/>
              </w:rPr>
            </w:pPr>
            <w:r w:rsidRPr="006B0C32">
              <w:rPr>
                <w:rFonts w:ascii="Arial" w:hAnsi="Arial" w:cs="Arial"/>
                <w:sz w:val="20"/>
              </w:rPr>
              <w:t xml:space="preserve">Degraded resilience to non-critical service - or Degraded service of non-critical system </w:t>
            </w:r>
          </w:p>
        </w:tc>
      </w:tr>
      <w:tr w:rsidR="009A2964" w:rsidRPr="006B0C32" w14:paraId="5E374F41" w14:textId="77777777" w:rsidTr="009C4051">
        <w:tc>
          <w:tcPr>
            <w:tcW w:w="1515" w:type="dxa"/>
            <w:vMerge w:val="restart"/>
            <w:vAlign w:val="center"/>
          </w:tcPr>
          <w:p w14:paraId="001B43AD" w14:textId="77777777" w:rsidR="009A2964" w:rsidRPr="006B0C32" w:rsidRDefault="009A2964" w:rsidP="009C4051">
            <w:pPr>
              <w:pStyle w:val="Body1"/>
              <w:spacing w:after="120"/>
              <w:ind w:left="164" w:firstLine="0"/>
              <w:rPr>
                <w:rFonts w:ascii="Arial" w:hAnsi="Arial" w:cs="Arial"/>
                <w:b/>
                <w:bCs/>
                <w:sz w:val="20"/>
              </w:rPr>
            </w:pPr>
            <w:r w:rsidRPr="006B0C32">
              <w:rPr>
                <w:rFonts w:ascii="Arial" w:hAnsi="Arial" w:cs="Arial"/>
                <w:b/>
                <w:bCs/>
                <w:sz w:val="20"/>
              </w:rPr>
              <w:t>Isolated / Low</w:t>
            </w:r>
          </w:p>
        </w:tc>
        <w:tc>
          <w:tcPr>
            <w:tcW w:w="2308" w:type="dxa"/>
            <w:vMerge w:val="restart"/>
            <w:vAlign w:val="center"/>
          </w:tcPr>
          <w:p w14:paraId="310004E3" w14:textId="77777777" w:rsidR="009A2964" w:rsidRPr="006B0C32" w:rsidRDefault="009A2964" w:rsidP="009C4051">
            <w:pPr>
              <w:pStyle w:val="Body1"/>
              <w:spacing w:after="120"/>
              <w:ind w:left="19" w:hanging="19"/>
              <w:rPr>
                <w:rFonts w:ascii="Arial" w:hAnsi="Arial" w:cs="Arial"/>
                <w:sz w:val="20"/>
              </w:rPr>
            </w:pPr>
            <w:r w:rsidRPr="006B0C32">
              <w:rPr>
                <w:rFonts w:ascii="Arial" w:hAnsi="Arial" w:cs="Arial"/>
                <w:color w:val="000000"/>
                <w:sz w:val="20"/>
              </w:rPr>
              <w:t> N/A</w:t>
            </w:r>
          </w:p>
        </w:tc>
        <w:tc>
          <w:tcPr>
            <w:tcW w:w="2047" w:type="dxa"/>
            <w:vMerge w:val="restart"/>
            <w:shd w:val="clear" w:color="auto" w:fill="BFBFBF" w:themeFill="background1" w:themeFillShade="BF"/>
            <w:vAlign w:val="center"/>
          </w:tcPr>
          <w:p w14:paraId="68C8456A" w14:textId="4A9181CD" w:rsidR="009A2964" w:rsidRPr="006B0C32" w:rsidRDefault="00FB3E8D" w:rsidP="009C4051">
            <w:pPr>
              <w:pStyle w:val="Body1"/>
              <w:spacing w:after="120"/>
              <w:ind w:left="23" w:firstLine="0"/>
              <w:rPr>
                <w:rFonts w:ascii="Arial" w:hAnsi="Arial" w:cs="Arial"/>
                <w:sz w:val="20"/>
              </w:rPr>
            </w:pPr>
            <w:r>
              <w:rPr>
                <w:rFonts w:ascii="Arial" w:hAnsi="Arial" w:cs="Arial"/>
                <w:color w:val="000000"/>
                <w:sz w:val="20"/>
              </w:rPr>
              <w:t>Service</w:t>
            </w:r>
            <w:r w:rsidR="009A2964" w:rsidRPr="006B0C32">
              <w:rPr>
                <w:rFonts w:ascii="Arial" w:hAnsi="Arial" w:cs="Arial"/>
                <w:color w:val="000000"/>
                <w:sz w:val="20"/>
              </w:rPr>
              <w:t xml:space="preserve"> Delay -or- </w:t>
            </w:r>
            <w:r w:rsidR="009A2964" w:rsidRPr="006B0C32">
              <w:rPr>
                <w:rFonts w:ascii="Arial" w:hAnsi="Arial" w:cs="Arial"/>
                <w:color w:val="000000"/>
                <w:sz w:val="20"/>
              </w:rPr>
              <w:br/>
            </w:r>
            <w:r w:rsidR="009A2964" w:rsidRPr="006B0C32">
              <w:rPr>
                <w:rFonts w:ascii="Arial" w:hAnsi="Arial" w:cs="Arial"/>
                <w:sz w:val="20"/>
              </w:rPr>
              <w:t>Impact</w:t>
            </w:r>
            <w:r w:rsidR="009A2964" w:rsidRPr="006B0C32">
              <w:rPr>
                <w:rFonts w:ascii="Arial" w:hAnsi="Arial" w:cs="Arial"/>
                <w:color w:val="000000"/>
                <w:sz w:val="20"/>
              </w:rPr>
              <w:t xml:space="preserve"> /Potential Impact to Safety -or- </w:t>
            </w:r>
            <w:r w:rsidR="009A2964" w:rsidRPr="006B0C32">
              <w:rPr>
                <w:rFonts w:ascii="Arial" w:hAnsi="Arial" w:cs="Arial"/>
                <w:color w:val="000000"/>
                <w:sz w:val="20"/>
              </w:rPr>
              <w:br/>
              <w:t xml:space="preserve">Potential to impact NR reputation -or- </w:t>
            </w:r>
            <w:r w:rsidR="009A2964" w:rsidRPr="006B0C32">
              <w:rPr>
                <w:rFonts w:ascii="Arial" w:hAnsi="Arial" w:cs="Arial"/>
                <w:color w:val="000000"/>
                <w:sz w:val="20"/>
              </w:rPr>
              <w:br/>
              <w:t xml:space="preserve">there is a high commercial business impact with regulation or </w:t>
            </w:r>
            <w:r w:rsidR="009A2964" w:rsidRPr="006B0C32">
              <w:rPr>
                <w:rFonts w:ascii="Arial" w:hAnsi="Arial" w:cs="Arial"/>
                <w:color w:val="000000"/>
                <w:sz w:val="20"/>
              </w:rPr>
              <w:lastRenderedPageBreak/>
              <w:t>legislative breaches -</w:t>
            </w:r>
          </w:p>
        </w:tc>
        <w:tc>
          <w:tcPr>
            <w:tcW w:w="1693" w:type="dxa"/>
            <w:vMerge w:val="restart"/>
            <w:shd w:val="clear" w:color="auto" w:fill="D9D9D9" w:themeFill="background1" w:themeFillShade="D9"/>
            <w:vAlign w:val="center"/>
          </w:tcPr>
          <w:p w14:paraId="661BF0A3" w14:textId="268A5BBA" w:rsidR="009A2964" w:rsidRPr="006B0C32" w:rsidRDefault="009A2964" w:rsidP="009C4051">
            <w:pPr>
              <w:pStyle w:val="Body1"/>
              <w:spacing w:after="120"/>
              <w:ind w:left="0" w:hanging="50"/>
              <w:rPr>
                <w:rFonts w:ascii="Arial" w:hAnsi="Arial" w:cs="Arial"/>
                <w:sz w:val="20"/>
              </w:rPr>
            </w:pPr>
            <w:r w:rsidRPr="006B0C32">
              <w:rPr>
                <w:rFonts w:ascii="Arial" w:hAnsi="Arial" w:cs="Arial"/>
                <w:sz w:val="20"/>
              </w:rPr>
              <w:lastRenderedPageBreak/>
              <w:t xml:space="preserve">Loss of service causing high risk of </w:t>
            </w:r>
            <w:r w:rsidR="00FB3E8D">
              <w:rPr>
                <w:rFonts w:ascii="Arial" w:hAnsi="Arial" w:cs="Arial"/>
                <w:sz w:val="20"/>
              </w:rPr>
              <w:t>Service</w:t>
            </w:r>
            <w:r w:rsidRPr="006B0C32">
              <w:rPr>
                <w:rFonts w:ascii="Arial" w:hAnsi="Arial" w:cs="Arial"/>
                <w:sz w:val="20"/>
              </w:rPr>
              <w:t xml:space="preserve"> Delay - Or- Loss or degraded service to important business systems used to move </w:t>
            </w:r>
            <w:r w:rsidR="00FB3E8D">
              <w:rPr>
                <w:rFonts w:ascii="Arial" w:hAnsi="Arial" w:cs="Arial"/>
                <w:sz w:val="20"/>
              </w:rPr>
              <w:t>assets</w:t>
            </w:r>
            <w:r w:rsidRPr="006B0C32">
              <w:rPr>
                <w:rFonts w:ascii="Arial" w:hAnsi="Arial" w:cs="Arial"/>
                <w:sz w:val="20"/>
              </w:rPr>
              <w:t xml:space="preserve"> or </w:t>
            </w:r>
            <w:r w:rsidRPr="006B0C32">
              <w:rPr>
                <w:rFonts w:ascii="Arial" w:hAnsi="Arial" w:cs="Arial"/>
                <w:sz w:val="20"/>
              </w:rPr>
              <w:lastRenderedPageBreak/>
              <w:t xml:space="preserve">manage / monitor the operational </w:t>
            </w:r>
            <w:r w:rsidR="007A2AA0">
              <w:rPr>
                <w:rFonts w:ascii="Arial" w:hAnsi="Arial" w:cs="Arial"/>
                <w:sz w:val="20"/>
              </w:rPr>
              <w:t>asset set</w:t>
            </w:r>
            <w:r w:rsidRPr="006B0C32">
              <w:rPr>
                <w:rFonts w:ascii="Arial" w:hAnsi="Arial" w:cs="Arial"/>
                <w:sz w:val="20"/>
              </w:rPr>
              <w:t xml:space="preserve"> infrastructure</w:t>
            </w:r>
          </w:p>
        </w:tc>
        <w:tc>
          <w:tcPr>
            <w:tcW w:w="1498" w:type="dxa"/>
            <w:shd w:val="clear" w:color="auto" w:fill="F2F2F2" w:themeFill="background1" w:themeFillShade="F2"/>
            <w:vAlign w:val="center"/>
          </w:tcPr>
          <w:p w14:paraId="58EB8417" w14:textId="77777777" w:rsidR="009A2964" w:rsidRPr="006B0C32" w:rsidRDefault="009A2964" w:rsidP="009C4051">
            <w:pPr>
              <w:pStyle w:val="Body1"/>
              <w:spacing w:after="120"/>
              <w:ind w:left="0" w:hanging="3"/>
              <w:rPr>
                <w:rFonts w:ascii="Arial" w:hAnsi="Arial" w:cs="Arial"/>
                <w:sz w:val="20"/>
              </w:rPr>
            </w:pPr>
            <w:r w:rsidRPr="006B0C32">
              <w:rPr>
                <w:rFonts w:ascii="Arial" w:hAnsi="Arial" w:cs="Arial"/>
                <w:sz w:val="20"/>
              </w:rPr>
              <w:lastRenderedPageBreak/>
              <w:t>Loss or degraded service to important business systems.</w:t>
            </w:r>
          </w:p>
        </w:tc>
      </w:tr>
      <w:tr w:rsidR="009A2964" w:rsidRPr="006B0C32" w14:paraId="18A5CC2D" w14:textId="77777777" w:rsidTr="009C4051">
        <w:tc>
          <w:tcPr>
            <w:tcW w:w="1515" w:type="dxa"/>
            <w:vMerge/>
            <w:vAlign w:val="center"/>
          </w:tcPr>
          <w:p w14:paraId="0AE855D8" w14:textId="77777777" w:rsidR="009A2964" w:rsidRPr="006B0C32" w:rsidRDefault="009A2964" w:rsidP="00F8293A">
            <w:pPr>
              <w:pStyle w:val="Body1"/>
              <w:spacing w:after="120"/>
              <w:rPr>
                <w:rFonts w:ascii="Arial" w:hAnsi="Arial" w:cs="Arial"/>
                <w:b/>
                <w:bCs/>
                <w:sz w:val="20"/>
              </w:rPr>
            </w:pPr>
          </w:p>
        </w:tc>
        <w:tc>
          <w:tcPr>
            <w:tcW w:w="2308" w:type="dxa"/>
            <w:vMerge/>
            <w:vAlign w:val="center"/>
          </w:tcPr>
          <w:p w14:paraId="0E320229" w14:textId="77777777" w:rsidR="009A2964" w:rsidRPr="006B0C32" w:rsidRDefault="009A2964" w:rsidP="00F8293A">
            <w:pPr>
              <w:pStyle w:val="Body1"/>
              <w:spacing w:after="120"/>
              <w:rPr>
                <w:rFonts w:ascii="Arial" w:hAnsi="Arial" w:cs="Arial"/>
                <w:color w:val="000000"/>
                <w:sz w:val="20"/>
              </w:rPr>
            </w:pPr>
          </w:p>
        </w:tc>
        <w:tc>
          <w:tcPr>
            <w:tcW w:w="2047" w:type="dxa"/>
            <w:vMerge/>
            <w:shd w:val="clear" w:color="auto" w:fill="BFBFBF" w:themeFill="background1" w:themeFillShade="BF"/>
            <w:vAlign w:val="center"/>
          </w:tcPr>
          <w:p w14:paraId="2F898556" w14:textId="77777777" w:rsidR="009A2964" w:rsidRPr="006B0C32" w:rsidRDefault="009A2964" w:rsidP="00F8293A">
            <w:pPr>
              <w:pStyle w:val="Body1"/>
              <w:spacing w:after="120"/>
              <w:rPr>
                <w:rFonts w:ascii="Arial" w:hAnsi="Arial" w:cs="Arial"/>
                <w:color w:val="000000"/>
                <w:sz w:val="20"/>
              </w:rPr>
            </w:pPr>
          </w:p>
        </w:tc>
        <w:tc>
          <w:tcPr>
            <w:tcW w:w="1693" w:type="dxa"/>
            <w:vMerge/>
            <w:shd w:val="clear" w:color="auto" w:fill="D9D9D9" w:themeFill="background1" w:themeFillShade="D9"/>
            <w:vAlign w:val="center"/>
          </w:tcPr>
          <w:p w14:paraId="49CCEEB0" w14:textId="77777777" w:rsidR="009A2964" w:rsidRPr="006B0C32" w:rsidRDefault="009A2964" w:rsidP="00F8293A">
            <w:pPr>
              <w:pStyle w:val="Body1"/>
              <w:spacing w:after="120"/>
              <w:rPr>
                <w:rFonts w:ascii="Arial" w:hAnsi="Arial" w:cs="Arial"/>
                <w:color w:val="000000"/>
                <w:sz w:val="20"/>
              </w:rPr>
            </w:pPr>
          </w:p>
        </w:tc>
        <w:tc>
          <w:tcPr>
            <w:tcW w:w="1498" w:type="dxa"/>
            <w:shd w:val="clear" w:color="auto" w:fill="FFFFFF" w:themeFill="background1"/>
            <w:vAlign w:val="center"/>
          </w:tcPr>
          <w:p w14:paraId="55EDA37D" w14:textId="4BD99A75" w:rsidR="009A2964" w:rsidRPr="006B0C32" w:rsidRDefault="009A2964" w:rsidP="009C4051">
            <w:pPr>
              <w:pStyle w:val="Body1"/>
              <w:spacing w:after="120"/>
              <w:ind w:left="0" w:hanging="3"/>
              <w:rPr>
                <w:rFonts w:ascii="Arial" w:hAnsi="Arial" w:cs="Arial"/>
                <w:sz w:val="20"/>
              </w:rPr>
            </w:pPr>
            <w:r w:rsidRPr="006B0C32">
              <w:rPr>
                <w:rFonts w:ascii="Arial" w:hAnsi="Arial" w:cs="Arial"/>
                <w:sz w:val="20"/>
              </w:rPr>
              <w:t xml:space="preserve">Degraded resilience to non-critical service - or </w:t>
            </w:r>
            <w:r w:rsidRPr="006B0C32">
              <w:rPr>
                <w:rFonts w:ascii="Arial" w:hAnsi="Arial" w:cs="Arial"/>
                <w:sz w:val="20"/>
              </w:rPr>
              <w:lastRenderedPageBreak/>
              <w:t>Degraded service of non-critical system</w:t>
            </w:r>
          </w:p>
        </w:tc>
      </w:tr>
    </w:tbl>
    <w:p w14:paraId="2B96A50E" w14:textId="77777777" w:rsidR="009A2964" w:rsidRPr="00BB50F2" w:rsidRDefault="009A2964" w:rsidP="00F8293A">
      <w:pPr>
        <w:pStyle w:val="Caption"/>
        <w:ind w:left="0"/>
        <w:rPr>
          <w:rFonts w:ascii="Arial" w:hAnsi="Arial" w:cs="Arial"/>
        </w:rPr>
      </w:pPr>
      <w:r w:rsidRPr="00BB50F2">
        <w:rPr>
          <w:rFonts w:ascii="Arial" w:hAnsi="Arial" w:cs="Arial"/>
          <w:highlight w:val="green"/>
        </w:rPr>
        <w:lastRenderedPageBreak/>
        <w:fldChar w:fldCharType="begin"/>
      </w:r>
      <w:r w:rsidRPr="00BB50F2">
        <w:rPr>
          <w:rFonts w:ascii="Arial" w:hAnsi="Arial" w:cs="Arial"/>
          <w:highlight w:val="green"/>
        </w:rPr>
        <w:instrText xml:space="preserve"> LINK Excel.Sheet.12 "C:\\Users\\LONLB20\\AppData\\Local\\Microsoft\\Windows\\INetCache\\Content.Outlook\\6Z2NJ7R1\\Priority matrix for DC ITT.xlsx" "Sheet1!R4C4:R10C8" \a \f 4 \h  \* MERGEFORMAT </w:instrText>
      </w:r>
      <w:r w:rsidRPr="00BB50F2">
        <w:rPr>
          <w:rFonts w:ascii="Arial" w:hAnsi="Arial" w:cs="Arial"/>
          <w:highlight w:val="green"/>
        </w:rPr>
        <w:fldChar w:fldCharType="end"/>
      </w:r>
      <w:r w:rsidRPr="00BB50F2">
        <w:rPr>
          <w:rFonts w:ascii="Arial" w:hAnsi="Arial" w:cs="Arial"/>
        </w:rPr>
        <w:t>Table 2 Incident Priority Levels</w:t>
      </w:r>
    </w:p>
    <w:p w14:paraId="4D46C13C" w14:textId="07F51D0A" w:rsidR="009A2964" w:rsidRPr="00BB50F2" w:rsidRDefault="009A2964" w:rsidP="002C7090">
      <w:pPr>
        <w:ind w:left="0" w:firstLine="0"/>
        <w:jc w:val="left"/>
        <w:rPr>
          <w:rFonts w:cs="Arial"/>
          <w:b/>
          <w:bCs/>
        </w:rPr>
      </w:pPr>
    </w:p>
    <w:p w14:paraId="2E6FE8A6" w14:textId="12EF0B0C"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hAnsi="Arial" w:cs="Arial"/>
        </w:rPr>
        <w:t>“</w:t>
      </w:r>
      <w:r w:rsidRPr="00BB50F2">
        <w:rPr>
          <w:rFonts w:ascii="Arial" w:hAnsi="Arial" w:cs="Arial"/>
          <w:b/>
          <w:bCs/>
        </w:rPr>
        <w:t>Resolution Time</w:t>
      </w:r>
      <w:r w:rsidRPr="00BB50F2">
        <w:rPr>
          <w:rFonts w:ascii="Arial" w:hAnsi="Arial" w:cs="Arial"/>
        </w:rPr>
        <w:t xml:space="preserve">” is the amount of time taken between the initial creation of the incident ticket on the Supplier’s system to the resolution of the Incident and the change in status to ‘resolved’ by the Supplier resolution team after confirmation by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xml:space="preserve"> in accordance with ticket classification as described in paragraph </w:t>
      </w:r>
      <w:r w:rsidRPr="00BB50F2">
        <w:rPr>
          <w:rFonts w:ascii="Arial" w:hAnsi="Arial" w:cs="Arial"/>
        </w:rPr>
        <w:fldChar w:fldCharType="begin"/>
      </w:r>
      <w:r w:rsidRPr="00BB50F2">
        <w:rPr>
          <w:rFonts w:ascii="Arial" w:hAnsi="Arial" w:cs="Arial"/>
        </w:rPr>
        <w:instrText xml:space="preserve"> REF _Ref82175780 \r \h  \* MERGEFORMAT </w:instrText>
      </w:r>
      <w:r w:rsidRPr="00BB50F2">
        <w:rPr>
          <w:rFonts w:ascii="Arial" w:hAnsi="Arial" w:cs="Arial"/>
        </w:rPr>
      </w:r>
      <w:r w:rsidRPr="00BB50F2">
        <w:rPr>
          <w:rFonts w:ascii="Arial" w:hAnsi="Arial" w:cs="Arial"/>
        </w:rPr>
        <w:fldChar w:fldCharType="separate"/>
      </w:r>
      <w:r w:rsidR="00A455FF">
        <w:rPr>
          <w:rFonts w:ascii="Arial" w:hAnsi="Arial" w:cs="Arial"/>
        </w:rPr>
        <w:t>3.12</w:t>
      </w:r>
      <w:r w:rsidRPr="00BB50F2">
        <w:rPr>
          <w:rFonts w:ascii="Arial" w:hAnsi="Arial" w:cs="Arial"/>
        </w:rPr>
        <w:fldChar w:fldCharType="end"/>
      </w:r>
      <w:r w:rsidRPr="00BB50F2">
        <w:rPr>
          <w:rFonts w:ascii="Arial" w:hAnsi="Arial" w:cs="Arial"/>
        </w:rPr>
        <w:t xml:space="preserve">. </w:t>
      </w:r>
    </w:p>
    <w:p w14:paraId="163CF795" w14:textId="77777777"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hAnsi="Arial" w:cs="Arial"/>
        </w:rPr>
        <w:t>“</w:t>
      </w:r>
      <w:r w:rsidRPr="00BB50F2">
        <w:rPr>
          <w:rFonts w:ascii="Arial" w:hAnsi="Arial" w:cs="Arial"/>
          <w:b/>
          <w:bCs/>
        </w:rPr>
        <w:t>Response Time</w:t>
      </w:r>
      <w:r w:rsidRPr="00BB50F2">
        <w:rPr>
          <w:rFonts w:ascii="Arial" w:hAnsi="Arial" w:cs="Arial"/>
        </w:rPr>
        <w:t xml:space="preserve">” is the amount of time taken between the initial creation of the incident ticket on the Supplier’s system to the recorded acknowledgement in accordance with the ticket classification of the initial resolution / support group of the assignment of the incident ticket. For tickets that are classified as Priority 1 or Priority 2, there must be positive acknowledgement / confirmation within the ticket. This means that the ticket is assigned to a specific resolution team and an individual within that team puts a recorded acknowledgement into the Incident record as part of accepting the assignment to work on the incident record. </w:t>
      </w:r>
    </w:p>
    <w:p w14:paraId="3BF2C959" w14:textId="77879084"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hAnsi="Arial" w:cs="Arial"/>
        </w:rPr>
        <w:t>“</w:t>
      </w:r>
      <w:r w:rsidRPr="00BB50F2">
        <w:rPr>
          <w:rFonts w:ascii="Arial" w:hAnsi="Arial" w:cs="Arial"/>
          <w:b/>
          <w:bCs/>
        </w:rPr>
        <w:t>Acknowledgement Time</w:t>
      </w:r>
      <w:r w:rsidRPr="00BB50F2">
        <w:rPr>
          <w:rFonts w:ascii="Arial" w:hAnsi="Arial" w:cs="Arial"/>
        </w:rPr>
        <w:t xml:space="preserve">” is the amount of time taken between the initial contact by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xml:space="preserve"> and the initial creation of the incident ticket on the Supplier’s system. The Supplier agrees that the Acknowledgement Time is one (1) minute for all Priority Levels.</w:t>
      </w:r>
    </w:p>
    <w:p w14:paraId="6C233A57" w14:textId="77777777"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hAnsi="Arial" w:cs="Arial"/>
        </w:rPr>
        <w:t xml:space="preserve">For all other incidents, the assignment of the ticket to the resolution group is sufficient </w:t>
      </w:r>
      <w:proofErr w:type="gramStart"/>
      <w:r w:rsidRPr="00BB50F2">
        <w:rPr>
          <w:rFonts w:ascii="Arial" w:hAnsi="Arial" w:cs="Arial"/>
        </w:rPr>
        <w:t>provided that</w:t>
      </w:r>
      <w:proofErr w:type="gramEnd"/>
      <w:r w:rsidRPr="00BB50F2">
        <w:rPr>
          <w:rFonts w:ascii="Arial" w:hAnsi="Arial" w:cs="Arial"/>
        </w:rPr>
        <w:t xml:space="preserve"> it is recorded in the incident record.</w:t>
      </w:r>
    </w:p>
    <w:p w14:paraId="1E8201BC" w14:textId="088E5447" w:rsidR="009A2964" w:rsidRPr="00BB50F2" w:rsidRDefault="001F1C19" w:rsidP="009A2964">
      <w:pPr>
        <w:pStyle w:val="Level2"/>
        <w:tabs>
          <w:tab w:val="clear" w:pos="1135"/>
        </w:tabs>
        <w:spacing w:after="120" w:line="240" w:lineRule="auto"/>
        <w:ind w:left="851"/>
        <w:rPr>
          <w:rFonts w:ascii="Arial" w:hAnsi="Arial" w:cs="Arial"/>
        </w:rPr>
      </w:pPr>
      <w:proofErr w:type="spellStart"/>
      <w:r>
        <w:rPr>
          <w:rFonts w:ascii="Arial" w:hAnsi="Arial" w:cs="Arial"/>
        </w:rPr>
        <w:t>Netlink</w:t>
      </w:r>
      <w:proofErr w:type="spellEnd"/>
      <w:r>
        <w:rPr>
          <w:rFonts w:ascii="Arial" w:hAnsi="Arial" w:cs="Arial"/>
        </w:rPr>
        <w:t xml:space="preserve"> Star</w:t>
      </w:r>
      <w:r w:rsidR="009A2964" w:rsidRPr="00BB50F2">
        <w:rPr>
          <w:rFonts w:ascii="Arial" w:hAnsi="Arial" w:cs="Arial"/>
        </w:rPr>
        <w:t xml:space="preserve"> confirmation is the acceptance that the service has been restored. For tickets that are classified as Priority 1 or Priority 2, there must be positive confirmation from </w:t>
      </w:r>
      <w:proofErr w:type="spellStart"/>
      <w:r>
        <w:rPr>
          <w:rFonts w:ascii="Arial" w:hAnsi="Arial" w:cs="Arial"/>
        </w:rPr>
        <w:t>Netlink</w:t>
      </w:r>
      <w:proofErr w:type="spellEnd"/>
      <w:r>
        <w:rPr>
          <w:rFonts w:ascii="Arial" w:hAnsi="Arial" w:cs="Arial"/>
        </w:rPr>
        <w:t xml:space="preserve"> Star</w:t>
      </w:r>
      <w:r w:rsidR="009A2964" w:rsidRPr="00BB50F2">
        <w:rPr>
          <w:rFonts w:ascii="Arial" w:hAnsi="Arial" w:cs="Arial"/>
        </w:rPr>
        <w:t xml:space="preserve">, not to be unreasonably withheld or delayed. For all other classifications, the acknowledgement can be passive confirmation, for example an email sent to </w:t>
      </w:r>
      <w:proofErr w:type="spellStart"/>
      <w:r>
        <w:rPr>
          <w:rFonts w:ascii="Arial" w:hAnsi="Arial" w:cs="Arial"/>
        </w:rPr>
        <w:t>Netlink</w:t>
      </w:r>
      <w:proofErr w:type="spellEnd"/>
      <w:r>
        <w:rPr>
          <w:rFonts w:ascii="Arial" w:hAnsi="Arial" w:cs="Arial"/>
        </w:rPr>
        <w:t xml:space="preserve"> Star</w:t>
      </w:r>
      <w:r w:rsidR="009A2964" w:rsidRPr="00BB50F2">
        <w:rPr>
          <w:rFonts w:ascii="Arial" w:hAnsi="Arial" w:cs="Arial"/>
        </w:rPr>
        <w:t xml:space="preserve"> and proof such as attachment of email with email addresses included in the ticket.  The ticket cannot be closed without positive confirmation from </w:t>
      </w:r>
      <w:proofErr w:type="spellStart"/>
      <w:r>
        <w:rPr>
          <w:rFonts w:ascii="Arial" w:hAnsi="Arial" w:cs="Arial"/>
        </w:rPr>
        <w:t>Netlink</w:t>
      </w:r>
      <w:proofErr w:type="spellEnd"/>
      <w:r>
        <w:rPr>
          <w:rFonts w:ascii="Arial" w:hAnsi="Arial" w:cs="Arial"/>
        </w:rPr>
        <w:t xml:space="preserve"> Star</w:t>
      </w:r>
      <w:r w:rsidR="009A2964" w:rsidRPr="00BB50F2">
        <w:rPr>
          <w:rFonts w:ascii="Arial" w:hAnsi="Arial" w:cs="Arial"/>
        </w:rPr>
        <w:t>.</w:t>
      </w:r>
    </w:p>
    <w:p w14:paraId="7C8952F3" w14:textId="6C718EA0" w:rsidR="009A2964" w:rsidRPr="00BB50F2" w:rsidRDefault="009A2964" w:rsidP="009A2964">
      <w:pPr>
        <w:pStyle w:val="Level2"/>
        <w:tabs>
          <w:tab w:val="clear" w:pos="1135"/>
        </w:tabs>
        <w:spacing w:after="120" w:line="240" w:lineRule="auto"/>
        <w:ind w:left="851"/>
        <w:rPr>
          <w:rFonts w:ascii="Arial" w:hAnsi="Arial" w:cs="Arial"/>
        </w:rPr>
      </w:pPr>
      <w:bookmarkStart w:id="1686" w:name="_Ref82175780"/>
      <w:r w:rsidRPr="00BB50F2">
        <w:rPr>
          <w:rFonts w:ascii="Arial" w:hAnsi="Arial" w:cs="Arial"/>
        </w:rPr>
        <w:t>Table 3 lists the Response Times for Incidents</w:t>
      </w:r>
      <w:r>
        <w:rPr>
          <w:rFonts w:ascii="Arial" w:hAnsi="Arial" w:cs="Arial"/>
        </w:rPr>
        <w:t>.</w:t>
      </w:r>
      <w:r w:rsidRPr="00BB50F2">
        <w:rPr>
          <w:rFonts w:ascii="Arial" w:hAnsi="Arial" w:cs="Arial"/>
        </w:rPr>
        <w:t xml:space="preserve"> The Supplier shall ensure that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xml:space="preserve"> is notified (e.g. for Priority 1 &amp; 2 a ticket shall be raised and a telephone call to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xml:space="preserve"> is required, for Priority 3 &amp; 4, by direct email to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’s management, telephone, dashboard or other tool as agreed) of each Incident in accordance with the applicable Response Time and that resource has been assigned to provide a resolution in accordance with the applicable Incident Resolution Times specified in Table 4.</w:t>
      </w:r>
      <w:bookmarkEnd w:id="1686"/>
      <w:r w:rsidRPr="00BB50F2">
        <w:rPr>
          <w:rFonts w:ascii="Arial" w:hAnsi="Arial" w:cs="Arial"/>
        </w:rPr>
        <w:t xml:space="preserve">    </w:t>
      </w:r>
    </w:p>
    <w:tbl>
      <w:tblPr>
        <w:tblW w:w="2977"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34"/>
        <w:gridCol w:w="1843"/>
      </w:tblGrid>
      <w:tr w:rsidR="009A2964" w:rsidRPr="00BB50F2" w14:paraId="2BCA973B" w14:textId="77777777" w:rsidTr="00F8293A">
        <w:trPr>
          <w:cantSplit/>
          <w:trHeight w:val="315"/>
          <w:tblHeader/>
        </w:trPr>
        <w:tc>
          <w:tcPr>
            <w:tcW w:w="1134" w:type="dxa"/>
          </w:tcPr>
          <w:p w14:paraId="3B402352" w14:textId="77777777" w:rsidR="009A2964" w:rsidRPr="00BB50F2" w:rsidRDefault="009A2964" w:rsidP="00F8293A">
            <w:pPr>
              <w:rPr>
                <w:rFonts w:cs="Arial"/>
                <w:b/>
                <w:bCs/>
              </w:rPr>
            </w:pPr>
            <w:bookmarkStart w:id="1687" w:name="_Hlk73718703"/>
            <w:r w:rsidRPr="00BB50F2">
              <w:rPr>
                <w:rFonts w:cs="Arial"/>
                <w:b/>
                <w:bCs/>
              </w:rPr>
              <w:t>Priority</w:t>
            </w:r>
          </w:p>
        </w:tc>
        <w:tc>
          <w:tcPr>
            <w:tcW w:w="1843" w:type="dxa"/>
          </w:tcPr>
          <w:p w14:paraId="2697E21F" w14:textId="77777777" w:rsidR="009A2964" w:rsidRPr="00BB50F2" w:rsidRDefault="009A2964" w:rsidP="00F8293A">
            <w:pPr>
              <w:rPr>
                <w:rFonts w:cs="Arial"/>
                <w:b/>
                <w:bCs/>
              </w:rPr>
            </w:pPr>
            <w:r w:rsidRPr="00BB50F2">
              <w:rPr>
                <w:rFonts w:cs="Arial"/>
                <w:b/>
                <w:bCs/>
              </w:rPr>
              <w:t>Response Time</w:t>
            </w:r>
          </w:p>
        </w:tc>
      </w:tr>
      <w:tr w:rsidR="009A2964" w:rsidRPr="00BB50F2" w14:paraId="0EB8B40B" w14:textId="77777777" w:rsidTr="00F8293A">
        <w:trPr>
          <w:trHeight w:val="315"/>
        </w:trPr>
        <w:tc>
          <w:tcPr>
            <w:tcW w:w="1134" w:type="dxa"/>
          </w:tcPr>
          <w:p w14:paraId="16186F5A" w14:textId="77777777" w:rsidR="009A2964" w:rsidRPr="00BB50F2" w:rsidRDefault="009A2964" w:rsidP="00F8293A">
            <w:pPr>
              <w:rPr>
                <w:rFonts w:cs="Arial"/>
                <w:b/>
                <w:bCs/>
              </w:rPr>
            </w:pPr>
            <w:r w:rsidRPr="00BB50F2">
              <w:rPr>
                <w:rFonts w:cs="Arial"/>
                <w:b/>
                <w:bCs/>
              </w:rPr>
              <w:t>1</w:t>
            </w:r>
          </w:p>
        </w:tc>
        <w:tc>
          <w:tcPr>
            <w:tcW w:w="1843" w:type="dxa"/>
          </w:tcPr>
          <w:p w14:paraId="42749D06" w14:textId="77777777" w:rsidR="009A2964" w:rsidRPr="00BB50F2" w:rsidRDefault="009A2964" w:rsidP="00F8293A">
            <w:pPr>
              <w:rPr>
                <w:rFonts w:cs="Arial"/>
              </w:rPr>
            </w:pPr>
            <w:r w:rsidRPr="00BB50F2">
              <w:rPr>
                <w:rFonts w:cs="Arial"/>
              </w:rPr>
              <w:t>5 min</w:t>
            </w:r>
          </w:p>
        </w:tc>
      </w:tr>
      <w:tr w:rsidR="009A2964" w:rsidRPr="00BB50F2" w14:paraId="4C7C57EC" w14:textId="77777777" w:rsidTr="00F8293A">
        <w:trPr>
          <w:trHeight w:val="315"/>
        </w:trPr>
        <w:tc>
          <w:tcPr>
            <w:tcW w:w="1134" w:type="dxa"/>
          </w:tcPr>
          <w:p w14:paraId="5EDFBAB3" w14:textId="77777777" w:rsidR="009A2964" w:rsidRPr="00BB50F2" w:rsidRDefault="009A2964" w:rsidP="00F8293A">
            <w:pPr>
              <w:rPr>
                <w:rFonts w:cs="Arial"/>
                <w:b/>
                <w:bCs/>
              </w:rPr>
            </w:pPr>
            <w:r w:rsidRPr="00BB50F2">
              <w:rPr>
                <w:rFonts w:cs="Arial"/>
                <w:b/>
                <w:bCs/>
              </w:rPr>
              <w:t>2</w:t>
            </w:r>
          </w:p>
        </w:tc>
        <w:tc>
          <w:tcPr>
            <w:tcW w:w="1843" w:type="dxa"/>
          </w:tcPr>
          <w:p w14:paraId="480A416A" w14:textId="77777777" w:rsidR="009A2964" w:rsidRPr="00BB50F2" w:rsidRDefault="009A2964" w:rsidP="00F8293A">
            <w:pPr>
              <w:rPr>
                <w:rFonts w:cs="Arial"/>
              </w:rPr>
            </w:pPr>
            <w:r w:rsidRPr="00BB50F2">
              <w:rPr>
                <w:rFonts w:cs="Arial"/>
              </w:rPr>
              <w:t>15 min</w:t>
            </w:r>
          </w:p>
        </w:tc>
      </w:tr>
      <w:tr w:rsidR="009A2964" w:rsidRPr="00BB50F2" w14:paraId="0C198E7D" w14:textId="77777777" w:rsidTr="00F8293A">
        <w:trPr>
          <w:trHeight w:val="315"/>
        </w:trPr>
        <w:tc>
          <w:tcPr>
            <w:tcW w:w="1134" w:type="dxa"/>
          </w:tcPr>
          <w:p w14:paraId="5945DF76" w14:textId="77777777" w:rsidR="009A2964" w:rsidRPr="00BB50F2" w:rsidDel="00563AB7" w:rsidRDefault="009A2964" w:rsidP="00F8293A">
            <w:pPr>
              <w:rPr>
                <w:rFonts w:cs="Arial"/>
                <w:b/>
                <w:bCs/>
              </w:rPr>
            </w:pPr>
            <w:r w:rsidRPr="00BB50F2">
              <w:rPr>
                <w:rFonts w:cs="Arial"/>
                <w:b/>
                <w:bCs/>
              </w:rPr>
              <w:t>3</w:t>
            </w:r>
          </w:p>
        </w:tc>
        <w:tc>
          <w:tcPr>
            <w:tcW w:w="1843" w:type="dxa"/>
          </w:tcPr>
          <w:p w14:paraId="689A8CD4" w14:textId="77777777" w:rsidR="009A2964" w:rsidRPr="00BB50F2" w:rsidRDefault="009A2964" w:rsidP="00F8293A">
            <w:pPr>
              <w:rPr>
                <w:rFonts w:cs="Arial"/>
              </w:rPr>
            </w:pPr>
            <w:r w:rsidRPr="00BB50F2">
              <w:rPr>
                <w:rFonts w:cs="Arial"/>
              </w:rPr>
              <w:t>2 hrs</w:t>
            </w:r>
          </w:p>
        </w:tc>
      </w:tr>
      <w:tr w:rsidR="009A2964" w:rsidRPr="00BB50F2" w14:paraId="6142CF00" w14:textId="77777777" w:rsidTr="00F8293A">
        <w:trPr>
          <w:trHeight w:val="315"/>
        </w:trPr>
        <w:tc>
          <w:tcPr>
            <w:tcW w:w="1134" w:type="dxa"/>
          </w:tcPr>
          <w:p w14:paraId="4B7C1359" w14:textId="77777777" w:rsidR="009A2964" w:rsidRPr="00BB50F2" w:rsidRDefault="009A2964" w:rsidP="00F8293A">
            <w:pPr>
              <w:rPr>
                <w:rFonts w:cs="Arial"/>
                <w:b/>
                <w:bCs/>
              </w:rPr>
            </w:pPr>
            <w:r w:rsidRPr="00BB50F2">
              <w:rPr>
                <w:rFonts w:cs="Arial"/>
                <w:b/>
                <w:bCs/>
              </w:rPr>
              <w:t>4</w:t>
            </w:r>
          </w:p>
        </w:tc>
        <w:tc>
          <w:tcPr>
            <w:tcW w:w="1843" w:type="dxa"/>
          </w:tcPr>
          <w:p w14:paraId="71FF112D" w14:textId="77777777" w:rsidR="009A2964" w:rsidRPr="00BB50F2" w:rsidRDefault="009A2964" w:rsidP="00F8293A">
            <w:pPr>
              <w:rPr>
                <w:rFonts w:cs="Arial"/>
              </w:rPr>
            </w:pPr>
            <w:r w:rsidRPr="00BB50F2">
              <w:rPr>
                <w:rFonts w:cs="Arial"/>
              </w:rPr>
              <w:t>12 hrs</w:t>
            </w:r>
          </w:p>
        </w:tc>
      </w:tr>
      <w:tr w:rsidR="009A2964" w:rsidRPr="00BB50F2" w14:paraId="39B273E2" w14:textId="77777777" w:rsidTr="00F8293A">
        <w:trPr>
          <w:trHeight w:val="315"/>
        </w:trPr>
        <w:tc>
          <w:tcPr>
            <w:tcW w:w="1134" w:type="dxa"/>
          </w:tcPr>
          <w:p w14:paraId="5B0C2351" w14:textId="77777777" w:rsidR="009A2964" w:rsidRPr="00BB50F2" w:rsidRDefault="009A2964" w:rsidP="00F8293A">
            <w:pPr>
              <w:rPr>
                <w:rFonts w:cs="Arial"/>
                <w:b/>
                <w:bCs/>
              </w:rPr>
            </w:pPr>
            <w:r w:rsidRPr="00BB50F2">
              <w:rPr>
                <w:rFonts w:cs="Arial"/>
                <w:b/>
                <w:bCs/>
              </w:rPr>
              <w:t>5</w:t>
            </w:r>
          </w:p>
        </w:tc>
        <w:tc>
          <w:tcPr>
            <w:tcW w:w="1843" w:type="dxa"/>
          </w:tcPr>
          <w:p w14:paraId="7BB3BEFA" w14:textId="77777777" w:rsidR="009A2964" w:rsidRPr="00BB50F2" w:rsidRDefault="009A2964" w:rsidP="00F8293A">
            <w:pPr>
              <w:rPr>
                <w:rFonts w:cs="Arial"/>
              </w:rPr>
            </w:pPr>
            <w:r w:rsidRPr="00BB50F2">
              <w:rPr>
                <w:rFonts w:cs="Arial"/>
              </w:rPr>
              <w:t>12 hrs</w:t>
            </w:r>
          </w:p>
        </w:tc>
      </w:tr>
    </w:tbl>
    <w:bookmarkEnd w:id="1687"/>
    <w:p w14:paraId="0E1470B5" w14:textId="77777777" w:rsidR="009A2964" w:rsidRPr="00BB50F2" w:rsidRDefault="009A2964" w:rsidP="00F8293A">
      <w:pPr>
        <w:pStyle w:val="Caption"/>
        <w:rPr>
          <w:rFonts w:ascii="Arial" w:hAnsi="Arial" w:cs="Arial"/>
        </w:rPr>
      </w:pPr>
      <w:r w:rsidRPr="00BB50F2">
        <w:rPr>
          <w:rFonts w:ascii="Arial" w:hAnsi="Arial" w:cs="Arial"/>
        </w:rPr>
        <w:t xml:space="preserve">Table 3 Service Incident Response Times </w:t>
      </w:r>
    </w:p>
    <w:p w14:paraId="41348DCB" w14:textId="77777777" w:rsidR="009A2964" w:rsidRPr="00BB50F2" w:rsidRDefault="009A2964" w:rsidP="002C7090">
      <w:pPr>
        <w:pStyle w:val="Level2"/>
        <w:keepNext/>
        <w:tabs>
          <w:tab w:val="clear" w:pos="1135"/>
        </w:tabs>
        <w:spacing w:after="120" w:line="240" w:lineRule="auto"/>
        <w:ind w:left="851"/>
        <w:rPr>
          <w:rFonts w:ascii="Arial" w:hAnsi="Arial" w:cs="Arial"/>
        </w:rPr>
      </w:pPr>
      <w:r w:rsidRPr="00BB50F2">
        <w:rPr>
          <w:rFonts w:ascii="Arial" w:hAnsi="Arial" w:cs="Arial"/>
        </w:rPr>
        <w:lastRenderedPageBreak/>
        <w:t>Table 4 lists the Resolution Times for Incidents relating to the Operate Service.</w:t>
      </w:r>
    </w:p>
    <w:tbl>
      <w:tblPr>
        <w:tblW w:w="2977"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34"/>
        <w:gridCol w:w="1843"/>
      </w:tblGrid>
      <w:tr w:rsidR="009A2964" w:rsidRPr="00BB50F2" w14:paraId="61631057" w14:textId="77777777" w:rsidTr="00F8293A">
        <w:trPr>
          <w:cantSplit/>
          <w:trHeight w:val="315"/>
          <w:tblHeader/>
        </w:trPr>
        <w:tc>
          <w:tcPr>
            <w:tcW w:w="1134" w:type="dxa"/>
          </w:tcPr>
          <w:p w14:paraId="18308DE0" w14:textId="77777777" w:rsidR="009A2964" w:rsidRPr="00BB50F2" w:rsidRDefault="009A2964" w:rsidP="00F8293A">
            <w:pPr>
              <w:keepNext/>
              <w:rPr>
                <w:rFonts w:cs="Arial"/>
                <w:b/>
                <w:bCs/>
              </w:rPr>
            </w:pPr>
            <w:r w:rsidRPr="00BB50F2">
              <w:rPr>
                <w:rFonts w:cs="Arial"/>
                <w:b/>
                <w:bCs/>
              </w:rPr>
              <w:t>Priority</w:t>
            </w:r>
          </w:p>
        </w:tc>
        <w:tc>
          <w:tcPr>
            <w:tcW w:w="1843" w:type="dxa"/>
          </w:tcPr>
          <w:p w14:paraId="19BF77C9" w14:textId="77777777" w:rsidR="009A2964" w:rsidRPr="00BB50F2" w:rsidRDefault="009A2964" w:rsidP="00F8293A">
            <w:pPr>
              <w:keepNext/>
              <w:rPr>
                <w:rFonts w:cs="Arial"/>
                <w:b/>
                <w:bCs/>
              </w:rPr>
            </w:pPr>
            <w:r w:rsidRPr="00BB50F2">
              <w:rPr>
                <w:rFonts w:cs="Arial"/>
                <w:b/>
                <w:bCs/>
              </w:rPr>
              <w:t>Resolution Time</w:t>
            </w:r>
          </w:p>
        </w:tc>
      </w:tr>
      <w:tr w:rsidR="009A2964" w:rsidRPr="00BB50F2" w14:paraId="30A89EC9" w14:textId="77777777" w:rsidTr="00F8293A">
        <w:trPr>
          <w:trHeight w:val="315"/>
        </w:trPr>
        <w:tc>
          <w:tcPr>
            <w:tcW w:w="1134" w:type="dxa"/>
          </w:tcPr>
          <w:p w14:paraId="3076CDE5" w14:textId="77777777" w:rsidR="009A2964" w:rsidRPr="00BB50F2" w:rsidRDefault="009A2964" w:rsidP="00F8293A">
            <w:pPr>
              <w:keepNext/>
              <w:rPr>
                <w:rFonts w:cs="Arial"/>
                <w:b/>
                <w:bCs/>
              </w:rPr>
            </w:pPr>
            <w:r w:rsidRPr="00BB50F2">
              <w:rPr>
                <w:rFonts w:cs="Arial"/>
                <w:b/>
                <w:bCs/>
              </w:rPr>
              <w:t>1</w:t>
            </w:r>
          </w:p>
        </w:tc>
        <w:tc>
          <w:tcPr>
            <w:tcW w:w="1843" w:type="dxa"/>
          </w:tcPr>
          <w:p w14:paraId="58C5A06F" w14:textId="77777777" w:rsidR="009A2964" w:rsidRPr="00BB50F2" w:rsidRDefault="009A2964" w:rsidP="00F8293A">
            <w:pPr>
              <w:keepNext/>
              <w:rPr>
                <w:rFonts w:cs="Arial"/>
              </w:rPr>
            </w:pPr>
            <w:r w:rsidRPr="00BB50F2">
              <w:rPr>
                <w:rFonts w:cs="Arial"/>
              </w:rPr>
              <w:t>&lt; 60 mins</w:t>
            </w:r>
          </w:p>
        </w:tc>
      </w:tr>
      <w:tr w:rsidR="009A2964" w:rsidRPr="00BB50F2" w14:paraId="25860F85" w14:textId="77777777" w:rsidTr="00F8293A">
        <w:trPr>
          <w:trHeight w:val="315"/>
        </w:trPr>
        <w:tc>
          <w:tcPr>
            <w:tcW w:w="1134" w:type="dxa"/>
          </w:tcPr>
          <w:p w14:paraId="4FE06467" w14:textId="77777777" w:rsidR="009A2964" w:rsidRPr="00BB50F2" w:rsidRDefault="009A2964" w:rsidP="00F8293A">
            <w:pPr>
              <w:keepNext/>
              <w:rPr>
                <w:rFonts w:cs="Arial"/>
                <w:b/>
                <w:bCs/>
              </w:rPr>
            </w:pPr>
            <w:r w:rsidRPr="00BB50F2">
              <w:rPr>
                <w:rFonts w:cs="Arial"/>
                <w:b/>
                <w:bCs/>
              </w:rPr>
              <w:t>2</w:t>
            </w:r>
          </w:p>
        </w:tc>
        <w:tc>
          <w:tcPr>
            <w:tcW w:w="1843" w:type="dxa"/>
          </w:tcPr>
          <w:p w14:paraId="6E78A605" w14:textId="77777777" w:rsidR="009A2964" w:rsidRPr="00BB50F2" w:rsidRDefault="009A2964" w:rsidP="00F8293A">
            <w:pPr>
              <w:keepNext/>
              <w:rPr>
                <w:rFonts w:cs="Arial"/>
              </w:rPr>
            </w:pPr>
            <w:r w:rsidRPr="00BB50F2">
              <w:rPr>
                <w:rFonts w:cs="Arial"/>
              </w:rPr>
              <w:t>&lt; 2 hrs</w:t>
            </w:r>
          </w:p>
        </w:tc>
      </w:tr>
      <w:tr w:rsidR="009A2964" w:rsidRPr="00BB50F2" w14:paraId="471B17A5" w14:textId="77777777" w:rsidTr="00F8293A">
        <w:trPr>
          <w:trHeight w:val="315"/>
        </w:trPr>
        <w:tc>
          <w:tcPr>
            <w:tcW w:w="1134" w:type="dxa"/>
          </w:tcPr>
          <w:p w14:paraId="230E24FB" w14:textId="77777777" w:rsidR="009A2964" w:rsidRPr="00BB50F2" w:rsidDel="00563AB7" w:rsidRDefault="009A2964" w:rsidP="00F8293A">
            <w:pPr>
              <w:keepNext/>
              <w:rPr>
                <w:rFonts w:cs="Arial"/>
                <w:b/>
                <w:bCs/>
              </w:rPr>
            </w:pPr>
            <w:r w:rsidRPr="00BB50F2">
              <w:rPr>
                <w:rFonts w:cs="Arial"/>
                <w:b/>
                <w:bCs/>
              </w:rPr>
              <w:t>3</w:t>
            </w:r>
          </w:p>
        </w:tc>
        <w:tc>
          <w:tcPr>
            <w:tcW w:w="1843" w:type="dxa"/>
          </w:tcPr>
          <w:p w14:paraId="70AD657B" w14:textId="77777777" w:rsidR="009A2964" w:rsidRPr="00BB50F2" w:rsidRDefault="009A2964" w:rsidP="00F8293A">
            <w:pPr>
              <w:keepNext/>
              <w:rPr>
                <w:rFonts w:cs="Arial"/>
              </w:rPr>
            </w:pPr>
            <w:r w:rsidRPr="00BB50F2">
              <w:rPr>
                <w:rFonts w:cs="Arial"/>
              </w:rPr>
              <w:t>&lt; 8 hrs</w:t>
            </w:r>
          </w:p>
        </w:tc>
      </w:tr>
      <w:tr w:rsidR="009A2964" w:rsidRPr="00BB50F2" w14:paraId="5A33269E" w14:textId="77777777" w:rsidTr="00F8293A">
        <w:trPr>
          <w:trHeight w:val="315"/>
        </w:trPr>
        <w:tc>
          <w:tcPr>
            <w:tcW w:w="1134" w:type="dxa"/>
          </w:tcPr>
          <w:p w14:paraId="7566E76F" w14:textId="77777777" w:rsidR="009A2964" w:rsidRPr="00BB50F2" w:rsidRDefault="009A2964" w:rsidP="00F8293A">
            <w:pPr>
              <w:keepNext/>
              <w:rPr>
                <w:rFonts w:cs="Arial"/>
                <w:b/>
                <w:bCs/>
              </w:rPr>
            </w:pPr>
            <w:r w:rsidRPr="00BB50F2">
              <w:rPr>
                <w:rFonts w:cs="Arial"/>
                <w:b/>
                <w:bCs/>
              </w:rPr>
              <w:t>4</w:t>
            </w:r>
          </w:p>
        </w:tc>
        <w:tc>
          <w:tcPr>
            <w:tcW w:w="1843" w:type="dxa"/>
          </w:tcPr>
          <w:p w14:paraId="07C98D01" w14:textId="77777777" w:rsidR="009A2964" w:rsidRPr="00BB50F2" w:rsidRDefault="009A2964" w:rsidP="00F8293A">
            <w:pPr>
              <w:keepNext/>
              <w:rPr>
                <w:rFonts w:cs="Arial"/>
              </w:rPr>
            </w:pPr>
            <w:r w:rsidRPr="00BB50F2">
              <w:rPr>
                <w:rFonts w:cs="Arial"/>
              </w:rPr>
              <w:t>&lt; 72 hrs</w:t>
            </w:r>
          </w:p>
        </w:tc>
      </w:tr>
      <w:tr w:rsidR="009A2964" w:rsidRPr="00BB50F2" w14:paraId="01CC4769" w14:textId="77777777" w:rsidTr="00F8293A">
        <w:trPr>
          <w:trHeight w:val="315"/>
        </w:trPr>
        <w:tc>
          <w:tcPr>
            <w:tcW w:w="1134" w:type="dxa"/>
          </w:tcPr>
          <w:p w14:paraId="775D71A2" w14:textId="77777777" w:rsidR="009A2964" w:rsidRPr="00BB50F2" w:rsidRDefault="009A2964" w:rsidP="00F8293A">
            <w:pPr>
              <w:keepNext/>
              <w:rPr>
                <w:rFonts w:cs="Arial"/>
                <w:b/>
                <w:bCs/>
              </w:rPr>
            </w:pPr>
            <w:r w:rsidRPr="00BB50F2">
              <w:rPr>
                <w:rFonts w:cs="Arial"/>
                <w:b/>
                <w:bCs/>
              </w:rPr>
              <w:t>5</w:t>
            </w:r>
          </w:p>
        </w:tc>
        <w:tc>
          <w:tcPr>
            <w:tcW w:w="1843" w:type="dxa"/>
          </w:tcPr>
          <w:p w14:paraId="56DD45D1" w14:textId="77777777" w:rsidR="009A2964" w:rsidRPr="00BB50F2" w:rsidRDefault="009A2964" w:rsidP="00F8293A">
            <w:pPr>
              <w:keepNext/>
              <w:rPr>
                <w:rFonts w:cs="Arial"/>
              </w:rPr>
            </w:pPr>
            <w:r w:rsidRPr="00BB50F2">
              <w:rPr>
                <w:rFonts w:cs="Arial"/>
              </w:rPr>
              <w:t>&lt; 120 hrs</w:t>
            </w:r>
          </w:p>
        </w:tc>
      </w:tr>
    </w:tbl>
    <w:p w14:paraId="14DC2A83" w14:textId="77777777" w:rsidR="009A2964" w:rsidRPr="00BB50F2" w:rsidRDefault="009A2964" w:rsidP="00F8293A">
      <w:pPr>
        <w:pStyle w:val="Caption"/>
        <w:rPr>
          <w:rFonts w:ascii="Arial" w:hAnsi="Arial" w:cs="Arial"/>
        </w:rPr>
      </w:pPr>
      <w:r w:rsidRPr="00BB50F2">
        <w:rPr>
          <w:rFonts w:ascii="Arial" w:hAnsi="Arial" w:cs="Arial"/>
        </w:rPr>
        <w:t xml:space="preserve">Table 4 Service Incident Resolution Times </w:t>
      </w:r>
    </w:p>
    <w:p w14:paraId="08841F3A" w14:textId="5B79719B"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hAnsi="Arial" w:cs="Arial"/>
        </w:rPr>
        <w:t xml:space="preserve">The Response Time and Resolution Time are applicable on a 24hrx365 day basis for all Operate Services. In the event of a data centre failing and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xml:space="preserve"> invoking a Disaster Recovery exercise the Supplier shall fully restore all Infrastructure and Platform Components, Service Components in accordance with Schedule 8.6 (Business Continuity and IT Service Continuity) from the failed data centre to the recovery data centre according to the Infrastructure and Platform Recovery Tier Service Levels defined in Table 5.</w:t>
      </w:r>
    </w:p>
    <w:p w14:paraId="4FAEB568" w14:textId="5D082D49" w:rsidR="009A2964" w:rsidRPr="00BB50F2" w:rsidRDefault="009A2964" w:rsidP="009A2964">
      <w:pPr>
        <w:pStyle w:val="Level2"/>
        <w:tabs>
          <w:tab w:val="clear" w:pos="1135"/>
        </w:tabs>
        <w:spacing w:after="120" w:line="240" w:lineRule="auto"/>
        <w:ind w:left="851"/>
        <w:rPr>
          <w:rStyle w:val="eop"/>
          <w:rFonts w:ascii="Arial" w:hAnsi="Arial" w:cs="Arial"/>
        </w:rPr>
      </w:pPr>
      <w:r w:rsidRPr="00BB50F2">
        <w:rPr>
          <w:rFonts w:ascii="Arial" w:hAnsi="Arial" w:cs="Arial"/>
        </w:rPr>
        <w:t xml:space="preserve">The Recovery Tier Service Levels for each Service Components will be finalised with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xml:space="preserve"> as part of the Migration Project</w:t>
      </w:r>
      <w:r w:rsidRPr="003E2248">
        <w:rPr>
          <w:rFonts w:ascii="Arial" w:hAnsi="Arial" w:cs="Arial"/>
        </w:rPr>
        <w:t xml:space="preserve">, </w:t>
      </w:r>
      <w:r w:rsidR="003E2248" w:rsidRPr="003E2248">
        <w:rPr>
          <w:rFonts w:ascii="Arial" w:hAnsi="Arial" w:cs="Arial"/>
        </w:rPr>
        <w:t>or any future projects to migrate or install applications,</w:t>
      </w:r>
      <w:r w:rsidR="003E2248">
        <w:rPr>
          <w:rFonts w:ascii="Arial" w:hAnsi="Arial" w:cs="Arial"/>
        </w:rPr>
        <w:t xml:space="preserve"> </w:t>
      </w:r>
      <w:r w:rsidRPr="00BB50F2">
        <w:rPr>
          <w:rFonts w:ascii="Arial" w:hAnsi="Arial" w:cs="Arial"/>
        </w:rPr>
        <w:t>through the Technical Design Authority according to Schedule 8</w:t>
      </w:r>
      <w:r w:rsidRPr="00BB50F2">
        <w:rPr>
          <w:rStyle w:val="eop"/>
          <w:rFonts w:ascii="Arial" w:hAnsi="Arial" w:cs="Arial"/>
        </w:rPr>
        <w:t>.1 (</w:t>
      </w:r>
      <w:r w:rsidRPr="00087E0D">
        <w:rPr>
          <w:rStyle w:val="eop"/>
          <w:rFonts w:ascii="Arial" w:hAnsi="Arial" w:cs="Arial"/>
        </w:rPr>
        <w:t>Governance</w:t>
      </w:r>
      <w:r w:rsidRPr="00BB50F2">
        <w:rPr>
          <w:rStyle w:val="eop"/>
          <w:rFonts w:ascii="Arial" w:hAnsi="Arial" w:cs="Arial"/>
        </w:rPr>
        <w:t>).</w:t>
      </w:r>
    </w:p>
    <w:tbl>
      <w:tblPr>
        <w:tblStyle w:val="TableGrid0"/>
        <w:tblW w:w="6465" w:type="dxa"/>
        <w:tblInd w:w="1327" w:type="dxa"/>
        <w:tblLook w:val="04A0" w:firstRow="1" w:lastRow="0" w:firstColumn="1" w:lastColumn="0" w:noHBand="0" w:noVBand="1"/>
      </w:tblPr>
      <w:tblGrid>
        <w:gridCol w:w="1362"/>
        <w:gridCol w:w="2409"/>
        <w:gridCol w:w="2694"/>
      </w:tblGrid>
      <w:tr w:rsidR="009A2964" w:rsidRPr="00BB50F2" w14:paraId="7056A1E5" w14:textId="77777777" w:rsidTr="00F8293A">
        <w:trPr>
          <w:trHeight w:val="540"/>
        </w:trPr>
        <w:tc>
          <w:tcPr>
            <w:tcW w:w="1362" w:type="dxa"/>
          </w:tcPr>
          <w:p w14:paraId="45FEFB92" w14:textId="77777777" w:rsidR="009A2964" w:rsidRPr="00822819" w:rsidRDefault="009A2964" w:rsidP="00F8293A">
            <w:pPr>
              <w:jc w:val="left"/>
              <w:rPr>
                <w:rFonts w:ascii="Arial" w:hAnsi="Arial" w:cs="Arial"/>
                <w:sz w:val="20"/>
                <w:szCs w:val="20"/>
              </w:rPr>
            </w:pPr>
            <w:bookmarkStart w:id="1688" w:name="_Hlk74306951"/>
            <w:r w:rsidRPr="00822819">
              <w:rPr>
                <w:rFonts w:ascii="Arial" w:hAnsi="Arial" w:cs="Arial"/>
                <w:sz w:val="20"/>
                <w:szCs w:val="20"/>
              </w:rPr>
              <w:t>Recovery</w:t>
            </w:r>
          </w:p>
          <w:p w14:paraId="6205D6FF" w14:textId="77777777" w:rsidR="009A2964" w:rsidRPr="00822819" w:rsidRDefault="009A2964" w:rsidP="00F8293A">
            <w:pPr>
              <w:jc w:val="left"/>
              <w:rPr>
                <w:rFonts w:ascii="Arial" w:hAnsi="Arial" w:cs="Arial"/>
                <w:sz w:val="20"/>
                <w:szCs w:val="20"/>
              </w:rPr>
            </w:pPr>
            <w:r w:rsidRPr="00822819">
              <w:rPr>
                <w:rFonts w:ascii="Arial" w:hAnsi="Arial" w:cs="Arial"/>
                <w:sz w:val="20"/>
                <w:szCs w:val="20"/>
              </w:rPr>
              <w:t>Tier-Level</w:t>
            </w:r>
          </w:p>
        </w:tc>
        <w:tc>
          <w:tcPr>
            <w:tcW w:w="2409" w:type="dxa"/>
          </w:tcPr>
          <w:p w14:paraId="1515CF01" w14:textId="77777777" w:rsidR="009A2964" w:rsidRPr="00822819" w:rsidRDefault="009A2964" w:rsidP="00F8293A">
            <w:pPr>
              <w:jc w:val="left"/>
              <w:rPr>
                <w:rFonts w:ascii="Arial" w:hAnsi="Arial" w:cs="Arial"/>
                <w:sz w:val="20"/>
                <w:szCs w:val="20"/>
              </w:rPr>
            </w:pPr>
            <w:r w:rsidRPr="00822819">
              <w:rPr>
                <w:rFonts w:ascii="Arial" w:hAnsi="Arial" w:cs="Arial"/>
                <w:sz w:val="20"/>
                <w:szCs w:val="20"/>
              </w:rPr>
              <w:t>Return To Operations</w:t>
            </w:r>
          </w:p>
        </w:tc>
        <w:tc>
          <w:tcPr>
            <w:tcW w:w="2694" w:type="dxa"/>
          </w:tcPr>
          <w:p w14:paraId="00B30F17" w14:textId="77777777" w:rsidR="009A2964" w:rsidRPr="00822819" w:rsidRDefault="009A2964" w:rsidP="00F8293A">
            <w:pPr>
              <w:jc w:val="left"/>
              <w:rPr>
                <w:rFonts w:ascii="Arial" w:hAnsi="Arial" w:cs="Arial"/>
                <w:sz w:val="20"/>
                <w:szCs w:val="20"/>
              </w:rPr>
            </w:pPr>
            <w:r w:rsidRPr="00822819">
              <w:rPr>
                <w:rFonts w:ascii="Arial" w:hAnsi="Arial" w:cs="Arial"/>
                <w:sz w:val="20"/>
                <w:szCs w:val="20"/>
              </w:rPr>
              <w:t>Recovery Point Objectives</w:t>
            </w:r>
          </w:p>
        </w:tc>
      </w:tr>
      <w:tr w:rsidR="009A2964" w:rsidRPr="00BB50F2" w14:paraId="124CB04C" w14:textId="77777777" w:rsidTr="00F8293A">
        <w:tc>
          <w:tcPr>
            <w:tcW w:w="1362" w:type="dxa"/>
            <w:vAlign w:val="center"/>
          </w:tcPr>
          <w:p w14:paraId="468DC567" w14:textId="77777777" w:rsidR="009A2964" w:rsidRPr="00822819" w:rsidRDefault="009A2964" w:rsidP="00F8293A">
            <w:pPr>
              <w:jc w:val="left"/>
              <w:rPr>
                <w:rFonts w:ascii="Arial" w:hAnsi="Arial" w:cs="Arial"/>
                <w:sz w:val="20"/>
                <w:szCs w:val="20"/>
              </w:rPr>
            </w:pPr>
            <w:r w:rsidRPr="00822819">
              <w:rPr>
                <w:rStyle w:val="normaltextrun"/>
                <w:rFonts w:ascii="Arial" w:hAnsi="Arial" w:cs="Arial"/>
                <w:sz w:val="20"/>
                <w:szCs w:val="20"/>
              </w:rPr>
              <w:t>Tier 0</w:t>
            </w:r>
            <w:r w:rsidRPr="00822819">
              <w:rPr>
                <w:rStyle w:val="eop"/>
                <w:rFonts w:ascii="Arial" w:hAnsi="Arial" w:cs="Arial"/>
                <w:sz w:val="20"/>
                <w:szCs w:val="20"/>
              </w:rPr>
              <w:t> </w:t>
            </w:r>
          </w:p>
        </w:tc>
        <w:tc>
          <w:tcPr>
            <w:tcW w:w="2409" w:type="dxa"/>
            <w:vAlign w:val="center"/>
          </w:tcPr>
          <w:p w14:paraId="47DAE57F" w14:textId="77777777" w:rsidR="009A2964" w:rsidRPr="00822819" w:rsidRDefault="009A2964" w:rsidP="00F8293A">
            <w:pPr>
              <w:jc w:val="left"/>
              <w:rPr>
                <w:rFonts w:ascii="Arial" w:hAnsi="Arial" w:cs="Arial"/>
                <w:sz w:val="20"/>
                <w:szCs w:val="20"/>
              </w:rPr>
            </w:pPr>
            <w:r w:rsidRPr="00822819">
              <w:rPr>
                <w:rStyle w:val="normaltextrun"/>
                <w:rFonts w:ascii="Arial" w:hAnsi="Arial" w:cs="Arial"/>
                <w:sz w:val="20"/>
                <w:szCs w:val="20"/>
              </w:rPr>
              <w:t>&lt;15 min</w:t>
            </w:r>
            <w:r w:rsidRPr="00822819">
              <w:rPr>
                <w:rStyle w:val="eop"/>
                <w:rFonts w:ascii="Arial" w:hAnsi="Arial" w:cs="Arial"/>
                <w:sz w:val="20"/>
                <w:szCs w:val="20"/>
              </w:rPr>
              <w:t> </w:t>
            </w:r>
          </w:p>
        </w:tc>
        <w:tc>
          <w:tcPr>
            <w:tcW w:w="2694" w:type="dxa"/>
            <w:vAlign w:val="center"/>
          </w:tcPr>
          <w:p w14:paraId="33A31440" w14:textId="494423E7" w:rsidR="009A2964" w:rsidRPr="00822819" w:rsidRDefault="003E2248" w:rsidP="00F8293A">
            <w:pPr>
              <w:jc w:val="left"/>
              <w:rPr>
                <w:rFonts w:ascii="Arial" w:hAnsi="Arial" w:cs="Arial"/>
                <w:sz w:val="20"/>
                <w:szCs w:val="20"/>
              </w:rPr>
            </w:pPr>
            <w:r>
              <w:rPr>
                <w:rStyle w:val="eop"/>
              </w:rPr>
              <w:t>Incident Occurrence</w:t>
            </w:r>
          </w:p>
        </w:tc>
      </w:tr>
      <w:tr w:rsidR="009A2964" w:rsidRPr="00BB50F2" w14:paraId="1BFA8FDD" w14:textId="77777777" w:rsidTr="00F8293A">
        <w:tc>
          <w:tcPr>
            <w:tcW w:w="1362" w:type="dxa"/>
            <w:vAlign w:val="center"/>
          </w:tcPr>
          <w:p w14:paraId="23140D4E" w14:textId="77777777" w:rsidR="009A2964" w:rsidRPr="00822819" w:rsidRDefault="009A2964" w:rsidP="00F8293A">
            <w:pPr>
              <w:jc w:val="left"/>
              <w:rPr>
                <w:rFonts w:ascii="Arial" w:hAnsi="Arial" w:cs="Arial"/>
                <w:sz w:val="20"/>
                <w:szCs w:val="20"/>
              </w:rPr>
            </w:pPr>
            <w:r w:rsidRPr="00822819">
              <w:rPr>
                <w:rStyle w:val="normaltextrun"/>
                <w:rFonts w:ascii="Arial" w:hAnsi="Arial" w:cs="Arial"/>
                <w:sz w:val="20"/>
                <w:szCs w:val="20"/>
              </w:rPr>
              <w:t>Tier 1</w:t>
            </w:r>
            <w:r w:rsidRPr="00822819">
              <w:rPr>
                <w:rStyle w:val="eop"/>
                <w:rFonts w:ascii="Arial" w:hAnsi="Arial" w:cs="Arial"/>
                <w:sz w:val="20"/>
                <w:szCs w:val="20"/>
              </w:rPr>
              <w:t> </w:t>
            </w:r>
          </w:p>
        </w:tc>
        <w:tc>
          <w:tcPr>
            <w:tcW w:w="2409" w:type="dxa"/>
            <w:vAlign w:val="center"/>
          </w:tcPr>
          <w:p w14:paraId="534F3DEE" w14:textId="77777777" w:rsidR="009A2964" w:rsidRPr="00822819" w:rsidRDefault="009A2964" w:rsidP="00F8293A">
            <w:pPr>
              <w:jc w:val="left"/>
              <w:rPr>
                <w:rFonts w:ascii="Arial" w:hAnsi="Arial" w:cs="Arial"/>
                <w:sz w:val="20"/>
                <w:szCs w:val="20"/>
              </w:rPr>
            </w:pPr>
            <w:r w:rsidRPr="00822819">
              <w:rPr>
                <w:rStyle w:val="normaltextrun"/>
                <w:rFonts w:ascii="Arial" w:hAnsi="Arial" w:cs="Arial"/>
                <w:sz w:val="20"/>
                <w:szCs w:val="20"/>
              </w:rPr>
              <w:t>1 Hr</w:t>
            </w:r>
            <w:r w:rsidRPr="00822819">
              <w:rPr>
                <w:rStyle w:val="eop"/>
                <w:rFonts w:ascii="Arial" w:hAnsi="Arial" w:cs="Arial"/>
                <w:sz w:val="20"/>
                <w:szCs w:val="20"/>
              </w:rPr>
              <w:t> </w:t>
            </w:r>
          </w:p>
        </w:tc>
        <w:tc>
          <w:tcPr>
            <w:tcW w:w="2694" w:type="dxa"/>
            <w:vAlign w:val="center"/>
          </w:tcPr>
          <w:p w14:paraId="2207B013" w14:textId="77777777" w:rsidR="009A2964" w:rsidRPr="00822819" w:rsidRDefault="009A2964" w:rsidP="00F8293A">
            <w:pPr>
              <w:jc w:val="left"/>
              <w:rPr>
                <w:rFonts w:ascii="Arial" w:hAnsi="Arial" w:cs="Arial"/>
                <w:sz w:val="20"/>
                <w:szCs w:val="20"/>
              </w:rPr>
            </w:pPr>
            <w:r w:rsidRPr="00822819">
              <w:rPr>
                <w:rStyle w:val="normaltextrun"/>
                <w:rFonts w:ascii="Arial" w:hAnsi="Arial" w:cs="Arial"/>
                <w:sz w:val="20"/>
                <w:szCs w:val="20"/>
              </w:rPr>
              <w:t>30 min</w:t>
            </w:r>
            <w:r w:rsidRPr="00822819">
              <w:rPr>
                <w:rStyle w:val="eop"/>
                <w:rFonts w:ascii="Arial" w:hAnsi="Arial" w:cs="Arial"/>
                <w:sz w:val="20"/>
                <w:szCs w:val="20"/>
              </w:rPr>
              <w:t> </w:t>
            </w:r>
          </w:p>
        </w:tc>
      </w:tr>
      <w:tr w:rsidR="009A2964" w:rsidRPr="00BB50F2" w14:paraId="4FDC7CC6" w14:textId="77777777" w:rsidTr="00F8293A">
        <w:tc>
          <w:tcPr>
            <w:tcW w:w="1362" w:type="dxa"/>
            <w:vAlign w:val="center"/>
          </w:tcPr>
          <w:p w14:paraId="766DC548" w14:textId="77777777" w:rsidR="009A2964" w:rsidRPr="00822819" w:rsidRDefault="009A2964" w:rsidP="00F8293A">
            <w:pPr>
              <w:jc w:val="left"/>
              <w:rPr>
                <w:rFonts w:ascii="Arial" w:hAnsi="Arial" w:cs="Arial"/>
                <w:sz w:val="20"/>
                <w:szCs w:val="20"/>
              </w:rPr>
            </w:pPr>
            <w:r w:rsidRPr="00822819">
              <w:rPr>
                <w:rStyle w:val="normaltextrun"/>
                <w:rFonts w:ascii="Arial" w:hAnsi="Arial" w:cs="Arial"/>
                <w:sz w:val="20"/>
                <w:szCs w:val="20"/>
              </w:rPr>
              <w:t>Tier 2</w:t>
            </w:r>
            <w:r w:rsidRPr="00822819">
              <w:rPr>
                <w:rStyle w:val="eop"/>
                <w:rFonts w:ascii="Arial" w:hAnsi="Arial" w:cs="Arial"/>
                <w:sz w:val="20"/>
                <w:szCs w:val="20"/>
              </w:rPr>
              <w:t> </w:t>
            </w:r>
          </w:p>
        </w:tc>
        <w:tc>
          <w:tcPr>
            <w:tcW w:w="2409" w:type="dxa"/>
            <w:vAlign w:val="center"/>
          </w:tcPr>
          <w:p w14:paraId="6C365D9B" w14:textId="77777777" w:rsidR="009A2964" w:rsidRPr="00822819" w:rsidRDefault="009A2964" w:rsidP="00F8293A">
            <w:pPr>
              <w:jc w:val="left"/>
              <w:rPr>
                <w:rFonts w:ascii="Arial" w:hAnsi="Arial" w:cs="Arial"/>
                <w:sz w:val="20"/>
                <w:szCs w:val="20"/>
              </w:rPr>
            </w:pPr>
            <w:r w:rsidRPr="00822819">
              <w:rPr>
                <w:rStyle w:val="normaltextrun"/>
                <w:rFonts w:ascii="Arial" w:hAnsi="Arial" w:cs="Arial"/>
                <w:sz w:val="20"/>
                <w:szCs w:val="20"/>
              </w:rPr>
              <w:t>4 Hrs</w:t>
            </w:r>
            <w:r w:rsidRPr="00822819">
              <w:rPr>
                <w:rStyle w:val="eop"/>
                <w:rFonts w:ascii="Arial" w:hAnsi="Arial" w:cs="Arial"/>
                <w:sz w:val="20"/>
                <w:szCs w:val="20"/>
              </w:rPr>
              <w:t> </w:t>
            </w:r>
          </w:p>
        </w:tc>
        <w:tc>
          <w:tcPr>
            <w:tcW w:w="2694" w:type="dxa"/>
            <w:vAlign w:val="center"/>
          </w:tcPr>
          <w:p w14:paraId="7CB1E649" w14:textId="77777777" w:rsidR="009A2964" w:rsidRPr="00822819" w:rsidRDefault="009A2964" w:rsidP="00F8293A">
            <w:pPr>
              <w:jc w:val="left"/>
              <w:rPr>
                <w:rFonts w:ascii="Arial" w:hAnsi="Arial" w:cs="Arial"/>
                <w:sz w:val="20"/>
                <w:szCs w:val="20"/>
              </w:rPr>
            </w:pPr>
            <w:r w:rsidRPr="00822819">
              <w:rPr>
                <w:rStyle w:val="normaltextrun"/>
                <w:rFonts w:ascii="Arial" w:hAnsi="Arial" w:cs="Arial"/>
                <w:sz w:val="20"/>
                <w:szCs w:val="20"/>
              </w:rPr>
              <w:t>4 Hrs</w:t>
            </w:r>
            <w:r w:rsidRPr="00822819">
              <w:rPr>
                <w:rStyle w:val="eop"/>
                <w:rFonts w:ascii="Arial" w:hAnsi="Arial" w:cs="Arial"/>
                <w:sz w:val="20"/>
                <w:szCs w:val="20"/>
              </w:rPr>
              <w:t> </w:t>
            </w:r>
          </w:p>
        </w:tc>
      </w:tr>
      <w:tr w:rsidR="009A2964" w:rsidRPr="00BB50F2" w14:paraId="6CEAA357" w14:textId="77777777" w:rsidTr="00F8293A">
        <w:tc>
          <w:tcPr>
            <w:tcW w:w="1362" w:type="dxa"/>
            <w:vAlign w:val="center"/>
          </w:tcPr>
          <w:p w14:paraId="58AB9451" w14:textId="77777777" w:rsidR="009A2964" w:rsidRPr="00822819" w:rsidRDefault="009A2964" w:rsidP="00F8293A">
            <w:pPr>
              <w:jc w:val="left"/>
              <w:rPr>
                <w:rFonts w:ascii="Arial" w:hAnsi="Arial" w:cs="Arial"/>
                <w:sz w:val="20"/>
                <w:szCs w:val="20"/>
              </w:rPr>
            </w:pPr>
            <w:r w:rsidRPr="00822819">
              <w:rPr>
                <w:rStyle w:val="normaltextrun"/>
                <w:rFonts w:ascii="Arial" w:hAnsi="Arial" w:cs="Arial"/>
                <w:sz w:val="20"/>
                <w:szCs w:val="20"/>
              </w:rPr>
              <w:t>Tier 3</w:t>
            </w:r>
            <w:r w:rsidRPr="00822819">
              <w:rPr>
                <w:rStyle w:val="eop"/>
                <w:rFonts w:ascii="Arial" w:hAnsi="Arial" w:cs="Arial"/>
                <w:sz w:val="20"/>
                <w:szCs w:val="20"/>
              </w:rPr>
              <w:t> </w:t>
            </w:r>
          </w:p>
        </w:tc>
        <w:tc>
          <w:tcPr>
            <w:tcW w:w="2409" w:type="dxa"/>
            <w:vAlign w:val="center"/>
          </w:tcPr>
          <w:p w14:paraId="4965BFD7" w14:textId="77777777" w:rsidR="009A2964" w:rsidRPr="00822819" w:rsidRDefault="009A2964" w:rsidP="00F8293A">
            <w:pPr>
              <w:jc w:val="left"/>
              <w:rPr>
                <w:rFonts w:ascii="Arial" w:hAnsi="Arial" w:cs="Arial"/>
                <w:sz w:val="20"/>
                <w:szCs w:val="20"/>
              </w:rPr>
            </w:pPr>
            <w:r w:rsidRPr="00822819">
              <w:rPr>
                <w:rStyle w:val="normaltextrun"/>
                <w:rFonts w:ascii="Arial" w:hAnsi="Arial" w:cs="Arial"/>
                <w:sz w:val="20"/>
                <w:szCs w:val="20"/>
              </w:rPr>
              <w:t>12 Hrs</w:t>
            </w:r>
            <w:r w:rsidRPr="00822819">
              <w:rPr>
                <w:rStyle w:val="eop"/>
                <w:rFonts w:ascii="Arial" w:hAnsi="Arial" w:cs="Arial"/>
                <w:sz w:val="20"/>
                <w:szCs w:val="20"/>
              </w:rPr>
              <w:t> </w:t>
            </w:r>
          </w:p>
        </w:tc>
        <w:tc>
          <w:tcPr>
            <w:tcW w:w="2694" w:type="dxa"/>
            <w:vAlign w:val="center"/>
          </w:tcPr>
          <w:p w14:paraId="5F7D81D5" w14:textId="77777777" w:rsidR="009A2964" w:rsidRPr="00822819" w:rsidRDefault="009A2964" w:rsidP="00F8293A">
            <w:pPr>
              <w:jc w:val="left"/>
              <w:rPr>
                <w:rFonts w:ascii="Arial" w:hAnsi="Arial" w:cs="Arial"/>
                <w:sz w:val="20"/>
                <w:szCs w:val="20"/>
              </w:rPr>
            </w:pPr>
            <w:r w:rsidRPr="00822819">
              <w:rPr>
                <w:rStyle w:val="normaltextrun"/>
                <w:rFonts w:ascii="Arial" w:hAnsi="Arial" w:cs="Arial"/>
                <w:sz w:val="20"/>
                <w:szCs w:val="20"/>
              </w:rPr>
              <w:t>24 Hrs</w:t>
            </w:r>
            <w:r w:rsidRPr="00822819">
              <w:rPr>
                <w:rStyle w:val="eop"/>
                <w:rFonts w:ascii="Arial" w:hAnsi="Arial" w:cs="Arial"/>
                <w:sz w:val="20"/>
                <w:szCs w:val="20"/>
              </w:rPr>
              <w:t> </w:t>
            </w:r>
          </w:p>
        </w:tc>
      </w:tr>
      <w:tr w:rsidR="009A2964" w:rsidRPr="00BB50F2" w14:paraId="67DA5A57" w14:textId="77777777" w:rsidTr="00F8293A">
        <w:tc>
          <w:tcPr>
            <w:tcW w:w="1362" w:type="dxa"/>
            <w:vAlign w:val="center"/>
          </w:tcPr>
          <w:p w14:paraId="00892E14" w14:textId="77777777" w:rsidR="009A2964" w:rsidRPr="00822819" w:rsidRDefault="009A2964" w:rsidP="00F8293A">
            <w:pPr>
              <w:jc w:val="left"/>
              <w:rPr>
                <w:rFonts w:ascii="Arial" w:hAnsi="Arial" w:cs="Arial"/>
                <w:sz w:val="20"/>
                <w:szCs w:val="20"/>
              </w:rPr>
            </w:pPr>
            <w:r w:rsidRPr="00822819">
              <w:rPr>
                <w:rStyle w:val="normaltextrun"/>
                <w:rFonts w:ascii="Arial" w:hAnsi="Arial" w:cs="Arial"/>
                <w:sz w:val="20"/>
                <w:szCs w:val="20"/>
              </w:rPr>
              <w:t>Tier 4</w:t>
            </w:r>
            <w:r w:rsidRPr="00822819">
              <w:rPr>
                <w:rStyle w:val="eop"/>
                <w:rFonts w:ascii="Arial" w:hAnsi="Arial" w:cs="Arial"/>
                <w:sz w:val="20"/>
                <w:szCs w:val="20"/>
              </w:rPr>
              <w:t> </w:t>
            </w:r>
          </w:p>
        </w:tc>
        <w:tc>
          <w:tcPr>
            <w:tcW w:w="2409" w:type="dxa"/>
            <w:vAlign w:val="center"/>
          </w:tcPr>
          <w:p w14:paraId="29B97747" w14:textId="77777777" w:rsidR="009A2964" w:rsidRPr="00822819" w:rsidRDefault="009A2964" w:rsidP="00F8293A">
            <w:pPr>
              <w:jc w:val="left"/>
              <w:rPr>
                <w:rFonts w:ascii="Arial" w:hAnsi="Arial" w:cs="Arial"/>
                <w:sz w:val="20"/>
                <w:szCs w:val="20"/>
              </w:rPr>
            </w:pPr>
            <w:r w:rsidRPr="00822819">
              <w:rPr>
                <w:rStyle w:val="normaltextrun"/>
                <w:rFonts w:ascii="Arial" w:hAnsi="Arial" w:cs="Arial"/>
                <w:sz w:val="20"/>
                <w:szCs w:val="20"/>
              </w:rPr>
              <w:t>1.5 Days</w:t>
            </w:r>
            <w:r w:rsidRPr="00822819">
              <w:rPr>
                <w:rStyle w:val="eop"/>
                <w:rFonts w:ascii="Arial" w:hAnsi="Arial" w:cs="Arial"/>
                <w:sz w:val="20"/>
                <w:szCs w:val="20"/>
              </w:rPr>
              <w:t> </w:t>
            </w:r>
          </w:p>
        </w:tc>
        <w:tc>
          <w:tcPr>
            <w:tcW w:w="2694" w:type="dxa"/>
            <w:vAlign w:val="center"/>
          </w:tcPr>
          <w:p w14:paraId="4B21B99B" w14:textId="77777777" w:rsidR="009A2964" w:rsidRPr="00822819" w:rsidRDefault="009A2964" w:rsidP="00F8293A">
            <w:pPr>
              <w:jc w:val="left"/>
              <w:rPr>
                <w:rFonts w:ascii="Arial" w:hAnsi="Arial" w:cs="Arial"/>
                <w:sz w:val="20"/>
                <w:szCs w:val="20"/>
              </w:rPr>
            </w:pPr>
            <w:r w:rsidRPr="00822819">
              <w:rPr>
                <w:rStyle w:val="normaltextrun"/>
                <w:rFonts w:ascii="Arial" w:hAnsi="Arial" w:cs="Arial"/>
                <w:sz w:val="20"/>
                <w:szCs w:val="20"/>
              </w:rPr>
              <w:t>3 Days</w:t>
            </w:r>
            <w:r w:rsidRPr="00822819">
              <w:rPr>
                <w:rStyle w:val="eop"/>
                <w:rFonts w:ascii="Arial" w:hAnsi="Arial" w:cs="Arial"/>
                <w:sz w:val="20"/>
                <w:szCs w:val="20"/>
              </w:rPr>
              <w:t> </w:t>
            </w:r>
          </w:p>
        </w:tc>
      </w:tr>
      <w:tr w:rsidR="009A2964" w:rsidRPr="00BB50F2" w14:paraId="378F8C02" w14:textId="77777777" w:rsidTr="00F8293A">
        <w:tc>
          <w:tcPr>
            <w:tcW w:w="1362" w:type="dxa"/>
            <w:vAlign w:val="center"/>
          </w:tcPr>
          <w:p w14:paraId="3EC8BAD6" w14:textId="77777777" w:rsidR="009A2964" w:rsidRPr="00822819" w:rsidRDefault="009A2964" w:rsidP="00F8293A">
            <w:pPr>
              <w:jc w:val="left"/>
              <w:rPr>
                <w:rFonts w:ascii="Arial" w:hAnsi="Arial" w:cs="Arial"/>
                <w:sz w:val="20"/>
                <w:szCs w:val="20"/>
              </w:rPr>
            </w:pPr>
            <w:r w:rsidRPr="00822819">
              <w:rPr>
                <w:rStyle w:val="normaltextrun"/>
                <w:rFonts w:ascii="Arial" w:hAnsi="Arial" w:cs="Arial"/>
                <w:sz w:val="20"/>
                <w:szCs w:val="20"/>
              </w:rPr>
              <w:t>Tier 5</w:t>
            </w:r>
            <w:r w:rsidRPr="00822819">
              <w:rPr>
                <w:rStyle w:val="eop"/>
                <w:rFonts w:ascii="Arial" w:hAnsi="Arial" w:cs="Arial"/>
                <w:sz w:val="20"/>
                <w:szCs w:val="20"/>
              </w:rPr>
              <w:t> </w:t>
            </w:r>
          </w:p>
        </w:tc>
        <w:tc>
          <w:tcPr>
            <w:tcW w:w="2409" w:type="dxa"/>
            <w:vAlign w:val="center"/>
          </w:tcPr>
          <w:p w14:paraId="35B4678E" w14:textId="77777777" w:rsidR="009A2964" w:rsidRPr="00822819" w:rsidRDefault="009A2964" w:rsidP="00F8293A">
            <w:pPr>
              <w:jc w:val="left"/>
              <w:rPr>
                <w:rFonts w:ascii="Arial" w:hAnsi="Arial" w:cs="Arial"/>
                <w:sz w:val="20"/>
                <w:szCs w:val="20"/>
              </w:rPr>
            </w:pPr>
            <w:r w:rsidRPr="00822819">
              <w:rPr>
                <w:rStyle w:val="normaltextrun"/>
                <w:rFonts w:ascii="Arial" w:hAnsi="Arial" w:cs="Arial"/>
                <w:sz w:val="20"/>
                <w:szCs w:val="20"/>
              </w:rPr>
              <w:t>2 Days</w:t>
            </w:r>
            <w:r w:rsidRPr="00822819">
              <w:rPr>
                <w:rStyle w:val="eop"/>
                <w:rFonts w:ascii="Arial" w:hAnsi="Arial" w:cs="Arial"/>
                <w:sz w:val="20"/>
                <w:szCs w:val="20"/>
              </w:rPr>
              <w:t> </w:t>
            </w:r>
          </w:p>
        </w:tc>
        <w:tc>
          <w:tcPr>
            <w:tcW w:w="2694" w:type="dxa"/>
            <w:vAlign w:val="center"/>
          </w:tcPr>
          <w:p w14:paraId="64F574D2" w14:textId="77777777" w:rsidR="009A2964" w:rsidRPr="00822819" w:rsidRDefault="009A2964" w:rsidP="00F8293A">
            <w:pPr>
              <w:jc w:val="left"/>
              <w:rPr>
                <w:rFonts w:ascii="Arial" w:hAnsi="Arial" w:cs="Arial"/>
                <w:sz w:val="20"/>
                <w:szCs w:val="20"/>
              </w:rPr>
            </w:pPr>
            <w:r w:rsidRPr="00822819">
              <w:rPr>
                <w:rStyle w:val="normaltextrun"/>
                <w:rFonts w:ascii="Arial" w:hAnsi="Arial" w:cs="Arial"/>
                <w:sz w:val="20"/>
                <w:szCs w:val="20"/>
              </w:rPr>
              <w:t>28 days</w:t>
            </w:r>
            <w:r w:rsidRPr="00822819">
              <w:rPr>
                <w:rStyle w:val="eop"/>
                <w:rFonts w:ascii="Arial" w:hAnsi="Arial" w:cs="Arial"/>
                <w:sz w:val="20"/>
                <w:szCs w:val="20"/>
              </w:rPr>
              <w:t> </w:t>
            </w:r>
          </w:p>
        </w:tc>
      </w:tr>
    </w:tbl>
    <w:bookmarkEnd w:id="1688"/>
    <w:p w14:paraId="18FAFBE6" w14:textId="77777777" w:rsidR="009A2964" w:rsidRPr="00BB50F2" w:rsidRDefault="009A2964" w:rsidP="00F8293A">
      <w:pPr>
        <w:pStyle w:val="Caption"/>
        <w:rPr>
          <w:rFonts w:ascii="Arial" w:hAnsi="Arial" w:cs="Arial"/>
        </w:rPr>
      </w:pPr>
      <w:r w:rsidRPr="00BB50F2">
        <w:rPr>
          <w:rFonts w:ascii="Arial" w:hAnsi="Arial" w:cs="Arial"/>
        </w:rPr>
        <w:t>Table 5 Service Components Recovery Point and Times</w:t>
      </w:r>
    </w:p>
    <w:p w14:paraId="6F9E71DB" w14:textId="77777777"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hAnsi="Arial" w:cs="Arial"/>
          <w:lang w:val="en-US"/>
        </w:rPr>
        <w:t xml:space="preserve">The following </w:t>
      </w:r>
      <w:r w:rsidRPr="00BB50F2">
        <w:rPr>
          <w:rFonts w:ascii="Arial" w:hAnsi="Arial" w:cs="Arial"/>
        </w:rPr>
        <w:t>terms</w:t>
      </w:r>
      <w:r w:rsidRPr="00BB50F2">
        <w:rPr>
          <w:rFonts w:ascii="Arial" w:hAnsi="Arial" w:cs="Arial"/>
          <w:lang w:val="en-US"/>
        </w:rPr>
        <w:t xml:space="preserve"> used in </w:t>
      </w:r>
      <w:r w:rsidRPr="000C516C">
        <w:rPr>
          <w:rFonts w:ascii="Arial" w:hAnsi="Arial" w:cs="Arial"/>
        </w:rPr>
        <w:t>Schedule</w:t>
      </w:r>
      <w:r w:rsidRPr="00BB50F2">
        <w:rPr>
          <w:rFonts w:ascii="Arial" w:hAnsi="Arial" w:cs="Arial"/>
          <w:lang w:val="en-US"/>
        </w:rPr>
        <w:t xml:space="preserve"> 7.4 (Product and Service Catalogue) shall have the following meanings in relation to Service Level R-9:</w:t>
      </w:r>
    </w:p>
    <w:p w14:paraId="2C82CD74" w14:textId="76BF2D49" w:rsidR="009A2964" w:rsidRPr="00BB50F2" w:rsidRDefault="009A2964" w:rsidP="009A2964">
      <w:pPr>
        <w:pStyle w:val="Level3"/>
        <w:spacing w:line="240" w:lineRule="auto"/>
        <w:ind w:hanging="851"/>
        <w:rPr>
          <w:rFonts w:ascii="Arial" w:hAnsi="Arial" w:cs="Arial"/>
        </w:rPr>
      </w:pPr>
      <w:r w:rsidRPr="00BB50F2">
        <w:rPr>
          <w:rFonts w:ascii="Arial" w:hAnsi="Arial" w:cs="Arial"/>
          <w:lang w:val="en-US"/>
        </w:rPr>
        <w:t>“</w:t>
      </w:r>
      <w:r w:rsidRPr="00BB50F2">
        <w:rPr>
          <w:rFonts w:ascii="Arial" w:hAnsi="Arial" w:cs="Arial"/>
          <w:b/>
          <w:bCs/>
          <w:lang w:val="en-US"/>
        </w:rPr>
        <w:t>Service Request Fulfilment Time</w:t>
      </w:r>
      <w:r w:rsidRPr="00BB50F2">
        <w:rPr>
          <w:rFonts w:ascii="Arial" w:hAnsi="Arial" w:cs="Arial"/>
          <w:lang w:val="en-US"/>
        </w:rPr>
        <w:t xml:space="preserve">” shall be equivalent to a Priority 5 Service Incident Resolution Time: &lt; </w:t>
      </w:r>
      <w:r w:rsidR="003E2248">
        <w:rPr>
          <w:rFonts w:ascii="Arial" w:hAnsi="Arial" w:cs="Arial"/>
          <w:lang w:val="en-US"/>
        </w:rPr>
        <w:t>120</w:t>
      </w:r>
      <w:r w:rsidRPr="00BB50F2">
        <w:rPr>
          <w:rFonts w:ascii="Arial" w:hAnsi="Arial" w:cs="Arial"/>
          <w:lang w:val="en-US"/>
        </w:rPr>
        <w:t xml:space="preserve"> hours; and </w:t>
      </w:r>
    </w:p>
    <w:p w14:paraId="3110AE63" w14:textId="1F394561" w:rsidR="009A2964" w:rsidRPr="00BB50F2" w:rsidRDefault="009A2964" w:rsidP="009A2964">
      <w:pPr>
        <w:pStyle w:val="Level3"/>
        <w:spacing w:line="240" w:lineRule="auto"/>
        <w:ind w:hanging="851"/>
        <w:rPr>
          <w:rFonts w:ascii="Arial" w:hAnsi="Arial" w:cs="Arial"/>
        </w:rPr>
      </w:pPr>
      <w:r w:rsidRPr="00BB50F2">
        <w:rPr>
          <w:rFonts w:ascii="Arial" w:hAnsi="Arial" w:cs="Arial"/>
        </w:rPr>
        <w:t>“</w:t>
      </w:r>
      <w:r w:rsidRPr="00BB50F2">
        <w:rPr>
          <w:rFonts w:ascii="Arial" w:hAnsi="Arial" w:cs="Arial"/>
          <w:b/>
          <w:bCs/>
        </w:rPr>
        <w:t>Critical Request Fulfilment Time</w:t>
      </w:r>
      <w:r w:rsidRPr="00BB50F2">
        <w:rPr>
          <w:rFonts w:ascii="Arial" w:hAnsi="Arial" w:cs="Arial"/>
        </w:rPr>
        <w:t xml:space="preserve">” shall be </w:t>
      </w:r>
      <w:r w:rsidRPr="00BB50F2">
        <w:rPr>
          <w:rFonts w:ascii="Arial" w:hAnsi="Arial" w:cs="Arial"/>
          <w:lang w:val="en-US"/>
        </w:rPr>
        <w:t xml:space="preserve">equivalent to Priority 3 Service Incident Resolution Time: &lt; </w:t>
      </w:r>
      <w:r w:rsidR="003E2248">
        <w:rPr>
          <w:rFonts w:ascii="Arial" w:hAnsi="Arial" w:cs="Arial"/>
          <w:lang w:val="en-US"/>
        </w:rPr>
        <w:t>8</w:t>
      </w:r>
      <w:r w:rsidRPr="00BB50F2">
        <w:rPr>
          <w:rFonts w:ascii="Arial" w:hAnsi="Arial" w:cs="Arial"/>
          <w:lang w:val="en-US"/>
        </w:rPr>
        <w:t xml:space="preserve"> hours.</w:t>
      </w:r>
    </w:p>
    <w:p w14:paraId="67FEDE3C" w14:textId="77777777"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hAnsi="Arial" w:cs="Arial"/>
        </w:rPr>
        <w:t xml:space="preserve">Notwithstanding the other provisions of this Paragraph 3, the </w:t>
      </w:r>
      <w:proofErr w:type="gramStart"/>
      <w:r w:rsidRPr="00BB50F2">
        <w:rPr>
          <w:rFonts w:ascii="Arial" w:hAnsi="Arial" w:cs="Arial"/>
        </w:rPr>
        <w:t>period of time</w:t>
      </w:r>
      <w:proofErr w:type="gramEnd"/>
      <w:r w:rsidRPr="00BB50F2">
        <w:rPr>
          <w:rFonts w:ascii="Arial" w:hAnsi="Arial" w:cs="Arial"/>
        </w:rPr>
        <w:t xml:space="preserve"> from which a ticket is referred to a third party that is not a Sub-contractor shall be disregarded for the purposes of the calculation of Response Times, Resolution Times and Acknowledgement Times.</w:t>
      </w:r>
    </w:p>
    <w:p w14:paraId="37A08E92" w14:textId="77777777" w:rsidR="009A2964" w:rsidRPr="00BB50F2" w:rsidRDefault="009A2964" w:rsidP="009A2964">
      <w:pPr>
        <w:pStyle w:val="Level1"/>
        <w:tabs>
          <w:tab w:val="clear" w:pos="2411"/>
          <w:tab w:val="num" w:pos="851"/>
        </w:tabs>
        <w:spacing w:after="120" w:line="240" w:lineRule="auto"/>
        <w:ind w:left="851"/>
        <w:jc w:val="left"/>
        <w:rPr>
          <w:rFonts w:ascii="Arial" w:hAnsi="Arial" w:cs="Arial"/>
          <w:b/>
          <w:bCs/>
        </w:rPr>
      </w:pPr>
      <w:r w:rsidRPr="00BB50F2">
        <w:rPr>
          <w:rFonts w:ascii="Arial" w:hAnsi="Arial" w:cs="Arial"/>
          <w:b/>
          <w:bCs/>
        </w:rPr>
        <w:t xml:space="preserve">CONTINUOUS IMPROVEMENT OF SERVICE LEVELS   </w:t>
      </w:r>
    </w:p>
    <w:p w14:paraId="258A4AA9" w14:textId="77777777"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hAnsi="Arial" w:cs="Arial"/>
        </w:rPr>
        <w:t xml:space="preserve">Following successful completion of the Initial Transition Project, the Supplier commits to the following annual reduction in incidents compared to the initial baseline (and subject to the scale of the service being delivered at the time): </w:t>
      </w:r>
    </w:p>
    <w:tbl>
      <w:tblPr>
        <w:tblpPr w:leftFromText="180" w:rightFromText="180" w:vertAnchor="text" w:horzAnchor="page" w:tblpX="2428" w:tblpY="82"/>
        <w:tblW w:w="0" w:type="auto"/>
        <w:tblCellMar>
          <w:left w:w="0" w:type="dxa"/>
          <w:right w:w="0" w:type="dxa"/>
        </w:tblCellMar>
        <w:tblLook w:val="04A0" w:firstRow="1" w:lastRow="0" w:firstColumn="1" w:lastColumn="0" w:noHBand="0" w:noVBand="1"/>
      </w:tblPr>
      <w:tblGrid>
        <w:gridCol w:w="1134"/>
        <w:gridCol w:w="1134"/>
        <w:gridCol w:w="1134"/>
        <w:gridCol w:w="1134"/>
        <w:gridCol w:w="1134"/>
      </w:tblGrid>
      <w:tr w:rsidR="009A2964" w:rsidRPr="00BB50F2" w14:paraId="2136717A" w14:textId="77777777" w:rsidTr="00F8293A">
        <w:trPr>
          <w:trHeight w:val="176"/>
        </w:trPr>
        <w:tc>
          <w:tcPr>
            <w:tcW w:w="11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55F0425" w14:textId="77777777" w:rsidR="009A2964" w:rsidRPr="00BB50F2" w:rsidRDefault="009A2964" w:rsidP="00F8293A">
            <w:pPr>
              <w:pStyle w:val="Default"/>
              <w:spacing w:after="120"/>
              <w:rPr>
                <w:rFonts w:ascii="Arial" w:hAnsi="Arial" w:cs="Arial"/>
                <w:sz w:val="20"/>
                <w:szCs w:val="20"/>
              </w:rPr>
            </w:pPr>
            <w:r w:rsidRPr="00BB50F2">
              <w:rPr>
                <w:rFonts w:ascii="Arial" w:hAnsi="Arial" w:cs="Arial"/>
                <w:sz w:val="20"/>
                <w:szCs w:val="20"/>
              </w:rPr>
              <w:t>Y1</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2ED59B" w14:textId="77777777" w:rsidR="009A2964" w:rsidRPr="00BB50F2" w:rsidRDefault="009A2964" w:rsidP="00F8293A">
            <w:pPr>
              <w:pStyle w:val="Default"/>
              <w:spacing w:after="120"/>
              <w:rPr>
                <w:rFonts w:ascii="Arial" w:hAnsi="Arial" w:cs="Arial"/>
                <w:sz w:val="20"/>
                <w:szCs w:val="20"/>
              </w:rPr>
            </w:pPr>
            <w:r w:rsidRPr="00BB50F2">
              <w:rPr>
                <w:rFonts w:ascii="Arial" w:hAnsi="Arial" w:cs="Arial"/>
                <w:sz w:val="20"/>
                <w:szCs w:val="20"/>
              </w:rPr>
              <w:t>Y2</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4C5972A" w14:textId="77777777" w:rsidR="009A2964" w:rsidRPr="00BB50F2" w:rsidRDefault="009A2964" w:rsidP="00F8293A">
            <w:pPr>
              <w:pStyle w:val="Default"/>
              <w:spacing w:after="120"/>
              <w:rPr>
                <w:rFonts w:ascii="Arial" w:hAnsi="Arial" w:cs="Arial"/>
                <w:sz w:val="20"/>
                <w:szCs w:val="20"/>
              </w:rPr>
            </w:pPr>
            <w:r w:rsidRPr="00BB50F2">
              <w:rPr>
                <w:rFonts w:ascii="Arial" w:hAnsi="Arial" w:cs="Arial"/>
                <w:sz w:val="20"/>
                <w:szCs w:val="20"/>
              </w:rPr>
              <w:t>Y3</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B4509C3" w14:textId="77777777" w:rsidR="009A2964" w:rsidRPr="00BB50F2" w:rsidRDefault="009A2964" w:rsidP="00F8293A">
            <w:pPr>
              <w:pStyle w:val="Default"/>
              <w:spacing w:after="120"/>
              <w:rPr>
                <w:rFonts w:ascii="Arial" w:hAnsi="Arial" w:cs="Arial"/>
                <w:sz w:val="20"/>
                <w:szCs w:val="20"/>
              </w:rPr>
            </w:pPr>
            <w:r w:rsidRPr="00BB50F2">
              <w:rPr>
                <w:rFonts w:ascii="Arial" w:hAnsi="Arial" w:cs="Arial"/>
                <w:sz w:val="20"/>
                <w:szCs w:val="20"/>
              </w:rPr>
              <w:t>Y4</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2946012" w14:textId="77777777" w:rsidR="009A2964" w:rsidRPr="00BB50F2" w:rsidRDefault="009A2964" w:rsidP="00F8293A">
            <w:pPr>
              <w:pStyle w:val="Default"/>
              <w:spacing w:after="120"/>
              <w:rPr>
                <w:rFonts w:ascii="Arial" w:hAnsi="Arial" w:cs="Arial"/>
                <w:sz w:val="20"/>
                <w:szCs w:val="20"/>
              </w:rPr>
            </w:pPr>
            <w:r w:rsidRPr="00BB50F2">
              <w:rPr>
                <w:rFonts w:ascii="Arial" w:hAnsi="Arial" w:cs="Arial"/>
                <w:sz w:val="20"/>
                <w:szCs w:val="20"/>
              </w:rPr>
              <w:t>Y5</w:t>
            </w:r>
          </w:p>
        </w:tc>
      </w:tr>
      <w:tr w:rsidR="009A2964" w:rsidRPr="00BB50F2" w14:paraId="6E1A7838" w14:textId="77777777" w:rsidTr="00F8293A">
        <w:trPr>
          <w:trHeight w:val="176"/>
        </w:trPr>
        <w:tc>
          <w:tcPr>
            <w:tcW w:w="11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AC0E1E" w14:textId="77777777" w:rsidR="009A2964" w:rsidRPr="00BB50F2" w:rsidRDefault="009A2964" w:rsidP="00F8293A">
            <w:pPr>
              <w:pStyle w:val="Default"/>
              <w:spacing w:after="120"/>
              <w:rPr>
                <w:rFonts w:ascii="Arial" w:hAnsi="Arial" w:cs="Arial"/>
                <w:sz w:val="20"/>
                <w:szCs w:val="20"/>
              </w:rPr>
            </w:pPr>
            <w:r w:rsidRPr="00BB50F2">
              <w:rPr>
                <w:rFonts w:ascii="Arial" w:hAnsi="Arial" w:cs="Arial"/>
                <w:sz w:val="20"/>
                <w:szCs w:val="20"/>
              </w:rPr>
              <w:t>NA</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14:paraId="23A6629A" w14:textId="77777777" w:rsidR="009A2964" w:rsidRPr="00BB50F2" w:rsidRDefault="009A2964" w:rsidP="00F8293A">
            <w:pPr>
              <w:pStyle w:val="Default"/>
              <w:spacing w:after="120"/>
              <w:rPr>
                <w:rFonts w:ascii="Arial" w:hAnsi="Arial" w:cs="Arial"/>
                <w:sz w:val="20"/>
                <w:szCs w:val="20"/>
              </w:rPr>
            </w:pPr>
            <w:r w:rsidRPr="00BB50F2">
              <w:rPr>
                <w:rFonts w:ascii="Arial" w:hAnsi="Arial" w:cs="Arial"/>
                <w:sz w:val="20"/>
                <w:szCs w:val="20"/>
              </w:rPr>
              <w:t>X%</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14:paraId="41216F48" w14:textId="77777777" w:rsidR="009A2964" w:rsidRPr="00BB50F2" w:rsidRDefault="009A2964" w:rsidP="00F8293A">
            <w:pPr>
              <w:pStyle w:val="Default"/>
              <w:spacing w:after="120"/>
              <w:rPr>
                <w:rFonts w:ascii="Arial" w:hAnsi="Arial" w:cs="Arial"/>
                <w:sz w:val="20"/>
                <w:szCs w:val="20"/>
              </w:rPr>
            </w:pPr>
            <w:r w:rsidRPr="00BB50F2">
              <w:rPr>
                <w:rFonts w:ascii="Arial" w:hAnsi="Arial" w:cs="Arial"/>
                <w:sz w:val="20"/>
                <w:szCs w:val="20"/>
              </w:rPr>
              <w:t>Y%</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14:paraId="3AB705FB" w14:textId="77777777" w:rsidR="009A2964" w:rsidRPr="00BB50F2" w:rsidRDefault="009A2964" w:rsidP="00F8293A">
            <w:pPr>
              <w:pStyle w:val="Default"/>
              <w:spacing w:after="120"/>
              <w:rPr>
                <w:rFonts w:ascii="Arial" w:hAnsi="Arial" w:cs="Arial"/>
                <w:sz w:val="20"/>
                <w:szCs w:val="20"/>
              </w:rPr>
            </w:pPr>
            <w:r w:rsidRPr="00BB50F2">
              <w:rPr>
                <w:rFonts w:ascii="Arial" w:hAnsi="Arial" w:cs="Arial"/>
                <w:sz w:val="20"/>
                <w:szCs w:val="20"/>
              </w:rPr>
              <w:t>Z%</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14:paraId="1A6D4C72" w14:textId="77777777" w:rsidR="009A2964" w:rsidRPr="00BB50F2" w:rsidRDefault="009A2964" w:rsidP="00F8293A">
            <w:pPr>
              <w:pStyle w:val="Default"/>
              <w:spacing w:after="120"/>
              <w:rPr>
                <w:rFonts w:ascii="Arial" w:hAnsi="Arial" w:cs="Arial"/>
                <w:sz w:val="20"/>
                <w:szCs w:val="20"/>
              </w:rPr>
            </w:pPr>
            <w:r w:rsidRPr="00BB50F2">
              <w:rPr>
                <w:rFonts w:ascii="Arial" w:hAnsi="Arial" w:cs="Arial"/>
                <w:sz w:val="20"/>
                <w:szCs w:val="20"/>
              </w:rPr>
              <w:t>ZZ%</w:t>
            </w:r>
          </w:p>
        </w:tc>
      </w:tr>
    </w:tbl>
    <w:p w14:paraId="0882EF23" w14:textId="77777777" w:rsidR="009A2964" w:rsidRPr="00BB50F2" w:rsidRDefault="009A2964" w:rsidP="00F8293A">
      <w:pPr>
        <w:pStyle w:val="Level2"/>
        <w:numPr>
          <w:ilvl w:val="0"/>
          <w:numId w:val="0"/>
        </w:numPr>
        <w:spacing w:line="240" w:lineRule="auto"/>
        <w:ind w:left="1276"/>
        <w:rPr>
          <w:rFonts w:ascii="Arial" w:hAnsi="Arial" w:cs="Arial"/>
        </w:rPr>
      </w:pPr>
    </w:p>
    <w:p w14:paraId="221CCFAF" w14:textId="77777777" w:rsidR="009A2964" w:rsidRPr="00BB50F2" w:rsidRDefault="009A2964" w:rsidP="00F8293A">
      <w:pPr>
        <w:pStyle w:val="Level2"/>
        <w:numPr>
          <w:ilvl w:val="0"/>
          <w:numId w:val="0"/>
        </w:numPr>
        <w:spacing w:line="240" w:lineRule="auto"/>
        <w:ind w:left="851"/>
        <w:rPr>
          <w:rFonts w:ascii="Arial" w:hAnsi="Arial" w:cs="Arial"/>
        </w:rPr>
      </w:pPr>
    </w:p>
    <w:p w14:paraId="35ECA4B1" w14:textId="1DBE2B87" w:rsidR="003E2248" w:rsidRPr="003E2248" w:rsidRDefault="00306252" w:rsidP="003E2248">
      <w:pPr>
        <w:pStyle w:val="Level2"/>
        <w:numPr>
          <w:ilvl w:val="0"/>
          <w:numId w:val="0"/>
        </w:numPr>
        <w:spacing w:after="120"/>
        <w:ind w:left="1135" w:hanging="851"/>
        <w:rPr>
          <w:highlight w:val="magenta"/>
        </w:rPr>
      </w:pPr>
      <w:r>
        <w:rPr>
          <w:rFonts w:ascii="Arial" w:hAnsi="Arial" w:cs="Arial"/>
        </w:rPr>
        <w:t>4.1</w:t>
      </w:r>
      <w:r w:rsidR="00726B13">
        <w:rPr>
          <w:rFonts w:ascii="Arial" w:hAnsi="Arial" w:cs="Arial"/>
        </w:rPr>
        <w:t xml:space="preserve"> </w:t>
      </w:r>
      <w:r>
        <w:rPr>
          <w:rFonts w:ascii="Arial" w:hAnsi="Arial" w:cs="Arial"/>
        </w:rPr>
        <w:t xml:space="preserve">A </w:t>
      </w:r>
      <w:proofErr w:type="gramStart"/>
      <w:r w:rsidR="003E2248" w:rsidRPr="009C77E2">
        <w:rPr>
          <w:rFonts w:ascii="Arial" w:hAnsi="Arial" w:cs="Arial"/>
        </w:rPr>
        <w:t>The</w:t>
      </w:r>
      <w:proofErr w:type="gramEnd"/>
      <w:r w:rsidR="003E2248" w:rsidRPr="009C77E2">
        <w:rPr>
          <w:rFonts w:ascii="Arial" w:hAnsi="Arial" w:cs="Arial"/>
        </w:rPr>
        <w:t xml:space="preserve"> Supplier will maintain an ongoing Continuous Improvement plan which will identify and track any actions (on either party) agreed with </w:t>
      </w:r>
      <w:proofErr w:type="spellStart"/>
      <w:r w:rsidR="001F1C19">
        <w:rPr>
          <w:rFonts w:ascii="Arial" w:hAnsi="Arial" w:cs="Arial"/>
        </w:rPr>
        <w:t>Netlink</w:t>
      </w:r>
      <w:proofErr w:type="spellEnd"/>
      <w:r w:rsidR="001F1C19">
        <w:rPr>
          <w:rFonts w:ascii="Arial" w:hAnsi="Arial" w:cs="Arial"/>
        </w:rPr>
        <w:t xml:space="preserve"> Star</w:t>
      </w:r>
      <w:r w:rsidR="003E2248" w:rsidRPr="009C77E2">
        <w:rPr>
          <w:rFonts w:ascii="Arial" w:hAnsi="Arial" w:cs="Arial"/>
        </w:rPr>
        <w:t xml:space="preserve"> in Governance Meetings </w:t>
      </w:r>
      <w:r w:rsidR="003E2248" w:rsidRPr="003623C9">
        <w:rPr>
          <w:rFonts w:ascii="Arial" w:hAnsi="Arial" w:cs="Arial"/>
        </w:rPr>
        <w:t>Schedule 8.</w:t>
      </w:r>
      <w:r w:rsidR="003623C9" w:rsidRPr="003623C9">
        <w:rPr>
          <w:rFonts w:ascii="Arial" w:hAnsi="Arial" w:cs="Arial"/>
        </w:rPr>
        <w:t>1</w:t>
      </w:r>
      <w:r w:rsidR="003623C9">
        <w:rPr>
          <w:rFonts w:ascii="Arial" w:hAnsi="Arial" w:cs="Arial"/>
        </w:rPr>
        <w:t xml:space="preserve"> </w:t>
      </w:r>
      <w:r w:rsidR="003E2248" w:rsidRPr="009C77E2">
        <w:rPr>
          <w:rFonts w:ascii="Arial" w:hAnsi="Arial" w:cs="Arial"/>
        </w:rPr>
        <w:t>including to help the Supplier achieve the Aspirational Levels of service.</w:t>
      </w:r>
    </w:p>
    <w:p w14:paraId="5345F045" w14:textId="77777777" w:rsidR="00906CD3" w:rsidRPr="00906CD3" w:rsidRDefault="00906CD3" w:rsidP="00906CD3">
      <w:pPr>
        <w:pStyle w:val="ListParagraph"/>
        <w:numPr>
          <w:ilvl w:val="0"/>
          <w:numId w:val="34"/>
        </w:numPr>
        <w:spacing w:after="240" w:line="312" w:lineRule="auto"/>
        <w:contextualSpacing w:val="0"/>
        <w:outlineLvl w:val="0"/>
        <w:rPr>
          <w:rFonts w:ascii="Verdana" w:eastAsia="Times New Roman" w:hAnsi="Verdana" w:cs="Times New Roman"/>
          <w:b/>
          <w:bCs/>
          <w:vanish/>
          <w:sz w:val="20"/>
          <w:szCs w:val="20"/>
          <w:u w:val="single"/>
          <w:lang w:eastAsia="en-GB"/>
        </w:rPr>
      </w:pPr>
      <w:r w:rsidRPr="00906CD3">
        <w:rPr>
          <w:rFonts w:ascii="Verdana" w:eastAsia="Times New Roman" w:hAnsi="Verdana" w:cs="Times New Roman"/>
          <w:b/>
          <w:bCs/>
          <w:vanish/>
          <w:sz w:val="20"/>
          <w:szCs w:val="20"/>
          <w:u w:val="single"/>
          <w:lang w:eastAsia="en-GB"/>
        </w:rPr>
        <w:lastRenderedPageBreak/>
        <w:t>SERVICE MEASUREMENT AND REPORTING</w:t>
      </w:r>
    </w:p>
    <w:p w14:paraId="03BDCA5D" w14:textId="736DB858" w:rsidR="009A2964" w:rsidRPr="00906CD3" w:rsidRDefault="009A2964" w:rsidP="00906CD3">
      <w:pPr>
        <w:pStyle w:val="Level2"/>
        <w:rPr>
          <w:vanish/>
        </w:rPr>
      </w:pPr>
      <w:r w:rsidRPr="00906CD3">
        <w:t xml:space="preserve">The Supplier shall report on all aspects of the Operate Service in the following </w:t>
      </w:r>
      <w:proofErr w:type="spellStart"/>
      <w:r w:rsidRPr="00906CD3">
        <w:t>ways:</w:t>
      </w:r>
    </w:p>
    <w:p w14:paraId="23091646" w14:textId="2398A400" w:rsidR="009A2964" w:rsidRPr="00BB50F2" w:rsidRDefault="009A2964" w:rsidP="009A2964">
      <w:pPr>
        <w:pStyle w:val="Level3"/>
        <w:spacing w:line="240" w:lineRule="auto"/>
        <w:ind w:hanging="851"/>
        <w:rPr>
          <w:rFonts w:ascii="Arial" w:hAnsi="Arial" w:cs="Arial"/>
        </w:rPr>
      </w:pPr>
      <w:r w:rsidRPr="00BB50F2">
        <w:rPr>
          <w:rFonts w:ascii="Arial" w:hAnsi="Arial" w:cs="Arial"/>
        </w:rPr>
        <w:t>Service</w:t>
      </w:r>
      <w:proofErr w:type="spellEnd"/>
      <w:r w:rsidRPr="00BB50F2">
        <w:rPr>
          <w:rFonts w:ascii="Arial" w:hAnsi="Arial" w:cs="Arial"/>
        </w:rPr>
        <w:t xml:space="preserve"> Management Reports to be discussed with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xml:space="preserve"> in accordance with Schedule 8.1 (Governance) as described in Paragraph </w:t>
      </w:r>
      <w:r w:rsidRPr="00BB50F2">
        <w:rPr>
          <w:rFonts w:ascii="Arial" w:hAnsi="Arial" w:cs="Arial"/>
        </w:rPr>
        <w:fldChar w:fldCharType="begin"/>
      </w:r>
      <w:r w:rsidRPr="00BB50F2">
        <w:rPr>
          <w:rFonts w:ascii="Arial" w:hAnsi="Arial" w:cs="Arial"/>
        </w:rPr>
        <w:instrText xml:space="preserve"> REF _Ref82175996 \r \h  \* MERGEFORMAT </w:instrText>
      </w:r>
      <w:r w:rsidRPr="00BB50F2">
        <w:rPr>
          <w:rFonts w:ascii="Arial" w:hAnsi="Arial" w:cs="Arial"/>
        </w:rPr>
      </w:r>
      <w:r w:rsidRPr="00BB50F2">
        <w:rPr>
          <w:rFonts w:ascii="Arial" w:hAnsi="Arial" w:cs="Arial"/>
        </w:rPr>
        <w:fldChar w:fldCharType="separate"/>
      </w:r>
      <w:r w:rsidRPr="00BB50F2">
        <w:rPr>
          <w:rFonts w:ascii="Arial" w:hAnsi="Arial" w:cs="Arial"/>
        </w:rPr>
        <w:t>5.3</w:t>
      </w:r>
      <w:r w:rsidRPr="00BB50F2">
        <w:rPr>
          <w:rFonts w:ascii="Arial" w:hAnsi="Arial" w:cs="Arial"/>
        </w:rPr>
        <w:fldChar w:fldCharType="end"/>
      </w:r>
      <w:r w:rsidRPr="00BB50F2">
        <w:rPr>
          <w:rFonts w:ascii="Arial" w:hAnsi="Arial" w:cs="Arial"/>
        </w:rPr>
        <w:t>; and</w:t>
      </w:r>
    </w:p>
    <w:p w14:paraId="2EA82FA8"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Real time reporting of core components availability and performance via an online dashboard as described in Paragraph </w:t>
      </w:r>
      <w:r w:rsidRPr="00BB50F2">
        <w:rPr>
          <w:rFonts w:ascii="Arial" w:hAnsi="Arial" w:cs="Arial"/>
        </w:rPr>
        <w:fldChar w:fldCharType="begin"/>
      </w:r>
      <w:r w:rsidRPr="00BB50F2">
        <w:rPr>
          <w:rFonts w:ascii="Arial" w:hAnsi="Arial" w:cs="Arial"/>
        </w:rPr>
        <w:instrText xml:space="preserve"> REF _Ref446408988 \r \h  \* MERGEFORMAT </w:instrText>
      </w:r>
      <w:r w:rsidRPr="00BB50F2">
        <w:rPr>
          <w:rFonts w:ascii="Arial" w:hAnsi="Arial" w:cs="Arial"/>
        </w:rPr>
      </w:r>
      <w:r w:rsidRPr="00BB50F2">
        <w:rPr>
          <w:rFonts w:ascii="Arial" w:hAnsi="Arial" w:cs="Arial"/>
        </w:rPr>
        <w:fldChar w:fldCharType="separate"/>
      </w:r>
      <w:r w:rsidRPr="00BB50F2">
        <w:rPr>
          <w:rFonts w:ascii="Arial" w:hAnsi="Arial" w:cs="Arial"/>
        </w:rPr>
        <w:t>5.4</w:t>
      </w:r>
      <w:r w:rsidRPr="00BB50F2">
        <w:rPr>
          <w:rFonts w:ascii="Arial" w:hAnsi="Arial" w:cs="Arial"/>
        </w:rPr>
        <w:fldChar w:fldCharType="end"/>
      </w:r>
      <w:r w:rsidRPr="00BB50F2">
        <w:rPr>
          <w:rFonts w:ascii="Arial" w:hAnsi="Arial" w:cs="Arial"/>
        </w:rPr>
        <w:t>;</w:t>
      </w:r>
    </w:p>
    <w:p w14:paraId="05390AAA" w14:textId="31D85231"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hAnsi="Arial" w:cs="Arial"/>
        </w:rPr>
        <w:t xml:space="preserve">The cadence of reporting shall be in accordance with Schedule 8.1 (Governance), however, at the discretion of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these reports may be requested to be delivered at a more frequent basis. There will be immediate escalation of serious incidents that affect performance and availability.</w:t>
      </w:r>
    </w:p>
    <w:p w14:paraId="785ACBEF" w14:textId="77777777" w:rsidR="009A2964" w:rsidRPr="00BB50F2" w:rsidRDefault="009A2964" w:rsidP="009A2964">
      <w:pPr>
        <w:pStyle w:val="Level2"/>
        <w:tabs>
          <w:tab w:val="clear" w:pos="1135"/>
        </w:tabs>
        <w:spacing w:after="120" w:line="240" w:lineRule="auto"/>
        <w:ind w:left="851"/>
        <w:rPr>
          <w:rFonts w:ascii="Arial" w:hAnsi="Arial" w:cs="Arial"/>
        </w:rPr>
      </w:pPr>
      <w:bookmarkStart w:id="1689" w:name="_Ref82175996"/>
      <w:r w:rsidRPr="00BB50F2">
        <w:rPr>
          <w:rFonts w:ascii="Arial" w:hAnsi="Arial" w:cs="Arial"/>
        </w:rPr>
        <w:t xml:space="preserve">Reporting with the necessary content to support the governance meetings outlined in Schedule 8.1 (Governance) for the </w:t>
      </w:r>
      <w:r w:rsidRPr="00BB50F2">
        <w:rPr>
          <w:rFonts w:ascii="Arial" w:hAnsi="Arial" w:cs="Arial"/>
          <w:bCs/>
        </w:rPr>
        <w:t>Operate Service</w:t>
      </w:r>
      <w:r w:rsidRPr="00BB50F2">
        <w:rPr>
          <w:rFonts w:ascii="Arial" w:hAnsi="Arial" w:cs="Arial"/>
        </w:rPr>
        <w:t xml:space="preserve"> including:</w:t>
      </w:r>
      <w:bookmarkEnd w:id="1689"/>
    </w:p>
    <w:p w14:paraId="4E4E8829"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the Service performance against all Service </w:t>
      </w:r>
      <w:proofErr w:type="gramStart"/>
      <w:r w:rsidRPr="00BB50F2">
        <w:rPr>
          <w:rFonts w:ascii="Arial" w:hAnsi="Arial" w:cs="Arial"/>
        </w:rPr>
        <w:t>Levels;</w:t>
      </w:r>
      <w:proofErr w:type="gramEnd"/>
    </w:p>
    <w:p w14:paraId="35CA5BF2"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metrics/measures listed in Table 1 showing current, history, and </w:t>
      </w:r>
      <w:proofErr w:type="gramStart"/>
      <w:r w:rsidRPr="00BB50F2">
        <w:rPr>
          <w:rFonts w:ascii="Arial" w:hAnsi="Arial" w:cs="Arial"/>
        </w:rPr>
        <w:t>trends;</w:t>
      </w:r>
      <w:proofErr w:type="gramEnd"/>
    </w:p>
    <w:p w14:paraId="2F361E98"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any continuous improvement </w:t>
      </w:r>
      <w:proofErr w:type="gramStart"/>
      <w:r w:rsidRPr="00BB50F2">
        <w:rPr>
          <w:rFonts w:ascii="Arial" w:hAnsi="Arial" w:cs="Arial"/>
        </w:rPr>
        <w:t>initiatives;</w:t>
      </w:r>
      <w:proofErr w:type="gramEnd"/>
    </w:p>
    <w:p w14:paraId="4A40723A"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significant risks including number and </w:t>
      </w:r>
      <w:proofErr w:type="gramStart"/>
      <w:r w:rsidRPr="00BB50F2">
        <w:rPr>
          <w:rFonts w:ascii="Arial" w:hAnsi="Arial" w:cs="Arial"/>
        </w:rPr>
        <w:t>category;</w:t>
      </w:r>
      <w:proofErr w:type="gramEnd"/>
    </w:p>
    <w:p w14:paraId="256B0013"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Event Management </w:t>
      </w:r>
      <w:proofErr w:type="gramStart"/>
      <w:r w:rsidRPr="00BB50F2">
        <w:rPr>
          <w:rFonts w:ascii="Arial" w:hAnsi="Arial" w:cs="Arial"/>
        </w:rPr>
        <w:t>volumes;</w:t>
      </w:r>
      <w:proofErr w:type="gramEnd"/>
    </w:p>
    <w:p w14:paraId="14EEAD0D" w14:textId="29B73AB4" w:rsidR="009A2964" w:rsidRDefault="009A2964" w:rsidP="009A2964">
      <w:pPr>
        <w:pStyle w:val="Level3"/>
        <w:spacing w:line="240" w:lineRule="auto"/>
        <w:ind w:hanging="851"/>
        <w:rPr>
          <w:rFonts w:ascii="Arial" w:hAnsi="Arial" w:cs="Arial"/>
        </w:rPr>
      </w:pPr>
      <w:r w:rsidRPr="00BB50F2">
        <w:rPr>
          <w:rFonts w:ascii="Arial" w:hAnsi="Arial" w:cs="Arial"/>
        </w:rPr>
        <w:t xml:space="preserve">Service Request Fulfilment, including volumes by category, volumes that triggered an Incident, Change, or Service Level failure on a weekly basis with a summary </w:t>
      </w:r>
      <w:proofErr w:type="gramStart"/>
      <w:r w:rsidRPr="00BB50F2">
        <w:rPr>
          <w:rFonts w:ascii="Arial" w:hAnsi="Arial" w:cs="Arial"/>
        </w:rPr>
        <w:t>monthly;</w:t>
      </w:r>
      <w:proofErr w:type="gramEnd"/>
    </w:p>
    <w:p w14:paraId="7553E5D3" w14:textId="7E38ED2C" w:rsidR="00726B13" w:rsidRDefault="00726B13" w:rsidP="009A2964">
      <w:pPr>
        <w:pStyle w:val="Level3"/>
        <w:spacing w:line="240" w:lineRule="auto"/>
        <w:ind w:hanging="851"/>
        <w:rPr>
          <w:rFonts w:ascii="Arial" w:hAnsi="Arial" w:cs="Arial"/>
        </w:rPr>
      </w:pPr>
      <w:r>
        <w:rPr>
          <w:rFonts w:ascii="Arial" w:hAnsi="Arial" w:cs="Arial"/>
        </w:rPr>
        <w:t xml:space="preserve">Availability, including a detailed breakdown of Availability by Service Component type and Service Bundle. </w:t>
      </w:r>
    </w:p>
    <w:p w14:paraId="23717E87"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Incident Management, including a detailed breakdown of Incidents by Priority, by Service Component, open and closed Incidents in breach of Service Levels, Incident Acknowledgement Time showing average time by </w:t>
      </w:r>
      <w:proofErr w:type="gramStart"/>
      <w:r w:rsidRPr="00BB50F2">
        <w:rPr>
          <w:rFonts w:ascii="Arial" w:hAnsi="Arial" w:cs="Arial"/>
        </w:rPr>
        <w:t>Priority;</w:t>
      </w:r>
      <w:proofErr w:type="gramEnd"/>
    </w:p>
    <w:p w14:paraId="540FBA5D"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Problem Management, including workarounds identified if any, number of Problems raised and resolved, number of P1 and P2 incidents with no Problem </w:t>
      </w:r>
      <w:proofErr w:type="gramStart"/>
      <w:r w:rsidRPr="00BB50F2">
        <w:rPr>
          <w:rFonts w:ascii="Arial" w:hAnsi="Arial" w:cs="Arial"/>
        </w:rPr>
        <w:t>tickets;</w:t>
      </w:r>
      <w:proofErr w:type="gramEnd"/>
    </w:p>
    <w:p w14:paraId="7A6D59E6"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Change Management, including Change Log, number of Changes </w:t>
      </w:r>
      <w:proofErr w:type="gramStart"/>
      <w:r w:rsidRPr="00BB50F2">
        <w:rPr>
          <w:rFonts w:ascii="Arial" w:hAnsi="Arial" w:cs="Arial"/>
        </w:rPr>
        <w:t>raised</w:t>
      </w:r>
      <w:proofErr w:type="gramEnd"/>
      <w:r w:rsidRPr="00BB50F2">
        <w:rPr>
          <w:rFonts w:ascii="Arial" w:hAnsi="Arial" w:cs="Arial"/>
        </w:rPr>
        <w:t xml:space="preserve"> and Changes approved by category, Change Volumes, Change completion timings in breach according to the process in Schedule 8.2 (Change Control Procedure), number of failed and/or rollback Changes by category;</w:t>
      </w:r>
    </w:p>
    <w:p w14:paraId="501EBDC5"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Asset Management, including a list of patches, volumes of patches in relation to </w:t>
      </w:r>
      <w:proofErr w:type="gramStart"/>
      <w:r w:rsidRPr="00BB50F2">
        <w:rPr>
          <w:rFonts w:ascii="Arial" w:hAnsi="Arial" w:cs="Arial"/>
        </w:rPr>
        <w:t>Change;</w:t>
      </w:r>
      <w:proofErr w:type="gramEnd"/>
    </w:p>
    <w:p w14:paraId="46631A17"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Configuration Management, including CMDB changes without a related change </w:t>
      </w:r>
      <w:proofErr w:type="gramStart"/>
      <w:r w:rsidRPr="00BB50F2">
        <w:rPr>
          <w:rFonts w:ascii="Arial" w:hAnsi="Arial" w:cs="Arial"/>
        </w:rPr>
        <w:t>record;</w:t>
      </w:r>
      <w:proofErr w:type="gramEnd"/>
    </w:p>
    <w:p w14:paraId="62ECB0EE"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Capacity Management, including Capacity Plan, </w:t>
      </w:r>
      <w:proofErr w:type="gramStart"/>
      <w:r w:rsidRPr="00BB50F2">
        <w:rPr>
          <w:rFonts w:ascii="Arial" w:hAnsi="Arial" w:cs="Arial"/>
        </w:rPr>
        <w:t>Schedule;</w:t>
      </w:r>
      <w:proofErr w:type="gramEnd"/>
    </w:p>
    <w:p w14:paraId="2D4C8CBA"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a detailed breakdown of Catalogue </w:t>
      </w:r>
      <w:proofErr w:type="gramStart"/>
      <w:r w:rsidRPr="00BB50F2">
        <w:rPr>
          <w:rFonts w:ascii="Arial" w:hAnsi="Arial" w:cs="Arial"/>
        </w:rPr>
        <w:t>Requests;</w:t>
      </w:r>
      <w:proofErr w:type="gramEnd"/>
    </w:p>
    <w:p w14:paraId="6CBF957B"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summary of other service tickets; and</w:t>
      </w:r>
    </w:p>
    <w:p w14:paraId="0CD68EB1"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Changes and the projects in the pipeline.</w:t>
      </w:r>
    </w:p>
    <w:p w14:paraId="1E2CCB49" w14:textId="77777777" w:rsidR="009A2964" w:rsidRPr="00BB50F2" w:rsidRDefault="009A2964" w:rsidP="009A2964">
      <w:pPr>
        <w:pStyle w:val="Level2"/>
        <w:tabs>
          <w:tab w:val="clear" w:pos="1135"/>
        </w:tabs>
        <w:spacing w:after="120" w:line="240" w:lineRule="auto"/>
        <w:ind w:left="851"/>
        <w:rPr>
          <w:rFonts w:ascii="Arial" w:eastAsia="Verdana" w:hAnsi="Arial" w:cs="Arial"/>
        </w:rPr>
      </w:pPr>
      <w:bookmarkStart w:id="1690" w:name="_Ref446408988"/>
      <w:r w:rsidRPr="00BB50F2">
        <w:rPr>
          <w:rFonts w:ascii="Arial" w:hAnsi="Arial" w:cs="Arial"/>
        </w:rPr>
        <w:t>Real Time Performance Dashboard</w:t>
      </w:r>
      <w:bookmarkEnd w:id="1690"/>
    </w:p>
    <w:p w14:paraId="377F5EBA"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The Supplier will deliver dashboard reports which include dynamic filters and or drill-down capabilities, leading to automated report generation.</w:t>
      </w:r>
    </w:p>
    <w:p w14:paraId="2C61C9AF"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The Supplier will provide a Real Time Performance Dashboard to the Customer that describes the levels of performance being delivered from the data centres at the actual point in time with a comparison to historical performance levels identifying any trends.</w:t>
      </w:r>
    </w:p>
    <w:p w14:paraId="3E82F652"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The Real Time Performance Dashboard shall be derived from performance data that already exists.</w:t>
      </w:r>
    </w:p>
    <w:p w14:paraId="41308706"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lastRenderedPageBreak/>
        <w:t>The Real Time Performance Dashboard shall allow the user to interactively drill down into the data to explore:</w:t>
      </w:r>
    </w:p>
    <w:p w14:paraId="7DB8C5D8" w14:textId="77777777" w:rsidR="009A2964" w:rsidRPr="00BB50F2" w:rsidRDefault="009A2964" w:rsidP="00F8293A">
      <w:pPr>
        <w:pStyle w:val="Level4"/>
        <w:spacing w:after="120" w:line="240" w:lineRule="auto"/>
        <w:rPr>
          <w:rFonts w:ascii="Arial" w:hAnsi="Arial" w:cs="Arial"/>
        </w:rPr>
      </w:pPr>
      <w:r w:rsidRPr="00BB50F2">
        <w:rPr>
          <w:rFonts w:ascii="Arial" w:hAnsi="Arial" w:cs="Arial"/>
        </w:rPr>
        <w:t>Services delivered to a business unit (</w:t>
      </w:r>
      <w:proofErr w:type="gramStart"/>
      <w:r w:rsidRPr="00BB50F2">
        <w:rPr>
          <w:rFonts w:ascii="Arial" w:hAnsi="Arial" w:cs="Arial"/>
        </w:rPr>
        <w:t>e.g.</w:t>
      </w:r>
      <w:proofErr w:type="gramEnd"/>
      <w:r w:rsidRPr="00BB50F2">
        <w:rPr>
          <w:rFonts w:ascii="Arial" w:hAnsi="Arial" w:cs="Arial"/>
        </w:rPr>
        <w:t xml:space="preserve"> RS-IT);</w:t>
      </w:r>
    </w:p>
    <w:p w14:paraId="348AF96A" w14:textId="6A25477F" w:rsidR="009A2964" w:rsidRPr="00BB50F2" w:rsidRDefault="009A2964" w:rsidP="00F8293A">
      <w:pPr>
        <w:pStyle w:val="Level4"/>
        <w:spacing w:after="120" w:line="240" w:lineRule="auto"/>
        <w:rPr>
          <w:rFonts w:ascii="Arial" w:hAnsi="Arial" w:cs="Arial"/>
        </w:rPr>
      </w:pPr>
      <w:r w:rsidRPr="00BB50F2">
        <w:rPr>
          <w:rFonts w:ascii="Arial" w:hAnsi="Arial" w:cs="Arial"/>
        </w:rPr>
        <w:t>Service Components</w:t>
      </w:r>
      <w:r w:rsidR="003E2248">
        <w:rPr>
          <w:rFonts w:ascii="Arial" w:hAnsi="Arial" w:cs="Arial"/>
        </w:rPr>
        <w:t xml:space="preserve"> </w:t>
      </w:r>
      <w:proofErr w:type="gramStart"/>
      <w:r w:rsidR="003E2248">
        <w:rPr>
          <w:rFonts w:ascii="Arial" w:hAnsi="Arial" w:cs="Arial"/>
        </w:rPr>
        <w:t>availability</w:t>
      </w:r>
      <w:r w:rsidRPr="00BB50F2">
        <w:rPr>
          <w:rFonts w:ascii="Arial" w:hAnsi="Arial" w:cs="Arial"/>
        </w:rPr>
        <w:t>;</w:t>
      </w:r>
      <w:proofErr w:type="gramEnd"/>
      <w:r w:rsidRPr="00BB50F2">
        <w:rPr>
          <w:rFonts w:ascii="Arial" w:hAnsi="Arial" w:cs="Arial"/>
        </w:rPr>
        <w:t xml:space="preserve"> </w:t>
      </w:r>
    </w:p>
    <w:p w14:paraId="1DED6E36" w14:textId="79439A56" w:rsidR="009A2964" w:rsidRPr="00906CD3" w:rsidRDefault="009A2964" w:rsidP="00906CD3">
      <w:pPr>
        <w:pStyle w:val="Level4"/>
        <w:spacing w:after="120" w:line="240" w:lineRule="auto"/>
        <w:rPr>
          <w:rFonts w:ascii="Arial" w:hAnsi="Arial" w:cs="Arial"/>
        </w:rPr>
      </w:pPr>
      <w:r w:rsidRPr="00726B13">
        <w:rPr>
          <w:rFonts w:ascii="Arial" w:hAnsi="Arial" w:cs="Arial"/>
        </w:rPr>
        <w:t>Service Bundle availability – availability of Infrastructure and Platform Components used to support a specific application or user;</w:t>
      </w:r>
      <w:r w:rsidRPr="00726B13">
        <w:rPr>
          <w:rStyle w:val="FootnoteReference"/>
          <w:rFonts w:ascii="Arial" w:hAnsi="Arial" w:cs="Arial"/>
          <w:b/>
        </w:rPr>
        <w:t xml:space="preserve"> </w:t>
      </w:r>
      <w:r w:rsidRPr="00726B13">
        <w:rPr>
          <w:rFonts w:ascii="Arial" w:hAnsi="Arial" w:cs="Arial"/>
          <w:bCs/>
        </w:rPr>
        <w:t>and</w:t>
      </w:r>
      <w:r w:rsidR="00726B13" w:rsidRPr="00726B13">
        <w:rPr>
          <w:rFonts w:ascii="Arial" w:hAnsi="Arial" w:cs="Arial"/>
          <w:bCs/>
        </w:rPr>
        <w:t xml:space="preserve"> </w:t>
      </w:r>
      <w:r w:rsidRPr="00906CD3">
        <w:rPr>
          <w:rFonts w:ascii="Arial" w:hAnsi="Arial" w:cs="Arial"/>
        </w:rPr>
        <w:t>Individual Infrastructure or Platform</w:t>
      </w:r>
      <w:r w:rsidR="00726B13" w:rsidRPr="00906CD3">
        <w:rPr>
          <w:rFonts w:ascii="Arial" w:hAnsi="Arial" w:cs="Arial"/>
        </w:rPr>
        <w:t xml:space="preserve"> </w:t>
      </w:r>
      <w:r w:rsidRPr="00906CD3">
        <w:rPr>
          <w:rFonts w:ascii="Arial" w:hAnsi="Arial" w:cs="Arial"/>
        </w:rPr>
        <w:t>Components</w:t>
      </w:r>
    </w:p>
    <w:p w14:paraId="38A9DC4B" w14:textId="44F2F608" w:rsidR="009A2964" w:rsidRPr="00BB50F2" w:rsidRDefault="009A2964" w:rsidP="009A2964">
      <w:pPr>
        <w:pStyle w:val="Level3"/>
        <w:spacing w:line="240" w:lineRule="auto"/>
        <w:ind w:hanging="851"/>
        <w:rPr>
          <w:rFonts w:ascii="Arial" w:hAnsi="Arial" w:cs="Arial"/>
        </w:rPr>
      </w:pPr>
      <w:r w:rsidRPr="00BB50F2">
        <w:rPr>
          <w:rFonts w:ascii="Arial" w:hAnsi="Arial" w:cs="Arial"/>
        </w:rPr>
        <w:t>Services delivered to the business and to support key business processes shall be based on business relevant KPIs identified during the design of the Real Time Performance Dashboard as part of the Initial Transition Project in Schedule 6.4 (Initial Transition Project</w:t>
      </w:r>
      <w:proofErr w:type="gramStart"/>
      <w:r w:rsidRPr="00BB50F2">
        <w:rPr>
          <w:rFonts w:ascii="Arial" w:hAnsi="Arial" w:cs="Arial"/>
        </w:rPr>
        <w:t>),</w:t>
      </w:r>
      <w:r w:rsidR="00726B13">
        <w:rPr>
          <w:rFonts w:ascii="Arial" w:hAnsi="Arial" w:cs="Arial"/>
        </w:rPr>
        <w:t xml:space="preserve"> </w:t>
      </w:r>
      <w:r w:rsidRPr="00BB50F2">
        <w:rPr>
          <w:rFonts w:ascii="Arial" w:hAnsi="Arial" w:cs="Arial"/>
        </w:rPr>
        <w:t>but</w:t>
      </w:r>
      <w:proofErr w:type="gramEnd"/>
      <w:r w:rsidRPr="00BB50F2">
        <w:rPr>
          <w:rFonts w:ascii="Arial" w:hAnsi="Arial" w:cs="Arial"/>
        </w:rPr>
        <w:t xml:space="preserve"> shall include at a minimum all the metrics/measures listed in Table 1.</w:t>
      </w:r>
    </w:p>
    <w:p w14:paraId="6774F871"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Services reporting will be displayed in appropriate technical measures displayed (</w:t>
      </w:r>
      <w:proofErr w:type="gramStart"/>
      <w:r w:rsidRPr="00BB50F2">
        <w:rPr>
          <w:rFonts w:ascii="Arial" w:hAnsi="Arial" w:cs="Arial"/>
        </w:rPr>
        <w:t>e.g.</w:t>
      </w:r>
      <w:proofErr w:type="gramEnd"/>
      <w:r w:rsidRPr="00BB50F2">
        <w:rPr>
          <w:rFonts w:ascii="Arial" w:hAnsi="Arial" w:cs="Arial"/>
        </w:rPr>
        <w:t xml:space="preserve"> Total Storage currently consumed measured in Gb, then broken down into storage tiers).</w:t>
      </w:r>
    </w:p>
    <w:p w14:paraId="0D6C0708" w14:textId="77777777" w:rsidR="009A2964" w:rsidRPr="00BB50F2" w:rsidRDefault="009A2964" w:rsidP="009A2964">
      <w:pPr>
        <w:pStyle w:val="Level1"/>
        <w:tabs>
          <w:tab w:val="clear" w:pos="2411"/>
          <w:tab w:val="num" w:pos="851"/>
        </w:tabs>
        <w:spacing w:after="120" w:line="240" w:lineRule="auto"/>
        <w:ind w:left="851"/>
        <w:jc w:val="left"/>
        <w:rPr>
          <w:rFonts w:ascii="Arial" w:hAnsi="Arial" w:cs="Arial"/>
          <w:b/>
          <w:bCs/>
        </w:rPr>
      </w:pPr>
      <w:r w:rsidRPr="00BB50F2">
        <w:rPr>
          <w:rFonts w:ascii="Arial" w:hAnsi="Arial" w:cs="Arial"/>
          <w:b/>
          <w:bCs/>
        </w:rPr>
        <w:t>SERVICE LEVEL MANAGEMENT</w:t>
      </w:r>
    </w:p>
    <w:p w14:paraId="04567AAD" w14:textId="77777777"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hAnsi="Arial" w:cs="Arial"/>
        </w:rPr>
        <w:t>In the event of Service Level breaches of any Service Levels, the Supplier shall take the following actions to ensure adequate focus, root cause analysis and corrective action:</w:t>
      </w:r>
    </w:p>
    <w:p w14:paraId="04ACFE3E" w14:textId="5752BC1F" w:rsidR="009A2964" w:rsidRPr="00BB50F2" w:rsidRDefault="00797FBB" w:rsidP="009A2964">
      <w:pPr>
        <w:pStyle w:val="Level3"/>
        <w:spacing w:line="240" w:lineRule="auto"/>
        <w:ind w:hanging="851"/>
        <w:rPr>
          <w:rFonts w:ascii="Arial" w:hAnsi="Arial" w:cs="Arial"/>
        </w:rPr>
      </w:pPr>
      <w:r>
        <w:rPr>
          <w:rFonts w:ascii="Arial" w:hAnsi="Arial" w:cs="Arial"/>
        </w:rPr>
        <w:t xml:space="preserve">Any </w:t>
      </w:r>
      <w:r w:rsidR="009A2964" w:rsidRPr="00BB50F2">
        <w:rPr>
          <w:rFonts w:ascii="Arial" w:hAnsi="Arial" w:cs="Arial"/>
        </w:rPr>
        <w:t xml:space="preserve">Service Level breaches where the performance falls below the Minimum Level as set out in this Schedule, shall be tracked, diagnosed, including the outcome of any root cause analysis, and reported back with corrective and preventative actions taken within the next Invoicing </w:t>
      </w:r>
      <w:proofErr w:type="gramStart"/>
      <w:r w:rsidR="009A2964" w:rsidRPr="00BB50F2">
        <w:rPr>
          <w:rFonts w:ascii="Arial" w:hAnsi="Arial" w:cs="Arial"/>
        </w:rPr>
        <w:t>Period;</w:t>
      </w:r>
      <w:proofErr w:type="gramEnd"/>
    </w:p>
    <w:p w14:paraId="7BA23742" w14:textId="52D5F27F"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Supplier shall maintain and supply to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xml:space="preserve"> in the service review meeting, a risk management plan and update the same with the learning from the diagnosis of these </w:t>
      </w:r>
      <w:proofErr w:type="gramStart"/>
      <w:r w:rsidRPr="00BB50F2">
        <w:rPr>
          <w:rFonts w:ascii="Arial" w:hAnsi="Arial" w:cs="Arial"/>
        </w:rPr>
        <w:t>breaches;</w:t>
      </w:r>
      <w:proofErr w:type="gramEnd"/>
    </w:p>
    <w:p w14:paraId="192EDBA9" w14:textId="406CBDFB"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in case of breaches where there has been significant adverse impact on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xml:space="preserve">, the Supplier in conjunction with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xml:space="preserve"> teams, shall convene a review and the Supplier management team will be present in these reviews and outline corrective action taken; and</w:t>
      </w:r>
    </w:p>
    <w:p w14:paraId="35AD9F76" w14:textId="26C10D24"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in case of persistent breaches of Service Levels or repeated Service Outages, the Supplier shall invoke its internal high risk project management processes, which includes executive management reviews, weekly </w:t>
      </w:r>
      <w:proofErr w:type="gramStart"/>
      <w:r w:rsidRPr="00BB50F2">
        <w:rPr>
          <w:rFonts w:ascii="Arial" w:hAnsi="Arial" w:cs="Arial"/>
        </w:rPr>
        <w:t>tracking</w:t>
      </w:r>
      <w:proofErr w:type="gramEnd"/>
      <w:r w:rsidRPr="00BB50F2">
        <w:rPr>
          <w:rFonts w:ascii="Arial" w:hAnsi="Arial" w:cs="Arial"/>
        </w:rPr>
        <w:t xml:space="preserve"> and close collaboration with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xml:space="preserve"> to agree corrective actions and tracking of the actions to closure.</w:t>
      </w:r>
    </w:p>
    <w:p w14:paraId="60CB4D21" w14:textId="77777777"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hAnsi="Arial" w:cs="Arial"/>
        </w:rPr>
        <w:t>At a minimum, the Service Level Management System shall include:</w:t>
      </w:r>
    </w:p>
    <w:p w14:paraId="725ACDF7" w14:textId="4D44E323"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notifications to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xml:space="preserve"> of Service Failures and other issues in the Supplier's performance and/or delivery of the Services, including details of timing, frequency and </w:t>
      </w:r>
      <w:proofErr w:type="gramStart"/>
      <w:r w:rsidRPr="00BB50F2">
        <w:rPr>
          <w:rFonts w:ascii="Arial" w:hAnsi="Arial" w:cs="Arial"/>
        </w:rPr>
        <w:t>trending;</w:t>
      </w:r>
      <w:proofErr w:type="gramEnd"/>
    </w:p>
    <w:p w14:paraId="209C7AE9"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Supplier self-monitoring in accordance with agreed ITIL industry best practice (currently v3</w:t>
      </w:r>
      <w:proofErr w:type="gramStart"/>
      <w:r w:rsidRPr="00BB50F2">
        <w:rPr>
          <w:rFonts w:ascii="Arial" w:hAnsi="Arial" w:cs="Arial"/>
        </w:rPr>
        <w:t>);</w:t>
      </w:r>
      <w:proofErr w:type="gramEnd"/>
    </w:p>
    <w:p w14:paraId="2E2411FD"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performance review, including details of timing and </w:t>
      </w:r>
      <w:proofErr w:type="gramStart"/>
      <w:r w:rsidRPr="00BB50F2">
        <w:rPr>
          <w:rFonts w:ascii="Arial" w:hAnsi="Arial" w:cs="Arial"/>
        </w:rPr>
        <w:t>frequency;</w:t>
      </w:r>
      <w:proofErr w:type="gramEnd"/>
    </w:p>
    <w:p w14:paraId="38D2EC7B"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the processes and systems the Supplier will put in place to effectively monitor performance of the Services against the Service </w:t>
      </w:r>
      <w:proofErr w:type="gramStart"/>
      <w:r w:rsidRPr="00BB50F2">
        <w:rPr>
          <w:rFonts w:ascii="Arial" w:hAnsi="Arial" w:cs="Arial"/>
        </w:rPr>
        <w:t>Levels;</w:t>
      </w:r>
      <w:proofErr w:type="gramEnd"/>
    </w:p>
    <w:p w14:paraId="0EC6EECC" w14:textId="66CA989E"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the format, </w:t>
      </w:r>
      <w:proofErr w:type="gramStart"/>
      <w:r w:rsidRPr="00BB50F2">
        <w:rPr>
          <w:rFonts w:ascii="Arial" w:hAnsi="Arial" w:cs="Arial"/>
        </w:rPr>
        <w:t>frequency</w:t>
      </w:r>
      <w:proofErr w:type="gramEnd"/>
      <w:r w:rsidRPr="00BB50F2">
        <w:rPr>
          <w:rFonts w:ascii="Arial" w:hAnsi="Arial" w:cs="Arial"/>
        </w:rPr>
        <w:t xml:space="preserve"> and content of the Service Level Reports to the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and</w:t>
      </w:r>
    </w:p>
    <w:p w14:paraId="00C3BFDC"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how the Supplier will comply with the obligations set out in this </w:t>
      </w:r>
      <w:r w:rsidRPr="00BB50F2">
        <w:rPr>
          <w:rFonts w:ascii="Arial" w:hAnsi="Arial" w:cs="Arial"/>
          <w:bCs/>
        </w:rPr>
        <w:t>Schedule.</w:t>
      </w:r>
    </w:p>
    <w:p w14:paraId="70A413CA" w14:textId="054DDC9D" w:rsidR="009A2964" w:rsidRPr="00BB50F2" w:rsidRDefault="001F1C19" w:rsidP="009A2964">
      <w:pPr>
        <w:pStyle w:val="Level2"/>
        <w:tabs>
          <w:tab w:val="clear" w:pos="1135"/>
        </w:tabs>
        <w:spacing w:after="120" w:line="240" w:lineRule="auto"/>
        <w:ind w:left="851"/>
        <w:rPr>
          <w:rFonts w:ascii="Arial" w:hAnsi="Arial" w:cs="Arial"/>
        </w:rPr>
      </w:pPr>
      <w:proofErr w:type="spellStart"/>
      <w:r>
        <w:rPr>
          <w:rFonts w:ascii="Arial" w:hAnsi="Arial" w:cs="Arial"/>
        </w:rPr>
        <w:t>Netlink</w:t>
      </w:r>
      <w:proofErr w:type="spellEnd"/>
      <w:r>
        <w:rPr>
          <w:rFonts w:ascii="Arial" w:hAnsi="Arial" w:cs="Arial"/>
        </w:rPr>
        <w:t xml:space="preserve"> Star</w:t>
      </w:r>
      <w:r w:rsidR="009A2964" w:rsidRPr="00BB50F2">
        <w:rPr>
          <w:rFonts w:ascii="Arial" w:hAnsi="Arial" w:cs="Arial"/>
        </w:rPr>
        <w:t xml:space="preserve"> shall be entitled to reasonably request</w:t>
      </w:r>
      <w:proofErr w:type="gramStart"/>
      <w:r w:rsidR="009A2964" w:rsidRPr="00BB50F2">
        <w:rPr>
          <w:rFonts w:ascii="Arial" w:hAnsi="Arial" w:cs="Arial"/>
        </w:rPr>
        <w:t>, ,</w:t>
      </w:r>
      <w:proofErr w:type="gramEnd"/>
      <w:r w:rsidR="009A2964" w:rsidRPr="00BB50F2">
        <w:rPr>
          <w:rFonts w:ascii="Arial" w:hAnsi="Arial" w:cs="Arial"/>
        </w:rPr>
        <w:t xml:space="preserve"> routine changes to the Service Level Management System and the Service Level Reports, and such changes shall be conducted in accordance with the Change Control Procedure noting that any request which involves </w:t>
      </w:r>
      <w:r w:rsidR="009A2964" w:rsidRPr="00BB50F2">
        <w:rPr>
          <w:rFonts w:ascii="Arial" w:hAnsi="Arial" w:cs="Arial"/>
        </w:rPr>
        <w:lastRenderedPageBreak/>
        <w:t>additional Service Levels or changes to existing Service Levels requires thirty (30) days’ advance written notice.</w:t>
      </w:r>
    </w:p>
    <w:p w14:paraId="6198276A" w14:textId="77777777" w:rsidR="009A2964" w:rsidRPr="000C516C" w:rsidRDefault="009A2964" w:rsidP="009A2964">
      <w:pPr>
        <w:pStyle w:val="Level1"/>
        <w:tabs>
          <w:tab w:val="clear" w:pos="2411"/>
          <w:tab w:val="num" w:pos="425"/>
        </w:tabs>
        <w:spacing w:after="120" w:line="240" w:lineRule="auto"/>
        <w:ind w:left="851"/>
        <w:jc w:val="left"/>
        <w:rPr>
          <w:rFonts w:ascii="Arial" w:eastAsia="Calibri" w:hAnsi="Arial" w:cs="Arial"/>
          <w:b/>
          <w:bCs/>
          <w:lang w:eastAsia="en-US"/>
        </w:rPr>
      </w:pPr>
      <w:bookmarkStart w:id="1691" w:name="_Ref82175626"/>
      <w:r w:rsidRPr="000C516C">
        <w:rPr>
          <w:rFonts w:ascii="Arial" w:eastAsia="Calibri" w:hAnsi="Arial" w:cs="Arial"/>
          <w:b/>
          <w:bCs/>
          <w:lang w:eastAsia="en-US"/>
        </w:rPr>
        <w:t>PERFORMANCE REPORTING</w:t>
      </w:r>
      <w:bookmarkEnd w:id="1691"/>
    </w:p>
    <w:p w14:paraId="252CFCA1" w14:textId="17152624"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hAnsi="Arial" w:cs="Arial"/>
        </w:rPr>
        <w:t xml:space="preserve">The Supplier shall submit Service Level reports to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xml:space="preserve"> electronically at the same time as invoices are submitted.</w:t>
      </w:r>
    </w:p>
    <w:p w14:paraId="49E46E46" w14:textId="77777777"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hAnsi="Arial" w:cs="Arial"/>
        </w:rPr>
        <w:t>The Service Level report shall cover the entire period of the preceding Invoicing Period.</w:t>
      </w:r>
    </w:p>
    <w:p w14:paraId="5B675FB3" w14:textId="77777777"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hAnsi="Arial" w:cs="Arial"/>
        </w:rPr>
        <w:t>The Service Level report shall be in the format as described in the Service Level Management System, and at a minimum shall include:</w:t>
      </w:r>
    </w:p>
    <w:p w14:paraId="27CF41ED"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the monitoring which has been performed with a summary of any issues identified by such </w:t>
      </w:r>
      <w:proofErr w:type="gramStart"/>
      <w:r w:rsidRPr="00BB50F2">
        <w:rPr>
          <w:rFonts w:ascii="Arial" w:hAnsi="Arial" w:cs="Arial"/>
        </w:rPr>
        <w:t>monitoring;</w:t>
      </w:r>
      <w:proofErr w:type="gramEnd"/>
    </w:p>
    <w:p w14:paraId="5520EA27"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for each Service Level, the actual performance achieved during the Invoicing Period, the performance achieved over the previous three (3) Invoicing Periods and the </w:t>
      </w:r>
      <w:proofErr w:type="gramStart"/>
      <w:r w:rsidRPr="00BB50F2">
        <w:rPr>
          <w:rFonts w:ascii="Arial" w:hAnsi="Arial" w:cs="Arial"/>
        </w:rPr>
        <w:t>year to date</w:t>
      </w:r>
      <w:proofErr w:type="gramEnd"/>
      <w:r w:rsidRPr="00BB50F2">
        <w:rPr>
          <w:rFonts w:ascii="Arial" w:hAnsi="Arial" w:cs="Arial"/>
        </w:rPr>
        <w:t xml:space="preserve"> view;</w:t>
      </w:r>
    </w:p>
    <w:p w14:paraId="6AC3B7D3"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a summary of all Defaults that occurred during the Invoicing </w:t>
      </w:r>
      <w:proofErr w:type="gramStart"/>
      <w:r w:rsidRPr="00BB50F2">
        <w:rPr>
          <w:rFonts w:ascii="Arial" w:hAnsi="Arial" w:cs="Arial"/>
        </w:rPr>
        <w:t>Period;</w:t>
      </w:r>
      <w:proofErr w:type="gramEnd"/>
    </w:p>
    <w:p w14:paraId="71701BCD"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for any failures, actions taken to resolve the underlying cause and prevent </w:t>
      </w:r>
      <w:proofErr w:type="gramStart"/>
      <w:r w:rsidRPr="00BB50F2">
        <w:rPr>
          <w:rFonts w:ascii="Arial" w:hAnsi="Arial" w:cs="Arial"/>
        </w:rPr>
        <w:t>recurrence;</w:t>
      </w:r>
      <w:proofErr w:type="gramEnd"/>
    </w:p>
    <w:p w14:paraId="74E774DD"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the proposed Service Credits to be applied in respect of that Invoicing Period and reporting on remedial actions associated with breach of either the Minimum Level or Service Credit Boundary Level according to Schedule 7.2 (Service Credits</w:t>
      </w:r>
      <w:proofErr w:type="gramStart"/>
      <w:r w:rsidRPr="00BB50F2">
        <w:rPr>
          <w:rFonts w:ascii="Arial" w:hAnsi="Arial" w:cs="Arial"/>
        </w:rPr>
        <w:t>);</w:t>
      </w:r>
      <w:proofErr w:type="gramEnd"/>
    </w:p>
    <w:p w14:paraId="6E7B49FA"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a rolling total of the amount of Service Credits that have been incurred by the Supplier over the past six (6) Invoicing Periods excluding the current Invoicing Period; and</w:t>
      </w:r>
    </w:p>
    <w:p w14:paraId="0AD1FA3A" w14:textId="2164E1E9"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relevant particulars of any aspects of the performance by the Supplier which fail to meet the requirements of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xml:space="preserve"> to include but not be limited to service improvement activities.</w:t>
      </w:r>
    </w:p>
    <w:p w14:paraId="34794708" w14:textId="363B6F47"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hAnsi="Arial" w:cs="Arial"/>
        </w:rPr>
        <w:t>The Service Level report</w:t>
      </w:r>
      <w:r>
        <w:rPr>
          <w:rFonts w:ascii="Arial" w:hAnsi="Arial" w:cs="Arial"/>
        </w:rPr>
        <w:t>s</w:t>
      </w:r>
      <w:r w:rsidRPr="00BB50F2">
        <w:rPr>
          <w:rFonts w:ascii="Arial" w:hAnsi="Arial" w:cs="Arial"/>
        </w:rPr>
        <w:t xml:space="preserve"> shall be reviewed and agreed by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xml:space="preserve"> and Supplier at the Service Management Review meeting as detailed in </w:t>
      </w:r>
      <w:r w:rsidRPr="00BB50F2">
        <w:rPr>
          <w:rFonts w:ascii="Arial" w:hAnsi="Arial" w:cs="Arial"/>
          <w:bCs/>
        </w:rPr>
        <w:t>Schedule 8.1</w:t>
      </w:r>
      <w:r w:rsidRPr="00BB50F2">
        <w:rPr>
          <w:rFonts w:ascii="Arial" w:hAnsi="Arial" w:cs="Arial"/>
          <w:b/>
        </w:rPr>
        <w:t xml:space="preserve"> </w:t>
      </w:r>
      <w:r w:rsidRPr="00BB50F2">
        <w:rPr>
          <w:rFonts w:ascii="Arial" w:hAnsi="Arial" w:cs="Arial"/>
          <w:bCs/>
        </w:rPr>
        <w:t>(Governance</w:t>
      </w:r>
      <w:r w:rsidRPr="00BB50F2">
        <w:rPr>
          <w:rFonts w:ascii="Arial" w:hAnsi="Arial" w:cs="Arial"/>
          <w:bCs/>
          <w:i/>
          <w:iCs/>
        </w:rPr>
        <w:t>)</w:t>
      </w:r>
      <w:r w:rsidRPr="00BB50F2">
        <w:rPr>
          <w:rFonts w:ascii="Arial" w:hAnsi="Arial" w:cs="Arial"/>
          <w:bCs/>
        </w:rPr>
        <w:t>.</w:t>
      </w:r>
    </w:p>
    <w:p w14:paraId="2BA6CE15" w14:textId="2128C326" w:rsidR="009A2964" w:rsidRPr="00BB50F2" w:rsidRDefault="001F1C19" w:rsidP="009A2964">
      <w:pPr>
        <w:pStyle w:val="Level2"/>
        <w:tabs>
          <w:tab w:val="clear" w:pos="1135"/>
        </w:tabs>
        <w:spacing w:after="120" w:line="240" w:lineRule="auto"/>
        <w:ind w:left="851"/>
        <w:rPr>
          <w:rFonts w:ascii="Arial" w:hAnsi="Arial" w:cs="Arial"/>
        </w:rPr>
      </w:pPr>
      <w:proofErr w:type="spellStart"/>
      <w:r>
        <w:rPr>
          <w:rFonts w:ascii="Arial" w:hAnsi="Arial" w:cs="Arial"/>
        </w:rPr>
        <w:t>Netlink</w:t>
      </w:r>
      <w:proofErr w:type="spellEnd"/>
      <w:r>
        <w:rPr>
          <w:rFonts w:ascii="Arial" w:hAnsi="Arial" w:cs="Arial"/>
        </w:rPr>
        <w:t xml:space="preserve"> Star</w:t>
      </w:r>
      <w:r w:rsidR="009A2964" w:rsidRPr="00BB50F2">
        <w:rPr>
          <w:rFonts w:ascii="Arial" w:hAnsi="Arial" w:cs="Arial"/>
        </w:rPr>
        <w:t xml:space="preserve"> acting reasonably shall be entitled to raise any further questions or request any further details from the Supplier at any time including at the Service Management Review Team meeting.</w:t>
      </w:r>
    </w:p>
    <w:p w14:paraId="393CBCBE" w14:textId="4A4381C0"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hAnsi="Arial" w:cs="Arial"/>
        </w:rPr>
        <w:t xml:space="preserve">The Supplier shall provide to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xml:space="preserve"> such supporting documentation as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xml:space="preserve"> may reasonably require </w:t>
      </w:r>
      <w:proofErr w:type="gramStart"/>
      <w:r w:rsidRPr="00BB50F2">
        <w:rPr>
          <w:rFonts w:ascii="Arial" w:hAnsi="Arial" w:cs="Arial"/>
        </w:rPr>
        <w:t>to verify</w:t>
      </w:r>
      <w:proofErr w:type="gramEnd"/>
      <w:r w:rsidRPr="00BB50F2">
        <w:rPr>
          <w:rFonts w:ascii="Arial" w:hAnsi="Arial" w:cs="Arial"/>
        </w:rPr>
        <w:t xml:space="preserve"> the level of the performance by the Supplier and the calculations of the amount of Service Credits for any specified period.</w:t>
      </w:r>
    </w:p>
    <w:p w14:paraId="25F5402D" w14:textId="77777777" w:rsidR="009A2964" w:rsidRPr="00BB50F2" w:rsidRDefault="009A2964" w:rsidP="009A2964">
      <w:pPr>
        <w:pStyle w:val="Level1"/>
        <w:tabs>
          <w:tab w:val="clear" w:pos="2411"/>
          <w:tab w:val="num" w:pos="851"/>
        </w:tabs>
        <w:spacing w:after="120" w:line="240" w:lineRule="auto"/>
        <w:ind w:left="851"/>
        <w:jc w:val="left"/>
        <w:rPr>
          <w:rFonts w:ascii="Arial" w:eastAsia="Calibri" w:hAnsi="Arial" w:cs="Arial"/>
          <w:b/>
          <w:bCs/>
          <w:lang w:eastAsia="en-US"/>
        </w:rPr>
      </w:pPr>
      <w:r w:rsidRPr="00BB50F2">
        <w:rPr>
          <w:rFonts w:ascii="Arial" w:eastAsia="Calibri" w:hAnsi="Arial" w:cs="Arial"/>
          <w:b/>
          <w:bCs/>
          <w:lang w:eastAsia="en-US"/>
        </w:rPr>
        <w:t>PERFORMANCE RECORDING</w:t>
      </w:r>
    </w:p>
    <w:p w14:paraId="4CABC408" w14:textId="63214542" w:rsidR="009A2964" w:rsidRPr="00BB50F2" w:rsidRDefault="009A2964" w:rsidP="009A2964">
      <w:pPr>
        <w:pStyle w:val="Level2"/>
        <w:tabs>
          <w:tab w:val="clear" w:pos="1135"/>
        </w:tabs>
        <w:spacing w:after="120" w:line="240" w:lineRule="auto"/>
        <w:ind w:left="851"/>
        <w:rPr>
          <w:rFonts w:ascii="Arial" w:hAnsi="Arial" w:cs="Arial"/>
        </w:rPr>
      </w:pPr>
      <w:r w:rsidRPr="00BB50F2">
        <w:rPr>
          <w:rFonts w:ascii="Arial" w:eastAsia="Calibri" w:hAnsi="Arial" w:cs="Arial"/>
          <w:lang w:eastAsia="en-US"/>
        </w:rPr>
        <w:t xml:space="preserve">The Supplier shall prepare, </w:t>
      </w:r>
      <w:proofErr w:type="gramStart"/>
      <w:r w:rsidRPr="00BB50F2">
        <w:rPr>
          <w:rFonts w:ascii="Arial" w:eastAsia="Calibri" w:hAnsi="Arial" w:cs="Arial"/>
          <w:lang w:eastAsia="en-US"/>
        </w:rPr>
        <w:t>manage</w:t>
      </w:r>
      <w:proofErr w:type="gramEnd"/>
      <w:r w:rsidRPr="00BB50F2">
        <w:rPr>
          <w:rFonts w:ascii="Arial" w:eastAsia="Calibri" w:hAnsi="Arial" w:cs="Arial"/>
          <w:lang w:eastAsia="en-US"/>
        </w:rPr>
        <w:t xml:space="preserve"> and keep up to date a record of the </w:t>
      </w:r>
      <w:r w:rsidRPr="00BB50F2">
        <w:rPr>
          <w:rFonts w:ascii="Arial" w:hAnsi="Arial" w:cs="Arial"/>
        </w:rPr>
        <w:t xml:space="preserve">performance and usage of all Infrastructure or Platform Components used to provide the Services. </w:t>
      </w:r>
      <w:proofErr w:type="gramStart"/>
      <w:r w:rsidRPr="00BB50F2">
        <w:rPr>
          <w:rFonts w:ascii="Arial" w:hAnsi="Arial" w:cs="Arial"/>
        </w:rPr>
        <w:t>e.g.</w:t>
      </w:r>
      <w:proofErr w:type="gramEnd"/>
      <w:r w:rsidRPr="00BB50F2">
        <w:rPr>
          <w:rFonts w:ascii="Arial" w:hAnsi="Arial" w:cs="Arial"/>
        </w:rPr>
        <w:t xml:space="preserve"> all hardware and software assets, platforms, virtual machines, licences).</w:t>
      </w:r>
    </w:p>
    <w:p w14:paraId="748C3DE5" w14:textId="1AD57A45" w:rsidR="009A2964" w:rsidRPr="00BB50F2" w:rsidRDefault="001F1C19" w:rsidP="009A2964">
      <w:pPr>
        <w:pStyle w:val="Level2"/>
        <w:tabs>
          <w:tab w:val="clear" w:pos="1135"/>
        </w:tabs>
        <w:spacing w:after="120" w:line="240" w:lineRule="auto"/>
        <w:ind w:left="851"/>
        <w:rPr>
          <w:rFonts w:ascii="Arial" w:hAnsi="Arial" w:cs="Arial"/>
        </w:rPr>
      </w:pPr>
      <w:proofErr w:type="spellStart"/>
      <w:r>
        <w:rPr>
          <w:rFonts w:ascii="Arial" w:hAnsi="Arial" w:cs="Arial"/>
        </w:rPr>
        <w:t>Netlink</w:t>
      </w:r>
      <w:proofErr w:type="spellEnd"/>
      <w:r>
        <w:rPr>
          <w:rFonts w:ascii="Arial" w:hAnsi="Arial" w:cs="Arial"/>
        </w:rPr>
        <w:t xml:space="preserve"> Star</w:t>
      </w:r>
      <w:r w:rsidR="009A2964" w:rsidRPr="00BB50F2">
        <w:rPr>
          <w:rFonts w:ascii="Arial" w:hAnsi="Arial" w:cs="Arial"/>
        </w:rPr>
        <w:t xml:space="preserve"> shall be able to, but shall not be limited to, (for the purposes of satisfying its audit and regulatory needs), to request:</w:t>
      </w:r>
    </w:p>
    <w:p w14:paraId="432F75F9" w14:textId="77777777" w:rsidR="009A2964" w:rsidRPr="00BB50F2" w:rsidRDefault="009A2964" w:rsidP="009A2964">
      <w:pPr>
        <w:pStyle w:val="Level3"/>
        <w:spacing w:line="240" w:lineRule="auto"/>
        <w:ind w:hanging="851"/>
        <w:rPr>
          <w:rFonts w:ascii="Arial" w:hAnsi="Arial" w:cs="Arial"/>
        </w:rPr>
      </w:pPr>
      <w:r w:rsidRPr="00BB50F2">
        <w:rPr>
          <w:rFonts w:ascii="Arial" w:hAnsi="Arial" w:cs="Arial"/>
        </w:rPr>
        <w:t xml:space="preserve">for licensing purposes, system generated information on System usage, </w:t>
      </w:r>
      <w:proofErr w:type="gramStart"/>
      <w:r w:rsidRPr="00BB50F2">
        <w:rPr>
          <w:rFonts w:ascii="Arial" w:hAnsi="Arial" w:cs="Arial"/>
        </w:rPr>
        <w:t>e.g.</w:t>
      </w:r>
      <w:proofErr w:type="gramEnd"/>
      <w:r w:rsidRPr="00BB50F2">
        <w:rPr>
          <w:rFonts w:ascii="Arial" w:hAnsi="Arial" w:cs="Arial"/>
        </w:rPr>
        <w:t xml:space="preserve"> including how many CPU cores a database application has been deployed in a particular month); and</w:t>
      </w:r>
    </w:p>
    <w:p w14:paraId="0ECDADFF" w14:textId="77777777" w:rsidR="009A2964" w:rsidRPr="00BB50F2" w:rsidRDefault="009A2964" w:rsidP="009A2964">
      <w:pPr>
        <w:pStyle w:val="Level3"/>
        <w:spacing w:line="240" w:lineRule="auto"/>
        <w:ind w:hanging="851"/>
        <w:rPr>
          <w:rFonts w:ascii="Arial" w:eastAsia="Calibri" w:hAnsi="Arial" w:cs="Arial"/>
          <w:lang w:eastAsia="en-US"/>
        </w:rPr>
      </w:pPr>
      <w:r w:rsidRPr="00BB50F2">
        <w:rPr>
          <w:rFonts w:ascii="Arial" w:hAnsi="Arial" w:cs="Arial"/>
        </w:rPr>
        <w:t xml:space="preserve">to verify any of the above information on a </w:t>
      </w:r>
      <w:proofErr w:type="gramStart"/>
      <w:r w:rsidRPr="00BB50F2">
        <w:rPr>
          <w:rFonts w:ascii="Arial" w:hAnsi="Arial" w:cs="Arial"/>
        </w:rPr>
        <w:t>point by point</w:t>
      </w:r>
      <w:proofErr w:type="gramEnd"/>
      <w:r w:rsidRPr="00BB50F2">
        <w:rPr>
          <w:rFonts w:ascii="Arial" w:hAnsi="Arial" w:cs="Arial"/>
        </w:rPr>
        <w:t xml:space="preserve"> basis at the time of generation</w:t>
      </w:r>
      <w:r w:rsidRPr="00BB50F2">
        <w:rPr>
          <w:rFonts w:ascii="Arial" w:eastAsia="Calibri" w:hAnsi="Arial" w:cs="Arial"/>
          <w:lang w:eastAsia="en-US"/>
        </w:rPr>
        <w:t xml:space="preserve"> of the report.</w:t>
      </w:r>
    </w:p>
    <w:p w14:paraId="0398CFA1" w14:textId="77777777" w:rsidR="009A2964" w:rsidRPr="00BB50F2" w:rsidRDefault="009A2964" w:rsidP="002C7090">
      <w:pPr>
        <w:pStyle w:val="Level1"/>
        <w:keepNext/>
        <w:tabs>
          <w:tab w:val="clear" w:pos="2411"/>
          <w:tab w:val="num" w:pos="851"/>
        </w:tabs>
        <w:spacing w:after="120" w:line="240" w:lineRule="auto"/>
        <w:ind w:left="851"/>
        <w:jc w:val="left"/>
        <w:rPr>
          <w:rFonts w:ascii="Arial" w:eastAsia="Calibri" w:hAnsi="Arial" w:cs="Arial"/>
          <w:b/>
          <w:bCs/>
          <w:lang w:eastAsia="en-US"/>
        </w:rPr>
      </w:pPr>
      <w:r w:rsidRPr="00BB50F2">
        <w:rPr>
          <w:rFonts w:ascii="Arial" w:eastAsia="Calibri" w:hAnsi="Arial" w:cs="Arial"/>
          <w:b/>
          <w:bCs/>
          <w:lang w:eastAsia="en-US"/>
        </w:rPr>
        <w:t>DEFINITIONS</w:t>
      </w:r>
    </w:p>
    <w:p w14:paraId="18620B9D" w14:textId="0AC0628A" w:rsidR="009A2964" w:rsidRPr="00BB50F2" w:rsidRDefault="009A2964" w:rsidP="009A2964">
      <w:pPr>
        <w:pStyle w:val="Level2"/>
        <w:tabs>
          <w:tab w:val="clear" w:pos="1135"/>
        </w:tabs>
        <w:spacing w:after="120" w:line="240" w:lineRule="auto"/>
        <w:ind w:left="851"/>
        <w:rPr>
          <w:rFonts w:ascii="Arial" w:eastAsia="Calibri" w:hAnsi="Arial" w:cs="Arial"/>
          <w:lang w:eastAsia="en-US"/>
        </w:rPr>
      </w:pPr>
      <w:r w:rsidRPr="00BB50F2">
        <w:rPr>
          <w:rFonts w:ascii="Arial" w:hAnsi="Arial" w:cs="Arial"/>
        </w:rPr>
        <w:t xml:space="preserve">The Supplier shall apply </w:t>
      </w:r>
      <w:proofErr w:type="spellStart"/>
      <w:r w:rsidR="001F1C19">
        <w:rPr>
          <w:rFonts w:ascii="Arial" w:hAnsi="Arial" w:cs="Arial"/>
        </w:rPr>
        <w:t>Netlink</w:t>
      </w:r>
      <w:proofErr w:type="spellEnd"/>
      <w:r w:rsidR="001F1C19">
        <w:rPr>
          <w:rFonts w:ascii="Arial" w:hAnsi="Arial" w:cs="Arial"/>
        </w:rPr>
        <w:t xml:space="preserve"> Star</w:t>
      </w:r>
      <w:r w:rsidRPr="00BB50F2">
        <w:rPr>
          <w:rFonts w:ascii="Arial" w:hAnsi="Arial" w:cs="Arial"/>
        </w:rPr>
        <w:t xml:space="preserve">’s definitions of Incident Priority Levels as set out in Table 2 and shall also agree the Priority Level definitions for Catalogue Requests as part of the </w:t>
      </w:r>
      <w:r w:rsidRPr="00BB50F2">
        <w:rPr>
          <w:rFonts w:ascii="Arial" w:hAnsi="Arial" w:cs="Arial"/>
        </w:rPr>
        <w:lastRenderedPageBreak/>
        <w:t>definition of the Product and Service Catalogue in accordance with Schedule 7.4 (Service and Product Catalogue).</w:t>
      </w:r>
    </w:p>
    <w:p w14:paraId="5EA42AE5" w14:textId="77777777" w:rsidR="00A455FF" w:rsidRDefault="00A455FF">
      <w:pPr>
        <w:rPr>
          <w:rFonts w:eastAsia="Calibri" w:cs="Arial"/>
          <w:lang w:eastAsia="en-US"/>
        </w:rPr>
      </w:pPr>
      <w:r>
        <w:rPr>
          <w:rFonts w:eastAsia="Calibri" w:cs="Arial"/>
          <w:lang w:eastAsia="en-US"/>
        </w:rPr>
        <w:br w:type="page"/>
      </w:r>
    </w:p>
    <w:p w14:paraId="04643B63" w14:textId="0E6AE333" w:rsidR="009A2964" w:rsidRPr="00A455FF" w:rsidRDefault="00A455FF" w:rsidP="00A455FF">
      <w:pPr>
        <w:jc w:val="center"/>
        <w:rPr>
          <w:rFonts w:eastAsia="Calibri" w:cs="Arial"/>
          <w:b/>
          <w:bCs/>
          <w:lang w:eastAsia="en-US"/>
        </w:rPr>
      </w:pPr>
      <w:r w:rsidRPr="00A455FF">
        <w:rPr>
          <w:rFonts w:eastAsia="Calibri" w:cs="Arial"/>
          <w:b/>
          <w:bCs/>
          <w:lang w:eastAsia="en-US"/>
        </w:rPr>
        <w:lastRenderedPageBreak/>
        <w:t xml:space="preserve">Annex A: Service level calculations </w:t>
      </w:r>
    </w:p>
    <w:tbl>
      <w:tblPr>
        <w:tblW w:w="9094"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
        <w:gridCol w:w="953"/>
        <w:gridCol w:w="960"/>
        <w:gridCol w:w="5462"/>
        <w:gridCol w:w="1484"/>
      </w:tblGrid>
      <w:tr w:rsidR="006B0C32" w:rsidRPr="006B0C32" w14:paraId="3317D275" w14:textId="77777777" w:rsidTr="00D9696C">
        <w:trPr>
          <w:trHeight w:hRule="exact" w:val="1021"/>
        </w:trPr>
        <w:tc>
          <w:tcPr>
            <w:tcW w:w="7610" w:type="dxa"/>
            <w:gridSpan w:val="4"/>
          </w:tcPr>
          <w:p w14:paraId="605BDBA0" w14:textId="77777777" w:rsidR="006B0C32" w:rsidRPr="006B0C32" w:rsidRDefault="006B0C32" w:rsidP="00D9696C">
            <w:pPr>
              <w:spacing w:before="240"/>
              <w:rPr>
                <w:rFonts w:cs="Arial"/>
                <w:b/>
                <w:szCs w:val="20"/>
              </w:rPr>
            </w:pPr>
            <w:r w:rsidRPr="006B0C32">
              <w:rPr>
                <w:rFonts w:eastAsia="Calibri" w:cs="Arial"/>
                <w:szCs w:val="20"/>
                <w:lang w:eastAsia="en-US"/>
              </w:rPr>
              <w:br w:type="page"/>
            </w:r>
            <w:r w:rsidRPr="006B0C32">
              <w:rPr>
                <w:rFonts w:cs="Arial"/>
                <w:b/>
                <w:szCs w:val="20"/>
              </w:rPr>
              <w:t>Service Component Availability</w:t>
            </w:r>
          </w:p>
        </w:tc>
        <w:tc>
          <w:tcPr>
            <w:tcW w:w="1484" w:type="dxa"/>
            <w:vAlign w:val="center"/>
          </w:tcPr>
          <w:p w14:paraId="3F05703A" w14:textId="2AA9745E" w:rsidR="006B0C32" w:rsidRPr="006B0C32" w:rsidRDefault="006B0C32" w:rsidP="006B0C32">
            <w:pPr>
              <w:pStyle w:val="Heading1"/>
              <w:numPr>
                <w:ilvl w:val="0"/>
                <w:numId w:val="0"/>
              </w:numPr>
              <w:spacing w:after="0" w:line="312" w:lineRule="auto"/>
              <w:jc w:val="center"/>
              <w:rPr>
                <w:rFonts w:cs="Arial"/>
                <w:szCs w:val="20"/>
              </w:rPr>
            </w:pPr>
            <w:r w:rsidRPr="006B0C32">
              <w:rPr>
                <w:rFonts w:cs="Arial"/>
                <w:szCs w:val="20"/>
              </w:rPr>
              <w:t>A-1</w:t>
            </w:r>
            <w:r w:rsidRPr="006B0C32">
              <w:rPr>
                <w:rFonts w:cs="Arial"/>
                <w:caps w:val="0"/>
                <w:szCs w:val="20"/>
              </w:rPr>
              <w:t>a</w:t>
            </w:r>
          </w:p>
          <w:p w14:paraId="4EAF3883" w14:textId="77777777" w:rsidR="006B0C32" w:rsidRPr="006B0C32" w:rsidRDefault="006B0C32" w:rsidP="00D9696C">
            <w:pPr>
              <w:jc w:val="center"/>
              <w:rPr>
                <w:rFonts w:cs="Arial"/>
                <w:szCs w:val="20"/>
              </w:rPr>
            </w:pPr>
            <w:r w:rsidRPr="006B0C32">
              <w:rPr>
                <w:rFonts w:cs="Arial"/>
                <w:b/>
                <w:szCs w:val="20"/>
                <w:lang w:eastAsia="en-US"/>
              </w:rPr>
              <w:t>Continuous</w:t>
            </w:r>
          </w:p>
        </w:tc>
      </w:tr>
      <w:tr w:rsidR="006B0C32" w:rsidRPr="006B0C32" w14:paraId="562063A9" w14:textId="77777777" w:rsidTr="00D9696C">
        <w:trPr>
          <w:cantSplit/>
          <w:trHeight w:hRule="exact" w:val="397"/>
        </w:trPr>
        <w:tc>
          <w:tcPr>
            <w:tcW w:w="9094" w:type="dxa"/>
            <w:gridSpan w:val="5"/>
            <w:vAlign w:val="center"/>
          </w:tcPr>
          <w:p w14:paraId="33F19651" w14:textId="77777777" w:rsidR="006B0C32" w:rsidRPr="006B0C32" w:rsidRDefault="006B0C32" w:rsidP="00D9696C">
            <w:pPr>
              <w:rPr>
                <w:rFonts w:cs="Arial"/>
                <w:b/>
                <w:szCs w:val="20"/>
              </w:rPr>
            </w:pPr>
            <w:r w:rsidRPr="006B0C32">
              <w:rPr>
                <w:rFonts w:cs="Arial"/>
                <w:b/>
                <w:szCs w:val="20"/>
              </w:rPr>
              <w:t>Definition:</w:t>
            </w:r>
          </w:p>
        </w:tc>
      </w:tr>
      <w:tr w:rsidR="006B0C32" w:rsidRPr="006B0C32" w14:paraId="45084BFB" w14:textId="77777777" w:rsidTr="00D9696C">
        <w:trPr>
          <w:cantSplit/>
        </w:trPr>
        <w:tc>
          <w:tcPr>
            <w:tcW w:w="9094" w:type="dxa"/>
            <w:gridSpan w:val="5"/>
          </w:tcPr>
          <w:p w14:paraId="339C3A1D" w14:textId="77777777" w:rsidR="006B0C32" w:rsidRPr="006B0C32" w:rsidRDefault="006B0C32" w:rsidP="006B0C32">
            <w:pPr>
              <w:pStyle w:val="Header"/>
              <w:ind w:left="0" w:firstLine="0"/>
              <w:rPr>
                <w:rFonts w:cs="Arial"/>
                <w:szCs w:val="20"/>
              </w:rPr>
            </w:pPr>
            <w:r w:rsidRPr="006B0C32">
              <w:rPr>
                <w:rFonts w:cs="Arial"/>
                <w:szCs w:val="20"/>
              </w:rPr>
              <w:t>The measure of the availability of the Service Component supported by the Supplier during any given calendar month:</w:t>
            </w:r>
          </w:p>
          <w:p w14:paraId="0B6E3DB6" w14:textId="77777777" w:rsidR="006B0C32" w:rsidRPr="006B0C32" w:rsidRDefault="006B0C32" w:rsidP="00D9696C">
            <w:pPr>
              <w:pStyle w:val="Header"/>
              <w:rPr>
                <w:rFonts w:cs="Arial"/>
                <w:szCs w:val="20"/>
              </w:rPr>
            </w:pPr>
            <w:r w:rsidRPr="006B0C32">
              <w:rPr>
                <w:rFonts w:cs="Arial"/>
                <w:szCs w:val="20"/>
              </w:rPr>
              <w:t>A-1a - Average availability across all service components per month</w:t>
            </w:r>
          </w:p>
          <w:p w14:paraId="1F42140F" w14:textId="77777777" w:rsidR="006B0C32" w:rsidRPr="006B0C32" w:rsidRDefault="006B0C32" w:rsidP="00D9696C">
            <w:pPr>
              <w:pStyle w:val="Header"/>
              <w:rPr>
                <w:rFonts w:cs="Arial"/>
                <w:szCs w:val="20"/>
              </w:rPr>
            </w:pPr>
          </w:p>
        </w:tc>
      </w:tr>
      <w:tr w:rsidR="006B0C32" w:rsidRPr="006B0C32" w14:paraId="40F1E13C" w14:textId="77777777" w:rsidTr="00D9696C">
        <w:trPr>
          <w:cantSplit/>
          <w:trHeight w:hRule="exact" w:val="397"/>
        </w:trPr>
        <w:tc>
          <w:tcPr>
            <w:tcW w:w="9094" w:type="dxa"/>
            <w:gridSpan w:val="5"/>
            <w:vAlign w:val="center"/>
          </w:tcPr>
          <w:p w14:paraId="6A57AF6D" w14:textId="77777777" w:rsidR="006B0C32" w:rsidRPr="006B0C32" w:rsidRDefault="006B0C32" w:rsidP="00D9696C">
            <w:pPr>
              <w:pStyle w:val="Header"/>
              <w:rPr>
                <w:rFonts w:cs="Arial"/>
                <w:szCs w:val="20"/>
              </w:rPr>
            </w:pPr>
            <w:r w:rsidRPr="006B0C32">
              <w:rPr>
                <w:rFonts w:cs="Arial"/>
                <w:szCs w:val="20"/>
              </w:rPr>
              <w:t>Calculation:</w:t>
            </w:r>
          </w:p>
        </w:tc>
      </w:tr>
      <w:tr w:rsidR="006B0C32" w:rsidRPr="006B0C32" w14:paraId="1CCEE7E0" w14:textId="77777777" w:rsidTr="00D9696C">
        <w:trPr>
          <w:cantSplit/>
        </w:trPr>
        <w:tc>
          <w:tcPr>
            <w:tcW w:w="9094" w:type="dxa"/>
            <w:gridSpan w:val="5"/>
            <w:tcBorders>
              <w:bottom w:val="nil"/>
            </w:tcBorders>
          </w:tcPr>
          <w:p w14:paraId="1A5A7F36" w14:textId="77777777" w:rsidR="006B0C32" w:rsidRPr="006B0C32" w:rsidRDefault="006B0C32" w:rsidP="00D9696C">
            <w:pPr>
              <w:pStyle w:val="Header"/>
              <w:rPr>
                <w:rFonts w:cs="Arial"/>
                <w:szCs w:val="20"/>
              </w:rPr>
            </w:pPr>
          </w:p>
        </w:tc>
      </w:tr>
      <w:tr w:rsidR="006B0C32" w:rsidRPr="006B0C32" w14:paraId="4FEA84AA" w14:textId="77777777" w:rsidTr="00D9696C">
        <w:trPr>
          <w:cantSplit/>
        </w:trPr>
        <w:tc>
          <w:tcPr>
            <w:tcW w:w="235" w:type="dxa"/>
            <w:tcBorders>
              <w:top w:val="nil"/>
              <w:bottom w:val="nil"/>
              <w:right w:val="single" w:sz="4" w:space="0" w:color="999999"/>
            </w:tcBorders>
          </w:tcPr>
          <w:p w14:paraId="48A24B20" w14:textId="77777777" w:rsidR="006B0C32" w:rsidRPr="006B0C32" w:rsidRDefault="006B0C32" w:rsidP="00D9696C">
            <w:pPr>
              <w:pStyle w:val="Header"/>
              <w:rPr>
                <w:rFonts w:cs="Arial"/>
                <w:szCs w:val="20"/>
              </w:rPr>
            </w:pPr>
          </w:p>
        </w:tc>
        <w:tc>
          <w:tcPr>
            <w:tcW w:w="1913" w:type="dxa"/>
            <w:gridSpan w:val="2"/>
            <w:tcBorders>
              <w:top w:val="single" w:sz="4" w:space="0" w:color="999999"/>
              <w:left w:val="single" w:sz="4" w:space="0" w:color="999999"/>
              <w:bottom w:val="single" w:sz="4" w:space="0" w:color="999999"/>
              <w:right w:val="single" w:sz="4" w:space="0" w:color="999999"/>
            </w:tcBorders>
          </w:tcPr>
          <w:p w14:paraId="1528E0CC" w14:textId="77777777" w:rsidR="006B0C32" w:rsidRPr="006B0C32" w:rsidRDefault="006B0C32" w:rsidP="006B0C32">
            <w:pPr>
              <w:pStyle w:val="Header"/>
              <w:ind w:left="0" w:firstLine="0"/>
              <w:rPr>
                <w:rFonts w:cs="Arial"/>
                <w:szCs w:val="20"/>
              </w:rPr>
            </w:pPr>
            <w:r w:rsidRPr="006B0C32">
              <w:rPr>
                <w:rFonts w:cs="Arial"/>
                <w:szCs w:val="20"/>
              </w:rPr>
              <w:t>Service Components</w:t>
            </w:r>
          </w:p>
        </w:tc>
        <w:tc>
          <w:tcPr>
            <w:tcW w:w="6946" w:type="dxa"/>
            <w:gridSpan w:val="2"/>
            <w:tcBorders>
              <w:top w:val="single" w:sz="4" w:space="0" w:color="999999"/>
              <w:left w:val="single" w:sz="4" w:space="0" w:color="999999"/>
              <w:bottom w:val="single" w:sz="4" w:space="0" w:color="999999"/>
              <w:right w:val="single" w:sz="4" w:space="0" w:color="999999"/>
            </w:tcBorders>
          </w:tcPr>
          <w:p w14:paraId="5C44A13D" w14:textId="77777777" w:rsidR="006B0C32" w:rsidRPr="006B0C32" w:rsidRDefault="006B0C32" w:rsidP="006B0C32">
            <w:pPr>
              <w:pStyle w:val="Header"/>
              <w:ind w:left="31" w:firstLine="0"/>
              <w:rPr>
                <w:rFonts w:cs="Arial"/>
                <w:szCs w:val="20"/>
              </w:rPr>
            </w:pPr>
            <w:r w:rsidRPr="006B0C32">
              <w:rPr>
                <w:rFonts w:cs="Arial"/>
                <w:szCs w:val="20"/>
              </w:rPr>
              <w:t>Virtual machines, virtual storage volumes, database instances, Active Directory instances, virtual web servers, virtual VDI servers and VLANs</w:t>
            </w:r>
          </w:p>
        </w:tc>
      </w:tr>
      <w:tr w:rsidR="006B0C32" w:rsidRPr="006B0C32" w14:paraId="6D52000A" w14:textId="77777777" w:rsidTr="00D9696C">
        <w:trPr>
          <w:cantSplit/>
        </w:trPr>
        <w:tc>
          <w:tcPr>
            <w:tcW w:w="235" w:type="dxa"/>
            <w:tcBorders>
              <w:top w:val="nil"/>
              <w:bottom w:val="nil"/>
              <w:right w:val="single" w:sz="4" w:space="0" w:color="999999"/>
            </w:tcBorders>
          </w:tcPr>
          <w:p w14:paraId="72F04FFC" w14:textId="77777777" w:rsidR="006B0C32" w:rsidRPr="006B0C32" w:rsidRDefault="006B0C32" w:rsidP="00D9696C">
            <w:pPr>
              <w:pStyle w:val="Header"/>
              <w:rPr>
                <w:rFonts w:cs="Arial"/>
                <w:szCs w:val="20"/>
              </w:rPr>
            </w:pPr>
          </w:p>
        </w:tc>
        <w:tc>
          <w:tcPr>
            <w:tcW w:w="1913" w:type="dxa"/>
            <w:gridSpan w:val="2"/>
            <w:tcBorders>
              <w:top w:val="single" w:sz="4" w:space="0" w:color="999999"/>
              <w:left w:val="single" w:sz="4" w:space="0" w:color="999999"/>
              <w:bottom w:val="single" w:sz="4" w:space="0" w:color="999999"/>
              <w:right w:val="single" w:sz="4" w:space="0" w:color="999999"/>
            </w:tcBorders>
          </w:tcPr>
          <w:p w14:paraId="08397BC6" w14:textId="77777777" w:rsidR="006B0C32" w:rsidRPr="006B0C32" w:rsidRDefault="006B0C32" w:rsidP="006B0C32">
            <w:pPr>
              <w:pStyle w:val="Header"/>
              <w:ind w:left="0" w:firstLine="0"/>
              <w:rPr>
                <w:rFonts w:cs="Arial"/>
                <w:szCs w:val="20"/>
              </w:rPr>
            </w:pPr>
            <w:r w:rsidRPr="006B0C32">
              <w:rPr>
                <w:rFonts w:cs="Arial"/>
                <w:szCs w:val="20"/>
              </w:rPr>
              <w:t>Total minutes in month</w:t>
            </w:r>
          </w:p>
        </w:tc>
        <w:tc>
          <w:tcPr>
            <w:tcW w:w="6946" w:type="dxa"/>
            <w:gridSpan w:val="2"/>
            <w:tcBorders>
              <w:top w:val="single" w:sz="4" w:space="0" w:color="999999"/>
              <w:left w:val="single" w:sz="4" w:space="0" w:color="999999"/>
              <w:bottom w:val="single" w:sz="4" w:space="0" w:color="999999"/>
              <w:right w:val="single" w:sz="4" w:space="0" w:color="999999"/>
            </w:tcBorders>
          </w:tcPr>
          <w:p w14:paraId="204E0CE9" w14:textId="77777777" w:rsidR="006B0C32" w:rsidRPr="006B0C32" w:rsidRDefault="006B0C32" w:rsidP="006B0C32">
            <w:pPr>
              <w:pStyle w:val="Header"/>
              <w:ind w:left="31" w:firstLine="0"/>
              <w:rPr>
                <w:rFonts w:cs="Arial"/>
                <w:szCs w:val="20"/>
              </w:rPr>
            </w:pPr>
            <w:r w:rsidRPr="006B0C32">
              <w:rPr>
                <w:rFonts w:cs="Arial"/>
                <w:szCs w:val="20"/>
              </w:rPr>
              <w:t>The total number of minutes in the calendar month (MONMIN)</w:t>
            </w:r>
          </w:p>
        </w:tc>
      </w:tr>
      <w:tr w:rsidR="006B0C32" w:rsidRPr="006B0C32" w14:paraId="3F19D698" w14:textId="77777777" w:rsidTr="00D9696C">
        <w:trPr>
          <w:cantSplit/>
        </w:trPr>
        <w:tc>
          <w:tcPr>
            <w:tcW w:w="235" w:type="dxa"/>
            <w:tcBorders>
              <w:top w:val="nil"/>
              <w:bottom w:val="nil"/>
              <w:right w:val="single" w:sz="4" w:space="0" w:color="999999"/>
            </w:tcBorders>
          </w:tcPr>
          <w:p w14:paraId="7DD85EB7" w14:textId="77777777" w:rsidR="006B0C32" w:rsidRPr="006B0C32" w:rsidRDefault="006B0C32" w:rsidP="00D9696C">
            <w:pPr>
              <w:pStyle w:val="Header"/>
              <w:rPr>
                <w:rFonts w:cs="Arial"/>
                <w:szCs w:val="20"/>
              </w:rPr>
            </w:pPr>
          </w:p>
        </w:tc>
        <w:tc>
          <w:tcPr>
            <w:tcW w:w="1913" w:type="dxa"/>
            <w:gridSpan w:val="2"/>
            <w:tcBorders>
              <w:top w:val="single" w:sz="4" w:space="0" w:color="999999"/>
              <w:left w:val="single" w:sz="4" w:space="0" w:color="999999"/>
              <w:bottom w:val="single" w:sz="4" w:space="0" w:color="999999"/>
              <w:right w:val="single" w:sz="4" w:space="0" w:color="999999"/>
            </w:tcBorders>
          </w:tcPr>
          <w:p w14:paraId="70B67FA6" w14:textId="77777777" w:rsidR="006B0C32" w:rsidRPr="006B0C32" w:rsidRDefault="006B0C32" w:rsidP="006B0C32">
            <w:pPr>
              <w:pStyle w:val="Header"/>
              <w:ind w:left="0" w:firstLine="0"/>
              <w:rPr>
                <w:rFonts w:cs="Arial"/>
                <w:szCs w:val="20"/>
              </w:rPr>
            </w:pPr>
            <w:r w:rsidRPr="006B0C32">
              <w:rPr>
                <w:rFonts w:cs="Arial"/>
                <w:szCs w:val="20"/>
              </w:rPr>
              <w:t>Service Time</w:t>
            </w:r>
          </w:p>
        </w:tc>
        <w:tc>
          <w:tcPr>
            <w:tcW w:w="6946" w:type="dxa"/>
            <w:gridSpan w:val="2"/>
            <w:tcBorders>
              <w:top w:val="single" w:sz="4" w:space="0" w:color="999999"/>
              <w:left w:val="single" w:sz="4" w:space="0" w:color="999999"/>
              <w:bottom w:val="single" w:sz="4" w:space="0" w:color="999999"/>
              <w:right w:val="single" w:sz="4" w:space="0" w:color="999999"/>
            </w:tcBorders>
          </w:tcPr>
          <w:p w14:paraId="244BF62C" w14:textId="77777777" w:rsidR="006B0C32" w:rsidRPr="006B0C32" w:rsidRDefault="006B0C32" w:rsidP="006B0C32">
            <w:pPr>
              <w:pStyle w:val="Header"/>
              <w:ind w:left="31" w:firstLine="0"/>
              <w:rPr>
                <w:rFonts w:cs="Arial"/>
                <w:szCs w:val="20"/>
              </w:rPr>
            </w:pPr>
            <w:r w:rsidRPr="006B0C32">
              <w:rPr>
                <w:rFonts w:cs="Arial"/>
                <w:szCs w:val="20"/>
              </w:rPr>
              <w:t>The total time (minutes) the Service Component should be available within the calendar month (SERTIM).</w:t>
            </w:r>
          </w:p>
          <w:p w14:paraId="112FBAFF" w14:textId="77777777" w:rsidR="006B0C32" w:rsidRPr="006B0C32" w:rsidRDefault="006B0C32" w:rsidP="006B0C32">
            <w:pPr>
              <w:pStyle w:val="Header"/>
              <w:ind w:left="31" w:firstLine="0"/>
              <w:rPr>
                <w:rFonts w:cs="Arial"/>
                <w:szCs w:val="20"/>
              </w:rPr>
            </w:pPr>
          </w:p>
          <w:p w14:paraId="6F258746" w14:textId="77777777" w:rsidR="006B0C32" w:rsidRPr="006B0C32" w:rsidRDefault="006B0C32" w:rsidP="006B0C32">
            <w:pPr>
              <w:pStyle w:val="Header"/>
              <w:ind w:left="31" w:firstLine="0"/>
              <w:rPr>
                <w:rFonts w:cs="Arial"/>
                <w:szCs w:val="20"/>
              </w:rPr>
            </w:pPr>
            <w:r w:rsidRPr="006B0C32">
              <w:rPr>
                <w:rFonts w:cs="Arial"/>
                <w:szCs w:val="20"/>
              </w:rPr>
              <w:t>SERTIM is dependent on the service component type (as defined in Schedule 7.4) and is specified as follows:</w:t>
            </w:r>
          </w:p>
          <w:p w14:paraId="0DC382F1" w14:textId="6C5CEA4B" w:rsidR="006B0C32" w:rsidRDefault="006B0C32" w:rsidP="006B0C32">
            <w:pPr>
              <w:pStyle w:val="Header"/>
              <w:ind w:left="31" w:firstLine="0"/>
              <w:rPr>
                <w:rFonts w:cs="Arial"/>
                <w:szCs w:val="20"/>
              </w:rPr>
            </w:pPr>
            <w:r w:rsidRPr="006B0C32">
              <w:rPr>
                <w:rFonts w:cs="Arial"/>
                <w:szCs w:val="20"/>
              </w:rPr>
              <w:t>SERTIM = MONMIN * 99.999 for Data Storage (SAN) Service Components</w:t>
            </w:r>
          </w:p>
          <w:p w14:paraId="4395212D" w14:textId="5F875B53" w:rsidR="007C5ABE" w:rsidRPr="006B0C32" w:rsidRDefault="007C5ABE" w:rsidP="006B0C32">
            <w:pPr>
              <w:pStyle w:val="Header"/>
              <w:ind w:left="31" w:firstLine="0"/>
              <w:rPr>
                <w:rFonts w:cs="Arial"/>
                <w:szCs w:val="20"/>
              </w:rPr>
            </w:pPr>
            <w:r w:rsidRPr="007C5ABE">
              <w:rPr>
                <w:rFonts w:cs="Arial"/>
                <w:szCs w:val="20"/>
              </w:rPr>
              <w:t>SERTIM = MONMIN * 99.99 for Virtual Server Components</w:t>
            </w:r>
          </w:p>
          <w:p w14:paraId="20830A6E" w14:textId="37D575C3" w:rsidR="006B0C32" w:rsidRPr="006B0C32" w:rsidRDefault="006B0C32" w:rsidP="006B0C32">
            <w:pPr>
              <w:pStyle w:val="Header"/>
              <w:ind w:left="31" w:firstLine="0"/>
              <w:rPr>
                <w:rFonts w:cs="Arial"/>
                <w:szCs w:val="20"/>
              </w:rPr>
            </w:pPr>
            <w:r w:rsidRPr="006B0C32">
              <w:rPr>
                <w:rFonts w:cs="Arial"/>
                <w:szCs w:val="20"/>
              </w:rPr>
              <w:t>SERTIM = MONMIM * 99.99 for DC LAN Service Components</w:t>
            </w:r>
          </w:p>
          <w:p w14:paraId="5E33DE3F" w14:textId="77777777" w:rsidR="006B0C32" w:rsidRPr="006B0C32" w:rsidRDefault="006B0C32" w:rsidP="006B0C32">
            <w:pPr>
              <w:pStyle w:val="Header"/>
              <w:ind w:left="31" w:firstLine="0"/>
              <w:rPr>
                <w:rFonts w:cs="Arial"/>
                <w:szCs w:val="20"/>
              </w:rPr>
            </w:pPr>
            <w:r w:rsidRPr="006B0C32">
              <w:rPr>
                <w:rFonts w:cs="Arial"/>
                <w:szCs w:val="20"/>
              </w:rPr>
              <w:t>SERTIM = MONMIN * 99.9 for Database Service Components</w:t>
            </w:r>
          </w:p>
          <w:p w14:paraId="06E21140" w14:textId="77777777" w:rsidR="006B0C32" w:rsidRPr="006B0C32" w:rsidRDefault="006B0C32" w:rsidP="006B0C32">
            <w:pPr>
              <w:pStyle w:val="Header"/>
              <w:ind w:left="31" w:firstLine="0"/>
              <w:rPr>
                <w:rFonts w:cs="Arial"/>
                <w:szCs w:val="20"/>
              </w:rPr>
            </w:pPr>
            <w:r w:rsidRPr="006B0C32">
              <w:rPr>
                <w:rFonts w:cs="Arial"/>
                <w:szCs w:val="20"/>
              </w:rPr>
              <w:t>SERTIM = MONMIN * 99.9 for Web Server Service Components</w:t>
            </w:r>
          </w:p>
          <w:p w14:paraId="29BC691E" w14:textId="77777777" w:rsidR="006B0C32" w:rsidRPr="006B0C32" w:rsidRDefault="006B0C32" w:rsidP="006B0C32">
            <w:pPr>
              <w:pStyle w:val="Header"/>
              <w:ind w:left="31" w:firstLine="0"/>
              <w:rPr>
                <w:rFonts w:cs="Arial"/>
                <w:szCs w:val="20"/>
              </w:rPr>
            </w:pPr>
            <w:r w:rsidRPr="006B0C32">
              <w:rPr>
                <w:rFonts w:cs="Arial"/>
                <w:szCs w:val="20"/>
              </w:rPr>
              <w:t>SERTIM = MONMIN * 99.99 for Active Directory Service Components</w:t>
            </w:r>
          </w:p>
          <w:p w14:paraId="3C196576" w14:textId="77777777" w:rsidR="006B0C32" w:rsidRPr="006B0C32" w:rsidRDefault="006B0C32" w:rsidP="006B0C32">
            <w:pPr>
              <w:pStyle w:val="Header"/>
              <w:ind w:left="31" w:firstLine="0"/>
              <w:rPr>
                <w:rFonts w:cs="Arial"/>
                <w:szCs w:val="20"/>
              </w:rPr>
            </w:pPr>
            <w:r w:rsidRPr="006B0C32">
              <w:rPr>
                <w:rFonts w:cs="Arial"/>
                <w:szCs w:val="20"/>
              </w:rPr>
              <w:t xml:space="preserve"> SERTIM = MONMIN * 99.99 for Virtual Desktop Interface Service Components</w:t>
            </w:r>
          </w:p>
          <w:p w14:paraId="3556373C" w14:textId="77777777" w:rsidR="006B0C32" w:rsidRPr="006B0C32" w:rsidRDefault="006B0C32" w:rsidP="006B0C32">
            <w:pPr>
              <w:pStyle w:val="Header"/>
              <w:ind w:left="31" w:firstLine="0"/>
              <w:rPr>
                <w:rFonts w:cs="Arial"/>
                <w:szCs w:val="20"/>
              </w:rPr>
            </w:pPr>
          </w:p>
          <w:p w14:paraId="4791CAB2" w14:textId="77777777" w:rsidR="006B0C32" w:rsidRPr="006B0C32" w:rsidRDefault="006B0C32" w:rsidP="006B0C32">
            <w:pPr>
              <w:pStyle w:val="Header"/>
              <w:ind w:left="31" w:firstLine="0"/>
              <w:rPr>
                <w:rFonts w:cs="Arial"/>
                <w:szCs w:val="20"/>
              </w:rPr>
            </w:pPr>
          </w:p>
        </w:tc>
      </w:tr>
      <w:tr w:rsidR="006B0C32" w:rsidRPr="006B0C32" w14:paraId="004C79CC" w14:textId="77777777" w:rsidTr="00D9696C">
        <w:trPr>
          <w:cantSplit/>
        </w:trPr>
        <w:tc>
          <w:tcPr>
            <w:tcW w:w="235" w:type="dxa"/>
            <w:tcBorders>
              <w:top w:val="nil"/>
              <w:bottom w:val="nil"/>
              <w:right w:val="single" w:sz="4" w:space="0" w:color="999999"/>
            </w:tcBorders>
          </w:tcPr>
          <w:p w14:paraId="5D4A6D71" w14:textId="77777777" w:rsidR="006B0C32" w:rsidRPr="006B0C32" w:rsidRDefault="006B0C32" w:rsidP="00D9696C">
            <w:pPr>
              <w:pStyle w:val="Header"/>
              <w:rPr>
                <w:rFonts w:cs="Arial"/>
                <w:szCs w:val="20"/>
              </w:rPr>
            </w:pPr>
          </w:p>
        </w:tc>
        <w:tc>
          <w:tcPr>
            <w:tcW w:w="1913" w:type="dxa"/>
            <w:gridSpan w:val="2"/>
            <w:tcBorders>
              <w:top w:val="single" w:sz="4" w:space="0" w:color="999999"/>
              <w:left w:val="single" w:sz="4" w:space="0" w:color="999999"/>
              <w:bottom w:val="single" w:sz="4" w:space="0" w:color="999999"/>
              <w:right w:val="single" w:sz="4" w:space="0" w:color="999999"/>
            </w:tcBorders>
          </w:tcPr>
          <w:p w14:paraId="0B557B4B" w14:textId="77777777" w:rsidR="006B0C32" w:rsidRPr="006B0C32" w:rsidRDefault="006B0C32" w:rsidP="006B0C32">
            <w:pPr>
              <w:pStyle w:val="Header"/>
              <w:ind w:left="0" w:firstLine="0"/>
              <w:rPr>
                <w:rFonts w:cs="Arial"/>
                <w:szCs w:val="20"/>
              </w:rPr>
            </w:pPr>
            <w:r w:rsidRPr="006B0C32">
              <w:rPr>
                <w:rFonts w:cs="Arial"/>
                <w:szCs w:val="20"/>
              </w:rPr>
              <w:t>Number of service components by service component type</w:t>
            </w:r>
          </w:p>
        </w:tc>
        <w:tc>
          <w:tcPr>
            <w:tcW w:w="6946" w:type="dxa"/>
            <w:gridSpan w:val="2"/>
            <w:tcBorders>
              <w:top w:val="single" w:sz="4" w:space="0" w:color="999999"/>
              <w:left w:val="single" w:sz="4" w:space="0" w:color="999999"/>
              <w:bottom w:val="single" w:sz="4" w:space="0" w:color="999999"/>
              <w:right w:val="single" w:sz="4" w:space="0" w:color="999999"/>
            </w:tcBorders>
          </w:tcPr>
          <w:p w14:paraId="6967ADA8" w14:textId="6F63E4C2" w:rsidR="006B0C32" w:rsidRPr="006B0C32" w:rsidRDefault="006B0C32" w:rsidP="006B0C32">
            <w:pPr>
              <w:pStyle w:val="Header"/>
              <w:ind w:left="31" w:firstLine="0"/>
              <w:rPr>
                <w:rFonts w:cs="Arial"/>
                <w:szCs w:val="20"/>
              </w:rPr>
            </w:pPr>
            <w:r w:rsidRPr="006B0C32">
              <w:rPr>
                <w:rFonts w:cs="Arial"/>
                <w:szCs w:val="20"/>
              </w:rPr>
              <w:t xml:space="preserve">The number of Service Components created and running within the </w:t>
            </w:r>
            <w:proofErr w:type="spellStart"/>
            <w:r w:rsidRPr="006B0C32">
              <w:rPr>
                <w:rFonts w:cs="Arial"/>
                <w:szCs w:val="20"/>
              </w:rPr>
              <w:t>Opertate</w:t>
            </w:r>
            <w:proofErr w:type="spellEnd"/>
            <w:r w:rsidRPr="006B0C32">
              <w:rPr>
                <w:rFonts w:cs="Arial"/>
                <w:szCs w:val="20"/>
              </w:rPr>
              <w:t xml:space="preserve"> Service of a specific service component type (as defined in Schedule 7.4)</w:t>
            </w:r>
          </w:p>
          <w:p w14:paraId="497DF5D3" w14:textId="77777777" w:rsidR="006B0C32" w:rsidRPr="006B0C32" w:rsidRDefault="006B0C32" w:rsidP="006B0C32">
            <w:pPr>
              <w:pStyle w:val="Header"/>
              <w:ind w:left="31" w:firstLine="0"/>
              <w:rPr>
                <w:rFonts w:cs="Arial"/>
                <w:szCs w:val="20"/>
              </w:rPr>
            </w:pPr>
            <w:r w:rsidRPr="006B0C32">
              <w:rPr>
                <w:rFonts w:cs="Arial"/>
                <w:szCs w:val="20"/>
              </w:rPr>
              <w:t>SERCOMNUMTYP</w:t>
            </w:r>
          </w:p>
        </w:tc>
      </w:tr>
      <w:tr w:rsidR="006B0C32" w:rsidRPr="006B0C32" w14:paraId="7F0FBD42" w14:textId="77777777" w:rsidTr="00D9696C">
        <w:trPr>
          <w:cantSplit/>
        </w:trPr>
        <w:tc>
          <w:tcPr>
            <w:tcW w:w="235" w:type="dxa"/>
            <w:tcBorders>
              <w:top w:val="nil"/>
              <w:bottom w:val="nil"/>
              <w:right w:val="single" w:sz="4" w:space="0" w:color="999999"/>
            </w:tcBorders>
          </w:tcPr>
          <w:p w14:paraId="10E927EE" w14:textId="77777777" w:rsidR="006B0C32" w:rsidRPr="006B0C32" w:rsidRDefault="006B0C32" w:rsidP="00D9696C">
            <w:pPr>
              <w:pStyle w:val="Header"/>
              <w:rPr>
                <w:rFonts w:cs="Arial"/>
                <w:szCs w:val="20"/>
              </w:rPr>
            </w:pPr>
          </w:p>
        </w:tc>
        <w:tc>
          <w:tcPr>
            <w:tcW w:w="1913" w:type="dxa"/>
            <w:gridSpan w:val="2"/>
            <w:tcBorders>
              <w:top w:val="single" w:sz="4" w:space="0" w:color="999999"/>
              <w:left w:val="single" w:sz="4" w:space="0" w:color="999999"/>
              <w:bottom w:val="single" w:sz="4" w:space="0" w:color="999999"/>
              <w:right w:val="single" w:sz="4" w:space="0" w:color="999999"/>
            </w:tcBorders>
          </w:tcPr>
          <w:p w14:paraId="5BAD9E5E" w14:textId="77777777" w:rsidR="006B0C32" w:rsidRPr="006B0C32" w:rsidRDefault="006B0C32" w:rsidP="006B0C32">
            <w:pPr>
              <w:pStyle w:val="Header"/>
              <w:ind w:left="0" w:firstLine="0"/>
              <w:rPr>
                <w:rFonts w:cs="Arial"/>
                <w:szCs w:val="20"/>
              </w:rPr>
            </w:pPr>
            <w:r w:rsidRPr="006B0C32">
              <w:rPr>
                <w:rFonts w:cs="Arial"/>
                <w:szCs w:val="20"/>
              </w:rPr>
              <w:t>Scheduled Downtime</w:t>
            </w:r>
          </w:p>
        </w:tc>
        <w:tc>
          <w:tcPr>
            <w:tcW w:w="6946" w:type="dxa"/>
            <w:gridSpan w:val="2"/>
            <w:tcBorders>
              <w:top w:val="single" w:sz="4" w:space="0" w:color="999999"/>
              <w:left w:val="single" w:sz="4" w:space="0" w:color="999999"/>
              <w:bottom w:val="single" w:sz="4" w:space="0" w:color="999999"/>
              <w:right w:val="single" w:sz="4" w:space="0" w:color="999999"/>
            </w:tcBorders>
          </w:tcPr>
          <w:p w14:paraId="2EA15A3E" w14:textId="119107D3" w:rsidR="006B0C32" w:rsidRPr="006B0C32" w:rsidRDefault="006B0C32" w:rsidP="006B0C32">
            <w:pPr>
              <w:pStyle w:val="Header"/>
              <w:ind w:left="31" w:firstLine="0"/>
              <w:rPr>
                <w:rFonts w:cs="Arial"/>
                <w:szCs w:val="20"/>
              </w:rPr>
            </w:pPr>
            <w:r w:rsidRPr="006B0C32">
              <w:rPr>
                <w:rFonts w:cs="Arial"/>
                <w:szCs w:val="20"/>
              </w:rPr>
              <w:t xml:space="preserve">The total time (minutes) that is pre-authorised in advance by </w:t>
            </w:r>
            <w:proofErr w:type="spellStart"/>
            <w:r w:rsidR="001F1C19">
              <w:rPr>
                <w:rFonts w:cs="Arial"/>
                <w:szCs w:val="20"/>
              </w:rPr>
              <w:t>Netlink</w:t>
            </w:r>
            <w:proofErr w:type="spellEnd"/>
            <w:r w:rsidR="001F1C19">
              <w:rPr>
                <w:rFonts w:cs="Arial"/>
                <w:szCs w:val="20"/>
              </w:rPr>
              <w:t xml:space="preserve"> Star</w:t>
            </w:r>
            <w:r w:rsidRPr="006B0C32">
              <w:rPr>
                <w:rFonts w:cs="Arial"/>
                <w:szCs w:val="20"/>
              </w:rPr>
              <w:t xml:space="preserve"> for maintenance of the Service Component during the calendar month (SCHDTIM)</w:t>
            </w:r>
          </w:p>
        </w:tc>
      </w:tr>
      <w:tr w:rsidR="006B0C32" w:rsidRPr="006B0C32" w14:paraId="2F6E50E7" w14:textId="77777777" w:rsidTr="00D9696C">
        <w:trPr>
          <w:cantSplit/>
        </w:trPr>
        <w:tc>
          <w:tcPr>
            <w:tcW w:w="235" w:type="dxa"/>
            <w:tcBorders>
              <w:top w:val="nil"/>
              <w:bottom w:val="nil"/>
              <w:right w:val="single" w:sz="4" w:space="0" w:color="999999"/>
            </w:tcBorders>
          </w:tcPr>
          <w:p w14:paraId="19DC8AC9" w14:textId="77777777" w:rsidR="006B0C32" w:rsidRPr="006B0C32" w:rsidRDefault="006B0C32" w:rsidP="00D9696C">
            <w:pPr>
              <w:pStyle w:val="Header"/>
              <w:rPr>
                <w:rFonts w:cs="Arial"/>
                <w:szCs w:val="20"/>
              </w:rPr>
            </w:pPr>
          </w:p>
        </w:tc>
        <w:tc>
          <w:tcPr>
            <w:tcW w:w="1913" w:type="dxa"/>
            <w:gridSpan w:val="2"/>
            <w:tcBorders>
              <w:top w:val="single" w:sz="4" w:space="0" w:color="999999"/>
              <w:left w:val="single" w:sz="4" w:space="0" w:color="999999"/>
              <w:bottom w:val="single" w:sz="4" w:space="0" w:color="999999"/>
              <w:right w:val="single" w:sz="4" w:space="0" w:color="999999"/>
            </w:tcBorders>
          </w:tcPr>
          <w:p w14:paraId="3CC4F399" w14:textId="77777777" w:rsidR="006B0C32" w:rsidRPr="006B0C32" w:rsidRDefault="006B0C32" w:rsidP="006B0C32">
            <w:pPr>
              <w:pStyle w:val="Header"/>
              <w:ind w:left="0" w:firstLine="0"/>
              <w:rPr>
                <w:rFonts w:cs="Arial"/>
                <w:szCs w:val="20"/>
              </w:rPr>
            </w:pPr>
            <w:r w:rsidRPr="006B0C32">
              <w:rPr>
                <w:rFonts w:cs="Arial"/>
                <w:szCs w:val="20"/>
              </w:rPr>
              <w:t>Unscheduled Downtime</w:t>
            </w:r>
          </w:p>
        </w:tc>
        <w:tc>
          <w:tcPr>
            <w:tcW w:w="6946" w:type="dxa"/>
            <w:gridSpan w:val="2"/>
            <w:tcBorders>
              <w:top w:val="single" w:sz="4" w:space="0" w:color="999999"/>
              <w:left w:val="single" w:sz="4" w:space="0" w:color="999999"/>
              <w:bottom w:val="single" w:sz="4" w:space="0" w:color="999999"/>
              <w:right w:val="single" w:sz="4" w:space="0" w:color="999999"/>
            </w:tcBorders>
          </w:tcPr>
          <w:p w14:paraId="6AC1FF5C" w14:textId="05E64EA6" w:rsidR="006B0C32" w:rsidRPr="006B0C32" w:rsidRDefault="006B0C32" w:rsidP="006B0C32">
            <w:pPr>
              <w:pStyle w:val="Header"/>
              <w:ind w:left="31" w:firstLine="0"/>
              <w:rPr>
                <w:rFonts w:cs="Arial"/>
                <w:szCs w:val="20"/>
              </w:rPr>
            </w:pPr>
            <w:r w:rsidRPr="006B0C32">
              <w:rPr>
                <w:rFonts w:cs="Arial"/>
                <w:szCs w:val="20"/>
              </w:rPr>
              <w:t>The total time (minutes) the Service Component was unavailable (could not be accessed) in the calendar month due to a failure</w:t>
            </w:r>
            <w:r>
              <w:rPr>
                <w:rFonts w:cs="Arial"/>
                <w:szCs w:val="20"/>
              </w:rPr>
              <w:t xml:space="preserve"> </w:t>
            </w:r>
            <w:r w:rsidRPr="006B0C32">
              <w:rPr>
                <w:rFonts w:cs="Arial"/>
                <w:szCs w:val="20"/>
              </w:rPr>
              <w:t>unless the Supplier can demonstrate that the failure is due to a third party (excluding Sub-Contractors) and, excluding Scheduled Downtime (UCHDTIM)</w:t>
            </w:r>
          </w:p>
        </w:tc>
      </w:tr>
      <w:tr w:rsidR="006B0C32" w:rsidRPr="006B0C32" w14:paraId="44DC88FC" w14:textId="77777777" w:rsidTr="00D9696C">
        <w:trPr>
          <w:cantSplit/>
        </w:trPr>
        <w:tc>
          <w:tcPr>
            <w:tcW w:w="235" w:type="dxa"/>
            <w:tcBorders>
              <w:top w:val="nil"/>
              <w:bottom w:val="nil"/>
              <w:right w:val="single" w:sz="4" w:space="0" w:color="999999"/>
            </w:tcBorders>
          </w:tcPr>
          <w:p w14:paraId="362277A6" w14:textId="77777777" w:rsidR="006B0C32" w:rsidRPr="006B0C32" w:rsidRDefault="006B0C32" w:rsidP="00D9696C">
            <w:pPr>
              <w:pStyle w:val="Header"/>
              <w:rPr>
                <w:rFonts w:cs="Arial"/>
                <w:szCs w:val="20"/>
              </w:rPr>
            </w:pPr>
          </w:p>
        </w:tc>
        <w:tc>
          <w:tcPr>
            <w:tcW w:w="1913" w:type="dxa"/>
            <w:gridSpan w:val="2"/>
            <w:tcBorders>
              <w:top w:val="single" w:sz="4" w:space="0" w:color="999999"/>
              <w:left w:val="single" w:sz="4" w:space="0" w:color="999999"/>
              <w:bottom w:val="single" w:sz="4" w:space="0" w:color="999999"/>
              <w:right w:val="single" w:sz="4" w:space="0" w:color="999999"/>
            </w:tcBorders>
          </w:tcPr>
          <w:p w14:paraId="6354EAF4" w14:textId="4976581B" w:rsidR="006B0C32" w:rsidRPr="006B0C32" w:rsidRDefault="006B0C32" w:rsidP="006B0C32">
            <w:pPr>
              <w:pStyle w:val="Header"/>
              <w:ind w:left="0" w:firstLine="0"/>
              <w:rPr>
                <w:rFonts w:cs="Arial"/>
                <w:szCs w:val="20"/>
              </w:rPr>
            </w:pPr>
            <w:r w:rsidRPr="006B0C32">
              <w:rPr>
                <w:rFonts w:cs="Arial"/>
                <w:szCs w:val="20"/>
              </w:rPr>
              <w:t xml:space="preserve">Service Component </w:t>
            </w:r>
            <w:r w:rsidR="00984608" w:rsidRPr="006B0C32">
              <w:rPr>
                <w:rFonts w:cs="Arial"/>
                <w:szCs w:val="20"/>
              </w:rPr>
              <w:t>availability</w:t>
            </w:r>
          </w:p>
        </w:tc>
        <w:tc>
          <w:tcPr>
            <w:tcW w:w="6946" w:type="dxa"/>
            <w:gridSpan w:val="2"/>
            <w:tcBorders>
              <w:top w:val="single" w:sz="4" w:space="0" w:color="999999"/>
              <w:left w:val="single" w:sz="4" w:space="0" w:color="999999"/>
              <w:bottom w:val="single" w:sz="4" w:space="0" w:color="999999"/>
              <w:right w:val="single" w:sz="4" w:space="0" w:color="999999"/>
            </w:tcBorders>
          </w:tcPr>
          <w:p w14:paraId="4BC66FB3" w14:textId="24189A1B" w:rsidR="006B0C32" w:rsidRPr="006B0C32" w:rsidRDefault="006B0C32" w:rsidP="006B0C32">
            <w:pPr>
              <w:pStyle w:val="Header"/>
              <w:ind w:left="31" w:firstLine="0"/>
              <w:rPr>
                <w:rFonts w:cs="Arial"/>
                <w:szCs w:val="20"/>
              </w:rPr>
            </w:pPr>
            <w:r w:rsidRPr="006B0C32">
              <w:rPr>
                <w:rFonts w:cs="Arial"/>
                <w:szCs w:val="20"/>
              </w:rPr>
              <w:t xml:space="preserve">SAV = </w:t>
            </w:r>
            <w:proofErr w:type="spellStart"/>
            <w:r w:rsidRPr="006B0C32">
              <w:rPr>
                <w:rFonts w:cs="Arial"/>
                <w:szCs w:val="20"/>
              </w:rPr>
              <w:t>Sumtotal</w:t>
            </w:r>
            <w:proofErr w:type="spellEnd"/>
            <w:r w:rsidRPr="006B0C32">
              <w:rPr>
                <w:rFonts w:cs="Arial"/>
                <w:szCs w:val="20"/>
              </w:rPr>
              <w:t xml:space="preserve"> ((SERTIM – SCHDTIM – UCHDTIM) / (SERTIM – SCHDTIM)/SERCOMNUMTYP) for each serv</w:t>
            </w:r>
            <w:r>
              <w:rPr>
                <w:rFonts w:cs="Arial"/>
                <w:szCs w:val="20"/>
              </w:rPr>
              <w:t>i</w:t>
            </w:r>
            <w:r w:rsidRPr="006B0C32">
              <w:rPr>
                <w:rFonts w:cs="Arial"/>
                <w:szCs w:val="20"/>
              </w:rPr>
              <w:t>ce type</w:t>
            </w:r>
          </w:p>
          <w:p w14:paraId="16B816CC" w14:textId="77777777" w:rsidR="006B0C32" w:rsidRPr="006B0C32" w:rsidRDefault="006B0C32" w:rsidP="006B0C32">
            <w:pPr>
              <w:pStyle w:val="Header"/>
              <w:ind w:left="31" w:firstLine="0"/>
              <w:rPr>
                <w:rFonts w:cs="Arial"/>
                <w:szCs w:val="20"/>
              </w:rPr>
            </w:pPr>
          </w:p>
          <w:p w14:paraId="2F4F51BF" w14:textId="77777777" w:rsidR="006B0C32" w:rsidRPr="006B0C32" w:rsidRDefault="006B0C32" w:rsidP="006B0C32">
            <w:pPr>
              <w:pStyle w:val="Header"/>
              <w:ind w:left="31" w:firstLine="0"/>
              <w:rPr>
                <w:rFonts w:cs="Arial"/>
                <w:szCs w:val="20"/>
              </w:rPr>
            </w:pPr>
          </w:p>
          <w:p w14:paraId="10FFEABA" w14:textId="77777777" w:rsidR="006B0C32" w:rsidRPr="006B0C32" w:rsidRDefault="006B0C32" w:rsidP="006B0C32">
            <w:pPr>
              <w:pStyle w:val="Header"/>
              <w:ind w:left="31" w:firstLine="0"/>
              <w:rPr>
                <w:rFonts w:cs="Arial"/>
                <w:szCs w:val="20"/>
              </w:rPr>
            </w:pPr>
          </w:p>
        </w:tc>
      </w:tr>
      <w:tr w:rsidR="006B0C32" w:rsidRPr="006B0C32" w14:paraId="56BAD6E6" w14:textId="77777777" w:rsidTr="00D9696C">
        <w:trPr>
          <w:cantSplit/>
          <w:trHeight w:hRule="exact" w:val="70"/>
        </w:trPr>
        <w:tc>
          <w:tcPr>
            <w:tcW w:w="9094" w:type="dxa"/>
            <w:gridSpan w:val="5"/>
            <w:tcBorders>
              <w:top w:val="nil"/>
            </w:tcBorders>
          </w:tcPr>
          <w:p w14:paraId="5B7FF3DA" w14:textId="77777777" w:rsidR="006B0C32" w:rsidRPr="006B0C32" w:rsidRDefault="006B0C32" w:rsidP="006B0C32">
            <w:pPr>
              <w:pStyle w:val="Header"/>
              <w:ind w:left="0" w:firstLine="0"/>
              <w:rPr>
                <w:rFonts w:cs="Arial"/>
                <w:szCs w:val="20"/>
              </w:rPr>
            </w:pPr>
          </w:p>
        </w:tc>
      </w:tr>
      <w:tr w:rsidR="006B0C32" w:rsidRPr="006B0C32" w14:paraId="34BA5F16" w14:textId="77777777" w:rsidTr="00D9696C">
        <w:trPr>
          <w:cantSplit/>
          <w:trHeight w:hRule="exact" w:val="397"/>
        </w:trPr>
        <w:tc>
          <w:tcPr>
            <w:tcW w:w="9094" w:type="dxa"/>
            <w:gridSpan w:val="5"/>
            <w:vAlign w:val="center"/>
          </w:tcPr>
          <w:p w14:paraId="58D31430" w14:textId="77777777" w:rsidR="006B0C32" w:rsidRPr="006B0C32" w:rsidRDefault="006B0C32" w:rsidP="006B0C32">
            <w:pPr>
              <w:pStyle w:val="Header"/>
              <w:ind w:left="0" w:firstLine="0"/>
              <w:rPr>
                <w:rFonts w:cs="Arial"/>
                <w:szCs w:val="20"/>
              </w:rPr>
            </w:pPr>
            <w:r w:rsidRPr="006B0C32">
              <w:rPr>
                <w:rFonts w:cs="Arial"/>
                <w:szCs w:val="20"/>
              </w:rPr>
              <w:t>Measurement:</w:t>
            </w:r>
          </w:p>
        </w:tc>
      </w:tr>
      <w:tr w:rsidR="006B0C32" w:rsidRPr="006B0C32" w14:paraId="35A67D8D" w14:textId="77777777" w:rsidTr="00D9696C">
        <w:trPr>
          <w:cantSplit/>
          <w:trHeight w:hRule="exact" w:val="113"/>
        </w:trPr>
        <w:tc>
          <w:tcPr>
            <w:tcW w:w="9094" w:type="dxa"/>
            <w:gridSpan w:val="5"/>
            <w:tcBorders>
              <w:bottom w:val="nil"/>
            </w:tcBorders>
          </w:tcPr>
          <w:p w14:paraId="6CDEAD2D" w14:textId="77777777" w:rsidR="006B0C32" w:rsidRPr="006B0C32" w:rsidRDefault="006B0C32" w:rsidP="006B0C32">
            <w:pPr>
              <w:pStyle w:val="Header"/>
              <w:ind w:left="0" w:firstLine="0"/>
              <w:rPr>
                <w:rFonts w:cs="Arial"/>
                <w:szCs w:val="20"/>
              </w:rPr>
            </w:pPr>
          </w:p>
        </w:tc>
      </w:tr>
      <w:tr w:rsidR="006B0C32" w:rsidRPr="006B0C32" w14:paraId="686BD6C4" w14:textId="77777777" w:rsidTr="00D9696C">
        <w:trPr>
          <w:cantSplit/>
        </w:trPr>
        <w:tc>
          <w:tcPr>
            <w:tcW w:w="235" w:type="dxa"/>
            <w:tcBorders>
              <w:top w:val="nil"/>
              <w:bottom w:val="nil"/>
              <w:right w:val="single" w:sz="4" w:space="0" w:color="999999"/>
            </w:tcBorders>
          </w:tcPr>
          <w:p w14:paraId="4F2B5AC5" w14:textId="77777777" w:rsidR="006B0C32" w:rsidRPr="006B0C32" w:rsidRDefault="006B0C32" w:rsidP="00D9696C">
            <w:pPr>
              <w:pStyle w:val="Header"/>
              <w:rPr>
                <w:rFonts w:cs="Arial"/>
                <w:szCs w:val="20"/>
              </w:rPr>
            </w:pPr>
          </w:p>
        </w:tc>
        <w:tc>
          <w:tcPr>
            <w:tcW w:w="1913" w:type="dxa"/>
            <w:gridSpan w:val="2"/>
            <w:tcBorders>
              <w:top w:val="single" w:sz="4" w:space="0" w:color="999999"/>
              <w:left w:val="single" w:sz="4" w:space="0" w:color="999999"/>
              <w:bottom w:val="single" w:sz="4" w:space="0" w:color="999999"/>
              <w:right w:val="single" w:sz="4" w:space="0" w:color="999999"/>
            </w:tcBorders>
          </w:tcPr>
          <w:p w14:paraId="4D461B85" w14:textId="77777777" w:rsidR="006B0C32" w:rsidRPr="006B0C32" w:rsidRDefault="006B0C32" w:rsidP="006B0C32">
            <w:pPr>
              <w:pStyle w:val="Header"/>
              <w:ind w:left="0" w:firstLine="0"/>
              <w:rPr>
                <w:rFonts w:cs="Arial"/>
                <w:szCs w:val="20"/>
              </w:rPr>
            </w:pPr>
            <w:r w:rsidRPr="006B0C32">
              <w:rPr>
                <w:rFonts w:cs="Arial"/>
                <w:szCs w:val="20"/>
              </w:rPr>
              <w:t>Period</w:t>
            </w:r>
          </w:p>
        </w:tc>
        <w:tc>
          <w:tcPr>
            <w:tcW w:w="6946" w:type="dxa"/>
            <w:gridSpan w:val="2"/>
            <w:tcBorders>
              <w:top w:val="single" w:sz="4" w:space="0" w:color="999999"/>
              <w:left w:val="single" w:sz="4" w:space="0" w:color="999999"/>
              <w:bottom w:val="single" w:sz="4" w:space="0" w:color="999999"/>
              <w:right w:val="single" w:sz="4" w:space="0" w:color="999999"/>
            </w:tcBorders>
          </w:tcPr>
          <w:p w14:paraId="159AA2FF" w14:textId="77777777" w:rsidR="006B0C32" w:rsidRPr="006B0C32" w:rsidRDefault="006B0C32" w:rsidP="00D9696C">
            <w:pPr>
              <w:pStyle w:val="Header"/>
              <w:rPr>
                <w:rFonts w:cs="Arial"/>
                <w:szCs w:val="20"/>
              </w:rPr>
            </w:pPr>
            <w:r w:rsidRPr="006B0C32">
              <w:rPr>
                <w:rFonts w:cs="Arial"/>
                <w:szCs w:val="20"/>
              </w:rPr>
              <w:t>Monthly</w:t>
            </w:r>
          </w:p>
        </w:tc>
      </w:tr>
      <w:tr w:rsidR="006B0C32" w:rsidRPr="006B0C32" w14:paraId="23F0A59D" w14:textId="77777777" w:rsidTr="00D9696C">
        <w:trPr>
          <w:cantSplit/>
        </w:trPr>
        <w:tc>
          <w:tcPr>
            <w:tcW w:w="235" w:type="dxa"/>
            <w:tcBorders>
              <w:top w:val="nil"/>
              <w:bottom w:val="nil"/>
              <w:right w:val="single" w:sz="4" w:space="0" w:color="999999"/>
            </w:tcBorders>
          </w:tcPr>
          <w:p w14:paraId="0C1B1E02" w14:textId="77777777" w:rsidR="006B0C32" w:rsidRPr="006B0C32" w:rsidRDefault="006B0C32" w:rsidP="00D9696C">
            <w:pPr>
              <w:pStyle w:val="Header"/>
              <w:rPr>
                <w:rFonts w:cs="Arial"/>
                <w:szCs w:val="20"/>
              </w:rPr>
            </w:pPr>
          </w:p>
        </w:tc>
        <w:tc>
          <w:tcPr>
            <w:tcW w:w="1913" w:type="dxa"/>
            <w:gridSpan w:val="2"/>
            <w:tcBorders>
              <w:top w:val="single" w:sz="4" w:space="0" w:color="999999"/>
              <w:left w:val="single" w:sz="4" w:space="0" w:color="999999"/>
              <w:bottom w:val="single" w:sz="4" w:space="0" w:color="999999"/>
              <w:right w:val="single" w:sz="4" w:space="0" w:color="999999"/>
            </w:tcBorders>
          </w:tcPr>
          <w:p w14:paraId="075AEF6C" w14:textId="77777777" w:rsidR="006B0C32" w:rsidRPr="006B0C32" w:rsidRDefault="006B0C32" w:rsidP="006B0C32">
            <w:pPr>
              <w:pStyle w:val="Header"/>
              <w:ind w:left="0" w:firstLine="0"/>
              <w:rPr>
                <w:rFonts w:cs="Arial"/>
                <w:szCs w:val="20"/>
              </w:rPr>
            </w:pPr>
            <w:r w:rsidRPr="006B0C32">
              <w:rPr>
                <w:rFonts w:cs="Arial"/>
                <w:szCs w:val="20"/>
              </w:rPr>
              <w:t>Method</w:t>
            </w:r>
          </w:p>
        </w:tc>
        <w:tc>
          <w:tcPr>
            <w:tcW w:w="6946" w:type="dxa"/>
            <w:gridSpan w:val="2"/>
            <w:tcBorders>
              <w:top w:val="single" w:sz="4" w:space="0" w:color="999999"/>
              <w:left w:val="single" w:sz="4" w:space="0" w:color="999999"/>
              <w:bottom w:val="single" w:sz="4" w:space="0" w:color="999999"/>
              <w:right w:val="single" w:sz="4" w:space="0" w:color="999999"/>
            </w:tcBorders>
          </w:tcPr>
          <w:p w14:paraId="469FBAA8" w14:textId="77777777" w:rsidR="006B0C32" w:rsidRPr="006B0C32" w:rsidRDefault="006B0C32" w:rsidP="006B0C32">
            <w:pPr>
              <w:pStyle w:val="Header"/>
              <w:spacing w:after="0"/>
              <w:ind w:left="31" w:firstLine="0"/>
              <w:rPr>
                <w:rFonts w:cs="Arial"/>
                <w:szCs w:val="20"/>
              </w:rPr>
            </w:pPr>
            <w:r w:rsidRPr="006B0C32">
              <w:rPr>
                <w:rFonts w:cs="Arial"/>
                <w:szCs w:val="20"/>
              </w:rPr>
              <w:t xml:space="preserve">The KPI will be measured </w:t>
            </w:r>
            <w:proofErr w:type="gramStart"/>
            <w:r w:rsidRPr="006B0C32">
              <w:rPr>
                <w:rFonts w:cs="Arial"/>
                <w:szCs w:val="20"/>
              </w:rPr>
              <w:t>through the use of</w:t>
            </w:r>
            <w:proofErr w:type="gramEnd"/>
            <w:r w:rsidRPr="006B0C32">
              <w:rPr>
                <w:rFonts w:cs="Arial"/>
                <w:szCs w:val="20"/>
              </w:rPr>
              <w:t>:</w:t>
            </w:r>
          </w:p>
          <w:p w14:paraId="78C89040" w14:textId="77777777" w:rsidR="006B0C32" w:rsidRPr="006B0C32" w:rsidRDefault="006B0C32" w:rsidP="006B0C32">
            <w:pPr>
              <w:pStyle w:val="Header"/>
              <w:spacing w:after="0"/>
              <w:ind w:left="31" w:firstLine="0"/>
              <w:rPr>
                <w:rFonts w:cs="Arial"/>
                <w:szCs w:val="20"/>
              </w:rPr>
            </w:pPr>
            <w:r w:rsidRPr="006B0C32">
              <w:rPr>
                <w:rFonts w:cs="Arial"/>
                <w:szCs w:val="20"/>
              </w:rPr>
              <w:t>(Proactive) System Monitoring and management tools/logs</w:t>
            </w:r>
          </w:p>
          <w:p w14:paraId="4152E38E" w14:textId="77777777" w:rsidR="006B0C32" w:rsidRPr="006B0C32" w:rsidRDefault="006B0C32" w:rsidP="006B0C32">
            <w:pPr>
              <w:pStyle w:val="Header"/>
              <w:spacing w:after="0"/>
              <w:rPr>
                <w:rFonts w:cs="Arial"/>
                <w:szCs w:val="20"/>
              </w:rPr>
            </w:pPr>
            <w:r w:rsidRPr="006B0C32">
              <w:rPr>
                <w:rFonts w:cs="Arial"/>
                <w:szCs w:val="20"/>
              </w:rPr>
              <w:t>Service Desk logs (Incidents).</w:t>
            </w:r>
          </w:p>
        </w:tc>
      </w:tr>
      <w:tr w:rsidR="006B0C32" w:rsidRPr="006B0C32" w14:paraId="59008036" w14:textId="77777777" w:rsidTr="00D9696C">
        <w:trPr>
          <w:cantSplit/>
          <w:trHeight w:hRule="exact" w:val="113"/>
        </w:trPr>
        <w:tc>
          <w:tcPr>
            <w:tcW w:w="9094" w:type="dxa"/>
            <w:gridSpan w:val="5"/>
            <w:tcBorders>
              <w:top w:val="nil"/>
            </w:tcBorders>
          </w:tcPr>
          <w:p w14:paraId="620E4882" w14:textId="77777777" w:rsidR="006B0C32" w:rsidRPr="006B0C32" w:rsidRDefault="006B0C32" w:rsidP="00D9696C">
            <w:pPr>
              <w:pStyle w:val="Header"/>
              <w:rPr>
                <w:rFonts w:cs="Arial"/>
                <w:szCs w:val="20"/>
              </w:rPr>
            </w:pPr>
          </w:p>
        </w:tc>
      </w:tr>
      <w:tr w:rsidR="006B0C32" w:rsidRPr="006B0C32" w14:paraId="4FC8ABA1" w14:textId="77777777" w:rsidTr="00D9696C">
        <w:trPr>
          <w:cantSplit/>
          <w:trHeight w:hRule="exact" w:val="397"/>
        </w:trPr>
        <w:tc>
          <w:tcPr>
            <w:tcW w:w="9094" w:type="dxa"/>
            <w:gridSpan w:val="5"/>
            <w:vAlign w:val="center"/>
          </w:tcPr>
          <w:p w14:paraId="0343816C" w14:textId="77777777" w:rsidR="006B0C32" w:rsidRPr="006B0C32" w:rsidRDefault="006B0C32" w:rsidP="006B0C32">
            <w:pPr>
              <w:pStyle w:val="Header"/>
              <w:ind w:left="0" w:firstLine="0"/>
              <w:rPr>
                <w:rFonts w:cs="Arial"/>
                <w:szCs w:val="20"/>
              </w:rPr>
            </w:pPr>
            <w:r w:rsidRPr="006B0C32">
              <w:rPr>
                <w:rFonts w:cs="Arial"/>
                <w:szCs w:val="20"/>
              </w:rPr>
              <w:t>Service Credit Levels:</w:t>
            </w:r>
          </w:p>
        </w:tc>
      </w:tr>
      <w:tr w:rsidR="006B0C32" w:rsidRPr="006B0C32" w14:paraId="550FAD14" w14:textId="77777777" w:rsidTr="00D9696C">
        <w:trPr>
          <w:cantSplit/>
          <w:trHeight w:hRule="exact" w:val="113"/>
        </w:trPr>
        <w:tc>
          <w:tcPr>
            <w:tcW w:w="9094" w:type="dxa"/>
            <w:gridSpan w:val="5"/>
            <w:tcBorders>
              <w:bottom w:val="nil"/>
            </w:tcBorders>
          </w:tcPr>
          <w:p w14:paraId="606D1D73" w14:textId="77777777" w:rsidR="006B0C32" w:rsidRPr="006B0C32" w:rsidRDefault="006B0C32" w:rsidP="00D9696C">
            <w:pPr>
              <w:pStyle w:val="Header"/>
              <w:rPr>
                <w:rFonts w:cs="Arial"/>
                <w:szCs w:val="20"/>
              </w:rPr>
            </w:pPr>
          </w:p>
        </w:tc>
      </w:tr>
      <w:tr w:rsidR="006B0C32" w:rsidRPr="006B0C32" w14:paraId="54293BD2" w14:textId="77777777" w:rsidTr="00D9696C">
        <w:trPr>
          <w:cantSplit/>
        </w:trPr>
        <w:tc>
          <w:tcPr>
            <w:tcW w:w="235" w:type="dxa"/>
            <w:tcBorders>
              <w:top w:val="nil"/>
              <w:bottom w:val="nil"/>
              <w:right w:val="single" w:sz="4" w:space="0" w:color="999999"/>
            </w:tcBorders>
          </w:tcPr>
          <w:p w14:paraId="556FAC1C" w14:textId="77777777" w:rsidR="006B0C32" w:rsidRPr="006B0C32" w:rsidRDefault="006B0C32" w:rsidP="00D9696C">
            <w:pPr>
              <w:pStyle w:val="Header"/>
              <w:rPr>
                <w:rFonts w:cs="Arial"/>
                <w:szCs w:val="20"/>
              </w:rPr>
            </w:pPr>
          </w:p>
        </w:tc>
        <w:tc>
          <w:tcPr>
            <w:tcW w:w="8859" w:type="dxa"/>
            <w:gridSpan w:val="4"/>
            <w:tcBorders>
              <w:top w:val="single" w:sz="4" w:space="0" w:color="999999"/>
              <w:left w:val="single" w:sz="4" w:space="0" w:color="999999"/>
              <w:bottom w:val="single" w:sz="4" w:space="0" w:color="999999"/>
              <w:right w:val="single" w:sz="4" w:space="0" w:color="999999"/>
            </w:tcBorders>
          </w:tcPr>
          <w:p w14:paraId="382A91D4" w14:textId="77777777" w:rsidR="006B0C32" w:rsidRPr="006B0C32" w:rsidRDefault="006B0C32" w:rsidP="006B0C32">
            <w:pPr>
              <w:pStyle w:val="Header"/>
              <w:ind w:left="0" w:firstLine="0"/>
              <w:rPr>
                <w:rFonts w:cs="Arial"/>
                <w:szCs w:val="20"/>
              </w:rPr>
            </w:pPr>
            <w:r w:rsidRPr="006B0C32">
              <w:rPr>
                <w:rFonts w:cs="Arial"/>
                <w:szCs w:val="20"/>
              </w:rPr>
              <w:t>Steady State</w:t>
            </w:r>
          </w:p>
        </w:tc>
      </w:tr>
      <w:tr w:rsidR="006B0C32" w:rsidRPr="006B0C32" w14:paraId="3FAA14C6" w14:textId="77777777" w:rsidTr="00D9696C">
        <w:trPr>
          <w:cantSplit/>
        </w:trPr>
        <w:tc>
          <w:tcPr>
            <w:tcW w:w="235" w:type="dxa"/>
            <w:tcBorders>
              <w:top w:val="nil"/>
              <w:bottom w:val="nil"/>
              <w:right w:val="single" w:sz="4" w:space="0" w:color="999999"/>
            </w:tcBorders>
          </w:tcPr>
          <w:p w14:paraId="4CE8BDE8" w14:textId="77777777" w:rsidR="006B0C32" w:rsidRPr="006B0C32" w:rsidRDefault="006B0C32" w:rsidP="00D9696C">
            <w:pPr>
              <w:pStyle w:val="Header"/>
              <w:rPr>
                <w:rFonts w:cs="Arial"/>
                <w:szCs w:val="20"/>
              </w:rPr>
            </w:pPr>
          </w:p>
        </w:tc>
        <w:tc>
          <w:tcPr>
            <w:tcW w:w="1913" w:type="dxa"/>
            <w:gridSpan w:val="2"/>
            <w:tcBorders>
              <w:top w:val="single" w:sz="4" w:space="0" w:color="999999"/>
              <w:left w:val="single" w:sz="4" w:space="0" w:color="999999"/>
              <w:bottom w:val="single" w:sz="4" w:space="0" w:color="999999"/>
              <w:right w:val="single" w:sz="4" w:space="0" w:color="999999"/>
            </w:tcBorders>
          </w:tcPr>
          <w:p w14:paraId="17CA4639" w14:textId="77777777" w:rsidR="006B0C32" w:rsidRPr="006B0C32" w:rsidRDefault="006B0C32" w:rsidP="006B0C32">
            <w:pPr>
              <w:pStyle w:val="Header"/>
              <w:ind w:left="0" w:firstLine="0"/>
              <w:rPr>
                <w:rFonts w:cs="Arial"/>
                <w:szCs w:val="20"/>
              </w:rPr>
            </w:pPr>
            <w:r w:rsidRPr="006B0C32">
              <w:rPr>
                <w:rFonts w:cs="Arial"/>
                <w:szCs w:val="20"/>
              </w:rPr>
              <w:t>Actual Service Usage</w:t>
            </w:r>
          </w:p>
        </w:tc>
        <w:tc>
          <w:tcPr>
            <w:tcW w:w="5462" w:type="dxa"/>
            <w:vMerge w:val="restart"/>
            <w:tcBorders>
              <w:top w:val="single" w:sz="4" w:space="0" w:color="999999"/>
              <w:left w:val="single" w:sz="4" w:space="0" w:color="999999"/>
              <w:right w:val="single" w:sz="4" w:space="0" w:color="999999"/>
            </w:tcBorders>
            <w:vAlign w:val="bottom"/>
          </w:tcPr>
          <w:p w14:paraId="45F4C37C" w14:textId="77777777" w:rsidR="006B0C32" w:rsidRPr="006B0C32" w:rsidRDefault="006B0C32" w:rsidP="00D9696C">
            <w:pPr>
              <w:pStyle w:val="Header"/>
              <w:rPr>
                <w:rFonts w:cs="Arial"/>
                <w:szCs w:val="20"/>
              </w:rPr>
            </w:pPr>
            <w:r w:rsidRPr="006B0C32">
              <w:rPr>
                <w:rFonts w:cs="Arial"/>
                <w:szCs w:val="20"/>
              </w:rPr>
              <w:t>Calculation</w:t>
            </w:r>
          </w:p>
        </w:tc>
        <w:tc>
          <w:tcPr>
            <w:tcW w:w="1484" w:type="dxa"/>
            <w:vMerge w:val="restart"/>
            <w:tcBorders>
              <w:top w:val="single" w:sz="4" w:space="0" w:color="999999"/>
              <w:left w:val="single" w:sz="4" w:space="0" w:color="999999"/>
              <w:right w:val="single" w:sz="4" w:space="0" w:color="999999"/>
            </w:tcBorders>
            <w:vAlign w:val="bottom"/>
          </w:tcPr>
          <w:p w14:paraId="59FC5086" w14:textId="77777777" w:rsidR="006B0C32" w:rsidRPr="006B0C32" w:rsidRDefault="006B0C32" w:rsidP="00D9696C">
            <w:pPr>
              <w:pStyle w:val="Header"/>
              <w:rPr>
                <w:rFonts w:cs="Arial"/>
                <w:szCs w:val="20"/>
              </w:rPr>
            </w:pPr>
            <w:r w:rsidRPr="006B0C32">
              <w:rPr>
                <w:rFonts w:cs="Arial"/>
                <w:szCs w:val="20"/>
              </w:rPr>
              <w:t>Notes</w:t>
            </w:r>
          </w:p>
        </w:tc>
      </w:tr>
      <w:tr w:rsidR="006B0C32" w:rsidRPr="006B0C32" w14:paraId="0AFD8184" w14:textId="77777777" w:rsidTr="00D9696C">
        <w:trPr>
          <w:cantSplit/>
        </w:trPr>
        <w:tc>
          <w:tcPr>
            <w:tcW w:w="235" w:type="dxa"/>
            <w:tcBorders>
              <w:top w:val="nil"/>
              <w:bottom w:val="nil"/>
              <w:right w:val="single" w:sz="4" w:space="0" w:color="999999"/>
            </w:tcBorders>
          </w:tcPr>
          <w:p w14:paraId="7AEBBF93" w14:textId="77777777" w:rsidR="006B0C32" w:rsidRPr="006B0C32" w:rsidRDefault="006B0C32" w:rsidP="00D9696C">
            <w:pPr>
              <w:pStyle w:val="Header"/>
              <w:rPr>
                <w:rFonts w:cs="Arial"/>
                <w:szCs w:val="20"/>
              </w:rPr>
            </w:pPr>
          </w:p>
        </w:tc>
        <w:tc>
          <w:tcPr>
            <w:tcW w:w="953" w:type="dxa"/>
            <w:tcBorders>
              <w:top w:val="single" w:sz="4" w:space="0" w:color="999999"/>
              <w:left w:val="single" w:sz="4" w:space="0" w:color="999999"/>
              <w:bottom w:val="single" w:sz="4" w:space="0" w:color="999999"/>
              <w:right w:val="single" w:sz="4" w:space="0" w:color="999999"/>
            </w:tcBorders>
          </w:tcPr>
          <w:p w14:paraId="41216DD4" w14:textId="77777777" w:rsidR="006B0C32" w:rsidRPr="006B0C32" w:rsidRDefault="006B0C32" w:rsidP="006B0C32">
            <w:pPr>
              <w:pStyle w:val="Header"/>
              <w:ind w:left="0" w:firstLine="0"/>
              <w:rPr>
                <w:rFonts w:cs="Arial"/>
                <w:szCs w:val="20"/>
              </w:rPr>
            </w:pPr>
            <w:r w:rsidRPr="006B0C32">
              <w:rPr>
                <w:rFonts w:cs="Arial"/>
                <w:szCs w:val="20"/>
              </w:rPr>
              <w:t>Lower</w:t>
            </w:r>
          </w:p>
        </w:tc>
        <w:tc>
          <w:tcPr>
            <w:tcW w:w="960" w:type="dxa"/>
            <w:tcBorders>
              <w:top w:val="single" w:sz="4" w:space="0" w:color="999999"/>
              <w:left w:val="single" w:sz="4" w:space="0" w:color="999999"/>
              <w:bottom w:val="single" w:sz="4" w:space="0" w:color="999999"/>
              <w:right w:val="single" w:sz="4" w:space="0" w:color="999999"/>
            </w:tcBorders>
          </w:tcPr>
          <w:p w14:paraId="3A7F2892" w14:textId="77777777" w:rsidR="006B0C32" w:rsidRPr="006B0C32" w:rsidRDefault="006B0C32" w:rsidP="00D9696C">
            <w:pPr>
              <w:pStyle w:val="Header"/>
              <w:rPr>
                <w:rFonts w:cs="Arial"/>
                <w:szCs w:val="20"/>
              </w:rPr>
            </w:pPr>
            <w:r w:rsidRPr="006B0C32">
              <w:rPr>
                <w:rFonts w:cs="Arial"/>
                <w:szCs w:val="20"/>
              </w:rPr>
              <w:t>Upper</w:t>
            </w:r>
          </w:p>
        </w:tc>
        <w:tc>
          <w:tcPr>
            <w:tcW w:w="5462" w:type="dxa"/>
            <w:vMerge/>
            <w:tcBorders>
              <w:left w:val="single" w:sz="4" w:space="0" w:color="999999"/>
              <w:bottom w:val="single" w:sz="4" w:space="0" w:color="999999"/>
              <w:right w:val="single" w:sz="4" w:space="0" w:color="999999"/>
            </w:tcBorders>
          </w:tcPr>
          <w:p w14:paraId="3B44389D" w14:textId="77777777" w:rsidR="006B0C32" w:rsidRPr="006B0C32" w:rsidRDefault="006B0C32" w:rsidP="00D9696C">
            <w:pPr>
              <w:pStyle w:val="Header"/>
              <w:rPr>
                <w:rFonts w:cs="Arial"/>
                <w:szCs w:val="20"/>
              </w:rPr>
            </w:pPr>
          </w:p>
        </w:tc>
        <w:tc>
          <w:tcPr>
            <w:tcW w:w="1484" w:type="dxa"/>
            <w:vMerge/>
            <w:tcBorders>
              <w:left w:val="single" w:sz="4" w:space="0" w:color="999999"/>
              <w:bottom w:val="single" w:sz="4" w:space="0" w:color="999999"/>
              <w:right w:val="single" w:sz="4" w:space="0" w:color="999999"/>
            </w:tcBorders>
          </w:tcPr>
          <w:p w14:paraId="433CB521" w14:textId="77777777" w:rsidR="006B0C32" w:rsidRPr="006B0C32" w:rsidRDefault="006B0C32" w:rsidP="00D9696C">
            <w:pPr>
              <w:pStyle w:val="Header"/>
              <w:rPr>
                <w:rFonts w:cs="Arial"/>
                <w:szCs w:val="20"/>
              </w:rPr>
            </w:pPr>
          </w:p>
        </w:tc>
      </w:tr>
      <w:tr w:rsidR="006B0C32" w:rsidRPr="006B0C32" w14:paraId="41E8B1A0" w14:textId="77777777" w:rsidTr="00D9696C">
        <w:trPr>
          <w:cantSplit/>
        </w:trPr>
        <w:tc>
          <w:tcPr>
            <w:tcW w:w="235" w:type="dxa"/>
            <w:tcBorders>
              <w:top w:val="nil"/>
              <w:bottom w:val="nil"/>
              <w:right w:val="single" w:sz="4" w:space="0" w:color="999999"/>
            </w:tcBorders>
          </w:tcPr>
          <w:p w14:paraId="3A5E6637" w14:textId="77777777" w:rsidR="006B0C32" w:rsidRPr="006B0C32" w:rsidRDefault="006B0C32" w:rsidP="00D9696C">
            <w:pPr>
              <w:pStyle w:val="ssPara5"/>
              <w:spacing w:before="120" w:after="60"/>
              <w:rPr>
                <w:sz w:val="20"/>
                <w:szCs w:val="20"/>
              </w:rPr>
            </w:pPr>
          </w:p>
        </w:tc>
        <w:tc>
          <w:tcPr>
            <w:tcW w:w="953" w:type="dxa"/>
            <w:tcBorders>
              <w:top w:val="single" w:sz="4" w:space="0" w:color="999999"/>
              <w:left w:val="single" w:sz="4" w:space="0" w:color="999999"/>
              <w:bottom w:val="single" w:sz="4" w:space="0" w:color="999999"/>
              <w:right w:val="single" w:sz="4" w:space="0" w:color="999999"/>
            </w:tcBorders>
            <w:vAlign w:val="center"/>
          </w:tcPr>
          <w:p w14:paraId="52842DD6" w14:textId="77777777" w:rsidR="006B0C32" w:rsidRPr="006B0C32" w:rsidRDefault="006B0C32" w:rsidP="006B0C32">
            <w:pPr>
              <w:pStyle w:val="Header"/>
              <w:ind w:left="0" w:firstLine="0"/>
              <w:rPr>
                <w:rFonts w:cs="Arial"/>
                <w:szCs w:val="20"/>
              </w:rPr>
            </w:pPr>
            <w:r w:rsidRPr="006B0C32">
              <w:rPr>
                <w:rFonts w:cs="Arial"/>
                <w:szCs w:val="20"/>
              </w:rPr>
              <w:t>xxx</w:t>
            </w:r>
          </w:p>
        </w:tc>
        <w:tc>
          <w:tcPr>
            <w:tcW w:w="960" w:type="dxa"/>
            <w:tcBorders>
              <w:top w:val="single" w:sz="4" w:space="0" w:color="999999"/>
              <w:left w:val="single" w:sz="4" w:space="0" w:color="999999"/>
              <w:bottom w:val="single" w:sz="4" w:space="0" w:color="999999"/>
              <w:right w:val="single" w:sz="4" w:space="0" w:color="999999"/>
            </w:tcBorders>
            <w:vAlign w:val="center"/>
          </w:tcPr>
          <w:p w14:paraId="33DF4D20" w14:textId="77777777" w:rsidR="006B0C32" w:rsidRPr="006B0C32" w:rsidRDefault="006B0C32" w:rsidP="00D9696C">
            <w:pPr>
              <w:pStyle w:val="Header"/>
              <w:rPr>
                <w:rFonts w:cs="Arial"/>
                <w:szCs w:val="20"/>
              </w:rPr>
            </w:pPr>
            <w:r w:rsidRPr="006B0C32">
              <w:rPr>
                <w:rFonts w:cs="Arial"/>
                <w:szCs w:val="20"/>
              </w:rPr>
              <w:t>1</w:t>
            </w:r>
          </w:p>
        </w:tc>
        <w:tc>
          <w:tcPr>
            <w:tcW w:w="546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89E8B0F" w14:textId="77777777" w:rsidR="006B0C32" w:rsidRPr="006B0C32" w:rsidRDefault="006B0C32" w:rsidP="00D9696C">
            <w:pPr>
              <w:pStyle w:val="Header"/>
              <w:rPr>
                <w:rFonts w:cs="Arial"/>
                <w:szCs w:val="20"/>
              </w:rPr>
            </w:pPr>
            <w:r w:rsidRPr="006B0C32">
              <w:rPr>
                <w:rFonts w:cs="Arial"/>
                <w:szCs w:val="20"/>
              </w:rPr>
              <w:t>SAV</w:t>
            </w:r>
          </w:p>
        </w:tc>
        <w:tc>
          <w:tcPr>
            <w:tcW w:w="1484" w:type="dxa"/>
            <w:tcBorders>
              <w:top w:val="single" w:sz="4" w:space="0" w:color="999999"/>
              <w:left w:val="single" w:sz="4" w:space="0" w:color="999999"/>
              <w:bottom w:val="single" w:sz="4" w:space="0" w:color="999999"/>
              <w:right w:val="single" w:sz="4" w:space="0" w:color="999999"/>
            </w:tcBorders>
            <w:vAlign w:val="center"/>
          </w:tcPr>
          <w:p w14:paraId="15498E67" w14:textId="77777777" w:rsidR="006B0C32" w:rsidRPr="006B0C32" w:rsidRDefault="006B0C32" w:rsidP="006B0C32">
            <w:pPr>
              <w:pStyle w:val="Header"/>
              <w:ind w:left="31" w:firstLine="0"/>
              <w:rPr>
                <w:rFonts w:cs="Arial"/>
                <w:szCs w:val="20"/>
              </w:rPr>
            </w:pPr>
            <w:r w:rsidRPr="006B0C32">
              <w:rPr>
                <w:rFonts w:cs="Arial"/>
                <w:szCs w:val="20"/>
              </w:rPr>
              <w:t>Service target</w:t>
            </w:r>
          </w:p>
        </w:tc>
      </w:tr>
      <w:tr w:rsidR="006B0C32" w:rsidRPr="006B0C32" w14:paraId="19E357A1" w14:textId="77777777" w:rsidTr="00D9696C">
        <w:trPr>
          <w:cantSplit/>
        </w:trPr>
        <w:tc>
          <w:tcPr>
            <w:tcW w:w="235" w:type="dxa"/>
            <w:tcBorders>
              <w:top w:val="nil"/>
              <w:bottom w:val="nil"/>
              <w:right w:val="single" w:sz="4" w:space="0" w:color="999999"/>
            </w:tcBorders>
          </w:tcPr>
          <w:p w14:paraId="16F32769" w14:textId="77777777" w:rsidR="006B0C32" w:rsidRPr="006B0C32" w:rsidRDefault="006B0C32" w:rsidP="00D9696C">
            <w:pPr>
              <w:pStyle w:val="ssPara5"/>
              <w:spacing w:before="120" w:after="60"/>
              <w:rPr>
                <w:sz w:val="20"/>
                <w:szCs w:val="20"/>
              </w:rPr>
            </w:pPr>
          </w:p>
        </w:tc>
        <w:tc>
          <w:tcPr>
            <w:tcW w:w="953" w:type="dxa"/>
            <w:tcBorders>
              <w:top w:val="single" w:sz="4" w:space="0" w:color="999999"/>
              <w:left w:val="single" w:sz="4" w:space="0" w:color="999999"/>
              <w:bottom w:val="single" w:sz="4" w:space="0" w:color="999999"/>
              <w:right w:val="single" w:sz="4" w:space="0" w:color="999999"/>
            </w:tcBorders>
            <w:vAlign w:val="center"/>
          </w:tcPr>
          <w:p w14:paraId="093BAA49" w14:textId="77777777" w:rsidR="006B0C32" w:rsidRPr="006B0C32" w:rsidRDefault="006B0C32" w:rsidP="006B0C32">
            <w:pPr>
              <w:pStyle w:val="Header"/>
              <w:ind w:left="0" w:firstLine="0"/>
              <w:rPr>
                <w:rFonts w:cs="Arial"/>
                <w:szCs w:val="20"/>
              </w:rPr>
            </w:pPr>
            <w:r w:rsidRPr="006B0C32">
              <w:rPr>
                <w:rFonts w:cs="Arial"/>
                <w:szCs w:val="20"/>
              </w:rPr>
              <w:t>0.yyy</w:t>
            </w:r>
          </w:p>
        </w:tc>
        <w:tc>
          <w:tcPr>
            <w:tcW w:w="960" w:type="dxa"/>
            <w:tcBorders>
              <w:top w:val="single" w:sz="4" w:space="0" w:color="999999"/>
              <w:left w:val="single" w:sz="4" w:space="0" w:color="999999"/>
              <w:bottom w:val="single" w:sz="4" w:space="0" w:color="999999"/>
              <w:right w:val="single" w:sz="4" w:space="0" w:color="999999"/>
            </w:tcBorders>
            <w:vAlign w:val="center"/>
          </w:tcPr>
          <w:p w14:paraId="51005C67" w14:textId="77777777" w:rsidR="006B0C32" w:rsidRPr="006B0C32" w:rsidRDefault="006B0C32" w:rsidP="00D9696C">
            <w:pPr>
              <w:pStyle w:val="Header"/>
              <w:rPr>
                <w:rFonts w:cs="Arial"/>
                <w:szCs w:val="20"/>
              </w:rPr>
            </w:pPr>
            <w:r w:rsidRPr="006B0C32">
              <w:rPr>
                <w:rFonts w:cs="Arial"/>
                <w:szCs w:val="20"/>
              </w:rPr>
              <w:t>&lt;0.xxx</w:t>
            </w:r>
          </w:p>
        </w:tc>
        <w:tc>
          <w:tcPr>
            <w:tcW w:w="546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5E5C9DD" w14:textId="77777777" w:rsidR="006B0C32" w:rsidRPr="006B0C32" w:rsidRDefault="006B0C32" w:rsidP="00D9696C">
            <w:pPr>
              <w:pStyle w:val="Header"/>
              <w:rPr>
                <w:rFonts w:cs="Arial"/>
                <w:szCs w:val="20"/>
              </w:rPr>
            </w:pPr>
            <w:r w:rsidRPr="006B0C32">
              <w:rPr>
                <w:rFonts w:cs="Arial"/>
                <w:szCs w:val="20"/>
              </w:rPr>
              <w:t>SAV</w:t>
            </w:r>
          </w:p>
        </w:tc>
        <w:tc>
          <w:tcPr>
            <w:tcW w:w="1484" w:type="dxa"/>
            <w:tcBorders>
              <w:top w:val="single" w:sz="4" w:space="0" w:color="999999"/>
              <w:left w:val="single" w:sz="4" w:space="0" w:color="999999"/>
              <w:bottom w:val="single" w:sz="4" w:space="0" w:color="999999"/>
              <w:right w:val="single" w:sz="4" w:space="0" w:color="999999"/>
            </w:tcBorders>
            <w:vAlign w:val="center"/>
          </w:tcPr>
          <w:p w14:paraId="2B7DF316" w14:textId="77777777" w:rsidR="006B0C32" w:rsidRPr="006B0C32" w:rsidRDefault="006B0C32" w:rsidP="006B0C32">
            <w:pPr>
              <w:pStyle w:val="Header"/>
              <w:ind w:left="31" w:firstLine="0"/>
              <w:rPr>
                <w:rFonts w:cs="Arial"/>
                <w:szCs w:val="20"/>
              </w:rPr>
            </w:pPr>
            <w:r w:rsidRPr="006B0C32">
              <w:rPr>
                <w:rFonts w:cs="Arial"/>
                <w:szCs w:val="20"/>
              </w:rPr>
              <w:t>Service Pass</w:t>
            </w:r>
          </w:p>
        </w:tc>
      </w:tr>
      <w:tr w:rsidR="006B0C32" w:rsidRPr="006B0C32" w14:paraId="322E4D69" w14:textId="77777777" w:rsidTr="00D9696C">
        <w:trPr>
          <w:cantSplit/>
        </w:trPr>
        <w:tc>
          <w:tcPr>
            <w:tcW w:w="235" w:type="dxa"/>
            <w:tcBorders>
              <w:top w:val="nil"/>
              <w:bottom w:val="nil"/>
              <w:right w:val="single" w:sz="4" w:space="0" w:color="999999"/>
            </w:tcBorders>
          </w:tcPr>
          <w:p w14:paraId="41A57DA6" w14:textId="77777777" w:rsidR="006B0C32" w:rsidRPr="006B0C32" w:rsidRDefault="006B0C32" w:rsidP="00D9696C">
            <w:pPr>
              <w:pStyle w:val="ssPara5"/>
              <w:spacing w:before="120" w:after="60"/>
              <w:rPr>
                <w:sz w:val="20"/>
                <w:szCs w:val="20"/>
              </w:rPr>
            </w:pPr>
          </w:p>
        </w:tc>
        <w:tc>
          <w:tcPr>
            <w:tcW w:w="953" w:type="dxa"/>
            <w:tcBorders>
              <w:top w:val="single" w:sz="4" w:space="0" w:color="999999"/>
              <w:left w:val="single" w:sz="4" w:space="0" w:color="999999"/>
              <w:bottom w:val="single" w:sz="4" w:space="0" w:color="999999"/>
              <w:right w:val="single" w:sz="4" w:space="0" w:color="999999"/>
            </w:tcBorders>
            <w:vAlign w:val="center"/>
          </w:tcPr>
          <w:p w14:paraId="04D2320F" w14:textId="77777777" w:rsidR="006B0C32" w:rsidRPr="006B0C32" w:rsidRDefault="006B0C32" w:rsidP="006B0C32">
            <w:pPr>
              <w:pStyle w:val="Header"/>
              <w:ind w:left="0" w:firstLine="0"/>
              <w:rPr>
                <w:rFonts w:cs="Arial"/>
                <w:szCs w:val="20"/>
              </w:rPr>
            </w:pPr>
            <w:r w:rsidRPr="006B0C32">
              <w:rPr>
                <w:rFonts w:cs="Arial"/>
                <w:szCs w:val="20"/>
              </w:rPr>
              <w:t>0</w:t>
            </w:r>
          </w:p>
        </w:tc>
        <w:tc>
          <w:tcPr>
            <w:tcW w:w="960" w:type="dxa"/>
            <w:tcBorders>
              <w:top w:val="single" w:sz="4" w:space="0" w:color="999999"/>
              <w:left w:val="single" w:sz="4" w:space="0" w:color="999999"/>
              <w:bottom w:val="single" w:sz="4" w:space="0" w:color="999999"/>
              <w:right w:val="single" w:sz="4" w:space="0" w:color="999999"/>
            </w:tcBorders>
            <w:vAlign w:val="center"/>
          </w:tcPr>
          <w:p w14:paraId="0ED71A61" w14:textId="77777777" w:rsidR="006B0C32" w:rsidRPr="006B0C32" w:rsidRDefault="006B0C32" w:rsidP="00D9696C">
            <w:pPr>
              <w:pStyle w:val="Header"/>
              <w:rPr>
                <w:rFonts w:cs="Arial"/>
                <w:szCs w:val="20"/>
              </w:rPr>
            </w:pPr>
            <w:r w:rsidRPr="006B0C32">
              <w:rPr>
                <w:rFonts w:cs="Arial"/>
                <w:szCs w:val="20"/>
              </w:rPr>
              <w:t>&lt;0.yyy</w:t>
            </w:r>
          </w:p>
        </w:tc>
        <w:tc>
          <w:tcPr>
            <w:tcW w:w="546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D1BC62A" w14:textId="77777777" w:rsidR="006B0C32" w:rsidRPr="006B0C32" w:rsidRDefault="006B0C32" w:rsidP="00D9696C">
            <w:pPr>
              <w:pStyle w:val="Header"/>
              <w:rPr>
                <w:rFonts w:cs="Arial"/>
                <w:szCs w:val="20"/>
              </w:rPr>
            </w:pPr>
            <w:r w:rsidRPr="006B0C32">
              <w:rPr>
                <w:rFonts w:cs="Arial"/>
                <w:szCs w:val="20"/>
              </w:rPr>
              <w:t>SAV</w:t>
            </w:r>
          </w:p>
        </w:tc>
        <w:tc>
          <w:tcPr>
            <w:tcW w:w="1484" w:type="dxa"/>
            <w:tcBorders>
              <w:top w:val="single" w:sz="4" w:space="0" w:color="999999"/>
              <w:left w:val="single" w:sz="4" w:space="0" w:color="999999"/>
              <w:bottom w:val="single" w:sz="4" w:space="0" w:color="999999"/>
              <w:right w:val="single" w:sz="4" w:space="0" w:color="999999"/>
            </w:tcBorders>
            <w:vAlign w:val="center"/>
          </w:tcPr>
          <w:p w14:paraId="5D8E2BAC" w14:textId="77777777" w:rsidR="006B0C32" w:rsidRPr="006B0C32" w:rsidRDefault="006B0C32" w:rsidP="006B0C32">
            <w:pPr>
              <w:pStyle w:val="Header"/>
              <w:ind w:left="31" w:firstLine="0"/>
              <w:rPr>
                <w:rFonts w:cs="Arial"/>
                <w:szCs w:val="20"/>
              </w:rPr>
            </w:pPr>
            <w:r w:rsidRPr="006B0C32">
              <w:rPr>
                <w:rFonts w:cs="Arial"/>
                <w:szCs w:val="20"/>
              </w:rPr>
              <w:t>Service Failure</w:t>
            </w:r>
          </w:p>
        </w:tc>
      </w:tr>
      <w:tr w:rsidR="006B0C32" w:rsidRPr="006B0C32" w14:paraId="3A874F7D" w14:textId="77777777" w:rsidTr="00D9696C">
        <w:trPr>
          <w:cantSplit/>
          <w:trHeight w:hRule="exact" w:val="113"/>
        </w:trPr>
        <w:tc>
          <w:tcPr>
            <w:tcW w:w="9094" w:type="dxa"/>
            <w:gridSpan w:val="5"/>
            <w:tcBorders>
              <w:top w:val="nil"/>
              <w:bottom w:val="nil"/>
            </w:tcBorders>
          </w:tcPr>
          <w:p w14:paraId="355C8C83" w14:textId="77777777" w:rsidR="006B0C32" w:rsidRPr="006B0C32" w:rsidRDefault="006B0C32" w:rsidP="00D9696C">
            <w:pPr>
              <w:pStyle w:val="Header"/>
              <w:rPr>
                <w:rFonts w:cs="Arial"/>
                <w:szCs w:val="20"/>
              </w:rPr>
            </w:pPr>
          </w:p>
        </w:tc>
      </w:tr>
      <w:tr w:rsidR="006B0C32" w:rsidRPr="006B0C32" w14:paraId="6D8E8FD4" w14:textId="77777777" w:rsidTr="00D9696C">
        <w:trPr>
          <w:cantSplit/>
          <w:trHeight w:hRule="exact" w:val="113"/>
        </w:trPr>
        <w:tc>
          <w:tcPr>
            <w:tcW w:w="9094" w:type="dxa"/>
            <w:gridSpan w:val="5"/>
            <w:tcBorders>
              <w:top w:val="nil"/>
            </w:tcBorders>
          </w:tcPr>
          <w:p w14:paraId="74013657" w14:textId="77777777" w:rsidR="006B0C32" w:rsidRPr="006B0C32" w:rsidRDefault="006B0C32" w:rsidP="00D9696C">
            <w:pPr>
              <w:pStyle w:val="Header"/>
              <w:rPr>
                <w:rFonts w:cs="Arial"/>
                <w:szCs w:val="20"/>
              </w:rPr>
            </w:pPr>
          </w:p>
        </w:tc>
      </w:tr>
      <w:tr w:rsidR="006B0C32" w:rsidRPr="006B0C32" w14:paraId="1329A456" w14:textId="77777777" w:rsidTr="00D9696C">
        <w:trPr>
          <w:cantSplit/>
          <w:trHeight w:hRule="exact" w:val="397"/>
        </w:trPr>
        <w:tc>
          <w:tcPr>
            <w:tcW w:w="9094" w:type="dxa"/>
            <w:gridSpan w:val="5"/>
            <w:vAlign w:val="center"/>
          </w:tcPr>
          <w:p w14:paraId="1130AB55" w14:textId="77777777" w:rsidR="006B0C32" w:rsidRPr="006B0C32" w:rsidRDefault="006B0C32" w:rsidP="006B0C32">
            <w:pPr>
              <w:pStyle w:val="Header"/>
              <w:ind w:left="0" w:firstLine="0"/>
              <w:rPr>
                <w:rFonts w:cs="Arial"/>
                <w:szCs w:val="20"/>
              </w:rPr>
            </w:pPr>
            <w:r w:rsidRPr="006B0C32">
              <w:rPr>
                <w:rFonts w:cs="Arial"/>
                <w:szCs w:val="20"/>
              </w:rPr>
              <w:t>Notes:</w:t>
            </w:r>
          </w:p>
        </w:tc>
      </w:tr>
      <w:tr w:rsidR="006B0C32" w:rsidRPr="006B0C32" w14:paraId="5EBB844F" w14:textId="77777777" w:rsidTr="00D9696C">
        <w:trPr>
          <w:cantSplit/>
        </w:trPr>
        <w:tc>
          <w:tcPr>
            <w:tcW w:w="9094" w:type="dxa"/>
            <w:gridSpan w:val="5"/>
          </w:tcPr>
          <w:p w14:paraId="3F924385" w14:textId="77777777" w:rsidR="006B0C32" w:rsidRPr="006B0C32" w:rsidRDefault="006B0C32" w:rsidP="006B0C32">
            <w:pPr>
              <w:pStyle w:val="Header"/>
              <w:ind w:left="0" w:firstLine="0"/>
              <w:rPr>
                <w:rFonts w:cs="Arial"/>
                <w:szCs w:val="20"/>
              </w:rPr>
            </w:pPr>
            <w:r w:rsidRPr="006B0C32">
              <w:rPr>
                <w:rFonts w:cs="Arial"/>
                <w:szCs w:val="20"/>
              </w:rPr>
              <w:t xml:space="preserve">xxx – Target as defined in table </w:t>
            </w:r>
            <w:proofErr w:type="gramStart"/>
            <w:r w:rsidRPr="006B0C32">
              <w:rPr>
                <w:rFonts w:cs="Arial"/>
                <w:szCs w:val="20"/>
              </w:rPr>
              <w:t>1</w:t>
            </w:r>
            <w:proofErr w:type="gramEnd"/>
          </w:p>
          <w:p w14:paraId="69351BB5" w14:textId="77777777" w:rsidR="006B0C32" w:rsidRPr="006B0C32" w:rsidRDefault="006B0C32" w:rsidP="006B0C32">
            <w:pPr>
              <w:pStyle w:val="Header"/>
              <w:ind w:left="0" w:firstLine="0"/>
              <w:rPr>
                <w:rFonts w:cs="Arial"/>
                <w:szCs w:val="20"/>
              </w:rPr>
            </w:pPr>
            <w:proofErr w:type="spellStart"/>
            <w:r w:rsidRPr="006B0C32">
              <w:rPr>
                <w:rFonts w:cs="Arial"/>
                <w:szCs w:val="20"/>
              </w:rPr>
              <w:t>yyy</w:t>
            </w:r>
            <w:proofErr w:type="spellEnd"/>
            <w:r w:rsidRPr="006B0C32">
              <w:rPr>
                <w:rFonts w:cs="Arial"/>
                <w:szCs w:val="20"/>
              </w:rPr>
              <w:t xml:space="preserve">- Acceptable as defined in table </w:t>
            </w:r>
            <w:proofErr w:type="gramStart"/>
            <w:r w:rsidRPr="006B0C32">
              <w:rPr>
                <w:rFonts w:cs="Arial"/>
                <w:szCs w:val="20"/>
              </w:rPr>
              <w:t>1</w:t>
            </w:r>
            <w:proofErr w:type="gramEnd"/>
          </w:p>
          <w:p w14:paraId="3574D927" w14:textId="77777777" w:rsidR="006B0C32" w:rsidRPr="006B0C32" w:rsidRDefault="006B0C32" w:rsidP="006B0C32">
            <w:pPr>
              <w:pStyle w:val="Header"/>
              <w:ind w:left="0" w:firstLine="0"/>
              <w:rPr>
                <w:rFonts w:cs="Arial"/>
                <w:szCs w:val="20"/>
              </w:rPr>
            </w:pPr>
          </w:p>
        </w:tc>
      </w:tr>
    </w:tbl>
    <w:p w14:paraId="5DA0FFB2" w14:textId="77777777" w:rsidR="006B0C32" w:rsidRDefault="006B0C32">
      <w:pPr>
        <w:jc w:val="left"/>
        <w:rPr>
          <w:rFonts w:cs="Arial"/>
        </w:rPr>
      </w:pPr>
    </w:p>
    <w:tbl>
      <w:tblPr>
        <w:tblW w:w="9094"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
        <w:gridCol w:w="953"/>
        <w:gridCol w:w="960"/>
        <w:gridCol w:w="5462"/>
        <w:gridCol w:w="1484"/>
      </w:tblGrid>
      <w:tr w:rsidR="006B0C32" w:rsidRPr="006B0C32" w14:paraId="73D615AD" w14:textId="77777777" w:rsidTr="00D9696C">
        <w:trPr>
          <w:trHeight w:hRule="exact" w:val="1021"/>
        </w:trPr>
        <w:tc>
          <w:tcPr>
            <w:tcW w:w="7610" w:type="dxa"/>
            <w:gridSpan w:val="4"/>
          </w:tcPr>
          <w:p w14:paraId="0CE4B1F2" w14:textId="77777777" w:rsidR="006B0C32" w:rsidRPr="006B0C32" w:rsidRDefault="006B0C32" w:rsidP="006B0C32">
            <w:pPr>
              <w:jc w:val="left"/>
              <w:rPr>
                <w:rFonts w:cs="Arial"/>
                <w:b/>
              </w:rPr>
            </w:pPr>
            <w:r w:rsidRPr="006B0C32">
              <w:rPr>
                <w:rFonts w:cs="Arial"/>
              </w:rPr>
              <w:br w:type="page"/>
            </w:r>
            <w:r w:rsidRPr="006B0C32">
              <w:rPr>
                <w:rFonts w:cs="Arial"/>
                <w:b/>
              </w:rPr>
              <w:t>Service Component Availability</w:t>
            </w:r>
          </w:p>
        </w:tc>
        <w:tc>
          <w:tcPr>
            <w:tcW w:w="1484" w:type="dxa"/>
            <w:vAlign w:val="center"/>
          </w:tcPr>
          <w:p w14:paraId="3C8B5087" w14:textId="77777777" w:rsidR="006B0C32" w:rsidRPr="006B0C32" w:rsidRDefault="006B0C32" w:rsidP="006B0C32">
            <w:pPr>
              <w:jc w:val="left"/>
              <w:rPr>
                <w:rFonts w:cs="Arial"/>
                <w:b/>
              </w:rPr>
            </w:pPr>
            <w:r w:rsidRPr="006B0C32">
              <w:rPr>
                <w:rFonts w:cs="Arial"/>
                <w:b/>
              </w:rPr>
              <w:t>A-1b</w:t>
            </w:r>
          </w:p>
          <w:p w14:paraId="479D2D0D" w14:textId="77777777" w:rsidR="006B0C32" w:rsidRPr="006B0C32" w:rsidRDefault="006B0C32" w:rsidP="006B0C32">
            <w:pPr>
              <w:jc w:val="left"/>
              <w:rPr>
                <w:rFonts w:cs="Arial"/>
              </w:rPr>
            </w:pPr>
            <w:r w:rsidRPr="006B0C32">
              <w:rPr>
                <w:rFonts w:cs="Arial"/>
                <w:b/>
              </w:rPr>
              <w:t>Continuous</w:t>
            </w:r>
          </w:p>
        </w:tc>
      </w:tr>
      <w:tr w:rsidR="006B0C32" w:rsidRPr="006B0C32" w14:paraId="66D3AA43" w14:textId="77777777" w:rsidTr="00D9696C">
        <w:trPr>
          <w:cantSplit/>
          <w:trHeight w:hRule="exact" w:val="397"/>
        </w:trPr>
        <w:tc>
          <w:tcPr>
            <w:tcW w:w="9094" w:type="dxa"/>
            <w:gridSpan w:val="5"/>
            <w:vAlign w:val="center"/>
          </w:tcPr>
          <w:p w14:paraId="770A7266" w14:textId="77777777" w:rsidR="006B0C32" w:rsidRPr="006B0C32" w:rsidRDefault="006B0C32" w:rsidP="006B0C32">
            <w:pPr>
              <w:jc w:val="left"/>
              <w:rPr>
                <w:rFonts w:cs="Arial"/>
                <w:b/>
              </w:rPr>
            </w:pPr>
            <w:r w:rsidRPr="006B0C32">
              <w:rPr>
                <w:rFonts w:cs="Arial"/>
                <w:b/>
              </w:rPr>
              <w:t>Definition:</w:t>
            </w:r>
          </w:p>
        </w:tc>
      </w:tr>
      <w:tr w:rsidR="006B0C32" w:rsidRPr="006B0C32" w14:paraId="61709181" w14:textId="77777777" w:rsidTr="00D9696C">
        <w:trPr>
          <w:cantSplit/>
        </w:trPr>
        <w:tc>
          <w:tcPr>
            <w:tcW w:w="9094" w:type="dxa"/>
            <w:gridSpan w:val="5"/>
          </w:tcPr>
          <w:p w14:paraId="6137CC3E" w14:textId="77777777" w:rsidR="006B0C32" w:rsidRPr="006B0C32" w:rsidRDefault="006B0C32" w:rsidP="006B0C32">
            <w:pPr>
              <w:ind w:left="50" w:firstLine="0"/>
              <w:jc w:val="left"/>
              <w:rPr>
                <w:rFonts w:cs="Arial"/>
              </w:rPr>
            </w:pPr>
            <w:r w:rsidRPr="006B0C32">
              <w:rPr>
                <w:rFonts w:cs="Arial"/>
              </w:rPr>
              <w:t>The measure of the availability of the Service Component supported by the Supplier during any given calendar month:</w:t>
            </w:r>
          </w:p>
          <w:p w14:paraId="34A342B0" w14:textId="77777777" w:rsidR="006B0C32" w:rsidRPr="006B0C32" w:rsidRDefault="006B0C32" w:rsidP="006B0C32">
            <w:pPr>
              <w:ind w:left="50" w:firstLine="0"/>
              <w:jc w:val="left"/>
              <w:rPr>
                <w:rFonts w:cs="Arial"/>
              </w:rPr>
            </w:pPr>
            <w:r w:rsidRPr="006B0C32">
              <w:rPr>
                <w:rFonts w:cs="Arial"/>
              </w:rPr>
              <w:t xml:space="preserve">A-1b - Percentage of Service Components that meet availability target per </w:t>
            </w:r>
            <w:proofErr w:type="gramStart"/>
            <w:r w:rsidRPr="006B0C32">
              <w:rPr>
                <w:rFonts w:cs="Arial"/>
              </w:rPr>
              <w:t>month</w:t>
            </w:r>
            <w:proofErr w:type="gramEnd"/>
          </w:p>
          <w:p w14:paraId="76421D72" w14:textId="77777777" w:rsidR="006B0C32" w:rsidRPr="006B0C32" w:rsidRDefault="006B0C32" w:rsidP="006B0C32">
            <w:pPr>
              <w:jc w:val="left"/>
              <w:rPr>
                <w:rFonts w:cs="Arial"/>
              </w:rPr>
            </w:pPr>
          </w:p>
        </w:tc>
      </w:tr>
      <w:tr w:rsidR="006B0C32" w:rsidRPr="006B0C32" w14:paraId="081B5A11" w14:textId="77777777" w:rsidTr="00D9696C">
        <w:trPr>
          <w:cantSplit/>
          <w:trHeight w:hRule="exact" w:val="397"/>
        </w:trPr>
        <w:tc>
          <w:tcPr>
            <w:tcW w:w="9094" w:type="dxa"/>
            <w:gridSpan w:val="5"/>
            <w:vAlign w:val="center"/>
          </w:tcPr>
          <w:p w14:paraId="368ADBB4" w14:textId="77777777" w:rsidR="006B0C32" w:rsidRPr="006B0C32" w:rsidRDefault="006B0C32" w:rsidP="006B0C32">
            <w:pPr>
              <w:jc w:val="left"/>
              <w:rPr>
                <w:rFonts w:cs="Arial"/>
              </w:rPr>
            </w:pPr>
            <w:r w:rsidRPr="006B0C32">
              <w:rPr>
                <w:rFonts w:cs="Arial"/>
              </w:rPr>
              <w:t>Calculation:</w:t>
            </w:r>
          </w:p>
        </w:tc>
      </w:tr>
      <w:tr w:rsidR="006B0C32" w:rsidRPr="006B0C32" w14:paraId="67E4261D" w14:textId="77777777" w:rsidTr="00D9696C">
        <w:trPr>
          <w:cantSplit/>
        </w:trPr>
        <w:tc>
          <w:tcPr>
            <w:tcW w:w="9094" w:type="dxa"/>
            <w:gridSpan w:val="5"/>
            <w:tcBorders>
              <w:bottom w:val="nil"/>
            </w:tcBorders>
          </w:tcPr>
          <w:p w14:paraId="1C5AF134" w14:textId="77777777" w:rsidR="006B0C32" w:rsidRPr="006B0C32" w:rsidRDefault="006B0C32" w:rsidP="006B0C32">
            <w:pPr>
              <w:jc w:val="left"/>
              <w:rPr>
                <w:rFonts w:cs="Arial"/>
              </w:rPr>
            </w:pPr>
          </w:p>
        </w:tc>
      </w:tr>
      <w:tr w:rsidR="006B0C32" w:rsidRPr="006B0C32" w14:paraId="5B20BF2C" w14:textId="77777777" w:rsidTr="00D9696C">
        <w:trPr>
          <w:cantSplit/>
        </w:trPr>
        <w:tc>
          <w:tcPr>
            <w:tcW w:w="235" w:type="dxa"/>
            <w:tcBorders>
              <w:top w:val="nil"/>
              <w:bottom w:val="nil"/>
              <w:right w:val="single" w:sz="4" w:space="0" w:color="999999"/>
            </w:tcBorders>
          </w:tcPr>
          <w:p w14:paraId="369718A7" w14:textId="77777777" w:rsidR="006B0C32" w:rsidRPr="006B0C32" w:rsidRDefault="006B0C32" w:rsidP="006B0C32">
            <w:pPr>
              <w:jc w:val="left"/>
              <w:rPr>
                <w:rFonts w:cs="Arial"/>
              </w:rPr>
            </w:pPr>
          </w:p>
        </w:tc>
        <w:tc>
          <w:tcPr>
            <w:tcW w:w="1913" w:type="dxa"/>
            <w:gridSpan w:val="2"/>
            <w:tcBorders>
              <w:top w:val="single" w:sz="4" w:space="0" w:color="999999"/>
              <w:left w:val="single" w:sz="4" w:space="0" w:color="999999"/>
              <w:bottom w:val="single" w:sz="4" w:space="0" w:color="999999"/>
              <w:right w:val="single" w:sz="4" w:space="0" w:color="999999"/>
            </w:tcBorders>
          </w:tcPr>
          <w:p w14:paraId="5D998AA5" w14:textId="77777777" w:rsidR="006B0C32" w:rsidRPr="006B0C32" w:rsidRDefault="006B0C32" w:rsidP="006B0C32">
            <w:pPr>
              <w:ind w:left="50" w:firstLine="0"/>
              <w:jc w:val="left"/>
              <w:rPr>
                <w:rFonts w:cs="Arial"/>
              </w:rPr>
            </w:pPr>
            <w:r w:rsidRPr="006B0C32">
              <w:rPr>
                <w:rFonts w:cs="Arial"/>
              </w:rPr>
              <w:t>Number of Service Components</w:t>
            </w:r>
          </w:p>
        </w:tc>
        <w:tc>
          <w:tcPr>
            <w:tcW w:w="6946" w:type="dxa"/>
            <w:gridSpan w:val="2"/>
            <w:tcBorders>
              <w:top w:val="single" w:sz="4" w:space="0" w:color="999999"/>
              <w:left w:val="single" w:sz="4" w:space="0" w:color="999999"/>
              <w:bottom w:val="single" w:sz="4" w:space="0" w:color="999999"/>
              <w:right w:val="single" w:sz="4" w:space="0" w:color="999999"/>
            </w:tcBorders>
          </w:tcPr>
          <w:p w14:paraId="6668BCD2" w14:textId="05563CE8" w:rsidR="006B0C32" w:rsidRPr="006B0C32" w:rsidRDefault="006B0C32" w:rsidP="006B0C32">
            <w:pPr>
              <w:pStyle w:val="Header"/>
              <w:ind w:left="31" w:firstLine="0"/>
              <w:rPr>
                <w:rFonts w:cs="Arial"/>
                <w:szCs w:val="20"/>
              </w:rPr>
            </w:pPr>
            <w:r w:rsidRPr="006B0C32">
              <w:rPr>
                <w:rFonts w:cs="Arial"/>
                <w:szCs w:val="20"/>
              </w:rPr>
              <w:t xml:space="preserve">Total number of virtual service components (Data Storage (SAN), DC </w:t>
            </w:r>
            <w:proofErr w:type="gramStart"/>
            <w:r w:rsidRPr="006B0C32">
              <w:rPr>
                <w:rFonts w:cs="Arial"/>
                <w:szCs w:val="20"/>
              </w:rPr>
              <w:t>LAN,  Database</w:t>
            </w:r>
            <w:proofErr w:type="gramEnd"/>
            <w:r w:rsidRPr="006B0C32">
              <w:rPr>
                <w:rFonts w:cs="Arial"/>
                <w:szCs w:val="20"/>
              </w:rPr>
              <w:t xml:space="preserve"> Service, Web Server, Active Directory, Virtual Desktop Interface) as defined in Schedule 7.4 (TOTALSERCOM)</w:t>
            </w:r>
          </w:p>
        </w:tc>
      </w:tr>
      <w:tr w:rsidR="006B0C32" w:rsidRPr="006B0C32" w14:paraId="7D47B05D" w14:textId="77777777" w:rsidTr="00D9696C">
        <w:trPr>
          <w:cantSplit/>
        </w:trPr>
        <w:tc>
          <w:tcPr>
            <w:tcW w:w="235" w:type="dxa"/>
            <w:tcBorders>
              <w:top w:val="nil"/>
              <w:bottom w:val="nil"/>
              <w:right w:val="single" w:sz="4" w:space="0" w:color="999999"/>
            </w:tcBorders>
          </w:tcPr>
          <w:p w14:paraId="1252D0A1" w14:textId="77777777" w:rsidR="006B0C32" w:rsidRPr="006B0C32" w:rsidRDefault="006B0C32" w:rsidP="006B0C32">
            <w:pPr>
              <w:jc w:val="left"/>
              <w:rPr>
                <w:rFonts w:cs="Arial"/>
              </w:rPr>
            </w:pPr>
          </w:p>
        </w:tc>
        <w:tc>
          <w:tcPr>
            <w:tcW w:w="1913" w:type="dxa"/>
            <w:gridSpan w:val="2"/>
            <w:tcBorders>
              <w:top w:val="single" w:sz="4" w:space="0" w:color="999999"/>
              <w:left w:val="single" w:sz="4" w:space="0" w:color="999999"/>
              <w:bottom w:val="single" w:sz="4" w:space="0" w:color="999999"/>
              <w:right w:val="single" w:sz="4" w:space="0" w:color="999999"/>
            </w:tcBorders>
          </w:tcPr>
          <w:p w14:paraId="0E1A7B92" w14:textId="77777777" w:rsidR="006B0C32" w:rsidRPr="006B0C32" w:rsidRDefault="006B0C32" w:rsidP="006B0C32">
            <w:pPr>
              <w:ind w:left="50" w:firstLine="0"/>
              <w:jc w:val="left"/>
              <w:rPr>
                <w:rFonts w:cs="Arial"/>
              </w:rPr>
            </w:pPr>
            <w:r w:rsidRPr="006B0C32">
              <w:rPr>
                <w:rFonts w:cs="Arial"/>
              </w:rPr>
              <w:t>Total minutes in month</w:t>
            </w:r>
          </w:p>
        </w:tc>
        <w:tc>
          <w:tcPr>
            <w:tcW w:w="6946" w:type="dxa"/>
            <w:gridSpan w:val="2"/>
            <w:tcBorders>
              <w:top w:val="single" w:sz="4" w:space="0" w:color="999999"/>
              <w:left w:val="single" w:sz="4" w:space="0" w:color="999999"/>
              <w:bottom w:val="single" w:sz="4" w:space="0" w:color="999999"/>
              <w:right w:val="single" w:sz="4" w:space="0" w:color="999999"/>
            </w:tcBorders>
          </w:tcPr>
          <w:p w14:paraId="290343AB" w14:textId="77777777" w:rsidR="006B0C32" w:rsidRPr="006B0C32" w:rsidRDefault="006B0C32" w:rsidP="006B0C32">
            <w:pPr>
              <w:pStyle w:val="Header"/>
              <w:ind w:left="31" w:firstLine="0"/>
              <w:rPr>
                <w:rFonts w:cs="Arial"/>
                <w:szCs w:val="20"/>
              </w:rPr>
            </w:pPr>
            <w:r w:rsidRPr="006B0C32">
              <w:rPr>
                <w:rFonts w:cs="Arial"/>
                <w:szCs w:val="20"/>
              </w:rPr>
              <w:t>The total number of minutes in the calendar month (MONMIN)</w:t>
            </w:r>
          </w:p>
        </w:tc>
      </w:tr>
      <w:tr w:rsidR="006B0C32" w:rsidRPr="006B0C32" w14:paraId="6E57C50E" w14:textId="77777777" w:rsidTr="00D9696C">
        <w:trPr>
          <w:cantSplit/>
        </w:trPr>
        <w:tc>
          <w:tcPr>
            <w:tcW w:w="235" w:type="dxa"/>
            <w:tcBorders>
              <w:top w:val="nil"/>
              <w:bottom w:val="nil"/>
              <w:right w:val="single" w:sz="4" w:space="0" w:color="999999"/>
            </w:tcBorders>
          </w:tcPr>
          <w:p w14:paraId="4245D74C" w14:textId="77777777" w:rsidR="006B0C32" w:rsidRPr="006B0C32" w:rsidRDefault="006B0C32" w:rsidP="006B0C32">
            <w:pPr>
              <w:jc w:val="left"/>
              <w:rPr>
                <w:rFonts w:cs="Arial"/>
              </w:rPr>
            </w:pPr>
          </w:p>
        </w:tc>
        <w:tc>
          <w:tcPr>
            <w:tcW w:w="1913" w:type="dxa"/>
            <w:gridSpan w:val="2"/>
            <w:tcBorders>
              <w:top w:val="single" w:sz="4" w:space="0" w:color="999999"/>
              <w:left w:val="single" w:sz="4" w:space="0" w:color="999999"/>
              <w:bottom w:val="single" w:sz="4" w:space="0" w:color="999999"/>
              <w:right w:val="single" w:sz="4" w:space="0" w:color="999999"/>
            </w:tcBorders>
          </w:tcPr>
          <w:p w14:paraId="0C614DAA" w14:textId="77777777" w:rsidR="006B0C32" w:rsidRPr="006B0C32" w:rsidRDefault="006B0C32" w:rsidP="006B0C32">
            <w:pPr>
              <w:ind w:left="50" w:firstLine="0"/>
              <w:jc w:val="left"/>
              <w:rPr>
                <w:rFonts w:cs="Arial"/>
              </w:rPr>
            </w:pPr>
            <w:r w:rsidRPr="006B0C32">
              <w:rPr>
                <w:rFonts w:cs="Arial"/>
              </w:rPr>
              <w:t>Service Time</w:t>
            </w:r>
          </w:p>
        </w:tc>
        <w:tc>
          <w:tcPr>
            <w:tcW w:w="6946" w:type="dxa"/>
            <w:gridSpan w:val="2"/>
            <w:tcBorders>
              <w:top w:val="single" w:sz="4" w:space="0" w:color="999999"/>
              <w:left w:val="single" w:sz="4" w:space="0" w:color="999999"/>
              <w:bottom w:val="single" w:sz="4" w:space="0" w:color="999999"/>
              <w:right w:val="single" w:sz="4" w:space="0" w:color="999999"/>
            </w:tcBorders>
          </w:tcPr>
          <w:p w14:paraId="0BED1813" w14:textId="77777777" w:rsidR="006B0C32" w:rsidRPr="006B0C32" w:rsidRDefault="006B0C32" w:rsidP="006B0C32">
            <w:pPr>
              <w:pStyle w:val="Header"/>
              <w:ind w:left="31" w:firstLine="0"/>
              <w:rPr>
                <w:rFonts w:cs="Arial"/>
                <w:szCs w:val="20"/>
              </w:rPr>
            </w:pPr>
            <w:r w:rsidRPr="006B0C32">
              <w:rPr>
                <w:rFonts w:cs="Arial"/>
                <w:szCs w:val="20"/>
              </w:rPr>
              <w:t>The total time (minutes) the Service Component should be available within the calendar month (SERTIM).</w:t>
            </w:r>
          </w:p>
          <w:p w14:paraId="21C155EA" w14:textId="77777777" w:rsidR="006B0C32" w:rsidRPr="006B0C32" w:rsidRDefault="006B0C32" w:rsidP="006B0C32">
            <w:pPr>
              <w:pStyle w:val="Header"/>
              <w:ind w:left="31" w:firstLine="0"/>
              <w:rPr>
                <w:rFonts w:cs="Arial"/>
                <w:szCs w:val="20"/>
              </w:rPr>
            </w:pPr>
          </w:p>
          <w:p w14:paraId="1109B0A7" w14:textId="77777777" w:rsidR="006B0C32" w:rsidRPr="006B0C32" w:rsidRDefault="006B0C32" w:rsidP="006B0C32">
            <w:pPr>
              <w:pStyle w:val="Header"/>
              <w:ind w:left="31" w:firstLine="0"/>
              <w:rPr>
                <w:rFonts w:cs="Arial"/>
                <w:szCs w:val="20"/>
              </w:rPr>
            </w:pPr>
            <w:r w:rsidRPr="006B0C32">
              <w:rPr>
                <w:rFonts w:cs="Arial"/>
                <w:szCs w:val="20"/>
              </w:rPr>
              <w:t>SERTIM is dependent on the service component type (as defined in Schedule 7.4) and is specified as follows:</w:t>
            </w:r>
          </w:p>
          <w:p w14:paraId="3BCAA473" w14:textId="44A6EECB" w:rsidR="006B0C32" w:rsidRDefault="006B0C32" w:rsidP="006B0C32">
            <w:pPr>
              <w:pStyle w:val="Header"/>
              <w:ind w:left="31" w:firstLine="0"/>
              <w:rPr>
                <w:rFonts w:cs="Arial"/>
                <w:szCs w:val="20"/>
              </w:rPr>
            </w:pPr>
            <w:r w:rsidRPr="006B0C32">
              <w:rPr>
                <w:rFonts w:cs="Arial"/>
                <w:szCs w:val="20"/>
              </w:rPr>
              <w:t>SERTIM = MONMIN * 99.999 for Data Storage (SAN) Service Components</w:t>
            </w:r>
          </w:p>
          <w:p w14:paraId="5323AF25" w14:textId="3BEF5E93" w:rsidR="00A455FF" w:rsidRPr="006B0C32" w:rsidRDefault="00A455FF" w:rsidP="006B0C32">
            <w:pPr>
              <w:pStyle w:val="Header"/>
              <w:ind w:left="31" w:firstLine="0"/>
              <w:rPr>
                <w:rFonts w:cs="Arial"/>
                <w:szCs w:val="20"/>
              </w:rPr>
            </w:pPr>
            <w:r w:rsidRPr="00A455FF">
              <w:rPr>
                <w:rFonts w:cs="Arial"/>
                <w:szCs w:val="20"/>
              </w:rPr>
              <w:t>SERTIM = MONMIN * 99.99 for Virtual Server Components</w:t>
            </w:r>
          </w:p>
          <w:p w14:paraId="6813A8F1" w14:textId="28425198" w:rsidR="006B0C32" w:rsidRPr="006B0C32" w:rsidRDefault="006B0C32" w:rsidP="006B0C32">
            <w:pPr>
              <w:pStyle w:val="Header"/>
              <w:ind w:left="31" w:firstLine="0"/>
              <w:rPr>
                <w:rFonts w:cs="Arial"/>
                <w:szCs w:val="20"/>
              </w:rPr>
            </w:pPr>
            <w:r w:rsidRPr="006B0C32">
              <w:rPr>
                <w:rFonts w:cs="Arial"/>
                <w:szCs w:val="20"/>
              </w:rPr>
              <w:t>SERTIM = MONMIM * 99.99 for DC LAN Service Components</w:t>
            </w:r>
          </w:p>
          <w:p w14:paraId="5545053C" w14:textId="77777777" w:rsidR="006B0C32" w:rsidRPr="006B0C32" w:rsidRDefault="006B0C32" w:rsidP="006B0C32">
            <w:pPr>
              <w:pStyle w:val="Header"/>
              <w:ind w:left="31" w:firstLine="0"/>
              <w:rPr>
                <w:rFonts w:cs="Arial"/>
                <w:szCs w:val="20"/>
              </w:rPr>
            </w:pPr>
            <w:r w:rsidRPr="006B0C32">
              <w:rPr>
                <w:rFonts w:cs="Arial"/>
                <w:szCs w:val="20"/>
              </w:rPr>
              <w:t>SERTIM = MONMIN * 99.9 for Database Service Components</w:t>
            </w:r>
          </w:p>
          <w:p w14:paraId="53E6A6E9" w14:textId="77777777" w:rsidR="006B0C32" w:rsidRPr="006B0C32" w:rsidRDefault="006B0C32" w:rsidP="006B0C32">
            <w:pPr>
              <w:pStyle w:val="Header"/>
              <w:ind w:left="31" w:firstLine="0"/>
              <w:rPr>
                <w:rFonts w:cs="Arial"/>
                <w:szCs w:val="20"/>
              </w:rPr>
            </w:pPr>
            <w:r w:rsidRPr="006B0C32">
              <w:rPr>
                <w:rFonts w:cs="Arial"/>
                <w:szCs w:val="20"/>
              </w:rPr>
              <w:t>SERTIM = MONMIN * 99.9 for Web Server Service Components</w:t>
            </w:r>
          </w:p>
          <w:p w14:paraId="529E29DC" w14:textId="77777777" w:rsidR="006B0C32" w:rsidRPr="006B0C32" w:rsidRDefault="006B0C32" w:rsidP="006B0C32">
            <w:pPr>
              <w:pStyle w:val="Header"/>
              <w:ind w:left="31" w:firstLine="0"/>
              <w:rPr>
                <w:rFonts w:cs="Arial"/>
                <w:szCs w:val="20"/>
              </w:rPr>
            </w:pPr>
            <w:r w:rsidRPr="006B0C32">
              <w:rPr>
                <w:rFonts w:cs="Arial"/>
                <w:szCs w:val="20"/>
              </w:rPr>
              <w:t>SERTIM = MONMIN * 99.99 for Active Directory Service Components</w:t>
            </w:r>
          </w:p>
          <w:p w14:paraId="18B8C85F" w14:textId="77777777" w:rsidR="006B0C32" w:rsidRPr="006B0C32" w:rsidRDefault="006B0C32" w:rsidP="006B0C32">
            <w:pPr>
              <w:pStyle w:val="Header"/>
              <w:ind w:left="31" w:firstLine="0"/>
              <w:rPr>
                <w:rFonts w:cs="Arial"/>
                <w:szCs w:val="20"/>
              </w:rPr>
            </w:pPr>
            <w:r w:rsidRPr="006B0C32">
              <w:rPr>
                <w:rFonts w:cs="Arial"/>
                <w:szCs w:val="20"/>
              </w:rPr>
              <w:t xml:space="preserve"> SERTIM = MONMIN * 99.99 for Virtual Desktop Interface Service Components</w:t>
            </w:r>
          </w:p>
          <w:p w14:paraId="03EBAA20" w14:textId="77777777" w:rsidR="006B0C32" w:rsidRPr="006B0C32" w:rsidRDefault="006B0C32" w:rsidP="006B0C32">
            <w:pPr>
              <w:pStyle w:val="Header"/>
              <w:ind w:left="31" w:firstLine="0"/>
              <w:rPr>
                <w:rFonts w:cs="Arial"/>
                <w:szCs w:val="20"/>
              </w:rPr>
            </w:pPr>
          </w:p>
          <w:p w14:paraId="02EA374A" w14:textId="77777777" w:rsidR="006B0C32" w:rsidRPr="006B0C32" w:rsidRDefault="006B0C32" w:rsidP="006B0C32">
            <w:pPr>
              <w:pStyle w:val="Header"/>
              <w:ind w:left="31" w:firstLine="0"/>
              <w:rPr>
                <w:rFonts w:cs="Arial"/>
                <w:szCs w:val="20"/>
              </w:rPr>
            </w:pPr>
          </w:p>
        </w:tc>
      </w:tr>
      <w:tr w:rsidR="006B0C32" w:rsidRPr="006B0C32" w14:paraId="12187BA9" w14:textId="77777777" w:rsidTr="00D9696C">
        <w:trPr>
          <w:cantSplit/>
        </w:trPr>
        <w:tc>
          <w:tcPr>
            <w:tcW w:w="235" w:type="dxa"/>
            <w:tcBorders>
              <w:top w:val="nil"/>
              <w:bottom w:val="nil"/>
              <w:right w:val="single" w:sz="4" w:space="0" w:color="999999"/>
            </w:tcBorders>
          </w:tcPr>
          <w:p w14:paraId="382FAC9D" w14:textId="77777777" w:rsidR="006B0C32" w:rsidRPr="006B0C32" w:rsidRDefault="006B0C32" w:rsidP="006B0C32">
            <w:pPr>
              <w:jc w:val="left"/>
              <w:rPr>
                <w:rFonts w:cs="Arial"/>
              </w:rPr>
            </w:pPr>
          </w:p>
        </w:tc>
        <w:tc>
          <w:tcPr>
            <w:tcW w:w="1913" w:type="dxa"/>
            <w:gridSpan w:val="2"/>
            <w:tcBorders>
              <w:top w:val="single" w:sz="4" w:space="0" w:color="999999"/>
              <w:left w:val="single" w:sz="4" w:space="0" w:color="999999"/>
              <w:bottom w:val="single" w:sz="4" w:space="0" w:color="999999"/>
              <w:right w:val="single" w:sz="4" w:space="0" w:color="999999"/>
            </w:tcBorders>
          </w:tcPr>
          <w:p w14:paraId="17FDDDA0" w14:textId="77777777" w:rsidR="006B0C32" w:rsidRPr="006B0C32" w:rsidRDefault="006B0C32" w:rsidP="006B0C32">
            <w:pPr>
              <w:ind w:left="50" w:firstLine="0"/>
              <w:jc w:val="left"/>
              <w:rPr>
                <w:rFonts w:cs="Arial"/>
              </w:rPr>
            </w:pPr>
            <w:r w:rsidRPr="006B0C32">
              <w:rPr>
                <w:rFonts w:cs="Arial"/>
              </w:rPr>
              <w:t>Number of service components with outage</w:t>
            </w:r>
          </w:p>
        </w:tc>
        <w:tc>
          <w:tcPr>
            <w:tcW w:w="6946" w:type="dxa"/>
            <w:gridSpan w:val="2"/>
            <w:tcBorders>
              <w:top w:val="single" w:sz="4" w:space="0" w:color="999999"/>
              <w:left w:val="single" w:sz="4" w:space="0" w:color="999999"/>
              <w:bottom w:val="single" w:sz="4" w:space="0" w:color="999999"/>
              <w:right w:val="single" w:sz="4" w:space="0" w:color="999999"/>
            </w:tcBorders>
          </w:tcPr>
          <w:p w14:paraId="012C0DC2" w14:textId="77777777" w:rsidR="006B0C32" w:rsidRPr="006B0C32" w:rsidRDefault="006B0C32" w:rsidP="006B0C32">
            <w:pPr>
              <w:pStyle w:val="Header"/>
              <w:ind w:left="31" w:firstLine="0"/>
              <w:rPr>
                <w:rFonts w:cs="Arial"/>
                <w:szCs w:val="20"/>
              </w:rPr>
            </w:pPr>
            <w:r w:rsidRPr="006B0C32">
              <w:rPr>
                <w:rFonts w:cs="Arial"/>
                <w:szCs w:val="20"/>
              </w:rPr>
              <w:t>Number of service components that have experienced an outage in the calendar month NUMSERCOMOU</w:t>
            </w:r>
          </w:p>
        </w:tc>
      </w:tr>
      <w:tr w:rsidR="006B0C32" w:rsidRPr="006B0C32" w14:paraId="757D09D0" w14:textId="77777777" w:rsidTr="00D9696C">
        <w:trPr>
          <w:cantSplit/>
        </w:trPr>
        <w:tc>
          <w:tcPr>
            <w:tcW w:w="235" w:type="dxa"/>
            <w:tcBorders>
              <w:top w:val="nil"/>
              <w:bottom w:val="nil"/>
              <w:right w:val="single" w:sz="4" w:space="0" w:color="999999"/>
            </w:tcBorders>
          </w:tcPr>
          <w:p w14:paraId="504CAE01" w14:textId="77777777" w:rsidR="006B0C32" w:rsidRPr="006B0C32" w:rsidRDefault="006B0C32" w:rsidP="006B0C32">
            <w:pPr>
              <w:jc w:val="left"/>
              <w:rPr>
                <w:rFonts w:cs="Arial"/>
              </w:rPr>
            </w:pPr>
          </w:p>
        </w:tc>
        <w:tc>
          <w:tcPr>
            <w:tcW w:w="1913" w:type="dxa"/>
            <w:gridSpan w:val="2"/>
            <w:tcBorders>
              <w:top w:val="single" w:sz="4" w:space="0" w:color="999999"/>
              <w:left w:val="single" w:sz="4" w:space="0" w:color="999999"/>
              <w:bottom w:val="single" w:sz="4" w:space="0" w:color="999999"/>
              <w:right w:val="single" w:sz="4" w:space="0" w:color="999999"/>
            </w:tcBorders>
          </w:tcPr>
          <w:p w14:paraId="28BC36C4" w14:textId="77777777" w:rsidR="006B0C32" w:rsidRPr="006B0C32" w:rsidRDefault="006B0C32" w:rsidP="006B0C32">
            <w:pPr>
              <w:ind w:left="50" w:firstLine="0"/>
              <w:jc w:val="left"/>
              <w:rPr>
                <w:rFonts w:cs="Arial"/>
              </w:rPr>
            </w:pPr>
            <w:r w:rsidRPr="006B0C32">
              <w:rPr>
                <w:rFonts w:cs="Arial"/>
              </w:rPr>
              <w:t>Scheduled Downtime</w:t>
            </w:r>
          </w:p>
        </w:tc>
        <w:tc>
          <w:tcPr>
            <w:tcW w:w="6946" w:type="dxa"/>
            <w:gridSpan w:val="2"/>
            <w:tcBorders>
              <w:top w:val="single" w:sz="4" w:space="0" w:color="999999"/>
              <w:left w:val="single" w:sz="4" w:space="0" w:color="999999"/>
              <w:bottom w:val="single" w:sz="4" w:space="0" w:color="999999"/>
              <w:right w:val="single" w:sz="4" w:space="0" w:color="999999"/>
            </w:tcBorders>
          </w:tcPr>
          <w:p w14:paraId="578DC9A1" w14:textId="03E5EC45" w:rsidR="006B0C32" w:rsidRPr="006B0C32" w:rsidRDefault="006B0C32" w:rsidP="006B0C32">
            <w:pPr>
              <w:pStyle w:val="Header"/>
              <w:ind w:left="31" w:firstLine="0"/>
              <w:rPr>
                <w:rFonts w:cs="Arial"/>
                <w:szCs w:val="20"/>
              </w:rPr>
            </w:pPr>
            <w:r w:rsidRPr="006B0C32">
              <w:rPr>
                <w:rFonts w:cs="Arial"/>
                <w:szCs w:val="20"/>
              </w:rPr>
              <w:t xml:space="preserve">The total time (minutes) that is pre-authorised in advance by </w:t>
            </w:r>
            <w:proofErr w:type="spellStart"/>
            <w:r w:rsidR="001F1C19">
              <w:rPr>
                <w:rFonts w:cs="Arial"/>
                <w:szCs w:val="20"/>
              </w:rPr>
              <w:t>Netlink</w:t>
            </w:r>
            <w:proofErr w:type="spellEnd"/>
            <w:r w:rsidR="001F1C19">
              <w:rPr>
                <w:rFonts w:cs="Arial"/>
                <w:szCs w:val="20"/>
              </w:rPr>
              <w:t xml:space="preserve"> Star</w:t>
            </w:r>
            <w:r w:rsidRPr="006B0C32">
              <w:rPr>
                <w:rFonts w:cs="Arial"/>
                <w:szCs w:val="20"/>
              </w:rPr>
              <w:t xml:space="preserve"> for maintenance of the Service Component during the calendar month (SCHDTIM)</w:t>
            </w:r>
          </w:p>
        </w:tc>
      </w:tr>
      <w:tr w:rsidR="006B0C32" w:rsidRPr="006B0C32" w14:paraId="471E29B7" w14:textId="77777777" w:rsidTr="00D9696C">
        <w:trPr>
          <w:cantSplit/>
        </w:trPr>
        <w:tc>
          <w:tcPr>
            <w:tcW w:w="235" w:type="dxa"/>
            <w:tcBorders>
              <w:top w:val="nil"/>
              <w:bottom w:val="nil"/>
              <w:right w:val="single" w:sz="4" w:space="0" w:color="999999"/>
            </w:tcBorders>
          </w:tcPr>
          <w:p w14:paraId="58EE7915" w14:textId="77777777" w:rsidR="006B0C32" w:rsidRPr="006B0C32" w:rsidRDefault="006B0C32" w:rsidP="006B0C32">
            <w:pPr>
              <w:jc w:val="left"/>
              <w:rPr>
                <w:rFonts w:cs="Arial"/>
              </w:rPr>
            </w:pPr>
          </w:p>
        </w:tc>
        <w:tc>
          <w:tcPr>
            <w:tcW w:w="1913" w:type="dxa"/>
            <w:gridSpan w:val="2"/>
            <w:tcBorders>
              <w:top w:val="single" w:sz="4" w:space="0" w:color="999999"/>
              <w:left w:val="single" w:sz="4" w:space="0" w:color="999999"/>
              <w:bottom w:val="single" w:sz="4" w:space="0" w:color="999999"/>
              <w:right w:val="single" w:sz="4" w:space="0" w:color="999999"/>
            </w:tcBorders>
          </w:tcPr>
          <w:p w14:paraId="4FA7F2AB" w14:textId="77777777" w:rsidR="006B0C32" w:rsidRPr="006B0C32" w:rsidRDefault="006B0C32" w:rsidP="006B0C32">
            <w:pPr>
              <w:ind w:left="50" w:firstLine="0"/>
              <w:jc w:val="left"/>
              <w:rPr>
                <w:rFonts w:cs="Arial"/>
              </w:rPr>
            </w:pPr>
            <w:r w:rsidRPr="006B0C32">
              <w:rPr>
                <w:rFonts w:cs="Arial"/>
              </w:rPr>
              <w:t>Unscheduled Downtime</w:t>
            </w:r>
          </w:p>
        </w:tc>
        <w:tc>
          <w:tcPr>
            <w:tcW w:w="6946" w:type="dxa"/>
            <w:gridSpan w:val="2"/>
            <w:tcBorders>
              <w:top w:val="single" w:sz="4" w:space="0" w:color="999999"/>
              <w:left w:val="single" w:sz="4" w:space="0" w:color="999999"/>
              <w:bottom w:val="single" w:sz="4" w:space="0" w:color="999999"/>
              <w:right w:val="single" w:sz="4" w:space="0" w:color="999999"/>
            </w:tcBorders>
          </w:tcPr>
          <w:p w14:paraId="7915745E" w14:textId="3C6CE4AE" w:rsidR="006B0C32" w:rsidRPr="006B0C32" w:rsidRDefault="006B0C32" w:rsidP="006B0C32">
            <w:pPr>
              <w:pStyle w:val="Header"/>
              <w:ind w:left="31" w:firstLine="0"/>
              <w:rPr>
                <w:rFonts w:cs="Arial"/>
                <w:szCs w:val="20"/>
              </w:rPr>
            </w:pPr>
            <w:r w:rsidRPr="006B0C32">
              <w:rPr>
                <w:rFonts w:cs="Arial"/>
                <w:szCs w:val="20"/>
              </w:rPr>
              <w:t>The total time (minutes) the Service Component was unavailable (could not be accessed) in the calendar month due to a failure, unless the Supplier can demonstrate that the failure is due to a third party (excluding Sub-Contractors) and excluding Scheduled Downtime (UCHDTIM)</w:t>
            </w:r>
          </w:p>
        </w:tc>
      </w:tr>
      <w:tr w:rsidR="006B0C32" w:rsidRPr="006B0C32" w14:paraId="29A5D708" w14:textId="77777777" w:rsidTr="00D9696C">
        <w:trPr>
          <w:cantSplit/>
        </w:trPr>
        <w:tc>
          <w:tcPr>
            <w:tcW w:w="235" w:type="dxa"/>
            <w:tcBorders>
              <w:top w:val="nil"/>
              <w:bottom w:val="nil"/>
              <w:right w:val="single" w:sz="4" w:space="0" w:color="999999"/>
            </w:tcBorders>
          </w:tcPr>
          <w:p w14:paraId="6B333D26" w14:textId="77777777" w:rsidR="006B0C32" w:rsidRPr="006B0C32" w:rsidRDefault="006B0C32" w:rsidP="006B0C32">
            <w:pPr>
              <w:jc w:val="left"/>
              <w:rPr>
                <w:rFonts w:cs="Arial"/>
              </w:rPr>
            </w:pPr>
          </w:p>
        </w:tc>
        <w:tc>
          <w:tcPr>
            <w:tcW w:w="1913" w:type="dxa"/>
            <w:gridSpan w:val="2"/>
            <w:tcBorders>
              <w:top w:val="single" w:sz="4" w:space="0" w:color="999999"/>
              <w:left w:val="single" w:sz="4" w:space="0" w:color="999999"/>
              <w:bottom w:val="single" w:sz="4" w:space="0" w:color="999999"/>
              <w:right w:val="single" w:sz="4" w:space="0" w:color="999999"/>
            </w:tcBorders>
          </w:tcPr>
          <w:p w14:paraId="27BDDBAF" w14:textId="0CC3DE2F" w:rsidR="006B0C32" w:rsidRPr="006B0C32" w:rsidRDefault="006B0C32" w:rsidP="006B0C32">
            <w:pPr>
              <w:ind w:left="50" w:firstLine="0"/>
              <w:jc w:val="left"/>
              <w:rPr>
                <w:rFonts w:cs="Arial"/>
              </w:rPr>
            </w:pPr>
            <w:r w:rsidRPr="006B0C32">
              <w:rPr>
                <w:rFonts w:cs="Arial"/>
              </w:rPr>
              <w:t>Number of service components not meeting availability target</w:t>
            </w:r>
          </w:p>
        </w:tc>
        <w:tc>
          <w:tcPr>
            <w:tcW w:w="6946" w:type="dxa"/>
            <w:gridSpan w:val="2"/>
            <w:tcBorders>
              <w:top w:val="single" w:sz="4" w:space="0" w:color="999999"/>
              <w:left w:val="single" w:sz="4" w:space="0" w:color="999999"/>
              <w:bottom w:val="single" w:sz="4" w:space="0" w:color="999999"/>
              <w:right w:val="single" w:sz="4" w:space="0" w:color="999999"/>
            </w:tcBorders>
          </w:tcPr>
          <w:p w14:paraId="39A18C3C" w14:textId="45438E0B" w:rsidR="006B0C32" w:rsidRPr="006B0C32" w:rsidRDefault="006B0C32" w:rsidP="006B0C32">
            <w:pPr>
              <w:pStyle w:val="Header"/>
              <w:ind w:left="31" w:firstLine="0"/>
              <w:rPr>
                <w:rFonts w:cs="Arial"/>
                <w:szCs w:val="20"/>
              </w:rPr>
            </w:pPr>
            <w:r w:rsidRPr="006B0C32">
              <w:rPr>
                <w:rFonts w:cs="Arial"/>
                <w:szCs w:val="20"/>
              </w:rPr>
              <w:t>SAV = (SERTIM – SCHDTIM – UCHDTIM) / (SERTIM – SCHDTIM) for each service component</w:t>
            </w:r>
          </w:p>
          <w:p w14:paraId="058DB477" w14:textId="77777777" w:rsidR="006B0C32" w:rsidRPr="006B0C32" w:rsidRDefault="006B0C32" w:rsidP="006B0C32">
            <w:pPr>
              <w:pStyle w:val="Header"/>
              <w:ind w:left="31" w:firstLine="0"/>
              <w:rPr>
                <w:rFonts w:cs="Arial"/>
                <w:szCs w:val="20"/>
              </w:rPr>
            </w:pPr>
          </w:p>
          <w:p w14:paraId="2850E477" w14:textId="7E980686" w:rsidR="006B0C32" w:rsidRPr="006B0C32" w:rsidRDefault="006B0C32" w:rsidP="006B0C32">
            <w:pPr>
              <w:pStyle w:val="Header"/>
              <w:ind w:left="31" w:firstLine="0"/>
              <w:rPr>
                <w:rFonts w:cs="Arial"/>
                <w:szCs w:val="20"/>
              </w:rPr>
            </w:pPr>
            <w:r w:rsidRPr="006B0C32">
              <w:rPr>
                <w:rFonts w:cs="Arial"/>
                <w:szCs w:val="20"/>
              </w:rPr>
              <w:t>NUMSERCOMOU = Total number of comp</w:t>
            </w:r>
            <w:r>
              <w:rPr>
                <w:rFonts w:cs="Arial"/>
                <w:szCs w:val="20"/>
              </w:rPr>
              <w:t>on</w:t>
            </w:r>
            <w:r w:rsidRPr="006B0C32">
              <w:rPr>
                <w:rFonts w:cs="Arial"/>
                <w:szCs w:val="20"/>
              </w:rPr>
              <w:t>ents with SAV&lt; 1</w:t>
            </w:r>
          </w:p>
          <w:p w14:paraId="42597BA7" w14:textId="77777777" w:rsidR="006B0C32" w:rsidRPr="006B0C32" w:rsidRDefault="006B0C32" w:rsidP="006B0C32">
            <w:pPr>
              <w:pStyle w:val="Header"/>
              <w:ind w:left="31" w:firstLine="0"/>
              <w:rPr>
                <w:rFonts w:cs="Arial"/>
                <w:szCs w:val="20"/>
              </w:rPr>
            </w:pPr>
          </w:p>
          <w:p w14:paraId="7DE98803" w14:textId="77777777" w:rsidR="006B0C32" w:rsidRPr="006B0C32" w:rsidRDefault="006B0C32" w:rsidP="006B0C32">
            <w:pPr>
              <w:pStyle w:val="Header"/>
              <w:ind w:left="31" w:firstLine="0"/>
              <w:rPr>
                <w:rFonts w:cs="Arial"/>
                <w:szCs w:val="20"/>
              </w:rPr>
            </w:pPr>
          </w:p>
          <w:p w14:paraId="0313CCD6" w14:textId="77777777" w:rsidR="006B0C32" w:rsidRPr="006B0C32" w:rsidRDefault="006B0C32" w:rsidP="006B0C32">
            <w:pPr>
              <w:pStyle w:val="Header"/>
              <w:ind w:left="31" w:firstLine="0"/>
              <w:rPr>
                <w:rFonts w:cs="Arial"/>
                <w:szCs w:val="20"/>
              </w:rPr>
            </w:pPr>
          </w:p>
        </w:tc>
      </w:tr>
      <w:tr w:rsidR="006B0C32" w:rsidRPr="006B0C32" w14:paraId="0BB88FB8" w14:textId="77777777" w:rsidTr="00D9696C">
        <w:trPr>
          <w:cantSplit/>
          <w:trHeight w:hRule="exact" w:val="70"/>
        </w:trPr>
        <w:tc>
          <w:tcPr>
            <w:tcW w:w="9094" w:type="dxa"/>
            <w:gridSpan w:val="5"/>
            <w:tcBorders>
              <w:top w:val="nil"/>
            </w:tcBorders>
          </w:tcPr>
          <w:p w14:paraId="5A37049B" w14:textId="77777777" w:rsidR="006B0C32" w:rsidRPr="006B0C32" w:rsidRDefault="006B0C32" w:rsidP="006B0C32">
            <w:pPr>
              <w:jc w:val="left"/>
              <w:rPr>
                <w:rFonts w:cs="Arial"/>
              </w:rPr>
            </w:pPr>
          </w:p>
        </w:tc>
      </w:tr>
      <w:tr w:rsidR="006B0C32" w:rsidRPr="006B0C32" w14:paraId="1A5D47AB" w14:textId="77777777" w:rsidTr="00D9696C">
        <w:trPr>
          <w:cantSplit/>
          <w:trHeight w:hRule="exact" w:val="397"/>
        </w:trPr>
        <w:tc>
          <w:tcPr>
            <w:tcW w:w="9094" w:type="dxa"/>
            <w:gridSpan w:val="5"/>
            <w:vAlign w:val="center"/>
          </w:tcPr>
          <w:p w14:paraId="426E3E6A" w14:textId="77777777" w:rsidR="006B0C32" w:rsidRPr="006B0C32" w:rsidRDefault="006B0C32" w:rsidP="006B0C32">
            <w:pPr>
              <w:ind w:left="50" w:firstLine="0"/>
              <w:jc w:val="left"/>
              <w:rPr>
                <w:rFonts w:cs="Arial"/>
              </w:rPr>
            </w:pPr>
            <w:r w:rsidRPr="006B0C32">
              <w:rPr>
                <w:rFonts w:cs="Arial"/>
              </w:rPr>
              <w:t>Measurement:</w:t>
            </w:r>
          </w:p>
        </w:tc>
      </w:tr>
      <w:tr w:rsidR="006B0C32" w:rsidRPr="006B0C32" w14:paraId="35F7B7FE" w14:textId="77777777" w:rsidTr="00D9696C">
        <w:trPr>
          <w:cantSplit/>
          <w:trHeight w:hRule="exact" w:val="113"/>
        </w:trPr>
        <w:tc>
          <w:tcPr>
            <w:tcW w:w="9094" w:type="dxa"/>
            <w:gridSpan w:val="5"/>
            <w:tcBorders>
              <w:bottom w:val="nil"/>
            </w:tcBorders>
          </w:tcPr>
          <w:p w14:paraId="079338D3" w14:textId="77777777" w:rsidR="006B0C32" w:rsidRPr="006B0C32" w:rsidRDefault="006B0C32" w:rsidP="006B0C32">
            <w:pPr>
              <w:ind w:left="50" w:firstLine="0"/>
              <w:jc w:val="left"/>
              <w:rPr>
                <w:rFonts w:cs="Arial"/>
              </w:rPr>
            </w:pPr>
          </w:p>
        </w:tc>
      </w:tr>
      <w:tr w:rsidR="006B0C32" w:rsidRPr="006B0C32" w14:paraId="0BDADDA6" w14:textId="77777777" w:rsidTr="00D9696C">
        <w:trPr>
          <w:cantSplit/>
        </w:trPr>
        <w:tc>
          <w:tcPr>
            <w:tcW w:w="235" w:type="dxa"/>
            <w:tcBorders>
              <w:top w:val="nil"/>
              <w:bottom w:val="nil"/>
              <w:right w:val="single" w:sz="4" w:space="0" w:color="999999"/>
            </w:tcBorders>
          </w:tcPr>
          <w:p w14:paraId="7B5A4DBB" w14:textId="77777777" w:rsidR="006B0C32" w:rsidRPr="006B0C32" w:rsidRDefault="006B0C32" w:rsidP="006B0C32">
            <w:pPr>
              <w:jc w:val="left"/>
              <w:rPr>
                <w:rFonts w:cs="Arial"/>
              </w:rPr>
            </w:pPr>
          </w:p>
        </w:tc>
        <w:tc>
          <w:tcPr>
            <w:tcW w:w="1913" w:type="dxa"/>
            <w:gridSpan w:val="2"/>
            <w:tcBorders>
              <w:top w:val="single" w:sz="4" w:space="0" w:color="999999"/>
              <w:left w:val="single" w:sz="4" w:space="0" w:color="999999"/>
              <w:bottom w:val="single" w:sz="4" w:space="0" w:color="999999"/>
              <w:right w:val="single" w:sz="4" w:space="0" w:color="999999"/>
            </w:tcBorders>
          </w:tcPr>
          <w:p w14:paraId="5265038E" w14:textId="77777777" w:rsidR="006B0C32" w:rsidRPr="006B0C32" w:rsidRDefault="006B0C32" w:rsidP="006B0C32">
            <w:pPr>
              <w:ind w:left="50" w:firstLine="0"/>
              <w:jc w:val="left"/>
              <w:rPr>
                <w:rFonts w:cs="Arial"/>
              </w:rPr>
            </w:pPr>
            <w:r w:rsidRPr="006B0C32">
              <w:rPr>
                <w:rFonts w:cs="Arial"/>
              </w:rPr>
              <w:t>Period</w:t>
            </w:r>
          </w:p>
        </w:tc>
        <w:tc>
          <w:tcPr>
            <w:tcW w:w="6946" w:type="dxa"/>
            <w:gridSpan w:val="2"/>
            <w:tcBorders>
              <w:top w:val="single" w:sz="4" w:space="0" w:color="999999"/>
              <w:left w:val="single" w:sz="4" w:space="0" w:color="999999"/>
              <w:bottom w:val="single" w:sz="4" w:space="0" w:color="999999"/>
              <w:right w:val="single" w:sz="4" w:space="0" w:color="999999"/>
            </w:tcBorders>
          </w:tcPr>
          <w:p w14:paraId="08464BE9" w14:textId="77777777" w:rsidR="006B0C32" w:rsidRPr="006B0C32" w:rsidRDefault="006B0C32" w:rsidP="006B0C32">
            <w:pPr>
              <w:jc w:val="left"/>
              <w:rPr>
                <w:rFonts w:cs="Arial"/>
              </w:rPr>
            </w:pPr>
            <w:r w:rsidRPr="006B0C32">
              <w:rPr>
                <w:rFonts w:cs="Arial"/>
              </w:rPr>
              <w:t>Monthly</w:t>
            </w:r>
          </w:p>
        </w:tc>
      </w:tr>
      <w:tr w:rsidR="006B0C32" w:rsidRPr="006B0C32" w14:paraId="1A88115B" w14:textId="77777777" w:rsidTr="00D9696C">
        <w:trPr>
          <w:cantSplit/>
        </w:trPr>
        <w:tc>
          <w:tcPr>
            <w:tcW w:w="235" w:type="dxa"/>
            <w:tcBorders>
              <w:top w:val="nil"/>
              <w:bottom w:val="nil"/>
              <w:right w:val="single" w:sz="4" w:space="0" w:color="999999"/>
            </w:tcBorders>
          </w:tcPr>
          <w:p w14:paraId="6675DF07" w14:textId="77777777" w:rsidR="006B0C32" w:rsidRPr="006B0C32" w:rsidRDefault="006B0C32" w:rsidP="006B0C32">
            <w:pPr>
              <w:jc w:val="left"/>
              <w:rPr>
                <w:rFonts w:cs="Arial"/>
              </w:rPr>
            </w:pPr>
          </w:p>
        </w:tc>
        <w:tc>
          <w:tcPr>
            <w:tcW w:w="1913" w:type="dxa"/>
            <w:gridSpan w:val="2"/>
            <w:tcBorders>
              <w:top w:val="single" w:sz="4" w:space="0" w:color="999999"/>
              <w:left w:val="single" w:sz="4" w:space="0" w:color="999999"/>
              <w:bottom w:val="single" w:sz="4" w:space="0" w:color="999999"/>
              <w:right w:val="single" w:sz="4" w:space="0" w:color="999999"/>
            </w:tcBorders>
          </w:tcPr>
          <w:p w14:paraId="52F9F273" w14:textId="77777777" w:rsidR="006B0C32" w:rsidRPr="006B0C32" w:rsidRDefault="006B0C32" w:rsidP="006B0C32">
            <w:pPr>
              <w:ind w:left="50" w:firstLine="0"/>
              <w:jc w:val="left"/>
              <w:rPr>
                <w:rFonts w:cs="Arial"/>
              </w:rPr>
            </w:pPr>
            <w:r w:rsidRPr="006B0C32">
              <w:rPr>
                <w:rFonts w:cs="Arial"/>
              </w:rPr>
              <w:t>Method</w:t>
            </w:r>
          </w:p>
        </w:tc>
        <w:tc>
          <w:tcPr>
            <w:tcW w:w="6946" w:type="dxa"/>
            <w:gridSpan w:val="2"/>
            <w:tcBorders>
              <w:top w:val="single" w:sz="4" w:space="0" w:color="999999"/>
              <w:left w:val="single" w:sz="4" w:space="0" w:color="999999"/>
              <w:bottom w:val="single" w:sz="4" w:space="0" w:color="999999"/>
              <w:right w:val="single" w:sz="4" w:space="0" w:color="999999"/>
            </w:tcBorders>
          </w:tcPr>
          <w:p w14:paraId="59D6F6A0" w14:textId="77777777" w:rsidR="006B0C32" w:rsidRPr="006B0C32" w:rsidRDefault="006B0C32" w:rsidP="006B0C32">
            <w:pPr>
              <w:pStyle w:val="Header"/>
              <w:spacing w:after="0"/>
              <w:ind w:left="31" w:firstLine="0"/>
              <w:rPr>
                <w:rFonts w:cs="Arial"/>
                <w:szCs w:val="20"/>
              </w:rPr>
            </w:pPr>
            <w:r w:rsidRPr="006B0C32">
              <w:rPr>
                <w:rFonts w:cs="Arial"/>
              </w:rPr>
              <w:t xml:space="preserve">The KPI </w:t>
            </w:r>
            <w:r w:rsidRPr="006B0C32">
              <w:rPr>
                <w:rFonts w:cs="Arial"/>
                <w:szCs w:val="20"/>
              </w:rPr>
              <w:t xml:space="preserve">will be measured </w:t>
            </w:r>
            <w:proofErr w:type="gramStart"/>
            <w:r w:rsidRPr="006B0C32">
              <w:rPr>
                <w:rFonts w:cs="Arial"/>
                <w:szCs w:val="20"/>
              </w:rPr>
              <w:t>through the use of</w:t>
            </w:r>
            <w:proofErr w:type="gramEnd"/>
            <w:r w:rsidRPr="006B0C32">
              <w:rPr>
                <w:rFonts w:cs="Arial"/>
                <w:szCs w:val="20"/>
              </w:rPr>
              <w:t>:</w:t>
            </w:r>
          </w:p>
          <w:p w14:paraId="26C03197" w14:textId="77777777" w:rsidR="006B0C32" w:rsidRPr="006B0C32" w:rsidRDefault="006B0C32" w:rsidP="006B0C32">
            <w:pPr>
              <w:pStyle w:val="Header"/>
              <w:spacing w:after="0"/>
              <w:ind w:left="31" w:firstLine="0"/>
              <w:rPr>
                <w:rFonts w:cs="Arial"/>
                <w:szCs w:val="20"/>
              </w:rPr>
            </w:pPr>
            <w:r w:rsidRPr="006B0C32">
              <w:rPr>
                <w:rFonts w:cs="Arial"/>
                <w:szCs w:val="20"/>
              </w:rPr>
              <w:t>(Proactive) System Monitoring and management tools/logs</w:t>
            </w:r>
          </w:p>
          <w:p w14:paraId="363B430D" w14:textId="77777777" w:rsidR="006B0C32" w:rsidRPr="006B0C32" w:rsidRDefault="006B0C32" w:rsidP="006B0C32">
            <w:pPr>
              <w:pStyle w:val="Header"/>
              <w:spacing w:after="0"/>
              <w:ind w:left="31" w:firstLine="0"/>
              <w:rPr>
                <w:rFonts w:cs="Arial"/>
              </w:rPr>
            </w:pPr>
            <w:r w:rsidRPr="006B0C32">
              <w:rPr>
                <w:rFonts w:cs="Arial"/>
                <w:szCs w:val="20"/>
              </w:rPr>
              <w:t>Service Desk</w:t>
            </w:r>
            <w:r w:rsidRPr="006B0C32">
              <w:rPr>
                <w:rFonts w:cs="Arial"/>
              </w:rPr>
              <w:t xml:space="preserve"> logs (Incidents).</w:t>
            </w:r>
          </w:p>
        </w:tc>
      </w:tr>
      <w:tr w:rsidR="006B0C32" w:rsidRPr="006B0C32" w14:paraId="58934581" w14:textId="77777777" w:rsidTr="00D9696C">
        <w:trPr>
          <w:cantSplit/>
          <w:trHeight w:hRule="exact" w:val="113"/>
        </w:trPr>
        <w:tc>
          <w:tcPr>
            <w:tcW w:w="9094" w:type="dxa"/>
            <w:gridSpan w:val="5"/>
            <w:tcBorders>
              <w:top w:val="nil"/>
            </w:tcBorders>
          </w:tcPr>
          <w:p w14:paraId="710E9C68" w14:textId="77777777" w:rsidR="006B0C32" w:rsidRPr="006B0C32" w:rsidRDefault="006B0C32" w:rsidP="006B0C32">
            <w:pPr>
              <w:ind w:left="50" w:firstLine="0"/>
              <w:jc w:val="left"/>
              <w:rPr>
                <w:rFonts w:cs="Arial"/>
              </w:rPr>
            </w:pPr>
          </w:p>
        </w:tc>
      </w:tr>
      <w:tr w:rsidR="006B0C32" w:rsidRPr="006B0C32" w14:paraId="7F219855" w14:textId="77777777" w:rsidTr="00D9696C">
        <w:trPr>
          <w:cantSplit/>
          <w:trHeight w:hRule="exact" w:val="397"/>
        </w:trPr>
        <w:tc>
          <w:tcPr>
            <w:tcW w:w="9094" w:type="dxa"/>
            <w:gridSpan w:val="5"/>
            <w:vAlign w:val="center"/>
          </w:tcPr>
          <w:p w14:paraId="24DE4C4B" w14:textId="77777777" w:rsidR="006B0C32" w:rsidRPr="006B0C32" w:rsidRDefault="006B0C32" w:rsidP="006B0C32">
            <w:pPr>
              <w:ind w:left="50" w:firstLine="0"/>
              <w:jc w:val="left"/>
              <w:rPr>
                <w:rFonts w:cs="Arial"/>
              </w:rPr>
            </w:pPr>
            <w:r w:rsidRPr="006B0C32">
              <w:rPr>
                <w:rFonts w:cs="Arial"/>
              </w:rPr>
              <w:t>Service Credit Levels:</w:t>
            </w:r>
          </w:p>
        </w:tc>
      </w:tr>
      <w:tr w:rsidR="006B0C32" w:rsidRPr="006B0C32" w14:paraId="4BB9BC41" w14:textId="77777777" w:rsidTr="00D9696C">
        <w:trPr>
          <w:cantSplit/>
          <w:trHeight w:hRule="exact" w:val="113"/>
        </w:trPr>
        <w:tc>
          <w:tcPr>
            <w:tcW w:w="9094" w:type="dxa"/>
            <w:gridSpan w:val="5"/>
            <w:tcBorders>
              <w:bottom w:val="nil"/>
            </w:tcBorders>
          </w:tcPr>
          <w:p w14:paraId="46DDF2D5" w14:textId="77777777" w:rsidR="006B0C32" w:rsidRPr="006B0C32" w:rsidRDefault="006B0C32" w:rsidP="006B0C32">
            <w:pPr>
              <w:ind w:left="50" w:firstLine="0"/>
              <w:jc w:val="left"/>
              <w:rPr>
                <w:rFonts w:cs="Arial"/>
              </w:rPr>
            </w:pPr>
          </w:p>
        </w:tc>
      </w:tr>
      <w:tr w:rsidR="006B0C32" w:rsidRPr="006B0C32" w14:paraId="2AB7EAFA" w14:textId="77777777" w:rsidTr="00D9696C">
        <w:trPr>
          <w:cantSplit/>
        </w:trPr>
        <w:tc>
          <w:tcPr>
            <w:tcW w:w="235" w:type="dxa"/>
            <w:tcBorders>
              <w:top w:val="nil"/>
              <w:bottom w:val="nil"/>
              <w:right w:val="single" w:sz="4" w:space="0" w:color="999999"/>
            </w:tcBorders>
          </w:tcPr>
          <w:p w14:paraId="2F77F284" w14:textId="77777777" w:rsidR="006B0C32" w:rsidRPr="006B0C32" w:rsidRDefault="006B0C32" w:rsidP="006B0C32">
            <w:pPr>
              <w:jc w:val="left"/>
              <w:rPr>
                <w:rFonts w:cs="Arial"/>
              </w:rPr>
            </w:pPr>
          </w:p>
        </w:tc>
        <w:tc>
          <w:tcPr>
            <w:tcW w:w="8859" w:type="dxa"/>
            <w:gridSpan w:val="4"/>
            <w:tcBorders>
              <w:top w:val="single" w:sz="4" w:space="0" w:color="999999"/>
              <w:left w:val="single" w:sz="4" w:space="0" w:color="999999"/>
              <w:bottom w:val="single" w:sz="4" w:space="0" w:color="999999"/>
              <w:right w:val="single" w:sz="4" w:space="0" w:color="999999"/>
            </w:tcBorders>
          </w:tcPr>
          <w:p w14:paraId="279F70D2" w14:textId="77777777" w:rsidR="006B0C32" w:rsidRPr="006B0C32" w:rsidRDefault="006B0C32" w:rsidP="006B0C32">
            <w:pPr>
              <w:ind w:left="50" w:firstLine="0"/>
              <w:jc w:val="left"/>
              <w:rPr>
                <w:rFonts w:cs="Arial"/>
              </w:rPr>
            </w:pPr>
            <w:r w:rsidRPr="006B0C32">
              <w:rPr>
                <w:rFonts w:cs="Arial"/>
              </w:rPr>
              <w:t>Steady State</w:t>
            </w:r>
          </w:p>
        </w:tc>
      </w:tr>
      <w:tr w:rsidR="006B0C32" w:rsidRPr="006B0C32" w14:paraId="7B456776" w14:textId="77777777" w:rsidTr="00D9696C">
        <w:trPr>
          <w:cantSplit/>
        </w:trPr>
        <w:tc>
          <w:tcPr>
            <w:tcW w:w="235" w:type="dxa"/>
            <w:tcBorders>
              <w:top w:val="nil"/>
              <w:bottom w:val="nil"/>
              <w:right w:val="single" w:sz="4" w:space="0" w:color="999999"/>
            </w:tcBorders>
          </w:tcPr>
          <w:p w14:paraId="6CBE459F" w14:textId="77777777" w:rsidR="006B0C32" w:rsidRPr="006B0C32" w:rsidRDefault="006B0C32" w:rsidP="006B0C32">
            <w:pPr>
              <w:jc w:val="left"/>
              <w:rPr>
                <w:rFonts w:cs="Arial"/>
              </w:rPr>
            </w:pPr>
          </w:p>
        </w:tc>
        <w:tc>
          <w:tcPr>
            <w:tcW w:w="1913" w:type="dxa"/>
            <w:gridSpan w:val="2"/>
            <w:tcBorders>
              <w:top w:val="single" w:sz="4" w:space="0" w:color="999999"/>
              <w:left w:val="single" w:sz="4" w:space="0" w:color="999999"/>
              <w:bottom w:val="single" w:sz="4" w:space="0" w:color="999999"/>
              <w:right w:val="single" w:sz="4" w:space="0" w:color="999999"/>
            </w:tcBorders>
          </w:tcPr>
          <w:p w14:paraId="5A81C591" w14:textId="77777777" w:rsidR="006B0C32" w:rsidRPr="006B0C32" w:rsidRDefault="006B0C32" w:rsidP="006B0C32">
            <w:pPr>
              <w:ind w:left="50" w:firstLine="0"/>
              <w:jc w:val="left"/>
              <w:rPr>
                <w:rFonts w:cs="Arial"/>
              </w:rPr>
            </w:pPr>
            <w:r w:rsidRPr="006B0C32">
              <w:rPr>
                <w:rFonts w:cs="Arial"/>
              </w:rPr>
              <w:t>Actual Service Usage</w:t>
            </w:r>
          </w:p>
        </w:tc>
        <w:tc>
          <w:tcPr>
            <w:tcW w:w="5462" w:type="dxa"/>
            <w:vMerge w:val="restart"/>
            <w:tcBorders>
              <w:top w:val="single" w:sz="4" w:space="0" w:color="999999"/>
              <w:left w:val="single" w:sz="4" w:space="0" w:color="999999"/>
              <w:right w:val="single" w:sz="4" w:space="0" w:color="999999"/>
            </w:tcBorders>
            <w:vAlign w:val="bottom"/>
          </w:tcPr>
          <w:p w14:paraId="3F853F97" w14:textId="77777777" w:rsidR="006B0C32" w:rsidRPr="006B0C32" w:rsidRDefault="006B0C32" w:rsidP="006B0C32">
            <w:pPr>
              <w:jc w:val="left"/>
              <w:rPr>
                <w:rFonts w:cs="Arial"/>
              </w:rPr>
            </w:pPr>
            <w:r w:rsidRPr="006B0C32">
              <w:rPr>
                <w:rFonts w:cs="Arial"/>
              </w:rPr>
              <w:t>Calculation</w:t>
            </w:r>
          </w:p>
        </w:tc>
        <w:tc>
          <w:tcPr>
            <w:tcW w:w="1484" w:type="dxa"/>
            <w:vMerge w:val="restart"/>
            <w:tcBorders>
              <w:top w:val="single" w:sz="4" w:space="0" w:color="999999"/>
              <w:left w:val="single" w:sz="4" w:space="0" w:color="999999"/>
              <w:right w:val="single" w:sz="4" w:space="0" w:color="999999"/>
            </w:tcBorders>
            <w:vAlign w:val="bottom"/>
          </w:tcPr>
          <w:p w14:paraId="75E55D9E" w14:textId="77777777" w:rsidR="006B0C32" w:rsidRPr="006B0C32" w:rsidRDefault="006B0C32" w:rsidP="006B0C32">
            <w:pPr>
              <w:jc w:val="left"/>
              <w:rPr>
                <w:rFonts w:cs="Arial"/>
              </w:rPr>
            </w:pPr>
            <w:r w:rsidRPr="006B0C32">
              <w:rPr>
                <w:rFonts w:cs="Arial"/>
              </w:rPr>
              <w:t>Notes</w:t>
            </w:r>
          </w:p>
        </w:tc>
      </w:tr>
      <w:tr w:rsidR="006B0C32" w:rsidRPr="006B0C32" w14:paraId="2CA23883" w14:textId="77777777" w:rsidTr="00D9696C">
        <w:trPr>
          <w:cantSplit/>
        </w:trPr>
        <w:tc>
          <w:tcPr>
            <w:tcW w:w="235" w:type="dxa"/>
            <w:tcBorders>
              <w:top w:val="nil"/>
              <w:bottom w:val="nil"/>
              <w:right w:val="single" w:sz="4" w:space="0" w:color="999999"/>
            </w:tcBorders>
          </w:tcPr>
          <w:p w14:paraId="309F1DD1" w14:textId="77777777" w:rsidR="006B0C32" w:rsidRPr="006B0C32" w:rsidRDefault="006B0C32" w:rsidP="006B0C32">
            <w:pPr>
              <w:jc w:val="left"/>
              <w:rPr>
                <w:rFonts w:cs="Arial"/>
              </w:rPr>
            </w:pPr>
          </w:p>
        </w:tc>
        <w:tc>
          <w:tcPr>
            <w:tcW w:w="953" w:type="dxa"/>
            <w:tcBorders>
              <w:top w:val="single" w:sz="4" w:space="0" w:color="999999"/>
              <w:left w:val="single" w:sz="4" w:space="0" w:color="999999"/>
              <w:bottom w:val="single" w:sz="4" w:space="0" w:color="999999"/>
              <w:right w:val="single" w:sz="4" w:space="0" w:color="999999"/>
            </w:tcBorders>
          </w:tcPr>
          <w:p w14:paraId="6347AFD1" w14:textId="77777777" w:rsidR="006B0C32" w:rsidRPr="006B0C32" w:rsidRDefault="006B0C32" w:rsidP="006B0C32">
            <w:pPr>
              <w:ind w:left="50" w:firstLine="0"/>
              <w:jc w:val="left"/>
              <w:rPr>
                <w:rFonts w:cs="Arial"/>
              </w:rPr>
            </w:pPr>
            <w:r w:rsidRPr="006B0C32">
              <w:rPr>
                <w:rFonts w:cs="Arial"/>
              </w:rPr>
              <w:t>Lower</w:t>
            </w:r>
          </w:p>
        </w:tc>
        <w:tc>
          <w:tcPr>
            <w:tcW w:w="960" w:type="dxa"/>
            <w:tcBorders>
              <w:top w:val="single" w:sz="4" w:space="0" w:color="999999"/>
              <w:left w:val="single" w:sz="4" w:space="0" w:color="999999"/>
              <w:bottom w:val="single" w:sz="4" w:space="0" w:color="999999"/>
              <w:right w:val="single" w:sz="4" w:space="0" w:color="999999"/>
            </w:tcBorders>
          </w:tcPr>
          <w:p w14:paraId="5030DD69" w14:textId="77777777" w:rsidR="006B0C32" w:rsidRPr="006B0C32" w:rsidRDefault="006B0C32" w:rsidP="006B0C32">
            <w:pPr>
              <w:ind w:left="50" w:firstLine="0"/>
              <w:jc w:val="left"/>
              <w:rPr>
                <w:rFonts w:cs="Arial"/>
              </w:rPr>
            </w:pPr>
            <w:r w:rsidRPr="006B0C32">
              <w:rPr>
                <w:rFonts w:cs="Arial"/>
              </w:rPr>
              <w:t>Upper</w:t>
            </w:r>
          </w:p>
        </w:tc>
        <w:tc>
          <w:tcPr>
            <w:tcW w:w="5462" w:type="dxa"/>
            <w:vMerge/>
            <w:tcBorders>
              <w:left w:val="single" w:sz="4" w:space="0" w:color="999999"/>
              <w:bottom w:val="single" w:sz="4" w:space="0" w:color="999999"/>
              <w:right w:val="single" w:sz="4" w:space="0" w:color="999999"/>
            </w:tcBorders>
          </w:tcPr>
          <w:p w14:paraId="7DAAE1FA" w14:textId="77777777" w:rsidR="006B0C32" w:rsidRPr="006B0C32" w:rsidRDefault="006B0C32" w:rsidP="006B0C32">
            <w:pPr>
              <w:jc w:val="left"/>
              <w:rPr>
                <w:rFonts w:cs="Arial"/>
              </w:rPr>
            </w:pPr>
          </w:p>
        </w:tc>
        <w:tc>
          <w:tcPr>
            <w:tcW w:w="1484" w:type="dxa"/>
            <w:vMerge/>
            <w:tcBorders>
              <w:left w:val="single" w:sz="4" w:space="0" w:color="999999"/>
              <w:bottom w:val="single" w:sz="4" w:space="0" w:color="999999"/>
              <w:right w:val="single" w:sz="4" w:space="0" w:color="999999"/>
            </w:tcBorders>
          </w:tcPr>
          <w:p w14:paraId="1FAC360C" w14:textId="77777777" w:rsidR="006B0C32" w:rsidRPr="006B0C32" w:rsidRDefault="006B0C32" w:rsidP="006B0C32">
            <w:pPr>
              <w:jc w:val="left"/>
              <w:rPr>
                <w:rFonts w:cs="Arial"/>
              </w:rPr>
            </w:pPr>
          </w:p>
        </w:tc>
      </w:tr>
      <w:tr w:rsidR="006B0C32" w:rsidRPr="006B0C32" w14:paraId="1D3E2296" w14:textId="77777777" w:rsidTr="00D9696C">
        <w:trPr>
          <w:cantSplit/>
        </w:trPr>
        <w:tc>
          <w:tcPr>
            <w:tcW w:w="235" w:type="dxa"/>
            <w:tcBorders>
              <w:top w:val="nil"/>
              <w:bottom w:val="nil"/>
              <w:right w:val="single" w:sz="4" w:space="0" w:color="999999"/>
            </w:tcBorders>
          </w:tcPr>
          <w:p w14:paraId="665EBE5F" w14:textId="77777777" w:rsidR="006B0C32" w:rsidRPr="006B0C32" w:rsidRDefault="006B0C32" w:rsidP="006B0C32">
            <w:pPr>
              <w:jc w:val="left"/>
              <w:rPr>
                <w:rFonts w:cs="Arial"/>
              </w:rPr>
            </w:pPr>
          </w:p>
        </w:tc>
        <w:tc>
          <w:tcPr>
            <w:tcW w:w="953" w:type="dxa"/>
            <w:tcBorders>
              <w:top w:val="single" w:sz="4" w:space="0" w:color="999999"/>
              <w:left w:val="single" w:sz="4" w:space="0" w:color="999999"/>
              <w:bottom w:val="single" w:sz="4" w:space="0" w:color="999999"/>
              <w:right w:val="single" w:sz="4" w:space="0" w:color="999999"/>
            </w:tcBorders>
            <w:vAlign w:val="center"/>
          </w:tcPr>
          <w:p w14:paraId="5BBA38F9" w14:textId="77777777" w:rsidR="006B0C32" w:rsidRPr="006B0C32" w:rsidRDefault="006B0C32" w:rsidP="006B0C32">
            <w:pPr>
              <w:ind w:left="50" w:firstLine="0"/>
              <w:jc w:val="left"/>
              <w:rPr>
                <w:rFonts w:cs="Arial"/>
              </w:rPr>
            </w:pPr>
            <w:r w:rsidRPr="006B0C32">
              <w:rPr>
                <w:rFonts w:cs="Arial"/>
              </w:rPr>
              <w:t>xxx</w:t>
            </w:r>
          </w:p>
        </w:tc>
        <w:tc>
          <w:tcPr>
            <w:tcW w:w="960" w:type="dxa"/>
            <w:tcBorders>
              <w:top w:val="single" w:sz="4" w:space="0" w:color="999999"/>
              <w:left w:val="single" w:sz="4" w:space="0" w:color="999999"/>
              <w:bottom w:val="single" w:sz="4" w:space="0" w:color="999999"/>
              <w:right w:val="single" w:sz="4" w:space="0" w:color="999999"/>
            </w:tcBorders>
            <w:vAlign w:val="center"/>
          </w:tcPr>
          <w:p w14:paraId="122888F8" w14:textId="77777777" w:rsidR="006B0C32" w:rsidRPr="006B0C32" w:rsidRDefault="006B0C32" w:rsidP="006B0C32">
            <w:pPr>
              <w:ind w:left="50" w:firstLine="0"/>
              <w:jc w:val="left"/>
              <w:rPr>
                <w:rFonts w:cs="Arial"/>
              </w:rPr>
            </w:pPr>
            <w:r w:rsidRPr="006B0C32">
              <w:rPr>
                <w:rFonts w:cs="Arial"/>
              </w:rPr>
              <w:t>1</w:t>
            </w:r>
          </w:p>
        </w:tc>
        <w:tc>
          <w:tcPr>
            <w:tcW w:w="546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81B43C6" w14:textId="77777777" w:rsidR="006B0C32" w:rsidRPr="006B0C32" w:rsidRDefault="006B0C32" w:rsidP="006B0C32">
            <w:pPr>
              <w:ind w:left="0" w:firstLine="0"/>
              <w:jc w:val="left"/>
              <w:rPr>
                <w:rFonts w:cs="Arial"/>
              </w:rPr>
            </w:pPr>
            <w:r w:rsidRPr="006B0C32">
              <w:rPr>
                <w:rFonts w:cs="Arial"/>
              </w:rPr>
              <w:t>PERCENTSERCOM = NUMSERCOMOU/TOTALSERCOM</w:t>
            </w:r>
          </w:p>
          <w:p w14:paraId="0903C6D2" w14:textId="77777777" w:rsidR="006B0C32" w:rsidRPr="006B0C32" w:rsidRDefault="006B0C32" w:rsidP="006B0C32">
            <w:pPr>
              <w:ind w:left="0" w:firstLine="0"/>
              <w:jc w:val="left"/>
              <w:rPr>
                <w:rFonts w:cs="Arial"/>
              </w:rPr>
            </w:pPr>
          </w:p>
        </w:tc>
        <w:tc>
          <w:tcPr>
            <w:tcW w:w="1484" w:type="dxa"/>
            <w:tcBorders>
              <w:top w:val="single" w:sz="4" w:space="0" w:color="999999"/>
              <w:left w:val="single" w:sz="4" w:space="0" w:color="999999"/>
              <w:bottom w:val="single" w:sz="4" w:space="0" w:color="999999"/>
              <w:right w:val="single" w:sz="4" w:space="0" w:color="999999"/>
            </w:tcBorders>
            <w:vAlign w:val="center"/>
          </w:tcPr>
          <w:p w14:paraId="70EF0921" w14:textId="77777777" w:rsidR="006B0C32" w:rsidRPr="006B0C32" w:rsidRDefault="006B0C32" w:rsidP="006B0C32">
            <w:pPr>
              <w:ind w:left="0" w:firstLine="0"/>
              <w:jc w:val="left"/>
              <w:rPr>
                <w:rFonts w:cs="Arial"/>
              </w:rPr>
            </w:pPr>
            <w:r w:rsidRPr="006B0C32">
              <w:rPr>
                <w:rFonts w:cs="Arial"/>
              </w:rPr>
              <w:t>Service target</w:t>
            </w:r>
          </w:p>
        </w:tc>
      </w:tr>
      <w:tr w:rsidR="006B0C32" w:rsidRPr="006B0C32" w14:paraId="4FFDCEB2" w14:textId="77777777" w:rsidTr="00D9696C">
        <w:trPr>
          <w:cantSplit/>
        </w:trPr>
        <w:tc>
          <w:tcPr>
            <w:tcW w:w="235" w:type="dxa"/>
            <w:tcBorders>
              <w:top w:val="nil"/>
              <w:bottom w:val="nil"/>
              <w:right w:val="single" w:sz="4" w:space="0" w:color="999999"/>
            </w:tcBorders>
          </w:tcPr>
          <w:p w14:paraId="73C1A809" w14:textId="77777777" w:rsidR="006B0C32" w:rsidRPr="006B0C32" w:rsidRDefault="006B0C32" w:rsidP="006B0C32">
            <w:pPr>
              <w:jc w:val="left"/>
              <w:rPr>
                <w:rFonts w:cs="Arial"/>
              </w:rPr>
            </w:pPr>
          </w:p>
        </w:tc>
        <w:tc>
          <w:tcPr>
            <w:tcW w:w="953" w:type="dxa"/>
            <w:tcBorders>
              <w:top w:val="single" w:sz="4" w:space="0" w:color="999999"/>
              <w:left w:val="single" w:sz="4" w:space="0" w:color="999999"/>
              <w:bottom w:val="single" w:sz="4" w:space="0" w:color="999999"/>
              <w:right w:val="single" w:sz="4" w:space="0" w:color="999999"/>
            </w:tcBorders>
            <w:vAlign w:val="center"/>
          </w:tcPr>
          <w:p w14:paraId="67584F69" w14:textId="77777777" w:rsidR="006B0C32" w:rsidRPr="006B0C32" w:rsidRDefault="006B0C32" w:rsidP="006B0C32">
            <w:pPr>
              <w:ind w:left="50" w:firstLine="0"/>
              <w:jc w:val="left"/>
              <w:rPr>
                <w:rFonts w:cs="Arial"/>
              </w:rPr>
            </w:pPr>
            <w:r w:rsidRPr="006B0C32">
              <w:rPr>
                <w:rFonts w:cs="Arial"/>
              </w:rPr>
              <w:t>0.yyy</w:t>
            </w:r>
          </w:p>
        </w:tc>
        <w:tc>
          <w:tcPr>
            <w:tcW w:w="960" w:type="dxa"/>
            <w:tcBorders>
              <w:top w:val="single" w:sz="4" w:space="0" w:color="999999"/>
              <w:left w:val="single" w:sz="4" w:space="0" w:color="999999"/>
              <w:bottom w:val="single" w:sz="4" w:space="0" w:color="999999"/>
              <w:right w:val="single" w:sz="4" w:space="0" w:color="999999"/>
            </w:tcBorders>
            <w:vAlign w:val="center"/>
          </w:tcPr>
          <w:p w14:paraId="41EB6FF2" w14:textId="77777777" w:rsidR="006B0C32" w:rsidRPr="006B0C32" w:rsidRDefault="006B0C32" w:rsidP="006B0C32">
            <w:pPr>
              <w:ind w:left="50" w:firstLine="0"/>
              <w:jc w:val="left"/>
              <w:rPr>
                <w:rFonts w:cs="Arial"/>
              </w:rPr>
            </w:pPr>
            <w:r w:rsidRPr="006B0C32">
              <w:rPr>
                <w:rFonts w:cs="Arial"/>
              </w:rPr>
              <w:t>&lt;0.xxx</w:t>
            </w:r>
          </w:p>
        </w:tc>
        <w:tc>
          <w:tcPr>
            <w:tcW w:w="546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03279F9" w14:textId="77777777" w:rsidR="006B0C32" w:rsidRPr="006B0C32" w:rsidRDefault="006B0C32" w:rsidP="006B0C32">
            <w:pPr>
              <w:ind w:left="0" w:firstLine="0"/>
              <w:jc w:val="left"/>
              <w:rPr>
                <w:rFonts w:cs="Arial"/>
              </w:rPr>
            </w:pPr>
            <w:r w:rsidRPr="006B0C32">
              <w:rPr>
                <w:rFonts w:cs="Arial"/>
              </w:rPr>
              <w:t>PERCENTSERCOM = NUMSERCOMOU/TOTALSERCOM</w:t>
            </w:r>
          </w:p>
          <w:p w14:paraId="2B7DFDE1" w14:textId="77777777" w:rsidR="006B0C32" w:rsidRPr="006B0C32" w:rsidRDefault="006B0C32" w:rsidP="006B0C32">
            <w:pPr>
              <w:ind w:left="0" w:firstLine="0"/>
              <w:jc w:val="left"/>
              <w:rPr>
                <w:rFonts w:cs="Arial"/>
              </w:rPr>
            </w:pPr>
          </w:p>
        </w:tc>
        <w:tc>
          <w:tcPr>
            <w:tcW w:w="1484" w:type="dxa"/>
            <w:tcBorders>
              <w:top w:val="single" w:sz="4" w:space="0" w:color="999999"/>
              <w:left w:val="single" w:sz="4" w:space="0" w:color="999999"/>
              <w:bottom w:val="single" w:sz="4" w:space="0" w:color="999999"/>
              <w:right w:val="single" w:sz="4" w:space="0" w:color="999999"/>
            </w:tcBorders>
            <w:vAlign w:val="center"/>
          </w:tcPr>
          <w:p w14:paraId="1B8171F7" w14:textId="77777777" w:rsidR="006B0C32" w:rsidRPr="006B0C32" w:rsidRDefault="006B0C32" w:rsidP="006B0C32">
            <w:pPr>
              <w:ind w:left="0" w:firstLine="0"/>
              <w:jc w:val="left"/>
              <w:rPr>
                <w:rFonts w:cs="Arial"/>
              </w:rPr>
            </w:pPr>
            <w:r w:rsidRPr="006B0C32">
              <w:rPr>
                <w:rFonts w:cs="Arial"/>
              </w:rPr>
              <w:t>Service Pass</w:t>
            </w:r>
          </w:p>
        </w:tc>
      </w:tr>
      <w:tr w:rsidR="006B0C32" w:rsidRPr="006B0C32" w14:paraId="5D6031FD" w14:textId="77777777" w:rsidTr="00D9696C">
        <w:trPr>
          <w:cantSplit/>
        </w:trPr>
        <w:tc>
          <w:tcPr>
            <w:tcW w:w="235" w:type="dxa"/>
            <w:tcBorders>
              <w:top w:val="nil"/>
              <w:bottom w:val="nil"/>
              <w:right w:val="single" w:sz="4" w:space="0" w:color="999999"/>
            </w:tcBorders>
          </w:tcPr>
          <w:p w14:paraId="56EF64D2" w14:textId="77777777" w:rsidR="006B0C32" w:rsidRPr="006B0C32" w:rsidRDefault="006B0C32" w:rsidP="006B0C32">
            <w:pPr>
              <w:jc w:val="left"/>
              <w:rPr>
                <w:rFonts w:cs="Arial"/>
              </w:rPr>
            </w:pPr>
          </w:p>
        </w:tc>
        <w:tc>
          <w:tcPr>
            <w:tcW w:w="953" w:type="dxa"/>
            <w:tcBorders>
              <w:top w:val="single" w:sz="4" w:space="0" w:color="999999"/>
              <w:left w:val="single" w:sz="4" w:space="0" w:color="999999"/>
              <w:bottom w:val="single" w:sz="4" w:space="0" w:color="999999"/>
              <w:right w:val="single" w:sz="4" w:space="0" w:color="999999"/>
            </w:tcBorders>
            <w:vAlign w:val="center"/>
          </w:tcPr>
          <w:p w14:paraId="38FBA42E" w14:textId="77777777" w:rsidR="006B0C32" w:rsidRPr="006B0C32" w:rsidRDefault="006B0C32" w:rsidP="006B0C32">
            <w:pPr>
              <w:ind w:left="50" w:firstLine="0"/>
              <w:jc w:val="left"/>
              <w:rPr>
                <w:rFonts w:cs="Arial"/>
              </w:rPr>
            </w:pPr>
            <w:r w:rsidRPr="006B0C32">
              <w:rPr>
                <w:rFonts w:cs="Arial"/>
              </w:rPr>
              <w:t>0</w:t>
            </w:r>
          </w:p>
        </w:tc>
        <w:tc>
          <w:tcPr>
            <w:tcW w:w="960" w:type="dxa"/>
            <w:tcBorders>
              <w:top w:val="single" w:sz="4" w:space="0" w:color="999999"/>
              <w:left w:val="single" w:sz="4" w:space="0" w:color="999999"/>
              <w:bottom w:val="single" w:sz="4" w:space="0" w:color="999999"/>
              <w:right w:val="single" w:sz="4" w:space="0" w:color="999999"/>
            </w:tcBorders>
            <w:vAlign w:val="center"/>
          </w:tcPr>
          <w:p w14:paraId="28D65506" w14:textId="77777777" w:rsidR="006B0C32" w:rsidRPr="006B0C32" w:rsidRDefault="006B0C32" w:rsidP="006B0C32">
            <w:pPr>
              <w:ind w:left="50" w:firstLine="0"/>
              <w:jc w:val="left"/>
              <w:rPr>
                <w:rFonts w:cs="Arial"/>
              </w:rPr>
            </w:pPr>
            <w:r w:rsidRPr="006B0C32">
              <w:rPr>
                <w:rFonts w:cs="Arial"/>
              </w:rPr>
              <w:t>&lt;0.yyy</w:t>
            </w:r>
          </w:p>
        </w:tc>
        <w:tc>
          <w:tcPr>
            <w:tcW w:w="546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18898A1" w14:textId="77777777" w:rsidR="006B0C32" w:rsidRPr="006B0C32" w:rsidRDefault="006B0C32" w:rsidP="006B0C32">
            <w:pPr>
              <w:ind w:left="0" w:firstLine="0"/>
              <w:jc w:val="left"/>
              <w:rPr>
                <w:rFonts w:cs="Arial"/>
              </w:rPr>
            </w:pPr>
            <w:r w:rsidRPr="006B0C32">
              <w:rPr>
                <w:rFonts w:cs="Arial"/>
              </w:rPr>
              <w:t>PERCENTSERCOM = NUMSERCOMOU/TOTALSERCOM</w:t>
            </w:r>
          </w:p>
          <w:p w14:paraId="30541CF9" w14:textId="77777777" w:rsidR="006B0C32" w:rsidRPr="006B0C32" w:rsidRDefault="006B0C32" w:rsidP="006B0C32">
            <w:pPr>
              <w:ind w:left="0" w:firstLine="0"/>
              <w:jc w:val="left"/>
              <w:rPr>
                <w:rFonts w:cs="Arial"/>
              </w:rPr>
            </w:pPr>
          </w:p>
        </w:tc>
        <w:tc>
          <w:tcPr>
            <w:tcW w:w="1484" w:type="dxa"/>
            <w:tcBorders>
              <w:top w:val="single" w:sz="4" w:space="0" w:color="999999"/>
              <w:left w:val="single" w:sz="4" w:space="0" w:color="999999"/>
              <w:bottom w:val="single" w:sz="4" w:space="0" w:color="999999"/>
              <w:right w:val="single" w:sz="4" w:space="0" w:color="999999"/>
            </w:tcBorders>
            <w:vAlign w:val="center"/>
          </w:tcPr>
          <w:p w14:paraId="25E8570C" w14:textId="77777777" w:rsidR="006B0C32" w:rsidRPr="006B0C32" w:rsidRDefault="006B0C32" w:rsidP="006B0C32">
            <w:pPr>
              <w:ind w:left="0" w:firstLine="0"/>
              <w:jc w:val="left"/>
              <w:rPr>
                <w:rFonts w:cs="Arial"/>
              </w:rPr>
            </w:pPr>
            <w:r w:rsidRPr="006B0C32">
              <w:rPr>
                <w:rFonts w:cs="Arial"/>
              </w:rPr>
              <w:t>Service Failure</w:t>
            </w:r>
          </w:p>
        </w:tc>
      </w:tr>
      <w:tr w:rsidR="006B0C32" w:rsidRPr="006B0C32" w14:paraId="68C16D1C" w14:textId="77777777" w:rsidTr="00D9696C">
        <w:trPr>
          <w:cantSplit/>
          <w:trHeight w:hRule="exact" w:val="113"/>
        </w:trPr>
        <w:tc>
          <w:tcPr>
            <w:tcW w:w="9094" w:type="dxa"/>
            <w:gridSpan w:val="5"/>
            <w:tcBorders>
              <w:top w:val="nil"/>
              <w:bottom w:val="nil"/>
            </w:tcBorders>
          </w:tcPr>
          <w:p w14:paraId="4E6A8D74" w14:textId="77777777" w:rsidR="006B0C32" w:rsidRPr="006B0C32" w:rsidRDefault="006B0C32" w:rsidP="006B0C32">
            <w:pPr>
              <w:jc w:val="left"/>
              <w:rPr>
                <w:rFonts w:cs="Arial"/>
              </w:rPr>
            </w:pPr>
          </w:p>
        </w:tc>
      </w:tr>
      <w:tr w:rsidR="006B0C32" w:rsidRPr="006B0C32" w14:paraId="5C7A466D" w14:textId="77777777" w:rsidTr="00D9696C">
        <w:trPr>
          <w:cantSplit/>
          <w:trHeight w:hRule="exact" w:val="113"/>
        </w:trPr>
        <w:tc>
          <w:tcPr>
            <w:tcW w:w="9094" w:type="dxa"/>
            <w:gridSpan w:val="5"/>
            <w:tcBorders>
              <w:top w:val="nil"/>
            </w:tcBorders>
          </w:tcPr>
          <w:p w14:paraId="5F83C06F" w14:textId="77777777" w:rsidR="006B0C32" w:rsidRPr="006B0C32" w:rsidRDefault="006B0C32" w:rsidP="006B0C32">
            <w:pPr>
              <w:jc w:val="left"/>
              <w:rPr>
                <w:rFonts w:cs="Arial"/>
              </w:rPr>
            </w:pPr>
          </w:p>
        </w:tc>
      </w:tr>
      <w:tr w:rsidR="006B0C32" w:rsidRPr="006B0C32" w14:paraId="693D76DE" w14:textId="77777777" w:rsidTr="00D9696C">
        <w:trPr>
          <w:cantSplit/>
          <w:trHeight w:hRule="exact" w:val="397"/>
        </w:trPr>
        <w:tc>
          <w:tcPr>
            <w:tcW w:w="9094" w:type="dxa"/>
            <w:gridSpan w:val="5"/>
            <w:vAlign w:val="center"/>
          </w:tcPr>
          <w:p w14:paraId="59ECB736" w14:textId="77777777" w:rsidR="006B0C32" w:rsidRPr="006B0C32" w:rsidRDefault="006B0C32" w:rsidP="006B0C32">
            <w:pPr>
              <w:jc w:val="left"/>
              <w:rPr>
                <w:rFonts w:cs="Arial"/>
              </w:rPr>
            </w:pPr>
            <w:r w:rsidRPr="006B0C32">
              <w:rPr>
                <w:rFonts w:cs="Arial"/>
              </w:rPr>
              <w:t>Notes:</w:t>
            </w:r>
          </w:p>
        </w:tc>
      </w:tr>
      <w:tr w:rsidR="006B0C32" w:rsidRPr="006B0C32" w14:paraId="1C91DD83" w14:textId="77777777" w:rsidTr="00D9696C">
        <w:trPr>
          <w:cantSplit/>
        </w:trPr>
        <w:tc>
          <w:tcPr>
            <w:tcW w:w="9094" w:type="dxa"/>
            <w:gridSpan w:val="5"/>
          </w:tcPr>
          <w:p w14:paraId="76062432" w14:textId="77777777" w:rsidR="006B0C32" w:rsidRPr="006B0C32" w:rsidRDefault="006B0C32" w:rsidP="006B0C32">
            <w:pPr>
              <w:jc w:val="left"/>
              <w:rPr>
                <w:rFonts w:cs="Arial"/>
              </w:rPr>
            </w:pPr>
            <w:r w:rsidRPr="006B0C32">
              <w:rPr>
                <w:rFonts w:cs="Arial"/>
              </w:rPr>
              <w:t xml:space="preserve">xxx – Target as defined in table </w:t>
            </w:r>
            <w:proofErr w:type="gramStart"/>
            <w:r w:rsidRPr="006B0C32">
              <w:rPr>
                <w:rFonts w:cs="Arial"/>
              </w:rPr>
              <w:t>1</w:t>
            </w:r>
            <w:proofErr w:type="gramEnd"/>
          </w:p>
          <w:p w14:paraId="64A7948A" w14:textId="77777777" w:rsidR="006B0C32" w:rsidRPr="006B0C32" w:rsidRDefault="006B0C32" w:rsidP="006B0C32">
            <w:pPr>
              <w:jc w:val="left"/>
              <w:rPr>
                <w:rFonts w:cs="Arial"/>
              </w:rPr>
            </w:pPr>
            <w:proofErr w:type="spellStart"/>
            <w:r w:rsidRPr="006B0C32">
              <w:rPr>
                <w:rFonts w:cs="Arial"/>
              </w:rPr>
              <w:t>yyy</w:t>
            </w:r>
            <w:proofErr w:type="spellEnd"/>
            <w:r w:rsidRPr="006B0C32">
              <w:rPr>
                <w:rFonts w:cs="Arial"/>
              </w:rPr>
              <w:t xml:space="preserve">- Acceptable as defined in table </w:t>
            </w:r>
            <w:proofErr w:type="gramStart"/>
            <w:r w:rsidRPr="006B0C32">
              <w:rPr>
                <w:rFonts w:cs="Arial"/>
              </w:rPr>
              <w:t>1</w:t>
            </w:r>
            <w:proofErr w:type="gramEnd"/>
          </w:p>
          <w:p w14:paraId="0BFA4E13" w14:textId="77777777" w:rsidR="006B0C32" w:rsidRPr="006B0C32" w:rsidRDefault="006B0C32" w:rsidP="006B0C32">
            <w:pPr>
              <w:jc w:val="left"/>
              <w:rPr>
                <w:rFonts w:cs="Arial"/>
              </w:rPr>
            </w:pPr>
          </w:p>
        </w:tc>
      </w:tr>
    </w:tbl>
    <w:p w14:paraId="7E66E553" w14:textId="0718CDEF" w:rsidR="009A2964" w:rsidRDefault="009A2964">
      <w:pPr>
        <w:jc w:val="left"/>
        <w:rPr>
          <w:rFonts w:cs="Arial"/>
        </w:rPr>
      </w:pPr>
      <w:r>
        <w:rPr>
          <w:rFonts w:cs="Arial"/>
        </w:rPr>
        <w:br w:type="page"/>
      </w:r>
    </w:p>
    <w:tbl>
      <w:tblPr>
        <w:tblW w:w="909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
        <w:gridCol w:w="953"/>
        <w:gridCol w:w="960"/>
        <w:gridCol w:w="4373"/>
        <w:gridCol w:w="2573"/>
      </w:tblGrid>
      <w:tr w:rsidR="009A2964" w:rsidRPr="00BB50F2" w14:paraId="4E85DC4D" w14:textId="77777777" w:rsidTr="00F8293A">
        <w:trPr>
          <w:trHeight w:hRule="exact" w:val="294"/>
        </w:trPr>
        <w:tc>
          <w:tcPr>
            <w:tcW w:w="6521" w:type="dxa"/>
            <w:gridSpan w:val="4"/>
          </w:tcPr>
          <w:p w14:paraId="3180E2CB" w14:textId="77777777" w:rsidR="009A2964" w:rsidRPr="00BB50F2" w:rsidRDefault="009A2964" w:rsidP="00F8293A">
            <w:pPr>
              <w:rPr>
                <w:rFonts w:cs="Arial"/>
                <w:b/>
              </w:rPr>
            </w:pPr>
            <w:r w:rsidRPr="00BB50F2">
              <w:rPr>
                <w:rFonts w:eastAsia="Calibri" w:cs="Arial"/>
                <w:lang w:eastAsia="en-US"/>
              </w:rPr>
              <w:lastRenderedPageBreak/>
              <w:br w:type="page"/>
            </w:r>
            <w:r w:rsidRPr="00BB50F2">
              <w:rPr>
                <w:rFonts w:cs="Arial"/>
                <w:b/>
              </w:rPr>
              <w:t>Accumulated Infrastructure and Platform Component availability</w:t>
            </w:r>
          </w:p>
        </w:tc>
        <w:tc>
          <w:tcPr>
            <w:tcW w:w="2573" w:type="dxa"/>
            <w:vAlign w:val="center"/>
          </w:tcPr>
          <w:p w14:paraId="09138FF2" w14:textId="444212B2" w:rsidR="009A2964" w:rsidRPr="00BB50F2" w:rsidRDefault="009A2964" w:rsidP="00822819">
            <w:pPr>
              <w:pStyle w:val="Heading1"/>
              <w:numPr>
                <w:ilvl w:val="0"/>
                <w:numId w:val="0"/>
              </w:numPr>
              <w:spacing w:after="120"/>
              <w:rPr>
                <w:rFonts w:cs="Arial"/>
              </w:rPr>
            </w:pPr>
            <w:r w:rsidRPr="00BB50F2">
              <w:rPr>
                <w:rFonts w:cs="Arial"/>
              </w:rPr>
              <w:t>A-2</w:t>
            </w:r>
            <w:r>
              <w:rPr>
                <w:rFonts w:cs="Arial"/>
              </w:rPr>
              <w:t xml:space="preserve"> </w:t>
            </w:r>
            <w:r w:rsidRPr="00BB50F2">
              <w:rPr>
                <w:rFonts w:cs="Arial"/>
              </w:rPr>
              <w:t>Continuous</w:t>
            </w:r>
          </w:p>
        </w:tc>
      </w:tr>
      <w:tr w:rsidR="009A2964" w:rsidRPr="00BB50F2" w14:paraId="33EBA5F2" w14:textId="77777777" w:rsidTr="00F8293A">
        <w:trPr>
          <w:cantSplit/>
          <w:trHeight w:hRule="exact" w:val="397"/>
        </w:trPr>
        <w:tc>
          <w:tcPr>
            <w:tcW w:w="9094" w:type="dxa"/>
            <w:gridSpan w:val="5"/>
            <w:vAlign w:val="center"/>
          </w:tcPr>
          <w:p w14:paraId="00616851" w14:textId="77777777" w:rsidR="009A2964" w:rsidRPr="00BB50F2" w:rsidRDefault="009A2964" w:rsidP="00F8293A">
            <w:pPr>
              <w:rPr>
                <w:rFonts w:cs="Arial"/>
                <w:b/>
              </w:rPr>
            </w:pPr>
            <w:r w:rsidRPr="00BB50F2">
              <w:rPr>
                <w:rFonts w:cs="Arial"/>
                <w:b/>
              </w:rPr>
              <w:t>Definition:</w:t>
            </w:r>
          </w:p>
        </w:tc>
      </w:tr>
      <w:tr w:rsidR="009A2964" w:rsidRPr="00BB50F2" w14:paraId="1D58CB5B" w14:textId="77777777" w:rsidTr="00F8293A">
        <w:trPr>
          <w:cantSplit/>
        </w:trPr>
        <w:tc>
          <w:tcPr>
            <w:tcW w:w="9094" w:type="dxa"/>
            <w:gridSpan w:val="5"/>
          </w:tcPr>
          <w:p w14:paraId="724A096F" w14:textId="77777777" w:rsidR="009A2964" w:rsidRPr="00BB50F2" w:rsidRDefault="009A2964" w:rsidP="00F8293A">
            <w:pPr>
              <w:pStyle w:val="Header"/>
              <w:rPr>
                <w:rFonts w:cs="Arial"/>
              </w:rPr>
            </w:pPr>
            <w:r w:rsidRPr="00BB50F2">
              <w:rPr>
                <w:rFonts w:cs="Arial"/>
              </w:rPr>
              <w:t>The Percentage of all Service Components that have experienced less than 100% of availability per month supported by the Supplier during any given calendar month</w:t>
            </w:r>
          </w:p>
        </w:tc>
      </w:tr>
      <w:tr w:rsidR="009A2964" w:rsidRPr="00BB50F2" w14:paraId="6CE159D9" w14:textId="77777777" w:rsidTr="00F8293A">
        <w:trPr>
          <w:cantSplit/>
          <w:trHeight w:hRule="exact" w:val="397"/>
        </w:trPr>
        <w:tc>
          <w:tcPr>
            <w:tcW w:w="9094" w:type="dxa"/>
            <w:gridSpan w:val="5"/>
            <w:vAlign w:val="center"/>
          </w:tcPr>
          <w:p w14:paraId="727E286A" w14:textId="77777777" w:rsidR="009A2964" w:rsidRPr="00BB50F2" w:rsidRDefault="009A2964" w:rsidP="00F8293A">
            <w:pPr>
              <w:pStyle w:val="Header"/>
              <w:rPr>
                <w:rFonts w:cs="Arial"/>
              </w:rPr>
            </w:pPr>
            <w:r w:rsidRPr="00BB50F2">
              <w:rPr>
                <w:rFonts w:cs="Arial"/>
              </w:rPr>
              <w:t>Calculation:</w:t>
            </w:r>
          </w:p>
        </w:tc>
      </w:tr>
      <w:tr w:rsidR="009A2964" w:rsidRPr="00BB50F2" w14:paraId="7E866230" w14:textId="77777777" w:rsidTr="00F8293A">
        <w:trPr>
          <w:cantSplit/>
        </w:trPr>
        <w:tc>
          <w:tcPr>
            <w:tcW w:w="9094" w:type="dxa"/>
            <w:gridSpan w:val="5"/>
            <w:tcBorders>
              <w:bottom w:val="nil"/>
            </w:tcBorders>
          </w:tcPr>
          <w:p w14:paraId="1C40D70A" w14:textId="77777777" w:rsidR="009A2964" w:rsidRPr="00BB50F2" w:rsidRDefault="009A2964" w:rsidP="00F8293A">
            <w:pPr>
              <w:pStyle w:val="Header"/>
              <w:rPr>
                <w:rFonts w:cs="Arial"/>
              </w:rPr>
            </w:pPr>
          </w:p>
        </w:tc>
      </w:tr>
      <w:tr w:rsidR="009A2964" w:rsidRPr="00BB50F2" w14:paraId="33D5A23B" w14:textId="77777777" w:rsidTr="00F8293A">
        <w:trPr>
          <w:cantSplit/>
        </w:trPr>
        <w:tc>
          <w:tcPr>
            <w:tcW w:w="235" w:type="dxa"/>
            <w:tcBorders>
              <w:top w:val="nil"/>
              <w:bottom w:val="nil"/>
              <w:right w:val="single" w:sz="4" w:space="0" w:color="999999"/>
            </w:tcBorders>
          </w:tcPr>
          <w:p w14:paraId="0471B730" w14:textId="77777777" w:rsidR="009A2964" w:rsidRPr="00BB50F2" w:rsidRDefault="009A2964" w:rsidP="00F8293A">
            <w:pPr>
              <w:pStyle w:val="Header"/>
              <w:rPr>
                <w:rFonts w:cs="Arial"/>
              </w:rPr>
            </w:pPr>
          </w:p>
        </w:tc>
        <w:tc>
          <w:tcPr>
            <w:tcW w:w="1913" w:type="dxa"/>
            <w:gridSpan w:val="2"/>
            <w:tcBorders>
              <w:top w:val="single" w:sz="4" w:space="0" w:color="999999"/>
              <w:left w:val="single" w:sz="4" w:space="0" w:color="999999"/>
              <w:bottom w:val="single" w:sz="4" w:space="0" w:color="999999"/>
              <w:right w:val="single" w:sz="4" w:space="0" w:color="999999"/>
            </w:tcBorders>
          </w:tcPr>
          <w:p w14:paraId="198D67B5" w14:textId="77777777" w:rsidR="009A2964" w:rsidRPr="00BB50F2" w:rsidRDefault="009A2964" w:rsidP="00F8293A">
            <w:pPr>
              <w:pStyle w:val="Header"/>
              <w:rPr>
                <w:rFonts w:cs="Arial"/>
              </w:rPr>
            </w:pPr>
            <w:r w:rsidRPr="00BB50F2">
              <w:rPr>
                <w:rFonts w:cs="Arial"/>
              </w:rPr>
              <w:t>Number of Service Components</w:t>
            </w:r>
          </w:p>
        </w:tc>
        <w:tc>
          <w:tcPr>
            <w:tcW w:w="6946" w:type="dxa"/>
            <w:gridSpan w:val="2"/>
            <w:tcBorders>
              <w:top w:val="single" w:sz="4" w:space="0" w:color="999999"/>
              <w:left w:val="single" w:sz="4" w:space="0" w:color="999999"/>
              <w:bottom w:val="single" w:sz="4" w:space="0" w:color="999999"/>
              <w:right w:val="single" w:sz="4" w:space="0" w:color="999999"/>
            </w:tcBorders>
          </w:tcPr>
          <w:p w14:paraId="60D0583A" w14:textId="77777777" w:rsidR="009A2964" w:rsidRPr="00BB50F2" w:rsidRDefault="009A2964" w:rsidP="00F8293A">
            <w:pPr>
              <w:pStyle w:val="Header"/>
              <w:rPr>
                <w:rFonts w:cs="Arial"/>
              </w:rPr>
            </w:pPr>
            <w:r w:rsidRPr="00BB50F2">
              <w:rPr>
                <w:rFonts w:cs="Arial"/>
              </w:rPr>
              <w:t>The total number of Service Components being supported by the supplier in the month (SCTOT)</w:t>
            </w:r>
          </w:p>
        </w:tc>
      </w:tr>
      <w:tr w:rsidR="009A2964" w:rsidRPr="00BB50F2" w14:paraId="558F964F" w14:textId="77777777" w:rsidTr="00F8293A">
        <w:trPr>
          <w:cantSplit/>
        </w:trPr>
        <w:tc>
          <w:tcPr>
            <w:tcW w:w="235" w:type="dxa"/>
            <w:tcBorders>
              <w:top w:val="nil"/>
              <w:bottom w:val="nil"/>
              <w:right w:val="single" w:sz="4" w:space="0" w:color="999999"/>
            </w:tcBorders>
          </w:tcPr>
          <w:p w14:paraId="25BD8043" w14:textId="77777777" w:rsidR="009A2964" w:rsidRPr="00BB50F2" w:rsidRDefault="009A2964" w:rsidP="00F8293A">
            <w:pPr>
              <w:pStyle w:val="Header"/>
              <w:rPr>
                <w:rFonts w:cs="Arial"/>
              </w:rPr>
            </w:pPr>
          </w:p>
        </w:tc>
        <w:tc>
          <w:tcPr>
            <w:tcW w:w="1913" w:type="dxa"/>
            <w:gridSpan w:val="2"/>
            <w:tcBorders>
              <w:top w:val="single" w:sz="4" w:space="0" w:color="999999"/>
              <w:left w:val="single" w:sz="4" w:space="0" w:color="999999"/>
              <w:bottom w:val="single" w:sz="4" w:space="0" w:color="999999"/>
              <w:right w:val="single" w:sz="4" w:space="0" w:color="999999"/>
            </w:tcBorders>
          </w:tcPr>
          <w:p w14:paraId="71EE411C" w14:textId="77777777" w:rsidR="009A2964" w:rsidRPr="00BB50F2" w:rsidRDefault="009A2964" w:rsidP="00F8293A">
            <w:pPr>
              <w:pStyle w:val="Header"/>
              <w:rPr>
                <w:rFonts w:cs="Arial"/>
              </w:rPr>
            </w:pPr>
          </w:p>
        </w:tc>
        <w:tc>
          <w:tcPr>
            <w:tcW w:w="6946" w:type="dxa"/>
            <w:gridSpan w:val="2"/>
            <w:tcBorders>
              <w:top w:val="single" w:sz="4" w:space="0" w:color="999999"/>
              <w:left w:val="single" w:sz="4" w:space="0" w:color="999999"/>
              <w:bottom w:val="single" w:sz="4" w:space="0" w:color="999999"/>
              <w:right w:val="single" w:sz="4" w:space="0" w:color="999999"/>
            </w:tcBorders>
          </w:tcPr>
          <w:p w14:paraId="5C44C6E8" w14:textId="77777777" w:rsidR="009A2964" w:rsidRPr="00BB50F2" w:rsidRDefault="009A2964" w:rsidP="00F8293A">
            <w:pPr>
              <w:pStyle w:val="Header"/>
              <w:rPr>
                <w:rFonts w:cs="Arial"/>
              </w:rPr>
            </w:pPr>
          </w:p>
        </w:tc>
      </w:tr>
      <w:tr w:rsidR="009A2964" w:rsidRPr="00BB50F2" w14:paraId="3CB8A2A8" w14:textId="77777777" w:rsidTr="00F8293A">
        <w:trPr>
          <w:cantSplit/>
        </w:trPr>
        <w:tc>
          <w:tcPr>
            <w:tcW w:w="235" w:type="dxa"/>
            <w:tcBorders>
              <w:top w:val="nil"/>
              <w:bottom w:val="nil"/>
              <w:right w:val="single" w:sz="4" w:space="0" w:color="999999"/>
            </w:tcBorders>
          </w:tcPr>
          <w:p w14:paraId="00864159" w14:textId="77777777" w:rsidR="009A2964" w:rsidRPr="00BB50F2" w:rsidRDefault="009A2964" w:rsidP="00F8293A">
            <w:pPr>
              <w:pStyle w:val="Header"/>
              <w:rPr>
                <w:rFonts w:cs="Arial"/>
              </w:rPr>
            </w:pPr>
          </w:p>
        </w:tc>
        <w:tc>
          <w:tcPr>
            <w:tcW w:w="1913" w:type="dxa"/>
            <w:gridSpan w:val="2"/>
            <w:tcBorders>
              <w:top w:val="single" w:sz="4" w:space="0" w:color="999999"/>
              <w:left w:val="single" w:sz="4" w:space="0" w:color="999999"/>
              <w:bottom w:val="single" w:sz="4" w:space="0" w:color="999999"/>
              <w:right w:val="single" w:sz="4" w:space="0" w:color="999999"/>
            </w:tcBorders>
          </w:tcPr>
          <w:p w14:paraId="3985B558" w14:textId="672B82D9" w:rsidR="009A2964" w:rsidRPr="00BB50F2" w:rsidRDefault="009A2964" w:rsidP="00F8293A">
            <w:pPr>
              <w:pStyle w:val="Header"/>
              <w:rPr>
                <w:rFonts w:cs="Arial"/>
              </w:rPr>
            </w:pPr>
            <w:r w:rsidRPr="00BB50F2">
              <w:rPr>
                <w:rFonts w:cs="Arial"/>
              </w:rPr>
              <w:t>Number of incidents of Service Component unavailabi</w:t>
            </w:r>
            <w:r w:rsidR="002103C3">
              <w:rPr>
                <w:rFonts w:cs="Arial"/>
              </w:rPr>
              <w:t>li</w:t>
            </w:r>
            <w:r w:rsidRPr="00BB50F2">
              <w:rPr>
                <w:rFonts w:cs="Arial"/>
              </w:rPr>
              <w:t>ty</w:t>
            </w:r>
          </w:p>
        </w:tc>
        <w:tc>
          <w:tcPr>
            <w:tcW w:w="6946" w:type="dxa"/>
            <w:gridSpan w:val="2"/>
            <w:tcBorders>
              <w:top w:val="single" w:sz="4" w:space="0" w:color="999999"/>
              <w:left w:val="single" w:sz="4" w:space="0" w:color="999999"/>
              <w:bottom w:val="single" w:sz="4" w:space="0" w:color="999999"/>
              <w:right w:val="single" w:sz="4" w:space="0" w:color="999999"/>
            </w:tcBorders>
          </w:tcPr>
          <w:p w14:paraId="598ACBC8" w14:textId="0822B787" w:rsidR="009A2964" w:rsidRPr="00BB50F2" w:rsidRDefault="009A2964" w:rsidP="00F8293A">
            <w:pPr>
              <w:pStyle w:val="Header"/>
              <w:rPr>
                <w:rFonts w:cs="Arial"/>
              </w:rPr>
            </w:pPr>
            <w:r w:rsidRPr="00BB50F2">
              <w:rPr>
                <w:rFonts w:cs="Arial"/>
              </w:rPr>
              <w:t xml:space="preserve">Number of incidents which involved a Service Component being </w:t>
            </w:r>
            <w:r w:rsidR="00A60B0B" w:rsidRPr="00BB50F2">
              <w:rPr>
                <w:rFonts w:cs="Arial"/>
              </w:rPr>
              <w:t>unavailable</w:t>
            </w:r>
            <w:r w:rsidRPr="00BB50F2">
              <w:rPr>
                <w:rFonts w:cs="Arial"/>
              </w:rPr>
              <w:t xml:space="preserve"> for any time duration, excepting planned outages (SCUNAV)</w:t>
            </w:r>
          </w:p>
        </w:tc>
      </w:tr>
      <w:tr w:rsidR="009A2964" w:rsidRPr="00BB50F2" w14:paraId="3ACDD7F5" w14:textId="77777777" w:rsidTr="00F8293A">
        <w:trPr>
          <w:cantSplit/>
        </w:trPr>
        <w:tc>
          <w:tcPr>
            <w:tcW w:w="235" w:type="dxa"/>
            <w:tcBorders>
              <w:top w:val="nil"/>
              <w:bottom w:val="nil"/>
              <w:right w:val="single" w:sz="4" w:space="0" w:color="999999"/>
            </w:tcBorders>
          </w:tcPr>
          <w:p w14:paraId="1244C932" w14:textId="77777777" w:rsidR="009A2964" w:rsidRPr="00BB50F2" w:rsidRDefault="009A2964" w:rsidP="00F8293A">
            <w:pPr>
              <w:pStyle w:val="Header"/>
              <w:rPr>
                <w:rFonts w:cs="Arial"/>
              </w:rPr>
            </w:pPr>
          </w:p>
        </w:tc>
        <w:tc>
          <w:tcPr>
            <w:tcW w:w="1913" w:type="dxa"/>
            <w:gridSpan w:val="2"/>
            <w:tcBorders>
              <w:top w:val="single" w:sz="4" w:space="0" w:color="999999"/>
              <w:left w:val="single" w:sz="4" w:space="0" w:color="999999"/>
              <w:bottom w:val="single" w:sz="4" w:space="0" w:color="999999"/>
              <w:right w:val="single" w:sz="4" w:space="0" w:color="999999"/>
            </w:tcBorders>
          </w:tcPr>
          <w:p w14:paraId="73E7458C" w14:textId="4546E2F7" w:rsidR="009A2964" w:rsidRPr="00BB50F2" w:rsidRDefault="009A2964" w:rsidP="00F8293A">
            <w:pPr>
              <w:pStyle w:val="Header"/>
              <w:rPr>
                <w:rFonts w:cs="Arial"/>
              </w:rPr>
            </w:pPr>
            <w:r w:rsidRPr="00BB50F2">
              <w:rPr>
                <w:rFonts w:cs="Arial"/>
              </w:rPr>
              <w:t xml:space="preserve">Cumulative </w:t>
            </w:r>
            <w:r w:rsidR="00A60B0B" w:rsidRPr="00BB50F2">
              <w:rPr>
                <w:rFonts w:cs="Arial"/>
              </w:rPr>
              <w:t>incident availability</w:t>
            </w:r>
          </w:p>
        </w:tc>
        <w:tc>
          <w:tcPr>
            <w:tcW w:w="6946" w:type="dxa"/>
            <w:gridSpan w:val="2"/>
            <w:tcBorders>
              <w:top w:val="single" w:sz="4" w:space="0" w:color="999999"/>
              <w:left w:val="single" w:sz="4" w:space="0" w:color="999999"/>
              <w:bottom w:val="single" w:sz="4" w:space="0" w:color="999999"/>
              <w:right w:val="single" w:sz="4" w:space="0" w:color="999999"/>
            </w:tcBorders>
          </w:tcPr>
          <w:p w14:paraId="0A640985" w14:textId="77777777" w:rsidR="009A2964" w:rsidRPr="00BB50F2" w:rsidRDefault="009A2964" w:rsidP="00F8293A">
            <w:pPr>
              <w:pStyle w:val="Header"/>
              <w:rPr>
                <w:rFonts w:cs="Arial"/>
              </w:rPr>
            </w:pPr>
            <w:r w:rsidRPr="00BB50F2">
              <w:rPr>
                <w:rFonts w:cs="Arial"/>
              </w:rPr>
              <w:t>CUMIA = SCUNAV/SCTOT</w:t>
            </w:r>
          </w:p>
        </w:tc>
      </w:tr>
      <w:tr w:rsidR="009A2964" w:rsidRPr="00BB50F2" w14:paraId="62E1BAE8" w14:textId="77777777" w:rsidTr="00F8293A">
        <w:trPr>
          <w:cantSplit/>
          <w:trHeight w:hRule="exact" w:val="70"/>
        </w:trPr>
        <w:tc>
          <w:tcPr>
            <w:tcW w:w="9094" w:type="dxa"/>
            <w:gridSpan w:val="5"/>
            <w:tcBorders>
              <w:top w:val="nil"/>
            </w:tcBorders>
          </w:tcPr>
          <w:p w14:paraId="05E2A507" w14:textId="77777777" w:rsidR="009A2964" w:rsidRPr="00BB50F2" w:rsidRDefault="009A2964" w:rsidP="00F8293A">
            <w:pPr>
              <w:pStyle w:val="Header"/>
              <w:rPr>
                <w:rFonts w:cs="Arial"/>
              </w:rPr>
            </w:pPr>
          </w:p>
        </w:tc>
      </w:tr>
      <w:tr w:rsidR="009A2964" w:rsidRPr="00BB50F2" w14:paraId="20C2D45F" w14:textId="77777777" w:rsidTr="00F8293A">
        <w:trPr>
          <w:cantSplit/>
          <w:trHeight w:hRule="exact" w:val="397"/>
        </w:trPr>
        <w:tc>
          <w:tcPr>
            <w:tcW w:w="9094" w:type="dxa"/>
            <w:gridSpan w:val="5"/>
            <w:vAlign w:val="center"/>
          </w:tcPr>
          <w:p w14:paraId="08CC4D6C" w14:textId="77777777" w:rsidR="009A2964" w:rsidRPr="00BB50F2" w:rsidRDefault="009A2964" w:rsidP="00F8293A">
            <w:pPr>
              <w:pStyle w:val="Header"/>
              <w:rPr>
                <w:rFonts w:cs="Arial"/>
              </w:rPr>
            </w:pPr>
            <w:r w:rsidRPr="00BB50F2">
              <w:rPr>
                <w:rFonts w:cs="Arial"/>
              </w:rPr>
              <w:t>Measurement:</w:t>
            </w:r>
          </w:p>
        </w:tc>
      </w:tr>
      <w:tr w:rsidR="009A2964" w:rsidRPr="00BB50F2" w14:paraId="2EDDE37D" w14:textId="77777777" w:rsidTr="00F8293A">
        <w:trPr>
          <w:cantSplit/>
          <w:trHeight w:hRule="exact" w:val="113"/>
        </w:trPr>
        <w:tc>
          <w:tcPr>
            <w:tcW w:w="9094" w:type="dxa"/>
            <w:gridSpan w:val="5"/>
            <w:tcBorders>
              <w:bottom w:val="nil"/>
            </w:tcBorders>
          </w:tcPr>
          <w:p w14:paraId="6D59F376" w14:textId="77777777" w:rsidR="009A2964" w:rsidRPr="00BB50F2" w:rsidRDefault="009A2964" w:rsidP="00F8293A">
            <w:pPr>
              <w:pStyle w:val="Header"/>
              <w:rPr>
                <w:rFonts w:cs="Arial"/>
              </w:rPr>
            </w:pPr>
          </w:p>
        </w:tc>
      </w:tr>
      <w:tr w:rsidR="009A2964" w:rsidRPr="00BB50F2" w14:paraId="44471E16" w14:textId="77777777" w:rsidTr="00F8293A">
        <w:trPr>
          <w:cantSplit/>
        </w:trPr>
        <w:tc>
          <w:tcPr>
            <w:tcW w:w="235" w:type="dxa"/>
            <w:tcBorders>
              <w:top w:val="nil"/>
              <w:bottom w:val="nil"/>
              <w:right w:val="single" w:sz="4" w:space="0" w:color="999999"/>
            </w:tcBorders>
          </w:tcPr>
          <w:p w14:paraId="116D025D" w14:textId="77777777" w:rsidR="009A2964" w:rsidRPr="00BB50F2" w:rsidRDefault="009A2964" w:rsidP="00F8293A">
            <w:pPr>
              <w:pStyle w:val="Header"/>
              <w:rPr>
                <w:rFonts w:cs="Arial"/>
              </w:rPr>
            </w:pPr>
          </w:p>
        </w:tc>
        <w:tc>
          <w:tcPr>
            <w:tcW w:w="1913" w:type="dxa"/>
            <w:gridSpan w:val="2"/>
            <w:tcBorders>
              <w:top w:val="single" w:sz="4" w:space="0" w:color="999999"/>
              <w:left w:val="single" w:sz="4" w:space="0" w:color="999999"/>
              <w:bottom w:val="single" w:sz="4" w:space="0" w:color="999999"/>
              <w:right w:val="single" w:sz="4" w:space="0" w:color="999999"/>
            </w:tcBorders>
          </w:tcPr>
          <w:p w14:paraId="1E0055FF" w14:textId="77777777" w:rsidR="009A2964" w:rsidRPr="00BB50F2" w:rsidRDefault="009A2964" w:rsidP="00F8293A">
            <w:pPr>
              <w:pStyle w:val="Header"/>
              <w:rPr>
                <w:rFonts w:cs="Arial"/>
              </w:rPr>
            </w:pPr>
            <w:r w:rsidRPr="00BB50F2">
              <w:rPr>
                <w:rFonts w:cs="Arial"/>
              </w:rPr>
              <w:t>Period</w:t>
            </w:r>
          </w:p>
        </w:tc>
        <w:tc>
          <w:tcPr>
            <w:tcW w:w="6946" w:type="dxa"/>
            <w:gridSpan w:val="2"/>
            <w:tcBorders>
              <w:top w:val="single" w:sz="4" w:space="0" w:color="999999"/>
              <w:left w:val="single" w:sz="4" w:space="0" w:color="999999"/>
              <w:bottom w:val="single" w:sz="4" w:space="0" w:color="999999"/>
              <w:right w:val="single" w:sz="4" w:space="0" w:color="999999"/>
            </w:tcBorders>
          </w:tcPr>
          <w:p w14:paraId="0DEFD18F" w14:textId="77777777" w:rsidR="009A2964" w:rsidRPr="00BB50F2" w:rsidRDefault="009A2964" w:rsidP="00F8293A">
            <w:pPr>
              <w:pStyle w:val="Header"/>
              <w:rPr>
                <w:rFonts w:cs="Arial"/>
              </w:rPr>
            </w:pPr>
            <w:r w:rsidRPr="00BB50F2">
              <w:rPr>
                <w:rFonts w:cs="Arial"/>
              </w:rPr>
              <w:t>Monthly</w:t>
            </w:r>
          </w:p>
        </w:tc>
      </w:tr>
      <w:tr w:rsidR="009A2964" w:rsidRPr="00BB50F2" w14:paraId="6FA68193" w14:textId="77777777" w:rsidTr="00F8293A">
        <w:trPr>
          <w:cantSplit/>
        </w:trPr>
        <w:tc>
          <w:tcPr>
            <w:tcW w:w="235" w:type="dxa"/>
            <w:tcBorders>
              <w:top w:val="nil"/>
              <w:bottom w:val="nil"/>
              <w:right w:val="single" w:sz="4" w:space="0" w:color="999999"/>
            </w:tcBorders>
          </w:tcPr>
          <w:p w14:paraId="775A023D" w14:textId="77777777" w:rsidR="009A2964" w:rsidRPr="00BB50F2" w:rsidRDefault="009A2964" w:rsidP="00F8293A">
            <w:pPr>
              <w:pStyle w:val="Header"/>
              <w:rPr>
                <w:rFonts w:cs="Arial"/>
              </w:rPr>
            </w:pPr>
          </w:p>
        </w:tc>
        <w:tc>
          <w:tcPr>
            <w:tcW w:w="1913" w:type="dxa"/>
            <w:gridSpan w:val="2"/>
            <w:tcBorders>
              <w:top w:val="single" w:sz="4" w:space="0" w:color="999999"/>
              <w:left w:val="single" w:sz="4" w:space="0" w:color="999999"/>
              <w:bottom w:val="single" w:sz="4" w:space="0" w:color="999999"/>
              <w:right w:val="single" w:sz="4" w:space="0" w:color="999999"/>
            </w:tcBorders>
          </w:tcPr>
          <w:p w14:paraId="5314CC9B" w14:textId="77777777" w:rsidR="009A2964" w:rsidRPr="00BB50F2" w:rsidRDefault="009A2964" w:rsidP="00F8293A">
            <w:pPr>
              <w:pStyle w:val="Header"/>
              <w:rPr>
                <w:rFonts w:cs="Arial"/>
              </w:rPr>
            </w:pPr>
            <w:r w:rsidRPr="00BB50F2">
              <w:rPr>
                <w:rFonts w:cs="Arial"/>
              </w:rPr>
              <w:t>Method</w:t>
            </w:r>
          </w:p>
        </w:tc>
        <w:tc>
          <w:tcPr>
            <w:tcW w:w="6946" w:type="dxa"/>
            <w:gridSpan w:val="2"/>
            <w:tcBorders>
              <w:top w:val="single" w:sz="4" w:space="0" w:color="999999"/>
              <w:left w:val="single" w:sz="4" w:space="0" w:color="999999"/>
              <w:bottom w:val="single" w:sz="4" w:space="0" w:color="999999"/>
              <w:right w:val="single" w:sz="4" w:space="0" w:color="999999"/>
            </w:tcBorders>
          </w:tcPr>
          <w:p w14:paraId="5FFA2641" w14:textId="77777777" w:rsidR="009A2964" w:rsidRPr="00BB50F2" w:rsidRDefault="009A2964" w:rsidP="00F8293A">
            <w:pPr>
              <w:pStyle w:val="Header"/>
              <w:rPr>
                <w:rFonts w:cs="Arial"/>
              </w:rPr>
            </w:pPr>
            <w:r w:rsidRPr="00BB50F2">
              <w:rPr>
                <w:rFonts w:cs="Arial"/>
              </w:rPr>
              <w:t xml:space="preserve">The KPI will be measured </w:t>
            </w:r>
            <w:proofErr w:type="gramStart"/>
            <w:r w:rsidRPr="00BB50F2">
              <w:rPr>
                <w:rFonts w:cs="Arial"/>
              </w:rPr>
              <w:t>through the use of</w:t>
            </w:r>
            <w:proofErr w:type="gramEnd"/>
            <w:r w:rsidRPr="00BB50F2">
              <w:rPr>
                <w:rFonts w:cs="Arial"/>
              </w:rPr>
              <w:t>:</w:t>
            </w:r>
          </w:p>
          <w:p w14:paraId="1A9A848D" w14:textId="77777777" w:rsidR="009A2964" w:rsidRPr="00BB50F2" w:rsidRDefault="009A2964" w:rsidP="00F8293A">
            <w:pPr>
              <w:pStyle w:val="Header"/>
              <w:rPr>
                <w:rFonts w:cs="Arial"/>
              </w:rPr>
            </w:pPr>
            <w:r w:rsidRPr="00BB50F2">
              <w:rPr>
                <w:rFonts w:cs="Arial"/>
              </w:rPr>
              <w:t>(Proactive) System Monitoring and management tools/logs</w:t>
            </w:r>
          </w:p>
          <w:p w14:paraId="34DBCF25" w14:textId="77777777" w:rsidR="009A2964" w:rsidRPr="00BB50F2" w:rsidRDefault="009A2964" w:rsidP="00F8293A">
            <w:pPr>
              <w:pStyle w:val="Header"/>
              <w:rPr>
                <w:rFonts w:cs="Arial"/>
              </w:rPr>
            </w:pPr>
            <w:r w:rsidRPr="00BB50F2">
              <w:rPr>
                <w:rFonts w:cs="Arial"/>
              </w:rPr>
              <w:t>Service Desk logs (Incidents).</w:t>
            </w:r>
          </w:p>
        </w:tc>
      </w:tr>
      <w:tr w:rsidR="009A2964" w:rsidRPr="00BB50F2" w14:paraId="7E6FF09B" w14:textId="77777777" w:rsidTr="00F8293A">
        <w:trPr>
          <w:cantSplit/>
          <w:trHeight w:hRule="exact" w:val="113"/>
        </w:trPr>
        <w:tc>
          <w:tcPr>
            <w:tcW w:w="9094" w:type="dxa"/>
            <w:gridSpan w:val="5"/>
            <w:tcBorders>
              <w:top w:val="nil"/>
            </w:tcBorders>
          </w:tcPr>
          <w:p w14:paraId="61C5DB03" w14:textId="77777777" w:rsidR="009A2964" w:rsidRPr="00BB50F2" w:rsidRDefault="009A2964" w:rsidP="00F8293A">
            <w:pPr>
              <w:pStyle w:val="Header"/>
              <w:rPr>
                <w:rFonts w:cs="Arial"/>
              </w:rPr>
            </w:pPr>
          </w:p>
        </w:tc>
      </w:tr>
      <w:tr w:rsidR="009A2964" w:rsidRPr="00BB50F2" w14:paraId="51831AB7" w14:textId="77777777" w:rsidTr="00F8293A">
        <w:trPr>
          <w:cantSplit/>
          <w:trHeight w:hRule="exact" w:val="397"/>
        </w:trPr>
        <w:tc>
          <w:tcPr>
            <w:tcW w:w="9094" w:type="dxa"/>
            <w:gridSpan w:val="5"/>
            <w:vAlign w:val="center"/>
          </w:tcPr>
          <w:p w14:paraId="276E6771" w14:textId="77777777" w:rsidR="009A2964" w:rsidRPr="00BB50F2" w:rsidRDefault="009A2964" w:rsidP="00F8293A">
            <w:pPr>
              <w:pStyle w:val="Header"/>
              <w:rPr>
                <w:rFonts w:cs="Arial"/>
              </w:rPr>
            </w:pPr>
            <w:r w:rsidRPr="00BB50F2">
              <w:rPr>
                <w:rFonts w:cs="Arial"/>
              </w:rPr>
              <w:t>Service Credit Levels:</w:t>
            </w:r>
          </w:p>
        </w:tc>
      </w:tr>
      <w:tr w:rsidR="009A2964" w:rsidRPr="00BB50F2" w14:paraId="21D8A3A1" w14:textId="77777777" w:rsidTr="00F8293A">
        <w:trPr>
          <w:cantSplit/>
          <w:trHeight w:hRule="exact" w:val="113"/>
        </w:trPr>
        <w:tc>
          <w:tcPr>
            <w:tcW w:w="9094" w:type="dxa"/>
            <w:gridSpan w:val="5"/>
            <w:tcBorders>
              <w:bottom w:val="nil"/>
            </w:tcBorders>
          </w:tcPr>
          <w:p w14:paraId="2DA4AEF4" w14:textId="77777777" w:rsidR="009A2964" w:rsidRPr="00BB50F2" w:rsidRDefault="009A2964" w:rsidP="00F8293A">
            <w:pPr>
              <w:pStyle w:val="Header"/>
              <w:rPr>
                <w:rFonts w:cs="Arial"/>
              </w:rPr>
            </w:pPr>
          </w:p>
        </w:tc>
      </w:tr>
      <w:tr w:rsidR="009A2964" w:rsidRPr="00BB50F2" w14:paraId="50AE9E85" w14:textId="77777777" w:rsidTr="00F8293A">
        <w:trPr>
          <w:cantSplit/>
        </w:trPr>
        <w:tc>
          <w:tcPr>
            <w:tcW w:w="235" w:type="dxa"/>
            <w:tcBorders>
              <w:top w:val="nil"/>
              <w:bottom w:val="nil"/>
              <w:right w:val="single" w:sz="4" w:space="0" w:color="999999"/>
            </w:tcBorders>
          </w:tcPr>
          <w:p w14:paraId="0F0A1AED" w14:textId="77777777" w:rsidR="009A2964" w:rsidRPr="00BB50F2" w:rsidRDefault="009A2964" w:rsidP="00F8293A">
            <w:pPr>
              <w:pStyle w:val="Header"/>
              <w:rPr>
                <w:rFonts w:cs="Arial"/>
              </w:rPr>
            </w:pPr>
          </w:p>
        </w:tc>
        <w:tc>
          <w:tcPr>
            <w:tcW w:w="8859" w:type="dxa"/>
            <w:gridSpan w:val="4"/>
            <w:tcBorders>
              <w:top w:val="single" w:sz="4" w:space="0" w:color="999999"/>
              <w:left w:val="single" w:sz="4" w:space="0" w:color="999999"/>
              <w:bottom w:val="single" w:sz="4" w:space="0" w:color="999999"/>
              <w:right w:val="single" w:sz="4" w:space="0" w:color="999999"/>
            </w:tcBorders>
          </w:tcPr>
          <w:p w14:paraId="11B7BBDC" w14:textId="77777777" w:rsidR="009A2964" w:rsidRPr="00BB50F2" w:rsidRDefault="009A2964" w:rsidP="00F8293A">
            <w:pPr>
              <w:pStyle w:val="Header"/>
              <w:rPr>
                <w:rFonts w:cs="Arial"/>
              </w:rPr>
            </w:pPr>
            <w:r w:rsidRPr="00BB50F2">
              <w:rPr>
                <w:rFonts w:cs="Arial"/>
              </w:rPr>
              <w:t>Steady State</w:t>
            </w:r>
          </w:p>
        </w:tc>
      </w:tr>
      <w:tr w:rsidR="009A2964" w:rsidRPr="00BB50F2" w14:paraId="2DB30D29" w14:textId="77777777" w:rsidTr="00F8293A">
        <w:trPr>
          <w:cantSplit/>
        </w:trPr>
        <w:tc>
          <w:tcPr>
            <w:tcW w:w="235" w:type="dxa"/>
            <w:tcBorders>
              <w:top w:val="nil"/>
              <w:bottom w:val="nil"/>
              <w:right w:val="single" w:sz="4" w:space="0" w:color="999999"/>
            </w:tcBorders>
          </w:tcPr>
          <w:p w14:paraId="5604259D" w14:textId="77777777" w:rsidR="009A2964" w:rsidRPr="00BB50F2" w:rsidRDefault="009A2964" w:rsidP="00F8293A">
            <w:pPr>
              <w:pStyle w:val="Header"/>
              <w:rPr>
                <w:rFonts w:cs="Arial"/>
              </w:rPr>
            </w:pPr>
          </w:p>
        </w:tc>
        <w:tc>
          <w:tcPr>
            <w:tcW w:w="1913" w:type="dxa"/>
            <w:gridSpan w:val="2"/>
            <w:tcBorders>
              <w:top w:val="single" w:sz="4" w:space="0" w:color="999999"/>
              <w:left w:val="single" w:sz="4" w:space="0" w:color="999999"/>
              <w:bottom w:val="single" w:sz="4" w:space="0" w:color="999999"/>
              <w:right w:val="single" w:sz="4" w:space="0" w:color="999999"/>
            </w:tcBorders>
          </w:tcPr>
          <w:p w14:paraId="7823D4F1" w14:textId="77777777" w:rsidR="009A2964" w:rsidRPr="00BB50F2" w:rsidRDefault="009A2964" w:rsidP="00F8293A">
            <w:pPr>
              <w:pStyle w:val="Header"/>
              <w:rPr>
                <w:rFonts w:cs="Arial"/>
              </w:rPr>
            </w:pPr>
            <w:r w:rsidRPr="00BB50F2">
              <w:rPr>
                <w:rFonts w:cs="Arial"/>
              </w:rPr>
              <w:t>Actual Service Usage</w:t>
            </w:r>
          </w:p>
        </w:tc>
        <w:tc>
          <w:tcPr>
            <w:tcW w:w="4373" w:type="dxa"/>
            <w:vMerge w:val="restart"/>
            <w:tcBorders>
              <w:top w:val="single" w:sz="4" w:space="0" w:color="999999"/>
              <w:left w:val="single" w:sz="4" w:space="0" w:color="999999"/>
              <w:right w:val="single" w:sz="4" w:space="0" w:color="999999"/>
            </w:tcBorders>
            <w:vAlign w:val="bottom"/>
          </w:tcPr>
          <w:p w14:paraId="11AD2ABF" w14:textId="77777777" w:rsidR="009A2964" w:rsidRPr="00BB50F2" w:rsidRDefault="009A2964" w:rsidP="00F8293A">
            <w:pPr>
              <w:pStyle w:val="Header"/>
              <w:rPr>
                <w:rFonts w:cs="Arial"/>
              </w:rPr>
            </w:pPr>
            <w:r w:rsidRPr="00BB50F2">
              <w:rPr>
                <w:rFonts w:cs="Arial"/>
              </w:rPr>
              <w:t>Calculation</w:t>
            </w:r>
          </w:p>
        </w:tc>
        <w:tc>
          <w:tcPr>
            <w:tcW w:w="2573" w:type="dxa"/>
            <w:vMerge w:val="restart"/>
            <w:tcBorders>
              <w:top w:val="single" w:sz="4" w:space="0" w:color="999999"/>
              <w:left w:val="single" w:sz="4" w:space="0" w:color="999999"/>
              <w:right w:val="single" w:sz="4" w:space="0" w:color="999999"/>
            </w:tcBorders>
            <w:vAlign w:val="bottom"/>
          </w:tcPr>
          <w:p w14:paraId="3B4DAB57" w14:textId="77777777" w:rsidR="009A2964" w:rsidRPr="00BB50F2" w:rsidRDefault="009A2964" w:rsidP="00F8293A">
            <w:pPr>
              <w:pStyle w:val="Header"/>
              <w:rPr>
                <w:rFonts w:cs="Arial"/>
              </w:rPr>
            </w:pPr>
            <w:r w:rsidRPr="00BB50F2">
              <w:rPr>
                <w:rFonts w:cs="Arial"/>
              </w:rPr>
              <w:t>Notes</w:t>
            </w:r>
          </w:p>
        </w:tc>
      </w:tr>
      <w:tr w:rsidR="009A2964" w:rsidRPr="00BB50F2" w14:paraId="721C3B77" w14:textId="77777777" w:rsidTr="00F8293A">
        <w:trPr>
          <w:cantSplit/>
        </w:trPr>
        <w:tc>
          <w:tcPr>
            <w:tcW w:w="235" w:type="dxa"/>
            <w:tcBorders>
              <w:top w:val="nil"/>
              <w:bottom w:val="nil"/>
              <w:right w:val="single" w:sz="4" w:space="0" w:color="999999"/>
            </w:tcBorders>
          </w:tcPr>
          <w:p w14:paraId="490CAE98" w14:textId="77777777" w:rsidR="009A2964" w:rsidRPr="00BB50F2" w:rsidRDefault="009A2964" w:rsidP="00F8293A">
            <w:pPr>
              <w:pStyle w:val="Header"/>
              <w:rPr>
                <w:rFonts w:cs="Arial"/>
              </w:rPr>
            </w:pPr>
          </w:p>
        </w:tc>
        <w:tc>
          <w:tcPr>
            <w:tcW w:w="953" w:type="dxa"/>
            <w:tcBorders>
              <w:top w:val="single" w:sz="4" w:space="0" w:color="999999"/>
              <w:left w:val="single" w:sz="4" w:space="0" w:color="999999"/>
              <w:bottom w:val="single" w:sz="4" w:space="0" w:color="999999"/>
              <w:right w:val="single" w:sz="4" w:space="0" w:color="999999"/>
            </w:tcBorders>
          </w:tcPr>
          <w:p w14:paraId="0692C8C0" w14:textId="77777777" w:rsidR="009A2964" w:rsidRPr="00BB50F2" w:rsidRDefault="009A2964" w:rsidP="00F8293A">
            <w:pPr>
              <w:pStyle w:val="Header"/>
              <w:rPr>
                <w:rFonts w:cs="Arial"/>
              </w:rPr>
            </w:pPr>
            <w:r w:rsidRPr="00BB50F2">
              <w:rPr>
                <w:rFonts w:cs="Arial"/>
              </w:rPr>
              <w:t>Lower</w:t>
            </w:r>
          </w:p>
        </w:tc>
        <w:tc>
          <w:tcPr>
            <w:tcW w:w="960" w:type="dxa"/>
            <w:tcBorders>
              <w:top w:val="single" w:sz="4" w:space="0" w:color="999999"/>
              <w:left w:val="single" w:sz="4" w:space="0" w:color="999999"/>
              <w:bottom w:val="single" w:sz="4" w:space="0" w:color="999999"/>
              <w:right w:val="single" w:sz="4" w:space="0" w:color="999999"/>
            </w:tcBorders>
          </w:tcPr>
          <w:p w14:paraId="482C24D2" w14:textId="77777777" w:rsidR="009A2964" w:rsidRPr="00BB50F2" w:rsidRDefault="009A2964" w:rsidP="00F8293A">
            <w:pPr>
              <w:pStyle w:val="Header"/>
              <w:rPr>
                <w:rFonts w:cs="Arial"/>
              </w:rPr>
            </w:pPr>
            <w:r w:rsidRPr="00BB50F2">
              <w:rPr>
                <w:rFonts w:cs="Arial"/>
              </w:rPr>
              <w:t>Upper</w:t>
            </w:r>
          </w:p>
        </w:tc>
        <w:tc>
          <w:tcPr>
            <w:tcW w:w="4373" w:type="dxa"/>
            <w:vMerge/>
            <w:tcBorders>
              <w:left w:val="single" w:sz="4" w:space="0" w:color="999999"/>
              <w:bottom w:val="single" w:sz="4" w:space="0" w:color="999999"/>
              <w:right w:val="single" w:sz="4" w:space="0" w:color="999999"/>
            </w:tcBorders>
          </w:tcPr>
          <w:p w14:paraId="608D7988" w14:textId="77777777" w:rsidR="009A2964" w:rsidRPr="00BB50F2" w:rsidRDefault="009A2964" w:rsidP="00F8293A">
            <w:pPr>
              <w:pStyle w:val="Header"/>
              <w:rPr>
                <w:rFonts w:cs="Arial"/>
              </w:rPr>
            </w:pPr>
          </w:p>
        </w:tc>
        <w:tc>
          <w:tcPr>
            <w:tcW w:w="2573" w:type="dxa"/>
            <w:vMerge/>
            <w:tcBorders>
              <w:left w:val="single" w:sz="4" w:space="0" w:color="999999"/>
              <w:bottom w:val="single" w:sz="4" w:space="0" w:color="999999"/>
              <w:right w:val="single" w:sz="4" w:space="0" w:color="999999"/>
            </w:tcBorders>
          </w:tcPr>
          <w:p w14:paraId="2E7C502B" w14:textId="77777777" w:rsidR="009A2964" w:rsidRPr="00BB50F2" w:rsidRDefault="009A2964" w:rsidP="00F8293A">
            <w:pPr>
              <w:pStyle w:val="Header"/>
              <w:rPr>
                <w:rFonts w:cs="Arial"/>
              </w:rPr>
            </w:pPr>
          </w:p>
        </w:tc>
      </w:tr>
      <w:tr w:rsidR="009A2964" w:rsidRPr="00BB50F2" w14:paraId="7EC6FFF6" w14:textId="77777777" w:rsidTr="00F8293A">
        <w:trPr>
          <w:cantSplit/>
        </w:trPr>
        <w:tc>
          <w:tcPr>
            <w:tcW w:w="235" w:type="dxa"/>
            <w:tcBorders>
              <w:top w:val="nil"/>
              <w:bottom w:val="nil"/>
              <w:right w:val="single" w:sz="4" w:space="0" w:color="999999"/>
            </w:tcBorders>
          </w:tcPr>
          <w:p w14:paraId="402226C3" w14:textId="77777777" w:rsidR="009A2964" w:rsidRPr="00BB50F2" w:rsidRDefault="009A2964" w:rsidP="00F8293A">
            <w:pPr>
              <w:pStyle w:val="ssPara5"/>
              <w:spacing w:after="120" w:line="240" w:lineRule="auto"/>
              <w:rPr>
                <w:sz w:val="20"/>
                <w:szCs w:val="20"/>
              </w:rPr>
            </w:pPr>
          </w:p>
        </w:tc>
        <w:tc>
          <w:tcPr>
            <w:tcW w:w="953" w:type="dxa"/>
            <w:tcBorders>
              <w:top w:val="single" w:sz="4" w:space="0" w:color="999999"/>
              <w:left w:val="single" w:sz="4" w:space="0" w:color="999999"/>
              <w:bottom w:val="single" w:sz="4" w:space="0" w:color="999999"/>
              <w:right w:val="single" w:sz="4" w:space="0" w:color="999999"/>
            </w:tcBorders>
            <w:vAlign w:val="center"/>
          </w:tcPr>
          <w:p w14:paraId="7935DB48" w14:textId="77777777" w:rsidR="009A2964" w:rsidRPr="00BB50F2" w:rsidRDefault="009A2964" w:rsidP="00F8293A">
            <w:pPr>
              <w:pStyle w:val="Header"/>
              <w:rPr>
                <w:rFonts w:cs="Arial"/>
              </w:rPr>
            </w:pPr>
            <w:r w:rsidRPr="00BB50F2">
              <w:rPr>
                <w:rFonts w:cs="Arial"/>
              </w:rPr>
              <w:t>xxx</w:t>
            </w:r>
          </w:p>
        </w:tc>
        <w:tc>
          <w:tcPr>
            <w:tcW w:w="960" w:type="dxa"/>
            <w:tcBorders>
              <w:top w:val="single" w:sz="4" w:space="0" w:color="999999"/>
              <w:left w:val="single" w:sz="4" w:space="0" w:color="999999"/>
              <w:bottom w:val="single" w:sz="4" w:space="0" w:color="999999"/>
              <w:right w:val="single" w:sz="4" w:space="0" w:color="999999"/>
            </w:tcBorders>
            <w:vAlign w:val="center"/>
          </w:tcPr>
          <w:p w14:paraId="222A4E32" w14:textId="77777777" w:rsidR="009A2964" w:rsidRPr="00BB50F2" w:rsidRDefault="009A2964" w:rsidP="00F8293A">
            <w:pPr>
              <w:pStyle w:val="Header"/>
              <w:rPr>
                <w:rFonts w:cs="Arial"/>
              </w:rPr>
            </w:pPr>
            <w:r w:rsidRPr="00BB50F2">
              <w:rPr>
                <w:rFonts w:cs="Arial"/>
              </w:rPr>
              <w:t>1</w:t>
            </w:r>
          </w:p>
        </w:tc>
        <w:tc>
          <w:tcPr>
            <w:tcW w:w="4373" w:type="dxa"/>
            <w:tcBorders>
              <w:top w:val="single" w:sz="4" w:space="0" w:color="999999"/>
              <w:left w:val="single" w:sz="4" w:space="0" w:color="999999"/>
              <w:bottom w:val="single" w:sz="4" w:space="0" w:color="999999"/>
              <w:right w:val="single" w:sz="4" w:space="0" w:color="999999"/>
            </w:tcBorders>
            <w:shd w:val="clear" w:color="auto" w:fill="auto"/>
            <w:vAlign w:val="center"/>
          </w:tcPr>
          <w:p w14:paraId="4C06A383" w14:textId="77777777" w:rsidR="009A2964" w:rsidRPr="00BB50F2" w:rsidRDefault="009A2964" w:rsidP="00F8293A">
            <w:pPr>
              <w:pStyle w:val="Header"/>
              <w:rPr>
                <w:rFonts w:cs="Arial"/>
              </w:rPr>
            </w:pPr>
            <w:r w:rsidRPr="00BB50F2">
              <w:rPr>
                <w:rFonts w:cs="Arial"/>
              </w:rPr>
              <w:t>CUMIA</w:t>
            </w:r>
          </w:p>
        </w:tc>
        <w:tc>
          <w:tcPr>
            <w:tcW w:w="2573" w:type="dxa"/>
            <w:tcBorders>
              <w:top w:val="single" w:sz="4" w:space="0" w:color="999999"/>
              <w:left w:val="single" w:sz="4" w:space="0" w:color="999999"/>
              <w:bottom w:val="single" w:sz="4" w:space="0" w:color="999999"/>
              <w:right w:val="single" w:sz="4" w:space="0" w:color="999999"/>
            </w:tcBorders>
            <w:vAlign w:val="center"/>
          </w:tcPr>
          <w:p w14:paraId="35BBC024" w14:textId="77777777" w:rsidR="009A2964" w:rsidRPr="00BB50F2" w:rsidRDefault="009A2964" w:rsidP="00F8293A">
            <w:pPr>
              <w:pStyle w:val="Header"/>
              <w:rPr>
                <w:rFonts w:cs="Arial"/>
              </w:rPr>
            </w:pPr>
            <w:r w:rsidRPr="00BB50F2">
              <w:rPr>
                <w:rFonts w:cs="Arial"/>
              </w:rPr>
              <w:t>Service target</w:t>
            </w:r>
          </w:p>
        </w:tc>
      </w:tr>
      <w:tr w:rsidR="009A2964" w:rsidRPr="00BB50F2" w14:paraId="2B9A5F5C" w14:textId="77777777" w:rsidTr="00F8293A">
        <w:trPr>
          <w:cantSplit/>
        </w:trPr>
        <w:tc>
          <w:tcPr>
            <w:tcW w:w="235" w:type="dxa"/>
            <w:tcBorders>
              <w:top w:val="nil"/>
              <w:bottom w:val="nil"/>
              <w:right w:val="single" w:sz="4" w:space="0" w:color="999999"/>
            </w:tcBorders>
          </w:tcPr>
          <w:p w14:paraId="33568D3C" w14:textId="77777777" w:rsidR="009A2964" w:rsidRPr="00BB50F2" w:rsidRDefault="009A2964" w:rsidP="00F8293A">
            <w:pPr>
              <w:pStyle w:val="ssPara5"/>
              <w:spacing w:after="120" w:line="240" w:lineRule="auto"/>
              <w:rPr>
                <w:sz w:val="20"/>
                <w:szCs w:val="20"/>
              </w:rPr>
            </w:pPr>
          </w:p>
        </w:tc>
        <w:tc>
          <w:tcPr>
            <w:tcW w:w="953" w:type="dxa"/>
            <w:tcBorders>
              <w:top w:val="single" w:sz="4" w:space="0" w:color="999999"/>
              <w:left w:val="single" w:sz="4" w:space="0" w:color="999999"/>
              <w:bottom w:val="single" w:sz="4" w:space="0" w:color="999999"/>
              <w:right w:val="single" w:sz="4" w:space="0" w:color="999999"/>
            </w:tcBorders>
            <w:vAlign w:val="center"/>
          </w:tcPr>
          <w:p w14:paraId="1A74FCDC" w14:textId="77777777" w:rsidR="009A2964" w:rsidRPr="00BB50F2" w:rsidRDefault="009A2964" w:rsidP="00F8293A">
            <w:pPr>
              <w:pStyle w:val="Header"/>
              <w:rPr>
                <w:rFonts w:cs="Arial"/>
              </w:rPr>
            </w:pPr>
            <w:r w:rsidRPr="00BB50F2">
              <w:rPr>
                <w:rFonts w:cs="Arial"/>
              </w:rPr>
              <w:t>0.yyy</w:t>
            </w:r>
          </w:p>
        </w:tc>
        <w:tc>
          <w:tcPr>
            <w:tcW w:w="960" w:type="dxa"/>
            <w:tcBorders>
              <w:top w:val="single" w:sz="4" w:space="0" w:color="999999"/>
              <w:left w:val="single" w:sz="4" w:space="0" w:color="999999"/>
              <w:bottom w:val="single" w:sz="4" w:space="0" w:color="999999"/>
              <w:right w:val="single" w:sz="4" w:space="0" w:color="999999"/>
            </w:tcBorders>
            <w:vAlign w:val="center"/>
          </w:tcPr>
          <w:p w14:paraId="15153108" w14:textId="77777777" w:rsidR="009A2964" w:rsidRPr="00BB50F2" w:rsidRDefault="009A2964" w:rsidP="00F8293A">
            <w:pPr>
              <w:pStyle w:val="Header"/>
              <w:rPr>
                <w:rFonts w:cs="Arial"/>
              </w:rPr>
            </w:pPr>
            <w:r w:rsidRPr="00BB50F2">
              <w:rPr>
                <w:rFonts w:cs="Arial"/>
              </w:rPr>
              <w:t>&lt;0.xxx</w:t>
            </w:r>
          </w:p>
        </w:tc>
        <w:tc>
          <w:tcPr>
            <w:tcW w:w="4373"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906C0B8" w14:textId="77777777" w:rsidR="009A2964" w:rsidRPr="00BB50F2" w:rsidRDefault="009A2964" w:rsidP="00F8293A">
            <w:pPr>
              <w:pStyle w:val="Header"/>
              <w:rPr>
                <w:rFonts w:cs="Arial"/>
              </w:rPr>
            </w:pPr>
            <w:r w:rsidRPr="00BB50F2">
              <w:rPr>
                <w:rFonts w:cs="Arial"/>
              </w:rPr>
              <w:t>CUMIA</w:t>
            </w:r>
          </w:p>
        </w:tc>
        <w:tc>
          <w:tcPr>
            <w:tcW w:w="2573" w:type="dxa"/>
            <w:tcBorders>
              <w:top w:val="single" w:sz="4" w:space="0" w:color="999999"/>
              <w:left w:val="single" w:sz="4" w:space="0" w:color="999999"/>
              <w:bottom w:val="single" w:sz="4" w:space="0" w:color="999999"/>
              <w:right w:val="single" w:sz="4" w:space="0" w:color="999999"/>
            </w:tcBorders>
            <w:vAlign w:val="center"/>
          </w:tcPr>
          <w:p w14:paraId="431C3141" w14:textId="77777777" w:rsidR="009A2964" w:rsidRPr="00BB50F2" w:rsidRDefault="009A2964" w:rsidP="00F8293A">
            <w:pPr>
              <w:pStyle w:val="Header"/>
              <w:rPr>
                <w:rFonts w:cs="Arial"/>
              </w:rPr>
            </w:pPr>
            <w:r w:rsidRPr="00BB50F2">
              <w:rPr>
                <w:rFonts w:cs="Arial"/>
              </w:rPr>
              <w:t>Service Pass</w:t>
            </w:r>
          </w:p>
        </w:tc>
      </w:tr>
      <w:tr w:rsidR="009A2964" w:rsidRPr="00BB50F2" w14:paraId="4E460D12" w14:textId="77777777" w:rsidTr="00F8293A">
        <w:trPr>
          <w:cantSplit/>
        </w:trPr>
        <w:tc>
          <w:tcPr>
            <w:tcW w:w="235" w:type="dxa"/>
            <w:tcBorders>
              <w:top w:val="nil"/>
              <w:bottom w:val="nil"/>
              <w:right w:val="single" w:sz="4" w:space="0" w:color="999999"/>
            </w:tcBorders>
          </w:tcPr>
          <w:p w14:paraId="5C49109B" w14:textId="77777777" w:rsidR="009A2964" w:rsidRPr="00BB50F2" w:rsidRDefault="009A2964" w:rsidP="00F8293A">
            <w:pPr>
              <w:pStyle w:val="ssPara5"/>
              <w:spacing w:after="120" w:line="240" w:lineRule="auto"/>
              <w:rPr>
                <w:sz w:val="20"/>
                <w:szCs w:val="20"/>
              </w:rPr>
            </w:pPr>
          </w:p>
        </w:tc>
        <w:tc>
          <w:tcPr>
            <w:tcW w:w="953" w:type="dxa"/>
            <w:tcBorders>
              <w:top w:val="single" w:sz="4" w:space="0" w:color="999999"/>
              <w:left w:val="single" w:sz="4" w:space="0" w:color="999999"/>
              <w:bottom w:val="single" w:sz="4" w:space="0" w:color="999999"/>
              <w:right w:val="single" w:sz="4" w:space="0" w:color="999999"/>
            </w:tcBorders>
            <w:vAlign w:val="center"/>
          </w:tcPr>
          <w:p w14:paraId="7A0EEF62" w14:textId="77777777" w:rsidR="009A2964" w:rsidRPr="00BB50F2" w:rsidRDefault="009A2964" w:rsidP="00F8293A">
            <w:pPr>
              <w:pStyle w:val="Header"/>
              <w:rPr>
                <w:rFonts w:cs="Arial"/>
              </w:rPr>
            </w:pPr>
            <w:r w:rsidRPr="00BB50F2">
              <w:rPr>
                <w:rFonts w:cs="Arial"/>
              </w:rPr>
              <w:t>0</w:t>
            </w:r>
          </w:p>
        </w:tc>
        <w:tc>
          <w:tcPr>
            <w:tcW w:w="960" w:type="dxa"/>
            <w:tcBorders>
              <w:top w:val="single" w:sz="4" w:space="0" w:color="999999"/>
              <w:left w:val="single" w:sz="4" w:space="0" w:color="999999"/>
              <w:bottom w:val="single" w:sz="4" w:space="0" w:color="999999"/>
              <w:right w:val="single" w:sz="4" w:space="0" w:color="999999"/>
            </w:tcBorders>
            <w:vAlign w:val="center"/>
          </w:tcPr>
          <w:p w14:paraId="2A028414" w14:textId="77777777" w:rsidR="009A2964" w:rsidRPr="00BB50F2" w:rsidRDefault="009A2964" w:rsidP="00F8293A">
            <w:pPr>
              <w:pStyle w:val="Header"/>
              <w:rPr>
                <w:rFonts w:cs="Arial"/>
              </w:rPr>
            </w:pPr>
            <w:r w:rsidRPr="00BB50F2">
              <w:rPr>
                <w:rFonts w:cs="Arial"/>
              </w:rPr>
              <w:t>&lt;0.yyy</w:t>
            </w:r>
          </w:p>
        </w:tc>
        <w:tc>
          <w:tcPr>
            <w:tcW w:w="4373" w:type="dxa"/>
            <w:tcBorders>
              <w:top w:val="single" w:sz="4" w:space="0" w:color="999999"/>
              <w:left w:val="single" w:sz="4" w:space="0" w:color="999999"/>
              <w:bottom w:val="single" w:sz="4" w:space="0" w:color="999999"/>
              <w:right w:val="single" w:sz="4" w:space="0" w:color="999999"/>
            </w:tcBorders>
            <w:shd w:val="clear" w:color="auto" w:fill="auto"/>
            <w:vAlign w:val="center"/>
          </w:tcPr>
          <w:p w14:paraId="3D91C84F" w14:textId="77777777" w:rsidR="009A2964" w:rsidRPr="00BB50F2" w:rsidRDefault="009A2964" w:rsidP="00F8293A">
            <w:pPr>
              <w:pStyle w:val="Header"/>
              <w:rPr>
                <w:rFonts w:cs="Arial"/>
              </w:rPr>
            </w:pPr>
            <w:r w:rsidRPr="00BB50F2">
              <w:rPr>
                <w:rFonts w:cs="Arial"/>
              </w:rPr>
              <w:t>CUMIA</w:t>
            </w:r>
          </w:p>
        </w:tc>
        <w:tc>
          <w:tcPr>
            <w:tcW w:w="2573" w:type="dxa"/>
            <w:tcBorders>
              <w:top w:val="single" w:sz="4" w:space="0" w:color="999999"/>
              <w:left w:val="single" w:sz="4" w:space="0" w:color="999999"/>
              <w:bottom w:val="single" w:sz="4" w:space="0" w:color="999999"/>
              <w:right w:val="single" w:sz="4" w:space="0" w:color="999999"/>
            </w:tcBorders>
            <w:vAlign w:val="center"/>
          </w:tcPr>
          <w:p w14:paraId="1CBE5EC3" w14:textId="77777777" w:rsidR="009A2964" w:rsidRPr="00BB50F2" w:rsidRDefault="009A2964" w:rsidP="00F8293A">
            <w:pPr>
              <w:pStyle w:val="Header"/>
              <w:rPr>
                <w:rFonts w:cs="Arial"/>
              </w:rPr>
            </w:pPr>
            <w:r w:rsidRPr="00BB50F2">
              <w:rPr>
                <w:rFonts w:cs="Arial"/>
              </w:rPr>
              <w:t>Service Failure</w:t>
            </w:r>
          </w:p>
        </w:tc>
      </w:tr>
      <w:tr w:rsidR="009A2964" w:rsidRPr="00BB50F2" w14:paraId="1E8CC721" w14:textId="77777777" w:rsidTr="00F8293A">
        <w:trPr>
          <w:cantSplit/>
          <w:trHeight w:hRule="exact" w:val="113"/>
        </w:trPr>
        <w:tc>
          <w:tcPr>
            <w:tcW w:w="9094" w:type="dxa"/>
            <w:gridSpan w:val="5"/>
            <w:tcBorders>
              <w:top w:val="nil"/>
              <w:bottom w:val="nil"/>
            </w:tcBorders>
          </w:tcPr>
          <w:p w14:paraId="70704826" w14:textId="77777777" w:rsidR="009A2964" w:rsidRPr="00BB50F2" w:rsidRDefault="009A2964" w:rsidP="00F8293A">
            <w:pPr>
              <w:pStyle w:val="Header"/>
              <w:rPr>
                <w:rFonts w:cs="Arial"/>
              </w:rPr>
            </w:pPr>
          </w:p>
        </w:tc>
      </w:tr>
      <w:tr w:rsidR="009A2964" w:rsidRPr="00BB50F2" w14:paraId="738FD5DD" w14:textId="77777777" w:rsidTr="00F8293A">
        <w:trPr>
          <w:cantSplit/>
          <w:trHeight w:hRule="exact" w:val="113"/>
        </w:trPr>
        <w:tc>
          <w:tcPr>
            <w:tcW w:w="9094" w:type="dxa"/>
            <w:gridSpan w:val="5"/>
            <w:tcBorders>
              <w:top w:val="nil"/>
            </w:tcBorders>
          </w:tcPr>
          <w:p w14:paraId="19BFF111" w14:textId="77777777" w:rsidR="009A2964" w:rsidRPr="00BB50F2" w:rsidRDefault="009A2964" w:rsidP="00F8293A">
            <w:pPr>
              <w:pStyle w:val="Header"/>
              <w:rPr>
                <w:rFonts w:cs="Arial"/>
              </w:rPr>
            </w:pPr>
          </w:p>
        </w:tc>
      </w:tr>
      <w:tr w:rsidR="009A2964" w:rsidRPr="00BB50F2" w14:paraId="2B41679F" w14:textId="77777777" w:rsidTr="00F8293A">
        <w:trPr>
          <w:cantSplit/>
          <w:trHeight w:hRule="exact" w:val="397"/>
        </w:trPr>
        <w:tc>
          <w:tcPr>
            <w:tcW w:w="9094" w:type="dxa"/>
            <w:gridSpan w:val="5"/>
            <w:vAlign w:val="center"/>
          </w:tcPr>
          <w:p w14:paraId="700C846E" w14:textId="77777777" w:rsidR="009A2964" w:rsidRPr="00BB50F2" w:rsidRDefault="009A2964" w:rsidP="00F8293A">
            <w:pPr>
              <w:pStyle w:val="Header"/>
              <w:rPr>
                <w:rFonts w:cs="Arial"/>
              </w:rPr>
            </w:pPr>
            <w:r w:rsidRPr="00BB50F2">
              <w:rPr>
                <w:rFonts w:cs="Arial"/>
              </w:rPr>
              <w:t>Notes:</w:t>
            </w:r>
          </w:p>
        </w:tc>
      </w:tr>
      <w:tr w:rsidR="009A2964" w:rsidRPr="00BB50F2" w14:paraId="5ECE2F20" w14:textId="77777777" w:rsidTr="00F8293A">
        <w:trPr>
          <w:cantSplit/>
        </w:trPr>
        <w:tc>
          <w:tcPr>
            <w:tcW w:w="9094" w:type="dxa"/>
            <w:gridSpan w:val="5"/>
          </w:tcPr>
          <w:p w14:paraId="07311BC0" w14:textId="77777777" w:rsidR="009A2964" w:rsidRPr="00BB50F2" w:rsidRDefault="009A2964" w:rsidP="00F8293A">
            <w:pPr>
              <w:pStyle w:val="Header"/>
              <w:rPr>
                <w:rFonts w:cs="Arial"/>
              </w:rPr>
            </w:pPr>
            <w:r w:rsidRPr="00BB50F2">
              <w:rPr>
                <w:rFonts w:cs="Arial"/>
              </w:rPr>
              <w:t xml:space="preserve">xxx – Target as defined in table </w:t>
            </w:r>
            <w:proofErr w:type="gramStart"/>
            <w:r w:rsidRPr="00BB50F2">
              <w:rPr>
                <w:rFonts w:cs="Arial"/>
              </w:rPr>
              <w:t>1</w:t>
            </w:r>
            <w:proofErr w:type="gramEnd"/>
          </w:p>
          <w:p w14:paraId="02025831" w14:textId="77777777" w:rsidR="009A2964" w:rsidRPr="00BB50F2" w:rsidRDefault="009A2964" w:rsidP="00F8293A">
            <w:pPr>
              <w:pStyle w:val="Header"/>
              <w:rPr>
                <w:rFonts w:cs="Arial"/>
              </w:rPr>
            </w:pPr>
            <w:proofErr w:type="spellStart"/>
            <w:r w:rsidRPr="00BB50F2">
              <w:rPr>
                <w:rFonts w:cs="Arial"/>
              </w:rPr>
              <w:t>yyy</w:t>
            </w:r>
            <w:proofErr w:type="spellEnd"/>
            <w:r w:rsidRPr="00BB50F2">
              <w:rPr>
                <w:rFonts w:cs="Arial"/>
              </w:rPr>
              <w:t xml:space="preserve">- Acceptable as defined in table </w:t>
            </w:r>
            <w:proofErr w:type="gramStart"/>
            <w:r w:rsidRPr="00BB50F2">
              <w:rPr>
                <w:rFonts w:cs="Arial"/>
              </w:rPr>
              <w:t>1</w:t>
            </w:r>
            <w:proofErr w:type="gramEnd"/>
          </w:p>
          <w:p w14:paraId="2EFDEF32" w14:textId="77777777" w:rsidR="009A2964" w:rsidRPr="00BB50F2" w:rsidRDefault="009A2964" w:rsidP="00F8293A">
            <w:pPr>
              <w:pStyle w:val="Header"/>
              <w:rPr>
                <w:rFonts w:cs="Arial"/>
              </w:rPr>
            </w:pPr>
          </w:p>
        </w:tc>
      </w:tr>
    </w:tbl>
    <w:p w14:paraId="26F2C6ED" w14:textId="77777777" w:rsidR="009A2964" w:rsidRPr="00BB50F2" w:rsidRDefault="009A2964" w:rsidP="00F8293A">
      <w:pPr>
        <w:jc w:val="left"/>
        <w:rPr>
          <w:rFonts w:cs="Arial"/>
        </w:rPr>
      </w:pPr>
      <w:r w:rsidRPr="00BB50F2">
        <w:rPr>
          <w:rFonts w:cs="Arial"/>
        </w:rPr>
        <w:br w:type="page"/>
      </w:r>
    </w:p>
    <w:tbl>
      <w:tblPr>
        <w:tblW w:w="92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
        <w:gridCol w:w="961"/>
        <w:gridCol w:w="962"/>
        <w:gridCol w:w="4645"/>
        <w:gridCol w:w="2397"/>
      </w:tblGrid>
      <w:tr w:rsidR="009A2964" w:rsidRPr="00BB50F2" w14:paraId="06572712" w14:textId="77777777" w:rsidTr="00F8293A">
        <w:trPr>
          <w:trHeight w:hRule="exact" w:val="677"/>
        </w:trPr>
        <w:tc>
          <w:tcPr>
            <w:tcW w:w="6804" w:type="dxa"/>
            <w:gridSpan w:val="4"/>
          </w:tcPr>
          <w:p w14:paraId="4AC645F1" w14:textId="77777777" w:rsidR="009A2964" w:rsidRPr="00BB50F2" w:rsidRDefault="009A2964" w:rsidP="00F8293A">
            <w:pPr>
              <w:rPr>
                <w:rFonts w:cs="Arial"/>
                <w:b/>
              </w:rPr>
            </w:pPr>
            <w:r w:rsidRPr="00BB50F2">
              <w:rPr>
                <w:rFonts w:cs="Arial"/>
              </w:rPr>
              <w:lastRenderedPageBreak/>
              <w:br w:type="page"/>
            </w:r>
            <w:r w:rsidRPr="00BB50F2">
              <w:rPr>
                <w:rFonts w:cs="Arial"/>
                <w:b/>
              </w:rPr>
              <w:t>Maximum Service Outage duration</w:t>
            </w:r>
          </w:p>
        </w:tc>
        <w:tc>
          <w:tcPr>
            <w:tcW w:w="2397" w:type="dxa"/>
            <w:vAlign w:val="center"/>
          </w:tcPr>
          <w:p w14:paraId="53A5450F" w14:textId="20EC34AC" w:rsidR="009A2964" w:rsidRPr="00BB50F2" w:rsidRDefault="009A2964" w:rsidP="00822819">
            <w:pPr>
              <w:pStyle w:val="Heading1"/>
              <w:numPr>
                <w:ilvl w:val="0"/>
                <w:numId w:val="0"/>
              </w:numPr>
              <w:spacing w:after="120"/>
              <w:rPr>
                <w:rFonts w:cs="Arial"/>
              </w:rPr>
            </w:pPr>
            <w:r w:rsidRPr="00BB50F2">
              <w:rPr>
                <w:rFonts w:cs="Arial"/>
              </w:rPr>
              <w:t>A-3</w:t>
            </w:r>
            <w:r>
              <w:rPr>
                <w:rFonts w:cs="Arial"/>
              </w:rPr>
              <w:t xml:space="preserve"> </w:t>
            </w:r>
            <w:r w:rsidRPr="00BB50F2">
              <w:rPr>
                <w:rFonts w:cs="Arial"/>
              </w:rPr>
              <w:t>Binary</w:t>
            </w:r>
          </w:p>
        </w:tc>
      </w:tr>
      <w:tr w:rsidR="009A2964" w:rsidRPr="00BB50F2" w14:paraId="23DF99AE" w14:textId="77777777" w:rsidTr="00F8293A">
        <w:trPr>
          <w:cantSplit/>
          <w:trHeight w:hRule="exact" w:val="397"/>
        </w:trPr>
        <w:tc>
          <w:tcPr>
            <w:tcW w:w="9201" w:type="dxa"/>
            <w:gridSpan w:val="5"/>
            <w:vAlign w:val="center"/>
          </w:tcPr>
          <w:p w14:paraId="5882901D" w14:textId="77777777" w:rsidR="009A2964" w:rsidRPr="00BB50F2" w:rsidRDefault="009A2964" w:rsidP="00F8293A">
            <w:pPr>
              <w:rPr>
                <w:rFonts w:cs="Arial"/>
                <w:b/>
              </w:rPr>
            </w:pPr>
            <w:r w:rsidRPr="00BB50F2">
              <w:rPr>
                <w:rFonts w:cs="Arial"/>
                <w:b/>
              </w:rPr>
              <w:t>Definition:</w:t>
            </w:r>
          </w:p>
        </w:tc>
      </w:tr>
      <w:tr w:rsidR="009A2964" w:rsidRPr="00BB50F2" w14:paraId="1E3B368A" w14:textId="77777777" w:rsidTr="00F8293A">
        <w:trPr>
          <w:cantSplit/>
        </w:trPr>
        <w:tc>
          <w:tcPr>
            <w:tcW w:w="9201" w:type="dxa"/>
            <w:gridSpan w:val="5"/>
          </w:tcPr>
          <w:p w14:paraId="54176653" w14:textId="77777777" w:rsidR="009A2964" w:rsidRPr="00BB50F2" w:rsidRDefault="009A2964" w:rsidP="00F8293A">
            <w:pPr>
              <w:pStyle w:val="Header"/>
              <w:rPr>
                <w:rFonts w:cs="Arial"/>
              </w:rPr>
            </w:pPr>
            <w:r w:rsidRPr="00BB50F2">
              <w:rPr>
                <w:rFonts w:cs="Arial"/>
              </w:rPr>
              <w:t>The measure that describes the number of Service Components that exceed 48 Hours per month of unplanned unavailability.</w:t>
            </w:r>
          </w:p>
          <w:p w14:paraId="20BD6E3F" w14:textId="77777777" w:rsidR="009A2964" w:rsidRPr="00BB50F2" w:rsidRDefault="009A2964" w:rsidP="00F8293A">
            <w:pPr>
              <w:pStyle w:val="Header"/>
              <w:rPr>
                <w:rFonts w:cs="Arial"/>
              </w:rPr>
            </w:pPr>
          </w:p>
        </w:tc>
      </w:tr>
      <w:tr w:rsidR="009A2964" w:rsidRPr="00BB50F2" w14:paraId="28816FC9" w14:textId="77777777" w:rsidTr="00F8293A">
        <w:trPr>
          <w:cantSplit/>
          <w:trHeight w:hRule="exact" w:val="397"/>
        </w:trPr>
        <w:tc>
          <w:tcPr>
            <w:tcW w:w="9201" w:type="dxa"/>
            <w:gridSpan w:val="5"/>
            <w:vAlign w:val="center"/>
          </w:tcPr>
          <w:p w14:paraId="60A802D4" w14:textId="77777777" w:rsidR="009A2964" w:rsidRPr="00BB50F2" w:rsidRDefault="009A2964" w:rsidP="00F8293A">
            <w:pPr>
              <w:pStyle w:val="Header"/>
              <w:rPr>
                <w:rFonts w:cs="Arial"/>
              </w:rPr>
            </w:pPr>
            <w:r w:rsidRPr="00BB50F2">
              <w:rPr>
                <w:rFonts w:cs="Arial"/>
              </w:rPr>
              <w:t>Calculation:</w:t>
            </w:r>
          </w:p>
        </w:tc>
      </w:tr>
      <w:tr w:rsidR="009A2964" w:rsidRPr="00BB50F2" w14:paraId="048C925F" w14:textId="77777777" w:rsidTr="00F8293A">
        <w:trPr>
          <w:cantSplit/>
        </w:trPr>
        <w:tc>
          <w:tcPr>
            <w:tcW w:w="9201" w:type="dxa"/>
            <w:gridSpan w:val="5"/>
            <w:tcBorders>
              <w:bottom w:val="nil"/>
            </w:tcBorders>
          </w:tcPr>
          <w:p w14:paraId="08AA33A9" w14:textId="77777777" w:rsidR="009A2964" w:rsidRPr="00BB50F2" w:rsidRDefault="009A2964" w:rsidP="00F8293A">
            <w:pPr>
              <w:pStyle w:val="Header"/>
              <w:rPr>
                <w:rFonts w:cs="Arial"/>
              </w:rPr>
            </w:pPr>
            <w:r w:rsidRPr="00BB50F2">
              <w:rPr>
                <w:rFonts w:cs="Arial"/>
              </w:rPr>
              <w:t>_</w:t>
            </w:r>
          </w:p>
        </w:tc>
      </w:tr>
      <w:tr w:rsidR="009A2964" w:rsidRPr="00BB50F2" w14:paraId="053B54E6" w14:textId="77777777" w:rsidTr="00F8293A">
        <w:trPr>
          <w:cantSplit/>
        </w:trPr>
        <w:tc>
          <w:tcPr>
            <w:tcW w:w="236" w:type="dxa"/>
            <w:tcBorders>
              <w:top w:val="nil"/>
              <w:bottom w:val="nil"/>
              <w:right w:val="single" w:sz="4" w:space="0" w:color="999999"/>
            </w:tcBorders>
          </w:tcPr>
          <w:p w14:paraId="1FD7EDED" w14:textId="77777777" w:rsidR="009A2964" w:rsidRPr="00BB50F2" w:rsidRDefault="009A2964" w:rsidP="00F8293A">
            <w:pPr>
              <w:pStyle w:val="Header"/>
              <w:rPr>
                <w:rFonts w:cs="Arial"/>
              </w:rPr>
            </w:pPr>
          </w:p>
        </w:tc>
        <w:tc>
          <w:tcPr>
            <w:tcW w:w="1923" w:type="dxa"/>
            <w:gridSpan w:val="2"/>
            <w:tcBorders>
              <w:top w:val="single" w:sz="4" w:space="0" w:color="999999"/>
              <w:left w:val="single" w:sz="4" w:space="0" w:color="999999"/>
              <w:bottom w:val="single" w:sz="4" w:space="0" w:color="999999"/>
              <w:right w:val="single" w:sz="4" w:space="0" w:color="999999"/>
            </w:tcBorders>
          </w:tcPr>
          <w:p w14:paraId="39CF6567" w14:textId="77777777" w:rsidR="009A2964" w:rsidRPr="00BB50F2" w:rsidRDefault="009A2964" w:rsidP="00F8293A">
            <w:pPr>
              <w:pStyle w:val="Header"/>
              <w:rPr>
                <w:rFonts w:cs="Arial"/>
              </w:rPr>
            </w:pPr>
            <w:r w:rsidRPr="00BB50F2">
              <w:rPr>
                <w:rFonts w:cs="Arial"/>
              </w:rPr>
              <w:t>Number of Service Component outages greater than 48 hours</w:t>
            </w:r>
          </w:p>
        </w:tc>
        <w:tc>
          <w:tcPr>
            <w:tcW w:w="7042" w:type="dxa"/>
            <w:gridSpan w:val="2"/>
            <w:tcBorders>
              <w:top w:val="single" w:sz="4" w:space="0" w:color="999999"/>
              <w:left w:val="single" w:sz="4" w:space="0" w:color="999999"/>
              <w:bottom w:val="single" w:sz="4" w:space="0" w:color="999999"/>
              <w:right w:val="single" w:sz="4" w:space="0" w:color="999999"/>
            </w:tcBorders>
          </w:tcPr>
          <w:p w14:paraId="6472051F" w14:textId="20AD5EA3" w:rsidR="009A2964" w:rsidRPr="00BB50F2" w:rsidRDefault="009A2964" w:rsidP="00F8293A">
            <w:pPr>
              <w:pStyle w:val="Header"/>
              <w:rPr>
                <w:rFonts w:cs="Arial"/>
              </w:rPr>
            </w:pPr>
            <w:r w:rsidRPr="00BB50F2">
              <w:rPr>
                <w:rFonts w:cs="Arial"/>
              </w:rPr>
              <w:t>The number of Service Component outages greater than 48 hours in a calendar month (NSC48MON)</w:t>
            </w:r>
          </w:p>
        </w:tc>
      </w:tr>
      <w:tr w:rsidR="009A2964" w:rsidRPr="00BB50F2" w14:paraId="6B71018A" w14:textId="77777777" w:rsidTr="00F8293A">
        <w:trPr>
          <w:cantSplit/>
        </w:trPr>
        <w:tc>
          <w:tcPr>
            <w:tcW w:w="236" w:type="dxa"/>
            <w:tcBorders>
              <w:top w:val="nil"/>
              <w:bottom w:val="nil"/>
              <w:right w:val="single" w:sz="4" w:space="0" w:color="999999"/>
            </w:tcBorders>
          </w:tcPr>
          <w:p w14:paraId="5034BED7" w14:textId="77777777" w:rsidR="009A2964" w:rsidRPr="00BB50F2" w:rsidRDefault="009A2964" w:rsidP="00F8293A">
            <w:pPr>
              <w:pStyle w:val="Header"/>
              <w:rPr>
                <w:rFonts w:cs="Arial"/>
              </w:rPr>
            </w:pPr>
          </w:p>
        </w:tc>
        <w:tc>
          <w:tcPr>
            <w:tcW w:w="1923" w:type="dxa"/>
            <w:gridSpan w:val="2"/>
            <w:tcBorders>
              <w:top w:val="single" w:sz="4" w:space="0" w:color="999999"/>
              <w:left w:val="single" w:sz="4" w:space="0" w:color="999999"/>
              <w:bottom w:val="single" w:sz="4" w:space="0" w:color="999999"/>
              <w:right w:val="single" w:sz="4" w:space="0" w:color="999999"/>
            </w:tcBorders>
          </w:tcPr>
          <w:p w14:paraId="128A1C4B" w14:textId="77777777" w:rsidR="009A2964" w:rsidRPr="00BB50F2" w:rsidRDefault="009A2964" w:rsidP="00F8293A">
            <w:pPr>
              <w:pStyle w:val="Header"/>
              <w:rPr>
                <w:rFonts w:cs="Arial"/>
              </w:rPr>
            </w:pPr>
          </w:p>
        </w:tc>
        <w:tc>
          <w:tcPr>
            <w:tcW w:w="7042" w:type="dxa"/>
            <w:gridSpan w:val="2"/>
            <w:tcBorders>
              <w:top w:val="single" w:sz="4" w:space="0" w:color="999999"/>
              <w:left w:val="single" w:sz="4" w:space="0" w:color="999999"/>
              <w:bottom w:val="single" w:sz="4" w:space="0" w:color="999999"/>
              <w:right w:val="single" w:sz="4" w:space="0" w:color="999999"/>
            </w:tcBorders>
          </w:tcPr>
          <w:p w14:paraId="576C2915" w14:textId="77777777" w:rsidR="009A2964" w:rsidRPr="00BB50F2" w:rsidRDefault="009A2964" w:rsidP="00F8293A">
            <w:pPr>
              <w:pStyle w:val="Header"/>
              <w:rPr>
                <w:rFonts w:cs="Arial"/>
              </w:rPr>
            </w:pPr>
          </w:p>
        </w:tc>
      </w:tr>
      <w:tr w:rsidR="009A2964" w:rsidRPr="00BB50F2" w14:paraId="36BE5BC5" w14:textId="77777777" w:rsidTr="00F8293A">
        <w:trPr>
          <w:cantSplit/>
        </w:trPr>
        <w:tc>
          <w:tcPr>
            <w:tcW w:w="236" w:type="dxa"/>
            <w:tcBorders>
              <w:top w:val="nil"/>
              <w:bottom w:val="nil"/>
              <w:right w:val="single" w:sz="4" w:space="0" w:color="999999"/>
            </w:tcBorders>
          </w:tcPr>
          <w:p w14:paraId="6954EF16" w14:textId="77777777" w:rsidR="009A2964" w:rsidRPr="00BB50F2" w:rsidRDefault="009A2964" w:rsidP="00F8293A">
            <w:pPr>
              <w:pStyle w:val="Header"/>
              <w:rPr>
                <w:rFonts w:cs="Arial"/>
              </w:rPr>
            </w:pPr>
          </w:p>
        </w:tc>
        <w:tc>
          <w:tcPr>
            <w:tcW w:w="1923" w:type="dxa"/>
            <w:gridSpan w:val="2"/>
            <w:tcBorders>
              <w:top w:val="single" w:sz="4" w:space="0" w:color="999999"/>
              <w:left w:val="single" w:sz="4" w:space="0" w:color="999999"/>
              <w:bottom w:val="single" w:sz="4" w:space="0" w:color="999999"/>
              <w:right w:val="single" w:sz="4" w:space="0" w:color="999999"/>
            </w:tcBorders>
          </w:tcPr>
          <w:p w14:paraId="7A6504D1" w14:textId="77777777" w:rsidR="009A2964" w:rsidRPr="00BB50F2" w:rsidRDefault="009A2964" w:rsidP="00F8293A">
            <w:pPr>
              <w:pStyle w:val="Header"/>
              <w:rPr>
                <w:rFonts w:cs="Arial"/>
              </w:rPr>
            </w:pPr>
          </w:p>
        </w:tc>
        <w:tc>
          <w:tcPr>
            <w:tcW w:w="7042" w:type="dxa"/>
            <w:gridSpan w:val="2"/>
            <w:tcBorders>
              <w:top w:val="single" w:sz="4" w:space="0" w:color="999999"/>
              <w:left w:val="single" w:sz="4" w:space="0" w:color="999999"/>
              <w:bottom w:val="single" w:sz="4" w:space="0" w:color="999999"/>
              <w:right w:val="single" w:sz="4" w:space="0" w:color="999999"/>
            </w:tcBorders>
          </w:tcPr>
          <w:p w14:paraId="1076C05D" w14:textId="77777777" w:rsidR="009A2964" w:rsidRPr="00BB50F2" w:rsidRDefault="009A2964" w:rsidP="00F8293A">
            <w:pPr>
              <w:pStyle w:val="Header"/>
              <w:rPr>
                <w:rFonts w:cs="Arial"/>
              </w:rPr>
            </w:pPr>
          </w:p>
        </w:tc>
      </w:tr>
      <w:tr w:rsidR="009A2964" w:rsidRPr="00BB50F2" w14:paraId="2B14966A" w14:textId="77777777" w:rsidTr="00F8293A">
        <w:trPr>
          <w:cantSplit/>
          <w:trHeight w:hRule="exact" w:val="113"/>
        </w:trPr>
        <w:tc>
          <w:tcPr>
            <w:tcW w:w="9201" w:type="dxa"/>
            <w:gridSpan w:val="5"/>
            <w:tcBorders>
              <w:top w:val="nil"/>
            </w:tcBorders>
          </w:tcPr>
          <w:p w14:paraId="3FD35FF2" w14:textId="77777777" w:rsidR="009A2964" w:rsidRPr="00BB50F2" w:rsidRDefault="009A2964" w:rsidP="00F8293A">
            <w:pPr>
              <w:pStyle w:val="Header"/>
              <w:rPr>
                <w:rFonts w:cs="Arial"/>
              </w:rPr>
            </w:pPr>
          </w:p>
        </w:tc>
      </w:tr>
      <w:tr w:rsidR="009A2964" w:rsidRPr="00BB50F2" w14:paraId="26BF2C80" w14:textId="77777777" w:rsidTr="00F8293A">
        <w:trPr>
          <w:cantSplit/>
          <w:trHeight w:hRule="exact" w:val="397"/>
        </w:trPr>
        <w:tc>
          <w:tcPr>
            <w:tcW w:w="9201" w:type="dxa"/>
            <w:gridSpan w:val="5"/>
            <w:vAlign w:val="center"/>
          </w:tcPr>
          <w:p w14:paraId="4FDB2FA2" w14:textId="77777777" w:rsidR="009A2964" w:rsidRPr="00BB50F2" w:rsidRDefault="009A2964" w:rsidP="00F8293A">
            <w:pPr>
              <w:pStyle w:val="Header"/>
              <w:rPr>
                <w:rFonts w:cs="Arial"/>
              </w:rPr>
            </w:pPr>
            <w:r w:rsidRPr="00BB50F2">
              <w:rPr>
                <w:rFonts w:cs="Arial"/>
              </w:rPr>
              <w:t>Measurement:</w:t>
            </w:r>
          </w:p>
        </w:tc>
      </w:tr>
      <w:tr w:rsidR="009A2964" w:rsidRPr="00BB50F2" w14:paraId="16C51A58" w14:textId="77777777" w:rsidTr="00F8293A">
        <w:trPr>
          <w:cantSplit/>
          <w:trHeight w:hRule="exact" w:val="113"/>
        </w:trPr>
        <w:tc>
          <w:tcPr>
            <w:tcW w:w="9201" w:type="dxa"/>
            <w:gridSpan w:val="5"/>
            <w:tcBorders>
              <w:bottom w:val="nil"/>
            </w:tcBorders>
          </w:tcPr>
          <w:p w14:paraId="0F1AEB64" w14:textId="77777777" w:rsidR="009A2964" w:rsidRPr="00BB50F2" w:rsidRDefault="009A2964" w:rsidP="00F8293A">
            <w:pPr>
              <w:pStyle w:val="Header"/>
              <w:rPr>
                <w:rFonts w:cs="Arial"/>
              </w:rPr>
            </w:pPr>
          </w:p>
        </w:tc>
      </w:tr>
      <w:tr w:rsidR="009A2964" w:rsidRPr="00BB50F2" w14:paraId="0DABD5B5" w14:textId="77777777" w:rsidTr="00F8293A">
        <w:trPr>
          <w:cantSplit/>
        </w:trPr>
        <w:tc>
          <w:tcPr>
            <w:tcW w:w="236" w:type="dxa"/>
            <w:tcBorders>
              <w:top w:val="nil"/>
              <w:bottom w:val="nil"/>
              <w:right w:val="single" w:sz="4" w:space="0" w:color="999999"/>
            </w:tcBorders>
          </w:tcPr>
          <w:p w14:paraId="22907298" w14:textId="77777777" w:rsidR="009A2964" w:rsidRPr="00BB50F2" w:rsidRDefault="009A2964" w:rsidP="00F8293A">
            <w:pPr>
              <w:pStyle w:val="Header"/>
              <w:rPr>
                <w:rFonts w:cs="Arial"/>
              </w:rPr>
            </w:pPr>
          </w:p>
        </w:tc>
        <w:tc>
          <w:tcPr>
            <w:tcW w:w="1923" w:type="dxa"/>
            <w:gridSpan w:val="2"/>
            <w:tcBorders>
              <w:top w:val="single" w:sz="4" w:space="0" w:color="999999"/>
              <w:left w:val="single" w:sz="4" w:space="0" w:color="999999"/>
              <w:bottom w:val="single" w:sz="4" w:space="0" w:color="999999"/>
              <w:right w:val="single" w:sz="4" w:space="0" w:color="999999"/>
            </w:tcBorders>
          </w:tcPr>
          <w:p w14:paraId="1A88F5C8" w14:textId="77777777" w:rsidR="009A2964" w:rsidRPr="00BB50F2" w:rsidRDefault="009A2964" w:rsidP="00F8293A">
            <w:pPr>
              <w:pStyle w:val="Header"/>
              <w:rPr>
                <w:rFonts w:cs="Arial"/>
              </w:rPr>
            </w:pPr>
            <w:r w:rsidRPr="00BB50F2">
              <w:rPr>
                <w:rFonts w:cs="Arial"/>
              </w:rPr>
              <w:t>Period</w:t>
            </w:r>
          </w:p>
        </w:tc>
        <w:tc>
          <w:tcPr>
            <w:tcW w:w="7042" w:type="dxa"/>
            <w:gridSpan w:val="2"/>
            <w:tcBorders>
              <w:top w:val="single" w:sz="4" w:space="0" w:color="999999"/>
              <w:left w:val="single" w:sz="4" w:space="0" w:color="999999"/>
              <w:bottom w:val="single" w:sz="4" w:space="0" w:color="999999"/>
              <w:right w:val="single" w:sz="4" w:space="0" w:color="999999"/>
            </w:tcBorders>
          </w:tcPr>
          <w:p w14:paraId="1349B4DA" w14:textId="77777777" w:rsidR="009A2964" w:rsidRPr="00BB50F2" w:rsidRDefault="009A2964" w:rsidP="00F8293A">
            <w:pPr>
              <w:pStyle w:val="Header"/>
              <w:rPr>
                <w:rFonts w:cs="Arial"/>
              </w:rPr>
            </w:pPr>
            <w:r w:rsidRPr="00BB50F2">
              <w:rPr>
                <w:rFonts w:cs="Arial"/>
              </w:rPr>
              <w:t>Monthly</w:t>
            </w:r>
          </w:p>
        </w:tc>
      </w:tr>
      <w:tr w:rsidR="009A2964" w:rsidRPr="00BB50F2" w14:paraId="43F720D8" w14:textId="77777777" w:rsidTr="00F8293A">
        <w:trPr>
          <w:cantSplit/>
        </w:trPr>
        <w:tc>
          <w:tcPr>
            <w:tcW w:w="236" w:type="dxa"/>
            <w:tcBorders>
              <w:top w:val="nil"/>
              <w:bottom w:val="nil"/>
              <w:right w:val="single" w:sz="4" w:space="0" w:color="999999"/>
            </w:tcBorders>
          </w:tcPr>
          <w:p w14:paraId="1432314F" w14:textId="77777777" w:rsidR="009A2964" w:rsidRPr="00BB50F2" w:rsidRDefault="009A2964" w:rsidP="00F8293A">
            <w:pPr>
              <w:pStyle w:val="Header"/>
              <w:rPr>
                <w:rFonts w:cs="Arial"/>
              </w:rPr>
            </w:pPr>
          </w:p>
        </w:tc>
        <w:tc>
          <w:tcPr>
            <w:tcW w:w="1923" w:type="dxa"/>
            <w:gridSpan w:val="2"/>
            <w:tcBorders>
              <w:top w:val="single" w:sz="4" w:space="0" w:color="999999"/>
              <w:left w:val="single" w:sz="4" w:space="0" w:color="999999"/>
              <w:bottom w:val="single" w:sz="4" w:space="0" w:color="999999"/>
              <w:right w:val="single" w:sz="4" w:space="0" w:color="999999"/>
            </w:tcBorders>
          </w:tcPr>
          <w:p w14:paraId="649A7226" w14:textId="77777777" w:rsidR="009A2964" w:rsidRPr="00BB50F2" w:rsidRDefault="009A2964" w:rsidP="00F8293A">
            <w:pPr>
              <w:pStyle w:val="Header"/>
              <w:rPr>
                <w:rFonts w:cs="Arial"/>
              </w:rPr>
            </w:pPr>
            <w:r w:rsidRPr="00BB50F2">
              <w:rPr>
                <w:rFonts w:cs="Arial"/>
              </w:rPr>
              <w:t>Method</w:t>
            </w:r>
          </w:p>
        </w:tc>
        <w:tc>
          <w:tcPr>
            <w:tcW w:w="7042" w:type="dxa"/>
            <w:gridSpan w:val="2"/>
            <w:tcBorders>
              <w:top w:val="single" w:sz="4" w:space="0" w:color="999999"/>
              <w:left w:val="single" w:sz="4" w:space="0" w:color="999999"/>
              <w:bottom w:val="single" w:sz="4" w:space="0" w:color="999999"/>
              <w:right w:val="single" w:sz="4" w:space="0" w:color="999999"/>
            </w:tcBorders>
          </w:tcPr>
          <w:p w14:paraId="1419FC77" w14:textId="361456E0" w:rsidR="009A2964" w:rsidRPr="00BB50F2" w:rsidRDefault="009A2964" w:rsidP="00F8293A">
            <w:pPr>
              <w:pStyle w:val="Header"/>
              <w:rPr>
                <w:rFonts w:cs="Arial"/>
              </w:rPr>
            </w:pPr>
            <w:r w:rsidRPr="00BB50F2">
              <w:rPr>
                <w:rFonts w:cs="Arial"/>
              </w:rPr>
              <w:t>The Service Dashboard is used to determine the number of Service Components with outages greater than 48 hours within the monthly period (NSC48MON)</w:t>
            </w:r>
          </w:p>
        </w:tc>
      </w:tr>
      <w:tr w:rsidR="009A2964" w:rsidRPr="00BB50F2" w14:paraId="61B77246" w14:textId="77777777" w:rsidTr="00F8293A">
        <w:trPr>
          <w:cantSplit/>
          <w:trHeight w:hRule="exact" w:val="113"/>
        </w:trPr>
        <w:tc>
          <w:tcPr>
            <w:tcW w:w="9201" w:type="dxa"/>
            <w:gridSpan w:val="5"/>
            <w:tcBorders>
              <w:top w:val="nil"/>
            </w:tcBorders>
          </w:tcPr>
          <w:p w14:paraId="7AB3E079" w14:textId="77777777" w:rsidR="009A2964" w:rsidRPr="00BB50F2" w:rsidRDefault="009A2964" w:rsidP="00F8293A">
            <w:pPr>
              <w:pStyle w:val="Header"/>
              <w:rPr>
                <w:rFonts w:cs="Arial"/>
              </w:rPr>
            </w:pPr>
          </w:p>
        </w:tc>
      </w:tr>
      <w:tr w:rsidR="009A2964" w:rsidRPr="00BB50F2" w14:paraId="214C331E" w14:textId="77777777" w:rsidTr="00F8293A">
        <w:trPr>
          <w:cantSplit/>
          <w:trHeight w:hRule="exact" w:val="397"/>
        </w:trPr>
        <w:tc>
          <w:tcPr>
            <w:tcW w:w="9201" w:type="dxa"/>
            <w:gridSpan w:val="5"/>
            <w:vAlign w:val="center"/>
          </w:tcPr>
          <w:p w14:paraId="55A7CC0F" w14:textId="77777777" w:rsidR="009A2964" w:rsidRPr="00BB50F2" w:rsidRDefault="009A2964" w:rsidP="00F8293A">
            <w:pPr>
              <w:pStyle w:val="Header"/>
              <w:rPr>
                <w:rFonts w:cs="Arial"/>
              </w:rPr>
            </w:pPr>
            <w:r w:rsidRPr="00BB50F2">
              <w:rPr>
                <w:rFonts w:cs="Arial"/>
              </w:rPr>
              <w:t>Service Credit Levels:</w:t>
            </w:r>
          </w:p>
        </w:tc>
      </w:tr>
      <w:tr w:rsidR="009A2964" w:rsidRPr="00BB50F2" w14:paraId="743E0725" w14:textId="77777777" w:rsidTr="00F8293A">
        <w:trPr>
          <w:cantSplit/>
          <w:trHeight w:hRule="exact" w:val="113"/>
        </w:trPr>
        <w:tc>
          <w:tcPr>
            <w:tcW w:w="9201" w:type="dxa"/>
            <w:gridSpan w:val="5"/>
            <w:tcBorders>
              <w:bottom w:val="nil"/>
            </w:tcBorders>
          </w:tcPr>
          <w:p w14:paraId="0351CD4F" w14:textId="77777777" w:rsidR="009A2964" w:rsidRPr="00BB50F2" w:rsidRDefault="009A2964" w:rsidP="00F8293A">
            <w:pPr>
              <w:pStyle w:val="Header"/>
              <w:rPr>
                <w:rFonts w:cs="Arial"/>
              </w:rPr>
            </w:pPr>
          </w:p>
        </w:tc>
      </w:tr>
      <w:tr w:rsidR="009A2964" w:rsidRPr="00BB50F2" w14:paraId="7A348685" w14:textId="77777777" w:rsidTr="00F8293A">
        <w:trPr>
          <w:cantSplit/>
        </w:trPr>
        <w:tc>
          <w:tcPr>
            <w:tcW w:w="236" w:type="dxa"/>
            <w:tcBorders>
              <w:top w:val="nil"/>
              <w:bottom w:val="nil"/>
              <w:right w:val="single" w:sz="4" w:space="0" w:color="999999"/>
            </w:tcBorders>
          </w:tcPr>
          <w:p w14:paraId="0AA5002C" w14:textId="77777777" w:rsidR="009A2964" w:rsidRPr="00BB50F2" w:rsidRDefault="009A2964" w:rsidP="00F8293A">
            <w:pPr>
              <w:pStyle w:val="Header"/>
              <w:rPr>
                <w:rFonts w:cs="Arial"/>
              </w:rPr>
            </w:pPr>
          </w:p>
        </w:tc>
        <w:tc>
          <w:tcPr>
            <w:tcW w:w="8965" w:type="dxa"/>
            <w:gridSpan w:val="4"/>
            <w:tcBorders>
              <w:top w:val="single" w:sz="4" w:space="0" w:color="999999"/>
              <w:left w:val="single" w:sz="4" w:space="0" w:color="999999"/>
              <w:bottom w:val="single" w:sz="4" w:space="0" w:color="999999"/>
              <w:right w:val="single" w:sz="4" w:space="0" w:color="999999"/>
            </w:tcBorders>
          </w:tcPr>
          <w:p w14:paraId="77044769" w14:textId="77777777" w:rsidR="009A2964" w:rsidRPr="00BB50F2" w:rsidRDefault="009A2964" w:rsidP="00F8293A">
            <w:pPr>
              <w:pStyle w:val="Header"/>
              <w:rPr>
                <w:rFonts w:cs="Arial"/>
                <w:highlight w:val="yellow"/>
              </w:rPr>
            </w:pPr>
          </w:p>
        </w:tc>
      </w:tr>
      <w:tr w:rsidR="009A2964" w:rsidRPr="00BB50F2" w14:paraId="11C80EA2" w14:textId="77777777" w:rsidTr="00F8293A">
        <w:trPr>
          <w:cantSplit/>
        </w:trPr>
        <w:tc>
          <w:tcPr>
            <w:tcW w:w="236" w:type="dxa"/>
            <w:tcBorders>
              <w:top w:val="nil"/>
              <w:bottom w:val="nil"/>
              <w:right w:val="single" w:sz="4" w:space="0" w:color="999999"/>
            </w:tcBorders>
          </w:tcPr>
          <w:p w14:paraId="4C19946D" w14:textId="77777777" w:rsidR="009A2964" w:rsidRPr="00BB50F2" w:rsidRDefault="009A2964" w:rsidP="00F8293A">
            <w:pPr>
              <w:pStyle w:val="Header"/>
              <w:rPr>
                <w:rFonts w:cs="Arial"/>
              </w:rPr>
            </w:pPr>
          </w:p>
        </w:tc>
        <w:tc>
          <w:tcPr>
            <w:tcW w:w="1923" w:type="dxa"/>
            <w:gridSpan w:val="2"/>
            <w:tcBorders>
              <w:top w:val="single" w:sz="4" w:space="0" w:color="999999"/>
              <w:left w:val="single" w:sz="4" w:space="0" w:color="999999"/>
              <w:bottom w:val="single" w:sz="4" w:space="0" w:color="999999"/>
              <w:right w:val="single" w:sz="4" w:space="0" w:color="999999"/>
            </w:tcBorders>
          </w:tcPr>
          <w:p w14:paraId="0C5FFA09" w14:textId="77777777" w:rsidR="009A2964" w:rsidRPr="00BB50F2" w:rsidRDefault="009A2964" w:rsidP="00F8293A">
            <w:pPr>
              <w:pStyle w:val="Header"/>
              <w:rPr>
                <w:rFonts w:cs="Arial"/>
              </w:rPr>
            </w:pPr>
            <w:r w:rsidRPr="00BB50F2">
              <w:rPr>
                <w:rFonts w:cs="Arial"/>
              </w:rPr>
              <w:t>Actual Service Usage</w:t>
            </w:r>
          </w:p>
        </w:tc>
        <w:tc>
          <w:tcPr>
            <w:tcW w:w="4645" w:type="dxa"/>
            <w:vMerge w:val="restart"/>
            <w:tcBorders>
              <w:top w:val="single" w:sz="4" w:space="0" w:color="999999"/>
              <w:left w:val="single" w:sz="4" w:space="0" w:color="999999"/>
              <w:right w:val="single" w:sz="4" w:space="0" w:color="999999"/>
            </w:tcBorders>
            <w:vAlign w:val="bottom"/>
          </w:tcPr>
          <w:p w14:paraId="5907D5FA" w14:textId="77777777" w:rsidR="009A2964" w:rsidRPr="00BB50F2" w:rsidRDefault="009A2964" w:rsidP="00F8293A">
            <w:pPr>
              <w:pStyle w:val="Header"/>
              <w:rPr>
                <w:rFonts w:cs="Arial"/>
              </w:rPr>
            </w:pPr>
            <w:r w:rsidRPr="00BB50F2">
              <w:rPr>
                <w:rFonts w:cs="Arial"/>
              </w:rPr>
              <w:t>Calculation</w:t>
            </w:r>
          </w:p>
        </w:tc>
        <w:tc>
          <w:tcPr>
            <w:tcW w:w="2397" w:type="dxa"/>
            <w:vMerge w:val="restart"/>
            <w:tcBorders>
              <w:top w:val="single" w:sz="4" w:space="0" w:color="999999"/>
              <w:left w:val="single" w:sz="4" w:space="0" w:color="999999"/>
              <w:right w:val="single" w:sz="4" w:space="0" w:color="999999"/>
            </w:tcBorders>
            <w:vAlign w:val="bottom"/>
          </w:tcPr>
          <w:p w14:paraId="1CA8C631" w14:textId="77777777" w:rsidR="009A2964" w:rsidRPr="00BB50F2" w:rsidRDefault="009A2964" w:rsidP="00F8293A">
            <w:pPr>
              <w:pStyle w:val="Header"/>
              <w:rPr>
                <w:rFonts w:cs="Arial"/>
              </w:rPr>
            </w:pPr>
            <w:r w:rsidRPr="00BB50F2">
              <w:rPr>
                <w:rFonts w:cs="Arial"/>
              </w:rPr>
              <w:t>Notes</w:t>
            </w:r>
          </w:p>
        </w:tc>
      </w:tr>
      <w:tr w:rsidR="009A2964" w:rsidRPr="00BB50F2" w14:paraId="7EE0FC45" w14:textId="77777777" w:rsidTr="00F8293A">
        <w:trPr>
          <w:cantSplit/>
        </w:trPr>
        <w:tc>
          <w:tcPr>
            <w:tcW w:w="236" w:type="dxa"/>
            <w:tcBorders>
              <w:top w:val="nil"/>
              <w:bottom w:val="nil"/>
              <w:right w:val="single" w:sz="4" w:space="0" w:color="999999"/>
            </w:tcBorders>
          </w:tcPr>
          <w:p w14:paraId="42E6259B" w14:textId="77777777" w:rsidR="009A2964" w:rsidRPr="00BB50F2" w:rsidRDefault="009A2964" w:rsidP="00F8293A">
            <w:pPr>
              <w:pStyle w:val="Header"/>
              <w:rPr>
                <w:rFonts w:cs="Arial"/>
              </w:rPr>
            </w:pPr>
          </w:p>
        </w:tc>
        <w:tc>
          <w:tcPr>
            <w:tcW w:w="961" w:type="dxa"/>
            <w:tcBorders>
              <w:top w:val="single" w:sz="4" w:space="0" w:color="999999"/>
              <w:left w:val="single" w:sz="4" w:space="0" w:color="999999"/>
              <w:bottom w:val="single" w:sz="4" w:space="0" w:color="999999"/>
              <w:right w:val="single" w:sz="4" w:space="0" w:color="999999"/>
            </w:tcBorders>
          </w:tcPr>
          <w:p w14:paraId="123D9376" w14:textId="77777777" w:rsidR="009A2964" w:rsidRPr="00BB50F2" w:rsidRDefault="009A2964" w:rsidP="00F8293A">
            <w:pPr>
              <w:pStyle w:val="Header"/>
              <w:rPr>
                <w:rFonts w:cs="Arial"/>
              </w:rPr>
            </w:pPr>
            <w:r w:rsidRPr="00BB50F2">
              <w:rPr>
                <w:rFonts w:cs="Arial"/>
              </w:rPr>
              <w:t>Lower</w:t>
            </w:r>
          </w:p>
        </w:tc>
        <w:tc>
          <w:tcPr>
            <w:tcW w:w="962" w:type="dxa"/>
            <w:tcBorders>
              <w:top w:val="single" w:sz="4" w:space="0" w:color="999999"/>
              <w:left w:val="single" w:sz="4" w:space="0" w:color="999999"/>
              <w:bottom w:val="single" w:sz="4" w:space="0" w:color="999999"/>
              <w:right w:val="single" w:sz="4" w:space="0" w:color="999999"/>
            </w:tcBorders>
          </w:tcPr>
          <w:p w14:paraId="5F4EDBC6" w14:textId="77777777" w:rsidR="009A2964" w:rsidRPr="00BB50F2" w:rsidRDefault="009A2964" w:rsidP="00F8293A">
            <w:pPr>
              <w:pStyle w:val="Header"/>
              <w:rPr>
                <w:rFonts w:cs="Arial"/>
              </w:rPr>
            </w:pPr>
            <w:r w:rsidRPr="00BB50F2">
              <w:rPr>
                <w:rFonts w:cs="Arial"/>
              </w:rPr>
              <w:t>Upper</w:t>
            </w:r>
          </w:p>
        </w:tc>
        <w:tc>
          <w:tcPr>
            <w:tcW w:w="4645" w:type="dxa"/>
            <w:vMerge/>
            <w:tcBorders>
              <w:left w:val="single" w:sz="4" w:space="0" w:color="999999"/>
              <w:bottom w:val="single" w:sz="4" w:space="0" w:color="999999"/>
              <w:right w:val="single" w:sz="4" w:space="0" w:color="999999"/>
            </w:tcBorders>
          </w:tcPr>
          <w:p w14:paraId="6F5226D3" w14:textId="77777777" w:rsidR="009A2964" w:rsidRPr="00BB50F2" w:rsidRDefault="009A2964" w:rsidP="00F8293A">
            <w:pPr>
              <w:pStyle w:val="Header"/>
              <w:rPr>
                <w:rFonts w:cs="Arial"/>
              </w:rPr>
            </w:pPr>
          </w:p>
        </w:tc>
        <w:tc>
          <w:tcPr>
            <w:tcW w:w="2397" w:type="dxa"/>
            <w:vMerge/>
            <w:tcBorders>
              <w:left w:val="single" w:sz="4" w:space="0" w:color="999999"/>
              <w:bottom w:val="single" w:sz="4" w:space="0" w:color="999999"/>
              <w:right w:val="single" w:sz="4" w:space="0" w:color="999999"/>
            </w:tcBorders>
          </w:tcPr>
          <w:p w14:paraId="3DA85C12" w14:textId="77777777" w:rsidR="009A2964" w:rsidRPr="00BB50F2" w:rsidRDefault="009A2964" w:rsidP="00F8293A">
            <w:pPr>
              <w:pStyle w:val="Header"/>
              <w:rPr>
                <w:rFonts w:cs="Arial"/>
              </w:rPr>
            </w:pPr>
          </w:p>
        </w:tc>
      </w:tr>
      <w:tr w:rsidR="009A2964" w:rsidRPr="00BB50F2" w14:paraId="3D77E77E" w14:textId="77777777" w:rsidTr="00F8293A">
        <w:trPr>
          <w:cantSplit/>
        </w:trPr>
        <w:tc>
          <w:tcPr>
            <w:tcW w:w="236" w:type="dxa"/>
            <w:tcBorders>
              <w:top w:val="nil"/>
              <w:bottom w:val="nil"/>
              <w:right w:val="single" w:sz="4" w:space="0" w:color="999999"/>
            </w:tcBorders>
          </w:tcPr>
          <w:p w14:paraId="183AEC30" w14:textId="77777777" w:rsidR="009A2964" w:rsidRPr="00BB50F2" w:rsidRDefault="009A2964" w:rsidP="00F8293A">
            <w:pPr>
              <w:pStyle w:val="Header"/>
              <w:rPr>
                <w:rFonts w:cs="Arial"/>
              </w:rPr>
            </w:pPr>
          </w:p>
        </w:tc>
        <w:tc>
          <w:tcPr>
            <w:tcW w:w="961" w:type="dxa"/>
            <w:tcBorders>
              <w:top w:val="single" w:sz="4" w:space="0" w:color="999999"/>
              <w:left w:val="single" w:sz="4" w:space="0" w:color="999999"/>
              <w:bottom w:val="single" w:sz="4" w:space="0" w:color="999999"/>
              <w:right w:val="single" w:sz="4" w:space="0" w:color="999999"/>
            </w:tcBorders>
            <w:vAlign w:val="center"/>
          </w:tcPr>
          <w:p w14:paraId="2783B080" w14:textId="77777777" w:rsidR="009A2964" w:rsidRPr="00BB50F2" w:rsidRDefault="009A2964" w:rsidP="00F8293A">
            <w:pPr>
              <w:pStyle w:val="Header"/>
              <w:rPr>
                <w:rFonts w:cs="Arial"/>
              </w:rPr>
            </w:pPr>
          </w:p>
        </w:tc>
        <w:tc>
          <w:tcPr>
            <w:tcW w:w="962" w:type="dxa"/>
            <w:tcBorders>
              <w:top w:val="single" w:sz="4" w:space="0" w:color="999999"/>
              <w:left w:val="single" w:sz="4" w:space="0" w:color="999999"/>
              <w:bottom w:val="single" w:sz="4" w:space="0" w:color="999999"/>
              <w:right w:val="single" w:sz="4" w:space="0" w:color="999999"/>
            </w:tcBorders>
            <w:vAlign w:val="center"/>
          </w:tcPr>
          <w:p w14:paraId="0216E7C9" w14:textId="77777777" w:rsidR="009A2964" w:rsidRPr="00BB50F2" w:rsidRDefault="009A2964" w:rsidP="00F8293A">
            <w:pPr>
              <w:pStyle w:val="Header"/>
              <w:rPr>
                <w:rFonts w:cs="Arial"/>
              </w:rPr>
            </w:pPr>
          </w:p>
        </w:tc>
        <w:tc>
          <w:tcPr>
            <w:tcW w:w="4645" w:type="dxa"/>
            <w:tcBorders>
              <w:top w:val="single" w:sz="4" w:space="0" w:color="999999"/>
              <w:left w:val="single" w:sz="4" w:space="0" w:color="999999"/>
              <w:bottom w:val="single" w:sz="4" w:space="0" w:color="999999"/>
              <w:right w:val="single" w:sz="4" w:space="0" w:color="999999"/>
            </w:tcBorders>
            <w:vAlign w:val="center"/>
          </w:tcPr>
          <w:p w14:paraId="43C6AFDC" w14:textId="77777777" w:rsidR="009A2964" w:rsidRPr="00BB50F2" w:rsidRDefault="009A2964" w:rsidP="00F8293A">
            <w:pPr>
              <w:pStyle w:val="Header"/>
              <w:rPr>
                <w:rFonts w:cs="Arial"/>
              </w:rPr>
            </w:pPr>
            <w:r w:rsidRPr="00BB50F2">
              <w:rPr>
                <w:rFonts w:cs="Arial"/>
              </w:rPr>
              <w:t>NSC48MON &lt; 3</w:t>
            </w:r>
          </w:p>
        </w:tc>
        <w:tc>
          <w:tcPr>
            <w:tcW w:w="2397" w:type="dxa"/>
            <w:tcBorders>
              <w:top w:val="single" w:sz="4" w:space="0" w:color="999999"/>
              <w:left w:val="single" w:sz="4" w:space="0" w:color="999999"/>
              <w:bottom w:val="single" w:sz="4" w:space="0" w:color="999999"/>
              <w:right w:val="single" w:sz="4" w:space="0" w:color="999999"/>
            </w:tcBorders>
            <w:vAlign w:val="center"/>
          </w:tcPr>
          <w:p w14:paraId="38555A59" w14:textId="77777777" w:rsidR="009A2964" w:rsidRPr="00BB50F2" w:rsidRDefault="009A2964" w:rsidP="00F8293A">
            <w:pPr>
              <w:pStyle w:val="Header"/>
              <w:rPr>
                <w:rFonts w:cs="Arial"/>
              </w:rPr>
            </w:pPr>
            <w:r w:rsidRPr="00BB50F2">
              <w:rPr>
                <w:rFonts w:cs="Arial"/>
              </w:rPr>
              <w:t>Service achieved</w:t>
            </w:r>
          </w:p>
        </w:tc>
      </w:tr>
      <w:tr w:rsidR="009A2964" w:rsidRPr="00BB50F2" w14:paraId="47E92982" w14:textId="77777777" w:rsidTr="00F8293A">
        <w:trPr>
          <w:cantSplit/>
        </w:trPr>
        <w:tc>
          <w:tcPr>
            <w:tcW w:w="236" w:type="dxa"/>
            <w:tcBorders>
              <w:top w:val="nil"/>
              <w:bottom w:val="nil"/>
              <w:right w:val="single" w:sz="4" w:space="0" w:color="999999"/>
            </w:tcBorders>
          </w:tcPr>
          <w:p w14:paraId="3BF89A7A" w14:textId="77777777" w:rsidR="009A2964" w:rsidRPr="00BB50F2" w:rsidRDefault="009A2964" w:rsidP="00F8293A">
            <w:pPr>
              <w:pStyle w:val="ssPara5"/>
              <w:spacing w:after="120" w:line="240" w:lineRule="auto"/>
              <w:rPr>
                <w:sz w:val="20"/>
                <w:szCs w:val="20"/>
              </w:rPr>
            </w:pPr>
          </w:p>
        </w:tc>
        <w:tc>
          <w:tcPr>
            <w:tcW w:w="961" w:type="dxa"/>
            <w:tcBorders>
              <w:top w:val="single" w:sz="4" w:space="0" w:color="999999"/>
              <w:left w:val="single" w:sz="4" w:space="0" w:color="999999"/>
              <w:bottom w:val="single" w:sz="4" w:space="0" w:color="999999"/>
              <w:right w:val="single" w:sz="4" w:space="0" w:color="999999"/>
            </w:tcBorders>
            <w:vAlign w:val="center"/>
          </w:tcPr>
          <w:p w14:paraId="4B4AFBA8" w14:textId="77777777" w:rsidR="009A2964" w:rsidRPr="00BB50F2" w:rsidRDefault="009A2964" w:rsidP="00F8293A">
            <w:pPr>
              <w:pStyle w:val="Header"/>
              <w:rPr>
                <w:rFonts w:cs="Arial"/>
              </w:rPr>
            </w:pPr>
          </w:p>
        </w:tc>
        <w:tc>
          <w:tcPr>
            <w:tcW w:w="962" w:type="dxa"/>
            <w:tcBorders>
              <w:top w:val="single" w:sz="4" w:space="0" w:color="999999"/>
              <w:left w:val="single" w:sz="4" w:space="0" w:color="999999"/>
              <w:bottom w:val="single" w:sz="4" w:space="0" w:color="999999"/>
              <w:right w:val="single" w:sz="4" w:space="0" w:color="999999"/>
            </w:tcBorders>
            <w:vAlign w:val="center"/>
          </w:tcPr>
          <w:p w14:paraId="16A544DC" w14:textId="77777777" w:rsidR="009A2964" w:rsidRPr="00BB50F2" w:rsidRDefault="009A2964" w:rsidP="00F8293A">
            <w:pPr>
              <w:pStyle w:val="Header"/>
              <w:rPr>
                <w:rFonts w:cs="Arial"/>
              </w:rPr>
            </w:pPr>
          </w:p>
        </w:tc>
        <w:tc>
          <w:tcPr>
            <w:tcW w:w="4645" w:type="dxa"/>
            <w:tcBorders>
              <w:top w:val="single" w:sz="4" w:space="0" w:color="999999"/>
              <w:left w:val="single" w:sz="4" w:space="0" w:color="999999"/>
              <w:bottom w:val="single" w:sz="4" w:space="0" w:color="999999"/>
              <w:right w:val="single" w:sz="4" w:space="0" w:color="999999"/>
            </w:tcBorders>
            <w:vAlign w:val="center"/>
          </w:tcPr>
          <w:p w14:paraId="5D4F63D1" w14:textId="77777777" w:rsidR="009A2964" w:rsidRPr="00BB50F2" w:rsidRDefault="009A2964" w:rsidP="00F8293A">
            <w:pPr>
              <w:pStyle w:val="Header"/>
              <w:rPr>
                <w:rFonts w:cs="Arial"/>
              </w:rPr>
            </w:pPr>
            <w:r w:rsidRPr="00BB50F2">
              <w:rPr>
                <w:rFonts w:cs="Arial"/>
              </w:rPr>
              <w:t>NSC48MON &gt; 2</w:t>
            </w:r>
          </w:p>
        </w:tc>
        <w:tc>
          <w:tcPr>
            <w:tcW w:w="2397" w:type="dxa"/>
            <w:tcBorders>
              <w:top w:val="single" w:sz="4" w:space="0" w:color="999999"/>
              <w:left w:val="single" w:sz="4" w:space="0" w:color="999999"/>
              <w:bottom w:val="single" w:sz="4" w:space="0" w:color="999999"/>
              <w:right w:val="single" w:sz="4" w:space="0" w:color="999999"/>
            </w:tcBorders>
            <w:vAlign w:val="center"/>
          </w:tcPr>
          <w:p w14:paraId="49B53619" w14:textId="77777777" w:rsidR="009A2964" w:rsidRPr="00BB50F2" w:rsidRDefault="009A2964" w:rsidP="00F8293A">
            <w:pPr>
              <w:pStyle w:val="Header"/>
              <w:rPr>
                <w:rFonts w:cs="Arial"/>
              </w:rPr>
            </w:pPr>
            <w:r w:rsidRPr="00BB50F2">
              <w:rPr>
                <w:rFonts w:cs="Arial"/>
              </w:rPr>
              <w:t>Service Failed</w:t>
            </w:r>
          </w:p>
        </w:tc>
      </w:tr>
      <w:tr w:rsidR="009A2964" w:rsidRPr="00BB50F2" w14:paraId="7454DDBD" w14:textId="77777777" w:rsidTr="00F8293A">
        <w:trPr>
          <w:cantSplit/>
          <w:trHeight w:hRule="exact" w:val="113"/>
        </w:trPr>
        <w:tc>
          <w:tcPr>
            <w:tcW w:w="9201" w:type="dxa"/>
            <w:gridSpan w:val="5"/>
            <w:tcBorders>
              <w:top w:val="nil"/>
              <w:bottom w:val="nil"/>
            </w:tcBorders>
          </w:tcPr>
          <w:p w14:paraId="56EA448E" w14:textId="77777777" w:rsidR="009A2964" w:rsidRPr="00BB50F2" w:rsidRDefault="009A2964" w:rsidP="00F8293A">
            <w:pPr>
              <w:pStyle w:val="Header"/>
              <w:rPr>
                <w:rFonts w:cs="Arial"/>
              </w:rPr>
            </w:pPr>
          </w:p>
        </w:tc>
      </w:tr>
      <w:tr w:rsidR="009A2964" w:rsidRPr="00BB50F2" w14:paraId="7BDC8264" w14:textId="77777777" w:rsidTr="00F8293A">
        <w:trPr>
          <w:cantSplit/>
          <w:trHeight w:hRule="exact" w:val="113"/>
        </w:trPr>
        <w:tc>
          <w:tcPr>
            <w:tcW w:w="9201" w:type="dxa"/>
            <w:gridSpan w:val="5"/>
            <w:tcBorders>
              <w:top w:val="nil"/>
            </w:tcBorders>
          </w:tcPr>
          <w:p w14:paraId="76CB99E9" w14:textId="77777777" w:rsidR="009A2964" w:rsidRPr="00BB50F2" w:rsidRDefault="009A2964" w:rsidP="00F8293A">
            <w:pPr>
              <w:pStyle w:val="Header"/>
              <w:rPr>
                <w:rFonts w:cs="Arial"/>
              </w:rPr>
            </w:pPr>
          </w:p>
        </w:tc>
      </w:tr>
      <w:tr w:rsidR="009A2964" w:rsidRPr="00BB50F2" w14:paraId="259C137C" w14:textId="77777777" w:rsidTr="00F8293A">
        <w:trPr>
          <w:cantSplit/>
          <w:trHeight w:hRule="exact" w:val="397"/>
        </w:trPr>
        <w:tc>
          <w:tcPr>
            <w:tcW w:w="9201" w:type="dxa"/>
            <w:gridSpan w:val="5"/>
            <w:vAlign w:val="center"/>
          </w:tcPr>
          <w:p w14:paraId="5583352E" w14:textId="77777777" w:rsidR="009A2964" w:rsidRPr="00BB50F2" w:rsidRDefault="009A2964" w:rsidP="00F8293A">
            <w:pPr>
              <w:pStyle w:val="Header"/>
              <w:rPr>
                <w:rFonts w:cs="Arial"/>
              </w:rPr>
            </w:pPr>
            <w:r w:rsidRPr="00BB50F2">
              <w:rPr>
                <w:rFonts w:cs="Arial"/>
              </w:rPr>
              <w:t>Notes:</w:t>
            </w:r>
          </w:p>
        </w:tc>
      </w:tr>
      <w:tr w:rsidR="009A2964" w:rsidRPr="00BB50F2" w14:paraId="09585280" w14:textId="77777777" w:rsidTr="00F8293A">
        <w:trPr>
          <w:cantSplit/>
        </w:trPr>
        <w:tc>
          <w:tcPr>
            <w:tcW w:w="9201" w:type="dxa"/>
            <w:gridSpan w:val="5"/>
          </w:tcPr>
          <w:p w14:paraId="6FA4337E" w14:textId="77777777" w:rsidR="009A2964" w:rsidRPr="00BB50F2" w:rsidRDefault="009A2964" w:rsidP="00F8293A">
            <w:pPr>
              <w:pStyle w:val="Header"/>
              <w:rPr>
                <w:rFonts w:cs="Arial"/>
              </w:rPr>
            </w:pPr>
          </w:p>
        </w:tc>
      </w:tr>
    </w:tbl>
    <w:p w14:paraId="1C61B75E" w14:textId="77777777" w:rsidR="009A2964" w:rsidRPr="00BB50F2" w:rsidRDefault="009A2964" w:rsidP="00F8293A">
      <w:pPr>
        <w:jc w:val="left"/>
        <w:rPr>
          <w:rFonts w:cs="Arial"/>
        </w:rPr>
      </w:pPr>
    </w:p>
    <w:p w14:paraId="6BC453D5" w14:textId="77777777" w:rsidR="009A2964" w:rsidRPr="00BB50F2" w:rsidRDefault="009A2964" w:rsidP="00F8293A">
      <w:pPr>
        <w:jc w:val="left"/>
        <w:rPr>
          <w:rFonts w:cs="Arial"/>
        </w:rPr>
      </w:pPr>
      <w:r w:rsidRPr="00BB50F2">
        <w:rPr>
          <w:rFonts w:cs="Arial"/>
        </w:rPr>
        <w:br w:type="page"/>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
        <w:gridCol w:w="951"/>
        <w:gridCol w:w="952"/>
        <w:gridCol w:w="3292"/>
        <w:gridCol w:w="3293"/>
        <w:gridCol w:w="251"/>
      </w:tblGrid>
      <w:tr w:rsidR="009A2964" w:rsidRPr="00BB50F2" w14:paraId="70F7D276" w14:textId="77777777" w:rsidTr="00F8293A">
        <w:trPr>
          <w:trHeight w:hRule="exact" w:val="370"/>
        </w:trPr>
        <w:tc>
          <w:tcPr>
            <w:tcW w:w="5670" w:type="dxa"/>
            <w:gridSpan w:val="4"/>
          </w:tcPr>
          <w:p w14:paraId="74060BC1" w14:textId="77777777" w:rsidR="009A2964" w:rsidRPr="00BB50F2" w:rsidRDefault="009A2964" w:rsidP="00F8293A">
            <w:pPr>
              <w:ind w:left="-356" w:firstLine="356"/>
              <w:rPr>
                <w:rFonts w:cs="Arial"/>
                <w:b/>
              </w:rPr>
            </w:pPr>
            <w:r w:rsidRPr="00BB50F2">
              <w:rPr>
                <w:rFonts w:cs="Arial"/>
                <w:b/>
              </w:rPr>
              <w:lastRenderedPageBreak/>
              <w:t xml:space="preserve">Business Continuity </w:t>
            </w:r>
          </w:p>
        </w:tc>
        <w:tc>
          <w:tcPr>
            <w:tcW w:w="3544" w:type="dxa"/>
            <w:gridSpan w:val="2"/>
            <w:vAlign w:val="center"/>
          </w:tcPr>
          <w:p w14:paraId="75985B69" w14:textId="4555AA0A" w:rsidR="009A2964" w:rsidRPr="00BB50F2" w:rsidRDefault="009A2964" w:rsidP="00822819">
            <w:pPr>
              <w:pStyle w:val="Heading1"/>
              <w:numPr>
                <w:ilvl w:val="0"/>
                <w:numId w:val="0"/>
              </w:numPr>
              <w:spacing w:after="120"/>
              <w:rPr>
                <w:rFonts w:cs="Arial"/>
                <w:b w:val="0"/>
              </w:rPr>
            </w:pPr>
            <w:r w:rsidRPr="00BB50F2">
              <w:rPr>
                <w:rFonts w:cs="Arial"/>
              </w:rPr>
              <w:t>BC-1</w:t>
            </w:r>
            <w:r>
              <w:rPr>
                <w:rFonts w:cs="Arial"/>
              </w:rPr>
              <w:t xml:space="preserve"> </w:t>
            </w:r>
            <w:r w:rsidRPr="00BB50F2">
              <w:rPr>
                <w:rFonts w:cs="Arial"/>
              </w:rPr>
              <w:t>Binary</w:t>
            </w:r>
          </w:p>
        </w:tc>
      </w:tr>
      <w:tr w:rsidR="009A2964" w:rsidRPr="00BB50F2" w14:paraId="5A11F62E" w14:textId="77777777" w:rsidTr="00F8293A">
        <w:trPr>
          <w:cantSplit/>
          <w:trHeight w:hRule="exact" w:val="397"/>
        </w:trPr>
        <w:tc>
          <w:tcPr>
            <w:tcW w:w="9214" w:type="dxa"/>
            <w:gridSpan w:val="6"/>
            <w:vAlign w:val="center"/>
          </w:tcPr>
          <w:p w14:paraId="6E51FADE" w14:textId="77777777" w:rsidR="009A2964" w:rsidRPr="00BB50F2" w:rsidRDefault="009A2964" w:rsidP="00F8293A">
            <w:pPr>
              <w:rPr>
                <w:rFonts w:cs="Arial"/>
                <w:b/>
              </w:rPr>
            </w:pPr>
            <w:r w:rsidRPr="00BB50F2">
              <w:rPr>
                <w:rFonts w:cs="Arial"/>
                <w:b/>
              </w:rPr>
              <w:t>Definition:</w:t>
            </w:r>
          </w:p>
        </w:tc>
      </w:tr>
      <w:tr w:rsidR="009A2964" w:rsidRPr="00BB50F2" w14:paraId="67A3F794" w14:textId="77777777" w:rsidTr="00F8293A">
        <w:trPr>
          <w:cantSplit/>
        </w:trPr>
        <w:tc>
          <w:tcPr>
            <w:tcW w:w="9214" w:type="dxa"/>
            <w:gridSpan w:val="6"/>
          </w:tcPr>
          <w:p w14:paraId="7E1E3353" w14:textId="77777777" w:rsidR="009A2964" w:rsidRPr="00BB50F2" w:rsidRDefault="009A2964" w:rsidP="00F8293A">
            <w:pPr>
              <w:pStyle w:val="Header"/>
              <w:rPr>
                <w:rFonts w:cs="Arial"/>
              </w:rPr>
            </w:pPr>
            <w:r w:rsidRPr="00BB50F2">
              <w:rPr>
                <w:rFonts w:cs="Arial"/>
              </w:rPr>
              <w:t xml:space="preserve">The measure that describes the ability of the supplier to restore all applicable Service Components within the agreed targets. </w:t>
            </w:r>
          </w:p>
        </w:tc>
      </w:tr>
      <w:tr w:rsidR="009A2964" w:rsidRPr="00BB50F2" w14:paraId="61EDEFBC" w14:textId="77777777" w:rsidTr="00F8293A">
        <w:trPr>
          <w:cantSplit/>
          <w:trHeight w:hRule="exact" w:val="397"/>
        </w:trPr>
        <w:tc>
          <w:tcPr>
            <w:tcW w:w="9214" w:type="dxa"/>
            <w:gridSpan w:val="6"/>
            <w:vAlign w:val="center"/>
          </w:tcPr>
          <w:p w14:paraId="185DCF7F" w14:textId="77777777" w:rsidR="009A2964" w:rsidRPr="00BB50F2" w:rsidRDefault="009A2964" w:rsidP="00F8293A">
            <w:pPr>
              <w:pStyle w:val="Header"/>
              <w:rPr>
                <w:rFonts w:cs="Arial"/>
              </w:rPr>
            </w:pPr>
            <w:r w:rsidRPr="00BB50F2">
              <w:rPr>
                <w:rFonts w:cs="Arial"/>
              </w:rPr>
              <w:t>Calculation:</w:t>
            </w:r>
          </w:p>
        </w:tc>
      </w:tr>
      <w:tr w:rsidR="009A2964" w:rsidRPr="00BB50F2" w14:paraId="71120380" w14:textId="77777777" w:rsidTr="00F8293A">
        <w:trPr>
          <w:cantSplit/>
        </w:trPr>
        <w:tc>
          <w:tcPr>
            <w:tcW w:w="9214" w:type="dxa"/>
            <w:gridSpan w:val="6"/>
            <w:tcBorders>
              <w:bottom w:val="nil"/>
            </w:tcBorders>
          </w:tcPr>
          <w:p w14:paraId="0012ECC5" w14:textId="77777777" w:rsidR="009A2964" w:rsidRPr="00BB50F2" w:rsidRDefault="009A2964" w:rsidP="00F8293A">
            <w:pPr>
              <w:pStyle w:val="Header"/>
              <w:rPr>
                <w:rFonts w:cs="Arial"/>
              </w:rPr>
            </w:pPr>
            <w:r w:rsidRPr="00BB50F2">
              <w:rPr>
                <w:rFonts w:cs="Arial"/>
              </w:rPr>
              <w:t>_</w:t>
            </w:r>
          </w:p>
        </w:tc>
      </w:tr>
      <w:tr w:rsidR="009A2964" w:rsidRPr="00BB50F2" w14:paraId="040FAA3E" w14:textId="77777777" w:rsidTr="00F8293A">
        <w:trPr>
          <w:cantSplit/>
        </w:trPr>
        <w:tc>
          <w:tcPr>
            <w:tcW w:w="475" w:type="dxa"/>
            <w:tcBorders>
              <w:top w:val="nil"/>
              <w:bottom w:val="nil"/>
              <w:right w:val="single" w:sz="4" w:space="0" w:color="999999"/>
            </w:tcBorders>
          </w:tcPr>
          <w:p w14:paraId="5B1D3FB5" w14:textId="77777777" w:rsidR="009A2964" w:rsidRPr="00BB50F2" w:rsidRDefault="009A2964" w:rsidP="00F8293A">
            <w:pPr>
              <w:pStyle w:val="Header"/>
              <w:rPr>
                <w:rFonts w:cs="Arial"/>
              </w:rPr>
            </w:pPr>
          </w:p>
        </w:tc>
        <w:tc>
          <w:tcPr>
            <w:tcW w:w="1903" w:type="dxa"/>
            <w:gridSpan w:val="2"/>
            <w:tcBorders>
              <w:top w:val="single" w:sz="4" w:space="0" w:color="999999"/>
              <w:left w:val="single" w:sz="4" w:space="0" w:color="999999"/>
              <w:bottom w:val="single" w:sz="4" w:space="0" w:color="999999"/>
              <w:right w:val="single" w:sz="4" w:space="0" w:color="999999"/>
            </w:tcBorders>
          </w:tcPr>
          <w:p w14:paraId="0C21F420" w14:textId="77777777" w:rsidR="009A2964" w:rsidRPr="00BB50F2" w:rsidRDefault="009A2964" w:rsidP="00F8293A">
            <w:pPr>
              <w:pStyle w:val="Header"/>
              <w:rPr>
                <w:rFonts w:cs="Arial"/>
              </w:rPr>
            </w:pPr>
            <w:r w:rsidRPr="00BB50F2">
              <w:rPr>
                <w:rFonts w:cs="Arial"/>
              </w:rPr>
              <w:t xml:space="preserve">Target time to recover all applicable services </w:t>
            </w:r>
          </w:p>
        </w:tc>
        <w:tc>
          <w:tcPr>
            <w:tcW w:w="6585" w:type="dxa"/>
            <w:gridSpan w:val="2"/>
            <w:tcBorders>
              <w:top w:val="single" w:sz="4" w:space="0" w:color="999999"/>
              <w:left w:val="single" w:sz="4" w:space="0" w:color="999999"/>
              <w:bottom w:val="single" w:sz="4" w:space="0" w:color="999999"/>
              <w:right w:val="single" w:sz="4" w:space="0" w:color="999999"/>
            </w:tcBorders>
          </w:tcPr>
          <w:p w14:paraId="0D9F1C49" w14:textId="77777777" w:rsidR="009A2964" w:rsidRPr="00BB50F2" w:rsidRDefault="009A2964" w:rsidP="00F8293A">
            <w:pPr>
              <w:pStyle w:val="Header"/>
              <w:rPr>
                <w:rFonts w:cs="Arial"/>
              </w:rPr>
            </w:pPr>
            <w:r w:rsidRPr="00BB50F2">
              <w:rPr>
                <w:rFonts w:cs="Arial"/>
              </w:rPr>
              <w:t>RTO</w:t>
            </w:r>
          </w:p>
        </w:tc>
        <w:tc>
          <w:tcPr>
            <w:tcW w:w="251" w:type="dxa"/>
            <w:tcBorders>
              <w:top w:val="nil"/>
              <w:left w:val="single" w:sz="4" w:space="0" w:color="999999"/>
              <w:bottom w:val="nil"/>
            </w:tcBorders>
          </w:tcPr>
          <w:p w14:paraId="2C0CD9E3" w14:textId="77777777" w:rsidR="009A2964" w:rsidRPr="00BB50F2" w:rsidRDefault="009A2964" w:rsidP="00F8293A">
            <w:pPr>
              <w:pStyle w:val="Header"/>
              <w:rPr>
                <w:rFonts w:cs="Arial"/>
              </w:rPr>
            </w:pPr>
          </w:p>
        </w:tc>
      </w:tr>
      <w:tr w:rsidR="009A2964" w:rsidRPr="00BB50F2" w14:paraId="1C409C8A" w14:textId="77777777" w:rsidTr="00F8293A">
        <w:trPr>
          <w:cantSplit/>
        </w:trPr>
        <w:tc>
          <w:tcPr>
            <w:tcW w:w="475" w:type="dxa"/>
            <w:tcBorders>
              <w:top w:val="nil"/>
              <w:bottom w:val="nil"/>
              <w:right w:val="single" w:sz="4" w:space="0" w:color="999999"/>
            </w:tcBorders>
          </w:tcPr>
          <w:p w14:paraId="6802B8A7" w14:textId="77777777" w:rsidR="009A2964" w:rsidRPr="00BB50F2" w:rsidRDefault="009A2964" w:rsidP="00F8293A">
            <w:pPr>
              <w:pStyle w:val="Header"/>
              <w:rPr>
                <w:rFonts w:cs="Arial"/>
              </w:rPr>
            </w:pPr>
          </w:p>
        </w:tc>
        <w:tc>
          <w:tcPr>
            <w:tcW w:w="1903" w:type="dxa"/>
            <w:gridSpan w:val="2"/>
            <w:tcBorders>
              <w:top w:val="single" w:sz="4" w:space="0" w:color="999999"/>
              <w:left w:val="single" w:sz="4" w:space="0" w:color="999999"/>
              <w:bottom w:val="single" w:sz="4" w:space="0" w:color="999999"/>
              <w:right w:val="single" w:sz="4" w:space="0" w:color="999999"/>
            </w:tcBorders>
          </w:tcPr>
          <w:p w14:paraId="4B72DE58" w14:textId="77777777" w:rsidR="009A2964" w:rsidRPr="00BB50F2" w:rsidRDefault="009A2964" w:rsidP="00F8293A">
            <w:pPr>
              <w:pStyle w:val="Header"/>
              <w:rPr>
                <w:rFonts w:cs="Arial"/>
              </w:rPr>
            </w:pPr>
            <w:r w:rsidRPr="00BB50F2">
              <w:rPr>
                <w:rFonts w:cs="Arial"/>
              </w:rPr>
              <w:t>Maximum duration of time for which data can be lost</w:t>
            </w:r>
          </w:p>
        </w:tc>
        <w:tc>
          <w:tcPr>
            <w:tcW w:w="6585" w:type="dxa"/>
            <w:gridSpan w:val="2"/>
            <w:tcBorders>
              <w:top w:val="single" w:sz="4" w:space="0" w:color="999999"/>
              <w:left w:val="single" w:sz="4" w:space="0" w:color="999999"/>
              <w:bottom w:val="single" w:sz="4" w:space="0" w:color="999999"/>
              <w:right w:val="single" w:sz="4" w:space="0" w:color="999999"/>
            </w:tcBorders>
          </w:tcPr>
          <w:p w14:paraId="10C8C398" w14:textId="77777777" w:rsidR="009A2964" w:rsidRPr="00BB50F2" w:rsidRDefault="009A2964" w:rsidP="00F8293A">
            <w:pPr>
              <w:pStyle w:val="Header"/>
              <w:rPr>
                <w:rFonts w:cs="Arial"/>
              </w:rPr>
            </w:pPr>
            <w:r w:rsidRPr="00BB50F2">
              <w:rPr>
                <w:rFonts w:cs="Arial"/>
              </w:rPr>
              <w:t>RPO</w:t>
            </w:r>
          </w:p>
        </w:tc>
        <w:tc>
          <w:tcPr>
            <w:tcW w:w="251" w:type="dxa"/>
            <w:tcBorders>
              <w:top w:val="nil"/>
              <w:left w:val="single" w:sz="4" w:space="0" w:color="999999"/>
              <w:bottom w:val="nil"/>
            </w:tcBorders>
          </w:tcPr>
          <w:p w14:paraId="010447BC" w14:textId="77777777" w:rsidR="009A2964" w:rsidRPr="00BB50F2" w:rsidRDefault="009A2964" w:rsidP="00F8293A">
            <w:pPr>
              <w:pStyle w:val="Header"/>
              <w:rPr>
                <w:rFonts w:cs="Arial"/>
              </w:rPr>
            </w:pPr>
          </w:p>
        </w:tc>
      </w:tr>
      <w:tr w:rsidR="009A2964" w:rsidRPr="00BB50F2" w14:paraId="7EFD840B" w14:textId="77777777" w:rsidTr="00F8293A">
        <w:trPr>
          <w:cantSplit/>
        </w:trPr>
        <w:tc>
          <w:tcPr>
            <w:tcW w:w="475" w:type="dxa"/>
            <w:tcBorders>
              <w:top w:val="nil"/>
              <w:bottom w:val="nil"/>
              <w:right w:val="single" w:sz="4" w:space="0" w:color="999999"/>
            </w:tcBorders>
          </w:tcPr>
          <w:p w14:paraId="75C2182C" w14:textId="77777777" w:rsidR="009A2964" w:rsidRPr="00BB50F2" w:rsidRDefault="009A2964" w:rsidP="00F8293A">
            <w:pPr>
              <w:pStyle w:val="Header"/>
              <w:rPr>
                <w:rFonts w:cs="Arial"/>
              </w:rPr>
            </w:pPr>
          </w:p>
        </w:tc>
        <w:tc>
          <w:tcPr>
            <w:tcW w:w="1903" w:type="dxa"/>
            <w:gridSpan w:val="2"/>
            <w:tcBorders>
              <w:top w:val="single" w:sz="4" w:space="0" w:color="999999"/>
              <w:left w:val="single" w:sz="4" w:space="0" w:color="999999"/>
              <w:bottom w:val="single" w:sz="4" w:space="0" w:color="999999"/>
              <w:right w:val="single" w:sz="4" w:space="0" w:color="999999"/>
            </w:tcBorders>
          </w:tcPr>
          <w:p w14:paraId="3226449D" w14:textId="77777777" w:rsidR="009A2964" w:rsidRPr="00BB50F2" w:rsidRDefault="009A2964" w:rsidP="00F8293A">
            <w:pPr>
              <w:pStyle w:val="Header"/>
              <w:rPr>
                <w:rFonts w:cs="Arial"/>
              </w:rPr>
            </w:pPr>
            <w:r w:rsidRPr="00BB50F2">
              <w:rPr>
                <w:rFonts w:cs="Arial"/>
              </w:rPr>
              <w:t>Time taken to recover all applicable services</w:t>
            </w:r>
          </w:p>
        </w:tc>
        <w:tc>
          <w:tcPr>
            <w:tcW w:w="6585" w:type="dxa"/>
            <w:gridSpan w:val="2"/>
            <w:tcBorders>
              <w:top w:val="single" w:sz="4" w:space="0" w:color="999999"/>
              <w:left w:val="single" w:sz="4" w:space="0" w:color="999999"/>
              <w:bottom w:val="single" w:sz="4" w:space="0" w:color="999999"/>
              <w:right w:val="single" w:sz="4" w:space="0" w:color="999999"/>
            </w:tcBorders>
          </w:tcPr>
          <w:p w14:paraId="0122F735" w14:textId="4B7E09DA" w:rsidR="009A2964" w:rsidRPr="00BB50F2" w:rsidRDefault="009A2964" w:rsidP="00F8293A">
            <w:pPr>
              <w:pStyle w:val="Header"/>
              <w:rPr>
                <w:rFonts w:cs="Arial"/>
              </w:rPr>
            </w:pPr>
            <w:r w:rsidRPr="00BB50F2">
              <w:rPr>
                <w:rFonts w:cs="Arial"/>
              </w:rPr>
              <w:t>Definition via Defined Term (RTOACHV)</w:t>
            </w:r>
          </w:p>
        </w:tc>
        <w:tc>
          <w:tcPr>
            <w:tcW w:w="251" w:type="dxa"/>
            <w:tcBorders>
              <w:top w:val="nil"/>
              <w:left w:val="single" w:sz="4" w:space="0" w:color="999999"/>
              <w:bottom w:val="nil"/>
            </w:tcBorders>
          </w:tcPr>
          <w:p w14:paraId="35725A43" w14:textId="77777777" w:rsidR="009A2964" w:rsidRPr="00BB50F2" w:rsidRDefault="009A2964" w:rsidP="00F8293A">
            <w:pPr>
              <w:pStyle w:val="Header"/>
              <w:rPr>
                <w:rFonts w:cs="Arial"/>
              </w:rPr>
            </w:pPr>
          </w:p>
        </w:tc>
      </w:tr>
      <w:tr w:rsidR="009A2964" w:rsidRPr="00BB50F2" w14:paraId="726F8DE3" w14:textId="77777777" w:rsidTr="00F8293A">
        <w:trPr>
          <w:cantSplit/>
        </w:trPr>
        <w:tc>
          <w:tcPr>
            <w:tcW w:w="475" w:type="dxa"/>
            <w:tcBorders>
              <w:top w:val="nil"/>
              <w:bottom w:val="nil"/>
              <w:right w:val="single" w:sz="4" w:space="0" w:color="999999"/>
            </w:tcBorders>
          </w:tcPr>
          <w:p w14:paraId="5EBF9F24" w14:textId="77777777" w:rsidR="009A2964" w:rsidRPr="00BB50F2" w:rsidRDefault="009A2964" w:rsidP="00F8293A">
            <w:pPr>
              <w:pStyle w:val="Header"/>
              <w:rPr>
                <w:rFonts w:cs="Arial"/>
              </w:rPr>
            </w:pPr>
          </w:p>
        </w:tc>
        <w:tc>
          <w:tcPr>
            <w:tcW w:w="1903" w:type="dxa"/>
            <w:gridSpan w:val="2"/>
            <w:tcBorders>
              <w:top w:val="single" w:sz="4" w:space="0" w:color="999999"/>
              <w:left w:val="single" w:sz="4" w:space="0" w:color="999999"/>
              <w:bottom w:val="single" w:sz="4" w:space="0" w:color="999999"/>
              <w:right w:val="single" w:sz="4" w:space="0" w:color="999999"/>
            </w:tcBorders>
          </w:tcPr>
          <w:p w14:paraId="78491FBC" w14:textId="77777777" w:rsidR="009A2964" w:rsidRPr="00BB50F2" w:rsidRDefault="009A2964" w:rsidP="00F8293A">
            <w:pPr>
              <w:pStyle w:val="Header"/>
              <w:rPr>
                <w:rFonts w:cs="Arial"/>
              </w:rPr>
            </w:pPr>
            <w:r w:rsidRPr="00BB50F2">
              <w:rPr>
                <w:rFonts w:cs="Arial"/>
              </w:rPr>
              <w:t>Duration of time for which data has been lost</w:t>
            </w:r>
          </w:p>
        </w:tc>
        <w:tc>
          <w:tcPr>
            <w:tcW w:w="6585" w:type="dxa"/>
            <w:gridSpan w:val="2"/>
            <w:tcBorders>
              <w:top w:val="single" w:sz="4" w:space="0" w:color="999999"/>
              <w:left w:val="single" w:sz="4" w:space="0" w:color="999999"/>
              <w:bottom w:val="single" w:sz="4" w:space="0" w:color="999999"/>
              <w:right w:val="single" w:sz="4" w:space="0" w:color="999999"/>
            </w:tcBorders>
          </w:tcPr>
          <w:p w14:paraId="28537293" w14:textId="3D4CCE28" w:rsidR="009A2964" w:rsidRPr="00BB50F2" w:rsidRDefault="009A2964" w:rsidP="00F8293A">
            <w:pPr>
              <w:pStyle w:val="Header"/>
              <w:rPr>
                <w:rFonts w:cs="Arial"/>
              </w:rPr>
            </w:pPr>
            <w:r w:rsidRPr="00BB50F2">
              <w:rPr>
                <w:rFonts w:cs="Arial"/>
              </w:rPr>
              <w:t>Definition via Defined Term (RPOACHV)</w:t>
            </w:r>
          </w:p>
        </w:tc>
        <w:tc>
          <w:tcPr>
            <w:tcW w:w="251" w:type="dxa"/>
            <w:tcBorders>
              <w:top w:val="nil"/>
              <w:left w:val="single" w:sz="4" w:space="0" w:color="999999"/>
              <w:bottom w:val="nil"/>
            </w:tcBorders>
          </w:tcPr>
          <w:p w14:paraId="245F2DDF" w14:textId="77777777" w:rsidR="009A2964" w:rsidRPr="00BB50F2" w:rsidRDefault="009A2964" w:rsidP="00F8293A">
            <w:pPr>
              <w:pStyle w:val="Header"/>
              <w:rPr>
                <w:rFonts w:cs="Arial"/>
              </w:rPr>
            </w:pPr>
          </w:p>
        </w:tc>
      </w:tr>
      <w:tr w:rsidR="009A2964" w:rsidRPr="00BB50F2" w14:paraId="30FFD4F5" w14:textId="77777777" w:rsidTr="00F8293A">
        <w:trPr>
          <w:cantSplit/>
        </w:trPr>
        <w:tc>
          <w:tcPr>
            <w:tcW w:w="475" w:type="dxa"/>
            <w:tcBorders>
              <w:top w:val="nil"/>
              <w:bottom w:val="nil"/>
              <w:right w:val="single" w:sz="4" w:space="0" w:color="999999"/>
            </w:tcBorders>
          </w:tcPr>
          <w:p w14:paraId="3CA3416A" w14:textId="77777777" w:rsidR="009A2964" w:rsidRPr="00BB50F2" w:rsidRDefault="009A2964" w:rsidP="00F8293A">
            <w:pPr>
              <w:pStyle w:val="Header"/>
              <w:rPr>
                <w:rFonts w:cs="Arial"/>
              </w:rPr>
            </w:pPr>
          </w:p>
        </w:tc>
        <w:tc>
          <w:tcPr>
            <w:tcW w:w="1903" w:type="dxa"/>
            <w:gridSpan w:val="2"/>
            <w:tcBorders>
              <w:top w:val="single" w:sz="4" w:space="0" w:color="999999"/>
              <w:left w:val="single" w:sz="4" w:space="0" w:color="999999"/>
              <w:bottom w:val="single" w:sz="4" w:space="0" w:color="999999"/>
              <w:right w:val="single" w:sz="4" w:space="0" w:color="999999"/>
            </w:tcBorders>
          </w:tcPr>
          <w:p w14:paraId="5E115466" w14:textId="77777777" w:rsidR="009A2964" w:rsidRPr="00BB50F2" w:rsidRDefault="009A2964" w:rsidP="00F8293A">
            <w:pPr>
              <w:pStyle w:val="Header"/>
              <w:rPr>
                <w:rFonts w:cs="Arial"/>
              </w:rPr>
            </w:pPr>
          </w:p>
        </w:tc>
        <w:tc>
          <w:tcPr>
            <w:tcW w:w="6585" w:type="dxa"/>
            <w:gridSpan w:val="2"/>
            <w:tcBorders>
              <w:top w:val="single" w:sz="4" w:space="0" w:color="999999"/>
              <w:left w:val="single" w:sz="4" w:space="0" w:color="999999"/>
              <w:bottom w:val="single" w:sz="4" w:space="0" w:color="999999"/>
              <w:right w:val="single" w:sz="4" w:space="0" w:color="999999"/>
            </w:tcBorders>
          </w:tcPr>
          <w:p w14:paraId="59DFC58A" w14:textId="77777777" w:rsidR="009A2964" w:rsidRPr="00BB50F2" w:rsidRDefault="009A2964" w:rsidP="00F8293A">
            <w:pPr>
              <w:pStyle w:val="Header"/>
              <w:rPr>
                <w:rFonts w:cs="Arial"/>
              </w:rPr>
            </w:pPr>
          </w:p>
        </w:tc>
        <w:tc>
          <w:tcPr>
            <w:tcW w:w="251" w:type="dxa"/>
            <w:tcBorders>
              <w:top w:val="nil"/>
              <w:left w:val="single" w:sz="4" w:space="0" w:color="999999"/>
              <w:bottom w:val="nil"/>
            </w:tcBorders>
          </w:tcPr>
          <w:p w14:paraId="78AA1BF7" w14:textId="77777777" w:rsidR="009A2964" w:rsidRPr="00BB50F2" w:rsidRDefault="009A2964" w:rsidP="00F8293A">
            <w:pPr>
              <w:pStyle w:val="Header"/>
              <w:rPr>
                <w:rFonts w:cs="Arial"/>
              </w:rPr>
            </w:pPr>
          </w:p>
        </w:tc>
      </w:tr>
      <w:tr w:rsidR="009A2964" w:rsidRPr="00BB50F2" w14:paraId="5A2F8850" w14:textId="77777777" w:rsidTr="00F8293A">
        <w:trPr>
          <w:cantSplit/>
          <w:trHeight w:hRule="exact" w:val="113"/>
        </w:trPr>
        <w:tc>
          <w:tcPr>
            <w:tcW w:w="9214" w:type="dxa"/>
            <w:gridSpan w:val="6"/>
            <w:tcBorders>
              <w:top w:val="nil"/>
            </w:tcBorders>
          </w:tcPr>
          <w:p w14:paraId="61998927" w14:textId="77777777" w:rsidR="009A2964" w:rsidRPr="00BB50F2" w:rsidRDefault="009A2964" w:rsidP="00F8293A">
            <w:pPr>
              <w:pStyle w:val="Header"/>
              <w:rPr>
                <w:rFonts w:cs="Arial"/>
              </w:rPr>
            </w:pPr>
          </w:p>
        </w:tc>
      </w:tr>
      <w:tr w:rsidR="009A2964" w:rsidRPr="00BB50F2" w14:paraId="05FD0431" w14:textId="77777777" w:rsidTr="00F8293A">
        <w:trPr>
          <w:cantSplit/>
          <w:trHeight w:hRule="exact" w:val="397"/>
        </w:trPr>
        <w:tc>
          <w:tcPr>
            <w:tcW w:w="9214" w:type="dxa"/>
            <w:gridSpan w:val="6"/>
            <w:vAlign w:val="center"/>
          </w:tcPr>
          <w:p w14:paraId="6C8D5B86" w14:textId="77777777" w:rsidR="009A2964" w:rsidRPr="00BB50F2" w:rsidRDefault="009A2964" w:rsidP="00F8293A">
            <w:pPr>
              <w:pStyle w:val="Header"/>
              <w:rPr>
                <w:rFonts w:cs="Arial"/>
              </w:rPr>
            </w:pPr>
            <w:r w:rsidRPr="00BB50F2">
              <w:rPr>
                <w:rFonts w:cs="Arial"/>
              </w:rPr>
              <w:t>Measurement:</w:t>
            </w:r>
          </w:p>
        </w:tc>
      </w:tr>
      <w:tr w:rsidR="009A2964" w:rsidRPr="00BB50F2" w14:paraId="66589B91" w14:textId="77777777" w:rsidTr="00F8293A">
        <w:trPr>
          <w:cantSplit/>
          <w:trHeight w:hRule="exact" w:val="113"/>
        </w:trPr>
        <w:tc>
          <w:tcPr>
            <w:tcW w:w="9214" w:type="dxa"/>
            <w:gridSpan w:val="6"/>
            <w:tcBorders>
              <w:bottom w:val="nil"/>
            </w:tcBorders>
          </w:tcPr>
          <w:p w14:paraId="56967D7A" w14:textId="77777777" w:rsidR="009A2964" w:rsidRPr="00BB50F2" w:rsidRDefault="009A2964" w:rsidP="00F8293A">
            <w:pPr>
              <w:pStyle w:val="Header"/>
              <w:rPr>
                <w:rFonts w:cs="Arial"/>
              </w:rPr>
            </w:pPr>
          </w:p>
        </w:tc>
      </w:tr>
      <w:tr w:rsidR="009A2964" w:rsidRPr="00BB50F2" w14:paraId="11E022A0" w14:textId="77777777" w:rsidTr="00F8293A">
        <w:trPr>
          <w:cantSplit/>
        </w:trPr>
        <w:tc>
          <w:tcPr>
            <w:tcW w:w="475" w:type="dxa"/>
            <w:tcBorders>
              <w:top w:val="nil"/>
              <w:bottom w:val="nil"/>
              <w:right w:val="single" w:sz="4" w:space="0" w:color="999999"/>
            </w:tcBorders>
          </w:tcPr>
          <w:p w14:paraId="7054F93E" w14:textId="77777777" w:rsidR="009A2964" w:rsidRPr="00BB50F2" w:rsidRDefault="009A2964" w:rsidP="00F8293A">
            <w:pPr>
              <w:pStyle w:val="Header"/>
              <w:rPr>
                <w:rFonts w:cs="Arial"/>
              </w:rPr>
            </w:pPr>
          </w:p>
        </w:tc>
        <w:tc>
          <w:tcPr>
            <w:tcW w:w="1903" w:type="dxa"/>
            <w:gridSpan w:val="2"/>
            <w:tcBorders>
              <w:top w:val="single" w:sz="4" w:space="0" w:color="999999"/>
              <w:left w:val="single" w:sz="4" w:space="0" w:color="999999"/>
              <w:bottom w:val="single" w:sz="4" w:space="0" w:color="999999"/>
              <w:right w:val="single" w:sz="4" w:space="0" w:color="999999"/>
            </w:tcBorders>
          </w:tcPr>
          <w:p w14:paraId="06EAAB20" w14:textId="77777777" w:rsidR="009A2964" w:rsidRPr="00BB50F2" w:rsidRDefault="009A2964" w:rsidP="00F8293A">
            <w:pPr>
              <w:pStyle w:val="Header"/>
              <w:rPr>
                <w:rFonts w:cs="Arial"/>
              </w:rPr>
            </w:pPr>
            <w:r w:rsidRPr="00BB50F2">
              <w:rPr>
                <w:rFonts w:cs="Arial"/>
              </w:rPr>
              <w:t>Period</w:t>
            </w:r>
          </w:p>
        </w:tc>
        <w:tc>
          <w:tcPr>
            <w:tcW w:w="6585" w:type="dxa"/>
            <w:gridSpan w:val="2"/>
            <w:tcBorders>
              <w:top w:val="single" w:sz="4" w:space="0" w:color="999999"/>
              <w:left w:val="single" w:sz="4" w:space="0" w:color="999999"/>
              <w:bottom w:val="single" w:sz="4" w:space="0" w:color="999999"/>
              <w:right w:val="single" w:sz="4" w:space="0" w:color="999999"/>
            </w:tcBorders>
          </w:tcPr>
          <w:p w14:paraId="73B397CE" w14:textId="77777777" w:rsidR="009A2964" w:rsidRPr="00BB50F2" w:rsidRDefault="009A2964" w:rsidP="00F8293A">
            <w:pPr>
              <w:pStyle w:val="Header"/>
              <w:rPr>
                <w:rFonts w:cs="Arial"/>
              </w:rPr>
            </w:pPr>
            <w:r w:rsidRPr="00BB50F2">
              <w:rPr>
                <w:rFonts w:cs="Arial"/>
              </w:rPr>
              <w:t>Monthly</w:t>
            </w:r>
          </w:p>
        </w:tc>
        <w:tc>
          <w:tcPr>
            <w:tcW w:w="251" w:type="dxa"/>
            <w:tcBorders>
              <w:top w:val="nil"/>
              <w:left w:val="single" w:sz="4" w:space="0" w:color="999999"/>
              <w:bottom w:val="nil"/>
            </w:tcBorders>
          </w:tcPr>
          <w:p w14:paraId="4BD3A7FB" w14:textId="77777777" w:rsidR="009A2964" w:rsidRPr="00BB50F2" w:rsidRDefault="009A2964" w:rsidP="00F8293A">
            <w:pPr>
              <w:pStyle w:val="Header"/>
              <w:rPr>
                <w:rFonts w:cs="Arial"/>
              </w:rPr>
            </w:pPr>
          </w:p>
        </w:tc>
      </w:tr>
      <w:tr w:rsidR="009A2964" w:rsidRPr="00BB50F2" w14:paraId="541F3C37" w14:textId="77777777" w:rsidTr="00F8293A">
        <w:trPr>
          <w:cantSplit/>
        </w:trPr>
        <w:tc>
          <w:tcPr>
            <w:tcW w:w="475" w:type="dxa"/>
            <w:tcBorders>
              <w:top w:val="nil"/>
              <w:bottom w:val="nil"/>
              <w:right w:val="single" w:sz="4" w:space="0" w:color="999999"/>
            </w:tcBorders>
          </w:tcPr>
          <w:p w14:paraId="5E9D10D1" w14:textId="77777777" w:rsidR="009A2964" w:rsidRPr="00BB50F2" w:rsidRDefault="009A2964" w:rsidP="00F8293A">
            <w:pPr>
              <w:pStyle w:val="Header"/>
              <w:rPr>
                <w:rFonts w:cs="Arial"/>
              </w:rPr>
            </w:pPr>
          </w:p>
        </w:tc>
        <w:tc>
          <w:tcPr>
            <w:tcW w:w="1903" w:type="dxa"/>
            <w:gridSpan w:val="2"/>
            <w:tcBorders>
              <w:top w:val="single" w:sz="4" w:space="0" w:color="999999"/>
              <w:left w:val="single" w:sz="4" w:space="0" w:color="999999"/>
              <w:bottom w:val="single" w:sz="4" w:space="0" w:color="999999"/>
              <w:right w:val="single" w:sz="4" w:space="0" w:color="999999"/>
            </w:tcBorders>
          </w:tcPr>
          <w:p w14:paraId="4A9B00B6" w14:textId="77777777" w:rsidR="009A2964" w:rsidRPr="00BB50F2" w:rsidRDefault="009A2964" w:rsidP="00F8293A">
            <w:pPr>
              <w:pStyle w:val="Header"/>
              <w:rPr>
                <w:rFonts w:cs="Arial"/>
              </w:rPr>
            </w:pPr>
            <w:r w:rsidRPr="00BB50F2">
              <w:rPr>
                <w:rFonts w:cs="Arial"/>
              </w:rPr>
              <w:t>Method</w:t>
            </w:r>
          </w:p>
        </w:tc>
        <w:tc>
          <w:tcPr>
            <w:tcW w:w="6585" w:type="dxa"/>
            <w:gridSpan w:val="2"/>
            <w:tcBorders>
              <w:top w:val="single" w:sz="4" w:space="0" w:color="999999"/>
              <w:left w:val="single" w:sz="4" w:space="0" w:color="999999"/>
              <w:bottom w:val="single" w:sz="4" w:space="0" w:color="999999"/>
              <w:right w:val="single" w:sz="4" w:space="0" w:color="999999"/>
            </w:tcBorders>
          </w:tcPr>
          <w:p w14:paraId="37771757" w14:textId="468DA5D4" w:rsidR="009A2964" w:rsidRPr="00BB50F2" w:rsidRDefault="009A2964" w:rsidP="00F8293A">
            <w:pPr>
              <w:pStyle w:val="Header"/>
              <w:rPr>
                <w:rFonts w:cs="Arial"/>
              </w:rPr>
            </w:pPr>
            <w:r w:rsidRPr="00BB50F2">
              <w:rPr>
                <w:rFonts w:cs="Arial"/>
              </w:rPr>
              <w:t xml:space="preserve">This KPI is expected to be assessed through a </w:t>
            </w:r>
            <w:r w:rsidRPr="00BB50F2" w:rsidDel="00B17ACC">
              <w:rPr>
                <w:rFonts w:cs="Arial"/>
              </w:rPr>
              <w:t xml:space="preserve">series of </w:t>
            </w:r>
            <w:r w:rsidRPr="00BB50F2">
              <w:rPr>
                <w:rFonts w:cs="Arial"/>
              </w:rPr>
              <w:t xml:space="preserve">dress rehearsal exercises. The dress rehearsal exercise can potentially be instigated without </w:t>
            </w:r>
            <w:proofErr w:type="gramStart"/>
            <w:r w:rsidRPr="00BB50F2">
              <w:rPr>
                <w:rFonts w:cs="Arial"/>
              </w:rPr>
              <w:t>prior warning</w:t>
            </w:r>
            <w:proofErr w:type="gramEnd"/>
            <w:r w:rsidRPr="00BB50F2">
              <w:rPr>
                <w:rFonts w:cs="Arial"/>
              </w:rPr>
              <w:t>.  The rehearsal will clearly be flagged as a rehearsal when it is instigated.</w:t>
            </w:r>
          </w:p>
          <w:p w14:paraId="6EC73A8C" w14:textId="77777777" w:rsidR="009A2964" w:rsidRPr="00BB50F2" w:rsidRDefault="009A2964" w:rsidP="00F8293A">
            <w:pPr>
              <w:pStyle w:val="Header"/>
              <w:rPr>
                <w:rFonts w:cs="Arial"/>
              </w:rPr>
            </w:pPr>
            <w:r w:rsidRPr="00BB50F2">
              <w:rPr>
                <w:rFonts w:cs="Arial"/>
              </w:rPr>
              <w:t>If a real Disaster Recovery event is declared this KPI will apply.</w:t>
            </w:r>
          </w:p>
        </w:tc>
        <w:tc>
          <w:tcPr>
            <w:tcW w:w="251" w:type="dxa"/>
            <w:tcBorders>
              <w:top w:val="nil"/>
              <w:left w:val="single" w:sz="4" w:space="0" w:color="999999"/>
              <w:bottom w:val="nil"/>
            </w:tcBorders>
          </w:tcPr>
          <w:p w14:paraId="6C1DF3CF" w14:textId="77777777" w:rsidR="009A2964" w:rsidRPr="00BB50F2" w:rsidRDefault="009A2964" w:rsidP="00F8293A">
            <w:pPr>
              <w:pStyle w:val="Header"/>
              <w:rPr>
                <w:rFonts w:cs="Arial"/>
              </w:rPr>
            </w:pPr>
          </w:p>
        </w:tc>
      </w:tr>
      <w:tr w:rsidR="009A2964" w:rsidRPr="00BB50F2" w14:paraId="76421C3B" w14:textId="77777777" w:rsidTr="00F8293A">
        <w:trPr>
          <w:cantSplit/>
          <w:trHeight w:hRule="exact" w:val="113"/>
        </w:trPr>
        <w:tc>
          <w:tcPr>
            <w:tcW w:w="9214" w:type="dxa"/>
            <w:gridSpan w:val="6"/>
            <w:tcBorders>
              <w:top w:val="nil"/>
            </w:tcBorders>
          </w:tcPr>
          <w:p w14:paraId="4D55F919" w14:textId="77777777" w:rsidR="009A2964" w:rsidRPr="00BB50F2" w:rsidRDefault="009A2964" w:rsidP="00F8293A">
            <w:pPr>
              <w:pStyle w:val="Header"/>
              <w:rPr>
                <w:rFonts w:cs="Arial"/>
              </w:rPr>
            </w:pPr>
          </w:p>
        </w:tc>
      </w:tr>
      <w:tr w:rsidR="009A2964" w:rsidRPr="00BB50F2" w14:paraId="3995B85D" w14:textId="77777777" w:rsidTr="00F8293A">
        <w:trPr>
          <w:cantSplit/>
          <w:trHeight w:hRule="exact" w:val="397"/>
        </w:trPr>
        <w:tc>
          <w:tcPr>
            <w:tcW w:w="9214" w:type="dxa"/>
            <w:gridSpan w:val="6"/>
            <w:vAlign w:val="center"/>
          </w:tcPr>
          <w:p w14:paraId="6141EFB4" w14:textId="77777777" w:rsidR="009A2964" w:rsidRPr="00BB50F2" w:rsidRDefault="009A2964" w:rsidP="00F8293A">
            <w:pPr>
              <w:pStyle w:val="Header"/>
              <w:rPr>
                <w:rFonts w:cs="Arial"/>
              </w:rPr>
            </w:pPr>
            <w:r w:rsidRPr="00BB50F2">
              <w:rPr>
                <w:rFonts w:cs="Arial"/>
              </w:rPr>
              <w:t>Service Credit Levels:</w:t>
            </w:r>
          </w:p>
        </w:tc>
      </w:tr>
      <w:tr w:rsidR="009A2964" w:rsidRPr="00BB50F2" w14:paraId="73A2B9BC" w14:textId="77777777" w:rsidTr="00F8293A">
        <w:trPr>
          <w:cantSplit/>
          <w:trHeight w:hRule="exact" w:val="113"/>
        </w:trPr>
        <w:tc>
          <w:tcPr>
            <w:tcW w:w="9214" w:type="dxa"/>
            <w:gridSpan w:val="6"/>
            <w:tcBorders>
              <w:bottom w:val="nil"/>
            </w:tcBorders>
          </w:tcPr>
          <w:p w14:paraId="3FCE97CF" w14:textId="77777777" w:rsidR="009A2964" w:rsidRPr="00BB50F2" w:rsidRDefault="009A2964" w:rsidP="00F8293A">
            <w:pPr>
              <w:pStyle w:val="Header"/>
              <w:rPr>
                <w:rFonts w:cs="Arial"/>
              </w:rPr>
            </w:pPr>
          </w:p>
        </w:tc>
      </w:tr>
      <w:tr w:rsidR="009A2964" w:rsidRPr="00BB50F2" w14:paraId="7951AD2A" w14:textId="77777777" w:rsidTr="00F8293A">
        <w:trPr>
          <w:cantSplit/>
        </w:trPr>
        <w:tc>
          <w:tcPr>
            <w:tcW w:w="475" w:type="dxa"/>
            <w:tcBorders>
              <w:top w:val="nil"/>
              <w:bottom w:val="nil"/>
              <w:right w:val="single" w:sz="4" w:space="0" w:color="999999"/>
            </w:tcBorders>
          </w:tcPr>
          <w:p w14:paraId="44BC63D2" w14:textId="77777777" w:rsidR="009A2964" w:rsidRPr="00BB50F2" w:rsidRDefault="009A2964" w:rsidP="00F8293A">
            <w:pPr>
              <w:pStyle w:val="Header"/>
              <w:rPr>
                <w:rFonts w:cs="Arial"/>
              </w:rPr>
            </w:pPr>
          </w:p>
        </w:tc>
        <w:tc>
          <w:tcPr>
            <w:tcW w:w="8488" w:type="dxa"/>
            <w:gridSpan w:val="4"/>
            <w:tcBorders>
              <w:top w:val="single" w:sz="4" w:space="0" w:color="999999"/>
              <w:left w:val="single" w:sz="4" w:space="0" w:color="999999"/>
              <w:bottom w:val="single" w:sz="4" w:space="0" w:color="999999"/>
              <w:right w:val="single" w:sz="4" w:space="0" w:color="999999"/>
            </w:tcBorders>
          </w:tcPr>
          <w:p w14:paraId="0A4E5951" w14:textId="77777777" w:rsidR="009A2964" w:rsidRPr="00BB50F2" w:rsidRDefault="009A2964" w:rsidP="00F8293A">
            <w:pPr>
              <w:pStyle w:val="Header"/>
              <w:rPr>
                <w:rFonts w:cs="Arial"/>
                <w:highlight w:val="yellow"/>
              </w:rPr>
            </w:pPr>
          </w:p>
        </w:tc>
        <w:tc>
          <w:tcPr>
            <w:tcW w:w="251" w:type="dxa"/>
            <w:tcBorders>
              <w:top w:val="nil"/>
              <w:left w:val="single" w:sz="4" w:space="0" w:color="999999"/>
              <w:bottom w:val="nil"/>
            </w:tcBorders>
          </w:tcPr>
          <w:p w14:paraId="7AC52CB9" w14:textId="77777777" w:rsidR="009A2964" w:rsidRPr="00BB50F2" w:rsidRDefault="009A2964" w:rsidP="00F8293A">
            <w:pPr>
              <w:pStyle w:val="Header"/>
              <w:rPr>
                <w:rFonts w:cs="Arial"/>
              </w:rPr>
            </w:pPr>
          </w:p>
        </w:tc>
      </w:tr>
      <w:tr w:rsidR="009A2964" w:rsidRPr="00BB50F2" w14:paraId="3FDF78A8" w14:textId="77777777" w:rsidTr="00F8293A">
        <w:trPr>
          <w:cantSplit/>
        </w:trPr>
        <w:tc>
          <w:tcPr>
            <w:tcW w:w="475" w:type="dxa"/>
            <w:tcBorders>
              <w:top w:val="nil"/>
              <w:bottom w:val="nil"/>
              <w:right w:val="single" w:sz="4" w:space="0" w:color="999999"/>
            </w:tcBorders>
          </w:tcPr>
          <w:p w14:paraId="4D6D1D1E" w14:textId="77777777" w:rsidR="009A2964" w:rsidRPr="00BB50F2" w:rsidRDefault="009A2964" w:rsidP="00F8293A">
            <w:pPr>
              <w:pStyle w:val="Header"/>
              <w:rPr>
                <w:rFonts w:cs="Arial"/>
              </w:rPr>
            </w:pPr>
          </w:p>
        </w:tc>
        <w:tc>
          <w:tcPr>
            <w:tcW w:w="1903" w:type="dxa"/>
            <w:gridSpan w:val="2"/>
            <w:tcBorders>
              <w:top w:val="single" w:sz="4" w:space="0" w:color="999999"/>
              <w:left w:val="single" w:sz="4" w:space="0" w:color="999999"/>
              <w:bottom w:val="single" w:sz="4" w:space="0" w:color="999999"/>
              <w:right w:val="single" w:sz="4" w:space="0" w:color="999999"/>
            </w:tcBorders>
          </w:tcPr>
          <w:p w14:paraId="6E02E149" w14:textId="77777777" w:rsidR="009A2964" w:rsidRPr="00BB50F2" w:rsidRDefault="009A2964" w:rsidP="006B00E1">
            <w:pPr>
              <w:pStyle w:val="Header"/>
              <w:ind w:left="0" w:firstLine="0"/>
              <w:rPr>
                <w:rFonts w:cs="Arial"/>
              </w:rPr>
            </w:pPr>
            <w:r w:rsidRPr="00BB50F2">
              <w:rPr>
                <w:rFonts w:cs="Arial"/>
              </w:rPr>
              <w:t>Actual Service Usage</w:t>
            </w:r>
          </w:p>
        </w:tc>
        <w:tc>
          <w:tcPr>
            <w:tcW w:w="3292" w:type="dxa"/>
            <w:vMerge w:val="restart"/>
            <w:tcBorders>
              <w:top w:val="single" w:sz="4" w:space="0" w:color="999999"/>
              <w:left w:val="single" w:sz="4" w:space="0" w:color="999999"/>
              <w:right w:val="single" w:sz="4" w:space="0" w:color="999999"/>
            </w:tcBorders>
            <w:vAlign w:val="bottom"/>
          </w:tcPr>
          <w:p w14:paraId="7F89A21B" w14:textId="77777777" w:rsidR="009A2964" w:rsidRPr="00BB50F2" w:rsidRDefault="009A2964" w:rsidP="00F8293A">
            <w:pPr>
              <w:pStyle w:val="Header"/>
              <w:rPr>
                <w:rFonts w:cs="Arial"/>
              </w:rPr>
            </w:pPr>
            <w:r w:rsidRPr="00BB50F2">
              <w:rPr>
                <w:rFonts w:cs="Arial"/>
              </w:rPr>
              <w:t>Calculation</w:t>
            </w:r>
          </w:p>
        </w:tc>
        <w:tc>
          <w:tcPr>
            <w:tcW w:w="3293" w:type="dxa"/>
            <w:vMerge w:val="restart"/>
            <w:tcBorders>
              <w:top w:val="single" w:sz="4" w:space="0" w:color="999999"/>
              <w:left w:val="single" w:sz="4" w:space="0" w:color="999999"/>
              <w:right w:val="single" w:sz="4" w:space="0" w:color="999999"/>
            </w:tcBorders>
            <w:vAlign w:val="bottom"/>
          </w:tcPr>
          <w:p w14:paraId="5E1CD7EC" w14:textId="77777777" w:rsidR="009A2964" w:rsidRPr="00BB50F2" w:rsidRDefault="009A2964" w:rsidP="00F8293A">
            <w:pPr>
              <w:pStyle w:val="Header"/>
              <w:rPr>
                <w:rFonts w:cs="Arial"/>
              </w:rPr>
            </w:pPr>
            <w:r w:rsidRPr="00BB50F2">
              <w:rPr>
                <w:rFonts w:cs="Arial"/>
              </w:rPr>
              <w:t>Notes</w:t>
            </w:r>
          </w:p>
        </w:tc>
        <w:tc>
          <w:tcPr>
            <w:tcW w:w="251" w:type="dxa"/>
            <w:tcBorders>
              <w:top w:val="nil"/>
              <w:left w:val="single" w:sz="4" w:space="0" w:color="999999"/>
              <w:bottom w:val="nil"/>
            </w:tcBorders>
          </w:tcPr>
          <w:p w14:paraId="13946B27" w14:textId="77777777" w:rsidR="009A2964" w:rsidRPr="00BB50F2" w:rsidRDefault="009A2964" w:rsidP="00F8293A">
            <w:pPr>
              <w:pStyle w:val="Header"/>
              <w:rPr>
                <w:rFonts w:cs="Arial"/>
              </w:rPr>
            </w:pPr>
          </w:p>
        </w:tc>
      </w:tr>
      <w:tr w:rsidR="009A2964" w:rsidRPr="00BB50F2" w14:paraId="1D202890" w14:textId="77777777" w:rsidTr="00F8293A">
        <w:trPr>
          <w:cantSplit/>
        </w:trPr>
        <w:tc>
          <w:tcPr>
            <w:tcW w:w="475" w:type="dxa"/>
            <w:tcBorders>
              <w:top w:val="nil"/>
              <w:bottom w:val="nil"/>
              <w:right w:val="single" w:sz="4" w:space="0" w:color="999999"/>
            </w:tcBorders>
          </w:tcPr>
          <w:p w14:paraId="7B24956D" w14:textId="77777777" w:rsidR="009A2964" w:rsidRPr="00BB50F2" w:rsidRDefault="009A2964" w:rsidP="00F8293A">
            <w:pPr>
              <w:pStyle w:val="Header"/>
              <w:rPr>
                <w:rFonts w:cs="Arial"/>
              </w:rPr>
            </w:pPr>
          </w:p>
        </w:tc>
        <w:tc>
          <w:tcPr>
            <w:tcW w:w="951" w:type="dxa"/>
            <w:tcBorders>
              <w:top w:val="single" w:sz="4" w:space="0" w:color="999999"/>
              <w:left w:val="single" w:sz="4" w:space="0" w:color="999999"/>
              <w:bottom w:val="single" w:sz="4" w:space="0" w:color="999999"/>
              <w:right w:val="single" w:sz="4" w:space="0" w:color="999999"/>
            </w:tcBorders>
          </w:tcPr>
          <w:p w14:paraId="458572FB" w14:textId="77777777" w:rsidR="009A2964" w:rsidRPr="00BB50F2" w:rsidRDefault="009A2964" w:rsidP="00F8293A">
            <w:pPr>
              <w:pStyle w:val="Header"/>
              <w:rPr>
                <w:rFonts w:cs="Arial"/>
              </w:rPr>
            </w:pPr>
            <w:r w:rsidRPr="00BB50F2">
              <w:rPr>
                <w:rFonts w:cs="Arial"/>
              </w:rPr>
              <w:t>Lower</w:t>
            </w:r>
          </w:p>
        </w:tc>
        <w:tc>
          <w:tcPr>
            <w:tcW w:w="952" w:type="dxa"/>
            <w:tcBorders>
              <w:top w:val="single" w:sz="4" w:space="0" w:color="999999"/>
              <w:left w:val="single" w:sz="4" w:space="0" w:color="999999"/>
              <w:bottom w:val="single" w:sz="4" w:space="0" w:color="999999"/>
              <w:right w:val="single" w:sz="4" w:space="0" w:color="999999"/>
            </w:tcBorders>
          </w:tcPr>
          <w:p w14:paraId="2B98CEBE" w14:textId="77777777" w:rsidR="009A2964" w:rsidRPr="00BB50F2" w:rsidRDefault="009A2964" w:rsidP="00F8293A">
            <w:pPr>
              <w:pStyle w:val="Header"/>
              <w:rPr>
                <w:rFonts w:cs="Arial"/>
              </w:rPr>
            </w:pPr>
            <w:r w:rsidRPr="00BB50F2">
              <w:rPr>
                <w:rFonts w:cs="Arial"/>
              </w:rPr>
              <w:t>Upper</w:t>
            </w:r>
          </w:p>
        </w:tc>
        <w:tc>
          <w:tcPr>
            <w:tcW w:w="3292" w:type="dxa"/>
            <w:vMerge/>
            <w:tcBorders>
              <w:left w:val="single" w:sz="4" w:space="0" w:color="999999"/>
              <w:bottom w:val="single" w:sz="4" w:space="0" w:color="999999"/>
              <w:right w:val="single" w:sz="4" w:space="0" w:color="999999"/>
            </w:tcBorders>
          </w:tcPr>
          <w:p w14:paraId="20401469" w14:textId="77777777" w:rsidR="009A2964" w:rsidRPr="00BB50F2" w:rsidRDefault="009A2964" w:rsidP="00F8293A">
            <w:pPr>
              <w:pStyle w:val="Header"/>
              <w:rPr>
                <w:rFonts w:cs="Arial"/>
              </w:rPr>
            </w:pPr>
          </w:p>
        </w:tc>
        <w:tc>
          <w:tcPr>
            <w:tcW w:w="3293" w:type="dxa"/>
            <w:vMerge/>
            <w:tcBorders>
              <w:left w:val="single" w:sz="4" w:space="0" w:color="999999"/>
              <w:bottom w:val="single" w:sz="4" w:space="0" w:color="999999"/>
              <w:right w:val="single" w:sz="4" w:space="0" w:color="999999"/>
            </w:tcBorders>
          </w:tcPr>
          <w:p w14:paraId="555BBB43" w14:textId="77777777" w:rsidR="009A2964" w:rsidRPr="00BB50F2" w:rsidRDefault="009A2964" w:rsidP="00F8293A">
            <w:pPr>
              <w:pStyle w:val="Header"/>
              <w:rPr>
                <w:rFonts w:cs="Arial"/>
              </w:rPr>
            </w:pPr>
          </w:p>
        </w:tc>
        <w:tc>
          <w:tcPr>
            <w:tcW w:w="251" w:type="dxa"/>
            <w:tcBorders>
              <w:top w:val="nil"/>
              <w:left w:val="single" w:sz="4" w:space="0" w:color="999999"/>
              <w:bottom w:val="nil"/>
            </w:tcBorders>
          </w:tcPr>
          <w:p w14:paraId="3B2BDF3E" w14:textId="77777777" w:rsidR="009A2964" w:rsidRPr="00BB50F2" w:rsidRDefault="009A2964" w:rsidP="00F8293A">
            <w:pPr>
              <w:pStyle w:val="Header"/>
              <w:rPr>
                <w:rFonts w:cs="Arial"/>
              </w:rPr>
            </w:pPr>
          </w:p>
        </w:tc>
      </w:tr>
      <w:tr w:rsidR="009A2964" w:rsidRPr="00BB50F2" w14:paraId="74D4C12C" w14:textId="77777777" w:rsidTr="00F8293A">
        <w:trPr>
          <w:cantSplit/>
        </w:trPr>
        <w:tc>
          <w:tcPr>
            <w:tcW w:w="475" w:type="dxa"/>
            <w:tcBorders>
              <w:top w:val="nil"/>
              <w:bottom w:val="nil"/>
              <w:right w:val="single" w:sz="4" w:space="0" w:color="999999"/>
            </w:tcBorders>
          </w:tcPr>
          <w:p w14:paraId="75C0EA63" w14:textId="77777777" w:rsidR="009A2964" w:rsidRPr="00BB50F2" w:rsidRDefault="009A2964" w:rsidP="00F8293A">
            <w:pPr>
              <w:pStyle w:val="Header"/>
              <w:rPr>
                <w:rFonts w:cs="Arial"/>
              </w:rPr>
            </w:pPr>
          </w:p>
        </w:tc>
        <w:tc>
          <w:tcPr>
            <w:tcW w:w="951" w:type="dxa"/>
            <w:tcBorders>
              <w:top w:val="single" w:sz="4" w:space="0" w:color="999999"/>
              <w:left w:val="single" w:sz="4" w:space="0" w:color="999999"/>
              <w:bottom w:val="single" w:sz="4" w:space="0" w:color="999999"/>
              <w:right w:val="single" w:sz="4" w:space="0" w:color="999999"/>
            </w:tcBorders>
            <w:vAlign w:val="center"/>
          </w:tcPr>
          <w:p w14:paraId="04ECBC26" w14:textId="77777777" w:rsidR="009A2964" w:rsidRPr="00BB50F2" w:rsidRDefault="009A2964" w:rsidP="00F8293A">
            <w:pPr>
              <w:pStyle w:val="Header"/>
              <w:rPr>
                <w:rFonts w:cs="Arial"/>
              </w:rPr>
            </w:pPr>
          </w:p>
        </w:tc>
        <w:tc>
          <w:tcPr>
            <w:tcW w:w="952" w:type="dxa"/>
            <w:tcBorders>
              <w:top w:val="single" w:sz="4" w:space="0" w:color="999999"/>
              <w:left w:val="single" w:sz="4" w:space="0" w:color="999999"/>
              <w:bottom w:val="single" w:sz="4" w:space="0" w:color="999999"/>
              <w:right w:val="single" w:sz="4" w:space="0" w:color="999999"/>
            </w:tcBorders>
            <w:vAlign w:val="center"/>
          </w:tcPr>
          <w:p w14:paraId="08FAABBD" w14:textId="77777777" w:rsidR="009A2964" w:rsidRPr="00BB50F2" w:rsidRDefault="009A2964" w:rsidP="00F8293A">
            <w:pPr>
              <w:pStyle w:val="Header"/>
              <w:rPr>
                <w:rFonts w:cs="Arial"/>
              </w:rPr>
            </w:pPr>
          </w:p>
        </w:tc>
        <w:tc>
          <w:tcPr>
            <w:tcW w:w="3292" w:type="dxa"/>
            <w:tcBorders>
              <w:top w:val="single" w:sz="4" w:space="0" w:color="999999"/>
              <w:left w:val="single" w:sz="4" w:space="0" w:color="999999"/>
              <w:bottom w:val="single" w:sz="4" w:space="0" w:color="999999"/>
              <w:right w:val="single" w:sz="4" w:space="0" w:color="999999"/>
            </w:tcBorders>
            <w:vAlign w:val="center"/>
          </w:tcPr>
          <w:p w14:paraId="139B3267" w14:textId="77777777" w:rsidR="009A2964" w:rsidRPr="00BB50F2" w:rsidRDefault="009A2964" w:rsidP="00F8293A">
            <w:pPr>
              <w:pStyle w:val="Header"/>
              <w:rPr>
                <w:rFonts w:cs="Arial"/>
              </w:rPr>
            </w:pPr>
            <w:r w:rsidRPr="00BB50F2">
              <w:rPr>
                <w:rFonts w:cs="Arial"/>
              </w:rPr>
              <w:t xml:space="preserve">RPOACHV &lt;= RPO and RTOACHV &lt;= RTO </w:t>
            </w:r>
          </w:p>
        </w:tc>
        <w:tc>
          <w:tcPr>
            <w:tcW w:w="3293" w:type="dxa"/>
            <w:tcBorders>
              <w:top w:val="single" w:sz="4" w:space="0" w:color="999999"/>
              <w:left w:val="single" w:sz="4" w:space="0" w:color="999999"/>
              <w:bottom w:val="single" w:sz="4" w:space="0" w:color="999999"/>
              <w:right w:val="single" w:sz="4" w:space="0" w:color="999999"/>
            </w:tcBorders>
            <w:vAlign w:val="center"/>
          </w:tcPr>
          <w:p w14:paraId="43E94A7F" w14:textId="77777777" w:rsidR="009A2964" w:rsidRPr="00BB50F2" w:rsidRDefault="009A2964" w:rsidP="00F8293A">
            <w:pPr>
              <w:pStyle w:val="Header"/>
              <w:rPr>
                <w:rFonts w:cs="Arial"/>
              </w:rPr>
            </w:pPr>
            <w:r w:rsidRPr="00BB50F2">
              <w:rPr>
                <w:rFonts w:cs="Arial"/>
              </w:rPr>
              <w:t>Service target</w:t>
            </w:r>
          </w:p>
        </w:tc>
        <w:tc>
          <w:tcPr>
            <w:tcW w:w="251" w:type="dxa"/>
            <w:tcBorders>
              <w:top w:val="nil"/>
              <w:left w:val="single" w:sz="4" w:space="0" w:color="999999"/>
              <w:bottom w:val="nil"/>
            </w:tcBorders>
          </w:tcPr>
          <w:p w14:paraId="67DBC300" w14:textId="77777777" w:rsidR="009A2964" w:rsidRPr="00BB50F2" w:rsidRDefault="009A2964" w:rsidP="00F8293A">
            <w:pPr>
              <w:pStyle w:val="ssPara5"/>
              <w:spacing w:after="120" w:line="240" w:lineRule="auto"/>
              <w:rPr>
                <w:sz w:val="20"/>
                <w:szCs w:val="20"/>
              </w:rPr>
            </w:pPr>
          </w:p>
        </w:tc>
      </w:tr>
      <w:tr w:rsidR="009A2964" w:rsidRPr="00BB50F2" w14:paraId="4614B32B" w14:textId="77777777" w:rsidTr="00F8293A">
        <w:trPr>
          <w:cantSplit/>
        </w:trPr>
        <w:tc>
          <w:tcPr>
            <w:tcW w:w="475" w:type="dxa"/>
            <w:tcBorders>
              <w:top w:val="nil"/>
              <w:bottom w:val="nil"/>
              <w:right w:val="single" w:sz="4" w:space="0" w:color="999999"/>
            </w:tcBorders>
          </w:tcPr>
          <w:p w14:paraId="21039D96" w14:textId="77777777" w:rsidR="009A2964" w:rsidRPr="00BB50F2" w:rsidRDefault="009A2964" w:rsidP="00F8293A">
            <w:pPr>
              <w:pStyle w:val="ssPara5"/>
              <w:spacing w:after="120" w:line="240" w:lineRule="auto"/>
              <w:rPr>
                <w:sz w:val="20"/>
                <w:szCs w:val="20"/>
              </w:rPr>
            </w:pPr>
          </w:p>
        </w:tc>
        <w:tc>
          <w:tcPr>
            <w:tcW w:w="951" w:type="dxa"/>
            <w:tcBorders>
              <w:top w:val="single" w:sz="4" w:space="0" w:color="999999"/>
              <w:left w:val="single" w:sz="4" w:space="0" w:color="999999"/>
              <w:bottom w:val="single" w:sz="4" w:space="0" w:color="999999"/>
              <w:right w:val="single" w:sz="4" w:space="0" w:color="999999"/>
            </w:tcBorders>
            <w:vAlign w:val="center"/>
          </w:tcPr>
          <w:p w14:paraId="22C14CD9" w14:textId="77777777" w:rsidR="009A2964" w:rsidRPr="00BB50F2" w:rsidRDefault="009A2964" w:rsidP="00F8293A">
            <w:pPr>
              <w:pStyle w:val="Header"/>
              <w:rPr>
                <w:rFonts w:cs="Arial"/>
              </w:rPr>
            </w:pPr>
          </w:p>
        </w:tc>
        <w:tc>
          <w:tcPr>
            <w:tcW w:w="952" w:type="dxa"/>
            <w:tcBorders>
              <w:top w:val="single" w:sz="4" w:space="0" w:color="999999"/>
              <w:left w:val="single" w:sz="4" w:space="0" w:color="999999"/>
              <w:bottom w:val="single" w:sz="4" w:space="0" w:color="999999"/>
              <w:right w:val="single" w:sz="4" w:space="0" w:color="999999"/>
            </w:tcBorders>
            <w:vAlign w:val="center"/>
          </w:tcPr>
          <w:p w14:paraId="6CADF400" w14:textId="77777777" w:rsidR="009A2964" w:rsidRPr="00BB50F2" w:rsidRDefault="009A2964" w:rsidP="00F8293A">
            <w:pPr>
              <w:pStyle w:val="Header"/>
              <w:rPr>
                <w:rFonts w:cs="Arial"/>
              </w:rPr>
            </w:pPr>
          </w:p>
        </w:tc>
        <w:tc>
          <w:tcPr>
            <w:tcW w:w="3292" w:type="dxa"/>
            <w:tcBorders>
              <w:top w:val="single" w:sz="4" w:space="0" w:color="999999"/>
              <w:left w:val="single" w:sz="4" w:space="0" w:color="999999"/>
              <w:bottom w:val="single" w:sz="4" w:space="0" w:color="999999"/>
              <w:right w:val="single" w:sz="4" w:space="0" w:color="999999"/>
            </w:tcBorders>
            <w:vAlign w:val="center"/>
          </w:tcPr>
          <w:p w14:paraId="687695AA" w14:textId="77777777" w:rsidR="009A2964" w:rsidRPr="00BB50F2" w:rsidRDefault="009A2964" w:rsidP="00F8293A">
            <w:pPr>
              <w:pStyle w:val="Header"/>
              <w:rPr>
                <w:rFonts w:cs="Arial"/>
              </w:rPr>
            </w:pPr>
            <w:r w:rsidRPr="00BB50F2">
              <w:rPr>
                <w:rFonts w:cs="Arial"/>
              </w:rPr>
              <w:t>RTOACHV &gt; RTO or RPOACHV &gt; RPO * 1.1</w:t>
            </w:r>
          </w:p>
        </w:tc>
        <w:tc>
          <w:tcPr>
            <w:tcW w:w="3293" w:type="dxa"/>
            <w:tcBorders>
              <w:top w:val="single" w:sz="4" w:space="0" w:color="999999"/>
              <w:left w:val="single" w:sz="4" w:space="0" w:color="999999"/>
              <w:bottom w:val="single" w:sz="4" w:space="0" w:color="999999"/>
              <w:right w:val="single" w:sz="4" w:space="0" w:color="999999"/>
            </w:tcBorders>
            <w:vAlign w:val="center"/>
          </w:tcPr>
          <w:p w14:paraId="285889BA" w14:textId="77777777" w:rsidR="009A2964" w:rsidRPr="00BB50F2" w:rsidRDefault="009A2964" w:rsidP="00F8293A">
            <w:pPr>
              <w:pStyle w:val="Header"/>
              <w:rPr>
                <w:rFonts w:cs="Arial"/>
              </w:rPr>
            </w:pPr>
            <w:r w:rsidRPr="00BB50F2">
              <w:rPr>
                <w:rFonts w:cs="Arial"/>
              </w:rPr>
              <w:t xml:space="preserve">Service </w:t>
            </w:r>
            <w:proofErr w:type="gramStart"/>
            <w:r w:rsidRPr="00BB50F2">
              <w:rPr>
                <w:rFonts w:cs="Arial"/>
              </w:rPr>
              <w:t>fail</w:t>
            </w:r>
            <w:proofErr w:type="gramEnd"/>
          </w:p>
        </w:tc>
        <w:tc>
          <w:tcPr>
            <w:tcW w:w="251" w:type="dxa"/>
            <w:tcBorders>
              <w:top w:val="nil"/>
              <w:left w:val="single" w:sz="4" w:space="0" w:color="999999"/>
              <w:bottom w:val="nil"/>
            </w:tcBorders>
          </w:tcPr>
          <w:p w14:paraId="67A87EC8" w14:textId="77777777" w:rsidR="009A2964" w:rsidRPr="00BB50F2" w:rsidRDefault="009A2964" w:rsidP="00F8293A">
            <w:pPr>
              <w:pStyle w:val="ssPara5"/>
              <w:spacing w:after="120" w:line="240" w:lineRule="auto"/>
              <w:rPr>
                <w:sz w:val="20"/>
                <w:szCs w:val="20"/>
              </w:rPr>
            </w:pPr>
          </w:p>
        </w:tc>
      </w:tr>
      <w:tr w:rsidR="009A2964" w:rsidRPr="00BB50F2" w14:paraId="2C424CAB" w14:textId="77777777" w:rsidTr="00F8293A">
        <w:trPr>
          <w:cantSplit/>
          <w:trHeight w:hRule="exact" w:val="113"/>
        </w:trPr>
        <w:tc>
          <w:tcPr>
            <w:tcW w:w="9214" w:type="dxa"/>
            <w:gridSpan w:val="6"/>
            <w:tcBorders>
              <w:top w:val="nil"/>
              <w:bottom w:val="nil"/>
            </w:tcBorders>
          </w:tcPr>
          <w:p w14:paraId="232A63C5" w14:textId="77777777" w:rsidR="009A2964" w:rsidRPr="00BB50F2" w:rsidRDefault="009A2964" w:rsidP="00F8293A">
            <w:pPr>
              <w:pStyle w:val="Header"/>
              <w:rPr>
                <w:rFonts w:cs="Arial"/>
              </w:rPr>
            </w:pPr>
          </w:p>
        </w:tc>
      </w:tr>
      <w:tr w:rsidR="009A2964" w:rsidRPr="00BB50F2" w14:paraId="0F8B66BF" w14:textId="77777777" w:rsidTr="00F8293A">
        <w:trPr>
          <w:cantSplit/>
          <w:trHeight w:hRule="exact" w:val="113"/>
        </w:trPr>
        <w:tc>
          <w:tcPr>
            <w:tcW w:w="9214" w:type="dxa"/>
            <w:gridSpan w:val="6"/>
            <w:tcBorders>
              <w:top w:val="nil"/>
            </w:tcBorders>
          </w:tcPr>
          <w:p w14:paraId="0683F645" w14:textId="77777777" w:rsidR="009A2964" w:rsidRPr="00BB50F2" w:rsidRDefault="009A2964" w:rsidP="00F8293A">
            <w:pPr>
              <w:pStyle w:val="Header"/>
              <w:rPr>
                <w:rFonts w:cs="Arial"/>
              </w:rPr>
            </w:pPr>
          </w:p>
        </w:tc>
      </w:tr>
      <w:tr w:rsidR="009A2964" w:rsidRPr="00BB50F2" w14:paraId="569353A2" w14:textId="77777777" w:rsidTr="00F8293A">
        <w:trPr>
          <w:cantSplit/>
          <w:trHeight w:hRule="exact" w:val="397"/>
        </w:trPr>
        <w:tc>
          <w:tcPr>
            <w:tcW w:w="9214" w:type="dxa"/>
            <w:gridSpan w:val="6"/>
            <w:vAlign w:val="center"/>
          </w:tcPr>
          <w:p w14:paraId="71F17145" w14:textId="77777777" w:rsidR="009A2964" w:rsidRPr="00BB50F2" w:rsidRDefault="009A2964" w:rsidP="00F8293A">
            <w:pPr>
              <w:pStyle w:val="Header"/>
              <w:rPr>
                <w:rFonts w:cs="Arial"/>
              </w:rPr>
            </w:pPr>
            <w:r w:rsidRPr="00BB50F2">
              <w:rPr>
                <w:rFonts w:cs="Arial"/>
              </w:rPr>
              <w:t>Notes:</w:t>
            </w:r>
          </w:p>
        </w:tc>
      </w:tr>
      <w:tr w:rsidR="009A2964" w:rsidRPr="00BB50F2" w14:paraId="28034432" w14:textId="77777777" w:rsidTr="00F8293A">
        <w:trPr>
          <w:cantSplit/>
        </w:trPr>
        <w:tc>
          <w:tcPr>
            <w:tcW w:w="9214" w:type="dxa"/>
            <w:gridSpan w:val="6"/>
          </w:tcPr>
          <w:p w14:paraId="6CFC5985" w14:textId="77777777" w:rsidR="009A2964" w:rsidRPr="00BB50F2" w:rsidRDefault="009A2964" w:rsidP="00F8293A">
            <w:pPr>
              <w:pStyle w:val="Header"/>
              <w:rPr>
                <w:rFonts w:cs="Arial"/>
              </w:rPr>
            </w:pPr>
          </w:p>
        </w:tc>
      </w:tr>
    </w:tbl>
    <w:p w14:paraId="2B4B4706" w14:textId="77777777" w:rsidR="009A2964" w:rsidRDefault="009A2964">
      <w:pPr>
        <w:jc w:val="left"/>
        <w:rPr>
          <w:rFonts w:cs="Arial"/>
        </w:rPr>
      </w:pPr>
      <w:r>
        <w:rPr>
          <w:rFonts w:cs="Arial"/>
        </w:rPr>
        <w:br w:type="page"/>
      </w:r>
    </w:p>
    <w:tbl>
      <w:tblPr>
        <w:tblW w:w="930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0"/>
        <w:gridCol w:w="940"/>
        <w:gridCol w:w="1621"/>
        <w:gridCol w:w="2226"/>
        <w:gridCol w:w="3402"/>
        <w:gridCol w:w="515"/>
      </w:tblGrid>
      <w:tr w:rsidR="009A2964" w:rsidRPr="00BB50F2" w14:paraId="4087FFCA" w14:textId="77777777" w:rsidTr="00F8293A">
        <w:trPr>
          <w:trHeight w:hRule="exact" w:val="294"/>
        </w:trPr>
        <w:tc>
          <w:tcPr>
            <w:tcW w:w="5387" w:type="dxa"/>
            <w:gridSpan w:val="4"/>
          </w:tcPr>
          <w:p w14:paraId="02F5944C" w14:textId="77777777" w:rsidR="009A2964" w:rsidRPr="00BB50F2" w:rsidRDefault="009A2964" w:rsidP="00F8293A">
            <w:pPr>
              <w:rPr>
                <w:rFonts w:cs="Arial"/>
                <w:b/>
              </w:rPr>
            </w:pPr>
            <w:r w:rsidRPr="00BB50F2">
              <w:rPr>
                <w:rFonts w:cs="Arial"/>
                <w:b/>
              </w:rPr>
              <w:lastRenderedPageBreak/>
              <w:t xml:space="preserve">Backup success </w:t>
            </w:r>
          </w:p>
        </w:tc>
        <w:tc>
          <w:tcPr>
            <w:tcW w:w="3917" w:type="dxa"/>
            <w:gridSpan w:val="2"/>
            <w:vAlign w:val="center"/>
          </w:tcPr>
          <w:p w14:paraId="1588EA0F" w14:textId="0269133C" w:rsidR="009A2964" w:rsidRPr="00BB50F2" w:rsidRDefault="009A2964" w:rsidP="00822819">
            <w:pPr>
              <w:pStyle w:val="Heading1"/>
              <w:numPr>
                <w:ilvl w:val="0"/>
                <w:numId w:val="0"/>
              </w:numPr>
              <w:spacing w:after="120"/>
              <w:rPr>
                <w:rFonts w:cs="Arial"/>
              </w:rPr>
            </w:pPr>
            <w:r w:rsidRPr="00BB50F2">
              <w:rPr>
                <w:rFonts w:cs="Arial"/>
              </w:rPr>
              <w:t>BC-2</w:t>
            </w:r>
            <w:r>
              <w:rPr>
                <w:rFonts w:cs="Arial"/>
              </w:rPr>
              <w:t xml:space="preserve"> </w:t>
            </w:r>
            <w:r w:rsidRPr="00BB50F2">
              <w:rPr>
                <w:rFonts w:cs="Arial"/>
              </w:rPr>
              <w:t>Continuous</w:t>
            </w:r>
          </w:p>
        </w:tc>
      </w:tr>
      <w:tr w:rsidR="009A2964" w:rsidRPr="00BB50F2" w14:paraId="341BCE1A" w14:textId="77777777" w:rsidTr="00F8293A">
        <w:trPr>
          <w:cantSplit/>
          <w:trHeight w:hRule="exact" w:val="397"/>
        </w:trPr>
        <w:tc>
          <w:tcPr>
            <w:tcW w:w="9304" w:type="dxa"/>
            <w:gridSpan w:val="6"/>
            <w:vAlign w:val="center"/>
          </w:tcPr>
          <w:p w14:paraId="3C6CC705" w14:textId="77777777" w:rsidR="009A2964" w:rsidRPr="00BB50F2" w:rsidRDefault="009A2964" w:rsidP="00F8293A">
            <w:pPr>
              <w:rPr>
                <w:rFonts w:cs="Arial"/>
                <w:b/>
              </w:rPr>
            </w:pPr>
            <w:r w:rsidRPr="00BB50F2">
              <w:rPr>
                <w:rFonts w:cs="Arial"/>
                <w:b/>
              </w:rPr>
              <w:t>Definition:</w:t>
            </w:r>
          </w:p>
        </w:tc>
      </w:tr>
      <w:tr w:rsidR="009A2964" w:rsidRPr="00BB50F2" w14:paraId="10189BB2" w14:textId="77777777" w:rsidTr="00F8293A">
        <w:trPr>
          <w:cantSplit/>
        </w:trPr>
        <w:tc>
          <w:tcPr>
            <w:tcW w:w="9304" w:type="dxa"/>
            <w:gridSpan w:val="6"/>
          </w:tcPr>
          <w:p w14:paraId="29BE99A2" w14:textId="77777777" w:rsidR="009A2964" w:rsidRPr="00BB50F2" w:rsidRDefault="009A2964" w:rsidP="00F8293A">
            <w:pPr>
              <w:pStyle w:val="Header"/>
              <w:rPr>
                <w:rFonts w:cs="Arial"/>
              </w:rPr>
            </w:pPr>
            <w:r w:rsidRPr="00BB50F2">
              <w:rPr>
                <w:rFonts w:cs="Arial"/>
              </w:rPr>
              <w:t>A measure of the effectiveness of the ability to recover data associated with the Service Components during any given month</w:t>
            </w:r>
          </w:p>
        </w:tc>
      </w:tr>
      <w:tr w:rsidR="009A2964" w:rsidRPr="00BB50F2" w14:paraId="41FC59C9" w14:textId="77777777" w:rsidTr="00F8293A">
        <w:trPr>
          <w:cantSplit/>
          <w:trHeight w:hRule="exact" w:val="397"/>
        </w:trPr>
        <w:tc>
          <w:tcPr>
            <w:tcW w:w="9304" w:type="dxa"/>
            <w:gridSpan w:val="6"/>
            <w:vAlign w:val="center"/>
          </w:tcPr>
          <w:p w14:paraId="1B19A5DA" w14:textId="7C15364A" w:rsidR="009A2964" w:rsidRPr="00BB50F2" w:rsidRDefault="009A2964" w:rsidP="00F8293A">
            <w:pPr>
              <w:pStyle w:val="Header"/>
              <w:rPr>
                <w:rFonts w:cs="Arial"/>
              </w:rPr>
            </w:pPr>
            <w:r w:rsidRPr="00BB50F2">
              <w:rPr>
                <w:rFonts w:cs="Arial"/>
              </w:rPr>
              <w:t>Calculation:</w:t>
            </w:r>
          </w:p>
        </w:tc>
      </w:tr>
      <w:tr w:rsidR="009A2964" w:rsidRPr="00BB50F2" w14:paraId="6036EE29" w14:textId="77777777" w:rsidTr="00F8293A">
        <w:trPr>
          <w:cantSplit/>
        </w:trPr>
        <w:tc>
          <w:tcPr>
            <w:tcW w:w="9304" w:type="dxa"/>
            <w:gridSpan w:val="6"/>
            <w:tcBorders>
              <w:bottom w:val="nil"/>
            </w:tcBorders>
          </w:tcPr>
          <w:p w14:paraId="090D59B3" w14:textId="77777777" w:rsidR="009A2964" w:rsidRPr="00BB50F2" w:rsidRDefault="009A2964" w:rsidP="00F8293A">
            <w:pPr>
              <w:pStyle w:val="Header"/>
              <w:rPr>
                <w:rFonts w:cs="Arial"/>
              </w:rPr>
            </w:pPr>
            <w:r w:rsidRPr="00BB50F2">
              <w:rPr>
                <w:rFonts w:cs="Arial"/>
              </w:rPr>
              <w:t>_</w:t>
            </w:r>
          </w:p>
        </w:tc>
      </w:tr>
      <w:tr w:rsidR="009A2964" w:rsidRPr="00BB50F2" w14:paraId="177FDB02" w14:textId="77777777" w:rsidTr="00F8293A">
        <w:trPr>
          <w:cantSplit/>
        </w:trPr>
        <w:tc>
          <w:tcPr>
            <w:tcW w:w="600" w:type="dxa"/>
            <w:tcBorders>
              <w:top w:val="nil"/>
              <w:bottom w:val="nil"/>
              <w:right w:val="single" w:sz="4" w:space="0" w:color="999999"/>
            </w:tcBorders>
          </w:tcPr>
          <w:p w14:paraId="365B7555" w14:textId="77777777" w:rsidR="009A2964" w:rsidRPr="00BB50F2" w:rsidRDefault="009A2964" w:rsidP="00F8293A">
            <w:pPr>
              <w:pStyle w:val="Header"/>
              <w:rPr>
                <w:rFonts w:cs="Arial"/>
              </w:rPr>
            </w:pPr>
          </w:p>
        </w:tc>
        <w:tc>
          <w:tcPr>
            <w:tcW w:w="2561" w:type="dxa"/>
            <w:gridSpan w:val="2"/>
            <w:tcBorders>
              <w:top w:val="single" w:sz="4" w:space="0" w:color="999999"/>
              <w:left w:val="single" w:sz="4" w:space="0" w:color="999999"/>
              <w:bottom w:val="single" w:sz="4" w:space="0" w:color="999999"/>
              <w:right w:val="single" w:sz="4" w:space="0" w:color="999999"/>
            </w:tcBorders>
          </w:tcPr>
          <w:p w14:paraId="6DB120EF" w14:textId="141390DC" w:rsidR="009A2964" w:rsidRPr="00BB50F2" w:rsidRDefault="006A429B" w:rsidP="00F8293A">
            <w:pPr>
              <w:pStyle w:val="Header"/>
              <w:rPr>
                <w:rFonts w:cs="Arial"/>
              </w:rPr>
            </w:pPr>
            <w:r w:rsidRPr="00BB50F2">
              <w:rPr>
                <w:rFonts w:cs="Arial"/>
              </w:rPr>
              <w:t>Service</w:t>
            </w:r>
            <w:r w:rsidR="009A2964" w:rsidRPr="00BB50F2">
              <w:rPr>
                <w:rFonts w:cs="Arial"/>
              </w:rPr>
              <w:t xml:space="preserve"> components backed up</w:t>
            </w:r>
          </w:p>
        </w:tc>
        <w:tc>
          <w:tcPr>
            <w:tcW w:w="5628" w:type="dxa"/>
            <w:gridSpan w:val="2"/>
            <w:tcBorders>
              <w:top w:val="single" w:sz="4" w:space="0" w:color="999999"/>
              <w:left w:val="single" w:sz="4" w:space="0" w:color="999999"/>
              <w:bottom w:val="single" w:sz="4" w:space="0" w:color="999999"/>
              <w:right w:val="single" w:sz="4" w:space="0" w:color="999999"/>
            </w:tcBorders>
          </w:tcPr>
          <w:p w14:paraId="3F494F9C" w14:textId="431F92ED" w:rsidR="009A2964" w:rsidRPr="00BB50F2" w:rsidRDefault="009A2964" w:rsidP="00F8293A">
            <w:pPr>
              <w:pStyle w:val="Header"/>
              <w:rPr>
                <w:rFonts w:cs="Arial"/>
              </w:rPr>
            </w:pPr>
            <w:r w:rsidRPr="00BB50F2">
              <w:rPr>
                <w:rFonts w:cs="Arial"/>
              </w:rPr>
              <w:t>Number of backups of data associated with all service components made during the calendar month (SCB)</w:t>
            </w:r>
          </w:p>
        </w:tc>
        <w:tc>
          <w:tcPr>
            <w:tcW w:w="515" w:type="dxa"/>
            <w:tcBorders>
              <w:top w:val="nil"/>
              <w:left w:val="single" w:sz="4" w:space="0" w:color="999999"/>
              <w:bottom w:val="nil"/>
            </w:tcBorders>
          </w:tcPr>
          <w:p w14:paraId="7A7FE4F7" w14:textId="77777777" w:rsidR="009A2964" w:rsidRPr="00BB50F2" w:rsidRDefault="009A2964" w:rsidP="00F8293A">
            <w:pPr>
              <w:pStyle w:val="Header"/>
              <w:rPr>
                <w:rFonts w:cs="Arial"/>
              </w:rPr>
            </w:pPr>
          </w:p>
        </w:tc>
      </w:tr>
      <w:tr w:rsidR="009A2964" w:rsidRPr="00BB50F2" w14:paraId="0D1D186F" w14:textId="77777777" w:rsidTr="00F8293A">
        <w:trPr>
          <w:cantSplit/>
        </w:trPr>
        <w:tc>
          <w:tcPr>
            <w:tcW w:w="600" w:type="dxa"/>
            <w:tcBorders>
              <w:top w:val="nil"/>
              <w:bottom w:val="nil"/>
              <w:right w:val="single" w:sz="4" w:space="0" w:color="999999"/>
            </w:tcBorders>
          </w:tcPr>
          <w:p w14:paraId="1F019832" w14:textId="77777777" w:rsidR="009A2964" w:rsidRPr="00BB50F2" w:rsidRDefault="009A2964" w:rsidP="00F8293A">
            <w:pPr>
              <w:pStyle w:val="Header"/>
              <w:rPr>
                <w:rFonts w:cs="Arial"/>
              </w:rPr>
            </w:pPr>
          </w:p>
        </w:tc>
        <w:tc>
          <w:tcPr>
            <w:tcW w:w="2561" w:type="dxa"/>
            <w:gridSpan w:val="2"/>
            <w:tcBorders>
              <w:top w:val="single" w:sz="4" w:space="0" w:color="999999"/>
              <w:left w:val="single" w:sz="4" w:space="0" w:color="999999"/>
              <w:bottom w:val="single" w:sz="4" w:space="0" w:color="999999"/>
              <w:right w:val="single" w:sz="4" w:space="0" w:color="999999"/>
            </w:tcBorders>
          </w:tcPr>
          <w:p w14:paraId="1B38800C" w14:textId="65A1EDA9" w:rsidR="009A2964" w:rsidRPr="00BB50F2" w:rsidRDefault="009A2964" w:rsidP="00F8293A">
            <w:pPr>
              <w:pStyle w:val="Header"/>
              <w:rPr>
                <w:rFonts w:cs="Arial"/>
              </w:rPr>
            </w:pPr>
            <w:r w:rsidRPr="00BB50F2">
              <w:rPr>
                <w:rFonts w:cs="Arial"/>
              </w:rPr>
              <w:t xml:space="preserve">Total number of service </w:t>
            </w:r>
            <w:r w:rsidR="006A429B" w:rsidRPr="00BB50F2">
              <w:rPr>
                <w:rFonts w:cs="Arial"/>
              </w:rPr>
              <w:t>components</w:t>
            </w:r>
            <w:r w:rsidRPr="00BB50F2">
              <w:rPr>
                <w:rFonts w:cs="Arial"/>
              </w:rPr>
              <w:t xml:space="preserve"> successfully backed up</w:t>
            </w:r>
          </w:p>
        </w:tc>
        <w:tc>
          <w:tcPr>
            <w:tcW w:w="5628" w:type="dxa"/>
            <w:gridSpan w:val="2"/>
            <w:tcBorders>
              <w:top w:val="single" w:sz="4" w:space="0" w:color="999999"/>
              <w:left w:val="single" w:sz="4" w:space="0" w:color="999999"/>
              <w:bottom w:val="single" w:sz="4" w:space="0" w:color="999999"/>
              <w:right w:val="single" w:sz="4" w:space="0" w:color="999999"/>
            </w:tcBorders>
          </w:tcPr>
          <w:p w14:paraId="61950394" w14:textId="1B7D2458" w:rsidR="009A2964" w:rsidRPr="00BB50F2" w:rsidRDefault="009A2964" w:rsidP="00F8293A">
            <w:pPr>
              <w:pStyle w:val="Header"/>
              <w:rPr>
                <w:rFonts w:cs="Arial"/>
              </w:rPr>
            </w:pPr>
            <w:r w:rsidRPr="00BB50F2">
              <w:rPr>
                <w:rFonts w:cs="Arial"/>
              </w:rPr>
              <w:t>The total number of backups successfully made for all service components during the calendar month (SCBSUC) as</w:t>
            </w:r>
            <w:r w:rsidR="00A60B0B">
              <w:rPr>
                <w:rFonts w:cs="Arial"/>
              </w:rPr>
              <w:t xml:space="preserve"> </w:t>
            </w:r>
            <w:r w:rsidRPr="00BB50F2">
              <w:rPr>
                <w:rFonts w:cs="Arial"/>
              </w:rPr>
              <w:t>evidenced by backup logs.</w:t>
            </w:r>
          </w:p>
        </w:tc>
        <w:tc>
          <w:tcPr>
            <w:tcW w:w="515" w:type="dxa"/>
            <w:tcBorders>
              <w:top w:val="nil"/>
              <w:left w:val="single" w:sz="4" w:space="0" w:color="999999"/>
              <w:bottom w:val="nil"/>
            </w:tcBorders>
          </w:tcPr>
          <w:p w14:paraId="2CB73FF3" w14:textId="77777777" w:rsidR="009A2964" w:rsidRPr="00BB50F2" w:rsidRDefault="009A2964" w:rsidP="00F8293A">
            <w:pPr>
              <w:pStyle w:val="Header"/>
              <w:rPr>
                <w:rFonts w:cs="Arial"/>
              </w:rPr>
            </w:pPr>
          </w:p>
        </w:tc>
      </w:tr>
      <w:tr w:rsidR="009A2964" w:rsidRPr="00BB50F2" w14:paraId="302BFA31" w14:textId="77777777" w:rsidTr="00F8293A">
        <w:trPr>
          <w:cantSplit/>
        </w:trPr>
        <w:tc>
          <w:tcPr>
            <w:tcW w:w="600" w:type="dxa"/>
            <w:tcBorders>
              <w:top w:val="nil"/>
              <w:bottom w:val="nil"/>
              <w:right w:val="single" w:sz="4" w:space="0" w:color="999999"/>
            </w:tcBorders>
          </w:tcPr>
          <w:p w14:paraId="303F14EB" w14:textId="77777777" w:rsidR="009A2964" w:rsidRPr="00BB50F2" w:rsidRDefault="009A2964" w:rsidP="00F8293A">
            <w:pPr>
              <w:pStyle w:val="Header"/>
              <w:rPr>
                <w:rFonts w:cs="Arial"/>
              </w:rPr>
            </w:pPr>
          </w:p>
        </w:tc>
        <w:tc>
          <w:tcPr>
            <w:tcW w:w="2561" w:type="dxa"/>
            <w:gridSpan w:val="2"/>
            <w:tcBorders>
              <w:top w:val="single" w:sz="4" w:space="0" w:color="999999"/>
              <w:left w:val="single" w:sz="4" w:space="0" w:color="999999"/>
              <w:bottom w:val="single" w:sz="4" w:space="0" w:color="999999"/>
              <w:right w:val="single" w:sz="4" w:space="0" w:color="999999"/>
            </w:tcBorders>
          </w:tcPr>
          <w:p w14:paraId="7F1256DB" w14:textId="77777777" w:rsidR="009A2964" w:rsidRPr="00BB50F2" w:rsidRDefault="009A2964" w:rsidP="00F8293A">
            <w:pPr>
              <w:pStyle w:val="Header"/>
              <w:rPr>
                <w:rFonts w:cs="Arial"/>
              </w:rPr>
            </w:pPr>
          </w:p>
        </w:tc>
        <w:tc>
          <w:tcPr>
            <w:tcW w:w="5628" w:type="dxa"/>
            <w:gridSpan w:val="2"/>
            <w:tcBorders>
              <w:top w:val="single" w:sz="4" w:space="0" w:color="999999"/>
              <w:left w:val="single" w:sz="4" w:space="0" w:color="999999"/>
              <w:bottom w:val="single" w:sz="4" w:space="0" w:color="999999"/>
              <w:right w:val="single" w:sz="4" w:space="0" w:color="999999"/>
            </w:tcBorders>
          </w:tcPr>
          <w:p w14:paraId="7D9B0771" w14:textId="77777777" w:rsidR="009A2964" w:rsidRPr="00BB50F2" w:rsidRDefault="009A2964" w:rsidP="00F8293A">
            <w:pPr>
              <w:pStyle w:val="Header"/>
              <w:rPr>
                <w:rFonts w:cs="Arial"/>
              </w:rPr>
            </w:pPr>
          </w:p>
        </w:tc>
        <w:tc>
          <w:tcPr>
            <w:tcW w:w="515" w:type="dxa"/>
            <w:tcBorders>
              <w:top w:val="nil"/>
              <w:left w:val="single" w:sz="4" w:space="0" w:color="999999"/>
              <w:bottom w:val="nil"/>
            </w:tcBorders>
          </w:tcPr>
          <w:p w14:paraId="3F796BDE" w14:textId="77777777" w:rsidR="009A2964" w:rsidRPr="00BB50F2" w:rsidRDefault="009A2964" w:rsidP="00F8293A">
            <w:pPr>
              <w:pStyle w:val="Header"/>
              <w:rPr>
                <w:rFonts w:cs="Arial"/>
              </w:rPr>
            </w:pPr>
          </w:p>
        </w:tc>
      </w:tr>
      <w:tr w:rsidR="009A2964" w:rsidRPr="00BB50F2" w14:paraId="3FACA9D4" w14:textId="77777777" w:rsidTr="00F8293A">
        <w:trPr>
          <w:cantSplit/>
          <w:trHeight w:hRule="exact" w:val="113"/>
        </w:trPr>
        <w:tc>
          <w:tcPr>
            <w:tcW w:w="9304" w:type="dxa"/>
            <w:gridSpan w:val="6"/>
            <w:tcBorders>
              <w:top w:val="nil"/>
            </w:tcBorders>
          </w:tcPr>
          <w:p w14:paraId="2229FBC6" w14:textId="77777777" w:rsidR="009A2964" w:rsidRPr="00BB50F2" w:rsidRDefault="009A2964" w:rsidP="00F8293A">
            <w:pPr>
              <w:pStyle w:val="Header"/>
              <w:rPr>
                <w:rFonts w:cs="Arial"/>
              </w:rPr>
            </w:pPr>
          </w:p>
        </w:tc>
      </w:tr>
      <w:tr w:rsidR="009A2964" w:rsidRPr="00BB50F2" w14:paraId="29B68884" w14:textId="77777777" w:rsidTr="00F8293A">
        <w:trPr>
          <w:cantSplit/>
          <w:trHeight w:hRule="exact" w:val="397"/>
        </w:trPr>
        <w:tc>
          <w:tcPr>
            <w:tcW w:w="9304" w:type="dxa"/>
            <w:gridSpan w:val="6"/>
            <w:vAlign w:val="center"/>
          </w:tcPr>
          <w:p w14:paraId="5DFC0E1E" w14:textId="77777777" w:rsidR="009A2964" w:rsidRPr="00BB50F2" w:rsidRDefault="009A2964" w:rsidP="00F8293A">
            <w:pPr>
              <w:pStyle w:val="Header"/>
              <w:rPr>
                <w:rFonts w:cs="Arial"/>
              </w:rPr>
            </w:pPr>
            <w:r w:rsidRPr="00BB50F2">
              <w:rPr>
                <w:rFonts w:cs="Arial"/>
              </w:rPr>
              <w:t>Measurement:</w:t>
            </w:r>
          </w:p>
        </w:tc>
      </w:tr>
      <w:tr w:rsidR="009A2964" w:rsidRPr="00BB50F2" w14:paraId="447452A8" w14:textId="77777777" w:rsidTr="00F8293A">
        <w:trPr>
          <w:cantSplit/>
          <w:trHeight w:hRule="exact" w:val="113"/>
        </w:trPr>
        <w:tc>
          <w:tcPr>
            <w:tcW w:w="9304" w:type="dxa"/>
            <w:gridSpan w:val="6"/>
            <w:tcBorders>
              <w:bottom w:val="nil"/>
            </w:tcBorders>
          </w:tcPr>
          <w:p w14:paraId="5A9FEDD8" w14:textId="77777777" w:rsidR="009A2964" w:rsidRPr="00BB50F2" w:rsidRDefault="009A2964" w:rsidP="00F8293A">
            <w:pPr>
              <w:pStyle w:val="Header"/>
              <w:rPr>
                <w:rFonts w:cs="Arial"/>
              </w:rPr>
            </w:pPr>
          </w:p>
        </w:tc>
      </w:tr>
      <w:tr w:rsidR="009A2964" w:rsidRPr="00BB50F2" w14:paraId="12A9B347" w14:textId="77777777" w:rsidTr="00F8293A">
        <w:trPr>
          <w:cantSplit/>
        </w:trPr>
        <w:tc>
          <w:tcPr>
            <w:tcW w:w="600" w:type="dxa"/>
            <w:tcBorders>
              <w:top w:val="nil"/>
              <w:bottom w:val="nil"/>
              <w:right w:val="single" w:sz="4" w:space="0" w:color="999999"/>
            </w:tcBorders>
          </w:tcPr>
          <w:p w14:paraId="3D93D30B" w14:textId="77777777" w:rsidR="009A2964" w:rsidRPr="00BB50F2" w:rsidRDefault="009A2964" w:rsidP="00F8293A">
            <w:pPr>
              <w:pStyle w:val="Header"/>
              <w:rPr>
                <w:rFonts w:cs="Arial"/>
              </w:rPr>
            </w:pPr>
          </w:p>
        </w:tc>
        <w:tc>
          <w:tcPr>
            <w:tcW w:w="2561" w:type="dxa"/>
            <w:gridSpan w:val="2"/>
            <w:tcBorders>
              <w:top w:val="single" w:sz="4" w:space="0" w:color="999999"/>
              <w:left w:val="single" w:sz="4" w:space="0" w:color="999999"/>
              <w:bottom w:val="single" w:sz="4" w:space="0" w:color="999999"/>
              <w:right w:val="single" w:sz="4" w:space="0" w:color="999999"/>
            </w:tcBorders>
          </w:tcPr>
          <w:p w14:paraId="6B1428EE" w14:textId="77777777" w:rsidR="009A2964" w:rsidRPr="00BB50F2" w:rsidRDefault="009A2964" w:rsidP="00F8293A">
            <w:pPr>
              <w:pStyle w:val="Header"/>
              <w:rPr>
                <w:rFonts w:cs="Arial"/>
              </w:rPr>
            </w:pPr>
            <w:r w:rsidRPr="00BB50F2">
              <w:rPr>
                <w:rFonts w:cs="Arial"/>
              </w:rPr>
              <w:t>Period</w:t>
            </w:r>
          </w:p>
        </w:tc>
        <w:tc>
          <w:tcPr>
            <w:tcW w:w="5628" w:type="dxa"/>
            <w:gridSpan w:val="2"/>
            <w:tcBorders>
              <w:top w:val="single" w:sz="4" w:space="0" w:color="999999"/>
              <w:left w:val="single" w:sz="4" w:space="0" w:color="999999"/>
              <w:bottom w:val="single" w:sz="4" w:space="0" w:color="999999"/>
              <w:right w:val="single" w:sz="4" w:space="0" w:color="999999"/>
            </w:tcBorders>
          </w:tcPr>
          <w:p w14:paraId="7F732DCA" w14:textId="77777777" w:rsidR="009A2964" w:rsidRPr="00BB50F2" w:rsidRDefault="009A2964" w:rsidP="00F8293A">
            <w:pPr>
              <w:pStyle w:val="Header"/>
              <w:rPr>
                <w:rFonts w:cs="Arial"/>
              </w:rPr>
            </w:pPr>
            <w:r w:rsidRPr="00BB50F2">
              <w:rPr>
                <w:rFonts w:cs="Arial"/>
              </w:rPr>
              <w:t>Monthly</w:t>
            </w:r>
          </w:p>
        </w:tc>
        <w:tc>
          <w:tcPr>
            <w:tcW w:w="515" w:type="dxa"/>
            <w:tcBorders>
              <w:top w:val="nil"/>
              <w:left w:val="single" w:sz="4" w:space="0" w:color="999999"/>
              <w:bottom w:val="nil"/>
            </w:tcBorders>
          </w:tcPr>
          <w:p w14:paraId="00B09DFD" w14:textId="77777777" w:rsidR="009A2964" w:rsidRPr="00BB50F2" w:rsidRDefault="009A2964" w:rsidP="00F8293A">
            <w:pPr>
              <w:pStyle w:val="Header"/>
              <w:rPr>
                <w:rFonts w:cs="Arial"/>
              </w:rPr>
            </w:pPr>
          </w:p>
        </w:tc>
      </w:tr>
      <w:tr w:rsidR="009A2964" w:rsidRPr="00BB50F2" w14:paraId="53DB4DC1" w14:textId="77777777" w:rsidTr="00F8293A">
        <w:trPr>
          <w:cantSplit/>
        </w:trPr>
        <w:tc>
          <w:tcPr>
            <w:tcW w:w="600" w:type="dxa"/>
            <w:tcBorders>
              <w:top w:val="nil"/>
              <w:bottom w:val="nil"/>
              <w:right w:val="single" w:sz="4" w:space="0" w:color="999999"/>
            </w:tcBorders>
          </w:tcPr>
          <w:p w14:paraId="134F5F66" w14:textId="77777777" w:rsidR="009A2964" w:rsidRPr="00BB50F2" w:rsidRDefault="009A2964" w:rsidP="00F8293A">
            <w:pPr>
              <w:pStyle w:val="Header"/>
              <w:rPr>
                <w:rFonts w:cs="Arial"/>
              </w:rPr>
            </w:pPr>
          </w:p>
        </w:tc>
        <w:tc>
          <w:tcPr>
            <w:tcW w:w="2561" w:type="dxa"/>
            <w:gridSpan w:val="2"/>
            <w:tcBorders>
              <w:top w:val="single" w:sz="4" w:space="0" w:color="999999"/>
              <w:left w:val="single" w:sz="4" w:space="0" w:color="999999"/>
              <w:bottom w:val="single" w:sz="4" w:space="0" w:color="999999"/>
              <w:right w:val="single" w:sz="4" w:space="0" w:color="999999"/>
            </w:tcBorders>
          </w:tcPr>
          <w:p w14:paraId="670B784C" w14:textId="77777777" w:rsidR="009A2964" w:rsidRPr="00BB50F2" w:rsidRDefault="009A2964" w:rsidP="00F8293A">
            <w:pPr>
              <w:pStyle w:val="Header"/>
              <w:rPr>
                <w:rFonts w:cs="Arial"/>
              </w:rPr>
            </w:pPr>
            <w:r w:rsidRPr="00BB50F2">
              <w:rPr>
                <w:rFonts w:cs="Arial"/>
              </w:rPr>
              <w:t>Method</w:t>
            </w:r>
          </w:p>
        </w:tc>
        <w:tc>
          <w:tcPr>
            <w:tcW w:w="5628" w:type="dxa"/>
            <w:gridSpan w:val="2"/>
            <w:tcBorders>
              <w:top w:val="single" w:sz="4" w:space="0" w:color="999999"/>
              <w:left w:val="single" w:sz="4" w:space="0" w:color="999999"/>
              <w:bottom w:val="single" w:sz="4" w:space="0" w:color="999999"/>
              <w:right w:val="single" w:sz="4" w:space="0" w:color="999999"/>
            </w:tcBorders>
          </w:tcPr>
          <w:p w14:paraId="3E12F28F" w14:textId="77777777" w:rsidR="009A2964" w:rsidRPr="00BB50F2" w:rsidRDefault="009A2964" w:rsidP="00F8293A">
            <w:pPr>
              <w:pStyle w:val="Header"/>
              <w:rPr>
                <w:rFonts w:cs="Arial"/>
              </w:rPr>
            </w:pPr>
            <w:r w:rsidRPr="00BB50F2">
              <w:rPr>
                <w:rFonts w:cs="Arial"/>
              </w:rPr>
              <w:t>The KPI will be made through an analysis of the log files created by the Solution</w:t>
            </w:r>
          </w:p>
        </w:tc>
        <w:tc>
          <w:tcPr>
            <w:tcW w:w="515" w:type="dxa"/>
            <w:tcBorders>
              <w:top w:val="nil"/>
              <w:left w:val="single" w:sz="4" w:space="0" w:color="999999"/>
              <w:bottom w:val="nil"/>
            </w:tcBorders>
          </w:tcPr>
          <w:p w14:paraId="77F02C2A" w14:textId="77777777" w:rsidR="009A2964" w:rsidRPr="00BB50F2" w:rsidRDefault="009A2964" w:rsidP="00F8293A">
            <w:pPr>
              <w:pStyle w:val="Header"/>
              <w:rPr>
                <w:rFonts w:cs="Arial"/>
              </w:rPr>
            </w:pPr>
          </w:p>
        </w:tc>
      </w:tr>
      <w:tr w:rsidR="009A2964" w:rsidRPr="00BB50F2" w14:paraId="5EE96535" w14:textId="77777777" w:rsidTr="00F8293A">
        <w:trPr>
          <w:cantSplit/>
          <w:trHeight w:hRule="exact" w:val="113"/>
        </w:trPr>
        <w:tc>
          <w:tcPr>
            <w:tcW w:w="9304" w:type="dxa"/>
            <w:gridSpan w:val="6"/>
            <w:tcBorders>
              <w:top w:val="nil"/>
            </w:tcBorders>
          </w:tcPr>
          <w:p w14:paraId="1F42C0C1" w14:textId="77777777" w:rsidR="009A2964" w:rsidRPr="00BB50F2" w:rsidRDefault="009A2964" w:rsidP="00F8293A">
            <w:pPr>
              <w:pStyle w:val="Header"/>
              <w:rPr>
                <w:rFonts w:cs="Arial"/>
              </w:rPr>
            </w:pPr>
          </w:p>
        </w:tc>
      </w:tr>
      <w:tr w:rsidR="009A2964" w:rsidRPr="00BB50F2" w14:paraId="39ED1B3C" w14:textId="77777777" w:rsidTr="00F8293A">
        <w:trPr>
          <w:cantSplit/>
          <w:trHeight w:hRule="exact" w:val="397"/>
        </w:trPr>
        <w:tc>
          <w:tcPr>
            <w:tcW w:w="9304" w:type="dxa"/>
            <w:gridSpan w:val="6"/>
            <w:vAlign w:val="center"/>
          </w:tcPr>
          <w:p w14:paraId="3ADC8BD4" w14:textId="77777777" w:rsidR="009A2964" w:rsidRPr="00BB50F2" w:rsidRDefault="009A2964" w:rsidP="00F8293A">
            <w:pPr>
              <w:pStyle w:val="Header"/>
              <w:rPr>
                <w:rFonts w:cs="Arial"/>
              </w:rPr>
            </w:pPr>
            <w:r w:rsidRPr="00BB50F2">
              <w:rPr>
                <w:rFonts w:cs="Arial"/>
              </w:rPr>
              <w:t>Service Credit Levels:</w:t>
            </w:r>
          </w:p>
        </w:tc>
      </w:tr>
      <w:tr w:rsidR="009A2964" w:rsidRPr="00BB50F2" w14:paraId="59D032A6" w14:textId="77777777" w:rsidTr="00F8293A">
        <w:trPr>
          <w:cantSplit/>
          <w:trHeight w:hRule="exact" w:val="113"/>
        </w:trPr>
        <w:tc>
          <w:tcPr>
            <w:tcW w:w="9304" w:type="dxa"/>
            <w:gridSpan w:val="6"/>
            <w:tcBorders>
              <w:bottom w:val="nil"/>
            </w:tcBorders>
          </w:tcPr>
          <w:p w14:paraId="583A90C1" w14:textId="77777777" w:rsidR="009A2964" w:rsidRPr="00BB50F2" w:rsidRDefault="009A2964" w:rsidP="00F8293A">
            <w:pPr>
              <w:pStyle w:val="Header"/>
              <w:rPr>
                <w:rFonts w:cs="Arial"/>
              </w:rPr>
            </w:pPr>
          </w:p>
        </w:tc>
      </w:tr>
      <w:tr w:rsidR="009A2964" w:rsidRPr="00BB50F2" w14:paraId="2F2D9D3A" w14:textId="77777777" w:rsidTr="00F8293A">
        <w:trPr>
          <w:cantSplit/>
        </w:trPr>
        <w:tc>
          <w:tcPr>
            <w:tcW w:w="600" w:type="dxa"/>
            <w:tcBorders>
              <w:top w:val="nil"/>
              <w:bottom w:val="nil"/>
              <w:right w:val="single" w:sz="4" w:space="0" w:color="999999"/>
            </w:tcBorders>
          </w:tcPr>
          <w:p w14:paraId="2333F1C8" w14:textId="77777777" w:rsidR="009A2964" w:rsidRPr="00BB50F2" w:rsidRDefault="009A2964" w:rsidP="00F8293A">
            <w:pPr>
              <w:pStyle w:val="Header"/>
              <w:rPr>
                <w:rFonts w:cs="Arial"/>
              </w:rPr>
            </w:pPr>
          </w:p>
        </w:tc>
        <w:tc>
          <w:tcPr>
            <w:tcW w:w="8189" w:type="dxa"/>
            <w:gridSpan w:val="4"/>
            <w:tcBorders>
              <w:top w:val="single" w:sz="4" w:space="0" w:color="999999"/>
              <w:left w:val="single" w:sz="4" w:space="0" w:color="999999"/>
              <w:bottom w:val="single" w:sz="4" w:space="0" w:color="999999"/>
              <w:right w:val="single" w:sz="4" w:space="0" w:color="999999"/>
            </w:tcBorders>
          </w:tcPr>
          <w:p w14:paraId="1ACF5994" w14:textId="77777777" w:rsidR="009A2964" w:rsidRPr="00BB50F2" w:rsidRDefault="009A2964" w:rsidP="00F8293A">
            <w:pPr>
              <w:pStyle w:val="Header"/>
              <w:rPr>
                <w:rFonts w:cs="Arial"/>
              </w:rPr>
            </w:pPr>
            <w:r w:rsidRPr="00BB50F2">
              <w:rPr>
                <w:rFonts w:cs="Arial"/>
              </w:rPr>
              <w:t xml:space="preserve">Steady State </w:t>
            </w:r>
          </w:p>
        </w:tc>
        <w:tc>
          <w:tcPr>
            <w:tcW w:w="515" w:type="dxa"/>
            <w:tcBorders>
              <w:top w:val="nil"/>
              <w:left w:val="single" w:sz="4" w:space="0" w:color="999999"/>
              <w:bottom w:val="nil"/>
            </w:tcBorders>
          </w:tcPr>
          <w:p w14:paraId="1FAC4707" w14:textId="77777777" w:rsidR="009A2964" w:rsidRPr="00BB50F2" w:rsidRDefault="009A2964" w:rsidP="00F8293A">
            <w:pPr>
              <w:pStyle w:val="Header"/>
              <w:rPr>
                <w:rFonts w:cs="Arial"/>
              </w:rPr>
            </w:pPr>
          </w:p>
        </w:tc>
      </w:tr>
      <w:tr w:rsidR="009A2964" w:rsidRPr="00BB50F2" w14:paraId="40CB7B28" w14:textId="77777777" w:rsidTr="00F8293A">
        <w:trPr>
          <w:cantSplit/>
        </w:trPr>
        <w:tc>
          <w:tcPr>
            <w:tcW w:w="600" w:type="dxa"/>
            <w:tcBorders>
              <w:top w:val="nil"/>
              <w:bottom w:val="nil"/>
              <w:right w:val="single" w:sz="4" w:space="0" w:color="999999"/>
            </w:tcBorders>
          </w:tcPr>
          <w:p w14:paraId="03F59111" w14:textId="77777777" w:rsidR="009A2964" w:rsidRPr="00BB50F2" w:rsidRDefault="009A2964" w:rsidP="00F8293A">
            <w:pPr>
              <w:pStyle w:val="Header"/>
              <w:rPr>
                <w:rFonts w:cs="Arial"/>
              </w:rPr>
            </w:pPr>
          </w:p>
        </w:tc>
        <w:tc>
          <w:tcPr>
            <w:tcW w:w="2561" w:type="dxa"/>
            <w:gridSpan w:val="2"/>
            <w:tcBorders>
              <w:top w:val="single" w:sz="4" w:space="0" w:color="999999"/>
              <w:left w:val="single" w:sz="4" w:space="0" w:color="999999"/>
              <w:bottom w:val="single" w:sz="4" w:space="0" w:color="999999"/>
              <w:right w:val="single" w:sz="4" w:space="0" w:color="999999"/>
            </w:tcBorders>
          </w:tcPr>
          <w:p w14:paraId="7ECAE83A" w14:textId="77777777" w:rsidR="009A2964" w:rsidRPr="00BB50F2" w:rsidRDefault="009A2964" w:rsidP="00F8293A">
            <w:pPr>
              <w:pStyle w:val="Header"/>
              <w:rPr>
                <w:rFonts w:cs="Arial"/>
              </w:rPr>
            </w:pPr>
            <w:r w:rsidRPr="00BB50F2">
              <w:rPr>
                <w:rFonts w:cs="Arial"/>
              </w:rPr>
              <w:t>Actual Service Usage</w:t>
            </w:r>
          </w:p>
        </w:tc>
        <w:tc>
          <w:tcPr>
            <w:tcW w:w="2226" w:type="dxa"/>
            <w:vMerge w:val="restart"/>
            <w:tcBorders>
              <w:top w:val="single" w:sz="4" w:space="0" w:color="999999"/>
              <w:left w:val="single" w:sz="4" w:space="0" w:color="999999"/>
              <w:right w:val="single" w:sz="4" w:space="0" w:color="999999"/>
            </w:tcBorders>
            <w:vAlign w:val="bottom"/>
          </w:tcPr>
          <w:p w14:paraId="493BFBF8" w14:textId="77777777" w:rsidR="009A2964" w:rsidRPr="00BB50F2" w:rsidRDefault="009A2964" w:rsidP="00F8293A">
            <w:pPr>
              <w:pStyle w:val="Header"/>
              <w:rPr>
                <w:rFonts w:cs="Arial"/>
              </w:rPr>
            </w:pPr>
            <w:r w:rsidRPr="00BB50F2">
              <w:rPr>
                <w:rFonts w:cs="Arial"/>
              </w:rPr>
              <w:t>Calculation</w:t>
            </w:r>
          </w:p>
        </w:tc>
        <w:tc>
          <w:tcPr>
            <w:tcW w:w="3402" w:type="dxa"/>
            <w:vMerge w:val="restart"/>
            <w:tcBorders>
              <w:top w:val="single" w:sz="4" w:space="0" w:color="999999"/>
              <w:left w:val="single" w:sz="4" w:space="0" w:color="999999"/>
              <w:right w:val="single" w:sz="4" w:space="0" w:color="999999"/>
            </w:tcBorders>
            <w:vAlign w:val="bottom"/>
          </w:tcPr>
          <w:p w14:paraId="1D3E3F86" w14:textId="77777777" w:rsidR="009A2964" w:rsidRPr="00BB50F2" w:rsidRDefault="009A2964" w:rsidP="00F8293A">
            <w:pPr>
              <w:pStyle w:val="Header"/>
              <w:rPr>
                <w:rFonts w:cs="Arial"/>
              </w:rPr>
            </w:pPr>
            <w:r w:rsidRPr="00BB50F2">
              <w:rPr>
                <w:rFonts w:cs="Arial"/>
              </w:rPr>
              <w:t>Notes</w:t>
            </w:r>
          </w:p>
        </w:tc>
        <w:tc>
          <w:tcPr>
            <w:tcW w:w="515" w:type="dxa"/>
            <w:tcBorders>
              <w:top w:val="nil"/>
              <w:left w:val="single" w:sz="4" w:space="0" w:color="999999"/>
              <w:bottom w:val="nil"/>
            </w:tcBorders>
          </w:tcPr>
          <w:p w14:paraId="7817B6C4" w14:textId="77777777" w:rsidR="009A2964" w:rsidRPr="00BB50F2" w:rsidRDefault="009A2964" w:rsidP="00F8293A">
            <w:pPr>
              <w:pStyle w:val="Header"/>
              <w:rPr>
                <w:rFonts w:cs="Arial"/>
              </w:rPr>
            </w:pPr>
          </w:p>
        </w:tc>
      </w:tr>
      <w:tr w:rsidR="009A2964" w:rsidRPr="00BB50F2" w14:paraId="01930B67" w14:textId="77777777" w:rsidTr="00F8293A">
        <w:trPr>
          <w:cantSplit/>
        </w:trPr>
        <w:tc>
          <w:tcPr>
            <w:tcW w:w="600" w:type="dxa"/>
            <w:tcBorders>
              <w:top w:val="nil"/>
              <w:bottom w:val="nil"/>
              <w:right w:val="single" w:sz="4" w:space="0" w:color="999999"/>
            </w:tcBorders>
          </w:tcPr>
          <w:p w14:paraId="59409468" w14:textId="77777777" w:rsidR="009A2964" w:rsidRPr="00BB50F2" w:rsidRDefault="009A2964" w:rsidP="00F8293A">
            <w:pPr>
              <w:pStyle w:val="Header"/>
              <w:rPr>
                <w:rFonts w:cs="Arial"/>
              </w:rPr>
            </w:pPr>
          </w:p>
        </w:tc>
        <w:tc>
          <w:tcPr>
            <w:tcW w:w="940" w:type="dxa"/>
            <w:tcBorders>
              <w:top w:val="single" w:sz="4" w:space="0" w:color="999999"/>
              <w:left w:val="single" w:sz="4" w:space="0" w:color="999999"/>
              <w:bottom w:val="single" w:sz="4" w:space="0" w:color="999999"/>
              <w:right w:val="single" w:sz="4" w:space="0" w:color="999999"/>
            </w:tcBorders>
          </w:tcPr>
          <w:p w14:paraId="1D8A42AF" w14:textId="77777777" w:rsidR="009A2964" w:rsidRPr="00BB50F2" w:rsidRDefault="009A2964" w:rsidP="00F8293A">
            <w:pPr>
              <w:pStyle w:val="Header"/>
              <w:rPr>
                <w:rFonts w:cs="Arial"/>
              </w:rPr>
            </w:pPr>
            <w:r w:rsidRPr="00BB50F2">
              <w:rPr>
                <w:rFonts w:cs="Arial"/>
              </w:rPr>
              <w:t>Lower</w:t>
            </w:r>
          </w:p>
        </w:tc>
        <w:tc>
          <w:tcPr>
            <w:tcW w:w="1621" w:type="dxa"/>
            <w:tcBorders>
              <w:top w:val="single" w:sz="4" w:space="0" w:color="999999"/>
              <w:left w:val="single" w:sz="4" w:space="0" w:color="999999"/>
              <w:bottom w:val="single" w:sz="4" w:space="0" w:color="999999"/>
              <w:right w:val="single" w:sz="4" w:space="0" w:color="999999"/>
            </w:tcBorders>
          </w:tcPr>
          <w:p w14:paraId="5C2CF270" w14:textId="77777777" w:rsidR="009A2964" w:rsidRPr="00BB50F2" w:rsidRDefault="009A2964" w:rsidP="00F8293A">
            <w:pPr>
              <w:pStyle w:val="Header"/>
              <w:rPr>
                <w:rFonts w:cs="Arial"/>
              </w:rPr>
            </w:pPr>
            <w:r w:rsidRPr="00BB50F2">
              <w:rPr>
                <w:rFonts w:cs="Arial"/>
              </w:rPr>
              <w:t>Upper</w:t>
            </w:r>
          </w:p>
        </w:tc>
        <w:tc>
          <w:tcPr>
            <w:tcW w:w="2226" w:type="dxa"/>
            <w:vMerge/>
            <w:tcBorders>
              <w:left w:val="single" w:sz="4" w:space="0" w:color="999999"/>
              <w:bottom w:val="single" w:sz="4" w:space="0" w:color="999999"/>
              <w:right w:val="single" w:sz="4" w:space="0" w:color="999999"/>
            </w:tcBorders>
          </w:tcPr>
          <w:p w14:paraId="435D9BBD" w14:textId="77777777" w:rsidR="009A2964" w:rsidRPr="00BB50F2" w:rsidRDefault="009A2964" w:rsidP="00F8293A">
            <w:pPr>
              <w:pStyle w:val="Header"/>
              <w:rPr>
                <w:rFonts w:cs="Arial"/>
              </w:rPr>
            </w:pPr>
          </w:p>
        </w:tc>
        <w:tc>
          <w:tcPr>
            <w:tcW w:w="3402" w:type="dxa"/>
            <w:vMerge/>
            <w:tcBorders>
              <w:left w:val="single" w:sz="4" w:space="0" w:color="999999"/>
              <w:bottom w:val="single" w:sz="4" w:space="0" w:color="999999"/>
              <w:right w:val="single" w:sz="4" w:space="0" w:color="999999"/>
            </w:tcBorders>
          </w:tcPr>
          <w:p w14:paraId="792C6E75" w14:textId="77777777" w:rsidR="009A2964" w:rsidRPr="00BB50F2" w:rsidRDefault="009A2964" w:rsidP="00F8293A">
            <w:pPr>
              <w:pStyle w:val="Header"/>
              <w:rPr>
                <w:rFonts w:cs="Arial"/>
              </w:rPr>
            </w:pPr>
          </w:p>
        </w:tc>
        <w:tc>
          <w:tcPr>
            <w:tcW w:w="515" w:type="dxa"/>
            <w:tcBorders>
              <w:top w:val="nil"/>
              <w:left w:val="single" w:sz="4" w:space="0" w:color="999999"/>
              <w:bottom w:val="nil"/>
            </w:tcBorders>
          </w:tcPr>
          <w:p w14:paraId="389685AD" w14:textId="77777777" w:rsidR="009A2964" w:rsidRPr="00BB50F2" w:rsidRDefault="009A2964" w:rsidP="00F8293A">
            <w:pPr>
              <w:pStyle w:val="Header"/>
              <w:rPr>
                <w:rFonts w:cs="Arial"/>
              </w:rPr>
            </w:pPr>
          </w:p>
        </w:tc>
      </w:tr>
      <w:tr w:rsidR="009A2964" w:rsidRPr="00BB50F2" w14:paraId="0D55D14B" w14:textId="77777777" w:rsidTr="00F8293A">
        <w:trPr>
          <w:cantSplit/>
        </w:trPr>
        <w:tc>
          <w:tcPr>
            <w:tcW w:w="600" w:type="dxa"/>
            <w:tcBorders>
              <w:top w:val="nil"/>
              <w:bottom w:val="nil"/>
              <w:right w:val="single" w:sz="4" w:space="0" w:color="999999"/>
            </w:tcBorders>
          </w:tcPr>
          <w:p w14:paraId="012921D3" w14:textId="77777777" w:rsidR="009A2964" w:rsidRPr="00BB50F2" w:rsidRDefault="009A2964" w:rsidP="00F8293A">
            <w:pPr>
              <w:pStyle w:val="ssPara5"/>
              <w:spacing w:after="120" w:line="240" w:lineRule="auto"/>
              <w:rPr>
                <w:sz w:val="20"/>
                <w:szCs w:val="20"/>
              </w:rPr>
            </w:pPr>
          </w:p>
        </w:tc>
        <w:tc>
          <w:tcPr>
            <w:tcW w:w="940" w:type="dxa"/>
            <w:tcBorders>
              <w:top w:val="single" w:sz="4" w:space="0" w:color="999999"/>
              <w:left w:val="single" w:sz="4" w:space="0" w:color="999999"/>
              <w:bottom w:val="single" w:sz="4" w:space="0" w:color="999999"/>
              <w:right w:val="single" w:sz="4" w:space="0" w:color="999999"/>
            </w:tcBorders>
            <w:vAlign w:val="center"/>
          </w:tcPr>
          <w:p w14:paraId="22033FFF" w14:textId="77777777" w:rsidR="009A2964" w:rsidRPr="00BB50F2" w:rsidRDefault="009A2964" w:rsidP="00F8293A">
            <w:pPr>
              <w:pStyle w:val="Header"/>
              <w:rPr>
                <w:rFonts w:cs="Arial"/>
              </w:rPr>
            </w:pPr>
            <w:r w:rsidRPr="00BB50F2">
              <w:rPr>
                <w:rFonts w:cs="Arial"/>
              </w:rPr>
              <w:t>0.xxx</w:t>
            </w:r>
          </w:p>
        </w:tc>
        <w:tc>
          <w:tcPr>
            <w:tcW w:w="1621" w:type="dxa"/>
            <w:tcBorders>
              <w:top w:val="single" w:sz="4" w:space="0" w:color="999999"/>
              <w:left w:val="single" w:sz="4" w:space="0" w:color="999999"/>
              <w:bottom w:val="single" w:sz="4" w:space="0" w:color="999999"/>
              <w:right w:val="single" w:sz="4" w:space="0" w:color="999999"/>
            </w:tcBorders>
            <w:vAlign w:val="center"/>
          </w:tcPr>
          <w:p w14:paraId="71BADC48" w14:textId="77777777" w:rsidR="009A2964" w:rsidRPr="00BB50F2" w:rsidRDefault="009A2964" w:rsidP="00F8293A">
            <w:pPr>
              <w:pStyle w:val="Header"/>
              <w:rPr>
                <w:rFonts w:cs="Arial"/>
              </w:rPr>
            </w:pPr>
            <w:r w:rsidRPr="00BB50F2">
              <w:rPr>
                <w:rFonts w:cs="Arial"/>
              </w:rPr>
              <w:t>1</w:t>
            </w:r>
          </w:p>
        </w:tc>
        <w:tc>
          <w:tcPr>
            <w:tcW w:w="2226" w:type="dxa"/>
            <w:tcBorders>
              <w:top w:val="single" w:sz="4" w:space="0" w:color="999999"/>
              <w:left w:val="single" w:sz="4" w:space="0" w:color="999999"/>
              <w:bottom w:val="single" w:sz="4" w:space="0" w:color="999999"/>
              <w:right w:val="single" w:sz="4" w:space="0" w:color="999999"/>
            </w:tcBorders>
            <w:vAlign w:val="center"/>
          </w:tcPr>
          <w:p w14:paraId="28A1A204" w14:textId="77777777" w:rsidR="009A2964" w:rsidRPr="00BB50F2" w:rsidRDefault="009A2964" w:rsidP="00F8293A">
            <w:pPr>
              <w:pStyle w:val="Header"/>
              <w:rPr>
                <w:rFonts w:cs="Arial"/>
              </w:rPr>
            </w:pPr>
            <w:r w:rsidRPr="00BB50F2">
              <w:rPr>
                <w:rFonts w:cs="Arial"/>
              </w:rPr>
              <w:t>SCBSUC/SCB</w:t>
            </w:r>
          </w:p>
        </w:tc>
        <w:tc>
          <w:tcPr>
            <w:tcW w:w="3402" w:type="dxa"/>
            <w:tcBorders>
              <w:top w:val="single" w:sz="4" w:space="0" w:color="999999"/>
              <w:left w:val="single" w:sz="4" w:space="0" w:color="999999"/>
              <w:bottom w:val="single" w:sz="4" w:space="0" w:color="999999"/>
              <w:right w:val="single" w:sz="4" w:space="0" w:color="999999"/>
            </w:tcBorders>
            <w:vAlign w:val="center"/>
          </w:tcPr>
          <w:p w14:paraId="5BD14C3E" w14:textId="77777777" w:rsidR="009A2964" w:rsidRPr="00BB50F2" w:rsidRDefault="009A2964" w:rsidP="00F8293A">
            <w:pPr>
              <w:pStyle w:val="Header"/>
              <w:rPr>
                <w:rFonts w:cs="Arial"/>
              </w:rPr>
            </w:pPr>
            <w:r w:rsidRPr="00BB50F2">
              <w:rPr>
                <w:rFonts w:cs="Arial"/>
              </w:rPr>
              <w:t>Service target</w:t>
            </w:r>
          </w:p>
        </w:tc>
        <w:tc>
          <w:tcPr>
            <w:tcW w:w="515" w:type="dxa"/>
            <w:tcBorders>
              <w:top w:val="nil"/>
              <w:left w:val="single" w:sz="4" w:space="0" w:color="999999"/>
              <w:bottom w:val="nil"/>
            </w:tcBorders>
          </w:tcPr>
          <w:p w14:paraId="0766C9BB" w14:textId="77777777" w:rsidR="009A2964" w:rsidRPr="00BB50F2" w:rsidRDefault="009A2964" w:rsidP="00F8293A">
            <w:pPr>
              <w:pStyle w:val="ssPara5"/>
              <w:spacing w:after="120" w:line="240" w:lineRule="auto"/>
              <w:rPr>
                <w:sz w:val="20"/>
                <w:szCs w:val="20"/>
              </w:rPr>
            </w:pPr>
          </w:p>
        </w:tc>
      </w:tr>
      <w:tr w:rsidR="009A2964" w:rsidRPr="00BB50F2" w14:paraId="50A96BA4" w14:textId="77777777" w:rsidTr="00F8293A">
        <w:trPr>
          <w:cantSplit/>
        </w:trPr>
        <w:tc>
          <w:tcPr>
            <w:tcW w:w="600" w:type="dxa"/>
            <w:tcBorders>
              <w:top w:val="nil"/>
              <w:bottom w:val="nil"/>
              <w:right w:val="single" w:sz="4" w:space="0" w:color="999999"/>
            </w:tcBorders>
          </w:tcPr>
          <w:p w14:paraId="304AF33A" w14:textId="77777777" w:rsidR="009A2964" w:rsidRPr="00BB50F2" w:rsidRDefault="009A2964" w:rsidP="00F8293A">
            <w:pPr>
              <w:pStyle w:val="ssPara5"/>
              <w:spacing w:after="120" w:line="240" w:lineRule="auto"/>
              <w:rPr>
                <w:sz w:val="20"/>
                <w:szCs w:val="20"/>
              </w:rPr>
            </w:pPr>
          </w:p>
        </w:tc>
        <w:tc>
          <w:tcPr>
            <w:tcW w:w="940" w:type="dxa"/>
            <w:tcBorders>
              <w:top w:val="single" w:sz="4" w:space="0" w:color="999999"/>
              <w:left w:val="single" w:sz="4" w:space="0" w:color="999999"/>
              <w:bottom w:val="single" w:sz="4" w:space="0" w:color="999999"/>
              <w:right w:val="single" w:sz="4" w:space="0" w:color="999999"/>
            </w:tcBorders>
            <w:vAlign w:val="center"/>
          </w:tcPr>
          <w:p w14:paraId="4661CEC3" w14:textId="77777777" w:rsidR="009A2964" w:rsidRPr="00BB50F2" w:rsidRDefault="009A2964" w:rsidP="00F8293A">
            <w:pPr>
              <w:pStyle w:val="Header"/>
              <w:rPr>
                <w:rFonts w:cs="Arial"/>
              </w:rPr>
            </w:pPr>
            <w:r w:rsidRPr="00BB50F2">
              <w:rPr>
                <w:rFonts w:cs="Arial"/>
              </w:rPr>
              <w:t>0.yyy</w:t>
            </w:r>
          </w:p>
        </w:tc>
        <w:tc>
          <w:tcPr>
            <w:tcW w:w="1621" w:type="dxa"/>
            <w:tcBorders>
              <w:top w:val="single" w:sz="4" w:space="0" w:color="999999"/>
              <w:left w:val="single" w:sz="4" w:space="0" w:color="999999"/>
              <w:bottom w:val="single" w:sz="4" w:space="0" w:color="999999"/>
              <w:right w:val="single" w:sz="4" w:space="0" w:color="999999"/>
            </w:tcBorders>
            <w:vAlign w:val="center"/>
          </w:tcPr>
          <w:p w14:paraId="3145EEC0" w14:textId="77777777" w:rsidR="009A2964" w:rsidRPr="00BB50F2" w:rsidRDefault="009A2964" w:rsidP="00F8293A">
            <w:pPr>
              <w:pStyle w:val="Header"/>
              <w:rPr>
                <w:rFonts w:cs="Arial"/>
              </w:rPr>
            </w:pPr>
            <w:r w:rsidRPr="00BB50F2">
              <w:rPr>
                <w:rFonts w:cs="Arial"/>
              </w:rPr>
              <w:t>&lt;0.xxx</w:t>
            </w:r>
          </w:p>
        </w:tc>
        <w:tc>
          <w:tcPr>
            <w:tcW w:w="2226" w:type="dxa"/>
            <w:tcBorders>
              <w:top w:val="single" w:sz="4" w:space="0" w:color="999999"/>
              <w:left w:val="single" w:sz="4" w:space="0" w:color="999999"/>
              <w:bottom w:val="single" w:sz="4" w:space="0" w:color="999999"/>
              <w:right w:val="single" w:sz="4" w:space="0" w:color="999999"/>
            </w:tcBorders>
            <w:vAlign w:val="center"/>
          </w:tcPr>
          <w:p w14:paraId="62E50268" w14:textId="77777777" w:rsidR="009A2964" w:rsidRPr="00BB50F2" w:rsidRDefault="009A2964" w:rsidP="00F8293A">
            <w:pPr>
              <w:pStyle w:val="Header"/>
              <w:rPr>
                <w:rFonts w:cs="Arial"/>
              </w:rPr>
            </w:pPr>
            <w:r w:rsidRPr="00BB50F2">
              <w:rPr>
                <w:rFonts w:cs="Arial"/>
              </w:rPr>
              <w:t>SCBSUC/SCB</w:t>
            </w:r>
          </w:p>
        </w:tc>
        <w:tc>
          <w:tcPr>
            <w:tcW w:w="3402" w:type="dxa"/>
            <w:tcBorders>
              <w:top w:val="single" w:sz="4" w:space="0" w:color="999999"/>
              <w:left w:val="single" w:sz="4" w:space="0" w:color="999999"/>
              <w:bottom w:val="single" w:sz="4" w:space="0" w:color="999999"/>
              <w:right w:val="single" w:sz="4" w:space="0" w:color="999999"/>
            </w:tcBorders>
            <w:vAlign w:val="center"/>
          </w:tcPr>
          <w:p w14:paraId="069A34A3" w14:textId="77777777" w:rsidR="009A2964" w:rsidRPr="00BB50F2" w:rsidRDefault="009A2964" w:rsidP="00F8293A">
            <w:pPr>
              <w:pStyle w:val="Header"/>
              <w:rPr>
                <w:rFonts w:cs="Arial"/>
              </w:rPr>
            </w:pPr>
            <w:r w:rsidRPr="00BB50F2">
              <w:rPr>
                <w:rFonts w:cs="Arial"/>
              </w:rPr>
              <w:t>Service Pass</w:t>
            </w:r>
          </w:p>
        </w:tc>
        <w:tc>
          <w:tcPr>
            <w:tcW w:w="515" w:type="dxa"/>
            <w:tcBorders>
              <w:top w:val="nil"/>
              <w:left w:val="single" w:sz="4" w:space="0" w:color="999999"/>
              <w:bottom w:val="nil"/>
            </w:tcBorders>
          </w:tcPr>
          <w:p w14:paraId="64E2176C" w14:textId="77777777" w:rsidR="009A2964" w:rsidRPr="00BB50F2" w:rsidRDefault="009A2964" w:rsidP="00F8293A">
            <w:pPr>
              <w:pStyle w:val="ssPara5"/>
              <w:spacing w:after="120" w:line="240" w:lineRule="auto"/>
              <w:rPr>
                <w:sz w:val="20"/>
                <w:szCs w:val="20"/>
              </w:rPr>
            </w:pPr>
          </w:p>
        </w:tc>
      </w:tr>
      <w:tr w:rsidR="009A2964" w:rsidRPr="00BB50F2" w14:paraId="6F667932" w14:textId="77777777" w:rsidTr="00F8293A">
        <w:trPr>
          <w:cantSplit/>
        </w:trPr>
        <w:tc>
          <w:tcPr>
            <w:tcW w:w="600" w:type="dxa"/>
            <w:tcBorders>
              <w:top w:val="nil"/>
              <w:bottom w:val="nil"/>
              <w:right w:val="single" w:sz="4" w:space="0" w:color="999999"/>
            </w:tcBorders>
          </w:tcPr>
          <w:p w14:paraId="0E935184" w14:textId="77777777" w:rsidR="009A2964" w:rsidRPr="00BB50F2" w:rsidRDefault="009A2964" w:rsidP="00F8293A">
            <w:pPr>
              <w:pStyle w:val="ssPara5"/>
              <w:spacing w:after="120" w:line="240" w:lineRule="auto"/>
              <w:rPr>
                <w:sz w:val="20"/>
                <w:szCs w:val="20"/>
              </w:rPr>
            </w:pPr>
          </w:p>
        </w:tc>
        <w:tc>
          <w:tcPr>
            <w:tcW w:w="940" w:type="dxa"/>
            <w:tcBorders>
              <w:top w:val="single" w:sz="4" w:space="0" w:color="999999"/>
              <w:left w:val="single" w:sz="4" w:space="0" w:color="999999"/>
              <w:bottom w:val="single" w:sz="4" w:space="0" w:color="999999"/>
              <w:right w:val="single" w:sz="4" w:space="0" w:color="999999"/>
            </w:tcBorders>
            <w:vAlign w:val="center"/>
          </w:tcPr>
          <w:p w14:paraId="44AAEDC0" w14:textId="77777777" w:rsidR="009A2964" w:rsidRPr="00BB50F2" w:rsidRDefault="009A2964" w:rsidP="00F8293A">
            <w:pPr>
              <w:pStyle w:val="Header"/>
              <w:rPr>
                <w:rFonts w:cs="Arial"/>
              </w:rPr>
            </w:pPr>
            <w:r w:rsidRPr="00BB50F2">
              <w:rPr>
                <w:rFonts w:cs="Arial"/>
              </w:rPr>
              <w:t>0</w:t>
            </w:r>
          </w:p>
        </w:tc>
        <w:tc>
          <w:tcPr>
            <w:tcW w:w="1621" w:type="dxa"/>
            <w:tcBorders>
              <w:top w:val="single" w:sz="4" w:space="0" w:color="999999"/>
              <w:left w:val="single" w:sz="4" w:space="0" w:color="999999"/>
              <w:bottom w:val="single" w:sz="4" w:space="0" w:color="999999"/>
              <w:right w:val="single" w:sz="4" w:space="0" w:color="999999"/>
            </w:tcBorders>
            <w:vAlign w:val="center"/>
          </w:tcPr>
          <w:p w14:paraId="6C6FAC73" w14:textId="77777777" w:rsidR="009A2964" w:rsidRPr="00BB50F2" w:rsidRDefault="009A2964" w:rsidP="00F8293A">
            <w:pPr>
              <w:pStyle w:val="Header"/>
              <w:rPr>
                <w:rFonts w:cs="Arial"/>
              </w:rPr>
            </w:pPr>
            <w:r w:rsidRPr="00BB50F2">
              <w:rPr>
                <w:rFonts w:cs="Arial"/>
              </w:rPr>
              <w:t>&lt;0.yyy</w:t>
            </w:r>
          </w:p>
        </w:tc>
        <w:tc>
          <w:tcPr>
            <w:tcW w:w="2226" w:type="dxa"/>
            <w:tcBorders>
              <w:top w:val="single" w:sz="4" w:space="0" w:color="999999"/>
              <w:left w:val="single" w:sz="4" w:space="0" w:color="999999"/>
              <w:bottom w:val="single" w:sz="4" w:space="0" w:color="999999"/>
              <w:right w:val="single" w:sz="4" w:space="0" w:color="999999"/>
            </w:tcBorders>
            <w:vAlign w:val="center"/>
          </w:tcPr>
          <w:p w14:paraId="13379F7B" w14:textId="77777777" w:rsidR="009A2964" w:rsidRPr="00BB50F2" w:rsidRDefault="009A2964" w:rsidP="00F8293A">
            <w:pPr>
              <w:pStyle w:val="Header"/>
              <w:rPr>
                <w:rFonts w:cs="Arial"/>
              </w:rPr>
            </w:pPr>
            <w:r w:rsidRPr="00BB50F2">
              <w:rPr>
                <w:rFonts w:cs="Arial"/>
              </w:rPr>
              <w:t>SCBSUC/SCB</w:t>
            </w:r>
          </w:p>
        </w:tc>
        <w:tc>
          <w:tcPr>
            <w:tcW w:w="3402" w:type="dxa"/>
            <w:tcBorders>
              <w:top w:val="single" w:sz="4" w:space="0" w:color="999999"/>
              <w:left w:val="single" w:sz="4" w:space="0" w:color="999999"/>
              <w:bottom w:val="single" w:sz="4" w:space="0" w:color="999999"/>
              <w:right w:val="single" w:sz="4" w:space="0" w:color="999999"/>
            </w:tcBorders>
            <w:vAlign w:val="center"/>
          </w:tcPr>
          <w:p w14:paraId="57EDF425" w14:textId="77777777" w:rsidR="009A2964" w:rsidRPr="00BB50F2" w:rsidRDefault="009A2964" w:rsidP="00F8293A">
            <w:pPr>
              <w:pStyle w:val="Header"/>
              <w:rPr>
                <w:rFonts w:cs="Arial"/>
              </w:rPr>
            </w:pPr>
            <w:r w:rsidRPr="00BB50F2">
              <w:rPr>
                <w:rFonts w:cs="Arial"/>
              </w:rPr>
              <w:t>Service Failure</w:t>
            </w:r>
          </w:p>
        </w:tc>
        <w:tc>
          <w:tcPr>
            <w:tcW w:w="515" w:type="dxa"/>
            <w:tcBorders>
              <w:top w:val="nil"/>
              <w:left w:val="single" w:sz="4" w:space="0" w:color="999999"/>
              <w:bottom w:val="nil"/>
            </w:tcBorders>
          </w:tcPr>
          <w:p w14:paraId="5EBC0DB3" w14:textId="77777777" w:rsidR="009A2964" w:rsidRPr="00BB50F2" w:rsidRDefault="009A2964" w:rsidP="00F8293A">
            <w:pPr>
              <w:pStyle w:val="Header"/>
              <w:rPr>
                <w:rFonts w:cs="Arial"/>
              </w:rPr>
            </w:pPr>
          </w:p>
        </w:tc>
      </w:tr>
      <w:tr w:rsidR="009A2964" w:rsidRPr="00BB50F2" w14:paraId="600825F8" w14:textId="77777777" w:rsidTr="00F8293A">
        <w:trPr>
          <w:cantSplit/>
          <w:trHeight w:hRule="exact" w:val="113"/>
        </w:trPr>
        <w:tc>
          <w:tcPr>
            <w:tcW w:w="9304" w:type="dxa"/>
            <w:gridSpan w:val="6"/>
            <w:tcBorders>
              <w:top w:val="nil"/>
              <w:bottom w:val="nil"/>
            </w:tcBorders>
          </w:tcPr>
          <w:p w14:paraId="494465F4" w14:textId="77777777" w:rsidR="009A2964" w:rsidRPr="00BB50F2" w:rsidRDefault="009A2964" w:rsidP="00F8293A">
            <w:pPr>
              <w:pStyle w:val="Header"/>
              <w:rPr>
                <w:rFonts w:cs="Arial"/>
              </w:rPr>
            </w:pPr>
          </w:p>
        </w:tc>
      </w:tr>
      <w:tr w:rsidR="009A2964" w:rsidRPr="00BB50F2" w14:paraId="6EC2D823" w14:textId="77777777" w:rsidTr="00F8293A">
        <w:trPr>
          <w:cantSplit/>
          <w:trHeight w:hRule="exact" w:val="113"/>
        </w:trPr>
        <w:tc>
          <w:tcPr>
            <w:tcW w:w="9304" w:type="dxa"/>
            <w:gridSpan w:val="6"/>
            <w:tcBorders>
              <w:top w:val="nil"/>
            </w:tcBorders>
          </w:tcPr>
          <w:p w14:paraId="33A57D40" w14:textId="77777777" w:rsidR="009A2964" w:rsidRPr="00BB50F2" w:rsidRDefault="009A2964" w:rsidP="00F8293A">
            <w:pPr>
              <w:pStyle w:val="Header"/>
              <w:rPr>
                <w:rFonts w:cs="Arial"/>
              </w:rPr>
            </w:pPr>
          </w:p>
        </w:tc>
      </w:tr>
      <w:tr w:rsidR="009A2964" w:rsidRPr="00BB50F2" w14:paraId="1ED702C7" w14:textId="77777777" w:rsidTr="00F8293A">
        <w:trPr>
          <w:cantSplit/>
          <w:trHeight w:hRule="exact" w:val="397"/>
        </w:trPr>
        <w:tc>
          <w:tcPr>
            <w:tcW w:w="9304" w:type="dxa"/>
            <w:gridSpan w:val="6"/>
            <w:vAlign w:val="center"/>
          </w:tcPr>
          <w:p w14:paraId="43EAB964" w14:textId="77777777" w:rsidR="009A2964" w:rsidRPr="00BB50F2" w:rsidRDefault="009A2964" w:rsidP="00F8293A">
            <w:pPr>
              <w:pStyle w:val="Header"/>
              <w:rPr>
                <w:rFonts w:cs="Arial"/>
              </w:rPr>
            </w:pPr>
            <w:r w:rsidRPr="00BB50F2">
              <w:rPr>
                <w:rFonts w:cs="Arial"/>
              </w:rPr>
              <w:t>Notes:</w:t>
            </w:r>
          </w:p>
        </w:tc>
      </w:tr>
      <w:tr w:rsidR="009A2964" w:rsidRPr="00BB50F2" w14:paraId="6FE48079" w14:textId="77777777" w:rsidTr="00F8293A">
        <w:trPr>
          <w:cantSplit/>
        </w:trPr>
        <w:tc>
          <w:tcPr>
            <w:tcW w:w="9304" w:type="dxa"/>
            <w:gridSpan w:val="6"/>
          </w:tcPr>
          <w:p w14:paraId="399250C7" w14:textId="77777777" w:rsidR="009A2964" w:rsidRPr="00BB50F2" w:rsidRDefault="009A2964" w:rsidP="00F8293A">
            <w:pPr>
              <w:pStyle w:val="Header"/>
              <w:rPr>
                <w:rFonts w:cs="Arial"/>
              </w:rPr>
            </w:pPr>
            <w:r w:rsidRPr="00BB50F2">
              <w:rPr>
                <w:rFonts w:cs="Arial"/>
              </w:rPr>
              <w:t xml:space="preserve">xxx – target as defined in table </w:t>
            </w:r>
            <w:proofErr w:type="gramStart"/>
            <w:r w:rsidRPr="00BB50F2">
              <w:rPr>
                <w:rFonts w:cs="Arial"/>
              </w:rPr>
              <w:t>1</w:t>
            </w:r>
            <w:proofErr w:type="gramEnd"/>
          </w:p>
          <w:p w14:paraId="3D31BCE2" w14:textId="77777777" w:rsidR="009A2964" w:rsidRPr="00BB50F2" w:rsidRDefault="009A2964" w:rsidP="00F8293A">
            <w:pPr>
              <w:pStyle w:val="Header"/>
              <w:rPr>
                <w:rFonts w:cs="Arial"/>
              </w:rPr>
            </w:pPr>
            <w:proofErr w:type="spellStart"/>
            <w:r w:rsidRPr="00BB50F2">
              <w:rPr>
                <w:rFonts w:cs="Arial"/>
              </w:rPr>
              <w:t>yyy</w:t>
            </w:r>
            <w:proofErr w:type="spellEnd"/>
            <w:r w:rsidRPr="00BB50F2">
              <w:rPr>
                <w:rFonts w:cs="Arial"/>
              </w:rPr>
              <w:t xml:space="preserve">- acceptable as defined in table </w:t>
            </w:r>
            <w:proofErr w:type="gramStart"/>
            <w:r w:rsidRPr="00BB50F2">
              <w:rPr>
                <w:rFonts w:cs="Arial"/>
              </w:rPr>
              <w:t>1</w:t>
            </w:r>
            <w:proofErr w:type="gramEnd"/>
          </w:p>
          <w:p w14:paraId="3827F4BB" w14:textId="77777777" w:rsidR="009A2964" w:rsidRPr="00BB50F2" w:rsidRDefault="009A2964" w:rsidP="00F8293A">
            <w:pPr>
              <w:pStyle w:val="Header"/>
              <w:rPr>
                <w:rFonts w:cs="Arial"/>
              </w:rPr>
            </w:pPr>
          </w:p>
        </w:tc>
      </w:tr>
    </w:tbl>
    <w:p w14:paraId="2C219A4B" w14:textId="77777777" w:rsidR="009A2964" w:rsidRPr="00BB50F2" w:rsidRDefault="009A2964" w:rsidP="00F8293A">
      <w:pPr>
        <w:jc w:val="left"/>
        <w:rPr>
          <w:rFonts w:cs="Arial"/>
        </w:rPr>
      </w:pPr>
    </w:p>
    <w:p w14:paraId="2028FE4C" w14:textId="77777777" w:rsidR="009A2964" w:rsidRPr="00BB50F2" w:rsidRDefault="009A2964" w:rsidP="00F8293A">
      <w:pPr>
        <w:jc w:val="left"/>
        <w:rPr>
          <w:rFonts w:cs="Arial"/>
        </w:rPr>
      </w:pPr>
      <w:r w:rsidRPr="00BB50F2">
        <w:rPr>
          <w:rFonts w:cs="Arial"/>
        </w:rPr>
        <w:br w:type="page"/>
      </w:r>
    </w:p>
    <w:tbl>
      <w:tblPr>
        <w:tblW w:w="92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1"/>
        <w:gridCol w:w="935"/>
        <w:gridCol w:w="1596"/>
        <w:gridCol w:w="2974"/>
        <w:gridCol w:w="2835"/>
        <w:gridCol w:w="274"/>
      </w:tblGrid>
      <w:tr w:rsidR="009A2964" w:rsidRPr="00BB50F2" w14:paraId="4F73E3D8" w14:textId="77777777" w:rsidTr="00701A9B">
        <w:trPr>
          <w:trHeight w:hRule="exact" w:val="662"/>
        </w:trPr>
        <w:tc>
          <w:tcPr>
            <w:tcW w:w="6096" w:type="dxa"/>
            <w:gridSpan w:val="4"/>
          </w:tcPr>
          <w:p w14:paraId="0F905CE5" w14:textId="77777777" w:rsidR="009A2964" w:rsidRPr="00BB50F2" w:rsidRDefault="009A2964" w:rsidP="00F8293A">
            <w:pPr>
              <w:rPr>
                <w:rFonts w:cs="Arial"/>
                <w:b/>
              </w:rPr>
            </w:pPr>
            <w:r w:rsidRPr="00BB50F2">
              <w:rPr>
                <w:rFonts w:cs="Arial"/>
                <w:b/>
              </w:rPr>
              <w:lastRenderedPageBreak/>
              <w:t xml:space="preserve">Backup Restoration success </w:t>
            </w:r>
          </w:p>
        </w:tc>
        <w:tc>
          <w:tcPr>
            <w:tcW w:w="3109" w:type="dxa"/>
            <w:gridSpan w:val="2"/>
            <w:vAlign w:val="center"/>
          </w:tcPr>
          <w:p w14:paraId="67C36E85" w14:textId="10275932" w:rsidR="009A2964" w:rsidRPr="00BB50F2" w:rsidRDefault="009A2964" w:rsidP="00822819">
            <w:pPr>
              <w:pStyle w:val="Heading1"/>
              <w:numPr>
                <w:ilvl w:val="0"/>
                <w:numId w:val="0"/>
              </w:numPr>
              <w:spacing w:after="120"/>
              <w:rPr>
                <w:rFonts w:cs="Arial"/>
              </w:rPr>
            </w:pPr>
            <w:r w:rsidRPr="00BB50F2">
              <w:rPr>
                <w:rFonts w:cs="Arial"/>
              </w:rPr>
              <w:t>BC-3</w:t>
            </w:r>
            <w:r>
              <w:rPr>
                <w:rFonts w:cs="Arial"/>
              </w:rPr>
              <w:t xml:space="preserve"> </w:t>
            </w:r>
            <w:r w:rsidRPr="00BB50F2">
              <w:rPr>
                <w:rFonts w:cs="Arial"/>
              </w:rPr>
              <w:t>Continuous</w:t>
            </w:r>
          </w:p>
        </w:tc>
      </w:tr>
      <w:tr w:rsidR="009A2964" w:rsidRPr="00BB50F2" w14:paraId="7F4A7148" w14:textId="77777777" w:rsidTr="00F8293A">
        <w:trPr>
          <w:cantSplit/>
          <w:trHeight w:hRule="exact" w:val="397"/>
        </w:trPr>
        <w:tc>
          <w:tcPr>
            <w:tcW w:w="9205" w:type="dxa"/>
            <w:gridSpan w:val="6"/>
            <w:vAlign w:val="center"/>
          </w:tcPr>
          <w:p w14:paraId="2BF8B527" w14:textId="77777777" w:rsidR="009A2964" w:rsidRPr="00BB50F2" w:rsidRDefault="009A2964" w:rsidP="00F8293A">
            <w:pPr>
              <w:rPr>
                <w:rFonts w:cs="Arial"/>
                <w:b/>
              </w:rPr>
            </w:pPr>
            <w:r w:rsidRPr="00BB50F2">
              <w:rPr>
                <w:rFonts w:cs="Arial"/>
                <w:b/>
              </w:rPr>
              <w:t>Definition:</w:t>
            </w:r>
          </w:p>
        </w:tc>
      </w:tr>
      <w:tr w:rsidR="009A2964" w:rsidRPr="00BB50F2" w14:paraId="2E5BD009" w14:textId="77777777" w:rsidTr="00F8293A">
        <w:trPr>
          <w:cantSplit/>
        </w:trPr>
        <w:tc>
          <w:tcPr>
            <w:tcW w:w="9205" w:type="dxa"/>
            <w:gridSpan w:val="6"/>
          </w:tcPr>
          <w:p w14:paraId="65E8C85F" w14:textId="77777777" w:rsidR="009A2964" w:rsidRPr="00BB50F2" w:rsidRDefault="009A2964" w:rsidP="00F8293A">
            <w:pPr>
              <w:pStyle w:val="Header"/>
              <w:rPr>
                <w:rFonts w:cs="Arial"/>
              </w:rPr>
            </w:pPr>
            <w:r w:rsidRPr="00BB50F2">
              <w:rPr>
                <w:rFonts w:cs="Arial"/>
              </w:rPr>
              <w:t>A measure of the effectiveness of the ability to recover data associated with the Service Components during any given month</w:t>
            </w:r>
          </w:p>
        </w:tc>
      </w:tr>
      <w:tr w:rsidR="009A2964" w:rsidRPr="00BB50F2" w14:paraId="677511BB" w14:textId="77777777" w:rsidTr="00F8293A">
        <w:trPr>
          <w:cantSplit/>
          <w:trHeight w:hRule="exact" w:val="397"/>
        </w:trPr>
        <w:tc>
          <w:tcPr>
            <w:tcW w:w="9205" w:type="dxa"/>
            <w:gridSpan w:val="6"/>
            <w:vAlign w:val="center"/>
          </w:tcPr>
          <w:p w14:paraId="1348B5D9" w14:textId="1F041EA0" w:rsidR="009A2964" w:rsidRPr="00BB50F2" w:rsidRDefault="009A2964" w:rsidP="00F8293A">
            <w:pPr>
              <w:pStyle w:val="Header"/>
              <w:rPr>
                <w:rFonts w:cs="Arial"/>
              </w:rPr>
            </w:pPr>
            <w:r w:rsidRPr="00BB50F2">
              <w:rPr>
                <w:rFonts w:cs="Arial"/>
              </w:rPr>
              <w:t>Calculation:</w:t>
            </w:r>
          </w:p>
        </w:tc>
      </w:tr>
      <w:tr w:rsidR="009A2964" w:rsidRPr="00BB50F2" w14:paraId="67577741" w14:textId="77777777" w:rsidTr="00F8293A">
        <w:trPr>
          <w:cantSplit/>
        </w:trPr>
        <w:tc>
          <w:tcPr>
            <w:tcW w:w="9205" w:type="dxa"/>
            <w:gridSpan w:val="6"/>
            <w:tcBorders>
              <w:bottom w:val="nil"/>
            </w:tcBorders>
          </w:tcPr>
          <w:p w14:paraId="11363337" w14:textId="77777777" w:rsidR="009A2964" w:rsidRPr="00BB50F2" w:rsidRDefault="009A2964" w:rsidP="00F8293A">
            <w:pPr>
              <w:pStyle w:val="Header"/>
              <w:rPr>
                <w:rFonts w:cs="Arial"/>
              </w:rPr>
            </w:pPr>
            <w:r w:rsidRPr="00BB50F2">
              <w:rPr>
                <w:rFonts w:cs="Arial"/>
              </w:rPr>
              <w:t>_</w:t>
            </w:r>
          </w:p>
        </w:tc>
      </w:tr>
      <w:tr w:rsidR="009A2964" w:rsidRPr="00BB50F2" w14:paraId="53EE36D1" w14:textId="77777777" w:rsidTr="00F8293A">
        <w:trPr>
          <w:cantSplit/>
        </w:trPr>
        <w:tc>
          <w:tcPr>
            <w:tcW w:w="591" w:type="dxa"/>
            <w:tcBorders>
              <w:top w:val="nil"/>
              <w:bottom w:val="nil"/>
              <w:right w:val="single" w:sz="4" w:space="0" w:color="999999"/>
            </w:tcBorders>
          </w:tcPr>
          <w:p w14:paraId="2186F43F" w14:textId="77777777" w:rsidR="009A2964" w:rsidRPr="00BB50F2" w:rsidRDefault="009A2964" w:rsidP="00F8293A">
            <w:pPr>
              <w:pStyle w:val="Header"/>
              <w:rPr>
                <w:rFonts w:cs="Arial"/>
              </w:rPr>
            </w:pPr>
          </w:p>
        </w:tc>
        <w:tc>
          <w:tcPr>
            <w:tcW w:w="2531" w:type="dxa"/>
            <w:gridSpan w:val="2"/>
            <w:tcBorders>
              <w:top w:val="single" w:sz="4" w:space="0" w:color="999999"/>
              <w:left w:val="single" w:sz="4" w:space="0" w:color="999999"/>
              <w:bottom w:val="single" w:sz="4" w:space="0" w:color="999999"/>
              <w:right w:val="single" w:sz="4" w:space="0" w:color="999999"/>
            </w:tcBorders>
          </w:tcPr>
          <w:p w14:paraId="5154E37C" w14:textId="50957CC0" w:rsidR="009A2964" w:rsidRPr="00BB50F2" w:rsidRDefault="006A429B" w:rsidP="00F8293A">
            <w:pPr>
              <w:pStyle w:val="Header"/>
              <w:rPr>
                <w:rFonts w:cs="Arial"/>
              </w:rPr>
            </w:pPr>
            <w:r w:rsidRPr="00BB50F2">
              <w:rPr>
                <w:rFonts w:cs="Arial"/>
              </w:rPr>
              <w:t>Service</w:t>
            </w:r>
            <w:r w:rsidR="009A2964" w:rsidRPr="00BB50F2">
              <w:rPr>
                <w:rFonts w:cs="Arial"/>
              </w:rPr>
              <w:t xml:space="preserve"> components Restoration requests</w:t>
            </w:r>
          </w:p>
        </w:tc>
        <w:tc>
          <w:tcPr>
            <w:tcW w:w="5809" w:type="dxa"/>
            <w:gridSpan w:val="2"/>
            <w:tcBorders>
              <w:top w:val="single" w:sz="4" w:space="0" w:color="999999"/>
              <w:left w:val="single" w:sz="4" w:space="0" w:color="999999"/>
              <w:bottom w:val="single" w:sz="4" w:space="0" w:color="999999"/>
              <w:right w:val="single" w:sz="4" w:space="0" w:color="999999"/>
            </w:tcBorders>
          </w:tcPr>
          <w:p w14:paraId="40A7FAA4" w14:textId="2AE7FB31" w:rsidR="009A2964" w:rsidRPr="00BB50F2" w:rsidRDefault="009A2964" w:rsidP="00F8293A">
            <w:pPr>
              <w:pStyle w:val="Header"/>
              <w:rPr>
                <w:rFonts w:cs="Arial"/>
              </w:rPr>
            </w:pPr>
            <w:r w:rsidRPr="00BB50F2">
              <w:rPr>
                <w:rFonts w:cs="Arial"/>
              </w:rPr>
              <w:t>Number of requests to restore service component backups made during the calendar month</w:t>
            </w:r>
            <w:proofErr w:type="gramStart"/>
            <w:r w:rsidRPr="00BB50F2">
              <w:rPr>
                <w:rFonts w:cs="Arial"/>
              </w:rPr>
              <w:t xml:space="preserve">   (</w:t>
            </w:r>
            <w:proofErr w:type="gramEnd"/>
            <w:r w:rsidRPr="00BB50F2">
              <w:rPr>
                <w:rFonts w:cs="Arial"/>
              </w:rPr>
              <w:t>RSCB)</w:t>
            </w:r>
          </w:p>
        </w:tc>
        <w:tc>
          <w:tcPr>
            <w:tcW w:w="274" w:type="dxa"/>
            <w:tcBorders>
              <w:top w:val="nil"/>
              <w:left w:val="single" w:sz="4" w:space="0" w:color="999999"/>
              <w:bottom w:val="nil"/>
            </w:tcBorders>
          </w:tcPr>
          <w:p w14:paraId="07474351" w14:textId="77777777" w:rsidR="009A2964" w:rsidRPr="00BB50F2" w:rsidRDefault="009A2964" w:rsidP="00F8293A">
            <w:pPr>
              <w:pStyle w:val="Header"/>
              <w:rPr>
                <w:rFonts w:cs="Arial"/>
              </w:rPr>
            </w:pPr>
          </w:p>
        </w:tc>
      </w:tr>
      <w:tr w:rsidR="009A2964" w:rsidRPr="00BB50F2" w14:paraId="7C1D31B9" w14:textId="77777777" w:rsidTr="00F8293A">
        <w:trPr>
          <w:cantSplit/>
        </w:trPr>
        <w:tc>
          <w:tcPr>
            <w:tcW w:w="591" w:type="dxa"/>
            <w:tcBorders>
              <w:top w:val="nil"/>
              <w:bottom w:val="nil"/>
              <w:right w:val="single" w:sz="4" w:space="0" w:color="999999"/>
            </w:tcBorders>
          </w:tcPr>
          <w:p w14:paraId="74B9D932" w14:textId="77777777" w:rsidR="009A2964" w:rsidRPr="00BB50F2" w:rsidRDefault="009A2964" w:rsidP="00F8293A">
            <w:pPr>
              <w:pStyle w:val="Header"/>
              <w:rPr>
                <w:rFonts w:cs="Arial"/>
              </w:rPr>
            </w:pPr>
          </w:p>
        </w:tc>
        <w:tc>
          <w:tcPr>
            <w:tcW w:w="2531" w:type="dxa"/>
            <w:gridSpan w:val="2"/>
            <w:tcBorders>
              <w:top w:val="single" w:sz="4" w:space="0" w:color="999999"/>
              <w:left w:val="single" w:sz="4" w:space="0" w:color="999999"/>
              <w:bottom w:val="single" w:sz="4" w:space="0" w:color="999999"/>
              <w:right w:val="single" w:sz="4" w:space="0" w:color="999999"/>
            </w:tcBorders>
          </w:tcPr>
          <w:p w14:paraId="18CE5B3D" w14:textId="11DFA453" w:rsidR="009A2964" w:rsidRPr="00BB50F2" w:rsidRDefault="009A2964" w:rsidP="00F8293A">
            <w:pPr>
              <w:pStyle w:val="Header"/>
              <w:rPr>
                <w:rFonts w:cs="Arial"/>
              </w:rPr>
            </w:pPr>
            <w:r w:rsidRPr="00BB50F2">
              <w:rPr>
                <w:rFonts w:cs="Arial"/>
              </w:rPr>
              <w:t xml:space="preserve">Total number of service </w:t>
            </w:r>
            <w:r w:rsidR="006A429B" w:rsidRPr="00BB50F2">
              <w:rPr>
                <w:rFonts w:cs="Arial"/>
              </w:rPr>
              <w:t>components</w:t>
            </w:r>
            <w:r w:rsidRPr="00BB50F2">
              <w:rPr>
                <w:rFonts w:cs="Arial"/>
              </w:rPr>
              <w:t xml:space="preserve"> successfully restored</w:t>
            </w:r>
          </w:p>
        </w:tc>
        <w:tc>
          <w:tcPr>
            <w:tcW w:w="5809" w:type="dxa"/>
            <w:gridSpan w:val="2"/>
            <w:tcBorders>
              <w:top w:val="single" w:sz="4" w:space="0" w:color="999999"/>
              <w:left w:val="single" w:sz="4" w:space="0" w:color="999999"/>
              <w:bottom w:val="single" w:sz="4" w:space="0" w:color="999999"/>
              <w:right w:val="single" w:sz="4" w:space="0" w:color="999999"/>
            </w:tcBorders>
          </w:tcPr>
          <w:p w14:paraId="3F8EE13E" w14:textId="2F2429E2" w:rsidR="009A2964" w:rsidRPr="00BB50F2" w:rsidRDefault="009A2964" w:rsidP="00F8293A">
            <w:pPr>
              <w:pStyle w:val="Header"/>
              <w:rPr>
                <w:rFonts w:cs="Arial"/>
              </w:rPr>
            </w:pPr>
            <w:r w:rsidRPr="00BB50F2">
              <w:rPr>
                <w:rFonts w:cs="Arial"/>
              </w:rPr>
              <w:t xml:space="preserve">The total number of backups successfully restored for service components during the calendar month (RSCBSUC) </w:t>
            </w:r>
            <w:r w:rsidR="004E415B" w:rsidRPr="00BB50F2">
              <w:rPr>
                <w:rFonts w:cs="Arial"/>
              </w:rPr>
              <w:t>as evidenced</w:t>
            </w:r>
            <w:r w:rsidRPr="00BB50F2">
              <w:rPr>
                <w:rFonts w:cs="Arial"/>
              </w:rPr>
              <w:t xml:space="preserve"> by backup logs.</w:t>
            </w:r>
          </w:p>
        </w:tc>
        <w:tc>
          <w:tcPr>
            <w:tcW w:w="274" w:type="dxa"/>
            <w:tcBorders>
              <w:top w:val="nil"/>
              <w:left w:val="single" w:sz="4" w:space="0" w:color="999999"/>
              <w:bottom w:val="nil"/>
            </w:tcBorders>
          </w:tcPr>
          <w:p w14:paraId="6763D632" w14:textId="77777777" w:rsidR="009A2964" w:rsidRPr="00BB50F2" w:rsidRDefault="009A2964" w:rsidP="00F8293A">
            <w:pPr>
              <w:pStyle w:val="Header"/>
              <w:rPr>
                <w:rFonts w:cs="Arial"/>
              </w:rPr>
            </w:pPr>
          </w:p>
        </w:tc>
      </w:tr>
      <w:tr w:rsidR="009A2964" w:rsidRPr="00BB50F2" w14:paraId="79ECC363" w14:textId="77777777" w:rsidTr="00F8293A">
        <w:trPr>
          <w:cantSplit/>
        </w:trPr>
        <w:tc>
          <w:tcPr>
            <w:tcW w:w="591" w:type="dxa"/>
            <w:tcBorders>
              <w:top w:val="nil"/>
              <w:bottom w:val="nil"/>
              <w:right w:val="single" w:sz="4" w:space="0" w:color="999999"/>
            </w:tcBorders>
          </w:tcPr>
          <w:p w14:paraId="07098630" w14:textId="77777777" w:rsidR="009A2964" w:rsidRPr="00BB50F2" w:rsidRDefault="009A2964" w:rsidP="00F8293A">
            <w:pPr>
              <w:pStyle w:val="Header"/>
              <w:rPr>
                <w:rFonts w:cs="Arial"/>
              </w:rPr>
            </w:pPr>
          </w:p>
        </w:tc>
        <w:tc>
          <w:tcPr>
            <w:tcW w:w="2531" w:type="dxa"/>
            <w:gridSpan w:val="2"/>
            <w:tcBorders>
              <w:top w:val="single" w:sz="4" w:space="0" w:color="999999"/>
              <w:left w:val="single" w:sz="4" w:space="0" w:color="999999"/>
              <w:bottom w:val="single" w:sz="4" w:space="0" w:color="999999"/>
              <w:right w:val="single" w:sz="4" w:space="0" w:color="999999"/>
            </w:tcBorders>
          </w:tcPr>
          <w:p w14:paraId="136D9C35" w14:textId="77777777" w:rsidR="009A2964" w:rsidRPr="00BB50F2" w:rsidRDefault="009A2964" w:rsidP="00F8293A">
            <w:pPr>
              <w:pStyle w:val="Header"/>
              <w:rPr>
                <w:rFonts w:cs="Arial"/>
              </w:rPr>
            </w:pPr>
          </w:p>
        </w:tc>
        <w:tc>
          <w:tcPr>
            <w:tcW w:w="5809" w:type="dxa"/>
            <w:gridSpan w:val="2"/>
            <w:tcBorders>
              <w:top w:val="single" w:sz="4" w:space="0" w:color="999999"/>
              <w:left w:val="single" w:sz="4" w:space="0" w:color="999999"/>
              <w:bottom w:val="single" w:sz="4" w:space="0" w:color="999999"/>
              <w:right w:val="single" w:sz="4" w:space="0" w:color="999999"/>
            </w:tcBorders>
          </w:tcPr>
          <w:p w14:paraId="6F0E5CA4" w14:textId="77777777" w:rsidR="009A2964" w:rsidRPr="00BB50F2" w:rsidRDefault="009A2964" w:rsidP="00F8293A">
            <w:pPr>
              <w:pStyle w:val="Header"/>
              <w:rPr>
                <w:rFonts w:cs="Arial"/>
              </w:rPr>
            </w:pPr>
          </w:p>
        </w:tc>
        <w:tc>
          <w:tcPr>
            <w:tcW w:w="274" w:type="dxa"/>
            <w:tcBorders>
              <w:top w:val="nil"/>
              <w:left w:val="single" w:sz="4" w:space="0" w:color="999999"/>
              <w:bottom w:val="nil"/>
            </w:tcBorders>
          </w:tcPr>
          <w:p w14:paraId="1504F30C" w14:textId="77777777" w:rsidR="009A2964" w:rsidRPr="00BB50F2" w:rsidRDefault="009A2964" w:rsidP="00F8293A">
            <w:pPr>
              <w:pStyle w:val="Header"/>
              <w:rPr>
                <w:rFonts w:cs="Arial"/>
              </w:rPr>
            </w:pPr>
          </w:p>
        </w:tc>
      </w:tr>
      <w:tr w:rsidR="009A2964" w:rsidRPr="00BB50F2" w14:paraId="168BA1EE" w14:textId="77777777" w:rsidTr="00F8293A">
        <w:trPr>
          <w:cantSplit/>
          <w:trHeight w:hRule="exact" w:val="113"/>
        </w:trPr>
        <w:tc>
          <w:tcPr>
            <w:tcW w:w="9205" w:type="dxa"/>
            <w:gridSpan w:val="6"/>
            <w:tcBorders>
              <w:top w:val="nil"/>
            </w:tcBorders>
          </w:tcPr>
          <w:p w14:paraId="0B10975E" w14:textId="77777777" w:rsidR="009A2964" w:rsidRPr="00BB50F2" w:rsidRDefault="009A2964" w:rsidP="00F8293A">
            <w:pPr>
              <w:pStyle w:val="Header"/>
              <w:rPr>
                <w:rFonts w:cs="Arial"/>
              </w:rPr>
            </w:pPr>
          </w:p>
        </w:tc>
      </w:tr>
      <w:tr w:rsidR="009A2964" w:rsidRPr="00BB50F2" w14:paraId="137C0A70" w14:textId="77777777" w:rsidTr="00F8293A">
        <w:trPr>
          <w:cantSplit/>
          <w:trHeight w:hRule="exact" w:val="397"/>
        </w:trPr>
        <w:tc>
          <w:tcPr>
            <w:tcW w:w="9205" w:type="dxa"/>
            <w:gridSpan w:val="6"/>
            <w:vAlign w:val="center"/>
          </w:tcPr>
          <w:p w14:paraId="05CFE475" w14:textId="77777777" w:rsidR="009A2964" w:rsidRPr="00BB50F2" w:rsidRDefault="009A2964" w:rsidP="00F8293A">
            <w:pPr>
              <w:pStyle w:val="Header"/>
              <w:rPr>
                <w:rFonts w:cs="Arial"/>
              </w:rPr>
            </w:pPr>
            <w:r w:rsidRPr="00BB50F2">
              <w:rPr>
                <w:rFonts w:cs="Arial"/>
              </w:rPr>
              <w:t>Measurement:</w:t>
            </w:r>
          </w:p>
        </w:tc>
      </w:tr>
      <w:tr w:rsidR="009A2964" w:rsidRPr="00BB50F2" w14:paraId="2CF3CC0A" w14:textId="77777777" w:rsidTr="00F8293A">
        <w:trPr>
          <w:cantSplit/>
          <w:trHeight w:hRule="exact" w:val="113"/>
        </w:trPr>
        <w:tc>
          <w:tcPr>
            <w:tcW w:w="9205" w:type="dxa"/>
            <w:gridSpan w:val="6"/>
            <w:tcBorders>
              <w:bottom w:val="nil"/>
            </w:tcBorders>
          </w:tcPr>
          <w:p w14:paraId="18A92B6E" w14:textId="77777777" w:rsidR="009A2964" w:rsidRPr="00BB50F2" w:rsidRDefault="009A2964" w:rsidP="00F8293A">
            <w:pPr>
              <w:pStyle w:val="Header"/>
              <w:rPr>
                <w:rFonts w:cs="Arial"/>
              </w:rPr>
            </w:pPr>
          </w:p>
        </w:tc>
      </w:tr>
      <w:tr w:rsidR="009A2964" w:rsidRPr="00BB50F2" w14:paraId="3A03F5B0" w14:textId="77777777" w:rsidTr="00F8293A">
        <w:trPr>
          <w:cantSplit/>
        </w:trPr>
        <w:tc>
          <w:tcPr>
            <w:tcW w:w="591" w:type="dxa"/>
            <w:tcBorders>
              <w:top w:val="nil"/>
              <w:bottom w:val="nil"/>
              <w:right w:val="single" w:sz="4" w:space="0" w:color="999999"/>
            </w:tcBorders>
          </w:tcPr>
          <w:p w14:paraId="1FE77480" w14:textId="77777777" w:rsidR="009A2964" w:rsidRPr="00BB50F2" w:rsidRDefault="009A2964" w:rsidP="00F8293A">
            <w:pPr>
              <w:pStyle w:val="Header"/>
              <w:rPr>
                <w:rFonts w:cs="Arial"/>
              </w:rPr>
            </w:pPr>
          </w:p>
        </w:tc>
        <w:tc>
          <w:tcPr>
            <w:tcW w:w="2531" w:type="dxa"/>
            <w:gridSpan w:val="2"/>
            <w:tcBorders>
              <w:top w:val="single" w:sz="4" w:space="0" w:color="999999"/>
              <w:left w:val="single" w:sz="4" w:space="0" w:color="999999"/>
              <w:bottom w:val="single" w:sz="4" w:space="0" w:color="999999"/>
              <w:right w:val="single" w:sz="4" w:space="0" w:color="999999"/>
            </w:tcBorders>
          </w:tcPr>
          <w:p w14:paraId="0D6D1650" w14:textId="77777777" w:rsidR="009A2964" w:rsidRPr="00BB50F2" w:rsidRDefault="009A2964" w:rsidP="00F8293A">
            <w:pPr>
              <w:pStyle w:val="Header"/>
              <w:rPr>
                <w:rFonts w:cs="Arial"/>
              </w:rPr>
            </w:pPr>
            <w:r w:rsidRPr="00BB50F2">
              <w:rPr>
                <w:rFonts w:cs="Arial"/>
              </w:rPr>
              <w:t>Period</w:t>
            </w:r>
          </w:p>
        </w:tc>
        <w:tc>
          <w:tcPr>
            <w:tcW w:w="5809" w:type="dxa"/>
            <w:gridSpan w:val="2"/>
            <w:tcBorders>
              <w:top w:val="single" w:sz="4" w:space="0" w:color="999999"/>
              <w:left w:val="single" w:sz="4" w:space="0" w:color="999999"/>
              <w:bottom w:val="single" w:sz="4" w:space="0" w:color="999999"/>
              <w:right w:val="single" w:sz="4" w:space="0" w:color="999999"/>
            </w:tcBorders>
          </w:tcPr>
          <w:p w14:paraId="2CFDBD4D" w14:textId="77777777" w:rsidR="009A2964" w:rsidRPr="00BB50F2" w:rsidRDefault="009A2964" w:rsidP="00F8293A">
            <w:pPr>
              <w:pStyle w:val="Header"/>
              <w:rPr>
                <w:rFonts w:cs="Arial"/>
              </w:rPr>
            </w:pPr>
            <w:r w:rsidRPr="00BB50F2">
              <w:rPr>
                <w:rFonts w:cs="Arial"/>
              </w:rPr>
              <w:t>Monthly</w:t>
            </w:r>
          </w:p>
        </w:tc>
        <w:tc>
          <w:tcPr>
            <w:tcW w:w="274" w:type="dxa"/>
            <w:tcBorders>
              <w:top w:val="nil"/>
              <w:left w:val="single" w:sz="4" w:space="0" w:color="999999"/>
              <w:bottom w:val="nil"/>
            </w:tcBorders>
          </w:tcPr>
          <w:p w14:paraId="1D53FC54" w14:textId="77777777" w:rsidR="009A2964" w:rsidRPr="00BB50F2" w:rsidRDefault="009A2964" w:rsidP="00F8293A">
            <w:pPr>
              <w:pStyle w:val="Header"/>
              <w:rPr>
                <w:rFonts w:cs="Arial"/>
              </w:rPr>
            </w:pPr>
          </w:p>
        </w:tc>
      </w:tr>
      <w:tr w:rsidR="009A2964" w:rsidRPr="00BB50F2" w14:paraId="75AC2693" w14:textId="77777777" w:rsidTr="00F8293A">
        <w:trPr>
          <w:cantSplit/>
        </w:trPr>
        <w:tc>
          <w:tcPr>
            <w:tcW w:w="591" w:type="dxa"/>
            <w:tcBorders>
              <w:top w:val="nil"/>
              <w:bottom w:val="nil"/>
              <w:right w:val="single" w:sz="4" w:space="0" w:color="999999"/>
            </w:tcBorders>
          </w:tcPr>
          <w:p w14:paraId="44F52C3E" w14:textId="77777777" w:rsidR="009A2964" w:rsidRPr="00BB50F2" w:rsidRDefault="009A2964" w:rsidP="00F8293A">
            <w:pPr>
              <w:pStyle w:val="Header"/>
              <w:rPr>
                <w:rFonts w:cs="Arial"/>
              </w:rPr>
            </w:pPr>
          </w:p>
        </w:tc>
        <w:tc>
          <w:tcPr>
            <w:tcW w:w="2531" w:type="dxa"/>
            <w:gridSpan w:val="2"/>
            <w:tcBorders>
              <w:top w:val="single" w:sz="4" w:space="0" w:color="999999"/>
              <w:left w:val="single" w:sz="4" w:space="0" w:color="999999"/>
              <w:bottom w:val="single" w:sz="4" w:space="0" w:color="999999"/>
              <w:right w:val="single" w:sz="4" w:space="0" w:color="999999"/>
            </w:tcBorders>
          </w:tcPr>
          <w:p w14:paraId="0CAF0F0F" w14:textId="77777777" w:rsidR="009A2964" w:rsidRPr="00BB50F2" w:rsidRDefault="009A2964" w:rsidP="00F8293A">
            <w:pPr>
              <w:pStyle w:val="Header"/>
              <w:rPr>
                <w:rFonts w:cs="Arial"/>
              </w:rPr>
            </w:pPr>
            <w:r w:rsidRPr="00BB50F2">
              <w:rPr>
                <w:rFonts w:cs="Arial"/>
              </w:rPr>
              <w:t>Method</w:t>
            </w:r>
          </w:p>
        </w:tc>
        <w:tc>
          <w:tcPr>
            <w:tcW w:w="5809" w:type="dxa"/>
            <w:gridSpan w:val="2"/>
            <w:tcBorders>
              <w:top w:val="single" w:sz="4" w:space="0" w:color="999999"/>
              <w:left w:val="single" w:sz="4" w:space="0" w:color="999999"/>
              <w:bottom w:val="single" w:sz="4" w:space="0" w:color="999999"/>
              <w:right w:val="single" w:sz="4" w:space="0" w:color="999999"/>
            </w:tcBorders>
          </w:tcPr>
          <w:p w14:paraId="32E15F55" w14:textId="77777777" w:rsidR="009A2964" w:rsidRPr="00BB50F2" w:rsidRDefault="009A2964" w:rsidP="00F8293A">
            <w:pPr>
              <w:pStyle w:val="Header"/>
              <w:rPr>
                <w:rFonts w:cs="Arial"/>
              </w:rPr>
            </w:pPr>
            <w:r w:rsidRPr="00BB50F2">
              <w:rPr>
                <w:rFonts w:cs="Arial"/>
              </w:rPr>
              <w:t>The KPI will be made through an analysis of the log files created by the Solution</w:t>
            </w:r>
          </w:p>
        </w:tc>
        <w:tc>
          <w:tcPr>
            <w:tcW w:w="274" w:type="dxa"/>
            <w:tcBorders>
              <w:top w:val="nil"/>
              <w:left w:val="single" w:sz="4" w:space="0" w:color="999999"/>
              <w:bottom w:val="nil"/>
            </w:tcBorders>
          </w:tcPr>
          <w:p w14:paraId="0B131227" w14:textId="77777777" w:rsidR="009A2964" w:rsidRPr="00BB50F2" w:rsidRDefault="009A2964" w:rsidP="00F8293A">
            <w:pPr>
              <w:pStyle w:val="Header"/>
              <w:rPr>
                <w:rFonts w:cs="Arial"/>
              </w:rPr>
            </w:pPr>
          </w:p>
        </w:tc>
      </w:tr>
      <w:tr w:rsidR="009A2964" w:rsidRPr="00BB50F2" w14:paraId="7F30D7B6" w14:textId="77777777" w:rsidTr="00F8293A">
        <w:trPr>
          <w:cantSplit/>
          <w:trHeight w:hRule="exact" w:val="113"/>
        </w:trPr>
        <w:tc>
          <w:tcPr>
            <w:tcW w:w="9205" w:type="dxa"/>
            <w:gridSpan w:val="6"/>
            <w:tcBorders>
              <w:top w:val="nil"/>
            </w:tcBorders>
          </w:tcPr>
          <w:p w14:paraId="6850CF62" w14:textId="77777777" w:rsidR="009A2964" w:rsidRPr="00BB50F2" w:rsidRDefault="009A2964" w:rsidP="00F8293A">
            <w:pPr>
              <w:pStyle w:val="Header"/>
              <w:rPr>
                <w:rFonts w:cs="Arial"/>
              </w:rPr>
            </w:pPr>
          </w:p>
        </w:tc>
      </w:tr>
      <w:tr w:rsidR="009A2964" w:rsidRPr="00BB50F2" w14:paraId="47A57EF3" w14:textId="77777777" w:rsidTr="00F8293A">
        <w:trPr>
          <w:cantSplit/>
          <w:trHeight w:hRule="exact" w:val="397"/>
        </w:trPr>
        <w:tc>
          <w:tcPr>
            <w:tcW w:w="9205" w:type="dxa"/>
            <w:gridSpan w:val="6"/>
            <w:vAlign w:val="center"/>
          </w:tcPr>
          <w:p w14:paraId="0FD05DA7" w14:textId="77777777" w:rsidR="009A2964" w:rsidRPr="00BB50F2" w:rsidRDefault="009A2964" w:rsidP="00F8293A">
            <w:pPr>
              <w:pStyle w:val="Header"/>
              <w:rPr>
                <w:rFonts w:cs="Arial"/>
              </w:rPr>
            </w:pPr>
            <w:r w:rsidRPr="00BB50F2">
              <w:rPr>
                <w:rFonts w:cs="Arial"/>
              </w:rPr>
              <w:t>Service Credit Levels:</w:t>
            </w:r>
          </w:p>
        </w:tc>
      </w:tr>
      <w:tr w:rsidR="009A2964" w:rsidRPr="00BB50F2" w14:paraId="3ACEAC0C" w14:textId="77777777" w:rsidTr="00F8293A">
        <w:trPr>
          <w:cantSplit/>
          <w:trHeight w:hRule="exact" w:val="113"/>
        </w:trPr>
        <w:tc>
          <w:tcPr>
            <w:tcW w:w="9205" w:type="dxa"/>
            <w:gridSpan w:val="6"/>
            <w:tcBorders>
              <w:bottom w:val="nil"/>
            </w:tcBorders>
          </w:tcPr>
          <w:p w14:paraId="3303FB5B" w14:textId="77777777" w:rsidR="009A2964" w:rsidRPr="00BB50F2" w:rsidRDefault="009A2964" w:rsidP="00F8293A">
            <w:pPr>
              <w:pStyle w:val="Header"/>
              <w:rPr>
                <w:rFonts w:cs="Arial"/>
              </w:rPr>
            </w:pPr>
          </w:p>
        </w:tc>
      </w:tr>
      <w:tr w:rsidR="009A2964" w:rsidRPr="00BB50F2" w14:paraId="5739DE35" w14:textId="77777777" w:rsidTr="00F8293A">
        <w:trPr>
          <w:cantSplit/>
        </w:trPr>
        <w:tc>
          <w:tcPr>
            <w:tcW w:w="591" w:type="dxa"/>
            <w:tcBorders>
              <w:top w:val="nil"/>
              <w:bottom w:val="nil"/>
              <w:right w:val="single" w:sz="4" w:space="0" w:color="999999"/>
            </w:tcBorders>
          </w:tcPr>
          <w:p w14:paraId="25AB27F8" w14:textId="77777777" w:rsidR="009A2964" w:rsidRPr="00BB50F2" w:rsidRDefault="009A2964" w:rsidP="00F8293A">
            <w:pPr>
              <w:pStyle w:val="Header"/>
              <w:rPr>
                <w:rFonts w:cs="Arial"/>
              </w:rPr>
            </w:pPr>
          </w:p>
        </w:tc>
        <w:tc>
          <w:tcPr>
            <w:tcW w:w="8340" w:type="dxa"/>
            <w:gridSpan w:val="4"/>
            <w:tcBorders>
              <w:top w:val="single" w:sz="4" w:space="0" w:color="999999"/>
              <w:left w:val="single" w:sz="4" w:space="0" w:color="999999"/>
              <w:bottom w:val="single" w:sz="4" w:space="0" w:color="999999"/>
              <w:right w:val="single" w:sz="4" w:space="0" w:color="999999"/>
            </w:tcBorders>
          </w:tcPr>
          <w:p w14:paraId="3229263E" w14:textId="77777777" w:rsidR="009A2964" w:rsidRPr="00BB50F2" w:rsidRDefault="009A2964" w:rsidP="00F8293A">
            <w:pPr>
              <w:pStyle w:val="Header"/>
              <w:rPr>
                <w:rFonts w:cs="Arial"/>
              </w:rPr>
            </w:pPr>
            <w:r w:rsidRPr="00BB50F2">
              <w:rPr>
                <w:rFonts w:cs="Arial"/>
              </w:rPr>
              <w:t xml:space="preserve">Steady State </w:t>
            </w:r>
          </w:p>
        </w:tc>
        <w:tc>
          <w:tcPr>
            <w:tcW w:w="274" w:type="dxa"/>
            <w:tcBorders>
              <w:top w:val="nil"/>
              <w:left w:val="single" w:sz="4" w:space="0" w:color="999999"/>
              <w:bottom w:val="nil"/>
            </w:tcBorders>
          </w:tcPr>
          <w:p w14:paraId="6FACE77F" w14:textId="77777777" w:rsidR="009A2964" w:rsidRPr="00BB50F2" w:rsidRDefault="009A2964" w:rsidP="00F8293A">
            <w:pPr>
              <w:pStyle w:val="Header"/>
              <w:rPr>
                <w:rFonts w:cs="Arial"/>
              </w:rPr>
            </w:pPr>
          </w:p>
        </w:tc>
      </w:tr>
      <w:tr w:rsidR="009A2964" w:rsidRPr="00BB50F2" w14:paraId="39F01318" w14:textId="77777777" w:rsidTr="00F8293A">
        <w:trPr>
          <w:cantSplit/>
        </w:trPr>
        <w:tc>
          <w:tcPr>
            <w:tcW w:w="591" w:type="dxa"/>
            <w:tcBorders>
              <w:top w:val="nil"/>
              <w:bottom w:val="nil"/>
              <w:right w:val="single" w:sz="4" w:space="0" w:color="999999"/>
            </w:tcBorders>
          </w:tcPr>
          <w:p w14:paraId="620E86D2" w14:textId="77777777" w:rsidR="009A2964" w:rsidRPr="00BB50F2" w:rsidRDefault="009A2964" w:rsidP="00F8293A">
            <w:pPr>
              <w:pStyle w:val="Header"/>
              <w:rPr>
                <w:rFonts w:cs="Arial"/>
              </w:rPr>
            </w:pPr>
          </w:p>
        </w:tc>
        <w:tc>
          <w:tcPr>
            <w:tcW w:w="2531" w:type="dxa"/>
            <w:gridSpan w:val="2"/>
            <w:tcBorders>
              <w:top w:val="single" w:sz="4" w:space="0" w:color="999999"/>
              <w:left w:val="single" w:sz="4" w:space="0" w:color="999999"/>
              <w:bottom w:val="single" w:sz="4" w:space="0" w:color="999999"/>
              <w:right w:val="single" w:sz="4" w:space="0" w:color="999999"/>
            </w:tcBorders>
          </w:tcPr>
          <w:p w14:paraId="625711E2" w14:textId="77777777" w:rsidR="009A2964" w:rsidRPr="00BB50F2" w:rsidRDefault="009A2964" w:rsidP="00F8293A">
            <w:pPr>
              <w:pStyle w:val="Header"/>
              <w:rPr>
                <w:rFonts w:cs="Arial"/>
              </w:rPr>
            </w:pPr>
            <w:r w:rsidRPr="00BB50F2">
              <w:rPr>
                <w:rFonts w:cs="Arial"/>
              </w:rPr>
              <w:t>Actual Service Usage</w:t>
            </w:r>
          </w:p>
        </w:tc>
        <w:tc>
          <w:tcPr>
            <w:tcW w:w="2974" w:type="dxa"/>
            <w:vMerge w:val="restart"/>
            <w:tcBorders>
              <w:top w:val="single" w:sz="4" w:space="0" w:color="999999"/>
              <w:left w:val="single" w:sz="4" w:space="0" w:color="999999"/>
              <w:right w:val="single" w:sz="4" w:space="0" w:color="999999"/>
            </w:tcBorders>
            <w:vAlign w:val="bottom"/>
          </w:tcPr>
          <w:p w14:paraId="41560503" w14:textId="77777777" w:rsidR="009A2964" w:rsidRPr="00BB50F2" w:rsidRDefault="009A2964" w:rsidP="00F8293A">
            <w:pPr>
              <w:pStyle w:val="Header"/>
              <w:rPr>
                <w:rFonts w:cs="Arial"/>
              </w:rPr>
            </w:pPr>
            <w:r w:rsidRPr="00BB50F2">
              <w:rPr>
                <w:rFonts w:cs="Arial"/>
              </w:rPr>
              <w:t>Calculation</w:t>
            </w:r>
          </w:p>
        </w:tc>
        <w:tc>
          <w:tcPr>
            <w:tcW w:w="2835" w:type="dxa"/>
            <w:vMerge w:val="restart"/>
            <w:tcBorders>
              <w:top w:val="single" w:sz="4" w:space="0" w:color="999999"/>
              <w:left w:val="single" w:sz="4" w:space="0" w:color="999999"/>
              <w:right w:val="single" w:sz="4" w:space="0" w:color="999999"/>
            </w:tcBorders>
            <w:vAlign w:val="bottom"/>
          </w:tcPr>
          <w:p w14:paraId="1C0B0BE0" w14:textId="77777777" w:rsidR="009A2964" w:rsidRPr="00BB50F2" w:rsidRDefault="009A2964" w:rsidP="00F8293A">
            <w:pPr>
              <w:pStyle w:val="Header"/>
              <w:rPr>
                <w:rFonts w:cs="Arial"/>
              </w:rPr>
            </w:pPr>
            <w:r w:rsidRPr="00BB50F2">
              <w:rPr>
                <w:rFonts w:cs="Arial"/>
              </w:rPr>
              <w:t>Notes</w:t>
            </w:r>
          </w:p>
        </w:tc>
        <w:tc>
          <w:tcPr>
            <w:tcW w:w="274" w:type="dxa"/>
            <w:tcBorders>
              <w:top w:val="nil"/>
              <w:left w:val="single" w:sz="4" w:space="0" w:color="999999"/>
              <w:bottom w:val="nil"/>
            </w:tcBorders>
          </w:tcPr>
          <w:p w14:paraId="6ED3444C" w14:textId="77777777" w:rsidR="009A2964" w:rsidRPr="00BB50F2" w:rsidRDefault="009A2964" w:rsidP="00F8293A">
            <w:pPr>
              <w:pStyle w:val="Header"/>
              <w:rPr>
                <w:rFonts w:cs="Arial"/>
              </w:rPr>
            </w:pPr>
          </w:p>
        </w:tc>
      </w:tr>
      <w:tr w:rsidR="009A2964" w:rsidRPr="00BB50F2" w14:paraId="711FC350" w14:textId="77777777" w:rsidTr="00F8293A">
        <w:trPr>
          <w:cantSplit/>
        </w:trPr>
        <w:tc>
          <w:tcPr>
            <w:tcW w:w="591" w:type="dxa"/>
            <w:tcBorders>
              <w:top w:val="nil"/>
              <w:bottom w:val="nil"/>
              <w:right w:val="single" w:sz="4" w:space="0" w:color="999999"/>
            </w:tcBorders>
          </w:tcPr>
          <w:p w14:paraId="4A194062" w14:textId="77777777" w:rsidR="009A2964" w:rsidRPr="00BB50F2" w:rsidRDefault="009A2964" w:rsidP="00F8293A">
            <w:pPr>
              <w:pStyle w:val="Header"/>
              <w:rPr>
                <w:rFonts w:cs="Arial"/>
              </w:rPr>
            </w:pPr>
          </w:p>
        </w:tc>
        <w:tc>
          <w:tcPr>
            <w:tcW w:w="935" w:type="dxa"/>
            <w:tcBorders>
              <w:top w:val="single" w:sz="4" w:space="0" w:color="999999"/>
              <w:left w:val="single" w:sz="4" w:space="0" w:color="999999"/>
              <w:bottom w:val="single" w:sz="4" w:space="0" w:color="999999"/>
              <w:right w:val="single" w:sz="4" w:space="0" w:color="999999"/>
            </w:tcBorders>
          </w:tcPr>
          <w:p w14:paraId="45C7C013" w14:textId="77777777" w:rsidR="009A2964" w:rsidRPr="00BB50F2" w:rsidRDefault="009A2964" w:rsidP="00F8293A">
            <w:pPr>
              <w:pStyle w:val="Header"/>
              <w:rPr>
                <w:rFonts w:cs="Arial"/>
              </w:rPr>
            </w:pPr>
            <w:r w:rsidRPr="00BB50F2">
              <w:rPr>
                <w:rFonts w:cs="Arial"/>
              </w:rPr>
              <w:t>Lower</w:t>
            </w:r>
          </w:p>
        </w:tc>
        <w:tc>
          <w:tcPr>
            <w:tcW w:w="1596" w:type="dxa"/>
            <w:tcBorders>
              <w:top w:val="single" w:sz="4" w:space="0" w:color="999999"/>
              <w:left w:val="single" w:sz="4" w:space="0" w:color="999999"/>
              <w:bottom w:val="single" w:sz="4" w:space="0" w:color="999999"/>
              <w:right w:val="single" w:sz="4" w:space="0" w:color="999999"/>
            </w:tcBorders>
          </w:tcPr>
          <w:p w14:paraId="1B2075E4" w14:textId="77777777" w:rsidR="009A2964" w:rsidRPr="00BB50F2" w:rsidRDefault="009A2964" w:rsidP="00F8293A">
            <w:pPr>
              <w:pStyle w:val="Header"/>
              <w:rPr>
                <w:rFonts w:cs="Arial"/>
              </w:rPr>
            </w:pPr>
            <w:r w:rsidRPr="00BB50F2">
              <w:rPr>
                <w:rFonts w:cs="Arial"/>
              </w:rPr>
              <w:t>Upper</w:t>
            </w:r>
          </w:p>
        </w:tc>
        <w:tc>
          <w:tcPr>
            <w:tcW w:w="2974" w:type="dxa"/>
            <w:vMerge/>
            <w:tcBorders>
              <w:left w:val="single" w:sz="4" w:space="0" w:color="999999"/>
              <w:bottom w:val="single" w:sz="4" w:space="0" w:color="999999"/>
              <w:right w:val="single" w:sz="4" w:space="0" w:color="999999"/>
            </w:tcBorders>
          </w:tcPr>
          <w:p w14:paraId="47576F43" w14:textId="77777777" w:rsidR="009A2964" w:rsidRPr="00BB50F2" w:rsidRDefault="009A2964" w:rsidP="00F8293A">
            <w:pPr>
              <w:pStyle w:val="Header"/>
              <w:rPr>
                <w:rFonts w:cs="Arial"/>
              </w:rPr>
            </w:pPr>
          </w:p>
        </w:tc>
        <w:tc>
          <w:tcPr>
            <w:tcW w:w="2835" w:type="dxa"/>
            <w:vMerge/>
            <w:tcBorders>
              <w:left w:val="single" w:sz="4" w:space="0" w:color="999999"/>
              <w:bottom w:val="single" w:sz="4" w:space="0" w:color="999999"/>
              <w:right w:val="single" w:sz="4" w:space="0" w:color="999999"/>
            </w:tcBorders>
          </w:tcPr>
          <w:p w14:paraId="00544977" w14:textId="77777777" w:rsidR="009A2964" w:rsidRPr="00BB50F2" w:rsidRDefault="009A2964" w:rsidP="00F8293A">
            <w:pPr>
              <w:pStyle w:val="Header"/>
              <w:rPr>
                <w:rFonts w:cs="Arial"/>
              </w:rPr>
            </w:pPr>
          </w:p>
        </w:tc>
        <w:tc>
          <w:tcPr>
            <w:tcW w:w="274" w:type="dxa"/>
            <w:tcBorders>
              <w:top w:val="nil"/>
              <w:left w:val="single" w:sz="4" w:space="0" w:color="999999"/>
              <w:bottom w:val="nil"/>
            </w:tcBorders>
          </w:tcPr>
          <w:p w14:paraId="3C9311D4" w14:textId="77777777" w:rsidR="009A2964" w:rsidRPr="00BB50F2" w:rsidRDefault="009A2964" w:rsidP="00F8293A">
            <w:pPr>
              <w:pStyle w:val="Header"/>
              <w:rPr>
                <w:rFonts w:cs="Arial"/>
              </w:rPr>
            </w:pPr>
          </w:p>
        </w:tc>
      </w:tr>
      <w:tr w:rsidR="009A2964" w:rsidRPr="00BB50F2" w14:paraId="548997CB" w14:textId="77777777" w:rsidTr="00F8293A">
        <w:trPr>
          <w:cantSplit/>
        </w:trPr>
        <w:tc>
          <w:tcPr>
            <w:tcW w:w="591" w:type="dxa"/>
            <w:tcBorders>
              <w:top w:val="nil"/>
              <w:bottom w:val="nil"/>
              <w:right w:val="single" w:sz="4" w:space="0" w:color="999999"/>
            </w:tcBorders>
          </w:tcPr>
          <w:p w14:paraId="6A94BF5C" w14:textId="77777777" w:rsidR="009A2964" w:rsidRPr="00BB50F2" w:rsidRDefault="009A2964" w:rsidP="00F8293A">
            <w:pPr>
              <w:pStyle w:val="ssPara5"/>
              <w:spacing w:after="120" w:line="240" w:lineRule="auto"/>
              <w:rPr>
                <w:sz w:val="20"/>
                <w:szCs w:val="20"/>
              </w:rPr>
            </w:pPr>
          </w:p>
        </w:tc>
        <w:tc>
          <w:tcPr>
            <w:tcW w:w="935" w:type="dxa"/>
            <w:tcBorders>
              <w:top w:val="single" w:sz="4" w:space="0" w:color="999999"/>
              <w:left w:val="single" w:sz="4" w:space="0" w:color="999999"/>
              <w:bottom w:val="single" w:sz="4" w:space="0" w:color="999999"/>
              <w:right w:val="single" w:sz="4" w:space="0" w:color="999999"/>
            </w:tcBorders>
            <w:vAlign w:val="center"/>
          </w:tcPr>
          <w:p w14:paraId="677E0A74" w14:textId="77777777" w:rsidR="009A2964" w:rsidRPr="00BB50F2" w:rsidRDefault="009A2964" w:rsidP="00F8293A">
            <w:pPr>
              <w:pStyle w:val="Header"/>
              <w:rPr>
                <w:rFonts w:cs="Arial"/>
              </w:rPr>
            </w:pPr>
            <w:r w:rsidRPr="00BB50F2">
              <w:rPr>
                <w:rFonts w:cs="Arial"/>
              </w:rPr>
              <w:t>0.xxx</w:t>
            </w:r>
          </w:p>
        </w:tc>
        <w:tc>
          <w:tcPr>
            <w:tcW w:w="1596" w:type="dxa"/>
            <w:tcBorders>
              <w:top w:val="single" w:sz="4" w:space="0" w:color="999999"/>
              <w:left w:val="single" w:sz="4" w:space="0" w:color="999999"/>
              <w:bottom w:val="single" w:sz="4" w:space="0" w:color="999999"/>
              <w:right w:val="single" w:sz="4" w:space="0" w:color="999999"/>
            </w:tcBorders>
            <w:vAlign w:val="center"/>
          </w:tcPr>
          <w:p w14:paraId="696402C4" w14:textId="77777777" w:rsidR="009A2964" w:rsidRPr="00BB50F2" w:rsidRDefault="009A2964" w:rsidP="00F8293A">
            <w:pPr>
              <w:pStyle w:val="Header"/>
              <w:rPr>
                <w:rFonts w:cs="Arial"/>
              </w:rPr>
            </w:pPr>
            <w:r w:rsidRPr="00BB50F2">
              <w:rPr>
                <w:rFonts w:cs="Arial"/>
              </w:rPr>
              <w:t>1</w:t>
            </w:r>
          </w:p>
        </w:tc>
        <w:tc>
          <w:tcPr>
            <w:tcW w:w="2974" w:type="dxa"/>
            <w:tcBorders>
              <w:top w:val="single" w:sz="4" w:space="0" w:color="999999"/>
              <w:left w:val="single" w:sz="4" w:space="0" w:color="999999"/>
              <w:bottom w:val="single" w:sz="4" w:space="0" w:color="999999"/>
              <w:right w:val="single" w:sz="4" w:space="0" w:color="999999"/>
            </w:tcBorders>
            <w:vAlign w:val="center"/>
          </w:tcPr>
          <w:p w14:paraId="3CCB185B" w14:textId="77777777" w:rsidR="009A2964" w:rsidRPr="00BB50F2" w:rsidRDefault="009A2964" w:rsidP="00F8293A">
            <w:pPr>
              <w:pStyle w:val="Header"/>
              <w:rPr>
                <w:rFonts w:cs="Arial"/>
              </w:rPr>
            </w:pPr>
            <w:r w:rsidRPr="00BB50F2">
              <w:rPr>
                <w:rFonts w:cs="Arial"/>
              </w:rPr>
              <w:t>RSCBSUC/RSCB</w:t>
            </w:r>
          </w:p>
        </w:tc>
        <w:tc>
          <w:tcPr>
            <w:tcW w:w="2835" w:type="dxa"/>
            <w:tcBorders>
              <w:top w:val="single" w:sz="4" w:space="0" w:color="999999"/>
              <w:left w:val="single" w:sz="4" w:space="0" w:color="999999"/>
              <w:bottom w:val="single" w:sz="4" w:space="0" w:color="999999"/>
              <w:right w:val="single" w:sz="4" w:space="0" w:color="999999"/>
            </w:tcBorders>
            <w:vAlign w:val="center"/>
          </w:tcPr>
          <w:p w14:paraId="56723E43" w14:textId="77777777" w:rsidR="009A2964" w:rsidRPr="00BB50F2" w:rsidRDefault="009A2964" w:rsidP="00F8293A">
            <w:pPr>
              <w:pStyle w:val="Header"/>
              <w:rPr>
                <w:rFonts w:cs="Arial"/>
              </w:rPr>
            </w:pPr>
            <w:r w:rsidRPr="00BB50F2">
              <w:rPr>
                <w:rFonts w:cs="Arial"/>
              </w:rPr>
              <w:t>Service target</w:t>
            </w:r>
          </w:p>
        </w:tc>
        <w:tc>
          <w:tcPr>
            <w:tcW w:w="274" w:type="dxa"/>
            <w:tcBorders>
              <w:top w:val="nil"/>
              <w:left w:val="single" w:sz="4" w:space="0" w:color="999999"/>
              <w:bottom w:val="nil"/>
            </w:tcBorders>
          </w:tcPr>
          <w:p w14:paraId="77CB7D0F" w14:textId="77777777" w:rsidR="009A2964" w:rsidRPr="00BB50F2" w:rsidRDefault="009A2964" w:rsidP="00F8293A">
            <w:pPr>
              <w:pStyle w:val="ssPara5"/>
              <w:spacing w:after="120" w:line="240" w:lineRule="auto"/>
              <w:rPr>
                <w:sz w:val="20"/>
                <w:szCs w:val="20"/>
              </w:rPr>
            </w:pPr>
          </w:p>
        </w:tc>
      </w:tr>
      <w:tr w:rsidR="009A2964" w:rsidRPr="00BB50F2" w14:paraId="129A0D27" w14:textId="77777777" w:rsidTr="00F8293A">
        <w:trPr>
          <w:cantSplit/>
        </w:trPr>
        <w:tc>
          <w:tcPr>
            <w:tcW w:w="591" w:type="dxa"/>
            <w:tcBorders>
              <w:top w:val="nil"/>
              <w:bottom w:val="nil"/>
              <w:right w:val="single" w:sz="4" w:space="0" w:color="999999"/>
            </w:tcBorders>
          </w:tcPr>
          <w:p w14:paraId="3D911D97" w14:textId="77777777" w:rsidR="009A2964" w:rsidRPr="00BB50F2" w:rsidRDefault="009A2964" w:rsidP="00F8293A">
            <w:pPr>
              <w:pStyle w:val="ssPara5"/>
              <w:spacing w:after="120" w:line="240" w:lineRule="auto"/>
              <w:rPr>
                <w:sz w:val="20"/>
                <w:szCs w:val="20"/>
              </w:rPr>
            </w:pPr>
          </w:p>
        </w:tc>
        <w:tc>
          <w:tcPr>
            <w:tcW w:w="935" w:type="dxa"/>
            <w:tcBorders>
              <w:top w:val="single" w:sz="4" w:space="0" w:color="999999"/>
              <w:left w:val="single" w:sz="4" w:space="0" w:color="999999"/>
              <w:bottom w:val="single" w:sz="4" w:space="0" w:color="999999"/>
              <w:right w:val="single" w:sz="4" w:space="0" w:color="999999"/>
            </w:tcBorders>
            <w:vAlign w:val="center"/>
          </w:tcPr>
          <w:p w14:paraId="0328F157" w14:textId="77777777" w:rsidR="009A2964" w:rsidRPr="00BB50F2" w:rsidRDefault="009A2964" w:rsidP="00F8293A">
            <w:pPr>
              <w:pStyle w:val="Header"/>
              <w:rPr>
                <w:rFonts w:cs="Arial"/>
              </w:rPr>
            </w:pPr>
            <w:r w:rsidRPr="00BB50F2">
              <w:rPr>
                <w:rFonts w:cs="Arial"/>
              </w:rPr>
              <w:t>0.yyy</w:t>
            </w:r>
          </w:p>
        </w:tc>
        <w:tc>
          <w:tcPr>
            <w:tcW w:w="1596" w:type="dxa"/>
            <w:tcBorders>
              <w:top w:val="single" w:sz="4" w:space="0" w:color="999999"/>
              <w:left w:val="single" w:sz="4" w:space="0" w:color="999999"/>
              <w:bottom w:val="single" w:sz="4" w:space="0" w:color="999999"/>
              <w:right w:val="single" w:sz="4" w:space="0" w:color="999999"/>
            </w:tcBorders>
            <w:vAlign w:val="center"/>
          </w:tcPr>
          <w:p w14:paraId="54BF5505" w14:textId="77777777" w:rsidR="009A2964" w:rsidRPr="00BB50F2" w:rsidRDefault="009A2964" w:rsidP="00F8293A">
            <w:pPr>
              <w:pStyle w:val="Header"/>
              <w:rPr>
                <w:rFonts w:cs="Arial"/>
              </w:rPr>
            </w:pPr>
            <w:r w:rsidRPr="00BB50F2">
              <w:rPr>
                <w:rFonts w:cs="Arial"/>
              </w:rPr>
              <w:t>&lt;0.xxx</w:t>
            </w:r>
          </w:p>
        </w:tc>
        <w:tc>
          <w:tcPr>
            <w:tcW w:w="2974" w:type="dxa"/>
            <w:tcBorders>
              <w:top w:val="single" w:sz="4" w:space="0" w:color="999999"/>
              <w:left w:val="single" w:sz="4" w:space="0" w:color="999999"/>
              <w:bottom w:val="single" w:sz="4" w:space="0" w:color="999999"/>
              <w:right w:val="single" w:sz="4" w:space="0" w:color="999999"/>
            </w:tcBorders>
            <w:vAlign w:val="center"/>
          </w:tcPr>
          <w:p w14:paraId="4B2D866C" w14:textId="77777777" w:rsidR="009A2964" w:rsidRPr="00BB50F2" w:rsidRDefault="009A2964" w:rsidP="00F8293A">
            <w:pPr>
              <w:pStyle w:val="Header"/>
              <w:rPr>
                <w:rFonts w:cs="Arial"/>
              </w:rPr>
            </w:pPr>
            <w:r w:rsidRPr="00BB50F2">
              <w:rPr>
                <w:rFonts w:cs="Arial"/>
              </w:rPr>
              <w:t>RSCBSUC/RSCB</w:t>
            </w:r>
          </w:p>
        </w:tc>
        <w:tc>
          <w:tcPr>
            <w:tcW w:w="2835" w:type="dxa"/>
            <w:tcBorders>
              <w:top w:val="single" w:sz="4" w:space="0" w:color="999999"/>
              <w:left w:val="single" w:sz="4" w:space="0" w:color="999999"/>
              <w:bottom w:val="single" w:sz="4" w:space="0" w:color="999999"/>
              <w:right w:val="single" w:sz="4" w:space="0" w:color="999999"/>
            </w:tcBorders>
            <w:vAlign w:val="center"/>
          </w:tcPr>
          <w:p w14:paraId="2C8AB367" w14:textId="77777777" w:rsidR="009A2964" w:rsidRPr="00BB50F2" w:rsidRDefault="009A2964" w:rsidP="00F8293A">
            <w:pPr>
              <w:pStyle w:val="Header"/>
              <w:rPr>
                <w:rFonts w:cs="Arial"/>
              </w:rPr>
            </w:pPr>
            <w:r w:rsidRPr="00BB50F2">
              <w:rPr>
                <w:rFonts w:cs="Arial"/>
              </w:rPr>
              <w:t>Service Pass</w:t>
            </w:r>
          </w:p>
        </w:tc>
        <w:tc>
          <w:tcPr>
            <w:tcW w:w="274" w:type="dxa"/>
            <w:tcBorders>
              <w:top w:val="nil"/>
              <w:left w:val="single" w:sz="4" w:space="0" w:color="999999"/>
              <w:bottom w:val="nil"/>
            </w:tcBorders>
          </w:tcPr>
          <w:p w14:paraId="60114BE9" w14:textId="77777777" w:rsidR="009A2964" w:rsidRPr="00BB50F2" w:rsidRDefault="009A2964" w:rsidP="00F8293A">
            <w:pPr>
              <w:pStyle w:val="ssPara5"/>
              <w:spacing w:after="120" w:line="240" w:lineRule="auto"/>
              <w:rPr>
                <w:sz w:val="20"/>
                <w:szCs w:val="20"/>
              </w:rPr>
            </w:pPr>
          </w:p>
        </w:tc>
      </w:tr>
      <w:tr w:rsidR="009A2964" w:rsidRPr="00BB50F2" w14:paraId="548EBD87" w14:textId="77777777" w:rsidTr="00F8293A">
        <w:trPr>
          <w:cantSplit/>
        </w:trPr>
        <w:tc>
          <w:tcPr>
            <w:tcW w:w="591" w:type="dxa"/>
            <w:tcBorders>
              <w:top w:val="nil"/>
              <w:bottom w:val="nil"/>
              <w:right w:val="single" w:sz="4" w:space="0" w:color="999999"/>
            </w:tcBorders>
          </w:tcPr>
          <w:p w14:paraId="3AF74D09" w14:textId="77777777" w:rsidR="009A2964" w:rsidRPr="00BB50F2" w:rsidRDefault="009A2964" w:rsidP="00F8293A">
            <w:pPr>
              <w:pStyle w:val="ssPara5"/>
              <w:spacing w:after="120" w:line="240" w:lineRule="auto"/>
              <w:rPr>
                <w:sz w:val="20"/>
                <w:szCs w:val="20"/>
              </w:rPr>
            </w:pPr>
          </w:p>
        </w:tc>
        <w:tc>
          <w:tcPr>
            <w:tcW w:w="935" w:type="dxa"/>
            <w:tcBorders>
              <w:top w:val="single" w:sz="4" w:space="0" w:color="999999"/>
              <w:left w:val="single" w:sz="4" w:space="0" w:color="999999"/>
              <w:bottom w:val="single" w:sz="4" w:space="0" w:color="999999"/>
              <w:right w:val="single" w:sz="4" w:space="0" w:color="999999"/>
            </w:tcBorders>
            <w:vAlign w:val="center"/>
          </w:tcPr>
          <w:p w14:paraId="3C533121" w14:textId="77777777" w:rsidR="009A2964" w:rsidRPr="00BB50F2" w:rsidRDefault="009A2964" w:rsidP="00F8293A">
            <w:pPr>
              <w:pStyle w:val="Header"/>
              <w:rPr>
                <w:rFonts w:cs="Arial"/>
              </w:rPr>
            </w:pPr>
            <w:r w:rsidRPr="00BB50F2">
              <w:rPr>
                <w:rFonts w:cs="Arial"/>
              </w:rPr>
              <w:t>0</w:t>
            </w:r>
          </w:p>
        </w:tc>
        <w:tc>
          <w:tcPr>
            <w:tcW w:w="1596" w:type="dxa"/>
            <w:tcBorders>
              <w:top w:val="single" w:sz="4" w:space="0" w:color="999999"/>
              <w:left w:val="single" w:sz="4" w:space="0" w:color="999999"/>
              <w:bottom w:val="single" w:sz="4" w:space="0" w:color="999999"/>
              <w:right w:val="single" w:sz="4" w:space="0" w:color="999999"/>
            </w:tcBorders>
            <w:vAlign w:val="center"/>
          </w:tcPr>
          <w:p w14:paraId="5E90972D" w14:textId="77777777" w:rsidR="009A2964" w:rsidRPr="00BB50F2" w:rsidRDefault="009A2964" w:rsidP="00F8293A">
            <w:pPr>
              <w:pStyle w:val="Header"/>
              <w:rPr>
                <w:rFonts w:cs="Arial"/>
              </w:rPr>
            </w:pPr>
            <w:r w:rsidRPr="00BB50F2">
              <w:rPr>
                <w:rFonts w:cs="Arial"/>
              </w:rPr>
              <w:t>&lt;0.yyy</w:t>
            </w:r>
          </w:p>
        </w:tc>
        <w:tc>
          <w:tcPr>
            <w:tcW w:w="2974" w:type="dxa"/>
            <w:tcBorders>
              <w:top w:val="single" w:sz="4" w:space="0" w:color="999999"/>
              <w:left w:val="single" w:sz="4" w:space="0" w:color="999999"/>
              <w:bottom w:val="single" w:sz="4" w:space="0" w:color="999999"/>
              <w:right w:val="single" w:sz="4" w:space="0" w:color="999999"/>
            </w:tcBorders>
            <w:vAlign w:val="center"/>
          </w:tcPr>
          <w:p w14:paraId="6C049188" w14:textId="77777777" w:rsidR="009A2964" w:rsidRPr="00BB50F2" w:rsidRDefault="009A2964" w:rsidP="00F8293A">
            <w:pPr>
              <w:pStyle w:val="Header"/>
              <w:rPr>
                <w:rFonts w:cs="Arial"/>
              </w:rPr>
            </w:pPr>
            <w:r w:rsidRPr="00BB50F2">
              <w:rPr>
                <w:rFonts w:cs="Arial"/>
              </w:rPr>
              <w:t>RSCBSUC/RSCB</w:t>
            </w:r>
          </w:p>
        </w:tc>
        <w:tc>
          <w:tcPr>
            <w:tcW w:w="2835" w:type="dxa"/>
            <w:tcBorders>
              <w:top w:val="single" w:sz="4" w:space="0" w:color="999999"/>
              <w:left w:val="single" w:sz="4" w:space="0" w:color="999999"/>
              <w:bottom w:val="single" w:sz="4" w:space="0" w:color="999999"/>
              <w:right w:val="single" w:sz="4" w:space="0" w:color="999999"/>
            </w:tcBorders>
            <w:vAlign w:val="center"/>
          </w:tcPr>
          <w:p w14:paraId="064FF5BC" w14:textId="77777777" w:rsidR="009A2964" w:rsidRPr="00BB50F2" w:rsidRDefault="009A2964" w:rsidP="00F8293A">
            <w:pPr>
              <w:pStyle w:val="Header"/>
              <w:rPr>
                <w:rFonts w:cs="Arial"/>
              </w:rPr>
            </w:pPr>
            <w:r w:rsidRPr="00BB50F2">
              <w:rPr>
                <w:rFonts w:cs="Arial"/>
              </w:rPr>
              <w:t>Service Failure</w:t>
            </w:r>
          </w:p>
        </w:tc>
        <w:tc>
          <w:tcPr>
            <w:tcW w:w="274" w:type="dxa"/>
            <w:tcBorders>
              <w:top w:val="nil"/>
              <w:left w:val="single" w:sz="4" w:space="0" w:color="999999"/>
              <w:bottom w:val="nil"/>
            </w:tcBorders>
          </w:tcPr>
          <w:p w14:paraId="4492F35B" w14:textId="77777777" w:rsidR="009A2964" w:rsidRPr="00BB50F2" w:rsidRDefault="009A2964" w:rsidP="00F8293A">
            <w:pPr>
              <w:pStyle w:val="Header"/>
              <w:rPr>
                <w:rFonts w:cs="Arial"/>
              </w:rPr>
            </w:pPr>
          </w:p>
        </w:tc>
      </w:tr>
      <w:tr w:rsidR="009A2964" w:rsidRPr="00BB50F2" w14:paraId="29C601C1" w14:textId="77777777" w:rsidTr="00F8293A">
        <w:trPr>
          <w:cantSplit/>
          <w:trHeight w:hRule="exact" w:val="113"/>
        </w:trPr>
        <w:tc>
          <w:tcPr>
            <w:tcW w:w="9205" w:type="dxa"/>
            <w:gridSpan w:val="6"/>
            <w:tcBorders>
              <w:top w:val="nil"/>
              <w:bottom w:val="nil"/>
            </w:tcBorders>
          </w:tcPr>
          <w:p w14:paraId="0309CB39" w14:textId="77777777" w:rsidR="009A2964" w:rsidRPr="00BB50F2" w:rsidRDefault="009A2964" w:rsidP="00F8293A">
            <w:pPr>
              <w:pStyle w:val="Header"/>
              <w:rPr>
                <w:rFonts w:cs="Arial"/>
              </w:rPr>
            </w:pPr>
          </w:p>
        </w:tc>
      </w:tr>
      <w:tr w:rsidR="009A2964" w:rsidRPr="00BB50F2" w14:paraId="660C5C1C" w14:textId="77777777" w:rsidTr="00F8293A">
        <w:trPr>
          <w:cantSplit/>
          <w:trHeight w:hRule="exact" w:val="113"/>
        </w:trPr>
        <w:tc>
          <w:tcPr>
            <w:tcW w:w="9205" w:type="dxa"/>
            <w:gridSpan w:val="6"/>
            <w:tcBorders>
              <w:top w:val="nil"/>
            </w:tcBorders>
          </w:tcPr>
          <w:p w14:paraId="2C3E1DDC" w14:textId="77777777" w:rsidR="009A2964" w:rsidRPr="00BB50F2" w:rsidRDefault="009A2964" w:rsidP="00F8293A">
            <w:pPr>
              <w:pStyle w:val="Header"/>
              <w:rPr>
                <w:rFonts w:cs="Arial"/>
              </w:rPr>
            </w:pPr>
          </w:p>
        </w:tc>
      </w:tr>
      <w:tr w:rsidR="009A2964" w:rsidRPr="00BB50F2" w14:paraId="5BFA3903" w14:textId="77777777" w:rsidTr="00F8293A">
        <w:trPr>
          <w:cantSplit/>
          <w:trHeight w:hRule="exact" w:val="397"/>
        </w:trPr>
        <w:tc>
          <w:tcPr>
            <w:tcW w:w="9205" w:type="dxa"/>
            <w:gridSpan w:val="6"/>
            <w:vAlign w:val="center"/>
          </w:tcPr>
          <w:p w14:paraId="03367A30" w14:textId="77777777" w:rsidR="009A2964" w:rsidRPr="00BB50F2" w:rsidRDefault="009A2964" w:rsidP="00F8293A">
            <w:pPr>
              <w:pStyle w:val="Header"/>
              <w:rPr>
                <w:rFonts w:cs="Arial"/>
              </w:rPr>
            </w:pPr>
            <w:r w:rsidRPr="00BB50F2">
              <w:rPr>
                <w:rFonts w:cs="Arial"/>
              </w:rPr>
              <w:t>Notes:</w:t>
            </w:r>
          </w:p>
        </w:tc>
      </w:tr>
      <w:tr w:rsidR="009A2964" w:rsidRPr="00BB50F2" w14:paraId="1DFBD481" w14:textId="77777777" w:rsidTr="00F8293A">
        <w:trPr>
          <w:cantSplit/>
        </w:trPr>
        <w:tc>
          <w:tcPr>
            <w:tcW w:w="9205" w:type="dxa"/>
            <w:gridSpan w:val="6"/>
          </w:tcPr>
          <w:p w14:paraId="2969FD10" w14:textId="77777777" w:rsidR="009A2964" w:rsidRPr="00BB50F2" w:rsidRDefault="009A2964" w:rsidP="00F8293A">
            <w:pPr>
              <w:pStyle w:val="Header"/>
              <w:rPr>
                <w:rFonts w:cs="Arial"/>
              </w:rPr>
            </w:pPr>
            <w:r w:rsidRPr="00BB50F2">
              <w:rPr>
                <w:rFonts w:cs="Arial"/>
              </w:rPr>
              <w:t xml:space="preserve">xxx – target as defined in table </w:t>
            </w:r>
            <w:proofErr w:type="gramStart"/>
            <w:r w:rsidRPr="00BB50F2">
              <w:rPr>
                <w:rFonts w:cs="Arial"/>
              </w:rPr>
              <w:t>1</w:t>
            </w:r>
            <w:proofErr w:type="gramEnd"/>
          </w:p>
          <w:p w14:paraId="621E188A" w14:textId="77777777" w:rsidR="009A2964" w:rsidRPr="00BB50F2" w:rsidRDefault="009A2964" w:rsidP="00F8293A">
            <w:pPr>
              <w:pStyle w:val="Header"/>
              <w:rPr>
                <w:rFonts w:cs="Arial"/>
              </w:rPr>
            </w:pPr>
            <w:proofErr w:type="spellStart"/>
            <w:r w:rsidRPr="00BB50F2">
              <w:rPr>
                <w:rFonts w:cs="Arial"/>
              </w:rPr>
              <w:t>yyy</w:t>
            </w:r>
            <w:proofErr w:type="spellEnd"/>
            <w:r w:rsidRPr="00BB50F2">
              <w:rPr>
                <w:rFonts w:cs="Arial"/>
              </w:rPr>
              <w:t xml:space="preserve">- acceptable as defined in table </w:t>
            </w:r>
            <w:proofErr w:type="gramStart"/>
            <w:r w:rsidRPr="00BB50F2">
              <w:rPr>
                <w:rFonts w:cs="Arial"/>
              </w:rPr>
              <w:t>1</w:t>
            </w:r>
            <w:proofErr w:type="gramEnd"/>
          </w:p>
          <w:p w14:paraId="37A05C25" w14:textId="77777777" w:rsidR="009A2964" w:rsidRPr="00BB50F2" w:rsidRDefault="009A2964" w:rsidP="00F8293A">
            <w:pPr>
              <w:pStyle w:val="Header"/>
              <w:rPr>
                <w:rFonts w:cs="Arial"/>
              </w:rPr>
            </w:pPr>
          </w:p>
        </w:tc>
      </w:tr>
    </w:tbl>
    <w:p w14:paraId="61142344" w14:textId="77777777" w:rsidR="009A2964" w:rsidRPr="00BB50F2" w:rsidRDefault="009A2964" w:rsidP="00F8293A">
      <w:pPr>
        <w:jc w:val="left"/>
        <w:rPr>
          <w:rFonts w:cs="Arial"/>
        </w:rPr>
      </w:pPr>
      <w:r w:rsidRPr="00BB50F2">
        <w:rPr>
          <w:rFonts w:cs="Arial"/>
        </w:rPr>
        <w:br w:type="page"/>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
        <w:gridCol w:w="947"/>
        <w:gridCol w:w="941"/>
        <w:gridCol w:w="2162"/>
        <w:gridCol w:w="3932"/>
        <w:gridCol w:w="888"/>
      </w:tblGrid>
      <w:tr w:rsidR="009A2964" w:rsidRPr="00BB50F2" w14:paraId="3D4AD1A3" w14:textId="77777777" w:rsidTr="00F8293A">
        <w:trPr>
          <w:trHeight w:hRule="exact" w:val="867"/>
        </w:trPr>
        <w:tc>
          <w:tcPr>
            <w:tcW w:w="4536" w:type="dxa"/>
            <w:gridSpan w:val="4"/>
          </w:tcPr>
          <w:p w14:paraId="5C99CFB4" w14:textId="77777777" w:rsidR="009A2964" w:rsidRPr="00BB50F2" w:rsidRDefault="009A2964" w:rsidP="00F8293A">
            <w:pPr>
              <w:rPr>
                <w:rFonts w:cs="Arial"/>
              </w:rPr>
            </w:pPr>
            <w:r w:rsidRPr="00BB50F2">
              <w:rPr>
                <w:rFonts w:cs="Arial"/>
                <w:b/>
              </w:rPr>
              <w:lastRenderedPageBreak/>
              <w:t>Response Time for Incidents</w:t>
            </w:r>
            <w:r w:rsidRPr="00BB50F2">
              <w:rPr>
                <w:rFonts w:cs="Arial"/>
              </w:rPr>
              <w:t xml:space="preserve"> </w:t>
            </w:r>
          </w:p>
        </w:tc>
        <w:tc>
          <w:tcPr>
            <w:tcW w:w="4820" w:type="dxa"/>
            <w:gridSpan w:val="2"/>
            <w:vAlign w:val="center"/>
          </w:tcPr>
          <w:p w14:paraId="13C20ABA" w14:textId="77777777" w:rsidR="009A2964" w:rsidRPr="00BB50F2" w:rsidRDefault="009A2964" w:rsidP="00822819">
            <w:pPr>
              <w:pStyle w:val="Heading1"/>
              <w:numPr>
                <w:ilvl w:val="0"/>
                <w:numId w:val="0"/>
              </w:numPr>
              <w:spacing w:after="120"/>
              <w:jc w:val="center"/>
              <w:rPr>
                <w:rFonts w:cs="Arial"/>
              </w:rPr>
            </w:pPr>
            <w:r w:rsidRPr="00BB50F2">
              <w:rPr>
                <w:rFonts w:cs="Arial"/>
              </w:rPr>
              <w:t>R–1, R-2, R–3, R-4</w:t>
            </w:r>
          </w:p>
          <w:p w14:paraId="16224F59" w14:textId="1FFBCE15" w:rsidR="009A2964" w:rsidRPr="00BB50F2" w:rsidRDefault="002C7090" w:rsidP="00F8293A">
            <w:pPr>
              <w:jc w:val="center"/>
              <w:rPr>
                <w:rFonts w:cs="Arial"/>
              </w:rPr>
            </w:pPr>
            <w:r w:rsidRPr="00BB50F2">
              <w:rPr>
                <w:rFonts w:cs="Arial"/>
                <w:b/>
                <w:lang w:eastAsia="en-US"/>
              </w:rPr>
              <w:t>CONTINUOUS</w:t>
            </w:r>
          </w:p>
        </w:tc>
      </w:tr>
      <w:tr w:rsidR="009A2964" w:rsidRPr="00BB50F2" w14:paraId="4CCF9C01" w14:textId="77777777" w:rsidTr="00F8293A">
        <w:trPr>
          <w:cantSplit/>
          <w:trHeight w:hRule="exact" w:val="397"/>
        </w:trPr>
        <w:tc>
          <w:tcPr>
            <w:tcW w:w="9356" w:type="dxa"/>
            <w:gridSpan w:val="6"/>
            <w:vAlign w:val="center"/>
          </w:tcPr>
          <w:p w14:paraId="7A593EEA" w14:textId="77777777" w:rsidR="009A2964" w:rsidRPr="00BB50F2" w:rsidRDefault="009A2964" w:rsidP="00F8293A">
            <w:pPr>
              <w:rPr>
                <w:rFonts w:cs="Arial"/>
                <w:b/>
              </w:rPr>
            </w:pPr>
            <w:r w:rsidRPr="00BB50F2">
              <w:rPr>
                <w:rFonts w:cs="Arial"/>
                <w:b/>
              </w:rPr>
              <w:t>Definition:</w:t>
            </w:r>
          </w:p>
        </w:tc>
      </w:tr>
      <w:tr w:rsidR="009A2964" w:rsidRPr="00BB50F2" w14:paraId="18E7A39B" w14:textId="77777777" w:rsidTr="00F8293A">
        <w:trPr>
          <w:cantSplit/>
        </w:trPr>
        <w:tc>
          <w:tcPr>
            <w:tcW w:w="9356" w:type="dxa"/>
            <w:gridSpan w:val="6"/>
          </w:tcPr>
          <w:p w14:paraId="53A0BC16" w14:textId="77777777" w:rsidR="009A2964" w:rsidRPr="00BB50F2" w:rsidRDefault="009A2964" w:rsidP="00F8293A">
            <w:pPr>
              <w:pStyle w:val="Header"/>
              <w:rPr>
                <w:rFonts w:cs="Arial"/>
              </w:rPr>
            </w:pPr>
            <w:r w:rsidRPr="00BB50F2">
              <w:rPr>
                <w:rFonts w:cs="Arial"/>
              </w:rPr>
              <w:t>The measure of Supplier responsiveness to incidents occurring during any given month.</w:t>
            </w:r>
          </w:p>
          <w:p w14:paraId="6F39D685" w14:textId="77777777" w:rsidR="009A2964" w:rsidRPr="00BB50F2" w:rsidRDefault="009A2964" w:rsidP="00F8293A">
            <w:pPr>
              <w:pStyle w:val="Header"/>
              <w:rPr>
                <w:rFonts w:cs="Arial"/>
              </w:rPr>
            </w:pPr>
            <w:r w:rsidRPr="00BB50F2">
              <w:rPr>
                <w:rFonts w:cs="Arial"/>
              </w:rPr>
              <w:t>Incident Response Time (IRT) as defined in 3.9.</w:t>
            </w:r>
          </w:p>
        </w:tc>
      </w:tr>
      <w:tr w:rsidR="009A2964" w:rsidRPr="00BB50F2" w14:paraId="7B98F94F" w14:textId="77777777" w:rsidTr="00F8293A">
        <w:trPr>
          <w:cantSplit/>
          <w:trHeight w:hRule="exact" w:val="397"/>
        </w:trPr>
        <w:tc>
          <w:tcPr>
            <w:tcW w:w="9356" w:type="dxa"/>
            <w:gridSpan w:val="6"/>
            <w:vAlign w:val="center"/>
          </w:tcPr>
          <w:p w14:paraId="097C2B62" w14:textId="77777777" w:rsidR="009A2964" w:rsidRPr="00BB50F2" w:rsidRDefault="009A2964" w:rsidP="00F8293A">
            <w:pPr>
              <w:pStyle w:val="Header"/>
              <w:rPr>
                <w:rFonts w:cs="Arial"/>
              </w:rPr>
            </w:pPr>
            <w:r w:rsidRPr="00BB50F2">
              <w:rPr>
                <w:rFonts w:cs="Arial"/>
              </w:rPr>
              <w:t>Calculation:</w:t>
            </w:r>
          </w:p>
        </w:tc>
      </w:tr>
      <w:tr w:rsidR="009A2964" w:rsidRPr="00BB50F2" w14:paraId="623D8D71" w14:textId="77777777" w:rsidTr="00F8293A">
        <w:trPr>
          <w:cantSplit/>
        </w:trPr>
        <w:tc>
          <w:tcPr>
            <w:tcW w:w="9356" w:type="dxa"/>
            <w:gridSpan w:val="6"/>
            <w:tcBorders>
              <w:bottom w:val="nil"/>
            </w:tcBorders>
          </w:tcPr>
          <w:p w14:paraId="36A13A12" w14:textId="77777777" w:rsidR="009A2964" w:rsidRPr="00BB50F2" w:rsidRDefault="009A2964" w:rsidP="00F8293A">
            <w:pPr>
              <w:pStyle w:val="Header"/>
              <w:rPr>
                <w:rFonts w:cs="Arial"/>
              </w:rPr>
            </w:pPr>
            <w:r w:rsidRPr="00BB50F2">
              <w:rPr>
                <w:rFonts w:cs="Arial"/>
              </w:rPr>
              <w:t>_</w:t>
            </w:r>
          </w:p>
        </w:tc>
      </w:tr>
      <w:tr w:rsidR="009A2964" w:rsidRPr="00BB50F2" w14:paraId="5BA429D7" w14:textId="77777777" w:rsidTr="00F8293A">
        <w:trPr>
          <w:cantSplit/>
        </w:trPr>
        <w:tc>
          <w:tcPr>
            <w:tcW w:w="486" w:type="dxa"/>
            <w:tcBorders>
              <w:top w:val="nil"/>
              <w:bottom w:val="nil"/>
              <w:right w:val="single" w:sz="4" w:space="0" w:color="999999"/>
            </w:tcBorders>
          </w:tcPr>
          <w:p w14:paraId="6E681E23" w14:textId="77777777" w:rsidR="009A2964" w:rsidRPr="00BB50F2" w:rsidRDefault="009A2964" w:rsidP="00F8293A">
            <w:pPr>
              <w:pStyle w:val="Header"/>
              <w:rPr>
                <w:rFonts w:cs="Arial"/>
              </w:rPr>
            </w:pPr>
          </w:p>
        </w:tc>
        <w:tc>
          <w:tcPr>
            <w:tcW w:w="1888" w:type="dxa"/>
            <w:gridSpan w:val="2"/>
            <w:tcBorders>
              <w:top w:val="single" w:sz="4" w:space="0" w:color="999999"/>
              <w:left w:val="single" w:sz="4" w:space="0" w:color="999999"/>
              <w:bottom w:val="single" w:sz="4" w:space="0" w:color="999999"/>
              <w:right w:val="single" w:sz="4" w:space="0" w:color="999999"/>
            </w:tcBorders>
          </w:tcPr>
          <w:p w14:paraId="2B5908BF" w14:textId="77777777" w:rsidR="009A2964" w:rsidRPr="00BB50F2" w:rsidRDefault="009A2964" w:rsidP="00F8293A">
            <w:pPr>
              <w:pStyle w:val="Header"/>
              <w:rPr>
                <w:rFonts w:cs="Arial"/>
              </w:rPr>
            </w:pPr>
            <w:r w:rsidRPr="00BB50F2">
              <w:rPr>
                <w:rFonts w:cs="Arial"/>
              </w:rPr>
              <w:t>Total incidents</w:t>
            </w:r>
          </w:p>
        </w:tc>
        <w:tc>
          <w:tcPr>
            <w:tcW w:w="6094" w:type="dxa"/>
            <w:gridSpan w:val="2"/>
            <w:tcBorders>
              <w:top w:val="single" w:sz="4" w:space="0" w:color="999999"/>
              <w:left w:val="single" w:sz="4" w:space="0" w:color="999999"/>
              <w:bottom w:val="single" w:sz="4" w:space="0" w:color="999999"/>
              <w:right w:val="single" w:sz="4" w:space="0" w:color="999999"/>
            </w:tcBorders>
          </w:tcPr>
          <w:p w14:paraId="11B14DBF" w14:textId="77777777" w:rsidR="009A2964" w:rsidRPr="00BB50F2" w:rsidRDefault="009A2964" w:rsidP="00F8293A">
            <w:pPr>
              <w:pStyle w:val="Header"/>
              <w:rPr>
                <w:rFonts w:cs="Arial"/>
              </w:rPr>
            </w:pPr>
            <w:r w:rsidRPr="00BB50F2">
              <w:rPr>
                <w:rFonts w:cs="Arial"/>
              </w:rPr>
              <w:t xml:space="preserve">The total number of incidents (TINC) recorded for a specific severity and priority </w:t>
            </w:r>
          </w:p>
        </w:tc>
        <w:tc>
          <w:tcPr>
            <w:tcW w:w="888" w:type="dxa"/>
            <w:tcBorders>
              <w:top w:val="nil"/>
              <w:left w:val="single" w:sz="4" w:space="0" w:color="999999"/>
              <w:bottom w:val="nil"/>
            </w:tcBorders>
          </w:tcPr>
          <w:p w14:paraId="5A00615E" w14:textId="77777777" w:rsidR="009A2964" w:rsidRPr="00BB50F2" w:rsidRDefault="009A2964" w:rsidP="00F8293A">
            <w:pPr>
              <w:pStyle w:val="Header"/>
              <w:rPr>
                <w:rFonts w:cs="Arial"/>
              </w:rPr>
            </w:pPr>
          </w:p>
        </w:tc>
      </w:tr>
      <w:tr w:rsidR="009A2964" w:rsidRPr="00BB50F2" w14:paraId="35926D28" w14:textId="77777777" w:rsidTr="00F8293A">
        <w:trPr>
          <w:cantSplit/>
        </w:trPr>
        <w:tc>
          <w:tcPr>
            <w:tcW w:w="486" w:type="dxa"/>
            <w:tcBorders>
              <w:top w:val="nil"/>
              <w:bottom w:val="nil"/>
              <w:right w:val="single" w:sz="4" w:space="0" w:color="999999"/>
            </w:tcBorders>
          </w:tcPr>
          <w:p w14:paraId="43E5FD04" w14:textId="77777777" w:rsidR="009A2964" w:rsidRPr="00BB50F2" w:rsidRDefault="009A2964" w:rsidP="00F8293A">
            <w:pPr>
              <w:pStyle w:val="Header"/>
              <w:rPr>
                <w:rFonts w:cs="Arial"/>
              </w:rPr>
            </w:pPr>
          </w:p>
        </w:tc>
        <w:tc>
          <w:tcPr>
            <w:tcW w:w="1888" w:type="dxa"/>
            <w:gridSpan w:val="2"/>
            <w:tcBorders>
              <w:top w:val="single" w:sz="4" w:space="0" w:color="999999"/>
              <w:left w:val="single" w:sz="4" w:space="0" w:color="999999"/>
              <w:bottom w:val="single" w:sz="4" w:space="0" w:color="999999"/>
              <w:right w:val="single" w:sz="4" w:space="0" w:color="999999"/>
            </w:tcBorders>
          </w:tcPr>
          <w:p w14:paraId="6928491C" w14:textId="77777777" w:rsidR="009A2964" w:rsidRPr="00BB50F2" w:rsidRDefault="009A2964" w:rsidP="00F8293A">
            <w:pPr>
              <w:pStyle w:val="Header"/>
              <w:rPr>
                <w:rFonts w:cs="Arial"/>
              </w:rPr>
            </w:pPr>
            <w:r w:rsidRPr="00BB50F2">
              <w:rPr>
                <w:rFonts w:cs="Arial"/>
              </w:rPr>
              <w:t>Target total incidents</w:t>
            </w:r>
          </w:p>
        </w:tc>
        <w:tc>
          <w:tcPr>
            <w:tcW w:w="6094" w:type="dxa"/>
            <w:gridSpan w:val="2"/>
            <w:tcBorders>
              <w:top w:val="single" w:sz="4" w:space="0" w:color="999999"/>
              <w:left w:val="single" w:sz="4" w:space="0" w:color="999999"/>
              <w:bottom w:val="single" w:sz="4" w:space="0" w:color="999999"/>
              <w:right w:val="single" w:sz="4" w:space="0" w:color="999999"/>
            </w:tcBorders>
          </w:tcPr>
          <w:p w14:paraId="49899C06" w14:textId="77777777" w:rsidR="009A2964" w:rsidRPr="00BB50F2" w:rsidRDefault="009A2964" w:rsidP="00F8293A">
            <w:pPr>
              <w:pStyle w:val="Header"/>
              <w:rPr>
                <w:rFonts w:cs="Arial"/>
              </w:rPr>
            </w:pPr>
            <w:r w:rsidRPr="00BB50F2">
              <w:rPr>
                <w:rFonts w:cs="Arial"/>
              </w:rPr>
              <w:t xml:space="preserve">The total number of incidents (TTI) that were recorded as having an incident response time being less than or equal to the applicable target (ATGT) in Table X for a specific severity and priority </w:t>
            </w:r>
          </w:p>
        </w:tc>
        <w:tc>
          <w:tcPr>
            <w:tcW w:w="888" w:type="dxa"/>
            <w:tcBorders>
              <w:top w:val="nil"/>
              <w:left w:val="single" w:sz="4" w:space="0" w:color="999999"/>
              <w:bottom w:val="nil"/>
            </w:tcBorders>
          </w:tcPr>
          <w:p w14:paraId="3F337EC0" w14:textId="77777777" w:rsidR="009A2964" w:rsidRPr="00BB50F2" w:rsidRDefault="009A2964" w:rsidP="00F8293A">
            <w:pPr>
              <w:pStyle w:val="Header"/>
              <w:rPr>
                <w:rFonts w:cs="Arial"/>
              </w:rPr>
            </w:pPr>
          </w:p>
        </w:tc>
      </w:tr>
      <w:tr w:rsidR="009A2964" w:rsidRPr="00BB50F2" w14:paraId="6C794B59" w14:textId="77777777" w:rsidTr="00F8293A">
        <w:trPr>
          <w:cantSplit/>
        </w:trPr>
        <w:tc>
          <w:tcPr>
            <w:tcW w:w="486" w:type="dxa"/>
            <w:tcBorders>
              <w:top w:val="nil"/>
              <w:bottom w:val="nil"/>
              <w:right w:val="single" w:sz="4" w:space="0" w:color="999999"/>
            </w:tcBorders>
          </w:tcPr>
          <w:p w14:paraId="4D727677" w14:textId="77777777" w:rsidR="009A2964" w:rsidRPr="00BB50F2" w:rsidRDefault="009A2964" w:rsidP="00F8293A">
            <w:pPr>
              <w:pStyle w:val="Header"/>
              <w:rPr>
                <w:rFonts w:cs="Arial"/>
              </w:rPr>
            </w:pPr>
          </w:p>
        </w:tc>
        <w:tc>
          <w:tcPr>
            <w:tcW w:w="1888" w:type="dxa"/>
            <w:gridSpan w:val="2"/>
            <w:tcBorders>
              <w:top w:val="single" w:sz="4" w:space="0" w:color="999999"/>
              <w:left w:val="single" w:sz="4" w:space="0" w:color="999999"/>
              <w:bottom w:val="single" w:sz="4" w:space="0" w:color="999999"/>
              <w:right w:val="single" w:sz="4" w:space="0" w:color="999999"/>
            </w:tcBorders>
          </w:tcPr>
          <w:p w14:paraId="3B379264" w14:textId="77777777" w:rsidR="009A2964" w:rsidRPr="00BB50F2" w:rsidRDefault="009A2964" w:rsidP="00F8293A">
            <w:pPr>
              <w:pStyle w:val="Header"/>
              <w:rPr>
                <w:rFonts w:cs="Arial"/>
              </w:rPr>
            </w:pPr>
            <w:r w:rsidRPr="00BB50F2">
              <w:rPr>
                <w:rFonts w:cs="Arial"/>
              </w:rPr>
              <w:t>Maximum incident response time</w:t>
            </w:r>
          </w:p>
        </w:tc>
        <w:tc>
          <w:tcPr>
            <w:tcW w:w="6094" w:type="dxa"/>
            <w:gridSpan w:val="2"/>
            <w:tcBorders>
              <w:top w:val="single" w:sz="4" w:space="0" w:color="999999"/>
              <w:left w:val="single" w:sz="4" w:space="0" w:color="999999"/>
              <w:bottom w:val="single" w:sz="4" w:space="0" w:color="999999"/>
              <w:right w:val="single" w:sz="4" w:space="0" w:color="999999"/>
            </w:tcBorders>
          </w:tcPr>
          <w:p w14:paraId="5DF7D407" w14:textId="77777777" w:rsidR="009A2964" w:rsidRPr="00BB50F2" w:rsidRDefault="009A2964" w:rsidP="00F8293A">
            <w:pPr>
              <w:pStyle w:val="Header"/>
              <w:rPr>
                <w:rFonts w:cs="Arial"/>
              </w:rPr>
            </w:pPr>
            <w:r w:rsidRPr="00BB50F2">
              <w:rPr>
                <w:rFonts w:cs="Arial"/>
              </w:rPr>
              <w:t xml:space="preserve">The greater of the maximum response time for an incident responded to in the reporting period, or opened in the prior period and still </w:t>
            </w:r>
            <w:proofErr w:type="spellStart"/>
            <w:r w:rsidRPr="00BB50F2">
              <w:rPr>
                <w:rFonts w:cs="Arial"/>
              </w:rPr>
              <w:t>unresponded</w:t>
            </w:r>
            <w:proofErr w:type="spellEnd"/>
            <w:r w:rsidRPr="00BB50F2">
              <w:rPr>
                <w:rFonts w:cs="Arial"/>
              </w:rPr>
              <w:t xml:space="preserve"> to in the current period (MAXIR)</w:t>
            </w:r>
          </w:p>
        </w:tc>
        <w:tc>
          <w:tcPr>
            <w:tcW w:w="888" w:type="dxa"/>
            <w:tcBorders>
              <w:top w:val="nil"/>
              <w:left w:val="single" w:sz="4" w:space="0" w:color="999999"/>
              <w:bottom w:val="nil"/>
            </w:tcBorders>
          </w:tcPr>
          <w:p w14:paraId="078DF83F" w14:textId="77777777" w:rsidR="009A2964" w:rsidRPr="00BB50F2" w:rsidRDefault="009A2964" w:rsidP="00F8293A">
            <w:pPr>
              <w:pStyle w:val="Header"/>
              <w:rPr>
                <w:rFonts w:cs="Arial"/>
              </w:rPr>
            </w:pPr>
          </w:p>
        </w:tc>
      </w:tr>
      <w:tr w:rsidR="009A2964" w:rsidRPr="00BB50F2" w14:paraId="0CA008CD" w14:textId="77777777" w:rsidTr="00F8293A">
        <w:trPr>
          <w:cantSplit/>
        </w:trPr>
        <w:tc>
          <w:tcPr>
            <w:tcW w:w="486" w:type="dxa"/>
            <w:tcBorders>
              <w:top w:val="nil"/>
              <w:bottom w:val="nil"/>
              <w:right w:val="single" w:sz="4" w:space="0" w:color="999999"/>
            </w:tcBorders>
          </w:tcPr>
          <w:p w14:paraId="044C7399" w14:textId="77777777" w:rsidR="009A2964" w:rsidRPr="00BB50F2" w:rsidRDefault="009A2964" w:rsidP="00F8293A">
            <w:pPr>
              <w:pStyle w:val="Header"/>
              <w:rPr>
                <w:rFonts w:cs="Arial"/>
              </w:rPr>
            </w:pPr>
          </w:p>
        </w:tc>
        <w:tc>
          <w:tcPr>
            <w:tcW w:w="1888" w:type="dxa"/>
            <w:gridSpan w:val="2"/>
            <w:tcBorders>
              <w:top w:val="single" w:sz="4" w:space="0" w:color="999999"/>
              <w:left w:val="single" w:sz="4" w:space="0" w:color="999999"/>
              <w:bottom w:val="single" w:sz="4" w:space="0" w:color="999999"/>
              <w:right w:val="single" w:sz="4" w:space="0" w:color="999999"/>
            </w:tcBorders>
          </w:tcPr>
          <w:p w14:paraId="03FB552E" w14:textId="77777777" w:rsidR="009A2964" w:rsidRPr="00BB50F2" w:rsidRDefault="009A2964" w:rsidP="00F8293A">
            <w:pPr>
              <w:pStyle w:val="Header"/>
              <w:rPr>
                <w:rFonts w:cs="Arial"/>
              </w:rPr>
            </w:pPr>
            <w:r w:rsidRPr="00BB50F2">
              <w:rPr>
                <w:rFonts w:cs="Arial"/>
              </w:rPr>
              <w:t>Percentage responded to target</w:t>
            </w:r>
          </w:p>
        </w:tc>
        <w:tc>
          <w:tcPr>
            <w:tcW w:w="6094" w:type="dxa"/>
            <w:gridSpan w:val="2"/>
            <w:tcBorders>
              <w:top w:val="single" w:sz="4" w:space="0" w:color="999999"/>
              <w:left w:val="single" w:sz="4" w:space="0" w:color="999999"/>
              <w:bottom w:val="single" w:sz="4" w:space="0" w:color="999999"/>
              <w:right w:val="single" w:sz="4" w:space="0" w:color="999999"/>
            </w:tcBorders>
          </w:tcPr>
          <w:p w14:paraId="5BFF79B6" w14:textId="77777777" w:rsidR="009A2964" w:rsidRPr="00BB50F2" w:rsidRDefault="009A2964" w:rsidP="00F8293A">
            <w:pPr>
              <w:pStyle w:val="Header"/>
              <w:rPr>
                <w:rFonts w:cs="Arial"/>
              </w:rPr>
            </w:pPr>
            <w:r w:rsidRPr="00BB50F2">
              <w:rPr>
                <w:rFonts w:cs="Arial"/>
              </w:rPr>
              <w:t>PRTGT = TTI/TINC</w:t>
            </w:r>
          </w:p>
        </w:tc>
        <w:tc>
          <w:tcPr>
            <w:tcW w:w="888" w:type="dxa"/>
            <w:tcBorders>
              <w:top w:val="nil"/>
              <w:left w:val="single" w:sz="4" w:space="0" w:color="999999"/>
              <w:bottom w:val="nil"/>
            </w:tcBorders>
          </w:tcPr>
          <w:p w14:paraId="72ED1734" w14:textId="77777777" w:rsidR="009A2964" w:rsidRPr="00BB50F2" w:rsidRDefault="009A2964" w:rsidP="00F8293A">
            <w:pPr>
              <w:pStyle w:val="Header"/>
              <w:rPr>
                <w:rFonts w:cs="Arial"/>
              </w:rPr>
            </w:pPr>
          </w:p>
        </w:tc>
      </w:tr>
      <w:tr w:rsidR="009A2964" w:rsidRPr="00BB50F2" w14:paraId="6E485C74" w14:textId="77777777" w:rsidTr="00F8293A">
        <w:trPr>
          <w:cantSplit/>
        </w:trPr>
        <w:tc>
          <w:tcPr>
            <w:tcW w:w="486" w:type="dxa"/>
            <w:tcBorders>
              <w:top w:val="nil"/>
              <w:bottom w:val="nil"/>
              <w:right w:val="single" w:sz="4" w:space="0" w:color="999999"/>
            </w:tcBorders>
          </w:tcPr>
          <w:p w14:paraId="727E4AF4" w14:textId="77777777" w:rsidR="009A2964" w:rsidRPr="00BB50F2" w:rsidRDefault="009A2964" w:rsidP="00F8293A">
            <w:pPr>
              <w:pStyle w:val="Header"/>
              <w:rPr>
                <w:rFonts w:cs="Arial"/>
              </w:rPr>
            </w:pPr>
          </w:p>
        </w:tc>
        <w:tc>
          <w:tcPr>
            <w:tcW w:w="1888" w:type="dxa"/>
            <w:gridSpan w:val="2"/>
            <w:tcBorders>
              <w:top w:val="single" w:sz="4" w:space="0" w:color="999999"/>
              <w:left w:val="single" w:sz="4" w:space="0" w:color="999999"/>
              <w:bottom w:val="single" w:sz="4" w:space="0" w:color="999999"/>
              <w:right w:val="single" w:sz="4" w:space="0" w:color="999999"/>
            </w:tcBorders>
          </w:tcPr>
          <w:p w14:paraId="720E7277" w14:textId="77777777" w:rsidR="009A2964" w:rsidRPr="00BB50F2" w:rsidRDefault="009A2964" w:rsidP="00F8293A">
            <w:pPr>
              <w:pStyle w:val="Header"/>
              <w:rPr>
                <w:rFonts w:cs="Arial"/>
              </w:rPr>
            </w:pPr>
          </w:p>
        </w:tc>
        <w:tc>
          <w:tcPr>
            <w:tcW w:w="6094" w:type="dxa"/>
            <w:gridSpan w:val="2"/>
            <w:tcBorders>
              <w:top w:val="single" w:sz="4" w:space="0" w:color="999999"/>
              <w:left w:val="single" w:sz="4" w:space="0" w:color="999999"/>
              <w:bottom w:val="single" w:sz="4" w:space="0" w:color="999999"/>
              <w:right w:val="single" w:sz="4" w:space="0" w:color="999999"/>
            </w:tcBorders>
          </w:tcPr>
          <w:p w14:paraId="2F4A3AF0" w14:textId="77777777" w:rsidR="009A2964" w:rsidRPr="00BB50F2" w:rsidRDefault="009A2964" w:rsidP="00F8293A">
            <w:pPr>
              <w:pStyle w:val="Header"/>
              <w:rPr>
                <w:rFonts w:cs="Arial"/>
              </w:rPr>
            </w:pPr>
          </w:p>
        </w:tc>
        <w:tc>
          <w:tcPr>
            <w:tcW w:w="888" w:type="dxa"/>
            <w:tcBorders>
              <w:top w:val="nil"/>
              <w:left w:val="single" w:sz="4" w:space="0" w:color="999999"/>
              <w:bottom w:val="nil"/>
            </w:tcBorders>
          </w:tcPr>
          <w:p w14:paraId="4DC3DED4" w14:textId="77777777" w:rsidR="009A2964" w:rsidRPr="00BB50F2" w:rsidRDefault="009A2964" w:rsidP="00F8293A">
            <w:pPr>
              <w:pStyle w:val="Header"/>
              <w:rPr>
                <w:rFonts w:cs="Arial"/>
              </w:rPr>
            </w:pPr>
          </w:p>
        </w:tc>
      </w:tr>
      <w:tr w:rsidR="009A2964" w:rsidRPr="00BB50F2" w14:paraId="1E719776" w14:textId="77777777" w:rsidTr="00F8293A">
        <w:trPr>
          <w:cantSplit/>
          <w:trHeight w:hRule="exact" w:val="113"/>
        </w:trPr>
        <w:tc>
          <w:tcPr>
            <w:tcW w:w="9356" w:type="dxa"/>
            <w:gridSpan w:val="6"/>
            <w:tcBorders>
              <w:top w:val="nil"/>
            </w:tcBorders>
          </w:tcPr>
          <w:p w14:paraId="690FCE7E" w14:textId="77777777" w:rsidR="009A2964" w:rsidRPr="00BB50F2" w:rsidRDefault="009A2964" w:rsidP="00F8293A">
            <w:pPr>
              <w:pStyle w:val="Header"/>
              <w:rPr>
                <w:rFonts w:cs="Arial"/>
              </w:rPr>
            </w:pPr>
          </w:p>
        </w:tc>
      </w:tr>
      <w:tr w:rsidR="009A2964" w:rsidRPr="00BB50F2" w14:paraId="64180D9D" w14:textId="77777777" w:rsidTr="00F8293A">
        <w:trPr>
          <w:cantSplit/>
          <w:trHeight w:hRule="exact" w:val="397"/>
        </w:trPr>
        <w:tc>
          <w:tcPr>
            <w:tcW w:w="9356" w:type="dxa"/>
            <w:gridSpan w:val="6"/>
            <w:vAlign w:val="center"/>
          </w:tcPr>
          <w:p w14:paraId="06CC3BA0" w14:textId="77777777" w:rsidR="009A2964" w:rsidRPr="00BB50F2" w:rsidRDefault="009A2964" w:rsidP="00F8293A">
            <w:pPr>
              <w:pStyle w:val="Header"/>
              <w:rPr>
                <w:rFonts w:cs="Arial"/>
              </w:rPr>
            </w:pPr>
            <w:r w:rsidRPr="00BB50F2">
              <w:rPr>
                <w:rFonts w:cs="Arial"/>
              </w:rPr>
              <w:t>Measurement:</w:t>
            </w:r>
          </w:p>
        </w:tc>
      </w:tr>
      <w:tr w:rsidR="009A2964" w:rsidRPr="00BB50F2" w14:paraId="6BC3F9A7" w14:textId="77777777" w:rsidTr="00F8293A">
        <w:trPr>
          <w:cantSplit/>
          <w:trHeight w:hRule="exact" w:val="113"/>
        </w:trPr>
        <w:tc>
          <w:tcPr>
            <w:tcW w:w="9356" w:type="dxa"/>
            <w:gridSpan w:val="6"/>
            <w:tcBorders>
              <w:bottom w:val="nil"/>
            </w:tcBorders>
          </w:tcPr>
          <w:p w14:paraId="09CF2B7C" w14:textId="77777777" w:rsidR="009A2964" w:rsidRPr="00BB50F2" w:rsidRDefault="009A2964" w:rsidP="00F8293A">
            <w:pPr>
              <w:pStyle w:val="Header"/>
              <w:rPr>
                <w:rFonts w:cs="Arial"/>
              </w:rPr>
            </w:pPr>
          </w:p>
        </w:tc>
      </w:tr>
      <w:tr w:rsidR="009A2964" w:rsidRPr="00BB50F2" w14:paraId="537EF36B" w14:textId="77777777" w:rsidTr="00F8293A">
        <w:trPr>
          <w:cantSplit/>
        </w:trPr>
        <w:tc>
          <w:tcPr>
            <w:tcW w:w="486" w:type="dxa"/>
            <w:tcBorders>
              <w:top w:val="nil"/>
              <w:bottom w:val="nil"/>
              <w:right w:val="single" w:sz="4" w:space="0" w:color="999999"/>
            </w:tcBorders>
          </w:tcPr>
          <w:p w14:paraId="584D720E" w14:textId="77777777" w:rsidR="009A2964" w:rsidRPr="00BB50F2" w:rsidRDefault="009A2964" w:rsidP="00F8293A">
            <w:pPr>
              <w:pStyle w:val="Header"/>
              <w:rPr>
                <w:rFonts w:cs="Arial"/>
              </w:rPr>
            </w:pPr>
          </w:p>
        </w:tc>
        <w:tc>
          <w:tcPr>
            <w:tcW w:w="1888" w:type="dxa"/>
            <w:gridSpan w:val="2"/>
            <w:tcBorders>
              <w:top w:val="single" w:sz="4" w:space="0" w:color="999999"/>
              <w:left w:val="single" w:sz="4" w:space="0" w:color="999999"/>
              <w:bottom w:val="single" w:sz="4" w:space="0" w:color="999999"/>
              <w:right w:val="single" w:sz="4" w:space="0" w:color="999999"/>
            </w:tcBorders>
          </w:tcPr>
          <w:p w14:paraId="2E1D5CA0" w14:textId="77777777" w:rsidR="009A2964" w:rsidRPr="00BB50F2" w:rsidRDefault="009A2964" w:rsidP="00F8293A">
            <w:pPr>
              <w:pStyle w:val="Header"/>
              <w:rPr>
                <w:rFonts w:cs="Arial"/>
              </w:rPr>
            </w:pPr>
            <w:r w:rsidRPr="00BB50F2">
              <w:rPr>
                <w:rFonts w:cs="Arial"/>
              </w:rPr>
              <w:t>Period</w:t>
            </w:r>
          </w:p>
        </w:tc>
        <w:tc>
          <w:tcPr>
            <w:tcW w:w="6094" w:type="dxa"/>
            <w:gridSpan w:val="2"/>
            <w:tcBorders>
              <w:top w:val="single" w:sz="4" w:space="0" w:color="999999"/>
              <w:left w:val="single" w:sz="4" w:space="0" w:color="999999"/>
              <w:bottom w:val="single" w:sz="4" w:space="0" w:color="999999"/>
              <w:right w:val="single" w:sz="4" w:space="0" w:color="999999"/>
            </w:tcBorders>
          </w:tcPr>
          <w:p w14:paraId="3777424A" w14:textId="77777777" w:rsidR="009A2964" w:rsidRPr="00BB50F2" w:rsidRDefault="009A2964" w:rsidP="00F8293A">
            <w:pPr>
              <w:pStyle w:val="Header"/>
              <w:rPr>
                <w:rFonts w:cs="Arial"/>
              </w:rPr>
            </w:pPr>
            <w:r w:rsidRPr="00BB50F2">
              <w:rPr>
                <w:rFonts w:cs="Arial"/>
              </w:rPr>
              <w:t>Monthly</w:t>
            </w:r>
          </w:p>
        </w:tc>
        <w:tc>
          <w:tcPr>
            <w:tcW w:w="888" w:type="dxa"/>
            <w:tcBorders>
              <w:top w:val="nil"/>
              <w:left w:val="single" w:sz="4" w:space="0" w:color="999999"/>
              <w:bottom w:val="nil"/>
            </w:tcBorders>
          </w:tcPr>
          <w:p w14:paraId="7536D464" w14:textId="77777777" w:rsidR="009A2964" w:rsidRPr="00BB50F2" w:rsidRDefault="009A2964" w:rsidP="00F8293A">
            <w:pPr>
              <w:pStyle w:val="Header"/>
              <w:rPr>
                <w:rFonts w:cs="Arial"/>
              </w:rPr>
            </w:pPr>
          </w:p>
        </w:tc>
      </w:tr>
      <w:tr w:rsidR="009A2964" w:rsidRPr="00BB50F2" w14:paraId="07213A93" w14:textId="77777777" w:rsidTr="00F8293A">
        <w:trPr>
          <w:cantSplit/>
        </w:trPr>
        <w:tc>
          <w:tcPr>
            <w:tcW w:w="486" w:type="dxa"/>
            <w:tcBorders>
              <w:top w:val="nil"/>
              <w:bottom w:val="nil"/>
              <w:right w:val="single" w:sz="4" w:space="0" w:color="999999"/>
            </w:tcBorders>
          </w:tcPr>
          <w:p w14:paraId="484D29B6" w14:textId="77777777" w:rsidR="009A2964" w:rsidRPr="00BB50F2" w:rsidRDefault="009A2964" w:rsidP="00F8293A">
            <w:pPr>
              <w:pStyle w:val="Header"/>
              <w:rPr>
                <w:rFonts w:cs="Arial"/>
              </w:rPr>
            </w:pPr>
          </w:p>
        </w:tc>
        <w:tc>
          <w:tcPr>
            <w:tcW w:w="1888" w:type="dxa"/>
            <w:gridSpan w:val="2"/>
            <w:tcBorders>
              <w:top w:val="single" w:sz="4" w:space="0" w:color="999999"/>
              <w:left w:val="single" w:sz="4" w:space="0" w:color="999999"/>
              <w:bottom w:val="single" w:sz="4" w:space="0" w:color="999999"/>
              <w:right w:val="single" w:sz="4" w:space="0" w:color="999999"/>
            </w:tcBorders>
          </w:tcPr>
          <w:p w14:paraId="5345FCCA" w14:textId="77777777" w:rsidR="009A2964" w:rsidRPr="00BB50F2" w:rsidRDefault="009A2964" w:rsidP="00F8293A">
            <w:pPr>
              <w:pStyle w:val="Header"/>
              <w:rPr>
                <w:rFonts w:cs="Arial"/>
              </w:rPr>
            </w:pPr>
            <w:r w:rsidRPr="00BB50F2">
              <w:rPr>
                <w:rFonts w:cs="Arial"/>
              </w:rPr>
              <w:t>Method</w:t>
            </w:r>
          </w:p>
        </w:tc>
        <w:tc>
          <w:tcPr>
            <w:tcW w:w="6094" w:type="dxa"/>
            <w:gridSpan w:val="2"/>
            <w:tcBorders>
              <w:top w:val="single" w:sz="4" w:space="0" w:color="999999"/>
              <w:left w:val="single" w:sz="4" w:space="0" w:color="999999"/>
              <w:bottom w:val="single" w:sz="4" w:space="0" w:color="999999"/>
              <w:right w:val="single" w:sz="4" w:space="0" w:color="999999"/>
            </w:tcBorders>
          </w:tcPr>
          <w:p w14:paraId="3EFFAAC6" w14:textId="77777777" w:rsidR="009A2964" w:rsidRPr="00BB50F2" w:rsidRDefault="009A2964" w:rsidP="00F8293A">
            <w:pPr>
              <w:pStyle w:val="Header"/>
              <w:rPr>
                <w:rFonts w:cs="Arial"/>
              </w:rPr>
            </w:pPr>
            <w:r w:rsidRPr="00BB50F2">
              <w:rPr>
                <w:rFonts w:cs="Arial"/>
              </w:rPr>
              <w:t xml:space="preserve">The KPI will be measured </w:t>
            </w:r>
            <w:proofErr w:type="gramStart"/>
            <w:r w:rsidRPr="00BB50F2">
              <w:rPr>
                <w:rFonts w:cs="Arial"/>
              </w:rPr>
              <w:t>through the use of</w:t>
            </w:r>
            <w:proofErr w:type="gramEnd"/>
            <w:r w:rsidRPr="00BB50F2">
              <w:rPr>
                <w:rFonts w:cs="Arial"/>
              </w:rPr>
              <w:t>:</w:t>
            </w:r>
          </w:p>
          <w:p w14:paraId="71473C27" w14:textId="77777777" w:rsidR="009A2964" w:rsidRPr="00BB50F2" w:rsidRDefault="009A2964" w:rsidP="00F8293A">
            <w:pPr>
              <w:pStyle w:val="Header"/>
              <w:rPr>
                <w:rFonts w:cs="Arial"/>
              </w:rPr>
            </w:pPr>
            <w:r w:rsidRPr="00BB50F2">
              <w:rPr>
                <w:rFonts w:cs="Arial"/>
              </w:rPr>
              <w:t>(Service Desk logs (Incidents).</w:t>
            </w:r>
          </w:p>
        </w:tc>
        <w:tc>
          <w:tcPr>
            <w:tcW w:w="888" w:type="dxa"/>
            <w:tcBorders>
              <w:top w:val="nil"/>
              <w:left w:val="single" w:sz="4" w:space="0" w:color="999999"/>
              <w:bottom w:val="nil"/>
            </w:tcBorders>
          </w:tcPr>
          <w:p w14:paraId="54DB9648" w14:textId="77777777" w:rsidR="009A2964" w:rsidRPr="00BB50F2" w:rsidRDefault="009A2964" w:rsidP="00F8293A">
            <w:pPr>
              <w:pStyle w:val="Header"/>
              <w:rPr>
                <w:rFonts w:cs="Arial"/>
              </w:rPr>
            </w:pPr>
          </w:p>
        </w:tc>
      </w:tr>
      <w:tr w:rsidR="009A2964" w:rsidRPr="00BB50F2" w14:paraId="076A2D3B" w14:textId="77777777" w:rsidTr="00F8293A">
        <w:trPr>
          <w:cantSplit/>
          <w:trHeight w:hRule="exact" w:val="113"/>
        </w:trPr>
        <w:tc>
          <w:tcPr>
            <w:tcW w:w="9356" w:type="dxa"/>
            <w:gridSpan w:val="6"/>
            <w:tcBorders>
              <w:top w:val="nil"/>
            </w:tcBorders>
          </w:tcPr>
          <w:p w14:paraId="20D0DAE4" w14:textId="77777777" w:rsidR="009A2964" w:rsidRPr="00BB50F2" w:rsidRDefault="009A2964" w:rsidP="00F8293A">
            <w:pPr>
              <w:pStyle w:val="Header"/>
              <w:rPr>
                <w:rFonts w:cs="Arial"/>
              </w:rPr>
            </w:pPr>
          </w:p>
        </w:tc>
      </w:tr>
      <w:tr w:rsidR="009A2964" w:rsidRPr="00BB50F2" w14:paraId="6C8299E9" w14:textId="77777777" w:rsidTr="00F8293A">
        <w:trPr>
          <w:cantSplit/>
          <w:trHeight w:hRule="exact" w:val="397"/>
        </w:trPr>
        <w:tc>
          <w:tcPr>
            <w:tcW w:w="9356" w:type="dxa"/>
            <w:gridSpan w:val="6"/>
            <w:vAlign w:val="center"/>
          </w:tcPr>
          <w:p w14:paraId="0F55E017" w14:textId="77777777" w:rsidR="009A2964" w:rsidRPr="00BB50F2" w:rsidRDefault="009A2964" w:rsidP="00F8293A">
            <w:pPr>
              <w:pStyle w:val="Header"/>
              <w:rPr>
                <w:rFonts w:cs="Arial"/>
              </w:rPr>
            </w:pPr>
            <w:r w:rsidRPr="00BB50F2">
              <w:rPr>
                <w:rFonts w:cs="Arial"/>
              </w:rPr>
              <w:t>Service Credit Levels:</w:t>
            </w:r>
          </w:p>
        </w:tc>
      </w:tr>
      <w:tr w:rsidR="009A2964" w:rsidRPr="00BB50F2" w14:paraId="59BFBCF5" w14:textId="77777777" w:rsidTr="00F8293A">
        <w:trPr>
          <w:cantSplit/>
          <w:trHeight w:hRule="exact" w:val="113"/>
        </w:trPr>
        <w:tc>
          <w:tcPr>
            <w:tcW w:w="9356" w:type="dxa"/>
            <w:gridSpan w:val="6"/>
            <w:tcBorders>
              <w:bottom w:val="nil"/>
            </w:tcBorders>
          </w:tcPr>
          <w:p w14:paraId="69576B64" w14:textId="77777777" w:rsidR="009A2964" w:rsidRPr="00BB50F2" w:rsidRDefault="009A2964" w:rsidP="00F8293A">
            <w:pPr>
              <w:pStyle w:val="Header"/>
              <w:rPr>
                <w:rFonts w:cs="Arial"/>
              </w:rPr>
            </w:pPr>
          </w:p>
        </w:tc>
      </w:tr>
      <w:tr w:rsidR="009A2964" w:rsidRPr="00BB50F2" w14:paraId="7BF3022D" w14:textId="77777777" w:rsidTr="00F8293A">
        <w:trPr>
          <w:cantSplit/>
        </w:trPr>
        <w:tc>
          <w:tcPr>
            <w:tcW w:w="486" w:type="dxa"/>
            <w:tcBorders>
              <w:top w:val="nil"/>
              <w:bottom w:val="nil"/>
              <w:right w:val="single" w:sz="4" w:space="0" w:color="999999"/>
            </w:tcBorders>
          </w:tcPr>
          <w:p w14:paraId="2BC0F6D8" w14:textId="77777777" w:rsidR="009A2964" w:rsidRPr="00BB50F2" w:rsidRDefault="009A2964" w:rsidP="00F8293A">
            <w:pPr>
              <w:pStyle w:val="Header"/>
              <w:rPr>
                <w:rFonts w:cs="Arial"/>
              </w:rPr>
            </w:pPr>
          </w:p>
        </w:tc>
        <w:tc>
          <w:tcPr>
            <w:tcW w:w="7982" w:type="dxa"/>
            <w:gridSpan w:val="4"/>
            <w:tcBorders>
              <w:top w:val="single" w:sz="4" w:space="0" w:color="999999"/>
              <w:left w:val="single" w:sz="4" w:space="0" w:color="999999"/>
              <w:bottom w:val="single" w:sz="4" w:space="0" w:color="999999"/>
              <w:right w:val="single" w:sz="4" w:space="0" w:color="999999"/>
            </w:tcBorders>
          </w:tcPr>
          <w:p w14:paraId="24CA8F44" w14:textId="77777777" w:rsidR="009A2964" w:rsidRPr="00BB50F2" w:rsidRDefault="009A2964" w:rsidP="00F8293A">
            <w:pPr>
              <w:pStyle w:val="Header"/>
              <w:rPr>
                <w:rFonts w:cs="Arial"/>
              </w:rPr>
            </w:pPr>
            <w:r w:rsidRPr="00BB50F2">
              <w:rPr>
                <w:rFonts w:cs="Arial"/>
              </w:rPr>
              <w:t>Steady State – review</w:t>
            </w:r>
          </w:p>
        </w:tc>
        <w:tc>
          <w:tcPr>
            <w:tcW w:w="888" w:type="dxa"/>
            <w:tcBorders>
              <w:top w:val="nil"/>
              <w:left w:val="single" w:sz="4" w:space="0" w:color="999999"/>
              <w:bottom w:val="nil"/>
            </w:tcBorders>
          </w:tcPr>
          <w:p w14:paraId="09E6F288" w14:textId="77777777" w:rsidR="009A2964" w:rsidRPr="00BB50F2" w:rsidRDefault="009A2964" w:rsidP="00F8293A">
            <w:pPr>
              <w:pStyle w:val="Header"/>
              <w:rPr>
                <w:rFonts w:cs="Arial"/>
              </w:rPr>
            </w:pPr>
          </w:p>
        </w:tc>
      </w:tr>
      <w:tr w:rsidR="009A2964" w:rsidRPr="00BB50F2" w14:paraId="6DE241D9" w14:textId="77777777" w:rsidTr="00F8293A">
        <w:trPr>
          <w:cantSplit/>
        </w:trPr>
        <w:tc>
          <w:tcPr>
            <w:tcW w:w="486" w:type="dxa"/>
            <w:tcBorders>
              <w:top w:val="nil"/>
              <w:bottom w:val="nil"/>
              <w:right w:val="single" w:sz="4" w:space="0" w:color="999999"/>
            </w:tcBorders>
          </w:tcPr>
          <w:p w14:paraId="34A77016" w14:textId="77777777" w:rsidR="009A2964" w:rsidRPr="00BB50F2" w:rsidRDefault="009A2964" w:rsidP="00F8293A">
            <w:pPr>
              <w:pStyle w:val="Header"/>
              <w:rPr>
                <w:rFonts w:cs="Arial"/>
              </w:rPr>
            </w:pPr>
          </w:p>
        </w:tc>
        <w:tc>
          <w:tcPr>
            <w:tcW w:w="1888" w:type="dxa"/>
            <w:gridSpan w:val="2"/>
            <w:tcBorders>
              <w:top w:val="single" w:sz="4" w:space="0" w:color="999999"/>
              <w:left w:val="single" w:sz="4" w:space="0" w:color="999999"/>
              <w:bottom w:val="single" w:sz="4" w:space="0" w:color="999999"/>
              <w:right w:val="single" w:sz="4" w:space="0" w:color="999999"/>
            </w:tcBorders>
          </w:tcPr>
          <w:p w14:paraId="1683B9A9" w14:textId="77777777" w:rsidR="009A2964" w:rsidRPr="00BB50F2" w:rsidRDefault="009A2964" w:rsidP="00F8293A">
            <w:pPr>
              <w:pStyle w:val="Header"/>
              <w:rPr>
                <w:rFonts w:cs="Arial"/>
              </w:rPr>
            </w:pPr>
            <w:r w:rsidRPr="00BB50F2">
              <w:rPr>
                <w:rFonts w:cs="Arial"/>
              </w:rPr>
              <w:t>Actual Service Usage</w:t>
            </w:r>
          </w:p>
        </w:tc>
        <w:tc>
          <w:tcPr>
            <w:tcW w:w="2162" w:type="dxa"/>
            <w:vMerge w:val="restart"/>
            <w:tcBorders>
              <w:top w:val="single" w:sz="4" w:space="0" w:color="999999"/>
              <w:left w:val="single" w:sz="4" w:space="0" w:color="999999"/>
              <w:right w:val="single" w:sz="4" w:space="0" w:color="999999"/>
            </w:tcBorders>
            <w:vAlign w:val="bottom"/>
          </w:tcPr>
          <w:p w14:paraId="56764EAD" w14:textId="77777777" w:rsidR="009A2964" w:rsidRPr="00BB50F2" w:rsidRDefault="009A2964" w:rsidP="00F8293A">
            <w:pPr>
              <w:pStyle w:val="Header"/>
              <w:rPr>
                <w:rFonts w:cs="Arial"/>
              </w:rPr>
            </w:pPr>
            <w:r w:rsidRPr="00BB50F2">
              <w:rPr>
                <w:rFonts w:cs="Arial"/>
              </w:rPr>
              <w:t>Calculation</w:t>
            </w:r>
          </w:p>
        </w:tc>
        <w:tc>
          <w:tcPr>
            <w:tcW w:w="3932" w:type="dxa"/>
            <w:vMerge w:val="restart"/>
            <w:tcBorders>
              <w:top w:val="single" w:sz="4" w:space="0" w:color="999999"/>
              <w:left w:val="single" w:sz="4" w:space="0" w:color="999999"/>
              <w:right w:val="single" w:sz="4" w:space="0" w:color="999999"/>
            </w:tcBorders>
            <w:vAlign w:val="bottom"/>
          </w:tcPr>
          <w:p w14:paraId="13B52B3A" w14:textId="77777777" w:rsidR="009A2964" w:rsidRPr="00BB50F2" w:rsidRDefault="009A2964" w:rsidP="00F8293A">
            <w:pPr>
              <w:pStyle w:val="Header"/>
              <w:rPr>
                <w:rFonts w:cs="Arial"/>
              </w:rPr>
            </w:pPr>
            <w:r w:rsidRPr="00BB50F2">
              <w:rPr>
                <w:rFonts w:cs="Arial"/>
              </w:rPr>
              <w:t>Notes</w:t>
            </w:r>
          </w:p>
        </w:tc>
        <w:tc>
          <w:tcPr>
            <w:tcW w:w="888" w:type="dxa"/>
            <w:tcBorders>
              <w:top w:val="nil"/>
              <w:left w:val="single" w:sz="4" w:space="0" w:color="999999"/>
              <w:bottom w:val="nil"/>
            </w:tcBorders>
          </w:tcPr>
          <w:p w14:paraId="28480486" w14:textId="77777777" w:rsidR="009A2964" w:rsidRPr="00BB50F2" w:rsidRDefault="009A2964" w:rsidP="00F8293A">
            <w:pPr>
              <w:pStyle w:val="Header"/>
              <w:rPr>
                <w:rFonts w:cs="Arial"/>
              </w:rPr>
            </w:pPr>
          </w:p>
        </w:tc>
      </w:tr>
      <w:tr w:rsidR="009A2964" w:rsidRPr="00BB50F2" w14:paraId="038350A9" w14:textId="77777777" w:rsidTr="00F8293A">
        <w:trPr>
          <w:cantSplit/>
        </w:trPr>
        <w:tc>
          <w:tcPr>
            <w:tcW w:w="486" w:type="dxa"/>
            <w:tcBorders>
              <w:top w:val="nil"/>
              <w:bottom w:val="nil"/>
              <w:right w:val="single" w:sz="4" w:space="0" w:color="999999"/>
            </w:tcBorders>
          </w:tcPr>
          <w:p w14:paraId="1C051260" w14:textId="77777777" w:rsidR="009A2964" w:rsidRPr="00BB50F2" w:rsidRDefault="009A2964" w:rsidP="00F8293A">
            <w:pPr>
              <w:pStyle w:val="Header"/>
              <w:rPr>
                <w:rFonts w:cs="Arial"/>
              </w:rPr>
            </w:pPr>
          </w:p>
        </w:tc>
        <w:tc>
          <w:tcPr>
            <w:tcW w:w="947" w:type="dxa"/>
            <w:tcBorders>
              <w:top w:val="single" w:sz="4" w:space="0" w:color="999999"/>
              <w:left w:val="single" w:sz="4" w:space="0" w:color="999999"/>
              <w:bottom w:val="single" w:sz="4" w:space="0" w:color="999999"/>
              <w:right w:val="single" w:sz="4" w:space="0" w:color="999999"/>
            </w:tcBorders>
          </w:tcPr>
          <w:p w14:paraId="099EC020" w14:textId="77777777" w:rsidR="009A2964" w:rsidRPr="00BB50F2" w:rsidRDefault="009A2964" w:rsidP="00F8293A">
            <w:pPr>
              <w:pStyle w:val="Header"/>
              <w:rPr>
                <w:rFonts w:cs="Arial"/>
              </w:rPr>
            </w:pPr>
            <w:r w:rsidRPr="00BB50F2">
              <w:rPr>
                <w:rFonts w:cs="Arial"/>
              </w:rPr>
              <w:t>Lower</w:t>
            </w:r>
          </w:p>
        </w:tc>
        <w:tc>
          <w:tcPr>
            <w:tcW w:w="941" w:type="dxa"/>
            <w:tcBorders>
              <w:top w:val="single" w:sz="4" w:space="0" w:color="999999"/>
              <w:left w:val="single" w:sz="4" w:space="0" w:color="999999"/>
              <w:bottom w:val="single" w:sz="4" w:space="0" w:color="999999"/>
              <w:right w:val="single" w:sz="4" w:space="0" w:color="999999"/>
            </w:tcBorders>
          </w:tcPr>
          <w:p w14:paraId="2A3D3789" w14:textId="77777777" w:rsidR="009A2964" w:rsidRPr="00BB50F2" w:rsidRDefault="009A2964" w:rsidP="00F8293A">
            <w:pPr>
              <w:pStyle w:val="Header"/>
              <w:rPr>
                <w:rFonts w:cs="Arial"/>
              </w:rPr>
            </w:pPr>
            <w:r w:rsidRPr="00BB50F2">
              <w:rPr>
                <w:rFonts w:cs="Arial"/>
              </w:rPr>
              <w:t>Upper</w:t>
            </w:r>
          </w:p>
        </w:tc>
        <w:tc>
          <w:tcPr>
            <w:tcW w:w="2162" w:type="dxa"/>
            <w:vMerge/>
            <w:tcBorders>
              <w:left w:val="single" w:sz="4" w:space="0" w:color="999999"/>
              <w:bottom w:val="single" w:sz="4" w:space="0" w:color="999999"/>
              <w:right w:val="single" w:sz="4" w:space="0" w:color="999999"/>
            </w:tcBorders>
          </w:tcPr>
          <w:p w14:paraId="0988472F" w14:textId="77777777" w:rsidR="009A2964" w:rsidRPr="00BB50F2" w:rsidRDefault="009A2964" w:rsidP="00F8293A">
            <w:pPr>
              <w:pStyle w:val="Header"/>
              <w:rPr>
                <w:rFonts w:cs="Arial"/>
              </w:rPr>
            </w:pPr>
          </w:p>
        </w:tc>
        <w:tc>
          <w:tcPr>
            <w:tcW w:w="3932" w:type="dxa"/>
            <w:vMerge/>
            <w:tcBorders>
              <w:left w:val="single" w:sz="4" w:space="0" w:color="999999"/>
              <w:bottom w:val="single" w:sz="4" w:space="0" w:color="999999"/>
              <w:right w:val="single" w:sz="4" w:space="0" w:color="999999"/>
            </w:tcBorders>
          </w:tcPr>
          <w:p w14:paraId="4C1F8355" w14:textId="77777777" w:rsidR="009A2964" w:rsidRPr="00BB50F2" w:rsidRDefault="009A2964" w:rsidP="00F8293A">
            <w:pPr>
              <w:pStyle w:val="Header"/>
              <w:rPr>
                <w:rFonts w:cs="Arial"/>
              </w:rPr>
            </w:pPr>
          </w:p>
        </w:tc>
        <w:tc>
          <w:tcPr>
            <w:tcW w:w="888" w:type="dxa"/>
            <w:tcBorders>
              <w:top w:val="nil"/>
              <w:left w:val="single" w:sz="4" w:space="0" w:color="999999"/>
              <w:bottom w:val="nil"/>
            </w:tcBorders>
          </w:tcPr>
          <w:p w14:paraId="6FFE22A0" w14:textId="77777777" w:rsidR="009A2964" w:rsidRPr="00BB50F2" w:rsidRDefault="009A2964" w:rsidP="00F8293A">
            <w:pPr>
              <w:pStyle w:val="Header"/>
              <w:rPr>
                <w:rFonts w:cs="Arial"/>
              </w:rPr>
            </w:pPr>
          </w:p>
        </w:tc>
      </w:tr>
      <w:tr w:rsidR="009A2964" w:rsidRPr="00BB50F2" w14:paraId="001DE98F" w14:textId="77777777" w:rsidTr="00F8293A">
        <w:trPr>
          <w:cantSplit/>
        </w:trPr>
        <w:tc>
          <w:tcPr>
            <w:tcW w:w="486" w:type="dxa"/>
            <w:tcBorders>
              <w:top w:val="nil"/>
              <w:bottom w:val="nil"/>
              <w:right w:val="single" w:sz="4" w:space="0" w:color="999999"/>
            </w:tcBorders>
          </w:tcPr>
          <w:p w14:paraId="5FBA12AC" w14:textId="77777777" w:rsidR="009A2964" w:rsidRPr="00BB50F2" w:rsidRDefault="009A2964" w:rsidP="00F8293A">
            <w:pPr>
              <w:pStyle w:val="Header"/>
              <w:rPr>
                <w:rFonts w:cs="Arial"/>
              </w:rPr>
            </w:pPr>
          </w:p>
        </w:tc>
        <w:tc>
          <w:tcPr>
            <w:tcW w:w="947" w:type="dxa"/>
            <w:tcBorders>
              <w:top w:val="single" w:sz="4" w:space="0" w:color="999999"/>
              <w:left w:val="single" w:sz="4" w:space="0" w:color="999999"/>
              <w:bottom w:val="single" w:sz="4" w:space="0" w:color="999999"/>
              <w:right w:val="single" w:sz="4" w:space="0" w:color="999999"/>
            </w:tcBorders>
            <w:vAlign w:val="center"/>
          </w:tcPr>
          <w:p w14:paraId="006B41EE" w14:textId="77777777" w:rsidR="009A2964" w:rsidRPr="00BB50F2" w:rsidRDefault="009A2964" w:rsidP="00F8293A">
            <w:pPr>
              <w:pStyle w:val="Header"/>
              <w:rPr>
                <w:rFonts w:cs="Arial"/>
              </w:rPr>
            </w:pPr>
          </w:p>
        </w:tc>
        <w:tc>
          <w:tcPr>
            <w:tcW w:w="941" w:type="dxa"/>
            <w:tcBorders>
              <w:top w:val="single" w:sz="4" w:space="0" w:color="999999"/>
              <w:left w:val="single" w:sz="4" w:space="0" w:color="999999"/>
              <w:bottom w:val="single" w:sz="4" w:space="0" w:color="999999"/>
              <w:right w:val="single" w:sz="4" w:space="0" w:color="999999"/>
            </w:tcBorders>
            <w:vAlign w:val="center"/>
          </w:tcPr>
          <w:p w14:paraId="2DCCFB17" w14:textId="77777777" w:rsidR="009A2964" w:rsidRPr="00BB50F2" w:rsidRDefault="009A2964" w:rsidP="00F8293A">
            <w:pPr>
              <w:pStyle w:val="Header"/>
              <w:rPr>
                <w:rFonts w:cs="Arial"/>
              </w:rPr>
            </w:pPr>
          </w:p>
        </w:tc>
        <w:tc>
          <w:tcPr>
            <w:tcW w:w="2162" w:type="dxa"/>
            <w:tcBorders>
              <w:top w:val="single" w:sz="4" w:space="0" w:color="999999"/>
              <w:left w:val="single" w:sz="4" w:space="0" w:color="999999"/>
              <w:bottom w:val="single" w:sz="4" w:space="0" w:color="999999"/>
              <w:right w:val="single" w:sz="4" w:space="0" w:color="999999"/>
            </w:tcBorders>
            <w:vAlign w:val="center"/>
          </w:tcPr>
          <w:p w14:paraId="2BC95A9A" w14:textId="77777777" w:rsidR="009A2964" w:rsidRPr="00BB50F2" w:rsidRDefault="009A2964" w:rsidP="00F8293A">
            <w:pPr>
              <w:pStyle w:val="Header"/>
              <w:rPr>
                <w:rFonts w:cs="Arial"/>
              </w:rPr>
            </w:pPr>
          </w:p>
        </w:tc>
        <w:tc>
          <w:tcPr>
            <w:tcW w:w="3932" w:type="dxa"/>
            <w:tcBorders>
              <w:top w:val="single" w:sz="4" w:space="0" w:color="999999"/>
              <w:left w:val="single" w:sz="4" w:space="0" w:color="999999"/>
              <w:bottom w:val="single" w:sz="4" w:space="0" w:color="999999"/>
              <w:right w:val="single" w:sz="4" w:space="0" w:color="999999"/>
            </w:tcBorders>
            <w:vAlign w:val="center"/>
          </w:tcPr>
          <w:p w14:paraId="66A5A298" w14:textId="77777777" w:rsidR="009A2964" w:rsidRPr="00BB50F2" w:rsidRDefault="009A2964" w:rsidP="00F8293A">
            <w:pPr>
              <w:pStyle w:val="Header"/>
              <w:rPr>
                <w:rFonts w:cs="Arial"/>
              </w:rPr>
            </w:pPr>
          </w:p>
        </w:tc>
        <w:tc>
          <w:tcPr>
            <w:tcW w:w="888" w:type="dxa"/>
            <w:tcBorders>
              <w:top w:val="nil"/>
              <w:left w:val="single" w:sz="4" w:space="0" w:color="999999"/>
              <w:bottom w:val="nil"/>
            </w:tcBorders>
          </w:tcPr>
          <w:p w14:paraId="7B5B7ED7" w14:textId="77777777" w:rsidR="009A2964" w:rsidRPr="00BB50F2" w:rsidRDefault="009A2964" w:rsidP="00F8293A">
            <w:pPr>
              <w:pStyle w:val="ssPara5"/>
              <w:spacing w:after="120" w:line="240" w:lineRule="auto"/>
              <w:rPr>
                <w:sz w:val="20"/>
                <w:szCs w:val="20"/>
              </w:rPr>
            </w:pPr>
          </w:p>
        </w:tc>
      </w:tr>
      <w:tr w:rsidR="009A2964" w:rsidRPr="00BB50F2" w14:paraId="7D1EC95B" w14:textId="77777777" w:rsidTr="00F8293A">
        <w:trPr>
          <w:cantSplit/>
        </w:trPr>
        <w:tc>
          <w:tcPr>
            <w:tcW w:w="486" w:type="dxa"/>
            <w:tcBorders>
              <w:top w:val="nil"/>
              <w:bottom w:val="nil"/>
              <w:right w:val="single" w:sz="4" w:space="0" w:color="999999"/>
            </w:tcBorders>
          </w:tcPr>
          <w:p w14:paraId="1695B259" w14:textId="77777777" w:rsidR="009A2964" w:rsidRPr="00BB50F2" w:rsidRDefault="009A2964" w:rsidP="00F8293A">
            <w:pPr>
              <w:pStyle w:val="ssPara5"/>
              <w:spacing w:after="120" w:line="240" w:lineRule="auto"/>
              <w:rPr>
                <w:sz w:val="20"/>
                <w:szCs w:val="20"/>
              </w:rPr>
            </w:pPr>
          </w:p>
        </w:tc>
        <w:tc>
          <w:tcPr>
            <w:tcW w:w="947" w:type="dxa"/>
            <w:tcBorders>
              <w:top w:val="single" w:sz="4" w:space="0" w:color="999999"/>
              <w:left w:val="single" w:sz="4" w:space="0" w:color="999999"/>
              <w:bottom w:val="single" w:sz="4" w:space="0" w:color="999999"/>
              <w:right w:val="single" w:sz="4" w:space="0" w:color="999999"/>
            </w:tcBorders>
            <w:vAlign w:val="center"/>
          </w:tcPr>
          <w:p w14:paraId="07E7B7EF" w14:textId="77777777" w:rsidR="009A2964" w:rsidRPr="00BB50F2" w:rsidRDefault="009A2964" w:rsidP="00F8293A">
            <w:pPr>
              <w:pStyle w:val="Header"/>
              <w:rPr>
                <w:rFonts w:cs="Arial"/>
              </w:rPr>
            </w:pPr>
            <w:r w:rsidRPr="00BB50F2">
              <w:rPr>
                <w:rFonts w:cs="Arial"/>
              </w:rPr>
              <w:t>xxx</w:t>
            </w:r>
          </w:p>
        </w:tc>
        <w:tc>
          <w:tcPr>
            <w:tcW w:w="941" w:type="dxa"/>
            <w:tcBorders>
              <w:top w:val="single" w:sz="4" w:space="0" w:color="999999"/>
              <w:left w:val="single" w:sz="4" w:space="0" w:color="999999"/>
              <w:bottom w:val="single" w:sz="4" w:space="0" w:color="999999"/>
              <w:right w:val="single" w:sz="4" w:space="0" w:color="999999"/>
            </w:tcBorders>
            <w:vAlign w:val="center"/>
          </w:tcPr>
          <w:p w14:paraId="5F880520" w14:textId="77777777" w:rsidR="009A2964" w:rsidRPr="00BB50F2" w:rsidRDefault="009A2964" w:rsidP="00F8293A">
            <w:pPr>
              <w:pStyle w:val="Header"/>
              <w:rPr>
                <w:rFonts w:cs="Arial"/>
              </w:rPr>
            </w:pPr>
            <w:r w:rsidRPr="00BB50F2">
              <w:rPr>
                <w:rFonts w:cs="Arial"/>
              </w:rPr>
              <w:t>1</w:t>
            </w:r>
          </w:p>
        </w:tc>
        <w:tc>
          <w:tcPr>
            <w:tcW w:w="2162" w:type="dxa"/>
            <w:tcBorders>
              <w:top w:val="single" w:sz="4" w:space="0" w:color="999999"/>
              <w:left w:val="single" w:sz="4" w:space="0" w:color="999999"/>
              <w:bottom w:val="single" w:sz="4" w:space="0" w:color="999999"/>
              <w:right w:val="single" w:sz="4" w:space="0" w:color="999999"/>
            </w:tcBorders>
            <w:vAlign w:val="center"/>
          </w:tcPr>
          <w:p w14:paraId="00397C98" w14:textId="77777777" w:rsidR="009A2964" w:rsidRPr="00BB50F2" w:rsidRDefault="009A2964" w:rsidP="00F8293A">
            <w:pPr>
              <w:pStyle w:val="Header"/>
              <w:rPr>
                <w:rFonts w:cs="Arial"/>
              </w:rPr>
            </w:pPr>
            <w:r w:rsidRPr="00BB50F2">
              <w:rPr>
                <w:rFonts w:cs="Arial"/>
              </w:rPr>
              <w:t>PRTGT</w:t>
            </w:r>
          </w:p>
        </w:tc>
        <w:tc>
          <w:tcPr>
            <w:tcW w:w="3932" w:type="dxa"/>
            <w:tcBorders>
              <w:top w:val="single" w:sz="4" w:space="0" w:color="999999"/>
              <w:left w:val="single" w:sz="4" w:space="0" w:color="999999"/>
              <w:bottom w:val="single" w:sz="4" w:space="0" w:color="999999"/>
              <w:right w:val="single" w:sz="4" w:space="0" w:color="999999"/>
            </w:tcBorders>
            <w:vAlign w:val="center"/>
          </w:tcPr>
          <w:p w14:paraId="386D8259" w14:textId="77777777" w:rsidR="009A2964" w:rsidRPr="00BB50F2" w:rsidRDefault="009A2964" w:rsidP="00F8293A">
            <w:pPr>
              <w:pStyle w:val="Header"/>
              <w:rPr>
                <w:rFonts w:cs="Arial"/>
              </w:rPr>
            </w:pPr>
            <w:r w:rsidRPr="00BB50F2">
              <w:rPr>
                <w:rFonts w:cs="Arial"/>
              </w:rPr>
              <w:t>Service target</w:t>
            </w:r>
          </w:p>
        </w:tc>
        <w:tc>
          <w:tcPr>
            <w:tcW w:w="888" w:type="dxa"/>
            <w:tcBorders>
              <w:top w:val="nil"/>
              <w:left w:val="single" w:sz="4" w:space="0" w:color="999999"/>
              <w:bottom w:val="nil"/>
            </w:tcBorders>
          </w:tcPr>
          <w:p w14:paraId="5C2E73D6" w14:textId="77777777" w:rsidR="009A2964" w:rsidRPr="00BB50F2" w:rsidRDefault="009A2964" w:rsidP="00F8293A">
            <w:pPr>
              <w:pStyle w:val="ssPara5"/>
              <w:spacing w:after="120" w:line="240" w:lineRule="auto"/>
              <w:rPr>
                <w:sz w:val="20"/>
                <w:szCs w:val="20"/>
              </w:rPr>
            </w:pPr>
          </w:p>
        </w:tc>
      </w:tr>
      <w:tr w:rsidR="009A2964" w:rsidRPr="00BB50F2" w14:paraId="717AAD23" w14:textId="77777777" w:rsidTr="00F8293A">
        <w:trPr>
          <w:cantSplit/>
        </w:trPr>
        <w:tc>
          <w:tcPr>
            <w:tcW w:w="486" w:type="dxa"/>
            <w:tcBorders>
              <w:top w:val="nil"/>
              <w:bottom w:val="nil"/>
              <w:right w:val="single" w:sz="4" w:space="0" w:color="999999"/>
            </w:tcBorders>
          </w:tcPr>
          <w:p w14:paraId="211FA87D" w14:textId="77777777" w:rsidR="009A2964" w:rsidRPr="00BB50F2" w:rsidRDefault="009A2964" w:rsidP="00F8293A">
            <w:pPr>
              <w:pStyle w:val="ssPara5"/>
              <w:spacing w:after="120" w:line="240" w:lineRule="auto"/>
              <w:rPr>
                <w:sz w:val="20"/>
                <w:szCs w:val="20"/>
              </w:rPr>
            </w:pPr>
          </w:p>
        </w:tc>
        <w:tc>
          <w:tcPr>
            <w:tcW w:w="947" w:type="dxa"/>
            <w:tcBorders>
              <w:top w:val="single" w:sz="4" w:space="0" w:color="999999"/>
              <w:left w:val="single" w:sz="4" w:space="0" w:color="999999"/>
              <w:bottom w:val="single" w:sz="4" w:space="0" w:color="999999"/>
              <w:right w:val="single" w:sz="4" w:space="0" w:color="999999"/>
            </w:tcBorders>
            <w:vAlign w:val="center"/>
          </w:tcPr>
          <w:p w14:paraId="568F83C6" w14:textId="77777777" w:rsidR="009A2964" w:rsidRPr="00BB50F2" w:rsidRDefault="009A2964" w:rsidP="00F8293A">
            <w:pPr>
              <w:pStyle w:val="Header"/>
              <w:rPr>
                <w:rFonts w:cs="Arial"/>
              </w:rPr>
            </w:pPr>
            <w:proofErr w:type="spellStart"/>
            <w:r w:rsidRPr="00BB50F2">
              <w:rPr>
                <w:rFonts w:cs="Arial"/>
              </w:rPr>
              <w:t>yyy</w:t>
            </w:r>
            <w:proofErr w:type="spellEnd"/>
          </w:p>
        </w:tc>
        <w:tc>
          <w:tcPr>
            <w:tcW w:w="941" w:type="dxa"/>
            <w:tcBorders>
              <w:top w:val="single" w:sz="4" w:space="0" w:color="999999"/>
              <w:left w:val="single" w:sz="4" w:space="0" w:color="999999"/>
              <w:bottom w:val="single" w:sz="4" w:space="0" w:color="999999"/>
              <w:right w:val="single" w:sz="4" w:space="0" w:color="999999"/>
            </w:tcBorders>
            <w:vAlign w:val="center"/>
          </w:tcPr>
          <w:p w14:paraId="5ABF1DE4" w14:textId="77777777" w:rsidR="009A2964" w:rsidRPr="00BB50F2" w:rsidRDefault="009A2964" w:rsidP="00F8293A">
            <w:pPr>
              <w:pStyle w:val="Header"/>
              <w:rPr>
                <w:rFonts w:cs="Arial"/>
              </w:rPr>
            </w:pPr>
            <w:r w:rsidRPr="00BB50F2">
              <w:rPr>
                <w:rFonts w:cs="Arial"/>
              </w:rPr>
              <w:t>&lt;xxx</w:t>
            </w:r>
          </w:p>
        </w:tc>
        <w:tc>
          <w:tcPr>
            <w:tcW w:w="2162" w:type="dxa"/>
            <w:tcBorders>
              <w:top w:val="single" w:sz="4" w:space="0" w:color="999999"/>
              <w:left w:val="single" w:sz="4" w:space="0" w:color="999999"/>
              <w:bottom w:val="single" w:sz="4" w:space="0" w:color="999999"/>
              <w:right w:val="single" w:sz="4" w:space="0" w:color="999999"/>
            </w:tcBorders>
            <w:vAlign w:val="center"/>
          </w:tcPr>
          <w:p w14:paraId="70EAA14C" w14:textId="77777777" w:rsidR="009A2964" w:rsidRPr="00BB50F2" w:rsidRDefault="009A2964" w:rsidP="00F8293A">
            <w:pPr>
              <w:pStyle w:val="Header"/>
              <w:rPr>
                <w:rFonts w:cs="Arial"/>
              </w:rPr>
            </w:pPr>
            <w:r w:rsidRPr="00BB50F2">
              <w:rPr>
                <w:rFonts w:cs="Arial"/>
              </w:rPr>
              <w:t>PRTGT</w:t>
            </w:r>
          </w:p>
        </w:tc>
        <w:tc>
          <w:tcPr>
            <w:tcW w:w="3932" w:type="dxa"/>
            <w:tcBorders>
              <w:top w:val="single" w:sz="4" w:space="0" w:color="999999"/>
              <w:left w:val="single" w:sz="4" w:space="0" w:color="999999"/>
              <w:bottom w:val="single" w:sz="4" w:space="0" w:color="999999"/>
              <w:right w:val="single" w:sz="4" w:space="0" w:color="999999"/>
            </w:tcBorders>
            <w:vAlign w:val="center"/>
          </w:tcPr>
          <w:p w14:paraId="743AC8E8" w14:textId="77777777" w:rsidR="009A2964" w:rsidRPr="00BB50F2" w:rsidRDefault="009A2964" w:rsidP="00F8293A">
            <w:pPr>
              <w:pStyle w:val="Header"/>
              <w:rPr>
                <w:rFonts w:cs="Arial"/>
              </w:rPr>
            </w:pPr>
            <w:r w:rsidRPr="00BB50F2">
              <w:rPr>
                <w:rFonts w:cs="Arial"/>
              </w:rPr>
              <w:t>Service Pass</w:t>
            </w:r>
          </w:p>
        </w:tc>
        <w:tc>
          <w:tcPr>
            <w:tcW w:w="888" w:type="dxa"/>
            <w:tcBorders>
              <w:top w:val="nil"/>
              <w:left w:val="single" w:sz="4" w:space="0" w:color="999999"/>
              <w:bottom w:val="nil"/>
            </w:tcBorders>
          </w:tcPr>
          <w:p w14:paraId="0E3A667E" w14:textId="77777777" w:rsidR="009A2964" w:rsidRPr="00BB50F2" w:rsidRDefault="009A2964" w:rsidP="00F8293A">
            <w:pPr>
              <w:pStyle w:val="ssPara5"/>
              <w:spacing w:after="120" w:line="240" w:lineRule="auto"/>
              <w:rPr>
                <w:sz w:val="20"/>
                <w:szCs w:val="20"/>
              </w:rPr>
            </w:pPr>
          </w:p>
        </w:tc>
      </w:tr>
      <w:tr w:rsidR="009A2964" w:rsidRPr="00BB50F2" w14:paraId="26420152" w14:textId="77777777" w:rsidTr="00F8293A">
        <w:trPr>
          <w:cantSplit/>
        </w:trPr>
        <w:tc>
          <w:tcPr>
            <w:tcW w:w="486" w:type="dxa"/>
            <w:tcBorders>
              <w:top w:val="nil"/>
              <w:bottom w:val="nil"/>
              <w:right w:val="single" w:sz="4" w:space="0" w:color="999999"/>
            </w:tcBorders>
          </w:tcPr>
          <w:p w14:paraId="0A510EDB" w14:textId="77777777" w:rsidR="009A2964" w:rsidRPr="00BB50F2" w:rsidRDefault="009A2964" w:rsidP="00F8293A">
            <w:pPr>
              <w:pStyle w:val="ssPara5"/>
              <w:spacing w:after="120" w:line="240" w:lineRule="auto"/>
              <w:rPr>
                <w:sz w:val="20"/>
                <w:szCs w:val="20"/>
              </w:rPr>
            </w:pPr>
          </w:p>
        </w:tc>
        <w:tc>
          <w:tcPr>
            <w:tcW w:w="947" w:type="dxa"/>
            <w:tcBorders>
              <w:top w:val="single" w:sz="4" w:space="0" w:color="999999"/>
              <w:left w:val="single" w:sz="4" w:space="0" w:color="999999"/>
              <w:bottom w:val="single" w:sz="4" w:space="0" w:color="999999"/>
              <w:right w:val="single" w:sz="4" w:space="0" w:color="999999"/>
            </w:tcBorders>
            <w:vAlign w:val="center"/>
          </w:tcPr>
          <w:p w14:paraId="62B393D7" w14:textId="77777777" w:rsidR="009A2964" w:rsidRPr="00BB50F2" w:rsidRDefault="009A2964" w:rsidP="00F8293A">
            <w:pPr>
              <w:pStyle w:val="Header"/>
              <w:rPr>
                <w:rFonts w:cs="Arial"/>
              </w:rPr>
            </w:pPr>
            <w:r w:rsidRPr="00BB50F2">
              <w:rPr>
                <w:rFonts w:cs="Arial"/>
              </w:rPr>
              <w:t>0</w:t>
            </w:r>
          </w:p>
        </w:tc>
        <w:tc>
          <w:tcPr>
            <w:tcW w:w="941" w:type="dxa"/>
            <w:tcBorders>
              <w:top w:val="single" w:sz="4" w:space="0" w:color="999999"/>
              <w:left w:val="single" w:sz="4" w:space="0" w:color="999999"/>
              <w:bottom w:val="single" w:sz="4" w:space="0" w:color="999999"/>
              <w:right w:val="single" w:sz="4" w:space="0" w:color="999999"/>
            </w:tcBorders>
            <w:vAlign w:val="center"/>
          </w:tcPr>
          <w:p w14:paraId="1E3B865C" w14:textId="77777777" w:rsidR="009A2964" w:rsidRPr="00BB50F2" w:rsidRDefault="009A2964" w:rsidP="00F8293A">
            <w:pPr>
              <w:pStyle w:val="Header"/>
              <w:rPr>
                <w:rFonts w:cs="Arial"/>
              </w:rPr>
            </w:pPr>
            <w:r w:rsidRPr="00BB50F2">
              <w:rPr>
                <w:rFonts w:cs="Arial"/>
              </w:rPr>
              <w:t>&lt;</w:t>
            </w:r>
            <w:proofErr w:type="spellStart"/>
            <w:r w:rsidRPr="00BB50F2">
              <w:rPr>
                <w:rFonts w:cs="Arial"/>
              </w:rPr>
              <w:t>yyy</w:t>
            </w:r>
            <w:proofErr w:type="spellEnd"/>
          </w:p>
        </w:tc>
        <w:tc>
          <w:tcPr>
            <w:tcW w:w="2162" w:type="dxa"/>
            <w:tcBorders>
              <w:top w:val="single" w:sz="4" w:space="0" w:color="999999"/>
              <w:left w:val="single" w:sz="4" w:space="0" w:color="999999"/>
              <w:bottom w:val="single" w:sz="4" w:space="0" w:color="999999"/>
              <w:right w:val="single" w:sz="4" w:space="0" w:color="999999"/>
            </w:tcBorders>
            <w:vAlign w:val="center"/>
          </w:tcPr>
          <w:p w14:paraId="6C9E366F" w14:textId="2973ADEB" w:rsidR="009A2964" w:rsidRPr="00BB50F2" w:rsidRDefault="009A2964" w:rsidP="00F8293A">
            <w:pPr>
              <w:pStyle w:val="Header"/>
              <w:rPr>
                <w:rFonts w:cs="Arial"/>
              </w:rPr>
            </w:pPr>
            <w:r w:rsidRPr="00BB50F2">
              <w:rPr>
                <w:rFonts w:cs="Arial"/>
              </w:rPr>
              <w:t xml:space="preserve">PRTGT or (MAXIR &gt; 10 * ATGT) </w:t>
            </w:r>
          </w:p>
        </w:tc>
        <w:tc>
          <w:tcPr>
            <w:tcW w:w="3932" w:type="dxa"/>
            <w:tcBorders>
              <w:top w:val="single" w:sz="4" w:space="0" w:color="999999"/>
              <w:left w:val="single" w:sz="4" w:space="0" w:color="999999"/>
              <w:bottom w:val="single" w:sz="4" w:space="0" w:color="999999"/>
              <w:right w:val="single" w:sz="4" w:space="0" w:color="999999"/>
            </w:tcBorders>
            <w:vAlign w:val="center"/>
          </w:tcPr>
          <w:p w14:paraId="0C9B3750" w14:textId="77777777" w:rsidR="009A2964" w:rsidRPr="00BB50F2" w:rsidRDefault="009A2964" w:rsidP="00F8293A">
            <w:pPr>
              <w:pStyle w:val="Header"/>
              <w:rPr>
                <w:rFonts w:cs="Arial"/>
              </w:rPr>
            </w:pPr>
            <w:r w:rsidRPr="00BB50F2">
              <w:rPr>
                <w:rFonts w:cs="Arial"/>
              </w:rPr>
              <w:t>Service Failure</w:t>
            </w:r>
          </w:p>
        </w:tc>
        <w:tc>
          <w:tcPr>
            <w:tcW w:w="888" w:type="dxa"/>
            <w:tcBorders>
              <w:top w:val="nil"/>
              <w:left w:val="single" w:sz="4" w:space="0" w:color="999999"/>
              <w:bottom w:val="nil"/>
            </w:tcBorders>
          </w:tcPr>
          <w:p w14:paraId="39A5BC9F" w14:textId="77777777" w:rsidR="009A2964" w:rsidRPr="00BB50F2" w:rsidRDefault="009A2964" w:rsidP="00F8293A">
            <w:pPr>
              <w:pStyle w:val="Header"/>
              <w:rPr>
                <w:rFonts w:cs="Arial"/>
              </w:rPr>
            </w:pPr>
          </w:p>
        </w:tc>
      </w:tr>
      <w:tr w:rsidR="009A2964" w:rsidRPr="00BB50F2" w14:paraId="2F22D387" w14:textId="77777777" w:rsidTr="00F8293A">
        <w:trPr>
          <w:cantSplit/>
          <w:trHeight w:hRule="exact" w:val="113"/>
        </w:trPr>
        <w:tc>
          <w:tcPr>
            <w:tcW w:w="9356" w:type="dxa"/>
            <w:gridSpan w:val="6"/>
            <w:tcBorders>
              <w:top w:val="nil"/>
              <w:bottom w:val="nil"/>
            </w:tcBorders>
          </w:tcPr>
          <w:p w14:paraId="4D396D4C" w14:textId="77777777" w:rsidR="009A2964" w:rsidRPr="00BB50F2" w:rsidRDefault="009A2964" w:rsidP="00F8293A">
            <w:pPr>
              <w:pStyle w:val="Header"/>
              <w:rPr>
                <w:rFonts w:cs="Arial"/>
              </w:rPr>
            </w:pPr>
          </w:p>
        </w:tc>
      </w:tr>
      <w:tr w:rsidR="009A2964" w:rsidRPr="00BB50F2" w14:paraId="0294B26F" w14:textId="77777777" w:rsidTr="00F8293A">
        <w:trPr>
          <w:cantSplit/>
          <w:trHeight w:hRule="exact" w:val="113"/>
        </w:trPr>
        <w:tc>
          <w:tcPr>
            <w:tcW w:w="9356" w:type="dxa"/>
            <w:gridSpan w:val="6"/>
            <w:tcBorders>
              <w:top w:val="nil"/>
            </w:tcBorders>
          </w:tcPr>
          <w:p w14:paraId="6619B07E" w14:textId="77777777" w:rsidR="009A2964" w:rsidRPr="00BB50F2" w:rsidRDefault="009A2964" w:rsidP="00F8293A">
            <w:pPr>
              <w:pStyle w:val="Header"/>
              <w:rPr>
                <w:rFonts w:cs="Arial"/>
              </w:rPr>
            </w:pPr>
          </w:p>
        </w:tc>
      </w:tr>
      <w:tr w:rsidR="009A2964" w:rsidRPr="00BB50F2" w14:paraId="6D6CD832" w14:textId="77777777" w:rsidTr="00F8293A">
        <w:trPr>
          <w:cantSplit/>
          <w:trHeight w:hRule="exact" w:val="397"/>
        </w:trPr>
        <w:tc>
          <w:tcPr>
            <w:tcW w:w="9356" w:type="dxa"/>
            <w:gridSpan w:val="6"/>
            <w:vAlign w:val="center"/>
          </w:tcPr>
          <w:p w14:paraId="1D8E0BF1" w14:textId="77777777" w:rsidR="009A2964" w:rsidRPr="00BB50F2" w:rsidRDefault="009A2964" w:rsidP="00F8293A">
            <w:pPr>
              <w:pStyle w:val="Header"/>
              <w:rPr>
                <w:rFonts w:cs="Arial"/>
              </w:rPr>
            </w:pPr>
            <w:r w:rsidRPr="00BB50F2">
              <w:rPr>
                <w:rFonts w:cs="Arial"/>
              </w:rPr>
              <w:t>Notes:</w:t>
            </w:r>
          </w:p>
        </w:tc>
      </w:tr>
      <w:tr w:rsidR="009A2964" w:rsidRPr="00BB50F2" w14:paraId="0DC9AAAB" w14:textId="77777777" w:rsidTr="00F8293A">
        <w:trPr>
          <w:cantSplit/>
        </w:trPr>
        <w:tc>
          <w:tcPr>
            <w:tcW w:w="9356" w:type="dxa"/>
            <w:gridSpan w:val="6"/>
          </w:tcPr>
          <w:p w14:paraId="03AED720" w14:textId="77777777" w:rsidR="009A2964" w:rsidRPr="00BB50F2" w:rsidRDefault="009A2964" w:rsidP="00F8293A">
            <w:pPr>
              <w:pStyle w:val="Header"/>
              <w:rPr>
                <w:rFonts w:cs="Arial"/>
              </w:rPr>
            </w:pPr>
            <w:r w:rsidRPr="00BB50F2">
              <w:rPr>
                <w:rFonts w:cs="Arial"/>
              </w:rPr>
              <w:t xml:space="preserve">xxx – Target as defined in table </w:t>
            </w:r>
            <w:proofErr w:type="gramStart"/>
            <w:r w:rsidRPr="00BB50F2">
              <w:rPr>
                <w:rFonts w:cs="Arial"/>
              </w:rPr>
              <w:t>1</w:t>
            </w:r>
            <w:proofErr w:type="gramEnd"/>
          </w:p>
          <w:p w14:paraId="657F9BE6" w14:textId="19678B2F" w:rsidR="009A2964" w:rsidRPr="00BB50F2" w:rsidRDefault="009A2964" w:rsidP="00F8293A">
            <w:pPr>
              <w:pStyle w:val="Header"/>
              <w:rPr>
                <w:rFonts w:cs="Arial"/>
              </w:rPr>
            </w:pPr>
            <w:proofErr w:type="spellStart"/>
            <w:r w:rsidRPr="00BB50F2">
              <w:rPr>
                <w:rFonts w:cs="Arial"/>
              </w:rPr>
              <w:t>yyy</w:t>
            </w:r>
            <w:proofErr w:type="spellEnd"/>
            <w:r w:rsidRPr="00BB50F2">
              <w:rPr>
                <w:rFonts w:cs="Arial"/>
              </w:rPr>
              <w:t xml:space="preserve">- Acceptable as defined in table </w:t>
            </w:r>
            <w:proofErr w:type="gramStart"/>
            <w:r w:rsidRPr="00BB50F2">
              <w:rPr>
                <w:rFonts w:cs="Arial"/>
              </w:rPr>
              <w:t>1</w:t>
            </w:r>
            <w:proofErr w:type="gramEnd"/>
          </w:p>
          <w:p w14:paraId="6B8CA603" w14:textId="77777777" w:rsidR="009A2964" w:rsidRPr="00BB50F2" w:rsidRDefault="009A2964" w:rsidP="00F8293A">
            <w:pPr>
              <w:pStyle w:val="Header"/>
              <w:rPr>
                <w:rFonts w:cs="Arial"/>
              </w:rPr>
            </w:pPr>
          </w:p>
        </w:tc>
      </w:tr>
    </w:tbl>
    <w:p w14:paraId="0CA5130D" w14:textId="77777777" w:rsidR="009A2964" w:rsidRDefault="009A2964">
      <w:pPr>
        <w:jc w:val="left"/>
        <w:rPr>
          <w:rFonts w:cs="Arial"/>
        </w:rPr>
      </w:pPr>
      <w:r>
        <w:rPr>
          <w:rFonts w:cs="Arial"/>
        </w:rPr>
        <w:br w:type="page"/>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
        <w:gridCol w:w="947"/>
        <w:gridCol w:w="941"/>
        <w:gridCol w:w="3438"/>
        <w:gridCol w:w="1237"/>
        <w:gridCol w:w="1419"/>
        <w:gridCol w:w="746"/>
      </w:tblGrid>
      <w:tr w:rsidR="009A2964" w:rsidRPr="00BB50F2" w14:paraId="78F0EC85" w14:textId="77777777" w:rsidTr="00822819">
        <w:trPr>
          <w:trHeight w:hRule="exact" w:val="288"/>
        </w:trPr>
        <w:tc>
          <w:tcPr>
            <w:tcW w:w="5812" w:type="dxa"/>
            <w:gridSpan w:val="4"/>
          </w:tcPr>
          <w:p w14:paraId="37766CD5" w14:textId="77777777" w:rsidR="009A2964" w:rsidRPr="00BB50F2" w:rsidRDefault="009A2964" w:rsidP="00F8293A">
            <w:pPr>
              <w:rPr>
                <w:rFonts w:cs="Arial"/>
                <w:b/>
              </w:rPr>
            </w:pPr>
            <w:r w:rsidRPr="00BB50F2">
              <w:rPr>
                <w:rFonts w:cs="Arial"/>
                <w:b/>
              </w:rPr>
              <w:lastRenderedPageBreak/>
              <w:t>Resolution Time for Incidents</w:t>
            </w:r>
          </w:p>
        </w:tc>
        <w:tc>
          <w:tcPr>
            <w:tcW w:w="3402" w:type="dxa"/>
            <w:gridSpan w:val="3"/>
            <w:vAlign w:val="center"/>
          </w:tcPr>
          <w:p w14:paraId="2A903293" w14:textId="345359E0" w:rsidR="009A2964" w:rsidRPr="00822819" w:rsidRDefault="009A2964" w:rsidP="00822819">
            <w:pPr>
              <w:pStyle w:val="Heading1"/>
              <w:numPr>
                <w:ilvl w:val="0"/>
                <w:numId w:val="0"/>
              </w:numPr>
              <w:spacing w:after="120"/>
              <w:rPr>
                <w:rFonts w:cs="Arial"/>
                <w:bCs w:val="0"/>
              </w:rPr>
            </w:pPr>
            <w:r w:rsidRPr="00BB50F2">
              <w:rPr>
                <w:rFonts w:cs="Arial"/>
              </w:rPr>
              <w:t>R-5, R-6, R-7, R-8</w:t>
            </w:r>
            <w:r w:rsidR="00822819">
              <w:rPr>
                <w:rFonts w:cs="Arial"/>
                <w:b w:val="0"/>
                <w:lang w:eastAsia="en-US"/>
              </w:rPr>
              <w:t xml:space="preserve"> </w:t>
            </w:r>
            <w:r w:rsidRPr="00822819">
              <w:rPr>
                <w:rFonts w:cs="Arial"/>
                <w:bCs w:val="0"/>
                <w:lang w:eastAsia="en-US"/>
              </w:rPr>
              <w:t>Continuous</w:t>
            </w:r>
          </w:p>
        </w:tc>
      </w:tr>
      <w:tr w:rsidR="009A2964" w:rsidRPr="00BB50F2" w14:paraId="3CDF8F62" w14:textId="77777777" w:rsidTr="00F8293A">
        <w:trPr>
          <w:cantSplit/>
          <w:trHeight w:hRule="exact" w:val="397"/>
        </w:trPr>
        <w:tc>
          <w:tcPr>
            <w:tcW w:w="9214" w:type="dxa"/>
            <w:gridSpan w:val="7"/>
            <w:vAlign w:val="center"/>
          </w:tcPr>
          <w:p w14:paraId="4DAE9038" w14:textId="77777777" w:rsidR="009A2964" w:rsidRPr="00BB50F2" w:rsidRDefault="009A2964" w:rsidP="00F8293A">
            <w:pPr>
              <w:rPr>
                <w:rFonts w:cs="Arial"/>
                <w:b/>
              </w:rPr>
            </w:pPr>
            <w:r w:rsidRPr="00BB50F2">
              <w:rPr>
                <w:rFonts w:cs="Arial"/>
                <w:b/>
              </w:rPr>
              <w:t>Definition:</w:t>
            </w:r>
          </w:p>
        </w:tc>
      </w:tr>
      <w:tr w:rsidR="009A2964" w:rsidRPr="00BB50F2" w14:paraId="11CB8108" w14:textId="77777777" w:rsidTr="00F8293A">
        <w:trPr>
          <w:cantSplit/>
        </w:trPr>
        <w:tc>
          <w:tcPr>
            <w:tcW w:w="9214" w:type="dxa"/>
            <w:gridSpan w:val="7"/>
          </w:tcPr>
          <w:p w14:paraId="678C70AD" w14:textId="77777777" w:rsidR="009A2964" w:rsidRPr="00BB50F2" w:rsidRDefault="009A2964" w:rsidP="00F8293A">
            <w:pPr>
              <w:pStyle w:val="Header"/>
              <w:rPr>
                <w:rFonts w:cs="Arial"/>
              </w:rPr>
            </w:pPr>
            <w:r w:rsidRPr="00BB50F2">
              <w:rPr>
                <w:rFonts w:cs="Arial"/>
              </w:rPr>
              <w:t>The measure of Supplier’s ability to resolve incidents occurring during any given month</w:t>
            </w:r>
          </w:p>
        </w:tc>
      </w:tr>
      <w:tr w:rsidR="009A2964" w:rsidRPr="00BB50F2" w14:paraId="7479C1F8" w14:textId="77777777" w:rsidTr="00F8293A">
        <w:trPr>
          <w:cantSplit/>
          <w:trHeight w:hRule="exact" w:val="397"/>
        </w:trPr>
        <w:tc>
          <w:tcPr>
            <w:tcW w:w="9214" w:type="dxa"/>
            <w:gridSpan w:val="7"/>
            <w:vAlign w:val="center"/>
          </w:tcPr>
          <w:p w14:paraId="4721BDC3" w14:textId="77777777" w:rsidR="009A2964" w:rsidRPr="00BB50F2" w:rsidRDefault="009A2964" w:rsidP="00F8293A">
            <w:pPr>
              <w:pStyle w:val="Header"/>
              <w:rPr>
                <w:rFonts w:cs="Arial"/>
              </w:rPr>
            </w:pPr>
            <w:r w:rsidRPr="00BB50F2">
              <w:rPr>
                <w:rFonts w:cs="Arial"/>
              </w:rPr>
              <w:t>Calculation:</w:t>
            </w:r>
          </w:p>
        </w:tc>
      </w:tr>
      <w:tr w:rsidR="009A2964" w:rsidRPr="00BB50F2" w14:paraId="44E51D75" w14:textId="77777777" w:rsidTr="00F8293A">
        <w:trPr>
          <w:cantSplit/>
        </w:trPr>
        <w:tc>
          <w:tcPr>
            <w:tcW w:w="9214" w:type="dxa"/>
            <w:gridSpan w:val="7"/>
            <w:tcBorders>
              <w:bottom w:val="nil"/>
            </w:tcBorders>
          </w:tcPr>
          <w:p w14:paraId="7E134904" w14:textId="77777777" w:rsidR="009A2964" w:rsidRPr="00BB50F2" w:rsidRDefault="009A2964" w:rsidP="00F8293A">
            <w:pPr>
              <w:pStyle w:val="Header"/>
              <w:rPr>
                <w:rFonts w:cs="Arial"/>
              </w:rPr>
            </w:pPr>
            <w:r w:rsidRPr="00BB50F2">
              <w:rPr>
                <w:rFonts w:cs="Arial"/>
              </w:rPr>
              <w:t>_</w:t>
            </w:r>
          </w:p>
        </w:tc>
      </w:tr>
      <w:tr w:rsidR="009A2964" w:rsidRPr="00BB50F2" w14:paraId="66695F66" w14:textId="77777777" w:rsidTr="00F8293A">
        <w:trPr>
          <w:cantSplit/>
        </w:trPr>
        <w:tc>
          <w:tcPr>
            <w:tcW w:w="486" w:type="dxa"/>
            <w:tcBorders>
              <w:top w:val="nil"/>
              <w:bottom w:val="nil"/>
              <w:right w:val="single" w:sz="4" w:space="0" w:color="999999"/>
            </w:tcBorders>
          </w:tcPr>
          <w:p w14:paraId="24A7E6D9" w14:textId="77777777" w:rsidR="009A2964" w:rsidRPr="00BB50F2" w:rsidRDefault="009A2964" w:rsidP="00F8293A">
            <w:pPr>
              <w:pStyle w:val="Header"/>
              <w:rPr>
                <w:rFonts w:cs="Arial"/>
              </w:rPr>
            </w:pPr>
          </w:p>
        </w:tc>
        <w:tc>
          <w:tcPr>
            <w:tcW w:w="1888" w:type="dxa"/>
            <w:gridSpan w:val="2"/>
            <w:tcBorders>
              <w:top w:val="single" w:sz="4" w:space="0" w:color="999999"/>
              <w:left w:val="single" w:sz="4" w:space="0" w:color="999999"/>
              <w:bottom w:val="single" w:sz="4" w:space="0" w:color="999999"/>
              <w:right w:val="single" w:sz="4" w:space="0" w:color="999999"/>
            </w:tcBorders>
          </w:tcPr>
          <w:p w14:paraId="584FE866" w14:textId="77777777" w:rsidR="009A2964" w:rsidRPr="00BB50F2" w:rsidRDefault="009A2964" w:rsidP="00F8293A">
            <w:pPr>
              <w:pStyle w:val="Header"/>
              <w:rPr>
                <w:rFonts w:cs="Arial"/>
              </w:rPr>
            </w:pPr>
            <w:r w:rsidRPr="00BB50F2">
              <w:rPr>
                <w:rFonts w:cs="Arial"/>
              </w:rPr>
              <w:t>Incident Resolution Time</w:t>
            </w:r>
          </w:p>
        </w:tc>
        <w:tc>
          <w:tcPr>
            <w:tcW w:w="6094" w:type="dxa"/>
            <w:gridSpan w:val="3"/>
            <w:tcBorders>
              <w:top w:val="single" w:sz="4" w:space="0" w:color="999999"/>
              <w:left w:val="single" w:sz="4" w:space="0" w:color="999999"/>
              <w:bottom w:val="single" w:sz="4" w:space="0" w:color="999999"/>
              <w:right w:val="single" w:sz="4" w:space="0" w:color="999999"/>
            </w:tcBorders>
          </w:tcPr>
          <w:p w14:paraId="0C937B88" w14:textId="77777777" w:rsidR="009A2964" w:rsidRPr="00BB50F2" w:rsidRDefault="009A2964" w:rsidP="00F8293A">
            <w:pPr>
              <w:pStyle w:val="Header"/>
              <w:rPr>
                <w:rFonts w:cs="Arial"/>
              </w:rPr>
            </w:pPr>
            <w:r w:rsidRPr="00BB50F2">
              <w:rPr>
                <w:rFonts w:cs="Arial"/>
              </w:rPr>
              <w:t>Incident Resolution Time (IROT) as defined in 3.9.</w:t>
            </w:r>
          </w:p>
        </w:tc>
        <w:tc>
          <w:tcPr>
            <w:tcW w:w="746" w:type="dxa"/>
            <w:tcBorders>
              <w:top w:val="nil"/>
              <w:left w:val="single" w:sz="4" w:space="0" w:color="999999"/>
              <w:bottom w:val="nil"/>
            </w:tcBorders>
          </w:tcPr>
          <w:p w14:paraId="10F6C828" w14:textId="77777777" w:rsidR="009A2964" w:rsidRPr="00BB50F2" w:rsidRDefault="009A2964" w:rsidP="00F8293A">
            <w:pPr>
              <w:pStyle w:val="Header"/>
              <w:rPr>
                <w:rFonts w:cs="Arial"/>
              </w:rPr>
            </w:pPr>
          </w:p>
        </w:tc>
      </w:tr>
      <w:tr w:rsidR="009A2964" w:rsidRPr="00BB50F2" w14:paraId="0562FC04" w14:textId="77777777" w:rsidTr="00F8293A">
        <w:trPr>
          <w:cantSplit/>
        </w:trPr>
        <w:tc>
          <w:tcPr>
            <w:tcW w:w="486" w:type="dxa"/>
            <w:tcBorders>
              <w:top w:val="nil"/>
              <w:bottom w:val="nil"/>
              <w:right w:val="single" w:sz="4" w:space="0" w:color="999999"/>
            </w:tcBorders>
          </w:tcPr>
          <w:p w14:paraId="737DC716" w14:textId="77777777" w:rsidR="009A2964" w:rsidRPr="00BB50F2" w:rsidRDefault="009A2964" w:rsidP="00F8293A">
            <w:pPr>
              <w:pStyle w:val="Header"/>
              <w:rPr>
                <w:rFonts w:cs="Arial"/>
              </w:rPr>
            </w:pPr>
          </w:p>
        </w:tc>
        <w:tc>
          <w:tcPr>
            <w:tcW w:w="1888" w:type="dxa"/>
            <w:gridSpan w:val="2"/>
            <w:tcBorders>
              <w:top w:val="single" w:sz="4" w:space="0" w:color="999999"/>
              <w:left w:val="single" w:sz="4" w:space="0" w:color="999999"/>
              <w:bottom w:val="single" w:sz="4" w:space="0" w:color="999999"/>
              <w:right w:val="single" w:sz="4" w:space="0" w:color="999999"/>
            </w:tcBorders>
          </w:tcPr>
          <w:p w14:paraId="3B4B7A93" w14:textId="77777777" w:rsidR="009A2964" w:rsidRPr="00BB50F2" w:rsidRDefault="009A2964" w:rsidP="00F8293A">
            <w:pPr>
              <w:pStyle w:val="Header"/>
              <w:rPr>
                <w:rFonts w:cs="Arial"/>
              </w:rPr>
            </w:pPr>
            <w:r w:rsidRPr="00BB50F2">
              <w:rPr>
                <w:rFonts w:cs="Arial"/>
              </w:rPr>
              <w:t>Total incidents</w:t>
            </w:r>
          </w:p>
        </w:tc>
        <w:tc>
          <w:tcPr>
            <w:tcW w:w="6094" w:type="dxa"/>
            <w:gridSpan w:val="3"/>
            <w:tcBorders>
              <w:top w:val="single" w:sz="4" w:space="0" w:color="999999"/>
              <w:left w:val="single" w:sz="4" w:space="0" w:color="999999"/>
              <w:bottom w:val="single" w:sz="4" w:space="0" w:color="999999"/>
              <w:right w:val="single" w:sz="4" w:space="0" w:color="999999"/>
            </w:tcBorders>
          </w:tcPr>
          <w:p w14:paraId="59AA1C50" w14:textId="77777777" w:rsidR="009A2964" w:rsidRPr="00BB50F2" w:rsidRDefault="009A2964" w:rsidP="00F8293A">
            <w:pPr>
              <w:pStyle w:val="Header"/>
              <w:rPr>
                <w:rFonts w:cs="Arial"/>
              </w:rPr>
            </w:pPr>
            <w:r w:rsidRPr="00BB50F2">
              <w:rPr>
                <w:rFonts w:cs="Arial"/>
              </w:rPr>
              <w:t xml:space="preserve">The total number of incidents (TINC) recorded for a specific severity and priority </w:t>
            </w:r>
          </w:p>
        </w:tc>
        <w:tc>
          <w:tcPr>
            <w:tcW w:w="746" w:type="dxa"/>
            <w:tcBorders>
              <w:top w:val="nil"/>
              <w:left w:val="single" w:sz="4" w:space="0" w:color="999999"/>
              <w:bottom w:val="nil"/>
            </w:tcBorders>
          </w:tcPr>
          <w:p w14:paraId="6E0D0AC4" w14:textId="77777777" w:rsidR="009A2964" w:rsidRPr="00BB50F2" w:rsidRDefault="009A2964" w:rsidP="00F8293A">
            <w:pPr>
              <w:pStyle w:val="Header"/>
              <w:rPr>
                <w:rFonts w:cs="Arial"/>
              </w:rPr>
            </w:pPr>
          </w:p>
        </w:tc>
      </w:tr>
      <w:tr w:rsidR="009A2964" w:rsidRPr="00BB50F2" w14:paraId="159AA865" w14:textId="77777777" w:rsidTr="00F8293A">
        <w:trPr>
          <w:cantSplit/>
        </w:trPr>
        <w:tc>
          <w:tcPr>
            <w:tcW w:w="486" w:type="dxa"/>
            <w:tcBorders>
              <w:top w:val="nil"/>
              <w:bottom w:val="nil"/>
              <w:right w:val="single" w:sz="4" w:space="0" w:color="999999"/>
            </w:tcBorders>
          </w:tcPr>
          <w:p w14:paraId="416ACDD7" w14:textId="77777777" w:rsidR="009A2964" w:rsidRPr="00BB50F2" w:rsidRDefault="009A2964" w:rsidP="00F8293A">
            <w:pPr>
              <w:pStyle w:val="Header"/>
              <w:rPr>
                <w:rFonts w:cs="Arial"/>
              </w:rPr>
            </w:pPr>
          </w:p>
        </w:tc>
        <w:tc>
          <w:tcPr>
            <w:tcW w:w="1888" w:type="dxa"/>
            <w:gridSpan w:val="2"/>
            <w:tcBorders>
              <w:top w:val="single" w:sz="4" w:space="0" w:color="999999"/>
              <w:left w:val="single" w:sz="4" w:space="0" w:color="999999"/>
              <w:bottom w:val="single" w:sz="4" w:space="0" w:color="999999"/>
              <w:right w:val="single" w:sz="4" w:space="0" w:color="999999"/>
            </w:tcBorders>
          </w:tcPr>
          <w:p w14:paraId="39678746" w14:textId="77777777" w:rsidR="009A2964" w:rsidRPr="00BB50F2" w:rsidRDefault="009A2964" w:rsidP="00F8293A">
            <w:pPr>
              <w:pStyle w:val="Header"/>
              <w:rPr>
                <w:rFonts w:cs="Arial"/>
              </w:rPr>
            </w:pPr>
            <w:r w:rsidRPr="00BB50F2">
              <w:rPr>
                <w:rFonts w:cs="Arial"/>
              </w:rPr>
              <w:t>Target total incidents resolved</w:t>
            </w:r>
          </w:p>
        </w:tc>
        <w:tc>
          <w:tcPr>
            <w:tcW w:w="6094" w:type="dxa"/>
            <w:gridSpan w:val="3"/>
            <w:tcBorders>
              <w:top w:val="single" w:sz="4" w:space="0" w:color="999999"/>
              <w:left w:val="single" w:sz="4" w:space="0" w:color="999999"/>
              <w:bottom w:val="single" w:sz="4" w:space="0" w:color="999999"/>
              <w:right w:val="single" w:sz="4" w:space="0" w:color="999999"/>
            </w:tcBorders>
          </w:tcPr>
          <w:p w14:paraId="53BD5DEC" w14:textId="77777777" w:rsidR="009A2964" w:rsidRPr="00BB50F2" w:rsidRDefault="009A2964" w:rsidP="00F8293A">
            <w:pPr>
              <w:pStyle w:val="Header"/>
              <w:rPr>
                <w:rFonts w:cs="Arial"/>
              </w:rPr>
            </w:pPr>
            <w:r w:rsidRPr="00BB50F2">
              <w:rPr>
                <w:rFonts w:cs="Arial"/>
              </w:rPr>
              <w:t xml:space="preserve">The total number of incidents (TTIR) that were recorded as having an incident resolution time being less than or equal to the applicable target resolution (ARTGT) in Table X for a specific severity and priority </w:t>
            </w:r>
          </w:p>
        </w:tc>
        <w:tc>
          <w:tcPr>
            <w:tcW w:w="746" w:type="dxa"/>
            <w:tcBorders>
              <w:top w:val="nil"/>
              <w:left w:val="single" w:sz="4" w:space="0" w:color="999999"/>
              <w:bottom w:val="nil"/>
            </w:tcBorders>
          </w:tcPr>
          <w:p w14:paraId="22C90A3E" w14:textId="77777777" w:rsidR="009A2964" w:rsidRPr="00BB50F2" w:rsidRDefault="009A2964" w:rsidP="00F8293A">
            <w:pPr>
              <w:pStyle w:val="Header"/>
              <w:rPr>
                <w:rFonts w:cs="Arial"/>
              </w:rPr>
            </w:pPr>
          </w:p>
        </w:tc>
      </w:tr>
      <w:tr w:rsidR="009A2964" w:rsidRPr="00BB50F2" w14:paraId="57BF5A86" w14:textId="77777777" w:rsidTr="00F8293A">
        <w:trPr>
          <w:cantSplit/>
        </w:trPr>
        <w:tc>
          <w:tcPr>
            <w:tcW w:w="486" w:type="dxa"/>
            <w:tcBorders>
              <w:top w:val="nil"/>
              <w:bottom w:val="nil"/>
              <w:right w:val="single" w:sz="4" w:space="0" w:color="999999"/>
            </w:tcBorders>
          </w:tcPr>
          <w:p w14:paraId="693AE32F" w14:textId="77777777" w:rsidR="009A2964" w:rsidRPr="00BB50F2" w:rsidRDefault="009A2964" w:rsidP="00F8293A">
            <w:pPr>
              <w:pStyle w:val="Header"/>
              <w:rPr>
                <w:rFonts w:cs="Arial"/>
              </w:rPr>
            </w:pPr>
          </w:p>
        </w:tc>
        <w:tc>
          <w:tcPr>
            <w:tcW w:w="1888" w:type="dxa"/>
            <w:gridSpan w:val="2"/>
            <w:tcBorders>
              <w:top w:val="single" w:sz="4" w:space="0" w:color="999999"/>
              <w:left w:val="single" w:sz="4" w:space="0" w:color="999999"/>
              <w:bottom w:val="single" w:sz="4" w:space="0" w:color="999999"/>
              <w:right w:val="single" w:sz="4" w:space="0" w:color="999999"/>
            </w:tcBorders>
          </w:tcPr>
          <w:p w14:paraId="132A80A2" w14:textId="77777777" w:rsidR="009A2964" w:rsidRPr="00BB50F2" w:rsidRDefault="009A2964" w:rsidP="00F8293A">
            <w:pPr>
              <w:pStyle w:val="Header"/>
              <w:rPr>
                <w:rFonts w:cs="Arial"/>
              </w:rPr>
            </w:pPr>
            <w:r w:rsidRPr="00BB50F2">
              <w:rPr>
                <w:rFonts w:cs="Arial"/>
              </w:rPr>
              <w:t>Maximum incident resolution time</w:t>
            </w:r>
          </w:p>
        </w:tc>
        <w:tc>
          <w:tcPr>
            <w:tcW w:w="6094" w:type="dxa"/>
            <w:gridSpan w:val="3"/>
            <w:tcBorders>
              <w:top w:val="single" w:sz="4" w:space="0" w:color="999999"/>
              <w:left w:val="single" w:sz="4" w:space="0" w:color="999999"/>
              <w:bottom w:val="single" w:sz="4" w:space="0" w:color="999999"/>
              <w:right w:val="single" w:sz="4" w:space="0" w:color="999999"/>
            </w:tcBorders>
          </w:tcPr>
          <w:p w14:paraId="6095724F" w14:textId="77777777" w:rsidR="009A2964" w:rsidRPr="00BB50F2" w:rsidRDefault="009A2964" w:rsidP="00F8293A">
            <w:pPr>
              <w:pStyle w:val="Header"/>
              <w:rPr>
                <w:rFonts w:cs="Arial"/>
              </w:rPr>
            </w:pPr>
            <w:r w:rsidRPr="00BB50F2">
              <w:rPr>
                <w:rFonts w:cs="Arial"/>
              </w:rPr>
              <w:t>The greater of the maximum resolution time for an incident responded to in the reporting period, or opened in the prior period and still unresolved to in the current period (MAXIRO)</w:t>
            </w:r>
          </w:p>
        </w:tc>
        <w:tc>
          <w:tcPr>
            <w:tcW w:w="746" w:type="dxa"/>
            <w:tcBorders>
              <w:top w:val="nil"/>
              <w:left w:val="single" w:sz="4" w:space="0" w:color="999999"/>
              <w:bottom w:val="nil"/>
            </w:tcBorders>
          </w:tcPr>
          <w:p w14:paraId="604F2806" w14:textId="77777777" w:rsidR="009A2964" w:rsidRPr="00BB50F2" w:rsidRDefault="009A2964" w:rsidP="00F8293A">
            <w:pPr>
              <w:pStyle w:val="Header"/>
              <w:rPr>
                <w:rFonts w:cs="Arial"/>
              </w:rPr>
            </w:pPr>
          </w:p>
        </w:tc>
      </w:tr>
      <w:tr w:rsidR="009A2964" w:rsidRPr="00BB50F2" w14:paraId="2565DB87" w14:textId="77777777" w:rsidTr="00F8293A">
        <w:trPr>
          <w:cantSplit/>
        </w:trPr>
        <w:tc>
          <w:tcPr>
            <w:tcW w:w="486" w:type="dxa"/>
            <w:tcBorders>
              <w:top w:val="nil"/>
              <w:bottom w:val="nil"/>
              <w:right w:val="single" w:sz="4" w:space="0" w:color="999999"/>
            </w:tcBorders>
          </w:tcPr>
          <w:p w14:paraId="6300B98B" w14:textId="77777777" w:rsidR="009A2964" w:rsidRPr="00BB50F2" w:rsidRDefault="009A2964" w:rsidP="00F8293A">
            <w:pPr>
              <w:pStyle w:val="Header"/>
              <w:rPr>
                <w:rFonts w:cs="Arial"/>
              </w:rPr>
            </w:pPr>
          </w:p>
        </w:tc>
        <w:tc>
          <w:tcPr>
            <w:tcW w:w="1888" w:type="dxa"/>
            <w:gridSpan w:val="2"/>
            <w:tcBorders>
              <w:top w:val="single" w:sz="4" w:space="0" w:color="999999"/>
              <w:left w:val="single" w:sz="4" w:space="0" w:color="999999"/>
              <w:bottom w:val="single" w:sz="4" w:space="0" w:color="999999"/>
              <w:right w:val="single" w:sz="4" w:space="0" w:color="999999"/>
            </w:tcBorders>
          </w:tcPr>
          <w:p w14:paraId="2DDAF4CB" w14:textId="77777777" w:rsidR="009A2964" w:rsidRPr="00BB50F2" w:rsidRDefault="009A2964" w:rsidP="00F8293A">
            <w:pPr>
              <w:pStyle w:val="Header"/>
              <w:rPr>
                <w:rFonts w:cs="Arial"/>
              </w:rPr>
            </w:pPr>
            <w:r w:rsidRPr="00BB50F2">
              <w:rPr>
                <w:rFonts w:cs="Arial"/>
              </w:rPr>
              <w:t>Percentage responded to target</w:t>
            </w:r>
          </w:p>
        </w:tc>
        <w:tc>
          <w:tcPr>
            <w:tcW w:w="6094" w:type="dxa"/>
            <w:gridSpan w:val="3"/>
            <w:tcBorders>
              <w:top w:val="single" w:sz="4" w:space="0" w:color="999999"/>
              <w:left w:val="single" w:sz="4" w:space="0" w:color="999999"/>
              <w:bottom w:val="single" w:sz="4" w:space="0" w:color="999999"/>
              <w:right w:val="single" w:sz="4" w:space="0" w:color="999999"/>
            </w:tcBorders>
          </w:tcPr>
          <w:p w14:paraId="43EDEDC8" w14:textId="77777777" w:rsidR="009A2964" w:rsidRPr="00BB50F2" w:rsidRDefault="009A2964" w:rsidP="00F8293A">
            <w:pPr>
              <w:pStyle w:val="Header"/>
              <w:rPr>
                <w:rFonts w:cs="Arial"/>
              </w:rPr>
            </w:pPr>
            <w:r w:rsidRPr="00BB50F2">
              <w:rPr>
                <w:rFonts w:cs="Arial"/>
              </w:rPr>
              <w:t>PRTGTR = TTIR/TINC</w:t>
            </w:r>
          </w:p>
        </w:tc>
        <w:tc>
          <w:tcPr>
            <w:tcW w:w="746" w:type="dxa"/>
            <w:tcBorders>
              <w:top w:val="nil"/>
              <w:left w:val="single" w:sz="4" w:space="0" w:color="999999"/>
              <w:bottom w:val="nil"/>
            </w:tcBorders>
          </w:tcPr>
          <w:p w14:paraId="19C7E9ED" w14:textId="77777777" w:rsidR="009A2964" w:rsidRPr="00BB50F2" w:rsidRDefault="009A2964" w:rsidP="00F8293A">
            <w:pPr>
              <w:pStyle w:val="Header"/>
              <w:rPr>
                <w:rFonts w:cs="Arial"/>
              </w:rPr>
            </w:pPr>
          </w:p>
        </w:tc>
      </w:tr>
      <w:tr w:rsidR="009A2964" w:rsidRPr="00BB50F2" w14:paraId="13F77468" w14:textId="77777777" w:rsidTr="00F8293A">
        <w:trPr>
          <w:cantSplit/>
        </w:trPr>
        <w:tc>
          <w:tcPr>
            <w:tcW w:w="486" w:type="dxa"/>
            <w:tcBorders>
              <w:top w:val="nil"/>
              <w:bottom w:val="nil"/>
              <w:right w:val="single" w:sz="4" w:space="0" w:color="999999"/>
            </w:tcBorders>
          </w:tcPr>
          <w:p w14:paraId="4FA386E2" w14:textId="77777777" w:rsidR="009A2964" w:rsidRPr="00BB50F2" w:rsidRDefault="009A2964" w:rsidP="00F8293A">
            <w:pPr>
              <w:pStyle w:val="Header"/>
              <w:rPr>
                <w:rFonts w:cs="Arial"/>
              </w:rPr>
            </w:pPr>
          </w:p>
        </w:tc>
        <w:tc>
          <w:tcPr>
            <w:tcW w:w="1888" w:type="dxa"/>
            <w:gridSpan w:val="2"/>
            <w:tcBorders>
              <w:top w:val="single" w:sz="4" w:space="0" w:color="999999"/>
              <w:left w:val="single" w:sz="4" w:space="0" w:color="999999"/>
              <w:bottom w:val="single" w:sz="4" w:space="0" w:color="999999"/>
              <w:right w:val="single" w:sz="4" w:space="0" w:color="999999"/>
            </w:tcBorders>
          </w:tcPr>
          <w:p w14:paraId="4F7A78D2" w14:textId="77777777" w:rsidR="009A2964" w:rsidRPr="00BB50F2" w:rsidRDefault="009A2964" w:rsidP="00F8293A">
            <w:pPr>
              <w:pStyle w:val="Header"/>
              <w:rPr>
                <w:rFonts w:cs="Arial"/>
              </w:rPr>
            </w:pPr>
          </w:p>
        </w:tc>
        <w:tc>
          <w:tcPr>
            <w:tcW w:w="6094" w:type="dxa"/>
            <w:gridSpan w:val="3"/>
            <w:tcBorders>
              <w:top w:val="single" w:sz="4" w:space="0" w:color="999999"/>
              <w:left w:val="single" w:sz="4" w:space="0" w:color="999999"/>
              <w:bottom w:val="single" w:sz="4" w:space="0" w:color="999999"/>
              <w:right w:val="single" w:sz="4" w:space="0" w:color="999999"/>
            </w:tcBorders>
          </w:tcPr>
          <w:p w14:paraId="2879FFA2" w14:textId="77777777" w:rsidR="009A2964" w:rsidRPr="00BB50F2" w:rsidRDefault="009A2964" w:rsidP="00F8293A">
            <w:pPr>
              <w:pStyle w:val="Header"/>
              <w:rPr>
                <w:rFonts w:cs="Arial"/>
              </w:rPr>
            </w:pPr>
          </w:p>
        </w:tc>
        <w:tc>
          <w:tcPr>
            <w:tcW w:w="746" w:type="dxa"/>
            <w:tcBorders>
              <w:top w:val="nil"/>
              <w:left w:val="single" w:sz="4" w:space="0" w:color="999999"/>
              <w:bottom w:val="nil"/>
            </w:tcBorders>
          </w:tcPr>
          <w:p w14:paraId="6B50C08B" w14:textId="77777777" w:rsidR="009A2964" w:rsidRPr="00BB50F2" w:rsidRDefault="009A2964" w:rsidP="00F8293A">
            <w:pPr>
              <w:pStyle w:val="Header"/>
              <w:rPr>
                <w:rFonts w:cs="Arial"/>
              </w:rPr>
            </w:pPr>
          </w:p>
        </w:tc>
      </w:tr>
      <w:tr w:rsidR="009A2964" w:rsidRPr="00BB50F2" w14:paraId="14012D8B" w14:textId="77777777" w:rsidTr="00F8293A">
        <w:trPr>
          <w:cantSplit/>
          <w:trHeight w:hRule="exact" w:val="113"/>
        </w:trPr>
        <w:tc>
          <w:tcPr>
            <w:tcW w:w="9214" w:type="dxa"/>
            <w:gridSpan w:val="7"/>
            <w:tcBorders>
              <w:top w:val="nil"/>
            </w:tcBorders>
          </w:tcPr>
          <w:p w14:paraId="17398071" w14:textId="77777777" w:rsidR="009A2964" w:rsidRPr="00BB50F2" w:rsidRDefault="009A2964" w:rsidP="00F8293A">
            <w:pPr>
              <w:pStyle w:val="Header"/>
              <w:rPr>
                <w:rFonts w:cs="Arial"/>
              </w:rPr>
            </w:pPr>
          </w:p>
        </w:tc>
      </w:tr>
      <w:tr w:rsidR="009A2964" w:rsidRPr="00BB50F2" w14:paraId="195E21CD" w14:textId="77777777" w:rsidTr="00F8293A">
        <w:trPr>
          <w:cantSplit/>
          <w:trHeight w:hRule="exact" w:val="397"/>
        </w:trPr>
        <w:tc>
          <w:tcPr>
            <w:tcW w:w="9214" w:type="dxa"/>
            <w:gridSpan w:val="7"/>
            <w:vAlign w:val="center"/>
          </w:tcPr>
          <w:p w14:paraId="0C3CF3B5" w14:textId="77777777" w:rsidR="009A2964" w:rsidRPr="00BB50F2" w:rsidRDefault="009A2964" w:rsidP="00F8293A">
            <w:pPr>
              <w:pStyle w:val="Header"/>
              <w:rPr>
                <w:rFonts w:cs="Arial"/>
              </w:rPr>
            </w:pPr>
            <w:r w:rsidRPr="00BB50F2">
              <w:rPr>
                <w:rFonts w:cs="Arial"/>
              </w:rPr>
              <w:t>Measurement:</w:t>
            </w:r>
          </w:p>
        </w:tc>
      </w:tr>
      <w:tr w:rsidR="009A2964" w:rsidRPr="00BB50F2" w14:paraId="74E17B27" w14:textId="77777777" w:rsidTr="00F8293A">
        <w:trPr>
          <w:cantSplit/>
          <w:trHeight w:hRule="exact" w:val="113"/>
        </w:trPr>
        <w:tc>
          <w:tcPr>
            <w:tcW w:w="9214" w:type="dxa"/>
            <w:gridSpan w:val="7"/>
            <w:tcBorders>
              <w:bottom w:val="nil"/>
            </w:tcBorders>
          </w:tcPr>
          <w:p w14:paraId="4B436E0B" w14:textId="77777777" w:rsidR="009A2964" w:rsidRPr="00BB50F2" w:rsidRDefault="009A2964" w:rsidP="00F8293A">
            <w:pPr>
              <w:pStyle w:val="Header"/>
              <w:rPr>
                <w:rFonts w:cs="Arial"/>
              </w:rPr>
            </w:pPr>
          </w:p>
        </w:tc>
      </w:tr>
      <w:tr w:rsidR="009A2964" w:rsidRPr="00BB50F2" w14:paraId="29BC12AF" w14:textId="77777777" w:rsidTr="00F8293A">
        <w:trPr>
          <w:cantSplit/>
        </w:trPr>
        <w:tc>
          <w:tcPr>
            <w:tcW w:w="486" w:type="dxa"/>
            <w:tcBorders>
              <w:top w:val="nil"/>
              <w:bottom w:val="nil"/>
              <w:right w:val="single" w:sz="4" w:space="0" w:color="999999"/>
            </w:tcBorders>
          </w:tcPr>
          <w:p w14:paraId="093E7B3C" w14:textId="77777777" w:rsidR="009A2964" w:rsidRPr="00BB50F2" w:rsidRDefault="009A2964" w:rsidP="00F8293A">
            <w:pPr>
              <w:pStyle w:val="Header"/>
              <w:rPr>
                <w:rFonts w:cs="Arial"/>
              </w:rPr>
            </w:pPr>
          </w:p>
        </w:tc>
        <w:tc>
          <w:tcPr>
            <w:tcW w:w="1888" w:type="dxa"/>
            <w:gridSpan w:val="2"/>
            <w:tcBorders>
              <w:top w:val="single" w:sz="4" w:space="0" w:color="999999"/>
              <w:left w:val="single" w:sz="4" w:space="0" w:color="999999"/>
              <w:bottom w:val="single" w:sz="4" w:space="0" w:color="999999"/>
              <w:right w:val="single" w:sz="4" w:space="0" w:color="999999"/>
            </w:tcBorders>
          </w:tcPr>
          <w:p w14:paraId="3D0A6E36" w14:textId="77777777" w:rsidR="009A2964" w:rsidRPr="00BB50F2" w:rsidRDefault="009A2964" w:rsidP="00F8293A">
            <w:pPr>
              <w:pStyle w:val="Header"/>
              <w:rPr>
                <w:rFonts w:cs="Arial"/>
              </w:rPr>
            </w:pPr>
            <w:r w:rsidRPr="00BB50F2">
              <w:rPr>
                <w:rFonts w:cs="Arial"/>
              </w:rPr>
              <w:t>Period</w:t>
            </w:r>
          </w:p>
        </w:tc>
        <w:tc>
          <w:tcPr>
            <w:tcW w:w="6094" w:type="dxa"/>
            <w:gridSpan w:val="3"/>
            <w:tcBorders>
              <w:top w:val="single" w:sz="4" w:space="0" w:color="999999"/>
              <w:left w:val="single" w:sz="4" w:space="0" w:color="999999"/>
              <w:bottom w:val="single" w:sz="4" w:space="0" w:color="999999"/>
              <w:right w:val="single" w:sz="4" w:space="0" w:color="999999"/>
            </w:tcBorders>
          </w:tcPr>
          <w:p w14:paraId="5432D70C" w14:textId="77777777" w:rsidR="009A2964" w:rsidRPr="00BB50F2" w:rsidRDefault="009A2964" w:rsidP="00F8293A">
            <w:pPr>
              <w:pStyle w:val="Header"/>
              <w:rPr>
                <w:rFonts w:cs="Arial"/>
              </w:rPr>
            </w:pPr>
            <w:r w:rsidRPr="00BB50F2">
              <w:rPr>
                <w:rFonts w:cs="Arial"/>
              </w:rPr>
              <w:t>Monthly</w:t>
            </w:r>
          </w:p>
        </w:tc>
        <w:tc>
          <w:tcPr>
            <w:tcW w:w="746" w:type="dxa"/>
            <w:tcBorders>
              <w:top w:val="nil"/>
              <w:left w:val="single" w:sz="4" w:space="0" w:color="999999"/>
              <w:bottom w:val="nil"/>
            </w:tcBorders>
          </w:tcPr>
          <w:p w14:paraId="3D70C180" w14:textId="77777777" w:rsidR="009A2964" w:rsidRPr="00BB50F2" w:rsidRDefault="009A2964" w:rsidP="00F8293A">
            <w:pPr>
              <w:pStyle w:val="Header"/>
              <w:rPr>
                <w:rFonts w:cs="Arial"/>
              </w:rPr>
            </w:pPr>
          </w:p>
        </w:tc>
      </w:tr>
      <w:tr w:rsidR="009A2964" w:rsidRPr="00BB50F2" w14:paraId="208D775C" w14:textId="77777777" w:rsidTr="00F8293A">
        <w:trPr>
          <w:cantSplit/>
        </w:trPr>
        <w:tc>
          <w:tcPr>
            <w:tcW w:w="486" w:type="dxa"/>
            <w:tcBorders>
              <w:top w:val="nil"/>
              <w:bottom w:val="nil"/>
              <w:right w:val="single" w:sz="4" w:space="0" w:color="999999"/>
            </w:tcBorders>
          </w:tcPr>
          <w:p w14:paraId="2F258C7B" w14:textId="77777777" w:rsidR="009A2964" w:rsidRPr="00BB50F2" w:rsidRDefault="009A2964" w:rsidP="00F8293A">
            <w:pPr>
              <w:pStyle w:val="Header"/>
              <w:rPr>
                <w:rFonts w:cs="Arial"/>
              </w:rPr>
            </w:pPr>
          </w:p>
        </w:tc>
        <w:tc>
          <w:tcPr>
            <w:tcW w:w="1888" w:type="dxa"/>
            <w:gridSpan w:val="2"/>
            <w:tcBorders>
              <w:top w:val="single" w:sz="4" w:space="0" w:color="999999"/>
              <w:left w:val="single" w:sz="4" w:space="0" w:color="999999"/>
              <w:bottom w:val="single" w:sz="4" w:space="0" w:color="999999"/>
              <w:right w:val="single" w:sz="4" w:space="0" w:color="999999"/>
            </w:tcBorders>
          </w:tcPr>
          <w:p w14:paraId="4E8B1A68" w14:textId="77777777" w:rsidR="009A2964" w:rsidRPr="00BB50F2" w:rsidRDefault="009A2964" w:rsidP="00F8293A">
            <w:pPr>
              <w:pStyle w:val="Header"/>
              <w:rPr>
                <w:rFonts w:cs="Arial"/>
              </w:rPr>
            </w:pPr>
            <w:r w:rsidRPr="00BB50F2">
              <w:rPr>
                <w:rFonts w:cs="Arial"/>
              </w:rPr>
              <w:t>Method</w:t>
            </w:r>
          </w:p>
        </w:tc>
        <w:tc>
          <w:tcPr>
            <w:tcW w:w="6094" w:type="dxa"/>
            <w:gridSpan w:val="3"/>
            <w:tcBorders>
              <w:top w:val="single" w:sz="4" w:space="0" w:color="999999"/>
              <w:left w:val="single" w:sz="4" w:space="0" w:color="999999"/>
              <w:bottom w:val="single" w:sz="4" w:space="0" w:color="999999"/>
              <w:right w:val="single" w:sz="4" w:space="0" w:color="999999"/>
            </w:tcBorders>
          </w:tcPr>
          <w:p w14:paraId="4980EBCF" w14:textId="77777777" w:rsidR="009A2964" w:rsidRPr="00BB50F2" w:rsidRDefault="009A2964" w:rsidP="00F8293A">
            <w:pPr>
              <w:pStyle w:val="Header"/>
              <w:rPr>
                <w:rFonts w:cs="Arial"/>
              </w:rPr>
            </w:pPr>
            <w:r w:rsidRPr="00BB50F2">
              <w:rPr>
                <w:rFonts w:cs="Arial"/>
              </w:rPr>
              <w:t xml:space="preserve">The KPI will be measured </w:t>
            </w:r>
            <w:proofErr w:type="gramStart"/>
            <w:r w:rsidRPr="00BB50F2">
              <w:rPr>
                <w:rFonts w:cs="Arial"/>
              </w:rPr>
              <w:t>through the use of</w:t>
            </w:r>
            <w:proofErr w:type="gramEnd"/>
            <w:r w:rsidRPr="00BB50F2">
              <w:rPr>
                <w:rFonts w:cs="Arial"/>
              </w:rPr>
              <w:t>:</w:t>
            </w:r>
          </w:p>
          <w:p w14:paraId="71E350D8" w14:textId="77777777" w:rsidR="009A2964" w:rsidRPr="00BB50F2" w:rsidRDefault="009A2964" w:rsidP="00F8293A">
            <w:pPr>
              <w:pStyle w:val="Header"/>
              <w:rPr>
                <w:rFonts w:cs="Arial"/>
              </w:rPr>
            </w:pPr>
            <w:r w:rsidRPr="00BB50F2">
              <w:rPr>
                <w:rFonts w:cs="Arial"/>
              </w:rPr>
              <w:t>(Service Desk logs (Incidents).</w:t>
            </w:r>
          </w:p>
        </w:tc>
        <w:tc>
          <w:tcPr>
            <w:tcW w:w="746" w:type="dxa"/>
            <w:tcBorders>
              <w:top w:val="nil"/>
              <w:left w:val="single" w:sz="4" w:space="0" w:color="999999"/>
              <w:bottom w:val="nil"/>
            </w:tcBorders>
          </w:tcPr>
          <w:p w14:paraId="38A156D8" w14:textId="77777777" w:rsidR="009A2964" w:rsidRPr="00BB50F2" w:rsidRDefault="009A2964" w:rsidP="00F8293A">
            <w:pPr>
              <w:pStyle w:val="Header"/>
              <w:rPr>
                <w:rFonts w:cs="Arial"/>
              </w:rPr>
            </w:pPr>
          </w:p>
        </w:tc>
      </w:tr>
      <w:tr w:rsidR="009A2964" w:rsidRPr="00BB50F2" w14:paraId="2D098E5F" w14:textId="77777777" w:rsidTr="00F8293A">
        <w:trPr>
          <w:cantSplit/>
          <w:trHeight w:hRule="exact" w:val="113"/>
        </w:trPr>
        <w:tc>
          <w:tcPr>
            <w:tcW w:w="9214" w:type="dxa"/>
            <w:gridSpan w:val="7"/>
            <w:tcBorders>
              <w:top w:val="nil"/>
            </w:tcBorders>
          </w:tcPr>
          <w:p w14:paraId="6E28C48F" w14:textId="77777777" w:rsidR="009A2964" w:rsidRPr="00BB50F2" w:rsidRDefault="009A2964" w:rsidP="00F8293A">
            <w:pPr>
              <w:pStyle w:val="Header"/>
              <w:rPr>
                <w:rFonts w:cs="Arial"/>
              </w:rPr>
            </w:pPr>
          </w:p>
        </w:tc>
      </w:tr>
      <w:tr w:rsidR="009A2964" w:rsidRPr="00BB50F2" w14:paraId="549A553B" w14:textId="77777777" w:rsidTr="00F8293A">
        <w:trPr>
          <w:cantSplit/>
          <w:trHeight w:hRule="exact" w:val="397"/>
        </w:trPr>
        <w:tc>
          <w:tcPr>
            <w:tcW w:w="9214" w:type="dxa"/>
            <w:gridSpan w:val="7"/>
            <w:vAlign w:val="center"/>
          </w:tcPr>
          <w:p w14:paraId="62A7A60E" w14:textId="77777777" w:rsidR="009A2964" w:rsidRPr="00BB50F2" w:rsidRDefault="009A2964" w:rsidP="00F8293A">
            <w:pPr>
              <w:pStyle w:val="Header"/>
              <w:rPr>
                <w:rFonts w:cs="Arial"/>
              </w:rPr>
            </w:pPr>
            <w:r w:rsidRPr="00BB50F2">
              <w:rPr>
                <w:rFonts w:cs="Arial"/>
              </w:rPr>
              <w:t>Service Credit Levels:</w:t>
            </w:r>
          </w:p>
        </w:tc>
      </w:tr>
      <w:tr w:rsidR="009A2964" w:rsidRPr="00BB50F2" w14:paraId="733D9853" w14:textId="77777777" w:rsidTr="00F8293A">
        <w:trPr>
          <w:cantSplit/>
          <w:trHeight w:hRule="exact" w:val="113"/>
        </w:trPr>
        <w:tc>
          <w:tcPr>
            <w:tcW w:w="9214" w:type="dxa"/>
            <w:gridSpan w:val="7"/>
            <w:tcBorders>
              <w:bottom w:val="nil"/>
            </w:tcBorders>
          </w:tcPr>
          <w:p w14:paraId="3FC492B9" w14:textId="77777777" w:rsidR="009A2964" w:rsidRPr="00BB50F2" w:rsidRDefault="009A2964" w:rsidP="00F8293A">
            <w:pPr>
              <w:pStyle w:val="Header"/>
              <w:rPr>
                <w:rFonts w:cs="Arial"/>
              </w:rPr>
            </w:pPr>
          </w:p>
        </w:tc>
      </w:tr>
      <w:tr w:rsidR="009A2964" w:rsidRPr="00BB50F2" w14:paraId="1402C324" w14:textId="77777777" w:rsidTr="00F8293A">
        <w:trPr>
          <w:cantSplit/>
        </w:trPr>
        <w:tc>
          <w:tcPr>
            <w:tcW w:w="486" w:type="dxa"/>
            <w:tcBorders>
              <w:top w:val="nil"/>
              <w:bottom w:val="nil"/>
              <w:right w:val="single" w:sz="4" w:space="0" w:color="999999"/>
            </w:tcBorders>
          </w:tcPr>
          <w:p w14:paraId="1D098F2E" w14:textId="77777777" w:rsidR="009A2964" w:rsidRPr="00BB50F2" w:rsidRDefault="009A2964" w:rsidP="00F8293A">
            <w:pPr>
              <w:pStyle w:val="Header"/>
              <w:rPr>
                <w:rFonts w:cs="Arial"/>
              </w:rPr>
            </w:pPr>
          </w:p>
        </w:tc>
        <w:tc>
          <w:tcPr>
            <w:tcW w:w="7982" w:type="dxa"/>
            <w:gridSpan w:val="5"/>
            <w:tcBorders>
              <w:top w:val="single" w:sz="4" w:space="0" w:color="999999"/>
              <w:left w:val="single" w:sz="4" w:space="0" w:color="999999"/>
              <w:bottom w:val="single" w:sz="4" w:space="0" w:color="999999"/>
              <w:right w:val="single" w:sz="4" w:space="0" w:color="999999"/>
            </w:tcBorders>
          </w:tcPr>
          <w:p w14:paraId="12C6A843" w14:textId="77777777" w:rsidR="009A2964" w:rsidRPr="00BB50F2" w:rsidRDefault="009A2964" w:rsidP="00F8293A">
            <w:pPr>
              <w:pStyle w:val="Header"/>
              <w:rPr>
                <w:rFonts w:cs="Arial"/>
              </w:rPr>
            </w:pPr>
          </w:p>
        </w:tc>
        <w:tc>
          <w:tcPr>
            <w:tcW w:w="746" w:type="dxa"/>
            <w:tcBorders>
              <w:top w:val="nil"/>
              <w:left w:val="single" w:sz="4" w:space="0" w:color="999999"/>
              <w:bottom w:val="nil"/>
            </w:tcBorders>
          </w:tcPr>
          <w:p w14:paraId="6A31CFEE" w14:textId="77777777" w:rsidR="009A2964" w:rsidRPr="00BB50F2" w:rsidRDefault="009A2964" w:rsidP="00F8293A">
            <w:pPr>
              <w:pStyle w:val="Header"/>
              <w:rPr>
                <w:rFonts w:cs="Arial"/>
              </w:rPr>
            </w:pPr>
          </w:p>
        </w:tc>
      </w:tr>
      <w:tr w:rsidR="009A2964" w:rsidRPr="00BB50F2" w14:paraId="62D5172B" w14:textId="77777777" w:rsidTr="00F8293A">
        <w:trPr>
          <w:cantSplit/>
        </w:trPr>
        <w:tc>
          <w:tcPr>
            <w:tcW w:w="486" w:type="dxa"/>
            <w:tcBorders>
              <w:top w:val="nil"/>
              <w:bottom w:val="nil"/>
              <w:right w:val="single" w:sz="4" w:space="0" w:color="999999"/>
            </w:tcBorders>
          </w:tcPr>
          <w:p w14:paraId="49050236" w14:textId="77777777" w:rsidR="009A2964" w:rsidRPr="00BB50F2" w:rsidRDefault="009A2964" w:rsidP="00F8293A">
            <w:pPr>
              <w:pStyle w:val="Header"/>
              <w:rPr>
                <w:rFonts w:cs="Arial"/>
              </w:rPr>
            </w:pPr>
          </w:p>
        </w:tc>
        <w:tc>
          <w:tcPr>
            <w:tcW w:w="1888" w:type="dxa"/>
            <w:gridSpan w:val="2"/>
            <w:tcBorders>
              <w:top w:val="single" w:sz="4" w:space="0" w:color="999999"/>
              <w:left w:val="single" w:sz="4" w:space="0" w:color="999999"/>
              <w:bottom w:val="single" w:sz="4" w:space="0" w:color="999999"/>
              <w:right w:val="single" w:sz="4" w:space="0" w:color="999999"/>
            </w:tcBorders>
          </w:tcPr>
          <w:p w14:paraId="6032AC0E" w14:textId="77777777" w:rsidR="009A2964" w:rsidRPr="00BB50F2" w:rsidRDefault="009A2964" w:rsidP="00F8293A">
            <w:pPr>
              <w:pStyle w:val="Header"/>
              <w:rPr>
                <w:rFonts w:cs="Arial"/>
              </w:rPr>
            </w:pPr>
            <w:r w:rsidRPr="00BB50F2">
              <w:rPr>
                <w:rFonts w:cs="Arial"/>
              </w:rPr>
              <w:t>Actual Service Usage</w:t>
            </w:r>
          </w:p>
        </w:tc>
        <w:tc>
          <w:tcPr>
            <w:tcW w:w="4675" w:type="dxa"/>
            <w:gridSpan w:val="2"/>
            <w:vMerge w:val="restart"/>
            <w:tcBorders>
              <w:top w:val="single" w:sz="4" w:space="0" w:color="999999"/>
              <w:left w:val="single" w:sz="4" w:space="0" w:color="999999"/>
              <w:right w:val="single" w:sz="4" w:space="0" w:color="999999"/>
            </w:tcBorders>
            <w:vAlign w:val="bottom"/>
          </w:tcPr>
          <w:p w14:paraId="12FF7825" w14:textId="77777777" w:rsidR="009A2964" w:rsidRPr="00BB50F2" w:rsidRDefault="009A2964" w:rsidP="00F8293A">
            <w:pPr>
              <w:pStyle w:val="Header"/>
              <w:rPr>
                <w:rFonts w:cs="Arial"/>
              </w:rPr>
            </w:pPr>
            <w:r w:rsidRPr="00BB50F2">
              <w:rPr>
                <w:rFonts w:cs="Arial"/>
              </w:rPr>
              <w:t>Calculation</w:t>
            </w:r>
          </w:p>
        </w:tc>
        <w:tc>
          <w:tcPr>
            <w:tcW w:w="1419" w:type="dxa"/>
            <w:vMerge w:val="restart"/>
            <w:tcBorders>
              <w:top w:val="single" w:sz="4" w:space="0" w:color="999999"/>
              <w:left w:val="single" w:sz="4" w:space="0" w:color="999999"/>
              <w:right w:val="single" w:sz="4" w:space="0" w:color="999999"/>
            </w:tcBorders>
            <w:vAlign w:val="bottom"/>
          </w:tcPr>
          <w:p w14:paraId="6DB0DBDC" w14:textId="77777777" w:rsidR="009A2964" w:rsidRPr="00BB50F2" w:rsidRDefault="009A2964" w:rsidP="00F8293A">
            <w:pPr>
              <w:pStyle w:val="Header"/>
              <w:rPr>
                <w:rFonts w:cs="Arial"/>
              </w:rPr>
            </w:pPr>
            <w:r w:rsidRPr="00BB50F2">
              <w:rPr>
                <w:rFonts w:cs="Arial"/>
              </w:rPr>
              <w:t>Notes</w:t>
            </w:r>
          </w:p>
        </w:tc>
        <w:tc>
          <w:tcPr>
            <w:tcW w:w="746" w:type="dxa"/>
            <w:tcBorders>
              <w:top w:val="nil"/>
              <w:left w:val="single" w:sz="4" w:space="0" w:color="999999"/>
              <w:bottom w:val="nil"/>
            </w:tcBorders>
          </w:tcPr>
          <w:p w14:paraId="34EF7E82" w14:textId="77777777" w:rsidR="009A2964" w:rsidRPr="00BB50F2" w:rsidRDefault="009A2964" w:rsidP="00F8293A">
            <w:pPr>
              <w:pStyle w:val="Header"/>
              <w:rPr>
                <w:rFonts w:cs="Arial"/>
              </w:rPr>
            </w:pPr>
          </w:p>
        </w:tc>
      </w:tr>
      <w:tr w:rsidR="009A2964" w:rsidRPr="00BB50F2" w14:paraId="3B1684CD" w14:textId="77777777" w:rsidTr="00F8293A">
        <w:trPr>
          <w:cantSplit/>
        </w:trPr>
        <w:tc>
          <w:tcPr>
            <w:tcW w:w="486" w:type="dxa"/>
            <w:tcBorders>
              <w:top w:val="nil"/>
              <w:bottom w:val="nil"/>
              <w:right w:val="single" w:sz="4" w:space="0" w:color="999999"/>
            </w:tcBorders>
          </w:tcPr>
          <w:p w14:paraId="23E6B393" w14:textId="77777777" w:rsidR="009A2964" w:rsidRPr="00BB50F2" w:rsidRDefault="009A2964" w:rsidP="00F8293A">
            <w:pPr>
              <w:pStyle w:val="Header"/>
              <w:rPr>
                <w:rFonts w:cs="Arial"/>
              </w:rPr>
            </w:pPr>
          </w:p>
        </w:tc>
        <w:tc>
          <w:tcPr>
            <w:tcW w:w="947" w:type="dxa"/>
            <w:tcBorders>
              <w:top w:val="single" w:sz="4" w:space="0" w:color="999999"/>
              <w:left w:val="single" w:sz="4" w:space="0" w:color="999999"/>
              <w:bottom w:val="single" w:sz="4" w:space="0" w:color="999999"/>
              <w:right w:val="single" w:sz="4" w:space="0" w:color="999999"/>
            </w:tcBorders>
          </w:tcPr>
          <w:p w14:paraId="6483D7E8" w14:textId="77777777" w:rsidR="009A2964" w:rsidRPr="00BB50F2" w:rsidRDefault="009A2964" w:rsidP="00F8293A">
            <w:pPr>
              <w:pStyle w:val="Header"/>
              <w:rPr>
                <w:rFonts w:cs="Arial"/>
              </w:rPr>
            </w:pPr>
            <w:r w:rsidRPr="00BB50F2">
              <w:rPr>
                <w:rFonts w:cs="Arial"/>
              </w:rPr>
              <w:t>Lower</w:t>
            </w:r>
          </w:p>
        </w:tc>
        <w:tc>
          <w:tcPr>
            <w:tcW w:w="941" w:type="dxa"/>
            <w:tcBorders>
              <w:top w:val="single" w:sz="4" w:space="0" w:color="999999"/>
              <w:left w:val="single" w:sz="4" w:space="0" w:color="999999"/>
              <w:bottom w:val="single" w:sz="4" w:space="0" w:color="999999"/>
              <w:right w:val="single" w:sz="4" w:space="0" w:color="999999"/>
            </w:tcBorders>
          </w:tcPr>
          <w:p w14:paraId="30FEC064" w14:textId="77777777" w:rsidR="009A2964" w:rsidRPr="00BB50F2" w:rsidRDefault="009A2964" w:rsidP="00F8293A">
            <w:pPr>
              <w:pStyle w:val="Header"/>
              <w:rPr>
                <w:rFonts w:cs="Arial"/>
              </w:rPr>
            </w:pPr>
            <w:r w:rsidRPr="00BB50F2">
              <w:rPr>
                <w:rFonts w:cs="Arial"/>
              </w:rPr>
              <w:t>Upper</w:t>
            </w:r>
          </w:p>
        </w:tc>
        <w:tc>
          <w:tcPr>
            <w:tcW w:w="4675" w:type="dxa"/>
            <w:gridSpan w:val="2"/>
            <w:vMerge/>
            <w:tcBorders>
              <w:left w:val="single" w:sz="4" w:space="0" w:color="999999"/>
              <w:bottom w:val="single" w:sz="4" w:space="0" w:color="999999"/>
              <w:right w:val="single" w:sz="4" w:space="0" w:color="999999"/>
            </w:tcBorders>
          </w:tcPr>
          <w:p w14:paraId="38277F64" w14:textId="77777777" w:rsidR="009A2964" w:rsidRPr="00BB50F2" w:rsidRDefault="009A2964" w:rsidP="00F8293A">
            <w:pPr>
              <w:pStyle w:val="Header"/>
              <w:rPr>
                <w:rFonts w:cs="Arial"/>
              </w:rPr>
            </w:pPr>
          </w:p>
        </w:tc>
        <w:tc>
          <w:tcPr>
            <w:tcW w:w="1419" w:type="dxa"/>
            <w:vMerge/>
            <w:tcBorders>
              <w:left w:val="single" w:sz="4" w:space="0" w:color="999999"/>
              <w:bottom w:val="single" w:sz="4" w:space="0" w:color="999999"/>
              <w:right w:val="single" w:sz="4" w:space="0" w:color="999999"/>
            </w:tcBorders>
          </w:tcPr>
          <w:p w14:paraId="5E4EE89B" w14:textId="77777777" w:rsidR="009A2964" w:rsidRPr="00BB50F2" w:rsidRDefault="009A2964" w:rsidP="00F8293A">
            <w:pPr>
              <w:pStyle w:val="Header"/>
              <w:rPr>
                <w:rFonts w:cs="Arial"/>
              </w:rPr>
            </w:pPr>
          </w:p>
        </w:tc>
        <w:tc>
          <w:tcPr>
            <w:tcW w:w="746" w:type="dxa"/>
            <w:tcBorders>
              <w:top w:val="nil"/>
              <w:left w:val="single" w:sz="4" w:space="0" w:color="999999"/>
              <w:bottom w:val="nil"/>
            </w:tcBorders>
          </w:tcPr>
          <w:p w14:paraId="143E74E0" w14:textId="77777777" w:rsidR="009A2964" w:rsidRPr="00BB50F2" w:rsidRDefault="009A2964" w:rsidP="00F8293A">
            <w:pPr>
              <w:pStyle w:val="Header"/>
              <w:rPr>
                <w:rFonts w:cs="Arial"/>
              </w:rPr>
            </w:pPr>
          </w:p>
        </w:tc>
      </w:tr>
      <w:tr w:rsidR="009A2964" w:rsidRPr="00BB50F2" w14:paraId="438BD2B4" w14:textId="77777777" w:rsidTr="00F8293A">
        <w:trPr>
          <w:cantSplit/>
        </w:trPr>
        <w:tc>
          <w:tcPr>
            <w:tcW w:w="486" w:type="dxa"/>
            <w:tcBorders>
              <w:top w:val="nil"/>
              <w:bottom w:val="nil"/>
              <w:right w:val="single" w:sz="4" w:space="0" w:color="999999"/>
            </w:tcBorders>
          </w:tcPr>
          <w:p w14:paraId="69F174A0" w14:textId="77777777" w:rsidR="009A2964" w:rsidRPr="00BB50F2" w:rsidRDefault="009A2964" w:rsidP="00F8293A">
            <w:pPr>
              <w:pStyle w:val="Header"/>
              <w:rPr>
                <w:rFonts w:cs="Arial"/>
              </w:rPr>
            </w:pPr>
          </w:p>
        </w:tc>
        <w:tc>
          <w:tcPr>
            <w:tcW w:w="947" w:type="dxa"/>
            <w:tcBorders>
              <w:top w:val="single" w:sz="4" w:space="0" w:color="999999"/>
              <w:left w:val="single" w:sz="4" w:space="0" w:color="999999"/>
              <w:bottom w:val="single" w:sz="4" w:space="0" w:color="999999"/>
              <w:right w:val="single" w:sz="4" w:space="0" w:color="999999"/>
            </w:tcBorders>
            <w:vAlign w:val="center"/>
          </w:tcPr>
          <w:p w14:paraId="6F141B41" w14:textId="77777777" w:rsidR="009A2964" w:rsidRPr="00BB50F2" w:rsidRDefault="009A2964" w:rsidP="00F8293A">
            <w:pPr>
              <w:pStyle w:val="Header"/>
              <w:rPr>
                <w:rFonts w:cs="Arial"/>
              </w:rPr>
            </w:pPr>
          </w:p>
        </w:tc>
        <w:tc>
          <w:tcPr>
            <w:tcW w:w="941" w:type="dxa"/>
            <w:tcBorders>
              <w:top w:val="single" w:sz="4" w:space="0" w:color="999999"/>
              <w:left w:val="single" w:sz="4" w:space="0" w:color="999999"/>
              <w:bottom w:val="single" w:sz="4" w:space="0" w:color="999999"/>
              <w:right w:val="single" w:sz="4" w:space="0" w:color="999999"/>
            </w:tcBorders>
            <w:vAlign w:val="center"/>
          </w:tcPr>
          <w:p w14:paraId="7166737D" w14:textId="77777777" w:rsidR="009A2964" w:rsidRPr="00BB50F2" w:rsidRDefault="009A2964" w:rsidP="00F8293A">
            <w:pPr>
              <w:pStyle w:val="Header"/>
              <w:rPr>
                <w:rFonts w:cs="Arial"/>
              </w:rPr>
            </w:pPr>
          </w:p>
        </w:tc>
        <w:tc>
          <w:tcPr>
            <w:tcW w:w="4675" w:type="dxa"/>
            <w:gridSpan w:val="2"/>
            <w:tcBorders>
              <w:top w:val="single" w:sz="4" w:space="0" w:color="999999"/>
              <w:left w:val="single" w:sz="4" w:space="0" w:color="999999"/>
              <w:bottom w:val="single" w:sz="4" w:space="0" w:color="999999"/>
              <w:right w:val="single" w:sz="4" w:space="0" w:color="999999"/>
            </w:tcBorders>
            <w:vAlign w:val="center"/>
          </w:tcPr>
          <w:p w14:paraId="02696B64" w14:textId="77777777" w:rsidR="009A2964" w:rsidRPr="00BB50F2" w:rsidRDefault="009A2964" w:rsidP="00F8293A">
            <w:pPr>
              <w:pStyle w:val="Header"/>
              <w:rPr>
                <w:rFonts w:cs="Arial"/>
              </w:rPr>
            </w:pPr>
          </w:p>
        </w:tc>
        <w:tc>
          <w:tcPr>
            <w:tcW w:w="1419" w:type="dxa"/>
            <w:tcBorders>
              <w:top w:val="single" w:sz="4" w:space="0" w:color="999999"/>
              <w:left w:val="single" w:sz="4" w:space="0" w:color="999999"/>
              <w:bottom w:val="single" w:sz="4" w:space="0" w:color="999999"/>
              <w:right w:val="single" w:sz="4" w:space="0" w:color="999999"/>
            </w:tcBorders>
            <w:vAlign w:val="center"/>
          </w:tcPr>
          <w:p w14:paraId="21497AE0" w14:textId="77777777" w:rsidR="009A2964" w:rsidRPr="00BB50F2" w:rsidRDefault="009A2964" w:rsidP="00F8293A">
            <w:pPr>
              <w:pStyle w:val="Header"/>
              <w:rPr>
                <w:rFonts w:cs="Arial"/>
              </w:rPr>
            </w:pPr>
          </w:p>
        </w:tc>
        <w:tc>
          <w:tcPr>
            <w:tcW w:w="746" w:type="dxa"/>
            <w:tcBorders>
              <w:top w:val="nil"/>
              <w:left w:val="single" w:sz="4" w:space="0" w:color="999999"/>
              <w:bottom w:val="nil"/>
            </w:tcBorders>
          </w:tcPr>
          <w:p w14:paraId="1AFBA8EA" w14:textId="77777777" w:rsidR="009A2964" w:rsidRPr="00BB50F2" w:rsidRDefault="009A2964" w:rsidP="00F8293A">
            <w:pPr>
              <w:pStyle w:val="ssPara5"/>
              <w:spacing w:after="120" w:line="240" w:lineRule="auto"/>
              <w:rPr>
                <w:sz w:val="20"/>
                <w:szCs w:val="20"/>
              </w:rPr>
            </w:pPr>
          </w:p>
        </w:tc>
      </w:tr>
      <w:tr w:rsidR="009A2964" w:rsidRPr="00BB50F2" w14:paraId="78974831" w14:textId="77777777" w:rsidTr="00F8293A">
        <w:trPr>
          <w:cantSplit/>
        </w:trPr>
        <w:tc>
          <w:tcPr>
            <w:tcW w:w="486" w:type="dxa"/>
            <w:tcBorders>
              <w:top w:val="nil"/>
              <w:bottom w:val="nil"/>
              <w:right w:val="single" w:sz="4" w:space="0" w:color="999999"/>
            </w:tcBorders>
          </w:tcPr>
          <w:p w14:paraId="661F17FC" w14:textId="77777777" w:rsidR="009A2964" w:rsidRPr="00BB50F2" w:rsidRDefault="009A2964" w:rsidP="00F8293A">
            <w:pPr>
              <w:pStyle w:val="ssPara5"/>
              <w:spacing w:after="120" w:line="240" w:lineRule="auto"/>
              <w:rPr>
                <w:sz w:val="20"/>
                <w:szCs w:val="20"/>
              </w:rPr>
            </w:pPr>
          </w:p>
        </w:tc>
        <w:tc>
          <w:tcPr>
            <w:tcW w:w="947" w:type="dxa"/>
            <w:tcBorders>
              <w:top w:val="single" w:sz="4" w:space="0" w:color="999999"/>
              <w:left w:val="single" w:sz="4" w:space="0" w:color="999999"/>
              <w:bottom w:val="single" w:sz="4" w:space="0" w:color="999999"/>
              <w:right w:val="single" w:sz="4" w:space="0" w:color="999999"/>
            </w:tcBorders>
            <w:vAlign w:val="center"/>
          </w:tcPr>
          <w:p w14:paraId="51E7FB28" w14:textId="77777777" w:rsidR="009A2964" w:rsidRPr="00BB50F2" w:rsidRDefault="009A2964" w:rsidP="00F8293A">
            <w:pPr>
              <w:pStyle w:val="Header"/>
              <w:rPr>
                <w:rFonts w:cs="Arial"/>
              </w:rPr>
            </w:pPr>
            <w:r w:rsidRPr="00BB50F2">
              <w:rPr>
                <w:rFonts w:cs="Arial"/>
              </w:rPr>
              <w:t>xxx</w:t>
            </w:r>
          </w:p>
        </w:tc>
        <w:tc>
          <w:tcPr>
            <w:tcW w:w="941" w:type="dxa"/>
            <w:tcBorders>
              <w:top w:val="single" w:sz="4" w:space="0" w:color="999999"/>
              <w:left w:val="single" w:sz="4" w:space="0" w:color="999999"/>
              <w:bottom w:val="single" w:sz="4" w:space="0" w:color="999999"/>
              <w:right w:val="single" w:sz="4" w:space="0" w:color="999999"/>
            </w:tcBorders>
            <w:vAlign w:val="center"/>
          </w:tcPr>
          <w:p w14:paraId="4B9B1ADA" w14:textId="77777777" w:rsidR="009A2964" w:rsidRPr="00BB50F2" w:rsidRDefault="009A2964" w:rsidP="00F8293A">
            <w:pPr>
              <w:pStyle w:val="Header"/>
              <w:rPr>
                <w:rFonts w:cs="Arial"/>
              </w:rPr>
            </w:pPr>
            <w:r w:rsidRPr="00BB50F2">
              <w:rPr>
                <w:rFonts w:cs="Arial"/>
              </w:rPr>
              <w:t>1</w:t>
            </w:r>
          </w:p>
        </w:tc>
        <w:tc>
          <w:tcPr>
            <w:tcW w:w="4675" w:type="dxa"/>
            <w:gridSpan w:val="2"/>
            <w:tcBorders>
              <w:top w:val="single" w:sz="4" w:space="0" w:color="999999"/>
              <w:left w:val="single" w:sz="4" w:space="0" w:color="999999"/>
              <w:bottom w:val="single" w:sz="4" w:space="0" w:color="999999"/>
              <w:right w:val="single" w:sz="4" w:space="0" w:color="999999"/>
            </w:tcBorders>
            <w:vAlign w:val="center"/>
          </w:tcPr>
          <w:p w14:paraId="1861F790" w14:textId="77777777" w:rsidR="009A2964" w:rsidRPr="00BB50F2" w:rsidRDefault="009A2964" w:rsidP="00F8293A">
            <w:pPr>
              <w:pStyle w:val="Header"/>
              <w:rPr>
                <w:rFonts w:cs="Arial"/>
              </w:rPr>
            </w:pPr>
            <w:r w:rsidRPr="00BB50F2">
              <w:rPr>
                <w:rFonts w:cs="Arial"/>
              </w:rPr>
              <w:t>PRTGTR</w:t>
            </w:r>
          </w:p>
        </w:tc>
        <w:tc>
          <w:tcPr>
            <w:tcW w:w="1419" w:type="dxa"/>
            <w:tcBorders>
              <w:top w:val="single" w:sz="4" w:space="0" w:color="999999"/>
              <w:left w:val="single" w:sz="4" w:space="0" w:color="999999"/>
              <w:bottom w:val="single" w:sz="4" w:space="0" w:color="999999"/>
              <w:right w:val="single" w:sz="4" w:space="0" w:color="999999"/>
            </w:tcBorders>
            <w:vAlign w:val="center"/>
          </w:tcPr>
          <w:p w14:paraId="0163050A" w14:textId="77777777" w:rsidR="009A2964" w:rsidRPr="00BB50F2" w:rsidRDefault="009A2964" w:rsidP="00F8293A">
            <w:pPr>
              <w:pStyle w:val="Header"/>
              <w:rPr>
                <w:rFonts w:cs="Arial"/>
              </w:rPr>
            </w:pPr>
            <w:r w:rsidRPr="00BB50F2">
              <w:rPr>
                <w:rFonts w:cs="Arial"/>
              </w:rPr>
              <w:t>Service target</w:t>
            </w:r>
          </w:p>
        </w:tc>
        <w:tc>
          <w:tcPr>
            <w:tcW w:w="746" w:type="dxa"/>
            <w:tcBorders>
              <w:top w:val="nil"/>
              <w:left w:val="single" w:sz="4" w:space="0" w:color="999999"/>
              <w:bottom w:val="nil"/>
            </w:tcBorders>
          </w:tcPr>
          <w:p w14:paraId="4EC50D2D" w14:textId="77777777" w:rsidR="009A2964" w:rsidRPr="00BB50F2" w:rsidRDefault="009A2964" w:rsidP="00F8293A">
            <w:pPr>
              <w:pStyle w:val="ssPara5"/>
              <w:spacing w:after="120" w:line="240" w:lineRule="auto"/>
              <w:rPr>
                <w:sz w:val="20"/>
                <w:szCs w:val="20"/>
              </w:rPr>
            </w:pPr>
          </w:p>
        </w:tc>
      </w:tr>
      <w:tr w:rsidR="009A2964" w:rsidRPr="00BB50F2" w14:paraId="4F24FBDF" w14:textId="77777777" w:rsidTr="00F8293A">
        <w:trPr>
          <w:cantSplit/>
        </w:trPr>
        <w:tc>
          <w:tcPr>
            <w:tcW w:w="486" w:type="dxa"/>
            <w:tcBorders>
              <w:top w:val="nil"/>
              <w:bottom w:val="nil"/>
              <w:right w:val="single" w:sz="4" w:space="0" w:color="999999"/>
            </w:tcBorders>
          </w:tcPr>
          <w:p w14:paraId="5EB98B17" w14:textId="77777777" w:rsidR="009A2964" w:rsidRPr="00BB50F2" w:rsidRDefault="009A2964" w:rsidP="00F8293A">
            <w:pPr>
              <w:pStyle w:val="ssPara5"/>
              <w:spacing w:after="120" w:line="240" w:lineRule="auto"/>
              <w:rPr>
                <w:sz w:val="20"/>
                <w:szCs w:val="20"/>
              </w:rPr>
            </w:pPr>
          </w:p>
        </w:tc>
        <w:tc>
          <w:tcPr>
            <w:tcW w:w="947" w:type="dxa"/>
            <w:tcBorders>
              <w:top w:val="single" w:sz="4" w:space="0" w:color="999999"/>
              <w:left w:val="single" w:sz="4" w:space="0" w:color="999999"/>
              <w:bottom w:val="single" w:sz="4" w:space="0" w:color="999999"/>
              <w:right w:val="single" w:sz="4" w:space="0" w:color="999999"/>
            </w:tcBorders>
            <w:vAlign w:val="center"/>
          </w:tcPr>
          <w:p w14:paraId="0F19E4F9" w14:textId="77777777" w:rsidR="009A2964" w:rsidRPr="00BB50F2" w:rsidRDefault="009A2964" w:rsidP="00F8293A">
            <w:pPr>
              <w:pStyle w:val="Header"/>
              <w:rPr>
                <w:rFonts w:cs="Arial"/>
              </w:rPr>
            </w:pPr>
            <w:proofErr w:type="spellStart"/>
            <w:r w:rsidRPr="00BB50F2">
              <w:rPr>
                <w:rFonts w:cs="Arial"/>
              </w:rPr>
              <w:t>yyy</w:t>
            </w:r>
            <w:proofErr w:type="spellEnd"/>
          </w:p>
        </w:tc>
        <w:tc>
          <w:tcPr>
            <w:tcW w:w="941" w:type="dxa"/>
            <w:tcBorders>
              <w:top w:val="single" w:sz="4" w:space="0" w:color="999999"/>
              <w:left w:val="single" w:sz="4" w:space="0" w:color="999999"/>
              <w:bottom w:val="single" w:sz="4" w:space="0" w:color="999999"/>
              <w:right w:val="single" w:sz="4" w:space="0" w:color="999999"/>
            </w:tcBorders>
            <w:vAlign w:val="center"/>
          </w:tcPr>
          <w:p w14:paraId="6F71E258" w14:textId="77777777" w:rsidR="009A2964" w:rsidRPr="00BB50F2" w:rsidRDefault="009A2964" w:rsidP="00F8293A">
            <w:pPr>
              <w:pStyle w:val="Header"/>
              <w:rPr>
                <w:rFonts w:cs="Arial"/>
              </w:rPr>
            </w:pPr>
            <w:r w:rsidRPr="00BB50F2">
              <w:rPr>
                <w:rFonts w:cs="Arial"/>
              </w:rPr>
              <w:t>&lt;xxx</w:t>
            </w:r>
          </w:p>
        </w:tc>
        <w:tc>
          <w:tcPr>
            <w:tcW w:w="4675" w:type="dxa"/>
            <w:gridSpan w:val="2"/>
            <w:tcBorders>
              <w:top w:val="single" w:sz="4" w:space="0" w:color="999999"/>
              <w:left w:val="single" w:sz="4" w:space="0" w:color="999999"/>
              <w:bottom w:val="single" w:sz="4" w:space="0" w:color="999999"/>
              <w:right w:val="single" w:sz="4" w:space="0" w:color="999999"/>
            </w:tcBorders>
            <w:vAlign w:val="center"/>
          </w:tcPr>
          <w:p w14:paraId="7F054B84" w14:textId="77777777" w:rsidR="009A2964" w:rsidRPr="00BB50F2" w:rsidRDefault="009A2964" w:rsidP="00F8293A">
            <w:pPr>
              <w:pStyle w:val="Header"/>
              <w:rPr>
                <w:rFonts w:cs="Arial"/>
              </w:rPr>
            </w:pPr>
            <w:r w:rsidRPr="00BB50F2">
              <w:rPr>
                <w:rFonts w:cs="Arial"/>
              </w:rPr>
              <w:t>PRTGTR</w:t>
            </w:r>
          </w:p>
        </w:tc>
        <w:tc>
          <w:tcPr>
            <w:tcW w:w="1419" w:type="dxa"/>
            <w:tcBorders>
              <w:top w:val="single" w:sz="4" w:space="0" w:color="999999"/>
              <w:left w:val="single" w:sz="4" w:space="0" w:color="999999"/>
              <w:bottom w:val="single" w:sz="4" w:space="0" w:color="999999"/>
              <w:right w:val="single" w:sz="4" w:space="0" w:color="999999"/>
            </w:tcBorders>
            <w:vAlign w:val="center"/>
          </w:tcPr>
          <w:p w14:paraId="092F0968" w14:textId="77777777" w:rsidR="009A2964" w:rsidRPr="00BB50F2" w:rsidRDefault="009A2964" w:rsidP="00F8293A">
            <w:pPr>
              <w:pStyle w:val="Header"/>
              <w:rPr>
                <w:rFonts w:cs="Arial"/>
              </w:rPr>
            </w:pPr>
            <w:r w:rsidRPr="00BB50F2">
              <w:rPr>
                <w:rFonts w:cs="Arial"/>
              </w:rPr>
              <w:t>Service Pass</w:t>
            </w:r>
          </w:p>
        </w:tc>
        <w:tc>
          <w:tcPr>
            <w:tcW w:w="746" w:type="dxa"/>
            <w:tcBorders>
              <w:top w:val="nil"/>
              <w:left w:val="single" w:sz="4" w:space="0" w:color="999999"/>
              <w:bottom w:val="nil"/>
            </w:tcBorders>
          </w:tcPr>
          <w:p w14:paraId="6C889765" w14:textId="77777777" w:rsidR="009A2964" w:rsidRPr="00BB50F2" w:rsidRDefault="009A2964" w:rsidP="00F8293A">
            <w:pPr>
              <w:pStyle w:val="ssPara5"/>
              <w:spacing w:after="120" w:line="240" w:lineRule="auto"/>
              <w:rPr>
                <w:sz w:val="20"/>
                <w:szCs w:val="20"/>
              </w:rPr>
            </w:pPr>
          </w:p>
        </w:tc>
      </w:tr>
      <w:tr w:rsidR="009A2964" w:rsidRPr="00BB50F2" w14:paraId="772B6F44" w14:textId="77777777" w:rsidTr="00F8293A">
        <w:trPr>
          <w:cantSplit/>
        </w:trPr>
        <w:tc>
          <w:tcPr>
            <w:tcW w:w="486" w:type="dxa"/>
            <w:tcBorders>
              <w:top w:val="nil"/>
              <w:bottom w:val="nil"/>
              <w:right w:val="single" w:sz="4" w:space="0" w:color="999999"/>
            </w:tcBorders>
          </w:tcPr>
          <w:p w14:paraId="58DF6F5B" w14:textId="77777777" w:rsidR="009A2964" w:rsidRPr="00BB50F2" w:rsidRDefault="009A2964" w:rsidP="00F8293A">
            <w:pPr>
              <w:pStyle w:val="ssPara5"/>
              <w:spacing w:after="120" w:line="240" w:lineRule="auto"/>
              <w:rPr>
                <w:sz w:val="20"/>
                <w:szCs w:val="20"/>
              </w:rPr>
            </w:pPr>
          </w:p>
        </w:tc>
        <w:tc>
          <w:tcPr>
            <w:tcW w:w="947" w:type="dxa"/>
            <w:tcBorders>
              <w:top w:val="single" w:sz="4" w:space="0" w:color="999999"/>
              <w:left w:val="single" w:sz="4" w:space="0" w:color="999999"/>
              <w:bottom w:val="single" w:sz="4" w:space="0" w:color="999999"/>
              <w:right w:val="single" w:sz="4" w:space="0" w:color="999999"/>
            </w:tcBorders>
            <w:vAlign w:val="center"/>
          </w:tcPr>
          <w:p w14:paraId="0EBFCBA1" w14:textId="77777777" w:rsidR="009A2964" w:rsidRPr="00BB50F2" w:rsidRDefault="009A2964" w:rsidP="00F8293A">
            <w:pPr>
              <w:pStyle w:val="Header"/>
              <w:rPr>
                <w:rFonts w:cs="Arial"/>
              </w:rPr>
            </w:pPr>
            <w:r w:rsidRPr="00BB50F2">
              <w:rPr>
                <w:rFonts w:cs="Arial"/>
              </w:rPr>
              <w:t>0</w:t>
            </w:r>
          </w:p>
        </w:tc>
        <w:tc>
          <w:tcPr>
            <w:tcW w:w="941" w:type="dxa"/>
            <w:tcBorders>
              <w:top w:val="single" w:sz="4" w:space="0" w:color="999999"/>
              <w:left w:val="single" w:sz="4" w:space="0" w:color="999999"/>
              <w:bottom w:val="single" w:sz="4" w:space="0" w:color="999999"/>
              <w:right w:val="single" w:sz="4" w:space="0" w:color="999999"/>
            </w:tcBorders>
            <w:vAlign w:val="center"/>
          </w:tcPr>
          <w:p w14:paraId="6EF3A398" w14:textId="77777777" w:rsidR="009A2964" w:rsidRPr="00BB50F2" w:rsidRDefault="009A2964" w:rsidP="00F8293A">
            <w:pPr>
              <w:pStyle w:val="Header"/>
              <w:rPr>
                <w:rFonts w:cs="Arial"/>
              </w:rPr>
            </w:pPr>
            <w:r w:rsidRPr="00BB50F2">
              <w:rPr>
                <w:rFonts w:cs="Arial"/>
              </w:rPr>
              <w:t>&lt;</w:t>
            </w:r>
            <w:proofErr w:type="spellStart"/>
            <w:r w:rsidRPr="00BB50F2">
              <w:rPr>
                <w:rFonts w:cs="Arial"/>
              </w:rPr>
              <w:t>yyy</w:t>
            </w:r>
            <w:proofErr w:type="spellEnd"/>
          </w:p>
        </w:tc>
        <w:tc>
          <w:tcPr>
            <w:tcW w:w="4675" w:type="dxa"/>
            <w:gridSpan w:val="2"/>
            <w:tcBorders>
              <w:top w:val="single" w:sz="4" w:space="0" w:color="999999"/>
              <w:left w:val="single" w:sz="4" w:space="0" w:color="999999"/>
              <w:bottom w:val="single" w:sz="4" w:space="0" w:color="999999"/>
              <w:right w:val="single" w:sz="4" w:space="0" w:color="999999"/>
            </w:tcBorders>
            <w:vAlign w:val="center"/>
          </w:tcPr>
          <w:p w14:paraId="13D802B2" w14:textId="60CC5440" w:rsidR="009A2964" w:rsidRPr="00BB50F2" w:rsidRDefault="009A2964" w:rsidP="00F8293A">
            <w:pPr>
              <w:pStyle w:val="Header"/>
              <w:rPr>
                <w:rFonts w:cs="Arial"/>
              </w:rPr>
            </w:pPr>
            <w:r w:rsidRPr="00BB50F2">
              <w:rPr>
                <w:rFonts w:cs="Arial"/>
              </w:rPr>
              <w:t xml:space="preserve">PRTGTR or (MAXIRO &gt; 10 * ARTGT) </w:t>
            </w:r>
          </w:p>
        </w:tc>
        <w:tc>
          <w:tcPr>
            <w:tcW w:w="1419" w:type="dxa"/>
            <w:tcBorders>
              <w:top w:val="single" w:sz="4" w:space="0" w:color="999999"/>
              <w:left w:val="single" w:sz="4" w:space="0" w:color="999999"/>
              <w:bottom w:val="single" w:sz="4" w:space="0" w:color="999999"/>
              <w:right w:val="single" w:sz="4" w:space="0" w:color="999999"/>
            </w:tcBorders>
            <w:vAlign w:val="center"/>
          </w:tcPr>
          <w:p w14:paraId="60EC1F88" w14:textId="77777777" w:rsidR="009A2964" w:rsidRPr="00BB50F2" w:rsidRDefault="009A2964" w:rsidP="00F8293A">
            <w:pPr>
              <w:pStyle w:val="Header"/>
              <w:rPr>
                <w:rFonts w:cs="Arial"/>
              </w:rPr>
            </w:pPr>
            <w:r w:rsidRPr="00BB50F2">
              <w:rPr>
                <w:rFonts w:cs="Arial"/>
              </w:rPr>
              <w:t>Service Failure</w:t>
            </w:r>
          </w:p>
        </w:tc>
        <w:tc>
          <w:tcPr>
            <w:tcW w:w="746" w:type="dxa"/>
            <w:tcBorders>
              <w:top w:val="nil"/>
              <w:left w:val="single" w:sz="4" w:space="0" w:color="999999"/>
              <w:bottom w:val="nil"/>
            </w:tcBorders>
          </w:tcPr>
          <w:p w14:paraId="5D829F70" w14:textId="77777777" w:rsidR="009A2964" w:rsidRPr="00BB50F2" w:rsidRDefault="009A2964" w:rsidP="00F8293A">
            <w:pPr>
              <w:pStyle w:val="Header"/>
              <w:rPr>
                <w:rFonts w:cs="Arial"/>
              </w:rPr>
            </w:pPr>
          </w:p>
        </w:tc>
      </w:tr>
      <w:tr w:rsidR="009A2964" w:rsidRPr="00BB50F2" w14:paraId="5356B4A8" w14:textId="77777777" w:rsidTr="00F8293A">
        <w:trPr>
          <w:cantSplit/>
          <w:trHeight w:hRule="exact" w:val="113"/>
        </w:trPr>
        <w:tc>
          <w:tcPr>
            <w:tcW w:w="9214" w:type="dxa"/>
            <w:gridSpan w:val="7"/>
            <w:tcBorders>
              <w:top w:val="nil"/>
              <w:bottom w:val="nil"/>
            </w:tcBorders>
          </w:tcPr>
          <w:p w14:paraId="58586CE7" w14:textId="77777777" w:rsidR="009A2964" w:rsidRPr="00BB50F2" w:rsidRDefault="009A2964" w:rsidP="00F8293A">
            <w:pPr>
              <w:pStyle w:val="Header"/>
              <w:rPr>
                <w:rFonts w:cs="Arial"/>
              </w:rPr>
            </w:pPr>
          </w:p>
        </w:tc>
      </w:tr>
      <w:tr w:rsidR="009A2964" w:rsidRPr="00BB50F2" w14:paraId="5AA8E0E1" w14:textId="77777777" w:rsidTr="00F8293A">
        <w:trPr>
          <w:cantSplit/>
          <w:trHeight w:hRule="exact" w:val="113"/>
        </w:trPr>
        <w:tc>
          <w:tcPr>
            <w:tcW w:w="9214" w:type="dxa"/>
            <w:gridSpan w:val="7"/>
            <w:tcBorders>
              <w:top w:val="nil"/>
            </w:tcBorders>
          </w:tcPr>
          <w:p w14:paraId="405D6999" w14:textId="77777777" w:rsidR="009A2964" w:rsidRPr="00BB50F2" w:rsidRDefault="009A2964" w:rsidP="00F8293A">
            <w:pPr>
              <w:pStyle w:val="Header"/>
              <w:rPr>
                <w:rFonts w:cs="Arial"/>
              </w:rPr>
            </w:pPr>
          </w:p>
        </w:tc>
      </w:tr>
      <w:tr w:rsidR="009A2964" w:rsidRPr="00BB50F2" w14:paraId="653A3682" w14:textId="77777777" w:rsidTr="00F8293A">
        <w:trPr>
          <w:cantSplit/>
          <w:trHeight w:hRule="exact" w:val="397"/>
        </w:trPr>
        <w:tc>
          <w:tcPr>
            <w:tcW w:w="9214" w:type="dxa"/>
            <w:gridSpan w:val="7"/>
            <w:vAlign w:val="center"/>
          </w:tcPr>
          <w:p w14:paraId="1BC810D3" w14:textId="77777777" w:rsidR="009A2964" w:rsidRPr="00BB50F2" w:rsidRDefault="009A2964" w:rsidP="00F8293A">
            <w:pPr>
              <w:pStyle w:val="Header"/>
              <w:rPr>
                <w:rFonts w:cs="Arial"/>
              </w:rPr>
            </w:pPr>
            <w:r w:rsidRPr="00BB50F2">
              <w:rPr>
                <w:rFonts w:cs="Arial"/>
              </w:rPr>
              <w:t>Notes:</w:t>
            </w:r>
          </w:p>
        </w:tc>
      </w:tr>
      <w:tr w:rsidR="009A2964" w:rsidRPr="00BB50F2" w14:paraId="200A4703" w14:textId="77777777" w:rsidTr="00F8293A">
        <w:trPr>
          <w:cantSplit/>
        </w:trPr>
        <w:tc>
          <w:tcPr>
            <w:tcW w:w="9214" w:type="dxa"/>
            <w:gridSpan w:val="7"/>
          </w:tcPr>
          <w:p w14:paraId="0549FA7D" w14:textId="77777777" w:rsidR="009A2964" w:rsidRPr="00BB50F2" w:rsidRDefault="009A2964" w:rsidP="00F8293A">
            <w:pPr>
              <w:pStyle w:val="Header"/>
              <w:rPr>
                <w:rFonts w:cs="Arial"/>
              </w:rPr>
            </w:pPr>
            <w:proofErr w:type="spellStart"/>
            <w:r w:rsidRPr="00BB50F2">
              <w:rPr>
                <w:rFonts w:cs="Arial"/>
              </w:rPr>
              <w:t>Xxx</w:t>
            </w:r>
            <w:proofErr w:type="spellEnd"/>
            <w:r w:rsidRPr="00BB50F2">
              <w:rPr>
                <w:rFonts w:cs="Arial"/>
              </w:rPr>
              <w:t xml:space="preserve"> – Target as defined in table </w:t>
            </w:r>
            <w:proofErr w:type="gramStart"/>
            <w:r w:rsidRPr="00BB50F2">
              <w:rPr>
                <w:rFonts w:cs="Arial"/>
              </w:rPr>
              <w:t>1</w:t>
            </w:r>
            <w:proofErr w:type="gramEnd"/>
          </w:p>
          <w:p w14:paraId="6941E565" w14:textId="4FAE2B29" w:rsidR="009A2964" w:rsidRPr="00BB50F2" w:rsidRDefault="009A2964" w:rsidP="00822819">
            <w:pPr>
              <w:pStyle w:val="Header"/>
              <w:rPr>
                <w:rFonts w:cs="Arial"/>
              </w:rPr>
            </w:pPr>
            <w:proofErr w:type="spellStart"/>
            <w:r w:rsidRPr="00BB50F2">
              <w:rPr>
                <w:rFonts w:cs="Arial"/>
              </w:rPr>
              <w:t>yyy</w:t>
            </w:r>
            <w:proofErr w:type="spellEnd"/>
            <w:r w:rsidRPr="00BB50F2">
              <w:rPr>
                <w:rFonts w:cs="Arial"/>
              </w:rPr>
              <w:t>- Acceptable as defined in table 1</w:t>
            </w:r>
          </w:p>
        </w:tc>
      </w:tr>
    </w:tbl>
    <w:p w14:paraId="1ADECFC8" w14:textId="77777777" w:rsidR="009A2964" w:rsidRDefault="009A2964">
      <w:pPr>
        <w:jc w:val="left"/>
        <w:rPr>
          <w:rFonts w:cs="Arial"/>
        </w:rPr>
      </w:pPr>
      <w:r>
        <w:rPr>
          <w:rFonts w:cs="Arial"/>
        </w:rPr>
        <w:br w:type="page"/>
      </w:r>
    </w:p>
    <w:tbl>
      <w:tblPr>
        <w:tblW w:w="93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4"/>
        <w:gridCol w:w="948"/>
        <w:gridCol w:w="949"/>
        <w:gridCol w:w="3866"/>
        <w:gridCol w:w="2694"/>
        <w:gridCol w:w="462"/>
      </w:tblGrid>
      <w:tr w:rsidR="009A2964" w:rsidRPr="00BB50F2" w14:paraId="5CEA5A04" w14:textId="77777777" w:rsidTr="00F8293A">
        <w:trPr>
          <w:trHeight w:hRule="exact" w:val="370"/>
        </w:trPr>
        <w:tc>
          <w:tcPr>
            <w:tcW w:w="6237" w:type="dxa"/>
            <w:gridSpan w:val="4"/>
          </w:tcPr>
          <w:p w14:paraId="155B1E89" w14:textId="77777777" w:rsidR="009A2964" w:rsidRPr="00BB50F2" w:rsidRDefault="009A2964" w:rsidP="00F8293A">
            <w:pPr>
              <w:rPr>
                <w:rFonts w:cs="Arial"/>
                <w:b/>
              </w:rPr>
            </w:pPr>
            <w:r w:rsidRPr="00BB50F2">
              <w:rPr>
                <w:rFonts w:cs="Arial"/>
              </w:rPr>
              <w:lastRenderedPageBreak/>
              <w:br w:type="page"/>
            </w:r>
            <w:r w:rsidRPr="00BB50F2">
              <w:rPr>
                <w:rFonts w:cs="Arial"/>
                <w:b/>
              </w:rPr>
              <w:t>Service Catalogue responsiveness 1 (On time delivery)</w:t>
            </w:r>
          </w:p>
        </w:tc>
        <w:tc>
          <w:tcPr>
            <w:tcW w:w="3156" w:type="dxa"/>
            <w:gridSpan w:val="2"/>
            <w:vAlign w:val="center"/>
          </w:tcPr>
          <w:p w14:paraId="5213CE9E" w14:textId="67BAB110" w:rsidR="009A2964" w:rsidRPr="00BB50F2" w:rsidRDefault="009A2964" w:rsidP="00822819">
            <w:pPr>
              <w:pStyle w:val="Heading1"/>
              <w:numPr>
                <w:ilvl w:val="0"/>
                <w:numId w:val="0"/>
              </w:numPr>
              <w:spacing w:after="120"/>
              <w:rPr>
                <w:rFonts w:cs="Arial"/>
              </w:rPr>
            </w:pPr>
            <w:r w:rsidRPr="00BB50F2">
              <w:rPr>
                <w:rFonts w:cs="Arial"/>
              </w:rPr>
              <w:t>R-9</w:t>
            </w:r>
            <w:r>
              <w:rPr>
                <w:rFonts w:cs="Arial"/>
                <w:b w:val="0"/>
              </w:rPr>
              <w:t xml:space="preserve"> </w:t>
            </w:r>
            <w:r w:rsidRPr="00E228BD">
              <w:rPr>
                <w:rFonts w:cs="Arial"/>
              </w:rPr>
              <w:t>Continuous</w:t>
            </w:r>
          </w:p>
        </w:tc>
      </w:tr>
      <w:tr w:rsidR="009A2964" w:rsidRPr="00BB50F2" w14:paraId="0C5D0179" w14:textId="77777777" w:rsidTr="00F8293A">
        <w:trPr>
          <w:cantSplit/>
          <w:trHeight w:hRule="exact" w:val="397"/>
        </w:trPr>
        <w:tc>
          <w:tcPr>
            <w:tcW w:w="9393" w:type="dxa"/>
            <w:gridSpan w:val="6"/>
            <w:vAlign w:val="center"/>
          </w:tcPr>
          <w:p w14:paraId="258C2465" w14:textId="77777777" w:rsidR="009A2964" w:rsidRPr="00BB50F2" w:rsidRDefault="009A2964" w:rsidP="00F8293A">
            <w:pPr>
              <w:rPr>
                <w:rFonts w:cs="Arial"/>
                <w:b/>
              </w:rPr>
            </w:pPr>
            <w:r w:rsidRPr="00BB50F2">
              <w:rPr>
                <w:rFonts w:cs="Arial"/>
                <w:b/>
              </w:rPr>
              <w:t>Definition:</w:t>
            </w:r>
          </w:p>
        </w:tc>
      </w:tr>
      <w:tr w:rsidR="009A2964" w:rsidRPr="00BB50F2" w14:paraId="2849CBA2" w14:textId="77777777" w:rsidTr="00F8293A">
        <w:trPr>
          <w:cantSplit/>
        </w:trPr>
        <w:tc>
          <w:tcPr>
            <w:tcW w:w="9393" w:type="dxa"/>
            <w:gridSpan w:val="6"/>
          </w:tcPr>
          <w:p w14:paraId="670E3D12" w14:textId="77777777" w:rsidR="009A2964" w:rsidRPr="00BB50F2" w:rsidRDefault="009A2964" w:rsidP="00F8293A">
            <w:pPr>
              <w:pStyle w:val="Header"/>
              <w:rPr>
                <w:rFonts w:cs="Arial"/>
              </w:rPr>
            </w:pPr>
            <w:r w:rsidRPr="00BB50F2">
              <w:rPr>
                <w:rFonts w:cs="Arial"/>
              </w:rPr>
              <w:t xml:space="preserve">The measure that describes the Suppliers adherence to delivering Service Catalogue requests to target. </w:t>
            </w:r>
          </w:p>
        </w:tc>
      </w:tr>
      <w:tr w:rsidR="009A2964" w:rsidRPr="00BB50F2" w14:paraId="0AAC6C91" w14:textId="77777777" w:rsidTr="00F8293A">
        <w:trPr>
          <w:cantSplit/>
          <w:trHeight w:hRule="exact" w:val="397"/>
        </w:trPr>
        <w:tc>
          <w:tcPr>
            <w:tcW w:w="9393" w:type="dxa"/>
            <w:gridSpan w:val="6"/>
            <w:vAlign w:val="center"/>
          </w:tcPr>
          <w:p w14:paraId="3215D580" w14:textId="77777777" w:rsidR="009A2964" w:rsidRPr="00BB50F2" w:rsidRDefault="009A2964" w:rsidP="00F8293A">
            <w:pPr>
              <w:pStyle w:val="Header"/>
              <w:rPr>
                <w:rFonts w:cs="Arial"/>
              </w:rPr>
            </w:pPr>
            <w:r w:rsidRPr="00BB50F2">
              <w:rPr>
                <w:rFonts w:cs="Arial"/>
              </w:rPr>
              <w:t>Calculation:</w:t>
            </w:r>
          </w:p>
        </w:tc>
      </w:tr>
      <w:tr w:rsidR="009A2964" w:rsidRPr="00BB50F2" w14:paraId="51B5467B" w14:textId="77777777" w:rsidTr="00F8293A">
        <w:trPr>
          <w:cantSplit/>
        </w:trPr>
        <w:tc>
          <w:tcPr>
            <w:tcW w:w="9393" w:type="dxa"/>
            <w:gridSpan w:val="6"/>
            <w:tcBorders>
              <w:bottom w:val="nil"/>
            </w:tcBorders>
          </w:tcPr>
          <w:p w14:paraId="13CD9AB8" w14:textId="77777777" w:rsidR="009A2964" w:rsidRPr="00BB50F2" w:rsidRDefault="009A2964" w:rsidP="00F8293A">
            <w:pPr>
              <w:pStyle w:val="Header"/>
              <w:rPr>
                <w:rFonts w:cs="Arial"/>
              </w:rPr>
            </w:pPr>
            <w:r w:rsidRPr="00BB50F2">
              <w:rPr>
                <w:rFonts w:cs="Arial"/>
              </w:rPr>
              <w:t>_</w:t>
            </w:r>
          </w:p>
        </w:tc>
      </w:tr>
      <w:tr w:rsidR="009A2964" w:rsidRPr="00BB50F2" w14:paraId="24B8B63D" w14:textId="77777777" w:rsidTr="00F8293A">
        <w:trPr>
          <w:cantSplit/>
        </w:trPr>
        <w:tc>
          <w:tcPr>
            <w:tcW w:w="474" w:type="dxa"/>
            <w:tcBorders>
              <w:top w:val="nil"/>
              <w:bottom w:val="nil"/>
              <w:right w:val="single" w:sz="4" w:space="0" w:color="999999"/>
            </w:tcBorders>
          </w:tcPr>
          <w:p w14:paraId="325DBB05" w14:textId="77777777" w:rsidR="009A2964" w:rsidRPr="00BB50F2" w:rsidRDefault="009A2964" w:rsidP="00F8293A">
            <w:pPr>
              <w:pStyle w:val="Header"/>
              <w:rPr>
                <w:rFonts w:cs="Arial"/>
              </w:rPr>
            </w:pPr>
          </w:p>
        </w:tc>
        <w:tc>
          <w:tcPr>
            <w:tcW w:w="1897" w:type="dxa"/>
            <w:gridSpan w:val="2"/>
            <w:tcBorders>
              <w:top w:val="single" w:sz="4" w:space="0" w:color="999999"/>
              <w:left w:val="single" w:sz="4" w:space="0" w:color="999999"/>
              <w:bottom w:val="single" w:sz="4" w:space="0" w:color="999999"/>
              <w:right w:val="single" w:sz="4" w:space="0" w:color="999999"/>
            </w:tcBorders>
          </w:tcPr>
          <w:p w14:paraId="50DC7C97" w14:textId="77777777" w:rsidR="009A2964" w:rsidRPr="00BB50F2" w:rsidRDefault="009A2964" w:rsidP="00F8293A">
            <w:pPr>
              <w:pStyle w:val="Header"/>
              <w:rPr>
                <w:rFonts w:cs="Arial"/>
              </w:rPr>
            </w:pPr>
            <w:r w:rsidRPr="00BB50F2">
              <w:rPr>
                <w:rFonts w:cs="Arial"/>
              </w:rPr>
              <w:t xml:space="preserve"> Number of service requests  </w:t>
            </w:r>
          </w:p>
        </w:tc>
        <w:tc>
          <w:tcPr>
            <w:tcW w:w="6560" w:type="dxa"/>
            <w:gridSpan w:val="2"/>
            <w:tcBorders>
              <w:top w:val="single" w:sz="4" w:space="0" w:color="999999"/>
              <w:left w:val="single" w:sz="4" w:space="0" w:color="999999"/>
              <w:bottom w:val="single" w:sz="4" w:space="0" w:color="999999"/>
              <w:right w:val="single" w:sz="4" w:space="0" w:color="999999"/>
            </w:tcBorders>
          </w:tcPr>
          <w:p w14:paraId="35A49B87" w14:textId="26A5B28A" w:rsidR="009A2964" w:rsidRPr="00BB50F2" w:rsidRDefault="009A2964" w:rsidP="00F8293A">
            <w:pPr>
              <w:pStyle w:val="Header"/>
              <w:rPr>
                <w:rFonts w:cs="Arial"/>
              </w:rPr>
            </w:pPr>
            <w:r w:rsidRPr="00BB50F2">
              <w:rPr>
                <w:rFonts w:cs="Arial"/>
              </w:rPr>
              <w:t xml:space="preserve">The total number of service requests delivered by the Supplier and accepted by </w:t>
            </w:r>
            <w:proofErr w:type="spellStart"/>
            <w:r w:rsidR="001F1C19">
              <w:rPr>
                <w:rFonts w:cs="Arial"/>
              </w:rPr>
              <w:t>Netlink</w:t>
            </w:r>
            <w:proofErr w:type="spellEnd"/>
            <w:r w:rsidR="001F1C19">
              <w:rPr>
                <w:rFonts w:cs="Arial"/>
              </w:rPr>
              <w:t xml:space="preserve"> Star</w:t>
            </w:r>
            <w:r w:rsidRPr="00BB50F2">
              <w:rPr>
                <w:rFonts w:cs="Arial"/>
              </w:rPr>
              <w:t xml:space="preserve"> within the calendar month.  (SREQ)</w:t>
            </w:r>
          </w:p>
        </w:tc>
        <w:tc>
          <w:tcPr>
            <w:tcW w:w="462" w:type="dxa"/>
            <w:tcBorders>
              <w:top w:val="nil"/>
              <w:left w:val="single" w:sz="4" w:space="0" w:color="999999"/>
              <w:bottom w:val="nil"/>
            </w:tcBorders>
          </w:tcPr>
          <w:p w14:paraId="06EF4863" w14:textId="77777777" w:rsidR="009A2964" w:rsidRPr="00BB50F2" w:rsidRDefault="009A2964" w:rsidP="00F8293A">
            <w:pPr>
              <w:pStyle w:val="Header"/>
              <w:rPr>
                <w:rFonts w:cs="Arial"/>
              </w:rPr>
            </w:pPr>
          </w:p>
        </w:tc>
      </w:tr>
      <w:tr w:rsidR="009A2964" w:rsidRPr="00BB50F2" w14:paraId="6405F0A1" w14:textId="77777777" w:rsidTr="00F8293A">
        <w:trPr>
          <w:cantSplit/>
        </w:trPr>
        <w:tc>
          <w:tcPr>
            <w:tcW w:w="474" w:type="dxa"/>
            <w:tcBorders>
              <w:top w:val="nil"/>
              <w:bottom w:val="nil"/>
              <w:right w:val="single" w:sz="4" w:space="0" w:color="999999"/>
            </w:tcBorders>
          </w:tcPr>
          <w:p w14:paraId="5D340572" w14:textId="77777777" w:rsidR="009A2964" w:rsidRPr="00BB50F2" w:rsidRDefault="009A2964" w:rsidP="00F8293A">
            <w:pPr>
              <w:pStyle w:val="Header"/>
              <w:rPr>
                <w:rFonts w:cs="Arial"/>
              </w:rPr>
            </w:pPr>
          </w:p>
        </w:tc>
        <w:tc>
          <w:tcPr>
            <w:tcW w:w="1897" w:type="dxa"/>
            <w:gridSpan w:val="2"/>
            <w:tcBorders>
              <w:top w:val="single" w:sz="4" w:space="0" w:color="999999"/>
              <w:left w:val="single" w:sz="4" w:space="0" w:color="999999"/>
              <w:bottom w:val="single" w:sz="4" w:space="0" w:color="999999"/>
              <w:right w:val="single" w:sz="4" w:space="0" w:color="999999"/>
            </w:tcBorders>
          </w:tcPr>
          <w:p w14:paraId="2FC1C49A" w14:textId="77777777" w:rsidR="009A2964" w:rsidRPr="00BB50F2" w:rsidRDefault="009A2964" w:rsidP="00F8293A">
            <w:pPr>
              <w:pStyle w:val="Header"/>
              <w:rPr>
                <w:rFonts w:cs="Arial"/>
              </w:rPr>
            </w:pPr>
            <w:r w:rsidRPr="00BB50F2">
              <w:rPr>
                <w:rFonts w:cs="Arial"/>
              </w:rPr>
              <w:t>Number of Exempted service requests</w:t>
            </w:r>
          </w:p>
        </w:tc>
        <w:tc>
          <w:tcPr>
            <w:tcW w:w="6560" w:type="dxa"/>
            <w:gridSpan w:val="2"/>
            <w:tcBorders>
              <w:top w:val="single" w:sz="4" w:space="0" w:color="999999"/>
              <w:left w:val="single" w:sz="4" w:space="0" w:color="999999"/>
              <w:bottom w:val="single" w:sz="4" w:space="0" w:color="999999"/>
              <w:right w:val="single" w:sz="4" w:space="0" w:color="999999"/>
            </w:tcBorders>
          </w:tcPr>
          <w:p w14:paraId="37A007C9" w14:textId="66D69E34" w:rsidR="009A2964" w:rsidRPr="00BB50F2" w:rsidRDefault="009A2964" w:rsidP="00F8293A">
            <w:pPr>
              <w:pStyle w:val="Header"/>
              <w:rPr>
                <w:rFonts w:cs="Arial"/>
              </w:rPr>
            </w:pPr>
            <w:r w:rsidRPr="00BB50F2">
              <w:rPr>
                <w:rFonts w:cs="Arial"/>
              </w:rPr>
              <w:t xml:space="preserve">Number of service quests that have been exempted from the target calculation.  An exemption can </w:t>
            </w:r>
            <w:r w:rsidR="004E415B" w:rsidRPr="00BB50F2">
              <w:rPr>
                <w:rFonts w:cs="Arial"/>
              </w:rPr>
              <w:t>occur</w:t>
            </w:r>
            <w:r w:rsidRPr="00BB50F2">
              <w:rPr>
                <w:rFonts w:cs="Arial"/>
              </w:rPr>
              <w:t xml:space="preserve"> if it the service request is delivered on time but fails acceptance for owing to reasons beyond the Supplier’s control, or if </w:t>
            </w:r>
            <w:proofErr w:type="spellStart"/>
            <w:r w:rsidR="001F1C19">
              <w:rPr>
                <w:rFonts w:cs="Arial"/>
              </w:rPr>
              <w:t>Netlink</w:t>
            </w:r>
            <w:proofErr w:type="spellEnd"/>
            <w:r w:rsidR="001F1C19">
              <w:rPr>
                <w:rFonts w:cs="Arial"/>
              </w:rPr>
              <w:t xml:space="preserve"> Star</w:t>
            </w:r>
            <w:r w:rsidRPr="00BB50F2">
              <w:rPr>
                <w:rFonts w:cs="Arial"/>
              </w:rPr>
              <w:t xml:space="preserve"> does not meet their obligations to accept or fail a service request within </w:t>
            </w:r>
            <w:proofErr w:type="spellStart"/>
            <w:r w:rsidR="001F1C19">
              <w:rPr>
                <w:rFonts w:cs="Arial"/>
              </w:rPr>
              <w:t>Netlink</w:t>
            </w:r>
            <w:proofErr w:type="spellEnd"/>
            <w:r w:rsidR="001F1C19">
              <w:rPr>
                <w:rFonts w:cs="Arial"/>
              </w:rPr>
              <w:t xml:space="preserve"> Star</w:t>
            </w:r>
            <w:r w:rsidRPr="00BB50F2">
              <w:rPr>
                <w:rFonts w:cs="Arial"/>
              </w:rPr>
              <w:t>’s agreed response time (EXREQ)</w:t>
            </w:r>
          </w:p>
        </w:tc>
        <w:tc>
          <w:tcPr>
            <w:tcW w:w="462" w:type="dxa"/>
            <w:tcBorders>
              <w:top w:val="nil"/>
              <w:left w:val="single" w:sz="4" w:space="0" w:color="999999"/>
              <w:bottom w:val="nil"/>
            </w:tcBorders>
          </w:tcPr>
          <w:p w14:paraId="11577A92" w14:textId="77777777" w:rsidR="009A2964" w:rsidRPr="00BB50F2" w:rsidRDefault="009A2964" w:rsidP="00F8293A">
            <w:pPr>
              <w:pStyle w:val="Header"/>
              <w:rPr>
                <w:rFonts w:cs="Arial"/>
              </w:rPr>
            </w:pPr>
          </w:p>
        </w:tc>
      </w:tr>
      <w:tr w:rsidR="009A2964" w:rsidRPr="00BB50F2" w14:paraId="2BC37573" w14:textId="77777777" w:rsidTr="00F8293A">
        <w:trPr>
          <w:cantSplit/>
        </w:trPr>
        <w:tc>
          <w:tcPr>
            <w:tcW w:w="474" w:type="dxa"/>
            <w:tcBorders>
              <w:top w:val="nil"/>
              <w:bottom w:val="nil"/>
              <w:right w:val="single" w:sz="4" w:space="0" w:color="999999"/>
            </w:tcBorders>
          </w:tcPr>
          <w:p w14:paraId="52ED362A" w14:textId="77777777" w:rsidR="009A2964" w:rsidRPr="00BB50F2" w:rsidRDefault="009A2964" w:rsidP="00F8293A">
            <w:pPr>
              <w:pStyle w:val="Header"/>
              <w:rPr>
                <w:rFonts w:cs="Arial"/>
              </w:rPr>
            </w:pPr>
          </w:p>
        </w:tc>
        <w:tc>
          <w:tcPr>
            <w:tcW w:w="1897" w:type="dxa"/>
            <w:gridSpan w:val="2"/>
            <w:tcBorders>
              <w:top w:val="single" w:sz="4" w:space="0" w:color="999999"/>
              <w:left w:val="single" w:sz="4" w:space="0" w:color="999999"/>
              <w:bottom w:val="single" w:sz="4" w:space="0" w:color="999999"/>
              <w:right w:val="single" w:sz="4" w:space="0" w:color="999999"/>
            </w:tcBorders>
          </w:tcPr>
          <w:p w14:paraId="7143D5C0" w14:textId="77777777" w:rsidR="009A2964" w:rsidRPr="00BB50F2" w:rsidRDefault="009A2964" w:rsidP="00F8293A">
            <w:pPr>
              <w:pStyle w:val="Header"/>
              <w:rPr>
                <w:rFonts w:cs="Arial"/>
              </w:rPr>
            </w:pPr>
            <w:r w:rsidRPr="00BB50F2">
              <w:rPr>
                <w:rFonts w:cs="Arial"/>
              </w:rPr>
              <w:t>Number of failed service requests</w:t>
            </w:r>
          </w:p>
        </w:tc>
        <w:tc>
          <w:tcPr>
            <w:tcW w:w="6560" w:type="dxa"/>
            <w:gridSpan w:val="2"/>
            <w:tcBorders>
              <w:top w:val="single" w:sz="4" w:space="0" w:color="999999"/>
              <w:left w:val="single" w:sz="4" w:space="0" w:color="999999"/>
              <w:bottom w:val="single" w:sz="4" w:space="0" w:color="999999"/>
              <w:right w:val="single" w:sz="4" w:space="0" w:color="999999"/>
            </w:tcBorders>
          </w:tcPr>
          <w:p w14:paraId="526C278D" w14:textId="52800E2D" w:rsidR="009A2964" w:rsidRPr="00BB50F2" w:rsidRDefault="009A2964" w:rsidP="00F8293A">
            <w:pPr>
              <w:pStyle w:val="Header"/>
              <w:rPr>
                <w:rFonts w:cs="Arial"/>
              </w:rPr>
            </w:pPr>
            <w:r w:rsidRPr="00BB50F2">
              <w:rPr>
                <w:rFonts w:cs="Arial"/>
              </w:rPr>
              <w:t xml:space="preserve">Number of un-exempted service requests delivered by the Supplier that have either not been delivered according to the agreed time to delivery or failed to meet </w:t>
            </w:r>
            <w:proofErr w:type="spellStart"/>
            <w:r w:rsidR="001F1C19">
              <w:rPr>
                <w:rFonts w:cs="Arial"/>
              </w:rPr>
              <w:t>Netlink</w:t>
            </w:r>
            <w:proofErr w:type="spellEnd"/>
            <w:r w:rsidR="001F1C19">
              <w:rPr>
                <w:rFonts w:cs="Arial"/>
              </w:rPr>
              <w:t xml:space="preserve"> Star</w:t>
            </w:r>
            <w:r w:rsidRPr="00BB50F2">
              <w:rPr>
                <w:rFonts w:cs="Arial"/>
              </w:rPr>
              <w:t>’s quality criteria stated in the request at the point such request is raised and received by the Supplier (FAILREQ)</w:t>
            </w:r>
          </w:p>
        </w:tc>
        <w:tc>
          <w:tcPr>
            <w:tcW w:w="462" w:type="dxa"/>
            <w:tcBorders>
              <w:top w:val="nil"/>
              <w:left w:val="single" w:sz="4" w:space="0" w:color="999999"/>
              <w:bottom w:val="nil"/>
            </w:tcBorders>
          </w:tcPr>
          <w:p w14:paraId="1A362F5B" w14:textId="77777777" w:rsidR="009A2964" w:rsidRPr="00BB50F2" w:rsidRDefault="009A2964" w:rsidP="00F8293A">
            <w:pPr>
              <w:pStyle w:val="Header"/>
              <w:rPr>
                <w:rFonts w:cs="Arial"/>
              </w:rPr>
            </w:pPr>
          </w:p>
        </w:tc>
      </w:tr>
      <w:tr w:rsidR="009A2964" w:rsidRPr="00BB50F2" w14:paraId="5E66D2F6" w14:textId="77777777" w:rsidTr="00F8293A">
        <w:trPr>
          <w:cantSplit/>
        </w:trPr>
        <w:tc>
          <w:tcPr>
            <w:tcW w:w="474" w:type="dxa"/>
            <w:tcBorders>
              <w:top w:val="nil"/>
              <w:bottom w:val="nil"/>
              <w:right w:val="single" w:sz="4" w:space="0" w:color="999999"/>
            </w:tcBorders>
          </w:tcPr>
          <w:p w14:paraId="047D89E2" w14:textId="77777777" w:rsidR="009A2964" w:rsidRPr="00BB50F2" w:rsidRDefault="009A2964" w:rsidP="00F8293A">
            <w:pPr>
              <w:pStyle w:val="Header"/>
              <w:rPr>
                <w:rFonts w:cs="Arial"/>
              </w:rPr>
            </w:pPr>
          </w:p>
        </w:tc>
        <w:tc>
          <w:tcPr>
            <w:tcW w:w="1897" w:type="dxa"/>
            <w:gridSpan w:val="2"/>
            <w:tcBorders>
              <w:top w:val="single" w:sz="4" w:space="0" w:color="999999"/>
              <w:left w:val="single" w:sz="4" w:space="0" w:color="999999"/>
              <w:bottom w:val="single" w:sz="4" w:space="0" w:color="999999"/>
              <w:right w:val="single" w:sz="4" w:space="0" w:color="999999"/>
            </w:tcBorders>
          </w:tcPr>
          <w:p w14:paraId="5F1F530E" w14:textId="77777777" w:rsidR="009A2964" w:rsidRPr="00BB50F2" w:rsidRDefault="009A2964" w:rsidP="00F8293A">
            <w:pPr>
              <w:pStyle w:val="Header"/>
              <w:rPr>
                <w:rFonts w:cs="Arial"/>
              </w:rPr>
            </w:pPr>
          </w:p>
        </w:tc>
        <w:tc>
          <w:tcPr>
            <w:tcW w:w="6560" w:type="dxa"/>
            <w:gridSpan w:val="2"/>
            <w:tcBorders>
              <w:top w:val="single" w:sz="4" w:space="0" w:color="999999"/>
              <w:left w:val="single" w:sz="4" w:space="0" w:color="999999"/>
              <w:bottom w:val="single" w:sz="4" w:space="0" w:color="999999"/>
              <w:right w:val="single" w:sz="4" w:space="0" w:color="999999"/>
            </w:tcBorders>
          </w:tcPr>
          <w:p w14:paraId="4FC22384" w14:textId="77777777" w:rsidR="009A2964" w:rsidRPr="00BB50F2" w:rsidRDefault="009A2964" w:rsidP="00F8293A">
            <w:pPr>
              <w:pStyle w:val="Header"/>
              <w:rPr>
                <w:rFonts w:cs="Arial"/>
              </w:rPr>
            </w:pPr>
          </w:p>
        </w:tc>
        <w:tc>
          <w:tcPr>
            <w:tcW w:w="462" w:type="dxa"/>
            <w:tcBorders>
              <w:top w:val="nil"/>
              <w:left w:val="single" w:sz="4" w:space="0" w:color="999999"/>
              <w:bottom w:val="nil"/>
            </w:tcBorders>
          </w:tcPr>
          <w:p w14:paraId="65D95A37" w14:textId="77777777" w:rsidR="009A2964" w:rsidRPr="00BB50F2" w:rsidRDefault="009A2964" w:rsidP="00F8293A">
            <w:pPr>
              <w:pStyle w:val="Header"/>
              <w:rPr>
                <w:rFonts w:cs="Arial"/>
              </w:rPr>
            </w:pPr>
          </w:p>
        </w:tc>
      </w:tr>
      <w:tr w:rsidR="009A2964" w:rsidRPr="00BB50F2" w14:paraId="3E32E701" w14:textId="77777777" w:rsidTr="00F8293A">
        <w:trPr>
          <w:cantSplit/>
        </w:trPr>
        <w:tc>
          <w:tcPr>
            <w:tcW w:w="474" w:type="dxa"/>
            <w:tcBorders>
              <w:top w:val="nil"/>
              <w:bottom w:val="nil"/>
              <w:right w:val="single" w:sz="4" w:space="0" w:color="999999"/>
            </w:tcBorders>
          </w:tcPr>
          <w:p w14:paraId="29B7FF2F" w14:textId="77777777" w:rsidR="009A2964" w:rsidRPr="00BB50F2" w:rsidRDefault="009A2964" w:rsidP="00F8293A">
            <w:pPr>
              <w:pStyle w:val="Header"/>
              <w:rPr>
                <w:rFonts w:cs="Arial"/>
              </w:rPr>
            </w:pPr>
          </w:p>
        </w:tc>
        <w:tc>
          <w:tcPr>
            <w:tcW w:w="1897" w:type="dxa"/>
            <w:gridSpan w:val="2"/>
            <w:tcBorders>
              <w:top w:val="single" w:sz="4" w:space="0" w:color="999999"/>
              <w:left w:val="single" w:sz="4" w:space="0" w:color="999999"/>
              <w:bottom w:val="single" w:sz="4" w:space="0" w:color="999999"/>
              <w:right w:val="single" w:sz="4" w:space="0" w:color="999999"/>
            </w:tcBorders>
          </w:tcPr>
          <w:p w14:paraId="12C5836C" w14:textId="77777777" w:rsidR="009A2964" w:rsidRPr="00BB50F2" w:rsidRDefault="009A2964" w:rsidP="00F8293A">
            <w:pPr>
              <w:pStyle w:val="Header"/>
              <w:rPr>
                <w:rFonts w:cs="Arial"/>
              </w:rPr>
            </w:pPr>
          </w:p>
        </w:tc>
        <w:tc>
          <w:tcPr>
            <w:tcW w:w="6560" w:type="dxa"/>
            <w:gridSpan w:val="2"/>
            <w:tcBorders>
              <w:top w:val="single" w:sz="4" w:space="0" w:color="999999"/>
              <w:left w:val="single" w:sz="4" w:space="0" w:color="999999"/>
              <w:bottom w:val="single" w:sz="4" w:space="0" w:color="999999"/>
              <w:right w:val="single" w:sz="4" w:space="0" w:color="999999"/>
            </w:tcBorders>
          </w:tcPr>
          <w:p w14:paraId="3E4F7571" w14:textId="77777777" w:rsidR="009A2964" w:rsidRPr="00BB50F2" w:rsidRDefault="009A2964" w:rsidP="00F8293A">
            <w:pPr>
              <w:pStyle w:val="Header"/>
              <w:rPr>
                <w:rFonts w:cs="Arial"/>
              </w:rPr>
            </w:pPr>
          </w:p>
        </w:tc>
        <w:tc>
          <w:tcPr>
            <w:tcW w:w="462" w:type="dxa"/>
            <w:tcBorders>
              <w:top w:val="nil"/>
              <w:left w:val="single" w:sz="4" w:space="0" w:color="999999"/>
              <w:bottom w:val="nil"/>
            </w:tcBorders>
          </w:tcPr>
          <w:p w14:paraId="0959342A" w14:textId="77777777" w:rsidR="009A2964" w:rsidRPr="00BB50F2" w:rsidRDefault="009A2964" w:rsidP="00F8293A">
            <w:pPr>
              <w:pStyle w:val="Header"/>
              <w:rPr>
                <w:rFonts w:cs="Arial"/>
              </w:rPr>
            </w:pPr>
          </w:p>
        </w:tc>
      </w:tr>
      <w:tr w:rsidR="009A2964" w:rsidRPr="00BB50F2" w14:paraId="211EF241" w14:textId="77777777" w:rsidTr="00F8293A">
        <w:trPr>
          <w:cantSplit/>
          <w:trHeight w:hRule="exact" w:val="113"/>
        </w:trPr>
        <w:tc>
          <w:tcPr>
            <w:tcW w:w="9393" w:type="dxa"/>
            <w:gridSpan w:val="6"/>
            <w:tcBorders>
              <w:top w:val="nil"/>
            </w:tcBorders>
          </w:tcPr>
          <w:p w14:paraId="41D4F099" w14:textId="77777777" w:rsidR="009A2964" w:rsidRPr="00BB50F2" w:rsidRDefault="009A2964" w:rsidP="00F8293A">
            <w:pPr>
              <w:pStyle w:val="Header"/>
              <w:rPr>
                <w:rFonts w:cs="Arial"/>
              </w:rPr>
            </w:pPr>
          </w:p>
        </w:tc>
      </w:tr>
      <w:tr w:rsidR="009A2964" w:rsidRPr="00BB50F2" w14:paraId="30690237" w14:textId="77777777" w:rsidTr="00F8293A">
        <w:trPr>
          <w:cantSplit/>
          <w:trHeight w:hRule="exact" w:val="397"/>
        </w:trPr>
        <w:tc>
          <w:tcPr>
            <w:tcW w:w="9393" w:type="dxa"/>
            <w:gridSpan w:val="6"/>
            <w:vAlign w:val="center"/>
          </w:tcPr>
          <w:p w14:paraId="3B4064D5" w14:textId="77777777" w:rsidR="009A2964" w:rsidRPr="00BB50F2" w:rsidRDefault="009A2964" w:rsidP="00F8293A">
            <w:pPr>
              <w:pStyle w:val="Header"/>
              <w:rPr>
                <w:rFonts w:cs="Arial"/>
              </w:rPr>
            </w:pPr>
            <w:r w:rsidRPr="00BB50F2">
              <w:rPr>
                <w:rFonts w:cs="Arial"/>
              </w:rPr>
              <w:t>Measurement:</w:t>
            </w:r>
          </w:p>
        </w:tc>
      </w:tr>
      <w:tr w:rsidR="009A2964" w:rsidRPr="00BB50F2" w14:paraId="1A4EB569" w14:textId="77777777" w:rsidTr="00F8293A">
        <w:trPr>
          <w:cantSplit/>
          <w:trHeight w:hRule="exact" w:val="113"/>
        </w:trPr>
        <w:tc>
          <w:tcPr>
            <w:tcW w:w="9393" w:type="dxa"/>
            <w:gridSpan w:val="6"/>
            <w:tcBorders>
              <w:bottom w:val="nil"/>
            </w:tcBorders>
          </w:tcPr>
          <w:p w14:paraId="4786D2B8" w14:textId="77777777" w:rsidR="009A2964" w:rsidRPr="00BB50F2" w:rsidRDefault="009A2964" w:rsidP="00F8293A">
            <w:pPr>
              <w:pStyle w:val="Header"/>
              <w:rPr>
                <w:rFonts w:cs="Arial"/>
              </w:rPr>
            </w:pPr>
          </w:p>
        </w:tc>
      </w:tr>
      <w:tr w:rsidR="009A2964" w:rsidRPr="00BB50F2" w14:paraId="518E077A" w14:textId="77777777" w:rsidTr="00F8293A">
        <w:trPr>
          <w:cantSplit/>
        </w:trPr>
        <w:tc>
          <w:tcPr>
            <w:tcW w:w="474" w:type="dxa"/>
            <w:tcBorders>
              <w:top w:val="nil"/>
              <w:bottom w:val="nil"/>
              <w:right w:val="single" w:sz="4" w:space="0" w:color="999999"/>
            </w:tcBorders>
          </w:tcPr>
          <w:p w14:paraId="58924B72" w14:textId="77777777" w:rsidR="009A2964" w:rsidRPr="00BB50F2" w:rsidRDefault="009A2964" w:rsidP="00F8293A">
            <w:pPr>
              <w:pStyle w:val="Header"/>
              <w:rPr>
                <w:rFonts w:cs="Arial"/>
              </w:rPr>
            </w:pPr>
          </w:p>
        </w:tc>
        <w:tc>
          <w:tcPr>
            <w:tcW w:w="1897" w:type="dxa"/>
            <w:gridSpan w:val="2"/>
            <w:tcBorders>
              <w:top w:val="single" w:sz="4" w:space="0" w:color="999999"/>
              <w:left w:val="single" w:sz="4" w:space="0" w:color="999999"/>
              <w:bottom w:val="single" w:sz="4" w:space="0" w:color="999999"/>
              <w:right w:val="single" w:sz="4" w:space="0" w:color="999999"/>
            </w:tcBorders>
          </w:tcPr>
          <w:p w14:paraId="7F652722" w14:textId="77777777" w:rsidR="009A2964" w:rsidRPr="00BB50F2" w:rsidRDefault="009A2964" w:rsidP="00F8293A">
            <w:pPr>
              <w:pStyle w:val="Header"/>
              <w:rPr>
                <w:rFonts w:cs="Arial"/>
              </w:rPr>
            </w:pPr>
            <w:r w:rsidRPr="00BB50F2">
              <w:rPr>
                <w:rFonts w:cs="Arial"/>
              </w:rPr>
              <w:t>Period</w:t>
            </w:r>
          </w:p>
        </w:tc>
        <w:tc>
          <w:tcPr>
            <w:tcW w:w="6560" w:type="dxa"/>
            <w:gridSpan w:val="2"/>
            <w:tcBorders>
              <w:top w:val="single" w:sz="4" w:space="0" w:color="999999"/>
              <w:left w:val="single" w:sz="4" w:space="0" w:color="999999"/>
              <w:bottom w:val="single" w:sz="4" w:space="0" w:color="999999"/>
              <w:right w:val="single" w:sz="4" w:space="0" w:color="999999"/>
            </w:tcBorders>
          </w:tcPr>
          <w:p w14:paraId="669B3192" w14:textId="77777777" w:rsidR="009A2964" w:rsidRPr="00BB50F2" w:rsidRDefault="009A2964" w:rsidP="00F8293A">
            <w:pPr>
              <w:pStyle w:val="Header"/>
              <w:rPr>
                <w:rFonts w:cs="Arial"/>
              </w:rPr>
            </w:pPr>
            <w:r w:rsidRPr="00BB50F2">
              <w:rPr>
                <w:rFonts w:cs="Arial"/>
              </w:rPr>
              <w:t>Monthly</w:t>
            </w:r>
          </w:p>
        </w:tc>
        <w:tc>
          <w:tcPr>
            <w:tcW w:w="462" w:type="dxa"/>
            <w:tcBorders>
              <w:top w:val="nil"/>
              <w:left w:val="single" w:sz="4" w:space="0" w:color="999999"/>
              <w:bottom w:val="nil"/>
            </w:tcBorders>
          </w:tcPr>
          <w:p w14:paraId="6AC98F5E" w14:textId="77777777" w:rsidR="009A2964" w:rsidRPr="00BB50F2" w:rsidRDefault="009A2964" w:rsidP="00F8293A">
            <w:pPr>
              <w:pStyle w:val="Header"/>
              <w:rPr>
                <w:rFonts w:cs="Arial"/>
              </w:rPr>
            </w:pPr>
          </w:p>
        </w:tc>
      </w:tr>
      <w:tr w:rsidR="009A2964" w:rsidRPr="00BB50F2" w14:paraId="5D29DB67" w14:textId="77777777" w:rsidTr="00F8293A">
        <w:trPr>
          <w:cantSplit/>
        </w:trPr>
        <w:tc>
          <w:tcPr>
            <w:tcW w:w="474" w:type="dxa"/>
            <w:tcBorders>
              <w:top w:val="nil"/>
              <w:bottom w:val="nil"/>
              <w:right w:val="single" w:sz="4" w:space="0" w:color="999999"/>
            </w:tcBorders>
          </w:tcPr>
          <w:p w14:paraId="50C1B6C0" w14:textId="77777777" w:rsidR="009A2964" w:rsidRPr="00BB50F2" w:rsidRDefault="009A2964" w:rsidP="00F8293A">
            <w:pPr>
              <w:pStyle w:val="Header"/>
              <w:rPr>
                <w:rFonts w:cs="Arial"/>
              </w:rPr>
            </w:pPr>
          </w:p>
        </w:tc>
        <w:tc>
          <w:tcPr>
            <w:tcW w:w="1897" w:type="dxa"/>
            <w:gridSpan w:val="2"/>
            <w:tcBorders>
              <w:top w:val="single" w:sz="4" w:space="0" w:color="999999"/>
              <w:left w:val="single" w:sz="4" w:space="0" w:color="999999"/>
              <w:bottom w:val="single" w:sz="4" w:space="0" w:color="999999"/>
              <w:right w:val="single" w:sz="4" w:space="0" w:color="999999"/>
            </w:tcBorders>
          </w:tcPr>
          <w:p w14:paraId="328CBF04" w14:textId="77777777" w:rsidR="009A2964" w:rsidRPr="00BB50F2" w:rsidRDefault="009A2964" w:rsidP="00F8293A">
            <w:pPr>
              <w:pStyle w:val="Header"/>
              <w:rPr>
                <w:rFonts w:cs="Arial"/>
              </w:rPr>
            </w:pPr>
            <w:r w:rsidRPr="00BB50F2">
              <w:rPr>
                <w:rFonts w:cs="Arial"/>
              </w:rPr>
              <w:t>Method</w:t>
            </w:r>
          </w:p>
        </w:tc>
        <w:tc>
          <w:tcPr>
            <w:tcW w:w="6560" w:type="dxa"/>
            <w:gridSpan w:val="2"/>
            <w:tcBorders>
              <w:top w:val="single" w:sz="4" w:space="0" w:color="999999"/>
              <w:left w:val="single" w:sz="4" w:space="0" w:color="999999"/>
              <w:bottom w:val="single" w:sz="4" w:space="0" w:color="999999"/>
              <w:right w:val="single" w:sz="4" w:space="0" w:color="999999"/>
            </w:tcBorders>
          </w:tcPr>
          <w:p w14:paraId="5C88B912" w14:textId="77777777" w:rsidR="009A2964" w:rsidRPr="00BB50F2" w:rsidRDefault="009A2964" w:rsidP="00F8293A">
            <w:pPr>
              <w:pStyle w:val="Header"/>
              <w:rPr>
                <w:rFonts w:cs="Arial"/>
              </w:rPr>
            </w:pPr>
            <w:r w:rsidRPr="00BB50F2">
              <w:rPr>
                <w:rFonts w:cs="Arial"/>
              </w:rPr>
              <w:t>Service Requests are tracked in the ITSM</w:t>
            </w:r>
          </w:p>
        </w:tc>
        <w:tc>
          <w:tcPr>
            <w:tcW w:w="462" w:type="dxa"/>
            <w:tcBorders>
              <w:top w:val="nil"/>
              <w:left w:val="single" w:sz="4" w:space="0" w:color="999999"/>
              <w:bottom w:val="nil"/>
            </w:tcBorders>
          </w:tcPr>
          <w:p w14:paraId="0430BF5C" w14:textId="77777777" w:rsidR="009A2964" w:rsidRPr="00BB50F2" w:rsidRDefault="009A2964" w:rsidP="00F8293A">
            <w:pPr>
              <w:pStyle w:val="Header"/>
              <w:rPr>
                <w:rFonts w:cs="Arial"/>
              </w:rPr>
            </w:pPr>
          </w:p>
        </w:tc>
      </w:tr>
      <w:tr w:rsidR="009A2964" w:rsidRPr="00BB50F2" w14:paraId="181B5506" w14:textId="77777777" w:rsidTr="00F8293A">
        <w:trPr>
          <w:cantSplit/>
          <w:trHeight w:hRule="exact" w:val="113"/>
        </w:trPr>
        <w:tc>
          <w:tcPr>
            <w:tcW w:w="9393" w:type="dxa"/>
            <w:gridSpan w:val="6"/>
            <w:tcBorders>
              <w:top w:val="nil"/>
            </w:tcBorders>
          </w:tcPr>
          <w:p w14:paraId="29D2D3FD" w14:textId="77777777" w:rsidR="009A2964" w:rsidRPr="00BB50F2" w:rsidRDefault="009A2964" w:rsidP="00F8293A">
            <w:pPr>
              <w:pStyle w:val="Header"/>
              <w:rPr>
                <w:rFonts w:cs="Arial"/>
              </w:rPr>
            </w:pPr>
          </w:p>
        </w:tc>
      </w:tr>
      <w:tr w:rsidR="009A2964" w:rsidRPr="00BB50F2" w14:paraId="7AA72954" w14:textId="77777777" w:rsidTr="00F8293A">
        <w:trPr>
          <w:cantSplit/>
          <w:trHeight w:hRule="exact" w:val="397"/>
        </w:trPr>
        <w:tc>
          <w:tcPr>
            <w:tcW w:w="9393" w:type="dxa"/>
            <w:gridSpan w:val="6"/>
            <w:vAlign w:val="center"/>
          </w:tcPr>
          <w:p w14:paraId="6B997EED" w14:textId="77777777" w:rsidR="009A2964" w:rsidRPr="00BB50F2" w:rsidRDefault="009A2964" w:rsidP="00F8293A">
            <w:pPr>
              <w:pStyle w:val="Header"/>
              <w:rPr>
                <w:rFonts w:cs="Arial"/>
              </w:rPr>
            </w:pPr>
            <w:r w:rsidRPr="00BB50F2">
              <w:rPr>
                <w:rFonts w:cs="Arial"/>
              </w:rPr>
              <w:t>Service Credit Levels:</w:t>
            </w:r>
          </w:p>
        </w:tc>
      </w:tr>
      <w:tr w:rsidR="009A2964" w:rsidRPr="00BB50F2" w14:paraId="0C789C63" w14:textId="77777777" w:rsidTr="00F8293A">
        <w:trPr>
          <w:cantSplit/>
          <w:trHeight w:hRule="exact" w:val="113"/>
        </w:trPr>
        <w:tc>
          <w:tcPr>
            <w:tcW w:w="9393" w:type="dxa"/>
            <w:gridSpan w:val="6"/>
            <w:tcBorders>
              <w:bottom w:val="nil"/>
            </w:tcBorders>
          </w:tcPr>
          <w:p w14:paraId="79E9769F" w14:textId="77777777" w:rsidR="009A2964" w:rsidRPr="00BB50F2" w:rsidRDefault="009A2964" w:rsidP="00F8293A">
            <w:pPr>
              <w:pStyle w:val="Header"/>
              <w:rPr>
                <w:rFonts w:cs="Arial"/>
              </w:rPr>
            </w:pPr>
          </w:p>
        </w:tc>
      </w:tr>
      <w:tr w:rsidR="009A2964" w:rsidRPr="00BB50F2" w14:paraId="4F320048" w14:textId="77777777" w:rsidTr="00F8293A">
        <w:trPr>
          <w:cantSplit/>
        </w:trPr>
        <w:tc>
          <w:tcPr>
            <w:tcW w:w="474" w:type="dxa"/>
            <w:tcBorders>
              <w:top w:val="nil"/>
              <w:bottom w:val="nil"/>
              <w:right w:val="single" w:sz="4" w:space="0" w:color="999999"/>
            </w:tcBorders>
          </w:tcPr>
          <w:p w14:paraId="0A1447BA" w14:textId="77777777" w:rsidR="009A2964" w:rsidRPr="00BB50F2" w:rsidRDefault="009A2964" w:rsidP="00F8293A">
            <w:pPr>
              <w:pStyle w:val="Header"/>
              <w:rPr>
                <w:rFonts w:cs="Arial"/>
              </w:rPr>
            </w:pPr>
          </w:p>
        </w:tc>
        <w:tc>
          <w:tcPr>
            <w:tcW w:w="8457" w:type="dxa"/>
            <w:gridSpan w:val="4"/>
            <w:tcBorders>
              <w:top w:val="single" w:sz="4" w:space="0" w:color="999999"/>
              <w:left w:val="single" w:sz="4" w:space="0" w:color="999999"/>
              <w:bottom w:val="single" w:sz="4" w:space="0" w:color="999999"/>
              <w:right w:val="single" w:sz="4" w:space="0" w:color="999999"/>
            </w:tcBorders>
          </w:tcPr>
          <w:p w14:paraId="4710622B" w14:textId="77777777" w:rsidR="009A2964" w:rsidRPr="00BB50F2" w:rsidRDefault="009A2964" w:rsidP="00F8293A">
            <w:pPr>
              <w:pStyle w:val="Header"/>
              <w:rPr>
                <w:rFonts w:cs="Arial"/>
                <w:highlight w:val="yellow"/>
              </w:rPr>
            </w:pPr>
          </w:p>
        </w:tc>
        <w:tc>
          <w:tcPr>
            <w:tcW w:w="462" w:type="dxa"/>
            <w:tcBorders>
              <w:top w:val="nil"/>
              <w:left w:val="single" w:sz="4" w:space="0" w:color="999999"/>
              <w:bottom w:val="nil"/>
            </w:tcBorders>
          </w:tcPr>
          <w:p w14:paraId="5A92DCEB" w14:textId="77777777" w:rsidR="009A2964" w:rsidRPr="00BB50F2" w:rsidRDefault="009A2964" w:rsidP="00F8293A">
            <w:pPr>
              <w:pStyle w:val="Header"/>
              <w:rPr>
                <w:rFonts w:cs="Arial"/>
              </w:rPr>
            </w:pPr>
          </w:p>
        </w:tc>
      </w:tr>
      <w:tr w:rsidR="009A2964" w:rsidRPr="00BB50F2" w14:paraId="50D168DA" w14:textId="77777777" w:rsidTr="00F8293A">
        <w:trPr>
          <w:cantSplit/>
        </w:trPr>
        <w:tc>
          <w:tcPr>
            <w:tcW w:w="474" w:type="dxa"/>
            <w:tcBorders>
              <w:top w:val="nil"/>
              <w:bottom w:val="nil"/>
              <w:right w:val="single" w:sz="4" w:space="0" w:color="999999"/>
            </w:tcBorders>
          </w:tcPr>
          <w:p w14:paraId="4C41ACFC" w14:textId="77777777" w:rsidR="009A2964" w:rsidRPr="00BB50F2" w:rsidRDefault="009A2964" w:rsidP="00F8293A">
            <w:pPr>
              <w:pStyle w:val="Header"/>
              <w:rPr>
                <w:rFonts w:cs="Arial"/>
              </w:rPr>
            </w:pPr>
          </w:p>
        </w:tc>
        <w:tc>
          <w:tcPr>
            <w:tcW w:w="1897" w:type="dxa"/>
            <w:gridSpan w:val="2"/>
            <w:tcBorders>
              <w:top w:val="single" w:sz="4" w:space="0" w:color="999999"/>
              <w:left w:val="single" w:sz="4" w:space="0" w:color="999999"/>
              <w:bottom w:val="single" w:sz="4" w:space="0" w:color="999999"/>
              <w:right w:val="single" w:sz="4" w:space="0" w:color="999999"/>
            </w:tcBorders>
          </w:tcPr>
          <w:p w14:paraId="0E962FCB" w14:textId="77777777" w:rsidR="009A2964" w:rsidRPr="00BB50F2" w:rsidRDefault="009A2964" w:rsidP="00F8293A">
            <w:pPr>
              <w:pStyle w:val="Header"/>
              <w:rPr>
                <w:rFonts w:cs="Arial"/>
              </w:rPr>
            </w:pPr>
            <w:r w:rsidRPr="00BB50F2">
              <w:rPr>
                <w:rFonts w:cs="Arial"/>
              </w:rPr>
              <w:t>Actual Service Usage</w:t>
            </w:r>
          </w:p>
        </w:tc>
        <w:tc>
          <w:tcPr>
            <w:tcW w:w="3866" w:type="dxa"/>
            <w:vMerge w:val="restart"/>
            <w:tcBorders>
              <w:top w:val="single" w:sz="4" w:space="0" w:color="999999"/>
              <w:left w:val="single" w:sz="4" w:space="0" w:color="999999"/>
              <w:right w:val="single" w:sz="4" w:space="0" w:color="999999"/>
            </w:tcBorders>
            <w:vAlign w:val="bottom"/>
          </w:tcPr>
          <w:p w14:paraId="32B435F8" w14:textId="77777777" w:rsidR="009A2964" w:rsidRPr="00BB50F2" w:rsidRDefault="009A2964" w:rsidP="00F8293A">
            <w:pPr>
              <w:pStyle w:val="Header"/>
              <w:rPr>
                <w:rFonts w:cs="Arial"/>
              </w:rPr>
            </w:pPr>
            <w:r w:rsidRPr="00BB50F2">
              <w:rPr>
                <w:rFonts w:cs="Arial"/>
              </w:rPr>
              <w:t>Calculation</w:t>
            </w:r>
          </w:p>
        </w:tc>
        <w:tc>
          <w:tcPr>
            <w:tcW w:w="2694" w:type="dxa"/>
            <w:vMerge w:val="restart"/>
            <w:tcBorders>
              <w:top w:val="single" w:sz="4" w:space="0" w:color="999999"/>
              <w:left w:val="single" w:sz="4" w:space="0" w:color="999999"/>
              <w:right w:val="single" w:sz="4" w:space="0" w:color="999999"/>
            </w:tcBorders>
            <w:vAlign w:val="bottom"/>
          </w:tcPr>
          <w:p w14:paraId="46873FEA" w14:textId="77777777" w:rsidR="009A2964" w:rsidRPr="00BB50F2" w:rsidRDefault="009A2964" w:rsidP="00F8293A">
            <w:pPr>
              <w:pStyle w:val="Header"/>
              <w:rPr>
                <w:rFonts w:cs="Arial"/>
              </w:rPr>
            </w:pPr>
            <w:r w:rsidRPr="00BB50F2">
              <w:rPr>
                <w:rFonts w:cs="Arial"/>
              </w:rPr>
              <w:t>Notes</w:t>
            </w:r>
          </w:p>
        </w:tc>
        <w:tc>
          <w:tcPr>
            <w:tcW w:w="462" w:type="dxa"/>
            <w:tcBorders>
              <w:top w:val="nil"/>
              <w:left w:val="single" w:sz="4" w:space="0" w:color="999999"/>
              <w:bottom w:val="nil"/>
            </w:tcBorders>
          </w:tcPr>
          <w:p w14:paraId="4DABBF29" w14:textId="77777777" w:rsidR="009A2964" w:rsidRPr="00BB50F2" w:rsidRDefault="009A2964" w:rsidP="00F8293A">
            <w:pPr>
              <w:pStyle w:val="Header"/>
              <w:rPr>
                <w:rFonts w:cs="Arial"/>
              </w:rPr>
            </w:pPr>
          </w:p>
        </w:tc>
      </w:tr>
      <w:tr w:rsidR="009A2964" w:rsidRPr="00BB50F2" w14:paraId="6D176185" w14:textId="77777777" w:rsidTr="00F8293A">
        <w:trPr>
          <w:cantSplit/>
        </w:trPr>
        <w:tc>
          <w:tcPr>
            <w:tcW w:w="474" w:type="dxa"/>
            <w:tcBorders>
              <w:top w:val="nil"/>
              <w:bottom w:val="nil"/>
              <w:right w:val="single" w:sz="4" w:space="0" w:color="999999"/>
            </w:tcBorders>
          </w:tcPr>
          <w:p w14:paraId="0CB04EB0" w14:textId="77777777" w:rsidR="009A2964" w:rsidRPr="00BB50F2" w:rsidRDefault="009A2964" w:rsidP="00F8293A">
            <w:pPr>
              <w:pStyle w:val="Header"/>
              <w:rPr>
                <w:rFonts w:cs="Arial"/>
              </w:rPr>
            </w:pPr>
          </w:p>
        </w:tc>
        <w:tc>
          <w:tcPr>
            <w:tcW w:w="948" w:type="dxa"/>
            <w:tcBorders>
              <w:top w:val="single" w:sz="4" w:space="0" w:color="999999"/>
              <w:left w:val="single" w:sz="4" w:space="0" w:color="999999"/>
              <w:bottom w:val="single" w:sz="4" w:space="0" w:color="999999"/>
              <w:right w:val="single" w:sz="4" w:space="0" w:color="999999"/>
            </w:tcBorders>
          </w:tcPr>
          <w:p w14:paraId="62C76118" w14:textId="77777777" w:rsidR="009A2964" w:rsidRPr="00BB50F2" w:rsidRDefault="009A2964" w:rsidP="00F8293A">
            <w:pPr>
              <w:pStyle w:val="Header"/>
              <w:rPr>
                <w:rFonts w:cs="Arial"/>
              </w:rPr>
            </w:pPr>
            <w:r w:rsidRPr="00BB50F2">
              <w:rPr>
                <w:rFonts w:cs="Arial"/>
              </w:rPr>
              <w:t>Lower</w:t>
            </w:r>
          </w:p>
        </w:tc>
        <w:tc>
          <w:tcPr>
            <w:tcW w:w="949" w:type="dxa"/>
            <w:tcBorders>
              <w:top w:val="single" w:sz="4" w:space="0" w:color="999999"/>
              <w:left w:val="single" w:sz="4" w:space="0" w:color="999999"/>
              <w:bottom w:val="single" w:sz="4" w:space="0" w:color="999999"/>
              <w:right w:val="single" w:sz="4" w:space="0" w:color="999999"/>
            </w:tcBorders>
          </w:tcPr>
          <w:p w14:paraId="15E4C78A" w14:textId="77777777" w:rsidR="009A2964" w:rsidRPr="00BB50F2" w:rsidRDefault="009A2964" w:rsidP="00F8293A">
            <w:pPr>
              <w:pStyle w:val="Header"/>
              <w:rPr>
                <w:rFonts w:cs="Arial"/>
              </w:rPr>
            </w:pPr>
            <w:r w:rsidRPr="00BB50F2">
              <w:rPr>
                <w:rFonts w:cs="Arial"/>
              </w:rPr>
              <w:t>Upper</w:t>
            </w:r>
          </w:p>
        </w:tc>
        <w:tc>
          <w:tcPr>
            <w:tcW w:w="3866" w:type="dxa"/>
            <w:vMerge/>
            <w:tcBorders>
              <w:left w:val="single" w:sz="4" w:space="0" w:color="999999"/>
              <w:bottom w:val="single" w:sz="4" w:space="0" w:color="999999"/>
              <w:right w:val="single" w:sz="4" w:space="0" w:color="999999"/>
            </w:tcBorders>
          </w:tcPr>
          <w:p w14:paraId="04C7A93E" w14:textId="77777777" w:rsidR="009A2964" w:rsidRPr="00BB50F2" w:rsidRDefault="009A2964" w:rsidP="00F8293A">
            <w:pPr>
              <w:pStyle w:val="Header"/>
              <w:rPr>
                <w:rFonts w:cs="Arial"/>
              </w:rPr>
            </w:pPr>
          </w:p>
        </w:tc>
        <w:tc>
          <w:tcPr>
            <w:tcW w:w="2694" w:type="dxa"/>
            <w:vMerge/>
            <w:tcBorders>
              <w:left w:val="single" w:sz="4" w:space="0" w:color="999999"/>
              <w:bottom w:val="single" w:sz="4" w:space="0" w:color="999999"/>
              <w:right w:val="single" w:sz="4" w:space="0" w:color="999999"/>
            </w:tcBorders>
          </w:tcPr>
          <w:p w14:paraId="7AB45429" w14:textId="77777777" w:rsidR="009A2964" w:rsidRPr="00BB50F2" w:rsidRDefault="009A2964" w:rsidP="00F8293A">
            <w:pPr>
              <w:pStyle w:val="Header"/>
              <w:rPr>
                <w:rFonts w:cs="Arial"/>
              </w:rPr>
            </w:pPr>
          </w:p>
        </w:tc>
        <w:tc>
          <w:tcPr>
            <w:tcW w:w="462" w:type="dxa"/>
            <w:tcBorders>
              <w:top w:val="nil"/>
              <w:left w:val="single" w:sz="4" w:space="0" w:color="999999"/>
              <w:bottom w:val="nil"/>
            </w:tcBorders>
          </w:tcPr>
          <w:p w14:paraId="730DA247" w14:textId="77777777" w:rsidR="009A2964" w:rsidRPr="00BB50F2" w:rsidRDefault="009A2964" w:rsidP="00F8293A">
            <w:pPr>
              <w:pStyle w:val="Header"/>
              <w:rPr>
                <w:rFonts w:cs="Arial"/>
              </w:rPr>
            </w:pPr>
          </w:p>
        </w:tc>
      </w:tr>
      <w:tr w:rsidR="009A2964" w:rsidRPr="00BB50F2" w14:paraId="3B75889B" w14:textId="77777777" w:rsidTr="00F8293A">
        <w:trPr>
          <w:cantSplit/>
        </w:trPr>
        <w:tc>
          <w:tcPr>
            <w:tcW w:w="474" w:type="dxa"/>
            <w:tcBorders>
              <w:top w:val="nil"/>
              <w:bottom w:val="nil"/>
              <w:right w:val="single" w:sz="4" w:space="0" w:color="999999"/>
            </w:tcBorders>
          </w:tcPr>
          <w:p w14:paraId="35052287" w14:textId="77777777" w:rsidR="009A2964" w:rsidRPr="00BB50F2" w:rsidRDefault="009A2964" w:rsidP="00F8293A">
            <w:pPr>
              <w:pStyle w:val="Header"/>
              <w:rPr>
                <w:rFonts w:cs="Arial"/>
              </w:rPr>
            </w:pPr>
          </w:p>
        </w:tc>
        <w:tc>
          <w:tcPr>
            <w:tcW w:w="948" w:type="dxa"/>
            <w:tcBorders>
              <w:top w:val="single" w:sz="4" w:space="0" w:color="999999"/>
              <w:left w:val="single" w:sz="4" w:space="0" w:color="999999"/>
              <w:bottom w:val="single" w:sz="4" w:space="0" w:color="999999"/>
              <w:right w:val="single" w:sz="4" w:space="0" w:color="999999"/>
            </w:tcBorders>
            <w:vAlign w:val="center"/>
          </w:tcPr>
          <w:p w14:paraId="210A6E96" w14:textId="77777777" w:rsidR="009A2964" w:rsidRPr="00BB50F2" w:rsidRDefault="009A2964" w:rsidP="00F8293A">
            <w:pPr>
              <w:pStyle w:val="Header"/>
              <w:rPr>
                <w:rFonts w:cs="Arial"/>
              </w:rPr>
            </w:pPr>
            <w:r w:rsidRPr="00BB50F2">
              <w:rPr>
                <w:rFonts w:cs="Arial"/>
              </w:rPr>
              <w:t>xxx</w:t>
            </w:r>
          </w:p>
        </w:tc>
        <w:tc>
          <w:tcPr>
            <w:tcW w:w="949" w:type="dxa"/>
            <w:tcBorders>
              <w:top w:val="single" w:sz="4" w:space="0" w:color="999999"/>
              <w:left w:val="single" w:sz="4" w:space="0" w:color="999999"/>
              <w:bottom w:val="single" w:sz="4" w:space="0" w:color="999999"/>
              <w:right w:val="single" w:sz="4" w:space="0" w:color="999999"/>
            </w:tcBorders>
            <w:vAlign w:val="center"/>
          </w:tcPr>
          <w:p w14:paraId="2841264B" w14:textId="77777777" w:rsidR="009A2964" w:rsidRPr="00BB50F2" w:rsidRDefault="009A2964" w:rsidP="00F8293A">
            <w:pPr>
              <w:pStyle w:val="Header"/>
              <w:rPr>
                <w:rFonts w:cs="Arial"/>
              </w:rPr>
            </w:pPr>
            <w:r w:rsidRPr="00BB50F2">
              <w:rPr>
                <w:rFonts w:cs="Arial"/>
              </w:rPr>
              <w:t>1</w:t>
            </w:r>
          </w:p>
        </w:tc>
        <w:tc>
          <w:tcPr>
            <w:tcW w:w="3866" w:type="dxa"/>
            <w:tcBorders>
              <w:top w:val="single" w:sz="4" w:space="0" w:color="999999"/>
              <w:left w:val="single" w:sz="4" w:space="0" w:color="999999"/>
              <w:bottom w:val="single" w:sz="4" w:space="0" w:color="999999"/>
              <w:right w:val="single" w:sz="4" w:space="0" w:color="999999"/>
            </w:tcBorders>
            <w:vAlign w:val="center"/>
          </w:tcPr>
          <w:p w14:paraId="6666CEC1" w14:textId="77777777" w:rsidR="009A2964" w:rsidRPr="00BB50F2" w:rsidRDefault="009A2964" w:rsidP="00F8293A">
            <w:pPr>
              <w:pStyle w:val="Header"/>
              <w:rPr>
                <w:rFonts w:cs="Arial"/>
              </w:rPr>
            </w:pPr>
            <w:r w:rsidRPr="00BB50F2">
              <w:rPr>
                <w:rFonts w:cs="Arial"/>
              </w:rPr>
              <w:t>(SREQ-EXREQ-FAILREQ)/(SREQ-EXREQ)</w:t>
            </w:r>
          </w:p>
        </w:tc>
        <w:tc>
          <w:tcPr>
            <w:tcW w:w="2694" w:type="dxa"/>
            <w:tcBorders>
              <w:top w:val="single" w:sz="4" w:space="0" w:color="999999"/>
              <w:left w:val="single" w:sz="4" w:space="0" w:color="999999"/>
              <w:bottom w:val="single" w:sz="4" w:space="0" w:color="999999"/>
              <w:right w:val="single" w:sz="4" w:space="0" w:color="999999"/>
            </w:tcBorders>
            <w:vAlign w:val="center"/>
          </w:tcPr>
          <w:p w14:paraId="1116B535" w14:textId="77777777" w:rsidR="009A2964" w:rsidRPr="00BB50F2" w:rsidRDefault="009A2964" w:rsidP="00F8293A">
            <w:pPr>
              <w:pStyle w:val="Header"/>
              <w:rPr>
                <w:rFonts w:cs="Arial"/>
              </w:rPr>
            </w:pPr>
            <w:r w:rsidRPr="00BB50F2">
              <w:rPr>
                <w:rFonts w:cs="Arial"/>
              </w:rPr>
              <w:t>Service Target</w:t>
            </w:r>
          </w:p>
        </w:tc>
        <w:tc>
          <w:tcPr>
            <w:tcW w:w="462" w:type="dxa"/>
            <w:tcBorders>
              <w:top w:val="nil"/>
              <w:left w:val="single" w:sz="4" w:space="0" w:color="999999"/>
              <w:bottom w:val="nil"/>
            </w:tcBorders>
          </w:tcPr>
          <w:p w14:paraId="2F3265BB" w14:textId="77777777" w:rsidR="009A2964" w:rsidRPr="00BB50F2" w:rsidRDefault="009A2964" w:rsidP="00F8293A">
            <w:pPr>
              <w:pStyle w:val="ssPara5"/>
              <w:spacing w:after="120" w:line="240" w:lineRule="auto"/>
              <w:rPr>
                <w:sz w:val="20"/>
                <w:szCs w:val="20"/>
              </w:rPr>
            </w:pPr>
          </w:p>
        </w:tc>
      </w:tr>
      <w:tr w:rsidR="009A2964" w:rsidRPr="00BB50F2" w14:paraId="25958708" w14:textId="77777777" w:rsidTr="00F8293A">
        <w:trPr>
          <w:cantSplit/>
        </w:trPr>
        <w:tc>
          <w:tcPr>
            <w:tcW w:w="474" w:type="dxa"/>
            <w:tcBorders>
              <w:top w:val="nil"/>
              <w:bottom w:val="nil"/>
              <w:right w:val="single" w:sz="4" w:space="0" w:color="999999"/>
            </w:tcBorders>
          </w:tcPr>
          <w:p w14:paraId="27067BB3" w14:textId="77777777" w:rsidR="009A2964" w:rsidRPr="00BB50F2" w:rsidRDefault="009A2964" w:rsidP="00F8293A">
            <w:pPr>
              <w:pStyle w:val="ssPara5"/>
              <w:spacing w:after="120" w:line="240" w:lineRule="auto"/>
              <w:rPr>
                <w:sz w:val="20"/>
                <w:szCs w:val="20"/>
              </w:rPr>
            </w:pPr>
          </w:p>
        </w:tc>
        <w:tc>
          <w:tcPr>
            <w:tcW w:w="948" w:type="dxa"/>
            <w:tcBorders>
              <w:top w:val="single" w:sz="4" w:space="0" w:color="999999"/>
              <w:left w:val="single" w:sz="4" w:space="0" w:color="999999"/>
              <w:bottom w:val="single" w:sz="4" w:space="0" w:color="999999"/>
              <w:right w:val="single" w:sz="4" w:space="0" w:color="999999"/>
            </w:tcBorders>
            <w:vAlign w:val="center"/>
          </w:tcPr>
          <w:p w14:paraId="3EC45041" w14:textId="77777777" w:rsidR="009A2964" w:rsidRPr="00BB50F2" w:rsidRDefault="009A2964" w:rsidP="00F8293A">
            <w:pPr>
              <w:pStyle w:val="Header"/>
              <w:rPr>
                <w:rFonts w:cs="Arial"/>
              </w:rPr>
            </w:pPr>
            <w:proofErr w:type="spellStart"/>
            <w:r w:rsidRPr="00BB50F2">
              <w:rPr>
                <w:rFonts w:cs="Arial"/>
              </w:rPr>
              <w:t>yyy</w:t>
            </w:r>
            <w:proofErr w:type="spellEnd"/>
          </w:p>
        </w:tc>
        <w:tc>
          <w:tcPr>
            <w:tcW w:w="949" w:type="dxa"/>
            <w:tcBorders>
              <w:top w:val="single" w:sz="4" w:space="0" w:color="999999"/>
              <w:left w:val="single" w:sz="4" w:space="0" w:color="999999"/>
              <w:bottom w:val="single" w:sz="4" w:space="0" w:color="999999"/>
              <w:right w:val="single" w:sz="4" w:space="0" w:color="999999"/>
            </w:tcBorders>
            <w:vAlign w:val="center"/>
          </w:tcPr>
          <w:p w14:paraId="0C47995F" w14:textId="77777777" w:rsidR="009A2964" w:rsidRPr="00BB50F2" w:rsidRDefault="009A2964" w:rsidP="00F8293A">
            <w:pPr>
              <w:pStyle w:val="Header"/>
              <w:rPr>
                <w:rFonts w:cs="Arial"/>
              </w:rPr>
            </w:pPr>
            <w:r w:rsidRPr="00BB50F2">
              <w:rPr>
                <w:rFonts w:cs="Arial"/>
              </w:rPr>
              <w:t>&lt;xxx</w:t>
            </w:r>
          </w:p>
        </w:tc>
        <w:tc>
          <w:tcPr>
            <w:tcW w:w="3866" w:type="dxa"/>
            <w:tcBorders>
              <w:top w:val="single" w:sz="4" w:space="0" w:color="999999"/>
              <w:left w:val="single" w:sz="4" w:space="0" w:color="999999"/>
              <w:bottom w:val="single" w:sz="4" w:space="0" w:color="999999"/>
              <w:right w:val="single" w:sz="4" w:space="0" w:color="999999"/>
            </w:tcBorders>
            <w:vAlign w:val="center"/>
          </w:tcPr>
          <w:p w14:paraId="31D37720" w14:textId="77777777" w:rsidR="009A2964" w:rsidRPr="00BB50F2" w:rsidRDefault="009A2964" w:rsidP="00F8293A">
            <w:pPr>
              <w:pStyle w:val="Header"/>
              <w:rPr>
                <w:rFonts w:cs="Arial"/>
              </w:rPr>
            </w:pPr>
            <w:r w:rsidRPr="00BB50F2">
              <w:rPr>
                <w:rFonts w:cs="Arial"/>
              </w:rPr>
              <w:t>(SREQ-EXREQ-FAILREQ)/(SREQ-EXREQ)</w:t>
            </w:r>
          </w:p>
        </w:tc>
        <w:tc>
          <w:tcPr>
            <w:tcW w:w="2694" w:type="dxa"/>
            <w:tcBorders>
              <w:top w:val="single" w:sz="4" w:space="0" w:color="999999"/>
              <w:left w:val="single" w:sz="4" w:space="0" w:color="999999"/>
              <w:bottom w:val="single" w:sz="4" w:space="0" w:color="999999"/>
              <w:right w:val="single" w:sz="4" w:space="0" w:color="999999"/>
            </w:tcBorders>
            <w:vAlign w:val="center"/>
          </w:tcPr>
          <w:p w14:paraId="188DE783" w14:textId="77777777" w:rsidR="009A2964" w:rsidRPr="00BB50F2" w:rsidRDefault="009A2964" w:rsidP="00F8293A">
            <w:pPr>
              <w:pStyle w:val="Header"/>
              <w:rPr>
                <w:rFonts w:cs="Arial"/>
              </w:rPr>
            </w:pPr>
            <w:r w:rsidRPr="00BB50F2">
              <w:rPr>
                <w:rFonts w:cs="Arial"/>
              </w:rPr>
              <w:t>Service pass</w:t>
            </w:r>
          </w:p>
        </w:tc>
        <w:tc>
          <w:tcPr>
            <w:tcW w:w="462" w:type="dxa"/>
            <w:tcBorders>
              <w:top w:val="nil"/>
              <w:left w:val="single" w:sz="4" w:space="0" w:color="999999"/>
              <w:bottom w:val="nil"/>
            </w:tcBorders>
          </w:tcPr>
          <w:p w14:paraId="16F73AC0" w14:textId="77777777" w:rsidR="009A2964" w:rsidRPr="00BB50F2" w:rsidRDefault="009A2964" w:rsidP="00F8293A">
            <w:pPr>
              <w:pStyle w:val="ssPara5"/>
              <w:spacing w:after="120" w:line="240" w:lineRule="auto"/>
              <w:rPr>
                <w:sz w:val="20"/>
                <w:szCs w:val="20"/>
              </w:rPr>
            </w:pPr>
          </w:p>
        </w:tc>
      </w:tr>
      <w:tr w:rsidR="009A2964" w:rsidRPr="00BB50F2" w14:paraId="176162CA" w14:textId="77777777" w:rsidTr="00F8293A">
        <w:trPr>
          <w:cantSplit/>
        </w:trPr>
        <w:tc>
          <w:tcPr>
            <w:tcW w:w="474" w:type="dxa"/>
            <w:tcBorders>
              <w:top w:val="nil"/>
              <w:bottom w:val="nil"/>
              <w:right w:val="single" w:sz="4" w:space="0" w:color="999999"/>
            </w:tcBorders>
          </w:tcPr>
          <w:p w14:paraId="746A08FB" w14:textId="77777777" w:rsidR="009A2964" w:rsidRPr="00BB50F2" w:rsidRDefault="009A2964" w:rsidP="00F8293A">
            <w:pPr>
              <w:pStyle w:val="ssPara5"/>
              <w:spacing w:after="120" w:line="240" w:lineRule="auto"/>
              <w:rPr>
                <w:sz w:val="20"/>
                <w:szCs w:val="20"/>
              </w:rPr>
            </w:pPr>
          </w:p>
        </w:tc>
        <w:tc>
          <w:tcPr>
            <w:tcW w:w="948" w:type="dxa"/>
            <w:tcBorders>
              <w:top w:val="single" w:sz="4" w:space="0" w:color="999999"/>
              <w:left w:val="single" w:sz="4" w:space="0" w:color="999999"/>
              <w:bottom w:val="single" w:sz="4" w:space="0" w:color="999999"/>
              <w:right w:val="single" w:sz="4" w:space="0" w:color="999999"/>
            </w:tcBorders>
            <w:vAlign w:val="center"/>
          </w:tcPr>
          <w:p w14:paraId="22E7858A" w14:textId="77777777" w:rsidR="009A2964" w:rsidRPr="00BB50F2" w:rsidRDefault="009A2964" w:rsidP="00F8293A">
            <w:pPr>
              <w:pStyle w:val="Header"/>
              <w:rPr>
                <w:rFonts w:cs="Arial"/>
              </w:rPr>
            </w:pPr>
            <w:r w:rsidRPr="00BB50F2">
              <w:rPr>
                <w:rFonts w:cs="Arial"/>
              </w:rPr>
              <w:t>0.0</w:t>
            </w:r>
          </w:p>
        </w:tc>
        <w:tc>
          <w:tcPr>
            <w:tcW w:w="949" w:type="dxa"/>
            <w:tcBorders>
              <w:top w:val="single" w:sz="4" w:space="0" w:color="999999"/>
              <w:left w:val="single" w:sz="4" w:space="0" w:color="999999"/>
              <w:bottom w:val="single" w:sz="4" w:space="0" w:color="999999"/>
              <w:right w:val="single" w:sz="4" w:space="0" w:color="999999"/>
            </w:tcBorders>
            <w:vAlign w:val="center"/>
          </w:tcPr>
          <w:p w14:paraId="26FAB874" w14:textId="77777777" w:rsidR="009A2964" w:rsidRPr="00BB50F2" w:rsidRDefault="009A2964" w:rsidP="00F8293A">
            <w:pPr>
              <w:pStyle w:val="Header"/>
              <w:rPr>
                <w:rFonts w:cs="Arial"/>
              </w:rPr>
            </w:pPr>
            <w:r w:rsidRPr="00BB50F2">
              <w:rPr>
                <w:rFonts w:cs="Arial"/>
              </w:rPr>
              <w:t>&lt;</w:t>
            </w:r>
            <w:proofErr w:type="spellStart"/>
            <w:r w:rsidRPr="00BB50F2">
              <w:rPr>
                <w:rFonts w:cs="Arial"/>
              </w:rPr>
              <w:t>yyy</w:t>
            </w:r>
            <w:proofErr w:type="spellEnd"/>
          </w:p>
        </w:tc>
        <w:tc>
          <w:tcPr>
            <w:tcW w:w="3866" w:type="dxa"/>
            <w:tcBorders>
              <w:top w:val="single" w:sz="4" w:space="0" w:color="999999"/>
              <w:left w:val="single" w:sz="4" w:space="0" w:color="999999"/>
              <w:bottom w:val="single" w:sz="4" w:space="0" w:color="999999"/>
              <w:right w:val="single" w:sz="4" w:space="0" w:color="999999"/>
            </w:tcBorders>
            <w:vAlign w:val="center"/>
          </w:tcPr>
          <w:p w14:paraId="7B831241" w14:textId="77777777" w:rsidR="009A2964" w:rsidRPr="00BB50F2" w:rsidRDefault="009A2964" w:rsidP="00F8293A">
            <w:pPr>
              <w:pStyle w:val="Header"/>
              <w:rPr>
                <w:rFonts w:cs="Arial"/>
              </w:rPr>
            </w:pPr>
            <w:r w:rsidRPr="00BB50F2">
              <w:rPr>
                <w:rFonts w:cs="Arial"/>
              </w:rPr>
              <w:t>(SREQ-EXREQ-FAILREQ)/(SREQ-EXREQ)</w:t>
            </w:r>
          </w:p>
        </w:tc>
        <w:tc>
          <w:tcPr>
            <w:tcW w:w="2694" w:type="dxa"/>
            <w:tcBorders>
              <w:top w:val="single" w:sz="4" w:space="0" w:color="999999"/>
              <w:left w:val="single" w:sz="4" w:space="0" w:color="999999"/>
              <w:bottom w:val="single" w:sz="4" w:space="0" w:color="999999"/>
              <w:right w:val="single" w:sz="4" w:space="0" w:color="999999"/>
            </w:tcBorders>
            <w:vAlign w:val="center"/>
          </w:tcPr>
          <w:p w14:paraId="6E6038D4" w14:textId="77777777" w:rsidR="009A2964" w:rsidRPr="00BB50F2" w:rsidRDefault="009A2964" w:rsidP="00F8293A">
            <w:pPr>
              <w:pStyle w:val="Header"/>
              <w:rPr>
                <w:rFonts w:cs="Arial"/>
              </w:rPr>
            </w:pPr>
            <w:r w:rsidRPr="00BB50F2">
              <w:rPr>
                <w:rFonts w:cs="Arial"/>
              </w:rPr>
              <w:t>Service Fail</w:t>
            </w:r>
          </w:p>
        </w:tc>
        <w:tc>
          <w:tcPr>
            <w:tcW w:w="462" w:type="dxa"/>
            <w:tcBorders>
              <w:top w:val="nil"/>
              <w:left w:val="single" w:sz="4" w:space="0" w:color="999999"/>
              <w:bottom w:val="nil"/>
            </w:tcBorders>
          </w:tcPr>
          <w:p w14:paraId="7C710889" w14:textId="77777777" w:rsidR="009A2964" w:rsidRPr="00BB50F2" w:rsidRDefault="009A2964" w:rsidP="00F8293A">
            <w:pPr>
              <w:pStyle w:val="ssPara5"/>
              <w:spacing w:after="120" w:line="240" w:lineRule="auto"/>
              <w:rPr>
                <w:sz w:val="20"/>
                <w:szCs w:val="20"/>
              </w:rPr>
            </w:pPr>
          </w:p>
        </w:tc>
      </w:tr>
      <w:tr w:rsidR="009A2964" w:rsidRPr="00BB50F2" w14:paraId="38615F7E" w14:textId="77777777" w:rsidTr="00F8293A">
        <w:trPr>
          <w:cantSplit/>
          <w:trHeight w:hRule="exact" w:val="113"/>
        </w:trPr>
        <w:tc>
          <w:tcPr>
            <w:tcW w:w="9393" w:type="dxa"/>
            <w:gridSpan w:val="6"/>
            <w:tcBorders>
              <w:top w:val="nil"/>
              <w:bottom w:val="nil"/>
            </w:tcBorders>
          </w:tcPr>
          <w:p w14:paraId="0E178BF8" w14:textId="77777777" w:rsidR="009A2964" w:rsidRPr="00BB50F2" w:rsidRDefault="009A2964" w:rsidP="00F8293A">
            <w:pPr>
              <w:pStyle w:val="Header"/>
              <w:rPr>
                <w:rFonts w:cs="Arial"/>
              </w:rPr>
            </w:pPr>
          </w:p>
        </w:tc>
      </w:tr>
      <w:tr w:rsidR="009A2964" w:rsidRPr="00BB50F2" w14:paraId="3346273E" w14:textId="77777777" w:rsidTr="00F8293A">
        <w:trPr>
          <w:cantSplit/>
          <w:trHeight w:hRule="exact" w:val="113"/>
        </w:trPr>
        <w:tc>
          <w:tcPr>
            <w:tcW w:w="9393" w:type="dxa"/>
            <w:gridSpan w:val="6"/>
            <w:tcBorders>
              <w:top w:val="nil"/>
            </w:tcBorders>
          </w:tcPr>
          <w:p w14:paraId="0A9939AC" w14:textId="77777777" w:rsidR="009A2964" w:rsidRPr="00BB50F2" w:rsidRDefault="009A2964" w:rsidP="00F8293A">
            <w:pPr>
              <w:pStyle w:val="Header"/>
              <w:rPr>
                <w:rFonts w:cs="Arial"/>
              </w:rPr>
            </w:pPr>
          </w:p>
        </w:tc>
      </w:tr>
      <w:tr w:rsidR="009A2964" w:rsidRPr="00BB50F2" w14:paraId="61D06F48" w14:textId="77777777" w:rsidTr="00F8293A">
        <w:trPr>
          <w:cantSplit/>
          <w:trHeight w:hRule="exact" w:val="397"/>
        </w:trPr>
        <w:tc>
          <w:tcPr>
            <w:tcW w:w="9393" w:type="dxa"/>
            <w:gridSpan w:val="6"/>
            <w:vAlign w:val="center"/>
          </w:tcPr>
          <w:p w14:paraId="255C525D" w14:textId="77777777" w:rsidR="009A2964" w:rsidRPr="00BB50F2" w:rsidRDefault="009A2964" w:rsidP="00F8293A">
            <w:pPr>
              <w:pStyle w:val="Header"/>
              <w:rPr>
                <w:rFonts w:cs="Arial"/>
              </w:rPr>
            </w:pPr>
            <w:r w:rsidRPr="00BB50F2">
              <w:rPr>
                <w:rFonts w:cs="Arial"/>
              </w:rPr>
              <w:t>Notes:</w:t>
            </w:r>
          </w:p>
        </w:tc>
      </w:tr>
      <w:tr w:rsidR="009A2964" w:rsidRPr="00BB50F2" w14:paraId="1C4A2E70" w14:textId="77777777" w:rsidTr="00F8293A">
        <w:trPr>
          <w:cantSplit/>
        </w:trPr>
        <w:tc>
          <w:tcPr>
            <w:tcW w:w="9393" w:type="dxa"/>
            <w:gridSpan w:val="6"/>
          </w:tcPr>
          <w:p w14:paraId="144A1186" w14:textId="77777777" w:rsidR="009A2964" w:rsidRPr="00BB50F2" w:rsidRDefault="009A2964" w:rsidP="00F8293A">
            <w:pPr>
              <w:pStyle w:val="Header"/>
              <w:rPr>
                <w:rFonts w:cs="Arial"/>
              </w:rPr>
            </w:pPr>
            <w:r w:rsidRPr="00BB50F2">
              <w:rPr>
                <w:rFonts w:cs="Arial"/>
              </w:rPr>
              <w:t xml:space="preserve">xxx – Target as defined in table </w:t>
            </w:r>
            <w:proofErr w:type="gramStart"/>
            <w:r w:rsidRPr="00BB50F2">
              <w:rPr>
                <w:rFonts w:cs="Arial"/>
              </w:rPr>
              <w:t>1</w:t>
            </w:r>
            <w:proofErr w:type="gramEnd"/>
          </w:p>
          <w:p w14:paraId="788EF886" w14:textId="0C08E947" w:rsidR="009A2964" w:rsidRPr="00BB50F2" w:rsidRDefault="009A2964" w:rsidP="00F8293A">
            <w:pPr>
              <w:pStyle w:val="Header"/>
              <w:rPr>
                <w:rFonts w:cs="Arial"/>
              </w:rPr>
            </w:pPr>
            <w:proofErr w:type="spellStart"/>
            <w:r w:rsidRPr="00BB50F2">
              <w:rPr>
                <w:rFonts w:cs="Arial"/>
              </w:rPr>
              <w:t>yyy</w:t>
            </w:r>
            <w:proofErr w:type="spellEnd"/>
            <w:r w:rsidRPr="00BB50F2">
              <w:rPr>
                <w:rFonts w:cs="Arial"/>
              </w:rPr>
              <w:t xml:space="preserve">- Minimum as defined in table </w:t>
            </w:r>
            <w:proofErr w:type="gramStart"/>
            <w:r w:rsidRPr="00BB50F2">
              <w:rPr>
                <w:rFonts w:cs="Arial"/>
              </w:rPr>
              <w:t>1</w:t>
            </w:r>
            <w:proofErr w:type="gramEnd"/>
          </w:p>
          <w:p w14:paraId="1FE12B63" w14:textId="77777777" w:rsidR="009A2964" w:rsidRPr="00BB50F2" w:rsidRDefault="009A2964" w:rsidP="00F8293A">
            <w:pPr>
              <w:pStyle w:val="Header"/>
              <w:rPr>
                <w:rFonts w:cs="Arial"/>
              </w:rPr>
            </w:pPr>
          </w:p>
        </w:tc>
      </w:tr>
    </w:tbl>
    <w:p w14:paraId="2339D1DA" w14:textId="77777777" w:rsidR="009A2964" w:rsidRPr="00BB50F2" w:rsidRDefault="009A2964" w:rsidP="00F8293A">
      <w:pPr>
        <w:jc w:val="left"/>
        <w:rPr>
          <w:rFonts w:cs="Arial"/>
        </w:rPr>
      </w:pPr>
      <w:r w:rsidRPr="00BB50F2">
        <w:rPr>
          <w:rFonts w:cs="Arial"/>
        </w:rPr>
        <w:br w:type="page"/>
      </w:r>
    </w:p>
    <w:p w14:paraId="7C345E06" w14:textId="77777777" w:rsidR="009A2964" w:rsidRPr="00BB50F2" w:rsidRDefault="009A2964" w:rsidP="00F8293A">
      <w:pPr>
        <w:jc w:val="left"/>
        <w:rPr>
          <w:rFonts w:cs="Arial"/>
        </w:rPr>
      </w:pPr>
    </w:p>
    <w:tbl>
      <w:tblPr>
        <w:tblW w:w="93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
        <w:gridCol w:w="918"/>
        <w:gridCol w:w="1073"/>
        <w:gridCol w:w="5183"/>
        <w:gridCol w:w="1559"/>
        <w:gridCol w:w="236"/>
      </w:tblGrid>
      <w:tr w:rsidR="009A2964" w:rsidRPr="00BB50F2" w14:paraId="432CDF0D" w14:textId="77777777" w:rsidTr="00F8293A">
        <w:trPr>
          <w:trHeight w:hRule="exact" w:val="654"/>
        </w:trPr>
        <w:tc>
          <w:tcPr>
            <w:tcW w:w="7513" w:type="dxa"/>
            <w:gridSpan w:val="4"/>
          </w:tcPr>
          <w:p w14:paraId="0008177A" w14:textId="77777777" w:rsidR="009A2964" w:rsidRPr="00BB50F2" w:rsidRDefault="009A2964" w:rsidP="00F8293A">
            <w:pPr>
              <w:rPr>
                <w:rFonts w:cs="Arial"/>
                <w:b/>
              </w:rPr>
            </w:pPr>
            <w:r w:rsidRPr="00BB50F2">
              <w:rPr>
                <w:rFonts w:cs="Arial"/>
                <w:b/>
              </w:rPr>
              <w:t>Customer input to resolve Priority One (P1) and Priority Two (P2</w:t>
            </w:r>
            <w:proofErr w:type="gramStart"/>
            <w:r w:rsidRPr="00BB50F2">
              <w:rPr>
                <w:rFonts w:cs="Arial"/>
                <w:b/>
              </w:rPr>
              <w:t>)  incidents</w:t>
            </w:r>
            <w:proofErr w:type="gramEnd"/>
          </w:p>
        </w:tc>
        <w:tc>
          <w:tcPr>
            <w:tcW w:w="1795" w:type="dxa"/>
            <w:gridSpan w:val="2"/>
            <w:vAlign w:val="center"/>
          </w:tcPr>
          <w:p w14:paraId="3520B783" w14:textId="4CEA0496" w:rsidR="009A2964" w:rsidRPr="002C7090" w:rsidRDefault="009A2964" w:rsidP="002C7090">
            <w:pPr>
              <w:pStyle w:val="Heading1"/>
              <w:numPr>
                <w:ilvl w:val="0"/>
                <w:numId w:val="0"/>
              </w:numPr>
              <w:spacing w:after="120"/>
              <w:rPr>
                <w:rFonts w:cs="Arial"/>
                <w:bCs w:val="0"/>
              </w:rPr>
            </w:pPr>
            <w:r w:rsidRPr="00BB50F2">
              <w:rPr>
                <w:rFonts w:cs="Arial"/>
              </w:rPr>
              <w:t>Q-1</w:t>
            </w:r>
            <w:r w:rsidR="002C7090">
              <w:rPr>
                <w:rFonts w:cs="Arial"/>
                <w:b w:val="0"/>
                <w:lang w:eastAsia="en-US"/>
              </w:rPr>
              <w:t xml:space="preserve"> </w:t>
            </w:r>
            <w:r w:rsidRPr="002C7090">
              <w:rPr>
                <w:rFonts w:cs="Arial"/>
                <w:bCs w:val="0"/>
                <w:lang w:eastAsia="en-US"/>
              </w:rPr>
              <w:t>Continuous</w:t>
            </w:r>
          </w:p>
        </w:tc>
      </w:tr>
      <w:tr w:rsidR="009A2964" w:rsidRPr="00BB50F2" w14:paraId="6252315A" w14:textId="77777777" w:rsidTr="00F8293A">
        <w:trPr>
          <w:cantSplit/>
          <w:trHeight w:hRule="exact" w:val="397"/>
        </w:trPr>
        <w:tc>
          <w:tcPr>
            <w:tcW w:w="9308" w:type="dxa"/>
            <w:gridSpan w:val="6"/>
            <w:vAlign w:val="center"/>
          </w:tcPr>
          <w:p w14:paraId="2B75D3FC" w14:textId="77777777" w:rsidR="009A2964" w:rsidRPr="00BB50F2" w:rsidRDefault="009A2964" w:rsidP="00F8293A">
            <w:pPr>
              <w:rPr>
                <w:rFonts w:cs="Arial"/>
                <w:b/>
              </w:rPr>
            </w:pPr>
            <w:r w:rsidRPr="00BB50F2">
              <w:rPr>
                <w:rFonts w:cs="Arial"/>
                <w:b/>
              </w:rPr>
              <w:t>Definition:</w:t>
            </w:r>
          </w:p>
        </w:tc>
      </w:tr>
      <w:tr w:rsidR="009A2964" w:rsidRPr="00BB50F2" w14:paraId="4FE94560" w14:textId="77777777" w:rsidTr="00F8293A">
        <w:trPr>
          <w:cantSplit/>
        </w:trPr>
        <w:tc>
          <w:tcPr>
            <w:tcW w:w="9308" w:type="dxa"/>
            <w:gridSpan w:val="6"/>
          </w:tcPr>
          <w:p w14:paraId="063C3C7D" w14:textId="15ACB3A9" w:rsidR="009A2964" w:rsidRPr="00BB50F2" w:rsidRDefault="009A2964" w:rsidP="00701A9B">
            <w:pPr>
              <w:pStyle w:val="Header"/>
              <w:ind w:left="33" w:hanging="33"/>
              <w:rPr>
                <w:rFonts w:cs="Arial"/>
              </w:rPr>
            </w:pPr>
            <w:r w:rsidRPr="00BB50F2">
              <w:rPr>
                <w:rFonts w:cs="Arial"/>
              </w:rPr>
              <w:t xml:space="preserve">The Supplier shall be self-sufficient, and each month shall resolve P1 </w:t>
            </w:r>
            <w:r w:rsidRPr="00BB50F2">
              <w:rPr>
                <w:rStyle w:val="CommentReference"/>
                <w:rFonts w:cs="Arial"/>
                <w:szCs w:val="20"/>
              </w:rPr>
              <w:t xml:space="preserve">and P2 </w:t>
            </w:r>
            <w:r w:rsidRPr="00BB50F2">
              <w:rPr>
                <w:rFonts w:cs="Arial"/>
              </w:rPr>
              <w:t xml:space="preserve">incidents without requesting </w:t>
            </w:r>
            <w:proofErr w:type="spellStart"/>
            <w:r w:rsidR="001F1C19">
              <w:rPr>
                <w:rFonts w:cs="Arial"/>
              </w:rPr>
              <w:t>Netlink</w:t>
            </w:r>
            <w:proofErr w:type="spellEnd"/>
            <w:r w:rsidR="001F1C19">
              <w:rPr>
                <w:rFonts w:cs="Arial"/>
              </w:rPr>
              <w:t xml:space="preserve"> Star</w:t>
            </w:r>
            <w:r w:rsidRPr="00BB50F2">
              <w:rPr>
                <w:rFonts w:cs="Arial"/>
              </w:rPr>
              <w:t xml:space="preserve"> subject matter assistance from a technical perspective [Excluding confirmation requests]</w:t>
            </w:r>
          </w:p>
        </w:tc>
      </w:tr>
      <w:tr w:rsidR="009A2964" w:rsidRPr="00BB50F2" w14:paraId="714C48CB" w14:textId="77777777" w:rsidTr="00F8293A">
        <w:trPr>
          <w:cantSplit/>
          <w:trHeight w:hRule="exact" w:val="397"/>
        </w:trPr>
        <w:tc>
          <w:tcPr>
            <w:tcW w:w="9308" w:type="dxa"/>
            <w:gridSpan w:val="6"/>
            <w:vAlign w:val="center"/>
          </w:tcPr>
          <w:p w14:paraId="43175608" w14:textId="77777777" w:rsidR="009A2964" w:rsidRPr="00BB50F2" w:rsidRDefault="009A2964" w:rsidP="00F8293A">
            <w:pPr>
              <w:pStyle w:val="Header"/>
              <w:rPr>
                <w:rFonts w:cs="Arial"/>
              </w:rPr>
            </w:pPr>
            <w:r w:rsidRPr="00BB50F2">
              <w:rPr>
                <w:rFonts w:cs="Arial"/>
              </w:rPr>
              <w:t>Calculation:</w:t>
            </w:r>
          </w:p>
        </w:tc>
      </w:tr>
      <w:tr w:rsidR="009A2964" w:rsidRPr="00BB50F2" w14:paraId="6A447EAE" w14:textId="77777777" w:rsidTr="00F8293A">
        <w:trPr>
          <w:cantSplit/>
        </w:trPr>
        <w:tc>
          <w:tcPr>
            <w:tcW w:w="9308" w:type="dxa"/>
            <w:gridSpan w:val="6"/>
            <w:tcBorders>
              <w:bottom w:val="nil"/>
            </w:tcBorders>
          </w:tcPr>
          <w:p w14:paraId="1691966D" w14:textId="77777777" w:rsidR="009A2964" w:rsidRPr="00BB50F2" w:rsidRDefault="009A2964" w:rsidP="00F8293A">
            <w:pPr>
              <w:pStyle w:val="Header"/>
              <w:rPr>
                <w:rFonts w:cs="Arial"/>
              </w:rPr>
            </w:pPr>
            <w:r w:rsidRPr="00BB50F2">
              <w:rPr>
                <w:rFonts w:cs="Arial"/>
              </w:rPr>
              <w:t>_</w:t>
            </w:r>
          </w:p>
        </w:tc>
      </w:tr>
      <w:tr w:rsidR="009A2964" w:rsidRPr="00BB50F2" w14:paraId="072BB014" w14:textId="77777777" w:rsidTr="00F8293A">
        <w:trPr>
          <w:cantSplit/>
        </w:trPr>
        <w:tc>
          <w:tcPr>
            <w:tcW w:w="339" w:type="dxa"/>
            <w:tcBorders>
              <w:top w:val="nil"/>
              <w:bottom w:val="nil"/>
              <w:right w:val="single" w:sz="4" w:space="0" w:color="999999"/>
            </w:tcBorders>
          </w:tcPr>
          <w:p w14:paraId="60BCC40F" w14:textId="77777777" w:rsidR="009A2964" w:rsidRPr="00BB50F2" w:rsidRDefault="009A2964" w:rsidP="00F8293A">
            <w:pPr>
              <w:pStyle w:val="Header"/>
              <w:rPr>
                <w:rFonts w:cs="Arial"/>
              </w:rPr>
            </w:pPr>
          </w:p>
        </w:tc>
        <w:tc>
          <w:tcPr>
            <w:tcW w:w="1991" w:type="dxa"/>
            <w:gridSpan w:val="2"/>
            <w:tcBorders>
              <w:top w:val="single" w:sz="4" w:space="0" w:color="999999"/>
              <w:left w:val="single" w:sz="4" w:space="0" w:color="999999"/>
              <w:bottom w:val="single" w:sz="4" w:space="0" w:color="999999"/>
              <w:right w:val="single" w:sz="4" w:space="0" w:color="999999"/>
            </w:tcBorders>
          </w:tcPr>
          <w:p w14:paraId="44BA4E0A" w14:textId="77777777" w:rsidR="009A2964" w:rsidRPr="00BB50F2" w:rsidRDefault="009A2964" w:rsidP="00701A9B">
            <w:pPr>
              <w:pStyle w:val="Header"/>
              <w:ind w:left="118" w:firstLine="0"/>
              <w:rPr>
                <w:rFonts w:cs="Arial"/>
              </w:rPr>
            </w:pPr>
            <w:r w:rsidRPr="00BB50F2">
              <w:rPr>
                <w:rFonts w:cs="Arial"/>
              </w:rPr>
              <w:t xml:space="preserve">Subject Matter Expert requests </w:t>
            </w:r>
          </w:p>
        </w:tc>
        <w:tc>
          <w:tcPr>
            <w:tcW w:w="6742" w:type="dxa"/>
            <w:gridSpan w:val="2"/>
            <w:tcBorders>
              <w:top w:val="single" w:sz="4" w:space="0" w:color="999999"/>
              <w:left w:val="single" w:sz="4" w:space="0" w:color="999999"/>
              <w:bottom w:val="single" w:sz="4" w:space="0" w:color="999999"/>
              <w:right w:val="single" w:sz="4" w:space="0" w:color="999999"/>
            </w:tcBorders>
          </w:tcPr>
          <w:p w14:paraId="3A50A043" w14:textId="1D750FAC" w:rsidR="009A2964" w:rsidRPr="00BB50F2" w:rsidRDefault="009A2964" w:rsidP="00701A9B">
            <w:pPr>
              <w:pStyle w:val="Header"/>
              <w:ind w:left="120" w:firstLine="0"/>
              <w:rPr>
                <w:rFonts w:cs="Arial"/>
              </w:rPr>
            </w:pPr>
            <w:r w:rsidRPr="00BB50F2">
              <w:rPr>
                <w:rFonts w:cs="Arial"/>
              </w:rPr>
              <w:t xml:space="preserve">During the handling of Priority 1 and Priority 2 incidents the number of documented requests (REQNUM) for advice from </w:t>
            </w:r>
            <w:proofErr w:type="spellStart"/>
            <w:r w:rsidR="001F1C19">
              <w:rPr>
                <w:rFonts w:cs="Arial"/>
              </w:rPr>
              <w:t>Netlink</w:t>
            </w:r>
            <w:proofErr w:type="spellEnd"/>
            <w:r w:rsidR="001F1C19">
              <w:rPr>
                <w:rFonts w:cs="Arial"/>
              </w:rPr>
              <w:t xml:space="preserve"> Star</w:t>
            </w:r>
            <w:r w:rsidRPr="00BB50F2">
              <w:rPr>
                <w:rFonts w:cs="Arial"/>
              </w:rPr>
              <w:t xml:space="preserve"> Subject Matter Experts for Service Components that the Supplier is providing support that are logged in all of the P1 and P2 meeting minutes and service tickets (</w:t>
            </w:r>
            <w:proofErr w:type="gramStart"/>
            <w:r w:rsidRPr="00BB50F2">
              <w:rPr>
                <w:rFonts w:cs="Arial"/>
              </w:rPr>
              <w:t>i.e.</w:t>
            </w:r>
            <w:proofErr w:type="gramEnd"/>
            <w:r w:rsidR="00271517">
              <w:rPr>
                <w:rFonts w:cs="Arial"/>
              </w:rPr>
              <w:t xml:space="preserve"> </w:t>
            </w:r>
            <w:r w:rsidRPr="00BB50F2">
              <w:rPr>
                <w:rFonts w:cs="Arial"/>
              </w:rPr>
              <w:t xml:space="preserve">The Service Provider is not being asked to support something that they are not contracted for).  </w:t>
            </w:r>
          </w:p>
        </w:tc>
        <w:tc>
          <w:tcPr>
            <w:tcW w:w="236" w:type="dxa"/>
            <w:tcBorders>
              <w:top w:val="nil"/>
              <w:left w:val="single" w:sz="4" w:space="0" w:color="999999"/>
              <w:bottom w:val="nil"/>
            </w:tcBorders>
          </w:tcPr>
          <w:p w14:paraId="422100E2" w14:textId="77777777" w:rsidR="009A2964" w:rsidRPr="00BB50F2" w:rsidRDefault="009A2964" w:rsidP="00F8293A">
            <w:pPr>
              <w:pStyle w:val="Header"/>
              <w:rPr>
                <w:rFonts w:cs="Arial"/>
              </w:rPr>
            </w:pPr>
          </w:p>
        </w:tc>
      </w:tr>
      <w:tr w:rsidR="009A2964" w:rsidRPr="00BB50F2" w14:paraId="74E27793" w14:textId="77777777" w:rsidTr="00F8293A">
        <w:trPr>
          <w:cantSplit/>
          <w:trHeight w:hRule="exact" w:val="113"/>
        </w:trPr>
        <w:tc>
          <w:tcPr>
            <w:tcW w:w="9308" w:type="dxa"/>
            <w:gridSpan w:val="6"/>
            <w:tcBorders>
              <w:top w:val="nil"/>
            </w:tcBorders>
          </w:tcPr>
          <w:p w14:paraId="320E97CE" w14:textId="77777777" w:rsidR="009A2964" w:rsidRPr="00BB50F2" w:rsidRDefault="009A2964" w:rsidP="00701A9B">
            <w:pPr>
              <w:pStyle w:val="Header"/>
              <w:ind w:left="118" w:firstLine="0"/>
              <w:rPr>
                <w:rFonts w:cs="Arial"/>
              </w:rPr>
            </w:pPr>
          </w:p>
        </w:tc>
      </w:tr>
      <w:tr w:rsidR="009A2964" w:rsidRPr="00BB50F2" w14:paraId="68AF1BC8" w14:textId="77777777" w:rsidTr="00F8293A">
        <w:trPr>
          <w:cantSplit/>
          <w:trHeight w:hRule="exact" w:val="397"/>
        </w:trPr>
        <w:tc>
          <w:tcPr>
            <w:tcW w:w="9308" w:type="dxa"/>
            <w:gridSpan w:val="6"/>
            <w:vAlign w:val="center"/>
          </w:tcPr>
          <w:p w14:paraId="2F123605" w14:textId="77777777" w:rsidR="009A2964" w:rsidRPr="00BB50F2" w:rsidRDefault="009A2964" w:rsidP="00701A9B">
            <w:pPr>
              <w:pStyle w:val="Header"/>
              <w:ind w:left="118" w:firstLine="0"/>
              <w:rPr>
                <w:rFonts w:cs="Arial"/>
              </w:rPr>
            </w:pPr>
            <w:r w:rsidRPr="00BB50F2">
              <w:rPr>
                <w:rFonts w:cs="Arial"/>
              </w:rPr>
              <w:t>Measurement:</w:t>
            </w:r>
          </w:p>
        </w:tc>
      </w:tr>
      <w:tr w:rsidR="009A2964" w:rsidRPr="00BB50F2" w14:paraId="73846873" w14:textId="77777777" w:rsidTr="00F8293A">
        <w:trPr>
          <w:cantSplit/>
          <w:trHeight w:hRule="exact" w:val="113"/>
        </w:trPr>
        <w:tc>
          <w:tcPr>
            <w:tcW w:w="9308" w:type="dxa"/>
            <w:gridSpan w:val="6"/>
            <w:tcBorders>
              <w:bottom w:val="nil"/>
            </w:tcBorders>
          </w:tcPr>
          <w:p w14:paraId="20C9A9D1" w14:textId="77777777" w:rsidR="009A2964" w:rsidRPr="00BB50F2" w:rsidRDefault="009A2964" w:rsidP="00701A9B">
            <w:pPr>
              <w:pStyle w:val="Header"/>
              <w:ind w:left="118" w:firstLine="0"/>
              <w:rPr>
                <w:rFonts w:cs="Arial"/>
              </w:rPr>
            </w:pPr>
          </w:p>
        </w:tc>
      </w:tr>
      <w:tr w:rsidR="009A2964" w:rsidRPr="00BB50F2" w14:paraId="2BBB0E89" w14:textId="77777777" w:rsidTr="00F8293A">
        <w:trPr>
          <w:cantSplit/>
        </w:trPr>
        <w:tc>
          <w:tcPr>
            <w:tcW w:w="339" w:type="dxa"/>
            <w:tcBorders>
              <w:top w:val="nil"/>
              <w:bottom w:val="nil"/>
              <w:right w:val="single" w:sz="4" w:space="0" w:color="999999"/>
            </w:tcBorders>
          </w:tcPr>
          <w:p w14:paraId="39A80674" w14:textId="77777777" w:rsidR="009A2964" w:rsidRPr="00BB50F2" w:rsidRDefault="009A2964" w:rsidP="00F8293A">
            <w:pPr>
              <w:pStyle w:val="Header"/>
              <w:rPr>
                <w:rFonts w:cs="Arial"/>
              </w:rPr>
            </w:pPr>
          </w:p>
        </w:tc>
        <w:tc>
          <w:tcPr>
            <w:tcW w:w="1991" w:type="dxa"/>
            <w:gridSpan w:val="2"/>
            <w:tcBorders>
              <w:top w:val="single" w:sz="4" w:space="0" w:color="999999"/>
              <w:left w:val="single" w:sz="4" w:space="0" w:color="999999"/>
              <w:bottom w:val="single" w:sz="4" w:space="0" w:color="999999"/>
              <w:right w:val="single" w:sz="4" w:space="0" w:color="999999"/>
            </w:tcBorders>
          </w:tcPr>
          <w:p w14:paraId="7E0C6196" w14:textId="77777777" w:rsidR="009A2964" w:rsidRPr="00BB50F2" w:rsidRDefault="009A2964" w:rsidP="00701A9B">
            <w:pPr>
              <w:pStyle w:val="Header"/>
              <w:ind w:left="118" w:firstLine="0"/>
              <w:rPr>
                <w:rFonts w:cs="Arial"/>
              </w:rPr>
            </w:pPr>
            <w:r w:rsidRPr="00BB50F2">
              <w:rPr>
                <w:rFonts w:cs="Arial"/>
              </w:rPr>
              <w:t>Period</w:t>
            </w:r>
          </w:p>
        </w:tc>
        <w:tc>
          <w:tcPr>
            <w:tcW w:w="6742" w:type="dxa"/>
            <w:gridSpan w:val="2"/>
            <w:tcBorders>
              <w:top w:val="single" w:sz="4" w:space="0" w:color="999999"/>
              <w:left w:val="single" w:sz="4" w:space="0" w:color="999999"/>
              <w:bottom w:val="single" w:sz="4" w:space="0" w:color="999999"/>
              <w:right w:val="single" w:sz="4" w:space="0" w:color="999999"/>
            </w:tcBorders>
          </w:tcPr>
          <w:p w14:paraId="3C08A257" w14:textId="77777777" w:rsidR="009A2964" w:rsidRPr="00BB50F2" w:rsidRDefault="009A2964" w:rsidP="00701A9B">
            <w:pPr>
              <w:pStyle w:val="Header"/>
              <w:ind w:left="120" w:firstLine="0"/>
              <w:rPr>
                <w:rFonts w:cs="Arial"/>
              </w:rPr>
            </w:pPr>
            <w:r w:rsidRPr="00BB50F2">
              <w:rPr>
                <w:rFonts w:cs="Arial"/>
              </w:rPr>
              <w:t>Monthly</w:t>
            </w:r>
          </w:p>
        </w:tc>
        <w:tc>
          <w:tcPr>
            <w:tcW w:w="236" w:type="dxa"/>
            <w:tcBorders>
              <w:top w:val="nil"/>
              <w:left w:val="single" w:sz="4" w:space="0" w:color="999999"/>
              <w:bottom w:val="nil"/>
            </w:tcBorders>
          </w:tcPr>
          <w:p w14:paraId="3248BE58" w14:textId="77777777" w:rsidR="009A2964" w:rsidRPr="00BB50F2" w:rsidRDefault="009A2964" w:rsidP="00F8293A">
            <w:pPr>
              <w:pStyle w:val="Header"/>
              <w:rPr>
                <w:rFonts w:cs="Arial"/>
              </w:rPr>
            </w:pPr>
          </w:p>
        </w:tc>
      </w:tr>
      <w:tr w:rsidR="009A2964" w:rsidRPr="00BB50F2" w14:paraId="6C1A00E8" w14:textId="77777777" w:rsidTr="00F8293A">
        <w:trPr>
          <w:cantSplit/>
        </w:trPr>
        <w:tc>
          <w:tcPr>
            <w:tcW w:w="339" w:type="dxa"/>
            <w:tcBorders>
              <w:top w:val="nil"/>
              <w:bottom w:val="nil"/>
              <w:right w:val="single" w:sz="4" w:space="0" w:color="999999"/>
            </w:tcBorders>
          </w:tcPr>
          <w:p w14:paraId="42296C12" w14:textId="77777777" w:rsidR="009A2964" w:rsidRPr="00BB50F2" w:rsidRDefault="009A2964" w:rsidP="00F8293A">
            <w:pPr>
              <w:pStyle w:val="Header"/>
              <w:rPr>
                <w:rFonts w:cs="Arial"/>
              </w:rPr>
            </w:pPr>
          </w:p>
        </w:tc>
        <w:tc>
          <w:tcPr>
            <w:tcW w:w="1991" w:type="dxa"/>
            <w:gridSpan w:val="2"/>
            <w:tcBorders>
              <w:top w:val="single" w:sz="4" w:space="0" w:color="999999"/>
              <w:left w:val="single" w:sz="4" w:space="0" w:color="999999"/>
              <w:bottom w:val="single" w:sz="4" w:space="0" w:color="999999"/>
              <w:right w:val="single" w:sz="4" w:space="0" w:color="999999"/>
            </w:tcBorders>
          </w:tcPr>
          <w:p w14:paraId="4A23C142" w14:textId="77777777" w:rsidR="009A2964" w:rsidRPr="00BB50F2" w:rsidRDefault="009A2964" w:rsidP="00701A9B">
            <w:pPr>
              <w:pStyle w:val="Header"/>
              <w:ind w:left="118" w:firstLine="0"/>
              <w:rPr>
                <w:rFonts w:cs="Arial"/>
              </w:rPr>
            </w:pPr>
            <w:r w:rsidRPr="00BB50F2">
              <w:rPr>
                <w:rFonts w:cs="Arial"/>
              </w:rPr>
              <w:t>Method</w:t>
            </w:r>
          </w:p>
        </w:tc>
        <w:tc>
          <w:tcPr>
            <w:tcW w:w="6742" w:type="dxa"/>
            <w:gridSpan w:val="2"/>
            <w:tcBorders>
              <w:top w:val="single" w:sz="4" w:space="0" w:color="999999"/>
              <w:left w:val="single" w:sz="4" w:space="0" w:color="999999"/>
              <w:bottom w:val="single" w:sz="4" w:space="0" w:color="999999"/>
              <w:right w:val="single" w:sz="4" w:space="0" w:color="999999"/>
            </w:tcBorders>
          </w:tcPr>
          <w:p w14:paraId="58B9EF32" w14:textId="2EE6F295" w:rsidR="009A2964" w:rsidRPr="00BB50F2" w:rsidRDefault="009A2964" w:rsidP="00701A9B">
            <w:pPr>
              <w:pStyle w:val="Header"/>
              <w:ind w:left="120" w:firstLine="0"/>
              <w:rPr>
                <w:rFonts w:cs="Arial"/>
              </w:rPr>
            </w:pPr>
            <w:r w:rsidRPr="00BB50F2">
              <w:rPr>
                <w:rFonts w:cs="Arial"/>
              </w:rPr>
              <w:t xml:space="preserve">All severity one incidents that occur in the Period are reviewed once the incident has been resolved.  As part of this review the minutes published after each call documenting all actions to be taken are examined and any actions that fall to a </w:t>
            </w:r>
            <w:proofErr w:type="spellStart"/>
            <w:r w:rsidR="001F1C19">
              <w:rPr>
                <w:rFonts w:cs="Arial"/>
              </w:rPr>
              <w:t>Netlink</w:t>
            </w:r>
            <w:proofErr w:type="spellEnd"/>
            <w:r w:rsidR="001F1C19">
              <w:rPr>
                <w:rFonts w:cs="Arial"/>
              </w:rPr>
              <w:t xml:space="preserve"> Star</w:t>
            </w:r>
            <w:r w:rsidRPr="00BB50F2">
              <w:rPr>
                <w:rFonts w:cs="Arial"/>
              </w:rPr>
              <w:t xml:space="preserve"> Subject Matter Expert are logged. </w:t>
            </w:r>
          </w:p>
          <w:p w14:paraId="701A326B" w14:textId="0E413DD3" w:rsidR="009A2964" w:rsidRPr="00BB50F2" w:rsidRDefault="001F1C19" w:rsidP="00701A9B">
            <w:pPr>
              <w:pStyle w:val="Header"/>
              <w:ind w:left="120" w:firstLine="0"/>
              <w:rPr>
                <w:rFonts w:cs="Arial"/>
              </w:rPr>
            </w:pPr>
            <w:proofErr w:type="spellStart"/>
            <w:r>
              <w:rPr>
                <w:rFonts w:cs="Arial"/>
              </w:rPr>
              <w:t>Netlink</w:t>
            </w:r>
            <w:proofErr w:type="spellEnd"/>
            <w:r>
              <w:rPr>
                <w:rFonts w:cs="Arial"/>
              </w:rPr>
              <w:t xml:space="preserve"> Star</w:t>
            </w:r>
            <w:r w:rsidR="009A2964" w:rsidRPr="00BB50F2">
              <w:rPr>
                <w:rFonts w:cs="Arial"/>
              </w:rPr>
              <w:t xml:space="preserve"> Subject Matter Experts are defined as any Customer staff members who are asked to assist with incident resolution involving Service Components that are the responsibility of the Supplier.  Excluded from this are those </w:t>
            </w:r>
            <w:proofErr w:type="spellStart"/>
            <w:r>
              <w:rPr>
                <w:rFonts w:cs="Arial"/>
              </w:rPr>
              <w:t>Netlink</w:t>
            </w:r>
            <w:proofErr w:type="spellEnd"/>
            <w:r>
              <w:rPr>
                <w:rFonts w:cs="Arial"/>
              </w:rPr>
              <w:t xml:space="preserve"> Star</w:t>
            </w:r>
            <w:r w:rsidR="009A2964" w:rsidRPr="00BB50F2">
              <w:rPr>
                <w:rFonts w:cs="Arial"/>
              </w:rPr>
              <w:t xml:space="preserve"> members who are named as an escalation point, or as a service owner; these individuals would always need to be communicated with </w:t>
            </w:r>
            <w:proofErr w:type="gramStart"/>
            <w:r w:rsidR="009A2964" w:rsidRPr="00BB50F2">
              <w:rPr>
                <w:rFonts w:cs="Arial"/>
              </w:rPr>
              <w:t>during the course of</w:t>
            </w:r>
            <w:proofErr w:type="gramEnd"/>
            <w:r w:rsidR="009A2964" w:rsidRPr="00BB50F2">
              <w:rPr>
                <w:rFonts w:cs="Arial"/>
              </w:rPr>
              <w:t xml:space="preserve"> an incident and would expect to be allocated actions.</w:t>
            </w:r>
          </w:p>
        </w:tc>
        <w:tc>
          <w:tcPr>
            <w:tcW w:w="236" w:type="dxa"/>
            <w:tcBorders>
              <w:top w:val="nil"/>
              <w:left w:val="single" w:sz="4" w:space="0" w:color="999999"/>
              <w:bottom w:val="nil"/>
            </w:tcBorders>
          </w:tcPr>
          <w:p w14:paraId="380D2A3C" w14:textId="77777777" w:rsidR="009A2964" w:rsidRPr="00BB50F2" w:rsidRDefault="009A2964" w:rsidP="00F8293A">
            <w:pPr>
              <w:pStyle w:val="Header"/>
              <w:rPr>
                <w:rFonts w:cs="Arial"/>
              </w:rPr>
            </w:pPr>
          </w:p>
        </w:tc>
      </w:tr>
      <w:tr w:rsidR="009A2964" w:rsidRPr="00BB50F2" w14:paraId="241884F0" w14:textId="77777777" w:rsidTr="00F8293A">
        <w:trPr>
          <w:cantSplit/>
          <w:trHeight w:hRule="exact" w:val="113"/>
        </w:trPr>
        <w:tc>
          <w:tcPr>
            <w:tcW w:w="9308" w:type="dxa"/>
            <w:gridSpan w:val="6"/>
            <w:tcBorders>
              <w:top w:val="nil"/>
            </w:tcBorders>
          </w:tcPr>
          <w:p w14:paraId="3CA1BE91" w14:textId="77777777" w:rsidR="009A2964" w:rsidRPr="00BB50F2" w:rsidRDefault="009A2964" w:rsidP="00F8293A">
            <w:pPr>
              <w:pStyle w:val="Header"/>
              <w:rPr>
                <w:rFonts w:cs="Arial"/>
              </w:rPr>
            </w:pPr>
          </w:p>
        </w:tc>
      </w:tr>
      <w:tr w:rsidR="009A2964" w:rsidRPr="00BB50F2" w14:paraId="247E3201" w14:textId="77777777" w:rsidTr="00F8293A">
        <w:trPr>
          <w:cantSplit/>
          <w:trHeight w:hRule="exact" w:val="397"/>
        </w:trPr>
        <w:tc>
          <w:tcPr>
            <w:tcW w:w="9308" w:type="dxa"/>
            <w:gridSpan w:val="6"/>
            <w:vAlign w:val="center"/>
          </w:tcPr>
          <w:p w14:paraId="5BB0B0DF" w14:textId="77777777" w:rsidR="009A2964" w:rsidRPr="00BB50F2" w:rsidRDefault="009A2964" w:rsidP="00F8293A">
            <w:pPr>
              <w:pStyle w:val="Header"/>
              <w:rPr>
                <w:rFonts w:cs="Arial"/>
              </w:rPr>
            </w:pPr>
            <w:r w:rsidRPr="00BB50F2">
              <w:rPr>
                <w:rFonts w:cs="Arial"/>
              </w:rPr>
              <w:t>Service Credit Levels:</w:t>
            </w:r>
          </w:p>
        </w:tc>
      </w:tr>
      <w:tr w:rsidR="009A2964" w:rsidRPr="00BB50F2" w14:paraId="7C234630" w14:textId="77777777" w:rsidTr="00F8293A">
        <w:trPr>
          <w:cantSplit/>
          <w:trHeight w:hRule="exact" w:val="113"/>
        </w:trPr>
        <w:tc>
          <w:tcPr>
            <w:tcW w:w="9308" w:type="dxa"/>
            <w:gridSpan w:val="6"/>
            <w:tcBorders>
              <w:bottom w:val="nil"/>
            </w:tcBorders>
          </w:tcPr>
          <w:p w14:paraId="185125C9" w14:textId="77777777" w:rsidR="009A2964" w:rsidRPr="00BB50F2" w:rsidRDefault="009A2964" w:rsidP="00F8293A">
            <w:pPr>
              <w:pStyle w:val="Header"/>
              <w:rPr>
                <w:rFonts w:cs="Arial"/>
              </w:rPr>
            </w:pPr>
          </w:p>
        </w:tc>
      </w:tr>
      <w:tr w:rsidR="009A2964" w:rsidRPr="00BB50F2" w14:paraId="0BD47F52" w14:textId="77777777" w:rsidTr="00F8293A">
        <w:trPr>
          <w:cantSplit/>
        </w:trPr>
        <w:tc>
          <w:tcPr>
            <w:tcW w:w="339" w:type="dxa"/>
            <w:tcBorders>
              <w:top w:val="nil"/>
              <w:bottom w:val="nil"/>
              <w:right w:val="single" w:sz="4" w:space="0" w:color="999999"/>
            </w:tcBorders>
          </w:tcPr>
          <w:p w14:paraId="7048AC26" w14:textId="77777777" w:rsidR="009A2964" w:rsidRPr="00BB50F2" w:rsidRDefault="009A2964" w:rsidP="00F8293A">
            <w:pPr>
              <w:pStyle w:val="Header"/>
              <w:rPr>
                <w:rFonts w:cs="Arial"/>
              </w:rPr>
            </w:pPr>
          </w:p>
        </w:tc>
        <w:tc>
          <w:tcPr>
            <w:tcW w:w="8733" w:type="dxa"/>
            <w:gridSpan w:val="4"/>
            <w:tcBorders>
              <w:top w:val="single" w:sz="4" w:space="0" w:color="999999"/>
              <w:left w:val="single" w:sz="4" w:space="0" w:color="999999"/>
              <w:bottom w:val="single" w:sz="4" w:space="0" w:color="999999"/>
              <w:right w:val="single" w:sz="4" w:space="0" w:color="999999"/>
            </w:tcBorders>
          </w:tcPr>
          <w:p w14:paraId="2F0132CE" w14:textId="77777777" w:rsidR="009A2964" w:rsidRPr="00BB50F2" w:rsidRDefault="009A2964" w:rsidP="00F8293A">
            <w:pPr>
              <w:pStyle w:val="Header"/>
              <w:rPr>
                <w:rFonts w:cs="Arial"/>
                <w:highlight w:val="yellow"/>
              </w:rPr>
            </w:pPr>
          </w:p>
        </w:tc>
        <w:tc>
          <w:tcPr>
            <w:tcW w:w="236" w:type="dxa"/>
            <w:tcBorders>
              <w:top w:val="nil"/>
              <w:left w:val="single" w:sz="4" w:space="0" w:color="999999"/>
              <w:bottom w:val="nil"/>
            </w:tcBorders>
          </w:tcPr>
          <w:p w14:paraId="5C06CC32" w14:textId="77777777" w:rsidR="009A2964" w:rsidRPr="00BB50F2" w:rsidRDefault="009A2964" w:rsidP="00F8293A">
            <w:pPr>
              <w:pStyle w:val="Header"/>
              <w:rPr>
                <w:rFonts w:cs="Arial"/>
              </w:rPr>
            </w:pPr>
          </w:p>
        </w:tc>
      </w:tr>
      <w:tr w:rsidR="009A2964" w:rsidRPr="00BB50F2" w14:paraId="1B9583AB" w14:textId="77777777" w:rsidTr="00F8293A">
        <w:trPr>
          <w:cantSplit/>
        </w:trPr>
        <w:tc>
          <w:tcPr>
            <w:tcW w:w="339" w:type="dxa"/>
            <w:tcBorders>
              <w:top w:val="nil"/>
              <w:bottom w:val="nil"/>
              <w:right w:val="single" w:sz="4" w:space="0" w:color="999999"/>
            </w:tcBorders>
          </w:tcPr>
          <w:p w14:paraId="72252881" w14:textId="77777777" w:rsidR="009A2964" w:rsidRPr="00BB50F2" w:rsidRDefault="009A2964" w:rsidP="00F8293A">
            <w:pPr>
              <w:pStyle w:val="Header"/>
              <w:rPr>
                <w:rFonts w:cs="Arial"/>
              </w:rPr>
            </w:pPr>
          </w:p>
        </w:tc>
        <w:tc>
          <w:tcPr>
            <w:tcW w:w="1991" w:type="dxa"/>
            <w:gridSpan w:val="2"/>
            <w:tcBorders>
              <w:top w:val="single" w:sz="4" w:space="0" w:color="999999"/>
              <w:left w:val="single" w:sz="4" w:space="0" w:color="999999"/>
              <w:bottom w:val="single" w:sz="4" w:space="0" w:color="999999"/>
              <w:right w:val="single" w:sz="4" w:space="0" w:color="999999"/>
            </w:tcBorders>
          </w:tcPr>
          <w:p w14:paraId="168FD427" w14:textId="77777777" w:rsidR="009A2964" w:rsidRPr="00BB50F2" w:rsidRDefault="009A2964" w:rsidP="00701A9B">
            <w:pPr>
              <w:pStyle w:val="Header"/>
              <w:ind w:left="0" w:firstLine="0"/>
              <w:rPr>
                <w:rFonts w:cs="Arial"/>
              </w:rPr>
            </w:pPr>
            <w:r w:rsidRPr="00BB50F2">
              <w:rPr>
                <w:rFonts w:cs="Arial"/>
              </w:rPr>
              <w:t>Actual Service Usage</w:t>
            </w:r>
          </w:p>
        </w:tc>
        <w:tc>
          <w:tcPr>
            <w:tcW w:w="5183" w:type="dxa"/>
            <w:vMerge w:val="restart"/>
            <w:tcBorders>
              <w:top w:val="single" w:sz="4" w:space="0" w:color="999999"/>
              <w:left w:val="single" w:sz="4" w:space="0" w:color="999999"/>
              <w:right w:val="single" w:sz="4" w:space="0" w:color="999999"/>
            </w:tcBorders>
            <w:vAlign w:val="bottom"/>
          </w:tcPr>
          <w:p w14:paraId="26CA963D" w14:textId="77777777" w:rsidR="009A2964" w:rsidRPr="00BB50F2" w:rsidRDefault="009A2964" w:rsidP="00F8293A">
            <w:pPr>
              <w:pStyle w:val="Header"/>
              <w:rPr>
                <w:rFonts w:cs="Arial"/>
              </w:rPr>
            </w:pPr>
            <w:r w:rsidRPr="00BB50F2">
              <w:rPr>
                <w:rFonts w:cs="Arial"/>
              </w:rPr>
              <w:t>Calculation</w:t>
            </w:r>
          </w:p>
        </w:tc>
        <w:tc>
          <w:tcPr>
            <w:tcW w:w="1559" w:type="dxa"/>
            <w:vMerge w:val="restart"/>
            <w:tcBorders>
              <w:top w:val="single" w:sz="4" w:space="0" w:color="999999"/>
              <w:left w:val="single" w:sz="4" w:space="0" w:color="999999"/>
              <w:right w:val="single" w:sz="4" w:space="0" w:color="999999"/>
            </w:tcBorders>
            <w:vAlign w:val="bottom"/>
          </w:tcPr>
          <w:p w14:paraId="44F2733C" w14:textId="77777777" w:rsidR="009A2964" w:rsidRPr="00BB50F2" w:rsidRDefault="009A2964" w:rsidP="00F8293A">
            <w:pPr>
              <w:pStyle w:val="Header"/>
              <w:rPr>
                <w:rFonts w:cs="Arial"/>
              </w:rPr>
            </w:pPr>
            <w:r w:rsidRPr="00BB50F2">
              <w:rPr>
                <w:rFonts w:cs="Arial"/>
              </w:rPr>
              <w:t>Notes</w:t>
            </w:r>
          </w:p>
        </w:tc>
        <w:tc>
          <w:tcPr>
            <w:tcW w:w="236" w:type="dxa"/>
            <w:tcBorders>
              <w:top w:val="nil"/>
              <w:left w:val="single" w:sz="4" w:space="0" w:color="999999"/>
              <w:bottom w:val="nil"/>
            </w:tcBorders>
          </w:tcPr>
          <w:p w14:paraId="243B8CCE" w14:textId="77777777" w:rsidR="009A2964" w:rsidRPr="00BB50F2" w:rsidRDefault="009A2964" w:rsidP="00F8293A">
            <w:pPr>
              <w:pStyle w:val="Header"/>
              <w:rPr>
                <w:rFonts w:cs="Arial"/>
              </w:rPr>
            </w:pPr>
          </w:p>
        </w:tc>
      </w:tr>
      <w:tr w:rsidR="009A2964" w:rsidRPr="00BB50F2" w14:paraId="34432726" w14:textId="77777777" w:rsidTr="00F8293A">
        <w:trPr>
          <w:cantSplit/>
        </w:trPr>
        <w:tc>
          <w:tcPr>
            <w:tcW w:w="339" w:type="dxa"/>
            <w:tcBorders>
              <w:top w:val="nil"/>
              <w:bottom w:val="nil"/>
              <w:right w:val="single" w:sz="4" w:space="0" w:color="999999"/>
            </w:tcBorders>
          </w:tcPr>
          <w:p w14:paraId="51E8FFE0" w14:textId="77777777" w:rsidR="009A2964" w:rsidRPr="00BB50F2" w:rsidRDefault="009A2964" w:rsidP="00F8293A">
            <w:pPr>
              <w:pStyle w:val="Header"/>
              <w:rPr>
                <w:rFonts w:cs="Arial"/>
              </w:rPr>
            </w:pPr>
          </w:p>
        </w:tc>
        <w:tc>
          <w:tcPr>
            <w:tcW w:w="918" w:type="dxa"/>
            <w:tcBorders>
              <w:top w:val="single" w:sz="4" w:space="0" w:color="999999"/>
              <w:left w:val="single" w:sz="4" w:space="0" w:color="999999"/>
              <w:bottom w:val="single" w:sz="4" w:space="0" w:color="999999"/>
              <w:right w:val="single" w:sz="4" w:space="0" w:color="999999"/>
            </w:tcBorders>
          </w:tcPr>
          <w:p w14:paraId="72AD1C86" w14:textId="77777777" w:rsidR="009A2964" w:rsidRPr="00BB50F2" w:rsidRDefault="009A2964" w:rsidP="00F8293A">
            <w:pPr>
              <w:pStyle w:val="Header"/>
              <w:rPr>
                <w:rFonts w:cs="Arial"/>
              </w:rPr>
            </w:pPr>
            <w:r w:rsidRPr="00BB50F2">
              <w:rPr>
                <w:rFonts w:cs="Arial"/>
              </w:rPr>
              <w:t>Lower</w:t>
            </w:r>
          </w:p>
        </w:tc>
        <w:tc>
          <w:tcPr>
            <w:tcW w:w="1073" w:type="dxa"/>
            <w:tcBorders>
              <w:top w:val="single" w:sz="4" w:space="0" w:color="999999"/>
              <w:left w:val="single" w:sz="4" w:space="0" w:color="999999"/>
              <w:bottom w:val="single" w:sz="4" w:space="0" w:color="999999"/>
              <w:right w:val="single" w:sz="4" w:space="0" w:color="999999"/>
            </w:tcBorders>
          </w:tcPr>
          <w:p w14:paraId="762C2CF3" w14:textId="77777777" w:rsidR="009A2964" w:rsidRPr="00BB50F2" w:rsidRDefault="009A2964" w:rsidP="00F8293A">
            <w:pPr>
              <w:pStyle w:val="Header"/>
              <w:rPr>
                <w:rFonts w:cs="Arial"/>
              </w:rPr>
            </w:pPr>
            <w:r w:rsidRPr="00BB50F2">
              <w:rPr>
                <w:rFonts w:cs="Arial"/>
              </w:rPr>
              <w:t>Upper</w:t>
            </w:r>
          </w:p>
        </w:tc>
        <w:tc>
          <w:tcPr>
            <w:tcW w:w="5183" w:type="dxa"/>
            <w:vMerge/>
            <w:tcBorders>
              <w:left w:val="single" w:sz="4" w:space="0" w:color="999999"/>
              <w:bottom w:val="single" w:sz="4" w:space="0" w:color="999999"/>
              <w:right w:val="single" w:sz="4" w:space="0" w:color="999999"/>
            </w:tcBorders>
          </w:tcPr>
          <w:p w14:paraId="17C55240" w14:textId="77777777" w:rsidR="009A2964" w:rsidRPr="00BB50F2" w:rsidRDefault="009A2964" w:rsidP="00F8293A">
            <w:pPr>
              <w:pStyle w:val="Header"/>
              <w:rPr>
                <w:rFonts w:cs="Arial"/>
              </w:rPr>
            </w:pPr>
          </w:p>
        </w:tc>
        <w:tc>
          <w:tcPr>
            <w:tcW w:w="1559" w:type="dxa"/>
            <w:vMerge/>
            <w:tcBorders>
              <w:left w:val="single" w:sz="4" w:space="0" w:color="999999"/>
              <w:bottom w:val="single" w:sz="4" w:space="0" w:color="999999"/>
              <w:right w:val="single" w:sz="4" w:space="0" w:color="999999"/>
            </w:tcBorders>
          </w:tcPr>
          <w:p w14:paraId="07F1315A" w14:textId="77777777" w:rsidR="009A2964" w:rsidRPr="00BB50F2" w:rsidRDefault="009A2964" w:rsidP="00F8293A">
            <w:pPr>
              <w:pStyle w:val="Header"/>
              <w:rPr>
                <w:rFonts w:cs="Arial"/>
              </w:rPr>
            </w:pPr>
          </w:p>
        </w:tc>
        <w:tc>
          <w:tcPr>
            <w:tcW w:w="236" w:type="dxa"/>
            <w:tcBorders>
              <w:top w:val="nil"/>
              <w:left w:val="single" w:sz="4" w:space="0" w:color="999999"/>
              <w:bottom w:val="nil"/>
            </w:tcBorders>
          </w:tcPr>
          <w:p w14:paraId="4AFF03D7" w14:textId="77777777" w:rsidR="009A2964" w:rsidRPr="00BB50F2" w:rsidRDefault="009A2964" w:rsidP="00F8293A">
            <w:pPr>
              <w:pStyle w:val="Header"/>
              <w:rPr>
                <w:rFonts w:cs="Arial"/>
              </w:rPr>
            </w:pPr>
          </w:p>
        </w:tc>
      </w:tr>
      <w:tr w:rsidR="009A2964" w:rsidRPr="00BB50F2" w14:paraId="0EA2C0D9" w14:textId="77777777" w:rsidTr="00F8293A">
        <w:trPr>
          <w:cantSplit/>
        </w:trPr>
        <w:tc>
          <w:tcPr>
            <w:tcW w:w="339" w:type="dxa"/>
            <w:tcBorders>
              <w:top w:val="nil"/>
              <w:bottom w:val="nil"/>
              <w:right w:val="single" w:sz="4" w:space="0" w:color="999999"/>
            </w:tcBorders>
          </w:tcPr>
          <w:p w14:paraId="0F41A0B1" w14:textId="77777777" w:rsidR="009A2964" w:rsidRPr="00BB50F2" w:rsidRDefault="009A2964" w:rsidP="00F8293A">
            <w:pPr>
              <w:pStyle w:val="Header"/>
              <w:rPr>
                <w:rFonts w:cs="Arial"/>
              </w:rPr>
            </w:pPr>
          </w:p>
        </w:tc>
        <w:tc>
          <w:tcPr>
            <w:tcW w:w="918" w:type="dxa"/>
            <w:tcBorders>
              <w:top w:val="single" w:sz="4" w:space="0" w:color="999999"/>
              <w:left w:val="single" w:sz="4" w:space="0" w:color="999999"/>
              <w:bottom w:val="single" w:sz="4" w:space="0" w:color="999999"/>
              <w:right w:val="single" w:sz="4" w:space="0" w:color="999999"/>
            </w:tcBorders>
            <w:vAlign w:val="center"/>
          </w:tcPr>
          <w:p w14:paraId="63BE6F81" w14:textId="77777777" w:rsidR="009A2964" w:rsidRPr="00BB50F2" w:rsidRDefault="009A2964" w:rsidP="00F8293A">
            <w:pPr>
              <w:pStyle w:val="Header"/>
              <w:rPr>
                <w:rFonts w:cs="Arial"/>
              </w:rPr>
            </w:pPr>
            <w:r w:rsidRPr="00BB50F2">
              <w:rPr>
                <w:rFonts w:cs="Arial"/>
              </w:rPr>
              <w:t>xxx</w:t>
            </w:r>
          </w:p>
        </w:tc>
        <w:tc>
          <w:tcPr>
            <w:tcW w:w="1073" w:type="dxa"/>
            <w:tcBorders>
              <w:top w:val="single" w:sz="4" w:space="0" w:color="999999"/>
              <w:left w:val="single" w:sz="4" w:space="0" w:color="999999"/>
              <w:bottom w:val="single" w:sz="4" w:space="0" w:color="999999"/>
              <w:right w:val="single" w:sz="4" w:space="0" w:color="999999"/>
            </w:tcBorders>
            <w:vAlign w:val="center"/>
          </w:tcPr>
          <w:p w14:paraId="1BC89376" w14:textId="77777777" w:rsidR="009A2964" w:rsidRPr="00BB50F2" w:rsidRDefault="009A2964" w:rsidP="00F8293A">
            <w:pPr>
              <w:pStyle w:val="Header"/>
              <w:rPr>
                <w:rFonts w:cs="Arial"/>
              </w:rPr>
            </w:pPr>
            <w:r w:rsidRPr="00BB50F2">
              <w:rPr>
                <w:rFonts w:cs="Arial"/>
              </w:rPr>
              <w:t>0</w:t>
            </w:r>
          </w:p>
        </w:tc>
        <w:tc>
          <w:tcPr>
            <w:tcW w:w="5183" w:type="dxa"/>
            <w:tcBorders>
              <w:top w:val="single" w:sz="4" w:space="0" w:color="999999"/>
              <w:left w:val="single" w:sz="4" w:space="0" w:color="999999"/>
              <w:bottom w:val="single" w:sz="4" w:space="0" w:color="999999"/>
              <w:right w:val="single" w:sz="4" w:space="0" w:color="999999"/>
            </w:tcBorders>
            <w:vAlign w:val="center"/>
          </w:tcPr>
          <w:p w14:paraId="78CDE969" w14:textId="77777777" w:rsidR="009A2964" w:rsidRPr="00BB50F2" w:rsidRDefault="009A2964" w:rsidP="00F8293A">
            <w:pPr>
              <w:pStyle w:val="Header"/>
              <w:rPr>
                <w:rFonts w:cs="Arial"/>
              </w:rPr>
            </w:pPr>
            <w:r w:rsidRPr="00BB50F2">
              <w:rPr>
                <w:rFonts w:cs="Arial"/>
              </w:rPr>
              <w:t xml:space="preserve"> REQNUM &lt;= xxx</w:t>
            </w:r>
            <w:r w:rsidRPr="00BB50F2" w:rsidDel="00E1403E">
              <w:rPr>
                <w:rFonts w:cs="Arial"/>
                <w:vertAlign w:val="subscript"/>
              </w:rPr>
              <w:t xml:space="preserve"> </w:t>
            </w:r>
          </w:p>
        </w:tc>
        <w:tc>
          <w:tcPr>
            <w:tcW w:w="1559" w:type="dxa"/>
            <w:tcBorders>
              <w:top w:val="single" w:sz="4" w:space="0" w:color="999999"/>
              <w:left w:val="single" w:sz="4" w:space="0" w:color="999999"/>
              <w:bottom w:val="single" w:sz="4" w:space="0" w:color="999999"/>
              <w:right w:val="single" w:sz="4" w:space="0" w:color="999999"/>
            </w:tcBorders>
            <w:vAlign w:val="center"/>
          </w:tcPr>
          <w:p w14:paraId="0E804F4B" w14:textId="77777777" w:rsidR="009A2964" w:rsidRPr="00BB50F2" w:rsidRDefault="009A2964" w:rsidP="00F8293A">
            <w:pPr>
              <w:pStyle w:val="Header"/>
              <w:rPr>
                <w:rFonts w:cs="Arial"/>
              </w:rPr>
            </w:pPr>
            <w:r w:rsidRPr="00BB50F2">
              <w:rPr>
                <w:rFonts w:cs="Arial"/>
              </w:rPr>
              <w:t>Service target</w:t>
            </w:r>
          </w:p>
        </w:tc>
        <w:tc>
          <w:tcPr>
            <w:tcW w:w="236" w:type="dxa"/>
            <w:tcBorders>
              <w:top w:val="nil"/>
              <w:left w:val="single" w:sz="4" w:space="0" w:color="999999"/>
              <w:bottom w:val="nil"/>
            </w:tcBorders>
          </w:tcPr>
          <w:p w14:paraId="6B6EA452" w14:textId="77777777" w:rsidR="009A2964" w:rsidRPr="00BB50F2" w:rsidRDefault="009A2964" w:rsidP="00F8293A">
            <w:pPr>
              <w:pStyle w:val="ssPara5"/>
              <w:spacing w:after="120" w:line="240" w:lineRule="auto"/>
              <w:rPr>
                <w:sz w:val="20"/>
                <w:szCs w:val="20"/>
              </w:rPr>
            </w:pPr>
          </w:p>
        </w:tc>
      </w:tr>
      <w:tr w:rsidR="009A2964" w:rsidRPr="00BB50F2" w14:paraId="6425829D" w14:textId="77777777" w:rsidTr="00F8293A">
        <w:trPr>
          <w:cantSplit/>
        </w:trPr>
        <w:tc>
          <w:tcPr>
            <w:tcW w:w="339" w:type="dxa"/>
            <w:tcBorders>
              <w:top w:val="nil"/>
              <w:bottom w:val="nil"/>
              <w:right w:val="single" w:sz="4" w:space="0" w:color="999999"/>
            </w:tcBorders>
          </w:tcPr>
          <w:p w14:paraId="14CCFD68" w14:textId="77777777" w:rsidR="009A2964" w:rsidRPr="00BB50F2" w:rsidRDefault="009A2964" w:rsidP="00F8293A">
            <w:pPr>
              <w:pStyle w:val="ssPara5"/>
              <w:spacing w:after="120" w:line="240" w:lineRule="auto"/>
              <w:rPr>
                <w:sz w:val="20"/>
                <w:szCs w:val="20"/>
              </w:rPr>
            </w:pPr>
          </w:p>
        </w:tc>
        <w:tc>
          <w:tcPr>
            <w:tcW w:w="918" w:type="dxa"/>
            <w:tcBorders>
              <w:top w:val="single" w:sz="4" w:space="0" w:color="999999"/>
              <w:left w:val="single" w:sz="4" w:space="0" w:color="999999"/>
              <w:bottom w:val="single" w:sz="4" w:space="0" w:color="999999"/>
              <w:right w:val="single" w:sz="4" w:space="0" w:color="999999"/>
            </w:tcBorders>
            <w:vAlign w:val="center"/>
          </w:tcPr>
          <w:p w14:paraId="17223794" w14:textId="77777777" w:rsidR="009A2964" w:rsidRPr="00BB50F2" w:rsidRDefault="009A2964" w:rsidP="00F8293A">
            <w:pPr>
              <w:pStyle w:val="Header"/>
              <w:rPr>
                <w:rFonts w:cs="Arial"/>
              </w:rPr>
            </w:pPr>
            <w:proofErr w:type="spellStart"/>
            <w:r w:rsidRPr="00BB50F2">
              <w:rPr>
                <w:rFonts w:cs="Arial"/>
              </w:rPr>
              <w:t>yyy</w:t>
            </w:r>
            <w:proofErr w:type="spellEnd"/>
          </w:p>
        </w:tc>
        <w:tc>
          <w:tcPr>
            <w:tcW w:w="1073" w:type="dxa"/>
            <w:tcBorders>
              <w:top w:val="single" w:sz="4" w:space="0" w:color="999999"/>
              <w:left w:val="single" w:sz="4" w:space="0" w:color="999999"/>
              <w:bottom w:val="single" w:sz="4" w:space="0" w:color="999999"/>
              <w:right w:val="single" w:sz="4" w:space="0" w:color="999999"/>
            </w:tcBorders>
            <w:vAlign w:val="center"/>
          </w:tcPr>
          <w:p w14:paraId="16BAF678" w14:textId="77777777" w:rsidR="009A2964" w:rsidRPr="00BB50F2" w:rsidRDefault="009A2964" w:rsidP="00F8293A">
            <w:pPr>
              <w:pStyle w:val="Header"/>
              <w:rPr>
                <w:rFonts w:cs="Arial"/>
              </w:rPr>
            </w:pPr>
            <w:r w:rsidRPr="00BB50F2">
              <w:rPr>
                <w:rFonts w:cs="Arial"/>
              </w:rPr>
              <w:t>xxx</w:t>
            </w:r>
          </w:p>
        </w:tc>
        <w:tc>
          <w:tcPr>
            <w:tcW w:w="5183" w:type="dxa"/>
            <w:tcBorders>
              <w:top w:val="single" w:sz="4" w:space="0" w:color="999999"/>
              <w:left w:val="single" w:sz="4" w:space="0" w:color="999999"/>
              <w:bottom w:val="single" w:sz="4" w:space="0" w:color="999999"/>
              <w:right w:val="single" w:sz="4" w:space="0" w:color="999999"/>
            </w:tcBorders>
            <w:vAlign w:val="center"/>
          </w:tcPr>
          <w:p w14:paraId="1D8E1AEF" w14:textId="77777777" w:rsidR="009A2964" w:rsidRPr="00BB50F2" w:rsidRDefault="009A2964" w:rsidP="00F8293A">
            <w:pPr>
              <w:pStyle w:val="Header"/>
              <w:rPr>
                <w:rFonts w:cs="Arial"/>
              </w:rPr>
            </w:pPr>
            <w:r w:rsidRPr="00BB50F2">
              <w:rPr>
                <w:rFonts w:cs="Arial"/>
              </w:rPr>
              <w:t>REQNUM &gt;</w:t>
            </w:r>
            <w:proofErr w:type="spellStart"/>
            <w:r w:rsidRPr="00BB50F2">
              <w:rPr>
                <w:rFonts w:cs="Arial"/>
              </w:rPr>
              <w:t>yyy</w:t>
            </w:r>
            <w:proofErr w:type="spellEnd"/>
            <w:r w:rsidRPr="00BB50F2">
              <w:rPr>
                <w:rFonts w:cs="Arial"/>
              </w:rPr>
              <w:t xml:space="preserve"> and REQNUM &lt;xxx</w:t>
            </w:r>
          </w:p>
        </w:tc>
        <w:tc>
          <w:tcPr>
            <w:tcW w:w="1559" w:type="dxa"/>
            <w:tcBorders>
              <w:top w:val="single" w:sz="4" w:space="0" w:color="999999"/>
              <w:left w:val="single" w:sz="4" w:space="0" w:color="999999"/>
              <w:bottom w:val="single" w:sz="4" w:space="0" w:color="999999"/>
              <w:right w:val="single" w:sz="4" w:space="0" w:color="999999"/>
            </w:tcBorders>
            <w:vAlign w:val="center"/>
          </w:tcPr>
          <w:p w14:paraId="6FAC0548" w14:textId="77777777" w:rsidR="009A2964" w:rsidRPr="00BB50F2" w:rsidRDefault="009A2964" w:rsidP="00F8293A">
            <w:pPr>
              <w:pStyle w:val="Header"/>
              <w:rPr>
                <w:rFonts w:cs="Arial"/>
              </w:rPr>
            </w:pPr>
            <w:r w:rsidRPr="00BB50F2">
              <w:rPr>
                <w:rFonts w:cs="Arial"/>
              </w:rPr>
              <w:t>Service pass</w:t>
            </w:r>
          </w:p>
        </w:tc>
        <w:tc>
          <w:tcPr>
            <w:tcW w:w="236" w:type="dxa"/>
            <w:tcBorders>
              <w:top w:val="nil"/>
              <w:left w:val="single" w:sz="4" w:space="0" w:color="999999"/>
              <w:bottom w:val="nil"/>
            </w:tcBorders>
          </w:tcPr>
          <w:p w14:paraId="35539FC8" w14:textId="77777777" w:rsidR="009A2964" w:rsidRPr="00BB50F2" w:rsidRDefault="009A2964" w:rsidP="00F8293A">
            <w:pPr>
              <w:pStyle w:val="ssPara5"/>
              <w:spacing w:after="120" w:line="240" w:lineRule="auto"/>
              <w:rPr>
                <w:sz w:val="20"/>
                <w:szCs w:val="20"/>
              </w:rPr>
            </w:pPr>
          </w:p>
        </w:tc>
      </w:tr>
      <w:tr w:rsidR="009A2964" w:rsidRPr="00BB50F2" w14:paraId="5D396933" w14:textId="77777777" w:rsidTr="00F8293A">
        <w:trPr>
          <w:cantSplit/>
        </w:trPr>
        <w:tc>
          <w:tcPr>
            <w:tcW w:w="339" w:type="dxa"/>
            <w:tcBorders>
              <w:top w:val="nil"/>
              <w:bottom w:val="nil"/>
              <w:right w:val="single" w:sz="4" w:space="0" w:color="999999"/>
            </w:tcBorders>
          </w:tcPr>
          <w:p w14:paraId="0E109B67" w14:textId="77777777" w:rsidR="009A2964" w:rsidRPr="00BB50F2" w:rsidRDefault="009A2964" w:rsidP="00F8293A">
            <w:pPr>
              <w:pStyle w:val="ssPara5"/>
              <w:spacing w:after="120" w:line="240" w:lineRule="auto"/>
              <w:rPr>
                <w:sz w:val="20"/>
                <w:szCs w:val="20"/>
              </w:rPr>
            </w:pPr>
          </w:p>
        </w:tc>
        <w:tc>
          <w:tcPr>
            <w:tcW w:w="918" w:type="dxa"/>
            <w:tcBorders>
              <w:top w:val="single" w:sz="4" w:space="0" w:color="999999"/>
              <w:left w:val="single" w:sz="4" w:space="0" w:color="999999"/>
              <w:bottom w:val="single" w:sz="4" w:space="0" w:color="999999"/>
              <w:right w:val="single" w:sz="4" w:space="0" w:color="999999"/>
            </w:tcBorders>
            <w:vAlign w:val="center"/>
          </w:tcPr>
          <w:p w14:paraId="2E267425" w14:textId="77777777" w:rsidR="009A2964" w:rsidRPr="00BB50F2" w:rsidRDefault="009A2964" w:rsidP="00F8293A">
            <w:pPr>
              <w:pStyle w:val="Header"/>
              <w:rPr>
                <w:rFonts w:cs="Arial"/>
              </w:rPr>
            </w:pPr>
          </w:p>
        </w:tc>
        <w:tc>
          <w:tcPr>
            <w:tcW w:w="1073" w:type="dxa"/>
            <w:tcBorders>
              <w:top w:val="single" w:sz="4" w:space="0" w:color="999999"/>
              <w:left w:val="single" w:sz="4" w:space="0" w:color="999999"/>
              <w:bottom w:val="single" w:sz="4" w:space="0" w:color="999999"/>
              <w:right w:val="single" w:sz="4" w:space="0" w:color="999999"/>
            </w:tcBorders>
            <w:vAlign w:val="center"/>
          </w:tcPr>
          <w:p w14:paraId="14426BFD" w14:textId="77777777" w:rsidR="009A2964" w:rsidRPr="00BB50F2" w:rsidRDefault="009A2964" w:rsidP="00F8293A">
            <w:pPr>
              <w:pStyle w:val="Header"/>
              <w:rPr>
                <w:rFonts w:cs="Arial"/>
              </w:rPr>
            </w:pPr>
            <w:proofErr w:type="spellStart"/>
            <w:r w:rsidRPr="00BB50F2">
              <w:rPr>
                <w:rFonts w:cs="Arial"/>
              </w:rPr>
              <w:t>yyy</w:t>
            </w:r>
            <w:proofErr w:type="spellEnd"/>
          </w:p>
        </w:tc>
        <w:tc>
          <w:tcPr>
            <w:tcW w:w="5183" w:type="dxa"/>
            <w:tcBorders>
              <w:top w:val="single" w:sz="4" w:space="0" w:color="999999"/>
              <w:left w:val="single" w:sz="4" w:space="0" w:color="999999"/>
              <w:bottom w:val="single" w:sz="4" w:space="0" w:color="999999"/>
              <w:right w:val="single" w:sz="4" w:space="0" w:color="999999"/>
            </w:tcBorders>
            <w:vAlign w:val="center"/>
          </w:tcPr>
          <w:p w14:paraId="53357365" w14:textId="77777777" w:rsidR="009A2964" w:rsidRPr="00BB50F2" w:rsidRDefault="009A2964" w:rsidP="00F8293A">
            <w:pPr>
              <w:pStyle w:val="Header"/>
              <w:rPr>
                <w:rFonts w:cs="Arial"/>
              </w:rPr>
            </w:pPr>
            <w:r w:rsidRPr="00BB50F2">
              <w:rPr>
                <w:rFonts w:cs="Arial"/>
              </w:rPr>
              <w:t xml:space="preserve">REQNUM &gt; </w:t>
            </w:r>
            <w:proofErr w:type="spellStart"/>
            <w:r w:rsidRPr="00BB50F2">
              <w:rPr>
                <w:rFonts w:cs="Arial"/>
              </w:rPr>
              <w:t>yyy</w:t>
            </w:r>
            <w:proofErr w:type="spellEnd"/>
          </w:p>
        </w:tc>
        <w:tc>
          <w:tcPr>
            <w:tcW w:w="1559" w:type="dxa"/>
            <w:tcBorders>
              <w:top w:val="single" w:sz="4" w:space="0" w:color="999999"/>
              <w:left w:val="single" w:sz="4" w:space="0" w:color="999999"/>
              <w:bottom w:val="single" w:sz="4" w:space="0" w:color="999999"/>
              <w:right w:val="single" w:sz="4" w:space="0" w:color="999999"/>
            </w:tcBorders>
            <w:vAlign w:val="center"/>
          </w:tcPr>
          <w:p w14:paraId="4498C328" w14:textId="77777777" w:rsidR="009A2964" w:rsidRPr="00BB50F2" w:rsidRDefault="009A2964" w:rsidP="00F8293A">
            <w:pPr>
              <w:pStyle w:val="Header"/>
              <w:rPr>
                <w:rFonts w:cs="Arial"/>
              </w:rPr>
            </w:pPr>
            <w:r w:rsidRPr="00BB50F2">
              <w:rPr>
                <w:rFonts w:cs="Arial"/>
              </w:rPr>
              <w:t>Service Failure</w:t>
            </w:r>
          </w:p>
        </w:tc>
        <w:tc>
          <w:tcPr>
            <w:tcW w:w="236" w:type="dxa"/>
            <w:tcBorders>
              <w:top w:val="nil"/>
              <w:left w:val="single" w:sz="4" w:space="0" w:color="999999"/>
              <w:bottom w:val="nil"/>
            </w:tcBorders>
          </w:tcPr>
          <w:p w14:paraId="3383AABA" w14:textId="77777777" w:rsidR="009A2964" w:rsidRPr="00BB50F2" w:rsidRDefault="009A2964" w:rsidP="00F8293A">
            <w:pPr>
              <w:pStyle w:val="ssPara5"/>
              <w:spacing w:after="120" w:line="240" w:lineRule="auto"/>
              <w:rPr>
                <w:sz w:val="20"/>
                <w:szCs w:val="20"/>
              </w:rPr>
            </w:pPr>
          </w:p>
        </w:tc>
      </w:tr>
      <w:tr w:rsidR="009A2964" w:rsidRPr="00BB50F2" w14:paraId="6B9373E2" w14:textId="77777777" w:rsidTr="00F8293A">
        <w:trPr>
          <w:cantSplit/>
          <w:trHeight w:hRule="exact" w:val="113"/>
        </w:trPr>
        <w:tc>
          <w:tcPr>
            <w:tcW w:w="9308" w:type="dxa"/>
            <w:gridSpan w:val="6"/>
            <w:tcBorders>
              <w:top w:val="nil"/>
              <w:bottom w:val="nil"/>
            </w:tcBorders>
          </w:tcPr>
          <w:p w14:paraId="7E85BC3D" w14:textId="77777777" w:rsidR="009A2964" w:rsidRPr="00BB50F2" w:rsidRDefault="009A2964" w:rsidP="00F8293A">
            <w:pPr>
              <w:pStyle w:val="Header"/>
              <w:rPr>
                <w:rFonts w:cs="Arial"/>
              </w:rPr>
            </w:pPr>
          </w:p>
        </w:tc>
      </w:tr>
      <w:tr w:rsidR="009A2964" w:rsidRPr="00BB50F2" w14:paraId="0BE29F93" w14:textId="77777777" w:rsidTr="00F8293A">
        <w:trPr>
          <w:cantSplit/>
          <w:trHeight w:hRule="exact" w:val="113"/>
        </w:trPr>
        <w:tc>
          <w:tcPr>
            <w:tcW w:w="9308" w:type="dxa"/>
            <w:gridSpan w:val="6"/>
            <w:tcBorders>
              <w:top w:val="nil"/>
            </w:tcBorders>
          </w:tcPr>
          <w:p w14:paraId="12D18B88" w14:textId="77777777" w:rsidR="009A2964" w:rsidRPr="00BB50F2" w:rsidRDefault="009A2964" w:rsidP="00F8293A">
            <w:pPr>
              <w:pStyle w:val="Header"/>
              <w:rPr>
                <w:rFonts w:cs="Arial"/>
              </w:rPr>
            </w:pPr>
          </w:p>
        </w:tc>
      </w:tr>
      <w:tr w:rsidR="009A2964" w:rsidRPr="00BB50F2" w14:paraId="646F0A43" w14:textId="77777777" w:rsidTr="00F8293A">
        <w:trPr>
          <w:cantSplit/>
          <w:trHeight w:hRule="exact" w:val="397"/>
        </w:trPr>
        <w:tc>
          <w:tcPr>
            <w:tcW w:w="9308" w:type="dxa"/>
            <w:gridSpan w:val="6"/>
            <w:vAlign w:val="center"/>
          </w:tcPr>
          <w:p w14:paraId="1010829A" w14:textId="77777777" w:rsidR="009A2964" w:rsidRPr="00BB50F2" w:rsidRDefault="009A2964" w:rsidP="00F8293A">
            <w:pPr>
              <w:pStyle w:val="Header"/>
              <w:rPr>
                <w:rFonts w:cs="Arial"/>
              </w:rPr>
            </w:pPr>
            <w:r w:rsidRPr="00BB50F2">
              <w:rPr>
                <w:rFonts w:cs="Arial"/>
              </w:rPr>
              <w:t>Notes:</w:t>
            </w:r>
          </w:p>
        </w:tc>
      </w:tr>
      <w:tr w:rsidR="009A2964" w:rsidRPr="00BB50F2" w14:paraId="46A59AA3" w14:textId="77777777" w:rsidTr="00F8293A">
        <w:tc>
          <w:tcPr>
            <w:tcW w:w="9308" w:type="dxa"/>
            <w:gridSpan w:val="6"/>
          </w:tcPr>
          <w:p w14:paraId="12E98EA6" w14:textId="77777777" w:rsidR="009A2964" w:rsidRPr="00BB50F2" w:rsidRDefault="009A2964" w:rsidP="00F8293A">
            <w:pPr>
              <w:pStyle w:val="Header"/>
              <w:rPr>
                <w:rFonts w:cs="Arial"/>
              </w:rPr>
            </w:pPr>
            <w:r w:rsidRPr="00BB50F2">
              <w:rPr>
                <w:rFonts w:cs="Arial"/>
              </w:rPr>
              <w:t xml:space="preserve">xxx – Target as defined in table </w:t>
            </w:r>
            <w:proofErr w:type="gramStart"/>
            <w:r w:rsidRPr="00BB50F2">
              <w:rPr>
                <w:rFonts w:cs="Arial"/>
              </w:rPr>
              <w:t>1</w:t>
            </w:r>
            <w:proofErr w:type="gramEnd"/>
          </w:p>
          <w:p w14:paraId="251235C5" w14:textId="55E3CAF7" w:rsidR="009A2964" w:rsidRPr="00BB50F2" w:rsidRDefault="009A2964" w:rsidP="00F8293A">
            <w:pPr>
              <w:pStyle w:val="Header"/>
              <w:rPr>
                <w:rFonts w:cs="Arial"/>
              </w:rPr>
            </w:pPr>
            <w:proofErr w:type="spellStart"/>
            <w:r w:rsidRPr="00BB50F2">
              <w:rPr>
                <w:rFonts w:cs="Arial"/>
              </w:rPr>
              <w:t>yyy</w:t>
            </w:r>
            <w:proofErr w:type="spellEnd"/>
            <w:r w:rsidRPr="00BB50F2">
              <w:rPr>
                <w:rFonts w:cs="Arial"/>
              </w:rPr>
              <w:t>- Minimum as defined in table 1</w:t>
            </w:r>
          </w:p>
        </w:tc>
      </w:tr>
    </w:tbl>
    <w:p w14:paraId="1FB66CF4" w14:textId="77777777" w:rsidR="009A2964" w:rsidRPr="00BB50F2" w:rsidRDefault="009A2964" w:rsidP="00F8293A">
      <w:pPr>
        <w:jc w:val="left"/>
        <w:rPr>
          <w:rFonts w:cs="Arial"/>
        </w:rPr>
      </w:pPr>
      <w:r w:rsidRPr="00BB50F2">
        <w:rPr>
          <w:rFonts w:cs="Arial"/>
        </w:rPr>
        <w:br w:type="page"/>
      </w:r>
    </w:p>
    <w:tbl>
      <w:tblPr>
        <w:tblW w:w="937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5"/>
        <w:gridCol w:w="952"/>
        <w:gridCol w:w="953"/>
        <w:gridCol w:w="3846"/>
        <w:gridCol w:w="2976"/>
        <w:gridCol w:w="303"/>
      </w:tblGrid>
      <w:tr w:rsidR="009A2964" w:rsidRPr="00BB50F2" w14:paraId="0A524ABB" w14:textId="77777777" w:rsidTr="00F8293A">
        <w:trPr>
          <w:trHeight w:hRule="exact" w:val="294"/>
        </w:trPr>
        <w:tc>
          <w:tcPr>
            <w:tcW w:w="6096" w:type="dxa"/>
            <w:gridSpan w:val="4"/>
          </w:tcPr>
          <w:p w14:paraId="73B55430" w14:textId="77777777" w:rsidR="009A2964" w:rsidRPr="00BB50F2" w:rsidRDefault="009A2964" w:rsidP="00F8293A">
            <w:pPr>
              <w:rPr>
                <w:rFonts w:cs="Arial"/>
                <w:b/>
              </w:rPr>
            </w:pPr>
            <w:r w:rsidRPr="00BB50F2">
              <w:rPr>
                <w:rFonts w:cs="Arial"/>
              </w:rPr>
              <w:lastRenderedPageBreak/>
              <w:br w:type="page"/>
            </w:r>
            <w:r w:rsidRPr="00BB50F2">
              <w:rPr>
                <w:rFonts w:cs="Arial"/>
                <w:b/>
              </w:rPr>
              <w:t>Supplier Staff Churn</w:t>
            </w:r>
          </w:p>
        </w:tc>
        <w:tc>
          <w:tcPr>
            <w:tcW w:w="3279" w:type="dxa"/>
            <w:gridSpan w:val="2"/>
            <w:vAlign w:val="center"/>
          </w:tcPr>
          <w:p w14:paraId="551E6695" w14:textId="12309D30" w:rsidR="009A2964" w:rsidRPr="00BB50F2" w:rsidRDefault="009A2964" w:rsidP="00822819">
            <w:pPr>
              <w:pStyle w:val="Heading1"/>
              <w:numPr>
                <w:ilvl w:val="0"/>
                <w:numId w:val="0"/>
              </w:numPr>
              <w:spacing w:after="120"/>
              <w:rPr>
                <w:rFonts w:cs="Arial"/>
              </w:rPr>
            </w:pPr>
            <w:r w:rsidRPr="00BB50F2">
              <w:rPr>
                <w:rFonts w:cs="Arial"/>
              </w:rPr>
              <w:t>Q-2</w:t>
            </w:r>
            <w:r>
              <w:rPr>
                <w:rFonts w:cs="Arial"/>
                <w:b w:val="0"/>
              </w:rPr>
              <w:t xml:space="preserve"> </w:t>
            </w:r>
            <w:r w:rsidRPr="00E228BD">
              <w:rPr>
                <w:rFonts w:cs="Arial"/>
              </w:rPr>
              <w:t>Continuous</w:t>
            </w:r>
          </w:p>
        </w:tc>
      </w:tr>
      <w:tr w:rsidR="009A2964" w:rsidRPr="00BB50F2" w14:paraId="18E3370E" w14:textId="77777777" w:rsidTr="00F8293A">
        <w:trPr>
          <w:cantSplit/>
          <w:trHeight w:hRule="exact" w:val="397"/>
        </w:trPr>
        <w:tc>
          <w:tcPr>
            <w:tcW w:w="9375" w:type="dxa"/>
            <w:gridSpan w:val="6"/>
            <w:vAlign w:val="center"/>
          </w:tcPr>
          <w:p w14:paraId="1209B14B" w14:textId="77777777" w:rsidR="009A2964" w:rsidRPr="00BB50F2" w:rsidRDefault="009A2964" w:rsidP="00F8293A">
            <w:pPr>
              <w:rPr>
                <w:rFonts w:cs="Arial"/>
                <w:b/>
              </w:rPr>
            </w:pPr>
            <w:r w:rsidRPr="00BB50F2">
              <w:rPr>
                <w:rFonts w:cs="Arial"/>
                <w:b/>
              </w:rPr>
              <w:t>Definition:</w:t>
            </w:r>
          </w:p>
        </w:tc>
      </w:tr>
      <w:tr w:rsidR="009A2964" w:rsidRPr="00BB50F2" w14:paraId="785DC7DB" w14:textId="77777777" w:rsidTr="00F8293A">
        <w:trPr>
          <w:cantSplit/>
        </w:trPr>
        <w:tc>
          <w:tcPr>
            <w:tcW w:w="9375" w:type="dxa"/>
            <w:gridSpan w:val="6"/>
          </w:tcPr>
          <w:p w14:paraId="5FC3DF63" w14:textId="77777777" w:rsidR="009A2964" w:rsidRPr="00BB50F2" w:rsidRDefault="009A2964" w:rsidP="00701A9B">
            <w:pPr>
              <w:pStyle w:val="Header"/>
              <w:ind w:left="33" w:firstLine="0"/>
              <w:rPr>
                <w:rFonts w:cs="Arial"/>
              </w:rPr>
            </w:pPr>
            <w:r w:rsidRPr="00BB50F2">
              <w:rPr>
                <w:rFonts w:cs="Arial"/>
              </w:rPr>
              <w:t>The measure that describes the level of dedicated staff leaving the Supplier’s Operate Services delivery team</w:t>
            </w:r>
            <w:r w:rsidRPr="00BB50F2" w:rsidDel="008D3A10">
              <w:rPr>
                <w:rFonts w:cs="Arial"/>
              </w:rPr>
              <w:t xml:space="preserve"> </w:t>
            </w:r>
            <w:r w:rsidRPr="00BB50F2">
              <w:rPr>
                <w:rFonts w:cs="Arial"/>
              </w:rPr>
              <w:t>within a rolling quarterly period</w:t>
            </w:r>
          </w:p>
        </w:tc>
      </w:tr>
      <w:tr w:rsidR="009A2964" w:rsidRPr="00BB50F2" w14:paraId="7D6441F7" w14:textId="77777777" w:rsidTr="00F8293A">
        <w:trPr>
          <w:cantSplit/>
          <w:trHeight w:hRule="exact" w:val="397"/>
        </w:trPr>
        <w:tc>
          <w:tcPr>
            <w:tcW w:w="9375" w:type="dxa"/>
            <w:gridSpan w:val="6"/>
            <w:vAlign w:val="center"/>
          </w:tcPr>
          <w:p w14:paraId="40C9162B" w14:textId="77777777" w:rsidR="009A2964" w:rsidRPr="00BB50F2" w:rsidRDefault="009A2964" w:rsidP="00F8293A">
            <w:pPr>
              <w:pStyle w:val="Header"/>
              <w:rPr>
                <w:rFonts w:cs="Arial"/>
              </w:rPr>
            </w:pPr>
            <w:r w:rsidRPr="00BB50F2">
              <w:rPr>
                <w:rFonts w:cs="Arial"/>
              </w:rPr>
              <w:t>Calculation:</w:t>
            </w:r>
          </w:p>
        </w:tc>
      </w:tr>
      <w:tr w:rsidR="009A2964" w:rsidRPr="00BB50F2" w14:paraId="5D56FB9B" w14:textId="77777777" w:rsidTr="00F8293A">
        <w:trPr>
          <w:cantSplit/>
        </w:trPr>
        <w:tc>
          <w:tcPr>
            <w:tcW w:w="9375" w:type="dxa"/>
            <w:gridSpan w:val="6"/>
            <w:tcBorders>
              <w:bottom w:val="nil"/>
            </w:tcBorders>
          </w:tcPr>
          <w:p w14:paraId="0A43927A" w14:textId="77777777" w:rsidR="009A2964" w:rsidRPr="00BB50F2" w:rsidRDefault="009A2964" w:rsidP="00F8293A">
            <w:pPr>
              <w:pStyle w:val="Header"/>
              <w:rPr>
                <w:rFonts w:cs="Arial"/>
              </w:rPr>
            </w:pPr>
            <w:r w:rsidRPr="00BB50F2">
              <w:rPr>
                <w:rFonts w:cs="Arial"/>
              </w:rPr>
              <w:t>_</w:t>
            </w:r>
          </w:p>
        </w:tc>
      </w:tr>
      <w:tr w:rsidR="009A2964" w:rsidRPr="00BB50F2" w14:paraId="63C9017A" w14:textId="77777777" w:rsidTr="00F8293A">
        <w:trPr>
          <w:cantSplit/>
          <w:trHeight w:val="1033"/>
        </w:trPr>
        <w:tc>
          <w:tcPr>
            <w:tcW w:w="345" w:type="dxa"/>
            <w:tcBorders>
              <w:top w:val="nil"/>
              <w:bottom w:val="nil"/>
              <w:right w:val="single" w:sz="4" w:space="0" w:color="999999"/>
            </w:tcBorders>
          </w:tcPr>
          <w:p w14:paraId="6CFF465E" w14:textId="77777777" w:rsidR="009A2964" w:rsidRPr="00BB50F2" w:rsidRDefault="009A2964" w:rsidP="00F8293A">
            <w:pPr>
              <w:pStyle w:val="Header"/>
              <w:rPr>
                <w:rFonts w:cs="Arial"/>
              </w:rPr>
            </w:pPr>
          </w:p>
        </w:tc>
        <w:tc>
          <w:tcPr>
            <w:tcW w:w="1905" w:type="dxa"/>
            <w:gridSpan w:val="2"/>
            <w:tcBorders>
              <w:top w:val="single" w:sz="4" w:space="0" w:color="999999"/>
              <w:left w:val="single" w:sz="4" w:space="0" w:color="999999"/>
              <w:bottom w:val="single" w:sz="4" w:space="0" w:color="999999"/>
              <w:right w:val="single" w:sz="4" w:space="0" w:color="999999"/>
            </w:tcBorders>
          </w:tcPr>
          <w:p w14:paraId="183B74EB" w14:textId="77777777" w:rsidR="009A2964" w:rsidRPr="00BB50F2" w:rsidRDefault="009A2964" w:rsidP="00701A9B">
            <w:pPr>
              <w:pStyle w:val="Header"/>
              <w:ind w:left="0" w:firstLine="0"/>
              <w:jc w:val="left"/>
              <w:rPr>
                <w:rFonts w:cs="Arial"/>
              </w:rPr>
            </w:pPr>
            <w:r w:rsidRPr="00BB50F2">
              <w:rPr>
                <w:rFonts w:cs="Arial"/>
              </w:rPr>
              <w:t xml:space="preserve">Number of dedicated Supplier’s staff </w:t>
            </w:r>
          </w:p>
        </w:tc>
        <w:tc>
          <w:tcPr>
            <w:tcW w:w="6822" w:type="dxa"/>
            <w:gridSpan w:val="2"/>
            <w:tcBorders>
              <w:top w:val="single" w:sz="4" w:space="0" w:color="999999"/>
              <w:left w:val="single" w:sz="4" w:space="0" w:color="999999"/>
              <w:bottom w:val="single" w:sz="4" w:space="0" w:color="999999"/>
              <w:right w:val="single" w:sz="4" w:space="0" w:color="999999"/>
            </w:tcBorders>
          </w:tcPr>
          <w:p w14:paraId="3C011D15" w14:textId="6F11D635" w:rsidR="009A2964" w:rsidRPr="00BB50F2" w:rsidRDefault="009A2964" w:rsidP="00701A9B">
            <w:pPr>
              <w:pStyle w:val="Header"/>
              <w:ind w:left="0" w:firstLine="0"/>
              <w:jc w:val="left"/>
              <w:rPr>
                <w:rFonts w:cs="Arial"/>
              </w:rPr>
            </w:pPr>
            <w:r w:rsidRPr="00BB50F2">
              <w:rPr>
                <w:rFonts w:cs="Arial"/>
              </w:rPr>
              <w:t xml:space="preserve">The number of staff (STAFFNO) dedicated to </w:t>
            </w:r>
            <w:proofErr w:type="gramStart"/>
            <w:r w:rsidRPr="00BB50F2">
              <w:rPr>
                <w:rFonts w:cs="Arial"/>
              </w:rPr>
              <w:t>provide</w:t>
            </w:r>
            <w:proofErr w:type="gramEnd"/>
            <w:r w:rsidRPr="00BB50F2">
              <w:rPr>
                <w:rFonts w:cs="Arial"/>
              </w:rPr>
              <w:t xml:space="preserve"> Operate Services and Service Requests to </w:t>
            </w:r>
            <w:proofErr w:type="spellStart"/>
            <w:r w:rsidR="001F1C19">
              <w:rPr>
                <w:rFonts w:cs="Arial"/>
              </w:rPr>
              <w:t>Netlink</w:t>
            </w:r>
            <w:proofErr w:type="spellEnd"/>
            <w:r w:rsidR="001F1C19">
              <w:rPr>
                <w:rFonts w:cs="Arial"/>
              </w:rPr>
              <w:t xml:space="preserve"> Star</w:t>
            </w:r>
            <w:r w:rsidRPr="00BB50F2">
              <w:rPr>
                <w:rFonts w:cs="Arial"/>
              </w:rPr>
              <w:t xml:space="preserve">.   This does not include staff assigned to undertake Projects for </w:t>
            </w:r>
            <w:proofErr w:type="spellStart"/>
            <w:r w:rsidR="001F1C19">
              <w:rPr>
                <w:rFonts w:cs="Arial"/>
              </w:rPr>
              <w:t>Netlink</w:t>
            </w:r>
            <w:proofErr w:type="spellEnd"/>
            <w:r w:rsidR="001F1C19">
              <w:rPr>
                <w:rFonts w:cs="Arial"/>
              </w:rPr>
              <w:t xml:space="preserve"> Star</w:t>
            </w:r>
            <w:r w:rsidRPr="00BB50F2">
              <w:rPr>
                <w:rFonts w:cs="Arial"/>
              </w:rPr>
              <w:t xml:space="preserve">.   </w:t>
            </w:r>
          </w:p>
        </w:tc>
        <w:tc>
          <w:tcPr>
            <w:tcW w:w="303" w:type="dxa"/>
            <w:tcBorders>
              <w:top w:val="nil"/>
              <w:left w:val="single" w:sz="4" w:space="0" w:color="999999"/>
              <w:bottom w:val="nil"/>
            </w:tcBorders>
          </w:tcPr>
          <w:p w14:paraId="11C593EF" w14:textId="77777777" w:rsidR="009A2964" w:rsidRPr="00BB50F2" w:rsidRDefault="009A2964" w:rsidP="00F8293A">
            <w:pPr>
              <w:pStyle w:val="Header"/>
              <w:rPr>
                <w:rFonts w:cs="Arial"/>
              </w:rPr>
            </w:pPr>
          </w:p>
        </w:tc>
      </w:tr>
      <w:tr w:rsidR="009A2964" w:rsidRPr="00BB50F2" w14:paraId="7CBDB398" w14:textId="77777777" w:rsidTr="00F8293A">
        <w:trPr>
          <w:cantSplit/>
        </w:trPr>
        <w:tc>
          <w:tcPr>
            <w:tcW w:w="345" w:type="dxa"/>
            <w:tcBorders>
              <w:top w:val="nil"/>
              <w:bottom w:val="nil"/>
              <w:right w:val="single" w:sz="4" w:space="0" w:color="999999"/>
            </w:tcBorders>
          </w:tcPr>
          <w:p w14:paraId="314A945E" w14:textId="77777777" w:rsidR="009A2964" w:rsidRPr="00BB50F2" w:rsidRDefault="009A2964" w:rsidP="00F8293A">
            <w:pPr>
              <w:pStyle w:val="Header"/>
              <w:rPr>
                <w:rFonts w:cs="Arial"/>
              </w:rPr>
            </w:pPr>
          </w:p>
        </w:tc>
        <w:tc>
          <w:tcPr>
            <w:tcW w:w="1905" w:type="dxa"/>
            <w:gridSpan w:val="2"/>
            <w:tcBorders>
              <w:top w:val="single" w:sz="4" w:space="0" w:color="999999"/>
              <w:left w:val="single" w:sz="4" w:space="0" w:color="999999"/>
              <w:bottom w:val="single" w:sz="4" w:space="0" w:color="999999"/>
              <w:right w:val="single" w:sz="4" w:space="0" w:color="999999"/>
            </w:tcBorders>
          </w:tcPr>
          <w:p w14:paraId="152A94F8" w14:textId="77777777" w:rsidR="009A2964" w:rsidRPr="00BB50F2" w:rsidRDefault="009A2964" w:rsidP="00701A9B">
            <w:pPr>
              <w:pStyle w:val="Header"/>
              <w:ind w:left="0" w:firstLine="0"/>
              <w:jc w:val="left"/>
              <w:rPr>
                <w:rFonts w:cs="Arial"/>
              </w:rPr>
            </w:pPr>
            <w:r w:rsidRPr="00BB50F2">
              <w:rPr>
                <w:rFonts w:cs="Arial"/>
              </w:rPr>
              <w:t>Number of dedicated Supplier’s staff leaving the Supplier’s team</w:t>
            </w:r>
          </w:p>
        </w:tc>
        <w:tc>
          <w:tcPr>
            <w:tcW w:w="6822" w:type="dxa"/>
            <w:gridSpan w:val="2"/>
            <w:tcBorders>
              <w:top w:val="single" w:sz="4" w:space="0" w:color="999999"/>
              <w:left w:val="single" w:sz="4" w:space="0" w:color="999999"/>
              <w:bottom w:val="single" w:sz="4" w:space="0" w:color="999999"/>
              <w:right w:val="single" w:sz="4" w:space="0" w:color="999999"/>
            </w:tcBorders>
          </w:tcPr>
          <w:p w14:paraId="1DA1B820" w14:textId="77777777" w:rsidR="009A2964" w:rsidRPr="00BB50F2" w:rsidRDefault="009A2964" w:rsidP="00701A9B">
            <w:pPr>
              <w:pStyle w:val="Header"/>
              <w:ind w:left="0" w:firstLine="0"/>
              <w:jc w:val="left"/>
              <w:rPr>
                <w:rFonts w:cs="Arial"/>
              </w:rPr>
            </w:pPr>
            <w:r w:rsidRPr="00BB50F2">
              <w:rPr>
                <w:rFonts w:cs="Arial"/>
              </w:rPr>
              <w:t xml:space="preserve">Number of dedicated staff leaving the Supplier’s team (STAFFLV) who then require replacement in the rolling quarterly period. Those who are on scheduled holiday, maternity, paternity, sick or compassionate leave for a period of less than a calendar month are not considered as having left the team.  Any dedicated staff leaving the team </w:t>
            </w:r>
            <w:proofErr w:type="gramStart"/>
            <w:r w:rsidRPr="00BB50F2">
              <w:rPr>
                <w:rFonts w:cs="Arial"/>
              </w:rPr>
              <w:t>as a result of</w:t>
            </w:r>
            <w:proofErr w:type="gramEnd"/>
            <w:r w:rsidRPr="00BB50F2">
              <w:rPr>
                <w:rFonts w:cs="Arial"/>
              </w:rPr>
              <w:t xml:space="preserve"> efficiency measures will not be considered. </w:t>
            </w:r>
          </w:p>
        </w:tc>
        <w:tc>
          <w:tcPr>
            <w:tcW w:w="303" w:type="dxa"/>
            <w:tcBorders>
              <w:top w:val="nil"/>
              <w:left w:val="single" w:sz="4" w:space="0" w:color="999999"/>
              <w:bottom w:val="nil"/>
            </w:tcBorders>
          </w:tcPr>
          <w:p w14:paraId="602168C8" w14:textId="77777777" w:rsidR="009A2964" w:rsidRPr="00BB50F2" w:rsidRDefault="009A2964" w:rsidP="00F8293A">
            <w:pPr>
              <w:pStyle w:val="Header"/>
              <w:rPr>
                <w:rFonts w:cs="Arial"/>
              </w:rPr>
            </w:pPr>
          </w:p>
        </w:tc>
      </w:tr>
      <w:tr w:rsidR="009A2964" w:rsidRPr="00BB50F2" w14:paraId="18C91E72" w14:textId="77777777" w:rsidTr="00F8293A">
        <w:trPr>
          <w:cantSplit/>
        </w:trPr>
        <w:tc>
          <w:tcPr>
            <w:tcW w:w="345" w:type="dxa"/>
            <w:tcBorders>
              <w:top w:val="nil"/>
              <w:bottom w:val="nil"/>
              <w:right w:val="single" w:sz="4" w:space="0" w:color="999999"/>
            </w:tcBorders>
          </w:tcPr>
          <w:p w14:paraId="149FC07D" w14:textId="77777777" w:rsidR="009A2964" w:rsidRPr="00BB50F2" w:rsidRDefault="009A2964" w:rsidP="00F8293A">
            <w:pPr>
              <w:pStyle w:val="Header"/>
              <w:rPr>
                <w:rFonts w:cs="Arial"/>
              </w:rPr>
            </w:pPr>
          </w:p>
        </w:tc>
        <w:tc>
          <w:tcPr>
            <w:tcW w:w="1905" w:type="dxa"/>
            <w:gridSpan w:val="2"/>
            <w:tcBorders>
              <w:top w:val="single" w:sz="4" w:space="0" w:color="999999"/>
              <w:left w:val="single" w:sz="4" w:space="0" w:color="999999"/>
              <w:bottom w:val="single" w:sz="4" w:space="0" w:color="999999"/>
              <w:right w:val="single" w:sz="4" w:space="0" w:color="999999"/>
            </w:tcBorders>
          </w:tcPr>
          <w:p w14:paraId="4FA82F09" w14:textId="77777777" w:rsidR="009A2964" w:rsidRPr="00BB50F2" w:rsidRDefault="009A2964" w:rsidP="00F8293A">
            <w:pPr>
              <w:pStyle w:val="Header"/>
              <w:rPr>
                <w:rFonts w:cs="Arial"/>
              </w:rPr>
            </w:pPr>
          </w:p>
        </w:tc>
        <w:tc>
          <w:tcPr>
            <w:tcW w:w="6822" w:type="dxa"/>
            <w:gridSpan w:val="2"/>
            <w:tcBorders>
              <w:top w:val="single" w:sz="4" w:space="0" w:color="999999"/>
              <w:left w:val="single" w:sz="4" w:space="0" w:color="999999"/>
              <w:bottom w:val="single" w:sz="4" w:space="0" w:color="999999"/>
              <w:right w:val="single" w:sz="4" w:space="0" w:color="999999"/>
            </w:tcBorders>
          </w:tcPr>
          <w:p w14:paraId="02214BE2" w14:textId="77777777" w:rsidR="009A2964" w:rsidRPr="00BB50F2" w:rsidRDefault="009A2964" w:rsidP="00F8293A">
            <w:pPr>
              <w:pStyle w:val="Header"/>
              <w:rPr>
                <w:rFonts w:cs="Arial"/>
              </w:rPr>
            </w:pPr>
          </w:p>
        </w:tc>
        <w:tc>
          <w:tcPr>
            <w:tcW w:w="303" w:type="dxa"/>
            <w:tcBorders>
              <w:top w:val="nil"/>
              <w:left w:val="single" w:sz="4" w:space="0" w:color="999999"/>
              <w:bottom w:val="nil"/>
            </w:tcBorders>
          </w:tcPr>
          <w:p w14:paraId="5268C7E3" w14:textId="77777777" w:rsidR="009A2964" w:rsidRPr="00BB50F2" w:rsidRDefault="009A2964" w:rsidP="00F8293A">
            <w:pPr>
              <w:pStyle w:val="Header"/>
              <w:rPr>
                <w:rFonts w:cs="Arial"/>
              </w:rPr>
            </w:pPr>
          </w:p>
        </w:tc>
      </w:tr>
      <w:tr w:rsidR="009A2964" w:rsidRPr="00BB50F2" w14:paraId="34070F45" w14:textId="77777777" w:rsidTr="00F8293A">
        <w:trPr>
          <w:cantSplit/>
          <w:trHeight w:hRule="exact" w:val="113"/>
        </w:trPr>
        <w:tc>
          <w:tcPr>
            <w:tcW w:w="9375" w:type="dxa"/>
            <w:gridSpan w:val="6"/>
            <w:tcBorders>
              <w:top w:val="nil"/>
            </w:tcBorders>
          </w:tcPr>
          <w:p w14:paraId="76A1B0C3" w14:textId="77777777" w:rsidR="009A2964" w:rsidRPr="00BB50F2" w:rsidRDefault="009A2964" w:rsidP="00F8293A">
            <w:pPr>
              <w:pStyle w:val="Header"/>
              <w:rPr>
                <w:rFonts w:cs="Arial"/>
              </w:rPr>
            </w:pPr>
          </w:p>
        </w:tc>
      </w:tr>
      <w:tr w:rsidR="009A2964" w:rsidRPr="00BB50F2" w14:paraId="205A7AFF" w14:textId="77777777" w:rsidTr="00F8293A">
        <w:trPr>
          <w:cantSplit/>
          <w:trHeight w:hRule="exact" w:val="397"/>
        </w:trPr>
        <w:tc>
          <w:tcPr>
            <w:tcW w:w="9375" w:type="dxa"/>
            <w:gridSpan w:val="6"/>
            <w:vAlign w:val="center"/>
          </w:tcPr>
          <w:p w14:paraId="0DE1893C" w14:textId="77777777" w:rsidR="009A2964" w:rsidRPr="00BB50F2" w:rsidRDefault="009A2964" w:rsidP="00F8293A">
            <w:pPr>
              <w:pStyle w:val="Header"/>
              <w:rPr>
                <w:rFonts w:cs="Arial"/>
              </w:rPr>
            </w:pPr>
            <w:r w:rsidRPr="00BB50F2">
              <w:rPr>
                <w:rFonts w:cs="Arial"/>
              </w:rPr>
              <w:t>Measurement:</w:t>
            </w:r>
          </w:p>
        </w:tc>
      </w:tr>
      <w:tr w:rsidR="009A2964" w:rsidRPr="00BB50F2" w14:paraId="45BB26F2" w14:textId="77777777" w:rsidTr="00F8293A">
        <w:trPr>
          <w:cantSplit/>
          <w:trHeight w:hRule="exact" w:val="113"/>
        </w:trPr>
        <w:tc>
          <w:tcPr>
            <w:tcW w:w="9375" w:type="dxa"/>
            <w:gridSpan w:val="6"/>
            <w:tcBorders>
              <w:bottom w:val="nil"/>
            </w:tcBorders>
          </w:tcPr>
          <w:p w14:paraId="4A2D44F4" w14:textId="77777777" w:rsidR="009A2964" w:rsidRPr="00BB50F2" w:rsidRDefault="009A2964" w:rsidP="00F8293A">
            <w:pPr>
              <w:pStyle w:val="Header"/>
              <w:rPr>
                <w:rFonts w:cs="Arial"/>
              </w:rPr>
            </w:pPr>
          </w:p>
        </w:tc>
      </w:tr>
      <w:tr w:rsidR="009A2964" w:rsidRPr="00BB50F2" w14:paraId="3DB7094E" w14:textId="77777777" w:rsidTr="00F8293A">
        <w:trPr>
          <w:cantSplit/>
        </w:trPr>
        <w:tc>
          <w:tcPr>
            <w:tcW w:w="345" w:type="dxa"/>
            <w:tcBorders>
              <w:top w:val="nil"/>
              <w:bottom w:val="nil"/>
              <w:right w:val="single" w:sz="4" w:space="0" w:color="999999"/>
            </w:tcBorders>
          </w:tcPr>
          <w:p w14:paraId="37D1F7BE" w14:textId="77777777" w:rsidR="009A2964" w:rsidRPr="00BB50F2" w:rsidRDefault="009A2964" w:rsidP="00F8293A">
            <w:pPr>
              <w:pStyle w:val="Header"/>
              <w:rPr>
                <w:rFonts w:cs="Arial"/>
              </w:rPr>
            </w:pPr>
          </w:p>
        </w:tc>
        <w:tc>
          <w:tcPr>
            <w:tcW w:w="1905" w:type="dxa"/>
            <w:gridSpan w:val="2"/>
            <w:tcBorders>
              <w:top w:val="single" w:sz="4" w:space="0" w:color="999999"/>
              <w:left w:val="single" w:sz="4" w:space="0" w:color="999999"/>
              <w:bottom w:val="single" w:sz="4" w:space="0" w:color="999999"/>
              <w:right w:val="single" w:sz="4" w:space="0" w:color="999999"/>
            </w:tcBorders>
          </w:tcPr>
          <w:p w14:paraId="0D1A0819" w14:textId="77777777" w:rsidR="009A2964" w:rsidRPr="00BB50F2" w:rsidRDefault="009A2964" w:rsidP="00701A9B">
            <w:pPr>
              <w:pStyle w:val="Header"/>
              <w:ind w:left="0" w:firstLine="0"/>
              <w:jc w:val="left"/>
              <w:rPr>
                <w:rFonts w:cs="Arial"/>
              </w:rPr>
            </w:pPr>
            <w:r w:rsidRPr="00BB50F2">
              <w:rPr>
                <w:rFonts w:cs="Arial"/>
              </w:rPr>
              <w:t>Period</w:t>
            </w:r>
          </w:p>
        </w:tc>
        <w:tc>
          <w:tcPr>
            <w:tcW w:w="6822" w:type="dxa"/>
            <w:gridSpan w:val="2"/>
            <w:tcBorders>
              <w:top w:val="single" w:sz="4" w:space="0" w:color="999999"/>
              <w:left w:val="single" w:sz="4" w:space="0" w:color="999999"/>
              <w:bottom w:val="single" w:sz="4" w:space="0" w:color="999999"/>
              <w:right w:val="single" w:sz="4" w:space="0" w:color="999999"/>
            </w:tcBorders>
          </w:tcPr>
          <w:p w14:paraId="3AB552EA" w14:textId="77777777" w:rsidR="009A2964" w:rsidRPr="00BB50F2" w:rsidRDefault="009A2964" w:rsidP="00701A9B">
            <w:pPr>
              <w:pStyle w:val="Header"/>
              <w:ind w:left="0" w:firstLine="0"/>
              <w:jc w:val="left"/>
              <w:rPr>
                <w:rFonts w:cs="Arial"/>
              </w:rPr>
            </w:pPr>
            <w:r w:rsidRPr="00BB50F2">
              <w:rPr>
                <w:rFonts w:cs="Arial"/>
              </w:rPr>
              <w:t>Reported monthly but measured on rolling quarterly basis</w:t>
            </w:r>
          </w:p>
        </w:tc>
        <w:tc>
          <w:tcPr>
            <w:tcW w:w="303" w:type="dxa"/>
            <w:tcBorders>
              <w:top w:val="nil"/>
              <w:left w:val="single" w:sz="4" w:space="0" w:color="999999"/>
              <w:bottom w:val="nil"/>
            </w:tcBorders>
          </w:tcPr>
          <w:p w14:paraId="593ABED0" w14:textId="77777777" w:rsidR="009A2964" w:rsidRPr="00BB50F2" w:rsidRDefault="009A2964" w:rsidP="00F8293A">
            <w:pPr>
              <w:pStyle w:val="Header"/>
              <w:rPr>
                <w:rFonts w:cs="Arial"/>
              </w:rPr>
            </w:pPr>
          </w:p>
        </w:tc>
      </w:tr>
      <w:tr w:rsidR="009A2964" w:rsidRPr="00BB50F2" w14:paraId="7634D0FA" w14:textId="77777777" w:rsidTr="00F8293A">
        <w:trPr>
          <w:cantSplit/>
        </w:trPr>
        <w:tc>
          <w:tcPr>
            <w:tcW w:w="345" w:type="dxa"/>
            <w:tcBorders>
              <w:top w:val="nil"/>
              <w:bottom w:val="nil"/>
              <w:right w:val="single" w:sz="4" w:space="0" w:color="999999"/>
            </w:tcBorders>
          </w:tcPr>
          <w:p w14:paraId="31ECC3B6" w14:textId="77777777" w:rsidR="009A2964" w:rsidRPr="00BB50F2" w:rsidRDefault="009A2964" w:rsidP="00F8293A">
            <w:pPr>
              <w:pStyle w:val="Header"/>
              <w:rPr>
                <w:rFonts w:cs="Arial"/>
              </w:rPr>
            </w:pPr>
          </w:p>
        </w:tc>
        <w:tc>
          <w:tcPr>
            <w:tcW w:w="1905" w:type="dxa"/>
            <w:gridSpan w:val="2"/>
            <w:tcBorders>
              <w:top w:val="single" w:sz="4" w:space="0" w:color="999999"/>
              <w:left w:val="single" w:sz="4" w:space="0" w:color="999999"/>
              <w:bottom w:val="single" w:sz="4" w:space="0" w:color="999999"/>
              <w:right w:val="single" w:sz="4" w:space="0" w:color="999999"/>
            </w:tcBorders>
          </w:tcPr>
          <w:p w14:paraId="631CF6CE" w14:textId="77777777" w:rsidR="009A2964" w:rsidRPr="00BB50F2" w:rsidRDefault="009A2964" w:rsidP="00701A9B">
            <w:pPr>
              <w:pStyle w:val="Header"/>
              <w:ind w:left="0" w:firstLine="0"/>
              <w:jc w:val="left"/>
              <w:rPr>
                <w:rFonts w:cs="Arial"/>
              </w:rPr>
            </w:pPr>
            <w:r w:rsidRPr="00BB50F2">
              <w:rPr>
                <w:rFonts w:cs="Arial"/>
              </w:rPr>
              <w:t>Method</w:t>
            </w:r>
          </w:p>
        </w:tc>
        <w:tc>
          <w:tcPr>
            <w:tcW w:w="6822" w:type="dxa"/>
            <w:gridSpan w:val="2"/>
            <w:tcBorders>
              <w:top w:val="single" w:sz="4" w:space="0" w:color="999999"/>
              <w:left w:val="single" w:sz="4" w:space="0" w:color="999999"/>
              <w:bottom w:val="single" w:sz="4" w:space="0" w:color="999999"/>
              <w:right w:val="single" w:sz="4" w:space="0" w:color="999999"/>
            </w:tcBorders>
          </w:tcPr>
          <w:p w14:paraId="693526EF" w14:textId="1A5396E2" w:rsidR="009A2964" w:rsidRPr="00BB50F2" w:rsidRDefault="009A2964" w:rsidP="00701A9B">
            <w:pPr>
              <w:pStyle w:val="Header"/>
              <w:ind w:left="0" w:firstLine="0"/>
              <w:jc w:val="left"/>
              <w:rPr>
                <w:rFonts w:cs="Arial"/>
              </w:rPr>
            </w:pPr>
            <w:r w:rsidRPr="00BB50F2">
              <w:rPr>
                <w:rFonts w:cs="Arial"/>
              </w:rPr>
              <w:t xml:space="preserve">The Supplier shall keep a record of all dedicated staff deployed to support </w:t>
            </w:r>
            <w:proofErr w:type="spellStart"/>
            <w:r w:rsidR="001F1C19">
              <w:rPr>
                <w:rFonts w:cs="Arial"/>
              </w:rPr>
              <w:t>Netlink</w:t>
            </w:r>
            <w:proofErr w:type="spellEnd"/>
            <w:r w:rsidR="001F1C19">
              <w:rPr>
                <w:rFonts w:cs="Arial"/>
              </w:rPr>
              <w:t xml:space="preserve"> Star</w:t>
            </w:r>
            <w:r w:rsidRPr="00BB50F2">
              <w:rPr>
                <w:rFonts w:cs="Arial"/>
              </w:rPr>
              <w:t xml:space="preserve"> together with their role on the team.</w:t>
            </w:r>
          </w:p>
          <w:p w14:paraId="37238075" w14:textId="77777777" w:rsidR="009A2964" w:rsidRPr="00BB50F2" w:rsidRDefault="009A2964" w:rsidP="00701A9B">
            <w:pPr>
              <w:pStyle w:val="Header"/>
              <w:ind w:left="0" w:firstLine="0"/>
              <w:jc w:val="left"/>
              <w:rPr>
                <w:rFonts w:cs="Arial"/>
              </w:rPr>
            </w:pPr>
          </w:p>
        </w:tc>
        <w:tc>
          <w:tcPr>
            <w:tcW w:w="303" w:type="dxa"/>
            <w:tcBorders>
              <w:top w:val="nil"/>
              <w:left w:val="single" w:sz="4" w:space="0" w:color="999999"/>
              <w:bottom w:val="nil"/>
            </w:tcBorders>
          </w:tcPr>
          <w:p w14:paraId="6803D5FA" w14:textId="77777777" w:rsidR="009A2964" w:rsidRPr="00BB50F2" w:rsidRDefault="009A2964" w:rsidP="00F8293A">
            <w:pPr>
              <w:pStyle w:val="Header"/>
              <w:rPr>
                <w:rFonts w:cs="Arial"/>
              </w:rPr>
            </w:pPr>
          </w:p>
        </w:tc>
      </w:tr>
      <w:tr w:rsidR="009A2964" w:rsidRPr="00BB50F2" w14:paraId="756DB5DC" w14:textId="77777777" w:rsidTr="00F8293A">
        <w:trPr>
          <w:cantSplit/>
          <w:trHeight w:hRule="exact" w:val="113"/>
        </w:trPr>
        <w:tc>
          <w:tcPr>
            <w:tcW w:w="9375" w:type="dxa"/>
            <w:gridSpan w:val="6"/>
            <w:tcBorders>
              <w:top w:val="nil"/>
            </w:tcBorders>
          </w:tcPr>
          <w:p w14:paraId="6341FC02" w14:textId="77777777" w:rsidR="009A2964" w:rsidRPr="00BB50F2" w:rsidRDefault="009A2964" w:rsidP="00F8293A">
            <w:pPr>
              <w:pStyle w:val="Header"/>
              <w:rPr>
                <w:rFonts w:cs="Arial"/>
              </w:rPr>
            </w:pPr>
          </w:p>
        </w:tc>
      </w:tr>
      <w:tr w:rsidR="009A2964" w:rsidRPr="00BB50F2" w14:paraId="09140110" w14:textId="77777777" w:rsidTr="00F8293A">
        <w:trPr>
          <w:cantSplit/>
          <w:trHeight w:hRule="exact" w:val="397"/>
        </w:trPr>
        <w:tc>
          <w:tcPr>
            <w:tcW w:w="9375" w:type="dxa"/>
            <w:gridSpan w:val="6"/>
            <w:vAlign w:val="center"/>
          </w:tcPr>
          <w:p w14:paraId="0CE6B0A9" w14:textId="77777777" w:rsidR="009A2964" w:rsidRPr="00BB50F2" w:rsidRDefault="009A2964" w:rsidP="00F8293A">
            <w:pPr>
              <w:pStyle w:val="Header"/>
              <w:rPr>
                <w:rFonts w:cs="Arial"/>
              </w:rPr>
            </w:pPr>
            <w:r w:rsidRPr="00BB50F2">
              <w:rPr>
                <w:rFonts w:cs="Arial"/>
              </w:rPr>
              <w:t>Service Credit Levels:</w:t>
            </w:r>
          </w:p>
        </w:tc>
      </w:tr>
      <w:tr w:rsidR="009A2964" w:rsidRPr="00BB50F2" w14:paraId="548D4618" w14:textId="77777777" w:rsidTr="00F8293A">
        <w:trPr>
          <w:cantSplit/>
          <w:trHeight w:hRule="exact" w:val="113"/>
        </w:trPr>
        <w:tc>
          <w:tcPr>
            <w:tcW w:w="9375" w:type="dxa"/>
            <w:gridSpan w:val="6"/>
            <w:tcBorders>
              <w:bottom w:val="nil"/>
            </w:tcBorders>
          </w:tcPr>
          <w:p w14:paraId="5F798918" w14:textId="77777777" w:rsidR="009A2964" w:rsidRPr="00BB50F2" w:rsidRDefault="009A2964" w:rsidP="00F8293A">
            <w:pPr>
              <w:pStyle w:val="Header"/>
              <w:rPr>
                <w:rFonts w:cs="Arial"/>
              </w:rPr>
            </w:pPr>
          </w:p>
        </w:tc>
      </w:tr>
      <w:tr w:rsidR="009A2964" w:rsidRPr="00BB50F2" w14:paraId="203C6908" w14:textId="77777777" w:rsidTr="00F8293A">
        <w:trPr>
          <w:cantSplit/>
        </w:trPr>
        <w:tc>
          <w:tcPr>
            <w:tcW w:w="345" w:type="dxa"/>
            <w:tcBorders>
              <w:top w:val="nil"/>
              <w:bottom w:val="nil"/>
              <w:right w:val="single" w:sz="4" w:space="0" w:color="999999"/>
            </w:tcBorders>
          </w:tcPr>
          <w:p w14:paraId="4AC6E188" w14:textId="77777777" w:rsidR="009A2964" w:rsidRPr="00BB50F2" w:rsidRDefault="009A2964" w:rsidP="00F8293A">
            <w:pPr>
              <w:pStyle w:val="Header"/>
              <w:rPr>
                <w:rFonts w:cs="Arial"/>
              </w:rPr>
            </w:pPr>
          </w:p>
        </w:tc>
        <w:tc>
          <w:tcPr>
            <w:tcW w:w="8727" w:type="dxa"/>
            <w:gridSpan w:val="4"/>
            <w:tcBorders>
              <w:top w:val="single" w:sz="4" w:space="0" w:color="999999"/>
              <w:left w:val="single" w:sz="4" w:space="0" w:color="999999"/>
              <w:bottom w:val="single" w:sz="4" w:space="0" w:color="999999"/>
              <w:right w:val="single" w:sz="4" w:space="0" w:color="999999"/>
            </w:tcBorders>
          </w:tcPr>
          <w:p w14:paraId="4AC6FDF1" w14:textId="77777777" w:rsidR="009A2964" w:rsidRPr="00BB50F2" w:rsidRDefault="009A2964" w:rsidP="00F8293A">
            <w:pPr>
              <w:pStyle w:val="Header"/>
              <w:rPr>
                <w:rFonts w:cs="Arial"/>
                <w:highlight w:val="yellow"/>
              </w:rPr>
            </w:pPr>
          </w:p>
        </w:tc>
        <w:tc>
          <w:tcPr>
            <w:tcW w:w="303" w:type="dxa"/>
            <w:tcBorders>
              <w:top w:val="nil"/>
              <w:left w:val="single" w:sz="4" w:space="0" w:color="999999"/>
              <w:bottom w:val="nil"/>
            </w:tcBorders>
          </w:tcPr>
          <w:p w14:paraId="4F08D0BB" w14:textId="77777777" w:rsidR="009A2964" w:rsidRPr="00BB50F2" w:rsidRDefault="009A2964" w:rsidP="00F8293A">
            <w:pPr>
              <w:pStyle w:val="Header"/>
              <w:rPr>
                <w:rFonts w:cs="Arial"/>
              </w:rPr>
            </w:pPr>
          </w:p>
        </w:tc>
      </w:tr>
      <w:tr w:rsidR="009A2964" w:rsidRPr="00BB50F2" w14:paraId="0120248E" w14:textId="77777777" w:rsidTr="00F8293A">
        <w:trPr>
          <w:cantSplit/>
        </w:trPr>
        <w:tc>
          <w:tcPr>
            <w:tcW w:w="345" w:type="dxa"/>
            <w:tcBorders>
              <w:top w:val="nil"/>
              <w:bottom w:val="nil"/>
              <w:right w:val="single" w:sz="4" w:space="0" w:color="999999"/>
            </w:tcBorders>
          </w:tcPr>
          <w:p w14:paraId="48961C3E" w14:textId="77777777" w:rsidR="009A2964" w:rsidRPr="00BB50F2" w:rsidRDefault="009A2964" w:rsidP="00F8293A">
            <w:pPr>
              <w:pStyle w:val="Header"/>
              <w:rPr>
                <w:rFonts w:cs="Arial"/>
              </w:rPr>
            </w:pPr>
          </w:p>
        </w:tc>
        <w:tc>
          <w:tcPr>
            <w:tcW w:w="1905" w:type="dxa"/>
            <w:gridSpan w:val="2"/>
            <w:tcBorders>
              <w:top w:val="single" w:sz="4" w:space="0" w:color="999999"/>
              <w:left w:val="single" w:sz="4" w:space="0" w:color="999999"/>
              <w:bottom w:val="single" w:sz="4" w:space="0" w:color="999999"/>
              <w:right w:val="single" w:sz="4" w:space="0" w:color="999999"/>
            </w:tcBorders>
          </w:tcPr>
          <w:p w14:paraId="41C6432D" w14:textId="77777777" w:rsidR="009A2964" w:rsidRPr="00BB50F2" w:rsidRDefault="009A2964" w:rsidP="00701A9B">
            <w:pPr>
              <w:pStyle w:val="Header"/>
              <w:ind w:left="0" w:firstLine="0"/>
              <w:rPr>
                <w:rFonts w:cs="Arial"/>
              </w:rPr>
            </w:pPr>
            <w:r w:rsidRPr="00BB50F2">
              <w:rPr>
                <w:rFonts w:cs="Arial"/>
              </w:rPr>
              <w:t>Actual Service Usage</w:t>
            </w:r>
          </w:p>
        </w:tc>
        <w:tc>
          <w:tcPr>
            <w:tcW w:w="3846" w:type="dxa"/>
            <w:vMerge w:val="restart"/>
            <w:tcBorders>
              <w:top w:val="single" w:sz="4" w:space="0" w:color="999999"/>
              <w:left w:val="single" w:sz="4" w:space="0" w:color="999999"/>
              <w:right w:val="single" w:sz="4" w:space="0" w:color="999999"/>
            </w:tcBorders>
            <w:vAlign w:val="bottom"/>
          </w:tcPr>
          <w:p w14:paraId="6E0BE837" w14:textId="77777777" w:rsidR="009A2964" w:rsidRPr="00BB50F2" w:rsidRDefault="009A2964" w:rsidP="00F8293A">
            <w:pPr>
              <w:pStyle w:val="Header"/>
              <w:rPr>
                <w:rFonts w:cs="Arial"/>
              </w:rPr>
            </w:pPr>
            <w:r w:rsidRPr="00BB50F2">
              <w:rPr>
                <w:rFonts w:cs="Arial"/>
              </w:rPr>
              <w:t>Calculation</w:t>
            </w:r>
          </w:p>
        </w:tc>
        <w:tc>
          <w:tcPr>
            <w:tcW w:w="2976" w:type="dxa"/>
            <w:vMerge w:val="restart"/>
            <w:tcBorders>
              <w:top w:val="single" w:sz="4" w:space="0" w:color="999999"/>
              <w:left w:val="single" w:sz="4" w:space="0" w:color="999999"/>
              <w:right w:val="single" w:sz="4" w:space="0" w:color="999999"/>
            </w:tcBorders>
            <w:vAlign w:val="bottom"/>
          </w:tcPr>
          <w:p w14:paraId="59D88223" w14:textId="77777777" w:rsidR="009A2964" w:rsidRPr="00BB50F2" w:rsidRDefault="009A2964" w:rsidP="00F8293A">
            <w:pPr>
              <w:pStyle w:val="Header"/>
              <w:rPr>
                <w:rFonts w:cs="Arial"/>
              </w:rPr>
            </w:pPr>
            <w:r w:rsidRPr="00BB50F2">
              <w:rPr>
                <w:rFonts w:cs="Arial"/>
              </w:rPr>
              <w:t>Notes</w:t>
            </w:r>
          </w:p>
        </w:tc>
        <w:tc>
          <w:tcPr>
            <w:tcW w:w="303" w:type="dxa"/>
            <w:tcBorders>
              <w:top w:val="nil"/>
              <w:left w:val="single" w:sz="4" w:space="0" w:color="999999"/>
              <w:bottom w:val="nil"/>
            </w:tcBorders>
          </w:tcPr>
          <w:p w14:paraId="620551CE" w14:textId="77777777" w:rsidR="009A2964" w:rsidRPr="00BB50F2" w:rsidRDefault="009A2964" w:rsidP="00F8293A">
            <w:pPr>
              <w:pStyle w:val="Header"/>
              <w:rPr>
                <w:rFonts w:cs="Arial"/>
              </w:rPr>
            </w:pPr>
          </w:p>
        </w:tc>
      </w:tr>
      <w:tr w:rsidR="009A2964" w:rsidRPr="00BB50F2" w14:paraId="6DC84780" w14:textId="77777777" w:rsidTr="00F8293A">
        <w:trPr>
          <w:cantSplit/>
        </w:trPr>
        <w:tc>
          <w:tcPr>
            <w:tcW w:w="345" w:type="dxa"/>
            <w:tcBorders>
              <w:top w:val="nil"/>
              <w:bottom w:val="nil"/>
              <w:right w:val="single" w:sz="4" w:space="0" w:color="999999"/>
            </w:tcBorders>
          </w:tcPr>
          <w:p w14:paraId="49271176" w14:textId="77777777" w:rsidR="009A2964" w:rsidRPr="00BB50F2" w:rsidRDefault="009A2964" w:rsidP="00F8293A">
            <w:pPr>
              <w:pStyle w:val="Header"/>
              <w:rPr>
                <w:rFonts w:cs="Arial"/>
              </w:rPr>
            </w:pPr>
          </w:p>
        </w:tc>
        <w:tc>
          <w:tcPr>
            <w:tcW w:w="952" w:type="dxa"/>
            <w:tcBorders>
              <w:top w:val="single" w:sz="4" w:space="0" w:color="999999"/>
              <w:left w:val="single" w:sz="4" w:space="0" w:color="999999"/>
              <w:bottom w:val="single" w:sz="4" w:space="0" w:color="999999"/>
              <w:right w:val="single" w:sz="4" w:space="0" w:color="999999"/>
            </w:tcBorders>
          </w:tcPr>
          <w:p w14:paraId="7AD5A658" w14:textId="77777777" w:rsidR="009A2964" w:rsidRPr="00BB50F2" w:rsidRDefault="009A2964" w:rsidP="00F8293A">
            <w:pPr>
              <w:pStyle w:val="Header"/>
              <w:rPr>
                <w:rFonts w:cs="Arial"/>
              </w:rPr>
            </w:pPr>
            <w:r w:rsidRPr="00BB50F2">
              <w:rPr>
                <w:rFonts w:cs="Arial"/>
              </w:rPr>
              <w:t>Lower</w:t>
            </w:r>
          </w:p>
        </w:tc>
        <w:tc>
          <w:tcPr>
            <w:tcW w:w="953" w:type="dxa"/>
            <w:tcBorders>
              <w:top w:val="single" w:sz="4" w:space="0" w:color="999999"/>
              <w:left w:val="single" w:sz="4" w:space="0" w:color="999999"/>
              <w:bottom w:val="single" w:sz="4" w:space="0" w:color="999999"/>
              <w:right w:val="single" w:sz="4" w:space="0" w:color="999999"/>
            </w:tcBorders>
          </w:tcPr>
          <w:p w14:paraId="715B7866" w14:textId="77777777" w:rsidR="009A2964" w:rsidRPr="00BB50F2" w:rsidRDefault="009A2964" w:rsidP="00F8293A">
            <w:pPr>
              <w:pStyle w:val="Header"/>
              <w:rPr>
                <w:rFonts w:cs="Arial"/>
              </w:rPr>
            </w:pPr>
            <w:r w:rsidRPr="00BB50F2">
              <w:rPr>
                <w:rFonts w:cs="Arial"/>
              </w:rPr>
              <w:t>Upper</w:t>
            </w:r>
          </w:p>
        </w:tc>
        <w:tc>
          <w:tcPr>
            <w:tcW w:w="3846" w:type="dxa"/>
            <w:vMerge/>
            <w:tcBorders>
              <w:left w:val="single" w:sz="4" w:space="0" w:color="999999"/>
              <w:bottom w:val="single" w:sz="4" w:space="0" w:color="999999"/>
              <w:right w:val="single" w:sz="4" w:space="0" w:color="999999"/>
            </w:tcBorders>
          </w:tcPr>
          <w:p w14:paraId="5D26D9C3" w14:textId="77777777" w:rsidR="009A2964" w:rsidRPr="00BB50F2" w:rsidRDefault="009A2964" w:rsidP="00F8293A">
            <w:pPr>
              <w:pStyle w:val="Header"/>
              <w:rPr>
                <w:rFonts w:cs="Arial"/>
              </w:rPr>
            </w:pPr>
          </w:p>
        </w:tc>
        <w:tc>
          <w:tcPr>
            <w:tcW w:w="2976" w:type="dxa"/>
            <w:vMerge/>
            <w:tcBorders>
              <w:left w:val="single" w:sz="4" w:space="0" w:color="999999"/>
              <w:bottom w:val="single" w:sz="4" w:space="0" w:color="999999"/>
              <w:right w:val="single" w:sz="4" w:space="0" w:color="999999"/>
            </w:tcBorders>
          </w:tcPr>
          <w:p w14:paraId="367CFFA8" w14:textId="77777777" w:rsidR="009A2964" w:rsidRPr="00BB50F2" w:rsidRDefault="009A2964" w:rsidP="00F8293A">
            <w:pPr>
              <w:pStyle w:val="Header"/>
              <w:rPr>
                <w:rFonts w:cs="Arial"/>
              </w:rPr>
            </w:pPr>
          </w:p>
        </w:tc>
        <w:tc>
          <w:tcPr>
            <w:tcW w:w="303" w:type="dxa"/>
            <w:tcBorders>
              <w:top w:val="nil"/>
              <w:left w:val="single" w:sz="4" w:space="0" w:color="999999"/>
              <w:bottom w:val="nil"/>
            </w:tcBorders>
          </w:tcPr>
          <w:p w14:paraId="7468A67F" w14:textId="77777777" w:rsidR="009A2964" w:rsidRPr="00BB50F2" w:rsidRDefault="009A2964" w:rsidP="00F8293A">
            <w:pPr>
              <w:pStyle w:val="Header"/>
              <w:rPr>
                <w:rFonts w:cs="Arial"/>
              </w:rPr>
            </w:pPr>
          </w:p>
        </w:tc>
      </w:tr>
      <w:tr w:rsidR="009A2964" w:rsidRPr="00BB50F2" w14:paraId="7DDF5FE7" w14:textId="77777777" w:rsidTr="00F8293A">
        <w:trPr>
          <w:cantSplit/>
        </w:trPr>
        <w:tc>
          <w:tcPr>
            <w:tcW w:w="345" w:type="dxa"/>
            <w:tcBorders>
              <w:top w:val="nil"/>
              <w:bottom w:val="nil"/>
              <w:right w:val="single" w:sz="4" w:space="0" w:color="999999"/>
            </w:tcBorders>
          </w:tcPr>
          <w:p w14:paraId="376BF2F6" w14:textId="77777777" w:rsidR="009A2964" w:rsidRPr="00BB50F2" w:rsidRDefault="009A2964" w:rsidP="00F8293A">
            <w:pPr>
              <w:pStyle w:val="Header"/>
              <w:rPr>
                <w:rFonts w:cs="Arial"/>
              </w:rPr>
            </w:pPr>
          </w:p>
        </w:tc>
        <w:tc>
          <w:tcPr>
            <w:tcW w:w="952" w:type="dxa"/>
            <w:tcBorders>
              <w:top w:val="single" w:sz="4" w:space="0" w:color="999999"/>
              <w:left w:val="single" w:sz="4" w:space="0" w:color="999999"/>
              <w:bottom w:val="single" w:sz="4" w:space="0" w:color="999999"/>
              <w:right w:val="single" w:sz="4" w:space="0" w:color="999999"/>
            </w:tcBorders>
            <w:vAlign w:val="center"/>
          </w:tcPr>
          <w:p w14:paraId="43548BC7" w14:textId="77777777" w:rsidR="009A2964" w:rsidRPr="00BB50F2" w:rsidRDefault="009A2964" w:rsidP="00F8293A">
            <w:pPr>
              <w:pStyle w:val="Header"/>
              <w:rPr>
                <w:rFonts w:cs="Arial"/>
              </w:rPr>
            </w:pPr>
            <w:r w:rsidRPr="00BB50F2">
              <w:rPr>
                <w:rFonts w:cs="Arial"/>
              </w:rPr>
              <w:t>xxx</w:t>
            </w:r>
          </w:p>
        </w:tc>
        <w:tc>
          <w:tcPr>
            <w:tcW w:w="953" w:type="dxa"/>
            <w:tcBorders>
              <w:top w:val="single" w:sz="4" w:space="0" w:color="999999"/>
              <w:left w:val="single" w:sz="4" w:space="0" w:color="999999"/>
              <w:bottom w:val="single" w:sz="4" w:space="0" w:color="999999"/>
              <w:right w:val="single" w:sz="4" w:space="0" w:color="999999"/>
            </w:tcBorders>
            <w:vAlign w:val="center"/>
          </w:tcPr>
          <w:p w14:paraId="1D8324EA" w14:textId="77777777" w:rsidR="009A2964" w:rsidRPr="00BB50F2" w:rsidRDefault="009A2964" w:rsidP="00F8293A">
            <w:pPr>
              <w:pStyle w:val="Header"/>
              <w:rPr>
                <w:rFonts w:cs="Arial"/>
              </w:rPr>
            </w:pPr>
            <w:r w:rsidRPr="00BB50F2">
              <w:rPr>
                <w:rFonts w:cs="Arial"/>
              </w:rPr>
              <w:t>1</w:t>
            </w:r>
          </w:p>
        </w:tc>
        <w:tc>
          <w:tcPr>
            <w:tcW w:w="3846" w:type="dxa"/>
            <w:tcBorders>
              <w:top w:val="single" w:sz="4" w:space="0" w:color="999999"/>
              <w:left w:val="single" w:sz="4" w:space="0" w:color="999999"/>
              <w:bottom w:val="single" w:sz="4" w:space="0" w:color="999999"/>
              <w:right w:val="single" w:sz="4" w:space="0" w:color="999999"/>
            </w:tcBorders>
            <w:vAlign w:val="center"/>
          </w:tcPr>
          <w:p w14:paraId="4B2BF3C2" w14:textId="77777777" w:rsidR="009A2964" w:rsidRPr="00BB50F2" w:rsidRDefault="009A2964" w:rsidP="00F8293A">
            <w:pPr>
              <w:pStyle w:val="Header"/>
              <w:rPr>
                <w:rFonts w:cs="Arial"/>
              </w:rPr>
            </w:pPr>
            <w:r w:rsidRPr="00BB50F2">
              <w:rPr>
                <w:rFonts w:cs="Arial"/>
              </w:rPr>
              <w:t>1 – (STAFFLV/STAFFNO)</w:t>
            </w:r>
          </w:p>
        </w:tc>
        <w:tc>
          <w:tcPr>
            <w:tcW w:w="2976" w:type="dxa"/>
            <w:tcBorders>
              <w:top w:val="single" w:sz="4" w:space="0" w:color="999999"/>
              <w:left w:val="single" w:sz="4" w:space="0" w:color="999999"/>
              <w:bottom w:val="single" w:sz="4" w:space="0" w:color="999999"/>
              <w:right w:val="single" w:sz="4" w:space="0" w:color="999999"/>
            </w:tcBorders>
            <w:vAlign w:val="center"/>
          </w:tcPr>
          <w:p w14:paraId="70332FA4" w14:textId="77777777" w:rsidR="009A2964" w:rsidRPr="00BB50F2" w:rsidRDefault="009A2964" w:rsidP="00F8293A">
            <w:pPr>
              <w:pStyle w:val="Header"/>
              <w:rPr>
                <w:rFonts w:cs="Arial"/>
              </w:rPr>
            </w:pPr>
            <w:r w:rsidRPr="00BB50F2">
              <w:rPr>
                <w:rFonts w:cs="Arial"/>
              </w:rPr>
              <w:t>Service target</w:t>
            </w:r>
          </w:p>
        </w:tc>
        <w:tc>
          <w:tcPr>
            <w:tcW w:w="303" w:type="dxa"/>
            <w:tcBorders>
              <w:top w:val="nil"/>
              <w:left w:val="single" w:sz="4" w:space="0" w:color="999999"/>
              <w:bottom w:val="nil"/>
            </w:tcBorders>
          </w:tcPr>
          <w:p w14:paraId="76B7A26E" w14:textId="77777777" w:rsidR="009A2964" w:rsidRPr="00BB50F2" w:rsidRDefault="009A2964" w:rsidP="00F8293A">
            <w:pPr>
              <w:pStyle w:val="ssPara5"/>
              <w:spacing w:after="120" w:line="240" w:lineRule="auto"/>
              <w:rPr>
                <w:sz w:val="20"/>
                <w:szCs w:val="20"/>
              </w:rPr>
            </w:pPr>
          </w:p>
        </w:tc>
      </w:tr>
      <w:tr w:rsidR="009A2964" w:rsidRPr="00BB50F2" w14:paraId="4FEADF49" w14:textId="77777777" w:rsidTr="00F8293A">
        <w:trPr>
          <w:cantSplit/>
        </w:trPr>
        <w:tc>
          <w:tcPr>
            <w:tcW w:w="345" w:type="dxa"/>
            <w:tcBorders>
              <w:top w:val="nil"/>
              <w:bottom w:val="nil"/>
              <w:right w:val="single" w:sz="4" w:space="0" w:color="999999"/>
            </w:tcBorders>
          </w:tcPr>
          <w:p w14:paraId="7D6F0A30" w14:textId="77777777" w:rsidR="009A2964" w:rsidRPr="00BB50F2" w:rsidRDefault="009A2964" w:rsidP="00F8293A">
            <w:pPr>
              <w:pStyle w:val="ssPara5"/>
              <w:spacing w:after="120" w:line="240" w:lineRule="auto"/>
              <w:rPr>
                <w:sz w:val="20"/>
                <w:szCs w:val="20"/>
              </w:rPr>
            </w:pPr>
          </w:p>
        </w:tc>
        <w:tc>
          <w:tcPr>
            <w:tcW w:w="952" w:type="dxa"/>
            <w:tcBorders>
              <w:top w:val="single" w:sz="4" w:space="0" w:color="999999"/>
              <w:left w:val="single" w:sz="4" w:space="0" w:color="999999"/>
              <w:bottom w:val="single" w:sz="4" w:space="0" w:color="999999"/>
              <w:right w:val="single" w:sz="4" w:space="0" w:color="999999"/>
            </w:tcBorders>
            <w:vAlign w:val="center"/>
          </w:tcPr>
          <w:p w14:paraId="27E6DB96" w14:textId="77777777" w:rsidR="009A2964" w:rsidRPr="00BB50F2" w:rsidRDefault="009A2964" w:rsidP="00F8293A">
            <w:pPr>
              <w:pStyle w:val="Header"/>
              <w:rPr>
                <w:rFonts w:cs="Arial"/>
              </w:rPr>
            </w:pPr>
            <w:proofErr w:type="spellStart"/>
            <w:r w:rsidRPr="00BB50F2">
              <w:rPr>
                <w:rFonts w:cs="Arial"/>
              </w:rPr>
              <w:t>yyy</w:t>
            </w:r>
            <w:proofErr w:type="spellEnd"/>
          </w:p>
        </w:tc>
        <w:tc>
          <w:tcPr>
            <w:tcW w:w="953" w:type="dxa"/>
            <w:tcBorders>
              <w:top w:val="single" w:sz="4" w:space="0" w:color="999999"/>
              <w:left w:val="single" w:sz="4" w:space="0" w:color="999999"/>
              <w:bottom w:val="single" w:sz="4" w:space="0" w:color="999999"/>
              <w:right w:val="single" w:sz="4" w:space="0" w:color="999999"/>
            </w:tcBorders>
            <w:vAlign w:val="center"/>
          </w:tcPr>
          <w:p w14:paraId="5E82BE9D" w14:textId="77777777" w:rsidR="009A2964" w:rsidRPr="00BB50F2" w:rsidRDefault="009A2964" w:rsidP="00F8293A">
            <w:pPr>
              <w:pStyle w:val="Header"/>
              <w:rPr>
                <w:rFonts w:cs="Arial"/>
              </w:rPr>
            </w:pPr>
            <w:r w:rsidRPr="00BB50F2">
              <w:rPr>
                <w:rFonts w:cs="Arial"/>
              </w:rPr>
              <w:t>&lt;xxx</w:t>
            </w:r>
          </w:p>
        </w:tc>
        <w:tc>
          <w:tcPr>
            <w:tcW w:w="3846" w:type="dxa"/>
            <w:tcBorders>
              <w:top w:val="single" w:sz="4" w:space="0" w:color="999999"/>
              <w:left w:val="single" w:sz="4" w:space="0" w:color="999999"/>
              <w:bottom w:val="single" w:sz="4" w:space="0" w:color="999999"/>
              <w:right w:val="single" w:sz="4" w:space="0" w:color="999999"/>
            </w:tcBorders>
            <w:vAlign w:val="center"/>
          </w:tcPr>
          <w:p w14:paraId="58D784EB" w14:textId="77777777" w:rsidR="009A2964" w:rsidRPr="00BB50F2" w:rsidRDefault="009A2964" w:rsidP="00F8293A">
            <w:pPr>
              <w:pStyle w:val="Header"/>
              <w:rPr>
                <w:rFonts w:cs="Arial"/>
              </w:rPr>
            </w:pPr>
            <w:r w:rsidRPr="00BB50F2">
              <w:rPr>
                <w:rFonts w:cs="Arial"/>
              </w:rPr>
              <w:t>1 – (STAFFLV/STAFFNO)</w:t>
            </w:r>
          </w:p>
        </w:tc>
        <w:tc>
          <w:tcPr>
            <w:tcW w:w="2976" w:type="dxa"/>
            <w:tcBorders>
              <w:top w:val="single" w:sz="4" w:space="0" w:color="999999"/>
              <w:left w:val="single" w:sz="4" w:space="0" w:color="999999"/>
              <w:bottom w:val="single" w:sz="4" w:space="0" w:color="999999"/>
              <w:right w:val="single" w:sz="4" w:space="0" w:color="999999"/>
            </w:tcBorders>
            <w:vAlign w:val="center"/>
          </w:tcPr>
          <w:p w14:paraId="5F131D30" w14:textId="77777777" w:rsidR="009A2964" w:rsidRPr="00BB50F2" w:rsidRDefault="009A2964" w:rsidP="00F8293A">
            <w:pPr>
              <w:pStyle w:val="Header"/>
              <w:rPr>
                <w:rFonts w:cs="Arial"/>
              </w:rPr>
            </w:pPr>
            <w:r w:rsidRPr="00BB50F2">
              <w:rPr>
                <w:rFonts w:cs="Arial"/>
              </w:rPr>
              <w:t>Service pass</w:t>
            </w:r>
          </w:p>
        </w:tc>
        <w:tc>
          <w:tcPr>
            <w:tcW w:w="303" w:type="dxa"/>
            <w:tcBorders>
              <w:top w:val="nil"/>
              <w:left w:val="single" w:sz="4" w:space="0" w:color="999999"/>
              <w:bottom w:val="nil"/>
            </w:tcBorders>
          </w:tcPr>
          <w:p w14:paraId="7B5390E7" w14:textId="77777777" w:rsidR="009A2964" w:rsidRPr="00BB50F2" w:rsidRDefault="009A2964" w:rsidP="00F8293A">
            <w:pPr>
              <w:pStyle w:val="ssPara5"/>
              <w:spacing w:after="120" w:line="240" w:lineRule="auto"/>
              <w:rPr>
                <w:sz w:val="20"/>
                <w:szCs w:val="20"/>
              </w:rPr>
            </w:pPr>
          </w:p>
        </w:tc>
      </w:tr>
      <w:tr w:rsidR="009A2964" w:rsidRPr="00BB50F2" w14:paraId="64C0473F" w14:textId="77777777" w:rsidTr="00F8293A">
        <w:trPr>
          <w:cantSplit/>
        </w:trPr>
        <w:tc>
          <w:tcPr>
            <w:tcW w:w="345" w:type="dxa"/>
            <w:tcBorders>
              <w:top w:val="nil"/>
              <w:bottom w:val="nil"/>
              <w:right w:val="single" w:sz="4" w:space="0" w:color="999999"/>
            </w:tcBorders>
          </w:tcPr>
          <w:p w14:paraId="0084C69F" w14:textId="77777777" w:rsidR="009A2964" w:rsidRPr="00BB50F2" w:rsidRDefault="009A2964" w:rsidP="00F8293A">
            <w:pPr>
              <w:pStyle w:val="ssPara5"/>
              <w:spacing w:after="120" w:line="240" w:lineRule="auto"/>
              <w:rPr>
                <w:sz w:val="20"/>
                <w:szCs w:val="20"/>
              </w:rPr>
            </w:pPr>
          </w:p>
        </w:tc>
        <w:tc>
          <w:tcPr>
            <w:tcW w:w="952" w:type="dxa"/>
            <w:tcBorders>
              <w:top w:val="single" w:sz="4" w:space="0" w:color="999999"/>
              <w:left w:val="single" w:sz="4" w:space="0" w:color="999999"/>
              <w:bottom w:val="single" w:sz="4" w:space="0" w:color="999999"/>
              <w:right w:val="single" w:sz="4" w:space="0" w:color="999999"/>
            </w:tcBorders>
            <w:vAlign w:val="center"/>
          </w:tcPr>
          <w:p w14:paraId="00C45FBD" w14:textId="77777777" w:rsidR="009A2964" w:rsidRPr="00BB50F2" w:rsidRDefault="009A2964" w:rsidP="00F8293A">
            <w:pPr>
              <w:pStyle w:val="Header"/>
              <w:rPr>
                <w:rFonts w:cs="Arial"/>
              </w:rPr>
            </w:pPr>
            <w:r w:rsidRPr="00BB50F2">
              <w:rPr>
                <w:rFonts w:cs="Arial"/>
              </w:rPr>
              <w:t>0.0</w:t>
            </w:r>
          </w:p>
        </w:tc>
        <w:tc>
          <w:tcPr>
            <w:tcW w:w="953" w:type="dxa"/>
            <w:tcBorders>
              <w:top w:val="single" w:sz="4" w:space="0" w:color="999999"/>
              <w:left w:val="single" w:sz="4" w:space="0" w:color="999999"/>
              <w:bottom w:val="single" w:sz="4" w:space="0" w:color="999999"/>
              <w:right w:val="single" w:sz="4" w:space="0" w:color="999999"/>
            </w:tcBorders>
            <w:vAlign w:val="center"/>
          </w:tcPr>
          <w:p w14:paraId="08997BF4" w14:textId="77777777" w:rsidR="009A2964" w:rsidRPr="00BB50F2" w:rsidRDefault="009A2964" w:rsidP="00F8293A">
            <w:pPr>
              <w:pStyle w:val="Header"/>
              <w:rPr>
                <w:rFonts w:cs="Arial"/>
              </w:rPr>
            </w:pPr>
            <w:r w:rsidRPr="00BB50F2">
              <w:rPr>
                <w:rFonts w:cs="Arial"/>
              </w:rPr>
              <w:t>&lt;</w:t>
            </w:r>
            <w:proofErr w:type="spellStart"/>
            <w:r w:rsidRPr="00BB50F2">
              <w:rPr>
                <w:rFonts w:cs="Arial"/>
              </w:rPr>
              <w:t>yyy</w:t>
            </w:r>
            <w:proofErr w:type="spellEnd"/>
          </w:p>
        </w:tc>
        <w:tc>
          <w:tcPr>
            <w:tcW w:w="3846" w:type="dxa"/>
            <w:tcBorders>
              <w:top w:val="single" w:sz="4" w:space="0" w:color="999999"/>
              <w:left w:val="single" w:sz="4" w:space="0" w:color="999999"/>
              <w:bottom w:val="single" w:sz="4" w:space="0" w:color="999999"/>
              <w:right w:val="single" w:sz="4" w:space="0" w:color="999999"/>
            </w:tcBorders>
            <w:vAlign w:val="center"/>
          </w:tcPr>
          <w:p w14:paraId="0334F7A7" w14:textId="77777777" w:rsidR="009A2964" w:rsidRPr="00BB50F2" w:rsidRDefault="009A2964" w:rsidP="00F8293A">
            <w:pPr>
              <w:pStyle w:val="Header"/>
              <w:rPr>
                <w:rFonts w:cs="Arial"/>
              </w:rPr>
            </w:pPr>
            <w:r w:rsidRPr="00BB50F2">
              <w:rPr>
                <w:rFonts w:cs="Arial"/>
              </w:rPr>
              <w:t>1 – (STAFFLV/STAFFNO)</w:t>
            </w:r>
          </w:p>
        </w:tc>
        <w:tc>
          <w:tcPr>
            <w:tcW w:w="2976" w:type="dxa"/>
            <w:tcBorders>
              <w:top w:val="single" w:sz="4" w:space="0" w:color="999999"/>
              <w:left w:val="single" w:sz="4" w:space="0" w:color="999999"/>
              <w:bottom w:val="single" w:sz="4" w:space="0" w:color="999999"/>
              <w:right w:val="single" w:sz="4" w:space="0" w:color="999999"/>
            </w:tcBorders>
            <w:vAlign w:val="center"/>
          </w:tcPr>
          <w:p w14:paraId="220D68C1" w14:textId="77777777" w:rsidR="009A2964" w:rsidRPr="00BB50F2" w:rsidRDefault="009A2964" w:rsidP="00F8293A">
            <w:pPr>
              <w:pStyle w:val="Header"/>
              <w:rPr>
                <w:rFonts w:cs="Arial"/>
              </w:rPr>
            </w:pPr>
            <w:r w:rsidRPr="00BB50F2">
              <w:rPr>
                <w:rFonts w:cs="Arial"/>
              </w:rPr>
              <w:t>Service failure</w:t>
            </w:r>
          </w:p>
        </w:tc>
        <w:tc>
          <w:tcPr>
            <w:tcW w:w="303" w:type="dxa"/>
            <w:tcBorders>
              <w:top w:val="nil"/>
              <w:left w:val="single" w:sz="4" w:space="0" w:color="999999"/>
              <w:bottom w:val="nil"/>
            </w:tcBorders>
          </w:tcPr>
          <w:p w14:paraId="77787F80" w14:textId="77777777" w:rsidR="009A2964" w:rsidRPr="00BB50F2" w:rsidRDefault="009A2964" w:rsidP="00F8293A">
            <w:pPr>
              <w:pStyle w:val="ssPara5"/>
              <w:spacing w:after="120" w:line="240" w:lineRule="auto"/>
              <w:rPr>
                <w:sz w:val="20"/>
                <w:szCs w:val="20"/>
              </w:rPr>
            </w:pPr>
          </w:p>
        </w:tc>
      </w:tr>
      <w:tr w:rsidR="009A2964" w:rsidRPr="00BB50F2" w14:paraId="4F155364" w14:textId="77777777" w:rsidTr="00F8293A">
        <w:trPr>
          <w:cantSplit/>
          <w:trHeight w:hRule="exact" w:val="113"/>
        </w:trPr>
        <w:tc>
          <w:tcPr>
            <w:tcW w:w="9375" w:type="dxa"/>
            <w:gridSpan w:val="6"/>
            <w:tcBorders>
              <w:top w:val="nil"/>
              <w:bottom w:val="nil"/>
            </w:tcBorders>
          </w:tcPr>
          <w:p w14:paraId="3F7A3A24" w14:textId="77777777" w:rsidR="009A2964" w:rsidRPr="00BB50F2" w:rsidRDefault="009A2964" w:rsidP="00F8293A">
            <w:pPr>
              <w:pStyle w:val="Header"/>
              <w:rPr>
                <w:rFonts w:cs="Arial"/>
              </w:rPr>
            </w:pPr>
          </w:p>
        </w:tc>
      </w:tr>
      <w:tr w:rsidR="009A2964" w:rsidRPr="00BB50F2" w14:paraId="57B73AC7" w14:textId="77777777" w:rsidTr="00F8293A">
        <w:trPr>
          <w:cantSplit/>
          <w:trHeight w:hRule="exact" w:val="113"/>
        </w:trPr>
        <w:tc>
          <w:tcPr>
            <w:tcW w:w="9375" w:type="dxa"/>
            <w:gridSpan w:val="6"/>
            <w:tcBorders>
              <w:top w:val="nil"/>
            </w:tcBorders>
          </w:tcPr>
          <w:p w14:paraId="002CF4C8" w14:textId="77777777" w:rsidR="009A2964" w:rsidRPr="00BB50F2" w:rsidRDefault="009A2964" w:rsidP="00F8293A">
            <w:pPr>
              <w:pStyle w:val="Header"/>
              <w:rPr>
                <w:rFonts w:cs="Arial"/>
              </w:rPr>
            </w:pPr>
          </w:p>
        </w:tc>
      </w:tr>
      <w:tr w:rsidR="009A2964" w:rsidRPr="00BB50F2" w14:paraId="39E5BD1E" w14:textId="77777777" w:rsidTr="00F8293A">
        <w:trPr>
          <w:cantSplit/>
          <w:trHeight w:hRule="exact" w:val="397"/>
        </w:trPr>
        <w:tc>
          <w:tcPr>
            <w:tcW w:w="9375" w:type="dxa"/>
            <w:gridSpan w:val="6"/>
            <w:vAlign w:val="center"/>
          </w:tcPr>
          <w:p w14:paraId="2B56BEE2" w14:textId="77777777" w:rsidR="009A2964" w:rsidRPr="00BB50F2" w:rsidRDefault="009A2964" w:rsidP="00F8293A">
            <w:pPr>
              <w:pStyle w:val="Header"/>
              <w:rPr>
                <w:rFonts w:cs="Arial"/>
              </w:rPr>
            </w:pPr>
            <w:r w:rsidRPr="00BB50F2">
              <w:rPr>
                <w:rFonts w:cs="Arial"/>
              </w:rPr>
              <w:t>Notes:</w:t>
            </w:r>
          </w:p>
        </w:tc>
      </w:tr>
      <w:tr w:rsidR="009A2964" w:rsidRPr="00BB50F2" w14:paraId="5A071664" w14:textId="77777777" w:rsidTr="00F8293A">
        <w:trPr>
          <w:cantSplit/>
        </w:trPr>
        <w:tc>
          <w:tcPr>
            <w:tcW w:w="9375" w:type="dxa"/>
            <w:gridSpan w:val="6"/>
          </w:tcPr>
          <w:p w14:paraId="3D94F9A5" w14:textId="77777777" w:rsidR="009A2964" w:rsidRPr="00BB50F2" w:rsidRDefault="009A2964" w:rsidP="00F8293A">
            <w:pPr>
              <w:pStyle w:val="Header"/>
              <w:rPr>
                <w:rFonts w:cs="Arial"/>
              </w:rPr>
            </w:pPr>
            <w:r w:rsidRPr="00BB50F2">
              <w:rPr>
                <w:rFonts w:cs="Arial"/>
              </w:rPr>
              <w:t xml:space="preserve">xxx – Target as defined in table </w:t>
            </w:r>
            <w:proofErr w:type="gramStart"/>
            <w:r w:rsidRPr="00BB50F2">
              <w:rPr>
                <w:rFonts w:cs="Arial"/>
              </w:rPr>
              <w:t>1</w:t>
            </w:r>
            <w:proofErr w:type="gramEnd"/>
          </w:p>
          <w:p w14:paraId="173A0F4D" w14:textId="6E0AFD59" w:rsidR="009A2964" w:rsidRPr="00BB50F2" w:rsidRDefault="009A2964" w:rsidP="00F8293A">
            <w:pPr>
              <w:pStyle w:val="Header"/>
              <w:rPr>
                <w:rFonts w:cs="Arial"/>
              </w:rPr>
            </w:pPr>
            <w:proofErr w:type="spellStart"/>
            <w:r w:rsidRPr="00BB50F2">
              <w:rPr>
                <w:rFonts w:cs="Arial"/>
              </w:rPr>
              <w:t>yyy</w:t>
            </w:r>
            <w:proofErr w:type="spellEnd"/>
            <w:r w:rsidRPr="00BB50F2">
              <w:rPr>
                <w:rFonts w:cs="Arial"/>
              </w:rPr>
              <w:t xml:space="preserve">- Minimum as defined in table </w:t>
            </w:r>
            <w:proofErr w:type="gramStart"/>
            <w:r w:rsidRPr="00BB50F2">
              <w:rPr>
                <w:rFonts w:cs="Arial"/>
              </w:rPr>
              <w:t>1</w:t>
            </w:r>
            <w:proofErr w:type="gramEnd"/>
          </w:p>
          <w:p w14:paraId="2969C714" w14:textId="77777777" w:rsidR="009A2964" w:rsidRPr="00BB50F2" w:rsidRDefault="009A2964" w:rsidP="00F8293A">
            <w:pPr>
              <w:pStyle w:val="Header"/>
              <w:rPr>
                <w:rFonts w:cs="Arial"/>
              </w:rPr>
            </w:pPr>
          </w:p>
        </w:tc>
      </w:tr>
    </w:tbl>
    <w:p w14:paraId="5CF2E925" w14:textId="77777777" w:rsidR="009A2964" w:rsidRPr="00BB50F2" w:rsidRDefault="009A2964" w:rsidP="00F8293A">
      <w:pPr>
        <w:rPr>
          <w:rFonts w:cs="Arial"/>
        </w:rPr>
      </w:pPr>
    </w:p>
    <w:p w14:paraId="6DE72314" w14:textId="77777777" w:rsidR="009A2964" w:rsidRPr="00BB50F2" w:rsidRDefault="009A2964" w:rsidP="00F8293A">
      <w:pPr>
        <w:jc w:val="left"/>
        <w:rPr>
          <w:rFonts w:cs="Arial"/>
        </w:rPr>
      </w:pPr>
      <w:r w:rsidRPr="00BB50F2">
        <w:rPr>
          <w:rFonts w:cs="Arial"/>
        </w:rPr>
        <w:br w:type="page"/>
      </w:r>
    </w:p>
    <w:tbl>
      <w:tblPr>
        <w:tblW w:w="92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
        <w:gridCol w:w="949"/>
        <w:gridCol w:w="950"/>
        <w:gridCol w:w="4138"/>
        <w:gridCol w:w="2552"/>
        <w:gridCol w:w="316"/>
      </w:tblGrid>
      <w:tr w:rsidR="009A2964" w:rsidRPr="00BB50F2" w14:paraId="7C538C81" w14:textId="77777777" w:rsidTr="00F8293A">
        <w:trPr>
          <w:trHeight w:hRule="exact" w:val="1021"/>
        </w:trPr>
        <w:tc>
          <w:tcPr>
            <w:tcW w:w="6379" w:type="dxa"/>
            <w:gridSpan w:val="4"/>
          </w:tcPr>
          <w:p w14:paraId="5739B305" w14:textId="77777777" w:rsidR="009A2964" w:rsidRPr="00BB50F2" w:rsidRDefault="009A2964" w:rsidP="00F8293A">
            <w:pPr>
              <w:rPr>
                <w:rFonts w:cs="Arial"/>
                <w:b/>
              </w:rPr>
            </w:pPr>
            <w:r w:rsidRPr="00BB50F2">
              <w:rPr>
                <w:rFonts w:cs="Arial"/>
              </w:rPr>
              <w:lastRenderedPageBreak/>
              <w:br w:type="page"/>
            </w:r>
            <w:r w:rsidRPr="00BB50F2">
              <w:rPr>
                <w:rFonts w:cs="Arial"/>
                <w:b/>
              </w:rPr>
              <w:t>Contract Schedule 2.1 Non-compliance</w:t>
            </w:r>
          </w:p>
        </w:tc>
        <w:tc>
          <w:tcPr>
            <w:tcW w:w="2868" w:type="dxa"/>
            <w:gridSpan w:val="2"/>
            <w:vAlign w:val="center"/>
          </w:tcPr>
          <w:p w14:paraId="5B95B14A" w14:textId="77777777" w:rsidR="009A2964" w:rsidRPr="00BB50F2" w:rsidRDefault="009A2964" w:rsidP="00822819">
            <w:pPr>
              <w:pStyle w:val="Heading1"/>
              <w:numPr>
                <w:ilvl w:val="0"/>
                <w:numId w:val="0"/>
              </w:numPr>
              <w:spacing w:after="120"/>
              <w:rPr>
                <w:rFonts w:cs="Arial"/>
              </w:rPr>
            </w:pPr>
            <w:r w:rsidRPr="00BB50F2">
              <w:rPr>
                <w:rFonts w:cs="Arial"/>
              </w:rPr>
              <w:t>Q-3</w:t>
            </w:r>
          </w:p>
          <w:p w14:paraId="18BF41FF" w14:textId="77777777" w:rsidR="009A2964" w:rsidRPr="00BB50F2" w:rsidRDefault="009A2964" w:rsidP="00822819">
            <w:pPr>
              <w:pStyle w:val="Heading1"/>
              <w:numPr>
                <w:ilvl w:val="0"/>
                <w:numId w:val="0"/>
              </w:numPr>
              <w:spacing w:after="120"/>
              <w:rPr>
                <w:rFonts w:cs="Arial"/>
              </w:rPr>
            </w:pPr>
            <w:r w:rsidRPr="00E228BD">
              <w:rPr>
                <w:rFonts w:cs="Arial"/>
              </w:rPr>
              <w:t>Continuous</w:t>
            </w:r>
          </w:p>
        </w:tc>
      </w:tr>
      <w:tr w:rsidR="009A2964" w:rsidRPr="00BB50F2" w14:paraId="019AD3ED" w14:textId="77777777" w:rsidTr="00F8293A">
        <w:trPr>
          <w:cantSplit/>
          <w:trHeight w:hRule="exact" w:val="397"/>
        </w:trPr>
        <w:tc>
          <w:tcPr>
            <w:tcW w:w="9247" w:type="dxa"/>
            <w:gridSpan w:val="6"/>
            <w:vAlign w:val="center"/>
          </w:tcPr>
          <w:p w14:paraId="2C422BE6" w14:textId="77777777" w:rsidR="009A2964" w:rsidRPr="00BB50F2" w:rsidRDefault="009A2964" w:rsidP="00F8293A">
            <w:pPr>
              <w:rPr>
                <w:rFonts w:cs="Arial"/>
                <w:b/>
              </w:rPr>
            </w:pPr>
            <w:r w:rsidRPr="00BB50F2">
              <w:rPr>
                <w:rFonts w:cs="Arial"/>
                <w:b/>
              </w:rPr>
              <w:t>Definition:</w:t>
            </w:r>
          </w:p>
        </w:tc>
      </w:tr>
      <w:tr w:rsidR="009A2964" w:rsidRPr="00BB50F2" w14:paraId="1FCBAEBA" w14:textId="77777777" w:rsidTr="00F8293A">
        <w:trPr>
          <w:cantSplit/>
        </w:trPr>
        <w:tc>
          <w:tcPr>
            <w:tcW w:w="9247" w:type="dxa"/>
            <w:gridSpan w:val="6"/>
          </w:tcPr>
          <w:p w14:paraId="2BC0D582" w14:textId="77777777" w:rsidR="009A2964" w:rsidRPr="00BB50F2" w:rsidRDefault="009A2964" w:rsidP="00F8293A">
            <w:pPr>
              <w:pStyle w:val="Header"/>
              <w:rPr>
                <w:rFonts w:cs="Arial"/>
              </w:rPr>
            </w:pPr>
            <w:r w:rsidRPr="00BB50F2">
              <w:rPr>
                <w:rFonts w:cs="Arial"/>
              </w:rPr>
              <w:t>The measure that describes the level of compliance to reporting and service management obligations within the operate service as defined in Schedule 2.1</w:t>
            </w:r>
          </w:p>
        </w:tc>
      </w:tr>
      <w:tr w:rsidR="009A2964" w:rsidRPr="00BB50F2" w14:paraId="28A4C016" w14:textId="77777777" w:rsidTr="00F8293A">
        <w:trPr>
          <w:cantSplit/>
          <w:trHeight w:hRule="exact" w:val="397"/>
        </w:trPr>
        <w:tc>
          <w:tcPr>
            <w:tcW w:w="9247" w:type="dxa"/>
            <w:gridSpan w:val="6"/>
            <w:vAlign w:val="center"/>
          </w:tcPr>
          <w:p w14:paraId="63FAD405" w14:textId="77777777" w:rsidR="009A2964" w:rsidRPr="00BB50F2" w:rsidRDefault="009A2964" w:rsidP="00F8293A">
            <w:pPr>
              <w:pStyle w:val="Header"/>
              <w:rPr>
                <w:rFonts w:cs="Arial"/>
              </w:rPr>
            </w:pPr>
            <w:r w:rsidRPr="00BB50F2">
              <w:rPr>
                <w:rFonts w:cs="Arial"/>
              </w:rPr>
              <w:t>Calculation:</w:t>
            </w:r>
          </w:p>
        </w:tc>
      </w:tr>
      <w:tr w:rsidR="009A2964" w:rsidRPr="00BB50F2" w14:paraId="1F35DE7A" w14:textId="77777777" w:rsidTr="00F8293A">
        <w:trPr>
          <w:cantSplit/>
        </w:trPr>
        <w:tc>
          <w:tcPr>
            <w:tcW w:w="9247" w:type="dxa"/>
            <w:gridSpan w:val="6"/>
            <w:tcBorders>
              <w:bottom w:val="nil"/>
            </w:tcBorders>
          </w:tcPr>
          <w:p w14:paraId="5369DC51" w14:textId="77777777" w:rsidR="009A2964" w:rsidRPr="00BB50F2" w:rsidRDefault="009A2964" w:rsidP="00F8293A">
            <w:pPr>
              <w:pStyle w:val="Header"/>
              <w:rPr>
                <w:rFonts w:cs="Arial"/>
              </w:rPr>
            </w:pPr>
            <w:r w:rsidRPr="00BB50F2">
              <w:rPr>
                <w:rFonts w:cs="Arial"/>
              </w:rPr>
              <w:t>_</w:t>
            </w:r>
          </w:p>
        </w:tc>
      </w:tr>
      <w:tr w:rsidR="009A2964" w:rsidRPr="00BB50F2" w14:paraId="5E8E8031" w14:textId="77777777" w:rsidTr="00F8293A">
        <w:trPr>
          <w:cantSplit/>
          <w:trHeight w:val="1033"/>
        </w:trPr>
        <w:tc>
          <w:tcPr>
            <w:tcW w:w="342" w:type="dxa"/>
            <w:tcBorders>
              <w:top w:val="nil"/>
              <w:bottom w:val="nil"/>
              <w:right w:val="single" w:sz="4" w:space="0" w:color="999999"/>
            </w:tcBorders>
          </w:tcPr>
          <w:p w14:paraId="70A4B9FF" w14:textId="77777777" w:rsidR="009A2964" w:rsidRPr="00BB50F2" w:rsidRDefault="009A2964" w:rsidP="00F8293A">
            <w:pPr>
              <w:pStyle w:val="Header"/>
              <w:rPr>
                <w:rFonts w:cs="Arial"/>
              </w:rPr>
            </w:pPr>
          </w:p>
        </w:tc>
        <w:tc>
          <w:tcPr>
            <w:tcW w:w="1899" w:type="dxa"/>
            <w:gridSpan w:val="2"/>
            <w:tcBorders>
              <w:top w:val="single" w:sz="4" w:space="0" w:color="999999"/>
              <w:left w:val="single" w:sz="4" w:space="0" w:color="999999"/>
              <w:bottom w:val="single" w:sz="4" w:space="0" w:color="999999"/>
              <w:right w:val="single" w:sz="4" w:space="0" w:color="999999"/>
            </w:tcBorders>
          </w:tcPr>
          <w:p w14:paraId="7A805701" w14:textId="77777777" w:rsidR="009A2964" w:rsidRPr="00BB50F2" w:rsidRDefault="009A2964" w:rsidP="00701A9B">
            <w:pPr>
              <w:pStyle w:val="Header"/>
              <w:ind w:left="0" w:firstLine="0"/>
              <w:rPr>
                <w:rFonts w:cs="Arial"/>
              </w:rPr>
            </w:pPr>
            <w:r w:rsidRPr="00BB50F2">
              <w:rPr>
                <w:rFonts w:cs="Arial"/>
              </w:rPr>
              <w:t xml:space="preserve">Observed non-compliances </w:t>
            </w:r>
          </w:p>
        </w:tc>
        <w:tc>
          <w:tcPr>
            <w:tcW w:w="6690" w:type="dxa"/>
            <w:gridSpan w:val="2"/>
            <w:tcBorders>
              <w:top w:val="single" w:sz="4" w:space="0" w:color="999999"/>
              <w:left w:val="single" w:sz="4" w:space="0" w:color="999999"/>
              <w:bottom w:val="single" w:sz="4" w:space="0" w:color="999999"/>
              <w:right w:val="single" w:sz="4" w:space="0" w:color="999999"/>
            </w:tcBorders>
          </w:tcPr>
          <w:p w14:paraId="2896CCCE" w14:textId="77777777" w:rsidR="009A2964" w:rsidRPr="00BB50F2" w:rsidRDefault="009A2964" w:rsidP="00701A9B">
            <w:pPr>
              <w:pStyle w:val="Header"/>
              <w:ind w:left="0" w:firstLine="0"/>
              <w:rPr>
                <w:rFonts w:cs="Arial"/>
              </w:rPr>
            </w:pPr>
            <w:r w:rsidRPr="00BB50F2">
              <w:rPr>
                <w:rFonts w:cs="Arial"/>
              </w:rPr>
              <w:t>The number of observed non-compliances in relation to the delivery of the operate service (OBSONC).  This specifically relates to reporting and service delivery obligations specified in Schedule 2.1 (</w:t>
            </w:r>
            <w:proofErr w:type="gramStart"/>
            <w:r w:rsidRPr="00BB50F2">
              <w:rPr>
                <w:rFonts w:cs="Arial"/>
              </w:rPr>
              <w:t>e.g.</w:t>
            </w:r>
            <w:proofErr w:type="gramEnd"/>
            <w:r w:rsidRPr="00BB50F2">
              <w:rPr>
                <w:rFonts w:cs="Arial"/>
              </w:rPr>
              <w:t xml:space="preserve"> Undertaking impact assessments as part release and deployment management)</w:t>
            </w:r>
          </w:p>
        </w:tc>
        <w:tc>
          <w:tcPr>
            <w:tcW w:w="316" w:type="dxa"/>
            <w:tcBorders>
              <w:top w:val="nil"/>
              <w:left w:val="single" w:sz="4" w:space="0" w:color="999999"/>
              <w:bottom w:val="nil"/>
            </w:tcBorders>
          </w:tcPr>
          <w:p w14:paraId="3C3BD606" w14:textId="77777777" w:rsidR="009A2964" w:rsidRPr="00BB50F2" w:rsidRDefault="009A2964" w:rsidP="00F8293A">
            <w:pPr>
              <w:pStyle w:val="Header"/>
              <w:rPr>
                <w:rFonts w:cs="Arial"/>
              </w:rPr>
            </w:pPr>
          </w:p>
        </w:tc>
      </w:tr>
      <w:tr w:rsidR="009A2964" w:rsidRPr="00BB50F2" w14:paraId="2BCDDFEC" w14:textId="77777777" w:rsidTr="00F8293A">
        <w:trPr>
          <w:cantSplit/>
        </w:trPr>
        <w:tc>
          <w:tcPr>
            <w:tcW w:w="342" w:type="dxa"/>
            <w:tcBorders>
              <w:top w:val="nil"/>
              <w:bottom w:val="nil"/>
              <w:right w:val="single" w:sz="4" w:space="0" w:color="999999"/>
            </w:tcBorders>
          </w:tcPr>
          <w:p w14:paraId="1BD8B3BE" w14:textId="77777777" w:rsidR="009A2964" w:rsidRPr="00BB50F2" w:rsidRDefault="009A2964" w:rsidP="00F8293A">
            <w:pPr>
              <w:pStyle w:val="Header"/>
              <w:rPr>
                <w:rFonts w:cs="Arial"/>
              </w:rPr>
            </w:pPr>
          </w:p>
        </w:tc>
        <w:tc>
          <w:tcPr>
            <w:tcW w:w="1899" w:type="dxa"/>
            <w:gridSpan w:val="2"/>
            <w:tcBorders>
              <w:top w:val="single" w:sz="4" w:space="0" w:color="999999"/>
              <w:left w:val="single" w:sz="4" w:space="0" w:color="999999"/>
              <w:bottom w:val="single" w:sz="4" w:space="0" w:color="999999"/>
              <w:right w:val="single" w:sz="4" w:space="0" w:color="999999"/>
            </w:tcBorders>
          </w:tcPr>
          <w:p w14:paraId="63742EA1" w14:textId="77777777" w:rsidR="009A2964" w:rsidRPr="00BB50F2" w:rsidRDefault="009A2964" w:rsidP="00701A9B">
            <w:pPr>
              <w:pStyle w:val="Header"/>
              <w:ind w:left="0" w:firstLine="0"/>
              <w:rPr>
                <w:rFonts w:cs="Arial"/>
              </w:rPr>
            </w:pPr>
          </w:p>
        </w:tc>
        <w:tc>
          <w:tcPr>
            <w:tcW w:w="6690" w:type="dxa"/>
            <w:gridSpan w:val="2"/>
            <w:tcBorders>
              <w:top w:val="single" w:sz="4" w:space="0" w:color="999999"/>
              <w:left w:val="single" w:sz="4" w:space="0" w:color="999999"/>
              <w:bottom w:val="single" w:sz="4" w:space="0" w:color="999999"/>
              <w:right w:val="single" w:sz="4" w:space="0" w:color="999999"/>
            </w:tcBorders>
          </w:tcPr>
          <w:p w14:paraId="7B2DAF93" w14:textId="77777777" w:rsidR="009A2964" w:rsidRPr="00BB50F2" w:rsidRDefault="009A2964" w:rsidP="00701A9B">
            <w:pPr>
              <w:pStyle w:val="Header"/>
              <w:ind w:left="0" w:firstLine="0"/>
              <w:rPr>
                <w:rFonts w:cs="Arial"/>
              </w:rPr>
            </w:pPr>
          </w:p>
        </w:tc>
        <w:tc>
          <w:tcPr>
            <w:tcW w:w="316" w:type="dxa"/>
            <w:tcBorders>
              <w:top w:val="nil"/>
              <w:left w:val="single" w:sz="4" w:space="0" w:color="999999"/>
              <w:bottom w:val="nil"/>
            </w:tcBorders>
          </w:tcPr>
          <w:p w14:paraId="22B5997C" w14:textId="77777777" w:rsidR="009A2964" w:rsidRPr="00BB50F2" w:rsidRDefault="009A2964" w:rsidP="00F8293A">
            <w:pPr>
              <w:pStyle w:val="Header"/>
              <w:rPr>
                <w:rFonts w:cs="Arial"/>
              </w:rPr>
            </w:pPr>
          </w:p>
        </w:tc>
      </w:tr>
      <w:tr w:rsidR="009A2964" w:rsidRPr="00BB50F2" w14:paraId="3D7CCF11" w14:textId="77777777" w:rsidTr="00F8293A">
        <w:trPr>
          <w:cantSplit/>
        </w:trPr>
        <w:tc>
          <w:tcPr>
            <w:tcW w:w="342" w:type="dxa"/>
            <w:tcBorders>
              <w:top w:val="nil"/>
              <w:bottom w:val="nil"/>
              <w:right w:val="single" w:sz="4" w:space="0" w:color="999999"/>
            </w:tcBorders>
          </w:tcPr>
          <w:p w14:paraId="14142B37" w14:textId="77777777" w:rsidR="009A2964" w:rsidRPr="00BB50F2" w:rsidRDefault="009A2964" w:rsidP="00F8293A">
            <w:pPr>
              <w:pStyle w:val="Header"/>
              <w:rPr>
                <w:rFonts w:cs="Arial"/>
              </w:rPr>
            </w:pPr>
          </w:p>
        </w:tc>
        <w:tc>
          <w:tcPr>
            <w:tcW w:w="1899" w:type="dxa"/>
            <w:gridSpan w:val="2"/>
            <w:tcBorders>
              <w:top w:val="single" w:sz="4" w:space="0" w:color="999999"/>
              <w:left w:val="single" w:sz="4" w:space="0" w:color="999999"/>
              <w:bottom w:val="single" w:sz="4" w:space="0" w:color="999999"/>
              <w:right w:val="single" w:sz="4" w:space="0" w:color="999999"/>
            </w:tcBorders>
          </w:tcPr>
          <w:p w14:paraId="64CAA596" w14:textId="77777777" w:rsidR="009A2964" w:rsidRPr="00BB50F2" w:rsidRDefault="009A2964" w:rsidP="00701A9B">
            <w:pPr>
              <w:pStyle w:val="Header"/>
              <w:ind w:left="0" w:firstLine="0"/>
              <w:rPr>
                <w:rFonts w:cs="Arial"/>
              </w:rPr>
            </w:pPr>
          </w:p>
        </w:tc>
        <w:tc>
          <w:tcPr>
            <w:tcW w:w="6690" w:type="dxa"/>
            <w:gridSpan w:val="2"/>
            <w:tcBorders>
              <w:top w:val="single" w:sz="4" w:space="0" w:color="999999"/>
              <w:left w:val="single" w:sz="4" w:space="0" w:color="999999"/>
              <w:bottom w:val="single" w:sz="4" w:space="0" w:color="999999"/>
              <w:right w:val="single" w:sz="4" w:space="0" w:color="999999"/>
            </w:tcBorders>
          </w:tcPr>
          <w:p w14:paraId="4D3F45B5" w14:textId="77777777" w:rsidR="009A2964" w:rsidRPr="00BB50F2" w:rsidRDefault="009A2964" w:rsidP="00701A9B">
            <w:pPr>
              <w:pStyle w:val="Header"/>
              <w:ind w:left="0" w:firstLine="0"/>
              <w:rPr>
                <w:rFonts w:cs="Arial"/>
              </w:rPr>
            </w:pPr>
          </w:p>
        </w:tc>
        <w:tc>
          <w:tcPr>
            <w:tcW w:w="316" w:type="dxa"/>
            <w:tcBorders>
              <w:top w:val="nil"/>
              <w:left w:val="single" w:sz="4" w:space="0" w:color="999999"/>
              <w:bottom w:val="nil"/>
            </w:tcBorders>
          </w:tcPr>
          <w:p w14:paraId="0F61FEE8" w14:textId="77777777" w:rsidR="009A2964" w:rsidRPr="00BB50F2" w:rsidRDefault="009A2964" w:rsidP="00F8293A">
            <w:pPr>
              <w:pStyle w:val="Header"/>
              <w:rPr>
                <w:rFonts w:cs="Arial"/>
              </w:rPr>
            </w:pPr>
          </w:p>
        </w:tc>
      </w:tr>
      <w:tr w:rsidR="009A2964" w:rsidRPr="00BB50F2" w14:paraId="142550F1" w14:textId="77777777" w:rsidTr="00F8293A">
        <w:trPr>
          <w:cantSplit/>
          <w:trHeight w:hRule="exact" w:val="113"/>
        </w:trPr>
        <w:tc>
          <w:tcPr>
            <w:tcW w:w="9247" w:type="dxa"/>
            <w:gridSpan w:val="6"/>
            <w:tcBorders>
              <w:top w:val="nil"/>
            </w:tcBorders>
          </w:tcPr>
          <w:p w14:paraId="78208F45" w14:textId="77777777" w:rsidR="009A2964" w:rsidRPr="00BB50F2" w:rsidRDefault="009A2964" w:rsidP="00701A9B">
            <w:pPr>
              <w:pStyle w:val="Header"/>
              <w:ind w:left="0" w:firstLine="0"/>
              <w:rPr>
                <w:rFonts w:cs="Arial"/>
              </w:rPr>
            </w:pPr>
          </w:p>
        </w:tc>
      </w:tr>
      <w:tr w:rsidR="009A2964" w:rsidRPr="00BB50F2" w14:paraId="47E69E52" w14:textId="77777777" w:rsidTr="00F8293A">
        <w:trPr>
          <w:cantSplit/>
          <w:trHeight w:hRule="exact" w:val="397"/>
        </w:trPr>
        <w:tc>
          <w:tcPr>
            <w:tcW w:w="9247" w:type="dxa"/>
            <w:gridSpan w:val="6"/>
            <w:vAlign w:val="center"/>
          </w:tcPr>
          <w:p w14:paraId="769EDF3A" w14:textId="77777777" w:rsidR="009A2964" w:rsidRPr="00BB50F2" w:rsidRDefault="009A2964" w:rsidP="00701A9B">
            <w:pPr>
              <w:pStyle w:val="Header"/>
              <w:ind w:left="0" w:firstLine="0"/>
              <w:rPr>
                <w:rFonts w:cs="Arial"/>
              </w:rPr>
            </w:pPr>
            <w:r w:rsidRPr="00BB50F2">
              <w:rPr>
                <w:rFonts w:cs="Arial"/>
              </w:rPr>
              <w:t>Measurement:</w:t>
            </w:r>
          </w:p>
        </w:tc>
      </w:tr>
      <w:tr w:rsidR="009A2964" w:rsidRPr="00BB50F2" w14:paraId="44B8539D" w14:textId="77777777" w:rsidTr="00F8293A">
        <w:trPr>
          <w:cantSplit/>
          <w:trHeight w:hRule="exact" w:val="113"/>
        </w:trPr>
        <w:tc>
          <w:tcPr>
            <w:tcW w:w="9247" w:type="dxa"/>
            <w:gridSpan w:val="6"/>
            <w:tcBorders>
              <w:bottom w:val="nil"/>
            </w:tcBorders>
          </w:tcPr>
          <w:p w14:paraId="75547924" w14:textId="77777777" w:rsidR="009A2964" w:rsidRPr="00BB50F2" w:rsidRDefault="009A2964" w:rsidP="00701A9B">
            <w:pPr>
              <w:pStyle w:val="Header"/>
              <w:ind w:left="0" w:firstLine="0"/>
              <w:rPr>
                <w:rFonts w:cs="Arial"/>
              </w:rPr>
            </w:pPr>
          </w:p>
        </w:tc>
      </w:tr>
      <w:tr w:rsidR="009A2964" w:rsidRPr="00BB50F2" w14:paraId="4185A982" w14:textId="77777777" w:rsidTr="00F8293A">
        <w:trPr>
          <w:cantSplit/>
        </w:trPr>
        <w:tc>
          <w:tcPr>
            <w:tcW w:w="342" w:type="dxa"/>
            <w:tcBorders>
              <w:top w:val="nil"/>
              <w:bottom w:val="nil"/>
              <w:right w:val="single" w:sz="4" w:space="0" w:color="999999"/>
            </w:tcBorders>
          </w:tcPr>
          <w:p w14:paraId="6E6C797C" w14:textId="77777777" w:rsidR="009A2964" w:rsidRPr="00BB50F2" w:rsidRDefault="009A2964" w:rsidP="00F8293A">
            <w:pPr>
              <w:pStyle w:val="Header"/>
              <w:rPr>
                <w:rFonts w:cs="Arial"/>
              </w:rPr>
            </w:pPr>
          </w:p>
        </w:tc>
        <w:tc>
          <w:tcPr>
            <w:tcW w:w="1899" w:type="dxa"/>
            <w:gridSpan w:val="2"/>
            <w:tcBorders>
              <w:top w:val="single" w:sz="4" w:space="0" w:color="999999"/>
              <w:left w:val="single" w:sz="4" w:space="0" w:color="999999"/>
              <w:bottom w:val="single" w:sz="4" w:space="0" w:color="999999"/>
              <w:right w:val="single" w:sz="4" w:space="0" w:color="999999"/>
            </w:tcBorders>
          </w:tcPr>
          <w:p w14:paraId="527D86E0" w14:textId="77777777" w:rsidR="009A2964" w:rsidRPr="00BB50F2" w:rsidRDefault="009A2964" w:rsidP="00701A9B">
            <w:pPr>
              <w:pStyle w:val="Header"/>
              <w:ind w:left="0" w:firstLine="0"/>
              <w:rPr>
                <w:rFonts w:cs="Arial"/>
              </w:rPr>
            </w:pPr>
            <w:r w:rsidRPr="00BB50F2">
              <w:rPr>
                <w:rFonts w:cs="Arial"/>
              </w:rPr>
              <w:t>Period</w:t>
            </w:r>
          </w:p>
        </w:tc>
        <w:tc>
          <w:tcPr>
            <w:tcW w:w="6690" w:type="dxa"/>
            <w:gridSpan w:val="2"/>
            <w:tcBorders>
              <w:top w:val="single" w:sz="4" w:space="0" w:color="999999"/>
              <w:left w:val="single" w:sz="4" w:space="0" w:color="999999"/>
              <w:bottom w:val="single" w:sz="4" w:space="0" w:color="999999"/>
              <w:right w:val="single" w:sz="4" w:space="0" w:color="999999"/>
            </w:tcBorders>
          </w:tcPr>
          <w:p w14:paraId="34AC30E4" w14:textId="77777777" w:rsidR="009A2964" w:rsidRPr="00BB50F2" w:rsidRDefault="009A2964" w:rsidP="00701A9B">
            <w:pPr>
              <w:pStyle w:val="Header"/>
              <w:ind w:left="0" w:firstLine="0"/>
              <w:rPr>
                <w:rFonts w:cs="Arial"/>
              </w:rPr>
            </w:pPr>
            <w:r w:rsidRPr="00BB50F2">
              <w:rPr>
                <w:rFonts w:cs="Arial"/>
              </w:rPr>
              <w:t>Monthly</w:t>
            </w:r>
          </w:p>
        </w:tc>
        <w:tc>
          <w:tcPr>
            <w:tcW w:w="316" w:type="dxa"/>
            <w:tcBorders>
              <w:top w:val="nil"/>
              <w:left w:val="single" w:sz="4" w:space="0" w:color="999999"/>
              <w:bottom w:val="nil"/>
            </w:tcBorders>
          </w:tcPr>
          <w:p w14:paraId="4CDC7BC9" w14:textId="77777777" w:rsidR="009A2964" w:rsidRPr="00BB50F2" w:rsidRDefault="009A2964" w:rsidP="00F8293A">
            <w:pPr>
              <w:pStyle w:val="Header"/>
              <w:rPr>
                <w:rFonts w:cs="Arial"/>
              </w:rPr>
            </w:pPr>
          </w:p>
        </w:tc>
      </w:tr>
      <w:tr w:rsidR="009A2964" w:rsidRPr="00BB50F2" w14:paraId="1FE763C9" w14:textId="77777777" w:rsidTr="00F8293A">
        <w:trPr>
          <w:cantSplit/>
        </w:trPr>
        <w:tc>
          <w:tcPr>
            <w:tcW w:w="342" w:type="dxa"/>
            <w:tcBorders>
              <w:top w:val="nil"/>
              <w:bottom w:val="nil"/>
              <w:right w:val="single" w:sz="4" w:space="0" w:color="999999"/>
            </w:tcBorders>
          </w:tcPr>
          <w:p w14:paraId="3FC4B1C0" w14:textId="77777777" w:rsidR="009A2964" w:rsidRPr="00BB50F2" w:rsidRDefault="009A2964" w:rsidP="00F8293A">
            <w:pPr>
              <w:pStyle w:val="Header"/>
              <w:rPr>
                <w:rFonts w:cs="Arial"/>
              </w:rPr>
            </w:pPr>
          </w:p>
        </w:tc>
        <w:tc>
          <w:tcPr>
            <w:tcW w:w="1899" w:type="dxa"/>
            <w:gridSpan w:val="2"/>
            <w:tcBorders>
              <w:top w:val="single" w:sz="4" w:space="0" w:color="999999"/>
              <w:left w:val="single" w:sz="4" w:space="0" w:color="999999"/>
              <w:bottom w:val="single" w:sz="4" w:space="0" w:color="999999"/>
              <w:right w:val="single" w:sz="4" w:space="0" w:color="999999"/>
            </w:tcBorders>
          </w:tcPr>
          <w:p w14:paraId="77E3DE33" w14:textId="77777777" w:rsidR="009A2964" w:rsidRPr="00BB50F2" w:rsidRDefault="009A2964" w:rsidP="00701A9B">
            <w:pPr>
              <w:pStyle w:val="Header"/>
              <w:ind w:left="0" w:firstLine="0"/>
              <w:rPr>
                <w:rFonts w:cs="Arial"/>
              </w:rPr>
            </w:pPr>
            <w:r w:rsidRPr="00BB50F2">
              <w:rPr>
                <w:rFonts w:cs="Arial"/>
              </w:rPr>
              <w:t>Method</w:t>
            </w:r>
          </w:p>
        </w:tc>
        <w:tc>
          <w:tcPr>
            <w:tcW w:w="6690" w:type="dxa"/>
            <w:gridSpan w:val="2"/>
            <w:tcBorders>
              <w:top w:val="single" w:sz="4" w:space="0" w:color="999999"/>
              <w:left w:val="single" w:sz="4" w:space="0" w:color="999999"/>
              <w:bottom w:val="single" w:sz="4" w:space="0" w:color="999999"/>
              <w:right w:val="single" w:sz="4" w:space="0" w:color="999999"/>
            </w:tcBorders>
          </w:tcPr>
          <w:p w14:paraId="7BD0475B" w14:textId="77777777" w:rsidR="009A2964" w:rsidRPr="00BB50F2" w:rsidRDefault="009A2964" w:rsidP="00701A9B">
            <w:pPr>
              <w:pStyle w:val="Header"/>
              <w:ind w:left="0" w:firstLine="0"/>
              <w:rPr>
                <w:rFonts w:cs="Arial"/>
              </w:rPr>
            </w:pPr>
            <w:r w:rsidRPr="00BB50F2">
              <w:rPr>
                <w:rFonts w:cs="Arial"/>
              </w:rPr>
              <w:t xml:space="preserve">Observed and </w:t>
            </w:r>
            <w:proofErr w:type="spellStart"/>
            <w:r w:rsidRPr="00BB50F2">
              <w:rPr>
                <w:rFonts w:cs="Arial"/>
              </w:rPr>
              <w:t>minuted</w:t>
            </w:r>
            <w:proofErr w:type="spellEnd"/>
            <w:r w:rsidRPr="00BB50F2">
              <w:rPr>
                <w:rFonts w:cs="Arial"/>
              </w:rPr>
              <w:t xml:space="preserve"> non-compliances within formal Service review meetings or detected and documented in incident root cause analysis exercises.</w:t>
            </w:r>
          </w:p>
          <w:p w14:paraId="004E5F94" w14:textId="77777777" w:rsidR="009A2964" w:rsidRPr="00BB50F2" w:rsidRDefault="009A2964" w:rsidP="00701A9B">
            <w:pPr>
              <w:pStyle w:val="Header"/>
              <w:ind w:left="0" w:firstLine="0"/>
              <w:rPr>
                <w:rFonts w:cs="Arial"/>
              </w:rPr>
            </w:pPr>
          </w:p>
        </w:tc>
        <w:tc>
          <w:tcPr>
            <w:tcW w:w="316" w:type="dxa"/>
            <w:tcBorders>
              <w:top w:val="nil"/>
              <w:left w:val="single" w:sz="4" w:space="0" w:color="999999"/>
              <w:bottom w:val="nil"/>
            </w:tcBorders>
          </w:tcPr>
          <w:p w14:paraId="59B56B6F" w14:textId="77777777" w:rsidR="009A2964" w:rsidRPr="00BB50F2" w:rsidRDefault="009A2964" w:rsidP="00F8293A">
            <w:pPr>
              <w:pStyle w:val="Header"/>
              <w:rPr>
                <w:rFonts w:cs="Arial"/>
              </w:rPr>
            </w:pPr>
          </w:p>
        </w:tc>
      </w:tr>
      <w:tr w:rsidR="009A2964" w:rsidRPr="00BB50F2" w14:paraId="12E89B73" w14:textId="77777777" w:rsidTr="00F8293A">
        <w:trPr>
          <w:cantSplit/>
          <w:trHeight w:hRule="exact" w:val="113"/>
        </w:trPr>
        <w:tc>
          <w:tcPr>
            <w:tcW w:w="9247" w:type="dxa"/>
            <w:gridSpan w:val="6"/>
            <w:tcBorders>
              <w:top w:val="nil"/>
            </w:tcBorders>
          </w:tcPr>
          <w:p w14:paraId="0AEBCB72" w14:textId="77777777" w:rsidR="009A2964" w:rsidRPr="00BB50F2" w:rsidRDefault="009A2964" w:rsidP="00F8293A">
            <w:pPr>
              <w:pStyle w:val="Header"/>
              <w:rPr>
                <w:rFonts w:cs="Arial"/>
              </w:rPr>
            </w:pPr>
          </w:p>
        </w:tc>
      </w:tr>
      <w:tr w:rsidR="009A2964" w:rsidRPr="00BB50F2" w14:paraId="1FA0885B" w14:textId="77777777" w:rsidTr="00F8293A">
        <w:trPr>
          <w:cantSplit/>
          <w:trHeight w:hRule="exact" w:val="397"/>
        </w:trPr>
        <w:tc>
          <w:tcPr>
            <w:tcW w:w="9247" w:type="dxa"/>
            <w:gridSpan w:val="6"/>
            <w:vAlign w:val="center"/>
          </w:tcPr>
          <w:p w14:paraId="00A045C0" w14:textId="77777777" w:rsidR="009A2964" w:rsidRPr="00BB50F2" w:rsidRDefault="009A2964" w:rsidP="00F8293A">
            <w:pPr>
              <w:pStyle w:val="Header"/>
              <w:rPr>
                <w:rFonts w:cs="Arial"/>
              </w:rPr>
            </w:pPr>
            <w:r w:rsidRPr="00BB50F2">
              <w:rPr>
                <w:rFonts w:cs="Arial"/>
              </w:rPr>
              <w:t>Service Credit Levels:</w:t>
            </w:r>
          </w:p>
        </w:tc>
      </w:tr>
      <w:tr w:rsidR="009A2964" w:rsidRPr="00BB50F2" w14:paraId="2F539AA6" w14:textId="77777777" w:rsidTr="00F8293A">
        <w:trPr>
          <w:cantSplit/>
          <w:trHeight w:hRule="exact" w:val="113"/>
        </w:trPr>
        <w:tc>
          <w:tcPr>
            <w:tcW w:w="9247" w:type="dxa"/>
            <w:gridSpan w:val="6"/>
            <w:tcBorders>
              <w:bottom w:val="nil"/>
            </w:tcBorders>
          </w:tcPr>
          <w:p w14:paraId="6C9BC7F9" w14:textId="77777777" w:rsidR="009A2964" w:rsidRPr="00BB50F2" w:rsidRDefault="009A2964" w:rsidP="00F8293A">
            <w:pPr>
              <w:pStyle w:val="Header"/>
              <w:rPr>
                <w:rFonts w:cs="Arial"/>
              </w:rPr>
            </w:pPr>
          </w:p>
        </w:tc>
      </w:tr>
      <w:tr w:rsidR="009A2964" w:rsidRPr="00BB50F2" w14:paraId="71022F4A" w14:textId="77777777" w:rsidTr="00F8293A">
        <w:trPr>
          <w:cantSplit/>
        </w:trPr>
        <w:tc>
          <w:tcPr>
            <w:tcW w:w="342" w:type="dxa"/>
            <w:tcBorders>
              <w:top w:val="nil"/>
              <w:bottom w:val="nil"/>
              <w:right w:val="single" w:sz="4" w:space="0" w:color="999999"/>
            </w:tcBorders>
          </w:tcPr>
          <w:p w14:paraId="3560A5DA" w14:textId="77777777" w:rsidR="009A2964" w:rsidRPr="00BB50F2" w:rsidRDefault="009A2964" w:rsidP="00F8293A">
            <w:pPr>
              <w:pStyle w:val="Header"/>
              <w:rPr>
                <w:rFonts w:cs="Arial"/>
              </w:rPr>
            </w:pPr>
          </w:p>
        </w:tc>
        <w:tc>
          <w:tcPr>
            <w:tcW w:w="8589" w:type="dxa"/>
            <w:gridSpan w:val="4"/>
            <w:tcBorders>
              <w:top w:val="single" w:sz="4" w:space="0" w:color="999999"/>
              <w:left w:val="single" w:sz="4" w:space="0" w:color="999999"/>
              <w:bottom w:val="single" w:sz="4" w:space="0" w:color="999999"/>
              <w:right w:val="single" w:sz="4" w:space="0" w:color="999999"/>
            </w:tcBorders>
          </w:tcPr>
          <w:p w14:paraId="57C763FA" w14:textId="77777777" w:rsidR="009A2964" w:rsidRPr="00BB50F2" w:rsidRDefault="009A2964" w:rsidP="00F8293A">
            <w:pPr>
              <w:pStyle w:val="Header"/>
              <w:rPr>
                <w:rFonts w:cs="Arial"/>
                <w:highlight w:val="yellow"/>
              </w:rPr>
            </w:pPr>
          </w:p>
        </w:tc>
        <w:tc>
          <w:tcPr>
            <w:tcW w:w="316" w:type="dxa"/>
            <w:tcBorders>
              <w:top w:val="nil"/>
              <w:left w:val="single" w:sz="4" w:space="0" w:color="999999"/>
              <w:bottom w:val="nil"/>
            </w:tcBorders>
          </w:tcPr>
          <w:p w14:paraId="1753481D" w14:textId="77777777" w:rsidR="009A2964" w:rsidRPr="00BB50F2" w:rsidRDefault="009A2964" w:rsidP="00F8293A">
            <w:pPr>
              <w:pStyle w:val="Header"/>
              <w:rPr>
                <w:rFonts w:cs="Arial"/>
              </w:rPr>
            </w:pPr>
          </w:p>
        </w:tc>
      </w:tr>
      <w:tr w:rsidR="009A2964" w:rsidRPr="00BB50F2" w14:paraId="16F6B425" w14:textId="77777777" w:rsidTr="00F8293A">
        <w:trPr>
          <w:cantSplit/>
        </w:trPr>
        <w:tc>
          <w:tcPr>
            <w:tcW w:w="342" w:type="dxa"/>
            <w:tcBorders>
              <w:top w:val="nil"/>
              <w:bottom w:val="nil"/>
              <w:right w:val="single" w:sz="4" w:space="0" w:color="999999"/>
            </w:tcBorders>
          </w:tcPr>
          <w:p w14:paraId="7BDD10E8" w14:textId="77777777" w:rsidR="009A2964" w:rsidRPr="00BB50F2" w:rsidRDefault="009A2964" w:rsidP="00F8293A">
            <w:pPr>
              <w:pStyle w:val="Header"/>
              <w:rPr>
                <w:rFonts w:cs="Arial"/>
              </w:rPr>
            </w:pPr>
          </w:p>
        </w:tc>
        <w:tc>
          <w:tcPr>
            <w:tcW w:w="1899" w:type="dxa"/>
            <w:gridSpan w:val="2"/>
            <w:tcBorders>
              <w:top w:val="single" w:sz="4" w:space="0" w:color="999999"/>
              <w:left w:val="single" w:sz="4" w:space="0" w:color="999999"/>
              <w:bottom w:val="single" w:sz="4" w:space="0" w:color="999999"/>
              <w:right w:val="single" w:sz="4" w:space="0" w:color="999999"/>
            </w:tcBorders>
          </w:tcPr>
          <w:p w14:paraId="6ADE8B31" w14:textId="77777777" w:rsidR="009A2964" w:rsidRPr="00BB50F2" w:rsidRDefault="009A2964" w:rsidP="00701A9B">
            <w:pPr>
              <w:pStyle w:val="Header"/>
              <w:ind w:left="0" w:firstLine="0"/>
              <w:rPr>
                <w:rFonts w:cs="Arial"/>
              </w:rPr>
            </w:pPr>
            <w:r w:rsidRPr="00BB50F2">
              <w:rPr>
                <w:rFonts w:cs="Arial"/>
              </w:rPr>
              <w:t>Actual Service Usage</w:t>
            </w:r>
          </w:p>
        </w:tc>
        <w:tc>
          <w:tcPr>
            <w:tcW w:w="4138" w:type="dxa"/>
            <w:vMerge w:val="restart"/>
            <w:tcBorders>
              <w:top w:val="single" w:sz="4" w:space="0" w:color="999999"/>
              <w:left w:val="single" w:sz="4" w:space="0" w:color="999999"/>
              <w:right w:val="single" w:sz="4" w:space="0" w:color="999999"/>
            </w:tcBorders>
            <w:vAlign w:val="bottom"/>
          </w:tcPr>
          <w:p w14:paraId="768EBAD4" w14:textId="77777777" w:rsidR="009A2964" w:rsidRPr="00BB50F2" w:rsidRDefault="009A2964" w:rsidP="00F8293A">
            <w:pPr>
              <w:pStyle w:val="Header"/>
              <w:rPr>
                <w:rFonts w:cs="Arial"/>
              </w:rPr>
            </w:pPr>
            <w:r w:rsidRPr="00BB50F2">
              <w:rPr>
                <w:rFonts w:cs="Arial"/>
              </w:rPr>
              <w:t>Calculation</w:t>
            </w:r>
          </w:p>
        </w:tc>
        <w:tc>
          <w:tcPr>
            <w:tcW w:w="2552" w:type="dxa"/>
            <w:vMerge w:val="restart"/>
            <w:tcBorders>
              <w:top w:val="single" w:sz="4" w:space="0" w:color="999999"/>
              <w:left w:val="single" w:sz="4" w:space="0" w:color="999999"/>
              <w:right w:val="single" w:sz="4" w:space="0" w:color="999999"/>
            </w:tcBorders>
            <w:vAlign w:val="bottom"/>
          </w:tcPr>
          <w:p w14:paraId="5CA243BC" w14:textId="77777777" w:rsidR="009A2964" w:rsidRPr="00BB50F2" w:rsidRDefault="009A2964" w:rsidP="00F8293A">
            <w:pPr>
              <w:pStyle w:val="Header"/>
              <w:rPr>
                <w:rFonts w:cs="Arial"/>
              </w:rPr>
            </w:pPr>
            <w:r w:rsidRPr="00BB50F2">
              <w:rPr>
                <w:rFonts w:cs="Arial"/>
              </w:rPr>
              <w:t>Notes</w:t>
            </w:r>
          </w:p>
        </w:tc>
        <w:tc>
          <w:tcPr>
            <w:tcW w:w="316" w:type="dxa"/>
            <w:tcBorders>
              <w:top w:val="nil"/>
              <w:left w:val="single" w:sz="4" w:space="0" w:color="999999"/>
              <w:bottom w:val="nil"/>
            </w:tcBorders>
          </w:tcPr>
          <w:p w14:paraId="580D72B7" w14:textId="77777777" w:rsidR="009A2964" w:rsidRPr="00BB50F2" w:rsidRDefault="009A2964" w:rsidP="00F8293A">
            <w:pPr>
              <w:pStyle w:val="Header"/>
              <w:rPr>
                <w:rFonts w:cs="Arial"/>
              </w:rPr>
            </w:pPr>
          </w:p>
        </w:tc>
      </w:tr>
      <w:tr w:rsidR="009A2964" w:rsidRPr="00BB50F2" w14:paraId="1BB56537" w14:textId="77777777" w:rsidTr="00F8293A">
        <w:trPr>
          <w:cantSplit/>
        </w:trPr>
        <w:tc>
          <w:tcPr>
            <w:tcW w:w="342" w:type="dxa"/>
            <w:tcBorders>
              <w:top w:val="nil"/>
              <w:bottom w:val="nil"/>
              <w:right w:val="single" w:sz="4" w:space="0" w:color="999999"/>
            </w:tcBorders>
          </w:tcPr>
          <w:p w14:paraId="1169A4DE" w14:textId="77777777" w:rsidR="009A2964" w:rsidRPr="00BB50F2" w:rsidRDefault="009A2964" w:rsidP="00F8293A">
            <w:pPr>
              <w:pStyle w:val="Header"/>
              <w:rPr>
                <w:rFonts w:cs="Arial"/>
              </w:rPr>
            </w:pPr>
          </w:p>
        </w:tc>
        <w:tc>
          <w:tcPr>
            <w:tcW w:w="949" w:type="dxa"/>
            <w:tcBorders>
              <w:top w:val="single" w:sz="4" w:space="0" w:color="999999"/>
              <w:left w:val="single" w:sz="4" w:space="0" w:color="999999"/>
              <w:bottom w:val="single" w:sz="4" w:space="0" w:color="999999"/>
              <w:right w:val="single" w:sz="4" w:space="0" w:color="999999"/>
            </w:tcBorders>
          </w:tcPr>
          <w:p w14:paraId="1CE69FAF" w14:textId="77777777" w:rsidR="009A2964" w:rsidRPr="00BB50F2" w:rsidRDefault="009A2964" w:rsidP="00F8293A">
            <w:pPr>
              <w:pStyle w:val="Header"/>
              <w:rPr>
                <w:rFonts w:cs="Arial"/>
              </w:rPr>
            </w:pPr>
            <w:r w:rsidRPr="00BB50F2">
              <w:rPr>
                <w:rFonts w:cs="Arial"/>
              </w:rPr>
              <w:t>Lower</w:t>
            </w:r>
          </w:p>
        </w:tc>
        <w:tc>
          <w:tcPr>
            <w:tcW w:w="950" w:type="dxa"/>
            <w:tcBorders>
              <w:top w:val="single" w:sz="4" w:space="0" w:color="999999"/>
              <w:left w:val="single" w:sz="4" w:space="0" w:color="999999"/>
              <w:bottom w:val="single" w:sz="4" w:space="0" w:color="999999"/>
              <w:right w:val="single" w:sz="4" w:space="0" w:color="999999"/>
            </w:tcBorders>
          </w:tcPr>
          <w:p w14:paraId="5688B78B" w14:textId="77777777" w:rsidR="009A2964" w:rsidRPr="00BB50F2" w:rsidRDefault="009A2964" w:rsidP="00F8293A">
            <w:pPr>
              <w:pStyle w:val="Header"/>
              <w:rPr>
                <w:rFonts w:cs="Arial"/>
              </w:rPr>
            </w:pPr>
            <w:r w:rsidRPr="00BB50F2">
              <w:rPr>
                <w:rFonts w:cs="Arial"/>
              </w:rPr>
              <w:t>Upper</w:t>
            </w:r>
          </w:p>
        </w:tc>
        <w:tc>
          <w:tcPr>
            <w:tcW w:w="4138" w:type="dxa"/>
            <w:vMerge/>
            <w:tcBorders>
              <w:left w:val="single" w:sz="4" w:space="0" w:color="999999"/>
              <w:bottom w:val="single" w:sz="4" w:space="0" w:color="999999"/>
              <w:right w:val="single" w:sz="4" w:space="0" w:color="999999"/>
            </w:tcBorders>
          </w:tcPr>
          <w:p w14:paraId="55F62776" w14:textId="77777777" w:rsidR="009A2964" w:rsidRPr="00BB50F2" w:rsidRDefault="009A2964" w:rsidP="00F8293A">
            <w:pPr>
              <w:pStyle w:val="Header"/>
              <w:rPr>
                <w:rFonts w:cs="Arial"/>
              </w:rPr>
            </w:pPr>
          </w:p>
        </w:tc>
        <w:tc>
          <w:tcPr>
            <w:tcW w:w="2552" w:type="dxa"/>
            <w:vMerge/>
            <w:tcBorders>
              <w:left w:val="single" w:sz="4" w:space="0" w:color="999999"/>
              <w:bottom w:val="single" w:sz="4" w:space="0" w:color="999999"/>
              <w:right w:val="single" w:sz="4" w:space="0" w:color="999999"/>
            </w:tcBorders>
          </w:tcPr>
          <w:p w14:paraId="5F54BD25" w14:textId="77777777" w:rsidR="009A2964" w:rsidRPr="00BB50F2" w:rsidRDefault="009A2964" w:rsidP="00F8293A">
            <w:pPr>
              <w:pStyle w:val="Header"/>
              <w:rPr>
                <w:rFonts w:cs="Arial"/>
              </w:rPr>
            </w:pPr>
          </w:p>
        </w:tc>
        <w:tc>
          <w:tcPr>
            <w:tcW w:w="316" w:type="dxa"/>
            <w:tcBorders>
              <w:top w:val="nil"/>
              <w:left w:val="single" w:sz="4" w:space="0" w:color="999999"/>
              <w:bottom w:val="nil"/>
            </w:tcBorders>
          </w:tcPr>
          <w:p w14:paraId="50E92821" w14:textId="77777777" w:rsidR="009A2964" w:rsidRPr="00BB50F2" w:rsidRDefault="009A2964" w:rsidP="00F8293A">
            <w:pPr>
              <w:pStyle w:val="Header"/>
              <w:rPr>
                <w:rFonts w:cs="Arial"/>
              </w:rPr>
            </w:pPr>
          </w:p>
        </w:tc>
      </w:tr>
      <w:tr w:rsidR="009A2964" w:rsidRPr="00BB50F2" w14:paraId="78E8EFB2" w14:textId="77777777" w:rsidTr="00F8293A">
        <w:trPr>
          <w:cantSplit/>
        </w:trPr>
        <w:tc>
          <w:tcPr>
            <w:tcW w:w="342" w:type="dxa"/>
            <w:tcBorders>
              <w:top w:val="nil"/>
              <w:bottom w:val="nil"/>
              <w:right w:val="single" w:sz="4" w:space="0" w:color="999999"/>
            </w:tcBorders>
          </w:tcPr>
          <w:p w14:paraId="18F89FB0" w14:textId="77777777" w:rsidR="009A2964" w:rsidRPr="00BB50F2" w:rsidRDefault="009A2964" w:rsidP="00F8293A">
            <w:pPr>
              <w:pStyle w:val="Header"/>
              <w:rPr>
                <w:rFonts w:cs="Arial"/>
              </w:rPr>
            </w:pPr>
          </w:p>
        </w:tc>
        <w:tc>
          <w:tcPr>
            <w:tcW w:w="949" w:type="dxa"/>
            <w:tcBorders>
              <w:top w:val="single" w:sz="4" w:space="0" w:color="999999"/>
              <w:left w:val="single" w:sz="4" w:space="0" w:color="999999"/>
              <w:bottom w:val="single" w:sz="4" w:space="0" w:color="999999"/>
              <w:right w:val="single" w:sz="4" w:space="0" w:color="999999"/>
            </w:tcBorders>
            <w:vAlign w:val="center"/>
          </w:tcPr>
          <w:p w14:paraId="1512D8F7" w14:textId="77777777" w:rsidR="009A2964" w:rsidRPr="00BB50F2" w:rsidRDefault="009A2964" w:rsidP="00F8293A">
            <w:pPr>
              <w:pStyle w:val="Header"/>
              <w:rPr>
                <w:rFonts w:cs="Arial"/>
              </w:rPr>
            </w:pPr>
            <w:r w:rsidRPr="00BB50F2">
              <w:rPr>
                <w:rFonts w:cs="Arial"/>
              </w:rPr>
              <w:t>xxx</w:t>
            </w:r>
          </w:p>
        </w:tc>
        <w:tc>
          <w:tcPr>
            <w:tcW w:w="950" w:type="dxa"/>
            <w:tcBorders>
              <w:top w:val="single" w:sz="4" w:space="0" w:color="999999"/>
              <w:left w:val="single" w:sz="4" w:space="0" w:color="999999"/>
              <w:bottom w:val="single" w:sz="4" w:space="0" w:color="999999"/>
              <w:right w:val="single" w:sz="4" w:space="0" w:color="999999"/>
            </w:tcBorders>
            <w:vAlign w:val="center"/>
          </w:tcPr>
          <w:p w14:paraId="0F1A2DC9" w14:textId="77777777" w:rsidR="009A2964" w:rsidRPr="00BB50F2" w:rsidRDefault="009A2964" w:rsidP="00F8293A">
            <w:pPr>
              <w:pStyle w:val="Header"/>
              <w:rPr>
                <w:rFonts w:cs="Arial"/>
              </w:rPr>
            </w:pPr>
            <w:r w:rsidRPr="00BB50F2">
              <w:rPr>
                <w:rFonts w:cs="Arial"/>
              </w:rPr>
              <w:t>0</w:t>
            </w:r>
          </w:p>
        </w:tc>
        <w:tc>
          <w:tcPr>
            <w:tcW w:w="4138" w:type="dxa"/>
            <w:tcBorders>
              <w:top w:val="single" w:sz="4" w:space="0" w:color="999999"/>
              <w:left w:val="single" w:sz="4" w:space="0" w:color="999999"/>
              <w:bottom w:val="single" w:sz="4" w:space="0" w:color="999999"/>
              <w:right w:val="single" w:sz="4" w:space="0" w:color="999999"/>
            </w:tcBorders>
            <w:vAlign w:val="center"/>
          </w:tcPr>
          <w:p w14:paraId="7A5B3861" w14:textId="77777777" w:rsidR="009A2964" w:rsidRPr="00BB50F2" w:rsidRDefault="009A2964" w:rsidP="00F8293A">
            <w:pPr>
              <w:pStyle w:val="Header"/>
              <w:rPr>
                <w:rFonts w:cs="Arial"/>
              </w:rPr>
            </w:pPr>
            <w:r w:rsidRPr="00BB50F2">
              <w:rPr>
                <w:rFonts w:cs="Arial"/>
              </w:rPr>
              <w:t>OBSONC</w:t>
            </w:r>
          </w:p>
        </w:tc>
        <w:tc>
          <w:tcPr>
            <w:tcW w:w="2552" w:type="dxa"/>
            <w:tcBorders>
              <w:top w:val="single" w:sz="4" w:space="0" w:color="999999"/>
              <w:left w:val="single" w:sz="4" w:space="0" w:color="999999"/>
              <w:bottom w:val="single" w:sz="4" w:space="0" w:color="999999"/>
              <w:right w:val="single" w:sz="4" w:space="0" w:color="999999"/>
            </w:tcBorders>
            <w:vAlign w:val="center"/>
          </w:tcPr>
          <w:p w14:paraId="188EE291" w14:textId="77777777" w:rsidR="009A2964" w:rsidRPr="00BB50F2" w:rsidRDefault="009A2964" w:rsidP="00F8293A">
            <w:pPr>
              <w:pStyle w:val="Header"/>
              <w:rPr>
                <w:rFonts w:cs="Arial"/>
              </w:rPr>
            </w:pPr>
            <w:r w:rsidRPr="00BB50F2">
              <w:rPr>
                <w:rFonts w:cs="Arial"/>
              </w:rPr>
              <w:t>Service target</w:t>
            </w:r>
          </w:p>
        </w:tc>
        <w:tc>
          <w:tcPr>
            <w:tcW w:w="316" w:type="dxa"/>
            <w:tcBorders>
              <w:top w:val="nil"/>
              <w:left w:val="single" w:sz="4" w:space="0" w:color="999999"/>
              <w:bottom w:val="nil"/>
            </w:tcBorders>
          </w:tcPr>
          <w:p w14:paraId="3C969BEF" w14:textId="77777777" w:rsidR="009A2964" w:rsidRPr="00BB50F2" w:rsidRDefault="009A2964" w:rsidP="00F8293A">
            <w:pPr>
              <w:pStyle w:val="ssPara5"/>
              <w:spacing w:after="120" w:line="240" w:lineRule="auto"/>
              <w:rPr>
                <w:sz w:val="20"/>
                <w:szCs w:val="20"/>
              </w:rPr>
            </w:pPr>
          </w:p>
        </w:tc>
      </w:tr>
      <w:tr w:rsidR="009A2964" w:rsidRPr="00BB50F2" w14:paraId="02598A7D" w14:textId="77777777" w:rsidTr="00F8293A">
        <w:trPr>
          <w:cantSplit/>
        </w:trPr>
        <w:tc>
          <w:tcPr>
            <w:tcW w:w="342" w:type="dxa"/>
            <w:tcBorders>
              <w:top w:val="nil"/>
              <w:bottom w:val="nil"/>
              <w:right w:val="single" w:sz="4" w:space="0" w:color="999999"/>
            </w:tcBorders>
          </w:tcPr>
          <w:p w14:paraId="1B4071A2" w14:textId="77777777" w:rsidR="009A2964" w:rsidRPr="00BB50F2" w:rsidRDefault="009A2964" w:rsidP="00F8293A">
            <w:pPr>
              <w:pStyle w:val="ssPara5"/>
              <w:spacing w:after="120" w:line="240" w:lineRule="auto"/>
              <w:rPr>
                <w:sz w:val="20"/>
                <w:szCs w:val="20"/>
              </w:rPr>
            </w:pPr>
          </w:p>
        </w:tc>
        <w:tc>
          <w:tcPr>
            <w:tcW w:w="949" w:type="dxa"/>
            <w:tcBorders>
              <w:top w:val="single" w:sz="4" w:space="0" w:color="999999"/>
              <w:left w:val="single" w:sz="4" w:space="0" w:color="999999"/>
              <w:bottom w:val="single" w:sz="4" w:space="0" w:color="999999"/>
              <w:right w:val="single" w:sz="4" w:space="0" w:color="999999"/>
            </w:tcBorders>
            <w:vAlign w:val="center"/>
          </w:tcPr>
          <w:p w14:paraId="125411F8" w14:textId="77777777" w:rsidR="009A2964" w:rsidRPr="00BB50F2" w:rsidRDefault="009A2964" w:rsidP="00F8293A">
            <w:pPr>
              <w:pStyle w:val="Header"/>
              <w:rPr>
                <w:rFonts w:cs="Arial"/>
              </w:rPr>
            </w:pPr>
            <w:proofErr w:type="spellStart"/>
            <w:r w:rsidRPr="00BB50F2">
              <w:rPr>
                <w:rFonts w:cs="Arial"/>
              </w:rPr>
              <w:t>yyy</w:t>
            </w:r>
            <w:proofErr w:type="spellEnd"/>
          </w:p>
        </w:tc>
        <w:tc>
          <w:tcPr>
            <w:tcW w:w="950" w:type="dxa"/>
            <w:tcBorders>
              <w:top w:val="single" w:sz="4" w:space="0" w:color="999999"/>
              <w:left w:val="single" w:sz="4" w:space="0" w:color="999999"/>
              <w:bottom w:val="single" w:sz="4" w:space="0" w:color="999999"/>
              <w:right w:val="single" w:sz="4" w:space="0" w:color="999999"/>
            </w:tcBorders>
            <w:vAlign w:val="center"/>
          </w:tcPr>
          <w:p w14:paraId="3E4220D3" w14:textId="77777777" w:rsidR="009A2964" w:rsidRPr="00BB50F2" w:rsidRDefault="009A2964" w:rsidP="00F8293A">
            <w:pPr>
              <w:pStyle w:val="Header"/>
              <w:rPr>
                <w:rFonts w:cs="Arial"/>
              </w:rPr>
            </w:pPr>
            <w:r w:rsidRPr="00BB50F2">
              <w:rPr>
                <w:rFonts w:cs="Arial"/>
              </w:rPr>
              <w:t>&lt;xxx</w:t>
            </w:r>
          </w:p>
        </w:tc>
        <w:tc>
          <w:tcPr>
            <w:tcW w:w="4138" w:type="dxa"/>
            <w:tcBorders>
              <w:top w:val="single" w:sz="4" w:space="0" w:color="999999"/>
              <w:left w:val="single" w:sz="4" w:space="0" w:color="999999"/>
              <w:bottom w:val="single" w:sz="4" w:space="0" w:color="999999"/>
              <w:right w:val="single" w:sz="4" w:space="0" w:color="999999"/>
            </w:tcBorders>
            <w:vAlign w:val="center"/>
          </w:tcPr>
          <w:p w14:paraId="09F20E4E" w14:textId="77777777" w:rsidR="009A2964" w:rsidRPr="00BB50F2" w:rsidRDefault="009A2964" w:rsidP="00F8293A">
            <w:pPr>
              <w:pStyle w:val="Header"/>
              <w:rPr>
                <w:rFonts w:cs="Arial"/>
              </w:rPr>
            </w:pPr>
            <w:r w:rsidRPr="00BB50F2">
              <w:rPr>
                <w:rFonts w:cs="Arial"/>
              </w:rPr>
              <w:t>OBSONC</w:t>
            </w:r>
          </w:p>
        </w:tc>
        <w:tc>
          <w:tcPr>
            <w:tcW w:w="2552" w:type="dxa"/>
            <w:tcBorders>
              <w:top w:val="single" w:sz="4" w:space="0" w:color="999999"/>
              <w:left w:val="single" w:sz="4" w:space="0" w:color="999999"/>
              <w:bottom w:val="single" w:sz="4" w:space="0" w:color="999999"/>
              <w:right w:val="single" w:sz="4" w:space="0" w:color="999999"/>
            </w:tcBorders>
            <w:vAlign w:val="center"/>
          </w:tcPr>
          <w:p w14:paraId="261B7D09" w14:textId="77777777" w:rsidR="009A2964" w:rsidRPr="00BB50F2" w:rsidRDefault="009A2964" w:rsidP="00F8293A">
            <w:pPr>
              <w:pStyle w:val="Header"/>
              <w:rPr>
                <w:rFonts w:cs="Arial"/>
              </w:rPr>
            </w:pPr>
            <w:r w:rsidRPr="00BB50F2">
              <w:rPr>
                <w:rFonts w:cs="Arial"/>
              </w:rPr>
              <w:t>Service pass</w:t>
            </w:r>
          </w:p>
        </w:tc>
        <w:tc>
          <w:tcPr>
            <w:tcW w:w="316" w:type="dxa"/>
            <w:tcBorders>
              <w:top w:val="nil"/>
              <w:left w:val="single" w:sz="4" w:space="0" w:color="999999"/>
              <w:bottom w:val="nil"/>
            </w:tcBorders>
          </w:tcPr>
          <w:p w14:paraId="07988CAD" w14:textId="77777777" w:rsidR="009A2964" w:rsidRPr="00BB50F2" w:rsidRDefault="009A2964" w:rsidP="00F8293A">
            <w:pPr>
              <w:pStyle w:val="ssPara5"/>
              <w:spacing w:after="120" w:line="240" w:lineRule="auto"/>
              <w:rPr>
                <w:sz w:val="20"/>
                <w:szCs w:val="20"/>
              </w:rPr>
            </w:pPr>
          </w:p>
        </w:tc>
      </w:tr>
      <w:tr w:rsidR="009A2964" w:rsidRPr="00BB50F2" w14:paraId="7A9FADB3" w14:textId="77777777" w:rsidTr="00F8293A">
        <w:trPr>
          <w:cantSplit/>
        </w:trPr>
        <w:tc>
          <w:tcPr>
            <w:tcW w:w="342" w:type="dxa"/>
            <w:tcBorders>
              <w:top w:val="nil"/>
              <w:bottom w:val="nil"/>
              <w:right w:val="single" w:sz="4" w:space="0" w:color="999999"/>
            </w:tcBorders>
          </w:tcPr>
          <w:p w14:paraId="40229562" w14:textId="77777777" w:rsidR="009A2964" w:rsidRPr="00BB50F2" w:rsidRDefault="009A2964" w:rsidP="00F8293A">
            <w:pPr>
              <w:pStyle w:val="ssPara5"/>
              <w:spacing w:after="120" w:line="240" w:lineRule="auto"/>
              <w:rPr>
                <w:sz w:val="20"/>
                <w:szCs w:val="20"/>
              </w:rPr>
            </w:pPr>
          </w:p>
        </w:tc>
        <w:tc>
          <w:tcPr>
            <w:tcW w:w="949" w:type="dxa"/>
            <w:tcBorders>
              <w:top w:val="single" w:sz="4" w:space="0" w:color="999999"/>
              <w:left w:val="single" w:sz="4" w:space="0" w:color="999999"/>
              <w:bottom w:val="single" w:sz="4" w:space="0" w:color="999999"/>
              <w:right w:val="single" w:sz="4" w:space="0" w:color="999999"/>
            </w:tcBorders>
            <w:vAlign w:val="center"/>
          </w:tcPr>
          <w:p w14:paraId="09C99E62" w14:textId="77777777" w:rsidR="009A2964" w:rsidRPr="00BB50F2" w:rsidRDefault="009A2964" w:rsidP="00F8293A">
            <w:pPr>
              <w:pStyle w:val="Header"/>
              <w:rPr>
                <w:rFonts w:cs="Arial"/>
              </w:rPr>
            </w:pPr>
            <w:r w:rsidRPr="00BB50F2">
              <w:rPr>
                <w:rFonts w:cs="Arial"/>
              </w:rPr>
              <w:t>-</w:t>
            </w:r>
          </w:p>
        </w:tc>
        <w:tc>
          <w:tcPr>
            <w:tcW w:w="950" w:type="dxa"/>
            <w:tcBorders>
              <w:top w:val="single" w:sz="4" w:space="0" w:color="999999"/>
              <w:left w:val="single" w:sz="4" w:space="0" w:color="999999"/>
              <w:bottom w:val="single" w:sz="4" w:space="0" w:color="999999"/>
              <w:right w:val="single" w:sz="4" w:space="0" w:color="999999"/>
            </w:tcBorders>
            <w:vAlign w:val="center"/>
          </w:tcPr>
          <w:p w14:paraId="16CDCE8D" w14:textId="77777777" w:rsidR="009A2964" w:rsidRPr="00BB50F2" w:rsidRDefault="009A2964" w:rsidP="00F8293A">
            <w:pPr>
              <w:pStyle w:val="Header"/>
              <w:rPr>
                <w:rFonts w:cs="Arial"/>
              </w:rPr>
            </w:pPr>
            <w:r w:rsidRPr="00BB50F2">
              <w:rPr>
                <w:rFonts w:cs="Arial"/>
              </w:rPr>
              <w:t>&lt;</w:t>
            </w:r>
            <w:proofErr w:type="spellStart"/>
            <w:r w:rsidRPr="00BB50F2">
              <w:rPr>
                <w:rFonts w:cs="Arial"/>
              </w:rPr>
              <w:t>yyy</w:t>
            </w:r>
            <w:proofErr w:type="spellEnd"/>
          </w:p>
        </w:tc>
        <w:tc>
          <w:tcPr>
            <w:tcW w:w="4138" w:type="dxa"/>
            <w:tcBorders>
              <w:top w:val="single" w:sz="4" w:space="0" w:color="999999"/>
              <w:left w:val="single" w:sz="4" w:space="0" w:color="999999"/>
              <w:bottom w:val="single" w:sz="4" w:space="0" w:color="999999"/>
              <w:right w:val="single" w:sz="4" w:space="0" w:color="999999"/>
            </w:tcBorders>
            <w:vAlign w:val="center"/>
          </w:tcPr>
          <w:p w14:paraId="7079AC7E" w14:textId="77777777" w:rsidR="009A2964" w:rsidRPr="00BB50F2" w:rsidRDefault="009A2964" w:rsidP="00F8293A">
            <w:pPr>
              <w:pStyle w:val="Header"/>
              <w:rPr>
                <w:rFonts w:cs="Arial"/>
              </w:rPr>
            </w:pPr>
            <w:r w:rsidRPr="00BB50F2">
              <w:rPr>
                <w:rFonts w:cs="Arial"/>
              </w:rPr>
              <w:t>OBSONC</w:t>
            </w:r>
          </w:p>
        </w:tc>
        <w:tc>
          <w:tcPr>
            <w:tcW w:w="2552" w:type="dxa"/>
            <w:tcBorders>
              <w:top w:val="single" w:sz="4" w:space="0" w:color="999999"/>
              <w:left w:val="single" w:sz="4" w:space="0" w:color="999999"/>
              <w:bottom w:val="single" w:sz="4" w:space="0" w:color="999999"/>
              <w:right w:val="single" w:sz="4" w:space="0" w:color="999999"/>
            </w:tcBorders>
            <w:vAlign w:val="center"/>
          </w:tcPr>
          <w:p w14:paraId="06DB6399" w14:textId="77777777" w:rsidR="009A2964" w:rsidRPr="00BB50F2" w:rsidRDefault="009A2964" w:rsidP="00F8293A">
            <w:pPr>
              <w:pStyle w:val="Header"/>
              <w:rPr>
                <w:rFonts w:cs="Arial"/>
              </w:rPr>
            </w:pPr>
            <w:r w:rsidRPr="00BB50F2">
              <w:rPr>
                <w:rFonts w:cs="Arial"/>
              </w:rPr>
              <w:t>Service failure</w:t>
            </w:r>
          </w:p>
        </w:tc>
        <w:tc>
          <w:tcPr>
            <w:tcW w:w="316" w:type="dxa"/>
            <w:tcBorders>
              <w:top w:val="nil"/>
              <w:left w:val="single" w:sz="4" w:space="0" w:color="999999"/>
              <w:bottom w:val="nil"/>
            </w:tcBorders>
          </w:tcPr>
          <w:p w14:paraId="2988A7F2" w14:textId="77777777" w:rsidR="009A2964" w:rsidRPr="00BB50F2" w:rsidRDefault="009A2964" w:rsidP="00F8293A">
            <w:pPr>
              <w:pStyle w:val="ssPara5"/>
              <w:spacing w:after="120" w:line="240" w:lineRule="auto"/>
              <w:rPr>
                <w:sz w:val="20"/>
                <w:szCs w:val="20"/>
              </w:rPr>
            </w:pPr>
          </w:p>
        </w:tc>
      </w:tr>
      <w:tr w:rsidR="009A2964" w:rsidRPr="00BB50F2" w14:paraId="203356F5" w14:textId="77777777" w:rsidTr="00F8293A">
        <w:trPr>
          <w:cantSplit/>
          <w:trHeight w:hRule="exact" w:val="113"/>
        </w:trPr>
        <w:tc>
          <w:tcPr>
            <w:tcW w:w="9247" w:type="dxa"/>
            <w:gridSpan w:val="6"/>
            <w:tcBorders>
              <w:top w:val="nil"/>
              <w:bottom w:val="nil"/>
            </w:tcBorders>
          </w:tcPr>
          <w:p w14:paraId="5AD7B478" w14:textId="77777777" w:rsidR="009A2964" w:rsidRPr="00BB50F2" w:rsidRDefault="009A2964" w:rsidP="00F8293A">
            <w:pPr>
              <w:pStyle w:val="Header"/>
              <w:rPr>
                <w:rFonts w:cs="Arial"/>
              </w:rPr>
            </w:pPr>
          </w:p>
        </w:tc>
      </w:tr>
      <w:tr w:rsidR="009A2964" w:rsidRPr="00BB50F2" w14:paraId="2CA390F3" w14:textId="77777777" w:rsidTr="00F8293A">
        <w:trPr>
          <w:cantSplit/>
          <w:trHeight w:hRule="exact" w:val="113"/>
        </w:trPr>
        <w:tc>
          <w:tcPr>
            <w:tcW w:w="9247" w:type="dxa"/>
            <w:gridSpan w:val="6"/>
            <w:tcBorders>
              <w:top w:val="nil"/>
            </w:tcBorders>
          </w:tcPr>
          <w:p w14:paraId="6C9BB60A" w14:textId="77777777" w:rsidR="009A2964" w:rsidRPr="00BB50F2" w:rsidRDefault="009A2964" w:rsidP="00F8293A">
            <w:pPr>
              <w:pStyle w:val="Header"/>
              <w:rPr>
                <w:rFonts w:cs="Arial"/>
              </w:rPr>
            </w:pPr>
          </w:p>
        </w:tc>
      </w:tr>
      <w:tr w:rsidR="009A2964" w:rsidRPr="00BB50F2" w14:paraId="07303294" w14:textId="77777777" w:rsidTr="00F8293A">
        <w:trPr>
          <w:cantSplit/>
          <w:trHeight w:hRule="exact" w:val="397"/>
        </w:trPr>
        <w:tc>
          <w:tcPr>
            <w:tcW w:w="9247" w:type="dxa"/>
            <w:gridSpan w:val="6"/>
            <w:vAlign w:val="center"/>
          </w:tcPr>
          <w:p w14:paraId="19FC82BC" w14:textId="77777777" w:rsidR="009A2964" w:rsidRPr="00BB50F2" w:rsidRDefault="009A2964" w:rsidP="00F8293A">
            <w:pPr>
              <w:pStyle w:val="Header"/>
              <w:rPr>
                <w:rFonts w:cs="Arial"/>
              </w:rPr>
            </w:pPr>
            <w:r w:rsidRPr="00BB50F2">
              <w:rPr>
                <w:rFonts w:cs="Arial"/>
              </w:rPr>
              <w:t>Notes:</w:t>
            </w:r>
          </w:p>
        </w:tc>
      </w:tr>
      <w:tr w:rsidR="009A2964" w:rsidRPr="00BB50F2" w14:paraId="16AE7A7D" w14:textId="77777777" w:rsidTr="00F8293A">
        <w:trPr>
          <w:cantSplit/>
        </w:trPr>
        <w:tc>
          <w:tcPr>
            <w:tcW w:w="9247" w:type="dxa"/>
            <w:gridSpan w:val="6"/>
          </w:tcPr>
          <w:p w14:paraId="5F1107CB" w14:textId="77777777" w:rsidR="009A2964" w:rsidRPr="00BB50F2" w:rsidRDefault="009A2964" w:rsidP="00984608">
            <w:pPr>
              <w:pStyle w:val="Header"/>
              <w:tabs>
                <w:tab w:val="left" w:pos="7077"/>
              </w:tabs>
              <w:rPr>
                <w:rFonts w:cs="Arial"/>
              </w:rPr>
            </w:pPr>
            <w:r w:rsidRPr="00BB50F2">
              <w:rPr>
                <w:rFonts w:cs="Arial"/>
              </w:rPr>
              <w:t xml:space="preserve">xxx – Target as defined in table </w:t>
            </w:r>
            <w:proofErr w:type="gramStart"/>
            <w:r w:rsidRPr="00BB50F2">
              <w:rPr>
                <w:rFonts w:cs="Arial"/>
              </w:rPr>
              <w:t>1</w:t>
            </w:r>
            <w:proofErr w:type="gramEnd"/>
          </w:p>
          <w:p w14:paraId="2B64E125" w14:textId="36A6210A" w:rsidR="009A2964" w:rsidRPr="00BB50F2" w:rsidRDefault="009A2964" w:rsidP="00F8293A">
            <w:pPr>
              <w:pStyle w:val="Header"/>
              <w:rPr>
                <w:rFonts w:cs="Arial"/>
              </w:rPr>
            </w:pPr>
            <w:proofErr w:type="spellStart"/>
            <w:r w:rsidRPr="00BB50F2">
              <w:rPr>
                <w:rFonts w:cs="Arial"/>
              </w:rPr>
              <w:t>yyy</w:t>
            </w:r>
            <w:proofErr w:type="spellEnd"/>
            <w:r w:rsidRPr="00BB50F2">
              <w:rPr>
                <w:rFonts w:cs="Arial"/>
              </w:rPr>
              <w:t xml:space="preserve">- Minimum as defined in table </w:t>
            </w:r>
            <w:proofErr w:type="gramStart"/>
            <w:r w:rsidRPr="00BB50F2">
              <w:rPr>
                <w:rFonts w:cs="Arial"/>
              </w:rPr>
              <w:t>1</w:t>
            </w:r>
            <w:proofErr w:type="gramEnd"/>
          </w:p>
          <w:p w14:paraId="581E1F95" w14:textId="77777777" w:rsidR="009A2964" w:rsidRPr="00BB50F2" w:rsidRDefault="009A2964" w:rsidP="00F8293A">
            <w:pPr>
              <w:pStyle w:val="Header"/>
              <w:rPr>
                <w:rFonts w:cs="Arial"/>
              </w:rPr>
            </w:pPr>
          </w:p>
        </w:tc>
      </w:tr>
      <w:bookmarkEnd w:id="1682"/>
    </w:tbl>
    <w:p w14:paraId="3E9DBB57" w14:textId="77777777" w:rsidR="009A2964" w:rsidRPr="00BB50F2" w:rsidRDefault="009A2964" w:rsidP="00F8293A">
      <w:pPr>
        <w:rPr>
          <w:rFonts w:cs="Arial"/>
        </w:rPr>
      </w:pPr>
    </w:p>
    <w:p w14:paraId="4C1722A0" w14:textId="2E982ABE" w:rsidR="00CE5734" w:rsidRDefault="00CE5734">
      <w:pPr>
        <w:rPr>
          <w:rFonts w:cs="Arial"/>
        </w:rPr>
      </w:pPr>
    </w:p>
    <w:p w14:paraId="1EAC93F7" w14:textId="2A6C097C" w:rsidR="00CE5734" w:rsidRDefault="00CE5734">
      <w:pPr>
        <w:rPr>
          <w:rFonts w:cs="Arial"/>
        </w:rPr>
      </w:pPr>
      <w:r>
        <w:rPr>
          <w:rFonts w:cs="Arial"/>
        </w:rPr>
        <w:br w:type="page"/>
      </w:r>
    </w:p>
    <w:p w14:paraId="2F06D7F3" w14:textId="77777777" w:rsidR="00CE5734" w:rsidRPr="000E5786" w:rsidRDefault="00CE5734" w:rsidP="00CE5734">
      <w:pPr>
        <w:pStyle w:val="Level1"/>
        <w:keepNext/>
        <w:numPr>
          <w:ilvl w:val="0"/>
          <w:numId w:val="0"/>
        </w:numPr>
        <w:spacing w:after="120" w:line="240" w:lineRule="auto"/>
        <w:ind w:left="851"/>
        <w:jc w:val="center"/>
        <w:rPr>
          <w:rFonts w:ascii="Arial" w:hAnsi="Arial" w:cs="Arial"/>
          <w:b/>
          <w:bCs/>
        </w:rPr>
      </w:pPr>
      <w:r w:rsidRPr="000E5786">
        <w:rPr>
          <w:rFonts w:ascii="Arial" w:hAnsi="Arial" w:cs="Arial"/>
          <w:b/>
          <w:bCs/>
        </w:rPr>
        <w:lastRenderedPageBreak/>
        <w:t>SCHEDULE 2.</w:t>
      </w:r>
      <w:r>
        <w:rPr>
          <w:rFonts w:ascii="Arial" w:hAnsi="Arial" w:cs="Arial"/>
          <w:b/>
          <w:bCs/>
        </w:rPr>
        <w:t>3</w:t>
      </w:r>
    </w:p>
    <w:p w14:paraId="34974066" w14:textId="77777777" w:rsidR="00CE5734" w:rsidRPr="000E5786" w:rsidRDefault="00CE5734" w:rsidP="00CE5734">
      <w:pPr>
        <w:pStyle w:val="Level1"/>
        <w:keepNext/>
        <w:numPr>
          <w:ilvl w:val="0"/>
          <w:numId w:val="0"/>
        </w:numPr>
        <w:spacing w:after="120" w:line="240" w:lineRule="auto"/>
        <w:ind w:left="851"/>
        <w:jc w:val="center"/>
        <w:rPr>
          <w:rFonts w:ascii="Arial" w:hAnsi="Arial" w:cs="Arial"/>
          <w:b/>
          <w:bCs/>
        </w:rPr>
      </w:pPr>
      <w:r>
        <w:rPr>
          <w:rFonts w:ascii="Arial" w:hAnsi="Arial" w:cs="Arial"/>
          <w:b/>
          <w:bCs/>
        </w:rPr>
        <w:t>NOT USED</w:t>
      </w:r>
    </w:p>
    <w:p w14:paraId="11791FFA" w14:textId="6ECC7B74" w:rsidR="00CE5734" w:rsidRDefault="00CE5734">
      <w:pPr>
        <w:rPr>
          <w:rFonts w:cs="Arial"/>
        </w:rPr>
      </w:pPr>
      <w:r>
        <w:rPr>
          <w:rFonts w:cs="Arial"/>
        </w:rPr>
        <w:br w:type="page"/>
      </w:r>
    </w:p>
    <w:p w14:paraId="3A9DC00A" w14:textId="54E99D53" w:rsidR="004113D7" w:rsidRPr="000E5786" w:rsidRDefault="004113D7" w:rsidP="004113D7">
      <w:pPr>
        <w:pStyle w:val="Level1"/>
        <w:keepNext/>
        <w:numPr>
          <w:ilvl w:val="0"/>
          <w:numId w:val="0"/>
        </w:numPr>
        <w:spacing w:after="120" w:line="240" w:lineRule="auto"/>
        <w:ind w:left="851"/>
        <w:jc w:val="center"/>
        <w:rPr>
          <w:rFonts w:ascii="Arial" w:hAnsi="Arial" w:cs="Arial"/>
          <w:b/>
          <w:bCs/>
        </w:rPr>
      </w:pPr>
      <w:r w:rsidRPr="000E5786">
        <w:rPr>
          <w:rFonts w:ascii="Arial" w:hAnsi="Arial" w:cs="Arial"/>
          <w:b/>
          <w:bCs/>
        </w:rPr>
        <w:lastRenderedPageBreak/>
        <w:t>SCHEDULE 2.</w:t>
      </w:r>
      <w:r>
        <w:rPr>
          <w:rFonts w:ascii="Arial" w:hAnsi="Arial" w:cs="Arial"/>
          <w:b/>
          <w:bCs/>
        </w:rPr>
        <w:t>4</w:t>
      </w:r>
    </w:p>
    <w:p w14:paraId="50DD1FB1" w14:textId="06948F71" w:rsidR="004113D7" w:rsidRDefault="004113D7" w:rsidP="004113D7">
      <w:pPr>
        <w:pStyle w:val="Level1"/>
        <w:keepNext/>
        <w:numPr>
          <w:ilvl w:val="0"/>
          <w:numId w:val="0"/>
        </w:numPr>
        <w:spacing w:after="120" w:line="240" w:lineRule="auto"/>
        <w:ind w:left="851"/>
        <w:jc w:val="center"/>
        <w:rPr>
          <w:rFonts w:ascii="Arial" w:hAnsi="Arial" w:cs="Arial"/>
          <w:b/>
          <w:bCs/>
        </w:rPr>
      </w:pPr>
      <w:r>
        <w:rPr>
          <w:rFonts w:ascii="Arial" w:hAnsi="Arial" w:cs="Arial"/>
          <w:b/>
          <w:bCs/>
        </w:rPr>
        <w:t xml:space="preserve">STANDARDS AND POLICIES </w:t>
      </w:r>
    </w:p>
    <w:p w14:paraId="4B75C13B" w14:textId="77777777" w:rsidR="00D92DF8" w:rsidRPr="00D92DF8" w:rsidRDefault="00D92DF8" w:rsidP="009D675B">
      <w:pPr>
        <w:pStyle w:val="Level1"/>
        <w:numPr>
          <w:ilvl w:val="0"/>
          <w:numId w:val="79"/>
        </w:numPr>
        <w:tabs>
          <w:tab w:val="clear" w:pos="2411"/>
        </w:tabs>
        <w:spacing w:after="120" w:line="240" w:lineRule="auto"/>
        <w:ind w:left="851"/>
        <w:jc w:val="left"/>
        <w:rPr>
          <w:rFonts w:ascii="Arial" w:hAnsi="Arial" w:cs="Arial"/>
          <w:b/>
          <w:bCs/>
        </w:rPr>
      </w:pPr>
      <w:r w:rsidRPr="00D92DF8">
        <w:rPr>
          <w:rFonts w:ascii="Arial" w:hAnsi="Arial" w:cs="Arial"/>
          <w:b/>
          <w:bCs/>
        </w:rPr>
        <w:t>STANDARDS AND POLICIES</w:t>
      </w:r>
    </w:p>
    <w:p w14:paraId="7F82E4BF" w14:textId="5CF93ADB" w:rsidR="00D92DF8" w:rsidRPr="00A23784" w:rsidRDefault="001F1C19" w:rsidP="00D92DF8">
      <w:pPr>
        <w:pStyle w:val="Level2"/>
        <w:tabs>
          <w:tab w:val="clear" w:pos="1135"/>
          <w:tab w:val="num" w:pos="851"/>
        </w:tabs>
        <w:spacing w:after="120" w:line="240" w:lineRule="auto"/>
        <w:ind w:left="851"/>
        <w:jc w:val="left"/>
        <w:rPr>
          <w:rFonts w:ascii="Arial" w:hAnsi="Arial" w:cs="Arial"/>
        </w:rPr>
      </w:pPr>
      <w:proofErr w:type="spellStart"/>
      <w:r>
        <w:rPr>
          <w:rFonts w:ascii="Arial" w:hAnsi="Arial" w:cs="Arial"/>
        </w:rPr>
        <w:t>Netlink</w:t>
      </w:r>
      <w:proofErr w:type="spellEnd"/>
      <w:r>
        <w:rPr>
          <w:rFonts w:ascii="Arial" w:hAnsi="Arial" w:cs="Arial"/>
        </w:rPr>
        <w:t xml:space="preserve"> Star</w:t>
      </w:r>
      <w:r w:rsidR="00D92DF8" w:rsidRPr="00A23784">
        <w:rPr>
          <w:rFonts w:ascii="Arial" w:hAnsi="Arial" w:cs="Arial"/>
        </w:rPr>
        <w:t xml:space="preserve"> and Supplier shall comply with the Policies (as defined below).</w:t>
      </w:r>
    </w:p>
    <w:p w14:paraId="5B8E7E4D" w14:textId="77777777" w:rsidR="00D92DF8" w:rsidRPr="00A23784" w:rsidRDefault="00D92DF8" w:rsidP="00D92DF8">
      <w:pPr>
        <w:pStyle w:val="Level2"/>
        <w:tabs>
          <w:tab w:val="clear" w:pos="1135"/>
          <w:tab w:val="num" w:pos="851"/>
        </w:tabs>
        <w:spacing w:after="120" w:line="240" w:lineRule="auto"/>
        <w:ind w:left="851"/>
        <w:rPr>
          <w:rFonts w:ascii="Arial" w:hAnsi="Arial" w:cs="Arial"/>
        </w:rPr>
      </w:pPr>
      <w:r w:rsidRPr="00F820EA">
        <w:rPr>
          <w:rFonts w:ascii="Arial" w:hAnsi="Arial" w:cs="Arial"/>
        </w:rPr>
        <w:t>The Supplier shall monitor the Standards Portal for any updates to the Policies as listed under the latest publications tab in the Standards Portal</w:t>
      </w:r>
      <w:r>
        <w:rPr>
          <w:rFonts w:ascii="Arial" w:hAnsi="Arial" w:cs="Arial"/>
        </w:rPr>
        <w:t>.</w:t>
      </w:r>
      <w:r w:rsidRPr="00F820EA">
        <w:rPr>
          <w:rFonts w:ascii="Arial" w:hAnsi="Arial" w:cs="Arial"/>
        </w:rPr>
        <w:t xml:space="preserve"> </w:t>
      </w:r>
      <w:r>
        <w:rPr>
          <w:rFonts w:ascii="Arial" w:hAnsi="Arial" w:cs="Arial"/>
        </w:rPr>
        <w:t>S</w:t>
      </w:r>
      <w:r w:rsidRPr="00F820EA">
        <w:rPr>
          <w:rFonts w:ascii="Arial" w:hAnsi="Arial" w:cs="Arial"/>
        </w:rPr>
        <w:t xml:space="preserve">uch updated versions </w:t>
      </w:r>
      <w:r>
        <w:rPr>
          <w:rFonts w:ascii="Arial" w:hAnsi="Arial" w:cs="Arial"/>
        </w:rPr>
        <w:t>shall</w:t>
      </w:r>
      <w:r w:rsidRPr="00F820EA">
        <w:rPr>
          <w:rFonts w:ascii="Arial" w:hAnsi="Arial" w:cs="Arial"/>
        </w:rPr>
        <w:t xml:space="preserve"> be applicable from their addition into the Standards Portal except where such updates constitute a Change and are subject to the Change Control Procedure</w:t>
      </w:r>
      <w:r>
        <w:rPr>
          <w:rFonts w:ascii="Arial" w:hAnsi="Arial" w:cs="Arial"/>
        </w:rPr>
        <w:t>.</w:t>
      </w:r>
    </w:p>
    <w:p w14:paraId="04904730" w14:textId="77777777" w:rsidR="00D92DF8" w:rsidRPr="00A23784" w:rsidRDefault="00D92DF8" w:rsidP="00D92DF8">
      <w:pPr>
        <w:pStyle w:val="Level1"/>
        <w:tabs>
          <w:tab w:val="clear" w:pos="2411"/>
          <w:tab w:val="num" w:pos="851"/>
        </w:tabs>
        <w:spacing w:after="120" w:line="240" w:lineRule="auto"/>
        <w:ind w:left="851"/>
        <w:jc w:val="left"/>
        <w:rPr>
          <w:rFonts w:ascii="Arial" w:hAnsi="Arial" w:cs="Arial"/>
        </w:rPr>
      </w:pPr>
      <w:r w:rsidRPr="00A23784">
        <w:rPr>
          <w:rFonts w:ascii="Arial" w:hAnsi="Arial" w:cs="Arial"/>
          <w:b/>
          <w:bCs/>
        </w:rPr>
        <w:t>DEFINITIONS</w:t>
      </w:r>
    </w:p>
    <w:p w14:paraId="2E07AF8A" w14:textId="77777777" w:rsidR="00D92DF8" w:rsidRPr="00A23784" w:rsidRDefault="00D92DF8" w:rsidP="00D92DF8">
      <w:pPr>
        <w:pStyle w:val="Level2"/>
        <w:tabs>
          <w:tab w:val="clear" w:pos="1135"/>
          <w:tab w:val="num" w:pos="851"/>
        </w:tabs>
        <w:spacing w:after="120" w:line="240" w:lineRule="auto"/>
        <w:ind w:left="851"/>
        <w:jc w:val="left"/>
        <w:rPr>
          <w:rFonts w:ascii="Arial" w:hAnsi="Arial" w:cs="Arial"/>
        </w:rPr>
      </w:pPr>
      <w:r w:rsidRPr="00A23784">
        <w:rPr>
          <w:rFonts w:ascii="Arial" w:hAnsi="Arial" w:cs="Arial"/>
        </w:rPr>
        <w:t>“</w:t>
      </w:r>
      <w:r w:rsidRPr="00A23784">
        <w:rPr>
          <w:rFonts w:ascii="Arial" w:hAnsi="Arial" w:cs="Arial"/>
          <w:b/>
          <w:bCs/>
        </w:rPr>
        <w:t>Policies</w:t>
      </w:r>
      <w:r w:rsidRPr="00A23784">
        <w:rPr>
          <w:rFonts w:ascii="Arial" w:hAnsi="Arial" w:cs="Arial"/>
        </w:rPr>
        <w:t>” means:</w:t>
      </w:r>
    </w:p>
    <w:p w14:paraId="77E61653" w14:textId="6053D17A" w:rsidR="00D92DF8" w:rsidRPr="00A23784" w:rsidRDefault="00D92DF8" w:rsidP="00D92DF8">
      <w:pPr>
        <w:pStyle w:val="Level3"/>
        <w:spacing w:line="240" w:lineRule="auto"/>
        <w:jc w:val="left"/>
        <w:rPr>
          <w:rStyle w:val="Hyperlink"/>
          <w:rFonts w:ascii="Arial" w:hAnsi="Arial" w:cs="Arial"/>
        </w:rPr>
      </w:pPr>
      <w:r w:rsidRPr="00A23784">
        <w:rPr>
          <w:rFonts w:ascii="Arial" w:hAnsi="Arial" w:cs="Arial"/>
        </w:rPr>
        <w:t xml:space="preserve">each of </w:t>
      </w:r>
      <w:proofErr w:type="spellStart"/>
      <w:r w:rsidR="001F1C19">
        <w:rPr>
          <w:rFonts w:ascii="Arial" w:hAnsi="Arial" w:cs="Arial"/>
        </w:rPr>
        <w:t>Netlink</w:t>
      </w:r>
      <w:proofErr w:type="spellEnd"/>
      <w:r w:rsidR="001F1C19">
        <w:rPr>
          <w:rFonts w:ascii="Arial" w:hAnsi="Arial" w:cs="Arial"/>
        </w:rPr>
        <w:t xml:space="preserve"> Star</w:t>
      </w:r>
      <w:r w:rsidRPr="00A23784">
        <w:rPr>
          <w:rFonts w:ascii="Arial" w:hAnsi="Arial" w:cs="Arial"/>
        </w:rPr>
        <w:t>’s standards and policies (as updated from time to time in accordance with Paragraph 1.2) included in NR/CAT/STP/001 (defined below) and available via the Standards Portal (defined below); and</w:t>
      </w:r>
    </w:p>
    <w:p w14:paraId="50F35C25" w14:textId="77777777" w:rsidR="00D92DF8" w:rsidRPr="00A23784" w:rsidRDefault="00D92DF8" w:rsidP="00D92DF8">
      <w:pPr>
        <w:pStyle w:val="Level3"/>
        <w:spacing w:line="240" w:lineRule="auto"/>
        <w:jc w:val="left"/>
        <w:rPr>
          <w:rFonts w:ascii="Arial" w:hAnsi="Arial" w:cs="Arial"/>
        </w:rPr>
      </w:pPr>
      <w:r w:rsidRPr="00A23784">
        <w:rPr>
          <w:rFonts w:ascii="Arial" w:hAnsi="Arial" w:cs="Arial"/>
        </w:rPr>
        <w:t>each of the policies and standards set out in Paragraph 3.</w:t>
      </w:r>
    </w:p>
    <w:p w14:paraId="2322EA29" w14:textId="0A982F75" w:rsidR="00D92DF8" w:rsidRPr="00A23784" w:rsidRDefault="00D92DF8" w:rsidP="00D92DF8">
      <w:pPr>
        <w:pStyle w:val="Level2"/>
        <w:tabs>
          <w:tab w:val="clear" w:pos="1135"/>
          <w:tab w:val="num" w:pos="851"/>
        </w:tabs>
        <w:spacing w:after="120" w:line="240" w:lineRule="auto"/>
        <w:ind w:left="851"/>
        <w:jc w:val="left"/>
        <w:rPr>
          <w:rFonts w:ascii="Arial" w:hAnsi="Arial" w:cs="Arial"/>
        </w:rPr>
      </w:pPr>
      <w:r w:rsidRPr="00A23784">
        <w:rPr>
          <w:rFonts w:ascii="Arial" w:hAnsi="Arial" w:cs="Arial"/>
        </w:rPr>
        <w:t>“</w:t>
      </w:r>
      <w:r w:rsidRPr="00A23784">
        <w:rPr>
          <w:rFonts w:ascii="Arial" w:hAnsi="Arial" w:cs="Arial"/>
          <w:b/>
          <w:bCs/>
        </w:rPr>
        <w:t>NR/CAT/STP/001</w:t>
      </w:r>
      <w:r w:rsidRPr="00A23784">
        <w:rPr>
          <w:rFonts w:ascii="Arial" w:hAnsi="Arial" w:cs="Arial"/>
        </w:rPr>
        <w:t xml:space="preserve">” means the catalogue of </w:t>
      </w:r>
      <w:proofErr w:type="spellStart"/>
      <w:r w:rsidR="001F1C19">
        <w:rPr>
          <w:rFonts w:ascii="Arial" w:hAnsi="Arial" w:cs="Arial"/>
        </w:rPr>
        <w:t>Netlink</w:t>
      </w:r>
      <w:proofErr w:type="spellEnd"/>
      <w:r w:rsidR="001F1C19">
        <w:rPr>
          <w:rFonts w:ascii="Arial" w:hAnsi="Arial" w:cs="Arial"/>
        </w:rPr>
        <w:t xml:space="preserve"> Star</w:t>
      </w:r>
      <w:r w:rsidRPr="00A23784">
        <w:rPr>
          <w:rFonts w:ascii="Arial" w:hAnsi="Arial" w:cs="Arial"/>
        </w:rPr>
        <w:t>’s standards and policies (as updated from time to time in accordance with Paragraph 1.2) are available via the Standards Portal.</w:t>
      </w:r>
    </w:p>
    <w:p w14:paraId="0D7DDDE5" w14:textId="4F4396CB" w:rsidR="00D92DF8" w:rsidRPr="00A23784" w:rsidRDefault="00D92DF8" w:rsidP="00D92DF8">
      <w:pPr>
        <w:pStyle w:val="Level2"/>
        <w:tabs>
          <w:tab w:val="clear" w:pos="1135"/>
          <w:tab w:val="num" w:pos="851"/>
        </w:tabs>
        <w:spacing w:after="120" w:line="240" w:lineRule="auto"/>
        <w:ind w:left="851"/>
        <w:jc w:val="left"/>
        <w:rPr>
          <w:rFonts w:ascii="Arial" w:hAnsi="Arial" w:cs="Arial"/>
        </w:rPr>
      </w:pPr>
      <w:r w:rsidRPr="00A23784">
        <w:rPr>
          <w:rFonts w:ascii="Arial" w:hAnsi="Arial" w:cs="Arial"/>
        </w:rPr>
        <w:t>“</w:t>
      </w:r>
      <w:r w:rsidRPr="00A23784">
        <w:rPr>
          <w:rFonts w:ascii="Arial" w:hAnsi="Arial" w:cs="Arial"/>
          <w:b/>
          <w:bCs/>
        </w:rPr>
        <w:t>Standards Portal</w:t>
      </w:r>
      <w:r w:rsidRPr="00A23784">
        <w:rPr>
          <w:rFonts w:ascii="Arial" w:hAnsi="Arial" w:cs="Arial"/>
        </w:rPr>
        <w:t xml:space="preserve">” means </w:t>
      </w:r>
      <w:proofErr w:type="spellStart"/>
      <w:r w:rsidR="001F1C19">
        <w:rPr>
          <w:rFonts w:ascii="Arial" w:hAnsi="Arial" w:cs="Arial"/>
        </w:rPr>
        <w:t>Netlink</w:t>
      </w:r>
      <w:proofErr w:type="spellEnd"/>
      <w:r w:rsidR="001F1C19">
        <w:rPr>
          <w:rFonts w:ascii="Arial" w:hAnsi="Arial" w:cs="Arial"/>
        </w:rPr>
        <w:t xml:space="preserve"> Star</w:t>
      </w:r>
      <w:r w:rsidRPr="00A23784">
        <w:rPr>
          <w:rFonts w:ascii="Arial" w:hAnsi="Arial" w:cs="Arial"/>
        </w:rPr>
        <w:t xml:space="preserve">’s portal for </w:t>
      </w:r>
      <w:proofErr w:type="spellStart"/>
      <w:r w:rsidR="001F1C19">
        <w:rPr>
          <w:rFonts w:ascii="Arial" w:hAnsi="Arial" w:cs="Arial"/>
        </w:rPr>
        <w:t>Netlink</w:t>
      </w:r>
      <w:proofErr w:type="spellEnd"/>
      <w:r w:rsidR="001F1C19">
        <w:rPr>
          <w:rFonts w:ascii="Arial" w:hAnsi="Arial" w:cs="Arial"/>
        </w:rPr>
        <w:t xml:space="preserve"> Star</w:t>
      </w:r>
      <w:r w:rsidRPr="00A23784">
        <w:rPr>
          <w:rFonts w:ascii="Arial" w:hAnsi="Arial" w:cs="Arial"/>
        </w:rPr>
        <w:t xml:space="preserve"> policies at </w:t>
      </w:r>
      <w:hyperlink r:id="rId31" w:history="1">
        <w:r w:rsidRPr="00A23784">
          <w:rPr>
            <w:rStyle w:val="Hyperlink"/>
            <w:rFonts w:ascii="Arial" w:hAnsi="Arial" w:cs="Arial"/>
          </w:rPr>
          <w:t>https://global.ihs.com/csf_home.cfm?&amp;csf=NR</w:t>
        </w:r>
      </w:hyperlink>
      <w:r>
        <w:rPr>
          <w:rStyle w:val="Hyperlink"/>
          <w:rFonts w:ascii="Arial" w:hAnsi="Arial" w:cs="Arial"/>
        </w:rPr>
        <w:t xml:space="preserve"> or otherwise as notified by </w:t>
      </w:r>
      <w:proofErr w:type="spellStart"/>
      <w:r w:rsidR="001F1C19">
        <w:rPr>
          <w:rStyle w:val="Hyperlink"/>
          <w:rFonts w:ascii="Arial" w:hAnsi="Arial" w:cs="Arial"/>
        </w:rPr>
        <w:t>Netlink</w:t>
      </w:r>
      <w:proofErr w:type="spellEnd"/>
      <w:r w:rsidR="001F1C19">
        <w:rPr>
          <w:rStyle w:val="Hyperlink"/>
          <w:rFonts w:ascii="Arial" w:hAnsi="Arial" w:cs="Arial"/>
        </w:rPr>
        <w:t xml:space="preserve"> Star</w:t>
      </w:r>
      <w:r>
        <w:rPr>
          <w:rStyle w:val="Hyperlink"/>
          <w:rFonts w:ascii="Arial" w:hAnsi="Arial" w:cs="Arial"/>
        </w:rPr>
        <w:t xml:space="preserve"> to the Supplier from time to time</w:t>
      </w:r>
      <w:r w:rsidRPr="00A23784">
        <w:rPr>
          <w:rFonts w:ascii="Arial" w:hAnsi="Arial" w:cs="Arial"/>
        </w:rPr>
        <w:t>.</w:t>
      </w:r>
    </w:p>
    <w:p w14:paraId="30B65A1B" w14:textId="77777777" w:rsidR="00D92DF8" w:rsidRPr="00A23784" w:rsidRDefault="00D92DF8" w:rsidP="00D92DF8">
      <w:pPr>
        <w:pStyle w:val="Level1"/>
        <w:tabs>
          <w:tab w:val="clear" w:pos="2411"/>
          <w:tab w:val="num" w:pos="851"/>
        </w:tabs>
        <w:spacing w:after="120" w:line="240" w:lineRule="auto"/>
        <w:ind w:left="851"/>
        <w:jc w:val="left"/>
        <w:rPr>
          <w:rFonts w:ascii="Arial" w:hAnsi="Arial" w:cs="Arial"/>
          <w:b/>
          <w:bCs/>
        </w:rPr>
      </w:pPr>
      <w:r w:rsidRPr="00A23784">
        <w:rPr>
          <w:rFonts w:ascii="Arial" w:hAnsi="Arial" w:cs="Arial"/>
          <w:b/>
          <w:bCs/>
        </w:rPr>
        <w:t>INITIAL</w:t>
      </w:r>
      <w:r w:rsidRPr="00A23784">
        <w:rPr>
          <w:rFonts w:ascii="Arial" w:hAnsi="Arial" w:cs="Arial"/>
        </w:rPr>
        <w:t xml:space="preserve"> </w:t>
      </w:r>
      <w:r w:rsidRPr="00A23784">
        <w:rPr>
          <w:rFonts w:ascii="Arial" w:hAnsi="Arial" w:cs="Arial"/>
          <w:b/>
          <w:bCs/>
        </w:rPr>
        <w:t>TRANSITION PROJECT</w:t>
      </w:r>
    </w:p>
    <w:p w14:paraId="5EAB9553" w14:textId="77777777" w:rsidR="00D92DF8" w:rsidRPr="00A23784" w:rsidRDefault="00D92DF8" w:rsidP="00D92DF8">
      <w:pPr>
        <w:pStyle w:val="Level2"/>
        <w:tabs>
          <w:tab w:val="clear" w:pos="1135"/>
          <w:tab w:val="num" w:pos="851"/>
        </w:tabs>
        <w:spacing w:after="120" w:line="240" w:lineRule="auto"/>
        <w:ind w:left="851"/>
        <w:jc w:val="left"/>
        <w:rPr>
          <w:rFonts w:ascii="Arial" w:hAnsi="Arial" w:cs="Arial"/>
        </w:rPr>
      </w:pPr>
      <w:r w:rsidRPr="00A23784">
        <w:rPr>
          <w:rFonts w:ascii="Arial" w:hAnsi="Arial" w:cs="Arial"/>
        </w:rPr>
        <w:t>The following standards and policies shall be made available to the Supplier at the commencement of the Transition Project (via the Standards Portal):</w:t>
      </w:r>
    </w:p>
    <w:tbl>
      <w:tblPr>
        <w:tblStyle w:val="TableGrid0"/>
        <w:tblW w:w="0" w:type="auto"/>
        <w:tblInd w:w="846" w:type="dxa"/>
        <w:tblLayout w:type="fixed"/>
        <w:tblLook w:val="04A0" w:firstRow="1" w:lastRow="0" w:firstColumn="1" w:lastColumn="0" w:noHBand="0" w:noVBand="1"/>
      </w:tblPr>
      <w:tblGrid>
        <w:gridCol w:w="2977"/>
        <w:gridCol w:w="3402"/>
        <w:gridCol w:w="1836"/>
      </w:tblGrid>
      <w:tr w:rsidR="00D92DF8" w:rsidRPr="00D92DF8" w14:paraId="7EBA9285" w14:textId="77777777" w:rsidTr="009C4051">
        <w:tc>
          <w:tcPr>
            <w:tcW w:w="2977" w:type="dxa"/>
            <w:hideMark/>
          </w:tcPr>
          <w:p w14:paraId="778C70FC" w14:textId="77777777" w:rsidR="00D92DF8" w:rsidRPr="00D92DF8" w:rsidRDefault="00D92DF8" w:rsidP="009402CF">
            <w:pPr>
              <w:jc w:val="center"/>
              <w:rPr>
                <w:rFonts w:ascii="Arial" w:hAnsi="Arial" w:cs="Arial"/>
                <w:sz w:val="20"/>
                <w:szCs w:val="20"/>
              </w:rPr>
            </w:pPr>
            <w:r w:rsidRPr="00D92DF8">
              <w:rPr>
                <w:rFonts w:ascii="Arial" w:hAnsi="Arial" w:cs="Arial"/>
                <w:sz w:val="20"/>
                <w:szCs w:val="20"/>
              </w:rPr>
              <w:t xml:space="preserve">           Standard No.</w:t>
            </w:r>
          </w:p>
        </w:tc>
        <w:tc>
          <w:tcPr>
            <w:tcW w:w="3402" w:type="dxa"/>
            <w:hideMark/>
          </w:tcPr>
          <w:p w14:paraId="61D75999" w14:textId="77777777" w:rsidR="00D92DF8" w:rsidRPr="00D92DF8" w:rsidRDefault="00D92DF8" w:rsidP="009402CF">
            <w:pPr>
              <w:rPr>
                <w:rFonts w:ascii="Arial" w:hAnsi="Arial" w:cs="Arial"/>
                <w:sz w:val="20"/>
                <w:szCs w:val="20"/>
              </w:rPr>
            </w:pPr>
            <w:r w:rsidRPr="00D92DF8">
              <w:rPr>
                <w:rFonts w:ascii="Arial" w:hAnsi="Arial" w:cs="Arial"/>
                <w:sz w:val="20"/>
                <w:szCs w:val="20"/>
              </w:rPr>
              <w:t>Title</w:t>
            </w:r>
          </w:p>
        </w:tc>
        <w:tc>
          <w:tcPr>
            <w:tcW w:w="1836" w:type="dxa"/>
            <w:hideMark/>
          </w:tcPr>
          <w:p w14:paraId="1D952BB5" w14:textId="77777777" w:rsidR="00D92DF8" w:rsidRPr="00D92DF8" w:rsidRDefault="00D92DF8" w:rsidP="009402CF">
            <w:pPr>
              <w:rPr>
                <w:rFonts w:ascii="Arial" w:hAnsi="Arial" w:cs="Arial"/>
                <w:sz w:val="20"/>
                <w:szCs w:val="20"/>
              </w:rPr>
            </w:pPr>
            <w:r w:rsidRPr="00D92DF8">
              <w:rPr>
                <w:rFonts w:ascii="Arial" w:hAnsi="Arial" w:cs="Arial"/>
                <w:sz w:val="20"/>
                <w:szCs w:val="20"/>
              </w:rPr>
              <w:t>Issue/Date</w:t>
            </w:r>
          </w:p>
        </w:tc>
      </w:tr>
      <w:tr w:rsidR="00D92DF8" w:rsidRPr="00D92DF8" w14:paraId="1E724FCC" w14:textId="77777777" w:rsidTr="009C4051">
        <w:tc>
          <w:tcPr>
            <w:tcW w:w="2977" w:type="dxa"/>
            <w:hideMark/>
          </w:tcPr>
          <w:p w14:paraId="5693FB5D"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N2/L2/TEL/30182</w:t>
            </w:r>
          </w:p>
        </w:tc>
        <w:tc>
          <w:tcPr>
            <w:tcW w:w="3402" w:type="dxa"/>
            <w:hideMark/>
          </w:tcPr>
          <w:p w14:paraId="061F1327" w14:textId="6EFCC634" w:rsidR="00D92DF8" w:rsidRPr="00D92DF8" w:rsidRDefault="00D92DF8" w:rsidP="009402CF">
            <w:pPr>
              <w:rPr>
                <w:rFonts w:ascii="Arial" w:hAnsi="Arial" w:cs="Arial"/>
                <w:sz w:val="20"/>
                <w:szCs w:val="20"/>
              </w:rPr>
            </w:pPr>
            <w:r w:rsidRPr="00D92DF8">
              <w:rPr>
                <w:rFonts w:ascii="Arial" w:hAnsi="Arial" w:cs="Arial"/>
                <w:sz w:val="20"/>
                <w:szCs w:val="20"/>
              </w:rPr>
              <w:t xml:space="preserve">Specification for secure configuration and management of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sidRPr="00D92DF8">
              <w:rPr>
                <w:rFonts w:ascii="Arial" w:hAnsi="Arial" w:cs="Arial"/>
                <w:sz w:val="20"/>
                <w:szCs w:val="20"/>
              </w:rPr>
              <w:t xml:space="preserve"> telecom internet protocol (IP) networks</w:t>
            </w:r>
          </w:p>
        </w:tc>
        <w:tc>
          <w:tcPr>
            <w:tcW w:w="1836" w:type="dxa"/>
            <w:hideMark/>
          </w:tcPr>
          <w:p w14:paraId="712E7603" w14:textId="77777777" w:rsidR="00D92DF8" w:rsidRPr="00D92DF8" w:rsidRDefault="00D92DF8" w:rsidP="009402CF">
            <w:pPr>
              <w:rPr>
                <w:rFonts w:ascii="Arial" w:hAnsi="Arial" w:cs="Arial"/>
                <w:sz w:val="20"/>
                <w:szCs w:val="20"/>
              </w:rPr>
            </w:pPr>
            <w:r w:rsidRPr="00D92DF8">
              <w:rPr>
                <w:rFonts w:ascii="Arial" w:hAnsi="Arial" w:cs="Arial"/>
                <w:sz w:val="20"/>
                <w:szCs w:val="20"/>
              </w:rPr>
              <w:t>Issue 1 – 04/03/2017</w:t>
            </w:r>
          </w:p>
        </w:tc>
      </w:tr>
      <w:tr w:rsidR="00D92DF8" w:rsidRPr="00D92DF8" w14:paraId="4FF956C0" w14:textId="77777777" w:rsidTr="009C4051">
        <w:tc>
          <w:tcPr>
            <w:tcW w:w="2977" w:type="dxa"/>
          </w:tcPr>
          <w:p w14:paraId="226BFE95"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NR/L3/TEL/0023</w:t>
            </w:r>
          </w:p>
        </w:tc>
        <w:tc>
          <w:tcPr>
            <w:tcW w:w="3402" w:type="dxa"/>
          </w:tcPr>
          <w:p w14:paraId="241259D2" w14:textId="77777777" w:rsidR="00D92DF8" w:rsidRPr="00D92DF8" w:rsidRDefault="00D92DF8" w:rsidP="009402CF">
            <w:pPr>
              <w:rPr>
                <w:rFonts w:ascii="Arial" w:hAnsi="Arial" w:cs="Arial"/>
                <w:sz w:val="20"/>
                <w:szCs w:val="20"/>
              </w:rPr>
            </w:pPr>
            <w:r w:rsidRPr="00D92DF8">
              <w:rPr>
                <w:rFonts w:ascii="Arial" w:hAnsi="Arial" w:cs="Arial"/>
                <w:sz w:val="20"/>
                <w:szCs w:val="20"/>
              </w:rPr>
              <w:t>Management of SINCS Records for Telecom Assets</w:t>
            </w:r>
          </w:p>
        </w:tc>
        <w:tc>
          <w:tcPr>
            <w:tcW w:w="1836" w:type="dxa"/>
          </w:tcPr>
          <w:p w14:paraId="6F0C8FE6" w14:textId="77777777" w:rsidR="00D92DF8" w:rsidRPr="00D92DF8" w:rsidRDefault="00D92DF8" w:rsidP="009402CF">
            <w:pPr>
              <w:rPr>
                <w:rFonts w:ascii="Arial" w:hAnsi="Arial" w:cs="Arial"/>
                <w:sz w:val="20"/>
                <w:szCs w:val="20"/>
              </w:rPr>
            </w:pPr>
          </w:p>
        </w:tc>
      </w:tr>
      <w:tr w:rsidR="00D92DF8" w:rsidRPr="00D92DF8" w14:paraId="4467E58F" w14:textId="77777777" w:rsidTr="009C4051">
        <w:trPr>
          <w:trHeight w:val="750"/>
        </w:trPr>
        <w:tc>
          <w:tcPr>
            <w:tcW w:w="2977" w:type="dxa"/>
          </w:tcPr>
          <w:p w14:paraId="2B81E8AE"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NR/SP/TEL/30024</w:t>
            </w:r>
          </w:p>
        </w:tc>
        <w:tc>
          <w:tcPr>
            <w:tcW w:w="3402" w:type="dxa"/>
          </w:tcPr>
          <w:p w14:paraId="31C82863" w14:textId="77777777" w:rsidR="00D92DF8" w:rsidRPr="00D92DF8" w:rsidRDefault="00D92DF8" w:rsidP="009402CF">
            <w:pPr>
              <w:rPr>
                <w:rFonts w:ascii="Arial" w:hAnsi="Arial" w:cs="Arial"/>
                <w:sz w:val="20"/>
                <w:szCs w:val="20"/>
              </w:rPr>
            </w:pPr>
            <w:r w:rsidRPr="00D92DF8">
              <w:rPr>
                <w:rFonts w:ascii="Arial" w:hAnsi="Arial" w:cs="Arial"/>
                <w:sz w:val="20"/>
                <w:szCs w:val="20"/>
              </w:rPr>
              <w:t>Fault Priority and Response Times for Telecom Equipment</w:t>
            </w:r>
          </w:p>
        </w:tc>
        <w:tc>
          <w:tcPr>
            <w:tcW w:w="1836" w:type="dxa"/>
          </w:tcPr>
          <w:p w14:paraId="66C23B40" w14:textId="77777777" w:rsidR="00D92DF8" w:rsidRPr="00D92DF8" w:rsidRDefault="00D92DF8" w:rsidP="009402CF">
            <w:pPr>
              <w:rPr>
                <w:rFonts w:ascii="Arial" w:hAnsi="Arial" w:cs="Arial"/>
                <w:sz w:val="20"/>
                <w:szCs w:val="20"/>
              </w:rPr>
            </w:pPr>
          </w:p>
        </w:tc>
      </w:tr>
      <w:tr w:rsidR="00D92DF8" w:rsidRPr="00D92DF8" w14:paraId="5E88EC69" w14:textId="77777777" w:rsidTr="009C4051">
        <w:tc>
          <w:tcPr>
            <w:tcW w:w="2977" w:type="dxa"/>
          </w:tcPr>
          <w:p w14:paraId="60DE7A96"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NR/L2/SIG/10047</w:t>
            </w:r>
          </w:p>
        </w:tc>
        <w:tc>
          <w:tcPr>
            <w:tcW w:w="3402" w:type="dxa"/>
          </w:tcPr>
          <w:p w14:paraId="5211ABF3" w14:textId="77777777" w:rsidR="00D92DF8" w:rsidRPr="00D92DF8" w:rsidRDefault="00D92DF8" w:rsidP="009402CF">
            <w:pPr>
              <w:rPr>
                <w:rFonts w:ascii="Arial" w:hAnsi="Arial" w:cs="Arial"/>
                <w:sz w:val="20"/>
                <w:szCs w:val="20"/>
              </w:rPr>
            </w:pPr>
            <w:r w:rsidRPr="00D92DF8">
              <w:rPr>
                <w:rFonts w:ascii="Arial" w:hAnsi="Arial" w:cs="Arial"/>
                <w:sz w:val="20"/>
                <w:szCs w:val="20"/>
              </w:rPr>
              <w:t>Management of Safety Related Reports for Signalling &amp; Telecoms Failures</w:t>
            </w:r>
          </w:p>
        </w:tc>
        <w:tc>
          <w:tcPr>
            <w:tcW w:w="1836" w:type="dxa"/>
          </w:tcPr>
          <w:p w14:paraId="0AFE72DB" w14:textId="77777777" w:rsidR="00D92DF8" w:rsidRPr="00D92DF8" w:rsidRDefault="00D92DF8" w:rsidP="009402CF">
            <w:pPr>
              <w:rPr>
                <w:rFonts w:ascii="Arial" w:hAnsi="Arial" w:cs="Arial"/>
                <w:sz w:val="20"/>
                <w:szCs w:val="20"/>
              </w:rPr>
            </w:pPr>
          </w:p>
        </w:tc>
      </w:tr>
      <w:tr w:rsidR="00D92DF8" w:rsidRPr="00D92DF8" w14:paraId="3BEEA222" w14:textId="77777777" w:rsidTr="009C4051">
        <w:tc>
          <w:tcPr>
            <w:tcW w:w="2977" w:type="dxa"/>
          </w:tcPr>
          <w:p w14:paraId="45E26278"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NR/L2/TEL/31001</w:t>
            </w:r>
          </w:p>
        </w:tc>
        <w:tc>
          <w:tcPr>
            <w:tcW w:w="3402" w:type="dxa"/>
          </w:tcPr>
          <w:p w14:paraId="18E865C5" w14:textId="77777777" w:rsidR="00D92DF8" w:rsidRPr="00D92DF8" w:rsidRDefault="00D92DF8" w:rsidP="009402CF">
            <w:pPr>
              <w:rPr>
                <w:rFonts w:ascii="Arial" w:hAnsi="Arial" w:cs="Arial"/>
                <w:sz w:val="20"/>
                <w:szCs w:val="20"/>
              </w:rPr>
            </w:pPr>
            <w:r w:rsidRPr="00D92DF8">
              <w:rPr>
                <w:rFonts w:ascii="Arial" w:hAnsi="Arial" w:cs="Arial"/>
                <w:sz w:val="20"/>
                <w:szCs w:val="20"/>
              </w:rPr>
              <w:t>Operational Telecoms – Maintenance Testing &amp; Failure Investigation Process</w:t>
            </w:r>
          </w:p>
        </w:tc>
        <w:tc>
          <w:tcPr>
            <w:tcW w:w="1836" w:type="dxa"/>
          </w:tcPr>
          <w:p w14:paraId="2694F7AE" w14:textId="77777777" w:rsidR="00D92DF8" w:rsidRPr="00D92DF8" w:rsidRDefault="00D92DF8" w:rsidP="009402CF">
            <w:pPr>
              <w:rPr>
                <w:rFonts w:ascii="Arial" w:hAnsi="Arial" w:cs="Arial"/>
                <w:sz w:val="20"/>
                <w:szCs w:val="20"/>
              </w:rPr>
            </w:pPr>
          </w:p>
        </w:tc>
      </w:tr>
      <w:tr w:rsidR="00D92DF8" w:rsidRPr="00D92DF8" w14:paraId="48464629" w14:textId="77777777" w:rsidTr="009C4051">
        <w:tc>
          <w:tcPr>
            <w:tcW w:w="2977" w:type="dxa"/>
          </w:tcPr>
          <w:p w14:paraId="4CCEB69C"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NR/L3/CTM/306</w:t>
            </w:r>
          </w:p>
        </w:tc>
        <w:tc>
          <w:tcPr>
            <w:tcW w:w="3402" w:type="dxa"/>
          </w:tcPr>
          <w:p w14:paraId="31406AB8" w14:textId="77777777" w:rsidR="00D92DF8" w:rsidRPr="00D92DF8" w:rsidRDefault="00D92DF8" w:rsidP="009402CF">
            <w:pPr>
              <w:rPr>
                <w:rFonts w:ascii="Arial" w:hAnsi="Arial" w:cs="Arial"/>
                <w:sz w:val="20"/>
                <w:szCs w:val="20"/>
              </w:rPr>
            </w:pPr>
            <w:r w:rsidRPr="00D92DF8">
              <w:rPr>
                <w:rFonts w:ascii="Arial" w:hAnsi="Arial" w:cs="Arial"/>
                <w:sz w:val="20"/>
                <w:szCs w:val="20"/>
              </w:rPr>
              <w:t>Skills Assessment Scheme</w:t>
            </w:r>
          </w:p>
        </w:tc>
        <w:tc>
          <w:tcPr>
            <w:tcW w:w="1836" w:type="dxa"/>
          </w:tcPr>
          <w:p w14:paraId="0F4AEBD7" w14:textId="77777777" w:rsidR="00D92DF8" w:rsidRPr="00D92DF8" w:rsidRDefault="00D92DF8" w:rsidP="009402CF">
            <w:pPr>
              <w:rPr>
                <w:rFonts w:ascii="Arial" w:hAnsi="Arial" w:cs="Arial"/>
                <w:sz w:val="20"/>
                <w:szCs w:val="20"/>
              </w:rPr>
            </w:pPr>
          </w:p>
        </w:tc>
      </w:tr>
      <w:tr w:rsidR="00D92DF8" w:rsidRPr="00D92DF8" w14:paraId="77C78292" w14:textId="77777777" w:rsidTr="009C4051">
        <w:tc>
          <w:tcPr>
            <w:tcW w:w="2977" w:type="dxa"/>
            <w:hideMark/>
          </w:tcPr>
          <w:p w14:paraId="4AFE6F6E"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NIST SP 800-53 (rev 4)</w:t>
            </w:r>
          </w:p>
        </w:tc>
        <w:tc>
          <w:tcPr>
            <w:tcW w:w="3402" w:type="dxa"/>
            <w:hideMark/>
          </w:tcPr>
          <w:p w14:paraId="1E05B551" w14:textId="77777777" w:rsidR="00D92DF8" w:rsidRPr="00D92DF8" w:rsidRDefault="00D92DF8" w:rsidP="009402CF">
            <w:pPr>
              <w:rPr>
                <w:rFonts w:ascii="Arial" w:hAnsi="Arial" w:cs="Arial"/>
                <w:sz w:val="20"/>
                <w:szCs w:val="20"/>
              </w:rPr>
            </w:pPr>
            <w:r w:rsidRPr="00D92DF8">
              <w:rPr>
                <w:rFonts w:ascii="Arial" w:hAnsi="Arial" w:cs="Arial"/>
                <w:sz w:val="20"/>
                <w:szCs w:val="20"/>
              </w:rPr>
              <w:t xml:space="preserve">National Institute of Standards &amp; Technology </w:t>
            </w:r>
          </w:p>
        </w:tc>
        <w:tc>
          <w:tcPr>
            <w:tcW w:w="1836" w:type="dxa"/>
            <w:hideMark/>
          </w:tcPr>
          <w:p w14:paraId="5C099C8C" w14:textId="77777777" w:rsidR="00D92DF8" w:rsidRPr="00D92DF8" w:rsidRDefault="00D92DF8" w:rsidP="009402CF">
            <w:pPr>
              <w:rPr>
                <w:rFonts w:ascii="Arial" w:hAnsi="Arial" w:cs="Arial"/>
                <w:sz w:val="20"/>
                <w:szCs w:val="20"/>
              </w:rPr>
            </w:pPr>
            <w:r w:rsidRPr="00D92DF8">
              <w:rPr>
                <w:rFonts w:ascii="Arial" w:hAnsi="Arial" w:cs="Arial"/>
                <w:sz w:val="20"/>
                <w:szCs w:val="20"/>
              </w:rPr>
              <w:t>Issue – April 2018</w:t>
            </w:r>
          </w:p>
        </w:tc>
      </w:tr>
      <w:tr w:rsidR="00D92DF8" w:rsidRPr="00D92DF8" w14:paraId="7AD7D819" w14:textId="77777777" w:rsidTr="009C4051">
        <w:tc>
          <w:tcPr>
            <w:tcW w:w="2977" w:type="dxa"/>
            <w:hideMark/>
          </w:tcPr>
          <w:p w14:paraId="3BE90177"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ISO/IEC 27001:2013</w:t>
            </w:r>
          </w:p>
        </w:tc>
        <w:tc>
          <w:tcPr>
            <w:tcW w:w="3402" w:type="dxa"/>
            <w:hideMark/>
          </w:tcPr>
          <w:p w14:paraId="74EA17C1" w14:textId="77777777" w:rsidR="00D92DF8" w:rsidRPr="00D92DF8" w:rsidRDefault="00D92DF8" w:rsidP="009402CF">
            <w:pPr>
              <w:rPr>
                <w:rFonts w:ascii="Arial" w:hAnsi="Arial" w:cs="Arial"/>
                <w:sz w:val="20"/>
                <w:szCs w:val="20"/>
              </w:rPr>
            </w:pPr>
            <w:r w:rsidRPr="00D92DF8">
              <w:rPr>
                <w:rFonts w:ascii="Arial" w:hAnsi="Arial" w:cs="Arial"/>
                <w:sz w:val="20"/>
                <w:szCs w:val="20"/>
              </w:rPr>
              <w:t>Information Standards Organisation 27001:2013</w:t>
            </w:r>
          </w:p>
        </w:tc>
        <w:tc>
          <w:tcPr>
            <w:tcW w:w="1836" w:type="dxa"/>
            <w:hideMark/>
          </w:tcPr>
          <w:p w14:paraId="539E4C09" w14:textId="77777777" w:rsidR="00D92DF8" w:rsidRPr="00D92DF8" w:rsidRDefault="00D92DF8" w:rsidP="009402CF">
            <w:pPr>
              <w:rPr>
                <w:rFonts w:ascii="Arial" w:hAnsi="Arial" w:cs="Arial"/>
                <w:sz w:val="20"/>
                <w:szCs w:val="20"/>
              </w:rPr>
            </w:pPr>
            <w:r w:rsidRPr="00D92DF8">
              <w:rPr>
                <w:rFonts w:ascii="Arial" w:hAnsi="Arial" w:cs="Arial"/>
                <w:sz w:val="20"/>
                <w:szCs w:val="20"/>
              </w:rPr>
              <w:t>Issue 1- 10/2013</w:t>
            </w:r>
          </w:p>
        </w:tc>
      </w:tr>
      <w:tr w:rsidR="00D92DF8" w:rsidRPr="00D92DF8" w14:paraId="484A709E" w14:textId="77777777" w:rsidTr="009C4051">
        <w:tc>
          <w:tcPr>
            <w:tcW w:w="2977" w:type="dxa"/>
            <w:hideMark/>
          </w:tcPr>
          <w:p w14:paraId="458A2753"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HMG Security Policy Framework</w:t>
            </w:r>
          </w:p>
        </w:tc>
        <w:tc>
          <w:tcPr>
            <w:tcW w:w="3402" w:type="dxa"/>
            <w:hideMark/>
          </w:tcPr>
          <w:p w14:paraId="601378E3" w14:textId="77777777" w:rsidR="00D92DF8" w:rsidRPr="00D92DF8" w:rsidRDefault="00D92DF8" w:rsidP="009402CF">
            <w:pPr>
              <w:rPr>
                <w:rFonts w:ascii="Arial" w:hAnsi="Arial" w:cs="Arial"/>
                <w:sz w:val="20"/>
                <w:szCs w:val="20"/>
              </w:rPr>
            </w:pPr>
            <w:r w:rsidRPr="00D92DF8">
              <w:rPr>
                <w:rFonts w:ascii="Arial" w:hAnsi="Arial" w:cs="Arial"/>
                <w:sz w:val="20"/>
                <w:szCs w:val="20"/>
              </w:rPr>
              <w:t>HMG Security Policy Framework</w:t>
            </w:r>
          </w:p>
        </w:tc>
        <w:tc>
          <w:tcPr>
            <w:tcW w:w="1836" w:type="dxa"/>
            <w:hideMark/>
          </w:tcPr>
          <w:p w14:paraId="66117F38" w14:textId="77777777" w:rsidR="00D92DF8" w:rsidRPr="00D92DF8" w:rsidRDefault="00D92DF8" w:rsidP="009402CF">
            <w:pPr>
              <w:rPr>
                <w:rFonts w:ascii="Arial" w:hAnsi="Arial" w:cs="Arial"/>
                <w:sz w:val="20"/>
                <w:szCs w:val="20"/>
              </w:rPr>
            </w:pPr>
            <w:r w:rsidRPr="00D92DF8">
              <w:rPr>
                <w:rFonts w:ascii="Arial" w:hAnsi="Arial" w:cs="Arial"/>
                <w:sz w:val="20"/>
                <w:szCs w:val="20"/>
              </w:rPr>
              <w:t>Issue 1.1 May 2018</w:t>
            </w:r>
          </w:p>
        </w:tc>
      </w:tr>
      <w:tr w:rsidR="00D92DF8" w:rsidRPr="00D92DF8" w14:paraId="0CF7BCF5" w14:textId="77777777" w:rsidTr="009C4051">
        <w:tc>
          <w:tcPr>
            <w:tcW w:w="2977" w:type="dxa"/>
            <w:hideMark/>
          </w:tcPr>
          <w:p w14:paraId="6ACF3F1A"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lastRenderedPageBreak/>
              <w:t>NR/L2/TEL/30022</w:t>
            </w:r>
          </w:p>
        </w:tc>
        <w:tc>
          <w:tcPr>
            <w:tcW w:w="3402" w:type="dxa"/>
            <w:hideMark/>
          </w:tcPr>
          <w:p w14:paraId="2BB4C341" w14:textId="3D893AF1" w:rsidR="00D92DF8" w:rsidRPr="00D92DF8" w:rsidRDefault="00D92DF8" w:rsidP="009402CF">
            <w:pPr>
              <w:rPr>
                <w:rFonts w:ascii="Arial" w:hAnsi="Arial" w:cs="Arial"/>
                <w:sz w:val="20"/>
                <w:szCs w:val="20"/>
              </w:rPr>
            </w:pPr>
            <w:r w:rsidRPr="00D92DF8">
              <w:rPr>
                <w:rFonts w:ascii="Arial" w:hAnsi="Arial" w:cs="Arial"/>
                <w:sz w:val="20"/>
                <w:szCs w:val="20"/>
              </w:rPr>
              <w:t>Engineering Assurance Arrangements for Communication Engineering Schemes and Servic</w:t>
            </w:r>
            <w:r w:rsidR="007A13EA">
              <w:rPr>
                <w:rFonts w:ascii="Arial" w:hAnsi="Arial" w:cs="Arial"/>
                <w:sz w:val="20"/>
                <w:szCs w:val="20"/>
              </w:rPr>
              <w:t>e</w:t>
            </w:r>
            <w:r w:rsidRPr="00D92DF8">
              <w:rPr>
                <w:rFonts w:ascii="Arial" w:hAnsi="Arial" w:cs="Arial"/>
                <w:sz w:val="20"/>
                <w:szCs w:val="20"/>
              </w:rPr>
              <w:t>s.</w:t>
            </w:r>
          </w:p>
        </w:tc>
        <w:tc>
          <w:tcPr>
            <w:tcW w:w="1836" w:type="dxa"/>
            <w:hideMark/>
          </w:tcPr>
          <w:p w14:paraId="50B3635D" w14:textId="77777777" w:rsidR="00D92DF8" w:rsidRPr="00D92DF8" w:rsidRDefault="00D92DF8" w:rsidP="009402CF">
            <w:pPr>
              <w:rPr>
                <w:rFonts w:ascii="Arial" w:hAnsi="Arial" w:cs="Arial"/>
                <w:sz w:val="20"/>
                <w:szCs w:val="20"/>
              </w:rPr>
            </w:pPr>
            <w:r w:rsidRPr="00D92DF8">
              <w:rPr>
                <w:rFonts w:ascii="Arial" w:hAnsi="Arial" w:cs="Arial"/>
                <w:sz w:val="20"/>
                <w:szCs w:val="20"/>
              </w:rPr>
              <w:t>Issue 7 - 04/06/2011</w:t>
            </w:r>
          </w:p>
        </w:tc>
      </w:tr>
      <w:tr w:rsidR="00D92DF8" w:rsidRPr="00D92DF8" w14:paraId="044FB83F" w14:textId="77777777" w:rsidTr="009C4051">
        <w:tc>
          <w:tcPr>
            <w:tcW w:w="2977" w:type="dxa"/>
          </w:tcPr>
          <w:p w14:paraId="1718B223"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 xml:space="preserve">NR/L2/OHS/00112 </w:t>
            </w:r>
          </w:p>
        </w:tc>
        <w:tc>
          <w:tcPr>
            <w:tcW w:w="3402" w:type="dxa"/>
          </w:tcPr>
          <w:p w14:paraId="2976A5DC" w14:textId="2587E55E" w:rsidR="00D92DF8" w:rsidRPr="00D92DF8" w:rsidRDefault="00D92DF8" w:rsidP="009402CF">
            <w:pPr>
              <w:rPr>
                <w:rFonts w:ascii="Arial" w:hAnsi="Arial" w:cs="Arial"/>
                <w:sz w:val="20"/>
                <w:szCs w:val="20"/>
              </w:rPr>
            </w:pPr>
            <w:r w:rsidRPr="00D92DF8">
              <w:rPr>
                <w:rFonts w:ascii="Arial" w:hAnsi="Arial" w:cs="Arial"/>
                <w:sz w:val="20"/>
                <w:szCs w:val="20"/>
              </w:rPr>
              <w:t>Work-Safe Procedur</w:t>
            </w:r>
            <w:r w:rsidR="007A13EA">
              <w:rPr>
                <w:rFonts w:ascii="Arial" w:hAnsi="Arial" w:cs="Arial"/>
                <w:sz w:val="20"/>
                <w:szCs w:val="20"/>
              </w:rPr>
              <w:t>e</w:t>
            </w:r>
            <w:r w:rsidRPr="00D92DF8">
              <w:rPr>
                <w:rFonts w:ascii="Arial" w:hAnsi="Arial" w:cs="Arial"/>
                <w:sz w:val="20"/>
                <w:szCs w:val="20"/>
              </w:rPr>
              <w:t xml:space="preserve">s </w:t>
            </w:r>
          </w:p>
        </w:tc>
        <w:tc>
          <w:tcPr>
            <w:tcW w:w="1836" w:type="dxa"/>
          </w:tcPr>
          <w:p w14:paraId="47C5A4CA" w14:textId="77777777" w:rsidR="00D92DF8" w:rsidRPr="00D92DF8" w:rsidRDefault="00D92DF8" w:rsidP="009402CF">
            <w:pPr>
              <w:rPr>
                <w:rFonts w:ascii="Arial" w:hAnsi="Arial" w:cs="Arial"/>
                <w:sz w:val="20"/>
                <w:szCs w:val="20"/>
              </w:rPr>
            </w:pPr>
            <w:r w:rsidRPr="00D92DF8">
              <w:rPr>
                <w:rFonts w:ascii="Arial" w:hAnsi="Arial" w:cs="Arial"/>
                <w:sz w:val="20"/>
                <w:szCs w:val="20"/>
              </w:rPr>
              <w:t>Issue 2 - 05/12/2009</w:t>
            </w:r>
          </w:p>
        </w:tc>
      </w:tr>
      <w:tr w:rsidR="00D92DF8" w:rsidRPr="00D92DF8" w14:paraId="4E39F86B" w14:textId="77777777" w:rsidTr="009C4051">
        <w:tc>
          <w:tcPr>
            <w:tcW w:w="2977" w:type="dxa"/>
            <w:hideMark/>
          </w:tcPr>
          <w:p w14:paraId="015BFAB8"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 xml:space="preserve">NR/L3/MTC/089 </w:t>
            </w:r>
          </w:p>
        </w:tc>
        <w:tc>
          <w:tcPr>
            <w:tcW w:w="3402" w:type="dxa"/>
            <w:hideMark/>
          </w:tcPr>
          <w:p w14:paraId="40AE104D" w14:textId="697703EA" w:rsidR="00D92DF8" w:rsidRPr="00D92DF8" w:rsidRDefault="00D92DF8" w:rsidP="009402CF">
            <w:pPr>
              <w:rPr>
                <w:rFonts w:ascii="Arial" w:hAnsi="Arial" w:cs="Arial"/>
                <w:sz w:val="20"/>
                <w:szCs w:val="20"/>
              </w:rPr>
            </w:pPr>
            <w:r w:rsidRPr="00D92DF8">
              <w:rPr>
                <w:rFonts w:ascii="Arial" w:hAnsi="Arial" w:cs="Arial"/>
                <w:sz w:val="20"/>
                <w:szCs w:val="20"/>
              </w:rPr>
              <w:t>Asset Management P</w:t>
            </w:r>
            <w:r w:rsidR="00A20CD5">
              <w:rPr>
                <w:rFonts w:ascii="Arial" w:hAnsi="Arial" w:cs="Arial"/>
                <w:sz w:val="20"/>
                <w:szCs w:val="20"/>
              </w:rPr>
              <w:t>–</w:t>
            </w:r>
            <w:r w:rsidRPr="00D92DF8">
              <w:rPr>
                <w:rFonts w:ascii="Arial" w:hAnsi="Arial" w:cs="Arial"/>
                <w:sz w:val="20"/>
                <w:szCs w:val="20"/>
              </w:rPr>
              <w:t>an</w:t>
            </w:r>
          </w:p>
        </w:tc>
        <w:tc>
          <w:tcPr>
            <w:tcW w:w="1836" w:type="dxa"/>
            <w:hideMark/>
          </w:tcPr>
          <w:p w14:paraId="70B4414C" w14:textId="77777777" w:rsidR="00D92DF8" w:rsidRPr="00D92DF8" w:rsidRDefault="00D92DF8" w:rsidP="009402CF">
            <w:pPr>
              <w:rPr>
                <w:rFonts w:ascii="Arial" w:hAnsi="Arial" w:cs="Arial"/>
                <w:sz w:val="20"/>
                <w:szCs w:val="20"/>
              </w:rPr>
            </w:pPr>
            <w:r w:rsidRPr="00D92DF8">
              <w:rPr>
                <w:rFonts w:ascii="Arial" w:hAnsi="Arial" w:cs="Arial"/>
                <w:sz w:val="20"/>
                <w:szCs w:val="20"/>
              </w:rPr>
              <w:t>Issue 1 - 06/06/2009</w:t>
            </w:r>
          </w:p>
        </w:tc>
      </w:tr>
      <w:tr w:rsidR="00D92DF8" w:rsidRPr="00D92DF8" w14:paraId="72F0BF62" w14:textId="77777777" w:rsidTr="009C4051">
        <w:tc>
          <w:tcPr>
            <w:tcW w:w="2977" w:type="dxa"/>
            <w:hideMark/>
          </w:tcPr>
          <w:p w14:paraId="20FC0BCC"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NR/L2/INI/02009</w:t>
            </w:r>
          </w:p>
        </w:tc>
        <w:tc>
          <w:tcPr>
            <w:tcW w:w="3402" w:type="dxa"/>
            <w:hideMark/>
          </w:tcPr>
          <w:p w14:paraId="005D4C4F" w14:textId="77777777" w:rsidR="00D92DF8" w:rsidRPr="00D92DF8" w:rsidRDefault="00D92DF8" w:rsidP="009402CF">
            <w:pPr>
              <w:rPr>
                <w:rFonts w:ascii="Arial" w:hAnsi="Arial" w:cs="Arial"/>
                <w:sz w:val="20"/>
                <w:szCs w:val="20"/>
              </w:rPr>
            </w:pPr>
            <w:r w:rsidRPr="00D92DF8">
              <w:rPr>
                <w:rFonts w:ascii="Arial" w:hAnsi="Arial" w:cs="Arial"/>
                <w:sz w:val="20"/>
                <w:szCs w:val="20"/>
              </w:rPr>
              <w:t>Engineering Management for Projects</w:t>
            </w:r>
          </w:p>
        </w:tc>
        <w:tc>
          <w:tcPr>
            <w:tcW w:w="1836" w:type="dxa"/>
            <w:hideMark/>
          </w:tcPr>
          <w:p w14:paraId="164512D9" w14:textId="77777777" w:rsidR="00D92DF8" w:rsidRPr="00D92DF8" w:rsidRDefault="00D92DF8" w:rsidP="009402CF">
            <w:pPr>
              <w:rPr>
                <w:rFonts w:ascii="Arial" w:hAnsi="Arial" w:cs="Arial"/>
                <w:sz w:val="20"/>
                <w:szCs w:val="20"/>
              </w:rPr>
            </w:pPr>
            <w:r w:rsidRPr="00D92DF8">
              <w:rPr>
                <w:rFonts w:ascii="Arial" w:hAnsi="Arial" w:cs="Arial"/>
                <w:sz w:val="20"/>
                <w:szCs w:val="20"/>
              </w:rPr>
              <w:t>Issue 5 – 04/06/2011</w:t>
            </w:r>
          </w:p>
        </w:tc>
      </w:tr>
      <w:tr w:rsidR="00D92DF8" w:rsidRPr="00D92DF8" w14:paraId="1FEA9829" w14:textId="77777777" w:rsidTr="009C4051">
        <w:tc>
          <w:tcPr>
            <w:tcW w:w="2977" w:type="dxa"/>
            <w:hideMark/>
          </w:tcPr>
          <w:p w14:paraId="18EB15C9"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NR/L3/TEL/0092</w:t>
            </w:r>
          </w:p>
        </w:tc>
        <w:tc>
          <w:tcPr>
            <w:tcW w:w="3402" w:type="dxa"/>
            <w:hideMark/>
          </w:tcPr>
          <w:p w14:paraId="0DAF7D64" w14:textId="77777777" w:rsidR="00D92DF8" w:rsidRPr="00D92DF8" w:rsidRDefault="00D92DF8" w:rsidP="009402CF">
            <w:pPr>
              <w:rPr>
                <w:rFonts w:ascii="Arial" w:hAnsi="Arial" w:cs="Arial"/>
                <w:sz w:val="20"/>
                <w:szCs w:val="20"/>
              </w:rPr>
            </w:pPr>
            <w:r w:rsidRPr="00D92DF8">
              <w:rPr>
                <w:rFonts w:ascii="Arial" w:hAnsi="Arial" w:cs="Arial"/>
                <w:sz w:val="20"/>
                <w:szCs w:val="20"/>
              </w:rPr>
              <w:t>Disconnection and At-Risk Processes for Telecoms Bearer Circuits &amp; Systems including GSM-R equipment</w:t>
            </w:r>
          </w:p>
        </w:tc>
        <w:tc>
          <w:tcPr>
            <w:tcW w:w="1836" w:type="dxa"/>
            <w:hideMark/>
          </w:tcPr>
          <w:p w14:paraId="206A0FBD" w14:textId="77777777" w:rsidR="00D92DF8" w:rsidRPr="00D92DF8" w:rsidRDefault="00D92DF8" w:rsidP="009402CF">
            <w:pPr>
              <w:rPr>
                <w:rFonts w:ascii="Arial" w:hAnsi="Arial" w:cs="Arial"/>
                <w:sz w:val="20"/>
                <w:szCs w:val="20"/>
              </w:rPr>
            </w:pPr>
            <w:r w:rsidRPr="00D92DF8">
              <w:rPr>
                <w:rFonts w:ascii="Arial" w:hAnsi="Arial" w:cs="Arial"/>
                <w:sz w:val="20"/>
                <w:szCs w:val="20"/>
              </w:rPr>
              <w:t>Issue 4 – 04/06/2011</w:t>
            </w:r>
          </w:p>
        </w:tc>
      </w:tr>
      <w:tr w:rsidR="00D92DF8" w:rsidRPr="00D92DF8" w14:paraId="3B7A9409" w14:textId="77777777" w:rsidTr="009C4051">
        <w:tc>
          <w:tcPr>
            <w:tcW w:w="2977" w:type="dxa"/>
            <w:hideMark/>
          </w:tcPr>
          <w:p w14:paraId="05DC0FDA"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NR/L1/TEL/30100</w:t>
            </w:r>
          </w:p>
        </w:tc>
        <w:tc>
          <w:tcPr>
            <w:tcW w:w="3402" w:type="dxa"/>
            <w:hideMark/>
          </w:tcPr>
          <w:p w14:paraId="6658BF16" w14:textId="77777777" w:rsidR="00D92DF8" w:rsidRPr="00D92DF8" w:rsidRDefault="00D92DF8" w:rsidP="009402CF">
            <w:pPr>
              <w:rPr>
                <w:rFonts w:ascii="Arial" w:hAnsi="Arial" w:cs="Arial"/>
                <w:sz w:val="20"/>
                <w:szCs w:val="20"/>
              </w:rPr>
            </w:pPr>
            <w:r w:rsidRPr="00D92DF8">
              <w:rPr>
                <w:rFonts w:ascii="Arial" w:hAnsi="Arial" w:cs="Arial"/>
                <w:sz w:val="20"/>
                <w:szCs w:val="20"/>
              </w:rPr>
              <w:t>Telecoms Design</w:t>
            </w:r>
          </w:p>
        </w:tc>
        <w:tc>
          <w:tcPr>
            <w:tcW w:w="1836" w:type="dxa"/>
            <w:hideMark/>
          </w:tcPr>
          <w:p w14:paraId="75A7A53A" w14:textId="77777777" w:rsidR="00D92DF8" w:rsidRPr="00D92DF8" w:rsidRDefault="00D92DF8" w:rsidP="009402CF">
            <w:pPr>
              <w:rPr>
                <w:rFonts w:ascii="Arial" w:hAnsi="Arial" w:cs="Arial"/>
                <w:sz w:val="20"/>
                <w:szCs w:val="20"/>
              </w:rPr>
            </w:pPr>
            <w:r w:rsidRPr="00D92DF8">
              <w:rPr>
                <w:rFonts w:ascii="Arial" w:hAnsi="Arial" w:cs="Arial"/>
                <w:sz w:val="20"/>
                <w:szCs w:val="20"/>
              </w:rPr>
              <w:t>Issue 3 – 06/03/2010</w:t>
            </w:r>
          </w:p>
        </w:tc>
      </w:tr>
      <w:tr w:rsidR="00D92DF8" w:rsidRPr="00D92DF8" w14:paraId="1A696BF1" w14:textId="77777777" w:rsidTr="009C4051">
        <w:tc>
          <w:tcPr>
            <w:tcW w:w="2977" w:type="dxa"/>
          </w:tcPr>
          <w:p w14:paraId="688E01BF"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NR/L2/TEL/30160</w:t>
            </w:r>
          </w:p>
        </w:tc>
        <w:tc>
          <w:tcPr>
            <w:tcW w:w="3402" w:type="dxa"/>
          </w:tcPr>
          <w:p w14:paraId="2AE5EC7B" w14:textId="77777777" w:rsidR="00D92DF8" w:rsidRPr="00D92DF8" w:rsidRDefault="00D92DF8" w:rsidP="009402CF">
            <w:pPr>
              <w:rPr>
                <w:rFonts w:ascii="Arial" w:hAnsi="Arial" w:cs="Arial"/>
                <w:sz w:val="20"/>
                <w:szCs w:val="20"/>
              </w:rPr>
            </w:pPr>
            <w:r w:rsidRPr="00D92DF8">
              <w:rPr>
                <w:rFonts w:ascii="Arial" w:hAnsi="Arial" w:cs="Arial"/>
                <w:sz w:val="20"/>
                <w:szCs w:val="20"/>
              </w:rPr>
              <w:t>Optical Fibre Network Design</w:t>
            </w:r>
          </w:p>
        </w:tc>
        <w:tc>
          <w:tcPr>
            <w:tcW w:w="1836" w:type="dxa"/>
          </w:tcPr>
          <w:p w14:paraId="51ADFA55" w14:textId="77777777" w:rsidR="00D92DF8" w:rsidRPr="00D92DF8" w:rsidRDefault="00D92DF8" w:rsidP="009402CF">
            <w:pPr>
              <w:rPr>
                <w:rFonts w:ascii="Arial" w:hAnsi="Arial" w:cs="Arial"/>
                <w:sz w:val="20"/>
                <w:szCs w:val="20"/>
              </w:rPr>
            </w:pPr>
            <w:r w:rsidRPr="00D92DF8">
              <w:rPr>
                <w:rFonts w:ascii="Arial" w:hAnsi="Arial" w:cs="Arial"/>
                <w:sz w:val="20"/>
                <w:szCs w:val="20"/>
              </w:rPr>
              <w:t>Issue 1 – 04/06/2011</w:t>
            </w:r>
          </w:p>
        </w:tc>
      </w:tr>
      <w:tr w:rsidR="00D92DF8" w:rsidRPr="00D92DF8" w14:paraId="698901C8" w14:textId="77777777" w:rsidTr="009C4051">
        <w:tc>
          <w:tcPr>
            <w:tcW w:w="2977" w:type="dxa"/>
          </w:tcPr>
          <w:p w14:paraId="595EC6F4"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HSAWA</w:t>
            </w:r>
          </w:p>
        </w:tc>
        <w:tc>
          <w:tcPr>
            <w:tcW w:w="3402" w:type="dxa"/>
          </w:tcPr>
          <w:p w14:paraId="240366A5" w14:textId="77777777" w:rsidR="00D92DF8" w:rsidRPr="00D92DF8" w:rsidRDefault="00D92DF8" w:rsidP="009402CF">
            <w:pPr>
              <w:rPr>
                <w:rFonts w:ascii="Arial" w:hAnsi="Arial" w:cs="Arial"/>
                <w:sz w:val="20"/>
                <w:szCs w:val="20"/>
              </w:rPr>
            </w:pPr>
            <w:r w:rsidRPr="00D92DF8">
              <w:rPr>
                <w:rFonts w:ascii="Arial" w:hAnsi="Arial" w:cs="Arial"/>
                <w:sz w:val="20"/>
                <w:szCs w:val="20"/>
              </w:rPr>
              <w:t>The Health and Safety at Work Act 1974</w:t>
            </w:r>
          </w:p>
        </w:tc>
        <w:tc>
          <w:tcPr>
            <w:tcW w:w="1836" w:type="dxa"/>
          </w:tcPr>
          <w:p w14:paraId="31857FEA" w14:textId="77777777" w:rsidR="00D92DF8" w:rsidRPr="00D92DF8" w:rsidRDefault="00D92DF8" w:rsidP="009402CF">
            <w:pPr>
              <w:rPr>
                <w:rFonts w:ascii="Arial" w:hAnsi="Arial" w:cs="Arial"/>
                <w:sz w:val="20"/>
                <w:szCs w:val="20"/>
              </w:rPr>
            </w:pPr>
            <w:r w:rsidRPr="00D92DF8">
              <w:rPr>
                <w:rFonts w:ascii="Arial" w:hAnsi="Arial" w:cs="Arial"/>
                <w:sz w:val="20"/>
                <w:szCs w:val="20"/>
              </w:rPr>
              <w:t>1974</w:t>
            </w:r>
          </w:p>
        </w:tc>
      </w:tr>
      <w:tr w:rsidR="00D92DF8" w:rsidRPr="00D92DF8" w14:paraId="42437973" w14:textId="77777777" w:rsidTr="009C4051">
        <w:tc>
          <w:tcPr>
            <w:tcW w:w="2977" w:type="dxa"/>
          </w:tcPr>
          <w:p w14:paraId="48164453"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NR/L2/TEL/30025</w:t>
            </w:r>
          </w:p>
        </w:tc>
        <w:tc>
          <w:tcPr>
            <w:tcW w:w="3402" w:type="dxa"/>
          </w:tcPr>
          <w:p w14:paraId="194808DC" w14:textId="77777777" w:rsidR="00D92DF8" w:rsidRPr="00D92DF8" w:rsidRDefault="00D92DF8" w:rsidP="009402CF">
            <w:pPr>
              <w:rPr>
                <w:rFonts w:ascii="Arial" w:hAnsi="Arial" w:cs="Arial"/>
                <w:sz w:val="20"/>
                <w:szCs w:val="20"/>
              </w:rPr>
            </w:pPr>
            <w:r w:rsidRPr="00D92DF8">
              <w:rPr>
                <w:rFonts w:ascii="Arial" w:hAnsi="Arial" w:cs="Arial"/>
                <w:sz w:val="20"/>
                <w:szCs w:val="20"/>
              </w:rPr>
              <w:t>Standby Power Supply Requirements for Telecommunications Equipment</w:t>
            </w:r>
          </w:p>
        </w:tc>
        <w:tc>
          <w:tcPr>
            <w:tcW w:w="1836" w:type="dxa"/>
          </w:tcPr>
          <w:p w14:paraId="7B889831" w14:textId="77777777" w:rsidR="00D92DF8" w:rsidRPr="00D92DF8" w:rsidRDefault="00D92DF8" w:rsidP="009402CF">
            <w:pPr>
              <w:rPr>
                <w:rFonts w:ascii="Arial" w:hAnsi="Arial" w:cs="Arial"/>
                <w:sz w:val="20"/>
                <w:szCs w:val="20"/>
              </w:rPr>
            </w:pPr>
            <w:r w:rsidRPr="00D92DF8">
              <w:rPr>
                <w:rFonts w:ascii="Arial" w:hAnsi="Arial" w:cs="Arial"/>
                <w:sz w:val="20"/>
                <w:szCs w:val="20"/>
              </w:rPr>
              <w:t>Issue 5- 02/12/2017</w:t>
            </w:r>
          </w:p>
        </w:tc>
      </w:tr>
      <w:tr w:rsidR="00D92DF8" w:rsidRPr="00D92DF8" w14:paraId="3C88ACDA" w14:textId="77777777" w:rsidTr="009C4051">
        <w:tc>
          <w:tcPr>
            <w:tcW w:w="2977" w:type="dxa"/>
          </w:tcPr>
          <w:p w14:paraId="31970F1D"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NR/L1/TEL/30092</w:t>
            </w:r>
          </w:p>
        </w:tc>
        <w:tc>
          <w:tcPr>
            <w:tcW w:w="3402" w:type="dxa"/>
          </w:tcPr>
          <w:p w14:paraId="0B2B9950" w14:textId="02C2BEF2" w:rsidR="00D92DF8" w:rsidRPr="00D92DF8" w:rsidRDefault="00D92DF8" w:rsidP="009402CF">
            <w:pPr>
              <w:rPr>
                <w:rFonts w:ascii="Arial" w:hAnsi="Arial" w:cs="Arial"/>
                <w:sz w:val="20"/>
                <w:szCs w:val="20"/>
              </w:rPr>
            </w:pPr>
            <w:r w:rsidRPr="00D92DF8">
              <w:rPr>
                <w:rFonts w:ascii="Arial" w:hAnsi="Arial" w:cs="Arial"/>
                <w:sz w:val="20"/>
                <w:szCs w:val="20"/>
              </w:rPr>
              <w:t>Telecommunication Testing and Commissioning Proced</w:t>
            </w:r>
            <w:r w:rsidR="007A13EA">
              <w:rPr>
                <w:rFonts w:ascii="Arial" w:hAnsi="Arial" w:cs="Arial"/>
                <w:sz w:val="20"/>
                <w:szCs w:val="20"/>
              </w:rPr>
              <w:t>u</w:t>
            </w:r>
            <w:r w:rsidRPr="00D92DF8">
              <w:rPr>
                <w:rFonts w:ascii="Arial" w:hAnsi="Arial" w:cs="Arial"/>
                <w:sz w:val="20"/>
                <w:szCs w:val="20"/>
              </w:rPr>
              <w:t>re</w:t>
            </w:r>
          </w:p>
        </w:tc>
        <w:tc>
          <w:tcPr>
            <w:tcW w:w="1836" w:type="dxa"/>
          </w:tcPr>
          <w:p w14:paraId="22A55A5F" w14:textId="77777777" w:rsidR="00D92DF8" w:rsidRPr="00D92DF8" w:rsidRDefault="00D92DF8" w:rsidP="009402CF">
            <w:pPr>
              <w:rPr>
                <w:rFonts w:ascii="Arial" w:hAnsi="Arial" w:cs="Arial"/>
                <w:sz w:val="20"/>
                <w:szCs w:val="20"/>
              </w:rPr>
            </w:pPr>
            <w:r w:rsidRPr="00D92DF8">
              <w:rPr>
                <w:rFonts w:ascii="Arial" w:hAnsi="Arial" w:cs="Arial"/>
                <w:sz w:val="20"/>
                <w:szCs w:val="20"/>
              </w:rPr>
              <w:t>Issue 4 - 03/12/2016</w:t>
            </w:r>
          </w:p>
        </w:tc>
      </w:tr>
      <w:tr w:rsidR="00D92DF8" w:rsidRPr="00D92DF8" w14:paraId="3C4755D4" w14:textId="77777777" w:rsidTr="009C4051">
        <w:tc>
          <w:tcPr>
            <w:tcW w:w="2977" w:type="dxa"/>
          </w:tcPr>
          <w:p w14:paraId="625C05D4"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NR/L2/RSE/100/05</w:t>
            </w:r>
          </w:p>
        </w:tc>
        <w:tc>
          <w:tcPr>
            <w:tcW w:w="3402" w:type="dxa"/>
          </w:tcPr>
          <w:p w14:paraId="7F587FA9" w14:textId="724CBEA3" w:rsidR="00D92DF8" w:rsidRPr="00D92DF8" w:rsidRDefault="00D92DF8" w:rsidP="009402CF">
            <w:pPr>
              <w:rPr>
                <w:rFonts w:ascii="Arial" w:hAnsi="Arial" w:cs="Arial"/>
                <w:sz w:val="20"/>
                <w:szCs w:val="20"/>
              </w:rPr>
            </w:pPr>
            <w:r w:rsidRPr="00D92DF8">
              <w:rPr>
                <w:rFonts w:ascii="Arial" w:hAnsi="Arial" w:cs="Arial"/>
                <w:sz w:val="20"/>
                <w:szCs w:val="20"/>
              </w:rPr>
              <w:t xml:space="preserve">Product acceptance and change to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sidRPr="00D92DF8">
              <w:rPr>
                <w:rFonts w:ascii="Arial" w:hAnsi="Arial" w:cs="Arial"/>
                <w:sz w:val="20"/>
                <w:szCs w:val="20"/>
              </w:rPr>
              <w:t xml:space="preserve"> operational infrastruct</w:t>
            </w:r>
            <w:r w:rsidR="007A13EA">
              <w:rPr>
                <w:rFonts w:ascii="Arial" w:hAnsi="Arial" w:cs="Arial"/>
                <w:sz w:val="20"/>
                <w:szCs w:val="20"/>
              </w:rPr>
              <w:t>u</w:t>
            </w:r>
            <w:r w:rsidRPr="00D92DF8">
              <w:rPr>
                <w:rFonts w:ascii="Arial" w:hAnsi="Arial" w:cs="Arial"/>
                <w:sz w:val="20"/>
                <w:szCs w:val="20"/>
              </w:rPr>
              <w:t>re</w:t>
            </w:r>
          </w:p>
        </w:tc>
        <w:tc>
          <w:tcPr>
            <w:tcW w:w="1836" w:type="dxa"/>
          </w:tcPr>
          <w:p w14:paraId="01267AF2" w14:textId="77777777" w:rsidR="00D92DF8" w:rsidRPr="00D92DF8" w:rsidRDefault="00D92DF8" w:rsidP="009402CF">
            <w:pPr>
              <w:rPr>
                <w:rFonts w:ascii="Arial" w:hAnsi="Arial" w:cs="Arial"/>
                <w:sz w:val="20"/>
                <w:szCs w:val="20"/>
              </w:rPr>
            </w:pPr>
            <w:r w:rsidRPr="00D92DF8">
              <w:rPr>
                <w:rFonts w:ascii="Arial" w:hAnsi="Arial" w:cs="Arial"/>
                <w:sz w:val="20"/>
                <w:szCs w:val="20"/>
              </w:rPr>
              <w:t>Issue 3 - 02/12/2017</w:t>
            </w:r>
          </w:p>
        </w:tc>
      </w:tr>
      <w:tr w:rsidR="00D92DF8" w:rsidRPr="00D92DF8" w14:paraId="77EF65DD" w14:textId="77777777" w:rsidTr="009C4051">
        <w:tc>
          <w:tcPr>
            <w:tcW w:w="2977" w:type="dxa"/>
          </w:tcPr>
          <w:p w14:paraId="17B47D89"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NR/L2/TEL/30161 S</w:t>
            </w:r>
          </w:p>
        </w:tc>
        <w:tc>
          <w:tcPr>
            <w:tcW w:w="3402" w:type="dxa"/>
          </w:tcPr>
          <w:p w14:paraId="0240B5B5" w14:textId="7AB2B161" w:rsidR="00D92DF8" w:rsidRPr="00D92DF8" w:rsidRDefault="00D92DF8" w:rsidP="009402CF">
            <w:pPr>
              <w:rPr>
                <w:rFonts w:ascii="Arial" w:hAnsi="Arial" w:cs="Arial"/>
                <w:sz w:val="20"/>
                <w:szCs w:val="20"/>
              </w:rPr>
            </w:pPr>
            <w:r w:rsidRPr="00D92DF8">
              <w:rPr>
                <w:rFonts w:ascii="Arial" w:hAnsi="Arial" w:cs="Arial"/>
                <w:sz w:val="20"/>
                <w:szCs w:val="20"/>
              </w:rPr>
              <w:t>Supply of Optical Fibre Patch cord and Pigtail Assembl</w:t>
            </w:r>
            <w:r w:rsidR="007A13EA">
              <w:rPr>
                <w:rFonts w:ascii="Arial" w:hAnsi="Arial" w:cs="Arial"/>
                <w:sz w:val="20"/>
                <w:szCs w:val="20"/>
              </w:rPr>
              <w:t>i</w:t>
            </w:r>
            <w:r w:rsidRPr="00D92DF8">
              <w:rPr>
                <w:rFonts w:ascii="Arial" w:hAnsi="Arial" w:cs="Arial"/>
                <w:sz w:val="20"/>
                <w:szCs w:val="20"/>
              </w:rPr>
              <w:t>es</w:t>
            </w:r>
          </w:p>
        </w:tc>
        <w:tc>
          <w:tcPr>
            <w:tcW w:w="1836" w:type="dxa"/>
          </w:tcPr>
          <w:p w14:paraId="0787986E" w14:textId="77777777" w:rsidR="00D92DF8" w:rsidRPr="00D92DF8" w:rsidRDefault="00D92DF8" w:rsidP="009402CF">
            <w:pPr>
              <w:rPr>
                <w:rFonts w:ascii="Arial" w:hAnsi="Arial" w:cs="Arial"/>
                <w:sz w:val="20"/>
                <w:szCs w:val="20"/>
              </w:rPr>
            </w:pPr>
            <w:r w:rsidRPr="00D92DF8">
              <w:rPr>
                <w:rFonts w:ascii="Arial" w:hAnsi="Arial" w:cs="Arial"/>
                <w:sz w:val="20"/>
                <w:szCs w:val="20"/>
              </w:rPr>
              <w:t>Issue 1 - 04/06/2011</w:t>
            </w:r>
          </w:p>
        </w:tc>
      </w:tr>
      <w:tr w:rsidR="00D92DF8" w:rsidRPr="00D92DF8" w14:paraId="4F8136AF" w14:textId="77777777" w:rsidTr="009C4051">
        <w:tc>
          <w:tcPr>
            <w:tcW w:w="2977" w:type="dxa"/>
          </w:tcPr>
          <w:p w14:paraId="3623BF12"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NRT/SY/2015/025</w:t>
            </w:r>
          </w:p>
        </w:tc>
        <w:tc>
          <w:tcPr>
            <w:tcW w:w="3402" w:type="dxa"/>
          </w:tcPr>
          <w:p w14:paraId="1465E08C" w14:textId="77777777" w:rsidR="00D92DF8" w:rsidRPr="00D92DF8" w:rsidRDefault="00D92DF8" w:rsidP="009402CF">
            <w:pPr>
              <w:rPr>
                <w:rFonts w:ascii="Arial" w:hAnsi="Arial" w:cs="Arial"/>
                <w:sz w:val="20"/>
                <w:szCs w:val="20"/>
              </w:rPr>
            </w:pPr>
            <w:r w:rsidRPr="00D92DF8">
              <w:rPr>
                <w:rFonts w:ascii="Arial" w:hAnsi="Arial" w:cs="Arial"/>
                <w:sz w:val="20"/>
                <w:szCs w:val="20"/>
              </w:rPr>
              <w:t>Security and Resilience for Project Guidelines</w:t>
            </w:r>
          </w:p>
        </w:tc>
        <w:tc>
          <w:tcPr>
            <w:tcW w:w="1836" w:type="dxa"/>
          </w:tcPr>
          <w:p w14:paraId="23640785" w14:textId="77777777" w:rsidR="00D92DF8" w:rsidRPr="00D92DF8" w:rsidRDefault="00D92DF8" w:rsidP="009402CF">
            <w:pPr>
              <w:rPr>
                <w:rFonts w:ascii="Arial" w:hAnsi="Arial" w:cs="Arial"/>
                <w:sz w:val="20"/>
                <w:szCs w:val="20"/>
              </w:rPr>
            </w:pPr>
          </w:p>
        </w:tc>
      </w:tr>
      <w:tr w:rsidR="00D92DF8" w:rsidRPr="00D92DF8" w14:paraId="739E9A22" w14:textId="77777777" w:rsidTr="009C4051">
        <w:tc>
          <w:tcPr>
            <w:tcW w:w="2977" w:type="dxa"/>
          </w:tcPr>
          <w:p w14:paraId="2B1BA859"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NR/L1/INF/02232</w:t>
            </w:r>
          </w:p>
        </w:tc>
        <w:tc>
          <w:tcPr>
            <w:tcW w:w="3402" w:type="dxa"/>
          </w:tcPr>
          <w:p w14:paraId="5F1630D4" w14:textId="77777777" w:rsidR="00D92DF8" w:rsidRPr="00D92DF8" w:rsidRDefault="00D92DF8" w:rsidP="009402CF">
            <w:pPr>
              <w:rPr>
                <w:rFonts w:ascii="Arial" w:hAnsi="Arial" w:cs="Arial"/>
                <w:sz w:val="20"/>
                <w:szCs w:val="20"/>
              </w:rPr>
            </w:pPr>
            <w:r w:rsidRPr="00D92DF8">
              <w:rPr>
                <w:rFonts w:ascii="Arial" w:hAnsi="Arial" w:cs="Arial"/>
                <w:sz w:val="20"/>
                <w:szCs w:val="20"/>
              </w:rPr>
              <w:t>NR/L1/INF/02232</w:t>
            </w:r>
          </w:p>
        </w:tc>
        <w:tc>
          <w:tcPr>
            <w:tcW w:w="1836" w:type="dxa"/>
          </w:tcPr>
          <w:p w14:paraId="715C0E54" w14:textId="77777777" w:rsidR="00D92DF8" w:rsidRPr="00D92DF8" w:rsidRDefault="00D92DF8" w:rsidP="009402CF">
            <w:pPr>
              <w:rPr>
                <w:rFonts w:ascii="Arial" w:hAnsi="Arial" w:cs="Arial"/>
                <w:sz w:val="20"/>
                <w:szCs w:val="20"/>
              </w:rPr>
            </w:pPr>
          </w:p>
        </w:tc>
      </w:tr>
      <w:tr w:rsidR="00D92DF8" w:rsidRPr="00D92DF8" w14:paraId="151F6F81" w14:textId="77777777" w:rsidTr="009C4051">
        <w:tc>
          <w:tcPr>
            <w:tcW w:w="2977" w:type="dxa"/>
            <w:hideMark/>
          </w:tcPr>
          <w:p w14:paraId="268C00AA"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NR/L2/EBM/STP001</w:t>
            </w:r>
          </w:p>
        </w:tc>
        <w:tc>
          <w:tcPr>
            <w:tcW w:w="3402" w:type="dxa"/>
            <w:hideMark/>
          </w:tcPr>
          <w:p w14:paraId="64024C67" w14:textId="053A55E6" w:rsidR="00D92DF8" w:rsidRPr="00D92DF8" w:rsidRDefault="001F1C19" w:rsidP="009402CF">
            <w:pPr>
              <w:rPr>
                <w:rFonts w:ascii="Arial" w:hAnsi="Arial" w:cs="Arial"/>
                <w:sz w:val="20"/>
                <w:szCs w:val="20"/>
              </w:rPr>
            </w:pPr>
            <w:proofErr w:type="spellStart"/>
            <w:r>
              <w:rPr>
                <w:rFonts w:ascii="Arial" w:hAnsi="Arial" w:cs="Arial"/>
                <w:sz w:val="20"/>
                <w:szCs w:val="20"/>
              </w:rPr>
              <w:t>Netlink</w:t>
            </w:r>
            <w:proofErr w:type="spellEnd"/>
            <w:r>
              <w:rPr>
                <w:rFonts w:ascii="Arial" w:hAnsi="Arial" w:cs="Arial"/>
                <w:sz w:val="20"/>
                <w:szCs w:val="20"/>
              </w:rPr>
              <w:t xml:space="preserve"> Star</w:t>
            </w:r>
            <w:r w:rsidR="00D92DF8" w:rsidRPr="00D92DF8">
              <w:rPr>
                <w:rFonts w:ascii="Arial" w:hAnsi="Arial" w:cs="Arial"/>
                <w:sz w:val="20"/>
                <w:szCs w:val="20"/>
              </w:rPr>
              <w:t xml:space="preserve"> Standards Management</w:t>
            </w:r>
          </w:p>
        </w:tc>
        <w:tc>
          <w:tcPr>
            <w:tcW w:w="1836" w:type="dxa"/>
            <w:hideMark/>
          </w:tcPr>
          <w:p w14:paraId="4739F2AB" w14:textId="77777777" w:rsidR="00D92DF8" w:rsidRPr="00D92DF8" w:rsidRDefault="00D92DF8" w:rsidP="009402CF">
            <w:pPr>
              <w:rPr>
                <w:rFonts w:ascii="Arial" w:hAnsi="Arial" w:cs="Arial"/>
                <w:sz w:val="20"/>
                <w:szCs w:val="20"/>
              </w:rPr>
            </w:pPr>
            <w:r w:rsidRPr="00D92DF8">
              <w:rPr>
                <w:rFonts w:ascii="Arial" w:hAnsi="Arial" w:cs="Arial"/>
                <w:sz w:val="20"/>
                <w:szCs w:val="20"/>
              </w:rPr>
              <w:t>Issue 5 – 03/12/2011</w:t>
            </w:r>
          </w:p>
        </w:tc>
      </w:tr>
      <w:tr w:rsidR="00D92DF8" w:rsidRPr="00D92DF8" w14:paraId="06B1533C" w14:textId="77777777" w:rsidTr="009C4051">
        <w:tc>
          <w:tcPr>
            <w:tcW w:w="2977" w:type="dxa"/>
          </w:tcPr>
          <w:p w14:paraId="7205521F"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NR/L1/TEL/30102</w:t>
            </w:r>
          </w:p>
        </w:tc>
        <w:tc>
          <w:tcPr>
            <w:tcW w:w="3402" w:type="dxa"/>
          </w:tcPr>
          <w:p w14:paraId="512C5A2F" w14:textId="77777777" w:rsidR="00D92DF8" w:rsidRPr="00D92DF8" w:rsidRDefault="00D92DF8" w:rsidP="009402CF">
            <w:pPr>
              <w:rPr>
                <w:rFonts w:ascii="Arial" w:hAnsi="Arial" w:cs="Arial"/>
                <w:sz w:val="20"/>
                <w:szCs w:val="20"/>
              </w:rPr>
            </w:pPr>
            <w:r w:rsidRPr="00D92DF8">
              <w:rPr>
                <w:rFonts w:ascii="Arial" w:hAnsi="Arial" w:cs="Arial"/>
                <w:sz w:val="20"/>
                <w:szCs w:val="20"/>
              </w:rPr>
              <w:t>Telecom Asset Management Policy – Telecommunications Engineering</w:t>
            </w:r>
          </w:p>
        </w:tc>
        <w:tc>
          <w:tcPr>
            <w:tcW w:w="1836" w:type="dxa"/>
          </w:tcPr>
          <w:p w14:paraId="2D8C9EB5" w14:textId="77777777" w:rsidR="00D92DF8" w:rsidRPr="00D92DF8" w:rsidRDefault="00D92DF8" w:rsidP="009402CF">
            <w:pPr>
              <w:rPr>
                <w:rFonts w:ascii="Arial" w:hAnsi="Arial" w:cs="Arial"/>
                <w:sz w:val="20"/>
                <w:szCs w:val="20"/>
              </w:rPr>
            </w:pPr>
            <w:r w:rsidRPr="00D92DF8">
              <w:rPr>
                <w:rFonts w:ascii="Arial" w:hAnsi="Arial" w:cs="Arial"/>
                <w:sz w:val="20"/>
                <w:szCs w:val="20"/>
              </w:rPr>
              <w:t>Issue – 05/09/2009</w:t>
            </w:r>
          </w:p>
        </w:tc>
      </w:tr>
      <w:tr w:rsidR="00D92DF8" w:rsidRPr="00D92DF8" w14:paraId="2DEEB1E9" w14:textId="77777777" w:rsidTr="009C4051">
        <w:tc>
          <w:tcPr>
            <w:tcW w:w="2977" w:type="dxa"/>
          </w:tcPr>
          <w:p w14:paraId="5BD2D13A"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NR/L1/TEL/30099</w:t>
            </w:r>
          </w:p>
        </w:tc>
        <w:tc>
          <w:tcPr>
            <w:tcW w:w="3402" w:type="dxa"/>
          </w:tcPr>
          <w:p w14:paraId="41B19342" w14:textId="77777777" w:rsidR="00D92DF8" w:rsidRPr="00D92DF8" w:rsidRDefault="00D92DF8" w:rsidP="009402CF">
            <w:pPr>
              <w:rPr>
                <w:rFonts w:ascii="Arial" w:hAnsi="Arial" w:cs="Arial"/>
                <w:sz w:val="20"/>
                <w:szCs w:val="20"/>
              </w:rPr>
            </w:pPr>
            <w:r w:rsidRPr="00D92DF8">
              <w:rPr>
                <w:rFonts w:ascii="Arial" w:hAnsi="Arial" w:cs="Arial"/>
                <w:sz w:val="20"/>
                <w:szCs w:val="20"/>
              </w:rPr>
              <w:t>Telecom Asset Management</w:t>
            </w:r>
          </w:p>
        </w:tc>
        <w:tc>
          <w:tcPr>
            <w:tcW w:w="1836" w:type="dxa"/>
          </w:tcPr>
          <w:p w14:paraId="546B281D" w14:textId="77777777" w:rsidR="00D92DF8" w:rsidRPr="00D92DF8" w:rsidRDefault="00D92DF8" w:rsidP="009402CF">
            <w:pPr>
              <w:rPr>
                <w:rFonts w:ascii="Arial" w:hAnsi="Arial" w:cs="Arial"/>
                <w:sz w:val="20"/>
                <w:szCs w:val="20"/>
              </w:rPr>
            </w:pPr>
            <w:r w:rsidRPr="00D92DF8">
              <w:rPr>
                <w:rFonts w:ascii="Arial" w:hAnsi="Arial" w:cs="Arial"/>
                <w:sz w:val="20"/>
                <w:szCs w:val="20"/>
              </w:rPr>
              <w:t>Issue – 06/03/2010</w:t>
            </w:r>
          </w:p>
        </w:tc>
      </w:tr>
      <w:tr w:rsidR="00D92DF8" w:rsidRPr="00D92DF8" w14:paraId="3C380660" w14:textId="77777777" w:rsidTr="009C4051">
        <w:tc>
          <w:tcPr>
            <w:tcW w:w="2977" w:type="dxa"/>
          </w:tcPr>
          <w:p w14:paraId="392BF529"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NR/L3/MTC/SE0220/02</w:t>
            </w:r>
          </w:p>
        </w:tc>
        <w:tc>
          <w:tcPr>
            <w:tcW w:w="3402" w:type="dxa"/>
          </w:tcPr>
          <w:p w14:paraId="6669049A" w14:textId="77777777" w:rsidR="00D92DF8" w:rsidRPr="00D92DF8" w:rsidRDefault="00D92DF8" w:rsidP="009402CF">
            <w:pPr>
              <w:rPr>
                <w:rFonts w:ascii="Arial" w:hAnsi="Arial" w:cs="Arial"/>
                <w:sz w:val="20"/>
                <w:szCs w:val="20"/>
              </w:rPr>
            </w:pPr>
            <w:r w:rsidRPr="00D92DF8">
              <w:rPr>
                <w:rFonts w:ascii="Arial" w:hAnsi="Arial" w:cs="Arial"/>
                <w:sz w:val="20"/>
                <w:szCs w:val="20"/>
              </w:rPr>
              <w:t>Telecom Maintenance</w:t>
            </w:r>
          </w:p>
        </w:tc>
        <w:tc>
          <w:tcPr>
            <w:tcW w:w="1836" w:type="dxa"/>
          </w:tcPr>
          <w:p w14:paraId="65E2788F" w14:textId="77777777" w:rsidR="00D92DF8" w:rsidRPr="00D92DF8" w:rsidRDefault="00D92DF8" w:rsidP="009402CF">
            <w:pPr>
              <w:rPr>
                <w:rFonts w:ascii="Arial" w:hAnsi="Arial" w:cs="Arial"/>
                <w:sz w:val="20"/>
                <w:szCs w:val="20"/>
              </w:rPr>
            </w:pPr>
          </w:p>
        </w:tc>
      </w:tr>
      <w:tr w:rsidR="00D92DF8" w:rsidRPr="00D92DF8" w14:paraId="68CD8BA4" w14:textId="77777777" w:rsidTr="009C4051">
        <w:tc>
          <w:tcPr>
            <w:tcW w:w="2977" w:type="dxa"/>
          </w:tcPr>
          <w:p w14:paraId="4C597774"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NR/L3/INF/02231</w:t>
            </w:r>
          </w:p>
        </w:tc>
        <w:tc>
          <w:tcPr>
            <w:tcW w:w="3402" w:type="dxa"/>
          </w:tcPr>
          <w:p w14:paraId="1F486A2B" w14:textId="77777777" w:rsidR="00D92DF8" w:rsidRPr="00D92DF8" w:rsidRDefault="00D92DF8" w:rsidP="009402CF">
            <w:pPr>
              <w:rPr>
                <w:rFonts w:ascii="Arial" w:hAnsi="Arial" w:cs="Arial"/>
                <w:sz w:val="20"/>
                <w:szCs w:val="20"/>
              </w:rPr>
            </w:pPr>
            <w:r w:rsidRPr="00D92DF8">
              <w:rPr>
                <w:rFonts w:ascii="Arial" w:hAnsi="Arial" w:cs="Arial"/>
                <w:sz w:val="20"/>
                <w:szCs w:val="20"/>
              </w:rPr>
              <w:t>Disposal of Records</w:t>
            </w:r>
          </w:p>
        </w:tc>
        <w:tc>
          <w:tcPr>
            <w:tcW w:w="1836" w:type="dxa"/>
          </w:tcPr>
          <w:p w14:paraId="381DC2F9" w14:textId="77777777" w:rsidR="00D92DF8" w:rsidRPr="00D92DF8" w:rsidRDefault="00D92DF8" w:rsidP="009402CF">
            <w:pPr>
              <w:rPr>
                <w:rFonts w:ascii="Arial" w:hAnsi="Arial" w:cs="Arial"/>
                <w:sz w:val="20"/>
                <w:szCs w:val="20"/>
              </w:rPr>
            </w:pPr>
            <w:r w:rsidRPr="00D92DF8">
              <w:rPr>
                <w:rFonts w:ascii="Arial" w:hAnsi="Arial" w:cs="Arial"/>
                <w:sz w:val="20"/>
                <w:szCs w:val="20"/>
              </w:rPr>
              <w:t>03/03/2011</w:t>
            </w:r>
          </w:p>
        </w:tc>
      </w:tr>
      <w:tr w:rsidR="00D92DF8" w:rsidRPr="00D92DF8" w14:paraId="381D3C59" w14:textId="77777777" w:rsidTr="009C4051">
        <w:tc>
          <w:tcPr>
            <w:tcW w:w="2977" w:type="dxa"/>
          </w:tcPr>
          <w:p w14:paraId="307313D5"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NR/L2/INF/02223</w:t>
            </w:r>
          </w:p>
        </w:tc>
        <w:tc>
          <w:tcPr>
            <w:tcW w:w="3402" w:type="dxa"/>
          </w:tcPr>
          <w:p w14:paraId="49CC9284" w14:textId="77777777" w:rsidR="00D92DF8" w:rsidRPr="00D92DF8" w:rsidRDefault="00D92DF8" w:rsidP="009402CF">
            <w:pPr>
              <w:rPr>
                <w:rFonts w:ascii="Arial" w:hAnsi="Arial" w:cs="Arial"/>
                <w:sz w:val="20"/>
                <w:szCs w:val="20"/>
              </w:rPr>
            </w:pPr>
            <w:r w:rsidRPr="00D92DF8">
              <w:rPr>
                <w:rFonts w:ascii="Arial" w:hAnsi="Arial" w:cs="Arial"/>
                <w:sz w:val="20"/>
                <w:szCs w:val="20"/>
              </w:rPr>
              <w:t>Information Security Classification</w:t>
            </w:r>
          </w:p>
        </w:tc>
        <w:tc>
          <w:tcPr>
            <w:tcW w:w="1836" w:type="dxa"/>
          </w:tcPr>
          <w:p w14:paraId="481DBE60" w14:textId="77777777" w:rsidR="00D92DF8" w:rsidRPr="00D92DF8" w:rsidRDefault="00D92DF8" w:rsidP="009402CF">
            <w:pPr>
              <w:rPr>
                <w:rFonts w:ascii="Arial" w:hAnsi="Arial" w:cs="Arial"/>
                <w:sz w:val="20"/>
                <w:szCs w:val="20"/>
              </w:rPr>
            </w:pPr>
            <w:r w:rsidRPr="00D92DF8">
              <w:rPr>
                <w:rFonts w:ascii="Arial" w:hAnsi="Arial" w:cs="Arial"/>
                <w:sz w:val="20"/>
                <w:szCs w:val="20"/>
              </w:rPr>
              <w:t>05/06/2010</w:t>
            </w:r>
          </w:p>
        </w:tc>
      </w:tr>
      <w:tr w:rsidR="00D92DF8" w:rsidRPr="00D92DF8" w14:paraId="5D07E4BC" w14:textId="77777777" w:rsidTr="009C4051">
        <w:tc>
          <w:tcPr>
            <w:tcW w:w="2977" w:type="dxa"/>
          </w:tcPr>
          <w:p w14:paraId="54A0E325"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lastRenderedPageBreak/>
              <w:t>NR/L3/INF/02221</w:t>
            </w:r>
          </w:p>
        </w:tc>
        <w:tc>
          <w:tcPr>
            <w:tcW w:w="3402" w:type="dxa"/>
          </w:tcPr>
          <w:p w14:paraId="3B36E0DA" w14:textId="77777777" w:rsidR="00D92DF8" w:rsidRPr="00D92DF8" w:rsidRDefault="00D92DF8" w:rsidP="009402CF">
            <w:pPr>
              <w:rPr>
                <w:rFonts w:ascii="Arial" w:hAnsi="Arial" w:cs="Arial"/>
                <w:sz w:val="20"/>
                <w:szCs w:val="20"/>
              </w:rPr>
            </w:pPr>
            <w:r w:rsidRPr="00D92DF8">
              <w:rPr>
                <w:rFonts w:ascii="Arial" w:hAnsi="Arial" w:cs="Arial"/>
                <w:sz w:val="20"/>
                <w:szCs w:val="20"/>
              </w:rPr>
              <w:t>Document creation and approval</w:t>
            </w:r>
          </w:p>
        </w:tc>
        <w:tc>
          <w:tcPr>
            <w:tcW w:w="1836" w:type="dxa"/>
          </w:tcPr>
          <w:p w14:paraId="435CDFF0" w14:textId="77777777" w:rsidR="00D92DF8" w:rsidRPr="00D92DF8" w:rsidRDefault="00D92DF8" w:rsidP="009402CF">
            <w:pPr>
              <w:rPr>
                <w:rFonts w:ascii="Arial" w:hAnsi="Arial" w:cs="Arial"/>
                <w:sz w:val="20"/>
                <w:szCs w:val="20"/>
              </w:rPr>
            </w:pPr>
            <w:r w:rsidRPr="00D92DF8">
              <w:rPr>
                <w:rFonts w:ascii="Arial" w:hAnsi="Arial" w:cs="Arial"/>
                <w:sz w:val="20"/>
                <w:szCs w:val="20"/>
              </w:rPr>
              <w:t>01/10/2009</w:t>
            </w:r>
          </w:p>
        </w:tc>
      </w:tr>
      <w:tr w:rsidR="00D92DF8" w:rsidRPr="00D92DF8" w14:paraId="2C82D4B3" w14:textId="77777777" w:rsidTr="009C4051">
        <w:tc>
          <w:tcPr>
            <w:tcW w:w="2977" w:type="dxa"/>
          </w:tcPr>
          <w:p w14:paraId="12DEE561"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NR/L2/INF/02220</w:t>
            </w:r>
          </w:p>
        </w:tc>
        <w:tc>
          <w:tcPr>
            <w:tcW w:w="3402" w:type="dxa"/>
          </w:tcPr>
          <w:p w14:paraId="0C126EFE" w14:textId="77777777" w:rsidR="00D92DF8" w:rsidRPr="00D92DF8" w:rsidRDefault="00D92DF8" w:rsidP="009402CF">
            <w:pPr>
              <w:rPr>
                <w:rFonts w:ascii="Arial" w:hAnsi="Arial" w:cs="Arial"/>
                <w:sz w:val="20"/>
                <w:szCs w:val="20"/>
              </w:rPr>
            </w:pPr>
            <w:r w:rsidRPr="00D92DF8">
              <w:rPr>
                <w:rFonts w:ascii="Arial" w:hAnsi="Arial" w:cs="Arial"/>
                <w:sz w:val="20"/>
                <w:szCs w:val="20"/>
              </w:rPr>
              <w:t>Document and records management</w:t>
            </w:r>
          </w:p>
        </w:tc>
        <w:tc>
          <w:tcPr>
            <w:tcW w:w="1836" w:type="dxa"/>
          </w:tcPr>
          <w:p w14:paraId="3A38B4F4" w14:textId="77777777" w:rsidR="00D92DF8" w:rsidRPr="00D92DF8" w:rsidRDefault="00D92DF8" w:rsidP="009402CF">
            <w:pPr>
              <w:rPr>
                <w:rFonts w:ascii="Arial" w:hAnsi="Arial" w:cs="Arial"/>
                <w:sz w:val="20"/>
                <w:szCs w:val="20"/>
              </w:rPr>
            </w:pPr>
          </w:p>
        </w:tc>
      </w:tr>
      <w:tr w:rsidR="00D92DF8" w:rsidRPr="00D92DF8" w14:paraId="533831BE" w14:textId="77777777" w:rsidTr="009C4051">
        <w:tc>
          <w:tcPr>
            <w:tcW w:w="2977" w:type="dxa"/>
          </w:tcPr>
          <w:p w14:paraId="3226AB9F"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NR/L3/INF/02222</w:t>
            </w:r>
          </w:p>
        </w:tc>
        <w:tc>
          <w:tcPr>
            <w:tcW w:w="3402" w:type="dxa"/>
          </w:tcPr>
          <w:p w14:paraId="1092CF60" w14:textId="77777777" w:rsidR="00D92DF8" w:rsidRPr="00D92DF8" w:rsidRDefault="00D92DF8" w:rsidP="009402CF">
            <w:pPr>
              <w:rPr>
                <w:rFonts w:ascii="Arial" w:hAnsi="Arial" w:cs="Arial"/>
                <w:sz w:val="20"/>
                <w:szCs w:val="20"/>
              </w:rPr>
            </w:pPr>
            <w:r w:rsidRPr="00D92DF8">
              <w:rPr>
                <w:rFonts w:ascii="Arial" w:hAnsi="Arial" w:cs="Arial"/>
                <w:sz w:val="20"/>
                <w:szCs w:val="20"/>
              </w:rPr>
              <w:t>Metadata for documents and records</w:t>
            </w:r>
          </w:p>
        </w:tc>
        <w:tc>
          <w:tcPr>
            <w:tcW w:w="1836" w:type="dxa"/>
          </w:tcPr>
          <w:p w14:paraId="6B2A5CD4" w14:textId="77777777" w:rsidR="00D92DF8" w:rsidRPr="00D92DF8" w:rsidRDefault="00D92DF8" w:rsidP="009402CF">
            <w:pPr>
              <w:rPr>
                <w:rFonts w:ascii="Arial" w:hAnsi="Arial" w:cs="Arial"/>
                <w:sz w:val="20"/>
                <w:szCs w:val="20"/>
              </w:rPr>
            </w:pPr>
          </w:p>
        </w:tc>
      </w:tr>
      <w:tr w:rsidR="00D92DF8" w:rsidRPr="00D92DF8" w14:paraId="6500897A" w14:textId="77777777" w:rsidTr="009C4051">
        <w:tc>
          <w:tcPr>
            <w:tcW w:w="2977" w:type="dxa"/>
          </w:tcPr>
          <w:p w14:paraId="2DD92243"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NR/L3/INF/02224</w:t>
            </w:r>
          </w:p>
        </w:tc>
        <w:tc>
          <w:tcPr>
            <w:tcW w:w="3402" w:type="dxa"/>
          </w:tcPr>
          <w:p w14:paraId="7E042ED1" w14:textId="77777777" w:rsidR="00D92DF8" w:rsidRPr="00D92DF8" w:rsidRDefault="00D92DF8" w:rsidP="009402CF">
            <w:pPr>
              <w:rPr>
                <w:rFonts w:ascii="Arial" w:hAnsi="Arial" w:cs="Arial"/>
                <w:sz w:val="20"/>
                <w:szCs w:val="20"/>
              </w:rPr>
            </w:pPr>
            <w:r w:rsidRPr="00D92DF8">
              <w:rPr>
                <w:rFonts w:ascii="Arial" w:hAnsi="Arial" w:cs="Arial"/>
                <w:sz w:val="20"/>
                <w:szCs w:val="20"/>
              </w:rPr>
              <w:t>Sharing framework for information</w:t>
            </w:r>
          </w:p>
        </w:tc>
        <w:tc>
          <w:tcPr>
            <w:tcW w:w="1836" w:type="dxa"/>
          </w:tcPr>
          <w:p w14:paraId="0184F6E6" w14:textId="77777777" w:rsidR="00D92DF8" w:rsidRPr="00D92DF8" w:rsidRDefault="00D92DF8" w:rsidP="009402CF">
            <w:pPr>
              <w:rPr>
                <w:rFonts w:ascii="Arial" w:hAnsi="Arial" w:cs="Arial"/>
                <w:sz w:val="20"/>
                <w:szCs w:val="20"/>
              </w:rPr>
            </w:pPr>
          </w:p>
        </w:tc>
      </w:tr>
      <w:tr w:rsidR="00D92DF8" w:rsidRPr="00D92DF8" w14:paraId="41C0BBB8" w14:textId="77777777" w:rsidTr="009C4051">
        <w:tc>
          <w:tcPr>
            <w:tcW w:w="2977" w:type="dxa"/>
          </w:tcPr>
          <w:p w14:paraId="60A708CD"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NR/L3/INF/02225</w:t>
            </w:r>
          </w:p>
        </w:tc>
        <w:tc>
          <w:tcPr>
            <w:tcW w:w="3402" w:type="dxa"/>
          </w:tcPr>
          <w:p w14:paraId="030992F8" w14:textId="77777777" w:rsidR="00D92DF8" w:rsidRPr="00D92DF8" w:rsidRDefault="00D92DF8" w:rsidP="009402CF">
            <w:pPr>
              <w:rPr>
                <w:rFonts w:ascii="Arial" w:hAnsi="Arial" w:cs="Arial"/>
                <w:sz w:val="20"/>
                <w:szCs w:val="20"/>
              </w:rPr>
            </w:pPr>
            <w:r w:rsidRPr="00D92DF8">
              <w:rPr>
                <w:rFonts w:ascii="Arial" w:hAnsi="Arial" w:cs="Arial"/>
                <w:sz w:val="20"/>
                <w:szCs w:val="20"/>
              </w:rPr>
              <w:t>Records Management</w:t>
            </w:r>
          </w:p>
        </w:tc>
        <w:tc>
          <w:tcPr>
            <w:tcW w:w="1836" w:type="dxa"/>
          </w:tcPr>
          <w:p w14:paraId="2157D630" w14:textId="77777777" w:rsidR="00D92DF8" w:rsidRPr="00D92DF8" w:rsidRDefault="00D92DF8" w:rsidP="009402CF">
            <w:pPr>
              <w:rPr>
                <w:rFonts w:ascii="Arial" w:hAnsi="Arial" w:cs="Arial"/>
                <w:sz w:val="20"/>
                <w:szCs w:val="20"/>
              </w:rPr>
            </w:pPr>
          </w:p>
        </w:tc>
      </w:tr>
      <w:tr w:rsidR="00D92DF8" w:rsidRPr="00D92DF8" w14:paraId="18E01B20" w14:textId="77777777" w:rsidTr="009C4051">
        <w:tc>
          <w:tcPr>
            <w:tcW w:w="2977" w:type="dxa"/>
          </w:tcPr>
          <w:p w14:paraId="19EE48E1"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NR/L3/INF/02226</w:t>
            </w:r>
          </w:p>
        </w:tc>
        <w:tc>
          <w:tcPr>
            <w:tcW w:w="3402" w:type="dxa"/>
          </w:tcPr>
          <w:p w14:paraId="656E9AB4" w14:textId="77777777" w:rsidR="00D92DF8" w:rsidRPr="00D92DF8" w:rsidRDefault="00D92DF8" w:rsidP="009402CF">
            <w:pPr>
              <w:rPr>
                <w:rFonts w:ascii="Arial" w:hAnsi="Arial" w:cs="Arial"/>
                <w:sz w:val="20"/>
                <w:szCs w:val="20"/>
              </w:rPr>
            </w:pPr>
            <w:r w:rsidRPr="00D92DF8">
              <w:rPr>
                <w:rFonts w:ascii="Arial" w:hAnsi="Arial" w:cs="Arial"/>
                <w:sz w:val="20"/>
                <w:szCs w:val="20"/>
              </w:rPr>
              <w:t>Corporate Records Retention Schedule</w:t>
            </w:r>
          </w:p>
        </w:tc>
        <w:tc>
          <w:tcPr>
            <w:tcW w:w="1836" w:type="dxa"/>
          </w:tcPr>
          <w:p w14:paraId="5F31E9B8" w14:textId="77777777" w:rsidR="00D92DF8" w:rsidRPr="00D92DF8" w:rsidRDefault="00D92DF8" w:rsidP="009402CF">
            <w:pPr>
              <w:rPr>
                <w:rFonts w:ascii="Arial" w:hAnsi="Arial" w:cs="Arial"/>
                <w:sz w:val="20"/>
                <w:szCs w:val="20"/>
              </w:rPr>
            </w:pPr>
          </w:p>
        </w:tc>
      </w:tr>
      <w:tr w:rsidR="00D92DF8" w:rsidRPr="00D92DF8" w14:paraId="4EEA2810" w14:textId="77777777" w:rsidTr="009C4051">
        <w:tc>
          <w:tcPr>
            <w:tcW w:w="2977" w:type="dxa"/>
          </w:tcPr>
          <w:p w14:paraId="687D67F3"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NR/L2/INF/02230</w:t>
            </w:r>
          </w:p>
        </w:tc>
        <w:tc>
          <w:tcPr>
            <w:tcW w:w="3402" w:type="dxa"/>
          </w:tcPr>
          <w:p w14:paraId="2E09C080" w14:textId="77777777" w:rsidR="00D92DF8" w:rsidRPr="00D92DF8" w:rsidRDefault="00D92DF8" w:rsidP="009402CF">
            <w:pPr>
              <w:rPr>
                <w:rFonts w:ascii="Arial" w:hAnsi="Arial" w:cs="Arial"/>
                <w:sz w:val="20"/>
                <w:szCs w:val="20"/>
              </w:rPr>
            </w:pPr>
            <w:r w:rsidRPr="00D92DF8">
              <w:rPr>
                <w:rFonts w:ascii="Arial" w:hAnsi="Arial" w:cs="Arial"/>
                <w:sz w:val="20"/>
                <w:szCs w:val="20"/>
              </w:rPr>
              <w:t>Corporate Archive Policy</w:t>
            </w:r>
          </w:p>
        </w:tc>
        <w:tc>
          <w:tcPr>
            <w:tcW w:w="1836" w:type="dxa"/>
          </w:tcPr>
          <w:p w14:paraId="472AC591" w14:textId="77777777" w:rsidR="00D92DF8" w:rsidRPr="00D92DF8" w:rsidRDefault="00D92DF8" w:rsidP="009402CF">
            <w:pPr>
              <w:rPr>
                <w:rFonts w:ascii="Arial" w:hAnsi="Arial" w:cs="Arial"/>
                <w:sz w:val="20"/>
                <w:szCs w:val="20"/>
              </w:rPr>
            </w:pPr>
          </w:p>
        </w:tc>
      </w:tr>
      <w:tr w:rsidR="00D92DF8" w:rsidRPr="00D92DF8" w14:paraId="7671A602" w14:textId="77777777" w:rsidTr="009C4051">
        <w:tc>
          <w:tcPr>
            <w:tcW w:w="2977" w:type="dxa"/>
          </w:tcPr>
          <w:p w14:paraId="080FC63B"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NR/L3/INI/P3M/131</w:t>
            </w:r>
          </w:p>
        </w:tc>
        <w:tc>
          <w:tcPr>
            <w:tcW w:w="3402" w:type="dxa"/>
          </w:tcPr>
          <w:p w14:paraId="603485CC" w14:textId="77777777" w:rsidR="00D92DF8" w:rsidRPr="00D92DF8" w:rsidRDefault="00D92DF8" w:rsidP="009402CF">
            <w:pPr>
              <w:rPr>
                <w:rFonts w:ascii="Arial" w:hAnsi="Arial" w:cs="Arial"/>
                <w:sz w:val="20"/>
                <w:szCs w:val="20"/>
              </w:rPr>
            </w:pPr>
            <w:r w:rsidRPr="00D92DF8">
              <w:rPr>
                <w:rFonts w:ascii="Arial" w:hAnsi="Arial" w:cs="Arial"/>
                <w:sz w:val="20"/>
                <w:szCs w:val="20"/>
              </w:rPr>
              <w:t>Document Management Manual</w:t>
            </w:r>
          </w:p>
        </w:tc>
        <w:tc>
          <w:tcPr>
            <w:tcW w:w="1836" w:type="dxa"/>
          </w:tcPr>
          <w:p w14:paraId="59FDBE12" w14:textId="77777777" w:rsidR="00D92DF8" w:rsidRPr="00D92DF8" w:rsidRDefault="00D92DF8" w:rsidP="009402CF">
            <w:pPr>
              <w:rPr>
                <w:rFonts w:ascii="Arial" w:hAnsi="Arial" w:cs="Arial"/>
                <w:sz w:val="20"/>
                <w:szCs w:val="20"/>
              </w:rPr>
            </w:pPr>
          </w:p>
        </w:tc>
      </w:tr>
      <w:tr w:rsidR="00D92DF8" w:rsidRPr="00D92DF8" w14:paraId="622E4D11" w14:textId="77777777" w:rsidTr="009C4051">
        <w:tc>
          <w:tcPr>
            <w:tcW w:w="2977" w:type="dxa"/>
          </w:tcPr>
          <w:p w14:paraId="00FA8308"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NR/L3/INI/P3M/131/01</w:t>
            </w:r>
          </w:p>
        </w:tc>
        <w:tc>
          <w:tcPr>
            <w:tcW w:w="3402" w:type="dxa"/>
          </w:tcPr>
          <w:p w14:paraId="25817764" w14:textId="77777777" w:rsidR="00D92DF8" w:rsidRPr="00D92DF8" w:rsidRDefault="00D92DF8" w:rsidP="009402CF">
            <w:pPr>
              <w:rPr>
                <w:rFonts w:ascii="Arial" w:hAnsi="Arial" w:cs="Arial"/>
                <w:sz w:val="20"/>
                <w:szCs w:val="20"/>
              </w:rPr>
            </w:pPr>
            <w:r w:rsidRPr="00D92DF8">
              <w:rPr>
                <w:rFonts w:ascii="Arial" w:hAnsi="Arial" w:cs="Arial"/>
                <w:sz w:val="20"/>
                <w:szCs w:val="20"/>
              </w:rPr>
              <w:t>Document Management Procedure</w:t>
            </w:r>
          </w:p>
        </w:tc>
        <w:tc>
          <w:tcPr>
            <w:tcW w:w="1836" w:type="dxa"/>
          </w:tcPr>
          <w:p w14:paraId="72CDF49E" w14:textId="77777777" w:rsidR="00D92DF8" w:rsidRPr="00D92DF8" w:rsidRDefault="00D92DF8" w:rsidP="009402CF">
            <w:pPr>
              <w:rPr>
                <w:rFonts w:ascii="Arial" w:hAnsi="Arial" w:cs="Arial"/>
                <w:sz w:val="20"/>
                <w:szCs w:val="20"/>
              </w:rPr>
            </w:pPr>
          </w:p>
        </w:tc>
      </w:tr>
      <w:tr w:rsidR="00D92DF8" w:rsidRPr="00D92DF8" w14:paraId="0F2975FC" w14:textId="77777777" w:rsidTr="009C4051">
        <w:tc>
          <w:tcPr>
            <w:tcW w:w="2977" w:type="dxa"/>
          </w:tcPr>
          <w:p w14:paraId="254F6A8E"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NR/L2/INF/02237</w:t>
            </w:r>
          </w:p>
        </w:tc>
        <w:tc>
          <w:tcPr>
            <w:tcW w:w="3402" w:type="dxa"/>
          </w:tcPr>
          <w:p w14:paraId="72B79A35" w14:textId="77777777" w:rsidR="00D92DF8" w:rsidRPr="00D92DF8" w:rsidRDefault="00D92DF8" w:rsidP="009402CF">
            <w:pPr>
              <w:rPr>
                <w:rFonts w:ascii="Arial" w:hAnsi="Arial" w:cs="Arial"/>
                <w:sz w:val="20"/>
                <w:szCs w:val="20"/>
              </w:rPr>
            </w:pPr>
            <w:r w:rsidRPr="00D92DF8">
              <w:rPr>
                <w:rFonts w:ascii="Arial" w:hAnsi="Arial" w:cs="Arial"/>
                <w:sz w:val="20"/>
                <w:szCs w:val="20"/>
              </w:rPr>
              <w:t>Electronic Signatures</w:t>
            </w:r>
          </w:p>
        </w:tc>
        <w:tc>
          <w:tcPr>
            <w:tcW w:w="1836" w:type="dxa"/>
          </w:tcPr>
          <w:p w14:paraId="08A3CE2E" w14:textId="77777777" w:rsidR="00D92DF8" w:rsidRPr="00D92DF8" w:rsidRDefault="00D92DF8" w:rsidP="009402CF">
            <w:pPr>
              <w:rPr>
                <w:rFonts w:ascii="Arial" w:hAnsi="Arial" w:cs="Arial"/>
                <w:sz w:val="20"/>
                <w:szCs w:val="20"/>
              </w:rPr>
            </w:pPr>
          </w:p>
        </w:tc>
      </w:tr>
      <w:tr w:rsidR="00D92DF8" w:rsidRPr="00D92DF8" w14:paraId="3BD41243" w14:textId="77777777" w:rsidTr="009C4051">
        <w:tc>
          <w:tcPr>
            <w:tcW w:w="2977" w:type="dxa"/>
          </w:tcPr>
          <w:p w14:paraId="449FEBA9"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NR/L2/INI/02009</w:t>
            </w:r>
          </w:p>
        </w:tc>
        <w:tc>
          <w:tcPr>
            <w:tcW w:w="3402" w:type="dxa"/>
          </w:tcPr>
          <w:p w14:paraId="46208531" w14:textId="77777777" w:rsidR="00D92DF8" w:rsidRPr="00D92DF8" w:rsidRDefault="00D92DF8" w:rsidP="009402CF">
            <w:pPr>
              <w:rPr>
                <w:rFonts w:ascii="Arial" w:hAnsi="Arial" w:cs="Arial"/>
                <w:sz w:val="20"/>
                <w:szCs w:val="20"/>
              </w:rPr>
            </w:pPr>
            <w:r w:rsidRPr="00D92DF8">
              <w:rPr>
                <w:rFonts w:ascii="Arial" w:hAnsi="Arial" w:cs="Arial"/>
                <w:sz w:val="20"/>
                <w:szCs w:val="20"/>
              </w:rPr>
              <w:t>Engineering Management for Projects</w:t>
            </w:r>
          </w:p>
        </w:tc>
        <w:tc>
          <w:tcPr>
            <w:tcW w:w="1836" w:type="dxa"/>
          </w:tcPr>
          <w:p w14:paraId="68A277A0" w14:textId="77777777" w:rsidR="00D92DF8" w:rsidRPr="00D92DF8" w:rsidRDefault="00D92DF8" w:rsidP="009402CF">
            <w:pPr>
              <w:rPr>
                <w:rFonts w:ascii="Arial" w:hAnsi="Arial" w:cs="Arial"/>
                <w:sz w:val="20"/>
                <w:szCs w:val="20"/>
              </w:rPr>
            </w:pPr>
          </w:p>
        </w:tc>
      </w:tr>
      <w:tr w:rsidR="00D92DF8" w:rsidRPr="00D92DF8" w14:paraId="707EEB95" w14:textId="77777777" w:rsidTr="009C4051">
        <w:tc>
          <w:tcPr>
            <w:tcW w:w="2977" w:type="dxa"/>
          </w:tcPr>
          <w:p w14:paraId="51CD65B6" w14:textId="77777777" w:rsidR="00D92DF8" w:rsidRPr="00D92DF8" w:rsidRDefault="00D92DF8" w:rsidP="009C4051">
            <w:pPr>
              <w:pStyle w:val="Level3"/>
              <w:spacing w:line="240" w:lineRule="auto"/>
              <w:ind w:left="175" w:right="76" w:firstLine="0"/>
              <w:jc w:val="left"/>
              <w:rPr>
                <w:rFonts w:ascii="Arial" w:hAnsi="Arial" w:cs="Arial"/>
                <w:sz w:val="20"/>
              </w:rPr>
            </w:pPr>
            <w:r w:rsidRPr="00D92DF8">
              <w:rPr>
                <w:rFonts w:ascii="Arial" w:hAnsi="Arial" w:cs="Arial"/>
                <w:sz w:val="20"/>
              </w:rPr>
              <w:t>NR/L2/INI/P3M/101</w:t>
            </w:r>
          </w:p>
        </w:tc>
        <w:tc>
          <w:tcPr>
            <w:tcW w:w="3402" w:type="dxa"/>
          </w:tcPr>
          <w:p w14:paraId="4FC3DAFF" w14:textId="41AF1C24" w:rsidR="00D92DF8" w:rsidRPr="00D92DF8" w:rsidRDefault="00D92DF8" w:rsidP="009402CF">
            <w:pPr>
              <w:rPr>
                <w:rFonts w:ascii="Arial" w:hAnsi="Arial" w:cs="Arial"/>
                <w:sz w:val="20"/>
                <w:szCs w:val="20"/>
              </w:rPr>
            </w:pPr>
            <w:r w:rsidRPr="00D92DF8">
              <w:rPr>
                <w:rFonts w:ascii="Arial" w:hAnsi="Arial" w:cs="Arial"/>
                <w:sz w:val="20"/>
                <w:szCs w:val="20"/>
              </w:rPr>
              <w:t xml:space="preserve">Governance for </w:t>
            </w:r>
            <w:r w:rsidR="007A2AA0">
              <w:rPr>
                <w:rFonts w:ascii="Arial" w:hAnsi="Arial" w:cs="Arial"/>
                <w:sz w:val="20"/>
                <w:szCs w:val="20"/>
              </w:rPr>
              <w:t>Asset set</w:t>
            </w:r>
            <w:r w:rsidRPr="00D92DF8">
              <w:rPr>
                <w:rFonts w:ascii="Arial" w:hAnsi="Arial" w:cs="Arial"/>
                <w:sz w:val="20"/>
                <w:szCs w:val="20"/>
              </w:rPr>
              <w:t xml:space="preserve"> Investment Proj</w:t>
            </w:r>
            <w:r w:rsidR="007A13EA">
              <w:rPr>
                <w:rFonts w:ascii="Arial" w:hAnsi="Arial" w:cs="Arial"/>
                <w:sz w:val="20"/>
                <w:szCs w:val="20"/>
              </w:rPr>
              <w:t>e</w:t>
            </w:r>
            <w:r w:rsidRPr="00D92DF8">
              <w:rPr>
                <w:rFonts w:ascii="Arial" w:hAnsi="Arial" w:cs="Arial"/>
                <w:sz w:val="20"/>
                <w:szCs w:val="20"/>
              </w:rPr>
              <w:t>cts (GRIP) - Projects</w:t>
            </w:r>
          </w:p>
        </w:tc>
        <w:tc>
          <w:tcPr>
            <w:tcW w:w="1836" w:type="dxa"/>
          </w:tcPr>
          <w:p w14:paraId="27B54759" w14:textId="77777777" w:rsidR="00D92DF8" w:rsidRPr="00D92DF8" w:rsidRDefault="00D92DF8" w:rsidP="009402CF">
            <w:pPr>
              <w:rPr>
                <w:rFonts w:ascii="Arial" w:hAnsi="Arial" w:cs="Arial"/>
                <w:sz w:val="20"/>
                <w:szCs w:val="20"/>
              </w:rPr>
            </w:pPr>
          </w:p>
        </w:tc>
      </w:tr>
    </w:tbl>
    <w:p w14:paraId="5020B38E" w14:textId="77777777" w:rsidR="00D92DF8" w:rsidRPr="00A23784" w:rsidRDefault="00D92DF8" w:rsidP="009402CF">
      <w:pPr>
        <w:rPr>
          <w:rFonts w:cs="Arial"/>
        </w:rPr>
      </w:pPr>
    </w:p>
    <w:p w14:paraId="4A8CD447" w14:textId="77777777" w:rsidR="00CE5734" w:rsidRDefault="00CE5734" w:rsidP="00CE5734">
      <w:pPr>
        <w:ind w:left="0" w:firstLine="0"/>
        <w:rPr>
          <w:rFonts w:cs="Arial"/>
        </w:rPr>
      </w:pPr>
    </w:p>
    <w:p w14:paraId="6893AB7A" w14:textId="04264AFB" w:rsidR="00CE5734" w:rsidRDefault="00CE5734">
      <w:pPr>
        <w:rPr>
          <w:rFonts w:ascii="Verdana" w:hAnsi="Verdana" w:cs="Arial"/>
          <w:color w:val="auto"/>
          <w:szCs w:val="20"/>
        </w:rPr>
      </w:pPr>
      <w:r>
        <w:rPr>
          <w:rFonts w:cs="Arial"/>
        </w:rPr>
        <w:br w:type="page"/>
      </w:r>
    </w:p>
    <w:p w14:paraId="23BC12B1" w14:textId="59C617CF" w:rsidR="004356D9" w:rsidRPr="000E5786" w:rsidRDefault="004356D9" w:rsidP="00DD60F0">
      <w:pPr>
        <w:pStyle w:val="Level1"/>
        <w:keepNext/>
        <w:numPr>
          <w:ilvl w:val="0"/>
          <w:numId w:val="0"/>
        </w:numPr>
        <w:spacing w:after="120" w:line="240" w:lineRule="auto"/>
        <w:ind w:left="851"/>
        <w:jc w:val="center"/>
        <w:rPr>
          <w:rFonts w:ascii="Arial" w:hAnsi="Arial" w:cs="Arial"/>
          <w:b/>
          <w:bCs/>
        </w:rPr>
      </w:pPr>
      <w:r w:rsidRPr="000E5786">
        <w:rPr>
          <w:rFonts w:ascii="Arial" w:hAnsi="Arial" w:cs="Arial"/>
          <w:b/>
          <w:bCs/>
        </w:rPr>
        <w:lastRenderedPageBreak/>
        <w:t>SCHEDULE 2.5</w:t>
      </w:r>
    </w:p>
    <w:p w14:paraId="343B2A3F" w14:textId="502ECA1E" w:rsidR="004356D9" w:rsidRPr="000E5786" w:rsidRDefault="004356D9" w:rsidP="00DD60F0">
      <w:pPr>
        <w:pStyle w:val="Level1"/>
        <w:keepNext/>
        <w:numPr>
          <w:ilvl w:val="0"/>
          <w:numId w:val="0"/>
        </w:numPr>
        <w:spacing w:after="120" w:line="240" w:lineRule="auto"/>
        <w:ind w:left="851"/>
        <w:jc w:val="center"/>
        <w:rPr>
          <w:rFonts w:ascii="Arial" w:hAnsi="Arial" w:cs="Arial"/>
          <w:b/>
          <w:bCs/>
        </w:rPr>
      </w:pPr>
      <w:r w:rsidRPr="000E5786">
        <w:rPr>
          <w:rFonts w:ascii="Arial" w:hAnsi="Arial" w:cs="Arial"/>
          <w:b/>
          <w:bCs/>
        </w:rPr>
        <w:t>CUSTOMER LOCATIONS</w:t>
      </w:r>
    </w:p>
    <w:p w14:paraId="240834A5" w14:textId="29FE1493" w:rsidR="004C127E" w:rsidRPr="000E5786" w:rsidRDefault="001F1C19" w:rsidP="009D675B">
      <w:pPr>
        <w:pStyle w:val="Heading1"/>
        <w:numPr>
          <w:ilvl w:val="0"/>
          <w:numId w:val="36"/>
        </w:numPr>
        <w:spacing w:after="120"/>
        <w:rPr>
          <w:rFonts w:cs="Arial"/>
          <w:szCs w:val="20"/>
        </w:rPr>
      </w:pPr>
      <w:r>
        <w:rPr>
          <w:rFonts w:cs="Arial"/>
          <w:szCs w:val="20"/>
        </w:rPr>
        <w:t>Netlink Star</w:t>
      </w:r>
      <w:r w:rsidR="004C127E" w:rsidRPr="000E5786">
        <w:rPr>
          <w:rFonts w:cs="Arial"/>
          <w:szCs w:val="20"/>
        </w:rPr>
        <w:t xml:space="preserve"> Premises</w:t>
      </w:r>
    </w:p>
    <w:p w14:paraId="69D86173" w14:textId="136811D7" w:rsidR="004C127E" w:rsidRPr="000E5786" w:rsidRDefault="004C127E" w:rsidP="00BB3F9B">
      <w:pPr>
        <w:pStyle w:val="Heading2"/>
        <w:spacing w:after="120"/>
        <w:rPr>
          <w:rFonts w:cs="Arial"/>
          <w:szCs w:val="20"/>
        </w:rPr>
      </w:pPr>
      <w:r w:rsidRPr="000E5786">
        <w:rPr>
          <w:rFonts w:cs="Arial"/>
          <w:szCs w:val="20"/>
        </w:rPr>
        <w:t xml:space="preserve">The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Premises include the Service Management Locations, Data Centre Locations and Other DCs.</w:t>
      </w:r>
    </w:p>
    <w:p w14:paraId="2D1F6BDE" w14:textId="77777777" w:rsidR="004C127E" w:rsidRPr="000E5786" w:rsidRDefault="004C127E" w:rsidP="00BB3F9B">
      <w:pPr>
        <w:pStyle w:val="Heading2"/>
        <w:spacing w:after="120"/>
        <w:rPr>
          <w:rFonts w:cs="Arial"/>
          <w:szCs w:val="20"/>
        </w:rPr>
      </w:pPr>
      <w:r w:rsidRPr="000E5786">
        <w:rPr>
          <w:rFonts w:cs="Arial"/>
          <w:szCs w:val="20"/>
        </w:rPr>
        <w:t>The Data Centre Locations are:</w:t>
      </w:r>
    </w:p>
    <w:p w14:paraId="2979FD7D" w14:textId="77777777" w:rsidR="004C127E" w:rsidRPr="00CE5734" w:rsidRDefault="004C127E" w:rsidP="00346A37">
      <w:pPr>
        <w:pStyle w:val="Heading3"/>
      </w:pPr>
      <w:r w:rsidRPr="00CE5734">
        <w:t>Current Data Centres</w:t>
      </w:r>
    </w:p>
    <w:p w14:paraId="47FE7615" w14:textId="0255F6F7" w:rsidR="004C127E" w:rsidRPr="000E5786" w:rsidRDefault="004C127E" w:rsidP="00CE5734">
      <w:pPr>
        <w:pStyle w:val="Heading4"/>
        <w:tabs>
          <w:tab w:val="clear" w:pos="1702"/>
        </w:tabs>
        <w:spacing w:after="120"/>
        <w:ind w:left="2410"/>
        <w:rPr>
          <w:rFonts w:cs="Arial"/>
          <w:szCs w:val="20"/>
        </w:rPr>
      </w:pPr>
      <w:bookmarkStart w:id="1692" w:name="_Hlk85709976"/>
      <w:r w:rsidRPr="000E5786">
        <w:rPr>
          <w:rFonts w:cs="Arial"/>
          <w:szCs w:val="20"/>
        </w:rPr>
        <w:t xml:space="preserve">The </w:t>
      </w:r>
      <w:proofErr w:type="spellStart"/>
      <w:r w:rsidR="007A2AA0">
        <w:rPr>
          <w:rFonts w:cs="Arial"/>
          <w:szCs w:val="20"/>
        </w:rPr>
        <w:t>Dimble</w:t>
      </w:r>
      <w:proofErr w:type="spellEnd"/>
      <w:r w:rsidRPr="000E5786">
        <w:rPr>
          <w:rFonts w:cs="Arial"/>
          <w:szCs w:val="20"/>
        </w:rPr>
        <w:t xml:space="preserve"> Centre (“</w:t>
      </w:r>
      <w:proofErr w:type="spellStart"/>
      <w:r w:rsidR="007A2AA0">
        <w:rPr>
          <w:rFonts w:cs="Arial"/>
          <w:b/>
          <w:bCs w:val="0"/>
          <w:szCs w:val="20"/>
        </w:rPr>
        <w:t>Dimble</w:t>
      </w:r>
      <w:proofErr w:type="spellEnd"/>
      <w:r w:rsidR="00CE5734">
        <w:rPr>
          <w:rFonts w:cs="Arial"/>
          <w:b/>
          <w:bCs w:val="0"/>
          <w:szCs w:val="20"/>
        </w:rPr>
        <w:t xml:space="preserve"> Data Centre</w:t>
      </w:r>
      <w:r w:rsidRPr="000E5786">
        <w:rPr>
          <w:rFonts w:cs="Arial"/>
          <w:szCs w:val="20"/>
        </w:rPr>
        <w:t>”)</w:t>
      </w:r>
      <w:bookmarkEnd w:id="1692"/>
      <w:r w:rsidRPr="000E5786">
        <w:rPr>
          <w:rFonts w:cs="Arial"/>
          <w:szCs w:val="20"/>
        </w:rPr>
        <w:t xml:space="preserve">:  Off Basil Hill Road (Adjacent to </w:t>
      </w:r>
      <w:proofErr w:type="spellStart"/>
      <w:r w:rsidR="007A2AA0">
        <w:rPr>
          <w:rFonts w:cs="Arial"/>
          <w:szCs w:val="20"/>
        </w:rPr>
        <w:t>Dimble</w:t>
      </w:r>
      <w:proofErr w:type="spellEnd"/>
      <w:r w:rsidRPr="000E5786">
        <w:rPr>
          <w:rFonts w:cs="Arial"/>
          <w:szCs w:val="20"/>
        </w:rPr>
        <w:t xml:space="preserve"> Depot), </w:t>
      </w:r>
      <w:proofErr w:type="spellStart"/>
      <w:r w:rsidR="007A2AA0">
        <w:rPr>
          <w:rFonts w:cs="Arial"/>
          <w:szCs w:val="20"/>
        </w:rPr>
        <w:t>Dimble</w:t>
      </w:r>
      <w:proofErr w:type="spellEnd"/>
      <w:r w:rsidRPr="000E5786">
        <w:rPr>
          <w:rFonts w:cs="Arial"/>
          <w:szCs w:val="20"/>
        </w:rPr>
        <w:t>, Oxfordshire, OX11 7HJ </w:t>
      </w:r>
    </w:p>
    <w:p w14:paraId="0804DD06" w14:textId="50144433" w:rsidR="004C127E" w:rsidRPr="000E5786" w:rsidRDefault="004C127E" w:rsidP="00CE5734">
      <w:pPr>
        <w:pStyle w:val="Heading4"/>
        <w:tabs>
          <w:tab w:val="clear" w:pos="1702"/>
        </w:tabs>
        <w:spacing w:after="120"/>
        <w:ind w:left="2410"/>
        <w:rPr>
          <w:rFonts w:cs="Arial"/>
          <w:szCs w:val="20"/>
        </w:rPr>
      </w:pPr>
      <w:bookmarkStart w:id="1693" w:name="_Hlk85709985"/>
      <w:r w:rsidRPr="000E5786">
        <w:rPr>
          <w:rFonts w:cs="Arial"/>
          <w:szCs w:val="20"/>
        </w:rPr>
        <w:t>The Manchester Data Centre (</w:t>
      </w:r>
      <w:r w:rsidRPr="000E5786">
        <w:rPr>
          <w:rFonts w:cs="Arial"/>
          <w:b/>
          <w:bCs w:val="0"/>
          <w:szCs w:val="20"/>
        </w:rPr>
        <w:t>“Manchester</w:t>
      </w:r>
      <w:r w:rsidR="00CE5734">
        <w:rPr>
          <w:rFonts w:cs="Arial"/>
          <w:b/>
          <w:bCs w:val="0"/>
          <w:szCs w:val="20"/>
        </w:rPr>
        <w:t xml:space="preserve"> Data Centre</w:t>
      </w:r>
      <w:r w:rsidRPr="000E5786">
        <w:rPr>
          <w:rFonts w:cs="Arial"/>
          <w:b/>
          <w:bCs w:val="0"/>
          <w:szCs w:val="20"/>
        </w:rPr>
        <w:t>”</w:t>
      </w:r>
      <w:r w:rsidRPr="000E5786">
        <w:rPr>
          <w:rFonts w:cs="Arial"/>
          <w:szCs w:val="20"/>
        </w:rPr>
        <w:t>)</w:t>
      </w:r>
      <w:bookmarkEnd w:id="1693"/>
      <w:r w:rsidRPr="000E5786">
        <w:rPr>
          <w:rFonts w:cs="Arial"/>
          <w:szCs w:val="20"/>
        </w:rPr>
        <w:t xml:space="preserve">: </w:t>
      </w:r>
      <w:proofErr w:type="spellStart"/>
      <w:r w:rsidRPr="000E5786">
        <w:rPr>
          <w:rFonts w:cs="Arial"/>
          <w:szCs w:val="20"/>
        </w:rPr>
        <w:t>Wol</w:t>
      </w:r>
      <w:r w:rsidR="007A2AA0">
        <w:rPr>
          <w:rFonts w:cs="Arial"/>
          <w:szCs w:val="20"/>
        </w:rPr>
        <w:t>art</w:t>
      </w:r>
      <w:proofErr w:type="spellEnd"/>
      <w:r w:rsidRPr="000E5786">
        <w:rPr>
          <w:rFonts w:cs="Arial"/>
          <w:szCs w:val="20"/>
        </w:rPr>
        <w:t xml:space="preserve"> Street, Ash</w:t>
      </w:r>
      <w:r w:rsidR="007A2AA0">
        <w:rPr>
          <w:rFonts w:cs="Arial"/>
          <w:szCs w:val="20"/>
        </w:rPr>
        <w:t>field</w:t>
      </w:r>
      <w:r w:rsidRPr="000E5786">
        <w:rPr>
          <w:rFonts w:cs="Arial"/>
          <w:szCs w:val="20"/>
        </w:rPr>
        <w:t>, Greater Manchester, M</w:t>
      </w:r>
      <w:r w:rsidR="007A2AA0">
        <w:rPr>
          <w:rFonts w:cs="Arial"/>
          <w:szCs w:val="20"/>
        </w:rPr>
        <w:t>8</w:t>
      </w:r>
      <w:r w:rsidRPr="000E5786">
        <w:rPr>
          <w:rFonts w:cs="Arial"/>
          <w:szCs w:val="20"/>
        </w:rPr>
        <w:t xml:space="preserve"> 2</w:t>
      </w:r>
      <w:r w:rsidR="007A2AA0">
        <w:rPr>
          <w:rFonts w:cs="Arial"/>
          <w:szCs w:val="20"/>
        </w:rPr>
        <w:t>PO</w:t>
      </w:r>
    </w:p>
    <w:p w14:paraId="3D9FD70B" w14:textId="77777777" w:rsidR="004C127E" w:rsidRPr="00CE5734" w:rsidRDefault="004C127E" w:rsidP="00346A37">
      <w:pPr>
        <w:pStyle w:val="Heading3"/>
      </w:pPr>
      <w:r w:rsidRPr="00CE5734">
        <w:t>New Data Centres</w:t>
      </w:r>
    </w:p>
    <w:p w14:paraId="38098CC0" w14:textId="3981C7D6" w:rsidR="004C127E" w:rsidRPr="000E5786" w:rsidRDefault="004C127E" w:rsidP="00CE5734">
      <w:pPr>
        <w:pStyle w:val="Heading4"/>
        <w:tabs>
          <w:tab w:val="clear" w:pos="1702"/>
        </w:tabs>
        <w:spacing w:after="120"/>
        <w:ind w:left="2410"/>
        <w:rPr>
          <w:rFonts w:cs="Arial"/>
          <w:szCs w:val="20"/>
        </w:rPr>
      </w:pPr>
      <w:bookmarkStart w:id="1694" w:name="_Hlk85709994"/>
      <w:r w:rsidRPr="000E5786">
        <w:rPr>
          <w:rFonts w:cs="Arial"/>
          <w:szCs w:val="20"/>
        </w:rPr>
        <w:t>The Cody Park Data Centre (“</w:t>
      </w:r>
      <w:r w:rsidRPr="000E5786">
        <w:rPr>
          <w:rFonts w:cs="Arial"/>
          <w:b/>
          <w:bCs w:val="0"/>
          <w:szCs w:val="20"/>
        </w:rPr>
        <w:t>Cody Park</w:t>
      </w:r>
      <w:r w:rsidR="00CE5734">
        <w:rPr>
          <w:rFonts w:cs="Arial"/>
          <w:b/>
          <w:bCs w:val="0"/>
          <w:szCs w:val="20"/>
        </w:rPr>
        <w:t xml:space="preserve"> Data Centre</w:t>
      </w:r>
      <w:r w:rsidRPr="000E5786">
        <w:rPr>
          <w:rFonts w:cs="Arial"/>
          <w:szCs w:val="20"/>
        </w:rPr>
        <w:t>”)</w:t>
      </w:r>
      <w:bookmarkEnd w:id="1694"/>
      <w:r w:rsidRPr="000E5786">
        <w:rPr>
          <w:rFonts w:cs="Arial"/>
          <w:szCs w:val="20"/>
        </w:rPr>
        <w:t xml:space="preserve"> Farnborough Ark Data Centre – Old </w:t>
      </w:r>
      <w:proofErr w:type="spellStart"/>
      <w:r w:rsidRPr="000E5786">
        <w:rPr>
          <w:rFonts w:cs="Arial"/>
          <w:szCs w:val="20"/>
        </w:rPr>
        <w:t>Ively</w:t>
      </w:r>
      <w:proofErr w:type="spellEnd"/>
      <w:r w:rsidRPr="000E5786">
        <w:rPr>
          <w:rFonts w:cs="Arial"/>
          <w:szCs w:val="20"/>
        </w:rPr>
        <w:t xml:space="preserve"> Road, Farnborough, Hampshire GU14 0LX</w:t>
      </w:r>
    </w:p>
    <w:p w14:paraId="61696DBA" w14:textId="1313800D" w:rsidR="004C127E" w:rsidRPr="000E5786" w:rsidRDefault="004C127E" w:rsidP="00CE5734">
      <w:pPr>
        <w:pStyle w:val="Heading4"/>
        <w:tabs>
          <w:tab w:val="clear" w:pos="1702"/>
        </w:tabs>
        <w:spacing w:after="120"/>
        <w:ind w:left="2410"/>
        <w:rPr>
          <w:rFonts w:cs="Arial"/>
          <w:szCs w:val="20"/>
        </w:rPr>
      </w:pPr>
      <w:bookmarkStart w:id="1695" w:name="_Hlk85710004"/>
      <w:r w:rsidRPr="000E5786">
        <w:rPr>
          <w:rFonts w:cs="Arial"/>
          <w:szCs w:val="20"/>
        </w:rPr>
        <w:t>The Spring Park Data Centre (“</w:t>
      </w:r>
      <w:r w:rsidRPr="000E5786">
        <w:rPr>
          <w:rFonts w:cs="Arial"/>
          <w:b/>
          <w:bCs w:val="0"/>
          <w:szCs w:val="20"/>
        </w:rPr>
        <w:t>Spring Park</w:t>
      </w:r>
      <w:r w:rsidR="00CE5734">
        <w:rPr>
          <w:rFonts w:cs="Arial"/>
          <w:b/>
          <w:bCs w:val="0"/>
          <w:szCs w:val="20"/>
        </w:rPr>
        <w:t xml:space="preserve"> Data Centre</w:t>
      </w:r>
      <w:r w:rsidRPr="000E5786">
        <w:rPr>
          <w:rFonts w:cs="Arial"/>
          <w:szCs w:val="20"/>
        </w:rPr>
        <w:t>”)</w:t>
      </w:r>
      <w:bookmarkEnd w:id="1695"/>
      <w:r w:rsidRPr="000E5786">
        <w:rPr>
          <w:rFonts w:cs="Arial"/>
          <w:szCs w:val="20"/>
        </w:rPr>
        <w:t xml:space="preserve"> Corsham Ark Data Centre – </w:t>
      </w:r>
      <w:proofErr w:type="spellStart"/>
      <w:r w:rsidRPr="000E5786">
        <w:rPr>
          <w:rFonts w:cs="Arial"/>
          <w:szCs w:val="20"/>
        </w:rPr>
        <w:t>Westwells</w:t>
      </w:r>
      <w:proofErr w:type="spellEnd"/>
      <w:r w:rsidRPr="000E5786">
        <w:rPr>
          <w:rFonts w:cs="Arial"/>
          <w:szCs w:val="20"/>
        </w:rPr>
        <w:t xml:space="preserve"> Road, Corsham, Wiltshire SN13 9GB</w:t>
      </w:r>
    </w:p>
    <w:p w14:paraId="24A35974" w14:textId="2AE7749E" w:rsidR="004C127E" w:rsidRPr="00CE5734" w:rsidRDefault="004C127E" w:rsidP="00346A37">
      <w:pPr>
        <w:pStyle w:val="Heading3"/>
      </w:pPr>
      <w:r w:rsidRPr="00CE5734">
        <w:t>Data Centre Embassies</w:t>
      </w:r>
      <w:r w:rsidR="005F3147" w:rsidRPr="00CE5734">
        <w:t xml:space="preserve"> </w:t>
      </w:r>
    </w:p>
    <w:p w14:paraId="29AB8BA9" w14:textId="15746050" w:rsidR="004C127E" w:rsidRPr="000E5786" w:rsidRDefault="004C127E" w:rsidP="00CE5734">
      <w:pPr>
        <w:pStyle w:val="Heading4"/>
        <w:tabs>
          <w:tab w:val="clear" w:pos="1702"/>
        </w:tabs>
        <w:spacing w:after="120"/>
        <w:ind w:left="2410"/>
        <w:rPr>
          <w:rFonts w:eastAsiaTheme="minorEastAsia" w:cs="Arial"/>
          <w:szCs w:val="20"/>
        </w:rPr>
      </w:pPr>
      <w:r w:rsidRPr="000E5786">
        <w:rPr>
          <w:rFonts w:cs="Arial"/>
          <w:szCs w:val="20"/>
        </w:rPr>
        <w:t xml:space="preserve">Data Centre Embassies are locations where RS-IT applications reside that are in scope of their application project to be migrated into the New Data Centres. As such, there is a DC LAN ACI POD deployment at each of these Data Centre Embassy sites and will be until RS-IT migration </w:t>
      </w:r>
      <w:proofErr w:type="spellStart"/>
      <w:r w:rsidRPr="000E5786">
        <w:rPr>
          <w:rFonts w:cs="Arial"/>
          <w:szCs w:val="20"/>
        </w:rPr>
        <w:t>i</w:t>
      </w:r>
      <w:proofErr w:type="spellEnd"/>
      <w:r w:rsidR="00A20CD5">
        <w:rPr>
          <w:rFonts w:cs="Arial"/>
          <w:szCs w:val="20"/>
        </w:rPr>
        <w:t>–</w:t>
      </w:r>
      <w:r w:rsidRPr="000E5786">
        <w:rPr>
          <w:rFonts w:cs="Arial"/>
          <w:szCs w:val="20"/>
        </w:rPr>
        <w:t xml:space="preserve"> completed - this is currently scheduled for June 2022. These require extended LAN support by the Supplier as part of the Operate Service during this migration period.</w:t>
      </w:r>
    </w:p>
    <w:p w14:paraId="3519A80A" w14:textId="77777777" w:rsidR="004C127E" w:rsidRPr="000E5786" w:rsidRDefault="004C127E" w:rsidP="00CE5734">
      <w:pPr>
        <w:pStyle w:val="Heading4"/>
        <w:tabs>
          <w:tab w:val="clear" w:pos="1702"/>
        </w:tabs>
        <w:spacing w:after="120"/>
        <w:ind w:left="2410"/>
        <w:rPr>
          <w:rFonts w:eastAsiaTheme="minorEastAsia" w:cs="Arial"/>
          <w:szCs w:val="20"/>
        </w:rPr>
      </w:pPr>
      <w:r w:rsidRPr="000E5786">
        <w:rPr>
          <w:rFonts w:cs="Arial"/>
          <w:szCs w:val="20"/>
        </w:rPr>
        <w:t>The Data Centre Embassies are:</w:t>
      </w:r>
    </w:p>
    <w:p w14:paraId="345052B6" w14:textId="76CC8B7B" w:rsidR="004C127E" w:rsidRPr="000E5786" w:rsidRDefault="004C127E" w:rsidP="006031F8">
      <w:pPr>
        <w:pStyle w:val="Heading5"/>
        <w:spacing w:after="120"/>
        <w:rPr>
          <w:rFonts w:cs="Arial"/>
          <w:szCs w:val="20"/>
        </w:rPr>
      </w:pPr>
      <w:bookmarkStart w:id="1696" w:name="_Hlk85710064"/>
      <w:r w:rsidRPr="000E5786">
        <w:rPr>
          <w:rFonts w:cs="Arial"/>
          <w:szCs w:val="20"/>
        </w:rPr>
        <w:t>Royal Tunbridge Wells Data Centre (“</w:t>
      </w:r>
      <w:r w:rsidRPr="000E5786">
        <w:rPr>
          <w:rFonts w:cs="Arial"/>
          <w:b/>
          <w:bCs w:val="0"/>
          <w:szCs w:val="20"/>
        </w:rPr>
        <w:t>Royal Tunbridge Wells</w:t>
      </w:r>
      <w:r w:rsidR="00CE5734">
        <w:rPr>
          <w:rFonts w:cs="Arial"/>
          <w:b/>
          <w:bCs w:val="0"/>
          <w:szCs w:val="20"/>
        </w:rPr>
        <w:t xml:space="preserve"> Data Centre</w:t>
      </w:r>
      <w:r w:rsidRPr="000E5786">
        <w:rPr>
          <w:rFonts w:cs="Arial"/>
          <w:szCs w:val="20"/>
        </w:rPr>
        <w:t>”)</w:t>
      </w:r>
      <w:bookmarkEnd w:id="1696"/>
      <w:r w:rsidRPr="000E5786">
        <w:rPr>
          <w:rFonts w:cs="Arial"/>
          <w:szCs w:val="20"/>
        </w:rPr>
        <w:t>, DXC Computer Sciences Ltd, Spectrum House, Chapman Way, Tunbridge Wells, TN2 3E, Kent, UK</w:t>
      </w:r>
    </w:p>
    <w:p w14:paraId="0881EA1C" w14:textId="301DA2A5" w:rsidR="004C127E" w:rsidRPr="000E5786" w:rsidRDefault="004C127E" w:rsidP="006031F8">
      <w:pPr>
        <w:pStyle w:val="Heading5"/>
        <w:spacing w:after="120"/>
        <w:rPr>
          <w:rFonts w:cs="Arial"/>
          <w:szCs w:val="20"/>
        </w:rPr>
      </w:pPr>
      <w:bookmarkStart w:id="1697" w:name="_Hlk85710076"/>
      <w:r w:rsidRPr="000E5786">
        <w:rPr>
          <w:rFonts w:cs="Arial"/>
          <w:szCs w:val="20"/>
        </w:rPr>
        <w:t>Seven Oaks Data Centre (“</w:t>
      </w:r>
      <w:r w:rsidRPr="000E5786">
        <w:rPr>
          <w:rFonts w:cs="Arial"/>
          <w:b/>
          <w:bCs w:val="0"/>
          <w:szCs w:val="20"/>
        </w:rPr>
        <w:t>Seven Oaks</w:t>
      </w:r>
      <w:r w:rsidR="00CE5734">
        <w:rPr>
          <w:rFonts w:cs="Arial"/>
          <w:b/>
          <w:bCs w:val="0"/>
          <w:szCs w:val="20"/>
        </w:rPr>
        <w:t xml:space="preserve"> Data Centre</w:t>
      </w:r>
      <w:r w:rsidRPr="000E5786">
        <w:rPr>
          <w:rFonts w:cs="Arial"/>
          <w:szCs w:val="20"/>
        </w:rPr>
        <w:t>”)</w:t>
      </w:r>
      <w:bookmarkEnd w:id="1697"/>
      <w:r w:rsidRPr="000E5786">
        <w:rPr>
          <w:rFonts w:cs="Arial"/>
          <w:szCs w:val="20"/>
        </w:rPr>
        <w:t xml:space="preserve">, </w:t>
      </w:r>
      <w:r w:rsidR="007A2AA0">
        <w:rPr>
          <w:rFonts w:cs="Arial"/>
          <w:szCs w:val="20"/>
        </w:rPr>
        <w:t xml:space="preserve">Pearl </w:t>
      </w:r>
      <w:r w:rsidRPr="000E5786">
        <w:rPr>
          <w:rFonts w:cs="Arial"/>
          <w:szCs w:val="20"/>
        </w:rPr>
        <w:t xml:space="preserve">Downs Business Park, </w:t>
      </w:r>
      <w:proofErr w:type="spellStart"/>
      <w:r w:rsidR="007A2AA0">
        <w:rPr>
          <w:rFonts w:cs="Arial"/>
          <w:szCs w:val="20"/>
        </w:rPr>
        <w:t>Lyfield</w:t>
      </w:r>
      <w:proofErr w:type="spellEnd"/>
      <w:r w:rsidRPr="000E5786">
        <w:rPr>
          <w:rFonts w:cs="Arial"/>
          <w:szCs w:val="20"/>
        </w:rPr>
        <w:t xml:space="preserve">, </w:t>
      </w:r>
      <w:proofErr w:type="spellStart"/>
      <w:r w:rsidRPr="000E5786">
        <w:rPr>
          <w:rFonts w:cs="Arial"/>
          <w:szCs w:val="20"/>
        </w:rPr>
        <w:t>D</w:t>
      </w:r>
      <w:r w:rsidR="007A2AA0">
        <w:rPr>
          <w:rFonts w:cs="Arial"/>
          <w:szCs w:val="20"/>
        </w:rPr>
        <w:t>enby</w:t>
      </w:r>
      <w:proofErr w:type="spellEnd"/>
      <w:r w:rsidRPr="000E5786">
        <w:rPr>
          <w:rFonts w:cs="Arial"/>
          <w:szCs w:val="20"/>
        </w:rPr>
        <w:t xml:space="preserve"> Green, Sevenoaks T</w:t>
      </w:r>
      <w:r w:rsidR="007A2AA0">
        <w:rPr>
          <w:rFonts w:cs="Arial"/>
          <w:szCs w:val="20"/>
        </w:rPr>
        <w:t>U</w:t>
      </w:r>
      <w:r w:rsidRPr="000E5786">
        <w:rPr>
          <w:rFonts w:cs="Arial"/>
          <w:szCs w:val="20"/>
        </w:rPr>
        <w:t>3 2</w:t>
      </w:r>
      <w:r w:rsidR="007A2AA0">
        <w:rPr>
          <w:rFonts w:cs="Arial"/>
          <w:szCs w:val="20"/>
        </w:rPr>
        <w:t>QS</w:t>
      </w:r>
      <w:r w:rsidRPr="000E5786">
        <w:rPr>
          <w:rFonts w:cs="Arial"/>
          <w:szCs w:val="20"/>
        </w:rPr>
        <w:t>, Kent, UK</w:t>
      </w:r>
    </w:p>
    <w:p w14:paraId="7AFEED6A" w14:textId="1C2E5B54" w:rsidR="004C127E" w:rsidRPr="000E5786" w:rsidRDefault="004C127E" w:rsidP="00CE5734">
      <w:pPr>
        <w:pStyle w:val="Heading4"/>
        <w:tabs>
          <w:tab w:val="clear" w:pos="1702"/>
        </w:tabs>
        <w:spacing w:after="120"/>
        <w:ind w:left="2410"/>
        <w:rPr>
          <w:rFonts w:eastAsiaTheme="minorEastAsia" w:cs="Arial"/>
          <w:szCs w:val="20"/>
        </w:rPr>
      </w:pPr>
      <w:r w:rsidRPr="000E5786">
        <w:rPr>
          <w:rFonts w:cs="Arial"/>
          <w:szCs w:val="20"/>
        </w:rPr>
        <w:t xml:space="preserve">At the </w:t>
      </w:r>
      <w:proofErr w:type="spellStart"/>
      <w:r w:rsidR="007A2AA0">
        <w:rPr>
          <w:rFonts w:cs="Arial"/>
          <w:szCs w:val="20"/>
        </w:rPr>
        <w:t>Dimble</w:t>
      </w:r>
      <w:proofErr w:type="spellEnd"/>
      <w:r w:rsidRPr="000E5786">
        <w:rPr>
          <w:rFonts w:cs="Arial"/>
          <w:szCs w:val="20"/>
        </w:rPr>
        <w:t xml:space="preserve"> Data Centre there will be a DC LAN ACI POD deployment at </w:t>
      </w:r>
      <w:proofErr w:type="spellStart"/>
      <w:r w:rsidR="007A2AA0">
        <w:rPr>
          <w:rFonts w:cs="Arial"/>
          <w:szCs w:val="20"/>
        </w:rPr>
        <w:t>Dimble</w:t>
      </w:r>
      <w:proofErr w:type="spellEnd"/>
      <w:r w:rsidRPr="000E5786">
        <w:rPr>
          <w:rFonts w:cs="Arial"/>
          <w:szCs w:val="20"/>
        </w:rPr>
        <w:t xml:space="preserve"> for migration purposes to the New Data Centres.</w:t>
      </w:r>
    </w:p>
    <w:p w14:paraId="20E6F305" w14:textId="77777777" w:rsidR="004C127E" w:rsidRPr="000E5786" w:rsidRDefault="004C127E" w:rsidP="00CE5734">
      <w:pPr>
        <w:pStyle w:val="Heading4"/>
        <w:tabs>
          <w:tab w:val="clear" w:pos="1702"/>
        </w:tabs>
        <w:spacing w:after="120"/>
        <w:ind w:left="2410"/>
        <w:rPr>
          <w:rFonts w:eastAsiaTheme="minorEastAsia" w:cs="Arial"/>
          <w:szCs w:val="20"/>
        </w:rPr>
      </w:pPr>
      <w:r w:rsidRPr="000E5786">
        <w:rPr>
          <w:rFonts w:cs="Arial"/>
          <w:szCs w:val="20"/>
        </w:rPr>
        <w:t xml:space="preserve">At the Manchester Data Centre there will be a remote ACI Site, 2 witness servers (2-Node Cluster), 1 Data Domain, 2 Cyber Recovery bare metal servers and 1 Cyber Sense bare metal </w:t>
      </w:r>
      <w:proofErr w:type="gramStart"/>
      <w:r w:rsidRPr="000E5786">
        <w:rPr>
          <w:rFonts w:cs="Arial"/>
          <w:szCs w:val="20"/>
        </w:rPr>
        <w:t>server</w:t>
      </w:r>
      <w:proofErr w:type="gramEnd"/>
    </w:p>
    <w:p w14:paraId="5705D5DD" w14:textId="77777777" w:rsidR="004C127E" w:rsidRPr="00CE5734" w:rsidRDefault="004C127E" w:rsidP="00BB3F9B">
      <w:pPr>
        <w:pStyle w:val="Heading2"/>
        <w:spacing w:after="120"/>
        <w:rPr>
          <w:rFonts w:eastAsiaTheme="minorEastAsia" w:cs="Arial"/>
          <w:b/>
          <w:bCs w:val="0"/>
          <w:szCs w:val="20"/>
        </w:rPr>
      </w:pPr>
      <w:r w:rsidRPr="00CE5734">
        <w:rPr>
          <w:rFonts w:eastAsiaTheme="minorEastAsia" w:cs="Arial"/>
          <w:b/>
          <w:bCs w:val="0"/>
          <w:szCs w:val="20"/>
        </w:rPr>
        <w:t xml:space="preserve">Service </w:t>
      </w:r>
      <w:r w:rsidRPr="00CE5734">
        <w:rPr>
          <w:rFonts w:cs="Arial"/>
          <w:b/>
          <w:bCs w:val="0"/>
          <w:szCs w:val="20"/>
        </w:rPr>
        <w:t>Management</w:t>
      </w:r>
      <w:r w:rsidRPr="00CE5734">
        <w:rPr>
          <w:rFonts w:eastAsiaTheme="minorEastAsia" w:cs="Arial"/>
          <w:b/>
          <w:bCs w:val="0"/>
          <w:szCs w:val="20"/>
        </w:rPr>
        <w:t xml:space="preserve"> Locations </w:t>
      </w:r>
    </w:p>
    <w:p w14:paraId="15EA7154" w14:textId="1A810EB1" w:rsidR="004C127E" w:rsidRPr="000E5786" w:rsidRDefault="004C127E" w:rsidP="00346A37">
      <w:pPr>
        <w:pStyle w:val="Heading3"/>
        <w:rPr>
          <w:rFonts w:eastAsiaTheme="minorEastAsia"/>
        </w:rPr>
      </w:pPr>
      <w:r w:rsidRPr="000E5786">
        <w:t>The</w:t>
      </w:r>
      <w:r w:rsidRPr="000E5786">
        <w:rPr>
          <w:rFonts w:eastAsiaTheme="minorEastAsia"/>
        </w:rPr>
        <w:t xml:space="preserve"> location for service management and other </w:t>
      </w:r>
      <w:r w:rsidR="00CE5734" w:rsidRPr="000E5786">
        <w:rPr>
          <w:rFonts w:eastAsiaTheme="minorEastAsia"/>
        </w:rPr>
        <w:t xml:space="preserve">governance </w:t>
      </w:r>
      <w:r w:rsidRPr="000E5786">
        <w:rPr>
          <w:rFonts w:eastAsiaTheme="minorEastAsia"/>
        </w:rPr>
        <w:t xml:space="preserve">meetings shall be any of the Service Management Locations at </w:t>
      </w:r>
      <w:proofErr w:type="spellStart"/>
      <w:r w:rsidR="001F1C19">
        <w:rPr>
          <w:rFonts w:eastAsiaTheme="minorEastAsia"/>
        </w:rPr>
        <w:t>Netlink</w:t>
      </w:r>
      <w:proofErr w:type="spellEnd"/>
      <w:r w:rsidR="001F1C19">
        <w:rPr>
          <w:rFonts w:eastAsiaTheme="minorEastAsia"/>
        </w:rPr>
        <w:t xml:space="preserve"> Star</w:t>
      </w:r>
      <w:r w:rsidRPr="000E5786">
        <w:rPr>
          <w:rFonts w:eastAsiaTheme="minorEastAsia"/>
        </w:rPr>
        <w:t>’s discretion.</w:t>
      </w:r>
    </w:p>
    <w:p w14:paraId="5E0A6886" w14:textId="77777777" w:rsidR="004C127E" w:rsidRPr="000E5786" w:rsidRDefault="004C127E" w:rsidP="00346A37">
      <w:pPr>
        <w:pStyle w:val="Heading3"/>
        <w:rPr>
          <w:rFonts w:eastAsiaTheme="minorEastAsia"/>
        </w:rPr>
      </w:pPr>
      <w:r w:rsidRPr="000E5786">
        <w:t>The</w:t>
      </w:r>
      <w:r w:rsidRPr="000E5786">
        <w:rPr>
          <w:rFonts w:eastAsiaTheme="minorEastAsia"/>
        </w:rPr>
        <w:t xml:space="preserve"> Service Management Locations are:</w:t>
      </w:r>
    </w:p>
    <w:p w14:paraId="5058C1AF" w14:textId="3356AB6B" w:rsidR="004C127E" w:rsidRPr="000E5786" w:rsidRDefault="00CE5734" w:rsidP="00CE5734">
      <w:pPr>
        <w:pStyle w:val="Heading4"/>
        <w:tabs>
          <w:tab w:val="clear" w:pos="1702"/>
        </w:tabs>
        <w:spacing w:after="120"/>
        <w:ind w:left="2410"/>
        <w:rPr>
          <w:rFonts w:eastAsiaTheme="minorEastAsia" w:cs="Arial"/>
          <w:szCs w:val="20"/>
        </w:rPr>
      </w:pPr>
      <w:r>
        <w:rPr>
          <w:rFonts w:cs="Arial"/>
          <w:szCs w:val="20"/>
        </w:rPr>
        <w:t>“</w:t>
      </w:r>
      <w:r w:rsidR="004C127E" w:rsidRPr="00CE5734">
        <w:rPr>
          <w:rFonts w:cs="Arial"/>
          <w:b/>
          <w:bCs w:val="0"/>
          <w:szCs w:val="20"/>
        </w:rPr>
        <w:t>Milton</w:t>
      </w:r>
      <w:r w:rsidR="004C127E" w:rsidRPr="00CE5734">
        <w:rPr>
          <w:rFonts w:eastAsiaTheme="minorEastAsia" w:cs="Arial"/>
          <w:b/>
          <w:bCs w:val="0"/>
          <w:szCs w:val="20"/>
        </w:rPr>
        <w:t xml:space="preserve"> </w:t>
      </w:r>
      <w:r w:rsidR="004C127E" w:rsidRPr="00CE5734">
        <w:rPr>
          <w:rFonts w:cs="Arial"/>
          <w:b/>
          <w:bCs w:val="0"/>
          <w:szCs w:val="20"/>
        </w:rPr>
        <w:t>Keynes</w:t>
      </w:r>
      <w:r w:rsidRPr="00CE5734">
        <w:rPr>
          <w:rFonts w:cs="Arial"/>
          <w:b/>
          <w:bCs w:val="0"/>
          <w:szCs w:val="20"/>
        </w:rPr>
        <w:t xml:space="preserve"> Data Centre</w:t>
      </w:r>
      <w:r>
        <w:rPr>
          <w:rFonts w:cs="Arial"/>
          <w:szCs w:val="20"/>
        </w:rPr>
        <w:t>”</w:t>
      </w:r>
      <w:r>
        <w:rPr>
          <w:rFonts w:eastAsiaTheme="minorEastAsia" w:cs="Arial"/>
          <w:szCs w:val="20"/>
        </w:rPr>
        <w:t>:</w:t>
      </w:r>
      <w:r w:rsidR="004C127E" w:rsidRPr="000E5786">
        <w:rPr>
          <w:rFonts w:eastAsiaTheme="minorEastAsia" w:cs="Arial"/>
          <w:szCs w:val="20"/>
        </w:rPr>
        <w:t xml:space="preserve"> </w:t>
      </w:r>
      <w:proofErr w:type="spellStart"/>
      <w:r w:rsidR="007A2AA0">
        <w:rPr>
          <w:rFonts w:eastAsiaTheme="minorEastAsia" w:cs="Arial"/>
          <w:szCs w:val="20"/>
        </w:rPr>
        <w:t>Head quarters</w:t>
      </w:r>
      <w:proofErr w:type="spellEnd"/>
      <w:r w:rsidR="007A2AA0">
        <w:rPr>
          <w:rFonts w:eastAsiaTheme="minorEastAsia" w:cs="Arial"/>
          <w:szCs w:val="20"/>
        </w:rPr>
        <w:t xml:space="preserve"> campus</w:t>
      </w:r>
      <w:r w:rsidR="004C127E" w:rsidRPr="000E5786">
        <w:rPr>
          <w:rFonts w:eastAsiaTheme="minorEastAsia" w:cs="Arial"/>
          <w:szCs w:val="20"/>
        </w:rPr>
        <w:t>, Milton Keynes MK</w:t>
      </w:r>
      <w:r w:rsidR="007A2AA0">
        <w:rPr>
          <w:rFonts w:eastAsiaTheme="minorEastAsia" w:cs="Arial"/>
          <w:szCs w:val="20"/>
        </w:rPr>
        <w:t xml:space="preserve">8 </w:t>
      </w:r>
      <w:proofErr w:type="gramStart"/>
      <w:r w:rsidR="007A2AA0">
        <w:rPr>
          <w:rFonts w:eastAsiaTheme="minorEastAsia" w:cs="Arial"/>
          <w:szCs w:val="20"/>
        </w:rPr>
        <w:t>7h</w:t>
      </w:r>
      <w:r w:rsidR="004C127E" w:rsidRPr="000E5786">
        <w:rPr>
          <w:rFonts w:eastAsiaTheme="minorEastAsia" w:cs="Arial"/>
          <w:szCs w:val="20"/>
        </w:rPr>
        <w:t>EN;</w:t>
      </w:r>
      <w:proofErr w:type="gramEnd"/>
    </w:p>
    <w:p w14:paraId="780B2AB7" w14:textId="50F2C819" w:rsidR="004C127E" w:rsidRPr="000E5786" w:rsidRDefault="00CE5734" w:rsidP="00CE5734">
      <w:pPr>
        <w:pStyle w:val="Heading4"/>
        <w:tabs>
          <w:tab w:val="clear" w:pos="1702"/>
        </w:tabs>
        <w:spacing w:after="120"/>
        <w:ind w:left="2410"/>
        <w:rPr>
          <w:rFonts w:eastAsiaTheme="minorEastAsia" w:cs="Arial"/>
          <w:szCs w:val="20"/>
        </w:rPr>
      </w:pPr>
      <w:r>
        <w:rPr>
          <w:rFonts w:eastAsiaTheme="minorEastAsia" w:cs="Arial"/>
          <w:szCs w:val="20"/>
        </w:rPr>
        <w:t>“</w:t>
      </w:r>
      <w:r w:rsidR="004C127E" w:rsidRPr="00CE5734">
        <w:rPr>
          <w:rFonts w:eastAsiaTheme="minorEastAsia" w:cs="Arial"/>
          <w:b/>
          <w:bCs w:val="0"/>
          <w:szCs w:val="20"/>
        </w:rPr>
        <w:t xml:space="preserve">London </w:t>
      </w:r>
      <w:r w:rsidRPr="00CE5734">
        <w:rPr>
          <w:rFonts w:eastAsiaTheme="minorEastAsia" w:cs="Arial"/>
          <w:b/>
          <w:bCs w:val="0"/>
          <w:szCs w:val="20"/>
        </w:rPr>
        <w:t>–</w:t>
      </w:r>
      <w:r w:rsidR="004C127E" w:rsidRPr="00CE5734">
        <w:rPr>
          <w:rFonts w:eastAsiaTheme="minorEastAsia" w:cs="Arial"/>
          <w:b/>
          <w:bCs w:val="0"/>
          <w:szCs w:val="20"/>
        </w:rPr>
        <w:t xml:space="preserve"> </w:t>
      </w:r>
      <w:r w:rsidR="00BA32BB">
        <w:rPr>
          <w:rFonts w:eastAsiaTheme="minorEastAsia" w:cs="Arial"/>
          <w:b/>
          <w:bCs w:val="0"/>
          <w:szCs w:val="20"/>
        </w:rPr>
        <w:t>Elysian</w:t>
      </w:r>
      <w:r w:rsidRPr="00CE5734">
        <w:rPr>
          <w:rFonts w:eastAsiaTheme="minorEastAsia" w:cs="Arial"/>
          <w:b/>
          <w:bCs w:val="0"/>
          <w:szCs w:val="20"/>
        </w:rPr>
        <w:t xml:space="preserve"> Data Centre</w:t>
      </w:r>
      <w:r>
        <w:rPr>
          <w:rFonts w:eastAsiaTheme="minorEastAsia" w:cs="Arial"/>
          <w:szCs w:val="20"/>
        </w:rPr>
        <w:t>”:</w:t>
      </w:r>
      <w:r w:rsidR="004C127E" w:rsidRPr="000E5786">
        <w:rPr>
          <w:rFonts w:eastAsiaTheme="minorEastAsia" w:cs="Arial"/>
          <w:szCs w:val="20"/>
        </w:rPr>
        <w:t xml:space="preserve"> 1 </w:t>
      </w:r>
      <w:r w:rsidR="00BA32BB">
        <w:rPr>
          <w:rFonts w:eastAsiaTheme="minorEastAsia" w:cs="Arial"/>
          <w:szCs w:val="20"/>
        </w:rPr>
        <w:t>Elysian</w:t>
      </w:r>
      <w:r w:rsidR="004C127E" w:rsidRPr="000E5786">
        <w:rPr>
          <w:rFonts w:eastAsiaTheme="minorEastAsia" w:cs="Arial"/>
          <w:szCs w:val="20"/>
        </w:rPr>
        <w:t xml:space="preserve"> Street, London </w:t>
      </w:r>
      <w:r w:rsidR="00BA32BB">
        <w:rPr>
          <w:rFonts w:eastAsiaTheme="minorEastAsia" w:cs="Arial"/>
          <w:szCs w:val="20"/>
        </w:rPr>
        <w:t>EE7</w:t>
      </w:r>
      <w:r w:rsidR="004C127E" w:rsidRPr="000E5786">
        <w:rPr>
          <w:rFonts w:eastAsiaTheme="minorEastAsia" w:cs="Arial"/>
          <w:szCs w:val="20"/>
        </w:rPr>
        <w:t xml:space="preserve"> 2DN; and London – Enterprise: </w:t>
      </w:r>
      <w:r w:rsidR="004C127E" w:rsidRPr="00CE5734">
        <w:rPr>
          <w:rFonts w:cs="Arial"/>
          <w:szCs w:val="20"/>
        </w:rPr>
        <w:t>Enterprise</w:t>
      </w:r>
      <w:r w:rsidR="004C127E" w:rsidRPr="000E5786">
        <w:rPr>
          <w:rFonts w:eastAsiaTheme="minorEastAsia" w:cs="Arial"/>
          <w:szCs w:val="20"/>
        </w:rPr>
        <w:t xml:space="preserve"> House, 167-169 Westbourne Terrace, London. W2 6JX.</w:t>
      </w:r>
    </w:p>
    <w:p w14:paraId="5F72AE02" w14:textId="77777777" w:rsidR="004C127E" w:rsidRPr="000E5786" w:rsidRDefault="004C127E" w:rsidP="00C3397C">
      <w:pPr>
        <w:pStyle w:val="Heading2"/>
        <w:keepNext/>
        <w:spacing w:after="120"/>
        <w:rPr>
          <w:rFonts w:eastAsiaTheme="minorEastAsia" w:cs="Arial"/>
          <w:szCs w:val="20"/>
        </w:rPr>
      </w:pPr>
      <w:r w:rsidRPr="000E5786">
        <w:rPr>
          <w:rFonts w:eastAsiaTheme="minorEastAsia" w:cs="Arial"/>
          <w:szCs w:val="20"/>
        </w:rPr>
        <w:t xml:space="preserve">The </w:t>
      </w:r>
      <w:r w:rsidRPr="000E5786">
        <w:rPr>
          <w:rFonts w:cs="Arial"/>
          <w:szCs w:val="20"/>
        </w:rPr>
        <w:t>Other</w:t>
      </w:r>
      <w:r w:rsidRPr="000E5786">
        <w:rPr>
          <w:rFonts w:eastAsiaTheme="minorEastAsia" w:cs="Arial"/>
          <w:szCs w:val="20"/>
        </w:rPr>
        <w:t xml:space="preserve"> DCs are:</w:t>
      </w:r>
    </w:p>
    <w:p w14:paraId="4D8A628F" w14:textId="6033305F" w:rsidR="004C127E" w:rsidRPr="000E5786" w:rsidRDefault="00CE5734" w:rsidP="00346A37">
      <w:pPr>
        <w:pStyle w:val="Heading3"/>
        <w:rPr>
          <w:rFonts w:eastAsiaTheme="minorEastAsia"/>
        </w:rPr>
      </w:pPr>
      <w:r>
        <w:rPr>
          <w:rFonts w:eastAsiaTheme="minorEastAsia"/>
          <w:b/>
        </w:rPr>
        <w:t>“</w:t>
      </w:r>
      <w:r w:rsidR="004C127E" w:rsidRPr="000E5786">
        <w:rPr>
          <w:rFonts w:eastAsiaTheme="minorEastAsia"/>
          <w:b/>
        </w:rPr>
        <w:t>Stoke</w:t>
      </w:r>
      <w:r>
        <w:rPr>
          <w:rFonts w:eastAsiaTheme="minorEastAsia"/>
          <w:b/>
        </w:rPr>
        <w:t xml:space="preserve"> Data Centre”</w:t>
      </w:r>
      <w:r w:rsidR="004C127E" w:rsidRPr="000E5786">
        <w:rPr>
          <w:rFonts w:eastAsiaTheme="minorEastAsia"/>
          <w:b/>
        </w:rPr>
        <w:t>:</w:t>
      </w:r>
      <w:r w:rsidR="004C127E" w:rsidRPr="000E5786">
        <w:rPr>
          <w:rFonts w:eastAsiaTheme="minorEastAsia"/>
        </w:rPr>
        <w:t xml:space="preserve"> Stoke TEC Core Node North, Vernon Road, Stoke-on-Trent, ST4 2TP; and</w:t>
      </w:r>
    </w:p>
    <w:p w14:paraId="50F3EE00" w14:textId="55B4D706" w:rsidR="004C127E" w:rsidRPr="000E5786" w:rsidRDefault="00CE5734" w:rsidP="00346A37">
      <w:pPr>
        <w:pStyle w:val="Heading3"/>
        <w:rPr>
          <w:rFonts w:eastAsiaTheme="minorEastAsia"/>
        </w:rPr>
      </w:pPr>
      <w:r>
        <w:lastRenderedPageBreak/>
        <w:t>“</w:t>
      </w:r>
      <w:r w:rsidR="004C127E" w:rsidRPr="00CE5734">
        <w:rPr>
          <w:b/>
        </w:rPr>
        <w:t>Doncaster</w:t>
      </w:r>
      <w:r w:rsidRPr="00CE5734">
        <w:rPr>
          <w:b/>
        </w:rPr>
        <w:t xml:space="preserve"> Data Centre</w:t>
      </w:r>
      <w:r>
        <w:t>”</w:t>
      </w:r>
      <w:r w:rsidR="004C127E" w:rsidRPr="000E5786">
        <w:rPr>
          <w:rFonts w:eastAsiaTheme="minorEastAsia"/>
          <w:b/>
        </w:rPr>
        <w:t>:</w:t>
      </w:r>
      <w:r w:rsidR="004C127E" w:rsidRPr="000E5786">
        <w:rPr>
          <w:rFonts w:eastAsiaTheme="minorEastAsia"/>
        </w:rPr>
        <w:t xml:space="preserve"> Unit 3 Carolina Court, Lakeside, Doncaster, South Yorkshire, DN4 5RA.</w:t>
      </w:r>
    </w:p>
    <w:p w14:paraId="38FE5EFA" w14:textId="77777777" w:rsidR="004C127E" w:rsidRPr="000E5786" w:rsidRDefault="004C127E" w:rsidP="00BB3F9B">
      <w:pPr>
        <w:pStyle w:val="Heading1"/>
        <w:spacing w:after="120"/>
        <w:rPr>
          <w:rFonts w:cs="Arial"/>
          <w:szCs w:val="20"/>
        </w:rPr>
      </w:pPr>
      <w:r w:rsidRPr="000E5786">
        <w:rPr>
          <w:rFonts w:cs="Arial"/>
          <w:szCs w:val="20"/>
        </w:rPr>
        <w:t>Travel Costs</w:t>
      </w:r>
    </w:p>
    <w:p w14:paraId="118E62A8" w14:textId="641D6EDF" w:rsidR="004C127E" w:rsidRPr="000E5786" w:rsidRDefault="004C127E" w:rsidP="00BB3F9B">
      <w:pPr>
        <w:pStyle w:val="Heading2"/>
        <w:spacing w:after="120"/>
        <w:rPr>
          <w:rFonts w:cs="Arial"/>
          <w:szCs w:val="20"/>
        </w:rPr>
      </w:pPr>
      <w:r w:rsidRPr="000E5786">
        <w:rPr>
          <w:rFonts w:cs="Arial"/>
          <w:szCs w:val="20"/>
        </w:rPr>
        <w:t xml:space="preserve">Supplier’s costs for travel to and from the Data Centre Locations and Service Management Locations shall be included in either the Base Charges or the agreed Project Charges. No travel costs shall by payable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addition to the Base Charges or Project Charges (as applicable).</w:t>
      </w:r>
    </w:p>
    <w:p w14:paraId="1E6B8599" w14:textId="77777777" w:rsidR="004C127E" w:rsidRPr="000E5786" w:rsidRDefault="004C127E" w:rsidP="00DD60F0">
      <w:pPr>
        <w:rPr>
          <w:rFonts w:cs="Arial"/>
          <w:szCs w:val="20"/>
        </w:rPr>
      </w:pPr>
    </w:p>
    <w:p w14:paraId="2C1B0492" w14:textId="435CEEC3" w:rsidR="004C127E" w:rsidRPr="000E5786" w:rsidRDefault="004C127E" w:rsidP="00DD60F0">
      <w:pPr>
        <w:rPr>
          <w:rFonts w:cs="Arial"/>
          <w:szCs w:val="20"/>
        </w:rPr>
      </w:pPr>
      <w:r w:rsidRPr="000E5786">
        <w:rPr>
          <w:rFonts w:cs="Arial"/>
          <w:szCs w:val="20"/>
        </w:rPr>
        <w:br w:type="page"/>
      </w:r>
    </w:p>
    <w:p w14:paraId="40B070DE" w14:textId="77777777" w:rsidR="00C1793C" w:rsidRPr="00C1793C" w:rsidRDefault="00C1793C" w:rsidP="00C1793C">
      <w:pPr>
        <w:jc w:val="center"/>
        <w:rPr>
          <w:rFonts w:cs="Arial"/>
          <w:b/>
          <w:bCs/>
          <w:szCs w:val="20"/>
        </w:rPr>
      </w:pPr>
      <w:r w:rsidRPr="00C1793C">
        <w:rPr>
          <w:rFonts w:cs="Arial"/>
          <w:b/>
          <w:bCs/>
          <w:szCs w:val="20"/>
        </w:rPr>
        <w:lastRenderedPageBreak/>
        <w:t>SCHEDULE 2.6</w:t>
      </w:r>
    </w:p>
    <w:p w14:paraId="4BE6C9C4" w14:textId="0E7A946E" w:rsidR="00C1793C" w:rsidRPr="00C1793C" w:rsidRDefault="004113D7" w:rsidP="00C1793C">
      <w:pPr>
        <w:jc w:val="center"/>
        <w:rPr>
          <w:rFonts w:cs="Arial"/>
          <w:b/>
          <w:bCs/>
          <w:szCs w:val="20"/>
        </w:rPr>
      </w:pPr>
      <w:r w:rsidRPr="00C1793C">
        <w:rPr>
          <w:rFonts w:cs="Arial"/>
          <w:b/>
          <w:bCs/>
          <w:szCs w:val="20"/>
        </w:rPr>
        <w:t>SECURITY MANAGEMENT</w:t>
      </w:r>
    </w:p>
    <w:p w14:paraId="6FD74B3A" w14:textId="07E50B53" w:rsidR="00C1793C" w:rsidRPr="00C1793C" w:rsidRDefault="00C1793C" w:rsidP="009D675B">
      <w:pPr>
        <w:pStyle w:val="Sch1"/>
        <w:numPr>
          <w:ilvl w:val="2"/>
          <w:numId w:val="56"/>
        </w:numPr>
        <w:rPr>
          <w:b/>
          <w:bCs/>
        </w:rPr>
      </w:pPr>
      <w:r w:rsidRPr="00C1793C">
        <w:rPr>
          <w:b/>
          <w:bCs/>
        </w:rPr>
        <w:t xml:space="preserve">DEFINITIONS </w:t>
      </w:r>
    </w:p>
    <w:p w14:paraId="316DE6E8" w14:textId="78F02D44" w:rsidR="00C1793C" w:rsidRPr="002C5218" w:rsidRDefault="00C1793C" w:rsidP="009D675B">
      <w:pPr>
        <w:pStyle w:val="Sch2"/>
        <w:numPr>
          <w:ilvl w:val="3"/>
          <w:numId w:val="56"/>
        </w:numPr>
      </w:pPr>
      <w:r w:rsidRPr="002C5218">
        <w:rPr>
          <w:rFonts w:eastAsia="Verdana"/>
        </w:rPr>
        <w:t>“</w:t>
      </w:r>
      <w:r w:rsidRPr="008562BD">
        <w:rPr>
          <w:rFonts w:eastAsia="Verdana"/>
          <w:b/>
          <w:bCs/>
        </w:rPr>
        <w:t>Breach of Security</w:t>
      </w:r>
      <w:r w:rsidRPr="002C5218">
        <w:rPr>
          <w:rFonts w:eastAsia="Verdana"/>
        </w:rPr>
        <w:t>”</w:t>
      </w:r>
      <w:r>
        <w:rPr>
          <w:rFonts w:eastAsia="Verdana"/>
        </w:rPr>
        <w:t xml:space="preserve"> means</w:t>
      </w:r>
      <w:r w:rsidRPr="002C5218">
        <w:rPr>
          <w:rFonts w:eastAsia="Verdana"/>
        </w:rPr>
        <w:t xml:space="preserve"> the occurrence of: </w:t>
      </w:r>
    </w:p>
    <w:p w14:paraId="60402F6A" w14:textId="6A78A34B" w:rsidR="00C1793C" w:rsidRPr="002C5218" w:rsidRDefault="00C1793C" w:rsidP="009D675B">
      <w:pPr>
        <w:pStyle w:val="Sch3"/>
        <w:numPr>
          <w:ilvl w:val="4"/>
          <w:numId w:val="56"/>
        </w:numPr>
      </w:pPr>
      <w:r w:rsidRPr="002C5218">
        <w:rPr>
          <w:rFonts w:eastAsia="Verdana"/>
        </w:rPr>
        <w:t xml:space="preserve">any unauthorised access to or use of the Services,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Premises, the Sites, the Supplier System,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System (to the extent that it is under the control of the Supplier) and/or any IT, </w:t>
      </w:r>
      <w:proofErr w:type="gramStart"/>
      <w:r w:rsidRPr="002C5218">
        <w:rPr>
          <w:rFonts w:eastAsia="Verdana"/>
        </w:rPr>
        <w:t>information</w:t>
      </w:r>
      <w:proofErr w:type="gramEnd"/>
      <w:r w:rsidRPr="002C5218">
        <w:rPr>
          <w:rFonts w:eastAsia="Verdana"/>
        </w:rPr>
        <w:t xml:space="preserve"> or data (including the Confidential Information and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Data) used by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and/or the Supplier in connection with this Agreement; and/or </w:t>
      </w:r>
    </w:p>
    <w:p w14:paraId="1967ED3F" w14:textId="508802C7" w:rsidR="00C1793C" w:rsidRPr="002C5218" w:rsidRDefault="00C1793C" w:rsidP="009D675B">
      <w:pPr>
        <w:pStyle w:val="Sch3"/>
        <w:numPr>
          <w:ilvl w:val="4"/>
          <w:numId w:val="56"/>
        </w:numPr>
      </w:pPr>
      <w:r w:rsidRPr="002C5218">
        <w:rPr>
          <w:rFonts w:eastAsia="Verdana"/>
        </w:rPr>
        <w:t xml:space="preserve">the loss, corruption and/or unauthorised disclosure of any information or data (including the Confidential Information and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Data), including any copies of such information or data, used by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and/or the Supplier in connection with this Agreement, </w:t>
      </w:r>
    </w:p>
    <w:p w14:paraId="43054767" w14:textId="3A1E56C2" w:rsidR="00C1793C" w:rsidRPr="002C5218" w:rsidRDefault="00C1793C" w:rsidP="00C1793C">
      <w:pPr>
        <w:pStyle w:val="Sch2"/>
        <w:numPr>
          <w:ilvl w:val="0"/>
          <w:numId w:val="0"/>
        </w:numPr>
        <w:ind w:left="709"/>
      </w:pPr>
      <w:r w:rsidRPr="002C5218">
        <w:rPr>
          <w:rFonts w:eastAsia="Verdana"/>
        </w:rPr>
        <w:t xml:space="preserve">in either case as more particularly set out in the security requirements set out in the Services Description, the Baseline Security Requirements and any specific security requirements set out </w:t>
      </w:r>
      <w:r w:rsidR="00452A59">
        <w:rPr>
          <w:rFonts w:eastAsia="Verdana"/>
        </w:rPr>
        <w:t>i</w:t>
      </w:r>
      <w:r w:rsidRPr="002C5218">
        <w:rPr>
          <w:rFonts w:eastAsia="Verdana"/>
        </w:rPr>
        <w:t>n Schedule 2.1 (Services Description</w:t>
      </w:r>
      <w:proofErr w:type="gramStart"/>
      <w:r w:rsidRPr="002C5218">
        <w:rPr>
          <w:rFonts w:eastAsia="Verdana"/>
        </w:rPr>
        <w:t>);</w:t>
      </w:r>
      <w:proofErr w:type="gramEnd"/>
      <w:r w:rsidRPr="002C5218">
        <w:rPr>
          <w:rFonts w:eastAsia="Verdana"/>
        </w:rPr>
        <w:t xml:space="preserve"> </w:t>
      </w:r>
    </w:p>
    <w:p w14:paraId="3C911921" w14:textId="48687FF4" w:rsidR="00C1793C" w:rsidRPr="002C5218" w:rsidRDefault="00C1793C" w:rsidP="009D675B">
      <w:pPr>
        <w:pStyle w:val="Sch2"/>
        <w:numPr>
          <w:ilvl w:val="3"/>
          <w:numId w:val="56"/>
        </w:numPr>
      </w:pPr>
      <w:r w:rsidRPr="76305316">
        <w:rPr>
          <w:rFonts w:eastAsia="Verdana"/>
          <w:b/>
          <w:bCs/>
        </w:rPr>
        <w:t xml:space="preserve">“CHECK Scheme” </w:t>
      </w:r>
      <w:r>
        <w:t xml:space="preserve">means </w:t>
      </w:r>
      <w:r w:rsidRPr="76305316">
        <w:rPr>
          <w:rFonts w:eastAsia="Verdana"/>
        </w:rPr>
        <w:t xml:space="preserve">the scheme for penetration testing of data processing systems operated by the </w:t>
      </w:r>
      <w:r w:rsidRPr="00806353">
        <w:t>Communications</w:t>
      </w:r>
      <w:r w:rsidRPr="76305316">
        <w:rPr>
          <w:rFonts w:eastAsia="Verdana"/>
        </w:rPr>
        <w:t>-Electronics Security Group (part of the NCSC</w:t>
      </w:r>
      <w:proofErr w:type="gramStart"/>
      <w:r w:rsidRPr="76305316">
        <w:rPr>
          <w:rFonts w:eastAsia="Verdana"/>
        </w:rPr>
        <w:t>);</w:t>
      </w:r>
      <w:proofErr w:type="gramEnd"/>
      <w:r w:rsidRPr="76305316">
        <w:rPr>
          <w:rFonts w:eastAsia="Verdana"/>
        </w:rPr>
        <w:t xml:space="preserve"> </w:t>
      </w:r>
    </w:p>
    <w:p w14:paraId="257DD13F" w14:textId="38F32D8A" w:rsidR="00C1793C" w:rsidRPr="00A40FED" w:rsidRDefault="00C1793C" w:rsidP="009D675B">
      <w:pPr>
        <w:pStyle w:val="Sch2"/>
        <w:numPr>
          <w:ilvl w:val="3"/>
          <w:numId w:val="56"/>
        </w:numPr>
      </w:pPr>
      <w:r w:rsidRPr="5DBA5854">
        <w:rPr>
          <w:rFonts w:eastAsia="Verdana"/>
          <w:b/>
          <w:bCs/>
        </w:rPr>
        <w:t xml:space="preserve">“ISMS” </w:t>
      </w:r>
      <w:r w:rsidRPr="5DBA5854">
        <w:rPr>
          <w:rFonts w:eastAsia="Verdana"/>
        </w:rPr>
        <w:t>means</w:t>
      </w:r>
      <w:r w:rsidRPr="5DBA5854">
        <w:rPr>
          <w:rFonts w:eastAsia="Verdana"/>
          <w:b/>
          <w:bCs/>
        </w:rPr>
        <w:t xml:space="preserve"> </w:t>
      </w:r>
      <w:r w:rsidRPr="5DBA5854">
        <w:rPr>
          <w:rFonts w:eastAsia="Verdana"/>
        </w:rPr>
        <w:t xml:space="preserve">the information security management system and processes developed by the Supplier in accordance with paragraph 3 as updated from time to </w:t>
      </w:r>
      <w:proofErr w:type="gramStart"/>
      <w:r w:rsidRPr="5DBA5854">
        <w:rPr>
          <w:rFonts w:eastAsia="Verdana"/>
        </w:rPr>
        <w:t>time</w:t>
      </w:r>
      <w:r w:rsidR="00452A59">
        <w:rPr>
          <w:rFonts w:eastAsia="Verdana"/>
        </w:rPr>
        <w:t>;</w:t>
      </w:r>
      <w:proofErr w:type="gramEnd"/>
      <w:r w:rsidRPr="5DBA5854">
        <w:rPr>
          <w:rFonts w:eastAsia="Verdana"/>
        </w:rPr>
        <w:t xml:space="preserve"> </w:t>
      </w:r>
    </w:p>
    <w:p w14:paraId="66D11196" w14:textId="0CDF74D2" w:rsidR="00C1793C" w:rsidRPr="002C5218" w:rsidRDefault="00C1793C" w:rsidP="009D675B">
      <w:pPr>
        <w:pStyle w:val="Sch2"/>
        <w:numPr>
          <w:ilvl w:val="3"/>
          <w:numId w:val="56"/>
        </w:numPr>
      </w:pPr>
      <w:r w:rsidRPr="002C5218">
        <w:rPr>
          <w:rFonts w:eastAsia="Verdana"/>
          <w:b/>
        </w:rPr>
        <w:t>“Security Policy Framework”</w:t>
      </w:r>
      <w:r>
        <w:rPr>
          <w:rFonts w:eastAsia="Verdana"/>
          <w:b/>
        </w:rPr>
        <w:t xml:space="preserve"> </w:t>
      </w:r>
      <w:r w:rsidRPr="00806353">
        <w:rPr>
          <w:rFonts w:eastAsia="Verdana"/>
          <w:bCs/>
        </w:rPr>
        <w:t>means</w:t>
      </w:r>
      <w:r w:rsidRPr="002C5218">
        <w:rPr>
          <w:rFonts w:eastAsia="Verdana"/>
          <w:b/>
        </w:rPr>
        <w:t xml:space="preserve"> </w:t>
      </w:r>
      <w:r w:rsidRPr="002C5218">
        <w:rPr>
          <w:rFonts w:eastAsia="Verdana"/>
        </w:rPr>
        <w:t xml:space="preserve">the Security Policy Framework published by the Cabinet Office as updated from time to time including any details notified by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to the Supplier; and </w:t>
      </w:r>
    </w:p>
    <w:p w14:paraId="7D9C8E11" w14:textId="77777777" w:rsidR="00C1793C" w:rsidRPr="002A6AE8" w:rsidRDefault="00C1793C" w:rsidP="009D675B">
      <w:pPr>
        <w:pStyle w:val="Sch2"/>
        <w:numPr>
          <w:ilvl w:val="3"/>
          <w:numId w:val="56"/>
        </w:numPr>
      </w:pPr>
      <w:r w:rsidRPr="002C5218">
        <w:rPr>
          <w:rFonts w:eastAsia="Verdana"/>
          <w:b/>
        </w:rPr>
        <w:t xml:space="preserve">“Security Tests” </w:t>
      </w:r>
      <w:r w:rsidRPr="00806353">
        <w:rPr>
          <w:rFonts w:eastAsia="Verdana"/>
          <w:bCs/>
        </w:rPr>
        <w:t>means</w:t>
      </w:r>
      <w:r>
        <w:rPr>
          <w:rFonts w:eastAsia="Verdana"/>
          <w:b/>
        </w:rPr>
        <w:t xml:space="preserve"> </w:t>
      </w:r>
      <w:r w:rsidRPr="002C5218">
        <w:rPr>
          <w:rFonts w:eastAsia="Verdana"/>
        </w:rPr>
        <w:t xml:space="preserve">tests carried out where relevant in accordance with the CHECK Scheme or to an equivalent standard to validate the ISMS and security of all relevant processes, systems, incident response plans, patches to vulnerabilities and mitigations to Breaches of Security. </w:t>
      </w:r>
    </w:p>
    <w:p w14:paraId="7A031590" w14:textId="73915EAC" w:rsidR="00C1793C" w:rsidRPr="002A6AE8" w:rsidRDefault="00C1793C" w:rsidP="009D675B">
      <w:pPr>
        <w:pStyle w:val="Sch2"/>
        <w:numPr>
          <w:ilvl w:val="3"/>
          <w:numId w:val="56"/>
        </w:numPr>
        <w:rPr>
          <w:bCs/>
        </w:rPr>
      </w:pPr>
      <w:r w:rsidRPr="002A6AE8">
        <w:rPr>
          <w:rFonts w:eastAsia="Verdana"/>
          <w:bCs/>
        </w:rPr>
        <w:t>“</w:t>
      </w:r>
      <w:r w:rsidRPr="002A6AE8">
        <w:rPr>
          <w:rFonts w:eastAsia="Verdana"/>
          <w:b/>
        </w:rPr>
        <w:t>SOC</w:t>
      </w:r>
      <w:r>
        <w:rPr>
          <w:rFonts w:eastAsia="Verdana"/>
          <w:b/>
        </w:rPr>
        <w:t xml:space="preserve"> NR</w:t>
      </w:r>
      <w:r w:rsidRPr="002A6AE8">
        <w:rPr>
          <w:rFonts w:eastAsia="Verdana"/>
          <w:bCs/>
        </w:rPr>
        <w:t xml:space="preserve">” means </w:t>
      </w:r>
      <w:proofErr w:type="spellStart"/>
      <w:r w:rsidR="001F1C19">
        <w:rPr>
          <w:rFonts w:eastAsia="Verdana"/>
          <w:bCs/>
        </w:rPr>
        <w:t>Netlink</w:t>
      </w:r>
      <w:proofErr w:type="spellEnd"/>
      <w:r w:rsidR="001F1C19">
        <w:rPr>
          <w:rFonts w:eastAsia="Verdana"/>
          <w:bCs/>
        </w:rPr>
        <w:t xml:space="preserve"> Star</w:t>
      </w:r>
      <w:r w:rsidRPr="002A6AE8">
        <w:rPr>
          <w:rFonts w:eastAsia="Verdana"/>
          <w:bCs/>
        </w:rPr>
        <w:t>’s Security Operations Centre.</w:t>
      </w:r>
    </w:p>
    <w:p w14:paraId="635F2B06" w14:textId="77777777" w:rsidR="00C1793C" w:rsidRPr="00452A59" w:rsidRDefault="00C1793C" w:rsidP="009D675B">
      <w:pPr>
        <w:pStyle w:val="Sch1"/>
        <w:numPr>
          <w:ilvl w:val="2"/>
          <w:numId w:val="56"/>
        </w:numPr>
        <w:rPr>
          <w:b/>
          <w:bCs/>
        </w:rPr>
      </w:pPr>
      <w:r w:rsidRPr="00452A59">
        <w:rPr>
          <w:b/>
          <w:bCs/>
        </w:rPr>
        <w:t xml:space="preserve">INTRODUCTION </w:t>
      </w:r>
    </w:p>
    <w:p w14:paraId="55026CCE" w14:textId="77777777" w:rsidR="00C1793C" w:rsidRPr="002C5218" w:rsidRDefault="00C1793C" w:rsidP="009D675B">
      <w:pPr>
        <w:pStyle w:val="Sch2"/>
        <w:numPr>
          <w:ilvl w:val="3"/>
          <w:numId w:val="56"/>
        </w:numPr>
      </w:pPr>
      <w:r w:rsidRPr="5DBA5854">
        <w:rPr>
          <w:rFonts w:eastAsia="Verdana"/>
        </w:rPr>
        <w:t>The Parties acknowledge that the purpose of the ISMS and Security Management Plan are to ensure a good organisational approach to security under which the specific requirements of this Agreement will be met.</w:t>
      </w:r>
    </w:p>
    <w:p w14:paraId="5914FCB1" w14:textId="1C849EB2" w:rsidR="00C1793C" w:rsidRPr="002C5218" w:rsidRDefault="00C1793C" w:rsidP="009D675B">
      <w:pPr>
        <w:pStyle w:val="Sch2"/>
        <w:numPr>
          <w:ilvl w:val="3"/>
          <w:numId w:val="56"/>
        </w:numPr>
      </w:pPr>
      <w:r w:rsidRPr="002C5218">
        <w:rPr>
          <w:rFonts w:eastAsia="Verdana"/>
        </w:rPr>
        <w:t xml:space="preserve">The Parties shall each appoint a member of the </w:t>
      </w:r>
      <w:r w:rsidR="00DF4908" w:rsidRPr="00DF4908">
        <w:rPr>
          <w:rFonts w:eastAsia="Verdana"/>
        </w:rPr>
        <w:t>Services Steering Board</w:t>
      </w:r>
      <w:r w:rsidR="00DF4908" w:rsidRPr="00DF4908" w:rsidDel="00DF4908">
        <w:rPr>
          <w:rFonts w:eastAsia="Verdana"/>
        </w:rPr>
        <w:t xml:space="preserve"> </w:t>
      </w:r>
      <w:r w:rsidRPr="002C5218">
        <w:rPr>
          <w:rFonts w:eastAsia="Verdana"/>
        </w:rPr>
        <w:t xml:space="preserve">to be responsible for security. The initial member of the </w:t>
      </w:r>
      <w:r w:rsidR="00DF4908" w:rsidRPr="00DF4908">
        <w:rPr>
          <w:rFonts w:eastAsia="Verdana"/>
        </w:rPr>
        <w:t>Services Steering Board</w:t>
      </w:r>
      <w:r w:rsidR="00DF4908" w:rsidRPr="00DF4908" w:rsidDel="00DF4908">
        <w:rPr>
          <w:rFonts w:eastAsia="Verdana"/>
        </w:rPr>
        <w:t xml:space="preserve"> </w:t>
      </w:r>
      <w:r w:rsidRPr="002C5218">
        <w:rPr>
          <w:rFonts w:eastAsia="Verdana"/>
        </w:rPr>
        <w:t>appointed by the Supplier for such purpose shall be the person named as such in Schedule 9 (Key Personnel) and the provisions of clauses 1</w:t>
      </w:r>
      <w:r>
        <w:rPr>
          <w:rFonts w:eastAsia="Verdana"/>
        </w:rPr>
        <w:t>6.3</w:t>
      </w:r>
      <w:r w:rsidRPr="002C5218">
        <w:rPr>
          <w:rFonts w:eastAsia="Verdana"/>
        </w:rPr>
        <w:t xml:space="preserve"> to 1</w:t>
      </w:r>
      <w:r>
        <w:rPr>
          <w:rFonts w:eastAsia="Verdana"/>
        </w:rPr>
        <w:t>6</w:t>
      </w:r>
      <w:r w:rsidRPr="002C5218">
        <w:rPr>
          <w:rFonts w:eastAsia="Verdana"/>
        </w:rPr>
        <w:t>.6 (Key Personnel) shall apply in relation to such person.</w:t>
      </w:r>
    </w:p>
    <w:p w14:paraId="152EF4AF" w14:textId="4A7B619E" w:rsidR="00C1793C" w:rsidRPr="00C071FA" w:rsidRDefault="00C1793C" w:rsidP="009D675B">
      <w:pPr>
        <w:pStyle w:val="Sch2"/>
        <w:numPr>
          <w:ilvl w:val="3"/>
          <w:numId w:val="56"/>
        </w:numPr>
      </w:pPr>
      <w:r>
        <w:rPr>
          <w:rFonts w:eastAsia="Verdana"/>
        </w:rPr>
        <w:t xml:space="preserve">The Supplier shall comply with all Baseline Security Requirements set out in this </w:t>
      </w:r>
      <w:r w:rsidR="001E2B48">
        <w:rPr>
          <w:rFonts w:eastAsia="Verdana"/>
        </w:rPr>
        <w:t>Schedule</w:t>
      </w:r>
      <w:r>
        <w:rPr>
          <w:rFonts w:eastAsia="Verdana"/>
        </w:rPr>
        <w:t>.</w:t>
      </w:r>
    </w:p>
    <w:p w14:paraId="456DA402" w14:textId="40DC1E09" w:rsidR="00C1793C" w:rsidRPr="002C5218" w:rsidRDefault="00C1793C" w:rsidP="009D675B">
      <w:pPr>
        <w:pStyle w:val="Sch2"/>
        <w:numPr>
          <w:ilvl w:val="3"/>
          <w:numId w:val="56"/>
        </w:numPr>
      </w:pPr>
      <w:r w:rsidRPr="002C5218">
        <w:rPr>
          <w:rFonts w:eastAsia="Verdana"/>
        </w:rPr>
        <w:t>Both Parties shall provide a reasonable level of access to any members of their personnel</w:t>
      </w:r>
      <w:r>
        <w:rPr>
          <w:rFonts w:eastAsia="Verdana"/>
        </w:rPr>
        <w:t xml:space="preserve"> appropriately vetted and on an as needed basis providing it </w:t>
      </w:r>
      <w:proofErr w:type="gramStart"/>
      <w:r>
        <w:rPr>
          <w:rFonts w:eastAsia="Verdana"/>
        </w:rPr>
        <w:t>is at all times</w:t>
      </w:r>
      <w:proofErr w:type="gramEnd"/>
      <w:r>
        <w:rPr>
          <w:rFonts w:eastAsia="Verdana"/>
        </w:rPr>
        <w:t xml:space="preserve"> in compliance with </w:t>
      </w:r>
      <w:proofErr w:type="spellStart"/>
      <w:r w:rsidR="001F1C19">
        <w:rPr>
          <w:rFonts w:eastAsia="Verdana"/>
        </w:rPr>
        <w:t>Netlink</w:t>
      </w:r>
      <w:proofErr w:type="spellEnd"/>
      <w:r w:rsidR="001F1C19">
        <w:rPr>
          <w:rFonts w:eastAsia="Verdana"/>
        </w:rPr>
        <w:t xml:space="preserve"> Star</w:t>
      </w:r>
      <w:r>
        <w:rPr>
          <w:rFonts w:eastAsia="Verdana"/>
        </w:rPr>
        <w:t xml:space="preserve"> Standards and Policies</w:t>
      </w:r>
      <w:r w:rsidRPr="002C5218">
        <w:rPr>
          <w:rFonts w:eastAsia="Verdana"/>
        </w:rPr>
        <w:t xml:space="preserve"> for the purposes of designing, implementing and managing security.</w:t>
      </w:r>
      <w:r>
        <w:rPr>
          <w:rFonts w:eastAsia="Verdana"/>
        </w:rPr>
        <w:t xml:space="preserve"> The Supplier acknowledges that </w:t>
      </w:r>
      <w:proofErr w:type="spellStart"/>
      <w:r w:rsidR="001F1C19">
        <w:rPr>
          <w:rFonts w:eastAsia="Verdana"/>
        </w:rPr>
        <w:t>Netlink</w:t>
      </w:r>
      <w:proofErr w:type="spellEnd"/>
      <w:r w:rsidR="001F1C19">
        <w:rPr>
          <w:rFonts w:eastAsia="Verdana"/>
        </w:rPr>
        <w:t xml:space="preserve"> Star</w:t>
      </w:r>
      <w:r>
        <w:rPr>
          <w:rFonts w:eastAsia="Verdana"/>
        </w:rPr>
        <w:t xml:space="preserve"> must retain its capability to monitor the </w:t>
      </w:r>
      <w:proofErr w:type="spellStart"/>
      <w:r w:rsidR="001F1C19">
        <w:rPr>
          <w:rFonts w:eastAsia="Verdana"/>
        </w:rPr>
        <w:t>Netlink</w:t>
      </w:r>
      <w:proofErr w:type="spellEnd"/>
      <w:r w:rsidR="001F1C19">
        <w:rPr>
          <w:rFonts w:eastAsia="Verdana"/>
        </w:rPr>
        <w:t xml:space="preserve"> Star</w:t>
      </w:r>
      <w:r>
        <w:rPr>
          <w:rFonts w:eastAsia="Verdana"/>
        </w:rPr>
        <w:t xml:space="preserve"> Software, </w:t>
      </w:r>
      <w:proofErr w:type="spellStart"/>
      <w:r w:rsidR="001F1C19">
        <w:rPr>
          <w:rFonts w:eastAsia="Verdana"/>
        </w:rPr>
        <w:t>Netlink</w:t>
      </w:r>
      <w:proofErr w:type="spellEnd"/>
      <w:r w:rsidR="001F1C19">
        <w:rPr>
          <w:rFonts w:eastAsia="Verdana"/>
        </w:rPr>
        <w:t xml:space="preserve"> Star</w:t>
      </w:r>
      <w:r>
        <w:rPr>
          <w:rFonts w:eastAsia="Verdana"/>
        </w:rPr>
        <w:t xml:space="preserve"> System or </w:t>
      </w:r>
      <w:proofErr w:type="gramStart"/>
      <w:r>
        <w:rPr>
          <w:rFonts w:eastAsia="Verdana"/>
        </w:rPr>
        <w:t>third party</w:t>
      </w:r>
      <w:proofErr w:type="gramEnd"/>
      <w:r>
        <w:rPr>
          <w:rFonts w:eastAsia="Verdana"/>
        </w:rPr>
        <w:t xml:space="preserve"> network connections.</w:t>
      </w:r>
    </w:p>
    <w:p w14:paraId="1A39B0AD" w14:textId="5A69487E" w:rsidR="00C1793C" w:rsidRPr="002C5218" w:rsidRDefault="00C1793C" w:rsidP="009D675B">
      <w:pPr>
        <w:pStyle w:val="Sch2"/>
        <w:numPr>
          <w:ilvl w:val="3"/>
          <w:numId w:val="56"/>
        </w:numPr>
      </w:pPr>
      <w:r w:rsidRPr="5DBA5854">
        <w:rPr>
          <w:rFonts w:eastAsia="Verdana"/>
        </w:rPr>
        <w:lastRenderedPageBreak/>
        <w:t xml:space="preserve">The Supplier shall use as a minimum Good Industry Practice in the </w:t>
      </w:r>
      <w:proofErr w:type="gramStart"/>
      <w:r w:rsidRPr="5DBA5854">
        <w:rPr>
          <w:rFonts w:eastAsia="Verdana"/>
        </w:rPr>
        <w:t>day to day</w:t>
      </w:r>
      <w:proofErr w:type="gramEnd"/>
      <w:r w:rsidRPr="5DBA5854">
        <w:rPr>
          <w:rFonts w:eastAsia="Verdana"/>
        </w:rPr>
        <w:t xml:space="preserve"> operation of any system holding, transferring or processing </w:t>
      </w:r>
      <w:proofErr w:type="spellStart"/>
      <w:r w:rsidR="001F1C19">
        <w:rPr>
          <w:rFonts w:eastAsia="Verdana"/>
        </w:rPr>
        <w:t>Netlink</w:t>
      </w:r>
      <w:proofErr w:type="spellEnd"/>
      <w:r w:rsidR="001F1C19">
        <w:rPr>
          <w:rFonts w:eastAsia="Verdana"/>
        </w:rPr>
        <w:t xml:space="preserve"> Star</w:t>
      </w:r>
      <w:r w:rsidRPr="5DBA5854">
        <w:rPr>
          <w:rFonts w:eastAsia="Verdana"/>
        </w:rPr>
        <w:t xml:space="preserve"> Data and any system that could directly or indirectly have an impact on that information, and shall ensure that </w:t>
      </w:r>
      <w:proofErr w:type="spellStart"/>
      <w:r w:rsidR="001F1C19">
        <w:rPr>
          <w:rFonts w:eastAsia="Verdana"/>
        </w:rPr>
        <w:t>Netlink</w:t>
      </w:r>
      <w:proofErr w:type="spellEnd"/>
      <w:r w:rsidR="001F1C19">
        <w:rPr>
          <w:rFonts w:eastAsia="Verdana"/>
        </w:rPr>
        <w:t xml:space="preserve"> Star</w:t>
      </w:r>
      <w:r w:rsidRPr="5DBA5854">
        <w:rPr>
          <w:rFonts w:eastAsia="Verdana"/>
        </w:rPr>
        <w:t xml:space="preserve"> Data remains under the effective control of the Supplier at all times.</w:t>
      </w:r>
      <w:r w:rsidRPr="5DBA5854">
        <w:rPr>
          <w:rFonts w:eastAsia="Verdana"/>
          <w:b/>
          <w:bCs/>
        </w:rPr>
        <w:t xml:space="preserve"> </w:t>
      </w:r>
    </w:p>
    <w:p w14:paraId="323BAF6B" w14:textId="72C646E8" w:rsidR="00C1793C" w:rsidRPr="002C5218" w:rsidRDefault="00C1793C" w:rsidP="009D675B">
      <w:pPr>
        <w:pStyle w:val="Sch2"/>
        <w:numPr>
          <w:ilvl w:val="3"/>
          <w:numId w:val="56"/>
        </w:numPr>
      </w:pPr>
      <w:r w:rsidRPr="002C5218">
        <w:rPr>
          <w:rFonts w:eastAsia="Verdana"/>
        </w:rPr>
        <w:t>The Supplier shall ensure the up-to-date maintenance of a security policy relating to the operation of its own organisation</w:t>
      </w:r>
      <w:r>
        <w:rPr>
          <w:rFonts w:eastAsia="Verdana"/>
        </w:rPr>
        <w:t>, tools</w:t>
      </w:r>
      <w:r w:rsidRPr="002C5218">
        <w:rPr>
          <w:rFonts w:eastAsia="Verdana"/>
        </w:rPr>
        <w:t xml:space="preserve"> and systems </w:t>
      </w:r>
      <w:r>
        <w:rPr>
          <w:rFonts w:eastAsia="Verdana"/>
        </w:rPr>
        <w:t xml:space="preserve">including any tools used on the </w:t>
      </w:r>
      <w:proofErr w:type="spellStart"/>
      <w:r w:rsidR="001F1C19">
        <w:rPr>
          <w:rFonts w:eastAsia="Verdana"/>
        </w:rPr>
        <w:t>Netlink</w:t>
      </w:r>
      <w:proofErr w:type="spellEnd"/>
      <w:r w:rsidR="001F1C19">
        <w:rPr>
          <w:rFonts w:eastAsia="Verdana"/>
        </w:rPr>
        <w:t xml:space="preserve"> Star</w:t>
      </w:r>
      <w:r>
        <w:rPr>
          <w:rFonts w:eastAsia="Verdana"/>
        </w:rPr>
        <w:t xml:space="preserve"> Premises or </w:t>
      </w:r>
      <w:proofErr w:type="spellStart"/>
      <w:r w:rsidR="001F1C19">
        <w:rPr>
          <w:rFonts w:eastAsia="Verdana"/>
        </w:rPr>
        <w:t>Netlink</w:t>
      </w:r>
      <w:proofErr w:type="spellEnd"/>
      <w:r w:rsidR="001F1C19">
        <w:rPr>
          <w:rFonts w:eastAsia="Verdana"/>
        </w:rPr>
        <w:t xml:space="preserve"> Star</w:t>
      </w:r>
      <w:r w:rsidRPr="00103C91">
        <w:rPr>
          <w:rFonts w:eastAsia="Verdana"/>
        </w:rPr>
        <w:t xml:space="preserve"> Systems</w:t>
      </w:r>
      <w:r>
        <w:rPr>
          <w:rFonts w:eastAsia="Verdana"/>
        </w:rPr>
        <w:t xml:space="preserve">, </w:t>
      </w:r>
      <w:r w:rsidRPr="002C5218">
        <w:rPr>
          <w:rFonts w:eastAsia="Verdana"/>
        </w:rPr>
        <w:t xml:space="preserve">and on request shall supply this document </w:t>
      </w:r>
      <w:r>
        <w:rPr>
          <w:rFonts w:eastAsia="Verdana"/>
        </w:rPr>
        <w:t xml:space="preserve">and any updates </w:t>
      </w:r>
      <w:r w:rsidRPr="002C5218">
        <w:rPr>
          <w:rFonts w:eastAsia="Verdana"/>
        </w:rPr>
        <w:t xml:space="preserve">as soon as practicable to </w:t>
      </w:r>
      <w:proofErr w:type="spellStart"/>
      <w:r w:rsidR="001F1C19">
        <w:rPr>
          <w:rFonts w:eastAsia="Verdana"/>
        </w:rPr>
        <w:t>Netlink</w:t>
      </w:r>
      <w:proofErr w:type="spellEnd"/>
      <w:r w:rsidR="001F1C19">
        <w:rPr>
          <w:rFonts w:eastAsia="Verdana"/>
        </w:rPr>
        <w:t xml:space="preserve"> Star</w:t>
      </w:r>
      <w:r w:rsidRPr="002C5218">
        <w:rPr>
          <w:rFonts w:eastAsia="Verdana"/>
        </w:rPr>
        <w:t>.</w:t>
      </w:r>
      <w:r w:rsidRPr="002C5218">
        <w:rPr>
          <w:rFonts w:eastAsia="Verdana"/>
          <w:b/>
        </w:rPr>
        <w:t xml:space="preserve"> </w:t>
      </w:r>
    </w:p>
    <w:p w14:paraId="36C57C28" w14:textId="753904E0" w:rsidR="00C1793C" w:rsidRPr="002C5218" w:rsidRDefault="001F1C19" w:rsidP="009D675B">
      <w:pPr>
        <w:pStyle w:val="Sch2"/>
        <w:numPr>
          <w:ilvl w:val="3"/>
          <w:numId w:val="56"/>
        </w:numPr>
      </w:pPr>
      <w:proofErr w:type="spellStart"/>
      <w:r>
        <w:rPr>
          <w:rFonts w:eastAsia="Verdana"/>
        </w:rPr>
        <w:t>Netlink</w:t>
      </w:r>
      <w:proofErr w:type="spellEnd"/>
      <w:r>
        <w:rPr>
          <w:rFonts w:eastAsia="Verdana"/>
        </w:rPr>
        <w:t xml:space="preserve"> Star</w:t>
      </w:r>
      <w:r w:rsidR="00C1793C" w:rsidRPr="002C5218">
        <w:rPr>
          <w:rFonts w:eastAsia="Verdana"/>
        </w:rPr>
        <w:t xml:space="preserve"> and the Supplier acknowledge that information security risks are shared between the Parties</w:t>
      </w:r>
      <w:r w:rsidR="00C1793C">
        <w:rPr>
          <w:rFonts w:eastAsia="Verdana"/>
        </w:rPr>
        <w:t xml:space="preserve"> in the spirit of collaboration</w:t>
      </w:r>
      <w:r w:rsidR="00C1793C" w:rsidRPr="002C5218">
        <w:rPr>
          <w:rFonts w:eastAsia="Verdana"/>
        </w:rPr>
        <w:t xml:space="preserve"> and that a compromise of either the Supplier or </w:t>
      </w:r>
      <w:proofErr w:type="spellStart"/>
      <w:r>
        <w:rPr>
          <w:rFonts w:eastAsia="Verdana"/>
        </w:rPr>
        <w:t>Netlink</w:t>
      </w:r>
      <w:proofErr w:type="spellEnd"/>
      <w:r>
        <w:rPr>
          <w:rFonts w:eastAsia="Verdana"/>
        </w:rPr>
        <w:t xml:space="preserve"> Star</w:t>
      </w:r>
      <w:r w:rsidR="00C1793C" w:rsidRPr="002C5218">
        <w:rPr>
          <w:rFonts w:eastAsia="Verdana"/>
        </w:rPr>
        <w:t xml:space="preserve">’s security represents an unacceptable risk to </w:t>
      </w:r>
      <w:proofErr w:type="spellStart"/>
      <w:r>
        <w:rPr>
          <w:rFonts w:eastAsia="Verdana"/>
        </w:rPr>
        <w:t>Netlink</w:t>
      </w:r>
      <w:proofErr w:type="spellEnd"/>
      <w:r>
        <w:rPr>
          <w:rFonts w:eastAsia="Verdana"/>
        </w:rPr>
        <w:t xml:space="preserve"> Star</w:t>
      </w:r>
      <w:r w:rsidR="00C1793C" w:rsidRPr="002C5218">
        <w:rPr>
          <w:rFonts w:eastAsia="Verdana"/>
        </w:rPr>
        <w:t xml:space="preserve"> requiring immediate communication and co-operation between the Parties.</w:t>
      </w:r>
      <w:r w:rsidR="00C1793C" w:rsidRPr="002C5218">
        <w:rPr>
          <w:rFonts w:eastAsia="Verdana"/>
          <w:b/>
        </w:rPr>
        <w:t xml:space="preserve"> </w:t>
      </w:r>
    </w:p>
    <w:p w14:paraId="5138CDAB" w14:textId="77777777" w:rsidR="00C1793C" w:rsidRPr="00452A59" w:rsidRDefault="00C1793C" w:rsidP="009D675B">
      <w:pPr>
        <w:pStyle w:val="Sch1"/>
        <w:numPr>
          <w:ilvl w:val="2"/>
          <w:numId w:val="56"/>
        </w:numPr>
        <w:rPr>
          <w:b/>
          <w:bCs/>
        </w:rPr>
      </w:pPr>
      <w:bookmarkStart w:id="1698" w:name="_Ref76049713"/>
      <w:r w:rsidRPr="00452A59">
        <w:rPr>
          <w:b/>
          <w:bCs/>
        </w:rPr>
        <w:t>ISMS</w:t>
      </w:r>
      <w:bookmarkEnd w:id="1698"/>
      <w:r w:rsidRPr="00452A59">
        <w:rPr>
          <w:b/>
          <w:bCs/>
        </w:rPr>
        <w:t xml:space="preserve"> </w:t>
      </w:r>
    </w:p>
    <w:p w14:paraId="0B36E95F" w14:textId="277CFB64" w:rsidR="00C1793C" w:rsidRPr="00393B12" w:rsidRDefault="001F1C19" w:rsidP="009D675B">
      <w:pPr>
        <w:pStyle w:val="Sch2"/>
        <w:numPr>
          <w:ilvl w:val="3"/>
          <w:numId w:val="56"/>
        </w:numPr>
      </w:pPr>
      <w:bookmarkStart w:id="1699" w:name="_Ref76049643"/>
      <w:proofErr w:type="spellStart"/>
      <w:r>
        <w:rPr>
          <w:rFonts w:eastAsia="Verdana"/>
        </w:rPr>
        <w:t>Netlink</w:t>
      </w:r>
      <w:proofErr w:type="spellEnd"/>
      <w:r>
        <w:rPr>
          <w:rFonts w:eastAsia="Verdana"/>
        </w:rPr>
        <w:t xml:space="preserve"> Star</w:t>
      </w:r>
      <w:r w:rsidR="00A67920">
        <w:rPr>
          <w:rFonts w:eastAsia="Verdana"/>
        </w:rPr>
        <w:t xml:space="preserve"> shall share the ISMS with the Supplier </w:t>
      </w:r>
      <w:r w:rsidR="00C1793C" w:rsidRPr="00393B12">
        <w:rPr>
          <w:rFonts w:eastAsia="Verdana"/>
        </w:rPr>
        <w:t>for the purposes of this Agreement</w:t>
      </w:r>
      <w:bookmarkEnd w:id="1699"/>
      <w:r w:rsidR="00C1793C" w:rsidRPr="00393B12">
        <w:rPr>
          <w:rFonts w:eastAsia="Verdana"/>
        </w:rPr>
        <w:t>.</w:t>
      </w:r>
    </w:p>
    <w:p w14:paraId="54A3A998" w14:textId="58C06393" w:rsidR="00C1793C" w:rsidRPr="00393B12" w:rsidRDefault="00C1793C" w:rsidP="009D675B">
      <w:pPr>
        <w:pStyle w:val="Sch2"/>
        <w:numPr>
          <w:ilvl w:val="3"/>
          <w:numId w:val="56"/>
        </w:numPr>
      </w:pPr>
      <w:r w:rsidRPr="00393B12">
        <w:rPr>
          <w:rFonts w:eastAsia="Verdana"/>
        </w:rPr>
        <w:t xml:space="preserve">The Supplier acknowledges </w:t>
      </w:r>
      <w:r>
        <w:rPr>
          <w:rFonts w:eastAsia="Verdana"/>
        </w:rPr>
        <w:t xml:space="preserve">and agrees </w:t>
      </w:r>
      <w:r w:rsidRPr="00393B12">
        <w:rPr>
          <w:rFonts w:eastAsia="Verdana"/>
        </w:rPr>
        <w:t xml:space="preserve">that </w:t>
      </w:r>
      <w:proofErr w:type="spellStart"/>
      <w:r w:rsidR="001F1C19">
        <w:rPr>
          <w:rFonts w:eastAsia="Verdana"/>
        </w:rPr>
        <w:t>Netlink</w:t>
      </w:r>
      <w:proofErr w:type="spellEnd"/>
      <w:r w:rsidR="001F1C19">
        <w:rPr>
          <w:rFonts w:eastAsia="Verdana"/>
        </w:rPr>
        <w:t xml:space="preserve"> Star</w:t>
      </w:r>
      <w:r w:rsidRPr="00393B12">
        <w:rPr>
          <w:rFonts w:eastAsia="Verdana"/>
        </w:rPr>
        <w:t xml:space="preserve"> places great emphasis on the reliability of the Services and confidentiality, </w:t>
      </w:r>
      <w:proofErr w:type="gramStart"/>
      <w:r w:rsidRPr="00393B12">
        <w:rPr>
          <w:rFonts w:eastAsia="Verdana"/>
        </w:rPr>
        <w:t>integrity</w:t>
      </w:r>
      <w:proofErr w:type="gramEnd"/>
      <w:r w:rsidRPr="00393B12">
        <w:rPr>
          <w:rFonts w:eastAsia="Verdana"/>
        </w:rPr>
        <w:t xml:space="preserve"> and availability of information and consequently on the security provided by the ISMS and that the Supplier shall </w:t>
      </w:r>
      <w:r w:rsidR="00A67920">
        <w:rPr>
          <w:rFonts w:eastAsia="Verdana"/>
        </w:rPr>
        <w:t>comply with</w:t>
      </w:r>
      <w:r w:rsidRPr="00393B12">
        <w:rPr>
          <w:rFonts w:eastAsia="Verdana"/>
        </w:rPr>
        <w:t xml:space="preserve"> the ISMS and report on this as part of Governance </w:t>
      </w:r>
      <w:r>
        <w:rPr>
          <w:rFonts w:eastAsia="Verdana"/>
        </w:rPr>
        <w:t xml:space="preserve">set out in Schedule 8.1 </w:t>
      </w:r>
      <w:r w:rsidR="001E2B48">
        <w:rPr>
          <w:rFonts w:eastAsia="Verdana"/>
        </w:rPr>
        <w:t xml:space="preserve">(Governance) </w:t>
      </w:r>
      <w:r>
        <w:rPr>
          <w:rFonts w:eastAsia="Verdana"/>
        </w:rPr>
        <w:t>at the Service Management Review Meeting</w:t>
      </w:r>
      <w:r w:rsidR="00A67920">
        <w:rPr>
          <w:rFonts w:eastAsia="Verdana"/>
        </w:rPr>
        <w:t>.</w:t>
      </w:r>
    </w:p>
    <w:p w14:paraId="44EF0CC2" w14:textId="77777777" w:rsidR="00C1793C" w:rsidRPr="00452A59" w:rsidRDefault="00C1793C" w:rsidP="009D675B">
      <w:pPr>
        <w:pStyle w:val="Sch1"/>
        <w:numPr>
          <w:ilvl w:val="2"/>
          <w:numId w:val="56"/>
        </w:numPr>
        <w:rPr>
          <w:b/>
          <w:bCs/>
        </w:rPr>
      </w:pPr>
      <w:r w:rsidRPr="00452A59">
        <w:rPr>
          <w:b/>
          <w:bCs/>
        </w:rPr>
        <w:t xml:space="preserve">SECURITY MANAGEMENT PLAN </w:t>
      </w:r>
    </w:p>
    <w:p w14:paraId="21C958F4" w14:textId="67B8E2E1" w:rsidR="00C1793C" w:rsidRPr="005D240A" w:rsidRDefault="00C1793C" w:rsidP="009D675B">
      <w:pPr>
        <w:pStyle w:val="Sch2"/>
        <w:numPr>
          <w:ilvl w:val="3"/>
          <w:numId w:val="56"/>
        </w:numPr>
      </w:pPr>
      <w:bookmarkStart w:id="1700" w:name="_Ref76051072"/>
      <w:r w:rsidRPr="005D240A">
        <w:rPr>
          <w:rFonts w:eastAsia="Verdana"/>
        </w:rPr>
        <w:t xml:space="preserve">Within 20 Working Days following the Effective Date the Supplier shall prepare and submit to </w:t>
      </w:r>
      <w:proofErr w:type="spellStart"/>
      <w:r w:rsidR="001F1C19">
        <w:rPr>
          <w:rFonts w:eastAsia="Verdana"/>
        </w:rPr>
        <w:t>Netlink</w:t>
      </w:r>
      <w:proofErr w:type="spellEnd"/>
      <w:r w:rsidR="001F1C19">
        <w:rPr>
          <w:rFonts w:eastAsia="Verdana"/>
        </w:rPr>
        <w:t xml:space="preserve"> Star</w:t>
      </w:r>
      <w:r w:rsidRPr="005D240A">
        <w:rPr>
          <w:rFonts w:eastAsia="Verdana"/>
        </w:rPr>
        <w:t xml:space="preserve"> for approval in accordance with </w:t>
      </w:r>
      <w:r w:rsidR="001E2B48" w:rsidRPr="005D240A">
        <w:rPr>
          <w:rFonts w:eastAsia="Verdana"/>
        </w:rPr>
        <w:t xml:space="preserve">Paragraph </w:t>
      </w:r>
      <w:r w:rsidRPr="005D240A">
        <w:rPr>
          <w:rFonts w:eastAsia="Verdana"/>
        </w:rPr>
        <w:fldChar w:fldCharType="begin"/>
      </w:r>
      <w:r w:rsidRPr="005D240A">
        <w:rPr>
          <w:rFonts w:eastAsia="Verdana"/>
        </w:rPr>
        <w:instrText xml:space="preserve"> REF _Ref76049754 \r \h  \* MERGEFORMAT </w:instrText>
      </w:r>
      <w:r w:rsidRPr="005D240A">
        <w:rPr>
          <w:rFonts w:eastAsia="Verdana"/>
        </w:rPr>
      </w:r>
      <w:r w:rsidRPr="005D240A">
        <w:rPr>
          <w:rFonts w:eastAsia="Verdana"/>
        </w:rPr>
        <w:fldChar w:fldCharType="separate"/>
      </w:r>
      <w:r w:rsidRPr="005D240A">
        <w:rPr>
          <w:rFonts w:eastAsia="Verdana"/>
        </w:rPr>
        <w:t>4.3</w:t>
      </w:r>
      <w:r w:rsidRPr="005D240A">
        <w:rPr>
          <w:rFonts w:eastAsia="Verdana"/>
        </w:rPr>
        <w:fldChar w:fldCharType="end"/>
      </w:r>
      <w:r w:rsidRPr="005D240A">
        <w:rPr>
          <w:rFonts w:eastAsia="Verdana"/>
        </w:rPr>
        <w:t xml:space="preserve"> a fully developed, complete and up-to-date Security Management Plan which shall comply with the requirements of </w:t>
      </w:r>
      <w:r w:rsidR="001E2B48" w:rsidRPr="005D240A">
        <w:rPr>
          <w:rFonts w:eastAsia="Verdana"/>
        </w:rPr>
        <w:t xml:space="preserve">Paragraph </w:t>
      </w:r>
      <w:r w:rsidRPr="005D240A">
        <w:rPr>
          <w:rFonts w:eastAsia="Verdana"/>
        </w:rPr>
        <w:fldChar w:fldCharType="begin"/>
      </w:r>
      <w:r w:rsidRPr="005D240A">
        <w:rPr>
          <w:rFonts w:eastAsia="Verdana"/>
        </w:rPr>
        <w:instrText xml:space="preserve"> REF _Ref76049763 \r \h  \* MERGEFORMAT </w:instrText>
      </w:r>
      <w:r w:rsidRPr="005D240A">
        <w:rPr>
          <w:rFonts w:eastAsia="Verdana"/>
        </w:rPr>
      </w:r>
      <w:r w:rsidRPr="005D240A">
        <w:rPr>
          <w:rFonts w:eastAsia="Verdana"/>
        </w:rPr>
        <w:fldChar w:fldCharType="separate"/>
      </w:r>
      <w:r w:rsidRPr="005D240A">
        <w:rPr>
          <w:rFonts w:eastAsia="Verdana"/>
        </w:rPr>
        <w:t>4.2</w:t>
      </w:r>
      <w:r w:rsidRPr="005D240A">
        <w:rPr>
          <w:rFonts w:eastAsia="Verdana"/>
        </w:rPr>
        <w:fldChar w:fldCharType="end"/>
      </w:r>
      <w:r w:rsidRPr="005D240A">
        <w:rPr>
          <w:rFonts w:eastAsia="Verdana"/>
        </w:rPr>
        <w:t>.</w:t>
      </w:r>
      <w:bookmarkEnd w:id="1700"/>
    </w:p>
    <w:p w14:paraId="44664063" w14:textId="77777777" w:rsidR="00C1793C" w:rsidRPr="002C5218" w:rsidRDefault="00C1793C" w:rsidP="009D675B">
      <w:pPr>
        <w:pStyle w:val="Sch2"/>
        <w:numPr>
          <w:ilvl w:val="3"/>
          <w:numId w:val="56"/>
        </w:numPr>
      </w:pPr>
      <w:bookmarkStart w:id="1701" w:name="_Ref76049763"/>
      <w:r w:rsidRPr="002C5218">
        <w:rPr>
          <w:rFonts w:eastAsia="Verdana"/>
        </w:rPr>
        <w:t>The Security Management Plan shall:</w:t>
      </w:r>
      <w:bookmarkEnd w:id="1701"/>
      <w:r w:rsidRPr="002C5218">
        <w:rPr>
          <w:rFonts w:eastAsia="Verdana"/>
          <w:b/>
        </w:rPr>
        <w:t xml:space="preserve"> </w:t>
      </w:r>
    </w:p>
    <w:p w14:paraId="44B73A80" w14:textId="6FCB9283" w:rsidR="00A67920" w:rsidRPr="00393B12" w:rsidRDefault="00A67920" w:rsidP="009D675B">
      <w:pPr>
        <w:pStyle w:val="Sch3"/>
        <w:numPr>
          <w:ilvl w:val="4"/>
          <w:numId w:val="56"/>
        </w:numPr>
      </w:pPr>
      <w:r w:rsidRPr="5DBA5854">
        <w:rPr>
          <w:rFonts w:eastAsia="Verdana"/>
        </w:rPr>
        <w:t xml:space="preserve">be developed to protect all aspects of the Services and all processes associated with the delivery of the Services, including </w:t>
      </w:r>
      <w:proofErr w:type="spellStart"/>
      <w:r w:rsidR="001F1C19">
        <w:rPr>
          <w:rFonts w:eastAsia="Verdana"/>
        </w:rPr>
        <w:t>Netlink</w:t>
      </w:r>
      <w:proofErr w:type="spellEnd"/>
      <w:r w:rsidR="001F1C19">
        <w:rPr>
          <w:rFonts w:eastAsia="Verdana"/>
        </w:rPr>
        <w:t xml:space="preserve"> Star</w:t>
      </w:r>
      <w:r w:rsidRPr="5DBA5854">
        <w:rPr>
          <w:rFonts w:eastAsia="Verdana"/>
        </w:rPr>
        <w:t xml:space="preserve"> Premises, the Sites, the Supplier System, </w:t>
      </w:r>
      <w:proofErr w:type="spellStart"/>
      <w:r w:rsidR="001F1C19">
        <w:rPr>
          <w:rFonts w:eastAsia="Verdana"/>
        </w:rPr>
        <w:t>Netlink</w:t>
      </w:r>
      <w:proofErr w:type="spellEnd"/>
      <w:r w:rsidR="001F1C19">
        <w:rPr>
          <w:rFonts w:eastAsia="Verdana"/>
        </w:rPr>
        <w:t xml:space="preserve"> Star</w:t>
      </w:r>
      <w:r w:rsidRPr="5DBA5854">
        <w:rPr>
          <w:rFonts w:eastAsia="Verdana"/>
        </w:rPr>
        <w:t xml:space="preserve"> System and any IT, information and data (including </w:t>
      </w:r>
      <w:proofErr w:type="spellStart"/>
      <w:r w:rsidR="001F1C19">
        <w:rPr>
          <w:rFonts w:eastAsia="Verdana"/>
        </w:rPr>
        <w:t>Netlink</w:t>
      </w:r>
      <w:proofErr w:type="spellEnd"/>
      <w:r w:rsidR="001F1C19">
        <w:rPr>
          <w:rFonts w:eastAsia="Verdana"/>
        </w:rPr>
        <w:t xml:space="preserve"> Star</w:t>
      </w:r>
      <w:r w:rsidRPr="5DBA5854">
        <w:rPr>
          <w:rFonts w:eastAsia="Verdana"/>
        </w:rPr>
        <w:t xml:space="preserve"> Confidential Information and </w:t>
      </w:r>
      <w:proofErr w:type="spellStart"/>
      <w:r w:rsidR="001F1C19">
        <w:rPr>
          <w:rFonts w:eastAsia="Verdana"/>
        </w:rPr>
        <w:t>Netlink</w:t>
      </w:r>
      <w:proofErr w:type="spellEnd"/>
      <w:r w:rsidR="001F1C19">
        <w:rPr>
          <w:rFonts w:eastAsia="Verdana"/>
        </w:rPr>
        <w:t xml:space="preserve"> Star</w:t>
      </w:r>
      <w:r w:rsidRPr="5DBA5854">
        <w:rPr>
          <w:rFonts w:eastAsia="Verdana"/>
        </w:rPr>
        <w:t xml:space="preserve"> Data) to the extent used by </w:t>
      </w:r>
      <w:proofErr w:type="spellStart"/>
      <w:r w:rsidR="001F1C19">
        <w:rPr>
          <w:rFonts w:eastAsia="Verdana"/>
        </w:rPr>
        <w:t>Netlink</w:t>
      </w:r>
      <w:proofErr w:type="spellEnd"/>
      <w:r w:rsidR="001F1C19">
        <w:rPr>
          <w:rFonts w:eastAsia="Verdana"/>
        </w:rPr>
        <w:t xml:space="preserve"> Star</w:t>
      </w:r>
      <w:r w:rsidRPr="5DBA5854">
        <w:rPr>
          <w:rFonts w:eastAsia="Verdana"/>
        </w:rPr>
        <w:t xml:space="preserve"> or the Supplier in connection with this </w:t>
      </w:r>
      <w:proofErr w:type="gramStart"/>
      <w:r w:rsidRPr="5DBA5854">
        <w:rPr>
          <w:rFonts w:eastAsia="Verdana"/>
        </w:rPr>
        <w:t>Agreement;</w:t>
      </w:r>
      <w:proofErr w:type="gramEnd"/>
      <w:r w:rsidRPr="5DBA5854">
        <w:rPr>
          <w:rFonts w:eastAsia="Verdana"/>
          <w:b/>
          <w:bCs/>
        </w:rPr>
        <w:t xml:space="preserve"> </w:t>
      </w:r>
    </w:p>
    <w:p w14:paraId="444C2B33" w14:textId="77777777" w:rsidR="00A67920" w:rsidRPr="002C5218" w:rsidRDefault="00A67920" w:rsidP="009D675B">
      <w:pPr>
        <w:pStyle w:val="Sch3"/>
        <w:numPr>
          <w:ilvl w:val="4"/>
          <w:numId w:val="56"/>
        </w:numPr>
      </w:pPr>
      <w:r w:rsidRPr="002C5218">
        <w:rPr>
          <w:rFonts w:eastAsia="Verdana"/>
        </w:rPr>
        <w:t xml:space="preserve">meet the relevant standards </w:t>
      </w:r>
      <w:r>
        <w:rPr>
          <w:rFonts w:eastAsia="Verdana"/>
        </w:rPr>
        <w:t xml:space="preserve">as set out in this </w:t>
      </w:r>
      <w:proofErr w:type="gramStart"/>
      <w:r>
        <w:rPr>
          <w:rFonts w:eastAsia="Verdana"/>
        </w:rPr>
        <w:t>Agreement</w:t>
      </w:r>
      <w:proofErr w:type="gramEnd"/>
      <w:r>
        <w:rPr>
          <w:rFonts w:eastAsia="Verdana"/>
        </w:rPr>
        <w:t xml:space="preserve"> </w:t>
      </w:r>
    </w:p>
    <w:p w14:paraId="3922102E" w14:textId="77777777" w:rsidR="00A67920" w:rsidRPr="002C5218" w:rsidRDefault="00A67920" w:rsidP="009D675B">
      <w:pPr>
        <w:pStyle w:val="Sch3"/>
        <w:numPr>
          <w:ilvl w:val="4"/>
          <w:numId w:val="56"/>
        </w:numPr>
      </w:pPr>
      <w:r w:rsidRPr="002C5218">
        <w:rPr>
          <w:rFonts w:eastAsia="Verdana"/>
        </w:rPr>
        <w:t xml:space="preserve">as a minimum demonstrate Good Industry </w:t>
      </w:r>
      <w:proofErr w:type="gramStart"/>
      <w:r w:rsidRPr="002C5218">
        <w:rPr>
          <w:rFonts w:eastAsia="Verdana"/>
        </w:rPr>
        <w:t>Practice;</w:t>
      </w:r>
      <w:proofErr w:type="gramEnd"/>
      <w:r w:rsidRPr="002C5218">
        <w:rPr>
          <w:rFonts w:eastAsia="Verdana"/>
        </w:rPr>
        <w:t xml:space="preserve"> </w:t>
      </w:r>
    </w:p>
    <w:p w14:paraId="6AD38794" w14:textId="77777777" w:rsidR="00A67920" w:rsidRPr="002C5218" w:rsidRDefault="00A67920" w:rsidP="009D675B">
      <w:pPr>
        <w:pStyle w:val="Sch3"/>
        <w:numPr>
          <w:ilvl w:val="4"/>
          <w:numId w:val="56"/>
        </w:numPr>
      </w:pPr>
      <w:r w:rsidRPr="002C5218">
        <w:rPr>
          <w:rFonts w:eastAsia="Verdana"/>
        </w:rPr>
        <w:t xml:space="preserve">address issues of incompatibility with the Supplier’s own organisational security </w:t>
      </w:r>
      <w:proofErr w:type="gramStart"/>
      <w:r w:rsidRPr="002C5218">
        <w:rPr>
          <w:rFonts w:eastAsia="Verdana"/>
        </w:rPr>
        <w:t>policies;</w:t>
      </w:r>
      <w:proofErr w:type="gramEnd"/>
      <w:r w:rsidRPr="002C5218">
        <w:rPr>
          <w:rFonts w:eastAsia="Verdana"/>
        </w:rPr>
        <w:t xml:space="preserve"> </w:t>
      </w:r>
    </w:p>
    <w:p w14:paraId="500534EC" w14:textId="6FC09084" w:rsidR="00A67920" w:rsidRPr="002C5218" w:rsidRDefault="00A67920" w:rsidP="009D675B">
      <w:pPr>
        <w:pStyle w:val="Sch3"/>
        <w:numPr>
          <w:ilvl w:val="4"/>
          <w:numId w:val="56"/>
        </w:numPr>
      </w:pPr>
      <w:r w:rsidRPr="002C5218">
        <w:rPr>
          <w:rFonts w:eastAsia="Verdana"/>
        </w:rPr>
        <w:t xml:space="preserve">meet any specific security threats of immediate relevance to the Services and/or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w:t>
      </w:r>
      <w:proofErr w:type="gramStart"/>
      <w:r w:rsidRPr="002C5218">
        <w:rPr>
          <w:rFonts w:eastAsia="Verdana"/>
        </w:rPr>
        <w:t>Data;</w:t>
      </w:r>
      <w:proofErr w:type="gramEnd"/>
    </w:p>
    <w:p w14:paraId="72CC1AD2" w14:textId="77777777" w:rsidR="00A67920" w:rsidRPr="002C5218" w:rsidRDefault="00A67920" w:rsidP="009D675B">
      <w:pPr>
        <w:pStyle w:val="Sch3"/>
        <w:numPr>
          <w:ilvl w:val="4"/>
          <w:numId w:val="56"/>
        </w:numPr>
      </w:pPr>
      <w:r w:rsidRPr="002C5218">
        <w:rPr>
          <w:rFonts w:eastAsia="Verdana"/>
        </w:rPr>
        <w:t>compl</w:t>
      </w:r>
      <w:r>
        <w:rPr>
          <w:rFonts w:eastAsia="Verdana"/>
        </w:rPr>
        <w:t>y</w:t>
      </w:r>
      <w:r w:rsidRPr="002C5218">
        <w:rPr>
          <w:rFonts w:eastAsia="Verdana"/>
        </w:rPr>
        <w:t xml:space="preserve"> with </w:t>
      </w:r>
      <w:r>
        <w:rPr>
          <w:rFonts w:eastAsia="Verdana"/>
        </w:rPr>
        <w:t xml:space="preserve">any </w:t>
      </w:r>
      <w:r w:rsidRPr="002C5218">
        <w:rPr>
          <w:rFonts w:eastAsia="Verdana"/>
        </w:rPr>
        <w:t xml:space="preserve">security requirements set out in </w:t>
      </w:r>
      <w:r>
        <w:rPr>
          <w:rFonts w:eastAsia="Verdana"/>
        </w:rPr>
        <w:t xml:space="preserve">Schedule 2.1 (Services Description) </w:t>
      </w:r>
    </w:p>
    <w:p w14:paraId="1B2DE95F" w14:textId="49750B91" w:rsidR="00A67920" w:rsidRPr="002C5218" w:rsidRDefault="00A67920" w:rsidP="009D675B">
      <w:pPr>
        <w:pStyle w:val="Sch3"/>
        <w:numPr>
          <w:ilvl w:val="4"/>
          <w:numId w:val="56"/>
        </w:numPr>
      </w:pPr>
      <w:r w:rsidRPr="002C5218">
        <w:rPr>
          <w:rFonts w:eastAsia="Verdana"/>
        </w:rPr>
        <w:t>compl</w:t>
      </w:r>
      <w:r>
        <w:rPr>
          <w:rFonts w:eastAsia="Verdana"/>
        </w:rPr>
        <w:t>y</w:t>
      </w:r>
      <w:r w:rsidRPr="002C5218">
        <w:rPr>
          <w:rFonts w:eastAsia="Verdana"/>
        </w:rPr>
        <w:t xml:space="preserve"> with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’s IT policies and standards; and </w:t>
      </w:r>
    </w:p>
    <w:p w14:paraId="4B5E9763" w14:textId="77777777" w:rsidR="00A67920" w:rsidRPr="00421D55" w:rsidRDefault="00A67920" w:rsidP="009D675B">
      <w:pPr>
        <w:pStyle w:val="Sch3"/>
        <w:numPr>
          <w:ilvl w:val="4"/>
          <w:numId w:val="56"/>
        </w:numPr>
      </w:pPr>
      <w:r>
        <w:rPr>
          <w:rFonts w:eastAsia="Verdana"/>
        </w:rPr>
        <w:t>be developed and maintained</w:t>
      </w:r>
      <w:r w:rsidRPr="5DBA5854">
        <w:rPr>
          <w:rFonts w:eastAsia="Verdana"/>
        </w:rPr>
        <w:t xml:space="preserve"> in accordance with</w:t>
      </w:r>
      <w:r>
        <w:rPr>
          <w:rFonts w:eastAsia="Verdana"/>
        </w:rPr>
        <w:t>:</w:t>
      </w:r>
    </w:p>
    <w:p w14:paraId="06E27B73" w14:textId="77777777" w:rsidR="00A67920" w:rsidRPr="002C5218" w:rsidRDefault="00A67920" w:rsidP="009D675B">
      <w:pPr>
        <w:pStyle w:val="Sch4"/>
        <w:numPr>
          <w:ilvl w:val="5"/>
          <w:numId w:val="56"/>
        </w:numPr>
      </w:pPr>
      <w:r>
        <w:rPr>
          <w:rFonts w:eastAsia="Verdana"/>
        </w:rPr>
        <w:t xml:space="preserve">all applicable </w:t>
      </w:r>
      <w:r w:rsidRPr="002C5218">
        <w:rPr>
          <w:rFonts w:eastAsia="Verdana"/>
        </w:rPr>
        <w:t xml:space="preserve">Law and this Agreement; </w:t>
      </w:r>
      <w:r>
        <w:rPr>
          <w:rFonts w:eastAsia="Verdana"/>
        </w:rPr>
        <w:t>and</w:t>
      </w:r>
    </w:p>
    <w:p w14:paraId="39A68D05" w14:textId="2A499E02" w:rsidR="00A67920" w:rsidRPr="00421D55" w:rsidRDefault="00A67920" w:rsidP="009D675B">
      <w:pPr>
        <w:pStyle w:val="Sch4"/>
        <w:numPr>
          <w:ilvl w:val="5"/>
          <w:numId w:val="56"/>
        </w:numPr>
      </w:pPr>
      <w:r w:rsidRPr="5DBA5854">
        <w:rPr>
          <w:rFonts w:eastAsia="Verdana"/>
        </w:rPr>
        <w:t xml:space="preserve">any vulnerability management policy and processes set out by </w:t>
      </w:r>
      <w:proofErr w:type="spellStart"/>
      <w:r w:rsidR="001F1C19">
        <w:rPr>
          <w:rFonts w:eastAsia="Verdana"/>
        </w:rPr>
        <w:t>Netlink</w:t>
      </w:r>
      <w:proofErr w:type="spellEnd"/>
      <w:r w:rsidR="001F1C19">
        <w:rPr>
          <w:rFonts w:eastAsia="Verdana"/>
        </w:rPr>
        <w:t xml:space="preserve"> </w:t>
      </w:r>
      <w:proofErr w:type="gramStart"/>
      <w:r w:rsidR="001F1C19">
        <w:rPr>
          <w:rFonts w:eastAsia="Verdana"/>
        </w:rPr>
        <w:t>Star</w:t>
      </w:r>
      <w:r>
        <w:rPr>
          <w:rFonts w:eastAsia="Verdana"/>
        </w:rPr>
        <w:t>;</w:t>
      </w:r>
      <w:proofErr w:type="gramEnd"/>
    </w:p>
    <w:p w14:paraId="457CD308" w14:textId="4D7FBC35" w:rsidR="00A67920" w:rsidRPr="00421D55" w:rsidRDefault="00A67920" w:rsidP="009D675B">
      <w:pPr>
        <w:pStyle w:val="Sch3"/>
        <w:numPr>
          <w:ilvl w:val="4"/>
          <w:numId w:val="56"/>
        </w:numPr>
      </w:pPr>
      <w:r w:rsidRPr="5DBA5854">
        <w:rPr>
          <w:rFonts w:eastAsia="Verdana"/>
        </w:rPr>
        <w:lastRenderedPageBreak/>
        <w:t xml:space="preserve">set out processes agreed with </w:t>
      </w:r>
      <w:proofErr w:type="spellStart"/>
      <w:r w:rsidR="001F1C19">
        <w:rPr>
          <w:rFonts w:eastAsia="Verdana"/>
        </w:rPr>
        <w:t>Netlink</w:t>
      </w:r>
      <w:proofErr w:type="spellEnd"/>
      <w:r w:rsidR="001F1C19">
        <w:rPr>
          <w:rFonts w:eastAsia="Verdana"/>
        </w:rPr>
        <w:t xml:space="preserve"> Star</w:t>
      </w:r>
      <w:r w:rsidRPr="5DBA5854">
        <w:rPr>
          <w:rFonts w:eastAsia="Verdana"/>
        </w:rPr>
        <w:t xml:space="preserve"> for identification of system vulnerabilities and assessment of the potential impact on the Services of any new threat, vulnerability or exploitation technique of which the Supplier becomes aware, prioritisation of security patches, testing of security patches, application of security patches, a process for </w:t>
      </w:r>
      <w:proofErr w:type="spellStart"/>
      <w:r w:rsidR="001F1C19">
        <w:rPr>
          <w:rFonts w:eastAsia="Verdana"/>
        </w:rPr>
        <w:t>Netlink</w:t>
      </w:r>
      <w:proofErr w:type="spellEnd"/>
      <w:r w:rsidR="001F1C19">
        <w:rPr>
          <w:rFonts w:eastAsia="Verdana"/>
        </w:rPr>
        <w:t xml:space="preserve"> Star</w:t>
      </w:r>
      <w:r w:rsidRPr="5DBA5854">
        <w:rPr>
          <w:rFonts w:eastAsia="Verdana"/>
        </w:rPr>
        <w:t xml:space="preserve"> approvals of exceptions, and the reporting and audit mechanism detailing the efficacy of the patching </w:t>
      </w:r>
      <w:proofErr w:type="gramStart"/>
      <w:r w:rsidRPr="5DBA5854">
        <w:rPr>
          <w:rFonts w:eastAsia="Verdana"/>
        </w:rPr>
        <w:t>policy;</w:t>
      </w:r>
      <w:proofErr w:type="gramEnd"/>
      <w:r w:rsidRPr="5DBA5854">
        <w:rPr>
          <w:rFonts w:eastAsia="Verdana"/>
        </w:rPr>
        <w:t xml:space="preserve"> </w:t>
      </w:r>
    </w:p>
    <w:p w14:paraId="60B8A80E" w14:textId="38641991" w:rsidR="00A67920" w:rsidRPr="002C5218" w:rsidRDefault="00A67920" w:rsidP="009D675B">
      <w:pPr>
        <w:pStyle w:val="Sch3"/>
        <w:numPr>
          <w:ilvl w:val="4"/>
          <w:numId w:val="56"/>
        </w:numPr>
      </w:pPr>
      <w:r w:rsidRPr="5DBA5854">
        <w:rPr>
          <w:rFonts w:eastAsia="Verdana"/>
        </w:rPr>
        <w:t xml:space="preserve">be certified by (or by a person with the direct delegated authority of) a Supplier’s main board representative, being the Chief Security Officer, Chief Information Officer, Chief Technical Officer or Chief Financial Officer (or equivalent as agreed in writing by </w:t>
      </w:r>
      <w:proofErr w:type="spellStart"/>
      <w:r w:rsidR="001F1C19">
        <w:rPr>
          <w:rFonts w:eastAsia="Verdana"/>
        </w:rPr>
        <w:t>Netlink</w:t>
      </w:r>
      <w:proofErr w:type="spellEnd"/>
      <w:r w:rsidR="001F1C19">
        <w:rPr>
          <w:rFonts w:eastAsia="Verdana"/>
        </w:rPr>
        <w:t xml:space="preserve"> Star</w:t>
      </w:r>
      <w:r w:rsidRPr="5DBA5854">
        <w:rPr>
          <w:rFonts w:eastAsia="Verdana"/>
        </w:rPr>
        <w:t xml:space="preserve"> in advance of issue of the relevant Security Management Plan</w:t>
      </w:r>
      <w:proofErr w:type="gramStart"/>
      <w:r w:rsidRPr="5DBA5854">
        <w:rPr>
          <w:rFonts w:eastAsia="Verdana"/>
        </w:rPr>
        <w:t>)</w:t>
      </w:r>
      <w:r>
        <w:rPr>
          <w:rFonts w:eastAsia="Verdana"/>
        </w:rPr>
        <w:t>;</w:t>
      </w:r>
      <w:proofErr w:type="gramEnd"/>
      <w:r w:rsidRPr="5DBA5854">
        <w:rPr>
          <w:rFonts w:eastAsia="Verdana"/>
        </w:rPr>
        <w:t xml:space="preserve"> </w:t>
      </w:r>
    </w:p>
    <w:p w14:paraId="21C0F533" w14:textId="5EF6A7F7" w:rsidR="00C1793C" w:rsidRPr="002C5218" w:rsidRDefault="00C1793C" w:rsidP="009D675B">
      <w:pPr>
        <w:pStyle w:val="Sch3"/>
        <w:numPr>
          <w:ilvl w:val="4"/>
          <w:numId w:val="56"/>
        </w:numPr>
      </w:pPr>
      <w:r w:rsidRPr="002C5218">
        <w:rPr>
          <w:rFonts w:eastAsia="Verdana"/>
        </w:rPr>
        <w:t xml:space="preserve">be based on the initial Security Management Plan set out in Annex </w:t>
      </w:r>
      <w:r w:rsidR="001E2B48">
        <w:rPr>
          <w:rFonts w:eastAsia="Verdana"/>
        </w:rPr>
        <w:t>2.</w:t>
      </w:r>
      <w:proofErr w:type="gramStart"/>
      <w:r w:rsidR="001E2B48">
        <w:rPr>
          <w:rFonts w:eastAsia="Verdana"/>
        </w:rPr>
        <w:t>6B</w:t>
      </w:r>
      <w:r w:rsidRPr="002C5218">
        <w:rPr>
          <w:rFonts w:eastAsia="Verdana"/>
        </w:rPr>
        <w:t>;</w:t>
      </w:r>
      <w:proofErr w:type="gramEnd"/>
      <w:r w:rsidRPr="002C5218">
        <w:rPr>
          <w:rFonts w:eastAsia="Verdana"/>
          <w:b/>
        </w:rPr>
        <w:t xml:space="preserve"> </w:t>
      </w:r>
    </w:p>
    <w:p w14:paraId="028B7A33" w14:textId="77777777" w:rsidR="00C1793C" w:rsidRPr="002C5218" w:rsidRDefault="00C1793C" w:rsidP="009D675B">
      <w:pPr>
        <w:pStyle w:val="Sch3"/>
        <w:numPr>
          <w:ilvl w:val="4"/>
          <w:numId w:val="56"/>
        </w:numPr>
      </w:pPr>
      <w:r w:rsidRPr="002C5218">
        <w:rPr>
          <w:rFonts w:eastAsia="Verdana"/>
        </w:rPr>
        <w:t xml:space="preserve">comply with the Baseline Security </w:t>
      </w:r>
      <w:proofErr w:type="gramStart"/>
      <w:r w:rsidRPr="002C5218">
        <w:rPr>
          <w:rFonts w:eastAsia="Verdana"/>
        </w:rPr>
        <w:t>Requirements;</w:t>
      </w:r>
      <w:proofErr w:type="gramEnd"/>
      <w:r w:rsidRPr="002C5218">
        <w:rPr>
          <w:rFonts w:eastAsia="Verdana"/>
          <w:b/>
        </w:rPr>
        <w:t xml:space="preserve"> </w:t>
      </w:r>
    </w:p>
    <w:p w14:paraId="3BDBB3BF" w14:textId="77777777" w:rsidR="00C1793C" w:rsidRPr="002C5218" w:rsidRDefault="00C1793C" w:rsidP="009D675B">
      <w:pPr>
        <w:pStyle w:val="Sch3"/>
        <w:numPr>
          <w:ilvl w:val="4"/>
          <w:numId w:val="56"/>
        </w:numPr>
      </w:pPr>
      <w:r w:rsidRPr="002C5218">
        <w:rPr>
          <w:rFonts w:eastAsia="Verdana"/>
        </w:rPr>
        <w:t xml:space="preserve">identify the necessary delegated organisational roles defined for those responsible for ensuring this Schedule is complied with by the </w:t>
      </w:r>
      <w:proofErr w:type="gramStart"/>
      <w:r w:rsidRPr="002C5218">
        <w:rPr>
          <w:rFonts w:eastAsia="Verdana"/>
        </w:rPr>
        <w:t>Supplier;</w:t>
      </w:r>
      <w:proofErr w:type="gramEnd"/>
      <w:r w:rsidRPr="002C5218">
        <w:rPr>
          <w:rFonts w:eastAsia="Verdana"/>
          <w:b/>
        </w:rPr>
        <w:t xml:space="preserve"> </w:t>
      </w:r>
    </w:p>
    <w:p w14:paraId="768B6939" w14:textId="0F0949CB" w:rsidR="00C1793C" w:rsidRPr="002C5218" w:rsidRDefault="00C1793C" w:rsidP="009D675B">
      <w:pPr>
        <w:pStyle w:val="Sch3"/>
        <w:numPr>
          <w:ilvl w:val="4"/>
          <w:numId w:val="56"/>
        </w:numPr>
      </w:pPr>
      <w:r w:rsidRPr="002C5218">
        <w:rPr>
          <w:rFonts w:eastAsia="Verdana"/>
        </w:rPr>
        <w:t xml:space="preserve">detail the process for managing any security risks from Sub-contractors and third parties authorised by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with access to the Services, processes associated with the delivery of the Services,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Premises, the Sites, the Supplier System,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System (to extent that it is under the control of the Supplier) and any IT, Information and data (including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Confidential Information and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Data) and any system that could directly or indirectly have an impact on that Information, data and/or the Services;</w:t>
      </w:r>
      <w:r w:rsidRPr="002C5218">
        <w:rPr>
          <w:rFonts w:eastAsia="Verdana"/>
          <w:b/>
        </w:rPr>
        <w:t xml:space="preserve"> </w:t>
      </w:r>
    </w:p>
    <w:p w14:paraId="5D50A172" w14:textId="6AEC35EA" w:rsidR="00C1793C" w:rsidRPr="002C5218" w:rsidRDefault="00C1793C" w:rsidP="009D675B">
      <w:pPr>
        <w:pStyle w:val="Sch3"/>
        <w:numPr>
          <w:ilvl w:val="4"/>
          <w:numId w:val="56"/>
        </w:numPr>
      </w:pPr>
      <w:r w:rsidRPr="002C5218">
        <w:rPr>
          <w:rFonts w:eastAsia="Verdana"/>
        </w:rPr>
        <w:t xml:space="preserve">unless otherwise specified by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in writing, be developed to protect all aspects of the Services and all processes associated with the delivery of the Services, including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Premises, the Sites, the Supplier System,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System (to the extent that it is under the control of the Supplier) and any IT, Information and data (including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Confidential Information and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Data) to the extent used by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or the Supplier in connection with this Agreement or in connection with any system that could directly or indirectly have an impact on that Information, data and/or the Services;</w:t>
      </w:r>
      <w:r w:rsidRPr="002C5218">
        <w:rPr>
          <w:rFonts w:eastAsia="Verdana"/>
          <w:b/>
        </w:rPr>
        <w:t xml:space="preserve"> </w:t>
      </w:r>
    </w:p>
    <w:p w14:paraId="794E886C" w14:textId="02DD49E6" w:rsidR="00C1793C" w:rsidRPr="001F64F7" w:rsidRDefault="00C1793C" w:rsidP="009D675B">
      <w:pPr>
        <w:pStyle w:val="Sch3"/>
        <w:numPr>
          <w:ilvl w:val="4"/>
          <w:numId w:val="56"/>
        </w:numPr>
      </w:pPr>
      <w:r w:rsidRPr="00C071FA">
        <w:rPr>
          <w:rFonts w:eastAsia="Verdana"/>
        </w:rPr>
        <w:t xml:space="preserve">set out the security measures to be implemented and maintained by the Supplier in relation to all aspects of the Services and all processes associated with the delivery of the Services and at all times comply with </w:t>
      </w:r>
      <w:r w:rsidR="00A67920">
        <w:rPr>
          <w:rFonts w:eastAsia="Verdana"/>
        </w:rPr>
        <w:t xml:space="preserve">standards, IT policies </w:t>
      </w:r>
      <w:r w:rsidRPr="00C071FA">
        <w:rPr>
          <w:rFonts w:eastAsia="Verdana"/>
        </w:rPr>
        <w:t xml:space="preserve">and specify security measures and procedures which are sufficient to ensure that the Services comply with the provisions of this </w:t>
      </w:r>
      <w:proofErr w:type="gramStart"/>
      <w:r w:rsidRPr="00C071FA">
        <w:rPr>
          <w:rFonts w:eastAsia="Verdana"/>
        </w:rPr>
        <w:t xml:space="preserve">Schedule </w:t>
      </w:r>
      <w:r>
        <w:rPr>
          <w:rFonts w:eastAsia="Verdana"/>
        </w:rPr>
        <w:t xml:space="preserve"> and</w:t>
      </w:r>
      <w:proofErr w:type="gramEnd"/>
      <w:r>
        <w:rPr>
          <w:rFonts w:eastAsia="Verdana"/>
        </w:rPr>
        <w:t xml:space="preserve"> they align with </w:t>
      </w:r>
      <w:proofErr w:type="spellStart"/>
      <w:r w:rsidR="001F1C19">
        <w:rPr>
          <w:rFonts w:eastAsia="Verdana"/>
        </w:rPr>
        <w:t>Netlink</w:t>
      </w:r>
      <w:proofErr w:type="spellEnd"/>
      <w:r w:rsidR="001F1C19">
        <w:rPr>
          <w:rFonts w:eastAsia="Verdana"/>
        </w:rPr>
        <w:t xml:space="preserve"> Star</w:t>
      </w:r>
      <w:r>
        <w:rPr>
          <w:rFonts w:eastAsia="Verdana"/>
        </w:rPr>
        <w:t xml:space="preserve"> security processes, procedures and solutions</w:t>
      </w:r>
      <w:r w:rsidRPr="00C071FA">
        <w:rPr>
          <w:rFonts w:eastAsia="Verdana"/>
        </w:rPr>
        <w:t>;</w:t>
      </w:r>
      <w:r w:rsidRPr="00C071FA">
        <w:rPr>
          <w:rFonts w:eastAsia="Verdana"/>
          <w:b/>
        </w:rPr>
        <w:t xml:space="preserve"> </w:t>
      </w:r>
    </w:p>
    <w:p w14:paraId="54D49AA8" w14:textId="7E68A1A4" w:rsidR="00C1793C" w:rsidRPr="002C5218" w:rsidRDefault="00C1793C" w:rsidP="009D675B">
      <w:pPr>
        <w:pStyle w:val="Sch3"/>
        <w:numPr>
          <w:ilvl w:val="4"/>
          <w:numId w:val="56"/>
        </w:numPr>
      </w:pPr>
      <w:r w:rsidRPr="002C5218">
        <w:rPr>
          <w:rFonts w:eastAsia="Verdana"/>
        </w:rPr>
        <w:t xml:space="preserve">set out the scope of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System that is under the control of the </w:t>
      </w:r>
      <w:proofErr w:type="gramStart"/>
      <w:r w:rsidRPr="002C5218">
        <w:rPr>
          <w:rFonts w:eastAsia="Verdana"/>
        </w:rPr>
        <w:t>Supplier;</w:t>
      </w:r>
      <w:proofErr w:type="gramEnd"/>
      <w:r w:rsidRPr="002C5218">
        <w:rPr>
          <w:rFonts w:eastAsia="Verdana"/>
          <w:b/>
        </w:rPr>
        <w:t xml:space="preserve"> </w:t>
      </w:r>
    </w:p>
    <w:p w14:paraId="7B3E0FF2" w14:textId="0F0E0D6A" w:rsidR="00C1793C" w:rsidRPr="002C5218" w:rsidRDefault="00C1793C" w:rsidP="009D675B">
      <w:pPr>
        <w:pStyle w:val="Sch3"/>
        <w:numPr>
          <w:ilvl w:val="4"/>
          <w:numId w:val="56"/>
        </w:numPr>
      </w:pPr>
      <w:r w:rsidRPr="002C5218">
        <w:rPr>
          <w:rFonts w:eastAsia="Verdana"/>
        </w:rPr>
        <w:t xml:space="preserve">be structured in accordance with </w:t>
      </w:r>
      <w:proofErr w:type="spellStart"/>
      <w:r w:rsidR="001F1C19">
        <w:rPr>
          <w:rFonts w:eastAsia="Verdana"/>
        </w:rPr>
        <w:t>Netlink</w:t>
      </w:r>
      <w:proofErr w:type="spellEnd"/>
      <w:r w:rsidR="001F1C19">
        <w:rPr>
          <w:rFonts w:eastAsia="Verdana"/>
        </w:rPr>
        <w:t xml:space="preserve"> Star</w:t>
      </w:r>
      <w:r>
        <w:rPr>
          <w:rFonts w:eastAsia="Verdana"/>
        </w:rPr>
        <w:t xml:space="preserve"> Security Assurance Framework</w:t>
      </w:r>
      <w:r w:rsidRPr="002C5218">
        <w:rPr>
          <w:rFonts w:eastAsia="Verdana"/>
        </w:rPr>
        <w:t>, cross</w:t>
      </w:r>
      <w:r>
        <w:rPr>
          <w:rFonts w:eastAsia="Verdana"/>
        </w:rPr>
        <w:t>-</w:t>
      </w:r>
      <w:r w:rsidRPr="002C5218">
        <w:rPr>
          <w:rFonts w:eastAsia="Verdana"/>
        </w:rPr>
        <w:t xml:space="preserve">referencing if necessary to other Schedules which cover specific areas included within those </w:t>
      </w:r>
      <w:proofErr w:type="gramStart"/>
      <w:r w:rsidRPr="002C5218">
        <w:rPr>
          <w:rFonts w:eastAsia="Verdana"/>
        </w:rPr>
        <w:t>standards;</w:t>
      </w:r>
      <w:proofErr w:type="gramEnd"/>
    </w:p>
    <w:p w14:paraId="16F6ACDB" w14:textId="2925573A" w:rsidR="00C1793C" w:rsidRPr="002C5218" w:rsidRDefault="00C1793C" w:rsidP="009D675B">
      <w:pPr>
        <w:pStyle w:val="Sch3"/>
        <w:numPr>
          <w:ilvl w:val="4"/>
          <w:numId w:val="56"/>
        </w:numPr>
      </w:pPr>
      <w:r w:rsidRPr="002C5218">
        <w:rPr>
          <w:rFonts w:eastAsia="Verdana"/>
        </w:rPr>
        <w:t xml:space="preserve">be written in plain English in language which is readily comprehensible to the staff of the Supplier and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engaged in the Services and shall reference only documents which are in the possession of the Parties or whose location is otherwise specified in this Schedule; and</w:t>
      </w:r>
      <w:r w:rsidRPr="002C5218">
        <w:rPr>
          <w:rFonts w:eastAsia="Verdana"/>
          <w:b/>
        </w:rPr>
        <w:t xml:space="preserve"> </w:t>
      </w:r>
    </w:p>
    <w:p w14:paraId="1051FD71" w14:textId="18901CFF" w:rsidR="00C1793C" w:rsidRPr="002C5218" w:rsidRDefault="00C1793C" w:rsidP="009D675B">
      <w:pPr>
        <w:pStyle w:val="Sch3"/>
        <w:numPr>
          <w:ilvl w:val="4"/>
          <w:numId w:val="56"/>
        </w:numPr>
      </w:pPr>
      <w:r w:rsidRPr="002C5218">
        <w:rPr>
          <w:rFonts w:eastAsia="Verdana"/>
        </w:rPr>
        <w:t xml:space="preserve">be in accordance with the </w:t>
      </w:r>
      <w:proofErr w:type="spellStart"/>
      <w:r w:rsidR="001F1C19">
        <w:rPr>
          <w:rFonts w:eastAsia="Verdana"/>
        </w:rPr>
        <w:t>Netlink</w:t>
      </w:r>
      <w:proofErr w:type="spellEnd"/>
      <w:r w:rsidR="001F1C19">
        <w:rPr>
          <w:rFonts w:eastAsia="Verdana"/>
        </w:rPr>
        <w:t xml:space="preserve"> Star</w:t>
      </w:r>
      <w:r>
        <w:rPr>
          <w:rFonts w:eastAsia="Verdana"/>
        </w:rPr>
        <w:t xml:space="preserve"> Security Assurance Framework.</w:t>
      </w:r>
      <w:r w:rsidRPr="002C5218">
        <w:rPr>
          <w:rFonts w:eastAsia="Verdana"/>
          <w:b/>
        </w:rPr>
        <w:t xml:space="preserve"> </w:t>
      </w:r>
    </w:p>
    <w:p w14:paraId="34748E26" w14:textId="7EC3A32D" w:rsidR="00C1793C" w:rsidRPr="005D240A" w:rsidRDefault="00C1793C" w:rsidP="009D675B">
      <w:pPr>
        <w:pStyle w:val="Sch2"/>
        <w:numPr>
          <w:ilvl w:val="3"/>
          <w:numId w:val="56"/>
        </w:numPr>
      </w:pPr>
      <w:bookmarkStart w:id="1702" w:name="_Ref76049754"/>
      <w:r w:rsidRPr="005D240A">
        <w:rPr>
          <w:rFonts w:eastAsia="Verdana"/>
        </w:rPr>
        <w:t xml:space="preserve">If the Security Management Plan submitted to </w:t>
      </w:r>
      <w:proofErr w:type="spellStart"/>
      <w:r w:rsidR="001F1C19">
        <w:rPr>
          <w:rFonts w:eastAsia="Verdana"/>
        </w:rPr>
        <w:t>Netlink</w:t>
      </w:r>
      <w:proofErr w:type="spellEnd"/>
      <w:r w:rsidR="001F1C19">
        <w:rPr>
          <w:rFonts w:eastAsia="Verdana"/>
        </w:rPr>
        <w:t xml:space="preserve"> Star</w:t>
      </w:r>
      <w:r w:rsidRPr="005D240A">
        <w:rPr>
          <w:rFonts w:eastAsia="Verdana"/>
        </w:rPr>
        <w:t xml:space="preserve"> pursuant to </w:t>
      </w:r>
      <w:r w:rsidR="001E2B48" w:rsidRPr="005D240A">
        <w:rPr>
          <w:rFonts w:eastAsia="Verdana"/>
        </w:rPr>
        <w:t xml:space="preserve">Paragraph </w:t>
      </w:r>
      <w:r w:rsidRPr="005D240A">
        <w:rPr>
          <w:rFonts w:eastAsia="Verdana"/>
        </w:rPr>
        <w:fldChar w:fldCharType="begin"/>
      </w:r>
      <w:r w:rsidRPr="005D240A">
        <w:rPr>
          <w:rFonts w:eastAsia="Verdana"/>
        </w:rPr>
        <w:instrText xml:space="preserve"> REF _Ref76051072 \r \h  \* MERGEFORMAT </w:instrText>
      </w:r>
      <w:r w:rsidRPr="005D240A">
        <w:rPr>
          <w:rFonts w:eastAsia="Verdana"/>
        </w:rPr>
      </w:r>
      <w:r w:rsidRPr="005D240A">
        <w:rPr>
          <w:rFonts w:eastAsia="Verdana"/>
        </w:rPr>
        <w:fldChar w:fldCharType="separate"/>
      </w:r>
      <w:r w:rsidRPr="005D240A">
        <w:rPr>
          <w:rFonts w:eastAsia="Verdana"/>
        </w:rPr>
        <w:t>4.1</w:t>
      </w:r>
      <w:r w:rsidRPr="005D240A">
        <w:rPr>
          <w:rFonts w:eastAsia="Verdana"/>
        </w:rPr>
        <w:fldChar w:fldCharType="end"/>
      </w:r>
      <w:r w:rsidRPr="005D240A">
        <w:rPr>
          <w:rFonts w:eastAsia="Verdana"/>
        </w:rPr>
        <w:t xml:space="preserve"> is approved by </w:t>
      </w:r>
      <w:proofErr w:type="spellStart"/>
      <w:r w:rsidR="001F1C19">
        <w:rPr>
          <w:rFonts w:eastAsia="Verdana"/>
        </w:rPr>
        <w:t>Netlink</w:t>
      </w:r>
      <w:proofErr w:type="spellEnd"/>
      <w:r w:rsidR="001F1C19">
        <w:rPr>
          <w:rFonts w:eastAsia="Verdana"/>
        </w:rPr>
        <w:t xml:space="preserve"> Star</w:t>
      </w:r>
      <w:r w:rsidRPr="005D240A">
        <w:rPr>
          <w:rFonts w:eastAsia="Verdana"/>
        </w:rPr>
        <w:t xml:space="preserve">, it shall be adopted by the Supplier immediately and thereafter operated and maintained in accordance with this Schedule.  If the Security Management Plan </w:t>
      </w:r>
      <w:r w:rsidRPr="005D240A">
        <w:rPr>
          <w:rFonts w:eastAsia="Verdana"/>
        </w:rPr>
        <w:lastRenderedPageBreak/>
        <w:t xml:space="preserve">is not approved by </w:t>
      </w:r>
      <w:proofErr w:type="spellStart"/>
      <w:r w:rsidR="001F1C19">
        <w:rPr>
          <w:rFonts w:eastAsia="Verdana"/>
        </w:rPr>
        <w:t>Netlink</w:t>
      </w:r>
      <w:proofErr w:type="spellEnd"/>
      <w:r w:rsidR="001F1C19">
        <w:rPr>
          <w:rFonts w:eastAsia="Verdana"/>
        </w:rPr>
        <w:t xml:space="preserve"> Star</w:t>
      </w:r>
      <w:r w:rsidRPr="005D240A">
        <w:rPr>
          <w:rFonts w:eastAsia="Verdana"/>
        </w:rPr>
        <w:t xml:space="preserve">, the Supplier shall amend it within ten (10) Working Days of a notice of non-approval from </w:t>
      </w:r>
      <w:proofErr w:type="spellStart"/>
      <w:r w:rsidR="001F1C19">
        <w:rPr>
          <w:rFonts w:eastAsia="Verdana"/>
        </w:rPr>
        <w:t>Netlink</w:t>
      </w:r>
      <w:proofErr w:type="spellEnd"/>
      <w:r w:rsidR="001F1C19">
        <w:rPr>
          <w:rFonts w:eastAsia="Verdana"/>
        </w:rPr>
        <w:t xml:space="preserve"> Star</w:t>
      </w:r>
      <w:r w:rsidRPr="005D240A">
        <w:rPr>
          <w:rFonts w:eastAsia="Verdana"/>
        </w:rPr>
        <w:t xml:space="preserve"> and re-submit it to </w:t>
      </w:r>
      <w:proofErr w:type="spellStart"/>
      <w:r w:rsidR="001F1C19">
        <w:rPr>
          <w:rFonts w:eastAsia="Verdana"/>
        </w:rPr>
        <w:t>Netlink</w:t>
      </w:r>
      <w:proofErr w:type="spellEnd"/>
      <w:r w:rsidR="001F1C19">
        <w:rPr>
          <w:rFonts w:eastAsia="Verdana"/>
        </w:rPr>
        <w:t xml:space="preserve"> Star</w:t>
      </w:r>
      <w:r w:rsidRPr="005D240A">
        <w:rPr>
          <w:rFonts w:eastAsia="Verdana"/>
        </w:rPr>
        <w:t xml:space="preserve"> for approval.  The Parties shall use all reasonable endeavours to ensure that the approval process takes as little time as possible </w:t>
      </w:r>
      <w:proofErr w:type="gramStart"/>
      <w:r w:rsidRPr="005D240A">
        <w:rPr>
          <w:rFonts w:eastAsia="Verdana"/>
        </w:rPr>
        <w:t>and in any event</w:t>
      </w:r>
      <w:proofErr w:type="gramEnd"/>
      <w:r w:rsidRPr="005D240A">
        <w:rPr>
          <w:rFonts w:eastAsia="Verdana"/>
        </w:rPr>
        <w:t xml:space="preserve"> no longer than 15 Working Days (or such other period as the Parties may agree in writing) from the date of its first submission to </w:t>
      </w:r>
      <w:proofErr w:type="spellStart"/>
      <w:r w:rsidR="001F1C19">
        <w:rPr>
          <w:rFonts w:eastAsia="Verdana"/>
        </w:rPr>
        <w:t>Netlink</w:t>
      </w:r>
      <w:proofErr w:type="spellEnd"/>
      <w:r w:rsidR="001F1C19">
        <w:rPr>
          <w:rFonts w:eastAsia="Verdana"/>
        </w:rPr>
        <w:t xml:space="preserve"> Star</w:t>
      </w:r>
      <w:r w:rsidRPr="005D240A">
        <w:rPr>
          <w:rFonts w:eastAsia="Verdana"/>
        </w:rPr>
        <w:t xml:space="preserve">.  If </w:t>
      </w:r>
      <w:proofErr w:type="spellStart"/>
      <w:r w:rsidR="001F1C19">
        <w:rPr>
          <w:rFonts w:eastAsia="Verdana"/>
        </w:rPr>
        <w:t>Netlink</w:t>
      </w:r>
      <w:proofErr w:type="spellEnd"/>
      <w:r w:rsidR="001F1C19">
        <w:rPr>
          <w:rFonts w:eastAsia="Verdana"/>
        </w:rPr>
        <w:t xml:space="preserve"> Star</w:t>
      </w:r>
      <w:r w:rsidRPr="005D240A">
        <w:rPr>
          <w:rFonts w:eastAsia="Verdana"/>
        </w:rPr>
        <w:t xml:space="preserve"> does not approve the Security Management Plan following its resubmission, the matter shall be resolved in accordance with the Dispute Resolution Procedure.  No approval to be given by </w:t>
      </w:r>
      <w:proofErr w:type="spellStart"/>
      <w:r w:rsidR="001F1C19">
        <w:rPr>
          <w:rFonts w:eastAsia="Verdana"/>
        </w:rPr>
        <w:t>Netlink</w:t>
      </w:r>
      <w:proofErr w:type="spellEnd"/>
      <w:r w:rsidR="001F1C19">
        <w:rPr>
          <w:rFonts w:eastAsia="Verdana"/>
        </w:rPr>
        <w:t xml:space="preserve"> Star</w:t>
      </w:r>
      <w:r w:rsidRPr="005D240A">
        <w:rPr>
          <w:rFonts w:eastAsia="Verdana"/>
        </w:rPr>
        <w:t xml:space="preserve"> pursuant to this </w:t>
      </w:r>
      <w:r w:rsidR="001E2B48" w:rsidRPr="005D240A">
        <w:rPr>
          <w:rFonts w:eastAsia="Verdana"/>
        </w:rPr>
        <w:t xml:space="preserve">Paragraph </w:t>
      </w:r>
      <w:r w:rsidRPr="005D240A">
        <w:rPr>
          <w:rFonts w:eastAsia="Verdana"/>
        </w:rPr>
        <w:fldChar w:fldCharType="begin"/>
      </w:r>
      <w:r w:rsidRPr="005D240A">
        <w:rPr>
          <w:rFonts w:eastAsia="Verdana"/>
        </w:rPr>
        <w:instrText xml:space="preserve"> REF _Ref76049754 \r \h  \* MERGEFORMAT </w:instrText>
      </w:r>
      <w:r w:rsidRPr="005D240A">
        <w:rPr>
          <w:rFonts w:eastAsia="Verdana"/>
        </w:rPr>
      </w:r>
      <w:r w:rsidRPr="005D240A">
        <w:rPr>
          <w:rFonts w:eastAsia="Verdana"/>
        </w:rPr>
        <w:fldChar w:fldCharType="separate"/>
      </w:r>
      <w:r w:rsidRPr="005D240A">
        <w:rPr>
          <w:rFonts w:eastAsia="Verdana"/>
        </w:rPr>
        <w:t>4.3</w:t>
      </w:r>
      <w:r w:rsidRPr="005D240A">
        <w:rPr>
          <w:rFonts w:eastAsia="Verdana"/>
        </w:rPr>
        <w:fldChar w:fldCharType="end"/>
      </w:r>
      <w:r w:rsidRPr="005D240A">
        <w:rPr>
          <w:rFonts w:eastAsia="Verdana"/>
        </w:rPr>
        <w:t xml:space="preserve"> may be unreasonably withheld or delayed.  </w:t>
      </w:r>
      <w:r w:rsidR="007A13EA" w:rsidRPr="005D240A">
        <w:rPr>
          <w:rFonts w:eastAsia="Verdana"/>
        </w:rPr>
        <w:t>However,</w:t>
      </w:r>
      <w:r w:rsidRPr="005D240A">
        <w:rPr>
          <w:rFonts w:eastAsia="Verdana"/>
        </w:rPr>
        <w:t xml:space="preserve"> any failure to approve the Security Management Plan on the grounds that it does not comply with the requirements set out in </w:t>
      </w:r>
      <w:r w:rsidR="001E2B48" w:rsidRPr="005D240A">
        <w:rPr>
          <w:rFonts w:eastAsia="Verdana"/>
        </w:rPr>
        <w:t xml:space="preserve">Paragraph </w:t>
      </w:r>
      <w:r w:rsidRPr="005D240A">
        <w:rPr>
          <w:rFonts w:eastAsia="Verdana"/>
        </w:rPr>
        <w:fldChar w:fldCharType="begin"/>
      </w:r>
      <w:r w:rsidRPr="005D240A">
        <w:rPr>
          <w:rFonts w:eastAsia="Verdana"/>
        </w:rPr>
        <w:instrText xml:space="preserve"> REF _Ref76049763 \r \h  \* MERGEFORMAT </w:instrText>
      </w:r>
      <w:r w:rsidRPr="005D240A">
        <w:rPr>
          <w:rFonts w:eastAsia="Verdana"/>
        </w:rPr>
      </w:r>
      <w:r w:rsidRPr="005D240A">
        <w:rPr>
          <w:rFonts w:eastAsia="Verdana"/>
        </w:rPr>
        <w:fldChar w:fldCharType="separate"/>
      </w:r>
      <w:r w:rsidRPr="005D240A">
        <w:rPr>
          <w:rFonts w:eastAsia="Verdana"/>
        </w:rPr>
        <w:t>4.2</w:t>
      </w:r>
      <w:r w:rsidRPr="005D240A">
        <w:rPr>
          <w:rFonts w:eastAsia="Verdana"/>
        </w:rPr>
        <w:fldChar w:fldCharType="end"/>
      </w:r>
      <w:r w:rsidRPr="005D240A">
        <w:rPr>
          <w:rFonts w:eastAsia="Verdana"/>
        </w:rPr>
        <w:t xml:space="preserve"> shall be deemed to be reasonable.</w:t>
      </w:r>
      <w:bookmarkEnd w:id="1702"/>
      <w:r w:rsidRPr="005D240A">
        <w:rPr>
          <w:rFonts w:eastAsia="Verdana"/>
        </w:rPr>
        <w:t xml:space="preserve"> </w:t>
      </w:r>
    </w:p>
    <w:p w14:paraId="767E272F" w14:textId="6B4A8815" w:rsidR="00C1793C" w:rsidRPr="00C071FA" w:rsidRDefault="00C1793C" w:rsidP="009D675B">
      <w:pPr>
        <w:pStyle w:val="Sch2"/>
        <w:numPr>
          <w:ilvl w:val="3"/>
          <w:numId w:val="56"/>
        </w:numPr>
      </w:pPr>
      <w:bookmarkStart w:id="1703" w:name="_Ref76049039"/>
      <w:r w:rsidRPr="00C071FA">
        <w:rPr>
          <w:rFonts w:eastAsia="Verdana"/>
        </w:rPr>
        <w:t xml:space="preserve">Approval by </w:t>
      </w:r>
      <w:proofErr w:type="spellStart"/>
      <w:r w:rsidR="001F1C19">
        <w:rPr>
          <w:rFonts w:eastAsia="Verdana"/>
        </w:rPr>
        <w:t>Netlink</w:t>
      </w:r>
      <w:proofErr w:type="spellEnd"/>
      <w:r w:rsidR="001F1C19">
        <w:rPr>
          <w:rFonts w:eastAsia="Verdana"/>
        </w:rPr>
        <w:t xml:space="preserve"> Star</w:t>
      </w:r>
      <w:r w:rsidRPr="00C071FA">
        <w:rPr>
          <w:rFonts w:eastAsia="Verdana"/>
        </w:rPr>
        <w:t xml:space="preserve"> of the Security Management Plan pursuant to </w:t>
      </w:r>
      <w:r w:rsidR="001E2B48" w:rsidRPr="00C071FA">
        <w:rPr>
          <w:rFonts w:eastAsia="Verdana"/>
        </w:rPr>
        <w:t xml:space="preserve">Paragraph </w:t>
      </w:r>
      <w:r w:rsidRPr="00C071FA">
        <w:rPr>
          <w:rFonts w:eastAsia="Verdana"/>
        </w:rPr>
        <w:fldChar w:fldCharType="begin"/>
      </w:r>
      <w:r w:rsidRPr="00C071FA">
        <w:rPr>
          <w:rFonts w:eastAsia="Verdana"/>
        </w:rPr>
        <w:instrText xml:space="preserve"> REF _Ref76049754 \r \h  \* MERGEFORMAT </w:instrText>
      </w:r>
      <w:r w:rsidRPr="00C071FA">
        <w:rPr>
          <w:rFonts w:eastAsia="Verdana"/>
        </w:rPr>
      </w:r>
      <w:r w:rsidRPr="00C071FA">
        <w:rPr>
          <w:rFonts w:eastAsia="Verdana"/>
        </w:rPr>
        <w:fldChar w:fldCharType="separate"/>
      </w:r>
      <w:r>
        <w:rPr>
          <w:rFonts w:eastAsia="Verdana"/>
        </w:rPr>
        <w:t>4.3</w:t>
      </w:r>
      <w:r w:rsidRPr="00C071FA">
        <w:rPr>
          <w:rFonts w:eastAsia="Verdana"/>
        </w:rPr>
        <w:fldChar w:fldCharType="end"/>
      </w:r>
      <w:r w:rsidRPr="00C071FA">
        <w:rPr>
          <w:rFonts w:eastAsia="Verdana"/>
        </w:rPr>
        <w:t xml:space="preserve"> or of any change or amendment to the Security Management Plan shall not relieve the Supplier of its obligations under this Schedule.</w:t>
      </w:r>
      <w:bookmarkEnd w:id="1703"/>
      <w:r w:rsidRPr="00C071FA">
        <w:rPr>
          <w:rFonts w:eastAsia="Verdana"/>
        </w:rPr>
        <w:t xml:space="preserve"> </w:t>
      </w:r>
    </w:p>
    <w:p w14:paraId="60B23F0B" w14:textId="77777777" w:rsidR="00C1793C" w:rsidRPr="001E2B48" w:rsidRDefault="00C1793C" w:rsidP="009D675B">
      <w:pPr>
        <w:pStyle w:val="Sch1"/>
        <w:keepNext/>
        <w:numPr>
          <w:ilvl w:val="2"/>
          <w:numId w:val="56"/>
        </w:numPr>
        <w:rPr>
          <w:b/>
          <w:bCs/>
        </w:rPr>
      </w:pPr>
      <w:r w:rsidRPr="001E2B48">
        <w:rPr>
          <w:b/>
          <w:bCs/>
        </w:rPr>
        <w:t xml:space="preserve">AMENDMENT AND REVISION OF THE ISMS AND SECURITY MANAGEMENT PLAN </w:t>
      </w:r>
    </w:p>
    <w:p w14:paraId="31296456" w14:textId="77777777" w:rsidR="00C1793C" w:rsidRPr="002C5218" w:rsidRDefault="00C1793C" w:rsidP="009D675B">
      <w:pPr>
        <w:pStyle w:val="Sch2"/>
        <w:numPr>
          <w:ilvl w:val="3"/>
          <w:numId w:val="56"/>
        </w:numPr>
      </w:pPr>
      <w:bookmarkStart w:id="1704" w:name="_Ref76051855"/>
      <w:r w:rsidRPr="002C5218">
        <w:rPr>
          <w:rFonts w:eastAsia="Verdana"/>
        </w:rPr>
        <w:t xml:space="preserve">The ISMS and Security Management Plan shall be fully reviewed </w:t>
      </w:r>
      <w:r w:rsidRPr="005D240A">
        <w:rPr>
          <w:rFonts w:eastAsia="Verdana"/>
        </w:rPr>
        <w:t>and updated by the Supplier</w:t>
      </w:r>
      <w:r w:rsidRPr="002C5218">
        <w:rPr>
          <w:rFonts w:eastAsia="Verdana"/>
        </w:rPr>
        <w:t xml:space="preserve"> </w:t>
      </w:r>
      <w:r>
        <w:rPr>
          <w:rFonts w:eastAsia="Verdana"/>
        </w:rPr>
        <w:t xml:space="preserve">regularly and </w:t>
      </w:r>
      <w:r w:rsidRPr="002C5218">
        <w:rPr>
          <w:rFonts w:eastAsia="Verdana"/>
        </w:rPr>
        <w:t>at least annually to reflect:</w:t>
      </w:r>
      <w:bookmarkEnd w:id="1704"/>
      <w:r w:rsidRPr="002C5218">
        <w:rPr>
          <w:rFonts w:eastAsia="Verdana"/>
        </w:rPr>
        <w:t xml:space="preserve"> </w:t>
      </w:r>
    </w:p>
    <w:p w14:paraId="1BFAFAD4" w14:textId="77777777" w:rsidR="00C1793C" w:rsidRPr="002C5218" w:rsidRDefault="00C1793C" w:rsidP="009D675B">
      <w:pPr>
        <w:pStyle w:val="Sch3"/>
        <w:numPr>
          <w:ilvl w:val="4"/>
          <w:numId w:val="56"/>
        </w:numPr>
      </w:pPr>
      <w:r w:rsidRPr="002C5218">
        <w:rPr>
          <w:rFonts w:eastAsia="Verdana"/>
        </w:rPr>
        <w:t xml:space="preserve">emerging changes in Good Industry </w:t>
      </w:r>
      <w:proofErr w:type="gramStart"/>
      <w:r w:rsidRPr="002C5218">
        <w:rPr>
          <w:rFonts w:eastAsia="Verdana"/>
        </w:rPr>
        <w:t>Practice;</w:t>
      </w:r>
      <w:proofErr w:type="gramEnd"/>
    </w:p>
    <w:p w14:paraId="06756AB7" w14:textId="77777777" w:rsidR="00C1793C" w:rsidRPr="002C5218" w:rsidRDefault="00C1793C" w:rsidP="009D675B">
      <w:pPr>
        <w:pStyle w:val="Sch3"/>
        <w:numPr>
          <w:ilvl w:val="4"/>
          <w:numId w:val="56"/>
        </w:numPr>
      </w:pPr>
      <w:r w:rsidRPr="002C5218">
        <w:rPr>
          <w:rFonts w:eastAsia="Verdana"/>
        </w:rPr>
        <w:t xml:space="preserve">any change or proposed change to the IT Environment, the Services and/or associated </w:t>
      </w:r>
      <w:proofErr w:type="gramStart"/>
      <w:r w:rsidRPr="002C5218">
        <w:rPr>
          <w:rFonts w:eastAsia="Verdana"/>
        </w:rPr>
        <w:t>processes;</w:t>
      </w:r>
      <w:proofErr w:type="gramEnd"/>
    </w:p>
    <w:p w14:paraId="618B9DD5" w14:textId="77777777" w:rsidR="00C1793C" w:rsidRPr="00AA770B" w:rsidRDefault="00C1793C" w:rsidP="009D675B">
      <w:pPr>
        <w:pStyle w:val="Sch3"/>
        <w:numPr>
          <w:ilvl w:val="4"/>
          <w:numId w:val="56"/>
        </w:numPr>
      </w:pPr>
      <w:r w:rsidRPr="002C5218">
        <w:rPr>
          <w:rFonts w:eastAsia="Verdana"/>
        </w:rPr>
        <w:t xml:space="preserve">any new perceived or changed </w:t>
      </w:r>
      <w:r>
        <w:rPr>
          <w:rFonts w:eastAsia="Verdana"/>
        </w:rPr>
        <w:t xml:space="preserve">internal or external </w:t>
      </w:r>
      <w:r w:rsidRPr="002C5218">
        <w:rPr>
          <w:rFonts w:eastAsia="Verdana"/>
        </w:rPr>
        <w:t>security threats</w:t>
      </w:r>
      <w:r>
        <w:rPr>
          <w:rFonts w:eastAsia="Verdana"/>
        </w:rPr>
        <w:t xml:space="preserve"> or changes to the risk </w:t>
      </w:r>
      <w:proofErr w:type="gramStart"/>
      <w:r>
        <w:rPr>
          <w:rFonts w:eastAsia="Verdana"/>
        </w:rPr>
        <w:t>environment</w:t>
      </w:r>
      <w:r w:rsidRPr="002C5218">
        <w:rPr>
          <w:rFonts w:eastAsia="Verdana"/>
        </w:rPr>
        <w:t>;</w:t>
      </w:r>
      <w:proofErr w:type="gramEnd"/>
      <w:r w:rsidRPr="002C5218">
        <w:rPr>
          <w:rFonts w:eastAsia="Verdana"/>
        </w:rPr>
        <w:t xml:space="preserve"> </w:t>
      </w:r>
    </w:p>
    <w:p w14:paraId="4432ECCA" w14:textId="77777777" w:rsidR="00C1793C" w:rsidRPr="002C5218" w:rsidRDefault="00C1793C" w:rsidP="009D675B">
      <w:pPr>
        <w:pStyle w:val="Sch3"/>
        <w:numPr>
          <w:ilvl w:val="4"/>
          <w:numId w:val="56"/>
        </w:numPr>
      </w:pPr>
      <w:r>
        <w:rPr>
          <w:rFonts w:eastAsia="Verdana"/>
        </w:rPr>
        <w:t xml:space="preserve">any lessons learned as the result of a potential </w:t>
      </w:r>
      <w:r w:rsidRPr="00F3DCDD">
        <w:rPr>
          <w:rFonts w:eastAsia="Verdana"/>
        </w:rPr>
        <w:t>incident</w:t>
      </w:r>
      <w:r>
        <w:rPr>
          <w:rFonts w:eastAsia="Verdana"/>
        </w:rPr>
        <w:t xml:space="preserve"> or incident response exercise; </w:t>
      </w:r>
      <w:r w:rsidRPr="002C5218">
        <w:rPr>
          <w:rFonts w:eastAsia="Verdana"/>
        </w:rPr>
        <w:t xml:space="preserve">and </w:t>
      </w:r>
    </w:p>
    <w:p w14:paraId="70B2D73F" w14:textId="18DD72AE" w:rsidR="00C1793C" w:rsidRPr="002C5218" w:rsidRDefault="00C1793C" w:rsidP="009D675B">
      <w:pPr>
        <w:pStyle w:val="Sch3"/>
        <w:numPr>
          <w:ilvl w:val="4"/>
          <w:numId w:val="56"/>
        </w:numPr>
      </w:pPr>
      <w:r w:rsidRPr="002C5218">
        <w:rPr>
          <w:rFonts w:eastAsia="Verdana"/>
        </w:rPr>
        <w:t xml:space="preserve">any reasonable change in requirement requested by </w:t>
      </w:r>
      <w:proofErr w:type="spellStart"/>
      <w:r w:rsidR="001F1C19">
        <w:rPr>
          <w:rFonts w:eastAsia="Verdana"/>
        </w:rPr>
        <w:t>Netlink</w:t>
      </w:r>
      <w:proofErr w:type="spellEnd"/>
      <w:r w:rsidR="001F1C19">
        <w:rPr>
          <w:rFonts w:eastAsia="Verdana"/>
        </w:rPr>
        <w:t xml:space="preserve"> Star</w:t>
      </w:r>
      <w:r w:rsidRPr="002C5218">
        <w:rPr>
          <w:rFonts w:eastAsia="Verdana"/>
        </w:rPr>
        <w:t>.</w:t>
      </w:r>
    </w:p>
    <w:p w14:paraId="17F8923C" w14:textId="49D4F6AE" w:rsidR="00C1793C" w:rsidRPr="005B79CB" w:rsidRDefault="00C1793C" w:rsidP="009D675B">
      <w:pPr>
        <w:pStyle w:val="Sch2"/>
        <w:numPr>
          <w:ilvl w:val="3"/>
          <w:numId w:val="56"/>
        </w:numPr>
      </w:pPr>
      <w:r w:rsidRPr="005B79CB">
        <w:rPr>
          <w:rFonts w:eastAsia="Verdana"/>
        </w:rPr>
        <w:t xml:space="preserve">The Supplier shall provide </w:t>
      </w:r>
      <w:proofErr w:type="spellStart"/>
      <w:r w:rsidR="001F1C19">
        <w:rPr>
          <w:rFonts w:eastAsia="Verdana"/>
        </w:rPr>
        <w:t>Netlink</w:t>
      </w:r>
      <w:proofErr w:type="spellEnd"/>
      <w:r w:rsidR="001F1C19">
        <w:rPr>
          <w:rFonts w:eastAsia="Verdana"/>
        </w:rPr>
        <w:t xml:space="preserve"> Star</w:t>
      </w:r>
      <w:r w:rsidRPr="005B79CB">
        <w:rPr>
          <w:rFonts w:eastAsia="Verdana"/>
        </w:rPr>
        <w:t xml:space="preserve"> with the results of such reviews as soon as reasonably practicable after their completion and amend the ISMS and Security Management Plan at no additional cost to </w:t>
      </w:r>
      <w:proofErr w:type="spellStart"/>
      <w:r w:rsidR="001F1C19">
        <w:rPr>
          <w:rFonts w:eastAsia="Verdana"/>
        </w:rPr>
        <w:t>Netlink</w:t>
      </w:r>
      <w:proofErr w:type="spellEnd"/>
      <w:r w:rsidR="001F1C19">
        <w:rPr>
          <w:rFonts w:eastAsia="Verdana"/>
        </w:rPr>
        <w:t xml:space="preserve"> Star</w:t>
      </w:r>
      <w:r w:rsidRPr="005B79CB">
        <w:rPr>
          <w:rFonts w:eastAsia="Verdana"/>
        </w:rPr>
        <w:t xml:space="preserve">.  The results of the review shall include, without limitation: </w:t>
      </w:r>
    </w:p>
    <w:p w14:paraId="360ED580" w14:textId="0A08574F" w:rsidR="00C1793C" w:rsidRPr="00AA770B" w:rsidRDefault="00C1793C" w:rsidP="009D675B">
      <w:pPr>
        <w:pStyle w:val="Sch3"/>
        <w:numPr>
          <w:ilvl w:val="4"/>
          <w:numId w:val="56"/>
        </w:numPr>
      </w:pPr>
      <w:r w:rsidRPr="005B79CB">
        <w:rPr>
          <w:rFonts w:eastAsia="Verdana"/>
        </w:rPr>
        <w:t>suggested improvements to</w:t>
      </w:r>
      <w:r>
        <w:rPr>
          <w:rFonts w:eastAsia="Verdana"/>
        </w:rPr>
        <w:t>, or recommended changes to improve,</w:t>
      </w:r>
      <w:r w:rsidRPr="005B79CB">
        <w:rPr>
          <w:rFonts w:eastAsia="Verdana"/>
        </w:rPr>
        <w:t xml:space="preserve"> the effectiveness of </w:t>
      </w:r>
      <w:r w:rsidRPr="00AA770B">
        <w:rPr>
          <w:rFonts w:eastAsia="Verdana"/>
        </w:rPr>
        <w:t>the ISMS</w:t>
      </w:r>
      <w:r w:rsidR="00A67920">
        <w:rPr>
          <w:rFonts w:eastAsia="Verdana"/>
        </w:rPr>
        <w:t xml:space="preserve"> </w:t>
      </w:r>
      <w:r w:rsidR="00A67920" w:rsidRPr="1BE513DD">
        <w:rPr>
          <w:rFonts w:eastAsia="Verdana"/>
        </w:rPr>
        <w:t xml:space="preserve">(maintained by </w:t>
      </w:r>
      <w:proofErr w:type="spellStart"/>
      <w:r w:rsidR="001F1C19">
        <w:rPr>
          <w:rFonts w:eastAsia="Verdana"/>
        </w:rPr>
        <w:t>Netlink</w:t>
      </w:r>
      <w:proofErr w:type="spellEnd"/>
      <w:r w:rsidR="001F1C19">
        <w:rPr>
          <w:rFonts w:eastAsia="Verdana"/>
        </w:rPr>
        <w:t xml:space="preserve"> Star</w:t>
      </w:r>
      <w:r w:rsidR="00A67920" w:rsidRPr="1BE513DD">
        <w:rPr>
          <w:rFonts w:eastAsia="Verdana"/>
        </w:rPr>
        <w:t>) and Security Management Plan (maintained by</w:t>
      </w:r>
      <w:r w:rsidR="00A67920" w:rsidRPr="00DF38EE">
        <w:rPr>
          <w:rFonts w:eastAsia="Verdana"/>
          <w:color w:val="000000" w:themeColor="text1"/>
        </w:rPr>
        <w:t xml:space="preserve"> the Supplier</w:t>
      </w:r>
      <w:proofErr w:type="gramStart"/>
      <w:r w:rsidR="00A67920" w:rsidRPr="1BE513DD">
        <w:rPr>
          <w:rFonts w:eastAsia="Verdana"/>
        </w:rPr>
        <w:t>)</w:t>
      </w:r>
      <w:r w:rsidRPr="00AA770B">
        <w:rPr>
          <w:rFonts w:eastAsia="Verdana"/>
        </w:rPr>
        <w:t>;</w:t>
      </w:r>
      <w:proofErr w:type="gramEnd"/>
      <w:r w:rsidRPr="00AA770B">
        <w:rPr>
          <w:rFonts w:eastAsia="Verdana"/>
        </w:rPr>
        <w:t xml:space="preserve"> </w:t>
      </w:r>
    </w:p>
    <w:p w14:paraId="722150D6" w14:textId="77777777" w:rsidR="00C1793C" w:rsidRPr="00AA770B" w:rsidRDefault="00C1793C" w:rsidP="009D675B">
      <w:pPr>
        <w:pStyle w:val="Sch3"/>
        <w:numPr>
          <w:ilvl w:val="4"/>
          <w:numId w:val="56"/>
        </w:numPr>
      </w:pPr>
      <w:r w:rsidRPr="00AA770B">
        <w:rPr>
          <w:rFonts w:eastAsia="Verdana"/>
        </w:rPr>
        <w:t xml:space="preserve">updates to the risk assessments including significant changes in the internal or external risk </w:t>
      </w:r>
      <w:proofErr w:type="gramStart"/>
      <w:r w:rsidRPr="00AA770B">
        <w:rPr>
          <w:rFonts w:eastAsia="Verdana"/>
        </w:rPr>
        <w:t>environments;</w:t>
      </w:r>
      <w:proofErr w:type="gramEnd"/>
      <w:r w:rsidRPr="00AA770B">
        <w:rPr>
          <w:rFonts w:eastAsia="Verdana"/>
        </w:rPr>
        <w:t xml:space="preserve"> </w:t>
      </w:r>
    </w:p>
    <w:p w14:paraId="03270A92" w14:textId="151F767D" w:rsidR="00C1793C" w:rsidRPr="00AA770B" w:rsidRDefault="00C1793C" w:rsidP="009D675B">
      <w:pPr>
        <w:pStyle w:val="Sch3"/>
        <w:numPr>
          <w:ilvl w:val="4"/>
          <w:numId w:val="56"/>
        </w:numPr>
      </w:pPr>
      <w:r w:rsidRPr="00AA770B">
        <w:rPr>
          <w:rFonts w:eastAsia="Verdana"/>
        </w:rPr>
        <w:t>proposed modifications to respond to events that may impact on the ISMS</w:t>
      </w:r>
      <w:r w:rsidR="00A67920" w:rsidRPr="00A67920">
        <w:rPr>
          <w:rFonts w:eastAsia="Verdana"/>
        </w:rPr>
        <w:t xml:space="preserve"> </w:t>
      </w:r>
      <w:proofErr w:type="spellStart"/>
      <w:r w:rsidR="00A67920" w:rsidRPr="1BE513DD">
        <w:rPr>
          <w:rFonts w:eastAsia="Verdana"/>
        </w:rPr>
        <w:t>ISMS</w:t>
      </w:r>
      <w:proofErr w:type="spellEnd"/>
      <w:r w:rsidR="00A67920" w:rsidRPr="1BE513DD">
        <w:rPr>
          <w:rFonts w:eastAsia="Verdana"/>
        </w:rPr>
        <w:t xml:space="preserve"> or Security Management Plan</w:t>
      </w:r>
      <w:r w:rsidRPr="00AA770B">
        <w:rPr>
          <w:rFonts w:eastAsia="Verdana"/>
        </w:rPr>
        <w:t xml:space="preserve"> including the security incident management process, incident response plans (including any lessons learned from an incident or training exercise) and general procedures and controls that affect information security; and </w:t>
      </w:r>
    </w:p>
    <w:p w14:paraId="0BCD3B04" w14:textId="77777777" w:rsidR="00C1793C" w:rsidRPr="005B79CB" w:rsidRDefault="00C1793C" w:rsidP="009D675B">
      <w:pPr>
        <w:pStyle w:val="Sch3"/>
        <w:numPr>
          <w:ilvl w:val="4"/>
          <w:numId w:val="56"/>
        </w:numPr>
      </w:pPr>
      <w:r w:rsidRPr="00AA770B">
        <w:rPr>
          <w:rFonts w:eastAsia="Verdana"/>
        </w:rPr>
        <w:t>suggested</w:t>
      </w:r>
      <w:r w:rsidRPr="005B79CB">
        <w:rPr>
          <w:rFonts w:eastAsia="Verdana"/>
        </w:rPr>
        <w:t xml:space="preserve"> improvements in measuring the effectiveness of controls. </w:t>
      </w:r>
    </w:p>
    <w:p w14:paraId="5B5DAFDE" w14:textId="06DCBC92" w:rsidR="00C1793C" w:rsidRPr="00C071FA" w:rsidRDefault="00C1793C" w:rsidP="009D675B">
      <w:pPr>
        <w:pStyle w:val="Sch2"/>
        <w:numPr>
          <w:ilvl w:val="3"/>
          <w:numId w:val="56"/>
        </w:numPr>
      </w:pPr>
      <w:r w:rsidRPr="00C071FA">
        <w:rPr>
          <w:rFonts w:eastAsia="Verdana"/>
        </w:rPr>
        <w:t xml:space="preserve">Subject to </w:t>
      </w:r>
      <w:r w:rsidR="001E2B48" w:rsidRPr="00C071FA">
        <w:rPr>
          <w:rFonts w:eastAsia="Verdana"/>
        </w:rPr>
        <w:t xml:space="preserve">Paragraph </w:t>
      </w:r>
      <w:r w:rsidRPr="00C071FA">
        <w:rPr>
          <w:rFonts w:eastAsia="Verdana"/>
        </w:rPr>
        <w:fldChar w:fldCharType="begin"/>
      </w:r>
      <w:r w:rsidRPr="00C071FA">
        <w:rPr>
          <w:rFonts w:eastAsia="Verdana"/>
        </w:rPr>
        <w:instrText xml:space="preserve"> REF _Ref76047909 \r \h  \* MERGEFORMAT </w:instrText>
      </w:r>
      <w:r w:rsidRPr="00C071FA">
        <w:rPr>
          <w:rFonts w:eastAsia="Verdana"/>
        </w:rPr>
      </w:r>
      <w:r w:rsidRPr="00C071FA">
        <w:rPr>
          <w:rFonts w:eastAsia="Verdana"/>
        </w:rPr>
        <w:fldChar w:fldCharType="separate"/>
      </w:r>
      <w:r>
        <w:rPr>
          <w:rFonts w:eastAsia="Verdana"/>
        </w:rPr>
        <w:t>5.4</w:t>
      </w:r>
      <w:r w:rsidRPr="00C071FA">
        <w:rPr>
          <w:rFonts w:eastAsia="Verdana"/>
        </w:rPr>
        <w:fldChar w:fldCharType="end"/>
      </w:r>
      <w:r w:rsidRPr="00C071FA">
        <w:rPr>
          <w:rFonts w:eastAsia="Verdana"/>
        </w:rPr>
        <w:t xml:space="preserve">, any change which the Supplier proposes to make to the ISMS or Security Management Plan (as a result of a review carried out pursuant to </w:t>
      </w:r>
      <w:r w:rsidR="001E2B48" w:rsidRPr="00C071FA">
        <w:rPr>
          <w:rFonts w:eastAsia="Verdana"/>
        </w:rPr>
        <w:t xml:space="preserve">Paragraph </w:t>
      </w:r>
      <w:r w:rsidRPr="00C071FA">
        <w:rPr>
          <w:rFonts w:eastAsia="Verdana"/>
        </w:rPr>
        <w:fldChar w:fldCharType="begin"/>
      </w:r>
      <w:r w:rsidRPr="00C071FA">
        <w:rPr>
          <w:rFonts w:eastAsia="Verdana"/>
        </w:rPr>
        <w:instrText xml:space="preserve"> REF _Ref76051855 \r \h  \* MERGEFORMAT </w:instrText>
      </w:r>
      <w:r w:rsidRPr="00C071FA">
        <w:rPr>
          <w:rFonts w:eastAsia="Verdana"/>
        </w:rPr>
      </w:r>
      <w:r w:rsidRPr="00C071FA">
        <w:rPr>
          <w:rFonts w:eastAsia="Verdana"/>
        </w:rPr>
        <w:fldChar w:fldCharType="separate"/>
      </w:r>
      <w:r>
        <w:rPr>
          <w:rFonts w:eastAsia="Verdana"/>
        </w:rPr>
        <w:t>5.1</w:t>
      </w:r>
      <w:r w:rsidRPr="00C071FA">
        <w:rPr>
          <w:rFonts w:eastAsia="Verdana"/>
        </w:rPr>
        <w:fldChar w:fldCharType="end"/>
      </w:r>
      <w:r w:rsidRPr="00C071FA">
        <w:rPr>
          <w:rFonts w:eastAsia="Verdana"/>
        </w:rPr>
        <w:t xml:space="preserve">, a </w:t>
      </w:r>
      <w:proofErr w:type="spellStart"/>
      <w:r w:rsidR="001F1C19">
        <w:rPr>
          <w:rFonts w:eastAsia="Verdana"/>
        </w:rPr>
        <w:t>Netlink</w:t>
      </w:r>
      <w:proofErr w:type="spellEnd"/>
      <w:r w:rsidR="001F1C19">
        <w:rPr>
          <w:rFonts w:eastAsia="Verdana"/>
        </w:rPr>
        <w:t xml:space="preserve"> Star</w:t>
      </w:r>
      <w:r w:rsidRPr="00C071FA">
        <w:rPr>
          <w:rFonts w:eastAsia="Verdana"/>
        </w:rPr>
        <w:t xml:space="preserve"> request, a change to the Services Description or otherwise) shall be subject to the Change Control Procedure and shall not be implemented until approved in writing by </w:t>
      </w:r>
      <w:proofErr w:type="spellStart"/>
      <w:r w:rsidR="001F1C19">
        <w:rPr>
          <w:rFonts w:eastAsia="Verdana"/>
        </w:rPr>
        <w:t>Netlink</w:t>
      </w:r>
      <w:proofErr w:type="spellEnd"/>
      <w:r w:rsidR="001F1C19">
        <w:rPr>
          <w:rFonts w:eastAsia="Verdana"/>
        </w:rPr>
        <w:t xml:space="preserve"> Star</w:t>
      </w:r>
      <w:r w:rsidRPr="00C071FA">
        <w:rPr>
          <w:rFonts w:eastAsia="Verdana"/>
        </w:rPr>
        <w:t>.</w:t>
      </w:r>
    </w:p>
    <w:p w14:paraId="3430B6F3" w14:textId="5D3ADB91" w:rsidR="00C1793C" w:rsidRPr="00C071FA" w:rsidRDefault="001F1C19" w:rsidP="009D675B">
      <w:pPr>
        <w:pStyle w:val="Sch2"/>
        <w:numPr>
          <w:ilvl w:val="3"/>
          <w:numId w:val="56"/>
        </w:numPr>
      </w:pPr>
      <w:bookmarkStart w:id="1705" w:name="_Ref76047909"/>
      <w:proofErr w:type="spellStart"/>
      <w:r>
        <w:rPr>
          <w:rFonts w:eastAsia="Verdana"/>
        </w:rPr>
        <w:t>Netlink</w:t>
      </w:r>
      <w:proofErr w:type="spellEnd"/>
      <w:r>
        <w:rPr>
          <w:rFonts w:eastAsia="Verdana"/>
        </w:rPr>
        <w:t xml:space="preserve"> Star</w:t>
      </w:r>
      <w:r w:rsidR="00C1793C" w:rsidRPr="00C071FA">
        <w:rPr>
          <w:rFonts w:eastAsia="Verdana"/>
        </w:rPr>
        <w:t xml:space="preserve"> may, where it is reasonable to do so, approve and require changes or amendments to the Security Management Plan to be implemented on timescales faster than set out in the Change Control Procedure but, without prejudice to their effectiveness, all such changes and </w:t>
      </w:r>
      <w:r w:rsidR="00C1793C" w:rsidRPr="00C071FA">
        <w:rPr>
          <w:rFonts w:eastAsia="Verdana"/>
        </w:rPr>
        <w:lastRenderedPageBreak/>
        <w:t>amendments shall thereafter be subject to the Change Control Procedure for the purposes of formalising and documenting the relevant change or amendment for the purposes of this Agreement.</w:t>
      </w:r>
      <w:bookmarkEnd w:id="1705"/>
      <w:r w:rsidR="00C1793C" w:rsidRPr="00C071FA">
        <w:rPr>
          <w:rFonts w:eastAsia="Verdana"/>
        </w:rPr>
        <w:t xml:space="preserve"> </w:t>
      </w:r>
    </w:p>
    <w:p w14:paraId="4BE754A1" w14:textId="77777777" w:rsidR="00C1793C" w:rsidRPr="001E2B48" w:rsidRDefault="00C1793C" w:rsidP="009D675B">
      <w:pPr>
        <w:pStyle w:val="Sch1"/>
        <w:numPr>
          <w:ilvl w:val="2"/>
          <w:numId w:val="56"/>
        </w:numPr>
        <w:rPr>
          <w:b/>
          <w:bCs/>
        </w:rPr>
      </w:pPr>
      <w:r w:rsidRPr="001E2B48">
        <w:rPr>
          <w:b/>
          <w:bCs/>
        </w:rPr>
        <w:t xml:space="preserve">SECURITY TESTING </w:t>
      </w:r>
    </w:p>
    <w:p w14:paraId="04A681DA" w14:textId="6C475B7D" w:rsidR="00C1793C" w:rsidRPr="00947516" w:rsidRDefault="00C1793C" w:rsidP="009D675B">
      <w:pPr>
        <w:pStyle w:val="Sch2"/>
        <w:numPr>
          <w:ilvl w:val="3"/>
          <w:numId w:val="56"/>
        </w:numPr>
      </w:pPr>
      <w:r w:rsidRPr="00947516">
        <w:rPr>
          <w:rFonts w:eastAsia="Verdana"/>
        </w:rPr>
        <w:t xml:space="preserve">The Supplier shall conduct all relevant Security Tests </w:t>
      </w:r>
      <w:r w:rsidR="00A67920">
        <w:rPr>
          <w:rFonts w:eastAsia="Verdana"/>
        </w:rPr>
        <w:t xml:space="preserve">in their environment </w:t>
      </w:r>
      <w:r w:rsidRPr="00947516">
        <w:rPr>
          <w:rFonts w:eastAsia="Verdana"/>
        </w:rPr>
        <w:t>from time to time (</w:t>
      </w:r>
      <w:r w:rsidR="00A67920">
        <w:rPr>
          <w:rFonts w:eastAsia="Verdana"/>
        </w:rPr>
        <w:t xml:space="preserve">to ensure there is no vulnerability in the estate </w:t>
      </w:r>
      <w:r w:rsidRPr="00947516">
        <w:rPr>
          <w:rFonts w:eastAsia="Verdana"/>
        </w:rPr>
        <w:t xml:space="preserve">and at least annually across the scope of the </w:t>
      </w:r>
      <w:r w:rsidR="00A67920">
        <w:rPr>
          <w:rFonts w:eastAsia="Verdana"/>
        </w:rPr>
        <w:t>Security Management Plan</w:t>
      </w:r>
      <w:r w:rsidRPr="00947516">
        <w:rPr>
          <w:rFonts w:eastAsia="Verdana"/>
        </w:rPr>
        <w:t xml:space="preserve">) without cost to </w:t>
      </w:r>
      <w:proofErr w:type="spellStart"/>
      <w:r w:rsidR="001F1C19">
        <w:rPr>
          <w:rFonts w:eastAsia="Verdana"/>
        </w:rPr>
        <w:t>Netlink</w:t>
      </w:r>
      <w:proofErr w:type="spellEnd"/>
      <w:r w:rsidR="001F1C19">
        <w:rPr>
          <w:rFonts w:eastAsia="Verdana"/>
        </w:rPr>
        <w:t xml:space="preserve"> Star</w:t>
      </w:r>
      <w:r w:rsidRPr="00947516">
        <w:rPr>
          <w:rFonts w:eastAsia="Verdana"/>
        </w:rPr>
        <w:t xml:space="preserve"> and additionally after significant architectural changes to the IT Environment or after any change or amendment to the ISMS, (including security incident management processes and incident response plans) or the Security Management Plan.  </w:t>
      </w:r>
    </w:p>
    <w:p w14:paraId="02D0481D" w14:textId="088DAC32" w:rsidR="00C1793C" w:rsidRPr="00947516" w:rsidRDefault="00C1793C" w:rsidP="009D675B">
      <w:pPr>
        <w:pStyle w:val="Sch2"/>
        <w:numPr>
          <w:ilvl w:val="3"/>
          <w:numId w:val="56"/>
        </w:numPr>
      </w:pPr>
      <w:r w:rsidRPr="00947516">
        <w:rPr>
          <w:rFonts w:eastAsia="Verdana"/>
        </w:rPr>
        <w:t xml:space="preserve">Security Tests shall be designed and implemented by the Supplier </w:t>
      </w:r>
      <w:proofErr w:type="gramStart"/>
      <w:r w:rsidRPr="00947516">
        <w:rPr>
          <w:rFonts w:eastAsia="Verdana"/>
        </w:rPr>
        <w:t>so as to</w:t>
      </w:r>
      <w:proofErr w:type="gramEnd"/>
      <w:r w:rsidRPr="00947516">
        <w:rPr>
          <w:rFonts w:eastAsia="Verdana"/>
        </w:rPr>
        <w:t xml:space="preserve"> minimise the impact on the delivery of the Services and the date, timing, content and conduct of such Security Tests shall be agreed in advance with </w:t>
      </w:r>
      <w:proofErr w:type="spellStart"/>
      <w:r w:rsidR="001F1C19">
        <w:rPr>
          <w:rFonts w:eastAsia="Verdana"/>
        </w:rPr>
        <w:t>Netlink</w:t>
      </w:r>
      <w:proofErr w:type="spellEnd"/>
      <w:r w:rsidR="001F1C19">
        <w:rPr>
          <w:rFonts w:eastAsia="Verdana"/>
        </w:rPr>
        <w:t xml:space="preserve"> Star</w:t>
      </w:r>
      <w:r>
        <w:rPr>
          <w:rFonts w:eastAsia="Verdana"/>
        </w:rPr>
        <w:t xml:space="preserve"> in accordance with Schedule 2.2 (Service Levels)</w:t>
      </w:r>
      <w:r w:rsidRPr="00947516">
        <w:rPr>
          <w:rFonts w:eastAsia="Verdana"/>
        </w:rPr>
        <w:t xml:space="preserve">. </w:t>
      </w:r>
    </w:p>
    <w:p w14:paraId="0B6B31B1" w14:textId="55E3103C" w:rsidR="00C1793C" w:rsidRPr="00947516" w:rsidRDefault="001F1C19" w:rsidP="009D675B">
      <w:pPr>
        <w:pStyle w:val="Sch2"/>
        <w:numPr>
          <w:ilvl w:val="3"/>
          <w:numId w:val="56"/>
        </w:numPr>
      </w:pPr>
      <w:bookmarkStart w:id="1706" w:name="_Ref76052234"/>
      <w:proofErr w:type="spellStart"/>
      <w:r>
        <w:rPr>
          <w:rFonts w:eastAsia="Verdana"/>
        </w:rPr>
        <w:t>Netlink</w:t>
      </w:r>
      <w:proofErr w:type="spellEnd"/>
      <w:r>
        <w:rPr>
          <w:rFonts w:eastAsia="Verdana"/>
        </w:rPr>
        <w:t xml:space="preserve"> Star</w:t>
      </w:r>
      <w:r w:rsidR="00C1793C" w:rsidRPr="00947516">
        <w:rPr>
          <w:rFonts w:eastAsia="Verdana"/>
        </w:rPr>
        <w:t xml:space="preserve"> shall be entitled to send a representative to witness the conduct of the Security Tests.  The Supplier shall provide </w:t>
      </w:r>
      <w:proofErr w:type="spellStart"/>
      <w:r>
        <w:rPr>
          <w:rFonts w:eastAsia="Verdana"/>
        </w:rPr>
        <w:t>Netlink</w:t>
      </w:r>
      <w:proofErr w:type="spellEnd"/>
      <w:r>
        <w:rPr>
          <w:rFonts w:eastAsia="Verdana"/>
        </w:rPr>
        <w:t xml:space="preserve"> Star</w:t>
      </w:r>
      <w:r w:rsidR="00C1793C" w:rsidRPr="00947516">
        <w:rPr>
          <w:rFonts w:eastAsia="Verdana"/>
        </w:rPr>
        <w:t xml:space="preserve"> with the results of such tests (in a form approved by </w:t>
      </w:r>
      <w:proofErr w:type="spellStart"/>
      <w:r>
        <w:rPr>
          <w:rFonts w:eastAsia="Verdana"/>
        </w:rPr>
        <w:t>Netlink</w:t>
      </w:r>
      <w:proofErr w:type="spellEnd"/>
      <w:r>
        <w:rPr>
          <w:rFonts w:eastAsia="Verdana"/>
        </w:rPr>
        <w:t xml:space="preserve"> Star</w:t>
      </w:r>
      <w:r w:rsidR="00C1793C" w:rsidRPr="00947516">
        <w:rPr>
          <w:rFonts w:eastAsia="Verdana"/>
        </w:rPr>
        <w:t xml:space="preserve"> in advance) as soon as practicable after completion of each Security Test.</w:t>
      </w:r>
      <w:bookmarkEnd w:id="1706"/>
      <w:r w:rsidR="00C1793C" w:rsidRPr="00947516">
        <w:rPr>
          <w:rFonts w:eastAsia="Verdana"/>
        </w:rPr>
        <w:t xml:space="preserve"> </w:t>
      </w:r>
    </w:p>
    <w:p w14:paraId="2A5E0CC6" w14:textId="12E13F6B" w:rsidR="00C1793C" w:rsidRPr="00BC2A37" w:rsidRDefault="00C1793C" w:rsidP="009D675B">
      <w:pPr>
        <w:pStyle w:val="Sch2"/>
        <w:numPr>
          <w:ilvl w:val="3"/>
          <w:numId w:val="56"/>
        </w:numPr>
      </w:pPr>
      <w:bookmarkStart w:id="1707" w:name="_Ref76052236"/>
      <w:r w:rsidRPr="002C5218">
        <w:rPr>
          <w:rFonts w:eastAsia="Verdana"/>
        </w:rPr>
        <w:t xml:space="preserve">Without prejudice to any other right of audit or access granted to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pursuant to this Agreement,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and/or its authorised representatives shall be entitled, at any time upon giving reasonable notice to the Supplier, to carry out such tests (including penetration tests) as it may deem necessary in relation to the ISMS </w:t>
      </w:r>
      <w:r w:rsidR="00A67920">
        <w:rPr>
          <w:rFonts w:eastAsia="Verdana"/>
        </w:rPr>
        <w:t>and Security Management Plan</w:t>
      </w:r>
      <w:r w:rsidR="00A67920" w:rsidRPr="002C5218">
        <w:rPr>
          <w:rFonts w:eastAsia="Verdana"/>
        </w:rPr>
        <w:t xml:space="preserve"> </w:t>
      </w:r>
      <w:r w:rsidRPr="002C5218">
        <w:rPr>
          <w:rFonts w:eastAsia="Verdana"/>
        </w:rPr>
        <w:t xml:space="preserve">and </w:t>
      </w:r>
      <w:r w:rsidR="00A67920">
        <w:rPr>
          <w:rFonts w:eastAsia="Verdana"/>
        </w:rPr>
        <w:t>t</w:t>
      </w:r>
      <w:r w:rsidRPr="002C5218">
        <w:rPr>
          <w:rFonts w:eastAsia="Verdana"/>
        </w:rPr>
        <w:t xml:space="preserve">he Supplier's compliance with the ISMS and the Security </w:t>
      </w:r>
      <w:r w:rsidRPr="00BC2A37">
        <w:rPr>
          <w:rFonts w:eastAsia="Verdana"/>
        </w:rPr>
        <w:t xml:space="preserve">Management Plan to mitigate all risks identified.  </w:t>
      </w:r>
      <w:proofErr w:type="spellStart"/>
      <w:r w:rsidR="001F1C19">
        <w:rPr>
          <w:rFonts w:eastAsia="Verdana"/>
        </w:rPr>
        <w:t>Netlink</w:t>
      </w:r>
      <w:proofErr w:type="spellEnd"/>
      <w:r w:rsidR="001F1C19">
        <w:rPr>
          <w:rFonts w:eastAsia="Verdana"/>
        </w:rPr>
        <w:t xml:space="preserve"> Star</w:t>
      </w:r>
      <w:r w:rsidRPr="00BC2A37">
        <w:rPr>
          <w:rFonts w:eastAsia="Verdana"/>
        </w:rPr>
        <w:t xml:space="preserve"> may notify the Supplier of the results of such tests after completion of each such test.  If any such </w:t>
      </w:r>
      <w:proofErr w:type="spellStart"/>
      <w:r w:rsidR="001F1C19">
        <w:rPr>
          <w:rFonts w:eastAsia="Verdana"/>
        </w:rPr>
        <w:t>Netlink</w:t>
      </w:r>
      <w:proofErr w:type="spellEnd"/>
      <w:r w:rsidR="001F1C19">
        <w:rPr>
          <w:rFonts w:eastAsia="Verdana"/>
        </w:rPr>
        <w:t xml:space="preserve"> Star</w:t>
      </w:r>
      <w:r w:rsidRPr="00BC2A37">
        <w:rPr>
          <w:rFonts w:eastAsia="Verdana"/>
        </w:rPr>
        <w:t xml:space="preserve"> test adversely affects the Supplier’s ability to deliver the Services </w:t>
      </w:r>
      <w:proofErr w:type="gramStart"/>
      <w:r w:rsidRPr="00BC2A37">
        <w:rPr>
          <w:rFonts w:eastAsia="Verdana"/>
        </w:rPr>
        <w:t>so as to</w:t>
      </w:r>
      <w:proofErr w:type="gramEnd"/>
      <w:r w:rsidRPr="00BC2A37">
        <w:rPr>
          <w:rFonts w:eastAsia="Verdana"/>
        </w:rPr>
        <w:t xml:space="preserve"> meet the Target Performance Levels, the Supplier shall be granted relief against any resultant underperformance for the period of </w:t>
      </w:r>
      <w:proofErr w:type="spellStart"/>
      <w:r w:rsidR="001F1C19">
        <w:rPr>
          <w:rFonts w:eastAsia="Verdana"/>
        </w:rPr>
        <w:t>Netlink</w:t>
      </w:r>
      <w:proofErr w:type="spellEnd"/>
      <w:r w:rsidR="001F1C19">
        <w:rPr>
          <w:rFonts w:eastAsia="Verdana"/>
        </w:rPr>
        <w:t xml:space="preserve"> Star</w:t>
      </w:r>
      <w:r w:rsidRPr="00BC2A37">
        <w:rPr>
          <w:rFonts w:eastAsia="Verdana"/>
        </w:rPr>
        <w:t xml:space="preserve"> test.</w:t>
      </w:r>
      <w:bookmarkEnd w:id="1707"/>
      <w:r w:rsidRPr="00BC2A37">
        <w:rPr>
          <w:rFonts w:eastAsia="Verdana"/>
        </w:rPr>
        <w:t xml:space="preserve"> </w:t>
      </w:r>
    </w:p>
    <w:p w14:paraId="751CDE9C" w14:textId="69864A0A" w:rsidR="00C1793C" w:rsidRPr="00BC2A37" w:rsidRDefault="00C1793C" w:rsidP="009D675B">
      <w:pPr>
        <w:pStyle w:val="Sch2"/>
        <w:numPr>
          <w:ilvl w:val="3"/>
          <w:numId w:val="56"/>
        </w:numPr>
      </w:pPr>
      <w:bookmarkStart w:id="1708" w:name="_Ref76052325"/>
      <w:r w:rsidRPr="00BC2A37">
        <w:rPr>
          <w:rFonts w:eastAsia="Verdana"/>
        </w:rPr>
        <w:t xml:space="preserve">Where any Security Test carried out pursuant to </w:t>
      </w:r>
      <w:r w:rsidR="001E2B48" w:rsidRPr="00BC2A37">
        <w:rPr>
          <w:rFonts w:eastAsia="Verdana"/>
        </w:rPr>
        <w:t xml:space="preserve">Paragraphs </w:t>
      </w:r>
      <w:r w:rsidRPr="00BC2A37">
        <w:rPr>
          <w:rFonts w:eastAsia="Verdana"/>
        </w:rPr>
        <w:fldChar w:fldCharType="begin"/>
      </w:r>
      <w:r w:rsidRPr="00BC2A37">
        <w:rPr>
          <w:rFonts w:eastAsia="Verdana"/>
        </w:rPr>
        <w:instrText xml:space="preserve"> REF _Ref76052234 \r \h  \* MERGEFORMAT </w:instrText>
      </w:r>
      <w:r w:rsidRPr="00BC2A37">
        <w:rPr>
          <w:rFonts w:eastAsia="Verdana"/>
        </w:rPr>
      </w:r>
      <w:r w:rsidRPr="00BC2A37">
        <w:rPr>
          <w:rFonts w:eastAsia="Verdana"/>
        </w:rPr>
        <w:fldChar w:fldCharType="separate"/>
      </w:r>
      <w:r w:rsidRPr="00BC2A37">
        <w:rPr>
          <w:rFonts w:eastAsia="Verdana"/>
        </w:rPr>
        <w:t>6.3</w:t>
      </w:r>
      <w:r w:rsidRPr="00BC2A37">
        <w:rPr>
          <w:rFonts w:eastAsia="Verdana"/>
        </w:rPr>
        <w:fldChar w:fldCharType="end"/>
      </w:r>
      <w:r w:rsidRPr="00BC2A37">
        <w:rPr>
          <w:rFonts w:eastAsia="Verdana"/>
        </w:rPr>
        <w:t xml:space="preserve"> or </w:t>
      </w:r>
      <w:r w:rsidRPr="00BC2A37">
        <w:rPr>
          <w:rFonts w:eastAsia="Verdana"/>
        </w:rPr>
        <w:fldChar w:fldCharType="begin"/>
      </w:r>
      <w:r w:rsidRPr="00BC2A37">
        <w:rPr>
          <w:rFonts w:eastAsia="Verdana"/>
        </w:rPr>
        <w:instrText xml:space="preserve"> REF _Ref76052236 \r \h  \* MERGEFORMAT </w:instrText>
      </w:r>
      <w:r w:rsidRPr="00BC2A37">
        <w:rPr>
          <w:rFonts w:eastAsia="Verdana"/>
        </w:rPr>
      </w:r>
      <w:r w:rsidRPr="00BC2A37">
        <w:rPr>
          <w:rFonts w:eastAsia="Verdana"/>
        </w:rPr>
        <w:fldChar w:fldCharType="separate"/>
      </w:r>
      <w:r w:rsidRPr="00BC2A37">
        <w:rPr>
          <w:rFonts w:eastAsia="Verdana"/>
        </w:rPr>
        <w:t>6.4</w:t>
      </w:r>
      <w:r w:rsidRPr="00BC2A37">
        <w:rPr>
          <w:rFonts w:eastAsia="Verdana"/>
        </w:rPr>
        <w:fldChar w:fldCharType="end"/>
      </w:r>
      <w:r w:rsidRPr="00BC2A37">
        <w:rPr>
          <w:rFonts w:eastAsia="Verdana"/>
        </w:rPr>
        <w:t xml:space="preserve"> reveals any actual or potential Breach of Security or weaknesses (including un-patched vulnerabilities, poor configuration and/or incorrect system management), the Supplier shall promptly notify </w:t>
      </w:r>
      <w:proofErr w:type="spellStart"/>
      <w:r w:rsidR="001F1C19">
        <w:rPr>
          <w:rFonts w:eastAsia="Verdana"/>
        </w:rPr>
        <w:t>Netlink</w:t>
      </w:r>
      <w:proofErr w:type="spellEnd"/>
      <w:r w:rsidR="001F1C19">
        <w:rPr>
          <w:rFonts w:eastAsia="Verdana"/>
        </w:rPr>
        <w:t xml:space="preserve"> Star</w:t>
      </w:r>
      <w:r w:rsidRPr="00BC2A37">
        <w:rPr>
          <w:rFonts w:eastAsia="Verdana"/>
        </w:rPr>
        <w:t xml:space="preserve"> of any changes to the Security Management Plan (and the implementation thereof) which the Supplier proposes to make in order to correct such failure or weakness.  Subject to </w:t>
      </w:r>
      <w:proofErr w:type="spellStart"/>
      <w:r w:rsidR="001F1C19">
        <w:rPr>
          <w:rFonts w:eastAsia="Verdana"/>
        </w:rPr>
        <w:t>Netlink</w:t>
      </w:r>
      <w:proofErr w:type="spellEnd"/>
      <w:r w:rsidR="001F1C19">
        <w:rPr>
          <w:rFonts w:eastAsia="Verdana"/>
        </w:rPr>
        <w:t xml:space="preserve"> Star</w:t>
      </w:r>
      <w:r w:rsidRPr="00BC2A37">
        <w:rPr>
          <w:rFonts w:eastAsia="Verdana"/>
        </w:rPr>
        <w:t xml:space="preserve">'s prior written approval, the Supplier shall implement such changes to the Security Management Plan and repeat the relevant Security Tests in accordance with the timetable agreed with </w:t>
      </w:r>
      <w:proofErr w:type="spellStart"/>
      <w:r w:rsidR="001F1C19">
        <w:rPr>
          <w:rFonts w:eastAsia="Verdana"/>
        </w:rPr>
        <w:t>Netlink</w:t>
      </w:r>
      <w:proofErr w:type="spellEnd"/>
      <w:r w:rsidR="001F1C19">
        <w:rPr>
          <w:rFonts w:eastAsia="Verdana"/>
        </w:rPr>
        <w:t xml:space="preserve"> Star</w:t>
      </w:r>
      <w:r w:rsidRPr="00BC2A37">
        <w:rPr>
          <w:rFonts w:eastAsia="Verdana"/>
        </w:rPr>
        <w:t xml:space="preserve"> or, otherwise, as soon as reasonably possible.  For the avoidance of doubt, where the change to the Security Management Plan is to address a non-compliance with the Baseline Security Requirements or security requirements (as set out in the Services Description) or the requirements of this Schedule, the change to the ISMS or Security Management Plan shall be at no cost to </w:t>
      </w:r>
      <w:proofErr w:type="spellStart"/>
      <w:r w:rsidR="001F1C19">
        <w:rPr>
          <w:rFonts w:eastAsia="Verdana"/>
        </w:rPr>
        <w:t>Netlink</w:t>
      </w:r>
      <w:proofErr w:type="spellEnd"/>
      <w:r w:rsidR="001F1C19">
        <w:rPr>
          <w:rFonts w:eastAsia="Verdana"/>
        </w:rPr>
        <w:t xml:space="preserve"> Star</w:t>
      </w:r>
      <w:r w:rsidRPr="00BC2A37">
        <w:rPr>
          <w:rFonts w:eastAsia="Verdana"/>
        </w:rPr>
        <w:t>.</w:t>
      </w:r>
      <w:bookmarkEnd w:id="1708"/>
      <w:r w:rsidRPr="00BC2A37">
        <w:rPr>
          <w:rFonts w:eastAsia="Verdana"/>
        </w:rPr>
        <w:t xml:space="preserve"> </w:t>
      </w:r>
    </w:p>
    <w:p w14:paraId="6F94FDB1" w14:textId="35FA33AF" w:rsidR="00C1793C" w:rsidRPr="00BC2A37" w:rsidRDefault="00C1793C" w:rsidP="009D675B">
      <w:pPr>
        <w:pStyle w:val="Sch2"/>
        <w:numPr>
          <w:ilvl w:val="3"/>
          <w:numId w:val="56"/>
        </w:numPr>
      </w:pPr>
      <w:r w:rsidRPr="00BC2A37">
        <w:rPr>
          <w:rFonts w:eastAsia="Verdana"/>
        </w:rPr>
        <w:t xml:space="preserve">If any repeat Security Test carried out pursuant to </w:t>
      </w:r>
      <w:r w:rsidR="001E2B48" w:rsidRPr="00BC2A37">
        <w:rPr>
          <w:rFonts w:eastAsia="Verdana"/>
        </w:rPr>
        <w:t xml:space="preserve">Paragraph </w:t>
      </w:r>
      <w:r w:rsidRPr="00BC2A37">
        <w:rPr>
          <w:rFonts w:eastAsia="Verdana"/>
        </w:rPr>
        <w:fldChar w:fldCharType="begin"/>
      </w:r>
      <w:r w:rsidRPr="00BC2A37">
        <w:rPr>
          <w:rFonts w:eastAsia="Verdana"/>
        </w:rPr>
        <w:instrText xml:space="preserve"> REF _Ref76052325 \r \h </w:instrText>
      </w:r>
      <w:r>
        <w:rPr>
          <w:rFonts w:eastAsia="Verdana"/>
        </w:rPr>
        <w:instrText xml:space="preserve"> \* MERGEFORMAT </w:instrText>
      </w:r>
      <w:r w:rsidRPr="00BC2A37">
        <w:rPr>
          <w:rFonts w:eastAsia="Verdana"/>
        </w:rPr>
      </w:r>
      <w:r w:rsidRPr="00BC2A37">
        <w:rPr>
          <w:rFonts w:eastAsia="Verdana"/>
        </w:rPr>
        <w:fldChar w:fldCharType="separate"/>
      </w:r>
      <w:r w:rsidRPr="00BC2A37">
        <w:rPr>
          <w:rFonts w:eastAsia="Verdana"/>
        </w:rPr>
        <w:t>6.5</w:t>
      </w:r>
      <w:r w:rsidRPr="00BC2A37">
        <w:rPr>
          <w:rFonts w:eastAsia="Verdana"/>
        </w:rPr>
        <w:fldChar w:fldCharType="end"/>
      </w:r>
      <w:r w:rsidRPr="00BC2A37">
        <w:rPr>
          <w:rFonts w:eastAsia="Verdana"/>
        </w:rPr>
        <w:t xml:space="preserve"> reveals an actual or potential Breach of Security exploiting the same root cause failure, such circumstance shall constitute a material Default for the purposes of clause 30.1.3 (Rectification Plan Process). </w:t>
      </w:r>
    </w:p>
    <w:p w14:paraId="41D57100" w14:textId="799E3A01" w:rsidR="00C1793C" w:rsidRPr="001E2B48" w:rsidRDefault="00A67920" w:rsidP="009D675B">
      <w:pPr>
        <w:pStyle w:val="Sch1"/>
        <w:numPr>
          <w:ilvl w:val="2"/>
          <w:numId w:val="56"/>
        </w:numPr>
        <w:rPr>
          <w:b/>
          <w:bCs/>
        </w:rPr>
      </w:pPr>
      <w:bookmarkStart w:id="1709" w:name="_Ref76049078"/>
      <w:r>
        <w:rPr>
          <w:b/>
          <w:bCs/>
        </w:rPr>
        <w:t>SECURITY MANAGEMENT PLAN</w:t>
      </w:r>
      <w:r w:rsidR="00C1793C" w:rsidRPr="001E2B48">
        <w:rPr>
          <w:b/>
          <w:bCs/>
        </w:rPr>
        <w:t xml:space="preserve"> COMPLIANCE</w:t>
      </w:r>
      <w:bookmarkEnd w:id="1709"/>
      <w:r w:rsidR="00C1793C" w:rsidRPr="001E2B48">
        <w:rPr>
          <w:b/>
          <w:bCs/>
        </w:rPr>
        <w:t xml:space="preserve"> </w:t>
      </w:r>
    </w:p>
    <w:p w14:paraId="345CF706" w14:textId="17778F7A" w:rsidR="00C1793C" w:rsidRPr="002C5218" w:rsidRDefault="001F1C19" w:rsidP="009D675B">
      <w:pPr>
        <w:pStyle w:val="Sch2"/>
        <w:numPr>
          <w:ilvl w:val="3"/>
          <w:numId w:val="56"/>
        </w:numPr>
      </w:pPr>
      <w:proofErr w:type="spellStart"/>
      <w:r>
        <w:rPr>
          <w:rFonts w:eastAsia="Verdana"/>
        </w:rPr>
        <w:t>Netlink</w:t>
      </w:r>
      <w:proofErr w:type="spellEnd"/>
      <w:r>
        <w:rPr>
          <w:rFonts w:eastAsia="Verdana"/>
        </w:rPr>
        <w:t xml:space="preserve"> Star</w:t>
      </w:r>
      <w:r w:rsidR="00C1793C" w:rsidRPr="002C5218">
        <w:rPr>
          <w:rFonts w:eastAsia="Verdana"/>
        </w:rPr>
        <w:t xml:space="preserve"> shall be entitled to carry out such security audits as it may reasonably deem necessary </w:t>
      </w:r>
      <w:proofErr w:type="gramStart"/>
      <w:r w:rsidR="00C1793C" w:rsidRPr="002C5218">
        <w:rPr>
          <w:rFonts w:eastAsia="Verdana"/>
        </w:rPr>
        <w:t>in order to</w:t>
      </w:r>
      <w:proofErr w:type="gramEnd"/>
      <w:r w:rsidR="00C1793C" w:rsidRPr="002C5218">
        <w:rPr>
          <w:rFonts w:eastAsia="Verdana"/>
        </w:rPr>
        <w:t xml:space="preserve"> ensure that the </w:t>
      </w:r>
      <w:r w:rsidR="00A67920" w:rsidRPr="00A67920">
        <w:rPr>
          <w:rFonts w:eastAsia="Verdana"/>
        </w:rPr>
        <w:t>Security Management Plan</w:t>
      </w:r>
      <w:r w:rsidR="00A67920" w:rsidRPr="00A67920" w:rsidDel="00A67920">
        <w:rPr>
          <w:rFonts w:eastAsia="Verdana"/>
        </w:rPr>
        <w:t xml:space="preserve"> </w:t>
      </w:r>
      <w:r w:rsidR="00C1793C" w:rsidRPr="002C5218">
        <w:rPr>
          <w:rFonts w:eastAsia="Verdana"/>
        </w:rPr>
        <w:t xml:space="preserve">maintains compliance with the principles and practices of ISO 27001, the specific security requirements set out in the Services Description, the requirements of this Schedule and the Baseline Security Requirements. </w:t>
      </w:r>
    </w:p>
    <w:p w14:paraId="6D7D7BD7" w14:textId="5560E610" w:rsidR="00C1793C" w:rsidRPr="002C5218" w:rsidRDefault="00C1793C" w:rsidP="009D675B">
      <w:pPr>
        <w:pStyle w:val="Sch2"/>
        <w:numPr>
          <w:ilvl w:val="3"/>
          <w:numId w:val="56"/>
        </w:numPr>
      </w:pPr>
      <w:bookmarkStart w:id="1710" w:name="_Ref76052568"/>
      <w:r w:rsidRPr="002C5218">
        <w:rPr>
          <w:rFonts w:eastAsia="Verdana"/>
        </w:rPr>
        <w:t xml:space="preserve">If, on the basis of evidence provided by such audits, it is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's reasonable opinion that compliance with the principles and practices of ISO/IEC 27001, the specific security requirements set out in the Services Description, the requirements of this Schedule and/or the Baseline Security Requirements is not being achieved by the Supplier, then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shall </w:t>
      </w:r>
      <w:r w:rsidRPr="002C5218">
        <w:rPr>
          <w:rFonts w:eastAsia="Verdana"/>
        </w:rPr>
        <w:lastRenderedPageBreak/>
        <w:t xml:space="preserve">notify the Supplier of the same and give the Supplier a reasonable time (having regard to the extent and criticality of any non-compliance and any other relevant circumstances) to implement any necessary remedy.  If the Supplier does not become compliant within the required </w:t>
      </w:r>
      <w:proofErr w:type="gramStart"/>
      <w:r w:rsidRPr="002C5218">
        <w:rPr>
          <w:rFonts w:eastAsia="Verdana"/>
        </w:rPr>
        <w:t>time</w:t>
      </w:r>
      <w:proofErr w:type="gramEnd"/>
      <w:r w:rsidRPr="002C5218">
        <w:rPr>
          <w:rFonts w:eastAsia="Verdana"/>
        </w:rPr>
        <w:t xml:space="preserve"> then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shall have the right to obtain an independent audit against these standards in whole or in part.</w:t>
      </w:r>
      <w:bookmarkEnd w:id="1710"/>
      <w:r w:rsidRPr="002C5218">
        <w:rPr>
          <w:rFonts w:eastAsia="Verdana"/>
        </w:rPr>
        <w:t xml:space="preserve"> </w:t>
      </w:r>
    </w:p>
    <w:p w14:paraId="0204DF12" w14:textId="7C3DF4C4" w:rsidR="00C1793C" w:rsidRPr="002C5218" w:rsidRDefault="00C1793C" w:rsidP="009D675B">
      <w:pPr>
        <w:pStyle w:val="Sch2"/>
        <w:numPr>
          <w:ilvl w:val="3"/>
          <w:numId w:val="56"/>
        </w:numPr>
      </w:pPr>
      <w:r w:rsidRPr="002C5218">
        <w:rPr>
          <w:rFonts w:eastAsia="Verdana"/>
        </w:rPr>
        <w:t xml:space="preserve">If, as a result of any such independent audit as described in </w:t>
      </w:r>
      <w:r w:rsidR="001E2B48" w:rsidRPr="002C5218">
        <w:rPr>
          <w:rFonts w:eastAsia="Verdana"/>
        </w:rPr>
        <w:t xml:space="preserve">Paragraph </w:t>
      </w:r>
      <w:r>
        <w:rPr>
          <w:rFonts w:eastAsia="Verdana"/>
        </w:rPr>
        <w:fldChar w:fldCharType="begin"/>
      </w:r>
      <w:r>
        <w:rPr>
          <w:rFonts w:eastAsia="Verdana"/>
        </w:rPr>
        <w:instrText xml:space="preserve"> REF _Ref76052568 \r \h </w:instrText>
      </w:r>
      <w:r>
        <w:rPr>
          <w:rFonts w:eastAsia="Verdana"/>
        </w:rPr>
      </w:r>
      <w:r>
        <w:rPr>
          <w:rFonts w:eastAsia="Verdana"/>
        </w:rPr>
        <w:fldChar w:fldCharType="separate"/>
      </w:r>
      <w:r>
        <w:rPr>
          <w:rFonts w:eastAsia="Verdana"/>
        </w:rPr>
        <w:t>7.2</w:t>
      </w:r>
      <w:r>
        <w:rPr>
          <w:rFonts w:eastAsia="Verdana"/>
        </w:rPr>
        <w:fldChar w:fldCharType="end"/>
      </w:r>
      <w:r w:rsidRPr="002C5218">
        <w:rPr>
          <w:rFonts w:eastAsia="Verdana"/>
        </w:rPr>
        <w:t xml:space="preserve"> the Supplier is found to be non-compliant with the principles and practices of ISO/IEC 27001, the specific security requirements set out in the Services Description, the requirements of this Schedule and/or the Baseline Security Requirements then the Supplier shall, at its own expense, undertake those actions required in order to achieve the necessary compliance and shall reimburse in full the costs incurred by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in obtaining such audit. </w:t>
      </w:r>
    </w:p>
    <w:p w14:paraId="0FEE61AD" w14:textId="77777777" w:rsidR="00C1793C" w:rsidRPr="001E2B48" w:rsidRDefault="00C1793C" w:rsidP="009D675B">
      <w:pPr>
        <w:pStyle w:val="Sch1"/>
        <w:keepNext/>
        <w:numPr>
          <w:ilvl w:val="2"/>
          <w:numId w:val="56"/>
        </w:numPr>
        <w:rPr>
          <w:b/>
          <w:bCs/>
        </w:rPr>
      </w:pPr>
      <w:r w:rsidRPr="001E2B48">
        <w:rPr>
          <w:b/>
          <w:bCs/>
        </w:rPr>
        <w:t xml:space="preserve">BREACH OF SECURITY </w:t>
      </w:r>
    </w:p>
    <w:p w14:paraId="4725DCCD" w14:textId="21990C3B" w:rsidR="00C1793C" w:rsidRPr="00947516" w:rsidRDefault="00C1793C" w:rsidP="009D675B">
      <w:pPr>
        <w:pStyle w:val="Sch2"/>
        <w:numPr>
          <w:ilvl w:val="3"/>
          <w:numId w:val="56"/>
        </w:numPr>
      </w:pPr>
      <w:bookmarkStart w:id="1711" w:name="_Ref76053422"/>
      <w:r w:rsidRPr="00947516">
        <w:rPr>
          <w:rFonts w:eastAsia="Verdana"/>
        </w:rPr>
        <w:t xml:space="preserve">Either Party shall notify the other in accordance with the agreed security incident management process as defined by the </w:t>
      </w:r>
      <w:r w:rsidR="00A67920">
        <w:rPr>
          <w:rFonts w:eastAsia="Verdana"/>
        </w:rPr>
        <w:t>Security Management Plan</w:t>
      </w:r>
      <w:r w:rsidR="00A67920" w:rsidRPr="00947516" w:rsidDel="00A67920">
        <w:rPr>
          <w:rFonts w:eastAsia="Verdana"/>
        </w:rPr>
        <w:t xml:space="preserve"> </w:t>
      </w:r>
      <w:r w:rsidRPr="00947516">
        <w:rPr>
          <w:rFonts w:eastAsia="Verdana"/>
        </w:rPr>
        <w:t>upon becoming aware of any Breach of Security or attempted Breach of Security.</w:t>
      </w:r>
      <w:bookmarkEnd w:id="1711"/>
      <w:r w:rsidRPr="00947516">
        <w:rPr>
          <w:rFonts w:eastAsia="Verdana"/>
        </w:rPr>
        <w:t xml:space="preserve"> </w:t>
      </w:r>
    </w:p>
    <w:p w14:paraId="129482BC" w14:textId="749D2F01" w:rsidR="00C1793C" w:rsidRPr="002C5218" w:rsidRDefault="00C1793C" w:rsidP="009D675B">
      <w:pPr>
        <w:pStyle w:val="Sch2"/>
        <w:numPr>
          <w:ilvl w:val="3"/>
          <w:numId w:val="56"/>
        </w:numPr>
      </w:pPr>
      <w:r w:rsidRPr="002C5218">
        <w:rPr>
          <w:rFonts w:eastAsia="Verdana"/>
        </w:rPr>
        <w:t xml:space="preserve">Without prejudice to the security incident management process, upon becoming aware of any of the circumstances referred to in </w:t>
      </w:r>
      <w:r w:rsidR="001E2B48" w:rsidRPr="002C5218">
        <w:rPr>
          <w:rFonts w:eastAsia="Verdana"/>
        </w:rPr>
        <w:t xml:space="preserve">Paragraph </w:t>
      </w:r>
      <w:r>
        <w:rPr>
          <w:rFonts w:eastAsia="Verdana"/>
        </w:rPr>
        <w:fldChar w:fldCharType="begin"/>
      </w:r>
      <w:r>
        <w:rPr>
          <w:rFonts w:eastAsia="Verdana"/>
        </w:rPr>
        <w:instrText xml:space="preserve"> REF _Ref76053422 \r \h </w:instrText>
      </w:r>
      <w:r>
        <w:rPr>
          <w:rFonts w:eastAsia="Verdana"/>
        </w:rPr>
      </w:r>
      <w:r>
        <w:rPr>
          <w:rFonts w:eastAsia="Verdana"/>
        </w:rPr>
        <w:fldChar w:fldCharType="separate"/>
      </w:r>
      <w:r>
        <w:rPr>
          <w:rFonts w:eastAsia="Verdana"/>
        </w:rPr>
        <w:t>8.1</w:t>
      </w:r>
      <w:r>
        <w:rPr>
          <w:rFonts w:eastAsia="Verdana"/>
        </w:rPr>
        <w:fldChar w:fldCharType="end"/>
      </w:r>
      <w:r w:rsidRPr="002C5218">
        <w:rPr>
          <w:rFonts w:eastAsia="Verdana"/>
        </w:rPr>
        <w:t xml:space="preserve">, the Supplier shall: </w:t>
      </w:r>
    </w:p>
    <w:p w14:paraId="66682D1A" w14:textId="77777777" w:rsidR="00C1793C" w:rsidRPr="002C5218" w:rsidRDefault="00C1793C" w:rsidP="009D675B">
      <w:pPr>
        <w:pStyle w:val="Sch3"/>
        <w:numPr>
          <w:ilvl w:val="4"/>
          <w:numId w:val="56"/>
        </w:numPr>
      </w:pPr>
      <w:r w:rsidRPr="002C5218">
        <w:rPr>
          <w:rFonts w:eastAsia="Verdana"/>
        </w:rPr>
        <w:t xml:space="preserve">immediately take all reasonable steps </w:t>
      </w:r>
      <w:r>
        <w:rPr>
          <w:rFonts w:eastAsia="Verdana"/>
        </w:rPr>
        <w:t xml:space="preserve">either on the request of the security operations centre or following a pre-authorised response plan </w:t>
      </w:r>
      <w:proofErr w:type="gramStart"/>
      <w:r>
        <w:rPr>
          <w:rFonts w:eastAsia="Verdana"/>
        </w:rPr>
        <w:t xml:space="preserve">in order </w:t>
      </w:r>
      <w:r w:rsidRPr="002C5218">
        <w:rPr>
          <w:rFonts w:eastAsia="Verdana"/>
        </w:rPr>
        <w:t>to</w:t>
      </w:r>
      <w:proofErr w:type="gramEnd"/>
      <w:r w:rsidRPr="002C5218">
        <w:rPr>
          <w:rFonts w:eastAsia="Verdana"/>
        </w:rPr>
        <w:t xml:space="preserve">: </w:t>
      </w:r>
    </w:p>
    <w:p w14:paraId="4597313C" w14:textId="77777777" w:rsidR="00C1793C" w:rsidRPr="002C5218" w:rsidRDefault="00C1793C" w:rsidP="009D675B">
      <w:pPr>
        <w:pStyle w:val="Sch4"/>
        <w:numPr>
          <w:ilvl w:val="5"/>
          <w:numId w:val="56"/>
        </w:numPr>
      </w:pPr>
      <w:r w:rsidRPr="002C5218">
        <w:rPr>
          <w:rFonts w:eastAsia="Verdana"/>
        </w:rPr>
        <w:t xml:space="preserve">minimise the extent of actual or potential harm caused by any Breach of </w:t>
      </w:r>
      <w:proofErr w:type="gramStart"/>
      <w:r w:rsidRPr="002C5218">
        <w:rPr>
          <w:rFonts w:eastAsia="Verdana"/>
        </w:rPr>
        <w:t>Security;</w:t>
      </w:r>
      <w:proofErr w:type="gramEnd"/>
      <w:r w:rsidRPr="002C5218">
        <w:rPr>
          <w:rFonts w:eastAsia="Verdana"/>
        </w:rPr>
        <w:t xml:space="preserve"> </w:t>
      </w:r>
    </w:p>
    <w:p w14:paraId="5448AF20" w14:textId="77777777" w:rsidR="00C1793C" w:rsidRPr="002A6AE8" w:rsidRDefault="00C1793C" w:rsidP="009D675B">
      <w:pPr>
        <w:pStyle w:val="Sch4"/>
        <w:numPr>
          <w:ilvl w:val="5"/>
          <w:numId w:val="56"/>
        </w:numPr>
      </w:pPr>
      <w:r>
        <w:rPr>
          <w:rFonts w:eastAsia="Verdana"/>
        </w:rPr>
        <w:t xml:space="preserve">follow the instructions of SOC NR to </w:t>
      </w:r>
      <w:r w:rsidRPr="002C5218">
        <w:rPr>
          <w:rFonts w:eastAsia="Verdana"/>
        </w:rPr>
        <w:t xml:space="preserve">remedy such Breach of Security to the extent possible and protect the integrity of the IT Environment to the extent within its control against any such Breach of Security or attempted Breach of </w:t>
      </w:r>
      <w:proofErr w:type="gramStart"/>
      <w:r w:rsidRPr="002C5218">
        <w:rPr>
          <w:rFonts w:eastAsia="Verdana"/>
        </w:rPr>
        <w:t>Security;</w:t>
      </w:r>
      <w:proofErr w:type="gramEnd"/>
      <w:r w:rsidRPr="002C5218">
        <w:rPr>
          <w:rFonts w:eastAsia="Verdana"/>
        </w:rPr>
        <w:t xml:space="preserve"> </w:t>
      </w:r>
    </w:p>
    <w:p w14:paraId="037340C9" w14:textId="77777777" w:rsidR="00C1793C" w:rsidRDefault="00C1793C" w:rsidP="009D675B">
      <w:pPr>
        <w:pStyle w:val="Sch4"/>
        <w:numPr>
          <w:ilvl w:val="5"/>
          <w:numId w:val="56"/>
        </w:numPr>
      </w:pPr>
      <w:r>
        <w:rPr>
          <w:rFonts w:eastAsia="Verdana"/>
        </w:rPr>
        <w:t>keep SOC NR informed as to the progress of remedial actions related to the Breach of Security and of any change in the security situation (virtual or physical) at the intervals specified by SOC NR or, where no such interval has been specified, within a reasonable timeframe.</w:t>
      </w:r>
    </w:p>
    <w:p w14:paraId="7789108B" w14:textId="14D1A1E7" w:rsidR="00C1793C" w:rsidRPr="002C5218" w:rsidRDefault="00C1793C" w:rsidP="009D675B">
      <w:pPr>
        <w:pStyle w:val="Sch4"/>
        <w:numPr>
          <w:ilvl w:val="5"/>
          <w:numId w:val="56"/>
        </w:numPr>
      </w:pPr>
      <w:r>
        <w:rPr>
          <w:rFonts w:eastAsia="Verdana"/>
        </w:rPr>
        <w:t xml:space="preserve">where pre-approved by </w:t>
      </w:r>
      <w:proofErr w:type="spellStart"/>
      <w:r w:rsidR="001F1C19">
        <w:rPr>
          <w:rFonts w:eastAsia="Verdana"/>
        </w:rPr>
        <w:t>Netlink</w:t>
      </w:r>
      <w:proofErr w:type="spellEnd"/>
      <w:r w:rsidR="001F1C19">
        <w:rPr>
          <w:rFonts w:eastAsia="Verdana"/>
        </w:rPr>
        <w:t xml:space="preserve"> Star</w:t>
      </w:r>
      <w:r>
        <w:rPr>
          <w:rFonts w:eastAsia="Verdana"/>
        </w:rPr>
        <w:t xml:space="preserve"> or requested by SOC NR, </w:t>
      </w:r>
      <w:r w:rsidRPr="002C5218">
        <w:rPr>
          <w:rFonts w:eastAsia="Verdana"/>
        </w:rPr>
        <w:t xml:space="preserve">apply a mitigation against any such Breach of Security or attempted Breach of Security and, provided that reasonable testing has been undertaken by the Supplier, if the mitigation adversely affects the Supplier’s ability to deliver the Services so as to meet the Target Performance Levels, the Supplier shall be granted relief against any resultant under-performance for such period as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acting reasonably, may specify by written notice to the Supplier; </w:t>
      </w:r>
    </w:p>
    <w:p w14:paraId="604CA72B" w14:textId="77777777" w:rsidR="00C1793C" w:rsidRPr="002C5218" w:rsidRDefault="00C1793C" w:rsidP="009D675B">
      <w:pPr>
        <w:pStyle w:val="Sch4"/>
        <w:numPr>
          <w:ilvl w:val="5"/>
          <w:numId w:val="56"/>
        </w:numPr>
      </w:pPr>
      <w:r w:rsidRPr="002C5218">
        <w:rPr>
          <w:rFonts w:eastAsia="Verdana"/>
        </w:rPr>
        <w:t xml:space="preserve">prevent a further Breach of Security or attempted Breach of Security in the future exploiting the same root cause failure; and </w:t>
      </w:r>
    </w:p>
    <w:p w14:paraId="77B6146E" w14:textId="3C00734A" w:rsidR="00C1793C" w:rsidRPr="002C5218" w:rsidRDefault="00C1793C" w:rsidP="009D675B">
      <w:pPr>
        <w:pStyle w:val="Sch4"/>
        <w:numPr>
          <w:ilvl w:val="5"/>
          <w:numId w:val="56"/>
        </w:numPr>
      </w:pPr>
      <w:r w:rsidRPr="002C5218">
        <w:rPr>
          <w:rFonts w:eastAsia="Verdana"/>
        </w:rPr>
        <w:t xml:space="preserve">supply any requested data to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or the NCSC on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’s request </w:t>
      </w:r>
      <w:r>
        <w:rPr>
          <w:rFonts w:eastAsia="Verdana"/>
        </w:rPr>
        <w:t xml:space="preserve">as soon as possible and in any event </w:t>
      </w:r>
      <w:r w:rsidRPr="002C5218">
        <w:rPr>
          <w:rFonts w:eastAsia="Verdana"/>
        </w:rPr>
        <w:t xml:space="preserve">within two (2) Working Days and without charge (where such requests are reasonably related to a possible incident or compromise); and </w:t>
      </w:r>
    </w:p>
    <w:p w14:paraId="1F3AAAD0" w14:textId="3B498D95" w:rsidR="00C1793C" w:rsidRPr="002C5218" w:rsidRDefault="00C1793C" w:rsidP="009D675B">
      <w:pPr>
        <w:pStyle w:val="Sch4"/>
        <w:numPr>
          <w:ilvl w:val="5"/>
          <w:numId w:val="56"/>
        </w:numPr>
      </w:pPr>
      <w:r w:rsidRPr="002C5218">
        <w:rPr>
          <w:rFonts w:eastAsia="Verdana"/>
        </w:rPr>
        <w:t xml:space="preserve">as soon as reasonably practicable provide to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full details (using the reporting mechanism defined by the </w:t>
      </w:r>
      <w:r w:rsidR="00A67920">
        <w:rPr>
          <w:rFonts w:eastAsia="Verdana"/>
        </w:rPr>
        <w:t>Security Management Plan</w:t>
      </w:r>
      <w:r w:rsidRPr="002C5218">
        <w:rPr>
          <w:rFonts w:eastAsia="Verdana"/>
        </w:rPr>
        <w:t xml:space="preserve">) of the Breach of Security or attempted Breach of Security, including a root cause analysis where required by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w:t>
      </w:r>
    </w:p>
    <w:p w14:paraId="28B7A1F0" w14:textId="0FC965C6" w:rsidR="00C1793C" w:rsidRPr="002C5218" w:rsidRDefault="00C1793C" w:rsidP="009D675B">
      <w:pPr>
        <w:pStyle w:val="Sch2"/>
        <w:numPr>
          <w:ilvl w:val="3"/>
          <w:numId w:val="56"/>
        </w:numPr>
      </w:pPr>
      <w:proofErr w:type="gramStart"/>
      <w:r w:rsidRPr="002C5218">
        <w:rPr>
          <w:rFonts w:eastAsia="Verdana"/>
        </w:rPr>
        <w:lastRenderedPageBreak/>
        <w:t>In the event that</w:t>
      </w:r>
      <w:proofErr w:type="gramEnd"/>
      <w:r w:rsidRPr="002C5218">
        <w:rPr>
          <w:rFonts w:eastAsia="Verdana"/>
        </w:rPr>
        <w:t xml:space="preserve"> any action is taken in response to a Breach of Security or potential or attempted Breach of Security </w:t>
      </w:r>
      <w:r w:rsidRPr="00D97169">
        <w:rPr>
          <w:rFonts w:eastAsia="Verdana"/>
        </w:rPr>
        <w:t xml:space="preserve">that demonstrates non-compliance </w:t>
      </w:r>
      <w:r w:rsidR="00A67920">
        <w:rPr>
          <w:rFonts w:eastAsia="Verdana"/>
        </w:rPr>
        <w:t>with</w:t>
      </w:r>
      <w:r w:rsidR="00A67920" w:rsidRPr="00D97169">
        <w:rPr>
          <w:rFonts w:eastAsia="Verdana"/>
        </w:rPr>
        <w:t xml:space="preserve"> </w:t>
      </w:r>
      <w:r w:rsidRPr="00D97169">
        <w:rPr>
          <w:rFonts w:eastAsia="Verdana"/>
        </w:rPr>
        <w:t xml:space="preserve">the </w:t>
      </w:r>
      <w:r w:rsidR="00A67920">
        <w:rPr>
          <w:rFonts w:eastAsia="Verdana"/>
        </w:rPr>
        <w:t>Security Management Plan</w:t>
      </w:r>
      <w:r w:rsidR="00A67920" w:rsidRPr="00D97169" w:rsidDel="00A67920">
        <w:rPr>
          <w:rFonts w:eastAsia="Verdana"/>
        </w:rPr>
        <w:t xml:space="preserve"> </w:t>
      </w:r>
      <w:r w:rsidRPr="00D97169">
        <w:rPr>
          <w:rFonts w:eastAsia="Verdana"/>
        </w:rPr>
        <w:t xml:space="preserve">Baseline Security Requirements, the security requirements set out in the Services Description or the requirements of this Schedule, then any required change to the </w:t>
      </w:r>
      <w:r w:rsidR="00A67920">
        <w:rPr>
          <w:rFonts w:eastAsia="Verdana"/>
        </w:rPr>
        <w:t>Security Management Plan</w:t>
      </w:r>
      <w:r w:rsidR="00A67920" w:rsidRPr="00D97169" w:rsidDel="00A67920">
        <w:rPr>
          <w:rFonts w:eastAsia="Verdana"/>
        </w:rPr>
        <w:t xml:space="preserve"> </w:t>
      </w:r>
      <w:r w:rsidRPr="00D97169">
        <w:rPr>
          <w:rFonts w:eastAsia="Verdana"/>
        </w:rPr>
        <w:t xml:space="preserve">shall be at no cost to </w:t>
      </w:r>
      <w:proofErr w:type="spellStart"/>
      <w:r w:rsidR="001F1C19">
        <w:rPr>
          <w:rFonts w:eastAsia="Verdana"/>
        </w:rPr>
        <w:t>Netlink</w:t>
      </w:r>
      <w:proofErr w:type="spellEnd"/>
      <w:r w:rsidR="001F1C19">
        <w:rPr>
          <w:rFonts w:eastAsia="Verdana"/>
        </w:rPr>
        <w:t xml:space="preserve"> Star</w:t>
      </w:r>
      <w:r w:rsidRPr="00D97169">
        <w:rPr>
          <w:rFonts w:eastAsia="Verdana"/>
        </w:rPr>
        <w:t>.</w:t>
      </w:r>
      <w:r w:rsidRPr="002C5218">
        <w:rPr>
          <w:rFonts w:eastAsia="Verdana"/>
        </w:rPr>
        <w:t xml:space="preserve"> </w:t>
      </w:r>
    </w:p>
    <w:p w14:paraId="27CC4CC1" w14:textId="77777777" w:rsidR="00C1793C" w:rsidRPr="001E2B48" w:rsidRDefault="00C1793C" w:rsidP="009D675B">
      <w:pPr>
        <w:pStyle w:val="Sch1"/>
        <w:numPr>
          <w:ilvl w:val="2"/>
          <w:numId w:val="56"/>
        </w:numPr>
        <w:rPr>
          <w:b/>
          <w:bCs/>
        </w:rPr>
      </w:pPr>
      <w:bookmarkStart w:id="1712" w:name="_Ref76054139"/>
      <w:r w:rsidRPr="001E2B48">
        <w:rPr>
          <w:b/>
          <w:bCs/>
        </w:rPr>
        <w:t>VULNERABILITIES AND CORRECTIVE ACTION</w:t>
      </w:r>
      <w:bookmarkEnd w:id="1712"/>
      <w:r w:rsidRPr="001E2B48">
        <w:rPr>
          <w:b/>
          <w:bCs/>
        </w:rPr>
        <w:t xml:space="preserve"> </w:t>
      </w:r>
    </w:p>
    <w:p w14:paraId="63A95669" w14:textId="329CDF58" w:rsidR="00C1793C" w:rsidRPr="002C5218" w:rsidRDefault="001F1C19" w:rsidP="009D675B">
      <w:pPr>
        <w:pStyle w:val="Sch2"/>
        <w:numPr>
          <w:ilvl w:val="3"/>
          <w:numId w:val="56"/>
        </w:numPr>
      </w:pPr>
      <w:proofErr w:type="spellStart"/>
      <w:r>
        <w:rPr>
          <w:rFonts w:eastAsia="Verdana"/>
        </w:rPr>
        <w:t>Netlink</w:t>
      </w:r>
      <w:proofErr w:type="spellEnd"/>
      <w:r>
        <w:rPr>
          <w:rFonts w:eastAsia="Verdana"/>
        </w:rPr>
        <w:t xml:space="preserve"> Star</w:t>
      </w:r>
      <w:r w:rsidR="00C1793C" w:rsidRPr="002C5218">
        <w:rPr>
          <w:rFonts w:eastAsia="Verdana"/>
        </w:rPr>
        <w:t xml:space="preserve"> and the Supplier acknowledge that </w:t>
      </w:r>
      <w:r w:rsidR="00C1793C">
        <w:rPr>
          <w:rFonts w:eastAsia="Verdana"/>
        </w:rPr>
        <w:t xml:space="preserve">at any point </w:t>
      </w:r>
      <w:r w:rsidR="00C1793C" w:rsidRPr="002C5218">
        <w:rPr>
          <w:rFonts w:eastAsia="Verdana"/>
        </w:rPr>
        <w:t xml:space="preserve">vulnerabilities in the </w:t>
      </w:r>
      <w:r w:rsidR="00C1793C" w:rsidRPr="00303DF1">
        <w:rPr>
          <w:rFonts w:eastAsia="Verdana"/>
        </w:rPr>
        <w:t>IT Environment</w:t>
      </w:r>
      <w:r w:rsidR="00C1793C" w:rsidRPr="002C5218">
        <w:rPr>
          <w:rFonts w:eastAsia="Verdana"/>
        </w:rPr>
        <w:t xml:space="preserve"> will be discovered which unless mitigated will present an unacceptable risk to </w:t>
      </w:r>
      <w:proofErr w:type="spellStart"/>
      <w:r>
        <w:rPr>
          <w:rFonts w:eastAsia="Verdana"/>
        </w:rPr>
        <w:t>Netlink</w:t>
      </w:r>
      <w:proofErr w:type="spellEnd"/>
      <w:r>
        <w:rPr>
          <w:rFonts w:eastAsia="Verdana"/>
        </w:rPr>
        <w:t xml:space="preserve"> Star</w:t>
      </w:r>
      <w:r w:rsidR="00C1793C" w:rsidRPr="002C5218">
        <w:rPr>
          <w:rFonts w:eastAsia="Verdana"/>
        </w:rPr>
        <w:t xml:space="preserve">’s information. </w:t>
      </w:r>
    </w:p>
    <w:p w14:paraId="7264F33A" w14:textId="4730FB33" w:rsidR="00C1793C" w:rsidRPr="002C5218" w:rsidRDefault="00C1793C" w:rsidP="009D675B">
      <w:pPr>
        <w:pStyle w:val="Sch2"/>
        <w:numPr>
          <w:ilvl w:val="3"/>
          <w:numId w:val="56"/>
        </w:numPr>
      </w:pPr>
      <w:r w:rsidRPr="002C5218">
        <w:rPr>
          <w:rFonts w:eastAsia="Verdana"/>
        </w:rPr>
        <w:t xml:space="preserve">The severity of threat vulnerabilities for Supplier COTS Software and </w:t>
      </w:r>
      <w:proofErr w:type="gramStart"/>
      <w:r w:rsidRPr="002C5218">
        <w:rPr>
          <w:rFonts w:eastAsia="Verdana"/>
        </w:rPr>
        <w:t>Third Party</w:t>
      </w:r>
      <w:proofErr w:type="gramEnd"/>
      <w:r w:rsidRPr="002C5218">
        <w:rPr>
          <w:rFonts w:eastAsia="Verdana"/>
        </w:rPr>
        <w:t xml:space="preserve"> COTS Software shall be categorised by the Supplier as ‘Critical’, ‘Important’ and ‘Other’ by aligning these categories to the </w:t>
      </w:r>
      <w:r w:rsidRPr="00C071FA">
        <w:rPr>
          <w:rFonts w:eastAsia="Verdana"/>
        </w:rPr>
        <w:t xml:space="preserve">vulnerability scoring according to the agreed method </w:t>
      </w:r>
      <w:r w:rsidRPr="00D40F28">
        <w:rPr>
          <w:rFonts w:eastAsia="Verdana"/>
        </w:rPr>
        <w:t xml:space="preserve">in the </w:t>
      </w:r>
      <w:r w:rsidR="00A67920">
        <w:rPr>
          <w:rFonts w:eastAsia="Verdana"/>
        </w:rPr>
        <w:t>Security Management Plan</w:t>
      </w:r>
      <w:r w:rsidR="00A67920" w:rsidRPr="00D40F28" w:rsidDel="00A67920">
        <w:rPr>
          <w:rFonts w:eastAsia="Verdana"/>
        </w:rPr>
        <w:t xml:space="preserve"> </w:t>
      </w:r>
      <w:r>
        <w:rPr>
          <w:rFonts w:eastAsia="Verdana"/>
        </w:rPr>
        <w:t xml:space="preserve">(which must always align to any </w:t>
      </w:r>
      <w:proofErr w:type="spellStart"/>
      <w:r w:rsidR="001F1C19">
        <w:rPr>
          <w:rFonts w:eastAsia="Verdana"/>
        </w:rPr>
        <w:t>Netlink</w:t>
      </w:r>
      <w:proofErr w:type="spellEnd"/>
      <w:r w:rsidR="001F1C19">
        <w:rPr>
          <w:rFonts w:eastAsia="Verdana"/>
        </w:rPr>
        <w:t xml:space="preserve"> Star</w:t>
      </w:r>
      <w:r>
        <w:rPr>
          <w:rFonts w:eastAsia="Verdana"/>
        </w:rPr>
        <w:t xml:space="preserve"> vulnerability management process)</w:t>
      </w:r>
      <w:r w:rsidRPr="002C5218">
        <w:rPr>
          <w:rFonts w:eastAsia="Verdana"/>
        </w:rPr>
        <w:t xml:space="preserve"> and using the appropriate vulnerability scoring systems including</w:t>
      </w:r>
      <w:r>
        <w:rPr>
          <w:rFonts w:eastAsia="Verdana"/>
        </w:rPr>
        <w:t>:</w:t>
      </w:r>
      <w:r w:rsidRPr="002C5218">
        <w:rPr>
          <w:rFonts w:eastAsia="Verdana"/>
        </w:rPr>
        <w:t xml:space="preserve"> </w:t>
      </w:r>
    </w:p>
    <w:p w14:paraId="25D3E64B" w14:textId="77777777" w:rsidR="00C1793C" w:rsidRPr="002C5218" w:rsidRDefault="00C1793C" w:rsidP="009D675B">
      <w:pPr>
        <w:pStyle w:val="Sch3"/>
        <w:numPr>
          <w:ilvl w:val="4"/>
          <w:numId w:val="56"/>
        </w:numPr>
      </w:pPr>
      <w:r w:rsidRPr="002C5218">
        <w:rPr>
          <w:rFonts w:eastAsia="Verdana"/>
        </w:rPr>
        <w:t xml:space="preserve">the ‘National Vulnerability Database’ ‘Vulnerability Severity Ratings’: ‘High’, ‘Medium’ and ‘Low’ respectively (these in turn are aligned to CVSS scores as set out by NIST http://nvd.nist.gov/cvss.cfm); and </w:t>
      </w:r>
    </w:p>
    <w:p w14:paraId="4D368637" w14:textId="77777777" w:rsidR="00C1793C" w:rsidRPr="002C5218" w:rsidRDefault="00C1793C" w:rsidP="009D675B">
      <w:pPr>
        <w:pStyle w:val="Sch3"/>
        <w:numPr>
          <w:ilvl w:val="4"/>
          <w:numId w:val="56"/>
        </w:numPr>
      </w:pPr>
      <w:r w:rsidRPr="002C5218">
        <w:rPr>
          <w:rFonts w:eastAsia="Verdana"/>
        </w:rPr>
        <w:t xml:space="preserve">Microsoft’s ‘Security Bulletin Severity Rating System’ ratings ‘Critical’, ‘Important’, and the two remaining levels (‘Moderate’ and ‘Low’) respectively. </w:t>
      </w:r>
    </w:p>
    <w:p w14:paraId="3FC7C3F2" w14:textId="56A8FAB3" w:rsidR="00C1793C" w:rsidRPr="00B15047" w:rsidRDefault="00C1793C" w:rsidP="009D675B">
      <w:pPr>
        <w:pStyle w:val="Sch2"/>
        <w:numPr>
          <w:ilvl w:val="3"/>
          <w:numId w:val="56"/>
        </w:numPr>
      </w:pPr>
      <w:bookmarkStart w:id="1713" w:name="_Ref76054149"/>
      <w:r w:rsidRPr="00B15047">
        <w:rPr>
          <w:rFonts w:eastAsia="Verdana"/>
        </w:rPr>
        <w:t xml:space="preserve">The Supplier shall </w:t>
      </w:r>
      <w:r>
        <w:rPr>
          <w:rFonts w:eastAsia="Verdana"/>
        </w:rPr>
        <w:t xml:space="preserve">implement </w:t>
      </w:r>
      <w:r w:rsidRPr="00B15047">
        <w:rPr>
          <w:rFonts w:eastAsia="Verdana"/>
        </w:rPr>
        <w:t xml:space="preserve">the application of security patches to vulnerabilities within a maximum period from the public release of such patches with those vulnerabilities categorised as ‘Critical’ within </w:t>
      </w:r>
      <w:r>
        <w:rPr>
          <w:rFonts w:eastAsia="Verdana"/>
        </w:rPr>
        <w:t>two</w:t>
      </w:r>
      <w:r w:rsidRPr="00B15047">
        <w:rPr>
          <w:rFonts w:eastAsia="Verdana"/>
        </w:rPr>
        <w:t xml:space="preserve"> (</w:t>
      </w:r>
      <w:r>
        <w:rPr>
          <w:rFonts w:eastAsia="Verdana"/>
        </w:rPr>
        <w:t>2</w:t>
      </w:r>
      <w:r w:rsidRPr="00B15047">
        <w:rPr>
          <w:rFonts w:eastAsia="Verdana"/>
        </w:rPr>
        <w:t xml:space="preserve">) days of release, ‘Important’ </w:t>
      </w:r>
      <w:r>
        <w:rPr>
          <w:rFonts w:eastAsia="Verdana"/>
        </w:rPr>
        <w:t xml:space="preserve">or ‘High’ </w:t>
      </w:r>
      <w:r w:rsidRPr="00B15047">
        <w:rPr>
          <w:rFonts w:eastAsia="Verdana"/>
        </w:rPr>
        <w:t xml:space="preserve">within 30 days of release and all ‘Other’ </w:t>
      </w:r>
      <w:r>
        <w:rPr>
          <w:rFonts w:eastAsia="Verdana"/>
        </w:rPr>
        <w:t xml:space="preserve">(including ‘Medium’ and ‘Low’) </w:t>
      </w:r>
      <w:r w:rsidRPr="00B15047">
        <w:rPr>
          <w:rFonts w:eastAsia="Verdana"/>
        </w:rPr>
        <w:t>within 60 Working Days of release, except where:</w:t>
      </w:r>
      <w:bookmarkEnd w:id="1713"/>
      <w:r w:rsidRPr="00B15047">
        <w:rPr>
          <w:rFonts w:eastAsia="Verdana"/>
        </w:rPr>
        <w:t xml:space="preserve"> </w:t>
      </w:r>
    </w:p>
    <w:p w14:paraId="6DB4FE31" w14:textId="77777777" w:rsidR="00C1793C" w:rsidRPr="00B15047" w:rsidRDefault="00C1793C" w:rsidP="009D675B">
      <w:pPr>
        <w:pStyle w:val="Sch3"/>
        <w:numPr>
          <w:ilvl w:val="4"/>
          <w:numId w:val="56"/>
        </w:numPr>
      </w:pPr>
      <w:r w:rsidRPr="00B15047">
        <w:rPr>
          <w:rFonts w:eastAsia="Verdana"/>
        </w:rPr>
        <w:t xml:space="preserve">the Supplier can </w:t>
      </w:r>
      <w:r>
        <w:rPr>
          <w:rFonts w:eastAsia="Verdana"/>
        </w:rPr>
        <w:t xml:space="preserve">objectively </w:t>
      </w:r>
      <w:r w:rsidRPr="00B15047">
        <w:rPr>
          <w:rFonts w:eastAsia="Verdana"/>
        </w:rPr>
        <w:t xml:space="preserve">demonstrate </w:t>
      </w:r>
      <w:r>
        <w:rPr>
          <w:rFonts w:eastAsia="Verdana"/>
        </w:rPr>
        <w:t xml:space="preserve">on an ongoing basis </w:t>
      </w:r>
      <w:r w:rsidRPr="00B15047">
        <w:rPr>
          <w:rFonts w:eastAsia="Verdana"/>
        </w:rPr>
        <w:t>that a vulnerability is not exploitable within the context of any Service (</w:t>
      </w:r>
      <w:proofErr w:type="gramStart"/>
      <w:r w:rsidRPr="00B15047">
        <w:rPr>
          <w:rFonts w:eastAsia="Verdana"/>
        </w:rPr>
        <w:t>e.g.</w:t>
      </w:r>
      <w:proofErr w:type="gramEnd"/>
      <w:r w:rsidRPr="00B15047">
        <w:rPr>
          <w:rFonts w:eastAsia="Verdana"/>
        </w:rPr>
        <w:t xml:space="preserve"> because it resides in a software component which is not running in the service) provided vulnerabilities which the Supplier asserts cannot be exploited within the context of a Service must be remedied by the Supplier within the above timescales if the vulnerability becomes exploitable within the context of the Service; </w:t>
      </w:r>
    </w:p>
    <w:p w14:paraId="5388917D" w14:textId="3D21B143" w:rsidR="00C1793C" w:rsidRPr="00B15047" w:rsidRDefault="00C1793C" w:rsidP="009D675B">
      <w:pPr>
        <w:pStyle w:val="Sch3"/>
        <w:numPr>
          <w:ilvl w:val="4"/>
          <w:numId w:val="56"/>
        </w:numPr>
      </w:pPr>
      <w:r w:rsidRPr="00B15047">
        <w:rPr>
          <w:rFonts w:eastAsia="Verdana"/>
        </w:rPr>
        <w:t xml:space="preserve">the application of a ‘Critical’ or ‘Important’ security patch </w:t>
      </w:r>
      <w:r>
        <w:rPr>
          <w:rFonts w:eastAsia="Verdana"/>
        </w:rPr>
        <w:t xml:space="preserve">significantly </w:t>
      </w:r>
      <w:r w:rsidRPr="00B15047">
        <w:rPr>
          <w:rFonts w:eastAsia="Verdana"/>
        </w:rPr>
        <w:t xml:space="preserve">adversely affects the Supplier’s ability to deliver the Services in which case the Supplier shall be granted an extension to such timescales of five (5) days, provided the Supplier had followed and continues to follow the security patch test plan agreed with </w:t>
      </w:r>
      <w:proofErr w:type="spellStart"/>
      <w:r w:rsidR="001F1C19">
        <w:rPr>
          <w:rFonts w:eastAsia="Verdana"/>
        </w:rPr>
        <w:t>Netlink</w:t>
      </w:r>
      <w:proofErr w:type="spellEnd"/>
      <w:r w:rsidR="001F1C19">
        <w:rPr>
          <w:rFonts w:eastAsia="Verdana"/>
        </w:rPr>
        <w:t xml:space="preserve"> </w:t>
      </w:r>
      <w:proofErr w:type="gramStart"/>
      <w:r w:rsidR="001F1C19">
        <w:rPr>
          <w:rFonts w:eastAsia="Verdana"/>
        </w:rPr>
        <w:t>Star</w:t>
      </w:r>
      <w:r w:rsidRPr="00B15047">
        <w:rPr>
          <w:rFonts w:eastAsia="Verdana"/>
        </w:rPr>
        <w:t>;</w:t>
      </w:r>
      <w:proofErr w:type="gramEnd"/>
      <w:r w:rsidRPr="00B15047">
        <w:rPr>
          <w:rFonts w:eastAsia="Verdana"/>
        </w:rPr>
        <w:t xml:space="preserve">  </w:t>
      </w:r>
    </w:p>
    <w:p w14:paraId="394253A2" w14:textId="509A3A18" w:rsidR="00C1793C" w:rsidRPr="00152703" w:rsidRDefault="001F1C19" w:rsidP="009D675B">
      <w:pPr>
        <w:pStyle w:val="Sch3"/>
        <w:numPr>
          <w:ilvl w:val="4"/>
          <w:numId w:val="56"/>
        </w:numPr>
      </w:pPr>
      <w:proofErr w:type="spellStart"/>
      <w:r>
        <w:rPr>
          <w:rFonts w:eastAsia="Verdana"/>
        </w:rPr>
        <w:t>Netlink</w:t>
      </w:r>
      <w:proofErr w:type="spellEnd"/>
      <w:r>
        <w:rPr>
          <w:rFonts w:eastAsia="Verdana"/>
        </w:rPr>
        <w:t xml:space="preserve"> Star</w:t>
      </w:r>
      <w:r w:rsidR="00C1793C" w:rsidRPr="00B15047">
        <w:rPr>
          <w:rFonts w:eastAsia="Verdana"/>
        </w:rPr>
        <w:t xml:space="preserve"> agrees a different maximum period after a case-by-case consultation with the Supplier under the processes defined in the </w:t>
      </w:r>
      <w:r w:rsidR="00A67920">
        <w:rPr>
          <w:rFonts w:eastAsia="Verdana"/>
        </w:rPr>
        <w:t>Security Management Plan</w:t>
      </w:r>
      <w:r w:rsidR="00C1793C">
        <w:rPr>
          <w:rFonts w:eastAsia="Verdana"/>
        </w:rPr>
        <w:t>; or</w:t>
      </w:r>
    </w:p>
    <w:p w14:paraId="408F44EB" w14:textId="4F4158FB" w:rsidR="00C1793C" w:rsidRPr="00B15047" w:rsidRDefault="00C1793C" w:rsidP="009D675B">
      <w:pPr>
        <w:pStyle w:val="Sch3"/>
        <w:numPr>
          <w:ilvl w:val="4"/>
          <w:numId w:val="56"/>
        </w:numPr>
      </w:pPr>
      <w:r>
        <w:rPr>
          <w:rFonts w:eastAsia="Verdana"/>
        </w:rPr>
        <w:t xml:space="preserve">either Party advises that it is not possible to implement a security patch (and evidences the same and raises a risk alert to </w:t>
      </w:r>
      <w:proofErr w:type="spellStart"/>
      <w:r w:rsidR="001F1C19">
        <w:rPr>
          <w:rFonts w:eastAsia="Verdana"/>
        </w:rPr>
        <w:t>Netlink</w:t>
      </w:r>
      <w:proofErr w:type="spellEnd"/>
      <w:r w:rsidR="001F1C19">
        <w:rPr>
          <w:rFonts w:eastAsia="Verdana"/>
        </w:rPr>
        <w:t xml:space="preserve"> Star</w:t>
      </w:r>
      <w:r>
        <w:rPr>
          <w:rFonts w:eastAsia="Verdana"/>
        </w:rPr>
        <w:t xml:space="preserve">) and </w:t>
      </w:r>
      <w:proofErr w:type="spellStart"/>
      <w:r w:rsidR="001F1C19">
        <w:rPr>
          <w:rFonts w:eastAsia="Verdana"/>
        </w:rPr>
        <w:t>Netlink</w:t>
      </w:r>
      <w:proofErr w:type="spellEnd"/>
      <w:r w:rsidR="001F1C19">
        <w:rPr>
          <w:rFonts w:eastAsia="Verdana"/>
        </w:rPr>
        <w:t xml:space="preserve"> Star</w:t>
      </w:r>
      <w:r>
        <w:rPr>
          <w:rFonts w:eastAsia="Verdana"/>
        </w:rPr>
        <w:t xml:space="preserve"> agrees that this is the case, in which case the Parties shall work together to promptly (and in any case within the same timeframes for patching in Paragraph 9.3 above) find an alternative security mitigation to such vulnerability</w:t>
      </w:r>
      <w:r w:rsidRPr="00B15047">
        <w:rPr>
          <w:rFonts w:eastAsia="Verdana"/>
        </w:rPr>
        <w:t xml:space="preserve">. </w:t>
      </w:r>
    </w:p>
    <w:p w14:paraId="5353C7C2" w14:textId="18FF69A1" w:rsidR="00C1793C" w:rsidRPr="00B15047" w:rsidRDefault="00C1793C" w:rsidP="009D675B">
      <w:pPr>
        <w:pStyle w:val="Sch2"/>
        <w:numPr>
          <w:ilvl w:val="3"/>
          <w:numId w:val="56"/>
        </w:numPr>
      </w:pPr>
      <w:r w:rsidRPr="00B15047">
        <w:rPr>
          <w:rFonts w:eastAsia="Verdana"/>
        </w:rPr>
        <w:t xml:space="preserve">The Supplier Solution and Implementation Plan shall include provisions for major version upgrades of all </w:t>
      </w:r>
      <w:proofErr w:type="spellStart"/>
      <w:r w:rsidR="001F1C19">
        <w:rPr>
          <w:rFonts w:eastAsia="Verdana"/>
        </w:rPr>
        <w:t>Netlink</w:t>
      </w:r>
      <w:proofErr w:type="spellEnd"/>
      <w:r w:rsidR="001F1C19">
        <w:rPr>
          <w:rFonts w:eastAsia="Verdana"/>
        </w:rPr>
        <w:t xml:space="preserve"> Star</w:t>
      </w:r>
      <w:r>
        <w:rPr>
          <w:rFonts w:eastAsia="Verdana"/>
        </w:rPr>
        <w:t xml:space="preserve"> </w:t>
      </w:r>
      <w:r w:rsidRPr="00B15047">
        <w:rPr>
          <w:rFonts w:eastAsia="Verdana"/>
        </w:rPr>
        <w:t xml:space="preserve">Software to be upgraded within six (6) months of the release of the latest version, such that it is no more than one (1) major version level below the latest release (normally codified as running software no older than the ‘n-1 version’) throughout the Term unless: </w:t>
      </w:r>
    </w:p>
    <w:p w14:paraId="502335E4" w14:textId="1984142A" w:rsidR="00C1793C" w:rsidRPr="00B15047" w:rsidRDefault="00C1793C" w:rsidP="009D675B">
      <w:pPr>
        <w:pStyle w:val="Sch3"/>
        <w:numPr>
          <w:ilvl w:val="4"/>
          <w:numId w:val="56"/>
        </w:numPr>
      </w:pPr>
      <w:r w:rsidRPr="00B15047">
        <w:rPr>
          <w:rFonts w:eastAsia="Verdana"/>
        </w:rPr>
        <w:lastRenderedPageBreak/>
        <w:t xml:space="preserve">where upgrading such </w:t>
      </w:r>
      <w:proofErr w:type="spellStart"/>
      <w:r w:rsidR="001F1C19">
        <w:rPr>
          <w:rFonts w:eastAsia="Verdana"/>
        </w:rPr>
        <w:t>Netlink</w:t>
      </w:r>
      <w:proofErr w:type="spellEnd"/>
      <w:r w:rsidR="001F1C19">
        <w:rPr>
          <w:rFonts w:eastAsia="Verdana"/>
        </w:rPr>
        <w:t xml:space="preserve"> Star</w:t>
      </w:r>
      <w:r>
        <w:rPr>
          <w:rFonts w:eastAsia="Verdana"/>
        </w:rPr>
        <w:t xml:space="preserve"> </w:t>
      </w:r>
      <w:r w:rsidRPr="00B15047">
        <w:rPr>
          <w:rFonts w:eastAsia="Verdana"/>
        </w:rPr>
        <w:t xml:space="preserve">Software reduces the level of mitigations for known threats, </w:t>
      </w:r>
      <w:proofErr w:type="gramStart"/>
      <w:r w:rsidRPr="00B15047">
        <w:rPr>
          <w:rFonts w:eastAsia="Verdana"/>
        </w:rPr>
        <w:t>vulnerabilities</w:t>
      </w:r>
      <w:proofErr w:type="gramEnd"/>
      <w:r w:rsidRPr="00B15047">
        <w:rPr>
          <w:rFonts w:eastAsia="Verdana"/>
        </w:rPr>
        <w:t xml:space="preserve"> or exploitation techniques, provided always that such upgrade is made within 12 months of release of the latest version; or </w:t>
      </w:r>
    </w:p>
    <w:p w14:paraId="71D7528D" w14:textId="7B065E74" w:rsidR="00C1793C" w:rsidRPr="00B15047" w:rsidRDefault="00C1793C" w:rsidP="009D675B">
      <w:pPr>
        <w:pStyle w:val="Sch3"/>
        <w:numPr>
          <w:ilvl w:val="4"/>
          <w:numId w:val="56"/>
        </w:numPr>
      </w:pPr>
      <w:r w:rsidRPr="00B15047">
        <w:rPr>
          <w:rFonts w:eastAsia="Verdana"/>
        </w:rPr>
        <w:t xml:space="preserve">is agreed with </w:t>
      </w:r>
      <w:proofErr w:type="spellStart"/>
      <w:r w:rsidR="001F1C19">
        <w:rPr>
          <w:rFonts w:eastAsia="Verdana"/>
        </w:rPr>
        <w:t>Netlink</w:t>
      </w:r>
      <w:proofErr w:type="spellEnd"/>
      <w:r w:rsidR="001F1C19">
        <w:rPr>
          <w:rFonts w:eastAsia="Verdana"/>
        </w:rPr>
        <w:t xml:space="preserve"> Star</w:t>
      </w:r>
      <w:r w:rsidRPr="00B15047">
        <w:rPr>
          <w:rFonts w:eastAsia="Verdana"/>
        </w:rPr>
        <w:t xml:space="preserve"> in writing. </w:t>
      </w:r>
    </w:p>
    <w:p w14:paraId="6C86EC8C" w14:textId="4DF1B273" w:rsidR="00C1793C" w:rsidRPr="002C5218" w:rsidRDefault="00C1793C" w:rsidP="009D675B">
      <w:pPr>
        <w:pStyle w:val="Sch2"/>
        <w:numPr>
          <w:ilvl w:val="3"/>
          <w:numId w:val="56"/>
        </w:numPr>
      </w:pPr>
      <w:r w:rsidRPr="002C5218">
        <w:rPr>
          <w:rFonts w:eastAsia="Verdana"/>
        </w:rPr>
        <w:t xml:space="preserve">The Supplier shall: </w:t>
      </w:r>
    </w:p>
    <w:p w14:paraId="0F2DA47C" w14:textId="3E62881E" w:rsidR="00C1793C" w:rsidRPr="002C5218" w:rsidRDefault="00C1793C" w:rsidP="009D675B">
      <w:pPr>
        <w:pStyle w:val="Sch3"/>
        <w:numPr>
          <w:ilvl w:val="4"/>
          <w:numId w:val="56"/>
        </w:numPr>
      </w:pPr>
      <w:r w:rsidRPr="002C5218">
        <w:rPr>
          <w:rFonts w:eastAsia="Verdana"/>
        </w:rPr>
        <w:t xml:space="preserve">implement a mechanism </w:t>
      </w:r>
      <w:r>
        <w:rPr>
          <w:rFonts w:eastAsia="Verdana"/>
        </w:rPr>
        <w:t xml:space="preserve">involving the SOC NR </w:t>
      </w:r>
      <w:r w:rsidRPr="002C5218">
        <w:rPr>
          <w:rFonts w:eastAsia="Verdana"/>
        </w:rPr>
        <w:t xml:space="preserve">for receiving, analysing and acting upon threat information supplied by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or the NCSC, or any other competent Central Government </w:t>
      </w:r>
      <w:proofErr w:type="gramStart"/>
      <w:r w:rsidRPr="002C5218">
        <w:rPr>
          <w:rFonts w:eastAsia="Verdana"/>
        </w:rPr>
        <w:t>Body;</w:t>
      </w:r>
      <w:proofErr w:type="gramEnd"/>
      <w:r w:rsidRPr="002C5218">
        <w:rPr>
          <w:rFonts w:eastAsia="Verdana"/>
        </w:rPr>
        <w:t xml:space="preserve"> </w:t>
      </w:r>
    </w:p>
    <w:p w14:paraId="650BD2A1" w14:textId="77777777" w:rsidR="00C1793C" w:rsidRPr="00303DF1" w:rsidRDefault="00C1793C" w:rsidP="009D675B">
      <w:pPr>
        <w:pStyle w:val="Sch3"/>
        <w:numPr>
          <w:ilvl w:val="4"/>
          <w:numId w:val="56"/>
        </w:numPr>
      </w:pPr>
      <w:r w:rsidRPr="00303DF1">
        <w:rPr>
          <w:rFonts w:eastAsia="Verdana"/>
        </w:rPr>
        <w:t xml:space="preserve">ensure that the IT Environment (to the extent that the IT Environment is within the control of the Supplier) is monitored to facilitate the detection of anomalous behaviour that would be indicative of system </w:t>
      </w:r>
      <w:proofErr w:type="gramStart"/>
      <w:r w:rsidRPr="00303DF1">
        <w:rPr>
          <w:rFonts w:eastAsia="Verdana"/>
        </w:rPr>
        <w:t>compromise;</w:t>
      </w:r>
      <w:proofErr w:type="gramEnd"/>
      <w:r w:rsidRPr="00303DF1">
        <w:rPr>
          <w:rFonts w:eastAsia="Verdana"/>
        </w:rPr>
        <w:t xml:space="preserve"> </w:t>
      </w:r>
    </w:p>
    <w:p w14:paraId="119C636D" w14:textId="77777777" w:rsidR="00C1793C" w:rsidRPr="002C5218" w:rsidRDefault="00C1793C" w:rsidP="009D675B">
      <w:pPr>
        <w:pStyle w:val="Sch3"/>
        <w:numPr>
          <w:ilvl w:val="4"/>
          <w:numId w:val="56"/>
        </w:numPr>
      </w:pPr>
      <w:r w:rsidRPr="002C5218">
        <w:rPr>
          <w:rFonts w:eastAsia="Verdana"/>
        </w:rPr>
        <w:t xml:space="preserve">ensure it is knowledgeable about the latest trends in threat, vulnerability and exploitation that are relevant to the IT Environment by actively monitoring the threat landscape during the </w:t>
      </w:r>
      <w:proofErr w:type="gramStart"/>
      <w:r w:rsidRPr="002C5218">
        <w:rPr>
          <w:rFonts w:eastAsia="Verdana"/>
        </w:rPr>
        <w:t>Term;</w:t>
      </w:r>
      <w:proofErr w:type="gramEnd"/>
      <w:r w:rsidRPr="002C5218">
        <w:rPr>
          <w:rFonts w:eastAsia="Verdana"/>
        </w:rPr>
        <w:t xml:space="preserve"> </w:t>
      </w:r>
    </w:p>
    <w:p w14:paraId="379F0685" w14:textId="77777777" w:rsidR="00C1793C" w:rsidRPr="00303DF1" w:rsidRDefault="00C1793C" w:rsidP="009D675B">
      <w:pPr>
        <w:pStyle w:val="Sch3"/>
        <w:numPr>
          <w:ilvl w:val="4"/>
          <w:numId w:val="56"/>
        </w:numPr>
      </w:pPr>
      <w:r w:rsidRPr="00303DF1">
        <w:rPr>
          <w:rFonts w:eastAsia="Verdana"/>
        </w:rPr>
        <w:t xml:space="preserve">pro-actively scan the IT Environment (to the extent that the IT Environment is within the control of the Supplier) for vulnerable components and </w:t>
      </w:r>
      <w:proofErr w:type="gramStart"/>
      <w:r w:rsidRPr="00303DF1">
        <w:rPr>
          <w:rFonts w:eastAsia="Verdana"/>
        </w:rPr>
        <w:t>addresses</w:t>
      </w:r>
      <w:proofErr w:type="gramEnd"/>
      <w:r w:rsidRPr="00303DF1">
        <w:rPr>
          <w:rFonts w:eastAsia="Verdana"/>
        </w:rPr>
        <w:t xml:space="preserve"> </w:t>
      </w:r>
    </w:p>
    <w:p w14:paraId="6AC9DF73" w14:textId="6DA850E8" w:rsidR="00C1793C" w:rsidRPr="00303DF1" w:rsidRDefault="00C1793C" w:rsidP="009D675B">
      <w:pPr>
        <w:pStyle w:val="Sch3"/>
        <w:numPr>
          <w:ilvl w:val="4"/>
          <w:numId w:val="56"/>
        </w:numPr>
      </w:pPr>
      <w:r w:rsidRPr="00303DF1">
        <w:rPr>
          <w:rFonts w:eastAsia="Verdana"/>
        </w:rPr>
        <w:t>discover</w:t>
      </w:r>
      <w:r w:rsidR="00A9780B">
        <w:rPr>
          <w:rFonts w:eastAsia="Verdana"/>
        </w:rPr>
        <w:t>ing</w:t>
      </w:r>
      <w:r w:rsidRPr="00303DF1">
        <w:rPr>
          <w:rFonts w:eastAsia="Verdana"/>
        </w:rPr>
        <w:t xml:space="preserve"> </w:t>
      </w:r>
      <w:proofErr w:type="gramStart"/>
      <w:r w:rsidRPr="00303DF1">
        <w:rPr>
          <w:rFonts w:eastAsia="Verdana"/>
        </w:rPr>
        <w:t>vulnerabilities;</w:t>
      </w:r>
      <w:proofErr w:type="gramEnd"/>
      <w:r w:rsidRPr="00303DF1">
        <w:rPr>
          <w:rFonts w:eastAsia="Verdana"/>
        </w:rPr>
        <w:t xml:space="preserve"> </w:t>
      </w:r>
    </w:p>
    <w:p w14:paraId="5D8E3563" w14:textId="7F41B4B5" w:rsidR="00C1793C" w:rsidRPr="002C5218" w:rsidRDefault="00C1793C" w:rsidP="009D675B">
      <w:pPr>
        <w:pStyle w:val="Sch3"/>
        <w:numPr>
          <w:ilvl w:val="4"/>
          <w:numId w:val="56"/>
        </w:numPr>
      </w:pPr>
      <w:r w:rsidRPr="002C5218">
        <w:rPr>
          <w:rFonts w:eastAsia="Verdana"/>
        </w:rPr>
        <w:t xml:space="preserve">from the date specified in the Security Management Plan (and before the first Operational Service Commencement Date) provide a report to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within five (5) Working Days of the end of each month detailing both patched and outstanding vulnerabilities in the </w:t>
      </w:r>
      <w:proofErr w:type="spellStart"/>
      <w:r w:rsidR="001F1C19">
        <w:rPr>
          <w:rFonts w:eastAsia="Verdana"/>
        </w:rPr>
        <w:t>Netlink</w:t>
      </w:r>
      <w:proofErr w:type="spellEnd"/>
      <w:r w:rsidR="001F1C19">
        <w:rPr>
          <w:rFonts w:eastAsia="Verdana"/>
        </w:rPr>
        <w:t xml:space="preserve"> Star</w:t>
      </w:r>
      <w:r>
        <w:rPr>
          <w:rFonts w:eastAsia="Verdana"/>
        </w:rPr>
        <w:t xml:space="preserve"> System</w:t>
      </w:r>
      <w:r w:rsidRPr="002C5218">
        <w:rPr>
          <w:rFonts w:eastAsia="Verdana"/>
        </w:rPr>
        <w:t xml:space="preserve"> (to the extent that the </w:t>
      </w:r>
      <w:proofErr w:type="spellStart"/>
      <w:r w:rsidR="001F1C19">
        <w:rPr>
          <w:rFonts w:eastAsia="Verdana"/>
        </w:rPr>
        <w:t>Netlink</w:t>
      </w:r>
      <w:proofErr w:type="spellEnd"/>
      <w:r w:rsidR="001F1C19">
        <w:rPr>
          <w:rFonts w:eastAsia="Verdana"/>
        </w:rPr>
        <w:t xml:space="preserve"> Star</w:t>
      </w:r>
      <w:r>
        <w:rPr>
          <w:rFonts w:eastAsia="Verdana"/>
        </w:rPr>
        <w:t xml:space="preserve"> System</w:t>
      </w:r>
      <w:r w:rsidRPr="002C5218">
        <w:rPr>
          <w:rFonts w:eastAsia="Verdana"/>
        </w:rPr>
        <w:t xml:space="preserve"> is within the control of the Supplier) and any elapsed time between the public release date of patches and either time of application or for outstanding vulnerabilities the time of issue of such report; </w:t>
      </w:r>
    </w:p>
    <w:p w14:paraId="33A3057C" w14:textId="77777777" w:rsidR="00C1793C" w:rsidRPr="002C5218" w:rsidRDefault="00C1793C" w:rsidP="009D675B">
      <w:pPr>
        <w:pStyle w:val="Sch3"/>
        <w:numPr>
          <w:ilvl w:val="4"/>
          <w:numId w:val="56"/>
        </w:numPr>
      </w:pPr>
      <w:r w:rsidRPr="002C5218">
        <w:rPr>
          <w:rFonts w:eastAsia="Verdana"/>
        </w:rPr>
        <w:t>propose interim mitigation measures to vulnerabilities in the</w:t>
      </w:r>
      <w:r>
        <w:rPr>
          <w:rFonts w:eastAsia="Verdana"/>
        </w:rPr>
        <w:t xml:space="preserve"> IT</w:t>
      </w:r>
      <w:r w:rsidRPr="002C5218">
        <w:rPr>
          <w:rFonts w:eastAsia="Verdana"/>
        </w:rPr>
        <w:t xml:space="preserve"> Environment known to be exploitable where a security patch is not immediately available</w:t>
      </w:r>
      <w:r>
        <w:rPr>
          <w:rFonts w:eastAsia="Verdana"/>
        </w:rPr>
        <w:t xml:space="preserve"> and work with the SOC NR to establish the best interim mitigation </w:t>
      </w:r>
      <w:proofErr w:type="gramStart"/>
      <w:r>
        <w:rPr>
          <w:rFonts w:eastAsia="Verdana"/>
        </w:rPr>
        <w:t>measures</w:t>
      </w:r>
      <w:r w:rsidRPr="002C5218">
        <w:rPr>
          <w:rFonts w:eastAsia="Verdana"/>
        </w:rPr>
        <w:t>;</w:t>
      </w:r>
      <w:proofErr w:type="gramEnd"/>
      <w:r w:rsidRPr="002C5218">
        <w:rPr>
          <w:rFonts w:eastAsia="Verdana"/>
        </w:rPr>
        <w:t xml:space="preserve"> </w:t>
      </w:r>
    </w:p>
    <w:p w14:paraId="10163CD1" w14:textId="77777777" w:rsidR="00C1793C" w:rsidRPr="002C5218" w:rsidRDefault="00C1793C" w:rsidP="009D675B">
      <w:pPr>
        <w:pStyle w:val="Sch3"/>
        <w:numPr>
          <w:ilvl w:val="4"/>
          <w:numId w:val="56"/>
        </w:numPr>
      </w:pPr>
      <w:r w:rsidRPr="002C5218">
        <w:rPr>
          <w:rFonts w:eastAsia="Verdana"/>
        </w:rPr>
        <w:t>remove or disable any extraneous interfaces, services or capabilities that are not needed for the provision of the Services (</w:t>
      </w:r>
      <w:proofErr w:type="gramStart"/>
      <w:r w:rsidRPr="002C5218">
        <w:rPr>
          <w:rFonts w:eastAsia="Verdana"/>
        </w:rPr>
        <w:t>in order to</w:t>
      </w:r>
      <w:proofErr w:type="gramEnd"/>
      <w:r w:rsidRPr="002C5218">
        <w:rPr>
          <w:rFonts w:eastAsia="Verdana"/>
        </w:rPr>
        <w:t xml:space="preserve"> reduce the attack surface of the Supplier Solution and IT Environment); and </w:t>
      </w:r>
    </w:p>
    <w:p w14:paraId="4027DE70" w14:textId="16BE8070" w:rsidR="00C1793C" w:rsidRPr="002C5218" w:rsidRDefault="00C1793C" w:rsidP="009D675B">
      <w:pPr>
        <w:pStyle w:val="Sch3"/>
        <w:numPr>
          <w:ilvl w:val="4"/>
          <w:numId w:val="56"/>
        </w:numPr>
      </w:pPr>
      <w:r>
        <w:rPr>
          <w:rFonts w:eastAsia="Verdana"/>
        </w:rPr>
        <w:t xml:space="preserve">immediately </w:t>
      </w:r>
      <w:r w:rsidRPr="002C5218">
        <w:rPr>
          <w:rFonts w:eastAsia="Verdana"/>
        </w:rPr>
        <w:t xml:space="preserve">inform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when it becomes aware of any new threat, vulnerability or exploitation technique that has the potential to affect the security of the Environment and provide initial indications of possible mitigations. </w:t>
      </w:r>
    </w:p>
    <w:p w14:paraId="548D5796" w14:textId="255205C2" w:rsidR="00C1793C" w:rsidRPr="002C5218" w:rsidRDefault="00C1793C" w:rsidP="009D675B">
      <w:pPr>
        <w:pStyle w:val="Sch2"/>
        <w:numPr>
          <w:ilvl w:val="3"/>
          <w:numId w:val="56"/>
        </w:numPr>
      </w:pPr>
      <w:r w:rsidRPr="002C5218">
        <w:rPr>
          <w:rFonts w:eastAsia="Verdana"/>
        </w:rPr>
        <w:t xml:space="preserve">If the Supplier is unlikely to be able to mitigate the vulnerability within the timescales under </w:t>
      </w:r>
      <w:r w:rsidR="001E2B48" w:rsidRPr="002C5218">
        <w:rPr>
          <w:rFonts w:eastAsia="Verdana"/>
        </w:rPr>
        <w:t xml:space="preserve">Paragraph </w:t>
      </w:r>
      <w:r>
        <w:rPr>
          <w:rFonts w:eastAsia="Verdana"/>
        </w:rPr>
        <w:fldChar w:fldCharType="begin"/>
      </w:r>
      <w:r>
        <w:rPr>
          <w:rFonts w:eastAsia="Verdana"/>
        </w:rPr>
        <w:instrText xml:space="preserve"> REF _Ref76054139 \r \h </w:instrText>
      </w:r>
      <w:r>
        <w:rPr>
          <w:rFonts w:eastAsia="Verdana"/>
        </w:rPr>
      </w:r>
      <w:r>
        <w:rPr>
          <w:rFonts w:eastAsia="Verdana"/>
        </w:rPr>
        <w:fldChar w:fldCharType="separate"/>
      </w:r>
      <w:r>
        <w:rPr>
          <w:rFonts w:eastAsia="Verdana"/>
        </w:rPr>
        <w:t>9</w:t>
      </w:r>
      <w:r>
        <w:rPr>
          <w:rFonts w:eastAsia="Verdana"/>
        </w:rPr>
        <w:fldChar w:fldCharType="end"/>
      </w:r>
      <w:r w:rsidRPr="002C5218">
        <w:rPr>
          <w:rFonts w:eastAsia="Verdana"/>
        </w:rPr>
        <w:t xml:space="preserve">, the Supplier shall immediately notify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w:t>
      </w:r>
    </w:p>
    <w:p w14:paraId="4D65FAB8" w14:textId="6A5E39FC" w:rsidR="00C1793C" w:rsidRPr="002C5218" w:rsidRDefault="00C1793C" w:rsidP="009D675B">
      <w:pPr>
        <w:pStyle w:val="Sch2"/>
        <w:numPr>
          <w:ilvl w:val="3"/>
          <w:numId w:val="56"/>
        </w:numPr>
      </w:pPr>
      <w:r w:rsidRPr="002C5218">
        <w:rPr>
          <w:rFonts w:eastAsia="Verdana"/>
        </w:rPr>
        <w:t xml:space="preserve">A failure to comply with </w:t>
      </w:r>
      <w:r w:rsidR="001E2B48" w:rsidRPr="002C5218">
        <w:rPr>
          <w:rFonts w:eastAsia="Verdana"/>
        </w:rPr>
        <w:t xml:space="preserve">Paragraph </w:t>
      </w:r>
      <w:r>
        <w:rPr>
          <w:rFonts w:eastAsia="Verdana"/>
        </w:rPr>
        <w:fldChar w:fldCharType="begin"/>
      </w:r>
      <w:r>
        <w:rPr>
          <w:rFonts w:eastAsia="Verdana"/>
        </w:rPr>
        <w:instrText xml:space="preserve"> REF _Ref76054149 \r \h </w:instrText>
      </w:r>
      <w:r>
        <w:rPr>
          <w:rFonts w:eastAsia="Verdana"/>
        </w:rPr>
      </w:r>
      <w:r>
        <w:rPr>
          <w:rFonts w:eastAsia="Verdana"/>
        </w:rPr>
        <w:fldChar w:fldCharType="separate"/>
      </w:r>
      <w:r>
        <w:rPr>
          <w:rFonts w:eastAsia="Verdana"/>
        </w:rPr>
        <w:t>9.3</w:t>
      </w:r>
      <w:r>
        <w:rPr>
          <w:rFonts w:eastAsia="Verdana"/>
        </w:rPr>
        <w:fldChar w:fldCharType="end"/>
      </w:r>
      <w:r w:rsidRPr="002C5218">
        <w:rPr>
          <w:rFonts w:eastAsia="Verdana"/>
        </w:rPr>
        <w:t xml:space="preserve"> shall constitute a Notifiable Default, and the Supplier shall comply with the </w:t>
      </w:r>
      <w:r w:rsidRPr="00303DF1">
        <w:rPr>
          <w:rFonts w:eastAsia="Verdana"/>
        </w:rPr>
        <w:t>Rectification Plan Process.</w:t>
      </w:r>
      <w:r w:rsidRPr="002C5218">
        <w:rPr>
          <w:rFonts w:eastAsia="Verdana"/>
        </w:rPr>
        <w:t xml:space="preserve"> </w:t>
      </w:r>
    </w:p>
    <w:p w14:paraId="5C504DE4" w14:textId="77777777" w:rsidR="00C1793C" w:rsidRPr="002C5218" w:rsidRDefault="00C1793C" w:rsidP="00C1793C">
      <w:r w:rsidRPr="002C5218">
        <w:rPr>
          <w:b/>
        </w:rPr>
        <w:t xml:space="preserve"> </w:t>
      </w:r>
      <w:r w:rsidRPr="002C5218">
        <w:rPr>
          <w:b/>
        </w:rPr>
        <w:tab/>
        <w:t xml:space="preserve"> </w:t>
      </w:r>
      <w:r w:rsidRPr="002C5218">
        <w:br w:type="page"/>
      </w:r>
    </w:p>
    <w:p w14:paraId="0FC916FF" w14:textId="755D20E1" w:rsidR="00C1793C" w:rsidRPr="002C5218" w:rsidRDefault="00C1793C" w:rsidP="00C1793C">
      <w:pPr>
        <w:jc w:val="center"/>
      </w:pPr>
      <w:r w:rsidRPr="002C5218">
        <w:rPr>
          <w:b/>
        </w:rPr>
        <w:lastRenderedPageBreak/>
        <w:t xml:space="preserve">ANNEX </w:t>
      </w:r>
      <w:r w:rsidR="00452A59">
        <w:rPr>
          <w:b/>
        </w:rPr>
        <w:t>2.6A</w:t>
      </w:r>
    </w:p>
    <w:p w14:paraId="3083EF15" w14:textId="1DA511CB" w:rsidR="00C1793C" w:rsidRPr="002C5218" w:rsidRDefault="002529F3" w:rsidP="00C1793C">
      <w:pPr>
        <w:jc w:val="center"/>
      </w:pPr>
      <w:r w:rsidRPr="002C5218">
        <w:rPr>
          <w:b/>
        </w:rPr>
        <w:t>BASELINE SECURITY REQUIREMENTS</w:t>
      </w:r>
    </w:p>
    <w:p w14:paraId="5077C62E" w14:textId="701DEFF2" w:rsidR="00C1793C" w:rsidRPr="0056596D" w:rsidRDefault="0056596D" w:rsidP="009D675B">
      <w:pPr>
        <w:pStyle w:val="Sch1"/>
        <w:numPr>
          <w:ilvl w:val="2"/>
          <w:numId w:val="58"/>
        </w:numPr>
        <w:rPr>
          <w:b/>
          <w:bCs/>
        </w:rPr>
      </w:pPr>
      <w:r w:rsidRPr="0056596D">
        <w:rPr>
          <w:b/>
          <w:bCs/>
        </w:rPr>
        <w:t>HIGHER CLASSIFICATIONS</w:t>
      </w:r>
    </w:p>
    <w:p w14:paraId="1DFAAC7A" w14:textId="42E97DDB" w:rsidR="00C1793C" w:rsidRPr="00CC10D2" w:rsidRDefault="00C1793C" w:rsidP="009D675B">
      <w:pPr>
        <w:pStyle w:val="Sch2"/>
        <w:numPr>
          <w:ilvl w:val="3"/>
          <w:numId w:val="56"/>
        </w:numPr>
      </w:pPr>
      <w:r w:rsidRPr="00CC10D2">
        <w:rPr>
          <w:rFonts w:eastAsia="Verdana"/>
        </w:rPr>
        <w:t xml:space="preserve">The Supplier shall not handle </w:t>
      </w:r>
      <w:proofErr w:type="spellStart"/>
      <w:r w:rsidR="001F1C19">
        <w:rPr>
          <w:rFonts w:eastAsia="Verdana"/>
        </w:rPr>
        <w:t>Netlink</w:t>
      </w:r>
      <w:proofErr w:type="spellEnd"/>
      <w:r w:rsidR="001F1C19">
        <w:rPr>
          <w:rFonts w:eastAsia="Verdana"/>
        </w:rPr>
        <w:t xml:space="preserve"> Star</w:t>
      </w:r>
      <w:r w:rsidRPr="00CC10D2">
        <w:rPr>
          <w:rFonts w:eastAsia="Verdana"/>
        </w:rPr>
        <w:t xml:space="preserve"> information classified SECRET or TOP SECRET except if there is a specific requirement and in this case prior to receipt of such information the Supplier shall seek additional specific guidance from </w:t>
      </w:r>
      <w:proofErr w:type="spellStart"/>
      <w:r w:rsidR="001F1C19">
        <w:rPr>
          <w:rFonts w:eastAsia="Verdana"/>
        </w:rPr>
        <w:t>Netlink</w:t>
      </w:r>
      <w:proofErr w:type="spellEnd"/>
      <w:r w:rsidR="001F1C19">
        <w:rPr>
          <w:rFonts w:eastAsia="Verdana"/>
        </w:rPr>
        <w:t xml:space="preserve"> Star</w:t>
      </w:r>
      <w:r w:rsidRPr="00CC10D2">
        <w:rPr>
          <w:rFonts w:eastAsia="Verdana"/>
        </w:rPr>
        <w:t xml:space="preserve">. </w:t>
      </w:r>
    </w:p>
    <w:p w14:paraId="34B78F06" w14:textId="128E1261" w:rsidR="00C1793C" w:rsidRPr="009472E0" w:rsidRDefault="00C1793C" w:rsidP="009D675B">
      <w:pPr>
        <w:pStyle w:val="Sch2"/>
        <w:numPr>
          <w:ilvl w:val="3"/>
          <w:numId w:val="56"/>
        </w:numPr>
      </w:pPr>
      <w:r w:rsidRPr="009472E0">
        <w:rPr>
          <w:rFonts w:eastAsia="Verdana"/>
        </w:rPr>
        <w:t xml:space="preserve">When </w:t>
      </w:r>
      <w:proofErr w:type="spellStart"/>
      <w:r w:rsidR="001F1C19">
        <w:rPr>
          <w:rFonts w:eastAsia="Verdana"/>
        </w:rPr>
        <w:t>Netlink</w:t>
      </w:r>
      <w:proofErr w:type="spellEnd"/>
      <w:r w:rsidR="001F1C19">
        <w:rPr>
          <w:rFonts w:eastAsia="Verdana"/>
        </w:rPr>
        <w:t xml:space="preserve"> Star</w:t>
      </w:r>
      <w:r w:rsidRPr="009472E0">
        <w:rPr>
          <w:rFonts w:eastAsia="Verdana"/>
        </w:rPr>
        <w:t xml:space="preserve"> Data resides on a mobile, removable or </w:t>
      </w:r>
      <w:r>
        <w:rPr>
          <w:rFonts w:eastAsia="Verdana"/>
        </w:rPr>
        <w:t xml:space="preserve">a </w:t>
      </w:r>
      <w:r w:rsidRPr="009472E0">
        <w:rPr>
          <w:rFonts w:eastAsia="Verdana"/>
        </w:rPr>
        <w:t>physically uncontrolled device it must be stored encrypted using a product or system component which has been formally assured through a recognised certification process of the UK Government NCSC to at least Foundation Grade, for example, under the NCSC Commercial Product Assurance scheme (“</w:t>
      </w:r>
      <w:r w:rsidRPr="009472E0">
        <w:rPr>
          <w:rFonts w:eastAsia="Verdana"/>
          <w:b/>
          <w:bCs/>
        </w:rPr>
        <w:t>CPA</w:t>
      </w:r>
      <w:r w:rsidRPr="009472E0">
        <w:rPr>
          <w:rFonts w:eastAsia="Verdana"/>
        </w:rPr>
        <w:t xml:space="preserve">”). </w:t>
      </w:r>
    </w:p>
    <w:p w14:paraId="04F79685" w14:textId="400A995E" w:rsidR="0056596D" w:rsidRPr="0056596D" w:rsidRDefault="00C1793C" w:rsidP="009D675B">
      <w:pPr>
        <w:pStyle w:val="Sch2"/>
        <w:numPr>
          <w:ilvl w:val="3"/>
          <w:numId w:val="56"/>
        </w:numPr>
      </w:pPr>
      <w:r w:rsidRPr="009472E0">
        <w:rPr>
          <w:noProof/>
        </w:rPr>
        <mc:AlternateContent>
          <mc:Choice Requires="wpg">
            <w:drawing>
              <wp:anchor distT="0" distB="0" distL="114300" distR="114300" simplePos="0" relativeHeight="251663360" behindDoc="0" locked="0" layoutInCell="1" allowOverlap="1" wp14:anchorId="482502D7" wp14:editId="4EEAD83B">
                <wp:simplePos x="0" y="0"/>
                <wp:positionH relativeFrom="page">
                  <wp:posOffset>449580</wp:posOffset>
                </wp:positionH>
                <wp:positionV relativeFrom="page">
                  <wp:posOffset>4315968</wp:posOffset>
                </wp:positionV>
                <wp:extent cx="9144" cy="138684"/>
                <wp:effectExtent l="0" t="0" r="0" b="0"/>
                <wp:wrapSquare wrapText="bothSides"/>
                <wp:docPr id="561309" name="Group 561309"/>
                <wp:cNvGraphicFramePr/>
                <a:graphic xmlns:a="http://schemas.openxmlformats.org/drawingml/2006/main">
                  <a:graphicData uri="http://schemas.microsoft.com/office/word/2010/wordprocessingGroup">
                    <wpg:wgp>
                      <wpg:cNvGrpSpPr/>
                      <wpg:grpSpPr>
                        <a:xfrm>
                          <a:off x="0" y="0"/>
                          <a:ext cx="9144" cy="138684"/>
                          <a:chOff x="0" y="0"/>
                          <a:chExt cx="9144" cy="138684"/>
                        </a:xfrm>
                      </wpg:grpSpPr>
                      <wps:wsp>
                        <wps:cNvPr id="693450" name="Shape 693450"/>
                        <wps:cNvSpPr/>
                        <wps:spPr>
                          <a:xfrm>
                            <a:off x="0" y="0"/>
                            <a:ext cx="9144" cy="138684"/>
                          </a:xfrm>
                          <a:custGeom>
                            <a:avLst/>
                            <a:gdLst/>
                            <a:ahLst/>
                            <a:cxnLst/>
                            <a:rect l="0" t="0" r="0" b="0"/>
                            <a:pathLst>
                              <a:path w="9144" h="138684">
                                <a:moveTo>
                                  <a:pt x="0" y="0"/>
                                </a:moveTo>
                                <a:lnTo>
                                  <a:pt x="9144" y="0"/>
                                </a:lnTo>
                                <a:lnTo>
                                  <a:pt x="9144" y="138684"/>
                                </a:lnTo>
                                <a:lnTo>
                                  <a:pt x="0" y="1386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BB94B6" id="Group 561309" o:spid="_x0000_s1026" style="position:absolute;margin-left:35.4pt;margin-top:339.85pt;width:.7pt;height:10.9pt;z-index:251663360;mso-position-horizontal-relative:page;mso-position-vertical-relative:page" coordsize="9144,138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">
                <v:shape id="Shape 693450" o:spid="_x0000_s1027" style="position:absolute;width:9144;height:138684;visibility:visible;mso-wrap-style:square;v-text-anchor:top" coordsize="9144,138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" path="m,l9144,r,138684l,138684,,e" fillcolor="black" stroked="f" strokeweight="0">
                  <v:stroke miterlimit="83231f" joinstyle="miter"/>
                  <v:path arrowok="t" textboxrect="0,0,9144,138684"/>
                </v:shape>
                <w10:wrap type="square" anchorx="page" anchory="page"/>
              </v:group>
            </w:pict>
          </mc:Fallback>
        </mc:AlternateContent>
      </w:r>
      <w:r w:rsidRPr="009472E0">
        <w:rPr>
          <w:rFonts w:eastAsia="Verdana"/>
        </w:rPr>
        <w:t xml:space="preserve">Devices used to access or manage </w:t>
      </w:r>
      <w:proofErr w:type="spellStart"/>
      <w:r w:rsidR="001F1C19">
        <w:rPr>
          <w:rFonts w:eastAsia="Verdana"/>
        </w:rPr>
        <w:t>Netlink</w:t>
      </w:r>
      <w:proofErr w:type="spellEnd"/>
      <w:r w:rsidR="001F1C19">
        <w:rPr>
          <w:rFonts w:eastAsia="Verdana"/>
        </w:rPr>
        <w:t xml:space="preserve"> Star</w:t>
      </w:r>
      <w:r w:rsidRPr="009472E0">
        <w:rPr>
          <w:rFonts w:eastAsia="Verdana"/>
        </w:rPr>
        <w:t xml:space="preserve"> Data and services must be under the management authority of </w:t>
      </w:r>
      <w:proofErr w:type="spellStart"/>
      <w:r w:rsidR="001F1C19">
        <w:rPr>
          <w:rFonts w:eastAsia="Verdana"/>
        </w:rPr>
        <w:t>Netlink</w:t>
      </w:r>
      <w:proofErr w:type="spellEnd"/>
      <w:r w:rsidR="001F1C19">
        <w:rPr>
          <w:rFonts w:eastAsia="Verdana"/>
        </w:rPr>
        <w:t xml:space="preserve"> Star</w:t>
      </w:r>
      <w:r w:rsidRPr="009472E0">
        <w:rPr>
          <w:rFonts w:eastAsia="Verdana"/>
        </w:rPr>
        <w:t xml:space="preserve"> or Supplier and have a minimum set of security policy configuration enforced.  These devices must be placed into a ‘known good’ state prior to being provisioned into the management authority of </w:t>
      </w:r>
      <w:proofErr w:type="spellStart"/>
      <w:r w:rsidR="001F1C19">
        <w:rPr>
          <w:rFonts w:eastAsia="Verdana"/>
        </w:rPr>
        <w:t>Netlink</w:t>
      </w:r>
      <w:proofErr w:type="spellEnd"/>
      <w:r w:rsidR="001F1C19">
        <w:rPr>
          <w:rFonts w:eastAsia="Verdana"/>
        </w:rPr>
        <w:t xml:space="preserve"> Star</w:t>
      </w:r>
      <w:r w:rsidRPr="009472E0">
        <w:rPr>
          <w:rFonts w:eastAsia="Verdana"/>
        </w:rPr>
        <w:t xml:space="preserve">.  Unless otherwise agreed with </w:t>
      </w:r>
      <w:proofErr w:type="spellStart"/>
      <w:r w:rsidR="001F1C19">
        <w:rPr>
          <w:rFonts w:eastAsia="Verdana"/>
        </w:rPr>
        <w:t>Netlink</w:t>
      </w:r>
      <w:proofErr w:type="spellEnd"/>
      <w:r w:rsidR="001F1C19">
        <w:rPr>
          <w:rFonts w:eastAsia="Verdana"/>
        </w:rPr>
        <w:t xml:space="preserve"> Star</w:t>
      </w:r>
      <w:r w:rsidRPr="009472E0">
        <w:rPr>
          <w:rFonts w:eastAsia="Verdana"/>
        </w:rPr>
        <w:t xml:space="preserve"> in writing, all Supplier devices are expected to meet the set of security requirements set out in the NCSC End User Devices Platform Security Guidance </w:t>
      </w:r>
      <w:hyperlink r:id="rId32">
        <w:r w:rsidRPr="009472E0">
          <w:rPr>
            <w:rStyle w:val="Hyperlink"/>
            <w:rFonts w:eastAsia="Verdana"/>
          </w:rPr>
          <w:t>(</w:t>
        </w:r>
      </w:hyperlink>
      <w:hyperlink r:id="rId33">
        <w:r w:rsidRPr="009472E0">
          <w:rPr>
            <w:rStyle w:val="Hyperlink"/>
            <w:rFonts w:eastAsia="Verdana"/>
          </w:rPr>
          <w:t>https://www.ncsc.gov.uk/guidance/end-user-device-security</w:t>
        </w:r>
      </w:hyperlink>
      <w:hyperlink r:id="rId34">
        <w:r w:rsidRPr="009472E0">
          <w:rPr>
            <w:rStyle w:val="Hyperlink"/>
            <w:rFonts w:eastAsia="Verdana"/>
          </w:rPr>
          <w:t>)</w:t>
        </w:r>
      </w:hyperlink>
      <w:r w:rsidRPr="009472E0">
        <w:rPr>
          <w:rFonts w:eastAsia="Verdana"/>
        </w:rPr>
        <w:t xml:space="preserve">.  Where the guidance highlights shortcomings in a particular platform the Supplier may wish to use, then these should be discussed with </w:t>
      </w:r>
      <w:proofErr w:type="spellStart"/>
      <w:r w:rsidR="001F1C19">
        <w:rPr>
          <w:rFonts w:eastAsia="Verdana"/>
        </w:rPr>
        <w:t>Netlink</w:t>
      </w:r>
      <w:proofErr w:type="spellEnd"/>
      <w:r w:rsidR="001F1C19">
        <w:rPr>
          <w:rFonts w:eastAsia="Verdana"/>
        </w:rPr>
        <w:t xml:space="preserve"> Star</w:t>
      </w:r>
      <w:r w:rsidRPr="009472E0">
        <w:rPr>
          <w:rFonts w:eastAsia="Verdana"/>
        </w:rPr>
        <w:t xml:space="preserve"> and a joint decision shall be taken on whether the residual risks are acceptable.  Where the Supplier wishes to deviate from the NCSC guidance, then this should be agreed in writing on a </w:t>
      </w:r>
      <w:proofErr w:type="gramStart"/>
      <w:r w:rsidRPr="009472E0">
        <w:rPr>
          <w:rFonts w:eastAsia="Verdana"/>
        </w:rPr>
        <w:t>case by case</w:t>
      </w:r>
      <w:proofErr w:type="gramEnd"/>
      <w:r w:rsidRPr="009472E0">
        <w:rPr>
          <w:rFonts w:eastAsia="Verdana"/>
        </w:rPr>
        <w:t xml:space="preserve"> basis with </w:t>
      </w:r>
      <w:proofErr w:type="spellStart"/>
      <w:r w:rsidR="001F1C19">
        <w:rPr>
          <w:rFonts w:eastAsia="Verdana"/>
        </w:rPr>
        <w:t>Netlink</w:t>
      </w:r>
      <w:proofErr w:type="spellEnd"/>
      <w:r w:rsidR="001F1C19">
        <w:rPr>
          <w:rFonts w:eastAsia="Verdana"/>
        </w:rPr>
        <w:t xml:space="preserve"> Star</w:t>
      </w:r>
      <w:r w:rsidRPr="009472E0">
        <w:rPr>
          <w:rFonts w:eastAsia="Verdana"/>
        </w:rPr>
        <w:t xml:space="preserve">.  </w:t>
      </w:r>
    </w:p>
    <w:p w14:paraId="00F6B6B2" w14:textId="0D941508" w:rsidR="00C1793C" w:rsidRPr="0056596D" w:rsidRDefault="00C1793C" w:rsidP="0056596D">
      <w:pPr>
        <w:pStyle w:val="Sch2"/>
        <w:numPr>
          <w:ilvl w:val="0"/>
          <w:numId w:val="0"/>
        </w:numPr>
        <w:ind w:left="709"/>
        <w:rPr>
          <w:b/>
          <w:bCs/>
        </w:rPr>
      </w:pPr>
      <w:r w:rsidRPr="0056596D">
        <w:rPr>
          <w:rFonts w:eastAsia="Verdana"/>
          <w:b/>
          <w:bCs/>
        </w:rPr>
        <w:t xml:space="preserve">Data Processing, Storage, Management and Destruction. </w:t>
      </w:r>
    </w:p>
    <w:p w14:paraId="13CB7228" w14:textId="06B4D04E" w:rsidR="00C1793C" w:rsidRPr="009472E0" w:rsidRDefault="00C1793C" w:rsidP="009D675B">
      <w:pPr>
        <w:pStyle w:val="Sch2"/>
        <w:numPr>
          <w:ilvl w:val="3"/>
          <w:numId w:val="56"/>
        </w:numPr>
      </w:pPr>
      <w:r w:rsidRPr="009472E0">
        <w:rPr>
          <w:rFonts w:eastAsia="Verdana"/>
        </w:rPr>
        <w:t xml:space="preserve">The Supplier and </w:t>
      </w:r>
      <w:proofErr w:type="spellStart"/>
      <w:r w:rsidR="001F1C19">
        <w:rPr>
          <w:rFonts w:eastAsia="Verdana"/>
        </w:rPr>
        <w:t>Netlink</w:t>
      </w:r>
      <w:proofErr w:type="spellEnd"/>
      <w:r w:rsidR="001F1C19">
        <w:rPr>
          <w:rFonts w:eastAsia="Verdana"/>
        </w:rPr>
        <w:t xml:space="preserve"> Star</w:t>
      </w:r>
      <w:r w:rsidRPr="009472E0">
        <w:rPr>
          <w:rFonts w:eastAsia="Verdana"/>
        </w:rPr>
        <w:t xml:space="preserve"> recognise the need for </w:t>
      </w:r>
      <w:proofErr w:type="spellStart"/>
      <w:r w:rsidR="001F1C19">
        <w:rPr>
          <w:rFonts w:eastAsia="Verdana"/>
        </w:rPr>
        <w:t>Netlink</w:t>
      </w:r>
      <w:proofErr w:type="spellEnd"/>
      <w:r w:rsidR="001F1C19">
        <w:rPr>
          <w:rFonts w:eastAsia="Verdana"/>
        </w:rPr>
        <w:t xml:space="preserve"> Star</w:t>
      </w:r>
      <w:r w:rsidRPr="009472E0">
        <w:rPr>
          <w:rFonts w:eastAsia="Verdana"/>
        </w:rPr>
        <w:t xml:space="preserve">’s information to be safeguarded under the UK Data Protection regime or a similar regime.  To that end, the Supplier must be able to state to </w:t>
      </w:r>
      <w:proofErr w:type="spellStart"/>
      <w:r w:rsidR="001F1C19">
        <w:rPr>
          <w:rFonts w:eastAsia="Verdana"/>
        </w:rPr>
        <w:t>Netlink</w:t>
      </w:r>
      <w:proofErr w:type="spellEnd"/>
      <w:r w:rsidR="001F1C19">
        <w:rPr>
          <w:rFonts w:eastAsia="Verdana"/>
        </w:rPr>
        <w:t xml:space="preserve"> Star</w:t>
      </w:r>
      <w:r w:rsidRPr="009472E0">
        <w:rPr>
          <w:rFonts w:eastAsia="Verdana"/>
        </w:rPr>
        <w:t xml:space="preserve"> the physical locations in which data may be stored, </w:t>
      </w:r>
      <w:proofErr w:type="gramStart"/>
      <w:r w:rsidRPr="009472E0">
        <w:rPr>
          <w:rFonts w:eastAsia="Verdana"/>
        </w:rPr>
        <w:t>processed</w:t>
      </w:r>
      <w:proofErr w:type="gramEnd"/>
      <w:r w:rsidRPr="009472E0">
        <w:rPr>
          <w:rFonts w:eastAsia="Verdana"/>
        </w:rPr>
        <w:t xml:space="preserve"> and managed from, and what legal and regulatory frameworks </w:t>
      </w:r>
      <w:proofErr w:type="spellStart"/>
      <w:r w:rsidR="001F1C19">
        <w:rPr>
          <w:rFonts w:eastAsia="Verdana"/>
        </w:rPr>
        <w:t>Netlink</w:t>
      </w:r>
      <w:proofErr w:type="spellEnd"/>
      <w:r w:rsidR="001F1C19">
        <w:rPr>
          <w:rFonts w:eastAsia="Verdana"/>
        </w:rPr>
        <w:t xml:space="preserve"> Star</w:t>
      </w:r>
      <w:r w:rsidRPr="009472E0">
        <w:rPr>
          <w:rFonts w:eastAsia="Verdana"/>
        </w:rPr>
        <w:t xml:space="preserve"> information will be subject to at all times. </w:t>
      </w:r>
    </w:p>
    <w:p w14:paraId="7EE71171" w14:textId="04D971E0" w:rsidR="00C1793C" w:rsidRPr="009472E0" w:rsidRDefault="00C1793C" w:rsidP="009D675B">
      <w:pPr>
        <w:pStyle w:val="Sch2"/>
        <w:numPr>
          <w:ilvl w:val="3"/>
          <w:numId w:val="56"/>
        </w:numPr>
      </w:pPr>
      <w:r w:rsidRPr="00923320">
        <w:rPr>
          <w:rFonts w:eastAsia="Verdana"/>
        </w:rPr>
        <w:t>Subject to the provisions of clause 26</w:t>
      </w:r>
      <w:r w:rsidRPr="00923320" w:rsidDel="00F617DC">
        <w:rPr>
          <w:rFonts w:eastAsia="Verdana"/>
        </w:rPr>
        <w:t xml:space="preserve"> </w:t>
      </w:r>
      <w:r w:rsidRPr="00923320">
        <w:rPr>
          <w:rFonts w:eastAsia="Verdana"/>
        </w:rPr>
        <w:t>(Protection of Personal Data),</w:t>
      </w:r>
      <w:r w:rsidRPr="009472E0">
        <w:rPr>
          <w:rFonts w:eastAsia="Verdana"/>
        </w:rPr>
        <w:t xml:space="preserve"> the Supplier shall agree any change in location of data storage, </w:t>
      </w:r>
      <w:proofErr w:type="gramStart"/>
      <w:r w:rsidRPr="009472E0">
        <w:rPr>
          <w:rFonts w:eastAsia="Verdana"/>
        </w:rPr>
        <w:t>processing</w:t>
      </w:r>
      <w:proofErr w:type="gramEnd"/>
      <w:r w:rsidRPr="009472E0">
        <w:rPr>
          <w:rFonts w:eastAsia="Verdana"/>
        </w:rPr>
        <w:t xml:space="preserve"> and administration </w:t>
      </w:r>
      <w:r>
        <w:rPr>
          <w:rFonts w:eastAsia="Verdana"/>
        </w:rPr>
        <w:t xml:space="preserve">beyond that which is set out in </w:t>
      </w:r>
      <w:r w:rsidR="00F65D8D">
        <w:rPr>
          <w:rFonts w:eastAsia="Verdana"/>
        </w:rPr>
        <w:t>Schedule 12 (Protection of Personal Data)</w:t>
      </w:r>
      <w:r>
        <w:rPr>
          <w:rFonts w:eastAsia="Verdana"/>
        </w:rPr>
        <w:t xml:space="preserve"> </w:t>
      </w:r>
      <w:r w:rsidRPr="009472E0">
        <w:rPr>
          <w:rFonts w:eastAsia="Verdana"/>
        </w:rPr>
        <w:t xml:space="preserve">with </w:t>
      </w:r>
      <w:proofErr w:type="spellStart"/>
      <w:r w:rsidR="001F1C19">
        <w:rPr>
          <w:rFonts w:eastAsia="Verdana"/>
        </w:rPr>
        <w:t>Netlink</w:t>
      </w:r>
      <w:proofErr w:type="spellEnd"/>
      <w:r w:rsidR="001F1C19">
        <w:rPr>
          <w:rFonts w:eastAsia="Verdana"/>
        </w:rPr>
        <w:t xml:space="preserve"> Star</w:t>
      </w:r>
      <w:r w:rsidRPr="009472E0">
        <w:rPr>
          <w:rFonts w:eastAsia="Verdana"/>
        </w:rPr>
        <w:t xml:space="preserve"> in advance where the proposed location is outside the UK.  Such approval shall not be unreasonably withheld or delayed unless specified otherwise in this Agreement and </w:t>
      </w:r>
      <w:proofErr w:type="gramStart"/>
      <w:r w:rsidRPr="009472E0">
        <w:rPr>
          <w:rFonts w:eastAsia="Verdana"/>
        </w:rPr>
        <w:t>provided that</w:t>
      </w:r>
      <w:proofErr w:type="gramEnd"/>
      <w:r w:rsidRPr="009472E0">
        <w:rPr>
          <w:rFonts w:eastAsia="Verdana"/>
        </w:rPr>
        <w:t xml:space="preserve"> storage, processing and management of any </w:t>
      </w:r>
      <w:proofErr w:type="spellStart"/>
      <w:r w:rsidR="001F1C19">
        <w:rPr>
          <w:rFonts w:eastAsia="Verdana"/>
        </w:rPr>
        <w:t>Netlink</w:t>
      </w:r>
      <w:proofErr w:type="spellEnd"/>
      <w:r w:rsidR="001F1C19">
        <w:rPr>
          <w:rFonts w:eastAsia="Verdana"/>
        </w:rPr>
        <w:t xml:space="preserve"> Star</w:t>
      </w:r>
      <w:r w:rsidRPr="009472E0">
        <w:rPr>
          <w:rFonts w:eastAsia="Verdana"/>
        </w:rPr>
        <w:t xml:space="preserve"> information is only carried out offshore within: </w:t>
      </w:r>
    </w:p>
    <w:p w14:paraId="01950824" w14:textId="77777777" w:rsidR="00C1793C" w:rsidRPr="002C5218" w:rsidRDefault="00C1793C" w:rsidP="009D675B">
      <w:pPr>
        <w:pStyle w:val="Sch3"/>
        <w:numPr>
          <w:ilvl w:val="4"/>
          <w:numId w:val="56"/>
        </w:numPr>
      </w:pPr>
      <w:r w:rsidRPr="002C5218">
        <w:rPr>
          <w:rFonts w:eastAsia="Verdana"/>
        </w:rPr>
        <w:t xml:space="preserve">the United Kingdom or European Economic Area (EEA); or </w:t>
      </w:r>
    </w:p>
    <w:p w14:paraId="4D65EE1F" w14:textId="77777777" w:rsidR="00C1793C" w:rsidRPr="002C5218" w:rsidRDefault="00C1793C" w:rsidP="009D675B">
      <w:pPr>
        <w:pStyle w:val="Sch3"/>
        <w:numPr>
          <w:ilvl w:val="4"/>
          <w:numId w:val="56"/>
        </w:numPr>
      </w:pPr>
      <w:r w:rsidRPr="002C5218">
        <w:rPr>
          <w:rFonts w:eastAsia="Verdana"/>
        </w:rPr>
        <w:t xml:space="preserve">in another country or territory outside the United Kingdom or EEA if that country or territory ensures an adequate level of protection by reason of its domestic law or of the international commitments it has </w:t>
      </w:r>
      <w:proofErr w:type="gramStart"/>
      <w:r w:rsidRPr="002C5218">
        <w:rPr>
          <w:rFonts w:eastAsia="Verdana"/>
        </w:rPr>
        <w:t>entered into</w:t>
      </w:r>
      <w:proofErr w:type="gramEnd"/>
      <w:r w:rsidRPr="002C5218">
        <w:rPr>
          <w:rFonts w:eastAsia="Verdana"/>
        </w:rPr>
        <w:t xml:space="preserve"> which have been defined as adequate by the EU Commission. </w:t>
      </w:r>
    </w:p>
    <w:p w14:paraId="5A6CF912" w14:textId="77777777" w:rsidR="00C1793C" w:rsidRPr="002C5218" w:rsidRDefault="00C1793C" w:rsidP="009D675B">
      <w:pPr>
        <w:pStyle w:val="Sch2"/>
        <w:numPr>
          <w:ilvl w:val="3"/>
          <w:numId w:val="56"/>
        </w:numPr>
      </w:pPr>
      <w:r w:rsidRPr="002C5218">
        <w:rPr>
          <w:rFonts w:eastAsia="Verdana"/>
        </w:rPr>
        <w:t xml:space="preserve">The Supplier shall: </w:t>
      </w:r>
    </w:p>
    <w:p w14:paraId="219C1CBB" w14:textId="7DB3FB74" w:rsidR="00C1793C" w:rsidRPr="002C5218" w:rsidRDefault="00C1793C" w:rsidP="009D675B">
      <w:pPr>
        <w:pStyle w:val="Sch3"/>
        <w:numPr>
          <w:ilvl w:val="4"/>
          <w:numId w:val="56"/>
        </w:numPr>
      </w:pPr>
      <w:r w:rsidRPr="002C5218">
        <w:rPr>
          <w:rFonts w:eastAsia="Verdana"/>
        </w:rPr>
        <w:t xml:space="preserve">provide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with all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Data on demand in an agreed open </w:t>
      </w:r>
      <w:proofErr w:type="gramStart"/>
      <w:r w:rsidRPr="002C5218">
        <w:rPr>
          <w:rFonts w:eastAsia="Verdana"/>
        </w:rPr>
        <w:t>format;</w:t>
      </w:r>
      <w:proofErr w:type="gramEnd"/>
      <w:r w:rsidRPr="002C5218">
        <w:rPr>
          <w:rFonts w:eastAsia="Verdana"/>
        </w:rPr>
        <w:t xml:space="preserve"> </w:t>
      </w:r>
    </w:p>
    <w:p w14:paraId="7D06E8B4" w14:textId="7CC281E8" w:rsidR="00C1793C" w:rsidRPr="002C5218" w:rsidRDefault="00C1793C" w:rsidP="009D675B">
      <w:pPr>
        <w:pStyle w:val="Sch3"/>
        <w:numPr>
          <w:ilvl w:val="4"/>
          <w:numId w:val="56"/>
        </w:numPr>
      </w:pPr>
      <w:r w:rsidRPr="002C5218">
        <w:rPr>
          <w:rFonts w:eastAsia="Verdana"/>
        </w:rPr>
        <w:t xml:space="preserve">have documented processes to guarantee availability of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Data in the event of the Supplier ceasing to </w:t>
      </w:r>
      <w:proofErr w:type="gramStart"/>
      <w:r w:rsidRPr="002C5218">
        <w:rPr>
          <w:rFonts w:eastAsia="Verdana"/>
        </w:rPr>
        <w:t>trade;</w:t>
      </w:r>
      <w:proofErr w:type="gramEnd"/>
      <w:r w:rsidRPr="002C5218">
        <w:rPr>
          <w:rFonts w:eastAsia="Verdana"/>
        </w:rPr>
        <w:t xml:space="preserve"> </w:t>
      </w:r>
    </w:p>
    <w:p w14:paraId="0D1A3921" w14:textId="4CFE895B" w:rsidR="00C1793C" w:rsidRPr="002C5218" w:rsidRDefault="00C1793C" w:rsidP="009D675B">
      <w:pPr>
        <w:pStyle w:val="Sch3"/>
        <w:numPr>
          <w:ilvl w:val="4"/>
          <w:numId w:val="56"/>
        </w:numPr>
      </w:pPr>
      <w:r w:rsidRPr="002C5218">
        <w:rPr>
          <w:rFonts w:eastAsia="Verdana"/>
        </w:rPr>
        <w:t xml:space="preserve">securely destroy all media that has held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Data at the end of life of that media in line with Good Industry Practice; and </w:t>
      </w:r>
    </w:p>
    <w:p w14:paraId="420E64A8" w14:textId="79EF924F" w:rsidR="00C1793C" w:rsidRPr="002C5218" w:rsidRDefault="00C1793C" w:rsidP="009D675B">
      <w:pPr>
        <w:pStyle w:val="Sch3"/>
        <w:numPr>
          <w:ilvl w:val="4"/>
          <w:numId w:val="56"/>
        </w:numPr>
      </w:pPr>
      <w:r w:rsidRPr="002C5218">
        <w:rPr>
          <w:rFonts w:eastAsia="Verdana"/>
        </w:rPr>
        <w:lastRenderedPageBreak/>
        <w:t xml:space="preserve">securely erase any or all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Data held by the Supplier when requested to do so by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w:t>
      </w:r>
    </w:p>
    <w:p w14:paraId="3D384751" w14:textId="5AF66330" w:rsidR="00C1793C" w:rsidRPr="0056596D" w:rsidRDefault="0056596D" w:rsidP="009D675B">
      <w:pPr>
        <w:pStyle w:val="Sch1"/>
        <w:numPr>
          <w:ilvl w:val="2"/>
          <w:numId w:val="56"/>
        </w:numPr>
        <w:rPr>
          <w:b/>
          <w:bCs/>
        </w:rPr>
      </w:pPr>
      <w:r w:rsidRPr="0056596D">
        <w:rPr>
          <w:b/>
          <w:bCs/>
        </w:rPr>
        <w:t xml:space="preserve">NETWORKING </w:t>
      </w:r>
    </w:p>
    <w:p w14:paraId="3314B070" w14:textId="57FA143E" w:rsidR="00C1793C" w:rsidRPr="002C5218" w:rsidRDefault="001F1C19" w:rsidP="009D675B">
      <w:pPr>
        <w:pStyle w:val="Sch2"/>
        <w:numPr>
          <w:ilvl w:val="3"/>
          <w:numId w:val="56"/>
        </w:numPr>
      </w:pPr>
      <w:proofErr w:type="spellStart"/>
      <w:r>
        <w:rPr>
          <w:rFonts w:eastAsia="Verdana"/>
        </w:rPr>
        <w:t>Netlink</w:t>
      </w:r>
      <w:proofErr w:type="spellEnd"/>
      <w:r>
        <w:rPr>
          <w:rFonts w:eastAsia="Verdana"/>
        </w:rPr>
        <w:t xml:space="preserve"> Star</w:t>
      </w:r>
      <w:r w:rsidR="00C1793C" w:rsidRPr="002C5218">
        <w:rPr>
          <w:rFonts w:eastAsia="Verdana"/>
        </w:rPr>
        <w:t xml:space="preserve"> requires that any </w:t>
      </w:r>
      <w:proofErr w:type="spellStart"/>
      <w:r>
        <w:rPr>
          <w:rFonts w:eastAsia="Verdana"/>
        </w:rPr>
        <w:t>Netlink</w:t>
      </w:r>
      <w:proofErr w:type="spellEnd"/>
      <w:r>
        <w:rPr>
          <w:rFonts w:eastAsia="Verdana"/>
        </w:rPr>
        <w:t xml:space="preserve"> Star</w:t>
      </w:r>
      <w:r w:rsidR="00C1793C" w:rsidRPr="002C5218">
        <w:rPr>
          <w:rFonts w:eastAsia="Verdana"/>
        </w:rPr>
        <w:t xml:space="preserve"> Data transmitted over any public network (including the Internet, mobile networks or un-protected enterprise network) or to a mobile device must be encrypted using a product or system component which has been formally assured through a certification process recognised by NCSC, to at least Foundation Grade, for example, under CPA or through the use of pan government accredited encrypted networking services via the Public Sector Network (“</w:t>
      </w:r>
      <w:r w:rsidR="00C1793C" w:rsidRPr="002C5218">
        <w:rPr>
          <w:rFonts w:eastAsia="Verdana"/>
          <w:b/>
        </w:rPr>
        <w:t>PSN</w:t>
      </w:r>
      <w:r w:rsidR="00C1793C" w:rsidRPr="002C5218">
        <w:rPr>
          <w:rFonts w:eastAsia="Verdana"/>
        </w:rPr>
        <w:t xml:space="preserve">”) framework (which makes use of Foundation Grade certified products). </w:t>
      </w:r>
    </w:p>
    <w:p w14:paraId="3BC19380" w14:textId="2FE7684A" w:rsidR="00C1793C" w:rsidRPr="002C5218" w:rsidRDefault="001F1C19" w:rsidP="009D675B">
      <w:pPr>
        <w:pStyle w:val="Sch2"/>
        <w:numPr>
          <w:ilvl w:val="3"/>
          <w:numId w:val="56"/>
        </w:numPr>
      </w:pPr>
      <w:proofErr w:type="spellStart"/>
      <w:r>
        <w:rPr>
          <w:rFonts w:eastAsia="Verdana"/>
        </w:rPr>
        <w:t>Netlink</w:t>
      </w:r>
      <w:proofErr w:type="spellEnd"/>
      <w:r>
        <w:rPr>
          <w:rFonts w:eastAsia="Verdana"/>
        </w:rPr>
        <w:t xml:space="preserve"> Star</w:t>
      </w:r>
      <w:r w:rsidR="00C1793C" w:rsidRPr="002C5218">
        <w:rPr>
          <w:rFonts w:eastAsia="Verdana"/>
        </w:rPr>
        <w:t xml:space="preserve"> requires that the configuration and use of all networking equipment to provide the Services, including those that </w:t>
      </w:r>
      <w:proofErr w:type="gramStart"/>
      <w:r w:rsidR="00C1793C" w:rsidRPr="002C5218">
        <w:rPr>
          <w:rFonts w:eastAsia="Verdana"/>
        </w:rPr>
        <w:t>are located in</w:t>
      </w:r>
      <w:proofErr w:type="gramEnd"/>
      <w:r w:rsidR="00C1793C" w:rsidRPr="002C5218">
        <w:rPr>
          <w:rFonts w:eastAsia="Verdana"/>
        </w:rPr>
        <w:t xml:space="preserve"> secure physical locations, are at least compliant with Good Industry Practice. </w:t>
      </w:r>
    </w:p>
    <w:p w14:paraId="0C447509" w14:textId="06C48C73" w:rsidR="00C1793C" w:rsidRPr="0056596D" w:rsidRDefault="0056596D" w:rsidP="009D675B">
      <w:pPr>
        <w:pStyle w:val="Sch1"/>
        <w:numPr>
          <w:ilvl w:val="2"/>
          <w:numId w:val="56"/>
        </w:numPr>
        <w:rPr>
          <w:b/>
          <w:bCs/>
        </w:rPr>
      </w:pPr>
      <w:r w:rsidRPr="0056596D">
        <w:rPr>
          <w:b/>
          <w:bCs/>
        </w:rPr>
        <w:t xml:space="preserve">SECURITY ARCHITECTURES </w:t>
      </w:r>
    </w:p>
    <w:p w14:paraId="394AA473" w14:textId="5B98A996" w:rsidR="00C1793C" w:rsidRPr="00923320" w:rsidRDefault="00C1793C" w:rsidP="009D675B">
      <w:pPr>
        <w:pStyle w:val="Sch2"/>
        <w:numPr>
          <w:ilvl w:val="3"/>
          <w:numId w:val="56"/>
        </w:numPr>
      </w:pPr>
      <w:r w:rsidRPr="00923320">
        <w:rPr>
          <w:rFonts w:eastAsia="Verdana"/>
        </w:rPr>
        <w:t xml:space="preserve">The Supplier shall apply the ‘principle of least privilege’ (the practice of limiting systems, </w:t>
      </w:r>
      <w:proofErr w:type="gramStart"/>
      <w:r w:rsidRPr="00923320">
        <w:rPr>
          <w:rFonts w:eastAsia="Verdana"/>
        </w:rPr>
        <w:t>processes</w:t>
      </w:r>
      <w:proofErr w:type="gramEnd"/>
      <w:r w:rsidRPr="00923320">
        <w:rPr>
          <w:rFonts w:eastAsia="Verdana"/>
        </w:rPr>
        <w:t xml:space="preserve"> and user access to the minimum possible level) to the design and configuration of IT systems which will process or store </w:t>
      </w:r>
      <w:proofErr w:type="spellStart"/>
      <w:r w:rsidR="001F1C19">
        <w:rPr>
          <w:rFonts w:eastAsia="Verdana"/>
        </w:rPr>
        <w:t>Netlink</w:t>
      </w:r>
      <w:proofErr w:type="spellEnd"/>
      <w:r w:rsidR="001F1C19">
        <w:rPr>
          <w:rFonts w:eastAsia="Verdana"/>
        </w:rPr>
        <w:t xml:space="preserve"> Star</w:t>
      </w:r>
      <w:r w:rsidRPr="00923320">
        <w:rPr>
          <w:rFonts w:eastAsia="Verdana"/>
        </w:rPr>
        <w:t xml:space="preserve"> Information. </w:t>
      </w:r>
    </w:p>
    <w:p w14:paraId="7F93A2DF" w14:textId="77777777" w:rsidR="00C1793C" w:rsidRPr="00923320" w:rsidRDefault="00C1793C" w:rsidP="009D675B">
      <w:pPr>
        <w:pStyle w:val="Sch2"/>
        <w:numPr>
          <w:ilvl w:val="3"/>
          <w:numId w:val="56"/>
        </w:numPr>
      </w:pPr>
      <w:r w:rsidRPr="00923320">
        <w:rPr>
          <w:rFonts w:eastAsia="Verdana"/>
        </w:rPr>
        <w:t>When designing and configuring the IT Environment (to the extent that the IT Environment is within the control of the Supplier) the Supplier shall follow Good Industry Practice and seek guidance from recognised security professionals with the appropriate skills and/or a NCSC Certified Professional certification (</w:t>
      </w:r>
      <w:r w:rsidRPr="00923320">
        <w:rPr>
          <w:rFonts w:eastAsia="Verdana"/>
          <w:u w:val="single"/>
        </w:rPr>
        <w:t>https://www.ncsc.gov.uk/scheme/gchq-certifiedtraining</w:t>
      </w:r>
      <w:r w:rsidRPr="00923320">
        <w:rPr>
          <w:rFonts w:eastAsia="Verdana"/>
        </w:rPr>
        <w:t xml:space="preserve">) for all bespoke or complex components of the Supplier Solution. </w:t>
      </w:r>
    </w:p>
    <w:p w14:paraId="5DDC2FB5" w14:textId="453B3880" w:rsidR="00C1793C" w:rsidRPr="0056596D" w:rsidRDefault="00C1793C" w:rsidP="009D675B">
      <w:pPr>
        <w:pStyle w:val="Sch1"/>
        <w:numPr>
          <w:ilvl w:val="2"/>
          <w:numId w:val="56"/>
        </w:numPr>
        <w:rPr>
          <w:b/>
          <w:bCs/>
        </w:rPr>
      </w:pPr>
      <w:r w:rsidRPr="0056596D">
        <w:rPr>
          <w:b/>
          <w:bCs/>
          <w:noProof/>
        </w:rPr>
        <mc:AlternateContent>
          <mc:Choice Requires="wpg">
            <w:drawing>
              <wp:anchor distT="0" distB="0" distL="114300" distR="114300" simplePos="0" relativeHeight="251664384" behindDoc="0" locked="0" layoutInCell="1" allowOverlap="1" wp14:anchorId="22763F61" wp14:editId="2D6A2DF4">
                <wp:simplePos x="0" y="0"/>
                <wp:positionH relativeFrom="page">
                  <wp:posOffset>449580</wp:posOffset>
                </wp:positionH>
                <wp:positionV relativeFrom="page">
                  <wp:posOffset>4593336</wp:posOffset>
                </wp:positionV>
                <wp:extent cx="9144" cy="429768"/>
                <wp:effectExtent l="0" t="0" r="0" b="0"/>
                <wp:wrapSquare wrapText="bothSides"/>
                <wp:docPr id="561709" name="Group 561709"/>
                <wp:cNvGraphicFramePr/>
                <a:graphic xmlns:a="http://schemas.openxmlformats.org/drawingml/2006/main">
                  <a:graphicData uri="http://schemas.microsoft.com/office/word/2010/wordprocessingGroup">
                    <wpg:wgp>
                      <wpg:cNvGrpSpPr/>
                      <wpg:grpSpPr>
                        <a:xfrm>
                          <a:off x="0" y="0"/>
                          <a:ext cx="9144" cy="429768"/>
                          <a:chOff x="0" y="0"/>
                          <a:chExt cx="9144" cy="429768"/>
                        </a:xfrm>
                      </wpg:grpSpPr>
                      <wps:wsp>
                        <wps:cNvPr id="693452" name="Shape 693452"/>
                        <wps:cNvSpPr/>
                        <wps:spPr>
                          <a:xfrm>
                            <a:off x="0" y="0"/>
                            <a:ext cx="9144" cy="429768"/>
                          </a:xfrm>
                          <a:custGeom>
                            <a:avLst/>
                            <a:gdLst/>
                            <a:ahLst/>
                            <a:cxnLst/>
                            <a:rect l="0" t="0" r="0" b="0"/>
                            <a:pathLst>
                              <a:path w="9144" h="429768">
                                <a:moveTo>
                                  <a:pt x="0" y="0"/>
                                </a:moveTo>
                                <a:lnTo>
                                  <a:pt x="9144" y="0"/>
                                </a:lnTo>
                                <a:lnTo>
                                  <a:pt x="9144" y="429768"/>
                                </a:lnTo>
                                <a:lnTo>
                                  <a:pt x="0" y="4297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9F0C94D" id="Group 561709" o:spid="_x0000_s1026" style="position:absolute;margin-left:35.4pt;margin-top:361.7pt;width:.7pt;height:33.85pt;z-index:251664384;mso-position-horizontal-relative:page;mso-position-vertical-relative:page" coordsize="9144,429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">
                <v:shape id="Shape 693452" o:spid="_x0000_s1027" style="position:absolute;width:9144;height:429768;visibility:visible;mso-wrap-style:square;v-text-anchor:top" coordsize="9144,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" path="m,l9144,r,429768l,429768,,e" fillcolor="black" stroked="f" strokeweight="0">
                  <v:stroke miterlimit="83231f" joinstyle="miter"/>
                  <v:path arrowok="t" textboxrect="0,0,9144,429768"/>
                </v:shape>
                <w10:wrap type="square" anchorx="page" anchory="page"/>
              </v:group>
            </w:pict>
          </mc:Fallback>
        </mc:AlternateContent>
      </w:r>
      <w:r w:rsidR="0056596D" w:rsidRPr="0056596D">
        <w:rPr>
          <w:b/>
          <w:bCs/>
        </w:rPr>
        <w:t xml:space="preserve">PERSONNEL SECURITY </w:t>
      </w:r>
    </w:p>
    <w:p w14:paraId="631F25C4" w14:textId="52573692" w:rsidR="00C1793C" w:rsidRPr="002C5218" w:rsidRDefault="00C1793C" w:rsidP="009D675B">
      <w:pPr>
        <w:pStyle w:val="Sch2"/>
        <w:numPr>
          <w:ilvl w:val="3"/>
          <w:numId w:val="56"/>
        </w:numPr>
      </w:pPr>
      <w:r w:rsidRPr="002C5218">
        <w:rPr>
          <w:rFonts w:eastAsia="Verdana"/>
        </w:rPr>
        <w:t xml:space="preserve">Supplier Personnel shall be subject to pre-employment checks that include, as a minimum: employment history for at least the last three </w:t>
      </w:r>
      <w:r w:rsidR="0056596D">
        <w:rPr>
          <w:rFonts w:eastAsia="Verdana"/>
        </w:rPr>
        <w:t xml:space="preserve">(3) </w:t>
      </w:r>
      <w:r w:rsidRPr="002C5218">
        <w:rPr>
          <w:rFonts w:eastAsia="Verdana"/>
        </w:rPr>
        <w:t xml:space="preserve">years, identity, unspent criminal convictions and right to work (including nationality and immigration status). </w:t>
      </w:r>
    </w:p>
    <w:p w14:paraId="3CF8C970" w14:textId="0AAEBD02" w:rsidR="00C1793C" w:rsidRPr="002C5218" w:rsidRDefault="00C1793C" w:rsidP="009D675B">
      <w:pPr>
        <w:pStyle w:val="Sch2"/>
        <w:numPr>
          <w:ilvl w:val="3"/>
          <w:numId w:val="56"/>
        </w:numPr>
      </w:pPr>
      <w:r w:rsidRPr="002C5218">
        <w:rPr>
          <w:rFonts w:eastAsia="Verdana"/>
        </w:rPr>
        <w:t>The Supplier and its employees, the Sub-</w:t>
      </w:r>
      <w:r w:rsidR="00413170">
        <w:rPr>
          <w:rFonts w:eastAsia="Verdana"/>
        </w:rPr>
        <w:t>c</w:t>
      </w:r>
      <w:r w:rsidRPr="002C5218">
        <w:rPr>
          <w:rFonts w:eastAsia="Verdana"/>
        </w:rPr>
        <w:t xml:space="preserve">ontractors and other persons engaged by it in relation to this Agreement within the boundaries of the Site, shall comply with such rules, </w:t>
      </w:r>
      <w:proofErr w:type="gramStart"/>
      <w:r w:rsidRPr="002C5218">
        <w:rPr>
          <w:rFonts w:eastAsia="Verdana"/>
        </w:rPr>
        <w:t>regulations</w:t>
      </w:r>
      <w:proofErr w:type="gramEnd"/>
      <w:r w:rsidRPr="002C5218">
        <w:rPr>
          <w:rFonts w:eastAsia="Verdana"/>
        </w:rPr>
        <w:t xml:space="preserve"> and requirements (including those relating to security arrangements) as may be in force from time to time for the conduct of personnel at the Site and/or </w:t>
      </w:r>
      <w:proofErr w:type="spellStart"/>
      <w:r w:rsidR="001F1C19">
        <w:rPr>
          <w:rFonts w:eastAsia="Verdana"/>
        </w:rPr>
        <w:t>Netlink</w:t>
      </w:r>
      <w:proofErr w:type="spellEnd"/>
      <w:r w:rsidR="001F1C19">
        <w:rPr>
          <w:rFonts w:eastAsia="Verdana"/>
        </w:rPr>
        <w:t xml:space="preserve"> Star</w:t>
      </w:r>
      <w:r w:rsidRPr="002C5218">
        <w:rPr>
          <w:rFonts w:eastAsia="Verdana"/>
        </w:rPr>
        <w:t>’s property</w:t>
      </w:r>
      <w:r w:rsidR="00A970BD">
        <w:rPr>
          <w:rFonts w:eastAsia="Verdana"/>
        </w:rPr>
        <w:t>.</w:t>
      </w:r>
      <w:r w:rsidRPr="002C5218">
        <w:rPr>
          <w:rFonts w:eastAsia="Verdana"/>
        </w:rPr>
        <w:t xml:space="preserve"> </w:t>
      </w:r>
    </w:p>
    <w:p w14:paraId="2F54A37B" w14:textId="42BD1641" w:rsidR="00C1793C" w:rsidRPr="002C5218" w:rsidRDefault="00C1793C" w:rsidP="009D675B">
      <w:pPr>
        <w:pStyle w:val="Sch2"/>
        <w:numPr>
          <w:ilvl w:val="3"/>
          <w:numId w:val="56"/>
        </w:numPr>
      </w:pPr>
      <w:r w:rsidRPr="002C5218">
        <w:rPr>
          <w:rFonts w:eastAsia="Verdana"/>
        </w:rPr>
        <w:t>The Contractor shall undertake Baseline Personnel Security Standard (BPSS) preemployment checks, as stated in the</w:t>
      </w:r>
      <w:hyperlink r:id="rId35">
        <w:r w:rsidRPr="002C5218">
          <w:rPr>
            <w:rStyle w:val="Hyperlink"/>
            <w:rFonts w:eastAsia="Verdana"/>
          </w:rPr>
          <w:t xml:space="preserve"> HMG Personnel Security Controls,</w:t>
        </w:r>
      </w:hyperlink>
      <w:r w:rsidRPr="002C5218">
        <w:rPr>
          <w:rFonts w:eastAsia="Verdana"/>
        </w:rPr>
        <w:t xml:space="preserve"> for all Supplier Personnel that have access to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premises or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IT networks. </w:t>
      </w:r>
    </w:p>
    <w:p w14:paraId="5D107EB2" w14:textId="338EE33E" w:rsidR="00C1793C" w:rsidRPr="00BC2A37" w:rsidRDefault="00C1793C" w:rsidP="009D675B">
      <w:pPr>
        <w:pStyle w:val="Sch2"/>
        <w:numPr>
          <w:ilvl w:val="3"/>
          <w:numId w:val="56"/>
        </w:numPr>
      </w:pPr>
      <w:r w:rsidRPr="002C5218">
        <w:rPr>
          <w:rFonts w:eastAsia="Verdana"/>
        </w:rPr>
        <w:t xml:space="preserve">Under the National </w:t>
      </w:r>
      <w:r w:rsidR="007A2AA0">
        <w:rPr>
          <w:rFonts w:eastAsia="Verdana"/>
        </w:rPr>
        <w:t>Asset set</w:t>
      </w:r>
      <w:r w:rsidRPr="002C5218">
        <w:rPr>
          <w:rFonts w:eastAsia="Verdana"/>
        </w:rPr>
        <w:t>s Security Programme (NRSP) some Supplier Personnel will be required to complete additional security checks as outlined in</w:t>
      </w:r>
      <w:hyperlink r:id="rId36">
        <w:r w:rsidRPr="002C5218">
          <w:rPr>
            <w:rStyle w:val="Hyperlink"/>
            <w:rFonts w:eastAsia="Verdana"/>
          </w:rPr>
          <w:t xml:space="preserve"> HMG Personnel Security </w:t>
        </w:r>
      </w:hyperlink>
      <w:hyperlink r:id="rId37">
        <w:r w:rsidRPr="002C5218">
          <w:rPr>
            <w:rStyle w:val="Hyperlink"/>
            <w:rFonts w:eastAsia="Verdana"/>
          </w:rPr>
          <w:t>Controls.</w:t>
        </w:r>
      </w:hyperlink>
      <w:r w:rsidRPr="002C5218">
        <w:rPr>
          <w:rFonts w:eastAsia="Verdana"/>
        </w:rPr>
        <w:t xml:space="preserve"> This applies to Critical National Infrastructure (CNI) sites and Managed Stations and those with access to CNI systems and </w:t>
      </w:r>
      <w:r w:rsidRPr="00BC2A37">
        <w:rPr>
          <w:rFonts w:eastAsia="Verdana"/>
        </w:rPr>
        <w:t xml:space="preserve">information on sensitive </w:t>
      </w:r>
      <w:r w:rsidR="00FB3E8D">
        <w:rPr>
          <w:rFonts w:eastAsia="Verdana"/>
        </w:rPr>
        <w:t>asset</w:t>
      </w:r>
      <w:r w:rsidRPr="00BC2A37">
        <w:rPr>
          <w:rFonts w:eastAsia="Verdana"/>
        </w:rPr>
        <w:t xml:space="preserve"> movements. </w:t>
      </w:r>
      <w:proofErr w:type="spellStart"/>
      <w:r w:rsidR="001F1C19">
        <w:rPr>
          <w:rFonts w:eastAsia="Verdana"/>
        </w:rPr>
        <w:t>Netlink</w:t>
      </w:r>
      <w:proofErr w:type="spellEnd"/>
      <w:r w:rsidR="001F1C19">
        <w:rPr>
          <w:rFonts w:eastAsia="Verdana"/>
        </w:rPr>
        <w:t xml:space="preserve"> Star</w:t>
      </w:r>
      <w:r w:rsidRPr="00BC2A37">
        <w:rPr>
          <w:rFonts w:eastAsia="Verdana"/>
        </w:rPr>
        <w:t xml:space="preserve">’s Representative may designate other roles requiring these additional checks. </w:t>
      </w:r>
    </w:p>
    <w:p w14:paraId="5CD96AC6" w14:textId="561D970B" w:rsidR="00C1793C" w:rsidRPr="00BC2A37" w:rsidRDefault="00C1793C" w:rsidP="009D675B">
      <w:pPr>
        <w:pStyle w:val="Sch2"/>
        <w:numPr>
          <w:ilvl w:val="3"/>
          <w:numId w:val="56"/>
        </w:numPr>
      </w:pPr>
      <w:r w:rsidRPr="00BC2A37">
        <w:rPr>
          <w:rFonts w:eastAsia="Verdana"/>
        </w:rPr>
        <w:t xml:space="preserve">The Supplier shall prevent Supplier Personnel who are unable to obtain the required security clearances from accessing </w:t>
      </w:r>
      <w:proofErr w:type="spellStart"/>
      <w:r w:rsidR="001F1C19">
        <w:rPr>
          <w:rFonts w:eastAsia="Verdana"/>
        </w:rPr>
        <w:t>Netlink</w:t>
      </w:r>
      <w:proofErr w:type="spellEnd"/>
      <w:r w:rsidR="001F1C19">
        <w:rPr>
          <w:rFonts w:eastAsia="Verdana"/>
        </w:rPr>
        <w:t xml:space="preserve"> Star</w:t>
      </w:r>
      <w:r w:rsidRPr="00BC2A37">
        <w:rPr>
          <w:rFonts w:eastAsia="Verdana"/>
        </w:rPr>
        <w:t xml:space="preserve"> premises and </w:t>
      </w:r>
      <w:proofErr w:type="spellStart"/>
      <w:r w:rsidR="001F1C19">
        <w:rPr>
          <w:rFonts w:eastAsia="Verdana"/>
        </w:rPr>
        <w:t>Netlink</w:t>
      </w:r>
      <w:proofErr w:type="spellEnd"/>
      <w:r w:rsidR="001F1C19">
        <w:rPr>
          <w:rFonts w:eastAsia="Verdana"/>
        </w:rPr>
        <w:t xml:space="preserve"> Star</w:t>
      </w:r>
      <w:r w:rsidRPr="00BC2A37">
        <w:rPr>
          <w:rFonts w:eastAsia="Verdana"/>
        </w:rPr>
        <w:t xml:space="preserve"> IT networks. </w:t>
      </w:r>
    </w:p>
    <w:p w14:paraId="1BE20E4A" w14:textId="48385943" w:rsidR="00C1793C" w:rsidRPr="00BC2A37" w:rsidRDefault="00C1793C" w:rsidP="009D675B">
      <w:pPr>
        <w:pStyle w:val="Sch2"/>
        <w:numPr>
          <w:ilvl w:val="3"/>
          <w:numId w:val="56"/>
        </w:numPr>
      </w:pPr>
      <w:r w:rsidRPr="00BC2A37">
        <w:rPr>
          <w:rFonts w:eastAsia="Verdana"/>
        </w:rPr>
        <w:t xml:space="preserve">Under NRSP all Supplier Personnel are required to undergo bi-annual security training. These training records should be kept for five </w:t>
      </w:r>
      <w:r w:rsidR="0056596D">
        <w:rPr>
          <w:rFonts w:eastAsia="Verdana"/>
        </w:rPr>
        <w:t>(</w:t>
      </w:r>
      <w:r w:rsidRPr="00BC2A37">
        <w:rPr>
          <w:rFonts w:eastAsia="Verdana"/>
        </w:rPr>
        <w:t>5</w:t>
      </w:r>
      <w:r w:rsidR="0056596D">
        <w:rPr>
          <w:rFonts w:eastAsia="Verdana"/>
        </w:rPr>
        <w:t>)</w:t>
      </w:r>
      <w:r w:rsidRPr="00BC2A37">
        <w:rPr>
          <w:rFonts w:eastAsia="Verdana"/>
        </w:rPr>
        <w:t xml:space="preserve"> years and be available on request.  </w:t>
      </w:r>
      <w:r>
        <w:rPr>
          <w:rFonts w:eastAsia="Verdana"/>
        </w:rPr>
        <w:t xml:space="preserve">Supplier shall organise, implement such training for all Supplier Personnel and evidence the same to </w:t>
      </w:r>
      <w:proofErr w:type="spellStart"/>
      <w:r w:rsidR="001F1C19">
        <w:rPr>
          <w:rFonts w:eastAsia="Verdana"/>
        </w:rPr>
        <w:t>Netlink</w:t>
      </w:r>
      <w:proofErr w:type="spellEnd"/>
      <w:r w:rsidR="001F1C19">
        <w:rPr>
          <w:rFonts w:eastAsia="Verdana"/>
        </w:rPr>
        <w:t xml:space="preserve"> Star</w:t>
      </w:r>
      <w:r>
        <w:rPr>
          <w:rFonts w:eastAsia="Verdana"/>
        </w:rPr>
        <w:t xml:space="preserve"> on request</w:t>
      </w:r>
      <w:r w:rsidRPr="0014706A">
        <w:rPr>
          <w:rFonts w:eastAsia="Verdana"/>
        </w:rPr>
        <w:t xml:space="preserve">. </w:t>
      </w:r>
    </w:p>
    <w:p w14:paraId="4A4AF6FD" w14:textId="0D072D32" w:rsidR="00C1793C" w:rsidRPr="002C5218" w:rsidRDefault="00C1793C" w:rsidP="009D675B">
      <w:pPr>
        <w:pStyle w:val="Sch2"/>
        <w:numPr>
          <w:ilvl w:val="3"/>
          <w:numId w:val="56"/>
        </w:numPr>
      </w:pPr>
      <w:r w:rsidRPr="00BC2A37">
        <w:rPr>
          <w:rFonts w:eastAsia="Verdana"/>
        </w:rPr>
        <w:lastRenderedPageBreak/>
        <w:t xml:space="preserve">The Supplier shall agree with </w:t>
      </w:r>
      <w:proofErr w:type="spellStart"/>
      <w:r w:rsidR="001F1C19">
        <w:rPr>
          <w:rFonts w:eastAsia="Verdana"/>
        </w:rPr>
        <w:t>Netlink</w:t>
      </w:r>
      <w:proofErr w:type="spellEnd"/>
      <w:r w:rsidR="001F1C19">
        <w:rPr>
          <w:rFonts w:eastAsia="Verdana"/>
        </w:rPr>
        <w:t xml:space="preserve"> Star</w:t>
      </w:r>
      <w:r w:rsidRPr="00BC2A37">
        <w:rPr>
          <w:rFonts w:eastAsia="Verdana"/>
        </w:rPr>
        <w:t xml:space="preserve"> on a </w:t>
      </w:r>
      <w:proofErr w:type="gramStart"/>
      <w:r w:rsidRPr="00BC2A37">
        <w:rPr>
          <w:rFonts w:eastAsia="Verdana"/>
        </w:rPr>
        <w:t>case by case</w:t>
      </w:r>
      <w:proofErr w:type="gramEnd"/>
      <w:r w:rsidRPr="00BC2A37">
        <w:rPr>
          <w:rFonts w:eastAsia="Verdana"/>
        </w:rPr>
        <w:t xml:space="preserve"> basis Supplier Personnel roles which require specific government clearances (such as ‘SC’) including system administrators with privileged access to</w:t>
      </w:r>
      <w:r w:rsidRPr="002C5218">
        <w:rPr>
          <w:rFonts w:eastAsia="Verdana"/>
        </w:rPr>
        <w:t xml:space="preserve"> IT systems which store or process </w:t>
      </w:r>
      <w:proofErr w:type="spellStart"/>
      <w:r w:rsidR="001F1C19">
        <w:rPr>
          <w:rFonts w:eastAsia="Verdana"/>
        </w:rPr>
        <w:t>Netlink</w:t>
      </w:r>
      <w:proofErr w:type="spellEnd"/>
      <w:r w:rsidR="001F1C19">
        <w:rPr>
          <w:rFonts w:eastAsia="Verdana"/>
        </w:rPr>
        <w:t xml:space="preserve"> Star</w:t>
      </w:r>
      <w:r w:rsidRPr="002C5218">
        <w:rPr>
          <w:rFonts w:eastAsia="Verdana"/>
        </w:rPr>
        <w:t xml:space="preserve"> Data. </w:t>
      </w:r>
    </w:p>
    <w:p w14:paraId="38F2140A" w14:textId="186A5859" w:rsidR="00C1793C" w:rsidRPr="009472E0" w:rsidRDefault="00C1793C" w:rsidP="009D675B">
      <w:pPr>
        <w:pStyle w:val="Sch2"/>
        <w:numPr>
          <w:ilvl w:val="3"/>
          <w:numId w:val="56"/>
        </w:numPr>
      </w:pPr>
      <w:r w:rsidRPr="002C5218">
        <w:rPr>
          <w:rFonts w:eastAsia="Verdana"/>
        </w:rPr>
        <w:t>Where the Supplier or Sub-</w:t>
      </w:r>
      <w:r w:rsidR="00413170">
        <w:rPr>
          <w:rFonts w:eastAsia="Verdana"/>
        </w:rPr>
        <w:t>c</w:t>
      </w:r>
      <w:r w:rsidRPr="002C5218">
        <w:rPr>
          <w:rFonts w:eastAsia="Verdana"/>
        </w:rPr>
        <w:t xml:space="preserve">ontractors grants increased IT privileges or access rights to Supplier Personnel, those Supplier Personnel shall be granted only those permissions necessary for them to carry out their duties.  When staff no longer need elevated privileges or leave the organisation, their access rights shall be revoked within one (1) Working Day. </w:t>
      </w:r>
    </w:p>
    <w:p w14:paraId="39F78C17" w14:textId="670AA13E" w:rsidR="00C1793C" w:rsidRPr="0056596D" w:rsidRDefault="0056596D" w:rsidP="009D675B">
      <w:pPr>
        <w:pStyle w:val="Sch1"/>
        <w:numPr>
          <w:ilvl w:val="2"/>
          <w:numId w:val="56"/>
        </w:numPr>
        <w:rPr>
          <w:b/>
          <w:bCs/>
        </w:rPr>
      </w:pPr>
      <w:r w:rsidRPr="0056596D">
        <w:rPr>
          <w:rFonts w:eastAsia="Verdana"/>
          <w:b/>
          <w:bCs/>
        </w:rPr>
        <w:t xml:space="preserve">IDENTITY, AUTHENTICATION AND ACCESS CONTROL </w:t>
      </w:r>
    </w:p>
    <w:p w14:paraId="68C61AA1" w14:textId="675D9D85" w:rsidR="00C1793C" w:rsidRPr="002C5218" w:rsidRDefault="00C1793C" w:rsidP="009D675B">
      <w:pPr>
        <w:pStyle w:val="Sch2"/>
        <w:numPr>
          <w:ilvl w:val="3"/>
          <w:numId w:val="56"/>
        </w:numPr>
      </w:pPr>
      <w:r w:rsidRPr="002C5218">
        <w:rPr>
          <w:rFonts w:eastAsia="Verdana"/>
        </w:rPr>
        <w:t>The Supplier shall operate an access control regime to ensure all users and administrators of the Supplier Solution are uniquely identified and authenticated when accessing or administering the Services.  Applying the ‘principle of least privilege’, users and administrators shall be allowed access only to those parts of the Supplier Solution they require.  The Supplier shall retain an audit record of accesses</w:t>
      </w:r>
      <w:r>
        <w:rPr>
          <w:rFonts w:eastAsia="Verdana"/>
        </w:rPr>
        <w:t xml:space="preserve"> which shall be provided to </w:t>
      </w:r>
      <w:proofErr w:type="spellStart"/>
      <w:r w:rsidR="001F1C19">
        <w:rPr>
          <w:rFonts w:eastAsia="Verdana"/>
        </w:rPr>
        <w:t>Netlink</w:t>
      </w:r>
      <w:proofErr w:type="spellEnd"/>
      <w:r w:rsidR="001F1C19">
        <w:rPr>
          <w:rFonts w:eastAsia="Verdana"/>
        </w:rPr>
        <w:t xml:space="preserve"> Star</w:t>
      </w:r>
      <w:r>
        <w:rPr>
          <w:rFonts w:eastAsia="Verdana"/>
        </w:rPr>
        <w:t xml:space="preserve"> on demand</w:t>
      </w:r>
      <w:r w:rsidRPr="002C5218">
        <w:rPr>
          <w:rFonts w:eastAsia="Verdana"/>
        </w:rPr>
        <w:t xml:space="preserve">. </w:t>
      </w:r>
    </w:p>
    <w:p w14:paraId="12F88F3F" w14:textId="1B00DAF8" w:rsidR="00C1793C" w:rsidRPr="0056596D" w:rsidRDefault="0056596D" w:rsidP="009D675B">
      <w:pPr>
        <w:pStyle w:val="Sch1"/>
        <w:numPr>
          <w:ilvl w:val="2"/>
          <w:numId w:val="56"/>
        </w:numPr>
        <w:rPr>
          <w:b/>
          <w:bCs/>
        </w:rPr>
      </w:pPr>
      <w:r w:rsidRPr="0056596D">
        <w:rPr>
          <w:b/>
          <w:bCs/>
        </w:rPr>
        <w:t xml:space="preserve">AUDIT AND MONITORING </w:t>
      </w:r>
    </w:p>
    <w:p w14:paraId="649C27EB" w14:textId="0D70E6AA" w:rsidR="00C1793C" w:rsidRPr="00BC2A37" w:rsidRDefault="00C1793C" w:rsidP="009D675B">
      <w:pPr>
        <w:pStyle w:val="Sch2"/>
        <w:numPr>
          <w:ilvl w:val="3"/>
          <w:numId w:val="56"/>
        </w:numPr>
      </w:pPr>
      <w:r w:rsidRPr="00923320">
        <w:rPr>
          <w:rFonts w:eastAsia="Verdana"/>
        </w:rPr>
        <w:t xml:space="preserve">The Supplier shall collect audit records which relate to security events in the systems or that would support the </w:t>
      </w:r>
      <w:r w:rsidRPr="00BC2A37">
        <w:rPr>
          <w:rFonts w:eastAsia="Verdana"/>
        </w:rPr>
        <w:t xml:space="preserve">analysis of potential and actual compromises and share these with the </w:t>
      </w:r>
      <w:proofErr w:type="spellStart"/>
      <w:r w:rsidR="001F1C19">
        <w:rPr>
          <w:rFonts w:eastAsia="Verdana"/>
        </w:rPr>
        <w:t>Netlink</w:t>
      </w:r>
      <w:proofErr w:type="spellEnd"/>
      <w:r w:rsidR="001F1C19">
        <w:rPr>
          <w:rFonts w:eastAsia="Verdana"/>
        </w:rPr>
        <w:t xml:space="preserve"> Star</w:t>
      </w:r>
      <w:r w:rsidRPr="00BC2A37">
        <w:rPr>
          <w:rFonts w:eastAsia="Verdana"/>
        </w:rPr>
        <w:t xml:space="preserve"> Security Operations Centre as requested.  </w:t>
      </w:r>
      <w:proofErr w:type="gramStart"/>
      <w:r w:rsidRPr="00BC2A37">
        <w:rPr>
          <w:rFonts w:eastAsia="Verdana"/>
        </w:rPr>
        <w:t>In order to</w:t>
      </w:r>
      <w:proofErr w:type="gramEnd"/>
      <w:r w:rsidRPr="00BC2A37">
        <w:rPr>
          <w:rFonts w:eastAsia="Verdana"/>
        </w:rPr>
        <w:t xml:space="preserve"> facilitate effective monitoring and forensic readiness such Supplier audit records should (as a minimum) include: </w:t>
      </w:r>
    </w:p>
    <w:p w14:paraId="55B45FE0" w14:textId="5E2C7FE4" w:rsidR="00C1793C" w:rsidRPr="00BC2A37" w:rsidRDefault="0056596D" w:rsidP="009D675B">
      <w:pPr>
        <w:pStyle w:val="Sch3"/>
        <w:numPr>
          <w:ilvl w:val="4"/>
          <w:numId w:val="56"/>
        </w:numPr>
      </w:pPr>
      <w:r w:rsidRPr="00BC2A37">
        <w:rPr>
          <w:rFonts w:eastAsia="Verdana"/>
        </w:rPr>
        <w:t xml:space="preserve">logs </w:t>
      </w:r>
      <w:r w:rsidR="00C1793C" w:rsidRPr="00BC2A37">
        <w:rPr>
          <w:rFonts w:eastAsia="Verdana"/>
        </w:rPr>
        <w:t xml:space="preserve">to facilitate the identification of the specific asset which makes every outbound request external to the IT Environment (to the extent that the IT Environment is within the control of the Supplier).  To the extent the design of the Supplier Solution and Services allows such logs shall include those from DHCP servers, HTTP/HTTPS proxy servers, </w:t>
      </w:r>
      <w:proofErr w:type="gramStart"/>
      <w:r w:rsidR="00C1793C" w:rsidRPr="00BC2A37">
        <w:rPr>
          <w:rFonts w:eastAsia="Verdana"/>
        </w:rPr>
        <w:t>firewalls</w:t>
      </w:r>
      <w:proofErr w:type="gramEnd"/>
      <w:r w:rsidR="00C1793C" w:rsidRPr="00BC2A37">
        <w:rPr>
          <w:rFonts w:eastAsia="Verdana"/>
        </w:rPr>
        <w:t xml:space="preserve"> and routers. </w:t>
      </w:r>
    </w:p>
    <w:p w14:paraId="03CEF7BC" w14:textId="42CC1EBB" w:rsidR="00C1793C" w:rsidRPr="00BC2A37" w:rsidRDefault="0056596D" w:rsidP="009D675B">
      <w:pPr>
        <w:pStyle w:val="Sch3"/>
        <w:numPr>
          <w:ilvl w:val="4"/>
          <w:numId w:val="56"/>
        </w:numPr>
      </w:pPr>
      <w:r w:rsidRPr="00BC2A37">
        <w:rPr>
          <w:rFonts w:eastAsia="Verdana"/>
        </w:rPr>
        <w:t xml:space="preserve">security </w:t>
      </w:r>
      <w:r w:rsidR="00C1793C" w:rsidRPr="00BC2A37">
        <w:rPr>
          <w:rFonts w:eastAsia="Verdana"/>
        </w:rPr>
        <w:t xml:space="preserve">events generated in the IT Environment (to the extent that the IT Environment is within the control of the Supplier) and shall </w:t>
      </w:r>
      <w:proofErr w:type="gramStart"/>
      <w:r w:rsidR="00C1793C" w:rsidRPr="00BC2A37">
        <w:rPr>
          <w:rFonts w:eastAsia="Verdana"/>
        </w:rPr>
        <w:t>include:</w:t>
      </w:r>
      <w:proofErr w:type="gramEnd"/>
      <w:r w:rsidR="00271517">
        <w:rPr>
          <w:rFonts w:eastAsia="Verdana"/>
        </w:rPr>
        <w:t xml:space="preserve"> </w:t>
      </w:r>
      <w:r w:rsidR="00C1793C" w:rsidRPr="00BC2A37">
        <w:rPr>
          <w:rFonts w:eastAsia="Verdana"/>
        </w:rPr>
        <w:t xml:space="preserve">privileged account logon and logoff events, the start and termination of remote access sessions, security alerts from desktops and server operating systems and security alerts from third party security software. </w:t>
      </w:r>
    </w:p>
    <w:p w14:paraId="3602953B" w14:textId="3F4DB816" w:rsidR="00C1793C" w:rsidRPr="00923320" w:rsidRDefault="00C1793C" w:rsidP="009D675B">
      <w:pPr>
        <w:pStyle w:val="Sch2"/>
        <w:numPr>
          <w:ilvl w:val="3"/>
          <w:numId w:val="56"/>
        </w:numPr>
      </w:pPr>
      <w:r w:rsidRPr="00BC2A37">
        <w:rPr>
          <w:rFonts w:eastAsia="Verdana"/>
        </w:rPr>
        <w:t xml:space="preserve">The Supplier and </w:t>
      </w:r>
      <w:proofErr w:type="spellStart"/>
      <w:r w:rsidR="001F1C19">
        <w:rPr>
          <w:rFonts w:eastAsia="Verdana"/>
        </w:rPr>
        <w:t>Netlink</w:t>
      </w:r>
      <w:proofErr w:type="spellEnd"/>
      <w:r w:rsidR="001F1C19">
        <w:rPr>
          <w:rFonts w:eastAsia="Verdana"/>
        </w:rPr>
        <w:t xml:space="preserve"> Star</w:t>
      </w:r>
      <w:r w:rsidRPr="00BC2A37">
        <w:rPr>
          <w:rFonts w:eastAsia="Verdana"/>
        </w:rPr>
        <w:t xml:space="preserve"> shall work together to establish any additional audit and monitoring requirements for the</w:t>
      </w:r>
      <w:r w:rsidRPr="00923320">
        <w:rPr>
          <w:rFonts w:eastAsia="Verdana"/>
        </w:rPr>
        <w:t xml:space="preserve"> IT Environment. </w:t>
      </w:r>
    </w:p>
    <w:p w14:paraId="1C23B92D" w14:textId="77777777" w:rsidR="00C1793C" w:rsidRPr="00923320" w:rsidRDefault="00C1793C" w:rsidP="009D675B">
      <w:pPr>
        <w:pStyle w:val="Sch2"/>
        <w:numPr>
          <w:ilvl w:val="3"/>
          <w:numId w:val="56"/>
        </w:numPr>
      </w:pPr>
      <w:r w:rsidRPr="00923320">
        <w:rPr>
          <w:rFonts w:eastAsia="Verdana"/>
        </w:rPr>
        <w:t xml:space="preserve">The Supplier shall retain audit records collected a period of at least six (6) months. </w:t>
      </w:r>
    </w:p>
    <w:p w14:paraId="2183A46E" w14:textId="77777777" w:rsidR="00C1793C" w:rsidRPr="00C071FA" w:rsidRDefault="00C1793C" w:rsidP="00452A59">
      <w:pPr>
        <w:pStyle w:val="ListParagraph"/>
        <w:ind w:left="1080" w:firstLine="0"/>
        <w:jc w:val="left"/>
        <w:rPr>
          <w:rFonts w:ascii="Arial" w:eastAsia="Verdana" w:hAnsi="Arial" w:cs="Times New Roman"/>
          <w:color w:val="000000"/>
          <w:sz w:val="20"/>
          <w:lang w:eastAsia="en-GB"/>
        </w:rPr>
      </w:pPr>
    </w:p>
    <w:p w14:paraId="5247C276" w14:textId="77777777" w:rsidR="00C1793C" w:rsidRDefault="00C1793C">
      <w:pPr>
        <w:rPr>
          <w:b/>
        </w:rPr>
      </w:pPr>
      <w:r>
        <w:rPr>
          <w:b/>
        </w:rPr>
        <w:br w:type="page"/>
      </w:r>
    </w:p>
    <w:p w14:paraId="25FC130B" w14:textId="5FFED4CA" w:rsidR="00C1793C" w:rsidRPr="009472E0" w:rsidRDefault="00C1793C" w:rsidP="00C1793C">
      <w:pPr>
        <w:pStyle w:val="Sch2"/>
        <w:numPr>
          <w:ilvl w:val="0"/>
          <w:numId w:val="0"/>
        </w:numPr>
        <w:jc w:val="center"/>
      </w:pPr>
      <w:r w:rsidRPr="009472E0">
        <w:rPr>
          <w:b/>
        </w:rPr>
        <w:lastRenderedPageBreak/>
        <w:t xml:space="preserve">ANNEX </w:t>
      </w:r>
      <w:r w:rsidR="0056596D">
        <w:rPr>
          <w:b/>
        </w:rPr>
        <w:t>2.6B</w:t>
      </w:r>
    </w:p>
    <w:p w14:paraId="52734F3B" w14:textId="512FD64B" w:rsidR="00C1793C" w:rsidRDefault="00452A59" w:rsidP="00C1793C">
      <w:pPr>
        <w:jc w:val="center"/>
      </w:pPr>
      <w:r>
        <w:rPr>
          <w:b/>
        </w:rPr>
        <w:t xml:space="preserve">INITIAL </w:t>
      </w:r>
      <w:r w:rsidRPr="002C5218">
        <w:rPr>
          <w:b/>
        </w:rPr>
        <w:t>SECURITY MANAGEMENT PLAN</w:t>
      </w:r>
    </w:p>
    <w:p w14:paraId="2CB37A27" w14:textId="77777777" w:rsidR="00C1793C" w:rsidRPr="00C050B2" w:rsidRDefault="00C1793C" w:rsidP="00452A59">
      <w:pPr>
        <w:spacing w:line="413" w:lineRule="auto"/>
        <w:ind w:left="141" w:right="95" w:hanging="141"/>
        <w:rPr>
          <w:rFonts w:eastAsia="Arial" w:cs="Arial"/>
          <w:szCs w:val="20"/>
        </w:rPr>
      </w:pPr>
      <w:r w:rsidRPr="00C050B2">
        <w:rPr>
          <w:rFonts w:eastAsia="Arial" w:cs="Arial"/>
          <w:b/>
          <w:szCs w:val="20"/>
        </w:rPr>
        <w:t>(</w:t>
      </w:r>
      <w:r w:rsidRPr="00C050B2">
        <w:rPr>
          <w:rFonts w:eastAsia="Arial" w:cs="Arial"/>
          <w:b/>
          <w:spacing w:val="1"/>
          <w:szCs w:val="20"/>
        </w:rPr>
        <w:t>Accr</w:t>
      </w:r>
      <w:r w:rsidRPr="00C050B2">
        <w:rPr>
          <w:rFonts w:eastAsia="Arial" w:cs="Arial"/>
          <w:b/>
          <w:spacing w:val="-3"/>
          <w:szCs w:val="20"/>
        </w:rPr>
        <w:t>e</w:t>
      </w:r>
      <w:r w:rsidRPr="00C050B2">
        <w:rPr>
          <w:rFonts w:eastAsia="Arial" w:cs="Arial"/>
          <w:b/>
          <w:spacing w:val="-2"/>
          <w:szCs w:val="20"/>
        </w:rPr>
        <w:t>di</w:t>
      </w:r>
      <w:r w:rsidRPr="00C050B2">
        <w:rPr>
          <w:rFonts w:eastAsia="Arial" w:cs="Arial"/>
          <w:b/>
          <w:szCs w:val="20"/>
        </w:rPr>
        <w:t>t</w:t>
      </w:r>
      <w:r w:rsidRPr="00C050B2">
        <w:rPr>
          <w:rFonts w:eastAsia="Arial" w:cs="Arial"/>
          <w:b/>
          <w:spacing w:val="1"/>
          <w:szCs w:val="20"/>
        </w:rPr>
        <w:t>a</w:t>
      </w:r>
      <w:r w:rsidRPr="00C050B2">
        <w:rPr>
          <w:rFonts w:eastAsia="Arial" w:cs="Arial"/>
          <w:b/>
          <w:szCs w:val="20"/>
        </w:rPr>
        <w:t>t</w:t>
      </w:r>
      <w:r w:rsidRPr="00C050B2">
        <w:rPr>
          <w:rFonts w:eastAsia="Arial" w:cs="Arial"/>
          <w:b/>
          <w:spacing w:val="-2"/>
          <w:szCs w:val="20"/>
        </w:rPr>
        <w:t>ion</w:t>
      </w:r>
      <w:r w:rsidRPr="00C050B2">
        <w:rPr>
          <w:rFonts w:eastAsia="Arial" w:cs="Arial"/>
          <w:b/>
          <w:szCs w:val="20"/>
        </w:rPr>
        <w:t xml:space="preserve">) </w:t>
      </w:r>
      <w:r w:rsidRPr="00C050B2">
        <w:rPr>
          <w:rFonts w:eastAsia="Arial" w:cs="Arial"/>
          <w:b/>
          <w:szCs w:val="20"/>
          <w:highlight w:val="yellow"/>
        </w:rPr>
        <w:t>[P</w:t>
      </w:r>
      <w:r w:rsidRPr="00C050B2">
        <w:rPr>
          <w:rFonts w:eastAsia="Arial" w:cs="Arial"/>
          <w:b/>
          <w:spacing w:val="1"/>
          <w:szCs w:val="20"/>
          <w:highlight w:val="yellow"/>
        </w:rPr>
        <w:t>r</w:t>
      </w:r>
      <w:r w:rsidRPr="00C050B2">
        <w:rPr>
          <w:rFonts w:eastAsia="Arial" w:cs="Arial"/>
          <w:b/>
          <w:spacing w:val="-2"/>
          <w:szCs w:val="20"/>
          <w:highlight w:val="yellow"/>
        </w:rPr>
        <w:t>oj</w:t>
      </w:r>
      <w:r w:rsidRPr="00C050B2">
        <w:rPr>
          <w:rFonts w:eastAsia="Arial" w:cs="Arial"/>
          <w:b/>
          <w:spacing w:val="1"/>
          <w:szCs w:val="20"/>
          <w:highlight w:val="yellow"/>
        </w:rPr>
        <w:t>ec</w:t>
      </w:r>
      <w:r w:rsidRPr="00C050B2">
        <w:rPr>
          <w:rFonts w:eastAsia="Arial" w:cs="Arial"/>
          <w:b/>
          <w:szCs w:val="20"/>
          <w:highlight w:val="yellow"/>
        </w:rPr>
        <w:t>t</w:t>
      </w:r>
      <w:r w:rsidRPr="00C050B2">
        <w:rPr>
          <w:rFonts w:eastAsia="Arial" w:cs="Arial"/>
          <w:b/>
          <w:spacing w:val="-2"/>
          <w:szCs w:val="20"/>
          <w:highlight w:val="yellow"/>
        </w:rPr>
        <w:t>/</w:t>
      </w:r>
      <w:r w:rsidRPr="00C050B2">
        <w:rPr>
          <w:rFonts w:eastAsia="Arial" w:cs="Arial"/>
          <w:b/>
          <w:szCs w:val="20"/>
          <w:highlight w:val="yellow"/>
        </w:rPr>
        <w:t>S</w:t>
      </w:r>
      <w:r w:rsidRPr="00C050B2">
        <w:rPr>
          <w:rFonts w:eastAsia="Arial" w:cs="Arial"/>
          <w:b/>
          <w:spacing w:val="1"/>
          <w:szCs w:val="20"/>
          <w:highlight w:val="yellow"/>
        </w:rPr>
        <w:t>erv</w:t>
      </w:r>
      <w:r w:rsidRPr="00C050B2">
        <w:rPr>
          <w:rFonts w:eastAsia="Arial" w:cs="Arial"/>
          <w:b/>
          <w:spacing w:val="-2"/>
          <w:szCs w:val="20"/>
          <w:highlight w:val="yellow"/>
        </w:rPr>
        <w:t>i</w:t>
      </w:r>
      <w:r w:rsidRPr="00C050B2">
        <w:rPr>
          <w:rFonts w:eastAsia="Arial" w:cs="Arial"/>
          <w:b/>
          <w:spacing w:val="1"/>
          <w:szCs w:val="20"/>
          <w:highlight w:val="yellow"/>
        </w:rPr>
        <w:t>c</w:t>
      </w:r>
      <w:r w:rsidRPr="00C050B2">
        <w:rPr>
          <w:rFonts w:eastAsia="Arial" w:cs="Arial"/>
          <w:b/>
          <w:szCs w:val="20"/>
          <w:highlight w:val="yellow"/>
        </w:rPr>
        <w:t xml:space="preserve">e </w:t>
      </w:r>
      <w:r w:rsidRPr="00C050B2">
        <w:rPr>
          <w:rFonts w:eastAsia="Arial" w:cs="Arial"/>
          <w:b/>
          <w:spacing w:val="1"/>
          <w:szCs w:val="20"/>
          <w:highlight w:val="yellow"/>
        </w:rPr>
        <w:t>a</w:t>
      </w:r>
      <w:r w:rsidRPr="00C050B2">
        <w:rPr>
          <w:rFonts w:eastAsia="Arial" w:cs="Arial"/>
          <w:b/>
          <w:spacing w:val="-2"/>
          <w:szCs w:val="20"/>
          <w:highlight w:val="yellow"/>
        </w:rPr>
        <w:t>n</w:t>
      </w:r>
      <w:r w:rsidRPr="00C050B2">
        <w:rPr>
          <w:rFonts w:eastAsia="Arial" w:cs="Arial"/>
          <w:b/>
          <w:szCs w:val="20"/>
          <w:highlight w:val="yellow"/>
        </w:rPr>
        <w:t>d</w:t>
      </w:r>
      <w:r w:rsidRPr="00C050B2">
        <w:rPr>
          <w:rFonts w:eastAsia="Arial" w:cs="Arial"/>
          <w:b/>
          <w:spacing w:val="-1"/>
          <w:szCs w:val="20"/>
          <w:highlight w:val="yellow"/>
        </w:rPr>
        <w:t xml:space="preserve"> </w:t>
      </w:r>
      <w:r w:rsidRPr="00C050B2">
        <w:rPr>
          <w:rFonts w:eastAsia="Arial" w:cs="Arial"/>
          <w:b/>
          <w:szCs w:val="20"/>
          <w:highlight w:val="yellow"/>
        </w:rPr>
        <w:t>S</w:t>
      </w:r>
      <w:r w:rsidRPr="00C050B2">
        <w:rPr>
          <w:rFonts w:eastAsia="Arial" w:cs="Arial"/>
          <w:b/>
          <w:spacing w:val="-2"/>
          <w:szCs w:val="20"/>
          <w:highlight w:val="yellow"/>
        </w:rPr>
        <w:t>upp</w:t>
      </w:r>
      <w:r w:rsidRPr="00C050B2">
        <w:rPr>
          <w:rFonts w:eastAsia="Arial" w:cs="Arial"/>
          <w:b/>
          <w:spacing w:val="3"/>
          <w:szCs w:val="20"/>
          <w:highlight w:val="yellow"/>
        </w:rPr>
        <w:t>l</w:t>
      </w:r>
      <w:r w:rsidRPr="00C050B2">
        <w:rPr>
          <w:rFonts w:eastAsia="Arial" w:cs="Arial"/>
          <w:b/>
          <w:spacing w:val="-2"/>
          <w:szCs w:val="20"/>
          <w:highlight w:val="yellow"/>
        </w:rPr>
        <w:t>i</w:t>
      </w:r>
      <w:r w:rsidRPr="00C050B2">
        <w:rPr>
          <w:rFonts w:eastAsia="Arial" w:cs="Arial"/>
          <w:b/>
          <w:spacing w:val="1"/>
          <w:szCs w:val="20"/>
          <w:highlight w:val="yellow"/>
        </w:rPr>
        <w:t>e</w:t>
      </w:r>
      <w:r w:rsidRPr="00C050B2">
        <w:rPr>
          <w:rFonts w:eastAsia="Arial" w:cs="Arial"/>
          <w:b/>
          <w:szCs w:val="20"/>
          <w:highlight w:val="yellow"/>
        </w:rPr>
        <w:t xml:space="preserve">r </w:t>
      </w:r>
      <w:r w:rsidRPr="00C050B2">
        <w:rPr>
          <w:rFonts w:eastAsia="Arial" w:cs="Arial"/>
          <w:b/>
          <w:spacing w:val="1"/>
          <w:szCs w:val="20"/>
          <w:highlight w:val="yellow"/>
        </w:rPr>
        <w:t>Name</w:t>
      </w:r>
      <w:r w:rsidRPr="00C050B2">
        <w:rPr>
          <w:rFonts w:eastAsia="Arial" w:cs="Arial"/>
          <w:b/>
          <w:szCs w:val="20"/>
          <w:highlight w:val="yellow"/>
        </w:rPr>
        <w:t>]</w:t>
      </w:r>
    </w:p>
    <w:p w14:paraId="7C61FD56" w14:textId="77777777" w:rsidR="00C1793C" w:rsidRPr="00C050B2" w:rsidRDefault="00C1793C" w:rsidP="009D675B">
      <w:pPr>
        <w:pStyle w:val="Sch1"/>
        <w:numPr>
          <w:ilvl w:val="2"/>
          <w:numId w:val="57"/>
        </w:numPr>
        <w:rPr>
          <w:rFonts w:eastAsia="Arial" w:cs="Arial"/>
          <w:szCs w:val="20"/>
        </w:rPr>
      </w:pPr>
      <w:r w:rsidRPr="00C050B2">
        <w:rPr>
          <w:rFonts w:eastAsia="Verdana"/>
        </w:rPr>
        <w:t>E</w:t>
      </w:r>
      <w:r w:rsidRPr="00C050B2">
        <w:rPr>
          <w:rFonts w:eastAsia="Verdana"/>
          <w:spacing w:val="1"/>
        </w:rPr>
        <w:t>xec</w:t>
      </w:r>
      <w:r w:rsidRPr="00C050B2">
        <w:rPr>
          <w:rFonts w:eastAsia="Verdana"/>
          <w:spacing w:val="-2"/>
        </w:rPr>
        <w:t>u</w:t>
      </w:r>
      <w:r w:rsidRPr="00C050B2">
        <w:rPr>
          <w:rFonts w:eastAsia="Verdana"/>
        </w:rPr>
        <w:t>t</w:t>
      </w:r>
      <w:r w:rsidRPr="00C050B2">
        <w:rPr>
          <w:rFonts w:eastAsia="Verdana"/>
          <w:spacing w:val="-2"/>
        </w:rPr>
        <w:t>i</w:t>
      </w:r>
      <w:r w:rsidRPr="00C050B2">
        <w:rPr>
          <w:rFonts w:eastAsia="Verdana"/>
          <w:spacing w:val="1"/>
        </w:rPr>
        <w:t>v</w:t>
      </w:r>
      <w:r w:rsidRPr="00C050B2">
        <w:rPr>
          <w:rFonts w:eastAsia="Verdana"/>
        </w:rPr>
        <w:t>e</w:t>
      </w:r>
      <w:r w:rsidRPr="00C050B2">
        <w:rPr>
          <w:rFonts w:eastAsia="Arial" w:cs="Arial"/>
          <w:szCs w:val="20"/>
        </w:rPr>
        <w:t xml:space="preserve"> S</w:t>
      </w:r>
      <w:r w:rsidRPr="00C050B2">
        <w:rPr>
          <w:rFonts w:eastAsia="Arial" w:cs="Arial"/>
          <w:spacing w:val="-2"/>
          <w:szCs w:val="20"/>
        </w:rPr>
        <w:t>u</w:t>
      </w:r>
      <w:r w:rsidRPr="00C050B2">
        <w:rPr>
          <w:rFonts w:eastAsia="Arial" w:cs="Arial"/>
          <w:spacing w:val="1"/>
          <w:szCs w:val="20"/>
        </w:rPr>
        <w:t>mmar</w:t>
      </w:r>
      <w:r w:rsidRPr="00C050B2">
        <w:rPr>
          <w:rFonts w:eastAsia="Arial" w:cs="Arial"/>
          <w:szCs w:val="20"/>
        </w:rPr>
        <w:t>y</w:t>
      </w:r>
    </w:p>
    <w:p w14:paraId="5640BDE8" w14:textId="77777777" w:rsidR="00C1793C" w:rsidRPr="00C050B2" w:rsidRDefault="00C1793C" w:rsidP="00C1793C">
      <w:pPr>
        <w:ind w:left="861" w:right="458"/>
        <w:rPr>
          <w:rFonts w:eastAsia="Arial" w:cs="Arial"/>
          <w:szCs w:val="20"/>
        </w:rPr>
      </w:pPr>
      <w:r w:rsidRPr="00C050B2">
        <w:rPr>
          <w:rFonts w:eastAsia="Arial" w:cs="Arial"/>
          <w:i/>
          <w:szCs w:val="20"/>
        </w:rPr>
        <w:t>&lt;</w:t>
      </w:r>
      <w:r w:rsidRPr="00C050B2">
        <w:rPr>
          <w:rFonts w:eastAsia="Arial" w:cs="Arial"/>
          <w:i/>
          <w:spacing w:val="-2"/>
          <w:szCs w:val="20"/>
        </w:rPr>
        <w:t>T</w:t>
      </w:r>
      <w:r w:rsidRPr="00C050B2">
        <w:rPr>
          <w:rFonts w:eastAsia="Arial" w:cs="Arial"/>
          <w:i/>
          <w:spacing w:val="1"/>
          <w:szCs w:val="20"/>
        </w:rPr>
        <w:t>hi</w:t>
      </w:r>
      <w:r w:rsidRPr="00C050B2">
        <w:rPr>
          <w:rFonts w:eastAsia="Arial" w:cs="Arial"/>
          <w:i/>
          <w:szCs w:val="20"/>
        </w:rPr>
        <w:t>s</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e</w:t>
      </w:r>
      <w:r w:rsidRPr="00C050B2">
        <w:rPr>
          <w:rFonts w:eastAsia="Arial" w:cs="Arial"/>
          <w:i/>
          <w:szCs w:val="20"/>
        </w:rPr>
        <w:t>c</w:t>
      </w:r>
      <w:r w:rsidRPr="00C050B2">
        <w:rPr>
          <w:rFonts w:eastAsia="Arial" w:cs="Arial"/>
          <w:i/>
          <w:spacing w:val="-2"/>
          <w:szCs w:val="20"/>
        </w:rPr>
        <w:t>t</w:t>
      </w:r>
      <w:r w:rsidRPr="00C050B2">
        <w:rPr>
          <w:rFonts w:eastAsia="Arial" w:cs="Arial"/>
          <w:i/>
          <w:spacing w:val="1"/>
          <w:szCs w:val="20"/>
        </w:rPr>
        <w:t>io</w:t>
      </w:r>
      <w:r w:rsidRPr="00C050B2">
        <w:rPr>
          <w:rFonts w:eastAsia="Arial" w:cs="Arial"/>
          <w:i/>
          <w:szCs w:val="20"/>
        </w:rPr>
        <w:t>n s</w:t>
      </w:r>
      <w:r w:rsidRPr="00C050B2">
        <w:rPr>
          <w:rFonts w:eastAsia="Arial" w:cs="Arial"/>
          <w:i/>
          <w:spacing w:val="1"/>
          <w:szCs w:val="20"/>
        </w:rPr>
        <w:t>ho</w:t>
      </w:r>
      <w:r w:rsidRPr="00C050B2">
        <w:rPr>
          <w:rFonts w:eastAsia="Arial" w:cs="Arial"/>
          <w:i/>
          <w:spacing w:val="-3"/>
          <w:szCs w:val="20"/>
        </w:rPr>
        <w:t>u</w:t>
      </w:r>
      <w:r w:rsidRPr="00C050B2">
        <w:rPr>
          <w:rFonts w:eastAsia="Arial" w:cs="Arial"/>
          <w:i/>
          <w:spacing w:val="1"/>
          <w:szCs w:val="20"/>
        </w:rPr>
        <w:t>l</w:t>
      </w:r>
      <w:r w:rsidRPr="00C050B2">
        <w:rPr>
          <w:rFonts w:eastAsia="Arial" w:cs="Arial"/>
          <w:i/>
          <w:szCs w:val="20"/>
        </w:rPr>
        <w:t>d c</w:t>
      </w:r>
      <w:r w:rsidRPr="00C050B2">
        <w:rPr>
          <w:rFonts w:eastAsia="Arial" w:cs="Arial"/>
          <w:i/>
          <w:spacing w:val="1"/>
          <w:szCs w:val="20"/>
        </w:rPr>
        <w:t>on</w:t>
      </w:r>
      <w:r w:rsidRPr="00C050B2">
        <w:rPr>
          <w:rFonts w:eastAsia="Arial" w:cs="Arial"/>
          <w:i/>
          <w:spacing w:val="-2"/>
          <w:szCs w:val="20"/>
        </w:rPr>
        <w:t>t</w:t>
      </w:r>
      <w:r w:rsidRPr="00C050B2">
        <w:rPr>
          <w:rFonts w:eastAsia="Arial" w:cs="Arial"/>
          <w:i/>
          <w:spacing w:val="-3"/>
          <w:szCs w:val="20"/>
        </w:rPr>
        <w:t>a</w:t>
      </w:r>
      <w:r w:rsidRPr="00C050B2">
        <w:rPr>
          <w:rFonts w:eastAsia="Arial" w:cs="Arial"/>
          <w:i/>
          <w:spacing w:val="1"/>
          <w:szCs w:val="20"/>
        </w:rPr>
        <w:t>i</w:t>
      </w:r>
      <w:r w:rsidRPr="00C050B2">
        <w:rPr>
          <w:rFonts w:eastAsia="Arial" w:cs="Arial"/>
          <w:i/>
          <w:szCs w:val="20"/>
        </w:rPr>
        <w:t xml:space="preserve">n a </w:t>
      </w:r>
      <w:r w:rsidRPr="00C050B2">
        <w:rPr>
          <w:rFonts w:eastAsia="Arial" w:cs="Arial"/>
          <w:i/>
          <w:spacing w:val="1"/>
          <w:szCs w:val="20"/>
        </w:rPr>
        <w:t>b</w:t>
      </w:r>
      <w:r w:rsidRPr="00C050B2">
        <w:rPr>
          <w:rFonts w:eastAsia="Arial" w:cs="Arial"/>
          <w:i/>
          <w:szCs w:val="20"/>
        </w:rPr>
        <w:t>r</w:t>
      </w:r>
      <w:r w:rsidRPr="00C050B2">
        <w:rPr>
          <w:rFonts w:eastAsia="Arial" w:cs="Arial"/>
          <w:i/>
          <w:spacing w:val="-3"/>
          <w:szCs w:val="20"/>
        </w:rPr>
        <w:t>i</w:t>
      </w:r>
      <w:r w:rsidRPr="00C050B2">
        <w:rPr>
          <w:rFonts w:eastAsia="Arial" w:cs="Arial"/>
          <w:i/>
          <w:spacing w:val="1"/>
          <w:szCs w:val="20"/>
        </w:rPr>
        <w:t>e</w:t>
      </w:r>
      <w:r w:rsidRPr="00C050B2">
        <w:rPr>
          <w:rFonts w:eastAsia="Arial" w:cs="Arial"/>
          <w:i/>
          <w:szCs w:val="20"/>
        </w:rPr>
        <w:t>f</w:t>
      </w:r>
      <w:r w:rsidRPr="00C050B2">
        <w:rPr>
          <w:rFonts w:eastAsia="Arial" w:cs="Arial"/>
          <w:i/>
          <w:spacing w:val="-3"/>
          <w:szCs w:val="20"/>
        </w:rPr>
        <w:t xml:space="preserve"> </w:t>
      </w:r>
      <w:r w:rsidRPr="00C050B2">
        <w:rPr>
          <w:rFonts w:eastAsia="Arial" w:cs="Arial"/>
          <w:i/>
          <w:szCs w:val="20"/>
        </w:rPr>
        <w:t>s</w:t>
      </w:r>
      <w:r w:rsidRPr="00C050B2">
        <w:rPr>
          <w:rFonts w:eastAsia="Arial" w:cs="Arial"/>
          <w:i/>
          <w:spacing w:val="1"/>
          <w:szCs w:val="20"/>
        </w:rPr>
        <w:t>u</w:t>
      </w:r>
      <w:r w:rsidRPr="00C050B2">
        <w:rPr>
          <w:rFonts w:eastAsia="Arial" w:cs="Arial"/>
          <w:i/>
          <w:szCs w:val="20"/>
        </w:rPr>
        <w:t>mm</w:t>
      </w:r>
      <w:r w:rsidRPr="00C050B2">
        <w:rPr>
          <w:rFonts w:eastAsia="Arial" w:cs="Arial"/>
          <w:i/>
          <w:spacing w:val="1"/>
          <w:szCs w:val="20"/>
        </w:rPr>
        <w:t>a</w:t>
      </w:r>
      <w:r w:rsidRPr="00C050B2">
        <w:rPr>
          <w:rFonts w:eastAsia="Arial" w:cs="Arial"/>
          <w:i/>
          <w:szCs w:val="20"/>
        </w:rPr>
        <w:t>ry</w:t>
      </w:r>
      <w:r w:rsidRPr="00C050B2">
        <w:rPr>
          <w:rFonts w:eastAsia="Arial" w:cs="Arial"/>
          <w:i/>
          <w:spacing w:val="-1"/>
          <w:szCs w:val="20"/>
        </w:rPr>
        <w:t xml:space="preserve">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bu</w:t>
      </w:r>
      <w:r w:rsidRPr="00C050B2">
        <w:rPr>
          <w:rFonts w:eastAsia="Arial" w:cs="Arial"/>
          <w:i/>
          <w:szCs w:val="20"/>
        </w:rPr>
        <w:t>s</w:t>
      </w:r>
      <w:r w:rsidRPr="00C050B2">
        <w:rPr>
          <w:rFonts w:eastAsia="Arial" w:cs="Arial"/>
          <w:i/>
          <w:spacing w:val="1"/>
          <w:szCs w:val="20"/>
        </w:rPr>
        <w:t>ine</w:t>
      </w:r>
      <w:r w:rsidRPr="00C050B2">
        <w:rPr>
          <w:rFonts w:eastAsia="Arial" w:cs="Arial"/>
          <w:i/>
          <w:szCs w:val="20"/>
        </w:rPr>
        <w:t>ss</w:t>
      </w:r>
      <w:r w:rsidRPr="00C050B2">
        <w:rPr>
          <w:rFonts w:eastAsia="Arial" w:cs="Arial"/>
          <w:i/>
          <w:spacing w:val="-1"/>
          <w:szCs w:val="20"/>
        </w:rPr>
        <w:t xml:space="preserve"> </w:t>
      </w:r>
      <w:r w:rsidRPr="00C050B2">
        <w:rPr>
          <w:rFonts w:eastAsia="Arial" w:cs="Arial"/>
          <w:i/>
          <w:szCs w:val="20"/>
        </w:rPr>
        <w:t>c</w:t>
      </w:r>
      <w:r w:rsidRPr="00C050B2">
        <w:rPr>
          <w:rFonts w:eastAsia="Arial" w:cs="Arial"/>
          <w:i/>
          <w:spacing w:val="1"/>
          <w:szCs w:val="20"/>
        </w:rPr>
        <w:t>on</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xt</w:t>
      </w:r>
      <w:r w:rsidRPr="00C050B2">
        <w:rPr>
          <w:rFonts w:eastAsia="Arial" w:cs="Arial"/>
          <w:i/>
          <w:spacing w:val="-3"/>
          <w:szCs w:val="20"/>
        </w:rPr>
        <w:t xml:space="preserve">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sys</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m,</w:t>
      </w:r>
      <w:r w:rsidRPr="00C050B2">
        <w:rPr>
          <w:rFonts w:eastAsia="Arial" w:cs="Arial"/>
          <w:i/>
          <w:spacing w:val="-3"/>
          <w:szCs w:val="20"/>
        </w:rPr>
        <w:t xml:space="preserve"> </w:t>
      </w:r>
      <w:r w:rsidRPr="00C050B2">
        <w:rPr>
          <w:rFonts w:eastAsia="Arial" w:cs="Arial"/>
          <w:i/>
          <w:spacing w:val="1"/>
          <w:szCs w:val="20"/>
        </w:rPr>
        <w:t>an</w:t>
      </w:r>
      <w:r w:rsidRPr="00C050B2">
        <w:rPr>
          <w:rFonts w:eastAsia="Arial" w:cs="Arial"/>
          <w:i/>
          <w:szCs w:val="20"/>
        </w:rPr>
        <w:t>y</w:t>
      </w:r>
      <w:r w:rsidRPr="00C050B2">
        <w:rPr>
          <w:rFonts w:eastAsia="Arial" w:cs="Arial"/>
          <w:i/>
          <w:spacing w:val="-1"/>
          <w:szCs w:val="20"/>
        </w:rPr>
        <w:t xml:space="preserve"> </w:t>
      </w:r>
      <w:r w:rsidRPr="00C050B2">
        <w:rPr>
          <w:rFonts w:eastAsia="Arial" w:cs="Arial"/>
          <w:i/>
          <w:szCs w:val="20"/>
        </w:rPr>
        <w:t>k</w:t>
      </w:r>
      <w:r w:rsidRPr="00C050B2">
        <w:rPr>
          <w:rFonts w:eastAsia="Arial" w:cs="Arial"/>
          <w:i/>
          <w:spacing w:val="1"/>
          <w:szCs w:val="20"/>
        </w:rPr>
        <w:t>e</w:t>
      </w:r>
      <w:r w:rsidRPr="00C050B2">
        <w:rPr>
          <w:rFonts w:eastAsia="Arial" w:cs="Arial"/>
          <w:i/>
          <w:szCs w:val="20"/>
        </w:rPr>
        <w:t>y</w:t>
      </w:r>
      <w:r w:rsidRPr="00C050B2">
        <w:rPr>
          <w:rFonts w:eastAsia="Arial" w:cs="Arial"/>
          <w:i/>
          <w:spacing w:val="-1"/>
          <w:szCs w:val="20"/>
        </w:rPr>
        <w:t xml:space="preserve"> </w:t>
      </w:r>
      <w:r w:rsidRPr="00C050B2">
        <w:rPr>
          <w:rFonts w:eastAsia="Arial" w:cs="Arial"/>
          <w:i/>
          <w:spacing w:val="-2"/>
          <w:szCs w:val="20"/>
        </w:rPr>
        <w:t>I</w:t>
      </w:r>
      <w:r w:rsidRPr="00C050B2">
        <w:rPr>
          <w:rFonts w:eastAsia="Arial" w:cs="Arial"/>
          <w:i/>
          <w:szCs w:val="20"/>
        </w:rPr>
        <w:t>A</w:t>
      </w:r>
      <w:r w:rsidRPr="00C050B2">
        <w:rPr>
          <w:rFonts w:eastAsia="Arial" w:cs="Arial"/>
          <w:i/>
          <w:spacing w:val="-1"/>
          <w:szCs w:val="20"/>
        </w:rPr>
        <w:t xml:space="preserve"> </w:t>
      </w:r>
      <w:r w:rsidRPr="00C050B2">
        <w:rPr>
          <w:rFonts w:eastAsia="Arial" w:cs="Arial"/>
          <w:i/>
          <w:szCs w:val="20"/>
        </w:rPr>
        <w:t>c</w:t>
      </w:r>
      <w:r w:rsidRPr="00C050B2">
        <w:rPr>
          <w:rFonts w:eastAsia="Arial" w:cs="Arial"/>
          <w:i/>
          <w:spacing w:val="1"/>
          <w:szCs w:val="20"/>
        </w:rPr>
        <w:t>on</w:t>
      </w:r>
      <w:r w:rsidRPr="00C050B2">
        <w:rPr>
          <w:rFonts w:eastAsia="Arial" w:cs="Arial"/>
          <w:i/>
          <w:spacing w:val="-2"/>
          <w:szCs w:val="20"/>
        </w:rPr>
        <w:t>t</w:t>
      </w:r>
      <w:r w:rsidRPr="00C050B2">
        <w:rPr>
          <w:rFonts w:eastAsia="Arial" w:cs="Arial"/>
          <w:i/>
          <w:szCs w:val="20"/>
        </w:rPr>
        <w:t>r</w:t>
      </w:r>
      <w:r w:rsidRPr="00C050B2">
        <w:rPr>
          <w:rFonts w:eastAsia="Arial" w:cs="Arial"/>
          <w:i/>
          <w:spacing w:val="1"/>
          <w:szCs w:val="20"/>
        </w:rPr>
        <w:t>ol</w:t>
      </w:r>
      <w:r w:rsidRPr="00C050B2">
        <w:rPr>
          <w:rFonts w:eastAsia="Arial" w:cs="Arial"/>
          <w:i/>
          <w:szCs w:val="20"/>
        </w:rPr>
        <w:t>s,</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a</w:t>
      </w:r>
      <w:r w:rsidRPr="00C050B2">
        <w:rPr>
          <w:rFonts w:eastAsia="Arial" w:cs="Arial"/>
          <w:i/>
          <w:szCs w:val="20"/>
        </w:rPr>
        <w:t>ss</w:t>
      </w:r>
      <w:r w:rsidRPr="00C050B2">
        <w:rPr>
          <w:rFonts w:eastAsia="Arial" w:cs="Arial"/>
          <w:i/>
          <w:spacing w:val="1"/>
          <w:szCs w:val="20"/>
        </w:rPr>
        <w:t>u</w:t>
      </w:r>
      <w:r w:rsidRPr="00C050B2">
        <w:rPr>
          <w:rFonts w:eastAsia="Arial" w:cs="Arial"/>
          <w:i/>
          <w:szCs w:val="20"/>
        </w:rPr>
        <w:t>r</w:t>
      </w:r>
      <w:r w:rsidRPr="00C050B2">
        <w:rPr>
          <w:rFonts w:eastAsia="Arial" w:cs="Arial"/>
          <w:i/>
          <w:spacing w:val="1"/>
          <w:szCs w:val="20"/>
        </w:rPr>
        <w:t>an</w:t>
      </w:r>
      <w:r w:rsidRPr="00C050B2">
        <w:rPr>
          <w:rFonts w:eastAsia="Arial" w:cs="Arial"/>
          <w:i/>
          <w:szCs w:val="20"/>
        </w:rPr>
        <w:t xml:space="preserve">ce </w:t>
      </w:r>
      <w:r w:rsidRPr="00C050B2">
        <w:rPr>
          <w:rFonts w:eastAsia="Arial" w:cs="Arial"/>
          <w:i/>
          <w:spacing w:val="1"/>
          <w:szCs w:val="20"/>
        </w:rPr>
        <w:t>wo</w:t>
      </w:r>
      <w:r w:rsidRPr="00C050B2">
        <w:rPr>
          <w:rFonts w:eastAsia="Arial" w:cs="Arial"/>
          <w:i/>
          <w:spacing w:val="-5"/>
          <w:szCs w:val="20"/>
        </w:rPr>
        <w:t>r</w:t>
      </w:r>
      <w:r w:rsidRPr="00C050B2">
        <w:rPr>
          <w:rFonts w:eastAsia="Arial" w:cs="Arial"/>
          <w:i/>
          <w:szCs w:val="20"/>
        </w:rPr>
        <w:t>k</w:t>
      </w:r>
      <w:r w:rsidRPr="00C050B2">
        <w:rPr>
          <w:rFonts w:eastAsia="Arial" w:cs="Arial"/>
          <w:i/>
          <w:spacing w:val="-1"/>
          <w:szCs w:val="20"/>
        </w:rPr>
        <w:t xml:space="preserve"> </w:t>
      </w:r>
      <w:r w:rsidRPr="00C050B2">
        <w:rPr>
          <w:rFonts w:eastAsia="Arial" w:cs="Arial"/>
          <w:i/>
          <w:spacing w:val="1"/>
          <w:szCs w:val="20"/>
        </w:rPr>
        <w:t>done</w:t>
      </w:r>
      <w:r w:rsidRPr="00C050B2">
        <w:rPr>
          <w:rFonts w:eastAsia="Arial" w:cs="Arial"/>
          <w:i/>
          <w:szCs w:val="20"/>
        </w:rPr>
        <w:t>,</w:t>
      </w:r>
      <w:r w:rsidRPr="00C050B2">
        <w:rPr>
          <w:rFonts w:eastAsia="Arial" w:cs="Arial"/>
          <w:i/>
          <w:spacing w:val="-3"/>
          <w:szCs w:val="20"/>
        </w:rPr>
        <w:t xml:space="preserve"> </w:t>
      </w:r>
      <w:r w:rsidRPr="00C050B2">
        <w:rPr>
          <w:rFonts w:eastAsia="Arial" w:cs="Arial"/>
          <w:i/>
          <w:spacing w:val="1"/>
          <w:szCs w:val="20"/>
        </w:rPr>
        <w:t>an</w:t>
      </w:r>
      <w:r w:rsidRPr="00C050B2">
        <w:rPr>
          <w:rFonts w:eastAsia="Arial" w:cs="Arial"/>
          <w:i/>
          <w:szCs w:val="20"/>
        </w:rPr>
        <w:t>y</w:t>
      </w:r>
      <w:r w:rsidRPr="00C050B2">
        <w:rPr>
          <w:rFonts w:eastAsia="Arial" w:cs="Arial"/>
          <w:i/>
          <w:spacing w:val="-1"/>
          <w:szCs w:val="20"/>
        </w:rPr>
        <w:t xml:space="preserve"> </w:t>
      </w:r>
      <w:proofErr w:type="gramStart"/>
      <w:r w:rsidRPr="00C050B2">
        <w:rPr>
          <w:rFonts w:eastAsia="Arial" w:cs="Arial"/>
          <w:i/>
          <w:spacing w:val="1"/>
          <w:szCs w:val="20"/>
        </w:rPr>
        <w:t>o</w:t>
      </w:r>
      <w:r w:rsidRPr="00C050B2">
        <w:rPr>
          <w:rFonts w:eastAsia="Arial" w:cs="Arial"/>
          <w:i/>
          <w:spacing w:val="-2"/>
          <w:szCs w:val="20"/>
        </w:rPr>
        <w:t>f</w:t>
      </w:r>
      <w:r w:rsidRPr="00C050B2">
        <w:rPr>
          <w:rFonts w:eastAsia="Arial" w:cs="Arial"/>
          <w:i/>
          <w:spacing w:val="3"/>
          <w:szCs w:val="20"/>
        </w:rPr>
        <w:t>f</w:t>
      </w:r>
      <w:r w:rsidRPr="00C050B2">
        <w:rPr>
          <w:rFonts w:eastAsia="Arial" w:cs="Arial"/>
          <w:i/>
          <w:szCs w:val="20"/>
        </w:rPr>
        <w:t>-s</w:t>
      </w:r>
      <w:r w:rsidRPr="00C050B2">
        <w:rPr>
          <w:rFonts w:eastAsia="Arial" w:cs="Arial"/>
          <w:i/>
          <w:spacing w:val="1"/>
          <w:szCs w:val="20"/>
        </w:rPr>
        <w:t>ho</w:t>
      </w:r>
      <w:r w:rsidRPr="00C050B2">
        <w:rPr>
          <w:rFonts w:eastAsia="Arial" w:cs="Arial"/>
          <w:i/>
          <w:szCs w:val="20"/>
        </w:rPr>
        <w:t>r</w:t>
      </w:r>
      <w:r w:rsidRPr="00C050B2">
        <w:rPr>
          <w:rFonts w:eastAsia="Arial" w:cs="Arial"/>
          <w:i/>
          <w:spacing w:val="1"/>
          <w:szCs w:val="20"/>
        </w:rPr>
        <w:t>i</w:t>
      </w:r>
      <w:r w:rsidRPr="00C050B2">
        <w:rPr>
          <w:rFonts w:eastAsia="Arial" w:cs="Arial"/>
          <w:i/>
          <w:spacing w:val="-3"/>
          <w:szCs w:val="20"/>
        </w:rPr>
        <w:t>n</w:t>
      </w:r>
      <w:r w:rsidRPr="00C050B2">
        <w:rPr>
          <w:rFonts w:eastAsia="Arial" w:cs="Arial"/>
          <w:i/>
          <w:szCs w:val="20"/>
        </w:rPr>
        <w:t>g</w:t>
      </w:r>
      <w:proofErr w:type="gramEnd"/>
      <w:r w:rsidRPr="00C050B2">
        <w:rPr>
          <w:rFonts w:eastAsia="Arial" w:cs="Arial"/>
          <w:i/>
          <w:szCs w:val="20"/>
        </w:rPr>
        <w:t xml:space="preserve"> c</w:t>
      </w:r>
      <w:r w:rsidRPr="00C050B2">
        <w:rPr>
          <w:rFonts w:eastAsia="Arial" w:cs="Arial"/>
          <w:i/>
          <w:spacing w:val="1"/>
          <w:szCs w:val="20"/>
        </w:rPr>
        <w:t>on</w:t>
      </w:r>
      <w:r w:rsidRPr="00C050B2">
        <w:rPr>
          <w:rFonts w:eastAsia="Arial" w:cs="Arial"/>
          <w:i/>
          <w:szCs w:val="20"/>
        </w:rPr>
        <w:t>s</w:t>
      </w:r>
      <w:r w:rsidRPr="00C050B2">
        <w:rPr>
          <w:rFonts w:eastAsia="Arial" w:cs="Arial"/>
          <w:i/>
          <w:spacing w:val="1"/>
          <w:szCs w:val="20"/>
        </w:rPr>
        <w:t>i</w:t>
      </w:r>
      <w:r w:rsidRPr="00C050B2">
        <w:rPr>
          <w:rFonts w:eastAsia="Arial" w:cs="Arial"/>
          <w:i/>
          <w:spacing w:val="-3"/>
          <w:szCs w:val="20"/>
        </w:rPr>
        <w:t>d</w:t>
      </w:r>
      <w:r w:rsidRPr="00C050B2">
        <w:rPr>
          <w:rFonts w:eastAsia="Arial" w:cs="Arial"/>
          <w:i/>
          <w:spacing w:val="1"/>
          <w:szCs w:val="20"/>
        </w:rPr>
        <w:t>e</w:t>
      </w:r>
      <w:r w:rsidRPr="00C050B2">
        <w:rPr>
          <w:rFonts w:eastAsia="Arial" w:cs="Arial"/>
          <w:i/>
          <w:szCs w:val="20"/>
        </w:rPr>
        <w:t>r</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1"/>
          <w:szCs w:val="20"/>
        </w:rPr>
        <w:t>ion</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3"/>
          <w:szCs w:val="20"/>
        </w:rPr>
        <w:t>a</w:t>
      </w:r>
      <w:r w:rsidRPr="00C050B2">
        <w:rPr>
          <w:rFonts w:eastAsia="Arial" w:cs="Arial"/>
          <w:i/>
          <w:spacing w:val="1"/>
          <w:szCs w:val="20"/>
        </w:rPr>
        <w:t>n</w:t>
      </w:r>
      <w:r w:rsidRPr="00C050B2">
        <w:rPr>
          <w:rFonts w:eastAsia="Arial" w:cs="Arial"/>
          <w:i/>
          <w:szCs w:val="20"/>
        </w:rPr>
        <w:t xml:space="preserve">d </w:t>
      </w:r>
      <w:r w:rsidRPr="00C050B2">
        <w:rPr>
          <w:rFonts w:eastAsia="Arial" w:cs="Arial"/>
          <w:i/>
          <w:spacing w:val="1"/>
          <w:szCs w:val="20"/>
        </w:rPr>
        <w:t>an</w:t>
      </w:r>
      <w:r w:rsidRPr="00C050B2">
        <w:rPr>
          <w:rFonts w:eastAsia="Arial" w:cs="Arial"/>
          <w:i/>
          <w:szCs w:val="20"/>
        </w:rPr>
        <w:t>y</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3"/>
          <w:szCs w:val="20"/>
        </w:rPr>
        <w:t>i</w:t>
      </w:r>
      <w:r w:rsidRPr="00C050B2">
        <w:rPr>
          <w:rFonts w:eastAsia="Arial" w:cs="Arial"/>
          <w:i/>
          <w:spacing w:val="1"/>
          <w:szCs w:val="20"/>
        </w:rPr>
        <w:t>gni</w:t>
      </w:r>
      <w:r w:rsidRPr="00C050B2">
        <w:rPr>
          <w:rFonts w:eastAsia="Arial" w:cs="Arial"/>
          <w:i/>
          <w:spacing w:val="-2"/>
          <w:szCs w:val="20"/>
        </w:rPr>
        <w:t>f</w:t>
      </w:r>
      <w:r w:rsidRPr="00C050B2">
        <w:rPr>
          <w:rFonts w:eastAsia="Arial" w:cs="Arial"/>
          <w:i/>
          <w:spacing w:val="1"/>
          <w:szCs w:val="20"/>
        </w:rPr>
        <w:t>i</w:t>
      </w:r>
      <w:r w:rsidRPr="00C050B2">
        <w:rPr>
          <w:rFonts w:eastAsia="Arial" w:cs="Arial"/>
          <w:i/>
          <w:spacing w:val="-5"/>
          <w:szCs w:val="20"/>
        </w:rPr>
        <w:t>c</w:t>
      </w:r>
      <w:r w:rsidRPr="00C050B2">
        <w:rPr>
          <w:rFonts w:eastAsia="Arial" w:cs="Arial"/>
          <w:i/>
          <w:spacing w:val="1"/>
          <w:szCs w:val="20"/>
        </w:rPr>
        <w:t>an</w:t>
      </w:r>
      <w:r w:rsidRPr="00C050B2">
        <w:rPr>
          <w:rFonts w:eastAsia="Arial" w:cs="Arial"/>
          <w:i/>
          <w:szCs w:val="20"/>
        </w:rPr>
        <w:t>t</w:t>
      </w:r>
      <w:r w:rsidRPr="00C050B2">
        <w:rPr>
          <w:rFonts w:eastAsia="Arial" w:cs="Arial"/>
          <w:i/>
          <w:spacing w:val="-3"/>
          <w:szCs w:val="20"/>
        </w:rPr>
        <w:t xml:space="preserve"> </w:t>
      </w:r>
      <w:r w:rsidRPr="00C050B2">
        <w:rPr>
          <w:rFonts w:eastAsia="Arial" w:cs="Arial"/>
          <w:i/>
          <w:szCs w:val="20"/>
        </w:rPr>
        <w:t>r</w:t>
      </w:r>
      <w:r w:rsidRPr="00C050B2">
        <w:rPr>
          <w:rFonts w:eastAsia="Arial" w:cs="Arial"/>
          <w:i/>
          <w:spacing w:val="1"/>
          <w:szCs w:val="20"/>
        </w:rPr>
        <w:t>e</w:t>
      </w:r>
      <w:r w:rsidRPr="00C050B2">
        <w:rPr>
          <w:rFonts w:eastAsia="Arial" w:cs="Arial"/>
          <w:i/>
          <w:szCs w:val="20"/>
        </w:rPr>
        <w:t>s</w:t>
      </w:r>
      <w:r w:rsidRPr="00C050B2">
        <w:rPr>
          <w:rFonts w:eastAsia="Arial" w:cs="Arial"/>
          <w:i/>
          <w:spacing w:val="1"/>
          <w:szCs w:val="20"/>
        </w:rPr>
        <w:t>id</w:t>
      </w:r>
      <w:r w:rsidRPr="00C050B2">
        <w:rPr>
          <w:rFonts w:eastAsia="Arial" w:cs="Arial"/>
          <w:i/>
          <w:spacing w:val="-3"/>
          <w:szCs w:val="20"/>
        </w:rPr>
        <w:t>u</w:t>
      </w:r>
      <w:r w:rsidRPr="00C050B2">
        <w:rPr>
          <w:rFonts w:eastAsia="Arial" w:cs="Arial"/>
          <w:i/>
          <w:spacing w:val="1"/>
          <w:szCs w:val="20"/>
        </w:rPr>
        <w:t>a</w:t>
      </w:r>
      <w:r w:rsidRPr="00C050B2">
        <w:rPr>
          <w:rFonts w:eastAsia="Arial" w:cs="Arial"/>
          <w:i/>
          <w:szCs w:val="20"/>
        </w:rPr>
        <w:t>l r</w:t>
      </w:r>
      <w:r w:rsidRPr="00C050B2">
        <w:rPr>
          <w:rFonts w:eastAsia="Arial" w:cs="Arial"/>
          <w:i/>
          <w:spacing w:val="1"/>
          <w:szCs w:val="20"/>
        </w:rPr>
        <w:t>i</w:t>
      </w:r>
      <w:r w:rsidRPr="00C050B2">
        <w:rPr>
          <w:rFonts w:eastAsia="Arial" w:cs="Arial"/>
          <w:i/>
          <w:szCs w:val="20"/>
        </w:rPr>
        <w:t>sks</w:t>
      </w:r>
      <w:r w:rsidRPr="00C050B2">
        <w:rPr>
          <w:rFonts w:eastAsia="Arial" w:cs="Arial"/>
          <w:i/>
          <w:spacing w:val="-6"/>
          <w:szCs w:val="20"/>
        </w:rPr>
        <w:t xml:space="preserve"> </w:t>
      </w:r>
      <w:r w:rsidRPr="00C050B2">
        <w:rPr>
          <w:rFonts w:eastAsia="Arial" w:cs="Arial"/>
          <w:i/>
          <w:spacing w:val="-2"/>
          <w:szCs w:val="20"/>
        </w:rPr>
        <w:t>t</w:t>
      </w:r>
      <w:r w:rsidRPr="00C050B2">
        <w:rPr>
          <w:rFonts w:eastAsia="Arial" w:cs="Arial"/>
          <w:i/>
          <w:spacing w:val="1"/>
          <w:szCs w:val="20"/>
        </w:rPr>
        <w:t>ha</w:t>
      </w:r>
      <w:r w:rsidRPr="00C050B2">
        <w:rPr>
          <w:rFonts w:eastAsia="Arial" w:cs="Arial"/>
          <w:i/>
          <w:szCs w:val="20"/>
        </w:rPr>
        <w:t>t</w:t>
      </w:r>
      <w:r w:rsidRPr="00C050B2">
        <w:rPr>
          <w:rFonts w:eastAsia="Arial" w:cs="Arial"/>
          <w:i/>
          <w:spacing w:val="-3"/>
          <w:szCs w:val="20"/>
        </w:rPr>
        <w:t xml:space="preserve"> </w:t>
      </w:r>
      <w:r w:rsidRPr="00C050B2">
        <w:rPr>
          <w:rFonts w:eastAsia="Arial" w:cs="Arial"/>
          <w:i/>
          <w:spacing w:val="1"/>
          <w:szCs w:val="20"/>
        </w:rPr>
        <w:t>nee</w:t>
      </w:r>
      <w:r w:rsidRPr="00C050B2">
        <w:rPr>
          <w:rFonts w:eastAsia="Arial" w:cs="Arial"/>
          <w:i/>
          <w:szCs w:val="20"/>
        </w:rPr>
        <w:t xml:space="preserve">d </w:t>
      </w:r>
      <w:r w:rsidRPr="00C050B2">
        <w:rPr>
          <w:rFonts w:eastAsia="Arial" w:cs="Arial"/>
          <w:i/>
          <w:spacing w:val="1"/>
          <w:szCs w:val="20"/>
        </w:rPr>
        <w:t>a</w:t>
      </w:r>
      <w:r w:rsidRPr="00C050B2">
        <w:rPr>
          <w:rFonts w:eastAsia="Arial" w:cs="Arial"/>
          <w:i/>
          <w:szCs w:val="20"/>
        </w:rPr>
        <w:t>cc</w:t>
      </w:r>
      <w:r w:rsidRPr="00C050B2">
        <w:rPr>
          <w:rFonts w:eastAsia="Arial" w:cs="Arial"/>
          <w:i/>
          <w:spacing w:val="1"/>
          <w:szCs w:val="20"/>
        </w:rPr>
        <w:t>ep</w:t>
      </w:r>
      <w:r w:rsidRPr="00C050B2">
        <w:rPr>
          <w:rFonts w:eastAsia="Arial" w:cs="Arial"/>
          <w:i/>
          <w:spacing w:val="-2"/>
          <w:szCs w:val="20"/>
        </w:rPr>
        <w:t>t</w:t>
      </w:r>
      <w:r w:rsidRPr="00C050B2">
        <w:rPr>
          <w:rFonts w:eastAsia="Arial" w:cs="Arial"/>
          <w:i/>
          <w:spacing w:val="1"/>
          <w:szCs w:val="20"/>
        </w:rPr>
        <w:t>an</w:t>
      </w:r>
      <w:r w:rsidRPr="00C050B2">
        <w:rPr>
          <w:rFonts w:eastAsia="Arial" w:cs="Arial"/>
          <w:i/>
          <w:spacing w:val="-5"/>
          <w:szCs w:val="20"/>
        </w:rPr>
        <w:t>c</w:t>
      </w:r>
      <w:r w:rsidRPr="00C050B2">
        <w:rPr>
          <w:rFonts w:eastAsia="Arial" w:cs="Arial"/>
          <w:i/>
          <w:spacing w:val="1"/>
          <w:szCs w:val="20"/>
        </w:rPr>
        <w:t>e</w:t>
      </w:r>
      <w:r w:rsidRPr="00C050B2">
        <w:rPr>
          <w:rFonts w:eastAsia="Arial" w:cs="Arial"/>
          <w:i/>
          <w:spacing w:val="-2"/>
          <w:szCs w:val="20"/>
        </w:rPr>
        <w:t>.</w:t>
      </w:r>
      <w:r w:rsidRPr="00C050B2">
        <w:rPr>
          <w:rFonts w:eastAsia="Arial" w:cs="Arial"/>
          <w:i/>
          <w:szCs w:val="20"/>
        </w:rPr>
        <w:t>&gt;</w:t>
      </w:r>
    </w:p>
    <w:p w14:paraId="0CC25C41" w14:textId="77777777" w:rsidR="00C1793C" w:rsidRPr="00C050B2" w:rsidRDefault="00C1793C" w:rsidP="009D675B">
      <w:pPr>
        <w:pStyle w:val="Sch1"/>
        <w:numPr>
          <w:ilvl w:val="2"/>
          <w:numId w:val="57"/>
        </w:numPr>
        <w:rPr>
          <w:rFonts w:eastAsia="Arial" w:cs="Arial"/>
          <w:szCs w:val="20"/>
        </w:rPr>
      </w:pPr>
      <w:r w:rsidRPr="00C050B2">
        <w:rPr>
          <w:rFonts w:eastAsia="Verdana"/>
        </w:rPr>
        <w:t>S</w:t>
      </w:r>
      <w:r w:rsidRPr="00C050B2">
        <w:rPr>
          <w:rFonts w:eastAsia="Verdana"/>
          <w:spacing w:val="-4"/>
        </w:rPr>
        <w:t>y</w:t>
      </w:r>
      <w:r w:rsidRPr="00C050B2">
        <w:rPr>
          <w:rFonts w:eastAsia="Verdana"/>
          <w:spacing w:val="2"/>
        </w:rPr>
        <w:t>s</w:t>
      </w:r>
      <w:r w:rsidRPr="00C050B2">
        <w:rPr>
          <w:rFonts w:eastAsia="Verdana"/>
        </w:rPr>
        <w:t>t</w:t>
      </w:r>
      <w:r w:rsidRPr="00C050B2">
        <w:rPr>
          <w:rFonts w:eastAsia="Verdana"/>
          <w:spacing w:val="1"/>
        </w:rPr>
        <w:t>e</w:t>
      </w:r>
      <w:r w:rsidRPr="00C050B2">
        <w:rPr>
          <w:rFonts w:eastAsia="Verdana"/>
        </w:rPr>
        <w:t>m</w:t>
      </w:r>
      <w:r w:rsidRPr="00C050B2">
        <w:rPr>
          <w:rFonts w:eastAsia="Arial" w:cs="Arial"/>
          <w:szCs w:val="20"/>
        </w:rPr>
        <w:t xml:space="preserve"> </w:t>
      </w:r>
      <w:r w:rsidRPr="00C050B2">
        <w:rPr>
          <w:rFonts w:eastAsia="Arial" w:cs="Arial"/>
          <w:spacing w:val="1"/>
          <w:szCs w:val="20"/>
        </w:rPr>
        <w:t>Descr</w:t>
      </w:r>
      <w:r w:rsidRPr="00C050B2">
        <w:rPr>
          <w:rFonts w:eastAsia="Arial" w:cs="Arial"/>
          <w:spacing w:val="-2"/>
          <w:szCs w:val="20"/>
        </w:rPr>
        <w:t>ip</w:t>
      </w:r>
      <w:r w:rsidRPr="00C050B2">
        <w:rPr>
          <w:rFonts w:eastAsia="Arial" w:cs="Arial"/>
          <w:szCs w:val="20"/>
        </w:rPr>
        <w:t>t</w:t>
      </w:r>
      <w:r w:rsidRPr="00C050B2">
        <w:rPr>
          <w:rFonts w:eastAsia="Arial" w:cs="Arial"/>
          <w:spacing w:val="-2"/>
          <w:szCs w:val="20"/>
        </w:rPr>
        <w:t>io</w:t>
      </w:r>
      <w:r w:rsidRPr="00C050B2">
        <w:rPr>
          <w:rFonts w:eastAsia="Arial" w:cs="Arial"/>
          <w:szCs w:val="20"/>
        </w:rPr>
        <w:t>n</w:t>
      </w:r>
    </w:p>
    <w:p w14:paraId="1759DD77" w14:textId="77777777" w:rsidR="00C1793C" w:rsidRPr="00C050B2" w:rsidRDefault="00C1793C" w:rsidP="009D675B">
      <w:pPr>
        <w:pStyle w:val="Sch2"/>
        <w:numPr>
          <w:ilvl w:val="3"/>
          <w:numId w:val="56"/>
        </w:numPr>
        <w:rPr>
          <w:rFonts w:eastAsia="Arial" w:cs="Arial"/>
          <w:szCs w:val="20"/>
        </w:rPr>
      </w:pPr>
      <w:r w:rsidRPr="00C050B2">
        <w:rPr>
          <w:rFonts w:eastAsia="Verdana"/>
        </w:rPr>
        <w:t>B</w:t>
      </w:r>
      <w:r w:rsidRPr="00C050B2">
        <w:rPr>
          <w:rFonts w:eastAsia="Verdana"/>
          <w:spacing w:val="1"/>
        </w:rPr>
        <w:t>a</w:t>
      </w:r>
      <w:r w:rsidRPr="00C050B2">
        <w:rPr>
          <w:rFonts w:eastAsia="Verdana"/>
        </w:rPr>
        <w:t>ck</w:t>
      </w:r>
      <w:r w:rsidRPr="00C050B2">
        <w:rPr>
          <w:rFonts w:eastAsia="Verdana"/>
          <w:spacing w:val="1"/>
        </w:rPr>
        <w:t>g</w:t>
      </w:r>
      <w:r w:rsidRPr="00C050B2">
        <w:rPr>
          <w:rFonts w:eastAsia="Verdana"/>
        </w:rPr>
        <w:t>r</w:t>
      </w:r>
      <w:r w:rsidRPr="00C050B2">
        <w:rPr>
          <w:rFonts w:eastAsia="Verdana"/>
          <w:spacing w:val="1"/>
        </w:rPr>
        <w:t>o</w:t>
      </w:r>
      <w:r w:rsidRPr="00C050B2">
        <w:rPr>
          <w:rFonts w:eastAsia="Verdana"/>
          <w:spacing w:val="-3"/>
        </w:rPr>
        <w:t>u</w:t>
      </w:r>
      <w:r w:rsidRPr="00C050B2">
        <w:rPr>
          <w:rFonts w:eastAsia="Verdana"/>
          <w:spacing w:val="1"/>
        </w:rPr>
        <w:t>n</w:t>
      </w:r>
      <w:r w:rsidRPr="00C050B2">
        <w:rPr>
          <w:rFonts w:eastAsia="Verdana"/>
        </w:rPr>
        <w:t>d</w:t>
      </w:r>
    </w:p>
    <w:p w14:paraId="6D91EC61" w14:textId="77777777" w:rsidR="00C1793C" w:rsidRPr="00C050B2" w:rsidRDefault="00C1793C" w:rsidP="00C1793C">
      <w:pPr>
        <w:spacing w:line="243" w:lineRule="auto"/>
        <w:ind w:left="861" w:right="735"/>
        <w:rPr>
          <w:rFonts w:eastAsia="Arial" w:cs="Arial"/>
          <w:szCs w:val="20"/>
        </w:rPr>
      </w:pPr>
      <w:r w:rsidRPr="00C050B2">
        <w:rPr>
          <w:rFonts w:eastAsia="Arial" w:cs="Arial"/>
          <w:i/>
          <w:szCs w:val="20"/>
        </w:rPr>
        <w:t>&lt;</w:t>
      </w:r>
      <w:r w:rsidRPr="00C050B2">
        <w:rPr>
          <w:rFonts w:eastAsia="Arial" w:cs="Arial"/>
          <w:i/>
          <w:spacing w:val="-2"/>
          <w:szCs w:val="20"/>
        </w:rPr>
        <w:t xml:space="preserve"> </w:t>
      </w:r>
      <w:r w:rsidRPr="00C050B2">
        <w:rPr>
          <w:rFonts w:eastAsia="Arial" w:cs="Arial"/>
          <w:i/>
          <w:szCs w:val="20"/>
        </w:rPr>
        <w:t>A</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ho</w:t>
      </w:r>
      <w:r w:rsidRPr="00C050B2">
        <w:rPr>
          <w:rFonts w:eastAsia="Arial" w:cs="Arial"/>
          <w:i/>
          <w:szCs w:val="20"/>
        </w:rPr>
        <w:t>rt</w:t>
      </w:r>
      <w:r w:rsidRPr="00C050B2">
        <w:rPr>
          <w:rFonts w:eastAsia="Arial" w:cs="Arial"/>
          <w:i/>
          <w:spacing w:val="-3"/>
          <w:szCs w:val="20"/>
        </w:rPr>
        <w:t xml:space="preserve"> </w:t>
      </w:r>
      <w:r w:rsidRPr="00C050B2">
        <w:rPr>
          <w:rFonts w:eastAsia="Arial" w:cs="Arial"/>
          <w:i/>
          <w:spacing w:val="1"/>
          <w:szCs w:val="20"/>
        </w:rPr>
        <w:t>de</w:t>
      </w:r>
      <w:r w:rsidRPr="00C050B2">
        <w:rPr>
          <w:rFonts w:eastAsia="Arial" w:cs="Arial"/>
          <w:i/>
          <w:szCs w:val="20"/>
        </w:rPr>
        <w:t>scr</w:t>
      </w:r>
      <w:r w:rsidRPr="00C050B2">
        <w:rPr>
          <w:rFonts w:eastAsia="Arial" w:cs="Arial"/>
          <w:i/>
          <w:spacing w:val="2"/>
          <w:szCs w:val="20"/>
        </w:rPr>
        <w:t>i</w:t>
      </w:r>
      <w:r w:rsidRPr="00C050B2">
        <w:rPr>
          <w:rFonts w:eastAsia="Arial" w:cs="Arial"/>
          <w:i/>
          <w:spacing w:val="1"/>
          <w:szCs w:val="20"/>
        </w:rPr>
        <w:t>p</w:t>
      </w:r>
      <w:r w:rsidRPr="00C050B2">
        <w:rPr>
          <w:rFonts w:eastAsia="Arial" w:cs="Arial"/>
          <w:i/>
          <w:spacing w:val="-2"/>
          <w:szCs w:val="20"/>
        </w:rPr>
        <w:t>t</w:t>
      </w:r>
      <w:r w:rsidRPr="00C050B2">
        <w:rPr>
          <w:rFonts w:eastAsia="Arial" w:cs="Arial"/>
          <w:i/>
          <w:spacing w:val="1"/>
          <w:szCs w:val="20"/>
        </w:rPr>
        <w:t>io</w:t>
      </w:r>
      <w:r w:rsidRPr="00C050B2">
        <w:rPr>
          <w:rFonts w:eastAsia="Arial" w:cs="Arial"/>
          <w:i/>
          <w:szCs w:val="20"/>
        </w:rPr>
        <w:t xml:space="preserve">n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p</w:t>
      </w:r>
      <w:r w:rsidRPr="00C050B2">
        <w:rPr>
          <w:rFonts w:eastAsia="Arial" w:cs="Arial"/>
          <w:i/>
          <w:szCs w:val="20"/>
        </w:rPr>
        <w:t>r</w:t>
      </w:r>
      <w:r w:rsidRPr="00C050B2">
        <w:rPr>
          <w:rFonts w:eastAsia="Arial" w:cs="Arial"/>
          <w:i/>
          <w:spacing w:val="1"/>
          <w:szCs w:val="20"/>
        </w:rPr>
        <w:t>o</w:t>
      </w:r>
      <w:r w:rsidRPr="00C050B2">
        <w:rPr>
          <w:rFonts w:eastAsia="Arial" w:cs="Arial"/>
          <w:i/>
          <w:spacing w:val="-3"/>
          <w:szCs w:val="20"/>
        </w:rPr>
        <w:t>j</w:t>
      </w:r>
      <w:r w:rsidRPr="00C050B2">
        <w:rPr>
          <w:rFonts w:eastAsia="Arial" w:cs="Arial"/>
          <w:i/>
          <w:spacing w:val="1"/>
          <w:szCs w:val="20"/>
        </w:rPr>
        <w:t>e</w:t>
      </w:r>
      <w:r w:rsidRPr="00C050B2">
        <w:rPr>
          <w:rFonts w:eastAsia="Arial" w:cs="Arial"/>
          <w:i/>
          <w:szCs w:val="20"/>
        </w:rPr>
        <w:t>c</w:t>
      </w:r>
      <w:r w:rsidRPr="00C050B2">
        <w:rPr>
          <w:rFonts w:eastAsia="Arial" w:cs="Arial"/>
          <w:i/>
          <w:spacing w:val="-2"/>
          <w:szCs w:val="20"/>
        </w:rPr>
        <w:t>t/</w:t>
      </w:r>
      <w:r w:rsidRPr="00C050B2">
        <w:rPr>
          <w:rFonts w:eastAsia="Arial" w:cs="Arial"/>
          <w:i/>
          <w:spacing w:val="1"/>
          <w:szCs w:val="20"/>
        </w:rPr>
        <w:t>p</w:t>
      </w:r>
      <w:r w:rsidRPr="00C050B2">
        <w:rPr>
          <w:rFonts w:eastAsia="Arial" w:cs="Arial"/>
          <w:i/>
          <w:szCs w:val="20"/>
        </w:rPr>
        <w:t>r</w:t>
      </w:r>
      <w:r w:rsidRPr="00C050B2">
        <w:rPr>
          <w:rFonts w:eastAsia="Arial" w:cs="Arial"/>
          <w:i/>
          <w:spacing w:val="1"/>
          <w:szCs w:val="20"/>
        </w:rPr>
        <w:t>odu</w:t>
      </w:r>
      <w:r w:rsidRPr="00C050B2">
        <w:rPr>
          <w:rFonts w:eastAsia="Arial" w:cs="Arial"/>
          <w:i/>
          <w:szCs w:val="20"/>
        </w:rPr>
        <w:t>c</w:t>
      </w:r>
      <w:r w:rsidRPr="00C050B2">
        <w:rPr>
          <w:rFonts w:eastAsia="Arial" w:cs="Arial"/>
          <w:i/>
          <w:spacing w:val="-2"/>
          <w:szCs w:val="20"/>
        </w:rPr>
        <w:t>t/</w:t>
      </w:r>
      <w:r w:rsidRPr="00C050B2">
        <w:rPr>
          <w:rFonts w:eastAsia="Arial" w:cs="Arial"/>
          <w:i/>
          <w:szCs w:val="20"/>
        </w:rPr>
        <w:t>sys</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m.</w:t>
      </w:r>
      <w:r w:rsidRPr="00C050B2">
        <w:rPr>
          <w:rFonts w:eastAsia="Arial" w:cs="Arial"/>
          <w:i/>
          <w:spacing w:val="-3"/>
          <w:szCs w:val="20"/>
        </w:rPr>
        <w:t xml:space="preserve"> </w:t>
      </w:r>
      <w:r w:rsidRPr="00C050B2">
        <w:rPr>
          <w:rFonts w:eastAsia="Arial" w:cs="Arial"/>
          <w:i/>
          <w:spacing w:val="1"/>
          <w:szCs w:val="20"/>
        </w:rPr>
        <w:t>De</w:t>
      </w:r>
      <w:r w:rsidRPr="00C050B2">
        <w:rPr>
          <w:rFonts w:eastAsia="Arial" w:cs="Arial"/>
          <w:i/>
          <w:szCs w:val="20"/>
        </w:rPr>
        <w:t>scr</w:t>
      </w:r>
      <w:r w:rsidRPr="00C050B2">
        <w:rPr>
          <w:rFonts w:eastAsia="Arial" w:cs="Arial"/>
          <w:i/>
          <w:spacing w:val="2"/>
          <w:szCs w:val="20"/>
        </w:rPr>
        <w:t>i</w:t>
      </w:r>
      <w:r w:rsidRPr="00C050B2">
        <w:rPr>
          <w:rFonts w:eastAsia="Arial" w:cs="Arial"/>
          <w:i/>
          <w:spacing w:val="1"/>
          <w:szCs w:val="20"/>
        </w:rPr>
        <w:t>b</w:t>
      </w:r>
      <w:r w:rsidRPr="00C050B2">
        <w:rPr>
          <w:rFonts w:eastAsia="Arial" w:cs="Arial"/>
          <w:i/>
          <w:szCs w:val="20"/>
        </w:rPr>
        <w:t xml:space="preserve">e </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pu</w:t>
      </w:r>
      <w:r w:rsidRPr="00C050B2">
        <w:rPr>
          <w:rFonts w:eastAsia="Arial" w:cs="Arial"/>
          <w:i/>
          <w:spacing w:val="-5"/>
          <w:szCs w:val="20"/>
        </w:rPr>
        <w:t>r</w:t>
      </w:r>
      <w:r w:rsidRPr="00C050B2">
        <w:rPr>
          <w:rFonts w:eastAsia="Arial" w:cs="Arial"/>
          <w:i/>
          <w:spacing w:val="1"/>
          <w:szCs w:val="20"/>
        </w:rPr>
        <w:t>po</w:t>
      </w:r>
      <w:r w:rsidRPr="00C050B2">
        <w:rPr>
          <w:rFonts w:eastAsia="Arial" w:cs="Arial"/>
          <w:i/>
          <w:szCs w:val="20"/>
        </w:rPr>
        <w:t>s</w:t>
      </w:r>
      <w:r w:rsidRPr="00C050B2">
        <w:rPr>
          <w:rFonts w:eastAsia="Arial" w:cs="Arial"/>
          <w:i/>
          <w:spacing w:val="1"/>
          <w:szCs w:val="20"/>
        </w:rPr>
        <w:t>e</w:t>
      </w:r>
      <w:r w:rsidRPr="00C050B2">
        <w:rPr>
          <w:rFonts w:eastAsia="Arial" w:cs="Arial"/>
          <w:i/>
          <w:szCs w:val="20"/>
        </w:rPr>
        <w:t xml:space="preserve">, </w:t>
      </w:r>
      <w:r w:rsidRPr="00C050B2">
        <w:rPr>
          <w:rFonts w:eastAsia="Arial" w:cs="Arial"/>
          <w:i/>
          <w:spacing w:val="-2"/>
          <w:szCs w:val="20"/>
        </w:rPr>
        <w:t>f</w:t>
      </w:r>
      <w:r w:rsidRPr="00C050B2">
        <w:rPr>
          <w:rFonts w:eastAsia="Arial" w:cs="Arial"/>
          <w:i/>
          <w:spacing w:val="1"/>
          <w:szCs w:val="20"/>
        </w:rPr>
        <w:t>un</w:t>
      </w:r>
      <w:r w:rsidRPr="00C050B2">
        <w:rPr>
          <w:rFonts w:eastAsia="Arial" w:cs="Arial"/>
          <w:i/>
          <w:szCs w:val="20"/>
        </w:rPr>
        <w:t>c</w:t>
      </w:r>
      <w:r w:rsidRPr="00C050B2">
        <w:rPr>
          <w:rFonts w:eastAsia="Arial" w:cs="Arial"/>
          <w:i/>
          <w:spacing w:val="-2"/>
          <w:szCs w:val="20"/>
        </w:rPr>
        <w:t>t</w:t>
      </w:r>
      <w:r w:rsidRPr="00C050B2">
        <w:rPr>
          <w:rFonts w:eastAsia="Arial" w:cs="Arial"/>
          <w:i/>
          <w:spacing w:val="1"/>
          <w:szCs w:val="20"/>
        </w:rPr>
        <w:t>ion</w:t>
      </w:r>
      <w:r w:rsidRPr="00C050B2">
        <w:rPr>
          <w:rFonts w:eastAsia="Arial" w:cs="Arial"/>
          <w:i/>
          <w:spacing w:val="-3"/>
          <w:szCs w:val="20"/>
        </w:rPr>
        <w:t>a</w:t>
      </w:r>
      <w:r w:rsidRPr="00C050B2">
        <w:rPr>
          <w:rFonts w:eastAsia="Arial" w:cs="Arial"/>
          <w:i/>
          <w:spacing w:val="1"/>
          <w:szCs w:val="20"/>
        </w:rPr>
        <w:t>li</w:t>
      </w:r>
      <w:r w:rsidRPr="00C050B2">
        <w:rPr>
          <w:rFonts w:eastAsia="Arial" w:cs="Arial"/>
          <w:i/>
          <w:spacing w:val="-2"/>
          <w:szCs w:val="20"/>
        </w:rPr>
        <w:t>t</w:t>
      </w:r>
      <w:r w:rsidRPr="00C050B2">
        <w:rPr>
          <w:rFonts w:eastAsia="Arial" w:cs="Arial"/>
          <w:i/>
          <w:szCs w:val="20"/>
        </w:rPr>
        <w:t>y,</w:t>
      </w:r>
      <w:r w:rsidRPr="00C050B2">
        <w:rPr>
          <w:rFonts w:eastAsia="Arial" w:cs="Arial"/>
          <w:i/>
          <w:spacing w:val="-3"/>
          <w:szCs w:val="20"/>
        </w:rPr>
        <w:t xml:space="preserve"> </w:t>
      </w:r>
      <w:r w:rsidRPr="00C050B2">
        <w:rPr>
          <w:rFonts w:eastAsia="Arial" w:cs="Arial"/>
          <w:i/>
          <w:spacing w:val="1"/>
          <w:szCs w:val="20"/>
        </w:rPr>
        <w:t>ai</w:t>
      </w:r>
      <w:r w:rsidRPr="00C050B2">
        <w:rPr>
          <w:rFonts w:eastAsia="Arial" w:cs="Arial"/>
          <w:i/>
          <w:szCs w:val="20"/>
        </w:rPr>
        <w:t>m</w:t>
      </w:r>
      <w:r w:rsidRPr="00C050B2">
        <w:rPr>
          <w:rFonts w:eastAsia="Arial" w:cs="Arial"/>
          <w:i/>
          <w:spacing w:val="-1"/>
          <w:szCs w:val="20"/>
        </w:rPr>
        <w:t xml:space="preserve"> </w:t>
      </w:r>
      <w:r w:rsidRPr="00C050B2">
        <w:rPr>
          <w:rFonts w:eastAsia="Arial" w:cs="Arial"/>
          <w:i/>
          <w:spacing w:val="1"/>
          <w:szCs w:val="20"/>
        </w:rPr>
        <w:t>an</w:t>
      </w:r>
      <w:r w:rsidRPr="00C050B2">
        <w:rPr>
          <w:rFonts w:eastAsia="Arial" w:cs="Arial"/>
          <w:i/>
          <w:szCs w:val="20"/>
        </w:rPr>
        <w:t>d sc</w:t>
      </w:r>
      <w:r w:rsidRPr="00C050B2">
        <w:rPr>
          <w:rFonts w:eastAsia="Arial" w:cs="Arial"/>
          <w:i/>
          <w:spacing w:val="1"/>
          <w:szCs w:val="20"/>
        </w:rPr>
        <w:t>o</w:t>
      </w:r>
      <w:r w:rsidRPr="00C050B2">
        <w:rPr>
          <w:rFonts w:eastAsia="Arial" w:cs="Arial"/>
          <w:i/>
          <w:spacing w:val="-3"/>
          <w:szCs w:val="20"/>
        </w:rPr>
        <w:t>p</w:t>
      </w:r>
      <w:r w:rsidRPr="00C050B2">
        <w:rPr>
          <w:rFonts w:eastAsia="Arial" w:cs="Arial"/>
          <w:i/>
          <w:spacing w:val="1"/>
          <w:szCs w:val="20"/>
        </w:rPr>
        <w:t>e</w:t>
      </w:r>
      <w:r w:rsidRPr="00C050B2">
        <w:rPr>
          <w:rFonts w:eastAsia="Arial" w:cs="Arial"/>
          <w:i/>
          <w:spacing w:val="-2"/>
          <w:szCs w:val="20"/>
        </w:rPr>
        <w:t>.</w:t>
      </w:r>
      <w:r w:rsidRPr="00C050B2">
        <w:rPr>
          <w:rFonts w:eastAsia="Arial" w:cs="Arial"/>
          <w:i/>
          <w:szCs w:val="20"/>
        </w:rPr>
        <w:t>&gt;</w:t>
      </w:r>
    </w:p>
    <w:p w14:paraId="12263064" w14:textId="77777777" w:rsidR="00C1793C" w:rsidRPr="00C050B2" w:rsidRDefault="00C1793C" w:rsidP="009D675B">
      <w:pPr>
        <w:pStyle w:val="Sch2"/>
        <w:numPr>
          <w:ilvl w:val="3"/>
          <w:numId w:val="56"/>
        </w:numPr>
        <w:rPr>
          <w:rFonts w:eastAsia="Arial" w:cs="Arial"/>
          <w:szCs w:val="20"/>
        </w:rPr>
      </w:pPr>
      <w:r w:rsidRPr="00C050B2">
        <w:rPr>
          <w:rFonts w:eastAsia="Verdana"/>
        </w:rPr>
        <w:t>Organisational</w:t>
      </w:r>
      <w:r w:rsidRPr="00C050B2">
        <w:rPr>
          <w:rFonts w:eastAsia="Arial" w:cs="Arial"/>
          <w:szCs w:val="20"/>
        </w:rPr>
        <w:t xml:space="preserve"> </w:t>
      </w:r>
      <w:r w:rsidRPr="00C050B2">
        <w:rPr>
          <w:rFonts w:eastAsia="Arial" w:cs="Arial"/>
          <w:spacing w:val="-2"/>
          <w:szCs w:val="20"/>
        </w:rPr>
        <w:t>O</w:t>
      </w:r>
      <w:r w:rsidRPr="00C050B2">
        <w:rPr>
          <w:rFonts w:eastAsia="Arial" w:cs="Arial"/>
          <w:spacing w:val="1"/>
          <w:szCs w:val="20"/>
        </w:rPr>
        <w:t>w</w:t>
      </w:r>
      <w:r w:rsidRPr="00C050B2">
        <w:rPr>
          <w:rFonts w:eastAsia="Arial" w:cs="Arial"/>
          <w:spacing w:val="-3"/>
          <w:szCs w:val="20"/>
        </w:rPr>
        <w:t>n</w:t>
      </w:r>
      <w:r w:rsidRPr="00C050B2">
        <w:rPr>
          <w:rFonts w:eastAsia="Arial" w:cs="Arial"/>
          <w:spacing w:val="1"/>
          <w:szCs w:val="20"/>
        </w:rPr>
        <w:t>e</w:t>
      </w:r>
      <w:r w:rsidRPr="00C050B2">
        <w:rPr>
          <w:rFonts w:eastAsia="Arial" w:cs="Arial"/>
          <w:szCs w:val="20"/>
        </w:rPr>
        <w:t>rs</w:t>
      </w:r>
      <w:r w:rsidRPr="00C050B2">
        <w:rPr>
          <w:rFonts w:eastAsia="Arial" w:cs="Arial"/>
          <w:spacing w:val="1"/>
          <w:szCs w:val="20"/>
        </w:rPr>
        <w:t>h</w:t>
      </w:r>
      <w:r w:rsidRPr="00C050B2">
        <w:rPr>
          <w:rFonts w:eastAsia="Arial" w:cs="Arial"/>
          <w:spacing w:val="-3"/>
          <w:szCs w:val="20"/>
        </w:rPr>
        <w:t>i</w:t>
      </w:r>
      <w:r w:rsidRPr="00C050B2">
        <w:rPr>
          <w:rFonts w:eastAsia="Arial" w:cs="Arial"/>
          <w:spacing w:val="1"/>
          <w:szCs w:val="20"/>
        </w:rPr>
        <w:t>p</w:t>
      </w:r>
      <w:r w:rsidRPr="00C050B2">
        <w:rPr>
          <w:rFonts w:eastAsia="Arial" w:cs="Arial"/>
          <w:spacing w:val="-2"/>
          <w:szCs w:val="20"/>
        </w:rPr>
        <w:t>/</w:t>
      </w:r>
      <w:r w:rsidRPr="00C050B2">
        <w:rPr>
          <w:rFonts w:eastAsia="Arial" w:cs="Arial"/>
          <w:szCs w:val="20"/>
        </w:rPr>
        <w:t>S</w:t>
      </w:r>
      <w:r w:rsidRPr="00C050B2">
        <w:rPr>
          <w:rFonts w:eastAsia="Arial" w:cs="Arial"/>
          <w:spacing w:val="-2"/>
          <w:szCs w:val="20"/>
        </w:rPr>
        <w:t>t</w:t>
      </w:r>
      <w:r w:rsidRPr="00C050B2">
        <w:rPr>
          <w:rFonts w:eastAsia="Arial" w:cs="Arial"/>
          <w:szCs w:val="20"/>
        </w:rPr>
        <w:t>r</w:t>
      </w:r>
      <w:r w:rsidRPr="00C050B2">
        <w:rPr>
          <w:rFonts w:eastAsia="Arial" w:cs="Arial"/>
          <w:spacing w:val="1"/>
          <w:szCs w:val="20"/>
        </w:rPr>
        <w:t>u</w:t>
      </w:r>
      <w:r w:rsidRPr="00C050B2">
        <w:rPr>
          <w:rFonts w:eastAsia="Arial" w:cs="Arial"/>
          <w:szCs w:val="20"/>
        </w:rPr>
        <w:t>c</w:t>
      </w:r>
      <w:r w:rsidRPr="00C050B2">
        <w:rPr>
          <w:rFonts w:eastAsia="Arial" w:cs="Arial"/>
          <w:spacing w:val="-2"/>
          <w:szCs w:val="20"/>
        </w:rPr>
        <w:t>t</w:t>
      </w:r>
      <w:r w:rsidRPr="00C050B2">
        <w:rPr>
          <w:rFonts w:eastAsia="Arial" w:cs="Arial"/>
          <w:spacing w:val="1"/>
          <w:szCs w:val="20"/>
        </w:rPr>
        <w:t>u</w:t>
      </w:r>
      <w:r w:rsidRPr="00C050B2">
        <w:rPr>
          <w:rFonts w:eastAsia="Arial" w:cs="Arial"/>
          <w:szCs w:val="20"/>
        </w:rPr>
        <w:t>re</w:t>
      </w:r>
    </w:p>
    <w:p w14:paraId="5E1B1636" w14:textId="77777777" w:rsidR="00C1793C" w:rsidRPr="00C050B2" w:rsidRDefault="00C1793C" w:rsidP="00C1793C">
      <w:pPr>
        <w:ind w:left="861" w:right="623"/>
        <w:rPr>
          <w:rFonts w:eastAsia="Arial" w:cs="Arial"/>
          <w:szCs w:val="20"/>
        </w:rPr>
      </w:pPr>
      <w:r w:rsidRPr="00C050B2">
        <w:rPr>
          <w:rFonts w:eastAsia="Arial" w:cs="Arial"/>
          <w:i/>
          <w:szCs w:val="20"/>
        </w:rPr>
        <w:t>&lt;</w:t>
      </w:r>
      <w:r w:rsidRPr="00C050B2">
        <w:rPr>
          <w:rFonts w:eastAsia="Arial" w:cs="Arial"/>
          <w:i/>
          <w:spacing w:val="3"/>
          <w:szCs w:val="20"/>
        </w:rPr>
        <w:t>W</w:t>
      </w:r>
      <w:r w:rsidRPr="00C050B2">
        <w:rPr>
          <w:rFonts w:eastAsia="Arial" w:cs="Arial"/>
          <w:i/>
          <w:spacing w:val="1"/>
          <w:szCs w:val="20"/>
        </w:rPr>
        <w:t>h</w:t>
      </w:r>
      <w:r w:rsidRPr="00C050B2">
        <w:rPr>
          <w:rFonts w:eastAsia="Arial" w:cs="Arial"/>
          <w:i/>
          <w:szCs w:val="20"/>
        </w:rPr>
        <w:t xml:space="preserve">o </w:t>
      </w:r>
      <w:r w:rsidRPr="00C050B2">
        <w:rPr>
          <w:rFonts w:eastAsia="Arial" w:cs="Arial"/>
          <w:i/>
          <w:spacing w:val="-3"/>
          <w:szCs w:val="20"/>
        </w:rPr>
        <w:t>o</w:t>
      </w:r>
      <w:r w:rsidRPr="00C050B2">
        <w:rPr>
          <w:rFonts w:eastAsia="Arial" w:cs="Arial"/>
          <w:i/>
          <w:spacing w:val="1"/>
          <w:szCs w:val="20"/>
        </w:rPr>
        <w:t>wn</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sys</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m</w:t>
      </w:r>
      <w:r w:rsidRPr="00C050B2">
        <w:rPr>
          <w:rFonts w:eastAsia="Arial" w:cs="Arial"/>
          <w:i/>
          <w:spacing w:val="-1"/>
          <w:szCs w:val="20"/>
        </w:rPr>
        <w:t xml:space="preserve"> </w:t>
      </w:r>
      <w:r w:rsidRPr="00C050B2">
        <w:rPr>
          <w:rFonts w:eastAsia="Arial" w:cs="Arial"/>
          <w:i/>
          <w:spacing w:val="1"/>
          <w:szCs w:val="20"/>
        </w:rPr>
        <w:t>an</w:t>
      </w:r>
      <w:r w:rsidRPr="00C050B2">
        <w:rPr>
          <w:rFonts w:eastAsia="Arial" w:cs="Arial"/>
          <w:i/>
          <w:szCs w:val="20"/>
        </w:rPr>
        <w:t xml:space="preserve">d </w:t>
      </w:r>
      <w:r w:rsidRPr="00C050B2">
        <w:rPr>
          <w:rFonts w:eastAsia="Arial" w:cs="Arial"/>
          <w:i/>
          <w:spacing w:val="1"/>
          <w:szCs w:val="20"/>
        </w:rPr>
        <w:t>o</w:t>
      </w:r>
      <w:r w:rsidRPr="00C050B2">
        <w:rPr>
          <w:rFonts w:eastAsia="Arial" w:cs="Arial"/>
          <w:i/>
          <w:spacing w:val="-3"/>
          <w:szCs w:val="20"/>
        </w:rPr>
        <w:t>p</w:t>
      </w:r>
      <w:r w:rsidRPr="00C050B2">
        <w:rPr>
          <w:rFonts w:eastAsia="Arial" w:cs="Arial"/>
          <w:i/>
          <w:spacing w:val="1"/>
          <w:szCs w:val="20"/>
        </w:rPr>
        <w:t>e</w:t>
      </w:r>
      <w:r w:rsidRPr="00C050B2">
        <w:rPr>
          <w:rFonts w:eastAsia="Arial" w:cs="Arial"/>
          <w:i/>
          <w:szCs w:val="20"/>
        </w:rPr>
        <w:t>r</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sys</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m</w:t>
      </w:r>
      <w:r w:rsidRPr="00C050B2">
        <w:rPr>
          <w:rFonts w:eastAsia="Arial" w:cs="Arial"/>
          <w:i/>
          <w:spacing w:val="-1"/>
          <w:szCs w:val="20"/>
        </w:rPr>
        <w:t xml:space="preserve"> </w:t>
      </w:r>
      <w:r w:rsidRPr="00C050B2">
        <w:rPr>
          <w:rFonts w:eastAsia="Arial" w:cs="Arial"/>
          <w:i/>
          <w:spacing w:val="1"/>
          <w:szCs w:val="20"/>
        </w:rPr>
        <w:t>an</w:t>
      </w:r>
      <w:r w:rsidRPr="00C050B2">
        <w:rPr>
          <w:rFonts w:eastAsia="Arial" w:cs="Arial"/>
          <w:i/>
          <w:szCs w:val="20"/>
        </w:rPr>
        <w:t xml:space="preserve">d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o</w:t>
      </w:r>
      <w:r w:rsidRPr="00C050B2">
        <w:rPr>
          <w:rFonts w:eastAsia="Arial" w:cs="Arial"/>
          <w:i/>
          <w:szCs w:val="20"/>
        </w:rPr>
        <w:t>r</w:t>
      </w:r>
      <w:r w:rsidRPr="00C050B2">
        <w:rPr>
          <w:rFonts w:eastAsia="Arial" w:cs="Arial"/>
          <w:i/>
          <w:spacing w:val="1"/>
          <w:szCs w:val="20"/>
        </w:rPr>
        <w:t>ga</w:t>
      </w:r>
      <w:r w:rsidRPr="00C050B2">
        <w:rPr>
          <w:rFonts w:eastAsia="Arial" w:cs="Arial"/>
          <w:i/>
          <w:spacing w:val="-3"/>
          <w:szCs w:val="20"/>
        </w:rPr>
        <w:t>n</w:t>
      </w:r>
      <w:r w:rsidRPr="00C050B2">
        <w:rPr>
          <w:rFonts w:eastAsia="Arial" w:cs="Arial"/>
          <w:i/>
          <w:spacing w:val="1"/>
          <w:szCs w:val="20"/>
        </w:rPr>
        <w:t>i</w:t>
      </w:r>
      <w:r w:rsidRPr="00C050B2">
        <w:rPr>
          <w:rFonts w:eastAsia="Arial" w:cs="Arial"/>
          <w:i/>
          <w:szCs w:val="20"/>
        </w:rPr>
        <w:t>s</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1"/>
          <w:szCs w:val="20"/>
        </w:rPr>
        <w:t>i</w:t>
      </w:r>
      <w:r w:rsidRPr="00C050B2">
        <w:rPr>
          <w:rFonts w:eastAsia="Arial" w:cs="Arial"/>
          <w:i/>
          <w:spacing w:val="-3"/>
          <w:szCs w:val="20"/>
        </w:rPr>
        <w:t>o</w:t>
      </w:r>
      <w:r w:rsidRPr="00C050B2">
        <w:rPr>
          <w:rFonts w:eastAsia="Arial" w:cs="Arial"/>
          <w:i/>
          <w:spacing w:val="1"/>
          <w:szCs w:val="20"/>
        </w:rPr>
        <w:t>na</w:t>
      </w:r>
      <w:r w:rsidRPr="00C050B2">
        <w:rPr>
          <w:rFonts w:eastAsia="Arial" w:cs="Arial"/>
          <w:i/>
          <w:szCs w:val="20"/>
        </w:rPr>
        <w:t xml:space="preserve">l </w:t>
      </w:r>
      <w:r w:rsidRPr="00C050B2">
        <w:rPr>
          <w:rFonts w:eastAsia="Arial" w:cs="Arial"/>
          <w:i/>
          <w:spacing w:val="1"/>
          <w:szCs w:val="20"/>
        </w:rPr>
        <w:t>go</w:t>
      </w:r>
      <w:r w:rsidRPr="00C050B2">
        <w:rPr>
          <w:rFonts w:eastAsia="Arial" w:cs="Arial"/>
          <w:i/>
          <w:szCs w:val="20"/>
        </w:rPr>
        <w:t>v</w:t>
      </w:r>
      <w:r w:rsidRPr="00C050B2">
        <w:rPr>
          <w:rFonts w:eastAsia="Arial" w:cs="Arial"/>
          <w:i/>
          <w:spacing w:val="1"/>
          <w:szCs w:val="20"/>
        </w:rPr>
        <w:t>e</w:t>
      </w:r>
      <w:r w:rsidRPr="00C050B2">
        <w:rPr>
          <w:rFonts w:eastAsia="Arial" w:cs="Arial"/>
          <w:i/>
          <w:szCs w:val="20"/>
        </w:rPr>
        <w:t>r</w:t>
      </w:r>
      <w:r w:rsidRPr="00C050B2">
        <w:rPr>
          <w:rFonts w:eastAsia="Arial" w:cs="Arial"/>
          <w:i/>
          <w:spacing w:val="-3"/>
          <w:szCs w:val="20"/>
        </w:rPr>
        <w:t>n</w:t>
      </w:r>
      <w:r w:rsidRPr="00C050B2">
        <w:rPr>
          <w:rFonts w:eastAsia="Arial" w:cs="Arial"/>
          <w:i/>
          <w:spacing w:val="1"/>
          <w:szCs w:val="20"/>
        </w:rPr>
        <w:t>an</w:t>
      </w:r>
      <w:r w:rsidRPr="00C050B2">
        <w:rPr>
          <w:rFonts w:eastAsia="Arial" w:cs="Arial"/>
          <w:i/>
          <w:szCs w:val="20"/>
        </w:rPr>
        <w:t>ce s</w:t>
      </w:r>
      <w:r w:rsidRPr="00C050B2">
        <w:rPr>
          <w:rFonts w:eastAsia="Arial" w:cs="Arial"/>
          <w:i/>
          <w:spacing w:val="-2"/>
          <w:szCs w:val="20"/>
        </w:rPr>
        <w:t>t</w:t>
      </w:r>
      <w:r w:rsidRPr="00C050B2">
        <w:rPr>
          <w:rFonts w:eastAsia="Arial" w:cs="Arial"/>
          <w:i/>
          <w:szCs w:val="20"/>
        </w:rPr>
        <w:t>r</w:t>
      </w:r>
      <w:r w:rsidRPr="00C050B2">
        <w:rPr>
          <w:rFonts w:eastAsia="Arial" w:cs="Arial"/>
          <w:i/>
          <w:spacing w:val="1"/>
          <w:szCs w:val="20"/>
        </w:rPr>
        <w:t>u</w:t>
      </w:r>
      <w:r w:rsidRPr="00C050B2">
        <w:rPr>
          <w:rFonts w:eastAsia="Arial" w:cs="Arial"/>
          <w:i/>
          <w:szCs w:val="20"/>
        </w:rPr>
        <w:t>c</w:t>
      </w:r>
      <w:r w:rsidRPr="00C050B2">
        <w:rPr>
          <w:rFonts w:eastAsia="Arial" w:cs="Arial"/>
          <w:i/>
          <w:spacing w:val="-2"/>
          <w:szCs w:val="20"/>
        </w:rPr>
        <w:t>t</w:t>
      </w:r>
      <w:r w:rsidRPr="00C050B2">
        <w:rPr>
          <w:rFonts w:eastAsia="Arial" w:cs="Arial"/>
          <w:i/>
          <w:spacing w:val="1"/>
          <w:szCs w:val="20"/>
        </w:rPr>
        <w:t>u</w:t>
      </w:r>
      <w:r w:rsidRPr="00C050B2">
        <w:rPr>
          <w:rFonts w:eastAsia="Arial" w:cs="Arial"/>
          <w:i/>
          <w:szCs w:val="20"/>
        </w:rPr>
        <w:t>r</w:t>
      </w:r>
      <w:r w:rsidRPr="00C050B2">
        <w:rPr>
          <w:rFonts w:eastAsia="Arial" w:cs="Arial"/>
          <w:i/>
          <w:spacing w:val="4"/>
          <w:szCs w:val="20"/>
        </w:rPr>
        <w:t>e</w:t>
      </w:r>
      <w:r w:rsidRPr="00C050B2">
        <w:rPr>
          <w:rFonts w:eastAsia="Arial" w:cs="Arial"/>
          <w:i/>
          <w:szCs w:val="20"/>
        </w:rPr>
        <w:t>.</w:t>
      </w:r>
      <w:r w:rsidRPr="00C050B2">
        <w:rPr>
          <w:rFonts w:eastAsia="Arial" w:cs="Arial"/>
          <w:i/>
          <w:spacing w:val="61"/>
          <w:szCs w:val="20"/>
        </w:rPr>
        <w:t xml:space="preserve"> </w:t>
      </w:r>
      <w:r w:rsidRPr="00C050B2">
        <w:rPr>
          <w:rFonts w:eastAsia="Arial" w:cs="Arial"/>
          <w:i/>
          <w:spacing w:val="-2"/>
          <w:szCs w:val="20"/>
        </w:rPr>
        <w:t>T</w:t>
      </w:r>
      <w:r w:rsidRPr="00C050B2">
        <w:rPr>
          <w:rFonts w:eastAsia="Arial" w:cs="Arial"/>
          <w:i/>
          <w:spacing w:val="1"/>
          <w:szCs w:val="20"/>
        </w:rPr>
        <w:t>hi</w:t>
      </w:r>
      <w:r w:rsidRPr="00C050B2">
        <w:rPr>
          <w:rFonts w:eastAsia="Arial" w:cs="Arial"/>
          <w:i/>
          <w:szCs w:val="20"/>
        </w:rPr>
        <w:t>s</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hou</w:t>
      </w:r>
      <w:r w:rsidRPr="00C050B2">
        <w:rPr>
          <w:rFonts w:eastAsia="Arial" w:cs="Arial"/>
          <w:i/>
          <w:spacing w:val="-3"/>
          <w:szCs w:val="20"/>
        </w:rPr>
        <w:t>l</w:t>
      </w:r>
      <w:r w:rsidRPr="00C050B2">
        <w:rPr>
          <w:rFonts w:eastAsia="Arial" w:cs="Arial"/>
          <w:i/>
          <w:szCs w:val="20"/>
        </w:rPr>
        <w:t xml:space="preserve">d </w:t>
      </w:r>
      <w:r w:rsidRPr="00C050B2">
        <w:rPr>
          <w:rFonts w:eastAsia="Arial" w:cs="Arial"/>
          <w:i/>
          <w:spacing w:val="1"/>
          <w:szCs w:val="20"/>
        </w:rPr>
        <w:t>in</w:t>
      </w:r>
      <w:r w:rsidRPr="00C050B2">
        <w:rPr>
          <w:rFonts w:eastAsia="Arial" w:cs="Arial"/>
          <w:i/>
          <w:szCs w:val="20"/>
        </w:rPr>
        <w:t>c</w:t>
      </w:r>
      <w:r w:rsidRPr="00C050B2">
        <w:rPr>
          <w:rFonts w:eastAsia="Arial" w:cs="Arial"/>
          <w:i/>
          <w:spacing w:val="-3"/>
          <w:szCs w:val="20"/>
        </w:rPr>
        <w:t>l</w:t>
      </w:r>
      <w:r w:rsidRPr="00C050B2">
        <w:rPr>
          <w:rFonts w:eastAsia="Arial" w:cs="Arial"/>
          <w:i/>
          <w:spacing w:val="1"/>
          <w:szCs w:val="20"/>
        </w:rPr>
        <w:t>ud</w:t>
      </w:r>
      <w:r w:rsidRPr="00C050B2">
        <w:rPr>
          <w:rFonts w:eastAsia="Arial" w:cs="Arial"/>
          <w:i/>
          <w:szCs w:val="20"/>
        </w:rPr>
        <w:t xml:space="preserve">e </w:t>
      </w:r>
      <w:r w:rsidRPr="00C050B2">
        <w:rPr>
          <w:rFonts w:eastAsia="Arial" w:cs="Arial"/>
          <w:i/>
          <w:spacing w:val="1"/>
          <w:szCs w:val="20"/>
        </w:rPr>
        <w:t>h</w:t>
      </w:r>
      <w:r w:rsidRPr="00C050B2">
        <w:rPr>
          <w:rFonts w:eastAsia="Arial" w:cs="Arial"/>
          <w:i/>
          <w:spacing w:val="-3"/>
          <w:szCs w:val="20"/>
        </w:rPr>
        <w:t>o</w:t>
      </w:r>
      <w:r w:rsidRPr="00C050B2">
        <w:rPr>
          <w:rFonts w:eastAsia="Arial" w:cs="Arial"/>
          <w:i/>
          <w:szCs w:val="20"/>
        </w:rPr>
        <w:t xml:space="preserve">w </w:t>
      </w:r>
      <w:r w:rsidRPr="00C050B2">
        <w:rPr>
          <w:rFonts w:eastAsia="Arial" w:cs="Arial"/>
          <w:i/>
          <w:spacing w:val="1"/>
          <w:szCs w:val="20"/>
        </w:rPr>
        <w:t>an</w:t>
      </w:r>
      <w:r w:rsidRPr="00C050B2">
        <w:rPr>
          <w:rFonts w:eastAsia="Arial" w:cs="Arial"/>
          <w:i/>
          <w:szCs w:val="20"/>
        </w:rPr>
        <w:t>y</w:t>
      </w:r>
      <w:r w:rsidRPr="00C050B2">
        <w:rPr>
          <w:rFonts w:eastAsia="Arial" w:cs="Arial"/>
          <w:i/>
          <w:spacing w:val="-1"/>
          <w:szCs w:val="20"/>
        </w:rPr>
        <w:t xml:space="preserve"> </w:t>
      </w:r>
      <w:r w:rsidRPr="00C050B2">
        <w:rPr>
          <w:rFonts w:eastAsia="Arial" w:cs="Arial"/>
          <w:i/>
          <w:spacing w:val="1"/>
          <w:szCs w:val="20"/>
        </w:rPr>
        <w:t>ong</w:t>
      </w:r>
      <w:r w:rsidRPr="00C050B2">
        <w:rPr>
          <w:rFonts w:eastAsia="Arial" w:cs="Arial"/>
          <w:i/>
          <w:spacing w:val="-3"/>
          <w:szCs w:val="20"/>
        </w:rPr>
        <w:t>o</w:t>
      </w:r>
      <w:r w:rsidRPr="00C050B2">
        <w:rPr>
          <w:rFonts w:eastAsia="Arial" w:cs="Arial"/>
          <w:i/>
          <w:spacing w:val="1"/>
          <w:szCs w:val="20"/>
        </w:rPr>
        <w:t>in</w:t>
      </w:r>
      <w:r w:rsidRPr="00C050B2">
        <w:rPr>
          <w:rFonts w:eastAsia="Arial" w:cs="Arial"/>
          <w:i/>
          <w:szCs w:val="20"/>
        </w:rPr>
        <w:t>g s</w:t>
      </w:r>
      <w:r w:rsidRPr="00C050B2">
        <w:rPr>
          <w:rFonts w:eastAsia="Arial" w:cs="Arial"/>
          <w:i/>
          <w:spacing w:val="1"/>
          <w:szCs w:val="20"/>
        </w:rPr>
        <w:t>e</w:t>
      </w:r>
      <w:r w:rsidRPr="00C050B2">
        <w:rPr>
          <w:rFonts w:eastAsia="Arial" w:cs="Arial"/>
          <w:i/>
          <w:spacing w:val="-5"/>
          <w:szCs w:val="20"/>
        </w:rPr>
        <w:t>c</w:t>
      </w:r>
      <w:r w:rsidRPr="00C050B2">
        <w:rPr>
          <w:rFonts w:eastAsia="Arial" w:cs="Arial"/>
          <w:i/>
          <w:spacing w:val="1"/>
          <w:szCs w:val="20"/>
        </w:rPr>
        <w:t>u</w:t>
      </w:r>
      <w:r w:rsidRPr="00C050B2">
        <w:rPr>
          <w:rFonts w:eastAsia="Arial" w:cs="Arial"/>
          <w:i/>
          <w:szCs w:val="20"/>
        </w:rPr>
        <w:t>r</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y m</w:t>
      </w:r>
      <w:r w:rsidRPr="00C050B2">
        <w:rPr>
          <w:rFonts w:eastAsia="Arial" w:cs="Arial"/>
          <w:i/>
          <w:spacing w:val="1"/>
          <w:szCs w:val="20"/>
        </w:rPr>
        <w:t>ana</w:t>
      </w:r>
      <w:r w:rsidRPr="00C050B2">
        <w:rPr>
          <w:rFonts w:eastAsia="Arial" w:cs="Arial"/>
          <w:i/>
          <w:spacing w:val="-3"/>
          <w:szCs w:val="20"/>
        </w:rPr>
        <w:t>g</w:t>
      </w:r>
      <w:r w:rsidRPr="00C050B2">
        <w:rPr>
          <w:rFonts w:eastAsia="Arial" w:cs="Arial"/>
          <w:i/>
          <w:spacing w:val="1"/>
          <w:szCs w:val="20"/>
        </w:rPr>
        <w:t>e</w:t>
      </w:r>
      <w:r w:rsidRPr="00C050B2">
        <w:rPr>
          <w:rFonts w:eastAsia="Arial" w:cs="Arial"/>
          <w:i/>
          <w:szCs w:val="20"/>
        </w:rPr>
        <w:t>m</w:t>
      </w:r>
      <w:r w:rsidRPr="00C050B2">
        <w:rPr>
          <w:rFonts w:eastAsia="Arial" w:cs="Arial"/>
          <w:i/>
          <w:spacing w:val="1"/>
          <w:szCs w:val="20"/>
        </w:rPr>
        <w:t>en</w:t>
      </w:r>
      <w:r w:rsidRPr="00C050B2">
        <w:rPr>
          <w:rFonts w:eastAsia="Arial" w:cs="Arial"/>
          <w:i/>
          <w:szCs w:val="20"/>
        </w:rPr>
        <w:t>t</w:t>
      </w:r>
      <w:r w:rsidRPr="00C050B2">
        <w:rPr>
          <w:rFonts w:eastAsia="Arial" w:cs="Arial"/>
          <w:i/>
          <w:spacing w:val="-3"/>
          <w:szCs w:val="20"/>
        </w:rPr>
        <w:t xml:space="preserve"> </w:t>
      </w:r>
      <w:r w:rsidRPr="00C050B2">
        <w:rPr>
          <w:rFonts w:eastAsia="Arial" w:cs="Arial"/>
          <w:i/>
          <w:spacing w:val="1"/>
          <w:szCs w:val="20"/>
        </w:rPr>
        <w:t>i</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in</w:t>
      </w:r>
      <w:r w:rsidRPr="00C050B2">
        <w:rPr>
          <w:rFonts w:eastAsia="Arial" w:cs="Arial"/>
          <w:i/>
          <w:spacing w:val="-2"/>
          <w:szCs w:val="20"/>
        </w:rPr>
        <w:t>t</w:t>
      </w:r>
      <w:r w:rsidRPr="00C050B2">
        <w:rPr>
          <w:rFonts w:eastAsia="Arial" w:cs="Arial"/>
          <w:i/>
          <w:spacing w:val="1"/>
          <w:szCs w:val="20"/>
        </w:rPr>
        <w:t>eg</w:t>
      </w:r>
      <w:r w:rsidRPr="00C050B2">
        <w:rPr>
          <w:rFonts w:eastAsia="Arial" w:cs="Arial"/>
          <w:i/>
          <w:spacing w:val="-5"/>
          <w:szCs w:val="20"/>
        </w:rPr>
        <w:t>r</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 xml:space="preserve">d </w:t>
      </w:r>
      <w:r w:rsidRPr="00C050B2">
        <w:rPr>
          <w:rFonts w:eastAsia="Arial" w:cs="Arial"/>
          <w:i/>
          <w:spacing w:val="1"/>
          <w:szCs w:val="20"/>
        </w:rPr>
        <w:t>in</w:t>
      </w:r>
      <w:r w:rsidRPr="00C050B2">
        <w:rPr>
          <w:rFonts w:eastAsia="Arial" w:cs="Arial"/>
          <w:i/>
          <w:spacing w:val="-2"/>
          <w:szCs w:val="20"/>
        </w:rPr>
        <w:t>t</w:t>
      </w:r>
      <w:r w:rsidRPr="00C050B2">
        <w:rPr>
          <w:rFonts w:eastAsia="Arial" w:cs="Arial"/>
          <w:i/>
          <w:szCs w:val="20"/>
        </w:rPr>
        <w:t xml:space="preserve">o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p</w:t>
      </w:r>
      <w:r w:rsidRPr="00C050B2">
        <w:rPr>
          <w:rFonts w:eastAsia="Arial" w:cs="Arial"/>
          <w:i/>
          <w:szCs w:val="20"/>
        </w:rPr>
        <w:t>r</w:t>
      </w:r>
      <w:r w:rsidRPr="00C050B2">
        <w:rPr>
          <w:rFonts w:eastAsia="Arial" w:cs="Arial"/>
          <w:i/>
          <w:spacing w:val="-3"/>
          <w:szCs w:val="20"/>
        </w:rPr>
        <w:t>o</w:t>
      </w:r>
      <w:r w:rsidRPr="00C050B2">
        <w:rPr>
          <w:rFonts w:eastAsia="Arial" w:cs="Arial"/>
          <w:i/>
          <w:spacing w:val="1"/>
          <w:szCs w:val="20"/>
        </w:rPr>
        <w:t>je</w:t>
      </w:r>
      <w:r w:rsidRPr="00C050B2">
        <w:rPr>
          <w:rFonts w:eastAsia="Arial" w:cs="Arial"/>
          <w:i/>
          <w:szCs w:val="20"/>
        </w:rPr>
        <w:t>ct</w:t>
      </w:r>
      <w:r w:rsidRPr="00C050B2">
        <w:rPr>
          <w:rFonts w:eastAsia="Arial" w:cs="Arial"/>
          <w:i/>
          <w:spacing w:val="-3"/>
          <w:szCs w:val="20"/>
        </w:rPr>
        <w:t xml:space="preserve"> </w:t>
      </w:r>
      <w:r w:rsidRPr="00C050B2">
        <w:rPr>
          <w:rFonts w:eastAsia="Arial" w:cs="Arial"/>
          <w:i/>
          <w:spacing w:val="1"/>
          <w:szCs w:val="20"/>
        </w:rPr>
        <w:t>go</w:t>
      </w:r>
      <w:r w:rsidRPr="00C050B2">
        <w:rPr>
          <w:rFonts w:eastAsia="Arial" w:cs="Arial"/>
          <w:i/>
          <w:szCs w:val="20"/>
        </w:rPr>
        <w:t>v</w:t>
      </w:r>
      <w:r w:rsidRPr="00C050B2">
        <w:rPr>
          <w:rFonts w:eastAsia="Arial" w:cs="Arial"/>
          <w:i/>
          <w:spacing w:val="1"/>
          <w:szCs w:val="20"/>
        </w:rPr>
        <w:t>e</w:t>
      </w:r>
      <w:r w:rsidRPr="00C050B2">
        <w:rPr>
          <w:rFonts w:eastAsia="Arial" w:cs="Arial"/>
          <w:i/>
          <w:spacing w:val="-5"/>
          <w:szCs w:val="20"/>
        </w:rPr>
        <w:t>r</w:t>
      </w:r>
      <w:r w:rsidRPr="00C050B2">
        <w:rPr>
          <w:rFonts w:eastAsia="Arial" w:cs="Arial"/>
          <w:i/>
          <w:spacing w:val="1"/>
          <w:szCs w:val="20"/>
        </w:rPr>
        <w:t>nan</w:t>
      </w:r>
      <w:r w:rsidRPr="00C050B2">
        <w:rPr>
          <w:rFonts w:eastAsia="Arial" w:cs="Arial"/>
          <w:i/>
          <w:szCs w:val="20"/>
        </w:rPr>
        <w:t xml:space="preserve">ce </w:t>
      </w:r>
      <w:proofErr w:type="gramStart"/>
      <w:r w:rsidRPr="00C050B2">
        <w:rPr>
          <w:rFonts w:eastAsia="Arial" w:cs="Arial"/>
          <w:i/>
          <w:spacing w:val="1"/>
          <w:szCs w:val="20"/>
        </w:rPr>
        <w:t>e</w:t>
      </w:r>
      <w:r w:rsidRPr="00C050B2">
        <w:rPr>
          <w:rFonts w:eastAsia="Arial" w:cs="Arial"/>
          <w:i/>
          <w:spacing w:val="-2"/>
          <w:szCs w:val="20"/>
        </w:rPr>
        <w:t>.</w:t>
      </w:r>
      <w:r w:rsidRPr="00C050B2">
        <w:rPr>
          <w:rFonts w:eastAsia="Arial" w:cs="Arial"/>
          <w:i/>
          <w:spacing w:val="1"/>
          <w:szCs w:val="20"/>
        </w:rPr>
        <w:t>g</w:t>
      </w:r>
      <w:r w:rsidRPr="00C050B2">
        <w:rPr>
          <w:rFonts w:eastAsia="Arial" w:cs="Arial"/>
          <w:i/>
          <w:szCs w:val="20"/>
        </w:rPr>
        <w:t>.</w:t>
      </w:r>
      <w:proofErr w:type="gramEnd"/>
      <w:r w:rsidRPr="00C050B2">
        <w:rPr>
          <w:rFonts w:eastAsia="Arial" w:cs="Arial"/>
          <w:i/>
          <w:spacing w:val="-3"/>
          <w:szCs w:val="20"/>
        </w:rPr>
        <w:t xml:space="preserve"> </w:t>
      </w:r>
      <w:r w:rsidRPr="00C050B2">
        <w:rPr>
          <w:rFonts w:eastAsia="Arial" w:cs="Arial"/>
          <w:i/>
          <w:spacing w:val="1"/>
          <w:szCs w:val="20"/>
        </w:rPr>
        <w:t>ho</w:t>
      </w:r>
      <w:r w:rsidRPr="00C050B2">
        <w:rPr>
          <w:rFonts w:eastAsia="Arial" w:cs="Arial"/>
          <w:i/>
          <w:szCs w:val="20"/>
        </w:rPr>
        <w:t>w a S</w:t>
      </w:r>
      <w:r w:rsidRPr="00C050B2">
        <w:rPr>
          <w:rFonts w:eastAsia="Arial" w:cs="Arial"/>
          <w:i/>
          <w:spacing w:val="1"/>
          <w:szCs w:val="20"/>
        </w:rPr>
        <w:t>e</w:t>
      </w:r>
      <w:r w:rsidRPr="00C050B2">
        <w:rPr>
          <w:rFonts w:eastAsia="Arial" w:cs="Arial"/>
          <w:i/>
          <w:spacing w:val="-5"/>
          <w:szCs w:val="20"/>
        </w:rPr>
        <w:t>c</w:t>
      </w:r>
      <w:r w:rsidRPr="00C050B2">
        <w:rPr>
          <w:rFonts w:eastAsia="Arial" w:cs="Arial"/>
          <w:i/>
          <w:spacing w:val="1"/>
          <w:szCs w:val="20"/>
        </w:rPr>
        <w:t>u</w:t>
      </w:r>
      <w:r w:rsidRPr="00C050B2">
        <w:rPr>
          <w:rFonts w:eastAsia="Arial" w:cs="Arial"/>
          <w:i/>
          <w:szCs w:val="20"/>
        </w:rPr>
        <w:t>r</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 xml:space="preserve">y </w:t>
      </w:r>
      <w:r w:rsidRPr="00C050B2">
        <w:rPr>
          <w:rFonts w:eastAsia="Arial" w:cs="Arial"/>
          <w:i/>
          <w:spacing w:val="3"/>
          <w:szCs w:val="20"/>
        </w:rPr>
        <w:t>W</w:t>
      </w:r>
      <w:r w:rsidRPr="00C050B2">
        <w:rPr>
          <w:rFonts w:eastAsia="Arial" w:cs="Arial"/>
          <w:i/>
          <w:spacing w:val="1"/>
          <w:szCs w:val="20"/>
        </w:rPr>
        <w:t>o</w:t>
      </w:r>
      <w:r w:rsidRPr="00C050B2">
        <w:rPr>
          <w:rFonts w:eastAsia="Arial" w:cs="Arial"/>
          <w:i/>
          <w:szCs w:val="20"/>
        </w:rPr>
        <w:t>rk</w:t>
      </w:r>
      <w:r w:rsidRPr="00C050B2">
        <w:rPr>
          <w:rFonts w:eastAsia="Arial" w:cs="Arial"/>
          <w:i/>
          <w:spacing w:val="-3"/>
          <w:szCs w:val="20"/>
        </w:rPr>
        <w:t>i</w:t>
      </w:r>
      <w:r w:rsidRPr="00C050B2">
        <w:rPr>
          <w:rFonts w:eastAsia="Arial" w:cs="Arial"/>
          <w:i/>
          <w:spacing w:val="1"/>
          <w:szCs w:val="20"/>
        </w:rPr>
        <w:t>n</w:t>
      </w:r>
      <w:r w:rsidRPr="00C050B2">
        <w:rPr>
          <w:rFonts w:eastAsia="Arial" w:cs="Arial"/>
          <w:i/>
          <w:szCs w:val="20"/>
        </w:rPr>
        <w:t xml:space="preserve">g </w:t>
      </w:r>
      <w:r w:rsidRPr="00C050B2">
        <w:rPr>
          <w:rFonts w:eastAsia="Arial" w:cs="Arial"/>
          <w:i/>
          <w:spacing w:val="-2"/>
          <w:szCs w:val="20"/>
        </w:rPr>
        <w:t>G</w:t>
      </w:r>
      <w:r w:rsidRPr="00C050B2">
        <w:rPr>
          <w:rFonts w:eastAsia="Arial" w:cs="Arial"/>
          <w:i/>
          <w:szCs w:val="20"/>
        </w:rPr>
        <w:t>r</w:t>
      </w:r>
      <w:r w:rsidRPr="00C050B2">
        <w:rPr>
          <w:rFonts w:eastAsia="Arial" w:cs="Arial"/>
          <w:i/>
          <w:spacing w:val="1"/>
          <w:szCs w:val="20"/>
        </w:rPr>
        <w:t>ou</w:t>
      </w:r>
      <w:r w:rsidRPr="00C050B2">
        <w:rPr>
          <w:rFonts w:eastAsia="Arial" w:cs="Arial"/>
          <w:i/>
          <w:szCs w:val="20"/>
        </w:rPr>
        <w:t>p r</w:t>
      </w:r>
      <w:r w:rsidRPr="00C050B2">
        <w:rPr>
          <w:rFonts w:eastAsia="Arial" w:cs="Arial"/>
          <w:i/>
          <w:spacing w:val="-3"/>
          <w:szCs w:val="20"/>
        </w:rPr>
        <w:t>e</w:t>
      </w:r>
      <w:r w:rsidRPr="00C050B2">
        <w:rPr>
          <w:rFonts w:eastAsia="Arial" w:cs="Arial"/>
          <w:i/>
          <w:spacing w:val="1"/>
          <w:szCs w:val="20"/>
        </w:rPr>
        <w:t>po</w:t>
      </w:r>
      <w:r w:rsidRPr="00C050B2">
        <w:rPr>
          <w:rFonts w:eastAsia="Arial" w:cs="Arial"/>
          <w:i/>
          <w:szCs w:val="20"/>
        </w:rPr>
        <w:t>r</w:t>
      </w:r>
      <w:r w:rsidRPr="00C050B2">
        <w:rPr>
          <w:rFonts w:eastAsia="Arial" w:cs="Arial"/>
          <w:i/>
          <w:spacing w:val="-2"/>
          <w:szCs w:val="20"/>
        </w:rPr>
        <w:t>t</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zCs w:val="20"/>
        </w:rPr>
        <w:t xml:space="preserve">o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p</w:t>
      </w:r>
      <w:r w:rsidRPr="00C050B2">
        <w:rPr>
          <w:rFonts w:eastAsia="Arial" w:cs="Arial"/>
          <w:i/>
          <w:szCs w:val="20"/>
        </w:rPr>
        <w:t>r</w:t>
      </w:r>
      <w:r w:rsidRPr="00C050B2">
        <w:rPr>
          <w:rFonts w:eastAsia="Arial" w:cs="Arial"/>
          <w:i/>
          <w:spacing w:val="1"/>
          <w:szCs w:val="20"/>
        </w:rPr>
        <w:t>oje</w:t>
      </w:r>
      <w:r w:rsidRPr="00C050B2">
        <w:rPr>
          <w:rFonts w:eastAsia="Arial" w:cs="Arial"/>
          <w:i/>
          <w:szCs w:val="20"/>
        </w:rPr>
        <w:t>ct</w:t>
      </w:r>
      <w:r w:rsidRPr="00C050B2">
        <w:rPr>
          <w:rFonts w:eastAsia="Arial" w:cs="Arial"/>
          <w:i/>
          <w:spacing w:val="-3"/>
          <w:szCs w:val="20"/>
        </w:rPr>
        <w:t xml:space="preserve"> </w:t>
      </w:r>
      <w:r w:rsidRPr="00C050B2">
        <w:rPr>
          <w:rFonts w:eastAsia="Arial" w:cs="Arial"/>
          <w:i/>
          <w:spacing w:val="1"/>
          <w:szCs w:val="20"/>
        </w:rPr>
        <w:t>boa</w:t>
      </w:r>
      <w:r w:rsidRPr="00C050B2">
        <w:rPr>
          <w:rFonts w:eastAsia="Arial" w:cs="Arial"/>
          <w:i/>
          <w:spacing w:val="-5"/>
          <w:szCs w:val="20"/>
        </w:rPr>
        <w:t>r</w:t>
      </w:r>
      <w:r w:rsidRPr="00C050B2">
        <w:rPr>
          <w:rFonts w:eastAsia="Arial" w:cs="Arial"/>
          <w:i/>
          <w:spacing w:val="1"/>
          <w:szCs w:val="20"/>
        </w:rPr>
        <w:t>d</w:t>
      </w:r>
      <w:r w:rsidRPr="00C050B2">
        <w:rPr>
          <w:rFonts w:eastAsia="Arial" w:cs="Arial"/>
          <w:i/>
          <w:spacing w:val="-2"/>
          <w:szCs w:val="20"/>
        </w:rPr>
        <w:t>.</w:t>
      </w:r>
      <w:r w:rsidRPr="00C050B2">
        <w:rPr>
          <w:rFonts w:eastAsia="Arial" w:cs="Arial"/>
          <w:i/>
          <w:szCs w:val="20"/>
        </w:rPr>
        <w:t>&gt;</w:t>
      </w:r>
    </w:p>
    <w:p w14:paraId="50300410" w14:textId="77777777" w:rsidR="00C1793C" w:rsidRPr="00C050B2" w:rsidRDefault="00C1793C" w:rsidP="009D675B">
      <w:pPr>
        <w:pStyle w:val="Sch2"/>
        <w:numPr>
          <w:ilvl w:val="3"/>
          <w:numId w:val="56"/>
        </w:numPr>
        <w:rPr>
          <w:rFonts w:eastAsia="Arial" w:cs="Arial"/>
          <w:szCs w:val="20"/>
        </w:rPr>
      </w:pPr>
      <w:r w:rsidRPr="00C050B2">
        <w:rPr>
          <w:rFonts w:eastAsia="Arial" w:cs="Arial"/>
          <w:spacing w:val="-2"/>
          <w:szCs w:val="20"/>
        </w:rPr>
        <w:t>I</w:t>
      </w:r>
      <w:r w:rsidRPr="00C050B2">
        <w:rPr>
          <w:rFonts w:eastAsia="Arial" w:cs="Arial"/>
          <w:spacing w:val="1"/>
          <w:szCs w:val="20"/>
        </w:rPr>
        <w:t>n</w:t>
      </w:r>
      <w:r w:rsidRPr="00C050B2">
        <w:rPr>
          <w:rFonts w:eastAsia="Arial" w:cs="Arial"/>
          <w:spacing w:val="-2"/>
          <w:szCs w:val="20"/>
        </w:rPr>
        <w:t>f</w:t>
      </w:r>
      <w:r w:rsidRPr="00C050B2">
        <w:rPr>
          <w:rFonts w:eastAsia="Arial" w:cs="Arial"/>
          <w:spacing w:val="1"/>
          <w:szCs w:val="20"/>
        </w:rPr>
        <w:t>o</w:t>
      </w:r>
      <w:r w:rsidRPr="00C050B2">
        <w:rPr>
          <w:rFonts w:eastAsia="Arial" w:cs="Arial"/>
          <w:szCs w:val="20"/>
        </w:rPr>
        <w:t>rm</w:t>
      </w:r>
      <w:r w:rsidRPr="00C050B2">
        <w:rPr>
          <w:rFonts w:eastAsia="Arial" w:cs="Arial"/>
          <w:spacing w:val="1"/>
          <w:szCs w:val="20"/>
        </w:rPr>
        <w:t>a</w:t>
      </w:r>
      <w:r w:rsidRPr="00C050B2">
        <w:rPr>
          <w:rFonts w:eastAsia="Arial" w:cs="Arial"/>
          <w:spacing w:val="-2"/>
          <w:szCs w:val="20"/>
        </w:rPr>
        <w:t>t</w:t>
      </w:r>
      <w:r w:rsidRPr="00C050B2">
        <w:rPr>
          <w:rFonts w:eastAsia="Arial" w:cs="Arial"/>
          <w:spacing w:val="1"/>
          <w:szCs w:val="20"/>
        </w:rPr>
        <w:t>io</w:t>
      </w:r>
      <w:r w:rsidRPr="00C050B2">
        <w:rPr>
          <w:rFonts w:eastAsia="Arial" w:cs="Arial"/>
          <w:szCs w:val="20"/>
        </w:rPr>
        <w:t xml:space="preserve">n </w:t>
      </w:r>
      <w:r w:rsidRPr="00C050B2">
        <w:rPr>
          <w:rFonts w:eastAsia="Arial" w:cs="Arial"/>
          <w:spacing w:val="1"/>
          <w:szCs w:val="20"/>
        </w:rPr>
        <w:t>a</w:t>
      </w:r>
      <w:r w:rsidRPr="00C050B2">
        <w:rPr>
          <w:rFonts w:eastAsia="Arial" w:cs="Arial"/>
          <w:szCs w:val="20"/>
        </w:rPr>
        <w:t>ss</w:t>
      </w:r>
      <w:r w:rsidRPr="00C050B2">
        <w:rPr>
          <w:rFonts w:eastAsia="Arial" w:cs="Arial"/>
          <w:spacing w:val="1"/>
          <w:szCs w:val="20"/>
        </w:rPr>
        <w:t>e</w:t>
      </w:r>
      <w:r w:rsidRPr="00C050B2">
        <w:rPr>
          <w:rFonts w:eastAsia="Arial" w:cs="Arial"/>
          <w:spacing w:val="-2"/>
          <w:szCs w:val="20"/>
        </w:rPr>
        <w:t>t</w:t>
      </w:r>
      <w:r w:rsidRPr="00C050B2">
        <w:rPr>
          <w:rFonts w:eastAsia="Arial" w:cs="Arial"/>
          <w:szCs w:val="20"/>
        </w:rPr>
        <w:t>s</w:t>
      </w:r>
      <w:r w:rsidRPr="00C050B2">
        <w:rPr>
          <w:rFonts w:eastAsia="Arial" w:cs="Arial"/>
          <w:spacing w:val="-1"/>
          <w:szCs w:val="20"/>
        </w:rPr>
        <w:t xml:space="preserve"> </w:t>
      </w:r>
      <w:r w:rsidRPr="00C050B2">
        <w:rPr>
          <w:rFonts w:eastAsia="Arial" w:cs="Arial"/>
          <w:spacing w:val="1"/>
          <w:szCs w:val="20"/>
        </w:rPr>
        <w:t>an</w:t>
      </w:r>
      <w:r w:rsidRPr="00C050B2">
        <w:rPr>
          <w:rFonts w:eastAsia="Arial" w:cs="Arial"/>
          <w:szCs w:val="20"/>
        </w:rPr>
        <w:t xml:space="preserve">d </w:t>
      </w:r>
      <w:r w:rsidRPr="00C050B2">
        <w:rPr>
          <w:rFonts w:eastAsia="Arial" w:cs="Arial"/>
          <w:spacing w:val="-2"/>
          <w:szCs w:val="20"/>
        </w:rPr>
        <w:t>f</w:t>
      </w:r>
      <w:r w:rsidRPr="00C050B2">
        <w:rPr>
          <w:rFonts w:eastAsia="Arial" w:cs="Arial"/>
          <w:spacing w:val="1"/>
          <w:szCs w:val="20"/>
        </w:rPr>
        <w:t>l</w:t>
      </w:r>
      <w:r w:rsidRPr="00C050B2">
        <w:rPr>
          <w:rFonts w:eastAsia="Arial" w:cs="Arial"/>
          <w:spacing w:val="-3"/>
          <w:szCs w:val="20"/>
        </w:rPr>
        <w:t>o</w:t>
      </w:r>
      <w:r w:rsidRPr="00C050B2">
        <w:rPr>
          <w:rFonts w:eastAsia="Arial" w:cs="Arial"/>
          <w:spacing w:val="1"/>
          <w:szCs w:val="20"/>
        </w:rPr>
        <w:t>w</w:t>
      </w:r>
      <w:r w:rsidRPr="00C050B2">
        <w:rPr>
          <w:rFonts w:eastAsia="Arial" w:cs="Arial"/>
          <w:szCs w:val="20"/>
        </w:rPr>
        <w:t>s</w:t>
      </w:r>
    </w:p>
    <w:p w14:paraId="5D18A99C" w14:textId="77777777" w:rsidR="00C1793C" w:rsidRPr="00C050B2" w:rsidRDefault="00C1793C" w:rsidP="00C1793C">
      <w:pPr>
        <w:ind w:left="861" w:right="146"/>
        <w:rPr>
          <w:rFonts w:eastAsia="Arial" w:cs="Arial"/>
          <w:szCs w:val="20"/>
        </w:rPr>
      </w:pPr>
      <w:r w:rsidRPr="00C050B2">
        <w:rPr>
          <w:rFonts w:eastAsia="Arial" w:cs="Arial"/>
          <w:i/>
          <w:szCs w:val="20"/>
        </w:rPr>
        <w:t>&lt;</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in</w:t>
      </w:r>
      <w:r w:rsidRPr="00C050B2">
        <w:rPr>
          <w:rFonts w:eastAsia="Arial" w:cs="Arial"/>
          <w:i/>
          <w:spacing w:val="-2"/>
          <w:szCs w:val="20"/>
        </w:rPr>
        <w:t>f</w:t>
      </w:r>
      <w:r w:rsidRPr="00C050B2">
        <w:rPr>
          <w:rFonts w:eastAsia="Arial" w:cs="Arial"/>
          <w:i/>
          <w:spacing w:val="1"/>
          <w:szCs w:val="20"/>
        </w:rPr>
        <w:t>o</w:t>
      </w:r>
      <w:r w:rsidRPr="00C050B2">
        <w:rPr>
          <w:rFonts w:eastAsia="Arial" w:cs="Arial"/>
          <w:i/>
          <w:szCs w:val="20"/>
        </w:rPr>
        <w:t>rm</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1"/>
          <w:szCs w:val="20"/>
        </w:rPr>
        <w:t>io</w:t>
      </w:r>
      <w:r w:rsidRPr="00C050B2">
        <w:rPr>
          <w:rFonts w:eastAsia="Arial" w:cs="Arial"/>
          <w:i/>
          <w:szCs w:val="20"/>
        </w:rPr>
        <w:t xml:space="preserve">n </w:t>
      </w:r>
      <w:r w:rsidRPr="00C050B2">
        <w:rPr>
          <w:rFonts w:eastAsia="Arial" w:cs="Arial"/>
          <w:i/>
          <w:spacing w:val="1"/>
          <w:szCs w:val="20"/>
        </w:rPr>
        <w:t>a</w:t>
      </w:r>
      <w:r w:rsidRPr="00C050B2">
        <w:rPr>
          <w:rFonts w:eastAsia="Arial" w:cs="Arial"/>
          <w:i/>
          <w:szCs w:val="20"/>
        </w:rPr>
        <w:t>s</w:t>
      </w:r>
      <w:r w:rsidRPr="00C050B2">
        <w:rPr>
          <w:rFonts w:eastAsia="Arial" w:cs="Arial"/>
          <w:i/>
          <w:spacing w:val="-5"/>
          <w:szCs w:val="20"/>
        </w:rPr>
        <w:t>s</w:t>
      </w:r>
      <w:r w:rsidRPr="00C050B2">
        <w:rPr>
          <w:rFonts w:eastAsia="Arial" w:cs="Arial"/>
          <w:i/>
          <w:spacing w:val="1"/>
          <w:szCs w:val="20"/>
        </w:rPr>
        <w:t>e</w:t>
      </w:r>
      <w:r w:rsidRPr="00C050B2">
        <w:rPr>
          <w:rFonts w:eastAsia="Arial" w:cs="Arial"/>
          <w:i/>
          <w:spacing w:val="-2"/>
          <w:szCs w:val="20"/>
        </w:rPr>
        <w:t>t</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p</w:t>
      </w:r>
      <w:r w:rsidRPr="00C050B2">
        <w:rPr>
          <w:rFonts w:eastAsia="Arial" w:cs="Arial"/>
          <w:i/>
          <w:szCs w:val="20"/>
        </w:rPr>
        <w:t>r</w:t>
      </w:r>
      <w:r w:rsidRPr="00C050B2">
        <w:rPr>
          <w:rFonts w:eastAsia="Arial" w:cs="Arial"/>
          <w:i/>
          <w:spacing w:val="1"/>
          <w:szCs w:val="20"/>
        </w:rPr>
        <w:t>o</w:t>
      </w:r>
      <w:r w:rsidRPr="00C050B2">
        <w:rPr>
          <w:rFonts w:eastAsia="Arial" w:cs="Arial"/>
          <w:i/>
          <w:szCs w:val="20"/>
        </w:rPr>
        <w:t>c</w:t>
      </w:r>
      <w:r w:rsidRPr="00C050B2">
        <w:rPr>
          <w:rFonts w:eastAsia="Arial" w:cs="Arial"/>
          <w:i/>
          <w:spacing w:val="1"/>
          <w:szCs w:val="20"/>
        </w:rPr>
        <w:t>e</w:t>
      </w:r>
      <w:r w:rsidRPr="00C050B2">
        <w:rPr>
          <w:rFonts w:eastAsia="Arial" w:cs="Arial"/>
          <w:i/>
          <w:szCs w:val="20"/>
        </w:rPr>
        <w:t>ss</w:t>
      </w:r>
      <w:r w:rsidRPr="00C050B2">
        <w:rPr>
          <w:rFonts w:eastAsia="Arial" w:cs="Arial"/>
          <w:i/>
          <w:spacing w:val="-3"/>
          <w:szCs w:val="20"/>
        </w:rPr>
        <w:t>e</w:t>
      </w:r>
      <w:r w:rsidRPr="00C050B2">
        <w:rPr>
          <w:rFonts w:eastAsia="Arial" w:cs="Arial"/>
          <w:i/>
          <w:szCs w:val="20"/>
        </w:rPr>
        <w:t xml:space="preserve">d </w:t>
      </w:r>
      <w:r w:rsidRPr="00C050B2">
        <w:rPr>
          <w:rFonts w:eastAsia="Arial" w:cs="Arial"/>
          <w:i/>
          <w:spacing w:val="1"/>
          <w:szCs w:val="20"/>
        </w:rPr>
        <w:t>b</w:t>
      </w:r>
      <w:r w:rsidRPr="00C050B2">
        <w:rPr>
          <w:rFonts w:eastAsia="Arial" w:cs="Arial"/>
          <w:i/>
          <w:szCs w:val="20"/>
        </w:rPr>
        <w:t>y</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sys</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m</w:t>
      </w:r>
      <w:r w:rsidRPr="00C050B2">
        <w:rPr>
          <w:rFonts w:eastAsia="Arial" w:cs="Arial"/>
          <w:i/>
          <w:spacing w:val="-1"/>
          <w:szCs w:val="20"/>
        </w:rPr>
        <w:t xml:space="preserve"> </w:t>
      </w:r>
      <w:r w:rsidRPr="00C050B2">
        <w:rPr>
          <w:rFonts w:eastAsia="Arial" w:cs="Arial"/>
          <w:i/>
          <w:spacing w:val="1"/>
          <w:szCs w:val="20"/>
        </w:rPr>
        <w:t>whi</w:t>
      </w:r>
      <w:r w:rsidRPr="00C050B2">
        <w:rPr>
          <w:rFonts w:eastAsia="Arial" w:cs="Arial"/>
          <w:i/>
          <w:szCs w:val="20"/>
        </w:rPr>
        <w:t>ch s</w:t>
      </w:r>
      <w:r w:rsidRPr="00C050B2">
        <w:rPr>
          <w:rFonts w:eastAsia="Arial" w:cs="Arial"/>
          <w:i/>
          <w:spacing w:val="1"/>
          <w:szCs w:val="20"/>
        </w:rPr>
        <w:t>h</w:t>
      </w:r>
      <w:r w:rsidRPr="00C050B2">
        <w:rPr>
          <w:rFonts w:eastAsia="Arial" w:cs="Arial"/>
          <w:i/>
          <w:spacing w:val="-3"/>
          <w:szCs w:val="20"/>
        </w:rPr>
        <w:t>o</w:t>
      </w:r>
      <w:r w:rsidRPr="00C050B2">
        <w:rPr>
          <w:rFonts w:eastAsia="Arial" w:cs="Arial"/>
          <w:i/>
          <w:spacing w:val="1"/>
          <w:szCs w:val="20"/>
        </w:rPr>
        <w:t>ul</w:t>
      </w:r>
      <w:r w:rsidRPr="00C050B2">
        <w:rPr>
          <w:rFonts w:eastAsia="Arial" w:cs="Arial"/>
          <w:i/>
          <w:szCs w:val="20"/>
        </w:rPr>
        <w:t>d</w:t>
      </w:r>
      <w:r w:rsidRPr="00C050B2">
        <w:rPr>
          <w:rFonts w:eastAsia="Arial" w:cs="Arial"/>
          <w:i/>
          <w:spacing w:val="7"/>
          <w:szCs w:val="20"/>
        </w:rPr>
        <w:t xml:space="preserve"> </w:t>
      </w:r>
      <w:r w:rsidRPr="00C050B2">
        <w:rPr>
          <w:rFonts w:eastAsia="Arial" w:cs="Arial"/>
          <w:i/>
          <w:spacing w:val="1"/>
          <w:szCs w:val="20"/>
        </w:rPr>
        <w:t>in</w:t>
      </w:r>
      <w:r w:rsidRPr="00C050B2">
        <w:rPr>
          <w:rFonts w:eastAsia="Arial" w:cs="Arial"/>
          <w:i/>
          <w:spacing w:val="-5"/>
          <w:szCs w:val="20"/>
        </w:rPr>
        <w:t>c</w:t>
      </w:r>
      <w:r w:rsidRPr="00C050B2">
        <w:rPr>
          <w:rFonts w:eastAsia="Arial" w:cs="Arial"/>
          <w:i/>
          <w:spacing w:val="1"/>
          <w:szCs w:val="20"/>
        </w:rPr>
        <w:t>lu</w:t>
      </w:r>
      <w:r w:rsidRPr="00C050B2">
        <w:rPr>
          <w:rFonts w:eastAsia="Arial" w:cs="Arial"/>
          <w:i/>
          <w:spacing w:val="-3"/>
          <w:szCs w:val="20"/>
        </w:rPr>
        <w:t>d</w:t>
      </w:r>
      <w:r w:rsidRPr="00C050B2">
        <w:rPr>
          <w:rFonts w:eastAsia="Arial" w:cs="Arial"/>
          <w:i/>
          <w:szCs w:val="20"/>
        </w:rPr>
        <w:t>e a s</w:t>
      </w:r>
      <w:r w:rsidRPr="00C050B2">
        <w:rPr>
          <w:rFonts w:eastAsia="Arial" w:cs="Arial"/>
          <w:i/>
          <w:spacing w:val="1"/>
          <w:szCs w:val="20"/>
        </w:rPr>
        <w:t>i</w:t>
      </w:r>
      <w:r w:rsidRPr="00C050B2">
        <w:rPr>
          <w:rFonts w:eastAsia="Arial" w:cs="Arial"/>
          <w:i/>
          <w:szCs w:val="20"/>
        </w:rPr>
        <w:t>m</w:t>
      </w:r>
      <w:r w:rsidRPr="00C050B2">
        <w:rPr>
          <w:rFonts w:eastAsia="Arial" w:cs="Arial"/>
          <w:i/>
          <w:spacing w:val="1"/>
          <w:szCs w:val="20"/>
        </w:rPr>
        <w:t>pl</w:t>
      </w:r>
      <w:r w:rsidRPr="00C050B2">
        <w:rPr>
          <w:rFonts w:eastAsia="Arial" w:cs="Arial"/>
          <w:i/>
          <w:szCs w:val="20"/>
        </w:rPr>
        <w:t xml:space="preserve">e </w:t>
      </w:r>
      <w:proofErr w:type="gramStart"/>
      <w:r w:rsidRPr="00C050B2">
        <w:rPr>
          <w:rFonts w:eastAsia="Arial" w:cs="Arial"/>
          <w:i/>
          <w:spacing w:val="-3"/>
          <w:szCs w:val="20"/>
        </w:rPr>
        <w:t>h</w:t>
      </w:r>
      <w:r w:rsidRPr="00C050B2">
        <w:rPr>
          <w:rFonts w:eastAsia="Arial" w:cs="Arial"/>
          <w:i/>
          <w:spacing w:val="1"/>
          <w:szCs w:val="20"/>
        </w:rPr>
        <w:t>ig</w:t>
      </w:r>
      <w:r w:rsidRPr="00C050B2">
        <w:rPr>
          <w:rFonts w:eastAsia="Arial" w:cs="Arial"/>
          <w:i/>
          <w:szCs w:val="20"/>
        </w:rPr>
        <w:t xml:space="preserve">h </w:t>
      </w:r>
      <w:r w:rsidRPr="00C050B2">
        <w:rPr>
          <w:rFonts w:eastAsia="Arial" w:cs="Arial"/>
          <w:i/>
          <w:spacing w:val="-3"/>
          <w:szCs w:val="20"/>
        </w:rPr>
        <w:t>l</w:t>
      </w:r>
      <w:r w:rsidRPr="00C050B2">
        <w:rPr>
          <w:rFonts w:eastAsia="Arial" w:cs="Arial"/>
          <w:i/>
          <w:spacing w:val="1"/>
          <w:szCs w:val="20"/>
        </w:rPr>
        <w:t>e</w:t>
      </w:r>
      <w:r w:rsidRPr="00C050B2">
        <w:rPr>
          <w:rFonts w:eastAsia="Arial" w:cs="Arial"/>
          <w:i/>
          <w:szCs w:val="20"/>
        </w:rPr>
        <w:t>v</w:t>
      </w:r>
      <w:r w:rsidRPr="00C050B2">
        <w:rPr>
          <w:rFonts w:eastAsia="Arial" w:cs="Arial"/>
          <w:i/>
          <w:spacing w:val="1"/>
          <w:szCs w:val="20"/>
        </w:rPr>
        <w:t>e</w:t>
      </w:r>
      <w:r w:rsidRPr="00C050B2">
        <w:rPr>
          <w:rFonts w:eastAsia="Arial" w:cs="Arial"/>
          <w:i/>
          <w:szCs w:val="20"/>
        </w:rPr>
        <w:t>l</w:t>
      </w:r>
      <w:proofErr w:type="gramEnd"/>
      <w:r w:rsidRPr="00C050B2">
        <w:rPr>
          <w:rFonts w:eastAsia="Arial" w:cs="Arial"/>
          <w:i/>
          <w:szCs w:val="20"/>
        </w:rPr>
        <w:t xml:space="preserve"> </w:t>
      </w:r>
      <w:r w:rsidRPr="00C050B2">
        <w:rPr>
          <w:rFonts w:eastAsia="Arial" w:cs="Arial"/>
          <w:i/>
          <w:spacing w:val="1"/>
          <w:szCs w:val="20"/>
        </w:rPr>
        <w:t>d</w:t>
      </w:r>
      <w:r w:rsidRPr="00C050B2">
        <w:rPr>
          <w:rFonts w:eastAsia="Arial" w:cs="Arial"/>
          <w:i/>
          <w:spacing w:val="-3"/>
          <w:szCs w:val="20"/>
        </w:rPr>
        <w:t>i</w:t>
      </w:r>
      <w:r w:rsidRPr="00C050B2">
        <w:rPr>
          <w:rFonts w:eastAsia="Arial" w:cs="Arial"/>
          <w:i/>
          <w:spacing w:val="1"/>
          <w:szCs w:val="20"/>
        </w:rPr>
        <w:t>ag</w:t>
      </w:r>
      <w:r w:rsidRPr="00C050B2">
        <w:rPr>
          <w:rFonts w:eastAsia="Arial" w:cs="Arial"/>
          <w:i/>
          <w:szCs w:val="20"/>
        </w:rPr>
        <w:t>r</w:t>
      </w:r>
      <w:r w:rsidRPr="00C050B2">
        <w:rPr>
          <w:rFonts w:eastAsia="Arial" w:cs="Arial"/>
          <w:i/>
          <w:spacing w:val="1"/>
          <w:szCs w:val="20"/>
        </w:rPr>
        <w:t>a</w:t>
      </w:r>
      <w:r w:rsidRPr="00C050B2">
        <w:rPr>
          <w:rFonts w:eastAsia="Arial" w:cs="Arial"/>
          <w:i/>
          <w:szCs w:val="20"/>
        </w:rPr>
        <w:t>m</w:t>
      </w:r>
      <w:r w:rsidRPr="00C050B2">
        <w:rPr>
          <w:rFonts w:eastAsia="Arial" w:cs="Arial"/>
          <w:i/>
          <w:spacing w:val="-1"/>
          <w:szCs w:val="20"/>
        </w:rPr>
        <w:t xml:space="preserve"> </w:t>
      </w:r>
      <w:r w:rsidRPr="00C050B2">
        <w:rPr>
          <w:rFonts w:eastAsia="Arial" w:cs="Arial"/>
          <w:i/>
          <w:spacing w:val="-3"/>
          <w:szCs w:val="20"/>
        </w:rPr>
        <w:t>o</w:t>
      </w:r>
      <w:r w:rsidRPr="00C050B2">
        <w:rPr>
          <w:rFonts w:eastAsia="Arial" w:cs="Arial"/>
          <w:i/>
          <w:szCs w:val="20"/>
        </w:rPr>
        <w:t xml:space="preserve">n </w:t>
      </w:r>
      <w:r w:rsidRPr="00C050B2">
        <w:rPr>
          <w:rFonts w:eastAsia="Arial" w:cs="Arial"/>
          <w:i/>
          <w:spacing w:val="1"/>
          <w:szCs w:val="20"/>
        </w:rPr>
        <w:t>on</w:t>
      </w:r>
      <w:r w:rsidRPr="00C050B2">
        <w:rPr>
          <w:rFonts w:eastAsia="Arial" w:cs="Arial"/>
          <w:i/>
          <w:szCs w:val="20"/>
        </w:rPr>
        <w:t xml:space="preserve">e </w:t>
      </w:r>
      <w:r w:rsidRPr="00C050B2">
        <w:rPr>
          <w:rFonts w:eastAsia="Arial" w:cs="Arial"/>
          <w:i/>
          <w:spacing w:val="-3"/>
          <w:szCs w:val="20"/>
        </w:rPr>
        <w:t>p</w:t>
      </w:r>
      <w:r w:rsidRPr="00C050B2">
        <w:rPr>
          <w:rFonts w:eastAsia="Arial" w:cs="Arial"/>
          <w:i/>
          <w:spacing w:val="1"/>
          <w:szCs w:val="20"/>
        </w:rPr>
        <w:t>age</w:t>
      </w:r>
      <w:r w:rsidRPr="00C050B2">
        <w:rPr>
          <w:rFonts w:eastAsia="Arial" w:cs="Arial"/>
          <w:i/>
          <w:szCs w:val="20"/>
        </w:rPr>
        <w:t>.</w:t>
      </w:r>
      <w:r w:rsidRPr="00C050B2">
        <w:rPr>
          <w:rFonts w:eastAsia="Arial" w:cs="Arial"/>
          <w:i/>
          <w:spacing w:val="-3"/>
          <w:szCs w:val="20"/>
        </w:rPr>
        <w:t xml:space="preserve"> </w:t>
      </w:r>
      <w:r w:rsidRPr="00C050B2">
        <w:rPr>
          <w:rFonts w:eastAsia="Arial" w:cs="Arial"/>
          <w:i/>
          <w:spacing w:val="-2"/>
          <w:szCs w:val="20"/>
        </w:rPr>
        <w:t>I</w:t>
      </w:r>
      <w:r w:rsidRPr="00C050B2">
        <w:rPr>
          <w:rFonts w:eastAsia="Arial" w:cs="Arial"/>
          <w:i/>
          <w:spacing w:val="1"/>
          <w:szCs w:val="20"/>
        </w:rPr>
        <w:t>n</w:t>
      </w:r>
      <w:r w:rsidRPr="00C050B2">
        <w:rPr>
          <w:rFonts w:eastAsia="Arial" w:cs="Arial"/>
          <w:i/>
          <w:szCs w:val="20"/>
        </w:rPr>
        <w:t>c</w:t>
      </w:r>
      <w:r w:rsidRPr="00C050B2">
        <w:rPr>
          <w:rFonts w:eastAsia="Arial" w:cs="Arial"/>
          <w:i/>
          <w:spacing w:val="1"/>
          <w:szCs w:val="20"/>
        </w:rPr>
        <w:t>lu</w:t>
      </w:r>
      <w:r w:rsidRPr="00C050B2">
        <w:rPr>
          <w:rFonts w:eastAsia="Arial" w:cs="Arial"/>
          <w:i/>
          <w:spacing w:val="-3"/>
          <w:szCs w:val="20"/>
        </w:rPr>
        <w:t>d</w:t>
      </w:r>
      <w:r w:rsidRPr="00C050B2">
        <w:rPr>
          <w:rFonts w:eastAsia="Arial" w:cs="Arial"/>
          <w:i/>
          <w:szCs w:val="20"/>
        </w:rPr>
        <w:t xml:space="preserve">e a </w:t>
      </w:r>
      <w:r w:rsidRPr="00C050B2">
        <w:rPr>
          <w:rFonts w:eastAsia="Arial" w:cs="Arial"/>
          <w:i/>
          <w:spacing w:val="1"/>
          <w:szCs w:val="20"/>
        </w:rPr>
        <w:t>li</w:t>
      </w:r>
      <w:r w:rsidRPr="00C050B2">
        <w:rPr>
          <w:rFonts w:eastAsia="Arial" w:cs="Arial"/>
          <w:i/>
          <w:szCs w:val="20"/>
        </w:rPr>
        <w:t>st</w:t>
      </w:r>
      <w:r w:rsidRPr="00C050B2">
        <w:rPr>
          <w:rFonts w:eastAsia="Arial" w:cs="Arial"/>
          <w:i/>
          <w:spacing w:val="-3"/>
          <w:szCs w:val="20"/>
        </w:rPr>
        <w:t xml:space="preserve">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2"/>
          <w:szCs w:val="20"/>
        </w:rPr>
        <w:t>t</w:t>
      </w:r>
      <w:r w:rsidRPr="00C050B2">
        <w:rPr>
          <w:rFonts w:eastAsia="Arial" w:cs="Arial"/>
          <w:i/>
          <w:szCs w:val="20"/>
        </w:rPr>
        <w:t>y</w:t>
      </w:r>
      <w:r w:rsidRPr="00C050B2">
        <w:rPr>
          <w:rFonts w:eastAsia="Arial" w:cs="Arial"/>
          <w:i/>
          <w:spacing w:val="1"/>
          <w:szCs w:val="20"/>
        </w:rPr>
        <w:t>p</w:t>
      </w:r>
      <w:r w:rsidRPr="00C050B2">
        <w:rPr>
          <w:rFonts w:eastAsia="Arial" w:cs="Arial"/>
          <w:i/>
          <w:szCs w:val="20"/>
        </w:rPr>
        <w:t xml:space="preserve">e </w:t>
      </w:r>
      <w:r w:rsidRPr="00C050B2">
        <w:rPr>
          <w:rFonts w:eastAsia="Arial" w:cs="Arial"/>
          <w:i/>
          <w:spacing w:val="1"/>
          <w:szCs w:val="20"/>
        </w:rPr>
        <w:t>an</w:t>
      </w:r>
      <w:r w:rsidRPr="00C050B2">
        <w:rPr>
          <w:rFonts w:eastAsia="Arial" w:cs="Arial"/>
          <w:i/>
          <w:szCs w:val="20"/>
        </w:rPr>
        <w:t>d v</w:t>
      </w:r>
      <w:r w:rsidRPr="00C050B2">
        <w:rPr>
          <w:rFonts w:eastAsia="Arial" w:cs="Arial"/>
          <w:i/>
          <w:spacing w:val="1"/>
          <w:szCs w:val="20"/>
        </w:rPr>
        <w:t>olu</w:t>
      </w:r>
      <w:r w:rsidRPr="00C050B2">
        <w:rPr>
          <w:rFonts w:eastAsia="Arial" w:cs="Arial"/>
          <w:i/>
          <w:szCs w:val="20"/>
        </w:rPr>
        <w:t>m</w:t>
      </w:r>
      <w:r w:rsidRPr="00C050B2">
        <w:rPr>
          <w:rFonts w:eastAsia="Arial" w:cs="Arial"/>
          <w:i/>
          <w:spacing w:val="1"/>
          <w:szCs w:val="20"/>
        </w:rPr>
        <w:t>e</w:t>
      </w:r>
      <w:r w:rsidRPr="00C050B2">
        <w:rPr>
          <w:rFonts w:eastAsia="Arial" w:cs="Arial"/>
          <w:i/>
          <w:szCs w:val="20"/>
        </w:rPr>
        <w:t xml:space="preserve">s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1"/>
          <w:szCs w:val="20"/>
        </w:rPr>
        <w:t>da</w:t>
      </w:r>
      <w:r w:rsidRPr="00C050B2">
        <w:rPr>
          <w:rFonts w:eastAsia="Arial" w:cs="Arial"/>
          <w:i/>
          <w:spacing w:val="-2"/>
          <w:szCs w:val="20"/>
        </w:rPr>
        <w:t>t</w:t>
      </w:r>
      <w:r w:rsidRPr="00C050B2">
        <w:rPr>
          <w:rFonts w:eastAsia="Arial" w:cs="Arial"/>
          <w:i/>
          <w:szCs w:val="20"/>
        </w:rPr>
        <w:t xml:space="preserve">a </w:t>
      </w:r>
      <w:r w:rsidRPr="00C050B2">
        <w:rPr>
          <w:rFonts w:eastAsia="Arial" w:cs="Arial"/>
          <w:i/>
          <w:spacing w:val="-2"/>
          <w:szCs w:val="20"/>
        </w:rPr>
        <w:t>t</w:t>
      </w:r>
      <w:r w:rsidRPr="00C050B2">
        <w:rPr>
          <w:rFonts w:eastAsia="Arial" w:cs="Arial"/>
          <w:i/>
          <w:spacing w:val="1"/>
          <w:szCs w:val="20"/>
        </w:rPr>
        <w:t>ha</w:t>
      </w:r>
      <w:r w:rsidRPr="00C050B2">
        <w:rPr>
          <w:rFonts w:eastAsia="Arial" w:cs="Arial"/>
          <w:i/>
          <w:szCs w:val="20"/>
        </w:rPr>
        <w:t>t</w:t>
      </w:r>
      <w:r w:rsidRPr="00C050B2">
        <w:rPr>
          <w:rFonts w:eastAsia="Arial" w:cs="Arial"/>
          <w:i/>
          <w:spacing w:val="-3"/>
          <w:szCs w:val="20"/>
        </w:rPr>
        <w:t xml:space="preserve"> </w:t>
      </w:r>
      <w:r w:rsidRPr="00C050B2">
        <w:rPr>
          <w:rFonts w:eastAsia="Arial" w:cs="Arial"/>
          <w:i/>
          <w:spacing w:val="1"/>
          <w:szCs w:val="20"/>
        </w:rPr>
        <w:t>wil</w:t>
      </w:r>
      <w:r w:rsidRPr="00C050B2">
        <w:rPr>
          <w:rFonts w:eastAsia="Arial" w:cs="Arial"/>
          <w:i/>
          <w:szCs w:val="20"/>
        </w:rPr>
        <w:t xml:space="preserve">l </w:t>
      </w:r>
      <w:r w:rsidRPr="00C050B2">
        <w:rPr>
          <w:rFonts w:eastAsia="Arial" w:cs="Arial"/>
          <w:i/>
          <w:spacing w:val="1"/>
          <w:szCs w:val="20"/>
        </w:rPr>
        <w:t>b</w:t>
      </w:r>
      <w:r w:rsidRPr="00C050B2">
        <w:rPr>
          <w:rFonts w:eastAsia="Arial" w:cs="Arial"/>
          <w:i/>
          <w:szCs w:val="20"/>
        </w:rPr>
        <w:t xml:space="preserve">e </w:t>
      </w:r>
      <w:r w:rsidRPr="00C050B2">
        <w:rPr>
          <w:rFonts w:eastAsia="Arial" w:cs="Arial"/>
          <w:i/>
          <w:spacing w:val="1"/>
          <w:szCs w:val="20"/>
        </w:rPr>
        <w:t>p</w:t>
      </w:r>
      <w:r w:rsidRPr="00C050B2">
        <w:rPr>
          <w:rFonts w:eastAsia="Arial" w:cs="Arial"/>
          <w:i/>
          <w:szCs w:val="20"/>
        </w:rPr>
        <w:t>r</w:t>
      </w:r>
      <w:r w:rsidRPr="00C050B2">
        <w:rPr>
          <w:rFonts w:eastAsia="Arial" w:cs="Arial"/>
          <w:i/>
          <w:spacing w:val="1"/>
          <w:szCs w:val="20"/>
        </w:rPr>
        <w:t>o</w:t>
      </w:r>
      <w:r w:rsidRPr="00C050B2">
        <w:rPr>
          <w:rFonts w:eastAsia="Arial" w:cs="Arial"/>
          <w:i/>
          <w:spacing w:val="-5"/>
          <w:szCs w:val="20"/>
        </w:rPr>
        <w:t>c</w:t>
      </w:r>
      <w:r w:rsidRPr="00C050B2">
        <w:rPr>
          <w:rFonts w:eastAsia="Arial" w:cs="Arial"/>
          <w:i/>
          <w:spacing w:val="1"/>
          <w:szCs w:val="20"/>
        </w:rPr>
        <w:t>e</w:t>
      </w:r>
      <w:r w:rsidRPr="00C050B2">
        <w:rPr>
          <w:rFonts w:eastAsia="Arial" w:cs="Arial"/>
          <w:i/>
          <w:szCs w:val="20"/>
        </w:rPr>
        <w:t>ss</w:t>
      </w:r>
      <w:r w:rsidRPr="00C050B2">
        <w:rPr>
          <w:rFonts w:eastAsia="Arial" w:cs="Arial"/>
          <w:i/>
          <w:spacing w:val="1"/>
          <w:szCs w:val="20"/>
        </w:rPr>
        <w:t>ed</w:t>
      </w:r>
      <w:r w:rsidRPr="00C050B2">
        <w:rPr>
          <w:rFonts w:eastAsia="Arial" w:cs="Arial"/>
          <w:i/>
          <w:szCs w:val="20"/>
        </w:rPr>
        <w:t>,</w:t>
      </w:r>
      <w:r w:rsidRPr="00C050B2">
        <w:rPr>
          <w:rFonts w:eastAsia="Arial" w:cs="Arial"/>
          <w:i/>
          <w:spacing w:val="-3"/>
          <w:szCs w:val="20"/>
        </w:rPr>
        <w:t xml:space="preserve"> </w:t>
      </w:r>
      <w:proofErr w:type="gramStart"/>
      <w:r w:rsidRPr="00C050B2">
        <w:rPr>
          <w:rFonts w:eastAsia="Arial" w:cs="Arial"/>
          <w:i/>
          <w:szCs w:val="20"/>
        </w:rPr>
        <w:t>m</w:t>
      </w:r>
      <w:r w:rsidRPr="00C050B2">
        <w:rPr>
          <w:rFonts w:eastAsia="Arial" w:cs="Arial"/>
          <w:i/>
          <w:spacing w:val="1"/>
          <w:szCs w:val="20"/>
        </w:rPr>
        <w:t>a</w:t>
      </w:r>
      <w:r w:rsidRPr="00C050B2">
        <w:rPr>
          <w:rFonts w:eastAsia="Arial" w:cs="Arial"/>
          <w:i/>
          <w:spacing w:val="-3"/>
          <w:szCs w:val="20"/>
        </w:rPr>
        <w:t>n</w:t>
      </w:r>
      <w:r w:rsidRPr="00C050B2">
        <w:rPr>
          <w:rFonts w:eastAsia="Arial" w:cs="Arial"/>
          <w:i/>
          <w:spacing w:val="1"/>
          <w:szCs w:val="20"/>
        </w:rPr>
        <w:t>age</w:t>
      </w:r>
      <w:r w:rsidRPr="00C050B2">
        <w:rPr>
          <w:rFonts w:eastAsia="Arial" w:cs="Arial"/>
          <w:i/>
          <w:szCs w:val="20"/>
        </w:rPr>
        <w:t>d</w:t>
      </w:r>
      <w:proofErr w:type="gramEnd"/>
      <w:r w:rsidRPr="00C050B2">
        <w:rPr>
          <w:rFonts w:eastAsia="Arial" w:cs="Arial"/>
          <w:i/>
          <w:szCs w:val="20"/>
        </w:rPr>
        <w:t xml:space="preserve"> </w:t>
      </w:r>
      <w:r w:rsidRPr="00C050B2">
        <w:rPr>
          <w:rFonts w:eastAsia="Arial" w:cs="Arial"/>
          <w:i/>
          <w:spacing w:val="-3"/>
          <w:szCs w:val="20"/>
        </w:rPr>
        <w:t>a</w:t>
      </w:r>
      <w:r w:rsidRPr="00C050B2">
        <w:rPr>
          <w:rFonts w:eastAsia="Arial" w:cs="Arial"/>
          <w:i/>
          <w:spacing w:val="1"/>
          <w:szCs w:val="20"/>
        </w:rPr>
        <w:t>n</w:t>
      </w:r>
      <w:r w:rsidRPr="00C050B2">
        <w:rPr>
          <w:rFonts w:eastAsia="Arial" w:cs="Arial"/>
          <w:i/>
          <w:szCs w:val="20"/>
        </w:rPr>
        <w:t>d s</w:t>
      </w:r>
      <w:r w:rsidRPr="00C050B2">
        <w:rPr>
          <w:rFonts w:eastAsia="Arial" w:cs="Arial"/>
          <w:i/>
          <w:spacing w:val="-2"/>
          <w:szCs w:val="20"/>
        </w:rPr>
        <w:t>t</w:t>
      </w:r>
      <w:r w:rsidRPr="00C050B2">
        <w:rPr>
          <w:rFonts w:eastAsia="Arial" w:cs="Arial"/>
          <w:i/>
          <w:spacing w:val="-3"/>
          <w:szCs w:val="20"/>
        </w:rPr>
        <w:t>o</w:t>
      </w:r>
      <w:r w:rsidRPr="00C050B2">
        <w:rPr>
          <w:rFonts w:eastAsia="Arial" w:cs="Arial"/>
          <w:i/>
          <w:szCs w:val="20"/>
        </w:rPr>
        <w:t>r</w:t>
      </w:r>
      <w:r w:rsidRPr="00C050B2">
        <w:rPr>
          <w:rFonts w:eastAsia="Arial" w:cs="Arial"/>
          <w:i/>
          <w:spacing w:val="1"/>
          <w:szCs w:val="20"/>
        </w:rPr>
        <w:t>e</w:t>
      </w:r>
      <w:r w:rsidRPr="00C050B2">
        <w:rPr>
          <w:rFonts w:eastAsia="Arial" w:cs="Arial"/>
          <w:i/>
          <w:szCs w:val="20"/>
        </w:rPr>
        <w:t xml:space="preserve">d </w:t>
      </w:r>
      <w:r w:rsidRPr="00C050B2">
        <w:rPr>
          <w:rFonts w:eastAsia="Arial" w:cs="Arial"/>
          <w:i/>
          <w:spacing w:val="1"/>
          <w:szCs w:val="20"/>
        </w:rPr>
        <w:t>wi</w:t>
      </w:r>
      <w:r w:rsidRPr="00C050B2">
        <w:rPr>
          <w:rFonts w:eastAsia="Arial" w:cs="Arial"/>
          <w:i/>
          <w:spacing w:val="-2"/>
          <w:szCs w:val="20"/>
        </w:rPr>
        <w:t>t</w:t>
      </w:r>
      <w:r w:rsidRPr="00C050B2">
        <w:rPr>
          <w:rFonts w:eastAsia="Arial" w:cs="Arial"/>
          <w:i/>
          <w:spacing w:val="1"/>
          <w:szCs w:val="20"/>
        </w:rPr>
        <w:t>h</w:t>
      </w:r>
      <w:r w:rsidRPr="00C050B2">
        <w:rPr>
          <w:rFonts w:eastAsia="Arial" w:cs="Arial"/>
          <w:i/>
          <w:spacing w:val="-3"/>
          <w:szCs w:val="20"/>
        </w:rPr>
        <w:t>i</w:t>
      </w:r>
      <w:r w:rsidRPr="00C050B2">
        <w:rPr>
          <w:rFonts w:eastAsia="Arial" w:cs="Arial"/>
          <w:i/>
          <w:szCs w:val="20"/>
        </w:rPr>
        <w:t xml:space="preserve">n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s</w:t>
      </w:r>
      <w:r w:rsidRPr="00C050B2">
        <w:rPr>
          <w:rFonts w:eastAsia="Arial" w:cs="Arial"/>
          <w:i/>
          <w:spacing w:val="1"/>
          <w:szCs w:val="20"/>
        </w:rPr>
        <w:t>upp</w:t>
      </w:r>
      <w:r w:rsidRPr="00C050B2">
        <w:rPr>
          <w:rFonts w:eastAsia="Arial" w:cs="Arial"/>
          <w:i/>
          <w:spacing w:val="-3"/>
          <w:szCs w:val="20"/>
        </w:rPr>
        <w:t>l</w:t>
      </w:r>
      <w:r w:rsidRPr="00C050B2">
        <w:rPr>
          <w:rFonts w:eastAsia="Arial" w:cs="Arial"/>
          <w:i/>
          <w:spacing w:val="1"/>
          <w:szCs w:val="20"/>
        </w:rPr>
        <w:t>ie</w:t>
      </w:r>
      <w:r w:rsidRPr="00C050B2">
        <w:rPr>
          <w:rFonts w:eastAsia="Arial" w:cs="Arial"/>
          <w:i/>
          <w:szCs w:val="20"/>
        </w:rPr>
        <w:t>r</w:t>
      </w:r>
      <w:r w:rsidRPr="00C050B2">
        <w:rPr>
          <w:rFonts w:eastAsia="Arial" w:cs="Arial"/>
          <w:i/>
          <w:spacing w:val="-1"/>
          <w:szCs w:val="20"/>
        </w:rPr>
        <w:t xml:space="preserve"> </w:t>
      </w:r>
      <w:r w:rsidRPr="00C050B2">
        <w:rPr>
          <w:rFonts w:eastAsia="Arial" w:cs="Arial"/>
          <w:i/>
          <w:szCs w:val="20"/>
        </w:rPr>
        <w:t>sys</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 xml:space="preserve">m. </w:t>
      </w:r>
      <w:r w:rsidRPr="00C050B2">
        <w:rPr>
          <w:rFonts w:eastAsia="Arial" w:cs="Arial"/>
          <w:i/>
          <w:spacing w:val="-2"/>
          <w:szCs w:val="20"/>
        </w:rPr>
        <w:t>I</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1"/>
          <w:szCs w:val="20"/>
        </w:rPr>
        <w:t>pe</w:t>
      </w:r>
      <w:r w:rsidRPr="00C050B2">
        <w:rPr>
          <w:rFonts w:eastAsia="Arial" w:cs="Arial"/>
          <w:i/>
          <w:szCs w:val="20"/>
        </w:rPr>
        <w:t>rs</w:t>
      </w:r>
      <w:r w:rsidRPr="00C050B2">
        <w:rPr>
          <w:rFonts w:eastAsia="Arial" w:cs="Arial"/>
          <w:i/>
          <w:spacing w:val="1"/>
          <w:szCs w:val="20"/>
        </w:rPr>
        <w:t>ona</w:t>
      </w:r>
      <w:r w:rsidRPr="00C050B2">
        <w:rPr>
          <w:rFonts w:eastAsia="Arial" w:cs="Arial"/>
          <w:i/>
          <w:szCs w:val="20"/>
        </w:rPr>
        <w:t xml:space="preserve">l </w:t>
      </w:r>
      <w:r w:rsidRPr="00C050B2">
        <w:rPr>
          <w:rFonts w:eastAsia="Arial" w:cs="Arial"/>
          <w:i/>
          <w:spacing w:val="1"/>
          <w:szCs w:val="20"/>
        </w:rPr>
        <w:t>da</w:t>
      </w:r>
      <w:r w:rsidRPr="00C050B2">
        <w:rPr>
          <w:rFonts w:eastAsia="Arial" w:cs="Arial"/>
          <w:i/>
          <w:spacing w:val="-2"/>
          <w:szCs w:val="20"/>
        </w:rPr>
        <w:t>t</w:t>
      </w:r>
      <w:r w:rsidRPr="00C050B2">
        <w:rPr>
          <w:rFonts w:eastAsia="Arial" w:cs="Arial"/>
          <w:i/>
          <w:spacing w:val="1"/>
          <w:szCs w:val="20"/>
        </w:rPr>
        <w:t>a</w:t>
      </w:r>
      <w:r w:rsidRPr="00C050B2">
        <w:rPr>
          <w:rFonts w:eastAsia="Arial" w:cs="Arial"/>
          <w:i/>
          <w:szCs w:val="20"/>
        </w:rPr>
        <w:t>,</w:t>
      </w:r>
      <w:r w:rsidRPr="00C050B2">
        <w:rPr>
          <w:rFonts w:eastAsia="Arial" w:cs="Arial"/>
          <w:i/>
          <w:spacing w:val="-3"/>
          <w:szCs w:val="20"/>
        </w:rPr>
        <w:t xml:space="preserve"> </w:t>
      </w:r>
      <w:r w:rsidRPr="00C050B2">
        <w:rPr>
          <w:rFonts w:eastAsia="Arial" w:cs="Arial"/>
          <w:i/>
          <w:spacing w:val="1"/>
          <w:szCs w:val="20"/>
        </w:rPr>
        <w:t>pl</w:t>
      </w:r>
      <w:r w:rsidRPr="00C050B2">
        <w:rPr>
          <w:rFonts w:eastAsia="Arial" w:cs="Arial"/>
          <w:i/>
          <w:spacing w:val="-3"/>
          <w:szCs w:val="20"/>
        </w:rPr>
        <w:t>e</w:t>
      </w:r>
      <w:r w:rsidRPr="00C050B2">
        <w:rPr>
          <w:rFonts w:eastAsia="Arial" w:cs="Arial"/>
          <w:i/>
          <w:spacing w:val="1"/>
          <w:szCs w:val="20"/>
        </w:rPr>
        <w:t>a</w:t>
      </w:r>
      <w:r w:rsidRPr="00C050B2">
        <w:rPr>
          <w:rFonts w:eastAsia="Arial" w:cs="Arial"/>
          <w:i/>
          <w:szCs w:val="20"/>
        </w:rPr>
        <w:t xml:space="preserve">se </w:t>
      </w:r>
      <w:r w:rsidRPr="00C050B2">
        <w:rPr>
          <w:rFonts w:eastAsia="Arial" w:cs="Arial"/>
          <w:i/>
          <w:spacing w:val="1"/>
          <w:szCs w:val="20"/>
        </w:rPr>
        <w:t>in</w:t>
      </w:r>
      <w:r w:rsidRPr="00C050B2">
        <w:rPr>
          <w:rFonts w:eastAsia="Arial" w:cs="Arial"/>
          <w:i/>
          <w:spacing w:val="-5"/>
          <w:szCs w:val="20"/>
        </w:rPr>
        <w:t>c</w:t>
      </w:r>
      <w:r w:rsidRPr="00C050B2">
        <w:rPr>
          <w:rFonts w:eastAsia="Arial" w:cs="Arial"/>
          <w:i/>
          <w:spacing w:val="1"/>
          <w:szCs w:val="20"/>
        </w:rPr>
        <w:t>lu</w:t>
      </w:r>
      <w:r w:rsidRPr="00C050B2">
        <w:rPr>
          <w:rFonts w:eastAsia="Arial" w:cs="Arial"/>
          <w:i/>
          <w:spacing w:val="-3"/>
          <w:szCs w:val="20"/>
        </w:rPr>
        <w:t>d</w:t>
      </w:r>
      <w:r w:rsidRPr="00C050B2">
        <w:rPr>
          <w:rFonts w:eastAsia="Arial" w:cs="Arial"/>
          <w:i/>
          <w:szCs w:val="20"/>
        </w:rPr>
        <w:t xml:space="preserve">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2"/>
          <w:szCs w:val="20"/>
        </w:rPr>
        <w:t>f</w:t>
      </w:r>
      <w:r w:rsidRPr="00C050B2">
        <w:rPr>
          <w:rFonts w:eastAsia="Arial" w:cs="Arial"/>
          <w:i/>
          <w:spacing w:val="1"/>
          <w:szCs w:val="20"/>
        </w:rPr>
        <w:t>ield</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u</w:t>
      </w:r>
      <w:r w:rsidRPr="00C050B2">
        <w:rPr>
          <w:rFonts w:eastAsia="Arial" w:cs="Arial"/>
          <w:i/>
          <w:szCs w:val="20"/>
        </w:rPr>
        <w:t>s</w:t>
      </w:r>
      <w:r w:rsidRPr="00C050B2">
        <w:rPr>
          <w:rFonts w:eastAsia="Arial" w:cs="Arial"/>
          <w:i/>
          <w:spacing w:val="-3"/>
          <w:szCs w:val="20"/>
        </w:rPr>
        <w:t>e</w:t>
      </w:r>
      <w:r w:rsidRPr="00C050B2">
        <w:rPr>
          <w:rFonts w:eastAsia="Arial" w:cs="Arial"/>
          <w:i/>
          <w:szCs w:val="20"/>
        </w:rPr>
        <w:t>d s</w:t>
      </w:r>
      <w:r w:rsidRPr="00C050B2">
        <w:rPr>
          <w:rFonts w:eastAsia="Arial" w:cs="Arial"/>
          <w:i/>
          <w:spacing w:val="1"/>
          <w:szCs w:val="20"/>
        </w:rPr>
        <w:t>u</w:t>
      </w:r>
      <w:r w:rsidRPr="00C050B2">
        <w:rPr>
          <w:rFonts w:eastAsia="Arial" w:cs="Arial"/>
          <w:i/>
          <w:szCs w:val="20"/>
        </w:rPr>
        <w:t xml:space="preserve">ch </w:t>
      </w:r>
      <w:r w:rsidRPr="00C050B2">
        <w:rPr>
          <w:rFonts w:eastAsia="Arial" w:cs="Arial"/>
          <w:i/>
          <w:spacing w:val="1"/>
          <w:szCs w:val="20"/>
        </w:rPr>
        <w:t>a</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na</w:t>
      </w:r>
      <w:r w:rsidRPr="00C050B2">
        <w:rPr>
          <w:rFonts w:eastAsia="Arial" w:cs="Arial"/>
          <w:i/>
          <w:szCs w:val="20"/>
        </w:rPr>
        <w:t>m</w:t>
      </w:r>
      <w:r w:rsidRPr="00C050B2">
        <w:rPr>
          <w:rFonts w:eastAsia="Arial" w:cs="Arial"/>
          <w:i/>
          <w:spacing w:val="1"/>
          <w:szCs w:val="20"/>
        </w:rPr>
        <w:t>e</w:t>
      </w:r>
      <w:r w:rsidRPr="00C050B2">
        <w:rPr>
          <w:rFonts w:eastAsia="Arial" w:cs="Arial"/>
          <w:i/>
          <w:szCs w:val="20"/>
        </w:rPr>
        <w:t>,</w:t>
      </w:r>
      <w:r w:rsidRPr="00C050B2">
        <w:rPr>
          <w:rFonts w:eastAsia="Arial" w:cs="Arial"/>
          <w:i/>
          <w:spacing w:val="-3"/>
          <w:szCs w:val="20"/>
        </w:rPr>
        <w:t xml:space="preserve"> </w:t>
      </w:r>
      <w:r w:rsidRPr="00C050B2">
        <w:rPr>
          <w:rFonts w:eastAsia="Arial" w:cs="Arial"/>
          <w:i/>
          <w:spacing w:val="1"/>
          <w:szCs w:val="20"/>
        </w:rPr>
        <w:t>add</w:t>
      </w:r>
      <w:r w:rsidRPr="00C050B2">
        <w:rPr>
          <w:rFonts w:eastAsia="Arial" w:cs="Arial"/>
          <w:i/>
          <w:spacing w:val="-5"/>
          <w:szCs w:val="20"/>
        </w:rPr>
        <w:t>r</w:t>
      </w:r>
      <w:r w:rsidRPr="00C050B2">
        <w:rPr>
          <w:rFonts w:eastAsia="Arial" w:cs="Arial"/>
          <w:i/>
          <w:spacing w:val="1"/>
          <w:szCs w:val="20"/>
        </w:rPr>
        <w:t>e</w:t>
      </w:r>
      <w:r w:rsidRPr="00C050B2">
        <w:rPr>
          <w:rFonts w:eastAsia="Arial" w:cs="Arial"/>
          <w:i/>
          <w:szCs w:val="20"/>
        </w:rPr>
        <w:t xml:space="preserve">ss, </w:t>
      </w:r>
      <w:r w:rsidRPr="00C050B2">
        <w:rPr>
          <w:rFonts w:eastAsia="Arial" w:cs="Arial"/>
          <w:i/>
          <w:spacing w:val="1"/>
          <w:szCs w:val="20"/>
        </w:rPr>
        <w:t>depa</w:t>
      </w:r>
      <w:r w:rsidRPr="00C050B2">
        <w:rPr>
          <w:rFonts w:eastAsia="Arial" w:cs="Arial"/>
          <w:i/>
          <w:szCs w:val="20"/>
        </w:rPr>
        <w:t>r</w:t>
      </w:r>
      <w:r w:rsidRPr="00C050B2">
        <w:rPr>
          <w:rFonts w:eastAsia="Arial" w:cs="Arial"/>
          <w:i/>
          <w:spacing w:val="-2"/>
          <w:szCs w:val="20"/>
        </w:rPr>
        <w:t>t</w:t>
      </w:r>
      <w:r w:rsidRPr="00C050B2">
        <w:rPr>
          <w:rFonts w:eastAsia="Arial" w:cs="Arial"/>
          <w:i/>
          <w:szCs w:val="20"/>
        </w:rPr>
        <w:t>m</w:t>
      </w:r>
      <w:r w:rsidRPr="00C050B2">
        <w:rPr>
          <w:rFonts w:eastAsia="Arial" w:cs="Arial"/>
          <w:i/>
          <w:spacing w:val="-3"/>
          <w:szCs w:val="20"/>
        </w:rPr>
        <w:t>e</w:t>
      </w:r>
      <w:r w:rsidRPr="00C050B2">
        <w:rPr>
          <w:rFonts w:eastAsia="Arial" w:cs="Arial"/>
          <w:i/>
          <w:spacing w:val="1"/>
          <w:szCs w:val="20"/>
        </w:rPr>
        <w:t>n</w:t>
      </w:r>
      <w:r w:rsidRPr="00C050B2">
        <w:rPr>
          <w:rFonts w:eastAsia="Arial" w:cs="Arial"/>
          <w:i/>
          <w:szCs w:val="20"/>
        </w:rPr>
        <w:t>t</w:t>
      </w:r>
      <w:r w:rsidRPr="00C050B2">
        <w:rPr>
          <w:rFonts w:eastAsia="Arial" w:cs="Arial"/>
          <w:i/>
          <w:spacing w:val="-3"/>
          <w:szCs w:val="20"/>
        </w:rPr>
        <w:t xml:space="preserve"> </w:t>
      </w:r>
      <w:r w:rsidRPr="00C050B2">
        <w:rPr>
          <w:rFonts w:eastAsia="Arial" w:cs="Arial"/>
          <w:i/>
          <w:spacing w:val="1"/>
          <w:szCs w:val="20"/>
        </w:rPr>
        <w:t>D</w:t>
      </w:r>
      <w:r w:rsidRPr="00C050B2">
        <w:rPr>
          <w:rFonts w:eastAsia="Arial" w:cs="Arial"/>
          <w:i/>
          <w:spacing w:val="-2"/>
          <w:szCs w:val="20"/>
        </w:rPr>
        <w:t>O</w:t>
      </w:r>
      <w:r w:rsidRPr="00C050B2">
        <w:rPr>
          <w:rFonts w:eastAsia="Arial" w:cs="Arial"/>
          <w:i/>
          <w:szCs w:val="20"/>
        </w:rPr>
        <w:t>B,</w:t>
      </w:r>
      <w:r w:rsidRPr="00C050B2">
        <w:rPr>
          <w:rFonts w:eastAsia="Arial" w:cs="Arial"/>
          <w:i/>
          <w:spacing w:val="-3"/>
          <w:szCs w:val="20"/>
        </w:rPr>
        <w:t xml:space="preserve"> </w:t>
      </w:r>
      <w:r w:rsidRPr="00C050B2">
        <w:rPr>
          <w:rFonts w:eastAsia="Arial" w:cs="Arial"/>
          <w:i/>
          <w:spacing w:val="3"/>
          <w:szCs w:val="20"/>
        </w:rPr>
        <w:t>N</w:t>
      </w:r>
      <w:r w:rsidRPr="00C050B2">
        <w:rPr>
          <w:rFonts w:eastAsia="Arial" w:cs="Arial"/>
          <w:i/>
          <w:szCs w:val="20"/>
        </w:rPr>
        <w:t>I</w:t>
      </w:r>
      <w:r w:rsidRPr="00C050B2">
        <w:rPr>
          <w:rFonts w:eastAsia="Arial" w:cs="Arial"/>
          <w:i/>
          <w:spacing w:val="-3"/>
          <w:szCs w:val="20"/>
        </w:rPr>
        <w:t xml:space="preserve"> </w:t>
      </w:r>
      <w:r w:rsidRPr="00C050B2">
        <w:rPr>
          <w:rFonts w:eastAsia="Arial" w:cs="Arial"/>
          <w:i/>
          <w:spacing w:val="1"/>
          <w:szCs w:val="20"/>
        </w:rPr>
        <w:t>nu</w:t>
      </w:r>
      <w:r w:rsidRPr="00C050B2">
        <w:rPr>
          <w:rFonts w:eastAsia="Arial" w:cs="Arial"/>
          <w:i/>
          <w:szCs w:val="20"/>
        </w:rPr>
        <w:t>m</w:t>
      </w:r>
      <w:r w:rsidRPr="00C050B2">
        <w:rPr>
          <w:rFonts w:eastAsia="Arial" w:cs="Arial"/>
          <w:i/>
          <w:spacing w:val="1"/>
          <w:szCs w:val="20"/>
        </w:rPr>
        <w:t>be</w:t>
      </w:r>
      <w:r w:rsidRPr="00C050B2">
        <w:rPr>
          <w:rFonts w:eastAsia="Arial" w:cs="Arial"/>
          <w:i/>
          <w:szCs w:val="20"/>
        </w:rPr>
        <w:t>r</w:t>
      </w:r>
      <w:r w:rsidRPr="00C050B2">
        <w:rPr>
          <w:rFonts w:eastAsia="Arial" w:cs="Arial"/>
          <w:i/>
          <w:spacing w:val="-1"/>
          <w:szCs w:val="20"/>
        </w:rPr>
        <w:t xml:space="preserve"> </w:t>
      </w:r>
      <w:r w:rsidRPr="00C050B2">
        <w:rPr>
          <w:rFonts w:eastAsia="Arial" w:cs="Arial"/>
          <w:i/>
          <w:spacing w:val="1"/>
          <w:szCs w:val="20"/>
        </w:rPr>
        <w:t>e</w:t>
      </w:r>
      <w:r w:rsidRPr="00C050B2">
        <w:rPr>
          <w:rFonts w:eastAsia="Arial" w:cs="Arial"/>
          <w:i/>
          <w:spacing w:val="-2"/>
          <w:szCs w:val="20"/>
        </w:rPr>
        <w:t>t</w:t>
      </w:r>
      <w:r w:rsidRPr="00C050B2">
        <w:rPr>
          <w:rFonts w:eastAsia="Arial" w:cs="Arial"/>
          <w:i/>
          <w:szCs w:val="20"/>
        </w:rPr>
        <w:t>c</w:t>
      </w:r>
      <w:r w:rsidRPr="00C050B2">
        <w:rPr>
          <w:rFonts w:eastAsia="Arial" w:cs="Arial"/>
          <w:i/>
          <w:spacing w:val="-2"/>
          <w:szCs w:val="20"/>
        </w:rPr>
        <w:t>.</w:t>
      </w:r>
      <w:r w:rsidRPr="00C050B2">
        <w:rPr>
          <w:rFonts w:eastAsia="Arial" w:cs="Arial"/>
          <w:i/>
          <w:szCs w:val="20"/>
        </w:rPr>
        <w:t>&gt;</w:t>
      </w:r>
    </w:p>
    <w:p w14:paraId="162FB0AC" w14:textId="77777777" w:rsidR="00C1793C" w:rsidRPr="00C050B2" w:rsidRDefault="00C1793C" w:rsidP="009D675B">
      <w:pPr>
        <w:pStyle w:val="Sch2"/>
        <w:numPr>
          <w:ilvl w:val="3"/>
          <w:numId w:val="56"/>
        </w:numPr>
        <w:rPr>
          <w:rFonts w:eastAsia="Arial" w:cs="Arial"/>
          <w:szCs w:val="20"/>
        </w:rPr>
      </w:pPr>
      <w:r w:rsidRPr="00C050B2">
        <w:rPr>
          <w:rFonts w:eastAsia="Arial" w:cs="Arial"/>
          <w:szCs w:val="20"/>
        </w:rPr>
        <w:t>Sys</w:t>
      </w:r>
      <w:r w:rsidRPr="00C050B2">
        <w:rPr>
          <w:rFonts w:eastAsia="Arial" w:cs="Arial"/>
          <w:spacing w:val="-2"/>
          <w:szCs w:val="20"/>
        </w:rPr>
        <w:t>t</w:t>
      </w:r>
      <w:r w:rsidRPr="00C050B2">
        <w:rPr>
          <w:rFonts w:eastAsia="Arial" w:cs="Arial"/>
          <w:spacing w:val="1"/>
          <w:szCs w:val="20"/>
        </w:rPr>
        <w:t>e</w:t>
      </w:r>
      <w:r w:rsidRPr="00C050B2">
        <w:rPr>
          <w:rFonts w:eastAsia="Arial" w:cs="Arial"/>
          <w:szCs w:val="20"/>
        </w:rPr>
        <w:t>m</w:t>
      </w:r>
      <w:r w:rsidRPr="00C050B2">
        <w:rPr>
          <w:rFonts w:eastAsia="Arial" w:cs="Arial"/>
          <w:spacing w:val="-1"/>
          <w:szCs w:val="20"/>
        </w:rPr>
        <w:t xml:space="preserve"> </w:t>
      </w:r>
      <w:r w:rsidRPr="00C050B2">
        <w:rPr>
          <w:rFonts w:eastAsia="Verdana"/>
        </w:rPr>
        <w:t>Arc</w:t>
      </w:r>
      <w:r w:rsidRPr="00C050B2">
        <w:rPr>
          <w:rFonts w:eastAsia="Verdana"/>
          <w:spacing w:val="1"/>
        </w:rPr>
        <w:t>hi</w:t>
      </w:r>
      <w:r w:rsidRPr="00C050B2">
        <w:rPr>
          <w:rFonts w:eastAsia="Verdana"/>
          <w:spacing w:val="-2"/>
        </w:rPr>
        <w:t>t</w:t>
      </w:r>
      <w:r w:rsidRPr="00C050B2">
        <w:rPr>
          <w:rFonts w:eastAsia="Verdana"/>
          <w:spacing w:val="1"/>
        </w:rPr>
        <w:t>e</w:t>
      </w:r>
      <w:r w:rsidRPr="00C050B2">
        <w:rPr>
          <w:rFonts w:eastAsia="Verdana"/>
        </w:rPr>
        <w:t>c</w:t>
      </w:r>
      <w:r w:rsidRPr="00C050B2">
        <w:rPr>
          <w:rFonts w:eastAsia="Verdana"/>
          <w:spacing w:val="-2"/>
        </w:rPr>
        <w:t>t</w:t>
      </w:r>
      <w:r w:rsidRPr="00C050B2">
        <w:rPr>
          <w:rFonts w:eastAsia="Verdana"/>
          <w:spacing w:val="1"/>
        </w:rPr>
        <w:t>u</w:t>
      </w:r>
      <w:r w:rsidRPr="00C050B2">
        <w:rPr>
          <w:rFonts w:eastAsia="Verdana"/>
        </w:rPr>
        <w:t>re</w:t>
      </w:r>
    </w:p>
    <w:p w14:paraId="3E9978A5" w14:textId="77777777" w:rsidR="00C1793C" w:rsidRPr="00C050B2" w:rsidRDefault="00C1793C" w:rsidP="00C1793C">
      <w:pPr>
        <w:spacing w:line="260" w:lineRule="exact"/>
        <w:ind w:left="861" w:right="807"/>
        <w:rPr>
          <w:rFonts w:eastAsia="Arial" w:cs="Arial"/>
          <w:szCs w:val="20"/>
        </w:rPr>
      </w:pPr>
      <w:r w:rsidRPr="00C050B2">
        <w:rPr>
          <w:rFonts w:eastAsia="Arial" w:cs="Arial"/>
          <w:i/>
          <w:szCs w:val="20"/>
        </w:rPr>
        <w:t>&lt;A</w:t>
      </w:r>
      <w:r w:rsidRPr="00C050B2">
        <w:rPr>
          <w:rFonts w:eastAsia="Arial" w:cs="Arial"/>
          <w:i/>
          <w:spacing w:val="-2"/>
          <w:szCs w:val="20"/>
        </w:rPr>
        <w:t xml:space="preserve"> </w:t>
      </w:r>
      <w:r w:rsidRPr="00C050B2">
        <w:rPr>
          <w:rFonts w:eastAsia="Arial" w:cs="Arial"/>
          <w:i/>
          <w:spacing w:val="1"/>
          <w:szCs w:val="20"/>
        </w:rPr>
        <w:t>de</w:t>
      </w:r>
      <w:r w:rsidRPr="00C050B2">
        <w:rPr>
          <w:rFonts w:eastAsia="Arial" w:cs="Arial"/>
          <w:i/>
          <w:szCs w:val="20"/>
        </w:rPr>
        <w:t>scr</w:t>
      </w:r>
      <w:r w:rsidRPr="00C050B2">
        <w:rPr>
          <w:rFonts w:eastAsia="Arial" w:cs="Arial"/>
          <w:i/>
          <w:spacing w:val="2"/>
          <w:szCs w:val="20"/>
        </w:rPr>
        <w:t>i</w:t>
      </w:r>
      <w:r w:rsidRPr="00C050B2">
        <w:rPr>
          <w:rFonts w:eastAsia="Arial" w:cs="Arial"/>
          <w:i/>
          <w:spacing w:val="1"/>
          <w:szCs w:val="20"/>
        </w:rPr>
        <w:t>p</w:t>
      </w:r>
      <w:r w:rsidRPr="00C050B2">
        <w:rPr>
          <w:rFonts w:eastAsia="Arial" w:cs="Arial"/>
          <w:i/>
          <w:spacing w:val="-2"/>
          <w:szCs w:val="20"/>
        </w:rPr>
        <w:t>t</w:t>
      </w:r>
      <w:r w:rsidRPr="00C050B2">
        <w:rPr>
          <w:rFonts w:eastAsia="Arial" w:cs="Arial"/>
          <w:i/>
          <w:spacing w:val="1"/>
          <w:szCs w:val="20"/>
        </w:rPr>
        <w:t>io</w:t>
      </w:r>
      <w:r w:rsidRPr="00C050B2">
        <w:rPr>
          <w:rFonts w:eastAsia="Arial" w:cs="Arial"/>
          <w:i/>
          <w:szCs w:val="20"/>
        </w:rPr>
        <w:t xml:space="preserve">n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ph</w:t>
      </w:r>
      <w:r w:rsidRPr="00C050B2">
        <w:rPr>
          <w:rFonts w:eastAsia="Arial" w:cs="Arial"/>
          <w:i/>
          <w:szCs w:val="20"/>
        </w:rPr>
        <w:t>y</w:t>
      </w:r>
      <w:r w:rsidRPr="00C050B2">
        <w:rPr>
          <w:rFonts w:eastAsia="Arial" w:cs="Arial"/>
          <w:i/>
          <w:spacing w:val="-5"/>
          <w:szCs w:val="20"/>
        </w:rPr>
        <w:t>s</w:t>
      </w:r>
      <w:r w:rsidRPr="00C050B2">
        <w:rPr>
          <w:rFonts w:eastAsia="Arial" w:cs="Arial"/>
          <w:i/>
          <w:spacing w:val="1"/>
          <w:szCs w:val="20"/>
        </w:rPr>
        <w:t>i</w:t>
      </w:r>
      <w:r w:rsidRPr="00C050B2">
        <w:rPr>
          <w:rFonts w:eastAsia="Arial" w:cs="Arial"/>
          <w:i/>
          <w:szCs w:val="20"/>
        </w:rPr>
        <w:t>c</w:t>
      </w:r>
      <w:r w:rsidRPr="00C050B2">
        <w:rPr>
          <w:rFonts w:eastAsia="Arial" w:cs="Arial"/>
          <w:i/>
          <w:spacing w:val="1"/>
          <w:szCs w:val="20"/>
        </w:rPr>
        <w:t>a</w:t>
      </w:r>
      <w:r w:rsidRPr="00C050B2">
        <w:rPr>
          <w:rFonts w:eastAsia="Arial" w:cs="Arial"/>
          <w:i/>
          <w:szCs w:val="20"/>
        </w:rPr>
        <w:t>l sys</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m</w:t>
      </w:r>
      <w:r w:rsidRPr="00C050B2">
        <w:rPr>
          <w:rFonts w:eastAsia="Arial" w:cs="Arial"/>
          <w:i/>
          <w:spacing w:val="-1"/>
          <w:szCs w:val="20"/>
        </w:rPr>
        <w:t xml:space="preserve"> </w:t>
      </w:r>
      <w:r w:rsidRPr="00C050B2">
        <w:rPr>
          <w:rFonts w:eastAsia="Arial" w:cs="Arial"/>
          <w:i/>
          <w:spacing w:val="1"/>
          <w:szCs w:val="20"/>
        </w:rPr>
        <w:t>a</w:t>
      </w:r>
      <w:r w:rsidRPr="00C050B2">
        <w:rPr>
          <w:rFonts w:eastAsia="Arial" w:cs="Arial"/>
          <w:i/>
          <w:szCs w:val="20"/>
        </w:rPr>
        <w:t>rc</w:t>
      </w:r>
      <w:r w:rsidRPr="00C050B2">
        <w:rPr>
          <w:rFonts w:eastAsia="Arial" w:cs="Arial"/>
          <w:i/>
          <w:spacing w:val="-3"/>
          <w:szCs w:val="20"/>
        </w:rPr>
        <w:t>h</w:t>
      </w:r>
      <w:r w:rsidRPr="00C050B2">
        <w:rPr>
          <w:rFonts w:eastAsia="Arial" w:cs="Arial"/>
          <w:i/>
          <w:spacing w:val="1"/>
          <w:szCs w:val="20"/>
        </w:rPr>
        <w:t>i</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c</w:t>
      </w:r>
      <w:r w:rsidRPr="00C050B2">
        <w:rPr>
          <w:rFonts w:eastAsia="Arial" w:cs="Arial"/>
          <w:i/>
          <w:spacing w:val="-2"/>
          <w:szCs w:val="20"/>
        </w:rPr>
        <w:t>t</w:t>
      </w:r>
      <w:r w:rsidRPr="00C050B2">
        <w:rPr>
          <w:rFonts w:eastAsia="Arial" w:cs="Arial"/>
          <w:i/>
          <w:spacing w:val="-3"/>
          <w:szCs w:val="20"/>
        </w:rPr>
        <w:t>u</w:t>
      </w:r>
      <w:r w:rsidRPr="00C050B2">
        <w:rPr>
          <w:rFonts w:eastAsia="Arial" w:cs="Arial"/>
          <w:i/>
          <w:szCs w:val="20"/>
        </w:rPr>
        <w:t>r</w:t>
      </w:r>
      <w:r w:rsidRPr="00C050B2">
        <w:rPr>
          <w:rFonts w:eastAsia="Arial" w:cs="Arial"/>
          <w:i/>
          <w:spacing w:val="1"/>
          <w:szCs w:val="20"/>
        </w:rPr>
        <w:t>e</w:t>
      </w:r>
      <w:r w:rsidRPr="00C050B2">
        <w:rPr>
          <w:rFonts w:eastAsia="Arial" w:cs="Arial"/>
          <w:i/>
          <w:szCs w:val="20"/>
        </w:rPr>
        <w:t>,</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zCs w:val="20"/>
        </w:rPr>
        <w:t xml:space="preserve">o </w:t>
      </w:r>
      <w:r w:rsidRPr="00C050B2">
        <w:rPr>
          <w:rFonts w:eastAsia="Arial" w:cs="Arial"/>
          <w:i/>
          <w:spacing w:val="1"/>
          <w:szCs w:val="20"/>
        </w:rPr>
        <w:t>in</w:t>
      </w:r>
      <w:r w:rsidRPr="00C050B2">
        <w:rPr>
          <w:rFonts w:eastAsia="Arial" w:cs="Arial"/>
          <w:i/>
          <w:szCs w:val="20"/>
        </w:rPr>
        <w:t>c</w:t>
      </w:r>
      <w:r w:rsidRPr="00C050B2">
        <w:rPr>
          <w:rFonts w:eastAsia="Arial" w:cs="Arial"/>
          <w:i/>
          <w:spacing w:val="1"/>
          <w:szCs w:val="20"/>
        </w:rPr>
        <w:t>lud</w:t>
      </w:r>
      <w:r w:rsidRPr="00C050B2">
        <w:rPr>
          <w:rFonts w:eastAsia="Arial" w:cs="Arial"/>
          <w:i/>
          <w:szCs w:val="20"/>
        </w:rPr>
        <w:t xml:space="preserve">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sys</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m m</w:t>
      </w:r>
      <w:r w:rsidRPr="00C050B2">
        <w:rPr>
          <w:rFonts w:eastAsia="Arial" w:cs="Arial"/>
          <w:i/>
          <w:spacing w:val="1"/>
          <w:szCs w:val="20"/>
        </w:rPr>
        <w:t>ana</w:t>
      </w:r>
      <w:r w:rsidRPr="00C050B2">
        <w:rPr>
          <w:rFonts w:eastAsia="Arial" w:cs="Arial"/>
          <w:i/>
          <w:spacing w:val="-3"/>
          <w:szCs w:val="20"/>
        </w:rPr>
        <w:t>g</w:t>
      </w:r>
      <w:r w:rsidRPr="00C050B2">
        <w:rPr>
          <w:rFonts w:eastAsia="Arial" w:cs="Arial"/>
          <w:i/>
          <w:spacing w:val="1"/>
          <w:szCs w:val="20"/>
        </w:rPr>
        <w:t>e</w:t>
      </w:r>
      <w:r w:rsidRPr="00C050B2">
        <w:rPr>
          <w:rFonts w:eastAsia="Arial" w:cs="Arial"/>
          <w:i/>
          <w:szCs w:val="20"/>
        </w:rPr>
        <w:t>m</w:t>
      </w:r>
      <w:r w:rsidRPr="00C050B2">
        <w:rPr>
          <w:rFonts w:eastAsia="Arial" w:cs="Arial"/>
          <w:i/>
          <w:spacing w:val="1"/>
          <w:szCs w:val="20"/>
        </w:rPr>
        <w:t>en</w:t>
      </w:r>
      <w:r w:rsidRPr="00C050B2">
        <w:rPr>
          <w:rFonts w:eastAsia="Arial" w:cs="Arial"/>
          <w:i/>
          <w:spacing w:val="-2"/>
          <w:szCs w:val="20"/>
        </w:rPr>
        <w:t>t</w:t>
      </w:r>
      <w:r w:rsidRPr="00C050B2">
        <w:rPr>
          <w:rFonts w:eastAsia="Arial" w:cs="Arial"/>
          <w:i/>
          <w:szCs w:val="20"/>
        </w:rPr>
        <w:t>.</w:t>
      </w:r>
      <w:r w:rsidRPr="00C050B2">
        <w:rPr>
          <w:rFonts w:eastAsia="Arial" w:cs="Arial"/>
          <w:i/>
          <w:spacing w:val="-3"/>
          <w:szCs w:val="20"/>
        </w:rPr>
        <w:t xml:space="preserve"> </w:t>
      </w:r>
      <w:r w:rsidRPr="00C050B2">
        <w:rPr>
          <w:rFonts w:eastAsia="Arial" w:cs="Arial"/>
          <w:i/>
          <w:szCs w:val="20"/>
        </w:rPr>
        <w:t>A</w:t>
      </w:r>
      <w:r w:rsidRPr="00C050B2">
        <w:rPr>
          <w:rFonts w:eastAsia="Arial" w:cs="Arial"/>
          <w:i/>
          <w:spacing w:val="-1"/>
          <w:szCs w:val="20"/>
        </w:rPr>
        <w:t xml:space="preserve"> </w:t>
      </w:r>
      <w:r w:rsidRPr="00C050B2">
        <w:rPr>
          <w:rFonts w:eastAsia="Arial" w:cs="Arial"/>
          <w:i/>
          <w:spacing w:val="1"/>
          <w:szCs w:val="20"/>
        </w:rPr>
        <w:t>diag</w:t>
      </w:r>
      <w:r w:rsidRPr="00C050B2">
        <w:rPr>
          <w:rFonts w:eastAsia="Arial" w:cs="Arial"/>
          <w:i/>
          <w:szCs w:val="20"/>
        </w:rPr>
        <w:t>r</w:t>
      </w:r>
      <w:r w:rsidRPr="00C050B2">
        <w:rPr>
          <w:rFonts w:eastAsia="Arial" w:cs="Arial"/>
          <w:i/>
          <w:spacing w:val="1"/>
          <w:szCs w:val="20"/>
        </w:rPr>
        <w:t>a</w:t>
      </w:r>
      <w:r w:rsidRPr="00C050B2">
        <w:rPr>
          <w:rFonts w:eastAsia="Arial" w:cs="Arial"/>
          <w:i/>
          <w:szCs w:val="20"/>
        </w:rPr>
        <w:t>m</w:t>
      </w:r>
      <w:r w:rsidRPr="00C050B2">
        <w:rPr>
          <w:rFonts w:eastAsia="Arial" w:cs="Arial"/>
          <w:i/>
          <w:spacing w:val="-1"/>
          <w:szCs w:val="20"/>
        </w:rPr>
        <w:t xml:space="preserve"> </w:t>
      </w:r>
      <w:r w:rsidRPr="00C050B2">
        <w:rPr>
          <w:rFonts w:eastAsia="Arial" w:cs="Arial"/>
          <w:i/>
          <w:spacing w:val="-3"/>
          <w:szCs w:val="20"/>
        </w:rPr>
        <w:t>w</w:t>
      </w:r>
      <w:r w:rsidRPr="00C050B2">
        <w:rPr>
          <w:rFonts w:eastAsia="Arial" w:cs="Arial"/>
          <w:i/>
          <w:spacing w:val="1"/>
          <w:szCs w:val="20"/>
        </w:rPr>
        <w:t>il</w:t>
      </w:r>
      <w:r w:rsidRPr="00C050B2">
        <w:rPr>
          <w:rFonts w:eastAsia="Arial" w:cs="Arial"/>
          <w:i/>
          <w:szCs w:val="20"/>
        </w:rPr>
        <w:t xml:space="preserve">l </w:t>
      </w:r>
      <w:r w:rsidRPr="00C050B2">
        <w:rPr>
          <w:rFonts w:eastAsia="Arial" w:cs="Arial"/>
          <w:i/>
          <w:spacing w:val="-3"/>
          <w:szCs w:val="20"/>
        </w:rPr>
        <w:t>b</w:t>
      </w:r>
      <w:r w:rsidRPr="00C050B2">
        <w:rPr>
          <w:rFonts w:eastAsia="Arial" w:cs="Arial"/>
          <w:i/>
          <w:szCs w:val="20"/>
        </w:rPr>
        <w:t xml:space="preserve">e </w:t>
      </w:r>
      <w:r w:rsidRPr="00C050B2">
        <w:rPr>
          <w:rFonts w:eastAsia="Arial" w:cs="Arial"/>
          <w:i/>
          <w:spacing w:val="1"/>
          <w:szCs w:val="20"/>
        </w:rPr>
        <w:t>ne</w:t>
      </w:r>
      <w:r w:rsidRPr="00C050B2">
        <w:rPr>
          <w:rFonts w:eastAsia="Arial" w:cs="Arial"/>
          <w:i/>
          <w:spacing w:val="-3"/>
          <w:szCs w:val="20"/>
        </w:rPr>
        <w:t>e</w:t>
      </w:r>
      <w:r w:rsidRPr="00C050B2">
        <w:rPr>
          <w:rFonts w:eastAsia="Arial" w:cs="Arial"/>
          <w:i/>
          <w:spacing w:val="1"/>
          <w:szCs w:val="20"/>
        </w:rPr>
        <w:t>de</w:t>
      </w:r>
      <w:r w:rsidRPr="00C050B2">
        <w:rPr>
          <w:rFonts w:eastAsia="Arial" w:cs="Arial"/>
          <w:i/>
          <w:szCs w:val="20"/>
        </w:rPr>
        <w:t xml:space="preserve">d </w:t>
      </w:r>
      <w:r w:rsidRPr="00C050B2">
        <w:rPr>
          <w:rFonts w:eastAsia="Arial" w:cs="Arial"/>
          <w:i/>
          <w:spacing w:val="1"/>
          <w:szCs w:val="20"/>
        </w:rPr>
        <w:t>he</w:t>
      </w:r>
      <w:r w:rsidRPr="00C050B2">
        <w:rPr>
          <w:rFonts w:eastAsia="Arial" w:cs="Arial"/>
          <w:i/>
          <w:spacing w:val="-5"/>
          <w:szCs w:val="20"/>
        </w:rPr>
        <w:t>r</w:t>
      </w:r>
      <w:r w:rsidRPr="00C050B2">
        <w:rPr>
          <w:rFonts w:eastAsia="Arial" w:cs="Arial"/>
          <w:i/>
          <w:spacing w:val="1"/>
          <w:szCs w:val="20"/>
        </w:rPr>
        <w:t>e</w:t>
      </w:r>
      <w:r w:rsidRPr="00C050B2">
        <w:rPr>
          <w:rFonts w:eastAsia="Arial" w:cs="Arial"/>
          <w:i/>
          <w:szCs w:val="20"/>
        </w:rPr>
        <w:t>&gt;</w:t>
      </w:r>
    </w:p>
    <w:p w14:paraId="20B63AB2" w14:textId="77777777" w:rsidR="00C1793C" w:rsidRPr="00C050B2" w:rsidRDefault="00C1793C" w:rsidP="009D675B">
      <w:pPr>
        <w:pStyle w:val="Sch2"/>
        <w:numPr>
          <w:ilvl w:val="3"/>
          <w:numId w:val="56"/>
        </w:numPr>
        <w:rPr>
          <w:rFonts w:eastAsia="Arial" w:cs="Arial"/>
          <w:szCs w:val="20"/>
        </w:rPr>
      </w:pPr>
      <w:r w:rsidRPr="00C050B2">
        <w:rPr>
          <w:rFonts w:eastAsia="Verdana"/>
        </w:rPr>
        <w:t>Users</w:t>
      </w:r>
    </w:p>
    <w:p w14:paraId="09F66F99" w14:textId="77777777" w:rsidR="00C1793C" w:rsidRPr="00C050B2" w:rsidRDefault="00C1793C" w:rsidP="00C1793C">
      <w:pPr>
        <w:spacing w:line="260" w:lineRule="exact"/>
        <w:ind w:left="861" w:right="247"/>
        <w:rPr>
          <w:rFonts w:eastAsia="Arial" w:cs="Arial"/>
          <w:szCs w:val="20"/>
        </w:rPr>
      </w:pPr>
      <w:r w:rsidRPr="00C050B2">
        <w:rPr>
          <w:rFonts w:eastAsia="Arial" w:cs="Arial"/>
          <w:i/>
          <w:szCs w:val="20"/>
        </w:rPr>
        <w:t>&lt;A</w:t>
      </w:r>
      <w:r w:rsidRPr="00C050B2">
        <w:rPr>
          <w:rFonts w:eastAsia="Arial" w:cs="Arial"/>
          <w:i/>
          <w:spacing w:val="-2"/>
          <w:szCs w:val="20"/>
        </w:rPr>
        <w:t xml:space="preserve"> </w:t>
      </w:r>
      <w:r w:rsidRPr="00C050B2">
        <w:rPr>
          <w:rFonts w:eastAsia="Arial" w:cs="Arial"/>
          <w:i/>
          <w:spacing w:val="1"/>
          <w:szCs w:val="20"/>
        </w:rPr>
        <w:t>b</w:t>
      </w:r>
      <w:r w:rsidRPr="00C050B2">
        <w:rPr>
          <w:rFonts w:eastAsia="Arial" w:cs="Arial"/>
          <w:i/>
          <w:szCs w:val="20"/>
        </w:rPr>
        <w:t>r</w:t>
      </w:r>
      <w:r w:rsidRPr="00C050B2">
        <w:rPr>
          <w:rFonts w:eastAsia="Arial" w:cs="Arial"/>
          <w:i/>
          <w:spacing w:val="1"/>
          <w:szCs w:val="20"/>
        </w:rPr>
        <w:t>ie</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1"/>
          <w:szCs w:val="20"/>
        </w:rPr>
        <w:t>de</w:t>
      </w:r>
      <w:r w:rsidRPr="00C050B2">
        <w:rPr>
          <w:rFonts w:eastAsia="Arial" w:cs="Arial"/>
          <w:i/>
          <w:szCs w:val="20"/>
        </w:rPr>
        <w:t>scr</w:t>
      </w:r>
      <w:r w:rsidRPr="00C050B2">
        <w:rPr>
          <w:rFonts w:eastAsia="Arial" w:cs="Arial"/>
          <w:i/>
          <w:spacing w:val="2"/>
          <w:szCs w:val="20"/>
        </w:rPr>
        <w:t>i</w:t>
      </w:r>
      <w:r w:rsidRPr="00C050B2">
        <w:rPr>
          <w:rFonts w:eastAsia="Arial" w:cs="Arial"/>
          <w:i/>
          <w:spacing w:val="1"/>
          <w:szCs w:val="20"/>
        </w:rPr>
        <w:t>p</w:t>
      </w:r>
      <w:r w:rsidRPr="00C050B2">
        <w:rPr>
          <w:rFonts w:eastAsia="Arial" w:cs="Arial"/>
          <w:i/>
          <w:spacing w:val="-2"/>
          <w:szCs w:val="20"/>
        </w:rPr>
        <w:t>t</w:t>
      </w:r>
      <w:r w:rsidRPr="00C050B2">
        <w:rPr>
          <w:rFonts w:eastAsia="Arial" w:cs="Arial"/>
          <w:i/>
          <w:spacing w:val="1"/>
          <w:szCs w:val="20"/>
        </w:rPr>
        <w:t>i</w:t>
      </w:r>
      <w:r w:rsidRPr="00C050B2">
        <w:rPr>
          <w:rFonts w:eastAsia="Arial" w:cs="Arial"/>
          <w:i/>
          <w:spacing w:val="-3"/>
          <w:szCs w:val="20"/>
        </w:rPr>
        <w:t>o</w:t>
      </w:r>
      <w:r w:rsidRPr="00C050B2">
        <w:rPr>
          <w:rFonts w:eastAsia="Arial" w:cs="Arial"/>
          <w:i/>
          <w:szCs w:val="20"/>
        </w:rPr>
        <w:t xml:space="preserve">n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sys</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m</w:t>
      </w:r>
      <w:r w:rsidRPr="00C050B2">
        <w:rPr>
          <w:rFonts w:eastAsia="Arial" w:cs="Arial"/>
          <w:i/>
          <w:spacing w:val="-1"/>
          <w:szCs w:val="20"/>
        </w:rPr>
        <w:t xml:space="preserve"> </w:t>
      </w:r>
      <w:r w:rsidRPr="00C050B2">
        <w:rPr>
          <w:rFonts w:eastAsia="Arial" w:cs="Arial"/>
          <w:i/>
          <w:spacing w:val="1"/>
          <w:szCs w:val="20"/>
        </w:rPr>
        <w:t>u</w:t>
      </w:r>
      <w:r w:rsidRPr="00C050B2">
        <w:rPr>
          <w:rFonts w:eastAsia="Arial" w:cs="Arial"/>
          <w:i/>
          <w:szCs w:val="20"/>
        </w:rPr>
        <w:t>s</w:t>
      </w:r>
      <w:r w:rsidRPr="00C050B2">
        <w:rPr>
          <w:rFonts w:eastAsia="Arial" w:cs="Arial"/>
          <w:i/>
          <w:spacing w:val="1"/>
          <w:szCs w:val="20"/>
        </w:rPr>
        <w:t>e</w:t>
      </w:r>
      <w:r w:rsidRPr="00C050B2">
        <w:rPr>
          <w:rFonts w:eastAsia="Arial" w:cs="Arial"/>
          <w:i/>
          <w:szCs w:val="20"/>
        </w:rPr>
        <w:t>rs,</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zCs w:val="20"/>
        </w:rPr>
        <w:t xml:space="preserve">o </w:t>
      </w:r>
      <w:r w:rsidRPr="00C050B2">
        <w:rPr>
          <w:rFonts w:eastAsia="Arial" w:cs="Arial"/>
          <w:i/>
          <w:spacing w:val="1"/>
          <w:szCs w:val="20"/>
        </w:rPr>
        <w:t>in</w:t>
      </w:r>
      <w:r w:rsidRPr="00C050B2">
        <w:rPr>
          <w:rFonts w:eastAsia="Arial" w:cs="Arial"/>
          <w:i/>
          <w:szCs w:val="20"/>
        </w:rPr>
        <w:t>c</w:t>
      </w:r>
      <w:r w:rsidRPr="00C050B2">
        <w:rPr>
          <w:rFonts w:eastAsia="Arial" w:cs="Arial"/>
          <w:i/>
          <w:spacing w:val="1"/>
          <w:szCs w:val="20"/>
        </w:rPr>
        <w:t>l</w:t>
      </w:r>
      <w:r w:rsidRPr="00C050B2">
        <w:rPr>
          <w:rFonts w:eastAsia="Arial" w:cs="Arial"/>
          <w:i/>
          <w:spacing w:val="-3"/>
          <w:szCs w:val="20"/>
        </w:rPr>
        <w:t>u</w:t>
      </w:r>
      <w:r w:rsidRPr="00C050B2">
        <w:rPr>
          <w:rFonts w:eastAsia="Arial" w:cs="Arial"/>
          <w:i/>
          <w:spacing w:val="1"/>
          <w:szCs w:val="20"/>
        </w:rPr>
        <w:t>d</w:t>
      </w:r>
      <w:r w:rsidRPr="00C050B2">
        <w:rPr>
          <w:rFonts w:eastAsia="Arial" w:cs="Arial"/>
          <w:i/>
          <w:szCs w:val="20"/>
        </w:rPr>
        <w:t xml:space="preserve">e </w:t>
      </w:r>
      <w:r w:rsidRPr="00C050B2">
        <w:rPr>
          <w:rFonts w:eastAsia="Arial" w:cs="Arial"/>
          <w:i/>
          <w:spacing w:val="1"/>
          <w:szCs w:val="20"/>
        </w:rPr>
        <w:t>H</w:t>
      </w:r>
      <w:r w:rsidRPr="00C050B2">
        <w:rPr>
          <w:rFonts w:eastAsia="Arial" w:cs="Arial"/>
          <w:i/>
          <w:szCs w:val="20"/>
        </w:rPr>
        <w:t>MG</w:t>
      </w:r>
      <w:r w:rsidRPr="00C050B2">
        <w:rPr>
          <w:rFonts w:eastAsia="Arial" w:cs="Arial"/>
          <w:i/>
          <w:spacing w:val="-3"/>
          <w:szCs w:val="20"/>
        </w:rPr>
        <w:t xml:space="preserve"> </w:t>
      </w:r>
      <w:r w:rsidRPr="00C050B2">
        <w:rPr>
          <w:rFonts w:eastAsia="Arial" w:cs="Arial"/>
          <w:i/>
          <w:spacing w:val="1"/>
          <w:szCs w:val="20"/>
        </w:rPr>
        <w:t>u</w:t>
      </w:r>
      <w:r w:rsidRPr="00C050B2">
        <w:rPr>
          <w:rFonts w:eastAsia="Arial" w:cs="Arial"/>
          <w:i/>
          <w:szCs w:val="20"/>
        </w:rPr>
        <w:t>s</w:t>
      </w:r>
      <w:r w:rsidRPr="00C050B2">
        <w:rPr>
          <w:rFonts w:eastAsia="Arial" w:cs="Arial"/>
          <w:i/>
          <w:spacing w:val="1"/>
          <w:szCs w:val="20"/>
        </w:rPr>
        <w:t>e</w:t>
      </w:r>
      <w:r w:rsidRPr="00C050B2">
        <w:rPr>
          <w:rFonts w:eastAsia="Arial" w:cs="Arial"/>
          <w:i/>
          <w:szCs w:val="20"/>
        </w:rPr>
        <w:t>rs</w:t>
      </w:r>
      <w:r w:rsidRPr="00C050B2">
        <w:rPr>
          <w:rFonts w:eastAsia="Arial" w:cs="Arial"/>
          <w:i/>
          <w:spacing w:val="-1"/>
          <w:szCs w:val="20"/>
        </w:rPr>
        <w:t xml:space="preserve"> </w:t>
      </w:r>
      <w:r w:rsidRPr="00C050B2">
        <w:rPr>
          <w:rFonts w:eastAsia="Arial" w:cs="Arial"/>
          <w:i/>
          <w:spacing w:val="1"/>
          <w:szCs w:val="20"/>
        </w:rPr>
        <w:t>a</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we</w:t>
      </w:r>
      <w:r w:rsidRPr="00C050B2">
        <w:rPr>
          <w:rFonts w:eastAsia="Arial" w:cs="Arial"/>
          <w:i/>
          <w:spacing w:val="-3"/>
          <w:szCs w:val="20"/>
        </w:rPr>
        <w:t>l</w:t>
      </w:r>
      <w:r w:rsidRPr="00C050B2">
        <w:rPr>
          <w:rFonts w:eastAsia="Arial" w:cs="Arial"/>
          <w:i/>
          <w:szCs w:val="20"/>
        </w:rPr>
        <w:t xml:space="preserve">l </w:t>
      </w:r>
      <w:r w:rsidRPr="00C050B2">
        <w:rPr>
          <w:rFonts w:eastAsia="Arial" w:cs="Arial"/>
          <w:i/>
          <w:spacing w:val="1"/>
          <w:szCs w:val="20"/>
        </w:rPr>
        <w:t>a</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an</w:t>
      </w:r>
      <w:r w:rsidRPr="00C050B2">
        <w:rPr>
          <w:rFonts w:eastAsia="Arial" w:cs="Arial"/>
          <w:i/>
          <w:szCs w:val="20"/>
        </w:rPr>
        <w:t>y s</w:t>
      </w:r>
      <w:r w:rsidRPr="00C050B2">
        <w:rPr>
          <w:rFonts w:eastAsia="Arial" w:cs="Arial"/>
          <w:i/>
          <w:spacing w:val="1"/>
          <w:szCs w:val="20"/>
        </w:rPr>
        <w:t>e</w:t>
      </w:r>
      <w:r w:rsidRPr="00C050B2">
        <w:rPr>
          <w:rFonts w:eastAsia="Arial" w:cs="Arial"/>
          <w:i/>
          <w:szCs w:val="20"/>
        </w:rPr>
        <w:t>rv</w:t>
      </w:r>
      <w:r w:rsidRPr="00C050B2">
        <w:rPr>
          <w:rFonts w:eastAsia="Arial" w:cs="Arial"/>
          <w:i/>
          <w:spacing w:val="1"/>
          <w:szCs w:val="20"/>
        </w:rPr>
        <w:t>i</w:t>
      </w:r>
      <w:r w:rsidRPr="00C050B2">
        <w:rPr>
          <w:rFonts w:eastAsia="Arial" w:cs="Arial"/>
          <w:i/>
          <w:szCs w:val="20"/>
        </w:rPr>
        <w:t>ce</w:t>
      </w:r>
      <w:r w:rsidRPr="00C050B2">
        <w:rPr>
          <w:rFonts w:eastAsia="Arial" w:cs="Arial"/>
          <w:i/>
          <w:spacing w:val="1"/>
          <w:szCs w:val="20"/>
        </w:rPr>
        <w:t xml:space="preserve"> p</w:t>
      </w:r>
      <w:r w:rsidRPr="00C050B2">
        <w:rPr>
          <w:rFonts w:eastAsia="Arial" w:cs="Arial"/>
          <w:i/>
          <w:szCs w:val="20"/>
        </w:rPr>
        <w:t>r</w:t>
      </w:r>
      <w:r w:rsidRPr="00C050B2">
        <w:rPr>
          <w:rFonts w:eastAsia="Arial" w:cs="Arial"/>
          <w:i/>
          <w:spacing w:val="1"/>
          <w:szCs w:val="20"/>
        </w:rPr>
        <w:t>o</w:t>
      </w:r>
      <w:r w:rsidRPr="00C050B2">
        <w:rPr>
          <w:rFonts w:eastAsia="Arial" w:cs="Arial"/>
          <w:i/>
          <w:spacing w:val="-5"/>
          <w:szCs w:val="20"/>
        </w:rPr>
        <w:t>v</w:t>
      </w:r>
      <w:r w:rsidRPr="00C050B2">
        <w:rPr>
          <w:rFonts w:eastAsia="Arial" w:cs="Arial"/>
          <w:i/>
          <w:spacing w:val="1"/>
          <w:szCs w:val="20"/>
        </w:rPr>
        <w:t>ide</w:t>
      </w:r>
      <w:r w:rsidRPr="00C050B2">
        <w:rPr>
          <w:rFonts w:eastAsia="Arial" w:cs="Arial"/>
          <w:i/>
          <w:szCs w:val="20"/>
        </w:rPr>
        <w:t>r</w:t>
      </w:r>
      <w:r w:rsidRPr="00C050B2">
        <w:rPr>
          <w:rFonts w:eastAsia="Arial" w:cs="Arial"/>
          <w:i/>
          <w:spacing w:val="-1"/>
          <w:szCs w:val="20"/>
        </w:rPr>
        <w:t xml:space="preserve"> </w:t>
      </w:r>
      <w:r w:rsidRPr="00C050B2">
        <w:rPr>
          <w:rFonts w:eastAsia="Arial" w:cs="Arial"/>
          <w:i/>
          <w:spacing w:val="1"/>
          <w:szCs w:val="20"/>
        </w:rPr>
        <w:t>u</w:t>
      </w:r>
      <w:r w:rsidRPr="00C050B2">
        <w:rPr>
          <w:rFonts w:eastAsia="Arial" w:cs="Arial"/>
          <w:i/>
          <w:szCs w:val="20"/>
        </w:rPr>
        <w:t>s</w:t>
      </w:r>
      <w:r w:rsidRPr="00C050B2">
        <w:rPr>
          <w:rFonts w:eastAsia="Arial" w:cs="Arial"/>
          <w:i/>
          <w:spacing w:val="1"/>
          <w:szCs w:val="20"/>
        </w:rPr>
        <w:t>e</w:t>
      </w:r>
      <w:r w:rsidRPr="00C050B2">
        <w:rPr>
          <w:rFonts w:eastAsia="Arial" w:cs="Arial"/>
          <w:i/>
          <w:szCs w:val="20"/>
        </w:rPr>
        <w:t>rs</w:t>
      </w:r>
      <w:r w:rsidRPr="00C050B2">
        <w:rPr>
          <w:rFonts w:eastAsia="Arial" w:cs="Arial"/>
          <w:i/>
          <w:spacing w:val="-1"/>
          <w:szCs w:val="20"/>
        </w:rPr>
        <w:t xml:space="preserve"> </w:t>
      </w:r>
      <w:r w:rsidRPr="00C050B2">
        <w:rPr>
          <w:rFonts w:eastAsia="Arial" w:cs="Arial"/>
          <w:i/>
          <w:spacing w:val="-3"/>
          <w:szCs w:val="20"/>
        </w:rPr>
        <w:t>a</w:t>
      </w:r>
      <w:r w:rsidRPr="00C050B2">
        <w:rPr>
          <w:rFonts w:eastAsia="Arial" w:cs="Arial"/>
          <w:i/>
          <w:spacing w:val="1"/>
          <w:szCs w:val="20"/>
        </w:rPr>
        <w:t>n</w:t>
      </w:r>
      <w:r w:rsidRPr="00C050B2">
        <w:rPr>
          <w:rFonts w:eastAsia="Arial" w:cs="Arial"/>
          <w:i/>
          <w:szCs w:val="20"/>
        </w:rPr>
        <w:t>d sys</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m</w:t>
      </w:r>
      <w:r w:rsidRPr="00C050B2">
        <w:rPr>
          <w:rFonts w:eastAsia="Arial" w:cs="Arial"/>
          <w:i/>
          <w:spacing w:val="-1"/>
          <w:szCs w:val="20"/>
        </w:rPr>
        <w:t xml:space="preserve"> </w:t>
      </w:r>
      <w:r w:rsidRPr="00C050B2">
        <w:rPr>
          <w:rFonts w:eastAsia="Arial" w:cs="Arial"/>
          <w:i/>
          <w:szCs w:val="20"/>
        </w:rPr>
        <w:t>m</w:t>
      </w:r>
      <w:r w:rsidRPr="00C050B2">
        <w:rPr>
          <w:rFonts w:eastAsia="Arial" w:cs="Arial"/>
          <w:i/>
          <w:spacing w:val="1"/>
          <w:szCs w:val="20"/>
        </w:rPr>
        <w:t>an</w:t>
      </w:r>
      <w:r w:rsidRPr="00C050B2">
        <w:rPr>
          <w:rFonts w:eastAsia="Arial" w:cs="Arial"/>
          <w:i/>
          <w:spacing w:val="-3"/>
          <w:szCs w:val="20"/>
        </w:rPr>
        <w:t>a</w:t>
      </w:r>
      <w:r w:rsidRPr="00C050B2">
        <w:rPr>
          <w:rFonts w:eastAsia="Arial" w:cs="Arial"/>
          <w:i/>
          <w:spacing w:val="1"/>
          <w:szCs w:val="20"/>
        </w:rPr>
        <w:t>ge</w:t>
      </w:r>
      <w:r w:rsidRPr="00C050B2">
        <w:rPr>
          <w:rFonts w:eastAsia="Arial" w:cs="Arial"/>
          <w:i/>
          <w:szCs w:val="20"/>
        </w:rPr>
        <w:t>rs.</w:t>
      </w:r>
      <w:r w:rsidRPr="00C050B2">
        <w:rPr>
          <w:rFonts w:eastAsia="Arial" w:cs="Arial"/>
          <w:i/>
          <w:spacing w:val="-3"/>
          <w:szCs w:val="20"/>
        </w:rPr>
        <w:t xml:space="preserve"> </w:t>
      </w:r>
      <w:r w:rsidRPr="00C050B2">
        <w:rPr>
          <w:rFonts w:eastAsia="Arial" w:cs="Arial"/>
          <w:i/>
          <w:spacing w:val="-2"/>
          <w:szCs w:val="20"/>
        </w:rPr>
        <w:t>I</w:t>
      </w:r>
      <w:r w:rsidRPr="00C050B2">
        <w:rPr>
          <w:rFonts w:eastAsia="Arial" w:cs="Arial"/>
          <w:i/>
          <w:szCs w:val="20"/>
        </w:rPr>
        <w:t>f</w:t>
      </w:r>
      <w:r w:rsidRPr="00C050B2">
        <w:rPr>
          <w:rFonts w:eastAsia="Arial" w:cs="Arial"/>
          <w:i/>
          <w:spacing w:val="2"/>
          <w:szCs w:val="20"/>
        </w:rPr>
        <w:t xml:space="preserve"> </w:t>
      </w:r>
      <w:r w:rsidRPr="00C050B2">
        <w:rPr>
          <w:rFonts w:eastAsia="Arial" w:cs="Arial"/>
          <w:i/>
          <w:szCs w:val="20"/>
        </w:rPr>
        <w:t>r</w:t>
      </w:r>
      <w:r w:rsidRPr="00C050B2">
        <w:rPr>
          <w:rFonts w:eastAsia="Arial" w:cs="Arial"/>
          <w:i/>
          <w:spacing w:val="1"/>
          <w:szCs w:val="20"/>
        </w:rPr>
        <w:t>ele</w:t>
      </w:r>
      <w:r w:rsidRPr="00C050B2">
        <w:rPr>
          <w:rFonts w:eastAsia="Arial" w:cs="Arial"/>
          <w:i/>
          <w:szCs w:val="20"/>
        </w:rPr>
        <w:t>v</w:t>
      </w:r>
      <w:r w:rsidRPr="00C050B2">
        <w:rPr>
          <w:rFonts w:eastAsia="Arial" w:cs="Arial"/>
          <w:i/>
          <w:spacing w:val="-3"/>
          <w:szCs w:val="20"/>
        </w:rPr>
        <w:t>a</w:t>
      </w:r>
      <w:r w:rsidRPr="00C050B2">
        <w:rPr>
          <w:rFonts w:eastAsia="Arial" w:cs="Arial"/>
          <w:i/>
          <w:spacing w:val="1"/>
          <w:szCs w:val="20"/>
        </w:rPr>
        <w:t>n</w:t>
      </w:r>
      <w:r w:rsidRPr="00C050B2">
        <w:rPr>
          <w:rFonts w:eastAsia="Arial" w:cs="Arial"/>
          <w:i/>
          <w:spacing w:val="-2"/>
          <w:szCs w:val="20"/>
        </w:rPr>
        <w:t>t</w:t>
      </w:r>
      <w:r w:rsidRPr="00C050B2">
        <w:rPr>
          <w:rFonts w:eastAsia="Arial" w:cs="Arial"/>
          <w:i/>
          <w:szCs w:val="20"/>
        </w:rPr>
        <w:t>,</w:t>
      </w:r>
      <w:r w:rsidRPr="00C050B2">
        <w:rPr>
          <w:rFonts w:eastAsia="Arial" w:cs="Arial"/>
          <w:i/>
          <w:spacing w:val="-3"/>
          <w:szCs w:val="20"/>
        </w:rPr>
        <w:t xml:space="preserve"> </w:t>
      </w:r>
      <w:r w:rsidRPr="00C050B2">
        <w:rPr>
          <w:rFonts w:eastAsia="Arial" w:cs="Arial"/>
          <w:i/>
          <w:szCs w:val="20"/>
        </w:rPr>
        <w:t>s</w:t>
      </w:r>
      <w:r w:rsidRPr="00C050B2">
        <w:rPr>
          <w:rFonts w:eastAsia="Arial" w:cs="Arial"/>
          <w:i/>
          <w:spacing w:val="1"/>
          <w:szCs w:val="20"/>
        </w:rPr>
        <w:t>e</w:t>
      </w:r>
      <w:r w:rsidRPr="00C050B2">
        <w:rPr>
          <w:rFonts w:eastAsia="Arial" w:cs="Arial"/>
          <w:i/>
          <w:szCs w:val="20"/>
        </w:rPr>
        <w:t>c</w:t>
      </w:r>
      <w:r w:rsidRPr="00C050B2">
        <w:rPr>
          <w:rFonts w:eastAsia="Arial" w:cs="Arial"/>
          <w:i/>
          <w:spacing w:val="1"/>
          <w:szCs w:val="20"/>
        </w:rPr>
        <w:t>u</w:t>
      </w:r>
      <w:r w:rsidRPr="00C050B2">
        <w:rPr>
          <w:rFonts w:eastAsia="Arial" w:cs="Arial"/>
          <w:i/>
          <w:szCs w:val="20"/>
        </w:rPr>
        <w:t>r</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y</w:t>
      </w:r>
      <w:r w:rsidRPr="00C050B2">
        <w:rPr>
          <w:rFonts w:eastAsia="Arial" w:cs="Arial"/>
          <w:i/>
          <w:spacing w:val="-1"/>
          <w:szCs w:val="20"/>
        </w:rPr>
        <w:t xml:space="preserve"> </w:t>
      </w:r>
      <w:r w:rsidRPr="00C050B2">
        <w:rPr>
          <w:rFonts w:eastAsia="Arial" w:cs="Arial"/>
          <w:i/>
          <w:szCs w:val="20"/>
        </w:rPr>
        <w:t>c</w:t>
      </w:r>
      <w:r w:rsidRPr="00C050B2">
        <w:rPr>
          <w:rFonts w:eastAsia="Arial" w:cs="Arial"/>
          <w:i/>
          <w:spacing w:val="1"/>
          <w:szCs w:val="20"/>
        </w:rPr>
        <w:t>lea</w:t>
      </w:r>
      <w:r w:rsidRPr="00C050B2">
        <w:rPr>
          <w:rFonts w:eastAsia="Arial" w:cs="Arial"/>
          <w:i/>
          <w:szCs w:val="20"/>
        </w:rPr>
        <w:t>r</w:t>
      </w:r>
      <w:r w:rsidRPr="00C050B2">
        <w:rPr>
          <w:rFonts w:eastAsia="Arial" w:cs="Arial"/>
          <w:i/>
          <w:spacing w:val="1"/>
          <w:szCs w:val="20"/>
        </w:rPr>
        <w:t>an</w:t>
      </w:r>
      <w:r w:rsidRPr="00C050B2">
        <w:rPr>
          <w:rFonts w:eastAsia="Arial" w:cs="Arial"/>
          <w:i/>
          <w:spacing w:val="-5"/>
          <w:szCs w:val="20"/>
        </w:rPr>
        <w:t>c</w:t>
      </w:r>
      <w:r w:rsidRPr="00C050B2">
        <w:rPr>
          <w:rFonts w:eastAsia="Arial" w:cs="Arial"/>
          <w:i/>
          <w:szCs w:val="20"/>
        </w:rPr>
        <w:t xml:space="preserve">e </w:t>
      </w:r>
      <w:r w:rsidRPr="00C050B2">
        <w:rPr>
          <w:rFonts w:eastAsia="Arial" w:cs="Arial"/>
          <w:i/>
          <w:spacing w:val="1"/>
          <w:szCs w:val="20"/>
        </w:rPr>
        <w:t>le</w:t>
      </w:r>
      <w:r w:rsidRPr="00C050B2">
        <w:rPr>
          <w:rFonts w:eastAsia="Arial" w:cs="Arial"/>
          <w:i/>
          <w:szCs w:val="20"/>
        </w:rPr>
        <w:t>v</w:t>
      </w:r>
      <w:r w:rsidRPr="00C050B2">
        <w:rPr>
          <w:rFonts w:eastAsia="Arial" w:cs="Arial"/>
          <w:i/>
          <w:spacing w:val="1"/>
          <w:szCs w:val="20"/>
        </w:rPr>
        <w:t>e</w:t>
      </w:r>
      <w:r w:rsidRPr="00C050B2">
        <w:rPr>
          <w:rFonts w:eastAsia="Arial" w:cs="Arial"/>
          <w:i/>
          <w:szCs w:val="20"/>
        </w:rPr>
        <w:t>l r</w:t>
      </w:r>
      <w:r w:rsidRPr="00C050B2">
        <w:rPr>
          <w:rFonts w:eastAsia="Arial" w:cs="Arial"/>
          <w:i/>
          <w:spacing w:val="-3"/>
          <w:szCs w:val="20"/>
        </w:rPr>
        <w:t>e</w:t>
      </w:r>
      <w:r w:rsidRPr="00C050B2">
        <w:rPr>
          <w:rFonts w:eastAsia="Arial" w:cs="Arial"/>
          <w:i/>
          <w:spacing w:val="1"/>
          <w:szCs w:val="20"/>
        </w:rPr>
        <w:t>qui</w:t>
      </w:r>
      <w:r w:rsidRPr="00C050B2">
        <w:rPr>
          <w:rFonts w:eastAsia="Arial" w:cs="Arial"/>
          <w:i/>
          <w:spacing w:val="-5"/>
          <w:szCs w:val="20"/>
        </w:rPr>
        <w:t>r</w:t>
      </w:r>
      <w:r w:rsidRPr="00C050B2">
        <w:rPr>
          <w:rFonts w:eastAsia="Arial" w:cs="Arial"/>
          <w:i/>
          <w:spacing w:val="1"/>
          <w:szCs w:val="20"/>
        </w:rPr>
        <w:t>e</w:t>
      </w:r>
      <w:r w:rsidRPr="00C050B2">
        <w:rPr>
          <w:rFonts w:eastAsia="Arial" w:cs="Arial"/>
          <w:i/>
          <w:szCs w:val="20"/>
        </w:rPr>
        <w:t>m</w:t>
      </w:r>
      <w:r w:rsidRPr="00C050B2">
        <w:rPr>
          <w:rFonts w:eastAsia="Arial" w:cs="Arial"/>
          <w:i/>
          <w:spacing w:val="1"/>
          <w:szCs w:val="20"/>
        </w:rPr>
        <w:t>en</w:t>
      </w:r>
      <w:r w:rsidRPr="00C050B2">
        <w:rPr>
          <w:rFonts w:eastAsia="Arial" w:cs="Arial"/>
          <w:i/>
          <w:spacing w:val="-2"/>
          <w:szCs w:val="20"/>
        </w:rPr>
        <w:t>t</w:t>
      </w:r>
      <w:r w:rsidRPr="00C050B2">
        <w:rPr>
          <w:rFonts w:eastAsia="Arial" w:cs="Arial"/>
          <w:i/>
          <w:szCs w:val="20"/>
        </w:rPr>
        <w:t>s</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ho</w:t>
      </w:r>
      <w:r w:rsidRPr="00C050B2">
        <w:rPr>
          <w:rFonts w:eastAsia="Arial" w:cs="Arial"/>
          <w:i/>
          <w:spacing w:val="-3"/>
          <w:szCs w:val="20"/>
        </w:rPr>
        <w:t>u</w:t>
      </w:r>
      <w:r w:rsidRPr="00C050B2">
        <w:rPr>
          <w:rFonts w:eastAsia="Arial" w:cs="Arial"/>
          <w:i/>
          <w:spacing w:val="1"/>
          <w:szCs w:val="20"/>
        </w:rPr>
        <w:t>l</w:t>
      </w:r>
      <w:r w:rsidRPr="00C050B2">
        <w:rPr>
          <w:rFonts w:eastAsia="Arial" w:cs="Arial"/>
          <w:i/>
          <w:szCs w:val="20"/>
        </w:rPr>
        <w:t xml:space="preserve">d </w:t>
      </w:r>
      <w:r w:rsidRPr="00C050B2">
        <w:rPr>
          <w:rFonts w:eastAsia="Arial" w:cs="Arial"/>
          <w:i/>
          <w:spacing w:val="1"/>
          <w:szCs w:val="20"/>
        </w:rPr>
        <w:t>b</w:t>
      </w:r>
      <w:r w:rsidRPr="00C050B2">
        <w:rPr>
          <w:rFonts w:eastAsia="Arial" w:cs="Arial"/>
          <w:i/>
          <w:szCs w:val="20"/>
        </w:rPr>
        <w:t xml:space="preserve">e </w:t>
      </w:r>
      <w:r w:rsidRPr="00C050B2">
        <w:rPr>
          <w:rFonts w:eastAsia="Arial" w:cs="Arial"/>
          <w:i/>
          <w:spacing w:val="-3"/>
          <w:szCs w:val="20"/>
        </w:rPr>
        <w:t>i</w:t>
      </w:r>
      <w:r w:rsidRPr="00C050B2">
        <w:rPr>
          <w:rFonts w:eastAsia="Arial" w:cs="Arial"/>
          <w:i/>
          <w:spacing w:val="1"/>
          <w:szCs w:val="20"/>
        </w:rPr>
        <w:t>n</w:t>
      </w:r>
      <w:r w:rsidRPr="00C050B2">
        <w:rPr>
          <w:rFonts w:eastAsia="Arial" w:cs="Arial"/>
          <w:i/>
          <w:szCs w:val="20"/>
        </w:rPr>
        <w:t>c</w:t>
      </w:r>
      <w:r w:rsidRPr="00C050B2">
        <w:rPr>
          <w:rFonts w:eastAsia="Arial" w:cs="Arial"/>
          <w:i/>
          <w:spacing w:val="1"/>
          <w:szCs w:val="20"/>
        </w:rPr>
        <w:t>l</w:t>
      </w:r>
      <w:r w:rsidRPr="00C050B2">
        <w:rPr>
          <w:rFonts w:eastAsia="Arial" w:cs="Arial"/>
          <w:i/>
          <w:spacing w:val="-3"/>
          <w:szCs w:val="20"/>
        </w:rPr>
        <w:t>u</w:t>
      </w:r>
      <w:r w:rsidRPr="00C050B2">
        <w:rPr>
          <w:rFonts w:eastAsia="Arial" w:cs="Arial"/>
          <w:i/>
          <w:spacing w:val="1"/>
          <w:szCs w:val="20"/>
        </w:rPr>
        <w:t>ded</w:t>
      </w:r>
      <w:r w:rsidRPr="00C050B2">
        <w:rPr>
          <w:rFonts w:eastAsia="Arial" w:cs="Arial"/>
          <w:i/>
          <w:spacing w:val="-2"/>
          <w:szCs w:val="20"/>
        </w:rPr>
        <w:t>.</w:t>
      </w:r>
      <w:r w:rsidRPr="00C050B2">
        <w:rPr>
          <w:rFonts w:eastAsia="Arial" w:cs="Arial"/>
          <w:i/>
          <w:szCs w:val="20"/>
        </w:rPr>
        <w:t>&gt;</w:t>
      </w:r>
    </w:p>
    <w:p w14:paraId="4E23E526" w14:textId="77777777" w:rsidR="00C1793C" w:rsidRPr="00C050B2" w:rsidRDefault="00C1793C" w:rsidP="009D675B">
      <w:pPr>
        <w:pStyle w:val="Sch2"/>
        <w:numPr>
          <w:ilvl w:val="3"/>
          <w:numId w:val="56"/>
        </w:numPr>
        <w:rPr>
          <w:rFonts w:eastAsia="Arial" w:cs="Arial"/>
          <w:szCs w:val="20"/>
        </w:rPr>
      </w:pPr>
      <w:r w:rsidRPr="00C050B2">
        <w:rPr>
          <w:rFonts w:eastAsia="Verdana"/>
        </w:rPr>
        <w:t>Locations</w:t>
      </w:r>
    </w:p>
    <w:p w14:paraId="521AAEDB" w14:textId="77777777" w:rsidR="00C1793C" w:rsidRPr="00C050B2" w:rsidRDefault="00C1793C" w:rsidP="00C1793C">
      <w:pPr>
        <w:ind w:left="861" w:right="443"/>
        <w:rPr>
          <w:rFonts w:eastAsia="Arial" w:cs="Arial"/>
          <w:szCs w:val="20"/>
        </w:rPr>
      </w:pPr>
      <w:r w:rsidRPr="00C050B2">
        <w:rPr>
          <w:rFonts w:eastAsia="Arial" w:cs="Arial"/>
          <w:i/>
          <w:szCs w:val="20"/>
        </w:rPr>
        <w:t>&lt;</w:t>
      </w:r>
      <w:r w:rsidRPr="00C050B2">
        <w:rPr>
          <w:rFonts w:eastAsia="Arial" w:cs="Arial"/>
          <w:i/>
          <w:spacing w:val="3"/>
          <w:szCs w:val="20"/>
        </w:rPr>
        <w:t>W</w:t>
      </w:r>
      <w:r w:rsidRPr="00C050B2">
        <w:rPr>
          <w:rFonts w:eastAsia="Arial" w:cs="Arial"/>
          <w:i/>
          <w:spacing w:val="1"/>
          <w:szCs w:val="20"/>
        </w:rPr>
        <w:t>he</w:t>
      </w:r>
      <w:r w:rsidRPr="00C050B2">
        <w:rPr>
          <w:rFonts w:eastAsia="Arial" w:cs="Arial"/>
          <w:i/>
          <w:spacing w:val="-5"/>
          <w:szCs w:val="20"/>
        </w:rPr>
        <w:t>r</w:t>
      </w:r>
      <w:r w:rsidRPr="00C050B2">
        <w:rPr>
          <w:rFonts w:eastAsia="Arial" w:cs="Arial"/>
          <w:i/>
          <w:szCs w:val="20"/>
        </w:rPr>
        <w:t xml:space="preserve">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da</w:t>
      </w:r>
      <w:r w:rsidRPr="00C050B2">
        <w:rPr>
          <w:rFonts w:eastAsia="Arial" w:cs="Arial"/>
          <w:i/>
          <w:spacing w:val="-2"/>
          <w:szCs w:val="20"/>
        </w:rPr>
        <w:t>t</w:t>
      </w:r>
      <w:r w:rsidRPr="00C050B2">
        <w:rPr>
          <w:rFonts w:eastAsia="Arial" w:cs="Arial"/>
          <w:i/>
          <w:szCs w:val="20"/>
        </w:rPr>
        <w:t xml:space="preserve">a </w:t>
      </w:r>
      <w:r w:rsidRPr="00C050B2">
        <w:rPr>
          <w:rFonts w:eastAsia="Arial" w:cs="Arial"/>
          <w:i/>
          <w:spacing w:val="1"/>
          <w:szCs w:val="20"/>
        </w:rPr>
        <w:t>a</w:t>
      </w:r>
      <w:r w:rsidRPr="00C050B2">
        <w:rPr>
          <w:rFonts w:eastAsia="Arial" w:cs="Arial"/>
          <w:i/>
          <w:szCs w:val="20"/>
        </w:rPr>
        <w:t>ss</w:t>
      </w:r>
      <w:r w:rsidRPr="00C050B2">
        <w:rPr>
          <w:rFonts w:eastAsia="Arial" w:cs="Arial"/>
          <w:i/>
          <w:spacing w:val="1"/>
          <w:szCs w:val="20"/>
        </w:rPr>
        <w:t>e</w:t>
      </w:r>
      <w:r w:rsidRPr="00C050B2">
        <w:rPr>
          <w:rFonts w:eastAsia="Arial" w:cs="Arial"/>
          <w:i/>
          <w:spacing w:val="-2"/>
          <w:szCs w:val="20"/>
        </w:rPr>
        <w:t>t</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a</w:t>
      </w:r>
      <w:r w:rsidRPr="00C050B2">
        <w:rPr>
          <w:rFonts w:eastAsia="Arial" w:cs="Arial"/>
          <w:i/>
          <w:szCs w:val="20"/>
        </w:rPr>
        <w:t>re s</w:t>
      </w:r>
      <w:r w:rsidRPr="00C050B2">
        <w:rPr>
          <w:rFonts w:eastAsia="Arial" w:cs="Arial"/>
          <w:i/>
          <w:spacing w:val="-2"/>
          <w:szCs w:val="20"/>
        </w:rPr>
        <w:t>t</w:t>
      </w:r>
      <w:r w:rsidRPr="00C050B2">
        <w:rPr>
          <w:rFonts w:eastAsia="Arial" w:cs="Arial"/>
          <w:i/>
          <w:spacing w:val="1"/>
          <w:szCs w:val="20"/>
        </w:rPr>
        <w:t>o</w:t>
      </w:r>
      <w:r w:rsidRPr="00C050B2">
        <w:rPr>
          <w:rFonts w:eastAsia="Arial" w:cs="Arial"/>
          <w:i/>
          <w:szCs w:val="20"/>
        </w:rPr>
        <w:t>r</w:t>
      </w:r>
      <w:r w:rsidRPr="00C050B2">
        <w:rPr>
          <w:rFonts w:eastAsia="Arial" w:cs="Arial"/>
          <w:i/>
          <w:spacing w:val="1"/>
          <w:szCs w:val="20"/>
        </w:rPr>
        <w:t>e</w:t>
      </w:r>
      <w:r w:rsidRPr="00C050B2">
        <w:rPr>
          <w:rFonts w:eastAsia="Arial" w:cs="Arial"/>
          <w:i/>
          <w:szCs w:val="20"/>
        </w:rPr>
        <w:t xml:space="preserve">d </w:t>
      </w:r>
      <w:r w:rsidRPr="00C050B2">
        <w:rPr>
          <w:rFonts w:eastAsia="Arial" w:cs="Arial"/>
          <w:i/>
          <w:spacing w:val="-3"/>
          <w:szCs w:val="20"/>
        </w:rPr>
        <w:t>a</w:t>
      </w:r>
      <w:r w:rsidRPr="00C050B2">
        <w:rPr>
          <w:rFonts w:eastAsia="Arial" w:cs="Arial"/>
          <w:i/>
          <w:spacing w:val="1"/>
          <w:szCs w:val="20"/>
        </w:rPr>
        <w:t>n</w:t>
      </w:r>
      <w:r w:rsidRPr="00C050B2">
        <w:rPr>
          <w:rFonts w:eastAsia="Arial" w:cs="Arial"/>
          <w:i/>
          <w:szCs w:val="20"/>
        </w:rPr>
        <w:t>d m</w:t>
      </w:r>
      <w:r w:rsidRPr="00C050B2">
        <w:rPr>
          <w:rFonts w:eastAsia="Arial" w:cs="Arial"/>
          <w:i/>
          <w:spacing w:val="1"/>
          <w:szCs w:val="20"/>
        </w:rPr>
        <w:t>an</w:t>
      </w:r>
      <w:r w:rsidRPr="00C050B2">
        <w:rPr>
          <w:rFonts w:eastAsia="Arial" w:cs="Arial"/>
          <w:i/>
          <w:spacing w:val="-3"/>
          <w:szCs w:val="20"/>
        </w:rPr>
        <w:t>a</w:t>
      </w:r>
      <w:r w:rsidRPr="00C050B2">
        <w:rPr>
          <w:rFonts w:eastAsia="Arial" w:cs="Arial"/>
          <w:i/>
          <w:spacing w:val="1"/>
          <w:szCs w:val="20"/>
        </w:rPr>
        <w:t>g</w:t>
      </w:r>
      <w:r w:rsidRPr="00C050B2">
        <w:rPr>
          <w:rFonts w:eastAsia="Arial" w:cs="Arial"/>
          <w:i/>
          <w:spacing w:val="-3"/>
          <w:szCs w:val="20"/>
        </w:rPr>
        <w:t>e</w:t>
      </w:r>
      <w:r w:rsidRPr="00C050B2">
        <w:rPr>
          <w:rFonts w:eastAsia="Arial" w:cs="Arial"/>
          <w:i/>
          <w:szCs w:val="20"/>
        </w:rPr>
        <w:t xml:space="preserve">d </w:t>
      </w:r>
      <w:r w:rsidRPr="00C050B2">
        <w:rPr>
          <w:rFonts w:eastAsia="Arial" w:cs="Arial"/>
          <w:i/>
          <w:spacing w:val="-2"/>
          <w:szCs w:val="20"/>
        </w:rPr>
        <w:t>f</w:t>
      </w:r>
      <w:r w:rsidRPr="00C050B2">
        <w:rPr>
          <w:rFonts w:eastAsia="Arial" w:cs="Arial"/>
          <w:i/>
          <w:szCs w:val="20"/>
        </w:rPr>
        <w:t>r</w:t>
      </w:r>
      <w:r w:rsidRPr="00C050B2">
        <w:rPr>
          <w:rFonts w:eastAsia="Arial" w:cs="Arial"/>
          <w:i/>
          <w:spacing w:val="1"/>
          <w:szCs w:val="20"/>
        </w:rPr>
        <w:t>o</w:t>
      </w:r>
      <w:r w:rsidRPr="00C050B2">
        <w:rPr>
          <w:rFonts w:eastAsia="Arial" w:cs="Arial"/>
          <w:i/>
          <w:szCs w:val="20"/>
        </w:rPr>
        <w:t>m.</w:t>
      </w:r>
      <w:r w:rsidRPr="00C050B2">
        <w:rPr>
          <w:rFonts w:eastAsia="Arial" w:cs="Arial"/>
          <w:i/>
          <w:spacing w:val="-3"/>
          <w:szCs w:val="20"/>
        </w:rPr>
        <w:t xml:space="preserve"> </w:t>
      </w:r>
      <w:r w:rsidRPr="00C050B2">
        <w:rPr>
          <w:rFonts w:eastAsia="Arial" w:cs="Arial"/>
          <w:i/>
          <w:spacing w:val="-2"/>
          <w:szCs w:val="20"/>
        </w:rPr>
        <w:t>I</w:t>
      </w:r>
      <w:r w:rsidRPr="00C050B2">
        <w:rPr>
          <w:rFonts w:eastAsia="Arial" w:cs="Arial"/>
          <w:i/>
          <w:szCs w:val="20"/>
        </w:rPr>
        <w:t>f</w:t>
      </w:r>
      <w:r w:rsidRPr="00C050B2">
        <w:rPr>
          <w:rFonts w:eastAsia="Arial" w:cs="Arial"/>
          <w:i/>
          <w:spacing w:val="2"/>
          <w:szCs w:val="20"/>
        </w:rPr>
        <w:t xml:space="preserve"> </w:t>
      </w:r>
      <w:r w:rsidRPr="00C050B2">
        <w:rPr>
          <w:rFonts w:eastAsia="Arial" w:cs="Arial"/>
          <w:i/>
          <w:spacing w:val="1"/>
          <w:szCs w:val="20"/>
        </w:rPr>
        <w:t>an</w:t>
      </w:r>
      <w:r w:rsidRPr="00C050B2">
        <w:rPr>
          <w:rFonts w:eastAsia="Arial" w:cs="Arial"/>
          <w:i/>
          <w:szCs w:val="20"/>
        </w:rPr>
        <w:t>y</w:t>
      </w:r>
      <w:r w:rsidRPr="00C050B2">
        <w:rPr>
          <w:rFonts w:eastAsia="Arial" w:cs="Arial"/>
          <w:i/>
          <w:spacing w:val="-1"/>
          <w:szCs w:val="20"/>
        </w:rPr>
        <w:t xml:space="preserve"> </w:t>
      </w:r>
      <w:r w:rsidRPr="00C050B2">
        <w:rPr>
          <w:rFonts w:eastAsia="Arial" w:cs="Arial"/>
          <w:i/>
          <w:spacing w:val="1"/>
          <w:szCs w:val="20"/>
        </w:rPr>
        <w:t>lo</w:t>
      </w:r>
      <w:r w:rsidRPr="00C050B2">
        <w:rPr>
          <w:rFonts w:eastAsia="Arial" w:cs="Arial"/>
          <w:i/>
          <w:szCs w:val="20"/>
        </w:rPr>
        <w:t>c</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1"/>
          <w:szCs w:val="20"/>
        </w:rPr>
        <w:t>ion</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h</w:t>
      </w:r>
      <w:r w:rsidRPr="00C050B2">
        <w:rPr>
          <w:rFonts w:eastAsia="Arial" w:cs="Arial"/>
          <w:i/>
          <w:spacing w:val="-3"/>
          <w:szCs w:val="20"/>
        </w:rPr>
        <w:t>o</w:t>
      </w:r>
      <w:r w:rsidRPr="00C050B2">
        <w:rPr>
          <w:rFonts w:eastAsia="Arial" w:cs="Arial"/>
          <w:i/>
          <w:spacing w:val="1"/>
          <w:szCs w:val="20"/>
        </w:rPr>
        <w:t>l</w:t>
      </w:r>
      <w:r w:rsidRPr="00C050B2">
        <w:rPr>
          <w:rFonts w:eastAsia="Arial" w:cs="Arial"/>
          <w:i/>
          <w:szCs w:val="20"/>
        </w:rPr>
        <w:t xml:space="preserve">d </w:t>
      </w:r>
      <w:r w:rsidRPr="00C050B2">
        <w:rPr>
          <w:rFonts w:eastAsia="Arial" w:cs="Arial"/>
          <w:i/>
          <w:spacing w:val="1"/>
          <w:szCs w:val="20"/>
        </w:rPr>
        <w:t>ind</w:t>
      </w:r>
      <w:r w:rsidRPr="00C050B2">
        <w:rPr>
          <w:rFonts w:eastAsia="Arial" w:cs="Arial"/>
          <w:i/>
          <w:spacing w:val="-3"/>
          <w:szCs w:val="20"/>
        </w:rPr>
        <w:t>e</w:t>
      </w:r>
      <w:r w:rsidRPr="00C050B2">
        <w:rPr>
          <w:rFonts w:eastAsia="Arial" w:cs="Arial"/>
          <w:i/>
          <w:spacing w:val="1"/>
          <w:szCs w:val="20"/>
        </w:rPr>
        <w:t>pen</w:t>
      </w:r>
      <w:r w:rsidRPr="00C050B2">
        <w:rPr>
          <w:rFonts w:eastAsia="Arial" w:cs="Arial"/>
          <w:i/>
          <w:spacing w:val="-3"/>
          <w:szCs w:val="20"/>
        </w:rPr>
        <w:t>d</w:t>
      </w:r>
      <w:r w:rsidRPr="00C050B2">
        <w:rPr>
          <w:rFonts w:eastAsia="Arial" w:cs="Arial"/>
          <w:i/>
          <w:spacing w:val="1"/>
          <w:szCs w:val="20"/>
        </w:rPr>
        <w:t>en</w:t>
      </w:r>
      <w:r w:rsidRPr="00C050B2">
        <w:rPr>
          <w:rFonts w:eastAsia="Arial" w:cs="Arial"/>
          <w:i/>
          <w:szCs w:val="20"/>
        </w:rPr>
        <w:t>t</w:t>
      </w:r>
      <w:r w:rsidRPr="00C050B2">
        <w:rPr>
          <w:rFonts w:eastAsia="Arial" w:cs="Arial"/>
          <w:i/>
          <w:spacing w:val="-3"/>
          <w:szCs w:val="20"/>
        </w:rPr>
        <w:t xml:space="preserve"> </w:t>
      </w:r>
      <w:r w:rsidRPr="00C050B2">
        <w:rPr>
          <w:rFonts w:eastAsia="Arial" w:cs="Arial"/>
          <w:i/>
          <w:szCs w:val="20"/>
        </w:rPr>
        <w:t>s</w:t>
      </w:r>
      <w:r w:rsidRPr="00C050B2">
        <w:rPr>
          <w:rFonts w:eastAsia="Arial" w:cs="Arial"/>
          <w:i/>
          <w:spacing w:val="1"/>
          <w:szCs w:val="20"/>
        </w:rPr>
        <w:t>e</w:t>
      </w:r>
      <w:r w:rsidRPr="00C050B2">
        <w:rPr>
          <w:rFonts w:eastAsia="Arial" w:cs="Arial"/>
          <w:i/>
          <w:szCs w:val="20"/>
        </w:rPr>
        <w:t>c</w:t>
      </w:r>
      <w:r w:rsidRPr="00C050B2">
        <w:rPr>
          <w:rFonts w:eastAsia="Arial" w:cs="Arial"/>
          <w:i/>
          <w:spacing w:val="1"/>
          <w:szCs w:val="20"/>
        </w:rPr>
        <w:t>u</w:t>
      </w:r>
      <w:r w:rsidRPr="00C050B2">
        <w:rPr>
          <w:rFonts w:eastAsia="Arial" w:cs="Arial"/>
          <w:i/>
          <w:szCs w:val="20"/>
        </w:rPr>
        <w:t>r</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y</w:t>
      </w:r>
      <w:r w:rsidRPr="00C050B2">
        <w:rPr>
          <w:rFonts w:eastAsia="Arial" w:cs="Arial"/>
          <w:i/>
          <w:spacing w:val="-1"/>
          <w:szCs w:val="20"/>
        </w:rPr>
        <w:t xml:space="preserve"> </w:t>
      </w:r>
      <w:r w:rsidRPr="00C050B2">
        <w:rPr>
          <w:rFonts w:eastAsia="Arial" w:cs="Arial"/>
          <w:i/>
          <w:szCs w:val="20"/>
        </w:rPr>
        <w:t>c</w:t>
      </w:r>
      <w:r w:rsidRPr="00C050B2">
        <w:rPr>
          <w:rFonts w:eastAsia="Arial" w:cs="Arial"/>
          <w:i/>
          <w:spacing w:val="1"/>
          <w:szCs w:val="20"/>
        </w:rPr>
        <w:t>e</w:t>
      </w:r>
      <w:r w:rsidRPr="00C050B2">
        <w:rPr>
          <w:rFonts w:eastAsia="Arial" w:cs="Arial"/>
          <w:i/>
          <w:szCs w:val="20"/>
        </w:rPr>
        <w:t>r</w:t>
      </w:r>
      <w:r w:rsidRPr="00C050B2">
        <w:rPr>
          <w:rFonts w:eastAsia="Arial" w:cs="Arial"/>
          <w:i/>
          <w:spacing w:val="-2"/>
          <w:szCs w:val="20"/>
        </w:rPr>
        <w:t>t</w:t>
      </w:r>
      <w:r w:rsidRPr="00C050B2">
        <w:rPr>
          <w:rFonts w:eastAsia="Arial" w:cs="Arial"/>
          <w:i/>
          <w:spacing w:val="1"/>
          <w:szCs w:val="20"/>
        </w:rPr>
        <w:t>i</w:t>
      </w:r>
      <w:r w:rsidRPr="00C050B2">
        <w:rPr>
          <w:rFonts w:eastAsia="Arial" w:cs="Arial"/>
          <w:i/>
          <w:spacing w:val="-2"/>
          <w:szCs w:val="20"/>
        </w:rPr>
        <w:t>f</w:t>
      </w:r>
      <w:r w:rsidRPr="00C050B2">
        <w:rPr>
          <w:rFonts w:eastAsia="Arial" w:cs="Arial"/>
          <w:i/>
          <w:spacing w:val="1"/>
          <w:szCs w:val="20"/>
        </w:rPr>
        <w:t>i</w:t>
      </w:r>
      <w:r w:rsidRPr="00C050B2">
        <w:rPr>
          <w:rFonts w:eastAsia="Arial" w:cs="Arial"/>
          <w:i/>
          <w:szCs w:val="20"/>
        </w:rPr>
        <w:t>c</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3"/>
          <w:szCs w:val="20"/>
        </w:rPr>
        <w:t>i</w:t>
      </w:r>
      <w:r w:rsidRPr="00C050B2">
        <w:rPr>
          <w:rFonts w:eastAsia="Arial" w:cs="Arial"/>
          <w:i/>
          <w:spacing w:val="1"/>
          <w:szCs w:val="20"/>
        </w:rPr>
        <w:t>on</w:t>
      </w:r>
      <w:r w:rsidRPr="00C050B2">
        <w:rPr>
          <w:rFonts w:eastAsia="Arial" w:cs="Arial"/>
          <w:i/>
          <w:szCs w:val="20"/>
        </w:rPr>
        <w:t>s</w:t>
      </w:r>
      <w:r w:rsidRPr="00C050B2">
        <w:rPr>
          <w:rFonts w:eastAsia="Arial" w:cs="Arial"/>
          <w:i/>
          <w:spacing w:val="-1"/>
          <w:szCs w:val="20"/>
        </w:rPr>
        <w:t xml:space="preserve"> </w:t>
      </w:r>
      <w:r w:rsidRPr="00C050B2">
        <w:rPr>
          <w:rFonts w:eastAsia="Arial" w:cs="Arial"/>
          <w:i/>
          <w:szCs w:val="20"/>
        </w:rPr>
        <w:t>(</w:t>
      </w:r>
      <w:proofErr w:type="gramStart"/>
      <w:r w:rsidRPr="00C050B2">
        <w:rPr>
          <w:rFonts w:eastAsia="Arial" w:cs="Arial"/>
          <w:i/>
          <w:spacing w:val="1"/>
          <w:szCs w:val="20"/>
        </w:rPr>
        <w:t>e</w:t>
      </w:r>
      <w:r w:rsidRPr="00C050B2">
        <w:rPr>
          <w:rFonts w:eastAsia="Arial" w:cs="Arial"/>
          <w:i/>
          <w:spacing w:val="-2"/>
          <w:szCs w:val="20"/>
        </w:rPr>
        <w:t>.</w:t>
      </w:r>
      <w:r w:rsidRPr="00C050B2">
        <w:rPr>
          <w:rFonts w:eastAsia="Arial" w:cs="Arial"/>
          <w:i/>
          <w:spacing w:val="1"/>
          <w:szCs w:val="20"/>
        </w:rPr>
        <w:t>g</w:t>
      </w:r>
      <w:r w:rsidRPr="00C050B2">
        <w:rPr>
          <w:rFonts w:eastAsia="Arial" w:cs="Arial"/>
          <w:i/>
          <w:szCs w:val="20"/>
        </w:rPr>
        <w:t>.</w:t>
      </w:r>
      <w:proofErr w:type="gramEnd"/>
      <w:r w:rsidRPr="00C050B2">
        <w:rPr>
          <w:rFonts w:eastAsia="Arial" w:cs="Arial"/>
          <w:i/>
          <w:spacing w:val="-3"/>
          <w:szCs w:val="20"/>
        </w:rPr>
        <w:t xml:space="preserve"> </w:t>
      </w:r>
      <w:r w:rsidRPr="00C050B2">
        <w:rPr>
          <w:rFonts w:eastAsia="Arial" w:cs="Arial"/>
          <w:i/>
          <w:spacing w:val="-2"/>
          <w:szCs w:val="20"/>
        </w:rPr>
        <w:t>I</w:t>
      </w:r>
      <w:r w:rsidRPr="00C050B2">
        <w:rPr>
          <w:rFonts w:eastAsia="Arial" w:cs="Arial"/>
          <w:i/>
          <w:szCs w:val="20"/>
        </w:rPr>
        <w:t>S</w:t>
      </w:r>
      <w:r w:rsidRPr="00C050B2">
        <w:rPr>
          <w:rFonts w:eastAsia="Arial" w:cs="Arial"/>
          <w:i/>
          <w:spacing w:val="-2"/>
          <w:szCs w:val="20"/>
        </w:rPr>
        <w:t>O</w:t>
      </w:r>
      <w:r w:rsidRPr="00C050B2">
        <w:rPr>
          <w:rFonts w:eastAsia="Arial" w:cs="Arial"/>
          <w:i/>
          <w:spacing w:val="1"/>
          <w:szCs w:val="20"/>
        </w:rPr>
        <w:t>27001</w:t>
      </w:r>
      <w:r w:rsidRPr="00C050B2">
        <w:rPr>
          <w:rFonts w:eastAsia="Arial" w:cs="Arial"/>
          <w:i/>
          <w:spacing w:val="-2"/>
          <w:szCs w:val="20"/>
        </w:rPr>
        <w:t>:</w:t>
      </w:r>
      <w:r w:rsidRPr="00C050B2">
        <w:rPr>
          <w:rFonts w:eastAsia="Arial" w:cs="Arial"/>
          <w:i/>
          <w:spacing w:val="1"/>
          <w:szCs w:val="20"/>
        </w:rPr>
        <w:t>201</w:t>
      </w:r>
      <w:r w:rsidRPr="00C050B2">
        <w:rPr>
          <w:rFonts w:eastAsia="Arial" w:cs="Arial"/>
          <w:i/>
          <w:spacing w:val="-3"/>
          <w:szCs w:val="20"/>
        </w:rPr>
        <w:t>3</w:t>
      </w:r>
      <w:r w:rsidRPr="00C050B2">
        <w:rPr>
          <w:rFonts w:eastAsia="Arial" w:cs="Arial"/>
          <w:i/>
          <w:szCs w:val="20"/>
        </w:rPr>
        <w:t>)</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pacing w:val="1"/>
          <w:szCs w:val="20"/>
        </w:rPr>
        <w:t>he</w:t>
      </w:r>
      <w:r w:rsidRPr="00C050B2">
        <w:rPr>
          <w:rFonts w:eastAsia="Arial" w:cs="Arial"/>
          <w:i/>
          <w:szCs w:val="20"/>
        </w:rPr>
        <w:t xml:space="preserve">se </w:t>
      </w:r>
      <w:r w:rsidRPr="00C050B2">
        <w:rPr>
          <w:rFonts w:eastAsia="Arial" w:cs="Arial"/>
          <w:i/>
          <w:spacing w:val="7"/>
          <w:szCs w:val="20"/>
        </w:rPr>
        <w:t>s</w:t>
      </w:r>
      <w:r w:rsidRPr="00C050B2">
        <w:rPr>
          <w:rFonts w:eastAsia="Arial" w:cs="Arial"/>
          <w:i/>
          <w:spacing w:val="1"/>
          <w:szCs w:val="20"/>
        </w:rPr>
        <w:t>ho</w:t>
      </w:r>
      <w:r w:rsidRPr="00C050B2">
        <w:rPr>
          <w:rFonts w:eastAsia="Arial" w:cs="Arial"/>
          <w:i/>
          <w:spacing w:val="-3"/>
          <w:szCs w:val="20"/>
        </w:rPr>
        <w:t>u</w:t>
      </w:r>
      <w:r w:rsidRPr="00C050B2">
        <w:rPr>
          <w:rFonts w:eastAsia="Arial" w:cs="Arial"/>
          <w:i/>
          <w:spacing w:val="1"/>
          <w:szCs w:val="20"/>
        </w:rPr>
        <w:t>l</w:t>
      </w:r>
      <w:r w:rsidRPr="00C050B2">
        <w:rPr>
          <w:rFonts w:eastAsia="Arial" w:cs="Arial"/>
          <w:i/>
          <w:szCs w:val="20"/>
        </w:rPr>
        <w:t xml:space="preserve">d </w:t>
      </w:r>
      <w:r w:rsidRPr="00C050B2">
        <w:rPr>
          <w:rFonts w:eastAsia="Arial" w:cs="Arial"/>
          <w:i/>
          <w:spacing w:val="1"/>
          <w:szCs w:val="20"/>
        </w:rPr>
        <w:t>b</w:t>
      </w:r>
      <w:r w:rsidRPr="00C050B2">
        <w:rPr>
          <w:rFonts w:eastAsia="Arial" w:cs="Arial"/>
          <w:i/>
          <w:szCs w:val="20"/>
        </w:rPr>
        <w:t xml:space="preserve">e </w:t>
      </w:r>
      <w:r w:rsidRPr="00C050B2">
        <w:rPr>
          <w:rFonts w:eastAsia="Arial" w:cs="Arial"/>
          <w:i/>
          <w:spacing w:val="1"/>
          <w:szCs w:val="20"/>
        </w:rPr>
        <w:t>no</w:t>
      </w:r>
      <w:r w:rsidRPr="00C050B2">
        <w:rPr>
          <w:rFonts w:eastAsia="Arial" w:cs="Arial"/>
          <w:i/>
          <w:spacing w:val="-2"/>
          <w:szCs w:val="20"/>
        </w:rPr>
        <w:t>t</w:t>
      </w:r>
      <w:r w:rsidRPr="00C050B2">
        <w:rPr>
          <w:rFonts w:eastAsia="Arial" w:cs="Arial"/>
          <w:i/>
          <w:spacing w:val="1"/>
          <w:szCs w:val="20"/>
        </w:rPr>
        <w:t>ed</w:t>
      </w:r>
      <w:r w:rsidRPr="00C050B2">
        <w:rPr>
          <w:rFonts w:eastAsia="Arial" w:cs="Arial"/>
          <w:i/>
          <w:szCs w:val="20"/>
        </w:rPr>
        <w:t>.</w:t>
      </w:r>
      <w:r w:rsidRPr="00C050B2">
        <w:rPr>
          <w:rFonts w:eastAsia="Arial" w:cs="Arial"/>
          <w:i/>
          <w:spacing w:val="61"/>
          <w:szCs w:val="20"/>
        </w:rPr>
        <w:t xml:space="preserve"> </w:t>
      </w:r>
      <w:r w:rsidRPr="00C050B2">
        <w:rPr>
          <w:rFonts w:eastAsia="Arial" w:cs="Arial"/>
          <w:i/>
          <w:szCs w:val="20"/>
        </w:rPr>
        <w:t>A</w:t>
      </w:r>
      <w:r w:rsidRPr="00C050B2">
        <w:rPr>
          <w:rFonts w:eastAsia="Arial" w:cs="Arial"/>
          <w:i/>
          <w:spacing w:val="1"/>
          <w:szCs w:val="20"/>
        </w:rPr>
        <w:t>n</w:t>
      </w:r>
      <w:r w:rsidRPr="00C050B2">
        <w:rPr>
          <w:rFonts w:eastAsia="Arial" w:cs="Arial"/>
          <w:i/>
          <w:szCs w:val="20"/>
        </w:rPr>
        <w:t>y</w:t>
      </w:r>
      <w:r w:rsidRPr="00C050B2">
        <w:rPr>
          <w:rFonts w:eastAsia="Arial" w:cs="Arial"/>
          <w:i/>
          <w:spacing w:val="-1"/>
          <w:szCs w:val="20"/>
        </w:rPr>
        <w:t xml:space="preserve"> </w:t>
      </w:r>
      <w:proofErr w:type="gramStart"/>
      <w:r w:rsidRPr="00C050B2">
        <w:rPr>
          <w:rFonts w:eastAsia="Arial" w:cs="Arial"/>
          <w:i/>
          <w:spacing w:val="1"/>
          <w:szCs w:val="20"/>
        </w:rPr>
        <w:t>o</w:t>
      </w:r>
      <w:r w:rsidRPr="00C050B2">
        <w:rPr>
          <w:rFonts w:eastAsia="Arial" w:cs="Arial"/>
          <w:i/>
          <w:spacing w:val="-2"/>
          <w:szCs w:val="20"/>
        </w:rPr>
        <w:t>f</w:t>
      </w:r>
      <w:r w:rsidRPr="00C050B2">
        <w:rPr>
          <w:rFonts w:eastAsia="Arial" w:cs="Arial"/>
          <w:i/>
          <w:szCs w:val="20"/>
        </w:rPr>
        <w:t>f-s</w:t>
      </w:r>
      <w:r w:rsidRPr="00C050B2">
        <w:rPr>
          <w:rFonts w:eastAsia="Arial" w:cs="Arial"/>
          <w:i/>
          <w:spacing w:val="1"/>
          <w:szCs w:val="20"/>
        </w:rPr>
        <w:t>ho</w:t>
      </w:r>
      <w:r w:rsidRPr="00C050B2">
        <w:rPr>
          <w:rFonts w:eastAsia="Arial" w:cs="Arial"/>
          <w:i/>
          <w:szCs w:val="20"/>
        </w:rPr>
        <w:t>r</w:t>
      </w:r>
      <w:r w:rsidRPr="00C050B2">
        <w:rPr>
          <w:rFonts w:eastAsia="Arial" w:cs="Arial"/>
          <w:i/>
          <w:spacing w:val="1"/>
          <w:szCs w:val="20"/>
        </w:rPr>
        <w:t>in</w:t>
      </w:r>
      <w:r w:rsidRPr="00C050B2">
        <w:rPr>
          <w:rFonts w:eastAsia="Arial" w:cs="Arial"/>
          <w:i/>
          <w:szCs w:val="20"/>
        </w:rPr>
        <w:t>g</w:t>
      </w:r>
      <w:proofErr w:type="gramEnd"/>
      <w:r w:rsidRPr="00C050B2">
        <w:rPr>
          <w:rFonts w:eastAsia="Arial" w:cs="Arial"/>
          <w:i/>
          <w:szCs w:val="20"/>
        </w:rPr>
        <w:t xml:space="preserve"> c</w:t>
      </w:r>
      <w:r w:rsidRPr="00C050B2">
        <w:rPr>
          <w:rFonts w:eastAsia="Arial" w:cs="Arial"/>
          <w:i/>
          <w:spacing w:val="1"/>
          <w:szCs w:val="20"/>
        </w:rPr>
        <w:t>on</w:t>
      </w:r>
      <w:r w:rsidRPr="00C050B2">
        <w:rPr>
          <w:rFonts w:eastAsia="Arial" w:cs="Arial"/>
          <w:i/>
          <w:spacing w:val="-5"/>
          <w:szCs w:val="20"/>
        </w:rPr>
        <w:t>s</w:t>
      </w:r>
      <w:r w:rsidRPr="00C050B2">
        <w:rPr>
          <w:rFonts w:eastAsia="Arial" w:cs="Arial"/>
          <w:i/>
          <w:spacing w:val="1"/>
          <w:szCs w:val="20"/>
        </w:rPr>
        <w:t>ide</w:t>
      </w:r>
      <w:r w:rsidRPr="00C050B2">
        <w:rPr>
          <w:rFonts w:eastAsia="Arial" w:cs="Arial"/>
          <w:i/>
          <w:spacing w:val="-5"/>
          <w:szCs w:val="20"/>
        </w:rPr>
        <w:t>r</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1"/>
          <w:szCs w:val="20"/>
        </w:rPr>
        <w:t>ion</w:t>
      </w:r>
      <w:r w:rsidRPr="00C050B2">
        <w:rPr>
          <w:rFonts w:eastAsia="Arial" w:cs="Arial"/>
          <w:i/>
          <w:szCs w:val="20"/>
        </w:rPr>
        <w:t>s</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h</w:t>
      </w:r>
      <w:r w:rsidRPr="00C050B2">
        <w:rPr>
          <w:rFonts w:eastAsia="Arial" w:cs="Arial"/>
          <w:i/>
          <w:spacing w:val="-3"/>
          <w:szCs w:val="20"/>
        </w:rPr>
        <w:t>o</w:t>
      </w:r>
      <w:r w:rsidRPr="00C050B2">
        <w:rPr>
          <w:rFonts w:eastAsia="Arial" w:cs="Arial"/>
          <w:i/>
          <w:spacing w:val="1"/>
          <w:szCs w:val="20"/>
        </w:rPr>
        <w:t>ul</w:t>
      </w:r>
      <w:r w:rsidRPr="00C050B2">
        <w:rPr>
          <w:rFonts w:eastAsia="Arial" w:cs="Arial"/>
          <w:i/>
          <w:szCs w:val="20"/>
        </w:rPr>
        <w:t xml:space="preserve">d </w:t>
      </w:r>
      <w:r w:rsidRPr="00C050B2">
        <w:rPr>
          <w:rFonts w:eastAsia="Arial" w:cs="Arial"/>
          <w:i/>
          <w:spacing w:val="-3"/>
          <w:szCs w:val="20"/>
        </w:rPr>
        <w:t>b</w:t>
      </w:r>
      <w:r w:rsidRPr="00C050B2">
        <w:rPr>
          <w:rFonts w:eastAsia="Arial" w:cs="Arial"/>
          <w:i/>
          <w:szCs w:val="20"/>
        </w:rPr>
        <w:t xml:space="preserve">e </w:t>
      </w:r>
      <w:r w:rsidRPr="00C050B2">
        <w:rPr>
          <w:rFonts w:eastAsia="Arial" w:cs="Arial"/>
          <w:i/>
          <w:spacing w:val="1"/>
          <w:szCs w:val="20"/>
        </w:rPr>
        <w:t>de</w:t>
      </w:r>
      <w:r w:rsidRPr="00C050B2">
        <w:rPr>
          <w:rFonts w:eastAsia="Arial" w:cs="Arial"/>
          <w:i/>
          <w:spacing w:val="-2"/>
          <w:szCs w:val="20"/>
        </w:rPr>
        <w:t>t</w:t>
      </w:r>
      <w:r w:rsidRPr="00C050B2">
        <w:rPr>
          <w:rFonts w:eastAsia="Arial" w:cs="Arial"/>
          <w:i/>
          <w:spacing w:val="1"/>
          <w:szCs w:val="20"/>
        </w:rPr>
        <w:t>ai</w:t>
      </w:r>
      <w:r w:rsidRPr="00C050B2">
        <w:rPr>
          <w:rFonts w:eastAsia="Arial" w:cs="Arial"/>
          <w:i/>
          <w:spacing w:val="-3"/>
          <w:szCs w:val="20"/>
        </w:rPr>
        <w:t>l</w:t>
      </w:r>
      <w:r w:rsidRPr="00C050B2">
        <w:rPr>
          <w:rFonts w:eastAsia="Arial" w:cs="Arial"/>
          <w:i/>
          <w:spacing w:val="1"/>
          <w:szCs w:val="20"/>
        </w:rPr>
        <w:t>ed</w:t>
      </w:r>
      <w:r w:rsidRPr="00C050B2">
        <w:rPr>
          <w:rFonts w:eastAsia="Arial" w:cs="Arial"/>
          <w:i/>
          <w:spacing w:val="-2"/>
          <w:szCs w:val="20"/>
        </w:rPr>
        <w:t>.</w:t>
      </w:r>
      <w:r w:rsidRPr="00C050B2">
        <w:rPr>
          <w:rFonts w:eastAsia="Arial" w:cs="Arial"/>
          <w:i/>
          <w:szCs w:val="20"/>
        </w:rPr>
        <w:t>&gt;</w:t>
      </w:r>
    </w:p>
    <w:p w14:paraId="64B2EF68" w14:textId="77777777" w:rsidR="00C1793C" w:rsidRPr="00C050B2" w:rsidRDefault="00C1793C" w:rsidP="009D675B">
      <w:pPr>
        <w:pStyle w:val="Sch2"/>
        <w:numPr>
          <w:ilvl w:val="3"/>
          <w:numId w:val="56"/>
        </w:numPr>
        <w:rPr>
          <w:rFonts w:eastAsia="Arial" w:cs="Arial"/>
          <w:szCs w:val="20"/>
        </w:rPr>
      </w:pPr>
      <w:r w:rsidRPr="00C050B2">
        <w:rPr>
          <w:rFonts w:eastAsia="Arial" w:cs="Arial"/>
          <w:spacing w:val="-2"/>
          <w:szCs w:val="20"/>
        </w:rPr>
        <w:t>T</w:t>
      </w:r>
      <w:r w:rsidRPr="00C050B2">
        <w:rPr>
          <w:rFonts w:eastAsia="Arial" w:cs="Arial"/>
          <w:spacing w:val="1"/>
          <w:szCs w:val="20"/>
        </w:rPr>
        <w:t>e</w:t>
      </w:r>
      <w:r w:rsidRPr="00C050B2">
        <w:rPr>
          <w:rFonts w:eastAsia="Arial" w:cs="Arial"/>
          <w:szCs w:val="20"/>
        </w:rPr>
        <w:t>st</w:t>
      </w:r>
      <w:r w:rsidRPr="00C050B2">
        <w:rPr>
          <w:rFonts w:eastAsia="Arial" w:cs="Arial"/>
          <w:spacing w:val="-3"/>
          <w:szCs w:val="20"/>
        </w:rPr>
        <w:t xml:space="preserve"> </w:t>
      </w:r>
      <w:r w:rsidRPr="00C050B2">
        <w:rPr>
          <w:rFonts w:eastAsia="Arial" w:cs="Arial"/>
          <w:spacing w:val="1"/>
          <w:szCs w:val="20"/>
        </w:rPr>
        <w:t>an</w:t>
      </w:r>
      <w:r w:rsidRPr="00C050B2">
        <w:rPr>
          <w:rFonts w:eastAsia="Arial" w:cs="Arial"/>
          <w:szCs w:val="20"/>
        </w:rPr>
        <w:t xml:space="preserve">d </w:t>
      </w:r>
      <w:r w:rsidRPr="00C050B2">
        <w:rPr>
          <w:rFonts w:eastAsia="Verdana"/>
        </w:rPr>
        <w:t>Development</w:t>
      </w:r>
      <w:r w:rsidRPr="00C050B2">
        <w:rPr>
          <w:rFonts w:eastAsia="Arial" w:cs="Arial"/>
          <w:spacing w:val="-3"/>
          <w:szCs w:val="20"/>
        </w:rPr>
        <w:t xml:space="preserve"> </w:t>
      </w:r>
      <w:r w:rsidRPr="00C050B2">
        <w:rPr>
          <w:rFonts w:eastAsia="Arial" w:cs="Arial"/>
          <w:szCs w:val="20"/>
        </w:rPr>
        <w:t>Sys</w:t>
      </w:r>
      <w:r w:rsidRPr="00C050B2">
        <w:rPr>
          <w:rFonts w:eastAsia="Arial" w:cs="Arial"/>
          <w:spacing w:val="-2"/>
          <w:szCs w:val="20"/>
        </w:rPr>
        <w:t>t</w:t>
      </w:r>
      <w:r w:rsidRPr="00C050B2">
        <w:rPr>
          <w:rFonts w:eastAsia="Arial" w:cs="Arial"/>
          <w:spacing w:val="1"/>
          <w:szCs w:val="20"/>
        </w:rPr>
        <w:t>e</w:t>
      </w:r>
      <w:r w:rsidRPr="00C050B2">
        <w:rPr>
          <w:rFonts w:eastAsia="Arial" w:cs="Arial"/>
          <w:szCs w:val="20"/>
        </w:rPr>
        <w:t>ms</w:t>
      </w:r>
    </w:p>
    <w:p w14:paraId="3F975F8B" w14:textId="77777777" w:rsidR="00C1793C" w:rsidRDefault="00C1793C" w:rsidP="00C1793C">
      <w:pPr>
        <w:spacing w:line="260" w:lineRule="exact"/>
        <w:ind w:left="861" w:right="257"/>
        <w:rPr>
          <w:rFonts w:eastAsia="Arial" w:cs="Arial"/>
          <w:i/>
          <w:szCs w:val="20"/>
        </w:rPr>
      </w:pPr>
      <w:r w:rsidRPr="00C050B2">
        <w:rPr>
          <w:rFonts w:eastAsia="Arial" w:cs="Arial"/>
          <w:i/>
          <w:szCs w:val="20"/>
        </w:rPr>
        <w:t>&lt;</w:t>
      </w:r>
      <w:r w:rsidRPr="00C050B2">
        <w:rPr>
          <w:rFonts w:eastAsia="Arial" w:cs="Arial"/>
          <w:i/>
          <w:spacing w:val="-2"/>
          <w:szCs w:val="20"/>
        </w:rPr>
        <w:t>I</w:t>
      </w:r>
      <w:r w:rsidRPr="00C050B2">
        <w:rPr>
          <w:rFonts w:eastAsia="Arial" w:cs="Arial"/>
          <w:i/>
          <w:spacing w:val="1"/>
          <w:szCs w:val="20"/>
        </w:rPr>
        <w:t>n</w:t>
      </w:r>
      <w:r w:rsidRPr="00C050B2">
        <w:rPr>
          <w:rFonts w:eastAsia="Arial" w:cs="Arial"/>
          <w:i/>
          <w:szCs w:val="20"/>
        </w:rPr>
        <w:t>c</w:t>
      </w:r>
      <w:r w:rsidRPr="00C050B2">
        <w:rPr>
          <w:rFonts w:eastAsia="Arial" w:cs="Arial"/>
          <w:i/>
          <w:spacing w:val="1"/>
          <w:szCs w:val="20"/>
        </w:rPr>
        <w:t>lud</w:t>
      </w:r>
      <w:r w:rsidRPr="00C050B2">
        <w:rPr>
          <w:rFonts w:eastAsia="Arial" w:cs="Arial"/>
          <w:i/>
          <w:szCs w:val="20"/>
        </w:rPr>
        <w:t xml:space="preserve">e </w:t>
      </w:r>
      <w:r w:rsidRPr="00C050B2">
        <w:rPr>
          <w:rFonts w:eastAsia="Arial" w:cs="Arial"/>
          <w:i/>
          <w:spacing w:val="1"/>
          <w:szCs w:val="20"/>
        </w:rPr>
        <w:t>in</w:t>
      </w:r>
      <w:r w:rsidRPr="00C050B2">
        <w:rPr>
          <w:rFonts w:eastAsia="Arial" w:cs="Arial"/>
          <w:i/>
          <w:spacing w:val="-2"/>
          <w:szCs w:val="20"/>
        </w:rPr>
        <w:t>f</w:t>
      </w:r>
      <w:r w:rsidRPr="00C050B2">
        <w:rPr>
          <w:rFonts w:eastAsia="Arial" w:cs="Arial"/>
          <w:i/>
          <w:spacing w:val="1"/>
          <w:szCs w:val="20"/>
        </w:rPr>
        <w:t>o</w:t>
      </w:r>
      <w:r w:rsidRPr="00C050B2">
        <w:rPr>
          <w:rFonts w:eastAsia="Arial" w:cs="Arial"/>
          <w:i/>
          <w:szCs w:val="20"/>
        </w:rPr>
        <w:t>r</w:t>
      </w:r>
      <w:r w:rsidRPr="00C050B2">
        <w:rPr>
          <w:rFonts w:eastAsia="Arial" w:cs="Arial"/>
          <w:i/>
          <w:spacing w:val="-5"/>
          <w:szCs w:val="20"/>
        </w:rPr>
        <w:t>m</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1"/>
          <w:szCs w:val="20"/>
        </w:rPr>
        <w:t>io</w:t>
      </w:r>
      <w:r w:rsidRPr="00C050B2">
        <w:rPr>
          <w:rFonts w:eastAsia="Arial" w:cs="Arial"/>
          <w:i/>
          <w:szCs w:val="20"/>
        </w:rPr>
        <w:t xml:space="preserve">n </w:t>
      </w:r>
      <w:r w:rsidRPr="00C050B2">
        <w:rPr>
          <w:rFonts w:eastAsia="Arial" w:cs="Arial"/>
          <w:i/>
          <w:spacing w:val="-3"/>
          <w:szCs w:val="20"/>
        </w:rPr>
        <w:t>a</w:t>
      </w:r>
      <w:r w:rsidRPr="00C050B2">
        <w:rPr>
          <w:rFonts w:eastAsia="Arial" w:cs="Arial"/>
          <w:i/>
          <w:spacing w:val="1"/>
          <w:szCs w:val="20"/>
        </w:rPr>
        <w:t>bou</w:t>
      </w:r>
      <w:r w:rsidRPr="00C050B2">
        <w:rPr>
          <w:rFonts w:eastAsia="Arial" w:cs="Arial"/>
          <w:i/>
          <w:szCs w:val="20"/>
        </w:rPr>
        <w:t>t</w:t>
      </w:r>
      <w:r w:rsidRPr="00C050B2">
        <w:rPr>
          <w:rFonts w:eastAsia="Arial" w:cs="Arial"/>
          <w:i/>
          <w:spacing w:val="-3"/>
          <w:szCs w:val="20"/>
        </w:rPr>
        <w:t xml:space="preserve"> </w:t>
      </w:r>
      <w:r w:rsidRPr="00C050B2">
        <w:rPr>
          <w:rFonts w:eastAsia="Arial" w:cs="Arial"/>
          <w:i/>
          <w:spacing w:val="1"/>
          <w:szCs w:val="20"/>
        </w:rPr>
        <w:t>an</w:t>
      </w:r>
      <w:r w:rsidRPr="00C050B2">
        <w:rPr>
          <w:rFonts w:eastAsia="Arial" w:cs="Arial"/>
          <w:i/>
          <w:szCs w:val="20"/>
        </w:rPr>
        <w:t>y</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st</w:t>
      </w:r>
      <w:r w:rsidRPr="00C050B2">
        <w:rPr>
          <w:rFonts w:eastAsia="Arial" w:cs="Arial"/>
          <w:i/>
          <w:spacing w:val="-3"/>
          <w:szCs w:val="20"/>
        </w:rPr>
        <w:t xml:space="preserve"> </w:t>
      </w:r>
      <w:r w:rsidRPr="00C050B2">
        <w:rPr>
          <w:rFonts w:eastAsia="Arial" w:cs="Arial"/>
          <w:i/>
          <w:spacing w:val="1"/>
          <w:szCs w:val="20"/>
        </w:rPr>
        <w:t>an</w:t>
      </w:r>
      <w:r w:rsidRPr="00C050B2">
        <w:rPr>
          <w:rFonts w:eastAsia="Arial" w:cs="Arial"/>
          <w:i/>
          <w:szCs w:val="20"/>
        </w:rPr>
        <w:t xml:space="preserve">d </w:t>
      </w:r>
      <w:r w:rsidRPr="00C050B2">
        <w:rPr>
          <w:rFonts w:eastAsia="Arial" w:cs="Arial"/>
          <w:i/>
          <w:spacing w:val="1"/>
          <w:szCs w:val="20"/>
        </w:rPr>
        <w:t>de</w:t>
      </w:r>
      <w:r w:rsidRPr="00C050B2">
        <w:rPr>
          <w:rFonts w:eastAsia="Arial" w:cs="Arial"/>
          <w:i/>
          <w:spacing w:val="-5"/>
          <w:szCs w:val="20"/>
        </w:rPr>
        <w:t>v</w:t>
      </w:r>
      <w:r w:rsidRPr="00C050B2">
        <w:rPr>
          <w:rFonts w:eastAsia="Arial" w:cs="Arial"/>
          <w:i/>
          <w:spacing w:val="1"/>
          <w:szCs w:val="20"/>
        </w:rPr>
        <w:t>el</w:t>
      </w:r>
      <w:r w:rsidRPr="00C050B2">
        <w:rPr>
          <w:rFonts w:eastAsia="Arial" w:cs="Arial"/>
          <w:i/>
          <w:spacing w:val="-3"/>
          <w:szCs w:val="20"/>
        </w:rPr>
        <w:t>op</w:t>
      </w:r>
      <w:r w:rsidRPr="00C050B2">
        <w:rPr>
          <w:rFonts w:eastAsia="Arial" w:cs="Arial"/>
          <w:i/>
          <w:szCs w:val="20"/>
        </w:rPr>
        <w:t>m</w:t>
      </w:r>
      <w:r w:rsidRPr="00C050B2">
        <w:rPr>
          <w:rFonts w:eastAsia="Arial" w:cs="Arial"/>
          <w:i/>
          <w:spacing w:val="1"/>
          <w:szCs w:val="20"/>
        </w:rPr>
        <w:t>en</w:t>
      </w:r>
      <w:r w:rsidRPr="00C050B2">
        <w:rPr>
          <w:rFonts w:eastAsia="Arial" w:cs="Arial"/>
          <w:i/>
          <w:szCs w:val="20"/>
        </w:rPr>
        <w:t>t</w:t>
      </w:r>
      <w:r w:rsidRPr="00C050B2">
        <w:rPr>
          <w:rFonts w:eastAsia="Arial" w:cs="Arial"/>
          <w:i/>
          <w:spacing w:val="-3"/>
          <w:szCs w:val="20"/>
        </w:rPr>
        <w:t xml:space="preserve"> </w:t>
      </w:r>
      <w:r w:rsidRPr="00C050B2">
        <w:rPr>
          <w:rFonts w:eastAsia="Arial" w:cs="Arial"/>
          <w:i/>
          <w:szCs w:val="20"/>
        </w:rPr>
        <w:t>sys</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ms,</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hei</w:t>
      </w:r>
      <w:r w:rsidRPr="00C050B2">
        <w:rPr>
          <w:rFonts w:eastAsia="Arial" w:cs="Arial"/>
          <w:i/>
          <w:szCs w:val="20"/>
        </w:rPr>
        <w:t>r</w:t>
      </w:r>
      <w:r w:rsidRPr="00C050B2">
        <w:rPr>
          <w:rFonts w:eastAsia="Arial" w:cs="Arial"/>
          <w:i/>
          <w:spacing w:val="-1"/>
          <w:szCs w:val="20"/>
        </w:rPr>
        <w:t xml:space="preserve"> </w:t>
      </w:r>
      <w:r w:rsidRPr="00C050B2">
        <w:rPr>
          <w:rFonts w:eastAsia="Arial" w:cs="Arial"/>
          <w:i/>
          <w:spacing w:val="1"/>
          <w:szCs w:val="20"/>
        </w:rPr>
        <w:t>lo</w:t>
      </w:r>
      <w:r w:rsidRPr="00C050B2">
        <w:rPr>
          <w:rFonts w:eastAsia="Arial" w:cs="Arial"/>
          <w:i/>
          <w:szCs w:val="20"/>
        </w:rPr>
        <w:t>c</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1"/>
          <w:szCs w:val="20"/>
        </w:rPr>
        <w:t>ion</w:t>
      </w:r>
      <w:r w:rsidRPr="00C050B2">
        <w:rPr>
          <w:rFonts w:eastAsia="Arial" w:cs="Arial"/>
          <w:i/>
          <w:szCs w:val="20"/>
        </w:rPr>
        <w:t xml:space="preserve">s </w:t>
      </w:r>
      <w:r w:rsidRPr="00C050B2">
        <w:rPr>
          <w:rFonts w:eastAsia="Arial" w:cs="Arial"/>
          <w:i/>
          <w:spacing w:val="1"/>
          <w:szCs w:val="20"/>
        </w:rPr>
        <w:t>an</w:t>
      </w:r>
      <w:r w:rsidRPr="00C050B2">
        <w:rPr>
          <w:rFonts w:eastAsia="Arial" w:cs="Arial"/>
          <w:i/>
          <w:szCs w:val="20"/>
        </w:rPr>
        <w:t xml:space="preserve">d </w:t>
      </w:r>
      <w:r w:rsidRPr="00C050B2">
        <w:rPr>
          <w:rFonts w:eastAsia="Arial" w:cs="Arial"/>
          <w:i/>
          <w:spacing w:val="1"/>
          <w:szCs w:val="20"/>
        </w:rPr>
        <w:t>w</w:t>
      </w:r>
      <w:r w:rsidRPr="00C050B2">
        <w:rPr>
          <w:rFonts w:eastAsia="Arial" w:cs="Arial"/>
          <w:i/>
          <w:spacing w:val="-3"/>
          <w:szCs w:val="20"/>
        </w:rPr>
        <w:t>h</w:t>
      </w:r>
      <w:r w:rsidRPr="00C050B2">
        <w:rPr>
          <w:rFonts w:eastAsia="Arial" w:cs="Arial"/>
          <w:i/>
          <w:spacing w:val="1"/>
          <w:szCs w:val="20"/>
        </w:rPr>
        <w:t>e</w:t>
      </w:r>
      <w:r w:rsidRPr="00C050B2">
        <w:rPr>
          <w:rFonts w:eastAsia="Arial" w:cs="Arial"/>
          <w:i/>
          <w:spacing w:val="-2"/>
          <w:szCs w:val="20"/>
        </w:rPr>
        <w:t>t</w:t>
      </w:r>
      <w:r w:rsidRPr="00C050B2">
        <w:rPr>
          <w:rFonts w:eastAsia="Arial" w:cs="Arial"/>
          <w:i/>
          <w:spacing w:val="1"/>
          <w:szCs w:val="20"/>
        </w:rPr>
        <w:t>he</w:t>
      </w:r>
      <w:r w:rsidRPr="00C050B2">
        <w:rPr>
          <w:rFonts w:eastAsia="Arial" w:cs="Arial"/>
          <w:i/>
          <w:szCs w:val="20"/>
        </w:rPr>
        <w:t>r</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pacing w:val="1"/>
          <w:szCs w:val="20"/>
        </w:rPr>
        <w:t>he</w:t>
      </w:r>
      <w:r w:rsidRPr="00C050B2">
        <w:rPr>
          <w:rFonts w:eastAsia="Arial" w:cs="Arial"/>
          <w:i/>
          <w:szCs w:val="20"/>
        </w:rPr>
        <w:t>y</w:t>
      </w:r>
      <w:r w:rsidRPr="00C050B2">
        <w:rPr>
          <w:rFonts w:eastAsia="Arial" w:cs="Arial"/>
          <w:i/>
          <w:spacing w:val="-1"/>
          <w:szCs w:val="20"/>
        </w:rPr>
        <w:t xml:space="preserve"> </w:t>
      </w:r>
      <w:r w:rsidRPr="00C050B2">
        <w:rPr>
          <w:rFonts w:eastAsia="Arial" w:cs="Arial"/>
          <w:i/>
          <w:szCs w:val="20"/>
        </w:rPr>
        <w:t>c</w:t>
      </w:r>
      <w:r w:rsidRPr="00C050B2">
        <w:rPr>
          <w:rFonts w:eastAsia="Arial" w:cs="Arial"/>
          <w:i/>
          <w:spacing w:val="1"/>
          <w:szCs w:val="20"/>
        </w:rPr>
        <w:t>on</w:t>
      </w:r>
      <w:r w:rsidRPr="00C050B2">
        <w:rPr>
          <w:rFonts w:eastAsia="Arial" w:cs="Arial"/>
          <w:i/>
          <w:spacing w:val="-2"/>
          <w:szCs w:val="20"/>
        </w:rPr>
        <w:t>t</w:t>
      </w:r>
      <w:r w:rsidRPr="00C050B2">
        <w:rPr>
          <w:rFonts w:eastAsia="Arial" w:cs="Arial"/>
          <w:i/>
          <w:spacing w:val="1"/>
          <w:szCs w:val="20"/>
        </w:rPr>
        <w:t>a</w:t>
      </w:r>
      <w:r w:rsidRPr="00C050B2">
        <w:rPr>
          <w:rFonts w:eastAsia="Arial" w:cs="Arial"/>
          <w:i/>
          <w:spacing w:val="-3"/>
          <w:szCs w:val="20"/>
        </w:rPr>
        <w:t>i</w:t>
      </w:r>
      <w:r w:rsidRPr="00C050B2">
        <w:rPr>
          <w:rFonts w:eastAsia="Arial" w:cs="Arial"/>
          <w:i/>
          <w:szCs w:val="20"/>
        </w:rPr>
        <w:t xml:space="preserve">n </w:t>
      </w:r>
      <w:r w:rsidRPr="00C050B2">
        <w:rPr>
          <w:rFonts w:eastAsia="Arial" w:cs="Arial"/>
          <w:i/>
          <w:spacing w:val="1"/>
          <w:szCs w:val="20"/>
        </w:rPr>
        <w:t>li</w:t>
      </w:r>
      <w:r w:rsidRPr="00C050B2">
        <w:rPr>
          <w:rFonts w:eastAsia="Arial" w:cs="Arial"/>
          <w:i/>
          <w:szCs w:val="20"/>
        </w:rPr>
        <w:t>ve sys</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m</w:t>
      </w:r>
      <w:r w:rsidRPr="00C050B2">
        <w:rPr>
          <w:rFonts w:eastAsia="Arial" w:cs="Arial"/>
          <w:i/>
          <w:spacing w:val="-1"/>
          <w:szCs w:val="20"/>
        </w:rPr>
        <w:t xml:space="preserve"> </w:t>
      </w:r>
      <w:r w:rsidRPr="00C050B2">
        <w:rPr>
          <w:rFonts w:eastAsia="Arial" w:cs="Arial"/>
          <w:i/>
          <w:spacing w:val="1"/>
          <w:szCs w:val="20"/>
        </w:rPr>
        <w:t>da</w:t>
      </w:r>
      <w:r w:rsidRPr="00C050B2">
        <w:rPr>
          <w:rFonts w:eastAsia="Arial" w:cs="Arial"/>
          <w:i/>
          <w:spacing w:val="-2"/>
          <w:szCs w:val="20"/>
        </w:rPr>
        <w:t>t</w:t>
      </w:r>
      <w:r w:rsidRPr="00C050B2">
        <w:rPr>
          <w:rFonts w:eastAsia="Arial" w:cs="Arial"/>
          <w:i/>
          <w:spacing w:val="1"/>
          <w:szCs w:val="20"/>
        </w:rPr>
        <w:t>a</w:t>
      </w:r>
      <w:r w:rsidRPr="00C050B2">
        <w:rPr>
          <w:rFonts w:eastAsia="Arial" w:cs="Arial"/>
          <w:i/>
          <w:spacing w:val="-2"/>
          <w:szCs w:val="20"/>
        </w:rPr>
        <w:t>.</w:t>
      </w:r>
      <w:r w:rsidRPr="00C050B2">
        <w:rPr>
          <w:rFonts w:eastAsia="Arial" w:cs="Arial"/>
          <w:i/>
          <w:szCs w:val="20"/>
        </w:rPr>
        <w:t>&gt;</w:t>
      </w:r>
    </w:p>
    <w:p w14:paraId="2D392D84" w14:textId="77777777" w:rsidR="00C1793C" w:rsidRPr="00C050B2" w:rsidRDefault="00C1793C" w:rsidP="009D675B">
      <w:pPr>
        <w:pStyle w:val="Sch2"/>
        <w:numPr>
          <w:ilvl w:val="3"/>
          <w:numId w:val="56"/>
        </w:numPr>
        <w:rPr>
          <w:rFonts w:eastAsia="Arial" w:cs="Arial"/>
          <w:szCs w:val="20"/>
        </w:rPr>
      </w:pPr>
      <w:r w:rsidRPr="00C050B2">
        <w:rPr>
          <w:rFonts w:eastAsia="Arial" w:cs="Arial"/>
          <w:szCs w:val="20"/>
        </w:rPr>
        <w:t>K</w:t>
      </w:r>
      <w:r w:rsidRPr="00C050B2">
        <w:rPr>
          <w:rFonts w:eastAsia="Arial" w:cs="Arial"/>
          <w:spacing w:val="1"/>
          <w:szCs w:val="20"/>
        </w:rPr>
        <w:t>e</w:t>
      </w:r>
      <w:r w:rsidRPr="00C050B2">
        <w:rPr>
          <w:rFonts w:eastAsia="Arial" w:cs="Arial"/>
          <w:szCs w:val="20"/>
        </w:rPr>
        <w:t>y</w:t>
      </w:r>
      <w:r w:rsidRPr="00C050B2">
        <w:rPr>
          <w:rFonts w:eastAsia="Arial" w:cs="Arial"/>
          <w:spacing w:val="-1"/>
          <w:szCs w:val="20"/>
        </w:rPr>
        <w:t xml:space="preserve"> </w:t>
      </w:r>
      <w:r w:rsidRPr="00C050B2">
        <w:rPr>
          <w:rFonts w:eastAsia="Verdana"/>
        </w:rPr>
        <w:t>r</w:t>
      </w:r>
      <w:r w:rsidRPr="00C050B2">
        <w:rPr>
          <w:rFonts w:eastAsia="Verdana"/>
          <w:spacing w:val="1"/>
        </w:rPr>
        <w:t>ole</w:t>
      </w:r>
      <w:r w:rsidRPr="00C050B2">
        <w:rPr>
          <w:rFonts w:eastAsia="Verdana"/>
        </w:rPr>
        <w:t>s</w:t>
      </w:r>
      <w:r w:rsidRPr="00C050B2">
        <w:rPr>
          <w:rFonts w:eastAsia="Arial" w:cs="Arial"/>
          <w:spacing w:val="-1"/>
          <w:szCs w:val="20"/>
        </w:rPr>
        <w:t xml:space="preserve"> </w:t>
      </w:r>
      <w:r w:rsidRPr="00C050B2">
        <w:rPr>
          <w:rFonts w:eastAsia="Arial" w:cs="Arial"/>
          <w:spacing w:val="1"/>
          <w:szCs w:val="20"/>
        </w:rPr>
        <w:t>an</w:t>
      </w:r>
      <w:r w:rsidRPr="00C050B2">
        <w:rPr>
          <w:rFonts w:eastAsia="Arial" w:cs="Arial"/>
          <w:szCs w:val="20"/>
        </w:rPr>
        <w:t>d r</w:t>
      </w:r>
      <w:r w:rsidRPr="00C050B2">
        <w:rPr>
          <w:rFonts w:eastAsia="Arial" w:cs="Arial"/>
          <w:spacing w:val="1"/>
          <w:szCs w:val="20"/>
        </w:rPr>
        <w:t>e</w:t>
      </w:r>
      <w:r w:rsidRPr="00C050B2">
        <w:rPr>
          <w:rFonts w:eastAsia="Arial" w:cs="Arial"/>
          <w:spacing w:val="-5"/>
          <w:szCs w:val="20"/>
        </w:rPr>
        <w:t>s</w:t>
      </w:r>
      <w:r w:rsidRPr="00C050B2">
        <w:rPr>
          <w:rFonts w:eastAsia="Arial" w:cs="Arial"/>
          <w:spacing w:val="1"/>
          <w:szCs w:val="20"/>
        </w:rPr>
        <w:t>pon</w:t>
      </w:r>
      <w:r w:rsidRPr="00C050B2">
        <w:rPr>
          <w:rFonts w:eastAsia="Arial" w:cs="Arial"/>
          <w:spacing w:val="-5"/>
          <w:szCs w:val="20"/>
        </w:rPr>
        <w:t>s</w:t>
      </w:r>
      <w:r w:rsidRPr="00C050B2">
        <w:rPr>
          <w:rFonts w:eastAsia="Arial" w:cs="Arial"/>
          <w:spacing w:val="1"/>
          <w:szCs w:val="20"/>
        </w:rPr>
        <w:t>ib</w:t>
      </w:r>
      <w:r w:rsidRPr="00C050B2">
        <w:rPr>
          <w:rFonts w:eastAsia="Arial" w:cs="Arial"/>
          <w:spacing w:val="-3"/>
          <w:szCs w:val="20"/>
        </w:rPr>
        <w:t>i</w:t>
      </w:r>
      <w:r w:rsidRPr="00C050B2">
        <w:rPr>
          <w:rFonts w:eastAsia="Arial" w:cs="Arial"/>
          <w:spacing w:val="1"/>
          <w:szCs w:val="20"/>
        </w:rPr>
        <w:t>li</w:t>
      </w:r>
      <w:r w:rsidRPr="00C050B2">
        <w:rPr>
          <w:rFonts w:eastAsia="Arial" w:cs="Arial"/>
          <w:spacing w:val="-2"/>
          <w:szCs w:val="20"/>
        </w:rPr>
        <w:t>t</w:t>
      </w:r>
      <w:r w:rsidRPr="00C050B2">
        <w:rPr>
          <w:rFonts w:eastAsia="Arial" w:cs="Arial"/>
          <w:spacing w:val="1"/>
          <w:szCs w:val="20"/>
        </w:rPr>
        <w:t>ie</w:t>
      </w:r>
      <w:r w:rsidRPr="00C050B2">
        <w:rPr>
          <w:rFonts w:eastAsia="Arial" w:cs="Arial"/>
          <w:szCs w:val="20"/>
        </w:rPr>
        <w:t>s</w:t>
      </w:r>
    </w:p>
    <w:p w14:paraId="0593E883" w14:textId="77777777" w:rsidR="00C1793C" w:rsidRPr="00C050B2" w:rsidRDefault="00C1793C" w:rsidP="00C1793C">
      <w:pPr>
        <w:spacing w:line="260" w:lineRule="exact"/>
        <w:ind w:left="861" w:right="449"/>
        <w:rPr>
          <w:rFonts w:eastAsia="Arial" w:cs="Arial"/>
          <w:szCs w:val="20"/>
        </w:rPr>
      </w:pPr>
      <w:r w:rsidRPr="00C050B2">
        <w:rPr>
          <w:rFonts w:eastAsia="Arial" w:cs="Arial"/>
          <w:i/>
          <w:szCs w:val="20"/>
        </w:rPr>
        <w:t>&lt;A</w:t>
      </w:r>
      <w:r w:rsidRPr="00C050B2">
        <w:rPr>
          <w:rFonts w:eastAsia="Arial" w:cs="Arial"/>
          <w:i/>
          <w:spacing w:val="-2"/>
          <w:szCs w:val="20"/>
        </w:rPr>
        <w:t xml:space="preserve"> </w:t>
      </w:r>
      <w:r w:rsidRPr="00C050B2">
        <w:rPr>
          <w:rFonts w:eastAsia="Arial" w:cs="Arial"/>
          <w:i/>
          <w:spacing w:val="1"/>
          <w:szCs w:val="20"/>
        </w:rPr>
        <w:t>b</w:t>
      </w:r>
      <w:r w:rsidRPr="00C050B2">
        <w:rPr>
          <w:rFonts w:eastAsia="Arial" w:cs="Arial"/>
          <w:i/>
          <w:szCs w:val="20"/>
        </w:rPr>
        <w:t>r</w:t>
      </w:r>
      <w:r w:rsidRPr="00C050B2">
        <w:rPr>
          <w:rFonts w:eastAsia="Arial" w:cs="Arial"/>
          <w:i/>
          <w:spacing w:val="2"/>
          <w:szCs w:val="20"/>
        </w:rPr>
        <w:t>i</w:t>
      </w:r>
      <w:r w:rsidRPr="00C050B2">
        <w:rPr>
          <w:rFonts w:eastAsia="Arial" w:cs="Arial"/>
          <w:i/>
          <w:spacing w:val="1"/>
          <w:szCs w:val="20"/>
        </w:rPr>
        <w:t>e</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1"/>
          <w:szCs w:val="20"/>
        </w:rPr>
        <w:t>de</w:t>
      </w:r>
      <w:r w:rsidRPr="00C050B2">
        <w:rPr>
          <w:rFonts w:eastAsia="Arial" w:cs="Arial"/>
          <w:i/>
          <w:szCs w:val="20"/>
        </w:rPr>
        <w:t>scr</w:t>
      </w:r>
      <w:r w:rsidRPr="00C050B2">
        <w:rPr>
          <w:rFonts w:eastAsia="Arial" w:cs="Arial"/>
          <w:i/>
          <w:spacing w:val="2"/>
          <w:szCs w:val="20"/>
        </w:rPr>
        <w:t>i</w:t>
      </w:r>
      <w:r w:rsidRPr="00C050B2">
        <w:rPr>
          <w:rFonts w:eastAsia="Arial" w:cs="Arial"/>
          <w:i/>
          <w:spacing w:val="1"/>
          <w:szCs w:val="20"/>
        </w:rPr>
        <w:t>p</w:t>
      </w:r>
      <w:r w:rsidRPr="00C050B2">
        <w:rPr>
          <w:rFonts w:eastAsia="Arial" w:cs="Arial"/>
          <w:i/>
          <w:spacing w:val="-2"/>
          <w:szCs w:val="20"/>
        </w:rPr>
        <w:t>t</w:t>
      </w:r>
      <w:r w:rsidRPr="00C050B2">
        <w:rPr>
          <w:rFonts w:eastAsia="Arial" w:cs="Arial"/>
          <w:i/>
          <w:spacing w:val="1"/>
          <w:szCs w:val="20"/>
        </w:rPr>
        <w:t>i</w:t>
      </w:r>
      <w:r w:rsidRPr="00C050B2">
        <w:rPr>
          <w:rFonts w:eastAsia="Arial" w:cs="Arial"/>
          <w:i/>
          <w:spacing w:val="-3"/>
          <w:szCs w:val="20"/>
        </w:rPr>
        <w:t>o</w:t>
      </w:r>
      <w:r w:rsidRPr="00C050B2">
        <w:rPr>
          <w:rFonts w:eastAsia="Arial" w:cs="Arial"/>
          <w:i/>
          <w:szCs w:val="20"/>
        </w:rPr>
        <w:t xml:space="preserve">n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lea</w:t>
      </w:r>
      <w:r w:rsidRPr="00C050B2">
        <w:rPr>
          <w:rFonts w:eastAsia="Arial" w:cs="Arial"/>
          <w:i/>
          <w:szCs w:val="20"/>
        </w:rPr>
        <w:t>d s</w:t>
      </w:r>
      <w:r w:rsidRPr="00C050B2">
        <w:rPr>
          <w:rFonts w:eastAsia="Arial" w:cs="Arial"/>
          <w:i/>
          <w:spacing w:val="1"/>
          <w:szCs w:val="20"/>
        </w:rPr>
        <w:t>e</w:t>
      </w:r>
      <w:r w:rsidRPr="00C050B2">
        <w:rPr>
          <w:rFonts w:eastAsia="Arial" w:cs="Arial"/>
          <w:i/>
          <w:spacing w:val="-5"/>
          <w:szCs w:val="20"/>
        </w:rPr>
        <w:t>c</w:t>
      </w:r>
      <w:r w:rsidRPr="00C050B2">
        <w:rPr>
          <w:rFonts w:eastAsia="Arial" w:cs="Arial"/>
          <w:i/>
          <w:spacing w:val="1"/>
          <w:szCs w:val="20"/>
        </w:rPr>
        <w:t>u</w:t>
      </w:r>
      <w:r w:rsidRPr="00C050B2">
        <w:rPr>
          <w:rFonts w:eastAsia="Arial" w:cs="Arial"/>
          <w:i/>
          <w:szCs w:val="20"/>
        </w:rPr>
        <w:t>r</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y</w:t>
      </w:r>
      <w:r w:rsidRPr="00C050B2">
        <w:rPr>
          <w:rFonts w:eastAsia="Arial" w:cs="Arial"/>
          <w:i/>
          <w:spacing w:val="-1"/>
          <w:szCs w:val="20"/>
        </w:rPr>
        <w:t xml:space="preserve"> </w:t>
      </w:r>
      <w:r w:rsidRPr="00C050B2">
        <w:rPr>
          <w:rFonts w:eastAsia="Arial" w:cs="Arial"/>
          <w:i/>
          <w:szCs w:val="20"/>
        </w:rPr>
        <w:t>r</w:t>
      </w:r>
      <w:r w:rsidRPr="00C050B2">
        <w:rPr>
          <w:rFonts w:eastAsia="Arial" w:cs="Arial"/>
          <w:i/>
          <w:spacing w:val="1"/>
          <w:szCs w:val="20"/>
        </w:rPr>
        <w:t>ole</w:t>
      </w:r>
      <w:r w:rsidRPr="00C050B2">
        <w:rPr>
          <w:rFonts w:eastAsia="Arial" w:cs="Arial"/>
          <w:i/>
          <w:szCs w:val="20"/>
        </w:rPr>
        <w:t>s</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3"/>
          <w:szCs w:val="20"/>
        </w:rPr>
        <w:t>u</w:t>
      </w:r>
      <w:r w:rsidRPr="00C050B2">
        <w:rPr>
          <w:rFonts w:eastAsia="Arial" w:cs="Arial"/>
          <w:i/>
          <w:szCs w:val="20"/>
        </w:rPr>
        <w:t xml:space="preserve">ch </w:t>
      </w:r>
      <w:r w:rsidRPr="00C050B2">
        <w:rPr>
          <w:rFonts w:eastAsia="Arial" w:cs="Arial"/>
          <w:i/>
          <w:spacing w:val="1"/>
          <w:szCs w:val="20"/>
        </w:rPr>
        <w:t>a</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pacing w:val="1"/>
          <w:szCs w:val="20"/>
        </w:rPr>
        <w:t>ha</w:t>
      </w:r>
      <w:r w:rsidRPr="00C050B2">
        <w:rPr>
          <w:rFonts w:eastAsia="Arial" w:cs="Arial"/>
          <w:i/>
          <w:szCs w:val="20"/>
        </w:rPr>
        <w:t>t</w:t>
      </w:r>
      <w:r w:rsidRPr="00C050B2">
        <w:rPr>
          <w:rFonts w:eastAsia="Arial" w:cs="Arial"/>
          <w:i/>
          <w:spacing w:val="-3"/>
          <w:szCs w:val="20"/>
        </w:rPr>
        <w:t xml:space="preserve">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S</w:t>
      </w:r>
      <w:r w:rsidRPr="00C050B2">
        <w:rPr>
          <w:rFonts w:eastAsia="Arial" w:cs="Arial"/>
          <w:i/>
          <w:spacing w:val="-2"/>
          <w:szCs w:val="20"/>
        </w:rPr>
        <w:t>I</w:t>
      </w:r>
      <w:r w:rsidRPr="00C050B2">
        <w:rPr>
          <w:rFonts w:eastAsia="Arial" w:cs="Arial"/>
          <w:i/>
          <w:spacing w:val="1"/>
          <w:szCs w:val="20"/>
        </w:rPr>
        <w:t>R</w:t>
      </w:r>
      <w:r w:rsidRPr="00C050B2">
        <w:rPr>
          <w:rFonts w:eastAsia="Arial" w:cs="Arial"/>
          <w:i/>
          <w:spacing w:val="3"/>
          <w:szCs w:val="20"/>
        </w:rPr>
        <w:t>O</w:t>
      </w:r>
      <w:r w:rsidRPr="00C050B2">
        <w:rPr>
          <w:rFonts w:eastAsia="Arial" w:cs="Arial"/>
          <w:i/>
          <w:szCs w:val="20"/>
        </w:rPr>
        <w:t>,</w:t>
      </w:r>
      <w:r w:rsidRPr="00C050B2">
        <w:rPr>
          <w:rFonts w:eastAsia="Arial" w:cs="Arial"/>
          <w:i/>
          <w:spacing w:val="-3"/>
          <w:szCs w:val="20"/>
        </w:rPr>
        <w:t xml:space="preserve"> </w:t>
      </w:r>
      <w:r w:rsidRPr="00C050B2">
        <w:rPr>
          <w:rFonts w:eastAsia="Arial" w:cs="Arial"/>
          <w:i/>
          <w:spacing w:val="-2"/>
          <w:szCs w:val="20"/>
        </w:rPr>
        <w:t>I</w:t>
      </w:r>
      <w:r w:rsidRPr="00C050B2">
        <w:rPr>
          <w:rFonts w:eastAsia="Arial" w:cs="Arial"/>
          <w:i/>
          <w:spacing w:val="5"/>
          <w:szCs w:val="20"/>
        </w:rPr>
        <w:t>A</w:t>
      </w:r>
      <w:r w:rsidRPr="00C050B2">
        <w:rPr>
          <w:rFonts w:eastAsia="Arial" w:cs="Arial"/>
          <w:i/>
          <w:spacing w:val="-2"/>
          <w:szCs w:val="20"/>
        </w:rPr>
        <w:t>O</w:t>
      </w:r>
      <w:r w:rsidRPr="00C050B2">
        <w:rPr>
          <w:rFonts w:eastAsia="Arial" w:cs="Arial"/>
          <w:i/>
          <w:szCs w:val="20"/>
        </w:rPr>
        <w:t>, S</w:t>
      </w:r>
      <w:r w:rsidRPr="00C050B2">
        <w:rPr>
          <w:rFonts w:eastAsia="Arial" w:cs="Arial"/>
          <w:i/>
          <w:spacing w:val="1"/>
          <w:szCs w:val="20"/>
        </w:rPr>
        <w:t>e</w:t>
      </w:r>
      <w:r w:rsidRPr="00C050B2">
        <w:rPr>
          <w:rFonts w:eastAsia="Arial" w:cs="Arial"/>
          <w:i/>
          <w:szCs w:val="20"/>
        </w:rPr>
        <w:t>c</w:t>
      </w:r>
      <w:r w:rsidRPr="00C050B2">
        <w:rPr>
          <w:rFonts w:eastAsia="Arial" w:cs="Arial"/>
          <w:i/>
          <w:spacing w:val="1"/>
          <w:szCs w:val="20"/>
        </w:rPr>
        <w:t>u</w:t>
      </w:r>
      <w:r w:rsidRPr="00C050B2">
        <w:rPr>
          <w:rFonts w:eastAsia="Arial" w:cs="Arial"/>
          <w:i/>
          <w:szCs w:val="20"/>
        </w:rPr>
        <w:t>r</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y</w:t>
      </w:r>
      <w:r w:rsidRPr="00C050B2">
        <w:rPr>
          <w:rFonts w:eastAsia="Arial" w:cs="Arial"/>
          <w:i/>
          <w:spacing w:val="-1"/>
          <w:szCs w:val="20"/>
        </w:rPr>
        <w:t xml:space="preserve"> </w:t>
      </w:r>
      <w:r w:rsidRPr="00C050B2">
        <w:rPr>
          <w:rFonts w:eastAsia="Arial" w:cs="Arial"/>
          <w:i/>
          <w:szCs w:val="20"/>
        </w:rPr>
        <w:t>m</w:t>
      </w:r>
      <w:r w:rsidRPr="00C050B2">
        <w:rPr>
          <w:rFonts w:eastAsia="Arial" w:cs="Arial"/>
          <w:i/>
          <w:spacing w:val="1"/>
          <w:szCs w:val="20"/>
        </w:rPr>
        <w:t>an</w:t>
      </w:r>
      <w:r w:rsidRPr="00C050B2">
        <w:rPr>
          <w:rFonts w:eastAsia="Arial" w:cs="Arial"/>
          <w:i/>
          <w:spacing w:val="-3"/>
          <w:szCs w:val="20"/>
        </w:rPr>
        <w:t>a</w:t>
      </w:r>
      <w:r w:rsidRPr="00C050B2">
        <w:rPr>
          <w:rFonts w:eastAsia="Arial" w:cs="Arial"/>
          <w:i/>
          <w:spacing w:val="1"/>
          <w:szCs w:val="20"/>
        </w:rPr>
        <w:t>ge</w:t>
      </w:r>
      <w:r w:rsidRPr="00C050B2">
        <w:rPr>
          <w:rFonts w:eastAsia="Arial" w:cs="Arial"/>
          <w:i/>
          <w:szCs w:val="20"/>
        </w:rPr>
        <w:t>r,</w:t>
      </w:r>
      <w:r w:rsidRPr="00C050B2">
        <w:rPr>
          <w:rFonts w:eastAsia="Arial" w:cs="Arial"/>
          <w:i/>
          <w:spacing w:val="-3"/>
          <w:szCs w:val="20"/>
        </w:rPr>
        <w:t xml:space="preserve"> </w:t>
      </w:r>
      <w:r w:rsidRPr="00C050B2">
        <w:rPr>
          <w:rFonts w:eastAsia="Arial" w:cs="Arial"/>
          <w:i/>
          <w:szCs w:val="20"/>
        </w:rPr>
        <w:t>Accr</w:t>
      </w:r>
      <w:r w:rsidRPr="00C050B2">
        <w:rPr>
          <w:rFonts w:eastAsia="Arial" w:cs="Arial"/>
          <w:i/>
          <w:spacing w:val="1"/>
          <w:szCs w:val="20"/>
        </w:rPr>
        <w:t>edi</w:t>
      </w:r>
      <w:r w:rsidRPr="00C050B2">
        <w:rPr>
          <w:rFonts w:eastAsia="Arial" w:cs="Arial"/>
          <w:i/>
          <w:spacing w:val="-2"/>
          <w:szCs w:val="20"/>
        </w:rPr>
        <w:t>t</w:t>
      </w:r>
      <w:r w:rsidRPr="00C050B2">
        <w:rPr>
          <w:rFonts w:eastAsia="Arial" w:cs="Arial"/>
          <w:i/>
          <w:spacing w:val="1"/>
          <w:szCs w:val="20"/>
        </w:rPr>
        <w:t>o</w:t>
      </w:r>
      <w:r w:rsidRPr="00C050B2">
        <w:rPr>
          <w:rFonts w:eastAsia="Arial" w:cs="Arial"/>
          <w:i/>
          <w:szCs w:val="20"/>
        </w:rPr>
        <w:t>r</w:t>
      </w:r>
      <w:r w:rsidRPr="00C050B2">
        <w:rPr>
          <w:rFonts w:eastAsia="Arial" w:cs="Arial"/>
          <w:i/>
          <w:spacing w:val="-1"/>
          <w:szCs w:val="20"/>
        </w:rPr>
        <w:t xml:space="preserve"> </w:t>
      </w:r>
      <w:r w:rsidRPr="00C050B2">
        <w:rPr>
          <w:rFonts w:eastAsia="Arial" w:cs="Arial"/>
          <w:i/>
          <w:szCs w:val="20"/>
        </w:rPr>
        <w:t>&gt;</w:t>
      </w:r>
    </w:p>
    <w:p w14:paraId="164BAEFA" w14:textId="77777777" w:rsidR="00C1793C" w:rsidRPr="00C050B2" w:rsidRDefault="00C1793C" w:rsidP="009D675B">
      <w:pPr>
        <w:pStyle w:val="Sch1"/>
        <w:keepNext/>
        <w:numPr>
          <w:ilvl w:val="2"/>
          <w:numId w:val="57"/>
        </w:numPr>
        <w:rPr>
          <w:rFonts w:eastAsia="Arial" w:cs="Arial"/>
          <w:szCs w:val="20"/>
        </w:rPr>
      </w:pPr>
      <w:r w:rsidRPr="00C050B2">
        <w:rPr>
          <w:rFonts w:eastAsia="Arial" w:cs="Arial"/>
          <w:spacing w:val="1"/>
          <w:szCs w:val="20"/>
        </w:rPr>
        <w:lastRenderedPageBreak/>
        <w:t>R</w:t>
      </w:r>
      <w:r w:rsidRPr="00C050B2">
        <w:rPr>
          <w:rFonts w:eastAsia="Arial" w:cs="Arial"/>
          <w:spacing w:val="-2"/>
          <w:szCs w:val="20"/>
        </w:rPr>
        <w:t>i</w:t>
      </w:r>
      <w:r w:rsidRPr="00C050B2">
        <w:rPr>
          <w:rFonts w:eastAsia="Arial" w:cs="Arial"/>
          <w:spacing w:val="1"/>
          <w:szCs w:val="20"/>
        </w:rPr>
        <w:t>s</w:t>
      </w:r>
      <w:r w:rsidRPr="00C050B2">
        <w:rPr>
          <w:rFonts w:eastAsia="Arial" w:cs="Arial"/>
          <w:szCs w:val="20"/>
        </w:rPr>
        <w:t xml:space="preserve">k </w:t>
      </w:r>
      <w:r w:rsidRPr="00C050B2">
        <w:rPr>
          <w:rFonts w:eastAsia="Verdana"/>
        </w:rPr>
        <w:t>Assessment</w:t>
      </w:r>
    </w:p>
    <w:p w14:paraId="708467F0" w14:textId="77777777" w:rsidR="00C1793C" w:rsidRPr="00C050B2" w:rsidRDefault="00C1793C" w:rsidP="009D675B">
      <w:pPr>
        <w:pStyle w:val="Sch2"/>
        <w:keepNext/>
        <w:numPr>
          <w:ilvl w:val="3"/>
          <w:numId w:val="56"/>
        </w:numPr>
        <w:rPr>
          <w:rFonts w:eastAsia="Arial" w:cs="Arial"/>
          <w:szCs w:val="20"/>
        </w:rPr>
      </w:pPr>
      <w:r w:rsidRPr="00C050B2">
        <w:rPr>
          <w:rFonts w:eastAsia="Verdana"/>
        </w:rPr>
        <w:t>Accr</w:t>
      </w:r>
      <w:r w:rsidRPr="00C050B2">
        <w:rPr>
          <w:rFonts w:eastAsia="Verdana"/>
          <w:spacing w:val="1"/>
        </w:rPr>
        <w:t>edi</w:t>
      </w:r>
      <w:r w:rsidRPr="00C050B2">
        <w:rPr>
          <w:rFonts w:eastAsia="Verdana"/>
          <w:spacing w:val="-2"/>
        </w:rPr>
        <w:t>t</w:t>
      </w:r>
      <w:r w:rsidRPr="00C050B2">
        <w:rPr>
          <w:rFonts w:eastAsia="Verdana"/>
          <w:spacing w:val="1"/>
        </w:rPr>
        <w:t>a</w:t>
      </w:r>
      <w:r w:rsidRPr="00C050B2">
        <w:rPr>
          <w:rFonts w:eastAsia="Verdana"/>
          <w:spacing w:val="-2"/>
        </w:rPr>
        <w:t>t</w:t>
      </w:r>
      <w:r w:rsidRPr="00C050B2">
        <w:rPr>
          <w:rFonts w:eastAsia="Verdana"/>
          <w:spacing w:val="1"/>
        </w:rPr>
        <w:t>i</w:t>
      </w:r>
      <w:r w:rsidRPr="00C050B2">
        <w:rPr>
          <w:rFonts w:eastAsia="Verdana"/>
          <w:spacing w:val="-3"/>
        </w:rPr>
        <w:t>o</w:t>
      </w:r>
      <w:r w:rsidRPr="00C050B2">
        <w:rPr>
          <w:rFonts w:eastAsia="Verdana"/>
          <w:spacing w:val="1"/>
        </w:rPr>
        <w:t>n</w:t>
      </w:r>
      <w:r w:rsidRPr="00C050B2">
        <w:rPr>
          <w:rFonts w:eastAsia="Arial" w:cs="Arial"/>
          <w:spacing w:val="-2"/>
          <w:szCs w:val="20"/>
        </w:rPr>
        <w:t>/</w:t>
      </w:r>
      <w:r w:rsidRPr="00C050B2">
        <w:rPr>
          <w:rFonts w:eastAsia="Arial" w:cs="Arial"/>
          <w:szCs w:val="20"/>
        </w:rPr>
        <w:t>Ass</w:t>
      </w:r>
      <w:r w:rsidRPr="00C050B2">
        <w:rPr>
          <w:rFonts w:eastAsia="Arial" w:cs="Arial"/>
          <w:spacing w:val="1"/>
          <w:szCs w:val="20"/>
        </w:rPr>
        <w:t>u</w:t>
      </w:r>
      <w:r w:rsidRPr="00C050B2">
        <w:rPr>
          <w:rFonts w:eastAsia="Arial" w:cs="Arial"/>
          <w:szCs w:val="20"/>
        </w:rPr>
        <w:t>r</w:t>
      </w:r>
      <w:r w:rsidRPr="00C050B2">
        <w:rPr>
          <w:rFonts w:eastAsia="Arial" w:cs="Arial"/>
          <w:spacing w:val="1"/>
          <w:szCs w:val="20"/>
        </w:rPr>
        <w:t>an</w:t>
      </w:r>
      <w:r w:rsidRPr="00C050B2">
        <w:rPr>
          <w:rFonts w:eastAsia="Arial" w:cs="Arial"/>
          <w:szCs w:val="20"/>
        </w:rPr>
        <w:t>ce Sc</w:t>
      </w:r>
      <w:r w:rsidRPr="00C050B2">
        <w:rPr>
          <w:rFonts w:eastAsia="Arial" w:cs="Arial"/>
          <w:spacing w:val="-4"/>
          <w:szCs w:val="20"/>
        </w:rPr>
        <w:t>o</w:t>
      </w:r>
      <w:r w:rsidRPr="00C050B2">
        <w:rPr>
          <w:rFonts w:eastAsia="Arial" w:cs="Arial"/>
          <w:spacing w:val="1"/>
          <w:szCs w:val="20"/>
        </w:rPr>
        <w:t>p</w:t>
      </w:r>
      <w:r w:rsidRPr="00C050B2">
        <w:rPr>
          <w:rFonts w:eastAsia="Arial" w:cs="Arial"/>
          <w:szCs w:val="20"/>
        </w:rPr>
        <w:t>e</w:t>
      </w:r>
    </w:p>
    <w:p w14:paraId="22944818" w14:textId="77777777" w:rsidR="00C1793C" w:rsidRPr="00C050B2" w:rsidRDefault="00C1793C" w:rsidP="00C1793C">
      <w:pPr>
        <w:ind w:left="861" w:right="302"/>
        <w:rPr>
          <w:rFonts w:eastAsia="Arial" w:cs="Arial"/>
          <w:szCs w:val="20"/>
        </w:rPr>
      </w:pPr>
      <w:r w:rsidRPr="00C050B2">
        <w:rPr>
          <w:rFonts w:eastAsia="Arial" w:cs="Arial"/>
          <w:i/>
          <w:szCs w:val="20"/>
        </w:rPr>
        <w:t>&lt;</w:t>
      </w:r>
      <w:r w:rsidRPr="00C050B2">
        <w:rPr>
          <w:rFonts w:eastAsia="Arial" w:cs="Arial"/>
          <w:i/>
          <w:spacing w:val="-2"/>
          <w:szCs w:val="20"/>
        </w:rPr>
        <w:t>T</w:t>
      </w:r>
      <w:r w:rsidRPr="00C050B2">
        <w:rPr>
          <w:rFonts w:eastAsia="Arial" w:cs="Arial"/>
          <w:i/>
          <w:spacing w:val="1"/>
          <w:szCs w:val="20"/>
        </w:rPr>
        <w:t>hi</w:t>
      </w:r>
      <w:r w:rsidRPr="00C050B2">
        <w:rPr>
          <w:rFonts w:eastAsia="Arial" w:cs="Arial"/>
          <w:i/>
          <w:szCs w:val="20"/>
        </w:rPr>
        <w:t>s</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e</w:t>
      </w:r>
      <w:r w:rsidRPr="00C050B2">
        <w:rPr>
          <w:rFonts w:eastAsia="Arial" w:cs="Arial"/>
          <w:i/>
          <w:szCs w:val="20"/>
        </w:rPr>
        <w:t>c</w:t>
      </w:r>
      <w:r w:rsidRPr="00C050B2">
        <w:rPr>
          <w:rFonts w:eastAsia="Arial" w:cs="Arial"/>
          <w:i/>
          <w:spacing w:val="-2"/>
          <w:szCs w:val="20"/>
        </w:rPr>
        <w:t>t</w:t>
      </w:r>
      <w:r w:rsidRPr="00C050B2">
        <w:rPr>
          <w:rFonts w:eastAsia="Arial" w:cs="Arial"/>
          <w:i/>
          <w:spacing w:val="1"/>
          <w:szCs w:val="20"/>
        </w:rPr>
        <w:t>io</w:t>
      </w:r>
      <w:r w:rsidRPr="00C050B2">
        <w:rPr>
          <w:rFonts w:eastAsia="Arial" w:cs="Arial"/>
          <w:i/>
          <w:szCs w:val="20"/>
        </w:rPr>
        <w:t xml:space="preserve">n </w:t>
      </w:r>
      <w:r w:rsidRPr="00C050B2">
        <w:rPr>
          <w:rFonts w:eastAsia="Arial" w:cs="Arial"/>
          <w:i/>
          <w:spacing w:val="1"/>
          <w:szCs w:val="20"/>
        </w:rPr>
        <w:t>de</w:t>
      </w:r>
      <w:r w:rsidRPr="00C050B2">
        <w:rPr>
          <w:rFonts w:eastAsia="Arial" w:cs="Arial"/>
          <w:i/>
          <w:szCs w:val="20"/>
        </w:rPr>
        <w:t>scr</w:t>
      </w:r>
      <w:r w:rsidRPr="00C050B2">
        <w:rPr>
          <w:rFonts w:eastAsia="Arial" w:cs="Arial"/>
          <w:i/>
          <w:spacing w:val="-3"/>
          <w:szCs w:val="20"/>
        </w:rPr>
        <w:t>i</w:t>
      </w:r>
      <w:r w:rsidRPr="00C050B2">
        <w:rPr>
          <w:rFonts w:eastAsia="Arial" w:cs="Arial"/>
          <w:i/>
          <w:spacing w:val="1"/>
          <w:szCs w:val="20"/>
        </w:rPr>
        <w:t>be</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sc</w:t>
      </w:r>
      <w:r w:rsidRPr="00C050B2">
        <w:rPr>
          <w:rFonts w:eastAsia="Arial" w:cs="Arial"/>
          <w:i/>
          <w:spacing w:val="1"/>
          <w:szCs w:val="20"/>
        </w:rPr>
        <w:t>o</w:t>
      </w:r>
      <w:r w:rsidRPr="00C050B2">
        <w:rPr>
          <w:rFonts w:eastAsia="Arial" w:cs="Arial"/>
          <w:i/>
          <w:spacing w:val="-3"/>
          <w:szCs w:val="20"/>
        </w:rPr>
        <w:t>p</w:t>
      </w:r>
      <w:r w:rsidRPr="00C050B2">
        <w:rPr>
          <w:rFonts w:eastAsia="Arial" w:cs="Arial"/>
          <w:i/>
          <w:szCs w:val="20"/>
        </w:rPr>
        <w:t xml:space="preserve">e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Accr</w:t>
      </w:r>
      <w:r w:rsidRPr="00C050B2">
        <w:rPr>
          <w:rFonts w:eastAsia="Arial" w:cs="Arial"/>
          <w:i/>
          <w:spacing w:val="1"/>
          <w:szCs w:val="20"/>
        </w:rPr>
        <w:t>edi</w:t>
      </w:r>
      <w:r w:rsidRPr="00C050B2">
        <w:rPr>
          <w:rFonts w:eastAsia="Arial" w:cs="Arial"/>
          <w:i/>
          <w:spacing w:val="-2"/>
          <w:szCs w:val="20"/>
        </w:rPr>
        <w:t>t</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1"/>
          <w:szCs w:val="20"/>
        </w:rPr>
        <w:t>ion</w:t>
      </w:r>
      <w:r w:rsidRPr="00C050B2">
        <w:rPr>
          <w:rFonts w:eastAsia="Arial" w:cs="Arial"/>
          <w:i/>
          <w:spacing w:val="-2"/>
          <w:szCs w:val="20"/>
        </w:rPr>
        <w:t>/</w:t>
      </w:r>
      <w:r w:rsidRPr="00C050B2">
        <w:rPr>
          <w:rFonts w:eastAsia="Arial" w:cs="Arial"/>
          <w:i/>
          <w:szCs w:val="20"/>
        </w:rPr>
        <w:t>Ass</w:t>
      </w:r>
      <w:r w:rsidRPr="00C050B2">
        <w:rPr>
          <w:rFonts w:eastAsia="Arial" w:cs="Arial"/>
          <w:i/>
          <w:spacing w:val="1"/>
          <w:szCs w:val="20"/>
        </w:rPr>
        <w:t>u</w:t>
      </w:r>
      <w:r w:rsidRPr="00C050B2">
        <w:rPr>
          <w:rFonts w:eastAsia="Arial" w:cs="Arial"/>
          <w:i/>
          <w:szCs w:val="20"/>
        </w:rPr>
        <w:t>r</w:t>
      </w:r>
      <w:r w:rsidRPr="00C050B2">
        <w:rPr>
          <w:rFonts w:eastAsia="Arial" w:cs="Arial"/>
          <w:i/>
          <w:spacing w:val="1"/>
          <w:szCs w:val="20"/>
        </w:rPr>
        <w:t>an</w:t>
      </w:r>
      <w:r w:rsidRPr="00C050B2">
        <w:rPr>
          <w:rFonts w:eastAsia="Arial" w:cs="Arial"/>
          <w:i/>
          <w:spacing w:val="-5"/>
          <w:szCs w:val="20"/>
        </w:rPr>
        <w:t>c</w:t>
      </w:r>
      <w:r w:rsidRPr="00C050B2">
        <w:rPr>
          <w:rFonts w:eastAsia="Arial" w:cs="Arial"/>
          <w:i/>
          <w:szCs w:val="20"/>
        </w:rPr>
        <w:t xml:space="preserve">e </w:t>
      </w:r>
      <w:r w:rsidRPr="00C050B2">
        <w:rPr>
          <w:rFonts w:eastAsia="Arial" w:cs="Arial"/>
          <w:i/>
          <w:spacing w:val="-2"/>
          <w:szCs w:val="20"/>
        </w:rPr>
        <w:t>f</w:t>
      </w:r>
      <w:r w:rsidRPr="00C050B2">
        <w:rPr>
          <w:rFonts w:eastAsia="Arial" w:cs="Arial"/>
          <w:i/>
          <w:spacing w:val="1"/>
          <w:szCs w:val="20"/>
        </w:rPr>
        <w:t>o</w:t>
      </w:r>
      <w:r w:rsidRPr="00C050B2">
        <w:rPr>
          <w:rFonts w:eastAsia="Arial" w:cs="Arial"/>
          <w:i/>
          <w:szCs w:val="20"/>
        </w:rPr>
        <w:t>r</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sys</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m.</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sc</w:t>
      </w:r>
      <w:r w:rsidRPr="00C050B2">
        <w:rPr>
          <w:rFonts w:eastAsia="Arial" w:cs="Arial"/>
          <w:i/>
          <w:spacing w:val="1"/>
          <w:szCs w:val="20"/>
        </w:rPr>
        <w:t>op</w:t>
      </w:r>
      <w:r w:rsidRPr="00C050B2">
        <w:rPr>
          <w:rFonts w:eastAsia="Arial" w:cs="Arial"/>
          <w:i/>
          <w:szCs w:val="20"/>
        </w:rPr>
        <w:t xml:space="preserve">e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a</w:t>
      </w:r>
      <w:r w:rsidRPr="00C050B2">
        <w:rPr>
          <w:rFonts w:eastAsia="Arial" w:cs="Arial"/>
          <w:i/>
          <w:szCs w:val="20"/>
        </w:rPr>
        <w:t>ss</w:t>
      </w:r>
      <w:r w:rsidRPr="00C050B2">
        <w:rPr>
          <w:rFonts w:eastAsia="Arial" w:cs="Arial"/>
          <w:i/>
          <w:spacing w:val="1"/>
          <w:szCs w:val="20"/>
        </w:rPr>
        <w:t>u</w:t>
      </w:r>
      <w:r w:rsidRPr="00C050B2">
        <w:rPr>
          <w:rFonts w:eastAsia="Arial" w:cs="Arial"/>
          <w:i/>
          <w:szCs w:val="20"/>
        </w:rPr>
        <w:t>r</w:t>
      </w:r>
      <w:r w:rsidRPr="00C050B2">
        <w:rPr>
          <w:rFonts w:eastAsia="Arial" w:cs="Arial"/>
          <w:i/>
          <w:spacing w:val="1"/>
          <w:szCs w:val="20"/>
        </w:rPr>
        <w:t>an</w:t>
      </w:r>
      <w:r w:rsidRPr="00C050B2">
        <w:rPr>
          <w:rFonts w:eastAsia="Arial" w:cs="Arial"/>
          <w:i/>
          <w:spacing w:val="3"/>
          <w:szCs w:val="20"/>
        </w:rPr>
        <w:t>c</w:t>
      </w:r>
      <w:r w:rsidRPr="00C050B2">
        <w:rPr>
          <w:rFonts w:eastAsia="Arial" w:cs="Arial"/>
          <w:i/>
          <w:szCs w:val="20"/>
        </w:rPr>
        <w:t xml:space="preserve">e </w:t>
      </w:r>
      <w:r w:rsidRPr="00C050B2">
        <w:rPr>
          <w:rFonts w:eastAsia="Arial" w:cs="Arial"/>
          <w:i/>
          <w:spacing w:val="1"/>
          <w:szCs w:val="20"/>
        </w:rPr>
        <w:t>a</w:t>
      </w:r>
      <w:r w:rsidRPr="00C050B2">
        <w:rPr>
          <w:rFonts w:eastAsia="Arial" w:cs="Arial"/>
          <w:i/>
          <w:szCs w:val="20"/>
        </w:rPr>
        <w:t>ss</w:t>
      </w:r>
      <w:r w:rsidRPr="00C050B2">
        <w:rPr>
          <w:rFonts w:eastAsia="Arial" w:cs="Arial"/>
          <w:i/>
          <w:spacing w:val="1"/>
          <w:szCs w:val="20"/>
        </w:rPr>
        <w:t>e</w:t>
      </w:r>
      <w:r w:rsidRPr="00C050B2">
        <w:rPr>
          <w:rFonts w:eastAsia="Arial" w:cs="Arial"/>
          <w:i/>
          <w:szCs w:val="20"/>
        </w:rPr>
        <w:t>ss</w:t>
      </w:r>
      <w:r w:rsidRPr="00C050B2">
        <w:rPr>
          <w:rFonts w:eastAsia="Arial" w:cs="Arial"/>
          <w:i/>
          <w:spacing w:val="-5"/>
          <w:szCs w:val="20"/>
        </w:rPr>
        <w:t>m</w:t>
      </w:r>
      <w:r w:rsidRPr="00C050B2">
        <w:rPr>
          <w:rFonts w:eastAsia="Arial" w:cs="Arial"/>
          <w:i/>
          <w:spacing w:val="-3"/>
          <w:szCs w:val="20"/>
        </w:rPr>
        <w:t>e</w:t>
      </w:r>
      <w:r w:rsidRPr="00C050B2">
        <w:rPr>
          <w:rFonts w:eastAsia="Arial" w:cs="Arial"/>
          <w:i/>
          <w:spacing w:val="1"/>
          <w:szCs w:val="20"/>
        </w:rPr>
        <w:t>n</w:t>
      </w:r>
      <w:r w:rsidRPr="00C050B2">
        <w:rPr>
          <w:rFonts w:eastAsia="Arial" w:cs="Arial"/>
          <w:i/>
          <w:szCs w:val="20"/>
        </w:rPr>
        <w:t>t</w:t>
      </w:r>
      <w:r w:rsidRPr="00C050B2">
        <w:rPr>
          <w:rFonts w:eastAsia="Arial" w:cs="Arial"/>
          <w:i/>
          <w:spacing w:val="-3"/>
          <w:szCs w:val="20"/>
        </w:rPr>
        <w:t xml:space="preserve"> </w:t>
      </w:r>
      <w:r w:rsidRPr="00C050B2">
        <w:rPr>
          <w:rFonts w:eastAsia="Arial" w:cs="Arial"/>
          <w:i/>
          <w:szCs w:val="20"/>
        </w:rPr>
        <w:t>s</w:t>
      </w:r>
      <w:r w:rsidRPr="00C050B2">
        <w:rPr>
          <w:rFonts w:eastAsia="Arial" w:cs="Arial"/>
          <w:i/>
          <w:spacing w:val="1"/>
          <w:szCs w:val="20"/>
        </w:rPr>
        <w:t>houl</w:t>
      </w:r>
      <w:r w:rsidRPr="00C050B2">
        <w:rPr>
          <w:rFonts w:eastAsia="Arial" w:cs="Arial"/>
          <w:i/>
          <w:szCs w:val="20"/>
        </w:rPr>
        <w:t xml:space="preserve">d </w:t>
      </w:r>
      <w:r w:rsidRPr="00C050B2">
        <w:rPr>
          <w:rFonts w:eastAsia="Arial" w:cs="Arial"/>
          <w:i/>
          <w:spacing w:val="1"/>
          <w:szCs w:val="20"/>
        </w:rPr>
        <w:t>b</w:t>
      </w:r>
      <w:r w:rsidRPr="00C050B2">
        <w:rPr>
          <w:rFonts w:eastAsia="Arial" w:cs="Arial"/>
          <w:i/>
          <w:szCs w:val="20"/>
        </w:rPr>
        <w:t>e c</w:t>
      </w:r>
      <w:r w:rsidRPr="00C050B2">
        <w:rPr>
          <w:rFonts w:eastAsia="Arial" w:cs="Arial"/>
          <w:i/>
          <w:spacing w:val="-3"/>
          <w:szCs w:val="20"/>
        </w:rPr>
        <w:t>l</w:t>
      </w:r>
      <w:r w:rsidRPr="00C050B2">
        <w:rPr>
          <w:rFonts w:eastAsia="Arial" w:cs="Arial"/>
          <w:i/>
          <w:spacing w:val="1"/>
          <w:szCs w:val="20"/>
        </w:rPr>
        <w:t>ea</w:t>
      </w:r>
      <w:r w:rsidRPr="00C050B2">
        <w:rPr>
          <w:rFonts w:eastAsia="Arial" w:cs="Arial"/>
          <w:i/>
          <w:szCs w:val="20"/>
        </w:rPr>
        <w:t>r</w:t>
      </w:r>
      <w:r w:rsidRPr="00C050B2">
        <w:rPr>
          <w:rFonts w:eastAsia="Arial" w:cs="Arial"/>
          <w:i/>
          <w:spacing w:val="1"/>
          <w:szCs w:val="20"/>
        </w:rPr>
        <w:t>l</w:t>
      </w:r>
      <w:r w:rsidRPr="00C050B2">
        <w:rPr>
          <w:rFonts w:eastAsia="Arial" w:cs="Arial"/>
          <w:i/>
          <w:szCs w:val="20"/>
        </w:rPr>
        <w:t>y</w:t>
      </w:r>
      <w:r w:rsidRPr="00C050B2">
        <w:rPr>
          <w:rFonts w:eastAsia="Arial" w:cs="Arial"/>
          <w:i/>
          <w:spacing w:val="-1"/>
          <w:szCs w:val="20"/>
        </w:rPr>
        <w:t xml:space="preserve"> </w:t>
      </w:r>
      <w:r w:rsidRPr="00C050B2">
        <w:rPr>
          <w:rFonts w:eastAsia="Arial" w:cs="Arial"/>
          <w:i/>
          <w:spacing w:val="-3"/>
          <w:szCs w:val="20"/>
        </w:rPr>
        <w:t>i</w:t>
      </w:r>
      <w:r w:rsidRPr="00C050B2">
        <w:rPr>
          <w:rFonts w:eastAsia="Arial" w:cs="Arial"/>
          <w:i/>
          <w:spacing w:val="1"/>
          <w:szCs w:val="20"/>
        </w:rPr>
        <w:t>ndi</w:t>
      </w:r>
      <w:r w:rsidRPr="00C050B2">
        <w:rPr>
          <w:rFonts w:eastAsia="Arial" w:cs="Arial"/>
          <w:i/>
          <w:spacing w:val="-5"/>
          <w:szCs w:val="20"/>
        </w:rPr>
        <w:t>c</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1"/>
          <w:szCs w:val="20"/>
        </w:rPr>
        <w:t>ed</w:t>
      </w:r>
      <w:r w:rsidRPr="00C050B2">
        <w:rPr>
          <w:rFonts w:eastAsia="Arial" w:cs="Arial"/>
          <w:i/>
          <w:szCs w:val="20"/>
        </w:rPr>
        <w:t xml:space="preserve">, </w:t>
      </w:r>
      <w:r w:rsidRPr="00C050B2">
        <w:rPr>
          <w:rFonts w:eastAsia="Arial" w:cs="Arial"/>
          <w:i/>
          <w:spacing w:val="1"/>
          <w:szCs w:val="20"/>
        </w:rPr>
        <w:t>wi</w:t>
      </w:r>
      <w:r w:rsidRPr="00C050B2">
        <w:rPr>
          <w:rFonts w:eastAsia="Arial" w:cs="Arial"/>
          <w:i/>
          <w:spacing w:val="-2"/>
          <w:szCs w:val="20"/>
        </w:rPr>
        <w:t>t</w:t>
      </w:r>
      <w:r w:rsidRPr="00C050B2">
        <w:rPr>
          <w:rFonts w:eastAsia="Arial" w:cs="Arial"/>
          <w:i/>
          <w:szCs w:val="20"/>
        </w:rPr>
        <w:t>h c</w:t>
      </w:r>
      <w:r w:rsidRPr="00C050B2">
        <w:rPr>
          <w:rFonts w:eastAsia="Arial" w:cs="Arial"/>
          <w:i/>
          <w:spacing w:val="1"/>
          <w:szCs w:val="20"/>
        </w:rPr>
        <w:t>o</w:t>
      </w:r>
      <w:r w:rsidRPr="00C050B2">
        <w:rPr>
          <w:rFonts w:eastAsia="Arial" w:cs="Arial"/>
          <w:i/>
          <w:szCs w:val="20"/>
        </w:rPr>
        <w:t>m</w:t>
      </w:r>
      <w:r w:rsidRPr="00C050B2">
        <w:rPr>
          <w:rFonts w:eastAsia="Arial" w:cs="Arial"/>
          <w:i/>
          <w:spacing w:val="1"/>
          <w:szCs w:val="20"/>
        </w:rPr>
        <w:t>p</w:t>
      </w:r>
      <w:r w:rsidRPr="00C050B2">
        <w:rPr>
          <w:rFonts w:eastAsia="Arial" w:cs="Arial"/>
          <w:i/>
          <w:spacing w:val="-3"/>
          <w:szCs w:val="20"/>
        </w:rPr>
        <w:t>o</w:t>
      </w:r>
      <w:r w:rsidRPr="00C050B2">
        <w:rPr>
          <w:rFonts w:eastAsia="Arial" w:cs="Arial"/>
          <w:i/>
          <w:spacing w:val="1"/>
          <w:szCs w:val="20"/>
        </w:rPr>
        <w:t>nen</w:t>
      </w:r>
      <w:r w:rsidRPr="00C050B2">
        <w:rPr>
          <w:rFonts w:eastAsia="Arial" w:cs="Arial"/>
          <w:i/>
          <w:spacing w:val="-2"/>
          <w:szCs w:val="20"/>
        </w:rPr>
        <w:t>t</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a</w:t>
      </w:r>
      <w:r w:rsidRPr="00C050B2">
        <w:rPr>
          <w:rFonts w:eastAsia="Arial" w:cs="Arial"/>
          <w:i/>
          <w:szCs w:val="20"/>
        </w:rPr>
        <w:t>rc</w:t>
      </w:r>
      <w:r w:rsidRPr="00C050B2">
        <w:rPr>
          <w:rFonts w:eastAsia="Arial" w:cs="Arial"/>
          <w:i/>
          <w:spacing w:val="1"/>
          <w:szCs w:val="20"/>
        </w:rPr>
        <w:t>hi</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c</w:t>
      </w:r>
      <w:r w:rsidRPr="00C050B2">
        <w:rPr>
          <w:rFonts w:eastAsia="Arial" w:cs="Arial"/>
          <w:i/>
          <w:spacing w:val="-2"/>
          <w:szCs w:val="20"/>
        </w:rPr>
        <w:t>t</w:t>
      </w:r>
      <w:r w:rsidRPr="00C050B2">
        <w:rPr>
          <w:rFonts w:eastAsia="Arial" w:cs="Arial"/>
          <w:i/>
          <w:spacing w:val="1"/>
          <w:szCs w:val="20"/>
        </w:rPr>
        <w:t>u</w:t>
      </w:r>
      <w:r w:rsidRPr="00C050B2">
        <w:rPr>
          <w:rFonts w:eastAsia="Arial" w:cs="Arial"/>
          <w:i/>
          <w:szCs w:val="20"/>
        </w:rPr>
        <w:t xml:space="preserve">re </w:t>
      </w:r>
      <w:r w:rsidRPr="00C050B2">
        <w:rPr>
          <w:rFonts w:eastAsia="Arial" w:cs="Arial"/>
          <w:i/>
          <w:spacing w:val="-3"/>
          <w:szCs w:val="20"/>
        </w:rPr>
        <w:t>u</w:t>
      </w:r>
      <w:r w:rsidRPr="00C050B2">
        <w:rPr>
          <w:rFonts w:eastAsia="Arial" w:cs="Arial"/>
          <w:i/>
          <w:spacing w:val="1"/>
          <w:szCs w:val="20"/>
        </w:rPr>
        <w:t>po</w:t>
      </w:r>
      <w:r w:rsidRPr="00C050B2">
        <w:rPr>
          <w:rFonts w:eastAsia="Arial" w:cs="Arial"/>
          <w:i/>
          <w:szCs w:val="20"/>
        </w:rPr>
        <w:t xml:space="preserve">n </w:t>
      </w:r>
      <w:r w:rsidRPr="00C050B2">
        <w:rPr>
          <w:rFonts w:eastAsia="Arial" w:cs="Arial"/>
          <w:i/>
          <w:spacing w:val="1"/>
          <w:szCs w:val="20"/>
        </w:rPr>
        <w:t>w</w:t>
      </w:r>
      <w:r w:rsidRPr="00C050B2">
        <w:rPr>
          <w:rFonts w:eastAsia="Arial" w:cs="Arial"/>
          <w:i/>
          <w:spacing w:val="-3"/>
          <w:szCs w:val="20"/>
        </w:rPr>
        <w:t>h</w:t>
      </w:r>
      <w:r w:rsidRPr="00C050B2">
        <w:rPr>
          <w:rFonts w:eastAsia="Arial" w:cs="Arial"/>
          <w:i/>
          <w:spacing w:val="1"/>
          <w:szCs w:val="20"/>
        </w:rPr>
        <w:t>i</w:t>
      </w:r>
      <w:r w:rsidRPr="00C050B2">
        <w:rPr>
          <w:rFonts w:eastAsia="Arial" w:cs="Arial"/>
          <w:i/>
          <w:szCs w:val="20"/>
        </w:rPr>
        <w:t>ch</w:t>
      </w:r>
      <w:r w:rsidRPr="00C050B2">
        <w:rPr>
          <w:rFonts w:eastAsia="Arial" w:cs="Arial"/>
          <w:i/>
          <w:spacing w:val="-5"/>
          <w:szCs w:val="20"/>
        </w:rPr>
        <w:t xml:space="preserve"> </w:t>
      </w:r>
      <w:r w:rsidRPr="00C050B2">
        <w:rPr>
          <w:rFonts w:eastAsia="Arial" w:cs="Arial"/>
          <w:i/>
          <w:szCs w:val="20"/>
        </w:rPr>
        <w:t>r</w:t>
      </w:r>
      <w:r w:rsidRPr="00C050B2">
        <w:rPr>
          <w:rFonts w:eastAsia="Arial" w:cs="Arial"/>
          <w:i/>
          <w:spacing w:val="1"/>
          <w:szCs w:val="20"/>
        </w:rPr>
        <w:t>elian</w:t>
      </w:r>
      <w:r w:rsidRPr="00C050B2">
        <w:rPr>
          <w:rFonts w:eastAsia="Arial" w:cs="Arial"/>
          <w:i/>
          <w:spacing w:val="-5"/>
          <w:szCs w:val="20"/>
        </w:rPr>
        <w:t>c</w:t>
      </w:r>
      <w:r w:rsidRPr="00C050B2">
        <w:rPr>
          <w:rFonts w:eastAsia="Arial" w:cs="Arial"/>
          <w:i/>
          <w:szCs w:val="20"/>
        </w:rPr>
        <w:t xml:space="preserve">e </w:t>
      </w:r>
      <w:r w:rsidRPr="00C050B2">
        <w:rPr>
          <w:rFonts w:eastAsia="Arial" w:cs="Arial"/>
          <w:i/>
          <w:spacing w:val="1"/>
          <w:szCs w:val="20"/>
        </w:rPr>
        <w:t>i</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pla</w:t>
      </w:r>
      <w:r w:rsidRPr="00C050B2">
        <w:rPr>
          <w:rFonts w:eastAsia="Arial" w:cs="Arial"/>
          <w:i/>
          <w:szCs w:val="20"/>
        </w:rPr>
        <w:t>c</w:t>
      </w:r>
      <w:r w:rsidRPr="00C050B2">
        <w:rPr>
          <w:rFonts w:eastAsia="Arial" w:cs="Arial"/>
          <w:i/>
          <w:spacing w:val="-3"/>
          <w:szCs w:val="20"/>
        </w:rPr>
        <w:t>e</w:t>
      </w:r>
      <w:r w:rsidRPr="00C050B2">
        <w:rPr>
          <w:rFonts w:eastAsia="Arial" w:cs="Arial"/>
          <w:i/>
          <w:szCs w:val="20"/>
        </w:rPr>
        <w:t xml:space="preserve">d </w:t>
      </w:r>
      <w:r w:rsidRPr="00C050B2">
        <w:rPr>
          <w:rFonts w:eastAsia="Arial" w:cs="Arial"/>
          <w:i/>
          <w:spacing w:val="1"/>
          <w:szCs w:val="20"/>
        </w:rPr>
        <w:t>bu</w:t>
      </w:r>
      <w:r w:rsidRPr="00C050B2">
        <w:rPr>
          <w:rFonts w:eastAsia="Arial" w:cs="Arial"/>
          <w:i/>
          <w:szCs w:val="20"/>
        </w:rPr>
        <w:t xml:space="preserve">t </w:t>
      </w:r>
      <w:r w:rsidRPr="00C050B2">
        <w:rPr>
          <w:rFonts w:eastAsia="Arial" w:cs="Arial"/>
          <w:i/>
          <w:spacing w:val="1"/>
          <w:szCs w:val="20"/>
        </w:rPr>
        <w:t>a</w:t>
      </w:r>
      <w:r w:rsidRPr="00C050B2">
        <w:rPr>
          <w:rFonts w:eastAsia="Arial" w:cs="Arial"/>
          <w:i/>
          <w:szCs w:val="20"/>
        </w:rPr>
        <w:t>ss</w:t>
      </w:r>
      <w:r w:rsidRPr="00C050B2">
        <w:rPr>
          <w:rFonts w:eastAsia="Arial" w:cs="Arial"/>
          <w:i/>
          <w:spacing w:val="1"/>
          <w:szCs w:val="20"/>
        </w:rPr>
        <w:t>u</w:t>
      </w:r>
      <w:r w:rsidRPr="00C050B2">
        <w:rPr>
          <w:rFonts w:eastAsia="Arial" w:cs="Arial"/>
          <w:i/>
          <w:szCs w:val="20"/>
        </w:rPr>
        <w:t>r</w:t>
      </w:r>
      <w:r w:rsidRPr="00C050B2">
        <w:rPr>
          <w:rFonts w:eastAsia="Arial" w:cs="Arial"/>
          <w:i/>
          <w:spacing w:val="1"/>
          <w:szCs w:val="20"/>
        </w:rPr>
        <w:t>an</w:t>
      </w:r>
      <w:r w:rsidRPr="00C050B2">
        <w:rPr>
          <w:rFonts w:eastAsia="Arial" w:cs="Arial"/>
          <w:i/>
          <w:spacing w:val="-5"/>
          <w:szCs w:val="20"/>
        </w:rPr>
        <w:t>c</w:t>
      </w:r>
      <w:r w:rsidRPr="00C050B2">
        <w:rPr>
          <w:rFonts w:eastAsia="Arial" w:cs="Arial"/>
          <w:i/>
          <w:szCs w:val="20"/>
        </w:rPr>
        <w:t xml:space="preserve">e </w:t>
      </w:r>
      <w:r w:rsidRPr="00C050B2">
        <w:rPr>
          <w:rFonts w:eastAsia="Arial" w:cs="Arial"/>
          <w:i/>
          <w:spacing w:val="1"/>
          <w:szCs w:val="20"/>
        </w:rPr>
        <w:t>wi</w:t>
      </w:r>
      <w:r w:rsidRPr="00C050B2">
        <w:rPr>
          <w:rFonts w:eastAsia="Arial" w:cs="Arial"/>
          <w:i/>
          <w:spacing w:val="-3"/>
          <w:szCs w:val="20"/>
        </w:rPr>
        <w:t>l</w:t>
      </w:r>
      <w:r w:rsidRPr="00C050B2">
        <w:rPr>
          <w:rFonts w:eastAsia="Arial" w:cs="Arial"/>
          <w:i/>
          <w:szCs w:val="20"/>
        </w:rPr>
        <w:t xml:space="preserve">l </w:t>
      </w:r>
      <w:r w:rsidRPr="00C050B2">
        <w:rPr>
          <w:rFonts w:eastAsia="Arial" w:cs="Arial"/>
          <w:i/>
          <w:spacing w:val="1"/>
          <w:szCs w:val="20"/>
        </w:rPr>
        <w:t>no</w:t>
      </w:r>
      <w:r w:rsidRPr="00C050B2">
        <w:rPr>
          <w:rFonts w:eastAsia="Arial" w:cs="Arial"/>
          <w:i/>
          <w:szCs w:val="20"/>
        </w:rPr>
        <w:t>t</w:t>
      </w:r>
      <w:r w:rsidRPr="00C050B2">
        <w:rPr>
          <w:rFonts w:eastAsia="Arial" w:cs="Arial"/>
          <w:i/>
          <w:spacing w:val="-3"/>
          <w:szCs w:val="20"/>
        </w:rPr>
        <w:t xml:space="preserve"> </w:t>
      </w:r>
      <w:r w:rsidRPr="00C050B2">
        <w:rPr>
          <w:rFonts w:eastAsia="Arial" w:cs="Arial"/>
          <w:i/>
          <w:spacing w:val="1"/>
          <w:szCs w:val="20"/>
        </w:rPr>
        <w:t>b</w:t>
      </w:r>
      <w:r w:rsidRPr="00C050B2">
        <w:rPr>
          <w:rFonts w:eastAsia="Arial" w:cs="Arial"/>
          <w:i/>
          <w:szCs w:val="20"/>
        </w:rPr>
        <w:t xml:space="preserve">e </w:t>
      </w:r>
      <w:r w:rsidRPr="00C050B2">
        <w:rPr>
          <w:rFonts w:eastAsia="Arial" w:cs="Arial"/>
          <w:i/>
          <w:spacing w:val="1"/>
          <w:szCs w:val="20"/>
        </w:rPr>
        <w:t>do</w:t>
      </w:r>
      <w:r w:rsidRPr="00C050B2">
        <w:rPr>
          <w:rFonts w:eastAsia="Arial" w:cs="Arial"/>
          <w:i/>
          <w:spacing w:val="-3"/>
          <w:szCs w:val="20"/>
        </w:rPr>
        <w:t>n</w:t>
      </w:r>
      <w:r w:rsidRPr="00C050B2">
        <w:rPr>
          <w:rFonts w:eastAsia="Arial" w:cs="Arial"/>
          <w:i/>
          <w:szCs w:val="20"/>
        </w:rPr>
        <w:t>e c</w:t>
      </w:r>
      <w:r w:rsidRPr="00C050B2">
        <w:rPr>
          <w:rFonts w:eastAsia="Arial" w:cs="Arial"/>
          <w:i/>
          <w:spacing w:val="1"/>
          <w:szCs w:val="20"/>
        </w:rPr>
        <w:t>lea</w:t>
      </w:r>
      <w:r w:rsidRPr="00C050B2">
        <w:rPr>
          <w:rFonts w:eastAsia="Arial" w:cs="Arial"/>
          <w:i/>
          <w:spacing w:val="-5"/>
          <w:szCs w:val="20"/>
        </w:rPr>
        <w:t>r</w:t>
      </w:r>
      <w:r w:rsidRPr="00C050B2">
        <w:rPr>
          <w:rFonts w:eastAsia="Arial" w:cs="Arial"/>
          <w:i/>
          <w:spacing w:val="1"/>
          <w:szCs w:val="20"/>
        </w:rPr>
        <w:t>l</w:t>
      </w:r>
      <w:r w:rsidRPr="00C050B2">
        <w:rPr>
          <w:rFonts w:eastAsia="Arial" w:cs="Arial"/>
          <w:i/>
          <w:szCs w:val="20"/>
        </w:rPr>
        <w:t>y</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ho</w:t>
      </w:r>
      <w:r w:rsidRPr="00C050B2">
        <w:rPr>
          <w:rFonts w:eastAsia="Arial" w:cs="Arial"/>
          <w:i/>
          <w:spacing w:val="-3"/>
          <w:szCs w:val="20"/>
        </w:rPr>
        <w:t>w</w:t>
      </w:r>
      <w:r w:rsidRPr="00C050B2">
        <w:rPr>
          <w:rFonts w:eastAsia="Arial" w:cs="Arial"/>
          <w:i/>
          <w:szCs w:val="20"/>
        </w:rPr>
        <w:t xml:space="preserve">n </w:t>
      </w:r>
      <w:proofErr w:type="gramStart"/>
      <w:r w:rsidRPr="00C050B2">
        <w:rPr>
          <w:rFonts w:eastAsia="Arial" w:cs="Arial"/>
          <w:i/>
          <w:spacing w:val="1"/>
          <w:szCs w:val="20"/>
        </w:rPr>
        <w:t>e</w:t>
      </w:r>
      <w:r w:rsidRPr="00C050B2">
        <w:rPr>
          <w:rFonts w:eastAsia="Arial" w:cs="Arial"/>
          <w:i/>
          <w:spacing w:val="-2"/>
          <w:szCs w:val="20"/>
        </w:rPr>
        <w:t>.</w:t>
      </w:r>
      <w:r w:rsidRPr="00C050B2">
        <w:rPr>
          <w:rFonts w:eastAsia="Arial" w:cs="Arial"/>
          <w:i/>
          <w:spacing w:val="1"/>
          <w:szCs w:val="20"/>
        </w:rPr>
        <w:t>g</w:t>
      </w:r>
      <w:r w:rsidRPr="00C050B2">
        <w:rPr>
          <w:rFonts w:eastAsia="Arial" w:cs="Arial"/>
          <w:i/>
          <w:szCs w:val="20"/>
        </w:rPr>
        <w:t>.</w:t>
      </w:r>
      <w:proofErr w:type="gramEnd"/>
      <w:r w:rsidRPr="00C050B2">
        <w:rPr>
          <w:rFonts w:eastAsia="Arial" w:cs="Arial"/>
          <w:i/>
          <w:spacing w:val="-3"/>
          <w:szCs w:val="20"/>
        </w:rPr>
        <w:t xml:space="preserve"> </w:t>
      </w:r>
      <w:r w:rsidRPr="00C050B2">
        <w:rPr>
          <w:rFonts w:eastAsia="Arial" w:cs="Arial"/>
          <w:i/>
          <w:szCs w:val="20"/>
        </w:rPr>
        <w:t>a c</w:t>
      </w:r>
      <w:r w:rsidRPr="00C050B2">
        <w:rPr>
          <w:rFonts w:eastAsia="Arial" w:cs="Arial"/>
          <w:i/>
          <w:spacing w:val="1"/>
          <w:szCs w:val="20"/>
        </w:rPr>
        <w:t>lou</w:t>
      </w:r>
      <w:r w:rsidRPr="00C050B2">
        <w:rPr>
          <w:rFonts w:eastAsia="Arial" w:cs="Arial"/>
          <w:i/>
          <w:szCs w:val="20"/>
        </w:rPr>
        <w:t xml:space="preserve">d </w:t>
      </w:r>
      <w:r w:rsidRPr="00C050B2">
        <w:rPr>
          <w:rFonts w:eastAsia="Arial" w:cs="Arial"/>
          <w:i/>
          <w:spacing w:val="-3"/>
          <w:szCs w:val="20"/>
        </w:rPr>
        <w:t>h</w:t>
      </w:r>
      <w:r w:rsidRPr="00C050B2">
        <w:rPr>
          <w:rFonts w:eastAsia="Arial" w:cs="Arial"/>
          <w:i/>
          <w:spacing w:val="1"/>
          <w:szCs w:val="20"/>
        </w:rPr>
        <w:t>o</w:t>
      </w:r>
      <w:r w:rsidRPr="00C050B2">
        <w:rPr>
          <w:rFonts w:eastAsia="Arial" w:cs="Arial"/>
          <w:i/>
          <w:szCs w:val="20"/>
        </w:rPr>
        <w:t>s</w:t>
      </w:r>
      <w:r w:rsidRPr="00C050B2">
        <w:rPr>
          <w:rFonts w:eastAsia="Arial" w:cs="Arial"/>
          <w:i/>
          <w:spacing w:val="-2"/>
          <w:szCs w:val="20"/>
        </w:rPr>
        <w:t>t</w:t>
      </w:r>
      <w:r w:rsidRPr="00C050B2">
        <w:rPr>
          <w:rFonts w:eastAsia="Arial" w:cs="Arial"/>
          <w:i/>
          <w:spacing w:val="1"/>
          <w:szCs w:val="20"/>
        </w:rPr>
        <w:t>in</w:t>
      </w:r>
      <w:r w:rsidRPr="00C050B2">
        <w:rPr>
          <w:rFonts w:eastAsia="Arial" w:cs="Arial"/>
          <w:i/>
          <w:szCs w:val="20"/>
        </w:rPr>
        <w:t>g s</w:t>
      </w:r>
      <w:r w:rsidRPr="00C050B2">
        <w:rPr>
          <w:rFonts w:eastAsia="Arial" w:cs="Arial"/>
          <w:i/>
          <w:spacing w:val="1"/>
          <w:szCs w:val="20"/>
        </w:rPr>
        <w:t>e</w:t>
      </w:r>
      <w:r w:rsidRPr="00C050B2">
        <w:rPr>
          <w:rFonts w:eastAsia="Arial" w:cs="Arial"/>
          <w:i/>
          <w:szCs w:val="20"/>
        </w:rPr>
        <w:t>rv</w:t>
      </w:r>
      <w:r w:rsidRPr="00C050B2">
        <w:rPr>
          <w:rFonts w:eastAsia="Arial" w:cs="Arial"/>
          <w:i/>
          <w:spacing w:val="1"/>
          <w:szCs w:val="20"/>
        </w:rPr>
        <w:t>i</w:t>
      </w:r>
      <w:r w:rsidRPr="00C050B2">
        <w:rPr>
          <w:rFonts w:eastAsia="Arial" w:cs="Arial"/>
          <w:i/>
          <w:spacing w:val="-5"/>
          <w:szCs w:val="20"/>
        </w:rPr>
        <w:t>c</w:t>
      </w:r>
      <w:r w:rsidRPr="00C050B2">
        <w:rPr>
          <w:rFonts w:eastAsia="Arial" w:cs="Arial"/>
          <w:i/>
          <w:spacing w:val="1"/>
          <w:szCs w:val="20"/>
        </w:rPr>
        <w:t>e</w:t>
      </w:r>
      <w:r w:rsidRPr="00C050B2">
        <w:rPr>
          <w:rFonts w:eastAsia="Arial" w:cs="Arial"/>
          <w:i/>
          <w:szCs w:val="20"/>
        </w:rPr>
        <w:t>.</w:t>
      </w:r>
      <w:r w:rsidRPr="00C050B2">
        <w:rPr>
          <w:rFonts w:eastAsia="Arial" w:cs="Arial"/>
          <w:i/>
          <w:spacing w:val="-3"/>
          <w:szCs w:val="20"/>
        </w:rPr>
        <w:t xml:space="preserve"> </w:t>
      </w:r>
      <w:r w:rsidRPr="00C050B2">
        <w:rPr>
          <w:rFonts w:eastAsia="Arial" w:cs="Arial"/>
          <w:i/>
          <w:szCs w:val="20"/>
        </w:rPr>
        <w:t xml:space="preserve">A </w:t>
      </w:r>
      <w:r w:rsidRPr="00C050B2">
        <w:rPr>
          <w:rFonts w:eastAsia="Arial" w:cs="Arial"/>
          <w:i/>
          <w:spacing w:val="1"/>
          <w:szCs w:val="20"/>
        </w:rPr>
        <w:t>logi</w:t>
      </w:r>
      <w:r w:rsidRPr="00C050B2">
        <w:rPr>
          <w:rFonts w:eastAsia="Arial" w:cs="Arial"/>
          <w:i/>
          <w:spacing w:val="-5"/>
          <w:szCs w:val="20"/>
        </w:rPr>
        <w:t>c</w:t>
      </w:r>
      <w:r w:rsidRPr="00C050B2">
        <w:rPr>
          <w:rFonts w:eastAsia="Arial" w:cs="Arial"/>
          <w:i/>
          <w:spacing w:val="1"/>
          <w:szCs w:val="20"/>
        </w:rPr>
        <w:t>a</w:t>
      </w:r>
      <w:r w:rsidRPr="00C050B2">
        <w:rPr>
          <w:rFonts w:eastAsia="Arial" w:cs="Arial"/>
          <w:i/>
          <w:szCs w:val="20"/>
        </w:rPr>
        <w:t xml:space="preserve">l </w:t>
      </w:r>
      <w:r w:rsidRPr="00C050B2">
        <w:rPr>
          <w:rFonts w:eastAsia="Arial" w:cs="Arial"/>
          <w:i/>
          <w:spacing w:val="1"/>
          <w:szCs w:val="20"/>
        </w:rPr>
        <w:t>d</w:t>
      </w:r>
      <w:r w:rsidRPr="00C050B2">
        <w:rPr>
          <w:rFonts w:eastAsia="Arial" w:cs="Arial"/>
          <w:i/>
          <w:spacing w:val="-3"/>
          <w:szCs w:val="20"/>
        </w:rPr>
        <w:t>i</w:t>
      </w:r>
      <w:r w:rsidRPr="00C050B2">
        <w:rPr>
          <w:rFonts w:eastAsia="Arial" w:cs="Arial"/>
          <w:i/>
          <w:spacing w:val="1"/>
          <w:szCs w:val="20"/>
        </w:rPr>
        <w:t>ag</w:t>
      </w:r>
      <w:r w:rsidRPr="00C050B2">
        <w:rPr>
          <w:rFonts w:eastAsia="Arial" w:cs="Arial"/>
          <w:i/>
          <w:szCs w:val="20"/>
        </w:rPr>
        <w:t>r</w:t>
      </w:r>
      <w:r w:rsidRPr="00C050B2">
        <w:rPr>
          <w:rFonts w:eastAsia="Arial" w:cs="Arial"/>
          <w:i/>
          <w:spacing w:val="1"/>
          <w:szCs w:val="20"/>
        </w:rPr>
        <w:t>a</w:t>
      </w:r>
      <w:r w:rsidRPr="00C050B2">
        <w:rPr>
          <w:rFonts w:eastAsia="Arial" w:cs="Arial"/>
          <w:i/>
          <w:szCs w:val="20"/>
        </w:rPr>
        <w:t>m</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h</w:t>
      </w:r>
      <w:r w:rsidRPr="00C050B2">
        <w:rPr>
          <w:rFonts w:eastAsia="Arial" w:cs="Arial"/>
          <w:i/>
          <w:spacing w:val="-3"/>
          <w:szCs w:val="20"/>
        </w:rPr>
        <w:t>o</w:t>
      </w:r>
      <w:r w:rsidRPr="00C050B2">
        <w:rPr>
          <w:rFonts w:eastAsia="Arial" w:cs="Arial"/>
          <w:i/>
          <w:spacing w:val="1"/>
          <w:szCs w:val="20"/>
        </w:rPr>
        <w:t>ul</w:t>
      </w:r>
      <w:r w:rsidRPr="00C050B2">
        <w:rPr>
          <w:rFonts w:eastAsia="Arial" w:cs="Arial"/>
          <w:i/>
          <w:szCs w:val="20"/>
        </w:rPr>
        <w:t xml:space="preserve">d </w:t>
      </w:r>
      <w:r w:rsidRPr="00C050B2">
        <w:rPr>
          <w:rFonts w:eastAsia="Arial" w:cs="Arial"/>
          <w:i/>
          <w:spacing w:val="-3"/>
          <w:szCs w:val="20"/>
        </w:rPr>
        <w:t>b</w:t>
      </w:r>
      <w:r w:rsidRPr="00C050B2">
        <w:rPr>
          <w:rFonts w:eastAsia="Arial" w:cs="Arial"/>
          <w:i/>
          <w:szCs w:val="20"/>
        </w:rPr>
        <w:t xml:space="preserve">e </w:t>
      </w:r>
      <w:r w:rsidRPr="00C050B2">
        <w:rPr>
          <w:rFonts w:eastAsia="Arial" w:cs="Arial"/>
          <w:i/>
          <w:spacing w:val="1"/>
          <w:szCs w:val="20"/>
        </w:rPr>
        <w:t>u</w:t>
      </w:r>
      <w:r w:rsidRPr="00C050B2">
        <w:rPr>
          <w:rFonts w:eastAsia="Arial" w:cs="Arial"/>
          <w:i/>
          <w:szCs w:val="20"/>
        </w:rPr>
        <w:t>s</w:t>
      </w:r>
      <w:r w:rsidRPr="00C050B2">
        <w:rPr>
          <w:rFonts w:eastAsia="Arial" w:cs="Arial"/>
          <w:i/>
          <w:spacing w:val="1"/>
          <w:szCs w:val="20"/>
        </w:rPr>
        <w:t>e</w:t>
      </w:r>
      <w:r w:rsidRPr="00C050B2">
        <w:rPr>
          <w:rFonts w:eastAsia="Arial" w:cs="Arial"/>
          <w:i/>
          <w:szCs w:val="20"/>
        </w:rPr>
        <w:t xml:space="preserve">d </w:t>
      </w:r>
      <w:r w:rsidRPr="00C050B2">
        <w:rPr>
          <w:rFonts w:eastAsia="Arial" w:cs="Arial"/>
          <w:i/>
          <w:spacing w:val="-3"/>
          <w:szCs w:val="20"/>
        </w:rPr>
        <w:t>a</w:t>
      </w:r>
      <w:r w:rsidRPr="00C050B2">
        <w:rPr>
          <w:rFonts w:eastAsia="Arial" w:cs="Arial"/>
          <w:i/>
          <w:spacing w:val="1"/>
          <w:szCs w:val="20"/>
        </w:rPr>
        <w:t>lon</w:t>
      </w:r>
      <w:r w:rsidRPr="00C050B2">
        <w:rPr>
          <w:rFonts w:eastAsia="Arial" w:cs="Arial"/>
          <w:i/>
          <w:szCs w:val="20"/>
        </w:rPr>
        <w:t xml:space="preserve">g </w:t>
      </w:r>
      <w:r w:rsidRPr="00C050B2">
        <w:rPr>
          <w:rFonts w:eastAsia="Arial" w:cs="Arial"/>
          <w:i/>
          <w:spacing w:val="-3"/>
          <w:szCs w:val="20"/>
        </w:rPr>
        <w:t>w</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 xml:space="preserve">h a </w:t>
      </w:r>
      <w:r w:rsidRPr="00C050B2">
        <w:rPr>
          <w:rFonts w:eastAsia="Arial" w:cs="Arial"/>
          <w:i/>
          <w:spacing w:val="1"/>
          <w:szCs w:val="20"/>
        </w:rPr>
        <w:t>b</w:t>
      </w:r>
      <w:r w:rsidRPr="00C050B2">
        <w:rPr>
          <w:rFonts w:eastAsia="Arial" w:cs="Arial"/>
          <w:i/>
          <w:szCs w:val="20"/>
        </w:rPr>
        <w:t>r</w:t>
      </w:r>
      <w:r w:rsidRPr="00C050B2">
        <w:rPr>
          <w:rFonts w:eastAsia="Arial" w:cs="Arial"/>
          <w:i/>
          <w:spacing w:val="-3"/>
          <w:szCs w:val="20"/>
        </w:rPr>
        <w:t>i</w:t>
      </w:r>
      <w:r w:rsidRPr="00C050B2">
        <w:rPr>
          <w:rFonts w:eastAsia="Arial" w:cs="Arial"/>
          <w:i/>
          <w:spacing w:val="1"/>
          <w:szCs w:val="20"/>
        </w:rPr>
        <w:t>e</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1"/>
          <w:szCs w:val="20"/>
        </w:rPr>
        <w:t>de</w:t>
      </w:r>
      <w:r w:rsidRPr="00C050B2">
        <w:rPr>
          <w:rFonts w:eastAsia="Arial" w:cs="Arial"/>
          <w:i/>
          <w:szCs w:val="20"/>
        </w:rPr>
        <w:t>scr</w:t>
      </w:r>
      <w:r w:rsidRPr="00C050B2">
        <w:rPr>
          <w:rFonts w:eastAsia="Arial" w:cs="Arial"/>
          <w:i/>
          <w:spacing w:val="2"/>
          <w:szCs w:val="20"/>
        </w:rPr>
        <w:t>i</w:t>
      </w:r>
      <w:r w:rsidRPr="00C050B2">
        <w:rPr>
          <w:rFonts w:eastAsia="Arial" w:cs="Arial"/>
          <w:i/>
          <w:spacing w:val="1"/>
          <w:szCs w:val="20"/>
        </w:rPr>
        <w:t>p</w:t>
      </w:r>
      <w:r w:rsidRPr="00C050B2">
        <w:rPr>
          <w:rFonts w:eastAsia="Arial" w:cs="Arial"/>
          <w:i/>
          <w:spacing w:val="-2"/>
          <w:szCs w:val="20"/>
        </w:rPr>
        <w:t>t</w:t>
      </w:r>
      <w:r w:rsidRPr="00C050B2">
        <w:rPr>
          <w:rFonts w:eastAsia="Arial" w:cs="Arial"/>
          <w:i/>
          <w:spacing w:val="1"/>
          <w:szCs w:val="20"/>
        </w:rPr>
        <w:t>i</w:t>
      </w:r>
      <w:r w:rsidRPr="00C050B2">
        <w:rPr>
          <w:rFonts w:eastAsia="Arial" w:cs="Arial"/>
          <w:i/>
          <w:spacing w:val="-3"/>
          <w:szCs w:val="20"/>
        </w:rPr>
        <w:t>o</w:t>
      </w:r>
      <w:r w:rsidRPr="00C050B2">
        <w:rPr>
          <w:rFonts w:eastAsia="Arial" w:cs="Arial"/>
          <w:i/>
          <w:szCs w:val="20"/>
        </w:rPr>
        <w:t xml:space="preserve">n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c</w:t>
      </w:r>
      <w:r w:rsidRPr="00C050B2">
        <w:rPr>
          <w:rFonts w:eastAsia="Arial" w:cs="Arial"/>
          <w:i/>
          <w:spacing w:val="2"/>
          <w:szCs w:val="20"/>
        </w:rPr>
        <w:t>o</w:t>
      </w:r>
      <w:r w:rsidRPr="00C050B2">
        <w:rPr>
          <w:rFonts w:eastAsia="Arial" w:cs="Arial"/>
          <w:i/>
          <w:szCs w:val="20"/>
        </w:rPr>
        <w:t>m</w:t>
      </w:r>
      <w:r w:rsidRPr="00C050B2">
        <w:rPr>
          <w:rFonts w:eastAsia="Arial" w:cs="Arial"/>
          <w:i/>
          <w:spacing w:val="1"/>
          <w:szCs w:val="20"/>
        </w:rPr>
        <w:t>po</w:t>
      </w:r>
      <w:r w:rsidRPr="00C050B2">
        <w:rPr>
          <w:rFonts w:eastAsia="Arial" w:cs="Arial"/>
          <w:i/>
          <w:spacing w:val="-3"/>
          <w:szCs w:val="20"/>
        </w:rPr>
        <w:t>n</w:t>
      </w:r>
      <w:r w:rsidRPr="00C050B2">
        <w:rPr>
          <w:rFonts w:eastAsia="Arial" w:cs="Arial"/>
          <w:i/>
          <w:spacing w:val="1"/>
          <w:szCs w:val="20"/>
        </w:rPr>
        <w:t>en</w:t>
      </w:r>
      <w:r w:rsidRPr="00C050B2">
        <w:rPr>
          <w:rFonts w:eastAsia="Arial" w:cs="Arial"/>
          <w:i/>
          <w:spacing w:val="-2"/>
          <w:szCs w:val="20"/>
        </w:rPr>
        <w:t>t</w:t>
      </w:r>
      <w:r w:rsidRPr="00C050B2">
        <w:rPr>
          <w:rFonts w:eastAsia="Arial" w:cs="Arial"/>
          <w:i/>
          <w:szCs w:val="20"/>
        </w:rPr>
        <w:t>s</w:t>
      </w:r>
      <w:r w:rsidRPr="00C050B2">
        <w:rPr>
          <w:rFonts w:eastAsia="Arial" w:cs="Arial"/>
          <w:i/>
          <w:spacing w:val="-2"/>
          <w:szCs w:val="20"/>
        </w:rPr>
        <w:t>.</w:t>
      </w:r>
      <w:r w:rsidRPr="00C050B2">
        <w:rPr>
          <w:rFonts w:eastAsia="Arial" w:cs="Arial"/>
          <w:i/>
          <w:szCs w:val="20"/>
        </w:rPr>
        <w:t>&gt;</w:t>
      </w:r>
    </w:p>
    <w:p w14:paraId="2D9E7565" w14:textId="77777777" w:rsidR="00C1793C" w:rsidRPr="00C050B2" w:rsidRDefault="00C1793C" w:rsidP="009D675B">
      <w:pPr>
        <w:pStyle w:val="Sch2"/>
        <w:numPr>
          <w:ilvl w:val="3"/>
          <w:numId w:val="56"/>
        </w:numPr>
        <w:rPr>
          <w:rFonts w:eastAsia="Arial" w:cs="Arial"/>
          <w:szCs w:val="20"/>
        </w:rPr>
      </w:pPr>
      <w:r w:rsidRPr="00C050B2">
        <w:rPr>
          <w:rFonts w:eastAsia="Arial" w:cs="Arial"/>
          <w:spacing w:val="1"/>
          <w:szCs w:val="20"/>
        </w:rPr>
        <w:t>Ri</w:t>
      </w:r>
      <w:r w:rsidRPr="00C050B2">
        <w:rPr>
          <w:rFonts w:eastAsia="Arial" w:cs="Arial"/>
          <w:szCs w:val="20"/>
        </w:rPr>
        <w:t>sk</w:t>
      </w:r>
      <w:r w:rsidRPr="00C050B2">
        <w:rPr>
          <w:rFonts w:eastAsia="Arial" w:cs="Arial"/>
          <w:spacing w:val="-1"/>
          <w:szCs w:val="20"/>
        </w:rPr>
        <w:t xml:space="preserve"> </w:t>
      </w:r>
      <w:r w:rsidRPr="00C050B2">
        <w:rPr>
          <w:rFonts w:eastAsia="Verdana"/>
        </w:rPr>
        <w:t>appetite</w:t>
      </w:r>
    </w:p>
    <w:p w14:paraId="330A71C5" w14:textId="77777777" w:rsidR="00C1793C" w:rsidRPr="00C050B2" w:rsidRDefault="00C1793C" w:rsidP="00C1793C">
      <w:pPr>
        <w:ind w:left="861"/>
        <w:rPr>
          <w:rFonts w:eastAsia="Arial" w:cs="Arial"/>
          <w:szCs w:val="20"/>
        </w:rPr>
      </w:pPr>
      <w:r w:rsidRPr="00C050B2">
        <w:rPr>
          <w:rFonts w:eastAsia="Arial" w:cs="Arial"/>
          <w:i/>
          <w:szCs w:val="20"/>
        </w:rPr>
        <w:t>&lt;A</w:t>
      </w:r>
      <w:r w:rsidRPr="00C050B2">
        <w:rPr>
          <w:rFonts w:eastAsia="Arial" w:cs="Arial"/>
          <w:i/>
          <w:spacing w:val="-2"/>
          <w:szCs w:val="20"/>
        </w:rPr>
        <w:t xml:space="preserve"> </w:t>
      </w:r>
      <w:r w:rsidRPr="00C050B2">
        <w:rPr>
          <w:rFonts w:eastAsia="Arial" w:cs="Arial"/>
          <w:i/>
          <w:szCs w:val="20"/>
        </w:rPr>
        <w:t>r</w:t>
      </w:r>
      <w:r w:rsidRPr="00C050B2">
        <w:rPr>
          <w:rFonts w:eastAsia="Arial" w:cs="Arial"/>
          <w:i/>
          <w:spacing w:val="1"/>
          <w:szCs w:val="20"/>
        </w:rPr>
        <w:t>i</w:t>
      </w:r>
      <w:r w:rsidRPr="00C050B2">
        <w:rPr>
          <w:rFonts w:eastAsia="Arial" w:cs="Arial"/>
          <w:i/>
          <w:szCs w:val="20"/>
        </w:rPr>
        <w:t>sk</w:t>
      </w:r>
      <w:r w:rsidRPr="00C050B2">
        <w:rPr>
          <w:rFonts w:eastAsia="Arial" w:cs="Arial"/>
          <w:i/>
          <w:spacing w:val="-1"/>
          <w:szCs w:val="20"/>
        </w:rPr>
        <w:t xml:space="preserve"> </w:t>
      </w:r>
      <w:r w:rsidRPr="00C050B2">
        <w:rPr>
          <w:rFonts w:eastAsia="Arial" w:cs="Arial"/>
          <w:i/>
          <w:spacing w:val="1"/>
          <w:szCs w:val="20"/>
        </w:rPr>
        <w:t>appe</w:t>
      </w:r>
      <w:r w:rsidRPr="00C050B2">
        <w:rPr>
          <w:rFonts w:eastAsia="Arial" w:cs="Arial"/>
          <w:i/>
          <w:spacing w:val="-2"/>
          <w:szCs w:val="20"/>
        </w:rPr>
        <w:t>t</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e s</w:t>
      </w:r>
      <w:r w:rsidRPr="00C050B2">
        <w:rPr>
          <w:rFonts w:eastAsia="Arial" w:cs="Arial"/>
          <w:i/>
          <w:spacing w:val="1"/>
          <w:szCs w:val="20"/>
        </w:rPr>
        <w:t>ho</w:t>
      </w:r>
      <w:r w:rsidRPr="00C050B2">
        <w:rPr>
          <w:rFonts w:eastAsia="Arial" w:cs="Arial"/>
          <w:i/>
          <w:spacing w:val="-3"/>
          <w:szCs w:val="20"/>
        </w:rPr>
        <w:t>u</w:t>
      </w:r>
      <w:r w:rsidRPr="00C050B2">
        <w:rPr>
          <w:rFonts w:eastAsia="Arial" w:cs="Arial"/>
          <w:i/>
          <w:spacing w:val="1"/>
          <w:szCs w:val="20"/>
        </w:rPr>
        <w:t>l</w:t>
      </w:r>
      <w:r w:rsidRPr="00C050B2">
        <w:rPr>
          <w:rFonts w:eastAsia="Arial" w:cs="Arial"/>
          <w:i/>
          <w:szCs w:val="20"/>
        </w:rPr>
        <w:t xml:space="preserve">d </w:t>
      </w:r>
      <w:r w:rsidRPr="00C050B2">
        <w:rPr>
          <w:rFonts w:eastAsia="Arial" w:cs="Arial"/>
          <w:i/>
          <w:spacing w:val="1"/>
          <w:szCs w:val="20"/>
        </w:rPr>
        <w:t>b</w:t>
      </w:r>
      <w:r w:rsidRPr="00C050B2">
        <w:rPr>
          <w:rFonts w:eastAsia="Arial" w:cs="Arial"/>
          <w:i/>
          <w:szCs w:val="20"/>
        </w:rPr>
        <w:t xml:space="preserve">e </w:t>
      </w:r>
      <w:r w:rsidRPr="00C050B2">
        <w:rPr>
          <w:rFonts w:eastAsia="Arial" w:cs="Arial"/>
          <w:i/>
          <w:spacing w:val="-3"/>
          <w:szCs w:val="20"/>
        </w:rPr>
        <w:t>a</w:t>
      </w:r>
      <w:r w:rsidRPr="00C050B2">
        <w:rPr>
          <w:rFonts w:eastAsia="Arial" w:cs="Arial"/>
          <w:i/>
          <w:spacing w:val="1"/>
          <w:szCs w:val="20"/>
        </w:rPr>
        <w:t>g</w:t>
      </w:r>
      <w:r w:rsidRPr="00C050B2">
        <w:rPr>
          <w:rFonts w:eastAsia="Arial" w:cs="Arial"/>
          <w:i/>
          <w:szCs w:val="20"/>
        </w:rPr>
        <w:t>r</w:t>
      </w:r>
      <w:r w:rsidRPr="00C050B2">
        <w:rPr>
          <w:rFonts w:eastAsia="Arial" w:cs="Arial"/>
          <w:i/>
          <w:spacing w:val="1"/>
          <w:szCs w:val="20"/>
        </w:rPr>
        <w:t>e</w:t>
      </w:r>
      <w:r w:rsidRPr="00C050B2">
        <w:rPr>
          <w:rFonts w:eastAsia="Arial" w:cs="Arial"/>
          <w:i/>
          <w:spacing w:val="-3"/>
          <w:szCs w:val="20"/>
        </w:rPr>
        <w:t>e</w:t>
      </w:r>
      <w:r w:rsidRPr="00C050B2">
        <w:rPr>
          <w:rFonts w:eastAsia="Arial" w:cs="Arial"/>
          <w:i/>
          <w:szCs w:val="20"/>
        </w:rPr>
        <w:t xml:space="preserve">d </w:t>
      </w:r>
      <w:r w:rsidRPr="00C050B2">
        <w:rPr>
          <w:rFonts w:eastAsia="Arial" w:cs="Arial"/>
          <w:i/>
          <w:spacing w:val="1"/>
          <w:szCs w:val="20"/>
        </w:rPr>
        <w:t>wi</w:t>
      </w:r>
      <w:r w:rsidRPr="00C050B2">
        <w:rPr>
          <w:rFonts w:eastAsia="Arial" w:cs="Arial"/>
          <w:i/>
          <w:spacing w:val="-2"/>
          <w:szCs w:val="20"/>
        </w:rPr>
        <w:t>t</w:t>
      </w:r>
      <w:r w:rsidRPr="00C050B2">
        <w:rPr>
          <w:rFonts w:eastAsia="Arial" w:cs="Arial"/>
          <w:i/>
          <w:szCs w:val="20"/>
        </w:rPr>
        <w:t xml:space="preserve">h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S</w:t>
      </w:r>
      <w:r w:rsidRPr="00C050B2">
        <w:rPr>
          <w:rFonts w:eastAsia="Arial" w:cs="Arial"/>
          <w:i/>
          <w:spacing w:val="-2"/>
          <w:szCs w:val="20"/>
        </w:rPr>
        <w:t>I</w:t>
      </w:r>
      <w:r w:rsidRPr="00C050B2">
        <w:rPr>
          <w:rFonts w:eastAsia="Arial" w:cs="Arial"/>
          <w:i/>
          <w:spacing w:val="1"/>
          <w:szCs w:val="20"/>
        </w:rPr>
        <w:t>R</w:t>
      </w:r>
      <w:r w:rsidRPr="00C050B2">
        <w:rPr>
          <w:rFonts w:eastAsia="Arial" w:cs="Arial"/>
          <w:i/>
          <w:spacing w:val="-2"/>
          <w:szCs w:val="20"/>
        </w:rPr>
        <w:t>O/</w:t>
      </w:r>
      <w:r w:rsidRPr="00C050B2">
        <w:rPr>
          <w:rFonts w:eastAsia="Arial" w:cs="Arial"/>
          <w:i/>
          <w:szCs w:val="20"/>
        </w:rPr>
        <w:t>S</w:t>
      </w:r>
      <w:r w:rsidRPr="00C050B2">
        <w:rPr>
          <w:rFonts w:eastAsia="Arial" w:cs="Arial"/>
          <w:i/>
          <w:spacing w:val="1"/>
          <w:szCs w:val="20"/>
        </w:rPr>
        <w:t>R</w:t>
      </w:r>
      <w:r w:rsidRPr="00C050B2">
        <w:rPr>
          <w:rFonts w:eastAsia="Arial" w:cs="Arial"/>
          <w:i/>
          <w:szCs w:val="20"/>
        </w:rPr>
        <w:t>O</w:t>
      </w:r>
      <w:r w:rsidRPr="00C050B2">
        <w:rPr>
          <w:rFonts w:eastAsia="Arial" w:cs="Arial"/>
          <w:i/>
          <w:spacing w:val="-3"/>
          <w:szCs w:val="20"/>
        </w:rPr>
        <w:t xml:space="preserve"> </w:t>
      </w:r>
      <w:r w:rsidRPr="00C050B2">
        <w:rPr>
          <w:rFonts w:eastAsia="Arial" w:cs="Arial"/>
          <w:i/>
          <w:spacing w:val="1"/>
          <w:szCs w:val="20"/>
        </w:rPr>
        <w:t>an</w:t>
      </w:r>
      <w:r w:rsidRPr="00C050B2">
        <w:rPr>
          <w:rFonts w:eastAsia="Arial" w:cs="Arial"/>
          <w:i/>
          <w:szCs w:val="20"/>
        </w:rPr>
        <w:t xml:space="preserve">d </w:t>
      </w:r>
      <w:r w:rsidRPr="00C050B2">
        <w:rPr>
          <w:rFonts w:eastAsia="Arial" w:cs="Arial"/>
          <w:i/>
          <w:spacing w:val="1"/>
          <w:szCs w:val="20"/>
        </w:rPr>
        <w:t>in</w:t>
      </w:r>
      <w:r w:rsidRPr="00C050B2">
        <w:rPr>
          <w:rFonts w:eastAsia="Arial" w:cs="Arial"/>
          <w:i/>
          <w:szCs w:val="20"/>
        </w:rPr>
        <w:t>c</w:t>
      </w:r>
      <w:r w:rsidRPr="00C050B2">
        <w:rPr>
          <w:rFonts w:eastAsia="Arial" w:cs="Arial"/>
          <w:i/>
          <w:spacing w:val="1"/>
          <w:szCs w:val="20"/>
        </w:rPr>
        <w:t>lud</w:t>
      </w:r>
      <w:r w:rsidRPr="00C050B2">
        <w:rPr>
          <w:rFonts w:eastAsia="Arial" w:cs="Arial"/>
          <w:i/>
          <w:spacing w:val="-3"/>
          <w:szCs w:val="20"/>
        </w:rPr>
        <w:t>e</w:t>
      </w:r>
      <w:r w:rsidRPr="00C050B2">
        <w:rPr>
          <w:rFonts w:eastAsia="Arial" w:cs="Arial"/>
          <w:i/>
          <w:szCs w:val="20"/>
        </w:rPr>
        <w:t xml:space="preserve">d </w:t>
      </w:r>
      <w:r w:rsidRPr="00C050B2">
        <w:rPr>
          <w:rFonts w:eastAsia="Arial" w:cs="Arial"/>
          <w:i/>
          <w:spacing w:val="1"/>
          <w:szCs w:val="20"/>
        </w:rPr>
        <w:t>he</w:t>
      </w:r>
      <w:r w:rsidRPr="00C050B2">
        <w:rPr>
          <w:rFonts w:eastAsia="Arial" w:cs="Arial"/>
          <w:i/>
          <w:szCs w:val="20"/>
        </w:rPr>
        <w:t>r</w:t>
      </w:r>
      <w:r w:rsidRPr="00C050B2">
        <w:rPr>
          <w:rFonts w:eastAsia="Arial" w:cs="Arial"/>
          <w:i/>
          <w:spacing w:val="1"/>
          <w:szCs w:val="20"/>
        </w:rPr>
        <w:t>e</w:t>
      </w:r>
      <w:r w:rsidRPr="00C050B2">
        <w:rPr>
          <w:rFonts w:eastAsia="Arial" w:cs="Arial"/>
          <w:i/>
          <w:spacing w:val="-2"/>
          <w:szCs w:val="20"/>
        </w:rPr>
        <w:t>.</w:t>
      </w:r>
      <w:r w:rsidRPr="00C050B2">
        <w:rPr>
          <w:rFonts w:eastAsia="Arial" w:cs="Arial"/>
          <w:i/>
          <w:szCs w:val="20"/>
        </w:rPr>
        <w:t>&gt;</w:t>
      </w:r>
    </w:p>
    <w:p w14:paraId="32BB5062" w14:textId="77777777" w:rsidR="00C1793C" w:rsidRPr="00C050B2" w:rsidRDefault="00C1793C" w:rsidP="009D675B">
      <w:pPr>
        <w:pStyle w:val="Sch2"/>
        <w:numPr>
          <w:ilvl w:val="3"/>
          <w:numId w:val="56"/>
        </w:numPr>
        <w:rPr>
          <w:rFonts w:eastAsia="Arial" w:cs="Arial"/>
          <w:szCs w:val="20"/>
        </w:rPr>
      </w:pPr>
      <w:r w:rsidRPr="00C050B2">
        <w:rPr>
          <w:rFonts w:eastAsia="Arial" w:cs="Arial"/>
          <w:szCs w:val="20"/>
        </w:rPr>
        <w:t>B</w:t>
      </w:r>
      <w:r w:rsidRPr="00C050B2">
        <w:rPr>
          <w:rFonts w:eastAsia="Arial" w:cs="Arial"/>
          <w:spacing w:val="1"/>
          <w:szCs w:val="20"/>
        </w:rPr>
        <w:t>u</w:t>
      </w:r>
      <w:r w:rsidRPr="00C050B2">
        <w:rPr>
          <w:rFonts w:eastAsia="Arial" w:cs="Arial"/>
          <w:szCs w:val="20"/>
        </w:rPr>
        <w:t>s</w:t>
      </w:r>
      <w:r w:rsidRPr="00C050B2">
        <w:rPr>
          <w:rFonts w:eastAsia="Arial" w:cs="Arial"/>
          <w:spacing w:val="1"/>
          <w:szCs w:val="20"/>
        </w:rPr>
        <w:t>ine</w:t>
      </w:r>
      <w:r w:rsidRPr="00C050B2">
        <w:rPr>
          <w:rFonts w:eastAsia="Arial" w:cs="Arial"/>
          <w:szCs w:val="20"/>
        </w:rPr>
        <w:t>ss</w:t>
      </w:r>
      <w:r w:rsidRPr="00C050B2">
        <w:rPr>
          <w:rFonts w:eastAsia="Arial" w:cs="Arial"/>
          <w:spacing w:val="-1"/>
          <w:szCs w:val="20"/>
        </w:rPr>
        <w:t xml:space="preserve"> </w:t>
      </w:r>
      <w:r w:rsidRPr="00C050B2">
        <w:rPr>
          <w:rFonts w:eastAsia="Verdana"/>
        </w:rPr>
        <w:t>impact</w:t>
      </w:r>
      <w:r w:rsidRPr="00C050B2">
        <w:rPr>
          <w:rFonts w:eastAsia="Arial" w:cs="Arial"/>
          <w:spacing w:val="-3"/>
          <w:szCs w:val="20"/>
        </w:rPr>
        <w:t xml:space="preserve"> </w:t>
      </w:r>
      <w:r w:rsidRPr="00C050B2">
        <w:rPr>
          <w:rFonts w:eastAsia="Arial" w:cs="Arial"/>
          <w:spacing w:val="1"/>
          <w:szCs w:val="20"/>
        </w:rPr>
        <w:t>a</w:t>
      </w:r>
      <w:r w:rsidRPr="00C050B2">
        <w:rPr>
          <w:rFonts w:eastAsia="Arial" w:cs="Arial"/>
          <w:szCs w:val="20"/>
        </w:rPr>
        <w:t>ss</w:t>
      </w:r>
      <w:r w:rsidRPr="00C050B2">
        <w:rPr>
          <w:rFonts w:eastAsia="Arial" w:cs="Arial"/>
          <w:spacing w:val="1"/>
          <w:szCs w:val="20"/>
        </w:rPr>
        <w:t>e</w:t>
      </w:r>
      <w:r w:rsidRPr="00C050B2">
        <w:rPr>
          <w:rFonts w:eastAsia="Arial" w:cs="Arial"/>
          <w:szCs w:val="20"/>
        </w:rPr>
        <w:t>ssm</w:t>
      </w:r>
      <w:r w:rsidRPr="00C050B2">
        <w:rPr>
          <w:rFonts w:eastAsia="Arial" w:cs="Arial"/>
          <w:spacing w:val="1"/>
          <w:szCs w:val="20"/>
        </w:rPr>
        <w:t>en</w:t>
      </w:r>
      <w:r w:rsidRPr="00C050B2">
        <w:rPr>
          <w:rFonts w:eastAsia="Arial" w:cs="Arial"/>
          <w:szCs w:val="20"/>
        </w:rPr>
        <w:t>t</w:t>
      </w:r>
    </w:p>
    <w:p w14:paraId="570793D2" w14:textId="77777777" w:rsidR="00C1793C" w:rsidRPr="00C050B2" w:rsidRDefault="00C1793C" w:rsidP="00C1793C">
      <w:pPr>
        <w:ind w:left="861" w:right="197"/>
        <w:rPr>
          <w:rFonts w:eastAsia="Arial" w:cs="Arial"/>
          <w:szCs w:val="20"/>
        </w:rPr>
      </w:pPr>
      <w:r w:rsidRPr="00C050B2">
        <w:rPr>
          <w:rFonts w:eastAsia="Arial" w:cs="Arial"/>
          <w:i/>
          <w:szCs w:val="20"/>
        </w:rPr>
        <w:t>&lt;</w:t>
      </w:r>
      <w:r w:rsidRPr="00C050B2">
        <w:rPr>
          <w:rFonts w:eastAsia="Arial" w:cs="Arial"/>
          <w:i/>
          <w:spacing w:val="-2"/>
          <w:szCs w:val="20"/>
        </w:rPr>
        <w:t xml:space="preserve"> </w:t>
      </w:r>
      <w:r w:rsidRPr="00C050B2">
        <w:rPr>
          <w:rFonts w:eastAsia="Arial" w:cs="Arial"/>
          <w:i/>
          <w:szCs w:val="20"/>
        </w:rPr>
        <w:t>A</w:t>
      </w:r>
      <w:r w:rsidRPr="00C050B2">
        <w:rPr>
          <w:rFonts w:eastAsia="Arial" w:cs="Arial"/>
          <w:i/>
          <w:spacing w:val="-1"/>
          <w:szCs w:val="20"/>
        </w:rPr>
        <w:t xml:space="preserve"> </w:t>
      </w:r>
      <w:r w:rsidRPr="00C050B2">
        <w:rPr>
          <w:rFonts w:eastAsia="Arial" w:cs="Arial"/>
          <w:i/>
          <w:spacing w:val="1"/>
          <w:szCs w:val="20"/>
        </w:rPr>
        <w:t>de</w:t>
      </w:r>
      <w:r w:rsidRPr="00C050B2">
        <w:rPr>
          <w:rFonts w:eastAsia="Arial" w:cs="Arial"/>
          <w:i/>
          <w:szCs w:val="20"/>
        </w:rPr>
        <w:t>scr</w:t>
      </w:r>
      <w:r w:rsidRPr="00C050B2">
        <w:rPr>
          <w:rFonts w:eastAsia="Arial" w:cs="Arial"/>
          <w:i/>
          <w:spacing w:val="2"/>
          <w:szCs w:val="20"/>
        </w:rPr>
        <w:t>i</w:t>
      </w:r>
      <w:r w:rsidRPr="00C050B2">
        <w:rPr>
          <w:rFonts w:eastAsia="Arial" w:cs="Arial"/>
          <w:i/>
          <w:spacing w:val="1"/>
          <w:szCs w:val="20"/>
        </w:rPr>
        <w:t>p</w:t>
      </w:r>
      <w:r w:rsidRPr="00C050B2">
        <w:rPr>
          <w:rFonts w:eastAsia="Arial" w:cs="Arial"/>
          <w:i/>
          <w:spacing w:val="-2"/>
          <w:szCs w:val="20"/>
        </w:rPr>
        <w:t>t</w:t>
      </w:r>
      <w:r w:rsidRPr="00C050B2">
        <w:rPr>
          <w:rFonts w:eastAsia="Arial" w:cs="Arial"/>
          <w:i/>
          <w:spacing w:val="1"/>
          <w:szCs w:val="20"/>
        </w:rPr>
        <w:t>io</w:t>
      </w:r>
      <w:r w:rsidRPr="00C050B2">
        <w:rPr>
          <w:rFonts w:eastAsia="Arial" w:cs="Arial"/>
          <w:i/>
          <w:szCs w:val="20"/>
        </w:rPr>
        <w:t xml:space="preserve">n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in</w:t>
      </w:r>
      <w:r w:rsidRPr="00C050B2">
        <w:rPr>
          <w:rFonts w:eastAsia="Arial" w:cs="Arial"/>
          <w:i/>
          <w:spacing w:val="-2"/>
          <w:szCs w:val="20"/>
        </w:rPr>
        <w:t>f</w:t>
      </w:r>
      <w:r w:rsidRPr="00C050B2">
        <w:rPr>
          <w:rFonts w:eastAsia="Arial" w:cs="Arial"/>
          <w:i/>
          <w:spacing w:val="1"/>
          <w:szCs w:val="20"/>
        </w:rPr>
        <w:t>o</w:t>
      </w:r>
      <w:r w:rsidRPr="00C050B2">
        <w:rPr>
          <w:rFonts w:eastAsia="Arial" w:cs="Arial"/>
          <w:i/>
          <w:szCs w:val="20"/>
        </w:rPr>
        <w:t>rm</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3"/>
          <w:szCs w:val="20"/>
        </w:rPr>
        <w:t>i</w:t>
      </w:r>
      <w:r w:rsidRPr="00C050B2">
        <w:rPr>
          <w:rFonts w:eastAsia="Arial" w:cs="Arial"/>
          <w:i/>
          <w:spacing w:val="1"/>
          <w:szCs w:val="20"/>
        </w:rPr>
        <w:t>o</w:t>
      </w:r>
      <w:r w:rsidRPr="00C050B2">
        <w:rPr>
          <w:rFonts w:eastAsia="Arial" w:cs="Arial"/>
          <w:i/>
          <w:szCs w:val="20"/>
        </w:rPr>
        <w:t xml:space="preserve">n </w:t>
      </w:r>
      <w:r w:rsidRPr="00C050B2">
        <w:rPr>
          <w:rFonts w:eastAsia="Arial" w:cs="Arial"/>
          <w:i/>
          <w:spacing w:val="1"/>
          <w:szCs w:val="20"/>
        </w:rPr>
        <w:t>a</w:t>
      </w:r>
      <w:r w:rsidRPr="00C050B2">
        <w:rPr>
          <w:rFonts w:eastAsia="Arial" w:cs="Arial"/>
          <w:i/>
          <w:szCs w:val="20"/>
        </w:rPr>
        <w:t>ss</w:t>
      </w:r>
      <w:r w:rsidRPr="00C050B2">
        <w:rPr>
          <w:rFonts w:eastAsia="Arial" w:cs="Arial"/>
          <w:i/>
          <w:spacing w:val="1"/>
          <w:szCs w:val="20"/>
        </w:rPr>
        <w:t>e</w:t>
      </w:r>
      <w:r w:rsidRPr="00C050B2">
        <w:rPr>
          <w:rFonts w:eastAsia="Arial" w:cs="Arial"/>
          <w:i/>
          <w:spacing w:val="-2"/>
          <w:szCs w:val="20"/>
        </w:rPr>
        <w:t>t</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an</w:t>
      </w:r>
      <w:r w:rsidRPr="00C050B2">
        <w:rPr>
          <w:rFonts w:eastAsia="Arial" w:cs="Arial"/>
          <w:i/>
          <w:szCs w:val="20"/>
        </w:rPr>
        <w:t xml:space="preserve">d </w:t>
      </w:r>
      <w:r w:rsidRPr="00C050B2">
        <w:rPr>
          <w:rFonts w:eastAsia="Arial" w:cs="Arial"/>
          <w:i/>
          <w:spacing w:val="-2"/>
          <w:szCs w:val="20"/>
        </w:rPr>
        <w:t>t</w:t>
      </w:r>
      <w:r w:rsidRPr="00C050B2">
        <w:rPr>
          <w:rFonts w:eastAsia="Arial" w:cs="Arial"/>
          <w:i/>
          <w:spacing w:val="-3"/>
          <w:szCs w:val="20"/>
        </w:rPr>
        <w:t>h</w:t>
      </w:r>
      <w:r w:rsidRPr="00C050B2">
        <w:rPr>
          <w:rFonts w:eastAsia="Arial" w:cs="Arial"/>
          <w:i/>
          <w:szCs w:val="20"/>
        </w:rPr>
        <w:t xml:space="preserve">e </w:t>
      </w:r>
      <w:r w:rsidRPr="00C050B2">
        <w:rPr>
          <w:rFonts w:eastAsia="Arial" w:cs="Arial"/>
          <w:i/>
          <w:spacing w:val="1"/>
          <w:szCs w:val="20"/>
        </w:rPr>
        <w:t>i</w:t>
      </w:r>
      <w:r w:rsidRPr="00C050B2">
        <w:rPr>
          <w:rFonts w:eastAsia="Arial" w:cs="Arial"/>
          <w:i/>
          <w:szCs w:val="20"/>
        </w:rPr>
        <w:t>m</w:t>
      </w:r>
      <w:r w:rsidRPr="00C050B2">
        <w:rPr>
          <w:rFonts w:eastAsia="Arial" w:cs="Arial"/>
          <w:i/>
          <w:spacing w:val="1"/>
          <w:szCs w:val="20"/>
        </w:rPr>
        <w:t>pa</w:t>
      </w:r>
      <w:r w:rsidRPr="00C050B2">
        <w:rPr>
          <w:rFonts w:eastAsia="Arial" w:cs="Arial"/>
          <w:i/>
          <w:szCs w:val="20"/>
        </w:rPr>
        <w:t>ct</w:t>
      </w:r>
      <w:r w:rsidRPr="00C050B2">
        <w:rPr>
          <w:rFonts w:eastAsia="Arial" w:cs="Arial"/>
          <w:i/>
          <w:spacing w:val="-3"/>
          <w:szCs w:val="20"/>
        </w:rPr>
        <w:t xml:space="preserve">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hei</w:t>
      </w:r>
      <w:r w:rsidRPr="00C050B2">
        <w:rPr>
          <w:rFonts w:eastAsia="Arial" w:cs="Arial"/>
          <w:i/>
          <w:szCs w:val="20"/>
        </w:rPr>
        <w:t>r</w:t>
      </w:r>
      <w:r w:rsidRPr="00C050B2">
        <w:rPr>
          <w:rFonts w:eastAsia="Arial" w:cs="Arial"/>
          <w:i/>
          <w:spacing w:val="-1"/>
          <w:szCs w:val="20"/>
        </w:rPr>
        <w:t xml:space="preserve"> </w:t>
      </w:r>
      <w:r w:rsidRPr="00C050B2">
        <w:rPr>
          <w:rFonts w:eastAsia="Arial" w:cs="Arial"/>
          <w:i/>
          <w:spacing w:val="1"/>
          <w:szCs w:val="20"/>
        </w:rPr>
        <w:t>lo</w:t>
      </w:r>
      <w:r w:rsidRPr="00C050B2">
        <w:rPr>
          <w:rFonts w:eastAsia="Arial" w:cs="Arial"/>
          <w:i/>
          <w:szCs w:val="20"/>
        </w:rPr>
        <w:t>ss</w:t>
      </w:r>
      <w:r w:rsidRPr="00C050B2">
        <w:rPr>
          <w:rFonts w:eastAsia="Arial" w:cs="Arial"/>
          <w:i/>
          <w:spacing w:val="-1"/>
          <w:szCs w:val="20"/>
        </w:rPr>
        <w:t xml:space="preserve"> </w:t>
      </w:r>
      <w:r w:rsidRPr="00C050B2">
        <w:rPr>
          <w:rFonts w:eastAsia="Arial" w:cs="Arial"/>
          <w:i/>
          <w:spacing w:val="1"/>
          <w:szCs w:val="20"/>
        </w:rPr>
        <w:t>o</w:t>
      </w:r>
      <w:r w:rsidRPr="00C050B2">
        <w:rPr>
          <w:rFonts w:eastAsia="Arial" w:cs="Arial"/>
          <w:i/>
          <w:szCs w:val="20"/>
        </w:rPr>
        <w:t>r c</w:t>
      </w:r>
      <w:r w:rsidRPr="00C050B2">
        <w:rPr>
          <w:rFonts w:eastAsia="Arial" w:cs="Arial"/>
          <w:i/>
          <w:spacing w:val="1"/>
          <w:szCs w:val="20"/>
        </w:rPr>
        <w:t>o</w:t>
      </w:r>
      <w:r w:rsidRPr="00C050B2">
        <w:rPr>
          <w:rFonts w:eastAsia="Arial" w:cs="Arial"/>
          <w:i/>
          <w:szCs w:val="20"/>
        </w:rPr>
        <w:t>rr</w:t>
      </w:r>
      <w:r w:rsidRPr="00C050B2">
        <w:rPr>
          <w:rFonts w:eastAsia="Arial" w:cs="Arial"/>
          <w:i/>
          <w:spacing w:val="1"/>
          <w:szCs w:val="20"/>
        </w:rPr>
        <w:t>up</w:t>
      </w:r>
      <w:r w:rsidRPr="00C050B2">
        <w:rPr>
          <w:rFonts w:eastAsia="Arial" w:cs="Arial"/>
          <w:i/>
          <w:spacing w:val="-2"/>
          <w:szCs w:val="20"/>
        </w:rPr>
        <w:t>t</w:t>
      </w:r>
      <w:r w:rsidRPr="00C050B2">
        <w:rPr>
          <w:rFonts w:eastAsia="Arial" w:cs="Arial"/>
          <w:i/>
          <w:spacing w:val="1"/>
          <w:szCs w:val="20"/>
        </w:rPr>
        <w:t>i</w:t>
      </w:r>
      <w:r w:rsidRPr="00C050B2">
        <w:rPr>
          <w:rFonts w:eastAsia="Arial" w:cs="Arial"/>
          <w:i/>
          <w:spacing w:val="-3"/>
          <w:szCs w:val="20"/>
        </w:rPr>
        <w:t>o</w:t>
      </w:r>
      <w:r w:rsidRPr="00C050B2">
        <w:rPr>
          <w:rFonts w:eastAsia="Arial" w:cs="Arial"/>
          <w:i/>
          <w:szCs w:val="20"/>
        </w:rPr>
        <w:t>n (</w:t>
      </w:r>
      <w:proofErr w:type="gramStart"/>
      <w:r w:rsidRPr="00C050B2">
        <w:rPr>
          <w:rFonts w:eastAsia="Arial" w:cs="Arial"/>
          <w:i/>
          <w:spacing w:val="1"/>
          <w:szCs w:val="20"/>
        </w:rPr>
        <w:t>e</w:t>
      </w:r>
      <w:r w:rsidRPr="00C050B2">
        <w:rPr>
          <w:rFonts w:eastAsia="Arial" w:cs="Arial"/>
          <w:i/>
          <w:spacing w:val="-2"/>
          <w:szCs w:val="20"/>
        </w:rPr>
        <w:t>.</w:t>
      </w:r>
      <w:r w:rsidRPr="00C050B2">
        <w:rPr>
          <w:rFonts w:eastAsia="Arial" w:cs="Arial"/>
          <w:i/>
          <w:spacing w:val="1"/>
          <w:szCs w:val="20"/>
        </w:rPr>
        <w:t>g</w:t>
      </w:r>
      <w:r w:rsidRPr="00C050B2">
        <w:rPr>
          <w:rFonts w:eastAsia="Arial" w:cs="Arial"/>
          <w:i/>
          <w:szCs w:val="20"/>
        </w:rPr>
        <w:t>.</w:t>
      </w:r>
      <w:proofErr w:type="gramEnd"/>
      <w:r w:rsidRPr="00C050B2">
        <w:rPr>
          <w:rFonts w:eastAsia="Arial" w:cs="Arial"/>
          <w:i/>
          <w:spacing w:val="-3"/>
          <w:szCs w:val="20"/>
        </w:rPr>
        <w:t xml:space="preserve"> </w:t>
      </w:r>
      <w:r w:rsidRPr="00C050B2">
        <w:rPr>
          <w:rFonts w:eastAsia="Arial" w:cs="Arial"/>
          <w:i/>
          <w:spacing w:val="1"/>
          <w:szCs w:val="20"/>
        </w:rPr>
        <w:t>la</w:t>
      </w:r>
      <w:r w:rsidRPr="00C050B2">
        <w:rPr>
          <w:rFonts w:eastAsia="Arial" w:cs="Arial"/>
          <w:i/>
          <w:szCs w:val="20"/>
        </w:rPr>
        <w:t>r</w:t>
      </w:r>
      <w:r w:rsidRPr="00C050B2">
        <w:rPr>
          <w:rFonts w:eastAsia="Arial" w:cs="Arial"/>
          <w:i/>
          <w:spacing w:val="1"/>
          <w:szCs w:val="20"/>
        </w:rPr>
        <w:t>g</w:t>
      </w:r>
      <w:r w:rsidRPr="00C050B2">
        <w:rPr>
          <w:rFonts w:eastAsia="Arial" w:cs="Arial"/>
          <w:i/>
          <w:szCs w:val="20"/>
        </w:rPr>
        <w:t xml:space="preserve">e </w:t>
      </w:r>
      <w:r w:rsidRPr="00C050B2">
        <w:rPr>
          <w:rFonts w:eastAsia="Arial" w:cs="Arial"/>
          <w:i/>
          <w:spacing w:val="1"/>
          <w:szCs w:val="20"/>
        </w:rPr>
        <w:t>a</w:t>
      </w:r>
      <w:r w:rsidRPr="00C050B2">
        <w:rPr>
          <w:rFonts w:eastAsia="Arial" w:cs="Arial"/>
          <w:i/>
          <w:szCs w:val="20"/>
        </w:rPr>
        <w:t>m</w:t>
      </w:r>
      <w:r w:rsidRPr="00C050B2">
        <w:rPr>
          <w:rFonts w:eastAsia="Arial" w:cs="Arial"/>
          <w:i/>
          <w:spacing w:val="-3"/>
          <w:szCs w:val="20"/>
        </w:rPr>
        <w:t>o</w:t>
      </w:r>
      <w:r w:rsidRPr="00C050B2">
        <w:rPr>
          <w:rFonts w:eastAsia="Arial" w:cs="Arial"/>
          <w:i/>
          <w:spacing w:val="1"/>
          <w:szCs w:val="20"/>
        </w:rPr>
        <w:t>un</w:t>
      </w:r>
      <w:r w:rsidRPr="00C050B2">
        <w:rPr>
          <w:rFonts w:eastAsia="Arial" w:cs="Arial"/>
          <w:i/>
          <w:spacing w:val="-2"/>
          <w:szCs w:val="20"/>
        </w:rPr>
        <w:t>t</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2"/>
          <w:szCs w:val="20"/>
        </w:rPr>
        <w:t>Off</w:t>
      </w:r>
      <w:r w:rsidRPr="00C050B2">
        <w:rPr>
          <w:rFonts w:eastAsia="Arial" w:cs="Arial"/>
          <w:i/>
          <w:spacing w:val="1"/>
          <w:szCs w:val="20"/>
        </w:rPr>
        <w:t>i</w:t>
      </w:r>
      <w:r w:rsidRPr="00C050B2">
        <w:rPr>
          <w:rFonts w:eastAsia="Arial" w:cs="Arial"/>
          <w:i/>
          <w:szCs w:val="20"/>
        </w:rPr>
        <w:t>c</w:t>
      </w:r>
      <w:r w:rsidRPr="00C050B2">
        <w:rPr>
          <w:rFonts w:eastAsia="Arial" w:cs="Arial"/>
          <w:i/>
          <w:spacing w:val="1"/>
          <w:szCs w:val="20"/>
        </w:rPr>
        <w:t>ia</w:t>
      </w:r>
      <w:r w:rsidRPr="00C050B2">
        <w:rPr>
          <w:rFonts w:eastAsia="Arial" w:cs="Arial"/>
          <w:i/>
          <w:szCs w:val="20"/>
        </w:rPr>
        <w:t>l S</w:t>
      </w:r>
      <w:r w:rsidRPr="00C050B2">
        <w:rPr>
          <w:rFonts w:eastAsia="Arial" w:cs="Arial"/>
          <w:i/>
          <w:spacing w:val="1"/>
          <w:szCs w:val="20"/>
        </w:rPr>
        <w:t>en</w:t>
      </w:r>
      <w:r w:rsidRPr="00C050B2">
        <w:rPr>
          <w:rFonts w:eastAsia="Arial" w:cs="Arial"/>
          <w:i/>
          <w:szCs w:val="20"/>
        </w:rPr>
        <w:t>s</w:t>
      </w:r>
      <w:r w:rsidRPr="00C050B2">
        <w:rPr>
          <w:rFonts w:eastAsia="Arial" w:cs="Arial"/>
          <w:i/>
          <w:spacing w:val="1"/>
          <w:szCs w:val="20"/>
        </w:rPr>
        <w:t>i</w:t>
      </w:r>
      <w:r w:rsidRPr="00C050B2">
        <w:rPr>
          <w:rFonts w:eastAsia="Arial" w:cs="Arial"/>
          <w:i/>
          <w:spacing w:val="-2"/>
          <w:szCs w:val="20"/>
        </w:rPr>
        <w:t>t</w:t>
      </w:r>
      <w:r w:rsidRPr="00C050B2">
        <w:rPr>
          <w:rFonts w:eastAsia="Arial" w:cs="Arial"/>
          <w:i/>
          <w:spacing w:val="-3"/>
          <w:szCs w:val="20"/>
        </w:rPr>
        <w:t>i</w:t>
      </w:r>
      <w:r w:rsidRPr="00C050B2">
        <w:rPr>
          <w:rFonts w:eastAsia="Arial" w:cs="Arial"/>
          <w:i/>
          <w:szCs w:val="20"/>
        </w:rPr>
        <w:t xml:space="preserve">ve </w:t>
      </w:r>
      <w:r w:rsidRPr="00C050B2">
        <w:rPr>
          <w:rFonts w:eastAsia="Arial" w:cs="Arial"/>
          <w:i/>
          <w:spacing w:val="1"/>
          <w:szCs w:val="20"/>
        </w:rPr>
        <w:t>pe</w:t>
      </w:r>
      <w:r w:rsidRPr="00C050B2">
        <w:rPr>
          <w:rFonts w:eastAsia="Arial" w:cs="Arial"/>
          <w:i/>
          <w:szCs w:val="20"/>
        </w:rPr>
        <w:t>rs</w:t>
      </w:r>
      <w:r w:rsidRPr="00C050B2">
        <w:rPr>
          <w:rFonts w:eastAsia="Arial" w:cs="Arial"/>
          <w:i/>
          <w:spacing w:val="8"/>
          <w:szCs w:val="20"/>
        </w:rPr>
        <w:t>o</w:t>
      </w:r>
      <w:r w:rsidRPr="00C050B2">
        <w:rPr>
          <w:rFonts w:eastAsia="Arial" w:cs="Arial"/>
          <w:i/>
          <w:spacing w:val="-3"/>
          <w:szCs w:val="20"/>
        </w:rPr>
        <w:t>n</w:t>
      </w:r>
      <w:r w:rsidRPr="00C050B2">
        <w:rPr>
          <w:rFonts w:eastAsia="Arial" w:cs="Arial"/>
          <w:i/>
          <w:spacing w:val="1"/>
          <w:szCs w:val="20"/>
        </w:rPr>
        <w:t>a</w:t>
      </w:r>
      <w:r w:rsidRPr="00C050B2">
        <w:rPr>
          <w:rFonts w:eastAsia="Arial" w:cs="Arial"/>
          <w:i/>
          <w:szCs w:val="20"/>
        </w:rPr>
        <w:t xml:space="preserve">l </w:t>
      </w:r>
      <w:r w:rsidRPr="00C050B2">
        <w:rPr>
          <w:rFonts w:eastAsia="Arial" w:cs="Arial"/>
          <w:i/>
          <w:spacing w:val="1"/>
          <w:szCs w:val="20"/>
        </w:rPr>
        <w:t>da</w:t>
      </w:r>
      <w:r w:rsidRPr="00C050B2">
        <w:rPr>
          <w:rFonts w:eastAsia="Arial" w:cs="Arial"/>
          <w:i/>
          <w:spacing w:val="-2"/>
          <w:szCs w:val="20"/>
        </w:rPr>
        <w:t>t</w:t>
      </w:r>
      <w:r w:rsidRPr="00C050B2">
        <w:rPr>
          <w:rFonts w:eastAsia="Arial" w:cs="Arial"/>
          <w:i/>
          <w:szCs w:val="20"/>
        </w:rPr>
        <w:t xml:space="preserve">a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lo</w:t>
      </w:r>
      <w:r w:rsidRPr="00C050B2">
        <w:rPr>
          <w:rFonts w:eastAsia="Arial" w:cs="Arial"/>
          <w:i/>
          <w:szCs w:val="20"/>
        </w:rPr>
        <w:t>ss</w:t>
      </w:r>
      <w:r w:rsidRPr="00C050B2">
        <w:rPr>
          <w:rFonts w:eastAsia="Arial" w:cs="Arial"/>
          <w:i/>
          <w:spacing w:val="-1"/>
          <w:szCs w:val="20"/>
        </w:rPr>
        <w:t xml:space="preserve"> </w:t>
      </w:r>
      <w:r w:rsidRPr="00C050B2">
        <w:rPr>
          <w:rFonts w:eastAsia="Arial" w:cs="Arial"/>
          <w:i/>
          <w:spacing w:val="1"/>
          <w:szCs w:val="20"/>
        </w:rPr>
        <w:t>o</w:t>
      </w:r>
      <w:r w:rsidRPr="00C050B2">
        <w:rPr>
          <w:rFonts w:eastAsia="Arial" w:cs="Arial"/>
          <w:i/>
          <w:szCs w:val="20"/>
        </w:rPr>
        <w:t xml:space="preserve">f </w:t>
      </w:r>
      <w:r w:rsidRPr="00C050B2">
        <w:rPr>
          <w:rFonts w:eastAsia="Arial" w:cs="Arial"/>
          <w:i/>
          <w:spacing w:val="1"/>
          <w:szCs w:val="20"/>
        </w:rPr>
        <w:t>whi</w:t>
      </w:r>
      <w:r w:rsidRPr="00C050B2">
        <w:rPr>
          <w:rFonts w:eastAsia="Arial" w:cs="Arial"/>
          <w:i/>
          <w:szCs w:val="20"/>
        </w:rPr>
        <w:t xml:space="preserve">ch </w:t>
      </w:r>
      <w:r w:rsidRPr="00C050B2">
        <w:rPr>
          <w:rFonts w:eastAsia="Arial" w:cs="Arial"/>
          <w:i/>
          <w:spacing w:val="-3"/>
          <w:szCs w:val="20"/>
        </w:rPr>
        <w:t>w</w:t>
      </w:r>
      <w:r w:rsidRPr="00C050B2">
        <w:rPr>
          <w:rFonts w:eastAsia="Arial" w:cs="Arial"/>
          <w:i/>
          <w:spacing w:val="1"/>
          <w:szCs w:val="20"/>
        </w:rPr>
        <w:t>ou</w:t>
      </w:r>
      <w:r w:rsidRPr="00C050B2">
        <w:rPr>
          <w:rFonts w:eastAsia="Arial" w:cs="Arial"/>
          <w:i/>
          <w:spacing w:val="-3"/>
          <w:szCs w:val="20"/>
        </w:rPr>
        <w:t>l</w:t>
      </w:r>
      <w:r w:rsidRPr="00C050B2">
        <w:rPr>
          <w:rFonts w:eastAsia="Arial" w:cs="Arial"/>
          <w:i/>
          <w:szCs w:val="20"/>
        </w:rPr>
        <w:t xml:space="preserve">d </w:t>
      </w:r>
      <w:r w:rsidRPr="00C050B2">
        <w:rPr>
          <w:rFonts w:eastAsia="Arial" w:cs="Arial"/>
          <w:i/>
          <w:spacing w:val="1"/>
          <w:szCs w:val="20"/>
        </w:rPr>
        <w:t>b</w:t>
      </w:r>
      <w:r w:rsidRPr="00C050B2">
        <w:rPr>
          <w:rFonts w:eastAsia="Arial" w:cs="Arial"/>
          <w:i/>
          <w:szCs w:val="20"/>
        </w:rPr>
        <w:t>e s</w:t>
      </w:r>
      <w:r w:rsidRPr="00C050B2">
        <w:rPr>
          <w:rFonts w:eastAsia="Arial" w:cs="Arial"/>
          <w:i/>
          <w:spacing w:val="1"/>
          <w:szCs w:val="20"/>
        </w:rPr>
        <w:t>e</w:t>
      </w:r>
      <w:r w:rsidRPr="00C050B2">
        <w:rPr>
          <w:rFonts w:eastAsia="Arial" w:cs="Arial"/>
          <w:i/>
          <w:szCs w:val="20"/>
        </w:rPr>
        <w:t>v</w:t>
      </w:r>
      <w:r w:rsidRPr="00C050B2">
        <w:rPr>
          <w:rFonts w:eastAsia="Arial" w:cs="Arial"/>
          <w:i/>
          <w:spacing w:val="1"/>
          <w:szCs w:val="20"/>
        </w:rPr>
        <w:t>e</w:t>
      </w:r>
      <w:r w:rsidRPr="00C050B2">
        <w:rPr>
          <w:rFonts w:eastAsia="Arial" w:cs="Arial"/>
          <w:i/>
          <w:szCs w:val="20"/>
        </w:rPr>
        <w:t>r</w:t>
      </w:r>
      <w:r w:rsidRPr="00C050B2">
        <w:rPr>
          <w:rFonts w:eastAsia="Arial" w:cs="Arial"/>
          <w:i/>
          <w:spacing w:val="-3"/>
          <w:szCs w:val="20"/>
        </w:rPr>
        <w:t>e</w:t>
      </w:r>
      <w:r w:rsidRPr="00C050B2">
        <w:rPr>
          <w:rFonts w:eastAsia="Arial" w:cs="Arial"/>
          <w:i/>
          <w:spacing w:val="1"/>
          <w:szCs w:val="20"/>
        </w:rPr>
        <w:t>l</w:t>
      </w:r>
      <w:r w:rsidRPr="00C050B2">
        <w:rPr>
          <w:rFonts w:eastAsia="Arial" w:cs="Arial"/>
          <w:i/>
          <w:szCs w:val="20"/>
        </w:rPr>
        <w:t>y</w:t>
      </w:r>
      <w:r w:rsidRPr="00C050B2">
        <w:rPr>
          <w:rFonts w:eastAsia="Arial" w:cs="Arial"/>
          <w:i/>
          <w:spacing w:val="-1"/>
          <w:szCs w:val="20"/>
        </w:rPr>
        <w:t xml:space="preserve"> </w:t>
      </w:r>
      <w:r w:rsidRPr="00C050B2">
        <w:rPr>
          <w:rFonts w:eastAsia="Arial" w:cs="Arial"/>
          <w:i/>
          <w:spacing w:val="1"/>
          <w:szCs w:val="20"/>
        </w:rPr>
        <w:t>da</w:t>
      </w:r>
      <w:r w:rsidRPr="00C050B2">
        <w:rPr>
          <w:rFonts w:eastAsia="Arial" w:cs="Arial"/>
          <w:i/>
          <w:szCs w:val="20"/>
        </w:rPr>
        <w:t>m</w:t>
      </w:r>
      <w:r w:rsidRPr="00C050B2">
        <w:rPr>
          <w:rFonts w:eastAsia="Arial" w:cs="Arial"/>
          <w:i/>
          <w:spacing w:val="-3"/>
          <w:szCs w:val="20"/>
        </w:rPr>
        <w:t>a</w:t>
      </w:r>
      <w:r w:rsidRPr="00C050B2">
        <w:rPr>
          <w:rFonts w:eastAsia="Arial" w:cs="Arial"/>
          <w:i/>
          <w:spacing w:val="1"/>
          <w:szCs w:val="20"/>
        </w:rPr>
        <w:t>gi</w:t>
      </w:r>
      <w:r w:rsidRPr="00C050B2">
        <w:rPr>
          <w:rFonts w:eastAsia="Arial" w:cs="Arial"/>
          <w:i/>
          <w:spacing w:val="-3"/>
          <w:szCs w:val="20"/>
        </w:rPr>
        <w:t>n</w:t>
      </w:r>
      <w:r w:rsidRPr="00C050B2">
        <w:rPr>
          <w:rFonts w:eastAsia="Arial" w:cs="Arial"/>
          <w:i/>
          <w:szCs w:val="20"/>
        </w:rPr>
        <w:t xml:space="preserve">g </w:t>
      </w:r>
      <w:r w:rsidRPr="00C050B2">
        <w:rPr>
          <w:rFonts w:eastAsia="Arial" w:cs="Arial"/>
          <w:i/>
          <w:spacing w:val="-2"/>
          <w:szCs w:val="20"/>
        </w:rPr>
        <w:t>t</w:t>
      </w:r>
      <w:r w:rsidRPr="00C050B2">
        <w:rPr>
          <w:rFonts w:eastAsia="Arial" w:cs="Arial"/>
          <w:i/>
          <w:szCs w:val="20"/>
        </w:rPr>
        <w:t xml:space="preserve">o </w:t>
      </w:r>
      <w:r w:rsidRPr="00C050B2">
        <w:rPr>
          <w:rFonts w:eastAsia="Arial" w:cs="Arial"/>
          <w:i/>
          <w:spacing w:val="1"/>
          <w:szCs w:val="20"/>
        </w:rPr>
        <w:t>indi</w:t>
      </w:r>
      <w:r w:rsidRPr="00C050B2">
        <w:rPr>
          <w:rFonts w:eastAsia="Arial" w:cs="Arial"/>
          <w:i/>
          <w:szCs w:val="20"/>
        </w:rPr>
        <w:t>v</w:t>
      </w:r>
      <w:r w:rsidRPr="00C050B2">
        <w:rPr>
          <w:rFonts w:eastAsia="Arial" w:cs="Arial"/>
          <w:i/>
          <w:spacing w:val="-3"/>
          <w:szCs w:val="20"/>
        </w:rPr>
        <w:t>i</w:t>
      </w:r>
      <w:r w:rsidRPr="00C050B2">
        <w:rPr>
          <w:rFonts w:eastAsia="Arial" w:cs="Arial"/>
          <w:i/>
          <w:spacing w:val="1"/>
          <w:szCs w:val="20"/>
        </w:rPr>
        <w:t>du</w:t>
      </w:r>
      <w:r w:rsidRPr="00C050B2">
        <w:rPr>
          <w:rFonts w:eastAsia="Arial" w:cs="Arial"/>
          <w:i/>
          <w:spacing w:val="-3"/>
          <w:szCs w:val="20"/>
        </w:rPr>
        <w:t>al</w:t>
      </w:r>
      <w:r w:rsidRPr="00C050B2">
        <w:rPr>
          <w:rFonts w:eastAsia="Arial" w:cs="Arial"/>
          <w:i/>
          <w:szCs w:val="20"/>
        </w:rPr>
        <w:t>s,</w:t>
      </w:r>
      <w:r w:rsidRPr="00C050B2">
        <w:rPr>
          <w:rFonts w:eastAsia="Arial" w:cs="Arial"/>
          <w:i/>
          <w:spacing w:val="-3"/>
          <w:szCs w:val="20"/>
        </w:rPr>
        <w:t xml:space="preserve"> </w:t>
      </w:r>
      <w:r w:rsidRPr="00C050B2">
        <w:rPr>
          <w:rFonts w:eastAsia="Arial" w:cs="Arial"/>
          <w:i/>
          <w:spacing w:val="1"/>
          <w:szCs w:val="20"/>
        </w:rPr>
        <w:t>e</w:t>
      </w:r>
      <w:r w:rsidRPr="00C050B2">
        <w:rPr>
          <w:rFonts w:eastAsia="Arial" w:cs="Arial"/>
          <w:i/>
          <w:szCs w:val="20"/>
        </w:rPr>
        <w:t>m</w:t>
      </w:r>
      <w:r w:rsidRPr="00C050B2">
        <w:rPr>
          <w:rFonts w:eastAsia="Arial" w:cs="Arial"/>
          <w:i/>
          <w:spacing w:val="1"/>
          <w:szCs w:val="20"/>
        </w:rPr>
        <w:t>ba</w:t>
      </w:r>
      <w:r w:rsidRPr="00C050B2">
        <w:rPr>
          <w:rFonts w:eastAsia="Arial" w:cs="Arial"/>
          <w:i/>
          <w:szCs w:val="20"/>
        </w:rPr>
        <w:t>rr</w:t>
      </w:r>
      <w:r w:rsidRPr="00C050B2">
        <w:rPr>
          <w:rFonts w:eastAsia="Arial" w:cs="Arial"/>
          <w:i/>
          <w:spacing w:val="1"/>
          <w:szCs w:val="20"/>
        </w:rPr>
        <w:t>a</w:t>
      </w:r>
      <w:r w:rsidRPr="00C050B2">
        <w:rPr>
          <w:rFonts w:eastAsia="Arial" w:cs="Arial"/>
          <w:i/>
          <w:szCs w:val="20"/>
        </w:rPr>
        <w:t>ss</w:t>
      </w:r>
      <w:r w:rsidRPr="00C050B2">
        <w:rPr>
          <w:rFonts w:eastAsia="Arial" w:cs="Arial"/>
          <w:i/>
          <w:spacing w:val="1"/>
          <w:szCs w:val="20"/>
        </w:rPr>
        <w:t>i</w:t>
      </w:r>
      <w:r w:rsidRPr="00C050B2">
        <w:rPr>
          <w:rFonts w:eastAsia="Arial" w:cs="Arial"/>
          <w:i/>
          <w:spacing w:val="-3"/>
          <w:szCs w:val="20"/>
        </w:rPr>
        <w:t>n</w:t>
      </w:r>
      <w:r w:rsidRPr="00C050B2">
        <w:rPr>
          <w:rFonts w:eastAsia="Arial" w:cs="Arial"/>
          <w:i/>
          <w:szCs w:val="20"/>
        </w:rPr>
        <w:t xml:space="preserve">g </w:t>
      </w:r>
      <w:r w:rsidRPr="00C050B2">
        <w:rPr>
          <w:rFonts w:eastAsia="Arial" w:cs="Arial"/>
          <w:i/>
          <w:spacing w:val="-2"/>
          <w:szCs w:val="20"/>
        </w:rPr>
        <w:t>t</w:t>
      </w:r>
      <w:r w:rsidRPr="00C050B2">
        <w:rPr>
          <w:rFonts w:eastAsia="Arial" w:cs="Arial"/>
          <w:i/>
          <w:szCs w:val="20"/>
        </w:rPr>
        <w:t xml:space="preserve">o </w:t>
      </w:r>
      <w:r w:rsidRPr="00C050B2">
        <w:rPr>
          <w:rFonts w:eastAsia="Arial" w:cs="Arial"/>
          <w:i/>
          <w:spacing w:val="1"/>
          <w:szCs w:val="20"/>
        </w:rPr>
        <w:t>H</w:t>
      </w:r>
      <w:r w:rsidRPr="00C050B2">
        <w:rPr>
          <w:rFonts w:eastAsia="Arial" w:cs="Arial"/>
          <w:i/>
          <w:szCs w:val="20"/>
        </w:rPr>
        <w:t>M</w:t>
      </w:r>
      <w:r w:rsidRPr="00C050B2">
        <w:rPr>
          <w:rFonts w:eastAsia="Arial" w:cs="Arial"/>
          <w:i/>
          <w:spacing w:val="-2"/>
          <w:szCs w:val="20"/>
        </w:rPr>
        <w:t>G</w:t>
      </w:r>
      <w:r w:rsidRPr="00C050B2">
        <w:rPr>
          <w:rFonts w:eastAsia="Arial" w:cs="Arial"/>
          <w:i/>
          <w:szCs w:val="20"/>
        </w:rPr>
        <w:t>,</w:t>
      </w:r>
      <w:r w:rsidRPr="00C050B2">
        <w:rPr>
          <w:rFonts w:eastAsia="Arial" w:cs="Arial"/>
          <w:i/>
          <w:spacing w:val="-3"/>
          <w:szCs w:val="20"/>
        </w:rPr>
        <w:t xml:space="preserve"> </w:t>
      </w:r>
      <w:r w:rsidRPr="00C050B2">
        <w:rPr>
          <w:rFonts w:eastAsia="Arial" w:cs="Arial"/>
          <w:i/>
          <w:spacing w:val="1"/>
          <w:szCs w:val="20"/>
        </w:rPr>
        <w:t>an</w:t>
      </w:r>
      <w:r w:rsidRPr="00C050B2">
        <w:rPr>
          <w:rFonts w:eastAsia="Arial" w:cs="Arial"/>
          <w:i/>
          <w:szCs w:val="20"/>
        </w:rPr>
        <w:t>d m</w:t>
      </w:r>
      <w:r w:rsidRPr="00C050B2">
        <w:rPr>
          <w:rFonts w:eastAsia="Arial" w:cs="Arial"/>
          <w:i/>
          <w:spacing w:val="1"/>
          <w:szCs w:val="20"/>
        </w:rPr>
        <w:t>a</w:t>
      </w:r>
      <w:r w:rsidRPr="00C050B2">
        <w:rPr>
          <w:rFonts w:eastAsia="Arial" w:cs="Arial"/>
          <w:i/>
          <w:szCs w:val="20"/>
        </w:rPr>
        <w:t xml:space="preserve">ke </w:t>
      </w:r>
      <w:r w:rsidRPr="00C050B2">
        <w:rPr>
          <w:rFonts w:eastAsia="Arial" w:cs="Arial"/>
          <w:i/>
          <w:spacing w:val="1"/>
          <w:szCs w:val="20"/>
        </w:rPr>
        <w:t>H</w:t>
      </w:r>
      <w:r w:rsidRPr="00C050B2">
        <w:rPr>
          <w:rFonts w:eastAsia="Arial" w:cs="Arial"/>
          <w:i/>
          <w:szCs w:val="20"/>
        </w:rPr>
        <w:t>MG</w:t>
      </w:r>
      <w:r w:rsidRPr="00C050B2">
        <w:rPr>
          <w:rFonts w:eastAsia="Arial" w:cs="Arial"/>
          <w:i/>
          <w:spacing w:val="-3"/>
          <w:szCs w:val="20"/>
        </w:rPr>
        <w:t xml:space="preserve"> </w:t>
      </w:r>
      <w:r w:rsidRPr="00C050B2">
        <w:rPr>
          <w:rFonts w:eastAsia="Arial" w:cs="Arial"/>
          <w:i/>
          <w:spacing w:val="1"/>
          <w:szCs w:val="20"/>
        </w:rPr>
        <w:t>lia</w:t>
      </w:r>
      <w:r w:rsidRPr="00C050B2">
        <w:rPr>
          <w:rFonts w:eastAsia="Arial" w:cs="Arial"/>
          <w:i/>
          <w:spacing w:val="-3"/>
          <w:szCs w:val="20"/>
        </w:rPr>
        <w:t>b</w:t>
      </w:r>
      <w:r w:rsidRPr="00C050B2">
        <w:rPr>
          <w:rFonts w:eastAsia="Arial" w:cs="Arial"/>
          <w:i/>
          <w:spacing w:val="1"/>
          <w:szCs w:val="20"/>
        </w:rPr>
        <w:t>l</w:t>
      </w:r>
      <w:r w:rsidRPr="00C050B2">
        <w:rPr>
          <w:rFonts w:eastAsia="Arial" w:cs="Arial"/>
          <w:i/>
          <w:szCs w:val="20"/>
        </w:rPr>
        <w:t xml:space="preserve">e </w:t>
      </w:r>
      <w:r w:rsidRPr="00C050B2">
        <w:rPr>
          <w:rFonts w:eastAsia="Arial" w:cs="Arial"/>
          <w:i/>
          <w:spacing w:val="-2"/>
          <w:szCs w:val="20"/>
        </w:rPr>
        <w:t>t</w:t>
      </w:r>
      <w:r w:rsidRPr="00C050B2">
        <w:rPr>
          <w:rFonts w:eastAsia="Arial" w:cs="Arial"/>
          <w:i/>
          <w:szCs w:val="20"/>
        </w:rPr>
        <w:t xml:space="preserve">o </w:t>
      </w:r>
      <w:r w:rsidRPr="00C050B2">
        <w:rPr>
          <w:rFonts w:eastAsia="Arial" w:cs="Arial"/>
          <w:i/>
          <w:spacing w:val="-2"/>
          <w:szCs w:val="20"/>
        </w:rPr>
        <w:t>I</w:t>
      </w:r>
      <w:r w:rsidRPr="00C050B2">
        <w:rPr>
          <w:rFonts w:eastAsia="Arial" w:cs="Arial"/>
          <w:i/>
          <w:spacing w:val="1"/>
          <w:szCs w:val="20"/>
        </w:rPr>
        <w:t>C</w:t>
      </w:r>
      <w:r w:rsidRPr="00C050B2">
        <w:rPr>
          <w:rFonts w:eastAsia="Arial" w:cs="Arial"/>
          <w:i/>
          <w:szCs w:val="20"/>
        </w:rPr>
        <w:t>O</w:t>
      </w:r>
      <w:r w:rsidRPr="00C050B2">
        <w:rPr>
          <w:rFonts w:eastAsia="Arial" w:cs="Arial"/>
          <w:i/>
          <w:spacing w:val="-3"/>
          <w:szCs w:val="20"/>
        </w:rPr>
        <w:t xml:space="preserve"> </w:t>
      </w:r>
      <w:r w:rsidRPr="00C050B2">
        <w:rPr>
          <w:rFonts w:eastAsia="Arial" w:cs="Arial"/>
          <w:i/>
          <w:spacing w:val="1"/>
          <w:szCs w:val="20"/>
        </w:rPr>
        <w:t>in</w:t>
      </w:r>
      <w:r w:rsidRPr="00C050B2">
        <w:rPr>
          <w:rFonts w:eastAsia="Arial" w:cs="Arial"/>
          <w:i/>
          <w:szCs w:val="20"/>
        </w:rPr>
        <w:t>v</w:t>
      </w:r>
      <w:r w:rsidRPr="00C050B2">
        <w:rPr>
          <w:rFonts w:eastAsia="Arial" w:cs="Arial"/>
          <w:i/>
          <w:spacing w:val="1"/>
          <w:szCs w:val="20"/>
        </w:rPr>
        <w:t>e</w:t>
      </w:r>
      <w:r w:rsidRPr="00C050B2">
        <w:rPr>
          <w:rFonts w:eastAsia="Arial" w:cs="Arial"/>
          <w:i/>
          <w:szCs w:val="20"/>
        </w:rPr>
        <w:t>s</w:t>
      </w:r>
      <w:r w:rsidRPr="00C050B2">
        <w:rPr>
          <w:rFonts w:eastAsia="Arial" w:cs="Arial"/>
          <w:i/>
          <w:spacing w:val="-2"/>
          <w:szCs w:val="20"/>
        </w:rPr>
        <w:t>t</w:t>
      </w:r>
      <w:r w:rsidRPr="00C050B2">
        <w:rPr>
          <w:rFonts w:eastAsia="Arial" w:cs="Arial"/>
          <w:i/>
          <w:spacing w:val="1"/>
          <w:szCs w:val="20"/>
        </w:rPr>
        <w:t>iga</w:t>
      </w:r>
      <w:r w:rsidRPr="00C050B2">
        <w:rPr>
          <w:rFonts w:eastAsia="Arial" w:cs="Arial"/>
          <w:i/>
          <w:spacing w:val="-2"/>
          <w:szCs w:val="20"/>
        </w:rPr>
        <w:t>t</w:t>
      </w:r>
      <w:r w:rsidRPr="00C050B2">
        <w:rPr>
          <w:rFonts w:eastAsia="Arial" w:cs="Arial"/>
          <w:i/>
          <w:spacing w:val="1"/>
          <w:szCs w:val="20"/>
        </w:rPr>
        <w:t>i</w:t>
      </w:r>
      <w:r w:rsidRPr="00C050B2">
        <w:rPr>
          <w:rFonts w:eastAsia="Arial" w:cs="Arial"/>
          <w:i/>
          <w:spacing w:val="-3"/>
          <w:szCs w:val="20"/>
        </w:rPr>
        <w:t>o</w:t>
      </w:r>
      <w:r w:rsidRPr="00C050B2">
        <w:rPr>
          <w:rFonts w:eastAsia="Arial" w:cs="Arial"/>
          <w:i/>
          <w:spacing w:val="1"/>
          <w:szCs w:val="20"/>
        </w:rPr>
        <w:t>n</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i</w:t>
      </w:r>
      <w:r w:rsidRPr="00C050B2">
        <w:rPr>
          <w:rFonts w:eastAsia="Arial" w:cs="Arial"/>
          <w:i/>
          <w:szCs w:val="20"/>
        </w:rPr>
        <w:t xml:space="preserve">n </w:t>
      </w:r>
      <w:r w:rsidRPr="00C050B2">
        <w:rPr>
          <w:rFonts w:eastAsia="Arial" w:cs="Arial"/>
          <w:i/>
          <w:spacing w:val="1"/>
          <w:szCs w:val="20"/>
        </w:rPr>
        <w:t>bu</w:t>
      </w:r>
      <w:r w:rsidRPr="00C050B2">
        <w:rPr>
          <w:rFonts w:eastAsia="Arial" w:cs="Arial"/>
          <w:i/>
          <w:spacing w:val="-5"/>
          <w:szCs w:val="20"/>
        </w:rPr>
        <w:t>s</w:t>
      </w:r>
      <w:r w:rsidRPr="00C050B2">
        <w:rPr>
          <w:rFonts w:eastAsia="Arial" w:cs="Arial"/>
          <w:i/>
          <w:spacing w:val="1"/>
          <w:szCs w:val="20"/>
        </w:rPr>
        <w:t>i</w:t>
      </w:r>
      <w:r w:rsidRPr="00C050B2">
        <w:rPr>
          <w:rFonts w:eastAsia="Arial" w:cs="Arial"/>
          <w:i/>
          <w:spacing w:val="-3"/>
          <w:szCs w:val="20"/>
        </w:rPr>
        <w:t>n</w:t>
      </w:r>
      <w:r w:rsidRPr="00C050B2">
        <w:rPr>
          <w:rFonts w:eastAsia="Arial" w:cs="Arial"/>
          <w:i/>
          <w:spacing w:val="1"/>
          <w:szCs w:val="20"/>
        </w:rPr>
        <w:t>e</w:t>
      </w:r>
      <w:r w:rsidRPr="00C050B2">
        <w:rPr>
          <w:rFonts w:eastAsia="Arial" w:cs="Arial"/>
          <w:i/>
          <w:szCs w:val="20"/>
        </w:rPr>
        <w:t>ss</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rms</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houl</w:t>
      </w:r>
      <w:r w:rsidRPr="00C050B2">
        <w:rPr>
          <w:rFonts w:eastAsia="Arial" w:cs="Arial"/>
          <w:i/>
          <w:szCs w:val="20"/>
        </w:rPr>
        <w:t xml:space="preserve">d </w:t>
      </w:r>
      <w:r w:rsidRPr="00C050B2">
        <w:rPr>
          <w:rFonts w:eastAsia="Arial" w:cs="Arial"/>
          <w:i/>
          <w:spacing w:val="1"/>
          <w:szCs w:val="20"/>
        </w:rPr>
        <w:t>b</w:t>
      </w:r>
      <w:r w:rsidRPr="00C050B2">
        <w:rPr>
          <w:rFonts w:eastAsia="Arial" w:cs="Arial"/>
          <w:i/>
          <w:szCs w:val="20"/>
        </w:rPr>
        <w:t xml:space="preserve">e </w:t>
      </w:r>
      <w:r w:rsidRPr="00C050B2">
        <w:rPr>
          <w:rFonts w:eastAsia="Arial" w:cs="Arial"/>
          <w:i/>
          <w:spacing w:val="-3"/>
          <w:szCs w:val="20"/>
        </w:rPr>
        <w:t>i</w:t>
      </w:r>
      <w:r w:rsidRPr="00C050B2">
        <w:rPr>
          <w:rFonts w:eastAsia="Arial" w:cs="Arial"/>
          <w:i/>
          <w:spacing w:val="1"/>
          <w:szCs w:val="20"/>
        </w:rPr>
        <w:t>n</w:t>
      </w:r>
      <w:r w:rsidRPr="00C050B2">
        <w:rPr>
          <w:rFonts w:eastAsia="Arial" w:cs="Arial"/>
          <w:i/>
          <w:szCs w:val="20"/>
        </w:rPr>
        <w:t>c</w:t>
      </w:r>
      <w:r w:rsidRPr="00C050B2">
        <w:rPr>
          <w:rFonts w:eastAsia="Arial" w:cs="Arial"/>
          <w:i/>
          <w:spacing w:val="1"/>
          <w:szCs w:val="20"/>
        </w:rPr>
        <w:t>l</w:t>
      </w:r>
      <w:r w:rsidRPr="00C050B2">
        <w:rPr>
          <w:rFonts w:eastAsia="Arial" w:cs="Arial"/>
          <w:i/>
          <w:spacing w:val="-3"/>
          <w:szCs w:val="20"/>
        </w:rPr>
        <w:t>u</w:t>
      </w:r>
      <w:r w:rsidRPr="00C050B2">
        <w:rPr>
          <w:rFonts w:eastAsia="Arial" w:cs="Arial"/>
          <w:i/>
          <w:spacing w:val="1"/>
          <w:szCs w:val="20"/>
        </w:rPr>
        <w:t>ded</w:t>
      </w:r>
      <w:r w:rsidRPr="00C050B2">
        <w:rPr>
          <w:rFonts w:eastAsia="Arial" w:cs="Arial"/>
          <w:i/>
          <w:szCs w:val="20"/>
        </w:rPr>
        <w:t xml:space="preserve">. </w:t>
      </w:r>
      <w:r w:rsidRPr="00C050B2">
        <w:rPr>
          <w:rFonts w:eastAsia="Arial" w:cs="Arial"/>
          <w:i/>
          <w:spacing w:val="-2"/>
          <w:szCs w:val="20"/>
        </w:rPr>
        <w:t>T</w:t>
      </w:r>
      <w:r w:rsidRPr="00C050B2">
        <w:rPr>
          <w:rFonts w:eastAsia="Arial" w:cs="Arial"/>
          <w:i/>
          <w:spacing w:val="1"/>
          <w:szCs w:val="20"/>
        </w:rPr>
        <w:t>hi</w:t>
      </w:r>
      <w:r w:rsidRPr="00C050B2">
        <w:rPr>
          <w:rFonts w:eastAsia="Arial" w:cs="Arial"/>
          <w:i/>
          <w:szCs w:val="20"/>
        </w:rPr>
        <w:t>s</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e</w:t>
      </w:r>
      <w:r w:rsidRPr="00C050B2">
        <w:rPr>
          <w:rFonts w:eastAsia="Arial" w:cs="Arial"/>
          <w:i/>
          <w:szCs w:val="20"/>
        </w:rPr>
        <w:t>c</w:t>
      </w:r>
      <w:r w:rsidRPr="00C050B2">
        <w:rPr>
          <w:rFonts w:eastAsia="Arial" w:cs="Arial"/>
          <w:i/>
          <w:spacing w:val="-2"/>
          <w:szCs w:val="20"/>
        </w:rPr>
        <w:t>t</w:t>
      </w:r>
      <w:r w:rsidRPr="00C050B2">
        <w:rPr>
          <w:rFonts w:eastAsia="Arial" w:cs="Arial"/>
          <w:i/>
          <w:spacing w:val="1"/>
          <w:szCs w:val="20"/>
        </w:rPr>
        <w:t>io</w:t>
      </w:r>
      <w:r w:rsidRPr="00C050B2">
        <w:rPr>
          <w:rFonts w:eastAsia="Arial" w:cs="Arial"/>
          <w:i/>
          <w:szCs w:val="20"/>
        </w:rPr>
        <w:t>n s</w:t>
      </w:r>
      <w:r w:rsidRPr="00C050B2">
        <w:rPr>
          <w:rFonts w:eastAsia="Arial" w:cs="Arial"/>
          <w:i/>
          <w:spacing w:val="1"/>
          <w:szCs w:val="20"/>
        </w:rPr>
        <w:t>ho</w:t>
      </w:r>
      <w:r w:rsidRPr="00C050B2">
        <w:rPr>
          <w:rFonts w:eastAsia="Arial" w:cs="Arial"/>
          <w:i/>
          <w:spacing w:val="-3"/>
          <w:szCs w:val="20"/>
        </w:rPr>
        <w:t>u</w:t>
      </w:r>
      <w:r w:rsidRPr="00C050B2">
        <w:rPr>
          <w:rFonts w:eastAsia="Arial" w:cs="Arial"/>
          <w:i/>
          <w:spacing w:val="1"/>
          <w:szCs w:val="20"/>
        </w:rPr>
        <w:t>l</w:t>
      </w:r>
      <w:r w:rsidRPr="00C050B2">
        <w:rPr>
          <w:rFonts w:eastAsia="Arial" w:cs="Arial"/>
          <w:i/>
          <w:szCs w:val="20"/>
        </w:rPr>
        <w:t>d c</w:t>
      </w:r>
      <w:r w:rsidRPr="00C050B2">
        <w:rPr>
          <w:rFonts w:eastAsia="Arial" w:cs="Arial"/>
          <w:i/>
          <w:spacing w:val="1"/>
          <w:szCs w:val="20"/>
        </w:rPr>
        <w:t>o</w:t>
      </w:r>
      <w:r w:rsidRPr="00C050B2">
        <w:rPr>
          <w:rFonts w:eastAsia="Arial" w:cs="Arial"/>
          <w:i/>
          <w:szCs w:val="20"/>
        </w:rPr>
        <w:t>v</w:t>
      </w:r>
      <w:r w:rsidRPr="00C050B2">
        <w:rPr>
          <w:rFonts w:eastAsia="Arial" w:cs="Arial"/>
          <w:i/>
          <w:spacing w:val="1"/>
          <w:szCs w:val="20"/>
        </w:rPr>
        <w:t>e</w:t>
      </w:r>
      <w:r w:rsidRPr="00C050B2">
        <w:rPr>
          <w:rFonts w:eastAsia="Arial" w:cs="Arial"/>
          <w:i/>
          <w:szCs w:val="20"/>
        </w:rPr>
        <w:t>r</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i</w:t>
      </w:r>
      <w:r w:rsidRPr="00C050B2">
        <w:rPr>
          <w:rFonts w:eastAsia="Arial" w:cs="Arial"/>
          <w:i/>
          <w:spacing w:val="-5"/>
          <w:szCs w:val="20"/>
        </w:rPr>
        <w:t>m</w:t>
      </w:r>
      <w:r w:rsidRPr="00C050B2">
        <w:rPr>
          <w:rFonts w:eastAsia="Arial" w:cs="Arial"/>
          <w:i/>
          <w:spacing w:val="1"/>
          <w:szCs w:val="20"/>
        </w:rPr>
        <w:t>pa</w:t>
      </w:r>
      <w:r w:rsidRPr="00C050B2">
        <w:rPr>
          <w:rFonts w:eastAsia="Arial" w:cs="Arial"/>
          <w:i/>
          <w:szCs w:val="20"/>
        </w:rPr>
        <w:t>ct</w:t>
      </w:r>
      <w:r w:rsidRPr="00C050B2">
        <w:rPr>
          <w:rFonts w:eastAsia="Arial" w:cs="Arial"/>
          <w:i/>
          <w:spacing w:val="-3"/>
          <w:szCs w:val="20"/>
        </w:rPr>
        <w:t xml:space="preserve"> </w:t>
      </w:r>
      <w:r w:rsidRPr="00C050B2">
        <w:rPr>
          <w:rFonts w:eastAsia="Arial" w:cs="Arial"/>
          <w:i/>
          <w:spacing w:val="1"/>
          <w:szCs w:val="20"/>
        </w:rPr>
        <w:t>o</w:t>
      </w:r>
      <w:r w:rsidRPr="00C050B2">
        <w:rPr>
          <w:rFonts w:eastAsia="Arial" w:cs="Arial"/>
          <w:i/>
          <w:szCs w:val="20"/>
        </w:rPr>
        <w:t xml:space="preserve">n </w:t>
      </w:r>
      <w:r w:rsidRPr="00C050B2">
        <w:rPr>
          <w:rFonts w:eastAsia="Arial" w:cs="Arial"/>
          <w:i/>
          <w:spacing w:val="1"/>
          <w:szCs w:val="20"/>
        </w:rPr>
        <w:t>lo</w:t>
      </w:r>
      <w:r w:rsidRPr="00C050B2">
        <w:rPr>
          <w:rFonts w:eastAsia="Arial" w:cs="Arial"/>
          <w:i/>
          <w:szCs w:val="20"/>
        </w:rPr>
        <w:t>ss</w:t>
      </w:r>
      <w:r w:rsidRPr="00C050B2">
        <w:rPr>
          <w:rFonts w:eastAsia="Arial" w:cs="Arial"/>
          <w:i/>
          <w:spacing w:val="-1"/>
          <w:szCs w:val="20"/>
        </w:rPr>
        <w:t xml:space="preserve"> </w:t>
      </w:r>
      <w:r w:rsidRPr="00C050B2">
        <w:rPr>
          <w:rFonts w:eastAsia="Arial" w:cs="Arial"/>
          <w:i/>
          <w:spacing w:val="1"/>
          <w:szCs w:val="20"/>
        </w:rPr>
        <w:t>o</w:t>
      </w:r>
      <w:r w:rsidRPr="00C050B2">
        <w:rPr>
          <w:rFonts w:eastAsia="Arial" w:cs="Arial"/>
          <w:i/>
          <w:szCs w:val="20"/>
        </w:rPr>
        <w:t>f</w:t>
      </w:r>
      <w:r w:rsidRPr="00C050B2">
        <w:rPr>
          <w:rFonts w:eastAsia="Arial" w:cs="Arial"/>
          <w:i/>
          <w:spacing w:val="-8"/>
          <w:szCs w:val="20"/>
        </w:rPr>
        <w:t xml:space="preserve"> </w:t>
      </w:r>
      <w:r w:rsidRPr="00C050B2">
        <w:rPr>
          <w:rFonts w:eastAsia="Arial" w:cs="Arial"/>
          <w:i/>
          <w:szCs w:val="20"/>
        </w:rPr>
        <w:t>c</w:t>
      </w:r>
      <w:r w:rsidRPr="00C050B2">
        <w:rPr>
          <w:rFonts w:eastAsia="Arial" w:cs="Arial"/>
          <w:i/>
          <w:spacing w:val="1"/>
          <w:szCs w:val="20"/>
        </w:rPr>
        <w:t>on</w:t>
      </w:r>
      <w:r w:rsidRPr="00C050B2">
        <w:rPr>
          <w:rFonts w:eastAsia="Arial" w:cs="Arial"/>
          <w:i/>
          <w:spacing w:val="-2"/>
          <w:szCs w:val="20"/>
        </w:rPr>
        <w:t>f</w:t>
      </w:r>
      <w:r w:rsidRPr="00C050B2">
        <w:rPr>
          <w:rFonts w:eastAsia="Arial" w:cs="Arial"/>
          <w:i/>
          <w:spacing w:val="1"/>
          <w:szCs w:val="20"/>
        </w:rPr>
        <w:t>id</w:t>
      </w:r>
      <w:r w:rsidRPr="00C050B2">
        <w:rPr>
          <w:rFonts w:eastAsia="Arial" w:cs="Arial"/>
          <w:i/>
          <w:spacing w:val="-3"/>
          <w:szCs w:val="20"/>
        </w:rPr>
        <w:t>e</w:t>
      </w:r>
      <w:r w:rsidRPr="00C050B2">
        <w:rPr>
          <w:rFonts w:eastAsia="Arial" w:cs="Arial"/>
          <w:i/>
          <w:spacing w:val="1"/>
          <w:szCs w:val="20"/>
        </w:rPr>
        <w:t>n</w:t>
      </w:r>
      <w:r w:rsidRPr="00C050B2">
        <w:rPr>
          <w:rFonts w:eastAsia="Arial" w:cs="Arial"/>
          <w:i/>
          <w:spacing w:val="-2"/>
          <w:szCs w:val="20"/>
        </w:rPr>
        <w:t>t</w:t>
      </w:r>
      <w:r w:rsidRPr="00C050B2">
        <w:rPr>
          <w:rFonts w:eastAsia="Arial" w:cs="Arial"/>
          <w:i/>
          <w:spacing w:val="1"/>
          <w:szCs w:val="20"/>
        </w:rPr>
        <w:t>iali</w:t>
      </w:r>
      <w:r w:rsidRPr="00C050B2">
        <w:rPr>
          <w:rFonts w:eastAsia="Arial" w:cs="Arial"/>
          <w:i/>
          <w:spacing w:val="-2"/>
          <w:szCs w:val="20"/>
        </w:rPr>
        <w:t>t</w:t>
      </w:r>
      <w:r w:rsidRPr="00C050B2">
        <w:rPr>
          <w:rFonts w:eastAsia="Arial" w:cs="Arial"/>
          <w:i/>
          <w:szCs w:val="20"/>
        </w:rPr>
        <w:t>y,</w:t>
      </w:r>
      <w:r w:rsidRPr="00C050B2">
        <w:rPr>
          <w:rFonts w:eastAsia="Arial" w:cs="Arial"/>
          <w:i/>
          <w:spacing w:val="-3"/>
          <w:szCs w:val="20"/>
        </w:rPr>
        <w:t xml:space="preserve"> </w:t>
      </w:r>
      <w:proofErr w:type="gramStart"/>
      <w:r w:rsidRPr="00C050B2">
        <w:rPr>
          <w:rFonts w:eastAsia="Arial" w:cs="Arial"/>
          <w:i/>
          <w:spacing w:val="1"/>
          <w:szCs w:val="20"/>
        </w:rPr>
        <w:t>in</w:t>
      </w:r>
      <w:r w:rsidRPr="00C050B2">
        <w:rPr>
          <w:rFonts w:eastAsia="Arial" w:cs="Arial"/>
          <w:i/>
          <w:spacing w:val="-2"/>
          <w:szCs w:val="20"/>
        </w:rPr>
        <w:t>t</w:t>
      </w:r>
      <w:r w:rsidRPr="00C050B2">
        <w:rPr>
          <w:rFonts w:eastAsia="Arial" w:cs="Arial"/>
          <w:i/>
          <w:spacing w:val="1"/>
          <w:szCs w:val="20"/>
        </w:rPr>
        <w:t>eg</w:t>
      </w:r>
      <w:r w:rsidRPr="00C050B2">
        <w:rPr>
          <w:rFonts w:eastAsia="Arial" w:cs="Arial"/>
          <w:i/>
          <w:spacing w:val="-5"/>
          <w:szCs w:val="20"/>
        </w:rPr>
        <w:t>r</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y</w:t>
      </w:r>
      <w:proofErr w:type="gramEnd"/>
      <w:r w:rsidRPr="00C050B2">
        <w:rPr>
          <w:rFonts w:eastAsia="Arial" w:cs="Arial"/>
          <w:i/>
          <w:spacing w:val="-1"/>
          <w:szCs w:val="20"/>
        </w:rPr>
        <w:t xml:space="preserve"> </w:t>
      </w:r>
      <w:r w:rsidRPr="00C050B2">
        <w:rPr>
          <w:rFonts w:eastAsia="Arial" w:cs="Arial"/>
          <w:i/>
          <w:spacing w:val="1"/>
          <w:szCs w:val="20"/>
        </w:rPr>
        <w:t>an</w:t>
      </w:r>
      <w:r w:rsidRPr="00C050B2">
        <w:rPr>
          <w:rFonts w:eastAsia="Arial" w:cs="Arial"/>
          <w:i/>
          <w:szCs w:val="20"/>
        </w:rPr>
        <w:t xml:space="preserve">d </w:t>
      </w:r>
      <w:r w:rsidRPr="00C050B2">
        <w:rPr>
          <w:rFonts w:eastAsia="Arial" w:cs="Arial"/>
          <w:i/>
          <w:spacing w:val="1"/>
          <w:szCs w:val="20"/>
        </w:rPr>
        <w:t>a</w:t>
      </w:r>
      <w:r w:rsidRPr="00C050B2">
        <w:rPr>
          <w:rFonts w:eastAsia="Arial" w:cs="Arial"/>
          <w:i/>
          <w:szCs w:val="20"/>
        </w:rPr>
        <w:t>v</w:t>
      </w:r>
      <w:r w:rsidRPr="00C050B2">
        <w:rPr>
          <w:rFonts w:eastAsia="Arial" w:cs="Arial"/>
          <w:i/>
          <w:spacing w:val="1"/>
          <w:szCs w:val="20"/>
        </w:rPr>
        <w:t>ai</w:t>
      </w:r>
      <w:r w:rsidRPr="00C050B2">
        <w:rPr>
          <w:rFonts w:eastAsia="Arial" w:cs="Arial"/>
          <w:i/>
          <w:spacing w:val="-3"/>
          <w:szCs w:val="20"/>
        </w:rPr>
        <w:t>l</w:t>
      </w:r>
      <w:r w:rsidRPr="00C050B2">
        <w:rPr>
          <w:rFonts w:eastAsia="Arial" w:cs="Arial"/>
          <w:i/>
          <w:spacing w:val="1"/>
          <w:szCs w:val="20"/>
        </w:rPr>
        <w:t>ab</w:t>
      </w:r>
      <w:r w:rsidRPr="00C050B2">
        <w:rPr>
          <w:rFonts w:eastAsia="Arial" w:cs="Arial"/>
          <w:i/>
          <w:spacing w:val="-3"/>
          <w:szCs w:val="20"/>
        </w:rPr>
        <w:t>i</w:t>
      </w:r>
      <w:r w:rsidRPr="00C050B2">
        <w:rPr>
          <w:rFonts w:eastAsia="Arial" w:cs="Arial"/>
          <w:i/>
          <w:spacing w:val="1"/>
          <w:szCs w:val="20"/>
        </w:rPr>
        <w:t>li</w:t>
      </w:r>
      <w:r w:rsidRPr="00C050B2">
        <w:rPr>
          <w:rFonts w:eastAsia="Arial" w:cs="Arial"/>
          <w:i/>
          <w:spacing w:val="-2"/>
          <w:szCs w:val="20"/>
        </w:rPr>
        <w:t>t</w:t>
      </w:r>
      <w:r w:rsidRPr="00C050B2">
        <w:rPr>
          <w:rFonts w:eastAsia="Arial" w:cs="Arial"/>
          <w:i/>
          <w:szCs w:val="20"/>
        </w:rPr>
        <w:t>y</w:t>
      </w:r>
      <w:r w:rsidRPr="00C050B2">
        <w:rPr>
          <w:rFonts w:eastAsia="Arial" w:cs="Arial"/>
          <w:i/>
          <w:spacing w:val="-1"/>
          <w:szCs w:val="20"/>
        </w:rPr>
        <w:t xml:space="preserve">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a</w:t>
      </w:r>
      <w:r w:rsidRPr="00C050B2">
        <w:rPr>
          <w:rFonts w:eastAsia="Arial" w:cs="Arial"/>
          <w:i/>
          <w:szCs w:val="20"/>
        </w:rPr>
        <w:t>ss</w:t>
      </w:r>
      <w:r w:rsidRPr="00C050B2">
        <w:rPr>
          <w:rFonts w:eastAsia="Arial" w:cs="Arial"/>
          <w:i/>
          <w:spacing w:val="1"/>
          <w:szCs w:val="20"/>
        </w:rPr>
        <w:t>e</w:t>
      </w:r>
      <w:r w:rsidRPr="00C050B2">
        <w:rPr>
          <w:rFonts w:eastAsia="Arial" w:cs="Arial"/>
          <w:i/>
          <w:spacing w:val="-2"/>
          <w:szCs w:val="20"/>
        </w:rPr>
        <w:t>t</w:t>
      </w:r>
      <w:r w:rsidRPr="00C050B2">
        <w:rPr>
          <w:rFonts w:eastAsia="Arial" w:cs="Arial"/>
          <w:i/>
          <w:szCs w:val="20"/>
        </w:rPr>
        <w:t>s.</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2"/>
          <w:szCs w:val="20"/>
        </w:rPr>
        <w:t>f</w:t>
      </w:r>
      <w:r w:rsidRPr="00C050B2">
        <w:rPr>
          <w:rFonts w:eastAsia="Arial" w:cs="Arial"/>
          <w:i/>
          <w:spacing w:val="1"/>
          <w:szCs w:val="20"/>
        </w:rPr>
        <w:t>o</w:t>
      </w:r>
      <w:r w:rsidRPr="00C050B2">
        <w:rPr>
          <w:rFonts w:eastAsia="Arial" w:cs="Arial"/>
          <w:i/>
          <w:szCs w:val="20"/>
        </w:rPr>
        <w:t>rm</w:t>
      </w:r>
      <w:r w:rsidRPr="00C050B2">
        <w:rPr>
          <w:rFonts w:eastAsia="Arial" w:cs="Arial"/>
          <w:i/>
          <w:spacing w:val="1"/>
          <w:szCs w:val="20"/>
        </w:rPr>
        <w:t>a</w:t>
      </w:r>
      <w:r w:rsidRPr="00C050B2">
        <w:rPr>
          <w:rFonts w:eastAsia="Arial" w:cs="Arial"/>
          <w:i/>
          <w:szCs w:val="20"/>
        </w:rPr>
        <w:t>t</w:t>
      </w:r>
      <w:r w:rsidRPr="00C050B2">
        <w:rPr>
          <w:rFonts w:eastAsia="Arial" w:cs="Arial"/>
          <w:i/>
          <w:spacing w:val="-3"/>
          <w:szCs w:val="20"/>
        </w:rPr>
        <w:t xml:space="preserve"> </w:t>
      </w:r>
      <w:r w:rsidRPr="00C050B2">
        <w:rPr>
          <w:rFonts w:eastAsia="Arial" w:cs="Arial"/>
          <w:i/>
          <w:spacing w:val="1"/>
          <w:szCs w:val="20"/>
        </w:rPr>
        <w:t>o</w:t>
      </w:r>
      <w:r w:rsidRPr="00C050B2">
        <w:rPr>
          <w:rFonts w:eastAsia="Arial" w:cs="Arial"/>
          <w:i/>
          <w:szCs w:val="20"/>
        </w:rPr>
        <w:t>f</w:t>
      </w:r>
      <w:r w:rsidRPr="00C050B2">
        <w:rPr>
          <w:rFonts w:eastAsia="Arial" w:cs="Arial"/>
          <w:i/>
          <w:spacing w:val="2"/>
          <w:szCs w:val="20"/>
        </w:rPr>
        <w:t xml:space="preserve"> </w:t>
      </w:r>
      <w:r w:rsidRPr="00C050B2">
        <w:rPr>
          <w:rFonts w:eastAsia="Arial" w:cs="Arial"/>
          <w:i/>
          <w:spacing w:val="-2"/>
          <w:szCs w:val="20"/>
        </w:rPr>
        <w:t>t</w:t>
      </w:r>
      <w:r w:rsidRPr="00C050B2">
        <w:rPr>
          <w:rFonts w:eastAsia="Arial" w:cs="Arial"/>
          <w:i/>
          <w:spacing w:val="1"/>
          <w:szCs w:val="20"/>
        </w:rPr>
        <w:t>hi</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a</w:t>
      </w:r>
      <w:r w:rsidRPr="00C050B2">
        <w:rPr>
          <w:rFonts w:eastAsia="Arial" w:cs="Arial"/>
          <w:i/>
          <w:szCs w:val="20"/>
        </w:rPr>
        <w:t>ss</w:t>
      </w:r>
      <w:r w:rsidRPr="00C050B2">
        <w:rPr>
          <w:rFonts w:eastAsia="Arial" w:cs="Arial"/>
          <w:i/>
          <w:spacing w:val="1"/>
          <w:szCs w:val="20"/>
        </w:rPr>
        <w:t>e</w:t>
      </w:r>
      <w:r w:rsidRPr="00C050B2">
        <w:rPr>
          <w:rFonts w:eastAsia="Arial" w:cs="Arial"/>
          <w:i/>
          <w:szCs w:val="20"/>
        </w:rPr>
        <w:t>ssm</w:t>
      </w:r>
      <w:r w:rsidRPr="00C050B2">
        <w:rPr>
          <w:rFonts w:eastAsia="Arial" w:cs="Arial"/>
          <w:i/>
          <w:spacing w:val="1"/>
          <w:szCs w:val="20"/>
        </w:rPr>
        <w:t>en</w:t>
      </w:r>
      <w:r w:rsidRPr="00C050B2">
        <w:rPr>
          <w:rFonts w:eastAsia="Arial" w:cs="Arial"/>
          <w:i/>
          <w:szCs w:val="20"/>
        </w:rPr>
        <w:t>t</w:t>
      </w:r>
      <w:r w:rsidRPr="00C050B2">
        <w:rPr>
          <w:rFonts w:eastAsia="Arial" w:cs="Arial"/>
          <w:i/>
          <w:spacing w:val="-3"/>
          <w:szCs w:val="20"/>
        </w:rPr>
        <w:t xml:space="preserve"> </w:t>
      </w:r>
      <w:r w:rsidRPr="00C050B2">
        <w:rPr>
          <w:rFonts w:eastAsia="Arial" w:cs="Arial"/>
          <w:i/>
          <w:szCs w:val="20"/>
        </w:rPr>
        <w:t>m</w:t>
      </w:r>
      <w:r w:rsidRPr="00C050B2">
        <w:rPr>
          <w:rFonts w:eastAsia="Arial" w:cs="Arial"/>
          <w:i/>
          <w:spacing w:val="1"/>
          <w:szCs w:val="20"/>
        </w:rPr>
        <w:t>a</w:t>
      </w:r>
      <w:r w:rsidRPr="00C050B2">
        <w:rPr>
          <w:rFonts w:eastAsia="Arial" w:cs="Arial"/>
          <w:i/>
          <w:szCs w:val="20"/>
        </w:rPr>
        <w:t>y</w:t>
      </w:r>
      <w:r w:rsidRPr="00C050B2">
        <w:rPr>
          <w:rFonts w:eastAsia="Arial" w:cs="Arial"/>
          <w:i/>
          <w:spacing w:val="-1"/>
          <w:szCs w:val="20"/>
        </w:rPr>
        <w:t xml:space="preserve"> </w:t>
      </w:r>
      <w:r w:rsidRPr="00C050B2">
        <w:rPr>
          <w:rFonts w:eastAsia="Arial" w:cs="Arial"/>
          <w:i/>
          <w:spacing w:val="1"/>
          <w:szCs w:val="20"/>
        </w:rPr>
        <w:t>b</w:t>
      </w:r>
      <w:r w:rsidRPr="00C050B2">
        <w:rPr>
          <w:rFonts w:eastAsia="Arial" w:cs="Arial"/>
          <w:i/>
          <w:szCs w:val="20"/>
        </w:rPr>
        <w:t xml:space="preserve">e </w:t>
      </w:r>
      <w:r w:rsidRPr="00C050B2">
        <w:rPr>
          <w:rFonts w:eastAsia="Arial" w:cs="Arial"/>
          <w:i/>
          <w:spacing w:val="1"/>
          <w:szCs w:val="20"/>
        </w:rPr>
        <w:t>dep</w:t>
      </w:r>
      <w:r w:rsidRPr="00C050B2">
        <w:rPr>
          <w:rFonts w:eastAsia="Arial" w:cs="Arial"/>
          <w:i/>
          <w:spacing w:val="-3"/>
          <w:szCs w:val="20"/>
        </w:rPr>
        <w:t>e</w:t>
      </w:r>
      <w:r w:rsidRPr="00C050B2">
        <w:rPr>
          <w:rFonts w:eastAsia="Arial" w:cs="Arial"/>
          <w:i/>
          <w:spacing w:val="1"/>
          <w:szCs w:val="20"/>
        </w:rPr>
        <w:t>nd</w:t>
      </w:r>
      <w:r w:rsidRPr="00C050B2">
        <w:rPr>
          <w:rFonts w:eastAsia="Arial" w:cs="Arial"/>
          <w:i/>
          <w:spacing w:val="-3"/>
          <w:szCs w:val="20"/>
        </w:rPr>
        <w:t>e</w:t>
      </w:r>
      <w:r w:rsidRPr="00C050B2">
        <w:rPr>
          <w:rFonts w:eastAsia="Arial" w:cs="Arial"/>
          <w:i/>
          <w:spacing w:val="1"/>
          <w:szCs w:val="20"/>
        </w:rPr>
        <w:t>n</w:t>
      </w:r>
      <w:r w:rsidRPr="00C050B2">
        <w:rPr>
          <w:rFonts w:eastAsia="Arial" w:cs="Arial"/>
          <w:i/>
          <w:szCs w:val="20"/>
        </w:rPr>
        <w:t>t</w:t>
      </w:r>
      <w:r w:rsidRPr="00C050B2">
        <w:rPr>
          <w:rFonts w:eastAsia="Arial" w:cs="Arial"/>
          <w:i/>
          <w:spacing w:val="-3"/>
          <w:szCs w:val="20"/>
        </w:rPr>
        <w:t xml:space="preserve"> </w:t>
      </w:r>
      <w:r w:rsidRPr="00C050B2">
        <w:rPr>
          <w:rFonts w:eastAsia="Arial" w:cs="Arial"/>
          <w:i/>
          <w:spacing w:val="1"/>
          <w:szCs w:val="20"/>
        </w:rPr>
        <w:t>o</w:t>
      </w:r>
      <w:r w:rsidRPr="00C050B2">
        <w:rPr>
          <w:rFonts w:eastAsia="Arial" w:cs="Arial"/>
          <w:i/>
          <w:szCs w:val="20"/>
        </w:rPr>
        <w:t xml:space="preserve">n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r</w:t>
      </w:r>
      <w:r w:rsidRPr="00C050B2">
        <w:rPr>
          <w:rFonts w:eastAsia="Arial" w:cs="Arial"/>
          <w:i/>
          <w:spacing w:val="1"/>
          <w:szCs w:val="20"/>
        </w:rPr>
        <w:t>i</w:t>
      </w:r>
      <w:r w:rsidRPr="00C050B2">
        <w:rPr>
          <w:rFonts w:eastAsia="Arial" w:cs="Arial"/>
          <w:i/>
          <w:szCs w:val="20"/>
        </w:rPr>
        <w:t>sk</w:t>
      </w:r>
      <w:r w:rsidRPr="00C050B2">
        <w:rPr>
          <w:rFonts w:eastAsia="Arial" w:cs="Arial"/>
          <w:i/>
          <w:spacing w:val="-1"/>
          <w:szCs w:val="20"/>
        </w:rPr>
        <w:t xml:space="preserve"> </w:t>
      </w:r>
      <w:r w:rsidRPr="00C050B2">
        <w:rPr>
          <w:rFonts w:eastAsia="Arial" w:cs="Arial"/>
          <w:i/>
          <w:spacing w:val="1"/>
          <w:szCs w:val="20"/>
        </w:rPr>
        <w:t>a</w:t>
      </w:r>
      <w:r w:rsidRPr="00C050B2">
        <w:rPr>
          <w:rFonts w:eastAsia="Arial" w:cs="Arial"/>
          <w:i/>
          <w:szCs w:val="20"/>
        </w:rPr>
        <w:t>ss</w:t>
      </w:r>
      <w:r w:rsidRPr="00C050B2">
        <w:rPr>
          <w:rFonts w:eastAsia="Arial" w:cs="Arial"/>
          <w:i/>
          <w:spacing w:val="1"/>
          <w:szCs w:val="20"/>
        </w:rPr>
        <w:t>e</w:t>
      </w:r>
      <w:r w:rsidRPr="00C050B2">
        <w:rPr>
          <w:rFonts w:eastAsia="Arial" w:cs="Arial"/>
          <w:i/>
          <w:szCs w:val="20"/>
        </w:rPr>
        <w:t>ssm</w:t>
      </w:r>
      <w:r w:rsidRPr="00C050B2">
        <w:rPr>
          <w:rFonts w:eastAsia="Arial" w:cs="Arial"/>
          <w:i/>
          <w:spacing w:val="1"/>
          <w:szCs w:val="20"/>
        </w:rPr>
        <w:t>en</w:t>
      </w:r>
      <w:r w:rsidRPr="00C050B2">
        <w:rPr>
          <w:rFonts w:eastAsia="Arial" w:cs="Arial"/>
          <w:i/>
          <w:szCs w:val="20"/>
        </w:rPr>
        <w:t>t</w:t>
      </w:r>
      <w:r w:rsidRPr="00C050B2">
        <w:rPr>
          <w:rFonts w:eastAsia="Arial" w:cs="Arial"/>
          <w:i/>
          <w:spacing w:val="-3"/>
          <w:szCs w:val="20"/>
        </w:rPr>
        <w:t xml:space="preserve"> </w:t>
      </w:r>
      <w:r w:rsidRPr="00C050B2">
        <w:rPr>
          <w:rFonts w:eastAsia="Arial" w:cs="Arial"/>
          <w:i/>
          <w:szCs w:val="20"/>
        </w:rPr>
        <w:t>m</w:t>
      </w:r>
      <w:r w:rsidRPr="00C050B2">
        <w:rPr>
          <w:rFonts w:eastAsia="Arial" w:cs="Arial"/>
          <w:i/>
          <w:spacing w:val="1"/>
          <w:szCs w:val="20"/>
        </w:rPr>
        <w:t>e</w:t>
      </w:r>
      <w:r w:rsidRPr="00C050B2">
        <w:rPr>
          <w:rFonts w:eastAsia="Arial" w:cs="Arial"/>
          <w:i/>
          <w:spacing w:val="-2"/>
          <w:szCs w:val="20"/>
        </w:rPr>
        <w:t>t</w:t>
      </w:r>
      <w:r w:rsidRPr="00C050B2">
        <w:rPr>
          <w:rFonts w:eastAsia="Arial" w:cs="Arial"/>
          <w:i/>
          <w:spacing w:val="1"/>
          <w:szCs w:val="20"/>
        </w:rPr>
        <w:t>ho</w:t>
      </w:r>
      <w:r w:rsidRPr="00C050B2">
        <w:rPr>
          <w:rFonts w:eastAsia="Arial" w:cs="Arial"/>
          <w:i/>
          <w:szCs w:val="20"/>
        </w:rPr>
        <w:t>d c</w:t>
      </w:r>
      <w:r w:rsidRPr="00C050B2">
        <w:rPr>
          <w:rFonts w:eastAsia="Arial" w:cs="Arial"/>
          <w:i/>
          <w:spacing w:val="-3"/>
          <w:szCs w:val="20"/>
        </w:rPr>
        <w:t>h</w:t>
      </w:r>
      <w:r w:rsidRPr="00C050B2">
        <w:rPr>
          <w:rFonts w:eastAsia="Arial" w:cs="Arial"/>
          <w:i/>
          <w:spacing w:val="1"/>
          <w:szCs w:val="20"/>
        </w:rPr>
        <w:t>o</w:t>
      </w:r>
      <w:r w:rsidRPr="00C050B2">
        <w:rPr>
          <w:rFonts w:eastAsia="Arial" w:cs="Arial"/>
          <w:i/>
          <w:szCs w:val="20"/>
        </w:rPr>
        <w:t>s</w:t>
      </w:r>
      <w:r w:rsidRPr="00C050B2">
        <w:rPr>
          <w:rFonts w:eastAsia="Arial" w:cs="Arial"/>
          <w:i/>
          <w:spacing w:val="1"/>
          <w:szCs w:val="20"/>
        </w:rPr>
        <w:t>en</w:t>
      </w:r>
      <w:r w:rsidRPr="00C050B2">
        <w:rPr>
          <w:rFonts w:eastAsia="Arial" w:cs="Arial"/>
          <w:i/>
          <w:spacing w:val="-2"/>
          <w:szCs w:val="20"/>
        </w:rPr>
        <w:t>.</w:t>
      </w:r>
      <w:r w:rsidRPr="00C050B2">
        <w:rPr>
          <w:rFonts w:eastAsia="Arial" w:cs="Arial"/>
          <w:i/>
          <w:szCs w:val="20"/>
        </w:rPr>
        <w:t>&gt;</w:t>
      </w:r>
    </w:p>
    <w:p w14:paraId="58BEBF6C" w14:textId="77777777" w:rsidR="00C1793C" w:rsidRPr="00C050B2" w:rsidRDefault="00C1793C" w:rsidP="009D675B">
      <w:pPr>
        <w:pStyle w:val="Sch2"/>
        <w:numPr>
          <w:ilvl w:val="3"/>
          <w:numId w:val="56"/>
        </w:numPr>
        <w:rPr>
          <w:rFonts w:eastAsia="Arial" w:cs="Arial"/>
          <w:szCs w:val="20"/>
        </w:rPr>
      </w:pPr>
      <w:r w:rsidRPr="00C050B2">
        <w:rPr>
          <w:rFonts w:eastAsia="Arial" w:cs="Arial"/>
          <w:spacing w:val="1"/>
          <w:szCs w:val="20"/>
        </w:rPr>
        <w:t>Ri</w:t>
      </w:r>
      <w:r w:rsidRPr="00C050B2">
        <w:rPr>
          <w:rFonts w:eastAsia="Arial" w:cs="Arial"/>
          <w:szCs w:val="20"/>
        </w:rPr>
        <w:t>sk</w:t>
      </w:r>
      <w:r w:rsidRPr="00C050B2">
        <w:rPr>
          <w:rFonts w:eastAsia="Arial" w:cs="Arial"/>
          <w:spacing w:val="-1"/>
          <w:szCs w:val="20"/>
        </w:rPr>
        <w:t xml:space="preserve"> </w:t>
      </w:r>
      <w:r w:rsidRPr="00C050B2">
        <w:rPr>
          <w:rFonts w:eastAsia="Verdana"/>
        </w:rPr>
        <w:t>assessment</w:t>
      </w:r>
    </w:p>
    <w:p w14:paraId="28C26DCC" w14:textId="77777777" w:rsidR="00C1793C" w:rsidRDefault="00C1793C" w:rsidP="00C1793C">
      <w:pPr>
        <w:ind w:left="861" w:right="297"/>
        <w:rPr>
          <w:rFonts w:eastAsia="Arial" w:cs="Arial"/>
          <w:i/>
          <w:szCs w:val="20"/>
        </w:rPr>
      </w:pPr>
      <w:r w:rsidRPr="00C050B2">
        <w:rPr>
          <w:rFonts w:eastAsia="Arial" w:cs="Arial"/>
          <w:i/>
          <w:szCs w:val="20"/>
        </w:rPr>
        <w:t>&lt;</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c</w:t>
      </w:r>
      <w:r w:rsidRPr="00C050B2">
        <w:rPr>
          <w:rFonts w:eastAsia="Arial" w:cs="Arial"/>
          <w:i/>
          <w:spacing w:val="1"/>
          <w:szCs w:val="20"/>
        </w:rPr>
        <w:t>on</w:t>
      </w:r>
      <w:r w:rsidRPr="00C050B2">
        <w:rPr>
          <w:rFonts w:eastAsia="Arial" w:cs="Arial"/>
          <w:i/>
          <w:spacing w:val="-2"/>
          <w:szCs w:val="20"/>
        </w:rPr>
        <w:t>t</w:t>
      </w:r>
      <w:r w:rsidRPr="00C050B2">
        <w:rPr>
          <w:rFonts w:eastAsia="Arial" w:cs="Arial"/>
          <w:i/>
          <w:spacing w:val="1"/>
          <w:szCs w:val="20"/>
        </w:rPr>
        <w:t>en</w:t>
      </w:r>
      <w:r w:rsidRPr="00C050B2">
        <w:rPr>
          <w:rFonts w:eastAsia="Arial" w:cs="Arial"/>
          <w:i/>
          <w:szCs w:val="20"/>
        </w:rPr>
        <w:t>t</w:t>
      </w:r>
      <w:r w:rsidRPr="00C050B2">
        <w:rPr>
          <w:rFonts w:eastAsia="Arial" w:cs="Arial"/>
          <w:i/>
          <w:spacing w:val="-3"/>
          <w:szCs w:val="20"/>
        </w:rPr>
        <w:t xml:space="preserve">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hi</w:t>
      </w:r>
      <w:r w:rsidRPr="00C050B2">
        <w:rPr>
          <w:rFonts w:eastAsia="Arial" w:cs="Arial"/>
          <w:i/>
          <w:szCs w:val="20"/>
        </w:rPr>
        <w:t>s</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e</w:t>
      </w:r>
      <w:r w:rsidRPr="00C050B2">
        <w:rPr>
          <w:rFonts w:eastAsia="Arial" w:cs="Arial"/>
          <w:i/>
          <w:szCs w:val="20"/>
        </w:rPr>
        <w:t>c</w:t>
      </w:r>
      <w:r w:rsidRPr="00C050B2">
        <w:rPr>
          <w:rFonts w:eastAsia="Arial" w:cs="Arial"/>
          <w:i/>
          <w:spacing w:val="-2"/>
          <w:szCs w:val="20"/>
        </w:rPr>
        <w:t>t</w:t>
      </w:r>
      <w:r w:rsidRPr="00C050B2">
        <w:rPr>
          <w:rFonts w:eastAsia="Arial" w:cs="Arial"/>
          <w:i/>
          <w:spacing w:val="1"/>
          <w:szCs w:val="20"/>
        </w:rPr>
        <w:t>io</w:t>
      </w:r>
      <w:r w:rsidRPr="00C050B2">
        <w:rPr>
          <w:rFonts w:eastAsia="Arial" w:cs="Arial"/>
          <w:i/>
          <w:szCs w:val="20"/>
        </w:rPr>
        <w:t xml:space="preserve">n </w:t>
      </w:r>
      <w:r w:rsidRPr="00C050B2">
        <w:rPr>
          <w:rFonts w:eastAsia="Arial" w:cs="Arial"/>
          <w:i/>
          <w:spacing w:val="1"/>
          <w:szCs w:val="20"/>
        </w:rPr>
        <w:t>wi</w:t>
      </w:r>
      <w:r w:rsidRPr="00C050B2">
        <w:rPr>
          <w:rFonts w:eastAsia="Arial" w:cs="Arial"/>
          <w:i/>
          <w:spacing w:val="-3"/>
          <w:szCs w:val="20"/>
        </w:rPr>
        <w:t>l</w:t>
      </w:r>
      <w:r w:rsidRPr="00C050B2">
        <w:rPr>
          <w:rFonts w:eastAsia="Arial" w:cs="Arial"/>
          <w:i/>
          <w:szCs w:val="20"/>
        </w:rPr>
        <w:t xml:space="preserve">l </w:t>
      </w:r>
      <w:r w:rsidRPr="00C050B2">
        <w:rPr>
          <w:rFonts w:eastAsia="Arial" w:cs="Arial"/>
          <w:i/>
          <w:spacing w:val="1"/>
          <w:szCs w:val="20"/>
        </w:rPr>
        <w:t>de</w:t>
      </w:r>
      <w:r w:rsidRPr="00C050B2">
        <w:rPr>
          <w:rFonts w:eastAsia="Arial" w:cs="Arial"/>
          <w:i/>
          <w:spacing w:val="-3"/>
          <w:szCs w:val="20"/>
        </w:rPr>
        <w:t>p</w:t>
      </w:r>
      <w:r w:rsidRPr="00C050B2">
        <w:rPr>
          <w:rFonts w:eastAsia="Arial" w:cs="Arial"/>
          <w:i/>
          <w:spacing w:val="1"/>
          <w:szCs w:val="20"/>
        </w:rPr>
        <w:t>en</w:t>
      </w:r>
      <w:r w:rsidRPr="00C050B2">
        <w:rPr>
          <w:rFonts w:eastAsia="Arial" w:cs="Arial"/>
          <w:i/>
          <w:szCs w:val="20"/>
        </w:rPr>
        <w:t xml:space="preserve">d </w:t>
      </w:r>
      <w:r w:rsidRPr="00C050B2">
        <w:rPr>
          <w:rFonts w:eastAsia="Arial" w:cs="Arial"/>
          <w:i/>
          <w:spacing w:val="1"/>
          <w:szCs w:val="20"/>
        </w:rPr>
        <w:t>o</w:t>
      </w:r>
      <w:r w:rsidRPr="00C050B2">
        <w:rPr>
          <w:rFonts w:eastAsia="Arial" w:cs="Arial"/>
          <w:i/>
          <w:szCs w:val="20"/>
        </w:rPr>
        <w:t xml:space="preserve">n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5"/>
          <w:szCs w:val="20"/>
        </w:rPr>
        <w:t>r</w:t>
      </w:r>
      <w:r w:rsidRPr="00C050B2">
        <w:rPr>
          <w:rFonts w:eastAsia="Arial" w:cs="Arial"/>
          <w:i/>
          <w:spacing w:val="1"/>
          <w:szCs w:val="20"/>
        </w:rPr>
        <w:t>i</w:t>
      </w:r>
      <w:r w:rsidRPr="00C050B2">
        <w:rPr>
          <w:rFonts w:eastAsia="Arial" w:cs="Arial"/>
          <w:i/>
          <w:szCs w:val="20"/>
        </w:rPr>
        <w:t>sk</w:t>
      </w:r>
      <w:r w:rsidRPr="00C050B2">
        <w:rPr>
          <w:rFonts w:eastAsia="Arial" w:cs="Arial"/>
          <w:i/>
          <w:spacing w:val="-1"/>
          <w:szCs w:val="20"/>
        </w:rPr>
        <w:t xml:space="preserve"> </w:t>
      </w:r>
      <w:r w:rsidRPr="00C050B2">
        <w:rPr>
          <w:rFonts w:eastAsia="Arial" w:cs="Arial"/>
          <w:i/>
          <w:spacing w:val="1"/>
          <w:szCs w:val="20"/>
        </w:rPr>
        <w:t>a</w:t>
      </w:r>
      <w:r w:rsidRPr="00C050B2">
        <w:rPr>
          <w:rFonts w:eastAsia="Arial" w:cs="Arial"/>
          <w:i/>
          <w:szCs w:val="20"/>
        </w:rPr>
        <w:t>ss</w:t>
      </w:r>
      <w:r w:rsidRPr="00C050B2">
        <w:rPr>
          <w:rFonts w:eastAsia="Arial" w:cs="Arial"/>
          <w:i/>
          <w:spacing w:val="1"/>
          <w:szCs w:val="20"/>
        </w:rPr>
        <w:t>e</w:t>
      </w:r>
      <w:r w:rsidRPr="00C050B2">
        <w:rPr>
          <w:rFonts w:eastAsia="Arial" w:cs="Arial"/>
          <w:i/>
          <w:szCs w:val="20"/>
        </w:rPr>
        <w:t>ssm</w:t>
      </w:r>
      <w:r w:rsidRPr="00C050B2">
        <w:rPr>
          <w:rFonts w:eastAsia="Arial" w:cs="Arial"/>
          <w:i/>
          <w:spacing w:val="1"/>
          <w:szCs w:val="20"/>
        </w:rPr>
        <w:t>en</w:t>
      </w:r>
      <w:r w:rsidRPr="00C050B2">
        <w:rPr>
          <w:rFonts w:eastAsia="Arial" w:cs="Arial"/>
          <w:i/>
          <w:szCs w:val="20"/>
        </w:rPr>
        <w:t>t</w:t>
      </w:r>
      <w:r w:rsidRPr="00C050B2">
        <w:rPr>
          <w:rFonts w:eastAsia="Arial" w:cs="Arial"/>
          <w:i/>
          <w:spacing w:val="-3"/>
          <w:szCs w:val="20"/>
        </w:rPr>
        <w:t xml:space="preserve"> </w:t>
      </w:r>
      <w:r w:rsidRPr="00C050B2">
        <w:rPr>
          <w:rFonts w:eastAsia="Arial" w:cs="Arial"/>
          <w:i/>
          <w:szCs w:val="20"/>
        </w:rPr>
        <w:t>m</w:t>
      </w:r>
      <w:r w:rsidRPr="00C050B2">
        <w:rPr>
          <w:rFonts w:eastAsia="Arial" w:cs="Arial"/>
          <w:i/>
          <w:spacing w:val="1"/>
          <w:szCs w:val="20"/>
        </w:rPr>
        <w:t>e</w:t>
      </w:r>
      <w:r w:rsidRPr="00C050B2">
        <w:rPr>
          <w:rFonts w:eastAsia="Arial" w:cs="Arial"/>
          <w:i/>
          <w:spacing w:val="-2"/>
          <w:szCs w:val="20"/>
        </w:rPr>
        <w:t>t</w:t>
      </w:r>
      <w:r w:rsidRPr="00C050B2">
        <w:rPr>
          <w:rFonts w:eastAsia="Arial" w:cs="Arial"/>
          <w:i/>
          <w:spacing w:val="1"/>
          <w:szCs w:val="20"/>
        </w:rPr>
        <w:t>ho</w:t>
      </w:r>
      <w:r w:rsidRPr="00C050B2">
        <w:rPr>
          <w:rFonts w:eastAsia="Arial" w:cs="Arial"/>
          <w:i/>
          <w:spacing w:val="-3"/>
          <w:szCs w:val="20"/>
        </w:rPr>
        <w:t>d</w:t>
      </w:r>
      <w:r w:rsidRPr="00C050B2">
        <w:rPr>
          <w:rFonts w:eastAsia="Arial" w:cs="Arial"/>
          <w:i/>
          <w:spacing w:val="1"/>
          <w:szCs w:val="20"/>
        </w:rPr>
        <w:t>ol</w:t>
      </w:r>
      <w:r w:rsidRPr="00C050B2">
        <w:rPr>
          <w:rFonts w:eastAsia="Arial" w:cs="Arial"/>
          <w:i/>
          <w:spacing w:val="-3"/>
          <w:szCs w:val="20"/>
        </w:rPr>
        <w:t>o</w:t>
      </w:r>
      <w:r w:rsidRPr="00C050B2">
        <w:rPr>
          <w:rFonts w:eastAsia="Arial" w:cs="Arial"/>
          <w:i/>
          <w:spacing w:val="1"/>
          <w:szCs w:val="20"/>
        </w:rPr>
        <w:t>g</w:t>
      </w:r>
      <w:r w:rsidRPr="00C050B2">
        <w:rPr>
          <w:rFonts w:eastAsia="Arial" w:cs="Arial"/>
          <w:i/>
          <w:szCs w:val="20"/>
        </w:rPr>
        <w:t xml:space="preserve">y </w:t>
      </w:r>
      <w:proofErr w:type="gramStart"/>
      <w:r w:rsidRPr="00C050B2">
        <w:rPr>
          <w:rFonts w:eastAsia="Arial" w:cs="Arial"/>
          <w:i/>
          <w:szCs w:val="20"/>
        </w:rPr>
        <w:t>c</w:t>
      </w:r>
      <w:r w:rsidRPr="00C050B2">
        <w:rPr>
          <w:rFonts w:eastAsia="Arial" w:cs="Arial"/>
          <w:i/>
          <w:spacing w:val="1"/>
          <w:szCs w:val="20"/>
        </w:rPr>
        <w:t>ho</w:t>
      </w:r>
      <w:r w:rsidRPr="00C050B2">
        <w:rPr>
          <w:rFonts w:eastAsia="Arial" w:cs="Arial"/>
          <w:i/>
          <w:szCs w:val="20"/>
        </w:rPr>
        <w:t>s</w:t>
      </w:r>
      <w:r w:rsidRPr="00C050B2">
        <w:rPr>
          <w:rFonts w:eastAsia="Arial" w:cs="Arial"/>
          <w:i/>
          <w:spacing w:val="1"/>
          <w:szCs w:val="20"/>
        </w:rPr>
        <w:t>en</w:t>
      </w:r>
      <w:r w:rsidRPr="00C050B2">
        <w:rPr>
          <w:rFonts w:eastAsia="Arial" w:cs="Arial"/>
          <w:i/>
          <w:szCs w:val="20"/>
        </w:rPr>
        <w:t>,</w:t>
      </w:r>
      <w:r w:rsidRPr="00C050B2">
        <w:rPr>
          <w:rFonts w:eastAsia="Arial" w:cs="Arial"/>
          <w:i/>
          <w:spacing w:val="-3"/>
          <w:szCs w:val="20"/>
        </w:rPr>
        <w:t xml:space="preserve"> </w:t>
      </w:r>
      <w:r w:rsidRPr="00C050B2">
        <w:rPr>
          <w:rFonts w:eastAsia="Arial" w:cs="Arial"/>
          <w:i/>
          <w:spacing w:val="1"/>
          <w:szCs w:val="20"/>
        </w:rPr>
        <w:t>bu</w:t>
      </w:r>
      <w:r w:rsidRPr="00C050B2">
        <w:rPr>
          <w:rFonts w:eastAsia="Arial" w:cs="Arial"/>
          <w:i/>
          <w:szCs w:val="20"/>
        </w:rPr>
        <w:t>t</w:t>
      </w:r>
      <w:proofErr w:type="gramEnd"/>
      <w:r w:rsidRPr="00C050B2">
        <w:rPr>
          <w:rFonts w:eastAsia="Arial" w:cs="Arial"/>
          <w:i/>
          <w:spacing w:val="-3"/>
          <w:szCs w:val="20"/>
        </w:rPr>
        <w:t xml:space="preserve"> </w:t>
      </w:r>
      <w:r w:rsidRPr="00C050B2">
        <w:rPr>
          <w:rFonts w:eastAsia="Arial" w:cs="Arial"/>
          <w:i/>
          <w:szCs w:val="20"/>
        </w:rPr>
        <w:t>s</w:t>
      </w:r>
      <w:r w:rsidRPr="00C050B2">
        <w:rPr>
          <w:rFonts w:eastAsia="Arial" w:cs="Arial"/>
          <w:i/>
          <w:spacing w:val="1"/>
          <w:szCs w:val="20"/>
        </w:rPr>
        <w:t>ho</w:t>
      </w:r>
      <w:r w:rsidRPr="00C050B2">
        <w:rPr>
          <w:rFonts w:eastAsia="Arial" w:cs="Arial"/>
          <w:i/>
          <w:spacing w:val="-3"/>
          <w:szCs w:val="20"/>
        </w:rPr>
        <w:t>u</w:t>
      </w:r>
      <w:r w:rsidRPr="00C050B2">
        <w:rPr>
          <w:rFonts w:eastAsia="Arial" w:cs="Arial"/>
          <w:i/>
          <w:spacing w:val="1"/>
          <w:szCs w:val="20"/>
        </w:rPr>
        <w:t>l</w:t>
      </w:r>
      <w:r w:rsidRPr="00C050B2">
        <w:rPr>
          <w:rFonts w:eastAsia="Arial" w:cs="Arial"/>
          <w:i/>
          <w:szCs w:val="20"/>
        </w:rPr>
        <w:t>d c</w:t>
      </w:r>
      <w:r w:rsidRPr="00C050B2">
        <w:rPr>
          <w:rFonts w:eastAsia="Arial" w:cs="Arial"/>
          <w:i/>
          <w:spacing w:val="1"/>
          <w:szCs w:val="20"/>
        </w:rPr>
        <w:t>on</w:t>
      </w:r>
      <w:r w:rsidRPr="00C050B2">
        <w:rPr>
          <w:rFonts w:eastAsia="Arial" w:cs="Arial"/>
          <w:i/>
          <w:spacing w:val="-2"/>
          <w:szCs w:val="20"/>
        </w:rPr>
        <w:t>t</w:t>
      </w:r>
      <w:r w:rsidRPr="00C050B2">
        <w:rPr>
          <w:rFonts w:eastAsia="Arial" w:cs="Arial"/>
          <w:i/>
          <w:spacing w:val="-3"/>
          <w:szCs w:val="20"/>
        </w:rPr>
        <w:t>a</w:t>
      </w:r>
      <w:r w:rsidRPr="00C050B2">
        <w:rPr>
          <w:rFonts w:eastAsia="Arial" w:cs="Arial"/>
          <w:i/>
          <w:spacing w:val="1"/>
          <w:szCs w:val="20"/>
        </w:rPr>
        <w:t>i</w:t>
      </w:r>
      <w:r w:rsidRPr="00C050B2">
        <w:rPr>
          <w:rFonts w:eastAsia="Arial" w:cs="Arial"/>
          <w:i/>
          <w:szCs w:val="20"/>
        </w:rPr>
        <w:t xml:space="preserve">n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ou</w:t>
      </w:r>
      <w:r w:rsidRPr="00C050B2">
        <w:rPr>
          <w:rFonts w:eastAsia="Arial" w:cs="Arial"/>
          <w:i/>
          <w:spacing w:val="-2"/>
          <w:szCs w:val="20"/>
        </w:rPr>
        <w:t>t</w:t>
      </w:r>
      <w:r w:rsidRPr="00C050B2">
        <w:rPr>
          <w:rFonts w:eastAsia="Arial" w:cs="Arial"/>
          <w:i/>
          <w:spacing w:val="1"/>
          <w:szCs w:val="20"/>
        </w:rPr>
        <w:t>pu</w:t>
      </w:r>
      <w:r w:rsidRPr="00C050B2">
        <w:rPr>
          <w:rFonts w:eastAsia="Arial" w:cs="Arial"/>
          <w:i/>
          <w:szCs w:val="20"/>
        </w:rPr>
        <w:t>t</w:t>
      </w:r>
      <w:r w:rsidRPr="00C050B2">
        <w:rPr>
          <w:rFonts w:eastAsia="Arial" w:cs="Arial"/>
          <w:i/>
          <w:spacing w:val="-3"/>
          <w:szCs w:val="20"/>
        </w:rPr>
        <w:t xml:space="preserve">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2"/>
          <w:szCs w:val="20"/>
        </w:rPr>
        <w:t>f</w:t>
      </w:r>
      <w:r w:rsidRPr="00C050B2">
        <w:rPr>
          <w:rFonts w:eastAsia="Arial" w:cs="Arial"/>
          <w:i/>
          <w:spacing w:val="1"/>
          <w:szCs w:val="20"/>
        </w:rPr>
        <w:t>o</w:t>
      </w:r>
      <w:r w:rsidRPr="00C050B2">
        <w:rPr>
          <w:rFonts w:eastAsia="Arial" w:cs="Arial"/>
          <w:i/>
          <w:szCs w:val="20"/>
        </w:rPr>
        <w:t>rm</w:t>
      </w:r>
      <w:r w:rsidRPr="00C050B2">
        <w:rPr>
          <w:rFonts w:eastAsia="Arial" w:cs="Arial"/>
          <w:i/>
          <w:spacing w:val="1"/>
          <w:szCs w:val="20"/>
        </w:rPr>
        <w:t>a</w:t>
      </w:r>
      <w:r w:rsidRPr="00C050B2">
        <w:rPr>
          <w:rFonts w:eastAsia="Arial" w:cs="Arial"/>
          <w:i/>
          <w:szCs w:val="20"/>
        </w:rPr>
        <w:t xml:space="preserve">l </w:t>
      </w:r>
      <w:r w:rsidRPr="00C050B2">
        <w:rPr>
          <w:rFonts w:eastAsia="Arial" w:cs="Arial"/>
          <w:i/>
          <w:spacing w:val="1"/>
          <w:szCs w:val="20"/>
        </w:rPr>
        <w:t>in</w:t>
      </w:r>
      <w:r w:rsidRPr="00C050B2">
        <w:rPr>
          <w:rFonts w:eastAsia="Arial" w:cs="Arial"/>
          <w:i/>
          <w:spacing w:val="4"/>
          <w:szCs w:val="20"/>
        </w:rPr>
        <w:t>f</w:t>
      </w:r>
      <w:r w:rsidRPr="00C050B2">
        <w:rPr>
          <w:rFonts w:eastAsia="Arial" w:cs="Arial"/>
          <w:i/>
          <w:spacing w:val="1"/>
          <w:szCs w:val="20"/>
        </w:rPr>
        <w:t>o</w:t>
      </w:r>
      <w:r w:rsidRPr="00C050B2">
        <w:rPr>
          <w:rFonts w:eastAsia="Arial" w:cs="Arial"/>
          <w:i/>
          <w:szCs w:val="20"/>
        </w:rPr>
        <w:t>rm</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3"/>
          <w:szCs w:val="20"/>
        </w:rPr>
        <w:t>i</w:t>
      </w:r>
      <w:r w:rsidRPr="00C050B2">
        <w:rPr>
          <w:rFonts w:eastAsia="Arial" w:cs="Arial"/>
          <w:i/>
          <w:spacing w:val="1"/>
          <w:szCs w:val="20"/>
        </w:rPr>
        <w:t>o</w:t>
      </w:r>
      <w:r w:rsidRPr="00C050B2">
        <w:rPr>
          <w:rFonts w:eastAsia="Arial" w:cs="Arial"/>
          <w:i/>
          <w:szCs w:val="20"/>
        </w:rPr>
        <w:t>n r</w:t>
      </w:r>
      <w:r w:rsidRPr="00C050B2">
        <w:rPr>
          <w:rFonts w:eastAsia="Arial" w:cs="Arial"/>
          <w:i/>
          <w:spacing w:val="1"/>
          <w:szCs w:val="20"/>
        </w:rPr>
        <w:t>i</w:t>
      </w:r>
      <w:r w:rsidRPr="00C050B2">
        <w:rPr>
          <w:rFonts w:eastAsia="Arial" w:cs="Arial"/>
          <w:i/>
          <w:szCs w:val="20"/>
        </w:rPr>
        <w:t xml:space="preserve">sk </w:t>
      </w:r>
      <w:r w:rsidRPr="00C050B2">
        <w:rPr>
          <w:rFonts w:eastAsia="Arial" w:cs="Arial"/>
          <w:i/>
          <w:spacing w:val="1"/>
          <w:szCs w:val="20"/>
        </w:rPr>
        <w:t>a</w:t>
      </w:r>
      <w:r w:rsidRPr="00C050B2">
        <w:rPr>
          <w:rFonts w:eastAsia="Arial" w:cs="Arial"/>
          <w:i/>
          <w:szCs w:val="20"/>
        </w:rPr>
        <w:t>ss</w:t>
      </w:r>
      <w:r w:rsidRPr="00C050B2">
        <w:rPr>
          <w:rFonts w:eastAsia="Arial" w:cs="Arial"/>
          <w:i/>
          <w:spacing w:val="1"/>
          <w:szCs w:val="20"/>
        </w:rPr>
        <w:t>e</w:t>
      </w:r>
      <w:r w:rsidRPr="00C050B2">
        <w:rPr>
          <w:rFonts w:eastAsia="Arial" w:cs="Arial"/>
          <w:i/>
          <w:szCs w:val="20"/>
        </w:rPr>
        <w:t>ssm</w:t>
      </w:r>
      <w:r w:rsidRPr="00C050B2">
        <w:rPr>
          <w:rFonts w:eastAsia="Arial" w:cs="Arial"/>
          <w:i/>
          <w:spacing w:val="1"/>
          <w:szCs w:val="20"/>
        </w:rPr>
        <w:t>en</w:t>
      </w:r>
      <w:r w:rsidRPr="00C050B2">
        <w:rPr>
          <w:rFonts w:eastAsia="Arial" w:cs="Arial"/>
          <w:i/>
          <w:szCs w:val="20"/>
        </w:rPr>
        <w:t>t</w:t>
      </w:r>
      <w:r w:rsidRPr="00C050B2">
        <w:rPr>
          <w:rFonts w:eastAsia="Arial" w:cs="Arial"/>
          <w:i/>
          <w:spacing w:val="-3"/>
          <w:szCs w:val="20"/>
        </w:rPr>
        <w:t xml:space="preserve"> </w:t>
      </w:r>
      <w:r w:rsidRPr="00C050B2">
        <w:rPr>
          <w:rFonts w:eastAsia="Arial" w:cs="Arial"/>
          <w:i/>
          <w:spacing w:val="1"/>
          <w:szCs w:val="20"/>
        </w:rPr>
        <w:t>i</w:t>
      </w:r>
      <w:r w:rsidRPr="00C050B2">
        <w:rPr>
          <w:rFonts w:eastAsia="Arial" w:cs="Arial"/>
          <w:i/>
          <w:szCs w:val="20"/>
        </w:rPr>
        <w:t xml:space="preserve">n a </w:t>
      </w:r>
      <w:r w:rsidRPr="00C050B2">
        <w:rPr>
          <w:rFonts w:eastAsia="Arial" w:cs="Arial"/>
          <w:i/>
          <w:spacing w:val="1"/>
          <w:szCs w:val="20"/>
        </w:rPr>
        <w:t>p</w:t>
      </w:r>
      <w:r w:rsidRPr="00C050B2">
        <w:rPr>
          <w:rFonts w:eastAsia="Arial" w:cs="Arial"/>
          <w:i/>
          <w:szCs w:val="20"/>
        </w:rPr>
        <w:t>r</w:t>
      </w:r>
      <w:r w:rsidRPr="00C050B2">
        <w:rPr>
          <w:rFonts w:eastAsia="Arial" w:cs="Arial"/>
          <w:i/>
          <w:spacing w:val="-3"/>
          <w:szCs w:val="20"/>
        </w:rPr>
        <w:t>i</w:t>
      </w:r>
      <w:r w:rsidRPr="00C050B2">
        <w:rPr>
          <w:rFonts w:eastAsia="Arial" w:cs="Arial"/>
          <w:i/>
          <w:spacing w:val="1"/>
          <w:szCs w:val="20"/>
        </w:rPr>
        <w:t>o</w:t>
      </w:r>
      <w:r w:rsidRPr="00C050B2">
        <w:rPr>
          <w:rFonts w:eastAsia="Arial" w:cs="Arial"/>
          <w:i/>
          <w:szCs w:val="20"/>
        </w:rPr>
        <w:t>r</w:t>
      </w:r>
      <w:r w:rsidRPr="00C050B2">
        <w:rPr>
          <w:rFonts w:eastAsia="Arial" w:cs="Arial"/>
          <w:i/>
          <w:spacing w:val="1"/>
          <w:szCs w:val="20"/>
        </w:rPr>
        <w:t>i</w:t>
      </w:r>
      <w:r w:rsidRPr="00C050B2">
        <w:rPr>
          <w:rFonts w:eastAsia="Arial" w:cs="Arial"/>
          <w:i/>
          <w:spacing w:val="-2"/>
          <w:szCs w:val="20"/>
        </w:rPr>
        <w:t>t</w:t>
      </w:r>
      <w:r w:rsidRPr="00C050B2">
        <w:rPr>
          <w:rFonts w:eastAsia="Arial" w:cs="Arial"/>
          <w:i/>
          <w:spacing w:val="1"/>
          <w:szCs w:val="20"/>
        </w:rPr>
        <w:t>i</w:t>
      </w:r>
      <w:r w:rsidRPr="00C050B2">
        <w:rPr>
          <w:rFonts w:eastAsia="Arial" w:cs="Arial"/>
          <w:i/>
          <w:szCs w:val="20"/>
        </w:rPr>
        <w:t>s</w:t>
      </w:r>
      <w:r w:rsidRPr="00C050B2">
        <w:rPr>
          <w:rFonts w:eastAsia="Arial" w:cs="Arial"/>
          <w:i/>
          <w:spacing w:val="-3"/>
          <w:szCs w:val="20"/>
        </w:rPr>
        <w:t>e</w:t>
      </w:r>
      <w:r w:rsidRPr="00C050B2">
        <w:rPr>
          <w:rFonts w:eastAsia="Arial" w:cs="Arial"/>
          <w:i/>
          <w:szCs w:val="20"/>
        </w:rPr>
        <w:t xml:space="preserve">d </w:t>
      </w:r>
      <w:r w:rsidRPr="00C050B2">
        <w:rPr>
          <w:rFonts w:eastAsia="Arial" w:cs="Arial"/>
          <w:i/>
          <w:spacing w:val="1"/>
          <w:szCs w:val="20"/>
        </w:rPr>
        <w:t>li</w:t>
      </w:r>
      <w:r w:rsidRPr="00C050B2">
        <w:rPr>
          <w:rFonts w:eastAsia="Arial" w:cs="Arial"/>
          <w:i/>
          <w:szCs w:val="20"/>
        </w:rPr>
        <w:t>st</w:t>
      </w:r>
      <w:r w:rsidRPr="00C050B2">
        <w:rPr>
          <w:rFonts w:eastAsia="Arial" w:cs="Arial"/>
          <w:i/>
          <w:spacing w:val="-3"/>
          <w:szCs w:val="20"/>
        </w:rPr>
        <w:t xml:space="preserve"> </w:t>
      </w:r>
      <w:r w:rsidRPr="00C050B2">
        <w:rPr>
          <w:rFonts w:eastAsia="Arial" w:cs="Arial"/>
          <w:i/>
          <w:spacing w:val="1"/>
          <w:szCs w:val="20"/>
        </w:rPr>
        <w:t>u</w:t>
      </w:r>
      <w:r w:rsidRPr="00C050B2">
        <w:rPr>
          <w:rFonts w:eastAsia="Arial" w:cs="Arial"/>
          <w:i/>
          <w:szCs w:val="20"/>
        </w:rPr>
        <w:t>s</w:t>
      </w:r>
      <w:r w:rsidRPr="00C050B2">
        <w:rPr>
          <w:rFonts w:eastAsia="Arial" w:cs="Arial"/>
          <w:i/>
          <w:spacing w:val="1"/>
          <w:szCs w:val="20"/>
        </w:rPr>
        <w:t>i</w:t>
      </w:r>
      <w:r w:rsidRPr="00C050B2">
        <w:rPr>
          <w:rFonts w:eastAsia="Arial" w:cs="Arial"/>
          <w:i/>
          <w:spacing w:val="-3"/>
          <w:szCs w:val="20"/>
        </w:rPr>
        <w:t>n</w:t>
      </w:r>
      <w:r w:rsidRPr="00C050B2">
        <w:rPr>
          <w:rFonts w:eastAsia="Arial" w:cs="Arial"/>
          <w:i/>
          <w:szCs w:val="20"/>
        </w:rPr>
        <w:t xml:space="preserve">g </w:t>
      </w:r>
      <w:r w:rsidRPr="00C050B2">
        <w:rPr>
          <w:rFonts w:eastAsia="Arial" w:cs="Arial"/>
          <w:i/>
          <w:spacing w:val="1"/>
          <w:szCs w:val="20"/>
        </w:rPr>
        <w:t>bu</w:t>
      </w:r>
      <w:r w:rsidRPr="00C050B2">
        <w:rPr>
          <w:rFonts w:eastAsia="Arial" w:cs="Arial"/>
          <w:i/>
          <w:szCs w:val="20"/>
        </w:rPr>
        <w:t>s</w:t>
      </w:r>
      <w:r w:rsidRPr="00C050B2">
        <w:rPr>
          <w:rFonts w:eastAsia="Arial" w:cs="Arial"/>
          <w:i/>
          <w:spacing w:val="-3"/>
          <w:szCs w:val="20"/>
        </w:rPr>
        <w:t>i</w:t>
      </w:r>
      <w:r w:rsidRPr="00C050B2">
        <w:rPr>
          <w:rFonts w:eastAsia="Arial" w:cs="Arial"/>
          <w:i/>
          <w:spacing w:val="1"/>
          <w:szCs w:val="20"/>
        </w:rPr>
        <w:t>ne</w:t>
      </w:r>
      <w:r w:rsidRPr="00C050B2">
        <w:rPr>
          <w:rFonts w:eastAsia="Arial" w:cs="Arial"/>
          <w:i/>
          <w:szCs w:val="20"/>
        </w:rPr>
        <w:t>ss</w:t>
      </w:r>
      <w:r w:rsidRPr="00C050B2">
        <w:rPr>
          <w:rFonts w:eastAsia="Arial" w:cs="Arial"/>
          <w:i/>
          <w:spacing w:val="-1"/>
          <w:szCs w:val="20"/>
        </w:rPr>
        <w:t xml:space="preserve"> </w:t>
      </w:r>
      <w:r w:rsidRPr="00C050B2">
        <w:rPr>
          <w:rFonts w:eastAsia="Arial" w:cs="Arial"/>
          <w:i/>
          <w:spacing w:val="1"/>
          <w:szCs w:val="20"/>
        </w:rPr>
        <w:t>l</w:t>
      </w:r>
      <w:r w:rsidRPr="00C050B2">
        <w:rPr>
          <w:rFonts w:eastAsia="Arial" w:cs="Arial"/>
          <w:i/>
          <w:spacing w:val="-3"/>
          <w:szCs w:val="20"/>
        </w:rPr>
        <w:t>a</w:t>
      </w:r>
      <w:r w:rsidRPr="00C050B2">
        <w:rPr>
          <w:rFonts w:eastAsia="Arial" w:cs="Arial"/>
          <w:i/>
          <w:spacing w:val="1"/>
          <w:szCs w:val="20"/>
        </w:rPr>
        <w:t>ngu</w:t>
      </w:r>
      <w:r w:rsidRPr="00C050B2">
        <w:rPr>
          <w:rFonts w:eastAsia="Arial" w:cs="Arial"/>
          <w:i/>
          <w:spacing w:val="-3"/>
          <w:szCs w:val="20"/>
        </w:rPr>
        <w:t>a</w:t>
      </w:r>
      <w:r w:rsidRPr="00C050B2">
        <w:rPr>
          <w:rFonts w:eastAsia="Arial" w:cs="Arial"/>
          <w:i/>
          <w:spacing w:val="1"/>
          <w:szCs w:val="20"/>
        </w:rPr>
        <w:t>ge</w:t>
      </w:r>
      <w:r w:rsidRPr="00C050B2">
        <w:rPr>
          <w:rFonts w:eastAsia="Arial" w:cs="Arial"/>
          <w:i/>
          <w:szCs w:val="20"/>
        </w:rPr>
        <w:t>.</w:t>
      </w:r>
      <w:r w:rsidRPr="00C050B2">
        <w:rPr>
          <w:rFonts w:eastAsia="Arial" w:cs="Arial"/>
          <w:i/>
          <w:spacing w:val="-3"/>
          <w:szCs w:val="20"/>
        </w:rPr>
        <w:t xml:space="preserve"> </w:t>
      </w:r>
      <w:r w:rsidRPr="00C050B2">
        <w:rPr>
          <w:rFonts w:eastAsia="Arial" w:cs="Arial"/>
          <w:i/>
          <w:szCs w:val="20"/>
        </w:rPr>
        <w:t>Ex</w:t>
      </w:r>
      <w:r w:rsidRPr="00C050B2">
        <w:rPr>
          <w:rFonts w:eastAsia="Arial" w:cs="Arial"/>
          <w:i/>
          <w:spacing w:val="1"/>
          <w:szCs w:val="20"/>
        </w:rPr>
        <w:t>pe</w:t>
      </w:r>
      <w:r w:rsidRPr="00C050B2">
        <w:rPr>
          <w:rFonts w:eastAsia="Arial" w:cs="Arial"/>
          <w:i/>
          <w:szCs w:val="20"/>
        </w:rPr>
        <w:t>r</w:t>
      </w:r>
      <w:r w:rsidRPr="00C050B2">
        <w:rPr>
          <w:rFonts w:eastAsia="Arial" w:cs="Arial"/>
          <w:i/>
          <w:spacing w:val="-2"/>
          <w:szCs w:val="20"/>
        </w:rPr>
        <w:t>t</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o</w:t>
      </w:r>
      <w:r w:rsidRPr="00C050B2">
        <w:rPr>
          <w:rFonts w:eastAsia="Arial" w:cs="Arial"/>
          <w:i/>
          <w:szCs w:val="20"/>
        </w:rPr>
        <w:t xml:space="preserve">n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sys</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m</w:t>
      </w:r>
      <w:r w:rsidRPr="00C050B2">
        <w:rPr>
          <w:rFonts w:eastAsia="Arial" w:cs="Arial"/>
          <w:i/>
          <w:spacing w:val="-1"/>
          <w:szCs w:val="20"/>
        </w:rPr>
        <w:t xml:space="preserve"> </w:t>
      </w:r>
      <w:r w:rsidRPr="00C050B2">
        <w:rPr>
          <w:rFonts w:eastAsia="Arial" w:cs="Arial"/>
          <w:i/>
          <w:spacing w:val="1"/>
          <w:szCs w:val="20"/>
        </w:rPr>
        <w:t>an</w:t>
      </w:r>
      <w:r w:rsidRPr="00C050B2">
        <w:rPr>
          <w:rFonts w:eastAsia="Arial" w:cs="Arial"/>
          <w:i/>
          <w:szCs w:val="20"/>
        </w:rPr>
        <w:t xml:space="preserve">d </w:t>
      </w:r>
      <w:r w:rsidRPr="00C050B2">
        <w:rPr>
          <w:rFonts w:eastAsia="Arial" w:cs="Arial"/>
          <w:i/>
          <w:spacing w:val="1"/>
          <w:szCs w:val="20"/>
        </w:rPr>
        <w:t>bu</w:t>
      </w:r>
      <w:r w:rsidRPr="00C050B2">
        <w:rPr>
          <w:rFonts w:eastAsia="Arial" w:cs="Arial"/>
          <w:i/>
          <w:szCs w:val="20"/>
        </w:rPr>
        <w:t>s</w:t>
      </w:r>
      <w:r w:rsidRPr="00C050B2">
        <w:rPr>
          <w:rFonts w:eastAsia="Arial" w:cs="Arial"/>
          <w:i/>
          <w:spacing w:val="1"/>
          <w:szCs w:val="20"/>
        </w:rPr>
        <w:t>i</w:t>
      </w:r>
      <w:r w:rsidRPr="00C050B2">
        <w:rPr>
          <w:rFonts w:eastAsia="Arial" w:cs="Arial"/>
          <w:i/>
          <w:spacing w:val="-3"/>
          <w:szCs w:val="20"/>
        </w:rPr>
        <w:t>n</w:t>
      </w:r>
      <w:r w:rsidRPr="00C050B2">
        <w:rPr>
          <w:rFonts w:eastAsia="Arial" w:cs="Arial"/>
          <w:i/>
          <w:spacing w:val="1"/>
          <w:szCs w:val="20"/>
        </w:rPr>
        <w:t>e</w:t>
      </w:r>
      <w:r w:rsidRPr="00C050B2">
        <w:rPr>
          <w:rFonts w:eastAsia="Arial" w:cs="Arial"/>
          <w:i/>
          <w:szCs w:val="20"/>
        </w:rPr>
        <w:t>ss</w:t>
      </w:r>
      <w:r w:rsidRPr="00C050B2">
        <w:rPr>
          <w:rFonts w:eastAsia="Arial" w:cs="Arial"/>
          <w:i/>
          <w:spacing w:val="-1"/>
          <w:szCs w:val="20"/>
        </w:rPr>
        <w:t xml:space="preserve"> </w:t>
      </w:r>
      <w:r w:rsidRPr="00C050B2">
        <w:rPr>
          <w:rFonts w:eastAsia="Arial" w:cs="Arial"/>
          <w:i/>
          <w:spacing w:val="1"/>
          <w:szCs w:val="20"/>
        </w:rPr>
        <w:t>p</w:t>
      </w:r>
      <w:r w:rsidRPr="00C050B2">
        <w:rPr>
          <w:rFonts w:eastAsia="Arial" w:cs="Arial"/>
          <w:i/>
          <w:szCs w:val="20"/>
        </w:rPr>
        <w:t>r</w:t>
      </w:r>
      <w:r w:rsidRPr="00C050B2">
        <w:rPr>
          <w:rFonts w:eastAsia="Arial" w:cs="Arial"/>
          <w:i/>
          <w:spacing w:val="1"/>
          <w:szCs w:val="20"/>
        </w:rPr>
        <w:t>o</w:t>
      </w:r>
      <w:r w:rsidRPr="00C050B2">
        <w:rPr>
          <w:rFonts w:eastAsia="Arial" w:cs="Arial"/>
          <w:i/>
          <w:szCs w:val="20"/>
        </w:rPr>
        <w:t>c</w:t>
      </w:r>
      <w:r w:rsidRPr="00C050B2">
        <w:rPr>
          <w:rFonts w:eastAsia="Arial" w:cs="Arial"/>
          <w:i/>
          <w:spacing w:val="1"/>
          <w:szCs w:val="20"/>
        </w:rPr>
        <w:t>e</w:t>
      </w:r>
      <w:r w:rsidRPr="00C050B2">
        <w:rPr>
          <w:rFonts w:eastAsia="Arial" w:cs="Arial"/>
          <w:i/>
          <w:szCs w:val="20"/>
        </w:rPr>
        <w:t>ss</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3"/>
          <w:szCs w:val="20"/>
        </w:rPr>
        <w:t>h</w:t>
      </w:r>
      <w:r w:rsidRPr="00C050B2">
        <w:rPr>
          <w:rFonts w:eastAsia="Arial" w:cs="Arial"/>
          <w:i/>
          <w:spacing w:val="1"/>
          <w:szCs w:val="20"/>
        </w:rPr>
        <w:t>ou</w:t>
      </w:r>
      <w:r w:rsidRPr="00C050B2">
        <w:rPr>
          <w:rFonts w:eastAsia="Arial" w:cs="Arial"/>
          <w:i/>
          <w:spacing w:val="-3"/>
          <w:szCs w:val="20"/>
        </w:rPr>
        <w:t>l</w:t>
      </w:r>
      <w:r w:rsidRPr="00C050B2">
        <w:rPr>
          <w:rFonts w:eastAsia="Arial" w:cs="Arial"/>
          <w:i/>
          <w:szCs w:val="20"/>
        </w:rPr>
        <w:t xml:space="preserve">d </w:t>
      </w:r>
      <w:r w:rsidRPr="00C050B2">
        <w:rPr>
          <w:rFonts w:eastAsia="Arial" w:cs="Arial"/>
          <w:i/>
          <w:spacing w:val="1"/>
          <w:szCs w:val="20"/>
        </w:rPr>
        <w:t>ha</w:t>
      </w:r>
      <w:r w:rsidRPr="00C050B2">
        <w:rPr>
          <w:rFonts w:eastAsia="Arial" w:cs="Arial"/>
          <w:i/>
          <w:szCs w:val="20"/>
        </w:rPr>
        <w:t xml:space="preserve">ve </w:t>
      </w:r>
      <w:r w:rsidRPr="00C050B2">
        <w:rPr>
          <w:rFonts w:eastAsia="Arial" w:cs="Arial"/>
          <w:i/>
          <w:spacing w:val="1"/>
          <w:szCs w:val="20"/>
        </w:rPr>
        <w:t>b</w:t>
      </w:r>
      <w:r w:rsidRPr="00C050B2">
        <w:rPr>
          <w:rFonts w:eastAsia="Arial" w:cs="Arial"/>
          <w:i/>
          <w:spacing w:val="-3"/>
          <w:szCs w:val="20"/>
        </w:rPr>
        <w:t>e</w:t>
      </w:r>
      <w:r w:rsidRPr="00C050B2">
        <w:rPr>
          <w:rFonts w:eastAsia="Arial" w:cs="Arial"/>
          <w:i/>
          <w:spacing w:val="1"/>
          <w:szCs w:val="20"/>
        </w:rPr>
        <w:t>e</w:t>
      </w:r>
      <w:r w:rsidRPr="00C050B2">
        <w:rPr>
          <w:rFonts w:eastAsia="Arial" w:cs="Arial"/>
          <w:i/>
          <w:szCs w:val="20"/>
        </w:rPr>
        <w:t>n</w:t>
      </w:r>
      <w:r w:rsidRPr="00C050B2">
        <w:rPr>
          <w:rFonts w:eastAsia="Arial" w:cs="Arial"/>
          <w:i/>
          <w:spacing w:val="-5"/>
          <w:szCs w:val="20"/>
        </w:rPr>
        <w:t xml:space="preserve"> </w:t>
      </w:r>
      <w:r w:rsidRPr="00C050B2">
        <w:rPr>
          <w:rFonts w:eastAsia="Arial" w:cs="Arial"/>
          <w:i/>
          <w:spacing w:val="1"/>
          <w:szCs w:val="20"/>
        </w:rPr>
        <w:t>in</w:t>
      </w:r>
      <w:r w:rsidRPr="00C050B2">
        <w:rPr>
          <w:rFonts w:eastAsia="Arial" w:cs="Arial"/>
          <w:i/>
          <w:szCs w:val="20"/>
        </w:rPr>
        <w:t>v</w:t>
      </w:r>
      <w:r w:rsidRPr="00C050B2">
        <w:rPr>
          <w:rFonts w:eastAsia="Arial" w:cs="Arial"/>
          <w:i/>
          <w:spacing w:val="1"/>
          <w:szCs w:val="20"/>
        </w:rPr>
        <w:t>ol</w:t>
      </w:r>
      <w:r w:rsidRPr="00C050B2">
        <w:rPr>
          <w:rFonts w:eastAsia="Arial" w:cs="Arial"/>
          <w:i/>
          <w:szCs w:val="20"/>
        </w:rPr>
        <w:t>v</w:t>
      </w:r>
      <w:r w:rsidRPr="00C050B2">
        <w:rPr>
          <w:rFonts w:eastAsia="Arial" w:cs="Arial"/>
          <w:i/>
          <w:spacing w:val="-3"/>
          <w:szCs w:val="20"/>
        </w:rPr>
        <w:t>e</w:t>
      </w:r>
      <w:r w:rsidRPr="00C050B2">
        <w:rPr>
          <w:rFonts w:eastAsia="Arial" w:cs="Arial"/>
          <w:i/>
          <w:szCs w:val="20"/>
        </w:rPr>
        <w:t xml:space="preserve">d </w:t>
      </w:r>
      <w:r w:rsidRPr="00C050B2">
        <w:rPr>
          <w:rFonts w:eastAsia="Arial" w:cs="Arial"/>
          <w:i/>
          <w:spacing w:val="1"/>
          <w:szCs w:val="20"/>
        </w:rPr>
        <w:t>i</w:t>
      </w:r>
      <w:r w:rsidRPr="00C050B2">
        <w:rPr>
          <w:rFonts w:eastAsia="Arial" w:cs="Arial"/>
          <w:i/>
          <w:szCs w:val="20"/>
        </w:rPr>
        <w:t xml:space="preserve">n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r</w:t>
      </w:r>
      <w:r w:rsidRPr="00C050B2">
        <w:rPr>
          <w:rFonts w:eastAsia="Arial" w:cs="Arial"/>
          <w:i/>
          <w:spacing w:val="1"/>
          <w:szCs w:val="20"/>
        </w:rPr>
        <w:t>i</w:t>
      </w:r>
      <w:r w:rsidRPr="00C050B2">
        <w:rPr>
          <w:rFonts w:eastAsia="Arial" w:cs="Arial"/>
          <w:i/>
          <w:szCs w:val="20"/>
        </w:rPr>
        <w:t xml:space="preserve">sk </w:t>
      </w:r>
      <w:r w:rsidRPr="00C050B2">
        <w:rPr>
          <w:rFonts w:eastAsia="Arial" w:cs="Arial"/>
          <w:i/>
          <w:spacing w:val="1"/>
          <w:szCs w:val="20"/>
        </w:rPr>
        <w:t>a</w:t>
      </w:r>
      <w:r w:rsidRPr="00C050B2">
        <w:rPr>
          <w:rFonts w:eastAsia="Arial" w:cs="Arial"/>
          <w:i/>
          <w:szCs w:val="20"/>
        </w:rPr>
        <w:t>ss</w:t>
      </w:r>
      <w:r w:rsidRPr="00C050B2">
        <w:rPr>
          <w:rFonts w:eastAsia="Arial" w:cs="Arial"/>
          <w:i/>
          <w:spacing w:val="1"/>
          <w:szCs w:val="20"/>
        </w:rPr>
        <w:t>e</w:t>
      </w:r>
      <w:r w:rsidRPr="00C050B2">
        <w:rPr>
          <w:rFonts w:eastAsia="Arial" w:cs="Arial"/>
          <w:i/>
          <w:szCs w:val="20"/>
        </w:rPr>
        <w:t>ssm</w:t>
      </w:r>
      <w:r w:rsidRPr="00C050B2">
        <w:rPr>
          <w:rFonts w:eastAsia="Arial" w:cs="Arial"/>
          <w:i/>
          <w:spacing w:val="1"/>
          <w:szCs w:val="20"/>
        </w:rPr>
        <w:t>en</w:t>
      </w:r>
      <w:r w:rsidRPr="00C050B2">
        <w:rPr>
          <w:rFonts w:eastAsia="Arial" w:cs="Arial"/>
          <w:i/>
          <w:szCs w:val="20"/>
        </w:rPr>
        <w:t>t</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zCs w:val="20"/>
        </w:rPr>
        <w:t xml:space="preserve">o </w:t>
      </w:r>
      <w:r w:rsidRPr="00C050B2">
        <w:rPr>
          <w:rFonts w:eastAsia="Arial" w:cs="Arial"/>
          <w:i/>
          <w:spacing w:val="1"/>
          <w:szCs w:val="20"/>
        </w:rPr>
        <w:t>en</w:t>
      </w:r>
      <w:r w:rsidRPr="00C050B2">
        <w:rPr>
          <w:rFonts w:eastAsia="Arial" w:cs="Arial"/>
          <w:i/>
          <w:szCs w:val="20"/>
        </w:rPr>
        <w:t>s</w:t>
      </w:r>
      <w:r w:rsidRPr="00C050B2">
        <w:rPr>
          <w:rFonts w:eastAsia="Arial" w:cs="Arial"/>
          <w:i/>
          <w:spacing w:val="1"/>
          <w:szCs w:val="20"/>
        </w:rPr>
        <w:t>u</w:t>
      </w:r>
      <w:r w:rsidRPr="00C050B2">
        <w:rPr>
          <w:rFonts w:eastAsia="Arial" w:cs="Arial"/>
          <w:i/>
          <w:szCs w:val="20"/>
        </w:rPr>
        <w:t xml:space="preserve">re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2"/>
          <w:szCs w:val="20"/>
        </w:rPr>
        <w:t>f</w:t>
      </w:r>
      <w:r w:rsidRPr="00C050B2">
        <w:rPr>
          <w:rFonts w:eastAsia="Arial" w:cs="Arial"/>
          <w:i/>
          <w:spacing w:val="1"/>
          <w:szCs w:val="20"/>
        </w:rPr>
        <w:t>o</w:t>
      </w:r>
      <w:r w:rsidRPr="00C050B2">
        <w:rPr>
          <w:rFonts w:eastAsia="Arial" w:cs="Arial"/>
          <w:i/>
          <w:szCs w:val="20"/>
        </w:rPr>
        <w:t>rm</w:t>
      </w:r>
      <w:r w:rsidRPr="00C050B2">
        <w:rPr>
          <w:rFonts w:eastAsia="Arial" w:cs="Arial"/>
          <w:i/>
          <w:spacing w:val="-3"/>
          <w:szCs w:val="20"/>
        </w:rPr>
        <w:t>a</w:t>
      </w:r>
      <w:r w:rsidRPr="00C050B2">
        <w:rPr>
          <w:rFonts w:eastAsia="Arial" w:cs="Arial"/>
          <w:i/>
          <w:szCs w:val="20"/>
        </w:rPr>
        <w:t>l r</w:t>
      </w:r>
      <w:r w:rsidRPr="00C050B2">
        <w:rPr>
          <w:rFonts w:eastAsia="Arial" w:cs="Arial"/>
          <w:i/>
          <w:spacing w:val="1"/>
          <w:szCs w:val="20"/>
        </w:rPr>
        <w:t>i</w:t>
      </w:r>
      <w:r w:rsidRPr="00C050B2">
        <w:rPr>
          <w:rFonts w:eastAsia="Arial" w:cs="Arial"/>
          <w:i/>
          <w:szCs w:val="20"/>
        </w:rPr>
        <w:t>sk</w:t>
      </w:r>
      <w:r w:rsidRPr="00C050B2">
        <w:rPr>
          <w:rFonts w:eastAsia="Arial" w:cs="Arial"/>
          <w:i/>
          <w:spacing w:val="-1"/>
          <w:szCs w:val="20"/>
        </w:rPr>
        <w:t xml:space="preserve"> </w:t>
      </w:r>
      <w:r w:rsidRPr="00C050B2">
        <w:rPr>
          <w:rFonts w:eastAsia="Arial" w:cs="Arial"/>
          <w:i/>
          <w:szCs w:val="20"/>
        </w:rPr>
        <w:t>m</w:t>
      </w:r>
      <w:r w:rsidRPr="00C050B2">
        <w:rPr>
          <w:rFonts w:eastAsia="Arial" w:cs="Arial"/>
          <w:i/>
          <w:spacing w:val="1"/>
          <w:szCs w:val="20"/>
        </w:rPr>
        <w:t>e</w:t>
      </w:r>
      <w:r w:rsidRPr="00C050B2">
        <w:rPr>
          <w:rFonts w:eastAsia="Arial" w:cs="Arial"/>
          <w:i/>
          <w:spacing w:val="-2"/>
          <w:szCs w:val="20"/>
        </w:rPr>
        <w:t>t</w:t>
      </w:r>
      <w:r w:rsidRPr="00C050B2">
        <w:rPr>
          <w:rFonts w:eastAsia="Arial" w:cs="Arial"/>
          <w:i/>
          <w:spacing w:val="1"/>
          <w:szCs w:val="20"/>
        </w:rPr>
        <w:t>ho</w:t>
      </w:r>
      <w:r w:rsidRPr="00C050B2">
        <w:rPr>
          <w:rFonts w:eastAsia="Arial" w:cs="Arial"/>
          <w:i/>
          <w:spacing w:val="-3"/>
          <w:szCs w:val="20"/>
        </w:rPr>
        <w:t>d</w:t>
      </w:r>
      <w:r w:rsidRPr="00C050B2">
        <w:rPr>
          <w:rFonts w:eastAsia="Arial" w:cs="Arial"/>
          <w:i/>
          <w:spacing w:val="1"/>
          <w:szCs w:val="20"/>
        </w:rPr>
        <w:t>ol</w:t>
      </w:r>
      <w:r w:rsidRPr="00C050B2">
        <w:rPr>
          <w:rFonts w:eastAsia="Arial" w:cs="Arial"/>
          <w:i/>
          <w:spacing w:val="-3"/>
          <w:szCs w:val="20"/>
        </w:rPr>
        <w:t>o</w:t>
      </w:r>
      <w:r w:rsidRPr="00C050B2">
        <w:rPr>
          <w:rFonts w:eastAsia="Arial" w:cs="Arial"/>
          <w:i/>
          <w:spacing w:val="1"/>
          <w:szCs w:val="20"/>
        </w:rPr>
        <w:t>g</w:t>
      </w:r>
      <w:r w:rsidRPr="00C050B2">
        <w:rPr>
          <w:rFonts w:eastAsia="Arial" w:cs="Arial"/>
          <w:i/>
          <w:szCs w:val="20"/>
        </w:rPr>
        <w:t>y</w:t>
      </w:r>
      <w:r w:rsidRPr="00C050B2">
        <w:rPr>
          <w:rFonts w:eastAsia="Arial" w:cs="Arial"/>
          <w:i/>
          <w:spacing w:val="-1"/>
          <w:szCs w:val="20"/>
        </w:rPr>
        <w:t xml:space="preserve"> </w:t>
      </w:r>
      <w:r w:rsidRPr="00C050B2">
        <w:rPr>
          <w:rFonts w:eastAsia="Arial" w:cs="Arial"/>
          <w:i/>
          <w:spacing w:val="1"/>
          <w:szCs w:val="20"/>
        </w:rPr>
        <w:t>u</w:t>
      </w:r>
      <w:r w:rsidRPr="00C050B2">
        <w:rPr>
          <w:rFonts w:eastAsia="Arial" w:cs="Arial"/>
          <w:i/>
          <w:szCs w:val="20"/>
        </w:rPr>
        <w:t>s</w:t>
      </w:r>
      <w:r w:rsidRPr="00C050B2">
        <w:rPr>
          <w:rFonts w:eastAsia="Arial" w:cs="Arial"/>
          <w:i/>
          <w:spacing w:val="1"/>
          <w:szCs w:val="20"/>
        </w:rPr>
        <w:t>e</w:t>
      </w:r>
      <w:r w:rsidRPr="00C050B2">
        <w:rPr>
          <w:rFonts w:eastAsia="Arial" w:cs="Arial"/>
          <w:i/>
          <w:szCs w:val="20"/>
        </w:rPr>
        <w:t xml:space="preserve">d </w:t>
      </w:r>
      <w:r w:rsidRPr="00C050B2">
        <w:rPr>
          <w:rFonts w:eastAsia="Arial" w:cs="Arial"/>
          <w:i/>
          <w:spacing w:val="1"/>
          <w:szCs w:val="20"/>
        </w:rPr>
        <w:t>ha</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no</w:t>
      </w:r>
      <w:r w:rsidRPr="00C050B2">
        <w:rPr>
          <w:rFonts w:eastAsia="Arial" w:cs="Arial"/>
          <w:i/>
          <w:szCs w:val="20"/>
        </w:rPr>
        <w:t>t</w:t>
      </w:r>
      <w:r w:rsidRPr="00C050B2">
        <w:rPr>
          <w:rFonts w:eastAsia="Arial" w:cs="Arial"/>
          <w:i/>
          <w:spacing w:val="-3"/>
          <w:szCs w:val="20"/>
        </w:rPr>
        <w:t xml:space="preserve"> </w:t>
      </w:r>
      <w:r w:rsidRPr="00C050B2">
        <w:rPr>
          <w:rFonts w:eastAsia="Arial" w:cs="Arial"/>
          <w:i/>
          <w:szCs w:val="20"/>
        </w:rPr>
        <w:t>m</w:t>
      </w:r>
      <w:r w:rsidRPr="00C050B2">
        <w:rPr>
          <w:rFonts w:eastAsia="Arial" w:cs="Arial"/>
          <w:i/>
          <w:spacing w:val="1"/>
          <w:szCs w:val="20"/>
        </w:rPr>
        <w:t>i</w:t>
      </w:r>
      <w:r w:rsidRPr="00C050B2">
        <w:rPr>
          <w:rFonts w:eastAsia="Arial" w:cs="Arial"/>
          <w:i/>
          <w:szCs w:val="20"/>
        </w:rPr>
        <w:t>ss</w:t>
      </w:r>
      <w:r w:rsidRPr="00C050B2">
        <w:rPr>
          <w:rFonts w:eastAsia="Arial" w:cs="Arial"/>
          <w:i/>
          <w:spacing w:val="-3"/>
          <w:szCs w:val="20"/>
        </w:rPr>
        <w:t>e</w:t>
      </w:r>
      <w:r w:rsidRPr="00C050B2">
        <w:rPr>
          <w:rFonts w:eastAsia="Arial" w:cs="Arial"/>
          <w:i/>
          <w:szCs w:val="20"/>
        </w:rPr>
        <w:t xml:space="preserve">d </w:t>
      </w:r>
      <w:r w:rsidRPr="00C050B2">
        <w:rPr>
          <w:rFonts w:eastAsia="Arial" w:cs="Arial"/>
          <w:i/>
          <w:spacing w:val="1"/>
          <w:szCs w:val="20"/>
        </w:rPr>
        <w:t>ou</w:t>
      </w:r>
      <w:r w:rsidRPr="00C050B2">
        <w:rPr>
          <w:rFonts w:eastAsia="Arial" w:cs="Arial"/>
          <w:i/>
          <w:szCs w:val="20"/>
        </w:rPr>
        <w:t xml:space="preserve">t </w:t>
      </w:r>
      <w:r w:rsidRPr="00C050B2">
        <w:rPr>
          <w:rFonts w:eastAsia="Arial" w:cs="Arial"/>
          <w:i/>
          <w:spacing w:val="1"/>
          <w:szCs w:val="20"/>
        </w:rPr>
        <w:t>an</w:t>
      </w:r>
      <w:r w:rsidRPr="00C050B2">
        <w:rPr>
          <w:rFonts w:eastAsia="Arial" w:cs="Arial"/>
          <w:i/>
          <w:szCs w:val="20"/>
        </w:rPr>
        <w:t>y</w:t>
      </w:r>
      <w:r w:rsidRPr="00C050B2">
        <w:rPr>
          <w:rFonts w:eastAsia="Arial" w:cs="Arial"/>
          <w:i/>
          <w:spacing w:val="-1"/>
          <w:szCs w:val="20"/>
        </w:rPr>
        <w:t xml:space="preserve"> </w:t>
      </w:r>
      <w:r w:rsidRPr="00C050B2">
        <w:rPr>
          <w:rFonts w:eastAsia="Arial" w:cs="Arial"/>
          <w:i/>
          <w:szCs w:val="20"/>
        </w:rPr>
        <w:t>r</w:t>
      </w:r>
      <w:r w:rsidRPr="00C050B2">
        <w:rPr>
          <w:rFonts w:eastAsia="Arial" w:cs="Arial"/>
          <w:i/>
          <w:spacing w:val="1"/>
          <w:szCs w:val="20"/>
        </w:rPr>
        <w:t>i</w:t>
      </w:r>
      <w:r w:rsidRPr="00C050B2">
        <w:rPr>
          <w:rFonts w:eastAsia="Arial" w:cs="Arial"/>
          <w:i/>
          <w:szCs w:val="20"/>
        </w:rPr>
        <w:t>sks.</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e</w:t>
      </w:r>
      <w:r w:rsidRPr="00C050B2">
        <w:rPr>
          <w:rFonts w:eastAsia="Arial" w:cs="Arial"/>
          <w:i/>
          <w:szCs w:val="20"/>
        </w:rPr>
        <w:t>x</w:t>
      </w:r>
      <w:r w:rsidRPr="00C050B2">
        <w:rPr>
          <w:rFonts w:eastAsia="Arial" w:cs="Arial"/>
          <w:i/>
          <w:spacing w:val="1"/>
          <w:szCs w:val="20"/>
        </w:rPr>
        <w:t>a</w:t>
      </w:r>
      <w:r w:rsidRPr="00C050B2">
        <w:rPr>
          <w:rFonts w:eastAsia="Arial" w:cs="Arial"/>
          <w:i/>
          <w:szCs w:val="20"/>
        </w:rPr>
        <w:t>m</w:t>
      </w:r>
      <w:r w:rsidRPr="00C050B2">
        <w:rPr>
          <w:rFonts w:eastAsia="Arial" w:cs="Arial"/>
          <w:i/>
          <w:spacing w:val="1"/>
          <w:szCs w:val="20"/>
        </w:rPr>
        <w:t>pl</w:t>
      </w:r>
      <w:r w:rsidRPr="00C050B2">
        <w:rPr>
          <w:rFonts w:eastAsia="Arial" w:cs="Arial"/>
          <w:i/>
          <w:szCs w:val="20"/>
        </w:rPr>
        <w:t xml:space="preserve">e </w:t>
      </w:r>
      <w:r w:rsidRPr="00C050B2">
        <w:rPr>
          <w:rFonts w:eastAsia="Arial" w:cs="Arial"/>
          <w:i/>
          <w:spacing w:val="-2"/>
          <w:szCs w:val="20"/>
        </w:rPr>
        <w:t>t</w:t>
      </w:r>
      <w:r w:rsidRPr="00C050B2">
        <w:rPr>
          <w:rFonts w:eastAsia="Arial" w:cs="Arial"/>
          <w:i/>
          <w:spacing w:val="1"/>
          <w:szCs w:val="20"/>
        </w:rPr>
        <w:t>a</w:t>
      </w:r>
      <w:r w:rsidRPr="00C050B2">
        <w:rPr>
          <w:rFonts w:eastAsia="Arial" w:cs="Arial"/>
          <w:i/>
          <w:spacing w:val="-3"/>
          <w:szCs w:val="20"/>
        </w:rPr>
        <w:t>b</w:t>
      </w:r>
      <w:r w:rsidRPr="00C050B2">
        <w:rPr>
          <w:rFonts w:eastAsia="Arial" w:cs="Arial"/>
          <w:i/>
          <w:spacing w:val="1"/>
          <w:szCs w:val="20"/>
        </w:rPr>
        <w:t>l</w:t>
      </w:r>
      <w:r w:rsidRPr="00C050B2">
        <w:rPr>
          <w:rFonts w:eastAsia="Arial" w:cs="Arial"/>
          <w:i/>
          <w:szCs w:val="20"/>
        </w:rPr>
        <w:t xml:space="preserve">e </w:t>
      </w:r>
      <w:r w:rsidRPr="00C050B2">
        <w:rPr>
          <w:rFonts w:eastAsia="Arial" w:cs="Arial"/>
          <w:i/>
          <w:spacing w:val="5"/>
          <w:szCs w:val="20"/>
        </w:rPr>
        <w:t>b</w:t>
      </w:r>
      <w:r w:rsidRPr="00C050B2">
        <w:rPr>
          <w:rFonts w:eastAsia="Arial" w:cs="Arial"/>
          <w:i/>
          <w:spacing w:val="-3"/>
          <w:szCs w:val="20"/>
        </w:rPr>
        <w:t>e</w:t>
      </w:r>
      <w:r w:rsidRPr="00C050B2">
        <w:rPr>
          <w:rFonts w:eastAsia="Arial" w:cs="Arial"/>
          <w:i/>
          <w:spacing w:val="1"/>
          <w:szCs w:val="20"/>
        </w:rPr>
        <w:t>lo</w:t>
      </w:r>
      <w:r w:rsidRPr="00C050B2">
        <w:rPr>
          <w:rFonts w:eastAsia="Arial" w:cs="Arial"/>
          <w:i/>
          <w:szCs w:val="20"/>
        </w:rPr>
        <w:t>w s</w:t>
      </w:r>
      <w:r w:rsidRPr="00C050B2">
        <w:rPr>
          <w:rFonts w:eastAsia="Arial" w:cs="Arial"/>
          <w:i/>
          <w:spacing w:val="-3"/>
          <w:szCs w:val="20"/>
        </w:rPr>
        <w:t>h</w:t>
      </w:r>
      <w:r w:rsidRPr="00C050B2">
        <w:rPr>
          <w:rFonts w:eastAsia="Arial" w:cs="Arial"/>
          <w:i/>
          <w:spacing w:val="1"/>
          <w:szCs w:val="20"/>
        </w:rPr>
        <w:t>ou</w:t>
      </w:r>
      <w:r w:rsidRPr="00C050B2">
        <w:rPr>
          <w:rFonts w:eastAsia="Arial" w:cs="Arial"/>
          <w:i/>
          <w:spacing w:val="-3"/>
          <w:szCs w:val="20"/>
        </w:rPr>
        <w:t>l</w:t>
      </w:r>
      <w:r w:rsidRPr="00C050B2">
        <w:rPr>
          <w:rFonts w:eastAsia="Arial" w:cs="Arial"/>
          <w:i/>
          <w:szCs w:val="20"/>
        </w:rPr>
        <w:t xml:space="preserve">d </w:t>
      </w:r>
      <w:r w:rsidRPr="00C050B2">
        <w:rPr>
          <w:rFonts w:eastAsia="Arial" w:cs="Arial"/>
          <w:i/>
          <w:spacing w:val="1"/>
          <w:szCs w:val="20"/>
        </w:rPr>
        <w:t>b</w:t>
      </w:r>
      <w:r w:rsidRPr="00C050B2">
        <w:rPr>
          <w:rFonts w:eastAsia="Arial" w:cs="Arial"/>
          <w:i/>
          <w:szCs w:val="20"/>
        </w:rPr>
        <w:t xml:space="preserve">e </w:t>
      </w:r>
      <w:r w:rsidRPr="00C050B2">
        <w:rPr>
          <w:rFonts w:eastAsia="Arial" w:cs="Arial"/>
          <w:i/>
          <w:spacing w:val="-3"/>
          <w:szCs w:val="20"/>
        </w:rPr>
        <w:t>u</w:t>
      </w:r>
      <w:r w:rsidRPr="00C050B2">
        <w:rPr>
          <w:rFonts w:eastAsia="Arial" w:cs="Arial"/>
          <w:i/>
          <w:szCs w:val="20"/>
        </w:rPr>
        <w:t>s</w:t>
      </w:r>
      <w:r w:rsidRPr="00C050B2">
        <w:rPr>
          <w:rFonts w:eastAsia="Arial" w:cs="Arial"/>
          <w:i/>
          <w:spacing w:val="1"/>
          <w:szCs w:val="20"/>
        </w:rPr>
        <w:t>e</w:t>
      </w:r>
      <w:r w:rsidRPr="00C050B2">
        <w:rPr>
          <w:rFonts w:eastAsia="Arial" w:cs="Arial"/>
          <w:i/>
          <w:szCs w:val="20"/>
        </w:rPr>
        <w:t xml:space="preserve">d </w:t>
      </w:r>
      <w:r w:rsidRPr="00C050B2">
        <w:rPr>
          <w:rFonts w:eastAsia="Arial" w:cs="Arial"/>
          <w:i/>
          <w:spacing w:val="1"/>
          <w:szCs w:val="20"/>
        </w:rPr>
        <w:t>a</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2"/>
          <w:szCs w:val="20"/>
        </w:rPr>
        <w:t>f</w:t>
      </w:r>
      <w:r w:rsidRPr="00C050B2">
        <w:rPr>
          <w:rFonts w:eastAsia="Arial" w:cs="Arial"/>
          <w:i/>
          <w:spacing w:val="1"/>
          <w:szCs w:val="20"/>
        </w:rPr>
        <w:t>o</w:t>
      </w:r>
      <w:r w:rsidRPr="00C050B2">
        <w:rPr>
          <w:rFonts w:eastAsia="Arial" w:cs="Arial"/>
          <w:i/>
          <w:szCs w:val="20"/>
        </w:rPr>
        <w:t>rm</w:t>
      </w:r>
      <w:r w:rsidRPr="00C050B2">
        <w:rPr>
          <w:rFonts w:eastAsia="Arial" w:cs="Arial"/>
          <w:i/>
          <w:spacing w:val="1"/>
          <w:szCs w:val="20"/>
        </w:rPr>
        <w:t>a</w:t>
      </w:r>
      <w:r w:rsidRPr="00C050B2">
        <w:rPr>
          <w:rFonts w:eastAsia="Arial" w:cs="Arial"/>
          <w:i/>
          <w:szCs w:val="20"/>
        </w:rPr>
        <w:t>t</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zCs w:val="20"/>
        </w:rPr>
        <w:t xml:space="preserve">o </w:t>
      </w:r>
      <w:r w:rsidRPr="00C050B2">
        <w:rPr>
          <w:rFonts w:eastAsia="Arial" w:cs="Arial"/>
          <w:i/>
          <w:spacing w:val="1"/>
          <w:szCs w:val="20"/>
        </w:rPr>
        <w:t>iden</w:t>
      </w:r>
      <w:r w:rsidRPr="00C050B2">
        <w:rPr>
          <w:rFonts w:eastAsia="Arial" w:cs="Arial"/>
          <w:i/>
          <w:spacing w:val="-2"/>
          <w:szCs w:val="20"/>
        </w:rPr>
        <w:t>t</w:t>
      </w:r>
      <w:r w:rsidRPr="00C050B2">
        <w:rPr>
          <w:rFonts w:eastAsia="Arial" w:cs="Arial"/>
          <w:i/>
          <w:spacing w:val="1"/>
          <w:szCs w:val="20"/>
        </w:rPr>
        <w:t>i</w:t>
      </w:r>
      <w:r w:rsidRPr="00C050B2">
        <w:rPr>
          <w:rFonts w:eastAsia="Arial" w:cs="Arial"/>
          <w:i/>
          <w:spacing w:val="-2"/>
          <w:szCs w:val="20"/>
        </w:rPr>
        <w:t>f</w:t>
      </w:r>
      <w:r w:rsidRPr="00C050B2">
        <w:rPr>
          <w:rFonts w:eastAsia="Arial" w:cs="Arial"/>
          <w:i/>
          <w:szCs w:val="20"/>
        </w:rPr>
        <w:t xml:space="preserve">y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r</w:t>
      </w:r>
      <w:r w:rsidRPr="00C050B2">
        <w:rPr>
          <w:rFonts w:eastAsia="Arial" w:cs="Arial"/>
          <w:i/>
          <w:spacing w:val="1"/>
          <w:szCs w:val="20"/>
        </w:rPr>
        <w:t>i</w:t>
      </w:r>
      <w:r w:rsidRPr="00C050B2">
        <w:rPr>
          <w:rFonts w:eastAsia="Arial" w:cs="Arial"/>
          <w:i/>
          <w:szCs w:val="20"/>
        </w:rPr>
        <w:t>sks</w:t>
      </w:r>
      <w:r w:rsidRPr="00C050B2">
        <w:rPr>
          <w:rFonts w:eastAsia="Arial" w:cs="Arial"/>
          <w:i/>
          <w:spacing w:val="-1"/>
          <w:szCs w:val="20"/>
        </w:rPr>
        <w:t xml:space="preserve"> </w:t>
      </w:r>
      <w:r w:rsidRPr="00C050B2">
        <w:rPr>
          <w:rFonts w:eastAsia="Arial" w:cs="Arial"/>
          <w:i/>
          <w:spacing w:val="1"/>
          <w:szCs w:val="20"/>
        </w:rPr>
        <w:t>an</w:t>
      </w:r>
      <w:r w:rsidRPr="00C050B2">
        <w:rPr>
          <w:rFonts w:eastAsia="Arial" w:cs="Arial"/>
          <w:i/>
          <w:szCs w:val="20"/>
        </w:rPr>
        <w:t xml:space="preserve">d </w:t>
      </w:r>
      <w:r w:rsidRPr="00C050B2">
        <w:rPr>
          <w:rFonts w:eastAsia="Arial" w:cs="Arial"/>
          <w:i/>
          <w:spacing w:val="1"/>
          <w:szCs w:val="20"/>
        </w:rPr>
        <w:t>do</w:t>
      </w:r>
      <w:r w:rsidRPr="00C050B2">
        <w:rPr>
          <w:rFonts w:eastAsia="Arial" w:cs="Arial"/>
          <w:i/>
          <w:szCs w:val="20"/>
        </w:rPr>
        <w:t>c</w:t>
      </w:r>
      <w:r w:rsidRPr="00C050B2">
        <w:rPr>
          <w:rFonts w:eastAsia="Arial" w:cs="Arial"/>
          <w:i/>
          <w:spacing w:val="1"/>
          <w:szCs w:val="20"/>
        </w:rPr>
        <w:t>u</w:t>
      </w:r>
      <w:r w:rsidRPr="00C050B2">
        <w:rPr>
          <w:rFonts w:eastAsia="Arial" w:cs="Arial"/>
          <w:i/>
          <w:spacing w:val="-5"/>
          <w:szCs w:val="20"/>
        </w:rPr>
        <w:t>m</w:t>
      </w:r>
      <w:r w:rsidRPr="00C050B2">
        <w:rPr>
          <w:rFonts w:eastAsia="Arial" w:cs="Arial"/>
          <w:i/>
          <w:spacing w:val="1"/>
          <w:szCs w:val="20"/>
        </w:rPr>
        <w:t>en</w:t>
      </w:r>
      <w:r w:rsidRPr="00C050B2">
        <w:rPr>
          <w:rFonts w:eastAsia="Arial" w:cs="Arial"/>
          <w:i/>
          <w:szCs w:val="20"/>
        </w:rPr>
        <w:t>t</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c</w:t>
      </w:r>
      <w:r w:rsidRPr="00C050B2">
        <w:rPr>
          <w:rFonts w:eastAsia="Arial" w:cs="Arial"/>
          <w:i/>
          <w:spacing w:val="1"/>
          <w:szCs w:val="20"/>
        </w:rPr>
        <w:t>on</w:t>
      </w:r>
      <w:r w:rsidRPr="00C050B2">
        <w:rPr>
          <w:rFonts w:eastAsia="Arial" w:cs="Arial"/>
          <w:i/>
          <w:spacing w:val="-2"/>
          <w:szCs w:val="20"/>
        </w:rPr>
        <w:t>t</w:t>
      </w:r>
      <w:r w:rsidRPr="00C050B2">
        <w:rPr>
          <w:rFonts w:eastAsia="Arial" w:cs="Arial"/>
          <w:i/>
          <w:szCs w:val="20"/>
        </w:rPr>
        <w:t>r</w:t>
      </w:r>
      <w:r w:rsidRPr="00C050B2">
        <w:rPr>
          <w:rFonts w:eastAsia="Arial" w:cs="Arial"/>
          <w:i/>
          <w:spacing w:val="1"/>
          <w:szCs w:val="20"/>
        </w:rPr>
        <w:t>ol</w:t>
      </w:r>
      <w:r w:rsidRPr="00C050B2">
        <w:rPr>
          <w:rFonts w:eastAsia="Arial" w:cs="Arial"/>
          <w:i/>
          <w:szCs w:val="20"/>
        </w:rPr>
        <w:t>s</w:t>
      </w:r>
      <w:r w:rsidRPr="00C050B2">
        <w:rPr>
          <w:rFonts w:eastAsia="Arial" w:cs="Arial"/>
          <w:i/>
          <w:spacing w:val="2"/>
          <w:szCs w:val="20"/>
        </w:rPr>
        <w:t xml:space="preserve"> </w:t>
      </w:r>
      <w:r w:rsidRPr="00C050B2">
        <w:rPr>
          <w:rFonts w:eastAsia="Arial" w:cs="Arial"/>
          <w:i/>
          <w:spacing w:val="1"/>
          <w:szCs w:val="20"/>
        </w:rPr>
        <w:t>u</w:t>
      </w:r>
      <w:r w:rsidRPr="00C050B2">
        <w:rPr>
          <w:rFonts w:eastAsia="Arial" w:cs="Arial"/>
          <w:i/>
          <w:spacing w:val="-5"/>
          <w:szCs w:val="20"/>
        </w:rPr>
        <w:t>s</w:t>
      </w:r>
      <w:r w:rsidRPr="00C050B2">
        <w:rPr>
          <w:rFonts w:eastAsia="Arial" w:cs="Arial"/>
          <w:i/>
          <w:spacing w:val="1"/>
          <w:szCs w:val="20"/>
        </w:rPr>
        <w:t>e</w:t>
      </w:r>
      <w:r w:rsidRPr="00C050B2">
        <w:rPr>
          <w:rFonts w:eastAsia="Arial" w:cs="Arial"/>
          <w:i/>
          <w:szCs w:val="20"/>
        </w:rPr>
        <w:t xml:space="preserve">d </w:t>
      </w:r>
      <w:r w:rsidRPr="00C050B2">
        <w:rPr>
          <w:rFonts w:eastAsia="Arial" w:cs="Arial"/>
          <w:i/>
          <w:spacing w:val="-2"/>
          <w:szCs w:val="20"/>
        </w:rPr>
        <w:t>t</w:t>
      </w:r>
      <w:r w:rsidRPr="00C050B2">
        <w:rPr>
          <w:rFonts w:eastAsia="Arial" w:cs="Arial"/>
          <w:i/>
          <w:szCs w:val="20"/>
        </w:rPr>
        <w:t>o m</w:t>
      </w:r>
      <w:r w:rsidRPr="00C050B2">
        <w:rPr>
          <w:rFonts w:eastAsia="Arial" w:cs="Arial"/>
          <w:i/>
          <w:spacing w:val="1"/>
          <w:szCs w:val="20"/>
        </w:rPr>
        <w:t>i</w:t>
      </w:r>
      <w:r w:rsidRPr="00C050B2">
        <w:rPr>
          <w:rFonts w:eastAsia="Arial" w:cs="Arial"/>
          <w:i/>
          <w:spacing w:val="-2"/>
          <w:szCs w:val="20"/>
        </w:rPr>
        <w:t>t</w:t>
      </w:r>
      <w:r w:rsidRPr="00C050B2">
        <w:rPr>
          <w:rFonts w:eastAsia="Arial" w:cs="Arial"/>
          <w:i/>
          <w:spacing w:val="1"/>
          <w:szCs w:val="20"/>
        </w:rPr>
        <w:t>iga</w:t>
      </w:r>
      <w:r w:rsidRPr="00C050B2">
        <w:rPr>
          <w:rFonts w:eastAsia="Arial" w:cs="Arial"/>
          <w:i/>
          <w:spacing w:val="-2"/>
          <w:szCs w:val="20"/>
        </w:rPr>
        <w:t>t</w:t>
      </w:r>
      <w:r w:rsidRPr="00C050B2">
        <w:rPr>
          <w:rFonts w:eastAsia="Arial" w:cs="Arial"/>
          <w:i/>
          <w:szCs w:val="20"/>
        </w:rPr>
        <w:t xml:space="preserve">e </w:t>
      </w:r>
      <w:r w:rsidRPr="00C050B2">
        <w:rPr>
          <w:rFonts w:eastAsia="Arial" w:cs="Arial"/>
          <w:i/>
          <w:spacing w:val="-2"/>
          <w:szCs w:val="20"/>
        </w:rPr>
        <w:t>t</w:t>
      </w:r>
      <w:r w:rsidRPr="00C050B2">
        <w:rPr>
          <w:rFonts w:eastAsia="Arial" w:cs="Arial"/>
          <w:i/>
          <w:spacing w:val="1"/>
          <w:szCs w:val="20"/>
        </w:rPr>
        <w:t>ho</w:t>
      </w:r>
      <w:r w:rsidRPr="00C050B2">
        <w:rPr>
          <w:rFonts w:eastAsia="Arial" w:cs="Arial"/>
          <w:i/>
          <w:szCs w:val="20"/>
        </w:rPr>
        <w:t>se r</w:t>
      </w:r>
      <w:r w:rsidRPr="00C050B2">
        <w:rPr>
          <w:rFonts w:eastAsia="Arial" w:cs="Arial"/>
          <w:i/>
          <w:spacing w:val="1"/>
          <w:szCs w:val="20"/>
        </w:rPr>
        <w:t>i</w:t>
      </w:r>
      <w:r w:rsidRPr="00C050B2">
        <w:rPr>
          <w:rFonts w:eastAsia="Arial" w:cs="Arial"/>
          <w:i/>
          <w:szCs w:val="20"/>
        </w:rPr>
        <w:t>sks.</w:t>
      </w:r>
      <w:r w:rsidRPr="00C050B2">
        <w:rPr>
          <w:rFonts w:eastAsia="Arial" w:cs="Arial"/>
          <w:i/>
          <w:spacing w:val="-3"/>
          <w:szCs w:val="20"/>
        </w:rPr>
        <w:t xml:space="preserve"> </w:t>
      </w:r>
      <w:r w:rsidRPr="00C050B2">
        <w:rPr>
          <w:rFonts w:eastAsia="Arial" w:cs="Arial"/>
          <w:i/>
          <w:szCs w:val="20"/>
        </w:rPr>
        <w:t>&gt;</w:t>
      </w:r>
    </w:p>
    <w:tbl>
      <w:tblPr>
        <w:tblStyle w:val="TableGrid0"/>
        <w:tblW w:w="0" w:type="auto"/>
        <w:tblLook w:val="04A0" w:firstRow="1" w:lastRow="0" w:firstColumn="1" w:lastColumn="0" w:noHBand="0" w:noVBand="1"/>
      </w:tblPr>
      <w:tblGrid>
        <w:gridCol w:w="639"/>
        <w:gridCol w:w="1712"/>
        <w:gridCol w:w="1005"/>
        <w:gridCol w:w="1796"/>
        <w:gridCol w:w="2814"/>
        <w:gridCol w:w="1050"/>
      </w:tblGrid>
      <w:tr w:rsidR="00C1793C" w:rsidRPr="0056596D" w14:paraId="04257133" w14:textId="77777777" w:rsidTr="00C1793C">
        <w:tc>
          <w:tcPr>
            <w:tcW w:w="639" w:type="dxa"/>
            <w:shd w:val="clear" w:color="auto" w:fill="DEEAF6" w:themeFill="accent1" w:themeFillTint="33"/>
          </w:tcPr>
          <w:p w14:paraId="45FB039A" w14:textId="77777777" w:rsidR="00C1793C" w:rsidRPr="0056596D" w:rsidRDefault="00C1793C" w:rsidP="00C1793C">
            <w:pPr>
              <w:spacing w:before="9" w:line="200" w:lineRule="exact"/>
              <w:ind w:left="0" w:firstLine="0"/>
              <w:rPr>
                <w:rFonts w:ascii="Arial" w:hAnsi="Arial" w:cs="Arial"/>
                <w:b/>
                <w:bCs/>
                <w:sz w:val="20"/>
                <w:szCs w:val="20"/>
              </w:rPr>
            </w:pPr>
            <w:r w:rsidRPr="0056596D">
              <w:rPr>
                <w:rFonts w:ascii="Arial" w:hAnsi="Arial" w:cs="Arial"/>
                <w:b/>
                <w:bCs/>
                <w:sz w:val="20"/>
                <w:szCs w:val="20"/>
              </w:rPr>
              <w:t>Risk ID</w:t>
            </w:r>
          </w:p>
        </w:tc>
        <w:tc>
          <w:tcPr>
            <w:tcW w:w="1712" w:type="dxa"/>
            <w:shd w:val="clear" w:color="auto" w:fill="DEEAF6" w:themeFill="accent1" w:themeFillTint="33"/>
          </w:tcPr>
          <w:p w14:paraId="49C5F247" w14:textId="77777777" w:rsidR="00C1793C" w:rsidRPr="0056596D" w:rsidRDefault="00C1793C" w:rsidP="00C1793C">
            <w:pPr>
              <w:spacing w:before="9" w:line="200" w:lineRule="exact"/>
              <w:rPr>
                <w:rFonts w:ascii="Arial" w:hAnsi="Arial" w:cs="Arial"/>
                <w:b/>
                <w:bCs/>
                <w:sz w:val="20"/>
                <w:szCs w:val="20"/>
              </w:rPr>
            </w:pPr>
            <w:r w:rsidRPr="0056596D">
              <w:rPr>
                <w:rFonts w:ascii="Arial" w:hAnsi="Arial" w:cs="Arial"/>
                <w:b/>
                <w:bCs/>
                <w:sz w:val="20"/>
                <w:szCs w:val="20"/>
              </w:rPr>
              <w:t>Inherent Risk</w:t>
            </w:r>
          </w:p>
        </w:tc>
        <w:tc>
          <w:tcPr>
            <w:tcW w:w="1005" w:type="dxa"/>
            <w:shd w:val="clear" w:color="auto" w:fill="DEEAF6" w:themeFill="accent1" w:themeFillTint="33"/>
          </w:tcPr>
          <w:p w14:paraId="49EC64A2" w14:textId="77777777" w:rsidR="00C1793C" w:rsidRPr="0056596D" w:rsidRDefault="00C1793C" w:rsidP="0056596D">
            <w:pPr>
              <w:spacing w:before="9" w:line="200" w:lineRule="exact"/>
              <w:ind w:left="0" w:firstLine="0"/>
              <w:jc w:val="left"/>
              <w:rPr>
                <w:rFonts w:ascii="Arial" w:hAnsi="Arial" w:cs="Arial"/>
                <w:b/>
                <w:bCs/>
                <w:sz w:val="20"/>
                <w:szCs w:val="20"/>
              </w:rPr>
            </w:pPr>
            <w:r w:rsidRPr="0056596D">
              <w:rPr>
                <w:rFonts w:ascii="Arial" w:hAnsi="Arial" w:cs="Arial"/>
                <w:b/>
                <w:bCs/>
                <w:sz w:val="20"/>
                <w:szCs w:val="20"/>
              </w:rPr>
              <w:t>Inherent risk level</w:t>
            </w:r>
          </w:p>
        </w:tc>
        <w:tc>
          <w:tcPr>
            <w:tcW w:w="1796" w:type="dxa"/>
            <w:shd w:val="clear" w:color="auto" w:fill="DEEAF6" w:themeFill="accent1" w:themeFillTint="33"/>
          </w:tcPr>
          <w:p w14:paraId="0CDD88B3" w14:textId="77777777" w:rsidR="00C1793C" w:rsidRPr="0056596D" w:rsidRDefault="00C1793C" w:rsidP="00C1793C">
            <w:pPr>
              <w:spacing w:before="9" w:line="200" w:lineRule="exact"/>
              <w:rPr>
                <w:rFonts w:ascii="Arial" w:hAnsi="Arial" w:cs="Arial"/>
                <w:b/>
                <w:bCs/>
                <w:sz w:val="20"/>
                <w:szCs w:val="20"/>
              </w:rPr>
            </w:pPr>
            <w:r w:rsidRPr="0056596D">
              <w:rPr>
                <w:rFonts w:ascii="Arial" w:hAnsi="Arial" w:cs="Arial"/>
                <w:b/>
                <w:bCs/>
                <w:sz w:val="20"/>
                <w:szCs w:val="20"/>
              </w:rPr>
              <w:t>Vulnerability</w:t>
            </w:r>
          </w:p>
        </w:tc>
        <w:tc>
          <w:tcPr>
            <w:tcW w:w="2814" w:type="dxa"/>
            <w:shd w:val="clear" w:color="auto" w:fill="DEEAF6" w:themeFill="accent1" w:themeFillTint="33"/>
          </w:tcPr>
          <w:p w14:paraId="29D1F972" w14:textId="77777777" w:rsidR="00C1793C" w:rsidRPr="0056596D" w:rsidRDefault="00C1793C" w:rsidP="00C1793C">
            <w:pPr>
              <w:spacing w:before="9" w:line="200" w:lineRule="exact"/>
              <w:rPr>
                <w:rFonts w:ascii="Arial" w:hAnsi="Arial" w:cs="Arial"/>
                <w:b/>
                <w:bCs/>
                <w:sz w:val="20"/>
                <w:szCs w:val="20"/>
              </w:rPr>
            </w:pPr>
            <w:r w:rsidRPr="0056596D">
              <w:rPr>
                <w:rFonts w:ascii="Arial" w:hAnsi="Arial" w:cs="Arial"/>
                <w:b/>
                <w:bCs/>
                <w:sz w:val="20"/>
                <w:szCs w:val="20"/>
              </w:rPr>
              <w:t>Controls</w:t>
            </w:r>
          </w:p>
        </w:tc>
        <w:tc>
          <w:tcPr>
            <w:tcW w:w="1050" w:type="dxa"/>
            <w:shd w:val="clear" w:color="auto" w:fill="DEEAF6" w:themeFill="accent1" w:themeFillTint="33"/>
          </w:tcPr>
          <w:p w14:paraId="775B49A7" w14:textId="77777777" w:rsidR="00C1793C" w:rsidRPr="0056596D" w:rsidRDefault="00C1793C" w:rsidP="0056596D">
            <w:pPr>
              <w:spacing w:before="9" w:line="200" w:lineRule="exact"/>
              <w:ind w:left="0" w:firstLine="0"/>
              <w:jc w:val="left"/>
              <w:rPr>
                <w:rFonts w:ascii="Arial" w:hAnsi="Arial" w:cs="Arial"/>
                <w:b/>
                <w:bCs/>
                <w:sz w:val="20"/>
                <w:szCs w:val="20"/>
              </w:rPr>
            </w:pPr>
            <w:r w:rsidRPr="0056596D">
              <w:rPr>
                <w:rFonts w:ascii="Arial" w:hAnsi="Arial" w:cs="Arial"/>
                <w:b/>
                <w:bCs/>
                <w:sz w:val="20"/>
                <w:szCs w:val="20"/>
              </w:rPr>
              <w:t>Residual risk level</w:t>
            </w:r>
          </w:p>
        </w:tc>
      </w:tr>
      <w:tr w:rsidR="00C1793C" w:rsidRPr="0056596D" w14:paraId="6E1CE0B8" w14:textId="77777777" w:rsidTr="00C1793C">
        <w:tc>
          <w:tcPr>
            <w:tcW w:w="639" w:type="dxa"/>
          </w:tcPr>
          <w:p w14:paraId="2B7469CD" w14:textId="77777777" w:rsidR="00C1793C" w:rsidRPr="0056596D" w:rsidRDefault="00C1793C" w:rsidP="00C1793C">
            <w:pPr>
              <w:spacing w:before="9" w:line="200" w:lineRule="exact"/>
              <w:rPr>
                <w:rFonts w:ascii="Arial" w:hAnsi="Arial" w:cs="Arial"/>
                <w:sz w:val="20"/>
                <w:szCs w:val="20"/>
              </w:rPr>
            </w:pPr>
            <w:r w:rsidRPr="0056596D">
              <w:rPr>
                <w:rFonts w:ascii="Arial" w:hAnsi="Arial" w:cs="Arial"/>
                <w:sz w:val="20"/>
                <w:szCs w:val="20"/>
              </w:rPr>
              <w:t>R1</w:t>
            </w:r>
          </w:p>
        </w:tc>
        <w:tc>
          <w:tcPr>
            <w:tcW w:w="1712" w:type="dxa"/>
          </w:tcPr>
          <w:p w14:paraId="2C0BA0C3" w14:textId="77777777" w:rsidR="00C1793C" w:rsidRPr="0056596D" w:rsidRDefault="00C1793C" w:rsidP="0056596D">
            <w:pPr>
              <w:spacing w:before="9" w:line="200" w:lineRule="exact"/>
              <w:ind w:left="0" w:firstLine="0"/>
              <w:jc w:val="left"/>
              <w:rPr>
                <w:rFonts w:ascii="Arial" w:hAnsi="Arial" w:cs="Arial"/>
                <w:sz w:val="20"/>
                <w:szCs w:val="20"/>
              </w:rPr>
            </w:pPr>
            <w:r w:rsidRPr="0056596D">
              <w:rPr>
                <w:rFonts w:ascii="Arial" w:hAnsi="Arial" w:cs="Arial"/>
                <w:sz w:val="20"/>
                <w:szCs w:val="20"/>
              </w:rPr>
              <w:t>Internet attackers could hack the system</w:t>
            </w:r>
          </w:p>
        </w:tc>
        <w:tc>
          <w:tcPr>
            <w:tcW w:w="1005" w:type="dxa"/>
          </w:tcPr>
          <w:p w14:paraId="552310A9" w14:textId="77777777" w:rsidR="00C1793C" w:rsidRPr="0056596D" w:rsidRDefault="00C1793C" w:rsidP="00C1793C">
            <w:pPr>
              <w:spacing w:before="9" w:line="200" w:lineRule="exact"/>
              <w:rPr>
                <w:rFonts w:ascii="Arial" w:hAnsi="Arial" w:cs="Arial"/>
                <w:sz w:val="20"/>
                <w:szCs w:val="20"/>
              </w:rPr>
            </w:pPr>
            <w:r w:rsidRPr="0056596D">
              <w:rPr>
                <w:rFonts w:ascii="Arial" w:hAnsi="Arial" w:cs="Arial"/>
                <w:sz w:val="20"/>
                <w:szCs w:val="20"/>
              </w:rPr>
              <w:t>Medium</w:t>
            </w:r>
          </w:p>
        </w:tc>
        <w:tc>
          <w:tcPr>
            <w:tcW w:w="1796" w:type="dxa"/>
          </w:tcPr>
          <w:p w14:paraId="3D430999" w14:textId="77777777" w:rsidR="00C1793C" w:rsidRPr="0056596D" w:rsidRDefault="00C1793C" w:rsidP="0056596D">
            <w:pPr>
              <w:spacing w:before="9" w:line="200" w:lineRule="exact"/>
              <w:ind w:left="0" w:firstLine="0"/>
              <w:jc w:val="left"/>
              <w:rPr>
                <w:rFonts w:ascii="Arial" w:hAnsi="Arial" w:cs="Arial"/>
                <w:sz w:val="20"/>
                <w:szCs w:val="20"/>
              </w:rPr>
            </w:pPr>
            <w:r w:rsidRPr="0056596D">
              <w:rPr>
                <w:rFonts w:ascii="Arial" w:hAnsi="Arial" w:cs="Arial"/>
                <w:sz w:val="20"/>
                <w:szCs w:val="20"/>
              </w:rPr>
              <w:t>The service systems are exposed to the internet via the web portal</w:t>
            </w:r>
          </w:p>
        </w:tc>
        <w:tc>
          <w:tcPr>
            <w:tcW w:w="2814" w:type="dxa"/>
          </w:tcPr>
          <w:p w14:paraId="4FD40321" w14:textId="77777777" w:rsidR="00C1793C" w:rsidRPr="0056596D" w:rsidRDefault="00C1793C" w:rsidP="0056596D">
            <w:pPr>
              <w:spacing w:before="9" w:line="200" w:lineRule="exact"/>
              <w:ind w:left="0" w:firstLine="0"/>
              <w:jc w:val="left"/>
              <w:rPr>
                <w:rFonts w:ascii="Arial" w:hAnsi="Arial" w:cs="Arial"/>
                <w:sz w:val="20"/>
                <w:szCs w:val="20"/>
              </w:rPr>
            </w:pPr>
            <w:r w:rsidRPr="0056596D">
              <w:rPr>
                <w:rFonts w:ascii="Arial" w:hAnsi="Arial" w:cs="Arial"/>
                <w:sz w:val="20"/>
                <w:szCs w:val="20"/>
              </w:rPr>
              <w:t xml:space="preserve">C1: Internet facing </w:t>
            </w:r>
            <w:proofErr w:type="gramStart"/>
            <w:r w:rsidRPr="0056596D">
              <w:rPr>
                <w:rFonts w:ascii="Arial" w:hAnsi="Arial" w:cs="Arial"/>
                <w:sz w:val="20"/>
                <w:szCs w:val="20"/>
              </w:rPr>
              <w:t>firewalls</w:t>
            </w:r>
            <w:proofErr w:type="gramEnd"/>
          </w:p>
          <w:p w14:paraId="06F6BF3B" w14:textId="77777777" w:rsidR="00C1793C" w:rsidRPr="0056596D" w:rsidRDefault="00C1793C" w:rsidP="0056596D">
            <w:pPr>
              <w:spacing w:before="9" w:line="200" w:lineRule="exact"/>
              <w:ind w:left="0" w:firstLine="0"/>
              <w:jc w:val="left"/>
              <w:rPr>
                <w:rFonts w:ascii="Arial" w:hAnsi="Arial" w:cs="Arial"/>
                <w:sz w:val="20"/>
                <w:szCs w:val="20"/>
              </w:rPr>
            </w:pPr>
            <w:r w:rsidRPr="0056596D">
              <w:rPr>
                <w:rFonts w:ascii="Arial" w:hAnsi="Arial" w:cs="Arial"/>
                <w:sz w:val="20"/>
                <w:szCs w:val="20"/>
              </w:rPr>
              <w:t>C2: Internet-facing IP whitelist</w:t>
            </w:r>
          </w:p>
          <w:p w14:paraId="4B09951D" w14:textId="77777777" w:rsidR="00C1793C" w:rsidRPr="0056596D" w:rsidRDefault="00C1793C" w:rsidP="0056596D">
            <w:pPr>
              <w:spacing w:before="9" w:line="200" w:lineRule="exact"/>
              <w:ind w:left="0" w:firstLine="0"/>
              <w:jc w:val="left"/>
              <w:rPr>
                <w:rFonts w:ascii="Arial" w:hAnsi="Arial" w:cs="Arial"/>
                <w:sz w:val="20"/>
                <w:szCs w:val="20"/>
              </w:rPr>
            </w:pPr>
            <w:r w:rsidRPr="0056596D">
              <w:rPr>
                <w:rFonts w:ascii="Arial" w:hAnsi="Arial" w:cs="Arial"/>
                <w:sz w:val="20"/>
                <w:szCs w:val="20"/>
              </w:rPr>
              <w:t xml:space="preserve">C3: System hardening deleted when </w:t>
            </w:r>
            <w:proofErr w:type="gramStart"/>
            <w:r w:rsidRPr="0056596D">
              <w:rPr>
                <w:rFonts w:ascii="Arial" w:hAnsi="Arial" w:cs="Arial"/>
                <w:sz w:val="20"/>
                <w:szCs w:val="20"/>
              </w:rPr>
              <w:t>processed</w:t>
            </w:r>
            <w:proofErr w:type="gramEnd"/>
          </w:p>
          <w:p w14:paraId="27AEEBA4" w14:textId="77777777" w:rsidR="00C1793C" w:rsidRPr="0056596D" w:rsidRDefault="00C1793C" w:rsidP="0056596D">
            <w:pPr>
              <w:spacing w:before="9" w:line="200" w:lineRule="exact"/>
              <w:ind w:left="0" w:firstLine="0"/>
              <w:jc w:val="left"/>
              <w:rPr>
                <w:rFonts w:ascii="Arial" w:hAnsi="Arial" w:cs="Arial"/>
                <w:sz w:val="20"/>
                <w:szCs w:val="20"/>
              </w:rPr>
            </w:pPr>
            <w:r w:rsidRPr="0056596D">
              <w:rPr>
                <w:rFonts w:ascii="Arial" w:hAnsi="Arial" w:cs="Arial"/>
                <w:sz w:val="20"/>
                <w:szCs w:val="20"/>
              </w:rPr>
              <w:t>C4: Protective Monitoring</w:t>
            </w:r>
          </w:p>
          <w:p w14:paraId="256E656B" w14:textId="77777777" w:rsidR="00C1793C" w:rsidRPr="0056596D" w:rsidRDefault="00C1793C" w:rsidP="0056596D">
            <w:pPr>
              <w:spacing w:before="9" w:line="200" w:lineRule="exact"/>
              <w:ind w:left="0" w:firstLine="0"/>
              <w:jc w:val="left"/>
              <w:rPr>
                <w:rFonts w:ascii="Arial" w:hAnsi="Arial" w:cs="Arial"/>
                <w:sz w:val="20"/>
                <w:szCs w:val="20"/>
              </w:rPr>
            </w:pPr>
            <w:r w:rsidRPr="0056596D">
              <w:rPr>
                <w:rFonts w:ascii="Arial" w:hAnsi="Arial" w:cs="Arial"/>
                <w:sz w:val="20"/>
                <w:szCs w:val="20"/>
              </w:rPr>
              <w:t>C5: Application access control</w:t>
            </w:r>
          </w:p>
          <w:p w14:paraId="79AAAA3D" w14:textId="77777777" w:rsidR="00C1793C" w:rsidRPr="0056596D" w:rsidRDefault="00C1793C" w:rsidP="0056596D">
            <w:pPr>
              <w:spacing w:before="9" w:line="200" w:lineRule="exact"/>
              <w:ind w:left="0" w:firstLine="0"/>
              <w:jc w:val="left"/>
              <w:rPr>
                <w:rFonts w:ascii="Arial" w:hAnsi="Arial" w:cs="Arial"/>
                <w:sz w:val="20"/>
                <w:szCs w:val="20"/>
              </w:rPr>
            </w:pPr>
            <w:r w:rsidRPr="0056596D">
              <w:rPr>
                <w:rFonts w:ascii="Arial" w:hAnsi="Arial" w:cs="Arial"/>
                <w:sz w:val="20"/>
                <w:szCs w:val="20"/>
              </w:rPr>
              <w:t>C16: Anti-virus for incoming</w:t>
            </w:r>
          </w:p>
          <w:p w14:paraId="2351E983" w14:textId="77777777" w:rsidR="00C1793C" w:rsidRPr="0056596D" w:rsidRDefault="00C1793C" w:rsidP="0056596D">
            <w:pPr>
              <w:spacing w:before="9" w:line="200" w:lineRule="exact"/>
              <w:ind w:left="0" w:firstLine="0"/>
              <w:jc w:val="left"/>
              <w:rPr>
                <w:rFonts w:ascii="Arial" w:hAnsi="Arial" w:cs="Arial"/>
                <w:sz w:val="20"/>
                <w:szCs w:val="20"/>
              </w:rPr>
            </w:pPr>
            <w:r w:rsidRPr="0056596D">
              <w:rPr>
                <w:rFonts w:ascii="Arial" w:hAnsi="Arial" w:cs="Arial"/>
                <w:sz w:val="20"/>
                <w:szCs w:val="20"/>
              </w:rPr>
              <w:t>files</w:t>
            </w:r>
          </w:p>
          <w:p w14:paraId="5028542C" w14:textId="77777777" w:rsidR="00C1793C" w:rsidRPr="0056596D" w:rsidRDefault="00C1793C" w:rsidP="0056596D">
            <w:pPr>
              <w:spacing w:before="9" w:line="200" w:lineRule="exact"/>
              <w:ind w:left="0" w:firstLine="0"/>
              <w:jc w:val="left"/>
              <w:rPr>
                <w:rFonts w:ascii="Arial" w:hAnsi="Arial" w:cs="Arial"/>
                <w:sz w:val="20"/>
                <w:szCs w:val="20"/>
              </w:rPr>
            </w:pPr>
            <w:r w:rsidRPr="0056596D">
              <w:rPr>
                <w:rFonts w:ascii="Arial" w:hAnsi="Arial" w:cs="Arial"/>
                <w:sz w:val="20"/>
                <w:szCs w:val="20"/>
              </w:rPr>
              <w:t xml:space="preserve">C54: Files deleted when </w:t>
            </w:r>
            <w:proofErr w:type="gramStart"/>
            <w:r w:rsidRPr="0056596D">
              <w:rPr>
                <w:rFonts w:ascii="Arial" w:hAnsi="Arial" w:cs="Arial"/>
                <w:sz w:val="20"/>
                <w:szCs w:val="20"/>
              </w:rPr>
              <w:t>processed</w:t>
            </w:r>
            <w:proofErr w:type="gramEnd"/>
          </w:p>
          <w:p w14:paraId="35B07153" w14:textId="77777777" w:rsidR="00C1793C" w:rsidRPr="0056596D" w:rsidRDefault="00C1793C" w:rsidP="0056596D">
            <w:pPr>
              <w:spacing w:before="9" w:line="200" w:lineRule="exact"/>
              <w:ind w:left="0" w:firstLine="0"/>
              <w:jc w:val="left"/>
              <w:rPr>
                <w:rFonts w:ascii="Arial" w:hAnsi="Arial" w:cs="Arial"/>
                <w:sz w:val="20"/>
                <w:szCs w:val="20"/>
              </w:rPr>
            </w:pPr>
            <w:r w:rsidRPr="0056596D">
              <w:rPr>
                <w:rFonts w:ascii="Arial" w:hAnsi="Arial" w:cs="Arial"/>
                <w:sz w:val="20"/>
                <w:szCs w:val="20"/>
              </w:rPr>
              <w:t>C59: Removal of departmental identifier</w:t>
            </w:r>
          </w:p>
        </w:tc>
        <w:tc>
          <w:tcPr>
            <w:tcW w:w="1050" w:type="dxa"/>
          </w:tcPr>
          <w:p w14:paraId="4CF8568B" w14:textId="77777777" w:rsidR="00C1793C" w:rsidRPr="0056596D" w:rsidRDefault="00C1793C" w:rsidP="00C1793C">
            <w:pPr>
              <w:spacing w:before="9" w:line="200" w:lineRule="exact"/>
              <w:rPr>
                <w:rFonts w:ascii="Arial" w:hAnsi="Arial" w:cs="Arial"/>
                <w:sz w:val="20"/>
                <w:szCs w:val="20"/>
              </w:rPr>
            </w:pPr>
            <w:r w:rsidRPr="0056596D">
              <w:rPr>
                <w:rFonts w:ascii="Arial" w:hAnsi="Arial" w:cs="Arial"/>
                <w:sz w:val="20"/>
                <w:szCs w:val="20"/>
              </w:rPr>
              <w:t>Very low</w:t>
            </w:r>
          </w:p>
        </w:tc>
      </w:tr>
      <w:tr w:rsidR="00C1793C" w:rsidRPr="0056596D" w14:paraId="41BDA9E7" w14:textId="77777777" w:rsidTr="00C1793C">
        <w:tc>
          <w:tcPr>
            <w:tcW w:w="639" w:type="dxa"/>
          </w:tcPr>
          <w:p w14:paraId="64E5E4F5" w14:textId="77777777" w:rsidR="00C1793C" w:rsidRPr="0056596D" w:rsidRDefault="00C1793C" w:rsidP="00C1793C">
            <w:pPr>
              <w:spacing w:before="9" w:line="200" w:lineRule="exact"/>
              <w:rPr>
                <w:rFonts w:ascii="Arial" w:hAnsi="Arial" w:cs="Arial"/>
                <w:sz w:val="20"/>
                <w:szCs w:val="20"/>
              </w:rPr>
            </w:pPr>
            <w:r w:rsidRPr="0056596D">
              <w:rPr>
                <w:rFonts w:ascii="Arial" w:hAnsi="Arial" w:cs="Arial"/>
                <w:sz w:val="20"/>
                <w:szCs w:val="20"/>
              </w:rPr>
              <w:t>R2</w:t>
            </w:r>
          </w:p>
        </w:tc>
        <w:tc>
          <w:tcPr>
            <w:tcW w:w="1712" w:type="dxa"/>
          </w:tcPr>
          <w:p w14:paraId="628D7D6B" w14:textId="77777777" w:rsidR="00C1793C" w:rsidRPr="0056596D" w:rsidRDefault="00C1793C" w:rsidP="0056596D">
            <w:pPr>
              <w:spacing w:before="9" w:line="200" w:lineRule="exact"/>
              <w:ind w:left="0" w:firstLine="0"/>
              <w:jc w:val="left"/>
              <w:rPr>
                <w:rFonts w:ascii="Arial" w:hAnsi="Arial" w:cs="Arial"/>
                <w:sz w:val="20"/>
                <w:szCs w:val="20"/>
              </w:rPr>
            </w:pPr>
            <w:r w:rsidRPr="0056596D">
              <w:rPr>
                <w:rFonts w:ascii="Arial" w:hAnsi="Arial" w:cs="Arial"/>
                <w:sz w:val="20"/>
                <w:szCs w:val="20"/>
              </w:rPr>
              <w:t>Remote attackers could intercept of disrupt information crossing the internet</w:t>
            </w:r>
          </w:p>
        </w:tc>
        <w:tc>
          <w:tcPr>
            <w:tcW w:w="1005" w:type="dxa"/>
          </w:tcPr>
          <w:p w14:paraId="691159B8" w14:textId="77777777" w:rsidR="00C1793C" w:rsidRPr="0056596D" w:rsidRDefault="00C1793C" w:rsidP="00C1793C">
            <w:pPr>
              <w:spacing w:before="9" w:line="200" w:lineRule="exact"/>
              <w:rPr>
                <w:rFonts w:ascii="Arial" w:hAnsi="Arial" w:cs="Arial"/>
                <w:sz w:val="20"/>
                <w:szCs w:val="20"/>
              </w:rPr>
            </w:pPr>
            <w:r w:rsidRPr="0056596D">
              <w:rPr>
                <w:rFonts w:ascii="Arial" w:hAnsi="Arial" w:cs="Arial"/>
                <w:sz w:val="20"/>
                <w:szCs w:val="20"/>
              </w:rPr>
              <w:t>Medium</w:t>
            </w:r>
          </w:p>
        </w:tc>
        <w:tc>
          <w:tcPr>
            <w:tcW w:w="1796" w:type="dxa"/>
          </w:tcPr>
          <w:p w14:paraId="59ABDE9B" w14:textId="77777777" w:rsidR="00C1793C" w:rsidRPr="0056596D" w:rsidRDefault="00C1793C" w:rsidP="0056596D">
            <w:pPr>
              <w:spacing w:before="9" w:line="200" w:lineRule="exact"/>
              <w:ind w:left="0" w:firstLine="0"/>
              <w:jc w:val="left"/>
              <w:rPr>
                <w:rFonts w:ascii="Arial" w:hAnsi="Arial" w:cs="Arial"/>
                <w:sz w:val="20"/>
                <w:szCs w:val="20"/>
              </w:rPr>
            </w:pPr>
            <w:r w:rsidRPr="0056596D">
              <w:rPr>
                <w:rFonts w:ascii="Arial" w:hAnsi="Arial" w:cs="Arial"/>
                <w:sz w:val="20"/>
                <w:szCs w:val="20"/>
              </w:rPr>
              <w:t>File sharing with organisations across the internet</w:t>
            </w:r>
          </w:p>
        </w:tc>
        <w:tc>
          <w:tcPr>
            <w:tcW w:w="2814" w:type="dxa"/>
          </w:tcPr>
          <w:p w14:paraId="3187B654" w14:textId="77777777" w:rsidR="00C1793C" w:rsidRPr="0056596D" w:rsidRDefault="00C1793C" w:rsidP="0056596D">
            <w:pPr>
              <w:spacing w:before="9" w:line="200" w:lineRule="exact"/>
              <w:ind w:left="0" w:firstLine="0"/>
              <w:jc w:val="left"/>
              <w:rPr>
                <w:rFonts w:ascii="Arial" w:hAnsi="Arial" w:cs="Arial"/>
                <w:sz w:val="20"/>
                <w:szCs w:val="20"/>
              </w:rPr>
            </w:pPr>
            <w:r w:rsidRPr="0056596D">
              <w:rPr>
                <w:rFonts w:ascii="Arial" w:hAnsi="Arial" w:cs="Arial"/>
                <w:sz w:val="20"/>
                <w:szCs w:val="20"/>
              </w:rPr>
              <w:t>C9: TLS communications</w:t>
            </w:r>
          </w:p>
          <w:p w14:paraId="1626AA4A" w14:textId="77777777" w:rsidR="00C1793C" w:rsidRPr="0056596D" w:rsidRDefault="00C1793C" w:rsidP="0056596D">
            <w:pPr>
              <w:spacing w:before="9" w:line="200" w:lineRule="exact"/>
              <w:ind w:left="0" w:firstLine="0"/>
              <w:jc w:val="left"/>
              <w:rPr>
                <w:rFonts w:ascii="Arial" w:hAnsi="Arial" w:cs="Arial"/>
                <w:sz w:val="20"/>
                <w:szCs w:val="20"/>
              </w:rPr>
            </w:pPr>
            <w:r w:rsidRPr="0056596D">
              <w:rPr>
                <w:rFonts w:ascii="Arial" w:hAnsi="Arial" w:cs="Arial"/>
                <w:sz w:val="20"/>
                <w:szCs w:val="20"/>
              </w:rPr>
              <w:t>C10: PGP file- sharing</w:t>
            </w:r>
          </w:p>
        </w:tc>
        <w:tc>
          <w:tcPr>
            <w:tcW w:w="1050" w:type="dxa"/>
          </w:tcPr>
          <w:p w14:paraId="645F9400" w14:textId="77777777" w:rsidR="00C1793C" w:rsidRPr="0056596D" w:rsidRDefault="00C1793C" w:rsidP="00C1793C">
            <w:pPr>
              <w:spacing w:before="9" w:line="200" w:lineRule="exact"/>
              <w:rPr>
                <w:rFonts w:ascii="Arial" w:hAnsi="Arial" w:cs="Arial"/>
                <w:sz w:val="20"/>
                <w:szCs w:val="20"/>
              </w:rPr>
            </w:pPr>
            <w:r w:rsidRPr="0056596D">
              <w:rPr>
                <w:rFonts w:ascii="Arial" w:hAnsi="Arial" w:cs="Arial"/>
                <w:sz w:val="20"/>
                <w:szCs w:val="20"/>
              </w:rPr>
              <w:t>Very low</w:t>
            </w:r>
          </w:p>
        </w:tc>
      </w:tr>
      <w:tr w:rsidR="00C1793C" w:rsidRPr="0056596D" w14:paraId="2CC40CD2" w14:textId="77777777" w:rsidTr="00C1793C">
        <w:tc>
          <w:tcPr>
            <w:tcW w:w="639" w:type="dxa"/>
          </w:tcPr>
          <w:p w14:paraId="242BDDF5" w14:textId="77777777" w:rsidR="00C1793C" w:rsidRPr="0056596D" w:rsidRDefault="00C1793C" w:rsidP="00C1793C">
            <w:pPr>
              <w:spacing w:before="9" w:line="200" w:lineRule="exact"/>
              <w:rPr>
                <w:rFonts w:ascii="Arial" w:hAnsi="Arial" w:cs="Arial"/>
                <w:sz w:val="20"/>
                <w:szCs w:val="20"/>
              </w:rPr>
            </w:pPr>
            <w:r w:rsidRPr="0056596D">
              <w:rPr>
                <w:rFonts w:ascii="Arial" w:hAnsi="Arial" w:cs="Arial"/>
                <w:sz w:val="20"/>
                <w:szCs w:val="20"/>
              </w:rPr>
              <w:t>R3</w:t>
            </w:r>
          </w:p>
        </w:tc>
        <w:tc>
          <w:tcPr>
            <w:tcW w:w="1712" w:type="dxa"/>
          </w:tcPr>
          <w:p w14:paraId="41EECE14" w14:textId="77777777" w:rsidR="00C1793C" w:rsidRPr="0056596D" w:rsidRDefault="00C1793C" w:rsidP="0056596D">
            <w:pPr>
              <w:spacing w:before="9" w:line="200" w:lineRule="exact"/>
              <w:ind w:left="0" w:firstLine="0"/>
              <w:jc w:val="left"/>
              <w:rPr>
                <w:rFonts w:ascii="Arial" w:hAnsi="Arial" w:cs="Arial"/>
                <w:sz w:val="20"/>
                <w:szCs w:val="20"/>
              </w:rPr>
            </w:pPr>
            <w:r w:rsidRPr="0056596D">
              <w:rPr>
                <w:rFonts w:ascii="Arial" w:hAnsi="Arial" w:cs="Arial"/>
                <w:sz w:val="20"/>
                <w:szCs w:val="20"/>
              </w:rPr>
              <w:t xml:space="preserve">Internal users could maliciously or </w:t>
            </w:r>
            <w:r w:rsidRPr="0056596D">
              <w:rPr>
                <w:rFonts w:ascii="Arial" w:hAnsi="Arial" w:cs="Arial"/>
                <w:sz w:val="20"/>
                <w:szCs w:val="20"/>
              </w:rPr>
              <w:lastRenderedPageBreak/>
              <w:t>accidentally alter bank details</w:t>
            </w:r>
          </w:p>
        </w:tc>
        <w:tc>
          <w:tcPr>
            <w:tcW w:w="1005" w:type="dxa"/>
          </w:tcPr>
          <w:p w14:paraId="0164B973" w14:textId="77777777" w:rsidR="00C1793C" w:rsidRPr="0056596D" w:rsidRDefault="00C1793C" w:rsidP="00C1793C">
            <w:pPr>
              <w:spacing w:before="9" w:line="200" w:lineRule="exact"/>
              <w:rPr>
                <w:rFonts w:ascii="Arial" w:hAnsi="Arial" w:cs="Arial"/>
                <w:sz w:val="20"/>
                <w:szCs w:val="20"/>
              </w:rPr>
            </w:pPr>
            <w:r w:rsidRPr="0056596D">
              <w:rPr>
                <w:rFonts w:ascii="Arial" w:hAnsi="Arial" w:cs="Arial"/>
                <w:sz w:val="20"/>
                <w:szCs w:val="20"/>
              </w:rPr>
              <w:lastRenderedPageBreak/>
              <w:t xml:space="preserve">Medium </w:t>
            </w:r>
          </w:p>
          <w:p w14:paraId="102B1EA3" w14:textId="77777777" w:rsidR="00C1793C" w:rsidRPr="0056596D" w:rsidRDefault="00C1793C" w:rsidP="00C1793C">
            <w:pPr>
              <w:spacing w:before="9" w:line="200" w:lineRule="exact"/>
              <w:rPr>
                <w:rFonts w:ascii="Arial" w:hAnsi="Arial" w:cs="Arial"/>
                <w:sz w:val="20"/>
                <w:szCs w:val="20"/>
              </w:rPr>
            </w:pPr>
            <w:r w:rsidRPr="0056596D">
              <w:rPr>
                <w:rFonts w:ascii="Arial" w:hAnsi="Arial" w:cs="Arial"/>
                <w:sz w:val="20"/>
                <w:szCs w:val="20"/>
              </w:rPr>
              <w:t>High</w:t>
            </w:r>
          </w:p>
        </w:tc>
        <w:tc>
          <w:tcPr>
            <w:tcW w:w="1796" w:type="dxa"/>
          </w:tcPr>
          <w:p w14:paraId="61430CFC" w14:textId="77777777" w:rsidR="00C1793C" w:rsidRPr="0056596D" w:rsidRDefault="00C1793C" w:rsidP="0056596D">
            <w:pPr>
              <w:spacing w:before="9" w:line="200" w:lineRule="exact"/>
              <w:ind w:left="0" w:firstLine="0"/>
              <w:jc w:val="left"/>
              <w:rPr>
                <w:rFonts w:ascii="Arial" w:hAnsi="Arial" w:cs="Arial"/>
                <w:sz w:val="20"/>
                <w:szCs w:val="20"/>
              </w:rPr>
            </w:pPr>
            <w:r w:rsidRPr="0056596D">
              <w:rPr>
                <w:rFonts w:ascii="Arial" w:hAnsi="Arial" w:cs="Arial"/>
                <w:sz w:val="20"/>
                <w:szCs w:val="20"/>
              </w:rPr>
              <w:t xml:space="preserve">User’s bank details can be altered as part of </w:t>
            </w:r>
            <w:r w:rsidRPr="0056596D">
              <w:rPr>
                <w:rFonts w:ascii="Arial" w:hAnsi="Arial" w:cs="Arial"/>
                <w:sz w:val="20"/>
                <w:szCs w:val="20"/>
              </w:rPr>
              <w:lastRenderedPageBreak/>
              <w:t>the normal business function</w:t>
            </w:r>
          </w:p>
        </w:tc>
        <w:tc>
          <w:tcPr>
            <w:tcW w:w="2814" w:type="dxa"/>
          </w:tcPr>
          <w:p w14:paraId="6456069C" w14:textId="77777777" w:rsidR="00C1793C" w:rsidRPr="0056596D" w:rsidRDefault="00C1793C" w:rsidP="0056596D">
            <w:pPr>
              <w:spacing w:before="9" w:line="200" w:lineRule="exact"/>
              <w:ind w:left="0" w:firstLine="0"/>
              <w:jc w:val="left"/>
              <w:rPr>
                <w:rFonts w:ascii="Arial" w:hAnsi="Arial" w:cs="Arial"/>
                <w:sz w:val="20"/>
                <w:szCs w:val="20"/>
              </w:rPr>
            </w:pPr>
            <w:r w:rsidRPr="0056596D">
              <w:rPr>
                <w:rFonts w:ascii="Arial" w:hAnsi="Arial" w:cs="Arial"/>
                <w:sz w:val="20"/>
                <w:szCs w:val="20"/>
              </w:rPr>
              <w:lastRenderedPageBreak/>
              <w:t>C12: System administrators hold SC clearance.</w:t>
            </w:r>
          </w:p>
          <w:p w14:paraId="1DDB0460" w14:textId="77777777" w:rsidR="00C1793C" w:rsidRPr="0056596D" w:rsidRDefault="00C1793C" w:rsidP="0056596D">
            <w:pPr>
              <w:spacing w:before="9" w:line="200" w:lineRule="exact"/>
              <w:ind w:left="0" w:firstLine="0"/>
              <w:jc w:val="left"/>
              <w:rPr>
                <w:rFonts w:ascii="Arial" w:hAnsi="Arial" w:cs="Arial"/>
                <w:sz w:val="20"/>
                <w:szCs w:val="20"/>
              </w:rPr>
            </w:pPr>
            <w:r w:rsidRPr="0056596D">
              <w:rPr>
                <w:rFonts w:ascii="Arial" w:hAnsi="Arial" w:cs="Arial"/>
                <w:sz w:val="20"/>
                <w:szCs w:val="20"/>
              </w:rPr>
              <w:lastRenderedPageBreak/>
              <w:t>C13: All changes to user information are logged and audited.</w:t>
            </w:r>
          </w:p>
          <w:p w14:paraId="17FA120D" w14:textId="77777777" w:rsidR="00C1793C" w:rsidRPr="0056596D" w:rsidRDefault="00C1793C" w:rsidP="0056596D">
            <w:pPr>
              <w:spacing w:before="9" w:line="200" w:lineRule="exact"/>
              <w:ind w:left="0" w:firstLine="0"/>
              <w:jc w:val="left"/>
              <w:rPr>
                <w:rFonts w:ascii="Arial" w:hAnsi="Arial" w:cs="Arial"/>
                <w:sz w:val="20"/>
                <w:szCs w:val="20"/>
              </w:rPr>
            </w:pPr>
            <w:r w:rsidRPr="0056596D">
              <w:rPr>
                <w:rFonts w:ascii="Arial" w:hAnsi="Arial" w:cs="Arial"/>
                <w:sz w:val="20"/>
                <w:szCs w:val="20"/>
              </w:rPr>
              <w:t xml:space="preserve">C14: Letters are automatically sent to </w:t>
            </w:r>
            <w:proofErr w:type="gramStart"/>
            <w:r w:rsidRPr="0056596D">
              <w:rPr>
                <w:rFonts w:ascii="Arial" w:hAnsi="Arial" w:cs="Arial"/>
                <w:sz w:val="20"/>
                <w:szCs w:val="20"/>
              </w:rPr>
              <w:t>users</w:t>
            </w:r>
            <w:proofErr w:type="gramEnd"/>
            <w:r w:rsidRPr="0056596D">
              <w:rPr>
                <w:rFonts w:ascii="Arial" w:hAnsi="Arial" w:cs="Arial"/>
                <w:sz w:val="20"/>
                <w:szCs w:val="20"/>
              </w:rPr>
              <w:t xml:space="preserve"> home addresses when bank details are altered.</w:t>
            </w:r>
          </w:p>
          <w:p w14:paraId="7EE60C97" w14:textId="77777777" w:rsidR="00C1793C" w:rsidRPr="0056596D" w:rsidRDefault="00C1793C" w:rsidP="0056596D">
            <w:pPr>
              <w:spacing w:before="9" w:line="200" w:lineRule="exact"/>
              <w:ind w:left="0" w:firstLine="0"/>
              <w:jc w:val="left"/>
              <w:rPr>
                <w:rFonts w:ascii="Arial" w:hAnsi="Arial" w:cs="Arial"/>
                <w:sz w:val="20"/>
                <w:szCs w:val="20"/>
              </w:rPr>
            </w:pPr>
            <w:r w:rsidRPr="0056596D">
              <w:rPr>
                <w:rFonts w:ascii="Arial" w:hAnsi="Arial" w:cs="Arial"/>
                <w:sz w:val="20"/>
                <w:szCs w:val="20"/>
              </w:rPr>
              <w:t>C15: Staff awareness training</w:t>
            </w:r>
          </w:p>
        </w:tc>
        <w:tc>
          <w:tcPr>
            <w:tcW w:w="1050" w:type="dxa"/>
          </w:tcPr>
          <w:p w14:paraId="5A7DF244" w14:textId="77777777" w:rsidR="00C1793C" w:rsidRPr="0056596D" w:rsidRDefault="00C1793C" w:rsidP="00C1793C">
            <w:pPr>
              <w:spacing w:before="9" w:line="200" w:lineRule="exact"/>
              <w:rPr>
                <w:rFonts w:ascii="Arial" w:hAnsi="Arial" w:cs="Arial"/>
                <w:sz w:val="20"/>
                <w:szCs w:val="20"/>
              </w:rPr>
            </w:pPr>
            <w:r w:rsidRPr="0056596D">
              <w:rPr>
                <w:rFonts w:ascii="Arial" w:hAnsi="Arial" w:cs="Arial"/>
                <w:sz w:val="20"/>
                <w:szCs w:val="20"/>
              </w:rPr>
              <w:lastRenderedPageBreak/>
              <w:t>Low</w:t>
            </w:r>
          </w:p>
        </w:tc>
      </w:tr>
    </w:tbl>
    <w:p w14:paraId="782CA043" w14:textId="77777777" w:rsidR="00C1793C" w:rsidRPr="00C050B2" w:rsidRDefault="00C1793C" w:rsidP="00C1793C">
      <w:pPr>
        <w:spacing w:before="9" w:line="200" w:lineRule="exact"/>
        <w:rPr>
          <w:rFonts w:cs="Arial"/>
          <w:szCs w:val="20"/>
        </w:rPr>
      </w:pPr>
    </w:p>
    <w:p w14:paraId="630D3195" w14:textId="77777777" w:rsidR="00C1793C" w:rsidRPr="00C050B2" w:rsidRDefault="00C1793C" w:rsidP="009D675B">
      <w:pPr>
        <w:pStyle w:val="Sch2"/>
        <w:numPr>
          <w:ilvl w:val="3"/>
          <w:numId w:val="56"/>
        </w:numPr>
        <w:rPr>
          <w:rFonts w:eastAsia="Arial" w:cs="Arial"/>
          <w:szCs w:val="20"/>
        </w:rPr>
      </w:pPr>
      <w:r w:rsidRPr="00C050B2">
        <w:rPr>
          <w:rFonts w:eastAsia="Verdana"/>
        </w:rPr>
        <w:t>Controls</w:t>
      </w:r>
    </w:p>
    <w:p w14:paraId="0C341C17" w14:textId="77777777" w:rsidR="00C1793C" w:rsidRDefault="00C1793C" w:rsidP="00C1793C">
      <w:pPr>
        <w:ind w:left="861" w:right="115"/>
        <w:rPr>
          <w:rFonts w:eastAsia="Arial" w:cs="Arial"/>
          <w:i/>
          <w:szCs w:val="20"/>
        </w:rPr>
      </w:pPr>
      <w:r w:rsidRPr="00C050B2">
        <w:rPr>
          <w:rFonts w:eastAsia="Arial" w:cs="Arial"/>
          <w:i/>
          <w:szCs w:val="20"/>
        </w:rPr>
        <w:t>&lt;</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c</w:t>
      </w:r>
      <w:r w:rsidRPr="00C050B2">
        <w:rPr>
          <w:rFonts w:eastAsia="Arial" w:cs="Arial"/>
          <w:i/>
          <w:spacing w:val="1"/>
          <w:szCs w:val="20"/>
        </w:rPr>
        <w:t>on</w:t>
      </w:r>
      <w:r w:rsidRPr="00C050B2">
        <w:rPr>
          <w:rFonts w:eastAsia="Arial" w:cs="Arial"/>
          <w:i/>
          <w:spacing w:val="-2"/>
          <w:szCs w:val="20"/>
        </w:rPr>
        <w:t>t</w:t>
      </w:r>
      <w:r w:rsidRPr="00C050B2">
        <w:rPr>
          <w:rFonts w:eastAsia="Arial" w:cs="Arial"/>
          <w:i/>
          <w:szCs w:val="20"/>
        </w:rPr>
        <w:t>r</w:t>
      </w:r>
      <w:r w:rsidRPr="00C050B2">
        <w:rPr>
          <w:rFonts w:eastAsia="Arial" w:cs="Arial"/>
          <w:i/>
          <w:spacing w:val="1"/>
          <w:szCs w:val="20"/>
        </w:rPr>
        <w:t>ol</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li</w:t>
      </w:r>
      <w:r w:rsidRPr="00C050B2">
        <w:rPr>
          <w:rFonts w:eastAsia="Arial" w:cs="Arial"/>
          <w:i/>
          <w:szCs w:val="20"/>
        </w:rPr>
        <w:t>s</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 xml:space="preserve">d </w:t>
      </w:r>
      <w:r w:rsidRPr="00C050B2">
        <w:rPr>
          <w:rFonts w:eastAsia="Arial" w:cs="Arial"/>
          <w:i/>
          <w:spacing w:val="-3"/>
          <w:szCs w:val="20"/>
        </w:rPr>
        <w:t>a</w:t>
      </w:r>
      <w:r w:rsidRPr="00C050B2">
        <w:rPr>
          <w:rFonts w:eastAsia="Arial" w:cs="Arial"/>
          <w:i/>
          <w:spacing w:val="1"/>
          <w:szCs w:val="20"/>
        </w:rPr>
        <w:t>bo</w:t>
      </w:r>
      <w:r w:rsidRPr="00C050B2">
        <w:rPr>
          <w:rFonts w:eastAsia="Arial" w:cs="Arial"/>
          <w:i/>
          <w:szCs w:val="20"/>
        </w:rPr>
        <w:t xml:space="preserve">ve </w:t>
      </w:r>
      <w:r w:rsidRPr="00C050B2">
        <w:rPr>
          <w:rFonts w:eastAsia="Arial" w:cs="Arial"/>
          <w:i/>
          <w:spacing w:val="-2"/>
          <w:szCs w:val="20"/>
        </w:rPr>
        <w:t>t</w:t>
      </w:r>
      <w:r w:rsidRPr="00C050B2">
        <w:rPr>
          <w:rFonts w:eastAsia="Arial" w:cs="Arial"/>
          <w:i/>
          <w:szCs w:val="20"/>
        </w:rPr>
        <w:t>o m</w:t>
      </w:r>
      <w:r w:rsidRPr="00C050B2">
        <w:rPr>
          <w:rFonts w:eastAsia="Arial" w:cs="Arial"/>
          <w:i/>
          <w:spacing w:val="1"/>
          <w:szCs w:val="20"/>
        </w:rPr>
        <w:t>i</w:t>
      </w:r>
      <w:r w:rsidRPr="00C050B2">
        <w:rPr>
          <w:rFonts w:eastAsia="Arial" w:cs="Arial"/>
          <w:i/>
          <w:spacing w:val="-2"/>
          <w:szCs w:val="20"/>
        </w:rPr>
        <w:t>t</w:t>
      </w:r>
      <w:r w:rsidRPr="00C050B2">
        <w:rPr>
          <w:rFonts w:eastAsia="Arial" w:cs="Arial"/>
          <w:i/>
          <w:spacing w:val="1"/>
          <w:szCs w:val="20"/>
        </w:rPr>
        <w:t>i</w:t>
      </w:r>
      <w:r w:rsidRPr="00C050B2">
        <w:rPr>
          <w:rFonts w:eastAsia="Arial" w:cs="Arial"/>
          <w:i/>
          <w:spacing w:val="-3"/>
          <w:szCs w:val="20"/>
        </w:rPr>
        <w:t>g</w:t>
      </w:r>
      <w:r w:rsidRPr="00C050B2">
        <w:rPr>
          <w:rFonts w:eastAsia="Arial" w:cs="Arial"/>
          <w:i/>
          <w:spacing w:val="1"/>
          <w:szCs w:val="20"/>
        </w:rPr>
        <w:t>a</w:t>
      </w:r>
      <w:r w:rsidRPr="00C050B2">
        <w:rPr>
          <w:rFonts w:eastAsia="Arial" w:cs="Arial"/>
          <w:i/>
          <w:spacing w:val="-2"/>
          <w:szCs w:val="20"/>
        </w:rPr>
        <w:t>t</w:t>
      </w:r>
      <w:r w:rsidRPr="00C050B2">
        <w:rPr>
          <w:rFonts w:eastAsia="Arial" w:cs="Arial"/>
          <w:i/>
          <w:szCs w:val="20"/>
        </w:rPr>
        <w:t xml:space="preserve">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r</w:t>
      </w:r>
      <w:r w:rsidRPr="00C050B2">
        <w:rPr>
          <w:rFonts w:eastAsia="Arial" w:cs="Arial"/>
          <w:i/>
          <w:spacing w:val="1"/>
          <w:szCs w:val="20"/>
        </w:rPr>
        <w:t>i</w:t>
      </w:r>
      <w:r w:rsidRPr="00C050B2">
        <w:rPr>
          <w:rFonts w:eastAsia="Arial" w:cs="Arial"/>
          <w:i/>
          <w:szCs w:val="20"/>
        </w:rPr>
        <w:t>sks</w:t>
      </w:r>
      <w:r w:rsidRPr="00C050B2">
        <w:rPr>
          <w:rFonts w:eastAsia="Arial" w:cs="Arial"/>
          <w:i/>
          <w:spacing w:val="3"/>
          <w:szCs w:val="20"/>
        </w:rPr>
        <w:t xml:space="preserve"> </w:t>
      </w:r>
      <w:r w:rsidRPr="00C050B2">
        <w:rPr>
          <w:rFonts w:eastAsia="Arial" w:cs="Arial"/>
          <w:i/>
          <w:spacing w:val="-3"/>
          <w:szCs w:val="20"/>
        </w:rPr>
        <w:t>i</w:t>
      </w:r>
      <w:r w:rsidRPr="00C050B2">
        <w:rPr>
          <w:rFonts w:eastAsia="Arial" w:cs="Arial"/>
          <w:i/>
          <w:spacing w:val="1"/>
          <w:szCs w:val="20"/>
        </w:rPr>
        <w:t>den</w:t>
      </w:r>
      <w:r w:rsidRPr="00C050B2">
        <w:rPr>
          <w:rFonts w:eastAsia="Arial" w:cs="Arial"/>
          <w:i/>
          <w:spacing w:val="-2"/>
          <w:szCs w:val="20"/>
        </w:rPr>
        <w:t>t</w:t>
      </w:r>
      <w:r w:rsidRPr="00C050B2">
        <w:rPr>
          <w:rFonts w:eastAsia="Arial" w:cs="Arial"/>
          <w:i/>
          <w:spacing w:val="1"/>
          <w:szCs w:val="20"/>
        </w:rPr>
        <w:t>i</w:t>
      </w:r>
      <w:r w:rsidRPr="00C050B2">
        <w:rPr>
          <w:rFonts w:eastAsia="Arial" w:cs="Arial"/>
          <w:i/>
          <w:spacing w:val="-2"/>
          <w:szCs w:val="20"/>
        </w:rPr>
        <w:t>f</w:t>
      </w:r>
      <w:r w:rsidRPr="00C050B2">
        <w:rPr>
          <w:rFonts w:eastAsia="Arial" w:cs="Arial"/>
          <w:i/>
          <w:spacing w:val="1"/>
          <w:szCs w:val="20"/>
        </w:rPr>
        <w:t>i</w:t>
      </w:r>
      <w:r w:rsidRPr="00C050B2">
        <w:rPr>
          <w:rFonts w:eastAsia="Arial" w:cs="Arial"/>
          <w:i/>
          <w:spacing w:val="-3"/>
          <w:szCs w:val="20"/>
        </w:rPr>
        <w:t>e</w:t>
      </w:r>
      <w:r w:rsidRPr="00C050B2">
        <w:rPr>
          <w:rFonts w:eastAsia="Arial" w:cs="Arial"/>
          <w:i/>
          <w:szCs w:val="20"/>
        </w:rPr>
        <w:t>d s</w:t>
      </w:r>
      <w:r w:rsidRPr="00C050B2">
        <w:rPr>
          <w:rFonts w:eastAsia="Arial" w:cs="Arial"/>
          <w:i/>
          <w:spacing w:val="1"/>
          <w:szCs w:val="20"/>
        </w:rPr>
        <w:t>hou</w:t>
      </w:r>
      <w:r w:rsidRPr="00C050B2">
        <w:rPr>
          <w:rFonts w:eastAsia="Arial" w:cs="Arial"/>
          <w:i/>
          <w:spacing w:val="-3"/>
          <w:szCs w:val="20"/>
        </w:rPr>
        <w:t>l</w:t>
      </w:r>
      <w:r w:rsidRPr="00C050B2">
        <w:rPr>
          <w:rFonts w:eastAsia="Arial" w:cs="Arial"/>
          <w:i/>
          <w:szCs w:val="20"/>
        </w:rPr>
        <w:t xml:space="preserve">d </w:t>
      </w:r>
      <w:r w:rsidRPr="00C050B2">
        <w:rPr>
          <w:rFonts w:eastAsia="Arial" w:cs="Arial"/>
          <w:i/>
          <w:spacing w:val="1"/>
          <w:szCs w:val="20"/>
        </w:rPr>
        <w:t>b</w:t>
      </w:r>
      <w:r w:rsidRPr="00C050B2">
        <w:rPr>
          <w:rFonts w:eastAsia="Arial" w:cs="Arial"/>
          <w:i/>
          <w:szCs w:val="20"/>
        </w:rPr>
        <w:t xml:space="preserve">e </w:t>
      </w:r>
      <w:r w:rsidRPr="00C050B2">
        <w:rPr>
          <w:rFonts w:eastAsia="Arial" w:cs="Arial"/>
          <w:i/>
          <w:spacing w:val="1"/>
          <w:szCs w:val="20"/>
        </w:rPr>
        <w:t>de</w:t>
      </w:r>
      <w:r w:rsidRPr="00C050B2">
        <w:rPr>
          <w:rFonts w:eastAsia="Arial" w:cs="Arial"/>
          <w:i/>
          <w:spacing w:val="-2"/>
          <w:szCs w:val="20"/>
        </w:rPr>
        <w:t>t</w:t>
      </w:r>
      <w:r w:rsidRPr="00C050B2">
        <w:rPr>
          <w:rFonts w:eastAsia="Arial" w:cs="Arial"/>
          <w:i/>
          <w:spacing w:val="-3"/>
          <w:szCs w:val="20"/>
        </w:rPr>
        <w:t>a</w:t>
      </w:r>
      <w:r w:rsidRPr="00C050B2">
        <w:rPr>
          <w:rFonts w:eastAsia="Arial" w:cs="Arial"/>
          <w:i/>
          <w:spacing w:val="1"/>
          <w:szCs w:val="20"/>
        </w:rPr>
        <w:t>il</w:t>
      </w:r>
      <w:r w:rsidRPr="00C050B2">
        <w:rPr>
          <w:rFonts w:eastAsia="Arial" w:cs="Arial"/>
          <w:i/>
          <w:spacing w:val="-3"/>
          <w:szCs w:val="20"/>
        </w:rPr>
        <w:t>e</w:t>
      </w:r>
      <w:r w:rsidRPr="00C050B2">
        <w:rPr>
          <w:rFonts w:eastAsia="Arial" w:cs="Arial"/>
          <w:i/>
          <w:spacing w:val="1"/>
          <w:szCs w:val="20"/>
        </w:rPr>
        <w:t>d</w:t>
      </w:r>
      <w:r w:rsidRPr="00C050B2">
        <w:rPr>
          <w:rFonts w:eastAsia="Arial" w:cs="Arial"/>
          <w:i/>
          <w:szCs w:val="20"/>
        </w:rPr>
        <w:t xml:space="preserve">. </w:t>
      </w:r>
      <w:r w:rsidRPr="00C050B2">
        <w:rPr>
          <w:rFonts w:eastAsia="Arial" w:cs="Arial"/>
          <w:i/>
          <w:spacing w:val="-2"/>
          <w:szCs w:val="20"/>
        </w:rPr>
        <w:t>T</w:t>
      </w:r>
      <w:r w:rsidRPr="00C050B2">
        <w:rPr>
          <w:rFonts w:eastAsia="Arial" w:cs="Arial"/>
          <w:i/>
          <w:spacing w:val="1"/>
          <w:szCs w:val="20"/>
        </w:rPr>
        <w:t>he</w:t>
      </w:r>
      <w:r w:rsidRPr="00C050B2">
        <w:rPr>
          <w:rFonts w:eastAsia="Arial" w:cs="Arial"/>
          <w:i/>
          <w:szCs w:val="20"/>
        </w:rPr>
        <w:t>re s</w:t>
      </w:r>
      <w:r w:rsidRPr="00C050B2">
        <w:rPr>
          <w:rFonts w:eastAsia="Arial" w:cs="Arial"/>
          <w:i/>
          <w:spacing w:val="1"/>
          <w:szCs w:val="20"/>
        </w:rPr>
        <w:t>ho</w:t>
      </w:r>
      <w:r w:rsidRPr="00C050B2">
        <w:rPr>
          <w:rFonts w:eastAsia="Arial" w:cs="Arial"/>
          <w:i/>
          <w:spacing w:val="-3"/>
          <w:szCs w:val="20"/>
        </w:rPr>
        <w:t>u</w:t>
      </w:r>
      <w:r w:rsidRPr="00C050B2">
        <w:rPr>
          <w:rFonts w:eastAsia="Arial" w:cs="Arial"/>
          <w:i/>
          <w:spacing w:val="1"/>
          <w:szCs w:val="20"/>
        </w:rPr>
        <w:t>l</w:t>
      </w:r>
      <w:r w:rsidRPr="00C050B2">
        <w:rPr>
          <w:rFonts w:eastAsia="Arial" w:cs="Arial"/>
          <w:i/>
          <w:szCs w:val="20"/>
        </w:rPr>
        <w:t xml:space="preserve">d </w:t>
      </w:r>
      <w:r w:rsidRPr="00C050B2">
        <w:rPr>
          <w:rFonts w:eastAsia="Arial" w:cs="Arial"/>
          <w:i/>
          <w:spacing w:val="1"/>
          <w:szCs w:val="20"/>
        </w:rPr>
        <w:t>b</w:t>
      </w:r>
      <w:r w:rsidRPr="00C050B2">
        <w:rPr>
          <w:rFonts w:eastAsia="Arial" w:cs="Arial"/>
          <w:i/>
          <w:szCs w:val="20"/>
        </w:rPr>
        <w:t xml:space="preserve">e a </w:t>
      </w:r>
      <w:r w:rsidRPr="00C050B2">
        <w:rPr>
          <w:rFonts w:eastAsia="Arial" w:cs="Arial"/>
          <w:i/>
          <w:spacing w:val="1"/>
          <w:szCs w:val="20"/>
        </w:rPr>
        <w:t>de</w:t>
      </w:r>
      <w:r w:rsidRPr="00C050B2">
        <w:rPr>
          <w:rFonts w:eastAsia="Arial" w:cs="Arial"/>
          <w:i/>
          <w:szCs w:val="20"/>
        </w:rPr>
        <w:t>sc</w:t>
      </w:r>
      <w:r w:rsidRPr="00C050B2">
        <w:rPr>
          <w:rFonts w:eastAsia="Arial" w:cs="Arial"/>
          <w:i/>
          <w:spacing w:val="-5"/>
          <w:szCs w:val="20"/>
        </w:rPr>
        <w:t>r</w:t>
      </w:r>
      <w:r w:rsidRPr="00C050B2">
        <w:rPr>
          <w:rFonts w:eastAsia="Arial" w:cs="Arial"/>
          <w:i/>
          <w:spacing w:val="1"/>
          <w:szCs w:val="20"/>
        </w:rPr>
        <w:t>ip</w:t>
      </w:r>
      <w:r w:rsidRPr="00C050B2">
        <w:rPr>
          <w:rFonts w:eastAsia="Arial" w:cs="Arial"/>
          <w:i/>
          <w:spacing w:val="-2"/>
          <w:szCs w:val="20"/>
        </w:rPr>
        <w:t>t</w:t>
      </w:r>
      <w:r w:rsidRPr="00C050B2">
        <w:rPr>
          <w:rFonts w:eastAsia="Arial" w:cs="Arial"/>
          <w:i/>
          <w:spacing w:val="1"/>
          <w:szCs w:val="20"/>
        </w:rPr>
        <w:t>i</w:t>
      </w:r>
      <w:r w:rsidRPr="00C050B2">
        <w:rPr>
          <w:rFonts w:eastAsia="Arial" w:cs="Arial"/>
          <w:i/>
          <w:spacing w:val="-3"/>
          <w:szCs w:val="20"/>
        </w:rPr>
        <w:t>o</w:t>
      </w:r>
      <w:r w:rsidRPr="00C050B2">
        <w:rPr>
          <w:rFonts w:eastAsia="Arial" w:cs="Arial"/>
          <w:i/>
          <w:szCs w:val="20"/>
        </w:rPr>
        <w:t xml:space="preserve">n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1"/>
          <w:szCs w:val="20"/>
        </w:rPr>
        <w:t>ea</w:t>
      </w:r>
      <w:r w:rsidRPr="00C050B2">
        <w:rPr>
          <w:rFonts w:eastAsia="Arial" w:cs="Arial"/>
          <w:i/>
          <w:szCs w:val="20"/>
        </w:rPr>
        <w:t>ch c</w:t>
      </w:r>
      <w:r w:rsidRPr="00C050B2">
        <w:rPr>
          <w:rFonts w:eastAsia="Arial" w:cs="Arial"/>
          <w:i/>
          <w:spacing w:val="1"/>
          <w:szCs w:val="20"/>
        </w:rPr>
        <w:t>on</w:t>
      </w:r>
      <w:r w:rsidRPr="00C050B2">
        <w:rPr>
          <w:rFonts w:eastAsia="Arial" w:cs="Arial"/>
          <w:i/>
          <w:spacing w:val="-2"/>
          <w:szCs w:val="20"/>
        </w:rPr>
        <w:t>t</w:t>
      </w:r>
      <w:r w:rsidRPr="00C050B2">
        <w:rPr>
          <w:rFonts w:eastAsia="Arial" w:cs="Arial"/>
          <w:i/>
          <w:szCs w:val="20"/>
        </w:rPr>
        <w:t>r</w:t>
      </w:r>
      <w:r w:rsidRPr="00C050B2">
        <w:rPr>
          <w:rFonts w:eastAsia="Arial" w:cs="Arial"/>
          <w:i/>
          <w:spacing w:val="1"/>
          <w:szCs w:val="20"/>
        </w:rPr>
        <w:t>ol</w:t>
      </w:r>
      <w:r w:rsidRPr="00C050B2">
        <w:rPr>
          <w:rFonts w:eastAsia="Arial" w:cs="Arial"/>
          <w:i/>
          <w:szCs w:val="20"/>
        </w:rPr>
        <w:t>,</w:t>
      </w:r>
      <w:r w:rsidRPr="00C050B2">
        <w:rPr>
          <w:rFonts w:eastAsia="Arial" w:cs="Arial"/>
          <w:i/>
          <w:spacing w:val="-3"/>
          <w:szCs w:val="20"/>
        </w:rPr>
        <w:t xml:space="preserve"> </w:t>
      </w:r>
      <w:r w:rsidRPr="00C050B2">
        <w:rPr>
          <w:rFonts w:eastAsia="Arial" w:cs="Arial"/>
          <w:i/>
          <w:spacing w:val="-2"/>
          <w:szCs w:val="20"/>
        </w:rPr>
        <w:t>f</w:t>
      </w:r>
      <w:r w:rsidRPr="00C050B2">
        <w:rPr>
          <w:rFonts w:eastAsia="Arial" w:cs="Arial"/>
          <w:i/>
          <w:spacing w:val="1"/>
          <w:szCs w:val="20"/>
        </w:rPr>
        <w:t>u</w:t>
      </w:r>
      <w:r w:rsidRPr="00C050B2">
        <w:rPr>
          <w:rFonts w:eastAsia="Arial" w:cs="Arial"/>
          <w:i/>
          <w:szCs w:val="20"/>
        </w:rPr>
        <w:t>r</w:t>
      </w:r>
      <w:r w:rsidRPr="00C050B2">
        <w:rPr>
          <w:rFonts w:eastAsia="Arial" w:cs="Arial"/>
          <w:i/>
          <w:spacing w:val="-2"/>
          <w:szCs w:val="20"/>
        </w:rPr>
        <w:t>t</w:t>
      </w:r>
      <w:r w:rsidRPr="00C050B2">
        <w:rPr>
          <w:rFonts w:eastAsia="Arial" w:cs="Arial"/>
          <w:i/>
          <w:spacing w:val="1"/>
          <w:szCs w:val="20"/>
        </w:rPr>
        <w:t>he</w:t>
      </w:r>
      <w:r w:rsidRPr="00C050B2">
        <w:rPr>
          <w:rFonts w:eastAsia="Arial" w:cs="Arial"/>
          <w:i/>
          <w:szCs w:val="20"/>
        </w:rPr>
        <w:t>r</w:t>
      </w:r>
      <w:r w:rsidRPr="00C050B2">
        <w:rPr>
          <w:rFonts w:eastAsia="Arial" w:cs="Arial"/>
          <w:i/>
          <w:spacing w:val="-1"/>
          <w:szCs w:val="20"/>
        </w:rPr>
        <w:t xml:space="preserve"> </w:t>
      </w:r>
      <w:proofErr w:type="gramStart"/>
      <w:r w:rsidRPr="00C050B2">
        <w:rPr>
          <w:rFonts w:eastAsia="Arial" w:cs="Arial"/>
          <w:i/>
          <w:spacing w:val="1"/>
          <w:szCs w:val="20"/>
        </w:rPr>
        <w:t>in</w:t>
      </w:r>
      <w:r w:rsidRPr="00C050B2">
        <w:rPr>
          <w:rFonts w:eastAsia="Arial" w:cs="Arial"/>
          <w:i/>
          <w:spacing w:val="-2"/>
          <w:szCs w:val="20"/>
        </w:rPr>
        <w:t>f</w:t>
      </w:r>
      <w:r w:rsidRPr="00C050B2">
        <w:rPr>
          <w:rFonts w:eastAsia="Arial" w:cs="Arial"/>
          <w:i/>
          <w:spacing w:val="1"/>
          <w:szCs w:val="20"/>
        </w:rPr>
        <w:t>o</w:t>
      </w:r>
      <w:r w:rsidRPr="00C050B2">
        <w:rPr>
          <w:rFonts w:eastAsia="Arial" w:cs="Arial"/>
          <w:i/>
          <w:szCs w:val="20"/>
        </w:rPr>
        <w:t>rm</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3"/>
          <w:szCs w:val="20"/>
        </w:rPr>
        <w:t>i</w:t>
      </w:r>
      <w:r w:rsidRPr="00C050B2">
        <w:rPr>
          <w:rFonts w:eastAsia="Arial" w:cs="Arial"/>
          <w:i/>
          <w:spacing w:val="1"/>
          <w:szCs w:val="20"/>
        </w:rPr>
        <w:t>o</w:t>
      </w:r>
      <w:r w:rsidRPr="00C050B2">
        <w:rPr>
          <w:rFonts w:eastAsia="Arial" w:cs="Arial"/>
          <w:i/>
          <w:szCs w:val="20"/>
        </w:rPr>
        <w:t>n</w:t>
      </w:r>
      <w:proofErr w:type="gramEnd"/>
      <w:r w:rsidRPr="00C050B2">
        <w:rPr>
          <w:rFonts w:eastAsia="Arial" w:cs="Arial"/>
          <w:i/>
          <w:szCs w:val="20"/>
        </w:rPr>
        <w:t xml:space="preserve"> </w:t>
      </w:r>
      <w:r w:rsidRPr="00C050B2">
        <w:rPr>
          <w:rFonts w:eastAsia="Arial" w:cs="Arial"/>
          <w:i/>
          <w:spacing w:val="1"/>
          <w:szCs w:val="20"/>
        </w:rPr>
        <w:t>an</w:t>
      </w:r>
      <w:r w:rsidRPr="00C050B2">
        <w:rPr>
          <w:rFonts w:eastAsia="Arial" w:cs="Arial"/>
          <w:i/>
          <w:szCs w:val="20"/>
        </w:rPr>
        <w:t>d c</w:t>
      </w:r>
      <w:r w:rsidRPr="00C050B2">
        <w:rPr>
          <w:rFonts w:eastAsia="Arial" w:cs="Arial"/>
          <w:i/>
          <w:spacing w:val="1"/>
          <w:szCs w:val="20"/>
        </w:rPr>
        <w:t>on</w:t>
      </w:r>
      <w:r w:rsidRPr="00C050B2">
        <w:rPr>
          <w:rFonts w:eastAsia="Arial" w:cs="Arial"/>
          <w:i/>
          <w:spacing w:val="-2"/>
          <w:szCs w:val="20"/>
        </w:rPr>
        <w:t>f</w:t>
      </w:r>
      <w:r w:rsidRPr="00C050B2">
        <w:rPr>
          <w:rFonts w:eastAsia="Arial" w:cs="Arial"/>
          <w:i/>
          <w:spacing w:val="1"/>
          <w:szCs w:val="20"/>
        </w:rPr>
        <w:t>igu</w:t>
      </w:r>
      <w:r w:rsidRPr="00C050B2">
        <w:rPr>
          <w:rFonts w:eastAsia="Arial" w:cs="Arial"/>
          <w:i/>
          <w:spacing w:val="-5"/>
          <w:szCs w:val="20"/>
        </w:rPr>
        <w:t>r</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1"/>
          <w:szCs w:val="20"/>
        </w:rPr>
        <w:t>io</w:t>
      </w:r>
      <w:r w:rsidRPr="00C050B2">
        <w:rPr>
          <w:rFonts w:eastAsia="Arial" w:cs="Arial"/>
          <w:i/>
          <w:szCs w:val="20"/>
        </w:rPr>
        <w:t xml:space="preserve">n </w:t>
      </w:r>
      <w:r w:rsidRPr="00C050B2">
        <w:rPr>
          <w:rFonts w:eastAsia="Arial" w:cs="Arial"/>
          <w:i/>
          <w:spacing w:val="1"/>
          <w:szCs w:val="20"/>
        </w:rPr>
        <w:t>de</w:t>
      </w:r>
      <w:r w:rsidRPr="00C050B2">
        <w:rPr>
          <w:rFonts w:eastAsia="Arial" w:cs="Arial"/>
          <w:i/>
          <w:spacing w:val="-2"/>
          <w:szCs w:val="20"/>
        </w:rPr>
        <w:t>t</w:t>
      </w:r>
      <w:r w:rsidRPr="00C050B2">
        <w:rPr>
          <w:rFonts w:eastAsia="Arial" w:cs="Arial"/>
          <w:i/>
          <w:spacing w:val="-3"/>
          <w:szCs w:val="20"/>
        </w:rPr>
        <w:t>a</w:t>
      </w:r>
      <w:r w:rsidRPr="00C050B2">
        <w:rPr>
          <w:rFonts w:eastAsia="Arial" w:cs="Arial"/>
          <w:i/>
          <w:spacing w:val="1"/>
          <w:szCs w:val="20"/>
        </w:rPr>
        <w:t>il</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w</w:t>
      </w:r>
      <w:r w:rsidRPr="00C050B2">
        <w:rPr>
          <w:rFonts w:eastAsia="Arial" w:cs="Arial"/>
          <w:i/>
          <w:spacing w:val="-3"/>
          <w:szCs w:val="20"/>
        </w:rPr>
        <w:t>h</w:t>
      </w:r>
      <w:r w:rsidRPr="00C050B2">
        <w:rPr>
          <w:rFonts w:eastAsia="Arial" w:cs="Arial"/>
          <w:i/>
          <w:spacing w:val="1"/>
          <w:szCs w:val="20"/>
        </w:rPr>
        <w:t>e</w:t>
      </w:r>
      <w:r w:rsidRPr="00C050B2">
        <w:rPr>
          <w:rFonts w:eastAsia="Arial" w:cs="Arial"/>
          <w:i/>
          <w:szCs w:val="20"/>
        </w:rPr>
        <w:t>re r</w:t>
      </w:r>
      <w:r w:rsidRPr="00C050B2">
        <w:rPr>
          <w:rFonts w:eastAsia="Arial" w:cs="Arial"/>
          <w:i/>
          <w:spacing w:val="1"/>
          <w:szCs w:val="20"/>
        </w:rPr>
        <w:t>e</w:t>
      </w:r>
      <w:r w:rsidRPr="00C050B2">
        <w:rPr>
          <w:rFonts w:eastAsia="Arial" w:cs="Arial"/>
          <w:i/>
          <w:spacing w:val="-3"/>
          <w:szCs w:val="20"/>
        </w:rPr>
        <w:t>l</w:t>
      </w:r>
      <w:r w:rsidRPr="00C050B2">
        <w:rPr>
          <w:rFonts w:eastAsia="Arial" w:cs="Arial"/>
          <w:i/>
          <w:spacing w:val="1"/>
          <w:szCs w:val="20"/>
        </w:rPr>
        <w:t>e</w:t>
      </w:r>
      <w:r w:rsidRPr="00C050B2">
        <w:rPr>
          <w:rFonts w:eastAsia="Arial" w:cs="Arial"/>
          <w:i/>
          <w:szCs w:val="20"/>
        </w:rPr>
        <w:t>v</w:t>
      </w:r>
      <w:r w:rsidRPr="00C050B2">
        <w:rPr>
          <w:rFonts w:eastAsia="Arial" w:cs="Arial"/>
          <w:i/>
          <w:spacing w:val="1"/>
          <w:szCs w:val="20"/>
        </w:rPr>
        <w:t>an</w:t>
      </w:r>
      <w:r w:rsidRPr="00C050B2">
        <w:rPr>
          <w:rFonts w:eastAsia="Arial" w:cs="Arial"/>
          <w:i/>
          <w:spacing w:val="-2"/>
          <w:szCs w:val="20"/>
        </w:rPr>
        <w:t>t</w:t>
      </w:r>
      <w:r w:rsidRPr="00C050B2">
        <w:rPr>
          <w:rFonts w:eastAsia="Arial" w:cs="Arial"/>
          <w:i/>
          <w:szCs w:val="20"/>
        </w:rPr>
        <w:t>,</w:t>
      </w:r>
      <w:r w:rsidRPr="00C050B2">
        <w:rPr>
          <w:rFonts w:eastAsia="Arial" w:cs="Arial"/>
          <w:i/>
          <w:spacing w:val="-3"/>
          <w:szCs w:val="20"/>
        </w:rPr>
        <w:t xml:space="preserve"> </w:t>
      </w:r>
      <w:r w:rsidRPr="00C050B2">
        <w:rPr>
          <w:rFonts w:eastAsia="Arial" w:cs="Arial"/>
          <w:i/>
          <w:spacing w:val="1"/>
          <w:szCs w:val="20"/>
        </w:rPr>
        <w:t>an</w:t>
      </w:r>
      <w:r w:rsidRPr="00C050B2">
        <w:rPr>
          <w:rFonts w:eastAsia="Arial" w:cs="Arial"/>
          <w:i/>
          <w:szCs w:val="20"/>
        </w:rPr>
        <w:t xml:space="preserve">d </w:t>
      </w:r>
      <w:r w:rsidRPr="00C050B2">
        <w:rPr>
          <w:rFonts w:eastAsia="Arial" w:cs="Arial"/>
          <w:i/>
          <w:spacing w:val="1"/>
          <w:szCs w:val="20"/>
        </w:rPr>
        <w:t>a</w:t>
      </w:r>
      <w:r w:rsidRPr="00C050B2">
        <w:rPr>
          <w:rFonts w:eastAsia="Arial" w:cs="Arial"/>
          <w:i/>
          <w:szCs w:val="20"/>
        </w:rPr>
        <w:t xml:space="preserve">n </w:t>
      </w:r>
      <w:r w:rsidRPr="00C050B2">
        <w:rPr>
          <w:rFonts w:eastAsia="Arial" w:cs="Arial"/>
          <w:i/>
          <w:spacing w:val="1"/>
          <w:szCs w:val="20"/>
        </w:rPr>
        <w:t>a</w:t>
      </w:r>
      <w:r w:rsidRPr="00C050B2">
        <w:rPr>
          <w:rFonts w:eastAsia="Arial" w:cs="Arial"/>
          <w:i/>
          <w:szCs w:val="20"/>
        </w:rPr>
        <w:t>s</w:t>
      </w:r>
      <w:r w:rsidRPr="00C050B2">
        <w:rPr>
          <w:rFonts w:eastAsia="Arial" w:cs="Arial"/>
          <w:i/>
          <w:spacing w:val="-5"/>
          <w:szCs w:val="20"/>
        </w:rPr>
        <w:t>s</w:t>
      </w:r>
      <w:r w:rsidRPr="00C050B2">
        <w:rPr>
          <w:rFonts w:eastAsia="Arial" w:cs="Arial"/>
          <w:i/>
          <w:spacing w:val="1"/>
          <w:szCs w:val="20"/>
        </w:rPr>
        <w:t>e</w:t>
      </w:r>
      <w:r w:rsidRPr="00C050B2">
        <w:rPr>
          <w:rFonts w:eastAsia="Arial" w:cs="Arial"/>
          <w:i/>
          <w:szCs w:val="20"/>
        </w:rPr>
        <w:t>ssm</w:t>
      </w:r>
      <w:r w:rsidRPr="00C050B2">
        <w:rPr>
          <w:rFonts w:eastAsia="Arial" w:cs="Arial"/>
          <w:i/>
          <w:spacing w:val="1"/>
          <w:szCs w:val="20"/>
        </w:rPr>
        <w:t>en</w:t>
      </w:r>
      <w:r w:rsidRPr="00C050B2">
        <w:rPr>
          <w:rFonts w:eastAsia="Arial" w:cs="Arial"/>
          <w:i/>
          <w:szCs w:val="20"/>
        </w:rPr>
        <w:t>t</w:t>
      </w:r>
      <w:r w:rsidRPr="00C050B2">
        <w:rPr>
          <w:rFonts w:eastAsia="Arial" w:cs="Arial"/>
          <w:i/>
          <w:spacing w:val="-3"/>
          <w:szCs w:val="20"/>
        </w:rPr>
        <w:t xml:space="preserve">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i</w:t>
      </w:r>
      <w:r w:rsidRPr="00C050B2">
        <w:rPr>
          <w:rFonts w:eastAsia="Arial" w:cs="Arial"/>
          <w:i/>
          <w:szCs w:val="20"/>
        </w:rPr>
        <w:t>m</w:t>
      </w:r>
      <w:r w:rsidRPr="00C050B2">
        <w:rPr>
          <w:rFonts w:eastAsia="Arial" w:cs="Arial"/>
          <w:i/>
          <w:spacing w:val="1"/>
          <w:szCs w:val="20"/>
        </w:rPr>
        <w:t>ple</w:t>
      </w:r>
      <w:r w:rsidRPr="00C050B2">
        <w:rPr>
          <w:rFonts w:eastAsia="Arial" w:cs="Arial"/>
          <w:i/>
          <w:szCs w:val="20"/>
        </w:rPr>
        <w:t>m</w:t>
      </w:r>
      <w:r w:rsidRPr="00C050B2">
        <w:rPr>
          <w:rFonts w:eastAsia="Arial" w:cs="Arial"/>
          <w:i/>
          <w:spacing w:val="-3"/>
          <w:szCs w:val="20"/>
        </w:rPr>
        <w:t>e</w:t>
      </w:r>
      <w:r w:rsidRPr="00C050B2">
        <w:rPr>
          <w:rFonts w:eastAsia="Arial" w:cs="Arial"/>
          <w:i/>
          <w:spacing w:val="1"/>
          <w:szCs w:val="20"/>
        </w:rPr>
        <w:t>n</w:t>
      </w:r>
      <w:r w:rsidRPr="00C050B2">
        <w:rPr>
          <w:rFonts w:eastAsia="Arial" w:cs="Arial"/>
          <w:i/>
          <w:spacing w:val="-2"/>
          <w:szCs w:val="20"/>
        </w:rPr>
        <w:t>t</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1"/>
          <w:szCs w:val="20"/>
        </w:rPr>
        <w:t>io</w:t>
      </w:r>
      <w:r w:rsidRPr="00C050B2">
        <w:rPr>
          <w:rFonts w:eastAsia="Arial" w:cs="Arial"/>
          <w:i/>
          <w:szCs w:val="20"/>
        </w:rPr>
        <w:t>n s</w:t>
      </w:r>
      <w:r w:rsidRPr="00C050B2">
        <w:rPr>
          <w:rFonts w:eastAsia="Arial" w:cs="Arial"/>
          <w:i/>
          <w:spacing w:val="-2"/>
          <w:szCs w:val="20"/>
        </w:rPr>
        <w:t>t</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1"/>
          <w:szCs w:val="20"/>
        </w:rPr>
        <w:t>u</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o</w:t>
      </w:r>
      <w:r w:rsidRPr="00C050B2">
        <w:rPr>
          <w:rFonts w:eastAsia="Arial" w:cs="Arial"/>
          <w:i/>
          <w:spacing w:val="-2"/>
          <w:szCs w:val="20"/>
        </w:rPr>
        <w:t>f</w:t>
      </w:r>
      <w:r w:rsidRPr="00C050B2">
        <w:rPr>
          <w:rFonts w:eastAsia="Arial" w:cs="Arial"/>
          <w:i/>
          <w:szCs w:val="20"/>
        </w:rPr>
        <w:t>,</w:t>
      </w:r>
      <w:r w:rsidRPr="00C050B2">
        <w:rPr>
          <w:rFonts w:eastAsia="Arial" w:cs="Arial"/>
          <w:i/>
          <w:spacing w:val="-3"/>
          <w:szCs w:val="20"/>
        </w:rPr>
        <w:t xml:space="preserve"> </w:t>
      </w:r>
      <w:r w:rsidRPr="00C050B2">
        <w:rPr>
          <w:rFonts w:eastAsia="Arial" w:cs="Arial"/>
          <w:i/>
          <w:spacing w:val="1"/>
          <w:szCs w:val="20"/>
        </w:rPr>
        <w:t>an</w:t>
      </w:r>
      <w:r w:rsidRPr="00C050B2">
        <w:rPr>
          <w:rFonts w:eastAsia="Arial" w:cs="Arial"/>
          <w:i/>
          <w:szCs w:val="20"/>
        </w:rPr>
        <w:t xml:space="preserve">d </w:t>
      </w:r>
      <w:r w:rsidRPr="00C050B2">
        <w:rPr>
          <w:rFonts w:eastAsia="Arial" w:cs="Arial"/>
          <w:i/>
          <w:spacing w:val="1"/>
          <w:szCs w:val="20"/>
        </w:rPr>
        <w:t>a</w:t>
      </w:r>
      <w:r w:rsidRPr="00C050B2">
        <w:rPr>
          <w:rFonts w:eastAsia="Arial" w:cs="Arial"/>
          <w:i/>
          <w:szCs w:val="20"/>
        </w:rPr>
        <w:t>ss</w:t>
      </w:r>
      <w:r w:rsidRPr="00C050B2">
        <w:rPr>
          <w:rFonts w:eastAsia="Arial" w:cs="Arial"/>
          <w:i/>
          <w:spacing w:val="1"/>
          <w:szCs w:val="20"/>
        </w:rPr>
        <w:t>u</w:t>
      </w:r>
      <w:r w:rsidRPr="00C050B2">
        <w:rPr>
          <w:rFonts w:eastAsia="Arial" w:cs="Arial"/>
          <w:i/>
          <w:szCs w:val="20"/>
        </w:rPr>
        <w:t>r</w:t>
      </w:r>
      <w:r w:rsidRPr="00C050B2">
        <w:rPr>
          <w:rFonts w:eastAsia="Arial" w:cs="Arial"/>
          <w:i/>
          <w:spacing w:val="1"/>
          <w:szCs w:val="20"/>
        </w:rPr>
        <w:t>an</w:t>
      </w:r>
      <w:r w:rsidRPr="00C050B2">
        <w:rPr>
          <w:rFonts w:eastAsia="Arial" w:cs="Arial"/>
          <w:i/>
          <w:szCs w:val="20"/>
        </w:rPr>
        <w:t xml:space="preserve">ce </w:t>
      </w:r>
      <w:r w:rsidRPr="00C050B2">
        <w:rPr>
          <w:rFonts w:eastAsia="Arial" w:cs="Arial"/>
          <w:i/>
          <w:spacing w:val="1"/>
          <w:szCs w:val="20"/>
        </w:rPr>
        <w:t>in</w:t>
      </w:r>
      <w:r w:rsidRPr="00C050B2">
        <w:rPr>
          <w:rFonts w:eastAsia="Arial" w:cs="Arial"/>
          <w:i/>
          <w:szCs w:val="20"/>
        </w:rPr>
        <w:t>,</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c</w:t>
      </w:r>
      <w:r w:rsidRPr="00C050B2">
        <w:rPr>
          <w:rFonts w:eastAsia="Arial" w:cs="Arial"/>
          <w:i/>
          <w:spacing w:val="1"/>
          <w:szCs w:val="20"/>
        </w:rPr>
        <w:t>on</w:t>
      </w:r>
      <w:r w:rsidRPr="00C050B2">
        <w:rPr>
          <w:rFonts w:eastAsia="Arial" w:cs="Arial"/>
          <w:i/>
          <w:spacing w:val="-2"/>
          <w:szCs w:val="20"/>
        </w:rPr>
        <w:t>t</w:t>
      </w:r>
      <w:r w:rsidRPr="00C050B2">
        <w:rPr>
          <w:rFonts w:eastAsia="Arial" w:cs="Arial"/>
          <w:i/>
          <w:szCs w:val="20"/>
        </w:rPr>
        <w:t>r</w:t>
      </w:r>
      <w:r w:rsidRPr="00C050B2">
        <w:rPr>
          <w:rFonts w:eastAsia="Arial" w:cs="Arial"/>
          <w:i/>
          <w:spacing w:val="-3"/>
          <w:szCs w:val="20"/>
        </w:rPr>
        <w:t>o</w:t>
      </w:r>
      <w:r w:rsidRPr="00C050B2">
        <w:rPr>
          <w:rFonts w:eastAsia="Arial" w:cs="Arial"/>
          <w:i/>
          <w:spacing w:val="1"/>
          <w:szCs w:val="20"/>
        </w:rPr>
        <w:t>l</w:t>
      </w:r>
      <w:r w:rsidRPr="00C050B2">
        <w:rPr>
          <w:rFonts w:eastAsia="Arial" w:cs="Arial"/>
          <w:i/>
          <w:szCs w:val="20"/>
        </w:rPr>
        <w:t>.</w:t>
      </w:r>
      <w:r w:rsidRPr="00C050B2">
        <w:rPr>
          <w:rFonts w:eastAsia="Arial" w:cs="Arial"/>
          <w:i/>
          <w:spacing w:val="-3"/>
          <w:szCs w:val="20"/>
        </w:rPr>
        <w:t xml:space="preserve"> </w:t>
      </w:r>
      <w:r w:rsidRPr="00C050B2">
        <w:rPr>
          <w:rFonts w:eastAsia="Arial" w:cs="Arial"/>
          <w:i/>
          <w:szCs w:val="20"/>
        </w:rPr>
        <w:t>A</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a</w:t>
      </w:r>
      <w:r w:rsidRPr="00C050B2">
        <w:rPr>
          <w:rFonts w:eastAsia="Arial" w:cs="Arial"/>
          <w:i/>
          <w:szCs w:val="20"/>
        </w:rPr>
        <w:t>m</w:t>
      </w:r>
      <w:r w:rsidRPr="00C050B2">
        <w:rPr>
          <w:rFonts w:eastAsia="Arial" w:cs="Arial"/>
          <w:i/>
          <w:spacing w:val="1"/>
          <w:szCs w:val="20"/>
        </w:rPr>
        <w:t>pl</w:t>
      </w:r>
      <w:r w:rsidRPr="00C050B2">
        <w:rPr>
          <w:rFonts w:eastAsia="Arial" w:cs="Arial"/>
          <w:i/>
          <w:szCs w:val="20"/>
        </w:rPr>
        <w:t xml:space="preserve">e </w:t>
      </w:r>
      <w:r w:rsidRPr="00C050B2">
        <w:rPr>
          <w:rFonts w:eastAsia="Arial" w:cs="Arial"/>
          <w:i/>
          <w:spacing w:val="1"/>
          <w:szCs w:val="20"/>
        </w:rPr>
        <w:t>la</w:t>
      </w:r>
      <w:r w:rsidRPr="00C050B2">
        <w:rPr>
          <w:rFonts w:eastAsia="Arial" w:cs="Arial"/>
          <w:i/>
          <w:szCs w:val="20"/>
        </w:rPr>
        <w:t>y</w:t>
      </w:r>
      <w:r w:rsidRPr="00C050B2">
        <w:rPr>
          <w:rFonts w:eastAsia="Arial" w:cs="Arial"/>
          <w:i/>
          <w:spacing w:val="-3"/>
          <w:szCs w:val="20"/>
        </w:rPr>
        <w:t>o</w:t>
      </w:r>
      <w:r w:rsidRPr="00C050B2">
        <w:rPr>
          <w:rFonts w:eastAsia="Arial" w:cs="Arial"/>
          <w:i/>
          <w:spacing w:val="1"/>
          <w:szCs w:val="20"/>
        </w:rPr>
        <w:t>u</w:t>
      </w:r>
      <w:r w:rsidRPr="00C050B2">
        <w:rPr>
          <w:rFonts w:eastAsia="Arial" w:cs="Arial"/>
          <w:i/>
          <w:szCs w:val="20"/>
        </w:rPr>
        <w:t>t</w:t>
      </w:r>
      <w:r w:rsidRPr="00C050B2">
        <w:rPr>
          <w:rFonts w:eastAsia="Arial" w:cs="Arial"/>
          <w:i/>
          <w:spacing w:val="-3"/>
          <w:szCs w:val="20"/>
        </w:rPr>
        <w:t xml:space="preserve"> </w:t>
      </w:r>
      <w:r w:rsidRPr="00C050B2">
        <w:rPr>
          <w:rFonts w:eastAsia="Arial" w:cs="Arial"/>
          <w:i/>
          <w:spacing w:val="1"/>
          <w:szCs w:val="20"/>
        </w:rPr>
        <w:t>i</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in</w:t>
      </w:r>
      <w:r w:rsidRPr="00C050B2">
        <w:rPr>
          <w:rFonts w:eastAsia="Arial" w:cs="Arial"/>
          <w:i/>
          <w:szCs w:val="20"/>
        </w:rPr>
        <w:t>c</w:t>
      </w:r>
      <w:r w:rsidRPr="00C050B2">
        <w:rPr>
          <w:rFonts w:eastAsia="Arial" w:cs="Arial"/>
          <w:i/>
          <w:spacing w:val="1"/>
          <w:szCs w:val="20"/>
        </w:rPr>
        <w:t>lu</w:t>
      </w:r>
      <w:r w:rsidRPr="00C050B2">
        <w:rPr>
          <w:rFonts w:eastAsia="Arial" w:cs="Arial"/>
          <w:i/>
          <w:spacing w:val="-3"/>
          <w:szCs w:val="20"/>
        </w:rPr>
        <w:t>d</w:t>
      </w:r>
      <w:r w:rsidRPr="00C050B2">
        <w:rPr>
          <w:rFonts w:eastAsia="Arial" w:cs="Arial"/>
          <w:i/>
          <w:spacing w:val="1"/>
          <w:szCs w:val="20"/>
        </w:rPr>
        <w:t>e</w:t>
      </w:r>
      <w:r w:rsidRPr="00C050B2">
        <w:rPr>
          <w:rFonts w:eastAsia="Arial" w:cs="Arial"/>
          <w:i/>
          <w:szCs w:val="20"/>
        </w:rPr>
        <w:t xml:space="preserve">d </w:t>
      </w:r>
      <w:r w:rsidRPr="00C050B2">
        <w:rPr>
          <w:rFonts w:eastAsia="Arial" w:cs="Arial"/>
          <w:i/>
          <w:spacing w:val="1"/>
          <w:szCs w:val="20"/>
        </w:rPr>
        <w:t>b</w:t>
      </w:r>
      <w:r w:rsidRPr="00C050B2">
        <w:rPr>
          <w:rFonts w:eastAsia="Arial" w:cs="Arial"/>
          <w:i/>
          <w:spacing w:val="-3"/>
          <w:szCs w:val="20"/>
        </w:rPr>
        <w:t>e</w:t>
      </w:r>
      <w:r w:rsidRPr="00C050B2">
        <w:rPr>
          <w:rFonts w:eastAsia="Arial" w:cs="Arial"/>
          <w:i/>
          <w:spacing w:val="1"/>
          <w:szCs w:val="20"/>
        </w:rPr>
        <w:t>low</w:t>
      </w:r>
      <w:r w:rsidRPr="00C050B2">
        <w:rPr>
          <w:rFonts w:eastAsia="Arial" w:cs="Arial"/>
          <w:i/>
          <w:spacing w:val="7"/>
          <w:szCs w:val="20"/>
        </w:rPr>
        <w:t>.</w:t>
      </w:r>
      <w:r w:rsidRPr="00C050B2">
        <w:rPr>
          <w:rFonts w:eastAsia="Arial" w:cs="Arial"/>
          <w:i/>
          <w:szCs w:val="20"/>
        </w:rPr>
        <w:t>&gt;</w:t>
      </w:r>
    </w:p>
    <w:tbl>
      <w:tblPr>
        <w:tblStyle w:val="TableGrid0"/>
        <w:tblW w:w="0" w:type="auto"/>
        <w:tblLook w:val="04A0" w:firstRow="1" w:lastRow="0" w:firstColumn="1" w:lastColumn="0" w:noHBand="0" w:noVBand="1"/>
      </w:tblPr>
      <w:tblGrid>
        <w:gridCol w:w="583"/>
        <w:gridCol w:w="1909"/>
        <w:gridCol w:w="4258"/>
        <w:gridCol w:w="2266"/>
      </w:tblGrid>
      <w:tr w:rsidR="00C1793C" w:rsidRPr="00E732B7" w14:paraId="62E8F13E" w14:textId="77777777" w:rsidTr="00C1793C">
        <w:tc>
          <w:tcPr>
            <w:tcW w:w="583" w:type="dxa"/>
            <w:shd w:val="clear" w:color="auto" w:fill="DEEAF6" w:themeFill="accent1" w:themeFillTint="33"/>
          </w:tcPr>
          <w:p w14:paraId="4626549A" w14:textId="77777777" w:rsidR="00C1793C" w:rsidRPr="00E732B7" w:rsidRDefault="00C1793C" w:rsidP="00C1793C">
            <w:pPr>
              <w:spacing w:before="8" w:line="200" w:lineRule="exact"/>
              <w:rPr>
                <w:rFonts w:ascii="Arial" w:hAnsi="Arial" w:cs="Arial"/>
                <w:b/>
                <w:bCs/>
                <w:sz w:val="20"/>
                <w:szCs w:val="20"/>
              </w:rPr>
            </w:pPr>
            <w:r w:rsidRPr="00E732B7">
              <w:rPr>
                <w:rFonts w:ascii="Arial" w:hAnsi="Arial" w:cs="Arial"/>
                <w:b/>
                <w:bCs/>
                <w:sz w:val="20"/>
                <w:szCs w:val="20"/>
              </w:rPr>
              <w:t>ID</w:t>
            </w:r>
          </w:p>
        </w:tc>
        <w:tc>
          <w:tcPr>
            <w:tcW w:w="1909" w:type="dxa"/>
            <w:shd w:val="clear" w:color="auto" w:fill="DEEAF6" w:themeFill="accent1" w:themeFillTint="33"/>
          </w:tcPr>
          <w:p w14:paraId="47888544" w14:textId="77777777" w:rsidR="00C1793C" w:rsidRPr="00E732B7" w:rsidRDefault="00C1793C" w:rsidP="00E732B7">
            <w:pPr>
              <w:spacing w:before="8" w:line="200" w:lineRule="exact"/>
              <w:jc w:val="center"/>
              <w:rPr>
                <w:rFonts w:ascii="Arial" w:hAnsi="Arial" w:cs="Arial"/>
                <w:b/>
                <w:bCs/>
                <w:sz w:val="20"/>
                <w:szCs w:val="20"/>
              </w:rPr>
            </w:pPr>
            <w:r w:rsidRPr="00E732B7">
              <w:rPr>
                <w:rFonts w:ascii="Arial" w:hAnsi="Arial" w:cs="Arial"/>
                <w:b/>
                <w:bCs/>
                <w:sz w:val="20"/>
                <w:szCs w:val="20"/>
              </w:rPr>
              <w:t>Control title</w:t>
            </w:r>
          </w:p>
        </w:tc>
        <w:tc>
          <w:tcPr>
            <w:tcW w:w="4258" w:type="dxa"/>
            <w:shd w:val="clear" w:color="auto" w:fill="DEEAF6" w:themeFill="accent1" w:themeFillTint="33"/>
          </w:tcPr>
          <w:p w14:paraId="5B6D5C11" w14:textId="77777777" w:rsidR="00C1793C" w:rsidRPr="00E732B7" w:rsidRDefault="00C1793C" w:rsidP="00E732B7">
            <w:pPr>
              <w:spacing w:before="8" w:line="200" w:lineRule="exact"/>
              <w:jc w:val="center"/>
              <w:rPr>
                <w:rFonts w:ascii="Arial" w:hAnsi="Arial" w:cs="Arial"/>
                <w:b/>
                <w:bCs/>
                <w:sz w:val="20"/>
                <w:szCs w:val="20"/>
              </w:rPr>
            </w:pPr>
            <w:r w:rsidRPr="00E732B7">
              <w:rPr>
                <w:rFonts w:ascii="Arial" w:hAnsi="Arial" w:cs="Arial"/>
                <w:b/>
                <w:bCs/>
                <w:sz w:val="20"/>
                <w:szCs w:val="20"/>
              </w:rPr>
              <w:t>Control description</w:t>
            </w:r>
          </w:p>
        </w:tc>
        <w:tc>
          <w:tcPr>
            <w:tcW w:w="2266" w:type="dxa"/>
            <w:shd w:val="clear" w:color="auto" w:fill="DEEAF6" w:themeFill="accent1" w:themeFillTint="33"/>
          </w:tcPr>
          <w:p w14:paraId="0D71D444" w14:textId="77777777" w:rsidR="00C1793C" w:rsidRPr="00E732B7" w:rsidRDefault="00C1793C" w:rsidP="00E732B7">
            <w:pPr>
              <w:spacing w:before="8" w:line="200" w:lineRule="exact"/>
              <w:ind w:left="0" w:firstLine="0"/>
              <w:jc w:val="center"/>
              <w:rPr>
                <w:rFonts w:ascii="Arial" w:hAnsi="Arial" w:cs="Arial"/>
                <w:b/>
                <w:bCs/>
                <w:sz w:val="20"/>
                <w:szCs w:val="20"/>
              </w:rPr>
            </w:pPr>
            <w:r w:rsidRPr="00E732B7">
              <w:rPr>
                <w:rFonts w:ascii="Arial" w:hAnsi="Arial" w:cs="Arial"/>
                <w:b/>
                <w:bCs/>
                <w:sz w:val="20"/>
                <w:szCs w:val="20"/>
              </w:rPr>
              <w:t>Further information and assurance status</w:t>
            </w:r>
          </w:p>
        </w:tc>
      </w:tr>
      <w:tr w:rsidR="00C1793C" w:rsidRPr="00E732B7" w14:paraId="2F164F45" w14:textId="77777777" w:rsidTr="00C1793C">
        <w:tc>
          <w:tcPr>
            <w:tcW w:w="583" w:type="dxa"/>
          </w:tcPr>
          <w:p w14:paraId="1D7BCEBD" w14:textId="77777777" w:rsidR="00C1793C" w:rsidRPr="00E732B7" w:rsidRDefault="00C1793C" w:rsidP="00C1793C">
            <w:pPr>
              <w:spacing w:before="8" w:line="200" w:lineRule="exact"/>
              <w:rPr>
                <w:rFonts w:ascii="Arial" w:hAnsi="Arial" w:cs="Arial"/>
                <w:sz w:val="20"/>
                <w:szCs w:val="20"/>
              </w:rPr>
            </w:pPr>
            <w:r w:rsidRPr="00E732B7">
              <w:rPr>
                <w:rFonts w:ascii="Arial" w:hAnsi="Arial" w:cs="Arial"/>
                <w:sz w:val="20"/>
                <w:szCs w:val="20"/>
              </w:rPr>
              <w:t>C1</w:t>
            </w:r>
          </w:p>
        </w:tc>
        <w:tc>
          <w:tcPr>
            <w:tcW w:w="1909" w:type="dxa"/>
          </w:tcPr>
          <w:p w14:paraId="31B6DBC3" w14:textId="77777777" w:rsidR="00C1793C" w:rsidRPr="00E732B7" w:rsidRDefault="00C1793C" w:rsidP="00E732B7">
            <w:pPr>
              <w:spacing w:before="8" w:line="200" w:lineRule="exact"/>
              <w:ind w:left="20" w:hanging="20"/>
              <w:jc w:val="left"/>
              <w:rPr>
                <w:rFonts w:ascii="Arial" w:hAnsi="Arial" w:cs="Arial"/>
                <w:sz w:val="20"/>
                <w:szCs w:val="20"/>
              </w:rPr>
            </w:pPr>
            <w:r w:rsidRPr="00E732B7">
              <w:rPr>
                <w:rFonts w:ascii="Arial" w:hAnsi="Arial" w:cs="Arial"/>
                <w:sz w:val="20"/>
                <w:szCs w:val="20"/>
              </w:rPr>
              <w:t>Internet-facing firewalls</w:t>
            </w:r>
          </w:p>
        </w:tc>
        <w:tc>
          <w:tcPr>
            <w:tcW w:w="4258" w:type="dxa"/>
          </w:tcPr>
          <w:p w14:paraId="4F199D08" w14:textId="77777777" w:rsidR="00C1793C" w:rsidRPr="00E732B7" w:rsidRDefault="00C1793C" w:rsidP="00E732B7">
            <w:pPr>
              <w:spacing w:before="8" w:line="200" w:lineRule="exact"/>
              <w:ind w:left="0" w:firstLine="0"/>
              <w:jc w:val="left"/>
              <w:rPr>
                <w:rFonts w:ascii="Arial" w:hAnsi="Arial" w:cs="Arial"/>
                <w:sz w:val="20"/>
                <w:szCs w:val="20"/>
              </w:rPr>
            </w:pPr>
            <w:r w:rsidRPr="00E732B7">
              <w:rPr>
                <w:rFonts w:ascii="Arial" w:hAnsi="Arial" w:cs="Arial"/>
                <w:sz w:val="20"/>
                <w:szCs w:val="20"/>
              </w:rPr>
              <w:t>Internet-facing firewalls are in place between the internet and the system, which restrict access from the internet to the required ports only.</w:t>
            </w:r>
          </w:p>
        </w:tc>
        <w:tc>
          <w:tcPr>
            <w:tcW w:w="2266" w:type="dxa"/>
          </w:tcPr>
          <w:p w14:paraId="24AA29E7" w14:textId="77777777" w:rsidR="00C1793C" w:rsidRPr="00E732B7" w:rsidRDefault="00C1793C" w:rsidP="00E732B7">
            <w:pPr>
              <w:spacing w:before="8" w:line="200" w:lineRule="exact"/>
              <w:ind w:left="0" w:firstLine="0"/>
              <w:jc w:val="left"/>
              <w:rPr>
                <w:rFonts w:ascii="Arial" w:hAnsi="Arial" w:cs="Arial"/>
                <w:sz w:val="20"/>
                <w:szCs w:val="20"/>
              </w:rPr>
            </w:pPr>
            <w:r w:rsidRPr="00E732B7">
              <w:rPr>
                <w:rFonts w:ascii="Arial" w:hAnsi="Arial" w:cs="Arial"/>
                <w:sz w:val="20"/>
                <w:szCs w:val="20"/>
              </w:rPr>
              <w:t>Assured via ITHC firewall rule check.</w:t>
            </w:r>
          </w:p>
        </w:tc>
      </w:tr>
      <w:tr w:rsidR="00C1793C" w:rsidRPr="00E732B7" w14:paraId="47234186" w14:textId="77777777" w:rsidTr="00C1793C">
        <w:tc>
          <w:tcPr>
            <w:tcW w:w="583" w:type="dxa"/>
          </w:tcPr>
          <w:p w14:paraId="05EBE76E" w14:textId="77777777" w:rsidR="00C1793C" w:rsidRPr="00E732B7" w:rsidRDefault="00C1793C" w:rsidP="00C1793C">
            <w:pPr>
              <w:spacing w:before="8" w:line="200" w:lineRule="exact"/>
              <w:rPr>
                <w:rFonts w:ascii="Arial" w:hAnsi="Arial" w:cs="Arial"/>
                <w:sz w:val="20"/>
                <w:szCs w:val="20"/>
              </w:rPr>
            </w:pPr>
            <w:r w:rsidRPr="00E732B7">
              <w:rPr>
                <w:rFonts w:ascii="Arial" w:hAnsi="Arial" w:cs="Arial"/>
                <w:sz w:val="20"/>
                <w:szCs w:val="20"/>
              </w:rPr>
              <w:t>C2</w:t>
            </w:r>
          </w:p>
        </w:tc>
        <w:tc>
          <w:tcPr>
            <w:tcW w:w="1909" w:type="dxa"/>
          </w:tcPr>
          <w:p w14:paraId="461A26E0" w14:textId="77777777" w:rsidR="00C1793C" w:rsidRPr="00E732B7" w:rsidRDefault="00C1793C" w:rsidP="00E732B7">
            <w:pPr>
              <w:spacing w:before="8" w:line="200" w:lineRule="exact"/>
              <w:ind w:left="20" w:hanging="20"/>
              <w:jc w:val="left"/>
              <w:rPr>
                <w:rFonts w:ascii="Arial" w:hAnsi="Arial" w:cs="Arial"/>
                <w:sz w:val="20"/>
                <w:szCs w:val="20"/>
              </w:rPr>
            </w:pPr>
            <w:r w:rsidRPr="00E732B7">
              <w:rPr>
                <w:rFonts w:ascii="Arial" w:hAnsi="Arial" w:cs="Arial"/>
                <w:sz w:val="20"/>
                <w:szCs w:val="20"/>
              </w:rPr>
              <w:t>Internet-facing IP whitelist</w:t>
            </w:r>
          </w:p>
        </w:tc>
        <w:tc>
          <w:tcPr>
            <w:tcW w:w="4258" w:type="dxa"/>
          </w:tcPr>
          <w:p w14:paraId="745236E3" w14:textId="77777777" w:rsidR="00C1793C" w:rsidRPr="00E732B7" w:rsidRDefault="00C1793C" w:rsidP="00E732B7">
            <w:pPr>
              <w:spacing w:before="8" w:line="200" w:lineRule="exact"/>
              <w:ind w:left="0" w:firstLine="0"/>
              <w:jc w:val="left"/>
              <w:rPr>
                <w:rFonts w:ascii="Arial" w:hAnsi="Arial" w:cs="Arial"/>
                <w:sz w:val="20"/>
                <w:szCs w:val="20"/>
              </w:rPr>
            </w:pPr>
            <w:r w:rsidRPr="00E732B7">
              <w:rPr>
                <w:rFonts w:ascii="Arial" w:hAnsi="Arial" w:cs="Arial"/>
                <w:sz w:val="20"/>
                <w:szCs w:val="20"/>
              </w:rPr>
              <w:t>An IP whitelist is in place for all access from the internet</w:t>
            </w:r>
          </w:p>
        </w:tc>
        <w:tc>
          <w:tcPr>
            <w:tcW w:w="2266" w:type="dxa"/>
          </w:tcPr>
          <w:p w14:paraId="1110A8AA" w14:textId="77777777" w:rsidR="00C1793C" w:rsidRPr="00E732B7" w:rsidRDefault="00C1793C" w:rsidP="00E732B7">
            <w:pPr>
              <w:spacing w:before="8" w:line="200" w:lineRule="exact"/>
              <w:ind w:left="0" w:firstLine="0"/>
              <w:jc w:val="left"/>
              <w:rPr>
                <w:rFonts w:ascii="Arial" w:hAnsi="Arial" w:cs="Arial"/>
                <w:sz w:val="20"/>
                <w:szCs w:val="20"/>
              </w:rPr>
            </w:pPr>
            <w:r w:rsidRPr="00E732B7">
              <w:rPr>
                <w:rFonts w:ascii="Arial" w:hAnsi="Arial" w:cs="Arial"/>
                <w:sz w:val="20"/>
                <w:szCs w:val="20"/>
              </w:rPr>
              <w:t>Assured via ITHC</w:t>
            </w:r>
          </w:p>
        </w:tc>
      </w:tr>
      <w:tr w:rsidR="00C1793C" w:rsidRPr="00E732B7" w14:paraId="60572A35" w14:textId="77777777" w:rsidTr="00C1793C">
        <w:tc>
          <w:tcPr>
            <w:tcW w:w="583" w:type="dxa"/>
          </w:tcPr>
          <w:p w14:paraId="2E957B43" w14:textId="77777777" w:rsidR="00C1793C" w:rsidRPr="00E732B7" w:rsidRDefault="00C1793C" w:rsidP="00C1793C">
            <w:pPr>
              <w:spacing w:before="8" w:line="200" w:lineRule="exact"/>
              <w:rPr>
                <w:rFonts w:ascii="Arial" w:hAnsi="Arial" w:cs="Arial"/>
                <w:sz w:val="20"/>
                <w:szCs w:val="20"/>
              </w:rPr>
            </w:pPr>
            <w:r w:rsidRPr="00E732B7">
              <w:rPr>
                <w:rFonts w:ascii="Arial" w:hAnsi="Arial" w:cs="Arial"/>
                <w:sz w:val="20"/>
                <w:szCs w:val="20"/>
              </w:rPr>
              <w:t>C15</w:t>
            </w:r>
          </w:p>
        </w:tc>
        <w:tc>
          <w:tcPr>
            <w:tcW w:w="1909" w:type="dxa"/>
          </w:tcPr>
          <w:p w14:paraId="37A67B0E" w14:textId="77777777" w:rsidR="00C1793C" w:rsidRPr="00E732B7" w:rsidRDefault="00C1793C" w:rsidP="00E732B7">
            <w:pPr>
              <w:spacing w:before="8" w:line="200" w:lineRule="exact"/>
              <w:ind w:left="20" w:hanging="20"/>
              <w:jc w:val="left"/>
              <w:rPr>
                <w:rFonts w:ascii="Arial" w:hAnsi="Arial" w:cs="Arial"/>
                <w:sz w:val="20"/>
                <w:szCs w:val="20"/>
              </w:rPr>
            </w:pPr>
            <w:r w:rsidRPr="00E732B7">
              <w:rPr>
                <w:rFonts w:ascii="Arial" w:hAnsi="Arial" w:cs="Arial"/>
                <w:sz w:val="20"/>
                <w:szCs w:val="20"/>
              </w:rPr>
              <w:t>Staff awareness training</w:t>
            </w:r>
          </w:p>
        </w:tc>
        <w:tc>
          <w:tcPr>
            <w:tcW w:w="4258" w:type="dxa"/>
          </w:tcPr>
          <w:p w14:paraId="08CB8708" w14:textId="77777777" w:rsidR="00C1793C" w:rsidRPr="00E732B7" w:rsidRDefault="00C1793C" w:rsidP="00E732B7">
            <w:pPr>
              <w:spacing w:before="8" w:line="200" w:lineRule="exact"/>
              <w:ind w:left="0" w:firstLine="0"/>
              <w:jc w:val="left"/>
              <w:rPr>
                <w:rFonts w:ascii="Arial" w:hAnsi="Arial" w:cs="Arial"/>
                <w:sz w:val="20"/>
                <w:szCs w:val="20"/>
              </w:rPr>
            </w:pPr>
            <w:r w:rsidRPr="00E732B7">
              <w:rPr>
                <w:rFonts w:ascii="Arial" w:hAnsi="Arial" w:cs="Arial"/>
                <w:sz w:val="20"/>
                <w:szCs w:val="20"/>
              </w:rPr>
              <w:t>All staff must undertake annual security awareness training and this process is audited and monitored by line managers</w:t>
            </w:r>
          </w:p>
        </w:tc>
        <w:tc>
          <w:tcPr>
            <w:tcW w:w="2266" w:type="dxa"/>
          </w:tcPr>
          <w:p w14:paraId="0307E134" w14:textId="77777777" w:rsidR="00C1793C" w:rsidRPr="00E732B7" w:rsidRDefault="00C1793C" w:rsidP="00E732B7">
            <w:pPr>
              <w:spacing w:before="8" w:line="200" w:lineRule="exact"/>
              <w:ind w:left="0" w:firstLine="0"/>
              <w:jc w:val="left"/>
              <w:rPr>
                <w:rFonts w:ascii="Arial" w:hAnsi="Arial" w:cs="Arial"/>
                <w:sz w:val="20"/>
                <w:szCs w:val="20"/>
              </w:rPr>
            </w:pPr>
            <w:r w:rsidRPr="00E732B7">
              <w:rPr>
                <w:rFonts w:ascii="Arial" w:hAnsi="Arial" w:cs="Arial"/>
                <w:sz w:val="20"/>
                <w:szCs w:val="20"/>
              </w:rPr>
              <w:t>Assured as part of ISO27001 certification</w:t>
            </w:r>
          </w:p>
        </w:tc>
      </w:tr>
    </w:tbl>
    <w:p w14:paraId="0AFB1471" w14:textId="77777777" w:rsidR="00C1793C" w:rsidRPr="00C050B2" w:rsidRDefault="00C1793C" w:rsidP="00C1793C">
      <w:pPr>
        <w:spacing w:before="8" w:line="200" w:lineRule="exact"/>
        <w:rPr>
          <w:rFonts w:cs="Arial"/>
          <w:szCs w:val="20"/>
        </w:rPr>
      </w:pPr>
    </w:p>
    <w:p w14:paraId="5D4BEDB8" w14:textId="77777777" w:rsidR="00C1793C" w:rsidRPr="00C050B2" w:rsidRDefault="00C1793C" w:rsidP="009D675B">
      <w:pPr>
        <w:pStyle w:val="Sch2"/>
        <w:numPr>
          <w:ilvl w:val="3"/>
          <w:numId w:val="56"/>
        </w:numPr>
        <w:rPr>
          <w:rFonts w:eastAsia="Arial" w:cs="Arial"/>
          <w:szCs w:val="20"/>
        </w:rPr>
      </w:pPr>
      <w:r w:rsidRPr="00C050B2">
        <w:rPr>
          <w:rFonts w:eastAsia="Arial" w:cs="Arial"/>
          <w:spacing w:val="1"/>
          <w:szCs w:val="20"/>
        </w:rPr>
        <w:t>Re</w:t>
      </w:r>
      <w:r w:rsidRPr="00C050B2">
        <w:rPr>
          <w:rFonts w:eastAsia="Arial" w:cs="Arial"/>
          <w:szCs w:val="20"/>
        </w:rPr>
        <w:t>s</w:t>
      </w:r>
      <w:r w:rsidRPr="00C050B2">
        <w:rPr>
          <w:rFonts w:eastAsia="Arial" w:cs="Arial"/>
          <w:spacing w:val="1"/>
          <w:szCs w:val="20"/>
        </w:rPr>
        <w:t>i</w:t>
      </w:r>
      <w:r w:rsidRPr="00C050B2">
        <w:rPr>
          <w:rFonts w:eastAsia="Arial" w:cs="Arial"/>
          <w:spacing w:val="-3"/>
          <w:szCs w:val="20"/>
        </w:rPr>
        <w:t>d</w:t>
      </w:r>
      <w:r w:rsidRPr="00C050B2">
        <w:rPr>
          <w:rFonts w:eastAsia="Arial" w:cs="Arial"/>
          <w:spacing w:val="1"/>
          <w:szCs w:val="20"/>
        </w:rPr>
        <w:t>ua</w:t>
      </w:r>
      <w:r w:rsidRPr="00C050B2">
        <w:rPr>
          <w:rFonts w:eastAsia="Arial" w:cs="Arial"/>
          <w:szCs w:val="20"/>
        </w:rPr>
        <w:t xml:space="preserve">l </w:t>
      </w:r>
      <w:r w:rsidRPr="00C050B2">
        <w:rPr>
          <w:rFonts w:eastAsia="Verdana"/>
        </w:rPr>
        <w:t>r</w:t>
      </w:r>
      <w:r w:rsidRPr="00C050B2">
        <w:rPr>
          <w:rFonts w:eastAsia="Verdana"/>
          <w:spacing w:val="1"/>
        </w:rPr>
        <w:t>i</w:t>
      </w:r>
      <w:r w:rsidRPr="00C050B2">
        <w:rPr>
          <w:rFonts w:eastAsia="Verdana"/>
        </w:rPr>
        <w:t>sks</w:t>
      </w:r>
      <w:r w:rsidRPr="00C050B2">
        <w:rPr>
          <w:rFonts w:eastAsia="Arial" w:cs="Arial"/>
          <w:spacing w:val="-1"/>
          <w:szCs w:val="20"/>
        </w:rPr>
        <w:t xml:space="preserve"> </w:t>
      </w:r>
      <w:r w:rsidRPr="00C050B2">
        <w:rPr>
          <w:rFonts w:eastAsia="Arial" w:cs="Arial"/>
          <w:spacing w:val="-3"/>
          <w:szCs w:val="20"/>
        </w:rPr>
        <w:t>a</w:t>
      </w:r>
      <w:r w:rsidRPr="00C050B2">
        <w:rPr>
          <w:rFonts w:eastAsia="Arial" w:cs="Arial"/>
          <w:spacing w:val="1"/>
          <w:szCs w:val="20"/>
        </w:rPr>
        <w:t>n</w:t>
      </w:r>
      <w:r w:rsidRPr="00C050B2">
        <w:rPr>
          <w:rFonts w:eastAsia="Arial" w:cs="Arial"/>
          <w:szCs w:val="20"/>
        </w:rPr>
        <w:t xml:space="preserve">d </w:t>
      </w:r>
      <w:r w:rsidRPr="00C050B2">
        <w:rPr>
          <w:rFonts w:eastAsia="Arial" w:cs="Arial"/>
          <w:spacing w:val="1"/>
          <w:szCs w:val="20"/>
        </w:rPr>
        <w:t>a</w:t>
      </w:r>
      <w:r w:rsidRPr="00C050B2">
        <w:rPr>
          <w:rFonts w:eastAsia="Arial" w:cs="Arial"/>
          <w:szCs w:val="20"/>
        </w:rPr>
        <w:t>c</w:t>
      </w:r>
      <w:r w:rsidRPr="00C050B2">
        <w:rPr>
          <w:rFonts w:eastAsia="Arial" w:cs="Arial"/>
          <w:spacing w:val="-2"/>
          <w:szCs w:val="20"/>
        </w:rPr>
        <w:t>t</w:t>
      </w:r>
      <w:r w:rsidRPr="00C050B2">
        <w:rPr>
          <w:rFonts w:eastAsia="Arial" w:cs="Arial"/>
          <w:spacing w:val="1"/>
          <w:szCs w:val="20"/>
        </w:rPr>
        <w:t>ion</w:t>
      </w:r>
      <w:r w:rsidRPr="00C050B2">
        <w:rPr>
          <w:rFonts w:eastAsia="Arial" w:cs="Arial"/>
          <w:szCs w:val="20"/>
        </w:rPr>
        <w:t>s</w:t>
      </w:r>
    </w:p>
    <w:p w14:paraId="44EB8E4D" w14:textId="77777777" w:rsidR="00C1793C" w:rsidRPr="00C050B2" w:rsidRDefault="00C1793C" w:rsidP="00C1793C">
      <w:pPr>
        <w:spacing w:line="260" w:lineRule="exact"/>
        <w:ind w:left="861" w:right="209"/>
        <w:rPr>
          <w:rFonts w:eastAsia="Arial" w:cs="Arial"/>
          <w:szCs w:val="20"/>
        </w:rPr>
      </w:pPr>
      <w:r w:rsidRPr="00C050B2">
        <w:rPr>
          <w:rFonts w:eastAsia="Arial" w:cs="Arial"/>
          <w:i/>
          <w:szCs w:val="20"/>
        </w:rPr>
        <w:t>&lt;A</w:t>
      </w:r>
      <w:r w:rsidRPr="00C050B2">
        <w:rPr>
          <w:rFonts w:eastAsia="Arial" w:cs="Arial"/>
          <w:i/>
          <w:spacing w:val="-2"/>
          <w:szCs w:val="20"/>
        </w:rPr>
        <w:t xml:space="preserve"> </w:t>
      </w:r>
      <w:r w:rsidRPr="00C050B2">
        <w:rPr>
          <w:rFonts w:eastAsia="Arial" w:cs="Arial"/>
          <w:i/>
          <w:szCs w:val="20"/>
        </w:rPr>
        <w:t>s</w:t>
      </w:r>
      <w:r w:rsidRPr="00C050B2">
        <w:rPr>
          <w:rFonts w:eastAsia="Arial" w:cs="Arial"/>
          <w:i/>
          <w:spacing w:val="1"/>
          <w:szCs w:val="20"/>
        </w:rPr>
        <w:t>u</w:t>
      </w:r>
      <w:r w:rsidRPr="00C050B2">
        <w:rPr>
          <w:rFonts w:eastAsia="Arial" w:cs="Arial"/>
          <w:i/>
          <w:szCs w:val="20"/>
        </w:rPr>
        <w:t>mm</w:t>
      </w:r>
      <w:r w:rsidRPr="00C050B2">
        <w:rPr>
          <w:rFonts w:eastAsia="Arial" w:cs="Arial"/>
          <w:i/>
          <w:spacing w:val="1"/>
          <w:szCs w:val="20"/>
        </w:rPr>
        <w:t>a</w:t>
      </w:r>
      <w:r w:rsidRPr="00C050B2">
        <w:rPr>
          <w:rFonts w:eastAsia="Arial" w:cs="Arial"/>
          <w:i/>
          <w:szCs w:val="20"/>
        </w:rPr>
        <w:t>ry</w:t>
      </w:r>
      <w:r w:rsidRPr="00C050B2">
        <w:rPr>
          <w:rFonts w:eastAsia="Arial" w:cs="Arial"/>
          <w:i/>
          <w:spacing w:val="-1"/>
          <w:szCs w:val="20"/>
        </w:rPr>
        <w:t xml:space="preserve">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r</w:t>
      </w:r>
      <w:r w:rsidRPr="00C050B2">
        <w:rPr>
          <w:rFonts w:eastAsia="Arial" w:cs="Arial"/>
          <w:i/>
          <w:spacing w:val="1"/>
          <w:szCs w:val="20"/>
        </w:rPr>
        <w:t>e</w:t>
      </w:r>
      <w:r w:rsidRPr="00C050B2">
        <w:rPr>
          <w:rFonts w:eastAsia="Arial" w:cs="Arial"/>
          <w:i/>
          <w:szCs w:val="20"/>
        </w:rPr>
        <w:t>s</w:t>
      </w:r>
      <w:r w:rsidRPr="00C050B2">
        <w:rPr>
          <w:rFonts w:eastAsia="Arial" w:cs="Arial"/>
          <w:i/>
          <w:spacing w:val="1"/>
          <w:szCs w:val="20"/>
        </w:rPr>
        <w:t>idua</w:t>
      </w:r>
      <w:r w:rsidRPr="00C050B2">
        <w:rPr>
          <w:rFonts w:eastAsia="Arial" w:cs="Arial"/>
          <w:i/>
          <w:szCs w:val="20"/>
        </w:rPr>
        <w:t>l r</w:t>
      </w:r>
      <w:r w:rsidRPr="00C050B2">
        <w:rPr>
          <w:rFonts w:eastAsia="Arial" w:cs="Arial"/>
          <w:i/>
          <w:spacing w:val="1"/>
          <w:szCs w:val="20"/>
        </w:rPr>
        <w:t>i</w:t>
      </w:r>
      <w:r w:rsidRPr="00C050B2">
        <w:rPr>
          <w:rFonts w:eastAsia="Arial" w:cs="Arial"/>
          <w:i/>
          <w:szCs w:val="20"/>
        </w:rPr>
        <w:t>sks</w:t>
      </w:r>
      <w:r w:rsidRPr="00C050B2">
        <w:rPr>
          <w:rFonts w:eastAsia="Arial" w:cs="Arial"/>
          <w:i/>
          <w:spacing w:val="-1"/>
          <w:szCs w:val="20"/>
        </w:rPr>
        <w:t xml:space="preserve"> </w:t>
      </w:r>
      <w:r w:rsidRPr="00C050B2">
        <w:rPr>
          <w:rFonts w:eastAsia="Arial" w:cs="Arial"/>
          <w:i/>
          <w:spacing w:val="-3"/>
          <w:szCs w:val="20"/>
        </w:rPr>
        <w:t>w</w:t>
      </w:r>
      <w:r w:rsidRPr="00C050B2">
        <w:rPr>
          <w:rFonts w:eastAsia="Arial" w:cs="Arial"/>
          <w:i/>
          <w:spacing w:val="1"/>
          <w:szCs w:val="20"/>
        </w:rPr>
        <w:t>hi</w:t>
      </w:r>
      <w:r w:rsidRPr="00C050B2">
        <w:rPr>
          <w:rFonts w:eastAsia="Arial" w:cs="Arial"/>
          <w:i/>
          <w:szCs w:val="20"/>
        </w:rPr>
        <w:t xml:space="preserve">ch </w:t>
      </w:r>
      <w:r w:rsidRPr="00C050B2">
        <w:rPr>
          <w:rFonts w:eastAsia="Arial" w:cs="Arial"/>
          <w:i/>
          <w:spacing w:val="1"/>
          <w:szCs w:val="20"/>
        </w:rPr>
        <w:t>a</w:t>
      </w:r>
      <w:r w:rsidRPr="00C050B2">
        <w:rPr>
          <w:rFonts w:eastAsia="Arial" w:cs="Arial"/>
          <w:i/>
          <w:spacing w:val="-5"/>
          <w:szCs w:val="20"/>
        </w:rPr>
        <w:t>r</w:t>
      </w:r>
      <w:r w:rsidRPr="00C050B2">
        <w:rPr>
          <w:rFonts w:eastAsia="Arial" w:cs="Arial"/>
          <w:i/>
          <w:szCs w:val="20"/>
        </w:rPr>
        <w:t xml:space="preserve">e </w:t>
      </w:r>
      <w:r w:rsidRPr="00C050B2">
        <w:rPr>
          <w:rFonts w:eastAsia="Arial" w:cs="Arial"/>
          <w:i/>
          <w:spacing w:val="1"/>
          <w:szCs w:val="20"/>
        </w:rPr>
        <w:t>li</w:t>
      </w:r>
      <w:r w:rsidRPr="00C050B2">
        <w:rPr>
          <w:rFonts w:eastAsia="Arial" w:cs="Arial"/>
          <w:i/>
          <w:szCs w:val="20"/>
        </w:rPr>
        <w:t>k</w:t>
      </w:r>
      <w:r w:rsidRPr="00C050B2">
        <w:rPr>
          <w:rFonts w:eastAsia="Arial" w:cs="Arial"/>
          <w:i/>
          <w:spacing w:val="-3"/>
          <w:szCs w:val="20"/>
        </w:rPr>
        <w:t>el</w:t>
      </w:r>
      <w:r w:rsidRPr="00C050B2">
        <w:rPr>
          <w:rFonts w:eastAsia="Arial" w:cs="Arial"/>
          <w:i/>
          <w:szCs w:val="20"/>
        </w:rPr>
        <w:t>y</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zCs w:val="20"/>
        </w:rPr>
        <w:t xml:space="preserve">o </w:t>
      </w:r>
      <w:r w:rsidRPr="00C050B2">
        <w:rPr>
          <w:rFonts w:eastAsia="Arial" w:cs="Arial"/>
          <w:i/>
          <w:spacing w:val="1"/>
          <w:szCs w:val="20"/>
        </w:rPr>
        <w:t>b</w:t>
      </w:r>
      <w:r w:rsidRPr="00C050B2">
        <w:rPr>
          <w:rFonts w:eastAsia="Arial" w:cs="Arial"/>
          <w:i/>
          <w:szCs w:val="20"/>
        </w:rPr>
        <w:t xml:space="preserve">e </w:t>
      </w:r>
      <w:r w:rsidRPr="00C050B2">
        <w:rPr>
          <w:rFonts w:eastAsia="Arial" w:cs="Arial"/>
          <w:i/>
          <w:spacing w:val="1"/>
          <w:szCs w:val="20"/>
        </w:rPr>
        <w:t>abo</w:t>
      </w:r>
      <w:r w:rsidRPr="00C050B2">
        <w:rPr>
          <w:rFonts w:eastAsia="Arial" w:cs="Arial"/>
          <w:i/>
          <w:szCs w:val="20"/>
        </w:rPr>
        <w:t xml:space="preserve">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r</w:t>
      </w:r>
      <w:r w:rsidRPr="00C050B2">
        <w:rPr>
          <w:rFonts w:eastAsia="Arial" w:cs="Arial"/>
          <w:i/>
          <w:spacing w:val="1"/>
          <w:szCs w:val="20"/>
        </w:rPr>
        <w:t>i</w:t>
      </w:r>
      <w:r w:rsidRPr="00C050B2">
        <w:rPr>
          <w:rFonts w:eastAsia="Arial" w:cs="Arial"/>
          <w:i/>
          <w:szCs w:val="20"/>
        </w:rPr>
        <w:t>sk</w:t>
      </w:r>
      <w:r w:rsidRPr="00C050B2">
        <w:rPr>
          <w:rFonts w:eastAsia="Arial" w:cs="Arial"/>
          <w:i/>
          <w:spacing w:val="-1"/>
          <w:szCs w:val="20"/>
        </w:rPr>
        <w:t xml:space="preserve"> </w:t>
      </w:r>
      <w:r w:rsidRPr="00C050B2">
        <w:rPr>
          <w:rFonts w:eastAsia="Arial" w:cs="Arial"/>
          <w:i/>
          <w:spacing w:val="1"/>
          <w:szCs w:val="20"/>
        </w:rPr>
        <w:t>ap</w:t>
      </w:r>
      <w:r w:rsidRPr="00C050B2">
        <w:rPr>
          <w:rFonts w:eastAsia="Arial" w:cs="Arial"/>
          <w:i/>
          <w:spacing w:val="-3"/>
          <w:szCs w:val="20"/>
        </w:rPr>
        <w:t>p</w:t>
      </w:r>
      <w:r w:rsidRPr="00C050B2">
        <w:rPr>
          <w:rFonts w:eastAsia="Arial" w:cs="Arial"/>
          <w:i/>
          <w:spacing w:val="1"/>
          <w:szCs w:val="20"/>
        </w:rPr>
        <w:t>e</w:t>
      </w:r>
      <w:r w:rsidRPr="00C050B2">
        <w:rPr>
          <w:rFonts w:eastAsia="Arial" w:cs="Arial"/>
          <w:i/>
          <w:spacing w:val="-2"/>
          <w:szCs w:val="20"/>
        </w:rPr>
        <w:t>t</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e s</w:t>
      </w:r>
      <w:r w:rsidRPr="00C050B2">
        <w:rPr>
          <w:rFonts w:eastAsia="Arial" w:cs="Arial"/>
          <w:i/>
          <w:spacing w:val="-2"/>
          <w:szCs w:val="20"/>
        </w:rPr>
        <w:t>t</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 xml:space="preserve">d </w:t>
      </w:r>
      <w:r w:rsidRPr="00C050B2">
        <w:rPr>
          <w:rFonts w:eastAsia="Arial" w:cs="Arial"/>
          <w:i/>
          <w:spacing w:val="1"/>
          <w:szCs w:val="20"/>
        </w:rPr>
        <w:t>a</w:t>
      </w:r>
      <w:r w:rsidRPr="00C050B2">
        <w:rPr>
          <w:rFonts w:eastAsia="Arial" w:cs="Arial"/>
          <w:i/>
          <w:spacing w:val="-2"/>
          <w:szCs w:val="20"/>
        </w:rPr>
        <w:t>ft</w:t>
      </w:r>
      <w:r w:rsidRPr="00C050B2">
        <w:rPr>
          <w:rFonts w:eastAsia="Arial" w:cs="Arial"/>
          <w:i/>
          <w:spacing w:val="1"/>
          <w:szCs w:val="20"/>
        </w:rPr>
        <w:t>e</w:t>
      </w:r>
      <w:r w:rsidRPr="00C050B2">
        <w:rPr>
          <w:rFonts w:eastAsia="Arial" w:cs="Arial"/>
          <w:i/>
          <w:szCs w:val="20"/>
        </w:rPr>
        <w:t>r</w:t>
      </w:r>
      <w:r w:rsidRPr="00C050B2">
        <w:rPr>
          <w:rFonts w:eastAsia="Arial" w:cs="Arial"/>
          <w:i/>
          <w:spacing w:val="-1"/>
          <w:szCs w:val="20"/>
        </w:rPr>
        <w:t xml:space="preserve"> </w:t>
      </w:r>
      <w:r w:rsidRPr="00C050B2">
        <w:rPr>
          <w:rFonts w:eastAsia="Arial" w:cs="Arial"/>
          <w:i/>
          <w:spacing w:val="1"/>
          <w:szCs w:val="20"/>
        </w:rPr>
        <w:t>al</w:t>
      </w:r>
      <w:r w:rsidRPr="00C050B2">
        <w:rPr>
          <w:rFonts w:eastAsia="Arial" w:cs="Arial"/>
          <w:i/>
          <w:szCs w:val="20"/>
        </w:rPr>
        <w:t>l c</w:t>
      </w:r>
      <w:r w:rsidRPr="00C050B2">
        <w:rPr>
          <w:rFonts w:eastAsia="Arial" w:cs="Arial"/>
          <w:i/>
          <w:spacing w:val="1"/>
          <w:szCs w:val="20"/>
        </w:rPr>
        <w:t>on</w:t>
      </w:r>
      <w:r w:rsidRPr="00C050B2">
        <w:rPr>
          <w:rFonts w:eastAsia="Arial" w:cs="Arial"/>
          <w:i/>
          <w:spacing w:val="-2"/>
          <w:szCs w:val="20"/>
        </w:rPr>
        <w:t>t</w:t>
      </w:r>
      <w:r w:rsidRPr="00C050B2">
        <w:rPr>
          <w:rFonts w:eastAsia="Arial" w:cs="Arial"/>
          <w:i/>
          <w:szCs w:val="20"/>
        </w:rPr>
        <w:t>r</w:t>
      </w:r>
      <w:r w:rsidRPr="00C050B2">
        <w:rPr>
          <w:rFonts w:eastAsia="Arial" w:cs="Arial"/>
          <w:i/>
          <w:spacing w:val="1"/>
          <w:szCs w:val="20"/>
        </w:rPr>
        <w:t>ol</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ha</w:t>
      </w:r>
      <w:r w:rsidRPr="00C050B2">
        <w:rPr>
          <w:rFonts w:eastAsia="Arial" w:cs="Arial"/>
          <w:i/>
          <w:spacing w:val="-5"/>
          <w:szCs w:val="20"/>
        </w:rPr>
        <w:t>v</w:t>
      </w:r>
      <w:r w:rsidRPr="00C050B2">
        <w:rPr>
          <w:rFonts w:eastAsia="Arial" w:cs="Arial"/>
          <w:i/>
          <w:szCs w:val="20"/>
        </w:rPr>
        <w:t xml:space="preserve">e </w:t>
      </w:r>
      <w:r w:rsidRPr="00C050B2">
        <w:rPr>
          <w:rFonts w:eastAsia="Arial" w:cs="Arial"/>
          <w:i/>
          <w:spacing w:val="1"/>
          <w:szCs w:val="20"/>
        </w:rPr>
        <w:t>be</w:t>
      </w:r>
      <w:r w:rsidRPr="00C050B2">
        <w:rPr>
          <w:rFonts w:eastAsia="Arial" w:cs="Arial"/>
          <w:i/>
          <w:spacing w:val="-3"/>
          <w:szCs w:val="20"/>
        </w:rPr>
        <w:t>e</w:t>
      </w:r>
      <w:r w:rsidRPr="00C050B2">
        <w:rPr>
          <w:rFonts w:eastAsia="Arial" w:cs="Arial"/>
          <w:i/>
          <w:szCs w:val="20"/>
        </w:rPr>
        <w:t xml:space="preserve">n </w:t>
      </w:r>
      <w:r w:rsidRPr="00C050B2">
        <w:rPr>
          <w:rFonts w:eastAsia="Arial" w:cs="Arial"/>
          <w:i/>
          <w:spacing w:val="1"/>
          <w:szCs w:val="20"/>
        </w:rPr>
        <w:t>app</w:t>
      </w:r>
      <w:r w:rsidRPr="00C050B2">
        <w:rPr>
          <w:rFonts w:eastAsia="Arial" w:cs="Arial"/>
          <w:i/>
          <w:spacing w:val="-3"/>
          <w:szCs w:val="20"/>
        </w:rPr>
        <w:t>l</w:t>
      </w:r>
      <w:r w:rsidRPr="00C050B2">
        <w:rPr>
          <w:rFonts w:eastAsia="Arial" w:cs="Arial"/>
          <w:i/>
          <w:spacing w:val="1"/>
          <w:szCs w:val="20"/>
        </w:rPr>
        <w:t>ie</w:t>
      </w:r>
      <w:r w:rsidRPr="00C050B2">
        <w:rPr>
          <w:rFonts w:eastAsia="Arial" w:cs="Arial"/>
          <w:i/>
          <w:szCs w:val="20"/>
        </w:rPr>
        <w:t xml:space="preserve">d </w:t>
      </w:r>
      <w:r w:rsidRPr="00C050B2">
        <w:rPr>
          <w:rFonts w:eastAsia="Arial" w:cs="Arial"/>
          <w:i/>
          <w:spacing w:val="-3"/>
          <w:szCs w:val="20"/>
        </w:rPr>
        <w:t>a</w:t>
      </w:r>
      <w:r w:rsidRPr="00C050B2">
        <w:rPr>
          <w:rFonts w:eastAsia="Arial" w:cs="Arial"/>
          <w:i/>
          <w:spacing w:val="1"/>
          <w:szCs w:val="20"/>
        </w:rPr>
        <w:t>n</w:t>
      </w:r>
      <w:r w:rsidRPr="00C050B2">
        <w:rPr>
          <w:rFonts w:eastAsia="Arial" w:cs="Arial"/>
          <w:i/>
          <w:szCs w:val="20"/>
        </w:rPr>
        <w:t xml:space="preserve">d </w:t>
      </w:r>
      <w:r w:rsidRPr="00C050B2">
        <w:rPr>
          <w:rFonts w:eastAsia="Arial" w:cs="Arial"/>
          <w:i/>
          <w:spacing w:val="-5"/>
          <w:szCs w:val="20"/>
        </w:rPr>
        <w:t>v</w:t>
      </w:r>
      <w:r w:rsidRPr="00C050B2">
        <w:rPr>
          <w:rFonts w:eastAsia="Arial" w:cs="Arial"/>
          <w:i/>
          <w:spacing w:val="1"/>
          <w:szCs w:val="20"/>
        </w:rPr>
        <w:t>e</w:t>
      </w:r>
      <w:r w:rsidRPr="00C050B2">
        <w:rPr>
          <w:rFonts w:eastAsia="Arial" w:cs="Arial"/>
          <w:i/>
          <w:szCs w:val="20"/>
        </w:rPr>
        <w:t>r</w:t>
      </w:r>
      <w:r w:rsidRPr="00C050B2">
        <w:rPr>
          <w:rFonts w:eastAsia="Arial" w:cs="Arial"/>
          <w:i/>
          <w:spacing w:val="1"/>
          <w:szCs w:val="20"/>
        </w:rPr>
        <w:t>i</w:t>
      </w:r>
      <w:r w:rsidRPr="00C050B2">
        <w:rPr>
          <w:rFonts w:eastAsia="Arial" w:cs="Arial"/>
          <w:i/>
          <w:spacing w:val="-2"/>
          <w:szCs w:val="20"/>
        </w:rPr>
        <w:t>f</w:t>
      </w:r>
      <w:r w:rsidRPr="00C050B2">
        <w:rPr>
          <w:rFonts w:eastAsia="Arial" w:cs="Arial"/>
          <w:i/>
          <w:spacing w:val="1"/>
          <w:szCs w:val="20"/>
        </w:rPr>
        <w:t>ie</w:t>
      </w:r>
      <w:r w:rsidRPr="00C050B2">
        <w:rPr>
          <w:rFonts w:eastAsia="Arial" w:cs="Arial"/>
          <w:i/>
          <w:szCs w:val="20"/>
        </w:rPr>
        <w:t>d</w:t>
      </w:r>
      <w:r w:rsidRPr="00C050B2">
        <w:rPr>
          <w:rFonts w:eastAsia="Arial" w:cs="Arial"/>
          <w:i/>
          <w:spacing w:val="7"/>
          <w:szCs w:val="20"/>
        </w:rPr>
        <w:t xml:space="preserve"> </w:t>
      </w:r>
      <w:r w:rsidRPr="00C050B2">
        <w:rPr>
          <w:rFonts w:eastAsia="Arial" w:cs="Arial"/>
          <w:i/>
          <w:szCs w:val="20"/>
        </w:rPr>
        <w:t>s</w:t>
      </w:r>
      <w:r w:rsidRPr="00C050B2">
        <w:rPr>
          <w:rFonts w:eastAsia="Arial" w:cs="Arial"/>
          <w:i/>
          <w:spacing w:val="-3"/>
          <w:szCs w:val="20"/>
        </w:rPr>
        <w:t>h</w:t>
      </w:r>
      <w:r w:rsidRPr="00C050B2">
        <w:rPr>
          <w:rFonts w:eastAsia="Arial" w:cs="Arial"/>
          <w:i/>
          <w:spacing w:val="1"/>
          <w:szCs w:val="20"/>
        </w:rPr>
        <w:t>oul</w:t>
      </w:r>
      <w:r w:rsidRPr="00C050B2">
        <w:rPr>
          <w:rFonts w:eastAsia="Arial" w:cs="Arial"/>
          <w:i/>
          <w:szCs w:val="20"/>
        </w:rPr>
        <w:t xml:space="preserve">d </w:t>
      </w:r>
      <w:r w:rsidRPr="00C050B2">
        <w:rPr>
          <w:rFonts w:eastAsia="Arial" w:cs="Arial"/>
          <w:i/>
          <w:spacing w:val="-3"/>
          <w:szCs w:val="20"/>
        </w:rPr>
        <w:t>b</w:t>
      </w:r>
      <w:r w:rsidRPr="00C050B2">
        <w:rPr>
          <w:rFonts w:eastAsia="Arial" w:cs="Arial"/>
          <w:i/>
          <w:szCs w:val="20"/>
        </w:rPr>
        <w:t xml:space="preserve">e </w:t>
      </w:r>
      <w:r w:rsidRPr="00C050B2">
        <w:rPr>
          <w:rFonts w:eastAsia="Arial" w:cs="Arial"/>
          <w:i/>
          <w:spacing w:val="1"/>
          <w:szCs w:val="20"/>
        </w:rPr>
        <w:t>li</w:t>
      </w:r>
      <w:r w:rsidRPr="00C050B2">
        <w:rPr>
          <w:rFonts w:eastAsia="Arial" w:cs="Arial"/>
          <w:i/>
          <w:szCs w:val="20"/>
        </w:rPr>
        <w:t>s</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 xml:space="preserve">d </w:t>
      </w:r>
      <w:r w:rsidRPr="00C050B2">
        <w:rPr>
          <w:rFonts w:eastAsia="Arial" w:cs="Arial"/>
          <w:i/>
          <w:spacing w:val="-3"/>
          <w:szCs w:val="20"/>
        </w:rPr>
        <w:t>w</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 xml:space="preserve">h </w:t>
      </w:r>
      <w:r w:rsidRPr="00C050B2">
        <w:rPr>
          <w:rFonts w:eastAsia="Arial" w:cs="Arial"/>
          <w:i/>
          <w:spacing w:val="1"/>
          <w:szCs w:val="20"/>
        </w:rPr>
        <w:t>a</w:t>
      </w:r>
      <w:r w:rsidRPr="00C050B2">
        <w:rPr>
          <w:rFonts w:eastAsia="Arial" w:cs="Arial"/>
          <w:i/>
          <w:szCs w:val="20"/>
        </w:rPr>
        <w:t>c</w:t>
      </w:r>
      <w:r w:rsidRPr="00C050B2">
        <w:rPr>
          <w:rFonts w:eastAsia="Arial" w:cs="Arial"/>
          <w:i/>
          <w:spacing w:val="-2"/>
          <w:szCs w:val="20"/>
        </w:rPr>
        <w:t>t</w:t>
      </w:r>
      <w:r w:rsidRPr="00C050B2">
        <w:rPr>
          <w:rFonts w:eastAsia="Arial" w:cs="Arial"/>
          <w:i/>
          <w:spacing w:val="1"/>
          <w:szCs w:val="20"/>
        </w:rPr>
        <w:t>ion</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an</w:t>
      </w:r>
      <w:r w:rsidRPr="00C050B2">
        <w:rPr>
          <w:rFonts w:eastAsia="Arial" w:cs="Arial"/>
          <w:i/>
          <w:szCs w:val="20"/>
        </w:rPr>
        <w:t xml:space="preserve">d </w:t>
      </w:r>
      <w:r w:rsidRPr="00C050B2">
        <w:rPr>
          <w:rFonts w:eastAsia="Arial" w:cs="Arial"/>
          <w:i/>
          <w:spacing w:val="-2"/>
          <w:szCs w:val="20"/>
        </w:rPr>
        <w:t>t</w:t>
      </w:r>
      <w:r w:rsidRPr="00C050B2">
        <w:rPr>
          <w:rFonts w:eastAsia="Arial" w:cs="Arial"/>
          <w:i/>
          <w:spacing w:val="1"/>
          <w:szCs w:val="20"/>
        </w:rPr>
        <w:t>i</w:t>
      </w:r>
      <w:r w:rsidRPr="00C050B2">
        <w:rPr>
          <w:rFonts w:eastAsia="Arial" w:cs="Arial"/>
          <w:i/>
          <w:szCs w:val="20"/>
        </w:rPr>
        <w:t>m</w:t>
      </w:r>
      <w:r w:rsidRPr="00C050B2">
        <w:rPr>
          <w:rFonts w:eastAsia="Arial" w:cs="Arial"/>
          <w:i/>
          <w:spacing w:val="1"/>
          <w:szCs w:val="20"/>
        </w:rPr>
        <w:t>e</w:t>
      </w:r>
      <w:r w:rsidRPr="00C050B2">
        <w:rPr>
          <w:rFonts w:eastAsia="Arial" w:cs="Arial"/>
          <w:i/>
          <w:szCs w:val="20"/>
        </w:rPr>
        <w:t>s</w:t>
      </w:r>
      <w:r w:rsidRPr="00C050B2">
        <w:rPr>
          <w:rFonts w:eastAsia="Arial" w:cs="Arial"/>
          <w:i/>
          <w:spacing w:val="-5"/>
          <w:szCs w:val="20"/>
        </w:rPr>
        <w:t>c</w:t>
      </w:r>
      <w:r w:rsidRPr="00C050B2">
        <w:rPr>
          <w:rFonts w:eastAsia="Arial" w:cs="Arial"/>
          <w:i/>
          <w:spacing w:val="1"/>
          <w:szCs w:val="20"/>
        </w:rPr>
        <w:t>ale</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3"/>
          <w:szCs w:val="20"/>
        </w:rPr>
        <w:t>i</w:t>
      </w:r>
      <w:r w:rsidRPr="00C050B2">
        <w:rPr>
          <w:rFonts w:eastAsia="Arial" w:cs="Arial"/>
          <w:i/>
          <w:spacing w:val="1"/>
          <w:szCs w:val="20"/>
        </w:rPr>
        <w:t>n</w:t>
      </w:r>
      <w:r w:rsidRPr="00C050B2">
        <w:rPr>
          <w:rFonts w:eastAsia="Arial" w:cs="Arial"/>
          <w:i/>
          <w:szCs w:val="20"/>
        </w:rPr>
        <w:t>c</w:t>
      </w:r>
      <w:r w:rsidRPr="00C050B2">
        <w:rPr>
          <w:rFonts w:eastAsia="Arial" w:cs="Arial"/>
          <w:i/>
          <w:spacing w:val="1"/>
          <w:szCs w:val="20"/>
        </w:rPr>
        <w:t>l</w:t>
      </w:r>
      <w:r w:rsidRPr="00C050B2">
        <w:rPr>
          <w:rFonts w:eastAsia="Arial" w:cs="Arial"/>
          <w:i/>
          <w:spacing w:val="-3"/>
          <w:szCs w:val="20"/>
        </w:rPr>
        <w:t>u</w:t>
      </w:r>
      <w:r w:rsidRPr="00C050B2">
        <w:rPr>
          <w:rFonts w:eastAsia="Arial" w:cs="Arial"/>
          <w:i/>
          <w:spacing w:val="1"/>
          <w:szCs w:val="20"/>
        </w:rPr>
        <w:t>ded</w:t>
      </w:r>
      <w:r w:rsidRPr="00C050B2">
        <w:rPr>
          <w:rFonts w:eastAsia="Arial" w:cs="Arial"/>
          <w:i/>
          <w:spacing w:val="-2"/>
          <w:szCs w:val="20"/>
        </w:rPr>
        <w:t>.</w:t>
      </w:r>
      <w:r w:rsidRPr="00C050B2">
        <w:rPr>
          <w:rFonts w:eastAsia="Arial" w:cs="Arial"/>
          <w:i/>
          <w:szCs w:val="20"/>
        </w:rPr>
        <w:t>&gt;</w:t>
      </w:r>
    </w:p>
    <w:p w14:paraId="1BBEED60" w14:textId="77777777" w:rsidR="00C1793C" w:rsidRPr="00C050B2" w:rsidRDefault="00C1793C" w:rsidP="009D675B">
      <w:pPr>
        <w:pStyle w:val="Sch1"/>
        <w:numPr>
          <w:ilvl w:val="2"/>
          <w:numId w:val="57"/>
        </w:numPr>
        <w:rPr>
          <w:rFonts w:eastAsia="Arial" w:cs="Arial"/>
          <w:szCs w:val="20"/>
        </w:rPr>
      </w:pPr>
      <w:r w:rsidRPr="00C050B2">
        <w:rPr>
          <w:rFonts w:eastAsia="Arial" w:cs="Arial"/>
          <w:spacing w:val="-2"/>
          <w:szCs w:val="20"/>
        </w:rPr>
        <w:t>In</w:t>
      </w:r>
      <w:r w:rsidRPr="00C050B2">
        <w:rPr>
          <w:rFonts w:eastAsia="Arial" w:cs="Arial"/>
          <w:szCs w:val="20"/>
        </w:rPr>
        <w:t>-</w:t>
      </w:r>
      <w:r w:rsidRPr="00F116B2">
        <w:rPr>
          <w:rFonts w:eastAsia="Arial" w:cs="Arial"/>
          <w:spacing w:val="2"/>
          <w:szCs w:val="20"/>
        </w:rPr>
        <w:t>service</w:t>
      </w:r>
      <w:r w:rsidRPr="00C050B2">
        <w:rPr>
          <w:rFonts w:eastAsia="Arial" w:cs="Arial"/>
          <w:szCs w:val="20"/>
        </w:rPr>
        <w:t xml:space="preserve"> </w:t>
      </w:r>
      <w:r w:rsidRPr="00C050B2">
        <w:rPr>
          <w:rFonts w:eastAsia="Verdana"/>
        </w:rPr>
        <w:t>controls</w:t>
      </w:r>
    </w:p>
    <w:p w14:paraId="06A547B5" w14:textId="77777777" w:rsidR="00C1793C" w:rsidRPr="00C050B2" w:rsidRDefault="00C1793C" w:rsidP="00C1793C">
      <w:pPr>
        <w:spacing w:line="260" w:lineRule="exact"/>
        <w:ind w:left="861" w:right="166"/>
        <w:rPr>
          <w:rFonts w:eastAsia="Arial" w:cs="Arial"/>
          <w:szCs w:val="20"/>
        </w:rPr>
      </w:pPr>
      <w:r w:rsidRPr="00C050B2">
        <w:rPr>
          <w:rFonts w:eastAsia="Arial" w:cs="Arial"/>
          <w:i/>
          <w:szCs w:val="20"/>
        </w:rPr>
        <w:t>&lt;</w:t>
      </w:r>
      <w:r w:rsidRPr="00C050B2">
        <w:rPr>
          <w:rFonts w:eastAsia="Arial" w:cs="Arial"/>
          <w:i/>
          <w:spacing w:val="-2"/>
          <w:szCs w:val="20"/>
        </w:rPr>
        <w:t xml:space="preserve"> T</w:t>
      </w:r>
      <w:r w:rsidRPr="00C050B2">
        <w:rPr>
          <w:rFonts w:eastAsia="Arial" w:cs="Arial"/>
          <w:i/>
          <w:spacing w:val="1"/>
          <w:szCs w:val="20"/>
        </w:rPr>
        <w:t>hi</w:t>
      </w:r>
      <w:r w:rsidRPr="00C050B2">
        <w:rPr>
          <w:rFonts w:eastAsia="Arial" w:cs="Arial"/>
          <w:i/>
          <w:szCs w:val="20"/>
        </w:rPr>
        <w:t>s</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e</w:t>
      </w:r>
      <w:r w:rsidRPr="00C050B2">
        <w:rPr>
          <w:rFonts w:eastAsia="Arial" w:cs="Arial"/>
          <w:i/>
          <w:szCs w:val="20"/>
        </w:rPr>
        <w:t>c</w:t>
      </w:r>
      <w:r w:rsidRPr="00C050B2">
        <w:rPr>
          <w:rFonts w:eastAsia="Arial" w:cs="Arial"/>
          <w:i/>
          <w:spacing w:val="-2"/>
          <w:szCs w:val="20"/>
        </w:rPr>
        <w:t>t</w:t>
      </w:r>
      <w:r w:rsidRPr="00C050B2">
        <w:rPr>
          <w:rFonts w:eastAsia="Arial" w:cs="Arial"/>
          <w:i/>
          <w:spacing w:val="1"/>
          <w:szCs w:val="20"/>
        </w:rPr>
        <w:t>io</w:t>
      </w:r>
      <w:r w:rsidRPr="00C050B2">
        <w:rPr>
          <w:rFonts w:eastAsia="Arial" w:cs="Arial"/>
          <w:i/>
          <w:szCs w:val="20"/>
        </w:rPr>
        <w:t>n s</w:t>
      </w:r>
      <w:r w:rsidRPr="00C050B2">
        <w:rPr>
          <w:rFonts w:eastAsia="Arial" w:cs="Arial"/>
          <w:i/>
          <w:spacing w:val="1"/>
          <w:szCs w:val="20"/>
        </w:rPr>
        <w:t>hou</w:t>
      </w:r>
      <w:r w:rsidRPr="00C050B2">
        <w:rPr>
          <w:rFonts w:eastAsia="Arial" w:cs="Arial"/>
          <w:i/>
          <w:spacing w:val="-3"/>
          <w:szCs w:val="20"/>
        </w:rPr>
        <w:t>l</w:t>
      </w:r>
      <w:r w:rsidRPr="00C050B2">
        <w:rPr>
          <w:rFonts w:eastAsia="Arial" w:cs="Arial"/>
          <w:i/>
          <w:szCs w:val="20"/>
        </w:rPr>
        <w:t xml:space="preserve">d </w:t>
      </w:r>
      <w:r w:rsidRPr="00C050B2">
        <w:rPr>
          <w:rFonts w:eastAsia="Arial" w:cs="Arial"/>
          <w:i/>
          <w:spacing w:val="1"/>
          <w:szCs w:val="20"/>
        </w:rPr>
        <w:t>de</w:t>
      </w:r>
      <w:r w:rsidRPr="00C050B2">
        <w:rPr>
          <w:rFonts w:eastAsia="Arial" w:cs="Arial"/>
          <w:i/>
          <w:szCs w:val="20"/>
        </w:rPr>
        <w:t>scr</w:t>
      </w:r>
      <w:r w:rsidRPr="00C050B2">
        <w:rPr>
          <w:rFonts w:eastAsia="Arial" w:cs="Arial"/>
          <w:i/>
          <w:spacing w:val="-3"/>
          <w:szCs w:val="20"/>
        </w:rPr>
        <w:t>i</w:t>
      </w:r>
      <w:r w:rsidRPr="00C050B2">
        <w:rPr>
          <w:rFonts w:eastAsia="Arial" w:cs="Arial"/>
          <w:i/>
          <w:spacing w:val="1"/>
          <w:szCs w:val="20"/>
        </w:rPr>
        <w:t>b</w:t>
      </w:r>
      <w:r w:rsidRPr="00C050B2">
        <w:rPr>
          <w:rFonts w:eastAsia="Arial" w:cs="Arial"/>
          <w:i/>
          <w:szCs w:val="20"/>
        </w:rPr>
        <w:t xml:space="preserve">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c</w:t>
      </w:r>
      <w:r w:rsidRPr="00C050B2">
        <w:rPr>
          <w:rFonts w:eastAsia="Arial" w:cs="Arial"/>
          <w:i/>
          <w:spacing w:val="1"/>
          <w:szCs w:val="20"/>
        </w:rPr>
        <w:t>on</w:t>
      </w:r>
      <w:r w:rsidRPr="00C050B2">
        <w:rPr>
          <w:rFonts w:eastAsia="Arial" w:cs="Arial"/>
          <w:i/>
          <w:spacing w:val="-2"/>
          <w:szCs w:val="20"/>
        </w:rPr>
        <w:t>t</w:t>
      </w:r>
      <w:r w:rsidRPr="00C050B2">
        <w:rPr>
          <w:rFonts w:eastAsia="Arial" w:cs="Arial"/>
          <w:i/>
          <w:szCs w:val="20"/>
        </w:rPr>
        <w:t>r</w:t>
      </w:r>
      <w:r w:rsidRPr="00C050B2">
        <w:rPr>
          <w:rFonts w:eastAsia="Arial" w:cs="Arial"/>
          <w:i/>
          <w:spacing w:val="-3"/>
          <w:szCs w:val="20"/>
        </w:rPr>
        <w:t>o</w:t>
      </w:r>
      <w:r w:rsidRPr="00C050B2">
        <w:rPr>
          <w:rFonts w:eastAsia="Arial" w:cs="Arial"/>
          <w:i/>
          <w:spacing w:val="1"/>
          <w:szCs w:val="20"/>
        </w:rPr>
        <w:t>l</w:t>
      </w:r>
      <w:r w:rsidRPr="00C050B2">
        <w:rPr>
          <w:rFonts w:eastAsia="Arial" w:cs="Arial"/>
          <w:i/>
          <w:szCs w:val="20"/>
        </w:rPr>
        <w:t>s</w:t>
      </w:r>
      <w:r w:rsidRPr="00C050B2">
        <w:rPr>
          <w:rFonts w:eastAsia="Arial" w:cs="Arial"/>
          <w:i/>
          <w:spacing w:val="-1"/>
          <w:szCs w:val="20"/>
        </w:rPr>
        <w:t xml:space="preserve"> </w:t>
      </w:r>
      <w:r w:rsidRPr="00C050B2">
        <w:rPr>
          <w:rFonts w:eastAsia="Arial" w:cs="Arial"/>
          <w:i/>
          <w:szCs w:val="20"/>
        </w:rPr>
        <w:t>r</w:t>
      </w:r>
      <w:r w:rsidRPr="00C050B2">
        <w:rPr>
          <w:rFonts w:eastAsia="Arial" w:cs="Arial"/>
          <w:i/>
          <w:spacing w:val="1"/>
          <w:szCs w:val="20"/>
        </w:rPr>
        <w:t>ela</w:t>
      </w:r>
      <w:r w:rsidRPr="00C050B2">
        <w:rPr>
          <w:rFonts w:eastAsia="Arial" w:cs="Arial"/>
          <w:i/>
          <w:spacing w:val="-7"/>
          <w:szCs w:val="20"/>
        </w:rPr>
        <w:t>t</w:t>
      </w:r>
      <w:r w:rsidRPr="00C050B2">
        <w:rPr>
          <w:rFonts w:eastAsia="Arial" w:cs="Arial"/>
          <w:i/>
          <w:spacing w:val="1"/>
          <w:szCs w:val="20"/>
        </w:rPr>
        <w:t>in</w:t>
      </w:r>
      <w:r w:rsidRPr="00C050B2">
        <w:rPr>
          <w:rFonts w:eastAsia="Arial" w:cs="Arial"/>
          <w:i/>
          <w:szCs w:val="20"/>
        </w:rPr>
        <w:t xml:space="preserve">g </w:t>
      </w:r>
      <w:r w:rsidRPr="00C050B2">
        <w:rPr>
          <w:rFonts w:eastAsia="Arial" w:cs="Arial"/>
          <w:i/>
          <w:spacing w:val="-2"/>
          <w:szCs w:val="20"/>
        </w:rPr>
        <w:t>t</w:t>
      </w:r>
      <w:r w:rsidRPr="00C050B2">
        <w:rPr>
          <w:rFonts w:eastAsia="Arial" w:cs="Arial"/>
          <w:i/>
          <w:szCs w:val="20"/>
        </w:rPr>
        <w:t xml:space="preserve">o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in</w:t>
      </w:r>
      <w:r w:rsidRPr="00C050B2">
        <w:rPr>
          <w:rFonts w:eastAsia="Arial" w:cs="Arial"/>
          <w:i/>
          <w:spacing w:val="-2"/>
          <w:szCs w:val="20"/>
        </w:rPr>
        <w:t>f</w:t>
      </w:r>
      <w:r w:rsidRPr="00C050B2">
        <w:rPr>
          <w:rFonts w:eastAsia="Arial" w:cs="Arial"/>
          <w:i/>
          <w:spacing w:val="1"/>
          <w:szCs w:val="20"/>
        </w:rPr>
        <w:t>o</w:t>
      </w:r>
      <w:r w:rsidRPr="00C050B2">
        <w:rPr>
          <w:rFonts w:eastAsia="Arial" w:cs="Arial"/>
          <w:i/>
          <w:szCs w:val="20"/>
        </w:rPr>
        <w:t>rm</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1"/>
          <w:szCs w:val="20"/>
        </w:rPr>
        <w:t>i</w:t>
      </w:r>
      <w:r w:rsidRPr="00C050B2">
        <w:rPr>
          <w:rFonts w:eastAsia="Arial" w:cs="Arial"/>
          <w:i/>
          <w:spacing w:val="-3"/>
          <w:szCs w:val="20"/>
        </w:rPr>
        <w:t>o</w:t>
      </w:r>
      <w:r w:rsidRPr="00C050B2">
        <w:rPr>
          <w:rFonts w:eastAsia="Arial" w:cs="Arial"/>
          <w:i/>
          <w:szCs w:val="20"/>
        </w:rPr>
        <w:t xml:space="preserve">n </w:t>
      </w:r>
      <w:r w:rsidRPr="00C050B2">
        <w:rPr>
          <w:rFonts w:eastAsia="Arial" w:cs="Arial"/>
          <w:i/>
          <w:spacing w:val="1"/>
          <w:szCs w:val="20"/>
        </w:rPr>
        <w:t>li</w:t>
      </w:r>
      <w:r w:rsidRPr="00C050B2">
        <w:rPr>
          <w:rFonts w:eastAsia="Arial" w:cs="Arial"/>
          <w:i/>
          <w:spacing w:val="-2"/>
          <w:szCs w:val="20"/>
        </w:rPr>
        <w:t>f</w:t>
      </w:r>
      <w:r w:rsidRPr="00C050B2">
        <w:rPr>
          <w:rFonts w:eastAsia="Arial" w:cs="Arial"/>
          <w:i/>
          <w:spacing w:val="1"/>
          <w:szCs w:val="20"/>
        </w:rPr>
        <w:t>e</w:t>
      </w:r>
      <w:r w:rsidRPr="00C050B2">
        <w:rPr>
          <w:rFonts w:eastAsia="Arial" w:cs="Arial"/>
          <w:i/>
          <w:szCs w:val="20"/>
        </w:rPr>
        <w:t>cyc</w:t>
      </w:r>
      <w:r w:rsidRPr="00C050B2">
        <w:rPr>
          <w:rFonts w:eastAsia="Arial" w:cs="Arial"/>
          <w:i/>
          <w:spacing w:val="-3"/>
          <w:szCs w:val="20"/>
        </w:rPr>
        <w:t>l</w:t>
      </w:r>
      <w:r w:rsidRPr="00C050B2">
        <w:rPr>
          <w:rFonts w:eastAsia="Arial" w:cs="Arial"/>
          <w:i/>
          <w:spacing w:val="1"/>
          <w:szCs w:val="20"/>
        </w:rPr>
        <w:t>e</w:t>
      </w:r>
      <w:r w:rsidRPr="00C050B2">
        <w:rPr>
          <w:rFonts w:eastAsia="Arial" w:cs="Arial"/>
          <w:i/>
          <w:szCs w:val="20"/>
        </w:rPr>
        <w:t xml:space="preserve">, </w:t>
      </w:r>
      <w:r w:rsidRPr="00C050B2">
        <w:rPr>
          <w:rFonts w:eastAsia="Arial" w:cs="Arial"/>
          <w:i/>
          <w:spacing w:val="1"/>
          <w:szCs w:val="20"/>
        </w:rPr>
        <w:t>in</w:t>
      </w:r>
      <w:r w:rsidRPr="00C050B2">
        <w:rPr>
          <w:rFonts w:eastAsia="Arial" w:cs="Arial"/>
          <w:i/>
          <w:szCs w:val="20"/>
        </w:rPr>
        <w:t>c</w:t>
      </w:r>
      <w:r w:rsidRPr="00C050B2">
        <w:rPr>
          <w:rFonts w:eastAsia="Arial" w:cs="Arial"/>
          <w:i/>
          <w:spacing w:val="1"/>
          <w:szCs w:val="20"/>
        </w:rPr>
        <w:t>l</w:t>
      </w:r>
      <w:r w:rsidRPr="00C050B2">
        <w:rPr>
          <w:rFonts w:eastAsia="Arial" w:cs="Arial"/>
          <w:i/>
          <w:spacing w:val="-3"/>
          <w:szCs w:val="20"/>
        </w:rPr>
        <w:t>u</w:t>
      </w:r>
      <w:r w:rsidRPr="00C050B2">
        <w:rPr>
          <w:rFonts w:eastAsia="Arial" w:cs="Arial"/>
          <w:i/>
          <w:spacing w:val="1"/>
          <w:szCs w:val="20"/>
        </w:rPr>
        <w:t>di</w:t>
      </w:r>
      <w:r w:rsidRPr="00C050B2">
        <w:rPr>
          <w:rFonts w:eastAsia="Arial" w:cs="Arial"/>
          <w:i/>
          <w:spacing w:val="-3"/>
          <w:szCs w:val="20"/>
        </w:rPr>
        <w:t>n</w:t>
      </w:r>
      <w:r w:rsidRPr="00C050B2">
        <w:rPr>
          <w:rFonts w:eastAsia="Arial" w:cs="Arial"/>
          <w:i/>
          <w:szCs w:val="20"/>
        </w:rPr>
        <w:t xml:space="preserve">g </w:t>
      </w:r>
      <w:r w:rsidRPr="00C050B2">
        <w:rPr>
          <w:rFonts w:eastAsia="Arial" w:cs="Arial"/>
          <w:i/>
          <w:spacing w:val="1"/>
          <w:szCs w:val="20"/>
        </w:rPr>
        <w:t>de</w:t>
      </w:r>
      <w:r w:rsidRPr="00C050B2">
        <w:rPr>
          <w:rFonts w:eastAsia="Arial" w:cs="Arial"/>
          <w:i/>
          <w:szCs w:val="20"/>
        </w:rPr>
        <w:t>v</w:t>
      </w:r>
      <w:r w:rsidRPr="00C050B2">
        <w:rPr>
          <w:rFonts w:eastAsia="Arial" w:cs="Arial"/>
          <w:i/>
          <w:spacing w:val="1"/>
          <w:szCs w:val="20"/>
        </w:rPr>
        <w:t>e</w:t>
      </w:r>
      <w:r w:rsidRPr="00C050B2">
        <w:rPr>
          <w:rFonts w:eastAsia="Arial" w:cs="Arial"/>
          <w:i/>
          <w:spacing w:val="-3"/>
          <w:szCs w:val="20"/>
        </w:rPr>
        <w:t>l</w:t>
      </w:r>
      <w:r w:rsidRPr="00C050B2">
        <w:rPr>
          <w:rFonts w:eastAsia="Arial" w:cs="Arial"/>
          <w:i/>
          <w:spacing w:val="1"/>
          <w:szCs w:val="20"/>
        </w:rPr>
        <w:t>op</w:t>
      </w:r>
      <w:r w:rsidRPr="00C050B2">
        <w:rPr>
          <w:rFonts w:eastAsia="Arial" w:cs="Arial"/>
          <w:i/>
          <w:szCs w:val="20"/>
        </w:rPr>
        <w:t>m</w:t>
      </w:r>
      <w:r w:rsidRPr="00C050B2">
        <w:rPr>
          <w:rFonts w:eastAsia="Arial" w:cs="Arial"/>
          <w:i/>
          <w:spacing w:val="-3"/>
          <w:szCs w:val="20"/>
        </w:rPr>
        <w:t>e</w:t>
      </w:r>
      <w:r w:rsidRPr="00C050B2">
        <w:rPr>
          <w:rFonts w:eastAsia="Arial" w:cs="Arial"/>
          <w:i/>
          <w:spacing w:val="1"/>
          <w:szCs w:val="20"/>
        </w:rPr>
        <w:t>n</w:t>
      </w:r>
      <w:r w:rsidRPr="00C050B2">
        <w:rPr>
          <w:rFonts w:eastAsia="Arial" w:cs="Arial"/>
          <w:i/>
          <w:spacing w:val="-2"/>
          <w:szCs w:val="20"/>
        </w:rPr>
        <w:t>t</w:t>
      </w:r>
      <w:r w:rsidRPr="00C050B2">
        <w:rPr>
          <w:rFonts w:eastAsia="Arial" w:cs="Arial"/>
          <w:i/>
          <w:szCs w:val="20"/>
        </w:rPr>
        <w:t>,</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s</w:t>
      </w:r>
      <w:r w:rsidRPr="00C050B2">
        <w:rPr>
          <w:rFonts w:eastAsia="Arial" w:cs="Arial"/>
          <w:i/>
          <w:spacing w:val="-2"/>
          <w:szCs w:val="20"/>
        </w:rPr>
        <w:t>t</w:t>
      </w:r>
      <w:r w:rsidRPr="00C050B2">
        <w:rPr>
          <w:rFonts w:eastAsia="Arial" w:cs="Arial"/>
          <w:i/>
          <w:spacing w:val="1"/>
          <w:szCs w:val="20"/>
        </w:rPr>
        <w:t>ing</w:t>
      </w:r>
      <w:r w:rsidRPr="00C050B2">
        <w:rPr>
          <w:rFonts w:eastAsia="Arial" w:cs="Arial"/>
          <w:i/>
          <w:szCs w:val="20"/>
        </w:rPr>
        <w:t>,</w:t>
      </w:r>
      <w:r w:rsidRPr="00C050B2">
        <w:rPr>
          <w:rFonts w:eastAsia="Arial" w:cs="Arial"/>
          <w:i/>
          <w:spacing w:val="-3"/>
          <w:szCs w:val="20"/>
        </w:rPr>
        <w:t xml:space="preserve"> </w:t>
      </w:r>
      <w:r w:rsidRPr="00C050B2">
        <w:rPr>
          <w:rFonts w:eastAsia="Arial" w:cs="Arial"/>
          <w:i/>
          <w:spacing w:val="1"/>
          <w:szCs w:val="20"/>
        </w:rPr>
        <w:t>i</w:t>
      </w:r>
      <w:r w:rsidRPr="00C050B2">
        <w:rPr>
          <w:rFonts w:eastAsia="Arial" w:cs="Arial"/>
          <w:i/>
          <w:spacing w:val="6"/>
          <w:szCs w:val="20"/>
        </w:rPr>
        <w:t>n</w:t>
      </w:r>
      <w:r w:rsidRPr="00C050B2">
        <w:rPr>
          <w:rFonts w:eastAsia="Arial" w:cs="Arial"/>
          <w:i/>
          <w:szCs w:val="20"/>
        </w:rPr>
        <w:t>-s</w:t>
      </w:r>
      <w:r w:rsidRPr="00C050B2">
        <w:rPr>
          <w:rFonts w:eastAsia="Arial" w:cs="Arial"/>
          <w:i/>
          <w:spacing w:val="1"/>
          <w:szCs w:val="20"/>
        </w:rPr>
        <w:t>e</w:t>
      </w:r>
      <w:r w:rsidRPr="00C050B2">
        <w:rPr>
          <w:rFonts w:eastAsia="Arial" w:cs="Arial"/>
          <w:i/>
          <w:szCs w:val="20"/>
        </w:rPr>
        <w:t>rv</w:t>
      </w:r>
      <w:r w:rsidRPr="00C050B2">
        <w:rPr>
          <w:rFonts w:eastAsia="Arial" w:cs="Arial"/>
          <w:i/>
          <w:spacing w:val="1"/>
          <w:szCs w:val="20"/>
        </w:rPr>
        <w:t>i</w:t>
      </w:r>
      <w:r w:rsidRPr="00C050B2">
        <w:rPr>
          <w:rFonts w:eastAsia="Arial" w:cs="Arial"/>
          <w:i/>
          <w:szCs w:val="20"/>
        </w:rPr>
        <w:t>c</w:t>
      </w:r>
      <w:r w:rsidRPr="00C050B2">
        <w:rPr>
          <w:rFonts w:eastAsia="Arial" w:cs="Arial"/>
          <w:i/>
          <w:spacing w:val="1"/>
          <w:szCs w:val="20"/>
        </w:rPr>
        <w:t>e</w:t>
      </w:r>
      <w:r w:rsidRPr="00C050B2">
        <w:rPr>
          <w:rFonts w:eastAsia="Arial" w:cs="Arial"/>
          <w:i/>
          <w:szCs w:val="20"/>
        </w:rPr>
        <w:t>,</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rm</w:t>
      </w:r>
      <w:r w:rsidRPr="00C050B2">
        <w:rPr>
          <w:rFonts w:eastAsia="Arial" w:cs="Arial"/>
          <w:i/>
          <w:spacing w:val="-3"/>
          <w:szCs w:val="20"/>
        </w:rPr>
        <w:t>i</w:t>
      </w:r>
      <w:r w:rsidRPr="00C050B2">
        <w:rPr>
          <w:rFonts w:eastAsia="Arial" w:cs="Arial"/>
          <w:i/>
          <w:spacing w:val="1"/>
          <w:szCs w:val="20"/>
        </w:rPr>
        <w:t>na</w:t>
      </w:r>
      <w:r w:rsidRPr="00C050B2">
        <w:rPr>
          <w:rFonts w:eastAsia="Arial" w:cs="Arial"/>
          <w:i/>
          <w:spacing w:val="-2"/>
          <w:szCs w:val="20"/>
        </w:rPr>
        <w:t>t</w:t>
      </w:r>
      <w:r w:rsidRPr="00C050B2">
        <w:rPr>
          <w:rFonts w:eastAsia="Arial" w:cs="Arial"/>
          <w:i/>
          <w:spacing w:val="1"/>
          <w:szCs w:val="20"/>
        </w:rPr>
        <w:t>io</w:t>
      </w:r>
      <w:r w:rsidRPr="00C050B2">
        <w:rPr>
          <w:rFonts w:eastAsia="Arial" w:cs="Arial"/>
          <w:i/>
          <w:szCs w:val="20"/>
        </w:rPr>
        <w:t xml:space="preserve">n </w:t>
      </w:r>
      <w:r w:rsidRPr="00C050B2">
        <w:rPr>
          <w:rFonts w:eastAsia="Arial" w:cs="Arial"/>
          <w:i/>
          <w:spacing w:val="1"/>
          <w:szCs w:val="20"/>
        </w:rPr>
        <w:t>a</w:t>
      </w:r>
      <w:r w:rsidRPr="00C050B2">
        <w:rPr>
          <w:rFonts w:eastAsia="Arial" w:cs="Arial"/>
          <w:i/>
          <w:spacing w:val="-3"/>
          <w:szCs w:val="20"/>
        </w:rPr>
        <w:t>n</w:t>
      </w:r>
      <w:r w:rsidRPr="00C050B2">
        <w:rPr>
          <w:rFonts w:eastAsia="Arial" w:cs="Arial"/>
          <w:i/>
          <w:szCs w:val="20"/>
        </w:rPr>
        <w:t xml:space="preserve">d </w:t>
      </w:r>
      <w:r w:rsidRPr="00C050B2">
        <w:rPr>
          <w:rFonts w:eastAsia="Arial" w:cs="Arial"/>
          <w:i/>
          <w:spacing w:val="1"/>
          <w:szCs w:val="20"/>
        </w:rPr>
        <w:t>o</w:t>
      </w:r>
      <w:r w:rsidRPr="00C050B2">
        <w:rPr>
          <w:rFonts w:eastAsia="Arial" w:cs="Arial"/>
          <w:i/>
          <w:spacing w:val="4"/>
          <w:szCs w:val="20"/>
        </w:rPr>
        <w:t>n</w:t>
      </w:r>
      <w:r w:rsidRPr="00C050B2">
        <w:rPr>
          <w:rFonts w:eastAsia="Arial" w:cs="Arial"/>
          <w:i/>
          <w:szCs w:val="20"/>
        </w:rPr>
        <w:t>-</w:t>
      </w:r>
      <w:r w:rsidRPr="00C050B2">
        <w:rPr>
          <w:rFonts w:eastAsia="Arial" w:cs="Arial"/>
          <w:i/>
          <w:spacing w:val="-3"/>
          <w:szCs w:val="20"/>
        </w:rPr>
        <w:t>g</w:t>
      </w:r>
      <w:r w:rsidRPr="00C050B2">
        <w:rPr>
          <w:rFonts w:eastAsia="Arial" w:cs="Arial"/>
          <w:i/>
          <w:spacing w:val="1"/>
          <w:szCs w:val="20"/>
        </w:rPr>
        <w:t>oi</w:t>
      </w:r>
      <w:r w:rsidRPr="00C050B2">
        <w:rPr>
          <w:rFonts w:eastAsia="Arial" w:cs="Arial"/>
          <w:i/>
          <w:spacing w:val="-3"/>
          <w:szCs w:val="20"/>
        </w:rPr>
        <w:t>n</w:t>
      </w:r>
      <w:r w:rsidRPr="00C050B2">
        <w:rPr>
          <w:rFonts w:eastAsia="Arial" w:cs="Arial"/>
          <w:i/>
          <w:szCs w:val="20"/>
        </w:rPr>
        <w:t>g r</w:t>
      </w:r>
      <w:r w:rsidRPr="00C050B2">
        <w:rPr>
          <w:rFonts w:eastAsia="Arial" w:cs="Arial"/>
          <w:i/>
          <w:spacing w:val="1"/>
          <w:szCs w:val="20"/>
        </w:rPr>
        <w:t>i</w:t>
      </w:r>
      <w:r w:rsidRPr="00C050B2">
        <w:rPr>
          <w:rFonts w:eastAsia="Arial" w:cs="Arial"/>
          <w:i/>
          <w:szCs w:val="20"/>
        </w:rPr>
        <w:t>sk</w:t>
      </w:r>
      <w:r>
        <w:rPr>
          <w:rFonts w:eastAsia="Arial" w:cs="Arial"/>
          <w:i/>
          <w:szCs w:val="20"/>
        </w:rPr>
        <w:t xml:space="preserve"> </w:t>
      </w:r>
      <w:r w:rsidRPr="00C050B2">
        <w:rPr>
          <w:rFonts w:eastAsia="Arial" w:cs="Arial"/>
          <w:i/>
          <w:szCs w:val="20"/>
        </w:rPr>
        <w:t>m</w:t>
      </w:r>
      <w:r w:rsidRPr="00C050B2">
        <w:rPr>
          <w:rFonts w:eastAsia="Arial" w:cs="Arial"/>
          <w:i/>
          <w:spacing w:val="1"/>
          <w:szCs w:val="20"/>
        </w:rPr>
        <w:t>ana</w:t>
      </w:r>
      <w:r w:rsidRPr="00C050B2">
        <w:rPr>
          <w:rFonts w:eastAsia="Arial" w:cs="Arial"/>
          <w:i/>
          <w:spacing w:val="-3"/>
          <w:szCs w:val="20"/>
        </w:rPr>
        <w:t>g</w:t>
      </w:r>
      <w:r w:rsidRPr="00C050B2">
        <w:rPr>
          <w:rFonts w:eastAsia="Arial" w:cs="Arial"/>
          <w:i/>
          <w:spacing w:val="1"/>
          <w:szCs w:val="20"/>
        </w:rPr>
        <w:t>e</w:t>
      </w:r>
      <w:r w:rsidRPr="00C050B2">
        <w:rPr>
          <w:rFonts w:eastAsia="Arial" w:cs="Arial"/>
          <w:i/>
          <w:szCs w:val="20"/>
        </w:rPr>
        <w:t>m</w:t>
      </w:r>
      <w:r w:rsidRPr="00C050B2">
        <w:rPr>
          <w:rFonts w:eastAsia="Arial" w:cs="Arial"/>
          <w:i/>
          <w:spacing w:val="1"/>
          <w:szCs w:val="20"/>
        </w:rPr>
        <w:t>en</w:t>
      </w:r>
      <w:r w:rsidRPr="00C050B2">
        <w:rPr>
          <w:rFonts w:eastAsia="Arial" w:cs="Arial"/>
          <w:i/>
          <w:szCs w:val="20"/>
        </w:rPr>
        <w:t>t</w:t>
      </w:r>
      <w:r w:rsidRPr="00C050B2">
        <w:rPr>
          <w:rFonts w:eastAsia="Arial" w:cs="Arial"/>
          <w:i/>
          <w:spacing w:val="-3"/>
          <w:szCs w:val="20"/>
        </w:rPr>
        <w:t xml:space="preserve"> </w:t>
      </w:r>
      <w:r w:rsidRPr="00C050B2">
        <w:rPr>
          <w:rFonts w:eastAsia="Arial" w:cs="Arial"/>
          <w:i/>
          <w:spacing w:val="1"/>
          <w:szCs w:val="20"/>
        </w:rPr>
        <w:t>an</w:t>
      </w:r>
      <w:r w:rsidRPr="00C050B2">
        <w:rPr>
          <w:rFonts w:eastAsia="Arial" w:cs="Arial"/>
          <w:i/>
          <w:szCs w:val="20"/>
        </w:rPr>
        <w:t xml:space="preserve">d </w:t>
      </w:r>
      <w:r w:rsidRPr="00C050B2">
        <w:rPr>
          <w:rFonts w:eastAsia="Arial" w:cs="Arial"/>
          <w:i/>
          <w:spacing w:val="1"/>
          <w:szCs w:val="20"/>
        </w:rPr>
        <w:t>a</w:t>
      </w:r>
      <w:r w:rsidRPr="00C050B2">
        <w:rPr>
          <w:rFonts w:eastAsia="Arial" w:cs="Arial"/>
          <w:i/>
          <w:szCs w:val="20"/>
        </w:rPr>
        <w:t>cc</w:t>
      </w:r>
      <w:r w:rsidRPr="00C050B2">
        <w:rPr>
          <w:rFonts w:eastAsia="Arial" w:cs="Arial"/>
          <w:i/>
          <w:spacing w:val="-5"/>
          <w:szCs w:val="20"/>
        </w:rPr>
        <w:t>r</w:t>
      </w:r>
      <w:r w:rsidRPr="00C050B2">
        <w:rPr>
          <w:rFonts w:eastAsia="Arial" w:cs="Arial"/>
          <w:i/>
          <w:spacing w:val="1"/>
          <w:szCs w:val="20"/>
        </w:rPr>
        <w:t>edi</w:t>
      </w:r>
      <w:r w:rsidRPr="00C050B2">
        <w:rPr>
          <w:rFonts w:eastAsia="Arial" w:cs="Arial"/>
          <w:i/>
          <w:spacing w:val="-2"/>
          <w:szCs w:val="20"/>
        </w:rPr>
        <w:t>t</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3"/>
          <w:szCs w:val="20"/>
        </w:rPr>
        <w:t>i</w:t>
      </w:r>
      <w:r w:rsidRPr="00C050B2">
        <w:rPr>
          <w:rFonts w:eastAsia="Arial" w:cs="Arial"/>
          <w:i/>
          <w:spacing w:val="1"/>
          <w:szCs w:val="20"/>
        </w:rPr>
        <w:t>o</w:t>
      </w:r>
      <w:r w:rsidRPr="00C050B2">
        <w:rPr>
          <w:rFonts w:eastAsia="Arial" w:cs="Arial"/>
          <w:i/>
          <w:szCs w:val="20"/>
        </w:rPr>
        <w:t xml:space="preserve">n </w:t>
      </w:r>
      <w:r w:rsidRPr="00C050B2">
        <w:rPr>
          <w:rFonts w:eastAsia="Arial" w:cs="Arial"/>
          <w:i/>
          <w:spacing w:val="1"/>
          <w:szCs w:val="20"/>
        </w:rPr>
        <w:t>a</w:t>
      </w:r>
      <w:r w:rsidRPr="00C050B2">
        <w:rPr>
          <w:rFonts w:eastAsia="Arial" w:cs="Arial"/>
          <w:i/>
          <w:szCs w:val="20"/>
        </w:rPr>
        <w:t>ss</w:t>
      </w:r>
      <w:r w:rsidRPr="00C050B2">
        <w:rPr>
          <w:rFonts w:eastAsia="Arial" w:cs="Arial"/>
          <w:i/>
          <w:spacing w:val="1"/>
          <w:szCs w:val="20"/>
        </w:rPr>
        <w:t>u</w:t>
      </w:r>
      <w:r w:rsidRPr="00C050B2">
        <w:rPr>
          <w:rFonts w:eastAsia="Arial" w:cs="Arial"/>
          <w:i/>
          <w:spacing w:val="-5"/>
          <w:szCs w:val="20"/>
        </w:rPr>
        <w:t>r</w:t>
      </w:r>
      <w:r w:rsidRPr="00C050B2">
        <w:rPr>
          <w:rFonts w:eastAsia="Arial" w:cs="Arial"/>
          <w:i/>
          <w:spacing w:val="1"/>
          <w:szCs w:val="20"/>
        </w:rPr>
        <w:t>an</w:t>
      </w:r>
      <w:r w:rsidRPr="00C050B2">
        <w:rPr>
          <w:rFonts w:eastAsia="Arial" w:cs="Arial"/>
          <w:i/>
          <w:szCs w:val="20"/>
        </w:rPr>
        <w:t>c</w:t>
      </w:r>
      <w:r w:rsidRPr="00C050B2">
        <w:rPr>
          <w:rFonts w:eastAsia="Arial" w:cs="Arial"/>
          <w:i/>
          <w:spacing w:val="1"/>
          <w:szCs w:val="20"/>
        </w:rPr>
        <w:t>e</w:t>
      </w:r>
      <w:r w:rsidRPr="00C050B2">
        <w:rPr>
          <w:rFonts w:eastAsia="Arial" w:cs="Arial"/>
          <w:i/>
          <w:szCs w:val="20"/>
        </w:rPr>
        <w:t>.</w:t>
      </w:r>
      <w:r w:rsidRPr="00C050B2">
        <w:rPr>
          <w:rFonts w:eastAsia="Arial" w:cs="Arial"/>
          <w:i/>
          <w:spacing w:val="-3"/>
          <w:szCs w:val="20"/>
        </w:rPr>
        <w:t xml:space="preserve"> </w:t>
      </w:r>
      <w:r w:rsidRPr="00C050B2">
        <w:rPr>
          <w:rFonts w:eastAsia="Arial" w:cs="Arial"/>
          <w:i/>
          <w:spacing w:val="1"/>
          <w:szCs w:val="20"/>
        </w:rPr>
        <w:t>De</w:t>
      </w:r>
      <w:r w:rsidRPr="00C050B2">
        <w:rPr>
          <w:rFonts w:eastAsia="Arial" w:cs="Arial"/>
          <w:i/>
          <w:spacing w:val="-2"/>
          <w:szCs w:val="20"/>
        </w:rPr>
        <w:t>t</w:t>
      </w:r>
      <w:r w:rsidRPr="00C050B2">
        <w:rPr>
          <w:rFonts w:eastAsia="Arial" w:cs="Arial"/>
          <w:i/>
          <w:spacing w:val="-3"/>
          <w:szCs w:val="20"/>
        </w:rPr>
        <w:t>a</w:t>
      </w:r>
      <w:r w:rsidRPr="00C050B2">
        <w:rPr>
          <w:rFonts w:eastAsia="Arial" w:cs="Arial"/>
          <w:i/>
          <w:spacing w:val="1"/>
          <w:szCs w:val="20"/>
        </w:rPr>
        <w:t>il</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1"/>
          <w:szCs w:val="20"/>
        </w:rPr>
        <w:t>an</w:t>
      </w:r>
      <w:r w:rsidRPr="00C050B2">
        <w:rPr>
          <w:rFonts w:eastAsia="Arial" w:cs="Arial"/>
          <w:i/>
          <w:szCs w:val="20"/>
        </w:rPr>
        <w:t>y</w:t>
      </w:r>
      <w:r w:rsidRPr="00C050B2">
        <w:rPr>
          <w:rFonts w:eastAsia="Arial" w:cs="Arial"/>
          <w:i/>
          <w:spacing w:val="-1"/>
          <w:szCs w:val="20"/>
        </w:rPr>
        <w:t xml:space="preserve"> </w:t>
      </w:r>
      <w:r w:rsidRPr="00C050B2">
        <w:rPr>
          <w:rFonts w:eastAsia="Arial" w:cs="Arial"/>
          <w:i/>
          <w:spacing w:val="-2"/>
          <w:szCs w:val="20"/>
        </w:rPr>
        <w:t>f</w:t>
      </w:r>
      <w:r w:rsidRPr="00C050B2">
        <w:rPr>
          <w:rFonts w:eastAsia="Arial" w:cs="Arial"/>
          <w:i/>
          <w:spacing w:val="1"/>
          <w:szCs w:val="20"/>
        </w:rPr>
        <w:t>o</w:t>
      </w:r>
      <w:r w:rsidRPr="00C050B2">
        <w:rPr>
          <w:rFonts w:eastAsia="Arial" w:cs="Arial"/>
          <w:i/>
          <w:szCs w:val="20"/>
        </w:rPr>
        <w:t>rm</w:t>
      </w:r>
      <w:r w:rsidRPr="00C050B2">
        <w:rPr>
          <w:rFonts w:eastAsia="Arial" w:cs="Arial"/>
          <w:i/>
          <w:spacing w:val="1"/>
          <w:szCs w:val="20"/>
        </w:rPr>
        <w:t>a</w:t>
      </w:r>
      <w:r w:rsidRPr="00C050B2">
        <w:rPr>
          <w:rFonts w:eastAsia="Arial" w:cs="Arial"/>
          <w:i/>
          <w:szCs w:val="20"/>
        </w:rPr>
        <w:t xml:space="preserve">l </w:t>
      </w:r>
      <w:r w:rsidRPr="00C050B2">
        <w:rPr>
          <w:rFonts w:eastAsia="Arial" w:cs="Arial"/>
          <w:i/>
          <w:spacing w:val="1"/>
          <w:szCs w:val="20"/>
        </w:rPr>
        <w:t>a</w:t>
      </w:r>
      <w:r w:rsidRPr="00C050B2">
        <w:rPr>
          <w:rFonts w:eastAsia="Arial" w:cs="Arial"/>
          <w:i/>
          <w:szCs w:val="20"/>
        </w:rPr>
        <w:t>ss</w:t>
      </w:r>
      <w:r w:rsidRPr="00C050B2">
        <w:rPr>
          <w:rFonts w:eastAsia="Arial" w:cs="Arial"/>
          <w:i/>
          <w:spacing w:val="1"/>
          <w:szCs w:val="20"/>
        </w:rPr>
        <w:t>u</w:t>
      </w:r>
      <w:r w:rsidRPr="00C050B2">
        <w:rPr>
          <w:rFonts w:eastAsia="Arial" w:cs="Arial"/>
          <w:i/>
          <w:szCs w:val="20"/>
        </w:rPr>
        <w:t>r</w:t>
      </w:r>
      <w:r w:rsidRPr="00C050B2">
        <w:rPr>
          <w:rFonts w:eastAsia="Arial" w:cs="Arial"/>
          <w:i/>
          <w:spacing w:val="-3"/>
          <w:szCs w:val="20"/>
        </w:rPr>
        <w:t>a</w:t>
      </w:r>
      <w:r w:rsidRPr="00C050B2">
        <w:rPr>
          <w:rFonts w:eastAsia="Arial" w:cs="Arial"/>
          <w:i/>
          <w:spacing w:val="1"/>
          <w:szCs w:val="20"/>
        </w:rPr>
        <w:t>n</w:t>
      </w:r>
      <w:r w:rsidRPr="00C050B2">
        <w:rPr>
          <w:rFonts w:eastAsia="Arial" w:cs="Arial"/>
          <w:i/>
          <w:szCs w:val="20"/>
        </w:rPr>
        <w:t>ce r</w:t>
      </w:r>
      <w:r w:rsidRPr="00C050B2">
        <w:rPr>
          <w:rFonts w:eastAsia="Arial" w:cs="Arial"/>
          <w:i/>
          <w:spacing w:val="1"/>
          <w:szCs w:val="20"/>
        </w:rPr>
        <w:t>equi</w:t>
      </w:r>
      <w:r w:rsidRPr="00C050B2">
        <w:rPr>
          <w:rFonts w:eastAsia="Arial" w:cs="Arial"/>
          <w:i/>
          <w:spacing w:val="-5"/>
          <w:szCs w:val="20"/>
        </w:rPr>
        <w:t>r</w:t>
      </w:r>
      <w:r w:rsidRPr="00C050B2">
        <w:rPr>
          <w:rFonts w:eastAsia="Arial" w:cs="Arial"/>
          <w:i/>
          <w:spacing w:val="1"/>
          <w:szCs w:val="20"/>
        </w:rPr>
        <w:t>e</w:t>
      </w:r>
      <w:r w:rsidRPr="00C050B2">
        <w:rPr>
          <w:rFonts w:eastAsia="Arial" w:cs="Arial"/>
          <w:i/>
          <w:szCs w:val="20"/>
        </w:rPr>
        <w:t>m</w:t>
      </w:r>
      <w:r w:rsidRPr="00C050B2">
        <w:rPr>
          <w:rFonts w:eastAsia="Arial" w:cs="Arial"/>
          <w:i/>
          <w:spacing w:val="1"/>
          <w:szCs w:val="20"/>
        </w:rPr>
        <w:t>en</w:t>
      </w:r>
      <w:r w:rsidRPr="00C050B2">
        <w:rPr>
          <w:rFonts w:eastAsia="Arial" w:cs="Arial"/>
          <w:i/>
          <w:spacing w:val="-2"/>
          <w:szCs w:val="20"/>
        </w:rPr>
        <w:t>t</w:t>
      </w:r>
      <w:r w:rsidRPr="00C050B2">
        <w:rPr>
          <w:rFonts w:eastAsia="Arial" w:cs="Arial"/>
          <w:i/>
          <w:szCs w:val="20"/>
        </w:rPr>
        <w:t>s</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pe</w:t>
      </w:r>
      <w:r w:rsidRPr="00C050B2">
        <w:rPr>
          <w:rFonts w:eastAsia="Arial" w:cs="Arial"/>
          <w:i/>
          <w:szCs w:val="20"/>
        </w:rPr>
        <w:t>c</w:t>
      </w:r>
      <w:r w:rsidRPr="00C050B2">
        <w:rPr>
          <w:rFonts w:eastAsia="Arial" w:cs="Arial"/>
          <w:i/>
          <w:spacing w:val="1"/>
          <w:szCs w:val="20"/>
        </w:rPr>
        <w:t>i</w:t>
      </w:r>
      <w:r w:rsidRPr="00C050B2">
        <w:rPr>
          <w:rFonts w:eastAsia="Arial" w:cs="Arial"/>
          <w:i/>
          <w:spacing w:val="-2"/>
          <w:szCs w:val="20"/>
        </w:rPr>
        <w:t>f</w:t>
      </w:r>
      <w:r w:rsidRPr="00C050B2">
        <w:rPr>
          <w:rFonts w:eastAsia="Arial" w:cs="Arial"/>
          <w:i/>
          <w:spacing w:val="-3"/>
          <w:szCs w:val="20"/>
        </w:rPr>
        <w:t>i</w:t>
      </w:r>
      <w:r w:rsidRPr="00C050B2">
        <w:rPr>
          <w:rFonts w:eastAsia="Arial" w:cs="Arial"/>
          <w:i/>
          <w:spacing w:val="1"/>
          <w:szCs w:val="20"/>
        </w:rPr>
        <w:t>e</w:t>
      </w:r>
      <w:r w:rsidRPr="00C050B2">
        <w:rPr>
          <w:rFonts w:eastAsia="Arial" w:cs="Arial"/>
          <w:i/>
          <w:szCs w:val="20"/>
        </w:rPr>
        <w:t xml:space="preserve">d </w:t>
      </w:r>
      <w:r w:rsidRPr="00C050B2">
        <w:rPr>
          <w:rFonts w:eastAsia="Arial" w:cs="Arial"/>
          <w:i/>
          <w:spacing w:val="1"/>
          <w:szCs w:val="20"/>
        </w:rPr>
        <w:t>i</w:t>
      </w:r>
      <w:r w:rsidRPr="00C050B2">
        <w:rPr>
          <w:rFonts w:eastAsia="Arial" w:cs="Arial"/>
          <w:i/>
          <w:szCs w:val="20"/>
        </w:rPr>
        <w:t xml:space="preserve">n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c</w:t>
      </w:r>
      <w:r w:rsidRPr="00C050B2">
        <w:rPr>
          <w:rFonts w:eastAsia="Arial" w:cs="Arial"/>
          <w:i/>
          <w:spacing w:val="-3"/>
          <w:szCs w:val="20"/>
        </w:rPr>
        <w:t>o</w:t>
      </w:r>
      <w:r w:rsidRPr="00C050B2">
        <w:rPr>
          <w:rFonts w:eastAsia="Arial" w:cs="Arial"/>
          <w:i/>
          <w:spacing w:val="1"/>
          <w:szCs w:val="20"/>
        </w:rPr>
        <w:t>n</w:t>
      </w:r>
      <w:r w:rsidRPr="00C050B2">
        <w:rPr>
          <w:rFonts w:eastAsia="Arial" w:cs="Arial"/>
          <w:i/>
          <w:spacing w:val="-2"/>
          <w:szCs w:val="20"/>
        </w:rPr>
        <w:t>t</w:t>
      </w:r>
      <w:r w:rsidRPr="00C050B2">
        <w:rPr>
          <w:rFonts w:eastAsia="Arial" w:cs="Arial"/>
          <w:i/>
          <w:szCs w:val="20"/>
        </w:rPr>
        <w:t>r</w:t>
      </w:r>
      <w:r w:rsidRPr="00C050B2">
        <w:rPr>
          <w:rFonts w:eastAsia="Arial" w:cs="Arial"/>
          <w:i/>
          <w:spacing w:val="1"/>
          <w:szCs w:val="20"/>
        </w:rPr>
        <w:t>a</w:t>
      </w:r>
      <w:r w:rsidRPr="00C050B2">
        <w:rPr>
          <w:rFonts w:eastAsia="Arial" w:cs="Arial"/>
          <w:i/>
          <w:szCs w:val="20"/>
        </w:rPr>
        <w:t>ct</w:t>
      </w:r>
      <w:r w:rsidRPr="00C050B2">
        <w:rPr>
          <w:rFonts w:eastAsia="Arial" w:cs="Arial"/>
          <w:i/>
          <w:spacing w:val="-3"/>
          <w:szCs w:val="20"/>
        </w:rPr>
        <w:t xml:space="preserve"> </w:t>
      </w:r>
      <w:r w:rsidRPr="00C050B2">
        <w:rPr>
          <w:rFonts w:eastAsia="Arial" w:cs="Arial"/>
          <w:i/>
          <w:szCs w:val="20"/>
        </w:rPr>
        <w:t>s</w:t>
      </w:r>
      <w:r w:rsidRPr="00C050B2">
        <w:rPr>
          <w:rFonts w:eastAsia="Arial" w:cs="Arial"/>
          <w:i/>
          <w:spacing w:val="1"/>
          <w:szCs w:val="20"/>
        </w:rPr>
        <w:t>u</w:t>
      </w:r>
      <w:r w:rsidRPr="00C050B2">
        <w:rPr>
          <w:rFonts w:eastAsia="Arial" w:cs="Arial"/>
          <w:i/>
          <w:szCs w:val="20"/>
        </w:rPr>
        <w:t xml:space="preserve">ch </w:t>
      </w:r>
      <w:r w:rsidRPr="00C050B2">
        <w:rPr>
          <w:rFonts w:eastAsia="Arial" w:cs="Arial"/>
          <w:i/>
          <w:spacing w:val="1"/>
          <w:szCs w:val="20"/>
        </w:rPr>
        <w:t>a</w:t>
      </w:r>
      <w:r w:rsidRPr="00C050B2">
        <w:rPr>
          <w:rFonts w:eastAsia="Arial" w:cs="Arial"/>
          <w:i/>
          <w:szCs w:val="20"/>
        </w:rPr>
        <w:t>s</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e</w:t>
      </w:r>
      <w:r w:rsidRPr="00C050B2">
        <w:rPr>
          <w:rFonts w:eastAsia="Arial" w:cs="Arial"/>
          <w:i/>
          <w:szCs w:val="20"/>
        </w:rPr>
        <w:t>c</w:t>
      </w:r>
      <w:r w:rsidRPr="00C050B2">
        <w:rPr>
          <w:rFonts w:eastAsia="Arial" w:cs="Arial"/>
          <w:i/>
          <w:spacing w:val="1"/>
          <w:szCs w:val="20"/>
        </w:rPr>
        <w:t>u</w:t>
      </w:r>
      <w:r w:rsidRPr="00C050B2">
        <w:rPr>
          <w:rFonts w:eastAsia="Arial" w:cs="Arial"/>
          <w:i/>
          <w:szCs w:val="20"/>
        </w:rPr>
        <w:t>r</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y</w:t>
      </w:r>
      <w:r w:rsidRPr="00C050B2">
        <w:rPr>
          <w:rFonts w:eastAsia="Arial" w:cs="Arial"/>
          <w:i/>
          <w:spacing w:val="-1"/>
          <w:szCs w:val="20"/>
        </w:rPr>
        <w:t xml:space="preserve"> </w:t>
      </w:r>
      <w:r w:rsidRPr="00C050B2">
        <w:rPr>
          <w:rFonts w:eastAsia="Arial" w:cs="Arial"/>
          <w:i/>
          <w:spacing w:val="1"/>
          <w:szCs w:val="20"/>
        </w:rPr>
        <w:t>CH</w:t>
      </w:r>
      <w:r w:rsidRPr="00C050B2">
        <w:rPr>
          <w:rFonts w:eastAsia="Arial" w:cs="Arial"/>
          <w:i/>
          <w:szCs w:val="20"/>
        </w:rPr>
        <w:t>E</w:t>
      </w:r>
      <w:r w:rsidRPr="00C050B2">
        <w:rPr>
          <w:rFonts w:eastAsia="Arial" w:cs="Arial"/>
          <w:i/>
          <w:spacing w:val="1"/>
          <w:szCs w:val="20"/>
        </w:rPr>
        <w:t>C</w:t>
      </w:r>
      <w:r w:rsidRPr="00C050B2">
        <w:rPr>
          <w:rFonts w:eastAsia="Arial" w:cs="Arial"/>
          <w:i/>
          <w:szCs w:val="20"/>
        </w:rPr>
        <w:t>K</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s</w:t>
      </w:r>
      <w:r w:rsidRPr="00C050B2">
        <w:rPr>
          <w:rFonts w:eastAsia="Arial" w:cs="Arial"/>
          <w:i/>
          <w:spacing w:val="-2"/>
          <w:szCs w:val="20"/>
        </w:rPr>
        <w:t>t</w:t>
      </w:r>
      <w:r w:rsidRPr="00C050B2">
        <w:rPr>
          <w:rFonts w:eastAsia="Arial" w:cs="Arial"/>
          <w:i/>
          <w:spacing w:val="1"/>
          <w:szCs w:val="20"/>
        </w:rPr>
        <w:t>i</w:t>
      </w:r>
      <w:r w:rsidRPr="00C050B2">
        <w:rPr>
          <w:rFonts w:eastAsia="Arial" w:cs="Arial"/>
          <w:i/>
          <w:spacing w:val="-3"/>
          <w:szCs w:val="20"/>
        </w:rPr>
        <w:t>n</w:t>
      </w:r>
      <w:r w:rsidRPr="00C050B2">
        <w:rPr>
          <w:rFonts w:eastAsia="Arial" w:cs="Arial"/>
          <w:i/>
          <w:szCs w:val="20"/>
        </w:rPr>
        <w:t xml:space="preserve">g </w:t>
      </w:r>
      <w:r w:rsidRPr="00C050B2">
        <w:rPr>
          <w:rFonts w:eastAsia="Arial" w:cs="Arial"/>
          <w:i/>
          <w:spacing w:val="1"/>
          <w:szCs w:val="20"/>
        </w:rPr>
        <w:t>o</w:t>
      </w:r>
      <w:r w:rsidRPr="00C050B2">
        <w:rPr>
          <w:rFonts w:eastAsia="Arial" w:cs="Arial"/>
          <w:i/>
          <w:szCs w:val="20"/>
        </w:rPr>
        <w:t>r m</w:t>
      </w:r>
      <w:r w:rsidRPr="00C050B2">
        <w:rPr>
          <w:rFonts w:eastAsia="Arial" w:cs="Arial"/>
          <w:i/>
          <w:spacing w:val="1"/>
          <w:szCs w:val="20"/>
        </w:rPr>
        <w:t>ain</w:t>
      </w:r>
      <w:r w:rsidRPr="00C050B2">
        <w:rPr>
          <w:rFonts w:eastAsia="Arial" w:cs="Arial"/>
          <w:i/>
          <w:spacing w:val="-2"/>
          <w:szCs w:val="20"/>
        </w:rPr>
        <w:t>t</w:t>
      </w:r>
      <w:r w:rsidRPr="00C050B2">
        <w:rPr>
          <w:rFonts w:eastAsia="Arial" w:cs="Arial"/>
          <w:i/>
          <w:spacing w:val="1"/>
          <w:szCs w:val="20"/>
        </w:rPr>
        <w:t>a</w:t>
      </w:r>
      <w:r w:rsidRPr="00C050B2">
        <w:rPr>
          <w:rFonts w:eastAsia="Arial" w:cs="Arial"/>
          <w:i/>
          <w:spacing w:val="-3"/>
          <w:szCs w:val="20"/>
        </w:rPr>
        <w:t>i</w:t>
      </w:r>
      <w:r w:rsidRPr="00C050B2">
        <w:rPr>
          <w:rFonts w:eastAsia="Arial" w:cs="Arial"/>
          <w:i/>
          <w:spacing w:val="1"/>
          <w:szCs w:val="20"/>
        </w:rPr>
        <w:t>ne</w:t>
      </w:r>
      <w:r w:rsidRPr="00C050B2">
        <w:rPr>
          <w:rFonts w:eastAsia="Arial" w:cs="Arial"/>
          <w:i/>
          <w:szCs w:val="20"/>
        </w:rPr>
        <w:t xml:space="preserve">d </w:t>
      </w:r>
      <w:r w:rsidRPr="00C050B2">
        <w:rPr>
          <w:rFonts w:eastAsia="Arial" w:cs="Arial"/>
          <w:i/>
          <w:spacing w:val="-2"/>
          <w:szCs w:val="20"/>
        </w:rPr>
        <w:t>I</w:t>
      </w:r>
      <w:r w:rsidRPr="00C050B2">
        <w:rPr>
          <w:rFonts w:eastAsia="Arial" w:cs="Arial"/>
          <w:i/>
          <w:szCs w:val="20"/>
        </w:rPr>
        <w:t>S</w:t>
      </w:r>
      <w:r w:rsidRPr="00C050B2">
        <w:rPr>
          <w:rFonts w:eastAsia="Arial" w:cs="Arial"/>
          <w:i/>
          <w:spacing w:val="-2"/>
          <w:szCs w:val="20"/>
        </w:rPr>
        <w:t>O</w:t>
      </w:r>
      <w:r w:rsidRPr="00C050B2">
        <w:rPr>
          <w:rFonts w:eastAsia="Arial" w:cs="Arial"/>
          <w:i/>
          <w:spacing w:val="1"/>
          <w:szCs w:val="20"/>
        </w:rPr>
        <w:t>270</w:t>
      </w:r>
      <w:r w:rsidRPr="00C050B2">
        <w:rPr>
          <w:rFonts w:eastAsia="Arial" w:cs="Arial"/>
          <w:i/>
          <w:spacing w:val="-3"/>
          <w:szCs w:val="20"/>
        </w:rPr>
        <w:t>0</w:t>
      </w:r>
      <w:r w:rsidRPr="00C050B2">
        <w:rPr>
          <w:rFonts w:eastAsia="Arial" w:cs="Arial"/>
          <w:i/>
          <w:szCs w:val="20"/>
        </w:rPr>
        <w:t>1 c</w:t>
      </w:r>
      <w:r w:rsidRPr="00C050B2">
        <w:rPr>
          <w:rFonts w:eastAsia="Arial" w:cs="Arial"/>
          <w:i/>
          <w:spacing w:val="1"/>
          <w:szCs w:val="20"/>
        </w:rPr>
        <w:t>e</w:t>
      </w:r>
      <w:r w:rsidRPr="00C050B2">
        <w:rPr>
          <w:rFonts w:eastAsia="Arial" w:cs="Arial"/>
          <w:i/>
          <w:szCs w:val="20"/>
        </w:rPr>
        <w:t>r</w:t>
      </w:r>
      <w:r w:rsidRPr="00C050B2">
        <w:rPr>
          <w:rFonts w:eastAsia="Arial" w:cs="Arial"/>
          <w:i/>
          <w:spacing w:val="-2"/>
          <w:szCs w:val="20"/>
        </w:rPr>
        <w:t>t</w:t>
      </w:r>
      <w:r w:rsidRPr="00C050B2">
        <w:rPr>
          <w:rFonts w:eastAsia="Arial" w:cs="Arial"/>
          <w:i/>
          <w:spacing w:val="1"/>
          <w:szCs w:val="20"/>
        </w:rPr>
        <w:t>i</w:t>
      </w:r>
      <w:r w:rsidRPr="00C050B2">
        <w:rPr>
          <w:rFonts w:eastAsia="Arial" w:cs="Arial"/>
          <w:i/>
          <w:spacing w:val="-2"/>
          <w:szCs w:val="20"/>
        </w:rPr>
        <w:t>f</w:t>
      </w:r>
      <w:r w:rsidRPr="00C050B2">
        <w:rPr>
          <w:rFonts w:eastAsia="Arial" w:cs="Arial"/>
          <w:i/>
          <w:spacing w:val="1"/>
          <w:szCs w:val="20"/>
        </w:rPr>
        <w:t>i</w:t>
      </w:r>
      <w:r w:rsidRPr="00C050B2">
        <w:rPr>
          <w:rFonts w:eastAsia="Arial" w:cs="Arial"/>
          <w:i/>
          <w:szCs w:val="20"/>
        </w:rPr>
        <w:t>c</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1"/>
          <w:szCs w:val="20"/>
        </w:rPr>
        <w:t>i</w:t>
      </w:r>
      <w:r w:rsidRPr="00C050B2">
        <w:rPr>
          <w:rFonts w:eastAsia="Arial" w:cs="Arial"/>
          <w:i/>
          <w:spacing w:val="-3"/>
          <w:szCs w:val="20"/>
        </w:rPr>
        <w:t>o</w:t>
      </w:r>
      <w:r w:rsidRPr="00C050B2">
        <w:rPr>
          <w:rFonts w:eastAsia="Arial" w:cs="Arial"/>
          <w:i/>
          <w:szCs w:val="20"/>
        </w:rPr>
        <w:t>n s</w:t>
      </w:r>
      <w:r w:rsidRPr="00C050B2">
        <w:rPr>
          <w:rFonts w:eastAsia="Arial" w:cs="Arial"/>
          <w:i/>
          <w:spacing w:val="1"/>
          <w:szCs w:val="20"/>
        </w:rPr>
        <w:t>hou</w:t>
      </w:r>
      <w:r w:rsidRPr="00C050B2">
        <w:rPr>
          <w:rFonts w:eastAsia="Arial" w:cs="Arial"/>
          <w:i/>
          <w:spacing w:val="-3"/>
          <w:szCs w:val="20"/>
        </w:rPr>
        <w:t>l</w:t>
      </w:r>
      <w:r w:rsidRPr="00C050B2">
        <w:rPr>
          <w:rFonts w:eastAsia="Arial" w:cs="Arial"/>
          <w:i/>
          <w:szCs w:val="20"/>
        </w:rPr>
        <w:t xml:space="preserve">d </w:t>
      </w:r>
      <w:r w:rsidRPr="00C050B2">
        <w:rPr>
          <w:rFonts w:eastAsia="Arial" w:cs="Arial"/>
          <w:i/>
          <w:spacing w:val="1"/>
          <w:szCs w:val="20"/>
        </w:rPr>
        <w:t>b</w:t>
      </w:r>
      <w:r w:rsidRPr="00C050B2">
        <w:rPr>
          <w:rFonts w:eastAsia="Arial" w:cs="Arial"/>
          <w:i/>
          <w:szCs w:val="20"/>
        </w:rPr>
        <w:t xml:space="preserve">e </w:t>
      </w:r>
      <w:r w:rsidRPr="00C050B2">
        <w:rPr>
          <w:rFonts w:eastAsia="Arial" w:cs="Arial"/>
          <w:i/>
          <w:spacing w:val="1"/>
          <w:szCs w:val="20"/>
        </w:rPr>
        <w:t>in</w:t>
      </w:r>
      <w:r w:rsidRPr="00C050B2">
        <w:rPr>
          <w:rFonts w:eastAsia="Arial" w:cs="Arial"/>
          <w:i/>
          <w:spacing w:val="-5"/>
          <w:szCs w:val="20"/>
        </w:rPr>
        <w:t>c</w:t>
      </w:r>
      <w:r w:rsidRPr="00C050B2">
        <w:rPr>
          <w:rFonts w:eastAsia="Arial" w:cs="Arial"/>
          <w:i/>
          <w:spacing w:val="1"/>
          <w:szCs w:val="20"/>
        </w:rPr>
        <w:t>lud</w:t>
      </w:r>
      <w:r w:rsidRPr="00C050B2">
        <w:rPr>
          <w:rFonts w:eastAsia="Arial" w:cs="Arial"/>
          <w:i/>
          <w:spacing w:val="-3"/>
          <w:szCs w:val="20"/>
        </w:rPr>
        <w:t>e</w:t>
      </w:r>
      <w:r w:rsidRPr="00C050B2">
        <w:rPr>
          <w:rFonts w:eastAsia="Arial" w:cs="Arial"/>
          <w:i/>
          <w:spacing w:val="1"/>
          <w:szCs w:val="20"/>
        </w:rPr>
        <w:t>d</w:t>
      </w:r>
      <w:r w:rsidRPr="00C050B2">
        <w:rPr>
          <w:rFonts w:eastAsia="Arial" w:cs="Arial"/>
          <w:i/>
          <w:szCs w:val="20"/>
        </w:rPr>
        <w:t>.</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hi</w:t>
      </w:r>
      <w:r w:rsidRPr="00C050B2">
        <w:rPr>
          <w:rFonts w:eastAsia="Arial" w:cs="Arial"/>
          <w:i/>
          <w:szCs w:val="20"/>
        </w:rPr>
        <w:t>s</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e</w:t>
      </w:r>
      <w:r w:rsidRPr="00C050B2">
        <w:rPr>
          <w:rFonts w:eastAsia="Arial" w:cs="Arial"/>
          <w:i/>
          <w:szCs w:val="20"/>
        </w:rPr>
        <w:t>c</w:t>
      </w:r>
      <w:r w:rsidRPr="00C050B2">
        <w:rPr>
          <w:rFonts w:eastAsia="Arial" w:cs="Arial"/>
          <w:i/>
          <w:spacing w:val="-2"/>
          <w:szCs w:val="20"/>
        </w:rPr>
        <w:t>t</w:t>
      </w:r>
      <w:r w:rsidRPr="00C050B2">
        <w:rPr>
          <w:rFonts w:eastAsia="Arial" w:cs="Arial"/>
          <w:i/>
          <w:spacing w:val="1"/>
          <w:szCs w:val="20"/>
        </w:rPr>
        <w:t>io</w:t>
      </w:r>
      <w:r w:rsidRPr="00C050B2">
        <w:rPr>
          <w:rFonts w:eastAsia="Arial" w:cs="Arial"/>
          <w:i/>
          <w:szCs w:val="20"/>
        </w:rPr>
        <w:t>n s</w:t>
      </w:r>
      <w:r w:rsidRPr="00C050B2">
        <w:rPr>
          <w:rFonts w:eastAsia="Arial" w:cs="Arial"/>
          <w:i/>
          <w:spacing w:val="1"/>
          <w:szCs w:val="20"/>
        </w:rPr>
        <w:t>ho</w:t>
      </w:r>
      <w:r w:rsidRPr="00C050B2">
        <w:rPr>
          <w:rFonts w:eastAsia="Arial" w:cs="Arial"/>
          <w:i/>
          <w:spacing w:val="-3"/>
          <w:szCs w:val="20"/>
        </w:rPr>
        <w:t>u</w:t>
      </w:r>
      <w:r w:rsidRPr="00C050B2">
        <w:rPr>
          <w:rFonts w:eastAsia="Arial" w:cs="Arial"/>
          <w:i/>
          <w:spacing w:val="1"/>
          <w:szCs w:val="20"/>
        </w:rPr>
        <w:t>l</w:t>
      </w:r>
      <w:r w:rsidRPr="00C050B2">
        <w:rPr>
          <w:rFonts w:eastAsia="Arial" w:cs="Arial"/>
          <w:i/>
          <w:szCs w:val="20"/>
        </w:rPr>
        <w:t xml:space="preserve">d </w:t>
      </w:r>
      <w:r w:rsidRPr="00C050B2">
        <w:rPr>
          <w:rFonts w:eastAsia="Arial" w:cs="Arial"/>
          <w:i/>
          <w:spacing w:val="1"/>
          <w:szCs w:val="20"/>
        </w:rPr>
        <w:t>in</w:t>
      </w:r>
      <w:r w:rsidRPr="00C050B2">
        <w:rPr>
          <w:rFonts w:eastAsia="Arial" w:cs="Arial"/>
          <w:i/>
          <w:szCs w:val="20"/>
        </w:rPr>
        <w:t>c</w:t>
      </w:r>
      <w:r w:rsidRPr="00C050B2">
        <w:rPr>
          <w:rFonts w:eastAsia="Arial" w:cs="Arial"/>
          <w:i/>
          <w:spacing w:val="1"/>
          <w:szCs w:val="20"/>
        </w:rPr>
        <w:t>l</w:t>
      </w:r>
      <w:r w:rsidRPr="00C050B2">
        <w:rPr>
          <w:rFonts w:eastAsia="Arial" w:cs="Arial"/>
          <w:i/>
          <w:spacing w:val="-3"/>
          <w:szCs w:val="20"/>
        </w:rPr>
        <w:t>u</w:t>
      </w:r>
      <w:r w:rsidRPr="00C050B2">
        <w:rPr>
          <w:rFonts w:eastAsia="Arial" w:cs="Arial"/>
          <w:i/>
          <w:spacing w:val="1"/>
          <w:szCs w:val="20"/>
        </w:rPr>
        <w:t>d</w:t>
      </w:r>
      <w:r w:rsidRPr="00C050B2">
        <w:rPr>
          <w:rFonts w:eastAsia="Arial" w:cs="Arial"/>
          <w:i/>
          <w:szCs w:val="20"/>
        </w:rPr>
        <w:t xml:space="preserve">e </w:t>
      </w:r>
      <w:r w:rsidRPr="00C050B2">
        <w:rPr>
          <w:rFonts w:eastAsia="Arial" w:cs="Arial"/>
          <w:i/>
          <w:spacing w:val="1"/>
          <w:szCs w:val="20"/>
        </w:rPr>
        <w:t>a</w:t>
      </w:r>
      <w:r w:rsidRPr="00C050B2">
        <w:rPr>
          <w:rFonts w:eastAsia="Arial" w:cs="Arial"/>
          <w:i/>
          <w:szCs w:val="20"/>
        </w:rPr>
        <w:t>t</w:t>
      </w:r>
      <w:r w:rsidRPr="00C050B2">
        <w:rPr>
          <w:rFonts w:eastAsia="Arial" w:cs="Arial"/>
          <w:i/>
          <w:spacing w:val="-3"/>
          <w:szCs w:val="20"/>
        </w:rPr>
        <w:t xml:space="preserve"> </w:t>
      </w:r>
      <w:r w:rsidRPr="00C050B2">
        <w:rPr>
          <w:rFonts w:eastAsia="Arial" w:cs="Arial"/>
          <w:i/>
          <w:spacing w:val="1"/>
          <w:szCs w:val="20"/>
        </w:rPr>
        <w:t>lea</w:t>
      </w:r>
      <w:r w:rsidRPr="00C050B2">
        <w:rPr>
          <w:rFonts w:eastAsia="Arial" w:cs="Arial"/>
          <w:i/>
          <w:szCs w:val="20"/>
        </w:rPr>
        <w:t>s</w:t>
      </w:r>
      <w:r w:rsidRPr="00C050B2">
        <w:rPr>
          <w:rFonts w:eastAsia="Arial" w:cs="Arial"/>
          <w:i/>
          <w:spacing w:val="-2"/>
          <w:szCs w:val="20"/>
        </w:rPr>
        <w:t>t</w:t>
      </w:r>
      <w:r w:rsidRPr="00C050B2">
        <w:rPr>
          <w:rFonts w:eastAsia="Arial" w:cs="Arial"/>
          <w:i/>
          <w:szCs w:val="20"/>
        </w:rPr>
        <w:t>:</w:t>
      </w:r>
    </w:p>
    <w:p w14:paraId="0DBC9757" w14:textId="77777777" w:rsidR="00C1793C" w:rsidRPr="00C050B2" w:rsidRDefault="00C1793C" w:rsidP="00C1793C">
      <w:pPr>
        <w:spacing w:line="243" w:lineRule="auto"/>
        <w:ind w:left="1947" w:right="742" w:hanging="1086"/>
        <w:rPr>
          <w:rFonts w:eastAsia="Arial" w:cs="Arial"/>
          <w:szCs w:val="20"/>
        </w:rPr>
      </w:pPr>
      <w:r w:rsidRPr="00C050B2">
        <w:rPr>
          <w:rFonts w:eastAsia="Arial" w:cs="Arial"/>
          <w:i/>
          <w:szCs w:val="20"/>
        </w:rPr>
        <w:t>(</w:t>
      </w:r>
      <w:r w:rsidRPr="00C050B2">
        <w:rPr>
          <w:rFonts w:eastAsia="Arial" w:cs="Arial"/>
          <w:i/>
          <w:spacing w:val="1"/>
          <w:szCs w:val="20"/>
        </w:rPr>
        <w:t>a</w:t>
      </w:r>
      <w:r w:rsidRPr="00C050B2">
        <w:rPr>
          <w:rFonts w:eastAsia="Arial" w:cs="Arial"/>
          <w:i/>
          <w:szCs w:val="20"/>
        </w:rPr>
        <w:t xml:space="preserve">) </w:t>
      </w:r>
      <w:r w:rsidRPr="00C050B2">
        <w:rPr>
          <w:rFonts w:eastAsia="Arial" w:cs="Arial"/>
          <w:i/>
          <w:spacing w:val="1"/>
          <w:szCs w:val="20"/>
        </w:rPr>
        <w:t>in</w:t>
      </w:r>
      <w:r w:rsidRPr="00C050B2">
        <w:rPr>
          <w:rFonts w:eastAsia="Arial" w:cs="Arial"/>
          <w:i/>
          <w:spacing w:val="-2"/>
          <w:szCs w:val="20"/>
        </w:rPr>
        <w:t>f</w:t>
      </w:r>
      <w:r w:rsidRPr="00C050B2">
        <w:rPr>
          <w:rFonts w:eastAsia="Arial" w:cs="Arial"/>
          <w:i/>
          <w:spacing w:val="1"/>
          <w:szCs w:val="20"/>
        </w:rPr>
        <w:t>o</w:t>
      </w:r>
      <w:r w:rsidRPr="00C050B2">
        <w:rPr>
          <w:rFonts w:eastAsia="Arial" w:cs="Arial"/>
          <w:i/>
          <w:szCs w:val="20"/>
        </w:rPr>
        <w:t>rm</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1"/>
          <w:szCs w:val="20"/>
        </w:rPr>
        <w:t>i</w:t>
      </w:r>
      <w:r w:rsidRPr="00C050B2">
        <w:rPr>
          <w:rFonts w:eastAsia="Arial" w:cs="Arial"/>
          <w:i/>
          <w:spacing w:val="-3"/>
          <w:szCs w:val="20"/>
        </w:rPr>
        <w:t>o</w:t>
      </w:r>
      <w:r w:rsidRPr="00C050B2">
        <w:rPr>
          <w:rFonts w:eastAsia="Arial" w:cs="Arial"/>
          <w:i/>
          <w:szCs w:val="20"/>
        </w:rPr>
        <w:t>n r</w:t>
      </w:r>
      <w:r w:rsidRPr="00C050B2">
        <w:rPr>
          <w:rFonts w:eastAsia="Arial" w:cs="Arial"/>
          <w:i/>
          <w:spacing w:val="1"/>
          <w:szCs w:val="20"/>
        </w:rPr>
        <w:t>i</w:t>
      </w:r>
      <w:r w:rsidRPr="00C050B2">
        <w:rPr>
          <w:rFonts w:eastAsia="Arial" w:cs="Arial"/>
          <w:i/>
          <w:szCs w:val="20"/>
        </w:rPr>
        <w:t>sk</w:t>
      </w:r>
      <w:r w:rsidRPr="00C050B2">
        <w:rPr>
          <w:rFonts w:eastAsia="Arial" w:cs="Arial"/>
          <w:i/>
          <w:spacing w:val="-1"/>
          <w:szCs w:val="20"/>
        </w:rPr>
        <w:t xml:space="preserve"> </w:t>
      </w:r>
      <w:r w:rsidRPr="00C050B2">
        <w:rPr>
          <w:rFonts w:eastAsia="Arial" w:cs="Arial"/>
          <w:i/>
          <w:szCs w:val="20"/>
        </w:rPr>
        <w:t>m</w:t>
      </w:r>
      <w:r w:rsidRPr="00C050B2">
        <w:rPr>
          <w:rFonts w:eastAsia="Arial" w:cs="Arial"/>
          <w:i/>
          <w:spacing w:val="1"/>
          <w:szCs w:val="20"/>
        </w:rPr>
        <w:t>ana</w:t>
      </w:r>
      <w:r w:rsidRPr="00C050B2">
        <w:rPr>
          <w:rFonts w:eastAsia="Arial" w:cs="Arial"/>
          <w:i/>
          <w:spacing w:val="-3"/>
          <w:szCs w:val="20"/>
        </w:rPr>
        <w:t>g</w:t>
      </w:r>
      <w:r w:rsidRPr="00C050B2">
        <w:rPr>
          <w:rFonts w:eastAsia="Arial" w:cs="Arial"/>
          <w:i/>
          <w:spacing w:val="1"/>
          <w:szCs w:val="20"/>
        </w:rPr>
        <w:t>e</w:t>
      </w:r>
      <w:r w:rsidRPr="00C050B2">
        <w:rPr>
          <w:rFonts w:eastAsia="Arial" w:cs="Arial"/>
          <w:i/>
          <w:szCs w:val="20"/>
        </w:rPr>
        <w:t>m</w:t>
      </w:r>
      <w:r w:rsidRPr="00C050B2">
        <w:rPr>
          <w:rFonts w:eastAsia="Arial" w:cs="Arial"/>
          <w:i/>
          <w:spacing w:val="1"/>
          <w:szCs w:val="20"/>
        </w:rPr>
        <w:t>en</w:t>
      </w:r>
      <w:r w:rsidRPr="00C050B2">
        <w:rPr>
          <w:rFonts w:eastAsia="Arial" w:cs="Arial"/>
          <w:i/>
          <w:szCs w:val="20"/>
        </w:rPr>
        <w:t>t</w:t>
      </w:r>
      <w:r w:rsidRPr="00C050B2">
        <w:rPr>
          <w:rFonts w:eastAsia="Arial" w:cs="Arial"/>
          <w:i/>
          <w:spacing w:val="-3"/>
          <w:szCs w:val="20"/>
        </w:rPr>
        <w:t xml:space="preserve"> </w:t>
      </w:r>
      <w:r w:rsidRPr="00C050B2">
        <w:rPr>
          <w:rFonts w:eastAsia="Arial" w:cs="Arial"/>
          <w:i/>
          <w:spacing w:val="1"/>
          <w:szCs w:val="20"/>
        </w:rPr>
        <w:t>a</w:t>
      </w:r>
      <w:r w:rsidRPr="00C050B2">
        <w:rPr>
          <w:rFonts w:eastAsia="Arial" w:cs="Arial"/>
          <w:i/>
          <w:spacing w:val="-3"/>
          <w:szCs w:val="20"/>
        </w:rPr>
        <w:t>n</w:t>
      </w:r>
      <w:r w:rsidRPr="00C050B2">
        <w:rPr>
          <w:rFonts w:eastAsia="Arial" w:cs="Arial"/>
          <w:i/>
          <w:szCs w:val="20"/>
        </w:rPr>
        <w:t xml:space="preserve">d </w:t>
      </w:r>
      <w:r w:rsidRPr="00C050B2">
        <w:rPr>
          <w:rFonts w:eastAsia="Arial" w:cs="Arial"/>
          <w:i/>
          <w:spacing w:val="-2"/>
          <w:szCs w:val="20"/>
        </w:rPr>
        <w:t>t</w:t>
      </w:r>
      <w:r w:rsidRPr="00C050B2">
        <w:rPr>
          <w:rFonts w:eastAsia="Arial" w:cs="Arial"/>
          <w:i/>
          <w:spacing w:val="1"/>
          <w:szCs w:val="20"/>
        </w:rPr>
        <w:t>i</w:t>
      </w:r>
      <w:r w:rsidRPr="00C050B2">
        <w:rPr>
          <w:rFonts w:eastAsia="Arial" w:cs="Arial"/>
          <w:i/>
          <w:szCs w:val="20"/>
        </w:rPr>
        <w:t>m</w:t>
      </w:r>
      <w:r w:rsidRPr="00C050B2">
        <w:rPr>
          <w:rFonts w:eastAsia="Arial" w:cs="Arial"/>
          <w:i/>
          <w:spacing w:val="1"/>
          <w:szCs w:val="20"/>
        </w:rPr>
        <w:t>e</w:t>
      </w:r>
      <w:r w:rsidRPr="00C050B2">
        <w:rPr>
          <w:rFonts w:eastAsia="Arial" w:cs="Arial"/>
          <w:i/>
          <w:szCs w:val="20"/>
        </w:rPr>
        <w:t>sc</w:t>
      </w:r>
      <w:r w:rsidRPr="00C050B2">
        <w:rPr>
          <w:rFonts w:eastAsia="Arial" w:cs="Arial"/>
          <w:i/>
          <w:spacing w:val="1"/>
          <w:szCs w:val="20"/>
        </w:rPr>
        <w:t>a</w:t>
      </w:r>
      <w:r w:rsidRPr="00C050B2">
        <w:rPr>
          <w:rFonts w:eastAsia="Arial" w:cs="Arial"/>
          <w:i/>
          <w:spacing w:val="-3"/>
          <w:szCs w:val="20"/>
        </w:rPr>
        <w:t>l</w:t>
      </w:r>
      <w:r w:rsidRPr="00C050B2">
        <w:rPr>
          <w:rFonts w:eastAsia="Arial" w:cs="Arial"/>
          <w:i/>
          <w:spacing w:val="1"/>
          <w:szCs w:val="20"/>
        </w:rPr>
        <w:t>e</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a</w:t>
      </w:r>
      <w:r w:rsidRPr="00C050B2">
        <w:rPr>
          <w:rFonts w:eastAsia="Arial" w:cs="Arial"/>
          <w:i/>
          <w:spacing w:val="-3"/>
          <w:szCs w:val="20"/>
        </w:rPr>
        <w:t>n</w:t>
      </w:r>
      <w:r w:rsidRPr="00C050B2">
        <w:rPr>
          <w:rFonts w:eastAsia="Arial" w:cs="Arial"/>
          <w:i/>
          <w:szCs w:val="20"/>
        </w:rPr>
        <w:t xml:space="preserve">d </w:t>
      </w:r>
      <w:r w:rsidRPr="00C050B2">
        <w:rPr>
          <w:rFonts w:eastAsia="Arial" w:cs="Arial"/>
          <w:i/>
          <w:spacing w:val="-2"/>
          <w:szCs w:val="20"/>
        </w:rPr>
        <w:t>t</w:t>
      </w:r>
      <w:r w:rsidRPr="00C050B2">
        <w:rPr>
          <w:rFonts w:eastAsia="Arial" w:cs="Arial"/>
          <w:i/>
          <w:szCs w:val="20"/>
        </w:rPr>
        <w:t>r</w:t>
      </w:r>
      <w:r w:rsidRPr="00C050B2">
        <w:rPr>
          <w:rFonts w:eastAsia="Arial" w:cs="Arial"/>
          <w:i/>
          <w:spacing w:val="1"/>
          <w:szCs w:val="20"/>
        </w:rPr>
        <w:t>igge</w:t>
      </w:r>
      <w:r w:rsidRPr="00C050B2">
        <w:rPr>
          <w:rFonts w:eastAsia="Arial" w:cs="Arial"/>
          <w:i/>
          <w:szCs w:val="20"/>
        </w:rPr>
        <w:t>rs</w:t>
      </w:r>
      <w:r w:rsidRPr="00C050B2">
        <w:rPr>
          <w:rFonts w:eastAsia="Arial" w:cs="Arial"/>
          <w:i/>
          <w:spacing w:val="-1"/>
          <w:szCs w:val="20"/>
        </w:rPr>
        <w:t xml:space="preserve"> </w:t>
      </w:r>
      <w:r w:rsidRPr="00C050B2">
        <w:rPr>
          <w:rFonts w:eastAsia="Arial" w:cs="Arial"/>
          <w:i/>
          <w:spacing w:val="-2"/>
          <w:szCs w:val="20"/>
        </w:rPr>
        <w:t>f</w:t>
      </w:r>
      <w:r w:rsidRPr="00C050B2">
        <w:rPr>
          <w:rFonts w:eastAsia="Arial" w:cs="Arial"/>
          <w:i/>
          <w:spacing w:val="1"/>
          <w:szCs w:val="20"/>
        </w:rPr>
        <w:t>o</w:t>
      </w:r>
      <w:r w:rsidRPr="00C050B2">
        <w:rPr>
          <w:rFonts w:eastAsia="Arial" w:cs="Arial"/>
          <w:i/>
          <w:szCs w:val="20"/>
        </w:rPr>
        <w:t>r</w:t>
      </w:r>
      <w:r w:rsidRPr="00C050B2">
        <w:rPr>
          <w:rFonts w:eastAsia="Arial" w:cs="Arial"/>
          <w:i/>
          <w:spacing w:val="-1"/>
          <w:szCs w:val="20"/>
        </w:rPr>
        <w:t xml:space="preserve"> </w:t>
      </w:r>
      <w:r w:rsidRPr="00C050B2">
        <w:rPr>
          <w:rFonts w:eastAsia="Arial" w:cs="Arial"/>
          <w:i/>
          <w:szCs w:val="20"/>
        </w:rPr>
        <w:t xml:space="preserve">a </w:t>
      </w:r>
      <w:proofErr w:type="gramStart"/>
      <w:r w:rsidRPr="00C050B2">
        <w:rPr>
          <w:rFonts w:eastAsia="Arial" w:cs="Arial"/>
          <w:i/>
          <w:szCs w:val="20"/>
        </w:rPr>
        <w:t>r</w:t>
      </w:r>
      <w:r w:rsidRPr="00C050B2">
        <w:rPr>
          <w:rFonts w:eastAsia="Arial" w:cs="Arial"/>
          <w:i/>
          <w:spacing w:val="1"/>
          <w:szCs w:val="20"/>
        </w:rPr>
        <w:t>e</w:t>
      </w:r>
      <w:r w:rsidRPr="00C050B2">
        <w:rPr>
          <w:rFonts w:eastAsia="Arial" w:cs="Arial"/>
          <w:i/>
          <w:szCs w:val="20"/>
        </w:rPr>
        <w:t>v</w:t>
      </w:r>
      <w:r w:rsidRPr="00C050B2">
        <w:rPr>
          <w:rFonts w:eastAsia="Arial" w:cs="Arial"/>
          <w:i/>
          <w:spacing w:val="1"/>
          <w:szCs w:val="20"/>
        </w:rPr>
        <w:t>iew</w:t>
      </w:r>
      <w:r w:rsidRPr="00C050B2">
        <w:rPr>
          <w:rFonts w:eastAsia="Arial" w:cs="Arial"/>
          <w:i/>
          <w:szCs w:val="20"/>
        </w:rPr>
        <w:t>;</w:t>
      </w:r>
      <w:proofErr w:type="gramEnd"/>
    </w:p>
    <w:p w14:paraId="17069B02" w14:textId="7FEAED83" w:rsidR="00C1793C" w:rsidRPr="00C050B2" w:rsidRDefault="00C1793C" w:rsidP="00C1793C">
      <w:pPr>
        <w:spacing w:line="260" w:lineRule="exact"/>
        <w:ind w:left="1947" w:right="415" w:hanging="1086"/>
        <w:rPr>
          <w:rFonts w:eastAsia="Arial" w:cs="Arial"/>
          <w:szCs w:val="20"/>
        </w:rPr>
      </w:pPr>
      <w:r w:rsidRPr="00C050B2">
        <w:rPr>
          <w:rFonts w:eastAsia="Arial" w:cs="Arial"/>
          <w:i/>
          <w:szCs w:val="20"/>
        </w:rPr>
        <w:t>(</w:t>
      </w:r>
      <w:r w:rsidRPr="00C050B2">
        <w:rPr>
          <w:rFonts w:eastAsia="Arial" w:cs="Arial"/>
          <w:i/>
          <w:spacing w:val="1"/>
          <w:szCs w:val="20"/>
        </w:rPr>
        <w:t>b</w:t>
      </w:r>
      <w:r w:rsidRPr="00C050B2">
        <w:rPr>
          <w:rFonts w:eastAsia="Arial" w:cs="Arial"/>
          <w:i/>
          <w:szCs w:val="20"/>
        </w:rPr>
        <w:t>) c</w:t>
      </w:r>
      <w:r w:rsidRPr="00C050B2">
        <w:rPr>
          <w:rFonts w:eastAsia="Arial" w:cs="Arial"/>
          <w:i/>
          <w:spacing w:val="1"/>
          <w:szCs w:val="20"/>
        </w:rPr>
        <w:t>on</w:t>
      </w:r>
      <w:r w:rsidRPr="00C050B2">
        <w:rPr>
          <w:rFonts w:eastAsia="Arial" w:cs="Arial"/>
          <w:i/>
          <w:spacing w:val="-2"/>
          <w:szCs w:val="20"/>
        </w:rPr>
        <w:t>t</w:t>
      </w:r>
      <w:r w:rsidRPr="00C050B2">
        <w:rPr>
          <w:rFonts w:eastAsia="Arial" w:cs="Arial"/>
          <w:i/>
          <w:szCs w:val="20"/>
        </w:rPr>
        <w:t>r</w:t>
      </w:r>
      <w:r w:rsidRPr="00C050B2">
        <w:rPr>
          <w:rFonts w:eastAsia="Arial" w:cs="Arial"/>
          <w:i/>
          <w:spacing w:val="1"/>
          <w:szCs w:val="20"/>
        </w:rPr>
        <w:t>a</w:t>
      </w:r>
      <w:r w:rsidRPr="00C050B2">
        <w:rPr>
          <w:rFonts w:eastAsia="Arial" w:cs="Arial"/>
          <w:i/>
          <w:szCs w:val="20"/>
        </w:rPr>
        <w:t>c</w:t>
      </w:r>
      <w:r w:rsidRPr="00C050B2">
        <w:rPr>
          <w:rFonts w:eastAsia="Arial" w:cs="Arial"/>
          <w:i/>
          <w:spacing w:val="-2"/>
          <w:szCs w:val="20"/>
        </w:rPr>
        <w:t>t</w:t>
      </w:r>
      <w:r w:rsidRPr="00C050B2">
        <w:rPr>
          <w:rFonts w:eastAsia="Arial" w:cs="Arial"/>
          <w:i/>
          <w:spacing w:val="1"/>
          <w:szCs w:val="20"/>
        </w:rPr>
        <w:t>ua</w:t>
      </w:r>
      <w:r w:rsidRPr="00C050B2">
        <w:rPr>
          <w:rFonts w:eastAsia="Arial" w:cs="Arial"/>
          <w:i/>
          <w:szCs w:val="20"/>
        </w:rPr>
        <w:t xml:space="preserve">l </w:t>
      </w:r>
      <w:r w:rsidRPr="00C050B2">
        <w:rPr>
          <w:rFonts w:eastAsia="Arial" w:cs="Arial"/>
          <w:i/>
          <w:spacing w:val="1"/>
          <w:szCs w:val="20"/>
        </w:rPr>
        <w:t>pa</w:t>
      </w:r>
      <w:r w:rsidRPr="00C050B2">
        <w:rPr>
          <w:rFonts w:eastAsia="Arial" w:cs="Arial"/>
          <w:i/>
          <w:spacing w:val="-2"/>
          <w:szCs w:val="20"/>
        </w:rPr>
        <w:t>t</w:t>
      </w:r>
      <w:r w:rsidRPr="00C050B2">
        <w:rPr>
          <w:rFonts w:eastAsia="Arial" w:cs="Arial"/>
          <w:i/>
          <w:szCs w:val="20"/>
        </w:rPr>
        <w:t>c</w:t>
      </w:r>
      <w:r w:rsidRPr="00C050B2">
        <w:rPr>
          <w:rFonts w:eastAsia="Arial" w:cs="Arial"/>
          <w:i/>
          <w:spacing w:val="-3"/>
          <w:szCs w:val="20"/>
        </w:rPr>
        <w:t>h</w:t>
      </w:r>
      <w:r w:rsidRPr="00C050B2">
        <w:rPr>
          <w:rFonts w:eastAsia="Arial" w:cs="Arial"/>
          <w:i/>
          <w:spacing w:val="1"/>
          <w:szCs w:val="20"/>
        </w:rPr>
        <w:t>in</w:t>
      </w:r>
      <w:r w:rsidRPr="00C050B2">
        <w:rPr>
          <w:rFonts w:eastAsia="Arial" w:cs="Arial"/>
          <w:i/>
          <w:szCs w:val="20"/>
        </w:rPr>
        <w:t>g r</w:t>
      </w:r>
      <w:r w:rsidRPr="00C050B2">
        <w:rPr>
          <w:rFonts w:eastAsia="Arial" w:cs="Arial"/>
          <w:i/>
          <w:spacing w:val="-3"/>
          <w:szCs w:val="20"/>
        </w:rPr>
        <w:t>e</w:t>
      </w:r>
      <w:r w:rsidRPr="00C050B2">
        <w:rPr>
          <w:rFonts w:eastAsia="Arial" w:cs="Arial"/>
          <w:i/>
          <w:spacing w:val="1"/>
          <w:szCs w:val="20"/>
        </w:rPr>
        <w:t>qui</w:t>
      </w:r>
      <w:r w:rsidRPr="00C050B2">
        <w:rPr>
          <w:rFonts w:eastAsia="Arial" w:cs="Arial"/>
          <w:i/>
          <w:spacing w:val="-5"/>
          <w:szCs w:val="20"/>
        </w:rPr>
        <w:t>r</w:t>
      </w:r>
      <w:r w:rsidRPr="00C050B2">
        <w:rPr>
          <w:rFonts w:eastAsia="Arial" w:cs="Arial"/>
          <w:i/>
          <w:spacing w:val="1"/>
          <w:szCs w:val="20"/>
        </w:rPr>
        <w:t>e</w:t>
      </w:r>
      <w:r w:rsidRPr="00C050B2">
        <w:rPr>
          <w:rFonts w:eastAsia="Arial" w:cs="Arial"/>
          <w:i/>
          <w:szCs w:val="20"/>
        </w:rPr>
        <w:t>m</w:t>
      </w:r>
      <w:r w:rsidRPr="00C050B2">
        <w:rPr>
          <w:rFonts w:eastAsia="Arial" w:cs="Arial"/>
          <w:i/>
          <w:spacing w:val="1"/>
          <w:szCs w:val="20"/>
        </w:rPr>
        <w:t>en</w:t>
      </w:r>
      <w:r w:rsidRPr="00C050B2">
        <w:rPr>
          <w:rFonts w:eastAsia="Arial" w:cs="Arial"/>
          <w:i/>
          <w:spacing w:val="-2"/>
          <w:szCs w:val="20"/>
        </w:rPr>
        <w:t>t</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a</w:t>
      </w:r>
      <w:r w:rsidRPr="00C050B2">
        <w:rPr>
          <w:rFonts w:eastAsia="Arial" w:cs="Arial"/>
          <w:i/>
          <w:spacing w:val="-3"/>
          <w:szCs w:val="20"/>
        </w:rPr>
        <w:t>n</w:t>
      </w:r>
      <w:r w:rsidRPr="00C050B2">
        <w:rPr>
          <w:rFonts w:eastAsia="Arial" w:cs="Arial"/>
          <w:i/>
          <w:szCs w:val="20"/>
        </w:rPr>
        <w:t xml:space="preserve">d </w:t>
      </w:r>
      <w:r w:rsidRPr="00C050B2">
        <w:rPr>
          <w:rFonts w:eastAsia="Arial" w:cs="Arial"/>
          <w:i/>
          <w:spacing w:val="-2"/>
          <w:szCs w:val="20"/>
        </w:rPr>
        <w:t>t</w:t>
      </w:r>
      <w:r w:rsidRPr="00C050B2">
        <w:rPr>
          <w:rFonts w:eastAsia="Arial" w:cs="Arial"/>
          <w:i/>
          <w:spacing w:val="1"/>
          <w:szCs w:val="20"/>
        </w:rPr>
        <w:t>i</w:t>
      </w:r>
      <w:r w:rsidRPr="00C050B2">
        <w:rPr>
          <w:rFonts w:eastAsia="Arial" w:cs="Arial"/>
          <w:i/>
          <w:szCs w:val="20"/>
        </w:rPr>
        <w:t>m</w:t>
      </w:r>
      <w:r w:rsidRPr="00C050B2">
        <w:rPr>
          <w:rFonts w:eastAsia="Arial" w:cs="Arial"/>
          <w:i/>
          <w:spacing w:val="1"/>
          <w:szCs w:val="20"/>
        </w:rPr>
        <w:t>e</w:t>
      </w:r>
      <w:r w:rsidRPr="00C050B2">
        <w:rPr>
          <w:rFonts w:eastAsia="Arial" w:cs="Arial"/>
          <w:i/>
          <w:szCs w:val="20"/>
        </w:rPr>
        <w:t>sc</w:t>
      </w:r>
      <w:r w:rsidRPr="00C050B2">
        <w:rPr>
          <w:rFonts w:eastAsia="Arial" w:cs="Arial"/>
          <w:i/>
          <w:spacing w:val="1"/>
          <w:szCs w:val="20"/>
        </w:rPr>
        <w:t>a</w:t>
      </w:r>
      <w:r w:rsidRPr="00C050B2">
        <w:rPr>
          <w:rFonts w:eastAsia="Arial" w:cs="Arial"/>
          <w:i/>
          <w:spacing w:val="-3"/>
          <w:szCs w:val="20"/>
        </w:rPr>
        <w:t>l</w:t>
      </w:r>
      <w:r w:rsidRPr="00C050B2">
        <w:rPr>
          <w:rFonts w:eastAsia="Arial" w:cs="Arial"/>
          <w:i/>
          <w:spacing w:val="1"/>
          <w:szCs w:val="20"/>
        </w:rPr>
        <w:t>e</w:t>
      </w:r>
      <w:r w:rsidRPr="00C050B2">
        <w:rPr>
          <w:rFonts w:eastAsia="Arial" w:cs="Arial"/>
          <w:i/>
          <w:szCs w:val="20"/>
        </w:rPr>
        <w:t>s</w:t>
      </w:r>
      <w:r w:rsidRPr="00C050B2">
        <w:rPr>
          <w:rFonts w:eastAsia="Arial" w:cs="Arial"/>
          <w:i/>
          <w:spacing w:val="4"/>
          <w:szCs w:val="20"/>
        </w:rPr>
        <w:t xml:space="preserve"> </w:t>
      </w:r>
      <w:r w:rsidRPr="00C050B2">
        <w:rPr>
          <w:rFonts w:eastAsia="Arial" w:cs="Arial"/>
          <w:i/>
          <w:spacing w:val="-2"/>
          <w:szCs w:val="20"/>
        </w:rPr>
        <w:t>f</w:t>
      </w:r>
      <w:r w:rsidRPr="00C050B2">
        <w:rPr>
          <w:rFonts w:eastAsia="Arial" w:cs="Arial"/>
          <w:i/>
          <w:spacing w:val="1"/>
          <w:szCs w:val="20"/>
        </w:rPr>
        <w:t>o</w:t>
      </w:r>
      <w:r w:rsidRPr="00C050B2">
        <w:rPr>
          <w:rFonts w:eastAsia="Arial" w:cs="Arial"/>
          <w:i/>
          <w:szCs w:val="20"/>
        </w:rPr>
        <w:t>r</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di</w:t>
      </w:r>
      <w:r w:rsidRPr="00C050B2">
        <w:rPr>
          <w:rFonts w:eastAsia="Arial" w:cs="Arial"/>
          <w:i/>
          <w:spacing w:val="-2"/>
          <w:szCs w:val="20"/>
        </w:rPr>
        <w:t>ff</w:t>
      </w:r>
      <w:r w:rsidRPr="00C050B2">
        <w:rPr>
          <w:rFonts w:eastAsia="Arial" w:cs="Arial"/>
          <w:i/>
          <w:spacing w:val="1"/>
          <w:szCs w:val="20"/>
        </w:rPr>
        <w:t>e</w:t>
      </w:r>
      <w:r w:rsidRPr="00C050B2">
        <w:rPr>
          <w:rFonts w:eastAsia="Arial" w:cs="Arial"/>
          <w:i/>
          <w:szCs w:val="20"/>
        </w:rPr>
        <w:t>r</w:t>
      </w:r>
      <w:r w:rsidRPr="00C050B2">
        <w:rPr>
          <w:rFonts w:eastAsia="Arial" w:cs="Arial"/>
          <w:i/>
          <w:spacing w:val="1"/>
          <w:szCs w:val="20"/>
        </w:rPr>
        <w:t>en</w:t>
      </w:r>
      <w:r w:rsidRPr="00C050B2">
        <w:rPr>
          <w:rFonts w:eastAsia="Arial" w:cs="Arial"/>
          <w:i/>
          <w:szCs w:val="20"/>
        </w:rPr>
        <w:t xml:space="preserve">t </w:t>
      </w:r>
      <w:r w:rsidRPr="00C050B2">
        <w:rPr>
          <w:rFonts w:eastAsia="Arial" w:cs="Arial"/>
          <w:i/>
          <w:spacing w:val="1"/>
          <w:szCs w:val="20"/>
        </w:rPr>
        <w:t>p</w:t>
      </w:r>
      <w:r w:rsidRPr="00C050B2">
        <w:rPr>
          <w:rFonts w:eastAsia="Arial" w:cs="Arial"/>
          <w:i/>
          <w:szCs w:val="20"/>
        </w:rPr>
        <w:t>r</w:t>
      </w:r>
      <w:r w:rsidRPr="00C050B2">
        <w:rPr>
          <w:rFonts w:eastAsia="Arial" w:cs="Arial"/>
          <w:i/>
          <w:spacing w:val="1"/>
          <w:szCs w:val="20"/>
        </w:rPr>
        <w:t>io</w:t>
      </w:r>
      <w:r w:rsidRPr="00C050B2">
        <w:rPr>
          <w:rFonts w:eastAsia="Arial" w:cs="Arial"/>
          <w:i/>
          <w:szCs w:val="20"/>
        </w:rPr>
        <w:t>r</w:t>
      </w:r>
      <w:r w:rsidRPr="00C050B2">
        <w:rPr>
          <w:rFonts w:eastAsia="Arial" w:cs="Arial"/>
          <w:i/>
          <w:spacing w:val="1"/>
          <w:szCs w:val="20"/>
        </w:rPr>
        <w:t>i</w:t>
      </w:r>
      <w:r w:rsidR="00271517">
        <w:rPr>
          <w:rFonts w:eastAsia="Arial" w:cs="Arial"/>
          <w:i/>
          <w:spacing w:val="1"/>
          <w:szCs w:val="20"/>
        </w:rPr>
        <w:t xml:space="preserve">tises </w:t>
      </w:r>
      <w:r w:rsidR="00271517">
        <w:rPr>
          <w:rFonts w:eastAsia="Arial" w:cs="Arial"/>
          <w:i/>
          <w:spacing w:val="-2"/>
          <w:szCs w:val="20"/>
        </w:rPr>
        <w:t>of</w:t>
      </w:r>
      <w:r w:rsidRPr="00C050B2">
        <w:rPr>
          <w:rFonts w:eastAsia="Arial" w:cs="Arial"/>
          <w:i/>
          <w:spacing w:val="-3"/>
          <w:szCs w:val="20"/>
        </w:rPr>
        <w:t xml:space="preserve"> </w:t>
      </w:r>
      <w:proofErr w:type="gramStart"/>
      <w:r w:rsidRPr="00C050B2">
        <w:rPr>
          <w:rFonts w:eastAsia="Arial" w:cs="Arial"/>
          <w:i/>
          <w:spacing w:val="1"/>
          <w:szCs w:val="20"/>
        </w:rPr>
        <w:t>pa</w:t>
      </w:r>
      <w:r w:rsidRPr="00C050B2">
        <w:rPr>
          <w:rFonts w:eastAsia="Arial" w:cs="Arial"/>
          <w:i/>
          <w:spacing w:val="-2"/>
          <w:szCs w:val="20"/>
        </w:rPr>
        <w:t>t</w:t>
      </w:r>
      <w:r w:rsidRPr="00C050B2">
        <w:rPr>
          <w:rFonts w:eastAsia="Arial" w:cs="Arial"/>
          <w:i/>
          <w:szCs w:val="20"/>
        </w:rPr>
        <w:t>c</w:t>
      </w:r>
      <w:r w:rsidRPr="00C050B2">
        <w:rPr>
          <w:rFonts w:eastAsia="Arial" w:cs="Arial"/>
          <w:i/>
          <w:spacing w:val="1"/>
          <w:szCs w:val="20"/>
        </w:rPr>
        <w:t>h</w:t>
      </w:r>
      <w:r w:rsidRPr="00C050B2">
        <w:rPr>
          <w:rFonts w:eastAsia="Arial" w:cs="Arial"/>
          <w:i/>
          <w:szCs w:val="20"/>
        </w:rPr>
        <w:t>;</w:t>
      </w:r>
      <w:proofErr w:type="gramEnd"/>
    </w:p>
    <w:p w14:paraId="73754A41" w14:textId="77777777" w:rsidR="00C1793C" w:rsidRPr="00C050B2" w:rsidRDefault="00C1793C" w:rsidP="00C1793C">
      <w:pPr>
        <w:tabs>
          <w:tab w:val="left" w:pos="1134"/>
        </w:tabs>
        <w:ind w:left="1134" w:right="404" w:hanging="273"/>
        <w:rPr>
          <w:rFonts w:eastAsia="Arial" w:cs="Arial"/>
          <w:szCs w:val="20"/>
        </w:rPr>
      </w:pPr>
      <w:r w:rsidRPr="00C050B2">
        <w:rPr>
          <w:rFonts w:eastAsia="Arial" w:cs="Arial"/>
          <w:i/>
          <w:szCs w:val="20"/>
        </w:rPr>
        <w:t>(c)</w:t>
      </w:r>
      <w:r>
        <w:rPr>
          <w:rFonts w:eastAsia="Arial" w:cs="Arial"/>
          <w:i/>
          <w:szCs w:val="20"/>
        </w:rPr>
        <w:t xml:space="preserve"> </w:t>
      </w:r>
      <w:r w:rsidRPr="00C050B2">
        <w:rPr>
          <w:rFonts w:eastAsia="Arial" w:cs="Arial"/>
          <w:i/>
          <w:spacing w:val="1"/>
          <w:szCs w:val="20"/>
        </w:rPr>
        <w:t>p</w:t>
      </w:r>
      <w:r w:rsidRPr="00C050B2">
        <w:rPr>
          <w:rFonts w:eastAsia="Arial" w:cs="Arial"/>
          <w:i/>
          <w:szCs w:val="20"/>
        </w:rPr>
        <w:t>r</w:t>
      </w:r>
      <w:r w:rsidRPr="00C050B2">
        <w:rPr>
          <w:rFonts w:eastAsia="Arial" w:cs="Arial"/>
          <w:i/>
          <w:spacing w:val="1"/>
          <w:szCs w:val="20"/>
        </w:rPr>
        <w:t>o</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c</w:t>
      </w:r>
      <w:r w:rsidRPr="00C050B2">
        <w:rPr>
          <w:rFonts w:eastAsia="Arial" w:cs="Arial"/>
          <w:i/>
          <w:spacing w:val="-2"/>
          <w:szCs w:val="20"/>
        </w:rPr>
        <w:t>t</w:t>
      </w:r>
      <w:r w:rsidRPr="00C050B2">
        <w:rPr>
          <w:rFonts w:eastAsia="Arial" w:cs="Arial"/>
          <w:i/>
          <w:spacing w:val="1"/>
          <w:szCs w:val="20"/>
        </w:rPr>
        <w:t>i</w:t>
      </w:r>
      <w:r w:rsidRPr="00C050B2">
        <w:rPr>
          <w:rFonts w:eastAsia="Arial" w:cs="Arial"/>
          <w:i/>
          <w:szCs w:val="20"/>
        </w:rPr>
        <w:t>ve m</w:t>
      </w:r>
      <w:r w:rsidRPr="00C050B2">
        <w:rPr>
          <w:rFonts w:eastAsia="Arial" w:cs="Arial"/>
          <w:i/>
          <w:spacing w:val="1"/>
          <w:szCs w:val="20"/>
        </w:rPr>
        <w:t>o</w:t>
      </w:r>
      <w:r w:rsidRPr="00C050B2">
        <w:rPr>
          <w:rFonts w:eastAsia="Arial" w:cs="Arial"/>
          <w:i/>
          <w:spacing w:val="-3"/>
          <w:szCs w:val="20"/>
        </w:rPr>
        <w:t>n</w:t>
      </w:r>
      <w:r w:rsidRPr="00C050B2">
        <w:rPr>
          <w:rFonts w:eastAsia="Arial" w:cs="Arial"/>
          <w:i/>
          <w:spacing w:val="1"/>
          <w:szCs w:val="20"/>
        </w:rPr>
        <w:t>i</w:t>
      </w:r>
      <w:r w:rsidRPr="00C050B2">
        <w:rPr>
          <w:rFonts w:eastAsia="Arial" w:cs="Arial"/>
          <w:i/>
          <w:spacing w:val="-2"/>
          <w:szCs w:val="20"/>
        </w:rPr>
        <w:t>t</w:t>
      </w:r>
      <w:r w:rsidRPr="00C050B2">
        <w:rPr>
          <w:rFonts w:eastAsia="Arial" w:cs="Arial"/>
          <w:i/>
          <w:spacing w:val="1"/>
          <w:szCs w:val="20"/>
        </w:rPr>
        <w:t>o</w:t>
      </w:r>
      <w:r w:rsidRPr="00C050B2">
        <w:rPr>
          <w:rFonts w:eastAsia="Arial" w:cs="Arial"/>
          <w:i/>
          <w:szCs w:val="20"/>
        </w:rPr>
        <w:t>r</w:t>
      </w:r>
      <w:r w:rsidRPr="00C050B2">
        <w:rPr>
          <w:rFonts w:eastAsia="Arial" w:cs="Arial"/>
          <w:i/>
          <w:spacing w:val="1"/>
          <w:szCs w:val="20"/>
        </w:rPr>
        <w:t>in</w:t>
      </w:r>
      <w:r w:rsidRPr="00C050B2">
        <w:rPr>
          <w:rFonts w:eastAsia="Arial" w:cs="Arial"/>
          <w:i/>
          <w:szCs w:val="20"/>
        </w:rPr>
        <w:t xml:space="preserve">g </w:t>
      </w:r>
      <w:r w:rsidRPr="00C050B2">
        <w:rPr>
          <w:rFonts w:eastAsia="Arial" w:cs="Arial"/>
          <w:i/>
          <w:spacing w:val="1"/>
          <w:szCs w:val="20"/>
        </w:rPr>
        <w:t>a</w:t>
      </w:r>
      <w:r w:rsidRPr="00C050B2">
        <w:rPr>
          <w:rFonts w:eastAsia="Arial" w:cs="Arial"/>
          <w:i/>
          <w:szCs w:val="20"/>
        </w:rPr>
        <w:t>r</w:t>
      </w:r>
      <w:r w:rsidRPr="00C050B2">
        <w:rPr>
          <w:rFonts w:eastAsia="Arial" w:cs="Arial"/>
          <w:i/>
          <w:spacing w:val="-5"/>
          <w:szCs w:val="20"/>
        </w:rPr>
        <w:t>r</w:t>
      </w:r>
      <w:r w:rsidRPr="00C050B2">
        <w:rPr>
          <w:rFonts w:eastAsia="Arial" w:cs="Arial"/>
          <w:i/>
          <w:spacing w:val="1"/>
          <w:szCs w:val="20"/>
        </w:rPr>
        <w:t>an</w:t>
      </w:r>
      <w:r w:rsidRPr="00C050B2">
        <w:rPr>
          <w:rFonts w:eastAsia="Arial" w:cs="Arial"/>
          <w:i/>
          <w:spacing w:val="-3"/>
          <w:szCs w:val="20"/>
        </w:rPr>
        <w:t>g</w:t>
      </w:r>
      <w:r w:rsidRPr="00C050B2">
        <w:rPr>
          <w:rFonts w:eastAsia="Arial" w:cs="Arial"/>
          <w:i/>
          <w:spacing w:val="1"/>
          <w:szCs w:val="20"/>
        </w:rPr>
        <w:t>e</w:t>
      </w:r>
      <w:r w:rsidRPr="00C050B2">
        <w:rPr>
          <w:rFonts w:eastAsia="Arial" w:cs="Arial"/>
          <w:i/>
          <w:szCs w:val="20"/>
        </w:rPr>
        <w:t>m</w:t>
      </w:r>
      <w:r w:rsidRPr="00C050B2">
        <w:rPr>
          <w:rFonts w:eastAsia="Arial" w:cs="Arial"/>
          <w:i/>
          <w:spacing w:val="1"/>
          <w:szCs w:val="20"/>
        </w:rPr>
        <w:t>en</w:t>
      </w:r>
      <w:r w:rsidRPr="00C050B2">
        <w:rPr>
          <w:rFonts w:eastAsia="Arial" w:cs="Arial"/>
          <w:i/>
          <w:spacing w:val="-2"/>
          <w:szCs w:val="20"/>
        </w:rPr>
        <w:t>t</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zCs w:val="20"/>
        </w:rPr>
        <w:t xml:space="preserve">o </w:t>
      </w:r>
      <w:r w:rsidRPr="00C050B2">
        <w:rPr>
          <w:rFonts w:eastAsia="Arial" w:cs="Arial"/>
          <w:i/>
          <w:spacing w:val="1"/>
          <w:szCs w:val="20"/>
        </w:rPr>
        <w:t>in</w:t>
      </w:r>
      <w:r w:rsidRPr="00C050B2">
        <w:rPr>
          <w:rFonts w:eastAsia="Arial" w:cs="Arial"/>
          <w:i/>
          <w:szCs w:val="20"/>
        </w:rPr>
        <w:t>c</w:t>
      </w:r>
      <w:r w:rsidRPr="00C050B2">
        <w:rPr>
          <w:rFonts w:eastAsia="Arial" w:cs="Arial"/>
          <w:i/>
          <w:spacing w:val="-3"/>
          <w:szCs w:val="20"/>
        </w:rPr>
        <w:t>l</w:t>
      </w:r>
      <w:r w:rsidRPr="00C050B2">
        <w:rPr>
          <w:rFonts w:eastAsia="Arial" w:cs="Arial"/>
          <w:i/>
          <w:spacing w:val="1"/>
          <w:szCs w:val="20"/>
        </w:rPr>
        <w:t>ud</w:t>
      </w:r>
      <w:r w:rsidRPr="00C050B2">
        <w:rPr>
          <w:rFonts w:eastAsia="Arial" w:cs="Arial"/>
          <w:i/>
          <w:szCs w:val="20"/>
        </w:rPr>
        <w:t xml:space="preserve">e </w:t>
      </w:r>
      <w:r w:rsidRPr="00C050B2">
        <w:rPr>
          <w:rFonts w:eastAsia="Arial" w:cs="Arial"/>
          <w:i/>
          <w:spacing w:val="-3"/>
          <w:szCs w:val="20"/>
        </w:rPr>
        <w:t>h</w:t>
      </w:r>
      <w:r w:rsidRPr="00C050B2">
        <w:rPr>
          <w:rFonts w:eastAsia="Arial" w:cs="Arial"/>
          <w:i/>
          <w:spacing w:val="1"/>
          <w:szCs w:val="20"/>
        </w:rPr>
        <w:t>o</w:t>
      </w:r>
      <w:r w:rsidRPr="00C050B2">
        <w:rPr>
          <w:rFonts w:eastAsia="Arial" w:cs="Arial"/>
          <w:i/>
          <w:szCs w:val="20"/>
        </w:rPr>
        <w:t xml:space="preserve">w </w:t>
      </w:r>
      <w:r w:rsidRPr="00C050B2">
        <w:rPr>
          <w:rFonts w:eastAsia="Arial" w:cs="Arial"/>
          <w:i/>
          <w:spacing w:val="1"/>
          <w:szCs w:val="20"/>
        </w:rPr>
        <w:t>ano</w:t>
      </w:r>
      <w:r w:rsidRPr="00C050B2">
        <w:rPr>
          <w:rFonts w:eastAsia="Arial" w:cs="Arial"/>
          <w:i/>
          <w:spacing w:val="-5"/>
          <w:szCs w:val="20"/>
        </w:rPr>
        <w:t>m</w:t>
      </w:r>
      <w:r w:rsidRPr="00C050B2">
        <w:rPr>
          <w:rFonts w:eastAsia="Arial" w:cs="Arial"/>
          <w:i/>
          <w:spacing w:val="1"/>
          <w:szCs w:val="20"/>
        </w:rPr>
        <w:t>alou</w:t>
      </w:r>
      <w:r w:rsidRPr="00C050B2">
        <w:rPr>
          <w:rFonts w:eastAsia="Arial" w:cs="Arial"/>
          <w:i/>
          <w:szCs w:val="20"/>
        </w:rPr>
        <w:t xml:space="preserve">s </w:t>
      </w:r>
      <w:r w:rsidRPr="00C050B2">
        <w:rPr>
          <w:rFonts w:eastAsia="Arial" w:cs="Arial"/>
          <w:i/>
          <w:spacing w:val="1"/>
          <w:szCs w:val="20"/>
        </w:rPr>
        <w:t>beha</w:t>
      </w:r>
      <w:r w:rsidRPr="00C050B2">
        <w:rPr>
          <w:rFonts w:eastAsia="Arial" w:cs="Arial"/>
          <w:i/>
          <w:spacing w:val="-5"/>
          <w:szCs w:val="20"/>
        </w:rPr>
        <w:t>v</w:t>
      </w:r>
      <w:r w:rsidRPr="00C050B2">
        <w:rPr>
          <w:rFonts w:eastAsia="Arial" w:cs="Arial"/>
          <w:i/>
          <w:spacing w:val="1"/>
          <w:szCs w:val="20"/>
        </w:rPr>
        <w:t>iou</w:t>
      </w:r>
      <w:r w:rsidRPr="00C050B2">
        <w:rPr>
          <w:rFonts w:eastAsia="Arial" w:cs="Arial"/>
          <w:i/>
          <w:szCs w:val="20"/>
        </w:rPr>
        <w:t>r</w:t>
      </w:r>
      <w:r w:rsidRPr="00C050B2">
        <w:rPr>
          <w:rFonts w:eastAsia="Arial" w:cs="Arial"/>
          <w:i/>
          <w:spacing w:val="-1"/>
          <w:szCs w:val="20"/>
        </w:rPr>
        <w:t xml:space="preserve"> </w:t>
      </w:r>
      <w:r w:rsidRPr="00C050B2">
        <w:rPr>
          <w:rFonts w:eastAsia="Arial" w:cs="Arial"/>
          <w:i/>
          <w:spacing w:val="1"/>
          <w:szCs w:val="20"/>
        </w:rPr>
        <w:t>i</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i</w:t>
      </w:r>
      <w:r w:rsidRPr="00C050B2">
        <w:rPr>
          <w:rFonts w:eastAsia="Arial" w:cs="Arial"/>
          <w:i/>
          <w:spacing w:val="-3"/>
          <w:szCs w:val="20"/>
        </w:rPr>
        <w:t>d</w:t>
      </w:r>
      <w:r w:rsidRPr="00C050B2">
        <w:rPr>
          <w:rFonts w:eastAsia="Arial" w:cs="Arial"/>
          <w:i/>
          <w:spacing w:val="1"/>
          <w:szCs w:val="20"/>
        </w:rPr>
        <w:t>en</w:t>
      </w:r>
      <w:r w:rsidRPr="00C050B2">
        <w:rPr>
          <w:rFonts w:eastAsia="Arial" w:cs="Arial"/>
          <w:i/>
          <w:spacing w:val="-2"/>
          <w:szCs w:val="20"/>
        </w:rPr>
        <w:t>t</w:t>
      </w:r>
      <w:r w:rsidRPr="00C050B2">
        <w:rPr>
          <w:rFonts w:eastAsia="Arial" w:cs="Arial"/>
          <w:i/>
          <w:spacing w:val="1"/>
          <w:szCs w:val="20"/>
        </w:rPr>
        <w:t>i</w:t>
      </w:r>
      <w:r w:rsidRPr="00C050B2">
        <w:rPr>
          <w:rFonts w:eastAsia="Arial" w:cs="Arial"/>
          <w:i/>
          <w:spacing w:val="-2"/>
          <w:szCs w:val="20"/>
        </w:rPr>
        <w:t>f</w:t>
      </w:r>
      <w:r w:rsidRPr="00C050B2">
        <w:rPr>
          <w:rFonts w:eastAsia="Arial" w:cs="Arial"/>
          <w:i/>
          <w:spacing w:val="1"/>
          <w:szCs w:val="20"/>
        </w:rPr>
        <w:t>i</w:t>
      </w:r>
      <w:r w:rsidRPr="00C050B2">
        <w:rPr>
          <w:rFonts w:eastAsia="Arial" w:cs="Arial"/>
          <w:i/>
          <w:spacing w:val="-3"/>
          <w:szCs w:val="20"/>
        </w:rPr>
        <w:t>e</w:t>
      </w:r>
      <w:r w:rsidRPr="00C050B2">
        <w:rPr>
          <w:rFonts w:eastAsia="Arial" w:cs="Arial"/>
          <w:i/>
          <w:szCs w:val="20"/>
        </w:rPr>
        <w:t xml:space="preserve">d </w:t>
      </w:r>
      <w:r w:rsidRPr="00C050B2">
        <w:rPr>
          <w:rFonts w:eastAsia="Arial" w:cs="Arial"/>
          <w:i/>
          <w:spacing w:val="1"/>
          <w:szCs w:val="20"/>
        </w:rPr>
        <w:t>an</w:t>
      </w:r>
      <w:r w:rsidRPr="00C050B2">
        <w:rPr>
          <w:rFonts w:eastAsia="Arial" w:cs="Arial"/>
          <w:i/>
          <w:szCs w:val="20"/>
        </w:rPr>
        <w:t xml:space="preserve">d </w:t>
      </w:r>
      <w:r w:rsidRPr="00C050B2">
        <w:rPr>
          <w:rFonts w:eastAsia="Arial" w:cs="Arial"/>
          <w:i/>
          <w:spacing w:val="1"/>
          <w:szCs w:val="20"/>
        </w:rPr>
        <w:t>a</w:t>
      </w:r>
      <w:r w:rsidRPr="00C050B2">
        <w:rPr>
          <w:rFonts w:eastAsia="Arial" w:cs="Arial"/>
          <w:i/>
          <w:szCs w:val="20"/>
        </w:rPr>
        <w:t>c</w:t>
      </w:r>
      <w:r w:rsidRPr="00C050B2">
        <w:rPr>
          <w:rFonts w:eastAsia="Arial" w:cs="Arial"/>
          <w:i/>
          <w:spacing w:val="-2"/>
          <w:szCs w:val="20"/>
        </w:rPr>
        <w:t>t</w:t>
      </w:r>
      <w:r w:rsidRPr="00C050B2">
        <w:rPr>
          <w:rFonts w:eastAsia="Arial" w:cs="Arial"/>
          <w:i/>
          <w:spacing w:val="-3"/>
          <w:szCs w:val="20"/>
        </w:rPr>
        <w:t>e</w:t>
      </w:r>
      <w:r w:rsidRPr="00C050B2">
        <w:rPr>
          <w:rFonts w:eastAsia="Arial" w:cs="Arial"/>
          <w:i/>
          <w:szCs w:val="20"/>
        </w:rPr>
        <w:t xml:space="preserve">d </w:t>
      </w:r>
      <w:r w:rsidRPr="00C050B2">
        <w:rPr>
          <w:rFonts w:eastAsia="Arial" w:cs="Arial"/>
          <w:i/>
          <w:spacing w:val="1"/>
          <w:szCs w:val="20"/>
        </w:rPr>
        <w:t>upo</w:t>
      </w:r>
      <w:r w:rsidRPr="00C050B2">
        <w:rPr>
          <w:rFonts w:eastAsia="Arial" w:cs="Arial"/>
          <w:i/>
          <w:szCs w:val="20"/>
        </w:rPr>
        <w:t xml:space="preserve">n </w:t>
      </w:r>
      <w:r w:rsidRPr="00C050B2">
        <w:rPr>
          <w:rFonts w:eastAsia="Arial" w:cs="Arial"/>
          <w:i/>
          <w:spacing w:val="1"/>
          <w:szCs w:val="20"/>
        </w:rPr>
        <w:t>a</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3"/>
          <w:szCs w:val="20"/>
        </w:rPr>
        <w:t>w</w:t>
      </w:r>
      <w:r w:rsidRPr="00C050B2">
        <w:rPr>
          <w:rFonts w:eastAsia="Arial" w:cs="Arial"/>
          <w:i/>
          <w:spacing w:val="1"/>
          <w:szCs w:val="20"/>
        </w:rPr>
        <w:t>el</w:t>
      </w:r>
      <w:r w:rsidRPr="00C050B2">
        <w:rPr>
          <w:rFonts w:eastAsia="Arial" w:cs="Arial"/>
          <w:i/>
          <w:szCs w:val="20"/>
        </w:rPr>
        <w:t xml:space="preserve">l </w:t>
      </w:r>
      <w:r w:rsidRPr="00C050B2">
        <w:rPr>
          <w:rFonts w:eastAsia="Arial" w:cs="Arial"/>
          <w:i/>
          <w:spacing w:val="-3"/>
          <w:szCs w:val="20"/>
        </w:rPr>
        <w:t>a</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ho</w:t>
      </w:r>
      <w:r w:rsidRPr="00C050B2">
        <w:rPr>
          <w:rFonts w:eastAsia="Arial" w:cs="Arial"/>
          <w:i/>
          <w:szCs w:val="20"/>
        </w:rPr>
        <w:t xml:space="preserve">w </w:t>
      </w:r>
      <w:r w:rsidRPr="00C050B2">
        <w:rPr>
          <w:rFonts w:eastAsia="Arial" w:cs="Arial"/>
          <w:i/>
          <w:spacing w:val="1"/>
          <w:szCs w:val="20"/>
        </w:rPr>
        <w:t>lo</w:t>
      </w:r>
      <w:r w:rsidRPr="00C050B2">
        <w:rPr>
          <w:rFonts w:eastAsia="Arial" w:cs="Arial"/>
          <w:i/>
          <w:spacing w:val="-3"/>
          <w:szCs w:val="20"/>
        </w:rPr>
        <w:t>g</w:t>
      </w:r>
      <w:r w:rsidRPr="00C050B2">
        <w:rPr>
          <w:rFonts w:eastAsia="Arial" w:cs="Arial"/>
          <w:i/>
          <w:spacing w:val="1"/>
          <w:szCs w:val="20"/>
        </w:rPr>
        <w:t>gin</w:t>
      </w:r>
      <w:r w:rsidRPr="00C050B2">
        <w:rPr>
          <w:rFonts w:eastAsia="Arial" w:cs="Arial"/>
          <w:i/>
          <w:szCs w:val="20"/>
        </w:rPr>
        <w:t xml:space="preserve">g </w:t>
      </w:r>
      <w:r w:rsidRPr="00C050B2">
        <w:rPr>
          <w:rFonts w:eastAsia="Arial" w:cs="Arial"/>
          <w:i/>
          <w:spacing w:val="-3"/>
          <w:szCs w:val="20"/>
        </w:rPr>
        <w:t>a</w:t>
      </w:r>
      <w:r w:rsidRPr="00C050B2">
        <w:rPr>
          <w:rFonts w:eastAsia="Arial" w:cs="Arial"/>
          <w:i/>
          <w:spacing w:val="1"/>
          <w:szCs w:val="20"/>
        </w:rPr>
        <w:t>n</w:t>
      </w:r>
      <w:r w:rsidRPr="00C050B2">
        <w:rPr>
          <w:rFonts w:eastAsia="Arial" w:cs="Arial"/>
          <w:i/>
          <w:szCs w:val="20"/>
        </w:rPr>
        <w:t xml:space="preserve">d </w:t>
      </w:r>
      <w:r w:rsidRPr="00C050B2">
        <w:rPr>
          <w:rFonts w:eastAsia="Arial" w:cs="Arial"/>
          <w:i/>
          <w:spacing w:val="1"/>
          <w:szCs w:val="20"/>
        </w:rPr>
        <w:t>audi</w:t>
      </w:r>
      <w:r w:rsidRPr="00C050B2">
        <w:rPr>
          <w:rFonts w:eastAsia="Arial" w:cs="Arial"/>
          <w:i/>
          <w:spacing w:val="-2"/>
          <w:szCs w:val="20"/>
        </w:rPr>
        <w:t>t</w:t>
      </w:r>
      <w:r w:rsidRPr="00C050B2">
        <w:rPr>
          <w:rFonts w:eastAsia="Arial" w:cs="Arial"/>
          <w:i/>
          <w:spacing w:val="-3"/>
          <w:szCs w:val="20"/>
        </w:rPr>
        <w:t>i</w:t>
      </w:r>
      <w:r w:rsidRPr="00C050B2">
        <w:rPr>
          <w:rFonts w:eastAsia="Arial" w:cs="Arial"/>
          <w:i/>
          <w:spacing w:val="1"/>
          <w:szCs w:val="20"/>
        </w:rPr>
        <w:t>n</w:t>
      </w:r>
      <w:r w:rsidRPr="00C050B2">
        <w:rPr>
          <w:rFonts w:eastAsia="Arial" w:cs="Arial"/>
          <w:i/>
          <w:szCs w:val="20"/>
        </w:rPr>
        <w:t xml:space="preserve">g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1"/>
          <w:szCs w:val="20"/>
        </w:rPr>
        <w:t>u</w:t>
      </w:r>
      <w:r w:rsidRPr="00C050B2">
        <w:rPr>
          <w:rFonts w:eastAsia="Arial" w:cs="Arial"/>
          <w:i/>
          <w:szCs w:val="20"/>
        </w:rPr>
        <w:t>s</w:t>
      </w:r>
      <w:r w:rsidRPr="00C050B2">
        <w:rPr>
          <w:rFonts w:eastAsia="Arial" w:cs="Arial"/>
          <w:i/>
          <w:spacing w:val="1"/>
          <w:szCs w:val="20"/>
        </w:rPr>
        <w:t>e</w:t>
      </w:r>
      <w:r w:rsidRPr="00C050B2">
        <w:rPr>
          <w:rFonts w:eastAsia="Arial" w:cs="Arial"/>
          <w:i/>
          <w:szCs w:val="20"/>
        </w:rPr>
        <w:t>r</w:t>
      </w:r>
      <w:r w:rsidRPr="00C050B2">
        <w:rPr>
          <w:rFonts w:eastAsia="Arial" w:cs="Arial"/>
          <w:i/>
          <w:spacing w:val="-1"/>
          <w:szCs w:val="20"/>
        </w:rPr>
        <w:t xml:space="preserve"> </w:t>
      </w:r>
      <w:r w:rsidRPr="00C050B2">
        <w:rPr>
          <w:rFonts w:eastAsia="Arial" w:cs="Arial"/>
          <w:i/>
          <w:spacing w:val="1"/>
          <w:szCs w:val="20"/>
        </w:rPr>
        <w:t>a</w:t>
      </w:r>
      <w:r w:rsidRPr="00C050B2">
        <w:rPr>
          <w:rFonts w:eastAsia="Arial" w:cs="Arial"/>
          <w:i/>
          <w:szCs w:val="20"/>
        </w:rPr>
        <w:t>c</w:t>
      </w:r>
      <w:r w:rsidRPr="00C050B2">
        <w:rPr>
          <w:rFonts w:eastAsia="Arial" w:cs="Arial"/>
          <w:i/>
          <w:spacing w:val="-2"/>
          <w:szCs w:val="20"/>
        </w:rPr>
        <w:t>t</w:t>
      </w:r>
      <w:r w:rsidRPr="00C050B2">
        <w:rPr>
          <w:rFonts w:eastAsia="Arial" w:cs="Arial"/>
          <w:i/>
          <w:spacing w:val="1"/>
          <w:szCs w:val="20"/>
        </w:rPr>
        <w:t>i</w:t>
      </w:r>
      <w:r w:rsidRPr="00C050B2">
        <w:rPr>
          <w:rFonts w:eastAsia="Arial" w:cs="Arial"/>
          <w:i/>
          <w:szCs w:val="20"/>
        </w:rPr>
        <w:t>v</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y</w:t>
      </w:r>
      <w:r w:rsidRPr="00C050B2">
        <w:rPr>
          <w:rFonts w:eastAsia="Arial" w:cs="Arial"/>
          <w:i/>
          <w:spacing w:val="-1"/>
          <w:szCs w:val="20"/>
        </w:rPr>
        <w:t xml:space="preserve"> </w:t>
      </w:r>
      <w:r w:rsidRPr="00C050B2">
        <w:rPr>
          <w:rFonts w:eastAsia="Arial" w:cs="Arial"/>
          <w:i/>
          <w:spacing w:val="1"/>
          <w:szCs w:val="20"/>
        </w:rPr>
        <w:t>i</w:t>
      </w:r>
      <w:r w:rsidRPr="00C050B2">
        <w:rPr>
          <w:rFonts w:eastAsia="Arial" w:cs="Arial"/>
          <w:i/>
          <w:szCs w:val="20"/>
        </w:rPr>
        <w:t>s</w:t>
      </w:r>
      <w:r w:rsidRPr="00C050B2">
        <w:rPr>
          <w:rFonts w:eastAsia="Arial" w:cs="Arial"/>
          <w:i/>
          <w:spacing w:val="-1"/>
          <w:szCs w:val="20"/>
        </w:rPr>
        <w:t xml:space="preserve"> </w:t>
      </w:r>
      <w:proofErr w:type="gramStart"/>
      <w:r w:rsidRPr="00C050B2">
        <w:rPr>
          <w:rFonts w:eastAsia="Arial" w:cs="Arial"/>
          <w:i/>
          <w:spacing w:val="1"/>
          <w:szCs w:val="20"/>
        </w:rPr>
        <w:t>do</w:t>
      </w:r>
      <w:r w:rsidRPr="00C050B2">
        <w:rPr>
          <w:rFonts w:eastAsia="Arial" w:cs="Arial"/>
          <w:i/>
          <w:spacing w:val="-3"/>
          <w:szCs w:val="20"/>
        </w:rPr>
        <w:t>n</w:t>
      </w:r>
      <w:r w:rsidRPr="00C050B2">
        <w:rPr>
          <w:rFonts w:eastAsia="Arial" w:cs="Arial"/>
          <w:i/>
          <w:spacing w:val="1"/>
          <w:szCs w:val="20"/>
        </w:rPr>
        <w:t>e</w:t>
      </w:r>
      <w:r w:rsidRPr="00C050B2">
        <w:rPr>
          <w:rFonts w:eastAsia="Arial" w:cs="Arial"/>
          <w:i/>
          <w:szCs w:val="20"/>
        </w:rPr>
        <w:t>;</w:t>
      </w:r>
      <w:proofErr w:type="gramEnd"/>
    </w:p>
    <w:p w14:paraId="75AE9818" w14:textId="56F2871F" w:rsidR="00C1793C" w:rsidRDefault="00C1793C" w:rsidP="00C1793C">
      <w:pPr>
        <w:tabs>
          <w:tab w:val="left" w:pos="1134"/>
        </w:tabs>
        <w:ind w:left="1134" w:right="404" w:hanging="273"/>
        <w:rPr>
          <w:rFonts w:eastAsia="Arial" w:cs="Arial"/>
          <w:i/>
          <w:szCs w:val="20"/>
        </w:rPr>
      </w:pPr>
      <w:r w:rsidRPr="00C050B2">
        <w:rPr>
          <w:rFonts w:eastAsia="Arial" w:cs="Arial"/>
          <w:i/>
          <w:szCs w:val="20"/>
        </w:rPr>
        <w:t>(</w:t>
      </w:r>
      <w:r w:rsidRPr="00C050B2">
        <w:rPr>
          <w:rFonts w:eastAsia="Arial" w:cs="Arial"/>
          <w:i/>
          <w:spacing w:val="1"/>
          <w:szCs w:val="20"/>
        </w:rPr>
        <w:t>d</w:t>
      </w:r>
      <w:r w:rsidRPr="00C050B2">
        <w:rPr>
          <w:rFonts w:eastAsia="Arial" w:cs="Arial"/>
          <w:i/>
          <w:szCs w:val="20"/>
        </w:rPr>
        <w:t xml:space="preserve">)          </w:t>
      </w:r>
      <w:r w:rsidRPr="00C050B2">
        <w:rPr>
          <w:rFonts w:eastAsia="Arial" w:cs="Arial"/>
          <w:i/>
          <w:spacing w:val="59"/>
          <w:szCs w:val="20"/>
        </w:rPr>
        <w:t xml:space="preserve"> </w:t>
      </w:r>
      <w:r w:rsidRPr="00F116B2">
        <w:rPr>
          <w:rFonts w:eastAsia="Arial" w:cs="Arial"/>
          <w:i/>
          <w:spacing w:val="1"/>
          <w:szCs w:val="20"/>
        </w:rPr>
        <w:t>configuration</w:t>
      </w:r>
      <w:r w:rsidRPr="00C050B2">
        <w:rPr>
          <w:rFonts w:eastAsia="Arial" w:cs="Arial"/>
          <w:i/>
          <w:szCs w:val="20"/>
        </w:rPr>
        <w:t xml:space="preserve"> </w:t>
      </w:r>
      <w:r w:rsidRPr="00C050B2">
        <w:rPr>
          <w:rFonts w:eastAsia="Arial" w:cs="Arial"/>
          <w:i/>
          <w:spacing w:val="1"/>
          <w:szCs w:val="20"/>
        </w:rPr>
        <w:t>a</w:t>
      </w:r>
      <w:r w:rsidRPr="00C050B2">
        <w:rPr>
          <w:rFonts w:eastAsia="Arial" w:cs="Arial"/>
          <w:i/>
          <w:spacing w:val="-3"/>
          <w:szCs w:val="20"/>
        </w:rPr>
        <w:t>n</w:t>
      </w:r>
      <w:r w:rsidRPr="00C050B2">
        <w:rPr>
          <w:rFonts w:eastAsia="Arial" w:cs="Arial"/>
          <w:i/>
          <w:szCs w:val="20"/>
        </w:rPr>
        <w:t>d c</w:t>
      </w:r>
      <w:r w:rsidRPr="00C050B2">
        <w:rPr>
          <w:rFonts w:eastAsia="Arial" w:cs="Arial"/>
          <w:i/>
          <w:spacing w:val="1"/>
          <w:szCs w:val="20"/>
        </w:rPr>
        <w:t>ha</w:t>
      </w:r>
      <w:r w:rsidRPr="00C050B2">
        <w:rPr>
          <w:rFonts w:eastAsia="Arial" w:cs="Arial"/>
          <w:i/>
          <w:spacing w:val="-3"/>
          <w:szCs w:val="20"/>
        </w:rPr>
        <w:t>n</w:t>
      </w:r>
      <w:r w:rsidR="00271517">
        <w:rPr>
          <w:rFonts w:eastAsia="Arial" w:cs="Arial"/>
          <w:i/>
          <w:spacing w:val="-3"/>
          <w:szCs w:val="20"/>
        </w:rPr>
        <w:t xml:space="preserve">ge </w:t>
      </w:r>
      <w:proofErr w:type="gramStart"/>
      <w:r w:rsidRPr="00C050B2">
        <w:rPr>
          <w:rFonts w:eastAsia="Arial" w:cs="Arial"/>
          <w:i/>
          <w:szCs w:val="20"/>
        </w:rPr>
        <w:t>m</w:t>
      </w:r>
      <w:r w:rsidRPr="00C050B2">
        <w:rPr>
          <w:rFonts w:eastAsia="Arial" w:cs="Arial"/>
          <w:i/>
          <w:spacing w:val="1"/>
          <w:szCs w:val="20"/>
        </w:rPr>
        <w:t>a</w:t>
      </w:r>
      <w:r w:rsidRPr="00C050B2">
        <w:rPr>
          <w:rFonts w:eastAsia="Arial" w:cs="Arial"/>
          <w:i/>
          <w:spacing w:val="-3"/>
          <w:szCs w:val="20"/>
        </w:rPr>
        <w:t>n</w:t>
      </w:r>
      <w:r w:rsidRPr="00C050B2">
        <w:rPr>
          <w:rFonts w:eastAsia="Arial" w:cs="Arial"/>
          <w:i/>
          <w:spacing w:val="1"/>
          <w:szCs w:val="20"/>
        </w:rPr>
        <w:t>age</w:t>
      </w:r>
      <w:r w:rsidRPr="00C050B2">
        <w:rPr>
          <w:rFonts w:eastAsia="Arial" w:cs="Arial"/>
          <w:i/>
          <w:szCs w:val="20"/>
        </w:rPr>
        <w:t>m</w:t>
      </w:r>
      <w:r w:rsidRPr="00C050B2">
        <w:rPr>
          <w:rFonts w:eastAsia="Arial" w:cs="Arial"/>
          <w:i/>
          <w:spacing w:val="-3"/>
          <w:szCs w:val="20"/>
        </w:rPr>
        <w:t>e</w:t>
      </w:r>
      <w:r w:rsidRPr="00C050B2">
        <w:rPr>
          <w:rFonts w:eastAsia="Arial" w:cs="Arial"/>
          <w:i/>
          <w:spacing w:val="1"/>
          <w:szCs w:val="20"/>
        </w:rPr>
        <w:t>n</w:t>
      </w:r>
      <w:r w:rsidRPr="00C050B2">
        <w:rPr>
          <w:rFonts w:eastAsia="Arial" w:cs="Arial"/>
          <w:i/>
          <w:spacing w:val="-2"/>
          <w:szCs w:val="20"/>
        </w:rPr>
        <w:t>t</w:t>
      </w:r>
      <w:r w:rsidRPr="00C050B2">
        <w:rPr>
          <w:rFonts w:eastAsia="Arial" w:cs="Arial"/>
          <w:i/>
          <w:szCs w:val="20"/>
        </w:rPr>
        <w:t>;</w:t>
      </w:r>
      <w:proofErr w:type="gramEnd"/>
    </w:p>
    <w:p w14:paraId="460DD3EB" w14:textId="77777777" w:rsidR="00C1793C" w:rsidRPr="00C050B2" w:rsidRDefault="00C1793C" w:rsidP="00C1793C">
      <w:pPr>
        <w:tabs>
          <w:tab w:val="left" w:pos="1134"/>
        </w:tabs>
        <w:ind w:left="1134" w:right="404" w:hanging="273"/>
        <w:rPr>
          <w:rFonts w:eastAsia="Arial" w:cs="Arial"/>
          <w:szCs w:val="20"/>
        </w:rPr>
      </w:pPr>
      <w:r w:rsidRPr="00C050B2">
        <w:rPr>
          <w:rFonts w:eastAsia="Arial" w:cs="Arial"/>
          <w:i/>
          <w:szCs w:val="20"/>
        </w:rPr>
        <w:t>(</w:t>
      </w:r>
      <w:r w:rsidRPr="00C050B2">
        <w:rPr>
          <w:rFonts w:eastAsia="Arial" w:cs="Arial"/>
          <w:i/>
          <w:spacing w:val="1"/>
          <w:szCs w:val="20"/>
        </w:rPr>
        <w:t>e</w:t>
      </w:r>
      <w:r w:rsidRPr="00C050B2">
        <w:rPr>
          <w:rFonts w:eastAsia="Arial" w:cs="Arial"/>
          <w:i/>
          <w:szCs w:val="20"/>
        </w:rPr>
        <w:t xml:space="preserve">)          </w:t>
      </w:r>
      <w:r w:rsidRPr="00C050B2">
        <w:rPr>
          <w:rFonts w:eastAsia="Arial" w:cs="Arial"/>
          <w:i/>
          <w:spacing w:val="59"/>
          <w:szCs w:val="20"/>
        </w:rPr>
        <w:t xml:space="preserve"> </w:t>
      </w:r>
      <w:r w:rsidRPr="00C050B2">
        <w:rPr>
          <w:rFonts w:eastAsia="Arial" w:cs="Arial"/>
          <w:i/>
          <w:spacing w:val="1"/>
          <w:szCs w:val="20"/>
        </w:rPr>
        <w:t>in</w:t>
      </w:r>
      <w:r w:rsidRPr="00C050B2">
        <w:rPr>
          <w:rFonts w:eastAsia="Arial" w:cs="Arial"/>
          <w:i/>
          <w:szCs w:val="20"/>
        </w:rPr>
        <w:t>c</w:t>
      </w:r>
      <w:r w:rsidRPr="00C050B2">
        <w:rPr>
          <w:rFonts w:eastAsia="Arial" w:cs="Arial"/>
          <w:i/>
          <w:spacing w:val="1"/>
          <w:szCs w:val="20"/>
        </w:rPr>
        <w:t>i</w:t>
      </w:r>
      <w:r w:rsidRPr="00C050B2">
        <w:rPr>
          <w:rFonts w:eastAsia="Arial" w:cs="Arial"/>
          <w:i/>
          <w:spacing w:val="-3"/>
          <w:szCs w:val="20"/>
        </w:rPr>
        <w:t>d</w:t>
      </w:r>
      <w:r w:rsidRPr="00C050B2">
        <w:rPr>
          <w:rFonts w:eastAsia="Arial" w:cs="Arial"/>
          <w:i/>
          <w:spacing w:val="1"/>
          <w:szCs w:val="20"/>
        </w:rPr>
        <w:t>en</w:t>
      </w:r>
      <w:r w:rsidRPr="00C050B2">
        <w:rPr>
          <w:rFonts w:eastAsia="Arial" w:cs="Arial"/>
          <w:i/>
          <w:szCs w:val="20"/>
        </w:rPr>
        <w:t>t</w:t>
      </w:r>
      <w:r w:rsidRPr="00C050B2">
        <w:rPr>
          <w:rFonts w:eastAsia="Arial" w:cs="Arial"/>
          <w:i/>
          <w:spacing w:val="-3"/>
          <w:szCs w:val="20"/>
        </w:rPr>
        <w:t xml:space="preserve"> </w:t>
      </w:r>
      <w:proofErr w:type="gramStart"/>
      <w:r w:rsidRPr="00C050B2">
        <w:rPr>
          <w:rFonts w:eastAsia="Arial" w:cs="Arial"/>
          <w:i/>
          <w:szCs w:val="20"/>
        </w:rPr>
        <w:t>m</w:t>
      </w:r>
      <w:r w:rsidRPr="00C050B2">
        <w:rPr>
          <w:rFonts w:eastAsia="Arial" w:cs="Arial"/>
          <w:i/>
          <w:spacing w:val="1"/>
          <w:szCs w:val="20"/>
        </w:rPr>
        <w:t>ana</w:t>
      </w:r>
      <w:r w:rsidRPr="00C050B2">
        <w:rPr>
          <w:rFonts w:eastAsia="Arial" w:cs="Arial"/>
          <w:i/>
          <w:spacing w:val="-3"/>
          <w:szCs w:val="20"/>
        </w:rPr>
        <w:t>g</w:t>
      </w:r>
      <w:r w:rsidRPr="00C050B2">
        <w:rPr>
          <w:rFonts w:eastAsia="Arial" w:cs="Arial"/>
          <w:i/>
          <w:spacing w:val="1"/>
          <w:szCs w:val="20"/>
        </w:rPr>
        <w:t>e</w:t>
      </w:r>
      <w:r w:rsidRPr="00C050B2">
        <w:rPr>
          <w:rFonts w:eastAsia="Arial" w:cs="Arial"/>
          <w:i/>
          <w:szCs w:val="20"/>
        </w:rPr>
        <w:t>m</w:t>
      </w:r>
      <w:r w:rsidRPr="00C050B2">
        <w:rPr>
          <w:rFonts w:eastAsia="Arial" w:cs="Arial"/>
          <w:i/>
          <w:spacing w:val="1"/>
          <w:szCs w:val="20"/>
        </w:rPr>
        <w:t>e</w:t>
      </w:r>
      <w:r w:rsidRPr="00C050B2">
        <w:rPr>
          <w:rFonts w:eastAsia="Arial" w:cs="Arial"/>
          <w:i/>
          <w:spacing w:val="4"/>
          <w:szCs w:val="20"/>
        </w:rPr>
        <w:t>n</w:t>
      </w:r>
      <w:r w:rsidRPr="00C050B2">
        <w:rPr>
          <w:rFonts w:eastAsia="Arial" w:cs="Arial"/>
          <w:i/>
          <w:spacing w:val="-2"/>
          <w:szCs w:val="20"/>
        </w:rPr>
        <w:t>t;</w:t>
      </w:r>
      <w:proofErr w:type="gramEnd"/>
    </w:p>
    <w:p w14:paraId="1B87BA50" w14:textId="77777777" w:rsidR="00C1793C" w:rsidRPr="00C050B2" w:rsidRDefault="00C1793C" w:rsidP="00C1793C">
      <w:pPr>
        <w:tabs>
          <w:tab w:val="left" w:pos="1134"/>
        </w:tabs>
        <w:ind w:left="1134" w:right="404" w:hanging="273"/>
        <w:rPr>
          <w:rFonts w:eastAsia="Arial" w:cs="Arial"/>
          <w:szCs w:val="20"/>
        </w:rPr>
      </w:pPr>
      <w:r w:rsidRPr="00C050B2">
        <w:rPr>
          <w:rFonts w:eastAsia="Arial" w:cs="Arial"/>
          <w:i/>
          <w:szCs w:val="20"/>
        </w:rPr>
        <w:t>(</w:t>
      </w:r>
      <w:r w:rsidRPr="00C050B2">
        <w:rPr>
          <w:rFonts w:eastAsia="Arial" w:cs="Arial"/>
          <w:i/>
          <w:spacing w:val="-2"/>
          <w:szCs w:val="20"/>
        </w:rPr>
        <w:t>f</w:t>
      </w:r>
      <w:r w:rsidRPr="00C050B2">
        <w:rPr>
          <w:rFonts w:eastAsia="Arial" w:cs="Arial"/>
          <w:i/>
          <w:szCs w:val="20"/>
        </w:rPr>
        <w:t xml:space="preserve">)           </w:t>
      </w:r>
      <w:r w:rsidRPr="00C050B2">
        <w:rPr>
          <w:rFonts w:eastAsia="Arial" w:cs="Arial"/>
          <w:i/>
          <w:spacing w:val="62"/>
          <w:szCs w:val="20"/>
        </w:rPr>
        <w:t xml:space="preserve"> </w:t>
      </w:r>
      <w:r w:rsidRPr="00F116B2">
        <w:rPr>
          <w:rFonts w:eastAsia="Arial" w:cs="Arial"/>
          <w:i/>
          <w:spacing w:val="1"/>
          <w:szCs w:val="20"/>
        </w:rPr>
        <w:t>vulnerability</w:t>
      </w:r>
      <w:r w:rsidRPr="00C050B2">
        <w:rPr>
          <w:rFonts w:eastAsia="Arial" w:cs="Arial"/>
          <w:i/>
          <w:spacing w:val="-1"/>
          <w:szCs w:val="20"/>
        </w:rPr>
        <w:t xml:space="preserve"> </w:t>
      </w:r>
      <w:proofErr w:type="gramStart"/>
      <w:r w:rsidRPr="00C050B2">
        <w:rPr>
          <w:rFonts w:eastAsia="Arial" w:cs="Arial"/>
          <w:i/>
          <w:szCs w:val="20"/>
        </w:rPr>
        <w:t>m</w:t>
      </w:r>
      <w:r w:rsidRPr="00C050B2">
        <w:rPr>
          <w:rFonts w:eastAsia="Arial" w:cs="Arial"/>
          <w:i/>
          <w:spacing w:val="1"/>
          <w:szCs w:val="20"/>
        </w:rPr>
        <w:t>ana</w:t>
      </w:r>
      <w:r w:rsidRPr="00C050B2">
        <w:rPr>
          <w:rFonts w:eastAsia="Arial" w:cs="Arial"/>
          <w:i/>
          <w:spacing w:val="-3"/>
          <w:szCs w:val="20"/>
        </w:rPr>
        <w:t>g</w:t>
      </w:r>
      <w:r w:rsidRPr="00C050B2">
        <w:rPr>
          <w:rFonts w:eastAsia="Arial" w:cs="Arial"/>
          <w:i/>
          <w:spacing w:val="1"/>
          <w:szCs w:val="20"/>
        </w:rPr>
        <w:t>e</w:t>
      </w:r>
      <w:r w:rsidRPr="00C050B2">
        <w:rPr>
          <w:rFonts w:eastAsia="Arial" w:cs="Arial"/>
          <w:i/>
          <w:szCs w:val="20"/>
        </w:rPr>
        <w:t>m</w:t>
      </w:r>
      <w:r w:rsidRPr="00C050B2">
        <w:rPr>
          <w:rFonts w:eastAsia="Arial" w:cs="Arial"/>
          <w:i/>
          <w:spacing w:val="1"/>
          <w:szCs w:val="20"/>
        </w:rPr>
        <w:t>en</w:t>
      </w:r>
      <w:r w:rsidRPr="00C050B2">
        <w:rPr>
          <w:rFonts w:eastAsia="Arial" w:cs="Arial"/>
          <w:i/>
          <w:spacing w:val="-2"/>
          <w:szCs w:val="20"/>
        </w:rPr>
        <w:t>t</w:t>
      </w:r>
      <w:r w:rsidRPr="00C050B2">
        <w:rPr>
          <w:rFonts w:eastAsia="Arial" w:cs="Arial"/>
          <w:i/>
          <w:szCs w:val="20"/>
        </w:rPr>
        <w:t>;</w:t>
      </w:r>
      <w:proofErr w:type="gramEnd"/>
    </w:p>
    <w:p w14:paraId="41033DAB" w14:textId="77777777" w:rsidR="00C1793C" w:rsidRPr="00C050B2" w:rsidRDefault="00C1793C" w:rsidP="00C1793C">
      <w:pPr>
        <w:tabs>
          <w:tab w:val="left" w:pos="1134"/>
        </w:tabs>
        <w:ind w:left="1134" w:right="404" w:hanging="273"/>
        <w:rPr>
          <w:rFonts w:eastAsia="Arial" w:cs="Arial"/>
          <w:szCs w:val="20"/>
        </w:rPr>
      </w:pPr>
      <w:r w:rsidRPr="00C050B2">
        <w:rPr>
          <w:rFonts w:eastAsia="Arial" w:cs="Arial"/>
          <w:i/>
          <w:szCs w:val="20"/>
        </w:rPr>
        <w:t>(</w:t>
      </w:r>
      <w:r w:rsidRPr="00C050B2">
        <w:rPr>
          <w:rFonts w:eastAsia="Arial" w:cs="Arial"/>
          <w:i/>
          <w:spacing w:val="1"/>
          <w:szCs w:val="20"/>
        </w:rPr>
        <w:t>g</w:t>
      </w:r>
      <w:r w:rsidRPr="00C050B2">
        <w:rPr>
          <w:rFonts w:eastAsia="Arial" w:cs="Arial"/>
          <w:i/>
          <w:szCs w:val="20"/>
        </w:rPr>
        <w:t xml:space="preserve">)          </w:t>
      </w:r>
      <w:r w:rsidRPr="00C050B2">
        <w:rPr>
          <w:rFonts w:eastAsia="Arial" w:cs="Arial"/>
          <w:i/>
          <w:spacing w:val="59"/>
          <w:szCs w:val="20"/>
        </w:rPr>
        <w:t xml:space="preserve"> </w:t>
      </w:r>
      <w:r w:rsidRPr="00C050B2">
        <w:rPr>
          <w:rFonts w:eastAsia="Arial" w:cs="Arial"/>
          <w:i/>
          <w:spacing w:val="1"/>
          <w:szCs w:val="20"/>
        </w:rPr>
        <w:t>u</w:t>
      </w:r>
      <w:r w:rsidRPr="00C050B2">
        <w:rPr>
          <w:rFonts w:eastAsia="Arial" w:cs="Arial"/>
          <w:i/>
          <w:szCs w:val="20"/>
        </w:rPr>
        <w:t>s</w:t>
      </w:r>
      <w:r w:rsidRPr="00C050B2">
        <w:rPr>
          <w:rFonts w:eastAsia="Arial" w:cs="Arial"/>
          <w:i/>
          <w:spacing w:val="1"/>
          <w:szCs w:val="20"/>
        </w:rPr>
        <w:t>e</w:t>
      </w:r>
      <w:r w:rsidRPr="00C050B2">
        <w:rPr>
          <w:rFonts w:eastAsia="Arial" w:cs="Arial"/>
          <w:i/>
          <w:szCs w:val="20"/>
        </w:rPr>
        <w:t>r</w:t>
      </w:r>
      <w:r w:rsidRPr="00C050B2">
        <w:rPr>
          <w:rFonts w:eastAsia="Arial" w:cs="Arial"/>
          <w:i/>
          <w:spacing w:val="-1"/>
          <w:szCs w:val="20"/>
        </w:rPr>
        <w:t xml:space="preserve"> </w:t>
      </w:r>
      <w:r w:rsidRPr="00C050B2">
        <w:rPr>
          <w:rFonts w:eastAsia="Arial" w:cs="Arial"/>
          <w:i/>
          <w:spacing w:val="1"/>
          <w:szCs w:val="20"/>
        </w:rPr>
        <w:t>a</w:t>
      </w:r>
      <w:r w:rsidRPr="00C050B2">
        <w:rPr>
          <w:rFonts w:eastAsia="Arial" w:cs="Arial"/>
          <w:i/>
          <w:szCs w:val="20"/>
        </w:rPr>
        <w:t>cc</w:t>
      </w:r>
      <w:r w:rsidRPr="00C050B2">
        <w:rPr>
          <w:rFonts w:eastAsia="Arial" w:cs="Arial"/>
          <w:i/>
          <w:spacing w:val="1"/>
          <w:szCs w:val="20"/>
        </w:rPr>
        <w:t>e</w:t>
      </w:r>
      <w:r w:rsidRPr="00C050B2">
        <w:rPr>
          <w:rFonts w:eastAsia="Arial" w:cs="Arial"/>
          <w:i/>
          <w:szCs w:val="20"/>
        </w:rPr>
        <w:t>ss</w:t>
      </w:r>
      <w:r w:rsidRPr="00C050B2">
        <w:rPr>
          <w:rFonts w:eastAsia="Arial" w:cs="Arial"/>
          <w:i/>
          <w:spacing w:val="-1"/>
          <w:szCs w:val="20"/>
        </w:rPr>
        <w:t xml:space="preserve"> </w:t>
      </w:r>
      <w:r w:rsidRPr="00C050B2">
        <w:rPr>
          <w:rFonts w:eastAsia="Arial" w:cs="Arial"/>
          <w:i/>
          <w:szCs w:val="20"/>
        </w:rPr>
        <w:t>m</w:t>
      </w:r>
      <w:r w:rsidRPr="00C050B2">
        <w:rPr>
          <w:rFonts w:eastAsia="Arial" w:cs="Arial"/>
          <w:i/>
          <w:spacing w:val="1"/>
          <w:szCs w:val="20"/>
        </w:rPr>
        <w:t>an</w:t>
      </w:r>
      <w:r w:rsidRPr="00C050B2">
        <w:rPr>
          <w:rFonts w:eastAsia="Arial" w:cs="Arial"/>
          <w:i/>
          <w:spacing w:val="-3"/>
          <w:szCs w:val="20"/>
        </w:rPr>
        <w:t>a</w:t>
      </w:r>
      <w:r w:rsidRPr="00C050B2">
        <w:rPr>
          <w:rFonts w:eastAsia="Arial" w:cs="Arial"/>
          <w:i/>
          <w:spacing w:val="1"/>
          <w:szCs w:val="20"/>
        </w:rPr>
        <w:t>ge</w:t>
      </w:r>
      <w:r w:rsidRPr="00C050B2">
        <w:rPr>
          <w:rFonts w:eastAsia="Arial" w:cs="Arial"/>
          <w:i/>
          <w:szCs w:val="20"/>
        </w:rPr>
        <w:t>m</w:t>
      </w:r>
      <w:r w:rsidRPr="00C050B2">
        <w:rPr>
          <w:rFonts w:eastAsia="Arial" w:cs="Arial"/>
          <w:i/>
          <w:spacing w:val="-3"/>
          <w:szCs w:val="20"/>
        </w:rPr>
        <w:t>e</w:t>
      </w:r>
      <w:r w:rsidRPr="00C050B2">
        <w:rPr>
          <w:rFonts w:eastAsia="Arial" w:cs="Arial"/>
          <w:i/>
          <w:spacing w:val="1"/>
          <w:szCs w:val="20"/>
        </w:rPr>
        <w:t>n</w:t>
      </w:r>
      <w:r w:rsidRPr="00C050B2">
        <w:rPr>
          <w:rFonts w:eastAsia="Arial" w:cs="Arial"/>
          <w:i/>
          <w:spacing w:val="-2"/>
          <w:szCs w:val="20"/>
        </w:rPr>
        <w:t>t</w:t>
      </w:r>
      <w:r w:rsidRPr="00C050B2">
        <w:rPr>
          <w:rFonts w:eastAsia="Arial" w:cs="Arial"/>
          <w:i/>
          <w:szCs w:val="20"/>
        </w:rPr>
        <w:t>;</w:t>
      </w:r>
      <w:r w:rsidRPr="00C050B2">
        <w:rPr>
          <w:rFonts w:eastAsia="Arial" w:cs="Arial"/>
          <w:i/>
          <w:spacing w:val="-3"/>
          <w:szCs w:val="20"/>
        </w:rPr>
        <w:t xml:space="preserve"> </w:t>
      </w:r>
      <w:r w:rsidRPr="00C050B2">
        <w:rPr>
          <w:rFonts w:eastAsia="Arial" w:cs="Arial"/>
          <w:i/>
          <w:spacing w:val="1"/>
          <w:szCs w:val="20"/>
        </w:rPr>
        <w:t>an</w:t>
      </w:r>
      <w:r w:rsidRPr="00C050B2">
        <w:rPr>
          <w:rFonts w:eastAsia="Arial" w:cs="Arial"/>
          <w:i/>
          <w:szCs w:val="20"/>
        </w:rPr>
        <w:t>d</w:t>
      </w:r>
    </w:p>
    <w:p w14:paraId="3461A236" w14:textId="77777777" w:rsidR="00C1793C" w:rsidRPr="00C050B2" w:rsidRDefault="00C1793C" w:rsidP="00C1793C">
      <w:pPr>
        <w:tabs>
          <w:tab w:val="left" w:pos="1134"/>
        </w:tabs>
        <w:ind w:left="1134" w:right="404" w:hanging="273"/>
        <w:rPr>
          <w:rFonts w:eastAsia="Arial" w:cs="Arial"/>
          <w:szCs w:val="20"/>
        </w:rPr>
      </w:pPr>
      <w:r w:rsidRPr="00C050B2">
        <w:rPr>
          <w:rFonts w:eastAsia="Arial" w:cs="Arial"/>
          <w:i/>
          <w:szCs w:val="20"/>
        </w:rPr>
        <w:t>(</w:t>
      </w:r>
      <w:r w:rsidRPr="00C050B2">
        <w:rPr>
          <w:rFonts w:eastAsia="Arial" w:cs="Arial"/>
          <w:i/>
          <w:spacing w:val="1"/>
          <w:szCs w:val="20"/>
        </w:rPr>
        <w:t>h</w:t>
      </w:r>
      <w:r w:rsidRPr="00C050B2">
        <w:rPr>
          <w:rFonts w:eastAsia="Arial" w:cs="Arial"/>
          <w:i/>
          <w:szCs w:val="20"/>
        </w:rPr>
        <w:t xml:space="preserve">)          </w:t>
      </w:r>
      <w:r w:rsidRPr="00C050B2">
        <w:rPr>
          <w:rFonts w:eastAsia="Arial" w:cs="Arial"/>
          <w:i/>
          <w:spacing w:val="59"/>
          <w:szCs w:val="20"/>
        </w:rPr>
        <w:t xml:space="preserve"> </w:t>
      </w:r>
      <w:r w:rsidRPr="00C050B2">
        <w:rPr>
          <w:rFonts w:eastAsia="Arial" w:cs="Arial"/>
          <w:i/>
          <w:spacing w:val="1"/>
          <w:szCs w:val="20"/>
        </w:rPr>
        <w:t>da</w:t>
      </w:r>
      <w:r w:rsidRPr="00C050B2">
        <w:rPr>
          <w:rFonts w:eastAsia="Arial" w:cs="Arial"/>
          <w:i/>
          <w:spacing w:val="-2"/>
          <w:szCs w:val="20"/>
        </w:rPr>
        <w:t>t</w:t>
      </w:r>
      <w:r w:rsidRPr="00C050B2">
        <w:rPr>
          <w:rFonts w:eastAsia="Arial" w:cs="Arial"/>
          <w:i/>
          <w:szCs w:val="20"/>
        </w:rPr>
        <w:t xml:space="preserve">a </w:t>
      </w:r>
      <w:r w:rsidRPr="00F116B2">
        <w:rPr>
          <w:rFonts w:eastAsia="Arial" w:cs="Arial"/>
          <w:i/>
          <w:spacing w:val="1"/>
          <w:szCs w:val="20"/>
        </w:rPr>
        <w:t>sanitisation</w:t>
      </w:r>
      <w:r w:rsidRPr="00C050B2">
        <w:rPr>
          <w:rFonts w:eastAsia="Arial" w:cs="Arial"/>
          <w:i/>
          <w:szCs w:val="20"/>
        </w:rPr>
        <w:t xml:space="preserve"> </w:t>
      </w:r>
      <w:r w:rsidRPr="00C050B2">
        <w:rPr>
          <w:rFonts w:eastAsia="Arial" w:cs="Arial"/>
          <w:i/>
          <w:spacing w:val="1"/>
          <w:szCs w:val="20"/>
        </w:rPr>
        <w:t>a</w:t>
      </w:r>
      <w:r w:rsidRPr="00C050B2">
        <w:rPr>
          <w:rFonts w:eastAsia="Arial" w:cs="Arial"/>
          <w:i/>
          <w:spacing w:val="-3"/>
          <w:szCs w:val="20"/>
        </w:rPr>
        <w:t>n</w:t>
      </w:r>
      <w:r w:rsidRPr="00C050B2">
        <w:rPr>
          <w:rFonts w:eastAsia="Arial" w:cs="Arial"/>
          <w:i/>
          <w:szCs w:val="20"/>
        </w:rPr>
        <w:t xml:space="preserve">d </w:t>
      </w:r>
      <w:r w:rsidRPr="00C050B2">
        <w:rPr>
          <w:rFonts w:eastAsia="Arial" w:cs="Arial"/>
          <w:i/>
          <w:spacing w:val="1"/>
          <w:szCs w:val="20"/>
        </w:rPr>
        <w:t>di</w:t>
      </w:r>
      <w:r w:rsidRPr="00C050B2">
        <w:rPr>
          <w:rFonts w:eastAsia="Arial" w:cs="Arial"/>
          <w:i/>
          <w:szCs w:val="20"/>
        </w:rPr>
        <w:t>s</w:t>
      </w:r>
      <w:r w:rsidRPr="00C050B2">
        <w:rPr>
          <w:rFonts w:eastAsia="Arial" w:cs="Arial"/>
          <w:i/>
          <w:spacing w:val="-3"/>
          <w:szCs w:val="20"/>
        </w:rPr>
        <w:t>p</w:t>
      </w:r>
      <w:r w:rsidRPr="00C050B2">
        <w:rPr>
          <w:rFonts w:eastAsia="Arial" w:cs="Arial"/>
          <w:i/>
          <w:spacing w:val="1"/>
          <w:szCs w:val="20"/>
        </w:rPr>
        <w:t>o</w:t>
      </w:r>
      <w:r w:rsidRPr="00C050B2">
        <w:rPr>
          <w:rFonts w:eastAsia="Arial" w:cs="Arial"/>
          <w:i/>
          <w:szCs w:val="20"/>
        </w:rPr>
        <w:t>s</w:t>
      </w:r>
      <w:r w:rsidRPr="00C050B2">
        <w:rPr>
          <w:rFonts w:eastAsia="Arial" w:cs="Arial"/>
          <w:i/>
          <w:spacing w:val="1"/>
          <w:szCs w:val="20"/>
        </w:rPr>
        <w:t>al</w:t>
      </w:r>
      <w:r w:rsidRPr="00C050B2">
        <w:rPr>
          <w:rFonts w:eastAsia="Arial" w:cs="Arial"/>
          <w:i/>
          <w:spacing w:val="-2"/>
          <w:szCs w:val="20"/>
        </w:rPr>
        <w:t>.</w:t>
      </w:r>
      <w:r w:rsidRPr="00C050B2">
        <w:rPr>
          <w:rFonts w:eastAsia="Arial" w:cs="Arial"/>
          <w:i/>
          <w:szCs w:val="20"/>
        </w:rPr>
        <w:t>&gt;</w:t>
      </w:r>
    </w:p>
    <w:p w14:paraId="2098CA56" w14:textId="77777777" w:rsidR="00C1793C" w:rsidRPr="00C050B2" w:rsidRDefault="00C1793C" w:rsidP="009D675B">
      <w:pPr>
        <w:pStyle w:val="Sch1"/>
        <w:keepNext/>
        <w:numPr>
          <w:ilvl w:val="2"/>
          <w:numId w:val="57"/>
        </w:numPr>
        <w:rPr>
          <w:rFonts w:eastAsia="Arial" w:cs="Arial"/>
          <w:szCs w:val="20"/>
        </w:rPr>
      </w:pPr>
      <w:r w:rsidRPr="00C050B2">
        <w:rPr>
          <w:rFonts w:eastAsia="Arial" w:cs="Arial"/>
          <w:szCs w:val="20"/>
        </w:rPr>
        <w:lastRenderedPageBreak/>
        <w:t>S</w:t>
      </w:r>
      <w:r w:rsidRPr="00C050B2">
        <w:rPr>
          <w:rFonts w:eastAsia="Arial" w:cs="Arial"/>
          <w:spacing w:val="1"/>
          <w:szCs w:val="20"/>
        </w:rPr>
        <w:t>ec</w:t>
      </w:r>
      <w:r w:rsidRPr="00C050B2">
        <w:rPr>
          <w:rFonts w:eastAsia="Arial" w:cs="Arial"/>
          <w:spacing w:val="-2"/>
          <w:szCs w:val="20"/>
        </w:rPr>
        <w:t>u</w:t>
      </w:r>
      <w:r w:rsidRPr="00C050B2">
        <w:rPr>
          <w:rFonts w:eastAsia="Arial" w:cs="Arial"/>
          <w:spacing w:val="1"/>
          <w:szCs w:val="20"/>
        </w:rPr>
        <w:t>r</w:t>
      </w:r>
      <w:r w:rsidRPr="00C050B2">
        <w:rPr>
          <w:rFonts w:eastAsia="Arial" w:cs="Arial"/>
          <w:spacing w:val="-2"/>
          <w:szCs w:val="20"/>
        </w:rPr>
        <w:t>i</w:t>
      </w:r>
      <w:r w:rsidRPr="00C050B2">
        <w:rPr>
          <w:rFonts w:eastAsia="Arial" w:cs="Arial"/>
          <w:szCs w:val="20"/>
        </w:rPr>
        <w:t>ty</w:t>
      </w:r>
      <w:r w:rsidRPr="00C050B2">
        <w:rPr>
          <w:rFonts w:eastAsia="Arial" w:cs="Arial"/>
          <w:spacing w:val="-5"/>
          <w:szCs w:val="20"/>
        </w:rPr>
        <w:t xml:space="preserve"> </w:t>
      </w:r>
      <w:r w:rsidRPr="00C050B2">
        <w:rPr>
          <w:rFonts w:eastAsia="Verdana"/>
        </w:rPr>
        <w:t>Operating</w:t>
      </w:r>
      <w:r w:rsidRPr="00C050B2">
        <w:rPr>
          <w:rFonts w:eastAsia="Arial" w:cs="Arial"/>
          <w:spacing w:val="2"/>
          <w:szCs w:val="20"/>
        </w:rPr>
        <w:t xml:space="preserve"> </w:t>
      </w:r>
      <w:r w:rsidRPr="00C050B2">
        <w:rPr>
          <w:rFonts w:eastAsia="Arial" w:cs="Arial"/>
          <w:szCs w:val="20"/>
        </w:rPr>
        <w:t>P</w:t>
      </w:r>
      <w:r w:rsidRPr="00C050B2">
        <w:rPr>
          <w:rFonts w:eastAsia="Arial" w:cs="Arial"/>
          <w:spacing w:val="1"/>
          <w:szCs w:val="20"/>
        </w:rPr>
        <w:t>r</w:t>
      </w:r>
      <w:r w:rsidRPr="00C050B2">
        <w:rPr>
          <w:rFonts w:eastAsia="Arial" w:cs="Arial"/>
          <w:spacing w:val="-2"/>
          <w:szCs w:val="20"/>
        </w:rPr>
        <w:t>o</w:t>
      </w:r>
      <w:r w:rsidRPr="00C050B2">
        <w:rPr>
          <w:rFonts w:eastAsia="Arial" w:cs="Arial"/>
          <w:spacing w:val="1"/>
          <w:szCs w:val="20"/>
        </w:rPr>
        <w:t>ce</w:t>
      </w:r>
      <w:r w:rsidRPr="00C050B2">
        <w:rPr>
          <w:rFonts w:eastAsia="Arial" w:cs="Arial"/>
          <w:spacing w:val="-2"/>
          <w:szCs w:val="20"/>
        </w:rPr>
        <w:t>du</w:t>
      </w:r>
      <w:r w:rsidRPr="00C050B2">
        <w:rPr>
          <w:rFonts w:eastAsia="Arial" w:cs="Arial"/>
          <w:spacing w:val="1"/>
          <w:szCs w:val="20"/>
        </w:rPr>
        <w:t>re</w:t>
      </w:r>
      <w:r w:rsidRPr="00C050B2">
        <w:rPr>
          <w:rFonts w:eastAsia="Arial" w:cs="Arial"/>
          <w:szCs w:val="20"/>
        </w:rPr>
        <w:t>s (</w:t>
      </w:r>
      <w:proofErr w:type="spellStart"/>
      <w:r w:rsidRPr="00C050B2">
        <w:rPr>
          <w:rFonts w:eastAsia="Arial" w:cs="Arial"/>
          <w:szCs w:val="20"/>
        </w:rPr>
        <w:t>S</w:t>
      </w:r>
      <w:r w:rsidRPr="00C050B2">
        <w:rPr>
          <w:rFonts w:eastAsia="Arial" w:cs="Arial"/>
          <w:spacing w:val="-3"/>
          <w:szCs w:val="20"/>
        </w:rPr>
        <w:t>y</w:t>
      </w:r>
      <w:r w:rsidRPr="00C050B2">
        <w:rPr>
          <w:rFonts w:eastAsia="Arial" w:cs="Arial"/>
          <w:spacing w:val="-2"/>
          <w:szCs w:val="20"/>
        </w:rPr>
        <w:t>O</w:t>
      </w:r>
      <w:r w:rsidRPr="00C050B2">
        <w:rPr>
          <w:rFonts w:eastAsia="Arial" w:cs="Arial"/>
          <w:szCs w:val="20"/>
        </w:rPr>
        <w:t>P</w:t>
      </w:r>
      <w:r w:rsidRPr="00C050B2">
        <w:rPr>
          <w:rFonts w:eastAsia="Arial" w:cs="Arial"/>
          <w:spacing w:val="1"/>
          <w:szCs w:val="20"/>
        </w:rPr>
        <w:t>s</w:t>
      </w:r>
      <w:proofErr w:type="spellEnd"/>
      <w:r w:rsidRPr="00C050B2">
        <w:rPr>
          <w:rFonts w:eastAsia="Arial" w:cs="Arial"/>
          <w:szCs w:val="20"/>
        </w:rPr>
        <w:t>)</w:t>
      </w:r>
    </w:p>
    <w:p w14:paraId="2096FB1E" w14:textId="77777777" w:rsidR="00C1793C" w:rsidRPr="00C050B2" w:rsidRDefault="00C1793C" w:rsidP="00C1793C">
      <w:pPr>
        <w:spacing w:line="260" w:lineRule="exact"/>
        <w:ind w:left="861" w:right="804"/>
        <w:rPr>
          <w:rFonts w:eastAsia="Arial" w:cs="Arial"/>
          <w:szCs w:val="20"/>
        </w:rPr>
      </w:pPr>
      <w:r w:rsidRPr="00C050B2">
        <w:rPr>
          <w:rFonts w:eastAsia="Arial" w:cs="Arial"/>
          <w:i/>
          <w:szCs w:val="20"/>
        </w:rPr>
        <w:t>&lt;</w:t>
      </w:r>
      <w:r w:rsidRPr="00C050B2">
        <w:rPr>
          <w:rFonts w:eastAsia="Arial" w:cs="Arial"/>
          <w:i/>
          <w:spacing w:val="-2"/>
          <w:szCs w:val="20"/>
        </w:rPr>
        <w:t xml:space="preserve"> I</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1"/>
          <w:szCs w:val="20"/>
        </w:rPr>
        <w:t>neede</w:t>
      </w:r>
      <w:r w:rsidRPr="00C050B2">
        <w:rPr>
          <w:rFonts w:eastAsia="Arial" w:cs="Arial"/>
          <w:i/>
          <w:szCs w:val="20"/>
        </w:rPr>
        <w:t xml:space="preserve">d </w:t>
      </w:r>
      <w:r w:rsidRPr="00C050B2">
        <w:rPr>
          <w:rFonts w:eastAsia="Arial" w:cs="Arial"/>
          <w:i/>
          <w:spacing w:val="1"/>
          <w:szCs w:val="20"/>
        </w:rPr>
        <w:t>an</w:t>
      </w:r>
      <w:r w:rsidRPr="00C050B2">
        <w:rPr>
          <w:rFonts w:eastAsia="Arial" w:cs="Arial"/>
          <w:i/>
          <w:szCs w:val="20"/>
        </w:rPr>
        <w:t>y</w:t>
      </w:r>
      <w:r w:rsidRPr="00C050B2">
        <w:rPr>
          <w:rFonts w:eastAsia="Arial" w:cs="Arial"/>
          <w:i/>
          <w:spacing w:val="-1"/>
          <w:szCs w:val="20"/>
        </w:rPr>
        <w:t xml:space="preserve"> </w:t>
      </w:r>
      <w:proofErr w:type="spellStart"/>
      <w:r w:rsidRPr="00C050B2">
        <w:rPr>
          <w:rFonts w:eastAsia="Arial" w:cs="Arial"/>
          <w:i/>
          <w:szCs w:val="20"/>
        </w:rPr>
        <w:t>Sy</w:t>
      </w:r>
      <w:r w:rsidRPr="00C050B2">
        <w:rPr>
          <w:rFonts w:eastAsia="Arial" w:cs="Arial"/>
          <w:i/>
          <w:spacing w:val="-2"/>
          <w:szCs w:val="20"/>
        </w:rPr>
        <w:t>O</w:t>
      </w:r>
      <w:r w:rsidRPr="00C050B2">
        <w:rPr>
          <w:rFonts w:eastAsia="Arial" w:cs="Arial"/>
          <w:i/>
          <w:spacing w:val="1"/>
          <w:szCs w:val="20"/>
        </w:rPr>
        <w:t>p</w:t>
      </w:r>
      <w:r w:rsidRPr="00C050B2">
        <w:rPr>
          <w:rFonts w:eastAsia="Arial" w:cs="Arial"/>
          <w:i/>
          <w:szCs w:val="20"/>
        </w:rPr>
        <w:t>s</w:t>
      </w:r>
      <w:proofErr w:type="spellEnd"/>
      <w:r w:rsidRPr="00C050B2">
        <w:rPr>
          <w:rFonts w:eastAsia="Arial" w:cs="Arial"/>
          <w:i/>
          <w:spacing w:val="-1"/>
          <w:szCs w:val="20"/>
        </w:rPr>
        <w:t xml:space="preserve"> </w:t>
      </w:r>
      <w:r w:rsidRPr="00C050B2">
        <w:rPr>
          <w:rFonts w:eastAsia="Arial" w:cs="Arial"/>
          <w:i/>
          <w:szCs w:val="20"/>
        </w:rPr>
        <w:t>r</w:t>
      </w:r>
      <w:r w:rsidRPr="00C050B2">
        <w:rPr>
          <w:rFonts w:eastAsia="Arial" w:cs="Arial"/>
          <w:i/>
          <w:spacing w:val="1"/>
          <w:szCs w:val="20"/>
        </w:rPr>
        <w:t>equi</w:t>
      </w:r>
      <w:r w:rsidRPr="00C050B2">
        <w:rPr>
          <w:rFonts w:eastAsia="Arial" w:cs="Arial"/>
          <w:i/>
          <w:spacing w:val="-5"/>
          <w:szCs w:val="20"/>
        </w:rPr>
        <w:t>r</w:t>
      </w:r>
      <w:r w:rsidRPr="00C050B2">
        <w:rPr>
          <w:rFonts w:eastAsia="Arial" w:cs="Arial"/>
          <w:i/>
          <w:spacing w:val="1"/>
          <w:szCs w:val="20"/>
        </w:rPr>
        <w:t>e</w:t>
      </w:r>
      <w:r w:rsidRPr="00C050B2">
        <w:rPr>
          <w:rFonts w:eastAsia="Arial" w:cs="Arial"/>
          <w:i/>
          <w:szCs w:val="20"/>
        </w:rPr>
        <w:t>m</w:t>
      </w:r>
      <w:r w:rsidRPr="00C050B2">
        <w:rPr>
          <w:rFonts w:eastAsia="Arial" w:cs="Arial"/>
          <w:i/>
          <w:spacing w:val="1"/>
          <w:szCs w:val="20"/>
        </w:rPr>
        <w:t>en</w:t>
      </w:r>
      <w:r w:rsidRPr="00C050B2">
        <w:rPr>
          <w:rFonts w:eastAsia="Arial" w:cs="Arial"/>
          <w:i/>
          <w:spacing w:val="-2"/>
          <w:szCs w:val="20"/>
        </w:rPr>
        <w:t>t</w:t>
      </w:r>
      <w:r w:rsidRPr="00C050B2">
        <w:rPr>
          <w:rFonts w:eastAsia="Arial" w:cs="Arial"/>
          <w:i/>
          <w:szCs w:val="20"/>
        </w:rPr>
        <w:t>s</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ho</w:t>
      </w:r>
      <w:r w:rsidRPr="00C050B2">
        <w:rPr>
          <w:rFonts w:eastAsia="Arial" w:cs="Arial"/>
          <w:i/>
          <w:spacing w:val="-3"/>
          <w:szCs w:val="20"/>
        </w:rPr>
        <w:t>u</w:t>
      </w:r>
      <w:r w:rsidRPr="00C050B2">
        <w:rPr>
          <w:rFonts w:eastAsia="Arial" w:cs="Arial"/>
          <w:i/>
          <w:spacing w:val="1"/>
          <w:szCs w:val="20"/>
        </w:rPr>
        <w:t>l</w:t>
      </w:r>
      <w:r w:rsidRPr="00C050B2">
        <w:rPr>
          <w:rFonts w:eastAsia="Arial" w:cs="Arial"/>
          <w:i/>
          <w:szCs w:val="20"/>
        </w:rPr>
        <w:t xml:space="preserve">d </w:t>
      </w:r>
      <w:r w:rsidRPr="00C050B2">
        <w:rPr>
          <w:rFonts w:eastAsia="Arial" w:cs="Arial"/>
          <w:i/>
          <w:spacing w:val="1"/>
          <w:szCs w:val="20"/>
        </w:rPr>
        <w:t>b</w:t>
      </w:r>
      <w:r w:rsidRPr="00C050B2">
        <w:rPr>
          <w:rFonts w:eastAsia="Arial" w:cs="Arial"/>
          <w:i/>
          <w:szCs w:val="20"/>
        </w:rPr>
        <w:t>e</w:t>
      </w:r>
      <w:r w:rsidRPr="00C050B2">
        <w:rPr>
          <w:rFonts w:eastAsia="Arial" w:cs="Arial"/>
          <w:i/>
          <w:spacing w:val="-5"/>
          <w:szCs w:val="20"/>
        </w:rPr>
        <w:t xml:space="preserve"> </w:t>
      </w:r>
      <w:r w:rsidRPr="00C050B2">
        <w:rPr>
          <w:rFonts w:eastAsia="Arial" w:cs="Arial"/>
          <w:i/>
          <w:spacing w:val="1"/>
          <w:szCs w:val="20"/>
        </w:rPr>
        <w:t>in</w:t>
      </w:r>
      <w:r w:rsidRPr="00C050B2">
        <w:rPr>
          <w:rFonts w:eastAsia="Arial" w:cs="Arial"/>
          <w:i/>
          <w:szCs w:val="20"/>
        </w:rPr>
        <w:t>c</w:t>
      </w:r>
      <w:r w:rsidRPr="00C050B2">
        <w:rPr>
          <w:rFonts w:eastAsia="Arial" w:cs="Arial"/>
          <w:i/>
          <w:spacing w:val="1"/>
          <w:szCs w:val="20"/>
        </w:rPr>
        <w:t>l</w:t>
      </w:r>
      <w:r w:rsidRPr="00C050B2">
        <w:rPr>
          <w:rFonts w:eastAsia="Arial" w:cs="Arial"/>
          <w:i/>
          <w:spacing w:val="-3"/>
          <w:szCs w:val="20"/>
        </w:rPr>
        <w:t>u</w:t>
      </w:r>
      <w:r w:rsidRPr="00C050B2">
        <w:rPr>
          <w:rFonts w:eastAsia="Arial" w:cs="Arial"/>
          <w:i/>
          <w:spacing w:val="1"/>
          <w:szCs w:val="20"/>
        </w:rPr>
        <w:t>de</w:t>
      </w:r>
      <w:r w:rsidRPr="00C050B2">
        <w:rPr>
          <w:rFonts w:eastAsia="Arial" w:cs="Arial"/>
          <w:i/>
          <w:szCs w:val="20"/>
        </w:rPr>
        <w:t xml:space="preserve">d </w:t>
      </w:r>
      <w:r w:rsidRPr="00C050B2">
        <w:rPr>
          <w:rFonts w:eastAsia="Arial" w:cs="Arial"/>
          <w:i/>
          <w:spacing w:val="1"/>
          <w:szCs w:val="20"/>
        </w:rPr>
        <w:t>a</w:t>
      </w:r>
      <w:r w:rsidRPr="00C050B2">
        <w:rPr>
          <w:rFonts w:eastAsia="Arial" w:cs="Arial"/>
          <w:i/>
          <w:spacing w:val="-3"/>
          <w:szCs w:val="20"/>
        </w:rPr>
        <w:t>n</w:t>
      </w:r>
      <w:r w:rsidRPr="00C050B2">
        <w:rPr>
          <w:rFonts w:eastAsia="Arial" w:cs="Arial"/>
          <w:i/>
          <w:szCs w:val="20"/>
        </w:rPr>
        <w:t>d r</w:t>
      </w:r>
      <w:r w:rsidRPr="00C050B2">
        <w:rPr>
          <w:rFonts w:eastAsia="Arial" w:cs="Arial"/>
          <w:i/>
          <w:spacing w:val="1"/>
          <w:szCs w:val="20"/>
        </w:rPr>
        <w:t>e</w:t>
      </w:r>
      <w:r w:rsidRPr="00C050B2">
        <w:rPr>
          <w:rFonts w:eastAsia="Arial" w:cs="Arial"/>
          <w:i/>
          <w:spacing w:val="-2"/>
          <w:szCs w:val="20"/>
        </w:rPr>
        <w:t>f</w:t>
      </w:r>
      <w:r w:rsidRPr="00C050B2">
        <w:rPr>
          <w:rFonts w:eastAsia="Arial" w:cs="Arial"/>
          <w:i/>
          <w:spacing w:val="1"/>
          <w:szCs w:val="20"/>
        </w:rPr>
        <w:t>e</w:t>
      </w:r>
      <w:r w:rsidRPr="00C050B2">
        <w:rPr>
          <w:rFonts w:eastAsia="Arial" w:cs="Arial"/>
          <w:i/>
          <w:szCs w:val="20"/>
        </w:rPr>
        <w:t>r</w:t>
      </w:r>
      <w:r w:rsidRPr="00C050B2">
        <w:rPr>
          <w:rFonts w:eastAsia="Arial" w:cs="Arial"/>
          <w:i/>
          <w:spacing w:val="1"/>
          <w:szCs w:val="20"/>
        </w:rPr>
        <w:t>en</w:t>
      </w:r>
      <w:r w:rsidRPr="00C050B2">
        <w:rPr>
          <w:rFonts w:eastAsia="Arial" w:cs="Arial"/>
          <w:i/>
          <w:spacing w:val="-5"/>
          <w:szCs w:val="20"/>
        </w:rPr>
        <w:t>c</w:t>
      </w:r>
      <w:r w:rsidRPr="00C050B2">
        <w:rPr>
          <w:rFonts w:eastAsia="Arial" w:cs="Arial"/>
          <w:i/>
          <w:spacing w:val="1"/>
          <w:szCs w:val="20"/>
        </w:rPr>
        <w:t>e</w:t>
      </w:r>
      <w:r w:rsidRPr="00C050B2">
        <w:rPr>
          <w:rFonts w:eastAsia="Arial" w:cs="Arial"/>
          <w:i/>
          <w:szCs w:val="20"/>
        </w:rPr>
        <w:t xml:space="preserve">d </w:t>
      </w:r>
      <w:r w:rsidRPr="00C050B2">
        <w:rPr>
          <w:rFonts w:eastAsia="Arial" w:cs="Arial"/>
          <w:i/>
          <w:spacing w:val="1"/>
          <w:szCs w:val="20"/>
        </w:rPr>
        <w:t>he</w:t>
      </w:r>
      <w:r w:rsidRPr="00C050B2">
        <w:rPr>
          <w:rFonts w:eastAsia="Arial" w:cs="Arial"/>
          <w:i/>
          <w:szCs w:val="20"/>
        </w:rPr>
        <w:t>r</w:t>
      </w:r>
      <w:r w:rsidRPr="00C050B2">
        <w:rPr>
          <w:rFonts w:eastAsia="Arial" w:cs="Arial"/>
          <w:i/>
          <w:spacing w:val="1"/>
          <w:szCs w:val="20"/>
        </w:rPr>
        <w:t>e</w:t>
      </w:r>
      <w:r w:rsidRPr="00C050B2">
        <w:rPr>
          <w:rFonts w:eastAsia="Arial" w:cs="Arial"/>
          <w:i/>
          <w:spacing w:val="-2"/>
          <w:szCs w:val="20"/>
        </w:rPr>
        <w:t>.</w:t>
      </w:r>
      <w:r w:rsidRPr="00C050B2">
        <w:rPr>
          <w:rFonts w:eastAsia="Arial" w:cs="Arial"/>
          <w:i/>
          <w:szCs w:val="20"/>
        </w:rPr>
        <w:t>&gt;</w:t>
      </w:r>
    </w:p>
    <w:p w14:paraId="5B2C7860" w14:textId="77777777" w:rsidR="00C1793C" w:rsidRPr="00C050B2" w:rsidRDefault="00C1793C" w:rsidP="009D675B">
      <w:pPr>
        <w:pStyle w:val="Sch1"/>
        <w:numPr>
          <w:ilvl w:val="2"/>
          <w:numId w:val="57"/>
        </w:numPr>
        <w:rPr>
          <w:rFonts w:eastAsia="Arial" w:cs="Arial"/>
          <w:szCs w:val="20"/>
        </w:rPr>
      </w:pPr>
      <w:r w:rsidRPr="00C050B2">
        <w:rPr>
          <w:rFonts w:eastAsia="Arial" w:cs="Arial"/>
          <w:szCs w:val="20"/>
        </w:rPr>
        <w:t>M</w:t>
      </w:r>
      <w:r w:rsidRPr="00C050B2">
        <w:rPr>
          <w:rFonts w:eastAsia="Arial" w:cs="Arial"/>
          <w:spacing w:val="1"/>
          <w:szCs w:val="20"/>
        </w:rPr>
        <w:t>a</w:t>
      </w:r>
      <w:r w:rsidRPr="00C050B2">
        <w:rPr>
          <w:rFonts w:eastAsia="Arial" w:cs="Arial"/>
          <w:spacing w:val="-2"/>
          <w:szCs w:val="20"/>
        </w:rPr>
        <w:t>jo</w:t>
      </w:r>
      <w:r w:rsidRPr="00C050B2">
        <w:rPr>
          <w:rFonts w:eastAsia="Arial" w:cs="Arial"/>
          <w:szCs w:val="20"/>
        </w:rPr>
        <w:t xml:space="preserve">r </w:t>
      </w:r>
      <w:r w:rsidRPr="00C050B2">
        <w:rPr>
          <w:rFonts w:eastAsia="Verdana"/>
        </w:rPr>
        <w:t>Hardware</w:t>
      </w:r>
      <w:r w:rsidRPr="00C050B2">
        <w:rPr>
          <w:rFonts w:eastAsia="Arial" w:cs="Arial"/>
          <w:szCs w:val="20"/>
        </w:rPr>
        <w:t xml:space="preserve"> </w:t>
      </w:r>
      <w:r w:rsidRPr="00C050B2">
        <w:rPr>
          <w:rFonts w:eastAsia="Arial" w:cs="Arial"/>
          <w:spacing w:val="1"/>
          <w:szCs w:val="20"/>
        </w:rPr>
        <w:t>a</w:t>
      </w:r>
      <w:r w:rsidRPr="00C050B2">
        <w:rPr>
          <w:rFonts w:eastAsia="Arial" w:cs="Arial"/>
          <w:spacing w:val="-2"/>
          <w:szCs w:val="20"/>
        </w:rPr>
        <w:t>n</w:t>
      </w:r>
      <w:r w:rsidRPr="00C050B2">
        <w:rPr>
          <w:rFonts w:eastAsia="Arial" w:cs="Arial"/>
          <w:szCs w:val="20"/>
        </w:rPr>
        <w:t>d</w:t>
      </w:r>
      <w:r w:rsidRPr="00C050B2">
        <w:rPr>
          <w:rFonts w:eastAsia="Arial" w:cs="Arial"/>
          <w:spacing w:val="-3"/>
          <w:szCs w:val="20"/>
        </w:rPr>
        <w:t xml:space="preserve"> </w:t>
      </w:r>
      <w:r w:rsidRPr="00C050B2">
        <w:rPr>
          <w:rFonts w:eastAsia="Arial" w:cs="Arial"/>
          <w:szCs w:val="20"/>
        </w:rPr>
        <w:t>S</w:t>
      </w:r>
      <w:r w:rsidRPr="00C050B2">
        <w:rPr>
          <w:rFonts w:eastAsia="Arial" w:cs="Arial"/>
          <w:spacing w:val="-2"/>
          <w:szCs w:val="20"/>
        </w:rPr>
        <w:t>o</w:t>
      </w:r>
      <w:r w:rsidRPr="00C050B2">
        <w:rPr>
          <w:rFonts w:eastAsia="Arial" w:cs="Arial"/>
          <w:szCs w:val="20"/>
        </w:rPr>
        <w:t>ft</w:t>
      </w:r>
      <w:r w:rsidRPr="00C050B2">
        <w:rPr>
          <w:rFonts w:eastAsia="Arial" w:cs="Arial"/>
          <w:spacing w:val="3"/>
          <w:szCs w:val="20"/>
        </w:rPr>
        <w:t>w</w:t>
      </w:r>
      <w:r w:rsidRPr="00C050B2">
        <w:rPr>
          <w:rFonts w:eastAsia="Arial" w:cs="Arial"/>
          <w:spacing w:val="1"/>
          <w:szCs w:val="20"/>
        </w:rPr>
        <w:t>ar</w:t>
      </w:r>
      <w:r w:rsidRPr="00C050B2">
        <w:rPr>
          <w:rFonts w:eastAsia="Arial" w:cs="Arial"/>
          <w:szCs w:val="20"/>
        </w:rPr>
        <w:t xml:space="preserve">e </w:t>
      </w:r>
      <w:r w:rsidRPr="00C050B2">
        <w:rPr>
          <w:rFonts w:eastAsia="Arial" w:cs="Arial"/>
          <w:spacing w:val="1"/>
          <w:szCs w:val="20"/>
        </w:rPr>
        <w:t>a</w:t>
      </w:r>
      <w:r w:rsidRPr="00C050B2">
        <w:rPr>
          <w:rFonts w:eastAsia="Arial" w:cs="Arial"/>
          <w:spacing w:val="-2"/>
          <w:szCs w:val="20"/>
        </w:rPr>
        <w:t>n</w:t>
      </w:r>
      <w:r w:rsidRPr="00C050B2">
        <w:rPr>
          <w:rFonts w:eastAsia="Arial" w:cs="Arial"/>
          <w:szCs w:val="20"/>
        </w:rPr>
        <w:t>d</w:t>
      </w:r>
      <w:r w:rsidRPr="00C050B2">
        <w:rPr>
          <w:rFonts w:eastAsia="Arial" w:cs="Arial"/>
          <w:spacing w:val="-3"/>
          <w:szCs w:val="20"/>
        </w:rPr>
        <w:t xml:space="preserve"> </w:t>
      </w:r>
      <w:r w:rsidRPr="00C050B2">
        <w:rPr>
          <w:rFonts w:eastAsia="Arial" w:cs="Arial"/>
          <w:spacing w:val="1"/>
          <w:szCs w:val="20"/>
        </w:rPr>
        <w:t>e</w:t>
      </w:r>
      <w:r w:rsidRPr="00C050B2">
        <w:rPr>
          <w:rFonts w:eastAsia="Arial" w:cs="Arial"/>
          <w:spacing w:val="-2"/>
          <w:szCs w:val="20"/>
        </w:rPr>
        <w:t>n</w:t>
      </w:r>
      <w:r w:rsidRPr="00C050B2">
        <w:rPr>
          <w:rFonts w:eastAsia="Arial" w:cs="Arial"/>
          <w:szCs w:val="20"/>
        </w:rPr>
        <w:t>d</w:t>
      </w:r>
      <w:r w:rsidRPr="00C050B2">
        <w:rPr>
          <w:rFonts w:eastAsia="Arial" w:cs="Arial"/>
          <w:spacing w:val="-3"/>
          <w:szCs w:val="20"/>
        </w:rPr>
        <w:t xml:space="preserve"> </w:t>
      </w:r>
      <w:r w:rsidRPr="00C050B2">
        <w:rPr>
          <w:rFonts w:eastAsia="Arial" w:cs="Arial"/>
          <w:spacing w:val="-2"/>
          <w:szCs w:val="20"/>
        </w:rPr>
        <w:t>o</w:t>
      </w:r>
      <w:r w:rsidRPr="00C050B2">
        <w:rPr>
          <w:rFonts w:eastAsia="Arial" w:cs="Arial"/>
          <w:szCs w:val="20"/>
        </w:rPr>
        <w:t>f</w:t>
      </w:r>
      <w:r w:rsidRPr="00C050B2">
        <w:rPr>
          <w:rFonts w:eastAsia="Arial" w:cs="Arial"/>
          <w:spacing w:val="-1"/>
          <w:szCs w:val="20"/>
        </w:rPr>
        <w:t xml:space="preserve"> </w:t>
      </w:r>
      <w:r w:rsidRPr="00C050B2">
        <w:rPr>
          <w:rFonts w:eastAsia="Arial" w:cs="Arial"/>
          <w:spacing w:val="1"/>
          <w:szCs w:val="20"/>
        </w:rPr>
        <w:t>s</w:t>
      </w:r>
      <w:r w:rsidRPr="00C050B2">
        <w:rPr>
          <w:rFonts w:eastAsia="Arial" w:cs="Arial"/>
          <w:spacing w:val="3"/>
          <w:szCs w:val="20"/>
        </w:rPr>
        <w:t>u</w:t>
      </w:r>
      <w:r w:rsidRPr="00C050B2">
        <w:rPr>
          <w:rFonts w:eastAsia="Arial" w:cs="Arial"/>
          <w:spacing w:val="-2"/>
          <w:szCs w:val="20"/>
        </w:rPr>
        <w:t>ppo</w:t>
      </w:r>
      <w:r w:rsidRPr="00C050B2">
        <w:rPr>
          <w:rFonts w:eastAsia="Arial" w:cs="Arial"/>
          <w:spacing w:val="1"/>
          <w:szCs w:val="20"/>
        </w:rPr>
        <w:t>r</w:t>
      </w:r>
      <w:r w:rsidRPr="00C050B2">
        <w:rPr>
          <w:rFonts w:eastAsia="Arial" w:cs="Arial"/>
          <w:szCs w:val="20"/>
        </w:rPr>
        <w:t>t</w:t>
      </w:r>
      <w:r w:rsidRPr="00C050B2">
        <w:rPr>
          <w:rFonts w:eastAsia="Arial" w:cs="Arial"/>
          <w:spacing w:val="-1"/>
          <w:szCs w:val="20"/>
        </w:rPr>
        <w:t xml:space="preserve"> </w:t>
      </w:r>
      <w:r w:rsidRPr="00C050B2">
        <w:rPr>
          <w:rFonts w:eastAsia="Arial" w:cs="Arial"/>
          <w:spacing w:val="-2"/>
          <w:szCs w:val="20"/>
        </w:rPr>
        <w:t>d</w:t>
      </w:r>
      <w:r w:rsidRPr="00C050B2">
        <w:rPr>
          <w:rFonts w:eastAsia="Arial" w:cs="Arial"/>
          <w:spacing w:val="1"/>
          <w:szCs w:val="20"/>
        </w:rPr>
        <w:t>a</w:t>
      </w:r>
      <w:r w:rsidRPr="00C050B2">
        <w:rPr>
          <w:rFonts w:eastAsia="Arial" w:cs="Arial"/>
          <w:szCs w:val="20"/>
        </w:rPr>
        <w:t>t</w:t>
      </w:r>
      <w:r w:rsidRPr="00C050B2">
        <w:rPr>
          <w:rFonts w:eastAsia="Arial" w:cs="Arial"/>
          <w:spacing w:val="1"/>
          <w:szCs w:val="20"/>
        </w:rPr>
        <w:t>e</w:t>
      </w:r>
      <w:r w:rsidRPr="00C050B2">
        <w:rPr>
          <w:rFonts w:eastAsia="Arial" w:cs="Arial"/>
          <w:szCs w:val="20"/>
        </w:rPr>
        <w:t>s</w:t>
      </w:r>
    </w:p>
    <w:p w14:paraId="5412E9D8" w14:textId="77777777" w:rsidR="00C1793C" w:rsidRDefault="00C1793C" w:rsidP="00C1793C">
      <w:pPr>
        <w:spacing w:line="260" w:lineRule="exact"/>
        <w:ind w:left="861" w:right="219"/>
        <w:rPr>
          <w:rFonts w:eastAsia="Arial" w:cs="Arial"/>
          <w:i/>
          <w:szCs w:val="20"/>
        </w:rPr>
      </w:pPr>
      <w:r w:rsidRPr="00C050B2">
        <w:rPr>
          <w:rFonts w:eastAsia="Arial" w:cs="Arial"/>
          <w:i/>
          <w:szCs w:val="20"/>
        </w:rPr>
        <w:t>&lt;</w:t>
      </w:r>
      <w:r w:rsidRPr="00C050B2">
        <w:rPr>
          <w:rFonts w:eastAsia="Arial" w:cs="Arial"/>
          <w:i/>
          <w:spacing w:val="-2"/>
          <w:szCs w:val="20"/>
        </w:rPr>
        <w:t xml:space="preserve"> T</w:t>
      </w:r>
      <w:r w:rsidRPr="00C050B2">
        <w:rPr>
          <w:rFonts w:eastAsia="Arial" w:cs="Arial"/>
          <w:i/>
          <w:spacing w:val="1"/>
          <w:szCs w:val="20"/>
        </w:rPr>
        <w:t>hi</w:t>
      </w:r>
      <w:r w:rsidRPr="00C050B2">
        <w:rPr>
          <w:rFonts w:eastAsia="Arial" w:cs="Arial"/>
          <w:i/>
          <w:szCs w:val="20"/>
        </w:rPr>
        <w:t>s</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houl</w:t>
      </w:r>
      <w:r w:rsidRPr="00C050B2">
        <w:rPr>
          <w:rFonts w:eastAsia="Arial" w:cs="Arial"/>
          <w:i/>
          <w:szCs w:val="20"/>
        </w:rPr>
        <w:t xml:space="preserve">d </w:t>
      </w:r>
      <w:r w:rsidRPr="00C050B2">
        <w:rPr>
          <w:rFonts w:eastAsia="Arial" w:cs="Arial"/>
          <w:i/>
          <w:spacing w:val="1"/>
          <w:szCs w:val="20"/>
        </w:rPr>
        <w:t>b</w:t>
      </w:r>
      <w:r w:rsidRPr="00C050B2">
        <w:rPr>
          <w:rFonts w:eastAsia="Arial" w:cs="Arial"/>
          <w:i/>
          <w:szCs w:val="20"/>
        </w:rPr>
        <w:t xml:space="preserve">e a </w:t>
      </w:r>
      <w:r w:rsidRPr="00C050B2">
        <w:rPr>
          <w:rFonts w:eastAsia="Arial" w:cs="Arial"/>
          <w:i/>
          <w:spacing w:val="-2"/>
          <w:szCs w:val="20"/>
        </w:rPr>
        <w:t>t</w:t>
      </w:r>
      <w:r w:rsidRPr="00C050B2">
        <w:rPr>
          <w:rFonts w:eastAsia="Arial" w:cs="Arial"/>
          <w:i/>
          <w:spacing w:val="1"/>
          <w:szCs w:val="20"/>
        </w:rPr>
        <w:t>a</w:t>
      </w:r>
      <w:r w:rsidRPr="00C050B2">
        <w:rPr>
          <w:rFonts w:eastAsia="Arial" w:cs="Arial"/>
          <w:i/>
          <w:spacing w:val="-3"/>
          <w:szCs w:val="20"/>
        </w:rPr>
        <w:t>b</w:t>
      </w:r>
      <w:r w:rsidRPr="00C050B2">
        <w:rPr>
          <w:rFonts w:eastAsia="Arial" w:cs="Arial"/>
          <w:i/>
          <w:spacing w:val="1"/>
          <w:szCs w:val="20"/>
        </w:rPr>
        <w:t>l</w:t>
      </w:r>
      <w:r w:rsidRPr="00C050B2">
        <w:rPr>
          <w:rFonts w:eastAsia="Arial" w:cs="Arial"/>
          <w:i/>
          <w:szCs w:val="20"/>
        </w:rPr>
        <w:t xml:space="preserve">e </w:t>
      </w:r>
      <w:r w:rsidRPr="00C050B2">
        <w:rPr>
          <w:rFonts w:eastAsia="Arial" w:cs="Arial"/>
          <w:i/>
          <w:spacing w:val="1"/>
          <w:szCs w:val="20"/>
        </w:rPr>
        <w:t>w</w:t>
      </w:r>
      <w:r w:rsidRPr="00C050B2">
        <w:rPr>
          <w:rFonts w:eastAsia="Arial" w:cs="Arial"/>
          <w:i/>
          <w:spacing w:val="-3"/>
          <w:szCs w:val="20"/>
        </w:rPr>
        <w:t>h</w:t>
      </w:r>
      <w:r w:rsidRPr="00C050B2">
        <w:rPr>
          <w:rFonts w:eastAsia="Arial" w:cs="Arial"/>
          <w:i/>
          <w:spacing w:val="1"/>
          <w:szCs w:val="20"/>
        </w:rPr>
        <w:t>i</w:t>
      </w:r>
      <w:r w:rsidRPr="00C050B2">
        <w:rPr>
          <w:rFonts w:eastAsia="Arial" w:cs="Arial"/>
          <w:i/>
          <w:szCs w:val="20"/>
        </w:rPr>
        <w:t xml:space="preserve">ch </w:t>
      </w:r>
      <w:r w:rsidRPr="00C050B2">
        <w:rPr>
          <w:rFonts w:eastAsia="Arial" w:cs="Arial"/>
          <w:i/>
          <w:spacing w:val="1"/>
          <w:szCs w:val="20"/>
        </w:rPr>
        <w:t>li</w:t>
      </w:r>
      <w:r w:rsidRPr="00C050B2">
        <w:rPr>
          <w:rFonts w:eastAsia="Arial" w:cs="Arial"/>
          <w:i/>
          <w:szCs w:val="20"/>
        </w:rPr>
        <w:t>s</w:t>
      </w:r>
      <w:r w:rsidRPr="00C050B2">
        <w:rPr>
          <w:rFonts w:eastAsia="Arial" w:cs="Arial"/>
          <w:i/>
          <w:spacing w:val="-2"/>
          <w:szCs w:val="20"/>
        </w:rPr>
        <w:t>t</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en</w:t>
      </w:r>
      <w:r w:rsidRPr="00C050B2">
        <w:rPr>
          <w:rFonts w:eastAsia="Arial" w:cs="Arial"/>
          <w:i/>
          <w:szCs w:val="20"/>
        </w:rPr>
        <w:t xml:space="preserve">d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5"/>
          <w:szCs w:val="20"/>
        </w:rPr>
        <w:t>s</w:t>
      </w:r>
      <w:r w:rsidRPr="00C050B2">
        <w:rPr>
          <w:rFonts w:eastAsia="Arial" w:cs="Arial"/>
          <w:i/>
          <w:spacing w:val="1"/>
          <w:szCs w:val="20"/>
        </w:rPr>
        <w:t>uppo</w:t>
      </w:r>
      <w:r w:rsidRPr="00C050B2">
        <w:rPr>
          <w:rFonts w:eastAsia="Arial" w:cs="Arial"/>
          <w:i/>
          <w:szCs w:val="20"/>
        </w:rPr>
        <w:t>rt</w:t>
      </w:r>
      <w:r w:rsidRPr="00C050B2">
        <w:rPr>
          <w:rFonts w:eastAsia="Arial" w:cs="Arial"/>
          <w:i/>
          <w:spacing w:val="-3"/>
          <w:szCs w:val="20"/>
        </w:rPr>
        <w:t xml:space="preserve"> </w:t>
      </w:r>
      <w:r w:rsidRPr="00C050B2">
        <w:rPr>
          <w:rFonts w:eastAsia="Arial" w:cs="Arial"/>
          <w:i/>
          <w:spacing w:val="1"/>
          <w:szCs w:val="20"/>
        </w:rPr>
        <w:t>da</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2"/>
          <w:szCs w:val="20"/>
        </w:rPr>
        <w:t>f</w:t>
      </w:r>
      <w:r w:rsidRPr="00C050B2">
        <w:rPr>
          <w:rFonts w:eastAsia="Arial" w:cs="Arial"/>
          <w:i/>
          <w:spacing w:val="1"/>
          <w:szCs w:val="20"/>
        </w:rPr>
        <w:t>o</w:t>
      </w:r>
      <w:r w:rsidRPr="00C050B2">
        <w:rPr>
          <w:rFonts w:eastAsia="Arial" w:cs="Arial"/>
          <w:i/>
          <w:szCs w:val="20"/>
        </w:rPr>
        <w:t>r</w:t>
      </w:r>
      <w:r w:rsidRPr="00C050B2">
        <w:rPr>
          <w:rFonts w:eastAsia="Arial" w:cs="Arial"/>
          <w:i/>
          <w:spacing w:val="-1"/>
          <w:szCs w:val="20"/>
        </w:rPr>
        <w:t xml:space="preserve"> </w:t>
      </w:r>
      <w:r w:rsidRPr="00C050B2">
        <w:rPr>
          <w:rFonts w:eastAsia="Arial" w:cs="Arial"/>
          <w:i/>
          <w:spacing w:val="1"/>
          <w:szCs w:val="20"/>
        </w:rPr>
        <w:t>ha</w:t>
      </w:r>
      <w:r w:rsidRPr="00C050B2">
        <w:rPr>
          <w:rFonts w:eastAsia="Arial" w:cs="Arial"/>
          <w:i/>
          <w:szCs w:val="20"/>
        </w:rPr>
        <w:t>r</w:t>
      </w:r>
      <w:r w:rsidRPr="00C050B2">
        <w:rPr>
          <w:rFonts w:eastAsia="Arial" w:cs="Arial"/>
          <w:i/>
          <w:spacing w:val="-3"/>
          <w:szCs w:val="20"/>
        </w:rPr>
        <w:t>d</w:t>
      </w:r>
      <w:r w:rsidRPr="00C050B2">
        <w:rPr>
          <w:rFonts w:eastAsia="Arial" w:cs="Arial"/>
          <w:i/>
          <w:spacing w:val="1"/>
          <w:szCs w:val="20"/>
        </w:rPr>
        <w:t>wa</w:t>
      </w:r>
      <w:r w:rsidRPr="00C050B2">
        <w:rPr>
          <w:rFonts w:eastAsia="Arial" w:cs="Arial"/>
          <w:i/>
          <w:szCs w:val="20"/>
        </w:rPr>
        <w:t xml:space="preserve">re </w:t>
      </w:r>
      <w:r w:rsidRPr="00C050B2">
        <w:rPr>
          <w:rFonts w:eastAsia="Arial" w:cs="Arial"/>
          <w:i/>
          <w:spacing w:val="-3"/>
          <w:szCs w:val="20"/>
        </w:rPr>
        <w:t>a</w:t>
      </w:r>
      <w:r w:rsidRPr="00C050B2">
        <w:rPr>
          <w:rFonts w:eastAsia="Arial" w:cs="Arial"/>
          <w:i/>
          <w:spacing w:val="1"/>
          <w:szCs w:val="20"/>
        </w:rPr>
        <w:t>n</w:t>
      </w:r>
      <w:r w:rsidRPr="00C050B2">
        <w:rPr>
          <w:rFonts w:eastAsia="Arial" w:cs="Arial"/>
          <w:i/>
          <w:szCs w:val="20"/>
        </w:rPr>
        <w:t>d s</w:t>
      </w:r>
      <w:r w:rsidRPr="00C050B2">
        <w:rPr>
          <w:rFonts w:eastAsia="Arial" w:cs="Arial"/>
          <w:i/>
          <w:spacing w:val="1"/>
          <w:szCs w:val="20"/>
        </w:rPr>
        <w:t>o</w:t>
      </w:r>
      <w:r w:rsidRPr="00C050B2">
        <w:rPr>
          <w:rFonts w:eastAsia="Arial" w:cs="Arial"/>
          <w:i/>
          <w:spacing w:val="-2"/>
          <w:szCs w:val="20"/>
        </w:rPr>
        <w:t>ft</w:t>
      </w:r>
      <w:r w:rsidRPr="00C050B2">
        <w:rPr>
          <w:rFonts w:eastAsia="Arial" w:cs="Arial"/>
          <w:i/>
          <w:spacing w:val="1"/>
          <w:szCs w:val="20"/>
        </w:rPr>
        <w:t>wa</w:t>
      </w:r>
      <w:r w:rsidRPr="00C050B2">
        <w:rPr>
          <w:rFonts w:eastAsia="Arial" w:cs="Arial"/>
          <w:i/>
          <w:szCs w:val="20"/>
        </w:rPr>
        <w:t xml:space="preserve">re </w:t>
      </w:r>
      <w:r w:rsidRPr="00C050B2">
        <w:rPr>
          <w:rFonts w:eastAsia="Arial" w:cs="Arial"/>
          <w:i/>
          <w:spacing w:val="1"/>
          <w:szCs w:val="20"/>
        </w:rPr>
        <w:t>p</w:t>
      </w:r>
      <w:r w:rsidRPr="00C050B2">
        <w:rPr>
          <w:rFonts w:eastAsia="Arial" w:cs="Arial"/>
          <w:i/>
          <w:szCs w:val="20"/>
        </w:rPr>
        <w:t>r</w:t>
      </w:r>
      <w:r w:rsidRPr="00C050B2">
        <w:rPr>
          <w:rFonts w:eastAsia="Arial" w:cs="Arial"/>
          <w:i/>
          <w:spacing w:val="1"/>
          <w:szCs w:val="20"/>
        </w:rPr>
        <w:t>odu</w:t>
      </w:r>
      <w:r w:rsidRPr="00C050B2">
        <w:rPr>
          <w:rFonts w:eastAsia="Arial" w:cs="Arial"/>
          <w:i/>
          <w:szCs w:val="20"/>
        </w:rPr>
        <w:t>c</w:t>
      </w:r>
      <w:r w:rsidRPr="00C050B2">
        <w:rPr>
          <w:rFonts w:eastAsia="Arial" w:cs="Arial"/>
          <w:i/>
          <w:spacing w:val="-2"/>
          <w:szCs w:val="20"/>
        </w:rPr>
        <w:t>t</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a</w:t>
      </w:r>
      <w:r w:rsidRPr="00C050B2">
        <w:rPr>
          <w:rFonts w:eastAsia="Arial" w:cs="Arial"/>
          <w:i/>
          <w:spacing w:val="-3"/>
          <w:szCs w:val="20"/>
        </w:rPr>
        <w:t>n</w:t>
      </w:r>
      <w:r w:rsidRPr="00C050B2">
        <w:rPr>
          <w:rFonts w:eastAsia="Arial" w:cs="Arial"/>
          <w:i/>
          <w:szCs w:val="20"/>
        </w:rPr>
        <w:t>d c</w:t>
      </w:r>
      <w:r w:rsidRPr="00C050B2">
        <w:rPr>
          <w:rFonts w:eastAsia="Arial" w:cs="Arial"/>
          <w:i/>
          <w:spacing w:val="1"/>
          <w:szCs w:val="20"/>
        </w:rPr>
        <w:t>o</w:t>
      </w:r>
      <w:r w:rsidRPr="00C050B2">
        <w:rPr>
          <w:rFonts w:eastAsia="Arial" w:cs="Arial"/>
          <w:i/>
          <w:szCs w:val="20"/>
        </w:rPr>
        <w:t>m</w:t>
      </w:r>
      <w:r w:rsidRPr="00C050B2">
        <w:rPr>
          <w:rFonts w:eastAsia="Arial" w:cs="Arial"/>
          <w:i/>
          <w:spacing w:val="1"/>
          <w:szCs w:val="20"/>
        </w:rPr>
        <w:t>p</w:t>
      </w:r>
      <w:r w:rsidRPr="00C050B2">
        <w:rPr>
          <w:rFonts w:eastAsia="Arial" w:cs="Arial"/>
          <w:i/>
          <w:spacing w:val="-3"/>
          <w:szCs w:val="20"/>
        </w:rPr>
        <w:t>o</w:t>
      </w:r>
      <w:r w:rsidRPr="00C050B2">
        <w:rPr>
          <w:rFonts w:eastAsia="Arial" w:cs="Arial"/>
          <w:i/>
          <w:spacing w:val="1"/>
          <w:szCs w:val="20"/>
        </w:rPr>
        <w:t>nen</w:t>
      </w:r>
      <w:r w:rsidRPr="00C050B2">
        <w:rPr>
          <w:rFonts w:eastAsia="Arial" w:cs="Arial"/>
          <w:i/>
          <w:spacing w:val="-2"/>
          <w:szCs w:val="20"/>
        </w:rPr>
        <w:t>t</w:t>
      </w:r>
      <w:r w:rsidRPr="00C050B2">
        <w:rPr>
          <w:rFonts w:eastAsia="Arial" w:cs="Arial"/>
          <w:i/>
          <w:szCs w:val="20"/>
        </w:rPr>
        <w:t>s.</w:t>
      </w:r>
      <w:r w:rsidRPr="00C050B2">
        <w:rPr>
          <w:rFonts w:eastAsia="Arial" w:cs="Arial"/>
          <w:i/>
          <w:spacing w:val="-3"/>
          <w:szCs w:val="20"/>
        </w:rPr>
        <w:t xml:space="preserve"> </w:t>
      </w:r>
      <w:r w:rsidRPr="00C050B2">
        <w:rPr>
          <w:rFonts w:eastAsia="Arial" w:cs="Arial"/>
          <w:i/>
          <w:szCs w:val="20"/>
        </w:rPr>
        <w:t>An</w:t>
      </w:r>
      <w:r w:rsidRPr="00C050B2">
        <w:rPr>
          <w:rFonts w:eastAsia="Arial" w:cs="Arial"/>
          <w:i/>
          <w:spacing w:val="3"/>
          <w:szCs w:val="20"/>
        </w:rPr>
        <w:t xml:space="preserve"> </w:t>
      </w:r>
      <w:r w:rsidRPr="00C050B2">
        <w:rPr>
          <w:rFonts w:eastAsia="Arial" w:cs="Arial"/>
          <w:i/>
          <w:spacing w:val="1"/>
          <w:szCs w:val="20"/>
        </w:rPr>
        <w:t>e</w:t>
      </w:r>
      <w:r w:rsidRPr="00C050B2">
        <w:rPr>
          <w:rFonts w:eastAsia="Arial" w:cs="Arial"/>
          <w:i/>
          <w:szCs w:val="20"/>
        </w:rPr>
        <w:t>x</w:t>
      </w:r>
      <w:r w:rsidRPr="00C050B2">
        <w:rPr>
          <w:rFonts w:eastAsia="Arial" w:cs="Arial"/>
          <w:i/>
          <w:spacing w:val="1"/>
          <w:szCs w:val="20"/>
        </w:rPr>
        <w:t>a</w:t>
      </w:r>
      <w:r w:rsidRPr="00C050B2">
        <w:rPr>
          <w:rFonts w:eastAsia="Arial" w:cs="Arial"/>
          <w:i/>
          <w:szCs w:val="20"/>
        </w:rPr>
        <w:t>m</w:t>
      </w:r>
      <w:r w:rsidRPr="00C050B2">
        <w:rPr>
          <w:rFonts w:eastAsia="Arial" w:cs="Arial"/>
          <w:i/>
          <w:spacing w:val="1"/>
          <w:szCs w:val="20"/>
        </w:rPr>
        <w:t>p</w:t>
      </w:r>
      <w:r w:rsidRPr="00C050B2">
        <w:rPr>
          <w:rFonts w:eastAsia="Arial" w:cs="Arial"/>
          <w:i/>
          <w:spacing w:val="-3"/>
          <w:szCs w:val="20"/>
        </w:rPr>
        <w:t>l</w:t>
      </w:r>
      <w:r w:rsidRPr="00C050B2">
        <w:rPr>
          <w:rFonts w:eastAsia="Arial" w:cs="Arial"/>
          <w:i/>
          <w:szCs w:val="20"/>
        </w:rPr>
        <w:t xml:space="preserve">e </w:t>
      </w:r>
      <w:r w:rsidRPr="00C050B2">
        <w:rPr>
          <w:rFonts w:eastAsia="Arial" w:cs="Arial"/>
          <w:i/>
          <w:spacing w:val="-2"/>
          <w:szCs w:val="20"/>
        </w:rPr>
        <w:t>t</w:t>
      </w:r>
      <w:r w:rsidRPr="00C050B2">
        <w:rPr>
          <w:rFonts w:eastAsia="Arial" w:cs="Arial"/>
          <w:i/>
          <w:spacing w:val="1"/>
          <w:szCs w:val="20"/>
        </w:rPr>
        <w:t>abl</w:t>
      </w:r>
      <w:r w:rsidRPr="00C050B2">
        <w:rPr>
          <w:rFonts w:eastAsia="Arial" w:cs="Arial"/>
          <w:i/>
          <w:szCs w:val="20"/>
        </w:rPr>
        <w:t xml:space="preserve">e </w:t>
      </w:r>
      <w:r w:rsidRPr="00C050B2">
        <w:rPr>
          <w:rFonts w:eastAsia="Arial" w:cs="Arial"/>
          <w:i/>
          <w:spacing w:val="1"/>
          <w:szCs w:val="20"/>
        </w:rPr>
        <w:t>i</w:t>
      </w:r>
      <w:r w:rsidRPr="00C050B2">
        <w:rPr>
          <w:rFonts w:eastAsia="Arial" w:cs="Arial"/>
          <w:i/>
          <w:szCs w:val="20"/>
        </w:rPr>
        <w:t>s</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ho</w:t>
      </w:r>
      <w:r w:rsidRPr="00C050B2">
        <w:rPr>
          <w:rFonts w:eastAsia="Arial" w:cs="Arial"/>
          <w:i/>
          <w:spacing w:val="-3"/>
          <w:szCs w:val="20"/>
        </w:rPr>
        <w:t>w</w:t>
      </w:r>
      <w:r w:rsidRPr="00C050B2">
        <w:rPr>
          <w:rFonts w:eastAsia="Arial" w:cs="Arial"/>
          <w:i/>
          <w:szCs w:val="20"/>
        </w:rPr>
        <w:t xml:space="preserve">n </w:t>
      </w:r>
      <w:r w:rsidRPr="00C050B2">
        <w:rPr>
          <w:rFonts w:eastAsia="Arial" w:cs="Arial"/>
          <w:i/>
          <w:spacing w:val="1"/>
          <w:szCs w:val="20"/>
        </w:rPr>
        <w:t>be</w:t>
      </w:r>
      <w:r w:rsidRPr="00C050B2">
        <w:rPr>
          <w:rFonts w:eastAsia="Arial" w:cs="Arial"/>
          <w:i/>
          <w:spacing w:val="-3"/>
          <w:szCs w:val="20"/>
        </w:rPr>
        <w:t>l</w:t>
      </w:r>
      <w:r w:rsidRPr="00C050B2">
        <w:rPr>
          <w:rFonts w:eastAsia="Arial" w:cs="Arial"/>
          <w:i/>
          <w:spacing w:val="1"/>
          <w:szCs w:val="20"/>
        </w:rPr>
        <w:t>ow</w:t>
      </w:r>
      <w:r w:rsidRPr="00C050B2">
        <w:rPr>
          <w:rFonts w:eastAsia="Arial" w:cs="Arial"/>
          <w:i/>
          <w:spacing w:val="-2"/>
          <w:szCs w:val="20"/>
        </w:rPr>
        <w:t>.</w:t>
      </w:r>
      <w:r w:rsidRPr="00C050B2">
        <w:rPr>
          <w:rFonts w:eastAsia="Arial" w:cs="Arial"/>
          <w:i/>
          <w:szCs w:val="20"/>
        </w:rPr>
        <w:t>&gt;</w:t>
      </w:r>
    </w:p>
    <w:tbl>
      <w:tblPr>
        <w:tblStyle w:val="TableGrid0"/>
        <w:tblW w:w="0" w:type="auto"/>
        <w:tblLook w:val="04A0" w:firstRow="1" w:lastRow="0" w:firstColumn="1" w:lastColumn="0" w:noHBand="0" w:noVBand="1"/>
      </w:tblPr>
      <w:tblGrid>
        <w:gridCol w:w="1776"/>
        <w:gridCol w:w="1920"/>
        <w:gridCol w:w="3070"/>
        <w:gridCol w:w="2250"/>
      </w:tblGrid>
      <w:tr w:rsidR="00C1793C" w:rsidRPr="00E732B7" w14:paraId="414F6F65" w14:textId="77777777" w:rsidTr="00C1793C">
        <w:tc>
          <w:tcPr>
            <w:tcW w:w="1838" w:type="dxa"/>
            <w:shd w:val="clear" w:color="auto" w:fill="DEEAF6" w:themeFill="accent1" w:themeFillTint="33"/>
          </w:tcPr>
          <w:p w14:paraId="74A1DDAE" w14:textId="77777777" w:rsidR="00C1793C" w:rsidRPr="00E732B7" w:rsidRDefault="00C1793C" w:rsidP="00C1793C">
            <w:pPr>
              <w:spacing w:line="260" w:lineRule="exact"/>
              <w:ind w:right="219"/>
              <w:rPr>
                <w:rFonts w:ascii="Arial" w:eastAsia="Arial" w:hAnsi="Arial" w:cs="Arial"/>
                <w:b/>
                <w:bCs/>
                <w:iCs/>
                <w:sz w:val="20"/>
                <w:szCs w:val="20"/>
              </w:rPr>
            </w:pPr>
            <w:r w:rsidRPr="00E732B7">
              <w:rPr>
                <w:rFonts w:ascii="Arial" w:eastAsia="Arial" w:hAnsi="Arial" w:cs="Arial"/>
                <w:b/>
                <w:bCs/>
                <w:iCs/>
                <w:sz w:val="20"/>
                <w:szCs w:val="20"/>
              </w:rPr>
              <w:t>Name</w:t>
            </w:r>
          </w:p>
        </w:tc>
        <w:tc>
          <w:tcPr>
            <w:tcW w:w="1985" w:type="dxa"/>
            <w:shd w:val="clear" w:color="auto" w:fill="DEEAF6" w:themeFill="accent1" w:themeFillTint="33"/>
          </w:tcPr>
          <w:p w14:paraId="00C250BB" w14:textId="77777777" w:rsidR="00C1793C" w:rsidRPr="00E732B7" w:rsidRDefault="00C1793C" w:rsidP="00C1793C">
            <w:pPr>
              <w:spacing w:line="260" w:lineRule="exact"/>
              <w:ind w:right="219"/>
              <w:rPr>
                <w:rFonts w:ascii="Arial" w:eastAsia="Arial" w:hAnsi="Arial" w:cs="Arial"/>
                <w:b/>
                <w:bCs/>
                <w:iCs/>
                <w:sz w:val="20"/>
                <w:szCs w:val="20"/>
              </w:rPr>
            </w:pPr>
            <w:r w:rsidRPr="00E732B7">
              <w:rPr>
                <w:rFonts w:ascii="Arial" w:eastAsia="Arial" w:hAnsi="Arial" w:cs="Arial"/>
                <w:b/>
                <w:bCs/>
                <w:iCs/>
                <w:sz w:val="20"/>
                <w:szCs w:val="20"/>
              </w:rPr>
              <w:t>Version</w:t>
            </w:r>
          </w:p>
        </w:tc>
        <w:tc>
          <w:tcPr>
            <w:tcW w:w="3204" w:type="dxa"/>
            <w:shd w:val="clear" w:color="auto" w:fill="DEEAF6" w:themeFill="accent1" w:themeFillTint="33"/>
          </w:tcPr>
          <w:p w14:paraId="399FB46E" w14:textId="77777777" w:rsidR="00C1793C" w:rsidRPr="00E732B7" w:rsidRDefault="00C1793C" w:rsidP="00C1793C">
            <w:pPr>
              <w:spacing w:line="260" w:lineRule="exact"/>
              <w:ind w:right="219"/>
              <w:rPr>
                <w:rFonts w:ascii="Arial" w:eastAsia="Arial" w:hAnsi="Arial" w:cs="Arial"/>
                <w:b/>
                <w:bCs/>
                <w:iCs/>
                <w:sz w:val="20"/>
                <w:szCs w:val="20"/>
              </w:rPr>
            </w:pPr>
            <w:r w:rsidRPr="00E732B7">
              <w:rPr>
                <w:rFonts w:ascii="Arial" w:eastAsia="Arial" w:hAnsi="Arial" w:cs="Arial"/>
                <w:b/>
                <w:bCs/>
                <w:iCs/>
                <w:sz w:val="20"/>
                <w:szCs w:val="20"/>
              </w:rPr>
              <w:t>End of mainstream</w:t>
            </w:r>
          </w:p>
        </w:tc>
        <w:tc>
          <w:tcPr>
            <w:tcW w:w="2343" w:type="dxa"/>
            <w:shd w:val="clear" w:color="auto" w:fill="DEEAF6" w:themeFill="accent1" w:themeFillTint="33"/>
          </w:tcPr>
          <w:p w14:paraId="3ED9B707" w14:textId="77777777" w:rsidR="00C1793C" w:rsidRPr="00E732B7" w:rsidRDefault="00C1793C" w:rsidP="00C1793C">
            <w:pPr>
              <w:spacing w:line="260" w:lineRule="exact"/>
              <w:ind w:right="219"/>
              <w:rPr>
                <w:rFonts w:ascii="Arial" w:eastAsia="Arial" w:hAnsi="Arial" w:cs="Arial"/>
                <w:b/>
                <w:bCs/>
                <w:iCs/>
                <w:sz w:val="20"/>
                <w:szCs w:val="20"/>
              </w:rPr>
            </w:pPr>
            <w:r w:rsidRPr="00E732B7">
              <w:rPr>
                <w:rFonts w:ascii="Arial" w:eastAsia="Arial" w:hAnsi="Arial" w:cs="Arial"/>
                <w:b/>
                <w:bCs/>
                <w:iCs/>
                <w:sz w:val="20"/>
                <w:szCs w:val="20"/>
              </w:rPr>
              <w:t>Notes/RAG Status</w:t>
            </w:r>
          </w:p>
        </w:tc>
      </w:tr>
      <w:tr w:rsidR="00C1793C" w:rsidRPr="00E732B7" w14:paraId="14ABF43D" w14:textId="77777777" w:rsidTr="00C1793C">
        <w:tc>
          <w:tcPr>
            <w:tcW w:w="1838" w:type="dxa"/>
          </w:tcPr>
          <w:p w14:paraId="1F714617" w14:textId="77777777" w:rsidR="00C1793C" w:rsidRPr="00E732B7" w:rsidRDefault="00C1793C" w:rsidP="00C1793C">
            <w:pPr>
              <w:spacing w:line="260" w:lineRule="exact"/>
              <w:ind w:right="219"/>
              <w:rPr>
                <w:rFonts w:ascii="Arial" w:eastAsia="Arial" w:hAnsi="Arial" w:cs="Arial"/>
                <w:iCs/>
                <w:sz w:val="20"/>
                <w:szCs w:val="20"/>
              </w:rPr>
            </w:pPr>
            <w:r w:rsidRPr="00E732B7">
              <w:rPr>
                <w:rFonts w:ascii="Arial" w:eastAsia="Arial" w:hAnsi="Arial" w:cs="Arial"/>
                <w:iCs/>
                <w:sz w:val="20"/>
                <w:szCs w:val="20"/>
              </w:rPr>
              <w:t>Server Host</w:t>
            </w:r>
          </w:p>
        </w:tc>
        <w:tc>
          <w:tcPr>
            <w:tcW w:w="1985" w:type="dxa"/>
          </w:tcPr>
          <w:p w14:paraId="579AB65F" w14:textId="77777777" w:rsidR="00C1793C" w:rsidRPr="00E732B7" w:rsidRDefault="00C1793C" w:rsidP="00C1793C">
            <w:pPr>
              <w:spacing w:line="260" w:lineRule="exact"/>
              <w:ind w:right="219"/>
              <w:rPr>
                <w:rFonts w:ascii="Arial" w:eastAsia="Arial" w:hAnsi="Arial" w:cs="Arial"/>
                <w:iCs/>
                <w:sz w:val="20"/>
                <w:szCs w:val="20"/>
              </w:rPr>
            </w:pPr>
            <w:r w:rsidRPr="00E732B7">
              <w:rPr>
                <w:rFonts w:ascii="Arial" w:eastAsia="Arial" w:hAnsi="Arial" w:cs="Arial"/>
                <w:iCs/>
                <w:sz w:val="20"/>
                <w:szCs w:val="20"/>
              </w:rPr>
              <w:t>HP XXXX</w:t>
            </w:r>
          </w:p>
        </w:tc>
        <w:tc>
          <w:tcPr>
            <w:tcW w:w="3204" w:type="dxa"/>
          </w:tcPr>
          <w:p w14:paraId="6553486E" w14:textId="77777777" w:rsidR="00C1793C" w:rsidRPr="00E732B7" w:rsidRDefault="00C1793C" w:rsidP="00C1793C">
            <w:pPr>
              <w:spacing w:line="260" w:lineRule="exact"/>
              <w:ind w:right="219"/>
              <w:rPr>
                <w:rFonts w:ascii="Arial" w:eastAsia="Arial" w:hAnsi="Arial" w:cs="Arial"/>
                <w:iCs/>
                <w:sz w:val="20"/>
                <w:szCs w:val="20"/>
              </w:rPr>
            </w:pPr>
            <w:r w:rsidRPr="00E732B7">
              <w:rPr>
                <w:rFonts w:ascii="Arial" w:eastAsia="Arial" w:hAnsi="Arial" w:cs="Arial"/>
                <w:iCs/>
                <w:sz w:val="20"/>
                <w:szCs w:val="20"/>
              </w:rPr>
              <w:t>Feb 2020/March 2022</w:t>
            </w:r>
          </w:p>
        </w:tc>
        <w:tc>
          <w:tcPr>
            <w:tcW w:w="2343" w:type="dxa"/>
          </w:tcPr>
          <w:p w14:paraId="470E8FB5" w14:textId="77777777" w:rsidR="00C1793C" w:rsidRPr="00E732B7" w:rsidRDefault="00C1793C" w:rsidP="00C1793C">
            <w:pPr>
              <w:spacing w:line="260" w:lineRule="exact"/>
              <w:ind w:right="219"/>
              <w:rPr>
                <w:rFonts w:ascii="Arial" w:eastAsia="Arial" w:hAnsi="Arial" w:cs="Arial"/>
                <w:iCs/>
                <w:sz w:val="20"/>
                <w:szCs w:val="20"/>
              </w:rPr>
            </w:pPr>
          </w:p>
        </w:tc>
      </w:tr>
    </w:tbl>
    <w:p w14:paraId="23C587B4" w14:textId="77777777" w:rsidR="00C1793C" w:rsidRPr="00C050B2" w:rsidRDefault="00C1793C" w:rsidP="00C1793C">
      <w:pPr>
        <w:spacing w:before="5" w:line="140" w:lineRule="exact"/>
        <w:rPr>
          <w:rFonts w:cs="Arial"/>
          <w:szCs w:val="20"/>
        </w:rPr>
      </w:pPr>
    </w:p>
    <w:p w14:paraId="6BF3B910" w14:textId="77777777" w:rsidR="00C1793C" w:rsidRPr="00C050B2" w:rsidRDefault="00C1793C" w:rsidP="009D675B">
      <w:pPr>
        <w:pStyle w:val="Sch1"/>
        <w:numPr>
          <w:ilvl w:val="2"/>
          <w:numId w:val="57"/>
        </w:numPr>
        <w:rPr>
          <w:rFonts w:eastAsia="Arial" w:cs="Arial"/>
          <w:szCs w:val="20"/>
        </w:rPr>
      </w:pPr>
      <w:r w:rsidRPr="00C050B2">
        <w:rPr>
          <w:rFonts w:eastAsia="Arial" w:cs="Arial"/>
          <w:spacing w:val="-2"/>
          <w:szCs w:val="20"/>
        </w:rPr>
        <w:t>In</w:t>
      </w:r>
      <w:r w:rsidRPr="00C050B2">
        <w:rPr>
          <w:rFonts w:eastAsia="Arial" w:cs="Arial"/>
          <w:spacing w:val="1"/>
          <w:szCs w:val="20"/>
        </w:rPr>
        <w:t>c</w:t>
      </w:r>
      <w:r w:rsidRPr="00C050B2">
        <w:rPr>
          <w:rFonts w:eastAsia="Arial" w:cs="Arial"/>
          <w:spacing w:val="-2"/>
          <w:szCs w:val="20"/>
        </w:rPr>
        <w:t>id</w:t>
      </w:r>
      <w:r w:rsidRPr="00C050B2">
        <w:rPr>
          <w:rFonts w:eastAsia="Arial" w:cs="Arial"/>
          <w:spacing w:val="1"/>
          <w:szCs w:val="20"/>
        </w:rPr>
        <w:t>e</w:t>
      </w:r>
      <w:r w:rsidRPr="00C050B2">
        <w:rPr>
          <w:rFonts w:eastAsia="Arial" w:cs="Arial"/>
          <w:spacing w:val="-2"/>
          <w:szCs w:val="20"/>
        </w:rPr>
        <w:t>n</w:t>
      </w:r>
      <w:r w:rsidRPr="00C050B2">
        <w:rPr>
          <w:rFonts w:eastAsia="Arial" w:cs="Arial"/>
          <w:szCs w:val="20"/>
        </w:rPr>
        <w:t>t</w:t>
      </w:r>
      <w:r w:rsidRPr="00C050B2">
        <w:rPr>
          <w:rFonts w:eastAsia="Arial" w:cs="Arial"/>
          <w:spacing w:val="-1"/>
          <w:szCs w:val="20"/>
        </w:rPr>
        <w:t xml:space="preserve"> </w:t>
      </w:r>
      <w:r w:rsidRPr="00C050B2">
        <w:rPr>
          <w:rFonts w:eastAsia="Verdana"/>
        </w:rPr>
        <w:t>M</w:t>
      </w:r>
      <w:r w:rsidRPr="00C050B2">
        <w:rPr>
          <w:rFonts w:eastAsia="Verdana"/>
          <w:spacing w:val="1"/>
        </w:rPr>
        <w:t>a</w:t>
      </w:r>
      <w:r w:rsidRPr="00C050B2">
        <w:rPr>
          <w:rFonts w:eastAsia="Verdana"/>
          <w:spacing w:val="-2"/>
        </w:rPr>
        <w:t>n</w:t>
      </w:r>
      <w:r w:rsidRPr="00C050B2">
        <w:rPr>
          <w:rFonts w:eastAsia="Verdana"/>
          <w:spacing w:val="1"/>
        </w:rPr>
        <w:t>a</w:t>
      </w:r>
      <w:r w:rsidRPr="00C050B2">
        <w:rPr>
          <w:rFonts w:eastAsia="Verdana"/>
          <w:spacing w:val="-2"/>
        </w:rPr>
        <w:t>g</w:t>
      </w:r>
      <w:r w:rsidRPr="00C050B2">
        <w:rPr>
          <w:rFonts w:eastAsia="Verdana"/>
          <w:spacing w:val="1"/>
        </w:rPr>
        <w:t>eme</w:t>
      </w:r>
      <w:r w:rsidRPr="00C050B2">
        <w:rPr>
          <w:rFonts w:eastAsia="Verdana"/>
          <w:spacing w:val="-2"/>
        </w:rPr>
        <w:t>n</w:t>
      </w:r>
      <w:r w:rsidRPr="00C050B2">
        <w:rPr>
          <w:rFonts w:eastAsia="Verdana"/>
        </w:rPr>
        <w:t>t</w:t>
      </w:r>
      <w:r w:rsidRPr="00C050B2">
        <w:rPr>
          <w:rFonts w:eastAsia="Arial" w:cs="Arial"/>
          <w:spacing w:val="-1"/>
          <w:szCs w:val="20"/>
        </w:rPr>
        <w:t xml:space="preserve"> </w:t>
      </w:r>
      <w:r w:rsidRPr="00C050B2">
        <w:rPr>
          <w:rFonts w:eastAsia="Arial" w:cs="Arial"/>
          <w:szCs w:val="20"/>
        </w:rPr>
        <w:t>P</w:t>
      </w:r>
      <w:r w:rsidRPr="00C050B2">
        <w:rPr>
          <w:rFonts w:eastAsia="Arial" w:cs="Arial"/>
          <w:spacing w:val="1"/>
          <w:szCs w:val="20"/>
        </w:rPr>
        <w:t>r</w:t>
      </w:r>
      <w:r w:rsidRPr="00C050B2">
        <w:rPr>
          <w:rFonts w:eastAsia="Arial" w:cs="Arial"/>
          <w:spacing w:val="-2"/>
          <w:szCs w:val="20"/>
        </w:rPr>
        <w:t>o</w:t>
      </w:r>
      <w:r w:rsidRPr="00C050B2">
        <w:rPr>
          <w:rFonts w:eastAsia="Arial" w:cs="Arial"/>
          <w:spacing w:val="1"/>
          <w:szCs w:val="20"/>
        </w:rPr>
        <w:t>ces</w:t>
      </w:r>
      <w:r w:rsidRPr="00C050B2">
        <w:rPr>
          <w:rFonts w:eastAsia="Arial" w:cs="Arial"/>
          <w:szCs w:val="20"/>
        </w:rPr>
        <w:t>s</w:t>
      </w:r>
    </w:p>
    <w:p w14:paraId="000F8F41" w14:textId="77777777" w:rsidR="00C1793C" w:rsidRPr="00C050B2" w:rsidRDefault="00C1793C" w:rsidP="00C1793C">
      <w:pPr>
        <w:spacing w:line="260" w:lineRule="exact"/>
        <w:ind w:left="861" w:right="115"/>
        <w:rPr>
          <w:rFonts w:eastAsia="Arial" w:cs="Arial"/>
          <w:szCs w:val="20"/>
        </w:rPr>
      </w:pPr>
      <w:r w:rsidRPr="00C050B2">
        <w:rPr>
          <w:rFonts w:eastAsia="Arial" w:cs="Arial"/>
          <w:i/>
          <w:szCs w:val="20"/>
        </w:rPr>
        <w:t>&lt;</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s</w:t>
      </w:r>
      <w:r w:rsidRPr="00C050B2">
        <w:rPr>
          <w:rFonts w:eastAsia="Arial" w:cs="Arial"/>
          <w:i/>
          <w:spacing w:val="1"/>
          <w:szCs w:val="20"/>
        </w:rPr>
        <w:t>upp</w:t>
      </w:r>
      <w:r w:rsidRPr="00C050B2">
        <w:rPr>
          <w:rFonts w:eastAsia="Arial" w:cs="Arial"/>
          <w:i/>
          <w:spacing w:val="-3"/>
          <w:szCs w:val="20"/>
        </w:rPr>
        <w:t>l</w:t>
      </w:r>
      <w:r w:rsidRPr="00C050B2">
        <w:rPr>
          <w:rFonts w:eastAsia="Arial" w:cs="Arial"/>
          <w:i/>
          <w:spacing w:val="1"/>
          <w:szCs w:val="20"/>
        </w:rPr>
        <w:t>ie</w:t>
      </w:r>
      <w:r w:rsidRPr="00C050B2">
        <w:rPr>
          <w:rFonts w:eastAsia="Arial" w:cs="Arial"/>
          <w:i/>
          <w:szCs w:val="20"/>
        </w:rPr>
        <w:t>rs’</w:t>
      </w:r>
      <w:r w:rsidRPr="00C050B2">
        <w:rPr>
          <w:rFonts w:eastAsia="Arial" w:cs="Arial"/>
          <w:i/>
          <w:spacing w:val="-5"/>
          <w:szCs w:val="20"/>
        </w:rPr>
        <w:t xml:space="preserve"> </w:t>
      </w:r>
      <w:r w:rsidRPr="00C050B2">
        <w:rPr>
          <w:rFonts w:eastAsia="Arial" w:cs="Arial"/>
          <w:i/>
          <w:spacing w:val="1"/>
          <w:szCs w:val="20"/>
        </w:rPr>
        <w:t>p</w:t>
      </w:r>
      <w:r w:rsidRPr="00C050B2">
        <w:rPr>
          <w:rFonts w:eastAsia="Arial" w:cs="Arial"/>
          <w:i/>
          <w:szCs w:val="20"/>
        </w:rPr>
        <w:t>r</w:t>
      </w:r>
      <w:r w:rsidRPr="00C050B2">
        <w:rPr>
          <w:rFonts w:eastAsia="Arial" w:cs="Arial"/>
          <w:i/>
          <w:spacing w:val="1"/>
          <w:szCs w:val="20"/>
        </w:rPr>
        <w:t>o</w:t>
      </w:r>
      <w:r w:rsidRPr="00C050B2">
        <w:rPr>
          <w:rFonts w:eastAsia="Arial" w:cs="Arial"/>
          <w:i/>
          <w:szCs w:val="20"/>
        </w:rPr>
        <w:t>c</w:t>
      </w:r>
      <w:r w:rsidRPr="00C050B2">
        <w:rPr>
          <w:rFonts w:eastAsia="Arial" w:cs="Arial"/>
          <w:i/>
          <w:spacing w:val="1"/>
          <w:szCs w:val="20"/>
        </w:rPr>
        <w:t>e</w:t>
      </w:r>
      <w:r w:rsidRPr="00C050B2">
        <w:rPr>
          <w:rFonts w:eastAsia="Arial" w:cs="Arial"/>
          <w:i/>
          <w:szCs w:val="20"/>
        </w:rPr>
        <w:t>ss,</w:t>
      </w:r>
      <w:r w:rsidRPr="00C050B2">
        <w:rPr>
          <w:rFonts w:eastAsia="Arial" w:cs="Arial"/>
          <w:i/>
          <w:spacing w:val="-3"/>
          <w:szCs w:val="20"/>
        </w:rPr>
        <w:t xml:space="preserve"> </w:t>
      </w:r>
      <w:r w:rsidRPr="00C050B2">
        <w:rPr>
          <w:rFonts w:eastAsia="Arial" w:cs="Arial"/>
          <w:i/>
          <w:spacing w:val="1"/>
          <w:szCs w:val="20"/>
        </w:rPr>
        <w:t>a</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ag</w:t>
      </w:r>
      <w:r w:rsidRPr="00C050B2">
        <w:rPr>
          <w:rFonts w:eastAsia="Arial" w:cs="Arial"/>
          <w:i/>
          <w:szCs w:val="20"/>
        </w:rPr>
        <w:t>r</w:t>
      </w:r>
      <w:r w:rsidRPr="00C050B2">
        <w:rPr>
          <w:rFonts w:eastAsia="Arial" w:cs="Arial"/>
          <w:i/>
          <w:spacing w:val="1"/>
          <w:szCs w:val="20"/>
        </w:rPr>
        <w:t>e</w:t>
      </w:r>
      <w:r w:rsidRPr="00C050B2">
        <w:rPr>
          <w:rFonts w:eastAsia="Arial" w:cs="Arial"/>
          <w:i/>
          <w:spacing w:val="-3"/>
          <w:szCs w:val="20"/>
        </w:rPr>
        <w:t>e</w:t>
      </w:r>
      <w:r w:rsidRPr="00C050B2">
        <w:rPr>
          <w:rFonts w:eastAsia="Arial" w:cs="Arial"/>
          <w:i/>
          <w:szCs w:val="20"/>
        </w:rPr>
        <w:t xml:space="preserve">d </w:t>
      </w:r>
      <w:r w:rsidRPr="00C050B2">
        <w:rPr>
          <w:rFonts w:eastAsia="Arial" w:cs="Arial"/>
          <w:i/>
          <w:spacing w:val="1"/>
          <w:szCs w:val="20"/>
        </w:rPr>
        <w:t>wi</w:t>
      </w:r>
      <w:r w:rsidRPr="00C050B2">
        <w:rPr>
          <w:rFonts w:eastAsia="Arial" w:cs="Arial"/>
          <w:i/>
          <w:spacing w:val="-2"/>
          <w:szCs w:val="20"/>
        </w:rPr>
        <w:t>t</w:t>
      </w:r>
      <w:r w:rsidRPr="00C050B2">
        <w:rPr>
          <w:rFonts w:eastAsia="Arial" w:cs="Arial"/>
          <w:i/>
          <w:szCs w:val="20"/>
        </w:rPr>
        <w:t xml:space="preserve">h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A</w:t>
      </w:r>
      <w:r w:rsidRPr="00C050B2">
        <w:rPr>
          <w:rFonts w:eastAsia="Arial" w:cs="Arial"/>
          <w:i/>
          <w:spacing w:val="1"/>
          <w:szCs w:val="20"/>
        </w:rPr>
        <w:t>u</w:t>
      </w:r>
      <w:r w:rsidRPr="00C050B2">
        <w:rPr>
          <w:rFonts w:eastAsia="Arial" w:cs="Arial"/>
          <w:i/>
          <w:spacing w:val="-2"/>
          <w:szCs w:val="20"/>
        </w:rPr>
        <w:t>t</w:t>
      </w:r>
      <w:r w:rsidRPr="00C050B2">
        <w:rPr>
          <w:rFonts w:eastAsia="Arial" w:cs="Arial"/>
          <w:i/>
          <w:spacing w:val="1"/>
          <w:szCs w:val="20"/>
        </w:rPr>
        <w:t>ho</w:t>
      </w:r>
      <w:r w:rsidRPr="00C050B2">
        <w:rPr>
          <w:rFonts w:eastAsia="Arial" w:cs="Arial"/>
          <w:i/>
          <w:szCs w:val="20"/>
        </w:rPr>
        <w:t>r</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y</w:t>
      </w:r>
      <w:r w:rsidRPr="00C050B2">
        <w:rPr>
          <w:rFonts w:eastAsia="Arial" w:cs="Arial"/>
          <w:i/>
          <w:spacing w:val="-2"/>
          <w:szCs w:val="20"/>
        </w:rPr>
        <w:t>/</w:t>
      </w:r>
      <w:r w:rsidRPr="00C050B2">
        <w:rPr>
          <w:rFonts w:eastAsia="Arial" w:cs="Arial"/>
          <w:i/>
          <w:spacing w:val="1"/>
          <w:szCs w:val="20"/>
        </w:rPr>
        <w:t>Cu</w:t>
      </w:r>
      <w:r w:rsidRPr="00C050B2">
        <w:rPr>
          <w:rFonts w:eastAsia="Arial" w:cs="Arial"/>
          <w:i/>
          <w:szCs w:val="20"/>
        </w:rPr>
        <w:t>s</w:t>
      </w:r>
      <w:r w:rsidRPr="00C050B2">
        <w:rPr>
          <w:rFonts w:eastAsia="Arial" w:cs="Arial"/>
          <w:i/>
          <w:spacing w:val="-2"/>
          <w:szCs w:val="20"/>
        </w:rPr>
        <w:t>t</w:t>
      </w:r>
      <w:r w:rsidRPr="00C050B2">
        <w:rPr>
          <w:rFonts w:eastAsia="Arial" w:cs="Arial"/>
          <w:i/>
          <w:spacing w:val="1"/>
          <w:szCs w:val="20"/>
        </w:rPr>
        <w:t>o</w:t>
      </w:r>
      <w:r w:rsidRPr="00C050B2">
        <w:rPr>
          <w:rFonts w:eastAsia="Arial" w:cs="Arial"/>
          <w:i/>
          <w:szCs w:val="20"/>
        </w:rPr>
        <w:t>m</w:t>
      </w:r>
      <w:r w:rsidRPr="00C050B2">
        <w:rPr>
          <w:rFonts w:eastAsia="Arial" w:cs="Arial"/>
          <w:i/>
          <w:spacing w:val="1"/>
          <w:szCs w:val="20"/>
        </w:rPr>
        <w:t>e</w:t>
      </w:r>
      <w:r w:rsidRPr="00C050B2">
        <w:rPr>
          <w:rFonts w:eastAsia="Arial" w:cs="Arial"/>
          <w:i/>
          <w:szCs w:val="20"/>
        </w:rPr>
        <w:t>r,</w:t>
      </w:r>
      <w:r w:rsidRPr="00C050B2">
        <w:rPr>
          <w:rFonts w:eastAsia="Arial" w:cs="Arial"/>
          <w:i/>
          <w:spacing w:val="-3"/>
          <w:szCs w:val="20"/>
        </w:rPr>
        <w:t xml:space="preserve"> </w:t>
      </w:r>
      <w:r w:rsidRPr="00C050B2">
        <w:rPr>
          <w:rFonts w:eastAsia="Arial" w:cs="Arial"/>
          <w:i/>
          <w:szCs w:val="20"/>
        </w:rPr>
        <w:t>s</w:t>
      </w:r>
      <w:r w:rsidRPr="00C050B2">
        <w:rPr>
          <w:rFonts w:eastAsia="Arial" w:cs="Arial"/>
          <w:i/>
          <w:spacing w:val="1"/>
          <w:szCs w:val="20"/>
        </w:rPr>
        <w:t>ho</w:t>
      </w:r>
      <w:r w:rsidRPr="00C050B2">
        <w:rPr>
          <w:rFonts w:eastAsia="Arial" w:cs="Arial"/>
          <w:i/>
          <w:spacing w:val="-3"/>
          <w:szCs w:val="20"/>
        </w:rPr>
        <w:t>u</w:t>
      </w:r>
      <w:r w:rsidRPr="00C050B2">
        <w:rPr>
          <w:rFonts w:eastAsia="Arial" w:cs="Arial"/>
          <w:i/>
          <w:spacing w:val="1"/>
          <w:szCs w:val="20"/>
        </w:rPr>
        <w:t>l</w:t>
      </w:r>
      <w:r w:rsidRPr="00C050B2">
        <w:rPr>
          <w:rFonts w:eastAsia="Arial" w:cs="Arial"/>
          <w:i/>
          <w:szCs w:val="20"/>
        </w:rPr>
        <w:t xml:space="preserve">d </w:t>
      </w:r>
      <w:r w:rsidRPr="00C050B2">
        <w:rPr>
          <w:rFonts w:eastAsia="Arial" w:cs="Arial"/>
          <w:i/>
          <w:spacing w:val="1"/>
          <w:szCs w:val="20"/>
        </w:rPr>
        <w:t>b</w:t>
      </w:r>
      <w:r w:rsidRPr="00C050B2">
        <w:rPr>
          <w:rFonts w:eastAsia="Arial" w:cs="Arial"/>
          <w:i/>
          <w:szCs w:val="20"/>
        </w:rPr>
        <w:t xml:space="preserve">e </w:t>
      </w:r>
      <w:r w:rsidRPr="00C050B2">
        <w:rPr>
          <w:rFonts w:eastAsia="Arial" w:cs="Arial"/>
          <w:i/>
          <w:spacing w:val="1"/>
          <w:szCs w:val="20"/>
        </w:rPr>
        <w:t>in</w:t>
      </w:r>
      <w:r w:rsidRPr="00C050B2">
        <w:rPr>
          <w:rFonts w:eastAsia="Arial" w:cs="Arial"/>
          <w:i/>
          <w:szCs w:val="20"/>
        </w:rPr>
        <w:t>c</w:t>
      </w:r>
      <w:r w:rsidRPr="00C050B2">
        <w:rPr>
          <w:rFonts w:eastAsia="Arial" w:cs="Arial"/>
          <w:i/>
          <w:spacing w:val="1"/>
          <w:szCs w:val="20"/>
        </w:rPr>
        <w:t>l</w:t>
      </w:r>
      <w:r w:rsidRPr="00C050B2">
        <w:rPr>
          <w:rFonts w:eastAsia="Arial" w:cs="Arial"/>
          <w:i/>
          <w:spacing w:val="-3"/>
          <w:szCs w:val="20"/>
        </w:rPr>
        <w:t>u</w:t>
      </w:r>
      <w:r w:rsidRPr="00C050B2">
        <w:rPr>
          <w:rFonts w:eastAsia="Arial" w:cs="Arial"/>
          <w:i/>
          <w:spacing w:val="1"/>
          <w:szCs w:val="20"/>
        </w:rPr>
        <w:t>de</w:t>
      </w:r>
      <w:r w:rsidRPr="00C050B2">
        <w:rPr>
          <w:rFonts w:eastAsia="Arial" w:cs="Arial"/>
          <w:i/>
          <w:szCs w:val="20"/>
        </w:rPr>
        <w:t xml:space="preserve">d </w:t>
      </w:r>
      <w:r w:rsidRPr="00C050B2">
        <w:rPr>
          <w:rFonts w:eastAsia="Arial" w:cs="Arial"/>
          <w:i/>
          <w:spacing w:val="1"/>
          <w:szCs w:val="20"/>
        </w:rPr>
        <w:t>he</w:t>
      </w:r>
      <w:r w:rsidRPr="00C050B2">
        <w:rPr>
          <w:rFonts w:eastAsia="Arial" w:cs="Arial"/>
          <w:i/>
          <w:spacing w:val="-5"/>
          <w:szCs w:val="20"/>
        </w:rPr>
        <w:t>r</w:t>
      </w:r>
      <w:r w:rsidRPr="00C050B2">
        <w:rPr>
          <w:rFonts w:eastAsia="Arial" w:cs="Arial"/>
          <w:i/>
          <w:spacing w:val="1"/>
          <w:szCs w:val="20"/>
        </w:rPr>
        <w:t>e</w:t>
      </w:r>
      <w:r w:rsidRPr="00C050B2">
        <w:rPr>
          <w:rFonts w:eastAsia="Arial" w:cs="Arial"/>
          <w:i/>
          <w:szCs w:val="20"/>
        </w:rPr>
        <w:t>.</w:t>
      </w:r>
      <w:r w:rsidRPr="00C050B2">
        <w:rPr>
          <w:rFonts w:eastAsia="Arial" w:cs="Arial"/>
          <w:i/>
          <w:spacing w:val="-3"/>
          <w:szCs w:val="20"/>
        </w:rPr>
        <w:t xml:space="preserve"> </w:t>
      </w:r>
      <w:r w:rsidRPr="00C050B2">
        <w:rPr>
          <w:rFonts w:eastAsia="Arial" w:cs="Arial"/>
          <w:i/>
          <w:spacing w:val="-2"/>
          <w:szCs w:val="20"/>
        </w:rPr>
        <w:t>I</w:t>
      </w:r>
      <w:r w:rsidRPr="00C050B2">
        <w:rPr>
          <w:rFonts w:eastAsia="Arial" w:cs="Arial"/>
          <w:i/>
          <w:szCs w:val="20"/>
        </w:rPr>
        <w:t>t</w:t>
      </w:r>
      <w:r w:rsidRPr="00C050B2">
        <w:rPr>
          <w:rFonts w:eastAsia="Arial" w:cs="Arial"/>
          <w:i/>
          <w:spacing w:val="-3"/>
          <w:szCs w:val="20"/>
        </w:rPr>
        <w:t xml:space="preserve"> </w:t>
      </w:r>
      <w:r w:rsidRPr="00C050B2">
        <w:rPr>
          <w:rFonts w:eastAsia="Arial" w:cs="Arial"/>
          <w:i/>
          <w:szCs w:val="20"/>
        </w:rPr>
        <w:t>m</w:t>
      </w:r>
      <w:r w:rsidRPr="00C050B2">
        <w:rPr>
          <w:rFonts w:eastAsia="Arial" w:cs="Arial"/>
          <w:i/>
          <w:spacing w:val="1"/>
          <w:szCs w:val="20"/>
        </w:rPr>
        <w:t>u</w:t>
      </w:r>
      <w:r w:rsidRPr="00C050B2">
        <w:rPr>
          <w:rFonts w:eastAsia="Arial" w:cs="Arial"/>
          <w:i/>
          <w:szCs w:val="20"/>
        </w:rPr>
        <w:t>st</w:t>
      </w:r>
      <w:r w:rsidRPr="00C050B2">
        <w:rPr>
          <w:rFonts w:eastAsia="Arial" w:cs="Arial"/>
          <w:i/>
          <w:spacing w:val="-3"/>
          <w:szCs w:val="20"/>
        </w:rPr>
        <w:t xml:space="preserve"> </w:t>
      </w:r>
      <w:r w:rsidRPr="00C050B2">
        <w:rPr>
          <w:rFonts w:eastAsia="Arial" w:cs="Arial"/>
          <w:i/>
          <w:spacing w:val="1"/>
          <w:szCs w:val="20"/>
        </w:rPr>
        <w:t>a</w:t>
      </w:r>
      <w:r w:rsidRPr="00C050B2">
        <w:rPr>
          <w:rFonts w:eastAsia="Arial" w:cs="Arial"/>
          <w:i/>
          <w:szCs w:val="20"/>
        </w:rPr>
        <w:t>s</w:t>
      </w:r>
      <w:r w:rsidRPr="00C050B2">
        <w:rPr>
          <w:rFonts w:eastAsia="Arial" w:cs="Arial"/>
          <w:i/>
          <w:spacing w:val="-1"/>
          <w:szCs w:val="20"/>
        </w:rPr>
        <w:t xml:space="preserve"> </w:t>
      </w:r>
      <w:r w:rsidRPr="00C050B2">
        <w:rPr>
          <w:rFonts w:eastAsia="Arial" w:cs="Arial"/>
          <w:i/>
          <w:szCs w:val="20"/>
        </w:rPr>
        <w:t>a m</w:t>
      </w:r>
      <w:r w:rsidRPr="00C050B2">
        <w:rPr>
          <w:rFonts w:eastAsia="Arial" w:cs="Arial"/>
          <w:i/>
          <w:spacing w:val="1"/>
          <w:szCs w:val="20"/>
        </w:rPr>
        <w:t>ini</w:t>
      </w:r>
      <w:r w:rsidRPr="00C050B2">
        <w:rPr>
          <w:rFonts w:eastAsia="Arial" w:cs="Arial"/>
          <w:i/>
          <w:szCs w:val="20"/>
        </w:rPr>
        <w:t>m</w:t>
      </w:r>
      <w:r w:rsidRPr="00C050B2">
        <w:rPr>
          <w:rFonts w:eastAsia="Arial" w:cs="Arial"/>
          <w:i/>
          <w:spacing w:val="1"/>
          <w:szCs w:val="20"/>
        </w:rPr>
        <w:t>u</w:t>
      </w:r>
      <w:r w:rsidRPr="00C050B2">
        <w:rPr>
          <w:rFonts w:eastAsia="Arial" w:cs="Arial"/>
          <w:i/>
          <w:szCs w:val="20"/>
        </w:rPr>
        <w:t>m</w:t>
      </w:r>
      <w:r w:rsidRPr="00C050B2">
        <w:rPr>
          <w:rFonts w:eastAsia="Arial" w:cs="Arial"/>
          <w:i/>
          <w:spacing w:val="-1"/>
          <w:szCs w:val="20"/>
        </w:rPr>
        <w:t xml:space="preserve"> </w:t>
      </w:r>
      <w:r w:rsidRPr="00C050B2">
        <w:rPr>
          <w:rFonts w:eastAsia="Arial" w:cs="Arial"/>
          <w:i/>
          <w:spacing w:val="1"/>
          <w:szCs w:val="20"/>
        </w:rPr>
        <w:t>in</w:t>
      </w:r>
      <w:r w:rsidRPr="00C050B2">
        <w:rPr>
          <w:rFonts w:eastAsia="Arial" w:cs="Arial"/>
          <w:i/>
          <w:szCs w:val="20"/>
        </w:rPr>
        <w:t>c</w:t>
      </w:r>
      <w:r w:rsidRPr="00C050B2">
        <w:rPr>
          <w:rFonts w:eastAsia="Arial" w:cs="Arial"/>
          <w:i/>
          <w:spacing w:val="1"/>
          <w:szCs w:val="20"/>
        </w:rPr>
        <w:t>lu</w:t>
      </w:r>
      <w:r w:rsidRPr="00C050B2">
        <w:rPr>
          <w:rFonts w:eastAsia="Arial" w:cs="Arial"/>
          <w:i/>
          <w:spacing w:val="-3"/>
          <w:szCs w:val="20"/>
        </w:rPr>
        <w:t>d</w:t>
      </w:r>
      <w:r w:rsidRPr="00C050B2">
        <w:rPr>
          <w:rFonts w:eastAsia="Arial" w:cs="Arial"/>
          <w:i/>
          <w:szCs w:val="20"/>
        </w:rPr>
        <w:t xml:space="preserve">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w:t>
      </w:r>
      <w:r w:rsidRPr="00C050B2">
        <w:rPr>
          <w:rFonts w:eastAsia="Arial" w:cs="Arial"/>
          <w:i/>
          <w:spacing w:val="-5"/>
          <w:szCs w:val="20"/>
        </w:rPr>
        <w:t xml:space="preserve"> </w:t>
      </w:r>
      <w:r w:rsidRPr="00C050B2">
        <w:rPr>
          <w:rFonts w:eastAsia="Arial" w:cs="Arial"/>
          <w:i/>
          <w:spacing w:val="1"/>
          <w:szCs w:val="20"/>
        </w:rPr>
        <w:t>p</w:t>
      </w:r>
      <w:r w:rsidRPr="00C050B2">
        <w:rPr>
          <w:rFonts w:eastAsia="Arial" w:cs="Arial"/>
          <w:i/>
          <w:szCs w:val="20"/>
        </w:rPr>
        <w:t>r</w:t>
      </w:r>
      <w:r w:rsidRPr="00C050B2">
        <w:rPr>
          <w:rFonts w:eastAsia="Arial" w:cs="Arial"/>
          <w:i/>
          <w:spacing w:val="1"/>
          <w:szCs w:val="20"/>
        </w:rPr>
        <w:t>o</w:t>
      </w:r>
      <w:r w:rsidRPr="00C050B2">
        <w:rPr>
          <w:rFonts w:eastAsia="Arial" w:cs="Arial"/>
          <w:i/>
          <w:spacing w:val="-2"/>
          <w:szCs w:val="20"/>
        </w:rPr>
        <w:t>t</w:t>
      </w:r>
      <w:r w:rsidRPr="00C050B2">
        <w:rPr>
          <w:rFonts w:eastAsia="Arial" w:cs="Arial"/>
          <w:i/>
          <w:spacing w:val="1"/>
          <w:szCs w:val="20"/>
        </w:rPr>
        <w:t>o</w:t>
      </w:r>
      <w:r w:rsidRPr="00C050B2">
        <w:rPr>
          <w:rFonts w:eastAsia="Arial" w:cs="Arial"/>
          <w:i/>
          <w:szCs w:val="20"/>
        </w:rPr>
        <w:t>c</w:t>
      </w:r>
      <w:r w:rsidRPr="00C050B2">
        <w:rPr>
          <w:rFonts w:eastAsia="Arial" w:cs="Arial"/>
          <w:i/>
          <w:spacing w:val="1"/>
          <w:szCs w:val="20"/>
        </w:rPr>
        <w:t>o</w:t>
      </w:r>
      <w:r w:rsidRPr="00C050B2">
        <w:rPr>
          <w:rFonts w:eastAsia="Arial" w:cs="Arial"/>
          <w:i/>
          <w:szCs w:val="20"/>
        </w:rPr>
        <w:t xml:space="preserve">l </w:t>
      </w:r>
      <w:r w:rsidRPr="00C050B2">
        <w:rPr>
          <w:rFonts w:eastAsia="Arial" w:cs="Arial"/>
          <w:i/>
          <w:spacing w:val="-2"/>
          <w:szCs w:val="20"/>
        </w:rPr>
        <w:t>f</w:t>
      </w:r>
      <w:r w:rsidRPr="00C050B2">
        <w:rPr>
          <w:rFonts w:eastAsia="Arial" w:cs="Arial"/>
          <w:i/>
          <w:spacing w:val="1"/>
          <w:szCs w:val="20"/>
        </w:rPr>
        <w:t>o</w:t>
      </w:r>
      <w:r w:rsidRPr="00C050B2">
        <w:rPr>
          <w:rFonts w:eastAsia="Arial" w:cs="Arial"/>
          <w:i/>
          <w:szCs w:val="20"/>
        </w:rPr>
        <w:t>r</w:t>
      </w:r>
      <w:r w:rsidRPr="00C050B2">
        <w:rPr>
          <w:rFonts w:eastAsia="Arial" w:cs="Arial"/>
          <w:i/>
          <w:spacing w:val="-1"/>
          <w:szCs w:val="20"/>
        </w:rPr>
        <w:t xml:space="preserve"> </w:t>
      </w:r>
      <w:r w:rsidRPr="00C050B2">
        <w:rPr>
          <w:rFonts w:eastAsia="Arial" w:cs="Arial"/>
          <w:i/>
          <w:spacing w:val="1"/>
          <w:szCs w:val="20"/>
        </w:rPr>
        <w:t>ho</w:t>
      </w:r>
      <w:r w:rsidRPr="00C050B2">
        <w:rPr>
          <w:rFonts w:eastAsia="Arial" w:cs="Arial"/>
          <w:i/>
          <w:szCs w:val="20"/>
        </w:rPr>
        <w:t xml:space="preserve">w </w:t>
      </w:r>
      <w:r w:rsidRPr="00C050B2">
        <w:rPr>
          <w:rFonts w:eastAsia="Arial" w:cs="Arial"/>
          <w:i/>
          <w:spacing w:val="1"/>
          <w:szCs w:val="20"/>
        </w:rPr>
        <w:t>a</w:t>
      </w:r>
      <w:r w:rsidRPr="00C050B2">
        <w:rPr>
          <w:rFonts w:eastAsia="Arial" w:cs="Arial"/>
          <w:i/>
          <w:spacing w:val="-3"/>
          <w:szCs w:val="20"/>
        </w:rPr>
        <w:t>n</w:t>
      </w:r>
      <w:r w:rsidRPr="00C050B2">
        <w:rPr>
          <w:rFonts w:eastAsia="Arial" w:cs="Arial"/>
          <w:i/>
          <w:szCs w:val="20"/>
        </w:rPr>
        <w:t xml:space="preserve">d </w:t>
      </w:r>
      <w:r w:rsidRPr="00C050B2">
        <w:rPr>
          <w:rFonts w:eastAsia="Arial" w:cs="Arial"/>
          <w:i/>
          <w:spacing w:val="1"/>
          <w:szCs w:val="20"/>
        </w:rPr>
        <w:t>wh</w:t>
      </w:r>
      <w:r w:rsidRPr="00C050B2">
        <w:rPr>
          <w:rFonts w:eastAsia="Arial" w:cs="Arial"/>
          <w:i/>
          <w:spacing w:val="-3"/>
          <w:szCs w:val="20"/>
        </w:rPr>
        <w:t>e</w:t>
      </w:r>
      <w:r w:rsidRPr="00C050B2">
        <w:rPr>
          <w:rFonts w:eastAsia="Arial" w:cs="Arial"/>
          <w:i/>
          <w:szCs w:val="20"/>
        </w:rPr>
        <w:t xml:space="preserve">n </w:t>
      </w:r>
      <w:r w:rsidRPr="00C050B2">
        <w:rPr>
          <w:rFonts w:eastAsia="Arial" w:cs="Arial"/>
          <w:i/>
          <w:spacing w:val="1"/>
          <w:szCs w:val="20"/>
        </w:rPr>
        <w:t>in</w:t>
      </w:r>
      <w:r w:rsidRPr="00C050B2">
        <w:rPr>
          <w:rFonts w:eastAsia="Arial" w:cs="Arial"/>
          <w:i/>
          <w:szCs w:val="20"/>
        </w:rPr>
        <w:t>c</w:t>
      </w:r>
      <w:r w:rsidRPr="00C050B2">
        <w:rPr>
          <w:rFonts w:eastAsia="Arial" w:cs="Arial"/>
          <w:i/>
          <w:spacing w:val="1"/>
          <w:szCs w:val="20"/>
        </w:rPr>
        <w:t>i</w:t>
      </w:r>
      <w:r w:rsidRPr="00C050B2">
        <w:rPr>
          <w:rFonts w:eastAsia="Arial" w:cs="Arial"/>
          <w:i/>
          <w:spacing w:val="-3"/>
          <w:szCs w:val="20"/>
        </w:rPr>
        <w:t>d</w:t>
      </w:r>
      <w:r w:rsidRPr="00C050B2">
        <w:rPr>
          <w:rFonts w:eastAsia="Arial" w:cs="Arial"/>
          <w:i/>
          <w:spacing w:val="1"/>
          <w:szCs w:val="20"/>
        </w:rPr>
        <w:t>en</w:t>
      </w:r>
      <w:r w:rsidRPr="00C050B2">
        <w:rPr>
          <w:rFonts w:eastAsia="Arial" w:cs="Arial"/>
          <w:i/>
          <w:spacing w:val="-2"/>
          <w:szCs w:val="20"/>
        </w:rPr>
        <w:t>t</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wi</w:t>
      </w:r>
      <w:r w:rsidRPr="00C050B2">
        <w:rPr>
          <w:rFonts w:eastAsia="Arial" w:cs="Arial"/>
          <w:i/>
          <w:spacing w:val="-3"/>
          <w:szCs w:val="20"/>
        </w:rPr>
        <w:t>l</w:t>
      </w:r>
      <w:r w:rsidRPr="00C050B2">
        <w:rPr>
          <w:rFonts w:eastAsia="Arial" w:cs="Arial"/>
          <w:i/>
          <w:szCs w:val="20"/>
        </w:rPr>
        <w:t xml:space="preserve">l </w:t>
      </w:r>
      <w:r w:rsidRPr="00C050B2">
        <w:rPr>
          <w:rFonts w:eastAsia="Arial" w:cs="Arial"/>
          <w:i/>
          <w:spacing w:val="1"/>
          <w:szCs w:val="20"/>
        </w:rPr>
        <w:t>b</w:t>
      </w:r>
      <w:r w:rsidRPr="00C050B2">
        <w:rPr>
          <w:rFonts w:eastAsia="Arial" w:cs="Arial"/>
          <w:i/>
          <w:szCs w:val="20"/>
        </w:rPr>
        <w:t>e r</w:t>
      </w:r>
      <w:r w:rsidRPr="00C050B2">
        <w:rPr>
          <w:rFonts w:eastAsia="Arial" w:cs="Arial"/>
          <w:i/>
          <w:spacing w:val="1"/>
          <w:szCs w:val="20"/>
        </w:rPr>
        <w:t>epo</w:t>
      </w:r>
      <w:r w:rsidRPr="00C050B2">
        <w:rPr>
          <w:rFonts w:eastAsia="Arial" w:cs="Arial"/>
          <w:i/>
          <w:szCs w:val="20"/>
        </w:rPr>
        <w:t>r</w:t>
      </w:r>
      <w:r w:rsidRPr="00C050B2">
        <w:rPr>
          <w:rFonts w:eastAsia="Arial" w:cs="Arial"/>
          <w:i/>
          <w:spacing w:val="-2"/>
          <w:szCs w:val="20"/>
        </w:rPr>
        <w:t>t</w:t>
      </w:r>
      <w:r w:rsidRPr="00C050B2">
        <w:rPr>
          <w:rFonts w:eastAsia="Arial" w:cs="Arial"/>
          <w:i/>
          <w:spacing w:val="-3"/>
          <w:szCs w:val="20"/>
        </w:rPr>
        <w:t>e</w:t>
      </w:r>
      <w:r w:rsidRPr="00C050B2">
        <w:rPr>
          <w:rFonts w:eastAsia="Arial" w:cs="Arial"/>
          <w:i/>
          <w:szCs w:val="20"/>
        </w:rPr>
        <w:t xml:space="preserve">d </w:t>
      </w:r>
      <w:r w:rsidRPr="00C050B2">
        <w:rPr>
          <w:rFonts w:eastAsia="Arial" w:cs="Arial"/>
          <w:i/>
          <w:spacing w:val="-2"/>
          <w:szCs w:val="20"/>
        </w:rPr>
        <w:t>t</w:t>
      </w:r>
      <w:r w:rsidRPr="00C050B2">
        <w:rPr>
          <w:rFonts w:eastAsia="Arial" w:cs="Arial"/>
          <w:i/>
          <w:szCs w:val="20"/>
        </w:rPr>
        <w:t xml:space="preserve">o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A</w:t>
      </w:r>
      <w:r w:rsidRPr="00C050B2">
        <w:rPr>
          <w:rFonts w:eastAsia="Arial" w:cs="Arial"/>
          <w:i/>
          <w:spacing w:val="1"/>
          <w:szCs w:val="20"/>
        </w:rPr>
        <w:t>u</w:t>
      </w:r>
      <w:r w:rsidRPr="00C050B2">
        <w:rPr>
          <w:rFonts w:eastAsia="Arial" w:cs="Arial"/>
          <w:i/>
          <w:spacing w:val="-2"/>
          <w:szCs w:val="20"/>
        </w:rPr>
        <w:t>t</w:t>
      </w:r>
      <w:r w:rsidRPr="00C050B2">
        <w:rPr>
          <w:rFonts w:eastAsia="Arial" w:cs="Arial"/>
          <w:i/>
          <w:spacing w:val="1"/>
          <w:szCs w:val="20"/>
        </w:rPr>
        <w:t>ho</w:t>
      </w:r>
      <w:r w:rsidRPr="00C050B2">
        <w:rPr>
          <w:rFonts w:eastAsia="Arial" w:cs="Arial"/>
          <w:i/>
          <w:szCs w:val="20"/>
        </w:rPr>
        <w:t>r</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y</w:t>
      </w:r>
      <w:r w:rsidRPr="00C050B2">
        <w:rPr>
          <w:rFonts w:eastAsia="Arial" w:cs="Arial"/>
          <w:i/>
          <w:spacing w:val="-2"/>
          <w:szCs w:val="20"/>
        </w:rPr>
        <w:t>/</w:t>
      </w:r>
      <w:r w:rsidRPr="00C050B2">
        <w:rPr>
          <w:rFonts w:eastAsia="Arial" w:cs="Arial"/>
          <w:i/>
          <w:szCs w:val="20"/>
        </w:rPr>
        <w:t>c</w:t>
      </w:r>
      <w:r w:rsidRPr="00C050B2">
        <w:rPr>
          <w:rFonts w:eastAsia="Arial" w:cs="Arial"/>
          <w:i/>
          <w:spacing w:val="1"/>
          <w:szCs w:val="20"/>
        </w:rPr>
        <w:t>u</w:t>
      </w:r>
      <w:r w:rsidRPr="00C050B2">
        <w:rPr>
          <w:rFonts w:eastAsia="Arial" w:cs="Arial"/>
          <w:i/>
          <w:szCs w:val="20"/>
        </w:rPr>
        <w:t>s</w:t>
      </w:r>
      <w:r w:rsidRPr="00C050B2">
        <w:rPr>
          <w:rFonts w:eastAsia="Arial" w:cs="Arial"/>
          <w:i/>
          <w:spacing w:val="-2"/>
          <w:szCs w:val="20"/>
        </w:rPr>
        <w:t>t</w:t>
      </w:r>
      <w:r w:rsidRPr="00C050B2">
        <w:rPr>
          <w:rFonts w:eastAsia="Arial" w:cs="Arial"/>
          <w:i/>
          <w:spacing w:val="1"/>
          <w:szCs w:val="20"/>
        </w:rPr>
        <w:t>o</w:t>
      </w:r>
      <w:r w:rsidRPr="00C050B2">
        <w:rPr>
          <w:rFonts w:eastAsia="Arial" w:cs="Arial"/>
          <w:i/>
          <w:szCs w:val="20"/>
        </w:rPr>
        <w:t>m</w:t>
      </w:r>
      <w:r w:rsidRPr="00C050B2">
        <w:rPr>
          <w:rFonts w:eastAsia="Arial" w:cs="Arial"/>
          <w:i/>
          <w:spacing w:val="1"/>
          <w:szCs w:val="20"/>
        </w:rPr>
        <w:t>e</w:t>
      </w:r>
      <w:r w:rsidRPr="00C050B2">
        <w:rPr>
          <w:rFonts w:eastAsia="Arial" w:cs="Arial"/>
          <w:i/>
          <w:szCs w:val="20"/>
        </w:rPr>
        <w:t>r</w:t>
      </w:r>
      <w:r w:rsidRPr="00C050B2">
        <w:rPr>
          <w:rFonts w:eastAsia="Arial" w:cs="Arial"/>
          <w:i/>
          <w:spacing w:val="-1"/>
          <w:szCs w:val="20"/>
        </w:rPr>
        <w:t xml:space="preserve"> </w:t>
      </w:r>
      <w:r w:rsidRPr="00C050B2">
        <w:rPr>
          <w:rFonts w:eastAsia="Arial" w:cs="Arial"/>
          <w:i/>
          <w:spacing w:val="1"/>
          <w:szCs w:val="20"/>
        </w:rPr>
        <w:t>an</w:t>
      </w:r>
      <w:r w:rsidRPr="00C050B2">
        <w:rPr>
          <w:rFonts w:eastAsia="Arial" w:cs="Arial"/>
          <w:i/>
          <w:szCs w:val="20"/>
        </w:rPr>
        <w:t xml:space="preserve">d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p</w:t>
      </w:r>
      <w:r w:rsidRPr="00C050B2">
        <w:rPr>
          <w:rFonts w:eastAsia="Arial" w:cs="Arial"/>
          <w:i/>
          <w:szCs w:val="20"/>
        </w:rPr>
        <w:t>r</w:t>
      </w:r>
      <w:r w:rsidRPr="00C050B2">
        <w:rPr>
          <w:rFonts w:eastAsia="Arial" w:cs="Arial"/>
          <w:i/>
          <w:spacing w:val="1"/>
          <w:szCs w:val="20"/>
        </w:rPr>
        <w:t>o</w:t>
      </w:r>
      <w:r w:rsidRPr="00C050B2">
        <w:rPr>
          <w:rFonts w:eastAsia="Arial" w:cs="Arial"/>
          <w:i/>
          <w:szCs w:val="20"/>
        </w:rPr>
        <w:t>c</w:t>
      </w:r>
      <w:r w:rsidRPr="00C050B2">
        <w:rPr>
          <w:rFonts w:eastAsia="Arial" w:cs="Arial"/>
          <w:i/>
          <w:spacing w:val="1"/>
          <w:szCs w:val="20"/>
        </w:rPr>
        <w:t>e</w:t>
      </w:r>
      <w:r w:rsidRPr="00C050B2">
        <w:rPr>
          <w:rFonts w:eastAsia="Arial" w:cs="Arial"/>
          <w:i/>
          <w:szCs w:val="20"/>
        </w:rPr>
        <w:t>ss</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pacing w:val="1"/>
          <w:szCs w:val="20"/>
        </w:rPr>
        <w:t>ha</w:t>
      </w:r>
      <w:r w:rsidRPr="00C050B2">
        <w:rPr>
          <w:rFonts w:eastAsia="Arial" w:cs="Arial"/>
          <w:i/>
          <w:szCs w:val="20"/>
        </w:rPr>
        <w:t>t</w:t>
      </w:r>
      <w:r w:rsidRPr="00C050B2">
        <w:rPr>
          <w:rFonts w:eastAsia="Arial" w:cs="Arial"/>
          <w:i/>
          <w:spacing w:val="-3"/>
          <w:szCs w:val="20"/>
        </w:rPr>
        <w:t xml:space="preserve"> </w:t>
      </w:r>
      <w:r w:rsidRPr="00C050B2">
        <w:rPr>
          <w:rFonts w:eastAsia="Arial" w:cs="Arial"/>
          <w:i/>
          <w:spacing w:val="1"/>
          <w:szCs w:val="20"/>
        </w:rPr>
        <w:t>w</w:t>
      </w:r>
      <w:r w:rsidRPr="00C050B2">
        <w:rPr>
          <w:rFonts w:eastAsia="Arial" w:cs="Arial"/>
          <w:i/>
          <w:spacing w:val="-3"/>
          <w:szCs w:val="20"/>
        </w:rPr>
        <w:t>i</w:t>
      </w:r>
      <w:r w:rsidRPr="00C050B2">
        <w:rPr>
          <w:rFonts w:eastAsia="Arial" w:cs="Arial"/>
          <w:i/>
          <w:spacing w:val="1"/>
          <w:szCs w:val="20"/>
        </w:rPr>
        <w:t>l</w:t>
      </w:r>
      <w:r w:rsidRPr="00C050B2">
        <w:rPr>
          <w:rFonts w:eastAsia="Arial" w:cs="Arial"/>
          <w:i/>
          <w:szCs w:val="20"/>
        </w:rPr>
        <w:t xml:space="preserve">l </w:t>
      </w:r>
      <w:r w:rsidRPr="00C050B2">
        <w:rPr>
          <w:rFonts w:eastAsia="Arial" w:cs="Arial"/>
          <w:i/>
          <w:spacing w:val="1"/>
          <w:szCs w:val="20"/>
        </w:rPr>
        <w:t>b</w:t>
      </w:r>
      <w:r w:rsidRPr="00C050B2">
        <w:rPr>
          <w:rFonts w:eastAsia="Arial" w:cs="Arial"/>
          <w:i/>
          <w:szCs w:val="20"/>
        </w:rPr>
        <w:t xml:space="preserve">e </w:t>
      </w:r>
      <w:r w:rsidRPr="00C050B2">
        <w:rPr>
          <w:rFonts w:eastAsia="Arial" w:cs="Arial"/>
          <w:i/>
          <w:spacing w:val="1"/>
          <w:szCs w:val="20"/>
        </w:rPr>
        <w:t>unde</w:t>
      </w:r>
      <w:r w:rsidRPr="00C050B2">
        <w:rPr>
          <w:rFonts w:eastAsia="Arial" w:cs="Arial"/>
          <w:i/>
          <w:szCs w:val="20"/>
        </w:rPr>
        <w:t>r</w:t>
      </w:r>
      <w:r w:rsidRPr="00C050B2">
        <w:rPr>
          <w:rFonts w:eastAsia="Arial" w:cs="Arial"/>
          <w:i/>
          <w:spacing w:val="-2"/>
          <w:szCs w:val="20"/>
        </w:rPr>
        <w:t>t</w:t>
      </w:r>
      <w:r w:rsidRPr="00C050B2">
        <w:rPr>
          <w:rFonts w:eastAsia="Arial" w:cs="Arial"/>
          <w:i/>
          <w:spacing w:val="1"/>
          <w:szCs w:val="20"/>
        </w:rPr>
        <w:t>a</w:t>
      </w:r>
      <w:r w:rsidRPr="00C050B2">
        <w:rPr>
          <w:rFonts w:eastAsia="Arial" w:cs="Arial"/>
          <w:i/>
          <w:spacing w:val="-5"/>
          <w:szCs w:val="20"/>
        </w:rPr>
        <w:t>k</w:t>
      </w:r>
      <w:r w:rsidRPr="00C050B2">
        <w:rPr>
          <w:rFonts w:eastAsia="Arial" w:cs="Arial"/>
          <w:i/>
          <w:spacing w:val="1"/>
          <w:szCs w:val="20"/>
        </w:rPr>
        <w:t>e</w:t>
      </w:r>
      <w:r w:rsidRPr="00C050B2">
        <w:rPr>
          <w:rFonts w:eastAsia="Arial" w:cs="Arial"/>
          <w:i/>
          <w:szCs w:val="20"/>
        </w:rPr>
        <w:t xml:space="preserve">n </w:t>
      </w:r>
      <w:r w:rsidRPr="00C050B2">
        <w:rPr>
          <w:rFonts w:eastAsia="Arial" w:cs="Arial"/>
          <w:i/>
          <w:spacing w:val="-2"/>
          <w:szCs w:val="20"/>
        </w:rPr>
        <w:t>t</w:t>
      </w:r>
      <w:r w:rsidRPr="00C050B2">
        <w:rPr>
          <w:rFonts w:eastAsia="Arial" w:cs="Arial"/>
          <w:i/>
          <w:szCs w:val="20"/>
        </w:rPr>
        <w:t>o m</w:t>
      </w:r>
      <w:r w:rsidRPr="00C050B2">
        <w:rPr>
          <w:rFonts w:eastAsia="Arial" w:cs="Arial"/>
          <w:i/>
          <w:spacing w:val="1"/>
          <w:szCs w:val="20"/>
        </w:rPr>
        <w:t>i</w:t>
      </w:r>
      <w:r w:rsidRPr="00C050B2">
        <w:rPr>
          <w:rFonts w:eastAsia="Arial" w:cs="Arial"/>
          <w:i/>
          <w:spacing w:val="-2"/>
          <w:szCs w:val="20"/>
        </w:rPr>
        <w:t>t</w:t>
      </w:r>
      <w:r w:rsidRPr="00C050B2">
        <w:rPr>
          <w:rFonts w:eastAsia="Arial" w:cs="Arial"/>
          <w:i/>
          <w:spacing w:val="1"/>
          <w:szCs w:val="20"/>
        </w:rPr>
        <w:t>iga</w:t>
      </w:r>
      <w:r w:rsidRPr="00C050B2">
        <w:rPr>
          <w:rFonts w:eastAsia="Arial" w:cs="Arial"/>
          <w:i/>
          <w:spacing w:val="-2"/>
          <w:szCs w:val="20"/>
        </w:rPr>
        <w:t>t</w:t>
      </w:r>
      <w:r w:rsidRPr="00C050B2">
        <w:rPr>
          <w:rFonts w:eastAsia="Arial" w:cs="Arial"/>
          <w:i/>
          <w:szCs w:val="20"/>
        </w:rPr>
        <w:t xml:space="preserve">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in</w:t>
      </w:r>
      <w:r w:rsidRPr="00C050B2">
        <w:rPr>
          <w:rFonts w:eastAsia="Arial" w:cs="Arial"/>
          <w:i/>
          <w:spacing w:val="-5"/>
          <w:szCs w:val="20"/>
        </w:rPr>
        <w:t>c</w:t>
      </w:r>
      <w:r w:rsidRPr="00C050B2">
        <w:rPr>
          <w:rFonts w:eastAsia="Arial" w:cs="Arial"/>
          <w:i/>
          <w:spacing w:val="1"/>
          <w:szCs w:val="20"/>
        </w:rPr>
        <w:t>id</w:t>
      </w:r>
      <w:r w:rsidRPr="00C050B2">
        <w:rPr>
          <w:rFonts w:eastAsia="Arial" w:cs="Arial"/>
          <w:i/>
          <w:spacing w:val="-3"/>
          <w:szCs w:val="20"/>
        </w:rPr>
        <w:t>e</w:t>
      </w:r>
      <w:r w:rsidRPr="00C050B2">
        <w:rPr>
          <w:rFonts w:eastAsia="Arial" w:cs="Arial"/>
          <w:i/>
          <w:spacing w:val="1"/>
          <w:szCs w:val="20"/>
        </w:rPr>
        <w:t>n</w:t>
      </w:r>
      <w:r w:rsidRPr="00C050B2">
        <w:rPr>
          <w:rFonts w:eastAsia="Arial" w:cs="Arial"/>
          <w:i/>
          <w:spacing w:val="-2"/>
          <w:szCs w:val="20"/>
        </w:rPr>
        <w:t>t</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an</w:t>
      </w:r>
      <w:r w:rsidRPr="00C050B2">
        <w:rPr>
          <w:rFonts w:eastAsia="Arial" w:cs="Arial"/>
          <w:i/>
          <w:szCs w:val="20"/>
        </w:rPr>
        <w:t xml:space="preserve">d </w:t>
      </w:r>
      <w:r w:rsidRPr="00C050B2">
        <w:rPr>
          <w:rFonts w:eastAsia="Arial" w:cs="Arial"/>
          <w:i/>
          <w:spacing w:val="1"/>
          <w:szCs w:val="20"/>
        </w:rPr>
        <w:t>in</w:t>
      </w:r>
      <w:r w:rsidRPr="00C050B2">
        <w:rPr>
          <w:rFonts w:eastAsia="Arial" w:cs="Arial"/>
          <w:i/>
          <w:szCs w:val="20"/>
        </w:rPr>
        <w:t>v</w:t>
      </w:r>
      <w:r w:rsidRPr="00C050B2">
        <w:rPr>
          <w:rFonts w:eastAsia="Arial" w:cs="Arial"/>
          <w:i/>
          <w:spacing w:val="1"/>
          <w:szCs w:val="20"/>
        </w:rPr>
        <w:t>e</w:t>
      </w:r>
      <w:r w:rsidRPr="00C050B2">
        <w:rPr>
          <w:rFonts w:eastAsia="Arial" w:cs="Arial"/>
          <w:i/>
          <w:szCs w:val="20"/>
        </w:rPr>
        <w:t>s</w:t>
      </w:r>
      <w:r w:rsidRPr="00C050B2">
        <w:rPr>
          <w:rFonts w:eastAsia="Arial" w:cs="Arial"/>
          <w:i/>
          <w:spacing w:val="-2"/>
          <w:szCs w:val="20"/>
        </w:rPr>
        <w:t>t</w:t>
      </w:r>
      <w:r w:rsidRPr="00C050B2">
        <w:rPr>
          <w:rFonts w:eastAsia="Arial" w:cs="Arial"/>
          <w:i/>
          <w:spacing w:val="-3"/>
          <w:szCs w:val="20"/>
        </w:rPr>
        <w:t>i</w:t>
      </w:r>
      <w:r w:rsidRPr="00C050B2">
        <w:rPr>
          <w:rFonts w:eastAsia="Arial" w:cs="Arial"/>
          <w:i/>
          <w:spacing w:val="1"/>
          <w:szCs w:val="20"/>
        </w:rPr>
        <w:t>ga</w:t>
      </w:r>
      <w:r w:rsidRPr="00C050B2">
        <w:rPr>
          <w:rFonts w:eastAsia="Arial" w:cs="Arial"/>
          <w:i/>
          <w:spacing w:val="-2"/>
          <w:szCs w:val="20"/>
        </w:rPr>
        <w:t>t</w:t>
      </w:r>
      <w:r w:rsidRPr="00C050B2">
        <w:rPr>
          <w:rFonts w:eastAsia="Arial" w:cs="Arial"/>
          <w:i/>
          <w:szCs w:val="20"/>
        </w:rPr>
        <w:t xml:space="preserve">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r</w:t>
      </w:r>
      <w:r w:rsidRPr="00C050B2">
        <w:rPr>
          <w:rFonts w:eastAsia="Arial" w:cs="Arial"/>
          <w:i/>
          <w:spacing w:val="1"/>
          <w:szCs w:val="20"/>
        </w:rPr>
        <w:t>oo</w:t>
      </w:r>
      <w:r w:rsidRPr="00C050B2">
        <w:rPr>
          <w:rFonts w:eastAsia="Arial" w:cs="Arial"/>
          <w:i/>
          <w:szCs w:val="20"/>
        </w:rPr>
        <w:t>t</w:t>
      </w:r>
      <w:r w:rsidRPr="00C050B2">
        <w:rPr>
          <w:rFonts w:eastAsia="Arial" w:cs="Arial"/>
          <w:i/>
          <w:spacing w:val="-3"/>
          <w:szCs w:val="20"/>
        </w:rPr>
        <w:t xml:space="preserve"> </w:t>
      </w:r>
      <w:r w:rsidRPr="00C050B2">
        <w:rPr>
          <w:rFonts w:eastAsia="Arial" w:cs="Arial"/>
          <w:i/>
          <w:szCs w:val="20"/>
        </w:rPr>
        <w:t>c</w:t>
      </w:r>
      <w:r w:rsidRPr="00C050B2">
        <w:rPr>
          <w:rFonts w:eastAsia="Arial" w:cs="Arial"/>
          <w:i/>
          <w:spacing w:val="1"/>
          <w:szCs w:val="20"/>
        </w:rPr>
        <w:t>au</w:t>
      </w:r>
      <w:r w:rsidRPr="00C050B2">
        <w:rPr>
          <w:rFonts w:eastAsia="Arial" w:cs="Arial"/>
          <w:i/>
          <w:szCs w:val="20"/>
        </w:rPr>
        <w:t>s</w:t>
      </w:r>
      <w:r w:rsidRPr="00C050B2">
        <w:rPr>
          <w:rFonts w:eastAsia="Arial" w:cs="Arial"/>
          <w:i/>
          <w:spacing w:val="1"/>
          <w:szCs w:val="20"/>
        </w:rPr>
        <w:t>e</w:t>
      </w:r>
      <w:r w:rsidRPr="00C050B2">
        <w:rPr>
          <w:rFonts w:eastAsia="Arial" w:cs="Arial"/>
          <w:i/>
          <w:spacing w:val="-2"/>
          <w:szCs w:val="20"/>
        </w:rPr>
        <w:t>.</w:t>
      </w:r>
      <w:r w:rsidRPr="00C050B2">
        <w:rPr>
          <w:rFonts w:eastAsia="Arial" w:cs="Arial"/>
          <w:i/>
          <w:szCs w:val="20"/>
        </w:rPr>
        <w:t>&gt;</w:t>
      </w:r>
    </w:p>
    <w:p w14:paraId="6FF76E94" w14:textId="77777777" w:rsidR="00C1793C" w:rsidRPr="00C050B2" w:rsidRDefault="00C1793C" w:rsidP="009D675B">
      <w:pPr>
        <w:pStyle w:val="Sch1"/>
        <w:numPr>
          <w:ilvl w:val="2"/>
          <w:numId w:val="57"/>
        </w:numPr>
        <w:rPr>
          <w:rFonts w:eastAsia="Arial" w:cs="Arial"/>
          <w:szCs w:val="20"/>
        </w:rPr>
      </w:pPr>
      <w:r w:rsidRPr="00C050B2">
        <w:rPr>
          <w:rFonts w:eastAsia="Arial" w:cs="Arial"/>
          <w:szCs w:val="20"/>
        </w:rPr>
        <w:t>S</w:t>
      </w:r>
      <w:r w:rsidRPr="00C050B2">
        <w:rPr>
          <w:rFonts w:eastAsia="Arial" w:cs="Arial"/>
          <w:spacing w:val="1"/>
          <w:szCs w:val="20"/>
        </w:rPr>
        <w:t>ec</w:t>
      </w:r>
      <w:r w:rsidRPr="00C050B2">
        <w:rPr>
          <w:rFonts w:eastAsia="Arial" w:cs="Arial"/>
          <w:spacing w:val="-2"/>
          <w:szCs w:val="20"/>
        </w:rPr>
        <w:t>u</w:t>
      </w:r>
      <w:r w:rsidRPr="00C050B2">
        <w:rPr>
          <w:rFonts w:eastAsia="Arial" w:cs="Arial"/>
          <w:spacing w:val="1"/>
          <w:szCs w:val="20"/>
        </w:rPr>
        <w:t>r</w:t>
      </w:r>
      <w:r w:rsidRPr="00C050B2">
        <w:rPr>
          <w:rFonts w:eastAsia="Arial" w:cs="Arial"/>
          <w:spacing w:val="-2"/>
          <w:szCs w:val="20"/>
        </w:rPr>
        <w:t>i</w:t>
      </w:r>
      <w:r w:rsidRPr="00C050B2">
        <w:rPr>
          <w:rFonts w:eastAsia="Arial" w:cs="Arial"/>
          <w:szCs w:val="20"/>
        </w:rPr>
        <w:t>ty</w:t>
      </w:r>
      <w:r w:rsidRPr="00C050B2">
        <w:rPr>
          <w:rFonts w:eastAsia="Arial" w:cs="Arial"/>
          <w:spacing w:val="-5"/>
          <w:szCs w:val="20"/>
        </w:rPr>
        <w:t xml:space="preserve"> </w:t>
      </w:r>
      <w:r w:rsidRPr="00C050B2">
        <w:rPr>
          <w:rFonts w:eastAsia="Verdana"/>
        </w:rPr>
        <w:t>Requirements</w:t>
      </w:r>
      <w:r w:rsidRPr="00C050B2">
        <w:rPr>
          <w:rFonts w:eastAsia="Arial" w:cs="Arial"/>
          <w:szCs w:val="20"/>
        </w:rPr>
        <w:t xml:space="preserve"> f</w:t>
      </w:r>
      <w:r w:rsidRPr="00C050B2">
        <w:rPr>
          <w:rFonts w:eastAsia="Arial" w:cs="Arial"/>
          <w:spacing w:val="-2"/>
          <w:szCs w:val="20"/>
        </w:rPr>
        <w:t>o</w:t>
      </w:r>
      <w:r w:rsidRPr="00C050B2">
        <w:rPr>
          <w:rFonts w:eastAsia="Arial" w:cs="Arial"/>
          <w:szCs w:val="20"/>
        </w:rPr>
        <w:t xml:space="preserve">r </w:t>
      </w:r>
      <w:r w:rsidRPr="00C050B2">
        <w:rPr>
          <w:rFonts w:eastAsia="Arial" w:cs="Arial"/>
          <w:spacing w:val="1"/>
          <w:szCs w:val="20"/>
        </w:rPr>
        <w:t>Use</w:t>
      </w:r>
      <w:r w:rsidRPr="00C050B2">
        <w:rPr>
          <w:rFonts w:eastAsia="Arial" w:cs="Arial"/>
          <w:szCs w:val="20"/>
        </w:rPr>
        <w:t xml:space="preserve">r </w:t>
      </w:r>
      <w:r w:rsidRPr="00C050B2">
        <w:rPr>
          <w:rFonts w:eastAsia="Arial" w:cs="Arial"/>
          <w:spacing w:val="-2"/>
          <w:szCs w:val="20"/>
        </w:rPr>
        <w:t>O</w:t>
      </w:r>
      <w:r w:rsidRPr="00C050B2">
        <w:rPr>
          <w:rFonts w:eastAsia="Arial" w:cs="Arial"/>
          <w:spacing w:val="1"/>
          <w:szCs w:val="20"/>
        </w:rPr>
        <w:t>r</w:t>
      </w:r>
      <w:r w:rsidRPr="00C050B2">
        <w:rPr>
          <w:rFonts w:eastAsia="Arial" w:cs="Arial"/>
          <w:spacing w:val="-2"/>
          <w:szCs w:val="20"/>
        </w:rPr>
        <w:t>g</w:t>
      </w:r>
      <w:r w:rsidRPr="00C050B2">
        <w:rPr>
          <w:rFonts w:eastAsia="Arial" w:cs="Arial"/>
          <w:spacing w:val="1"/>
          <w:szCs w:val="20"/>
        </w:rPr>
        <w:t>a</w:t>
      </w:r>
      <w:r w:rsidRPr="00C050B2">
        <w:rPr>
          <w:rFonts w:eastAsia="Arial" w:cs="Arial"/>
          <w:spacing w:val="-2"/>
          <w:szCs w:val="20"/>
        </w:rPr>
        <w:t>ni</w:t>
      </w:r>
      <w:r w:rsidRPr="00C050B2">
        <w:rPr>
          <w:rFonts w:eastAsia="Arial" w:cs="Arial"/>
          <w:spacing w:val="1"/>
          <w:szCs w:val="20"/>
        </w:rPr>
        <w:t>sa</w:t>
      </w:r>
      <w:r w:rsidRPr="00C050B2">
        <w:rPr>
          <w:rFonts w:eastAsia="Arial" w:cs="Arial"/>
          <w:szCs w:val="20"/>
        </w:rPr>
        <w:t>t</w:t>
      </w:r>
      <w:r w:rsidRPr="00C050B2">
        <w:rPr>
          <w:rFonts w:eastAsia="Arial" w:cs="Arial"/>
          <w:spacing w:val="-2"/>
          <w:szCs w:val="20"/>
        </w:rPr>
        <w:t>ion</w:t>
      </w:r>
      <w:r w:rsidRPr="00C050B2">
        <w:rPr>
          <w:rFonts w:eastAsia="Arial" w:cs="Arial"/>
          <w:szCs w:val="20"/>
        </w:rPr>
        <w:t>s</w:t>
      </w:r>
    </w:p>
    <w:p w14:paraId="025A05ED" w14:textId="77777777" w:rsidR="00C1793C" w:rsidRDefault="00C1793C" w:rsidP="00C1793C">
      <w:pPr>
        <w:spacing w:line="260" w:lineRule="exact"/>
        <w:ind w:left="861" w:right="801"/>
        <w:rPr>
          <w:rFonts w:eastAsia="Arial" w:cs="Arial"/>
          <w:i/>
          <w:szCs w:val="20"/>
        </w:rPr>
      </w:pPr>
      <w:r w:rsidRPr="00C050B2">
        <w:rPr>
          <w:rFonts w:eastAsia="Arial" w:cs="Arial"/>
          <w:i/>
          <w:szCs w:val="20"/>
        </w:rPr>
        <w:t>&lt;A</w:t>
      </w:r>
      <w:r w:rsidRPr="00C050B2">
        <w:rPr>
          <w:rFonts w:eastAsia="Arial" w:cs="Arial"/>
          <w:i/>
          <w:spacing w:val="1"/>
          <w:szCs w:val="20"/>
        </w:rPr>
        <w:t>n</w:t>
      </w:r>
      <w:r w:rsidRPr="00C050B2">
        <w:rPr>
          <w:rFonts w:eastAsia="Arial" w:cs="Arial"/>
          <w:i/>
          <w:szCs w:val="20"/>
        </w:rPr>
        <w:t>y</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e</w:t>
      </w:r>
      <w:r w:rsidRPr="00C050B2">
        <w:rPr>
          <w:rFonts w:eastAsia="Arial" w:cs="Arial"/>
          <w:i/>
          <w:szCs w:val="20"/>
        </w:rPr>
        <w:t>c</w:t>
      </w:r>
      <w:r w:rsidRPr="00C050B2">
        <w:rPr>
          <w:rFonts w:eastAsia="Arial" w:cs="Arial"/>
          <w:i/>
          <w:spacing w:val="1"/>
          <w:szCs w:val="20"/>
        </w:rPr>
        <w:t>u</w:t>
      </w:r>
      <w:r w:rsidRPr="00C050B2">
        <w:rPr>
          <w:rFonts w:eastAsia="Arial" w:cs="Arial"/>
          <w:i/>
          <w:szCs w:val="20"/>
        </w:rPr>
        <w:t>r</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y</w:t>
      </w:r>
      <w:r w:rsidRPr="00C050B2">
        <w:rPr>
          <w:rFonts w:eastAsia="Arial" w:cs="Arial"/>
          <w:i/>
          <w:spacing w:val="-1"/>
          <w:szCs w:val="20"/>
        </w:rPr>
        <w:t xml:space="preserve"> </w:t>
      </w:r>
      <w:r w:rsidRPr="00C050B2">
        <w:rPr>
          <w:rFonts w:eastAsia="Arial" w:cs="Arial"/>
          <w:i/>
          <w:szCs w:val="20"/>
        </w:rPr>
        <w:t>r</w:t>
      </w:r>
      <w:r w:rsidRPr="00C050B2">
        <w:rPr>
          <w:rFonts w:eastAsia="Arial" w:cs="Arial"/>
          <w:i/>
          <w:spacing w:val="1"/>
          <w:szCs w:val="20"/>
        </w:rPr>
        <w:t>equi</w:t>
      </w:r>
      <w:r w:rsidRPr="00C050B2">
        <w:rPr>
          <w:rFonts w:eastAsia="Arial" w:cs="Arial"/>
          <w:i/>
          <w:spacing w:val="-5"/>
          <w:szCs w:val="20"/>
        </w:rPr>
        <w:t>r</w:t>
      </w:r>
      <w:r w:rsidRPr="00C050B2">
        <w:rPr>
          <w:rFonts w:eastAsia="Arial" w:cs="Arial"/>
          <w:i/>
          <w:spacing w:val="1"/>
          <w:szCs w:val="20"/>
        </w:rPr>
        <w:t>e</w:t>
      </w:r>
      <w:r w:rsidRPr="00C050B2">
        <w:rPr>
          <w:rFonts w:eastAsia="Arial" w:cs="Arial"/>
          <w:i/>
          <w:szCs w:val="20"/>
        </w:rPr>
        <w:t>m</w:t>
      </w:r>
      <w:r w:rsidRPr="00C050B2">
        <w:rPr>
          <w:rFonts w:eastAsia="Arial" w:cs="Arial"/>
          <w:i/>
          <w:spacing w:val="1"/>
          <w:szCs w:val="20"/>
        </w:rPr>
        <w:t>en</w:t>
      </w:r>
      <w:r w:rsidRPr="00C050B2">
        <w:rPr>
          <w:rFonts w:eastAsia="Arial" w:cs="Arial"/>
          <w:i/>
          <w:spacing w:val="-2"/>
          <w:szCs w:val="20"/>
        </w:rPr>
        <w:t>t</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2"/>
          <w:szCs w:val="20"/>
        </w:rPr>
        <w:t>f</w:t>
      </w:r>
      <w:r w:rsidRPr="00C050B2">
        <w:rPr>
          <w:rFonts w:eastAsia="Arial" w:cs="Arial"/>
          <w:i/>
          <w:spacing w:val="1"/>
          <w:szCs w:val="20"/>
        </w:rPr>
        <w:t>o</w:t>
      </w:r>
      <w:r w:rsidRPr="00C050B2">
        <w:rPr>
          <w:rFonts w:eastAsia="Arial" w:cs="Arial"/>
          <w:i/>
          <w:szCs w:val="20"/>
        </w:rPr>
        <w:t>r</w:t>
      </w:r>
      <w:r w:rsidRPr="00C050B2">
        <w:rPr>
          <w:rFonts w:eastAsia="Arial" w:cs="Arial"/>
          <w:i/>
          <w:spacing w:val="-1"/>
          <w:szCs w:val="20"/>
        </w:rPr>
        <w:t xml:space="preserve"> </w:t>
      </w:r>
      <w:r w:rsidRPr="00C050B2">
        <w:rPr>
          <w:rFonts w:eastAsia="Arial" w:cs="Arial"/>
          <w:i/>
          <w:szCs w:val="20"/>
        </w:rPr>
        <w:t>c</w:t>
      </w:r>
      <w:r w:rsidRPr="00C050B2">
        <w:rPr>
          <w:rFonts w:eastAsia="Arial" w:cs="Arial"/>
          <w:i/>
          <w:spacing w:val="1"/>
          <w:szCs w:val="20"/>
        </w:rPr>
        <w:t>on</w:t>
      </w:r>
      <w:r w:rsidRPr="00C050B2">
        <w:rPr>
          <w:rFonts w:eastAsia="Arial" w:cs="Arial"/>
          <w:i/>
          <w:spacing w:val="-3"/>
          <w:szCs w:val="20"/>
        </w:rPr>
        <w:t>n</w:t>
      </w:r>
      <w:r w:rsidRPr="00C050B2">
        <w:rPr>
          <w:rFonts w:eastAsia="Arial" w:cs="Arial"/>
          <w:i/>
          <w:spacing w:val="1"/>
          <w:szCs w:val="20"/>
        </w:rPr>
        <w:t>e</w:t>
      </w:r>
      <w:r w:rsidRPr="00C050B2">
        <w:rPr>
          <w:rFonts w:eastAsia="Arial" w:cs="Arial"/>
          <w:i/>
          <w:szCs w:val="20"/>
        </w:rPr>
        <w:t>c</w:t>
      </w:r>
      <w:r w:rsidRPr="00C050B2">
        <w:rPr>
          <w:rFonts w:eastAsia="Arial" w:cs="Arial"/>
          <w:i/>
          <w:spacing w:val="-2"/>
          <w:szCs w:val="20"/>
        </w:rPr>
        <w:t>t</w:t>
      </w:r>
      <w:r w:rsidRPr="00C050B2">
        <w:rPr>
          <w:rFonts w:eastAsia="Arial" w:cs="Arial"/>
          <w:i/>
          <w:spacing w:val="1"/>
          <w:szCs w:val="20"/>
        </w:rPr>
        <w:t>in</w:t>
      </w:r>
      <w:r w:rsidRPr="00C050B2">
        <w:rPr>
          <w:rFonts w:eastAsia="Arial" w:cs="Arial"/>
          <w:i/>
          <w:szCs w:val="20"/>
        </w:rPr>
        <w:t xml:space="preserve">g </w:t>
      </w:r>
      <w:r w:rsidRPr="00C050B2">
        <w:rPr>
          <w:rFonts w:eastAsia="Arial" w:cs="Arial"/>
          <w:i/>
          <w:spacing w:val="1"/>
          <w:szCs w:val="20"/>
        </w:rPr>
        <w:t>o</w:t>
      </w:r>
      <w:r w:rsidRPr="00C050B2">
        <w:rPr>
          <w:rFonts w:eastAsia="Arial" w:cs="Arial"/>
          <w:i/>
          <w:spacing w:val="-5"/>
          <w:szCs w:val="20"/>
        </w:rPr>
        <w:t>r</w:t>
      </w:r>
      <w:r w:rsidRPr="00C050B2">
        <w:rPr>
          <w:rFonts w:eastAsia="Arial" w:cs="Arial"/>
          <w:i/>
          <w:spacing w:val="1"/>
          <w:szCs w:val="20"/>
        </w:rPr>
        <w:t>g</w:t>
      </w:r>
      <w:r w:rsidRPr="00C050B2">
        <w:rPr>
          <w:rFonts w:eastAsia="Arial" w:cs="Arial"/>
          <w:i/>
          <w:spacing w:val="-3"/>
          <w:szCs w:val="20"/>
        </w:rPr>
        <w:t>a</w:t>
      </w:r>
      <w:r w:rsidRPr="00C050B2">
        <w:rPr>
          <w:rFonts w:eastAsia="Arial" w:cs="Arial"/>
          <w:i/>
          <w:spacing w:val="1"/>
          <w:szCs w:val="20"/>
        </w:rPr>
        <w:t>ni</w:t>
      </w:r>
      <w:r w:rsidRPr="00C050B2">
        <w:rPr>
          <w:rFonts w:eastAsia="Arial" w:cs="Arial"/>
          <w:i/>
          <w:szCs w:val="20"/>
        </w:rPr>
        <w:t>s</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1"/>
          <w:szCs w:val="20"/>
        </w:rPr>
        <w:t>i</w:t>
      </w:r>
      <w:r w:rsidRPr="00C050B2">
        <w:rPr>
          <w:rFonts w:eastAsia="Arial" w:cs="Arial"/>
          <w:i/>
          <w:spacing w:val="-3"/>
          <w:szCs w:val="20"/>
        </w:rPr>
        <w:t>o</w:t>
      </w:r>
      <w:r w:rsidRPr="00C050B2">
        <w:rPr>
          <w:rFonts w:eastAsia="Arial" w:cs="Arial"/>
          <w:i/>
          <w:spacing w:val="1"/>
          <w:szCs w:val="20"/>
        </w:rPr>
        <w:t>n</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o</w:t>
      </w:r>
      <w:r w:rsidRPr="00C050B2">
        <w:rPr>
          <w:rFonts w:eastAsia="Arial" w:cs="Arial"/>
          <w:i/>
          <w:szCs w:val="20"/>
        </w:rPr>
        <w:t>r</w:t>
      </w:r>
      <w:r w:rsidRPr="00C050B2">
        <w:rPr>
          <w:rFonts w:eastAsia="Arial" w:cs="Arial"/>
          <w:i/>
          <w:spacing w:val="5"/>
          <w:szCs w:val="20"/>
        </w:rPr>
        <w:t xml:space="preserve"> </w:t>
      </w:r>
      <w:r w:rsidRPr="00C050B2">
        <w:rPr>
          <w:rFonts w:eastAsia="Arial" w:cs="Arial"/>
          <w:i/>
          <w:spacing w:val="1"/>
          <w:szCs w:val="20"/>
        </w:rPr>
        <w:t>depa</w:t>
      </w:r>
      <w:r w:rsidRPr="00C050B2">
        <w:rPr>
          <w:rFonts w:eastAsia="Arial" w:cs="Arial"/>
          <w:i/>
          <w:szCs w:val="20"/>
        </w:rPr>
        <w:t>r</w:t>
      </w:r>
      <w:r w:rsidRPr="00C050B2">
        <w:rPr>
          <w:rFonts w:eastAsia="Arial" w:cs="Arial"/>
          <w:i/>
          <w:spacing w:val="-2"/>
          <w:szCs w:val="20"/>
        </w:rPr>
        <w:t>t</w:t>
      </w:r>
      <w:r w:rsidRPr="00C050B2">
        <w:rPr>
          <w:rFonts w:eastAsia="Arial" w:cs="Arial"/>
          <w:i/>
          <w:szCs w:val="20"/>
        </w:rPr>
        <w:t>m</w:t>
      </w:r>
      <w:r w:rsidRPr="00C050B2">
        <w:rPr>
          <w:rFonts w:eastAsia="Arial" w:cs="Arial"/>
          <w:i/>
          <w:spacing w:val="-3"/>
          <w:szCs w:val="20"/>
        </w:rPr>
        <w:t>e</w:t>
      </w:r>
      <w:r w:rsidRPr="00C050B2">
        <w:rPr>
          <w:rFonts w:eastAsia="Arial" w:cs="Arial"/>
          <w:i/>
          <w:spacing w:val="1"/>
          <w:szCs w:val="20"/>
        </w:rPr>
        <w:t>n</w:t>
      </w:r>
      <w:r w:rsidRPr="00C050B2">
        <w:rPr>
          <w:rFonts w:eastAsia="Arial" w:cs="Arial"/>
          <w:i/>
          <w:spacing w:val="-2"/>
          <w:szCs w:val="20"/>
        </w:rPr>
        <w:t>t</w:t>
      </w:r>
      <w:r w:rsidRPr="00C050B2">
        <w:rPr>
          <w:rFonts w:eastAsia="Arial" w:cs="Arial"/>
          <w:i/>
          <w:szCs w:val="20"/>
        </w:rPr>
        <w:t>s s</w:t>
      </w:r>
      <w:r w:rsidRPr="00C050B2">
        <w:rPr>
          <w:rFonts w:eastAsia="Arial" w:cs="Arial"/>
          <w:i/>
          <w:spacing w:val="1"/>
          <w:szCs w:val="20"/>
        </w:rPr>
        <w:t>hou</w:t>
      </w:r>
      <w:r w:rsidRPr="00C050B2">
        <w:rPr>
          <w:rFonts w:eastAsia="Arial" w:cs="Arial"/>
          <w:i/>
          <w:spacing w:val="-3"/>
          <w:szCs w:val="20"/>
        </w:rPr>
        <w:t>l</w:t>
      </w:r>
      <w:r w:rsidRPr="00C050B2">
        <w:rPr>
          <w:rFonts w:eastAsia="Arial" w:cs="Arial"/>
          <w:i/>
          <w:szCs w:val="20"/>
        </w:rPr>
        <w:t xml:space="preserve">d </w:t>
      </w:r>
      <w:r w:rsidRPr="00C050B2">
        <w:rPr>
          <w:rFonts w:eastAsia="Arial" w:cs="Arial"/>
          <w:i/>
          <w:spacing w:val="1"/>
          <w:szCs w:val="20"/>
        </w:rPr>
        <w:t>b</w:t>
      </w:r>
      <w:r w:rsidRPr="00C050B2">
        <w:rPr>
          <w:rFonts w:eastAsia="Arial" w:cs="Arial"/>
          <w:i/>
          <w:szCs w:val="20"/>
        </w:rPr>
        <w:t xml:space="preserve">e </w:t>
      </w:r>
      <w:r w:rsidRPr="00C050B2">
        <w:rPr>
          <w:rFonts w:eastAsia="Arial" w:cs="Arial"/>
          <w:i/>
          <w:spacing w:val="1"/>
          <w:szCs w:val="20"/>
        </w:rPr>
        <w:t>in</w:t>
      </w:r>
      <w:r w:rsidRPr="00C050B2">
        <w:rPr>
          <w:rFonts w:eastAsia="Arial" w:cs="Arial"/>
          <w:i/>
          <w:szCs w:val="20"/>
        </w:rPr>
        <w:t>c</w:t>
      </w:r>
      <w:r w:rsidRPr="00C050B2">
        <w:rPr>
          <w:rFonts w:eastAsia="Arial" w:cs="Arial"/>
          <w:i/>
          <w:spacing w:val="-3"/>
          <w:szCs w:val="20"/>
        </w:rPr>
        <w:t>l</w:t>
      </w:r>
      <w:r w:rsidRPr="00C050B2">
        <w:rPr>
          <w:rFonts w:eastAsia="Arial" w:cs="Arial"/>
          <w:i/>
          <w:spacing w:val="1"/>
          <w:szCs w:val="20"/>
        </w:rPr>
        <w:t>ud</w:t>
      </w:r>
      <w:r w:rsidRPr="00C050B2">
        <w:rPr>
          <w:rFonts w:eastAsia="Arial" w:cs="Arial"/>
          <w:i/>
          <w:spacing w:val="-3"/>
          <w:szCs w:val="20"/>
        </w:rPr>
        <w:t>e</w:t>
      </w:r>
      <w:r w:rsidRPr="00C050B2">
        <w:rPr>
          <w:rFonts w:eastAsia="Arial" w:cs="Arial"/>
          <w:i/>
          <w:szCs w:val="20"/>
        </w:rPr>
        <w:t xml:space="preserve">d </w:t>
      </w:r>
      <w:r w:rsidRPr="00C050B2">
        <w:rPr>
          <w:rFonts w:eastAsia="Arial" w:cs="Arial"/>
          <w:i/>
          <w:spacing w:val="1"/>
          <w:szCs w:val="20"/>
        </w:rPr>
        <w:t>o</w:t>
      </w:r>
      <w:r w:rsidRPr="00C050B2">
        <w:rPr>
          <w:rFonts w:eastAsia="Arial" w:cs="Arial"/>
          <w:i/>
          <w:szCs w:val="20"/>
        </w:rPr>
        <w:t>r</w:t>
      </w:r>
      <w:r w:rsidRPr="00C050B2">
        <w:rPr>
          <w:rFonts w:eastAsia="Arial" w:cs="Arial"/>
          <w:i/>
          <w:spacing w:val="-1"/>
          <w:szCs w:val="20"/>
        </w:rPr>
        <w:t xml:space="preserve"> </w:t>
      </w:r>
      <w:r w:rsidRPr="00C050B2">
        <w:rPr>
          <w:rFonts w:eastAsia="Arial" w:cs="Arial"/>
          <w:i/>
          <w:szCs w:val="20"/>
        </w:rPr>
        <w:t>r</w:t>
      </w:r>
      <w:r w:rsidRPr="00C050B2">
        <w:rPr>
          <w:rFonts w:eastAsia="Arial" w:cs="Arial"/>
          <w:i/>
          <w:spacing w:val="1"/>
          <w:szCs w:val="20"/>
        </w:rPr>
        <w:t>e</w:t>
      </w:r>
      <w:r w:rsidRPr="00C050B2">
        <w:rPr>
          <w:rFonts w:eastAsia="Arial" w:cs="Arial"/>
          <w:i/>
          <w:spacing w:val="-2"/>
          <w:szCs w:val="20"/>
        </w:rPr>
        <w:t>f</w:t>
      </w:r>
      <w:r w:rsidRPr="00C050B2">
        <w:rPr>
          <w:rFonts w:eastAsia="Arial" w:cs="Arial"/>
          <w:i/>
          <w:spacing w:val="1"/>
          <w:szCs w:val="20"/>
        </w:rPr>
        <w:t>e</w:t>
      </w:r>
      <w:r w:rsidRPr="00C050B2">
        <w:rPr>
          <w:rFonts w:eastAsia="Arial" w:cs="Arial"/>
          <w:i/>
          <w:szCs w:val="20"/>
        </w:rPr>
        <w:t>r</w:t>
      </w:r>
      <w:r w:rsidRPr="00C050B2">
        <w:rPr>
          <w:rFonts w:eastAsia="Arial" w:cs="Arial"/>
          <w:i/>
          <w:spacing w:val="1"/>
          <w:szCs w:val="20"/>
        </w:rPr>
        <w:t>en</w:t>
      </w:r>
      <w:r w:rsidRPr="00C050B2">
        <w:rPr>
          <w:rFonts w:eastAsia="Arial" w:cs="Arial"/>
          <w:i/>
          <w:spacing w:val="-5"/>
          <w:szCs w:val="20"/>
        </w:rPr>
        <w:t>c</w:t>
      </w:r>
      <w:r w:rsidRPr="00C050B2">
        <w:rPr>
          <w:rFonts w:eastAsia="Arial" w:cs="Arial"/>
          <w:i/>
          <w:spacing w:val="1"/>
          <w:szCs w:val="20"/>
        </w:rPr>
        <w:t>e</w:t>
      </w:r>
      <w:r w:rsidRPr="00C050B2">
        <w:rPr>
          <w:rFonts w:eastAsia="Arial" w:cs="Arial"/>
          <w:i/>
          <w:szCs w:val="20"/>
        </w:rPr>
        <w:t xml:space="preserve">d </w:t>
      </w:r>
      <w:r w:rsidRPr="00C050B2">
        <w:rPr>
          <w:rFonts w:eastAsia="Arial" w:cs="Arial"/>
          <w:i/>
          <w:spacing w:val="1"/>
          <w:szCs w:val="20"/>
        </w:rPr>
        <w:t>he</w:t>
      </w:r>
      <w:r w:rsidRPr="00C050B2">
        <w:rPr>
          <w:rFonts w:eastAsia="Arial" w:cs="Arial"/>
          <w:i/>
          <w:szCs w:val="20"/>
        </w:rPr>
        <w:t>r</w:t>
      </w:r>
      <w:r w:rsidRPr="00C050B2">
        <w:rPr>
          <w:rFonts w:eastAsia="Arial" w:cs="Arial"/>
          <w:i/>
          <w:spacing w:val="1"/>
          <w:szCs w:val="20"/>
        </w:rPr>
        <w:t>e</w:t>
      </w:r>
      <w:r w:rsidRPr="00C050B2">
        <w:rPr>
          <w:rFonts w:eastAsia="Arial" w:cs="Arial"/>
          <w:i/>
          <w:spacing w:val="-2"/>
          <w:szCs w:val="20"/>
        </w:rPr>
        <w:t>.</w:t>
      </w:r>
      <w:r w:rsidRPr="00C050B2">
        <w:rPr>
          <w:rFonts w:eastAsia="Arial" w:cs="Arial"/>
          <w:i/>
          <w:szCs w:val="20"/>
        </w:rPr>
        <w:t>&gt;</w:t>
      </w:r>
    </w:p>
    <w:p w14:paraId="52A21469" w14:textId="77777777" w:rsidR="00C1793C" w:rsidRPr="00C050B2" w:rsidRDefault="00C1793C" w:rsidP="009D675B">
      <w:pPr>
        <w:pStyle w:val="Sch1"/>
        <w:numPr>
          <w:ilvl w:val="2"/>
          <w:numId w:val="57"/>
        </w:numPr>
        <w:rPr>
          <w:rFonts w:eastAsia="Arial" w:cs="Arial"/>
          <w:szCs w:val="20"/>
        </w:rPr>
      </w:pPr>
      <w:r w:rsidRPr="005E64F3">
        <w:rPr>
          <w:rFonts w:eastAsia="Arial" w:cs="Arial"/>
          <w:spacing w:val="-5"/>
          <w:szCs w:val="20"/>
        </w:rPr>
        <w:t>Required</w:t>
      </w:r>
      <w:r w:rsidRPr="00C050B2">
        <w:rPr>
          <w:rFonts w:eastAsia="Arial" w:cs="Arial"/>
          <w:spacing w:val="-3"/>
          <w:szCs w:val="20"/>
        </w:rPr>
        <w:t xml:space="preserve"> </w:t>
      </w:r>
      <w:r w:rsidRPr="00C050B2">
        <w:rPr>
          <w:rFonts w:eastAsia="Verdana"/>
        </w:rPr>
        <w:t>Changes</w:t>
      </w:r>
      <w:r w:rsidRPr="00C050B2">
        <w:rPr>
          <w:rFonts w:eastAsia="Arial" w:cs="Arial"/>
          <w:szCs w:val="20"/>
        </w:rPr>
        <w:t xml:space="preserve"> </w:t>
      </w:r>
      <w:r w:rsidRPr="00C050B2">
        <w:rPr>
          <w:rFonts w:eastAsia="Arial" w:cs="Arial"/>
          <w:spacing w:val="1"/>
          <w:szCs w:val="20"/>
        </w:rPr>
        <w:t>Re</w:t>
      </w:r>
      <w:r w:rsidRPr="00C050B2">
        <w:rPr>
          <w:rFonts w:eastAsia="Arial" w:cs="Arial"/>
          <w:spacing w:val="-2"/>
          <w:szCs w:val="20"/>
        </w:rPr>
        <w:t>gi</w:t>
      </w:r>
      <w:r w:rsidRPr="00C050B2">
        <w:rPr>
          <w:rFonts w:eastAsia="Arial" w:cs="Arial"/>
          <w:spacing w:val="1"/>
          <w:szCs w:val="20"/>
        </w:rPr>
        <w:t>s</w:t>
      </w:r>
      <w:r w:rsidRPr="00C050B2">
        <w:rPr>
          <w:rFonts w:eastAsia="Arial" w:cs="Arial"/>
          <w:szCs w:val="20"/>
        </w:rPr>
        <w:t>t</w:t>
      </w:r>
      <w:r w:rsidRPr="00C050B2">
        <w:rPr>
          <w:rFonts w:eastAsia="Arial" w:cs="Arial"/>
          <w:spacing w:val="1"/>
          <w:szCs w:val="20"/>
        </w:rPr>
        <w:t>e</w:t>
      </w:r>
      <w:r w:rsidRPr="00C050B2">
        <w:rPr>
          <w:rFonts w:eastAsia="Arial" w:cs="Arial"/>
          <w:szCs w:val="20"/>
        </w:rPr>
        <w:t>r</w:t>
      </w:r>
    </w:p>
    <w:p w14:paraId="2EF5ECA5" w14:textId="77777777" w:rsidR="00C1793C" w:rsidRDefault="00C1793C" w:rsidP="00C1793C">
      <w:pPr>
        <w:spacing w:line="260" w:lineRule="exact"/>
        <w:ind w:left="861" w:right="180"/>
        <w:rPr>
          <w:rFonts w:eastAsia="Arial" w:cs="Arial"/>
          <w:i/>
          <w:szCs w:val="20"/>
        </w:rPr>
      </w:pPr>
      <w:r w:rsidRPr="00C050B2">
        <w:rPr>
          <w:rFonts w:eastAsia="Arial" w:cs="Arial"/>
          <w:i/>
          <w:szCs w:val="20"/>
        </w:rPr>
        <w:t>&lt;</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2"/>
          <w:szCs w:val="20"/>
        </w:rPr>
        <w:t>t</w:t>
      </w:r>
      <w:r w:rsidRPr="00C050B2">
        <w:rPr>
          <w:rFonts w:eastAsia="Arial" w:cs="Arial"/>
          <w:i/>
          <w:spacing w:val="1"/>
          <w:szCs w:val="20"/>
        </w:rPr>
        <w:t>abl</w:t>
      </w:r>
      <w:r w:rsidRPr="00C050B2">
        <w:rPr>
          <w:rFonts w:eastAsia="Arial" w:cs="Arial"/>
          <w:i/>
          <w:szCs w:val="20"/>
        </w:rPr>
        <w:t xml:space="preserve">e </w:t>
      </w:r>
      <w:r w:rsidRPr="00C050B2">
        <w:rPr>
          <w:rFonts w:eastAsia="Arial" w:cs="Arial"/>
          <w:i/>
          <w:spacing w:val="1"/>
          <w:szCs w:val="20"/>
        </w:rPr>
        <w:t>be</w:t>
      </w:r>
      <w:r w:rsidRPr="00C050B2">
        <w:rPr>
          <w:rFonts w:eastAsia="Arial" w:cs="Arial"/>
          <w:i/>
          <w:spacing w:val="-3"/>
          <w:szCs w:val="20"/>
        </w:rPr>
        <w:t>l</w:t>
      </w:r>
      <w:r w:rsidRPr="00C050B2">
        <w:rPr>
          <w:rFonts w:eastAsia="Arial" w:cs="Arial"/>
          <w:i/>
          <w:spacing w:val="1"/>
          <w:szCs w:val="20"/>
        </w:rPr>
        <w:t>o</w:t>
      </w:r>
      <w:r w:rsidRPr="00C050B2">
        <w:rPr>
          <w:rFonts w:eastAsia="Arial" w:cs="Arial"/>
          <w:i/>
          <w:szCs w:val="20"/>
        </w:rPr>
        <w:t>w s</w:t>
      </w:r>
      <w:r w:rsidRPr="00C050B2">
        <w:rPr>
          <w:rFonts w:eastAsia="Arial" w:cs="Arial"/>
          <w:i/>
          <w:spacing w:val="1"/>
          <w:szCs w:val="20"/>
        </w:rPr>
        <w:t>h</w:t>
      </w:r>
      <w:r w:rsidRPr="00C050B2">
        <w:rPr>
          <w:rFonts w:eastAsia="Arial" w:cs="Arial"/>
          <w:i/>
          <w:spacing w:val="-3"/>
          <w:szCs w:val="20"/>
        </w:rPr>
        <w:t>o</w:t>
      </w:r>
      <w:r w:rsidRPr="00C050B2">
        <w:rPr>
          <w:rFonts w:eastAsia="Arial" w:cs="Arial"/>
          <w:i/>
          <w:spacing w:val="1"/>
          <w:szCs w:val="20"/>
        </w:rPr>
        <w:t>w</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he</w:t>
      </w:r>
      <w:r w:rsidRPr="00C050B2">
        <w:rPr>
          <w:rFonts w:eastAsia="Arial" w:cs="Arial"/>
          <w:i/>
          <w:spacing w:val="-3"/>
          <w:szCs w:val="20"/>
        </w:rPr>
        <w:t>a</w:t>
      </w:r>
      <w:r w:rsidRPr="00C050B2">
        <w:rPr>
          <w:rFonts w:eastAsia="Arial" w:cs="Arial"/>
          <w:i/>
          <w:spacing w:val="1"/>
          <w:szCs w:val="20"/>
        </w:rPr>
        <w:t>ding</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2"/>
          <w:szCs w:val="20"/>
        </w:rPr>
        <w:t>f</w:t>
      </w:r>
      <w:r w:rsidRPr="00C050B2">
        <w:rPr>
          <w:rFonts w:eastAsia="Arial" w:cs="Arial"/>
          <w:i/>
          <w:spacing w:val="1"/>
          <w:szCs w:val="20"/>
        </w:rPr>
        <w:t>o</w:t>
      </w:r>
      <w:r w:rsidRPr="00C050B2">
        <w:rPr>
          <w:rFonts w:eastAsia="Arial" w:cs="Arial"/>
          <w:i/>
          <w:szCs w:val="20"/>
        </w:rPr>
        <w:t>r</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3"/>
          <w:szCs w:val="20"/>
        </w:rPr>
        <w:t>R</w:t>
      </w:r>
      <w:r w:rsidRPr="00C050B2">
        <w:rPr>
          <w:rFonts w:eastAsia="Arial" w:cs="Arial"/>
          <w:i/>
          <w:spacing w:val="1"/>
          <w:szCs w:val="20"/>
        </w:rPr>
        <w:t>equi</w:t>
      </w:r>
      <w:r w:rsidRPr="00C050B2">
        <w:rPr>
          <w:rFonts w:eastAsia="Arial" w:cs="Arial"/>
          <w:i/>
          <w:spacing w:val="-5"/>
          <w:szCs w:val="20"/>
        </w:rPr>
        <w:t>r</w:t>
      </w:r>
      <w:r w:rsidRPr="00C050B2">
        <w:rPr>
          <w:rFonts w:eastAsia="Arial" w:cs="Arial"/>
          <w:i/>
          <w:spacing w:val="1"/>
          <w:szCs w:val="20"/>
        </w:rPr>
        <w:t>e</w:t>
      </w:r>
      <w:r w:rsidRPr="00C050B2">
        <w:rPr>
          <w:rFonts w:eastAsia="Arial" w:cs="Arial"/>
          <w:i/>
          <w:szCs w:val="20"/>
        </w:rPr>
        <w:t xml:space="preserve">d </w:t>
      </w:r>
      <w:r w:rsidRPr="00C050B2">
        <w:rPr>
          <w:rFonts w:eastAsia="Arial" w:cs="Arial"/>
          <w:i/>
          <w:spacing w:val="1"/>
          <w:szCs w:val="20"/>
        </w:rPr>
        <w:t>Ch</w:t>
      </w:r>
      <w:r w:rsidRPr="00C050B2">
        <w:rPr>
          <w:rFonts w:eastAsia="Arial" w:cs="Arial"/>
          <w:i/>
          <w:spacing w:val="-3"/>
          <w:szCs w:val="20"/>
        </w:rPr>
        <w:t>a</w:t>
      </w:r>
      <w:r w:rsidRPr="00C050B2">
        <w:rPr>
          <w:rFonts w:eastAsia="Arial" w:cs="Arial"/>
          <w:i/>
          <w:spacing w:val="1"/>
          <w:szCs w:val="20"/>
        </w:rPr>
        <w:t>nge</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3"/>
          <w:szCs w:val="20"/>
        </w:rPr>
        <w:t>R</w:t>
      </w:r>
      <w:r w:rsidRPr="00C050B2">
        <w:rPr>
          <w:rFonts w:eastAsia="Arial" w:cs="Arial"/>
          <w:i/>
          <w:spacing w:val="1"/>
          <w:szCs w:val="20"/>
        </w:rPr>
        <w:t>egi</w:t>
      </w:r>
      <w:r w:rsidRPr="00C050B2">
        <w:rPr>
          <w:rFonts w:eastAsia="Arial" w:cs="Arial"/>
          <w:i/>
          <w:szCs w:val="20"/>
        </w:rPr>
        <w:t>s</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 xml:space="preserve">r </w:t>
      </w:r>
      <w:r w:rsidRPr="00C050B2">
        <w:rPr>
          <w:rFonts w:eastAsia="Arial" w:cs="Arial"/>
          <w:i/>
          <w:spacing w:val="1"/>
          <w:szCs w:val="20"/>
        </w:rPr>
        <w:t>whi</w:t>
      </w:r>
      <w:r w:rsidRPr="00C050B2">
        <w:rPr>
          <w:rFonts w:eastAsia="Arial" w:cs="Arial"/>
          <w:i/>
          <w:szCs w:val="20"/>
        </w:rPr>
        <w:t>ch s</w:t>
      </w:r>
      <w:r w:rsidRPr="00C050B2">
        <w:rPr>
          <w:rFonts w:eastAsia="Arial" w:cs="Arial"/>
          <w:i/>
          <w:spacing w:val="-3"/>
          <w:szCs w:val="20"/>
        </w:rPr>
        <w:t>h</w:t>
      </w:r>
      <w:r w:rsidRPr="00C050B2">
        <w:rPr>
          <w:rFonts w:eastAsia="Arial" w:cs="Arial"/>
          <w:i/>
          <w:spacing w:val="1"/>
          <w:szCs w:val="20"/>
        </w:rPr>
        <w:t>oul</w:t>
      </w:r>
      <w:r w:rsidRPr="00C050B2">
        <w:rPr>
          <w:rFonts w:eastAsia="Arial" w:cs="Arial"/>
          <w:i/>
          <w:szCs w:val="20"/>
        </w:rPr>
        <w:t xml:space="preserve">d </w:t>
      </w:r>
      <w:r w:rsidRPr="00C050B2">
        <w:rPr>
          <w:rFonts w:eastAsia="Arial" w:cs="Arial"/>
          <w:i/>
          <w:spacing w:val="-3"/>
          <w:szCs w:val="20"/>
        </w:rPr>
        <w:t>b</w:t>
      </w:r>
      <w:r w:rsidRPr="00C050B2">
        <w:rPr>
          <w:rFonts w:eastAsia="Arial" w:cs="Arial"/>
          <w:i/>
          <w:szCs w:val="20"/>
        </w:rPr>
        <w:t>e m</w:t>
      </w:r>
      <w:r w:rsidRPr="00C050B2">
        <w:rPr>
          <w:rFonts w:eastAsia="Arial" w:cs="Arial"/>
          <w:i/>
          <w:spacing w:val="1"/>
          <w:szCs w:val="20"/>
        </w:rPr>
        <w:t>ain</w:t>
      </w:r>
      <w:r w:rsidRPr="00C050B2">
        <w:rPr>
          <w:rFonts w:eastAsia="Arial" w:cs="Arial"/>
          <w:i/>
          <w:spacing w:val="-2"/>
          <w:szCs w:val="20"/>
        </w:rPr>
        <w:t>t</w:t>
      </w:r>
      <w:r w:rsidRPr="00C050B2">
        <w:rPr>
          <w:rFonts w:eastAsia="Arial" w:cs="Arial"/>
          <w:i/>
          <w:spacing w:val="-3"/>
          <w:szCs w:val="20"/>
        </w:rPr>
        <w:t>a</w:t>
      </w:r>
      <w:r w:rsidRPr="00C050B2">
        <w:rPr>
          <w:rFonts w:eastAsia="Arial" w:cs="Arial"/>
          <w:i/>
          <w:spacing w:val="1"/>
          <w:szCs w:val="20"/>
        </w:rPr>
        <w:t>in</w:t>
      </w:r>
      <w:r w:rsidRPr="00C050B2">
        <w:rPr>
          <w:rFonts w:eastAsia="Arial" w:cs="Arial"/>
          <w:i/>
          <w:spacing w:val="-3"/>
          <w:szCs w:val="20"/>
        </w:rPr>
        <w:t>e</w:t>
      </w:r>
      <w:r w:rsidRPr="00C050B2">
        <w:rPr>
          <w:rFonts w:eastAsia="Arial" w:cs="Arial"/>
          <w:i/>
          <w:szCs w:val="20"/>
        </w:rPr>
        <w:t xml:space="preserve">d </w:t>
      </w:r>
      <w:r w:rsidRPr="00C050B2">
        <w:rPr>
          <w:rFonts w:eastAsia="Arial" w:cs="Arial"/>
          <w:i/>
          <w:spacing w:val="1"/>
          <w:szCs w:val="20"/>
        </w:rPr>
        <w:t>an</w:t>
      </w:r>
      <w:r w:rsidRPr="00C050B2">
        <w:rPr>
          <w:rFonts w:eastAsia="Arial" w:cs="Arial"/>
          <w:i/>
          <w:szCs w:val="20"/>
        </w:rPr>
        <w:t xml:space="preserve">d </w:t>
      </w:r>
      <w:r w:rsidRPr="00C050B2">
        <w:rPr>
          <w:rFonts w:eastAsia="Arial" w:cs="Arial"/>
          <w:i/>
          <w:spacing w:val="1"/>
          <w:szCs w:val="20"/>
        </w:rPr>
        <w:t>u</w:t>
      </w:r>
      <w:r w:rsidRPr="00C050B2">
        <w:rPr>
          <w:rFonts w:eastAsia="Arial" w:cs="Arial"/>
          <w:i/>
          <w:szCs w:val="20"/>
        </w:rPr>
        <w:t>s</w:t>
      </w:r>
      <w:r w:rsidRPr="00C050B2">
        <w:rPr>
          <w:rFonts w:eastAsia="Arial" w:cs="Arial"/>
          <w:i/>
          <w:spacing w:val="-3"/>
          <w:szCs w:val="20"/>
        </w:rPr>
        <w:t>e</w:t>
      </w:r>
      <w:r w:rsidRPr="00C050B2">
        <w:rPr>
          <w:rFonts w:eastAsia="Arial" w:cs="Arial"/>
          <w:i/>
          <w:szCs w:val="20"/>
        </w:rPr>
        <w:t xml:space="preserve">d </w:t>
      </w:r>
      <w:r w:rsidRPr="00C050B2">
        <w:rPr>
          <w:rFonts w:eastAsia="Arial" w:cs="Arial"/>
          <w:i/>
          <w:spacing w:val="-2"/>
          <w:szCs w:val="20"/>
        </w:rPr>
        <w:t>t</w:t>
      </w:r>
      <w:r w:rsidRPr="00C050B2">
        <w:rPr>
          <w:rFonts w:eastAsia="Arial" w:cs="Arial"/>
          <w:i/>
          <w:szCs w:val="20"/>
        </w:rPr>
        <w:t xml:space="preserve">o </w:t>
      </w:r>
      <w:r w:rsidRPr="00C050B2">
        <w:rPr>
          <w:rFonts w:eastAsia="Arial" w:cs="Arial"/>
          <w:i/>
          <w:spacing w:val="1"/>
          <w:szCs w:val="20"/>
        </w:rPr>
        <w:t>upda</w:t>
      </w:r>
      <w:r w:rsidRPr="00C050B2">
        <w:rPr>
          <w:rFonts w:eastAsia="Arial" w:cs="Arial"/>
          <w:i/>
          <w:spacing w:val="-2"/>
          <w:szCs w:val="20"/>
        </w:rPr>
        <w:t>t</w:t>
      </w:r>
      <w:r w:rsidRPr="00C050B2">
        <w:rPr>
          <w:rFonts w:eastAsia="Arial" w:cs="Arial"/>
          <w:i/>
          <w:szCs w:val="20"/>
        </w:rPr>
        <w:t>e</w:t>
      </w:r>
      <w:r w:rsidRPr="00C050B2">
        <w:rPr>
          <w:rFonts w:eastAsia="Arial" w:cs="Arial"/>
          <w:i/>
          <w:spacing w:val="-5"/>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c</w:t>
      </w:r>
      <w:r w:rsidRPr="00C050B2">
        <w:rPr>
          <w:rFonts w:eastAsia="Arial" w:cs="Arial"/>
          <w:i/>
          <w:spacing w:val="1"/>
          <w:szCs w:val="20"/>
        </w:rPr>
        <w:t>on</w:t>
      </w:r>
      <w:r w:rsidRPr="00C050B2">
        <w:rPr>
          <w:rFonts w:eastAsia="Arial" w:cs="Arial"/>
          <w:i/>
          <w:spacing w:val="-2"/>
          <w:szCs w:val="20"/>
        </w:rPr>
        <w:t>t</w:t>
      </w:r>
      <w:r w:rsidRPr="00C050B2">
        <w:rPr>
          <w:rFonts w:eastAsia="Arial" w:cs="Arial"/>
          <w:i/>
          <w:spacing w:val="1"/>
          <w:szCs w:val="20"/>
        </w:rPr>
        <w:t>en</w:t>
      </w:r>
      <w:r w:rsidRPr="00C050B2">
        <w:rPr>
          <w:rFonts w:eastAsia="Arial" w:cs="Arial"/>
          <w:i/>
          <w:spacing w:val="-2"/>
          <w:szCs w:val="20"/>
        </w:rPr>
        <w:t>t</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hi</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do</w:t>
      </w:r>
      <w:r w:rsidRPr="00C050B2">
        <w:rPr>
          <w:rFonts w:eastAsia="Arial" w:cs="Arial"/>
          <w:i/>
          <w:szCs w:val="20"/>
        </w:rPr>
        <w:t>c</w:t>
      </w:r>
      <w:r w:rsidRPr="00C050B2">
        <w:rPr>
          <w:rFonts w:eastAsia="Arial" w:cs="Arial"/>
          <w:i/>
          <w:spacing w:val="1"/>
          <w:szCs w:val="20"/>
        </w:rPr>
        <w:t>u</w:t>
      </w:r>
      <w:r w:rsidRPr="00C050B2">
        <w:rPr>
          <w:rFonts w:eastAsia="Arial" w:cs="Arial"/>
          <w:i/>
          <w:szCs w:val="20"/>
        </w:rPr>
        <w:t>m</w:t>
      </w:r>
      <w:r w:rsidRPr="00C050B2">
        <w:rPr>
          <w:rFonts w:eastAsia="Arial" w:cs="Arial"/>
          <w:i/>
          <w:spacing w:val="1"/>
          <w:szCs w:val="20"/>
        </w:rPr>
        <w:t>en</w:t>
      </w:r>
      <w:r w:rsidRPr="00C050B2">
        <w:rPr>
          <w:rFonts w:eastAsia="Arial" w:cs="Arial"/>
          <w:i/>
          <w:szCs w:val="20"/>
        </w:rPr>
        <w:t xml:space="preserve">t </w:t>
      </w:r>
      <w:r w:rsidRPr="00C050B2">
        <w:rPr>
          <w:rFonts w:eastAsia="Arial" w:cs="Arial"/>
          <w:i/>
          <w:spacing w:val="1"/>
          <w:szCs w:val="20"/>
        </w:rPr>
        <w:t>a</w:t>
      </w:r>
      <w:r w:rsidRPr="00C050B2">
        <w:rPr>
          <w:rFonts w:eastAsia="Arial" w:cs="Arial"/>
          <w:i/>
          <w:szCs w:val="20"/>
        </w:rPr>
        <w:t>t</w:t>
      </w:r>
      <w:r w:rsidRPr="00C050B2">
        <w:rPr>
          <w:rFonts w:eastAsia="Arial" w:cs="Arial"/>
          <w:i/>
          <w:spacing w:val="-3"/>
          <w:szCs w:val="20"/>
        </w:rPr>
        <w:t xml:space="preserve"> </w:t>
      </w:r>
      <w:r w:rsidRPr="00C050B2">
        <w:rPr>
          <w:rFonts w:eastAsia="Arial" w:cs="Arial"/>
          <w:i/>
          <w:spacing w:val="1"/>
          <w:szCs w:val="20"/>
        </w:rPr>
        <w:t>lea</w:t>
      </w:r>
      <w:r w:rsidRPr="00C050B2">
        <w:rPr>
          <w:rFonts w:eastAsia="Arial" w:cs="Arial"/>
          <w:i/>
          <w:szCs w:val="20"/>
        </w:rPr>
        <w:t>st</w:t>
      </w:r>
      <w:r w:rsidRPr="00C050B2">
        <w:rPr>
          <w:rFonts w:eastAsia="Arial" w:cs="Arial"/>
          <w:i/>
          <w:spacing w:val="-3"/>
          <w:szCs w:val="20"/>
        </w:rPr>
        <w:t xml:space="preserve"> </w:t>
      </w:r>
      <w:r w:rsidRPr="00C050B2">
        <w:rPr>
          <w:rFonts w:eastAsia="Arial" w:cs="Arial"/>
          <w:i/>
          <w:spacing w:val="1"/>
          <w:szCs w:val="20"/>
        </w:rPr>
        <w:t>annu</w:t>
      </w:r>
      <w:r w:rsidRPr="00C050B2">
        <w:rPr>
          <w:rFonts w:eastAsia="Arial" w:cs="Arial"/>
          <w:i/>
          <w:spacing w:val="-3"/>
          <w:szCs w:val="20"/>
        </w:rPr>
        <w:t>a</w:t>
      </w:r>
      <w:r w:rsidRPr="00C050B2">
        <w:rPr>
          <w:rFonts w:eastAsia="Arial" w:cs="Arial"/>
          <w:i/>
          <w:spacing w:val="1"/>
          <w:szCs w:val="20"/>
        </w:rPr>
        <w:t>ll</w:t>
      </w:r>
      <w:r w:rsidRPr="00C050B2">
        <w:rPr>
          <w:rFonts w:eastAsia="Arial" w:cs="Arial"/>
          <w:i/>
          <w:szCs w:val="20"/>
        </w:rPr>
        <w:t>y</w:t>
      </w:r>
      <w:r w:rsidRPr="00C050B2">
        <w:rPr>
          <w:rFonts w:eastAsia="Arial" w:cs="Arial"/>
          <w:i/>
          <w:spacing w:val="-2"/>
          <w:szCs w:val="20"/>
        </w:rPr>
        <w:t>.</w:t>
      </w:r>
      <w:r w:rsidRPr="00C050B2">
        <w:rPr>
          <w:rFonts w:eastAsia="Arial" w:cs="Arial"/>
          <w:i/>
          <w:szCs w:val="20"/>
        </w:rPr>
        <w:t>&gt;</w:t>
      </w:r>
    </w:p>
    <w:tbl>
      <w:tblPr>
        <w:tblStyle w:val="TableGrid0"/>
        <w:tblW w:w="9342" w:type="dxa"/>
        <w:tblInd w:w="-5" w:type="dxa"/>
        <w:tblLook w:val="04A0" w:firstRow="1" w:lastRow="0" w:firstColumn="1" w:lastColumn="0" w:noHBand="0" w:noVBand="1"/>
      </w:tblPr>
      <w:tblGrid>
        <w:gridCol w:w="686"/>
        <w:gridCol w:w="1284"/>
        <w:gridCol w:w="1738"/>
        <w:gridCol w:w="1306"/>
        <w:gridCol w:w="1468"/>
        <w:gridCol w:w="1852"/>
        <w:gridCol w:w="1008"/>
      </w:tblGrid>
      <w:tr w:rsidR="00C1793C" w:rsidRPr="00E732B7" w14:paraId="69595EF5" w14:textId="77777777" w:rsidTr="00E732B7">
        <w:tc>
          <w:tcPr>
            <w:tcW w:w="567" w:type="dxa"/>
            <w:shd w:val="clear" w:color="auto" w:fill="DEEAF6" w:themeFill="accent1" w:themeFillTint="33"/>
          </w:tcPr>
          <w:p w14:paraId="2B844105" w14:textId="77777777" w:rsidR="00C1793C" w:rsidRPr="00E732B7" w:rsidRDefault="00C1793C" w:rsidP="00E732B7">
            <w:pPr>
              <w:spacing w:line="260" w:lineRule="exact"/>
              <w:ind w:left="390" w:right="146" w:hanging="390"/>
              <w:jc w:val="left"/>
              <w:rPr>
                <w:rFonts w:ascii="Arial" w:eastAsia="Arial" w:hAnsi="Arial" w:cs="Arial"/>
                <w:b/>
                <w:bCs/>
                <w:iCs/>
                <w:sz w:val="20"/>
                <w:szCs w:val="20"/>
              </w:rPr>
            </w:pPr>
            <w:r w:rsidRPr="00E732B7">
              <w:rPr>
                <w:rFonts w:ascii="Arial" w:eastAsia="Arial" w:hAnsi="Arial" w:cs="Arial"/>
                <w:b/>
                <w:bCs/>
                <w:iCs/>
                <w:sz w:val="20"/>
                <w:szCs w:val="20"/>
              </w:rPr>
              <w:t>Ref</w:t>
            </w:r>
          </w:p>
        </w:tc>
        <w:tc>
          <w:tcPr>
            <w:tcW w:w="1329" w:type="dxa"/>
            <w:shd w:val="clear" w:color="auto" w:fill="DEEAF6" w:themeFill="accent1" w:themeFillTint="33"/>
          </w:tcPr>
          <w:p w14:paraId="0BBF36CF" w14:textId="77777777" w:rsidR="00C1793C" w:rsidRPr="00E732B7" w:rsidRDefault="00C1793C" w:rsidP="00E732B7">
            <w:pPr>
              <w:spacing w:line="260" w:lineRule="exact"/>
              <w:ind w:left="0" w:right="-6" w:firstLine="0"/>
              <w:rPr>
                <w:rFonts w:ascii="Arial" w:eastAsia="Arial" w:hAnsi="Arial" w:cs="Arial"/>
                <w:b/>
                <w:bCs/>
                <w:iCs/>
                <w:sz w:val="20"/>
                <w:szCs w:val="20"/>
              </w:rPr>
            </w:pPr>
            <w:r w:rsidRPr="00E732B7">
              <w:rPr>
                <w:rFonts w:ascii="Arial" w:eastAsia="Arial" w:hAnsi="Arial" w:cs="Arial"/>
                <w:b/>
                <w:bCs/>
                <w:iCs/>
                <w:sz w:val="20"/>
                <w:szCs w:val="20"/>
              </w:rPr>
              <w:t>Section</w:t>
            </w:r>
          </w:p>
        </w:tc>
        <w:tc>
          <w:tcPr>
            <w:tcW w:w="1787" w:type="dxa"/>
            <w:shd w:val="clear" w:color="auto" w:fill="DEEAF6" w:themeFill="accent1" w:themeFillTint="33"/>
          </w:tcPr>
          <w:p w14:paraId="41A65C72" w14:textId="77777777" w:rsidR="00C1793C" w:rsidRPr="00E732B7" w:rsidRDefault="00C1793C" w:rsidP="00C1793C">
            <w:pPr>
              <w:spacing w:line="260" w:lineRule="exact"/>
              <w:ind w:right="180"/>
              <w:rPr>
                <w:rFonts w:ascii="Arial" w:eastAsia="Arial" w:hAnsi="Arial" w:cs="Arial"/>
                <w:b/>
                <w:bCs/>
                <w:iCs/>
                <w:sz w:val="20"/>
                <w:szCs w:val="20"/>
              </w:rPr>
            </w:pPr>
            <w:r w:rsidRPr="00E732B7">
              <w:rPr>
                <w:rFonts w:ascii="Arial" w:eastAsia="Arial" w:hAnsi="Arial" w:cs="Arial"/>
                <w:b/>
                <w:bCs/>
                <w:iCs/>
                <w:sz w:val="20"/>
                <w:szCs w:val="20"/>
              </w:rPr>
              <w:t>Change</w:t>
            </w:r>
          </w:p>
        </w:tc>
        <w:tc>
          <w:tcPr>
            <w:tcW w:w="1322" w:type="dxa"/>
            <w:shd w:val="clear" w:color="auto" w:fill="DEEAF6" w:themeFill="accent1" w:themeFillTint="33"/>
          </w:tcPr>
          <w:p w14:paraId="26355290" w14:textId="77777777" w:rsidR="00C1793C" w:rsidRPr="00E732B7" w:rsidRDefault="00C1793C" w:rsidP="00E732B7">
            <w:pPr>
              <w:spacing w:line="260" w:lineRule="exact"/>
              <w:ind w:left="0" w:right="180" w:firstLine="0"/>
              <w:rPr>
                <w:rFonts w:ascii="Arial" w:eastAsia="Arial" w:hAnsi="Arial" w:cs="Arial"/>
                <w:b/>
                <w:bCs/>
                <w:iCs/>
                <w:sz w:val="20"/>
                <w:szCs w:val="20"/>
              </w:rPr>
            </w:pPr>
            <w:r w:rsidRPr="00E732B7">
              <w:rPr>
                <w:rFonts w:ascii="Arial" w:eastAsia="Arial" w:hAnsi="Arial" w:cs="Arial"/>
                <w:b/>
                <w:bCs/>
                <w:iCs/>
                <w:sz w:val="20"/>
                <w:szCs w:val="20"/>
              </w:rPr>
              <w:t>Agreed with</w:t>
            </w:r>
          </w:p>
        </w:tc>
        <w:tc>
          <w:tcPr>
            <w:tcW w:w="1477" w:type="dxa"/>
            <w:shd w:val="clear" w:color="auto" w:fill="DEEAF6" w:themeFill="accent1" w:themeFillTint="33"/>
          </w:tcPr>
          <w:p w14:paraId="66AD2D49" w14:textId="77777777" w:rsidR="00C1793C" w:rsidRPr="00E732B7" w:rsidRDefault="00C1793C" w:rsidP="00C1793C">
            <w:pPr>
              <w:spacing w:line="260" w:lineRule="exact"/>
              <w:ind w:left="-11" w:right="180" w:firstLine="11"/>
              <w:rPr>
                <w:rFonts w:ascii="Arial" w:eastAsia="Arial" w:hAnsi="Arial" w:cs="Arial"/>
                <w:b/>
                <w:bCs/>
                <w:iCs/>
                <w:sz w:val="20"/>
                <w:szCs w:val="20"/>
              </w:rPr>
            </w:pPr>
            <w:r w:rsidRPr="00E732B7">
              <w:rPr>
                <w:rFonts w:ascii="Arial" w:eastAsia="Arial" w:hAnsi="Arial" w:cs="Arial"/>
                <w:b/>
                <w:bCs/>
                <w:iCs/>
                <w:sz w:val="20"/>
                <w:szCs w:val="20"/>
              </w:rPr>
              <w:t>Date agreed</w:t>
            </w:r>
          </w:p>
        </w:tc>
        <w:tc>
          <w:tcPr>
            <w:tcW w:w="1852" w:type="dxa"/>
            <w:shd w:val="clear" w:color="auto" w:fill="DEEAF6" w:themeFill="accent1" w:themeFillTint="33"/>
          </w:tcPr>
          <w:p w14:paraId="1CAF3498" w14:textId="77777777" w:rsidR="00C1793C" w:rsidRPr="00E732B7" w:rsidRDefault="00C1793C" w:rsidP="00E732B7">
            <w:pPr>
              <w:spacing w:line="260" w:lineRule="exact"/>
              <w:ind w:left="0" w:right="180" w:firstLine="0"/>
              <w:rPr>
                <w:rFonts w:ascii="Arial" w:eastAsia="Arial" w:hAnsi="Arial" w:cs="Arial"/>
                <w:b/>
                <w:bCs/>
                <w:iCs/>
                <w:sz w:val="20"/>
                <w:szCs w:val="20"/>
              </w:rPr>
            </w:pPr>
            <w:r w:rsidRPr="00E732B7">
              <w:rPr>
                <w:rFonts w:ascii="Arial" w:eastAsia="Arial" w:hAnsi="Arial" w:cs="Arial"/>
                <w:b/>
                <w:bCs/>
                <w:iCs/>
                <w:sz w:val="20"/>
                <w:szCs w:val="20"/>
              </w:rPr>
              <w:t>Documentation updated</w:t>
            </w:r>
          </w:p>
        </w:tc>
        <w:tc>
          <w:tcPr>
            <w:tcW w:w="1008" w:type="dxa"/>
            <w:shd w:val="clear" w:color="auto" w:fill="DEEAF6" w:themeFill="accent1" w:themeFillTint="33"/>
          </w:tcPr>
          <w:p w14:paraId="0881745A" w14:textId="77777777" w:rsidR="00C1793C" w:rsidRPr="00E732B7" w:rsidRDefault="00C1793C" w:rsidP="00C1793C">
            <w:pPr>
              <w:spacing w:line="260" w:lineRule="exact"/>
              <w:ind w:right="180"/>
              <w:rPr>
                <w:rFonts w:ascii="Arial" w:eastAsia="Arial" w:hAnsi="Arial" w:cs="Arial"/>
                <w:b/>
                <w:bCs/>
                <w:iCs/>
                <w:sz w:val="20"/>
                <w:szCs w:val="20"/>
              </w:rPr>
            </w:pPr>
            <w:r w:rsidRPr="00E732B7">
              <w:rPr>
                <w:rFonts w:ascii="Arial" w:eastAsia="Arial" w:hAnsi="Arial" w:cs="Arial"/>
                <w:b/>
                <w:bCs/>
                <w:iCs/>
                <w:sz w:val="20"/>
                <w:szCs w:val="20"/>
              </w:rPr>
              <w:t>Status</w:t>
            </w:r>
          </w:p>
        </w:tc>
      </w:tr>
      <w:tr w:rsidR="00C1793C" w:rsidRPr="00E732B7" w14:paraId="5D17672F" w14:textId="77777777" w:rsidTr="00E732B7">
        <w:tc>
          <w:tcPr>
            <w:tcW w:w="567" w:type="dxa"/>
          </w:tcPr>
          <w:p w14:paraId="249CDB09" w14:textId="77777777" w:rsidR="00C1793C" w:rsidRPr="00E732B7" w:rsidRDefault="00C1793C" w:rsidP="00C1793C">
            <w:pPr>
              <w:spacing w:line="260" w:lineRule="exact"/>
              <w:ind w:right="180"/>
              <w:rPr>
                <w:rFonts w:ascii="Arial" w:eastAsia="Arial" w:hAnsi="Arial" w:cs="Arial"/>
                <w:iCs/>
                <w:sz w:val="20"/>
                <w:szCs w:val="20"/>
              </w:rPr>
            </w:pPr>
            <w:r w:rsidRPr="00E732B7">
              <w:rPr>
                <w:rFonts w:ascii="Arial" w:eastAsia="Arial" w:hAnsi="Arial" w:cs="Arial"/>
                <w:iCs/>
                <w:sz w:val="20"/>
                <w:szCs w:val="20"/>
              </w:rPr>
              <w:t>1</w:t>
            </w:r>
          </w:p>
        </w:tc>
        <w:tc>
          <w:tcPr>
            <w:tcW w:w="1329" w:type="dxa"/>
          </w:tcPr>
          <w:p w14:paraId="308BAFAD" w14:textId="77777777" w:rsidR="00C1793C" w:rsidRPr="00E732B7" w:rsidRDefault="00C1793C" w:rsidP="00C1793C">
            <w:pPr>
              <w:spacing w:line="260" w:lineRule="exact"/>
              <w:ind w:right="180"/>
              <w:rPr>
                <w:rFonts w:ascii="Arial" w:eastAsia="Arial" w:hAnsi="Arial" w:cs="Arial"/>
                <w:iCs/>
                <w:sz w:val="20"/>
                <w:szCs w:val="20"/>
              </w:rPr>
            </w:pPr>
            <w:r w:rsidRPr="00E732B7">
              <w:rPr>
                <w:rFonts w:ascii="Arial" w:eastAsia="Arial" w:hAnsi="Arial" w:cs="Arial"/>
                <w:iCs/>
                <w:sz w:val="20"/>
                <w:szCs w:val="20"/>
              </w:rPr>
              <w:t>6.4</w:t>
            </w:r>
          </w:p>
        </w:tc>
        <w:tc>
          <w:tcPr>
            <w:tcW w:w="1787" w:type="dxa"/>
          </w:tcPr>
          <w:p w14:paraId="79DF5DA8" w14:textId="77777777" w:rsidR="00C1793C" w:rsidRPr="00E732B7" w:rsidRDefault="00C1793C" w:rsidP="00E732B7">
            <w:pPr>
              <w:spacing w:line="260" w:lineRule="exact"/>
              <w:ind w:left="0" w:right="180" w:firstLine="0"/>
              <w:jc w:val="left"/>
              <w:rPr>
                <w:rFonts w:ascii="Arial" w:eastAsia="Arial" w:hAnsi="Arial" w:cs="Arial"/>
                <w:iCs/>
                <w:sz w:val="20"/>
                <w:szCs w:val="20"/>
              </w:rPr>
            </w:pPr>
            <w:r w:rsidRPr="00E732B7">
              <w:rPr>
                <w:rFonts w:ascii="Arial" w:eastAsia="Arial" w:hAnsi="Arial" w:cs="Arial"/>
                <w:spacing w:val="1"/>
                <w:position w:val="-1"/>
                <w:sz w:val="20"/>
                <w:szCs w:val="20"/>
              </w:rPr>
              <w:t xml:space="preserve">A new </w:t>
            </w:r>
            <w:proofErr w:type="gramStart"/>
            <w:r w:rsidRPr="00E732B7">
              <w:rPr>
                <w:rFonts w:ascii="Arial" w:eastAsia="Arial" w:hAnsi="Arial" w:cs="Arial"/>
                <w:spacing w:val="1"/>
                <w:position w:val="-1"/>
                <w:sz w:val="20"/>
                <w:szCs w:val="20"/>
              </w:rPr>
              <w:t>Third Party</w:t>
            </w:r>
            <w:proofErr w:type="gramEnd"/>
            <w:r w:rsidRPr="00E732B7">
              <w:rPr>
                <w:rFonts w:ascii="Arial" w:eastAsia="Arial" w:hAnsi="Arial" w:cs="Arial"/>
                <w:spacing w:val="1"/>
                <w:position w:val="-1"/>
                <w:sz w:val="20"/>
                <w:szCs w:val="20"/>
              </w:rPr>
              <w:t xml:space="preserve"> Supplier XXXX will be performing the print capability</w:t>
            </w:r>
          </w:p>
        </w:tc>
        <w:tc>
          <w:tcPr>
            <w:tcW w:w="1322" w:type="dxa"/>
          </w:tcPr>
          <w:p w14:paraId="0918DFC2" w14:textId="77777777" w:rsidR="00C1793C" w:rsidRPr="00E732B7" w:rsidRDefault="00C1793C" w:rsidP="00E732B7">
            <w:pPr>
              <w:spacing w:line="260" w:lineRule="exact"/>
              <w:ind w:left="0" w:right="180" w:firstLine="0"/>
              <w:jc w:val="left"/>
              <w:rPr>
                <w:rFonts w:ascii="Arial" w:eastAsia="Arial" w:hAnsi="Arial" w:cs="Arial"/>
                <w:iCs/>
                <w:sz w:val="20"/>
                <w:szCs w:val="20"/>
              </w:rPr>
            </w:pPr>
            <w:r w:rsidRPr="00E732B7">
              <w:rPr>
                <w:rFonts w:ascii="Arial" w:eastAsia="Arial" w:hAnsi="Arial" w:cs="Arial"/>
                <w:iCs/>
                <w:sz w:val="20"/>
                <w:szCs w:val="20"/>
              </w:rPr>
              <w:t>Authority name</w:t>
            </w:r>
          </w:p>
        </w:tc>
        <w:tc>
          <w:tcPr>
            <w:tcW w:w="1477" w:type="dxa"/>
          </w:tcPr>
          <w:p w14:paraId="1A4CD458" w14:textId="77777777" w:rsidR="00C1793C" w:rsidRPr="00E732B7" w:rsidRDefault="00C1793C" w:rsidP="00C1793C">
            <w:pPr>
              <w:spacing w:line="260" w:lineRule="exact"/>
              <w:ind w:right="180"/>
              <w:rPr>
                <w:rFonts w:ascii="Arial" w:eastAsia="Arial" w:hAnsi="Arial" w:cs="Arial"/>
                <w:iCs/>
                <w:sz w:val="20"/>
                <w:szCs w:val="20"/>
              </w:rPr>
            </w:pPr>
            <w:r w:rsidRPr="00E732B7">
              <w:rPr>
                <w:rFonts w:ascii="Arial" w:eastAsia="Arial" w:hAnsi="Arial" w:cs="Arial"/>
                <w:iCs/>
                <w:sz w:val="20"/>
                <w:szCs w:val="20"/>
              </w:rPr>
              <w:t>11/11/2018</w:t>
            </w:r>
          </w:p>
        </w:tc>
        <w:tc>
          <w:tcPr>
            <w:tcW w:w="1852" w:type="dxa"/>
          </w:tcPr>
          <w:p w14:paraId="107AF6A8" w14:textId="77777777" w:rsidR="00C1793C" w:rsidRPr="00E732B7" w:rsidRDefault="00C1793C" w:rsidP="00C1793C">
            <w:pPr>
              <w:spacing w:line="260" w:lineRule="exact"/>
              <w:ind w:right="180"/>
              <w:rPr>
                <w:rFonts w:ascii="Arial" w:eastAsia="Arial" w:hAnsi="Arial" w:cs="Arial"/>
                <w:iCs/>
                <w:sz w:val="20"/>
                <w:szCs w:val="20"/>
              </w:rPr>
            </w:pPr>
            <w:r w:rsidRPr="00E732B7">
              <w:rPr>
                <w:rFonts w:ascii="Arial" w:eastAsia="Arial" w:hAnsi="Arial" w:cs="Arial"/>
                <w:iCs/>
                <w:sz w:val="20"/>
                <w:szCs w:val="20"/>
              </w:rPr>
              <w:t>Jul-2019</w:t>
            </w:r>
          </w:p>
        </w:tc>
        <w:tc>
          <w:tcPr>
            <w:tcW w:w="1008" w:type="dxa"/>
          </w:tcPr>
          <w:p w14:paraId="585557D5" w14:textId="77777777" w:rsidR="00C1793C" w:rsidRPr="00E732B7" w:rsidRDefault="00C1793C" w:rsidP="00C1793C">
            <w:pPr>
              <w:spacing w:line="260" w:lineRule="exact"/>
              <w:ind w:right="180"/>
              <w:rPr>
                <w:rFonts w:ascii="Arial" w:eastAsia="Arial" w:hAnsi="Arial" w:cs="Arial"/>
                <w:iCs/>
                <w:sz w:val="20"/>
                <w:szCs w:val="20"/>
              </w:rPr>
            </w:pPr>
            <w:r w:rsidRPr="00E732B7">
              <w:rPr>
                <w:rFonts w:ascii="Arial" w:eastAsia="Arial" w:hAnsi="Arial" w:cs="Arial"/>
                <w:iCs/>
                <w:sz w:val="20"/>
                <w:szCs w:val="20"/>
              </w:rPr>
              <w:t>Open</w:t>
            </w:r>
          </w:p>
        </w:tc>
      </w:tr>
    </w:tbl>
    <w:p w14:paraId="65DE69FC" w14:textId="77777777" w:rsidR="00C1793C" w:rsidRDefault="00C1793C" w:rsidP="00C1793C">
      <w:pPr>
        <w:spacing w:line="260" w:lineRule="exact"/>
        <w:ind w:left="861" w:right="180"/>
        <w:rPr>
          <w:rFonts w:eastAsia="Arial" w:cs="Arial"/>
          <w:i/>
          <w:szCs w:val="20"/>
        </w:rPr>
      </w:pPr>
    </w:p>
    <w:p w14:paraId="2094E8AD" w14:textId="77777777" w:rsidR="00C1793C" w:rsidRPr="00C050B2" w:rsidRDefault="00C1793C" w:rsidP="009D675B">
      <w:pPr>
        <w:pStyle w:val="Sch1"/>
        <w:numPr>
          <w:ilvl w:val="2"/>
          <w:numId w:val="57"/>
        </w:numPr>
        <w:rPr>
          <w:rFonts w:eastAsia="Arial" w:cs="Arial"/>
          <w:szCs w:val="20"/>
        </w:rPr>
      </w:pPr>
      <w:r w:rsidRPr="00C050B2">
        <w:rPr>
          <w:rFonts w:eastAsia="Arial" w:cs="Arial"/>
          <w:szCs w:val="20"/>
        </w:rPr>
        <w:t>P</w:t>
      </w:r>
      <w:r w:rsidRPr="00C050B2">
        <w:rPr>
          <w:rFonts w:eastAsia="Arial" w:cs="Arial"/>
          <w:spacing w:val="1"/>
          <w:szCs w:val="20"/>
        </w:rPr>
        <w:t>ers</w:t>
      </w:r>
      <w:r w:rsidRPr="00C050B2">
        <w:rPr>
          <w:rFonts w:eastAsia="Arial" w:cs="Arial"/>
          <w:spacing w:val="-2"/>
          <w:szCs w:val="20"/>
        </w:rPr>
        <w:t>on</w:t>
      </w:r>
      <w:r w:rsidRPr="00C050B2">
        <w:rPr>
          <w:rFonts w:eastAsia="Arial" w:cs="Arial"/>
          <w:spacing w:val="1"/>
          <w:szCs w:val="20"/>
        </w:rPr>
        <w:t>a</w:t>
      </w:r>
      <w:r w:rsidRPr="00C050B2">
        <w:rPr>
          <w:rFonts w:eastAsia="Arial" w:cs="Arial"/>
          <w:szCs w:val="20"/>
        </w:rPr>
        <w:t>l</w:t>
      </w:r>
      <w:r w:rsidRPr="00C050B2">
        <w:rPr>
          <w:rFonts w:eastAsia="Arial" w:cs="Arial"/>
          <w:spacing w:val="-3"/>
          <w:szCs w:val="20"/>
        </w:rPr>
        <w:t xml:space="preserve"> </w:t>
      </w:r>
      <w:r w:rsidRPr="00C050B2">
        <w:rPr>
          <w:rFonts w:eastAsia="Arial" w:cs="Arial"/>
          <w:spacing w:val="1"/>
          <w:szCs w:val="20"/>
        </w:rPr>
        <w:t>Da</w:t>
      </w:r>
      <w:r w:rsidRPr="00C050B2">
        <w:rPr>
          <w:rFonts w:eastAsia="Arial" w:cs="Arial"/>
          <w:szCs w:val="20"/>
        </w:rPr>
        <w:t xml:space="preserve">ta </w:t>
      </w:r>
      <w:r w:rsidRPr="00C050B2">
        <w:rPr>
          <w:rFonts w:eastAsia="Verdana"/>
        </w:rPr>
        <w:t>P</w:t>
      </w:r>
      <w:r w:rsidRPr="00C050B2">
        <w:rPr>
          <w:rFonts w:eastAsia="Verdana"/>
          <w:spacing w:val="1"/>
        </w:rPr>
        <w:t>r</w:t>
      </w:r>
      <w:r w:rsidRPr="00C050B2">
        <w:rPr>
          <w:rFonts w:eastAsia="Verdana"/>
          <w:spacing w:val="-2"/>
        </w:rPr>
        <w:t>o</w:t>
      </w:r>
      <w:r w:rsidRPr="00C050B2">
        <w:rPr>
          <w:rFonts w:eastAsia="Verdana"/>
          <w:spacing w:val="1"/>
        </w:rPr>
        <w:t>ce</w:t>
      </w:r>
      <w:r w:rsidRPr="00C050B2">
        <w:rPr>
          <w:rFonts w:eastAsia="Verdana"/>
          <w:spacing w:val="-3"/>
        </w:rPr>
        <w:t>s</w:t>
      </w:r>
      <w:r w:rsidRPr="00C050B2">
        <w:rPr>
          <w:rFonts w:eastAsia="Verdana"/>
          <w:spacing w:val="1"/>
        </w:rPr>
        <w:t>s</w:t>
      </w:r>
      <w:r w:rsidRPr="00C050B2">
        <w:rPr>
          <w:rFonts w:eastAsia="Verdana"/>
          <w:spacing w:val="-2"/>
        </w:rPr>
        <w:t>in</w:t>
      </w:r>
      <w:r w:rsidRPr="00C050B2">
        <w:rPr>
          <w:rFonts w:eastAsia="Verdana"/>
        </w:rPr>
        <w:t>g</w:t>
      </w:r>
      <w:r w:rsidRPr="00C050B2">
        <w:rPr>
          <w:rFonts w:eastAsia="Arial" w:cs="Arial"/>
          <w:spacing w:val="-3"/>
          <w:szCs w:val="20"/>
        </w:rPr>
        <w:t xml:space="preserve"> </w:t>
      </w:r>
      <w:r w:rsidRPr="00C050B2">
        <w:rPr>
          <w:rFonts w:eastAsia="Arial" w:cs="Arial"/>
          <w:szCs w:val="20"/>
        </w:rPr>
        <w:t>St</w:t>
      </w:r>
      <w:r w:rsidRPr="00C050B2">
        <w:rPr>
          <w:rFonts w:eastAsia="Arial" w:cs="Arial"/>
          <w:spacing w:val="1"/>
          <w:szCs w:val="20"/>
        </w:rPr>
        <w:t>a</w:t>
      </w:r>
      <w:r w:rsidRPr="00C050B2">
        <w:rPr>
          <w:rFonts w:eastAsia="Arial" w:cs="Arial"/>
          <w:szCs w:val="20"/>
        </w:rPr>
        <w:t>t</w:t>
      </w:r>
      <w:r w:rsidRPr="00C050B2">
        <w:rPr>
          <w:rFonts w:eastAsia="Arial" w:cs="Arial"/>
          <w:spacing w:val="1"/>
          <w:szCs w:val="20"/>
        </w:rPr>
        <w:t>eme</w:t>
      </w:r>
      <w:r w:rsidRPr="00C050B2">
        <w:rPr>
          <w:rFonts w:eastAsia="Arial" w:cs="Arial"/>
          <w:spacing w:val="-2"/>
          <w:szCs w:val="20"/>
        </w:rPr>
        <w:t>n</w:t>
      </w:r>
      <w:r w:rsidRPr="00C050B2">
        <w:rPr>
          <w:rFonts w:eastAsia="Arial" w:cs="Arial"/>
          <w:szCs w:val="20"/>
        </w:rPr>
        <w:t>t</w:t>
      </w:r>
    </w:p>
    <w:p w14:paraId="0BAEFF8E" w14:textId="77777777" w:rsidR="00C1793C" w:rsidRPr="00C050B2" w:rsidRDefault="00C1793C" w:rsidP="00C1793C">
      <w:pPr>
        <w:spacing w:line="243" w:lineRule="auto"/>
        <w:ind w:left="861" w:right="250"/>
        <w:rPr>
          <w:rFonts w:eastAsia="Arial" w:cs="Arial"/>
          <w:szCs w:val="20"/>
        </w:rPr>
      </w:pPr>
      <w:r w:rsidRPr="00C050B2">
        <w:rPr>
          <w:rFonts w:eastAsia="Arial" w:cs="Arial"/>
          <w:i/>
          <w:szCs w:val="20"/>
        </w:rPr>
        <w:t>&lt;</w:t>
      </w:r>
      <w:r w:rsidRPr="00C050B2">
        <w:rPr>
          <w:rFonts w:eastAsia="Arial" w:cs="Arial"/>
          <w:i/>
          <w:spacing w:val="-2"/>
          <w:szCs w:val="20"/>
        </w:rPr>
        <w:t>T</w:t>
      </w:r>
      <w:r w:rsidRPr="00C050B2">
        <w:rPr>
          <w:rFonts w:eastAsia="Arial" w:cs="Arial"/>
          <w:i/>
          <w:spacing w:val="1"/>
          <w:szCs w:val="20"/>
        </w:rPr>
        <w:t>hi</w:t>
      </w:r>
      <w:r w:rsidRPr="00C050B2">
        <w:rPr>
          <w:rFonts w:eastAsia="Arial" w:cs="Arial"/>
          <w:i/>
          <w:szCs w:val="20"/>
        </w:rPr>
        <w:t>s</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hou</w:t>
      </w:r>
      <w:r w:rsidRPr="00C050B2">
        <w:rPr>
          <w:rFonts w:eastAsia="Arial" w:cs="Arial"/>
          <w:i/>
          <w:spacing w:val="-3"/>
          <w:szCs w:val="20"/>
        </w:rPr>
        <w:t>l</w:t>
      </w:r>
      <w:r w:rsidRPr="00C050B2">
        <w:rPr>
          <w:rFonts w:eastAsia="Arial" w:cs="Arial"/>
          <w:i/>
          <w:szCs w:val="20"/>
        </w:rPr>
        <w:t xml:space="preserve">d </w:t>
      </w:r>
      <w:r w:rsidRPr="00C050B2">
        <w:rPr>
          <w:rFonts w:eastAsia="Arial" w:cs="Arial"/>
          <w:i/>
          <w:spacing w:val="1"/>
          <w:szCs w:val="20"/>
        </w:rPr>
        <w:t>in</w:t>
      </w:r>
      <w:r w:rsidRPr="00C050B2">
        <w:rPr>
          <w:rFonts w:eastAsia="Arial" w:cs="Arial"/>
          <w:i/>
          <w:szCs w:val="20"/>
        </w:rPr>
        <w:t>c</w:t>
      </w:r>
      <w:r w:rsidRPr="00C050B2">
        <w:rPr>
          <w:rFonts w:eastAsia="Arial" w:cs="Arial"/>
          <w:i/>
          <w:spacing w:val="1"/>
          <w:szCs w:val="20"/>
        </w:rPr>
        <w:t>l</w:t>
      </w:r>
      <w:r w:rsidRPr="00C050B2">
        <w:rPr>
          <w:rFonts w:eastAsia="Arial" w:cs="Arial"/>
          <w:i/>
          <w:spacing w:val="-3"/>
          <w:szCs w:val="20"/>
        </w:rPr>
        <w:t>u</w:t>
      </w:r>
      <w:r w:rsidRPr="00C050B2">
        <w:rPr>
          <w:rFonts w:eastAsia="Arial" w:cs="Arial"/>
          <w:i/>
          <w:spacing w:val="1"/>
          <w:szCs w:val="20"/>
        </w:rPr>
        <w:t>de</w:t>
      </w:r>
      <w:r w:rsidRPr="00C050B2">
        <w:rPr>
          <w:rFonts w:eastAsia="Arial" w:cs="Arial"/>
          <w:i/>
          <w:szCs w:val="20"/>
        </w:rPr>
        <w:t>:</w:t>
      </w:r>
      <w:r w:rsidRPr="00C050B2">
        <w:rPr>
          <w:rFonts w:eastAsia="Arial" w:cs="Arial"/>
          <w:i/>
          <w:spacing w:val="-3"/>
          <w:szCs w:val="20"/>
        </w:rPr>
        <w:t xml:space="preserve"> </w:t>
      </w:r>
      <w:r w:rsidRPr="00C050B2">
        <w:rPr>
          <w:rFonts w:eastAsia="Arial" w:cs="Arial"/>
          <w:i/>
          <w:szCs w:val="20"/>
        </w:rPr>
        <w:t>(</w:t>
      </w:r>
      <w:proofErr w:type="spellStart"/>
      <w:r w:rsidRPr="00C050B2">
        <w:rPr>
          <w:rFonts w:eastAsia="Arial" w:cs="Arial"/>
          <w:i/>
          <w:spacing w:val="1"/>
          <w:szCs w:val="20"/>
        </w:rPr>
        <w:t>i</w:t>
      </w:r>
      <w:proofErr w:type="spellEnd"/>
      <w:r w:rsidRPr="00C050B2">
        <w:rPr>
          <w:rFonts w:eastAsia="Arial" w:cs="Arial"/>
          <w:i/>
          <w:szCs w:val="20"/>
        </w:rPr>
        <w:t>)</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zCs w:val="20"/>
        </w:rPr>
        <w:t>y</w:t>
      </w:r>
      <w:r w:rsidRPr="00C050B2">
        <w:rPr>
          <w:rFonts w:eastAsia="Arial" w:cs="Arial"/>
          <w:i/>
          <w:spacing w:val="1"/>
          <w:szCs w:val="20"/>
        </w:rPr>
        <w:t>pe</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zCs w:val="20"/>
        </w:rPr>
        <w:t>P</w:t>
      </w:r>
      <w:r w:rsidRPr="00C050B2">
        <w:rPr>
          <w:rFonts w:eastAsia="Arial" w:cs="Arial"/>
          <w:i/>
          <w:spacing w:val="1"/>
          <w:szCs w:val="20"/>
        </w:rPr>
        <w:t>e</w:t>
      </w:r>
      <w:r w:rsidRPr="00C050B2">
        <w:rPr>
          <w:rFonts w:eastAsia="Arial" w:cs="Arial"/>
          <w:i/>
          <w:szCs w:val="20"/>
        </w:rPr>
        <w:t>rs</w:t>
      </w:r>
      <w:r w:rsidRPr="00C050B2">
        <w:rPr>
          <w:rFonts w:eastAsia="Arial" w:cs="Arial"/>
          <w:i/>
          <w:spacing w:val="1"/>
          <w:szCs w:val="20"/>
        </w:rPr>
        <w:t>ona</w:t>
      </w:r>
      <w:r w:rsidRPr="00C050B2">
        <w:rPr>
          <w:rFonts w:eastAsia="Arial" w:cs="Arial"/>
          <w:i/>
          <w:szCs w:val="20"/>
        </w:rPr>
        <w:t xml:space="preserve">l </w:t>
      </w:r>
      <w:r w:rsidRPr="00C050B2">
        <w:rPr>
          <w:rFonts w:eastAsia="Arial" w:cs="Arial"/>
          <w:i/>
          <w:spacing w:val="-3"/>
          <w:szCs w:val="20"/>
        </w:rPr>
        <w:t>D</w:t>
      </w:r>
      <w:r w:rsidRPr="00C050B2">
        <w:rPr>
          <w:rFonts w:eastAsia="Arial" w:cs="Arial"/>
          <w:i/>
          <w:spacing w:val="1"/>
          <w:szCs w:val="20"/>
        </w:rPr>
        <w:t>a</w:t>
      </w:r>
      <w:r w:rsidRPr="00C050B2">
        <w:rPr>
          <w:rFonts w:eastAsia="Arial" w:cs="Arial"/>
          <w:i/>
          <w:spacing w:val="-2"/>
          <w:szCs w:val="20"/>
        </w:rPr>
        <w:t>t</w:t>
      </w:r>
      <w:r w:rsidRPr="00C050B2">
        <w:rPr>
          <w:rFonts w:eastAsia="Arial" w:cs="Arial"/>
          <w:i/>
          <w:szCs w:val="20"/>
        </w:rPr>
        <w:t xml:space="preserve">a </w:t>
      </w:r>
      <w:r w:rsidRPr="00C050B2">
        <w:rPr>
          <w:rFonts w:eastAsia="Arial" w:cs="Arial"/>
          <w:i/>
          <w:spacing w:val="1"/>
          <w:szCs w:val="20"/>
        </w:rPr>
        <w:t>whi</w:t>
      </w:r>
      <w:r w:rsidRPr="00C050B2">
        <w:rPr>
          <w:rFonts w:eastAsia="Arial" w:cs="Arial"/>
          <w:i/>
          <w:szCs w:val="20"/>
        </w:rPr>
        <w:t xml:space="preserve">ch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S</w:t>
      </w:r>
      <w:r w:rsidRPr="00C050B2">
        <w:rPr>
          <w:rFonts w:eastAsia="Arial" w:cs="Arial"/>
          <w:i/>
          <w:spacing w:val="1"/>
          <w:szCs w:val="20"/>
        </w:rPr>
        <w:t>u</w:t>
      </w:r>
      <w:r w:rsidRPr="00C050B2">
        <w:rPr>
          <w:rFonts w:eastAsia="Arial" w:cs="Arial"/>
          <w:i/>
          <w:spacing w:val="-3"/>
          <w:szCs w:val="20"/>
        </w:rPr>
        <w:t>p</w:t>
      </w:r>
      <w:r w:rsidRPr="00C050B2">
        <w:rPr>
          <w:rFonts w:eastAsia="Arial" w:cs="Arial"/>
          <w:i/>
          <w:spacing w:val="1"/>
          <w:szCs w:val="20"/>
        </w:rPr>
        <w:t>pl</w:t>
      </w:r>
      <w:r w:rsidRPr="00C050B2">
        <w:rPr>
          <w:rFonts w:eastAsia="Arial" w:cs="Arial"/>
          <w:i/>
          <w:spacing w:val="-3"/>
          <w:szCs w:val="20"/>
        </w:rPr>
        <w:t>i</w:t>
      </w:r>
      <w:r w:rsidRPr="00C050B2">
        <w:rPr>
          <w:rFonts w:eastAsia="Arial" w:cs="Arial"/>
          <w:i/>
          <w:spacing w:val="1"/>
          <w:szCs w:val="20"/>
        </w:rPr>
        <w:t>e</w:t>
      </w:r>
      <w:r w:rsidRPr="00C050B2">
        <w:rPr>
          <w:rFonts w:eastAsia="Arial" w:cs="Arial"/>
          <w:i/>
          <w:szCs w:val="20"/>
        </w:rPr>
        <w:t>r</w:t>
      </w:r>
      <w:r w:rsidRPr="00C050B2">
        <w:rPr>
          <w:rFonts w:eastAsia="Arial" w:cs="Arial"/>
          <w:i/>
          <w:spacing w:val="-1"/>
          <w:szCs w:val="20"/>
        </w:rPr>
        <w:t xml:space="preserve"> </w:t>
      </w:r>
      <w:r w:rsidRPr="00C050B2">
        <w:rPr>
          <w:rFonts w:eastAsia="Arial" w:cs="Arial"/>
          <w:i/>
          <w:spacing w:val="1"/>
          <w:szCs w:val="20"/>
        </w:rPr>
        <w:t>and</w:t>
      </w:r>
      <w:r w:rsidRPr="00C050B2">
        <w:rPr>
          <w:rFonts w:eastAsia="Arial" w:cs="Arial"/>
          <w:i/>
          <w:spacing w:val="-2"/>
          <w:szCs w:val="20"/>
        </w:rPr>
        <w:t>/</w:t>
      </w:r>
      <w:r w:rsidRPr="00C050B2">
        <w:rPr>
          <w:rFonts w:eastAsia="Arial" w:cs="Arial"/>
          <w:i/>
          <w:spacing w:val="1"/>
          <w:szCs w:val="20"/>
        </w:rPr>
        <w:t>o</w:t>
      </w:r>
      <w:r w:rsidRPr="00C050B2">
        <w:rPr>
          <w:rFonts w:eastAsia="Arial" w:cs="Arial"/>
          <w:i/>
          <w:szCs w:val="20"/>
        </w:rPr>
        <w:t xml:space="preserve">r </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s</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u</w:t>
      </w:r>
      <w:r w:rsidRPr="00C050B2">
        <w:rPr>
          <w:rFonts w:eastAsia="Arial" w:cs="Arial"/>
          <w:i/>
          <w:spacing w:val="2"/>
          <w:szCs w:val="20"/>
        </w:rPr>
        <w:t>b</w:t>
      </w:r>
      <w:r w:rsidRPr="00C050B2">
        <w:rPr>
          <w:rFonts w:eastAsia="Arial" w:cs="Arial"/>
          <w:i/>
          <w:spacing w:val="1"/>
          <w:szCs w:val="20"/>
        </w:rPr>
        <w:t>-</w:t>
      </w:r>
      <w:r w:rsidRPr="00C050B2">
        <w:rPr>
          <w:rFonts w:eastAsia="Arial" w:cs="Arial"/>
          <w:i/>
          <w:szCs w:val="20"/>
        </w:rPr>
        <w:t>c</w:t>
      </w:r>
      <w:r w:rsidRPr="00C050B2">
        <w:rPr>
          <w:rFonts w:eastAsia="Arial" w:cs="Arial"/>
          <w:i/>
          <w:spacing w:val="1"/>
          <w:szCs w:val="20"/>
        </w:rPr>
        <w:t>on</w:t>
      </w:r>
      <w:r w:rsidRPr="00C050B2">
        <w:rPr>
          <w:rFonts w:eastAsia="Arial" w:cs="Arial"/>
          <w:i/>
          <w:spacing w:val="-2"/>
          <w:szCs w:val="20"/>
        </w:rPr>
        <w:t>t</w:t>
      </w:r>
      <w:r w:rsidRPr="00C050B2">
        <w:rPr>
          <w:rFonts w:eastAsia="Arial" w:cs="Arial"/>
          <w:i/>
          <w:szCs w:val="20"/>
        </w:rPr>
        <w:t>r</w:t>
      </w:r>
      <w:r w:rsidRPr="00C050B2">
        <w:rPr>
          <w:rFonts w:eastAsia="Arial" w:cs="Arial"/>
          <w:i/>
          <w:spacing w:val="1"/>
          <w:szCs w:val="20"/>
        </w:rPr>
        <w:t>a</w:t>
      </w:r>
      <w:r w:rsidRPr="00C050B2">
        <w:rPr>
          <w:rFonts w:eastAsia="Arial" w:cs="Arial"/>
          <w:i/>
          <w:szCs w:val="20"/>
        </w:rPr>
        <w:t>c</w:t>
      </w:r>
      <w:r w:rsidRPr="00C050B2">
        <w:rPr>
          <w:rFonts w:eastAsia="Arial" w:cs="Arial"/>
          <w:i/>
          <w:spacing w:val="-2"/>
          <w:szCs w:val="20"/>
        </w:rPr>
        <w:t>t</w:t>
      </w:r>
      <w:r w:rsidRPr="00C050B2">
        <w:rPr>
          <w:rFonts w:eastAsia="Arial" w:cs="Arial"/>
          <w:i/>
          <w:spacing w:val="1"/>
          <w:szCs w:val="20"/>
        </w:rPr>
        <w:t>o</w:t>
      </w:r>
      <w:r w:rsidRPr="00C050B2">
        <w:rPr>
          <w:rFonts w:eastAsia="Arial" w:cs="Arial"/>
          <w:i/>
          <w:szCs w:val="20"/>
        </w:rPr>
        <w:t>rs</w:t>
      </w:r>
      <w:r w:rsidRPr="00C050B2">
        <w:rPr>
          <w:rFonts w:eastAsia="Arial" w:cs="Arial"/>
          <w:i/>
          <w:spacing w:val="-1"/>
          <w:szCs w:val="20"/>
        </w:rPr>
        <w:t xml:space="preserve"> </w:t>
      </w:r>
      <w:r w:rsidRPr="00C050B2">
        <w:rPr>
          <w:rFonts w:eastAsia="Arial" w:cs="Arial"/>
          <w:i/>
          <w:spacing w:val="1"/>
          <w:szCs w:val="20"/>
        </w:rPr>
        <w:t>a</w:t>
      </w:r>
      <w:r w:rsidRPr="00C050B2">
        <w:rPr>
          <w:rFonts w:eastAsia="Arial" w:cs="Arial"/>
          <w:i/>
          <w:szCs w:val="20"/>
        </w:rPr>
        <w:t>re Pr</w:t>
      </w:r>
      <w:r w:rsidRPr="00C050B2">
        <w:rPr>
          <w:rFonts w:eastAsia="Arial" w:cs="Arial"/>
          <w:i/>
          <w:spacing w:val="1"/>
          <w:szCs w:val="20"/>
        </w:rPr>
        <w:t>o</w:t>
      </w:r>
      <w:r w:rsidRPr="00C050B2">
        <w:rPr>
          <w:rFonts w:eastAsia="Arial" w:cs="Arial"/>
          <w:i/>
          <w:szCs w:val="20"/>
        </w:rPr>
        <w:t>c</w:t>
      </w:r>
      <w:r w:rsidRPr="00C050B2">
        <w:rPr>
          <w:rFonts w:eastAsia="Arial" w:cs="Arial"/>
          <w:i/>
          <w:spacing w:val="1"/>
          <w:szCs w:val="20"/>
        </w:rPr>
        <w:t>e</w:t>
      </w:r>
      <w:r w:rsidRPr="00C050B2">
        <w:rPr>
          <w:rFonts w:eastAsia="Arial" w:cs="Arial"/>
          <w:i/>
          <w:szCs w:val="20"/>
        </w:rPr>
        <w:t>s</w:t>
      </w:r>
      <w:r w:rsidRPr="00C050B2">
        <w:rPr>
          <w:rFonts w:eastAsia="Arial" w:cs="Arial"/>
          <w:i/>
          <w:spacing w:val="-5"/>
          <w:szCs w:val="20"/>
        </w:rPr>
        <w:t>s</w:t>
      </w:r>
      <w:r w:rsidRPr="00C050B2">
        <w:rPr>
          <w:rFonts w:eastAsia="Arial" w:cs="Arial"/>
          <w:i/>
          <w:spacing w:val="1"/>
          <w:szCs w:val="20"/>
        </w:rPr>
        <w:t>in</w:t>
      </w:r>
      <w:r w:rsidRPr="00C050B2">
        <w:rPr>
          <w:rFonts w:eastAsia="Arial" w:cs="Arial"/>
          <w:i/>
          <w:szCs w:val="20"/>
        </w:rPr>
        <w:t xml:space="preserve">g </w:t>
      </w:r>
      <w:r w:rsidRPr="00C050B2">
        <w:rPr>
          <w:rFonts w:eastAsia="Arial" w:cs="Arial"/>
          <w:i/>
          <w:spacing w:val="-3"/>
          <w:szCs w:val="20"/>
        </w:rPr>
        <w:t>o</w:t>
      </w:r>
      <w:r w:rsidRPr="00C050B2">
        <w:rPr>
          <w:rFonts w:eastAsia="Arial" w:cs="Arial"/>
          <w:i/>
          <w:szCs w:val="20"/>
        </w:rPr>
        <w:t xml:space="preserve">n </w:t>
      </w:r>
      <w:r w:rsidRPr="00C050B2">
        <w:rPr>
          <w:rFonts w:eastAsia="Arial" w:cs="Arial"/>
          <w:i/>
          <w:spacing w:val="1"/>
          <w:szCs w:val="20"/>
        </w:rPr>
        <w:t>be</w:t>
      </w:r>
      <w:r w:rsidRPr="00C050B2">
        <w:rPr>
          <w:rFonts w:eastAsia="Arial" w:cs="Arial"/>
          <w:i/>
          <w:spacing w:val="-3"/>
          <w:szCs w:val="20"/>
        </w:rPr>
        <w:t>h</w:t>
      </w:r>
      <w:r w:rsidRPr="00C050B2">
        <w:rPr>
          <w:rFonts w:eastAsia="Arial" w:cs="Arial"/>
          <w:i/>
          <w:spacing w:val="1"/>
          <w:szCs w:val="20"/>
        </w:rPr>
        <w:t>al</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A</w:t>
      </w:r>
      <w:r w:rsidRPr="00C050B2">
        <w:rPr>
          <w:rFonts w:eastAsia="Arial" w:cs="Arial"/>
          <w:i/>
          <w:spacing w:val="1"/>
          <w:szCs w:val="20"/>
        </w:rPr>
        <w:t>u</w:t>
      </w:r>
      <w:r w:rsidRPr="00C050B2">
        <w:rPr>
          <w:rFonts w:eastAsia="Arial" w:cs="Arial"/>
          <w:i/>
          <w:spacing w:val="-2"/>
          <w:szCs w:val="20"/>
        </w:rPr>
        <w:t>t</w:t>
      </w:r>
      <w:r w:rsidRPr="00C050B2">
        <w:rPr>
          <w:rFonts w:eastAsia="Arial" w:cs="Arial"/>
          <w:i/>
          <w:spacing w:val="1"/>
          <w:szCs w:val="20"/>
        </w:rPr>
        <w:t>ho</w:t>
      </w:r>
      <w:r w:rsidRPr="00C050B2">
        <w:rPr>
          <w:rFonts w:eastAsia="Arial" w:cs="Arial"/>
          <w:i/>
          <w:szCs w:val="20"/>
        </w:rPr>
        <w:t>r</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y;</w:t>
      </w:r>
      <w:r w:rsidRPr="00C050B2">
        <w:rPr>
          <w:rFonts w:eastAsia="Arial" w:cs="Arial"/>
          <w:i/>
          <w:spacing w:val="-3"/>
          <w:szCs w:val="20"/>
        </w:rPr>
        <w:t xml:space="preserve"> </w:t>
      </w:r>
      <w:r w:rsidRPr="00C050B2">
        <w:rPr>
          <w:rFonts w:eastAsia="Arial" w:cs="Arial"/>
          <w:i/>
          <w:szCs w:val="20"/>
        </w:rPr>
        <w:t>(</w:t>
      </w:r>
      <w:r w:rsidRPr="00C050B2">
        <w:rPr>
          <w:rFonts w:eastAsia="Arial" w:cs="Arial"/>
          <w:i/>
          <w:spacing w:val="1"/>
          <w:szCs w:val="20"/>
        </w:rPr>
        <w:t>ii</w:t>
      </w:r>
      <w:r w:rsidRPr="00C050B2">
        <w:rPr>
          <w:rFonts w:eastAsia="Arial" w:cs="Arial"/>
          <w:i/>
          <w:szCs w:val="20"/>
        </w:rPr>
        <w:t>)</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w:t>
      </w:r>
    </w:p>
    <w:p w14:paraId="538EA1BB" w14:textId="77777777" w:rsidR="00C1793C" w:rsidRPr="00C050B2" w:rsidRDefault="00C1793C" w:rsidP="00C1793C">
      <w:pPr>
        <w:spacing w:line="260" w:lineRule="exact"/>
        <w:ind w:left="861"/>
        <w:rPr>
          <w:rFonts w:eastAsia="Arial" w:cs="Arial"/>
          <w:szCs w:val="20"/>
        </w:rPr>
      </w:pPr>
      <w:r w:rsidRPr="00C050B2">
        <w:rPr>
          <w:rFonts w:eastAsia="Arial" w:cs="Arial"/>
          <w:i/>
          <w:szCs w:val="20"/>
        </w:rPr>
        <w:t>c</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1"/>
          <w:szCs w:val="20"/>
        </w:rPr>
        <w:t>ego</w:t>
      </w:r>
      <w:r w:rsidRPr="00C050B2">
        <w:rPr>
          <w:rFonts w:eastAsia="Arial" w:cs="Arial"/>
          <w:i/>
          <w:szCs w:val="20"/>
        </w:rPr>
        <w:t>r</w:t>
      </w:r>
      <w:r w:rsidRPr="00C050B2">
        <w:rPr>
          <w:rFonts w:eastAsia="Arial" w:cs="Arial"/>
          <w:i/>
          <w:spacing w:val="-3"/>
          <w:szCs w:val="20"/>
        </w:rPr>
        <w:t>i</w:t>
      </w:r>
      <w:r w:rsidRPr="00C050B2">
        <w:rPr>
          <w:rFonts w:eastAsia="Arial" w:cs="Arial"/>
          <w:i/>
          <w:spacing w:val="1"/>
          <w:szCs w:val="20"/>
        </w:rPr>
        <w:t>e</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1"/>
          <w:szCs w:val="20"/>
        </w:rPr>
        <w:t>Da</w:t>
      </w:r>
      <w:r w:rsidRPr="00C050B2">
        <w:rPr>
          <w:rFonts w:eastAsia="Arial" w:cs="Arial"/>
          <w:i/>
          <w:spacing w:val="-2"/>
          <w:szCs w:val="20"/>
        </w:rPr>
        <w:t>t</w:t>
      </w:r>
      <w:r w:rsidRPr="00C050B2">
        <w:rPr>
          <w:rFonts w:eastAsia="Arial" w:cs="Arial"/>
          <w:i/>
          <w:szCs w:val="20"/>
        </w:rPr>
        <w:t>a S</w:t>
      </w:r>
      <w:r w:rsidRPr="00C050B2">
        <w:rPr>
          <w:rFonts w:eastAsia="Arial" w:cs="Arial"/>
          <w:i/>
          <w:spacing w:val="1"/>
          <w:szCs w:val="20"/>
        </w:rPr>
        <w:t>ubje</w:t>
      </w:r>
      <w:r w:rsidRPr="00C050B2">
        <w:rPr>
          <w:rFonts w:eastAsia="Arial" w:cs="Arial"/>
          <w:i/>
          <w:szCs w:val="20"/>
        </w:rPr>
        <w:t>c</w:t>
      </w:r>
      <w:r w:rsidRPr="00C050B2">
        <w:rPr>
          <w:rFonts w:eastAsia="Arial" w:cs="Arial"/>
          <w:i/>
          <w:spacing w:val="-2"/>
          <w:szCs w:val="20"/>
        </w:rPr>
        <w:t>t</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w</w:t>
      </w:r>
      <w:r w:rsidRPr="00C050B2">
        <w:rPr>
          <w:rFonts w:eastAsia="Arial" w:cs="Arial"/>
          <w:i/>
          <w:spacing w:val="-3"/>
          <w:szCs w:val="20"/>
        </w:rPr>
        <w:t>h</w:t>
      </w:r>
      <w:r w:rsidRPr="00C050B2">
        <w:rPr>
          <w:rFonts w:eastAsia="Arial" w:cs="Arial"/>
          <w:i/>
          <w:spacing w:val="1"/>
          <w:szCs w:val="20"/>
        </w:rPr>
        <w:t>o</w:t>
      </w:r>
      <w:r w:rsidRPr="00C050B2">
        <w:rPr>
          <w:rFonts w:eastAsia="Arial" w:cs="Arial"/>
          <w:i/>
          <w:szCs w:val="20"/>
        </w:rPr>
        <w:t>se P</w:t>
      </w:r>
      <w:r w:rsidRPr="00C050B2">
        <w:rPr>
          <w:rFonts w:eastAsia="Arial" w:cs="Arial"/>
          <w:i/>
          <w:spacing w:val="1"/>
          <w:szCs w:val="20"/>
        </w:rPr>
        <w:t>e</w:t>
      </w:r>
      <w:r w:rsidRPr="00C050B2">
        <w:rPr>
          <w:rFonts w:eastAsia="Arial" w:cs="Arial"/>
          <w:i/>
          <w:szCs w:val="20"/>
        </w:rPr>
        <w:t>rs</w:t>
      </w:r>
      <w:r w:rsidRPr="00C050B2">
        <w:rPr>
          <w:rFonts w:eastAsia="Arial" w:cs="Arial"/>
          <w:i/>
          <w:spacing w:val="1"/>
          <w:szCs w:val="20"/>
        </w:rPr>
        <w:t>o</w:t>
      </w:r>
      <w:r w:rsidRPr="00C050B2">
        <w:rPr>
          <w:rFonts w:eastAsia="Arial" w:cs="Arial"/>
          <w:i/>
          <w:spacing w:val="-3"/>
          <w:szCs w:val="20"/>
        </w:rPr>
        <w:t>n</w:t>
      </w:r>
      <w:r w:rsidRPr="00C050B2">
        <w:rPr>
          <w:rFonts w:eastAsia="Arial" w:cs="Arial"/>
          <w:i/>
          <w:spacing w:val="1"/>
          <w:szCs w:val="20"/>
        </w:rPr>
        <w:t>a</w:t>
      </w:r>
      <w:r w:rsidRPr="00C050B2">
        <w:rPr>
          <w:rFonts w:eastAsia="Arial" w:cs="Arial"/>
          <w:i/>
          <w:szCs w:val="20"/>
        </w:rPr>
        <w:t xml:space="preserve">l </w:t>
      </w:r>
      <w:r w:rsidRPr="00C050B2">
        <w:rPr>
          <w:rFonts w:eastAsia="Arial" w:cs="Arial"/>
          <w:i/>
          <w:spacing w:val="1"/>
          <w:szCs w:val="20"/>
        </w:rPr>
        <w:t>D</w:t>
      </w:r>
      <w:r w:rsidRPr="00C050B2">
        <w:rPr>
          <w:rFonts w:eastAsia="Arial" w:cs="Arial"/>
          <w:i/>
          <w:spacing w:val="-3"/>
          <w:szCs w:val="20"/>
        </w:rPr>
        <w:t>a</w:t>
      </w:r>
      <w:r w:rsidRPr="00C050B2">
        <w:rPr>
          <w:rFonts w:eastAsia="Arial" w:cs="Arial"/>
          <w:i/>
          <w:spacing w:val="-2"/>
          <w:szCs w:val="20"/>
        </w:rPr>
        <w:t>t</w:t>
      </w:r>
      <w:r w:rsidRPr="00C050B2">
        <w:rPr>
          <w:rFonts w:eastAsia="Arial" w:cs="Arial"/>
          <w:i/>
          <w:szCs w:val="20"/>
        </w:rPr>
        <w:t xml:space="preserve">a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S</w:t>
      </w:r>
      <w:r w:rsidRPr="00C050B2">
        <w:rPr>
          <w:rFonts w:eastAsia="Arial" w:cs="Arial"/>
          <w:i/>
          <w:spacing w:val="1"/>
          <w:szCs w:val="20"/>
        </w:rPr>
        <w:t>upplie</w:t>
      </w:r>
      <w:r w:rsidRPr="00C050B2">
        <w:rPr>
          <w:rFonts w:eastAsia="Arial" w:cs="Arial"/>
          <w:i/>
          <w:szCs w:val="20"/>
        </w:rPr>
        <w:t>r</w:t>
      </w:r>
      <w:r w:rsidRPr="00C050B2">
        <w:rPr>
          <w:rFonts w:eastAsia="Arial" w:cs="Arial"/>
          <w:i/>
          <w:spacing w:val="-1"/>
          <w:szCs w:val="20"/>
        </w:rPr>
        <w:t xml:space="preserve"> </w:t>
      </w:r>
      <w:r w:rsidRPr="00C050B2">
        <w:rPr>
          <w:rFonts w:eastAsia="Arial" w:cs="Arial"/>
          <w:i/>
          <w:spacing w:val="-3"/>
          <w:szCs w:val="20"/>
        </w:rPr>
        <w:t>a</w:t>
      </w:r>
      <w:r w:rsidRPr="00C050B2">
        <w:rPr>
          <w:rFonts w:eastAsia="Arial" w:cs="Arial"/>
          <w:i/>
          <w:spacing w:val="1"/>
          <w:szCs w:val="20"/>
        </w:rPr>
        <w:t>nd</w:t>
      </w:r>
      <w:r w:rsidRPr="00C050B2">
        <w:rPr>
          <w:rFonts w:eastAsia="Arial" w:cs="Arial"/>
          <w:i/>
          <w:spacing w:val="-2"/>
          <w:szCs w:val="20"/>
        </w:rPr>
        <w:t>/</w:t>
      </w:r>
      <w:r w:rsidRPr="00C050B2">
        <w:rPr>
          <w:rFonts w:eastAsia="Arial" w:cs="Arial"/>
          <w:i/>
          <w:spacing w:val="1"/>
          <w:szCs w:val="20"/>
        </w:rPr>
        <w:t>o</w:t>
      </w:r>
      <w:r w:rsidRPr="00C050B2">
        <w:rPr>
          <w:rFonts w:eastAsia="Arial" w:cs="Arial"/>
          <w:i/>
          <w:szCs w:val="20"/>
        </w:rPr>
        <w:t>r</w:t>
      </w:r>
      <w:r w:rsidRPr="00C050B2">
        <w:rPr>
          <w:rFonts w:eastAsia="Arial" w:cs="Arial"/>
          <w:i/>
          <w:spacing w:val="-1"/>
          <w:szCs w:val="20"/>
        </w:rPr>
        <w:t xml:space="preserve"> </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s</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u</w:t>
      </w:r>
      <w:r w:rsidRPr="00C050B2">
        <w:rPr>
          <w:rFonts w:eastAsia="Arial" w:cs="Arial"/>
          <w:i/>
          <w:spacing w:val="10"/>
          <w:szCs w:val="20"/>
        </w:rPr>
        <w:t>b</w:t>
      </w:r>
      <w:r w:rsidRPr="00C050B2">
        <w:rPr>
          <w:rFonts w:eastAsia="Arial" w:cs="Arial"/>
          <w:i/>
          <w:szCs w:val="20"/>
        </w:rPr>
        <w:t>-</w:t>
      </w:r>
    </w:p>
    <w:p w14:paraId="21DF7726" w14:textId="77777777" w:rsidR="00C1793C" w:rsidRPr="00C050B2" w:rsidRDefault="00C1793C" w:rsidP="00C1793C">
      <w:pPr>
        <w:spacing w:before="3" w:line="260" w:lineRule="exact"/>
        <w:ind w:left="861" w:right="210"/>
        <w:rPr>
          <w:rFonts w:eastAsia="Arial" w:cs="Arial"/>
          <w:szCs w:val="20"/>
        </w:rPr>
      </w:pPr>
      <w:r w:rsidRPr="00C050B2">
        <w:rPr>
          <w:rFonts w:eastAsia="Arial" w:cs="Arial"/>
          <w:i/>
          <w:szCs w:val="20"/>
        </w:rPr>
        <w:t>c</w:t>
      </w:r>
      <w:r w:rsidRPr="00C050B2">
        <w:rPr>
          <w:rFonts w:eastAsia="Arial" w:cs="Arial"/>
          <w:i/>
          <w:spacing w:val="1"/>
          <w:szCs w:val="20"/>
        </w:rPr>
        <w:t>on</w:t>
      </w:r>
      <w:r w:rsidRPr="00C050B2">
        <w:rPr>
          <w:rFonts w:eastAsia="Arial" w:cs="Arial"/>
          <w:i/>
          <w:spacing w:val="-2"/>
          <w:szCs w:val="20"/>
        </w:rPr>
        <w:t>t</w:t>
      </w:r>
      <w:r w:rsidRPr="00C050B2">
        <w:rPr>
          <w:rFonts w:eastAsia="Arial" w:cs="Arial"/>
          <w:i/>
          <w:szCs w:val="20"/>
        </w:rPr>
        <w:t>r</w:t>
      </w:r>
      <w:r w:rsidRPr="00C050B2">
        <w:rPr>
          <w:rFonts w:eastAsia="Arial" w:cs="Arial"/>
          <w:i/>
          <w:spacing w:val="1"/>
          <w:szCs w:val="20"/>
        </w:rPr>
        <w:t>a</w:t>
      </w:r>
      <w:r w:rsidRPr="00C050B2">
        <w:rPr>
          <w:rFonts w:eastAsia="Arial" w:cs="Arial"/>
          <w:i/>
          <w:szCs w:val="20"/>
        </w:rPr>
        <w:t>c</w:t>
      </w:r>
      <w:r w:rsidRPr="00C050B2">
        <w:rPr>
          <w:rFonts w:eastAsia="Arial" w:cs="Arial"/>
          <w:i/>
          <w:spacing w:val="-2"/>
          <w:szCs w:val="20"/>
        </w:rPr>
        <w:t>t</w:t>
      </w:r>
      <w:r w:rsidRPr="00C050B2">
        <w:rPr>
          <w:rFonts w:eastAsia="Arial" w:cs="Arial"/>
          <w:i/>
          <w:spacing w:val="1"/>
          <w:szCs w:val="20"/>
        </w:rPr>
        <w:t>o</w:t>
      </w:r>
      <w:r w:rsidRPr="00C050B2">
        <w:rPr>
          <w:rFonts w:eastAsia="Arial" w:cs="Arial"/>
          <w:i/>
          <w:szCs w:val="20"/>
        </w:rPr>
        <w:t>rs</w:t>
      </w:r>
      <w:r w:rsidRPr="00C050B2">
        <w:rPr>
          <w:rFonts w:eastAsia="Arial" w:cs="Arial"/>
          <w:i/>
          <w:spacing w:val="-1"/>
          <w:szCs w:val="20"/>
        </w:rPr>
        <w:t xml:space="preserve"> </w:t>
      </w:r>
      <w:r w:rsidRPr="00C050B2">
        <w:rPr>
          <w:rFonts w:eastAsia="Arial" w:cs="Arial"/>
          <w:i/>
          <w:spacing w:val="1"/>
          <w:szCs w:val="20"/>
        </w:rPr>
        <w:t>a</w:t>
      </w:r>
      <w:r w:rsidRPr="00C050B2">
        <w:rPr>
          <w:rFonts w:eastAsia="Arial" w:cs="Arial"/>
          <w:i/>
          <w:szCs w:val="20"/>
        </w:rPr>
        <w:t>re Pr</w:t>
      </w:r>
      <w:r w:rsidRPr="00C050B2">
        <w:rPr>
          <w:rFonts w:eastAsia="Arial" w:cs="Arial"/>
          <w:i/>
          <w:spacing w:val="1"/>
          <w:szCs w:val="20"/>
        </w:rPr>
        <w:t>o</w:t>
      </w:r>
      <w:r w:rsidRPr="00C050B2">
        <w:rPr>
          <w:rFonts w:eastAsia="Arial" w:cs="Arial"/>
          <w:i/>
          <w:szCs w:val="20"/>
        </w:rPr>
        <w:t>c</w:t>
      </w:r>
      <w:r w:rsidRPr="00C050B2">
        <w:rPr>
          <w:rFonts w:eastAsia="Arial" w:cs="Arial"/>
          <w:i/>
          <w:spacing w:val="1"/>
          <w:szCs w:val="20"/>
        </w:rPr>
        <w:t>e</w:t>
      </w:r>
      <w:r w:rsidRPr="00C050B2">
        <w:rPr>
          <w:rFonts w:eastAsia="Arial" w:cs="Arial"/>
          <w:i/>
          <w:szCs w:val="20"/>
        </w:rPr>
        <w:t>ss</w:t>
      </w:r>
      <w:r w:rsidRPr="00C050B2">
        <w:rPr>
          <w:rFonts w:eastAsia="Arial" w:cs="Arial"/>
          <w:i/>
          <w:spacing w:val="-3"/>
          <w:szCs w:val="20"/>
        </w:rPr>
        <w:t>i</w:t>
      </w:r>
      <w:r w:rsidRPr="00C050B2">
        <w:rPr>
          <w:rFonts w:eastAsia="Arial" w:cs="Arial"/>
          <w:i/>
          <w:spacing w:val="1"/>
          <w:szCs w:val="20"/>
        </w:rPr>
        <w:t>n</w:t>
      </w:r>
      <w:r w:rsidRPr="00C050B2">
        <w:rPr>
          <w:rFonts w:eastAsia="Arial" w:cs="Arial"/>
          <w:i/>
          <w:szCs w:val="20"/>
        </w:rPr>
        <w:t xml:space="preserve">g </w:t>
      </w:r>
      <w:r w:rsidRPr="00C050B2">
        <w:rPr>
          <w:rFonts w:eastAsia="Arial" w:cs="Arial"/>
          <w:i/>
          <w:spacing w:val="1"/>
          <w:szCs w:val="20"/>
        </w:rPr>
        <w:t>o</w:t>
      </w:r>
      <w:r w:rsidRPr="00C050B2">
        <w:rPr>
          <w:rFonts w:eastAsia="Arial" w:cs="Arial"/>
          <w:i/>
          <w:szCs w:val="20"/>
        </w:rPr>
        <w:t xml:space="preserve">n </w:t>
      </w:r>
      <w:r w:rsidRPr="00C050B2">
        <w:rPr>
          <w:rFonts w:eastAsia="Arial" w:cs="Arial"/>
          <w:i/>
          <w:spacing w:val="-3"/>
          <w:szCs w:val="20"/>
        </w:rPr>
        <w:t>b</w:t>
      </w:r>
      <w:r w:rsidRPr="00C050B2">
        <w:rPr>
          <w:rFonts w:eastAsia="Arial" w:cs="Arial"/>
          <w:i/>
          <w:spacing w:val="1"/>
          <w:szCs w:val="20"/>
        </w:rPr>
        <w:t>eh</w:t>
      </w:r>
      <w:r w:rsidRPr="00C050B2">
        <w:rPr>
          <w:rFonts w:eastAsia="Arial" w:cs="Arial"/>
          <w:i/>
          <w:spacing w:val="-3"/>
          <w:szCs w:val="20"/>
        </w:rPr>
        <w:t>a</w:t>
      </w:r>
      <w:r w:rsidRPr="00C050B2">
        <w:rPr>
          <w:rFonts w:eastAsia="Arial" w:cs="Arial"/>
          <w:i/>
          <w:spacing w:val="1"/>
          <w:szCs w:val="20"/>
        </w:rPr>
        <w:t>l</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A</w:t>
      </w:r>
      <w:r w:rsidRPr="00C050B2">
        <w:rPr>
          <w:rFonts w:eastAsia="Arial" w:cs="Arial"/>
          <w:i/>
          <w:spacing w:val="1"/>
          <w:szCs w:val="20"/>
        </w:rPr>
        <w:t>u</w:t>
      </w:r>
      <w:r w:rsidRPr="00C050B2">
        <w:rPr>
          <w:rFonts w:eastAsia="Arial" w:cs="Arial"/>
          <w:i/>
          <w:spacing w:val="3"/>
          <w:szCs w:val="20"/>
        </w:rPr>
        <w:t>t</w:t>
      </w:r>
      <w:r w:rsidRPr="00C050B2">
        <w:rPr>
          <w:rFonts w:eastAsia="Arial" w:cs="Arial"/>
          <w:i/>
          <w:spacing w:val="1"/>
          <w:szCs w:val="20"/>
        </w:rPr>
        <w:t>ho</w:t>
      </w:r>
      <w:r w:rsidRPr="00C050B2">
        <w:rPr>
          <w:rFonts w:eastAsia="Arial" w:cs="Arial"/>
          <w:i/>
          <w:szCs w:val="20"/>
        </w:rPr>
        <w:t>r</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y;</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w:t>
      </w:r>
      <w:r w:rsidRPr="00C050B2">
        <w:rPr>
          <w:rFonts w:eastAsia="Arial" w:cs="Arial"/>
          <w:i/>
          <w:spacing w:val="5"/>
          <w:szCs w:val="20"/>
        </w:rPr>
        <w:t xml:space="preserve"> </w:t>
      </w:r>
      <w:r w:rsidRPr="00C050B2">
        <w:rPr>
          <w:rFonts w:eastAsia="Arial" w:cs="Arial"/>
          <w:i/>
          <w:spacing w:val="1"/>
          <w:szCs w:val="20"/>
        </w:rPr>
        <w:t>na</w:t>
      </w:r>
      <w:r w:rsidRPr="00C050B2">
        <w:rPr>
          <w:rFonts w:eastAsia="Arial" w:cs="Arial"/>
          <w:i/>
          <w:spacing w:val="-2"/>
          <w:szCs w:val="20"/>
        </w:rPr>
        <w:t>t</w:t>
      </w:r>
      <w:r w:rsidRPr="00C050B2">
        <w:rPr>
          <w:rFonts w:eastAsia="Arial" w:cs="Arial"/>
          <w:i/>
          <w:spacing w:val="1"/>
          <w:szCs w:val="20"/>
        </w:rPr>
        <w:t>u</w:t>
      </w:r>
      <w:r w:rsidRPr="00C050B2">
        <w:rPr>
          <w:rFonts w:eastAsia="Arial" w:cs="Arial"/>
          <w:i/>
          <w:szCs w:val="20"/>
        </w:rPr>
        <w:t xml:space="preserve">re </w:t>
      </w:r>
      <w:r w:rsidRPr="00C050B2">
        <w:rPr>
          <w:rFonts w:eastAsia="Arial" w:cs="Arial"/>
          <w:i/>
          <w:spacing w:val="1"/>
          <w:szCs w:val="20"/>
        </w:rPr>
        <w:t>an</w:t>
      </w:r>
      <w:r w:rsidRPr="00C050B2">
        <w:rPr>
          <w:rFonts w:eastAsia="Arial" w:cs="Arial"/>
          <w:i/>
          <w:szCs w:val="20"/>
        </w:rPr>
        <w:t xml:space="preserve">d </w:t>
      </w:r>
      <w:r w:rsidRPr="00C050B2">
        <w:rPr>
          <w:rFonts w:eastAsia="Arial" w:cs="Arial"/>
          <w:i/>
          <w:spacing w:val="-3"/>
          <w:szCs w:val="20"/>
        </w:rPr>
        <w:t>p</w:t>
      </w:r>
      <w:r w:rsidRPr="00C050B2">
        <w:rPr>
          <w:rFonts w:eastAsia="Arial" w:cs="Arial"/>
          <w:i/>
          <w:spacing w:val="1"/>
          <w:szCs w:val="20"/>
        </w:rPr>
        <w:t>u</w:t>
      </w:r>
      <w:r w:rsidRPr="00C050B2">
        <w:rPr>
          <w:rFonts w:eastAsia="Arial" w:cs="Arial"/>
          <w:i/>
          <w:szCs w:val="20"/>
        </w:rPr>
        <w:t>r</w:t>
      </w:r>
      <w:r w:rsidRPr="00C050B2">
        <w:rPr>
          <w:rFonts w:eastAsia="Arial" w:cs="Arial"/>
          <w:i/>
          <w:spacing w:val="1"/>
          <w:szCs w:val="20"/>
        </w:rPr>
        <w:t>po</w:t>
      </w:r>
      <w:r w:rsidRPr="00C050B2">
        <w:rPr>
          <w:rFonts w:eastAsia="Arial" w:cs="Arial"/>
          <w:i/>
          <w:spacing w:val="-5"/>
          <w:szCs w:val="20"/>
        </w:rPr>
        <w:t>s</w:t>
      </w:r>
      <w:r w:rsidRPr="00C050B2">
        <w:rPr>
          <w:rFonts w:eastAsia="Arial" w:cs="Arial"/>
          <w:i/>
          <w:szCs w:val="20"/>
        </w:rPr>
        <w:t xml:space="preserve">e </w:t>
      </w:r>
      <w:r w:rsidRPr="00C050B2">
        <w:rPr>
          <w:rFonts w:eastAsia="Arial" w:cs="Arial"/>
          <w:i/>
          <w:spacing w:val="1"/>
          <w:szCs w:val="20"/>
        </w:rPr>
        <w:t>o</w:t>
      </w:r>
      <w:r w:rsidRPr="00C050B2">
        <w:rPr>
          <w:rFonts w:eastAsia="Arial" w:cs="Arial"/>
          <w:i/>
          <w:szCs w:val="20"/>
        </w:rPr>
        <w:t>f</w:t>
      </w:r>
      <w:r w:rsidRPr="00C050B2">
        <w:rPr>
          <w:rFonts w:eastAsia="Arial" w:cs="Arial"/>
          <w:i/>
          <w:spacing w:val="-3"/>
          <w:szCs w:val="20"/>
        </w:rPr>
        <w:t xml:space="preserve"> </w:t>
      </w:r>
      <w:r w:rsidRPr="00C050B2">
        <w:rPr>
          <w:rFonts w:eastAsia="Arial" w:cs="Arial"/>
          <w:i/>
          <w:szCs w:val="20"/>
        </w:rPr>
        <w:t>s</w:t>
      </w:r>
      <w:r w:rsidRPr="00C050B2">
        <w:rPr>
          <w:rFonts w:eastAsia="Arial" w:cs="Arial"/>
          <w:i/>
          <w:spacing w:val="1"/>
          <w:szCs w:val="20"/>
        </w:rPr>
        <w:t>u</w:t>
      </w:r>
      <w:r w:rsidRPr="00C050B2">
        <w:rPr>
          <w:rFonts w:eastAsia="Arial" w:cs="Arial"/>
          <w:i/>
          <w:szCs w:val="20"/>
        </w:rPr>
        <w:t>ch Pr</w:t>
      </w:r>
      <w:r w:rsidRPr="00C050B2">
        <w:rPr>
          <w:rFonts w:eastAsia="Arial" w:cs="Arial"/>
          <w:i/>
          <w:spacing w:val="1"/>
          <w:szCs w:val="20"/>
        </w:rPr>
        <w:t>o</w:t>
      </w:r>
      <w:r w:rsidRPr="00C050B2">
        <w:rPr>
          <w:rFonts w:eastAsia="Arial" w:cs="Arial"/>
          <w:i/>
          <w:szCs w:val="20"/>
        </w:rPr>
        <w:t>c</w:t>
      </w:r>
      <w:r w:rsidRPr="00C050B2">
        <w:rPr>
          <w:rFonts w:eastAsia="Arial" w:cs="Arial"/>
          <w:i/>
          <w:spacing w:val="1"/>
          <w:szCs w:val="20"/>
        </w:rPr>
        <w:t>e</w:t>
      </w:r>
      <w:r w:rsidRPr="00C050B2">
        <w:rPr>
          <w:rFonts w:eastAsia="Arial" w:cs="Arial"/>
          <w:i/>
          <w:szCs w:val="20"/>
        </w:rPr>
        <w:t>ss</w:t>
      </w:r>
      <w:r w:rsidRPr="00C050B2">
        <w:rPr>
          <w:rFonts w:eastAsia="Arial" w:cs="Arial"/>
          <w:i/>
          <w:spacing w:val="1"/>
          <w:szCs w:val="20"/>
        </w:rPr>
        <w:t>ing</w:t>
      </w:r>
      <w:r w:rsidRPr="00C050B2">
        <w:rPr>
          <w:rFonts w:eastAsia="Arial" w:cs="Arial"/>
          <w:i/>
          <w:szCs w:val="20"/>
        </w:rPr>
        <w:t>;</w:t>
      </w:r>
      <w:r w:rsidRPr="00C050B2">
        <w:rPr>
          <w:rFonts w:eastAsia="Arial" w:cs="Arial"/>
          <w:i/>
          <w:spacing w:val="-3"/>
          <w:szCs w:val="20"/>
        </w:rPr>
        <w:t xml:space="preserve"> </w:t>
      </w:r>
      <w:r w:rsidRPr="00C050B2">
        <w:rPr>
          <w:rFonts w:eastAsia="Arial" w:cs="Arial"/>
          <w:i/>
          <w:szCs w:val="20"/>
        </w:rPr>
        <w:t>(</w:t>
      </w:r>
      <w:r w:rsidRPr="00C050B2">
        <w:rPr>
          <w:rFonts w:eastAsia="Arial" w:cs="Arial"/>
          <w:i/>
          <w:spacing w:val="1"/>
          <w:szCs w:val="20"/>
        </w:rPr>
        <w:t>i</w:t>
      </w:r>
      <w:r w:rsidRPr="00C050B2">
        <w:rPr>
          <w:rFonts w:eastAsia="Arial" w:cs="Arial"/>
          <w:i/>
          <w:spacing w:val="-3"/>
          <w:szCs w:val="20"/>
        </w:rPr>
        <w:t>i</w:t>
      </w:r>
      <w:r w:rsidRPr="00C050B2">
        <w:rPr>
          <w:rFonts w:eastAsia="Arial" w:cs="Arial"/>
          <w:i/>
          <w:spacing w:val="1"/>
          <w:szCs w:val="20"/>
        </w:rPr>
        <w:t>i</w:t>
      </w:r>
      <w:r w:rsidRPr="00C050B2">
        <w:rPr>
          <w:rFonts w:eastAsia="Arial" w:cs="Arial"/>
          <w:i/>
          <w:szCs w:val="20"/>
        </w:rPr>
        <w:t>)</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 xml:space="preserve">e </w:t>
      </w:r>
      <w:r w:rsidRPr="00C050B2">
        <w:rPr>
          <w:rFonts w:eastAsia="Arial" w:cs="Arial"/>
          <w:i/>
          <w:spacing w:val="1"/>
          <w:szCs w:val="20"/>
        </w:rPr>
        <w:t>lo</w:t>
      </w:r>
      <w:r w:rsidRPr="00C050B2">
        <w:rPr>
          <w:rFonts w:eastAsia="Arial" w:cs="Arial"/>
          <w:i/>
          <w:szCs w:val="20"/>
        </w:rPr>
        <w:t>c</w:t>
      </w:r>
      <w:r w:rsidRPr="00C050B2">
        <w:rPr>
          <w:rFonts w:eastAsia="Arial" w:cs="Arial"/>
          <w:i/>
          <w:spacing w:val="1"/>
          <w:szCs w:val="20"/>
        </w:rPr>
        <w:t>a</w:t>
      </w:r>
      <w:r w:rsidRPr="00C050B2">
        <w:rPr>
          <w:rFonts w:eastAsia="Arial" w:cs="Arial"/>
          <w:i/>
          <w:spacing w:val="-2"/>
          <w:szCs w:val="20"/>
        </w:rPr>
        <w:t>t</w:t>
      </w:r>
      <w:r w:rsidRPr="00C050B2">
        <w:rPr>
          <w:rFonts w:eastAsia="Arial" w:cs="Arial"/>
          <w:i/>
          <w:spacing w:val="-3"/>
          <w:szCs w:val="20"/>
        </w:rPr>
        <w:t>i</w:t>
      </w:r>
      <w:r w:rsidRPr="00C050B2">
        <w:rPr>
          <w:rFonts w:eastAsia="Arial" w:cs="Arial"/>
          <w:i/>
          <w:spacing w:val="1"/>
          <w:szCs w:val="20"/>
        </w:rPr>
        <w:t>on</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1"/>
          <w:szCs w:val="20"/>
        </w:rPr>
        <w:t>a</w:t>
      </w:r>
      <w:r w:rsidRPr="00C050B2">
        <w:rPr>
          <w:rFonts w:eastAsia="Arial" w:cs="Arial"/>
          <w:i/>
          <w:szCs w:val="20"/>
        </w:rPr>
        <w:t>t</w:t>
      </w:r>
      <w:r w:rsidRPr="00C050B2">
        <w:rPr>
          <w:rFonts w:eastAsia="Arial" w:cs="Arial"/>
          <w:i/>
          <w:spacing w:val="-3"/>
          <w:szCs w:val="20"/>
        </w:rPr>
        <w:t xml:space="preserve"> </w:t>
      </w:r>
      <w:r w:rsidRPr="00C050B2">
        <w:rPr>
          <w:rFonts w:eastAsia="Arial" w:cs="Arial"/>
          <w:i/>
          <w:spacing w:val="1"/>
          <w:szCs w:val="20"/>
        </w:rPr>
        <w:t>whi</w:t>
      </w:r>
      <w:r w:rsidRPr="00C050B2">
        <w:rPr>
          <w:rFonts w:eastAsia="Arial" w:cs="Arial"/>
          <w:i/>
          <w:spacing w:val="-5"/>
          <w:szCs w:val="20"/>
        </w:rPr>
        <w:t>c</w:t>
      </w:r>
      <w:r w:rsidRPr="00C050B2">
        <w:rPr>
          <w:rFonts w:eastAsia="Arial" w:cs="Arial"/>
          <w:i/>
          <w:szCs w:val="20"/>
        </w:rPr>
        <w:t xml:space="preserve">h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S</w:t>
      </w:r>
      <w:r w:rsidRPr="00C050B2">
        <w:rPr>
          <w:rFonts w:eastAsia="Arial" w:cs="Arial"/>
          <w:i/>
          <w:spacing w:val="1"/>
          <w:szCs w:val="20"/>
        </w:rPr>
        <w:t>upp</w:t>
      </w:r>
      <w:r w:rsidRPr="00C050B2">
        <w:rPr>
          <w:rFonts w:eastAsia="Arial" w:cs="Arial"/>
          <w:i/>
          <w:spacing w:val="-3"/>
          <w:szCs w:val="20"/>
        </w:rPr>
        <w:t>l</w:t>
      </w:r>
      <w:r w:rsidRPr="00C050B2">
        <w:rPr>
          <w:rFonts w:eastAsia="Arial" w:cs="Arial"/>
          <w:i/>
          <w:spacing w:val="1"/>
          <w:szCs w:val="20"/>
        </w:rPr>
        <w:t>ie</w:t>
      </w:r>
      <w:r w:rsidRPr="00C050B2">
        <w:rPr>
          <w:rFonts w:eastAsia="Arial" w:cs="Arial"/>
          <w:i/>
          <w:szCs w:val="20"/>
        </w:rPr>
        <w:t>r</w:t>
      </w:r>
      <w:r w:rsidRPr="00C050B2">
        <w:rPr>
          <w:rFonts w:eastAsia="Arial" w:cs="Arial"/>
          <w:i/>
          <w:spacing w:val="-1"/>
          <w:szCs w:val="20"/>
        </w:rPr>
        <w:t xml:space="preserve"> </w:t>
      </w:r>
      <w:r w:rsidRPr="00C050B2">
        <w:rPr>
          <w:rFonts w:eastAsia="Arial" w:cs="Arial"/>
          <w:i/>
          <w:spacing w:val="1"/>
          <w:szCs w:val="20"/>
        </w:rPr>
        <w:t>and</w:t>
      </w:r>
      <w:r w:rsidRPr="00C050B2">
        <w:rPr>
          <w:rFonts w:eastAsia="Arial" w:cs="Arial"/>
          <w:i/>
          <w:spacing w:val="-2"/>
          <w:szCs w:val="20"/>
        </w:rPr>
        <w:t>/</w:t>
      </w:r>
      <w:r w:rsidRPr="00C050B2">
        <w:rPr>
          <w:rFonts w:eastAsia="Arial" w:cs="Arial"/>
          <w:i/>
          <w:spacing w:val="1"/>
          <w:szCs w:val="20"/>
        </w:rPr>
        <w:t>o</w:t>
      </w:r>
      <w:r w:rsidRPr="00C050B2">
        <w:rPr>
          <w:rFonts w:eastAsia="Arial" w:cs="Arial"/>
          <w:i/>
          <w:szCs w:val="20"/>
        </w:rPr>
        <w:t>r</w:t>
      </w:r>
      <w:r w:rsidRPr="00C050B2">
        <w:rPr>
          <w:rFonts w:eastAsia="Arial" w:cs="Arial"/>
          <w:i/>
          <w:spacing w:val="-1"/>
          <w:szCs w:val="20"/>
        </w:rPr>
        <w:t xml:space="preserve"> </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s S</w:t>
      </w:r>
      <w:r w:rsidRPr="00C050B2">
        <w:rPr>
          <w:rFonts w:eastAsia="Arial" w:cs="Arial"/>
          <w:i/>
          <w:spacing w:val="1"/>
          <w:szCs w:val="20"/>
        </w:rPr>
        <w:t>ub</w:t>
      </w:r>
      <w:r w:rsidRPr="00C050B2">
        <w:rPr>
          <w:rFonts w:eastAsia="Arial" w:cs="Arial"/>
          <w:i/>
          <w:szCs w:val="20"/>
        </w:rPr>
        <w:t>c</w:t>
      </w:r>
      <w:r w:rsidRPr="00C050B2">
        <w:rPr>
          <w:rFonts w:eastAsia="Arial" w:cs="Arial"/>
          <w:i/>
          <w:spacing w:val="1"/>
          <w:szCs w:val="20"/>
        </w:rPr>
        <w:t>on</w:t>
      </w:r>
      <w:r w:rsidRPr="00C050B2">
        <w:rPr>
          <w:rFonts w:eastAsia="Arial" w:cs="Arial"/>
          <w:i/>
          <w:spacing w:val="-2"/>
          <w:szCs w:val="20"/>
        </w:rPr>
        <w:t>t</w:t>
      </w:r>
      <w:r w:rsidRPr="00C050B2">
        <w:rPr>
          <w:rFonts w:eastAsia="Arial" w:cs="Arial"/>
          <w:i/>
          <w:szCs w:val="20"/>
        </w:rPr>
        <w:t>r</w:t>
      </w:r>
      <w:r w:rsidRPr="00C050B2">
        <w:rPr>
          <w:rFonts w:eastAsia="Arial" w:cs="Arial"/>
          <w:i/>
          <w:spacing w:val="1"/>
          <w:szCs w:val="20"/>
        </w:rPr>
        <w:t>a</w:t>
      </w:r>
      <w:r w:rsidRPr="00C050B2">
        <w:rPr>
          <w:rFonts w:eastAsia="Arial" w:cs="Arial"/>
          <w:i/>
          <w:szCs w:val="20"/>
        </w:rPr>
        <w:t>c</w:t>
      </w:r>
      <w:r w:rsidRPr="00C050B2">
        <w:rPr>
          <w:rFonts w:eastAsia="Arial" w:cs="Arial"/>
          <w:i/>
          <w:spacing w:val="-2"/>
          <w:szCs w:val="20"/>
        </w:rPr>
        <w:t>t</w:t>
      </w:r>
      <w:r w:rsidRPr="00C050B2">
        <w:rPr>
          <w:rFonts w:eastAsia="Arial" w:cs="Arial"/>
          <w:i/>
          <w:spacing w:val="1"/>
          <w:szCs w:val="20"/>
        </w:rPr>
        <w:t>o</w:t>
      </w:r>
      <w:r w:rsidRPr="00C050B2">
        <w:rPr>
          <w:rFonts w:eastAsia="Arial" w:cs="Arial"/>
          <w:i/>
          <w:szCs w:val="20"/>
        </w:rPr>
        <w:t>rs</w:t>
      </w:r>
      <w:r w:rsidRPr="00C050B2">
        <w:rPr>
          <w:rFonts w:eastAsia="Arial" w:cs="Arial"/>
          <w:i/>
          <w:spacing w:val="-1"/>
          <w:szCs w:val="20"/>
        </w:rPr>
        <w:t xml:space="preserve"> </w:t>
      </w:r>
      <w:r w:rsidRPr="00C050B2">
        <w:rPr>
          <w:rFonts w:eastAsia="Arial" w:cs="Arial"/>
          <w:i/>
          <w:szCs w:val="20"/>
        </w:rPr>
        <w:t>Pr</w:t>
      </w:r>
      <w:r w:rsidRPr="00C050B2">
        <w:rPr>
          <w:rFonts w:eastAsia="Arial" w:cs="Arial"/>
          <w:i/>
          <w:spacing w:val="1"/>
          <w:szCs w:val="20"/>
        </w:rPr>
        <w:t>o</w:t>
      </w:r>
      <w:r w:rsidRPr="00C050B2">
        <w:rPr>
          <w:rFonts w:eastAsia="Arial" w:cs="Arial"/>
          <w:i/>
          <w:szCs w:val="20"/>
        </w:rPr>
        <w:t>c</w:t>
      </w:r>
      <w:r w:rsidRPr="00C050B2">
        <w:rPr>
          <w:rFonts w:eastAsia="Arial" w:cs="Arial"/>
          <w:i/>
          <w:spacing w:val="1"/>
          <w:szCs w:val="20"/>
        </w:rPr>
        <w:t>e</w:t>
      </w:r>
      <w:r w:rsidRPr="00C050B2">
        <w:rPr>
          <w:rFonts w:eastAsia="Arial" w:cs="Arial"/>
          <w:i/>
          <w:szCs w:val="20"/>
        </w:rPr>
        <w:t>ss</w:t>
      </w:r>
      <w:r w:rsidRPr="00C050B2">
        <w:rPr>
          <w:rFonts w:eastAsia="Arial" w:cs="Arial"/>
          <w:i/>
          <w:spacing w:val="-1"/>
          <w:szCs w:val="20"/>
        </w:rPr>
        <w:t xml:space="preserve"> </w:t>
      </w:r>
      <w:r w:rsidRPr="00C050B2">
        <w:rPr>
          <w:rFonts w:eastAsia="Arial" w:cs="Arial"/>
          <w:i/>
          <w:szCs w:val="20"/>
        </w:rPr>
        <w:t>A</w:t>
      </w:r>
      <w:r w:rsidRPr="00C050B2">
        <w:rPr>
          <w:rFonts w:eastAsia="Arial" w:cs="Arial"/>
          <w:i/>
          <w:spacing w:val="1"/>
          <w:szCs w:val="20"/>
        </w:rPr>
        <w:t>u</w:t>
      </w:r>
      <w:r w:rsidRPr="00C050B2">
        <w:rPr>
          <w:rFonts w:eastAsia="Arial" w:cs="Arial"/>
          <w:i/>
          <w:spacing w:val="-2"/>
          <w:szCs w:val="20"/>
        </w:rPr>
        <w:t>t</w:t>
      </w:r>
      <w:r w:rsidRPr="00C050B2">
        <w:rPr>
          <w:rFonts w:eastAsia="Arial" w:cs="Arial"/>
          <w:i/>
          <w:spacing w:val="-3"/>
          <w:szCs w:val="20"/>
        </w:rPr>
        <w:t>h</w:t>
      </w:r>
      <w:r w:rsidRPr="00C050B2">
        <w:rPr>
          <w:rFonts w:eastAsia="Arial" w:cs="Arial"/>
          <w:i/>
          <w:spacing w:val="1"/>
          <w:szCs w:val="20"/>
        </w:rPr>
        <w:t>o</w:t>
      </w:r>
      <w:r w:rsidRPr="00C050B2">
        <w:rPr>
          <w:rFonts w:eastAsia="Arial" w:cs="Arial"/>
          <w:i/>
          <w:szCs w:val="20"/>
        </w:rPr>
        <w:t>r</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y</w:t>
      </w:r>
      <w:r w:rsidRPr="00C050B2">
        <w:rPr>
          <w:rFonts w:eastAsia="Arial" w:cs="Arial"/>
          <w:i/>
          <w:spacing w:val="-1"/>
          <w:szCs w:val="20"/>
        </w:rPr>
        <w:t xml:space="preserve"> </w:t>
      </w:r>
      <w:r w:rsidRPr="00C050B2">
        <w:rPr>
          <w:rFonts w:eastAsia="Arial" w:cs="Arial"/>
          <w:i/>
          <w:spacing w:val="1"/>
          <w:szCs w:val="20"/>
        </w:rPr>
        <w:t>Da</w:t>
      </w:r>
      <w:r w:rsidRPr="00C050B2">
        <w:rPr>
          <w:rFonts w:eastAsia="Arial" w:cs="Arial"/>
          <w:i/>
          <w:spacing w:val="-2"/>
          <w:szCs w:val="20"/>
        </w:rPr>
        <w:t>t</w:t>
      </w:r>
      <w:r w:rsidRPr="00C050B2">
        <w:rPr>
          <w:rFonts w:eastAsia="Arial" w:cs="Arial"/>
          <w:i/>
          <w:spacing w:val="1"/>
          <w:szCs w:val="20"/>
        </w:rPr>
        <w:t>a</w:t>
      </w:r>
      <w:r w:rsidRPr="00C050B2">
        <w:rPr>
          <w:rFonts w:eastAsia="Arial" w:cs="Arial"/>
          <w:i/>
          <w:szCs w:val="20"/>
        </w:rPr>
        <w:t>;</w:t>
      </w:r>
      <w:r w:rsidRPr="00C050B2">
        <w:rPr>
          <w:rFonts w:eastAsia="Arial" w:cs="Arial"/>
          <w:i/>
          <w:spacing w:val="-3"/>
          <w:szCs w:val="20"/>
        </w:rPr>
        <w:t xml:space="preserve"> </w:t>
      </w:r>
      <w:proofErr w:type="gramStart"/>
      <w:r w:rsidRPr="00C050B2">
        <w:rPr>
          <w:rFonts w:eastAsia="Arial" w:cs="Arial"/>
          <w:i/>
          <w:spacing w:val="1"/>
          <w:szCs w:val="20"/>
        </w:rPr>
        <w:t>and</w:t>
      </w:r>
      <w:r w:rsidRPr="00C050B2">
        <w:rPr>
          <w:rFonts w:eastAsia="Arial" w:cs="Arial"/>
          <w:i/>
          <w:szCs w:val="20"/>
        </w:rPr>
        <w:t>,</w:t>
      </w:r>
      <w:proofErr w:type="gramEnd"/>
      <w:r w:rsidRPr="00C050B2">
        <w:rPr>
          <w:rFonts w:eastAsia="Arial" w:cs="Arial"/>
          <w:i/>
          <w:spacing w:val="-3"/>
          <w:szCs w:val="20"/>
        </w:rPr>
        <w:t xml:space="preserve"> </w:t>
      </w:r>
      <w:r w:rsidRPr="00C050B2">
        <w:rPr>
          <w:rFonts w:eastAsia="Arial" w:cs="Arial"/>
          <w:i/>
          <w:szCs w:val="20"/>
        </w:rPr>
        <w:t>(</w:t>
      </w:r>
      <w:r w:rsidRPr="00C050B2">
        <w:rPr>
          <w:rFonts w:eastAsia="Arial" w:cs="Arial"/>
          <w:i/>
          <w:spacing w:val="1"/>
          <w:szCs w:val="20"/>
        </w:rPr>
        <w:t>i</w:t>
      </w:r>
      <w:r w:rsidRPr="00C050B2">
        <w:rPr>
          <w:rFonts w:eastAsia="Arial" w:cs="Arial"/>
          <w:i/>
          <w:spacing w:val="-5"/>
          <w:szCs w:val="20"/>
        </w:rPr>
        <w:t>v</w:t>
      </w:r>
      <w:r w:rsidRPr="00C050B2">
        <w:rPr>
          <w:rFonts w:eastAsia="Arial" w:cs="Arial"/>
          <w:i/>
          <w:szCs w:val="20"/>
        </w:rPr>
        <w:t>)</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Pr</w:t>
      </w:r>
      <w:r w:rsidRPr="00C050B2">
        <w:rPr>
          <w:rFonts w:eastAsia="Arial" w:cs="Arial"/>
          <w:i/>
          <w:spacing w:val="1"/>
          <w:szCs w:val="20"/>
        </w:rPr>
        <w:t>o</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c</w:t>
      </w:r>
      <w:r w:rsidRPr="00C050B2">
        <w:rPr>
          <w:rFonts w:eastAsia="Arial" w:cs="Arial"/>
          <w:i/>
          <w:spacing w:val="-2"/>
          <w:szCs w:val="20"/>
        </w:rPr>
        <w:t>t</w:t>
      </w:r>
      <w:r w:rsidRPr="00C050B2">
        <w:rPr>
          <w:rFonts w:eastAsia="Arial" w:cs="Arial"/>
          <w:i/>
          <w:spacing w:val="1"/>
          <w:szCs w:val="20"/>
        </w:rPr>
        <w:t>i</w:t>
      </w:r>
      <w:r w:rsidRPr="00C050B2">
        <w:rPr>
          <w:rFonts w:eastAsia="Arial" w:cs="Arial"/>
          <w:i/>
          <w:szCs w:val="20"/>
        </w:rPr>
        <w:t>ve M</w:t>
      </w:r>
      <w:r w:rsidRPr="00C050B2">
        <w:rPr>
          <w:rFonts w:eastAsia="Arial" w:cs="Arial"/>
          <w:i/>
          <w:spacing w:val="1"/>
          <w:szCs w:val="20"/>
        </w:rPr>
        <w:t>ea</w:t>
      </w:r>
      <w:r w:rsidRPr="00C050B2">
        <w:rPr>
          <w:rFonts w:eastAsia="Arial" w:cs="Arial"/>
          <w:i/>
          <w:szCs w:val="20"/>
        </w:rPr>
        <w:t>s</w:t>
      </w:r>
      <w:r w:rsidRPr="00C050B2">
        <w:rPr>
          <w:rFonts w:eastAsia="Arial" w:cs="Arial"/>
          <w:i/>
          <w:spacing w:val="1"/>
          <w:szCs w:val="20"/>
        </w:rPr>
        <w:t>u</w:t>
      </w:r>
      <w:r w:rsidRPr="00C050B2">
        <w:rPr>
          <w:rFonts w:eastAsia="Arial" w:cs="Arial"/>
          <w:i/>
          <w:szCs w:val="20"/>
        </w:rPr>
        <w:t>r</w:t>
      </w:r>
      <w:r w:rsidRPr="00C050B2">
        <w:rPr>
          <w:rFonts w:eastAsia="Arial" w:cs="Arial"/>
          <w:i/>
          <w:spacing w:val="1"/>
          <w:szCs w:val="20"/>
        </w:rPr>
        <w:t>e</w:t>
      </w:r>
      <w:r w:rsidRPr="00C050B2">
        <w:rPr>
          <w:rFonts w:eastAsia="Arial" w:cs="Arial"/>
          <w:i/>
          <w:szCs w:val="20"/>
        </w:rPr>
        <w:t>s</w:t>
      </w:r>
      <w:r w:rsidRPr="00C050B2">
        <w:rPr>
          <w:rFonts w:eastAsia="Arial" w:cs="Arial"/>
          <w:i/>
          <w:spacing w:val="-1"/>
          <w:szCs w:val="20"/>
        </w:rPr>
        <w:t xml:space="preserve"> </w:t>
      </w:r>
      <w:r w:rsidRPr="00C050B2">
        <w:rPr>
          <w:rFonts w:eastAsia="Arial" w:cs="Arial"/>
          <w:i/>
          <w:spacing w:val="-2"/>
          <w:szCs w:val="20"/>
        </w:rPr>
        <w:t>t</w:t>
      </w:r>
      <w:r w:rsidRPr="00C050B2">
        <w:rPr>
          <w:rFonts w:eastAsia="Arial" w:cs="Arial"/>
          <w:i/>
          <w:spacing w:val="1"/>
          <w:szCs w:val="20"/>
        </w:rPr>
        <w:t>ha</w:t>
      </w:r>
      <w:r w:rsidRPr="00C050B2">
        <w:rPr>
          <w:rFonts w:eastAsia="Arial" w:cs="Arial"/>
          <w:i/>
          <w:szCs w:val="20"/>
        </w:rPr>
        <w:t>t</w:t>
      </w:r>
    </w:p>
    <w:p w14:paraId="14EABC15" w14:textId="77777777" w:rsidR="00C1793C" w:rsidRPr="00C050B2" w:rsidRDefault="00C1793C" w:rsidP="00C1793C">
      <w:pPr>
        <w:spacing w:before="4" w:line="260" w:lineRule="exact"/>
        <w:ind w:left="861" w:right="144"/>
        <w:rPr>
          <w:rFonts w:eastAsia="Arial" w:cs="Arial"/>
          <w:i/>
          <w:szCs w:val="20"/>
        </w:rPr>
      </w:pP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 S</w:t>
      </w:r>
      <w:r w:rsidRPr="00C050B2">
        <w:rPr>
          <w:rFonts w:eastAsia="Arial" w:cs="Arial"/>
          <w:i/>
          <w:spacing w:val="1"/>
          <w:szCs w:val="20"/>
        </w:rPr>
        <w:t>upp</w:t>
      </w:r>
      <w:r w:rsidRPr="00C050B2">
        <w:rPr>
          <w:rFonts w:eastAsia="Arial" w:cs="Arial"/>
          <w:i/>
          <w:spacing w:val="-3"/>
          <w:szCs w:val="20"/>
        </w:rPr>
        <w:t>l</w:t>
      </w:r>
      <w:r w:rsidRPr="00C050B2">
        <w:rPr>
          <w:rFonts w:eastAsia="Arial" w:cs="Arial"/>
          <w:i/>
          <w:spacing w:val="1"/>
          <w:szCs w:val="20"/>
        </w:rPr>
        <w:t>ie</w:t>
      </w:r>
      <w:r w:rsidRPr="00C050B2">
        <w:rPr>
          <w:rFonts w:eastAsia="Arial" w:cs="Arial"/>
          <w:i/>
          <w:szCs w:val="20"/>
        </w:rPr>
        <w:t>r</w:t>
      </w:r>
      <w:r w:rsidRPr="00C050B2">
        <w:rPr>
          <w:rFonts w:eastAsia="Arial" w:cs="Arial"/>
          <w:i/>
          <w:spacing w:val="-1"/>
          <w:szCs w:val="20"/>
        </w:rPr>
        <w:t xml:space="preserve"> </w:t>
      </w:r>
      <w:r w:rsidRPr="00C050B2">
        <w:rPr>
          <w:rFonts w:eastAsia="Arial" w:cs="Arial"/>
          <w:i/>
          <w:spacing w:val="1"/>
          <w:szCs w:val="20"/>
        </w:rPr>
        <w:t>and</w:t>
      </w:r>
      <w:r w:rsidRPr="00C050B2">
        <w:rPr>
          <w:rFonts w:eastAsia="Arial" w:cs="Arial"/>
          <w:i/>
          <w:szCs w:val="20"/>
        </w:rPr>
        <w:t>,</w:t>
      </w:r>
      <w:r w:rsidRPr="00C050B2">
        <w:rPr>
          <w:rFonts w:eastAsia="Arial" w:cs="Arial"/>
          <w:i/>
          <w:spacing w:val="-3"/>
          <w:szCs w:val="20"/>
        </w:rPr>
        <w:t xml:space="preserve"> </w:t>
      </w:r>
      <w:r w:rsidRPr="00C050B2">
        <w:rPr>
          <w:rFonts w:eastAsia="Arial" w:cs="Arial"/>
          <w:i/>
          <w:spacing w:val="1"/>
          <w:szCs w:val="20"/>
        </w:rPr>
        <w:t>w</w:t>
      </w:r>
      <w:r w:rsidRPr="00C050B2">
        <w:rPr>
          <w:rFonts w:eastAsia="Arial" w:cs="Arial"/>
          <w:i/>
          <w:spacing w:val="-3"/>
          <w:szCs w:val="20"/>
        </w:rPr>
        <w:t>h</w:t>
      </w:r>
      <w:r w:rsidRPr="00C050B2">
        <w:rPr>
          <w:rFonts w:eastAsia="Arial" w:cs="Arial"/>
          <w:i/>
          <w:spacing w:val="1"/>
          <w:szCs w:val="20"/>
        </w:rPr>
        <w:t>e</w:t>
      </w:r>
      <w:r w:rsidRPr="00C050B2">
        <w:rPr>
          <w:rFonts w:eastAsia="Arial" w:cs="Arial"/>
          <w:i/>
          <w:szCs w:val="20"/>
        </w:rPr>
        <w:t xml:space="preserve">re </w:t>
      </w:r>
      <w:r w:rsidRPr="00C050B2">
        <w:rPr>
          <w:rFonts w:eastAsia="Arial" w:cs="Arial"/>
          <w:i/>
          <w:spacing w:val="1"/>
          <w:szCs w:val="20"/>
        </w:rPr>
        <w:t>a</w:t>
      </w:r>
      <w:r w:rsidRPr="00C050B2">
        <w:rPr>
          <w:rFonts w:eastAsia="Arial" w:cs="Arial"/>
          <w:i/>
          <w:spacing w:val="-3"/>
          <w:szCs w:val="20"/>
        </w:rPr>
        <w:t>p</w:t>
      </w:r>
      <w:r w:rsidRPr="00C050B2">
        <w:rPr>
          <w:rFonts w:eastAsia="Arial" w:cs="Arial"/>
          <w:i/>
          <w:spacing w:val="1"/>
          <w:szCs w:val="20"/>
        </w:rPr>
        <w:t>pli</w:t>
      </w:r>
      <w:r w:rsidRPr="00C050B2">
        <w:rPr>
          <w:rFonts w:eastAsia="Arial" w:cs="Arial"/>
          <w:i/>
          <w:spacing w:val="-5"/>
          <w:szCs w:val="20"/>
        </w:rPr>
        <w:t>c</w:t>
      </w:r>
      <w:r w:rsidRPr="00C050B2">
        <w:rPr>
          <w:rFonts w:eastAsia="Arial" w:cs="Arial"/>
          <w:i/>
          <w:spacing w:val="1"/>
          <w:szCs w:val="20"/>
        </w:rPr>
        <w:t>able</w:t>
      </w:r>
      <w:r w:rsidRPr="00C050B2">
        <w:rPr>
          <w:rFonts w:eastAsia="Arial" w:cs="Arial"/>
          <w:i/>
          <w:szCs w:val="20"/>
        </w:rPr>
        <w:t>,</w:t>
      </w:r>
      <w:r w:rsidRPr="00C050B2">
        <w:rPr>
          <w:rFonts w:eastAsia="Arial" w:cs="Arial"/>
          <w:i/>
          <w:spacing w:val="-3"/>
          <w:szCs w:val="20"/>
        </w:rPr>
        <w:t xml:space="preserve"> </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s</w:t>
      </w:r>
      <w:r w:rsidRPr="00C050B2">
        <w:rPr>
          <w:rFonts w:eastAsia="Arial" w:cs="Arial"/>
          <w:i/>
          <w:spacing w:val="-1"/>
          <w:szCs w:val="20"/>
        </w:rPr>
        <w:t xml:space="preserve"> </w:t>
      </w:r>
      <w:r w:rsidRPr="00C050B2">
        <w:rPr>
          <w:rFonts w:eastAsia="Arial" w:cs="Arial"/>
          <w:i/>
          <w:szCs w:val="20"/>
        </w:rPr>
        <w:t>S</w:t>
      </w:r>
      <w:r w:rsidRPr="00C050B2">
        <w:rPr>
          <w:rFonts w:eastAsia="Arial" w:cs="Arial"/>
          <w:i/>
          <w:spacing w:val="1"/>
          <w:szCs w:val="20"/>
        </w:rPr>
        <w:t>ub</w:t>
      </w:r>
      <w:r w:rsidRPr="00C050B2">
        <w:rPr>
          <w:rFonts w:eastAsia="Arial" w:cs="Arial"/>
          <w:i/>
          <w:szCs w:val="20"/>
        </w:rPr>
        <w:t>c</w:t>
      </w:r>
      <w:r w:rsidRPr="00C050B2">
        <w:rPr>
          <w:rFonts w:eastAsia="Arial" w:cs="Arial"/>
          <w:i/>
          <w:spacing w:val="-3"/>
          <w:szCs w:val="20"/>
        </w:rPr>
        <w:t>o</w:t>
      </w:r>
      <w:r w:rsidRPr="00C050B2">
        <w:rPr>
          <w:rFonts w:eastAsia="Arial" w:cs="Arial"/>
          <w:i/>
          <w:spacing w:val="1"/>
          <w:szCs w:val="20"/>
        </w:rPr>
        <w:t>n</w:t>
      </w:r>
      <w:r w:rsidRPr="00C050B2">
        <w:rPr>
          <w:rFonts w:eastAsia="Arial" w:cs="Arial"/>
          <w:i/>
          <w:spacing w:val="-2"/>
          <w:szCs w:val="20"/>
        </w:rPr>
        <w:t>t</w:t>
      </w:r>
      <w:r w:rsidRPr="00C050B2">
        <w:rPr>
          <w:rFonts w:eastAsia="Arial" w:cs="Arial"/>
          <w:i/>
          <w:szCs w:val="20"/>
        </w:rPr>
        <w:t>r</w:t>
      </w:r>
      <w:r w:rsidRPr="00C050B2">
        <w:rPr>
          <w:rFonts w:eastAsia="Arial" w:cs="Arial"/>
          <w:i/>
          <w:spacing w:val="1"/>
          <w:szCs w:val="20"/>
        </w:rPr>
        <w:t>a</w:t>
      </w:r>
      <w:r w:rsidRPr="00C050B2">
        <w:rPr>
          <w:rFonts w:eastAsia="Arial" w:cs="Arial"/>
          <w:i/>
          <w:szCs w:val="20"/>
        </w:rPr>
        <w:t>c</w:t>
      </w:r>
      <w:r w:rsidRPr="00C050B2">
        <w:rPr>
          <w:rFonts w:eastAsia="Arial" w:cs="Arial"/>
          <w:i/>
          <w:spacing w:val="-2"/>
          <w:szCs w:val="20"/>
        </w:rPr>
        <w:t>t</w:t>
      </w:r>
      <w:r w:rsidRPr="00C050B2">
        <w:rPr>
          <w:rFonts w:eastAsia="Arial" w:cs="Arial"/>
          <w:i/>
          <w:spacing w:val="1"/>
          <w:szCs w:val="20"/>
        </w:rPr>
        <w:t>o</w:t>
      </w:r>
      <w:r w:rsidRPr="00C050B2">
        <w:rPr>
          <w:rFonts w:eastAsia="Arial" w:cs="Arial"/>
          <w:i/>
          <w:szCs w:val="20"/>
        </w:rPr>
        <w:t>rs</w:t>
      </w:r>
      <w:r w:rsidRPr="00C050B2">
        <w:rPr>
          <w:rFonts w:eastAsia="Arial" w:cs="Arial"/>
          <w:i/>
          <w:spacing w:val="-1"/>
          <w:szCs w:val="20"/>
        </w:rPr>
        <w:t xml:space="preserve"> </w:t>
      </w:r>
      <w:r w:rsidRPr="00C050B2">
        <w:rPr>
          <w:rFonts w:eastAsia="Arial" w:cs="Arial"/>
          <w:i/>
          <w:spacing w:val="1"/>
          <w:szCs w:val="20"/>
        </w:rPr>
        <w:t>ha</w:t>
      </w:r>
      <w:r w:rsidRPr="00C050B2">
        <w:rPr>
          <w:rFonts w:eastAsia="Arial" w:cs="Arial"/>
          <w:i/>
          <w:szCs w:val="20"/>
        </w:rPr>
        <w:t xml:space="preserve">ve </w:t>
      </w:r>
      <w:r w:rsidRPr="00C050B2">
        <w:rPr>
          <w:rFonts w:eastAsia="Arial" w:cs="Arial"/>
          <w:i/>
          <w:spacing w:val="1"/>
          <w:szCs w:val="20"/>
        </w:rPr>
        <w:t>i</w:t>
      </w:r>
      <w:r w:rsidRPr="00C050B2">
        <w:rPr>
          <w:rFonts w:eastAsia="Arial" w:cs="Arial"/>
          <w:i/>
          <w:szCs w:val="20"/>
        </w:rPr>
        <w:t>m</w:t>
      </w:r>
      <w:r w:rsidRPr="00C050B2">
        <w:rPr>
          <w:rFonts w:eastAsia="Arial" w:cs="Arial"/>
          <w:i/>
          <w:spacing w:val="-3"/>
          <w:szCs w:val="20"/>
        </w:rPr>
        <w:t>p</w:t>
      </w:r>
      <w:r w:rsidRPr="00C050B2">
        <w:rPr>
          <w:rFonts w:eastAsia="Arial" w:cs="Arial"/>
          <w:i/>
          <w:spacing w:val="1"/>
          <w:szCs w:val="20"/>
        </w:rPr>
        <w:t>le</w:t>
      </w:r>
      <w:r w:rsidRPr="00C050B2">
        <w:rPr>
          <w:rFonts w:eastAsia="Arial" w:cs="Arial"/>
          <w:i/>
          <w:szCs w:val="20"/>
        </w:rPr>
        <w:t>m</w:t>
      </w:r>
      <w:r w:rsidRPr="00C050B2">
        <w:rPr>
          <w:rFonts w:eastAsia="Arial" w:cs="Arial"/>
          <w:i/>
          <w:spacing w:val="1"/>
          <w:szCs w:val="20"/>
        </w:rPr>
        <w:t>en</w:t>
      </w:r>
      <w:r w:rsidRPr="00C050B2">
        <w:rPr>
          <w:rFonts w:eastAsia="Arial" w:cs="Arial"/>
          <w:i/>
          <w:spacing w:val="-2"/>
          <w:szCs w:val="20"/>
        </w:rPr>
        <w:t>t</w:t>
      </w:r>
      <w:r w:rsidRPr="00C050B2">
        <w:rPr>
          <w:rFonts w:eastAsia="Arial" w:cs="Arial"/>
          <w:i/>
          <w:spacing w:val="-3"/>
          <w:szCs w:val="20"/>
        </w:rPr>
        <w:t>e</w:t>
      </w:r>
      <w:r w:rsidRPr="00C050B2">
        <w:rPr>
          <w:rFonts w:eastAsia="Arial" w:cs="Arial"/>
          <w:i/>
          <w:szCs w:val="20"/>
        </w:rPr>
        <w:t xml:space="preserve">d </w:t>
      </w:r>
      <w:r w:rsidRPr="00C050B2">
        <w:rPr>
          <w:rFonts w:eastAsia="Arial" w:cs="Arial"/>
          <w:i/>
          <w:spacing w:val="-2"/>
          <w:szCs w:val="20"/>
        </w:rPr>
        <w:t>t</w:t>
      </w:r>
      <w:r w:rsidRPr="00C050B2">
        <w:rPr>
          <w:rFonts w:eastAsia="Arial" w:cs="Arial"/>
          <w:i/>
          <w:szCs w:val="20"/>
        </w:rPr>
        <w:t xml:space="preserve">o </w:t>
      </w:r>
      <w:r w:rsidRPr="00C050B2">
        <w:rPr>
          <w:rFonts w:eastAsia="Arial" w:cs="Arial"/>
          <w:i/>
          <w:spacing w:val="1"/>
          <w:szCs w:val="20"/>
        </w:rPr>
        <w:t>p</w:t>
      </w:r>
      <w:r w:rsidRPr="00C050B2">
        <w:rPr>
          <w:rFonts w:eastAsia="Arial" w:cs="Arial"/>
          <w:i/>
          <w:szCs w:val="20"/>
        </w:rPr>
        <w:t>r</w:t>
      </w:r>
      <w:r w:rsidRPr="00C050B2">
        <w:rPr>
          <w:rFonts w:eastAsia="Arial" w:cs="Arial"/>
          <w:i/>
          <w:spacing w:val="1"/>
          <w:szCs w:val="20"/>
        </w:rPr>
        <w:t>o</w:t>
      </w:r>
      <w:r w:rsidRPr="00C050B2">
        <w:rPr>
          <w:rFonts w:eastAsia="Arial" w:cs="Arial"/>
          <w:i/>
          <w:spacing w:val="-2"/>
          <w:szCs w:val="20"/>
        </w:rPr>
        <w:t>t</w:t>
      </w:r>
      <w:r w:rsidRPr="00C050B2">
        <w:rPr>
          <w:rFonts w:eastAsia="Arial" w:cs="Arial"/>
          <w:i/>
          <w:spacing w:val="1"/>
          <w:szCs w:val="20"/>
        </w:rPr>
        <w:t>e</w:t>
      </w:r>
      <w:r w:rsidRPr="00C050B2">
        <w:rPr>
          <w:rFonts w:eastAsia="Arial" w:cs="Arial"/>
          <w:i/>
          <w:szCs w:val="20"/>
        </w:rPr>
        <w:t>ct</w:t>
      </w:r>
      <w:r w:rsidRPr="00C050B2">
        <w:rPr>
          <w:rFonts w:eastAsia="Arial" w:cs="Arial"/>
          <w:i/>
          <w:spacing w:val="-3"/>
          <w:szCs w:val="20"/>
        </w:rPr>
        <w:t xml:space="preserve"> </w:t>
      </w:r>
      <w:r w:rsidRPr="00C050B2">
        <w:rPr>
          <w:rFonts w:eastAsia="Arial" w:cs="Arial"/>
          <w:i/>
          <w:spacing w:val="-2"/>
          <w:szCs w:val="20"/>
        </w:rPr>
        <w:t>t</w:t>
      </w:r>
      <w:r w:rsidRPr="00C050B2">
        <w:rPr>
          <w:rFonts w:eastAsia="Arial" w:cs="Arial"/>
          <w:i/>
          <w:spacing w:val="1"/>
          <w:szCs w:val="20"/>
        </w:rPr>
        <w:t>h</w:t>
      </w:r>
      <w:r w:rsidRPr="00C050B2">
        <w:rPr>
          <w:rFonts w:eastAsia="Arial" w:cs="Arial"/>
          <w:i/>
          <w:szCs w:val="20"/>
        </w:rPr>
        <w:t>e</w:t>
      </w:r>
      <w:r w:rsidRPr="00C050B2">
        <w:rPr>
          <w:rFonts w:eastAsia="Arial" w:cs="Arial"/>
          <w:i/>
          <w:spacing w:val="1"/>
          <w:szCs w:val="20"/>
        </w:rPr>
        <w:t xml:space="preserve"> </w:t>
      </w:r>
      <w:r w:rsidRPr="00C050B2">
        <w:rPr>
          <w:rFonts w:eastAsia="Arial" w:cs="Arial"/>
          <w:i/>
          <w:szCs w:val="20"/>
        </w:rPr>
        <w:t>A</w:t>
      </w:r>
      <w:r w:rsidRPr="00C050B2">
        <w:rPr>
          <w:rFonts w:eastAsia="Arial" w:cs="Arial"/>
          <w:i/>
          <w:spacing w:val="1"/>
          <w:szCs w:val="20"/>
        </w:rPr>
        <w:t>u</w:t>
      </w:r>
      <w:r w:rsidRPr="00C050B2">
        <w:rPr>
          <w:rFonts w:eastAsia="Arial" w:cs="Arial"/>
          <w:i/>
          <w:spacing w:val="-2"/>
          <w:szCs w:val="20"/>
        </w:rPr>
        <w:t>t</w:t>
      </w:r>
      <w:r w:rsidRPr="00C050B2">
        <w:rPr>
          <w:rFonts w:eastAsia="Arial" w:cs="Arial"/>
          <w:i/>
          <w:spacing w:val="1"/>
          <w:szCs w:val="20"/>
        </w:rPr>
        <w:t>ho</w:t>
      </w:r>
      <w:r w:rsidRPr="00C050B2">
        <w:rPr>
          <w:rFonts w:eastAsia="Arial" w:cs="Arial"/>
          <w:i/>
          <w:szCs w:val="20"/>
        </w:rPr>
        <w:t>r</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y</w:t>
      </w:r>
      <w:r w:rsidRPr="00C050B2">
        <w:rPr>
          <w:rFonts w:eastAsia="Arial" w:cs="Arial"/>
          <w:i/>
          <w:spacing w:val="-1"/>
          <w:szCs w:val="20"/>
        </w:rPr>
        <w:t xml:space="preserve"> </w:t>
      </w:r>
      <w:r w:rsidRPr="00C050B2">
        <w:rPr>
          <w:rFonts w:eastAsia="Arial" w:cs="Arial"/>
          <w:i/>
          <w:spacing w:val="1"/>
          <w:szCs w:val="20"/>
        </w:rPr>
        <w:t>Da</w:t>
      </w:r>
      <w:r w:rsidRPr="00C050B2">
        <w:rPr>
          <w:rFonts w:eastAsia="Arial" w:cs="Arial"/>
          <w:i/>
          <w:spacing w:val="-2"/>
          <w:szCs w:val="20"/>
        </w:rPr>
        <w:t>t</w:t>
      </w:r>
      <w:r w:rsidRPr="00C050B2">
        <w:rPr>
          <w:rFonts w:eastAsia="Arial" w:cs="Arial"/>
          <w:i/>
          <w:szCs w:val="20"/>
        </w:rPr>
        <w:t xml:space="preserve">a </w:t>
      </w:r>
      <w:r w:rsidRPr="00C050B2">
        <w:rPr>
          <w:rFonts w:eastAsia="Arial" w:cs="Arial"/>
          <w:i/>
          <w:spacing w:val="1"/>
          <w:szCs w:val="20"/>
        </w:rPr>
        <w:t>ag</w:t>
      </w:r>
      <w:r w:rsidRPr="00C050B2">
        <w:rPr>
          <w:rFonts w:eastAsia="Arial" w:cs="Arial"/>
          <w:i/>
          <w:spacing w:val="-3"/>
          <w:szCs w:val="20"/>
        </w:rPr>
        <w:t>a</w:t>
      </w:r>
      <w:r w:rsidRPr="00C050B2">
        <w:rPr>
          <w:rFonts w:eastAsia="Arial" w:cs="Arial"/>
          <w:i/>
          <w:spacing w:val="1"/>
          <w:szCs w:val="20"/>
        </w:rPr>
        <w:t>in</w:t>
      </w:r>
      <w:r w:rsidRPr="00C050B2">
        <w:rPr>
          <w:rFonts w:eastAsia="Arial" w:cs="Arial"/>
          <w:i/>
          <w:szCs w:val="20"/>
        </w:rPr>
        <w:t>st</w:t>
      </w:r>
      <w:r w:rsidRPr="00C050B2">
        <w:rPr>
          <w:rFonts w:eastAsia="Arial" w:cs="Arial"/>
          <w:i/>
          <w:spacing w:val="-3"/>
          <w:szCs w:val="20"/>
        </w:rPr>
        <w:t xml:space="preserve"> </w:t>
      </w:r>
      <w:r w:rsidRPr="00C050B2">
        <w:rPr>
          <w:rFonts w:eastAsia="Arial" w:cs="Arial"/>
          <w:i/>
          <w:szCs w:val="20"/>
        </w:rPr>
        <w:t>a S</w:t>
      </w:r>
      <w:r w:rsidRPr="00C050B2">
        <w:rPr>
          <w:rFonts w:eastAsia="Arial" w:cs="Arial"/>
          <w:i/>
          <w:spacing w:val="1"/>
          <w:szCs w:val="20"/>
        </w:rPr>
        <w:t>e</w:t>
      </w:r>
      <w:r w:rsidRPr="00C050B2">
        <w:rPr>
          <w:rFonts w:eastAsia="Arial" w:cs="Arial"/>
          <w:i/>
          <w:szCs w:val="20"/>
        </w:rPr>
        <w:t>c</w:t>
      </w:r>
      <w:r w:rsidRPr="00C050B2">
        <w:rPr>
          <w:rFonts w:eastAsia="Arial" w:cs="Arial"/>
          <w:i/>
          <w:spacing w:val="1"/>
          <w:szCs w:val="20"/>
        </w:rPr>
        <w:t>u</w:t>
      </w:r>
      <w:r w:rsidRPr="00C050B2">
        <w:rPr>
          <w:rFonts w:eastAsia="Arial" w:cs="Arial"/>
          <w:i/>
          <w:szCs w:val="20"/>
        </w:rPr>
        <w:t>r</w:t>
      </w:r>
      <w:r w:rsidRPr="00C050B2">
        <w:rPr>
          <w:rFonts w:eastAsia="Arial" w:cs="Arial"/>
          <w:i/>
          <w:spacing w:val="1"/>
          <w:szCs w:val="20"/>
        </w:rPr>
        <w:t>i</w:t>
      </w:r>
      <w:r w:rsidRPr="00C050B2">
        <w:rPr>
          <w:rFonts w:eastAsia="Arial" w:cs="Arial"/>
          <w:i/>
          <w:spacing w:val="-2"/>
          <w:szCs w:val="20"/>
        </w:rPr>
        <w:t>t</w:t>
      </w:r>
      <w:r w:rsidRPr="00C050B2">
        <w:rPr>
          <w:rFonts w:eastAsia="Arial" w:cs="Arial"/>
          <w:i/>
          <w:szCs w:val="20"/>
        </w:rPr>
        <w:t>y</w:t>
      </w:r>
      <w:r w:rsidRPr="00C050B2">
        <w:rPr>
          <w:rFonts w:eastAsia="Arial" w:cs="Arial"/>
          <w:i/>
          <w:spacing w:val="-1"/>
          <w:szCs w:val="20"/>
        </w:rPr>
        <w:t xml:space="preserve"> </w:t>
      </w:r>
      <w:r w:rsidRPr="00C050B2">
        <w:rPr>
          <w:rFonts w:eastAsia="Arial" w:cs="Arial"/>
          <w:i/>
          <w:szCs w:val="20"/>
        </w:rPr>
        <w:t>Br</w:t>
      </w:r>
      <w:r w:rsidRPr="00C050B2">
        <w:rPr>
          <w:rFonts w:eastAsia="Arial" w:cs="Arial"/>
          <w:i/>
          <w:spacing w:val="1"/>
          <w:szCs w:val="20"/>
        </w:rPr>
        <w:t>ea</w:t>
      </w:r>
      <w:r w:rsidRPr="00C050B2">
        <w:rPr>
          <w:rFonts w:eastAsia="Arial" w:cs="Arial"/>
          <w:i/>
          <w:szCs w:val="20"/>
        </w:rPr>
        <w:t xml:space="preserve">ch </w:t>
      </w:r>
      <w:r w:rsidRPr="00C050B2">
        <w:rPr>
          <w:rFonts w:eastAsia="Arial" w:cs="Arial"/>
          <w:i/>
          <w:spacing w:val="1"/>
          <w:szCs w:val="20"/>
        </w:rPr>
        <w:t>in</w:t>
      </w:r>
      <w:r w:rsidRPr="00C050B2">
        <w:rPr>
          <w:rFonts w:eastAsia="Arial" w:cs="Arial"/>
          <w:i/>
          <w:spacing w:val="-5"/>
          <w:szCs w:val="20"/>
        </w:rPr>
        <w:t>c</w:t>
      </w:r>
      <w:r w:rsidRPr="00C050B2">
        <w:rPr>
          <w:rFonts w:eastAsia="Arial" w:cs="Arial"/>
          <w:i/>
          <w:spacing w:val="1"/>
          <w:szCs w:val="20"/>
        </w:rPr>
        <w:t>lud</w:t>
      </w:r>
      <w:r w:rsidRPr="00C050B2">
        <w:rPr>
          <w:rFonts w:eastAsia="Arial" w:cs="Arial"/>
          <w:i/>
          <w:spacing w:val="-3"/>
          <w:szCs w:val="20"/>
        </w:rPr>
        <w:t>i</w:t>
      </w:r>
      <w:r w:rsidRPr="00C050B2">
        <w:rPr>
          <w:rFonts w:eastAsia="Arial" w:cs="Arial"/>
          <w:i/>
          <w:spacing w:val="1"/>
          <w:szCs w:val="20"/>
        </w:rPr>
        <w:t>n</w:t>
      </w:r>
      <w:r w:rsidRPr="00C050B2">
        <w:rPr>
          <w:rFonts w:eastAsia="Arial" w:cs="Arial"/>
          <w:i/>
          <w:szCs w:val="20"/>
        </w:rPr>
        <w:t>g a P</w:t>
      </w:r>
      <w:r w:rsidRPr="00C050B2">
        <w:rPr>
          <w:rFonts w:eastAsia="Arial" w:cs="Arial"/>
          <w:i/>
          <w:spacing w:val="1"/>
          <w:szCs w:val="20"/>
        </w:rPr>
        <w:t>e</w:t>
      </w:r>
      <w:r w:rsidRPr="00C050B2">
        <w:rPr>
          <w:rFonts w:eastAsia="Arial" w:cs="Arial"/>
          <w:i/>
          <w:szCs w:val="20"/>
        </w:rPr>
        <w:t>rs</w:t>
      </w:r>
      <w:r w:rsidRPr="00C050B2">
        <w:rPr>
          <w:rFonts w:eastAsia="Arial" w:cs="Arial"/>
          <w:i/>
          <w:spacing w:val="-3"/>
          <w:szCs w:val="20"/>
        </w:rPr>
        <w:t>o</w:t>
      </w:r>
      <w:r w:rsidRPr="00C050B2">
        <w:rPr>
          <w:rFonts w:eastAsia="Arial" w:cs="Arial"/>
          <w:i/>
          <w:spacing w:val="1"/>
          <w:szCs w:val="20"/>
        </w:rPr>
        <w:t>na</w:t>
      </w:r>
      <w:r w:rsidRPr="00C050B2">
        <w:rPr>
          <w:rFonts w:eastAsia="Arial" w:cs="Arial"/>
          <w:i/>
          <w:szCs w:val="20"/>
        </w:rPr>
        <w:t xml:space="preserve">l </w:t>
      </w:r>
      <w:r w:rsidRPr="00C050B2">
        <w:rPr>
          <w:rFonts w:eastAsia="Arial" w:cs="Arial"/>
          <w:i/>
          <w:spacing w:val="-3"/>
          <w:szCs w:val="20"/>
        </w:rPr>
        <w:t>D</w:t>
      </w:r>
      <w:r w:rsidRPr="00C050B2">
        <w:rPr>
          <w:rFonts w:eastAsia="Arial" w:cs="Arial"/>
          <w:i/>
          <w:spacing w:val="1"/>
          <w:szCs w:val="20"/>
        </w:rPr>
        <w:t>a</w:t>
      </w:r>
      <w:r w:rsidRPr="00C050B2">
        <w:rPr>
          <w:rFonts w:eastAsia="Arial" w:cs="Arial"/>
          <w:i/>
          <w:spacing w:val="-2"/>
          <w:szCs w:val="20"/>
        </w:rPr>
        <w:t>t</w:t>
      </w:r>
      <w:r w:rsidRPr="00C050B2">
        <w:rPr>
          <w:rFonts w:eastAsia="Arial" w:cs="Arial"/>
          <w:i/>
          <w:szCs w:val="20"/>
        </w:rPr>
        <w:t>a Br</w:t>
      </w:r>
      <w:r w:rsidRPr="00C050B2">
        <w:rPr>
          <w:rFonts w:eastAsia="Arial" w:cs="Arial"/>
          <w:i/>
          <w:spacing w:val="1"/>
          <w:szCs w:val="20"/>
        </w:rPr>
        <w:t>ea</w:t>
      </w:r>
      <w:r w:rsidRPr="00C050B2">
        <w:rPr>
          <w:rFonts w:eastAsia="Arial" w:cs="Arial"/>
          <w:i/>
          <w:szCs w:val="20"/>
        </w:rPr>
        <w:t>c</w:t>
      </w:r>
      <w:r w:rsidRPr="00C050B2">
        <w:rPr>
          <w:rFonts w:eastAsia="Arial" w:cs="Arial"/>
          <w:i/>
          <w:spacing w:val="1"/>
          <w:szCs w:val="20"/>
        </w:rPr>
        <w:t>h</w:t>
      </w:r>
      <w:r w:rsidRPr="00C050B2">
        <w:rPr>
          <w:rFonts w:eastAsia="Arial" w:cs="Arial"/>
          <w:i/>
          <w:spacing w:val="-2"/>
          <w:szCs w:val="20"/>
        </w:rPr>
        <w:t>.</w:t>
      </w:r>
      <w:r w:rsidRPr="00C050B2">
        <w:rPr>
          <w:rFonts w:eastAsia="Arial" w:cs="Arial"/>
          <w:i/>
          <w:szCs w:val="20"/>
        </w:rPr>
        <w:t>&gt;</w:t>
      </w:r>
    </w:p>
    <w:p w14:paraId="0C3E2BDA" w14:textId="77777777" w:rsidR="00C1793C" w:rsidRDefault="00C1793C" w:rsidP="00C1793C"/>
    <w:p w14:paraId="2101E34B" w14:textId="77777777" w:rsidR="00C3397C" w:rsidRDefault="00C3397C">
      <w:pPr>
        <w:rPr>
          <w:rFonts w:eastAsia="Arial" w:cs="Arial"/>
          <w:b/>
          <w:bCs/>
          <w:szCs w:val="20"/>
        </w:rPr>
      </w:pPr>
    </w:p>
    <w:p w14:paraId="2D05B073" w14:textId="4E4EF189" w:rsidR="00C3397C" w:rsidRDefault="00C3397C">
      <w:pPr>
        <w:rPr>
          <w:rFonts w:eastAsia="Arial" w:cs="Arial"/>
          <w:b/>
          <w:bCs/>
          <w:szCs w:val="20"/>
        </w:rPr>
      </w:pPr>
      <w:r>
        <w:rPr>
          <w:rFonts w:eastAsia="Arial" w:cs="Arial"/>
          <w:b/>
          <w:bCs/>
          <w:szCs w:val="20"/>
        </w:rPr>
        <w:br w:type="page"/>
      </w:r>
    </w:p>
    <w:p w14:paraId="0F9CED5F" w14:textId="1C981C5E" w:rsidR="004113D7" w:rsidRPr="000E5786" w:rsidRDefault="004113D7" w:rsidP="004113D7">
      <w:pPr>
        <w:pStyle w:val="Level1"/>
        <w:keepNext/>
        <w:numPr>
          <w:ilvl w:val="0"/>
          <w:numId w:val="0"/>
        </w:numPr>
        <w:spacing w:after="120" w:line="240" w:lineRule="auto"/>
        <w:ind w:left="851"/>
        <w:jc w:val="center"/>
        <w:rPr>
          <w:rFonts w:ascii="Arial" w:hAnsi="Arial" w:cs="Arial"/>
          <w:b/>
          <w:bCs/>
        </w:rPr>
      </w:pPr>
      <w:r w:rsidRPr="000E5786">
        <w:rPr>
          <w:rFonts w:ascii="Arial" w:hAnsi="Arial" w:cs="Arial"/>
          <w:b/>
          <w:bCs/>
        </w:rPr>
        <w:lastRenderedPageBreak/>
        <w:t>SCHEDULE 2.</w:t>
      </w:r>
      <w:r>
        <w:rPr>
          <w:rFonts w:ascii="Arial" w:hAnsi="Arial" w:cs="Arial"/>
          <w:b/>
          <w:bCs/>
        </w:rPr>
        <w:t>7</w:t>
      </w:r>
    </w:p>
    <w:p w14:paraId="124B0BD6" w14:textId="472B90E2" w:rsidR="004113D7" w:rsidRDefault="004113D7" w:rsidP="004113D7">
      <w:pPr>
        <w:pStyle w:val="Level1"/>
        <w:keepNext/>
        <w:numPr>
          <w:ilvl w:val="0"/>
          <w:numId w:val="0"/>
        </w:numPr>
        <w:spacing w:after="120" w:line="240" w:lineRule="auto"/>
        <w:ind w:left="851"/>
        <w:jc w:val="center"/>
        <w:rPr>
          <w:rFonts w:ascii="Arial" w:hAnsi="Arial" w:cs="Arial"/>
          <w:b/>
          <w:bCs/>
        </w:rPr>
      </w:pPr>
      <w:r>
        <w:rPr>
          <w:rFonts w:ascii="Arial" w:hAnsi="Arial" w:cs="Arial"/>
          <w:b/>
          <w:bCs/>
        </w:rPr>
        <w:t>INSURANCE REQUIREMENTS</w:t>
      </w:r>
    </w:p>
    <w:p w14:paraId="2967E3D3" w14:textId="5858C29A" w:rsidR="009C4051" w:rsidRPr="00F02F03" w:rsidRDefault="009C4051" w:rsidP="002529F3">
      <w:pPr>
        <w:spacing w:after="223"/>
        <w:ind w:left="800" w:right="797" w:hanging="10"/>
        <w:jc w:val="center"/>
        <w:rPr>
          <w:rFonts w:cs="Arial"/>
          <w:szCs w:val="20"/>
        </w:rPr>
      </w:pPr>
      <w:r w:rsidRPr="00F02F03">
        <w:rPr>
          <w:rFonts w:eastAsia="Verdana" w:cs="Arial"/>
          <w:szCs w:val="20"/>
        </w:rPr>
        <w:t xml:space="preserve"> </w:t>
      </w:r>
    </w:p>
    <w:p w14:paraId="119BEE98" w14:textId="77777777" w:rsidR="009C4051" w:rsidRPr="00F02F03" w:rsidRDefault="009C4051" w:rsidP="002529F3">
      <w:pPr>
        <w:pStyle w:val="Heading3"/>
        <w:numPr>
          <w:ilvl w:val="0"/>
          <w:numId w:val="0"/>
        </w:numPr>
      </w:pPr>
      <w:r w:rsidRPr="00F02F03">
        <w:t>1.</w:t>
      </w:r>
      <w:r w:rsidRPr="00F02F03">
        <w:rPr>
          <w:rFonts w:eastAsia="Arial"/>
        </w:rPr>
        <w:t xml:space="preserve"> </w:t>
      </w:r>
      <w:r w:rsidRPr="009C4051">
        <w:rPr>
          <w:rFonts w:eastAsia="Verdana"/>
        </w:rPr>
        <w:tab/>
      </w:r>
      <w:r w:rsidRPr="002529F3">
        <w:rPr>
          <w:rFonts w:eastAsia="Verdana"/>
          <w:b/>
          <w:bCs w:val="0"/>
        </w:rPr>
        <w:t>OBLIGATION TO MAINTAIN INSURANCES</w:t>
      </w:r>
      <w:r w:rsidRPr="002529F3">
        <w:rPr>
          <w:b/>
          <w:bCs w:val="0"/>
        </w:rPr>
        <w:t xml:space="preserve"> </w:t>
      </w:r>
    </w:p>
    <w:p w14:paraId="261D0800" w14:textId="239C03E7" w:rsidR="009C4051" w:rsidRPr="00F02F03" w:rsidRDefault="009C4051" w:rsidP="009402CF">
      <w:pPr>
        <w:spacing w:after="234" w:line="249" w:lineRule="auto"/>
        <w:ind w:left="853" w:right="47" w:hanging="852"/>
        <w:rPr>
          <w:rFonts w:cs="Arial"/>
          <w:szCs w:val="20"/>
        </w:rPr>
      </w:pPr>
      <w:r w:rsidRPr="00F02F03">
        <w:rPr>
          <w:rFonts w:eastAsia="Verdana" w:cs="Arial"/>
          <w:szCs w:val="20"/>
        </w:rPr>
        <w:t>1.1</w:t>
      </w:r>
      <w:r w:rsidRPr="00F02F03">
        <w:rPr>
          <w:rFonts w:eastAsia="Arial" w:cs="Arial"/>
          <w:szCs w:val="20"/>
        </w:rPr>
        <w:t xml:space="preserve"> </w:t>
      </w:r>
      <w:r w:rsidRPr="00F02F03">
        <w:rPr>
          <w:rFonts w:eastAsia="Arial" w:cs="Arial"/>
          <w:szCs w:val="20"/>
        </w:rPr>
        <w:tab/>
      </w:r>
      <w:r w:rsidRPr="00F02F03">
        <w:rPr>
          <w:rFonts w:eastAsia="Verdana" w:cs="Arial"/>
          <w:szCs w:val="20"/>
        </w:rPr>
        <w:t xml:space="preserve">Without prejudice to its obligations to </w:t>
      </w:r>
      <w:proofErr w:type="spellStart"/>
      <w:r w:rsidR="001F1C19">
        <w:rPr>
          <w:rFonts w:eastAsia="Verdana" w:cs="Arial"/>
          <w:szCs w:val="20"/>
        </w:rPr>
        <w:t>Netlink</w:t>
      </w:r>
      <w:proofErr w:type="spellEnd"/>
      <w:r w:rsidR="001F1C19">
        <w:rPr>
          <w:rFonts w:eastAsia="Verdana" w:cs="Arial"/>
          <w:szCs w:val="20"/>
        </w:rPr>
        <w:t xml:space="preserve"> Star</w:t>
      </w:r>
      <w:r w:rsidRPr="00F02F03">
        <w:rPr>
          <w:rFonts w:eastAsia="Verdana" w:cs="Arial"/>
          <w:szCs w:val="20"/>
        </w:rPr>
        <w:t xml:space="preserve"> under this Agreement, including its indemnity obligations, the Supplier shall for the periods specified in this Schedule take out and maintain, or procure the taking out and maintenance of the insurances as set out in Annex </w:t>
      </w:r>
      <w:r>
        <w:rPr>
          <w:rFonts w:eastAsia="Verdana" w:cs="Arial"/>
          <w:szCs w:val="20"/>
        </w:rPr>
        <w:t>2.7A</w:t>
      </w:r>
      <w:r w:rsidRPr="00F02F03">
        <w:rPr>
          <w:rFonts w:eastAsia="Verdana" w:cs="Arial"/>
          <w:szCs w:val="20"/>
        </w:rPr>
        <w:t xml:space="preserve"> and any other insurances as may be required by applicable Law (together the “</w:t>
      </w:r>
      <w:r w:rsidRPr="00F02F03">
        <w:rPr>
          <w:rFonts w:eastAsia="Verdana" w:cs="Arial"/>
          <w:b/>
          <w:szCs w:val="20"/>
        </w:rPr>
        <w:t>Insurances</w:t>
      </w:r>
      <w:r w:rsidRPr="00F02F03">
        <w:rPr>
          <w:rFonts w:eastAsia="Verdana" w:cs="Arial"/>
          <w:szCs w:val="20"/>
        </w:rPr>
        <w:t>”).  The Supplier shall ensure that each of the Insurances is effective no later than the date on which the relevant risk commences.</w:t>
      </w:r>
      <w:r w:rsidRPr="00F02F03">
        <w:rPr>
          <w:rFonts w:eastAsia="Verdana" w:cs="Arial"/>
          <w:b/>
          <w:szCs w:val="20"/>
        </w:rPr>
        <w:t xml:space="preserve"> </w:t>
      </w:r>
    </w:p>
    <w:p w14:paraId="42C8A61E" w14:textId="77777777" w:rsidR="009C4051" w:rsidRPr="00F02F03" w:rsidRDefault="009C4051" w:rsidP="009402CF">
      <w:pPr>
        <w:spacing w:after="234" w:line="249" w:lineRule="auto"/>
        <w:ind w:left="853" w:right="47" w:hanging="852"/>
        <w:rPr>
          <w:rFonts w:eastAsia="Verdana" w:cs="Arial"/>
          <w:szCs w:val="20"/>
        </w:rPr>
      </w:pPr>
      <w:r w:rsidRPr="00F02F03">
        <w:rPr>
          <w:rFonts w:eastAsia="Verdana" w:cs="Arial"/>
          <w:szCs w:val="20"/>
        </w:rPr>
        <w:t xml:space="preserve">1.2 </w:t>
      </w:r>
      <w:r w:rsidRPr="00F02F03">
        <w:rPr>
          <w:rFonts w:eastAsia="Verdana" w:cs="Arial"/>
          <w:szCs w:val="20"/>
        </w:rPr>
        <w:tab/>
        <w:t xml:space="preserve">The Insurances shall be maintained in accordance with Good Industry Practice and (so far as is reasonably practicable) on terms no less favourable than those generally available to a prudent contractor operating the same or substantially similar business in respect of risks insured in the United Kingdom insurance market from time to time. </w:t>
      </w:r>
    </w:p>
    <w:p w14:paraId="269996A1" w14:textId="77777777" w:rsidR="009C4051" w:rsidRPr="00F02F03" w:rsidRDefault="009C4051" w:rsidP="009C4051">
      <w:pPr>
        <w:spacing w:after="234" w:line="249" w:lineRule="auto"/>
        <w:ind w:left="853" w:right="47" w:hanging="852"/>
        <w:rPr>
          <w:rFonts w:cs="Arial"/>
          <w:szCs w:val="20"/>
        </w:rPr>
      </w:pPr>
      <w:r w:rsidRPr="00F02F03">
        <w:rPr>
          <w:rFonts w:eastAsia="Verdana" w:cs="Arial"/>
          <w:szCs w:val="20"/>
        </w:rPr>
        <w:t>1.3</w:t>
      </w:r>
      <w:r w:rsidRPr="00F02F03">
        <w:rPr>
          <w:rFonts w:eastAsia="Arial" w:cs="Arial"/>
          <w:szCs w:val="20"/>
        </w:rPr>
        <w:t xml:space="preserve"> </w:t>
      </w:r>
      <w:r w:rsidRPr="00F02F03">
        <w:rPr>
          <w:rFonts w:eastAsia="Arial" w:cs="Arial"/>
          <w:szCs w:val="20"/>
        </w:rPr>
        <w:tab/>
      </w:r>
      <w:r w:rsidRPr="00F02F03">
        <w:rPr>
          <w:rFonts w:eastAsia="Verdana" w:cs="Arial"/>
          <w:szCs w:val="20"/>
        </w:rPr>
        <w:t>The Insurances shall be taken out and maintained with insurers who are:</w:t>
      </w:r>
      <w:r w:rsidRPr="00F02F03">
        <w:rPr>
          <w:rFonts w:eastAsia="Verdana" w:cs="Arial"/>
          <w:b/>
          <w:szCs w:val="20"/>
        </w:rPr>
        <w:t xml:space="preserve"> </w:t>
      </w:r>
    </w:p>
    <w:p w14:paraId="6D346E22" w14:textId="66F8D859" w:rsidR="009C4051" w:rsidRPr="009C4051" w:rsidRDefault="009C4051" w:rsidP="009C4051">
      <w:pPr>
        <w:spacing w:after="234" w:line="249" w:lineRule="auto"/>
        <w:ind w:left="1831" w:right="47" w:hanging="991"/>
        <w:rPr>
          <w:rFonts w:eastAsia="Verdana" w:cs="Arial"/>
          <w:szCs w:val="20"/>
        </w:rPr>
      </w:pPr>
      <w:r w:rsidRPr="00F02F03">
        <w:rPr>
          <w:rFonts w:eastAsia="Verdana" w:cs="Arial"/>
          <w:szCs w:val="20"/>
        </w:rPr>
        <w:t>1.3.1</w:t>
      </w:r>
      <w:r w:rsidRPr="00F02F03">
        <w:rPr>
          <w:rFonts w:eastAsia="Arial" w:cs="Arial"/>
          <w:szCs w:val="20"/>
        </w:rPr>
        <w:t xml:space="preserve"> </w:t>
      </w:r>
      <w:r w:rsidRPr="00F02F03">
        <w:rPr>
          <w:rFonts w:eastAsia="Arial" w:cs="Arial"/>
          <w:szCs w:val="20"/>
        </w:rPr>
        <w:tab/>
      </w:r>
      <w:r w:rsidRPr="00F02F03">
        <w:rPr>
          <w:rFonts w:eastAsia="Verdana" w:cs="Arial"/>
          <w:szCs w:val="20"/>
        </w:rPr>
        <w:t xml:space="preserve">of good financial </w:t>
      </w:r>
      <w:proofErr w:type="gramStart"/>
      <w:r w:rsidRPr="00F02F03">
        <w:rPr>
          <w:rFonts w:eastAsia="Verdana" w:cs="Arial"/>
          <w:szCs w:val="20"/>
        </w:rPr>
        <w:t>standing;</w:t>
      </w:r>
      <w:proofErr w:type="gramEnd"/>
      <w:r w:rsidRPr="009C4051">
        <w:rPr>
          <w:rFonts w:eastAsia="Verdana" w:cs="Arial"/>
          <w:szCs w:val="20"/>
        </w:rPr>
        <w:t xml:space="preserve"> </w:t>
      </w:r>
    </w:p>
    <w:p w14:paraId="0F7211C7" w14:textId="7390C936" w:rsidR="009C4051" w:rsidRPr="00F02F03" w:rsidRDefault="009C4051" w:rsidP="009C4051">
      <w:pPr>
        <w:spacing w:after="234" w:line="249" w:lineRule="auto"/>
        <w:ind w:left="1843" w:right="47" w:hanging="992"/>
        <w:rPr>
          <w:rFonts w:cs="Arial"/>
          <w:szCs w:val="20"/>
        </w:rPr>
      </w:pPr>
      <w:r w:rsidRPr="00F02F03">
        <w:rPr>
          <w:rFonts w:eastAsia="Verdana" w:cs="Arial"/>
          <w:szCs w:val="20"/>
        </w:rPr>
        <w:t>1.3.2</w:t>
      </w:r>
      <w:r w:rsidRPr="009C4051">
        <w:rPr>
          <w:rFonts w:eastAsia="Verdana" w:cs="Arial"/>
          <w:szCs w:val="20"/>
        </w:rPr>
        <w:t xml:space="preserve"> </w:t>
      </w:r>
      <w:r w:rsidRPr="009C4051">
        <w:rPr>
          <w:rFonts w:eastAsia="Verdana" w:cs="Arial"/>
          <w:szCs w:val="20"/>
        </w:rPr>
        <w:tab/>
      </w:r>
      <w:r w:rsidRPr="00F02F03">
        <w:rPr>
          <w:rFonts w:eastAsia="Verdana" w:cs="Arial"/>
          <w:szCs w:val="20"/>
        </w:rPr>
        <w:t>appropriately regulated; and</w:t>
      </w:r>
      <w:r w:rsidRPr="00F02F03">
        <w:rPr>
          <w:rFonts w:eastAsia="Verdana" w:cs="Arial"/>
          <w:b/>
          <w:szCs w:val="20"/>
        </w:rPr>
        <w:t xml:space="preserve"> </w:t>
      </w:r>
    </w:p>
    <w:p w14:paraId="2620C9D9" w14:textId="77777777" w:rsidR="009C4051" w:rsidRPr="00F02F03" w:rsidRDefault="009C4051" w:rsidP="009402CF">
      <w:pPr>
        <w:spacing w:after="234" w:line="249" w:lineRule="auto"/>
        <w:ind w:left="1831" w:right="47" w:hanging="991"/>
        <w:rPr>
          <w:rFonts w:cs="Arial"/>
          <w:szCs w:val="20"/>
        </w:rPr>
      </w:pPr>
      <w:r w:rsidRPr="00F02F03">
        <w:rPr>
          <w:rFonts w:eastAsia="Verdana" w:cs="Arial"/>
          <w:szCs w:val="20"/>
        </w:rPr>
        <w:t>1.3.3</w:t>
      </w:r>
      <w:r w:rsidRPr="00F02F03">
        <w:rPr>
          <w:rFonts w:eastAsia="Arial" w:cs="Arial"/>
          <w:szCs w:val="20"/>
        </w:rPr>
        <w:t xml:space="preserve"> </w:t>
      </w:r>
      <w:r w:rsidRPr="00F02F03">
        <w:rPr>
          <w:rFonts w:eastAsia="Arial" w:cs="Arial"/>
          <w:szCs w:val="20"/>
        </w:rPr>
        <w:tab/>
      </w:r>
      <w:r w:rsidRPr="00F02F03">
        <w:rPr>
          <w:rFonts w:eastAsia="Verdana" w:cs="Arial"/>
          <w:szCs w:val="20"/>
        </w:rPr>
        <w:t>except in the case of any Insurances provided by an Affiliate of the Supplier, of good repute in the United Kingdom insurance market.</w:t>
      </w:r>
      <w:r w:rsidRPr="00F02F03">
        <w:rPr>
          <w:rFonts w:eastAsia="Verdana" w:cs="Arial"/>
          <w:b/>
          <w:szCs w:val="20"/>
        </w:rPr>
        <w:t xml:space="preserve"> </w:t>
      </w:r>
    </w:p>
    <w:p w14:paraId="52EC5968" w14:textId="674F8A9E" w:rsidR="009C4051" w:rsidRPr="00F02F03" w:rsidRDefault="009C4051" w:rsidP="009402CF">
      <w:pPr>
        <w:spacing w:after="234" w:line="249" w:lineRule="auto"/>
        <w:ind w:left="853" w:right="47" w:hanging="852"/>
        <w:rPr>
          <w:rFonts w:cs="Arial"/>
          <w:szCs w:val="20"/>
        </w:rPr>
      </w:pPr>
      <w:r w:rsidRPr="00F02F03">
        <w:rPr>
          <w:rFonts w:eastAsia="Verdana" w:cs="Arial"/>
          <w:szCs w:val="20"/>
        </w:rPr>
        <w:t>1.4</w:t>
      </w:r>
      <w:r w:rsidRPr="00F02F03">
        <w:rPr>
          <w:rFonts w:eastAsia="Arial" w:cs="Arial"/>
          <w:szCs w:val="20"/>
        </w:rPr>
        <w:t xml:space="preserve"> </w:t>
      </w:r>
      <w:r w:rsidRPr="00F02F03">
        <w:rPr>
          <w:rFonts w:eastAsia="Arial" w:cs="Arial"/>
          <w:szCs w:val="20"/>
        </w:rPr>
        <w:tab/>
      </w:r>
      <w:r w:rsidRPr="00F02F03">
        <w:rPr>
          <w:rFonts w:eastAsia="Verdana" w:cs="Arial"/>
          <w:szCs w:val="20"/>
        </w:rPr>
        <w:t xml:space="preserve">Where any Insurances are provided by an Affiliate of the Supplier, the Supplier shall provide to </w:t>
      </w:r>
      <w:proofErr w:type="spellStart"/>
      <w:r w:rsidR="001F1C19">
        <w:rPr>
          <w:rFonts w:eastAsia="Verdana" w:cs="Arial"/>
          <w:szCs w:val="20"/>
        </w:rPr>
        <w:t>Netlink</w:t>
      </w:r>
      <w:proofErr w:type="spellEnd"/>
      <w:r w:rsidR="001F1C19">
        <w:rPr>
          <w:rFonts w:eastAsia="Verdana" w:cs="Arial"/>
          <w:szCs w:val="20"/>
        </w:rPr>
        <w:t xml:space="preserve"> Star</w:t>
      </w:r>
      <w:r w:rsidRPr="00F02F03">
        <w:rPr>
          <w:rFonts w:eastAsia="Verdana" w:cs="Arial"/>
          <w:szCs w:val="20"/>
        </w:rPr>
        <w:t xml:space="preserve"> on the Effective Date (or inception of the relevant Insurances if later) and thereafter within ten (10) Working Days of written request from </w:t>
      </w:r>
      <w:proofErr w:type="spellStart"/>
      <w:r w:rsidR="001F1C19">
        <w:rPr>
          <w:rFonts w:eastAsia="Verdana" w:cs="Arial"/>
          <w:szCs w:val="20"/>
        </w:rPr>
        <w:t>Netlink</w:t>
      </w:r>
      <w:proofErr w:type="spellEnd"/>
      <w:r w:rsidR="001F1C19">
        <w:rPr>
          <w:rFonts w:eastAsia="Verdana" w:cs="Arial"/>
          <w:szCs w:val="20"/>
        </w:rPr>
        <w:t xml:space="preserve"> Star</w:t>
      </w:r>
      <w:r w:rsidRPr="00F02F03">
        <w:rPr>
          <w:rFonts w:eastAsia="Verdana" w:cs="Arial"/>
          <w:szCs w:val="20"/>
        </w:rPr>
        <w:t xml:space="preserve"> evidence of good financial standing of the relevant Affiliate in a form satisfactory to </w:t>
      </w:r>
      <w:proofErr w:type="spellStart"/>
      <w:r w:rsidR="001F1C19">
        <w:rPr>
          <w:rFonts w:eastAsia="Verdana" w:cs="Arial"/>
          <w:szCs w:val="20"/>
        </w:rPr>
        <w:t>Netlink</w:t>
      </w:r>
      <w:proofErr w:type="spellEnd"/>
      <w:r w:rsidR="001F1C19">
        <w:rPr>
          <w:rFonts w:eastAsia="Verdana" w:cs="Arial"/>
          <w:szCs w:val="20"/>
        </w:rPr>
        <w:t xml:space="preserve"> Star</w:t>
      </w:r>
      <w:r w:rsidRPr="00F02F03">
        <w:rPr>
          <w:rFonts w:eastAsia="Verdana" w:cs="Arial"/>
          <w:szCs w:val="20"/>
        </w:rPr>
        <w:t xml:space="preserve">.  In the absence of a Financial Distress Event, </w:t>
      </w:r>
      <w:proofErr w:type="spellStart"/>
      <w:r w:rsidR="001F1C19">
        <w:rPr>
          <w:rFonts w:eastAsia="Verdana" w:cs="Arial"/>
          <w:szCs w:val="20"/>
        </w:rPr>
        <w:t>Netlink</w:t>
      </w:r>
      <w:proofErr w:type="spellEnd"/>
      <w:r w:rsidR="001F1C19">
        <w:rPr>
          <w:rFonts w:eastAsia="Verdana" w:cs="Arial"/>
          <w:szCs w:val="20"/>
        </w:rPr>
        <w:t xml:space="preserve"> Star</w:t>
      </w:r>
      <w:r w:rsidRPr="00F02F03">
        <w:rPr>
          <w:rFonts w:eastAsia="Verdana" w:cs="Arial"/>
          <w:szCs w:val="20"/>
        </w:rPr>
        <w:t xml:space="preserve"> shall not make any such request more than annually. </w:t>
      </w:r>
    </w:p>
    <w:p w14:paraId="502EC0E0" w14:textId="308671A7" w:rsidR="009C4051" w:rsidRPr="00F02F03" w:rsidRDefault="009C4051" w:rsidP="009402CF">
      <w:pPr>
        <w:spacing w:after="234" w:line="249" w:lineRule="auto"/>
        <w:ind w:left="853" w:right="47" w:hanging="852"/>
        <w:rPr>
          <w:rFonts w:cs="Arial"/>
          <w:szCs w:val="20"/>
        </w:rPr>
      </w:pPr>
      <w:r w:rsidRPr="00F02F03">
        <w:rPr>
          <w:rFonts w:eastAsia="Verdana" w:cs="Arial"/>
          <w:szCs w:val="20"/>
        </w:rPr>
        <w:t>1.5</w:t>
      </w:r>
      <w:r w:rsidRPr="00F02F03">
        <w:rPr>
          <w:rFonts w:eastAsia="Arial" w:cs="Arial"/>
          <w:szCs w:val="20"/>
        </w:rPr>
        <w:t xml:space="preserve"> </w:t>
      </w:r>
      <w:r w:rsidRPr="00F02F03">
        <w:rPr>
          <w:rFonts w:eastAsia="Arial" w:cs="Arial"/>
          <w:szCs w:val="20"/>
        </w:rPr>
        <w:tab/>
      </w:r>
      <w:r w:rsidRPr="00F02F03">
        <w:rPr>
          <w:rFonts w:eastAsia="Verdana" w:cs="Arial"/>
          <w:szCs w:val="20"/>
        </w:rPr>
        <w:t xml:space="preserve">The Supplier shall ensure that the public and products liability insurance policy shall contain an indemnity to </w:t>
      </w:r>
      <w:proofErr w:type="gramStart"/>
      <w:r w:rsidRPr="00F02F03">
        <w:rPr>
          <w:rFonts w:eastAsia="Verdana" w:cs="Arial"/>
          <w:szCs w:val="20"/>
        </w:rPr>
        <w:t>principals</w:t>
      </w:r>
      <w:proofErr w:type="gramEnd"/>
      <w:r w:rsidRPr="00F02F03">
        <w:rPr>
          <w:rFonts w:eastAsia="Verdana" w:cs="Arial"/>
          <w:szCs w:val="20"/>
        </w:rPr>
        <w:t xml:space="preserve"> clause under which </w:t>
      </w:r>
      <w:proofErr w:type="spellStart"/>
      <w:r w:rsidR="001F1C19">
        <w:rPr>
          <w:rFonts w:eastAsia="Verdana" w:cs="Arial"/>
          <w:szCs w:val="20"/>
        </w:rPr>
        <w:t>Netlink</w:t>
      </w:r>
      <w:proofErr w:type="spellEnd"/>
      <w:r w:rsidR="001F1C19">
        <w:rPr>
          <w:rFonts w:eastAsia="Verdana" w:cs="Arial"/>
          <w:szCs w:val="20"/>
        </w:rPr>
        <w:t xml:space="preserve"> Star</w:t>
      </w:r>
      <w:r w:rsidRPr="00F02F03">
        <w:rPr>
          <w:rFonts w:eastAsia="Verdana" w:cs="Arial"/>
          <w:szCs w:val="20"/>
        </w:rPr>
        <w:t xml:space="preserve"> shall be indemnified in respect of claims made against </w:t>
      </w:r>
      <w:proofErr w:type="spellStart"/>
      <w:r w:rsidR="001F1C19">
        <w:rPr>
          <w:rFonts w:eastAsia="Verdana" w:cs="Arial"/>
          <w:szCs w:val="20"/>
        </w:rPr>
        <w:t>Netlink</w:t>
      </w:r>
      <w:proofErr w:type="spellEnd"/>
      <w:r w:rsidR="001F1C19">
        <w:rPr>
          <w:rFonts w:eastAsia="Verdana" w:cs="Arial"/>
          <w:szCs w:val="20"/>
        </w:rPr>
        <w:t xml:space="preserve"> Star</w:t>
      </w:r>
      <w:r w:rsidRPr="00F02F03">
        <w:rPr>
          <w:rFonts w:eastAsia="Verdana" w:cs="Arial"/>
          <w:szCs w:val="20"/>
        </w:rPr>
        <w:t xml:space="preserve"> in respect of death or bodily injury or third party property damage arising out of or in connection with the Services and for which the Supplier is legally liable. </w:t>
      </w:r>
    </w:p>
    <w:p w14:paraId="2CAA1FE7" w14:textId="77777777" w:rsidR="009C4051" w:rsidRPr="009C4051" w:rsidRDefault="009C4051" w:rsidP="002529F3">
      <w:pPr>
        <w:pStyle w:val="Heading3"/>
        <w:numPr>
          <w:ilvl w:val="0"/>
          <w:numId w:val="0"/>
        </w:numPr>
      </w:pPr>
      <w:r w:rsidRPr="009C4051">
        <w:t>2.</w:t>
      </w:r>
      <w:r w:rsidRPr="009C4051">
        <w:rPr>
          <w:rFonts w:eastAsia="Arial"/>
        </w:rPr>
        <w:t xml:space="preserve"> </w:t>
      </w:r>
      <w:r w:rsidRPr="009C4051">
        <w:rPr>
          <w:rFonts w:eastAsia="Arial"/>
        </w:rPr>
        <w:tab/>
      </w:r>
      <w:r w:rsidRPr="002529F3">
        <w:rPr>
          <w:b/>
          <w:bCs w:val="0"/>
        </w:rPr>
        <w:t>GENERAL OBLIGATIONS</w:t>
      </w:r>
      <w:r w:rsidRPr="009C4051">
        <w:t xml:space="preserve"> </w:t>
      </w:r>
    </w:p>
    <w:p w14:paraId="1596A22F" w14:textId="77777777" w:rsidR="009C4051" w:rsidRPr="00F02F03" w:rsidRDefault="009C4051" w:rsidP="009402CF">
      <w:pPr>
        <w:spacing w:after="234" w:line="249" w:lineRule="auto"/>
        <w:ind w:left="851" w:right="47" w:hanging="851"/>
        <w:rPr>
          <w:rFonts w:cs="Arial"/>
          <w:szCs w:val="20"/>
        </w:rPr>
      </w:pPr>
      <w:r w:rsidRPr="00F02F03">
        <w:rPr>
          <w:rFonts w:eastAsia="Verdana" w:cs="Arial"/>
          <w:szCs w:val="20"/>
        </w:rPr>
        <w:t>2.1</w:t>
      </w:r>
      <w:r w:rsidRPr="00F02F03">
        <w:rPr>
          <w:rFonts w:eastAsia="Verdana" w:cs="Arial"/>
          <w:szCs w:val="20"/>
        </w:rPr>
        <w:tab/>
        <w:t xml:space="preserve">Without limiting the other provisions of this Agreement, the Supplier shall: </w:t>
      </w:r>
    </w:p>
    <w:p w14:paraId="4ED8A091" w14:textId="77777777" w:rsidR="009C4051" w:rsidRPr="00F02F03" w:rsidRDefault="009C4051" w:rsidP="009402CF">
      <w:pPr>
        <w:tabs>
          <w:tab w:val="center" w:pos="1090"/>
        </w:tabs>
        <w:spacing w:after="234" w:line="249" w:lineRule="auto"/>
        <w:ind w:left="1843" w:hanging="1843"/>
        <w:rPr>
          <w:rFonts w:eastAsia="Verdana" w:cs="Arial"/>
          <w:szCs w:val="20"/>
        </w:rPr>
      </w:pPr>
      <w:r w:rsidRPr="00F02F03">
        <w:rPr>
          <w:rFonts w:eastAsia="Verdana" w:cs="Arial"/>
          <w:szCs w:val="20"/>
        </w:rPr>
        <w:tab/>
        <w:t>2.1.1</w:t>
      </w:r>
      <w:r w:rsidRPr="00F02F03">
        <w:rPr>
          <w:rFonts w:eastAsia="Verdana" w:cs="Arial"/>
          <w:szCs w:val="20"/>
        </w:rPr>
        <w:tab/>
        <w:t xml:space="preserve">take or procure the taking of all reasonable risk management and risk control measures in relation to the Services as it would be reasonable to expect of a prudent contractor acting in accordance with Good Industry Practice, including the investigation and reports of relevant claims to </w:t>
      </w:r>
      <w:proofErr w:type="gramStart"/>
      <w:r w:rsidRPr="00F02F03">
        <w:rPr>
          <w:rFonts w:eastAsia="Verdana" w:cs="Arial"/>
          <w:szCs w:val="20"/>
        </w:rPr>
        <w:t>insurers;</w:t>
      </w:r>
      <w:proofErr w:type="gramEnd"/>
      <w:r w:rsidRPr="00F02F03">
        <w:rPr>
          <w:rFonts w:eastAsia="Verdana" w:cs="Arial"/>
          <w:szCs w:val="20"/>
        </w:rPr>
        <w:t xml:space="preserve"> </w:t>
      </w:r>
    </w:p>
    <w:p w14:paraId="6794BD0E" w14:textId="77777777" w:rsidR="009C4051" w:rsidRPr="00F02F03" w:rsidRDefault="009C4051" w:rsidP="009402CF">
      <w:pPr>
        <w:tabs>
          <w:tab w:val="center" w:pos="1090"/>
        </w:tabs>
        <w:spacing w:after="234" w:line="249" w:lineRule="auto"/>
        <w:ind w:left="1843" w:hanging="1843"/>
        <w:rPr>
          <w:rFonts w:eastAsia="Verdana" w:cs="Arial"/>
          <w:szCs w:val="20"/>
        </w:rPr>
      </w:pPr>
      <w:r w:rsidRPr="00F02F03">
        <w:rPr>
          <w:rFonts w:eastAsia="Verdana" w:cs="Arial"/>
          <w:szCs w:val="20"/>
        </w:rPr>
        <w:tab/>
        <w:t>2.1.2</w:t>
      </w:r>
      <w:r w:rsidRPr="00F02F03">
        <w:rPr>
          <w:rFonts w:eastAsia="Verdana" w:cs="Arial"/>
          <w:szCs w:val="20"/>
        </w:rPr>
        <w:tab/>
        <w:t xml:space="preserve">promptly notify the insurers in writing of any relevant material fact under any Insurances of which the Supplier is or becomes aware; and </w:t>
      </w:r>
    </w:p>
    <w:p w14:paraId="5025AEE2" w14:textId="77777777" w:rsidR="009C4051" w:rsidRPr="00F02F03" w:rsidRDefault="009C4051" w:rsidP="009402CF">
      <w:pPr>
        <w:spacing w:after="234" w:line="249" w:lineRule="auto"/>
        <w:ind w:left="1843" w:right="47" w:hanging="990"/>
        <w:rPr>
          <w:rFonts w:cs="Arial"/>
          <w:szCs w:val="20"/>
        </w:rPr>
      </w:pPr>
      <w:r w:rsidRPr="00F02F03">
        <w:rPr>
          <w:rFonts w:eastAsia="Verdana" w:cs="Arial"/>
          <w:szCs w:val="20"/>
        </w:rPr>
        <w:t>2.1.3</w:t>
      </w:r>
      <w:r w:rsidRPr="00F02F03">
        <w:rPr>
          <w:rFonts w:eastAsia="Verdana" w:cs="Arial"/>
          <w:szCs w:val="20"/>
        </w:rPr>
        <w:tab/>
        <w:t xml:space="preserve">hold all policies in respect of the Insurances and cause any insurance broker effecting the Insurances to hold any insurance slips and other evidence of placing cover representing any of the Insurances to which it is a party. </w:t>
      </w:r>
    </w:p>
    <w:p w14:paraId="50B2E40D" w14:textId="77777777" w:rsidR="009C4051" w:rsidRPr="009C4051" w:rsidRDefault="009C4051" w:rsidP="002529F3">
      <w:pPr>
        <w:pStyle w:val="Heading3"/>
        <w:numPr>
          <w:ilvl w:val="0"/>
          <w:numId w:val="0"/>
        </w:numPr>
      </w:pPr>
      <w:r w:rsidRPr="009C4051">
        <w:t>3.</w:t>
      </w:r>
      <w:r w:rsidRPr="009C4051">
        <w:rPr>
          <w:rFonts w:eastAsia="Arial"/>
        </w:rPr>
        <w:t xml:space="preserve"> </w:t>
      </w:r>
      <w:r w:rsidRPr="009C4051">
        <w:rPr>
          <w:rFonts w:eastAsia="Arial"/>
        </w:rPr>
        <w:tab/>
      </w:r>
      <w:r w:rsidRPr="002529F3">
        <w:rPr>
          <w:b/>
          <w:bCs w:val="0"/>
        </w:rPr>
        <w:t>FAILURE TO INSURE</w:t>
      </w:r>
      <w:r w:rsidRPr="009C4051">
        <w:t xml:space="preserve"> </w:t>
      </w:r>
    </w:p>
    <w:p w14:paraId="79E3994A" w14:textId="77777777" w:rsidR="009C4051" w:rsidRPr="00F02F03" w:rsidRDefault="009C4051" w:rsidP="009402CF">
      <w:pPr>
        <w:spacing w:after="234" w:line="249" w:lineRule="auto"/>
        <w:ind w:left="853" w:right="47" w:hanging="852"/>
        <w:rPr>
          <w:rFonts w:cs="Arial"/>
          <w:szCs w:val="20"/>
        </w:rPr>
      </w:pPr>
      <w:r w:rsidRPr="00F02F03">
        <w:rPr>
          <w:rFonts w:eastAsia="Verdana" w:cs="Arial"/>
          <w:szCs w:val="20"/>
        </w:rPr>
        <w:lastRenderedPageBreak/>
        <w:t>3.1</w:t>
      </w:r>
      <w:r w:rsidRPr="00F02F03">
        <w:rPr>
          <w:rFonts w:eastAsia="Arial" w:cs="Arial"/>
          <w:szCs w:val="20"/>
        </w:rPr>
        <w:t xml:space="preserve"> </w:t>
      </w:r>
      <w:r w:rsidRPr="00F02F03">
        <w:rPr>
          <w:rFonts w:eastAsia="Arial" w:cs="Arial"/>
          <w:szCs w:val="20"/>
        </w:rPr>
        <w:tab/>
      </w:r>
      <w:r w:rsidRPr="00F02F03">
        <w:rPr>
          <w:rFonts w:eastAsia="Verdana" w:cs="Arial"/>
          <w:szCs w:val="20"/>
        </w:rPr>
        <w:t xml:space="preserve">The Supplier shall not take any action or fail to take any action or (insofar as is reasonably within its power) permit anything to occur in relation to it which would entitle any insurer to cancel, rescind or suspend any of the Insurances or cover, or to treat any of the Insurances, cover or claim as avoided in whole or in part refuse to pay any claim under any of the Insurances. </w:t>
      </w:r>
    </w:p>
    <w:p w14:paraId="2B7CB288" w14:textId="3D75500F" w:rsidR="009C4051" w:rsidRPr="00F02F03" w:rsidRDefault="009C4051" w:rsidP="009402CF">
      <w:pPr>
        <w:spacing w:after="234" w:line="249" w:lineRule="auto"/>
        <w:ind w:left="853" w:right="47" w:hanging="852"/>
        <w:rPr>
          <w:rFonts w:cs="Arial"/>
          <w:szCs w:val="20"/>
        </w:rPr>
      </w:pPr>
      <w:r w:rsidRPr="00F02F03">
        <w:rPr>
          <w:rFonts w:eastAsia="Verdana" w:cs="Arial"/>
          <w:szCs w:val="20"/>
        </w:rPr>
        <w:t>3.2</w:t>
      </w:r>
      <w:r w:rsidRPr="00F02F03">
        <w:rPr>
          <w:rFonts w:eastAsia="Arial" w:cs="Arial"/>
          <w:szCs w:val="20"/>
        </w:rPr>
        <w:t xml:space="preserve"> </w:t>
      </w:r>
      <w:r w:rsidRPr="00F02F03">
        <w:rPr>
          <w:rFonts w:eastAsia="Arial" w:cs="Arial"/>
          <w:szCs w:val="20"/>
        </w:rPr>
        <w:tab/>
      </w:r>
      <w:r w:rsidRPr="00F02F03">
        <w:rPr>
          <w:rFonts w:eastAsia="Verdana" w:cs="Arial"/>
          <w:szCs w:val="20"/>
        </w:rPr>
        <w:t xml:space="preserve">Where the Supplier has failed to purchase any of the Insurances or maintain any of the Insurances in full force and effect, </w:t>
      </w:r>
      <w:proofErr w:type="spellStart"/>
      <w:r w:rsidR="001F1C19">
        <w:rPr>
          <w:rFonts w:eastAsia="Verdana" w:cs="Arial"/>
          <w:szCs w:val="20"/>
        </w:rPr>
        <w:t>Netlink</w:t>
      </w:r>
      <w:proofErr w:type="spellEnd"/>
      <w:r w:rsidR="001F1C19">
        <w:rPr>
          <w:rFonts w:eastAsia="Verdana" w:cs="Arial"/>
          <w:szCs w:val="20"/>
        </w:rPr>
        <w:t xml:space="preserve"> Star</w:t>
      </w:r>
      <w:r w:rsidRPr="00F02F03">
        <w:rPr>
          <w:rFonts w:eastAsia="Verdana" w:cs="Arial"/>
          <w:szCs w:val="20"/>
        </w:rPr>
        <w:t xml:space="preserve"> may elect (but shall not be obliged) following written notice to the Supplier to purchase the relevant Insurances, and </w:t>
      </w:r>
      <w:proofErr w:type="spellStart"/>
      <w:r w:rsidR="001F1C19">
        <w:rPr>
          <w:rFonts w:eastAsia="Verdana" w:cs="Arial"/>
          <w:szCs w:val="20"/>
        </w:rPr>
        <w:t>Netlink</w:t>
      </w:r>
      <w:proofErr w:type="spellEnd"/>
      <w:r w:rsidR="001F1C19">
        <w:rPr>
          <w:rFonts w:eastAsia="Verdana" w:cs="Arial"/>
          <w:szCs w:val="20"/>
        </w:rPr>
        <w:t xml:space="preserve"> Star</w:t>
      </w:r>
      <w:r w:rsidRPr="00F02F03">
        <w:rPr>
          <w:rFonts w:eastAsia="Verdana" w:cs="Arial"/>
          <w:szCs w:val="20"/>
        </w:rPr>
        <w:t xml:space="preserve"> shall be entitled to recover the reasonable premium and other reasonable costs incurred in connection therewith as a debt due from the Supplier. </w:t>
      </w:r>
    </w:p>
    <w:p w14:paraId="69D9CE9D" w14:textId="77777777" w:rsidR="009C4051" w:rsidRPr="002529F3" w:rsidRDefault="009C4051" w:rsidP="002529F3">
      <w:pPr>
        <w:pStyle w:val="Heading3"/>
        <w:numPr>
          <w:ilvl w:val="0"/>
          <w:numId w:val="0"/>
        </w:numPr>
        <w:rPr>
          <w:b/>
          <w:bCs w:val="0"/>
        </w:rPr>
      </w:pPr>
      <w:r w:rsidRPr="002529F3">
        <w:rPr>
          <w:b/>
          <w:bCs w:val="0"/>
        </w:rPr>
        <w:t>4.</w:t>
      </w:r>
      <w:r w:rsidRPr="002529F3">
        <w:rPr>
          <w:rFonts w:eastAsia="Arial"/>
          <w:b/>
          <w:bCs w:val="0"/>
        </w:rPr>
        <w:t xml:space="preserve"> </w:t>
      </w:r>
      <w:r w:rsidRPr="002529F3">
        <w:rPr>
          <w:rFonts w:eastAsia="Arial"/>
          <w:b/>
          <w:bCs w:val="0"/>
        </w:rPr>
        <w:tab/>
      </w:r>
      <w:r w:rsidRPr="002529F3">
        <w:rPr>
          <w:b/>
          <w:bCs w:val="0"/>
        </w:rPr>
        <w:t xml:space="preserve">EVIDENCE OF INSURANCES </w:t>
      </w:r>
    </w:p>
    <w:p w14:paraId="63D85A9D" w14:textId="66601ADB" w:rsidR="009C4051" w:rsidRPr="00F02F03" w:rsidRDefault="009C4051" w:rsidP="009402CF">
      <w:pPr>
        <w:spacing w:after="234" w:line="249" w:lineRule="auto"/>
        <w:ind w:left="853" w:right="47" w:hanging="852"/>
        <w:rPr>
          <w:rFonts w:cs="Arial"/>
          <w:szCs w:val="20"/>
        </w:rPr>
      </w:pPr>
      <w:r w:rsidRPr="00F02F03">
        <w:rPr>
          <w:rFonts w:eastAsia="Verdana" w:cs="Arial"/>
          <w:szCs w:val="20"/>
        </w:rPr>
        <w:t>4.1</w:t>
      </w:r>
      <w:r w:rsidRPr="00F02F03">
        <w:rPr>
          <w:rFonts w:eastAsia="Arial" w:cs="Arial"/>
          <w:szCs w:val="20"/>
        </w:rPr>
        <w:t xml:space="preserve"> </w:t>
      </w:r>
      <w:r w:rsidRPr="00F02F03">
        <w:rPr>
          <w:rFonts w:eastAsia="Arial" w:cs="Arial"/>
          <w:szCs w:val="20"/>
        </w:rPr>
        <w:tab/>
      </w:r>
      <w:r w:rsidRPr="00F02F03">
        <w:rPr>
          <w:rFonts w:eastAsia="Verdana" w:cs="Arial"/>
          <w:szCs w:val="20"/>
        </w:rPr>
        <w:t xml:space="preserve">The Supplier shall provide notice to </w:t>
      </w:r>
      <w:proofErr w:type="spellStart"/>
      <w:r w:rsidR="001F1C19">
        <w:rPr>
          <w:rFonts w:eastAsia="Verdana" w:cs="Arial"/>
          <w:szCs w:val="20"/>
        </w:rPr>
        <w:t>Netlink</w:t>
      </w:r>
      <w:proofErr w:type="spellEnd"/>
      <w:r w:rsidR="001F1C19">
        <w:rPr>
          <w:rFonts w:eastAsia="Verdana" w:cs="Arial"/>
          <w:szCs w:val="20"/>
        </w:rPr>
        <w:t xml:space="preserve"> Star</w:t>
      </w:r>
      <w:r w:rsidRPr="00F02F03">
        <w:rPr>
          <w:rFonts w:eastAsia="Verdana" w:cs="Arial"/>
          <w:szCs w:val="20"/>
        </w:rPr>
        <w:t xml:space="preserve"> at least fifteen (15) days prior to the renewal or replacement of the Insurances that the Insurances shall be renewed or replaced and upon the Effective Date and within 20 Working Days after the renewal or replacement of each of the Insurances, the Supplier shall provide evidence, in a form satisfactory to </w:t>
      </w:r>
      <w:proofErr w:type="spellStart"/>
      <w:r w:rsidR="001F1C19">
        <w:rPr>
          <w:rFonts w:eastAsia="Verdana" w:cs="Arial"/>
          <w:szCs w:val="20"/>
        </w:rPr>
        <w:t>Netlink</w:t>
      </w:r>
      <w:proofErr w:type="spellEnd"/>
      <w:r w:rsidR="001F1C19">
        <w:rPr>
          <w:rFonts w:eastAsia="Verdana" w:cs="Arial"/>
          <w:szCs w:val="20"/>
        </w:rPr>
        <w:t xml:space="preserve"> Star</w:t>
      </w:r>
      <w:r w:rsidRPr="00F02F03">
        <w:rPr>
          <w:rFonts w:eastAsia="Verdana" w:cs="Arial"/>
          <w:szCs w:val="20"/>
        </w:rPr>
        <w:t xml:space="preserve"> (such as a certificate of insurance or a broker’s letter), confirming that the Insurances are in force and effect and meet in full the requirements of this Schedule.  Receipt of such evidence by </w:t>
      </w:r>
      <w:proofErr w:type="spellStart"/>
      <w:r w:rsidR="001F1C19">
        <w:rPr>
          <w:rFonts w:eastAsia="Verdana" w:cs="Arial"/>
          <w:szCs w:val="20"/>
        </w:rPr>
        <w:t>Netlink</w:t>
      </w:r>
      <w:proofErr w:type="spellEnd"/>
      <w:r w:rsidR="001F1C19">
        <w:rPr>
          <w:rFonts w:eastAsia="Verdana" w:cs="Arial"/>
          <w:szCs w:val="20"/>
        </w:rPr>
        <w:t xml:space="preserve"> Star</w:t>
      </w:r>
      <w:r w:rsidRPr="00F02F03">
        <w:rPr>
          <w:rFonts w:eastAsia="Verdana" w:cs="Arial"/>
          <w:szCs w:val="20"/>
        </w:rPr>
        <w:t xml:space="preserve"> shall not in itself constitute acceptance by </w:t>
      </w:r>
      <w:proofErr w:type="spellStart"/>
      <w:r w:rsidR="001F1C19">
        <w:rPr>
          <w:rFonts w:eastAsia="Verdana" w:cs="Arial"/>
          <w:szCs w:val="20"/>
        </w:rPr>
        <w:t>Netlink</w:t>
      </w:r>
      <w:proofErr w:type="spellEnd"/>
      <w:r w:rsidR="001F1C19">
        <w:rPr>
          <w:rFonts w:eastAsia="Verdana" w:cs="Arial"/>
          <w:szCs w:val="20"/>
        </w:rPr>
        <w:t xml:space="preserve"> Star</w:t>
      </w:r>
      <w:r w:rsidRPr="00F02F03">
        <w:rPr>
          <w:rFonts w:eastAsia="Verdana" w:cs="Arial"/>
          <w:szCs w:val="20"/>
        </w:rPr>
        <w:t xml:space="preserve"> or relieve the Supplier of any of its liabilities and obligations under this Agreement. </w:t>
      </w:r>
    </w:p>
    <w:p w14:paraId="7E19235B" w14:textId="0FF32797" w:rsidR="009C4051" w:rsidRPr="00F02F03" w:rsidRDefault="009C4051" w:rsidP="009402CF">
      <w:pPr>
        <w:spacing w:after="234" w:line="249" w:lineRule="auto"/>
        <w:ind w:left="853" w:right="47" w:hanging="852"/>
        <w:rPr>
          <w:rFonts w:cs="Arial"/>
          <w:szCs w:val="20"/>
        </w:rPr>
      </w:pPr>
      <w:r w:rsidRPr="00F02F03">
        <w:rPr>
          <w:rFonts w:eastAsia="Verdana" w:cs="Arial"/>
          <w:szCs w:val="20"/>
        </w:rPr>
        <w:t>4.2</w:t>
      </w:r>
      <w:r w:rsidRPr="00F02F03">
        <w:rPr>
          <w:rFonts w:eastAsia="Arial" w:cs="Arial"/>
          <w:szCs w:val="20"/>
        </w:rPr>
        <w:t xml:space="preserve"> </w:t>
      </w:r>
      <w:r w:rsidRPr="00F02F03">
        <w:rPr>
          <w:rFonts w:eastAsia="Arial" w:cs="Arial"/>
          <w:szCs w:val="20"/>
        </w:rPr>
        <w:tab/>
      </w:r>
      <w:r w:rsidRPr="00F02F03">
        <w:rPr>
          <w:rFonts w:eastAsia="Verdana" w:cs="Arial"/>
          <w:szCs w:val="20"/>
        </w:rPr>
        <w:t xml:space="preserve">The Supplier shall provide any further information reasonably requested by </w:t>
      </w:r>
      <w:proofErr w:type="spellStart"/>
      <w:r w:rsidR="001F1C19">
        <w:rPr>
          <w:rFonts w:eastAsia="Verdana" w:cs="Arial"/>
          <w:szCs w:val="20"/>
        </w:rPr>
        <w:t>Netlink</w:t>
      </w:r>
      <w:proofErr w:type="spellEnd"/>
      <w:r w:rsidR="001F1C19">
        <w:rPr>
          <w:rFonts w:eastAsia="Verdana" w:cs="Arial"/>
          <w:szCs w:val="20"/>
        </w:rPr>
        <w:t xml:space="preserve"> Star</w:t>
      </w:r>
      <w:r w:rsidRPr="00F02F03">
        <w:rPr>
          <w:rFonts w:eastAsia="Verdana" w:cs="Arial"/>
          <w:szCs w:val="20"/>
        </w:rPr>
        <w:t xml:space="preserve"> in relation to the Insurances at any time on reasonable notice.  </w:t>
      </w:r>
    </w:p>
    <w:p w14:paraId="256E5099" w14:textId="77777777" w:rsidR="009C4051" w:rsidRPr="009C4051" w:rsidRDefault="009C4051" w:rsidP="002529F3">
      <w:pPr>
        <w:pStyle w:val="Heading3"/>
        <w:numPr>
          <w:ilvl w:val="0"/>
          <w:numId w:val="0"/>
        </w:numPr>
      </w:pPr>
      <w:r w:rsidRPr="009C4051">
        <w:t>5.</w:t>
      </w:r>
      <w:r w:rsidRPr="009C4051">
        <w:rPr>
          <w:rFonts w:eastAsia="Arial"/>
        </w:rPr>
        <w:t xml:space="preserve"> </w:t>
      </w:r>
      <w:r w:rsidRPr="009C4051">
        <w:rPr>
          <w:rFonts w:eastAsia="Arial"/>
        </w:rPr>
        <w:tab/>
      </w:r>
      <w:r w:rsidRPr="002529F3">
        <w:rPr>
          <w:b/>
          <w:bCs w:val="0"/>
        </w:rPr>
        <w:t>AGGREGATE LIMIT OF INDEMNITY</w:t>
      </w:r>
      <w:r w:rsidRPr="009C4051">
        <w:t xml:space="preserve"> </w:t>
      </w:r>
    </w:p>
    <w:p w14:paraId="1416BED9" w14:textId="0BA51B5B" w:rsidR="009C4051" w:rsidRPr="00F02F03" w:rsidRDefault="009C4051" w:rsidP="009402CF">
      <w:pPr>
        <w:spacing w:after="234" w:line="249" w:lineRule="auto"/>
        <w:ind w:left="851" w:right="47" w:hanging="851"/>
        <w:rPr>
          <w:rFonts w:cs="Arial"/>
          <w:szCs w:val="20"/>
        </w:rPr>
      </w:pPr>
      <w:r w:rsidRPr="00F02F03">
        <w:rPr>
          <w:rFonts w:eastAsia="Verdana" w:cs="Arial"/>
          <w:szCs w:val="20"/>
        </w:rPr>
        <w:t>5.1</w:t>
      </w:r>
      <w:r w:rsidRPr="00F02F03">
        <w:rPr>
          <w:rFonts w:eastAsia="Verdana" w:cs="Arial"/>
          <w:szCs w:val="20"/>
        </w:rPr>
        <w:tab/>
        <w:t>Where the minimum limit of indemnity required in relation to any of the Insurances is s</w:t>
      </w:r>
      <w:r w:rsidR="007A13EA">
        <w:rPr>
          <w:rFonts w:eastAsia="Verdana" w:cs="Arial"/>
          <w:szCs w:val="20"/>
        </w:rPr>
        <w:t>p</w:t>
      </w:r>
      <w:r w:rsidRPr="00F02F03">
        <w:rPr>
          <w:rFonts w:eastAsia="Verdana" w:cs="Arial"/>
          <w:szCs w:val="20"/>
        </w:rPr>
        <w:t>ecified as being</w:t>
      </w:r>
      <w:r w:rsidR="007A13EA">
        <w:rPr>
          <w:rFonts w:eastAsia="Verdana" w:cs="Arial"/>
          <w:szCs w:val="20"/>
        </w:rPr>
        <w:t xml:space="preserve"> </w:t>
      </w:r>
      <w:r w:rsidRPr="00F02F03">
        <w:rPr>
          <w:rFonts w:eastAsia="Verdana" w:cs="Arial"/>
          <w:szCs w:val="20"/>
        </w:rPr>
        <w:t>"in the aggregate"</w:t>
      </w:r>
      <w:r w:rsidR="007A13EA">
        <w:rPr>
          <w:rFonts w:eastAsia="Verdana" w:cs="Arial"/>
          <w:szCs w:val="20"/>
        </w:rPr>
        <w:t>:</w:t>
      </w:r>
    </w:p>
    <w:p w14:paraId="47A44653" w14:textId="7E429222" w:rsidR="009C4051" w:rsidRPr="00F02F03" w:rsidRDefault="009C4051" w:rsidP="009C4051">
      <w:pPr>
        <w:tabs>
          <w:tab w:val="center" w:pos="1090"/>
        </w:tabs>
        <w:spacing w:after="234" w:line="249" w:lineRule="auto"/>
        <w:ind w:left="1843" w:hanging="1134"/>
        <w:rPr>
          <w:rFonts w:cs="Arial"/>
          <w:szCs w:val="20"/>
        </w:rPr>
      </w:pPr>
      <w:r>
        <w:rPr>
          <w:rFonts w:eastAsia="Verdana" w:cs="Arial"/>
          <w:szCs w:val="20"/>
        </w:rPr>
        <w:tab/>
      </w:r>
      <w:r w:rsidRPr="00F02F03">
        <w:rPr>
          <w:rFonts w:eastAsia="Verdana" w:cs="Arial"/>
          <w:szCs w:val="20"/>
        </w:rPr>
        <w:t>5.1.1</w:t>
      </w:r>
      <w:r w:rsidRPr="00F02F03">
        <w:rPr>
          <w:rFonts w:eastAsia="Arial" w:cs="Arial"/>
          <w:szCs w:val="20"/>
        </w:rPr>
        <w:t xml:space="preserve"> </w:t>
      </w:r>
      <w:r>
        <w:rPr>
          <w:rFonts w:eastAsia="Arial" w:cs="Arial"/>
          <w:szCs w:val="20"/>
        </w:rPr>
        <w:tab/>
      </w:r>
      <w:r w:rsidRPr="00F02F03">
        <w:rPr>
          <w:rFonts w:eastAsia="Verdana" w:cs="Arial"/>
          <w:szCs w:val="20"/>
        </w:rPr>
        <w:t>if a claim or claims which do not relate to this Agreement are notified to the insurers which, given the nature of the allegations and/or the quantum claimed by the third party(</w:t>
      </w:r>
      <w:proofErr w:type="spellStart"/>
      <w:r w:rsidRPr="00F02F03">
        <w:rPr>
          <w:rFonts w:eastAsia="Verdana" w:cs="Arial"/>
          <w:szCs w:val="20"/>
        </w:rPr>
        <w:t>ies</w:t>
      </w:r>
      <w:proofErr w:type="spellEnd"/>
      <w:r w:rsidRPr="00F02F03">
        <w:rPr>
          <w:rFonts w:eastAsia="Verdana" w:cs="Arial"/>
          <w:szCs w:val="20"/>
        </w:rPr>
        <w:t xml:space="preserve">), is likely to result in a claim or claims being paid by the insurers which could reduce the level of cover available below that minimum, the Supplier shall immediately submit to </w:t>
      </w:r>
      <w:proofErr w:type="spellStart"/>
      <w:r w:rsidR="001F1C19">
        <w:rPr>
          <w:rFonts w:eastAsia="Verdana" w:cs="Arial"/>
          <w:szCs w:val="20"/>
        </w:rPr>
        <w:t>Netlink</w:t>
      </w:r>
      <w:proofErr w:type="spellEnd"/>
      <w:r w:rsidR="001F1C19">
        <w:rPr>
          <w:rFonts w:eastAsia="Verdana" w:cs="Arial"/>
          <w:szCs w:val="20"/>
        </w:rPr>
        <w:t xml:space="preserve"> Star</w:t>
      </w:r>
      <w:r w:rsidRPr="00F02F03">
        <w:rPr>
          <w:rFonts w:eastAsia="Verdana" w:cs="Arial"/>
          <w:szCs w:val="20"/>
        </w:rPr>
        <w:t xml:space="preserve">: </w:t>
      </w:r>
    </w:p>
    <w:p w14:paraId="042AC08A" w14:textId="77777777" w:rsidR="009C4051" w:rsidRPr="00F02F03" w:rsidRDefault="009C4051" w:rsidP="009C4051">
      <w:pPr>
        <w:spacing w:after="234" w:line="249" w:lineRule="auto"/>
        <w:ind w:left="2694" w:right="47" w:hanging="851"/>
        <w:rPr>
          <w:rFonts w:cs="Arial"/>
          <w:szCs w:val="20"/>
        </w:rPr>
      </w:pPr>
      <w:r w:rsidRPr="00F02F03">
        <w:rPr>
          <w:rFonts w:eastAsia="Verdana" w:cs="Arial"/>
          <w:szCs w:val="20"/>
        </w:rPr>
        <w:t xml:space="preserve">(a) </w:t>
      </w:r>
      <w:r w:rsidRPr="00F02F03">
        <w:rPr>
          <w:rFonts w:eastAsia="Verdana" w:cs="Arial"/>
          <w:szCs w:val="20"/>
        </w:rPr>
        <w:tab/>
        <w:t xml:space="preserve">details of the policy concerned; and </w:t>
      </w:r>
    </w:p>
    <w:p w14:paraId="77290E33" w14:textId="77777777" w:rsidR="009C4051" w:rsidRPr="00F02F03" w:rsidRDefault="009C4051" w:rsidP="009C4051">
      <w:pPr>
        <w:spacing w:after="234" w:line="249" w:lineRule="auto"/>
        <w:ind w:left="2694" w:right="47" w:hanging="851"/>
        <w:rPr>
          <w:rFonts w:cs="Arial"/>
          <w:szCs w:val="20"/>
        </w:rPr>
      </w:pPr>
      <w:r w:rsidRPr="00F02F03">
        <w:rPr>
          <w:rFonts w:cs="Arial"/>
          <w:szCs w:val="20"/>
        </w:rPr>
        <w:t>(</w:t>
      </w:r>
      <w:r w:rsidRPr="00F02F03">
        <w:rPr>
          <w:rFonts w:eastAsia="Verdana" w:cs="Arial"/>
          <w:szCs w:val="20"/>
        </w:rPr>
        <w:t>b)</w:t>
      </w:r>
      <w:r w:rsidRPr="00F02F03">
        <w:rPr>
          <w:rFonts w:eastAsia="Verdana" w:cs="Arial"/>
          <w:szCs w:val="20"/>
        </w:rPr>
        <w:tab/>
      </w:r>
      <w:r w:rsidRPr="00F02F03">
        <w:rPr>
          <w:rFonts w:cs="Arial"/>
          <w:szCs w:val="20"/>
        </w:rPr>
        <w:t xml:space="preserve">its proposed solution for maintaining the minimum limit of indemnity specified; and </w:t>
      </w:r>
    </w:p>
    <w:p w14:paraId="7D12B0D6" w14:textId="77777777" w:rsidR="009C4051" w:rsidRPr="00F02F03" w:rsidRDefault="009C4051" w:rsidP="009C4051">
      <w:pPr>
        <w:tabs>
          <w:tab w:val="center" w:pos="1090"/>
        </w:tabs>
        <w:spacing w:after="234" w:line="249" w:lineRule="auto"/>
        <w:ind w:left="1843" w:hanging="1134"/>
        <w:rPr>
          <w:rFonts w:cs="Arial"/>
          <w:szCs w:val="20"/>
        </w:rPr>
      </w:pPr>
      <w:r w:rsidRPr="00F02F03">
        <w:rPr>
          <w:rFonts w:eastAsia="Verdana" w:cs="Arial"/>
          <w:szCs w:val="20"/>
        </w:rPr>
        <w:t>5.1.2</w:t>
      </w:r>
      <w:r w:rsidRPr="00F02F03">
        <w:rPr>
          <w:rFonts w:eastAsia="Arial" w:cs="Arial"/>
          <w:szCs w:val="20"/>
        </w:rPr>
        <w:t xml:space="preserve"> </w:t>
      </w:r>
      <w:r w:rsidRPr="00F02F03">
        <w:rPr>
          <w:rFonts w:eastAsia="Arial" w:cs="Arial"/>
          <w:szCs w:val="20"/>
        </w:rPr>
        <w:tab/>
      </w:r>
      <w:r w:rsidRPr="00F02F03">
        <w:rPr>
          <w:rFonts w:eastAsia="Verdana" w:cs="Arial"/>
          <w:szCs w:val="20"/>
        </w:rPr>
        <w:t xml:space="preserve">if and to the extent that the level of insurance cover available falls below that minimum because a claim or claims which do not relate to this Agreement are paid by insurers, the Supplier shall: </w:t>
      </w:r>
    </w:p>
    <w:p w14:paraId="5116FAC0" w14:textId="77777777" w:rsidR="009C4051" w:rsidRPr="00F02F03" w:rsidRDefault="009C4051" w:rsidP="009C4051">
      <w:pPr>
        <w:spacing w:after="234" w:line="249" w:lineRule="auto"/>
        <w:ind w:left="2694" w:right="47" w:hanging="851"/>
        <w:rPr>
          <w:rFonts w:eastAsia="Verdana" w:cs="Arial"/>
          <w:szCs w:val="20"/>
        </w:rPr>
      </w:pPr>
      <w:r w:rsidRPr="00F02F03">
        <w:rPr>
          <w:rFonts w:eastAsia="Verdana" w:cs="Arial"/>
          <w:szCs w:val="20"/>
        </w:rPr>
        <w:t xml:space="preserve">(a) </w:t>
      </w:r>
      <w:r w:rsidRPr="00F02F03">
        <w:rPr>
          <w:rFonts w:eastAsia="Verdana" w:cs="Arial"/>
          <w:szCs w:val="20"/>
        </w:rPr>
        <w:tab/>
        <w:t xml:space="preserve">ensure that the insurance cover is reinstated to </w:t>
      </w:r>
      <w:proofErr w:type="gramStart"/>
      <w:r w:rsidRPr="00F02F03">
        <w:rPr>
          <w:rFonts w:eastAsia="Verdana" w:cs="Arial"/>
          <w:szCs w:val="20"/>
        </w:rPr>
        <w:t>maintain at all times</w:t>
      </w:r>
      <w:proofErr w:type="gramEnd"/>
      <w:r w:rsidRPr="00F02F03">
        <w:rPr>
          <w:rFonts w:eastAsia="Verdana" w:cs="Arial"/>
          <w:szCs w:val="20"/>
        </w:rPr>
        <w:t xml:space="preserve"> the minimum limit of indemnity specified for claims relating to this Agreement; or </w:t>
      </w:r>
    </w:p>
    <w:p w14:paraId="799E7F13" w14:textId="5AED3117" w:rsidR="009C4051" w:rsidRPr="00F02F03" w:rsidRDefault="009C4051" w:rsidP="009C4051">
      <w:pPr>
        <w:spacing w:after="234" w:line="249" w:lineRule="auto"/>
        <w:ind w:left="2694" w:right="47" w:hanging="851"/>
        <w:rPr>
          <w:rFonts w:eastAsia="Verdana" w:cs="Arial"/>
          <w:szCs w:val="20"/>
        </w:rPr>
      </w:pPr>
      <w:r w:rsidRPr="00F02F03">
        <w:rPr>
          <w:rFonts w:eastAsia="Verdana" w:cs="Arial"/>
          <w:szCs w:val="20"/>
        </w:rPr>
        <w:t xml:space="preserve">(b) </w:t>
      </w:r>
      <w:r w:rsidRPr="00F02F03">
        <w:rPr>
          <w:rFonts w:eastAsia="Verdana" w:cs="Arial"/>
          <w:szCs w:val="20"/>
        </w:rPr>
        <w:tab/>
        <w:t xml:space="preserve">if the Supplier is or has reason to believe that it will be unable to ensure that insurance cover is reinstated to </w:t>
      </w:r>
      <w:proofErr w:type="gramStart"/>
      <w:r w:rsidRPr="00F02F03">
        <w:rPr>
          <w:rFonts w:eastAsia="Verdana" w:cs="Arial"/>
          <w:szCs w:val="20"/>
        </w:rPr>
        <w:t>maintain at all times</w:t>
      </w:r>
      <w:proofErr w:type="gramEnd"/>
      <w:r w:rsidRPr="00F02F03">
        <w:rPr>
          <w:rFonts w:eastAsia="Verdana" w:cs="Arial"/>
          <w:szCs w:val="20"/>
        </w:rPr>
        <w:t xml:space="preserve"> the minimum limit of indemnity specified, immediately submit to </w:t>
      </w:r>
      <w:proofErr w:type="spellStart"/>
      <w:r w:rsidR="001F1C19">
        <w:rPr>
          <w:rFonts w:eastAsia="Verdana" w:cs="Arial"/>
          <w:szCs w:val="20"/>
        </w:rPr>
        <w:t>Netlink</w:t>
      </w:r>
      <w:proofErr w:type="spellEnd"/>
      <w:r w:rsidR="001F1C19">
        <w:rPr>
          <w:rFonts w:eastAsia="Verdana" w:cs="Arial"/>
          <w:szCs w:val="20"/>
        </w:rPr>
        <w:t xml:space="preserve"> Star</w:t>
      </w:r>
      <w:r w:rsidRPr="00F02F03">
        <w:rPr>
          <w:rFonts w:eastAsia="Verdana" w:cs="Arial"/>
          <w:szCs w:val="20"/>
        </w:rPr>
        <w:t xml:space="preserve"> full details of the policy concerned and its proposed solution for maintaining the minimum limit of indemnity specified. </w:t>
      </w:r>
    </w:p>
    <w:p w14:paraId="507DE83F" w14:textId="77777777" w:rsidR="009C4051" w:rsidRPr="00F02F03" w:rsidRDefault="009C4051" w:rsidP="009402CF">
      <w:pPr>
        <w:spacing w:after="234" w:line="249" w:lineRule="auto"/>
        <w:ind w:left="851" w:right="47" w:hanging="851"/>
        <w:rPr>
          <w:rFonts w:eastAsia="Verdana" w:cs="Arial"/>
          <w:szCs w:val="20"/>
        </w:rPr>
      </w:pPr>
    </w:p>
    <w:p w14:paraId="0943ABE8" w14:textId="77777777" w:rsidR="009C4051" w:rsidRPr="00F02F03" w:rsidRDefault="009C4051" w:rsidP="002529F3">
      <w:pPr>
        <w:pStyle w:val="Heading3"/>
        <w:numPr>
          <w:ilvl w:val="0"/>
          <w:numId w:val="0"/>
        </w:numPr>
      </w:pPr>
      <w:r w:rsidRPr="00F02F03">
        <w:t>6.</w:t>
      </w:r>
      <w:r w:rsidRPr="00F02F03">
        <w:rPr>
          <w:rFonts w:eastAsia="Arial"/>
        </w:rPr>
        <w:t xml:space="preserve"> </w:t>
      </w:r>
      <w:r w:rsidRPr="00F02F03">
        <w:rPr>
          <w:rFonts w:eastAsia="Arial"/>
        </w:rPr>
        <w:tab/>
      </w:r>
      <w:r w:rsidRPr="002529F3">
        <w:rPr>
          <w:b/>
          <w:bCs w:val="0"/>
        </w:rPr>
        <w:t xml:space="preserve">CANCELLATION </w:t>
      </w:r>
    </w:p>
    <w:p w14:paraId="04268FCB" w14:textId="58811A3E" w:rsidR="009C4051" w:rsidRPr="00F02F03" w:rsidRDefault="009C4051" w:rsidP="009402CF">
      <w:pPr>
        <w:spacing w:after="234" w:line="249" w:lineRule="auto"/>
        <w:ind w:left="853" w:right="47" w:hanging="852"/>
        <w:rPr>
          <w:rFonts w:cs="Arial"/>
          <w:szCs w:val="20"/>
        </w:rPr>
      </w:pPr>
      <w:r w:rsidRPr="00F02F03">
        <w:rPr>
          <w:rFonts w:eastAsia="Verdana" w:cs="Arial"/>
          <w:szCs w:val="20"/>
        </w:rPr>
        <w:lastRenderedPageBreak/>
        <w:t>6.1</w:t>
      </w:r>
      <w:r w:rsidRPr="00F02F03">
        <w:rPr>
          <w:rFonts w:eastAsia="Arial" w:cs="Arial"/>
          <w:szCs w:val="20"/>
        </w:rPr>
        <w:t xml:space="preserve"> </w:t>
      </w:r>
      <w:r w:rsidRPr="00F02F03">
        <w:rPr>
          <w:rFonts w:eastAsia="Arial" w:cs="Arial"/>
          <w:szCs w:val="20"/>
        </w:rPr>
        <w:tab/>
      </w:r>
      <w:r w:rsidRPr="00F02F03">
        <w:rPr>
          <w:rFonts w:eastAsia="Verdana" w:cs="Arial"/>
          <w:szCs w:val="20"/>
        </w:rPr>
        <w:t xml:space="preserve">Subject to Paragraph 6.2, the Supplier shall notify </w:t>
      </w:r>
      <w:proofErr w:type="spellStart"/>
      <w:r w:rsidR="001F1C19">
        <w:rPr>
          <w:rFonts w:eastAsia="Verdana" w:cs="Arial"/>
          <w:szCs w:val="20"/>
        </w:rPr>
        <w:t>Netlink</w:t>
      </w:r>
      <w:proofErr w:type="spellEnd"/>
      <w:r w:rsidR="001F1C19">
        <w:rPr>
          <w:rFonts w:eastAsia="Verdana" w:cs="Arial"/>
          <w:szCs w:val="20"/>
        </w:rPr>
        <w:t xml:space="preserve"> Star</w:t>
      </w:r>
      <w:r w:rsidRPr="00F02F03">
        <w:rPr>
          <w:rFonts w:eastAsia="Verdana" w:cs="Arial"/>
          <w:szCs w:val="20"/>
        </w:rPr>
        <w:t xml:space="preserve"> in writing at least 20 Working Days prior to the cancellation, suspension, </w:t>
      </w:r>
      <w:proofErr w:type="gramStart"/>
      <w:r w:rsidRPr="00F02F03">
        <w:rPr>
          <w:rFonts w:eastAsia="Verdana" w:cs="Arial"/>
          <w:szCs w:val="20"/>
        </w:rPr>
        <w:t>termination</w:t>
      </w:r>
      <w:proofErr w:type="gramEnd"/>
      <w:r w:rsidRPr="00F02F03">
        <w:rPr>
          <w:rFonts w:eastAsia="Verdana" w:cs="Arial"/>
          <w:szCs w:val="20"/>
        </w:rPr>
        <w:t xml:space="preserve"> or non-renewal of any of the Insurances, and as soon as reasonably practicable of any avoidance or attempted avoidance of any of the Insurances. </w:t>
      </w:r>
    </w:p>
    <w:p w14:paraId="56670E2D" w14:textId="77777777" w:rsidR="009C4051" w:rsidRPr="00F02F03" w:rsidRDefault="009C4051" w:rsidP="009402CF">
      <w:pPr>
        <w:spacing w:after="234" w:line="249" w:lineRule="auto"/>
        <w:ind w:left="853" w:right="47" w:hanging="852"/>
        <w:rPr>
          <w:rFonts w:cs="Arial"/>
          <w:szCs w:val="20"/>
        </w:rPr>
      </w:pPr>
      <w:r w:rsidRPr="00F02F03">
        <w:rPr>
          <w:rFonts w:eastAsia="Verdana" w:cs="Arial"/>
          <w:szCs w:val="20"/>
        </w:rPr>
        <w:t>6.2</w:t>
      </w:r>
      <w:r w:rsidRPr="00F02F03">
        <w:rPr>
          <w:rFonts w:eastAsia="Arial" w:cs="Arial"/>
          <w:szCs w:val="20"/>
        </w:rPr>
        <w:t xml:space="preserve"> </w:t>
      </w:r>
      <w:r w:rsidRPr="00F02F03">
        <w:rPr>
          <w:rFonts w:eastAsia="Arial" w:cs="Arial"/>
          <w:szCs w:val="20"/>
        </w:rPr>
        <w:tab/>
      </w:r>
      <w:r w:rsidRPr="00F02F03">
        <w:rPr>
          <w:rFonts w:eastAsia="Verdana" w:cs="Arial"/>
          <w:szCs w:val="20"/>
        </w:rPr>
        <w:t xml:space="preserve">Without prejudice to the Supplier’s obligations under Paragraph 4, Paragraph 6.1 shall not apply where the termination of any Insurances occurs purely </w:t>
      </w:r>
      <w:proofErr w:type="gramStart"/>
      <w:r w:rsidRPr="00F02F03">
        <w:rPr>
          <w:rFonts w:eastAsia="Verdana" w:cs="Arial"/>
          <w:szCs w:val="20"/>
        </w:rPr>
        <w:t>as a result of</w:t>
      </w:r>
      <w:proofErr w:type="gramEnd"/>
      <w:r w:rsidRPr="00F02F03">
        <w:rPr>
          <w:rFonts w:eastAsia="Verdana" w:cs="Arial"/>
          <w:szCs w:val="20"/>
        </w:rPr>
        <w:t xml:space="preserve"> a change of insurer in respect of any of the Insurances required to be taken out and maintained in accordance with this Schedule. </w:t>
      </w:r>
    </w:p>
    <w:p w14:paraId="4A97AD5D" w14:textId="77777777" w:rsidR="009C4051" w:rsidRPr="009C4051" w:rsidRDefault="009C4051" w:rsidP="002529F3">
      <w:pPr>
        <w:pStyle w:val="Heading3"/>
        <w:numPr>
          <w:ilvl w:val="0"/>
          <w:numId w:val="0"/>
        </w:numPr>
      </w:pPr>
      <w:r w:rsidRPr="009C4051">
        <w:t>7.</w:t>
      </w:r>
      <w:r w:rsidRPr="009C4051">
        <w:rPr>
          <w:rFonts w:eastAsia="Arial"/>
        </w:rPr>
        <w:t xml:space="preserve"> </w:t>
      </w:r>
      <w:r w:rsidRPr="009C4051">
        <w:rPr>
          <w:rFonts w:eastAsia="Arial"/>
        </w:rPr>
        <w:tab/>
      </w:r>
      <w:r w:rsidRPr="002529F3">
        <w:rPr>
          <w:b/>
          <w:bCs w:val="0"/>
        </w:rPr>
        <w:t>INSURANCE CLAIMS</w:t>
      </w:r>
      <w:r w:rsidRPr="009C4051">
        <w:t xml:space="preserve"> </w:t>
      </w:r>
    </w:p>
    <w:p w14:paraId="37E29A88" w14:textId="70F30999" w:rsidR="009C4051" w:rsidRPr="00F02F03" w:rsidRDefault="009C4051" w:rsidP="009402CF">
      <w:pPr>
        <w:spacing w:after="234" w:line="249" w:lineRule="auto"/>
        <w:ind w:left="853" w:right="47" w:hanging="852"/>
        <w:rPr>
          <w:rFonts w:cs="Arial"/>
          <w:szCs w:val="20"/>
        </w:rPr>
      </w:pPr>
      <w:r w:rsidRPr="00F02F03">
        <w:rPr>
          <w:rFonts w:eastAsia="Verdana" w:cs="Arial"/>
          <w:szCs w:val="20"/>
        </w:rPr>
        <w:t>7.1</w:t>
      </w:r>
      <w:r w:rsidRPr="00F02F03">
        <w:rPr>
          <w:rFonts w:eastAsia="Arial" w:cs="Arial"/>
          <w:szCs w:val="20"/>
        </w:rPr>
        <w:t xml:space="preserve"> </w:t>
      </w:r>
      <w:r w:rsidRPr="00F02F03">
        <w:rPr>
          <w:rFonts w:eastAsia="Arial" w:cs="Arial"/>
          <w:szCs w:val="20"/>
        </w:rPr>
        <w:tab/>
      </w:r>
      <w:r w:rsidRPr="00F02F03">
        <w:rPr>
          <w:rFonts w:eastAsia="Verdana" w:cs="Arial"/>
          <w:szCs w:val="20"/>
        </w:rPr>
        <w:t xml:space="preserve">The Supplier shall promptly notify to insurers any matter arising from, or in relation to, the Services and/or this Agreement for which it may be entitled to claim under any of the Insurances.  </w:t>
      </w:r>
      <w:proofErr w:type="gramStart"/>
      <w:r w:rsidRPr="00F02F03">
        <w:rPr>
          <w:rFonts w:eastAsia="Verdana" w:cs="Arial"/>
          <w:szCs w:val="20"/>
        </w:rPr>
        <w:t>In the event that</w:t>
      </w:r>
      <w:proofErr w:type="gramEnd"/>
      <w:r w:rsidRPr="00F02F03">
        <w:rPr>
          <w:rFonts w:eastAsia="Verdana" w:cs="Arial"/>
          <w:szCs w:val="20"/>
        </w:rPr>
        <w:t xml:space="preserve"> </w:t>
      </w:r>
      <w:proofErr w:type="spellStart"/>
      <w:r w:rsidR="001F1C19">
        <w:rPr>
          <w:rFonts w:eastAsia="Verdana" w:cs="Arial"/>
          <w:szCs w:val="20"/>
        </w:rPr>
        <w:t>Netlink</w:t>
      </w:r>
      <w:proofErr w:type="spellEnd"/>
      <w:r w:rsidR="001F1C19">
        <w:rPr>
          <w:rFonts w:eastAsia="Verdana" w:cs="Arial"/>
          <w:szCs w:val="20"/>
        </w:rPr>
        <w:t xml:space="preserve"> Star</w:t>
      </w:r>
      <w:r w:rsidRPr="00F02F03">
        <w:rPr>
          <w:rFonts w:eastAsia="Verdana" w:cs="Arial"/>
          <w:szCs w:val="20"/>
        </w:rPr>
        <w:t xml:space="preserve"> receives a claim relating to or arising out of the Services and/or this Agreement, the Supplier shall reasonably co-operate with </w:t>
      </w:r>
      <w:proofErr w:type="spellStart"/>
      <w:r w:rsidR="001F1C19">
        <w:rPr>
          <w:rFonts w:eastAsia="Verdana" w:cs="Arial"/>
          <w:szCs w:val="20"/>
        </w:rPr>
        <w:t>Netlink</w:t>
      </w:r>
      <w:proofErr w:type="spellEnd"/>
      <w:r w:rsidR="001F1C19">
        <w:rPr>
          <w:rFonts w:eastAsia="Verdana" w:cs="Arial"/>
          <w:szCs w:val="20"/>
        </w:rPr>
        <w:t xml:space="preserve"> Star</w:t>
      </w:r>
      <w:r w:rsidRPr="00F02F03">
        <w:rPr>
          <w:rFonts w:eastAsia="Verdana" w:cs="Arial"/>
          <w:szCs w:val="20"/>
        </w:rPr>
        <w:t xml:space="preserve"> and reasonably assist it in dealing with such claims at its own expense including without limitation providing information and documentation (to the extent reasonably possible) in a timely manner. </w:t>
      </w:r>
    </w:p>
    <w:p w14:paraId="0B4F33C4" w14:textId="50965A62" w:rsidR="009C4051" w:rsidRPr="00F02F03" w:rsidRDefault="009C4051" w:rsidP="009402CF">
      <w:pPr>
        <w:spacing w:after="234" w:line="249" w:lineRule="auto"/>
        <w:ind w:left="853" w:right="47" w:hanging="852"/>
        <w:rPr>
          <w:rFonts w:cs="Arial"/>
          <w:szCs w:val="20"/>
        </w:rPr>
      </w:pPr>
      <w:r w:rsidRPr="00F02F03">
        <w:rPr>
          <w:rFonts w:eastAsia="Verdana" w:cs="Arial"/>
          <w:szCs w:val="20"/>
        </w:rPr>
        <w:t>7.2</w:t>
      </w:r>
      <w:r w:rsidRPr="00F02F03">
        <w:rPr>
          <w:rFonts w:eastAsia="Arial" w:cs="Arial"/>
          <w:szCs w:val="20"/>
        </w:rPr>
        <w:t xml:space="preserve"> </w:t>
      </w:r>
      <w:r w:rsidRPr="00F02F03">
        <w:rPr>
          <w:rFonts w:eastAsia="Arial" w:cs="Arial"/>
          <w:szCs w:val="20"/>
        </w:rPr>
        <w:tab/>
        <w:t xml:space="preserve">Except where </w:t>
      </w:r>
      <w:proofErr w:type="spellStart"/>
      <w:r w:rsidR="001F1C19">
        <w:rPr>
          <w:rFonts w:eastAsia="Arial" w:cs="Arial"/>
          <w:szCs w:val="20"/>
        </w:rPr>
        <w:t>Netlink</w:t>
      </w:r>
      <w:proofErr w:type="spellEnd"/>
      <w:r w:rsidR="001F1C19">
        <w:rPr>
          <w:rFonts w:eastAsia="Arial" w:cs="Arial"/>
          <w:szCs w:val="20"/>
        </w:rPr>
        <w:t xml:space="preserve"> Star</w:t>
      </w:r>
      <w:r w:rsidRPr="00F02F03">
        <w:rPr>
          <w:rFonts w:eastAsia="Arial" w:cs="Arial"/>
          <w:szCs w:val="20"/>
        </w:rPr>
        <w:t xml:space="preserve"> is the claimant party, the Supplier shall give </w:t>
      </w:r>
      <w:proofErr w:type="spellStart"/>
      <w:r w:rsidR="001F1C19">
        <w:rPr>
          <w:rFonts w:eastAsia="Arial" w:cs="Arial"/>
          <w:szCs w:val="20"/>
        </w:rPr>
        <w:t>Netlink</w:t>
      </w:r>
      <w:proofErr w:type="spellEnd"/>
      <w:r w:rsidR="001F1C19">
        <w:rPr>
          <w:rFonts w:eastAsia="Arial" w:cs="Arial"/>
          <w:szCs w:val="20"/>
        </w:rPr>
        <w:t xml:space="preserve"> Star</w:t>
      </w:r>
      <w:r w:rsidRPr="00F02F03">
        <w:rPr>
          <w:rFonts w:eastAsia="Arial" w:cs="Arial"/>
          <w:szCs w:val="20"/>
        </w:rPr>
        <w:t xml:space="preserve"> notice within 20 Working Days after any insurance claim in excess of £500,000 relating to or arising out of the provision of the Services or this Agreement on any of the Insurances or which, but for the application of the applicable policy excess, would be made on any of the Insurances and (if required by </w:t>
      </w:r>
      <w:proofErr w:type="spellStart"/>
      <w:r w:rsidR="001F1C19">
        <w:rPr>
          <w:rFonts w:eastAsia="Arial" w:cs="Arial"/>
          <w:szCs w:val="20"/>
        </w:rPr>
        <w:t>Netlink</w:t>
      </w:r>
      <w:proofErr w:type="spellEnd"/>
      <w:r w:rsidR="001F1C19">
        <w:rPr>
          <w:rFonts w:eastAsia="Arial" w:cs="Arial"/>
          <w:szCs w:val="20"/>
        </w:rPr>
        <w:t xml:space="preserve"> Star</w:t>
      </w:r>
      <w:r w:rsidRPr="00F02F03">
        <w:rPr>
          <w:rFonts w:eastAsia="Arial" w:cs="Arial"/>
          <w:szCs w:val="20"/>
        </w:rPr>
        <w:t>) full details of the incident giving rise to the claim.</w:t>
      </w:r>
    </w:p>
    <w:p w14:paraId="7881B04E" w14:textId="77777777" w:rsidR="009C4051" w:rsidRPr="00F02F03" w:rsidRDefault="009C4051" w:rsidP="009402CF">
      <w:pPr>
        <w:spacing w:after="234" w:line="249" w:lineRule="auto"/>
        <w:ind w:left="853" w:right="47" w:hanging="852"/>
        <w:rPr>
          <w:rFonts w:cs="Arial"/>
          <w:szCs w:val="20"/>
        </w:rPr>
      </w:pPr>
      <w:r w:rsidRPr="00F02F03">
        <w:rPr>
          <w:rFonts w:eastAsia="Verdana" w:cs="Arial"/>
          <w:szCs w:val="20"/>
        </w:rPr>
        <w:t>7.3</w:t>
      </w:r>
      <w:r w:rsidRPr="00F02F03">
        <w:rPr>
          <w:rFonts w:eastAsia="Arial" w:cs="Arial"/>
          <w:szCs w:val="20"/>
        </w:rPr>
        <w:t xml:space="preserve"> </w:t>
      </w:r>
      <w:r w:rsidRPr="00F02F03">
        <w:rPr>
          <w:rFonts w:eastAsia="Arial" w:cs="Arial"/>
          <w:szCs w:val="20"/>
        </w:rPr>
        <w:tab/>
      </w:r>
      <w:r w:rsidRPr="00F02F03">
        <w:rPr>
          <w:rFonts w:eastAsia="Verdana" w:cs="Arial"/>
          <w:szCs w:val="20"/>
        </w:rPr>
        <w:t xml:space="preserve">Where any Insurance requires payment of a premium, the Supplier shall be liable for and shall promptly pay such premium. </w:t>
      </w:r>
    </w:p>
    <w:p w14:paraId="225592D4" w14:textId="33164901" w:rsidR="009C4051" w:rsidRPr="00F02F03" w:rsidRDefault="009C4051" w:rsidP="009402CF">
      <w:pPr>
        <w:spacing w:after="234" w:line="249" w:lineRule="auto"/>
        <w:ind w:left="853" w:right="47" w:hanging="852"/>
        <w:rPr>
          <w:rFonts w:cs="Arial"/>
          <w:szCs w:val="20"/>
        </w:rPr>
      </w:pPr>
      <w:r w:rsidRPr="00F02F03">
        <w:rPr>
          <w:rFonts w:eastAsia="Verdana" w:cs="Arial"/>
          <w:szCs w:val="20"/>
        </w:rPr>
        <w:t>7.4</w:t>
      </w:r>
      <w:r w:rsidRPr="00F02F03">
        <w:rPr>
          <w:rFonts w:eastAsia="Arial" w:cs="Arial"/>
          <w:szCs w:val="20"/>
        </w:rPr>
        <w:t xml:space="preserve"> </w:t>
      </w:r>
      <w:r w:rsidRPr="00F02F03">
        <w:rPr>
          <w:rFonts w:eastAsia="Arial" w:cs="Arial"/>
          <w:szCs w:val="20"/>
        </w:rPr>
        <w:tab/>
      </w:r>
      <w:r w:rsidRPr="00F02F03">
        <w:rPr>
          <w:rFonts w:eastAsia="Verdana" w:cs="Arial"/>
          <w:szCs w:val="20"/>
        </w:rPr>
        <w:t xml:space="preserve">Where any Insurance is subject to an excess or deductible below which the indemnity from insurers is excluded, the Supplier shall be liable for such excess or deductible.  The Supplier shall not be entitled to recover from </w:t>
      </w:r>
      <w:proofErr w:type="spellStart"/>
      <w:r w:rsidR="001F1C19">
        <w:rPr>
          <w:rFonts w:eastAsia="Verdana" w:cs="Arial"/>
          <w:szCs w:val="20"/>
        </w:rPr>
        <w:t>Netlink</w:t>
      </w:r>
      <w:proofErr w:type="spellEnd"/>
      <w:r w:rsidR="001F1C19">
        <w:rPr>
          <w:rFonts w:eastAsia="Verdana" w:cs="Arial"/>
          <w:szCs w:val="20"/>
        </w:rPr>
        <w:t xml:space="preserve"> Star</w:t>
      </w:r>
      <w:r w:rsidRPr="00F02F03">
        <w:rPr>
          <w:rFonts w:eastAsia="Verdana" w:cs="Arial"/>
          <w:szCs w:val="20"/>
        </w:rPr>
        <w:t xml:space="preserve"> any sum paid by way of excess or deductible under the Insurances whether under the terms of this Agreement or otherwise. </w:t>
      </w:r>
    </w:p>
    <w:p w14:paraId="47EE9779" w14:textId="2895124E" w:rsidR="009C4051" w:rsidRPr="009C4051" w:rsidRDefault="009C4051" w:rsidP="002529F3">
      <w:pPr>
        <w:pStyle w:val="Heading3"/>
        <w:numPr>
          <w:ilvl w:val="0"/>
          <w:numId w:val="0"/>
        </w:numPr>
      </w:pPr>
      <w:r w:rsidRPr="009C4051">
        <w:t>8.</w:t>
      </w:r>
      <w:r w:rsidRPr="009C4051">
        <w:rPr>
          <w:rFonts w:eastAsia="Arial"/>
        </w:rPr>
        <w:t xml:space="preserve"> </w:t>
      </w:r>
      <w:r>
        <w:rPr>
          <w:rFonts w:eastAsia="Arial"/>
        </w:rPr>
        <w:tab/>
      </w:r>
      <w:r w:rsidRPr="002529F3">
        <w:rPr>
          <w:b/>
          <w:bCs w:val="0"/>
        </w:rPr>
        <w:t>LIMIT OF LIABILITY</w:t>
      </w:r>
      <w:r w:rsidRPr="009C4051">
        <w:t xml:space="preserve">  </w:t>
      </w:r>
    </w:p>
    <w:p w14:paraId="2735C93C" w14:textId="77777777" w:rsidR="009C4051" w:rsidRPr="00F02F03" w:rsidRDefault="009C4051" w:rsidP="009C4051">
      <w:pPr>
        <w:spacing w:after="234" w:line="249" w:lineRule="auto"/>
        <w:ind w:left="851" w:right="47" w:firstLine="0"/>
        <w:rPr>
          <w:rFonts w:cs="Arial"/>
          <w:szCs w:val="20"/>
        </w:rPr>
      </w:pPr>
      <w:r w:rsidRPr="00F02F03">
        <w:rPr>
          <w:rFonts w:eastAsia="Verdana" w:cs="Arial"/>
          <w:szCs w:val="20"/>
        </w:rPr>
        <w:t xml:space="preserve">Neither failure to comply, nor full compliance, with the insurance provisions set out in this Schedule shall limit or relieve the Supplier of its other liabilities and obligations under this Agreement.  </w:t>
      </w:r>
    </w:p>
    <w:p w14:paraId="5575D930" w14:textId="77777777" w:rsidR="009C4051" w:rsidRPr="00F02F03" w:rsidRDefault="009C4051" w:rsidP="009402CF">
      <w:pPr>
        <w:spacing w:after="0"/>
        <w:rPr>
          <w:rFonts w:cs="Arial"/>
          <w:szCs w:val="20"/>
        </w:rPr>
      </w:pPr>
      <w:r w:rsidRPr="00F02F03">
        <w:rPr>
          <w:rFonts w:eastAsia="Arial" w:cs="Arial"/>
          <w:szCs w:val="20"/>
        </w:rPr>
        <w:t xml:space="preserve"> </w:t>
      </w:r>
      <w:r w:rsidRPr="00F02F03">
        <w:rPr>
          <w:rFonts w:eastAsia="Arial" w:cs="Arial"/>
          <w:szCs w:val="20"/>
        </w:rPr>
        <w:tab/>
      </w:r>
      <w:r w:rsidRPr="00F02F03">
        <w:rPr>
          <w:rFonts w:eastAsia="Verdana" w:cs="Arial"/>
          <w:szCs w:val="20"/>
        </w:rPr>
        <w:t xml:space="preserve"> </w:t>
      </w:r>
      <w:r w:rsidRPr="00F02F03">
        <w:rPr>
          <w:rFonts w:cs="Arial"/>
          <w:szCs w:val="20"/>
        </w:rPr>
        <w:br w:type="page"/>
      </w:r>
    </w:p>
    <w:p w14:paraId="2519F0D6" w14:textId="77777777" w:rsidR="009C4051" w:rsidRPr="00F02F03" w:rsidRDefault="009C4051" w:rsidP="009402CF">
      <w:pPr>
        <w:spacing w:after="223"/>
        <w:ind w:left="800" w:right="794" w:hanging="10"/>
        <w:jc w:val="center"/>
        <w:rPr>
          <w:rFonts w:cs="Arial"/>
          <w:szCs w:val="20"/>
        </w:rPr>
      </w:pPr>
      <w:r w:rsidRPr="00F02F03">
        <w:rPr>
          <w:rFonts w:eastAsia="Verdana" w:cs="Arial"/>
          <w:b/>
          <w:szCs w:val="20"/>
        </w:rPr>
        <w:lastRenderedPageBreak/>
        <w:t xml:space="preserve">ANNEX </w:t>
      </w:r>
      <w:r>
        <w:rPr>
          <w:rFonts w:eastAsia="Verdana" w:cs="Arial"/>
          <w:b/>
          <w:szCs w:val="20"/>
        </w:rPr>
        <w:t>2.7A</w:t>
      </w:r>
    </w:p>
    <w:p w14:paraId="6F3918E2" w14:textId="52507D41" w:rsidR="009C4051" w:rsidRPr="00F02F03" w:rsidRDefault="002529F3" w:rsidP="009402CF">
      <w:pPr>
        <w:spacing w:after="223"/>
        <w:ind w:left="800" w:right="796" w:hanging="10"/>
        <w:jc w:val="center"/>
        <w:rPr>
          <w:rFonts w:cs="Arial"/>
          <w:szCs w:val="20"/>
        </w:rPr>
      </w:pPr>
      <w:r w:rsidRPr="00F02F03">
        <w:rPr>
          <w:rFonts w:eastAsia="Verdana" w:cs="Arial"/>
          <w:b/>
          <w:szCs w:val="20"/>
        </w:rPr>
        <w:t xml:space="preserve">REQUIRED INSURANCES </w:t>
      </w:r>
    </w:p>
    <w:p w14:paraId="7C7C7974" w14:textId="19D51E67" w:rsidR="009C4051" w:rsidRPr="00A20CD5" w:rsidRDefault="009C4051" w:rsidP="009D675B">
      <w:pPr>
        <w:pStyle w:val="ListParagraph"/>
        <w:numPr>
          <w:ilvl w:val="1"/>
          <w:numId w:val="132"/>
        </w:numPr>
        <w:spacing w:after="233" w:line="251" w:lineRule="auto"/>
        <w:rPr>
          <w:rFonts w:eastAsia="Verdana" w:cs="Arial"/>
          <w:szCs w:val="20"/>
        </w:rPr>
      </w:pPr>
      <w:r w:rsidRPr="00A20CD5">
        <w:rPr>
          <w:rFonts w:eastAsia="Verdana" w:cs="Arial"/>
          <w:b/>
          <w:szCs w:val="20"/>
        </w:rPr>
        <w:t>PART A: THIRD PARTY PUBLIC AND PRODUCTS LIA</w:t>
      </w:r>
      <w:r w:rsidR="00DF38EE">
        <w:rPr>
          <w:rFonts w:eastAsia="Verdana" w:cs="Arial"/>
          <w:b/>
          <w:szCs w:val="20"/>
        </w:rPr>
        <w:t>BILI</w:t>
      </w:r>
      <w:r w:rsidRPr="00A20CD5">
        <w:rPr>
          <w:rFonts w:eastAsia="Verdana" w:cs="Arial"/>
          <w:b/>
          <w:szCs w:val="20"/>
        </w:rPr>
        <w:t>TY INSURANCE</w:t>
      </w:r>
      <w:r w:rsidRPr="00A20CD5">
        <w:rPr>
          <w:rFonts w:eastAsia="Verdana" w:cs="Arial"/>
          <w:szCs w:val="20"/>
        </w:rPr>
        <w:t xml:space="preserve"> </w:t>
      </w:r>
    </w:p>
    <w:p w14:paraId="4E4C51F3" w14:textId="77777777" w:rsidR="009C4051" w:rsidRPr="009C4051" w:rsidRDefault="009C4051" w:rsidP="009402CF">
      <w:pPr>
        <w:spacing w:after="233" w:line="251" w:lineRule="auto"/>
        <w:ind w:left="851" w:hanging="864"/>
        <w:rPr>
          <w:rFonts w:cs="Arial"/>
          <w:b/>
          <w:bCs/>
          <w:szCs w:val="20"/>
        </w:rPr>
      </w:pPr>
      <w:r w:rsidRPr="009C4051">
        <w:rPr>
          <w:rFonts w:eastAsia="Verdana" w:cs="Arial"/>
          <w:b/>
          <w:bCs/>
          <w:szCs w:val="20"/>
        </w:rPr>
        <w:t>1.</w:t>
      </w:r>
      <w:r w:rsidRPr="009C4051">
        <w:rPr>
          <w:rFonts w:eastAsia="Arial" w:cs="Arial"/>
          <w:b/>
          <w:bCs/>
          <w:szCs w:val="20"/>
        </w:rPr>
        <w:t xml:space="preserve"> </w:t>
      </w:r>
      <w:r w:rsidRPr="009C4051">
        <w:rPr>
          <w:rFonts w:eastAsia="Arial" w:cs="Arial"/>
          <w:b/>
          <w:bCs/>
          <w:szCs w:val="20"/>
        </w:rPr>
        <w:tab/>
      </w:r>
      <w:r w:rsidRPr="009C4051">
        <w:rPr>
          <w:rFonts w:eastAsia="Verdana" w:cs="Arial"/>
          <w:b/>
          <w:bCs/>
          <w:szCs w:val="20"/>
        </w:rPr>
        <w:t xml:space="preserve">Insured </w:t>
      </w:r>
    </w:p>
    <w:p w14:paraId="60F0A606" w14:textId="77777777" w:rsidR="009C4051" w:rsidRPr="00F02F03" w:rsidRDefault="009C4051" w:rsidP="009402CF">
      <w:pPr>
        <w:spacing w:after="234" w:line="249" w:lineRule="auto"/>
        <w:ind w:left="849" w:right="47" w:hanging="9"/>
        <w:rPr>
          <w:rFonts w:cs="Arial"/>
          <w:szCs w:val="20"/>
        </w:rPr>
      </w:pPr>
      <w:r w:rsidRPr="00F02F03">
        <w:rPr>
          <w:rFonts w:eastAsia="Verdana" w:cs="Arial"/>
          <w:szCs w:val="20"/>
        </w:rPr>
        <w:t xml:space="preserve">The Supplier. </w:t>
      </w:r>
    </w:p>
    <w:p w14:paraId="0B1E30B7" w14:textId="77777777" w:rsidR="009C4051" w:rsidRPr="009C4051" w:rsidRDefault="009C4051" w:rsidP="009C4051">
      <w:pPr>
        <w:spacing w:after="233" w:line="251" w:lineRule="auto"/>
        <w:ind w:left="851" w:hanging="864"/>
        <w:rPr>
          <w:rFonts w:cs="Arial"/>
          <w:b/>
          <w:bCs/>
          <w:szCs w:val="20"/>
        </w:rPr>
      </w:pPr>
      <w:r w:rsidRPr="009C4051">
        <w:rPr>
          <w:rFonts w:cs="Arial"/>
          <w:b/>
          <w:bCs/>
          <w:szCs w:val="20"/>
        </w:rPr>
        <w:t>2.</w:t>
      </w:r>
      <w:r w:rsidRPr="009C4051">
        <w:rPr>
          <w:rFonts w:eastAsia="Arial" w:cs="Arial"/>
          <w:b/>
          <w:bCs/>
          <w:szCs w:val="20"/>
        </w:rPr>
        <w:t xml:space="preserve"> </w:t>
      </w:r>
      <w:r w:rsidRPr="009C4051">
        <w:rPr>
          <w:rFonts w:eastAsia="Arial" w:cs="Arial"/>
          <w:b/>
          <w:bCs/>
          <w:szCs w:val="20"/>
        </w:rPr>
        <w:tab/>
      </w:r>
      <w:r w:rsidRPr="009C4051">
        <w:rPr>
          <w:rFonts w:eastAsia="Verdana" w:cs="Arial"/>
          <w:b/>
          <w:bCs/>
          <w:szCs w:val="20"/>
        </w:rPr>
        <w:t>Interest</w:t>
      </w:r>
      <w:r w:rsidRPr="009C4051">
        <w:rPr>
          <w:rFonts w:cs="Arial"/>
          <w:b/>
          <w:bCs/>
          <w:szCs w:val="20"/>
        </w:rPr>
        <w:t xml:space="preserve"> </w:t>
      </w:r>
    </w:p>
    <w:p w14:paraId="203F8B9D" w14:textId="078A4653" w:rsidR="009C4051" w:rsidRPr="00F02F03" w:rsidRDefault="009C4051" w:rsidP="009402CF">
      <w:pPr>
        <w:spacing w:after="234" w:line="249" w:lineRule="auto"/>
        <w:ind w:left="851" w:right="47" w:hanging="851"/>
        <w:rPr>
          <w:rFonts w:cs="Arial"/>
          <w:szCs w:val="20"/>
        </w:rPr>
      </w:pPr>
      <w:r w:rsidRPr="00F02F03">
        <w:rPr>
          <w:rFonts w:eastAsia="Verdana" w:cs="Arial"/>
          <w:szCs w:val="20"/>
        </w:rPr>
        <w:t>2.1</w:t>
      </w:r>
      <w:r w:rsidRPr="00F02F03">
        <w:rPr>
          <w:rFonts w:eastAsia="Verdana" w:cs="Arial"/>
          <w:szCs w:val="20"/>
        </w:rPr>
        <w:tab/>
        <w:t xml:space="preserve">To indemnify the Insured in respect of all sums which the Insured shall become legally liable to pay as damages, </w:t>
      </w:r>
      <w:r w:rsidR="007A13EA">
        <w:rPr>
          <w:rFonts w:eastAsia="Verdana" w:cs="Arial"/>
          <w:szCs w:val="20"/>
        </w:rPr>
        <w:t>i</w:t>
      </w:r>
      <w:r w:rsidRPr="00F02F03">
        <w:rPr>
          <w:rFonts w:eastAsia="Verdana" w:cs="Arial"/>
          <w:szCs w:val="20"/>
        </w:rPr>
        <w:t xml:space="preserve">ncluding claimant's costs and expenses, in respect of accidental: </w:t>
      </w:r>
    </w:p>
    <w:p w14:paraId="40DBC32D" w14:textId="77777777" w:rsidR="009C4051" w:rsidRPr="00F02F03" w:rsidRDefault="009C4051" w:rsidP="009402CF">
      <w:pPr>
        <w:spacing w:after="234" w:line="249" w:lineRule="auto"/>
        <w:ind w:left="1843" w:hanging="992"/>
        <w:rPr>
          <w:rFonts w:cs="Arial"/>
          <w:szCs w:val="20"/>
        </w:rPr>
      </w:pPr>
      <w:r w:rsidRPr="00F02F03">
        <w:rPr>
          <w:rFonts w:eastAsia="Verdana" w:cs="Arial"/>
          <w:szCs w:val="20"/>
        </w:rPr>
        <w:t>2.1.1</w:t>
      </w:r>
      <w:r w:rsidRPr="00F02F03">
        <w:rPr>
          <w:rFonts w:eastAsia="Verdana" w:cs="Arial"/>
          <w:szCs w:val="20"/>
        </w:rPr>
        <w:tab/>
        <w:t xml:space="preserve">death or bodily injury to or sickness, illness or disease contracted by any person; and </w:t>
      </w:r>
    </w:p>
    <w:p w14:paraId="49DB7794" w14:textId="77777777" w:rsidR="009C4051" w:rsidRPr="00F02F03" w:rsidRDefault="009C4051" w:rsidP="009402CF">
      <w:pPr>
        <w:spacing w:after="234" w:line="249" w:lineRule="auto"/>
        <w:ind w:left="1843" w:hanging="992"/>
        <w:rPr>
          <w:rFonts w:eastAsia="Verdana" w:cs="Arial"/>
          <w:szCs w:val="20"/>
        </w:rPr>
      </w:pPr>
      <w:r w:rsidRPr="00F02F03">
        <w:rPr>
          <w:rFonts w:eastAsia="Verdana" w:cs="Arial"/>
          <w:szCs w:val="20"/>
        </w:rPr>
        <w:t xml:space="preserve">2.1.2 </w:t>
      </w:r>
      <w:r w:rsidRPr="00F02F03">
        <w:rPr>
          <w:rFonts w:eastAsia="Verdana" w:cs="Arial"/>
          <w:szCs w:val="20"/>
        </w:rPr>
        <w:tab/>
        <w:t xml:space="preserve">loss of or damage to </w:t>
      </w:r>
      <w:proofErr w:type="gramStart"/>
      <w:r w:rsidRPr="00F02F03">
        <w:rPr>
          <w:rFonts w:eastAsia="Verdana" w:cs="Arial"/>
          <w:szCs w:val="20"/>
        </w:rPr>
        <w:t>property;</w:t>
      </w:r>
      <w:proofErr w:type="gramEnd"/>
      <w:r w:rsidRPr="00F02F03">
        <w:rPr>
          <w:rFonts w:eastAsia="Verdana" w:cs="Arial"/>
          <w:szCs w:val="20"/>
        </w:rPr>
        <w:t xml:space="preserve"> </w:t>
      </w:r>
    </w:p>
    <w:p w14:paraId="038747A1" w14:textId="5EB8A495" w:rsidR="009C4051" w:rsidRPr="00F02F03" w:rsidRDefault="009C4051" w:rsidP="009402CF">
      <w:pPr>
        <w:spacing w:after="234" w:line="249" w:lineRule="auto"/>
        <w:ind w:left="849" w:right="47" w:hanging="9"/>
        <w:rPr>
          <w:rFonts w:cs="Arial"/>
          <w:szCs w:val="20"/>
        </w:rPr>
      </w:pPr>
      <w:r w:rsidRPr="00F02F03">
        <w:rPr>
          <w:rFonts w:eastAsia="Verdana" w:cs="Arial"/>
          <w:szCs w:val="20"/>
        </w:rPr>
        <w:t xml:space="preserve">happening during the period of insurance (as specified in paragraph 5 of Part A in this Annex) and arising out of or in connection with the provision of the Services and in connection withs Agreement. </w:t>
      </w:r>
    </w:p>
    <w:p w14:paraId="77D39D50" w14:textId="77777777" w:rsidR="009C4051" w:rsidRPr="00A20CD5" w:rsidRDefault="009C4051" w:rsidP="009D675B">
      <w:pPr>
        <w:pStyle w:val="ListParagraph"/>
        <w:numPr>
          <w:ilvl w:val="1"/>
          <w:numId w:val="132"/>
        </w:numPr>
        <w:spacing w:after="233" w:line="251" w:lineRule="auto"/>
        <w:rPr>
          <w:rFonts w:cs="Arial"/>
          <w:b/>
          <w:bCs/>
          <w:szCs w:val="20"/>
        </w:rPr>
      </w:pPr>
      <w:r w:rsidRPr="00A20CD5">
        <w:rPr>
          <w:rFonts w:cs="Arial"/>
          <w:b/>
          <w:bCs/>
          <w:szCs w:val="20"/>
        </w:rPr>
        <w:t>3.</w:t>
      </w:r>
      <w:r w:rsidRPr="00A20CD5">
        <w:rPr>
          <w:rFonts w:eastAsia="Arial" w:cs="Arial"/>
          <w:b/>
          <w:bCs/>
          <w:szCs w:val="20"/>
        </w:rPr>
        <w:t xml:space="preserve"> </w:t>
      </w:r>
      <w:r w:rsidRPr="00A20CD5">
        <w:rPr>
          <w:rFonts w:eastAsia="Arial" w:cs="Arial"/>
          <w:b/>
          <w:bCs/>
          <w:szCs w:val="20"/>
        </w:rPr>
        <w:tab/>
      </w:r>
      <w:r w:rsidRPr="00A20CD5">
        <w:rPr>
          <w:rFonts w:cs="Arial"/>
          <w:b/>
          <w:bCs/>
          <w:szCs w:val="20"/>
        </w:rPr>
        <w:t xml:space="preserve">Limit of indemnity </w:t>
      </w:r>
    </w:p>
    <w:p w14:paraId="0C46FE40" w14:textId="6C8EDE70" w:rsidR="009C4051" w:rsidRPr="00F02F03" w:rsidRDefault="009C4051" w:rsidP="009402CF">
      <w:pPr>
        <w:spacing w:after="234" w:line="249" w:lineRule="auto"/>
        <w:ind w:left="849" w:right="47" w:hanging="9"/>
        <w:rPr>
          <w:rFonts w:cs="Arial"/>
          <w:szCs w:val="20"/>
        </w:rPr>
      </w:pPr>
      <w:r w:rsidRPr="00F02F03">
        <w:rPr>
          <w:rFonts w:eastAsia="Verdana" w:cs="Arial"/>
          <w:szCs w:val="20"/>
        </w:rPr>
        <w:t>Not less than £10,000,000 in respect of any one occurrence, the number of occurrences being unlimited, but £10,000,000 in the aggregate per annum in respect of products and po</w:t>
      </w:r>
      <w:r w:rsidR="004E415B">
        <w:rPr>
          <w:rFonts w:eastAsia="Verdana" w:cs="Arial"/>
          <w:szCs w:val="20"/>
        </w:rPr>
        <w:t>l</w:t>
      </w:r>
      <w:r w:rsidRPr="00F02F03">
        <w:rPr>
          <w:rFonts w:eastAsia="Verdana" w:cs="Arial"/>
          <w:szCs w:val="20"/>
        </w:rPr>
        <w:t>l</w:t>
      </w:r>
      <w:r w:rsidR="004E415B">
        <w:rPr>
          <w:rFonts w:eastAsia="Verdana" w:cs="Arial"/>
          <w:szCs w:val="20"/>
        </w:rPr>
        <w:t>uti</w:t>
      </w:r>
      <w:r w:rsidRPr="00F02F03">
        <w:rPr>
          <w:rFonts w:eastAsia="Verdana" w:cs="Arial"/>
          <w:szCs w:val="20"/>
        </w:rPr>
        <w:t>on liability.</w:t>
      </w:r>
    </w:p>
    <w:p w14:paraId="1A949E37" w14:textId="77777777" w:rsidR="009C4051" w:rsidRPr="00A20CD5" w:rsidRDefault="009C4051" w:rsidP="009D675B">
      <w:pPr>
        <w:pStyle w:val="ListParagraph"/>
        <w:numPr>
          <w:ilvl w:val="1"/>
          <w:numId w:val="132"/>
        </w:numPr>
        <w:spacing w:after="233" w:line="251" w:lineRule="auto"/>
        <w:rPr>
          <w:rFonts w:cs="Arial"/>
          <w:szCs w:val="20"/>
        </w:rPr>
      </w:pPr>
      <w:r w:rsidRPr="00A20CD5">
        <w:rPr>
          <w:rFonts w:eastAsia="Verdana" w:cs="Arial"/>
          <w:szCs w:val="20"/>
        </w:rPr>
        <w:t>4.</w:t>
      </w:r>
      <w:r w:rsidRPr="00A20CD5">
        <w:rPr>
          <w:rFonts w:eastAsia="Arial" w:cs="Arial"/>
          <w:szCs w:val="20"/>
        </w:rPr>
        <w:t xml:space="preserve"> </w:t>
      </w:r>
      <w:r w:rsidRPr="00A20CD5">
        <w:rPr>
          <w:rFonts w:eastAsia="Arial" w:cs="Arial"/>
          <w:szCs w:val="20"/>
        </w:rPr>
        <w:tab/>
      </w:r>
      <w:r w:rsidRPr="00A20CD5">
        <w:rPr>
          <w:rFonts w:cs="Arial"/>
          <w:b/>
          <w:bCs/>
          <w:szCs w:val="20"/>
        </w:rPr>
        <w:t>Territorial</w:t>
      </w:r>
      <w:r w:rsidRPr="00A20CD5">
        <w:rPr>
          <w:rFonts w:eastAsia="Verdana" w:cs="Arial"/>
          <w:b/>
          <w:szCs w:val="20"/>
        </w:rPr>
        <w:t xml:space="preserve"> limits </w:t>
      </w:r>
    </w:p>
    <w:p w14:paraId="528669F6" w14:textId="77777777" w:rsidR="009C4051" w:rsidRPr="00F02F03" w:rsidRDefault="009C4051" w:rsidP="009402CF">
      <w:pPr>
        <w:spacing w:after="234" w:line="249" w:lineRule="auto"/>
        <w:ind w:left="849" w:right="47" w:hanging="9"/>
        <w:rPr>
          <w:rFonts w:cs="Arial"/>
          <w:szCs w:val="20"/>
        </w:rPr>
      </w:pPr>
      <w:r w:rsidRPr="00F02F03">
        <w:rPr>
          <w:rFonts w:eastAsia="Verdana" w:cs="Arial"/>
          <w:szCs w:val="20"/>
        </w:rPr>
        <w:t xml:space="preserve">To include the United Kingdom.  </w:t>
      </w:r>
    </w:p>
    <w:p w14:paraId="099BF53C" w14:textId="77777777" w:rsidR="009C4051" w:rsidRPr="009C4051" w:rsidRDefault="009C4051" w:rsidP="00346A37">
      <w:pPr>
        <w:pStyle w:val="Heading3"/>
      </w:pPr>
      <w:r w:rsidRPr="009C4051">
        <w:t>5.</w:t>
      </w:r>
      <w:r w:rsidRPr="009C4051">
        <w:rPr>
          <w:rFonts w:eastAsia="Arial"/>
        </w:rPr>
        <w:t xml:space="preserve"> </w:t>
      </w:r>
      <w:r w:rsidRPr="009C4051">
        <w:rPr>
          <w:rFonts w:eastAsia="Arial"/>
        </w:rPr>
        <w:tab/>
      </w:r>
      <w:r w:rsidRPr="009C4051">
        <w:t xml:space="preserve">Period of insurance </w:t>
      </w:r>
    </w:p>
    <w:p w14:paraId="3F1BC3BB" w14:textId="78FB7850" w:rsidR="009C4051" w:rsidRPr="00F02F03" w:rsidRDefault="009C4051" w:rsidP="009C4051">
      <w:pPr>
        <w:spacing w:after="234" w:line="249" w:lineRule="auto"/>
        <w:ind w:left="849" w:right="47" w:hanging="9"/>
        <w:rPr>
          <w:rFonts w:cs="Arial"/>
          <w:szCs w:val="20"/>
        </w:rPr>
      </w:pPr>
      <w:r w:rsidRPr="00F02F03">
        <w:rPr>
          <w:rFonts w:eastAsia="Verdana" w:cs="Arial"/>
          <w:szCs w:val="20"/>
        </w:rPr>
        <w:t xml:space="preserve">From the date of this Agreement for the Term and renewable on an annual basis unless agreed otherwise by </w:t>
      </w:r>
      <w:proofErr w:type="spellStart"/>
      <w:r w:rsidR="001F1C19">
        <w:rPr>
          <w:rFonts w:eastAsia="Verdana" w:cs="Arial"/>
          <w:szCs w:val="20"/>
        </w:rPr>
        <w:t>Netlink</w:t>
      </w:r>
      <w:proofErr w:type="spellEnd"/>
      <w:r w:rsidR="001F1C19">
        <w:rPr>
          <w:rFonts w:eastAsia="Verdana" w:cs="Arial"/>
          <w:szCs w:val="20"/>
        </w:rPr>
        <w:t xml:space="preserve"> Star</w:t>
      </w:r>
      <w:r w:rsidRPr="00F02F03">
        <w:rPr>
          <w:rFonts w:eastAsia="Verdana" w:cs="Arial"/>
          <w:szCs w:val="20"/>
        </w:rPr>
        <w:t xml:space="preserve"> in writing. </w:t>
      </w:r>
    </w:p>
    <w:p w14:paraId="2730BAF8" w14:textId="77777777" w:rsidR="009C4051" w:rsidRPr="00F02F03" w:rsidRDefault="009C4051" w:rsidP="009C4051">
      <w:pPr>
        <w:spacing w:after="233" w:line="251" w:lineRule="auto"/>
        <w:ind w:left="851" w:hanging="864"/>
        <w:rPr>
          <w:rFonts w:cs="Arial"/>
          <w:szCs w:val="20"/>
        </w:rPr>
      </w:pPr>
      <w:r w:rsidRPr="00F02F03">
        <w:rPr>
          <w:rFonts w:eastAsia="Verdana" w:cs="Arial"/>
          <w:szCs w:val="20"/>
        </w:rPr>
        <w:t>6.</w:t>
      </w:r>
      <w:r w:rsidRPr="00F02F03">
        <w:rPr>
          <w:rFonts w:eastAsia="Arial" w:cs="Arial"/>
          <w:szCs w:val="20"/>
        </w:rPr>
        <w:t xml:space="preserve"> </w:t>
      </w:r>
      <w:r w:rsidRPr="00F02F03">
        <w:rPr>
          <w:rFonts w:eastAsia="Arial" w:cs="Arial"/>
          <w:szCs w:val="20"/>
        </w:rPr>
        <w:tab/>
      </w:r>
      <w:r w:rsidRPr="00F02F03">
        <w:rPr>
          <w:rFonts w:eastAsia="Verdana" w:cs="Arial"/>
          <w:b/>
          <w:szCs w:val="20"/>
        </w:rPr>
        <w:t xml:space="preserve">Cover features and extensions </w:t>
      </w:r>
    </w:p>
    <w:p w14:paraId="1381945D" w14:textId="77777777" w:rsidR="009C4051" w:rsidRPr="00F02F03" w:rsidRDefault="009C4051" w:rsidP="009402CF">
      <w:pPr>
        <w:spacing w:after="234" w:line="249" w:lineRule="auto"/>
        <w:ind w:left="849" w:right="47" w:hanging="9"/>
        <w:rPr>
          <w:rFonts w:cs="Arial"/>
          <w:szCs w:val="20"/>
        </w:rPr>
      </w:pPr>
      <w:r w:rsidRPr="00F02F03">
        <w:rPr>
          <w:rFonts w:eastAsia="Verdana" w:cs="Arial"/>
          <w:szCs w:val="20"/>
        </w:rPr>
        <w:t xml:space="preserve">Indemnity to </w:t>
      </w:r>
      <w:proofErr w:type="gramStart"/>
      <w:r w:rsidRPr="00F02F03">
        <w:rPr>
          <w:rFonts w:eastAsia="Verdana" w:cs="Arial"/>
          <w:szCs w:val="20"/>
        </w:rPr>
        <w:t>principals</w:t>
      </w:r>
      <w:proofErr w:type="gramEnd"/>
      <w:r w:rsidRPr="00F02F03">
        <w:rPr>
          <w:rFonts w:eastAsia="Verdana" w:cs="Arial"/>
          <w:szCs w:val="20"/>
        </w:rPr>
        <w:t xml:space="preserve"> clause. </w:t>
      </w:r>
    </w:p>
    <w:p w14:paraId="6D256636" w14:textId="77777777" w:rsidR="009C4051" w:rsidRPr="009C4051" w:rsidRDefault="009C4051" w:rsidP="009C4051">
      <w:pPr>
        <w:spacing w:after="233" w:line="251" w:lineRule="auto"/>
        <w:ind w:left="851" w:hanging="864"/>
        <w:rPr>
          <w:rFonts w:cs="Arial"/>
          <w:b/>
          <w:bCs/>
          <w:szCs w:val="20"/>
        </w:rPr>
      </w:pPr>
      <w:r w:rsidRPr="009C4051">
        <w:rPr>
          <w:rFonts w:cs="Arial"/>
          <w:b/>
          <w:bCs/>
          <w:szCs w:val="20"/>
        </w:rPr>
        <w:t>7.</w:t>
      </w:r>
      <w:r w:rsidRPr="009C4051">
        <w:rPr>
          <w:rFonts w:eastAsia="Arial" w:cs="Arial"/>
          <w:b/>
          <w:bCs/>
          <w:szCs w:val="20"/>
        </w:rPr>
        <w:t xml:space="preserve"> </w:t>
      </w:r>
      <w:r w:rsidRPr="009C4051">
        <w:rPr>
          <w:rFonts w:eastAsia="Arial" w:cs="Arial"/>
          <w:b/>
          <w:bCs/>
          <w:szCs w:val="20"/>
        </w:rPr>
        <w:tab/>
      </w:r>
      <w:r w:rsidRPr="009C4051">
        <w:rPr>
          <w:rFonts w:eastAsia="Verdana" w:cs="Arial"/>
          <w:b/>
          <w:bCs/>
          <w:szCs w:val="20"/>
        </w:rPr>
        <w:t>Principal</w:t>
      </w:r>
      <w:r w:rsidRPr="009C4051">
        <w:rPr>
          <w:rFonts w:cs="Arial"/>
          <w:b/>
          <w:bCs/>
          <w:szCs w:val="20"/>
        </w:rPr>
        <w:t xml:space="preserve"> exclusions </w:t>
      </w:r>
    </w:p>
    <w:p w14:paraId="4ECF08D2" w14:textId="77777777" w:rsidR="009C4051" w:rsidRPr="00F02F03" w:rsidRDefault="009C4051" w:rsidP="009C4051">
      <w:pPr>
        <w:spacing w:after="234" w:line="249" w:lineRule="auto"/>
        <w:ind w:left="851" w:right="47" w:hanging="851"/>
        <w:rPr>
          <w:rFonts w:cs="Arial"/>
          <w:szCs w:val="20"/>
        </w:rPr>
      </w:pPr>
      <w:r w:rsidRPr="00F02F03">
        <w:rPr>
          <w:rFonts w:eastAsia="Verdana" w:cs="Arial"/>
          <w:szCs w:val="20"/>
        </w:rPr>
        <w:t>7.1</w:t>
      </w:r>
      <w:r w:rsidRPr="00F02F03">
        <w:rPr>
          <w:rFonts w:eastAsia="Arial" w:cs="Arial"/>
          <w:szCs w:val="20"/>
        </w:rPr>
        <w:t xml:space="preserve"> </w:t>
      </w:r>
      <w:r w:rsidRPr="00F02F03">
        <w:rPr>
          <w:rFonts w:eastAsia="Arial" w:cs="Arial"/>
          <w:szCs w:val="20"/>
        </w:rPr>
        <w:tab/>
      </w:r>
      <w:r w:rsidRPr="00F02F03">
        <w:rPr>
          <w:rFonts w:eastAsia="Verdana" w:cs="Arial"/>
          <w:szCs w:val="20"/>
        </w:rPr>
        <w:t xml:space="preserve">War and related perils. </w:t>
      </w:r>
    </w:p>
    <w:p w14:paraId="77924D02" w14:textId="77777777" w:rsidR="009C4051" w:rsidRPr="009C4051" w:rsidRDefault="009C4051" w:rsidP="009C4051">
      <w:pPr>
        <w:spacing w:after="234" w:line="249" w:lineRule="auto"/>
        <w:ind w:left="851" w:right="47" w:hanging="851"/>
        <w:rPr>
          <w:rFonts w:eastAsia="Verdana" w:cs="Arial"/>
          <w:szCs w:val="20"/>
        </w:rPr>
      </w:pPr>
      <w:r w:rsidRPr="00F02F03">
        <w:rPr>
          <w:rFonts w:eastAsia="Verdana" w:cs="Arial"/>
          <w:szCs w:val="20"/>
        </w:rPr>
        <w:t>7.2</w:t>
      </w:r>
      <w:r w:rsidRPr="00F02F03">
        <w:rPr>
          <w:rFonts w:eastAsia="Arial" w:cs="Arial"/>
          <w:szCs w:val="20"/>
        </w:rPr>
        <w:t xml:space="preserve"> </w:t>
      </w:r>
      <w:r w:rsidRPr="00F02F03">
        <w:rPr>
          <w:rFonts w:eastAsia="Arial" w:cs="Arial"/>
          <w:szCs w:val="20"/>
        </w:rPr>
        <w:tab/>
      </w:r>
      <w:r w:rsidRPr="00F02F03">
        <w:rPr>
          <w:rFonts w:eastAsia="Verdana" w:cs="Arial"/>
          <w:szCs w:val="20"/>
        </w:rPr>
        <w:t xml:space="preserve">Nuclear and radioactive risks. </w:t>
      </w:r>
    </w:p>
    <w:p w14:paraId="42A13512" w14:textId="77777777" w:rsidR="009C4051" w:rsidRPr="009C4051" w:rsidRDefault="009C4051" w:rsidP="009C4051">
      <w:pPr>
        <w:spacing w:after="234" w:line="249" w:lineRule="auto"/>
        <w:ind w:left="851" w:right="47" w:hanging="851"/>
        <w:rPr>
          <w:rFonts w:eastAsia="Verdana" w:cs="Arial"/>
          <w:szCs w:val="20"/>
        </w:rPr>
      </w:pPr>
      <w:r w:rsidRPr="00F02F03">
        <w:rPr>
          <w:rFonts w:eastAsia="Verdana" w:cs="Arial"/>
          <w:szCs w:val="20"/>
        </w:rPr>
        <w:t>7.3</w:t>
      </w:r>
      <w:r w:rsidRPr="009C4051">
        <w:rPr>
          <w:rFonts w:eastAsia="Verdana" w:cs="Arial"/>
          <w:szCs w:val="20"/>
        </w:rPr>
        <w:t xml:space="preserve"> </w:t>
      </w:r>
      <w:r w:rsidRPr="009C4051">
        <w:rPr>
          <w:rFonts w:eastAsia="Verdana" w:cs="Arial"/>
          <w:szCs w:val="20"/>
        </w:rPr>
        <w:tab/>
      </w:r>
      <w:r w:rsidRPr="00F02F03">
        <w:rPr>
          <w:rFonts w:eastAsia="Verdana" w:cs="Arial"/>
          <w:szCs w:val="20"/>
        </w:rPr>
        <w:t xml:space="preserve">Liability for death, illness, </w:t>
      </w:r>
      <w:proofErr w:type="gramStart"/>
      <w:r w:rsidRPr="00F02F03">
        <w:rPr>
          <w:rFonts w:eastAsia="Verdana" w:cs="Arial"/>
          <w:szCs w:val="20"/>
        </w:rPr>
        <w:t>disease</w:t>
      </w:r>
      <w:proofErr w:type="gramEnd"/>
      <w:r w:rsidRPr="00F02F03">
        <w:rPr>
          <w:rFonts w:eastAsia="Verdana" w:cs="Arial"/>
          <w:szCs w:val="20"/>
        </w:rPr>
        <w:t xml:space="preserve"> or bodily injury sustained by employees of the Insured during the course of their employment. </w:t>
      </w:r>
    </w:p>
    <w:p w14:paraId="3D7DCA62" w14:textId="77777777" w:rsidR="009C4051" w:rsidRPr="009C4051" w:rsidRDefault="009C4051" w:rsidP="009C4051">
      <w:pPr>
        <w:spacing w:after="234" w:line="249" w:lineRule="auto"/>
        <w:ind w:left="851" w:right="47" w:hanging="851"/>
        <w:rPr>
          <w:rFonts w:eastAsia="Verdana" w:cs="Arial"/>
          <w:szCs w:val="20"/>
        </w:rPr>
      </w:pPr>
      <w:r w:rsidRPr="00F02F03">
        <w:rPr>
          <w:rFonts w:eastAsia="Verdana" w:cs="Arial"/>
          <w:szCs w:val="20"/>
        </w:rPr>
        <w:t>7.4</w:t>
      </w:r>
      <w:r w:rsidRPr="009C4051">
        <w:rPr>
          <w:rFonts w:eastAsia="Verdana" w:cs="Arial"/>
          <w:szCs w:val="20"/>
        </w:rPr>
        <w:t xml:space="preserve"> </w:t>
      </w:r>
      <w:r w:rsidRPr="009C4051">
        <w:rPr>
          <w:rFonts w:eastAsia="Verdana" w:cs="Arial"/>
          <w:szCs w:val="20"/>
        </w:rPr>
        <w:tab/>
      </w:r>
      <w:r w:rsidRPr="00F02F03">
        <w:rPr>
          <w:rFonts w:eastAsia="Verdana" w:cs="Arial"/>
          <w:szCs w:val="20"/>
        </w:rPr>
        <w:t xml:space="preserve">Liability arising out of the use of mechanically propelled vehicles whilst required to be compulsorily insured by applicable Law in respect of such vehicles. </w:t>
      </w:r>
    </w:p>
    <w:p w14:paraId="1DC9D916" w14:textId="77777777" w:rsidR="009C4051" w:rsidRPr="009C4051" w:rsidRDefault="009C4051" w:rsidP="009C4051">
      <w:pPr>
        <w:spacing w:after="234" w:line="249" w:lineRule="auto"/>
        <w:ind w:left="851" w:right="47" w:hanging="851"/>
        <w:rPr>
          <w:rFonts w:eastAsia="Verdana" w:cs="Arial"/>
          <w:szCs w:val="20"/>
        </w:rPr>
      </w:pPr>
      <w:r w:rsidRPr="00F02F03">
        <w:rPr>
          <w:rFonts w:eastAsia="Verdana" w:cs="Arial"/>
          <w:szCs w:val="20"/>
        </w:rPr>
        <w:t>7.5</w:t>
      </w:r>
      <w:r w:rsidRPr="009C4051">
        <w:rPr>
          <w:rFonts w:eastAsia="Verdana" w:cs="Arial"/>
          <w:szCs w:val="20"/>
        </w:rPr>
        <w:t xml:space="preserve"> </w:t>
      </w:r>
      <w:r w:rsidRPr="009C4051">
        <w:rPr>
          <w:rFonts w:eastAsia="Verdana" w:cs="Arial"/>
          <w:szCs w:val="20"/>
        </w:rPr>
        <w:tab/>
      </w:r>
      <w:r w:rsidRPr="00F02F03">
        <w:rPr>
          <w:rFonts w:eastAsia="Verdana" w:cs="Arial"/>
          <w:szCs w:val="20"/>
        </w:rPr>
        <w:t xml:space="preserve">Liability in respect of predetermined penalties or liquidated damages imposed under any contract </w:t>
      </w:r>
      <w:proofErr w:type="gramStart"/>
      <w:r w:rsidRPr="00F02F03">
        <w:rPr>
          <w:rFonts w:eastAsia="Verdana" w:cs="Arial"/>
          <w:szCs w:val="20"/>
        </w:rPr>
        <w:t>entered into</w:t>
      </w:r>
      <w:proofErr w:type="gramEnd"/>
      <w:r w:rsidRPr="00F02F03">
        <w:rPr>
          <w:rFonts w:eastAsia="Verdana" w:cs="Arial"/>
          <w:szCs w:val="20"/>
        </w:rPr>
        <w:t xml:space="preserve"> by the Insured. </w:t>
      </w:r>
    </w:p>
    <w:p w14:paraId="6399DF68" w14:textId="77777777" w:rsidR="009C4051" w:rsidRPr="009C4051" w:rsidRDefault="009C4051" w:rsidP="009C4051">
      <w:pPr>
        <w:spacing w:after="234" w:line="249" w:lineRule="auto"/>
        <w:ind w:left="851" w:right="47" w:hanging="851"/>
        <w:rPr>
          <w:rFonts w:eastAsia="Verdana" w:cs="Arial"/>
          <w:szCs w:val="20"/>
        </w:rPr>
      </w:pPr>
      <w:r w:rsidRPr="00F02F03">
        <w:rPr>
          <w:rFonts w:eastAsia="Verdana" w:cs="Arial"/>
          <w:szCs w:val="20"/>
        </w:rPr>
        <w:lastRenderedPageBreak/>
        <w:t>7.6</w:t>
      </w:r>
      <w:r w:rsidRPr="00F02F03">
        <w:rPr>
          <w:rFonts w:eastAsia="Arial" w:cs="Arial"/>
          <w:szCs w:val="20"/>
        </w:rPr>
        <w:t xml:space="preserve"> </w:t>
      </w:r>
      <w:r w:rsidRPr="00F02F03">
        <w:rPr>
          <w:rFonts w:eastAsia="Arial" w:cs="Arial"/>
          <w:szCs w:val="20"/>
        </w:rPr>
        <w:tab/>
      </w:r>
      <w:r w:rsidRPr="00F02F03">
        <w:rPr>
          <w:rFonts w:eastAsia="Verdana" w:cs="Arial"/>
          <w:szCs w:val="20"/>
        </w:rPr>
        <w:t xml:space="preserve">Liability arising out of technical or professional advice other than in respect of death or bodily injury to persons or damage to third party property. </w:t>
      </w:r>
    </w:p>
    <w:p w14:paraId="211C7E63" w14:textId="77777777" w:rsidR="009C4051" w:rsidRPr="009C4051" w:rsidRDefault="009C4051" w:rsidP="009C4051">
      <w:pPr>
        <w:spacing w:after="234" w:line="249" w:lineRule="auto"/>
        <w:ind w:left="851" w:right="47" w:hanging="851"/>
        <w:rPr>
          <w:rFonts w:eastAsia="Verdana" w:cs="Arial"/>
          <w:szCs w:val="20"/>
        </w:rPr>
      </w:pPr>
      <w:r w:rsidRPr="00F02F03">
        <w:rPr>
          <w:rFonts w:eastAsia="Verdana" w:cs="Arial"/>
          <w:szCs w:val="20"/>
        </w:rPr>
        <w:t>7.7</w:t>
      </w:r>
      <w:r w:rsidRPr="009C4051">
        <w:rPr>
          <w:rFonts w:eastAsia="Verdana" w:cs="Arial"/>
          <w:szCs w:val="20"/>
        </w:rPr>
        <w:t xml:space="preserve"> </w:t>
      </w:r>
      <w:r w:rsidRPr="009C4051">
        <w:rPr>
          <w:rFonts w:eastAsia="Verdana" w:cs="Arial"/>
          <w:szCs w:val="20"/>
        </w:rPr>
        <w:tab/>
      </w:r>
      <w:r w:rsidRPr="00F02F03">
        <w:rPr>
          <w:rFonts w:eastAsia="Verdana" w:cs="Arial"/>
          <w:szCs w:val="20"/>
        </w:rPr>
        <w:t xml:space="preserve">Liability arising from the ownership, possession or use of any aircraft or marine vessel. </w:t>
      </w:r>
    </w:p>
    <w:p w14:paraId="5D295B21" w14:textId="77777777" w:rsidR="009C4051" w:rsidRPr="009C4051" w:rsidRDefault="009C4051" w:rsidP="009C4051">
      <w:pPr>
        <w:spacing w:after="234" w:line="249" w:lineRule="auto"/>
        <w:ind w:left="851" w:right="47" w:hanging="851"/>
        <w:rPr>
          <w:rFonts w:eastAsia="Verdana" w:cs="Arial"/>
          <w:szCs w:val="20"/>
        </w:rPr>
      </w:pPr>
      <w:r w:rsidRPr="00F02F03">
        <w:rPr>
          <w:rFonts w:eastAsia="Verdana" w:cs="Arial"/>
          <w:szCs w:val="20"/>
        </w:rPr>
        <w:t>7.8</w:t>
      </w:r>
      <w:r w:rsidRPr="009C4051">
        <w:rPr>
          <w:rFonts w:eastAsia="Verdana" w:cs="Arial"/>
          <w:szCs w:val="20"/>
        </w:rPr>
        <w:t xml:space="preserve"> </w:t>
      </w:r>
      <w:r w:rsidRPr="009C4051">
        <w:rPr>
          <w:rFonts w:eastAsia="Verdana" w:cs="Arial"/>
          <w:szCs w:val="20"/>
        </w:rPr>
        <w:tab/>
      </w:r>
      <w:r w:rsidRPr="00F02F03">
        <w:rPr>
          <w:rFonts w:eastAsia="Verdana" w:cs="Arial"/>
          <w:szCs w:val="20"/>
        </w:rPr>
        <w:t xml:space="preserve">Liability arising from seepage and pollution unless caused by a sudden, </w:t>
      </w:r>
      <w:proofErr w:type="gramStart"/>
      <w:r w:rsidRPr="00F02F03">
        <w:rPr>
          <w:rFonts w:eastAsia="Verdana" w:cs="Arial"/>
          <w:szCs w:val="20"/>
        </w:rPr>
        <w:t>unintended</w:t>
      </w:r>
      <w:proofErr w:type="gramEnd"/>
      <w:r w:rsidRPr="00F02F03">
        <w:rPr>
          <w:rFonts w:eastAsia="Verdana" w:cs="Arial"/>
          <w:szCs w:val="20"/>
        </w:rPr>
        <w:t xml:space="preserve"> and unexpected occurrence. </w:t>
      </w:r>
    </w:p>
    <w:p w14:paraId="1699DF8D" w14:textId="77777777" w:rsidR="009C4051" w:rsidRPr="009C4051" w:rsidRDefault="009C4051" w:rsidP="009C4051">
      <w:pPr>
        <w:spacing w:after="233" w:line="251" w:lineRule="auto"/>
        <w:ind w:left="851" w:hanging="864"/>
        <w:rPr>
          <w:rFonts w:eastAsia="Verdana" w:cs="Arial"/>
          <w:b/>
          <w:bCs/>
          <w:szCs w:val="20"/>
        </w:rPr>
      </w:pPr>
      <w:r w:rsidRPr="009C4051">
        <w:rPr>
          <w:rFonts w:eastAsia="Verdana" w:cs="Arial"/>
          <w:b/>
          <w:bCs/>
          <w:szCs w:val="20"/>
        </w:rPr>
        <w:t xml:space="preserve">8. </w:t>
      </w:r>
      <w:r w:rsidRPr="009C4051">
        <w:rPr>
          <w:rFonts w:eastAsia="Verdana" w:cs="Arial"/>
          <w:b/>
          <w:bCs/>
          <w:szCs w:val="20"/>
        </w:rPr>
        <w:tab/>
        <w:t xml:space="preserve">Maximum deductible threshold </w:t>
      </w:r>
    </w:p>
    <w:p w14:paraId="6DF40B38" w14:textId="77777777" w:rsidR="002343A3" w:rsidRDefault="009C4051" w:rsidP="00346A37">
      <w:pPr>
        <w:pStyle w:val="Heading3"/>
      </w:pPr>
      <w:r w:rsidRPr="00F02F03">
        <w:t xml:space="preserve">Not to exceed 10% of the sum insured (such sum to be in accordance with Paragraph 3 of Part B of this Annex). </w:t>
      </w:r>
    </w:p>
    <w:p w14:paraId="2821E08B" w14:textId="7721FD01" w:rsidR="009C4051" w:rsidRPr="002529F3" w:rsidRDefault="009C4051" w:rsidP="002529F3">
      <w:pPr>
        <w:pStyle w:val="Heading3"/>
        <w:numPr>
          <w:ilvl w:val="0"/>
          <w:numId w:val="0"/>
        </w:numPr>
        <w:rPr>
          <w:b/>
          <w:bCs w:val="0"/>
        </w:rPr>
      </w:pPr>
      <w:r w:rsidRPr="002529F3">
        <w:rPr>
          <w:b/>
          <w:bCs w:val="0"/>
        </w:rPr>
        <w:t xml:space="preserve">PART B: PROFESSIONAL INDEMNITY INSURANCE </w:t>
      </w:r>
    </w:p>
    <w:p w14:paraId="36AFF071" w14:textId="77777777" w:rsidR="009C4051" w:rsidRPr="00F02F03" w:rsidRDefault="009C4051" w:rsidP="009D675B">
      <w:pPr>
        <w:pStyle w:val="ListParagraph"/>
        <w:numPr>
          <w:ilvl w:val="0"/>
          <w:numId w:val="80"/>
        </w:numPr>
        <w:spacing w:after="233" w:line="251" w:lineRule="auto"/>
        <w:ind w:left="851" w:hanging="854"/>
        <w:jc w:val="left"/>
        <w:rPr>
          <w:rFonts w:ascii="Arial" w:hAnsi="Arial" w:cs="Arial"/>
          <w:sz w:val="20"/>
          <w:szCs w:val="20"/>
        </w:rPr>
      </w:pPr>
      <w:r w:rsidRPr="00F02F03">
        <w:rPr>
          <w:rFonts w:ascii="Arial" w:eastAsia="Verdana" w:hAnsi="Arial" w:cs="Arial"/>
          <w:b/>
          <w:sz w:val="20"/>
          <w:szCs w:val="20"/>
        </w:rPr>
        <w:t xml:space="preserve">Insured </w:t>
      </w:r>
    </w:p>
    <w:p w14:paraId="16A7DE85" w14:textId="77777777" w:rsidR="009C4051" w:rsidRPr="00F02F03" w:rsidRDefault="009C4051" w:rsidP="009402CF">
      <w:pPr>
        <w:spacing w:after="234" w:line="249" w:lineRule="auto"/>
        <w:ind w:left="849" w:right="47" w:hanging="9"/>
        <w:rPr>
          <w:rFonts w:cs="Arial"/>
          <w:szCs w:val="20"/>
        </w:rPr>
      </w:pPr>
      <w:r w:rsidRPr="00F02F03">
        <w:rPr>
          <w:rFonts w:eastAsia="Verdana" w:cs="Arial"/>
          <w:szCs w:val="20"/>
        </w:rPr>
        <w:t xml:space="preserve">The Supplier. </w:t>
      </w:r>
    </w:p>
    <w:p w14:paraId="41104206" w14:textId="0E378194" w:rsidR="009C4051" w:rsidRPr="002343A3" w:rsidRDefault="009C4051" w:rsidP="009D675B">
      <w:pPr>
        <w:pStyle w:val="ListParagraph"/>
        <w:numPr>
          <w:ilvl w:val="0"/>
          <w:numId w:val="80"/>
        </w:numPr>
        <w:spacing w:after="233" w:line="251" w:lineRule="auto"/>
        <w:ind w:left="851" w:hanging="854"/>
        <w:jc w:val="left"/>
        <w:rPr>
          <w:rFonts w:ascii="Arial" w:eastAsia="Verdana" w:hAnsi="Arial" w:cs="Arial"/>
          <w:b/>
          <w:sz w:val="20"/>
          <w:szCs w:val="20"/>
        </w:rPr>
      </w:pPr>
      <w:r w:rsidRPr="002343A3">
        <w:rPr>
          <w:rFonts w:ascii="Arial" w:eastAsia="Verdana" w:hAnsi="Arial" w:cs="Arial"/>
          <w:b/>
          <w:sz w:val="20"/>
          <w:szCs w:val="20"/>
        </w:rPr>
        <w:t xml:space="preserve">Interest </w:t>
      </w:r>
    </w:p>
    <w:p w14:paraId="27C1B261" w14:textId="77777777" w:rsidR="009C4051" w:rsidRPr="00F02F03" w:rsidRDefault="009C4051" w:rsidP="009402CF">
      <w:pPr>
        <w:spacing w:after="234" w:line="249" w:lineRule="auto"/>
        <w:ind w:left="849" w:right="47" w:hanging="9"/>
        <w:rPr>
          <w:rFonts w:cs="Arial"/>
          <w:szCs w:val="20"/>
        </w:rPr>
      </w:pPr>
      <w:r w:rsidRPr="00F02F03">
        <w:rPr>
          <w:rFonts w:eastAsia="Verdana" w:cs="Arial"/>
          <w:szCs w:val="20"/>
        </w:rPr>
        <w:t xml:space="preserve">To indemnify the Insured for all sums which the Insured shall become legally liable to pay (including claimants’ costs and expenses) </w:t>
      </w:r>
      <w:proofErr w:type="gramStart"/>
      <w:r w:rsidRPr="00F02F03">
        <w:rPr>
          <w:rFonts w:eastAsia="Verdana" w:cs="Arial"/>
          <w:szCs w:val="20"/>
        </w:rPr>
        <w:t>as a result of</w:t>
      </w:r>
      <w:proofErr w:type="gramEnd"/>
      <w:r w:rsidRPr="00F02F03">
        <w:rPr>
          <w:rFonts w:eastAsia="Verdana" w:cs="Arial"/>
          <w:szCs w:val="20"/>
        </w:rPr>
        <w:t xml:space="preserve"> claims first made against the Insured during the period of insurance (as specified in Paragraph 5 of Part B in this Annex) by reason of any negligent act, error and/or omission arising from or in connection with the provision of the Services. </w:t>
      </w:r>
    </w:p>
    <w:p w14:paraId="4CE4F0AE" w14:textId="79270A75" w:rsidR="009C4051" w:rsidRPr="002343A3" w:rsidRDefault="009C4051" w:rsidP="009D675B">
      <w:pPr>
        <w:pStyle w:val="ListParagraph"/>
        <w:numPr>
          <w:ilvl w:val="0"/>
          <w:numId w:val="80"/>
        </w:numPr>
        <w:spacing w:after="233" w:line="251" w:lineRule="auto"/>
        <w:ind w:left="851" w:hanging="854"/>
        <w:jc w:val="left"/>
        <w:rPr>
          <w:rFonts w:ascii="Arial" w:eastAsia="Verdana" w:hAnsi="Arial" w:cs="Arial"/>
          <w:b/>
          <w:sz w:val="20"/>
          <w:szCs w:val="20"/>
        </w:rPr>
      </w:pPr>
      <w:r w:rsidRPr="002343A3">
        <w:rPr>
          <w:rFonts w:ascii="Arial" w:eastAsia="Verdana" w:hAnsi="Arial" w:cs="Arial"/>
          <w:b/>
          <w:sz w:val="20"/>
          <w:szCs w:val="20"/>
        </w:rPr>
        <w:t xml:space="preserve">Limit of indemnity </w:t>
      </w:r>
    </w:p>
    <w:p w14:paraId="05F21AF5" w14:textId="77777777" w:rsidR="009C4051" w:rsidRPr="00F02F03" w:rsidRDefault="009C4051" w:rsidP="009402CF">
      <w:pPr>
        <w:spacing w:after="234" w:line="249" w:lineRule="auto"/>
        <w:ind w:left="849" w:right="47" w:hanging="9"/>
        <w:rPr>
          <w:rFonts w:cs="Arial"/>
          <w:szCs w:val="20"/>
        </w:rPr>
      </w:pPr>
      <w:r w:rsidRPr="00F02F03">
        <w:rPr>
          <w:rFonts w:eastAsia="Verdana" w:cs="Arial"/>
          <w:szCs w:val="20"/>
        </w:rPr>
        <w:t xml:space="preserve">Not less than £5,000,000 in respect of </w:t>
      </w:r>
      <w:proofErr w:type="gramStart"/>
      <w:r w:rsidRPr="00F02F03">
        <w:rPr>
          <w:rFonts w:eastAsia="Verdana" w:cs="Arial"/>
          <w:szCs w:val="20"/>
        </w:rPr>
        <w:t>any one</w:t>
      </w:r>
      <w:proofErr w:type="gramEnd"/>
      <w:r w:rsidRPr="00F02F03">
        <w:rPr>
          <w:rFonts w:eastAsia="Verdana" w:cs="Arial"/>
          <w:szCs w:val="20"/>
        </w:rPr>
        <w:t xml:space="preserve"> (1) claim and in the aggregate per annum, exclusive of defence costs which are payable in addition. </w:t>
      </w:r>
    </w:p>
    <w:p w14:paraId="3400D104" w14:textId="5328FAA1" w:rsidR="009C4051" w:rsidRPr="00F02F03" w:rsidRDefault="009C4051" w:rsidP="009D675B">
      <w:pPr>
        <w:pStyle w:val="ListParagraph"/>
        <w:numPr>
          <w:ilvl w:val="0"/>
          <w:numId w:val="80"/>
        </w:numPr>
        <w:spacing w:after="233" w:line="251" w:lineRule="auto"/>
        <w:ind w:left="851" w:hanging="854"/>
        <w:jc w:val="left"/>
        <w:rPr>
          <w:rFonts w:ascii="Arial" w:hAnsi="Arial" w:cs="Arial"/>
          <w:sz w:val="20"/>
          <w:szCs w:val="20"/>
        </w:rPr>
      </w:pPr>
      <w:r w:rsidRPr="00F02F03">
        <w:rPr>
          <w:rFonts w:ascii="Arial" w:eastAsia="Verdana" w:hAnsi="Arial" w:cs="Arial"/>
          <w:b/>
          <w:sz w:val="20"/>
          <w:szCs w:val="20"/>
        </w:rPr>
        <w:t xml:space="preserve">Territorial Limits </w:t>
      </w:r>
    </w:p>
    <w:p w14:paraId="1E5F6025" w14:textId="77777777" w:rsidR="009C4051" w:rsidRPr="00F02F03" w:rsidRDefault="009C4051" w:rsidP="009402CF">
      <w:pPr>
        <w:spacing w:after="234" w:line="249" w:lineRule="auto"/>
        <w:ind w:left="849" w:right="47" w:hanging="9"/>
        <w:rPr>
          <w:rFonts w:cs="Arial"/>
          <w:szCs w:val="20"/>
        </w:rPr>
      </w:pPr>
      <w:r w:rsidRPr="00F02F03">
        <w:rPr>
          <w:rFonts w:eastAsia="Verdana" w:cs="Arial"/>
          <w:szCs w:val="20"/>
        </w:rPr>
        <w:t xml:space="preserve">To include the United Kingdom.  </w:t>
      </w:r>
    </w:p>
    <w:p w14:paraId="4BF82F2D" w14:textId="23DC8D26" w:rsidR="009C4051" w:rsidRPr="002343A3" w:rsidRDefault="009C4051" w:rsidP="009D675B">
      <w:pPr>
        <w:pStyle w:val="ListParagraph"/>
        <w:numPr>
          <w:ilvl w:val="0"/>
          <w:numId w:val="80"/>
        </w:numPr>
        <w:spacing w:after="233" w:line="251" w:lineRule="auto"/>
        <w:ind w:left="851" w:hanging="854"/>
        <w:jc w:val="left"/>
        <w:rPr>
          <w:rFonts w:ascii="Arial" w:hAnsi="Arial" w:cs="Arial"/>
          <w:b/>
          <w:bCs/>
          <w:sz w:val="20"/>
          <w:szCs w:val="20"/>
        </w:rPr>
      </w:pPr>
      <w:r w:rsidRPr="002343A3">
        <w:rPr>
          <w:rFonts w:ascii="Arial" w:hAnsi="Arial" w:cs="Arial"/>
          <w:b/>
          <w:bCs/>
          <w:sz w:val="20"/>
          <w:szCs w:val="20"/>
        </w:rPr>
        <w:t xml:space="preserve">Period of </w:t>
      </w:r>
      <w:r w:rsidRPr="002343A3">
        <w:rPr>
          <w:rFonts w:ascii="Arial" w:eastAsia="Verdana" w:hAnsi="Arial" w:cs="Arial"/>
          <w:b/>
          <w:bCs/>
          <w:sz w:val="20"/>
          <w:szCs w:val="20"/>
        </w:rPr>
        <w:t>insurance</w:t>
      </w:r>
      <w:r w:rsidRPr="002343A3">
        <w:rPr>
          <w:rFonts w:ascii="Arial" w:hAnsi="Arial" w:cs="Arial"/>
          <w:b/>
          <w:bCs/>
          <w:sz w:val="20"/>
          <w:szCs w:val="20"/>
        </w:rPr>
        <w:t xml:space="preserve"> </w:t>
      </w:r>
    </w:p>
    <w:p w14:paraId="0B36B2FC" w14:textId="624383CE" w:rsidR="009C4051" w:rsidRPr="00F02F03" w:rsidRDefault="009C4051" w:rsidP="009402CF">
      <w:pPr>
        <w:spacing w:after="234" w:line="249" w:lineRule="auto"/>
        <w:ind w:left="849" w:right="47" w:hanging="9"/>
        <w:rPr>
          <w:rFonts w:cs="Arial"/>
          <w:szCs w:val="20"/>
        </w:rPr>
      </w:pPr>
      <w:r w:rsidRPr="00F02F03">
        <w:rPr>
          <w:rFonts w:eastAsia="Verdana" w:cs="Arial"/>
          <w:szCs w:val="20"/>
        </w:rPr>
        <w:t xml:space="preserve">From the date of this Agreement and renewable on an annual basis unless agreed otherwise by </w:t>
      </w:r>
      <w:proofErr w:type="spellStart"/>
      <w:r w:rsidR="001F1C19">
        <w:rPr>
          <w:rFonts w:eastAsia="Verdana" w:cs="Arial"/>
          <w:szCs w:val="20"/>
        </w:rPr>
        <w:t>Netlink</w:t>
      </w:r>
      <w:proofErr w:type="spellEnd"/>
      <w:r w:rsidR="001F1C19">
        <w:rPr>
          <w:rFonts w:eastAsia="Verdana" w:cs="Arial"/>
          <w:szCs w:val="20"/>
        </w:rPr>
        <w:t xml:space="preserve"> Star</w:t>
      </w:r>
      <w:r w:rsidRPr="00F02F03">
        <w:rPr>
          <w:rFonts w:eastAsia="Verdana" w:cs="Arial"/>
          <w:szCs w:val="20"/>
        </w:rPr>
        <w:t xml:space="preserve"> in writing (a) throughout the Term or until earlier termination of this Agreement and (b) for a period of six (6) years thereafter. </w:t>
      </w:r>
    </w:p>
    <w:p w14:paraId="4C7D14A9" w14:textId="5F0430A6" w:rsidR="009C4051" w:rsidRPr="002343A3" w:rsidRDefault="009C4051" w:rsidP="009D675B">
      <w:pPr>
        <w:pStyle w:val="ListParagraph"/>
        <w:numPr>
          <w:ilvl w:val="0"/>
          <w:numId w:val="80"/>
        </w:numPr>
        <w:spacing w:after="233" w:line="251" w:lineRule="auto"/>
        <w:ind w:left="851" w:hanging="854"/>
        <w:jc w:val="left"/>
        <w:rPr>
          <w:rFonts w:ascii="Arial" w:hAnsi="Arial" w:cs="Arial"/>
          <w:b/>
          <w:bCs/>
          <w:sz w:val="20"/>
          <w:szCs w:val="20"/>
        </w:rPr>
      </w:pPr>
      <w:r w:rsidRPr="002343A3">
        <w:rPr>
          <w:rFonts w:ascii="Arial" w:hAnsi="Arial" w:cs="Arial"/>
          <w:b/>
          <w:bCs/>
          <w:sz w:val="20"/>
          <w:szCs w:val="20"/>
        </w:rPr>
        <w:t xml:space="preserve">Cover features and extensions </w:t>
      </w:r>
    </w:p>
    <w:p w14:paraId="758E6A30" w14:textId="77777777" w:rsidR="009C4051" w:rsidRPr="00F02F03" w:rsidRDefault="009C4051" w:rsidP="009402CF">
      <w:pPr>
        <w:spacing w:after="234" w:line="249" w:lineRule="auto"/>
        <w:ind w:left="849" w:right="47" w:hanging="9"/>
        <w:rPr>
          <w:rFonts w:cs="Arial"/>
          <w:szCs w:val="20"/>
        </w:rPr>
      </w:pPr>
      <w:r w:rsidRPr="00F02F03">
        <w:rPr>
          <w:rFonts w:eastAsia="Verdana" w:cs="Arial"/>
          <w:szCs w:val="20"/>
        </w:rPr>
        <w:t xml:space="preserve">Retroactive cover to apply to any claims made policy wording in respect of this Agreement or retroactive date to be no later than the Effective Date. </w:t>
      </w:r>
    </w:p>
    <w:p w14:paraId="738CA89F" w14:textId="7C30534F" w:rsidR="009C4051" w:rsidRPr="002343A3" w:rsidRDefault="009C4051" w:rsidP="009D675B">
      <w:pPr>
        <w:pStyle w:val="ListParagraph"/>
        <w:numPr>
          <w:ilvl w:val="0"/>
          <w:numId w:val="80"/>
        </w:numPr>
        <w:spacing w:after="233" w:line="251" w:lineRule="auto"/>
        <w:ind w:left="851" w:hanging="854"/>
        <w:jc w:val="left"/>
        <w:rPr>
          <w:rFonts w:ascii="Arial" w:hAnsi="Arial" w:cs="Arial"/>
          <w:b/>
          <w:bCs/>
          <w:sz w:val="20"/>
          <w:szCs w:val="20"/>
        </w:rPr>
      </w:pPr>
      <w:r w:rsidRPr="002343A3">
        <w:rPr>
          <w:rFonts w:ascii="Arial" w:hAnsi="Arial" w:cs="Arial"/>
          <w:b/>
          <w:bCs/>
          <w:sz w:val="20"/>
          <w:szCs w:val="20"/>
        </w:rPr>
        <w:t xml:space="preserve">Principal exclusions </w:t>
      </w:r>
    </w:p>
    <w:p w14:paraId="762DDF42" w14:textId="77777777" w:rsidR="009C4051" w:rsidRPr="00F02F03" w:rsidRDefault="009C4051" w:rsidP="002343A3">
      <w:pPr>
        <w:spacing w:after="234" w:line="249" w:lineRule="auto"/>
        <w:ind w:left="851" w:right="47" w:hanging="851"/>
        <w:rPr>
          <w:rFonts w:cs="Arial"/>
          <w:szCs w:val="20"/>
        </w:rPr>
      </w:pPr>
      <w:r w:rsidRPr="00F02F03">
        <w:rPr>
          <w:rFonts w:eastAsia="Verdana" w:cs="Arial"/>
          <w:szCs w:val="20"/>
        </w:rPr>
        <w:t>7.1</w:t>
      </w:r>
      <w:r w:rsidRPr="00F02F03">
        <w:rPr>
          <w:rFonts w:eastAsia="Arial" w:cs="Arial"/>
          <w:szCs w:val="20"/>
        </w:rPr>
        <w:t xml:space="preserve"> </w:t>
      </w:r>
      <w:r w:rsidRPr="00F02F03">
        <w:rPr>
          <w:rFonts w:eastAsia="Arial" w:cs="Arial"/>
          <w:szCs w:val="20"/>
        </w:rPr>
        <w:tab/>
      </w:r>
      <w:r w:rsidRPr="00F02F03">
        <w:rPr>
          <w:rFonts w:eastAsia="Verdana" w:cs="Arial"/>
          <w:szCs w:val="20"/>
        </w:rPr>
        <w:t xml:space="preserve">War and related perils. </w:t>
      </w:r>
    </w:p>
    <w:p w14:paraId="58DADEC9" w14:textId="77777777" w:rsidR="009C4051" w:rsidRPr="00F02F03" w:rsidRDefault="009C4051" w:rsidP="002343A3">
      <w:pPr>
        <w:spacing w:after="234" w:line="249" w:lineRule="auto"/>
        <w:ind w:left="851" w:right="47" w:hanging="851"/>
        <w:rPr>
          <w:rFonts w:cs="Arial"/>
          <w:szCs w:val="20"/>
        </w:rPr>
      </w:pPr>
      <w:r w:rsidRPr="00F02F03">
        <w:rPr>
          <w:rFonts w:eastAsia="Verdana" w:cs="Arial"/>
          <w:szCs w:val="20"/>
        </w:rPr>
        <w:t>7.2</w:t>
      </w:r>
      <w:r w:rsidRPr="00F02F03">
        <w:rPr>
          <w:rFonts w:eastAsia="Arial" w:cs="Arial"/>
          <w:szCs w:val="20"/>
        </w:rPr>
        <w:t xml:space="preserve"> </w:t>
      </w:r>
      <w:r w:rsidRPr="00F02F03">
        <w:rPr>
          <w:rFonts w:eastAsia="Arial" w:cs="Arial"/>
          <w:szCs w:val="20"/>
        </w:rPr>
        <w:tab/>
      </w:r>
      <w:r w:rsidRPr="00F02F03">
        <w:rPr>
          <w:rFonts w:eastAsia="Verdana" w:cs="Arial"/>
          <w:szCs w:val="20"/>
        </w:rPr>
        <w:t xml:space="preserve">Nuclear and radioactive risks. </w:t>
      </w:r>
    </w:p>
    <w:p w14:paraId="5FA1AFF1" w14:textId="40901FA8" w:rsidR="009C4051" w:rsidRPr="002343A3" w:rsidRDefault="009C4051" w:rsidP="009D675B">
      <w:pPr>
        <w:pStyle w:val="ListParagraph"/>
        <w:numPr>
          <w:ilvl w:val="0"/>
          <w:numId w:val="80"/>
        </w:numPr>
        <w:spacing w:after="233" w:line="251" w:lineRule="auto"/>
        <w:ind w:left="851" w:hanging="854"/>
        <w:jc w:val="left"/>
        <w:rPr>
          <w:rFonts w:ascii="Arial" w:hAnsi="Arial" w:cs="Arial"/>
          <w:b/>
          <w:bCs/>
          <w:sz w:val="20"/>
          <w:szCs w:val="20"/>
        </w:rPr>
      </w:pPr>
      <w:r w:rsidRPr="002343A3">
        <w:rPr>
          <w:rFonts w:ascii="Arial" w:hAnsi="Arial" w:cs="Arial"/>
          <w:b/>
          <w:bCs/>
          <w:sz w:val="20"/>
          <w:szCs w:val="20"/>
        </w:rPr>
        <w:t xml:space="preserve">Maximum deductible threshold </w:t>
      </w:r>
    </w:p>
    <w:p w14:paraId="58E7921B" w14:textId="77777777" w:rsidR="009C4051" w:rsidRPr="00F02F03" w:rsidRDefault="009C4051" w:rsidP="002343A3">
      <w:pPr>
        <w:spacing w:after="234" w:line="249" w:lineRule="auto"/>
        <w:ind w:left="849" w:right="47" w:hanging="9"/>
        <w:rPr>
          <w:rFonts w:cs="Arial"/>
          <w:b/>
          <w:bCs/>
          <w:szCs w:val="20"/>
        </w:rPr>
      </w:pPr>
      <w:r w:rsidRPr="00F02F03">
        <w:rPr>
          <w:rFonts w:cs="Arial"/>
          <w:bCs/>
          <w:szCs w:val="20"/>
        </w:rPr>
        <w:t xml:space="preserve">Not to exceed 10% of the sum insured (such sum to be in accordance with Paragraph 3 of Part B of this </w:t>
      </w:r>
      <w:r w:rsidRPr="002343A3">
        <w:rPr>
          <w:rFonts w:eastAsia="Verdana" w:cs="Arial"/>
          <w:szCs w:val="20"/>
        </w:rPr>
        <w:t>Annex</w:t>
      </w:r>
      <w:r w:rsidRPr="00F02F03">
        <w:rPr>
          <w:rFonts w:cs="Arial"/>
          <w:bCs/>
          <w:szCs w:val="20"/>
        </w:rPr>
        <w:t xml:space="preserve">). </w:t>
      </w:r>
    </w:p>
    <w:p w14:paraId="46DD02AE" w14:textId="77777777" w:rsidR="009C4051" w:rsidRPr="002343A3" w:rsidRDefault="009C4051" w:rsidP="009402CF">
      <w:pPr>
        <w:tabs>
          <w:tab w:val="center" w:pos="2415"/>
        </w:tabs>
        <w:spacing w:after="233" w:line="251" w:lineRule="auto"/>
        <w:ind w:left="-13"/>
        <w:rPr>
          <w:rFonts w:cs="Arial"/>
          <w:b/>
          <w:szCs w:val="20"/>
        </w:rPr>
      </w:pPr>
      <w:r w:rsidRPr="00F02F03">
        <w:rPr>
          <w:rFonts w:eastAsia="Verdana" w:cs="Arial"/>
          <w:szCs w:val="20"/>
        </w:rPr>
        <w:t xml:space="preserve"> </w:t>
      </w:r>
    </w:p>
    <w:p w14:paraId="27BCA421" w14:textId="77777777" w:rsidR="009C4051" w:rsidRPr="002529F3" w:rsidRDefault="009C4051" w:rsidP="002529F3">
      <w:pPr>
        <w:pStyle w:val="Heading3"/>
        <w:numPr>
          <w:ilvl w:val="0"/>
          <w:numId w:val="0"/>
        </w:numPr>
        <w:rPr>
          <w:b/>
          <w:bCs w:val="0"/>
        </w:rPr>
      </w:pPr>
      <w:r w:rsidRPr="002529F3">
        <w:rPr>
          <w:b/>
          <w:bCs w:val="0"/>
        </w:rPr>
        <w:lastRenderedPageBreak/>
        <w:t xml:space="preserve">PART C: UNITED KINGDOM COMPULSORY INSURANCES </w:t>
      </w:r>
    </w:p>
    <w:p w14:paraId="0AF15471" w14:textId="37AC1F32" w:rsidR="009C4051" w:rsidRPr="00F02F03" w:rsidRDefault="009C4051" w:rsidP="009402CF">
      <w:pPr>
        <w:pStyle w:val="ListNumber"/>
        <w:numPr>
          <w:ilvl w:val="0"/>
          <w:numId w:val="0"/>
        </w:numPr>
        <w:rPr>
          <w:rFonts w:ascii="Arial" w:hAnsi="Arial" w:cs="Arial"/>
        </w:rPr>
      </w:pPr>
      <w:r w:rsidRPr="00F02F03">
        <w:rPr>
          <w:rFonts w:ascii="Arial" w:hAnsi="Arial" w:cs="Arial"/>
        </w:rPr>
        <w:t xml:space="preserve">The Supplier shall meet its insurance obligations under applicable Law in full, including, </w:t>
      </w:r>
      <w:r w:rsidRPr="00F02F03">
        <w:rPr>
          <w:rFonts w:ascii="Arial" w:eastAsia="Verdana" w:hAnsi="Arial" w:cs="Arial"/>
        </w:rPr>
        <w:t>United</w:t>
      </w:r>
      <w:r w:rsidR="007A13EA">
        <w:rPr>
          <w:rFonts w:ascii="Arial" w:eastAsia="Verdana" w:hAnsi="Arial" w:cs="Arial"/>
        </w:rPr>
        <w:t xml:space="preserve"> </w:t>
      </w:r>
      <w:r w:rsidRPr="00F02F03">
        <w:rPr>
          <w:rFonts w:ascii="Arial" w:eastAsia="Verdana" w:hAnsi="Arial" w:cs="Arial"/>
        </w:rPr>
        <w:t xml:space="preserve">Kingdom </w:t>
      </w:r>
      <w:r w:rsidRPr="00F02F03">
        <w:rPr>
          <w:rFonts w:ascii="Arial" w:hAnsi="Arial" w:cs="Arial"/>
        </w:rPr>
        <w:t xml:space="preserve">employers' liability insurance. </w:t>
      </w:r>
    </w:p>
    <w:p w14:paraId="4594F2BB" w14:textId="2A76A668" w:rsidR="00C3397C" w:rsidRDefault="00C3397C">
      <w:pPr>
        <w:rPr>
          <w:rFonts w:eastAsia="Arial" w:cs="Arial"/>
          <w:b/>
          <w:bCs/>
          <w:szCs w:val="20"/>
        </w:rPr>
      </w:pPr>
    </w:p>
    <w:p w14:paraId="24DAAE90" w14:textId="7467886D" w:rsidR="00C3397C" w:rsidRDefault="00C3397C">
      <w:pPr>
        <w:rPr>
          <w:rFonts w:eastAsia="Arial" w:cs="Arial"/>
          <w:b/>
          <w:bCs/>
          <w:szCs w:val="20"/>
        </w:rPr>
      </w:pPr>
      <w:r>
        <w:rPr>
          <w:rFonts w:eastAsia="Arial" w:cs="Arial"/>
          <w:b/>
          <w:bCs/>
          <w:szCs w:val="20"/>
        </w:rPr>
        <w:br w:type="page"/>
      </w:r>
    </w:p>
    <w:p w14:paraId="19B92EF4" w14:textId="1390DDCE" w:rsidR="00C3397C" w:rsidRPr="000E5786" w:rsidRDefault="00C3397C" w:rsidP="00C3397C">
      <w:pPr>
        <w:pStyle w:val="Level1"/>
        <w:keepNext/>
        <w:numPr>
          <w:ilvl w:val="0"/>
          <w:numId w:val="0"/>
        </w:numPr>
        <w:spacing w:after="120" w:line="240" w:lineRule="auto"/>
        <w:ind w:left="851"/>
        <w:jc w:val="center"/>
        <w:rPr>
          <w:rFonts w:ascii="Arial" w:hAnsi="Arial" w:cs="Arial"/>
          <w:b/>
          <w:bCs/>
        </w:rPr>
      </w:pPr>
      <w:r w:rsidRPr="000E5786">
        <w:rPr>
          <w:rFonts w:ascii="Arial" w:hAnsi="Arial" w:cs="Arial"/>
          <w:b/>
          <w:bCs/>
        </w:rPr>
        <w:lastRenderedPageBreak/>
        <w:t>SCHEDULE 2.</w:t>
      </w:r>
      <w:r>
        <w:rPr>
          <w:rFonts w:ascii="Arial" w:hAnsi="Arial" w:cs="Arial"/>
          <w:b/>
          <w:bCs/>
        </w:rPr>
        <w:t>8</w:t>
      </w:r>
    </w:p>
    <w:p w14:paraId="704AFD56" w14:textId="77777777" w:rsidR="00C3397C" w:rsidRPr="000E5786" w:rsidRDefault="00C3397C" w:rsidP="00C3397C">
      <w:pPr>
        <w:pStyle w:val="Level1"/>
        <w:keepNext/>
        <w:numPr>
          <w:ilvl w:val="0"/>
          <w:numId w:val="0"/>
        </w:numPr>
        <w:spacing w:after="120" w:line="240" w:lineRule="auto"/>
        <w:ind w:left="851"/>
        <w:jc w:val="center"/>
        <w:rPr>
          <w:rFonts w:ascii="Arial" w:hAnsi="Arial" w:cs="Arial"/>
          <w:b/>
          <w:bCs/>
        </w:rPr>
      </w:pPr>
      <w:r>
        <w:rPr>
          <w:rFonts w:ascii="Arial" w:hAnsi="Arial" w:cs="Arial"/>
          <w:b/>
          <w:bCs/>
        </w:rPr>
        <w:t>NOT USED</w:t>
      </w:r>
    </w:p>
    <w:p w14:paraId="42E9ADB1" w14:textId="3799E6C7" w:rsidR="00C3397C" w:rsidRDefault="00C3397C">
      <w:pPr>
        <w:rPr>
          <w:rFonts w:eastAsia="Arial" w:cs="Arial"/>
          <w:b/>
          <w:bCs/>
          <w:szCs w:val="20"/>
        </w:rPr>
      </w:pPr>
      <w:r>
        <w:rPr>
          <w:rFonts w:eastAsia="Arial" w:cs="Arial"/>
          <w:b/>
          <w:bCs/>
          <w:szCs w:val="20"/>
        </w:rPr>
        <w:br w:type="page"/>
      </w:r>
    </w:p>
    <w:p w14:paraId="2D5117F6" w14:textId="7958BAC0" w:rsidR="00C3397C" w:rsidRPr="000E5786" w:rsidRDefault="00C3397C" w:rsidP="00C3397C">
      <w:pPr>
        <w:pStyle w:val="Level1"/>
        <w:keepNext/>
        <w:numPr>
          <w:ilvl w:val="0"/>
          <w:numId w:val="0"/>
        </w:numPr>
        <w:spacing w:after="120" w:line="240" w:lineRule="auto"/>
        <w:ind w:left="851"/>
        <w:jc w:val="center"/>
        <w:rPr>
          <w:rFonts w:ascii="Arial" w:hAnsi="Arial" w:cs="Arial"/>
          <w:b/>
          <w:bCs/>
        </w:rPr>
      </w:pPr>
      <w:r w:rsidRPr="000E5786">
        <w:rPr>
          <w:rFonts w:ascii="Arial" w:hAnsi="Arial" w:cs="Arial"/>
          <w:b/>
          <w:bCs/>
        </w:rPr>
        <w:lastRenderedPageBreak/>
        <w:t>SCHEDULE 2.</w:t>
      </w:r>
      <w:r>
        <w:rPr>
          <w:rFonts w:ascii="Arial" w:hAnsi="Arial" w:cs="Arial"/>
          <w:b/>
          <w:bCs/>
        </w:rPr>
        <w:t>9</w:t>
      </w:r>
    </w:p>
    <w:p w14:paraId="1B10F330" w14:textId="77777777" w:rsidR="00C3397C" w:rsidRPr="000E5786" w:rsidRDefault="00C3397C" w:rsidP="00C3397C">
      <w:pPr>
        <w:pStyle w:val="Level1"/>
        <w:keepNext/>
        <w:numPr>
          <w:ilvl w:val="0"/>
          <w:numId w:val="0"/>
        </w:numPr>
        <w:spacing w:after="120" w:line="240" w:lineRule="auto"/>
        <w:ind w:left="851"/>
        <w:jc w:val="center"/>
        <w:rPr>
          <w:rFonts w:ascii="Arial" w:hAnsi="Arial" w:cs="Arial"/>
          <w:b/>
          <w:bCs/>
        </w:rPr>
      </w:pPr>
      <w:r>
        <w:rPr>
          <w:rFonts w:ascii="Arial" w:hAnsi="Arial" w:cs="Arial"/>
          <w:b/>
          <w:bCs/>
        </w:rPr>
        <w:t>NOT USED</w:t>
      </w:r>
    </w:p>
    <w:p w14:paraId="263729F3" w14:textId="77777777" w:rsidR="00C3397C" w:rsidRDefault="00C3397C">
      <w:pPr>
        <w:rPr>
          <w:rFonts w:eastAsia="Arial" w:cs="Arial"/>
          <w:b/>
          <w:bCs/>
          <w:szCs w:val="20"/>
        </w:rPr>
      </w:pPr>
    </w:p>
    <w:p w14:paraId="2D13DEA0" w14:textId="60796ADE" w:rsidR="00C3397C" w:rsidRDefault="00C3397C">
      <w:pPr>
        <w:rPr>
          <w:rFonts w:eastAsia="Arial" w:cs="Arial"/>
          <w:b/>
          <w:bCs/>
          <w:szCs w:val="20"/>
        </w:rPr>
      </w:pPr>
      <w:r>
        <w:rPr>
          <w:rFonts w:eastAsia="Arial" w:cs="Arial"/>
          <w:b/>
          <w:bCs/>
          <w:szCs w:val="20"/>
        </w:rPr>
        <w:br w:type="page"/>
      </w:r>
    </w:p>
    <w:p w14:paraId="6BFFFB48" w14:textId="77777777" w:rsidR="00FF1384" w:rsidRPr="00622CE0" w:rsidRDefault="00FF1384" w:rsidP="008446F2">
      <w:pPr>
        <w:pStyle w:val="Body"/>
        <w:spacing w:after="120"/>
        <w:jc w:val="center"/>
        <w:rPr>
          <w:rFonts w:ascii="Arial" w:hAnsi="Arial" w:cs="Arial"/>
          <w:b/>
          <w:caps/>
        </w:rPr>
      </w:pPr>
      <w:r w:rsidRPr="00622CE0">
        <w:rPr>
          <w:rFonts w:ascii="Arial" w:hAnsi="Arial" w:cs="Arial"/>
          <w:b/>
          <w:caps/>
        </w:rPr>
        <w:lastRenderedPageBreak/>
        <w:t>Schedule 3</w:t>
      </w:r>
    </w:p>
    <w:p w14:paraId="5657E354" w14:textId="532461A8" w:rsidR="00FF1384" w:rsidRPr="00622CE0" w:rsidRDefault="001F1C19" w:rsidP="008446F2">
      <w:pPr>
        <w:pStyle w:val="Body"/>
        <w:spacing w:after="120"/>
        <w:jc w:val="center"/>
        <w:rPr>
          <w:rFonts w:ascii="Arial" w:hAnsi="Arial" w:cs="Arial"/>
          <w:b/>
          <w:caps/>
        </w:rPr>
      </w:pPr>
      <w:r>
        <w:rPr>
          <w:rFonts w:ascii="Arial" w:hAnsi="Arial" w:cs="Arial"/>
          <w:b/>
          <w:caps/>
        </w:rPr>
        <w:t>Netlink Star</w:t>
      </w:r>
      <w:r w:rsidR="00FF1384" w:rsidRPr="00622CE0">
        <w:rPr>
          <w:rFonts w:ascii="Arial" w:hAnsi="Arial" w:cs="Arial"/>
          <w:b/>
          <w:caps/>
        </w:rPr>
        <w:t xml:space="preserve"> ResponsibilIties</w:t>
      </w:r>
    </w:p>
    <w:p w14:paraId="04B8F632" w14:textId="77777777" w:rsidR="00FF1384" w:rsidRPr="00FF1384" w:rsidRDefault="00FF1384" w:rsidP="008446F2">
      <w:pPr>
        <w:pStyle w:val="Body"/>
        <w:spacing w:after="120"/>
        <w:jc w:val="center"/>
        <w:rPr>
          <w:rFonts w:ascii="Arial" w:hAnsi="Arial" w:cs="Arial"/>
        </w:rPr>
      </w:pPr>
    </w:p>
    <w:p w14:paraId="46C98620" w14:textId="77777777" w:rsidR="00FF1384" w:rsidRPr="00FF1384" w:rsidRDefault="00FF1384" w:rsidP="009D675B">
      <w:pPr>
        <w:pStyle w:val="Level1"/>
        <w:numPr>
          <w:ilvl w:val="0"/>
          <w:numId w:val="78"/>
        </w:numPr>
        <w:adjustRightInd w:val="0"/>
        <w:spacing w:after="120" w:line="240" w:lineRule="auto"/>
        <w:rPr>
          <w:rFonts w:ascii="Arial" w:hAnsi="Arial" w:cs="Arial"/>
          <w:b/>
          <w:bCs/>
        </w:rPr>
      </w:pPr>
      <w:r w:rsidRPr="00FF1384">
        <w:rPr>
          <w:rFonts w:ascii="Arial" w:hAnsi="Arial" w:cs="Arial"/>
          <w:b/>
          <w:bCs/>
        </w:rPr>
        <w:t>INTRODUCTION</w:t>
      </w:r>
    </w:p>
    <w:p w14:paraId="3C2B48AD" w14:textId="35C3527B" w:rsidR="00FF1384" w:rsidRPr="00FF1384" w:rsidRDefault="00FF1384" w:rsidP="009D675B">
      <w:pPr>
        <w:pStyle w:val="Level2"/>
        <w:numPr>
          <w:ilvl w:val="1"/>
          <w:numId w:val="78"/>
        </w:numPr>
        <w:adjustRightInd w:val="0"/>
        <w:spacing w:after="120" w:line="240" w:lineRule="auto"/>
        <w:ind w:left="720" w:hanging="720"/>
        <w:rPr>
          <w:rFonts w:ascii="Arial" w:hAnsi="Arial" w:cs="Arial"/>
        </w:rPr>
      </w:pPr>
      <w:r w:rsidRPr="00FF1384">
        <w:rPr>
          <w:rFonts w:ascii="Arial" w:hAnsi="Arial" w:cs="Arial"/>
        </w:rPr>
        <w:t xml:space="preserve">This Schedule sets out </w:t>
      </w:r>
      <w:proofErr w:type="spellStart"/>
      <w:r w:rsidR="001F1C19">
        <w:rPr>
          <w:rFonts w:ascii="Arial" w:hAnsi="Arial" w:cs="Arial"/>
        </w:rPr>
        <w:t>Netlink</w:t>
      </w:r>
      <w:proofErr w:type="spellEnd"/>
      <w:r w:rsidR="001F1C19">
        <w:rPr>
          <w:rFonts w:ascii="Arial" w:hAnsi="Arial" w:cs="Arial"/>
        </w:rPr>
        <w:t xml:space="preserve"> Star</w:t>
      </w:r>
      <w:r w:rsidRPr="00FF1384">
        <w:rPr>
          <w:rFonts w:ascii="Arial" w:hAnsi="Arial" w:cs="Arial"/>
        </w:rPr>
        <w:t>’s Responsibilities under this Agreement.</w:t>
      </w:r>
    </w:p>
    <w:p w14:paraId="638FE086" w14:textId="77777777" w:rsidR="00FF1384" w:rsidRPr="00FF1384" w:rsidRDefault="00FF1384" w:rsidP="009D675B">
      <w:pPr>
        <w:pStyle w:val="Level2"/>
        <w:numPr>
          <w:ilvl w:val="1"/>
          <w:numId w:val="78"/>
        </w:numPr>
        <w:adjustRightInd w:val="0"/>
        <w:spacing w:after="120" w:line="240" w:lineRule="auto"/>
        <w:ind w:left="720" w:hanging="720"/>
        <w:rPr>
          <w:rFonts w:ascii="Arial" w:hAnsi="Arial" w:cs="Arial"/>
        </w:rPr>
      </w:pPr>
      <w:r w:rsidRPr="00FF1384">
        <w:rPr>
          <w:rFonts w:ascii="Arial" w:hAnsi="Arial" w:cs="Arial"/>
        </w:rPr>
        <w:t>The responsibilities specified within this Schedule shall be provided to the Supplier free of charge, unless otherwise agreed between the Parties.</w:t>
      </w:r>
    </w:p>
    <w:p w14:paraId="21A5600E" w14:textId="77777777" w:rsidR="00FF1384" w:rsidRPr="00FF1384" w:rsidRDefault="00FF1384" w:rsidP="008446F2">
      <w:pPr>
        <w:pStyle w:val="Level2"/>
        <w:numPr>
          <w:ilvl w:val="0"/>
          <w:numId w:val="0"/>
        </w:numPr>
        <w:spacing w:after="120"/>
        <w:rPr>
          <w:rFonts w:ascii="Arial" w:hAnsi="Arial" w:cs="Arial"/>
          <w:highlight w:val="yellow"/>
        </w:rPr>
      </w:pPr>
    </w:p>
    <w:p w14:paraId="6062B7B9" w14:textId="77777777" w:rsidR="00FF1384" w:rsidRPr="00FF1384" w:rsidRDefault="00FF1384" w:rsidP="009D675B">
      <w:pPr>
        <w:pStyle w:val="Level1"/>
        <w:numPr>
          <w:ilvl w:val="0"/>
          <w:numId w:val="78"/>
        </w:numPr>
        <w:adjustRightInd w:val="0"/>
        <w:spacing w:after="120" w:line="240" w:lineRule="auto"/>
        <w:rPr>
          <w:rFonts w:ascii="Arial" w:hAnsi="Arial" w:cs="Arial"/>
          <w:b/>
          <w:bCs/>
        </w:rPr>
      </w:pPr>
      <w:r w:rsidRPr="00FF1384">
        <w:rPr>
          <w:rFonts w:ascii="Arial" w:hAnsi="Arial" w:cs="Arial"/>
          <w:b/>
          <w:bCs/>
        </w:rPr>
        <w:t>OBLIGATIONS</w:t>
      </w:r>
    </w:p>
    <w:p w14:paraId="462F2EB7" w14:textId="21401A78" w:rsidR="00FF1384" w:rsidRPr="00FF1384" w:rsidRDefault="001F1C19" w:rsidP="009D675B">
      <w:pPr>
        <w:pStyle w:val="Level2"/>
        <w:numPr>
          <w:ilvl w:val="1"/>
          <w:numId w:val="78"/>
        </w:numPr>
        <w:adjustRightInd w:val="0"/>
        <w:spacing w:after="120" w:line="240" w:lineRule="auto"/>
        <w:ind w:left="720" w:hanging="720"/>
        <w:rPr>
          <w:rFonts w:ascii="Arial" w:hAnsi="Arial" w:cs="Arial"/>
        </w:rPr>
      </w:pPr>
      <w:proofErr w:type="spellStart"/>
      <w:r>
        <w:rPr>
          <w:rFonts w:ascii="Arial" w:hAnsi="Arial" w:cs="Arial"/>
        </w:rPr>
        <w:t>Netlink</w:t>
      </w:r>
      <w:proofErr w:type="spellEnd"/>
      <w:r>
        <w:rPr>
          <w:rFonts w:ascii="Arial" w:hAnsi="Arial" w:cs="Arial"/>
        </w:rPr>
        <w:t xml:space="preserve"> Star</w:t>
      </w:r>
      <w:r w:rsidR="00FF1384" w:rsidRPr="00FF1384">
        <w:rPr>
          <w:rFonts w:ascii="Arial" w:hAnsi="Arial" w:cs="Arial"/>
        </w:rPr>
        <w:t xml:space="preserve"> shall:</w:t>
      </w:r>
    </w:p>
    <w:p w14:paraId="1B1FFBA6" w14:textId="77777777" w:rsidR="00FF1384" w:rsidRPr="00FF1384" w:rsidRDefault="00FF1384" w:rsidP="009D675B">
      <w:pPr>
        <w:pStyle w:val="Level3"/>
        <w:numPr>
          <w:ilvl w:val="2"/>
          <w:numId w:val="78"/>
        </w:numPr>
        <w:tabs>
          <w:tab w:val="clear" w:pos="4901"/>
        </w:tabs>
        <w:adjustRightInd w:val="0"/>
        <w:spacing w:line="240" w:lineRule="auto"/>
        <w:ind w:left="1418" w:hanging="720"/>
        <w:rPr>
          <w:rFonts w:ascii="Arial" w:hAnsi="Arial" w:cs="Arial"/>
        </w:rPr>
      </w:pPr>
      <w:r w:rsidRPr="00FF1384">
        <w:rPr>
          <w:rFonts w:ascii="Arial" w:hAnsi="Arial" w:cs="Arial"/>
        </w:rPr>
        <w:t xml:space="preserve">perform those obligations which are set out in the clauses of this Agreement and the Paragraphs of the </w:t>
      </w:r>
      <w:proofErr w:type="gramStart"/>
      <w:r w:rsidRPr="00FF1384" w:rsidDel="00B85232">
        <w:rPr>
          <w:rFonts w:ascii="Arial" w:hAnsi="Arial" w:cs="Arial"/>
        </w:rPr>
        <w:t>Schedules</w:t>
      </w:r>
      <w:r w:rsidRPr="00FF1384">
        <w:rPr>
          <w:rFonts w:ascii="Arial" w:hAnsi="Arial" w:cs="Arial"/>
        </w:rPr>
        <w:t>;</w:t>
      </w:r>
      <w:proofErr w:type="gramEnd"/>
    </w:p>
    <w:p w14:paraId="3505C8A0" w14:textId="334422A5" w:rsidR="00FF1384" w:rsidRPr="00FF1384" w:rsidRDefault="00FF1384" w:rsidP="009D675B">
      <w:pPr>
        <w:pStyle w:val="Level3"/>
        <w:numPr>
          <w:ilvl w:val="2"/>
          <w:numId w:val="78"/>
        </w:numPr>
        <w:tabs>
          <w:tab w:val="clear" w:pos="4901"/>
        </w:tabs>
        <w:adjustRightInd w:val="0"/>
        <w:spacing w:line="240" w:lineRule="auto"/>
        <w:ind w:left="1418" w:hanging="720"/>
        <w:rPr>
          <w:rFonts w:ascii="Arial" w:hAnsi="Arial" w:cs="Arial"/>
        </w:rPr>
      </w:pPr>
      <w:r w:rsidRPr="00FF1384">
        <w:rPr>
          <w:rFonts w:ascii="Arial" w:hAnsi="Arial" w:cs="Arial"/>
        </w:rPr>
        <w:t xml:space="preserve">use all reasonable endeavours to provide the Supplier with reasonable access to appropriate members of its staff and its suppliers’ staff where such access is reasonably requested by the Supplier ten (10) days in advance (cancellable by </w:t>
      </w:r>
      <w:proofErr w:type="spellStart"/>
      <w:r w:rsidR="001F1C19">
        <w:rPr>
          <w:rFonts w:ascii="Arial" w:hAnsi="Arial" w:cs="Arial"/>
        </w:rPr>
        <w:t>Netlink</w:t>
      </w:r>
      <w:proofErr w:type="spellEnd"/>
      <w:r w:rsidR="001F1C19">
        <w:rPr>
          <w:rFonts w:ascii="Arial" w:hAnsi="Arial" w:cs="Arial"/>
        </w:rPr>
        <w:t xml:space="preserve"> Star</w:t>
      </w:r>
      <w:r w:rsidRPr="00FF1384">
        <w:rPr>
          <w:rFonts w:ascii="Arial" w:hAnsi="Arial" w:cs="Arial"/>
        </w:rPr>
        <w:t xml:space="preserve"> on 48 hours’ notice) and such a meeting is highlighted as necessary in order for the Supplier to discharge its obligations throughout the </w:t>
      </w:r>
      <w:proofErr w:type="gramStart"/>
      <w:r w:rsidRPr="00FF1384">
        <w:rPr>
          <w:rFonts w:ascii="Arial" w:hAnsi="Arial" w:cs="Arial"/>
        </w:rPr>
        <w:t>Term;</w:t>
      </w:r>
      <w:proofErr w:type="gramEnd"/>
    </w:p>
    <w:p w14:paraId="39EE7A3E" w14:textId="77777777" w:rsidR="00FF1384" w:rsidRPr="00FF1384" w:rsidRDefault="00FF1384" w:rsidP="009D675B">
      <w:pPr>
        <w:pStyle w:val="Level3"/>
        <w:numPr>
          <w:ilvl w:val="2"/>
          <w:numId w:val="78"/>
        </w:numPr>
        <w:tabs>
          <w:tab w:val="clear" w:pos="4901"/>
        </w:tabs>
        <w:adjustRightInd w:val="0"/>
        <w:spacing w:line="240" w:lineRule="auto"/>
        <w:ind w:left="1418" w:hanging="720"/>
        <w:rPr>
          <w:rFonts w:ascii="Arial" w:hAnsi="Arial" w:cs="Arial"/>
        </w:rPr>
      </w:pPr>
      <w:r w:rsidRPr="00FF1384">
        <w:rPr>
          <w:rFonts w:ascii="Arial" w:hAnsi="Arial" w:cs="Arial"/>
        </w:rPr>
        <w:t>use all reasonable endeavours to provide the Supplier with reasonable access to its premises, data centres, systems and equipment to the extent such access is reasonably necessary for the Supplier to perform its obligations under this Agreement, provided that the Supplier has agreed and is following operational access protocols with any applicable third party data centre provider and such access shall be during normal working hours unless otherwise agreed (such agreement not to be unreasonably withheld or delayed) and the Supplier at all times complies with the requirements of this Agreement;</w:t>
      </w:r>
    </w:p>
    <w:p w14:paraId="0CD46761" w14:textId="57F1DE7E" w:rsidR="00FF1384" w:rsidRPr="00FF1384" w:rsidRDefault="00FF1384" w:rsidP="009D675B">
      <w:pPr>
        <w:pStyle w:val="Level3"/>
        <w:numPr>
          <w:ilvl w:val="2"/>
          <w:numId w:val="78"/>
        </w:numPr>
        <w:tabs>
          <w:tab w:val="clear" w:pos="4901"/>
        </w:tabs>
        <w:adjustRightInd w:val="0"/>
        <w:spacing w:line="240" w:lineRule="auto"/>
        <w:ind w:left="1418" w:hanging="720"/>
        <w:rPr>
          <w:rFonts w:ascii="Arial" w:hAnsi="Arial" w:cs="Arial"/>
        </w:rPr>
      </w:pPr>
      <w:r w:rsidRPr="00FF1384">
        <w:rPr>
          <w:rFonts w:ascii="Arial" w:hAnsi="Arial" w:cs="Arial"/>
        </w:rPr>
        <w:t xml:space="preserve">comply with laws and regulations applicable to its business and be responsible for determining and directing the Supplier with respect to any processes and procedures applicable to </w:t>
      </w:r>
      <w:proofErr w:type="spellStart"/>
      <w:r w:rsidR="001F1C19">
        <w:rPr>
          <w:rFonts w:ascii="Arial" w:hAnsi="Arial" w:cs="Arial"/>
        </w:rPr>
        <w:t>Netlink</w:t>
      </w:r>
      <w:proofErr w:type="spellEnd"/>
      <w:r w:rsidR="001F1C19">
        <w:rPr>
          <w:rFonts w:ascii="Arial" w:hAnsi="Arial" w:cs="Arial"/>
        </w:rPr>
        <w:t xml:space="preserve"> Star</w:t>
      </w:r>
      <w:r w:rsidRPr="00FF1384">
        <w:rPr>
          <w:rFonts w:ascii="Arial" w:hAnsi="Arial" w:cs="Arial"/>
        </w:rPr>
        <w:t>’s business which Supplier must follow; and</w:t>
      </w:r>
    </w:p>
    <w:p w14:paraId="4B8EB952" w14:textId="74F17DB5" w:rsidR="00FF1384" w:rsidRPr="00FF1384" w:rsidRDefault="00FF1384" w:rsidP="009D675B">
      <w:pPr>
        <w:pStyle w:val="Level3"/>
        <w:numPr>
          <w:ilvl w:val="2"/>
          <w:numId w:val="78"/>
        </w:numPr>
        <w:tabs>
          <w:tab w:val="clear" w:pos="4901"/>
        </w:tabs>
        <w:adjustRightInd w:val="0"/>
        <w:spacing w:line="240" w:lineRule="auto"/>
        <w:ind w:left="1418" w:hanging="720"/>
        <w:rPr>
          <w:rFonts w:ascii="Arial" w:hAnsi="Arial" w:cs="Arial"/>
        </w:rPr>
      </w:pPr>
      <w:r w:rsidRPr="00FF1384">
        <w:rPr>
          <w:rFonts w:ascii="Arial" w:hAnsi="Arial" w:cs="Arial"/>
        </w:rPr>
        <w:t xml:space="preserve">inform the Supplier via the Change Board where </w:t>
      </w:r>
      <w:proofErr w:type="spellStart"/>
      <w:r w:rsidR="001F1C19">
        <w:rPr>
          <w:rFonts w:ascii="Arial" w:hAnsi="Arial" w:cs="Arial"/>
        </w:rPr>
        <w:t>Netlink</w:t>
      </w:r>
      <w:proofErr w:type="spellEnd"/>
      <w:r w:rsidR="001F1C19">
        <w:rPr>
          <w:rFonts w:ascii="Arial" w:hAnsi="Arial" w:cs="Arial"/>
        </w:rPr>
        <w:t xml:space="preserve"> Star</w:t>
      </w:r>
      <w:r w:rsidRPr="00FF1384">
        <w:rPr>
          <w:rFonts w:ascii="Arial" w:hAnsi="Arial" w:cs="Arial"/>
        </w:rPr>
        <w:t xml:space="preserve"> makes changes to any technology including software used in connection with the provision of the Services.</w:t>
      </w:r>
    </w:p>
    <w:p w14:paraId="3D686AC3" w14:textId="77777777" w:rsidR="00FF1384" w:rsidRPr="00FF1384" w:rsidRDefault="00FF1384" w:rsidP="008446F2">
      <w:pPr>
        <w:pStyle w:val="Level3"/>
        <w:numPr>
          <w:ilvl w:val="0"/>
          <w:numId w:val="0"/>
        </w:numPr>
        <w:ind w:left="1152" w:hanging="720"/>
        <w:rPr>
          <w:rFonts w:ascii="Arial" w:hAnsi="Arial" w:cs="Arial"/>
          <w:b/>
          <w:bCs/>
        </w:rPr>
      </w:pPr>
    </w:p>
    <w:p w14:paraId="69D48ADC" w14:textId="77777777" w:rsidR="00FF1384" w:rsidRPr="00FF1384" w:rsidRDefault="00FF1384" w:rsidP="009D675B">
      <w:pPr>
        <w:pStyle w:val="Level1"/>
        <w:numPr>
          <w:ilvl w:val="0"/>
          <w:numId w:val="78"/>
        </w:numPr>
        <w:adjustRightInd w:val="0"/>
        <w:spacing w:after="120" w:line="240" w:lineRule="auto"/>
        <w:rPr>
          <w:rFonts w:ascii="Arial" w:hAnsi="Arial" w:cs="Arial"/>
          <w:b/>
          <w:bCs/>
        </w:rPr>
      </w:pPr>
      <w:bookmarkStart w:id="1714" w:name="_Toc82098345"/>
      <w:r w:rsidRPr="00FF1384">
        <w:rPr>
          <w:rFonts w:ascii="Arial" w:hAnsi="Arial" w:cs="Arial"/>
          <w:b/>
          <w:bCs/>
        </w:rPr>
        <w:t>SERVICE DESK RESPONSIBILITIES</w:t>
      </w:r>
      <w:bookmarkEnd w:id="1714"/>
      <w:r w:rsidRPr="00FF1384">
        <w:rPr>
          <w:rFonts w:ascii="Arial" w:hAnsi="Arial" w:cs="Arial"/>
          <w:b/>
          <w:bCs/>
        </w:rPr>
        <w:t xml:space="preserve"> </w:t>
      </w:r>
    </w:p>
    <w:p w14:paraId="19E019D4" w14:textId="585A27A6" w:rsidR="00FF1384" w:rsidRPr="00FF1384" w:rsidRDefault="00FF1384" w:rsidP="009D675B">
      <w:pPr>
        <w:pStyle w:val="Level2"/>
        <w:numPr>
          <w:ilvl w:val="1"/>
          <w:numId w:val="78"/>
        </w:numPr>
        <w:adjustRightInd w:val="0"/>
        <w:spacing w:after="120" w:line="240" w:lineRule="auto"/>
        <w:ind w:left="720" w:hanging="720"/>
        <w:rPr>
          <w:rFonts w:ascii="Arial" w:eastAsiaTheme="minorEastAsia" w:hAnsi="Arial" w:cs="Arial"/>
        </w:rPr>
      </w:pPr>
      <w:r w:rsidRPr="00FF1384">
        <w:rPr>
          <w:rFonts w:ascii="Arial" w:hAnsi="Arial" w:cs="Arial"/>
        </w:rPr>
        <w:t xml:space="preserve">From the Operational Services Commencement Date, </w:t>
      </w:r>
      <w:proofErr w:type="spellStart"/>
      <w:r w:rsidR="001F1C19">
        <w:rPr>
          <w:rFonts w:ascii="Arial" w:hAnsi="Arial" w:cs="Arial"/>
        </w:rPr>
        <w:t>Netlink</w:t>
      </w:r>
      <w:proofErr w:type="spellEnd"/>
      <w:r w:rsidR="001F1C19">
        <w:rPr>
          <w:rFonts w:ascii="Arial" w:hAnsi="Arial" w:cs="Arial"/>
        </w:rPr>
        <w:t xml:space="preserve"> Star</w:t>
      </w:r>
      <w:r w:rsidRPr="00FF1384">
        <w:rPr>
          <w:rFonts w:ascii="Arial" w:hAnsi="Arial" w:cs="Arial"/>
        </w:rPr>
        <w:t xml:space="preserve"> shall ensure that within </w:t>
      </w:r>
      <w:proofErr w:type="spellStart"/>
      <w:r w:rsidR="001F1C19">
        <w:rPr>
          <w:rFonts w:ascii="Arial" w:hAnsi="Arial" w:cs="Arial"/>
        </w:rPr>
        <w:t>Netlink</w:t>
      </w:r>
      <w:proofErr w:type="spellEnd"/>
      <w:r w:rsidR="001F1C19">
        <w:rPr>
          <w:rFonts w:ascii="Arial" w:hAnsi="Arial" w:cs="Arial"/>
        </w:rPr>
        <w:t xml:space="preserve"> Star</w:t>
      </w:r>
      <w:r w:rsidRPr="00FF1384">
        <w:rPr>
          <w:rFonts w:ascii="Arial" w:hAnsi="Arial" w:cs="Arial"/>
        </w:rPr>
        <w:t xml:space="preserve"> weekday office hours its service desk capability logs, triages and assigns any tickets that are (</w:t>
      </w:r>
      <w:proofErr w:type="spellStart"/>
      <w:r w:rsidRPr="00FF1384">
        <w:rPr>
          <w:rFonts w:ascii="Arial" w:hAnsi="Arial" w:cs="Arial"/>
        </w:rPr>
        <w:t>i</w:t>
      </w:r>
      <w:proofErr w:type="spellEnd"/>
      <w:r w:rsidRPr="00FF1384">
        <w:rPr>
          <w:rFonts w:ascii="Arial" w:hAnsi="Arial" w:cs="Arial"/>
        </w:rPr>
        <w:t xml:space="preserve">) raised with </w:t>
      </w:r>
      <w:proofErr w:type="spellStart"/>
      <w:r w:rsidR="001F1C19">
        <w:rPr>
          <w:rFonts w:ascii="Arial" w:hAnsi="Arial" w:cs="Arial"/>
        </w:rPr>
        <w:t>Netlink</w:t>
      </w:r>
      <w:proofErr w:type="spellEnd"/>
      <w:r w:rsidR="001F1C19">
        <w:rPr>
          <w:rFonts w:ascii="Arial" w:hAnsi="Arial" w:cs="Arial"/>
        </w:rPr>
        <w:t xml:space="preserve"> Star</w:t>
      </w:r>
      <w:r w:rsidRPr="00FF1384">
        <w:rPr>
          <w:rFonts w:ascii="Arial" w:hAnsi="Arial" w:cs="Arial"/>
        </w:rPr>
        <w:t xml:space="preserve">’s service desk and (ii) relate to the Services provided pursuant to this Agreement, to the Supplier. Notwithstanding this, the Supplier shall proactively monitor, </w:t>
      </w:r>
      <w:proofErr w:type="gramStart"/>
      <w:r w:rsidRPr="00FF1384">
        <w:rPr>
          <w:rFonts w:ascii="Arial" w:hAnsi="Arial" w:cs="Arial"/>
        </w:rPr>
        <w:t>identify</w:t>
      </w:r>
      <w:proofErr w:type="gramEnd"/>
      <w:r w:rsidRPr="00FF1384">
        <w:rPr>
          <w:rFonts w:ascii="Arial" w:hAnsi="Arial" w:cs="Arial"/>
        </w:rPr>
        <w:t xml:space="preserve"> and assess the impact of issues across the IT environment through the service as described in Schedule 2.1 (Services Description).</w:t>
      </w:r>
    </w:p>
    <w:p w14:paraId="15DAB90A" w14:textId="02F96950" w:rsidR="00FF1384" w:rsidRDefault="00FF1384">
      <w:r>
        <w:br w:type="page"/>
      </w:r>
    </w:p>
    <w:p w14:paraId="47F74AF5" w14:textId="68E7A24C" w:rsidR="007B12F8" w:rsidRPr="00C959F4" w:rsidRDefault="007B12F8" w:rsidP="007B12F8">
      <w:pPr>
        <w:pStyle w:val="TOC3"/>
        <w:spacing w:after="120"/>
        <w:jc w:val="center"/>
        <w:rPr>
          <w:rFonts w:cs="Arial"/>
          <w:b/>
          <w:bCs/>
          <w:color w:val="auto"/>
          <w:szCs w:val="20"/>
        </w:rPr>
      </w:pPr>
      <w:r w:rsidRPr="00C959F4">
        <w:rPr>
          <w:rFonts w:cs="Arial"/>
          <w:b/>
          <w:bCs/>
          <w:color w:val="auto"/>
          <w:szCs w:val="20"/>
        </w:rPr>
        <w:lastRenderedPageBreak/>
        <w:t>SCHEDULE 4.1</w:t>
      </w:r>
    </w:p>
    <w:p w14:paraId="750372FD" w14:textId="77777777" w:rsidR="007B12F8" w:rsidRPr="00C959F4" w:rsidRDefault="007B12F8" w:rsidP="007B12F8">
      <w:pPr>
        <w:pStyle w:val="TOC4"/>
        <w:spacing w:after="120"/>
        <w:jc w:val="center"/>
        <w:rPr>
          <w:rFonts w:cs="Arial"/>
          <w:b/>
          <w:bCs/>
          <w:color w:val="auto"/>
          <w:szCs w:val="20"/>
        </w:rPr>
      </w:pPr>
      <w:r w:rsidRPr="00C959F4">
        <w:rPr>
          <w:rFonts w:cs="Arial"/>
          <w:b/>
          <w:bCs/>
          <w:color w:val="auto"/>
          <w:szCs w:val="20"/>
        </w:rPr>
        <w:t>SOLUTION SUMMARY</w:t>
      </w:r>
    </w:p>
    <w:p w14:paraId="205F59E2" w14:textId="77777777" w:rsidR="007B12F8" w:rsidRPr="00C959F4" w:rsidRDefault="007B12F8" w:rsidP="007B12F8">
      <w:pPr>
        <w:pStyle w:val="TOC5"/>
        <w:spacing w:after="120"/>
        <w:rPr>
          <w:rFonts w:cs="Arial"/>
          <w:szCs w:val="20"/>
        </w:rPr>
      </w:pPr>
    </w:p>
    <w:p w14:paraId="05080441" w14:textId="354A9E93" w:rsidR="007B12F8" w:rsidRPr="007B12F8" w:rsidRDefault="007B12F8" w:rsidP="009D675B">
      <w:pPr>
        <w:pStyle w:val="Heading1"/>
        <w:numPr>
          <w:ilvl w:val="0"/>
          <w:numId w:val="74"/>
        </w:numPr>
        <w:spacing w:after="120"/>
        <w:rPr>
          <w:rFonts w:cs="Arial"/>
          <w:szCs w:val="20"/>
        </w:rPr>
      </w:pPr>
      <w:bookmarkStart w:id="1715" w:name="_Toc83199217"/>
      <w:bookmarkStart w:id="1716" w:name="_Toc83200913"/>
      <w:bookmarkStart w:id="1717" w:name="_Toc83299518"/>
      <w:bookmarkStart w:id="1718" w:name="_Toc83299837"/>
      <w:bookmarkStart w:id="1719" w:name="_Toc83199218"/>
      <w:bookmarkStart w:id="1720" w:name="_Toc83200914"/>
      <w:bookmarkStart w:id="1721" w:name="_Toc83299519"/>
      <w:bookmarkStart w:id="1722" w:name="_Toc83299838"/>
      <w:bookmarkStart w:id="1723" w:name="_Toc83199219"/>
      <w:bookmarkStart w:id="1724" w:name="_Toc83200915"/>
      <w:bookmarkStart w:id="1725" w:name="_Toc83299520"/>
      <w:bookmarkStart w:id="1726" w:name="_Toc83299839"/>
      <w:bookmarkStart w:id="1727" w:name="_Toc83199220"/>
      <w:bookmarkStart w:id="1728" w:name="_Toc83200916"/>
      <w:bookmarkStart w:id="1729" w:name="_Toc83299521"/>
      <w:bookmarkStart w:id="1730" w:name="_Toc83299840"/>
      <w:bookmarkStart w:id="1731" w:name="_Toc83199221"/>
      <w:bookmarkStart w:id="1732" w:name="_Toc83200917"/>
      <w:bookmarkStart w:id="1733" w:name="_Toc83299522"/>
      <w:bookmarkStart w:id="1734" w:name="_Toc83299841"/>
      <w:bookmarkStart w:id="1735" w:name="_Toc83199222"/>
      <w:bookmarkStart w:id="1736" w:name="_Toc83200918"/>
      <w:bookmarkStart w:id="1737" w:name="_Toc83299523"/>
      <w:bookmarkStart w:id="1738" w:name="_Toc83299842"/>
      <w:bookmarkStart w:id="1739" w:name="_Toc83199223"/>
      <w:bookmarkStart w:id="1740" w:name="_Toc83200919"/>
      <w:bookmarkStart w:id="1741" w:name="_Toc83299524"/>
      <w:bookmarkStart w:id="1742" w:name="_Toc83299843"/>
      <w:bookmarkStart w:id="1743" w:name="_Toc83199224"/>
      <w:bookmarkStart w:id="1744" w:name="_Toc83200920"/>
      <w:bookmarkStart w:id="1745" w:name="_Toc83299525"/>
      <w:bookmarkStart w:id="1746" w:name="_Toc83299844"/>
      <w:bookmarkStart w:id="1747" w:name="_Toc83199225"/>
      <w:bookmarkStart w:id="1748" w:name="_Toc83200921"/>
      <w:bookmarkStart w:id="1749" w:name="_Toc83299526"/>
      <w:bookmarkStart w:id="1750" w:name="_Toc83299845"/>
      <w:bookmarkStart w:id="1751" w:name="_Toc83199226"/>
      <w:bookmarkStart w:id="1752" w:name="_Toc83200922"/>
      <w:bookmarkStart w:id="1753" w:name="_Toc83299527"/>
      <w:bookmarkStart w:id="1754" w:name="_Toc83299846"/>
      <w:bookmarkStart w:id="1755" w:name="_Toc83199227"/>
      <w:bookmarkStart w:id="1756" w:name="_Toc83200923"/>
      <w:bookmarkStart w:id="1757" w:name="_Toc83299528"/>
      <w:bookmarkStart w:id="1758" w:name="_Toc83299847"/>
      <w:bookmarkStart w:id="1759" w:name="_Toc83199228"/>
      <w:bookmarkStart w:id="1760" w:name="_Toc83200924"/>
      <w:bookmarkStart w:id="1761" w:name="_Toc83299529"/>
      <w:bookmarkStart w:id="1762" w:name="_Toc83299848"/>
      <w:bookmarkStart w:id="1763" w:name="_Toc83199229"/>
      <w:bookmarkStart w:id="1764" w:name="_Toc83200925"/>
      <w:bookmarkStart w:id="1765" w:name="_Toc83299530"/>
      <w:bookmarkStart w:id="1766" w:name="_Toc83299849"/>
      <w:bookmarkStart w:id="1767" w:name="_Toc83199230"/>
      <w:bookmarkStart w:id="1768" w:name="_Toc83200926"/>
      <w:bookmarkStart w:id="1769" w:name="_Toc83299531"/>
      <w:bookmarkStart w:id="1770" w:name="_Toc83299850"/>
      <w:bookmarkStart w:id="1771" w:name="_Toc83199231"/>
      <w:bookmarkStart w:id="1772" w:name="_Toc83200927"/>
      <w:bookmarkStart w:id="1773" w:name="_Toc83299532"/>
      <w:bookmarkStart w:id="1774" w:name="_Toc83299851"/>
      <w:bookmarkStart w:id="1775" w:name="_Toc83199232"/>
      <w:bookmarkStart w:id="1776" w:name="_Toc83200928"/>
      <w:bookmarkStart w:id="1777" w:name="_Toc83299533"/>
      <w:bookmarkStart w:id="1778" w:name="_Toc83299852"/>
      <w:bookmarkStart w:id="1779" w:name="_Toc83199233"/>
      <w:bookmarkStart w:id="1780" w:name="_Toc83200929"/>
      <w:bookmarkStart w:id="1781" w:name="_Toc83299534"/>
      <w:bookmarkStart w:id="1782" w:name="_Toc83299853"/>
      <w:bookmarkStart w:id="1783" w:name="_Toc83199234"/>
      <w:bookmarkStart w:id="1784" w:name="_Toc83200930"/>
      <w:bookmarkStart w:id="1785" w:name="_Toc83299535"/>
      <w:bookmarkStart w:id="1786" w:name="_Toc83299854"/>
      <w:bookmarkStart w:id="1787" w:name="_Toc83199235"/>
      <w:bookmarkStart w:id="1788" w:name="_Toc83200931"/>
      <w:bookmarkStart w:id="1789" w:name="_Toc83299536"/>
      <w:bookmarkStart w:id="1790" w:name="_Toc83299855"/>
      <w:bookmarkStart w:id="1791" w:name="_Toc83199236"/>
      <w:bookmarkStart w:id="1792" w:name="_Toc83200932"/>
      <w:bookmarkStart w:id="1793" w:name="_Toc83299537"/>
      <w:bookmarkStart w:id="1794" w:name="_Toc83299856"/>
      <w:bookmarkStart w:id="1795" w:name="_Toc83199237"/>
      <w:bookmarkStart w:id="1796" w:name="_Toc83200933"/>
      <w:bookmarkStart w:id="1797" w:name="_Toc83299538"/>
      <w:bookmarkStart w:id="1798" w:name="_Toc83299857"/>
      <w:bookmarkStart w:id="1799" w:name="_Toc83199238"/>
      <w:bookmarkStart w:id="1800" w:name="_Toc83200934"/>
      <w:bookmarkStart w:id="1801" w:name="_Toc83299539"/>
      <w:bookmarkStart w:id="1802" w:name="_Toc83299858"/>
      <w:bookmarkStart w:id="1803" w:name="_Toc83904700"/>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r w:rsidRPr="007B12F8">
        <w:rPr>
          <w:rFonts w:cs="Arial"/>
          <w:szCs w:val="20"/>
        </w:rPr>
        <w:t>SUPPLIER SOLUTION SUMMARY</w:t>
      </w:r>
      <w:bookmarkEnd w:id="1803"/>
    </w:p>
    <w:p w14:paraId="1F97DA3A" w14:textId="19975B5D" w:rsidR="007B12F8" w:rsidRPr="00C959F4" w:rsidRDefault="007B12F8" w:rsidP="007B12F8">
      <w:pPr>
        <w:pStyle w:val="Heading2"/>
        <w:spacing w:after="120"/>
        <w:rPr>
          <w:szCs w:val="20"/>
        </w:rPr>
      </w:pPr>
      <w:r w:rsidRPr="00C959F4">
        <w:rPr>
          <w:szCs w:val="20"/>
        </w:rPr>
        <w:t xml:space="preserve">This Schedule sets out the Supplier’s proposed solution to meeting </w:t>
      </w:r>
      <w:proofErr w:type="spellStart"/>
      <w:r w:rsidR="001F1C19">
        <w:rPr>
          <w:szCs w:val="20"/>
        </w:rPr>
        <w:t>Netlink</w:t>
      </w:r>
      <w:proofErr w:type="spellEnd"/>
      <w:r w:rsidR="001F1C19">
        <w:rPr>
          <w:szCs w:val="20"/>
        </w:rPr>
        <w:t xml:space="preserve"> Star</w:t>
      </w:r>
      <w:r w:rsidRPr="00C959F4">
        <w:rPr>
          <w:szCs w:val="20"/>
        </w:rPr>
        <w:t xml:space="preserve">’s requirements as </w:t>
      </w:r>
      <w:r w:rsidRPr="007B12F8">
        <w:rPr>
          <w:rFonts w:cs="Arial"/>
          <w:szCs w:val="20"/>
        </w:rPr>
        <w:t>described</w:t>
      </w:r>
      <w:r w:rsidRPr="00C959F4">
        <w:rPr>
          <w:szCs w:val="20"/>
        </w:rPr>
        <w:t xml:space="preserve"> in the Invitation to Tender.  This Schedule summarises the Supplier’s Solution based on the requirements in </w:t>
      </w:r>
      <w:proofErr w:type="spellStart"/>
      <w:r w:rsidR="001F1C19">
        <w:rPr>
          <w:szCs w:val="20"/>
        </w:rPr>
        <w:t>Netlink</w:t>
      </w:r>
      <w:proofErr w:type="spellEnd"/>
      <w:r w:rsidR="001F1C19">
        <w:rPr>
          <w:szCs w:val="20"/>
        </w:rPr>
        <w:t xml:space="preserve"> Star</w:t>
      </w:r>
      <w:r w:rsidRPr="00C959F4">
        <w:rPr>
          <w:szCs w:val="20"/>
        </w:rPr>
        <w:t>’s ITT and the Supplier’s response. There is an expectation that the solution will be developed further during transition planning and service delivery.</w:t>
      </w:r>
    </w:p>
    <w:p w14:paraId="1F9BA7C8" w14:textId="75275E66" w:rsidR="007B12F8" w:rsidRPr="00C959F4" w:rsidRDefault="007B12F8" w:rsidP="007B12F8">
      <w:pPr>
        <w:pStyle w:val="Heading1"/>
        <w:spacing w:after="120"/>
        <w:rPr>
          <w:rFonts w:cs="Arial"/>
          <w:szCs w:val="20"/>
        </w:rPr>
      </w:pPr>
      <w:bookmarkStart w:id="1804" w:name="_Toc83904701"/>
      <w:r w:rsidRPr="00C959F4">
        <w:rPr>
          <w:rFonts w:cs="Arial"/>
          <w:szCs w:val="20"/>
        </w:rPr>
        <w:t>TRANSITION</w:t>
      </w:r>
      <w:bookmarkEnd w:id="1804"/>
    </w:p>
    <w:p w14:paraId="31806CCA" w14:textId="5E98C212" w:rsidR="007B12F8" w:rsidRPr="00C959F4" w:rsidRDefault="007B12F8" w:rsidP="007B12F8">
      <w:pPr>
        <w:pStyle w:val="Heading2"/>
        <w:spacing w:after="120"/>
        <w:rPr>
          <w:i/>
          <w:iCs w:val="0"/>
        </w:rPr>
      </w:pPr>
      <w:r w:rsidRPr="00C959F4">
        <w:t>The Supplier will deploy a Transition</w:t>
      </w:r>
      <w:r w:rsidRPr="00C959F4" w:rsidDel="00D2743B">
        <w:t xml:space="preserve"> </w:t>
      </w:r>
      <w:r w:rsidRPr="00C959F4">
        <w:t xml:space="preserve">Manager who will be accountable for the transition and will work </w:t>
      </w:r>
      <w:r w:rsidRPr="007B12F8">
        <w:rPr>
          <w:rFonts w:cs="Arial"/>
          <w:szCs w:val="20"/>
        </w:rPr>
        <w:t>collaboratively</w:t>
      </w:r>
      <w:r w:rsidRPr="00C959F4">
        <w:t xml:space="preserve"> with </w:t>
      </w:r>
      <w:proofErr w:type="spellStart"/>
      <w:r w:rsidR="001F1C19">
        <w:t>Netlink</w:t>
      </w:r>
      <w:proofErr w:type="spellEnd"/>
      <w:r w:rsidR="001F1C19">
        <w:t xml:space="preserve"> Star</w:t>
      </w:r>
      <w:r w:rsidRPr="00C959F4">
        <w:t xml:space="preserve"> stakeholders, the incumbent and other suppliers to deliver the transition</w:t>
      </w:r>
      <w:r w:rsidRPr="00C959F4">
        <w:rPr>
          <w:i/>
        </w:rPr>
        <w:t>.</w:t>
      </w:r>
    </w:p>
    <w:p w14:paraId="26DA3FA6" w14:textId="77777777" w:rsidR="007B12F8" w:rsidRPr="00C959F4" w:rsidRDefault="007B12F8" w:rsidP="007B12F8">
      <w:pPr>
        <w:pStyle w:val="Heading2"/>
        <w:spacing w:after="120"/>
        <w:rPr>
          <w:b/>
          <w:bCs w:val="0"/>
        </w:rPr>
      </w:pPr>
      <w:bookmarkStart w:id="1805" w:name="_Toc83904702"/>
      <w:r w:rsidRPr="00C959F4">
        <w:rPr>
          <w:b/>
        </w:rPr>
        <w:t>Pre-Transition Activities</w:t>
      </w:r>
      <w:bookmarkEnd w:id="1805"/>
    </w:p>
    <w:p w14:paraId="1DC89AF9" w14:textId="77777777" w:rsidR="007B12F8" w:rsidRPr="00C959F4" w:rsidRDefault="007B12F8" w:rsidP="00346A37">
      <w:pPr>
        <w:pStyle w:val="Heading3"/>
      </w:pPr>
      <w:r w:rsidRPr="00C959F4">
        <w:t>The Supplier intends to undertake the following activities in advance of the Effective Date:</w:t>
      </w:r>
    </w:p>
    <w:p w14:paraId="33EE09DD" w14:textId="255A0ABA" w:rsidR="007B12F8" w:rsidRPr="007B12F8" w:rsidRDefault="007B12F8" w:rsidP="007B12F8">
      <w:pPr>
        <w:pStyle w:val="Heading4"/>
        <w:tabs>
          <w:tab w:val="clear" w:pos="1702"/>
        </w:tabs>
        <w:spacing w:after="120"/>
        <w:ind w:left="2410"/>
        <w:rPr>
          <w:rFonts w:cs="Arial"/>
          <w:szCs w:val="20"/>
        </w:rPr>
      </w:pPr>
      <w:r w:rsidRPr="00C959F4">
        <w:rPr>
          <w:rFonts w:cs="Arial"/>
          <w:szCs w:val="20"/>
        </w:rPr>
        <w:t xml:space="preserve">verifying key stakeholders from the Supplier and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 xml:space="preserve"> and its incumbent suppliers who will be part of the Transition programme </w:t>
      </w:r>
      <w:proofErr w:type="gramStart"/>
      <w:r w:rsidRPr="00C959F4">
        <w:rPr>
          <w:rFonts w:cs="Arial"/>
          <w:szCs w:val="20"/>
        </w:rPr>
        <w:t>governance</w:t>
      </w:r>
      <w:r>
        <w:rPr>
          <w:rFonts w:cs="Arial"/>
          <w:szCs w:val="20"/>
        </w:rPr>
        <w:t>;</w:t>
      </w:r>
      <w:proofErr w:type="gramEnd"/>
    </w:p>
    <w:p w14:paraId="4DFD4118" w14:textId="77777777" w:rsidR="007B12F8" w:rsidRPr="007B12F8" w:rsidRDefault="007B12F8" w:rsidP="007B12F8">
      <w:pPr>
        <w:pStyle w:val="Heading4"/>
        <w:tabs>
          <w:tab w:val="clear" w:pos="1702"/>
        </w:tabs>
        <w:spacing w:after="120"/>
        <w:ind w:left="2410"/>
        <w:rPr>
          <w:rFonts w:cs="Arial"/>
          <w:szCs w:val="20"/>
        </w:rPr>
      </w:pPr>
      <w:r w:rsidRPr="00C959F4">
        <w:rPr>
          <w:rFonts w:cs="Arial"/>
          <w:szCs w:val="20"/>
        </w:rPr>
        <w:t>carrying out an initial review of the delivery locations to re-validate the set-up timetable</w:t>
      </w:r>
      <w:r>
        <w:rPr>
          <w:rFonts w:cs="Arial"/>
          <w:szCs w:val="20"/>
        </w:rPr>
        <w:t>; and</w:t>
      </w:r>
    </w:p>
    <w:p w14:paraId="07B71F72" w14:textId="0A5A416A" w:rsidR="007B12F8" w:rsidRPr="00C959F4" w:rsidRDefault="007B12F8" w:rsidP="007B12F8">
      <w:pPr>
        <w:pStyle w:val="Heading4"/>
        <w:tabs>
          <w:tab w:val="clear" w:pos="1702"/>
        </w:tabs>
        <w:spacing w:after="120"/>
        <w:ind w:left="2410"/>
        <w:rPr>
          <w:rFonts w:cs="Arial"/>
          <w:szCs w:val="20"/>
        </w:rPr>
      </w:pPr>
      <w:r w:rsidRPr="00C959F4">
        <w:rPr>
          <w:rFonts w:cs="Arial"/>
          <w:szCs w:val="20"/>
        </w:rPr>
        <w:t xml:space="preserve">providing the Supplier’s connectivity requirements to enable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 xml:space="preserve"> to meet its key dependency in this area.</w:t>
      </w:r>
    </w:p>
    <w:p w14:paraId="173E1735" w14:textId="77777777" w:rsidR="007B12F8" w:rsidRPr="00C959F4" w:rsidRDefault="007B12F8" w:rsidP="007B12F8">
      <w:pPr>
        <w:pStyle w:val="Heading2"/>
        <w:spacing w:after="120"/>
        <w:rPr>
          <w:b/>
          <w:bCs w:val="0"/>
        </w:rPr>
      </w:pPr>
      <w:bookmarkStart w:id="1806" w:name="_Toc83299543"/>
      <w:bookmarkStart w:id="1807" w:name="_Toc83299862"/>
      <w:bookmarkStart w:id="1808" w:name="_Toc83904703"/>
      <w:bookmarkEnd w:id="1806"/>
      <w:bookmarkEnd w:id="1807"/>
      <w:r w:rsidRPr="00C959F4">
        <w:rPr>
          <w:b/>
        </w:rPr>
        <w:t>Transition Solution Summary</w:t>
      </w:r>
      <w:bookmarkEnd w:id="1808"/>
    </w:p>
    <w:p w14:paraId="440D07F9" w14:textId="77777777" w:rsidR="007B12F8" w:rsidRPr="00C959F4" w:rsidRDefault="007B12F8" w:rsidP="00346A37">
      <w:pPr>
        <w:pStyle w:val="Heading3"/>
      </w:pPr>
      <w:r w:rsidRPr="00C959F4">
        <w:t xml:space="preserve">The transition phases and approach are aligned to the Supplier’s standard best practice, as described in the table below: </w:t>
      </w:r>
    </w:p>
    <w:tbl>
      <w:tblPr>
        <w:tblStyle w:val="ListTable3"/>
        <w:tblW w:w="0" w:type="auto"/>
        <w:tblBorders>
          <w:insideH w:val="single" w:sz="4" w:space="0" w:color="000000" w:themeColor="text1"/>
          <w:insideV w:val="single" w:sz="4" w:space="0" w:color="000000" w:themeColor="text1"/>
        </w:tblBorders>
        <w:tblLook w:val="04A0" w:firstRow="1" w:lastRow="0" w:firstColumn="1" w:lastColumn="0" w:noHBand="0" w:noVBand="1"/>
      </w:tblPr>
      <w:tblGrid>
        <w:gridCol w:w="5108"/>
        <w:gridCol w:w="3908"/>
      </w:tblGrid>
      <w:tr w:rsidR="007B12F8" w:rsidRPr="007B12F8" w14:paraId="4823C88E" w14:textId="77777777" w:rsidTr="007B12F8">
        <w:trPr>
          <w:cnfStyle w:val="100000000000" w:firstRow="1" w:lastRow="0" w:firstColumn="0" w:lastColumn="0" w:oddVBand="0" w:evenVBand="0" w:oddHBand="0" w:evenHBand="0" w:firstRowFirstColumn="0" w:firstRowLastColumn="0" w:lastRowFirstColumn="0" w:lastRowLastColumn="0"/>
          <w:trHeight w:val="341"/>
          <w:tblHeader/>
        </w:trPr>
        <w:tc>
          <w:tcPr>
            <w:cnfStyle w:val="001000000100" w:firstRow="0" w:lastRow="0" w:firstColumn="1" w:lastColumn="0" w:oddVBand="0" w:evenVBand="0" w:oddHBand="0" w:evenHBand="0" w:firstRowFirstColumn="1" w:firstRowLastColumn="0" w:lastRowFirstColumn="0" w:lastRowLastColumn="0"/>
            <w:tcW w:w="5299" w:type="dxa"/>
          </w:tcPr>
          <w:p w14:paraId="42F7AC61" w14:textId="77777777" w:rsidR="007B12F8" w:rsidRPr="007B12F8" w:rsidRDefault="007B12F8" w:rsidP="007B12F8">
            <w:pPr>
              <w:pStyle w:val="TableHead"/>
              <w:spacing w:after="120"/>
              <w:rPr>
                <w:rFonts w:ascii="Arial" w:hAnsi="Arial" w:cs="Arial"/>
                <w:b/>
                <w:bCs w:val="0"/>
                <w:sz w:val="20"/>
                <w:szCs w:val="20"/>
              </w:rPr>
            </w:pPr>
            <w:r w:rsidRPr="007B12F8">
              <w:rPr>
                <w:rFonts w:ascii="Arial" w:hAnsi="Arial" w:cs="Arial"/>
                <w:b/>
                <w:bCs w:val="0"/>
                <w:sz w:val="20"/>
                <w:szCs w:val="20"/>
              </w:rPr>
              <w:t>Transition Phases</w:t>
            </w:r>
          </w:p>
        </w:tc>
        <w:tc>
          <w:tcPr>
            <w:tcW w:w="4051" w:type="dxa"/>
          </w:tcPr>
          <w:p w14:paraId="329CE5AC" w14:textId="438C29B1" w:rsidR="007B12F8" w:rsidRPr="007B12F8" w:rsidRDefault="007B12F8" w:rsidP="007B12F8">
            <w:pPr>
              <w:pStyle w:val="TableHead"/>
              <w:spacing w:after="120"/>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7B12F8">
              <w:rPr>
                <w:rFonts w:ascii="Arial" w:hAnsi="Arial" w:cs="Arial"/>
                <w:b/>
                <w:bCs w:val="0"/>
                <w:sz w:val="20"/>
                <w:szCs w:val="20"/>
              </w:rPr>
              <w:t xml:space="preserve">Deliverables to </w:t>
            </w:r>
            <w:proofErr w:type="spellStart"/>
            <w:r w:rsidR="001F1C19">
              <w:rPr>
                <w:rFonts w:ascii="Arial" w:hAnsi="Arial" w:cs="Arial"/>
                <w:b/>
                <w:bCs w:val="0"/>
                <w:sz w:val="20"/>
                <w:szCs w:val="20"/>
              </w:rPr>
              <w:t>Netlink</w:t>
            </w:r>
            <w:proofErr w:type="spellEnd"/>
            <w:r w:rsidR="001F1C19">
              <w:rPr>
                <w:rFonts w:ascii="Arial" w:hAnsi="Arial" w:cs="Arial"/>
                <w:b/>
                <w:bCs w:val="0"/>
                <w:sz w:val="20"/>
                <w:szCs w:val="20"/>
              </w:rPr>
              <w:t xml:space="preserve"> Star</w:t>
            </w:r>
          </w:p>
        </w:tc>
      </w:tr>
      <w:tr w:rsidR="007B12F8" w:rsidRPr="007B12F8" w14:paraId="78CF0536" w14:textId="77777777" w:rsidTr="007B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9" w:type="dxa"/>
          </w:tcPr>
          <w:p w14:paraId="1FD1DDF5" w14:textId="73284F41" w:rsidR="007B12F8" w:rsidRPr="007B12F8" w:rsidRDefault="001F1C19" w:rsidP="007B12F8">
            <w:pPr>
              <w:pStyle w:val="TableBody"/>
              <w:spacing w:after="120"/>
              <w:rPr>
                <w:rFonts w:ascii="Arial" w:hAnsi="Arial" w:cs="Arial"/>
                <w:b w:val="0"/>
                <w:bCs/>
                <w:sz w:val="20"/>
                <w:szCs w:val="20"/>
              </w:rPr>
            </w:pPr>
            <w:r>
              <w:rPr>
                <w:rFonts w:ascii="Arial" w:hAnsi="Arial" w:cs="Arial"/>
                <w:b w:val="0"/>
                <w:bCs/>
                <w:sz w:val="20"/>
                <w:szCs w:val="20"/>
              </w:rPr>
              <w:t>Netlink Star</w:t>
            </w:r>
            <w:r w:rsidR="007B12F8" w:rsidRPr="007B12F8">
              <w:rPr>
                <w:rFonts w:ascii="Arial" w:hAnsi="Arial" w:cs="Arial"/>
                <w:b w:val="0"/>
                <w:bCs/>
                <w:sz w:val="20"/>
                <w:szCs w:val="20"/>
              </w:rPr>
              <w:t xml:space="preserve">’s “Discovery and Planning” phase / Supplier’s “Preparation and Design” phase: The Supplier will understand the current state of the services to be transitioned, baseline the user experience and plan the business change involved in transitioning the services. These activities will be facilitated through workshops, interviews and by </w:t>
            </w:r>
            <w:r w:rsidR="007B12F8" w:rsidRPr="007B12F8">
              <w:rPr>
                <w:rStyle w:val="TableTextChar1"/>
                <w:rFonts w:ascii="Arial" w:hAnsi="Arial" w:cs="Arial"/>
                <w:b w:val="0"/>
                <w:bCs/>
                <w:sz w:val="20"/>
              </w:rPr>
              <w:t>providing discovery templates that minimise the demands on the support teams</w:t>
            </w:r>
            <w:r w:rsidR="007B12F8" w:rsidRPr="007B12F8">
              <w:rPr>
                <w:rFonts w:ascii="Arial" w:hAnsi="Arial" w:cs="Arial"/>
                <w:b w:val="0"/>
                <w:bCs/>
                <w:sz w:val="20"/>
                <w:szCs w:val="20"/>
              </w:rPr>
              <w:t xml:space="preserve"> as well as expose potential gaps early that can be addressed to avoid impacting the transition timeline.</w:t>
            </w:r>
          </w:p>
        </w:tc>
        <w:tc>
          <w:tcPr>
            <w:tcW w:w="4051" w:type="dxa"/>
          </w:tcPr>
          <w:p w14:paraId="513CC8D5" w14:textId="77777777" w:rsidR="007B12F8" w:rsidRPr="007B12F8" w:rsidRDefault="007B12F8" w:rsidP="009D675B">
            <w:pPr>
              <w:pStyle w:val="TableBullet1"/>
              <w:numPr>
                <w:ilvl w:val="0"/>
                <w:numId w:val="72"/>
              </w:numPr>
              <w:spacing w:after="120"/>
              <w:ind w:left="36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B12F8">
              <w:rPr>
                <w:rFonts w:ascii="Arial" w:hAnsi="Arial" w:cs="Arial"/>
                <w:sz w:val="20"/>
              </w:rPr>
              <w:t>Team On-boarding</w:t>
            </w:r>
          </w:p>
          <w:p w14:paraId="23F18280" w14:textId="77777777" w:rsidR="007B12F8" w:rsidRPr="007B12F8" w:rsidRDefault="007B12F8" w:rsidP="009D675B">
            <w:pPr>
              <w:pStyle w:val="TableBullet1"/>
              <w:numPr>
                <w:ilvl w:val="0"/>
                <w:numId w:val="72"/>
              </w:numPr>
              <w:spacing w:after="120"/>
              <w:ind w:left="36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B12F8">
              <w:rPr>
                <w:rFonts w:ascii="Arial" w:hAnsi="Arial" w:cs="Arial"/>
                <w:sz w:val="20"/>
              </w:rPr>
              <w:t>Data Centre Infrastructure and Platform Discovery</w:t>
            </w:r>
          </w:p>
          <w:p w14:paraId="03282A4B" w14:textId="77777777" w:rsidR="007B12F8" w:rsidRPr="007B12F8" w:rsidRDefault="007B12F8" w:rsidP="009D675B">
            <w:pPr>
              <w:pStyle w:val="TableBullet1"/>
              <w:numPr>
                <w:ilvl w:val="0"/>
                <w:numId w:val="72"/>
              </w:numPr>
              <w:spacing w:after="120"/>
              <w:ind w:left="36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B12F8">
              <w:rPr>
                <w:rFonts w:ascii="Arial" w:hAnsi="Arial" w:cs="Arial"/>
                <w:sz w:val="20"/>
              </w:rPr>
              <w:t>Plan including Exit Plan sign-</w:t>
            </w:r>
            <w:proofErr w:type="gramStart"/>
            <w:r w:rsidRPr="007B12F8">
              <w:rPr>
                <w:rFonts w:ascii="Arial" w:hAnsi="Arial" w:cs="Arial"/>
                <w:sz w:val="20"/>
              </w:rPr>
              <w:t>off</w:t>
            </w:r>
            <w:proofErr w:type="gramEnd"/>
          </w:p>
          <w:p w14:paraId="36EB1ECB" w14:textId="77777777" w:rsidR="007B12F8" w:rsidRPr="007B12F8" w:rsidRDefault="007B12F8" w:rsidP="009D675B">
            <w:pPr>
              <w:pStyle w:val="TableBullet1"/>
              <w:numPr>
                <w:ilvl w:val="0"/>
                <w:numId w:val="72"/>
              </w:numPr>
              <w:spacing w:after="120"/>
              <w:ind w:left="36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B12F8">
              <w:rPr>
                <w:rFonts w:ascii="Arial" w:hAnsi="Arial" w:cs="Arial"/>
                <w:sz w:val="20"/>
              </w:rPr>
              <w:t>Plan Stakeholder and KT Sessions</w:t>
            </w:r>
          </w:p>
          <w:p w14:paraId="75091747" w14:textId="77777777" w:rsidR="007B12F8" w:rsidRPr="007B12F8" w:rsidRDefault="007B12F8" w:rsidP="009D675B">
            <w:pPr>
              <w:pStyle w:val="TableBullet1"/>
              <w:numPr>
                <w:ilvl w:val="0"/>
                <w:numId w:val="72"/>
              </w:numPr>
              <w:spacing w:after="120"/>
              <w:ind w:left="36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B12F8">
              <w:rPr>
                <w:rFonts w:ascii="Arial" w:hAnsi="Arial" w:cs="Arial"/>
                <w:sz w:val="20"/>
              </w:rPr>
              <w:t>Create Transition Test Plan</w:t>
            </w:r>
          </w:p>
        </w:tc>
      </w:tr>
      <w:tr w:rsidR="007B12F8" w:rsidRPr="007B12F8" w14:paraId="03A28754" w14:textId="77777777" w:rsidTr="007B12F8">
        <w:tc>
          <w:tcPr>
            <w:cnfStyle w:val="001000000000" w:firstRow="0" w:lastRow="0" w:firstColumn="1" w:lastColumn="0" w:oddVBand="0" w:evenVBand="0" w:oddHBand="0" w:evenHBand="0" w:firstRowFirstColumn="0" w:firstRowLastColumn="0" w:lastRowFirstColumn="0" w:lastRowLastColumn="0"/>
            <w:tcW w:w="5299" w:type="dxa"/>
          </w:tcPr>
          <w:p w14:paraId="3907E3BA" w14:textId="6C75564A" w:rsidR="007B12F8" w:rsidRPr="007B12F8" w:rsidRDefault="001F1C19" w:rsidP="007B12F8">
            <w:pPr>
              <w:pStyle w:val="TableBody"/>
              <w:spacing w:after="120"/>
              <w:rPr>
                <w:rFonts w:ascii="Arial" w:hAnsi="Arial" w:cs="Arial"/>
                <w:b w:val="0"/>
                <w:bCs/>
                <w:sz w:val="20"/>
                <w:szCs w:val="20"/>
              </w:rPr>
            </w:pPr>
            <w:r>
              <w:rPr>
                <w:rFonts w:ascii="Arial" w:hAnsi="Arial" w:cs="Arial"/>
                <w:b w:val="0"/>
                <w:bCs/>
                <w:sz w:val="20"/>
                <w:szCs w:val="20"/>
              </w:rPr>
              <w:t>Netlink Star</w:t>
            </w:r>
            <w:r w:rsidR="007B12F8" w:rsidRPr="007B12F8">
              <w:rPr>
                <w:rFonts w:ascii="Arial" w:hAnsi="Arial" w:cs="Arial"/>
                <w:b w:val="0"/>
                <w:bCs/>
                <w:sz w:val="20"/>
                <w:szCs w:val="20"/>
              </w:rPr>
              <w:t>’s “Transition” phase / Supplier’s “Transition Execution” phase: The Supplier will finalise the initial project plan based on findings during Preparation and Design build the new services. In addition to the plan, the Supplier will provide a baseline RACI and proposed governance/escalation process that can be adapted to offer transparency and accountability within the programme.</w:t>
            </w:r>
          </w:p>
        </w:tc>
        <w:tc>
          <w:tcPr>
            <w:tcW w:w="4051" w:type="dxa"/>
          </w:tcPr>
          <w:p w14:paraId="7EB81AD4" w14:textId="77777777" w:rsidR="007B12F8" w:rsidRPr="007B12F8" w:rsidRDefault="007B12F8" w:rsidP="009D675B">
            <w:pPr>
              <w:pStyle w:val="TableBullet1"/>
              <w:numPr>
                <w:ilvl w:val="0"/>
                <w:numId w:val="72"/>
              </w:numPr>
              <w:spacing w:after="120"/>
              <w:ind w:left="36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B12F8">
              <w:rPr>
                <w:rFonts w:ascii="Arial" w:hAnsi="Arial" w:cs="Arial"/>
                <w:sz w:val="20"/>
              </w:rPr>
              <w:t xml:space="preserve">Import </w:t>
            </w:r>
            <w:proofErr w:type="gramStart"/>
            <w:r w:rsidRPr="007B12F8">
              <w:rPr>
                <w:rFonts w:ascii="Arial" w:hAnsi="Arial" w:cs="Arial"/>
                <w:sz w:val="20"/>
              </w:rPr>
              <w:t>knowledge</w:t>
            </w:r>
            <w:proofErr w:type="gramEnd"/>
          </w:p>
          <w:p w14:paraId="77EA230F" w14:textId="77777777" w:rsidR="007B12F8" w:rsidRPr="007B12F8" w:rsidRDefault="007B12F8" w:rsidP="009D675B">
            <w:pPr>
              <w:pStyle w:val="TableBullet1"/>
              <w:numPr>
                <w:ilvl w:val="0"/>
                <w:numId w:val="72"/>
              </w:numPr>
              <w:spacing w:after="120"/>
              <w:ind w:left="36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B12F8">
              <w:rPr>
                <w:rFonts w:ascii="Arial" w:hAnsi="Arial" w:cs="Arial"/>
                <w:sz w:val="20"/>
              </w:rPr>
              <w:t>Process, Integration, and handover testing</w:t>
            </w:r>
          </w:p>
          <w:p w14:paraId="6C4FF3F4" w14:textId="77777777" w:rsidR="007B12F8" w:rsidRPr="007B12F8" w:rsidRDefault="007B12F8" w:rsidP="009D675B">
            <w:pPr>
              <w:pStyle w:val="TableBullet1"/>
              <w:numPr>
                <w:ilvl w:val="0"/>
                <w:numId w:val="72"/>
              </w:numPr>
              <w:spacing w:after="120"/>
              <w:ind w:left="36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B12F8">
              <w:rPr>
                <w:rFonts w:ascii="Arial" w:hAnsi="Arial" w:cs="Arial"/>
                <w:sz w:val="20"/>
              </w:rPr>
              <w:t>Document and explain as-is situation, issues SLAs etc.</w:t>
            </w:r>
          </w:p>
          <w:p w14:paraId="524EBB12" w14:textId="77777777" w:rsidR="007B12F8" w:rsidRPr="007B12F8" w:rsidRDefault="007B12F8" w:rsidP="009D675B">
            <w:pPr>
              <w:pStyle w:val="TableBullet1"/>
              <w:numPr>
                <w:ilvl w:val="0"/>
                <w:numId w:val="72"/>
              </w:numPr>
              <w:spacing w:after="120"/>
              <w:ind w:left="36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B12F8">
              <w:rPr>
                <w:rFonts w:ascii="Arial" w:hAnsi="Arial" w:cs="Arial"/>
                <w:sz w:val="20"/>
              </w:rPr>
              <w:t>Plan Reverse KT Session</w:t>
            </w:r>
          </w:p>
          <w:p w14:paraId="316B7CE1" w14:textId="77777777" w:rsidR="007B12F8" w:rsidRPr="007B12F8" w:rsidRDefault="007B12F8" w:rsidP="009D675B">
            <w:pPr>
              <w:pStyle w:val="TableBullet1"/>
              <w:numPr>
                <w:ilvl w:val="0"/>
                <w:numId w:val="72"/>
              </w:numPr>
              <w:spacing w:after="120"/>
              <w:ind w:left="36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B12F8">
              <w:rPr>
                <w:rFonts w:ascii="Arial" w:hAnsi="Arial" w:cs="Arial"/>
                <w:sz w:val="20"/>
              </w:rPr>
              <w:t>Handover tools</w:t>
            </w:r>
          </w:p>
        </w:tc>
      </w:tr>
      <w:tr w:rsidR="007B12F8" w:rsidRPr="007B12F8" w14:paraId="15EEE3E5" w14:textId="77777777" w:rsidTr="007B1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9" w:type="dxa"/>
          </w:tcPr>
          <w:p w14:paraId="0D2E4EDA" w14:textId="6C7C4174" w:rsidR="007B12F8" w:rsidRPr="007B12F8" w:rsidRDefault="001F1C19" w:rsidP="007B12F8">
            <w:pPr>
              <w:pStyle w:val="TableBody"/>
              <w:spacing w:after="120"/>
              <w:rPr>
                <w:rFonts w:ascii="Arial" w:hAnsi="Arial" w:cs="Arial"/>
                <w:b w:val="0"/>
                <w:bCs/>
                <w:sz w:val="20"/>
                <w:szCs w:val="20"/>
              </w:rPr>
            </w:pPr>
            <w:r>
              <w:rPr>
                <w:rFonts w:ascii="Arial" w:hAnsi="Arial" w:cs="Arial"/>
                <w:b w:val="0"/>
                <w:bCs/>
                <w:sz w:val="20"/>
                <w:szCs w:val="20"/>
              </w:rPr>
              <w:t>Netlink Star</w:t>
            </w:r>
            <w:r w:rsidR="007B12F8" w:rsidRPr="007B12F8">
              <w:rPr>
                <w:rFonts w:ascii="Arial" w:hAnsi="Arial" w:cs="Arial"/>
                <w:b w:val="0"/>
                <w:bCs/>
                <w:sz w:val="20"/>
                <w:szCs w:val="20"/>
              </w:rPr>
              <w:t xml:space="preserve">’s “Shadow Support and Transition Complete” phase / Supplier’s “Validation and Finalisation” phase: The Supplier will provide test scripts and manage user acceptance testing and </w:t>
            </w:r>
            <w:r w:rsidR="007B12F8" w:rsidRPr="007B12F8">
              <w:rPr>
                <w:rFonts w:ascii="Arial" w:hAnsi="Arial" w:cs="Arial"/>
                <w:b w:val="0"/>
                <w:bCs/>
                <w:sz w:val="20"/>
                <w:szCs w:val="20"/>
              </w:rPr>
              <w:lastRenderedPageBreak/>
              <w:t xml:space="preserve">acceptance to run testing to confirm the transition of the services can be completed without impacting the user experience. </w:t>
            </w:r>
          </w:p>
        </w:tc>
        <w:tc>
          <w:tcPr>
            <w:tcW w:w="4051" w:type="dxa"/>
          </w:tcPr>
          <w:p w14:paraId="4493B08D" w14:textId="77777777" w:rsidR="007B12F8" w:rsidRPr="007B12F8" w:rsidRDefault="007B12F8" w:rsidP="009D675B">
            <w:pPr>
              <w:pStyle w:val="TableBullet1"/>
              <w:numPr>
                <w:ilvl w:val="0"/>
                <w:numId w:val="72"/>
              </w:numPr>
              <w:spacing w:after="120"/>
              <w:ind w:left="36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B12F8">
              <w:rPr>
                <w:rFonts w:ascii="Arial" w:hAnsi="Arial" w:cs="Arial"/>
                <w:sz w:val="20"/>
              </w:rPr>
              <w:lastRenderedPageBreak/>
              <w:t xml:space="preserve">Shadow whilst executing </w:t>
            </w:r>
            <w:proofErr w:type="gramStart"/>
            <w:r w:rsidRPr="007B12F8">
              <w:rPr>
                <w:rFonts w:ascii="Arial" w:hAnsi="Arial" w:cs="Arial"/>
                <w:sz w:val="20"/>
              </w:rPr>
              <w:t>requests</w:t>
            </w:r>
            <w:proofErr w:type="gramEnd"/>
          </w:p>
          <w:p w14:paraId="70E8E344" w14:textId="77777777" w:rsidR="007B12F8" w:rsidRPr="007B12F8" w:rsidRDefault="007B12F8" w:rsidP="009D675B">
            <w:pPr>
              <w:pStyle w:val="TableBullet1"/>
              <w:numPr>
                <w:ilvl w:val="0"/>
                <w:numId w:val="72"/>
              </w:numPr>
              <w:spacing w:after="120"/>
              <w:ind w:left="36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B12F8">
              <w:rPr>
                <w:rFonts w:ascii="Arial" w:hAnsi="Arial" w:cs="Arial"/>
                <w:sz w:val="20"/>
              </w:rPr>
              <w:t xml:space="preserve">Support in executing </w:t>
            </w:r>
            <w:proofErr w:type="gramStart"/>
            <w:r w:rsidRPr="007B12F8">
              <w:rPr>
                <w:rFonts w:ascii="Arial" w:hAnsi="Arial" w:cs="Arial"/>
                <w:sz w:val="20"/>
              </w:rPr>
              <w:t>teams</w:t>
            </w:r>
            <w:proofErr w:type="gramEnd"/>
          </w:p>
          <w:p w14:paraId="3163A3EF" w14:textId="77777777" w:rsidR="007B12F8" w:rsidRPr="007B12F8" w:rsidRDefault="007B12F8" w:rsidP="009D675B">
            <w:pPr>
              <w:pStyle w:val="TableBullet1"/>
              <w:numPr>
                <w:ilvl w:val="0"/>
                <w:numId w:val="72"/>
              </w:numPr>
              <w:spacing w:after="120"/>
              <w:ind w:left="36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B12F8">
              <w:rPr>
                <w:rFonts w:ascii="Arial" w:hAnsi="Arial" w:cs="Arial"/>
                <w:sz w:val="20"/>
              </w:rPr>
              <w:lastRenderedPageBreak/>
              <w:t xml:space="preserve">Support in performing in-scope </w:t>
            </w:r>
            <w:proofErr w:type="gramStart"/>
            <w:r w:rsidRPr="007B12F8">
              <w:rPr>
                <w:rFonts w:ascii="Arial" w:hAnsi="Arial" w:cs="Arial"/>
                <w:sz w:val="20"/>
              </w:rPr>
              <w:t>services</w:t>
            </w:r>
            <w:proofErr w:type="gramEnd"/>
          </w:p>
          <w:p w14:paraId="5694E7F5" w14:textId="77777777" w:rsidR="007B12F8" w:rsidRPr="007B12F8" w:rsidRDefault="007B12F8" w:rsidP="009D675B">
            <w:pPr>
              <w:pStyle w:val="TableBullet1"/>
              <w:numPr>
                <w:ilvl w:val="0"/>
                <w:numId w:val="72"/>
              </w:numPr>
              <w:spacing w:after="120"/>
              <w:ind w:left="36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B12F8">
              <w:rPr>
                <w:rFonts w:ascii="Arial" w:hAnsi="Arial" w:cs="Arial"/>
                <w:sz w:val="20"/>
              </w:rPr>
              <w:t>KT sign-off</w:t>
            </w:r>
          </w:p>
          <w:p w14:paraId="29937D91" w14:textId="77777777" w:rsidR="007B12F8" w:rsidRPr="007B12F8" w:rsidRDefault="007B12F8" w:rsidP="009D675B">
            <w:pPr>
              <w:pStyle w:val="TableBullet1"/>
              <w:numPr>
                <w:ilvl w:val="0"/>
                <w:numId w:val="72"/>
              </w:numPr>
              <w:spacing w:after="120"/>
              <w:ind w:left="36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B12F8">
              <w:rPr>
                <w:rFonts w:ascii="Arial" w:hAnsi="Arial" w:cs="Arial"/>
                <w:sz w:val="20"/>
              </w:rPr>
              <w:t>Create Transition Test Plan</w:t>
            </w:r>
          </w:p>
          <w:p w14:paraId="1A44FC2B" w14:textId="75E7E09F" w:rsidR="007B12F8" w:rsidRPr="007B12F8" w:rsidRDefault="007B12F8" w:rsidP="009D675B">
            <w:pPr>
              <w:pStyle w:val="TableBullet1"/>
              <w:numPr>
                <w:ilvl w:val="0"/>
                <w:numId w:val="72"/>
              </w:numPr>
              <w:spacing w:after="120"/>
              <w:ind w:left="36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B12F8">
              <w:rPr>
                <w:rFonts w:ascii="Arial" w:hAnsi="Arial" w:cs="Arial"/>
                <w:sz w:val="20"/>
              </w:rPr>
              <w:t xml:space="preserve">Issues resolved with </w:t>
            </w:r>
            <w:proofErr w:type="spellStart"/>
            <w:r w:rsidR="001F1C19">
              <w:rPr>
                <w:rFonts w:ascii="Arial" w:hAnsi="Arial" w:cs="Arial"/>
                <w:sz w:val="20"/>
              </w:rPr>
              <w:t>Netlink</w:t>
            </w:r>
            <w:proofErr w:type="spellEnd"/>
            <w:r w:rsidR="001F1C19">
              <w:rPr>
                <w:rFonts w:ascii="Arial" w:hAnsi="Arial" w:cs="Arial"/>
                <w:sz w:val="20"/>
              </w:rPr>
              <w:t xml:space="preserve"> Star</w:t>
            </w:r>
            <w:r w:rsidRPr="007B12F8">
              <w:rPr>
                <w:rFonts w:ascii="Arial" w:hAnsi="Arial" w:cs="Arial"/>
                <w:sz w:val="20"/>
              </w:rPr>
              <w:t xml:space="preserve"> and Incumbents</w:t>
            </w:r>
          </w:p>
          <w:p w14:paraId="638AC4F3" w14:textId="77777777" w:rsidR="007B12F8" w:rsidRPr="007B12F8" w:rsidRDefault="007B12F8" w:rsidP="009D675B">
            <w:pPr>
              <w:pStyle w:val="TableBullet1"/>
              <w:numPr>
                <w:ilvl w:val="0"/>
                <w:numId w:val="72"/>
              </w:numPr>
              <w:spacing w:after="120"/>
              <w:ind w:left="36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B12F8">
              <w:rPr>
                <w:rFonts w:ascii="Arial" w:hAnsi="Arial" w:cs="Arial"/>
                <w:sz w:val="20"/>
              </w:rPr>
              <w:t xml:space="preserve">Reverse Shadow </w:t>
            </w:r>
            <w:proofErr w:type="gramStart"/>
            <w:r w:rsidRPr="007B12F8">
              <w:rPr>
                <w:rFonts w:ascii="Arial" w:hAnsi="Arial" w:cs="Arial"/>
                <w:sz w:val="20"/>
              </w:rPr>
              <w:t>ended</w:t>
            </w:r>
            <w:proofErr w:type="gramEnd"/>
          </w:p>
          <w:p w14:paraId="5DB29B7B" w14:textId="77777777" w:rsidR="007B12F8" w:rsidRPr="007B12F8" w:rsidRDefault="007B12F8" w:rsidP="009D675B">
            <w:pPr>
              <w:pStyle w:val="TableBullet1"/>
              <w:numPr>
                <w:ilvl w:val="0"/>
                <w:numId w:val="72"/>
              </w:numPr>
              <w:spacing w:after="120"/>
              <w:ind w:left="36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B12F8">
              <w:rPr>
                <w:rFonts w:ascii="Arial" w:hAnsi="Arial" w:cs="Arial"/>
                <w:sz w:val="20"/>
              </w:rPr>
              <w:t>Supplier assuming responsibility for services</w:t>
            </w:r>
          </w:p>
          <w:p w14:paraId="2803AB88" w14:textId="5BA119BD" w:rsidR="007B12F8" w:rsidRPr="007B12F8" w:rsidRDefault="007B12F8" w:rsidP="009D675B">
            <w:pPr>
              <w:pStyle w:val="TableBullet1"/>
              <w:numPr>
                <w:ilvl w:val="0"/>
                <w:numId w:val="72"/>
              </w:numPr>
              <w:spacing w:after="120"/>
              <w:ind w:left="360"/>
              <w:cnfStyle w:val="000000100000" w:firstRow="0" w:lastRow="0" w:firstColumn="0" w:lastColumn="0" w:oddVBand="0" w:evenVBand="0" w:oddHBand="1" w:evenHBand="0" w:firstRowFirstColumn="0" w:firstRowLastColumn="0" w:lastRowFirstColumn="0" w:lastRowLastColumn="0"/>
              <w:rPr>
                <w:rFonts w:ascii="Arial" w:hAnsi="Arial" w:cs="Arial"/>
                <w:sz w:val="20"/>
              </w:rPr>
            </w:pPr>
            <w:r w:rsidRPr="007B12F8">
              <w:rPr>
                <w:rFonts w:ascii="Arial" w:hAnsi="Arial" w:cs="Arial"/>
                <w:sz w:val="20"/>
              </w:rPr>
              <w:t xml:space="preserve">Transition </w:t>
            </w:r>
            <w:proofErr w:type="gramStart"/>
            <w:r w:rsidRPr="007B12F8">
              <w:rPr>
                <w:rFonts w:ascii="Arial" w:hAnsi="Arial" w:cs="Arial"/>
                <w:sz w:val="20"/>
              </w:rPr>
              <w:t>exit</w:t>
            </w:r>
            <w:proofErr w:type="gramEnd"/>
            <w:r w:rsidRPr="007B12F8">
              <w:rPr>
                <w:rFonts w:ascii="Arial" w:hAnsi="Arial" w:cs="Arial"/>
                <w:sz w:val="20"/>
              </w:rPr>
              <w:t xml:space="preserve"> sign-off by </w:t>
            </w:r>
            <w:proofErr w:type="spellStart"/>
            <w:r w:rsidR="001F1C19">
              <w:rPr>
                <w:rFonts w:ascii="Arial" w:hAnsi="Arial" w:cs="Arial"/>
                <w:sz w:val="20"/>
              </w:rPr>
              <w:t>Netlink</w:t>
            </w:r>
            <w:proofErr w:type="spellEnd"/>
            <w:r w:rsidR="001F1C19">
              <w:rPr>
                <w:rFonts w:ascii="Arial" w:hAnsi="Arial" w:cs="Arial"/>
                <w:sz w:val="20"/>
              </w:rPr>
              <w:t xml:space="preserve"> Star</w:t>
            </w:r>
          </w:p>
          <w:p w14:paraId="2FD83ED3" w14:textId="77777777" w:rsidR="007B12F8" w:rsidRPr="007B12F8" w:rsidRDefault="007B12F8" w:rsidP="007B12F8">
            <w:pPr>
              <w:pStyle w:val="TableBullet1"/>
              <w:numPr>
                <w:ilvl w:val="0"/>
                <w:numId w:val="0"/>
              </w:numPr>
              <w:spacing w:after="120"/>
              <w:ind w:left="360"/>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7B12F8" w:rsidRPr="007B12F8" w14:paraId="3D57240A" w14:textId="77777777" w:rsidTr="007B12F8">
        <w:tc>
          <w:tcPr>
            <w:cnfStyle w:val="001000000000" w:firstRow="0" w:lastRow="0" w:firstColumn="1" w:lastColumn="0" w:oddVBand="0" w:evenVBand="0" w:oddHBand="0" w:evenHBand="0" w:firstRowFirstColumn="0" w:firstRowLastColumn="0" w:lastRowFirstColumn="0" w:lastRowLastColumn="0"/>
            <w:tcW w:w="5299" w:type="dxa"/>
          </w:tcPr>
          <w:p w14:paraId="08A9875C" w14:textId="1ECACEF3" w:rsidR="007B12F8" w:rsidRPr="007B12F8" w:rsidRDefault="001F1C19" w:rsidP="007B12F8">
            <w:pPr>
              <w:pStyle w:val="TableText"/>
              <w:spacing w:before="0" w:after="120"/>
              <w:rPr>
                <w:rFonts w:cs="Arial"/>
                <w:b w:val="0"/>
                <w:bCs w:val="0"/>
                <w:sz w:val="20"/>
                <w:lang w:val="en-GB"/>
              </w:rPr>
            </w:pPr>
            <w:proofErr w:type="spellStart"/>
            <w:r>
              <w:rPr>
                <w:rFonts w:cs="Arial"/>
                <w:b w:val="0"/>
                <w:bCs w:val="0"/>
                <w:sz w:val="20"/>
                <w:lang w:val="en-GB"/>
              </w:rPr>
              <w:lastRenderedPageBreak/>
              <w:t>Netlink</w:t>
            </w:r>
            <w:proofErr w:type="spellEnd"/>
            <w:r>
              <w:rPr>
                <w:rFonts w:cs="Arial"/>
                <w:b w:val="0"/>
                <w:bCs w:val="0"/>
                <w:sz w:val="20"/>
                <w:lang w:val="en-GB"/>
              </w:rPr>
              <w:t xml:space="preserve"> Star</w:t>
            </w:r>
            <w:r w:rsidR="007B12F8" w:rsidRPr="007B12F8">
              <w:rPr>
                <w:rFonts w:cs="Arial"/>
                <w:b w:val="0"/>
                <w:bCs w:val="0"/>
                <w:sz w:val="20"/>
                <w:lang w:val="en-GB"/>
              </w:rPr>
              <w:t xml:space="preserve">’s “Operation Live” phase / Suppliers’ “Hyper Care” phase: The Supplier’s Transition team will provide early life support during the first weeks following Service Commencement. This will include experienced resources in key sites supported by </w:t>
            </w:r>
            <w:proofErr w:type="spellStart"/>
            <w:r>
              <w:rPr>
                <w:rFonts w:cs="Arial"/>
                <w:b w:val="0"/>
                <w:bCs w:val="0"/>
                <w:sz w:val="20"/>
                <w:lang w:val="en-GB"/>
              </w:rPr>
              <w:t>Netlink</w:t>
            </w:r>
            <w:proofErr w:type="spellEnd"/>
            <w:r>
              <w:rPr>
                <w:rFonts w:cs="Arial"/>
                <w:b w:val="0"/>
                <w:bCs w:val="0"/>
                <w:sz w:val="20"/>
                <w:lang w:val="en-GB"/>
              </w:rPr>
              <w:t xml:space="preserve"> Star</w:t>
            </w:r>
            <w:r w:rsidR="007B12F8" w:rsidRPr="007B12F8">
              <w:rPr>
                <w:rFonts w:cs="Arial"/>
                <w:b w:val="0"/>
                <w:bCs w:val="0"/>
                <w:sz w:val="20"/>
                <w:lang w:val="en-GB"/>
              </w:rPr>
              <w:t xml:space="preserve"> service champions providing additional support to maintain the user experience.</w:t>
            </w:r>
          </w:p>
          <w:p w14:paraId="6ABA8C9E" w14:textId="77777777" w:rsidR="007B12F8" w:rsidRPr="007B12F8" w:rsidRDefault="007B12F8" w:rsidP="007B12F8">
            <w:pPr>
              <w:pStyle w:val="TableText"/>
              <w:spacing w:before="0" w:after="120"/>
              <w:rPr>
                <w:rFonts w:cs="Arial"/>
                <w:b w:val="0"/>
                <w:bCs w:val="0"/>
                <w:sz w:val="20"/>
                <w:lang w:val="en-GB"/>
              </w:rPr>
            </w:pPr>
          </w:p>
        </w:tc>
        <w:tc>
          <w:tcPr>
            <w:tcW w:w="4051" w:type="dxa"/>
          </w:tcPr>
          <w:p w14:paraId="11B16C15" w14:textId="77777777" w:rsidR="007B12F8" w:rsidRPr="007B12F8" w:rsidRDefault="007B12F8" w:rsidP="009D675B">
            <w:pPr>
              <w:pStyle w:val="TableBullet1"/>
              <w:numPr>
                <w:ilvl w:val="0"/>
                <w:numId w:val="72"/>
              </w:numPr>
              <w:spacing w:after="120"/>
              <w:ind w:left="36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B12F8">
              <w:rPr>
                <w:rFonts w:ascii="Arial" w:hAnsi="Arial" w:cs="Arial"/>
                <w:sz w:val="20"/>
              </w:rPr>
              <w:t xml:space="preserve">Demonstrate SLAs can be </w:t>
            </w:r>
            <w:proofErr w:type="gramStart"/>
            <w:r w:rsidRPr="007B12F8">
              <w:rPr>
                <w:rFonts w:ascii="Arial" w:hAnsi="Arial" w:cs="Arial"/>
                <w:sz w:val="20"/>
              </w:rPr>
              <w:t>met</w:t>
            </w:r>
            <w:proofErr w:type="gramEnd"/>
          </w:p>
          <w:p w14:paraId="5E8C1D92" w14:textId="77777777" w:rsidR="007B12F8" w:rsidRPr="007B12F8" w:rsidRDefault="007B12F8" w:rsidP="009D675B">
            <w:pPr>
              <w:pStyle w:val="TableBullet1"/>
              <w:numPr>
                <w:ilvl w:val="0"/>
                <w:numId w:val="72"/>
              </w:numPr>
              <w:spacing w:after="120"/>
              <w:ind w:left="36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B12F8">
              <w:rPr>
                <w:rFonts w:ascii="Arial" w:hAnsi="Arial" w:cs="Arial"/>
                <w:sz w:val="20"/>
              </w:rPr>
              <w:t>Service Management in place and RACI</w:t>
            </w:r>
          </w:p>
          <w:p w14:paraId="40574FDE" w14:textId="77777777" w:rsidR="007B12F8" w:rsidRPr="007B12F8" w:rsidRDefault="007B12F8" w:rsidP="009D675B">
            <w:pPr>
              <w:pStyle w:val="TableBullet1"/>
              <w:numPr>
                <w:ilvl w:val="0"/>
                <w:numId w:val="72"/>
              </w:numPr>
              <w:spacing w:after="120"/>
              <w:ind w:left="36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B12F8">
              <w:rPr>
                <w:rFonts w:ascii="Arial" w:hAnsi="Arial" w:cs="Arial"/>
                <w:sz w:val="20"/>
              </w:rPr>
              <w:t>Fully embedded Operational Services</w:t>
            </w:r>
          </w:p>
          <w:p w14:paraId="709FCBB7" w14:textId="6571FA58" w:rsidR="007B12F8" w:rsidRPr="007B12F8" w:rsidRDefault="007B12F8" w:rsidP="009D675B">
            <w:pPr>
              <w:pStyle w:val="TableBullet1"/>
              <w:numPr>
                <w:ilvl w:val="0"/>
                <w:numId w:val="72"/>
              </w:numPr>
              <w:spacing w:after="120"/>
              <w:ind w:left="360"/>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7B12F8">
              <w:rPr>
                <w:rFonts w:ascii="Arial" w:hAnsi="Arial" w:cs="Arial"/>
                <w:sz w:val="20"/>
              </w:rPr>
              <w:t xml:space="preserve">Sign-off of full operation go-live by </w:t>
            </w:r>
            <w:proofErr w:type="spellStart"/>
            <w:r w:rsidR="001F1C19">
              <w:rPr>
                <w:rFonts w:ascii="Arial" w:hAnsi="Arial" w:cs="Arial"/>
                <w:sz w:val="20"/>
              </w:rPr>
              <w:t>Netlink</w:t>
            </w:r>
            <w:proofErr w:type="spellEnd"/>
            <w:r w:rsidR="001F1C19">
              <w:rPr>
                <w:rFonts w:ascii="Arial" w:hAnsi="Arial" w:cs="Arial"/>
                <w:sz w:val="20"/>
              </w:rPr>
              <w:t xml:space="preserve"> Star</w:t>
            </w:r>
          </w:p>
        </w:tc>
      </w:tr>
    </w:tbl>
    <w:p w14:paraId="530E7783" w14:textId="77777777" w:rsidR="007B12F8" w:rsidRDefault="007B12F8" w:rsidP="007B12F8">
      <w:pPr>
        <w:pStyle w:val="Heading20"/>
        <w:numPr>
          <w:ilvl w:val="0"/>
          <w:numId w:val="0"/>
        </w:numPr>
        <w:spacing w:before="0"/>
        <w:ind w:left="720"/>
      </w:pPr>
      <w:bookmarkStart w:id="1809" w:name="_Toc83904704"/>
    </w:p>
    <w:p w14:paraId="6D0BBB4C" w14:textId="77777777" w:rsidR="007B12F8" w:rsidRPr="00C959F4" w:rsidRDefault="007B12F8" w:rsidP="007B12F8">
      <w:pPr>
        <w:pStyle w:val="Heading2"/>
        <w:spacing w:after="120"/>
        <w:rPr>
          <w:b/>
          <w:bCs w:val="0"/>
        </w:rPr>
      </w:pPr>
      <w:r w:rsidRPr="00C959F4">
        <w:rPr>
          <w:b/>
        </w:rPr>
        <w:t>Outline Transition Plan</w:t>
      </w:r>
      <w:bookmarkEnd w:id="1809"/>
    </w:p>
    <w:p w14:paraId="761D4339" w14:textId="77777777" w:rsidR="007B12F8" w:rsidRPr="00C959F4" w:rsidRDefault="007B12F8" w:rsidP="00346A37">
      <w:pPr>
        <w:pStyle w:val="Heading3"/>
      </w:pPr>
      <w:r w:rsidRPr="00C959F4">
        <w:t>The outline Transition Plan is based on information provided to the Supplier during the ITT process.  This approach may be modified following due diligence and detailed transition planning.</w:t>
      </w:r>
    </w:p>
    <w:p w14:paraId="5BA8E235" w14:textId="2A24EC6A" w:rsidR="007B12F8" w:rsidRDefault="007B12F8" w:rsidP="007B12F8">
      <w:pPr>
        <w:rPr>
          <w:noProof/>
          <w:szCs w:val="20"/>
        </w:rPr>
      </w:pPr>
    </w:p>
    <w:p w14:paraId="1A70281E" w14:textId="4AB08093" w:rsidR="007A2AA0" w:rsidRDefault="00EA3417" w:rsidP="007B12F8">
      <w:pPr>
        <w:rPr>
          <w:noProof/>
          <w:szCs w:val="20"/>
        </w:rPr>
      </w:pPr>
      <w:r>
        <w:rPr>
          <w:noProof/>
          <w:szCs w:val="20"/>
        </w:rPr>
        <w:t>Redacted diagram</w:t>
      </w:r>
    </w:p>
    <w:p w14:paraId="532BA2D0" w14:textId="572ABB1A" w:rsidR="007A2AA0" w:rsidRDefault="007A2AA0" w:rsidP="007B12F8">
      <w:pPr>
        <w:rPr>
          <w:noProof/>
          <w:szCs w:val="20"/>
        </w:rPr>
      </w:pPr>
    </w:p>
    <w:p w14:paraId="1D58B6AE" w14:textId="77777777" w:rsidR="007A2AA0" w:rsidRPr="00C959F4" w:rsidRDefault="007A2AA0" w:rsidP="007B12F8">
      <w:pPr>
        <w:rPr>
          <w:szCs w:val="20"/>
        </w:rPr>
      </w:pPr>
    </w:p>
    <w:p w14:paraId="78FAF8DF" w14:textId="77777777" w:rsidR="007B12F8" w:rsidRPr="00C959F4" w:rsidRDefault="007B12F8" w:rsidP="007B12F8">
      <w:pPr>
        <w:pStyle w:val="Heading2"/>
        <w:keepNext/>
        <w:spacing w:after="120"/>
        <w:rPr>
          <w:b/>
          <w:bCs w:val="0"/>
        </w:rPr>
      </w:pPr>
      <w:bookmarkStart w:id="1810" w:name="_Toc83904705"/>
      <w:r w:rsidRPr="00C959F4">
        <w:rPr>
          <w:b/>
        </w:rPr>
        <w:t>Milestones and Deliverable</w:t>
      </w:r>
      <w:bookmarkEnd w:id="1810"/>
      <w:r w:rsidRPr="00C959F4">
        <w:rPr>
          <w:b/>
        </w:rPr>
        <w:t>s</w:t>
      </w:r>
    </w:p>
    <w:p w14:paraId="4F2A793F" w14:textId="609DF967" w:rsidR="007B12F8" w:rsidRPr="00C959F4" w:rsidRDefault="007B12F8" w:rsidP="00346A37">
      <w:pPr>
        <w:pStyle w:val="Heading3"/>
      </w:pPr>
      <w:r w:rsidRPr="00C959F4">
        <w:t xml:space="preserve">The Supplier and </w:t>
      </w:r>
      <w:proofErr w:type="spellStart"/>
      <w:r w:rsidR="001F1C19">
        <w:t>Netlink</w:t>
      </w:r>
      <w:proofErr w:type="spellEnd"/>
      <w:r w:rsidR="001F1C19">
        <w:t xml:space="preserve"> Star</w:t>
      </w:r>
      <w:r w:rsidRPr="00C959F4">
        <w:t xml:space="preserve"> will define the project artefacts and deliverables during Transition planning.  </w:t>
      </w:r>
    </w:p>
    <w:p w14:paraId="2B7A5801" w14:textId="77777777" w:rsidR="007B12F8" w:rsidRPr="006248E4" w:rsidRDefault="007B12F8" w:rsidP="007B12F8">
      <w:pPr>
        <w:pStyle w:val="Heading2"/>
        <w:keepNext/>
        <w:spacing w:after="120"/>
        <w:rPr>
          <w:rFonts w:cs="Arial"/>
          <w:b/>
          <w:bCs w:val="0"/>
          <w:color w:val="auto"/>
          <w:szCs w:val="20"/>
        </w:rPr>
      </w:pPr>
      <w:r w:rsidRPr="006248E4">
        <w:rPr>
          <w:rFonts w:cs="Arial"/>
          <w:b/>
          <w:bCs w:val="0"/>
          <w:color w:val="auto"/>
          <w:szCs w:val="20"/>
        </w:rPr>
        <w:t>Transition Governance</w:t>
      </w:r>
    </w:p>
    <w:p w14:paraId="0F8EEA58" w14:textId="2775D2CA" w:rsidR="007B12F8" w:rsidRPr="00C959F4" w:rsidRDefault="001F1C19" w:rsidP="00346A37">
      <w:pPr>
        <w:pStyle w:val="Heading3"/>
      </w:pPr>
      <w:proofErr w:type="spellStart"/>
      <w:r>
        <w:t>Netlink</w:t>
      </w:r>
      <w:proofErr w:type="spellEnd"/>
      <w:r>
        <w:t xml:space="preserve"> Star</w:t>
      </w:r>
      <w:r w:rsidR="007B12F8" w:rsidRPr="00C959F4">
        <w:t xml:space="preserve"> and the Supplier will establish a three-tiered governance structure during the Implementation period with the following key features:</w:t>
      </w:r>
    </w:p>
    <w:p w14:paraId="78C0EC7C" w14:textId="51926BD8"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a project governance plan which will define the responsibilities of all parties along with the governance structures, bodies, and management processes that will be put in place. A programme level RAID log capturing Risks, Assumptions, Issues and Dependencies to be managed by the PMO and the Supplier’s Transition Managers. The Transition Director will use these outputs to provide a weekly programme report on the progress of the </w:t>
      </w:r>
      <w:proofErr w:type="gramStart"/>
      <w:r w:rsidR="00BE4806" w:rsidRPr="00C959F4">
        <w:rPr>
          <w:rFonts w:cs="Arial"/>
          <w:szCs w:val="20"/>
        </w:rPr>
        <w:t>plan</w:t>
      </w:r>
      <w:r>
        <w:rPr>
          <w:rFonts w:cs="Arial"/>
          <w:szCs w:val="20"/>
        </w:rPr>
        <w:t>;</w:t>
      </w:r>
      <w:proofErr w:type="gramEnd"/>
    </w:p>
    <w:p w14:paraId="1C3D4BEF" w14:textId="6E245836"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terms of Reference prepared and agreed during project initiation for each of the tiers of Governance to address the needs of relevant stakeholders: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 xml:space="preserve">, the Supplier and the incumbent </w:t>
      </w:r>
      <w:proofErr w:type="gramStart"/>
      <w:r w:rsidRPr="00C959F4">
        <w:rPr>
          <w:rFonts w:cs="Arial"/>
          <w:szCs w:val="20"/>
        </w:rPr>
        <w:t>suppliers</w:t>
      </w:r>
      <w:r>
        <w:rPr>
          <w:rFonts w:cs="Arial"/>
          <w:szCs w:val="20"/>
        </w:rPr>
        <w:t>;</w:t>
      </w:r>
      <w:proofErr w:type="gramEnd"/>
    </w:p>
    <w:p w14:paraId="7696BF1A" w14:textId="0358FEBD"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an Executive Board that includes senior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 xml:space="preserve"> stakeholders and senior sponsors from the Supplier, led by the Supplier’s Account Executive </w:t>
      </w:r>
      <w:r w:rsidRPr="00C959F4">
        <w:rPr>
          <w:rFonts w:cs="Arial"/>
          <w:szCs w:val="20"/>
        </w:rPr>
        <w:lastRenderedPageBreak/>
        <w:t xml:space="preserve">responsible for ensuring business alignment of the transition, providing strategic direction, and managing escalations from the Transition </w:t>
      </w:r>
      <w:proofErr w:type="gramStart"/>
      <w:r w:rsidRPr="00C959F4">
        <w:rPr>
          <w:rFonts w:cs="Arial"/>
          <w:szCs w:val="20"/>
        </w:rPr>
        <w:t>Board</w:t>
      </w:r>
      <w:r>
        <w:rPr>
          <w:rFonts w:cs="Arial"/>
          <w:szCs w:val="20"/>
        </w:rPr>
        <w:t>;</w:t>
      </w:r>
      <w:proofErr w:type="gramEnd"/>
    </w:p>
    <w:p w14:paraId="102E39E4" w14:textId="08315A87"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a Transition Board comprised of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 xml:space="preserve">’s Service Lead and Commercial Lead and the Supplier’s Transition Director, Service Director, Contract Director and PMO. In order to support a collaborative approach, the incumbent suppliers will be invited to take part in this Board as required to ensure there is alignment and transparency between the </w:t>
      </w:r>
      <w:proofErr w:type="gramStart"/>
      <w:r w:rsidRPr="00C959F4">
        <w:rPr>
          <w:rFonts w:cs="Arial"/>
          <w:szCs w:val="20"/>
        </w:rPr>
        <w:t>parties</w:t>
      </w:r>
      <w:r>
        <w:rPr>
          <w:rFonts w:cs="Arial"/>
          <w:szCs w:val="20"/>
        </w:rPr>
        <w:t>;</w:t>
      </w:r>
      <w:proofErr w:type="gramEnd"/>
    </w:p>
    <w:p w14:paraId="586F939A" w14:textId="3CC2E4AF"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the Transition Board will be responsible for managing the </w:t>
      </w:r>
      <w:r w:rsidR="00BE4806" w:rsidRPr="00C959F4">
        <w:rPr>
          <w:rFonts w:cs="Arial"/>
          <w:szCs w:val="20"/>
        </w:rPr>
        <w:t>plan</w:t>
      </w:r>
      <w:r w:rsidRPr="00C959F4">
        <w:rPr>
          <w:rFonts w:cs="Arial"/>
          <w:szCs w:val="20"/>
        </w:rPr>
        <w:t>, providing authorisation to proceed on key milestones, managing the risk profile, managing delivery within scope, resolving issues between individual projects/streams where escalated and escalating to the Executive level where necessary</w:t>
      </w:r>
      <w:r w:rsidRPr="006248E4">
        <w:rPr>
          <w:rFonts w:cs="Arial"/>
          <w:szCs w:val="20"/>
        </w:rPr>
        <w:t>.</w:t>
      </w:r>
    </w:p>
    <w:p w14:paraId="4B7E687D" w14:textId="6135923C"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individual project/stream meetings to track delivery of the </w:t>
      </w:r>
      <w:r w:rsidR="00BE4806" w:rsidRPr="00C959F4">
        <w:rPr>
          <w:rFonts w:cs="Arial"/>
          <w:szCs w:val="20"/>
        </w:rPr>
        <w:t xml:space="preserve">plan </w:t>
      </w:r>
      <w:r w:rsidRPr="00C959F4">
        <w:rPr>
          <w:rFonts w:cs="Arial"/>
          <w:szCs w:val="20"/>
        </w:rPr>
        <w:t xml:space="preserve">on a day-to-day basis and which will feed into </w:t>
      </w:r>
      <w:r w:rsidR="00BE4806" w:rsidRPr="00C959F4">
        <w:rPr>
          <w:rFonts w:cs="Arial"/>
          <w:szCs w:val="20"/>
        </w:rPr>
        <w:t xml:space="preserve">plan </w:t>
      </w:r>
      <w:r w:rsidRPr="00C959F4">
        <w:rPr>
          <w:rFonts w:cs="Arial"/>
          <w:szCs w:val="20"/>
        </w:rPr>
        <w:t>governance</w:t>
      </w:r>
      <w:r>
        <w:rPr>
          <w:rFonts w:cs="Arial"/>
          <w:szCs w:val="20"/>
        </w:rPr>
        <w:t>; and</w:t>
      </w:r>
    </w:p>
    <w:p w14:paraId="4B7B72AE"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the Supplier will align Transition governance with live service governance. All parties’ service management leads are key stakeholders and are embedded in the governance approach via inclusion within joint workstream and project meetings and in the Transition Board when appropriate.</w:t>
      </w:r>
    </w:p>
    <w:p w14:paraId="59EB4CEF" w14:textId="77777777" w:rsidR="007B12F8" w:rsidRPr="00C959F4" w:rsidRDefault="007B12F8" w:rsidP="007B12F8">
      <w:pPr>
        <w:pStyle w:val="Heading2"/>
        <w:keepNext/>
        <w:spacing w:after="120"/>
        <w:rPr>
          <w:b/>
          <w:bCs w:val="0"/>
        </w:rPr>
      </w:pPr>
      <w:bookmarkStart w:id="1811" w:name="_Toc83904708"/>
      <w:r w:rsidRPr="00C959F4">
        <w:rPr>
          <w:b/>
        </w:rPr>
        <w:t>Knowledge Exchange</w:t>
      </w:r>
      <w:bookmarkEnd w:id="1811"/>
    </w:p>
    <w:p w14:paraId="32F350DB" w14:textId="77777777" w:rsidR="007B12F8" w:rsidRPr="00C959F4" w:rsidRDefault="007B12F8" w:rsidP="00346A37">
      <w:pPr>
        <w:pStyle w:val="Heading3"/>
      </w:pPr>
      <w:r w:rsidRPr="00C959F4">
        <w:t xml:space="preserve">The Supplier will deploy its knowledge acquisition method to plan, manage, assess </w:t>
      </w:r>
      <w:proofErr w:type="gramStart"/>
      <w:r w:rsidRPr="00C959F4">
        <w:t>complexity</w:t>
      </w:r>
      <w:proofErr w:type="gramEnd"/>
      <w:r w:rsidRPr="00C959F4">
        <w:t xml:space="preserve"> and execute knowledge transfer activities including training of staff. Knowledge acquisition is focused on the current services and how these will be transferred to the Supplier. </w:t>
      </w:r>
    </w:p>
    <w:p w14:paraId="3B71A7D8" w14:textId="686A938E" w:rsidR="007B12F8" w:rsidRPr="00C959F4" w:rsidRDefault="007B12F8" w:rsidP="00346A37">
      <w:pPr>
        <w:pStyle w:val="Heading3"/>
        <w:rPr>
          <w:rFonts w:eastAsiaTheme="minorEastAsia"/>
        </w:rPr>
      </w:pPr>
      <w:r w:rsidRPr="00C959F4">
        <w:t xml:space="preserve">The Supplier will appoint an experienced Knowledge Transfer Lead during project initiation to work with </w:t>
      </w:r>
      <w:proofErr w:type="spellStart"/>
      <w:r w:rsidR="001F1C19">
        <w:t>Netlink</w:t>
      </w:r>
      <w:proofErr w:type="spellEnd"/>
      <w:r w:rsidR="001F1C19">
        <w:t xml:space="preserve"> Star</w:t>
      </w:r>
      <w:r w:rsidRPr="00C959F4">
        <w:t xml:space="preserve"> to:</w:t>
      </w:r>
    </w:p>
    <w:p w14:paraId="1240CB7C" w14:textId="5BAB965C"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create a knowledge transfer plan and RACI, gaining agreement from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 xml:space="preserve"> and incumbent </w:t>
      </w:r>
      <w:proofErr w:type="gramStart"/>
      <w:r w:rsidRPr="00C959F4">
        <w:rPr>
          <w:rFonts w:cs="Arial"/>
          <w:szCs w:val="20"/>
        </w:rPr>
        <w:t>suppliers</w:t>
      </w:r>
      <w:r>
        <w:rPr>
          <w:rFonts w:cs="Arial"/>
          <w:szCs w:val="20"/>
        </w:rPr>
        <w:t>;</w:t>
      </w:r>
      <w:proofErr w:type="gramEnd"/>
    </w:p>
    <w:p w14:paraId="5ACB087F"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analyse the documentation and skills used to deliver the current </w:t>
      </w:r>
      <w:proofErr w:type="gramStart"/>
      <w:r w:rsidRPr="00C959F4">
        <w:rPr>
          <w:rFonts w:cs="Arial"/>
          <w:szCs w:val="20"/>
        </w:rPr>
        <w:t>services</w:t>
      </w:r>
      <w:r>
        <w:rPr>
          <w:rFonts w:cs="Arial"/>
          <w:szCs w:val="20"/>
        </w:rPr>
        <w:t>;</w:t>
      </w:r>
      <w:proofErr w:type="gramEnd"/>
    </w:p>
    <w:p w14:paraId="3A11CFAC"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define the acceptance criteria (including DR/BCP) to measure effective knowledge </w:t>
      </w:r>
      <w:proofErr w:type="gramStart"/>
      <w:r w:rsidRPr="00C959F4">
        <w:rPr>
          <w:rFonts w:cs="Arial"/>
          <w:szCs w:val="20"/>
        </w:rPr>
        <w:t>transfer</w:t>
      </w:r>
      <w:r>
        <w:rPr>
          <w:rFonts w:cs="Arial"/>
          <w:szCs w:val="20"/>
        </w:rPr>
        <w:t>;</w:t>
      </w:r>
      <w:proofErr w:type="gramEnd"/>
    </w:p>
    <w:p w14:paraId="5858C3AA"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recommend updates to the existing knowledge </w:t>
      </w:r>
      <w:proofErr w:type="gramStart"/>
      <w:r w:rsidRPr="00C959F4">
        <w:rPr>
          <w:rFonts w:cs="Arial"/>
          <w:szCs w:val="20"/>
        </w:rPr>
        <w:t>base</w:t>
      </w:r>
      <w:r>
        <w:rPr>
          <w:rFonts w:cs="Arial"/>
          <w:szCs w:val="20"/>
        </w:rPr>
        <w:t>;</w:t>
      </w:r>
      <w:proofErr w:type="gramEnd"/>
    </w:p>
    <w:p w14:paraId="605723DA" w14:textId="60B43737"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work with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 xml:space="preserve"> and the incumbent supplier to acquire documentation, schedule review sessions and agree shadowing/reverse shadowing of the current </w:t>
      </w:r>
      <w:proofErr w:type="gramStart"/>
      <w:r w:rsidRPr="00C959F4">
        <w:rPr>
          <w:rFonts w:cs="Arial"/>
          <w:szCs w:val="20"/>
        </w:rPr>
        <w:t>team</w:t>
      </w:r>
      <w:r>
        <w:rPr>
          <w:rFonts w:cs="Arial"/>
          <w:szCs w:val="20"/>
        </w:rPr>
        <w:t>;</w:t>
      </w:r>
      <w:proofErr w:type="gramEnd"/>
      <w:r w:rsidRPr="00C959F4">
        <w:rPr>
          <w:rFonts w:cs="Arial"/>
          <w:szCs w:val="20"/>
        </w:rPr>
        <w:t xml:space="preserve"> </w:t>
      </w:r>
    </w:p>
    <w:p w14:paraId="0A074CE6"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Identify and track transferred information components, identifying any potential risks and consider required mitigation actions</w:t>
      </w:r>
      <w:r>
        <w:rPr>
          <w:rFonts w:cs="Arial"/>
          <w:szCs w:val="20"/>
        </w:rPr>
        <w:t>; and</w:t>
      </w:r>
    </w:p>
    <w:p w14:paraId="551DB9D8"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validate that the infrastructure build in the ARK DCs is in line with the technical and timeline requirements.</w:t>
      </w:r>
    </w:p>
    <w:p w14:paraId="7CB5ED65" w14:textId="77777777" w:rsidR="007B12F8" w:rsidRPr="00C959F4" w:rsidRDefault="007B12F8" w:rsidP="007B12F8">
      <w:pPr>
        <w:pStyle w:val="Heading2"/>
        <w:keepNext/>
        <w:spacing w:after="120"/>
        <w:rPr>
          <w:b/>
          <w:bCs w:val="0"/>
        </w:rPr>
      </w:pPr>
      <w:bookmarkStart w:id="1812" w:name="_Toc83904709"/>
      <w:r w:rsidRPr="00C959F4">
        <w:rPr>
          <w:b/>
        </w:rPr>
        <w:t>Transition Risk Management</w:t>
      </w:r>
      <w:bookmarkEnd w:id="1812"/>
    </w:p>
    <w:p w14:paraId="6A613B24" w14:textId="7CB7131E" w:rsidR="007B12F8" w:rsidRPr="00C959F4" w:rsidRDefault="007B12F8" w:rsidP="00346A37">
      <w:pPr>
        <w:pStyle w:val="Heading3"/>
      </w:pPr>
      <w:r w:rsidRPr="00C959F4">
        <w:t xml:space="preserve">The Supplier will undertake proactive risk management in accordance with </w:t>
      </w:r>
      <w:proofErr w:type="spellStart"/>
      <w:r w:rsidR="001F1C19">
        <w:t>Netlink</w:t>
      </w:r>
      <w:proofErr w:type="spellEnd"/>
      <w:r w:rsidR="001F1C19">
        <w:t xml:space="preserve"> Star</w:t>
      </w:r>
      <w:r w:rsidRPr="00C959F4">
        <w:t>’s processes and the Supplier’s project management methodology for risk management, illustrated as follows:</w:t>
      </w:r>
    </w:p>
    <w:p w14:paraId="2F26D33C" w14:textId="77777777" w:rsidR="007B12F8" w:rsidRPr="00C959F4" w:rsidRDefault="007B12F8" w:rsidP="007B12F8">
      <w:pPr>
        <w:keepNext/>
        <w:jc w:val="center"/>
        <w:rPr>
          <w:szCs w:val="20"/>
        </w:rPr>
      </w:pPr>
      <w:r w:rsidRPr="00C959F4">
        <w:rPr>
          <w:noProof/>
          <w:szCs w:val="20"/>
        </w:rPr>
        <w:lastRenderedPageBreak/>
        <w:drawing>
          <wp:inline distT="0" distB="0" distL="0" distR="0" wp14:anchorId="15DCA28E" wp14:editId="4C54CEFE">
            <wp:extent cx="3817917" cy="1943526"/>
            <wp:effectExtent l="0" t="0" r="0" b="0"/>
            <wp:docPr id="47" name="Picture 4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bubble 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817917" cy="1943526"/>
                    </a:xfrm>
                    <a:prstGeom prst="rect">
                      <a:avLst/>
                    </a:prstGeom>
                  </pic:spPr>
                </pic:pic>
              </a:graphicData>
            </a:graphic>
          </wp:inline>
        </w:drawing>
      </w:r>
    </w:p>
    <w:p w14:paraId="7F8261A3" w14:textId="77777777" w:rsidR="007B12F8" w:rsidRPr="00C959F4" w:rsidRDefault="007B12F8" w:rsidP="00346A37">
      <w:pPr>
        <w:pStyle w:val="Heading3"/>
      </w:pPr>
      <w:r w:rsidRPr="00C959F4">
        <w:t>The Supplier will ensure that this process is followed by all team members.</w:t>
      </w:r>
    </w:p>
    <w:p w14:paraId="47E896F0" w14:textId="483F0578" w:rsidR="007B12F8" w:rsidRPr="00C959F4" w:rsidRDefault="007B12F8" w:rsidP="00346A37">
      <w:pPr>
        <w:pStyle w:val="Heading3"/>
      </w:pPr>
      <w:r w:rsidRPr="00C959F4">
        <w:t xml:space="preserve">Project risks will be recorded in the Risk Log. During project start-up and throughout the transition, new risks will be raised to the PMO by </w:t>
      </w:r>
      <w:proofErr w:type="spellStart"/>
      <w:r w:rsidR="001F1C19">
        <w:t>Netlink</w:t>
      </w:r>
      <w:proofErr w:type="spellEnd"/>
      <w:r w:rsidR="001F1C19">
        <w:t xml:space="preserve"> Star</w:t>
      </w:r>
      <w:r w:rsidRPr="00C959F4">
        <w:t xml:space="preserve"> and Supplier project members.  The Risk Log will include the action owner and impact date and will be assessed with appropriate mitigations in a Risk Control Plan. Risks will be reviewed by </w:t>
      </w:r>
      <w:proofErr w:type="spellStart"/>
      <w:r w:rsidR="001F1C19">
        <w:t>Netlink</w:t>
      </w:r>
      <w:proofErr w:type="spellEnd"/>
      <w:r w:rsidR="001F1C19">
        <w:t xml:space="preserve"> Star</w:t>
      </w:r>
      <w:r w:rsidRPr="00C959F4">
        <w:t xml:space="preserve"> and the Supplier as part of the weekly team meetings, and key risks will be included in the weekly reports.</w:t>
      </w:r>
    </w:p>
    <w:p w14:paraId="40F33E3E" w14:textId="77777777" w:rsidR="007B12F8" w:rsidRPr="00C959F4" w:rsidRDefault="007B12F8" w:rsidP="007B12F8">
      <w:pPr>
        <w:pStyle w:val="Heading2"/>
        <w:keepNext/>
        <w:spacing w:after="120"/>
        <w:rPr>
          <w:b/>
          <w:bCs w:val="0"/>
        </w:rPr>
      </w:pPr>
      <w:bookmarkStart w:id="1813" w:name="_Toc83904710"/>
      <w:r w:rsidRPr="00C959F4">
        <w:rPr>
          <w:b/>
        </w:rPr>
        <w:t>Dependencies and Obligations Management</w:t>
      </w:r>
      <w:bookmarkEnd w:id="1813"/>
    </w:p>
    <w:p w14:paraId="4EA7AE2F" w14:textId="5BCEC023" w:rsidR="007B12F8" w:rsidRPr="00C959F4" w:rsidRDefault="007B12F8" w:rsidP="00346A37">
      <w:pPr>
        <w:pStyle w:val="Heading3"/>
      </w:pPr>
      <w:r w:rsidRPr="00C959F4">
        <w:t xml:space="preserve">Dependencies and obligations on </w:t>
      </w:r>
      <w:proofErr w:type="spellStart"/>
      <w:r w:rsidR="001F1C19">
        <w:t>Netlink</w:t>
      </w:r>
      <w:proofErr w:type="spellEnd"/>
      <w:r w:rsidR="001F1C19">
        <w:t xml:space="preserve"> Star</w:t>
      </w:r>
      <w:r w:rsidRPr="00C959F4">
        <w:t xml:space="preserve"> </w:t>
      </w:r>
      <w:r>
        <w:t>are as</w:t>
      </w:r>
      <w:r w:rsidRPr="00C959F4">
        <w:t xml:space="preserve"> defined and agreed in </w:t>
      </w:r>
      <w:r>
        <w:t>this Agreement</w:t>
      </w:r>
      <w:r w:rsidRPr="00C959F4">
        <w:t xml:space="preserve">. This includes dependencies and obligations that are on third parties contracted by </w:t>
      </w:r>
      <w:proofErr w:type="spellStart"/>
      <w:r w:rsidR="001F1C19">
        <w:t>Netlink</w:t>
      </w:r>
      <w:proofErr w:type="spellEnd"/>
      <w:r w:rsidR="001F1C19">
        <w:t xml:space="preserve"> Star</w:t>
      </w:r>
      <w:r w:rsidRPr="00C959F4">
        <w:t xml:space="preserve"> as well as Disaster Recovery (DR) and Business Continuity Planning (BCP) to ensure alignment with the Supplier’s approach. Any additional obligations emerging during the project, together with the required delivery date, will be identified in the Project Progress Report or Monthly Project Status Report and managed via the Transition Programme Board and then via the formal </w:t>
      </w:r>
      <w:r w:rsidR="00BE4806" w:rsidRPr="00C959F4">
        <w:t xml:space="preserve">Change Control Procedure </w:t>
      </w:r>
      <w:r w:rsidRPr="00C959F4">
        <w:t xml:space="preserve">if required. The Transition Progress Report and Monthly Project Status Reports will include the status of </w:t>
      </w:r>
      <w:proofErr w:type="spellStart"/>
      <w:r w:rsidR="001F1C19">
        <w:t>Netlink</w:t>
      </w:r>
      <w:proofErr w:type="spellEnd"/>
      <w:r w:rsidR="001F1C19">
        <w:t xml:space="preserve"> Star</w:t>
      </w:r>
      <w:r w:rsidRPr="00C959F4">
        <w:t xml:space="preserve">’s obligations relevant at the time of the report. </w:t>
      </w:r>
      <w:proofErr w:type="spellStart"/>
      <w:r w:rsidR="001F1C19">
        <w:t>Netlink</w:t>
      </w:r>
      <w:proofErr w:type="spellEnd"/>
      <w:r w:rsidR="001F1C19">
        <w:t xml:space="preserve"> Star</w:t>
      </w:r>
      <w:r w:rsidRPr="00C959F4">
        <w:t xml:space="preserve"> and the Supplier will jointly monitor and report on progress of the dependencies to enable potential issues to be identified and actioned early. If </w:t>
      </w:r>
      <w:proofErr w:type="spellStart"/>
      <w:r w:rsidR="001F1C19">
        <w:t>Netlink</w:t>
      </w:r>
      <w:proofErr w:type="spellEnd"/>
      <w:r w:rsidR="001F1C19">
        <w:t xml:space="preserve"> Star</w:t>
      </w:r>
      <w:r w:rsidRPr="00C959F4">
        <w:t xml:space="preserve"> does not meet an obligation, the Supplier will report this in the Project Progress Report and the Monthly Project Status Report.</w:t>
      </w:r>
    </w:p>
    <w:p w14:paraId="11D21CDD" w14:textId="77777777" w:rsidR="007B12F8" w:rsidRPr="00C959F4" w:rsidRDefault="007B12F8" w:rsidP="007B12F8">
      <w:pPr>
        <w:pStyle w:val="Heading2"/>
        <w:keepNext/>
        <w:spacing w:after="120"/>
        <w:rPr>
          <w:b/>
          <w:bCs w:val="0"/>
        </w:rPr>
      </w:pPr>
      <w:bookmarkStart w:id="1814" w:name="_Toc83904711"/>
      <w:r w:rsidRPr="00C959F4">
        <w:rPr>
          <w:b/>
        </w:rPr>
        <w:t>Acceptance Criteria</w:t>
      </w:r>
      <w:bookmarkEnd w:id="1814"/>
    </w:p>
    <w:p w14:paraId="44AA1151" w14:textId="77777777" w:rsidR="007B12F8" w:rsidRPr="00C959F4" w:rsidRDefault="007B12F8" w:rsidP="00346A37">
      <w:pPr>
        <w:pStyle w:val="Heading3"/>
      </w:pPr>
      <w:r w:rsidRPr="00C959F4">
        <w:t>The Supplier will manage service readiness testing and acceptance through the Acceptance to Run (</w:t>
      </w:r>
      <w:proofErr w:type="spellStart"/>
      <w:r w:rsidRPr="00C959F4">
        <w:t>AtR</w:t>
      </w:r>
      <w:proofErr w:type="spellEnd"/>
      <w:r w:rsidRPr="00C959F4">
        <w:t xml:space="preserve">) process used for transitioning responsibility for services into live operations. The </w:t>
      </w:r>
      <w:proofErr w:type="spellStart"/>
      <w:r w:rsidRPr="00C959F4">
        <w:t>AtR</w:t>
      </w:r>
      <w:proofErr w:type="spellEnd"/>
      <w:r w:rsidRPr="00C959F4">
        <w:t xml:space="preserve"> process and principles will apply post take-on of live services for new projects/services being brought into live operation.</w:t>
      </w:r>
    </w:p>
    <w:p w14:paraId="4B6731C2" w14:textId="77777777" w:rsidR="007B12F8" w:rsidRPr="00C959F4" w:rsidRDefault="007B12F8" w:rsidP="00346A37">
      <w:pPr>
        <w:pStyle w:val="Heading3"/>
      </w:pPr>
      <w:r w:rsidRPr="00C959F4">
        <w:t xml:space="preserve">The </w:t>
      </w:r>
      <w:proofErr w:type="spellStart"/>
      <w:r w:rsidRPr="00C959F4">
        <w:t>AtR</w:t>
      </w:r>
      <w:proofErr w:type="spellEnd"/>
      <w:r w:rsidRPr="00C959F4">
        <w:t xml:space="preserve"> process ensures that: </w:t>
      </w:r>
    </w:p>
    <w:p w14:paraId="50ECB771"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Service Operations are involved throughout the full lifecycle of the process and are ready to operate the new service in line with the quality, availability and resilience Service Level </w:t>
      </w:r>
      <w:proofErr w:type="gramStart"/>
      <w:r w:rsidRPr="00C959F4">
        <w:rPr>
          <w:rFonts w:cs="Arial"/>
          <w:szCs w:val="20"/>
        </w:rPr>
        <w:t>Agreements</w:t>
      </w:r>
      <w:r>
        <w:rPr>
          <w:rFonts w:cs="Arial"/>
          <w:szCs w:val="20"/>
        </w:rPr>
        <w:t>;</w:t>
      </w:r>
      <w:proofErr w:type="gramEnd"/>
    </w:p>
    <w:p w14:paraId="24464D55"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Operational Readiness Requirements (ORR) and Service Acceptance Criteria (SAC) are agreed during the Design phase and considered throughout the project lifecycle so that the transition of a new or modified service into Live Service Operation is delivered in line with agreed requirements and criteria</w:t>
      </w:r>
      <w:r>
        <w:rPr>
          <w:rFonts w:cs="Arial"/>
          <w:szCs w:val="20"/>
        </w:rPr>
        <w:t>; and</w:t>
      </w:r>
    </w:p>
    <w:p w14:paraId="38118335" w14:textId="1AC3C0F7"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the Supplier and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 xml:space="preserve"> will agree the acceptance criteria required for both </w:t>
      </w:r>
      <w:r w:rsidR="00BE4806" w:rsidRPr="00C959F4">
        <w:rPr>
          <w:rFonts w:cs="Arial"/>
          <w:szCs w:val="20"/>
        </w:rPr>
        <w:t xml:space="preserve">Parties </w:t>
      </w:r>
      <w:r w:rsidRPr="00C959F4">
        <w:rPr>
          <w:rFonts w:cs="Arial"/>
          <w:szCs w:val="20"/>
        </w:rPr>
        <w:t xml:space="preserve">to be comfortable that a de-risked transition of services can be undertaken. Prior to Service </w:t>
      </w:r>
      <w:r w:rsidR="00BE4806" w:rsidRPr="00C959F4">
        <w:rPr>
          <w:rFonts w:cs="Arial"/>
          <w:szCs w:val="20"/>
        </w:rPr>
        <w:t>cutover</w:t>
      </w:r>
      <w:r w:rsidRPr="00C959F4">
        <w:rPr>
          <w:rFonts w:cs="Arial"/>
          <w:szCs w:val="20"/>
        </w:rPr>
        <w:t xml:space="preserve">, the Supplier will present evidence that the acceptance criteria have been achieved, enabling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 xml:space="preserve"> and its incumbent suppliers to verify the completion of the transition.</w:t>
      </w:r>
    </w:p>
    <w:p w14:paraId="12E34D1E" w14:textId="77777777" w:rsidR="007B12F8" w:rsidRPr="00C959F4" w:rsidRDefault="007B12F8" w:rsidP="007B12F8">
      <w:pPr>
        <w:pStyle w:val="Heading2"/>
        <w:keepNext/>
        <w:spacing w:after="120"/>
        <w:rPr>
          <w:b/>
          <w:bCs w:val="0"/>
        </w:rPr>
      </w:pPr>
      <w:bookmarkStart w:id="1815" w:name="_Toc83904712"/>
      <w:r w:rsidRPr="00C959F4">
        <w:rPr>
          <w:b/>
        </w:rPr>
        <w:lastRenderedPageBreak/>
        <w:t>Quality Gates</w:t>
      </w:r>
      <w:bookmarkEnd w:id="1815"/>
    </w:p>
    <w:p w14:paraId="3512289A" w14:textId="71BB03DE" w:rsidR="007B12F8" w:rsidRPr="00C959F4" w:rsidRDefault="007B12F8" w:rsidP="00346A37">
      <w:pPr>
        <w:pStyle w:val="Heading3"/>
      </w:pPr>
      <w:r w:rsidRPr="00C959F4">
        <w:t>The Supplier will complete the following Quality Gates at the end of each logical stage of the Transition.  The Quality Gates focus on serviceability and quality rather than time and cost and will be aligned with standard stage gate processes where applicable:</w:t>
      </w:r>
    </w:p>
    <w:p w14:paraId="14AC7856"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Quality Gate 1 – Review the requirements and identify major risks and issues to service and operations.</w:t>
      </w:r>
    </w:p>
    <w:p w14:paraId="37912D4C"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Quality Gate 2 – Review the design from a service perspective, ensuring the warranty exit criteria and early life support is understood, confirming the run delivery teams are engaged.</w:t>
      </w:r>
    </w:p>
    <w:p w14:paraId="57837CF9"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Quality Gate 3 – Review the design for service impact, ensuring a request for change is raised and a test strategy is completed including Operational Acceptance Testing (OAT).</w:t>
      </w:r>
    </w:p>
    <w:p w14:paraId="6A5E376B"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Quality Gate 4 – Complete the project up to system test and ready for handover for final testing, confirmation that Infrastructure is built to standard; test reports reviewed, support documents nearing completion.</w:t>
      </w:r>
    </w:p>
    <w:p w14:paraId="3B80F158"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Quality Gate 5a – Make recommendation for go live (live service Acceptance Criteria met), all testing completed (including operational and performance), support documentation complete, training done, knowledge transfer complete, support teams, access to tooling confirmed and early life support ready.</w:t>
      </w:r>
    </w:p>
    <w:p w14:paraId="5CB77EE7"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Quality Gate 5b – Service is stable and live service team takes full responsibility for the service, project team is </w:t>
      </w:r>
      <w:proofErr w:type="gramStart"/>
      <w:r w:rsidRPr="00C959F4">
        <w:rPr>
          <w:rFonts w:cs="Arial"/>
          <w:szCs w:val="20"/>
        </w:rPr>
        <w:t>released</w:t>
      </w:r>
      <w:proofErr w:type="gramEnd"/>
      <w:r w:rsidRPr="00C959F4">
        <w:rPr>
          <w:rFonts w:cs="Arial"/>
          <w:szCs w:val="20"/>
        </w:rPr>
        <w:t xml:space="preserve"> and early life support is complete.</w:t>
      </w:r>
    </w:p>
    <w:p w14:paraId="068C5E21" w14:textId="62CE8896"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Quality Gate 6 –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 xml:space="preserve"> acceptance through the project governance and </w:t>
      </w:r>
      <w:r w:rsidR="00BE4806">
        <w:rPr>
          <w:rFonts w:cs="Arial"/>
          <w:szCs w:val="20"/>
        </w:rPr>
        <w:t>in accordance with the A</w:t>
      </w:r>
      <w:r w:rsidRPr="00C959F4">
        <w:rPr>
          <w:rFonts w:cs="Arial"/>
          <w:szCs w:val="20"/>
        </w:rPr>
        <w:t>greement.</w:t>
      </w:r>
    </w:p>
    <w:p w14:paraId="5203D547" w14:textId="6F4734D0" w:rsidR="007B12F8" w:rsidRPr="00C959F4" w:rsidRDefault="007B12F8" w:rsidP="007B12F8">
      <w:pPr>
        <w:pStyle w:val="Heading1"/>
        <w:spacing w:after="120"/>
        <w:rPr>
          <w:rFonts w:cs="Arial"/>
          <w:szCs w:val="20"/>
        </w:rPr>
      </w:pPr>
      <w:bookmarkStart w:id="1816" w:name="_Toc83299553"/>
      <w:bookmarkStart w:id="1817" w:name="_Toc83299872"/>
      <w:bookmarkStart w:id="1818" w:name="_Toc83299554"/>
      <w:bookmarkStart w:id="1819" w:name="_Toc83299873"/>
      <w:bookmarkStart w:id="1820" w:name="_Toc83299555"/>
      <w:bookmarkStart w:id="1821" w:name="_Toc83299874"/>
      <w:bookmarkStart w:id="1822" w:name="_Toc83299556"/>
      <w:bookmarkStart w:id="1823" w:name="_Toc83299875"/>
      <w:bookmarkStart w:id="1824" w:name="_Toc83299557"/>
      <w:bookmarkStart w:id="1825" w:name="_Toc83299876"/>
      <w:bookmarkStart w:id="1826" w:name="_Toc83299558"/>
      <w:bookmarkStart w:id="1827" w:name="_Toc83299877"/>
      <w:bookmarkStart w:id="1828" w:name="_Toc83199243"/>
      <w:bookmarkStart w:id="1829" w:name="_Toc83200939"/>
      <w:bookmarkStart w:id="1830" w:name="_Toc83299559"/>
      <w:bookmarkStart w:id="1831" w:name="_Toc83299878"/>
      <w:bookmarkStart w:id="1832" w:name="_Toc83299560"/>
      <w:bookmarkStart w:id="1833" w:name="_Toc83299879"/>
      <w:bookmarkStart w:id="1834" w:name="_Toc83299561"/>
      <w:bookmarkStart w:id="1835" w:name="_Toc83299880"/>
      <w:bookmarkStart w:id="1836" w:name="_Toc83299562"/>
      <w:bookmarkStart w:id="1837" w:name="_Toc83299881"/>
      <w:bookmarkStart w:id="1838" w:name="_Toc83299563"/>
      <w:bookmarkStart w:id="1839" w:name="_Toc83299882"/>
      <w:bookmarkStart w:id="1840" w:name="_Toc83299564"/>
      <w:bookmarkStart w:id="1841" w:name="_Toc83299883"/>
      <w:bookmarkStart w:id="1842" w:name="_Toc83299565"/>
      <w:bookmarkStart w:id="1843" w:name="_Toc83299884"/>
      <w:bookmarkStart w:id="1844" w:name="_Toc83299566"/>
      <w:bookmarkStart w:id="1845" w:name="_Toc83299885"/>
      <w:bookmarkStart w:id="1846" w:name="_Toc83299567"/>
      <w:bookmarkStart w:id="1847" w:name="_Toc83299886"/>
      <w:bookmarkStart w:id="1848" w:name="_Toc83299568"/>
      <w:bookmarkStart w:id="1849" w:name="_Toc83299887"/>
      <w:bookmarkStart w:id="1850" w:name="_Toc83299569"/>
      <w:bookmarkStart w:id="1851" w:name="_Toc83299888"/>
      <w:bookmarkStart w:id="1852" w:name="_Toc83299570"/>
      <w:bookmarkStart w:id="1853" w:name="_Toc83299889"/>
      <w:bookmarkStart w:id="1854" w:name="_Toc83199245"/>
      <w:bookmarkStart w:id="1855" w:name="_Toc83200941"/>
      <w:bookmarkStart w:id="1856" w:name="_Toc83299571"/>
      <w:bookmarkStart w:id="1857" w:name="_Toc83299890"/>
      <w:bookmarkStart w:id="1858" w:name="_Toc83299572"/>
      <w:bookmarkStart w:id="1859" w:name="_Toc83299891"/>
      <w:bookmarkStart w:id="1860" w:name="_Toc83299573"/>
      <w:bookmarkStart w:id="1861" w:name="_Toc83299892"/>
      <w:bookmarkStart w:id="1862" w:name="_Toc83299574"/>
      <w:bookmarkStart w:id="1863" w:name="_Toc83299893"/>
      <w:bookmarkStart w:id="1864" w:name="_Toc83299575"/>
      <w:bookmarkStart w:id="1865" w:name="_Toc83299894"/>
      <w:bookmarkStart w:id="1866" w:name="_Toc83299576"/>
      <w:bookmarkStart w:id="1867" w:name="_Toc83299895"/>
      <w:bookmarkStart w:id="1868" w:name="_Toc83299577"/>
      <w:bookmarkStart w:id="1869" w:name="_Toc83299896"/>
      <w:bookmarkStart w:id="1870" w:name="_Toc83299578"/>
      <w:bookmarkStart w:id="1871" w:name="_Toc83299897"/>
      <w:bookmarkStart w:id="1872" w:name="_Toc83299579"/>
      <w:bookmarkStart w:id="1873" w:name="_Toc83299898"/>
      <w:bookmarkStart w:id="1874" w:name="_Toc83299580"/>
      <w:bookmarkStart w:id="1875" w:name="_Toc83299899"/>
      <w:bookmarkStart w:id="1876" w:name="_Toc83299581"/>
      <w:bookmarkStart w:id="1877" w:name="_Toc83299900"/>
      <w:bookmarkStart w:id="1878" w:name="_Toc83299582"/>
      <w:bookmarkStart w:id="1879" w:name="_Toc83299901"/>
      <w:bookmarkStart w:id="1880" w:name="_Toc83299583"/>
      <w:bookmarkStart w:id="1881" w:name="_Toc83299902"/>
      <w:bookmarkStart w:id="1882" w:name="_Toc83299584"/>
      <w:bookmarkStart w:id="1883" w:name="_Toc83299903"/>
      <w:bookmarkStart w:id="1884" w:name="_Toc83299585"/>
      <w:bookmarkStart w:id="1885" w:name="_Toc83299904"/>
      <w:bookmarkStart w:id="1886" w:name="_Toc83299586"/>
      <w:bookmarkStart w:id="1887" w:name="_Toc83299905"/>
      <w:bookmarkStart w:id="1888" w:name="_Toc83299587"/>
      <w:bookmarkStart w:id="1889" w:name="_Toc83299906"/>
      <w:bookmarkStart w:id="1890" w:name="_Toc83200944"/>
      <w:bookmarkStart w:id="1891" w:name="_Toc83299588"/>
      <w:bookmarkStart w:id="1892" w:name="_Toc83299907"/>
      <w:bookmarkStart w:id="1893" w:name="_Toc83200945"/>
      <w:bookmarkStart w:id="1894" w:name="_Toc83299589"/>
      <w:bookmarkStart w:id="1895" w:name="_Toc83299908"/>
      <w:bookmarkStart w:id="1896" w:name="_Toc83200946"/>
      <w:bookmarkStart w:id="1897" w:name="_Toc83299590"/>
      <w:bookmarkStart w:id="1898" w:name="_Toc83299909"/>
      <w:bookmarkStart w:id="1899" w:name="_Toc83200947"/>
      <w:bookmarkStart w:id="1900" w:name="_Toc83299591"/>
      <w:bookmarkStart w:id="1901" w:name="_Toc83299910"/>
      <w:bookmarkStart w:id="1902" w:name="_Toc83200948"/>
      <w:bookmarkStart w:id="1903" w:name="_Toc83299592"/>
      <w:bookmarkStart w:id="1904" w:name="_Toc83299911"/>
      <w:bookmarkStart w:id="1905" w:name="_Toc83200949"/>
      <w:bookmarkStart w:id="1906" w:name="_Toc83299593"/>
      <w:bookmarkStart w:id="1907" w:name="_Toc83299912"/>
      <w:bookmarkStart w:id="1908" w:name="_Toc83299594"/>
      <w:bookmarkStart w:id="1909" w:name="_Toc83299913"/>
      <w:bookmarkStart w:id="1910" w:name="_Toc83299595"/>
      <w:bookmarkStart w:id="1911" w:name="_Toc83299914"/>
      <w:bookmarkStart w:id="1912" w:name="_Toc83299596"/>
      <w:bookmarkStart w:id="1913" w:name="_Toc83299915"/>
      <w:bookmarkStart w:id="1914" w:name="_Toc83299597"/>
      <w:bookmarkStart w:id="1915" w:name="_Toc83299916"/>
      <w:bookmarkStart w:id="1916" w:name="_Toc83299598"/>
      <w:bookmarkStart w:id="1917" w:name="_Toc83299917"/>
      <w:bookmarkStart w:id="1918" w:name="_Toc83299599"/>
      <w:bookmarkStart w:id="1919" w:name="_Toc83299918"/>
      <w:bookmarkStart w:id="1920" w:name="_Toc83299600"/>
      <w:bookmarkStart w:id="1921" w:name="_Toc83299919"/>
      <w:bookmarkStart w:id="1922" w:name="_Toc83299601"/>
      <w:bookmarkStart w:id="1923" w:name="_Toc83299920"/>
      <w:bookmarkStart w:id="1924" w:name="_Toc83299602"/>
      <w:bookmarkStart w:id="1925" w:name="_Toc83299921"/>
      <w:bookmarkStart w:id="1926" w:name="_Toc83299603"/>
      <w:bookmarkStart w:id="1927" w:name="_Toc83299922"/>
      <w:bookmarkStart w:id="1928" w:name="_Toc83299604"/>
      <w:bookmarkStart w:id="1929" w:name="_Toc83299923"/>
      <w:bookmarkStart w:id="1930" w:name="_Toc83299605"/>
      <w:bookmarkStart w:id="1931" w:name="_Toc83299924"/>
      <w:bookmarkStart w:id="1932" w:name="_Toc83299606"/>
      <w:bookmarkStart w:id="1933" w:name="_Toc83299925"/>
      <w:bookmarkStart w:id="1934" w:name="_Toc83299607"/>
      <w:bookmarkStart w:id="1935" w:name="_Toc83299926"/>
      <w:bookmarkStart w:id="1936" w:name="_Toc83299608"/>
      <w:bookmarkStart w:id="1937" w:name="_Toc83299927"/>
      <w:bookmarkStart w:id="1938" w:name="_Toc83299609"/>
      <w:bookmarkStart w:id="1939" w:name="_Toc83299928"/>
      <w:bookmarkStart w:id="1940" w:name="_Toc83299610"/>
      <w:bookmarkStart w:id="1941" w:name="_Toc83299929"/>
      <w:bookmarkStart w:id="1942" w:name="_Toc83299611"/>
      <w:bookmarkStart w:id="1943" w:name="_Toc83299930"/>
      <w:bookmarkStart w:id="1944" w:name="_Toc83299612"/>
      <w:bookmarkStart w:id="1945" w:name="_Toc83299931"/>
      <w:bookmarkStart w:id="1946" w:name="_Toc83299613"/>
      <w:bookmarkStart w:id="1947" w:name="_Toc83299932"/>
      <w:bookmarkStart w:id="1948" w:name="_Toc83299614"/>
      <w:bookmarkStart w:id="1949" w:name="_Toc83299933"/>
      <w:bookmarkStart w:id="1950" w:name="_Toc83299615"/>
      <w:bookmarkStart w:id="1951" w:name="_Toc83299934"/>
      <w:bookmarkStart w:id="1952" w:name="_Toc83299616"/>
      <w:bookmarkStart w:id="1953" w:name="_Toc83299935"/>
      <w:bookmarkStart w:id="1954" w:name="_Toc83299617"/>
      <w:bookmarkStart w:id="1955" w:name="_Toc83299936"/>
      <w:bookmarkStart w:id="1956" w:name="_Toc83299618"/>
      <w:bookmarkStart w:id="1957" w:name="_Toc83299937"/>
      <w:bookmarkStart w:id="1958" w:name="_Toc83299619"/>
      <w:bookmarkStart w:id="1959" w:name="_Toc83299938"/>
      <w:bookmarkStart w:id="1960" w:name="_Toc83299620"/>
      <w:bookmarkStart w:id="1961" w:name="_Toc83299939"/>
      <w:bookmarkStart w:id="1962" w:name="_Toc83299621"/>
      <w:bookmarkStart w:id="1963" w:name="_Toc83299940"/>
      <w:bookmarkStart w:id="1964" w:name="_Toc83299622"/>
      <w:bookmarkStart w:id="1965" w:name="_Toc83299941"/>
      <w:bookmarkStart w:id="1966" w:name="_Toc83299623"/>
      <w:bookmarkStart w:id="1967" w:name="_Toc83299942"/>
      <w:bookmarkStart w:id="1968" w:name="_Toc83299624"/>
      <w:bookmarkStart w:id="1969" w:name="_Toc83299943"/>
      <w:bookmarkStart w:id="1970" w:name="_Toc83299625"/>
      <w:bookmarkStart w:id="1971" w:name="_Toc83299944"/>
      <w:bookmarkStart w:id="1972" w:name="_Toc83299626"/>
      <w:bookmarkStart w:id="1973" w:name="_Toc83299945"/>
      <w:bookmarkStart w:id="1974" w:name="_Toc83299627"/>
      <w:bookmarkStart w:id="1975" w:name="_Toc83299946"/>
      <w:bookmarkStart w:id="1976" w:name="_Toc83299628"/>
      <w:bookmarkStart w:id="1977" w:name="_Toc83299947"/>
      <w:bookmarkStart w:id="1978" w:name="_Toc83299629"/>
      <w:bookmarkStart w:id="1979" w:name="_Toc83299948"/>
      <w:bookmarkStart w:id="1980" w:name="_Toc83299630"/>
      <w:bookmarkStart w:id="1981" w:name="_Toc83299949"/>
      <w:bookmarkStart w:id="1982" w:name="_Toc83299631"/>
      <w:bookmarkStart w:id="1983" w:name="_Toc83299950"/>
      <w:bookmarkStart w:id="1984" w:name="_Toc83299632"/>
      <w:bookmarkStart w:id="1985" w:name="_Toc83299951"/>
      <w:bookmarkStart w:id="1986" w:name="_Toc83299633"/>
      <w:bookmarkStart w:id="1987" w:name="_Toc83299952"/>
      <w:bookmarkStart w:id="1988" w:name="_Toc83299634"/>
      <w:bookmarkStart w:id="1989" w:name="_Toc83299953"/>
      <w:bookmarkStart w:id="1990" w:name="_Toc83299635"/>
      <w:bookmarkStart w:id="1991" w:name="_Toc83299954"/>
      <w:bookmarkStart w:id="1992" w:name="_Toc83299636"/>
      <w:bookmarkStart w:id="1993" w:name="_Toc83299955"/>
      <w:bookmarkStart w:id="1994" w:name="_Toc83299637"/>
      <w:bookmarkStart w:id="1995" w:name="_Toc83299956"/>
      <w:bookmarkStart w:id="1996" w:name="_Toc83299638"/>
      <w:bookmarkStart w:id="1997" w:name="_Toc83299957"/>
      <w:bookmarkStart w:id="1998" w:name="_Toc83299639"/>
      <w:bookmarkStart w:id="1999" w:name="_Toc83299958"/>
      <w:bookmarkStart w:id="2000" w:name="_Toc83299640"/>
      <w:bookmarkStart w:id="2001" w:name="_Toc83299959"/>
      <w:bookmarkStart w:id="2002" w:name="_Toc83299641"/>
      <w:bookmarkStart w:id="2003" w:name="_Toc83299960"/>
      <w:bookmarkStart w:id="2004" w:name="_Toc83299642"/>
      <w:bookmarkStart w:id="2005" w:name="_Toc83299961"/>
      <w:bookmarkStart w:id="2006" w:name="_Toc83299643"/>
      <w:bookmarkStart w:id="2007" w:name="_Toc83299962"/>
      <w:bookmarkStart w:id="2008" w:name="_Toc83299644"/>
      <w:bookmarkStart w:id="2009" w:name="_Toc83299963"/>
      <w:bookmarkStart w:id="2010" w:name="_Toc83299645"/>
      <w:bookmarkStart w:id="2011" w:name="_Toc83299964"/>
      <w:bookmarkStart w:id="2012" w:name="_Toc83299646"/>
      <w:bookmarkStart w:id="2013" w:name="_Toc83299965"/>
      <w:bookmarkStart w:id="2014" w:name="_Toc83299647"/>
      <w:bookmarkStart w:id="2015" w:name="_Toc83299966"/>
      <w:bookmarkStart w:id="2016" w:name="_Toc83299648"/>
      <w:bookmarkStart w:id="2017" w:name="_Toc83299967"/>
      <w:bookmarkStart w:id="2018" w:name="_Toc83299649"/>
      <w:bookmarkStart w:id="2019" w:name="_Toc83299968"/>
      <w:bookmarkStart w:id="2020" w:name="_Toc83299650"/>
      <w:bookmarkStart w:id="2021" w:name="_Toc83299969"/>
      <w:bookmarkStart w:id="2022" w:name="_Toc83299651"/>
      <w:bookmarkStart w:id="2023" w:name="_Toc83299970"/>
      <w:bookmarkStart w:id="2024" w:name="_Toc83299652"/>
      <w:bookmarkStart w:id="2025" w:name="_Toc83299971"/>
      <w:bookmarkStart w:id="2026" w:name="_Toc83299653"/>
      <w:bookmarkStart w:id="2027" w:name="_Toc83299972"/>
      <w:bookmarkStart w:id="2028" w:name="_Toc83299654"/>
      <w:bookmarkStart w:id="2029" w:name="_Toc83299973"/>
      <w:bookmarkStart w:id="2030" w:name="_Toc83299655"/>
      <w:bookmarkStart w:id="2031" w:name="_Toc83299974"/>
      <w:bookmarkStart w:id="2032" w:name="_Toc83904713"/>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r w:rsidRPr="00C959F4">
        <w:rPr>
          <w:rFonts w:cs="Arial"/>
          <w:szCs w:val="20"/>
        </w:rPr>
        <w:t>MIGRATION</w:t>
      </w:r>
      <w:bookmarkEnd w:id="2032"/>
    </w:p>
    <w:p w14:paraId="7819F4F5" w14:textId="77777777" w:rsidR="007B12F8" w:rsidRPr="00C959F4" w:rsidRDefault="007B12F8" w:rsidP="007B12F8">
      <w:pPr>
        <w:pStyle w:val="Heading2"/>
        <w:keepNext/>
        <w:spacing w:after="120"/>
        <w:rPr>
          <w:b/>
          <w:bCs w:val="0"/>
        </w:rPr>
      </w:pPr>
      <w:bookmarkStart w:id="2033" w:name="_Toc83904714"/>
      <w:r w:rsidRPr="00C959F4">
        <w:rPr>
          <w:b/>
        </w:rPr>
        <w:t>Migration Resources</w:t>
      </w:r>
      <w:bookmarkEnd w:id="2033"/>
    </w:p>
    <w:p w14:paraId="16D757FD" w14:textId="285ADFED" w:rsidR="007B12F8" w:rsidRPr="00C959F4" w:rsidRDefault="007B12F8" w:rsidP="00346A37">
      <w:pPr>
        <w:pStyle w:val="Heading3"/>
      </w:pPr>
      <w:r w:rsidRPr="00C959F4">
        <w:t xml:space="preserve">The Supplier will deliver end-to-end project management of the Migration Phase. A Programme Director and Project Team will work with </w:t>
      </w:r>
      <w:proofErr w:type="spellStart"/>
      <w:r w:rsidR="001F1C19">
        <w:t>Netlink</w:t>
      </w:r>
      <w:proofErr w:type="spellEnd"/>
      <w:r w:rsidR="001F1C19">
        <w:t xml:space="preserve"> Star</w:t>
      </w:r>
      <w:r w:rsidRPr="00C959F4">
        <w:t>’s IT stakeholders and business as well as application owners and application support teams. The Programme Director will be accountable for the migration phase and will be the senior escalation point.</w:t>
      </w:r>
    </w:p>
    <w:p w14:paraId="5E57377C" w14:textId="57BD2193" w:rsidR="007B12F8" w:rsidRPr="00C959F4" w:rsidRDefault="007B12F8" w:rsidP="00346A37">
      <w:pPr>
        <w:pStyle w:val="Heading3"/>
      </w:pPr>
      <w:r w:rsidRPr="00C959F4">
        <w:t xml:space="preserve">The Supplier’s Migration Project team will include a Programme Management Office (PMO) to ensure the timely production of migration deliverables aligned to the requirements of the </w:t>
      </w:r>
      <w:proofErr w:type="spellStart"/>
      <w:r w:rsidR="001F1C19">
        <w:t>Netlink</w:t>
      </w:r>
      <w:proofErr w:type="spellEnd"/>
      <w:r w:rsidR="001F1C19">
        <w:t xml:space="preserve"> Star</w:t>
      </w:r>
      <w:r w:rsidRPr="00C959F4">
        <w:t xml:space="preserve"> GRIP process. A key activity of the PMO team will be to work with </w:t>
      </w:r>
      <w:proofErr w:type="spellStart"/>
      <w:r w:rsidR="001F1C19">
        <w:t>Netlink</w:t>
      </w:r>
      <w:proofErr w:type="spellEnd"/>
      <w:r w:rsidR="001F1C19">
        <w:t xml:space="preserve"> Star</w:t>
      </w:r>
      <w:r w:rsidRPr="00C959F4">
        <w:t xml:space="preserve"> stakeholders to maintain a communication plan and gain approval and acceptance. Key roles within the Project Team include the Lead Architect and Technical Architect, which will be the primary interfaces for the </w:t>
      </w:r>
      <w:proofErr w:type="spellStart"/>
      <w:r w:rsidR="001F1C19">
        <w:t>Netlink</w:t>
      </w:r>
      <w:proofErr w:type="spellEnd"/>
      <w:r w:rsidR="001F1C19">
        <w:t xml:space="preserve"> Star</w:t>
      </w:r>
      <w:r w:rsidRPr="00C959F4">
        <w:t xml:space="preserve"> Design Authority and technical resources.</w:t>
      </w:r>
    </w:p>
    <w:p w14:paraId="52F88130" w14:textId="0DBDDF5E" w:rsidR="007B12F8" w:rsidRPr="00C959F4" w:rsidRDefault="007B12F8" w:rsidP="00346A37">
      <w:pPr>
        <w:pStyle w:val="Heading3"/>
      </w:pPr>
      <w:r w:rsidRPr="00C959F4">
        <w:t xml:space="preserve">The Supplier’s Cloud Migration Factory (CMF) approach will be used to undertake the Migration Phase for </w:t>
      </w:r>
      <w:proofErr w:type="spellStart"/>
      <w:r w:rsidR="001F1C19">
        <w:t>Netlink</w:t>
      </w:r>
      <w:proofErr w:type="spellEnd"/>
      <w:r w:rsidR="001F1C19">
        <w:t xml:space="preserve"> Star</w:t>
      </w:r>
      <w:r w:rsidRPr="00C959F4">
        <w:t xml:space="preserve">. CMF is a methodology and supporting capability to migrate </w:t>
      </w:r>
      <w:proofErr w:type="gramStart"/>
      <w:r w:rsidRPr="00C959F4">
        <w:t>on-premise</w:t>
      </w:r>
      <w:proofErr w:type="gramEnd"/>
      <w:r w:rsidRPr="00C959F4">
        <w:t>, hybrid and public cloud workloads. CMF will utilise an automated factory approach whilst meeting the required governance and control.</w:t>
      </w:r>
    </w:p>
    <w:p w14:paraId="2280F2EB" w14:textId="77777777" w:rsidR="007B12F8" w:rsidRPr="00C959F4" w:rsidRDefault="007B12F8" w:rsidP="007B12F8">
      <w:pPr>
        <w:pStyle w:val="Heading2"/>
        <w:keepNext/>
        <w:spacing w:after="120"/>
        <w:rPr>
          <w:b/>
          <w:bCs w:val="0"/>
        </w:rPr>
      </w:pPr>
      <w:bookmarkStart w:id="2034" w:name="_Toc83299660"/>
      <w:bookmarkStart w:id="2035" w:name="_Toc83299978"/>
      <w:bookmarkStart w:id="2036" w:name="_Toc83299662"/>
      <w:bookmarkStart w:id="2037" w:name="_Toc83299980"/>
      <w:bookmarkStart w:id="2038" w:name="_Toc83299663"/>
      <w:bookmarkStart w:id="2039" w:name="_Toc83299981"/>
      <w:bookmarkStart w:id="2040" w:name="_Toc83299664"/>
      <w:bookmarkStart w:id="2041" w:name="_Toc83299982"/>
      <w:bookmarkStart w:id="2042" w:name="_Toc83299665"/>
      <w:bookmarkStart w:id="2043" w:name="_Toc83299983"/>
      <w:bookmarkStart w:id="2044" w:name="_Toc83299666"/>
      <w:bookmarkStart w:id="2045" w:name="_Toc83299984"/>
      <w:bookmarkStart w:id="2046" w:name="_Toc83299667"/>
      <w:bookmarkStart w:id="2047" w:name="_Toc83299985"/>
      <w:bookmarkStart w:id="2048" w:name="_Toc83299668"/>
      <w:bookmarkStart w:id="2049" w:name="_Toc83299986"/>
      <w:bookmarkStart w:id="2050" w:name="_Toc83299669"/>
      <w:bookmarkStart w:id="2051" w:name="_Toc83299987"/>
      <w:bookmarkStart w:id="2052" w:name="_Toc83299670"/>
      <w:bookmarkStart w:id="2053" w:name="_Toc83299988"/>
      <w:bookmarkStart w:id="2054" w:name="_Toc83299671"/>
      <w:bookmarkStart w:id="2055" w:name="_Toc83299989"/>
      <w:bookmarkStart w:id="2056" w:name="_Toc83299672"/>
      <w:bookmarkStart w:id="2057" w:name="_Toc83299990"/>
      <w:bookmarkStart w:id="2058" w:name="_Toc83299673"/>
      <w:bookmarkStart w:id="2059" w:name="_Toc83299991"/>
      <w:bookmarkStart w:id="2060" w:name="_Toc83299674"/>
      <w:bookmarkStart w:id="2061" w:name="_Toc83299992"/>
      <w:bookmarkStart w:id="2062" w:name="_Toc83299675"/>
      <w:bookmarkStart w:id="2063" w:name="_Toc83299993"/>
      <w:bookmarkStart w:id="2064" w:name="_Toc83299676"/>
      <w:bookmarkStart w:id="2065" w:name="_Toc83299994"/>
      <w:bookmarkStart w:id="2066" w:name="_Toc83299677"/>
      <w:bookmarkStart w:id="2067" w:name="_Toc83299995"/>
      <w:bookmarkStart w:id="2068" w:name="_Toc83299678"/>
      <w:bookmarkStart w:id="2069" w:name="_Toc83299996"/>
      <w:bookmarkStart w:id="2070" w:name="_Toc83299679"/>
      <w:bookmarkStart w:id="2071" w:name="_Toc83299997"/>
      <w:bookmarkStart w:id="2072" w:name="_Toc83299680"/>
      <w:bookmarkStart w:id="2073" w:name="_Toc83299998"/>
      <w:bookmarkStart w:id="2074" w:name="_Toc83299681"/>
      <w:bookmarkStart w:id="2075" w:name="_Toc83299999"/>
      <w:bookmarkStart w:id="2076" w:name="_Toc83299682"/>
      <w:bookmarkStart w:id="2077" w:name="_Toc83300000"/>
      <w:bookmarkStart w:id="2078" w:name="_Toc83299683"/>
      <w:bookmarkStart w:id="2079" w:name="_Toc83300001"/>
      <w:bookmarkStart w:id="2080" w:name="_Toc83299684"/>
      <w:bookmarkStart w:id="2081" w:name="_Toc83300002"/>
      <w:bookmarkStart w:id="2082" w:name="_Toc83299698"/>
      <w:bookmarkStart w:id="2083" w:name="_Toc83300016"/>
      <w:bookmarkStart w:id="2084" w:name="_Toc83299699"/>
      <w:bookmarkStart w:id="2085" w:name="_Toc83300017"/>
      <w:bookmarkStart w:id="2086" w:name="_Toc83299700"/>
      <w:bookmarkStart w:id="2087" w:name="_Toc83300018"/>
      <w:bookmarkStart w:id="2088" w:name="_Toc83299701"/>
      <w:bookmarkStart w:id="2089" w:name="_Toc83300019"/>
      <w:bookmarkStart w:id="2090" w:name="_Toc83299702"/>
      <w:bookmarkStart w:id="2091" w:name="_Toc83300020"/>
      <w:bookmarkStart w:id="2092" w:name="_Toc83299703"/>
      <w:bookmarkStart w:id="2093" w:name="_Toc83300021"/>
      <w:bookmarkStart w:id="2094" w:name="_Toc83299704"/>
      <w:bookmarkStart w:id="2095" w:name="_Toc83300022"/>
      <w:bookmarkStart w:id="2096" w:name="_Toc83299705"/>
      <w:bookmarkStart w:id="2097" w:name="_Toc83300023"/>
      <w:bookmarkStart w:id="2098" w:name="_Toc83299706"/>
      <w:bookmarkStart w:id="2099" w:name="_Toc83300024"/>
      <w:bookmarkStart w:id="2100" w:name="_Toc83904715"/>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r w:rsidRPr="00C959F4">
        <w:rPr>
          <w:b/>
        </w:rPr>
        <w:t>Migration Approach</w:t>
      </w:r>
      <w:bookmarkEnd w:id="2100"/>
    </w:p>
    <w:p w14:paraId="47F3EB1A" w14:textId="77777777" w:rsidR="007B12F8" w:rsidRPr="00C959F4" w:rsidRDefault="007B12F8" w:rsidP="00346A37">
      <w:pPr>
        <w:pStyle w:val="Heading3"/>
      </w:pPr>
      <w:r w:rsidRPr="00C959F4">
        <w:t xml:space="preserve">The Supplier’s migration approach consists of four </w:t>
      </w:r>
      <w:r>
        <w:t xml:space="preserve">(4) </w:t>
      </w:r>
      <w:r w:rsidRPr="00C959F4">
        <w:t>phases:</w:t>
      </w:r>
    </w:p>
    <w:tbl>
      <w:tblPr>
        <w:tblStyle w:val="TableGrid0"/>
        <w:tblW w:w="5000" w:type="pct"/>
        <w:tblLook w:val="0600" w:firstRow="0" w:lastRow="0" w:firstColumn="0" w:lastColumn="0" w:noHBand="1" w:noVBand="1"/>
      </w:tblPr>
      <w:tblGrid>
        <w:gridCol w:w="2945"/>
        <w:gridCol w:w="6071"/>
      </w:tblGrid>
      <w:tr w:rsidR="007B12F8" w:rsidRPr="007B12F8" w14:paraId="5302B9C7" w14:textId="77777777" w:rsidTr="007B12F8">
        <w:trPr>
          <w:trHeight w:val="288"/>
        </w:trPr>
        <w:tc>
          <w:tcPr>
            <w:tcW w:w="5000" w:type="pct"/>
            <w:gridSpan w:val="2"/>
            <w:shd w:val="clear" w:color="auto" w:fill="000000" w:themeFill="text1"/>
            <w:vAlign w:val="center"/>
            <w:hideMark/>
          </w:tcPr>
          <w:p w14:paraId="738F1417" w14:textId="77777777" w:rsidR="007B12F8" w:rsidRPr="007B12F8" w:rsidRDefault="007B12F8" w:rsidP="007B12F8">
            <w:pPr>
              <w:pStyle w:val="TableHead"/>
              <w:spacing w:after="120"/>
              <w:jc w:val="left"/>
              <w:rPr>
                <w:rFonts w:ascii="Arial" w:hAnsi="Arial" w:cs="Arial"/>
                <w:sz w:val="20"/>
                <w:szCs w:val="20"/>
              </w:rPr>
            </w:pPr>
            <w:r w:rsidRPr="007B12F8">
              <w:rPr>
                <w:rFonts w:ascii="Arial" w:hAnsi="Arial" w:cs="Arial"/>
                <w:sz w:val="20"/>
                <w:szCs w:val="20"/>
              </w:rPr>
              <w:t>Phase 1: Discovery and Assessment</w:t>
            </w:r>
          </w:p>
        </w:tc>
      </w:tr>
      <w:tr w:rsidR="007B12F8" w:rsidRPr="007B12F8" w14:paraId="2A15D0E5" w14:textId="77777777" w:rsidTr="007B12F8">
        <w:tc>
          <w:tcPr>
            <w:tcW w:w="1633" w:type="pct"/>
            <w:hideMark/>
          </w:tcPr>
          <w:p w14:paraId="2A9DF836"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rPr>
              <w:t>Data collections and interviews</w:t>
            </w:r>
          </w:p>
        </w:tc>
        <w:tc>
          <w:tcPr>
            <w:tcW w:w="3367" w:type="pct"/>
            <w:hideMark/>
          </w:tcPr>
          <w:p w14:paraId="0947FF32"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rPr>
              <w:t>Capturing scope, discovery data and knowledge of the systems and integrations.</w:t>
            </w:r>
          </w:p>
        </w:tc>
      </w:tr>
      <w:tr w:rsidR="007B12F8" w:rsidRPr="007B12F8" w14:paraId="04FED8AB" w14:textId="77777777" w:rsidTr="007B12F8">
        <w:tc>
          <w:tcPr>
            <w:tcW w:w="1633" w:type="pct"/>
            <w:hideMark/>
          </w:tcPr>
          <w:p w14:paraId="21FBAFB8"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rPr>
              <w:lastRenderedPageBreak/>
              <w:t>Technology status, inventory and dependency mapping</w:t>
            </w:r>
          </w:p>
        </w:tc>
        <w:tc>
          <w:tcPr>
            <w:tcW w:w="3367" w:type="pct"/>
            <w:hideMark/>
          </w:tcPr>
          <w:p w14:paraId="4F90E71B" w14:textId="495E05EA"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rPr>
              <w:t xml:space="preserve">The Supplier will utilise its enhanced Application Portfolio Management (eAPM) tool and Cloudamize discovery tool to capture interdependencies between applications and infrastructure throughout the </w:t>
            </w:r>
            <w:r w:rsidR="001F1C19">
              <w:rPr>
                <w:rFonts w:ascii="Arial" w:hAnsi="Arial" w:cs="Arial"/>
                <w:sz w:val="20"/>
                <w:szCs w:val="20"/>
              </w:rPr>
              <w:t>Netlink Star</w:t>
            </w:r>
            <w:r w:rsidRPr="007B12F8">
              <w:rPr>
                <w:rFonts w:ascii="Arial" w:hAnsi="Arial" w:cs="Arial"/>
                <w:sz w:val="20"/>
                <w:szCs w:val="20"/>
              </w:rPr>
              <w:t xml:space="preserve"> estate. The Supplier will work with the incumbent supplier responsible for the implementation of the Hosting Infrastructure in Crown Hosting and the supplier of the DC LAN to understand the new environments and validate the quality and performance of the new DC estate according to </w:t>
            </w:r>
            <w:r w:rsidR="001F1C19">
              <w:rPr>
                <w:rFonts w:ascii="Arial" w:hAnsi="Arial" w:cs="Arial"/>
                <w:sz w:val="20"/>
                <w:szCs w:val="20"/>
              </w:rPr>
              <w:t>Netlink Star</w:t>
            </w:r>
            <w:r w:rsidRPr="007B12F8">
              <w:rPr>
                <w:rFonts w:ascii="Arial" w:hAnsi="Arial" w:cs="Arial"/>
                <w:sz w:val="20"/>
                <w:szCs w:val="20"/>
              </w:rPr>
              <w:t>’s design and specification.</w:t>
            </w:r>
          </w:p>
        </w:tc>
      </w:tr>
      <w:tr w:rsidR="007B12F8" w:rsidRPr="007B12F8" w14:paraId="23E0848A" w14:textId="77777777" w:rsidTr="007B12F8">
        <w:tc>
          <w:tcPr>
            <w:tcW w:w="1633" w:type="pct"/>
            <w:hideMark/>
          </w:tcPr>
          <w:p w14:paraId="3FCAD424"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rPr>
              <w:t>Project financials and resource planning</w:t>
            </w:r>
          </w:p>
        </w:tc>
        <w:tc>
          <w:tcPr>
            <w:tcW w:w="3367" w:type="pct"/>
            <w:hideMark/>
          </w:tcPr>
          <w:p w14:paraId="63392F82"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rPr>
              <w:t>The Supplier will utilise its migration methodology designed to deliver projects on time and within budget.</w:t>
            </w:r>
          </w:p>
        </w:tc>
      </w:tr>
      <w:tr w:rsidR="007B12F8" w:rsidRPr="007B12F8" w14:paraId="5226990F" w14:textId="77777777" w:rsidTr="007B12F8">
        <w:tc>
          <w:tcPr>
            <w:tcW w:w="1633" w:type="pct"/>
            <w:hideMark/>
          </w:tcPr>
          <w:p w14:paraId="774974B3"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rPr>
              <w:t>Risk handling/ mitigations</w:t>
            </w:r>
          </w:p>
        </w:tc>
        <w:tc>
          <w:tcPr>
            <w:tcW w:w="3367" w:type="pct"/>
            <w:hideMark/>
          </w:tcPr>
          <w:p w14:paraId="580EFDAC" w14:textId="3715B5DA"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rPr>
              <w:t xml:space="preserve">The Supplier will manage risks throughout the project in collaboration with </w:t>
            </w:r>
            <w:r w:rsidR="001F1C19">
              <w:rPr>
                <w:rFonts w:ascii="Arial" w:hAnsi="Arial" w:cs="Arial"/>
                <w:sz w:val="20"/>
                <w:szCs w:val="20"/>
              </w:rPr>
              <w:t>Netlink Star</w:t>
            </w:r>
            <w:r w:rsidRPr="007B12F8">
              <w:rPr>
                <w:rFonts w:ascii="Arial" w:hAnsi="Arial" w:cs="Arial"/>
                <w:sz w:val="20"/>
                <w:szCs w:val="20"/>
              </w:rPr>
              <w:t>, application owners, the incumbent and other suppliers.</w:t>
            </w:r>
          </w:p>
        </w:tc>
      </w:tr>
      <w:tr w:rsidR="007B12F8" w:rsidRPr="007B12F8" w14:paraId="53288315" w14:textId="77777777" w:rsidTr="007B12F8">
        <w:trPr>
          <w:trHeight w:val="288"/>
        </w:trPr>
        <w:tc>
          <w:tcPr>
            <w:tcW w:w="5000" w:type="pct"/>
            <w:gridSpan w:val="2"/>
            <w:shd w:val="clear" w:color="auto" w:fill="000000" w:themeFill="text1"/>
            <w:vAlign w:val="center"/>
            <w:hideMark/>
          </w:tcPr>
          <w:p w14:paraId="2DCAABAB" w14:textId="77777777" w:rsidR="007B12F8" w:rsidRPr="007B12F8" w:rsidRDefault="007B12F8" w:rsidP="007B12F8">
            <w:pPr>
              <w:pStyle w:val="TableHead"/>
              <w:spacing w:after="120"/>
              <w:jc w:val="left"/>
              <w:rPr>
                <w:rFonts w:ascii="Arial" w:hAnsi="Arial" w:cs="Arial"/>
                <w:sz w:val="20"/>
                <w:szCs w:val="20"/>
                <w:lang w:eastAsia="en-GB"/>
              </w:rPr>
            </w:pPr>
            <w:r w:rsidRPr="007B12F8">
              <w:rPr>
                <w:rFonts w:ascii="Arial" w:hAnsi="Arial" w:cs="Arial"/>
                <w:sz w:val="20"/>
                <w:szCs w:val="20"/>
                <w:lang w:eastAsia="en-GB"/>
              </w:rPr>
              <w:t>Phase 2: Planning and Preparation</w:t>
            </w:r>
          </w:p>
        </w:tc>
      </w:tr>
      <w:tr w:rsidR="007B12F8" w:rsidRPr="007B12F8" w14:paraId="052EED33" w14:textId="77777777" w:rsidTr="007B12F8">
        <w:tc>
          <w:tcPr>
            <w:tcW w:w="1633" w:type="pct"/>
            <w:hideMark/>
          </w:tcPr>
          <w:p w14:paraId="54398CCD"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Define Change Batch (CB) candidates, dependency mapping</w:t>
            </w:r>
          </w:p>
        </w:tc>
        <w:tc>
          <w:tcPr>
            <w:tcW w:w="3367" w:type="pct"/>
            <w:hideMark/>
          </w:tcPr>
          <w:p w14:paraId="3EDB7BF3"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The Supplier will perform a detailed analysis of interdependencies to identify whether a particular workload should be moved from one wave/sprint to another. Tightly integrated apps will be moved together. The waves and batches will be decided with application owners and support.</w:t>
            </w:r>
          </w:p>
        </w:tc>
      </w:tr>
      <w:tr w:rsidR="007B12F8" w:rsidRPr="007B12F8" w14:paraId="6334AB51" w14:textId="77777777" w:rsidTr="007B12F8">
        <w:tc>
          <w:tcPr>
            <w:tcW w:w="1633" w:type="pct"/>
            <w:shd w:val="clear" w:color="auto" w:fill="auto"/>
            <w:hideMark/>
          </w:tcPr>
          <w:p w14:paraId="744E81C9"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Physical Inventory finalised and verified</w:t>
            </w:r>
          </w:p>
        </w:tc>
        <w:tc>
          <w:tcPr>
            <w:tcW w:w="3367" w:type="pct"/>
            <w:shd w:val="clear" w:color="auto" w:fill="auto"/>
            <w:hideMark/>
          </w:tcPr>
          <w:p w14:paraId="02D5E812" w14:textId="56EE4FD9"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 xml:space="preserve">Finalising all the inventory discovered with </w:t>
            </w:r>
            <w:r w:rsidR="001F1C19">
              <w:rPr>
                <w:rFonts w:ascii="Arial" w:hAnsi="Arial" w:cs="Arial"/>
                <w:sz w:val="20"/>
                <w:szCs w:val="20"/>
                <w:lang w:eastAsia="en-GB"/>
              </w:rPr>
              <w:t>Netlink Star</w:t>
            </w:r>
            <w:r w:rsidRPr="007B12F8">
              <w:rPr>
                <w:rFonts w:ascii="Arial" w:hAnsi="Arial" w:cs="Arial"/>
                <w:sz w:val="20"/>
                <w:szCs w:val="20"/>
                <w:lang w:eastAsia="en-GB"/>
              </w:rPr>
              <w:t>, verifying and gaining acceptance.</w:t>
            </w:r>
          </w:p>
        </w:tc>
      </w:tr>
      <w:tr w:rsidR="007B12F8" w:rsidRPr="007B12F8" w14:paraId="182AF2AE" w14:textId="77777777" w:rsidTr="007B12F8">
        <w:tc>
          <w:tcPr>
            <w:tcW w:w="1633" w:type="pct"/>
            <w:shd w:val="clear" w:color="auto" w:fill="auto"/>
            <w:hideMark/>
          </w:tcPr>
          <w:p w14:paraId="769D25C8"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Resource planning, time plans</w:t>
            </w:r>
          </w:p>
        </w:tc>
        <w:tc>
          <w:tcPr>
            <w:tcW w:w="3367" w:type="pct"/>
            <w:shd w:val="clear" w:color="auto" w:fill="auto"/>
            <w:hideMark/>
          </w:tcPr>
          <w:p w14:paraId="05BF54F5"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Sprints/waves planning will be done along with allocation of resourcing and updating the schedule with resource loading.</w:t>
            </w:r>
          </w:p>
        </w:tc>
      </w:tr>
      <w:tr w:rsidR="007B12F8" w:rsidRPr="007B12F8" w14:paraId="6566875B" w14:textId="77777777" w:rsidTr="007B12F8">
        <w:tc>
          <w:tcPr>
            <w:tcW w:w="1633" w:type="pct"/>
            <w:shd w:val="clear" w:color="auto" w:fill="auto"/>
            <w:hideMark/>
          </w:tcPr>
          <w:p w14:paraId="42ACAF1D"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Service window negotiations</w:t>
            </w:r>
          </w:p>
        </w:tc>
        <w:tc>
          <w:tcPr>
            <w:tcW w:w="3367" w:type="pct"/>
            <w:shd w:val="clear" w:color="auto" w:fill="auto"/>
            <w:hideMark/>
          </w:tcPr>
          <w:p w14:paraId="75C6C452" w14:textId="0F7A2801"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 xml:space="preserve">Working with the </w:t>
            </w:r>
            <w:r w:rsidR="001F1C19">
              <w:rPr>
                <w:rFonts w:ascii="Arial" w:hAnsi="Arial" w:cs="Arial"/>
                <w:sz w:val="20"/>
                <w:szCs w:val="20"/>
                <w:lang w:eastAsia="en-GB"/>
              </w:rPr>
              <w:t>Netlink Star</w:t>
            </w:r>
            <w:r w:rsidRPr="007B12F8">
              <w:rPr>
                <w:rFonts w:ascii="Arial" w:hAnsi="Arial" w:cs="Arial"/>
                <w:sz w:val="20"/>
                <w:szCs w:val="20"/>
                <w:lang w:eastAsia="en-GB"/>
              </w:rPr>
              <w:t xml:space="preserve"> to agree windows for migration, recognising the criticality of applications and periods of reduced usage.</w:t>
            </w:r>
          </w:p>
        </w:tc>
      </w:tr>
      <w:tr w:rsidR="007B12F8" w:rsidRPr="007B12F8" w14:paraId="40394AE8" w14:textId="77777777" w:rsidTr="007B12F8">
        <w:tc>
          <w:tcPr>
            <w:tcW w:w="1633" w:type="pct"/>
            <w:shd w:val="clear" w:color="auto" w:fill="auto"/>
            <w:hideMark/>
          </w:tcPr>
          <w:p w14:paraId="29639AC8"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Detailed planning of individual CBs/cut-over</w:t>
            </w:r>
          </w:p>
        </w:tc>
        <w:tc>
          <w:tcPr>
            <w:tcW w:w="3367" w:type="pct"/>
            <w:shd w:val="clear" w:color="auto" w:fill="auto"/>
            <w:hideMark/>
          </w:tcPr>
          <w:p w14:paraId="6D35B3A2"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Detailed planning along with the key stakeholders, including Acceptance to Run (AtR) and Operational Readiness Requirement (ORR) checklist agreed.</w:t>
            </w:r>
          </w:p>
        </w:tc>
      </w:tr>
      <w:tr w:rsidR="007B12F8" w:rsidRPr="007B12F8" w14:paraId="3D91F340" w14:textId="77777777" w:rsidTr="007B12F8">
        <w:tc>
          <w:tcPr>
            <w:tcW w:w="1633" w:type="pct"/>
            <w:shd w:val="clear" w:color="auto" w:fill="auto"/>
            <w:hideMark/>
          </w:tcPr>
          <w:p w14:paraId="70FB8643"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Finalise run schedule, RFCs and work orders</w:t>
            </w:r>
          </w:p>
        </w:tc>
        <w:tc>
          <w:tcPr>
            <w:tcW w:w="3367" w:type="pct"/>
            <w:shd w:val="clear" w:color="auto" w:fill="auto"/>
            <w:hideMark/>
          </w:tcPr>
          <w:p w14:paraId="7C5AAC53" w14:textId="5C5D5E9E"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 xml:space="preserve">Finalising the schedule and required work orders (if any), Request for Change and communication to the key stakeholders across </w:t>
            </w:r>
            <w:r w:rsidR="001F1C19">
              <w:rPr>
                <w:rFonts w:ascii="Arial" w:hAnsi="Arial" w:cs="Arial"/>
                <w:sz w:val="20"/>
                <w:szCs w:val="20"/>
                <w:lang w:eastAsia="en-GB"/>
              </w:rPr>
              <w:t>Netlink Star</w:t>
            </w:r>
            <w:r w:rsidRPr="007B12F8">
              <w:rPr>
                <w:rFonts w:ascii="Arial" w:hAnsi="Arial" w:cs="Arial"/>
                <w:sz w:val="20"/>
                <w:szCs w:val="20"/>
                <w:lang w:eastAsia="en-GB"/>
              </w:rPr>
              <w:t xml:space="preserve"> and other suppliers.</w:t>
            </w:r>
          </w:p>
        </w:tc>
      </w:tr>
      <w:tr w:rsidR="007B12F8" w:rsidRPr="007B12F8" w14:paraId="3B622DEC" w14:textId="77777777" w:rsidTr="007B12F8">
        <w:tc>
          <w:tcPr>
            <w:tcW w:w="1633" w:type="pct"/>
            <w:shd w:val="clear" w:color="auto" w:fill="auto"/>
            <w:hideMark/>
          </w:tcPr>
          <w:p w14:paraId="232DA4E9"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Finalisation: run books and assessment workbooks</w:t>
            </w:r>
          </w:p>
        </w:tc>
        <w:tc>
          <w:tcPr>
            <w:tcW w:w="3367" w:type="pct"/>
            <w:shd w:val="clear" w:color="auto" w:fill="auto"/>
            <w:hideMark/>
          </w:tcPr>
          <w:p w14:paraId="291C3D23"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Finalising of run books and fail back mechanisms in case of failed migration.</w:t>
            </w:r>
          </w:p>
        </w:tc>
      </w:tr>
      <w:tr w:rsidR="007B12F8" w:rsidRPr="007B12F8" w14:paraId="123F5E40" w14:textId="77777777" w:rsidTr="007B12F8">
        <w:tc>
          <w:tcPr>
            <w:tcW w:w="1633" w:type="pct"/>
            <w:hideMark/>
          </w:tcPr>
          <w:p w14:paraId="40889824"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Planning tool set-up tuning and verification</w:t>
            </w:r>
          </w:p>
        </w:tc>
        <w:tc>
          <w:tcPr>
            <w:tcW w:w="3367" w:type="pct"/>
            <w:hideMark/>
          </w:tcPr>
          <w:p w14:paraId="53417C03" w14:textId="47B50119"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Configuring the mi</w:t>
            </w:r>
            <w:r w:rsidR="00A20CD5" w:rsidRPr="007B12F8">
              <w:rPr>
                <w:rFonts w:ascii="Arial" w:hAnsi="Arial" w:cs="Arial"/>
                <w:sz w:val="20"/>
                <w:szCs w:val="20"/>
                <w:lang w:eastAsia="en-GB"/>
              </w:rPr>
              <w:t>g</w:t>
            </w:r>
            <w:r w:rsidRPr="007B12F8">
              <w:rPr>
                <w:rFonts w:ascii="Arial" w:hAnsi="Arial" w:cs="Arial"/>
                <w:sz w:val="20"/>
                <w:szCs w:val="20"/>
                <w:lang w:eastAsia="en-GB"/>
              </w:rPr>
              <w:t>ration tooling (VMware HCX) and testing its functionality.</w:t>
            </w:r>
          </w:p>
        </w:tc>
      </w:tr>
      <w:tr w:rsidR="007B12F8" w:rsidRPr="007B12F8" w14:paraId="035273FB" w14:textId="77777777" w:rsidTr="007B12F8">
        <w:trPr>
          <w:trHeight w:val="288"/>
        </w:trPr>
        <w:tc>
          <w:tcPr>
            <w:tcW w:w="5000" w:type="pct"/>
            <w:gridSpan w:val="2"/>
            <w:shd w:val="clear" w:color="auto" w:fill="000000" w:themeFill="text1"/>
            <w:vAlign w:val="center"/>
            <w:hideMark/>
          </w:tcPr>
          <w:p w14:paraId="240F8AF4" w14:textId="77777777" w:rsidR="007B12F8" w:rsidRPr="007B12F8" w:rsidRDefault="007B12F8" w:rsidP="007B12F8">
            <w:pPr>
              <w:pStyle w:val="TableHead"/>
              <w:spacing w:after="120"/>
              <w:jc w:val="left"/>
              <w:rPr>
                <w:rFonts w:ascii="Arial" w:hAnsi="Arial" w:cs="Arial"/>
                <w:sz w:val="20"/>
                <w:szCs w:val="20"/>
              </w:rPr>
            </w:pPr>
            <w:r w:rsidRPr="007B12F8">
              <w:rPr>
                <w:rFonts w:ascii="Arial" w:hAnsi="Arial" w:cs="Arial"/>
                <w:sz w:val="20"/>
                <w:szCs w:val="20"/>
              </w:rPr>
              <w:t>Phase 3: Migration and Execution</w:t>
            </w:r>
          </w:p>
        </w:tc>
      </w:tr>
      <w:tr w:rsidR="007B12F8" w:rsidRPr="007B12F8" w14:paraId="3B70B6B1" w14:textId="77777777" w:rsidTr="007B12F8">
        <w:tc>
          <w:tcPr>
            <w:tcW w:w="1633" w:type="pct"/>
            <w:hideMark/>
          </w:tcPr>
          <w:p w14:paraId="0D3826A6"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Execution of RFCs, work orders, run book</w:t>
            </w:r>
          </w:p>
        </w:tc>
        <w:tc>
          <w:tcPr>
            <w:tcW w:w="3367" w:type="pct"/>
            <w:hideMark/>
          </w:tcPr>
          <w:p w14:paraId="3E2F6634"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Executing the migration using the approach and tasks finalised and agreed in the previous phase.</w:t>
            </w:r>
          </w:p>
        </w:tc>
      </w:tr>
      <w:tr w:rsidR="007B12F8" w:rsidRPr="007B12F8" w14:paraId="542C7A6A" w14:textId="77777777" w:rsidTr="007B12F8">
        <w:tc>
          <w:tcPr>
            <w:tcW w:w="1633" w:type="pct"/>
            <w:hideMark/>
          </w:tcPr>
          <w:p w14:paraId="6E1D7EBD"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Test and verification</w:t>
            </w:r>
          </w:p>
        </w:tc>
        <w:tc>
          <w:tcPr>
            <w:tcW w:w="3367" w:type="pct"/>
            <w:hideMark/>
          </w:tcPr>
          <w:p w14:paraId="7C93FBB6" w14:textId="0503AC58"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 xml:space="preserve">Non-functional test will be carried out by the Supplier and UAT/functional testing will be done in partnership with </w:t>
            </w:r>
            <w:r w:rsidR="001F1C19">
              <w:rPr>
                <w:rFonts w:ascii="Arial" w:hAnsi="Arial" w:cs="Arial"/>
                <w:sz w:val="20"/>
                <w:szCs w:val="20"/>
                <w:lang w:eastAsia="en-GB"/>
              </w:rPr>
              <w:t>Netlink Star</w:t>
            </w:r>
            <w:r w:rsidRPr="007B12F8">
              <w:rPr>
                <w:rFonts w:ascii="Arial" w:hAnsi="Arial" w:cs="Arial"/>
                <w:sz w:val="20"/>
                <w:szCs w:val="20"/>
                <w:lang w:eastAsia="en-GB"/>
              </w:rPr>
              <w:t xml:space="preserve"> to ensure service quality.</w:t>
            </w:r>
          </w:p>
        </w:tc>
      </w:tr>
      <w:tr w:rsidR="007B12F8" w:rsidRPr="007B12F8" w14:paraId="0FD54DE2" w14:textId="77777777" w:rsidTr="007B12F8">
        <w:tc>
          <w:tcPr>
            <w:tcW w:w="1633" w:type="pct"/>
            <w:hideMark/>
          </w:tcPr>
          <w:p w14:paraId="496113BE"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Documentation and lessons learned review</w:t>
            </w:r>
          </w:p>
        </w:tc>
        <w:tc>
          <w:tcPr>
            <w:tcW w:w="3367" w:type="pct"/>
            <w:hideMark/>
          </w:tcPr>
          <w:p w14:paraId="2C3F34B2"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Documentation of lessons learned to be applied to upcoming waves/sprint.</w:t>
            </w:r>
          </w:p>
        </w:tc>
      </w:tr>
      <w:tr w:rsidR="007B12F8" w:rsidRPr="007B12F8" w14:paraId="49006AAA" w14:textId="77777777" w:rsidTr="007B12F8">
        <w:tc>
          <w:tcPr>
            <w:tcW w:w="1633" w:type="pct"/>
            <w:hideMark/>
          </w:tcPr>
          <w:p w14:paraId="051999F1"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Hand over to IT operations</w:t>
            </w:r>
          </w:p>
        </w:tc>
        <w:tc>
          <w:tcPr>
            <w:tcW w:w="3367" w:type="pct"/>
            <w:hideMark/>
          </w:tcPr>
          <w:p w14:paraId="423366ED"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AtR process followed with early life support until the systems are stabilised.</w:t>
            </w:r>
          </w:p>
        </w:tc>
      </w:tr>
      <w:tr w:rsidR="007B12F8" w:rsidRPr="007B12F8" w14:paraId="6A6BB05C" w14:textId="77777777" w:rsidTr="007B12F8">
        <w:tc>
          <w:tcPr>
            <w:tcW w:w="1633" w:type="pct"/>
            <w:hideMark/>
          </w:tcPr>
          <w:p w14:paraId="3008CA0F"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t>Decommission activities, servers and infrastructure</w:t>
            </w:r>
          </w:p>
        </w:tc>
        <w:tc>
          <w:tcPr>
            <w:tcW w:w="3367" w:type="pct"/>
            <w:hideMark/>
          </w:tcPr>
          <w:p w14:paraId="5C3C742B" w14:textId="77777777" w:rsidR="007B12F8" w:rsidRPr="007B12F8" w:rsidRDefault="007B12F8" w:rsidP="007B12F8">
            <w:pPr>
              <w:pStyle w:val="TableBody"/>
              <w:spacing w:after="120"/>
              <w:rPr>
                <w:rFonts w:ascii="Arial" w:hAnsi="Arial" w:cs="Arial"/>
                <w:sz w:val="20"/>
                <w:szCs w:val="20"/>
                <w:lang w:eastAsia="en-GB"/>
              </w:rPr>
            </w:pPr>
            <w:r w:rsidRPr="007B12F8">
              <w:rPr>
                <w:rFonts w:ascii="Arial" w:hAnsi="Arial" w:cs="Arial"/>
                <w:sz w:val="20"/>
                <w:szCs w:val="20"/>
                <w:lang w:eastAsia="en-GB"/>
              </w:rPr>
              <w:t>De-provisioning of the logical assets (VM/data/app) will be carried out in sprints, as and when migration is successful.</w:t>
            </w:r>
          </w:p>
          <w:p w14:paraId="164183D8" w14:textId="77777777" w:rsidR="007B12F8" w:rsidRPr="007B12F8" w:rsidRDefault="007B12F8" w:rsidP="007B12F8">
            <w:pPr>
              <w:pStyle w:val="TableBody"/>
              <w:spacing w:after="120"/>
              <w:rPr>
                <w:rFonts w:ascii="Arial" w:hAnsi="Arial" w:cs="Arial"/>
                <w:sz w:val="20"/>
                <w:szCs w:val="20"/>
              </w:rPr>
            </w:pPr>
            <w:r w:rsidRPr="007B12F8">
              <w:rPr>
                <w:rFonts w:ascii="Arial" w:hAnsi="Arial" w:cs="Arial"/>
                <w:sz w:val="20"/>
                <w:szCs w:val="20"/>
                <w:lang w:eastAsia="en-GB"/>
              </w:rPr>
              <w:lastRenderedPageBreak/>
              <w:t>Physical decommissioning of the assets and disposal will be carried out by our partner based on WEEE regulations and disposed as NR/L3/INF/02231 when all workloads have migrated.</w:t>
            </w:r>
          </w:p>
        </w:tc>
      </w:tr>
      <w:tr w:rsidR="007B12F8" w:rsidRPr="007B12F8" w14:paraId="4BDFD00F" w14:textId="77777777" w:rsidTr="007B12F8">
        <w:trPr>
          <w:trHeight w:val="288"/>
        </w:trPr>
        <w:tc>
          <w:tcPr>
            <w:tcW w:w="5000" w:type="pct"/>
            <w:gridSpan w:val="2"/>
            <w:shd w:val="clear" w:color="auto" w:fill="000000" w:themeFill="text1"/>
            <w:vAlign w:val="center"/>
            <w:hideMark/>
          </w:tcPr>
          <w:p w14:paraId="4059B0C8" w14:textId="77777777" w:rsidR="007B12F8" w:rsidRPr="007B12F8" w:rsidRDefault="007B12F8" w:rsidP="007B12F8">
            <w:pPr>
              <w:pStyle w:val="TableHead"/>
              <w:spacing w:after="120"/>
              <w:jc w:val="left"/>
              <w:rPr>
                <w:rFonts w:ascii="Arial" w:hAnsi="Arial" w:cs="Arial"/>
                <w:sz w:val="20"/>
                <w:szCs w:val="20"/>
                <w:lang w:eastAsia="en-GB"/>
              </w:rPr>
            </w:pPr>
            <w:r w:rsidRPr="007B12F8">
              <w:rPr>
                <w:rFonts w:ascii="Arial" w:hAnsi="Arial" w:cs="Arial"/>
                <w:sz w:val="20"/>
                <w:szCs w:val="20"/>
                <w:lang w:eastAsia="en-GB"/>
              </w:rPr>
              <w:lastRenderedPageBreak/>
              <w:t>Phase 4: Acceptance to Run</w:t>
            </w:r>
          </w:p>
        </w:tc>
      </w:tr>
      <w:tr w:rsidR="007B12F8" w:rsidRPr="007B12F8" w14:paraId="405B772C" w14:textId="77777777" w:rsidTr="007B12F8">
        <w:tc>
          <w:tcPr>
            <w:tcW w:w="1633" w:type="pct"/>
            <w:hideMark/>
          </w:tcPr>
          <w:p w14:paraId="643D9C66" w14:textId="77777777" w:rsidR="007B12F8" w:rsidRPr="007B12F8" w:rsidRDefault="007B12F8" w:rsidP="007B12F8">
            <w:pPr>
              <w:pStyle w:val="TableBody"/>
              <w:spacing w:after="120"/>
              <w:rPr>
                <w:rFonts w:ascii="Arial" w:hAnsi="Arial" w:cs="Arial"/>
                <w:sz w:val="20"/>
                <w:szCs w:val="20"/>
                <w:lang w:eastAsia="en-GB"/>
              </w:rPr>
            </w:pPr>
            <w:r w:rsidRPr="007B12F8">
              <w:rPr>
                <w:rFonts w:ascii="Arial" w:hAnsi="Arial" w:cs="Arial"/>
                <w:sz w:val="20"/>
                <w:szCs w:val="20"/>
                <w:lang w:eastAsia="en-GB"/>
              </w:rPr>
              <w:t>Service introduction</w:t>
            </w:r>
          </w:p>
        </w:tc>
        <w:tc>
          <w:tcPr>
            <w:tcW w:w="3367" w:type="pct"/>
            <w:hideMark/>
          </w:tcPr>
          <w:p w14:paraId="2AA5E3CD" w14:textId="77777777" w:rsidR="007B12F8" w:rsidRPr="007B12F8" w:rsidRDefault="007B12F8" w:rsidP="007B12F8">
            <w:pPr>
              <w:pStyle w:val="TableBody"/>
              <w:spacing w:after="120"/>
              <w:rPr>
                <w:rFonts w:ascii="Arial" w:hAnsi="Arial" w:cs="Arial"/>
                <w:sz w:val="20"/>
                <w:szCs w:val="20"/>
                <w:lang w:eastAsia="en-GB"/>
              </w:rPr>
            </w:pPr>
            <w:r w:rsidRPr="007B12F8">
              <w:rPr>
                <w:rFonts w:ascii="Arial" w:hAnsi="Arial" w:cs="Arial"/>
                <w:sz w:val="20"/>
                <w:szCs w:val="20"/>
                <w:lang w:eastAsia="en-GB"/>
              </w:rPr>
              <w:t>Once the migrations are successfully completed, all new infrastructure and application services are transferred to the Supplier’s managed services support via the AtR (Acceptance to Run) process.</w:t>
            </w:r>
          </w:p>
          <w:p w14:paraId="3920F4C8" w14:textId="77777777" w:rsidR="007B12F8" w:rsidRPr="007B12F8" w:rsidRDefault="007B12F8" w:rsidP="007B12F8">
            <w:pPr>
              <w:pStyle w:val="TableBody"/>
              <w:spacing w:after="120"/>
              <w:rPr>
                <w:rFonts w:ascii="Arial" w:hAnsi="Arial" w:cs="Arial"/>
                <w:sz w:val="20"/>
                <w:szCs w:val="20"/>
                <w:lang w:eastAsia="en-GB"/>
              </w:rPr>
            </w:pPr>
            <w:r w:rsidRPr="007B12F8">
              <w:rPr>
                <w:rFonts w:ascii="Arial" w:hAnsi="Arial" w:cs="Arial"/>
                <w:sz w:val="20"/>
                <w:szCs w:val="20"/>
                <w:lang w:eastAsia="en-GB"/>
              </w:rPr>
              <w:t xml:space="preserve">This process will be followed as a framework, ensuring that new or transitioned services are introduced via this standard process. </w:t>
            </w:r>
          </w:p>
        </w:tc>
      </w:tr>
      <w:tr w:rsidR="007B12F8" w:rsidRPr="007B12F8" w14:paraId="48E595E8" w14:textId="77777777" w:rsidTr="007B12F8">
        <w:tc>
          <w:tcPr>
            <w:tcW w:w="1633" w:type="pct"/>
            <w:hideMark/>
          </w:tcPr>
          <w:p w14:paraId="0FF796A6" w14:textId="77777777" w:rsidR="007B12F8" w:rsidRPr="007B12F8" w:rsidRDefault="007B12F8" w:rsidP="007B12F8">
            <w:pPr>
              <w:pStyle w:val="TableBody"/>
              <w:spacing w:after="120"/>
              <w:rPr>
                <w:rFonts w:ascii="Arial" w:hAnsi="Arial" w:cs="Arial"/>
                <w:sz w:val="20"/>
                <w:szCs w:val="20"/>
                <w:lang w:eastAsia="en-GB"/>
              </w:rPr>
            </w:pPr>
            <w:r w:rsidRPr="007B12F8">
              <w:rPr>
                <w:rFonts w:ascii="Arial" w:hAnsi="Arial" w:cs="Arial"/>
                <w:sz w:val="20"/>
                <w:szCs w:val="20"/>
                <w:lang w:eastAsia="en-GB"/>
              </w:rPr>
              <w:t>Operational acceptance into Service</w:t>
            </w:r>
          </w:p>
        </w:tc>
        <w:tc>
          <w:tcPr>
            <w:tcW w:w="3367" w:type="pct"/>
            <w:hideMark/>
          </w:tcPr>
          <w:p w14:paraId="285B129B" w14:textId="78F75061" w:rsidR="007B12F8" w:rsidRPr="007B12F8" w:rsidRDefault="007B12F8" w:rsidP="007B12F8">
            <w:pPr>
              <w:pStyle w:val="TableBody"/>
              <w:spacing w:after="120"/>
              <w:rPr>
                <w:rFonts w:ascii="Arial" w:hAnsi="Arial" w:cs="Arial"/>
                <w:sz w:val="20"/>
                <w:szCs w:val="20"/>
                <w:lang w:eastAsia="en-GB"/>
              </w:rPr>
            </w:pPr>
            <w:r w:rsidRPr="007B12F8">
              <w:rPr>
                <w:rFonts w:ascii="Arial" w:hAnsi="Arial" w:cs="Arial"/>
                <w:sz w:val="20"/>
                <w:szCs w:val="20"/>
                <w:lang w:eastAsia="en-GB"/>
              </w:rPr>
              <w:t xml:space="preserve">The Operational Readiness Review (ORR) checklist is a critical deliverable that defines </w:t>
            </w:r>
            <w:r w:rsidR="001F1C19">
              <w:rPr>
                <w:rFonts w:ascii="Arial" w:hAnsi="Arial" w:cs="Arial"/>
                <w:sz w:val="20"/>
                <w:szCs w:val="20"/>
                <w:lang w:eastAsia="en-GB"/>
              </w:rPr>
              <w:t>Netlink Star</w:t>
            </w:r>
            <w:r w:rsidRPr="007B12F8">
              <w:rPr>
                <w:rFonts w:ascii="Arial" w:hAnsi="Arial" w:cs="Arial"/>
                <w:sz w:val="20"/>
                <w:szCs w:val="20"/>
                <w:lang w:eastAsia="en-GB"/>
              </w:rPr>
              <w:t>’s view of what is required before services will be transferred from the incumbent vendor(s) to the Supplier.</w:t>
            </w:r>
          </w:p>
        </w:tc>
      </w:tr>
      <w:tr w:rsidR="007B12F8" w:rsidRPr="007B12F8" w14:paraId="5CBE8C09" w14:textId="77777777" w:rsidTr="007B12F8">
        <w:tc>
          <w:tcPr>
            <w:tcW w:w="1633" w:type="pct"/>
            <w:hideMark/>
          </w:tcPr>
          <w:p w14:paraId="2AB4B7B4" w14:textId="77777777" w:rsidR="007B12F8" w:rsidRPr="007B12F8" w:rsidRDefault="007B12F8" w:rsidP="007B12F8">
            <w:pPr>
              <w:pStyle w:val="TableBody"/>
              <w:spacing w:after="120"/>
              <w:rPr>
                <w:rFonts w:ascii="Arial" w:hAnsi="Arial" w:cs="Arial"/>
                <w:sz w:val="20"/>
                <w:szCs w:val="20"/>
                <w:lang w:eastAsia="en-GB"/>
              </w:rPr>
            </w:pPr>
            <w:r w:rsidRPr="007B12F8">
              <w:rPr>
                <w:rFonts w:ascii="Arial" w:hAnsi="Arial" w:cs="Arial"/>
                <w:sz w:val="20"/>
                <w:szCs w:val="20"/>
                <w:lang w:eastAsia="en-GB"/>
              </w:rPr>
              <w:t>Early life support</w:t>
            </w:r>
          </w:p>
        </w:tc>
        <w:tc>
          <w:tcPr>
            <w:tcW w:w="3367" w:type="pct"/>
            <w:hideMark/>
          </w:tcPr>
          <w:p w14:paraId="71F846BC" w14:textId="77777777" w:rsidR="007B12F8" w:rsidRPr="007B12F8" w:rsidRDefault="007B12F8" w:rsidP="007B12F8">
            <w:pPr>
              <w:pStyle w:val="TableBody"/>
              <w:spacing w:after="120"/>
              <w:rPr>
                <w:rFonts w:ascii="Arial" w:hAnsi="Arial" w:cs="Arial"/>
                <w:sz w:val="20"/>
                <w:szCs w:val="20"/>
                <w:lang w:eastAsia="en-GB"/>
              </w:rPr>
            </w:pPr>
            <w:r w:rsidRPr="007B12F8">
              <w:rPr>
                <w:rFonts w:ascii="Arial" w:hAnsi="Arial" w:cs="Arial"/>
                <w:sz w:val="20"/>
                <w:szCs w:val="20"/>
                <w:lang w:eastAsia="en-GB"/>
              </w:rPr>
              <w:t>Hypercare support during this period will provide early life support for migrated workloads.</w:t>
            </w:r>
          </w:p>
        </w:tc>
      </w:tr>
      <w:tr w:rsidR="007B12F8" w:rsidRPr="007B12F8" w14:paraId="461E9CBF" w14:textId="77777777" w:rsidTr="007B12F8">
        <w:tc>
          <w:tcPr>
            <w:tcW w:w="1633" w:type="pct"/>
            <w:hideMark/>
          </w:tcPr>
          <w:p w14:paraId="150F2B49" w14:textId="77777777" w:rsidR="007B12F8" w:rsidRPr="007B12F8" w:rsidRDefault="007B12F8" w:rsidP="007B12F8">
            <w:pPr>
              <w:pStyle w:val="TableBody"/>
              <w:spacing w:after="120"/>
              <w:rPr>
                <w:rFonts w:ascii="Arial" w:hAnsi="Arial" w:cs="Arial"/>
                <w:sz w:val="20"/>
                <w:szCs w:val="20"/>
                <w:lang w:eastAsia="en-GB"/>
              </w:rPr>
            </w:pPr>
            <w:r w:rsidRPr="007B12F8">
              <w:rPr>
                <w:rFonts w:ascii="Arial" w:hAnsi="Arial" w:cs="Arial"/>
                <w:sz w:val="20"/>
                <w:szCs w:val="20"/>
                <w:lang w:eastAsia="en-GB"/>
              </w:rPr>
              <w:t>Knowledge articles</w:t>
            </w:r>
          </w:p>
        </w:tc>
        <w:tc>
          <w:tcPr>
            <w:tcW w:w="3367" w:type="pct"/>
            <w:hideMark/>
          </w:tcPr>
          <w:p w14:paraId="01FC4639" w14:textId="77777777" w:rsidR="007B12F8" w:rsidRPr="007B12F8" w:rsidRDefault="007B12F8" w:rsidP="007B12F8">
            <w:pPr>
              <w:pStyle w:val="TableBody"/>
              <w:spacing w:after="120"/>
              <w:rPr>
                <w:rFonts w:ascii="Arial" w:hAnsi="Arial" w:cs="Arial"/>
                <w:sz w:val="20"/>
                <w:szCs w:val="20"/>
                <w:lang w:eastAsia="en-GB"/>
              </w:rPr>
            </w:pPr>
            <w:r w:rsidRPr="007B12F8">
              <w:rPr>
                <w:rFonts w:ascii="Arial" w:hAnsi="Arial" w:cs="Arial"/>
                <w:sz w:val="20"/>
                <w:szCs w:val="20"/>
                <w:lang w:eastAsia="en-GB"/>
              </w:rPr>
              <w:t>Learnings, methodology and estate configuration information will be documented in the CMDB and KM portal for future access/reuse.</w:t>
            </w:r>
          </w:p>
        </w:tc>
      </w:tr>
    </w:tbl>
    <w:p w14:paraId="1F703364" w14:textId="77777777" w:rsidR="007B12F8" w:rsidRPr="00C959F4" w:rsidRDefault="007B12F8" w:rsidP="007B12F8">
      <w:pPr>
        <w:pStyle w:val="Heading2"/>
        <w:keepNext/>
        <w:spacing w:after="120"/>
        <w:rPr>
          <w:b/>
          <w:bCs w:val="0"/>
        </w:rPr>
      </w:pPr>
      <w:bookmarkStart w:id="2101" w:name="_Toc83904716"/>
      <w:r w:rsidRPr="00C959F4">
        <w:rPr>
          <w:b/>
        </w:rPr>
        <w:t>Detailed Design Quality</w:t>
      </w:r>
      <w:bookmarkEnd w:id="2101"/>
    </w:p>
    <w:p w14:paraId="2E70524E" w14:textId="42D3A415" w:rsidR="007B12F8" w:rsidRPr="00C959F4" w:rsidRDefault="007B12F8" w:rsidP="00346A37">
      <w:pPr>
        <w:pStyle w:val="Heading3"/>
      </w:pPr>
      <w:r w:rsidRPr="00C959F4">
        <w:t xml:space="preserve">The Supplier will deliver this migration using its templates, best </w:t>
      </w:r>
      <w:proofErr w:type="gramStart"/>
      <w:r w:rsidRPr="00C959F4">
        <w:t>practices</w:t>
      </w:r>
      <w:proofErr w:type="gramEnd"/>
      <w:r w:rsidRPr="00C959F4">
        <w:t xml:space="preserve"> and prior learnings to create the design artefacts that will be used during the engagement. The Supplier will adhere to </w:t>
      </w:r>
      <w:proofErr w:type="spellStart"/>
      <w:r w:rsidR="001F1C19">
        <w:t>Netlink</w:t>
      </w:r>
      <w:proofErr w:type="spellEnd"/>
      <w:r w:rsidR="001F1C19">
        <w:t xml:space="preserve"> Star</w:t>
      </w:r>
      <w:r w:rsidRPr="00C959F4">
        <w:t>’s architecture governance process and in addition</w:t>
      </w:r>
      <w:r>
        <w:t xml:space="preserve"> will</w:t>
      </w:r>
      <w:r w:rsidRPr="00C959F4">
        <w:t>:</w:t>
      </w:r>
    </w:p>
    <w:p w14:paraId="26123F0C" w14:textId="4C4A836F"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work with the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 xml:space="preserve"> application owners, subject matter experts and architects to enhance the standard templated deliverables to ensure the required detail is </w:t>
      </w:r>
      <w:proofErr w:type="gramStart"/>
      <w:r w:rsidRPr="00C959F4">
        <w:rPr>
          <w:rFonts w:cs="Arial"/>
          <w:szCs w:val="20"/>
        </w:rPr>
        <w:t>captured;</w:t>
      </w:r>
      <w:proofErr w:type="gramEnd"/>
    </w:p>
    <w:p w14:paraId="2509787E"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run design workshops to identify standard elements that can be repeated across </w:t>
      </w:r>
      <w:proofErr w:type="gramStart"/>
      <w:r w:rsidRPr="00C959F4">
        <w:rPr>
          <w:rFonts w:cs="Arial"/>
          <w:szCs w:val="20"/>
        </w:rPr>
        <w:t>designs;</w:t>
      </w:r>
      <w:proofErr w:type="gramEnd"/>
    </w:p>
    <w:p w14:paraId="77603809"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have its designs peer reviewed by the on-account Supplier architect; and</w:t>
      </w:r>
    </w:p>
    <w:p w14:paraId="4152AF4D"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conduct a quality review of designs prior to release.</w:t>
      </w:r>
    </w:p>
    <w:p w14:paraId="1C1BE488" w14:textId="77777777" w:rsidR="007B12F8" w:rsidRPr="00C959F4" w:rsidRDefault="007B12F8" w:rsidP="007B12F8">
      <w:pPr>
        <w:pStyle w:val="Heading2"/>
        <w:keepNext/>
        <w:spacing w:after="120"/>
        <w:rPr>
          <w:b/>
          <w:bCs w:val="0"/>
        </w:rPr>
      </w:pPr>
      <w:bookmarkStart w:id="2102" w:name="_Toc83904717"/>
      <w:r w:rsidRPr="00C959F4">
        <w:rPr>
          <w:b/>
        </w:rPr>
        <w:t>High-Level Migration Plan</w:t>
      </w:r>
      <w:bookmarkEnd w:id="2102"/>
    </w:p>
    <w:p w14:paraId="751AFAC9" w14:textId="7AED697D" w:rsidR="007B12F8" w:rsidRPr="00C959F4" w:rsidRDefault="007B12F8" w:rsidP="00346A37">
      <w:pPr>
        <w:pStyle w:val="Heading3"/>
      </w:pPr>
      <w:r w:rsidRPr="00C959F4">
        <w:t xml:space="preserve">The Supplier will migrate applications in alignment with </w:t>
      </w:r>
      <w:proofErr w:type="spellStart"/>
      <w:r w:rsidR="001F1C19">
        <w:t>Netlink</w:t>
      </w:r>
      <w:proofErr w:type="spellEnd"/>
      <w:r w:rsidR="001F1C19">
        <w:t xml:space="preserve"> Star</w:t>
      </w:r>
      <w:r w:rsidRPr="00C959F4">
        <w:t>’s phased approach as follows:</w:t>
      </w:r>
    </w:p>
    <w:p w14:paraId="2713F8DE" w14:textId="77777777" w:rsidR="007B12F8" w:rsidRPr="00C959F4" w:rsidRDefault="007B12F8" w:rsidP="006248E4">
      <w:pPr>
        <w:pStyle w:val="Heading4"/>
        <w:tabs>
          <w:tab w:val="clear" w:pos="1702"/>
        </w:tabs>
        <w:spacing w:after="120"/>
        <w:ind w:left="2410"/>
        <w:rPr>
          <w:rFonts w:cs="Arial"/>
          <w:szCs w:val="20"/>
        </w:rPr>
      </w:pPr>
      <w:r w:rsidRPr="00C959F4">
        <w:rPr>
          <w:rFonts w:cs="Arial"/>
          <w:b/>
          <w:szCs w:val="20"/>
        </w:rPr>
        <w:t>Discovery (G4):</w:t>
      </w:r>
      <w:r w:rsidRPr="00C959F4">
        <w:rPr>
          <w:rFonts w:cs="Arial"/>
          <w:szCs w:val="20"/>
        </w:rPr>
        <w:t xml:space="preserve"> Key activities performed </w:t>
      </w:r>
      <w:proofErr w:type="gramStart"/>
      <w:r w:rsidRPr="00C959F4">
        <w:rPr>
          <w:rFonts w:cs="Arial"/>
          <w:szCs w:val="20"/>
        </w:rPr>
        <w:t>are:</w:t>
      </w:r>
      <w:proofErr w:type="gramEnd"/>
      <w:r w:rsidRPr="00C959F4">
        <w:rPr>
          <w:rFonts w:cs="Arial"/>
          <w:szCs w:val="20"/>
        </w:rPr>
        <w:t xml:space="preserve"> Application stacking, dependency mapping, manual and </w:t>
      </w:r>
      <w:proofErr w:type="spellStart"/>
      <w:r w:rsidRPr="00C959F4">
        <w:rPr>
          <w:rFonts w:cs="Arial"/>
          <w:szCs w:val="20"/>
        </w:rPr>
        <w:t>Cloudamize</w:t>
      </w:r>
      <w:proofErr w:type="spellEnd"/>
      <w:r w:rsidRPr="00C959F4">
        <w:rPr>
          <w:rFonts w:cs="Arial"/>
          <w:szCs w:val="20"/>
        </w:rPr>
        <w:t>/</w:t>
      </w:r>
      <w:proofErr w:type="spellStart"/>
      <w:r w:rsidRPr="00C959F4">
        <w:rPr>
          <w:rFonts w:cs="Arial"/>
          <w:szCs w:val="20"/>
        </w:rPr>
        <w:t>eAPM</w:t>
      </w:r>
      <w:proofErr w:type="spellEnd"/>
      <w:r w:rsidRPr="00C959F4">
        <w:rPr>
          <w:rFonts w:cs="Arial"/>
          <w:szCs w:val="20"/>
        </w:rPr>
        <w:t xml:space="preserve"> discovery, completing data capture questionnaires, new environment testing, and assessment for DC Hosting and DC LAN, interviews with application owners, and defining the wave groups based on sprints.</w:t>
      </w:r>
    </w:p>
    <w:p w14:paraId="443F1C43" w14:textId="77777777" w:rsidR="007B12F8" w:rsidRPr="00C959F4" w:rsidRDefault="007B12F8" w:rsidP="006248E4">
      <w:pPr>
        <w:pStyle w:val="Heading4"/>
        <w:tabs>
          <w:tab w:val="clear" w:pos="1702"/>
        </w:tabs>
        <w:spacing w:after="120"/>
        <w:ind w:left="2410"/>
        <w:rPr>
          <w:rFonts w:cs="Arial"/>
          <w:szCs w:val="20"/>
        </w:rPr>
      </w:pPr>
      <w:r w:rsidRPr="00C959F4">
        <w:rPr>
          <w:rFonts w:cs="Arial"/>
          <w:b/>
          <w:szCs w:val="20"/>
        </w:rPr>
        <w:t>Design (G5):</w:t>
      </w:r>
      <w:r w:rsidRPr="00C959F4">
        <w:rPr>
          <w:rFonts w:cs="Arial"/>
          <w:szCs w:val="20"/>
        </w:rPr>
        <w:t xml:space="preserve"> Key activities performed are: Defining the Migration approach / method / tools, creating the landing zone and connectivity, Migration </w:t>
      </w:r>
      <w:proofErr w:type="gramStart"/>
      <w:r w:rsidRPr="00C959F4">
        <w:rPr>
          <w:rFonts w:cs="Arial"/>
          <w:szCs w:val="20"/>
        </w:rPr>
        <w:t>move</w:t>
      </w:r>
      <w:proofErr w:type="gramEnd"/>
      <w:r w:rsidRPr="00C959F4">
        <w:rPr>
          <w:rFonts w:cs="Arial"/>
          <w:szCs w:val="20"/>
        </w:rPr>
        <w:t xml:space="preserve"> group planning, developing the communication plan, resource planning and test strategy / planning.</w:t>
      </w:r>
    </w:p>
    <w:p w14:paraId="442C1859" w14:textId="77777777" w:rsidR="007B12F8" w:rsidRPr="00C959F4" w:rsidRDefault="007B12F8" w:rsidP="006248E4">
      <w:pPr>
        <w:pStyle w:val="Heading4"/>
        <w:tabs>
          <w:tab w:val="clear" w:pos="1702"/>
        </w:tabs>
        <w:spacing w:after="120"/>
        <w:ind w:left="2410"/>
        <w:rPr>
          <w:rFonts w:cs="Arial"/>
          <w:szCs w:val="20"/>
        </w:rPr>
      </w:pPr>
      <w:r w:rsidRPr="00C959F4">
        <w:rPr>
          <w:rFonts w:cs="Arial"/>
          <w:b/>
          <w:szCs w:val="20"/>
        </w:rPr>
        <w:t>Migration (G6):</w:t>
      </w:r>
      <w:r w:rsidRPr="00C959F4">
        <w:rPr>
          <w:rFonts w:cs="Arial"/>
          <w:szCs w:val="20"/>
        </w:rPr>
        <w:t xml:space="preserve"> Key activities performed </w:t>
      </w:r>
      <w:proofErr w:type="gramStart"/>
      <w:r w:rsidRPr="00C959F4">
        <w:rPr>
          <w:rFonts w:cs="Arial"/>
          <w:szCs w:val="20"/>
        </w:rPr>
        <w:t>are:</w:t>
      </w:r>
      <w:proofErr w:type="gramEnd"/>
      <w:r w:rsidRPr="00C959F4">
        <w:rPr>
          <w:rFonts w:cs="Arial"/>
          <w:szCs w:val="20"/>
        </w:rPr>
        <w:t xml:space="preserve"> Proof of concept / pilot, sprints migration and testing/UAT.</w:t>
      </w:r>
    </w:p>
    <w:p w14:paraId="6AAED849" w14:textId="77777777" w:rsidR="007B12F8" w:rsidRPr="00C959F4" w:rsidRDefault="007B12F8" w:rsidP="006248E4">
      <w:pPr>
        <w:pStyle w:val="Heading4"/>
        <w:tabs>
          <w:tab w:val="clear" w:pos="1702"/>
        </w:tabs>
        <w:spacing w:after="120"/>
        <w:ind w:left="2410"/>
        <w:rPr>
          <w:rFonts w:cs="Arial"/>
          <w:szCs w:val="20"/>
        </w:rPr>
      </w:pPr>
      <w:r w:rsidRPr="00C959F4">
        <w:rPr>
          <w:rFonts w:cs="Arial"/>
          <w:b/>
          <w:szCs w:val="20"/>
        </w:rPr>
        <w:t>Close (G7):</w:t>
      </w:r>
      <w:r w:rsidRPr="00C959F4">
        <w:rPr>
          <w:rFonts w:cs="Arial"/>
          <w:szCs w:val="20"/>
        </w:rPr>
        <w:t xml:space="preserve"> Key activities performed are: Deprovisioning of the logical assets (VM / data / app) and physical decommissioning and disposal.</w:t>
      </w:r>
    </w:p>
    <w:p w14:paraId="50AC4D13" w14:textId="77777777" w:rsidR="007B12F8" w:rsidRPr="00C959F4" w:rsidRDefault="007B12F8" w:rsidP="007B12F8">
      <w:pPr>
        <w:pStyle w:val="Paragraphtext"/>
        <w:keepNext/>
        <w:spacing w:before="0" w:after="120"/>
        <w:rPr>
          <w:rFonts w:cs="Arial"/>
          <w:sz w:val="20"/>
          <w:szCs w:val="20"/>
        </w:rPr>
      </w:pPr>
      <w:r w:rsidRPr="00C959F4">
        <w:rPr>
          <w:noProof/>
          <w:szCs w:val="20"/>
          <w:lang w:eastAsia="en-GB"/>
        </w:rPr>
        <w:lastRenderedPageBreak/>
        <w:drawing>
          <wp:inline distT="0" distB="0" distL="0" distR="0" wp14:anchorId="6C95C2F5" wp14:editId="4865254B">
            <wp:extent cx="6647815" cy="2813011"/>
            <wp:effectExtent l="0" t="0" r="63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647815" cy="2813011"/>
                    </a:xfrm>
                    <a:prstGeom prst="rect">
                      <a:avLst/>
                    </a:prstGeom>
                  </pic:spPr>
                </pic:pic>
              </a:graphicData>
            </a:graphic>
          </wp:inline>
        </w:drawing>
      </w:r>
    </w:p>
    <w:p w14:paraId="7D15A299" w14:textId="44A568AE" w:rsidR="007B12F8" w:rsidRPr="00C959F4" w:rsidRDefault="007B12F8" w:rsidP="00346A37">
      <w:pPr>
        <w:pStyle w:val="Heading3"/>
      </w:pPr>
      <w:r w:rsidRPr="00C959F4">
        <w:t xml:space="preserve">The </w:t>
      </w:r>
      <w:r w:rsidR="00BE4806" w:rsidRPr="00C959F4">
        <w:t xml:space="preserve">plan </w:t>
      </w:r>
      <w:r w:rsidRPr="00C959F4">
        <w:t xml:space="preserve">allows the Supplier to understand the interdependencies of the applications in their existing hosting environment and to validate and verify the design of the new DC estate plus five months of migration time.  The </w:t>
      </w:r>
      <w:r w:rsidR="00BE4806" w:rsidRPr="00C959F4">
        <w:t xml:space="preserve">plan </w:t>
      </w:r>
      <w:r w:rsidRPr="00C959F4">
        <w:t>also includes a Proof of Concept or Pilot (sprint 0) using non-production, non-critical workloads.</w:t>
      </w:r>
    </w:p>
    <w:p w14:paraId="420BB979" w14:textId="77777777" w:rsidR="007B12F8" w:rsidRPr="00C959F4" w:rsidRDefault="007B12F8" w:rsidP="007B12F8">
      <w:pPr>
        <w:pStyle w:val="Heading2"/>
        <w:keepNext/>
        <w:spacing w:after="120"/>
        <w:rPr>
          <w:b/>
          <w:bCs w:val="0"/>
        </w:rPr>
      </w:pPr>
      <w:bookmarkStart w:id="2103" w:name="_Toc83904718"/>
      <w:r w:rsidRPr="00C959F4">
        <w:rPr>
          <w:b/>
        </w:rPr>
        <w:t>Migration Tooling</w:t>
      </w:r>
      <w:bookmarkEnd w:id="2103"/>
    </w:p>
    <w:p w14:paraId="56D73464" w14:textId="4A022EE3" w:rsidR="007B12F8" w:rsidRPr="00C959F4" w:rsidRDefault="007B12F8" w:rsidP="00346A37">
      <w:pPr>
        <w:pStyle w:val="Heading3"/>
      </w:pPr>
      <w:r w:rsidRPr="00C959F4">
        <w:t>The S</w:t>
      </w:r>
      <w:r w:rsidR="00A20CD5" w:rsidRPr="00C959F4">
        <w:t>u</w:t>
      </w:r>
      <w:r w:rsidRPr="00C959F4">
        <w:t>pplier will use VMware HCX™ to migrate workloads from existing to targ</w:t>
      </w:r>
      <w:r w:rsidR="00A20CD5" w:rsidRPr="00C959F4">
        <w:t>e</w:t>
      </w:r>
      <w:r w:rsidRPr="00C959F4">
        <w:t>t data centres. VMware HCX™ is an application mobility platform designed for simplifying application migration, workload rebalancing and business continuity across data centres and clouds.</w:t>
      </w:r>
    </w:p>
    <w:p w14:paraId="1901CD94" w14:textId="77777777" w:rsidR="007B12F8" w:rsidRPr="00C959F4" w:rsidRDefault="007B12F8" w:rsidP="007B12F8">
      <w:pPr>
        <w:pStyle w:val="Heading2"/>
        <w:keepNext/>
        <w:spacing w:after="120"/>
        <w:rPr>
          <w:b/>
          <w:bCs w:val="0"/>
        </w:rPr>
      </w:pPr>
      <w:bookmarkStart w:id="2104" w:name="_Toc83904719"/>
      <w:r w:rsidRPr="00C959F4">
        <w:rPr>
          <w:b/>
        </w:rPr>
        <w:t>Migration Artefacts and Deliverables</w:t>
      </w:r>
      <w:bookmarkEnd w:id="2104"/>
    </w:p>
    <w:p w14:paraId="753853CB" w14:textId="00F4D18E" w:rsidR="007B12F8" w:rsidRPr="00C959F4" w:rsidRDefault="007B12F8" w:rsidP="00346A37">
      <w:pPr>
        <w:pStyle w:val="Heading3"/>
      </w:pPr>
      <w:r w:rsidRPr="00C959F4">
        <w:t xml:space="preserve">The Supplier and </w:t>
      </w:r>
      <w:proofErr w:type="spellStart"/>
      <w:r w:rsidR="001F1C19">
        <w:t>Netlink</w:t>
      </w:r>
      <w:proofErr w:type="spellEnd"/>
      <w:r w:rsidR="001F1C19">
        <w:t xml:space="preserve"> Star</w:t>
      </w:r>
      <w:r w:rsidRPr="00C959F4">
        <w:t xml:space="preserve"> will define the project artefacts and deliverables during Migration planning.  </w:t>
      </w:r>
    </w:p>
    <w:p w14:paraId="0CF39952" w14:textId="5FEDF3D5" w:rsidR="007B12F8" w:rsidRPr="00C959F4" w:rsidRDefault="007B12F8" w:rsidP="007B12F8">
      <w:pPr>
        <w:pStyle w:val="Heading1"/>
        <w:spacing w:after="120"/>
        <w:rPr>
          <w:rFonts w:cs="Arial"/>
          <w:szCs w:val="20"/>
        </w:rPr>
      </w:pPr>
      <w:bookmarkStart w:id="2105" w:name="_Toc83904720"/>
      <w:r w:rsidRPr="00C959F4">
        <w:rPr>
          <w:rFonts w:cs="Arial"/>
          <w:szCs w:val="20"/>
        </w:rPr>
        <w:t>OPERATE</w:t>
      </w:r>
      <w:bookmarkEnd w:id="2105"/>
    </w:p>
    <w:p w14:paraId="784D9AF4" w14:textId="77777777" w:rsidR="007B12F8" w:rsidRPr="00C959F4" w:rsidRDefault="007B12F8" w:rsidP="007B12F8">
      <w:pPr>
        <w:pStyle w:val="Heading2"/>
        <w:keepNext/>
        <w:spacing w:after="120"/>
        <w:rPr>
          <w:b/>
          <w:bCs w:val="0"/>
        </w:rPr>
      </w:pPr>
      <w:bookmarkStart w:id="2106" w:name="_Toc83299713"/>
      <w:bookmarkStart w:id="2107" w:name="_Toc83300031"/>
      <w:bookmarkStart w:id="2108" w:name="_Toc83299714"/>
      <w:bookmarkStart w:id="2109" w:name="_Toc83300032"/>
      <w:bookmarkStart w:id="2110" w:name="_Toc83299715"/>
      <w:bookmarkStart w:id="2111" w:name="_Toc83300033"/>
      <w:bookmarkStart w:id="2112" w:name="_Toc83299716"/>
      <w:bookmarkStart w:id="2113" w:name="_Toc83300034"/>
      <w:bookmarkStart w:id="2114" w:name="_Toc83299717"/>
      <w:bookmarkStart w:id="2115" w:name="_Toc83300035"/>
      <w:bookmarkStart w:id="2116" w:name="_Toc83299729"/>
      <w:bookmarkStart w:id="2117" w:name="_Toc83300047"/>
      <w:bookmarkStart w:id="2118" w:name="_Toc83299730"/>
      <w:bookmarkStart w:id="2119" w:name="_Toc83300048"/>
      <w:bookmarkStart w:id="2120" w:name="_Toc83299731"/>
      <w:bookmarkStart w:id="2121" w:name="_Toc83300049"/>
      <w:bookmarkStart w:id="2122" w:name="_Toc83299732"/>
      <w:bookmarkStart w:id="2123" w:name="_Toc83300050"/>
      <w:bookmarkStart w:id="2124" w:name="_Toc83299733"/>
      <w:bookmarkStart w:id="2125" w:name="_Toc83300051"/>
      <w:bookmarkStart w:id="2126" w:name="_Toc83299734"/>
      <w:bookmarkStart w:id="2127" w:name="_Toc83300052"/>
      <w:bookmarkStart w:id="2128" w:name="_Toc83299735"/>
      <w:bookmarkStart w:id="2129" w:name="_Toc83300053"/>
      <w:bookmarkStart w:id="2130" w:name="_Toc83299736"/>
      <w:bookmarkStart w:id="2131" w:name="_Toc83300054"/>
      <w:bookmarkStart w:id="2132" w:name="_Toc83299737"/>
      <w:bookmarkStart w:id="2133" w:name="_Toc83300055"/>
      <w:bookmarkStart w:id="2134" w:name="_Toc83299738"/>
      <w:bookmarkStart w:id="2135" w:name="_Toc83300056"/>
      <w:bookmarkStart w:id="2136" w:name="_Toc83299739"/>
      <w:bookmarkStart w:id="2137" w:name="_Toc83300057"/>
      <w:bookmarkStart w:id="2138" w:name="_Toc83299740"/>
      <w:bookmarkStart w:id="2139" w:name="_Toc83300058"/>
      <w:bookmarkStart w:id="2140" w:name="_Toc83299741"/>
      <w:bookmarkStart w:id="2141" w:name="_Toc83300059"/>
      <w:bookmarkStart w:id="2142" w:name="_Toc83299742"/>
      <w:bookmarkStart w:id="2143" w:name="_Toc83300060"/>
      <w:bookmarkStart w:id="2144" w:name="_Toc83299743"/>
      <w:bookmarkStart w:id="2145" w:name="_Toc83300061"/>
      <w:bookmarkStart w:id="2146" w:name="_Toc83299744"/>
      <w:bookmarkStart w:id="2147" w:name="_Toc83300062"/>
      <w:bookmarkStart w:id="2148" w:name="_Toc83299745"/>
      <w:bookmarkStart w:id="2149" w:name="_Toc83300063"/>
      <w:bookmarkStart w:id="2150" w:name="_Toc83299746"/>
      <w:bookmarkStart w:id="2151" w:name="_Toc83300064"/>
      <w:bookmarkStart w:id="2152" w:name="_Toc83299747"/>
      <w:bookmarkStart w:id="2153" w:name="_Toc83300065"/>
      <w:bookmarkStart w:id="2154" w:name="_Toc83299748"/>
      <w:bookmarkStart w:id="2155" w:name="_Toc83300066"/>
      <w:bookmarkStart w:id="2156" w:name="_Toc83299749"/>
      <w:bookmarkStart w:id="2157" w:name="_Toc83300067"/>
      <w:bookmarkStart w:id="2158" w:name="_Toc83299750"/>
      <w:bookmarkStart w:id="2159" w:name="_Toc83300068"/>
      <w:bookmarkStart w:id="2160" w:name="_Toc83299751"/>
      <w:bookmarkStart w:id="2161" w:name="_Toc83300069"/>
      <w:bookmarkStart w:id="2162" w:name="_Toc83299752"/>
      <w:bookmarkStart w:id="2163" w:name="_Toc83300070"/>
      <w:bookmarkStart w:id="2164" w:name="_Toc83299753"/>
      <w:bookmarkStart w:id="2165" w:name="_Toc83300071"/>
      <w:bookmarkStart w:id="2166" w:name="_Toc83299754"/>
      <w:bookmarkStart w:id="2167" w:name="_Toc83300072"/>
      <w:bookmarkStart w:id="2168" w:name="_Toc83299755"/>
      <w:bookmarkStart w:id="2169" w:name="_Toc83300073"/>
      <w:bookmarkStart w:id="2170" w:name="_Toc83299756"/>
      <w:bookmarkStart w:id="2171" w:name="_Toc83300074"/>
      <w:bookmarkStart w:id="2172" w:name="_Toc83299757"/>
      <w:bookmarkStart w:id="2173" w:name="_Toc83300075"/>
      <w:bookmarkStart w:id="2174" w:name="_Toc83299758"/>
      <w:bookmarkStart w:id="2175" w:name="_Toc83300076"/>
      <w:bookmarkStart w:id="2176" w:name="_Toc83299759"/>
      <w:bookmarkStart w:id="2177" w:name="_Toc83300077"/>
      <w:bookmarkStart w:id="2178" w:name="_Toc83299760"/>
      <w:bookmarkStart w:id="2179" w:name="_Toc83300078"/>
      <w:bookmarkStart w:id="2180" w:name="_Toc83299761"/>
      <w:bookmarkStart w:id="2181" w:name="_Toc83300079"/>
      <w:bookmarkStart w:id="2182" w:name="_Toc83299762"/>
      <w:bookmarkStart w:id="2183" w:name="_Toc83300080"/>
      <w:bookmarkStart w:id="2184" w:name="_Toc83299763"/>
      <w:bookmarkStart w:id="2185" w:name="_Toc83300081"/>
      <w:bookmarkStart w:id="2186" w:name="_Toc83299764"/>
      <w:bookmarkStart w:id="2187" w:name="_Toc83300082"/>
      <w:bookmarkStart w:id="2188" w:name="_Toc83299765"/>
      <w:bookmarkStart w:id="2189" w:name="_Toc83300083"/>
      <w:bookmarkStart w:id="2190" w:name="_Toc83299766"/>
      <w:bookmarkStart w:id="2191" w:name="_Toc83300084"/>
      <w:bookmarkStart w:id="2192" w:name="_Toc83299767"/>
      <w:bookmarkStart w:id="2193" w:name="_Toc83300085"/>
      <w:bookmarkStart w:id="2194" w:name="_Toc83299768"/>
      <w:bookmarkStart w:id="2195" w:name="_Toc83300086"/>
      <w:bookmarkStart w:id="2196" w:name="_Toc83299769"/>
      <w:bookmarkStart w:id="2197" w:name="_Toc83300087"/>
      <w:bookmarkStart w:id="2198" w:name="_Toc83299770"/>
      <w:bookmarkStart w:id="2199" w:name="_Toc83300088"/>
      <w:bookmarkStart w:id="2200" w:name="_Toc83299771"/>
      <w:bookmarkStart w:id="2201" w:name="_Toc83300089"/>
      <w:bookmarkStart w:id="2202" w:name="_Toc83299772"/>
      <w:bookmarkStart w:id="2203" w:name="_Toc83300090"/>
      <w:bookmarkStart w:id="2204" w:name="_Toc83299773"/>
      <w:bookmarkStart w:id="2205" w:name="_Toc83300091"/>
      <w:bookmarkStart w:id="2206" w:name="_Toc83299774"/>
      <w:bookmarkStart w:id="2207" w:name="_Toc83300092"/>
      <w:bookmarkStart w:id="2208" w:name="_Toc83299775"/>
      <w:bookmarkStart w:id="2209" w:name="_Toc83300093"/>
      <w:bookmarkStart w:id="2210" w:name="_Toc83299776"/>
      <w:bookmarkStart w:id="2211" w:name="_Toc83300094"/>
      <w:bookmarkStart w:id="2212" w:name="_Toc83904722"/>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r w:rsidRPr="00C959F4">
        <w:rPr>
          <w:b/>
        </w:rPr>
        <w:t>Service Desk</w:t>
      </w:r>
      <w:bookmarkEnd w:id="2212"/>
    </w:p>
    <w:p w14:paraId="543E7D5F" w14:textId="4B17F2DA" w:rsidR="007B12F8" w:rsidRPr="00C959F4" w:rsidRDefault="007B12F8" w:rsidP="00346A37">
      <w:pPr>
        <w:pStyle w:val="Heading3"/>
      </w:pPr>
      <w:r w:rsidRPr="00C959F4">
        <w:t xml:space="preserve">During Transition and Migration, the Supplier will align its ITIL-based processes and methodologies to </w:t>
      </w:r>
      <w:proofErr w:type="spellStart"/>
      <w:r w:rsidR="001F1C19">
        <w:t>Netlink</w:t>
      </w:r>
      <w:proofErr w:type="spellEnd"/>
      <w:r w:rsidR="001F1C19">
        <w:t xml:space="preserve"> Star</w:t>
      </w:r>
      <w:r w:rsidRPr="00C959F4">
        <w:t xml:space="preserve">’s services and integrate tools to automate event management and performance management.  The Supplier’s Service Desk will utilise these processes along with relevant service and operational information available via dashboards driven by the ITSM tools and the Supplier’s analytic and operational tools. </w:t>
      </w:r>
    </w:p>
    <w:p w14:paraId="7C5C93BA" w14:textId="70CC6CDC" w:rsidR="007B12F8" w:rsidRPr="00C959F4" w:rsidRDefault="007B12F8" w:rsidP="00346A37">
      <w:pPr>
        <w:pStyle w:val="Heading3"/>
      </w:pPr>
      <w:r w:rsidRPr="00C959F4">
        <w:t xml:space="preserve">The Supplier will provide a Level 2 Service Desk delivered from India 24x7 in English to act as the single point of contact for the </w:t>
      </w:r>
      <w:proofErr w:type="spellStart"/>
      <w:r w:rsidR="001F1C19">
        <w:t>Netlink</w:t>
      </w:r>
      <w:proofErr w:type="spellEnd"/>
      <w:r w:rsidR="001F1C19">
        <w:t xml:space="preserve"> Star</w:t>
      </w:r>
      <w:r w:rsidRPr="00C959F4">
        <w:t xml:space="preserve"> end user service desk.  The Supplier’s Service Desk will handle all inbound service desk interactions, perform first-time fixes where possible, allocate tickets to the correct resolver group following standard knowledge article processes, and perform incident tracking and ticket management.</w:t>
      </w:r>
    </w:p>
    <w:p w14:paraId="069C4E32" w14:textId="6D792D27" w:rsidR="007B12F8" w:rsidRPr="00C959F4" w:rsidRDefault="007B12F8" w:rsidP="00346A37">
      <w:pPr>
        <w:pStyle w:val="Heading3"/>
      </w:pPr>
      <w:r w:rsidRPr="00C959F4">
        <w:t xml:space="preserve">The Service Desk for </w:t>
      </w:r>
      <w:proofErr w:type="spellStart"/>
      <w:r w:rsidR="001F1C19">
        <w:t>Netlink</w:t>
      </w:r>
      <w:proofErr w:type="spellEnd"/>
      <w:r w:rsidR="001F1C19">
        <w:t xml:space="preserve"> Star</w:t>
      </w:r>
      <w:r w:rsidRPr="00C959F4">
        <w:t xml:space="preserve"> will be located within the Supplier’s mutualised environment in its Kolkata delivery centre, which provides access to a pool of experienced resources and demand-based staffing. The Supplier’s Incident Management team will monitor queue levels and proactively work with assigned resolver teams to meet service levels and user expectations.</w:t>
      </w:r>
    </w:p>
    <w:p w14:paraId="35707EF3" w14:textId="77777777" w:rsidR="007B12F8" w:rsidRPr="00C959F4" w:rsidRDefault="007B12F8" w:rsidP="007B12F8">
      <w:pPr>
        <w:pStyle w:val="Heading2"/>
        <w:keepNext/>
        <w:spacing w:after="120"/>
        <w:rPr>
          <w:rStyle w:val="normaltextrun"/>
          <w:b/>
          <w:bCs w:val="0"/>
        </w:rPr>
      </w:pPr>
      <w:bookmarkStart w:id="2213" w:name="_Toc83904723"/>
      <w:r w:rsidRPr="00C959F4">
        <w:rPr>
          <w:b/>
        </w:rPr>
        <w:t>Remote Infrastructure Management</w:t>
      </w:r>
      <w:bookmarkEnd w:id="2213"/>
    </w:p>
    <w:p w14:paraId="37C2FF41" w14:textId="5CC62D79" w:rsidR="007B12F8" w:rsidRPr="00C959F4" w:rsidRDefault="007B12F8" w:rsidP="00346A37">
      <w:pPr>
        <w:pStyle w:val="Heading3"/>
      </w:pPr>
      <w:r w:rsidRPr="00C959F4">
        <w:rPr>
          <w:rStyle w:val="normaltextrun"/>
        </w:rPr>
        <w:t xml:space="preserve">The Supplier will monitor </w:t>
      </w:r>
      <w:proofErr w:type="spellStart"/>
      <w:r w:rsidR="001F1C19">
        <w:rPr>
          <w:rStyle w:val="normaltextrun"/>
        </w:rPr>
        <w:t>Netlink</w:t>
      </w:r>
      <w:proofErr w:type="spellEnd"/>
      <w:r w:rsidR="001F1C19">
        <w:rPr>
          <w:rStyle w:val="normaltextrun"/>
        </w:rPr>
        <w:t xml:space="preserve"> Star</w:t>
      </w:r>
      <w:r w:rsidRPr="00C959F4">
        <w:rPr>
          <w:rStyle w:val="normaltextrun"/>
        </w:rPr>
        <w:t xml:space="preserve">’s services, compute, storage, databases, DC </w:t>
      </w:r>
      <w:proofErr w:type="gramStart"/>
      <w:r w:rsidRPr="00C959F4">
        <w:rPr>
          <w:rStyle w:val="normaltextrun"/>
        </w:rPr>
        <w:t>LAN</w:t>
      </w:r>
      <w:proofErr w:type="gramEnd"/>
      <w:r w:rsidRPr="00C959F4">
        <w:rPr>
          <w:rStyle w:val="normaltextrun"/>
        </w:rPr>
        <w:t xml:space="preserve"> and backup services from its Global Command Centre (GCC) in Mumbai, India.  </w:t>
      </w:r>
      <w:r w:rsidRPr="00C959F4">
        <w:rPr>
          <w:rStyle w:val="normaltextrun"/>
        </w:rPr>
        <w:lastRenderedPageBreak/>
        <w:t xml:space="preserve">The GCC is comprised of a </w:t>
      </w:r>
      <w:r w:rsidRPr="007B12F8">
        <w:t>team of multi-skilled technical support staff that will provide first line support supported by second and third-line specialists from specialist skills groups.</w:t>
      </w:r>
      <w:r w:rsidRPr="00C959F4">
        <w:t xml:space="preserve"> The GCC will provide monitoring and P1/P2 support 24x7 and P3-P5 support on </w:t>
      </w:r>
      <w:proofErr w:type="gramStart"/>
      <w:r w:rsidRPr="00C959F4">
        <w:t>a</w:t>
      </w:r>
      <w:proofErr w:type="gramEnd"/>
      <w:r w:rsidRPr="00C959F4">
        <w:t xml:space="preserve"> 8x5 basis.  </w:t>
      </w:r>
    </w:p>
    <w:p w14:paraId="4EC72552" w14:textId="39CB61FC" w:rsidR="007B12F8" w:rsidRPr="007B12F8" w:rsidRDefault="007B12F8" w:rsidP="00346A37">
      <w:pPr>
        <w:pStyle w:val="Heading3"/>
      </w:pPr>
      <w:r w:rsidRPr="007B12F8">
        <w:t>The Supplier will use its</w:t>
      </w:r>
      <w:r w:rsidRPr="00C959F4">
        <w:t xml:space="preserve"> Artificial Intelligence Operations Platform (AIOPs) platform to monitor data centre components and applications. The Supplier will integrate </w:t>
      </w:r>
      <w:proofErr w:type="spellStart"/>
      <w:r w:rsidR="001F1C19">
        <w:t>Netlink</w:t>
      </w:r>
      <w:proofErr w:type="spellEnd"/>
      <w:r w:rsidR="001F1C19">
        <w:t xml:space="preserve"> Star</w:t>
      </w:r>
      <w:r w:rsidRPr="00C959F4">
        <w:t xml:space="preserve">’s existing </w:t>
      </w:r>
      <w:r w:rsidRPr="007B12F8">
        <w:t>Netcool, Icing, v-Realize and Cisco UCS with</w:t>
      </w:r>
      <w:r w:rsidRPr="00C959F4">
        <w:t xml:space="preserve"> the Supplier’s AIOPs platform to enable event correlation and enhance root cause analysis. </w:t>
      </w:r>
    </w:p>
    <w:p w14:paraId="48EFAA48" w14:textId="4A7AD105" w:rsidR="007B12F8" w:rsidRPr="00C959F4" w:rsidRDefault="007B12F8" w:rsidP="00346A37">
      <w:pPr>
        <w:pStyle w:val="Heading3"/>
        <w:rPr>
          <w:rStyle w:val="normaltextrun"/>
          <w:i/>
          <w:iCs w:val="0"/>
        </w:rPr>
      </w:pPr>
      <w:r w:rsidRPr="00C959F4">
        <w:t xml:space="preserve">The Supplier’s data centre services solution will provide a robust secured service across </w:t>
      </w:r>
      <w:proofErr w:type="spellStart"/>
      <w:r w:rsidR="001F1C19">
        <w:t>Netlink</w:t>
      </w:r>
      <w:proofErr w:type="spellEnd"/>
      <w:r w:rsidR="001F1C19">
        <w:t xml:space="preserve"> Star</w:t>
      </w:r>
      <w:r w:rsidRPr="00C959F4">
        <w:t xml:space="preserve">’s CNI data centre landscape, with L0 considered as the automatic alerting system. </w:t>
      </w:r>
      <w:r w:rsidRPr="007B12F8">
        <w:t>The approach is based on a shift-left of events and incidents. Through the analysis of inventory, we understand sizable events are duplicates logged at similar time stamps and with the same description. Our AIOPs platform identifies these anomalies and removes the duplicate events. Only qualified events are presented to the Supplier’s GCC. If there is a standard operating procedure (SOP)</w:t>
      </w:r>
      <w:r w:rsidRPr="00C959F4">
        <w:rPr>
          <w:rStyle w:val="normaltextrun"/>
        </w:rPr>
        <w:t xml:space="preserve"> or knowledge article available, the incident will be resolved at the L1 level and only complex tickets are passed to the L2 and L3 teams, ensuring that functional escalation is only performed where required. The team will provide a response to incidents and the right triage based on the ticket information to ensure the rapid response to any degradation of service quality.</w:t>
      </w:r>
    </w:p>
    <w:p w14:paraId="2D6470C9" w14:textId="77777777" w:rsidR="007B12F8" w:rsidRPr="00C959F4" w:rsidRDefault="007B12F8" w:rsidP="00346A37">
      <w:pPr>
        <w:pStyle w:val="Heading3"/>
        <w:rPr>
          <w:rStyle w:val="normaltextrun"/>
        </w:rPr>
      </w:pPr>
      <w:r w:rsidRPr="00C959F4">
        <w:rPr>
          <w:rStyle w:val="normaltextrun"/>
        </w:rPr>
        <w:t>The GCC is mutualised across Supplier clients and has access to standard work instructions that enable faster resolution.  The GCC will undertake:</w:t>
      </w:r>
    </w:p>
    <w:p w14:paraId="0147A6B1" w14:textId="64B189CD"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Continuous monitoring of service quality and performance of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’s IT infrastructure.</w:t>
      </w:r>
    </w:p>
    <w:p w14:paraId="34D27558"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Continuous service improvement to drive down resolution times, potentially exceeding SLAs and improving service quality.</w:t>
      </w:r>
    </w:p>
    <w:p w14:paraId="08EC8EC9"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Registering and notification of events and incidents.</w:t>
      </w:r>
    </w:p>
    <w:p w14:paraId="762E5D84"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Follow-up of events and incident notifications through the monitoring solution.</w:t>
      </w:r>
    </w:p>
    <w:p w14:paraId="6BC684C1"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Installation and/or customisation of agents on monitored devices.</w:t>
      </w:r>
    </w:p>
    <w:p w14:paraId="39DFC2A5"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Analysis and correlation of events to detect the origin of the issue.</w:t>
      </w:r>
    </w:p>
    <w:p w14:paraId="583B0862"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Timely follow-up of critical calls, making sure they are properly routed to the appropriate resolver team. </w:t>
      </w:r>
    </w:p>
    <w:p w14:paraId="6BBD8CA3"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Creation of log data for the monitored resources, which provides behavioural and resource analysis.</w:t>
      </w:r>
    </w:p>
    <w:p w14:paraId="61C93EC7" w14:textId="77777777" w:rsidR="007B12F8" w:rsidRPr="00C959F4" w:rsidRDefault="007B12F8" w:rsidP="007B12F8">
      <w:pPr>
        <w:pStyle w:val="Heading2"/>
        <w:keepNext/>
        <w:spacing w:after="120"/>
        <w:rPr>
          <w:b/>
          <w:bCs w:val="0"/>
        </w:rPr>
      </w:pPr>
      <w:bookmarkStart w:id="2214" w:name="_Toc83904724"/>
      <w:r w:rsidRPr="00C959F4">
        <w:rPr>
          <w:b/>
        </w:rPr>
        <w:t>Reporting</w:t>
      </w:r>
      <w:bookmarkEnd w:id="2214"/>
    </w:p>
    <w:p w14:paraId="007A31FD" w14:textId="0A006746" w:rsidR="007B12F8" w:rsidRPr="007B12F8" w:rsidRDefault="007B12F8" w:rsidP="00346A37">
      <w:pPr>
        <w:pStyle w:val="Heading3"/>
      </w:pPr>
      <w:r w:rsidRPr="00C959F4">
        <w:t xml:space="preserve">The Supplier will deliver out-of-the-box reports via Tableau integrated with ServiceNow. Filtering criteria can be selected to narrow search results within reports. The Supplier will work with </w:t>
      </w:r>
      <w:proofErr w:type="spellStart"/>
      <w:r w:rsidR="001F1C19">
        <w:t>Netlink</w:t>
      </w:r>
      <w:proofErr w:type="spellEnd"/>
      <w:r w:rsidR="001F1C19">
        <w:t xml:space="preserve"> Star</w:t>
      </w:r>
      <w:r w:rsidRPr="00C959F4">
        <w:t xml:space="preserve"> to review, modify, </w:t>
      </w:r>
      <w:proofErr w:type="gramStart"/>
      <w:r w:rsidRPr="00C959F4">
        <w:t>add</w:t>
      </w:r>
      <w:proofErr w:type="gramEnd"/>
      <w:r w:rsidRPr="00C959F4">
        <w:t xml:space="preserve"> or delete to the report set as reasonably needed to address business and operational requirements. </w:t>
      </w:r>
    </w:p>
    <w:p w14:paraId="6ADC5448" w14:textId="4C86AE30" w:rsidR="007B12F8" w:rsidRPr="00C959F4" w:rsidRDefault="001F1C19" w:rsidP="00346A37">
      <w:pPr>
        <w:pStyle w:val="Heading3"/>
      </w:pPr>
      <w:proofErr w:type="spellStart"/>
      <w:r>
        <w:t>Netlink</w:t>
      </w:r>
      <w:proofErr w:type="spellEnd"/>
      <w:r>
        <w:t xml:space="preserve"> Star</w:t>
      </w:r>
      <w:r w:rsidR="007B12F8" w:rsidRPr="00C959F4">
        <w:t xml:space="preserve"> will generate reports dynamically, and the Supplier has included two (2) Tableau user licenses for this purpose. </w:t>
      </w:r>
    </w:p>
    <w:p w14:paraId="219A2FCB" w14:textId="77777777" w:rsidR="007B12F8" w:rsidRPr="00C959F4" w:rsidRDefault="007B12F8" w:rsidP="007B12F8">
      <w:pPr>
        <w:pStyle w:val="Heading2"/>
        <w:keepNext/>
        <w:spacing w:after="120"/>
        <w:rPr>
          <w:b/>
          <w:bCs w:val="0"/>
        </w:rPr>
      </w:pPr>
      <w:bookmarkStart w:id="2215" w:name="_Toc83904725"/>
      <w:r w:rsidRPr="00C959F4">
        <w:rPr>
          <w:b/>
        </w:rPr>
        <w:t>Service Management</w:t>
      </w:r>
      <w:bookmarkEnd w:id="2215"/>
    </w:p>
    <w:p w14:paraId="33283179" w14:textId="65D54565" w:rsidR="007B12F8" w:rsidRPr="00C959F4" w:rsidRDefault="007B12F8" w:rsidP="00346A37">
      <w:pPr>
        <w:pStyle w:val="Heading3"/>
      </w:pPr>
      <w:r w:rsidRPr="00C959F4">
        <w:t xml:space="preserve">A bi-directional interface called e-bonding will be established between </w:t>
      </w:r>
      <w:proofErr w:type="spellStart"/>
      <w:r w:rsidR="001F1C19">
        <w:t>Netlink</w:t>
      </w:r>
      <w:proofErr w:type="spellEnd"/>
      <w:r w:rsidR="001F1C19">
        <w:t xml:space="preserve"> Star</w:t>
      </w:r>
      <w:r w:rsidRPr="00C959F4">
        <w:t xml:space="preserve">’s SCCD and the Supplier’s ServiceNow. This integration will be achieved using Web Service communication via the Supplier’s Integration Platform as a Service (iPaaS) – a suite of cloud services enabling development, execution and governance of integration flows connecting </w:t>
      </w:r>
      <w:proofErr w:type="gramStart"/>
      <w:r w:rsidRPr="00C959F4">
        <w:t>on-premise</w:t>
      </w:r>
      <w:proofErr w:type="gramEnd"/>
      <w:r w:rsidRPr="00C959F4">
        <w:t xml:space="preserve"> and cloud-based processes, services, applications and data.</w:t>
      </w:r>
    </w:p>
    <w:p w14:paraId="27FEC7AD" w14:textId="6852B75C" w:rsidR="007B12F8" w:rsidRDefault="007B12F8" w:rsidP="007B12F8">
      <w:pPr>
        <w:jc w:val="center"/>
        <w:rPr>
          <w:noProof/>
          <w:szCs w:val="20"/>
        </w:rPr>
      </w:pPr>
    </w:p>
    <w:p w14:paraId="6F9D4CFC" w14:textId="77777777" w:rsidR="001B5F04" w:rsidRDefault="001B5F04" w:rsidP="007B12F8">
      <w:pPr>
        <w:jc w:val="center"/>
        <w:rPr>
          <w:noProof/>
          <w:szCs w:val="20"/>
        </w:rPr>
      </w:pPr>
    </w:p>
    <w:p w14:paraId="5945CA1A" w14:textId="77777777" w:rsidR="001B5F04" w:rsidRDefault="001B5F04" w:rsidP="007B12F8">
      <w:pPr>
        <w:jc w:val="center"/>
        <w:rPr>
          <w:noProof/>
          <w:szCs w:val="20"/>
        </w:rPr>
      </w:pPr>
    </w:p>
    <w:p w14:paraId="4185D2E8" w14:textId="77777777" w:rsidR="001B5F04" w:rsidRDefault="001B5F04" w:rsidP="007B12F8">
      <w:pPr>
        <w:jc w:val="center"/>
        <w:rPr>
          <w:noProof/>
          <w:szCs w:val="20"/>
        </w:rPr>
      </w:pPr>
    </w:p>
    <w:p w14:paraId="77AEAD49" w14:textId="79D4A772" w:rsidR="001B5F04" w:rsidRDefault="001B5F04" w:rsidP="007B12F8">
      <w:pPr>
        <w:jc w:val="center"/>
        <w:rPr>
          <w:noProof/>
          <w:szCs w:val="20"/>
        </w:rPr>
      </w:pPr>
      <w:r>
        <w:rPr>
          <w:noProof/>
          <w:szCs w:val="20"/>
        </w:rPr>
        <w:t>Redacted diagram</w:t>
      </w:r>
    </w:p>
    <w:p w14:paraId="2989C091" w14:textId="77777777" w:rsidR="001B5F04" w:rsidRDefault="001B5F04" w:rsidP="007B12F8">
      <w:pPr>
        <w:jc w:val="center"/>
        <w:rPr>
          <w:noProof/>
          <w:szCs w:val="20"/>
        </w:rPr>
      </w:pPr>
    </w:p>
    <w:p w14:paraId="277C2A0B" w14:textId="77777777" w:rsidR="001B5F04" w:rsidRDefault="001B5F04" w:rsidP="007B12F8">
      <w:pPr>
        <w:jc w:val="center"/>
        <w:rPr>
          <w:noProof/>
          <w:szCs w:val="20"/>
        </w:rPr>
      </w:pPr>
    </w:p>
    <w:p w14:paraId="13C4EEB7" w14:textId="77777777" w:rsidR="001B5F04" w:rsidRPr="00C959F4" w:rsidRDefault="001B5F04" w:rsidP="007B12F8">
      <w:pPr>
        <w:jc w:val="center"/>
        <w:rPr>
          <w:szCs w:val="20"/>
        </w:rPr>
      </w:pPr>
    </w:p>
    <w:p w14:paraId="743EEDB8" w14:textId="64B5B4D3" w:rsidR="007B12F8" w:rsidRPr="007B12F8" w:rsidRDefault="007B12F8" w:rsidP="007B12F8">
      <w:pPr>
        <w:pStyle w:val="Caption"/>
        <w:rPr>
          <w:rFonts w:ascii="Arial" w:hAnsi="Arial" w:cs="Arial"/>
        </w:rPr>
      </w:pPr>
      <w:r>
        <w:rPr>
          <w:rFonts w:ascii="Arial" w:hAnsi="Arial" w:cs="Arial"/>
        </w:rPr>
        <w:t xml:space="preserve">Diagram: </w:t>
      </w:r>
      <w:r w:rsidRPr="007B12F8">
        <w:rPr>
          <w:rFonts w:ascii="Arial" w:hAnsi="Arial" w:cs="Arial"/>
        </w:rPr>
        <w:t>Anticipated Service Management Data Flows</w:t>
      </w:r>
    </w:p>
    <w:p w14:paraId="2D329CB0" w14:textId="77777777" w:rsidR="007B12F8" w:rsidRPr="00C959F4" w:rsidRDefault="007B12F8" w:rsidP="00346A37">
      <w:pPr>
        <w:pStyle w:val="Heading3"/>
        <w:rPr>
          <w:i/>
        </w:rPr>
      </w:pPr>
      <w:r w:rsidRPr="00C959F4">
        <w:t xml:space="preserve">The Supplier will operate, </w:t>
      </w:r>
      <w:proofErr w:type="gramStart"/>
      <w:r w:rsidRPr="00C959F4">
        <w:t>perform</w:t>
      </w:r>
      <w:proofErr w:type="gramEnd"/>
      <w:r w:rsidRPr="00C959F4">
        <w:t xml:space="preserve"> and retain end-to-end management of logged incidents and service requests for the Supplier’s support scope following common and agreed process for prioritisation, categorisation, escalation and closure of transactions.</w:t>
      </w:r>
    </w:p>
    <w:p w14:paraId="09B1D4B2" w14:textId="77777777" w:rsidR="007B12F8" w:rsidRPr="00C959F4" w:rsidRDefault="007B12F8" w:rsidP="00346A37">
      <w:pPr>
        <w:pStyle w:val="Heading3"/>
      </w:pPr>
      <w:r w:rsidRPr="00C959F4">
        <w:t xml:space="preserve">The Supplier will deliver the </w:t>
      </w:r>
      <w:proofErr w:type="gramStart"/>
      <w:r w:rsidRPr="00C959F4">
        <w:t>following</w:t>
      </w:r>
      <w:proofErr w:type="gramEnd"/>
      <w:r w:rsidRPr="00C959F4">
        <w:t xml:space="preserve">  </w:t>
      </w:r>
    </w:p>
    <w:p w14:paraId="06397274" w14:textId="51455A15" w:rsidR="007B12F8" w:rsidRPr="004D28F2" w:rsidRDefault="007B12F8" w:rsidP="006248E4">
      <w:pPr>
        <w:pStyle w:val="Heading4"/>
        <w:tabs>
          <w:tab w:val="clear" w:pos="1702"/>
        </w:tabs>
        <w:spacing w:after="120"/>
        <w:ind w:left="2410"/>
        <w:rPr>
          <w:rFonts w:cs="Arial"/>
          <w:b/>
          <w:bCs w:val="0"/>
          <w:szCs w:val="20"/>
        </w:rPr>
      </w:pPr>
      <w:r w:rsidRPr="004D28F2">
        <w:rPr>
          <w:rFonts w:cs="Arial"/>
          <w:b/>
          <w:szCs w:val="20"/>
        </w:rPr>
        <w:t>Service Catalogue Management</w:t>
      </w:r>
      <w:r w:rsidR="006248E4">
        <w:rPr>
          <w:rFonts w:cs="Arial"/>
          <w:b/>
          <w:szCs w:val="20"/>
        </w:rPr>
        <w:t>.</w:t>
      </w:r>
      <w:r w:rsidR="006248E4">
        <w:rPr>
          <w:rFonts w:cs="Arial"/>
          <w:bCs w:val="0"/>
          <w:szCs w:val="20"/>
        </w:rPr>
        <w:t xml:space="preserve"> The Supplier will:</w:t>
      </w:r>
    </w:p>
    <w:p w14:paraId="4937C242" w14:textId="41D42B5A" w:rsidR="007B12F8" w:rsidRPr="00C959F4" w:rsidRDefault="007B12F8" w:rsidP="006248E4">
      <w:pPr>
        <w:pStyle w:val="Heading5"/>
      </w:pPr>
      <w:r w:rsidRPr="00C959F4">
        <w:t xml:space="preserve">own and manage the contents of the </w:t>
      </w:r>
      <w:proofErr w:type="spellStart"/>
      <w:r w:rsidR="001F1C19">
        <w:t>Netlink</w:t>
      </w:r>
      <w:proofErr w:type="spellEnd"/>
      <w:r w:rsidR="001F1C19">
        <w:t xml:space="preserve"> Star</w:t>
      </w:r>
      <w:r w:rsidRPr="00C959F4">
        <w:t xml:space="preserve"> Service Catalogue </w:t>
      </w:r>
      <w:r w:rsidRPr="006248E4">
        <w:rPr>
          <w:szCs w:val="20"/>
        </w:rPr>
        <w:t>including</w:t>
      </w:r>
      <w:r w:rsidRPr="00C959F4">
        <w:t xml:space="preserve"> reporting on consumption of </w:t>
      </w:r>
      <w:proofErr w:type="gramStart"/>
      <w:r w:rsidRPr="00C959F4">
        <w:t>services</w:t>
      </w:r>
      <w:r>
        <w:t>;</w:t>
      </w:r>
      <w:proofErr w:type="gramEnd"/>
    </w:p>
    <w:p w14:paraId="7B242707" w14:textId="038FF89C" w:rsidR="007B12F8" w:rsidRPr="006248E4" w:rsidRDefault="007B12F8" w:rsidP="006248E4">
      <w:pPr>
        <w:pStyle w:val="Heading5"/>
      </w:pPr>
      <w:r w:rsidRPr="00C959F4">
        <w:rPr>
          <w:rFonts w:cs="Arial"/>
        </w:rPr>
        <w:t xml:space="preserve">regularly review </w:t>
      </w:r>
      <w:r w:rsidRPr="006248E4">
        <w:t xml:space="preserve">and maintain the Service Catalogue to ensure it remains relevant to and valid for </w:t>
      </w:r>
      <w:proofErr w:type="spellStart"/>
      <w:r w:rsidR="001F1C19">
        <w:t>Netlink</w:t>
      </w:r>
      <w:proofErr w:type="spellEnd"/>
      <w:r w:rsidR="001F1C19">
        <w:t xml:space="preserve"> </w:t>
      </w:r>
      <w:proofErr w:type="gramStart"/>
      <w:r w:rsidR="001F1C19">
        <w:t>Star</w:t>
      </w:r>
      <w:r w:rsidRPr="006248E4">
        <w:t>;</w:t>
      </w:r>
      <w:proofErr w:type="gramEnd"/>
    </w:p>
    <w:p w14:paraId="34FA3B91" w14:textId="77777777" w:rsidR="007B12F8" w:rsidRPr="006248E4" w:rsidRDefault="007B12F8" w:rsidP="006248E4">
      <w:pPr>
        <w:pStyle w:val="Heading5"/>
      </w:pPr>
      <w:r w:rsidRPr="006248E4">
        <w:t>assess and implement new services into the Service Catalogue; and</w:t>
      </w:r>
    </w:p>
    <w:p w14:paraId="7ECC059C" w14:textId="45413524" w:rsidR="007B12F8" w:rsidRPr="00C959F4" w:rsidRDefault="007B12F8" w:rsidP="006248E4">
      <w:pPr>
        <w:pStyle w:val="Heading5"/>
        <w:rPr>
          <w:rFonts w:cs="Arial"/>
        </w:rPr>
      </w:pPr>
      <w:r w:rsidRPr="006248E4">
        <w:t>work with its ABI teams and the wider Supplier group to assess new services of value to</w:t>
      </w:r>
      <w:r w:rsidRPr="00C959F4">
        <w:rPr>
          <w:rFonts w:cs="Arial"/>
        </w:rPr>
        <w:t xml:space="preserve"> </w:t>
      </w:r>
      <w:proofErr w:type="spellStart"/>
      <w:r w:rsidR="001F1C19">
        <w:rPr>
          <w:rFonts w:cs="Arial"/>
        </w:rPr>
        <w:t>Netlink</w:t>
      </w:r>
      <w:proofErr w:type="spellEnd"/>
      <w:r w:rsidR="001F1C19">
        <w:rPr>
          <w:rFonts w:cs="Arial"/>
        </w:rPr>
        <w:t xml:space="preserve"> Star</w:t>
      </w:r>
      <w:r>
        <w:rPr>
          <w:rFonts w:cs="Arial"/>
        </w:rPr>
        <w:t>.</w:t>
      </w:r>
    </w:p>
    <w:p w14:paraId="74002D00" w14:textId="06D720E9" w:rsidR="007B12F8" w:rsidRPr="004D28F2" w:rsidRDefault="007B12F8" w:rsidP="006248E4">
      <w:pPr>
        <w:pStyle w:val="Heading4"/>
        <w:tabs>
          <w:tab w:val="clear" w:pos="1702"/>
        </w:tabs>
        <w:spacing w:after="120"/>
        <w:ind w:left="2410"/>
        <w:rPr>
          <w:rFonts w:cs="Arial"/>
          <w:b/>
          <w:bCs w:val="0"/>
          <w:szCs w:val="20"/>
        </w:rPr>
      </w:pPr>
      <w:r w:rsidRPr="004D28F2">
        <w:rPr>
          <w:rFonts w:cs="Arial"/>
          <w:b/>
          <w:szCs w:val="20"/>
        </w:rPr>
        <w:t>Service Level Management and Reporting</w:t>
      </w:r>
      <w:r w:rsidR="006248E4">
        <w:rPr>
          <w:rFonts w:cs="Arial"/>
          <w:b/>
          <w:szCs w:val="20"/>
        </w:rPr>
        <w:t>.</w:t>
      </w:r>
      <w:r w:rsidR="006248E4">
        <w:rPr>
          <w:rFonts w:cs="Arial"/>
          <w:bCs w:val="0"/>
          <w:szCs w:val="20"/>
        </w:rPr>
        <w:t xml:space="preserve"> The Supplier will:</w:t>
      </w:r>
    </w:p>
    <w:p w14:paraId="2512F2AD" w14:textId="77777777" w:rsidR="007B12F8" w:rsidRPr="00C959F4" w:rsidRDefault="007B12F8" w:rsidP="00B45A60">
      <w:pPr>
        <w:pStyle w:val="Heading5"/>
        <w:rPr>
          <w:rFonts w:cs="Arial"/>
        </w:rPr>
      </w:pPr>
      <w:r w:rsidRPr="00C959F4">
        <w:rPr>
          <w:rFonts w:cs="Arial"/>
        </w:rPr>
        <w:t xml:space="preserve">provide a Service Level Manager responsible for managing and improving </w:t>
      </w:r>
      <w:r w:rsidRPr="00B45A60">
        <w:t>the</w:t>
      </w:r>
      <w:r w:rsidRPr="00C959F4">
        <w:rPr>
          <w:rFonts w:cs="Arial"/>
        </w:rPr>
        <w:t xml:space="preserve"> quality and performance of </w:t>
      </w:r>
      <w:proofErr w:type="gramStart"/>
      <w:r w:rsidRPr="00C959F4">
        <w:rPr>
          <w:rFonts w:cs="Arial"/>
        </w:rPr>
        <w:t>service</w:t>
      </w:r>
      <w:r>
        <w:rPr>
          <w:rFonts w:cs="Arial"/>
        </w:rPr>
        <w:t>;</w:t>
      </w:r>
      <w:proofErr w:type="gramEnd"/>
    </w:p>
    <w:p w14:paraId="62F48B72" w14:textId="77777777" w:rsidR="007B12F8" w:rsidRPr="00C959F4" w:rsidRDefault="007B12F8" w:rsidP="00B45A60">
      <w:pPr>
        <w:pStyle w:val="Heading5"/>
        <w:rPr>
          <w:rFonts w:cs="Arial"/>
        </w:rPr>
      </w:pPr>
      <w:r w:rsidRPr="00C959F4">
        <w:rPr>
          <w:rFonts w:cs="Arial"/>
        </w:rPr>
        <w:t xml:space="preserve">deploy Tableau reporting which includes 40 standard dashboards to drive identification and response to service quality and performance issues, </w:t>
      </w:r>
      <w:r w:rsidRPr="00B45A60">
        <w:t>impact</w:t>
      </w:r>
      <w:r w:rsidRPr="00C959F4">
        <w:rPr>
          <w:rFonts w:cs="Arial"/>
        </w:rPr>
        <w:t xml:space="preserve"> levels and </w:t>
      </w:r>
      <w:proofErr w:type="gramStart"/>
      <w:r w:rsidRPr="00C959F4">
        <w:rPr>
          <w:rFonts w:cs="Arial"/>
        </w:rPr>
        <w:t>trends</w:t>
      </w:r>
      <w:r>
        <w:rPr>
          <w:rFonts w:cs="Arial"/>
        </w:rPr>
        <w:t>;</w:t>
      </w:r>
      <w:proofErr w:type="gramEnd"/>
    </w:p>
    <w:p w14:paraId="5A9681E2" w14:textId="77777777" w:rsidR="007B12F8" w:rsidRPr="00B45A60" w:rsidRDefault="007B12F8" w:rsidP="00B45A60">
      <w:pPr>
        <w:pStyle w:val="Heading5"/>
      </w:pPr>
      <w:r w:rsidRPr="00B45A60">
        <w:t xml:space="preserve">validate Service Level data to identify quality and performance issues and </w:t>
      </w:r>
      <w:proofErr w:type="gramStart"/>
      <w:r w:rsidRPr="00B45A60">
        <w:t>gaps;</w:t>
      </w:r>
      <w:proofErr w:type="gramEnd"/>
    </w:p>
    <w:p w14:paraId="5B01A367" w14:textId="77777777" w:rsidR="007B12F8" w:rsidRPr="00B45A60" w:rsidRDefault="007B12F8" w:rsidP="00B45A60">
      <w:pPr>
        <w:pStyle w:val="Heading5"/>
      </w:pPr>
      <w:r w:rsidRPr="00B45A60">
        <w:t xml:space="preserve">conduct weekly operational level performance review meetings, monthly service level performance reviews and annual service level management </w:t>
      </w:r>
      <w:proofErr w:type="gramStart"/>
      <w:r w:rsidRPr="00B45A60">
        <w:t>reviews;</w:t>
      </w:r>
      <w:proofErr w:type="gramEnd"/>
      <w:r w:rsidRPr="00B45A60">
        <w:t xml:space="preserve"> </w:t>
      </w:r>
    </w:p>
    <w:p w14:paraId="68E67A43" w14:textId="71A06FF4" w:rsidR="007B12F8" w:rsidRPr="00B45A60" w:rsidRDefault="007B12F8" w:rsidP="00B45A60">
      <w:pPr>
        <w:pStyle w:val="Heading5"/>
      </w:pPr>
      <w:r w:rsidRPr="00B45A60">
        <w:t xml:space="preserve">identify, </w:t>
      </w:r>
      <w:proofErr w:type="gramStart"/>
      <w:r w:rsidRPr="00B45A60">
        <w:t>log</w:t>
      </w:r>
      <w:proofErr w:type="gramEnd"/>
      <w:r w:rsidRPr="00B45A60">
        <w:t xml:space="preserve"> and manage the resolution of performance level issues and remediation plans in collaboration with </w:t>
      </w:r>
      <w:proofErr w:type="spellStart"/>
      <w:r w:rsidR="001F1C19">
        <w:t>Netlink</w:t>
      </w:r>
      <w:proofErr w:type="spellEnd"/>
      <w:r w:rsidR="001F1C19">
        <w:t xml:space="preserve"> Star</w:t>
      </w:r>
      <w:r w:rsidRPr="00B45A60">
        <w:t>’s representatives; and</w:t>
      </w:r>
    </w:p>
    <w:p w14:paraId="6CED3FFE" w14:textId="77777777" w:rsidR="007B12F8" w:rsidRPr="00C959F4" w:rsidRDefault="007B12F8" w:rsidP="00B45A60">
      <w:pPr>
        <w:pStyle w:val="Heading5"/>
        <w:rPr>
          <w:rFonts w:cs="Arial"/>
        </w:rPr>
      </w:pPr>
      <w:r w:rsidRPr="00B45A60">
        <w:t>modify monthly service level calculations to quarterly or greater if the volume of</w:t>
      </w:r>
      <w:r w:rsidRPr="00C959F4">
        <w:rPr>
          <w:rFonts w:cs="Arial"/>
        </w:rPr>
        <w:t xml:space="preserve"> the incidents during a month is so low that a single failure could result in missing the Target performance level</w:t>
      </w:r>
      <w:r>
        <w:rPr>
          <w:rFonts w:cs="Arial"/>
        </w:rPr>
        <w:t>.</w:t>
      </w:r>
    </w:p>
    <w:p w14:paraId="64BCE370" w14:textId="06164684" w:rsidR="007B12F8" w:rsidRPr="004D28F2" w:rsidRDefault="007B12F8" w:rsidP="006248E4">
      <w:pPr>
        <w:pStyle w:val="Heading4"/>
        <w:tabs>
          <w:tab w:val="clear" w:pos="1702"/>
        </w:tabs>
        <w:spacing w:after="120"/>
        <w:ind w:left="2410"/>
        <w:rPr>
          <w:rFonts w:cs="Arial"/>
          <w:b/>
          <w:bCs w:val="0"/>
          <w:szCs w:val="20"/>
        </w:rPr>
      </w:pPr>
      <w:r w:rsidRPr="004D28F2">
        <w:rPr>
          <w:rFonts w:cs="Arial"/>
          <w:b/>
          <w:szCs w:val="20"/>
        </w:rPr>
        <w:t>Demand/Capacity/Availability Management</w:t>
      </w:r>
      <w:r w:rsidR="006248E4">
        <w:rPr>
          <w:rFonts w:cs="Arial"/>
          <w:b/>
          <w:szCs w:val="20"/>
        </w:rPr>
        <w:t>.</w:t>
      </w:r>
      <w:r w:rsidR="006248E4">
        <w:rPr>
          <w:rFonts w:cs="Arial"/>
          <w:bCs w:val="0"/>
          <w:szCs w:val="20"/>
        </w:rPr>
        <w:t xml:space="preserve"> The Supplier will:</w:t>
      </w:r>
    </w:p>
    <w:p w14:paraId="491D24EE" w14:textId="32F3E797" w:rsidR="007B12F8" w:rsidRPr="00B45A60" w:rsidRDefault="007B12F8" w:rsidP="00B45A60">
      <w:pPr>
        <w:pStyle w:val="Heading5"/>
      </w:pPr>
      <w:r w:rsidRPr="00B45A60">
        <w:t xml:space="preserve">coordinate capacity related communication and reporting across the service, providing current </w:t>
      </w:r>
      <w:proofErr w:type="gramStart"/>
      <w:r w:rsidRPr="00B45A60">
        <w:t>usage</w:t>
      </w:r>
      <w:proofErr w:type="gramEnd"/>
      <w:r w:rsidRPr="00B45A60">
        <w:t xml:space="preserve"> and forecasting to </w:t>
      </w:r>
      <w:proofErr w:type="spellStart"/>
      <w:r w:rsidR="001F1C19">
        <w:t>Netlink</w:t>
      </w:r>
      <w:proofErr w:type="spellEnd"/>
      <w:r w:rsidR="001F1C19">
        <w:t xml:space="preserve"> Star</w:t>
      </w:r>
      <w:r w:rsidRPr="00B45A60">
        <w:t xml:space="preserve"> stakeholders.</w:t>
      </w:r>
    </w:p>
    <w:p w14:paraId="7E1EAB7A" w14:textId="267477E0" w:rsidR="007B12F8" w:rsidRPr="00B45A60" w:rsidRDefault="007B12F8" w:rsidP="00B45A60">
      <w:pPr>
        <w:pStyle w:val="Heading5"/>
      </w:pPr>
      <w:r w:rsidRPr="00B45A60">
        <w:lastRenderedPageBreak/>
        <w:t xml:space="preserve">map how the service components underpin </w:t>
      </w:r>
      <w:proofErr w:type="spellStart"/>
      <w:r w:rsidR="001F1C19">
        <w:t>Netlink</w:t>
      </w:r>
      <w:proofErr w:type="spellEnd"/>
      <w:r w:rsidR="001F1C19">
        <w:t xml:space="preserve"> Star</w:t>
      </w:r>
      <w:r w:rsidRPr="00B45A60">
        <w:t xml:space="preserve">’s business services so that capacity requirements can be linked to business plans and growth as per </w:t>
      </w:r>
      <w:proofErr w:type="spellStart"/>
      <w:r w:rsidR="001F1C19">
        <w:t>Netlink</w:t>
      </w:r>
      <w:proofErr w:type="spellEnd"/>
      <w:r w:rsidR="001F1C19">
        <w:t xml:space="preserve"> Star</w:t>
      </w:r>
      <w:r w:rsidRPr="00B45A60">
        <w:t xml:space="preserve"> template.</w:t>
      </w:r>
    </w:p>
    <w:p w14:paraId="79A57289" w14:textId="77777777" w:rsidR="007B12F8" w:rsidRPr="00B45A60" w:rsidRDefault="007B12F8" w:rsidP="00B45A60">
      <w:pPr>
        <w:pStyle w:val="Heading5"/>
      </w:pPr>
      <w:r w:rsidRPr="00B45A60">
        <w:t>evaluate the impact on IT service quality arising from any IT failures and identify single points of failure. and</w:t>
      </w:r>
    </w:p>
    <w:p w14:paraId="5B27DE7D" w14:textId="77777777" w:rsidR="007B12F8" w:rsidRPr="00C959F4" w:rsidRDefault="007B12F8" w:rsidP="00B45A60">
      <w:pPr>
        <w:pStyle w:val="Heading5"/>
        <w:rPr>
          <w:rFonts w:cs="Arial"/>
        </w:rPr>
      </w:pPr>
      <w:r w:rsidRPr="00B45A60">
        <w:t>perform both</w:t>
      </w:r>
      <w:r w:rsidRPr="00C959F4">
        <w:rPr>
          <w:rFonts w:cs="Arial"/>
        </w:rPr>
        <w:t xml:space="preserve"> proactive and reactive availability management</w:t>
      </w:r>
      <w:r>
        <w:rPr>
          <w:rFonts w:cs="Arial"/>
        </w:rPr>
        <w:t>.</w:t>
      </w:r>
    </w:p>
    <w:p w14:paraId="238F50D5" w14:textId="1F9BEE74" w:rsidR="007B12F8" w:rsidRPr="004D28F2" w:rsidRDefault="007B12F8" w:rsidP="006248E4">
      <w:pPr>
        <w:pStyle w:val="Heading4"/>
        <w:tabs>
          <w:tab w:val="clear" w:pos="1702"/>
        </w:tabs>
        <w:spacing w:after="120"/>
        <w:ind w:left="2410"/>
        <w:rPr>
          <w:rFonts w:cs="Arial"/>
          <w:b/>
          <w:bCs w:val="0"/>
          <w:szCs w:val="20"/>
        </w:rPr>
      </w:pPr>
      <w:r w:rsidRPr="004D28F2">
        <w:rPr>
          <w:rFonts w:cs="Arial"/>
          <w:b/>
          <w:szCs w:val="20"/>
        </w:rPr>
        <w:t>IT Service Continuity</w:t>
      </w:r>
      <w:r w:rsidR="006248E4">
        <w:rPr>
          <w:rFonts w:cs="Arial"/>
          <w:b/>
          <w:szCs w:val="20"/>
        </w:rPr>
        <w:t>.</w:t>
      </w:r>
      <w:r w:rsidR="006248E4">
        <w:rPr>
          <w:rFonts w:cs="Arial"/>
          <w:bCs w:val="0"/>
          <w:szCs w:val="20"/>
        </w:rPr>
        <w:t xml:space="preserve"> The Supplier will:</w:t>
      </w:r>
    </w:p>
    <w:p w14:paraId="03FF72A4" w14:textId="77777777" w:rsidR="007B12F8" w:rsidRPr="00B45A60" w:rsidRDefault="007B12F8" w:rsidP="00B45A60">
      <w:pPr>
        <w:pStyle w:val="Heading5"/>
      </w:pPr>
      <w:r w:rsidRPr="00C959F4">
        <w:rPr>
          <w:rFonts w:cs="Arial"/>
        </w:rPr>
        <w:t xml:space="preserve">manage </w:t>
      </w:r>
      <w:r w:rsidRPr="00B45A60">
        <w:t xml:space="preserve">the ITSC process for its </w:t>
      </w:r>
      <w:proofErr w:type="gramStart"/>
      <w:r w:rsidRPr="00B45A60">
        <w:t>services;</w:t>
      </w:r>
      <w:proofErr w:type="gramEnd"/>
    </w:p>
    <w:p w14:paraId="79DD9E3E" w14:textId="77777777" w:rsidR="007B12F8" w:rsidRPr="00B45A60" w:rsidRDefault="007B12F8" w:rsidP="00B45A60">
      <w:pPr>
        <w:pStyle w:val="Heading5"/>
      </w:pPr>
      <w:r w:rsidRPr="00B45A60">
        <w:t xml:space="preserve">create, review and exercise ITSC plans and recovery </w:t>
      </w:r>
      <w:proofErr w:type="gramStart"/>
      <w:r w:rsidRPr="00B45A60">
        <w:t>guides;</w:t>
      </w:r>
      <w:proofErr w:type="gramEnd"/>
    </w:p>
    <w:p w14:paraId="460CB838" w14:textId="77777777" w:rsidR="007B12F8" w:rsidRPr="00B45A60" w:rsidRDefault="007B12F8" w:rsidP="00B45A60">
      <w:pPr>
        <w:pStyle w:val="Heading5"/>
      </w:pPr>
      <w:r w:rsidRPr="00B45A60">
        <w:t xml:space="preserve">ensure ITSC is integrated into the service Introduction and change management </w:t>
      </w:r>
      <w:proofErr w:type="gramStart"/>
      <w:r w:rsidRPr="00B45A60">
        <w:t>processes;</w:t>
      </w:r>
      <w:proofErr w:type="gramEnd"/>
    </w:p>
    <w:p w14:paraId="71041462" w14:textId="77777777" w:rsidR="007B12F8" w:rsidRPr="00B45A60" w:rsidRDefault="007B12F8" w:rsidP="00B45A60">
      <w:pPr>
        <w:pStyle w:val="Heading5"/>
      </w:pPr>
      <w:r w:rsidRPr="00B45A60">
        <w:t xml:space="preserve">lead any invocations of the ITSC </w:t>
      </w:r>
      <w:proofErr w:type="gramStart"/>
      <w:r w:rsidRPr="00B45A60">
        <w:t>plans;</w:t>
      </w:r>
      <w:proofErr w:type="gramEnd"/>
    </w:p>
    <w:p w14:paraId="448EDDDA" w14:textId="77777777" w:rsidR="007B12F8" w:rsidRPr="00B45A60" w:rsidRDefault="007B12F8" w:rsidP="00B45A60">
      <w:pPr>
        <w:pStyle w:val="Heading5"/>
      </w:pPr>
      <w:r w:rsidRPr="00B45A60">
        <w:t>report on testing and invocations; and</w:t>
      </w:r>
    </w:p>
    <w:p w14:paraId="37E1BD8D" w14:textId="77777777" w:rsidR="007B12F8" w:rsidRPr="00C959F4" w:rsidRDefault="007B12F8" w:rsidP="00B45A60">
      <w:pPr>
        <w:pStyle w:val="Heading5"/>
        <w:rPr>
          <w:rFonts w:cs="Arial"/>
        </w:rPr>
      </w:pPr>
      <w:r w:rsidRPr="00B45A60">
        <w:t>integrate lessons learnt from invocation, testing and best practice into improving</w:t>
      </w:r>
      <w:r w:rsidRPr="00C959F4">
        <w:rPr>
          <w:rFonts w:cs="Arial"/>
        </w:rPr>
        <w:t xml:space="preserve"> the ITSC plans and processes</w:t>
      </w:r>
      <w:r>
        <w:rPr>
          <w:rFonts w:cs="Arial"/>
        </w:rPr>
        <w:t>.</w:t>
      </w:r>
    </w:p>
    <w:p w14:paraId="6A319D64" w14:textId="3C1789F8" w:rsidR="007B12F8" w:rsidRPr="004D28F2" w:rsidRDefault="007B12F8" w:rsidP="006248E4">
      <w:pPr>
        <w:pStyle w:val="Heading4"/>
        <w:tabs>
          <w:tab w:val="clear" w:pos="1702"/>
        </w:tabs>
        <w:spacing w:after="120"/>
        <w:ind w:left="2410"/>
        <w:rPr>
          <w:rFonts w:cs="Arial"/>
          <w:b/>
          <w:bCs w:val="0"/>
          <w:szCs w:val="20"/>
        </w:rPr>
      </w:pPr>
      <w:r w:rsidRPr="004D28F2">
        <w:rPr>
          <w:rFonts w:cs="Arial"/>
          <w:b/>
          <w:szCs w:val="20"/>
        </w:rPr>
        <w:t>Information Security Management</w:t>
      </w:r>
      <w:r w:rsidR="006248E4">
        <w:rPr>
          <w:rFonts w:cs="Arial"/>
          <w:b/>
          <w:szCs w:val="20"/>
        </w:rPr>
        <w:t>.</w:t>
      </w:r>
      <w:r w:rsidR="006248E4">
        <w:rPr>
          <w:rFonts w:cs="Arial"/>
          <w:bCs w:val="0"/>
          <w:szCs w:val="20"/>
        </w:rPr>
        <w:t xml:space="preserve"> The Supplier will:</w:t>
      </w:r>
    </w:p>
    <w:p w14:paraId="3E635D2B" w14:textId="5D2782D9" w:rsidR="007B12F8" w:rsidRPr="00B45A60" w:rsidRDefault="007B12F8" w:rsidP="00B45A60">
      <w:pPr>
        <w:pStyle w:val="Heading5"/>
      </w:pPr>
      <w:r w:rsidRPr="00B45A60">
        <w:t xml:space="preserve">manage creation of a Security Management Plan in line with </w:t>
      </w:r>
      <w:proofErr w:type="spellStart"/>
      <w:r w:rsidR="001F1C19">
        <w:t>Netlink</w:t>
      </w:r>
      <w:proofErr w:type="spellEnd"/>
      <w:r w:rsidR="001F1C19">
        <w:t xml:space="preserve"> Star</w:t>
      </w:r>
      <w:r w:rsidRPr="00B45A60">
        <w:t xml:space="preserve">’s Information Security </w:t>
      </w:r>
      <w:proofErr w:type="gramStart"/>
      <w:r w:rsidRPr="00B45A60">
        <w:t>Policies;</w:t>
      </w:r>
      <w:proofErr w:type="gramEnd"/>
    </w:p>
    <w:p w14:paraId="04FA0DDF" w14:textId="4FD39AB2" w:rsidR="007B12F8" w:rsidRPr="00B45A60" w:rsidRDefault="007B12F8" w:rsidP="00B45A60">
      <w:pPr>
        <w:pStyle w:val="Heading5"/>
      </w:pPr>
      <w:r w:rsidRPr="00B45A60">
        <w:t xml:space="preserve">provide a liaison between the Supplier’s Security Management and </w:t>
      </w:r>
      <w:proofErr w:type="spellStart"/>
      <w:r w:rsidR="001F1C19">
        <w:t>Netlink</w:t>
      </w:r>
      <w:proofErr w:type="spellEnd"/>
      <w:r w:rsidR="001F1C19">
        <w:t xml:space="preserve"> Star</w:t>
      </w:r>
      <w:r w:rsidRPr="00B45A60">
        <w:t xml:space="preserve">’s SOC during security </w:t>
      </w:r>
      <w:proofErr w:type="gramStart"/>
      <w:r w:rsidRPr="00B45A60">
        <w:t>incidents;</w:t>
      </w:r>
      <w:proofErr w:type="gramEnd"/>
    </w:p>
    <w:p w14:paraId="07F2CFEC" w14:textId="03E26CAB" w:rsidR="007B12F8" w:rsidRPr="00B45A60" w:rsidRDefault="007B12F8" w:rsidP="00B45A60">
      <w:pPr>
        <w:pStyle w:val="Heading5"/>
      </w:pPr>
      <w:r w:rsidRPr="00B45A60">
        <w:t xml:space="preserve">manage vetting of Supplier delivery resources working on </w:t>
      </w:r>
      <w:proofErr w:type="spellStart"/>
      <w:r w:rsidR="001F1C19">
        <w:t>Netlink</w:t>
      </w:r>
      <w:proofErr w:type="spellEnd"/>
      <w:r w:rsidR="001F1C19">
        <w:t xml:space="preserve"> Star</w:t>
      </w:r>
      <w:r w:rsidRPr="00B45A60">
        <w:t xml:space="preserve"> Systems to BPSS standard; and</w:t>
      </w:r>
    </w:p>
    <w:p w14:paraId="091F5526" w14:textId="206F92F9" w:rsidR="007B12F8" w:rsidRPr="00C959F4" w:rsidRDefault="007B12F8" w:rsidP="00B45A60">
      <w:pPr>
        <w:pStyle w:val="Heading5"/>
        <w:rPr>
          <w:rFonts w:cs="Arial"/>
        </w:rPr>
      </w:pPr>
      <w:r w:rsidRPr="00B45A60">
        <w:t xml:space="preserve">Manage the Supplier DR/BCP requirements in line with </w:t>
      </w:r>
      <w:proofErr w:type="spellStart"/>
      <w:r w:rsidR="001F1C19">
        <w:t>Netlink</w:t>
      </w:r>
      <w:proofErr w:type="spellEnd"/>
      <w:r w:rsidR="001F1C19">
        <w:t xml:space="preserve"> Star</w:t>
      </w:r>
      <w:r w:rsidRPr="00B45A60">
        <w:t>’s policy</w:t>
      </w:r>
      <w:r>
        <w:rPr>
          <w:rFonts w:cs="Arial"/>
        </w:rPr>
        <w:t>.</w:t>
      </w:r>
    </w:p>
    <w:p w14:paraId="12124011" w14:textId="6E14C0EA" w:rsidR="007B12F8" w:rsidRPr="004D28F2" w:rsidRDefault="007B12F8" w:rsidP="006248E4">
      <w:pPr>
        <w:pStyle w:val="Heading4"/>
        <w:tabs>
          <w:tab w:val="clear" w:pos="1702"/>
        </w:tabs>
        <w:spacing w:after="120"/>
        <w:ind w:left="2410"/>
        <w:rPr>
          <w:rFonts w:cs="Arial"/>
          <w:b/>
          <w:bCs w:val="0"/>
          <w:szCs w:val="20"/>
        </w:rPr>
      </w:pPr>
      <w:r w:rsidRPr="004D28F2">
        <w:rPr>
          <w:rFonts w:cs="Arial"/>
          <w:b/>
          <w:szCs w:val="20"/>
        </w:rPr>
        <w:t>Service Management Reviews</w:t>
      </w:r>
      <w:r w:rsidR="006248E4">
        <w:rPr>
          <w:rFonts w:cs="Arial"/>
          <w:b/>
          <w:szCs w:val="20"/>
        </w:rPr>
        <w:t>.</w:t>
      </w:r>
      <w:r w:rsidR="006248E4">
        <w:rPr>
          <w:rFonts w:cs="Arial"/>
          <w:bCs w:val="0"/>
          <w:szCs w:val="20"/>
        </w:rPr>
        <w:t xml:space="preserve"> The Supplier will:</w:t>
      </w:r>
    </w:p>
    <w:p w14:paraId="1AF48E7C" w14:textId="77777777" w:rsidR="007B12F8" w:rsidRPr="00B45A60" w:rsidRDefault="007B12F8" w:rsidP="00B45A60">
      <w:pPr>
        <w:pStyle w:val="Heading5"/>
      </w:pPr>
      <w:r w:rsidRPr="00C959F4">
        <w:rPr>
          <w:rFonts w:cs="Arial"/>
        </w:rPr>
        <w:t xml:space="preserve">report on </w:t>
      </w:r>
      <w:r w:rsidRPr="00B45A60">
        <w:t>performance and quality of service provision.</w:t>
      </w:r>
    </w:p>
    <w:p w14:paraId="330ADA2E" w14:textId="77777777" w:rsidR="007B12F8" w:rsidRPr="00B45A60" w:rsidRDefault="007B12F8" w:rsidP="00B45A60">
      <w:pPr>
        <w:pStyle w:val="Heading5"/>
      </w:pPr>
      <w:r w:rsidRPr="00B45A60">
        <w:t>act as a single point of contact for any disputes.</w:t>
      </w:r>
    </w:p>
    <w:p w14:paraId="4260D3DA" w14:textId="77777777" w:rsidR="007B12F8" w:rsidRPr="00B45A60" w:rsidRDefault="007B12F8" w:rsidP="00B45A60">
      <w:pPr>
        <w:pStyle w:val="Heading5"/>
      </w:pPr>
      <w:r w:rsidRPr="00B45A60">
        <w:t>recommend continual service improvement initiatives. and</w:t>
      </w:r>
    </w:p>
    <w:p w14:paraId="17AC346E" w14:textId="77777777" w:rsidR="007B12F8" w:rsidRPr="00C959F4" w:rsidRDefault="007B12F8" w:rsidP="00B45A60">
      <w:pPr>
        <w:pStyle w:val="Heading5"/>
        <w:rPr>
          <w:rFonts w:cs="Arial"/>
        </w:rPr>
      </w:pPr>
      <w:r w:rsidRPr="00B45A60">
        <w:t>review any major</w:t>
      </w:r>
      <w:r w:rsidRPr="00C959F4">
        <w:rPr>
          <w:rFonts w:cs="Arial"/>
        </w:rPr>
        <w:t xml:space="preserve"> incidents impacting the critical SLAs</w:t>
      </w:r>
      <w:r>
        <w:rPr>
          <w:rFonts w:cs="Arial"/>
        </w:rPr>
        <w:t>.</w:t>
      </w:r>
    </w:p>
    <w:p w14:paraId="44641875" w14:textId="2D39B856" w:rsidR="007B12F8" w:rsidRPr="004D28F2" w:rsidRDefault="007B12F8" w:rsidP="006248E4">
      <w:pPr>
        <w:pStyle w:val="Heading4"/>
        <w:tabs>
          <w:tab w:val="clear" w:pos="1702"/>
        </w:tabs>
        <w:spacing w:after="120"/>
        <w:ind w:left="2410"/>
        <w:rPr>
          <w:rFonts w:cs="Arial"/>
          <w:b/>
          <w:bCs w:val="0"/>
          <w:szCs w:val="20"/>
        </w:rPr>
      </w:pPr>
      <w:r w:rsidRPr="004D28F2">
        <w:rPr>
          <w:rFonts w:cs="Arial"/>
          <w:b/>
          <w:szCs w:val="20"/>
        </w:rPr>
        <w:t>Project Add-Ons</w:t>
      </w:r>
      <w:r w:rsidR="006248E4">
        <w:rPr>
          <w:rFonts w:cs="Arial"/>
          <w:b/>
          <w:szCs w:val="20"/>
        </w:rPr>
        <w:t>.</w:t>
      </w:r>
      <w:r w:rsidR="006248E4">
        <w:rPr>
          <w:rFonts w:cs="Arial"/>
          <w:bCs w:val="0"/>
          <w:szCs w:val="20"/>
        </w:rPr>
        <w:t xml:space="preserve"> The Supplier will:</w:t>
      </w:r>
    </w:p>
    <w:p w14:paraId="77BF367C" w14:textId="77777777" w:rsidR="007B12F8" w:rsidRPr="00B45A60" w:rsidRDefault="007B12F8" w:rsidP="00B45A60">
      <w:pPr>
        <w:pStyle w:val="Heading5"/>
      </w:pPr>
      <w:r w:rsidRPr="00C959F4">
        <w:rPr>
          <w:rFonts w:cs="Arial"/>
        </w:rPr>
        <w:t xml:space="preserve">create a </w:t>
      </w:r>
      <w:r w:rsidRPr="00B45A60">
        <w:t xml:space="preserve">Project Add-On Request system for standard/frequent </w:t>
      </w:r>
      <w:proofErr w:type="gramStart"/>
      <w:r w:rsidRPr="00B45A60">
        <w:t>requests;</w:t>
      </w:r>
      <w:proofErr w:type="gramEnd"/>
    </w:p>
    <w:p w14:paraId="7D9A1A5F" w14:textId="77777777" w:rsidR="007B12F8" w:rsidRPr="00B45A60" w:rsidRDefault="007B12F8" w:rsidP="00B45A60">
      <w:pPr>
        <w:pStyle w:val="Heading5"/>
      </w:pPr>
      <w:r w:rsidRPr="00B45A60">
        <w:t xml:space="preserve">create streamlined approvals for standard changes and triage nonstandard </w:t>
      </w:r>
      <w:proofErr w:type="gramStart"/>
      <w:r w:rsidRPr="00B45A60">
        <w:t>requests;</w:t>
      </w:r>
      <w:proofErr w:type="gramEnd"/>
    </w:p>
    <w:p w14:paraId="1BF29AEF" w14:textId="77777777" w:rsidR="007B12F8" w:rsidRPr="00B45A60" w:rsidRDefault="007B12F8" w:rsidP="00B45A60">
      <w:pPr>
        <w:pStyle w:val="Heading5"/>
      </w:pPr>
      <w:r w:rsidRPr="00B45A60">
        <w:t xml:space="preserve">drive the delivery of the projects through </w:t>
      </w:r>
      <w:proofErr w:type="gramStart"/>
      <w:r w:rsidRPr="00B45A60">
        <w:t>governance;</w:t>
      </w:r>
      <w:proofErr w:type="gramEnd"/>
      <w:r w:rsidRPr="00B45A60">
        <w:t xml:space="preserve"> </w:t>
      </w:r>
    </w:p>
    <w:p w14:paraId="452E965F" w14:textId="77777777" w:rsidR="007B12F8" w:rsidRPr="00B45A60" w:rsidRDefault="007B12F8" w:rsidP="00B45A60">
      <w:pPr>
        <w:pStyle w:val="Heading5"/>
      </w:pPr>
      <w:r w:rsidRPr="00B45A60">
        <w:t>take the change into service for ongoing operations; and</w:t>
      </w:r>
    </w:p>
    <w:p w14:paraId="274B824B" w14:textId="77777777" w:rsidR="007B12F8" w:rsidRPr="00C959F4" w:rsidRDefault="007B12F8" w:rsidP="00B45A60">
      <w:pPr>
        <w:pStyle w:val="Heading5"/>
        <w:rPr>
          <w:rFonts w:cs="Arial"/>
        </w:rPr>
      </w:pPr>
      <w:r w:rsidRPr="00B45A60">
        <w:lastRenderedPageBreak/>
        <w:t>add frequent</w:t>
      </w:r>
      <w:r w:rsidRPr="00C959F4">
        <w:rPr>
          <w:rFonts w:cs="Arial"/>
        </w:rPr>
        <w:t xml:space="preserve"> and similar non-standard requests to the catalogue</w:t>
      </w:r>
      <w:r>
        <w:rPr>
          <w:rFonts w:cs="Arial"/>
        </w:rPr>
        <w:t>.</w:t>
      </w:r>
    </w:p>
    <w:p w14:paraId="16D2518A" w14:textId="1A61814E" w:rsidR="007B12F8" w:rsidRPr="004D28F2" w:rsidRDefault="007B12F8" w:rsidP="006248E4">
      <w:pPr>
        <w:pStyle w:val="Heading4"/>
        <w:tabs>
          <w:tab w:val="clear" w:pos="1702"/>
        </w:tabs>
        <w:spacing w:after="120"/>
        <w:ind w:left="2410"/>
        <w:rPr>
          <w:rFonts w:cs="Arial"/>
          <w:b/>
          <w:bCs w:val="0"/>
          <w:szCs w:val="20"/>
        </w:rPr>
      </w:pPr>
      <w:r w:rsidRPr="004D28F2">
        <w:rPr>
          <w:rFonts w:cs="Arial"/>
          <w:b/>
          <w:szCs w:val="20"/>
        </w:rPr>
        <w:t>Change and Release Management</w:t>
      </w:r>
      <w:r w:rsidR="006248E4">
        <w:rPr>
          <w:rFonts w:cs="Arial"/>
          <w:b/>
          <w:szCs w:val="20"/>
        </w:rPr>
        <w:t>.</w:t>
      </w:r>
      <w:r w:rsidR="006248E4">
        <w:rPr>
          <w:rFonts w:cs="Arial"/>
          <w:bCs w:val="0"/>
          <w:szCs w:val="20"/>
        </w:rPr>
        <w:t xml:space="preserve"> The Supplier will:</w:t>
      </w:r>
    </w:p>
    <w:p w14:paraId="09E3F07F" w14:textId="77777777" w:rsidR="007B12F8" w:rsidRPr="00B45A60" w:rsidRDefault="007B12F8" w:rsidP="00B45A60">
      <w:pPr>
        <w:pStyle w:val="Heading5"/>
      </w:pPr>
      <w:r w:rsidRPr="00C959F4">
        <w:rPr>
          <w:rFonts w:cs="Arial"/>
        </w:rPr>
        <w:t xml:space="preserve">work with </w:t>
      </w:r>
      <w:r w:rsidRPr="00B45A60">
        <w:t xml:space="preserve">the primary change </w:t>
      </w:r>
      <w:proofErr w:type="gramStart"/>
      <w:r w:rsidRPr="00B45A60">
        <w:t>coordinator;</w:t>
      </w:r>
      <w:proofErr w:type="gramEnd"/>
    </w:p>
    <w:p w14:paraId="088DE240" w14:textId="77777777" w:rsidR="007B12F8" w:rsidRPr="00B45A60" w:rsidRDefault="007B12F8" w:rsidP="00B45A60">
      <w:pPr>
        <w:pStyle w:val="Heading5"/>
      </w:pPr>
      <w:r w:rsidRPr="00B45A60">
        <w:t>provide analytics and quality checks on changes and releases to be implemented (lead times, unplanned changes, etc.</w:t>
      </w:r>
      <w:proofErr w:type="gramStart"/>
      <w:r w:rsidRPr="00B45A60">
        <w:t>);</w:t>
      </w:r>
      <w:proofErr w:type="gramEnd"/>
    </w:p>
    <w:p w14:paraId="462D67DF" w14:textId="77777777" w:rsidR="007B12F8" w:rsidRPr="00B45A60" w:rsidRDefault="007B12F8" w:rsidP="00B45A60">
      <w:pPr>
        <w:pStyle w:val="Heading5"/>
      </w:pPr>
      <w:r w:rsidRPr="00B45A60">
        <w:t>run CAB calls for normal changes; and</w:t>
      </w:r>
    </w:p>
    <w:p w14:paraId="56F6BFCF" w14:textId="77777777" w:rsidR="007B12F8" w:rsidRPr="00C959F4" w:rsidRDefault="007B12F8" w:rsidP="00B45A60">
      <w:pPr>
        <w:pStyle w:val="Heading5"/>
        <w:rPr>
          <w:rFonts w:cs="Arial"/>
        </w:rPr>
      </w:pPr>
      <w:r w:rsidRPr="00B45A60">
        <w:t>audit enforcement</w:t>
      </w:r>
      <w:r w:rsidRPr="00C959F4">
        <w:rPr>
          <w:rFonts w:cs="Arial"/>
        </w:rPr>
        <w:t xml:space="preserve"> and support</w:t>
      </w:r>
      <w:r>
        <w:rPr>
          <w:rFonts w:cs="Arial"/>
        </w:rPr>
        <w:t>.</w:t>
      </w:r>
    </w:p>
    <w:p w14:paraId="53295452" w14:textId="29AA3A72" w:rsidR="007B12F8" w:rsidRPr="004D28F2" w:rsidRDefault="007B12F8" w:rsidP="006248E4">
      <w:pPr>
        <w:pStyle w:val="Heading4"/>
        <w:tabs>
          <w:tab w:val="clear" w:pos="1702"/>
        </w:tabs>
        <w:spacing w:after="120"/>
        <w:ind w:left="2410"/>
        <w:rPr>
          <w:rFonts w:cs="Arial"/>
          <w:b/>
          <w:bCs w:val="0"/>
          <w:szCs w:val="20"/>
        </w:rPr>
      </w:pPr>
      <w:r w:rsidRPr="004D28F2">
        <w:rPr>
          <w:rFonts w:cs="Arial"/>
          <w:b/>
          <w:szCs w:val="20"/>
        </w:rPr>
        <w:t>Service Asset and Configuration Management</w:t>
      </w:r>
      <w:r w:rsidR="006248E4">
        <w:rPr>
          <w:rFonts w:cs="Arial"/>
          <w:b/>
          <w:szCs w:val="20"/>
        </w:rPr>
        <w:t>.</w:t>
      </w:r>
      <w:r w:rsidR="006248E4">
        <w:rPr>
          <w:rFonts w:cs="Arial"/>
          <w:bCs w:val="0"/>
          <w:szCs w:val="20"/>
        </w:rPr>
        <w:t xml:space="preserve"> The Supplier will:</w:t>
      </w:r>
    </w:p>
    <w:p w14:paraId="298DB60D" w14:textId="3C0FAADD" w:rsidR="007B12F8" w:rsidRPr="00B45A60" w:rsidRDefault="007B12F8" w:rsidP="00B45A60">
      <w:pPr>
        <w:pStyle w:val="Heading5"/>
      </w:pPr>
      <w:r w:rsidRPr="00C959F4">
        <w:rPr>
          <w:rFonts w:cs="Arial"/>
        </w:rPr>
        <w:t xml:space="preserve">update the CMDB data model on a regular basis with the changes </w:t>
      </w:r>
      <w:proofErr w:type="spellStart"/>
      <w:r w:rsidR="001F1C19">
        <w:rPr>
          <w:rFonts w:cs="Arial"/>
        </w:rPr>
        <w:t>Netlink</w:t>
      </w:r>
      <w:proofErr w:type="spellEnd"/>
      <w:r w:rsidR="001F1C19">
        <w:rPr>
          <w:rFonts w:cs="Arial"/>
        </w:rPr>
        <w:t xml:space="preserve"> Star</w:t>
      </w:r>
      <w:r w:rsidRPr="00B45A60">
        <w:t xml:space="preserve"> provides, including Business Service application and infrastructure relationships.  This will be done in the </w:t>
      </w:r>
      <w:proofErr w:type="spellStart"/>
      <w:r w:rsidR="001F1C19">
        <w:t>Netlink</w:t>
      </w:r>
      <w:proofErr w:type="spellEnd"/>
      <w:r w:rsidR="001F1C19">
        <w:t xml:space="preserve"> Star</w:t>
      </w:r>
      <w:r w:rsidRPr="00B45A60">
        <w:t xml:space="preserve"> SCCD ITSM tool and replicated in the Supplier’s ServiceNow ITSM tool; and</w:t>
      </w:r>
    </w:p>
    <w:p w14:paraId="3C8DC759" w14:textId="77777777" w:rsidR="007B12F8" w:rsidRPr="00C959F4" w:rsidRDefault="007B12F8" w:rsidP="00B45A60">
      <w:pPr>
        <w:pStyle w:val="Heading5"/>
        <w:rPr>
          <w:rFonts w:cs="Arial"/>
        </w:rPr>
      </w:pPr>
      <w:r w:rsidRPr="00B45A60">
        <w:t>assign assets to support teams and service owners for proper management</w:t>
      </w:r>
      <w:r w:rsidRPr="00C959F4">
        <w:rPr>
          <w:rFonts w:cs="Arial"/>
        </w:rPr>
        <w:t xml:space="preserve">, </w:t>
      </w:r>
      <w:proofErr w:type="gramStart"/>
      <w:r w:rsidRPr="00C959F4">
        <w:rPr>
          <w:rFonts w:cs="Arial"/>
        </w:rPr>
        <w:t>validation</w:t>
      </w:r>
      <w:proofErr w:type="gramEnd"/>
      <w:r w:rsidRPr="00C959F4">
        <w:rPr>
          <w:rFonts w:cs="Arial"/>
        </w:rPr>
        <w:t xml:space="preserve"> and escalations</w:t>
      </w:r>
      <w:r>
        <w:rPr>
          <w:rFonts w:cs="Arial"/>
        </w:rPr>
        <w:t>.</w:t>
      </w:r>
    </w:p>
    <w:p w14:paraId="262564C5" w14:textId="30F1D7A8" w:rsidR="007B12F8" w:rsidRPr="006248E4" w:rsidRDefault="007B12F8" w:rsidP="006248E4">
      <w:pPr>
        <w:pStyle w:val="Heading4"/>
        <w:tabs>
          <w:tab w:val="clear" w:pos="1702"/>
        </w:tabs>
        <w:spacing w:after="120"/>
        <w:ind w:left="2410"/>
        <w:rPr>
          <w:rFonts w:cs="Arial"/>
          <w:bCs w:val="0"/>
          <w:szCs w:val="20"/>
        </w:rPr>
      </w:pPr>
      <w:r w:rsidRPr="004D28F2">
        <w:rPr>
          <w:rFonts w:cs="Arial"/>
          <w:b/>
          <w:szCs w:val="20"/>
        </w:rPr>
        <w:t>Service Validation and Testing</w:t>
      </w:r>
      <w:r w:rsidR="006248E4">
        <w:rPr>
          <w:rFonts w:cs="Arial"/>
          <w:b/>
          <w:szCs w:val="20"/>
        </w:rPr>
        <w:t xml:space="preserve">. </w:t>
      </w:r>
      <w:r w:rsidR="006248E4" w:rsidRPr="006248E4">
        <w:rPr>
          <w:rFonts w:cs="Arial"/>
          <w:bCs w:val="0"/>
          <w:szCs w:val="20"/>
        </w:rPr>
        <w:t>The Supplier will perform an integrated pre-production test prior to implementing changes into the Production Environment, excluding application changes.</w:t>
      </w:r>
    </w:p>
    <w:p w14:paraId="663612CB" w14:textId="77777777" w:rsidR="006248E4" w:rsidRPr="006248E4" w:rsidRDefault="007B12F8" w:rsidP="006248E4">
      <w:pPr>
        <w:pStyle w:val="Heading4"/>
        <w:tabs>
          <w:tab w:val="clear" w:pos="1702"/>
        </w:tabs>
        <w:spacing w:after="120"/>
        <w:ind w:left="2410"/>
        <w:rPr>
          <w:rFonts w:cs="Arial"/>
          <w:b/>
          <w:szCs w:val="20"/>
        </w:rPr>
      </w:pPr>
      <w:r w:rsidRPr="004D28F2">
        <w:rPr>
          <w:rFonts w:cs="Arial"/>
          <w:b/>
          <w:szCs w:val="20"/>
        </w:rPr>
        <w:t>Service Validation and Testing</w:t>
      </w:r>
      <w:r w:rsidR="006248E4">
        <w:rPr>
          <w:rFonts w:cs="Arial"/>
          <w:b/>
          <w:szCs w:val="20"/>
        </w:rPr>
        <w:t xml:space="preserve">. </w:t>
      </w:r>
      <w:r w:rsidR="006248E4" w:rsidRPr="006248E4">
        <w:rPr>
          <w:rFonts w:cs="Arial"/>
          <w:bCs w:val="0"/>
          <w:szCs w:val="20"/>
        </w:rPr>
        <w:t xml:space="preserve">The Supplier will create, </w:t>
      </w:r>
      <w:proofErr w:type="gramStart"/>
      <w:r w:rsidR="006248E4" w:rsidRPr="006248E4">
        <w:rPr>
          <w:rFonts w:cs="Arial"/>
          <w:bCs w:val="0"/>
          <w:szCs w:val="20"/>
        </w:rPr>
        <w:t>update</w:t>
      </w:r>
      <w:proofErr w:type="gramEnd"/>
      <w:r w:rsidR="006248E4" w:rsidRPr="006248E4">
        <w:rPr>
          <w:rFonts w:cs="Arial"/>
          <w:bCs w:val="0"/>
          <w:szCs w:val="20"/>
        </w:rPr>
        <w:t xml:space="preserve"> and retire Knowledge Articles and associated documentation within the Service Knowledge Management System (SKMS).</w:t>
      </w:r>
    </w:p>
    <w:p w14:paraId="3721065E" w14:textId="72523168" w:rsidR="007B12F8" w:rsidRPr="004D28F2" w:rsidRDefault="007B12F8" w:rsidP="006248E4">
      <w:pPr>
        <w:pStyle w:val="Heading4"/>
        <w:tabs>
          <w:tab w:val="clear" w:pos="1702"/>
        </w:tabs>
        <w:spacing w:after="120"/>
        <w:ind w:left="2410"/>
        <w:rPr>
          <w:rFonts w:cs="Arial"/>
          <w:b/>
          <w:bCs w:val="0"/>
          <w:szCs w:val="20"/>
        </w:rPr>
      </w:pPr>
      <w:r w:rsidRPr="004D28F2">
        <w:rPr>
          <w:rFonts w:cs="Arial"/>
          <w:b/>
          <w:szCs w:val="20"/>
        </w:rPr>
        <w:t>Event Management</w:t>
      </w:r>
      <w:r w:rsidR="006248E4">
        <w:rPr>
          <w:rFonts w:cs="Arial"/>
          <w:b/>
          <w:szCs w:val="20"/>
        </w:rPr>
        <w:t>.</w:t>
      </w:r>
      <w:r w:rsidR="006248E4">
        <w:rPr>
          <w:rFonts w:cs="Arial"/>
          <w:bCs w:val="0"/>
          <w:szCs w:val="20"/>
        </w:rPr>
        <w:t xml:space="preserve"> The Supplier will:</w:t>
      </w:r>
    </w:p>
    <w:p w14:paraId="1475CB41" w14:textId="77777777" w:rsidR="007B12F8" w:rsidRPr="00B45A60" w:rsidRDefault="007B12F8" w:rsidP="00B45A60">
      <w:pPr>
        <w:pStyle w:val="Heading5"/>
      </w:pPr>
      <w:r w:rsidRPr="00C959F4">
        <w:rPr>
          <w:rFonts w:cs="Arial"/>
        </w:rPr>
        <w:t>implement Splunk as the event correlation tool for all alerts related to server</w:t>
      </w:r>
      <w:r w:rsidRPr="00B45A60">
        <w:t xml:space="preserve">, storage, backup, network etc. as per the Supplier’s standard </w:t>
      </w:r>
      <w:proofErr w:type="gramStart"/>
      <w:r w:rsidRPr="00B45A60">
        <w:t>baselines;</w:t>
      </w:r>
      <w:proofErr w:type="gramEnd"/>
    </w:p>
    <w:p w14:paraId="06033437" w14:textId="77777777" w:rsidR="007B12F8" w:rsidRPr="00C959F4" w:rsidRDefault="007B12F8" w:rsidP="00B45A60">
      <w:pPr>
        <w:pStyle w:val="Heading5"/>
        <w:rPr>
          <w:rFonts w:cs="Arial"/>
        </w:rPr>
      </w:pPr>
      <w:r w:rsidRPr="00B45A60">
        <w:t>enable</w:t>
      </w:r>
      <w:r w:rsidRPr="00C959F4">
        <w:rPr>
          <w:rFonts w:cs="Arial"/>
        </w:rPr>
        <w:t xml:space="preserve"> auto-ticketing for all valid alerts as per configuration</w:t>
      </w:r>
      <w:r>
        <w:rPr>
          <w:rFonts w:cs="Arial"/>
        </w:rPr>
        <w:t>; and</w:t>
      </w:r>
    </w:p>
    <w:p w14:paraId="43F6CCEA" w14:textId="77777777" w:rsidR="007B12F8" w:rsidRPr="00C959F4" w:rsidRDefault="007B12F8" w:rsidP="00B45A60">
      <w:pPr>
        <w:pStyle w:val="Heading5"/>
        <w:rPr>
          <w:rFonts w:cs="Arial"/>
        </w:rPr>
      </w:pPr>
      <w:r w:rsidRPr="00C959F4">
        <w:rPr>
          <w:rFonts w:cs="Arial"/>
        </w:rPr>
        <w:t>provide a consistent approach to monitoring, event management, health checks and routine standard operating procedures (SOP) via its GCC</w:t>
      </w:r>
      <w:r>
        <w:rPr>
          <w:rFonts w:cs="Arial"/>
        </w:rPr>
        <w:t>.</w:t>
      </w:r>
    </w:p>
    <w:p w14:paraId="6E2009EB" w14:textId="5EB6AD2E" w:rsidR="007B12F8" w:rsidRPr="004D28F2" w:rsidRDefault="007B12F8" w:rsidP="006248E4">
      <w:pPr>
        <w:pStyle w:val="Heading4"/>
        <w:tabs>
          <w:tab w:val="clear" w:pos="1702"/>
        </w:tabs>
        <w:spacing w:after="120"/>
        <w:ind w:left="2410"/>
        <w:rPr>
          <w:rFonts w:cs="Arial"/>
          <w:b/>
          <w:bCs w:val="0"/>
          <w:szCs w:val="20"/>
        </w:rPr>
      </w:pPr>
      <w:r w:rsidRPr="004D28F2">
        <w:rPr>
          <w:rFonts w:cs="Arial"/>
          <w:b/>
          <w:szCs w:val="20"/>
        </w:rPr>
        <w:t>Incident and Major Incident Management</w:t>
      </w:r>
      <w:r w:rsidR="006248E4">
        <w:rPr>
          <w:rFonts w:cs="Arial"/>
          <w:b/>
          <w:szCs w:val="20"/>
        </w:rPr>
        <w:t>.</w:t>
      </w:r>
      <w:r w:rsidR="006248E4">
        <w:rPr>
          <w:rFonts w:cs="Arial"/>
          <w:bCs w:val="0"/>
          <w:szCs w:val="20"/>
        </w:rPr>
        <w:t xml:space="preserve"> The Supplier will:</w:t>
      </w:r>
    </w:p>
    <w:p w14:paraId="743617D8" w14:textId="77777777" w:rsidR="007B12F8" w:rsidRPr="00B45A60" w:rsidRDefault="007B12F8" w:rsidP="00B45A60">
      <w:pPr>
        <w:pStyle w:val="Heading5"/>
      </w:pPr>
      <w:r w:rsidRPr="00C959F4">
        <w:rPr>
          <w:rFonts w:cs="Arial"/>
        </w:rPr>
        <w:t xml:space="preserve">undertake </w:t>
      </w:r>
      <w:r w:rsidRPr="00B45A60">
        <w:t xml:space="preserve">targeted CMDB driven auto-assignments and </w:t>
      </w:r>
      <w:proofErr w:type="gramStart"/>
      <w:r w:rsidRPr="00B45A60">
        <w:t>escalations;</w:t>
      </w:r>
      <w:proofErr w:type="gramEnd"/>
    </w:p>
    <w:p w14:paraId="5A3D9E05" w14:textId="401AB4F4" w:rsidR="007B12F8" w:rsidRPr="00B45A60" w:rsidRDefault="007B12F8" w:rsidP="00B45A60">
      <w:pPr>
        <w:pStyle w:val="Heading5"/>
      </w:pPr>
      <w:r w:rsidRPr="00B45A60">
        <w:t xml:space="preserve">notify </w:t>
      </w:r>
      <w:proofErr w:type="spellStart"/>
      <w:r w:rsidR="001F1C19">
        <w:t>Netlink</w:t>
      </w:r>
      <w:proofErr w:type="spellEnd"/>
      <w:r w:rsidR="001F1C19">
        <w:t xml:space="preserve"> Star</w:t>
      </w:r>
      <w:r w:rsidRPr="00B45A60">
        <w:t xml:space="preserve"> if it becomes aware of a major </w:t>
      </w:r>
      <w:proofErr w:type="gramStart"/>
      <w:r w:rsidRPr="00B45A60">
        <w:t>incident;</w:t>
      </w:r>
      <w:proofErr w:type="gramEnd"/>
      <w:r w:rsidRPr="00B45A60">
        <w:t xml:space="preserve"> </w:t>
      </w:r>
    </w:p>
    <w:p w14:paraId="08E41D08" w14:textId="77777777" w:rsidR="007B12F8" w:rsidRPr="00B45A60" w:rsidRDefault="007B12F8" w:rsidP="00B45A60">
      <w:pPr>
        <w:pStyle w:val="Heading5"/>
      </w:pPr>
      <w:r w:rsidRPr="00B45A60">
        <w:t xml:space="preserve">deploy notifications sent directly from Incident ticket with built-in distribution lists and templates for support teams and business </w:t>
      </w:r>
      <w:proofErr w:type="gramStart"/>
      <w:r w:rsidRPr="00B45A60">
        <w:t>contacts;</w:t>
      </w:r>
      <w:proofErr w:type="gramEnd"/>
    </w:p>
    <w:p w14:paraId="323A6F02" w14:textId="5B9CD838" w:rsidR="007B12F8" w:rsidRPr="00B45A60" w:rsidRDefault="007B12F8" w:rsidP="00B45A60">
      <w:pPr>
        <w:pStyle w:val="Heading5"/>
      </w:pPr>
      <w:r w:rsidRPr="00B45A60">
        <w:t xml:space="preserve">act as a liaison between the Supplier’s Security Management and </w:t>
      </w:r>
      <w:proofErr w:type="spellStart"/>
      <w:r w:rsidR="001F1C19">
        <w:t>Netlink</w:t>
      </w:r>
      <w:proofErr w:type="spellEnd"/>
      <w:r w:rsidR="001F1C19">
        <w:t xml:space="preserve"> Star</w:t>
      </w:r>
      <w:r w:rsidRPr="00B45A60">
        <w:t xml:space="preserve">’s SOC during security </w:t>
      </w:r>
      <w:proofErr w:type="gramStart"/>
      <w:r w:rsidRPr="00B45A60">
        <w:t>incidents;</w:t>
      </w:r>
      <w:proofErr w:type="gramEnd"/>
    </w:p>
    <w:p w14:paraId="06C174ED" w14:textId="77777777" w:rsidR="007B12F8" w:rsidRPr="00B45A60" w:rsidRDefault="007B12F8" w:rsidP="00B45A60">
      <w:pPr>
        <w:pStyle w:val="Heading5"/>
      </w:pPr>
      <w:r w:rsidRPr="00B45A60">
        <w:t xml:space="preserve">run MIRT calls for P1s to drive rapid </w:t>
      </w:r>
      <w:proofErr w:type="gramStart"/>
      <w:r w:rsidRPr="00B45A60">
        <w:t>resolution;</w:t>
      </w:r>
      <w:proofErr w:type="gramEnd"/>
      <w:r w:rsidRPr="00B45A60">
        <w:t xml:space="preserve"> </w:t>
      </w:r>
    </w:p>
    <w:p w14:paraId="46AF495E" w14:textId="77777777" w:rsidR="007B12F8" w:rsidRPr="00B45A60" w:rsidRDefault="007B12F8" w:rsidP="00B45A60">
      <w:pPr>
        <w:pStyle w:val="Heading5"/>
      </w:pPr>
      <w:r w:rsidRPr="00B45A60">
        <w:t xml:space="preserve">provide updates and regular communication on the status of high priority </w:t>
      </w:r>
      <w:proofErr w:type="gramStart"/>
      <w:r w:rsidRPr="00B45A60">
        <w:t>incidents;</w:t>
      </w:r>
      <w:proofErr w:type="gramEnd"/>
    </w:p>
    <w:p w14:paraId="4D9E6780" w14:textId="77777777" w:rsidR="007B12F8" w:rsidRPr="00B45A60" w:rsidRDefault="007B12F8" w:rsidP="00B45A60">
      <w:pPr>
        <w:pStyle w:val="Heading5"/>
      </w:pPr>
      <w:r w:rsidRPr="00B45A60">
        <w:lastRenderedPageBreak/>
        <w:t xml:space="preserve">perform end-to-end ownership of in-scope </w:t>
      </w:r>
      <w:proofErr w:type="gramStart"/>
      <w:r w:rsidRPr="00B45A60">
        <w:t>tickets;</w:t>
      </w:r>
      <w:proofErr w:type="gramEnd"/>
    </w:p>
    <w:p w14:paraId="50F576DC" w14:textId="77777777" w:rsidR="007B12F8" w:rsidRPr="00B45A60" w:rsidRDefault="007B12F8" w:rsidP="00B45A60">
      <w:pPr>
        <w:pStyle w:val="Heading5"/>
      </w:pPr>
      <w:r w:rsidRPr="00B45A60">
        <w:t>perform breach monitoring and jeopardy management; and</w:t>
      </w:r>
    </w:p>
    <w:p w14:paraId="73DDBC32" w14:textId="77777777" w:rsidR="007B12F8" w:rsidRPr="00C959F4" w:rsidRDefault="007B12F8" w:rsidP="00B45A60">
      <w:pPr>
        <w:pStyle w:val="Heading5"/>
        <w:rPr>
          <w:rFonts w:cs="Arial"/>
        </w:rPr>
      </w:pPr>
      <w:r w:rsidRPr="00B45A60">
        <w:t>manage the</w:t>
      </w:r>
      <w:r w:rsidRPr="00C959F4">
        <w:rPr>
          <w:rFonts w:cs="Arial"/>
        </w:rPr>
        <w:t xml:space="preserve"> DR/BCP process</w:t>
      </w:r>
      <w:r>
        <w:rPr>
          <w:rFonts w:cs="Arial"/>
        </w:rPr>
        <w:t>.</w:t>
      </w:r>
    </w:p>
    <w:p w14:paraId="1C89C80C" w14:textId="51838DAF" w:rsidR="007B12F8" w:rsidRPr="004D28F2" w:rsidRDefault="007B12F8" w:rsidP="006248E4">
      <w:pPr>
        <w:pStyle w:val="Heading4"/>
        <w:tabs>
          <w:tab w:val="clear" w:pos="1702"/>
        </w:tabs>
        <w:spacing w:after="120"/>
        <w:ind w:left="2410"/>
        <w:rPr>
          <w:rFonts w:cs="Arial"/>
          <w:b/>
          <w:bCs w:val="0"/>
          <w:szCs w:val="20"/>
        </w:rPr>
      </w:pPr>
      <w:r w:rsidRPr="004D28F2">
        <w:rPr>
          <w:rFonts w:cs="Arial"/>
          <w:b/>
          <w:szCs w:val="20"/>
        </w:rPr>
        <w:t>Problem Management</w:t>
      </w:r>
      <w:r w:rsidR="00B45A60">
        <w:rPr>
          <w:rFonts w:cs="Arial"/>
          <w:b/>
          <w:szCs w:val="20"/>
        </w:rPr>
        <w:t>.</w:t>
      </w:r>
      <w:r w:rsidR="00B45A60">
        <w:rPr>
          <w:rFonts w:cs="Arial"/>
          <w:bCs w:val="0"/>
          <w:szCs w:val="20"/>
        </w:rPr>
        <w:t xml:space="preserve"> The Supplier will:</w:t>
      </w:r>
    </w:p>
    <w:p w14:paraId="70070411" w14:textId="77777777" w:rsidR="007B12F8" w:rsidRPr="00B45A60" w:rsidRDefault="007B12F8" w:rsidP="00B45A60">
      <w:pPr>
        <w:pStyle w:val="Heading5"/>
      </w:pPr>
      <w:r w:rsidRPr="00C959F4">
        <w:rPr>
          <w:rFonts w:cs="Arial"/>
        </w:rPr>
        <w:t xml:space="preserve">use </w:t>
      </w:r>
      <w:r w:rsidRPr="00B45A60">
        <w:t>operational data to perform proactive analysis and trending; and</w:t>
      </w:r>
    </w:p>
    <w:p w14:paraId="5833E94D" w14:textId="77777777" w:rsidR="007B12F8" w:rsidRPr="00C959F4" w:rsidRDefault="007B12F8" w:rsidP="00B45A60">
      <w:pPr>
        <w:pStyle w:val="Heading5"/>
        <w:rPr>
          <w:rFonts w:cs="Arial"/>
        </w:rPr>
      </w:pPr>
      <w:r w:rsidRPr="00B45A60">
        <w:t>undertake automation of trend analysis to drive targeted corrective actions</w:t>
      </w:r>
      <w:r w:rsidRPr="00C959F4">
        <w:rPr>
          <w:rFonts w:cs="Arial"/>
        </w:rPr>
        <w:t xml:space="preserve"> and improve service quality</w:t>
      </w:r>
      <w:r>
        <w:rPr>
          <w:rFonts w:cs="Arial"/>
        </w:rPr>
        <w:t>.</w:t>
      </w:r>
    </w:p>
    <w:p w14:paraId="5A8A02D1" w14:textId="4B07DF8E" w:rsidR="007B12F8" w:rsidRPr="004D28F2" w:rsidRDefault="007B12F8" w:rsidP="006248E4">
      <w:pPr>
        <w:pStyle w:val="Heading4"/>
        <w:tabs>
          <w:tab w:val="clear" w:pos="1702"/>
        </w:tabs>
        <w:spacing w:after="120"/>
        <w:ind w:left="2410"/>
        <w:rPr>
          <w:rFonts w:cs="Arial"/>
          <w:b/>
          <w:bCs w:val="0"/>
          <w:szCs w:val="20"/>
        </w:rPr>
      </w:pPr>
      <w:r w:rsidRPr="004D28F2">
        <w:rPr>
          <w:rFonts w:cs="Arial"/>
          <w:b/>
          <w:szCs w:val="20"/>
        </w:rPr>
        <w:t>Service Request Fulfilment</w:t>
      </w:r>
      <w:r w:rsidR="00B45A60">
        <w:rPr>
          <w:rFonts w:cs="Arial"/>
          <w:b/>
          <w:szCs w:val="20"/>
        </w:rPr>
        <w:t>.</w:t>
      </w:r>
      <w:r w:rsidR="00B45A60">
        <w:rPr>
          <w:rFonts w:cs="Arial"/>
          <w:bCs w:val="0"/>
          <w:szCs w:val="20"/>
        </w:rPr>
        <w:t xml:space="preserve"> The Supplier will:</w:t>
      </w:r>
    </w:p>
    <w:p w14:paraId="01E5F0F0" w14:textId="77777777" w:rsidR="007B12F8" w:rsidRPr="00B45A60" w:rsidRDefault="007B12F8" w:rsidP="00B45A60">
      <w:pPr>
        <w:pStyle w:val="Heading5"/>
      </w:pPr>
      <w:r w:rsidRPr="00C959F4">
        <w:rPr>
          <w:rFonts w:cs="Arial"/>
        </w:rPr>
        <w:t xml:space="preserve">receive </w:t>
      </w:r>
      <w:r w:rsidRPr="00B45A60">
        <w:t xml:space="preserve">inbound service requests logged via contact channels including self-service </w:t>
      </w:r>
      <w:proofErr w:type="gramStart"/>
      <w:r w:rsidRPr="00B45A60">
        <w:t>portal;</w:t>
      </w:r>
      <w:proofErr w:type="gramEnd"/>
    </w:p>
    <w:p w14:paraId="6D58D784" w14:textId="77777777" w:rsidR="007B12F8" w:rsidRPr="00B45A60" w:rsidRDefault="007B12F8" w:rsidP="00B45A60">
      <w:pPr>
        <w:pStyle w:val="Heading5"/>
      </w:pPr>
      <w:r w:rsidRPr="00B45A60">
        <w:t>fulfil service requests where appropriate or assign to the relevant resolver team; and</w:t>
      </w:r>
    </w:p>
    <w:p w14:paraId="0450C2DE" w14:textId="2B1FC58B" w:rsidR="007B12F8" w:rsidRPr="00C959F4" w:rsidRDefault="007B12F8" w:rsidP="00B45A60">
      <w:pPr>
        <w:pStyle w:val="Heading5"/>
        <w:rPr>
          <w:rFonts w:cs="Arial"/>
        </w:rPr>
      </w:pPr>
      <w:r w:rsidRPr="00B45A60">
        <w:t xml:space="preserve">manage open service requests to meet or exceed </w:t>
      </w:r>
      <w:proofErr w:type="spellStart"/>
      <w:r w:rsidR="001F1C19">
        <w:t>Netlink</w:t>
      </w:r>
      <w:proofErr w:type="spellEnd"/>
      <w:r w:rsidR="001F1C19">
        <w:t xml:space="preserve"> Star</w:t>
      </w:r>
      <w:r w:rsidRPr="00B45A60">
        <w:t>’s fulfilment</w:t>
      </w:r>
      <w:r w:rsidRPr="00C959F4">
        <w:rPr>
          <w:rFonts w:cs="Arial"/>
        </w:rPr>
        <w:t xml:space="preserve"> SLAs</w:t>
      </w:r>
      <w:r>
        <w:rPr>
          <w:rFonts w:cs="Arial"/>
        </w:rPr>
        <w:t>.</w:t>
      </w:r>
    </w:p>
    <w:p w14:paraId="29507606" w14:textId="523ED9AB" w:rsidR="007B12F8" w:rsidRPr="004D28F2" w:rsidRDefault="007B12F8" w:rsidP="006248E4">
      <w:pPr>
        <w:pStyle w:val="Heading4"/>
        <w:tabs>
          <w:tab w:val="clear" w:pos="1702"/>
        </w:tabs>
        <w:spacing w:after="120"/>
        <w:ind w:left="2410"/>
        <w:rPr>
          <w:rFonts w:cs="Arial"/>
          <w:b/>
          <w:bCs w:val="0"/>
          <w:szCs w:val="20"/>
        </w:rPr>
      </w:pPr>
      <w:r w:rsidRPr="004D28F2">
        <w:rPr>
          <w:rFonts w:cs="Arial"/>
          <w:b/>
          <w:szCs w:val="20"/>
        </w:rPr>
        <w:t>Continual Service Improvement</w:t>
      </w:r>
      <w:r w:rsidR="00B45A60">
        <w:rPr>
          <w:rFonts w:cs="Arial"/>
          <w:b/>
          <w:szCs w:val="20"/>
        </w:rPr>
        <w:t>.</w:t>
      </w:r>
      <w:r w:rsidR="00B45A60">
        <w:rPr>
          <w:rFonts w:cs="Arial"/>
          <w:bCs w:val="0"/>
          <w:szCs w:val="20"/>
        </w:rPr>
        <w:t xml:space="preserve"> The Supplier will:</w:t>
      </w:r>
    </w:p>
    <w:p w14:paraId="566D4A50" w14:textId="77777777" w:rsidR="007B12F8" w:rsidRPr="00B45A60" w:rsidRDefault="007B12F8" w:rsidP="00B45A60">
      <w:pPr>
        <w:pStyle w:val="Heading5"/>
      </w:pPr>
      <w:r w:rsidRPr="00C959F4">
        <w:rPr>
          <w:rFonts w:cs="Arial"/>
        </w:rPr>
        <w:t xml:space="preserve">review </w:t>
      </w:r>
      <w:r w:rsidRPr="00B45A60">
        <w:t xml:space="preserve">methodology and delivery to ensure lessons are learnt and applied to drive service quality and </w:t>
      </w:r>
      <w:proofErr w:type="gramStart"/>
      <w:r w:rsidRPr="00B45A60">
        <w:t>improvement;</w:t>
      </w:r>
      <w:proofErr w:type="gramEnd"/>
    </w:p>
    <w:p w14:paraId="39C8C0C5" w14:textId="77777777" w:rsidR="007B12F8" w:rsidRPr="00B45A60" w:rsidRDefault="007B12F8" w:rsidP="00B45A60">
      <w:pPr>
        <w:pStyle w:val="Heading5"/>
      </w:pPr>
      <w:r w:rsidRPr="00B45A60">
        <w:t>maintain a CSI register to raise, track and charter service improvement initiatives; and</w:t>
      </w:r>
    </w:p>
    <w:p w14:paraId="65981A02" w14:textId="7CEA403B" w:rsidR="007B12F8" w:rsidRPr="00C959F4" w:rsidRDefault="007B12F8" w:rsidP="00B45A60">
      <w:pPr>
        <w:pStyle w:val="Heading5"/>
        <w:rPr>
          <w:rFonts w:cs="Arial"/>
        </w:rPr>
      </w:pPr>
      <w:r w:rsidRPr="00B45A60">
        <w:t xml:space="preserve">ensure that all improvement actions are agreed with </w:t>
      </w:r>
      <w:proofErr w:type="spellStart"/>
      <w:r w:rsidR="001F1C19">
        <w:t>Netlink</w:t>
      </w:r>
      <w:proofErr w:type="spellEnd"/>
      <w:r w:rsidR="001F1C19">
        <w:t xml:space="preserve"> Star</w:t>
      </w:r>
      <w:r w:rsidRPr="00B45A60">
        <w:t xml:space="preserve"> and the resulting</w:t>
      </w:r>
      <w:r w:rsidRPr="00C959F4">
        <w:rPr>
          <w:rFonts w:cs="Arial"/>
        </w:rPr>
        <w:t xml:space="preserve"> initiatives are tracked and managed</w:t>
      </w:r>
      <w:r>
        <w:rPr>
          <w:rFonts w:cs="Arial"/>
        </w:rPr>
        <w:t>.</w:t>
      </w:r>
      <w:r w:rsidRPr="00C959F4">
        <w:rPr>
          <w:rFonts w:cs="Arial"/>
        </w:rPr>
        <w:t xml:space="preserve"> </w:t>
      </w:r>
    </w:p>
    <w:p w14:paraId="172AB3C4" w14:textId="710B17E1" w:rsidR="007B12F8" w:rsidRPr="004D28F2" w:rsidRDefault="007B12F8" w:rsidP="006248E4">
      <w:pPr>
        <w:pStyle w:val="Heading4"/>
        <w:tabs>
          <w:tab w:val="clear" w:pos="1702"/>
        </w:tabs>
        <w:spacing w:after="120"/>
        <w:ind w:left="2410"/>
        <w:rPr>
          <w:rFonts w:cs="Arial"/>
          <w:b/>
          <w:bCs w:val="0"/>
          <w:szCs w:val="20"/>
        </w:rPr>
      </w:pPr>
      <w:r w:rsidRPr="004D28F2">
        <w:rPr>
          <w:rFonts w:cs="Arial"/>
          <w:b/>
          <w:szCs w:val="20"/>
        </w:rPr>
        <w:t>Remote Hands/Eyes</w:t>
      </w:r>
      <w:r w:rsidR="00B45A60">
        <w:rPr>
          <w:rFonts w:cs="Arial"/>
          <w:b/>
          <w:szCs w:val="20"/>
        </w:rPr>
        <w:t>.</w:t>
      </w:r>
      <w:r w:rsidR="00B45A60">
        <w:rPr>
          <w:rFonts w:cs="Arial"/>
          <w:bCs w:val="0"/>
          <w:szCs w:val="20"/>
        </w:rPr>
        <w:t xml:space="preserve"> The Supplier will use a partner to: </w:t>
      </w:r>
    </w:p>
    <w:p w14:paraId="7FF08A07" w14:textId="41AF165D" w:rsidR="007B12F8" w:rsidRPr="00B45A60" w:rsidRDefault="007B12F8" w:rsidP="00B45A60">
      <w:pPr>
        <w:pStyle w:val="Heading5"/>
      </w:pPr>
      <w:r w:rsidRPr="00C959F4">
        <w:rPr>
          <w:rFonts w:cs="Arial"/>
        </w:rPr>
        <w:t xml:space="preserve">provide remote hands support to fix equipment and hardware issues, </w:t>
      </w:r>
      <w:r w:rsidRPr="00B45A60">
        <w:t xml:space="preserve">including WAN and Security appliances as requested by </w:t>
      </w:r>
      <w:proofErr w:type="spellStart"/>
      <w:r w:rsidR="001F1C19">
        <w:t>Netlink</w:t>
      </w:r>
      <w:proofErr w:type="spellEnd"/>
      <w:r w:rsidR="001F1C19">
        <w:t xml:space="preserve"> Star</w:t>
      </w:r>
      <w:r w:rsidRPr="00B45A60">
        <w:t>; and</w:t>
      </w:r>
    </w:p>
    <w:p w14:paraId="49EC3809" w14:textId="74F9BC3B" w:rsidR="007B12F8" w:rsidRPr="00C959F4" w:rsidRDefault="007B12F8" w:rsidP="00B45A60">
      <w:pPr>
        <w:pStyle w:val="Heading5"/>
        <w:rPr>
          <w:rFonts w:cs="Arial"/>
        </w:rPr>
      </w:pPr>
      <w:r w:rsidRPr="00B45A60">
        <w:t xml:space="preserve">replace or fix failed devices in accordance with </w:t>
      </w:r>
      <w:proofErr w:type="spellStart"/>
      <w:r w:rsidR="001F1C19">
        <w:t>Netlink</w:t>
      </w:r>
      <w:proofErr w:type="spellEnd"/>
      <w:r w:rsidR="001F1C19">
        <w:t xml:space="preserve"> Star</w:t>
      </w:r>
      <w:r w:rsidRPr="00B45A60">
        <w:t>’s policies and</w:t>
      </w:r>
      <w:r w:rsidRPr="00C959F4">
        <w:rPr>
          <w:rFonts w:cs="Arial"/>
        </w:rPr>
        <w:t xml:space="preserve"> standards</w:t>
      </w:r>
      <w:r>
        <w:rPr>
          <w:rFonts w:cs="Arial"/>
        </w:rPr>
        <w:t>.</w:t>
      </w:r>
      <w:r w:rsidRPr="00C959F4">
        <w:rPr>
          <w:rFonts w:cs="Arial"/>
        </w:rPr>
        <w:t xml:space="preserve"> </w:t>
      </w:r>
    </w:p>
    <w:p w14:paraId="062E971A" w14:textId="51A01676" w:rsidR="007B12F8" w:rsidRPr="004D28F2" w:rsidRDefault="007B12F8" w:rsidP="006248E4">
      <w:pPr>
        <w:pStyle w:val="Heading4"/>
        <w:tabs>
          <w:tab w:val="clear" w:pos="1702"/>
        </w:tabs>
        <w:spacing w:after="120"/>
        <w:ind w:left="2410"/>
        <w:rPr>
          <w:rFonts w:cs="Arial"/>
          <w:b/>
          <w:bCs w:val="0"/>
          <w:szCs w:val="20"/>
        </w:rPr>
      </w:pPr>
      <w:r w:rsidRPr="004D28F2">
        <w:rPr>
          <w:rFonts w:cs="Arial"/>
          <w:b/>
          <w:szCs w:val="20"/>
        </w:rPr>
        <w:t>Break/Fix</w:t>
      </w:r>
      <w:r w:rsidR="00B45A60">
        <w:rPr>
          <w:rFonts w:cs="Arial"/>
          <w:b/>
          <w:szCs w:val="20"/>
        </w:rPr>
        <w:t>.</w:t>
      </w:r>
      <w:r w:rsidR="00B45A60">
        <w:rPr>
          <w:rFonts w:cs="Arial"/>
          <w:bCs w:val="0"/>
          <w:szCs w:val="20"/>
        </w:rPr>
        <w:t xml:space="preserve"> The Supplier will:</w:t>
      </w:r>
    </w:p>
    <w:p w14:paraId="4EF9A05D" w14:textId="77777777" w:rsidR="007B12F8" w:rsidRPr="00B45A60" w:rsidRDefault="007B12F8" w:rsidP="00B45A60">
      <w:pPr>
        <w:pStyle w:val="Heading5"/>
      </w:pPr>
      <w:r w:rsidRPr="004D28F2">
        <w:rPr>
          <w:rFonts w:cs="Arial"/>
        </w:rPr>
        <w:t xml:space="preserve">the Supplier will use a partner to provide break/fix support using CCNA </w:t>
      </w:r>
      <w:r w:rsidRPr="00B45A60">
        <w:t xml:space="preserve">certified engineers in the Crown Hosting data centres; and </w:t>
      </w:r>
    </w:p>
    <w:p w14:paraId="5989F397" w14:textId="2BB72A75" w:rsidR="007B12F8" w:rsidRPr="00C959F4" w:rsidRDefault="007B12F8" w:rsidP="00B45A60">
      <w:pPr>
        <w:pStyle w:val="Heading5"/>
        <w:rPr>
          <w:rFonts w:cs="Arial"/>
        </w:rPr>
      </w:pPr>
      <w:r w:rsidRPr="00B45A60">
        <w:t>own break/fix</w:t>
      </w:r>
      <w:r w:rsidRPr="00C959F4">
        <w:rPr>
          <w:rFonts w:cs="Arial"/>
        </w:rPr>
        <w:t xml:space="preserve"> issues and ensure end-to-end closure of any hardware related incidents and shall notify </w:t>
      </w:r>
      <w:proofErr w:type="spellStart"/>
      <w:r w:rsidR="001F1C19">
        <w:rPr>
          <w:rFonts w:cs="Arial"/>
        </w:rPr>
        <w:t>Netlink</w:t>
      </w:r>
      <w:proofErr w:type="spellEnd"/>
      <w:r w:rsidR="001F1C19">
        <w:rPr>
          <w:rFonts w:cs="Arial"/>
        </w:rPr>
        <w:t xml:space="preserve"> Star</w:t>
      </w:r>
      <w:r>
        <w:rPr>
          <w:rFonts w:cs="Arial"/>
        </w:rPr>
        <w:t>.</w:t>
      </w:r>
    </w:p>
    <w:p w14:paraId="1C52BF99" w14:textId="2555C7D0" w:rsidR="007B12F8" w:rsidRPr="004D28F2" w:rsidRDefault="007B12F8" w:rsidP="006248E4">
      <w:pPr>
        <w:pStyle w:val="Heading4"/>
        <w:tabs>
          <w:tab w:val="clear" w:pos="1702"/>
        </w:tabs>
        <w:spacing w:after="120"/>
        <w:ind w:left="2410"/>
        <w:rPr>
          <w:rFonts w:cs="Arial"/>
          <w:b/>
          <w:bCs w:val="0"/>
          <w:szCs w:val="20"/>
        </w:rPr>
      </w:pPr>
      <w:r w:rsidRPr="004D28F2">
        <w:rPr>
          <w:rFonts w:cs="Arial"/>
          <w:b/>
          <w:szCs w:val="20"/>
        </w:rPr>
        <w:t>Patching</w:t>
      </w:r>
      <w:r w:rsidR="00B45A60">
        <w:rPr>
          <w:rFonts w:cs="Arial"/>
          <w:b/>
          <w:szCs w:val="20"/>
        </w:rPr>
        <w:t>.</w:t>
      </w:r>
      <w:r w:rsidR="00B45A60">
        <w:rPr>
          <w:rFonts w:cs="Arial"/>
          <w:bCs w:val="0"/>
          <w:szCs w:val="20"/>
        </w:rPr>
        <w:t xml:space="preserve"> The Supplier will deploy:</w:t>
      </w:r>
    </w:p>
    <w:p w14:paraId="19E976B2" w14:textId="77777777" w:rsidR="007B12F8" w:rsidRPr="00B45A60" w:rsidRDefault="007B12F8" w:rsidP="00B45A60">
      <w:pPr>
        <w:pStyle w:val="Heading5"/>
      </w:pPr>
      <w:r w:rsidRPr="00C959F4">
        <w:rPr>
          <w:rFonts w:cs="Arial"/>
        </w:rPr>
        <w:t xml:space="preserve">Big </w:t>
      </w:r>
      <w:r w:rsidRPr="00B45A60">
        <w:t xml:space="preserve">Fix as the patching tool </w:t>
      </w:r>
    </w:p>
    <w:p w14:paraId="2C7B4E67" w14:textId="77777777" w:rsidR="007B12F8" w:rsidRPr="00B45A60" w:rsidRDefault="007B12F8" w:rsidP="00B45A60">
      <w:pPr>
        <w:pStyle w:val="Heading5"/>
      </w:pPr>
      <w:r w:rsidRPr="00B45A60">
        <w:t xml:space="preserve">auto patching to Red Hat Linux and Windows servers </w:t>
      </w:r>
    </w:p>
    <w:p w14:paraId="117B80B0" w14:textId="77777777" w:rsidR="007B12F8" w:rsidRPr="00C959F4" w:rsidRDefault="007B12F8" w:rsidP="00B45A60">
      <w:pPr>
        <w:pStyle w:val="Heading5"/>
        <w:rPr>
          <w:rFonts w:cs="Arial"/>
        </w:rPr>
      </w:pPr>
      <w:r w:rsidRPr="00B45A60">
        <w:t xml:space="preserve">its </w:t>
      </w:r>
      <w:proofErr w:type="spellStart"/>
      <w:r w:rsidRPr="00B45A60">
        <w:t>DigiOps</w:t>
      </w:r>
      <w:proofErr w:type="spellEnd"/>
      <w:r w:rsidRPr="00C959F4">
        <w:rPr>
          <w:rFonts w:cs="Arial"/>
        </w:rPr>
        <w:t xml:space="preserve"> Platform which will integrate AIOps </w:t>
      </w:r>
      <w:proofErr w:type="gramStart"/>
      <w:r w:rsidRPr="00C959F4">
        <w:rPr>
          <w:rFonts w:cs="Arial"/>
        </w:rPr>
        <w:t>tooling</w:t>
      </w:r>
      <w:proofErr w:type="gramEnd"/>
    </w:p>
    <w:p w14:paraId="4A04AD6A" w14:textId="66DF4AB4" w:rsidR="007B12F8" w:rsidRPr="004D28F2" w:rsidRDefault="007B12F8" w:rsidP="006248E4">
      <w:pPr>
        <w:pStyle w:val="Heading4"/>
        <w:tabs>
          <w:tab w:val="clear" w:pos="1702"/>
        </w:tabs>
        <w:spacing w:after="120"/>
        <w:ind w:left="2410"/>
        <w:rPr>
          <w:rFonts w:cs="Arial"/>
          <w:b/>
          <w:bCs w:val="0"/>
          <w:szCs w:val="20"/>
        </w:rPr>
      </w:pPr>
      <w:r w:rsidRPr="004D28F2">
        <w:rPr>
          <w:rFonts w:cs="Arial"/>
          <w:b/>
          <w:szCs w:val="20"/>
        </w:rPr>
        <w:t>Supplier Management</w:t>
      </w:r>
      <w:r w:rsidR="00B45A60">
        <w:rPr>
          <w:rFonts w:cs="Arial"/>
          <w:b/>
          <w:szCs w:val="20"/>
        </w:rPr>
        <w:t>.</w:t>
      </w:r>
      <w:r w:rsidR="00B45A60">
        <w:rPr>
          <w:rFonts w:cs="Arial"/>
          <w:bCs w:val="0"/>
          <w:szCs w:val="20"/>
        </w:rPr>
        <w:t xml:space="preserve"> The Supplier will:</w:t>
      </w:r>
    </w:p>
    <w:p w14:paraId="5BC91529" w14:textId="77777777" w:rsidR="007B12F8" w:rsidRPr="00B45A60" w:rsidRDefault="007B12F8" w:rsidP="00B45A60">
      <w:pPr>
        <w:pStyle w:val="Heading5"/>
      </w:pPr>
      <w:r w:rsidRPr="00B45A60">
        <w:lastRenderedPageBreak/>
        <w:t xml:space="preserve">understand service provider scope of services and the required quality and performance of those </w:t>
      </w:r>
      <w:proofErr w:type="gramStart"/>
      <w:r w:rsidRPr="00B45A60">
        <w:t>services;</w:t>
      </w:r>
      <w:proofErr w:type="gramEnd"/>
    </w:p>
    <w:p w14:paraId="4C3DA308" w14:textId="77777777" w:rsidR="007B12F8" w:rsidRPr="00B45A60" w:rsidRDefault="007B12F8" w:rsidP="00B45A60">
      <w:pPr>
        <w:pStyle w:val="Heading5"/>
      </w:pPr>
      <w:r w:rsidRPr="00B45A60">
        <w:t xml:space="preserve">develop a communication </w:t>
      </w:r>
      <w:proofErr w:type="gramStart"/>
      <w:r w:rsidRPr="00B45A60">
        <w:t>strategy;</w:t>
      </w:r>
      <w:proofErr w:type="gramEnd"/>
    </w:p>
    <w:p w14:paraId="73A43B47" w14:textId="77777777" w:rsidR="007B12F8" w:rsidRPr="00B45A60" w:rsidRDefault="007B12F8" w:rsidP="00B45A60">
      <w:pPr>
        <w:pStyle w:val="Heading5"/>
      </w:pPr>
      <w:r w:rsidRPr="00B45A60">
        <w:t xml:space="preserve">develop a process to track and govern the Supplier’s compliance to key deliverables and </w:t>
      </w:r>
      <w:proofErr w:type="gramStart"/>
      <w:r w:rsidRPr="00B45A60">
        <w:t>obligations;</w:t>
      </w:r>
      <w:proofErr w:type="gramEnd"/>
    </w:p>
    <w:p w14:paraId="7E82F6AB" w14:textId="77777777" w:rsidR="007B12F8" w:rsidRPr="00B45A60" w:rsidRDefault="007B12F8" w:rsidP="00B45A60">
      <w:pPr>
        <w:pStyle w:val="Heading5"/>
      </w:pPr>
      <w:r w:rsidRPr="00B45A60">
        <w:t xml:space="preserve">ensure reports meet stakeholders’ </w:t>
      </w:r>
      <w:proofErr w:type="gramStart"/>
      <w:r w:rsidRPr="00B45A60">
        <w:t>requirements;</w:t>
      </w:r>
      <w:proofErr w:type="gramEnd"/>
    </w:p>
    <w:p w14:paraId="013E0346" w14:textId="77777777" w:rsidR="007B12F8" w:rsidRPr="00B45A60" w:rsidRDefault="007B12F8" w:rsidP="00B45A60">
      <w:pPr>
        <w:pStyle w:val="Heading5"/>
      </w:pPr>
      <w:r w:rsidRPr="00B45A60">
        <w:t>provide performance monitoring reporting; and</w:t>
      </w:r>
    </w:p>
    <w:p w14:paraId="43103F5D" w14:textId="77777777" w:rsidR="007B12F8" w:rsidRPr="00C959F4" w:rsidRDefault="007B12F8" w:rsidP="00B45A60">
      <w:pPr>
        <w:pStyle w:val="Heading5"/>
        <w:rPr>
          <w:rFonts w:cs="Arial"/>
        </w:rPr>
      </w:pPr>
      <w:r w:rsidRPr="00B45A60">
        <w:t>ensure that agreed recommendations for improvements are acted upon and rolled</w:t>
      </w:r>
      <w:r w:rsidRPr="00C959F4">
        <w:rPr>
          <w:rFonts w:cs="Arial"/>
        </w:rPr>
        <w:t xml:space="preserve"> out across the ecosystem</w:t>
      </w:r>
      <w:r>
        <w:rPr>
          <w:rFonts w:cs="Arial"/>
        </w:rPr>
        <w:t>.</w:t>
      </w:r>
    </w:p>
    <w:p w14:paraId="615BAFB2" w14:textId="6D977633" w:rsidR="007B12F8" w:rsidRPr="004D28F2" w:rsidRDefault="007B12F8" w:rsidP="006248E4">
      <w:pPr>
        <w:pStyle w:val="Heading4"/>
        <w:tabs>
          <w:tab w:val="clear" w:pos="1702"/>
        </w:tabs>
        <w:spacing w:after="120"/>
        <w:ind w:left="2410"/>
        <w:rPr>
          <w:rFonts w:cs="Arial"/>
          <w:b/>
          <w:bCs w:val="0"/>
          <w:szCs w:val="20"/>
        </w:rPr>
      </w:pPr>
      <w:r w:rsidRPr="004D28F2">
        <w:rPr>
          <w:rFonts w:cs="Arial"/>
          <w:b/>
          <w:szCs w:val="20"/>
        </w:rPr>
        <w:t>Service Dashboard</w:t>
      </w:r>
      <w:r w:rsidR="00B45A60">
        <w:rPr>
          <w:rFonts w:cs="Arial"/>
          <w:b/>
          <w:szCs w:val="20"/>
        </w:rPr>
        <w:t>.</w:t>
      </w:r>
      <w:r w:rsidR="00B45A60">
        <w:rPr>
          <w:rFonts w:cs="Arial"/>
          <w:bCs w:val="0"/>
          <w:szCs w:val="20"/>
        </w:rPr>
        <w:t xml:space="preserve"> The Supplier will:</w:t>
      </w:r>
    </w:p>
    <w:p w14:paraId="0B9FF83C" w14:textId="77777777" w:rsidR="007B12F8" w:rsidRPr="00B45A60" w:rsidRDefault="007B12F8" w:rsidP="00B45A60">
      <w:pPr>
        <w:pStyle w:val="Heading5"/>
      </w:pPr>
      <w:r w:rsidRPr="00C959F4">
        <w:rPr>
          <w:rFonts w:cs="Arial"/>
        </w:rPr>
        <w:t xml:space="preserve">deploy </w:t>
      </w:r>
      <w:r w:rsidRPr="00B45A60">
        <w:t xml:space="preserve">Tableau dashboard and reporting, integrated with </w:t>
      </w:r>
      <w:proofErr w:type="gramStart"/>
      <w:r w:rsidRPr="00B45A60">
        <w:t>ServiceNow;</w:t>
      </w:r>
      <w:proofErr w:type="gramEnd"/>
    </w:p>
    <w:p w14:paraId="1302BC50" w14:textId="77777777" w:rsidR="007B12F8" w:rsidRPr="00B45A60" w:rsidRDefault="007B12F8" w:rsidP="00B45A60">
      <w:pPr>
        <w:pStyle w:val="Heading5"/>
      </w:pPr>
      <w:r w:rsidRPr="00B45A60">
        <w:t>deploy 40 standard service dashboards out of the box; and</w:t>
      </w:r>
    </w:p>
    <w:p w14:paraId="6AFF0A79" w14:textId="77777777" w:rsidR="007B12F8" w:rsidRPr="00C959F4" w:rsidRDefault="007B12F8" w:rsidP="00B45A60">
      <w:pPr>
        <w:pStyle w:val="Heading5"/>
        <w:rPr>
          <w:rFonts w:cs="Arial"/>
        </w:rPr>
      </w:pPr>
      <w:r w:rsidRPr="00B45A60">
        <w:t xml:space="preserve">review, modify, </w:t>
      </w:r>
      <w:proofErr w:type="gramStart"/>
      <w:r w:rsidRPr="00B45A60">
        <w:t>add</w:t>
      </w:r>
      <w:proofErr w:type="gramEnd"/>
      <w:r w:rsidRPr="00B45A60">
        <w:t xml:space="preserve"> or delete to the report set as reasonably needed to address</w:t>
      </w:r>
      <w:r w:rsidRPr="00C959F4">
        <w:rPr>
          <w:rFonts w:cs="Arial"/>
        </w:rPr>
        <w:t xml:space="preserve"> business and operational requirements</w:t>
      </w:r>
      <w:r>
        <w:rPr>
          <w:rFonts w:cs="Arial"/>
        </w:rPr>
        <w:t>.</w:t>
      </w:r>
    </w:p>
    <w:p w14:paraId="5541B3C0" w14:textId="77777777" w:rsidR="007B12F8" w:rsidRPr="00C959F4" w:rsidRDefault="007B12F8" w:rsidP="00346A37">
      <w:pPr>
        <w:pStyle w:val="Heading3"/>
        <w:rPr>
          <w:i/>
        </w:rPr>
      </w:pPr>
      <w:r w:rsidRPr="00C959F4">
        <w:t xml:space="preserve">The ownership and escalation for faults resolved by the Supplier will be handled in the same manner, and the same ITIL-based management processes will be applied irrespective of resolver group. </w:t>
      </w:r>
    </w:p>
    <w:p w14:paraId="5499A6E3" w14:textId="77777777" w:rsidR="007B12F8" w:rsidRPr="004D28F2" w:rsidRDefault="007B12F8" w:rsidP="007B12F8">
      <w:pPr>
        <w:pStyle w:val="Heading2"/>
        <w:keepNext/>
        <w:spacing w:after="120"/>
        <w:rPr>
          <w:b/>
          <w:bCs w:val="0"/>
        </w:rPr>
      </w:pPr>
      <w:bookmarkStart w:id="2216" w:name="_Toc83904726"/>
      <w:r w:rsidRPr="004D28F2">
        <w:rPr>
          <w:b/>
        </w:rPr>
        <w:t>Automation</w:t>
      </w:r>
      <w:bookmarkEnd w:id="2216"/>
    </w:p>
    <w:p w14:paraId="25A44003" w14:textId="2CE48A45" w:rsidR="007B12F8" w:rsidRPr="00C959F4" w:rsidRDefault="007B12F8" w:rsidP="00346A37">
      <w:pPr>
        <w:pStyle w:val="Heading3"/>
      </w:pPr>
      <w:r w:rsidRPr="00C959F4">
        <w:t xml:space="preserve">The following automation levers will be configured in the Supplier’s tooling and available to </w:t>
      </w:r>
      <w:proofErr w:type="spellStart"/>
      <w:r w:rsidR="001F1C19">
        <w:t>Netlink</w:t>
      </w:r>
      <w:proofErr w:type="spellEnd"/>
      <w:r w:rsidR="001F1C19">
        <w:t xml:space="preserve"> Star</w:t>
      </w:r>
      <w:r w:rsidRPr="00C959F4">
        <w:t>:</w:t>
      </w:r>
    </w:p>
    <w:p w14:paraId="29387BFF"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Service Portal with text search capability to find catalogue items, knowledge articles and requests/</w:t>
      </w:r>
      <w:proofErr w:type="gramStart"/>
      <w:r w:rsidRPr="00C959F4">
        <w:rPr>
          <w:rFonts w:cs="Arial"/>
          <w:szCs w:val="20"/>
        </w:rPr>
        <w:t>incidents</w:t>
      </w:r>
      <w:r>
        <w:rPr>
          <w:rFonts w:cs="Arial"/>
          <w:szCs w:val="20"/>
        </w:rPr>
        <w:t>;</w:t>
      </w:r>
      <w:proofErr w:type="gramEnd"/>
    </w:p>
    <w:p w14:paraId="76F9B55B" w14:textId="569942A5"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web-based chat to interact with the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 xml:space="preserve"> service </w:t>
      </w:r>
      <w:proofErr w:type="gramStart"/>
      <w:r w:rsidRPr="00C959F4">
        <w:rPr>
          <w:rFonts w:cs="Arial"/>
          <w:szCs w:val="20"/>
        </w:rPr>
        <w:t>desk</w:t>
      </w:r>
      <w:r>
        <w:rPr>
          <w:rFonts w:cs="Arial"/>
          <w:szCs w:val="20"/>
        </w:rPr>
        <w:t>;</w:t>
      </w:r>
      <w:proofErr w:type="gramEnd"/>
    </w:p>
    <w:p w14:paraId="64AF6E73" w14:textId="422D3292"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event </w:t>
      </w:r>
      <w:r w:rsidR="00BE4806" w:rsidRPr="00C959F4">
        <w:rPr>
          <w:rFonts w:cs="Arial"/>
          <w:szCs w:val="20"/>
        </w:rPr>
        <w:t xml:space="preserve">correlation </w:t>
      </w:r>
      <w:r w:rsidRPr="00C959F4">
        <w:rPr>
          <w:rFonts w:cs="Arial"/>
          <w:szCs w:val="20"/>
        </w:rPr>
        <w:t xml:space="preserve">to capture events from monitoring tools and correlate them into ServiceNow </w:t>
      </w:r>
      <w:proofErr w:type="gramStart"/>
      <w:r w:rsidRPr="00C959F4">
        <w:rPr>
          <w:rFonts w:cs="Arial"/>
          <w:szCs w:val="20"/>
        </w:rPr>
        <w:t>tickets</w:t>
      </w:r>
      <w:r>
        <w:rPr>
          <w:rFonts w:cs="Arial"/>
          <w:szCs w:val="20"/>
        </w:rPr>
        <w:t>;</w:t>
      </w:r>
      <w:proofErr w:type="gramEnd"/>
    </w:p>
    <w:p w14:paraId="392D1E80"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Self-Healing to automate resolution of some potential issues before they can become incidents</w:t>
      </w:r>
      <w:r>
        <w:rPr>
          <w:rFonts w:cs="Arial"/>
          <w:szCs w:val="20"/>
        </w:rPr>
        <w:t>; and</w:t>
      </w:r>
    </w:p>
    <w:p w14:paraId="12F7DD7C"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Operational Insights from automated reporting leveraging Tableau integration with ServiceNow</w:t>
      </w:r>
      <w:r>
        <w:rPr>
          <w:rFonts w:cs="Arial"/>
          <w:szCs w:val="20"/>
        </w:rPr>
        <w:t>.</w:t>
      </w:r>
    </w:p>
    <w:p w14:paraId="49F88E60" w14:textId="77777777" w:rsidR="007B12F8" w:rsidRPr="004D28F2" w:rsidRDefault="007B12F8" w:rsidP="007B12F8">
      <w:pPr>
        <w:pStyle w:val="Heading2"/>
        <w:keepNext/>
        <w:spacing w:after="120"/>
        <w:rPr>
          <w:b/>
          <w:bCs w:val="0"/>
        </w:rPr>
      </w:pPr>
      <w:bookmarkStart w:id="2217" w:name="_Toc83299780"/>
      <w:bookmarkStart w:id="2218" w:name="_Toc83300098"/>
      <w:bookmarkStart w:id="2219" w:name="_Toc83904727"/>
      <w:bookmarkEnd w:id="2217"/>
      <w:bookmarkEnd w:id="2218"/>
      <w:r w:rsidRPr="004D28F2">
        <w:rPr>
          <w:b/>
        </w:rPr>
        <w:t>Security Management</w:t>
      </w:r>
      <w:bookmarkEnd w:id="2219"/>
    </w:p>
    <w:p w14:paraId="5F7AD8C8" w14:textId="77777777" w:rsidR="007B12F8" w:rsidRPr="004D28F2" w:rsidRDefault="007B12F8" w:rsidP="00346A37">
      <w:pPr>
        <w:pStyle w:val="Heading3"/>
      </w:pPr>
      <w:r w:rsidRPr="004D28F2">
        <w:t>Security Governance</w:t>
      </w:r>
    </w:p>
    <w:p w14:paraId="06DB5DAE" w14:textId="509E9C04"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The Supplier will provide a UK-based Security Manager to ensure security governance and compliance. Additionally, during the migration, a UK-based Security Architect will ensure compliance with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’s requirements.</w:t>
      </w:r>
    </w:p>
    <w:p w14:paraId="28A59AB4" w14:textId="6FD42AC1"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All delivery staff working onsite at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’s data centres will be vetted to BPSS standard, and the Supplier’s standard inter-company agreement form will be used for offshore services to meet regulatory requirements. The Supplier’s India delivery location is ISO27001 certified.</w:t>
      </w:r>
    </w:p>
    <w:p w14:paraId="742CB198" w14:textId="77777777" w:rsidR="007B12F8" w:rsidRPr="004D28F2" w:rsidRDefault="007B12F8" w:rsidP="00346A37">
      <w:pPr>
        <w:pStyle w:val="Heading3"/>
      </w:pPr>
      <w:r w:rsidRPr="004D28F2">
        <w:t>Information Security</w:t>
      </w:r>
    </w:p>
    <w:p w14:paraId="71A61BFC" w14:textId="39791E22"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The Supplier will meet its security obligations and applicable laws and regulations by adhering to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 xml:space="preserve">’s organised and structured Information Security Framework (ISF) for delivery of our data centre </w:t>
      </w:r>
      <w:r w:rsidRPr="00C959F4">
        <w:rPr>
          <w:rFonts w:cs="Arial"/>
          <w:szCs w:val="20"/>
        </w:rPr>
        <w:lastRenderedPageBreak/>
        <w:t xml:space="preserve">Services. These will contain clearly set out risk management responsibilities and security controls, </w:t>
      </w:r>
      <w:proofErr w:type="gramStart"/>
      <w:r w:rsidRPr="00C959F4">
        <w:rPr>
          <w:rFonts w:cs="Arial"/>
          <w:szCs w:val="20"/>
        </w:rPr>
        <w:t>measures</w:t>
      </w:r>
      <w:proofErr w:type="gramEnd"/>
      <w:r w:rsidRPr="00C959F4">
        <w:rPr>
          <w:rFonts w:cs="Arial"/>
          <w:szCs w:val="20"/>
        </w:rPr>
        <w:t xml:space="preserve"> and procedures.</w:t>
      </w:r>
    </w:p>
    <w:p w14:paraId="0C8C97D9" w14:textId="7685C71B"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The Supplier will create an internal Security Management Plan (SMP) based on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’s ISF. The SMP will:</w:t>
      </w:r>
    </w:p>
    <w:p w14:paraId="08AA18B5" w14:textId="05343EF6" w:rsidR="007B12F8" w:rsidRPr="00B45A60" w:rsidRDefault="007B12F8" w:rsidP="00B45A60">
      <w:pPr>
        <w:pStyle w:val="Heading5"/>
      </w:pPr>
      <w:r w:rsidRPr="00C959F4">
        <w:rPr>
          <w:rFonts w:cs="Arial"/>
          <w:szCs w:val="20"/>
        </w:rPr>
        <w:t xml:space="preserve">provide an </w:t>
      </w:r>
      <w:r w:rsidRPr="00B45A60">
        <w:t xml:space="preserve">overview of security activities and controls needed to comply with agreed </w:t>
      </w:r>
      <w:proofErr w:type="spellStart"/>
      <w:r w:rsidR="001F1C19">
        <w:t>Netlink</w:t>
      </w:r>
      <w:proofErr w:type="spellEnd"/>
      <w:r w:rsidR="001F1C19">
        <w:t xml:space="preserve"> Star</w:t>
      </w:r>
      <w:r w:rsidRPr="00B45A60">
        <w:t xml:space="preserve"> security requirements; and</w:t>
      </w:r>
    </w:p>
    <w:p w14:paraId="00828610" w14:textId="77777777" w:rsidR="007B12F8" w:rsidRPr="00C959F4" w:rsidRDefault="007B12F8" w:rsidP="00B45A60">
      <w:pPr>
        <w:pStyle w:val="Heading5"/>
        <w:rPr>
          <w:rFonts w:cs="Arial"/>
          <w:szCs w:val="20"/>
        </w:rPr>
      </w:pPr>
      <w:r w:rsidRPr="00B45A60">
        <w:t>formalise the working relationships between those people that are to carry out security duties</w:t>
      </w:r>
      <w:r w:rsidRPr="00C959F4">
        <w:rPr>
          <w:rFonts w:cs="Arial"/>
          <w:szCs w:val="20"/>
        </w:rPr>
        <w:t xml:space="preserve"> in support of this service by setting out their security roles and responsibilities.</w:t>
      </w:r>
    </w:p>
    <w:p w14:paraId="2A5DD108"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The SMP content will be kept to a useful and manageable level of detail relevant to the services provided. Low-level information on security controls and measures will be described in other approved security documents such as IT build standards, Operational Procedure documents etc.  The SMP will be updated and maintained under change control to reflect any changes to the in-scope data centre services as they evolve.</w:t>
      </w:r>
    </w:p>
    <w:p w14:paraId="6C28E2BE" w14:textId="0B714B47" w:rsidR="007B12F8" w:rsidRPr="004D28F2" w:rsidRDefault="007B12F8" w:rsidP="00346A37">
      <w:pPr>
        <w:pStyle w:val="Heading3"/>
      </w:pPr>
      <w:r w:rsidRPr="004D28F2">
        <w:t>Information Security Management</w:t>
      </w:r>
      <w:r w:rsidR="006248E4">
        <w:t>. The Supplier will:</w:t>
      </w:r>
    </w:p>
    <w:p w14:paraId="562BE6AA" w14:textId="4060296D"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manage creation of a Security Management Plan in line with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 xml:space="preserve">’s Information Security </w:t>
      </w:r>
      <w:proofErr w:type="gramStart"/>
      <w:r w:rsidRPr="00C959F4">
        <w:rPr>
          <w:rFonts w:cs="Arial"/>
          <w:szCs w:val="20"/>
        </w:rPr>
        <w:t>Policies</w:t>
      </w:r>
      <w:r>
        <w:rPr>
          <w:rFonts w:cs="Arial"/>
          <w:szCs w:val="20"/>
        </w:rPr>
        <w:t>;</w:t>
      </w:r>
      <w:proofErr w:type="gramEnd"/>
    </w:p>
    <w:p w14:paraId="6D3CF42D" w14:textId="44220E11"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provide a liaison between the Supplier’s Security Management and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 xml:space="preserve">’s SOC during security </w:t>
      </w:r>
      <w:proofErr w:type="gramStart"/>
      <w:r w:rsidRPr="00C959F4">
        <w:rPr>
          <w:rFonts w:cs="Arial"/>
          <w:szCs w:val="20"/>
        </w:rPr>
        <w:t>incidents</w:t>
      </w:r>
      <w:r>
        <w:rPr>
          <w:rFonts w:cs="Arial"/>
          <w:szCs w:val="20"/>
        </w:rPr>
        <w:t>;</w:t>
      </w:r>
      <w:proofErr w:type="gramEnd"/>
    </w:p>
    <w:p w14:paraId="56705C2E" w14:textId="6982895A"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manage vetting of Supplier delivery resources working on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 xml:space="preserve"> Systems to BPSS </w:t>
      </w:r>
      <w:proofErr w:type="gramStart"/>
      <w:r w:rsidRPr="00C959F4">
        <w:rPr>
          <w:rFonts w:cs="Arial"/>
          <w:szCs w:val="20"/>
        </w:rPr>
        <w:t>standard</w:t>
      </w:r>
      <w:r>
        <w:rPr>
          <w:rFonts w:cs="Arial"/>
          <w:szCs w:val="20"/>
        </w:rPr>
        <w:t>;</w:t>
      </w:r>
      <w:proofErr w:type="gramEnd"/>
    </w:p>
    <w:p w14:paraId="2F8D380A" w14:textId="4FDC201B"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manage the Supplier DR/BCP requirements in line with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’s policy</w:t>
      </w:r>
      <w:r>
        <w:rPr>
          <w:rFonts w:cs="Arial"/>
          <w:szCs w:val="20"/>
        </w:rPr>
        <w:t>; and</w:t>
      </w:r>
    </w:p>
    <w:p w14:paraId="57AB9D9D" w14:textId="4AC8808D"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carry out background verification checks for delivery staff assigned to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 xml:space="preserve"> in line with UK Government standard BPSS or equivalent. The Supplier will utilise its UK-based security vetting team to administer and manage personnel security requirements for its resources in accordance with contractual requirements, the Supplier’s vetting policy and UK Government standards. Security vetting team members are cleared to HM Government SC level.</w:t>
      </w:r>
    </w:p>
    <w:p w14:paraId="6DCA82E6" w14:textId="77777777" w:rsidR="007B12F8" w:rsidRPr="004D28F2" w:rsidRDefault="007B12F8" w:rsidP="007B12F8">
      <w:pPr>
        <w:pStyle w:val="Heading2"/>
        <w:keepNext/>
        <w:spacing w:after="120"/>
        <w:rPr>
          <w:b/>
          <w:bCs w:val="0"/>
        </w:rPr>
      </w:pPr>
      <w:bookmarkStart w:id="2220" w:name="_Toc83904728"/>
      <w:r w:rsidRPr="004D28F2">
        <w:rPr>
          <w:b/>
        </w:rPr>
        <w:t>Service Resilience and Recovery</w:t>
      </w:r>
      <w:bookmarkEnd w:id="2220"/>
    </w:p>
    <w:p w14:paraId="0D0C9CDB" w14:textId="08F88BC6" w:rsidR="007B12F8" w:rsidRPr="006248E4" w:rsidRDefault="007B12F8" w:rsidP="00346A37">
      <w:pPr>
        <w:pStyle w:val="Heading3"/>
      </w:pPr>
      <w:r w:rsidRPr="00C959F4">
        <w:t xml:space="preserve">The Supplier’s support teams, including the L2 service desk delivering services to </w:t>
      </w:r>
      <w:proofErr w:type="spellStart"/>
      <w:r w:rsidR="001F1C19">
        <w:t>Netlink</w:t>
      </w:r>
      <w:proofErr w:type="spellEnd"/>
      <w:r w:rsidR="001F1C19">
        <w:t xml:space="preserve"> Star</w:t>
      </w:r>
      <w:r w:rsidRPr="00C959F4">
        <w:t xml:space="preserve">, will be primarily split across two India delivery centres, enabling the Supplier to continue delivering service </w:t>
      </w:r>
      <w:r w:rsidRPr="006248E4">
        <w:t xml:space="preserve">without interruption in the event of a major incident at one of the locations. Both locations have detailed Business Continuity plans in line with Industry standards that are regularly reviewed, exercised, and updated.  Supplier staff and equipment can be deployed to </w:t>
      </w:r>
      <w:proofErr w:type="gramStart"/>
      <w:r w:rsidRPr="006248E4">
        <w:t>alternative</w:t>
      </w:r>
      <w:proofErr w:type="gramEnd"/>
      <w:r w:rsidRPr="006248E4">
        <w:t xml:space="preserve"> or home locations as required. The Supplier’s account management team will be split between the UK and India, again enabling service governance to continue should there be an incident at one of the Supplier’s locations.</w:t>
      </w:r>
    </w:p>
    <w:p w14:paraId="37EA353B" w14:textId="4216E9A5" w:rsidR="007B12F8" w:rsidRPr="00C959F4" w:rsidRDefault="007B12F8" w:rsidP="00346A37">
      <w:pPr>
        <w:pStyle w:val="Heading3"/>
      </w:pPr>
      <w:r w:rsidRPr="006248E4">
        <w:t>The Supplier will provide an experienced BCDR team member who will be responsible for managing the account specific</w:t>
      </w:r>
      <w:r w:rsidRPr="00C959F4">
        <w:t xml:space="preserve"> response to a disaster. This will include any bespoke BCDR plans agreed with </w:t>
      </w:r>
      <w:proofErr w:type="spellStart"/>
      <w:r w:rsidR="001F1C19">
        <w:t>Netlink</w:t>
      </w:r>
      <w:proofErr w:type="spellEnd"/>
      <w:r w:rsidR="001F1C19">
        <w:t xml:space="preserve"> Star</w:t>
      </w:r>
      <w:r w:rsidRPr="00C959F4">
        <w:t xml:space="preserve">. </w:t>
      </w:r>
    </w:p>
    <w:p w14:paraId="2F08F0B3" w14:textId="77777777" w:rsidR="007B12F8" w:rsidRPr="00C959F4" w:rsidRDefault="007B12F8" w:rsidP="007B12F8">
      <w:pPr>
        <w:pStyle w:val="Heading1"/>
        <w:spacing w:after="120"/>
        <w:rPr>
          <w:rFonts w:cs="Arial"/>
          <w:szCs w:val="20"/>
        </w:rPr>
      </w:pPr>
      <w:bookmarkStart w:id="2221" w:name="_Toc83904729"/>
      <w:r w:rsidRPr="00C959F4">
        <w:rPr>
          <w:rFonts w:cs="Arial"/>
          <w:szCs w:val="20"/>
        </w:rPr>
        <w:t>Organisation Structure</w:t>
      </w:r>
      <w:bookmarkEnd w:id="2221"/>
    </w:p>
    <w:p w14:paraId="0506DBD2" w14:textId="77777777" w:rsidR="007B12F8" w:rsidRPr="004D28F2" w:rsidRDefault="007B12F8" w:rsidP="007B12F8">
      <w:pPr>
        <w:pStyle w:val="Heading2"/>
        <w:keepNext/>
        <w:spacing w:after="120"/>
        <w:rPr>
          <w:b/>
          <w:bCs w:val="0"/>
        </w:rPr>
      </w:pPr>
      <w:bookmarkStart w:id="2222" w:name="_Toc83299792"/>
      <w:bookmarkStart w:id="2223" w:name="_Toc83300110"/>
      <w:bookmarkStart w:id="2224" w:name="_Toc83299793"/>
      <w:bookmarkStart w:id="2225" w:name="_Toc83300111"/>
      <w:bookmarkStart w:id="2226" w:name="_Toc83299794"/>
      <w:bookmarkStart w:id="2227" w:name="_Toc83300112"/>
      <w:bookmarkStart w:id="2228" w:name="_Toc83299795"/>
      <w:bookmarkStart w:id="2229" w:name="_Toc83300113"/>
      <w:bookmarkStart w:id="2230" w:name="_Toc83299796"/>
      <w:bookmarkStart w:id="2231" w:name="_Toc83300114"/>
      <w:bookmarkStart w:id="2232" w:name="_Toc83299797"/>
      <w:bookmarkStart w:id="2233" w:name="_Toc83300115"/>
      <w:bookmarkStart w:id="2234" w:name="_Toc83299798"/>
      <w:bookmarkStart w:id="2235" w:name="_Toc83300116"/>
      <w:bookmarkStart w:id="2236" w:name="_Toc83299799"/>
      <w:bookmarkStart w:id="2237" w:name="_Toc83300117"/>
      <w:bookmarkStart w:id="2238" w:name="_Toc83299800"/>
      <w:bookmarkStart w:id="2239" w:name="_Toc83300118"/>
      <w:bookmarkStart w:id="2240" w:name="_Toc83299801"/>
      <w:bookmarkStart w:id="2241" w:name="_Toc83300119"/>
      <w:bookmarkStart w:id="2242" w:name="_Toc83299802"/>
      <w:bookmarkStart w:id="2243" w:name="_Toc83300120"/>
      <w:bookmarkStart w:id="2244" w:name="_Toc83299803"/>
      <w:bookmarkStart w:id="2245" w:name="_Toc83300121"/>
      <w:bookmarkStart w:id="2246" w:name="_Toc83299804"/>
      <w:bookmarkStart w:id="2247" w:name="_Toc83300122"/>
      <w:bookmarkStart w:id="2248" w:name="_Toc83299805"/>
      <w:bookmarkStart w:id="2249" w:name="_Toc83300123"/>
      <w:bookmarkStart w:id="2250" w:name="_Toc83299806"/>
      <w:bookmarkStart w:id="2251" w:name="_Toc83300124"/>
      <w:bookmarkStart w:id="2252" w:name="_Toc83299811"/>
      <w:bookmarkStart w:id="2253" w:name="_Toc83300129"/>
      <w:bookmarkStart w:id="2254" w:name="_Toc83299812"/>
      <w:bookmarkStart w:id="2255" w:name="_Toc83300130"/>
      <w:bookmarkStart w:id="2256" w:name="_Toc83299813"/>
      <w:bookmarkStart w:id="2257" w:name="_Toc83300131"/>
      <w:bookmarkStart w:id="2258" w:name="_Toc83299814"/>
      <w:bookmarkStart w:id="2259" w:name="_Toc83300132"/>
      <w:bookmarkStart w:id="2260" w:name="_Toc83299815"/>
      <w:bookmarkStart w:id="2261" w:name="_Toc83300133"/>
      <w:bookmarkStart w:id="2262" w:name="_Toc83299816"/>
      <w:bookmarkStart w:id="2263" w:name="_Toc83300134"/>
      <w:bookmarkStart w:id="2264" w:name="_Toc83299817"/>
      <w:bookmarkStart w:id="2265" w:name="_Toc83300135"/>
      <w:bookmarkStart w:id="2266" w:name="_Toc83299820"/>
      <w:bookmarkStart w:id="2267" w:name="_Toc83300138"/>
      <w:bookmarkStart w:id="2268" w:name="_Toc83299821"/>
      <w:bookmarkStart w:id="2269" w:name="_Toc83300139"/>
      <w:bookmarkStart w:id="2270" w:name="_Toc83299822"/>
      <w:bookmarkStart w:id="2271" w:name="_Toc83300140"/>
      <w:bookmarkStart w:id="2272" w:name="_Toc83299823"/>
      <w:bookmarkStart w:id="2273" w:name="_Toc83300141"/>
      <w:bookmarkStart w:id="2274" w:name="_Toc83299824"/>
      <w:bookmarkStart w:id="2275" w:name="_Toc83300142"/>
      <w:bookmarkStart w:id="2276" w:name="_Toc83299825"/>
      <w:bookmarkStart w:id="2277" w:name="_Toc83300143"/>
      <w:bookmarkStart w:id="2278" w:name="_Toc83299826"/>
      <w:bookmarkStart w:id="2279" w:name="_Toc83300144"/>
      <w:bookmarkStart w:id="2280" w:name="_Toc83299827"/>
      <w:bookmarkStart w:id="2281" w:name="_Toc83300145"/>
      <w:bookmarkStart w:id="2282" w:name="_Toc83299828"/>
      <w:bookmarkStart w:id="2283" w:name="_Toc83300146"/>
      <w:bookmarkStart w:id="2284" w:name="_Toc83299829"/>
      <w:bookmarkStart w:id="2285" w:name="_Toc83300147"/>
      <w:bookmarkStart w:id="2286" w:name="_Toc83904730"/>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r w:rsidRPr="004D28F2">
        <w:rPr>
          <w:b/>
        </w:rPr>
        <w:t>Delivery Organisation Approach</w:t>
      </w:r>
      <w:bookmarkEnd w:id="2286"/>
      <w:r w:rsidRPr="004D28F2">
        <w:rPr>
          <w:b/>
        </w:rPr>
        <w:t xml:space="preserve"> </w:t>
      </w:r>
    </w:p>
    <w:p w14:paraId="732BC421" w14:textId="77777777" w:rsidR="007B12F8" w:rsidRPr="00C959F4" w:rsidRDefault="007B12F8" w:rsidP="00346A37">
      <w:pPr>
        <w:pStyle w:val="Heading3"/>
      </w:pPr>
      <w:r w:rsidRPr="00C959F4">
        <w:t>The Supplier will create an organisation deploying its industry proven processes, skills and industrialisation and will evolve this by:</w:t>
      </w:r>
    </w:p>
    <w:p w14:paraId="711012B5"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holding regular service reviews and meetings to focus on the next challenge and how it can be </w:t>
      </w:r>
      <w:proofErr w:type="gramStart"/>
      <w:r w:rsidRPr="00C959F4">
        <w:rPr>
          <w:rFonts w:cs="Arial"/>
          <w:szCs w:val="20"/>
        </w:rPr>
        <w:t>met;</w:t>
      </w:r>
      <w:proofErr w:type="gramEnd"/>
    </w:p>
    <w:p w14:paraId="10AA992D"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lastRenderedPageBreak/>
        <w:t xml:space="preserve">developing continuous improvement </w:t>
      </w:r>
      <w:proofErr w:type="gramStart"/>
      <w:r w:rsidRPr="00C959F4">
        <w:rPr>
          <w:rFonts w:cs="Arial"/>
          <w:szCs w:val="20"/>
        </w:rPr>
        <w:t>plans;</w:t>
      </w:r>
      <w:proofErr w:type="gramEnd"/>
    </w:p>
    <w:p w14:paraId="7BC30AB7"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implementing new innovations, </w:t>
      </w:r>
      <w:proofErr w:type="gramStart"/>
      <w:r w:rsidRPr="00C959F4">
        <w:rPr>
          <w:rFonts w:cs="Arial"/>
          <w:szCs w:val="20"/>
        </w:rPr>
        <w:t>tooling</w:t>
      </w:r>
      <w:proofErr w:type="gramEnd"/>
      <w:r w:rsidRPr="00C959F4">
        <w:rPr>
          <w:rFonts w:cs="Arial"/>
          <w:szCs w:val="20"/>
        </w:rPr>
        <w:t xml:space="preserve"> and process; and</w:t>
      </w:r>
    </w:p>
    <w:p w14:paraId="047F179A"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adjusting its organisational structure to meet the outcome of these reviews, plans and innovation approaches.</w:t>
      </w:r>
    </w:p>
    <w:p w14:paraId="1AB93202" w14:textId="6BB9EAF3" w:rsidR="007B12F8" w:rsidRPr="00C959F4" w:rsidRDefault="007B12F8" w:rsidP="00346A37">
      <w:pPr>
        <w:pStyle w:val="Heading3"/>
      </w:pPr>
      <w:r w:rsidRPr="00C959F4">
        <w:t xml:space="preserve">The Supplier will work closely with </w:t>
      </w:r>
      <w:proofErr w:type="spellStart"/>
      <w:r w:rsidR="001F1C19">
        <w:t>Netlink</w:t>
      </w:r>
      <w:proofErr w:type="spellEnd"/>
      <w:r w:rsidR="001F1C19">
        <w:t xml:space="preserve"> Star</w:t>
      </w:r>
      <w:r w:rsidRPr="00C959F4">
        <w:t xml:space="preserve"> staff at all levels of the organisation to accelerate the delivery of the project as well as </w:t>
      </w:r>
      <w:proofErr w:type="spellStart"/>
      <w:r w:rsidR="001F1C19">
        <w:t>Netlink</w:t>
      </w:r>
      <w:proofErr w:type="spellEnd"/>
      <w:r w:rsidR="001F1C19">
        <w:t xml:space="preserve"> Star</w:t>
      </w:r>
      <w:r w:rsidRPr="00C959F4">
        <w:t>’s incumbent and ongoing suppliers. It will also aid the transfer of business knowledge to the non-</w:t>
      </w:r>
      <w:proofErr w:type="spellStart"/>
      <w:r w:rsidR="001F1C19">
        <w:t>Netlink</w:t>
      </w:r>
      <w:proofErr w:type="spellEnd"/>
      <w:r w:rsidR="001F1C19">
        <w:t xml:space="preserve"> Star</w:t>
      </w:r>
      <w:r w:rsidRPr="00C959F4">
        <w:t xml:space="preserve"> members of the project team, as well as the transfer of delivery and competency knowledge to </w:t>
      </w:r>
      <w:proofErr w:type="spellStart"/>
      <w:r w:rsidR="001F1C19">
        <w:t>Netlink</w:t>
      </w:r>
      <w:proofErr w:type="spellEnd"/>
      <w:r w:rsidR="001F1C19">
        <w:t xml:space="preserve"> Star</w:t>
      </w:r>
      <w:r w:rsidRPr="00C959F4">
        <w:t>.</w:t>
      </w:r>
    </w:p>
    <w:p w14:paraId="4DC04002" w14:textId="77777777" w:rsidR="007B12F8" w:rsidRPr="004D28F2" w:rsidRDefault="007B12F8" w:rsidP="007B12F8">
      <w:pPr>
        <w:pStyle w:val="Heading2"/>
        <w:keepNext/>
        <w:spacing w:after="120"/>
        <w:rPr>
          <w:b/>
          <w:bCs w:val="0"/>
        </w:rPr>
      </w:pPr>
      <w:r w:rsidRPr="004D28F2">
        <w:rPr>
          <w:b/>
        </w:rPr>
        <w:t>Delivery Leadership</w:t>
      </w:r>
    </w:p>
    <w:p w14:paraId="636458ED" w14:textId="77777777" w:rsidR="007B12F8" w:rsidRPr="00C959F4" w:rsidRDefault="007B12F8" w:rsidP="00346A37">
      <w:pPr>
        <w:pStyle w:val="Heading3"/>
      </w:pPr>
      <w:r w:rsidRPr="00C959F4">
        <w:t>The following table lists the key roles the Supplier expects to be part of the overall governance and management of the Services. Each of the key roles will have the following core characteristics:</w:t>
      </w:r>
    </w:p>
    <w:p w14:paraId="1BB471E3"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business and service focused individuals experienced in delivery across the transportation sector and/or Critical National Infrastructure </w:t>
      </w:r>
      <w:proofErr w:type="gramStart"/>
      <w:r w:rsidRPr="00C959F4">
        <w:rPr>
          <w:rFonts w:cs="Arial"/>
          <w:szCs w:val="20"/>
        </w:rPr>
        <w:t>environments</w:t>
      </w:r>
      <w:r>
        <w:rPr>
          <w:rFonts w:cs="Arial"/>
          <w:szCs w:val="20"/>
        </w:rPr>
        <w:t>;</w:t>
      </w:r>
      <w:proofErr w:type="gramEnd"/>
    </w:p>
    <w:p w14:paraId="7481D99E"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focus on people and communication skills, </w:t>
      </w:r>
      <w:proofErr w:type="gramStart"/>
      <w:r w:rsidRPr="00C959F4">
        <w:rPr>
          <w:rFonts w:cs="Arial"/>
          <w:szCs w:val="20"/>
        </w:rPr>
        <w:t>collaboration</w:t>
      </w:r>
      <w:proofErr w:type="gramEnd"/>
      <w:r w:rsidRPr="00C959F4">
        <w:rPr>
          <w:rFonts w:cs="Arial"/>
          <w:szCs w:val="20"/>
        </w:rPr>
        <w:t xml:space="preserve"> and the ambition to continually train and improve</w:t>
      </w:r>
      <w:r>
        <w:rPr>
          <w:rFonts w:cs="Arial"/>
          <w:szCs w:val="20"/>
        </w:rPr>
        <w:t>; and</w:t>
      </w:r>
    </w:p>
    <w:p w14:paraId="34867F88"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problem solving with the ability to work across ecosystem partners to remediate any challenges – all team members will have the fix-first mentality.</w:t>
      </w:r>
    </w:p>
    <w:tbl>
      <w:tblPr>
        <w:tblStyle w:val="TableGrid0"/>
        <w:tblW w:w="0" w:type="auto"/>
        <w:tblLook w:val="0600" w:firstRow="0" w:lastRow="0" w:firstColumn="0" w:lastColumn="0" w:noHBand="1" w:noVBand="1"/>
      </w:tblPr>
      <w:tblGrid>
        <w:gridCol w:w="2176"/>
        <w:gridCol w:w="6840"/>
      </w:tblGrid>
      <w:tr w:rsidR="007B12F8" w:rsidRPr="00B45A60" w14:paraId="25181414" w14:textId="77777777" w:rsidTr="007B12F8">
        <w:trPr>
          <w:trHeight w:val="368"/>
          <w:tblHeader/>
        </w:trPr>
        <w:tc>
          <w:tcPr>
            <w:tcW w:w="2405" w:type="dxa"/>
            <w:shd w:val="clear" w:color="auto" w:fill="000000" w:themeFill="text1"/>
            <w:vAlign w:val="center"/>
          </w:tcPr>
          <w:p w14:paraId="26D74512" w14:textId="77777777" w:rsidR="007B12F8" w:rsidRPr="00B45A60" w:rsidRDefault="007B12F8" w:rsidP="007B12F8">
            <w:pPr>
              <w:pStyle w:val="TableHead"/>
              <w:spacing w:after="120"/>
              <w:jc w:val="left"/>
              <w:rPr>
                <w:rFonts w:ascii="Arial" w:hAnsi="Arial" w:cs="Arial"/>
                <w:sz w:val="20"/>
                <w:szCs w:val="20"/>
              </w:rPr>
            </w:pPr>
            <w:r w:rsidRPr="00B45A60">
              <w:rPr>
                <w:rFonts w:ascii="Arial" w:hAnsi="Arial" w:cs="Arial"/>
                <w:sz w:val="20"/>
                <w:szCs w:val="20"/>
              </w:rPr>
              <w:lastRenderedPageBreak/>
              <w:t>Role</w:t>
            </w:r>
          </w:p>
        </w:tc>
        <w:tc>
          <w:tcPr>
            <w:tcW w:w="8054" w:type="dxa"/>
            <w:shd w:val="clear" w:color="auto" w:fill="000000" w:themeFill="text1"/>
            <w:vAlign w:val="center"/>
          </w:tcPr>
          <w:p w14:paraId="2B819403" w14:textId="77777777" w:rsidR="007B12F8" w:rsidRPr="00B45A60" w:rsidRDefault="007B12F8" w:rsidP="007B12F8">
            <w:pPr>
              <w:pStyle w:val="TableHead"/>
              <w:spacing w:after="120"/>
              <w:jc w:val="left"/>
              <w:rPr>
                <w:rFonts w:ascii="Arial" w:hAnsi="Arial" w:cs="Arial"/>
                <w:sz w:val="20"/>
                <w:szCs w:val="20"/>
              </w:rPr>
            </w:pPr>
            <w:r w:rsidRPr="00B45A60">
              <w:rPr>
                <w:rFonts w:ascii="Arial" w:hAnsi="Arial" w:cs="Arial"/>
                <w:sz w:val="20"/>
                <w:szCs w:val="20"/>
              </w:rPr>
              <w:t>Responsibilities and Deliverables</w:t>
            </w:r>
          </w:p>
        </w:tc>
      </w:tr>
      <w:tr w:rsidR="007B12F8" w:rsidRPr="00B45A60" w14:paraId="4FAF5074" w14:textId="77777777" w:rsidTr="007B12F8">
        <w:trPr>
          <w:tblHeader/>
        </w:trPr>
        <w:tc>
          <w:tcPr>
            <w:tcW w:w="2405" w:type="dxa"/>
          </w:tcPr>
          <w:p w14:paraId="27C706B4" w14:textId="77777777" w:rsidR="007B12F8" w:rsidRPr="00B45A60" w:rsidRDefault="007B12F8" w:rsidP="007B12F8">
            <w:pPr>
              <w:pStyle w:val="TableBody"/>
              <w:spacing w:after="120"/>
              <w:rPr>
                <w:rFonts w:ascii="Arial" w:hAnsi="Arial" w:cs="Arial"/>
                <w:sz w:val="20"/>
                <w:szCs w:val="20"/>
              </w:rPr>
            </w:pPr>
            <w:r w:rsidRPr="00B45A60">
              <w:rPr>
                <w:rFonts w:ascii="Arial" w:eastAsia="Verdana" w:hAnsi="Arial" w:cs="Arial"/>
                <w:sz w:val="20"/>
                <w:szCs w:val="20"/>
              </w:rPr>
              <w:t>Service Delivery Manager</w:t>
            </w:r>
          </w:p>
        </w:tc>
        <w:tc>
          <w:tcPr>
            <w:tcW w:w="8054" w:type="dxa"/>
          </w:tcPr>
          <w:p w14:paraId="1958ED27" w14:textId="56776F40" w:rsidR="007B12F8" w:rsidRPr="00B45A60" w:rsidRDefault="007B12F8" w:rsidP="007B12F8">
            <w:pPr>
              <w:pStyle w:val="TableBody"/>
              <w:spacing w:after="120"/>
              <w:rPr>
                <w:rFonts w:ascii="Arial" w:hAnsi="Arial" w:cs="Arial"/>
                <w:sz w:val="20"/>
                <w:szCs w:val="20"/>
              </w:rPr>
            </w:pPr>
            <w:r w:rsidRPr="00B45A60">
              <w:rPr>
                <w:rFonts w:ascii="Arial" w:hAnsi="Arial" w:cs="Arial"/>
                <w:sz w:val="20"/>
                <w:szCs w:val="20"/>
              </w:rPr>
              <w:t xml:space="preserve">The Service Delivery Manager (SDM) will serve as the single point of contact for </w:t>
            </w:r>
            <w:r w:rsidR="001F1C19">
              <w:rPr>
                <w:rFonts w:ascii="Arial" w:hAnsi="Arial" w:cs="Arial"/>
                <w:sz w:val="20"/>
                <w:szCs w:val="20"/>
              </w:rPr>
              <w:t>Netlink Star</w:t>
            </w:r>
            <w:r w:rsidRPr="00B45A60">
              <w:rPr>
                <w:rFonts w:ascii="Arial" w:hAnsi="Arial" w:cs="Arial"/>
                <w:sz w:val="20"/>
                <w:szCs w:val="20"/>
              </w:rPr>
              <w:t>.</w:t>
            </w:r>
          </w:p>
          <w:p w14:paraId="038EA8C5" w14:textId="77777777" w:rsidR="007B12F8" w:rsidRPr="00B45A60" w:rsidRDefault="007B12F8" w:rsidP="007B12F8">
            <w:pPr>
              <w:pStyle w:val="TableBody"/>
              <w:spacing w:after="120"/>
              <w:rPr>
                <w:rFonts w:ascii="Arial" w:eastAsiaTheme="minorEastAsia" w:hAnsi="Arial" w:cs="Arial"/>
                <w:sz w:val="20"/>
                <w:szCs w:val="20"/>
              </w:rPr>
            </w:pPr>
            <w:r w:rsidRPr="00B45A60">
              <w:rPr>
                <w:rFonts w:ascii="Arial" w:hAnsi="Arial" w:cs="Arial"/>
                <w:sz w:val="20"/>
                <w:szCs w:val="20"/>
              </w:rPr>
              <w:t>The SDM:</w:t>
            </w:r>
          </w:p>
          <w:p w14:paraId="12ED3881" w14:textId="3EF3D792" w:rsidR="007B12F8" w:rsidRPr="00B45A60" w:rsidRDefault="007B12F8" w:rsidP="007B12F8">
            <w:pPr>
              <w:pStyle w:val="TableBullet1"/>
              <w:tabs>
                <w:tab w:val="clear" w:pos="2411"/>
              </w:tabs>
              <w:spacing w:after="120"/>
              <w:ind w:hanging="360"/>
              <w:rPr>
                <w:rFonts w:ascii="Arial" w:hAnsi="Arial" w:cs="Arial"/>
                <w:sz w:val="20"/>
              </w:rPr>
            </w:pPr>
            <w:r w:rsidRPr="00B45A60">
              <w:rPr>
                <w:rFonts w:ascii="Arial" w:hAnsi="Arial" w:cs="Arial"/>
                <w:sz w:val="20"/>
              </w:rPr>
              <w:t xml:space="preserve">Acts as the primary liaison and single point of contact between the Supplier and </w:t>
            </w:r>
            <w:proofErr w:type="spellStart"/>
            <w:r w:rsidR="001F1C19">
              <w:rPr>
                <w:rFonts w:ascii="Arial" w:hAnsi="Arial" w:cs="Arial"/>
                <w:sz w:val="20"/>
              </w:rPr>
              <w:t>Netlink</w:t>
            </w:r>
            <w:proofErr w:type="spellEnd"/>
            <w:r w:rsidR="001F1C19">
              <w:rPr>
                <w:rFonts w:ascii="Arial" w:hAnsi="Arial" w:cs="Arial"/>
                <w:sz w:val="20"/>
              </w:rPr>
              <w:t xml:space="preserve"> Star</w:t>
            </w:r>
            <w:r w:rsidRPr="00B45A60">
              <w:rPr>
                <w:rFonts w:ascii="Arial" w:hAnsi="Arial" w:cs="Arial"/>
                <w:sz w:val="20"/>
              </w:rPr>
              <w:t xml:space="preserve"> representatives with respect to the </w:t>
            </w:r>
            <w:proofErr w:type="gramStart"/>
            <w:r w:rsidRPr="00B45A60">
              <w:rPr>
                <w:rFonts w:ascii="Arial" w:hAnsi="Arial" w:cs="Arial"/>
                <w:sz w:val="20"/>
              </w:rPr>
              <w:t>Services</w:t>
            </w:r>
            <w:proofErr w:type="gramEnd"/>
          </w:p>
          <w:p w14:paraId="319D636A" w14:textId="77777777" w:rsidR="007B12F8" w:rsidRPr="00B45A60" w:rsidRDefault="007B12F8" w:rsidP="007B12F8">
            <w:pPr>
              <w:pStyle w:val="TableBullet1"/>
              <w:tabs>
                <w:tab w:val="clear" w:pos="2411"/>
              </w:tabs>
              <w:spacing w:after="120"/>
              <w:ind w:hanging="360"/>
              <w:rPr>
                <w:rFonts w:ascii="Arial" w:hAnsi="Arial" w:cs="Arial"/>
                <w:sz w:val="20"/>
              </w:rPr>
            </w:pPr>
            <w:r w:rsidRPr="00B45A60">
              <w:rPr>
                <w:rFonts w:ascii="Arial" w:hAnsi="Arial" w:cs="Arial"/>
                <w:sz w:val="20"/>
              </w:rPr>
              <w:t xml:space="preserve">Manages issue resolution including escalation to the Account Executive on an </w:t>
            </w:r>
            <w:proofErr w:type="gramStart"/>
            <w:r w:rsidRPr="00B45A60">
              <w:rPr>
                <w:rFonts w:ascii="Arial" w:hAnsi="Arial" w:cs="Arial"/>
                <w:sz w:val="20"/>
              </w:rPr>
              <w:t>as-needed</w:t>
            </w:r>
            <w:proofErr w:type="gramEnd"/>
            <w:r w:rsidRPr="00B45A60">
              <w:rPr>
                <w:rFonts w:ascii="Arial" w:hAnsi="Arial" w:cs="Arial"/>
                <w:sz w:val="20"/>
              </w:rPr>
              <w:t xml:space="preserve"> basis</w:t>
            </w:r>
          </w:p>
          <w:p w14:paraId="7DFB95F9" w14:textId="77777777" w:rsidR="007B12F8" w:rsidRPr="00B45A60" w:rsidRDefault="007B12F8" w:rsidP="007B12F8">
            <w:pPr>
              <w:pStyle w:val="TableBullet1"/>
              <w:tabs>
                <w:tab w:val="clear" w:pos="2411"/>
              </w:tabs>
              <w:spacing w:after="120"/>
              <w:ind w:hanging="360"/>
              <w:rPr>
                <w:rFonts w:ascii="Arial" w:hAnsi="Arial" w:cs="Arial"/>
                <w:sz w:val="20"/>
              </w:rPr>
            </w:pPr>
            <w:r w:rsidRPr="00B45A60">
              <w:rPr>
                <w:rFonts w:ascii="Arial" w:hAnsi="Arial" w:cs="Arial"/>
                <w:sz w:val="20"/>
              </w:rPr>
              <w:t xml:space="preserve">Serves as a point of escalation for all service delivery concerns and contractual </w:t>
            </w:r>
            <w:proofErr w:type="gramStart"/>
            <w:r w:rsidRPr="00B45A60">
              <w:rPr>
                <w:rFonts w:ascii="Arial" w:hAnsi="Arial" w:cs="Arial"/>
                <w:sz w:val="20"/>
              </w:rPr>
              <w:t>issues</w:t>
            </w:r>
            <w:proofErr w:type="gramEnd"/>
          </w:p>
          <w:p w14:paraId="37B561B3" w14:textId="77777777" w:rsidR="007B12F8" w:rsidRPr="00B45A60" w:rsidRDefault="007B12F8" w:rsidP="007B12F8">
            <w:pPr>
              <w:pStyle w:val="TableBullet1"/>
              <w:tabs>
                <w:tab w:val="clear" w:pos="2411"/>
              </w:tabs>
              <w:spacing w:after="120"/>
              <w:ind w:hanging="360"/>
              <w:rPr>
                <w:rFonts w:ascii="Arial" w:hAnsi="Arial" w:cs="Arial"/>
                <w:sz w:val="20"/>
              </w:rPr>
            </w:pPr>
            <w:r w:rsidRPr="00B45A60">
              <w:rPr>
                <w:rFonts w:ascii="Arial" w:hAnsi="Arial" w:cs="Arial"/>
                <w:sz w:val="20"/>
              </w:rPr>
              <w:t xml:space="preserve">Participates in monthly service delivery reviews regarding SLA performance and service </w:t>
            </w:r>
            <w:proofErr w:type="gramStart"/>
            <w:r w:rsidRPr="00B45A60">
              <w:rPr>
                <w:rFonts w:ascii="Arial" w:hAnsi="Arial" w:cs="Arial"/>
                <w:sz w:val="20"/>
              </w:rPr>
              <w:t>quality</w:t>
            </w:r>
            <w:proofErr w:type="gramEnd"/>
          </w:p>
          <w:p w14:paraId="4471EDC3" w14:textId="2BA1D667" w:rsidR="007B12F8" w:rsidRPr="00B45A60" w:rsidRDefault="007B12F8" w:rsidP="007B12F8">
            <w:pPr>
              <w:pStyle w:val="TableBullet1"/>
              <w:tabs>
                <w:tab w:val="clear" w:pos="2411"/>
              </w:tabs>
              <w:spacing w:after="120"/>
              <w:ind w:hanging="360"/>
              <w:rPr>
                <w:rFonts w:ascii="Arial" w:hAnsi="Arial" w:cs="Arial"/>
                <w:sz w:val="20"/>
              </w:rPr>
            </w:pPr>
            <w:r w:rsidRPr="00B45A60">
              <w:rPr>
                <w:rFonts w:ascii="Arial" w:hAnsi="Arial" w:cs="Arial"/>
                <w:sz w:val="20"/>
              </w:rPr>
              <w:t xml:space="preserve">Introduces new innovative products, services and technology to </w:t>
            </w:r>
            <w:proofErr w:type="spellStart"/>
            <w:r w:rsidR="001F1C19">
              <w:rPr>
                <w:rFonts w:ascii="Arial" w:hAnsi="Arial" w:cs="Arial"/>
                <w:sz w:val="20"/>
              </w:rPr>
              <w:t>Netlink</w:t>
            </w:r>
            <w:proofErr w:type="spellEnd"/>
            <w:r w:rsidR="001F1C19">
              <w:rPr>
                <w:rFonts w:ascii="Arial" w:hAnsi="Arial" w:cs="Arial"/>
                <w:sz w:val="20"/>
              </w:rPr>
              <w:t xml:space="preserve"> Star</w:t>
            </w:r>
            <w:r w:rsidRPr="00B45A60">
              <w:rPr>
                <w:rFonts w:ascii="Arial" w:hAnsi="Arial" w:cs="Arial"/>
                <w:sz w:val="20"/>
              </w:rPr>
              <w:t xml:space="preserve"> to improve service </w:t>
            </w:r>
            <w:proofErr w:type="gramStart"/>
            <w:r w:rsidRPr="00B45A60">
              <w:rPr>
                <w:rFonts w:ascii="Arial" w:hAnsi="Arial" w:cs="Arial"/>
                <w:sz w:val="20"/>
              </w:rPr>
              <w:t>quality</w:t>
            </w:r>
            <w:proofErr w:type="gramEnd"/>
          </w:p>
          <w:p w14:paraId="61BB3498" w14:textId="77777777" w:rsidR="007B12F8" w:rsidRPr="00B45A60" w:rsidRDefault="007B12F8" w:rsidP="007B12F8">
            <w:pPr>
              <w:pStyle w:val="TableBullet1"/>
              <w:tabs>
                <w:tab w:val="clear" w:pos="2411"/>
              </w:tabs>
              <w:spacing w:after="120"/>
              <w:ind w:hanging="360"/>
              <w:rPr>
                <w:rFonts w:ascii="Arial" w:hAnsi="Arial" w:cs="Arial"/>
                <w:sz w:val="20"/>
              </w:rPr>
            </w:pPr>
            <w:r w:rsidRPr="00B45A60">
              <w:rPr>
                <w:rFonts w:ascii="Arial" w:hAnsi="Arial" w:cs="Arial"/>
                <w:sz w:val="20"/>
              </w:rPr>
              <w:t xml:space="preserve">Manages issue resolution including escalation to the Account Executive on an </w:t>
            </w:r>
            <w:proofErr w:type="gramStart"/>
            <w:r w:rsidRPr="00B45A60">
              <w:rPr>
                <w:rFonts w:ascii="Arial" w:hAnsi="Arial" w:cs="Arial"/>
                <w:sz w:val="20"/>
              </w:rPr>
              <w:t>as-needed</w:t>
            </w:r>
            <w:proofErr w:type="gramEnd"/>
            <w:r w:rsidRPr="00B45A60">
              <w:rPr>
                <w:rFonts w:ascii="Arial" w:hAnsi="Arial" w:cs="Arial"/>
                <w:sz w:val="20"/>
              </w:rPr>
              <w:t xml:space="preserve"> basis</w:t>
            </w:r>
          </w:p>
          <w:p w14:paraId="65DD947E" w14:textId="7AAB0980" w:rsidR="007B12F8" w:rsidRPr="00B45A60" w:rsidRDefault="007B12F8" w:rsidP="007B12F8">
            <w:pPr>
              <w:pStyle w:val="TableBullet1"/>
              <w:tabs>
                <w:tab w:val="clear" w:pos="2411"/>
              </w:tabs>
              <w:spacing w:after="120"/>
              <w:ind w:hanging="360"/>
              <w:rPr>
                <w:rFonts w:ascii="Arial" w:hAnsi="Arial" w:cs="Arial"/>
                <w:sz w:val="20"/>
              </w:rPr>
            </w:pPr>
            <w:r w:rsidRPr="00B45A60">
              <w:rPr>
                <w:rFonts w:ascii="Arial" w:hAnsi="Arial" w:cs="Arial"/>
                <w:sz w:val="20"/>
              </w:rPr>
              <w:t xml:space="preserve">Assists with the development of </w:t>
            </w:r>
            <w:proofErr w:type="spellStart"/>
            <w:r w:rsidR="001F1C19">
              <w:rPr>
                <w:rFonts w:ascii="Arial" w:hAnsi="Arial" w:cs="Arial"/>
                <w:sz w:val="20"/>
              </w:rPr>
              <w:t>Netlink</w:t>
            </w:r>
            <w:proofErr w:type="spellEnd"/>
            <w:r w:rsidR="001F1C19">
              <w:rPr>
                <w:rFonts w:ascii="Arial" w:hAnsi="Arial" w:cs="Arial"/>
                <w:sz w:val="20"/>
              </w:rPr>
              <w:t xml:space="preserve"> Star</w:t>
            </w:r>
            <w:r w:rsidRPr="00B45A60">
              <w:rPr>
                <w:rFonts w:ascii="Arial" w:hAnsi="Arial" w:cs="Arial"/>
                <w:sz w:val="20"/>
              </w:rPr>
              <w:t xml:space="preserve">’s IT </w:t>
            </w:r>
            <w:proofErr w:type="gramStart"/>
            <w:r w:rsidRPr="00B45A60">
              <w:rPr>
                <w:rFonts w:ascii="Arial" w:hAnsi="Arial" w:cs="Arial"/>
                <w:sz w:val="20"/>
              </w:rPr>
              <w:t>strategy</w:t>
            </w:r>
            <w:proofErr w:type="gramEnd"/>
          </w:p>
          <w:p w14:paraId="0096877C" w14:textId="77777777" w:rsidR="007B12F8" w:rsidRPr="00B45A60" w:rsidRDefault="007B12F8" w:rsidP="007B12F8">
            <w:pPr>
              <w:pStyle w:val="TableBullet1"/>
              <w:tabs>
                <w:tab w:val="clear" w:pos="2411"/>
              </w:tabs>
              <w:spacing w:after="120"/>
              <w:ind w:hanging="360"/>
              <w:rPr>
                <w:rFonts w:ascii="Arial" w:hAnsi="Arial" w:cs="Arial"/>
                <w:sz w:val="20"/>
              </w:rPr>
            </w:pPr>
            <w:r w:rsidRPr="00B45A60">
              <w:rPr>
                <w:rFonts w:ascii="Arial" w:hAnsi="Arial" w:cs="Arial"/>
                <w:sz w:val="20"/>
              </w:rPr>
              <w:t xml:space="preserve">Performs quality assurance of operations </w:t>
            </w:r>
            <w:proofErr w:type="gramStart"/>
            <w:r w:rsidRPr="00B45A60">
              <w:rPr>
                <w:rFonts w:ascii="Arial" w:hAnsi="Arial" w:cs="Arial"/>
                <w:sz w:val="20"/>
              </w:rPr>
              <w:t>activities</w:t>
            </w:r>
            <w:proofErr w:type="gramEnd"/>
          </w:p>
          <w:p w14:paraId="29D84E21" w14:textId="0E987CC6" w:rsidR="007B12F8" w:rsidRPr="00B45A60" w:rsidRDefault="007B12F8" w:rsidP="007B12F8">
            <w:pPr>
              <w:pStyle w:val="TableBullet1"/>
              <w:tabs>
                <w:tab w:val="clear" w:pos="2411"/>
              </w:tabs>
              <w:spacing w:after="120"/>
              <w:ind w:hanging="360"/>
              <w:rPr>
                <w:rFonts w:ascii="Arial" w:hAnsi="Arial" w:cs="Arial"/>
                <w:sz w:val="20"/>
              </w:rPr>
            </w:pPr>
            <w:r w:rsidRPr="00B45A60">
              <w:rPr>
                <w:rFonts w:ascii="Arial" w:hAnsi="Arial" w:cs="Arial"/>
                <w:sz w:val="20"/>
              </w:rPr>
              <w:t xml:space="preserve">Serves as liaison to the retained </w:t>
            </w:r>
            <w:proofErr w:type="spellStart"/>
            <w:r w:rsidR="001F1C19">
              <w:rPr>
                <w:rFonts w:ascii="Arial" w:hAnsi="Arial" w:cs="Arial"/>
                <w:sz w:val="20"/>
              </w:rPr>
              <w:t>Netlink</w:t>
            </w:r>
            <w:proofErr w:type="spellEnd"/>
            <w:r w:rsidR="001F1C19">
              <w:rPr>
                <w:rFonts w:ascii="Arial" w:hAnsi="Arial" w:cs="Arial"/>
                <w:sz w:val="20"/>
              </w:rPr>
              <w:t xml:space="preserve"> Star</w:t>
            </w:r>
            <w:r w:rsidRPr="00B45A60">
              <w:rPr>
                <w:rFonts w:ascii="Arial" w:hAnsi="Arial" w:cs="Arial"/>
                <w:sz w:val="20"/>
              </w:rPr>
              <w:t xml:space="preserve"> information technology </w:t>
            </w:r>
            <w:proofErr w:type="gramStart"/>
            <w:r w:rsidRPr="00B45A60">
              <w:rPr>
                <w:rFonts w:ascii="Arial" w:hAnsi="Arial" w:cs="Arial"/>
                <w:sz w:val="20"/>
              </w:rPr>
              <w:t>team</w:t>
            </w:r>
            <w:proofErr w:type="gramEnd"/>
          </w:p>
          <w:p w14:paraId="6A3A16A9" w14:textId="77777777" w:rsidR="007B12F8" w:rsidRPr="00B45A60" w:rsidRDefault="007B12F8" w:rsidP="007B12F8">
            <w:pPr>
              <w:pStyle w:val="TableBullet1"/>
              <w:tabs>
                <w:tab w:val="clear" w:pos="2411"/>
              </w:tabs>
              <w:spacing w:after="120"/>
              <w:ind w:hanging="360"/>
              <w:rPr>
                <w:rFonts w:ascii="Arial" w:hAnsi="Arial" w:cs="Arial"/>
                <w:sz w:val="20"/>
              </w:rPr>
            </w:pPr>
            <w:r w:rsidRPr="00B45A60">
              <w:rPr>
                <w:rFonts w:ascii="Arial" w:hAnsi="Arial" w:cs="Arial"/>
                <w:sz w:val="20"/>
              </w:rPr>
              <w:t xml:space="preserve">Drives and owns all Continuous Service Improvement across the Supplier managed </w:t>
            </w:r>
            <w:proofErr w:type="gramStart"/>
            <w:r w:rsidRPr="00B45A60">
              <w:rPr>
                <w:rFonts w:ascii="Arial" w:hAnsi="Arial" w:cs="Arial"/>
                <w:sz w:val="20"/>
              </w:rPr>
              <w:t>estate</w:t>
            </w:r>
            <w:proofErr w:type="gramEnd"/>
          </w:p>
          <w:p w14:paraId="51845275" w14:textId="77777777" w:rsidR="007B12F8" w:rsidRPr="00B45A60" w:rsidRDefault="007B12F8" w:rsidP="007B12F8">
            <w:pPr>
              <w:pStyle w:val="TableBullet1"/>
              <w:numPr>
                <w:ilvl w:val="0"/>
                <w:numId w:val="0"/>
              </w:numPr>
              <w:spacing w:after="120"/>
              <w:ind w:left="360" w:hanging="360"/>
              <w:jc w:val="left"/>
              <w:rPr>
                <w:rFonts w:ascii="Arial" w:hAnsi="Arial" w:cs="Arial"/>
                <w:sz w:val="20"/>
              </w:rPr>
            </w:pPr>
            <w:r w:rsidRPr="00B45A60">
              <w:rPr>
                <w:rFonts w:ascii="Arial" w:hAnsi="Arial" w:cs="Arial"/>
                <w:sz w:val="20"/>
              </w:rPr>
              <w:t>The SDM is accountable for:</w:t>
            </w:r>
          </w:p>
          <w:p w14:paraId="5C5C3ACD" w14:textId="0AF7626B" w:rsidR="007B12F8" w:rsidRPr="00B45A60" w:rsidRDefault="007B12F8" w:rsidP="007B12F8">
            <w:pPr>
              <w:pStyle w:val="TableBullet1"/>
              <w:tabs>
                <w:tab w:val="clear" w:pos="2411"/>
              </w:tabs>
              <w:spacing w:after="120"/>
              <w:ind w:hanging="360"/>
              <w:rPr>
                <w:rFonts w:ascii="Arial" w:hAnsi="Arial" w:cs="Arial"/>
                <w:sz w:val="20"/>
              </w:rPr>
            </w:pPr>
            <w:r w:rsidRPr="00B45A60">
              <w:rPr>
                <w:rFonts w:ascii="Arial" w:hAnsi="Arial" w:cs="Arial"/>
                <w:sz w:val="20"/>
              </w:rPr>
              <w:t xml:space="preserve">Services delivered across the locations to </w:t>
            </w:r>
            <w:proofErr w:type="spellStart"/>
            <w:r w:rsidR="001F1C19">
              <w:rPr>
                <w:rFonts w:ascii="Arial" w:hAnsi="Arial" w:cs="Arial"/>
                <w:sz w:val="20"/>
              </w:rPr>
              <w:t>Netlink</w:t>
            </w:r>
            <w:proofErr w:type="spellEnd"/>
            <w:r w:rsidR="001F1C19">
              <w:rPr>
                <w:rFonts w:ascii="Arial" w:hAnsi="Arial" w:cs="Arial"/>
                <w:sz w:val="20"/>
              </w:rPr>
              <w:t xml:space="preserve"> Star</w:t>
            </w:r>
          </w:p>
          <w:p w14:paraId="5948C4AE" w14:textId="77777777" w:rsidR="007B12F8" w:rsidRPr="00B45A60" w:rsidRDefault="007B12F8" w:rsidP="007B12F8">
            <w:pPr>
              <w:pStyle w:val="TableBullet1"/>
              <w:tabs>
                <w:tab w:val="clear" w:pos="2411"/>
              </w:tabs>
              <w:spacing w:after="120"/>
              <w:ind w:hanging="360"/>
              <w:rPr>
                <w:rFonts w:ascii="Arial" w:hAnsi="Arial" w:cs="Arial"/>
                <w:sz w:val="20"/>
              </w:rPr>
            </w:pPr>
            <w:r w:rsidRPr="00B45A60">
              <w:rPr>
                <w:rFonts w:ascii="Arial" w:hAnsi="Arial" w:cs="Arial"/>
                <w:sz w:val="20"/>
              </w:rPr>
              <w:t>The Supplier’s BCP and DR delivery</w:t>
            </w:r>
          </w:p>
          <w:p w14:paraId="57AE2ADD" w14:textId="77777777" w:rsidR="007B12F8" w:rsidRPr="00B45A60" w:rsidRDefault="007B12F8" w:rsidP="007B12F8">
            <w:pPr>
              <w:pStyle w:val="TableBullet1"/>
              <w:tabs>
                <w:tab w:val="clear" w:pos="2411"/>
              </w:tabs>
              <w:spacing w:after="120"/>
              <w:ind w:hanging="360"/>
              <w:rPr>
                <w:rFonts w:ascii="Arial" w:hAnsi="Arial" w:cs="Arial"/>
                <w:sz w:val="20"/>
              </w:rPr>
            </w:pPr>
            <w:r w:rsidRPr="00B45A60">
              <w:rPr>
                <w:rFonts w:ascii="Arial" w:hAnsi="Arial" w:cs="Arial"/>
                <w:sz w:val="20"/>
              </w:rPr>
              <w:t>On-boarding/off-boarding of Supplier personnel</w:t>
            </w:r>
          </w:p>
        </w:tc>
      </w:tr>
      <w:tr w:rsidR="007B12F8" w:rsidRPr="00B45A60" w14:paraId="64741DCA" w14:textId="77777777" w:rsidTr="007B12F8">
        <w:trPr>
          <w:tblHeader/>
        </w:trPr>
        <w:tc>
          <w:tcPr>
            <w:tcW w:w="2405" w:type="dxa"/>
          </w:tcPr>
          <w:p w14:paraId="13AE48C3" w14:textId="77777777" w:rsidR="007B12F8" w:rsidRPr="00B45A60" w:rsidRDefault="007B12F8" w:rsidP="007B12F8">
            <w:pPr>
              <w:pStyle w:val="TableBody"/>
              <w:spacing w:after="120"/>
              <w:rPr>
                <w:rFonts w:ascii="Arial" w:hAnsi="Arial" w:cs="Arial"/>
                <w:sz w:val="20"/>
                <w:szCs w:val="20"/>
              </w:rPr>
            </w:pPr>
            <w:r w:rsidRPr="00B45A60">
              <w:rPr>
                <w:rFonts w:ascii="Arial" w:eastAsia="Verdana" w:hAnsi="Arial" w:cs="Arial"/>
                <w:color w:val="3B3838"/>
                <w:sz w:val="20"/>
                <w:szCs w:val="20"/>
              </w:rPr>
              <w:t>Programme Manager/ Transition Manager</w:t>
            </w:r>
          </w:p>
        </w:tc>
        <w:tc>
          <w:tcPr>
            <w:tcW w:w="8054" w:type="dxa"/>
          </w:tcPr>
          <w:p w14:paraId="202A136B" w14:textId="77777777" w:rsidR="007B12F8" w:rsidRPr="00B45A60" w:rsidRDefault="007B12F8" w:rsidP="007B12F8">
            <w:pPr>
              <w:pStyle w:val="TableBody"/>
              <w:spacing w:after="120"/>
              <w:rPr>
                <w:rFonts w:ascii="Arial" w:hAnsi="Arial" w:cs="Arial"/>
                <w:sz w:val="20"/>
                <w:szCs w:val="20"/>
              </w:rPr>
            </w:pPr>
            <w:r w:rsidRPr="00B45A60">
              <w:rPr>
                <w:rFonts w:ascii="Arial" w:hAnsi="Arial" w:cs="Arial"/>
                <w:sz w:val="20"/>
                <w:szCs w:val="20"/>
              </w:rPr>
              <w:t>The Transition Manager has the primary responsibility for managing the team and all activities related to transferring delivery responsibilities from the incumbents to the Supplier. This will include TUPE transition of in-scope employees and relevant subcontractors.</w:t>
            </w:r>
          </w:p>
          <w:p w14:paraId="0937BAA7" w14:textId="77777777" w:rsidR="007B12F8" w:rsidRPr="00B45A60" w:rsidRDefault="007B12F8" w:rsidP="007B12F8">
            <w:pPr>
              <w:pStyle w:val="TableBody"/>
              <w:spacing w:after="120"/>
              <w:rPr>
                <w:rFonts w:ascii="Arial" w:hAnsi="Arial" w:cs="Arial"/>
                <w:sz w:val="20"/>
                <w:szCs w:val="20"/>
              </w:rPr>
            </w:pPr>
            <w:r w:rsidRPr="00B45A60">
              <w:rPr>
                <w:rFonts w:ascii="Arial" w:hAnsi="Arial" w:cs="Arial"/>
                <w:sz w:val="20"/>
                <w:szCs w:val="20"/>
              </w:rPr>
              <w:t>This is a full-time role during the service transition within the Supplier governance structure. The Transition Manager performs the following:</w:t>
            </w:r>
          </w:p>
          <w:p w14:paraId="3A0056C9" w14:textId="77777777" w:rsidR="007B12F8" w:rsidRPr="00B45A60" w:rsidRDefault="007B12F8" w:rsidP="007B12F8">
            <w:pPr>
              <w:pStyle w:val="TableBullet1"/>
              <w:tabs>
                <w:tab w:val="clear" w:pos="2411"/>
              </w:tabs>
              <w:spacing w:after="120"/>
              <w:ind w:hanging="360"/>
              <w:rPr>
                <w:rFonts w:ascii="Arial" w:eastAsiaTheme="minorEastAsia" w:hAnsi="Arial" w:cs="Arial"/>
                <w:sz w:val="20"/>
              </w:rPr>
            </w:pPr>
            <w:r w:rsidRPr="00B45A60">
              <w:rPr>
                <w:rFonts w:ascii="Arial" w:hAnsi="Arial" w:cs="Arial"/>
                <w:sz w:val="20"/>
              </w:rPr>
              <w:t>Develops the detailed Transition Plan encompassing Transition activities for the in-scope services, ITIL Process Implementation, Reporting and the Governance Committee</w:t>
            </w:r>
          </w:p>
          <w:p w14:paraId="3A0E26C0" w14:textId="77777777" w:rsidR="007B12F8" w:rsidRPr="00B45A60" w:rsidRDefault="007B12F8" w:rsidP="007B12F8">
            <w:pPr>
              <w:pStyle w:val="TableBullet1"/>
              <w:tabs>
                <w:tab w:val="clear" w:pos="2411"/>
              </w:tabs>
              <w:spacing w:after="120"/>
              <w:ind w:hanging="360"/>
              <w:rPr>
                <w:rFonts w:ascii="Arial" w:eastAsiaTheme="minorEastAsia" w:hAnsi="Arial" w:cs="Arial"/>
                <w:sz w:val="20"/>
              </w:rPr>
            </w:pPr>
            <w:r w:rsidRPr="00B45A60">
              <w:rPr>
                <w:rFonts w:ascii="Arial" w:hAnsi="Arial" w:cs="Arial"/>
                <w:sz w:val="20"/>
              </w:rPr>
              <w:t xml:space="preserve">Ensures that service levels, service quality and performance are not impacted during </w:t>
            </w:r>
            <w:proofErr w:type="gramStart"/>
            <w:r w:rsidRPr="00B45A60">
              <w:rPr>
                <w:rFonts w:ascii="Arial" w:hAnsi="Arial" w:cs="Arial"/>
                <w:sz w:val="20"/>
              </w:rPr>
              <w:t>transition</w:t>
            </w:r>
            <w:proofErr w:type="gramEnd"/>
          </w:p>
          <w:p w14:paraId="4BF16366" w14:textId="77777777" w:rsidR="007B12F8" w:rsidRPr="00B45A60" w:rsidRDefault="007B12F8" w:rsidP="007B12F8">
            <w:pPr>
              <w:pStyle w:val="TableBullet1"/>
              <w:tabs>
                <w:tab w:val="clear" w:pos="2411"/>
              </w:tabs>
              <w:spacing w:after="120"/>
              <w:ind w:hanging="360"/>
              <w:rPr>
                <w:rFonts w:ascii="Arial" w:eastAsiaTheme="minorEastAsia" w:hAnsi="Arial" w:cs="Arial"/>
                <w:sz w:val="20"/>
              </w:rPr>
            </w:pPr>
            <w:r w:rsidRPr="00B45A60">
              <w:rPr>
                <w:rFonts w:ascii="Arial" w:hAnsi="Arial" w:cs="Arial"/>
                <w:sz w:val="20"/>
              </w:rPr>
              <w:t xml:space="preserve">Assigns and manages transition team members and manages the Transition work </w:t>
            </w:r>
            <w:proofErr w:type="gramStart"/>
            <w:r w:rsidRPr="00B45A60">
              <w:rPr>
                <w:rFonts w:ascii="Arial" w:hAnsi="Arial" w:cs="Arial"/>
                <w:sz w:val="20"/>
              </w:rPr>
              <w:t>plan</w:t>
            </w:r>
            <w:proofErr w:type="gramEnd"/>
          </w:p>
          <w:p w14:paraId="067F1D1F" w14:textId="77777777" w:rsidR="007B12F8" w:rsidRPr="00B45A60" w:rsidRDefault="007B12F8" w:rsidP="007B12F8">
            <w:pPr>
              <w:pStyle w:val="TableBullet1"/>
              <w:tabs>
                <w:tab w:val="clear" w:pos="2411"/>
              </w:tabs>
              <w:spacing w:after="120"/>
              <w:ind w:hanging="360"/>
              <w:rPr>
                <w:rFonts w:ascii="Arial" w:eastAsiaTheme="minorEastAsia" w:hAnsi="Arial" w:cs="Arial"/>
                <w:sz w:val="20"/>
              </w:rPr>
            </w:pPr>
            <w:r w:rsidRPr="00B45A60">
              <w:rPr>
                <w:rFonts w:ascii="Arial" w:hAnsi="Arial" w:cs="Arial"/>
                <w:sz w:val="20"/>
              </w:rPr>
              <w:t xml:space="preserve">Leads transition team meetings and prepare periodic status </w:t>
            </w:r>
            <w:proofErr w:type="gramStart"/>
            <w:r w:rsidRPr="00B45A60">
              <w:rPr>
                <w:rFonts w:ascii="Arial" w:hAnsi="Arial" w:cs="Arial"/>
                <w:sz w:val="20"/>
              </w:rPr>
              <w:t>reports</w:t>
            </w:r>
            <w:proofErr w:type="gramEnd"/>
          </w:p>
          <w:p w14:paraId="558CD24D" w14:textId="4F8755F9" w:rsidR="007B12F8" w:rsidRPr="00B45A60" w:rsidRDefault="007B12F8" w:rsidP="007B12F8">
            <w:pPr>
              <w:pStyle w:val="TableBullet1"/>
              <w:tabs>
                <w:tab w:val="clear" w:pos="2411"/>
              </w:tabs>
              <w:spacing w:after="120"/>
              <w:ind w:hanging="360"/>
              <w:rPr>
                <w:rFonts w:ascii="Arial" w:eastAsiaTheme="minorEastAsia" w:hAnsi="Arial" w:cs="Arial"/>
                <w:sz w:val="20"/>
              </w:rPr>
            </w:pPr>
            <w:r w:rsidRPr="00B45A60">
              <w:rPr>
                <w:rFonts w:ascii="Arial" w:hAnsi="Arial" w:cs="Arial"/>
                <w:sz w:val="20"/>
              </w:rPr>
              <w:t xml:space="preserve">Identifies Transition issues and discuss these with </w:t>
            </w:r>
            <w:proofErr w:type="spellStart"/>
            <w:r w:rsidR="001F1C19">
              <w:rPr>
                <w:rFonts w:ascii="Arial" w:hAnsi="Arial" w:cs="Arial"/>
                <w:sz w:val="20"/>
              </w:rPr>
              <w:t>Netlink</w:t>
            </w:r>
            <w:proofErr w:type="spellEnd"/>
            <w:r w:rsidR="001F1C19">
              <w:rPr>
                <w:rFonts w:ascii="Arial" w:hAnsi="Arial" w:cs="Arial"/>
                <w:sz w:val="20"/>
              </w:rPr>
              <w:t xml:space="preserve"> Star</w:t>
            </w:r>
            <w:r w:rsidRPr="00B45A60">
              <w:rPr>
                <w:rFonts w:ascii="Arial" w:hAnsi="Arial" w:cs="Arial"/>
                <w:sz w:val="20"/>
              </w:rPr>
              <w:t xml:space="preserve"> and Supplier </w:t>
            </w:r>
            <w:proofErr w:type="gramStart"/>
            <w:r w:rsidRPr="00B45A60">
              <w:rPr>
                <w:rFonts w:ascii="Arial" w:hAnsi="Arial" w:cs="Arial"/>
                <w:sz w:val="20"/>
              </w:rPr>
              <w:t>leadership</w:t>
            </w:r>
            <w:proofErr w:type="gramEnd"/>
          </w:p>
          <w:p w14:paraId="166CBBFA" w14:textId="15FA06A7" w:rsidR="007B12F8" w:rsidRPr="00B45A60" w:rsidRDefault="007B12F8" w:rsidP="007B12F8">
            <w:pPr>
              <w:pStyle w:val="TableBullet1"/>
              <w:tabs>
                <w:tab w:val="clear" w:pos="2411"/>
              </w:tabs>
              <w:spacing w:after="120"/>
              <w:ind w:hanging="360"/>
              <w:rPr>
                <w:rFonts w:ascii="Arial" w:hAnsi="Arial" w:cs="Arial"/>
                <w:sz w:val="20"/>
              </w:rPr>
            </w:pPr>
            <w:r w:rsidRPr="00B45A60">
              <w:rPr>
                <w:rFonts w:ascii="Arial" w:hAnsi="Arial" w:cs="Arial"/>
                <w:sz w:val="20"/>
              </w:rPr>
              <w:t xml:space="preserve">Interacts with </w:t>
            </w:r>
            <w:proofErr w:type="spellStart"/>
            <w:r w:rsidR="001F1C19">
              <w:rPr>
                <w:rFonts w:ascii="Arial" w:hAnsi="Arial" w:cs="Arial"/>
                <w:sz w:val="20"/>
              </w:rPr>
              <w:t>Netlink</w:t>
            </w:r>
            <w:proofErr w:type="spellEnd"/>
            <w:r w:rsidR="001F1C19">
              <w:rPr>
                <w:rFonts w:ascii="Arial" w:hAnsi="Arial" w:cs="Arial"/>
                <w:sz w:val="20"/>
              </w:rPr>
              <w:t xml:space="preserve"> Star</w:t>
            </w:r>
            <w:r w:rsidRPr="00B45A60">
              <w:rPr>
                <w:rFonts w:ascii="Arial" w:hAnsi="Arial" w:cs="Arial"/>
                <w:sz w:val="20"/>
              </w:rPr>
              <w:t xml:space="preserve"> personnel assigned to the Transition team, and the Supplier’s executives sponsoring the Transition effort.</w:t>
            </w:r>
          </w:p>
        </w:tc>
      </w:tr>
      <w:tr w:rsidR="007B12F8" w:rsidRPr="00B45A60" w14:paraId="4D6DAB60" w14:textId="77777777" w:rsidTr="007B12F8">
        <w:trPr>
          <w:tblHeader/>
        </w:trPr>
        <w:tc>
          <w:tcPr>
            <w:tcW w:w="2405" w:type="dxa"/>
          </w:tcPr>
          <w:p w14:paraId="55A7C285" w14:textId="77777777" w:rsidR="007B12F8" w:rsidRPr="00B45A60" w:rsidRDefault="007B12F8" w:rsidP="007B12F8">
            <w:pPr>
              <w:pStyle w:val="TableBody"/>
              <w:spacing w:after="120"/>
              <w:rPr>
                <w:rFonts w:ascii="Arial" w:hAnsi="Arial" w:cs="Arial"/>
                <w:sz w:val="20"/>
                <w:szCs w:val="20"/>
              </w:rPr>
            </w:pPr>
            <w:r w:rsidRPr="00B45A60">
              <w:rPr>
                <w:rFonts w:ascii="Arial" w:hAnsi="Arial" w:cs="Arial"/>
                <w:sz w:val="20"/>
                <w:szCs w:val="20"/>
              </w:rPr>
              <w:lastRenderedPageBreak/>
              <w:t>Operational Delivery Manager (Offshore)</w:t>
            </w:r>
          </w:p>
        </w:tc>
        <w:tc>
          <w:tcPr>
            <w:tcW w:w="8054" w:type="dxa"/>
          </w:tcPr>
          <w:p w14:paraId="1FDE56FD" w14:textId="33DDFC4D" w:rsidR="007B12F8" w:rsidRPr="00B45A60" w:rsidRDefault="007B12F8" w:rsidP="007B12F8">
            <w:pPr>
              <w:pStyle w:val="TableBody"/>
              <w:spacing w:after="120"/>
              <w:rPr>
                <w:rFonts w:ascii="Arial" w:hAnsi="Arial" w:cs="Arial"/>
                <w:sz w:val="20"/>
                <w:szCs w:val="20"/>
              </w:rPr>
            </w:pPr>
            <w:r w:rsidRPr="00B45A60">
              <w:rPr>
                <w:rFonts w:ascii="Arial" w:hAnsi="Arial" w:cs="Arial"/>
                <w:sz w:val="20"/>
                <w:szCs w:val="20"/>
              </w:rPr>
              <w:t xml:space="preserve">The Operational Delivery Manager (ODM) will have day-to-day operational responsibility for the delivery of the services to </w:t>
            </w:r>
            <w:r w:rsidR="001F1C19">
              <w:rPr>
                <w:rFonts w:ascii="Arial" w:hAnsi="Arial" w:cs="Arial"/>
                <w:sz w:val="20"/>
                <w:szCs w:val="20"/>
              </w:rPr>
              <w:t>Netlink Star</w:t>
            </w:r>
            <w:r w:rsidRPr="00B45A60">
              <w:rPr>
                <w:rFonts w:ascii="Arial" w:hAnsi="Arial" w:cs="Arial"/>
                <w:sz w:val="20"/>
                <w:szCs w:val="20"/>
              </w:rPr>
              <w:t xml:space="preserve"> from our offshore facilities.</w:t>
            </w:r>
          </w:p>
          <w:p w14:paraId="2FBBE640" w14:textId="77777777" w:rsidR="007B12F8" w:rsidRPr="00B45A60" w:rsidRDefault="007B12F8" w:rsidP="007B12F8">
            <w:pPr>
              <w:pStyle w:val="TableBody"/>
              <w:spacing w:after="120"/>
              <w:rPr>
                <w:rFonts w:ascii="Arial" w:hAnsi="Arial" w:cs="Arial"/>
                <w:sz w:val="20"/>
                <w:szCs w:val="20"/>
              </w:rPr>
            </w:pPr>
            <w:r w:rsidRPr="00B45A60">
              <w:rPr>
                <w:rFonts w:ascii="Arial" w:hAnsi="Arial" w:cs="Arial"/>
                <w:sz w:val="20"/>
                <w:szCs w:val="20"/>
              </w:rPr>
              <w:t>The ODM performs the following:</w:t>
            </w:r>
          </w:p>
          <w:p w14:paraId="567D03E2" w14:textId="77777777" w:rsidR="007B12F8" w:rsidRPr="00B45A60" w:rsidRDefault="007B12F8" w:rsidP="007B12F8">
            <w:pPr>
              <w:pStyle w:val="TableBullet1"/>
              <w:tabs>
                <w:tab w:val="clear" w:pos="2411"/>
              </w:tabs>
              <w:spacing w:after="120"/>
              <w:ind w:hanging="360"/>
              <w:rPr>
                <w:rFonts w:ascii="Arial" w:hAnsi="Arial" w:cs="Arial"/>
                <w:sz w:val="20"/>
              </w:rPr>
            </w:pPr>
            <w:r w:rsidRPr="00B45A60">
              <w:rPr>
                <w:rFonts w:ascii="Arial" w:hAnsi="Arial" w:cs="Arial"/>
                <w:sz w:val="20"/>
              </w:rPr>
              <w:t xml:space="preserve">Management of the Supplier’s support teams based in India to the required service quality and </w:t>
            </w:r>
            <w:proofErr w:type="gramStart"/>
            <w:r w:rsidRPr="00B45A60">
              <w:rPr>
                <w:rFonts w:ascii="Arial" w:hAnsi="Arial" w:cs="Arial"/>
                <w:sz w:val="20"/>
              </w:rPr>
              <w:t>performance</w:t>
            </w:r>
            <w:proofErr w:type="gramEnd"/>
          </w:p>
          <w:p w14:paraId="150ADEC1" w14:textId="77777777" w:rsidR="007B12F8" w:rsidRPr="00B45A60" w:rsidRDefault="007B12F8" w:rsidP="007B12F8">
            <w:pPr>
              <w:pStyle w:val="TableBullet1"/>
              <w:tabs>
                <w:tab w:val="clear" w:pos="2411"/>
              </w:tabs>
              <w:spacing w:after="120"/>
              <w:ind w:hanging="360"/>
              <w:rPr>
                <w:rFonts w:ascii="Arial" w:eastAsiaTheme="minorEastAsia" w:hAnsi="Arial" w:cs="Arial"/>
                <w:color w:val="000000" w:themeColor="text1"/>
                <w:sz w:val="20"/>
              </w:rPr>
            </w:pPr>
            <w:r w:rsidRPr="00B45A60">
              <w:rPr>
                <w:rFonts w:ascii="Arial" w:hAnsi="Arial" w:cs="Arial"/>
                <w:color w:val="000000" w:themeColor="text1"/>
                <w:sz w:val="20"/>
              </w:rPr>
              <w:t>Continuous Service Improvement across operational areas</w:t>
            </w:r>
          </w:p>
          <w:p w14:paraId="5D1049EF" w14:textId="77777777" w:rsidR="007B12F8" w:rsidRPr="00B45A60" w:rsidRDefault="007B12F8" w:rsidP="007B12F8">
            <w:pPr>
              <w:pStyle w:val="TableBullet1"/>
              <w:tabs>
                <w:tab w:val="clear" w:pos="2411"/>
              </w:tabs>
              <w:spacing w:after="120"/>
              <w:ind w:hanging="360"/>
              <w:rPr>
                <w:rFonts w:ascii="Arial" w:eastAsiaTheme="minorEastAsia" w:hAnsi="Arial" w:cs="Arial"/>
                <w:color w:val="000000" w:themeColor="text1"/>
                <w:sz w:val="20"/>
              </w:rPr>
            </w:pPr>
            <w:r w:rsidRPr="00B45A60">
              <w:rPr>
                <w:rFonts w:ascii="Arial" w:hAnsi="Arial" w:cs="Arial"/>
                <w:color w:val="000000" w:themeColor="text1"/>
                <w:sz w:val="20"/>
              </w:rPr>
              <w:t xml:space="preserve">Serves as a point of escalation for operational delivery concerns and </w:t>
            </w:r>
            <w:proofErr w:type="gramStart"/>
            <w:r w:rsidRPr="00B45A60">
              <w:rPr>
                <w:rFonts w:ascii="Arial" w:hAnsi="Arial" w:cs="Arial"/>
                <w:color w:val="000000" w:themeColor="text1"/>
                <w:sz w:val="20"/>
              </w:rPr>
              <w:t>issues</w:t>
            </w:r>
            <w:proofErr w:type="gramEnd"/>
          </w:p>
          <w:p w14:paraId="54F13C07" w14:textId="77777777" w:rsidR="007B12F8" w:rsidRPr="00B45A60" w:rsidRDefault="007B12F8" w:rsidP="007B12F8">
            <w:pPr>
              <w:pStyle w:val="TableBullet1"/>
              <w:tabs>
                <w:tab w:val="clear" w:pos="2411"/>
              </w:tabs>
              <w:spacing w:after="120"/>
              <w:ind w:hanging="360"/>
              <w:rPr>
                <w:rFonts w:ascii="Arial" w:eastAsiaTheme="minorEastAsia" w:hAnsi="Arial" w:cs="Arial"/>
                <w:sz w:val="20"/>
              </w:rPr>
            </w:pPr>
            <w:r w:rsidRPr="00B45A60">
              <w:rPr>
                <w:rFonts w:ascii="Arial" w:hAnsi="Arial" w:cs="Arial"/>
                <w:sz w:val="20"/>
              </w:rPr>
              <w:t xml:space="preserve">Participates in monthly service delivery reviews regarding SLA performance and service </w:t>
            </w:r>
            <w:proofErr w:type="gramStart"/>
            <w:r w:rsidRPr="00B45A60">
              <w:rPr>
                <w:rFonts w:ascii="Arial" w:hAnsi="Arial" w:cs="Arial"/>
                <w:sz w:val="20"/>
              </w:rPr>
              <w:t>quality</w:t>
            </w:r>
            <w:proofErr w:type="gramEnd"/>
          </w:p>
          <w:p w14:paraId="4598A917" w14:textId="6624E253" w:rsidR="007B12F8" w:rsidRPr="00B45A60" w:rsidRDefault="007B12F8" w:rsidP="007B12F8">
            <w:pPr>
              <w:pStyle w:val="TableBullet1"/>
              <w:tabs>
                <w:tab w:val="clear" w:pos="2411"/>
              </w:tabs>
              <w:spacing w:after="120"/>
              <w:ind w:hanging="360"/>
              <w:rPr>
                <w:rFonts w:ascii="Arial" w:hAnsi="Arial" w:cs="Arial"/>
                <w:sz w:val="20"/>
              </w:rPr>
            </w:pPr>
            <w:r w:rsidRPr="00B45A60">
              <w:rPr>
                <w:rFonts w:ascii="Arial" w:hAnsi="Arial" w:cs="Arial"/>
                <w:sz w:val="20"/>
              </w:rPr>
              <w:t xml:space="preserve">Provides technical and operational insight to </w:t>
            </w:r>
            <w:proofErr w:type="spellStart"/>
            <w:r w:rsidR="001F1C19">
              <w:rPr>
                <w:rFonts w:ascii="Arial" w:hAnsi="Arial" w:cs="Arial"/>
                <w:sz w:val="20"/>
              </w:rPr>
              <w:t>Netlink</w:t>
            </w:r>
            <w:proofErr w:type="spellEnd"/>
            <w:r w:rsidR="001F1C19">
              <w:rPr>
                <w:rFonts w:ascii="Arial" w:hAnsi="Arial" w:cs="Arial"/>
                <w:sz w:val="20"/>
              </w:rPr>
              <w:t xml:space="preserve"> Star</w:t>
            </w:r>
          </w:p>
          <w:p w14:paraId="0C9BBB50" w14:textId="300B6784" w:rsidR="007B12F8" w:rsidRPr="00B45A60" w:rsidRDefault="007B12F8" w:rsidP="007B12F8">
            <w:pPr>
              <w:pStyle w:val="TableBullet1"/>
              <w:tabs>
                <w:tab w:val="clear" w:pos="2411"/>
              </w:tabs>
              <w:spacing w:after="120"/>
              <w:ind w:hanging="360"/>
              <w:rPr>
                <w:rFonts w:ascii="Arial" w:hAnsi="Arial" w:cs="Arial"/>
                <w:sz w:val="20"/>
              </w:rPr>
            </w:pPr>
            <w:r w:rsidRPr="00B45A60">
              <w:rPr>
                <w:rFonts w:ascii="Arial" w:hAnsi="Arial" w:cs="Arial"/>
                <w:sz w:val="20"/>
              </w:rPr>
              <w:t xml:space="preserve">Leads the offshore BCDR </w:t>
            </w:r>
            <w:proofErr w:type="spellStart"/>
            <w:r w:rsidR="001F1C19">
              <w:rPr>
                <w:rFonts w:ascii="Arial" w:hAnsi="Arial" w:cs="Arial"/>
                <w:sz w:val="20"/>
              </w:rPr>
              <w:t>Netlink</w:t>
            </w:r>
            <w:proofErr w:type="spellEnd"/>
            <w:r w:rsidR="001F1C19">
              <w:rPr>
                <w:rFonts w:ascii="Arial" w:hAnsi="Arial" w:cs="Arial"/>
                <w:sz w:val="20"/>
              </w:rPr>
              <w:t xml:space="preserve"> Star</w:t>
            </w:r>
            <w:r w:rsidRPr="00B45A60">
              <w:rPr>
                <w:rFonts w:ascii="Arial" w:hAnsi="Arial" w:cs="Arial"/>
                <w:sz w:val="20"/>
              </w:rPr>
              <w:t xml:space="preserve"> restoration of services </w:t>
            </w:r>
          </w:p>
        </w:tc>
      </w:tr>
      <w:tr w:rsidR="007B12F8" w:rsidRPr="00B45A60" w14:paraId="7DCCA955" w14:textId="77777777" w:rsidTr="007B12F8">
        <w:trPr>
          <w:tblHeader/>
        </w:trPr>
        <w:tc>
          <w:tcPr>
            <w:tcW w:w="2405" w:type="dxa"/>
          </w:tcPr>
          <w:p w14:paraId="03546E60" w14:textId="77777777" w:rsidR="007B12F8" w:rsidRPr="00B45A60" w:rsidRDefault="007B12F8" w:rsidP="007B12F8">
            <w:pPr>
              <w:pStyle w:val="TableBody"/>
              <w:spacing w:after="120"/>
              <w:rPr>
                <w:rFonts w:ascii="Arial" w:hAnsi="Arial" w:cs="Arial"/>
                <w:sz w:val="20"/>
                <w:szCs w:val="20"/>
              </w:rPr>
            </w:pPr>
            <w:r w:rsidRPr="00B45A60">
              <w:rPr>
                <w:rFonts w:ascii="Arial" w:eastAsia="Verdana" w:hAnsi="Arial" w:cs="Arial"/>
                <w:sz w:val="20"/>
                <w:szCs w:val="20"/>
              </w:rPr>
              <w:t>Security Manager</w:t>
            </w:r>
          </w:p>
        </w:tc>
        <w:tc>
          <w:tcPr>
            <w:tcW w:w="8054" w:type="dxa"/>
          </w:tcPr>
          <w:p w14:paraId="591B0CF3" w14:textId="4708062A" w:rsidR="007B12F8" w:rsidRPr="00B45A60" w:rsidRDefault="007B12F8" w:rsidP="007B12F8">
            <w:pPr>
              <w:pStyle w:val="TableBody"/>
              <w:spacing w:after="120"/>
              <w:rPr>
                <w:rFonts w:ascii="Arial" w:hAnsi="Arial" w:cs="Arial"/>
                <w:sz w:val="20"/>
                <w:szCs w:val="20"/>
              </w:rPr>
            </w:pPr>
            <w:r w:rsidRPr="00B45A60">
              <w:rPr>
                <w:rFonts w:ascii="Arial" w:hAnsi="Arial" w:cs="Arial"/>
                <w:sz w:val="20"/>
                <w:szCs w:val="20"/>
              </w:rPr>
              <w:t xml:space="preserve">The Security Manager will ensure that services delivered to </w:t>
            </w:r>
            <w:r w:rsidR="001F1C19">
              <w:rPr>
                <w:rFonts w:ascii="Arial" w:hAnsi="Arial" w:cs="Arial"/>
                <w:sz w:val="20"/>
                <w:szCs w:val="20"/>
              </w:rPr>
              <w:t>Netlink Star</w:t>
            </w:r>
            <w:r w:rsidRPr="00B45A60">
              <w:rPr>
                <w:rFonts w:ascii="Arial" w:hAnsi="Arial" w:cs="Arial"/>
                <w:sz w:val="20"/>
                <w:szCs w:val="20"/>
              </w:rPr>
              <w:t xml:space="preserve"> by the Supplier are compliant and in line with the agreed policies and will attend the Risk and Security Board and Information Security Management Meetings. This role will work in close collaboration with </w:t>
            </w:r>
            <w:r w:rsidR="001F1C19">
              <w:rPr>
                <w:rFonts w:ascii="Arial" w:hAnsi="Arial" w:cs="Arial"/>
                <w:sz w:val="20"/>
                <w:szCs w:val="20"/>
              </w:rPr>
              <w:t>Netlink Star</w:t>
            </w:r>
            <w:r w:rsidRPr="00B45A60">
              <w:rPr>
                <w:rFonts w:ascii="Arial" w:hAnsi="Arial" w:cs="Arial"/>
                <w:sz w:val="20"/>
                <w:szCs w:val="20"/>
              </w:rPr>
              <w:t>’s security teams.</w:t>
            </w:r>
          </w:p>
        </w:tc>
      </w:tr>
      <w:tr w:rsidR="007B12F8" w:rsidRPr="00B45A60" w14:paraId="5D19518F" w14:textId="77777777" w:rsidTr="007B12F8">
        <w:trPr>
          <w:tblHeader/>
        </w:trPr>
        <w:tc>
          <w:tcPr>
            <w:tcW w:w="2405" w:type="dxa"/>
          </w:tcPr>
          <w:p w14:paraId="2F8917AB" w14:textId="77777777" w:rsidR="007B12F8" w:rsidRPr="00B45A60" w:rsidRDefault="007B12F8" w:rsidP="007B12F8">
            <w:pPr>
              <w:pStyle w:val="TableBody"/>
              <w:spacing w:after="120"/>
              <w:rPr>
                <w:rFonts w:ascii="Arial" w:hAnsi="Arial" w:cs="Arial"/>
                <w:sz w:val="20"/>
                <w:szCs w:val="20"/>
              </w:rPr>
            </w:pPr>
            <w:r w:rsidRPr="00B45A60">
              <w:rPr>
                <w:rFonts w:ascii="Arial" w:eastAsia="Verdana" w:hAnsi="Arial" w:cs="Arial"/>
                <w:sz w:val="20"/>
                <w:szCs w:val="20"/>
              </w:rPr>
              <w:t>Account based Innovation (ABI)</w:t>
            </w:r>
          </w:p>
        </w:tc>
        <w:tc>
          <w:tcPr>
            <w:tcW w:w="8054" w:type="dxa"/>
          </w:tcPr>
          <w:p w14:paraId="395DC347" w14:textId="11F37363" w:rsidR="007B12F8" w:rsidRPr="00B45A60" w:rsidRDefault="007B12F8" w:rsidP="007B12F8">
            <w:pPr>
              <w:pStyle w:val="TableBody"/>
              <w:spacing w:after="120"/>
              <w:rPr>
                <w:rFonts w:ascii="Arial" w:hAnsi="Arial" w:cs="Arial"/>
                <w:sz w:val="20"/>
                <w:szCs w:val="20"/>
              </w:rPr>
            </w:pPr>
            <w:r w:rsidRPr="00B45A60">
              <w:rPr>
                <w:rFonts w:ascii="Arial" w:hAnsi="Arial" w:cs="Arial"/>
                <w:sz w:val="20"/>
                <w:szCs w:val="20"/>
              </w:rPr>
              <w:t xml:space="preserve">The ABI team is dedicated to the delivery of an innovation culture with the Supplier’s delivery for </w:t>
            </w:r>
            <w:r w:rsidR="001F1C19">
              <w:rPr>
                <w:rFonts w:ascii="Arial" w:hAnsi="Arial" w:cs="Arial"/>
                <w:sz w:val="20"/>
                <w:szCs w:val="20"/>
              </w:rPr>
              <w:t>Netlink Star</w:t>
            </w:r>
            <w:r w:rsidRPr="00B45A60">
              <w:rPr>
                <w:rFonts w:ascii="Arial" w:hAnsi="Arial" w:cs="Arial"/>
                <w:sz w:val="20"/>
                <w:szCs w:val="20"/>
              </w:rPr>
              <w:t xml:space="preserve">. The team works across the </w:t>
            </w:r>
            <w:r w:rsidR="001F1C19">
              <w:rPr>
                <w:rFonts w:ascii="Arial" w:hAnsi="Arial" w:cs="Arial"/>
                <w:sz w:val="20"/>
                <w:szCs w:val="20"/>
              </w:rPr>
              <w:t>Netlink Star</w:t>
            </w:r>
            <w:r w:rsidRPr="00B45A60">
              <w:rPr>
                <w:rFonts w:ascii="Arial" w:hAnsi="Arial" w:cs="Arial"/>
                <w:sz w:val="20"/>
                <w:szCs w:val="20"/>
              </w:rPr>
              <w:t xml:space="preserve"> engagements and in the wider transportation sector, enabling the sharing of knowledge and innovative developments directly with </w:t>
            </w:r>
            <w:r w:rsidR="001F1C19">
              <w:rPr>
                <w:rFonts w:ascii="Arial" w:hAnsi="Arial" w:cs="Arial"/>
                <w:sz w:val="20"/>
                <w:szCs w:val="20"/>
              </w:rPr>
              <w:t>Netlink Star</w:t>
            </w:r>
            <w:r w:rsidRPr="00B45A60">
              <w:rPr>
                <w:rFonts w:ascii="Arial" w:hAnsi="Arial" w:cs="Arial"/>
                <w:sz w:val="20"/>
                <w:szCs w:val="20"/>
              </w:rPr>
              <w:t xml:space="preserve"> and delivery teams. The ABI team is a virtual team and is provided as an investment by the Supplier in its partnership with </w:t>
            </w:r>
            <w:r w:rsidR="001F1C19">
              <w:rPr>
                <w:rFonts w:ascii="Arial" w:hAnsi="Arial" w:cs="Arial"/>
                <w:sz w:val="20"/>
                <w:szCs w:val="20"/>
              </w:rPr>
              <w:t>Netlink Star</w:t>
            </w:r>
            <w:r w:rsidRPr="00B45A60">
              <w:rPr>
                <w:rFonts w:ascii="Arial" w:hAnsi="Arial" w:cs="Arial"/>
                <w:sz w:val="20"/>
                <w:szCs w:val="20"/>
              </w:rPr>
              <w:t>.</w:t>
            </w:r>
          </w:p>
        </w:tc>
      </w:tr>
    </w:tbl>
    <w:p w14:paraId="2F5AC1D4" w14:textId="77777777" w:rsidR="007B12F8" w:rsidRPr="00C959F4" w:rsidRDefault="007B12F8" w:rsidP="007B12F8">
      <w:pPr>
        <w:rPr>
          <w:szCs w:val="20"/>
        </w:rPr>
      </w:pPr>
    </w:p>
    <w:p w14:paraId="47CAA48D" w14:textId="2E38716D" w:rsidR="007B12F8" w:rsidRPr="00C959F4" w:rsidRDefault="007B12F8" w:rsidP="00346A37">
      <w:pPr>
        <w:pStyle w:val="Heading3"/>
      </w:pPr>
      <w:r w:rsidRPr="00C959F4">
        <w:t xml:space="preserve">The Supplier’s leadership is fully committed to supporting </w:t>
      </w:r>
      <w:proofErr w:type="spellStart"/>
      <w:r w:rsidR="001F1C19">
        <w:t>Netlink</w:t>
      </w:r>
      <w:proofErr w:type="spellEnd"/>
      <w:r w:rsidR="001F1C19">
        <w:t xml:space="preserve"> Star</w:t>
      </w:r>
      <w:r w:rsidRPr="00C959F4">
        <w:t xml:space="preserve"> through proactive engagements in the form of the Strategic Governance meetings and escalation where required. The Executive Management Team has been aligned to </w:t>
      </w:r>
      <w:proofErr w:type="spellStart"/>
      <w:r w:rsidR="001F1C19">
        <w:t>Netlink</w:t>
      </w:r>
      <w:proofErr w:type="spellEnd"/>
      <w:r w:rsidR="001F1C19">
        <w:t xml:space="preserve"> Star</w:t>
      </w:r>
      <w:r w:rsidRPr="00C959F4">
        <w:t>:</w:t>
      </w:r>
    </w:p>
    <w:tbl>
      <w:tblPr>
        <w:tblStyle w:val="TableGrid0"/>
        <w:tblW w:w="0" w:type="auto"/>
        <w:tblLook w:val="0600" w:firstRow="0" w:lastRow="0" w:firstColumn="0" w:lastColumn="0" w:noHBand="1" w:noVBand="1"/>
      </w:tblPr>
      <w:tblGrid>
        <w:gridCol w:w="1860"/>
        <w:gridCol w:w="1364"/>
        <w:gridCol w:w="5792"/>
      </w:tblGrid>
      <w:tr w:rsidR="007B12F8" w:rsidRPr="00B45A60" w14:paraId="31E725BC" w14:textId="77777777" w:rsidTr="007B12F8">
        <w:trPr>
          <w:trHeight w:val="287"/>
          <w:tblHeader/>
        </w:trPr>
        <w:tc>
          <w:tcPr>
            <w:tcW w:w="1975" w:type="dxa"/>
            <w:shd w:val="clear" w:color="auto" w:fill="000000" w:themeFill="text1"/>
            <w:vAlign w:val="center"/>
          </w:tcPr>
          <w:p w14:paraId="44179A73" w14:textId="77777777" w:rsidR="007B12F8" w:rsidRPr="00B45A60" w:rsidRDefault="007B12F8" w:rsidP="007B12F8">
            <w:pPr>
              <w:pStyle w:val="TableHead"/>
              <w:spacing w:after="120"/>
              <w:jc w:val="left"/>
              <w:rPr>
                <w:rFonts w:ascii="Arial" w:hAnsi="Arial" w:cs="Arial"/>
                <w:sz w:val="20"/>
                <w:szCs w:val="20"/>
              </w:rPr>
            </w:pPr>
            <w:r w:rsidRPr="00B45A60">
              <w:rPr>
                <w:rFonts w:ascii="Arial" w:hAnsi="Arial" w:cs="Arial"/>
                <w:sz w:val="20"/>
                <w:szCs w:val="20"/>
              </w:rPr>
              <w:t>Role</w:t>
            </w:r>
          </w:p>
        </w:tc>
        <w:tc>
          <w:tcPr>
            <w:tcW w:w="1440" w:type="dxa"/>
            <w:shd w:val="clear" w:color="auto" w:fill="000000" w:themeFill="text1"/>
            <w:vAlign w:val="center"/>
          </w:tcPr>
          <w:p w14:paraId="588D16D3" w14:textId="77777777" w:rsidR="007B12F8" w:rsidRPr="00B45A60" w:rsidRDefault="007B12F8" w:rsidP="007B12F8">
            <w:pPr>
              <w:pStyle w:val="TableHead"/>
              <w:spacing w:after="120"/>
              <w:rPr>
                <w:rFonts w:ascii="Arial" w:hAnsi="Arial" w:cs="Arial"/>
                <w:sz w:val="20"/>
                <w:szCs w:val="20"/>
              </w:rPr>
            </w:pPr>
            <w:r w:rsidRPr="00B45A60">
              <w:rPr>
                <w:rFonts w:ascii="Arial" w:hAnsi="Arial" w:cs="Arial"/>
                <w:sz w:val="20"/>
                <w:szCs w:val="20"/>
              </w:rPr>
              <w:t>Name</w:t>
            </w:r>
          </w:p>
        </w:tc>
        <w:tc>
          <w:tcPr>
            <w:tcW w:w="7044" w:type="dxa"/>
            <w:shd w:val="clear" w:color="auto" w:fill="000000" w:themeFill="text1"/>
            <w:vAlign w:val="center"/>
          </w:tcPr>
          <w:p w14:paraId="37B18FD1" w14:textId="77777777" w:rsidR="007B12F8" w:rsidRPr="00B45A60" w:rsidRDefault="007B12F8" w:rsidP="007B12F8">
            <w:pPr>
              <w:pStyle w:val="TableHead"/>
              <w:spacing w:after="120"/>
              <w:jc w:val="left"/>
              <w:rPr>
                <w:rFonts w:ascii="Arial" w:hAnsi="Arial" w:cs="Arial"/>
                <w:sz w:val="20"/>
                <w:szCs w:val="20"/>
              </w:rPr>
            </w:pPr>
            <w:r w:rsidRPr="00B45A60">
              <w:rPr>
                <w:rFonts w:ascii="Arial" w:hAnsi="Arial" w:cs="Arial"/>
                <w:sz w:val="20"/>
                <w:szCs w:val="20"/>
              </w:rPr>
              <w:t>Responsibilities and Deliverables</w:t>
            </w:r>
          </w:p>
        </w:tc>
      </w:tr>
      <w:tr w:rsidR="007B12F8" w:rsidRPr="00B45A60" w14:paraId="454C8EA1" w14:textId="77777777" w:rsidTr="007B12F8">
        <w:tc>
          <w:tcPr>
            <w:tcW w:w="1975" w:type="dxa"/>
          </w:tcPr>
          <w:p w14:paraId="0B9F6ADA" w14:textId="77777777" w:rsidR="007B12F8" w:rsidRPr="00B45A60" w:rsidRDefault="007B12F8" w:rsidP="007B12F8">
            <w:pPr>
              <w:pStyle w:val="TableBody"/>
              <w:spacing w:after="120"/>
              <w:rPr>
                <w:rFonts w:ascii="Arial" w:hAnsi="Arial" w:cs="Arial"/>
                <w:sz w:val="20"/>
                <w:szCs w:val="20"/>
              </w:rPr>
            </w:pPr>
            <w:r w:rsidRPr="00B45A60">
              <w:rPr>
                <w:rFonts w:ascii="Arial" w:hAnsi="Arial" w:cs="Arial"/>
                <w:sz w:val="20"/>
                <w:szCs w:val="20"/>
              </w:rPr>
              <w:t>Executive Sponsor and Head of Transportation Sector UK</w:t>
            </w:r>
          </w:p>
        </w:tc>
        <w:tc>
          <w:tcPr>
            <w:tcW w:w="1440" w:type="dxa"/>
          </w:tcPr>
          <w:p w14:paraId="7DD2E098" w14:textId="77777777" w:rsidR="007B12F8" w:rsidRPr="00B45A60" w:rsidRDefault="007B12F8" w:rsidP="007B12F8">
            <w:pPr>
              <w:pStyle w:val="TableBody"/>
              <w:spacing w:after="120"/>
              <w:rPr>
                <w:rFonts w:ascii="Arial" w:hAnsi="Arial" w:cs="Arial"/>
                <w:sz w:val="20"/>
                <w:szCs w:val="20"/>
              </w:rPr>
            </w:pPr>
            <w:r w:rsidRPr="00B45A60">
              <w:rPr>
                <w:rFonts w:ascii="Arial" w:hAnsi="Arial" w:cs="Arial"/>
                <w:sz w:val="20"/>
                <w:szCs w:val="20"/>
              </w:rPr>
              <w:t>Matthew Whitson</w:t>
            </w:r>
          </w:p>
        </w:tc>
        <w:tc>
          <w:tcPr>
            <w:tcW w:w="7044" w:type="dxa"/>
          </w:tcPr>
          <w:p w14:paraId="1DFF184A" w14:textId="46643C23" w:rsidR="007B12F8" w:rsidRPr="00B45A60" w:rsidRDefault="007B12F8" w:rsidP="007B12F8">
            <w:pPr>
              <w:pStyle w:val="TableBullet1"/>
              <w:tabs>
                <w:tab w:val="clear" w:pos="2411"/>
              </w:tabs>
              <w:spacing w:after="120"/>
              <w:ind w:hanging="360"/>
              <w:rPr>
                <w:rFonts w:ascii="Arial" w:hAnsi="Arial" w:cs="Arial"/>
                <w:sz w:val="20"/>
              </w:rPr>
            </w:pPr>
            <w:r w:rsidRPr="00B45A60">
              <w:rPr>
                <w:rFonts w:ascii="Arial" w:hAnsi="Arial" w:cs="Arial"/>
                <w:sz w:val="20"/>
              </w:rPr>
              <w:t xml:space="preserve">To focus on </w:t>
            </w:r>
            <w:proofErr w:type="spellStart"/>
            <w:r w:rsidR="001F1C19">
              <w:rPr>
                <w:rFonts w:ascii="Arial" w:hAnsi="Arial" w:cs="Arial"/>
                <w:sz w:val="20"/>
              </w:rPr>
              <w:t>Netlink</w:t>
            </w:r>
            <w:proofErr w:type="spellEnd"/>
            <w:r w:rsidR="001F1C19">
              <w:rPr>
                <w:rFonts w:ascii="Arial" w:hAnsi="Arial" w:cs="Arial"/>
                <w:sz w:val="20"/>
              </w:rPr>
              <w:t xml:space="preserve"> Star</w:t>
            </w:r>
            <w:r w:rsidRPr="00B45A60">
              <w:rPr>
                <w:rFonts w:ascii="Arial" w:hAnsi="Arial" w:cs="Arial"/>
                <w:sz w:val="20"/>
              </w:rPr>
              <w:t xml:space="preserve">’s business objectives, corporate strategy and ensure the Supplier’s alignment to exceed our commitments on collaboration and </w:t>
            </w:r>
            <w:proofErr w:type="gramStart"/>
            <w:r w:rsidRPr="00B45A60">
              <w:rPr>
                <w:rFonts w:ascii="Arial" w:hAnsi="Arial" w:cs="Arial"/>
                <w:sz w:val="20"/>
              </w:rPr>
              <w:t>innovation</w:t>
            </w:r>
            <w:proofErr w:type="gramEnd"/>
          </w:p>
          <w:p w14:paraId="5E53861A" w14:textId="77777777" w:rsidR="007B12F8" w:rsidRPr="00B45A60" w:rsidRDefault="007B12F8" w:rsidP="007B12F8">
            <w:pPr>
              <w:pStyle w:val="TableBullet1"/>
              <w:tabs>
                <w:tab w:val="clear" w:pos="2411"/>
              </w:tabs>
              <w:spacing w:after="120"/>
              <w:ind w:hanging="360"/>
              <w:rPr>
                <w:rFonts w:ascii="Arial" w:hAnsi="Arial" w:cs="Arial"/>
                <w:sz w:val="20"/>
              </w:rPr>
            </w:pPr>
            <w:r w:rsidRPr="00B45A60">
              <w:rPr>
                <w:rFonts w:ascii="Arial" w:hAnsi="Arial" w:cs="Arial"/>
                <w:sz w:val="20"/>
              </w:rPr>
              <w:t>To ensure organisational commitment and support to the team and will be the Supplier representative on at the annual Board to Board meetings</w:t>
            </w:r>
          </w:p>
        </w:tc>
      </w:tr>
      <w:tr w:rsidR="007B12F8" w:rsidRPr="00B45A60" w14:paraId="2E2D8B72" w14:textId="77777777" w:rsidTr="007B12F8">
        <w:tc>
          <w:tcPr>
            <w:tcW w:w="1975" w:type="dxa"/>
          </w:tcPr>
          <w:p w14:paraId="250881A5" w14:textId="77777777" w:rsidR="007B12F8" w:rsidRPr="00B45A60" w:rsidRDefault="007B12F8" w:rsidP="007B12F8">
            <w:pPr>
              <w:pStyle w:val="TableBody"/>
              <w:spacing w:after="120"/>
              <w:rPr>
                <w:rFonts w:ascii="Arial" w:hAnsi="Arial" w:cs="Arial"/>
                <w:sz w:val="20"/>
                <w:szCs w:val="20"/>
              </w:rPr>
            </w:pPr>
            <w:r w:rsidRPr="00B45A60">
              <w:rPr>
                <w:rFonts w:ascii="Arial" w:hAnsi="Arial" w:cs="Arial"/>
                <w:sz w:val="20"/>
                <w:szCs w:val="20"/>
              </w:rPr>
              <w:t>Head of Transportation Sector Delivery, UK</w:t>
            </w:r>
          </w:p>
        </w:tc>
        <w:tc>
          <w:tcPr>
            <w:tcW w:w="1440" w:type="dxa"/>
          </w:tcPr>
          <w:p w14:paraId="52625189" w14:textId="77777777" w:rsidR="007B12F8" w:rsidRPr="00B45A60" w:rsidRDefault="007B12F8" w:rsidP="007B12F8">
            <w:pPr>
              <w:pStyle w:val="TableBody"/>
              <w:spacing w:after="120"/>
              <w:rPr>
                <w:rFonts w:ascii="Arial" w:hAnsi="Arial" w:cs="Arial"/>
                <w:sz w:val="20"/>
                <w:szCs w:val="20"/>
              </w:rPr>
            </w:pPr>
            <w:r w:rsidRPr="00B45A60">
              <w:rPr>
                <w:rFonts w:ascii="Arial" w:hAnsi="Arial" w:cs="Arial"/>
                <w:sz w:val="20"/>
                <w:szCs w:val="20"/>
              </w:rPr>
              <w:t>Rachel Greedy</w:t>
            </w:r>
          </w:p>
        </w:tc>
        <w:tc>
          <w:tcPr>
            <w:tcW w:w="7044" w:type="dxa"/>
          </w:tcPr>
          <w:p w14:paraId="20DED042" w14:textId="77777777" w:rsidR="007B12F8" w:rsidRPr="00B45A60" w:rsidRDefault="007B12F8" w:rsidP="007B12F8">
            <w:pPr>
              <w:rPr>
                <w:rFonts w:ascii="Arial" w:hAnsi="Arial" w:cs="Arial"/>
                <w:sz w:val="20"/>
                <w:szCs w:val="20"/>
              </w:rPr>
            </w:pPr>
            <w:r w:rsidRPr="00B45A60">
              <w:rPr>
                <w:rFonts w:ascii="Arial" w:hAnsi="Arial" w:cs="Arial"/>
                <w:sz w:val="20"/>
                <w:szCs w:val="20"/>
              </w:rPr>
              <w:t>The Head of Transportation Sector Delivery owns all delivery for the Supplier’s transportation sector clients in the UK and:</w:t>
            </w:r>
          </w:p>
          <w:p w14:paraId="1EE84580" w14:textId="299D0940" w:rsidR="007B12F8" w:rsidRPr="00B45A60" w:rsidRDefault="007B12F8" w:rsidP="007B12F8">
            <w:pPr>
              <w:pStyle w:val="TableBullet1"/>
              <w:tabs>
                <w:tab w:val="clear" w:pos="2411"/>
              </w:tabs>
              <w:spacing w:after="120"/>
              <w:ind w:hanging="360"/>
              <w:rPr>
                <w:rFonts w:ascii="Arial" w:hAnsi="Arial" w:cs="Arial"/>
                <w:sz w:val="20"/>
              </w:rPr>
            </w:pPr>
            <w:r w:rsidRPr="00B45A60">
              <w:rPr>
                <w:rFonts w:ascii="Arial" w:hAnsi="Arial" w:cs="Arial"/>
                <w:sz w:val="20"/>
              </w:rPr>
              <w:t xml:space="preserve">Leads the offshore BCDR </w:t>
            </w:r>
            <w:proofErr w:type="spellStart"/>
            <w:r w:rsidR="001F1C19">
              <w:rPr>
                <w:rFonts w:ascii="Arial" w:hAnsi="Arial" w:cs="Arial"/>
                <w:sz w:val="20"/>
              </w:rPr>
              <w:t>Netlink</w:t>
            </w:r>
            <w:proofErr w:type="spellEnd"/>
            <w:r w:rsidR="001F1C19">
              <w:rPr>
                <w:rFonts w:ascii="Arial" w:hAnsi="Arial" w:cs="Arial"/>
                <w:sz w:val="20"/>
              </w:rPr>
              <w:t xml:space="preserve"> Star</w:t>
            </w:r>
            <w:r w:rsidRPr="00B45A60">
              <w:rPr>
                <w:rFonts w:ascii="Arial" w:hAnsi="Arial" w:cs="Arial"/>
                <w:sz w:val="20"/>
              </w:rPr>
              <w:t xml:space="preserve"> restoration of </w:t>
            </w:r>
            <w:proofErr w:type="gramStart"/>
            <w:r w:rsidRPr="00B45A60">
              <w:rPr>
                <w:rFonts w:ascii="Arial" w:hAnsi="Arial" w:cs="Arial"/>
                <w:sz w:val="20"/>
              </w:rPr>
              <w:t>services</w:t>
            </w:r>
            <w:proofErr w:type="gramEnd"/>
          </w:p>
          <w:p w14:paraId="4FBF0AF4" w14:textId="77777777" w:rsidR="007B12F8" w:rsidRPr="00B45A60" w:rsidRDefault="007B12F8" w:rsidP="007B12F8">
            <w:pPr>
              <w:pStyle w:val="TableBullet1"/>
              <w:tabs>
                <w:tab w:val="clear" w:pos="2411"/>
              </w:tabs>
              <w:spacing w:after="120"/>
              <w:ind w:hanging="360"/>
              <w:rPr>
                <w:rFonts w:ascii="Arial" w:hAnsi="Arial" w:cs="Arial"/>
                <w:sz w:val="20"/>
              </w:rPr>
            </w:pPr>
            <w:r w:rsidRPr="00B45A60">
              <w:rPr>
                <w:rFonts w:ascii="Arial" w:hAnsi="Arial" w:cs="Arial"/>
                <w:sz w:val="20"/>
              </w:rPr>
              <w:t xml:space="preserve">Ensures alignment across all Supplier UK transportation sector accounts and will attend the bi-annual Chief Information Officer review </w:t>
            </w:r>
            <w:proofErr w:type="gramStart"/>
            <w:r w:rsidRPr="00B45A60">
              <w:rPr>
                <w:rFonts w:ascii="Arial" w:hAnsi="Arial" w:cs="Arial"/>
                <w:sz w:val="20"/>
              </w:rPr>
              <w:t>meetings</w:t>
            </w:r>
            <w:proofErr w:type="gramEnd"/>
          </w:p>
          <w:p w14:paraId="6F14091B" w14:textId="77777777" w:rsidR="007B12F8" w:rsidRPr="00B45A60" w:rsidRDefault="007B12F8" w:rsidP="007B12F8">
            <w:pPr>
              <w:pStyle w:val="TableBullet1"/>
              <w:tabs>
                <w:tab w:val="clear" w:pos="2411"/>
              </w:tabs>
              <w:spacing w:after="120"/>
              <w:ind w:hanging="360"/>
              <w:rPr>
                <w:rFonts w:ascii="Arial" w:hAnsi="Arial" w:cs="Arial"/>
                <w:sz w:val="20"/>
              </w:rPr>
            </w:pPr>
            <w:r w:rsidRPr="00B45A60">
              <w:rPr>
                <w:rFonts w:ascii="Arial" w:hAnsi="Arial" w:cs="Arial"/>
                <w:sz w:val="20"/>
              </w:rPr>
              <w:t>Drives collaboration and innovation across transportation Sectors accounts, where information and learning can be shared.</w:t>
            </w:r>
          </w:p>
          <w:p w14:paraId="6EAE422C" w14:textId="0878A8FB" w:rsidR="007B12F8" w:rsidRPr="00B45A60" w:rsidRDefault="007B12F8" w:rsidP="007B12F8">
            <w:pPr>
              <w:pStyle w:val="TableBullet1"/>
              <w:tabs>
                <w:tab w:val="clear" w:pos="2411"/>
              </w:tabs>
              <w:spacing w:after="120"/>
              <w:ind w:hanging="360"/>
              <w:rPr>
                <w:rFonts w:ascii="Arial" w:hAnsi="Arial" w:cs="Arial"/>
                <w:sz w:val="20"/>
              </w:rPr>
            </w:pPr>
            <w:r w:rsidRPr="00B45A60">
              <w:rPr>
                <w:rFonts w:ascii="Arial" w:hAnsi="Arial" w:cs="Arial"/>
                <w:sz w:val="20"/>
              </w:rPr>
              <w:t xml:space="preserve">Provides quarterly business updates to </w:t>
            </w:r>
            <w:proofErr w:type="spellStart"/>
            <w:r w:rsidR="001F1C19">
              <w:rPr>
                <w:rFonts w:ascii="Arial" w:hAnsi="Arial" w:cs="Arial"/>
                <w:sz w:val="20"/>
              </w:rPr>
              <w:t>Netlink</w:t>
            </w:r>
            <w:proofErr w:type="spellEnd"/>
            <w:r w:rsidR="001F1C19">
              <w:rPr>
                <w:rFonts w:ascii="Arial" w:hAnsi="Arial" w:cs="Arial"/>
                <w:sz w:val="20"/>
              </w:rPr>
              <w:t xml:space="preserve"> Star</w:t>
            </w:r>
            <w:r w:rsidRPr="00B45A60">
              <w:rPr>
                <w:rFonts w:ascii="Arial" w:hAnsi="Arial" w:cs="Arial"/>
                <w:sz w:val="20"/>
              </w:rPr>
              <w:t>.</w:t>
            </w:r>
          </w:p>
        </w:tc>
      </w:tr>
      <w:tr w:rsidR="007B12F8" w:rsidRPr="00B45A60" w14:paraId="361A90F4" w14:textId="77777777" w:rsidTr="007B12F8">
        <w:tc>
          <w:tcPr>
            <w:tcW w:w="1975" w:type="dxa"/>
          </w:tcPr>
          <w:p w14:paraId="244B58D3" w14:textId="17F758A9" w:rsidR="007B12F8" w:rsidRPr="00B45A60" w:rsidRDefault="001F1C19" w:rsidP="007B12F8">
            <w:pPr>
              <w:pStyle w:val="TableBody"/>
              <w:spacing w:after="120"/>
              <w:rPr>
                <w:rFonts w:ascii="Arial" w:hAnsi="Arial" w:cs="Arial"/>
                <w:sz w:val="20"/>
                <w:szCs w:val="20"/>
              </w:rPr>
            </w:pPr>
            <w:r>
              <w:rPr>
                <w:rFonts w:ascii="Arial" w:hAnsi="Arial" w:cs="Arial"/>
                <w:sz w:val="20"/>
                <w:szCs w:val="20"/>
              </w:rPr>
              <w:lastRenderedPageBreak/>
              <w:t>Netlink Star</w:t>
            </w:r>
            <w:r w:rsidR="007B12F8" w:rsidRPr="00B45A60">
              <w:rPr>
                <w:rFonts w:ascii="Arial" w:hAnsi="Arial" w:cs="Arial"/>
                <w:sz w:val="20"/>
                <w:szCs w:val="20"/>
              </w:rPr>
              <w:t xml:space="preserve"> Account Executive</w:t>
            </w:r>
          </w:p>
        </w:tc>
        <w:tc>
          <w:tcPr>
            <w:tcW w:w="1440" w:type="dxa"/>
          </w:tcPr>
          <w:p w14:paraId="799B6A45" w14:textId="77777777" w:rsidR="007B12F8" w:rsidRPr="00B45A60" w:rsidRDefault="007B12F8" w:rsidP="007B12F8">
            <w:pPr>
              <w:pStyle w:val="TableBody"/>
              <w:spacing w:after="120"/>
              <w:rPr>
                <w:rFonts w:ascii="Arial" w:hAnsi="Arial" w:cs="Arial"/>
                <w:sz w:val="20"/>
                <w:szCs w:val="20"/>
              </w:rPr>
            </w:pPr>
            <w:r w:rsidRPr="00B45A60">
              <w:rPr>
                <w:rFonts w:ascii="Arial" w:hAnsi="Arial" w:cs="Arial"/>
                <w:sz w:val="20"/>
                <w:szCs w:val="20"/>
              </w:rPr>
              <w:t>Tom Shanahan</w:t>
            </w:r>
          </w:p>
        </w:tc>
        <w:tc>
          <w:tcPr>
            <w:tcW w:w="7044" w:type="dxa"/>
          </w:tcPr>
          <w:p w14:paraId="5A48CE2E" w14:textId="3694EE91" w:rsidR="007B12F8" w:rsidRPr="00B45A60" w:rsidRDefault="007B12F8" w:rsidP="007B12F8">
            <w:pPr>
              <w:pStyle w:val="TableBody"/>
              <w:spacing w:after="120"/>
              <w:rPr>
                <w:rFonts w:ascii="Arial" w:hAnsi="Arial" w:cs="Arial"/>
                <w:sz w:val="20"/>
                <w:szCs w:val="20"/>
              </w:rPr>
            </w:pPr>
            <w:r w:rsidRPr="00B45A60">
              <w:rPr>
                <w:rFonts w:ascii="Arial" w:hAnsi="Arial" w:cs="Arial"/>
                <w:sz w:val="20"/>
                <w:szCs w:val="20"/>
              </w:rPr>
              <w:t xml:space="preserve">The role of the Account Executive is to serve as the overall leader responsible for the services delivered by the Supplier. This individual has ultimate executive responsibility for the account. In addition, this individual will work closely with the SDM ensuring service quality in line with </w:t>
            </w:r>
            <w:r w:rsidR="001F1C19">
              <w:rPr>
                <w:rFonts w:ascii="Arial" w:hAnsi="Arial" w:cs="Arial"/>
                <w:sz w:val="20"/>
                <w:szCs w:val="20"/>
              </w:rPr>
              <w:t>Netlink Star</w:t>
            </w:r>
            <w:r w:rsidRPr="00B45A60">
              <w:rPr>
                <w:rFonts w:ascii="Arial" w:hAnsi="Arial" w:cs="Arial"/>
                <w:sz w:val="20"/>
                <w:szCs w:val="20"/>
              </w:rPr>
              <w:t xml:space="preserve">’s expectations. Our Account Executive will interact with </w:t>
            </w:r>
            <w:r w:rsidR="001F1C19">
              <w:rPr>
                <w:rFonts w:ascii="Arial" w:hAnsi="Arial" w:cs="Arial"/>
                <w:sz w:val="20"/>
                <w:szCs w:val="20"/>
              </w:rPr>
              <w:t>Netlink Star</w:t>
            </w:r>
            <w:r w:rsidRPr="00B45A60">
              <w:rPr>
                <w:rFonts w:ascii="Arial" w:hAnsi="Arial" w:cs="Arial"/>
                <w:sz w:val="20"/>
                <w:szCs w:val="20"/>
              </w:rPr>
              <w:t>’s Executive Leadership and participate in key executive meetings, such as the Strategic Account review meetings held quarterly.</w:t>
            </w:r>
          </w:p>
        </w:tc>
      </w:tr>
      <w:tr w:rsidR="007B12F8" w:rsidRPr="00B45A60" w14:paraId="2AB87C08" w14:textId="77777777" w:rsidTr="007B12F8">
        <w:tc>
          <w:tcPr>
            <w:tcW w:w="1975" w:type="dxa"/>
          </w:tcPr>
          <w:p w14:paraId="3437BD1A" w14:textId="0A90FEE8" w:rsidR="007B12F8" w:rsidRPr="00B45A60" w:rsidRDefault="001F1C19" w:rsidP="007B12F8">
            <w:pPr>
              <w:pStyle w:val="TableBody"/>
              <w:spacing w:after="120"/>
              <w:rPr>
                <w:rFonts w:ascii="Arial" w:hAnsi="Arial" w:cs="Arial"/>
                <w:sz w:val="20"/>
                <w:szCs w:val="20"/>
              </w:rPr>
            </w:pPr>
            <w:r>
              <w:rPr>
                <w:rFonts w:ascii="Arial" w:hAnsi="Arial" w:cs="Arial"/>
                <w:sz w:val="20"/>
                <w:szCs w:val="20"/>
              </w:rPr>
              <w:t>Netlink Star</w:t>
            </w:r>
            <w:r w:rsidR="007B12F8" w:rsidRPr="00B45A60">
              <w:rPr>
                <w:rFonts w:ascii="Arial" w:hAnsi="Arial" w:cs="Arial"/>
                <w:sz w:val="20"/>
                <w:szCs w:val="20"/>
              </w:rPr>
              <w:t xml:space="preserve"> Account Delivery Executive</w:t>
            </w:r>
          </w:p>
        </w:tc>
        <w:tc>
          <w:tcPr>
            <w:tcW w:w="1440" w:type="dxa"/>
          </w:tcPr>
          <w:p w14:paraId="595E6DD4" w14:textId="77777777" w:rsidR="007B12F8" w:rsidRPr="00B45A60" w:rsidRDefault="007B12F8" w:rsidP="007B12F8">
            <w:pPr>
              <w:pStyle w:val="TableBody"/>
              <w:spacing w:after="120"/>
              <w:rPr>
                <w:rFonts w:ascii="Arial" w:hAnsi="Arial" w:cs="Arial"/>
                <w:sz w:val="20"/>
                <w:szCs w:val="20"/>
              </w:rPr>
            </w:pPr>
            <w:r w:rsidRPr="00B45A60">
              <w:rPr>
                <w:rFonts w:ascii="Arial" w:hAnsi="Arial" w:cs="Arial"/>
                <w:sz w:val="20"/>
                <w:szCs w:val="20"/>
              </w:rPr>
              <w:t>Dave Gibson</w:t>
            </w:r>
          </w:p>
        </w:tc>
        <w:tc>
          <w:tcPr>
            <w:tcW w:w="7044" w:type="dxa"/>
          </w:tcPr>
          <w:p w14:paraId="16A840A0" w14:textId="5E532576" w:rsidR="007B12F8" w:rsidRPr="00B45A60" w:rsidRDefault="007B12F8" w:rsidP="007B12F8">
            <w:pPr>
              <w:pStyle w:val="TableBody"/>
              <w:spacing w:after="120"/>
              <w:rPr>
                <w:rFonts w:ascii="Arial" w:hAnsi="Arial" w:cs="Arial"/>
                <w:sz w:val="20"/>
                <w:szCs w:val="20"/>
              </w:rPr>
            </w:pPr>
            <w:r w:rsidRPr="00B45A60">
              <w:rPr>
                <w:rFonts w:ascii="Arial" w:hAnsi="Arial" w:cs="Arial"/>
                <w:sz w:val="20"/>
                <w:szCs w:val="20"/>
              </w:rPr>
              <w:t xml:space="preserve">The </w:t>
            </w:r>
            <w:r w:rsidR="001F1C19">
              <w:rPr>
                <w:rFonts w:ascii="Arial" w:hAnsi="Arial" w:cs="Arial"/>
                <w:sz w:val="20"/>
                <w:szCs w:val="20"/>
              </w:rPr>
              <w:t>Netlink Star</w:t>
            </w:r>
            <w:r w:rsidRPr="00B45A60">
              <w:rPr>
                <w:rFonts w:ascii="Arial" w:hAnsi="Arial" w:cs="Arial"/>
                <w:sz w:val="20"/>
                <w:szCs w:val="20"/>
              </w:rPr>
              <w:t xml:space="preserve"> Account Delivery Executive is primarily responsible for all Supplier services delivered to </w:t>
            </w:r>
            <w:r w:rsidR="001F1C19">
              <w:rPr>
                <w:rFonts w:ascii="Arial" w:hAnsi="Arial" w:cs="Arial"/>
                <w:sz w:val="20"/>
                <w:szCs w:val="20"/>
              </w:rPr>
              <w:t>Netlink Star</w:t>
            </w:r>
            <w:r w:rsidRPr="00B45A60">
              <w:rPr>
                <w:rFonts w:ascii="Arial" w:hAnsi="Arial" w:cs="Arial"/>
                <w:sz w:val="20"/>
                <w:szCs w:val="20"/>
              </w:rPr>
              <w:t>, across projects and programmes and all Run services.</w:t>
            </w:r>
          </w:p>
          <w:p w14:paraId="4FC3EF19" w14:textId="36D100E6" w:rsidR="007B12F8" w:rsidRPr="00B45A60" w:rsidRDefault="007B12F8" w:rsidP="007B12F8">
            <w:pPr>
              <w:pStyle w:val="TableBody"/>
              <w:spacing w:after="120"/>
              <w:rPr>
                <w:rFonts w:ascii="Arial" w:hAnsi="Arial" w:cs="Arial"/>
                <w:sz w:val="20"/>
                <w:szCs w:val="20"/>
              </w:rPr>
            </w:pPr>
            <w:r w:rsidRPr="00B45A60">
              <w:rPr>
                <w:rFonts w:ascii="Arial" w:hAnsi="Arial" w:cs="Arial"/>
                <w:sz w:val="20"/>
                <w:szCs w:val="20"/>
              </w:rPr>
              <w:t xml:space="preserve">This role will drive collaboration and innovation across the account, looking for synergies and efficiencies within the </w:t>
            </w:r>
            <w:r w:rsidR="001F1C19">
              <w:rPr>
                <w:rFonts w:ascii="Arial" w:hAnsi="Arial" w:cs="Arial"/>
                <w:sz w:val="20"/>
                <w:szCs w:val="20"/>
              </w:rPr>
              <w:t>Netlink Star</w:t>
            </w:r>
            <w:r w:rsidRPr="00B45A60">
              <w:rPr>
                <w:rFonts w:ascii="Arial" w:hAnsi="Arial" w:cs="Arial"/>
                <w:sz w:val="20"/>
                <w:szCs w:val="20"/>
              </w:rPr>
              <w:t xml:space="preserve"> delivery from the Supplier to provide increased benefit and will attend the quarterly Strategic Review meetings.</w:t>
            </w:r>
          </w:p>
        </w:tc>
      </w:tr>
    </w:tbl>
    <w:p w14:paraId="027B129B" w14:textId="77777777" w:rsidR="007B12F8" w:rsidRDefault="007B12F8" w:rsidP="007B12F8">
      <w:pPr>
        <w:pStyle w:val="Heading20"/>
        <w:numPr>
          <w:ilvl w:val="0"/>
          <w:numId w:val="0"/>
        </w:numPr>
        <w:spacing w:before="0"/>
        <w:ind w:left="720"/>
      </w:pPr>
      <w:bookmarkStart w:id="2287" w:name="_Toc83904732"/>
    </w:p>
    <w:p w14:paraId="468573AA" w14:textId="77777777" w:rsidR="007B12F8" w:rsidRPr="004D28F2" w:rsidRDefault="007B12F8" w:rsidP="007B12F8">
      <w:pPr>
        <w:pStyle w:val="Heading2"/>
        <w:keepNext/>
        <w:spacing w:after="120"/>
        <w:rPr>
          <w:b/>
          <w:bCs w:val="0"/>
        </w:rPr>
      </w:pPr>
      <w:r w:rsidRPr="004D28F2">
        <w:rPr>
          <w:b/>
        </w:rPr>
        <w:t>Collaboration</w:t>
      </w:r>
      <w:bookmarkEnd w:id="2287"/>
    </w:p>
    <w:p w14:paraId="08B312CF" w14:textId="77777777" w:rsidR="007B12F8" w:rsidRPr="00C959F4" w:rsidRDefault="007B12F8" w:rsidP="00346A37">
      <w:pPr>
        <w:pStyle w:val="Heading3"/>
      </w:pPr>
      <w:r w:rsidRPr="00C959F4">
        <w:t>During Transition, the Supplier will establish a Collaboration Agreement with key Suppliers built on the rules and principles below:</w:t>
      </w:r>
    </w:p>
    <w:p w14:paraId="58E555B5" w14:textId="19854656" w:rsidR="007B12F8" w:rsidRDefault="007B12F8" w:rsidP="007B12F8">
      <w:pPr>
        <w:jc w:val="center"/>
        <w:rPr>
          <w:noProof/>
          <w:szCs w:val="20"/>
        </w:rPr>
      </w:pPr>
    </w:p>
    <w:p w14:paraId="6BE0EC49" w14:textId="77777777" w:rsidR="00A72689" w:rsidRDefault="00A72689" w:rsidP="007B12F8">
      <w:pPr>
        <w:jc w:val="center"/>
        <w:rPr>
          <w:noProof/>
          <w:szCs w:val="20"/>
        </w:rPr>
      </w:pPr>
    </w:p>
    <w:p w14:paraId="33933F3E" w14:textId="77777777" w:rsidR="00A72689" w:rsidRDefault="00A72689" w:rsidP="007B12F8">
      <w:pPr>
        <w:jc w:val="center"/>
        <w:rPr>
          <w:noProof/>
          <w:szCs w:val="20"/>
        </w:rPr>
      </w:pPr>
    </w:p>
    <w:p w14:paraId="06221D8C" w14:textId="77777777" w:rsidR="00A72689" w:rsidRDefault="00A72689" w:rsidP="007B12F8">
      <w:pPr>
        <w:jc w:val="center"/>
        <w:rPr>
          <w:noProof/>
          <w:szCs w:val="20"/>
        </w:rPr>
      </w:pPr>
    </w:p>
    <w:p w14:paraId="408ED88E" w14:textId="6AFF0ADF" w:rsidR="00A72689" w:rsidRDefault="00A72689" w:rsidP="007B12F8">
      <w:pPr>
        <w:jc w:val="center"/>
        <w:rPr>
          <w:noProof/>
          <w:szCs w:val="20"/>
        </w:rPr>
      </w:pPr>
      <w:r>
        <w:rPr>
          <w:noProof/>
          <w:szCs w:val="20"/>
        </w:rPr>
        <w:t>Redacted diagram</w:t>
      </w:r>
    </w:p>
    <w:p w14:paraId="1F6100BB" w14:textId="77777777" w:rsidR="00A72689" w:rsidRDefault="00A72689" w:rsidP="007B12F8">
      <w:pPr>
        <w:jc w:val="center"/>
        <w:rPr>
          <w:noProof/>
          <w:szCs w:val="20"/>
        </w:rPr>
      </w:pPr>
    </w:p>
    <w:p w14:paraId="0CD6E9F9" w14:textId="77777777" w:rsidR="00A72689" w:rsidRDefault="00A72689" w:rsidP="007B12F8">
      <w:pPr>
        <w:jc w:val="center"/>
        <w:rPr>
          <w:noProof/>
          <w:szCs w:val="20"/>
        </w:rPr>
      </w:pPr>
    </w:p>
    <w:p w14:paraId="770A782C" w14:textId="77777777" w:rsidR="00A72689" w:rsidRDefault="00A72689" w:rsidP="007B12F8">
      <w:pPr>
        <w:jc w:val="center"/>
        <w:rPr>
          <w:noProof/>
          <w:szCs w:val="20"/>
        </w:rPr>
      </w:pPr>
    </w:p>
    <w:p w14:paraId="7771F5CA" w14:textId="77777777" w:rsidR="00A72689" w:rsidRPr="00C959F4" w:rsidRDefault="00A72689" w:rsidP="007B12F8">
      <w:pPr>
        <w:jc w:val="center"/>
        <w:rPr>
          <w:szCs w:val="20"/>
        </w:rPr>
      </w:pPr>
    </w:p>
    <w:p w14:paraId="7115D7AB" w14:textId="77777777" w:rsidR="007B12F8" w:rsidRPr="004D28F2" w:rsidRDefault="007B12F8" w:rsidP="007B12F8">
      <w:pPr>
        <w:pStyle w:val="Heading2"/>
        <w:keepNext/>
        <w:spacing w:after="120"/>
        <w:rPr>
          <w:rFonts w:eastAsiaTheme="minorHAnsi"/>
          <w:b/>
          <w:bCs w:val="0"/>
        </w:rPr>
      </w:pPr>
      <w:bookmarkStart w:id="2288" w:name="_Toc83904733"/>
      <w:r w:rsidRPr="004D28F2">
        <w:rPr>
          <w:b/>
        </w:rPr>
        <w:t>Proposed Governance Model</w:t>
      </w:r>
      <w:bookmarkEnd w:id="2288"/>
    </w:p>
    <w:p w14:paraId="6DFFAFEF" w14:textId="77777777" w:rsidR="007B12F8" w:rsidRPr="004D28F2" w:rsidRDefault="007B12F8" w:rsidP="00346A37">
      <w:pPr>
        <w:pStyle w:val="Heading3"/>
      </w:pPr>
      <w:r w:rsidRPr="004D28F2">
        <w:t>The Supplier’s Joint Strategic Commitment</w:t>
      </w:r>
    </w:p>
    <w:p w14:paraId="050D4490" w14:textId="0B1C5A04"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The Supplier’s executive and account leadership will commit to the strategic partnership with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 xml:space="preserve"> as described within this document. That commitment starts at the top of our organisation, with the Supplier’s Head of the Travel and Transportation Sector being the executive sponsor, with delivery governance and control also at that executive level. This will empower the teams below to work towards the common goal of delivering service excellence, evolving the service enabling a smooth handover from Transition and Migration to BAU run services.</w:t>
      </w:r>
    </w:p>
    <w:p w14:paraId="690BE89B" w14:textId="77777777" w:rsidR="007B12F8" w:rsidRPr="004D28F2" w:rsidRDefault="007B12F8" w:rsidP="00346A37">
      <w:pPr>
        <w:pStyle w:val="Heading3"/>
      </w:pPr>
      <w:r w:rsidRPr="004D28F2">
        <w:t>Data Centre Operate and Migrate Account Governance</w:t>
      </w:r>
    </w:p>
    <w:p w14:paraId="08E7672A"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The Supplier’s proposed Data Centre Operate and Migrate Account Governance interlocks will facilitate the smooth running of the day-to-day operations and successful take on and operation of the Service. The model allows for control and efficient delivery of the transition and the BAU operations.</w:t>
      </w:r>
    </w:p>
    <w:p w14:paraId="306D7C78" w14:textId="7AD8C1E3" w:rsidR="007B12F8" w:rsidRPr="00C959F4" w:rsidRDefault="007B12F8" w:rsidP="006248E4">
      <w:pPr>
        <w:pStyle w:val="Heading4"/>
        <w:tabs>
          <w:tab w:val="clear" w:pos="1702"/>
        </w:tabs>
        <w:spacing w:after="120"/>
        <w:ind w:left="2410"/>
        <w:rPr>
          <w:rFonts w:cs="Arial"/>
          <w:szCs w:val="20"/>
        </w:rPr>
      </w:pPr>
      <w:r w:rsidRPr="00C959F4">
        <w:rPr>
          <w:rFonts w:cs="Arial"/>
          <w:szCs w:val="20"/>
        </w:rPr>
        <w:t xml:space="preserve">The Supplier will work with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 xml:space="preserve"> and its supplier ecosystem and lead the building of a specific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 xml:space="preserve"> ‘On-boarding pack’ detailing the </w:t>
      </w:r>
      <w:r w:rsidRPr="00C959F4">
        <w:rPr>
          <w:rFonts w:cs="Arial"/>
          <w:szCs w:val="20"/>
        </w:rPr>
        <w:lastRenderedPageBreak/>
        <w:t xml:space="preserve">specific ways of working, your business challenges, outcomes, policies, and procedures for the use of all staff regardless of company. Delivery team members will be on-boarded knowing not only their specific roles and capabilities but the context and criticality within the realms of </w:t>
      </w:r>
      <w:proofErr w:type="spellStart"/>
      <w:r w:rsidR="001F1C19">
        <w:rPr>
          <w:rFonts w:cs="Arial"/>
          <w:szCs w:val="20"/>
        </w:rPr>
        <w:t>Netlink</w:t>
      </w:r>
      <w:proofErr w:type="spellEnd"/>
      <w:r w:rsidR="001F1C19">
        <w:rPr>
          <w:rFonts w:cs="Arial"/>
          <w:szCs w:val="20"/>
        </w:rPr>
        <w:t xml:space="preserve"> Star</w:t>
      </w:r>
      <w:r w:rsidRPr="00C959F4">
        <w:rPr>
          <w:rFonts w:cs="Arial"/>
          <w:szCs w:val="20"/>
        </w:rPr>
        <w:t xml:space="preserve">. </w:t>
      </w:r>
    </w:p>
    <w:p w14:paraId="734CC2A2"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A PMO staffing lead will manage the resourcing fulfilment, working ahead of the service commencement date to draft organisational models and role definitions. They will create a Resource Demand Plan listing all implementation and delivery roles, and then track progress. This spreadsheet contains the following:</w:t>
      </w:r>
    </w:p>
    <w:p w14:paraId="62D3C626" w14:textId="77777777" w:rsidR="007B12F8" w:rsidRPr="00B45A60" w:rsidRDefault="007B12F8" w:rsidP="00B45A60">
      <w:pPr>
        <w:pStyle w:val="Heading5"/>
      </w:pPr>
      <w:r w:rsidRPr="00B45A60">
        <w:t xml:space="preserve">description of role including grade, skills and competencies </w:t>
      </w:r>
      <w:proofErr w:type="gramStart"/>
      <w:r w:rsidRPr="00B45A60">
        <w:t>required;</w:t>
      </w:r>
      <w:proofErr w:type="gramEnd"/>
    </w:p>
    <w:p w14:paraId="71657F09" w14:textId="77777777" w:rsidR="007B12F8" w:rsidRPr="00B45A60" w:rsidRDefault="007B12F8" w:rsidP="00B45A60">
      <w:pPr>
        <w:pStyle w:val="Heading5"/>
      </w:pPr>
      <w:r w:rsidRPr="00B45A60">
        <w:t xml:space="preserve">base location for the role together with start and end </w:t>
      </w:r>
      <w:proofErr w:type="gramStart"/>
      <w:r w:rsidRPr="00B45A60">
        <w:t>dates;</w:t>
      </w:r>
      <w:proofErr w:type="gramEnd"/>
    </w:p>
    <w:p w14:paraId="5DC7774D" w14:textId="77777777" w:rsidR="007B12F8" w:rsidRPr="00B45A60" w:rsidRDefault="007B12F8" w:rsidP="00B45A60">
      <w:pPr>
        <w:pStyle w:val="Heading5"/>
      </w:pPr>
      <w:r w:rsidRPr="00B45A60">
        <w:t xml:space="preserve">any specific items with regards to that role </w:t>
      </w:r>
      <w:proofErr w:type="gramStart"/>
      <w:r w:rsidRPr="00B45A60">
        <w:t>e.g.</w:t>
      </w:r>
      <w:proofErr w:type="gramEnd"/>
      <w:r w:rsidRPr="00B45A60">
        <w:t xml:space="preserve"> shift work;</w:t>
      </w:r>
    </w:p>
    <w:p w14:paraId="4838A8B4" w14:textId="77777777" w:rsidR="007B12F8" w:rsidRPr="00B45A60" w:rsidRDefault="007B12F8" w:rsidP="00B45A60">
      <w:pPr>
        <w:pStyle w:val="Heading5"/>
      </w:pPr>
      <w:r w:rsidRPr="00B45A60">
        <w:t>owner of the fulfilment; and</w:t>
      </w:r>
    </w:p>
    <w:p w14:paraId="40ACD22A" w14:textId="77777777" w:rsidR="007B12F8" w:rsidRPr="00C959F4" w:rsidRDefault="007B12F8" w:rsidP="00B45A60">
      <w:pPr>
        <w:pStyle w:val="Heading5"/>
        <w:rPr>
          <w:rFonts w:cs="Arial"/>
          <w:szCs w:val="20"/>
        </w:rPr>
      </w:pPr>
      <w:r w:rsidRPr="00B45A60">
        <w:t>completion</w:t>
      </w:r>
      <w:r w:rsidRPr="00C959F4">
        <w:rPr>
          <w:rFonts w:cs="Arial"/>
          <w:szCs w:val="20"/>
        </w:rPr>
        <w:t xml:space="preserve"> of Onboarding process</w:t>
      </w:r>
      <w:r>
        <w:rPr>
          <w:rFonts w:cs="Arial"/>
          <w:szCs w:val="20"/>
        </w:rPr>
        <w:t>.</w:t>
      </w:r>
    </w:p>
    <w:p w14:paraId="410767C1" w14:textId="77777777" w:rsidR="007B12F8" w:rsidRPr="00C959F4" w:rsidRDefault="007B12F8" w:rsidP="006248E4">
      <w:pPr>
        <w:pStyle w:val="Heading4"/>
        <w:tabs>
          <w:tab w:val="clear" w:pos="1702"/>
        </w:tabs>
        <w:spacing w:after="120"/>
        <w:ind w:left="2410"/>
        <w:rPr>
          <w:rFonts w:cs="Arial"/>
          <w:szCs w:val="20"/>
        </w:rPr>
      </w:pPr>
      <w:r w:rsidRPr="00C959F4">
        <w:rPr>
          <w:rFonts w:cs="Arial"/>
          <w:szCs w:val="20"/>
        </w:rPr>
        <w:t>The Supplier’s strategy for ensuring that it builds a strong delivery team is to mix experienced resources with new, fresh talent based on the following:</w:t>
      </w:r>
    </w:p>
    <w:p w14:paraId="5424306D" w14:textId="77777777" w:rsidR="007B12F8" w:rsidRPr="00B45A60" w:rsidRDefault="007B12F8" w:rsidP="00B45A60">
      <w:pPr>
        <w:pStyle w:val="Heading5"/>
      </w:pPr>
      <w:r w:rsidRPr="00C959F4">
        <w:rPr>
          <w:rFonts w:cs="Arial"/>
          <w:szCs w:val="20"/>
        </w:rPr>
        <w:t xml:space="preserve">seed </w:t>
      </w:r>
      <w:r w:rsidRPr="00B45A60">
        <w:t xml:space="preserve">experienced Supplier staff into relevant areas of </w:t>
      </w:r>
      <w:proofErr w:type="gramStart"/>
      <w:r w:rsidRPr="00B45A60">
        <w:t>delivery;</w:t>
      </w:r>
      <w:proofErr w:type="gramEnd"/>
      <w:r w:rsidRPr="00B45A60">
        <w:t xml:space="preserve"> </w:t>
      </w:r>
    </w:p>
    <w:p w14:paraId="0B62B339" w14:textId="77777777" w:rsidR="007B12F8" w:rsidRPr="00B45A60" w:rsidRDefault="007B12F8" w:rsidP="00B45A60">
      <w:pPr>
        <w:pStyle w:val="Heading5"/>
      </w:pPr>
      <w:r w:rsidRPr="00B45A60">
        <w:t>retain members of the implementation team to continue into the delivery organisation to facilitate continuity of knowledge and relationships already developed; and</w:t>
      </w:r>
    </w:p>
    <w:p w14:paraId="64823B37" w14:textId="77777777" w:rsidR="007B12F8" w:rsidRPr="00C959F4" w:rsidRDefault="007B12F8" w:rsidP="00B45A60">
      <w:pPr>
        <w:pStyle w:val="Heading5"/>
        <w:rPr>
          <w:rFonts w:cs="Arial"/>
          <w:szCs w:val="20"/>
        </w:rPr>
      </w:pPr>
      <w:r w:rsidRPr="00B45A60">
        <w:t>recruit early</w:t>
      </w:r>
      <w:r w:rsidRPr="00C959F4">
        <w:rPr>
          <w:rFonts w:cs="Arial"/>
          <w:szCs w:val="20"/>
        </w:rPr>
        <w:t xml:space="preserve"> to ensure that new starters can work on other Supplier </w:t>
      </w:r>
      <w:proofErr w:type="gramStart"/>
      <w:r w:rsidRPr="00C959F4">
        <w:rPr>
          <w:rFonts w:cs="Arial"/>
          <w:szCs w:val="20"/>
        </w:rPr>
        <w:t>accounts</w:t>
      </w:r>
      <w:proofErr w:type="gramEnd"/>
      <w:r w:rsidRPr="00C959F4">
        <w:rPr>
          <w:rFonts w:cs="Arial"/>
          <w:szCs w:val="20"/>
        </w:rPr>
        <w:t xml:space="preserve"> so they are comfortable with the Supplier’s culture and values</w:t>
      </w:r>
      <w:r>
        <w:rPr>
          <w:rFonts w:cs="Arial"/>
          <w:szCs w:val="20"/>
        </w:rPr>
        <w:t>.</w:t>
      </w:r>
    </w:p>
    <w:p w14:paraId="77F3FF32" w14:textId="77777777" w:rsidR="007B12F8" w:rsidRDefault="007B12F8">
      <w:pPr>
        <w:rPr>
          <w:rFonts w:eastAsia="Arial" w:cs="Arial"/>
          <w:b/>
          <w:bCs/>
          <w:szCs w:val="20"/>
        </w:rPr>
      </w:pPr>
      <w:r>
        <w:rPr>
          <w:rFonts w:eastAsia="Arial" w:cs="Arial"/>
          <w:b/>
          <w:bCs/>
          <w:szCs w:val="20"/>
        </w:rPr>
        <w:br w:type="page"/>
      </w:r>
    </w:p>
    <w:p w14:paraId="356F0036" w14:textId="0D830F70" w:rsidR="004C127E" w:rsidRPr="000E5786" w:rsidRDefault="004C127E" w:rsidP="00DD60F0">
      <w:pPr>
        <w:widowControl w:val="0"/>
        <w:autoSpaceDE w:val="0"/>
        <w:autoSpaceDN w:val="0"/>
        <w:ind w:left="2410" w:right="1393" w:hanging="1134"/>
        <w:jc w:val="center"/>
        <w:outlineLvl w:val="0"/>
        <w:rPr>
          <w:rFonts w:eastAsia="Arial" w:cs="Arial"/>
          <w:b/>
          <w:bCs/>
          <w:szCs w:val="20"/>
        </w:rPr>
      </w:pPr>
      <w:r w:rsidRPr="000E5786">
        <w:rPr>
          <w:rFonts w:eastAsia="Arial" w:cs="Arial"/>
          <w:b/>
          <w:bCs/>
          <w:szCs w:val="20"/>
        </w:rPr>
        <w:lastRenderedPageBreak/>
        <w:t>SCHEDULE 4.2</w:t>
      </w:r>
    </w:p>
    <w:p w14:paraId="35035DB0" w14:textId="00EB9875" w:rsidR="004C127E" w:rsidRPr="000E5786" w:rsidRDefault="004C127E" w:rsidP="00DD60F0">
      <w:pPr>
        <w:widowControl w:val="0"/>
        <w:autoSpaceDE w:val="0"/>
        <w:autoSpaceDN w:val="0"/>
        <w:jc w:val="center"/>
        <w:rPr>
          <w:rFonts w:eastAsia="Arial" w:cs="Arial"/>
          <w:b/>
          <w:szCs w:val="20"/>
        </w:rPr>
      </w:pPr>
      <w:r w:rsidRPr="000E5786">
        <w:rPr>
          <w:rFonts w:eastAsia="Arial" w:cs="Arial"/>
          <w:b/>
          <w:szCs w:val="20"/>
        </w:rPr>
        <w:t>COMMERCIALLY SENSITIVE INFORMATION</w:t>
      </w:r>
    </w:p>
    <w:tbl>
      <w:tblPr>
        <w:tblW w:w="9498"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1"/>
        <w:gridCol w:w="1205"/>
        <w:gridCol w:w="5248"/>
        <w:gridCol w:w="2194"/>
      </w:tblGrid>
      <w:tr w:rsidR="004C127E" w:rsidRPr="000E5786" w14:paraId="5B0BD544" w14:textId="77777777" w:rsidTr="00C3397C">
        <w:trPr>
          <w:trHeight w:val="433"/>
          <w:tblHeader/>
        </w:trPr>
        <w:tc>
          <w:tcPr>
            <w:tcW w:w="851" w:type="dxa"/>
          </w:tcPr>
          <w:p w14:paraId="5D2E094B" w14:textId="77777777" w:rsidR="004C127E" w:rsidRPr="000E5786" w:rsidRDefault="004C127E" w:rsidP="00C3397C">
            <w:pPr>
              <w:widowControl w:val="0"/>
              <w:autoSpaceDE w:val="0"/>
              <w:autoSpaceDN w:val="0"/>
              <w:ind w:left="311" w:hanging="310"/>
              <w:rPr>
                <w:rFonts w:eastAsia="Arial" w:cs="Arial"/>
                <w:b/>
                <w:szCs w:val="20"/>
              </w:rPr>
            </w:pPr>
            <w:r w:rsidRPr="000E5786">
              <w:rPr>
                <w:rFonts w:eastAsia="Arial" w:cs="Arial"/>
                <w:b/>
                <w:szCs w:val="20"/>
              </w:rPr>
              <w:t>No.</w:t>
            </w:r>
          </w:p>
        </w:tc>
        <w:tc>
          <w:tcPr>
            <w:tcW w:w="1205" w:type="dxa"/>
          </w:tcPr>
          <w:p w14:paraId="4A2772B7" w14:textId="77777777" w:rsidR="004C127E" w:rsidRPr="000E5786" w:rsidRDefault="004C127E" w:rsidP="00C3397C">
            <w:pPr>
              <w:widowControl w:val="0"/>
              <w:autoSpaceDE w:val="0"/>
              <w:autoSpaceDN w:val="0"/>
              <w:ind w:left="340" w:hanging="200"/>
              <w:rPr>
                <w:rFonts w:eastAsia="Arial" w:cs="Arial"/>
                <w:b/>
                <w:szCs w:val="20"/>
              </w:rPr>
            </w:pPr>
            <w:r w:rsidRPr="000E5786">
              <w:rPr>
                <w:rFonts w:eastAsia="Arial" w:cs="Arial"/>
                <w:b/>
                <w:szCs w:val="20"/>
              </w:rPr>
              <w:t>Date</w:t>
            </w:r>
          </w:p>
        </w:tc>
        <w:tc>
          <w:tcPr>
            <w:tcW w:w="5248" w:type="dxa"/>
          </w:tcPr>
          <w:p w14:paraId="6668A29B" w14:textId="77777777" w:rsidR="004C127E" w:rsidRPr="000E5786" w:rsidRDefault="004C127E" w:rsidP="00DD60F0">
            <w:pPr>
              <w:widowControl w:val="0"/>
              <w:autoSpaceDE w:val="0"/>
              <w:autoSpaceDN w:val="0"/>
              <w:ind w:left="2010" w:right="1997"/>
              <w:jc w:val="center"/>
              <w:rPr>
                <w:rFonts w:eastAsia="Arial" w:cs="Arial"/>
                <w:b/>
                <w:szCs w:val="20"/>
              </w:rPr>
            </w:pPr>
            <w:r w:rsidRPr="000E5786">
              <w:rPr>
                <w:rFonts w:eastAsia="Arial" w:cs="Arial"/>
                <w:b/>
                <w:szCs w:val="20"/>
              </w:rPr>
              <w:t>Item(s)</w:t>
            </w:r>
          </w:p>
        </w:tc>
        <w:tc>
          <w:tcPr>
            <w:tcW w:w="2194" w:type="dxa"/>
          </w:tcPr>
          <w:p w14:paraId="57330320" w14:textId="77777777" w:rsidR="004C127E" w:rsidRPr="000E5786" w:rsidRDefault="004C127E" w:rsidP="00C3397C">
            <w:pPr>
              <w:widowControl w:val="0"/>
              <w:autoSpaceDE w:val="0"/>
              <w:autoSpaceDN w:val="0"/>
              <w:ind w:left="68" w:firstLine="0"/>
              <w:jc w:val="center"/>
              <w:rPr>
                <w:rFonts w:eastAsia="Arial" w:cs="Arial"/>
                <w:b/>
                <w:szCs w:val="20"/>
              </w:rPr>
            </w:pPr>
            <w:r w:rsidRPr="000E5786">
              <w:rPr>
                <w:rFonts w:eastAsia="Arial" w:cs="Arial"/>
                <w:b/>
                <w:szCs w:val="20"/>
              </w:rPr>
              <w:t xml:space="preserve">Duration of </w:t>
            </w:r>
            <w:r w:rsidRPr="000E5786">
              <w:rPr>
                <w:rFonts w:eastAsia="Arial" w:cs="Arial"/>
                <w:b/>
                <w:w w:val="95"/>
                <w:szCs w:val="20"/>
              </w:rPr>
              <w:t>Confidentiality</w:t>
            </w:r>
          </w:p>
        </w:tc>
      </w:tr>
      <w:tr w:rsidR="004C127E" w:rsidRPr="000E5786" w14:paraId="7C7B3F13" w14:textId="77777777" w:rsidTr="002701EF">
        <w:trPr>
          <w:trHeight w:val="470"/>
        </w:trPr>
        <w:tc>
          <w:tcPr>
            <w:tcW w:w="851" w:type="dxa"/>
          </w:tcPr>
          <w:p w14:paraId="70016818" w14:textId="77777777" w:rsidR="004C127E" w:rsidRPr="000E5786" w:rsidRDefault="004C127E" w:rsidP="00E538A1">
            <w:pPr>
              <w:pStyle w:val="ListParagraph"/>
              <w:numPr>
                <w:ilvl w:val="0"/>
                <w:numId w:val="9"/>
              </w:numPr>
              <w:autoSpaceDE w:val="0"/>
              <w:autoSpaceDN w:val="0"/>
              <w:adjustRightInd w:val="0"/>
              <w:spacing w:after="120" w:line="240" w:lineRule="auto"/>
              <w:contextualSpacing w:val="0"/>
              <w:rPr>
                <w:rFonts w:ascii="Arial" w:hAnsi="Arial" w:cs="Arial"/>
                <w:sz w:val="20"/>
                <w:szCs w:val="20"/>
              </w:rPr>
            </w:pPr>
          </w:p>
        </w:tc>
        <w:tc>
          <w:tcPr>
            <w:tcW w:w="1205" w:type="dxa"/>
          </w:tcPr>
          <w:p w14:paraId="01034B1F" w14:textId="1FFC26F1" w:rsidR="004C127E" w:rsidRPr="000E5786" w:rsidRDefault="009478C1" w:rsidP="00C3397C">
            <w:pPr>
              <w:autoSpaceDE w:val="0"/>
              <w:autoSpaceDN w:val="0"/>
              <w:adjustRightInd w:val="0"/>
              <w:ind w:left="140" w:firstLine="0"/>
              <w:jc w:val="left"/>
              <w:rPr>
                <w:rFonts w:eastAsia="Arial" w:cs="Arial"/>
                <w:szCs w:val="20"/>
              </w:rPr>
            </w:pPr>
            <w:r w:rsidRPr="000E5786">
              <w:rPr>
                <w:rFonts w:cs="Arial"/>
                <w:szCs w:val="20"/>
              </w:rPr>
              <w:t>From the Effective Date</w:t>
            </w:r>
          </w:p>
        </w:tc>
        <w:tc>
          <w:tcPr>
            <w:tcW w:w="5248" w:type="dxa"/>
          </w:tcPr>
          <w:p w14:paraId="76659509" w14:textId="5D6F77D4" w:rsidR="004C127E" w:rsidRPr="000E5786" w:rsidRDefault="004C127E" w:rsidP="00C3397C">
            <w:pPr>
              <w:autoSpaceDE w:val="0"/>
              <w:autoSpaceDN w:val="0"/>
              <w:adjustRightInd w:val="0"/>
              <w:ind w:left="73" w:firstLine="0"/>
              <w:jc w:val="left"/>
              <w:rPr>
                <w:rFonts w:cs="Arial"/>
                <w:szCs w:val="20"/>
              </w:rPr>
            </w:pPr>
            <w:r w:rsidRPr="000E5786">
              <w:rPr>
                <w:rFonts w:cs="Arial"/>
                <w:szCs w:val="20"/>
              </w:rPr>
              <w:t>Details of Supplier’s pricing methodology, policies and procedures including its Charges and Rate Card, asset out in Schedule 7.1(Charges &amp; Invoicing) and Schedule 7.</w:t>
            </w:r>
            <w:r w:rsidR="002529F3">
              <w:rPr>
                <w:rFonts w:cs="Arial"/>
                <w:szCs w:val="20"/>
              </w:rPr>
              <w:t>4</w:t>
            </w:r>
            <w:r w:rsidRPr="000E5786">
              <w:rPr>
                <w:rFonts w:cs="Arial"/>
                <w:szCs w:val="20"/>
              </w:rPr>
              <w:t xml:space="preserve"> (</w:t>
            </w:r>
            <w:r w:rsidR="002529F3">
              <w:rPr>
                <w:rFonts w:cs="Arial"/>
                <w:szCs w:val="20"/>
              </w:rPr>
              <w:t>Product and Service Catalogue</w:t>
            </w:r>
            <w:r w:rsidRPr="000E5786">
              <w:rPr>
                <w:rFonts w:cs="Arial"/>
                <w:szCs w:val="20"/>
              </w:rPr>
              <w:t>) and any variation of any of the foregoing.</w:t>
            </w:r>
          </w:p>
        </w:tc>
        <w:tc>
          <w:tcPr>
            <w:tcW w:w="2194" w:type="dxa"/>
          </w:tcPr>
          <w:p w14:paraId="321383FD" w14:textId="77777777" w:rsidR="004C127E" w:rsidRPr="000E5786" w:rsidRDefault="004C127E" w:rsidP="00C3397C">
            <w:pPr>
              <w:autoSpaceDE w:val="0"/>
              <w:autoSpaceDN w:val="0"/>
              <w:adjustRightInd w:val="0"/>
              <w:ind w:left="73" w:firstLine="0"/>
              <w:jc w:val="left"/>
              <w:rPr>
                <w:rFonts w:cs="Arial"/>
                <w:szCs w:val="20"/>
              </w:rPr>
            </w:pPr>
            <w:r w:rsidRPr="000E5786">
              <w:rPr>
                <w:rFonts w:cs="Arial"/>
                <w:szCs w:val="20"/>
              </w:rPr>
              <w:t>In perpetuity</w:t>
            </w:r>
          </w:p>
          <w:p w14:paraId="31BB60BF" w14:textId="77777777" w:rsidR="004C127E" w:rsidRPr="00C3397C" w:rsidRDefault="004C127E" w:rsidP="00C3397C">
            <w:pPr>
              <w:widowControl w:val="0"/>
              <w:autoSpaceDE w:val="0"/>
              <w:autoSpaceDN w:val="0"/>
              <w:ind w:left="73" w:firstLine="0"/>
              <w:jc w:val="left"/>
              <w:rPr>
                <w:rFonts w:cs="Arial"/>
                <w:szCs w:val="20"/>
              </w:rPr>
            </w:pPr>
          </w:p>
        </w:tc>
      </w:tr>
      <w:tr w:rsidR="004C127E" w:rsidRPr="000E5786" w14:paraId="5E4938BE" w14:textId="77777777" w:rsidTr="002701EF">
        <w:trPr>
          <w:trHeight w:val="469"/>
        </w:trPr>
        <w:tc>
          <w:tcPr>
            <w:tcW w:w="851" w:type="dxa"/>
          </w:tcPr>
          <w:p w14:paraId="1F2FA4E1" w14:textId="77777777" w:rsidR="004C127E" w:rsidRPr="000E5786" w:rsidRDefault="004C127E" w:rsidP="00E538A1">
            <w:pPr>
              <w:pStyle w:val="ListParagraph"/>
              <w:numPr>
                <w:ilvl w:val="0"/>
                <w:numId w:val="9"/>
              </w:numPr>
              <w:autoSpaceDE w:val="0"/>
              <w:autoSpaceDN w:val="0"/>
              <w:adjustRightInd w:val="0"/>
              <w:spacing w:after="120" w:line="240" w:lineRule="auto"/>
              <w:contextualSpacing w:val="0"/>
              <w:rPr>
                <w:rFonts w:ascii="Arial" w:hAnsi="Arial" w:cs="Arial"/>
                <w:sz w:val="20"/>
                <w:szCs w:val="20"/>
              </w:rPr>
            </w:pPr>
            <w:r w:rsidRPr="000E5786">
              <w:rPr>
                <w:rFonts w:ascii="Arial" w:hAnsi="Arial" w:cs="Arial"/>
                <w:sz w:val="20"/>
                <w:szCs w:val="20"/>
              </w:rPr>
              <w:t xml:space="preserve"> </w:t>
            </w:r>
          </w:p>
        </w:tc>
        <w:tc>
          <w:tcPr>
            <w:tcW w:w="1205" w:type="dxa"/>
          </w:tcPr>
          <w:p w14:paraId="01D511A7" w14:textId="1854F163" w:rsidR="004C127E" w:rsidRPr="000E5786" w:rsidRDefault="009478C1" w:rsidP="00C3397C">
            <w:pPr>
              <w:autoSpaceDE w:val="0"/>
              <w:autoSpaceDN w:val="0"/>
              <w:adjustRightInd w:val="0"/>
              <w:ind w:left="140" w:firstLine="0"/>
              <w:jc w:val="left"/>
              <w:rPr>
                <w:rFonts w:cs="Arial"/>
                <w:szCs w:val="20"/>
              </w:rPr>
            </w:pPr>
            <w:r w:rsidRPr="000E5786">
              <w:rPr>
                <w:rFonts w:cs="Arial"/>
                <w:szCs w:val="20"/>
              </w:rPr>
              <w:t>From the Effective Date</w:t>
            </w:r>
          </w:p>
        </w:tc>
        <w:tc>
          <w:tcPr>
            <w:tcW w:w="5248" w:type="dxa"/>
          </w:tcPr>
          <w:p w14:paraId="6612D2D6" w14:textId="68932496" w:rsidR="004C127E" w:rsidRPr="000E5786" w:rsidRDefault="004C127E" w:rsidP="00C3397C">
            <w:pPr>
              <w:autoSpaceDE w:val="0"/>
              <w:autoSpaceDN w:val="0"/>
              <w:adjustRightInd w:val="0"/>
              <w:ind w:left="73" w:firstLine="0"/>
              <w:jc w:val="left"/>
              <w:rPr>
                <w:rFonts w:cs="Arial"/>
                <w:szCs w:val="20"/>
              </w:rPr>
            </w:pPr>
            <w:r w:rsidRPr="000E5786">
              <w:rPr>
                <w:rFonts w:cs="Arial"/>
                <w:szCs w:val="20"/>
              </w:rPr>
              <w:t xml:space="preserve">Any documentation submitted by the Supplier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support of claims for the Charges, including any financial reports or other documentation provided in accordance with audit requirements.</w:t>
            </w:r>
          </w:p>
        </w:tc>
        <w:tc>
          <w:tcPr>
            <w:tcW w:w="2194" w:type="dxa"/>
          </w:tcPr>
          <w:p w14:paraId="7B2F4B29" w14:textId="77777777" w:rsidR="004C127E" w:rsidRPr="000E5786" w:rsidRDefault="004C127E" w:rsidP="00C3397C">
            <w:pPr>
              <w:autoSpaceDE w:val="0"/>
              <w:autoSpaceDN w:val="0"/>
              <w:adjustRightInd w:val="0"/>
              <w:ind w:left="73" w:firstLine="0"/>
              <w:jc w:val="left"/>
              <w:rPr>
                <w:rFonts w:cs="Arial"/>
                <w:szCs w:val="20"/>
              </w:rPr>
            </w:pPr>
            <w:r w:rsidRPr="000E5786">
              <w:rPr>
                <w:rFonts w:cs="Arial"/>
                <w:szCs w:val="20"/>
              </w:rPr>
              <w:t>In perpetuity</w:t>
            </w:r>
          </w:p>
          <w:p w14:paraId="6063588E" w14:textId="77777777" w:rsidR="004C127E" w:rsidRPr="000E5786" w:rsidRDefault="004C127E" w:rsidP="00C3397C">
            <w:pPr>
              <w:autoSpaceDE w:val="0"/>
              <w:autoSpaceDN w:val="0"/>
              <w:adjustRightInd w:val="0"/>
              <w:ind w:left="73" w:firstLine="0"/>
              <w:jc w:val="left"/>
              <w:rPr>
                <w:rFonts w:cs="Arial"/>
                <w:szCs w:val="20"/>
              </w:rPr>
            </w:pPr>
          </w:p>
        </w:tc>
      </w:tr>
      <w:tr w:rsidR="004C127E" w:rsidRPr="000E5786" w14:paraId="01C9898D" w14:textId="77777777" w:rsidTr="002701EF">
        <w:trPr>
          <w:trHeight w:val="470"/>
        </w:trPr>
        <w:tc>
          <w:tcPr>
            <w:tcW w:w="851" w:type="dxa"/>
          </w:tcPr>
          <w:p w14:paraId="3A12C636" w14:textId="77777777" w:rsidR="004C127E" w:rsidRPr="000E5786" w:rsidRDefault="004C127E" w:rsidP="00E538A1">
            <w:pPr>
              <w:pStyle w:val="ListParagraph"/>
              <w:numPr>
                <w:ilvl w:val="0"/>
                <w:numId w:val="9"/>
              </w:numPr>
              <w:autoSpaceDE w:val="0"/>
              <w:autoSpaceDN w:val="0"/>
              <w:adjustRightInd w:val="0"/>
              <w:spacing w:after="120" w:line="240" w:lineRule="auto"/>
              <w:contextualSpacing w:val="0"/>
              <w:rPr>
                <w:rFonts w:ascii="Arial" w:hAnsi="Arial" w:cs="Arial"/>
                <w:sz w:val="20"/>
                <w:szCs w:val="20"/>
              </w:rPr>
            </w:pPr>
          </w:p>
        </w:tc>
        <w:tc>
          <w:tcPr>
            <w:tcW w:w="1205" w:type="dxa"/>
          </w:tcPr>
          <w:p w14:paraId="7D4AE2C0" w14:textId="0DBD0FA0" w:rsidR="004C127E" w:rsidRPr="000E5786" w:rsidRDefault="009478C1" w:rsidP="00C3397C">
            <w:pPr>
              <w:autoSpaceDE w:val="0"/>
              <w:autoSpaceDN w:val="0"/>
              <w:adjustRightInd w:val="0"/>
              <w:ind w:left="140" w:firstLine="0"/>
              <w:jc w:val="left"/>
              <w:rPr>
                <w:rFonts w:cs="Arial"/>
                <w:szCs w:val="20"/>
              </w:rPr>
            </w:pPr>
            <w:r w:rsidRPr="000E5786">
              <w:rPr>
                <w:rFonts w:cs="Arial"/>
                <w:szCs w:val="20"/>
              </w:rPr>
              <w:t>From the Effective Date</w:t>
            </w:r>
          </w:p>
        </w:tc>
        <w:tc>
          <w:tcPr>
            <w:tcW w:w="5248" w:type="dxa"/>
          </w:tcPr>
          <w:p w14:paraId="3CE9D77C" w14:textId="290D2A7E" w:rsidR="004C127E" w:rsidRPr="000E5786" w:rsidRDefault="004C127E" w:rsidP="00C3397C">
            <w:pPr>
              <w:autoSpaceDE w:val="0"/>
              <w:autoSpaceDN w:val="0"/>
              <w:adjustRightInd w:val="0"/>
              <w:ind w:left="73" w:firstLine="0"/>
              <w:jc w:val="left"/>
              <w:rPr>
                <w:rFonts w:cs="Arial"/>
                <w:szCs w:val="20"/>
              </w:rPr>
            </w:pPr>
            <w:r w:rsidRPr="000E5786">
              <w:rPr>
                <w:rFonts w:cs="Arial"/>
                <w:szCs w:val="20"/>
              </w:rPr>
              <w:t xml:space="preserve">Details of </w:t>
            </w:r>
            <w:r w:rsidR="002E09BE">
              <w:rPr>
                <w:rFonts w:cs="Arial"/>
                <w:szCs w:val="20"/>
              </w:rPr>
              <w:t>Service</w:t>
            </w:r>
            <w:r w:rsidRPr="000E5786">
              <w:rPr>
                <w:rFonts w:cs="Arial"/>
                <w:szCs w:val="20"/>
              </w:rPr>
              <w:t xml:space="preserve"> Levels as set out in Schedule 2.2 (Service Levels) and associated Service Credits as set out in Schedule 7.2 (Service Credits) and Service Credit Caps and any variation of any of the foregoing.</w:t>
            </w:r>
          </w:p>
        </w:tc>
        <w:tc>
          <w:tcPr>
            <w:tcW w:w="2194" w:type="dxa"/>
          </w:tcPr>
          <w:p w14:paraId="71FC9413" w14:textId="77777777" w:rsidR="004C127E" w:rsidRPr="000E5786" w:rsidRDefault="004C127E" w:rsidP="00C3397C">
            <w:pPr>
              <w:autoSpaceDE w:val="0"/>
              <w:autoSpaceDN w:val="0"/>
              <w:adjustRightInd w:val="0"/>
              <w:ind w:left="73" w:firstLine="0"/>
              <w:jc w:val="left"/>
              <w:rPr>
                <w:rFonts w:cs="Arial"/>
                <w:szCs w:val="20"/>
              </w:rPr>
            </w:pPr>
            <w:r w:rsidRPr="000E5786">
              <w:rPr>
                <w:rFonts w:cs="Arial"/>
                <w:szCs w:val="20"/>
              </w:rPr>
              <w:t>For the Term</w:t>
            </w:r>
          </w:p>
        </w:tc>
      </w:tr>
      <w:tr w:rsidR="004C127E" w:rsidRPr="000E5786" w14:paraId="332CAF98" w14:textId="77777777" w:rsidTr="002701EF">
        <w:trPr>
          <w:trHeight w:val="470"/>
        </w:trPr>
        <w:tc>
          <w:tcPr>
            <w:tcW w:w="851" w:type="dxa"/>
          </w:tcPr>
          <w:p w14:paraId="2BAEA863" w14:textId="77777777" w:rsidR="004C127E" w:rsidRPr="000E5786" w:rsidRDefault="004C127E" w:rsidP="00E538A1">
            <w:pPr>
              <w:pStyle w:val="ListParagraph"/>
              <w:numPr>
                <w:ilvl w:val="0"/>
                <w:numId w:val="9"/>
              </w:numPr>
              <w:autoSpaceDE w:val="0"/>
              <w:autoSpaceDN w:val="0"/>
              <w:adjustRightInd w:val="0"/>
              <w:spacing w:after="120" w:line="240" w:lineRule="auto"/>
              <w:contextualSpacing w:val="0"/>
              <w:rPr>
                <w:rFonts w:ascii="Arial" w:hAnsi="Arial" w:cs="Arial"/>
                <w:sz w:val="20"/>
                <w:szCs w:val="20"/>
              </w:rPr>
            </w:pPr>
          </w:p>
        </w:tc>
        <w:tc>
          <w:tcPr>
            <w:tcW w:w="1205" w:type="dxa"/>
          </w:tcPr>
          <w:p w14:paraId="667EA05A" w14:textId="7923F48B" w:rsidR="004C127E" w:rsidRPr="000E5786" w:rsidRDefault="009478C1" w:rsidP="00C3397C">
            <w:pPr>
              <w:autoSpaceDE w:val="0"/>
              <w:autoSpaceDN w:val="0"/>
              <w:adjustRightInd w:val="0"/>
              <w:ind w:left="140" w:firstLine="0"/>
              <w:jc w:val="left"/>
              <w:rPr>
                <w:rFonts w:cs="Arial"/>
                <w:szCs w:val="20"/>
              </w:rPr>
            </w:pPr>
            <w:r w:rsidRPr="000E5786">
              <w:rPr>
                <w:rFonts w:cs="Arial"/>
                <w:szCs w:val="20"/>
              </w:rPr>
              <w:t>From the Effective Date</w:t>
            </w:r>
          </w:p>
        </w:tc>
        <w:tc>
          <w:tcPr>
            <w:tcW w:w="5248" w:type="dxa"/>
          </w:tcPr>
          <w:p w14:paraId="22DA8AFE" w14:textId="77777777" w:rsidR="004C127E" w:rsidRPr="000E5786" w:rsidRDefault="004C127E" w:rsidP="00C3397C">
            <w:pPr>
              <w:autoSpaceDE w:val="0"/>
              <w:autoSpaceDN w:val="0"/>
              <w:adjustRightInd w:val="0"/>
              <w:ind w:left="73" w:firstLine="0"/>
              <w:jc w:val="left"/>
              <w:rPr>
                <w:rFonts w:cs="Arial"/>
                <w:szCs w:val="20"/>
              </w:rPr>
            </w:pPr>
            <w:r w:rsidRPr="000E5786">
              <w:rPr>
                <w:rFonts w:cs="Arial"/>
                <w:szCs w:val="20"/>
              </w:rPr>
              <w:t>Details of Supplier Solution as set out in Schedule 4.1 (Supplier Solution)</w:t>
            </w:r>
          </w:p>
        </w:tc>
        <w:tc>
          <w:tcPr>
            <w:tcW w:w="2194" w:type="dxa"/>
          </w:tcPr>
          <w:p w14:paraId="3512F423" w14:textId="77777777" w:rsidR="004C127E" w:rsidRPr="000E5786" w:rsidRDefault="004C127E" w:rsidP="00C3397C">
            <w:pPr>
              <w:autoSpaceDE w:val="0"/>
              <w:autoSpaceDN w:val="0"/>
              <w:adjustRightInd w:val="0"/>
              <w:ind w:left="73" w:firstLine="0"/>
              <w:jc w:val="left"/>
              <w:rPr>
                <w:rFonts w:cs="Arial"/>
                <w:szCs w:val="20"/>
              </w:rPr>
            </w:pPr>
            <w:r w:rsidRPr="000E5786">
              <w:rPr>
                <w:rFonts w:cs="Arial"/>
                <w:szCs w:val="20"/>
              </w:rPr>
              <w:t>For the Term</w:t>
            </w:r>
          </w:p>
        </w:tc>
      </w:tr>
      <w:tr w:rsidR="004C127E" w:rsidRPr="000E5786" w14:paraId="636B6148" w14:textId="77777777" w:rsidTr="002701EF">
        <w:trPr>
          <w:trHeight w:val="470"/>
        </w:trPr>
        <w:tc>
          <w:tcPr>
            <w:tcW w:w="851" w:type="dxa"/>
          </w:tcPr>
          <w:p w14:paraId="54591BA1" w14:textId="77777777" w:rsidR="004C127E" w:rsidRPr="000E5786" w:rsidRDefault="004C127E" w:rsidP="00E538A1">
            <w:pPr>
              <w:pStyle w:val="ListParagraph"/>
              <w:numPr>
                <w:ilvl w:val="0"/>
                <w:numId w:val="9"/>
              </w:numPr>
              <w:autoSpaceDE w:val="0"/>
              <w:autoSpaceDN w:val="0"/>
              <w:adjustRightInd w:val="0"/>
              <w:spacing w:after="120" w:line="240" w:lineRule="auto"/>
              <w:contextualSpacing w:val="0"/>
              <w:jc w:val="left"/>
              <w:rPr>
                <w:rFonts w:ascii="Arial" w:hAnsi="Arial" w:cs="Arial"/>
                <w:sz w:val="20"/>
                <w:szCs w:val="20"/>
              </w:rPr>
            </w:pPr>
          </w:p>
        </w:tc>
        <w:tc>
          <w:tcPr>
            <w:tcW w:w="1205" w:type="dxa"/>
          </w:tcPr>
          <w:p w14:paraId="7985DF47" w14:textId="7369715A" w:rsidR="004C127E" w:rsidRPr="000E5786" w:rsidRDefault="009478C1" w:rsidP="00C3397C">
            <w:pPr>
              <w:autoSpaceDE w:val="0"/>
              <w:autoSpaceDN w:val="0"/>
              <w:adjustRightInd w:val="0"/>
              <w:ind w:left="140" w:firstLine="0"/>
              <w:jc w:val="left"/>
              <w:rPr>
                <w:rFonts w:cs="Arial"/>
                <w:szCs w:val="20"/>
              </w:rPr>
            </w:pPr>
            <w:r w:rsidRPr="000E5786">
              <w:rPr>
                <w:rFonts w:cs="Arial"/>
                <w:szCs w:val="20"/>
              </w:rPr>
              <w:t>From the Effective Date</w:t>
            </w:r>
          </w:p>
        </w:tc>
        <w:tc>
          <w:tcPr>
            <w:tcW w:w="5248" w:type="dxa"/>
          </w:tcPr>
          <w:p w14:paraId="1FD3A74C" w14:textId="275BCF14" w:rsidR="004C127E" w:rsidRPr="000E5786" w:rsidRDefault="004C127E" w:rsidP="00C3397C">
            <w:pPr>
              <w:autoSpaceDE w:val="0"/>
              <w:autoSpaceDN w:val="0"/>
              <w:adjustRightInd w:val="0"/>
              <w:ind w:left="73" w:firstLine="0"/>
              <w:jc w:val="left"/>
              <w:rPr>
                <w:rFonts w:cs="Arial"/>
                <w:szCs w:val="20"/>
              </w:rPr>
            </w:pPr>
            <w:r w:rsidRPr="000E5786">
              <w:rPr>
                <w:rFonts w:cs="Arial"/>
                <w:szCs w:val="20"/>
              </w:rPr>
              <w:t>Details of the limits of liability as set out in clause 28 (Liability) including any variation thereto.</w:t>
            </w:r>
          </w:p>
        </w:tc>
        <w:tc>
          <w:tcPr>
            <w:tcW w:w="2194" w:type="dxa"/>
          </w:tcPr>
          <w:p w14:paraId="15C5D5DE" w14:textId="77777777" w:rsidR="004C127E" w:rsidRPr="000E5786" w:rsidRDefault="004C127E" w:rsidP="00C3397C">
            <w:pPr>
              <w:autoSpaceDE w:val="0"/>
              <w:autoSpaceDN w:val="0"/>
              <w:adjustRightInd w:val="0"/>
              <w:ind w:left="73" w:firstLine="0"/>
              <w:jc w:val="left"/>
              <w:rPr>
                <w:rFonts w:cs="Arial"/>
                <w:szCs w:val="20"/>
              </w:rPr>
            </w:pPr>
            <w:r w:rsidRPr="000E5786">
              <w:rPr>
                <w:rFonts w:cs="Arial"/>
                <w:szCs w:val="20"/>
              </w:rPr>
              <w:t>In perpetuity</w:t>
            </w:r>
          </w:p>
          <w:p w14:paraId="61AA7585" w14:textId="77777777" w:rsidR="004C127E" w:rsidRPr="000E5786" w:rsidRDefault="004C127E" w:rsidP="00C3397C">
            <w:pPr>
              <w:autoSpaceDE w:val="0"/>
              <w:autoSpaceDN w:val="0"/>
              <w:adjustRightInd w:val="0"/>
              <w:ind w:left="73" w:firstLine="0"/>
              <w:jc w:val="left"/>
              <w:rPr>
                <w:rFonts w:cs="Arial"/>
                <w:szCs w:val="20"/>
              </w:rPr>
            </w:pPr>
          </w:p>
        </w:tc>
      </w:tr>
      <w:tr w:rsidR="004C127E" w:rsidRPr="000E5786" w14:paraId="721FFE4A" w14:textId="77777777" w:rsidTr="002701EF">
        <w:trPr>
          <w:trHeight w:val="470"/>
        </w:trPr>
        <w:tc>
          <w:tcPr>
            <w:tcW w:w="851" w:type="dxa"/>
          </w:tcPr>
          <w:p w14:paraId="297FEB90" w14:textId="77777777" w:rsidR="004C127E" w:rsidRPr="000E5786" w:rsidRDefault="004C127E" w:rsidP="00E538A1">
            <w:pPr>
              <w:pStyle w:val="ListParagraph"/>
              <w:numPr>
                <w:ilvl w:val="0"/>
                <w:numId w:val="9"/>
              </w:numPr>
              <w:autoSpaceDE w:val="0"/>
              <w:autoSpaceDN w:val="0"/>
              <w:adjustRightInd w:val="0"/>
              <w:spacing w:after="120" w:line="240" w:lineRule="auto"/>
              <w:contextualSpacing w:val="0"/>
              <w:rPr>
                <w:rFonts w:ascii="Arial" w:hAnsi="Arial" w:cs="Arial"/>
                <w:sz w:val="20"/>
                <w:szCs w:val="20"/>
              </w:rPr>
            </w:pPr>
          </w:p>
        </w:tc>
        <w:tc>
          <w:tcPr>
            <w:tcW w:w="1205" w:type="dxa"/>
          </w:tcPr>
          <w:p w14:paraId="2B7CB613" w14:textId="082404FD" w:rsidR="004C127E" w:rsidRPr="000E5786" w:rsidRDefault="009478C1" w:rsidP="00C3397C">
            <w:pPr>
              <w:autoSpaceDE w:val="0"/>
              <w:autoSpaceDN w:val="0"/>
              <w:adjustRightInd w:val="0"/>
              <w:ind w:left="140" w:firstLine="0"/>
              <w:jc w:val="left"/>
              <w:rPr>
                <w:rFonts w:cs="Arial"/>
                <w:szCs w:val="20"/>
              </w:rPr>
            </w:pPr>
            <w:r w:rsidRPr="000E5786">
              <w:rPr>
                <w:rFonts w:cs="Arial"/>
                <w:szCs w:val="20"/>
              </w:rPr>
              <w:t>From the Effective Date</w:t>
            </w:r>
          </w:p>
        </w:tc>
        <w:tc>
          <w:tcPr>
            <w:tcW w:w="5248" w:type="dxa"/>
          </w:tcPr>
          <w:p w14:paraId="3E9F5EE3" w14:textId="2D45CCDE" w:rsidR="004C127E" w:rsidRPr="000E5786" w:rsidRDefault="004C127E" w:rsidP="00C3397C">
            <w:pPr>
              <w:autoSpaceDE w:val="0"/>
              <w:autoSpaceDN w:val="0"/>
              <w:adjustRightInd w:val="0"/>
              <w:ind w:left="73" w:firstLine="0"/>
              <w:jc w:val="left"/>
              <w:rPr>
                <w:rFonts w:cs="Arial"/>
                <w:szCs w:val="20"/>
              </w:rPr>
            </w:pPr>
            <w:r w:rsidRPr="000E5786">
              <w:rPr>
                <w:rFonts w:cs="Arial"/>
                <w:szCs w:val="20"/>
              </w:rPr>
              <w:t>Details of the Supplier’s</w:t>
            </w:r>
            <w:r w:rsidR="002701EF" w:rsidRPr="000E5786">
              <w:rPr>
                <w:rFonts w:cs="Arial"/>
                <w:szCs w:val="20"/>
              </w:rPr>
              <w:t xml:space="preserve"> </w:t>
            </w:r>
            <w:r w:rsidRPr="000E5786">
              <w:rPr>
                <w:rFonts w:cs="Arial"/>
                <w:szCs w:val="20"/>
              </w:rPr>
              <w:t>propriety background IPR,</w:t>
            </w:r>
            <w:r w:rsidR="002701EF" w:rsidRPr="000E5786">
              <w:rPr>
                <w:rFonts w:cs="Arial"/>
                <w:szCs w:val="20"/>
              </w:rPr>
              <w:t xml:space="preserve"> </w:t>
            </w:r>
            <w:r w:rsidRPr="000E5786">
              <w:rPr>
                <w:rFonts w:cs="Arial"/>
                <w:szCs w:val="20"/>
              </w:rPr>
              <w:t>methodologies and tools to</w:t>
            </w:r>
            <w:r w:rsidR="002701EF" w:rsidRPr="000E5786">
              <w:rPr>
                <w:rFonts w:cs="Arial"/>
                <w:szCs w:val="20"/>
              </w:rPr>
              <w:t xml:space="preserve"> </w:t>
            </w:r>
            <w:r w:rsidRPr="000E5786">
              <w:rPr>
                <w:rFonts w:cs="Arial"/>
                <w:szCs w:val="20"/>
              </w:rPr>
              <w:t>deliver the Services.</w:t>
            </w:r>
          </w:p>
        </w:tc>
        <w:tc>
          <w:tcPr>
            <w:tcW w:w="2194" w:type="dxa"/>
          </w:tcPr>
          <w:p w14:paraId="030806EE" w14:textId="77777777" w:rsidR="004C127E" w:rsidRPr="000E5786" w:rsidRDefault="004C127E" w:rsidP="00C3397C">
            <w:pPr>
              <w:autoSpaceDE w:val="0"/>
              <w:autoSpaceDN w:val="0"/>
              <w:adjustRightInd w:val="0"/>
              <w:ind w:left="73" w:firstLine="0"/>
              <w:jc w:val="left"/>
              <w:rPr>
                <w:rFonts w:cs="Arial"/>
                <w:szCs w:val="20"/>
              </w:rPr>
            </w:pPr>
            <w:r w:rsidRPr="000E5786">
              <w:rPr>
                <w:rFonts w:cs="Arial"/>
                <w:szCs w:val="20"/>
              </w:rPr>
              <w:t>In perpetuity</w:t>
            </w:r>
          </w:p>
          <w:p w14:paraId="65FE917B" w14:textId="77777777" w:rsidR="004C127E" w:rsidRPr="000E5786" w:rsidRDefault="004C127E" w:rsidP="00C3397C">
            <w:pPr>
              <w:autoSpaceDE w:val="0"/>
              <w:autoSpaceDN w:val="0"/>
              <w:adjustRightInd w:val="0"/>
              <w:ind w:left="73" w:firstLine="0"/>
              <w:jc w:val="left"/>
              <w:rPr>
                <w:rFonts w:cs="Arial"/>
                <w:szCs w:val="20"/>
              </w:rPr>
            </w:pPr>
          </w:p>
        </w:tc>
      </w:tr>
      <w:tr w:rsidR="004C127E" w:rsidRPr="000E5786" w14:paraId="609A73F2" w14:textId="77777777" w:rsidTr="002701EF">
        <w:trPr>
          <w:trHeight w:val="470"/>
        </w:trPr>
        <w:tc>
          <w:tcPr>
            <w:tcW w:w="851" w:type="dxa"/>
          </w:tcPr>
          <w:p w14:paraId="506B4F39" w14:textId="77777777" w:rsidR="004C127E" w:rsidRPr="000E5786" w:rsidRDefault="004C127E" w:rsidP="00E538A1">
            <w:pPr>
              <w:pStyle w:val="ListParagraph"/>
              <w:numPr>
                <w:ilvl w:val="0"/>
                <w:numId w:val="9"/>
              </w:numPr>
              <w:autoSpaceDE w:val="0"/>
              <w:autoSpaceDN w:val="0"/>
              <w:adjustRightInd w:val="0"/>
              <w:spacing w:after="120" w:line="240" w:lineRule="auto"/>
              <w:contextualSpacing w:val="0"/>
              <w:rPr>
                <w:rFonts w:ascii="Arial" w:hAnsi="Arial" w:cs="Arial"/>
                <w:sz w:val="20"/>
                <w:szCs w:val="20"/>
              </w:rPr>
            </w:pPr>
          </w:p>
        </w:tc>
        <w:tc>
          <w:tcPr>
            <w:tcW w:w="1205" w:type="dxa"/>
          </w:tcPr>
          <w:p w14:paraId="3FCB1EBD" w14:textId="69D121C2" w:rsidR="004C127E" w:rsidRPr="000E5786" w:rsidRDefault="009478C1" w:rsidP="00C3397C">
            <w:pPr>
              <w:autoSpaceDE w:val="0"/>
              <w:autoSpaceDN w:val="0"/>
              <w:adjustRightInd w:val="0"/>
              <w:ind w:left="140" w:firstLine="0"/>
              <w:jc w:val="left"/>
              <w:rPr>
                <w:rFonts w:cs="Arial"/>
                <w:szCs w:val="20"/>
              </w:rPr>
            </w:pPr>
            <w:r w:rsidRPr="000E5786">
              <w:rPr>
                <w:rFonts w:cs="Arial"/>
                <w:szCs w:val="20"/>
              </w:rPr>
              <w:t>From the Effective Date</w:t>
            </w:r>
          </w:p>
        </w:tc>
        <w:tc>
          <w:tcPr>
            <w:tcW w:w="5248" w:type="dxa"/>
          </w:tcPr>
          <w:p w14:paraId="748C24DF" w14:textId="50C84219" w:rsidR="004C127E" w:rsidRPr="000E5786" w:rsidRDefault="004C127E" w:rsidP="00C3397C">
            <w:pPr>
              <w:autoSpaceDE w:val="0"/>
              <w:autoSpaceDN w:val="0"/>
              <w:adjustRightInd w:val="0"/>
              <w:ind w:left="73" w:firstLine="0"/>
              <w:jc w:val="left"/>
              <w:rPr>
                <w:rFonts w:cs="Arial"/>
                <w:szCs w:val="20"/>
              </w:rPr>
            </w:pPr>
            <w:r w:rsidRPr="000E5786">
              <w:rPr>
                <w:rFonts w:cs="Arial"/>
                <w:szCs w:val="20"/>
              </w:rPr>
              <w:t>Details of the benchmarking review process set out in Schedule 7.3, any benchmark review plan and benchmark report produced</w:t>
            </w:r>
            <w:r w:rsidR="004356D9" w:rsidRPr="000E5786">
              <w:rPr>
                <w:rFonts w:cs="Arial"/>
                <w:szCs w:val="20"/>
              </w:rPr>
              <w:t xml:space="preserve"> </w:t>
            </w:r>
            <w:r w:rsidRPr="000E5786">
              <w:rPr>
                <w:rFonts w:cs="Arial"/>
                <w:szCs w:val="20"/>
              </w:rPr>
              <w:t xml:space="preserve">by the </w:t>
            </w:r>
            <w:proofErr w:type="spellStart"/>
            <w:r w:rsidRPr="000E5786">
              <w:rPr>
                <w:rFonts w:cs="Arial"/>
                <w:szCs w:val="20"/>
              </w:rPr>
              <w:t>Benchmarker</w:t>
            </w:r>
            <w:proofErr w:type="spellEnd"/>
            <w:r w:rsidRPr="000E5786">
              <w:rPr>
                <w:rFonts w:cs="Arial"/>
                <w:szCs w:val="20"/>
              </w:rPr>
              <w:t xml:space="preserve"> and any correspondence or communication between the Parties (and/or the </w:t>
            </w:r>
            <w:proofErr w:type="spellStart"/>
            <w:r w:rsidRPr="000E5786">
              <w:rPr>
                <w:rFonts w:cs="Arial"/>
                <w:szCs w:val="20"/>
              </w:rPr>
              <w:t>Benchmarker</w:t>
            </w:r>
            <w:proofErr w:type="spellEnd"/>
            <w:r w:rsidRPr="000E5786">
              <w:rPr>
                <w:rFonts w:cs="Arial"/>
                <w:szCs w:val="20"/>
              </w:rPr>
              <w:t>) in connection</w:t>
            </w:r>
            <w:r w:rsidR="004356D9" w:rsidRPr="000E5786">
              <w:rPr>
                <w:rFonts w:cs="Arial"/>
                <w:szCs w:val="20"/>
              </w:rPr>
              <w:t xml:space="preserve"> </w:t>
            </w:r>
            <w:r w:rsidRPr="000E5786">
              <w:rPr>
                <w:rFonts w:cs="Arial"/>
                <w:szCs w:val="20"/>
              </w:rPr>
              <w:t>with the benchmark process and any variation of any of the foregoing.</w:t>
            </w:r>
          </w:p>
        </w:tc>
        <w:tc>
          <w:tcPr>
            <w:tcW w:w="2194" w:type="dxa"/>
          </w:tcPr>
          <w:p w14:paraId="3F6F7F4A" w14:textId="77777777" w:rsidR="004C127E" w:rsidRPr="000E5786" w:rsidRDefault="004C127E" w:rsidP="00C3397C">
            <w:pPr>
              <w:autoSpaceDE w:val="0"/>
              <w:autoSpaceDN w:val="0"/>
              <w:adjustRightInd w:val="0"/>
              <w:ind w:left="73" w:firstLine="0"/>
              <w:jc w:val="left"/>
              <w:rPr>
                <w:rFonts w:cs="Arial"/>
                <w:szCs w:val="20"/>
              </w:rPr>
            </w:pPr>
            <w:r w:rsidRPr="000E5786">
              <w:rPr>
                <w:rFonts w:cs="Arial"/>
                <w:szCs w:val="20"/>
              </w:rPr>
              <w:t>In perpetuity</w:t>
            </w:r>
          </w:p>
          <w:p w14:paraId="33731286" w14:textId="77777777" w:rsidR="004C127E" w:rsidRPr="000E5786" w:rsidRDefault="004C127E" w:rsidP="00C3397C">
            <w:pPr>
              <w:autoSpaceDE w:val="0"/>
              <w:autoSpaceDN w:val="0"/>
              <w:adjustRightInd w:val="0"/>
              <w:ind w:left="73" w:firstLine="0"/>
              <w:jc w:val="left"/>
              <w:rPr>
                <w:rFonts w:cs="Arial"/>
                <w:szCs w:val="20"/>
              </w:rPr>
            </w:pPr>
          </w:p>
        </w:tc>
      </w:tr>
      <w:tr w:rsidR="004C127E" w:rsidRPr="000E5786" w14:paraId="3E9BDDC5" w14:textId="77777777" w:rsidTr="002701EF">
        <w:trPr>
          <w:trHeight w:val="470"/>
        </w:trPr>
        <w:tc>
          <w:tcPr>
            <w:tcW w:w="851" w:type="dxa"/>
          </w:tcPr>
          <w:p w14:paraId="205EFFE1" w14:textId="77777777" w:rsidR="004C127E" w:rsidRPr="000E5786" w:rsidRDefault="004C127E" w:rsidP="00E538A1">
            <w:pPr>
              <w:pStyle w:val="ListParagraph"/>
              <w:numPr>
                <w:ilvl w:val="0"/>
                <w:numId w:val="9"/>
              </w:numPr>
              <w:autoSpaceDE w:val="0"/>
              <w:autoSpaceDN w:val="0"/>
              <w:adjustRightInd w:val="0"/>
              <w:spacing w:after="120" w:line="240" w:lineRule="auto"/>
              <w:contextualSpacing w:val="0"/>
              <w:rPr>
                <w:rFonts w:ascii="Arial" w:hAnsi="Arial" w:cs="Arial"/>
                <w:sz w:val="20"/>
                <w:szCs w:val="20"/>
              </w:rPr>
            </w:pPr>
          </w:p>
        </w:tc>
        <w:tc>
          <w:tcPr>
            <w:tcW w:w="1205" w:type="dxa"/>
          </w:tcPr>
          <w:p w14:paraId="778B22F7" w14:textId="6D77B9FA" w:rsidR="004C127E" w:rsidRPr="000E5786" w:rsidRDefault="009478C1" w:rsidP="00C3397C">
            <w:pPr>
              <w:autoSpaceDE w:val="0"/>
              <w:autoSpaceDN w:val="0"/>
              <w:adjustRightInd w:val="0"/>
              <w:ind w:left="140" w:firstLine="0"/>
              <w:jc w:val="left"/>
              <w:rPr>
                <w:rFonts w:cs="Arial"/>
                <w:szCs w:val="20"/>
              </w:rPr>
            </w:pPr>
            <w:r w:rsidRPr="000E5786">
              <w:rPr>
                <w:rFonts w:cs="Arial"/>
                <w:szCs w:val="20"/>
              </w:rPr>
              <w:t>From the Effective Date</w:t>
            </w:r>
          </w:p>
        </w:tc>
        <w:tc>
          <w:tcPr>
            <w:tcW w:w="5248" w:type="dxa"/>
          </w:tcPr>
          <w:p w14:paraId="2BEA22B6" w14:textId="1A71A40A" w:rsidR="004C127E" w:rsidRPr="000E5786" w:rsidRDefault="004C127E" w:rsidP="00C3397C">
            <w:pPr>
              <w:autoSpaceDE w:val="0"/>
              <w:autoSpaceDN w:val="0"/>
              <w:adjustRightInd w:val="0"/>
              <w:ind w:left="73" w:firstLine="0"/>
              <w:jc w:val="left"/>
              <w:rPr>
                <w:rFonts w:cs="Arial"/>
                <w:szCs w:val="20"/>
              </w:rPr>
            </w:pPr>
            <w:r w:rsidRPr="000E5786">
              <w:rPr>
                <w:rFonts w:cs="Arial"/>
                <w:szCs w:val="20"/>
              </w:rPr>
              <w:t>All details relating to personnel including but not limited to the numbers of resources with specific skills, named resources in Schedule 9 (Key Personnel) numbers of security</w:t>
            </w:r>
            <w:r w:rsidR="004356D9" w:rsidRPr="000E5786">
              <w:rPr>
                <w:rFonts w:cs="Arial"/>
                <w:szCs w:val="20"/>
              </w:rPr>
              <w:t xml:space="preserve"> </w:t>
            </w:r>
            <w:r w:rsidRPr="000E5786">
              <w:rPr>
                <w:rFonts w:cs="Arial"/>
                <w:szCs w:val="20"/>
              </w:rPr>
              <w:t>cleared staff, staff terms and conditions of</w:t>
            </w:r>
            <w:r w:rsidR="004356D9" w:rsidRPr="000E5786">
              <w:rPr>
                <w:rFonts w:cs="Arial"/>
                <w:szCs w:val="20"/>
              </w:rPr>
              <w:t xml:space="preserve"> </w:t>
            </w:r>
            <w:r w:rsidRPr="000E5786">
              <w:rPr>
                <w:rFonts w:cs="Arial"/>
                <w:szCs w:val="20"/>
              </w:rPr>
              <w:t>employment and staff selection methods used for the purpose of managing the Supplier’s resources.</w:t>
            </w:r>
          </w:p>
        </w:tc>
        <w:tc>
          <w:tcPr>
            <w:tcW w:w="2194" w:type="dxa"/>
          </w:tcPr>
          <w:p w14:paraId="50427DB4" w14:textId="77777777" w:rsidR="004C127E" w:rsidRPr="000E5786" w:rsidRDefault="004C127E" w:rsidP="00C3397C">
            <w:pPr>
              <w:autoSpaceDE w:val="0"/>
              <w:autoSpaceDN w:val="0"/>
              <w:adjustRightInd w:val="0"/>
              <w:ind w:left="73" w:firstLine="0"/>
              <w:jc w:val="left"/>
              <w:rPr>
                <w:rFonts w:cs="Arial"/>
                <w:szCs w:val="20"/>
              </w:rPr>
            </w:pPr>
            <w:r w:rsidRPr="000E5786">
              <w:rPr>
                <w:rFonts w:cs="Arial"/>
                <w:szCs w:val="20"/>
              </w:rPr>
              <w:t>In perpetuity</w:t>
            </w:r>
          </w:p>
          <w:p w14:paraId="21DD3736" w14:textId="77777777" w:rsidR="004C127E" w:rsidRPr="000E5786" w:rsidRDefault="004C127E" w:rsidP="00C3397C">
            <w:pPr>
              <w:autoSpaceDE w:val="0"/>
              <w:autoSpaceDN w:val="0"/>
              <w:adjustRightInd w:val="0"/>
              <w:ind w:left="73" w:firstLine="0"/>
              <w:jc w:val="left"/>
              <w:rPr>
                <w:rFonts w:cs="Arial"/>
                <w:szCs w:val="20"/>
              </w:rPr>
            </w:pPr>
          </w:p>
        </w:tc>
      </w:tr>
      <w:tr w:rsidR="004C127E" w:rsidRPr="000E5786" w14:paraId="555E6199" w14:textId="77777777" w:rsidTr="002701EF">
        <w:trPr>
          <w:trHeight w:val="470"/>
        </w:trPr>
        <w:tc>
          <w:tcPr>
            <w:tcW w:w="851" w:type="dxa"/>
          </w:tcPr>
          <w:p w14:paraId="7C97AF85" w14:textId="77777777" w:rsidR="004C127E" w:rsidRPr="000E5786" w:rsidRDefault="004C127E" w:rsidP="00E538A1">
            <w:pPr>
              <w:pStyle w:val="ListParagraph"/>
              <w:numPr>
                <w:ilvl w:val="0"/>
                <w:numId w:val="9"/>
              </w:numPr>
              <w:autoSpaceDE w:val="0"/>
              <w:autoSpaceDN w:val="0"/>
              <w:adjustRightInd w:val="0"/>
              <w:spacing w:after="120" w:line="240" w:lineRule="auto"/>
              <w:contextualSpacing w:val="0"/>
              <w:rPr>
                <w:rFonts w:ascii="Arial" w:hAnsi="Arial" w:cs="Arial"/>
                <w:sz w:val="20"/>
                <w:szCs w:val="20"/>
              </w:rPr>
            </w:pPr>
          </w:p>
        </w:tc>
        <w:tc>
          <w:tcPr>
            <w:tcW w:w="1205" w:type="dxa"/>
          </w:tcPr>
          <w:p w14:paraId="6235832A" w14:textId="14AECBC2" w:rsidR="004C127E" w:rsidRPr="000E5786" w:rsidRDefault="009478C1" w:rsidP="00C3397C">
            <w:pPr>
              <w:autoSpaceDE w:val="0"/>
              <w:autoSpaceDN w:val="0"/>
              <w:adjustRightInd w:val="0"/>
              <w:ind w:left="140" w:firstLine="0"/>
              <w:jc w:val="left"/>
              <w:rPr>
                <w:rFonts w:cs="Arial"/>
                <w:szCs w:val="20"/>
              </w:rPr>
            </w:pPr>
            <w:r w:rsidRPr="000E5786">
              <w:rPr>
                <w:rFonts w:cs="Arial"/>
                <w:szCs w:val="20"/>
              </w:rPr>
              <w:t>From the Effective Date</w:t>
            </w:r>
          </w:p>
        </w:tc>
        <w:tc>
          <w:tcPr>
            <w:tcW w:w="5248" w:type="dxa"/>
          </w:tcPr>
          <w:p w14:paraId="39F5DA38" w14:textId="77777777" w:rsidR="004C127E" w:rsidRPr="000E5786" w:rsidRDefault="004C127E" w:rsidP="00C3397C">
            <w:pPr>
              <w:autoSpaceDE w:val="0"/>
              <w:autoSpaceDN w:val="0"/>
              <w:adjustRightInd w:val="0"/>
              <w:ind w:left="73" w:firstLine="0"/>
              <w:jc w:val="left"/>
              <w:rPr>
                <w:rFonts w:cs="Arial"/>
                <w:szCs w:val="20"/>
              </w:rPr>
            </w:pPr>
            <w:r w:rsidRPr="000E5786">
              <w:rPr>
                <w:rFonts w:cs="Arial"/>
                <w:szCs w:val="20"/>
              </w:rPr>
              <w:t>The terms of the Supplier’s insurance which are strictly confidential.</w:t>
            </w:r>
          </w:p>
        </w:tc>
        <w:tc>
          <w:tcPr>
            <w:tcW w:w="2194" w:type="dxa"/>
          </w:tcPr>
          <w:p w14:paraId="27C168C4" w14:textId="77777777" w:rsidR="004C127E" w:rsidRPr="000E5786" w:rsidRDefault="004C127E" w:rsidP="00C3397C">
            <w:pPr>
              <w:autoSpaceDE w:val="0"/>
              <w:autoSpaceDN w:val="0"/>
              <w:adjustRightInd w:val="0"/>
              <w:ind w:left="73" w:firstLine="0"/>
              <w:jc w:val="left"/>
              <w:rPr>
                <w:rFonts w:cs="Arial"/>
                <w:szCs w:val="20"/>
              </w:rPr>
            </w:pPr>
            <w:r w:rsidRPr="000E5786">
              <w:rPr>
                <w:rFonts w:cs="Arial"/>
                <w:szCs w:val="20"/>
              </w:rPr>
              <w:t>In perpetuity</w:t>
            </w:r>
          </w:p>
          <w:p w14:paraId="41DCF98D" w14:textId="77777777" w:rsidR="004C127E" w:rsidRPr="000E5786" w:rsidRDefault="004C127E" w:rsidP="00C3397C">
            <w:pPr>
              <w:autoSpaceDE w:val="0"/>
              <w:autoSpaceDN w:val="0"/>
              <w:adjustRightInd w:val="0"/>
              <w:ind w:left="73" w:firstLine="0"/>
              <w:jc w:val="left"/>
              <w:rPr>
                <w:rFonts w:cs="Arial"/>
                <w:szCs w:val="20"/>
              </w:rPr>
            </w:pPr>
          </w:p>
        </w:tc>
      </w:tr>
      <w:tr w:rsidR="004C127E" w:rsidRPr="000E5786" w14:paraId="65DD02DF" w14:textId="77777777" w:rsidTr="002701EF">
        <w:trPr>
          <w:trHeight w:val="470"/>
        </w:trPr>
        <w:tc>
          <w:tcPr>
            <w:tcW w:w="851" w:type="dxa"/>
          </w:tcPr>
          <w:p w14:paraId="20D32072" w14:textId="77777777" w:rsidR="004C127E" w:rsidRPr="000E5786" w:rsidRDefault="004C127E" w:rsidP="00E538A1">
            <w:pPr>
              <w:pStyle w:val="ListParagraph"/>
              <w:numPr>
                <w:ilvl w:val="0"/>
                <w:numId w:val="9"/>
              </w:numPr>
              <w:autoSpaceDE w:val="0"/>
              <w:autoSpaceDN w:val="0"/>
              <w:adjustRightInd w:val="0"/>
              <w:spacing w:after="120" w:line="240" w:lineRule="auto"/>
              <w:contextualSpacing w:val="0"/>
              <w:rPr>
                <w:rFonts w:ascii="Arial" w:hAnsi="Arial" w:cs="Arial"/>
                <w:sz w:val="20"/>
                <w:szCs w:val="20"/>
              </w:rPr>
            </w:pPr>
          </w:p>
        </w:tc>
        <w:tc>
          <w:tcPr>
            <w:tcW w:w="1205" w:type="dxa"/>
          </w:tcPr>
          <w:p w14:paraId="5E908489" w14:textId="10CB86D4" w:rsidR="004C127E" w:rsidRPr="000E5786" w:rsidRDefault="009478C1" w:rsidP="00C3397C">
            <w:pPr>
              <w:autoSpaceDE w:val="0"/>
              <w:autoSpaceDN w:val="0"/>
              <w:adjustRightInd w:val="0"/>
              <w:ind w:left="140" w:firstLine="0"/>
              <w:jc w:val="left"/>
              <w:rPr>
                <w:rFonts w:cs="Arial"/>
                <w:szCs w:val="20"/>
              </w:rPr>
            </w:pPr>
            <w:r w:rsidRPr="000E5786">
              <w:rPr>
                <w:rFonts w:cs="Arial"/>
                <w:szCs w:val="20"/>
              </w:rPr>
              <w:t>From the Effective Date</w:t>
            </w:r>
          </w:p>
        </w:tc>
        <w:tc>
          <w:tcPr>
            <w:tcW w:w="5248" w:type="dxa"/>
          </w:tcPr>
          <w:p w14:paraId="693974C7" w14:textId="77777777" w:rsidR="004C127E" w:rsidRPr="000E5786" w:rsidRDefault="004C127E" w:rsidP="00C3397C">
            <w:pPr>
              <w:autoSpaceDE w:val="0"/>
              <w:autoSpaceDN w:val="0"/>
              <w:adjustRightInd w:val="0"/>
              <w:ind w:left="73" w:firstLine="0"/>
              <w:jc w:val="left"/>
              <w:rPr>
                <w:rFonts w:cs="Arial"/>
                <w:szCs w:val="20"/>
              </w:rPr>
            </w:pPr>
            <w:r w:rsidRPr="000E5786">
              <w:rPr>
                <w:rFonts w:cs="Arial"/>
                <w:szCs w:val="20"/>
              </w:rPr>
              <w:t>Terms of Suppliers subcontracts with its Affiliates.</w:t>
            </w:r>
          </w:p>
        </w:tc>
        <w:tc>
          <w:tcPr>
            <w:tcW w:w="2194" w:type="dxa"/>
          </w:tcPr>
          <w:p w14:paraId="5C41DD8B" w14:textId="77777777" w:rsidR="004C127E" w:rsidRPr="000E5786" w:rsidRDefault="004C127E" w:rsidP="00C3397C">
            <w:pPr>
              <w:autoSpaceDE w:val="0"/>
              <w:autoSpaceDN w:val="0"/>
              <w:adjustRightInd w:val="0"/>
              <w:ind w:left="73" w:firstLine="0"/>
              <w:jc w:val="left"/>
              <w:rPr>
                <w:rFonts w:cs="Arial"/>
                <w:szCs w:val="20"/>
              </w:rPr>
            </w:pPr>
            <w:r w:rsidRPr="000E5786">
              <w:rPr>
                <w:rFonts w:cs="Arial"/>
                <w:szCs w:val="20"/>
              </w:rPr>
              <w:t>In perpetuity</w:t>
            </w:r>
          </w:p>
        </w:tc>
      </w:tr>
    </w:tbl>
    <w:p w14:paraId="5F408E26" w14:textId="701EFF35" w:rsidR="004C127E" w:rsidRPr="000E5786" w:rsidRDefault="004C127E" w:rsidP="00DD60F0">
      <w:pPr>
        <w:rPr>
          <w:rFonts w:cs="Arial"/>
          <w:szCs w:val="20"/>
        </w:rPr>
      </w:pPr>
    </w:p>
    <w:p w14:paraId="5A2937C3" w14:textId="77777777" w:rsidR="004356D9" w:rsidRPr="000E5786" w:rsidRDefault="004356D9" w:rsidP="00DD60F0">
      <w:pPr>
        <w:rPr>
          <w:rFonts w:eastAsia="Arial" w:cs="Arial"/>
          <w:b/>
          <w:bCs/>
          <w:szCs w:val="20"/>
        </w:rPr>
      </w:pPr>
      <w:r w:rsidRPr="000E5786">
        <w:rPr>
          <w:rFonts w:eastAsia="Arial" w:cs="Arial"/>
          <w:b/>
          <w:bCs/>
          <w:szCs w:val="20"/>
        </w:rPr>
        <w:br w:type="page"/>
      </w:r>
    </w:p>
    <w:p w14:paraId="0517992B" w14:textId="0E0B14CA" w:rsidR="004C127E" w:rsidRPr="000E5786" w:rsidRDefault="004C127E" w:rsidP="00DD60F0">
      <w:pPr>
        <w:widowControl w:val="0"/>
        <w:autoSpaceDE w:val="0"/>
        <w:autoSpaceDN w:val="0"/>
        <w:ind w:left="2410" w:right="1393" w:hanging="1134"/>
        <w:jc w:val="center"/>
        <w:outlineLvl w:val="0"/>
        <w:rPr>
          <w:rFonts w:eastAsia="Arial" w:cs="Arial"/>
          <w:b/>
          <w:bCs/>
          <w:szCs w:val="20"/>
        </w:rPr>
      </w:pPr>
      <w:r w:rsidRPr="000E5786">
        <w:rPr>
          <w:rFonts w:eastAsia="Arial" w:cs="Arial"/>
          <w:b/>
          <w:bCs/>
          <w:szCs w:val="20"/>
        </w:rPr>
        <w:lastRenderedPageBreak/>
        <w:t>SCHEDULE 4.3</w:t>
      </w:r>
    </w:p>
    <w:p w14:paraId="1BC346DB" w14:textId="1029BACF" w:rsidR="008473E5" w:rsidRPr="000E5786" w:rsidRDefault="004356D9" w:rsidP="00DD60F0">
      <w:pPr>
        <w:widowControl w:val="0"/>
        <w:autoSpaceDE w:val="0"/>
        <w:autoSpaceDN w:val="0"/>
        <w:ind w:left="1276" w:right="1439"/>
        <w:jc w:val="center"/>
        <w:rPr>
          <w:rFonts w:eastAsia="Arial" w:cs="Arial"/>
          <w:b/>
          <w:szCs w:val="20"/>
        </w:rPr>
      </w:pPr>
      <w:r w:rsidRPr="000E5786">
        <w:rPr>
          <w:rFonts w:eastAsia="Arial" w:cs="Arial"/>
          <w:b/>
          <w:szCs w:val="20"/>
        </w:rPr>
        <w:t>KEY SUB-CONTRACTORS</w:t>
      </w:r>
    </w:p>
    <w:tbl>
      <w:tblPr>
        <w:tblW w:w="936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1843"/>
        <w:gridCol w:w="1605"/>
        <w:gridCol w:w="1939"/>
        <w:gridCol w:w="2279"/>
      </w:tblGrid>
      <w:tr w:rsidR="004C127E" w:rsidRPr="000E5786" w14:paraId="5939E4C0" w14:textId="77777777" w:rsidTr="0026522A">
        <w:trPr>
          <w:trHeight w:val="2080"/>
        </w:trPr>
        <w:tc>
          <w:tcPr>
            <w:tcW w:w="1701" w:type="dxa"/>
            <w:shd w:val="clear" w:color="auto" w:fill="E4E4E4"/>
          </w:tcPr>
          <w:p w14:paraId="5F50B90C" w14:textId="77777777" w:rsidR="004C127E" w:rsidRPr="000E5786" w:rsidRDefault="004C127E" w:rsidP="00C3397C">
            <w:pPr>
              <w:pStyle w:val="TableParagraph"/>
              <w:tabs>
                <w:tab w:val="left" w:pos="1048"/>
              </w:tabs>
              <w:ind w:left="108" w:right="98" w:firstLine="32"/>
              <w:jc w:val="left"/>
              <w:rPr>
                <w:sz w:val="20"/>
                <w:szCs w:val="20"/>
              </w:rPr>
            </w:pPr>
            <w:r w:rsidRPr="000E5786">
              <w:rPr>
                <w:sz w:val="20"/>
                <w:szCs w:val="20"/>
              </w:rPr>
              <w:t xml:space="preserve">Key </w:t>
            </w:r>
            <w:r w:rsidRPr="000E5786">
              <w:rPr>
                <w:spacing w:val="-4"/>
                <w:sz w:val="20"/>
                <w:szCs w:val="20"/>
              </w:rPr>
              <w:t xml:space="preserve">Sub- </w:t>
            </w:r>
            <w:r w:rsidRPr="000E5786">
              <w:rPr>
                <w:sz w:val="20"/>
                <w:szCs w:val="20"/>
              </w:rPr>
              <w:t xml:space="preserve">contractor name </w:t>
            </w:r>
            <w:r w:rsidRPr="000E5786">
              <w:rPr>
                <w:spacing w:val="-7"/>
                <w:sz w:val="20"/>
                <w:szCs w:val="20"/>
              </w:rPr>
              <w:t xml:space="preserve">and </w:t>
            </w:r>
            <w:r w:rsidRPr="000E5786">
              <w:rPr>
                <w:sz w:val="20"/>
                <w:szCs w:val="20"/>
              </w:rPr>
              <w:t xml:space="preserve">address (if </w:t>
            </w:r>
            <w:r w:rsidRPr="000E5786">
              <w:rPr>
                <w:spacing w:val="-5"/>
                <w:sz w:val="20"/>
                <w:szCs w:val="20"/>
              </w:rPr>
              <w:t xml:space="preserve">not </w:t>
            </w:r>
            <w:r w:rsidRPr="000E5786">
              <w:rPr>
                <w:sz w:val="20"/>
                <w:szCs w:val="20"/>
              </w:rPr>
              <w:t xml:space="preserve">the same </w:t>
            </w:r>
            <w:r w:rsidRPr="000E5786">
              <w:rPr>
                <w:spacing w:val="-8"/>
                <w:sz w:val="20"/>
                <w:szCs w:val="20"/>
              </w:rPr>
              <w:t xml:space="preserve">as </w:t>
            </w:r>
            <w:r w:rsidRPr="000E5786">
              <w:rPr>
                <w:sz w:val="20"/>
                <w:szCs w:val="20"/>
              </w:rPr>
              <w:t>the registered office)</w:t>
            </w:r>
          </w:p>
        </w:tc>
        <w:tc>
          <w:tcPr>
            <w:tcW w:w="1843" w:type="dxa"/>
            <w:shd w:val="clear" w:color="auto" w:fill="E4E4E4"/>
          </w:tcPr>
          <w:p w14:paraId="36D7DAAD" w14:textId="77777777" w:rsidR="004C127E" w:rsidRPr="000E5786" w:rsidRDefault="004C127E" w:rsidP="00C3397C">
            <w:pPr>
              <w:pStyle w:val="TableParagraph"/>
              <w:tabs>
                <w:tab w:val="left" w:pos="1055"/>
              </w:tabs>
              <w:ind w:left="108" w:right="98" w:firstLine="32"/>
              <w:jc w:val="left"/>
              <w:rPr>
                <w:sz w:val="20"/>
                <w:szCs w:val="20"/>
              </w:rPr>
            </w:pPr>
            <w:r w:rsidRPr="000E5786">
              <w:rPr>
                <w:sz w:val="20"/>
                <w:szCs w:val="20"/>
              </w:rPr>
              <w:t xml:space="preserve">Registered office </w:t>
            </w:r>
            <w:r w:rsidRPr="000E5786">
              <w:rPr>
                <w:spacing w:val="-6"/>
                <w:sz w:val="20"/>
                <w:szCs w:val="20"/>
              </w:rPr>
              <w:t xml:space="preserve">and </w:t>
            </w:r>
            <w:r w:rsidRPr="000E5786">
              <w:rPr>
                <w:sz w:val="20"/>
                <w:szCs w:val="20"/>
              </w:rPr>
              <w:t>company number</w:t>
            </w:r>
          </w:p>
        </w:tc>
        <w:tc>
          <w:tcPr>
            <w:tcW w:w="1605" w:type="dxa"/>
            <w:shd w:val="clear" w:color="auto" w:fill="E4E4E4"/>
          </w:tcPr>
          <w:p w14:paraId="11ECE61C" w14:textId="77777777" w:rsidR="004C127E" w:rsidRPr="000E5786" w:rsidRDefault="004C127E" w:rsidP="00C3397C">
            <w:pPr>
              <w:pStyle w:val="TableParagraph"/>
              <w:tabs>
                <w:tab w:val="left" w:pos="1055"/>
              </w:tabs>
              <w:ind w:left="108" w:right="98" w:firstLine="32"/>
              <w:jc w:val="left"/>
              <w:rPr>
                <w:sz w:val="20"/>
                <w:szCs w:val="20"/>
              </w:rPr>
            </w:pPr>
            <w:r w:rsidRPr="000E5786">
              <w:rPr>
                <w:sz w:val="20"/>
                <w:szCs w:val="20"/>
              </w:rPr>
              <w:t xml:space="preserve">Related </w:t>
            </w:r>
            <w:r w:rsidRPr="00C3397C">
              <w:rPr>
                <w:sz w:val="20"/>
                <w:szCs w:val="20"/>
              </w:rPr>
              <w:t xml:space="preserve">product/Service </w:t>
            </w:r>
            <w:r w:rsidRPr="000E5786">
              <w:rPr>
                <w:sz w:val="20"/>
                <w:szCs w:val="20"/>
              </w:rPr>
              <w:t>description</w:t>
            </w:r>
          </w:p>
        </w:tc>
        <w:tc>
          <w:tcPr>
            <w:tcW w:w="1939" w:type="dxa"/>
            <w:shd w:val="clear" w:color="auto" w:fill="E4E4E4"/>
          </w:tcPr>
          <w:p w14:paraId="484469AF" w14:textId="77777777" w:rsidR="004C127E" w:rsidRPr="000E5786" w:rsidRDefault="004C127E" w:rsidP="00C3397C">
            <w:pPr>
              <w:pStyle w:val="TableParagraph"/>
              <w:tabs>
                <w:tab w:val="left" w:pos="1018"/>
                <w:tab w:val="left" w:pos="1055"/>
              </w:tabs>
              <w:ind w:left="109" w:right="98" w:firstLine="32"/>
              <w:jc w:val="left"/>
              <w:rPr>
                <w:sz w:val="20"/>
                <w:szCs w:val="20"/>
              </w:rPr>
            </w:pPr>
            <w:r w:rsidRPr="000E5786">
              <w:rPr>
                <w:sz w:val="20"/>
                <w:szCs w:val="20"/>
              </w:rPr>
              <w:t xml:space="preserve">Key </w:t>
            </w:r>
            <w:r w:rsidRPr="00C3397C">
              <w:rPr>
                <w:sz w:val="20"/>
                <w:szCs w:val="20"/>
              </w:rPr>
              <w:t xml:space="preserve">Sub- </w:t>
            </w:r>
            <w:r w:rsidRPr="000E5786">
              <w:rPr>
                <w:sz w:val="20"/>
                <w:szCs w:val="20"/>
              </w:rPr>
              <w:t xml:space="preserve">contract </w:t>
            </w:r>
            <w:r w:rsidRPr="00C3397C">
              <w:rPr>
                <w:sz w:val="20"/>
                <w:szCs w:val="20"/>
              </w:rPr>
              <w:t xml:space="preserve">price </w:t>
            </w:r>
            <w:r w:rsidRPr="000E5786">
              <w:rPr>
                <w:sz w:val="20"/>
                <w:szCs w:val="20"/>
              </w:rPr>
              <w:t xml:space="preserve">expressed </w:t>
            </w:r>
            <w:r w:rsidRPr="00C3397C">
              <w:rPr>
                <w:sz w:val="20"/>
                <w:szCs w:val="20"/>
              </w:rPr>
              <w:t xml:space="preserve">as </w:t>
            </w:r>
            <w:r w:rsidRPr="000E5786">
              <w:rPr>
                <w:sz w:val="20"/>
                <w:szCs w:val="20"/>
              </w:rPr>
              <w:t xml:space="preserve">a percentage of </w:t>
            </w:r>
            <w:r w:rsidRPr="00C3397C">
              <w:rPr>
                <w:sz w:val="20"/>
                <w:szCs w:val="20"/>
              </w:rPr>
              <w:t xml:space="preserve">total </w:t>
            </w:r>
            <w:r w:rsidRPr="000E5786">
              <w:rPr>
                <w:sz w:val="20"/>
                <w:szCs w:val="20"/>
              </w:rPr>
              <w:t>projected Charges over the Term</w:t>
            </w:r>
          </w:p>
        </w:tc>
        <w:tc>
          <w:tcPr>
            <w:tcW w:w="2279" w:type="dxa"/>
            <w:shd w:val="clear" w:color="auto" w:fill="E4E4E4"/>
          </w:tcPr>
          <w:p w14:paraId="03972A2E" w14:textId="77777777" w:rsidR="004C127E" w:rsidRPr="000E5786" w:rsidRDefault="004C127E" w:rsidP="00C3397C">
            <w:pPr>
              <w:pStyle w:val="TableParagraph"/>
              <w:tabs>
                <w:tab w:val="left" w:pos="1055"/>
              </w:tabs>
              <w:ind w:left="112" w:right="98" w:firstLine="32"/>
              <w:jc w:val="left"/>
              <w:rPr>
                <w:sz w:val="20"/>
                <w:szCs w:val="20"/>
              </w:rPr>
            </w:pPr>
            <w:r w:rsidRPr="000E5786">
              <w:rPr>
                <w:sz w:val="20"/>
                <w:szCs w:val="20"/>
              </w:rPr>
              <w:t>Key role in delivery of the Services</w:t>
            </w:r>
          </w:p>
        </w:tc>
      </w:tr>
      <w:tr w:rsidR="004C127E" w:rsidRPr="000E5786" w14:paraId="491E2CB6" w14:textId="77777777" w:rsidTr="002701EF">
        <w:trPr>
          <w:trHeight w:val="469"/>
        </w:trPr>
        <w:tc>
          <w:tcPr>
            <w:tcW w:w="1701" w:type="dxa"/>
          </w:tcPr>
          <w:p w14:paraId="1D0982E0" w14:textId="77777777" w:rsidR="004C127E" w:rsidRPr="000E5786" w:rsidRDefault="004C127E" w:rsidP="00DD60F0">
            <w:pPr>
              <w:pStyle w:val="TableParagraph"/>
              <w:rPr>
                <w:sz w:val="20"/>
                <w:szCs w:val="20"/>
              </w:rPr>
            </w:pPr>
            <w:r w:rsidRPr="000E5786">
              <w:rPr>
                <w:sz w:val="20"/>
                <w:szCs w:val="20"/>
              </w:rPr>
              <w:t>N/A</w:t>
            </w:r>
          </w:p>
        </w:tc>
        <w:tc>
          <w:tcPr>
            <w:tcW w:w="1843" w:type="dxa"/>
          </w:tcPr>
          <w:p w14:paraId="10EE9F26" w14:textId="77777777" w:rsidR="004C127E" w:rsidRPr="000E5786" w:rsidRDefault="004C127E" w:rsidP="00DD60F0">
            <w:pPr>
              <w:pStyle w:val="TableParagraph"/>
              <w:rPr>
                <w:sz w:val="20"/>
                <w:szCs w:val="20"/>
              </w:rPr>
            </w:pPr>
            <w:r w:rsidRPr="000E5786">
              <w:rPr>
                <w:sz w:val="20"/>
                <w:szCs w:val="20"/>
              </w:rPr>
              <w:t>N/A</w:t>
            </w:r>
          </w:p>
        </w:tc>
        <w:tc>
          <w:tcPr>
            <w:tcW w:w="1605" w:type="dxa"/>
          </w:tcPr>
          <w:p w14:paraId="2D5C2B21" w14:textId="77777777" w:rsidR="004C127E" w:rsidRPr="000E5786" w:rsidRDefault="004C127E" w:rsidP="00DD60F0">
            <w:pPr>
              <w:pStyle w:val="TableParagraph"/>
              <w:rPr>
                <w:sz w:val="20"/>
                <w:szCs w:val="20"/>
              </w:rPr>
            </w:pPr>
            <w:r w:rsidRPr="000E5786">
              <w:rPr>
                <w:sz w:val="20"/>
                <w:szCs w:val="20"/>
              </w:rPr>
              <w:t>N/A</w:t>
            </w:r>
          </w:p>
        </w:tc>
        <w:tc>
          <w:tcPr>
            <w:tcW w:w="1939" w:type="dxa"/>
          </w:tcPr>
          <w:p w14:paraId="43EF5EEA" w14:textId="77777777" w:rsidR="004C127E" w:rsidRPr="000E5786" w:rsidRDefault="004C127E" w:rsidP="00DD60F0">
            <w:pPr>
              <w:pStyle w:val="TableParagraph"/>
              <w:rPr>
                <w:sz w:val="20"/>
                <w:szCs w:val="20"/>
              </w:rPr>
            </w:pPr>
            <w:r w:rsidRPr="000E5786">
              <w:rPr>
                <w:sz w:val="20"/>
                <w:szCs w:val="20"/>
              </w:rPr>
              <w:t>N/A</w:t>
            </w:r>
          </w:p>
        </w:tc>
        <w:tc>
          <w:tcPr>
            <w:tcW w:w="2279" w:type="dxa"/>
            <w:shd w:val="clear" w:color="auto" w:fill="auto"/>
          </w:tcPr>
          <w:p w14:paraId="51190D40" w14:textId="77777777" w:rsidR="004C127E" w:rsidRPr="000E5786" w:rsidRDefault="004C127E" w:rsidP="00DD60F0">
            <w:pPr>
              <w:pStyle w:val="TableParagraph"/>
              <w:rPr>
                <w:sz w:val="20"/>
                <w:szCs w:val="20"/>
              </w:rPr>
            </w:pPr>
            <w:r w:rsidRPr="000E5786">
              <w:rPr>
                <w:sz w:val="20"/>
                <w:szCs w:val="20"/>
              </w:rPr>
              <w:t>N/A</w:t>
            </w:r>
          </w:p>
        </w:tc>
      </w:tr>
    </w:tbl>
    <w:p w14:paraId="664F3E69" w14:textId="77777777" w:rsidR="004C127E" w:rsidRPr="000E5786" w:rsidRDefault="004C127E" w:rsidP="00DD60F0">
      <w:pPr>
        <w:pStyle w:val="BodyText"/>
        <w:spacing w:after="120"/>
        <w:rPr>
          <w:rFonts w:cs="Arial"/>
          <w:szCs w:val="20"/>
        </w:rPr>
      </w:pPr>
    </w:p>
    <w:p w14:paraId="091A27E7" w14:textId="77777777" w:rsidR="004C127E" w:rsidRPr="000E5786" w:rsidRDefault="004C127E" w:rsidP="00DD60F0">
      <w:pPr>
        <w:autoSpaceDE w:val="0"/>
        <w:autoSpaceDN w:val="0"/>
        <w:adjustRightInd w:val="0"/>
        <w:rPr>
          <w:rFonts w:cs="Arial"/>
          <w:szCs w:val="20"/>
        </w:rPr>
      </w:pPr>
    </w:p>
    <w:p w14:paraId="54837F94" w14:textId="4B796FA8" w:rsidR="004C127E" w:rsidRPr="000E5786" w:rsidRDefault="004C127E" w:rsidP="00DD60F0">
      <w:pPr>
        <w:rPr>
          <w:rFonts w:cs="Arial"/>
          <w:szCs w:val="20"/>
        </w:rPr>
      </w:pPr>
      <w:r w:rsidRPr="000E5786">
        <w:rPr>
          <w:rFonts w:cs="Arial"/>
          <w:szCs w:val="20"/>
        </w:rPr>
        <w:br w:type="page"/>
      </w:r>
    </w:p>
    <w:p w14:paraId="327B3E1C" w14:textId="0AF685EA" w:rsidR="004C127E" w:rsidRPr="000E5786" w:rsidRDefault="004C127E" w:rsidP="00DD60F0">
      <w:pPr>
        <w:jc w:val="center"/>
        <w:rPr>
          <w:rFonts w:cs="Arial"/>
          <w:b/>
          <w:bCs/>
          <w:szCs w:val="20"/>
        </w:rPr>
      </w:pPr>
      <w:r w:rsidRPr="000E5786">
        <w:rPr>
          <w:rFonts w:cs="Arial"/>
          <w:b/>
          <w:bCs/>
          <w:szCs w:val="20"/>
        </w:rPr>
        <w:lastRenderedPageBreak/>
        <w:t>SCHEDULE 4.4</w:t>
      </w:r>
    </w:p>
    <w:p w14:paraId="4F17D917" w14:textId="4C52438E" w:rsidR="004C127E" w:rsidRPr="000E5786" w:rsidRDefault="004C127E" w:rsidP="00DD60F0">
      <w:pPr>
        <w:jc w:val="center"/>
        <w:rPr>
          <w:rFonts w:cs="Arial"/>
          <w:b/>
          <w:bCs/>
          <w:szCs w:val="20"/>
        </w:rPr>
      </w:pPr>
      <w:r w:rsidRPr="000E5786">
        <w:rPr>
          <w:rFonts w:cs="Arial"/>
          <w:b/>
          <w:bCs/>
          <w:szCs w:val="20"/>
        </w:rPr>
        <w:t>SUPPLIER PREMISES</w:t>
      </w:r>
    </w:p>
    <w:p w14:paraId="781C427D" w14:textId="6B003314" w:rsidR="004C127E" w:rsidRPr="000E5786" w:rsidRDefault="004C127E" w:rsidP="00E538A1">
      <w:pPr>
        <w:pStyle w:val="ListParagraph"/>
        <w:numPr>
          <w:ilvl w:val="0"/>
          <w:numId w:val="10"/>
        </w:numPr>
        <w:spacing w:after="120" w:line="240" w:lineRule="auto"/>
        <w:contextualSpacing w:val="0"/>
        <w:rPr>
          <w:rFonts w:ascii="Arial" w:hAnsi="Arial" w:cs="Arial"/>
          <w:sz w:val="20"/>
          <w:szCs w:val="20"/>
        </w:rPr>
      </w:pPr>
      <w:r w:rsidRPr="000E5786">
        <w:rPr>
          <w:rFonts w:ascii="Arial" w:hAnsi="Arial" w:cs="Arial"/>
          <w:sz w:val="20"/>
          <w:szCs w:val="20"/>
        </w:rPr>
        <w:t>This Schedule sets out the Supplier Premises, which are the Supplier’s and its Affiliate</w:t>
      </w:r>
      <w:r w:rsidR="002B67C3">
        <w:rPr>
          <w:rFonts w:ascii="Arial" w:hAnsi="Arial" w:cs="Arial"/>
          <w:sz w:val="20"/>
          <w:szCs w:val="20"/>
        </w:rPr>
        <w:t>(s)</w:t>
      </w:r>
      <w:r w:rsidRPr="000E5786">
        <w:rPr>
          <w:rFonts w:ascii="Arial" w:hAnsi="Arial" w:cs="Arial"/>
          <w:sz w:val="20"/>
          <w:szCs w:val="20"/>
        </w:rPr>
        <w:t>’s delivery locations.</w:t>
      </w:r>
    </w:p>
    <w:tbl>
      <w:tblPr>
        <w:tblStyle w:val="TableGrid0"/>
        <w:tblW w:w="8363" w:type="dxa"/>
        <w:tblInd w:w="704" w:type="dxa"/>
        <w:tblLook w:val="04A0" w:firstRow="1" w:lastRow="0" w:firstColumn="1" w:lastColumn="0" w:noHBand="0" w:noVBand="1"/>
      </w:tblPr>
      <w:tblGrid>
        <w:gridCol w:w="1276"/>
        <w:gridCol w:w="1276"/>
        <w:gridCol w:w="2268"/>
        <w:gridCol w:w="3543"/>
      </w:tblGrid>
      <w:tr w:rsidR="004C127E" w:rsidRPr="000E5786" w14:paraId="3D47AC94" w14:textId="77777777" w:rsidTr="00C3397C">
        <w:tc>
          <w:tcPr>
            <w:tcW w:w="1276" w:type="dxa"/>
            <w:shd w:val="clear" w:color="auto" w:fill="B4C6E7" w:themeFill="accent5" w:themeFillTint="66"/>
          </w:tcPr>
          <w:p w14:paraId="6F2F9E62" w14:textId="77777777" w:rsidR="004C127E" w:rsidRPr="000E5786" w:rsidRDefault="004C127E" w:rsidP="00DD60F0">
            <w:pPr>
              <w:rPr>
                <w:rFonts w:ascii="Arial" w:hAnsi="Arial" w:cs="Arial"/>
                <w:b/>
                <w:bCs/>
                <w:sz w:val="20"/>
                <w:szCs w:val="20"/>
              </w:rPr>
            </w:pPr>
            <w:r w:rsidRPr="000E5786">
              <w:rPr>
                <w:rFonts w:ascii="Arial" w:hAnsi="Arial" w:cs="Arial"/>
                <w:b/>
                <w:bCs/>
                <w:sz w:val="20"/>
                <w:szCs w:val="20"/>
              </w:rPr>
              <w:t>Company</w:t>
            </w:r>
          </w:p>
        </w:tc>
        <w:tc>
          <w:tcPr>
            <w:tcW w:w="1276" w:type="dxa"/>
            <w:shd w:val="clear" w:color="auto" w:fill="B4C6E7" w:themeFill="accent5" w:themeFillTint="66"/>
          </w:tcPr>
          <w:p w14:paraId="10DC01E0" w14:textId="77777777" w:rsidR="004C127E" w:rsidRPr="000E5786" w:rsidRDefault="004C127E" w:rsidP="00DD60F0">
            <w:pPr>
              <w:rPr>
                <w:rFonts w:ascii="Arial" w:hAnsi="Arial" w:cs="Arial"/>
                <w:b/>
                <w:bCs/>
                <w:sz w:val="20"/>
                <w:szCs w:val="20"/>
              </w:rPr>
            </w:pPr>
            <w:r w:rsidRPr="000E5786">
              <w:rPr>
                <w:rFonts w:ascii="Arial" w:hAnsi="Arial" w:cs="Arial"/>
                <w:b/>
                <w:bCs/>
                <w:sz w:val="20"/>
                <w:szCs w:val="20"/>
              </w:rPr>
              <w:t>Site Name</w:t>
            </w:r>
          </w:p>
        </w:tc>
        <w:tc>
          <w:tcPr>
            <w:tcW w:w="2268" w:type="dxa"/>
            <w:shd w:val="clear" w:color="auto" w:fill="B4C6E7" w:themeFill="accent5" w:themeFillTint="66"/>
          </w:tcPr>
          <w:p w14:paraId="6340B3FB" w14:textId="77777777" w:rsidR="004C127E" w:rsidRPr="000E5786" w:rsidRDefault="004C127E" w:rsidP="00DD60F0">
            <w:pPr>
              <w:rPr>
                <w:rFonts w:ascii="Arial" w:hAnsi="Arial" w:cs="Arial"/>
                <w:b/>
                <w:bCs/>
                <w:sz w:val="20"/>
                <w:szCs w:val="20"/>
              </w:rPr>
            </w:pPr>
            <w:r w:rsidRPr="000E5786">
              <w:rPr>
                <w:rFonts w:ascii="Arial" w:hAnsi="Arial" w:cs="Arial"/>
                <w:b/>
                <w:bCs/>
                <w:sz w:val="20"/>
                <w:szCs w:val="20"/>
              </w:rPr>
              <w:t>Function</w:t>
            </w:r>
          </w:p>
        </w:tc>
        <w:tc>
          <w:tcPr>
            <w:tcW w:w="3543" w:type="dxa"/>
            <w:shd w:val="clear" w:color="auto" w:fill="B4C6E7" w:themeFill="accent5" w:themeFillTint="66"/>
          </w:tcPr>
          <w:p w14:paraId="44459A92" w14:textId="77777777" w:rsidR="004C127E" w:rsidRPr="000E5786" w:rsidRDefault="004C127E" w:rsidP="00DD60F0">
            <w:pPr>
              <w:rPr>
                <w:rFonts w:ascii="Arial" w:hAnsi="Arial" w:cs="Arial"/>
                <w:b/>
                <w:bCs/>
                <w:sz w:val="20"/>
                <w:szCs w:val="20"/>
              </w:rPr>
            </w:pPr>
            <w:r w:rsidRPr="000E5786">
              <w:rPr>
                <w:rFonts w:ascii="Arial" w:hAnsi="Arial" w:cs="Arial"/>
                <w:b/>
                <w:bCs/>
                <w:sz w:val="20"/>
                <w:szCs w:val="20"/>
              </w:rPr>
              <w:t>Site Address</w:t>
            </w:r>
          </w:p>
        </w:tc>
      </w:tr>
      <w:tr w:rsidR="004C127E" w:rsidRPr="000E5786" w14:paraId="3F734DFE" w14:textId="77777777" w:rsidTr="00C3397C">
        <w:tc>
          <w:tcPr>
            <w:tcW w:w="1276" w:type="dxa"/>
          </w:tcPr>
          <w:p w14:paraId="01B485EE" w14:textId="78B9916E" w:rsidR="004C127E" w:rsidRPr="000E5786" w:rsidRDefault="000159CE" w:rsidP="00DD60F0">
            <w:pPr>
              <w:rPr>
                <w:rFonts w:ascii="Arial" w:hAnsi="Arial" w:cs="Arial"/>
                <w:sz w:val="20"/>
                <w:szCs w:val="20"/>
              </w:rPr>
            </w:pPr>
            <w:proofErr w:type="spellStart"/>
            <w:r>
              <w:rPr>
                <w:rFonts w:ascii="Arial" w:hAnsi="Arial" w:cs="Arial"/>
                <w:sz w:val="20"/>
                <w:szCs w:val="20"/>
              </w:rPr>
              <w:t>Quroserv</w:t>
            </w:r>
            <w:proofErr w:type="spellEnd"/>
          </w:p>
        </w:tc>
        <w:tc>
          <w:tcPr>
            <w:tcW w:w="1276" w:type="dxa"/>
          </w:tcPr>
          <w:p w14:paraId="0582BEFA" w14:textId="77777777" w:rsidR="004C127E" w:rsidRPr="000E5786" w:rsidRDefault="004C127E" w:rsidP="00DD60F0">
            <w:pPr>
              <w:rPr>
                <w:rFonts w:ascii="Arial" w:hAnsi="Arial" w:cs="Arial"/>
                <w:sz w:val="20"/>
                <w:szCs w:val="20"/>
              </w:rPr>
            </w:pPr>
            <w:r w:rsidRPr="000E5786">
              <w:rPr>
                <w:rFonts w:ascii="Arial" w:hAnsi="Arial" w:cs="Arial"/>
                <w:sz w:val="20"/>
                <w:szCs w:val="20"/>
              </w:rPr>
              <w:t>Merlin</w:t>
            </w:r>
          </w:p>
        </w:tc>
        <w:tc>
          <w:tcPr>
            <w:tcW w:w="2268" w:type="dxa"/>
          </w:tcPr>
          <w:p w14:paraId="03E52331" w14:textId="77777777" w:rsidR="004C127E" w:rsidRPr="000E5786" w:rsidRDefault="004C127E" w:rsidP="00DD60F0">
            <w:pPr>
              <w:rPr>
                <w:rFonts w:ascii="Arial" w:hAnsi="Arial" w:cs="Arial"/>
                <w:sz w:val="20"/>
                <w:szCs w:val="20"/>
              </w:rPr>
            </w:pPr>
            <w:r w:rsidRPr="000E5786">
              <w:rPr>
                <w:rFonts w:ascii="Arial" w:hAnsi="Arial" w:cs="Arial"/>
                <w:sz w:val="20"/>
                <w:szCs w:val="20"/>
              </w:rPr>
              <w:t>Data Centre</w:t>
            </w:r>
          </w:p>
        </w:tc>
        <w:tc>
          <w:tcPr>
            <w:tcW w:w="3543" w:type="dxa"/>
          </w:tcPr>
          <w:p w14:paraId="0883B2E9" w14:textId="3A7DAD33" w:rsidR="004C127E" w:rsidRPr="000E5786" w:rsidRDefault="004C127E" w:rsidP="00C3397C">
            <w:pPr>
              <w:ind w:left="-65" w:firstLine="1"/>
              <w:jc w:val="left"/>
              <w:rPr>
                <w:rFonts w:ascii="Arial" w:hAnsi="Arial" w:cs="Arial"/>
                <w:sz w:val="20"/>
                <w:szCs w:val="20"/>
              </w:rPr>
            </w:pPr>
          </w:p>
        </w:tc>
      </w:tr>
      <w:tr w:rsidR="004C127E" w:rsidRPr="000E5786" w14:paraId="41337B5E" w14:textId="77777777" w:rsidTr="00C3397C">
        <w:tc>
          <w:tcPr>
            <w:tcW w:w="1276" w:type="dxa"/>
          </w:tcPr>
          <w:p w14:paraId="4583E8CC" w14:textId="4C9251C8" w:rsidR="004C127E" w:rsidRPr="000E5786" w:rsidRDefault="000159CE" w:rsidP="00DD60F0">
            <w:pPr>
              <w:rPr>
                <w:rFonts w:ascii="Arial" w:hAnsi="Arial" w:cs="Arial"/>
                <w:sz w:val="20"/>
                <w:szCs w:val="20"/>
              </w:rPr>
            </w:pPr>
            <w:proofErr w:type="spellStart"/>
            <w:r>
              <w:rPr>
                <w:rFonts w:ascii="Arial" w:hAnsi="Arial" w:cs="Arial"/>
                <w:sz w:val="20"/>
                <w:szCs w:val="20"/>
              </w:rPr>
              <w:t>Quroserv</w:t>
            </w:r>
            <w:proofErr w:type="spellEnd"/>
          </w:p>
        </w:tc>
        <w:tc>
          <w:tcPr>
            <w:tcW w:w="1276" w:type="dxa"/>
          </w:tcPr>
          <w:p w14:paraId="7086BB5D" w14:textId="77777777" w:rsidR="004C127E" w:rsidRPr="000E5786" w:rsidRDefault="004C127E" w:rsidP="00DD60F0">
            <w:pPr>
              <w:rPr>
                <w:rFonts w:ascii="Arial" w:hAnsi="Arial" w:cs="Arial"/>
                <w:sz w:val="20"/>
                <w:szCs w:val="20"/>
              </w:rPr>
            </w:pPr>
            <w:r w:rsidRPr="000E5786">
              <w:rPr>
                <w:rFonts w:ascii="Arial" w:hAnsi="Arial" w:cs="Arial"/>
                <w:sz w:val="20"/>
                <w:szCs w:val="20"/>
              </w:rPr>
              <w:t>Toltec</w:t>
            </w:r>
          </w:p>
        </w:tc>
        <w:tc>
          <w:tcPr>
            <w:tcW w:w="2268" w:type="dxa"/>
          </w:tcPr>
          <w:p w14:paraId="7BCED625" w14:textId="77777777" w:rsidR="004C127E" w:rsidRPr="000E5786" w:rsidRDefault="004C127E" w:rsidP="00DD60F0">
            <w:pPr>
              <w:rPr>
                <w:rFonts w:ascii="Arial" w:hAnsi="Arial" w:cs="Arial"/>
                <w:sz w:val="20"/>
                <w:szCs w:val="20"/>
              </w:rPr>
            </w:pPr>
            <w:r w:rsidRPr="000E5786">
              <w:rPr>
                <w:rFonts w:ascii="Arial" w:hAnsi="Arial" w:cs="Arial"/>
                <w:sz w:val="20"/>
                <w:szCs w:val="20"/>
              </w:rPr>
              <w:t>Data Centre</w:t>
            </w:r>
          </w:p>
        </w:tc>
        <w:tc>
          <w:tcPr>
            <w:tcW w:w="3543" w:type="dxa"/>
          </w:tcPr>
          <w:p w14:paraId="48FA30EB" w14:textId="026A5BDE" w:rsidR="004C127E" w:rsidRPr="000E5786" w:rsidRDefault="004C127E" w:rsidP="00C3397C">
            <w:pPr>
              <w:ind w:left="-65" w:firstLine="1"/>
              <w:jc w:val="left"/>
              <w:rPr>
                <w:rFonts w:ascii="Arial" w:hAnsi="Arial" w:cs="Arial"/>
                <w:sz w:val="20"/>
                <w:szCs w:val="20"/>
              </w:rPr>
            </w:pPr>
          </w:p>
        </w:tc>
      </w:tr>
      <w:tr w:rsidR="004C127E" w:rsidRPr="000E5786" w14:paraId="74C0432F" w14:textId="77777777" w:rsidTr="00C3397C">
        <w:tc>
          <w:tcPr>
            <w:tcW w:w="1276" w:type="dxa"/>
          </w:tcPr>
          <w:p w14:paraId="6F109060" w14:textId="6A1E2193" w:rsidR="004C127E" w:rsidRPr="000E5786" w:rsidRDefault="000159CE" w:rsidP="00DD60F0">
            <w:pPr>
              <w:rPr>
                <w:rFonts w:ascii="Arial" w:hAnsi="Arial" w:cs="Arial"/>
                <w:sz w:val="20"/>
                <w:szCs w:val="20"/>
              </w:rPr>
            </w:pPr>
            <w:proofErr w:type="spellStart"/>
            <w:r>
              <w:rPr>
                <w:rFonts w:ascii="Arial" w:hAnsi="Arial" w:cs="Arial"/>
                <w:sz w:val="20"/>
                <w:szCs w:val="20"/>
              </w:rPr>
              <w:t>Quroserv</w:t>
            </w:r>
            <w:proofErr w:type="spellEnd"/>
          </w:p>
        </w:tc>
        <w:tc>
          <w:tcPr>
            <w:tcW w:w="1276" w:type="dxa"/>
          </w:tcPr>
          <w:p w14:paraId="697F9ACC" w14:textId="77777777" w:rsidR="004C127E" w:rsidRPr="000E5786" w:rsidRDefault="004C127E" w:rsidP="00DD60F0">
            <w:pPr>
              <w:rPr>
                <w:rFonts w:ascii="Arial" w:hAnsi="Arial" w:cs="Arial"/>
                <w:sz w:val="20"/>
                <w:szCs w:val="20"/>
              </w:rPr>
            </w:pPr>
            <w:r w:rsidRPr="000E5786">
              <w:rPr>
                <w:rFonts w:ascii="Arial" w:hAnsi="Arial" w:cs="Arial"/>
                <w:sz w:val="20"/>
                <w:szCs w:val="20"/>
              </w:rPr>
              <w:t>Mumbai</w:t>
            </w:r>
          </w:p>
        </w:tc>
        <w:tc>
          <w:tcPr>
            <w:tcW w:w="2268" w:type="dxa"/>
          </w:tcPr>
          <w:p w14:paraId="5F6281EA" w14:textId="77777777" w:rsidR="004C127E" w:rsidRPr="000E5786" w:rsidRDefault="004C127E" w:rsidP="00C3397C">
            <w:pPr>
              <w:ind w:left="-65" w:firstLine="1"/>
              <w:jc w:val="left"/>
              <w:rPr>
                <w:rFonts w:ascii="Arial" w:hAnsi="Arial" w:cs="Arial"/>
                <w:sz w:val="20"/>
                <w:szCs w:val="20"/>
              </w:rPr>
            </w:pPr>
            <w:r w:rsidRPr="000E5786">
              <w:rPr>
                <w:rFonts w:ascii="Arial" w:hAnsi="Arial" w:cs="Arial"/>
                <w:sz w:val="20"/>
                <w:szCs w:val="20"/>
              </w:rPr>
              <w:t>Remote Infrastructure Management, Service Management</w:t>
            </w:r>
          </w:p>
        </w:tc>
        <w:tc>
          <w:tcPr>
            <w:tcW w:w="3543" w:type="dxa"/>
          </w:tcPr>
          <w:p w14:paraId="611EC6DF" w14:textId="4552FB10" w:rsidR="004C127E" w:rsidRPr="000E5786" w:rsidRDefault="004C127E" w:rsidP="00C3397C">
            <w:pPr>
              <w:ind w:left="-65" w:firstLine="1"/>
              <w:jc w:val="left"/>
              <w:rPr>
                <w:rFonts w:ascii="Arial" w:hAnsi="Arial" w:cs="Arial"/>
                <w:sz w:val="20"/>
                <w:szCs w:val="20"/>
              </w:rPr>
            </w:pPr>
          </w:p>
        </w:tc>
      </w:tr>
      <w:tr w:rsidR="004C127E" w:rsidRPr="000E5786" w14:paraId="29E425E5" w14:textId="77777777" w:rsidTr="00C3397C">
        <w:tc>
          <w:tcPr>
            <w:tcW w:w="1276" w:type="dxa"/>
          </w:tcPr>
          <w:p w14:paraId="0EDE4AAD" w14:textId="0C3721AC" w:rsidR="004C127E" w:rsidRPr="000E5786" w:rsidRDefault="000159CE" w:rsidP="00DD60F0">
            <w:pPr>
              <w:rPr>
                <w:rFonts w:ascii="Arial" w:hAnsi="Arial" w:cs="Arial"/>
                <w:sz w:val="20"/>
                <w:szCs w:val="20"/>
              </w:rPr>
            </w:pPr>
            <w:proofErr w:type="spellStart"/>
            <w:r>
              <w:rPr>
                <w:rFonts w:ascii="Arial" w:hAnsi="Arial" w:cs="Arial"/>
                <w:sz w:val="20"/>
                <w:szCs w:val="20"/>
              </w:rPr>
              <w:t>Quroserv</w:t>
            </w:r>
            <w:proofErr w:type="spellEnd"/>
          </w:p>
        </w:tc>
        <w:tc>
          <w:tcPr>
            <w:tcW w:w="1276" w:type="dxa"/>
          </w:tcPr>
          <w:p w14:paraId="00E39835" w14:textId="77777777" w:rsidR="004C127E" w:rsidRPr="000E5786" w:rsidRDefault="004C127E" w:rsidP="00DD60F0">
            <w:pPr>
              <w:rPr>
                <w:rFonts w:ascii="Arial" w:hAnsi="Arial" w:cs="Arial"/>
                <w:sz w:val="20"/>
                <w:szCs w:val="20"/>
              </w:rPr>
            </w:pPr>
            <w:r w:rsidRPr="000E5786">
              <w:rPr>
                <w:rFonts w:ascii="Arial" w:hAnsi="Arial" w:cs="Arial"/>
                <w:sz w:val="20"/>
                <w:szCs w:val="20"/>
              </w:rPr>
              <w:t>Kolkata</w:t>
            </w:r>
          </w:p>
        </w:tc>
        <w:tc>
          <w:tcPr>
            <w:tcW w:w="2268" w:type="dxa"/>
          </w:tcPr>
          <w:p w14:paraId="3652D610" w14:textId="77777777" w:rsidR="004C127E" w:rsidRPr="000E5786" w:rsidRDefault="004C127E" w:rsidP="00DD60F0">
            <w:pPr>
              <w:rPr>
                <w:rFonts w:ascii="Arial" w:hAnsi="Arial" w:cs="Arial"/>
                <w:sz w:val="20"/>
                <w:szCs w:val="20"/>
              </w:rPr>
            </w:pPr>
            <w:r w:rsidRPr="000E5786">
              <w:rPr>
                <w:rFonts w:ascii="Arial" w:hAnsi="Arial" w:cs="Arial"/>
                <w:sz w:val="20"/>
                <w:szCs w:val="20"/>
              </w:rPr>
              <w:t>Service Desk</w:t>
            </w:r>
          </w:p>
        </w:tc>
        <w:tc>
          <w:tcPr>
            <w:tcW w:w="3543" w:type="dxa"/>
          </w:tcPr>
          <w:p w14:paraId="22EAEF1E" w14:textId="1B765D20" w:rsidR="004C127E" w:rsidRPr="000E5786" w:rsidRDefault="004C127E" w:rsidP="00C3397C">
            <w:pPr>
              <w:ind w:left="-65" w:firstLine="1"/>
              <w:jc w:val="left"/>
              <w:rPr>
                <w:rFonts w:ascii="Arial" w:hAnsi="Arial" w:cs="Arial"/>
                <w:sz w:val="20"/>
                <w:szCs w:val="20"/>
              </w:rPr>
            </w:pPr>
          </w:p>
        </w:tc>
      </w:tr>
    </w:tbl>
    <w:p w14:paraId="67D429CB" w14:textId="77777777" w:rsidR="004C127E" w:rsidRPr="000E5786" w:rsidRDefault="004C127E" w:rsidP="00DD60F0">
      <w:pPr>
        <w:rPr>
          <w:rFonts w:cs="Arial"/>
          <w:szCs w:val="20"/>
        </w:rPr>
      </w:pPr>
    </w:p>
    <w:p w14:paraId="51544E7A" w14:textId="6FEF89E5" w:rsidR="004C127E" w:rsidRPr="000E5786" w:rsidRDefault="004C127E" w:rsidP="00E538A1">
      <w:pPr>
        <w:pStyle w:val="ListParagraph"/>
        <w:numPr>
          <w:ilvl w:val="0"/>
          <w:numId w:val="10"/>
        </w:numPr>
        <w:spacing w:after="120" w:line="240" w:lineRule="auto"/>
        <w:contextualSpacing w:val="0"/>
        <w:rPr>
          <w:rFonts w:ascii="Arial" w:hAnsi="Arial" w:cs="Arial"/>
          <w:sz w:val="20"/>
          <w:szCs w:val="20"/>
        </w:rPr>
      </w:pPr>
      <w:r w:rsidRPr="000E5786">
        <w:rPr>
          <w:rFonts w:ascii="Arial" w:hAnsi="Arial" w:cs="Arial"/>
          <w:sz w:val="20"/>
          <w:szCs w:val="20"/>
        </w:rPr>
        <w:t xml:space="preserve">Notwithstanding anything to the contrary in the Agreement, the Services may (at Supplier’s discretion) be performed by staff working from their homes and/or any Supplier offices and/or the offices of Supplier partners or subcontractors worldwide, and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sidRPr="000E5786">
        <w:rPr>
          <w:rFonts w:ascii="Arial" w:hAnsi="Arial" w:cs="Arial"/>
          <w:sz w:val="20"/>
          <w:szCs w:val="20"/>
        </w:rPr>
        <w:t xml:space="preserve"> agrees that any rights of access it or third parties may have to the premises where the Services are provided from do not extend to the homes of staff.</w:t>
      </w:r>
    </w:p>
    <w:p w14:paraId="2A537038" w14:textId="16492989" w:rsidR="00B26A5F" w:rsidRDefault="00B26A5F">
      <w:pPr>
        <w:rPr>
          <w:rFonts w:cs="Arial"/>
          <w:szCs w:val="20"/>
        </w:rPr>
      </w:pPr>
      <w:r>
        <w:rPr>
          <w:rFonts w:cs="Arial"/>
          <w:szCs w:val="20"/>
        </w:rPr>
        <w:br w:type="page"/>
      </w:r>
    </w:p>
    <w:p w14:paraId="02D6D211" w14:textId="30E70333" w:rsidR="00B26A5F" w:rsidRPr="000E5786" w:rsidRDefault="00B26A5F" w:rsidP="00B26A5F">
      <w:pPr>
        <w:pStyle w:val="Level1"/>
        <w:keepNext/>
        <w:numPr>
          <w:ilvl w:val="0"/>
          <w:numId w:val="0"/>
        </w:numPr>
        <w:spacing w:after="120" w:line="240" w:lineRule="auto"/>
        <w:ind w:left="851"/>
        <w:jc w:val="center"/>
        <w:rPr>
          <w:rFonts w:ascii="Arial" w:hAnsi="Arial" w:cs="Arial"/>
          <w:b/>
          <w:bCs/>
        </w:rPr>
      </w:pPr>
      <w:r w:rsidRPr="000E5786">
        <w:rPr>
          <w:rFonts w:ascii="Arial" w:hAnsi="Arial" w:cs="Arial"/>
          <w:b/>
          <w:bCs/>
        </w:rPr>
        <w:lastRenderedPageBreak/>
        <w:t xml:space="preserve">SCHEDULE </w:t>
      </w:r>
      <w:r>
        <w:rPr>
          <w:rFonts w:ascii="Arial" w:hAnsi="Arial" w:cs="Arial"/>
          <w:b/>
          <w:bCs/>
        </w:rPr>
        <w:t>4.5</w:t>
      </w:r>
    </w:p>
    <w:p w14:paraId="06457E57" w14:textId="77777777" w:rsidR="00B26A5F" w:rsidRPr="000E5786" w:rsidRDefault="00B26A5F" w:rsidP="00B26A5F">
      <w:pPr>
        <w:pStyle w:val="Level1"/>
        <w:keepNext/>
        <w:numPr>
          <w:ilvl w:val="0"/>
          <w:numId w:val="0"/>
        </w:numPr>
        <w:spacing w:after="120" w:line="240" w:lineRule="auto"/>
        <w:ind w:left="851"/>
        <w:jc w:val="center"/>
        <w:rPr>
          <w:rFonts w:ascii="Arial" w:hAnsi="Arial" w:cs="Arial"/>
          <w:b/>
          <w:bCs/>
        </w:rPr>
      </w:pPr>
      <w:r>
        <w:rPr>
          <w:rFonts w:ascii="Arial" w:hAnsi="Arial" w:cs="Arial"/>
          <w:b/>
          <w:bCs/>
        </w:rPr>
        <w:t>NOT USED</w:t>
      </w:r>
    </w:p>
    <w:p w14:paraId="0FCB3C59" w14:textId="77777777" w:rsidR="004C127E" w:rsidRPr="000E5786" w:rsidRDefault="004C127E" w:rsidP="00DD60F0">
      <w:pPr>
        <w:rPr>
          <w:rFonts w:cs="Arial"/>
          <w:szCs w:val="20"/>
        </w:rPr>
      </w:pPr>
    </w:p>
    <w:p w14:paraId="0CBD565A" w14:textId="5E04DC46" w:rsidR="004C127E" w:rsidRPr="000E5786" w:rsidRDefault="004C127E" w:rsidP="00DD60F0">
      <w:pPr>
        <w:rPr>
          <w:rFonts w:cs="Arial"/>
          <w:szCs w:val="20"/>
        </w:rPr>
      </w:pPr>
      <w:r w:rsidRPr="000E5786">
        <w:rPr>
          <w:rFonts w:cs="Arial"/>
          <w:szCs w:val="20"/>
        </w:rPr>
        <w:br w:type="page"/>
      </w:r>
    </w:p>
    <w:p w14:paraId="690815EA" w14:textId="6E61345D" w:rsidR="00F2428A" w:rsidRPr="000E5786" w:rsidRDefault="00F2428A" w:rsidP="00F2428A">
      <w:pPr>
        <w:pStyle w:val="Level1"/>
        <w:keepNext/>
        <w:numPr>
          <w:ilvl w:val="0"/>
          <w:numId w:val="0"/>
        </w:numPr>
        <w:spacing w:after="120" w:line="240" w:lineRule="auto"/>
        <w:ind w:left="851"/>
        <w:jc w:val="center"/>
        <w:rPr>
          <w:rFonts w:ascii="Arial" w:hAnsi="Arial" w:cs="Arial"/>
          <w:b/>
          <w:bCs/>
        </w:rPr>
      </w:pPr>
      <w:r w:rsidRPr="000E5786">
        <w:rPr>
          <w:rFonts w:ascii="Arial" w:hAnsi="Arial" w:cs="Arial"/>
          <w:b/>
          <w:bCs/>
        </w:rPr>
        <w:lastRenderedPageBreak/>
        <w:t>SCHEDULE 5</w:t>
      </w:r>
    </w:p>
    <w:p w14:paraId="4DF97727" w14:textId="77777777" w:rsidR="00F2428A" w:rsidRDefault="00F2428A" w:rsidP="00F2428A">
      <w:pPr>
        <w:pStyle w:val="Level1"/>
        <w:keepNext/>
        <w:numPr>
          <w:ilvl w:val="0"/>
          <w:numId w:val="0"/>
        </w:numPr>
        <w:spacing w:after="120" w:line="240" w:lineRule="auto"/>
        <w:ind w:left="851"/>
        <w:jc w:val="center"/>
        <w:rPr>
          <w:rFonts w:ascii="Arial" w:hAnsi="Arial" w:cs="Arial"/>
          <w:b/>
          <w:bCs/>
        </w:rPr>
      </w:pPr>
      <w:r>
        <w:rPr>
          <w:rFonts w:ascii="Arial" w:hAnsi="Arial" w:cs="Arial"/>
          <w:b/>
          <w:bCs/>
        </w:rPr>
        <w:t>SOFTWARE</w:t>
      </w:r>
    </w:p>
    <w:p w14:paraId="753E621B" w14:textId="77777777" w:rsidR="00C53FD0" w:rsidRPr="00166665" w:rsidRDefault="00C53FD0" w:rsidP="00C53FD0">
      <w:pPr>
        <w:pStyle w:val="Title"/>
        <w:rPr>
          <w:rFonts w:cs="Arial"/>
          <w:szCs w:val="20"/>
        </w:rPr>
      </w:pPr>
      <w:r w:rsidRPr="00166665">
        <w:rPr>
          <w:rFonts w:cs="Arial"/>
          <w:szCs w:val="20"/>
        </w:rPr>
        <w:t>PART A: HARDWARE</w:t>
      </w:r>
    </w:p>
    <w:p w14:paraId="7546947A" w14:textId="538A1C9D" w:rsidR="00C53FD0" w:rsidRPr="00166665" w:rsidRDefault="00C53FD0" w:rsidP="009D675B">
      <w:pPr>
        <w:pStyle w:val="Heading1"/>
        <w:numPr>
          <w:ilvl w:val="0"/>
          <w:numId w:val="134"/>
        </w:numPr>
        <w:tabs>
          <w:tab w:val="num" w:pos="709"/>
        </w:tabs>
        <w:ind w:left="709" w:hanging="709"/>
        <w:rPr>
          <w:rFonts w:cs="Arial"/>
          <w:b w:val="0"/>
          <w:bCs w:val="0"/>
          <w:szCs w:val="20"/>
        </w:rPr>
      </w:pPr>
      <w:r w:rsidRPr="00166665">
        <w:rPr>
          <w:rFonts w:cs="Arial"/>
          <w:szCs w:val="20"/>
        </w:rPr>
        <w:t xml:space="preserve">THE </w:t>
      </w:r>
      <w:r w:rsidR="001F1C19">
        <w:rPr>
          <w:rFonts w:cs="Arial"/>
          <w:szCs w:val="20"/>
        </w:rPr>
        <w:t>NETLINK STAR</w:t>
      </w:r>
      <w:r w:rsidRPr="00166665">
        <w:rPr>
          <w:rFonts w:cs="Arial"/>
          <w:szCs w:val="20"/>
        </w:rPr>
        <w:t xml:space="preserve"> HARDWARE</w:t>
      </w:r>
    </w:p>
    <w:p w14:paraId="2FBAF11A" w14:textId="4EFDC7D7" w:rsidR="00C53FD0" w:rsidRPr="00166665" w:rsidRDefault="00C53FD0" w:rsidP="009D675B">
      <w:pPr>
        <w:pStyle w:val="Heading2"/>
        <w:numPr>
          <w:ilvl w:val="1"/>
          <w:numId w:val="134"/>
        </w:numPr>
        <w:tabs>
          <w:tab w:val="num" w:pos="709"/>
        </w:tabs>
        <w:ind w:left="709" w:hanging="709"/>
        <w:rPr>
          <w:rFonts w:cs="Arial"/>
          <w:i/>
          <w:iCs w:val="0"/>
          <w:szCs w:val="20"/>
        </w:rPr>
      </w:pPr>
      <w:r w:rsidRPr="00166665">
        <w:rPr>
          <w:rFonts w:cs="Arial"/>
          <w:szCs w:val="20"/>
        </w:rPr>
        <w:t xml:space="preserve">The </w:t>
      </w:r>
      <w:proofErr w:type="spellStart"/>
      <w:r w:rsidR="001F1C19">
        <w:rPr>
          <w:rFonts w:cs="Arial"/>
          <w:szCs w:val="20"/>
        </w:rPr>
        <w:t>Netlink</w:t>
      </w:r>
      <w:proofErr w:type="spellEnd"/>
      <w:r w:rsidR="001F1C19">
        <w:rPr>
          <w:rFonts w:cs="Arial"/>
          <w:szCs w:val="20"/>
        </w:rPr>
        <w:t xml:space="preserve"> Star</w:t>
      </w:r>
      <w:r w:rsidRPr="00166665">
        <w:rPr>
          <w:rFonts w:cs="Arial"/>
          <w:szCs w:val="20"/>
        </w:rPr>
        <w:t xml:space="preserve"> Hardware and </w:t>
      </w:r>
      <w:proofErr w:type="spellStart"/>
      <w:r w:rsidR="001F1C19">
        <w:rPr>
          <w:rFonts w:cs="Arial"/>
          <w:szCs w:val="20"/>
        </w:rPr>
        <w:t>Netlink</w:t>
      </w:r>
      <w:proofErr w:type="spellEnd"/>
      <w:r w:rsidR="001F1C19">
        <w:rPr>
          <w:rFonts w:cs="Arial"/>
          <w:szCs w:val="20"/>
        </w:rPr>
        <w:t xml:space="preserve"> Star</w:t>
      </w:r>
      <w:r w:rsidRPr="00166665">
        <w:rPr>
          <w:rFonts w:cs="Arial"/>
          <w:szCs w:val="20"/>
        </w:rPr>
        <w:t xml:space="preserve"> Software, listed below on a non-exhaustive basis, comprises a list of the assets available to the Supplier as at the Effective Date</w:t>
      </w:r>
      <w:r w:rsidRPr="00166665">
        <w:rPr>
          <w:rFonts w:cs="Arial"/>
          <w:i/>
          <w:szCs w:val="20"/>
        </w:rPr>
        <w:t xml:space="preserve">. </w:t>
      </w:r>
      <w:r w:rsidRPr="00166665">
        <w:rPr>
          <w:rFonts w:cs="Arial"/>
          <w:szCs w:val="20"/>
        </w:rPr>
        <w:t>This list may be updated by the Supplier as and when required during discovery and/or prior to the Operational Service Commencement Date.</w:t>
      </w:r>
    </w:p>
    <w:p w14:paraId="31C031C3" w14:textId="78E86855" w:rsidR="00C53FD0" w:rsidRPr="00166665" w:rsidRDefault="00C53FD0" w:rsidP="009D675B">
      <w:pPr>
        <w:pStyle w:val="Heading2"/>
        <w:numPr>
          <w:ilvl w:val="1"/>
          <w:numId w:val="134"/>
        </w:numPr>
        <w:tabs>
          <w:tab w:val="num" w:pos="709"/>
        </w:tabs>
        <w:ind w:left="709" w:hanging="709"/>
        <w:rPr>
          <w:rFonts w:cs="Arial"/>
          <w:szCs w:val="20"/>
        </w:rPr>
      </w:pPr>
      <w:r w:rsidRPr="00166665">
        <w:rPr>
          <w:rFonts w:cs="Arial"/>
          <w:szCs w:val="20"/>
        </w:rPr>
        <w:t xml:space="preserve">This list will be updated by the Supplier and will form the basis of what is initially entered into the appropriate </w:t>
      </w:r>
      <w:proofErr w:type="spellStart"/>
      <w:r w:rsidR="001F1C19">
        <w:rPr>
          <w:rFonts w:cs="Arial"/>
          <w:szCs w:val="20"/>
        </w:rPr>
        <w:t>Netlink</w:t>
      </w:r>
      <w:proofErr w:type="spellEnd"/>
      <w:r w:rsidR="001F1C19">
        <w:rPr>
          <w:rFonts w:cs="Arial"/>
          <w:szCs w:val="20"/>
        </w:rPr>
        <w:t xml:space="preserve"> Star</w:t>
      </w:r>
      <w:r w:rsidRPr="00166665">
        <w:rPr>
          <w:rFonts w:cs="Arial"/>
          <w:szCs w:val="20"/>
        </w:rPr>
        <w:t xml:space="preserve"> online database during the Initial Transition Project discovery phase. Any updates made to this list during the Initial Transition Project will not go through Change Control unless otherwise agreed by the parties. </w:t>
      </w:r>
    </w:p>
    <w:p w14:paraId="3541CBF9" w14:textId="241F7AE4" w:rsidR="00C53FD0" w:rsidRPr="00166665" w:rsidRDefault="00C53FD0" w:rsidP="009D675B">
      <w:pPr>
        <w:pStyle w:val="Heading2"/>
        <w:numPr>
          <w:ilvl w:val="1"/>
          <w:numId w:val="134"/>
        </w:numPr>
        <w:tabs>
          <w:tab w:val="num" w:pos="709"/>
        </w:tabs>
        <w:ind w:left="709" w:hanging="709"/>
        <w:rPr>
          <w:rFonts w:cs="Arial"/>
          <w:szCs w:val="20"/>
        </w:rPr>
      </w:pPr>
      <w:r w:rsidRPr="00166665">
        <w:rPr>
          <w:rFonts w:cs="Arial"/>
          <w:szCs w:val="20"/>
        </w:rPr>
        <w:t xml:space="preserve">Following the end of the Initial Transition Project, the list of </w:t>
      </w:r>
      <w:proofErr w:type="spellStart"/>
      <w:r w:rsidR="001F1C19">
        <w:rPr>
          <w:rFonts w:cs="Arial"/>
          <w:szCs w:val="20"/>
        </w:rPr>
        <w:t>Netlink</w:t>
      </w:r>
      <w:proofErr w:type="spellEnd"/>
      <w:r w:rsidR="001F1C19">
        <w:rPr>
          <w:rFonts w:cs="Arial"/>
          <w:szCs w:val="20"/>
        </w:rPr>
        <w:t xml:space="preserve"> Star</w:t>
      </w:r>
      <w:r w:rsidRPr="00166665">
        <w:rPr>
          <w:rFonts w:cs="Arial"/>
          <w:szCs w:val="20"/>
        </w:rPr>
        <w:t xml:space="preserve"> Hardware and </w:t>
      </w:r>
      <w:proofErr w:type="spellStart"/>
      <w:r w:rsidR="001F1C19">
        <w:rPr>
          <w:rFonts w:cs="Arial"/>
          <w:szCs w:val="20"/>
        </w:rPr>
        <w:t>Netlink</w:t>
      </w:r>
      <w:proofErr w:type="spellEnd"/>
      <w:r w:rsidR="001F1C19">
        <w:rPr>
          <w:rFonts w:cs="Arial"/>
          <w:szCs w:val="20"/>
        </w:rPr>
        <w:t xml:space="preserve"> Star</w:t>
      </w:r>
      <w:r w:rsidRPr="00166665">
        <w:rPr>
          <w:rFonts w:cs="Arial"/>
          <w:szCs w:val="20"/>
        </w:rPr>
        <w:t xml:space="preserve"> Software will be maintained by the Supplier on the relevant </w:t>
      </w:r>
      <w:proofErr w:type="spellStart"/>
      <w:r w:rsidR="001F1C19">
        <w:rPr>
          <w:rFonts w:cs="Arial"/>
          <w:szCs w:val="20"/>
        </w:rPr>
        <w:t>Netlink</w:t>
      </w:r>
      <w:proofErr w:type="spellEnd"/>
      <w:r w:rsidR="001F1C19">
        <w:rPr>
          <w:rFonts w:cs="Arial"/>
          <w:szCs w:val="20"/>
        </w:rPr>
        <w:t xml:space="preserve"> Star</w:t>
      </w:r>
      <w:r w:rsidRPr="00166665">
        <w:rPr>
          <w:rFonts w:cs="Arial"/>
          <w:szCs w:val="20"/>
        </w:rPr>
        <w:t xml:space="preserve"> online database.</w:t>
      </w:r>
    </w:p>
    <w:tbl>
      <w:tblPr>
        <w:tblStyle w:val="TableGrid1"/>
        <w:tblW w:w="9629" w:type="dxa"/>
        <w:tblInd w:w="5" w:type="dxa"/>
        <w:tblCellMar>
          <w:top w:w="47" w:type="dxa"/>
          <w:right w:w="47" w:type="dxa"/>
        </w:tblCellMar>
        <w:tblLook w:val="04A0" w:firstRow="1" w:lastRow="0" w:firstColumn="1" w:lastColumn="0" w:noHBand="0" w:noVBand="1"/>
      </w:tblPr>
      <w:tblGrid>
        <w:gridCol w:w="3676"/>
        <w:gridCol w:w="1417"/>
        <w:gridCol w:w="2127"/>
        <w:gridCol w:w="2409"/>
      </w:tblGrid>
      <w:tr w:rsidR="00C53FD0" w:rsidRPr="00166665" w14:paraId="4F412C06" w14:textId="77777777" w:rsidTr="000D476B">
        <w:trPr>
          <w:trHeight w:val="925"/>
        </w:trPr>
        <w:tc>
          <w:tcPr>
            <w:tcW w:w="3676" w:type="dxa"/>
            <w:tcBorders>
              <w:top w:val="single" w:sz="4" w:space="0" w:color="000000" w:themeColor="text1"/>
              <w:left w:val="single" w:sz="4" w:space="0" w:color="000000" w:themeColor="text1"/>
              <w:bottom w:val="single" w:sz="17" w:space="0" w:color="000000" w:themeColor="text1"/>
              <w:right w:val="single" w:sz="4" w:space="0" w:color="000000" w:themeColor="text1"/>
            </w:tcBorders>
          </w:tcPr>
          <w:p w14:paraId="383AE9E5" w14:textId="77777777" w:rsidR="00C53FD0" w:rsidRPr="00166665" w:rsidRDefault="00C53FD0" w:rsidP="000D476B">
            <w:pPr>
              <w:rPr>
                <w:rFonts w:ascii="Arial" w:eastAsia="Verdana" w:hAnsi="Arial" w:cs="Arial"/>
                <w:b/>
                <w:i/>
                <w:sz w:val="20"/>
                <w:szCs w:val="20"/>
              </w:rPr>
            </w:pPr>
            <w:r w:rsidRPr="00166665">
              <w:rPr>
                <w:rFonts w:ascii="Arial" w:eastAsia="Verdana" w:hAnsi="Arial" w:cs="Arial"/>
                <w:b/>
                <w:i/>
                <w:sz w:val="20"/>
                <w:szCs w:val="20"/>
              </w:rPr>
              <w:t xml:space="preserve">Hardware device/ item </w:t>
            </w:r>
          </w:p>
          <w:p w14:paraId="472BD93F" w14:textId="77777777" w:rsidR="00C53FD0" w:rsidRPr="00166665" w:rsidRDefault="00C53FD0" w:rsidP="000D476B">
            <w:pPr>
              <w:rPr>
                <w:rFonts w:ascii="Arial" w:eastAsia="Verdana" w:hAnsi="Arial" w:cs="Arial"/>
                <w:bCs/>
                <w:i/>
                <w:iCs/>
                <w:sz w:val="20"/>
                <w:szCs w:val="20"/>
              </w:rPr>
            </w:pPr>
          </w:p>
          <w:p w14:paraId="783A24AB" w14:textId="77777777" w:rsidR="00C53FD0" w:rsidRPr="00166665" w:rsidRDefault="00C53FD0" w:rsidP="000D476B">
            <w:pPr>
              <w:rPr>
                <w:rFonts w:ascii="Arial" w:hAnsi="Arial" w:cs="Arial"/>
                <w:bCs/>
                <w:i/>
                <w:iCs/>
                <w:sz w:val="20"/>
                <w:szCs w:val="20"/>
              </w:rPr>
            </w:pPr>
            <w:r w:rsidRPr="00166665">
              <w:rPr>
                <w:rFonts w:ascii="Arial" w:eastAsia="Verdana" w:hAnsi="Arial" w:cs="Arial"/>
                <w:bCs/>
                <w:i/>
                <w:iCs/>
                <w:sz w:val="20"/>
                <w:szCs w:val="20"/>
              </w:rPr>
              <w:t>(</w:t>
            </w:r>
            <w:proofErr w:type="gramStart"/>
            <w:r w:rsidRPr="00166665">
              <w:rPr>
                <w:rFonts w:ascii="Arial" w:eastAsia="Verdana" w:hAnsi="Arial" w:cs="Arial"/>
                <w:bCs/>
                <w:i/>
                <w:iCs/>
                <w:sz w:val="20"/>
                <w:szCs w:val="20"/>
              </w:rPr>
              <w:t>include</w:t>
            </w:r>
            <w:proofErr w:type="gramEnd"/>
            <w:r w:rsidRPr="00166665">
              <w:rPr>
                <w:rFonts w:ascii="Arial" w:eastAsia="Verdana" w:hAnsi="Arial" w:cs="Arial"/>
                <w:bCs/>
                <w:i/>
                <w:iCs/>
                <w:sz w:val="20"/>
                <w:szCs w:val="20"/>
              </w:rPr>
              <w:t xml:space="preserve"> description, make and model as applicable)</w:t>
            </w:r>
          </w:p>
        </w:tc>
        <w:tc>
          <w:tcPr>
            <w:tcW w:w="1417" w:type="dxa"/>
            <w:tcBorders>
              <w:top w:val="single" w:sz="4" w:space="0" w:color="000000" w:themeColor="text1"/>
              <w:left w:val="single" w:sz="4" w:space="0" w:color="000000" w:themeColor="text1"/>
              <w:bottom w:val="single" w:sz="17" w:space="0" w:color="000000" w:themeColor="text1"/>
              <w:right w:val="single" w:sz="4" w:space="0" w:color="000000" w:themeColor="text1"/>
            </w:tcBorders>
          </w:tcPr>
          <w:p w14:paraId="699DABB4" w14:textId="77777777" w:rsidR="00C53FD0" w:rsidRPr="00166665" w:rsidRDefault="00C53FD0" w:rsidP="000D476B">
            <w:pPr>
              <w:ind w:right="63"/>
              <w:jc w:val="both"/>
              <w:rPr>
                <w:rFonts w:ascii="Arial" w:hAnsi="Arial" w:cs="Arial"/>
                <w:b/>
                <w:bCs/>
                <w:i/>
                <w:iCs/>
                <w:sz w:val="20"/>
                <w:szCs w:val="20"/>
              </w:rPr>
            </w:pPr>
            <w:r w:rsidRPr="00166665">
              <w:rPr>
                <w:rFonts w:ascii="Arial" w:hAnsi="Arial" w:cs="Arial"/>
                <w:b/>
                <w:bCs/>
                <w:i/>
                <w:iCs/>
                <w:sz w:val="20"/>
                <w:szCs w:val="20"/>
              </w:rPr>
              <w:t>Number of items</w:t>
            </w:r>
          </w:p>
        </w:tc>
        <w:tc>
          <w:tcPr>
            <w:tcW w:w="2127" w:type="dxa"/>
            <w:tcBorders>
              <w:top w:val="single" w:sz="4" w:space="0" w:color="000000" w:themeColor="text1"/>
              <w:left w:val="single" w:sz="4" w:space="0" w:color="000000" w:themeColor="text1"/>
              <w:bottom w:val="single" w:sz="17" w:space="0" w:color="000000" w:themeColor="text1"/>
              <w:right w:val="single" w:sz="4" w:space="0" w:color="000000" w:themeColor="text1"/>
            </w:tcBorders>
          </w:tcPr>
          <w:p w14:paraId="60D114B2" w14:textId="77777777" w:rsidR="00C53FD0" w:rsidRPr="00166665" w:rsidRDefault="00C53FD0" w:rsidP="000D476B">
            <w:pPr>
              <w:rPr>
                <w:rFonts w:ascii="Arial" w:hAnsi="Arial" w:cs="Arial"/>
                <w:i/>
                <w:iCs/>
                <w:sz w:val="20"/>
                <w:szCs w:val="20"/>
              </w:rPr>
            </w:pPr>
            <w:r w:rsidRPr="00166665">
              <w:rPr>
                <w:rFonts w:ascii="Arial" w:eastAsia="Verdana" w:hAnsi="Arial" w:cs="Arial"/>
                <w:b/>
                <w:i/>
                <w:iCs/>
                <w:sz w:val="20"/>
                <w:szCs w:val="20"/>
              </w:rPr>
              <w:t>Purpose of use</w:t>
            </w:r>
          </w:p>
        </w:tc>
        <w:tc>
          <w:tcPr>
            <w:tcW w:w="2409" w:type="dxa"/>
            <w:tcBorders>
              <w:top w:val="single" w:sz="4" w:space="0" w:color="000000" w:themeColor="text1"/>
              <w:left w:val="single" w:sz="4" w:space="0" w:color="000000" w:themeColor="text1"/>
              <w:bottom w:val="single" w:sz="17" w:space="0" w:color="000000" w:themeColor="text1"/>
              <w:right w:val="single" w:sz="4" w:space="0" w:color="000000" w:themeColor="text1"/>
            </w:tcBorders>
          </w:tcPr>
          <w:p w14:paraId="5013D79D" w14:textId="77777777" w:rsidR="00C53FD0" w:rsidRPr="00166665" w:rsidRDefault="00C53FD0" w:rsidP="000D476B">
            <w:pPr>
              <w:rPr>
                <w:rFonts w:ascii="Arial" w:hAnsi="Arial" w:cs="Arial"/>
                <w:b/>
                <w:bCs/>
                <w:i/>
                <w:iCs/>
                <w:sz w:val="20"/>
                <w:szCs w:val="20"/>
              </w:rPr>
            </w:pPr>
            <w:r w:rsidRPr="00166665">
              <w:rPr>
                <w:rFonts w:ascii="Arial" w:hAnsi="Arial" w:cs="Arial"/>
                <w:b/>
                <w:bCs/>
                <w:i/>
                <w:iCs/>
                <w:sz w:val="20"/>
                <w:szCs w:val="20"/>
              </w:rPr>
              <w:t xml:space="preserve">Identification/ Serial Numbers </w:t>
            </w:r>
          </w:p>
          <w:p w14:paraId="244391E8"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w:t>
            </w:r>
            <w:proofErr w:type="gramStart"/>
            <w:r w:rsidRPr="00166665">
              <w:rPr>
                <w:rFonts w:ascii="Arial" w:hAnsi="Arial" w:cs="Arial"/>
                <w:i/>
                <w:iCs/>
                <w:sz w:val="20"/>
                <w:szCs w:val="20"/>
              </w:rPr>
              <w:t>as</w:t>
            </w:r>
            <w:proofErr w:type="gramEnd"/>
            <w:r w:rsidRPr="00166665">
              <w:rPr>
                <w:rFonts w:ascii="Arial" w:hAnsi="Arial" w:cs="Arial"/>
                <w:i/>
                <w:iCs/>
                <w:sz w:val="20"/>
                <w:szCs w:val="20"/>
              </w:rPr>
              <w:t xml:space="preserve"> applicable)</w:t>
            </w:r>
          </w:p>
        </w:tc>
      </w:tr>
      <w:tr w:rsidR="00C53FD0" w:rsidRPr="00166665" w14:paraId="2AB40E2D"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242CB9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Cisco NCS 55A1</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789C297" w14:textId="77777777" w:rsidR="00C53FD0" w:rsidRPr="00166665" w:rsidRDefault="00C53FD0" w:rsidP="000D476B">
            <w:pPr>
              <w:rPr>
                <w:rFonts w:ascii="Arial" w:hAnsi="Arial" w:cs="Arial"/>
                <w:i/>
                <w:iCs/>
                <w:sz w:val="20"/>
                <w:szCs w:val="20"/>
              </w:rPr>
            </w:pPr>
            <w:r w:rsidRPr="00166665">
              <w:rPr>
                <w:rFonts w:ascii="Arial" w:eastAsia="Verdana" w:hAnsi="Arial" w:cs="Arial"/>
                <w:i/>
                <w:iCs/>
                <w:sz w:val="20"/>
                <w:szCs w:val="20"/>
              </w:rPr>
              <w:t xml:space="preserve"> 4</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AFAE70E" w14:textId="77777777" w:rsidR="00C53FD0" w:rsidRPr="00166665" w:rsidRDefault="00C53FD0" w:rsidP="000D476B">
            <w:pPr>
              <w:rPr>
                <w:rFonts w:ascii="Arial" w:hAnsi="Arial" w:cs="Arial"/>
                <w:i/>
                <w:iCs/>
                <w:sz w:val="20"/>
                <w:szCs w:val="20"/>
              </w:rPr>
            </w:pPr>
            <w:r w:rsidRPr="00166665">
              <w:rPr>
                <w:rFonts w:ascii="Arial" w:eastAsia="Verdana" w:hAnsi="Arial" w:cs="Arial"/>
                <w:i/>
                <w:iCs/>
                <w:sz w:val="20"/>
                <w:szCs w:val="20"/>
              </w:rPr>
              <w:t xml:space="preserve"> DC Edge Router</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67EF9E0" w14:textId="77777777" w:rsidR="00C53FD0" w:rsidRPr="00166665" w:rsidRDefault="00C53FD0" w:rsidP="000D476B">
            <w:pPr>
              <w:rPr>
                <w:rFonts w:ascii="Arial" w:hAnsi="Arial" w:cs="Arial"/>
                <w:i/>
                <w:iCs/>
                <w:sz w:val="20"/>
                <w:szCs w:val="20"/>
              </w:rPr>
            </w:pPr>
            <w:r w:rsidRPr="00166665">
              <w:rPr>
                <w:rFonts w:ascii="Arial" w:eastAsia="Verdana" w:hAnsi="Arial" w:cs="Arial"/>
                <w:i/>
                <w:iCs/>
                <w:sz w:val="20"/>
                <w:szCs w:val="20"/>
              </w:rPr>
              <w:t xml:space="preserve"> </w:t>
            </w:r>
          </w:p>
          <w:p w14:paraId="4044CE88" w14:textId="77777777" w:rsidR="00C53FD0" w:rsidRPr="00166665" w:rsidRDefault="00C53FD0" w:rsidP="000D476B">
            <w:pPr>
              <w:rPr>
                <w:rFonts w:ascii="Arial" w:hAnsi="Arial" w:cs="Arial"/>
                <w:i/>
                <w:iCs/>
                <w:sz w:val="20"/>
                <w:szCs w:val="20"/>
              </w:rPr>
            </w:pPr>
            <w:r w:rsidRPr="00166665">
              <w:rPr>
                <w:rFonts w:ascii="Arial" w:eastAsia="Verdana" w:hAnsi="Arial" w:cs="Arial"/>
                <w:i/>
                <w:iCs/>
                <w:sz w:val="20"/>
                <w:szCs w:val="20"/>
              </w:rPr>
              <w:t xml:space="preserve"> </w:t>
            </w:r>
          </w:p>
        </w:tc>
      </w:tr>
      <w:tr w:rsidR="00C53FD0" w:rsidRPr="00166665" w14:paraId="422B7951"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89094D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Cisco NCS 540</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DABA4D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8</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CDEF184"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Remote WAN router</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FE43E02" w14:textId="77777777" w:rsidR="00C53FD0" w:rsidRPr="00166665" w:rsidRDefault="00C53FD0" w:rsidP="000D476B">
            <w:pPr>
              <w:rPr>
                <w:rFonts w:ascii="Arial" w:eastAsia="Verdana" w:hAnsi="Arial" w:cs="Arial"/>
                <w:i/>
                <w:iCs/>
                <w:sz w:val="20"/>
                <w:szCs w:val="20"/>
                <w:highlight w:val="yellow"/>
              </w:rPr>
            </w:pPr>
          </w:p>
        </w:tc>
      </w:tr>
      <w:tr w:rsidR="00C53FD0" w:rsidRPr="00166665" w14:paraId="5CD86F50"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8D9E0CF"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Cisco MDS 9710</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9922A8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77597BD"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SAN Switch</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54B17AE" w14:textId="77777777" w:rsidR="00C53FD0" w:rsidRPr="00166665" w:rsidRDefault="00C53FD0" w:rsidP="000D476B">
            <w:pPr>
              <w:rPr>
                <w:rFonts w:ascii="Arial" w:eastAsia="Verdana" w:hAnsi="Arial" w:cs="Arial"/>
                <w:i/>
                <w:iCs/>
                <w:sz w:val="20"/>
                <w:szCs w:val="20"/>
              </w:rPr>
            </w:pPr>
          </w:p>
        </w:tc>
      </w:tr>
      <w:tr w:rsidR="00C53FD0" w:rsidRPr="00166665" w14:paraId="00D4D32B"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63328B3"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Cisco APIC Appliance (UCS220 server)</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3AD56A9"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20</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BE2602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ACI L3 Cluster</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68F419C" w14:textId="77777777" w:rsidR="00C53FD0" w:rsidRPr="00166665" w:rsidRDefault="00C53FD0" w:rsidP="000D476B">
            <w:pPr>
              <w:rPr>
                <w:rFonts w:ascii="Arial" w:eastAsia="Verdana" w:hAnsi="Arial" w:cs="Arial"/>
                <w:i/>
                <w:iCs/>
                <w:sz w:val="20"/>
                <w:szCs w:val="20"/>
              </w:rPr>
            </w:pPr>
          </w:p>
        </w:tc>
      </w:tr>
      <w:tr w:rsidR="00C53FD0" w:rsidRPr="00166665" w14:paraId="0C2F81A3"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FB5D5C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Cisco Hyperflex HX220c</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DD67C1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6</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862A904"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Compute</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BFAB646" w14:textId="77777777" w:rsidR="00C53FD0" w:rsidRPr="00166665" w:rsidRDefault="00C53FD0" w:rsidP="000D476B">
            <w:pPr>
              <w:rPr>
                <w:rFonts w:ascii="Arial" w:eastAsia="Verdana" w:hAnsi="Arial" w:cs="Arial"/>
                <w:i/>
                <w:iCs/>
                <w:sz w:val="20"/>
                <w:szCs w:val="20"/>
              </w:rPr>
            </w:pPr>
          </w:p>
        </w:tc>
      </w:tr>
      <w:tr w:rsidR="00C53FD0" w:rsidRPr="00166665" w14:paraId="63395172"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58CF467"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Cisco Multi-Site Orchestrator (MSO)</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B88D10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6</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AC71F68"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Management</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40C9EEA" w14:textId="77777777" w:rsidR="00C53FD0" w:rsidRPr="00166665" w:rsidRDefault="00C53FD0" w:rsidP="000D476B">
            <w:pPr>
              <w:rPr>
                <w:rFonts w:ascii="Arial" w:eastAsia="Verdana" w:hAnsi="Arial" w:cs="Arial"/>
                <w:i/>
                <w:iCs/>
                <w:sz w:val="20"/>
                <w:szCs w:val="20"/>
              </w:rPr>
            </w:pPr>
          </w:p>
        </w:tc>
      </w:tr>
      <w:tr w:rsidR="00C53FD0" w:rsidRPr="00166665" w14:paraId="207B413A"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8F66579"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Cisco Nexus 9508</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F9F8B6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6</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6B2D97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Spine Switch</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64D59CF" w14:textId="77777777" w:rsidR="00C53FD0" w:rsidRPr="00166665" w:rsidRDefault="00C53FD0" w:rsidP="000D476B">
            <w:pPr>
              <w:rPr>
                <w:rFonts w:ascii="Arial" w:eastAsia="Verdana" w:hAnsi="Arial" w:cs="Arial"/>
                <w:i/>
                <w:iCs/>
                <w:sz w:val="20"/>
                <w:szCs w:val="20"/>
              </w:rPr>
            </w:pPr>
          </w:p>
        </w:tc>
      </w:tr>
      <w:tr w:rsidR="00C53FD0" w:rsidRPr="00166665" w14:paraId="18BC79CC"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3821E8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Cisco Nexus 9332C</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1DA977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8</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9F2337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Spine Switch</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BADE1CE" w14:textId="77777777" w:rsidR="00C53FD0" w:rsidRPr="00166665" w:rsidRDefault="00C53FD0" w:rsidP="000D476B">
            <w:pPr>
              <w:rPr>
                <w:rFonts w:ascii="Arial" w:eastAsia="Verdana" w:hAnsi="Arial" w:cs="Arial"/>
                <w:i/>
                <w:iCs/>
                <w:sz w:val="20"/>
                <w:szCs w:val="20"/>
              </w:rPr>
            </w:pPr>
          </w:p>
        </w:tc>
      </w:tr>
      <w:tr w:rsidR="00C53FD0" w:rsidRPr="00166665" w14:paraId="20CE5205"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1995869"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Cisco Nexus 9504 ISN</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2E16AB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CC6EB2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Super Spine Switch</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637413B" w14:textId="77777777" w:rsidR="00C53FD0" w:rsidRPr="00166665" w:rsidRDefault="00C53FD0" w:rsidP="000D476B">
            <w:pPr>
              <w:rPr>
                <w:rFonts w:ascii="Arial" w:eastAsia="Verdana" w:hAnsi="Arial" w:cs="Arial"/>
                <w:i/>
                <w:iCs/>
                <w:sz w:val="20"/>
                <w:szCs w:val="20"/>
              </w:rPr>
            </w:pPr>
          </w:p>
        </w:tc>
      </w:tr>
      <w:tr w:rsidR="00C53FD0" w:rsidRPr="00166665" w14:paraId="5B62E521"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62D5EA3"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Cisco Nexus 9504</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5945E5E"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7F51D1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OOB Core</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16A704C" w14:textId="77777777" w:rsidR="00C53FD0" w:rsidRPr="00166665" w:rsidRDefault="00C53FD0" w:rsidP="000D476B">
            <w:pPr>
              <w:rPr>
                <w:rFonts w:ascii="Arial" w:eastAsia="Verdana" w:hAnsi="Arial" w:cs="Arial"/>
                <w:i/>
                <w:iCs/>
                <w:sz w:val="20"/>
                <w:szCs w:val="20"/>
              </w:rPr>
            </w:pPr>
          </w:p>
        </w:tc>
      </w:tr>
      <w:tr w:rsidR="00C53FD0" w:rsidRPr="00166665" w14:paraId="2DB20DA3"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BFD14CD"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Cisco Nexus 93180YC-FX</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713F94E"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116(128)</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44FF07E"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Leaf Switch, NSX router connection</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9C9CC5E" w14:textId="77777777" w:rsidR="00C53FD0" w:rsidRPr="00166665" w:rsidRDefault="00C53FD0" w:rsidP="000D476B">
            <w:pPr>
              <w:rPr>
                <w:rFonts w:ascii="Arial" w:eastAsia="Verdana" w:hAnsi="Arial" w:cs="Arial"/>
                <w:i/>
                <w:iCs/>
                <w:sz w:val="20"/>
                <w:szCs w:val="20"/>
              </w:rPr>
            </w:pPr>
          </w:p>
        </w:tc>
      </w:tr>
      <w:tr w:rsidR="00C53FD0" w:rsidRPr="00166665" w14:paraId="07BE9A2C"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2C1F7BD"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Cisco Nexus 9348GC-FXP</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649D91E"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108</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A1B040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OOB Switch</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975655E" w14:textId="77777777" w:rsidR="00C53FD0" w:rsidRPr="00166665" w:rsidRDefault="00C53FD0" w:rsidP="000D476B">
            <w:pPr>
              <w:rPr>
                <w:rFonts w:ascii="Arial" w:eastAsia="Verdana" w:hAnsi="Arial" w:cs="Arial"/>
                <w:i/>
                <w:iCs/>
                <w:sz w:val="20"/>
                <w:szCs w:val="20"/>
              </w:rPr>
            </w:pPr>
          </w:p>
        </w:tc>
      </w:tr>
      <w:tr w:rsidR="00C53FD0" w:rsidRPr="00166665" w14:paraId="73AD19BE"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62D475A"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Cisco Firepower 9300</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2171879"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B128617"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Chassis</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0AEF9AD" w14:textId="77777777" w:rsidR="00C53FD0" w:rsidRPr="00166665" w:rsidRDefault="00C53FD0" w:rsidP="000D476B">
            <w:pPr>
              <w:rPr>
                <w:rFonts w:ascii="Arial" w:eastAsia="Verdana" w:hAnsi="Arial" w:cs="Arial"/>
                <w:i/>
                <w:iCs/>
                <w:sz w:val="20"/>
                <w:szCs w:val="20"/>
              </w:rPr>
            </w:pPr>
          </w:p>
        </w:tc>
      </w:tr>
      <w:tr w:rsidR="00C53FD0" w:rsidRPr="00166665" w14:paraId="54896287"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2C17B3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Cisco Firepower Management Centre 2600</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39FF9AA"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B39DA0F"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Management</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56F291F" w14:textId="77777777" w:rsidR="00C53FD0" w:rsidRPr="00166665" w:rsidRDefault="00C53FD0" w:rsidP="000D476B">
            <w:pPr>
              <w:rPr>
                <w:rFonts w:ascii="Arial" w:eastAsia="Verdana" w:hAnsi="Arial" w:cs="Arial"/>
                <w:i/>
                <w:iCs/>
                <w:sz w:val="20"/>
                <w:szCs w:val="20"/>
              </w:rPr>
            </w:pPr>
          </w:p>
        </w:tc>
      </w:tr>
      <w:tr w:rsidR="00C53FD0" w:rsidRPr="00166665" w14:paraId="39593C0A"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595ADD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lastRenderedPageBreak/>
              <w:t>Cisco Firepower Threat Defence (FTD)</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A3AA79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16</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73BEBDA"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Firewall</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0D3D32C" w14:textId="77777777" w:rsidR="00C53FD0" w:rsidRPr="00166665" w:rsidRDefault="00C53FD0" w:rsidP="000D476B">
            <w:pPr>
              <w:rPr>
                <w:rFonts w:ascii="Arial" w:eastAsia="Verdana" w:hAnsi="Arial" w:cs="Arial"/>
                <w:i/>
                <w:iCs/>
                <w:sz w:val="20"/>
                <w:szCs w:val="20"/>
              </w:rPr>
            </w:pPr>
          </w:p>
        </w:tc>
      </w:tr>
      <w:tr w:rsidR="00C53FD0" w:rsidRPr="00166665" w14:paraId="413BBA72"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F612B8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Cisco Integrated Management Controller (CIMC)</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DD03A27"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8</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853CF0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UCS Management</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239DF63" w14:textId="77777777" w:rsidR="00C53FD0" w:rsidRPr="00166665" w:rsidRDefault="00C53FD0" w:rsidP="000D476B">
            <w:pPr>
              <w:rPr>
                <w:rFonts w:ascii="Arial" w:eastAsia="Verdana" w:hAnsi="Arial" w:cs="Arial"/>
                <w:i/>
                <w:iCs/>
                <w:sz w:val="20"/>
                <w:szCs w:val="20"/>
              </w:rPr>
            </w:pPr>
          </w:p>
        </w:tc>
      </w:tr>
      <w:tr w:rsidR="00C53FD0" w:rsidRPr="00166665" w14:paraId="47B82DEA"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B6C8D51" w14:textId="77777777" w:rsidR="00C53FD0" w:rsidRPr="00166665" w:rsidRDefault="00C53FD0" w:rsidP="000D476B">
            <w:pPr>
              <w:rPr>
                <w:rFonts w:ascii="Arial" w:eastAsia="Times New Roman" w:hAnsi="Arial" w:cs="Arial"/>
                <w:sz w:val="20"/>
                <w:szCs w:val="20"/>
              </w:rPr>
            </w:pPr>
            <w:proofErr w:type="spellStart"/>
            <w:r w:rsidRPr="00166665">
              <w:rPr>
                <w:rFonts w:ascii="Arial" w:eastAsia="Verdana" w:hAnsi="Arial" w:cs="Arial"/>
                <w:i/>
                <w:iCs/>
                <w:sz w:val="20"/>
                <w:szCs w:val="20"/>
              </w:rPr>
              <w:t>Radware</w:t>
            </w:r>
            <w:proofErr w:type="spellEnd"/>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E763776"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83A9E4F"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DDoS</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BD7FAAB" w14:textId="77777777" w:rsidR="00C53FD0" w:rsidRPr="00166665" w:rsidRDefault="00C53FD0" w:rsidP="000D476B">
            <w:pPr>
              <w:rPr>
                <w:rFonts w:ascii="Arial" w:eastAsia="Verdana" w:hAnsi="Arial" w:cs="Arial"/>
                <w:i/>
                <w:iCs/>
                <w:sz w:val="20"/>
                <w:szCs w:val="20"/>
              </w:rPr>
            </w:pPr>
          </w:p>
        </w:tc>
      </w:tr>
      <w:tr w:rsidR="00C53FD0" w:rsidRPr="00166665" w14:paraId="49CB0222"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FC641E5" w14:textId="77777777" w:rsidR="00C53FD0" w:rsidRPr="00166665" w:rsidRDefault="00C53FD0" w:rsidP="000D476B">
            <w:pPr>
              <w:rPr>
                <w:rFonts w:ascii="Arial" w:eastAsia="Verdana" w:hAnsi="Arial" w:cs="Arial"/>
                <w:i/>
                <w:iCs/>
                <w:sz w:val="20"/>
                <w:szCs w:val="20"/>
              </w:rPr>
            </w:pPr>
            <w:proofErr w:type="spellStart"/>
            <w:r w:rsidRPr="00166665">
              <w:rPr>
                <w:rFonts w:ascii="Arial" w:eastAsia="Verdana" w:hAnsi="Arial" w:cs="Arial"/>
                <w:i/>
                <w:iCs/>
                <w:sz w:val="20"/>
                <w:szCs w:val="20"/>
              </w:rPr>
              <w:t>TimeTools</w:t>
            </w:r>
            <w:proofErr w:type="spellEnd"/>
            <w:r w:rsidRPr="00166665">
              <w:rPr>
                <w:rFonts w:ascii="Arial" w:eastAsia="Verdana" w:hAnsi="Arial" w:cs="Arial"/>
                <w:i/>
                <w:iCs/>
                <w:sz w:val="20"/>
                <w:szCs w:val="20"/>
              </w:rPr>
              <w:t xml:space="preserve"> T300</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3DAF0DD"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1574619"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NTP</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C28F1A3" w14:textId="77777777" w:rsidR="00C53FD0" w:rsidRPr="00166665" w:rsidRDefault="00C53FD0" w:rsidP="000D476B">
            <w:pPr>
              <w:rPr>
                <w:rFonts w:ascii="Arial" w:eastAsia="Verdana" w:hAnsi="Arial" w:cs="Arial"/>
                <w:i/>
                <w:iCs/>
                <w:sz w:val="20"/>
                <w:szCs w:val="20"/>
              </w:rPr>
            </w:pPr>
          </w:p>
        </w:tc>
      </w:tr>
      <w:tr w:rsidR="00C53FD0" w:rsidRPr="00166665" w14:paraId="4C4FD81C"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C1DBF6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Dell EMC </w:t>
            </w:r>
            <w:proofErr w:type="spellStart"/>
            <w:r w:rsidRPr="00166665">
              <w:rPr>
                <w:rFonts w:ascii="Arial" w:eastAsia="Verdana" w:hAnsi="Arial" w:cs="Arial"/>
                <w:i/>
                <w:iCs/>
                <w:sz w:val="20"/>
                <w:szCs w:val="20"/>
              </w:rPr>
              <w:t>VxRail</w:t>
            </w:r>
            <w:proofErr w:type="spellEnd"/>
            <w:r w:rsidRPr="00166665">
              <w:rPr>
                <w:rFonts w:ascii="Arial" w:eastAsia="Verdana" w:hAnsi="Arial" w:cs="Arial"/>
                <w:i/>
                <w:iCs/>
                <w:sz w:val="20"/>
                <w:szCs w:val="20"/>
              </w:rPr>
              <w:t xml:space="preserve"> P570F</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C43845D"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64(72)</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539D05A"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Compute</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5FB148A" w14:textId="77777777" w:rsidR="00C53FD0" w:rsidRPr="00166665" w:rsidRDefault="00C53FD0" w:rsidP="000D476B">
            <w:pPr>
              <w:rPr>
                <w:rFonts w:ascii="Arial" w:eastAsia="Verdana" w:hAnsi="Arial" w:cs="Arial"/>
                <w:i/>
                <w:iCs/>
                <w:sz w:val="20"/>
                <w:szCs w:val="20"/>
              </w:rPr>
            </w:pPr>
          </w:p>
        </w:tc>
      </w:tr>
      <w:tr w:rsidR="00C53FD0" w:rsidRPr="00166665" w14:paraId="4A00BD1C"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E228C2E"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Dell EMC </w:t>
            </w:r>
            <w:proofErr w:type="spellStart"/>
            <w:r w:rsidRPr="00166665">
              <w:rPr>
                <w:rFonts w:ascii="Arial" w:eastAsia="Verdana" w:hAnsi="Arial" w:cs="Arial"/>
                <w:i/>
                <w:iCs/>
                <w:sz w:val="20"/>
                <w:szCs w:val="20"/>
              </w:rPr>
              <w:t>VxRail</w:t>
            </w:r>
            <w:proofErr w:type="spellEnd"/>
            <w:r w:rsidRPr="00166665">
              <w:rPr>
                <w:rFonts w:ascii="Arial" w:eastAsia="Verdana" w:hAnsi="Arial" w:cs="Arial"/>
                <w:i/>
                <w:iCs/>
                <w:sz w:val="20"/>
                <w:szCs w:val="20"/>
              </w:rPr>
              <w:t xml:space="preserve"> E560F</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E688AA9"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B9C805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Compute</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DF34DEA" w14:textId="77777777" w:rsidR="00C53FD0" w:rsidRPr="00166665" w:rsidRDefault="00C53FD0" w:rsidP="000D476B">
            <w:pPr>
              <w:rPr>
                <w:rFonts w:ascii="Arial" w:eastAsia="Verdana" w:hAnsi="Arial" w:cs="Arial"/>
                <w:i/>
                <w:iCs/>
                <w:sz w:val="20"/>
                <w:szCs w:val="20"/>
              </w:rPr>
            </w:pPr>
          </w:p>
        </w:tc>
      </w:tr>
      <w:tr w:rsidR="00C53FD0" w:rsidRPr="00166665" w14:paraId="477B2245"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963B05E"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PowerEdge R640</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071CDC8"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5</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8F03E0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Compute</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387B016" w14:textId="77777777" w:rsidR="00C53FD0" w:rsidRPr="00166665" w:rsidRDefault="00C53FD0" w:rsidP="000D476B">
            <w:pPr>
              <w:rPr>
                <w:rFonts w:ascii="Arial" w:eastAsia="Verdana" w:hAnsi="Arial" w:cs="Arial"/>
                <w:i/>
                <w:iCs/>
                <w:sz w:val="20"/>
                <w:szCs w:val="20"/>
              </w:rPr>
            </w:pPr>
          </w:p>
        </w:tc>
      </w:tr>
      <w:tr w:rsidR="00C53FD0" w:rsidRPr="00166665" w14:paraId="4C6CF9AB"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9DE889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VMware vCenter Server Appliance</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92A9BF6"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2AE126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Management</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B057BD8" w14:textId="77777777" w:rsidR="00C53FD0" w:rsidRPr="00166665" w:rsidRDefault="00C53FD0" w:rsidP="000D476B">
            <w:pPr>
              <w:rPr>
                <w:rFonts w:ascii="Arial" w:eastAsia="Verdana" w:hAnsi="Arial" w:cs="Arial"/>
                <w:i/>
                <w:iCs/>
                <w:sz w:val="20"/>
                <w:szCs w:val="20"/>
              </w:rPr>
            </w:pPr>
          </w:p>
        </w:tc>
      </w:tr>
      <w:tr w:rsidR="00C53FD0" w:rsidRPr="00166665" w14:paraId="221F42DF"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BB2EAC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VMware NSX-T Manager Appliance</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9E52C47"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6</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7E0A026"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Management</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F6C8B0D" w14:textId="77777777" w:rsidR="00C53FD0" w:rsidRPr="00166665" w:rsidRDefault="00C53FD0" w:rsidP="000D476B">
            <w:pPr>
              <w:rPr>
                <w:rFonts w:ascii="Arial" w:eastAsia="Verdana" w:hAnsi="Arial" w:cs="Arial"/>
                <w:i/>
                <w:iCs/>
                <w:sz w:val="20"/>
                <w:szCs w:val="20"/>
              </w:rPr>
            </w:pPr>
          </w:p>
        </w:tc>
      </w:tr>
      <w:tr w:rsidR="00C53FD0" w:rsidRPr="00166665" w14:paraId="0D5C5840"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45533FD"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VMware NSX-T Edge Appliance</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3B8359E"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18</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CEDDDE3"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Edge Gateway</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C665875" w14:textId="77777777" w:rsidR="00C53FD0" w:rsidRPr="00166665" w:rsidRDefault="00C53FD0" w:rsidP="000D476B">
            <w:pPr>
              <w:rPr>
                <w:rFonts w:ascii="Arial" w:eastAsia="Verdana" w:hAnsi="Arial" w:cs="Arial"/>
                <w:i/>
                <w:iCs/>
                <w:sz w:val="20"/>
                <w:szCs w:val="20"/>
              </w:rPr>
            </w:pPr>
          </w:p>
        </w:tc>
      </w:tr>
      <w:tr w:rsidR="00C53FD0" w:rsidRPr="00166665" w14:paraId="62D4E72B"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AB23743"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Dell </w:t>
            </w:r>
            <w:proofErr w:type="spellStart"/>
            <w:r w:rsidRPr="00166665">
              <w:rPr>
                <w:rFonts w:ascii="Arial" w:eastAsia="Verdana" w:hAnsi="Arial" w:cs="Arial"/>
                <w:i/>
                <w:iCs/>
                <w:sz w:val="20"/>
                <w:szCs w:val="20"/>
              </w:rPr>
              <w:t>VxRail</w:t>
            </w:r>
            <w:proofErr w:type="spellEnd"/>
            <w:r w:rsidRPr="00166665">
              <w:rPr>
                <w:rFonts w:ascii="Arial" w:eastAsia="Verdana" w:hAnsi="Arial" w:cs="Arial"/>
                <w:i/>
                <w:iCs/>
                <w:sz w:val="20"/>
                <w:szCs w:val="20"/>
              </w:rPr>
              <w:t xml:space="preserve"> Secure Remote Services (SRS) Appliance</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1FEDF08"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9BEF9A3"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Management</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E7BEA36" w14:textId="77777777" w:rsidR="00C53FD0" w:rsidRPr="00166665" w:rsidRDefault="00C53FD0" w:rsidP="000D476B">
            <w:pPr>
              <w:rPr>
                <w:rFonts w:ascii="Arial" w:eastAsia="Verdana" w:hAnsi="Arial" w:cs="Arial"/>
                <w:i/>
                <w:iCs/>
                <w:sz w:val="20"/>
                <w:szCs w:val="20"/>
              </w:rPr>
            </w:pPr>
          </w:p>
        </w:tc>
      </w:tr>
      <w:tr w:rsidR="00C53FD0" w:rsidRPr="00166665" w14:paraId="0C4E67AB"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CB53663"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VMware Cloud Builder Appliance</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EF43EAA"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B1503A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Management</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0392BB3" w14:textId="77777777" w:rsidR="00C53FD0" w:rsidRPr="00166665" w:rsidRDefault="00C53FD0" w:rsidP="000D476B">
            <w:pPr>
              <w:rPr>
                <w:rFonts w:ascii="Arial" w:eastAsia="Verdana" w:hAnsi="Arial" w:cs="Arial"/>
                <w:i/>
                <w:iCs/>
                <w:sz w:val="20"/>
                <w:szCs w:val="20"/>
              </w:rPr>
            </w:pPr>
          </w:p>
        </w:tc>
      </w:tr>
      <w:tr w:rsidR="00C53FD0" w:rsidRPr="00166665" w14:paraId="1CA62FF8"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6EBC557"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VMware SDDC Manager Appliance</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DFE799E"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68C6229"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Management</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29EAED7" w14:textId="77777777" w:rsidR="00C53FD0" w:rsidRPr="00166665" w:rsidRDefault="00C53FD0" w:rsidP="000D476B">
            <w:pPr>
              <w:rPr>
                <w:rFonts w:ascii="Arial" w:eastAsia="Verdana" w:hAnsi="Arial" w:cs="Arial"/>
                <w:i/>
                <w:iCs/>
                <w:sz w:val="20"/>
                <w:szCs w:val="20"/>
              </w:rPr>
            </w:pPr>
          </w:p>
        </w:tc>
      </w:tr>
      <w:tr w:rsidR="00C53FD0" w:rsidRPr="00166665" w14:paraId="4D4ED43B"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E8B09F9"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VMware </w:t>
            </w:r>
            <w:proofErr w:type="spellStart"/>
            <w:r w:rsidRPr="00166665">
              <w:rPr>
                <w:rFonts w:ascii="Arial" w:eastAsia="Verdana" w:hAnsi="Arial" w:cs="Arial"/>
                <w:i/>
                <w:iCs/>
                <w:sz w:val="20"/>
                <w:szCs w:val="20"/>
              </w:rPr>
              <w:t>vRealize</w:t>
            </w:r>
            <w:proofErr w:type="spellEnd"/>
            <w:r w:rsidRPr="00166665">
              <w:rPr>
                <w:rFonts w:ascii="Arial" w:eastAsia="Verdana" w:hAnsi="Arial" w:cs="Arial"/>
                <w:i/>
                <w:iCs/>
                <w:sz w:val="20"/>
                <w:szCs w:val="20"/>
              </w:rPr>
              <w:t xml:space="preserve"> Lifecycle Manager Appliance</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70A6DE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625EABD"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Life Cycle Management</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7AB2FA0" w14:textId="77777777" w:rsidR="00C53FD0" w:rsidRPr="00166665" w:rsidRDefault="00C53FD0" w:rsidP="000D476B">
            <w:pPr>
              <w:rPr>
                <w:rFonts w:ascii="Arial" w:eastAsia="Verdana" w:hAnsi="Arial" w:cs="Arial"/>
                <w:i/>
                <w:iCs/>
                <w:sz w:val="20"/>
                <w:szCs w:val="20"/>
              </w:rPr>
            </w:pPr>
          </w:p>
        </w:tc>
      </w:tr>
      <w:tr w:rsidR="00C53FD0" w:rsidRPr="00166665" w14:paraId="6009D510"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430C3B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VMware </w:t>
            </w:r>
            <w:proofErr w:type="spellStart"/>
            <w:r w:rsidRPr="00166665">
              <w:rPr>
                <w:rFonts w:ascii="Arial" w:eastAsia="Verdana" w:hAnsi="Arial" w:cs="Arial"/>
                <w:i/>
                <w:iCs/>
                <w:sz w:val="20"/>
                <w:szCs w:val="20"/>
              </w:rPr>
              <w:t>vRealize</w:t>
            </w:r>
            <w:proofErr w:type="spellEnd"/>
            <w:r w:rsidRPr="00166665">
              <w:rPr>
                <w:rFonts w:ascii="Arial" w:eastAsia="Verdana" w:hAnsi="Arial" w:cs="Arial"/>
                <w:i/>
                <w:iCs/>
                <w:sz w:val="20"/>
                <w:szCs w:val="20"/>
              </w:rPr>
              <w:t xml:space="preserve"> Operations Manager Node Appliance</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DD1D724"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3</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63763B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Monitoring</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5F9ED1B" w14:textId="77777777" w:rsidR="00C53FD0" w:rsidRPr="00166665" w:rsidRDefault="00C53FD0" w:rsidP="000D476B">
            <w:pPr>
              <w:rPr>
                <w:rFonts w:ascii="Arial" w:eastAsia="Verdana" w:hAnsi="Arial" w:cs="Arial"/>
                <w:i/>
                <w:iCs/>
                <w:sz w:val="20"/>
                <w:szCs w:val="20"/>
              </w:rPr>
            </w:pPr>
          </w:p>
        </w:tc>
      </w:tr>
      <w:tr w:rsidR="00C53FD0" w:rsidRPr="00166665" w14:paraId="3F4C6364"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43F9FC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VMware </w:t>
            </w:r>
            <w:proofErr w:type="spellStart"/>
            <w:r w:rsidRPr="00166665">
              <w:rPr>
                <w:rFonts w:ascii="Arial" w:eastAsia="Verdana" w:hAnsi="Arial" w:cs="Arial"/>
                <w:i/>
                <w:iCs/>
                <w:sz w:val="20"/>
                <w:szCs w:val="20"/>
              </w:rPr>
              <w:t>vRealize</w:t>
            </w:r>
            <w:proofErr w:type="spellEnd"/>
            <w:r w:rsidRPr="00166665">
              <w:rPr>
                <w:rFonts w:ascii="Arial" w:eastAsia="Verdana" w:hAnsi="Arial" w:cs="Arial"/>
                <w:i/>
                <w:iCs/>
                <w:sz w:val="20"/>
                <w:szCs w:val="20"/>
              </w:rPr>
              <w:t xml:space="preserve"> Operations Collector Node Appliance</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7E079E4"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9B10476"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Monitoring</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704D42B" w14:textId="77777777" w:rsidR="00C53FD0" w:rsidRPr="00166665" w:rsidRDefault="00C53FD0" w:rsidP="000D476B">
            <w:pPr>
              <w:rPr>
                <w:rFonts w:ascii="Arial" w:eastAsia="Verdana" w:hAnsi="Arial" w:cs="Arial"/>
                <w:i/>
                <w:iCs/>
                <w:sz w:val="20"/>
                <w:szCs w:val="20"/>
              </w:rPr>
            </w:pPr>
          </w:p>
        </w:tc>
      </w:tr>
      <w:tr w:rsidR="00C53FD0" w:rsidRPr="00166665" w14:paraId="22181C41"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08DD123"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VMware </w:t>
            </w:r>
            <w:proofErr w:type="spellStart"/>
            <w:r w:rsidRPr="00166665">
              <w:rPr>
                <w:rFonts w:ascii="Arial" w:eastAsia="Verdana" w:hAnsi="Arial" w:cs="Arial"/>
                <w:i/>
                <w:iCs/>
                <w:sz w:val="20"/>
                <w:szCs w:val="20"/>
              </w:rPr>
              <w:t>vRealize</w:t>
            </w:r>
            <w:proofErr w:type="spellEnd"/>
            <w:r w:rsidRPr="00166665">
              <w:rPr>
                <w:rFonts w:ascii="Arial" w:eastAsia="Verdana" w:hAnsi="Arial" w:cs="Arial"/>
                <w:i/>
                <w:iCs/>
                <w:sz w:val="20"/>
                <w:szCs w:val="20"/>
              </w:rPr>
              <w:t xml:space="preserve"> Log Insight Node Appliance</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B9D157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3</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44C4EE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Log Management</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E7C500F" w14:textId="77777777" w:rsidR="00C53FD0" w:rsidRPr="00166665" w:rsidRDefault="00C53FD0" w:rsidP="000D476B">
            <w:pPr>
              <w:rPr>
                <w:rFonts w:ascii="Arial" w:eastAsia="Verdana" w:hAnsi="Arial" w:cs="Arial"/>
                <w:i/>
                <w:iCs/>
                <w:sz w:val="20"/>
                <w:szCs w:val="20"/>
              </w:rPr>
            </w:pPr>
          </w:p>
        </w:tc>
      </w:tr>
      <w:tr w:rsidR="00C53FD0" w:rsidRPr="00166665" w14:paraId="50D70CCB"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200A40F"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VMware </w:t>
            </w:r>
            <w:proofErr w:type="spellStart"/>
            <w:r w:rsidRPr="00166665">
              <w:rPr>
                <w:rFonts w:ascii="Arial" w:eastAsia="Verdana" w:hAnsi="Arial" w:cs="Arial"/>
                <w:i/>
                <w:iCs/>
                <w:sz w:val="20"/>
                <w:szCs w:val="20"/>
              </w:rPr>
              <w:t>vRealize</w:t>
            </w:r>
            <w:proofErr w:type="spellEnd"/>
            <w:r w:rsidRPr="00166665">
              <w:rPr>
                <w:rFonts w:ascii="Arial" w:eastAsia="Verdana" w:hAnsi="Arial" w:cs="Arial"/>
                <w:i/>
                <w:iCs/>
                <w:sz w:val="20"/>
                <w:szCs w:val="20"/>
              </w:rPr>
              <w:t xml:space="preserve"> Network Insight Appliance</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DA2A10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30756C4"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Monitoring</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B9867E8" w14:textId="77777777" w:rsidR="00C53FD0" w:rsidRPr="00166665" w:rsidRDefault="00C53FD0" w:rsidP="000D476B">
            <w:pPr>
              <w:rPr>
                <w:rFonts w:ascii="Arial" w:eastAsia="Verdana" w:hAnsi="Arial" w:cs="Arial"/>
                <w:i/>
                <w:iCs/>
                <w:sz w:val="20"/>
                <w:szCs w:val="20"/>
              </w:rPr>
            </w:pPr>
          </w:p>
        </w:tc>
      </w:tr>
      <w:tr w:rsidR="00C53FD0" w:rsidRPr="00166665" w14:paraId="0CC6F91F"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5129598" w14:textId="77777777" w:rsidR="00C53FD0" w:rsidRPr="00166665" w:rsidRDefault="00C53FD0" w:rsidP="000D476B">
            <w:pPr>
              <w:rPr>
                <w:rFonts w:ascii="Arial" w:eastAsia="Verdana" w:hAnsi="Arial" w:cs="Arial"/>
                <w:i/>
                <w:iCs/>
                <w:sz w:val="20"/>
                <w:szCs w:val="20"/>
              </w:rPr>
            </w:pPr>
            <w:proofErr w:type="spellStart"/>
            <w:r w:rsidRPr="00166665">
              <w:rPr>
                <w:rFonts w:ascii="Arial" w:eastAsia="Verdana" w:hAnsi="Arial" w:cs="Arial"/>
                <w:i/>
                <w:iCs/>
                <w:sz w:val="20"/>
                <w:szCs w:val="20"/>
              </w:rPr>
              <w:t>vRealize</w:t>
            </w:r>
            <w:proofErr w:type="spellEnd"/>
            <w:r w:rsidRPr="00166665">
              <w:rPr>
                <w:rFonts w:ascii="Arial" w:eastAsia="Verdana" w:hAnsi="Arial" w:cs="Arial"/>
                <w:i/>
                <w:iCs/>
                <w:sz w:val="20"/>
                <w:szCs w:val="20"/>
              </w:rPr>
              <w:t xml:space="preserve"> Automation Appliance</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501DDD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3</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3A8FB2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Management</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4B77317" w14:textId="77777777" w:rsidR="00C53FD0" w:rsidRPr="00166665" w:rsidRDefault="00C53FD0" w:rsidP="000D476B">
            <w:pPr>
              <w:rPr>
                <w:rFonts w:ascii="Arial" w:eastAsia="Verdana" w:hAnsi="Arial" w:cs="Arial"/>
                <w:i/>
                <w:iCs/>
                <w:sz w:val="20"/>
                <w:szCs w:val="20"/>
              </w:rPr>
            </w:pPr>
          </w:p>
        </w:tc>
      </w:tr>
      <w:tr w:rsidR="00C53FD0" w:rsidRPr="00166665" w14:paraId="36BA7EDA"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84FE3D7" w14:textId="77777777" w:rsidR="00C53FD0" w:rsidRPr="00166665" w:rsidRDefault="00C53FD0" w:rsidP="000D476B">
            <w:pPr>
              <w:rPr>
                <w:rFonts w:ascii="Arial" w:eastAsia="Verdana" w:hAnsi="Arial" w:cs="Arial"/>
                <w:i/>
                <w:iCs/>
                <w:sz w:val="20"/>
                <w:szCs w:val="20"/>
              </w:rPr>
            </w:pPr>
            <w:proofErr w:type="spellStart"/>
            <w:r w:rsidRPr="00166665">
              <w:rPr>
                <w:rFonts w:ascii="Arial" w:eastAsia="Verdana" w:hAnsi="Arial" w:cs="Arial"/>
                <w:i/>
                <w:iCs/>
                <w:sz w:val="20"/>
                <w:szCs w:val="20"/>
              </w:rPr>
              <w:t>vRealize</w:t>
            </w:r>
            <w:proofErr w:type="spellEnd"/>
            <w:r w:rsidRPr="00166665">
              <w:rPr>
                <w:rFonts w:ascii="Arial" w:eastAsia="Verdana" w:hAnsi="Arial" w:cs="Arial"/>
                <w:i/>
                <w:iCs/>
                <w:sz w:val="20"/>
                <w:szCs w:val="20"/>
              </w:rPr>
              <w:t xml:space="preserve"> Automation IaaS Web Server</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BE4972E"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B88A503"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Management</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42F541B" w14:textId="77777777" w:rsidR="00C53FD0" w:rsidRPr="00166665" w:rsidRDefault="00C53FD0" w:rsidP="000D476B">
            <w:pPr>
              <w:rPr>
                <w:rFonts w:ascii="Arial" w:eastAsia="Verdana" w:hAnsi="Arial" w:cs="Arial"/>
                <w:i/>
                <w:iCs/>
                <w:sz w:val="20"/>
                <w:szCs w:val="20"/>
              </w:rPr>
            </w:pPr>
          </w:p>
        </w:tc>
      </w:tr>
      <w:tr w:rsidR="00C53FD0" w:rsidRPr="00166665" w14:paraId="6B65A234"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BA15261" w14:textId="77777777" w:rsidR="00C53FD0" w:rsidRPr="00166665" w:rsidRDefault="00C53FD0" w:rsidP="000D476B">
            <w:pPr>
              <w:rPr>
                <w:rFonts w:ascii="Arial" w:eastAsia="Verdana" w:hAnsi="Arial" w:cs="Arial"/>
                <w:i/>
                <w:iCs/>
                <w:sz w:val="20"/>
                <w:szCs w:val="20"/>
              </w:rPr>
            </w:pPr>
            <w:proofErr w:type="spellStart"/>
            <w:r w:rsidRPr="00166665">
              <w:rPr>
                <w:rFonts w:ascii="Arial" w:eastAsia="Verdana" w:hAnsi="Arial" w:cs="Arial"/>
                <w:i/>
                <w:iCs/>
                <w:sz w:val="20"/>
                <w:szCs w:val="20"/>
              </w:rPr>
              <w:t>vRealize</w:t>
            </w:r>
            <w:proofErr w:type="spellEnd"/>
            <w:r w:rsidRPr="00166665">
              <w:rPr>
                <w:rFonts w:ascii="Arial" w:eastAsia="Verdana" w:hAnsi="Arial" w:cs="Arial"/>
                <w:i/>
                <w:iCs/>
                <w:sz w:val="20"/>
                <w:szCs w:val="20"/>
              </w:rPr>
              <w:t xml:space="preserve"> Automation IaaS Manager Service</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6E21D44"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B89A53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Management</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A946EA6" w14:textId="77777777" w:rsidR="00C53FD0" w:rsidRPr="00166665" w:rsidRDefault="00C53FD0" w:rsidP="000D476B">
            <w:pPr>
              <w:rPr>
                <w:rFonts w:ascii="Arial" w:eastAsia="Verdana" w:hAnsi="Arial" w:cs="Arial"/>
                <w:i/>
                <w:iCs/>
                <w:sz w:val="20"/>
                <w:szCs w:val="20"/>
              </w:rPr>
            </w:pPr>
          </w:p>
        </w:tc>
      </w:tr>
      <w:tr w:rsidR="00C53FD0" w:rsidRPr="00166665" w14:paraId="7BB496A8"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50CA52B" w14:textId="77777777" w:rsidR="00C53FD0" w:rsidRPr="00166665" w:rsidRDefault="00C53FD0" w:rsidP="000D476B">
            <w:pPr>
              <w:rPr>
                <w:rFonts w:ascii="Arial" w:eastAsia="Verdana" w:hAnsi="Arial" w:cs="Arial"/>
                <w:i/>
                <w:iCs/>
                <w:sz w:val="20"/>
                <w:szCs w:val="20"/>
              </w:rPr>
            </w:pPr>
            <w:proofErr w:type="spellStart"/>
            <w:r w:rsidRPr="00166665">
              <w:rPr>
                <w:rFonts w:ascii="Arial" w:eastAsia="Verdana" w:hAnsi="Arial" w:cs="Arial"/>
                <w:i/>
                <w:iCs/>
                <w:sz w:val="20"/>
                <w:szCs w:val="20"/>
              </w:rPr>
              <w:t>vRealize</w:t>
            </w:r>
            <w:proofErr w:type="spellEnd"/>
            <w:r w:rsidRPr="00166665">
              <w:rPr>
                <w:rFonts w:ascii="Arial" w:eastAsia="Verdana" w:hAnsi="Arial" w:cs="Arial"/>
                <w:i/>
                <w:iCs/>
                <w:sz w:val="20"/>
                <w:szCs w:val="20"/>
              </w:rPr>
              <w:t xml:space="preserve"> Automation IaaS DEM Worker</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1293B43"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5D34E9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Management</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67B8545" w14:textId="77777777" w:rsidR="00C53FD0" w:rsidRPr="00166665" w:rsidRDefault="00C53FD0" w:rsidP="000D476B">
            <w:pPr>
              <w:rPr>
                <w:rFonts w:ascii="Arial" w:eastAsia="Verdana" w:hAnsi="Arial" w:cs="Arial"/>
                <w:i/>
                <w:iCs/>
                <w:sz w:val="20"/>
                <w:szCs w:val="20"/>
              </w:rPr>
            </w:pPr>
          </w:p>
        </w:tc>
      </w:tr>
      <w:tr w:rsidR="00C53FD0" w:rsidRPr="00166665" w14:paraId="0081598A"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A04AF21" w14:textId="77777777" w:rsidR="00C53FD0" w:rsidRPr="00166665" w:rsidRDefault="00C53FD0" w:rsidP="000D476B">
            <w:pPr>
              <w:rPr>
                <w:rFonts w:ascii="Arial" w:eastAsia="Verdana" w:hAnsi="Arial" w:cs="Arial"/>
                <w:i/>
                <w:iCs/>
                <w:sz w:val="20"/>
                <w:szCs w:val="20"/>
              </w:rPr>
            </w:pPr>
            <w:proofErr w:type="spellStart"/>
            <w:r w:rsidRPr="00166665">
              <w:rPr>
                <w:rFonts w:ascii="Arial" w:eastAsia="Verdana" w:hAnsi="Arial" w:cs="Arial"/>
                <w:i/>
                <w:iCs/>
                <w:sz w:val="20"/>
                <w:szCs w:val="20"/>
              </w:rPr>
              <w:t>vRealize</w:t>
            </w:r>
            <w:proofErr w:type="spellEnd"/>
            <w:r w:rsidRPr="00166665">
              <w:rPr>
                <w:rFonts w:ascii="Arial" w:eastAsia="Verdana" w:hAnsi="Arial" w:cs="Arial"/>
                <w:i/>
                <w:iCs/>
                <w:sz w:val="20"/>
                <w:szCs w:val="20"/>
              </w:rPr>
              <w:t xml:space="preserve"> Automation IaaS Proxy Agent</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0BF67D3"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9FEAD2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Management</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A462835" w14:textId="77777777" w:rsidR="00C53FD0" w:rsidRPr="00166665" w:rsidRDefault="00C53FD0" w:rsidP="000D476B">
            <w:pPr>
              <w:rPr>
                <w:rFonts w:ascii="Arial" w:eastAsia="Verdana" w:hAnsi="Arial" w:cs="Arial"/>
                <w:i/>
                <w:iCs/>
                <w:sz w:val="20"/>
                <w:szCs w:val="20"/>
              </w:rPr>
            </w:pPr>
          </w:p>
        </w:tc>
      </w:tr>
      <w:tr w:rsidR="00C53FD0" w:rsidRPr="00166665" w14:paraId="7768193A"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D54C644"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VMware Workspace ONE Access Appliance</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847155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3</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A09982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Identity Management</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D1DB2FA" w14:textId="77777777" w:rsidR="00C53FD0" w:rsidRPr="00166665" w:rsidRDefault="00C53FD0" w:rsidP="000D476B">
            <w:pPr>
              <w:rPr>
                <w:rFonts w:ascii="Arial" w:eastAsia="Verdana" w:hAnsi="Arial" w:cs="Arial"/>
                <w:i/>
                <w:iCs/>
                <w:sz w:val="20"/>
                <w:szCs w:val="20"/>
              </w:rPr>
            </w:pPr>
          </w:p>
        </w:tc>
      </w:tr>
      <w:tr w:rsidR="00C53FD0" w:rsidRPr="00166665" w14:paraId="67C2329F"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F9CC26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lastRenderedPageBreak/>
              <w:t>VMware NSX Intelligence Appliance</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BD9C3E6"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C3D4578"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Monitoring</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59ECA42" w14:textId="77777777" w:rsidR="00C53FD0" w:rsidRPr="00166665" w:rsidRDefault="00C53FD0" w:rsidP="000D476B">
            <w:pPr>
              <w:rPr>
                <w:rFonts w:ascii="Arial" w:eastAsia="Verdana" w:hAnsi="Arial" w:cs="Arial"/>
                <w:i/>
                <w:iCs/>
                <w:sz w:val="20"/>
                <w:szCs w:val="20"/>
              </w:rPr>
            </w:pPr>
          </w:p>
        </w:tc>
      </w:tr>
      <w:tr w:rsidR="00C53FD0" w:rsidRPr="00166665" w14:paraId="36042DC0"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01CE64A" w14:textId="77777777" w:rsidR="00C53FD0" w:rsidRPr="00166665" w:rsidRDefault="00C53FD0" w:rsidP="000D476B">
            <w:pPr>
              <w:rPr>
                <w:rFonts w:ascii="Arial" w:eastAsia="Verdana" w:hAnsi="Arial" w:cs="Arial"/>
                <w:i/>
                <w:iCs/>
                <w:sz w:val="20"/>
                <w:szCs w:val="20"/>
              </w:rPr>
            </w:pPr>
            <w:proofErr w:type="spellStart"/>
            <w:r w:rsidRPr="00166665">
              <w:rPr>
                <w:rFonts w:ascii="Arial" w:eastAsia="Verdana" w:hAnsi="Arial" w:cs="Arial"/>
                <w:i/>
                <w:iCs/>
                <w:sz w:val="20"/>
                <w:szCs w:val="20"/>
              </w:rPr>
              <w:t>vSAN</w:t>
            </w:r>
            <w:proofErr w:type="spellEnd"/>
            <w:r w:rsidRPr="00166665">
              <w:rPr>
                <w:rFonts w:ascii="Arial" w:eastAsia="Verdana" w:hAnsi="Arial" w:cs="Arial"/>
                <w:i/>
                <w:iCs/>
                <w:sz w:val="20"/>
                <w:szCs w:val="20"/>
              </w:rPr>
              <w:t xml:space="preserve"> Witness Appliance</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FBB6746"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375995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Storage</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1892959" w14:textId="77777777" w:rsidR="00C53FD0" w:rsidRPr="00166665" w:rsidRDefault="00C53FD0" w:rsidP="000D476B">
            <w:pPr>
              <w:rPr>
                <w:rFonts w:ascii="Arial" w:eastAsia="Verdana" w:hAnsi="Arial" w:cs="Arial"/>
                <w:i/>
                <w:iCs/>
                <w:sz w:val="20"/>
                <w:szCs w:val="20"/>
              </w:rPr>
            </w:pPr>
          </w:p>
        </w:tc>
      </w:tr>
      <w:tr w:rsidR="00C53FD0" w:rsidRPr="00166665" w14:paraId="383E6F6C"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95BE05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 Isilon H400 Appliance</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4B9346E"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8</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01D31D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Storage</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B0E8CDB" w14:textId="77777777" w:rsidR="00C53FD0" w:rsidRPr="00166665" w:rsidRDefault="00C53FD0" w:rsidP="000D476B">
            <w:pPr>
              <w:rPr>
                <w:rFonts w:ascii="Arial" w:eastAsia="Verdana" w:hAnsi="Arial" w:cs="Arial"/>
                <w:i/>
                <w:iCs/>
                <w:sz w:val="20"/>
                <w:szCs w:val="20"/>
              </w:rPr>
            </w:pPr>
          </w:p>
        </w:tc>
      </w:tr>
      <w:tr w:rsidR="00C53FD0" w:rsidRPr="00166665" w14:paraId="482E9460"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E454F1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 Isilon Chassis</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3F8CCF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ADB4FB6"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Storage</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A8DACE5" w14:textId="77777777" w:rsidR="00C53FD0" w:rsidRPr="00166665" w:rsidRDefault="00C53FD0" w:rsidP="000D476B">
            <w:pPr>
              <w:rPr>
                <w:rFonts w:ascii="Arial" w:eastAsia="Verdana" w:hAnsi="Arial" w:cs="Arial"/>
                <w:i/>
                <w:iCs/>
                <w:sz w:val="20"/>
                <w:szCs w:val="20"/>
              </w:rPr>
            </w:pPr>
          </w:p>
        </w:tc>
      </w:tr>
      <w:tr w:rsidR="00C53FD0" w:rsidRPr="00166665" w14:paraId="17324395"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DFEEFC8"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Dell EMC </w:t>
            </w:r>
            <w:proofErr w:type="spellStart"/>
            <w:r w:rsidRPr="00166665">
              <w:rPr>
                <w:rFonts w:ascii="Arial" w:eastAsia="Verdana" w:hAnsi="Arial" w:cs="Arial"/>
                <w:i/>
                <w:iCs/>
                <w:sz w:val="20"/>
                <w:szCs w:val="20"/>
              </w:rPr>
              <w:t>PowerSwitch</w:t>
            </w:r>
            <w:proofErr w:type="spellEnd"/>
            <w:r w:rsidRPr="00166665">
              <w:rPr>
                <w:rFonts w:ascii="Arial" w:eastAsia="Verdana" w:hAnsi="Arial" w:cs="Arial"/>
                <w:i/>
                <w:iCs/>
                <w:sz w:val="20"/>
                <w:szCs w:val="20"/>
              </w:rPr>
              <w:t xml:space="preserve"> S4112F</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8419B6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7F2BC4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Switch</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62D696E" w14:textId="77777777" w:rsidR="00C53FD0" w:rsidRPr="00166665" w:rsidRDefault="00C53FD0" w:rsidP="000D476B">
            <w:pPr>
              <w:rPr>
                <w:rFonts w:ascii="Arial" w:eastAsia="Verdana" w:hAnsi="Arial" w:cs="Arial"/>
                <w:i/>
                <w:iCs/>
                <w:sz w:val="20"/>
                <w:szCs w:val="20"/>
              </w:rPr>
            </w:pPr>
          </w:p>
        </w:tc>
      </w:tr>
      <w:tr w:rsidR="00C53FD0" w:rsidRPr="00166665" w14:paraId="7F38729C"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E575B74"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Dell EMC </w:t>
            </w:r>
            <w:proofErr w:type="spellStart"/>
            <w:r w:rsidRPr="00166665">
              <w:rPr>
                <w:rFonts w:ascii="Arial" w:eastAsia="Verdana" w:hAnsi="Arial" w:cs="Arial"/>
                <w:i/>
                <w:iCs/>
                <w:sz w:val="20"/>
                <w:szCs w:val="20"/>
              </w:rPr>
              <w:t>PowerMAX</w:t>
            </w:r>
            <w:proofErr w:type="spellEnd"/>
            <w:r w:rsidRPr="00166665">
              <w:rPr>
                <w:rFonts w:ascii="Arial" w:eastAsia="Verdana" w:hAnsi="Arial" w:cs="Arial"/>
                <w:i/>
                <w:iCs/>
                <w:sz w:val="20"/>
                <w:szCs w:val="20"/>
              </w:rPr>
              <w:t xml:space="preserve"> 2000 Brick Controller</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85C7769"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E5DE42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Storage</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3070430" w14:textId="77777777" w:rsidR="00C53FD0" w:rsidRPr="00166665" w:rsidRDefault="00C53FD0" w:rsidP="000D476B">
            <w:pPr>
              <w:rPr>
                <w:rFonts w:ascii="Arial" w:eastAsia="Verdana" w:hAnsi="Arial" w:cs="Arial"/>
                <w:i/>
                <w:iCs/>
                <w:sz w:val="20"/>
                <w:szCs w:val="20"/>
              </w:rPr>
            </w:pPr>
          </w:p>
        </w:tc>
      </w:tr>
      <w:tr w:rsidR="00C53FD0" w:rsidRPr="00166665" w14:paraId="632E12BF"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391CE5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Dell EMC </w:t>
            </w:r>
            <w:proofErr w:type="spellStart"/>
            <w:r w:rsidRPr="00166665">
              <w:rPr>
                <w:rFonts w:ascii="Arial" w:eastAsia="Verdana" w:hAnsi="Arial" w:cs="Arial"/>
                <w:i/>
                <w:iCs/>
                <w:sz w:val="20"/>
                <w:szCs w:val="20"/>
              </w:rPr>
              <w:t>PowerMAX</w:t>
            </w:r>
            <w:proofErr w:type="spellEnd"/>
            <w:r w:rsidRPr="00166665">
              <w:rPr>
                <w:rFonts w:ascii="Arial" w:eastAsia="Verdana" w:hAnsi="Arial" w:cs="Arial"/>
                <w:i/>
                <w:iCs/>
                <w:sz w:val="20"/>
                <w:szCs w:val="20"/>
              </w:rPr>
              <w:t xml:space="preserve"> 2000 Disk Array Enclosures</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BA4FF2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3DE1D98"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Storage</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B220531" w14:textId="77777777" w:rsidR="00C53FD0" w:rsidRPr="00166665" w:rsidRDefault="00C53FD0" w:rsidP="000D476B">
            <w:pPr>
              <w:rPr>
                <w:rFonts w:ascii="Arial" w:eastAsia="Verdana" w:hAnsi="Arial" w:cs="Arial"/>
                <w:i/>
                <w:iCs/>
                <w:sz w:val="20"/>
                <w:szCs w:val="20"/>
              </w:rPr>
            </w:pPr>
          </w:p>
        </w:tc>
      </w:tr>
      <w:tr w:rsidR="00C53FD0" w:rsidRPr="00166665" w14:paraId="20106A1C"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9922397"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Dell EMC </w:t>
            </w:r>
            <w:proofErr w:type="spellStart"/>
            <w:r w:rsidRPr="00166665">
              <w:rPr>
                <w:rFonts w:ascii="Arial" w:eastAsia="Verdana" w:hAnsi="Arial" w:cs="Arial"/>
                <w:i/>
                <w:iCs/>
                <w:sz w:val="20"/>
                <w:szCs w:val="20"/>
              </w:rPr>
              <w:t>PowerMax</w:t>
            </w:r>
            <w:proofErr w:type="spellEnd"/>
            <w:r w:rsidRPr="00166665">
              <w:rPr>
                <w:rFonts w:ascii="Arial" w:eastAsia="Verdana" w:hAnsi="Arial" w:cs="Arial"/>
                <w:i/>
                <w:iCs/>
                <w:sz w:val="20"/>
                <w:szCs w:val="20"/>
              </w:rPr>
              <w:t xml:space="preserve"> Battery Enclosures</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66C61DF"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6F3985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Storage</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A27B325" w14:textId="77777777" w:rsidR="00C53FD0" w:rsidRPr="00166665" w:rsidRDefault="00C53FD0" w:rsidP="000D476B">
            <w:pPr>
              <w:rPr>
                <w:rFonts w:ascii="Arial" w:eastAsia="Verdana" w:hAnsi="Arial" w:cs="Arial"/>
                <w:i/>
                <w:iCs/>
                <w:sz w:val="20"/>
                <w:szCs w:val="20"/>
              </w:rPr>
            </w:pPr>
          </w:p>
        </w:tc>
      </w:tr>
      <w:tr w:rsidR="00C53FD0" w:rsidRPr="00166665" w14:paraId="496F7F60"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0C37B94"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Dell EMC </w:t>
            </w:r>
            <w:proofErr w:type="spellStart"/>
            <w:r w:rsidRPr="00166665">
              <w:rPr>
                <w:rFonts w:ascii="Arial" w:eastAsia="Verdana" w:hAnsi="Arial" w:cs="Arial"/>
                <w:i/>
                <w:iCs/>
                <w:sz w:val="20"/>
                <w:szCs w:val="20"/>
              </w:rPr>
              <w:t>PowerMax</w:t>
            </w:r>
            <w:proofErr w:type="spellEnd"/>
            <w:r w:rsidRPr="00166665">
              <w:rPr>
                <w:rFonts w:ascii="Arial" w:eastAsia="Verdana" w:hAnsi="Arial" w:cs="Arial"/>
                <w:i/>
                <w:iCs/>
                <w:sz w:val="20"/>
                <w:szCs w:val="20"/>
              </w:rPr>
              <w:t xml:space="preserve"> Witness Server</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668BA93"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ACA832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Storage</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61547C8" w14:textId="77777777" w:rsidR="00C53FD0" w:rsidRPr="00166665" w:rsidRDefault="00C53FD0" w:rsidP="000D476B">
            <w:pPr>
              <w:rPr>
                <w:rFonts w:ascii="Arial" w:eastAsia="Verdana" w:hAnsi="Arial" w:cs="Arial"/>
                <w:i/>
                <w:iCs/>
                <w:sz w:val="20"/>
                <w:szCs w:val="20"/>
              </w:rPr>
            </w:pPr>
          </w:p>
        </w:tc>
      </w:tr>
      <w:tr w:rsidR="00C53FD0" w:rsidRPr="00166665" w14:paraId="6C16F730"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57656C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 Avamar Virtual Edition (AVE) Server</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7ECB08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E3D959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Backup</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B9FCA0B" w14:textId="77777777" w:rsidR="00C53FD0" w:rsidRPr="00166665" w:rsidRDefault="00C53FD0" w:rsidP="000D476B">
            <w:pPr>
              <w:rPr>
                <w:rFonts w:ascii="Arial" w:eastAsia="Verdana" w:hAnsi="Arial" w:cs="Arial"/>
                <w:i/>
                <w:iCs/>
                <w:sz w:val="20"/>
                <w:szCs w:val="20"/>
              </w:rPr>
            </w:pPr>
          </w:p>
        </w:tc>
      </w:tr>
      <w:tr w:rsidR="00C53FD0" w:rsidRPr="00166665" w14:paraId="2EFCFCA9"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815DB8E"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 AVE Proxy</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994BED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A68FE7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Backup</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8F5F677" w14:textId="77777777" w:rsidR="00C53FD0" w:rsidRPr="00166665" w:rsidRDefault="00C53FD0" w:rsidP="000D476B">
            <w:pPr>
              <w:rPr>
                <w:rFonts w:ascii="Arial" w:eastAsia="Verdana" w:hAnsi="Arial" w:cs="Arial"/>
                <w:i/>
                <w:iCs/>
                <w:sz w:val="20"/>
                <w:szCs w:val="20"/>
              </w:rPr>
            </w:pPr>
          </w:p>
        </w:tc>
      </w:tr>
      <w:tr w:rsidR="00C53FD0" w:rsidRPr="00166665" w14:paraId="37FB0A29"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A75B989"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 Data Protection Search Appliance</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15B83F3"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EE1F08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Backup</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CD5FA94" w14:textId="77777777" w:rsidR="00C53FD0" w:rsidRPr="00166665" w:rsidRDefault="00C53FD0" w:rsidP="000D476B">
            <w:pPr>
              <w:rPr>
                <w:rFonts w:ascii="Arial" w:eastAsia="Verdana" w:hAnsi="Arial" w:cs="Arial"/>
                <w:i/>
                <w:iCs/>
                <w:sz w:val="20"/>
                <w:szCs w:val="20"/>
              </w:rPr>
            </w:pPr>
          </w:p>
        </w:tc>
      </w:tr>
      <w:tr w:rsidR="00C53FD0" w:rsidRPr="00166665" w14:paraId="74397EA0"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4C18D4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 Data Protection Central Appliance</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054BF99"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E4700E9"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Backup</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4FACA8F" w14:textId="77777777" w:rsidR="00C53FD0" w:rsidRPr="00166665" w:rsidRDefault="00C53FD0" w:rsidP="000D476B">
            <w:pPr>
              <w:rPr>
                <w:rFonts w:ascii="Arial" w:eastAsia="Verdana" w:hAnsi="Arial" w:cs="Arial"/>
                <w:i/>
                <w:iCs/>
                <w:sz w:val="20"/>
                <w:szCs w:val="20"/>
              </w:rPr>
            </w:pPr>
          </w:p>
        </w:tc>
      </w:tr>
      <w:tr w:rsidR="00C53FD0" w:rsidRPr="00166665" w14:paraId="213C934F"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CBBC68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 Data Protection Advisor</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ABCBD9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5C2A77F"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Backup</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7A071DA" w14:textId="77777777" w:rsidR="00C53FD0" w:rsidRPr="00166665" w:rsidRDefault="00C53FD0" w:rsidP="000D476B">
            <w:pPr>
              <w:rPr>
                <w:rFonts w:ascii="Arial" w:eastAsia="Verdana" w:hAnsi="Arial" w:cs="Arial"/>
                <w:i/>
                <w:iCs/>
                <w:sz w:val="20"/>
                <w:szCs w:val="20"/>
              </w:rPr>
            </w:pPr>
          </w:p>
        </w:tc>
      </w:tr>
      <w:tr w:rsidR="00C53FD0" w:rsidRPr="00166665" w14:paraId="779634BE"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BEC12BF"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 AVE NDMP Accelerator</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A97E316"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FEF7139"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Backup</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FD77452" w14:textId="77777777" w:rsidR="00C53FD0" w:rsidRPr="00166665" w:rsidRDefault="00C53FD0" w:rsidP="000D476B">
            <w:pPr>
              <w:rPr>
                <w:rFonts w:ascii="Arial" w:eastAsia="Verdana" w:hAnsi="Arial" w:cs="Arial"/>
                <w:i/>
                <w:iCs/>
                <w:sz w:val="20"/>
                <w:szCs w:val="20"/>
              </w:rPr>
            </w:pPr>
          </w:p>
        </w:tc>
      </w:tr>
      <w:tr w:rsidR="00C53FD0" w:rsidRPr="00166665" w14:paraId="4273450A"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8725DC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 Cyber Recovery Vault Management Appliance</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6836AFD"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AAC3663"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Backup</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BAF62EE" w14:textId="77777777" w:rsidR="00C53FD0" w:rsidRPr="00166665" w:rsidRDefault="00C53FD0" w:rsidP="000D476B">
            <w:pPr>
              <w:rPr>
                <w:rFonts w:ascii="Arial" w:eastAsia="Verdana" w:hAnsi="Arial" w:cs="Arial"/>
                <w:i/>
                <w:iCs/>
                <w:sz w:val="20"/>
                <w:szCs w:val="20"/>
              </w:rPr>
            </w:pPr>
          </w:p>
        </w:tc>
      </w:tr>
      <w:tr w:rsidR="00C53FD0" w:rsidRPr="00166665" w14:paraId="480AACEB"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B2C5EC8"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Dell EMC </w:t>
            </w:r>
            <w:proofErr w:type="spellStart"/>
            <w:r w:rsidRPr="00166665">
              <w:rPr>
                <w:rFonts w:ascii="Arial" w:eastAsia="Verdana" w:hAnsi="Arial" w:cs="Arial"/>
                <w:i/>
                <w:iCs/>
                <w:sz w:val="20"/>
                <w:szCs w:val="20"/>
              </w:rPr>
              <w:t>CyberSense</w:t>
            </w:r>
            <w:proofErr w:type="spellEnd"/>
            <w:r w:rsidRPr="00166665">
              <w:rPr>
                <w:rFonts w:ascii="Arial" w:eastAsia="Verdana" w:hAnsi="Arial" w:cs="Arial"/>
                <w:i/>
                <w:iCs/>
                <w:sz w:val="20"/>
                <w:szCs w:val="20"/>
              </w:rPr>
              <w:t xml:space="preserve"> Server</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03D09CE"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0ADF3EF"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Backup</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C73F855" w14:textId="77777777" w:rsidR="00C53FD0" w:rsidRPr="00166665" w:rsidRDefault="00C53FD0" w:rsidP="000D476B">
            <w:pPr>
              <w:rPr>
                <w:rFonts w:ascii="Arial" w:eastAsia="Verdana" w:hAnsi="Arial" w:cs="Arial"/>
                <w:i/>
                <w:iCs/>
                <w:sz w:val="20"/>
                <w:szCs w:val="20"/>
              </w:rPr>
            </w:pPr>
          </w:p>
        </w:tc>
      </w:tr>
      <w:tr w:rsidR="00C53FD0" w:rsidRPr="00166665" w14:paraId="17088F99"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C989D9E"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 Data Domain 6800</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5E3A5F7"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3</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962E053"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Backup</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144CA10" w14:textId="77777777" w:rsidR="00C53FD0" w:rsidRPr="00166665" w:rsidRDefault="00C53FD0" w:rsidP="000D476B">
            <w:pPr>
              <w:rPr>
                <w:rFonts w:ascii="Arial" w:eastAsia="Verdana" w:hAnsi="Arial" w:cs="Arial"/>
                <w:i/>
                <w:iCs/>
                <w:sz w:val="20"/>
                <w:szCs w:val="20"/>
              </w:rPr>
            </w:pPr>
          </w:p>
        </w:tc>
      </w:tr>
      <w:tr w:rsidR="00C53FD0" w:rsidRPr="00166665" w14:paraId="20425C13"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E79948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 Data Domain DS60 Expansion</w:t>
            </w:r>
          </w:p>
          <w:p w14:paraId="59431458"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Shelf</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D705AFE"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6</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A5FB91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Backup</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54D444F" w14:textId="77777777" w:rsidR="00C53FD0" w:rsidRPr="00166665" w:rsidRDefault="00C53FD0" w:rsidP="000D476B">
            <w:pPr>
              <w:rPr>
                <w:rFonts w:ascii="Arial" w:eastAsia="Verdana" w:hAnsi="Arial" w:cs="Arial"/>
                <w:i/>
                <w:iCs/>
                <w:sz w:val="20"/>
                <w:szCs w:val="20"/>
              </w:rPr>
            </w:pPr>
          </w:p>
        </w:tc>
      </w:tr>
      <w:tr w:rsidR="00C53FD0" w:rsidRPr="00166665" w14:paraId="6750D855"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CD3026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Infoblox </w:t>
            </w:r>
            <w:proofErr w:type="spellStart"/>
            <w:r w:rsidRPr="00166665">
              <w:rPr>
                <w:rFonts w:ascii="Arial" w:eastAsia="Verdana" w:hAnsi="Arial" w:cs="Arial"/>
                <w:i/>
                <w:iCs/>
                <w:sz w:val="20"/>
                <w:szCs w:val="20"/>
              </w:rPr>
              <w:t>Trinzic</w:t>
            </w:r>
            <w:proofErr w:type="spellEnd"/>
            <w:r w:rsidRPr="00166665">
              <w:rPr>
                <w:rFonts w:ascii="Arial" w:eastAsia="Verdana" w:hAnsi="Arial" w:cs="Arial"/>
                <w:i/>
                <w:iCs/>
                <w:sz w:val="20"/>
                <w:szCs w:val="20"/>
              </w:rPr>
              <w:t xml:space="preserve"> Enterprise 4015</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610A19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7139B6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DDI Management</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63CD8AB" w14:textId="77777777" w:rsidR="00C53FD0" w:rsidRPr="00166665" w:rsidRDefault="00C53FD0" w:rsidP="000D476B">
            <w:pPr>
              <w:rPr>
                <w:rFonts w:ascii="Arial" w:eastAsia="Verdana" w:hAnsi="Arial" w:cs="Arial"/>
                <w:i/>
                <w:iCs/>
                <w:sz w:val="20"/>
                <w:szCs w:val="20"/>
              </w:rPr>
            </w:pPr>
          </w:p>
        </w:tc>
      </w:tr>
      <w:tr w:rsidR="00C53FD0" w:rsidRPr="00166665" w14:paraId="27933BBF"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388284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Infoblox </w:t>
            </w:r>
            <w:proofErr w:type="spellStart"/>
            <w:r w:rsidRPr="00166665">
              <w:rPr>
                <w:rFonts w:ascii="Arial" w:eastAsia="Verdana" w:hAnsi="Arial" w:cs="Arial"/>
                <w:i/>
                <w:iCs/>
                <w:sz w:val="20"/>
                <w:szCs w:val="20"/>
              </w:rPr>
              <w:t>Trinzic</w:t>
            </w:r>
            <w:proofErr w:type="spellEnd"/>
            <w:r w:rsidRPr="00166665">
              <w:rPr>
                <w:rFonts w:ascii="Arial" w:eastAsia="Verdana" w:hAnsi="Arial" w:cs="Arial"/>
                <w:i/>
                <w:iCs/>
                <w:sz w:val="20"/>
                <w:szCs w:val="20"/>
              </w:rPr>
              <w:t xml:space="preserve"> Enterprise 1415</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97DAE6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599001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DDI DHCP</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9A41A56" w14:textId="77777777" w:rsidR="00C53FD0" w:rsidRPr="00166665" w:rsidRDefault="00C53FD0" w:rsidP="000D476B">
            <w:pPr>
              <w:rPr>
                <w:rFonts w:ascii="Arial" w:eastAsia="Verdana" w:hAnsi="Arial" w:cs="Arial"/>
                <w:i/>
                <w:iCs/>
                <w:sz w:val="20"/>
                <w:szCs w:val="20"/>
              </w:rPr>
            </w:pPr>
          </w:p>
        </w:tc>
      </w:tr>
      <w:tr w:rsidR="00C53FD0" w:rsidRPr="00166665" w14:paraId="37FA22A3"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667D47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Infoblox </w:t>
            </w:r>
            <w:proofErr w:type="spellStart"/>
            <w:r w:rsidRPr="00166665">
              <w:rPr>
                <w:rFonts w:ascii="Arial" w:eastAsia="Verdana" w:hAnsi="Arial" w:cs="Arial"/>
                <w:i/>
                <w:iCs/>
                <w:sz w:val="20"/>
                <w:szCs w:val="20"/>
              </w:rPr>
              <w:t>Trinzic</w:t>
            </w:r>
            <w:proofErr w:type="spellEnd"/>
            <w:r w:rsidRPr="00166665">
              <w:rPr>
                <w:rFonts w:ascii="Arial" w:eastAsia="Verdana" w:hAnsi="Arial" w:cs="Arial"/>
                <w:i/>
                <w:iCs/>
                <w:sz w:val="20"/>
                <w:szCs w:val="20"/>
              </w:rPr>
              <w:t xml:space="preserve"> Enterprise 2205</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84DECE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0858148"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DDI DNS</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CBD5F33" w14:textId="77777777" w:rsidR="00C53FD0" w:rsidRPr="00166665" w:rsidRDefault="00C53FD0" w:rsidP="000D476B">
            <w:pPr>
              <w:rPr>
                <w:rFonts w:ascii="Arial" w:eastAsia="Verdana" w:hAnsi="Arial" w:cs="Arial"/>
                <w:i/>
                <w:iCs/>
                <w:sz w:val="20"/>
                <w:szCs w:val="20"/>
              </w:rPr>
            </w:pPr>
          </w:p>
        </w:tc>
      </w:tr>
      <w:tr w:rsidR="00C53FD0" w:rsidRPr="00166665" w14:paraId="2CB402CE"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20F8B7A"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Infoblox </w:t>
            </w:r>
            <w:proofErr w:type="spellStart"/>
            <w:r w:rsidRPr="00166665">
              <w:rPr>
                <w:rFonts w:ascii="Arial" w:eastAsia="Verdana" w:hAnsi="Arial" w:cs="Arial"/>
                <w:i/>
                <w:iCs/>
                <w:sz w:val="20"/>
                <w:szCs w:val="20"/>
              </w:rPr>
              <w:t>Trinzic</w:t>
            </w:r>
            <w:proofErr w:type="spellEnd"/>
            <w:r w:rsidRPr="00166665">
              <w:rPr>
                <w:rFonts w:ascii="Arial" w:eastAsia="Verdana" w:hAnsi="Arial" w:cs="Arial"/>
                <w:i/>
                <w:iCs/>
                <w:sz w:val="20"/>
                <w:szCs w:val="20"/>
              </w:rPr>
              <w:t xml:space="preserve"> Enterprise 5005</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9668D0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E3C365A"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DDI Reporting</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6FE168E" w14:textId="77777777" w:rsidR="00C53FD0" w:rsidRPr="00166665" w:rsidRDefault="00C53FD0" w:rsidP="000D476B">
            <w:pPr>
              <w:rPr>
                <w:rFonts w:ascii="Arial" w:eastAsia="Verdana" w:hAnsi="Arial" w:cs="Arial"/>
                <w:i/>
                <w:iCs/>
                <w:sz w:val="20"/>
                <w:szCs w:val="20"/>
              </w:rPr>
            </w:pPr>
          </w:p>
        </w:tc>
      </w:tr>
      <w:tr w:rsidR="00C53FD0" w:rsidRPr="00166665" w14:paraId="07B50266"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0DC5BAD"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lastRenderedPageBreak/>
              <w:t xml:space="preserve">Infoblox </w:t>
            </w:r>
            <w:r w:rsidRPr="00166665">
              <w:rPr>
                <w:rFonts w:ascii="Arial" w:eastAsia="ArialMT" w:hAnsi="Arial" w:cs="Arial"/>
                <w:color w:val="262626"/>
                <w:sz w:val="20"/>
                <w:szCs w:val="20"/>
              </w:rPr>
              <w:t>ND-v2205</w:t>
            </w:r>
            <w:r w:rsidRPr="00166665">
              <w:rPr>
                <w:rFonts w:ascii="Arial" w:eastAsia="Verdana" w:hAnsi="Arial" w:cs="Arial"/>
                <w:i/>
                <w:iCs/>
                <w:sz w:val="20"/>
                <w:szCs w:val="20"/>
              </w:rPr>
              <w:t xml:space="preserve"> NIOS Appliance</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0B5B038"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5365347"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Network Insight</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02572E2" w14:textId="77777777" w:rsidR="00C53FD0" w:rsidRPr="00166665" w:rsidRDefault="00C53FD0" w:rsidP="000D476B">
            <w:pPr>
              <w:rPr>
                <w:rFonts w:ascii="Arial" w:eastAsia="Verdana" w:hAnsi="Arial" w:cs="Arial"/>
                <w:i/>
                <w:iCs/>
                <w:sz w:val="20"/>
                <w:szCs w:val="20"/>
              </w:rPr>
            </w:pPr>
          </w:p>
        </w:tc>
      </w:tr>
      <w:tr w:rsidR="00C53FD0" w:rsidRPr="00166665" w14:paraId="379B5582"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629C2A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Microsoft Active Directory Domain Controllers</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B1DFC2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20</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85E47F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Management</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3FACD1B" w14:textId="77777777" w:rsidR="00C53FD0" w:rsidRPr="00166665" w:rsidRDefault="00C53FD0" w:rsidP="000D476B">
            <w:pPr>
              <w:rPr>
                <w:rFonts w:ascii="Arial" w:eastAsia="Verdana" w:hAnsi="Arial" w:cs="Arial"/>
                <w:i/>
                <w:iCs/>
                <w:sz w:val="20"/>
                <w:szCs w:val="20"/>
              </w:rPr>
            </w:pPr>
          </w:p>
        </w:tc>
      </w:tr>
      <w:tr w:rsidR="00C53FD0" w:rsidRPr="00166665" w14:paraId="6BCCB117"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D2C27C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Citrix ADC Load Balancing</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1FDF48E"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8</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69B8C1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Load Balancing</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85ABB35" w14:textId="77777777" w:rsidR="00C53FD0" w:rsidRPr="00166665" w:rsidRDefault="00C53FD0" w:rsidP="000D476B">
            <w:pPr>
              <w:rPr>
                <w:rFonts w:ascii="Arial" w:eastAsia="Verdana" w:hAnsi="Arial" w:cs="Arial"/>
                <w:i/>
                <w:iCs/>
                <w:sz w:val="20"/>
                <w:szCs w:val="20"/>
              </w:rPr>
            </w:pPr>
          </w:p>
        </w:tc>
      </w:tr>
      <w:tr w:rsidR="00C53FD0" w:rsidRPr="00166665" w14:paraId="23A84B51"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6B2AFF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Citrix StoreFront</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0144DB3"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8</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5F598C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Citrix Virtual Apps and Desktops</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9F1FDF5" w14:textId="77777777" w:rsidR="00C53FD0" w:rsidRPr="00166665" w:rsidRDefault="00C53FD0" w:rsidP="000D476B">
            <w:pPr>
              <w:rPr>
                <w:rFonts w:ascii="Arial" w:eastAsia="Verdana" w:hAnsi="Arial" w:cs="Arial"/>
                <w:i/>
                <w:iCs/>
                <w:sz w:val="20"/>
                <w:szCs w:val="20"/>
              </w:rPr>
            </w:pPr>
          </w:p>
        </w:tc>
      </w:tr>
      <w:tr w:rsidR="00C53FD0" w:rsidRPr="00166665" w14:paraId="228F1513"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A5E157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Citrix WEM</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669D15D"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8</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491CEE7"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Citrix Virtual Apps and Desktops</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8BB3FE5" w14:textId="77777777" w:rsidR="00C53FD0" w:rsidRPr="00166665" w:rsidRDefault="00C53FD0" w:rsidP="000D476B">
            <w:pPr>
              <w:rPr>
                <w:rFonts w:ascii="Arial" w:eastAsia="Verdana" w:hAnsi="Arial" w:cs="Arial"/>
                <w:i/>
                <w:iCs/>
                <w:sz w:val="20"/>
                <w:szCs w:val="20"/>
              </w:rPr>
            </w:pPr>
          </w:p>
        </w:tc>
      </w:tr>
      <w:tr w:rsidR="00C53FD0" w:rsidRPr="00166665" w14:paraId="111663B2"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6284E6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Citrix Controller</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3555AE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8</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C8C34D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Citrix Virtual Apps and Desktops</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9D30FEA" w14:textId="77777777" w:rsidR="00C53FD0" w:rsidRPr="00166665" w:rsidRDefault="00C53FD0" w:rsidP="000D476B">
            <w:pPr>
              <w:rPr>
                <w:rFonts w:ascii="Arial" w:eastAsia="Verdana" w:hAnsi="Arial" w:cs="Arial"/>
                <w:i/>
                <w:iCs/>
                <w:sz w:val="20"/>
                <w:szCs w:val="20"/>
              </w:rPr>
            </w:pPr>
          </w:p>
        </w:tc>
      </w:tr>
      <w:tr w:rsidR="00C53FD0" w:rsidRPr="00166665" w14:paraId="0DA2959B"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2FB556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Citrix Director</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F08B4BA"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C0A08A8"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Citrix Virtual Apps and Desktops</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7FADAA4" w14:textId="77777777" w:rsidR="00C53FD0" w:rsidRPr="00166665" w:rsidRDefault="00C53FD0" w:rsidP="000D476B">
            <w:pPr>
              <w:rPr>
                <w:rFonts w:ascii="Arial" w:eastAsia="Verdana" w:hAnsi="Arial" w:cs="Arial"/>
                <w:i/>
                <w:iCs/>
                <w:sz w:val="20"/>
                <w:szCs w:val="20"/>
              </w:rPr>
            </w:pPr>
          </w:p>
        </w:tc>
      </w:tr>
      <w:tr w:rsidR="00C53FD0" w:rsidRPr="00166665" w14:paraId="6361E251"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1520E7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Citrix License Server</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4028736"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009E62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Citrix Virtual Apps and Desktops</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6CE4CB6" w14:textId="77777777" w:rsidR="00C53FD0" w:rsidRPr="00166665" w:rsidRDefault="00C53FD0" w:rsidP="000D476B">
            <w:pPr>
              <w:rPr>
                <w:rFonts w:ascii="Arial" w:eastAsia="Verdana" w:hAnsi="Arial" w:cs="Arial"/>
                <w:i/>
                <w:iCs/>
                <w:sz w:val="20"/>
                <w:szCs w:val="20"/>
              </w:rPr>
            </w:pPr>
          </w:p>
        </w:tc>
      </w:tr>
      <w:tr w:rsidR="00C53FD0" w:rsidRPr="00166665" w14:paraId="6D8B8A49"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D343589"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RDS License Server</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6F6A92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FC32118"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Citrix Virtual Apps and Desktops</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BD961D8" w14:textId="77777777" w:rsidR="00C53FD0" w:rsidRPr="00166665" w:rsidRDefault="00C53FD0" w:rsidP="000D476B">
            <w:pPr>
              <w:rPr>
                <w:rFonts w:ascii="Arial" w:eastAsia="Verdana" w:hAnsi="Arial" w:cs="Arial"/>
                <w:i/>
                <w:iCs/>
                <w:sz w:val="20"/>
                <w:szCs w:val="20"/>
              </w:rPr>
            </w:pPr>
          </w:p>
        </w:tc>
      </w:tr>
      <w:tr w:rsidR="00C53FD0" w:rsidRPr="00166665" w14:paraId="32C7212B"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D45052A"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Citrix ADM Appliance</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BE3CC6F"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D26B6A8"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Citrix Virtual Apps and Desktops</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13A4073" w14:textId="77777777" w:rsidR="00C53FD0" w:rsidRPr="00166665" w:rsidRDefault="00C53FD0" w:rsidP="000D476B">
            <w:pPr>
              <w:rPr>
                <w:rFonts w:ascii="Arial" w:eastAsia="Verdana" w:hAnsi="Arial" w:cs="Arial"/>
                <w:i/>
                <w:iCs/>
                <w:sz w:val="20"/>
                <w:szCs w:val="20"/>
              </w:rPr>
            </w:pPr>
          </w:p>
        </w:tc>
      </w:tr>
      <w:tr w:rsidR="00C53FD0" w:rsidRPr="00166665" w14:paraId="54CBF4F5"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C503A9A"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Citrix ADM Agent Appliance</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CE4EBF7"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53D45E7"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Citrix Virtual Apps and Desktops</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AAF5E93" w14:textId="77777777" w:rsidR="00C53FD0" w:rsidRPr="00166665" w:rsidRDefault="00C53FD0" w:rsidP="000D476B">
            <w:pPr>
              <w:rPr>
                <w:rFonts w:ascii="Arial" w:eastAsia="Verdana" w:hAnsi="Arial" w:cs="Arial"/>
                <w:i/>
                <w:iCs/>
                <w:sz w:val="20"/>
                <w:szCs w:val="20"/>
              </w:rPr>
            </w:pPr>
          </w:p>
        </w:tc>
      </w:tr>
      <w:tr w:rsidR="00C53FD0" w:rsidRPr="00166665" w14:paraId="5C3C6C3B"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F8146C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Citrix Gateway</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0D84153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8</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F2F5E57"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Citrix Virtual Apps and Desktops</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742E447" w14:textId="77777777" w:rsidR="00C53FD0" w:rsidRPr="00166665" w:rsidRDefault="00C53FD0" w:rsidP="000D476B">
            <w:pPr>
              <w:rPr>
                <w:rFonts w:ascii="Arial" w:eastAsia="Verdana" w:hAnsi="Arial" w:cs="Arial"/>
                <w:i/>
                <w:iCs/>
                <w:sz w:val="20"/>
                <w:szCs w:val="20"/>
              </w:rPr>
            </w:pPr>
          </w:p>
        </w:tc>
      </w:tr>
      <w:tr w:rsidR="00C53FD0" w:rsidRPr="00166665" w14:paraId="1E52F682"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510F7C4" w14:textId="77777777" w:rsidR="00C53FD0" w:rsidRPr="00166665" w:rsidRDefault="00C53FD0" w:rsidP="000D476B">
            <w:pPr>
              <w:rPr>
                <w:rFonts w:ascii="Arial" w:eastAsia="Verdana" w:hAnsi="Arial" w:cs="Arial"/>
                <w:i/>
                <w:sz w:val="20"/>
                <w:szCs w:val="20"/>
              </w:rPr>
            </w:pPr>
            <w:r w:rsidRPr="00166665">
              <w:rPr>
                <w:rFonts w:ascii="Arial" w:eastAsia="Verdana" w:hAnsi="Arial" w:cs="Arial"/>
                <w:i/>
                <w:sz w:val="20"/>
                <w:szCs w:val="20"/>
              </w:rPr>
              <w:t>IBM DB2 DBMS</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6FDD5FF" w14:textId="77777777" w:rsidR="00C53FD0" w:rsidRPr="00166665" w:rsidRDefault="00C53FD0" w:rsidP="000D476B">
            <w:pPr>
              <w:rPr>
                <w:rFonts w:ascii="Arial" w:eastAsia="Verdana" w:hAnsi="Arial" w:cs="Arial"/>
                <w:i/>
                <w:sz w:val="20"/>
                <w:szCs w:val="20"/>
              </w:rPr>
            </w:pPr>
            <w:r w:rsidRPr="00166665">
              <w:rPr>
                <w:rFonts w:ascii="Arial" w:eastAsia="Verdana" w:hAnsi="Arial" w:cs="Arial"/>
                <w:i/>
                <w:sz w:val="20"/>
                <w:szCs w:val="20"/>
              </w:rPr>
              <w:t>20</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3076F88" w14:textId="77777777" w:rsidR="00C53FD0" w:rsidRPr="00166665" w:rsidRDefault="00C53FD0" w:rsidP="000D476B">
            <w:pPr>
              <w:rPr>
                <w:rFonts w:ascii="Arial" w:eastAsia="Verdana" w:hAnsi="Arial" w:cs="Arial"/>
                <w:i/>
                <w:sz w:val="20"/>
                <w:szCs w:val="20"/>
              </w:rPr>
            </w:pPr>
            <w:r w:rsidRPr="00166665">
              <w:rPr>
                <w:rFonts w:ascii="Arial" w:eastAsia="Verdana" w:hAnsi="Arial" w:cs="Arial"/>
                <w:i/>
                <w:sz w:val="20"/>
                <w:szCs w:val="20"/>
              </w:rPr>
              <w:t>Database Service</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F4E6A5B" w14:textId="77777777" w:rsidR="00C53FD0" w:rsidRPr="00166665" w:rsidRDefault="00C53FD0" w:rsidP="000D476B">
            <w:pPr>
              <w:rPr>
                <w:rFonts w:ascii="Arial" w:eastAsia="Verdana" w:hAnsi="Arial" w:cs="Arial"/>
                <w:i/>
                <w:strike/>
                <w:sz w:val="20"/>
                <w:szCs w:val="20"/>
              </w:rPr>
            </w:pPr>
          </w:p>
        </w:tc>
      </w:tr>
      <w:tr w:rsidR="00C53FD0" w:rsidRPr="00166665" w14:paraId="4B3FFC4E"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FC79DB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Oracle DBMS</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7FA29B4"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8(32)</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331ECF7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Database Service</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0099904" w14:textId="77777777" w:rsidR="00C53FD0" w:rsidRPr="00166665" w:rsidRDefault="00C53FD0" w:rsidP="000D476B">
            <w:pPr>
              <w:rPr>
                <w:rFonts w:ascii="Arial" w:eastAsia="Verdana" w:hAnsi="Arial" w:cs="Arial"/>
                <w:i/>
                <w:iCs/>
                <w:sz w:val="20"/>
                <w:szCs w:val="20"/>
              </w:rPr>
            </w:pPr>
          </w:p>
        </w:tc>
      </w:tr>
      <w:tr w:rsidR="00C53FD0" w:rsidRPr="00166665" w14:paraId="6A142F2B"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0BF0B9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Oracle Data Guard Broker</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C2D404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F06DCB3"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Database Service</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654D85D5" w14:textId="77777777" w:rsidR="00C53FD0" w:rsidRPr="00166665" w:rsidRDefault="00C53FD0" w:rsidP="000D476B">
            <w:pPr>
              <w:rPr>
                <w:rFonts w:ascii="Arial" w:eastAsia="Verdana" w:hAnsi="Arial" w:cs="Arial"/>
                <w:i/>
                <w:iCs/>
                <w:sz w:val="20"/>
                <w:szCs w:val="20"/>
              </w:rPr>
            </w:pPr>
          </w:p>
        </w:tc>
      </w:tr>
      <w:tr w:rsidR="00C53FD0" w:rsidRPr="00166665" w14:paraId="515AAEB1"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36268F4"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Microsoft SQL DBMS</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161147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12</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5459BE37"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Database Service</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1E3204C" w14:textId="77777777" w:rsidR="00C53FD0" w:rsidRPr="00166665" w:rsidRDefault="00C53FD0" w:rsidP="000D476B">
            <w:pPr>
              <w:rPr>
                <w:rFonts w:ascii="Arial" w:eastAsia="Verdana" w:hAnsi="Arial" w:cs="Arial"/>
                <w:i/>
                <w:iCs/>
                <w:sz w:val="20"/>
                <w:szCs w:val="20"/>
              </w:rPr>
            </w:pPr>
          </w:p>
        </w:tc>
      </w:tr>
      <w:tr w:rsidR="00C53FD0" w:rsidRPr="00166665" w14:paraId="270256DA" w14:textId="77777777" w:rsidTr="000D476B">
        <w:trPr>
          <w:trHeight w:val="487"/>
        </w:trPr>
        <w:tc>
          <w:tcPr>
            <w:tcW w:w="3676"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1EECA727"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Microsoft SQL File Share Witness (FSW)</w:t>
            </w:r>
          </w:p>
        </w:tc>
        <w:tc>
          <w:tcPr>
            <w:tcW w:w="141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77D53764"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w:t>
            </w:r>
          </w:p>
        </w:tc>
        <w:tc>
          <w:tcPr>
            <w:tcW w:w="2127"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49BAE85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Database Service</w:t>
            </w:r>
          </w:p>
        </w:tc>
        <w:tc>
          <w:tcPr>
            <w:tcW w:w="2409" w:type="dxa"/>
            <w:tcBorders>
              <w:top w:val="single" w:sz="17" w:space="0" w:color="000000" w:themeColor="text1"/>
              <w:left w:val="single" w:sz="4" w:space="0" w:color="000000" w:themeColor="text1"/>
              <w:bottom w:val="single" w:sz="17" w:space="0" w:color="000000" w:themeColor="text1"/>
              <w:right w:val="single" w:sz="4" w:space="0" w:color="000000" w:themeColor="text1"/>
            </w:tcBorders>
          </w:tcPr>
          <w:p w14:paraId="226F6855" w14:textId="77777777" w:rsidR="00C53FD0" w:rsidRPr="00166665" w:rsidRDefault="00C53FD0" w:rsidP="000D476B">
            <w:pPr>
              <w:rPr>
                <w:rFonts w:ascii="Arial" w:eastAsia="Verdana" w:hAnsi="Arial" w:cs="Arial"/>
                <w:i/>
                <w:iCs/>
                <w:sz w:val="20"/>
                <w:szCs w:val="20"/>
              </w:rPr>
            </w:pPr>
          </w:p>
        </w:tc>
      </w:tr>
      <w:tr w:rsidR="00C53FD0" w:rsidRPr="00166665" w14:paraId="1F3B542D" w14:textId="77777777" w:rsidTr="000D476B">
        <w:trPr>
          <w:trHeight w:val="487"/>
        </w:trPr>
        <w:tc>
          <w:tcPr>
            <w:tcW w:w="3676" w:type="dxa"/>
            <w:tcBorders>
              <w:top w:val="single" w:sz="17" w:space="0" w:color="000000" w:themeColor="text1"/>
              <w:left w:val="single" w:sz="4" w:space="0" w:color="000000" w:themeColor="text1"/>
              <w:bottom w:val="single" w:sz="4" w:space="0" w:color="000000" w:themeColor="text1"/>
              <w:right w:val="single" w:sz="4" w:space="0" w:color="000000" w:themeColor="text1"/>
            </w:tcBorders>
          </w:tcPr>
          <w:p w14:paraId="1FCAB819" w14:textId="77777777" w:rsidR="00C53FD0" w:rsidRPr="00185CBB" w:rsidRDefault="00C53FD0" w:rsidP="000D476B">
            <w:pPr>
              <w:rPr>
                <w:rFonts w:ascii="Arial" w:eastAsia="Verdana" w:hAnsi="Arial" w:cs="Arial"/>
                <w:i/>
                <w:sz w:val="20"/>
                <w:szCs w:val="20"/>
              </w:rPr>
            </w:pPr>
            <w:r w:rsidRPr="00185CBB">
              <w:rPr>
                <w:rFonts w:ascii="Arial" w:eastAsia="Verdana" w:hAnsi="Arial" w:cs="Arial"/>
                <w:i/>
                <w:sz w:val="20"/>
                <w:szCs w:val="20"/>
              </w:rPr>
              <w:t>Vertiv Geist GS 39964l-B</w:t>
            </w:r>
          </w:p>
        </w:tc>
        <w:tc>
          <w:tcPr>
            <w:tcW w:w="1417" w:type="dxa"/>
            <w:tcBorders>
              <w:top w:val="single" w:sz="17" w:space="0" w:color="000000" w:themeColor="text1"/>
              <w:left w:val="single" w:sz="4" w:space="0" w:color="000000" w:themeColor="text1"/>
              <w:bottom w:val="single" w:sz="4" w:space="0" w:color="000000" w:themeColor="text1"/>
              <w:right w:val="single" w:sz="4" w:space="0" w:color="000000" w:themeColor="text1"/>
            </w:tcBorders>
          </w:tcPr>
          <w:p w14:paraId="3F0554D3" w14:textId="77777777" w:rsidR="00C53FD0" w:rsidRPr="00185CBB" w:rsidRDefault="00C53FD0" w:rsidP="000D476B">
            <w:pPr>
              <w:rPr>
                <w:rFonts w:ascii="Arial" w:eastAsia="Verdana" w:hAnsi="Arial" w:cs="Arial"/>
                <w:i/>
                <w:sz w:val="20"/>
                <w:szCs w:val="20"/>
              </w:rPr>
            </w:pPr>
            <w:r>
              <w:rPr>
                <w:rFonts w:ascii="Arial" w:eastAsia="Verdana" w:hAnsi="Arial" w:cs="Arial"/>
                <w:i/>
                <w:sz w:val="20"/>
                <w:szCs w:val="20"/>
              </w:rPr>
              <w:t>18</w:t>
            </w:r>
          </w:p>
        </w:tc>
        <w:tc>
          <w:tcPr>
            <w:tcW w:w="2127" w:type="dxa"/>
            <w:tcBorders>
              <w:top w:val="single" w:sz="17" w:space="0" w:color="000000" w:themeColor="text1"/>
              <w:left w:val="single" w:sz="4" w:space="0" w:color="000000" w:themeColor="text1"/>
              <w:bottom w:val="single" w:sz="4" w:space="0" w:color="000000" w:themeColor="text1"/>
              <w:right w:val="single" w:sz="4" w:space="0" w:color="000000" w:themeColor="text1"/>
            </w:tcBorders>
          </w:tcPr>
          <w:p w14:paraId="4A93EFE7" w14:textId="77777777" w:rsidR="00C53FD0" w:rsidRPr="00185CBB" w:rsidRDefault="00C53FD0" w:rsidP="000D476B">
            <w:pPr>
              <w:rPr>
                <w:rFonts w:ascii="Arial" w:eastAsia="Verdana" w:hAnsi="Arial" w:cs="Arial"/>
                <w:i/>
                <w:sz w:val="20"/>
                <w:szCs w:val="20"/>
              </w:rPr>
            </w:pPr>
            <w:r w:rsidRPr="00185CBB">
              <w:rPr>
                <w:rFonts w:ascii="Arial" w:eastAsia="Verdana" w:hAnsi="Arial" w:cs="Arial"/>
                <w:i/>
                <w:sz w:val="20"/>
                <w:szCs w:val="20"/>
              </w:rPr>
              <w:t>Power Distribution</w:t>
            </w:r>
          </w:p>
        </w:tc>
        <w:tc>
          <w:tcPr>
            <w:tcW w:w="2409" w:type="dxa"/>
            <w:tcBorders>
              <w:top w:val="single" w:sz="17" w:space="0" w:color="000000" w:themeColor="text1"/>
              <w:left w:val="single" w:sz="4" w:space="0" w:color="000000" w:themeColor="text1"/>
              <w:bottom w:val="single" w:sz="4" w:space="0" w:color="000000" w:themeColor="text1"/>
              <w:right w:val="single" w:sz="4" w:space="0" w:color="000000" w:themeColor="text1"/>
            </w:tcBorders>
          </w:tcPr>
          <w:p w14:paraId="2867552C" w14:textId="77777777" w:rsidR="00C53FD0" w:rsidRPr="00185CBB" w:rsidRDefault="00C53FD0" w:rsidP="000D476B">
            <w:pPr>
              <w:rPr>
                <w:rFonts w:ascii="Arial" w:eastAsia="Verdana" w:hAnsi="Arial" w:cs="Arial"/>
                <w:i/>
                <w:sz w:val="20"/>
                <w:szCs w:val="20"/>
              </w:rPr>
            </w:pPr>
          </w:p>
        </w:tc>
      </w:tr>
    </w:tbl>
    <w:p w14:paraId="4218F7FF" w14:textId="77777777" w:rsidR="00C53FD0" w:rsidRPr="00166665" w:rsidRDefault="00C53FD0" w:rsidP="009D675B">
      <w:pPr>
        <w:pStyle w:val="Heading1"/>
        <w:numPr>
          <w:ilvl w:val="0"/>
          <w:numId w:val="134"/>
        </w:numPr>
        <w:tabs>
          <w:tab w:val="num" w:pos="709"/>
        </w:tabs>
        <w:ind w:left="709" w:hanging="709"/>
        <w:rPr>
          <w:rFonts w:cs="Arial"/>
          <w:b w:val="0"/>
          <w:bCs w:val="0"/>
          <w:szCs w:val="20"/>
        </w:rPr>
      </w:pPr>
      <w:r w:rsidRPr="00166665">
        <w:rPr>
          <w:rFonts w:cs="Arial"/>
          <w:szCs w:val="20"/>
        </w:rPr>
        <w:t>MAINTENANCE AND REPLACEMENT</w:t>
      </w:r>
    </w:p>
    <w:p w14:paraId="52EECD93" w14:textId="66BA4222" w:rsidR="00C53FD0" w:rsidRPr="00166665" w:rsidRDefault="00C53FD0" w:rsidP="009D675B">
      <w:pPr>
        <w:pStyle w:val="Heading2"/>
        <w:numPr>
          <w:ilvl w:val="1"/>
          <w:numId w:val="134"/>
        </w:numPr>
        <w:tabs>
          <w:tab w:val="num" w:pos="709"/>
        </w:tabs>
        <w:ind w:left="709" w:hanging="709"/>
        <w:rPr>
          <w:rFonts w:cs="Arial"/>
          <w:szCs w:val="20"/>
        </w:rPr>
      </w:pPr>
      <w:r w:rsidRPr="00166665">
        <w:rPr>
          <w:rFonts w:cs="Arial"/>
          <w:szCs w:val="20"/>
        </w:rPr>
        <w:t xml:space="preserve">The Supplier will manage all warranty contracts for all </w:t>
      </w:r>
      <w:proofErr w:type="spellStart"/>
      <w:r w:rsidR="001F1C19">
        <w:rPr>
          <w:rFonts w:cs="Arial"/>
          <w:szCs w:val="20"/>
        </w:rPr>
        <w:t>Netlink</w:t>
      </w:r>
      <w:proofErr w:type="spellEnd"/>
      <w:r w:rsidR="001F1C19">
        <w:rPr>
          <w:rFonts w:cs="Arial"/>
          <w:szCs w:val="20"/>
        </w:rPr>
        <w:t xml:space="preserve"> Star</w:t>
      </w:r>
      <w:r w:rsidRPr="00166665">
        <w:rPr>
          <w:rFonts w:cs="Arial"/>
          <w:szCs w:val="20"/>
        </w:rPr>
        <w:t xml:space="preserve"> Assets according to Para</w:t>
      </w:r>
      <w:r>
        <w:rPr>
          <w:rFonts w:cs="Arial"/>
          <w:szCs w:val="20"/>
        </w:rPr>
        <w:t>graph</w:t>
      </w:r>
      <w:r w:rsidRPr="00166665">
        <w:rPr>
          <w:rFonts w:cs="Arial"/>
          <w:szCs w:val="20"/>
        </w:rPr>
        <w:t xml:space="preserve"> 5.1.13</w:t>
      </w:r>
      <w:r>
        <w:rPr>
          <w:rFonts w:cs="Arial"/>
          <w:szCs w:val="20"/>
        </w:rPr>
        <w:t xml:space="preserve"> of </w:t>
      </w:r>
      <w:r w:rsidRPr="00166665">
        <w:rPr>
          <w:rFonts w:cs="Arial"/>
          <w:szCs w:val="20"/>
        </w:rPr>
        <w:t xml:space="preserve">Schedule 2.1 </w:t>
      </w:r>
      <w:r>
        <w:rPr>
          <w:rFonts w:cs="Arial"/>
          <w:szCs w:val="20"/>
        </w:rPr>
        <w:t>(Service Description).</w:t>
      </w:r>
    </w:p>
    <w:p w14:paraId="2E51555F" w14:textId="1288133B" w:rsidR="00C53FD0" w:rsidRPr="00166665" w:rsidRDefault="00C53FD0" w:rsidP="009D675B">
      <w:pPr>
        <w:pStyle w:val="Heading2"/>
        <w:numPr>
          <w:ilvl w:val="1"/>
          <w:numId w:val="134"/>
        </w:numPr>
        <w:tabs>
          <w:tab w:val="num" w:pos="709"/>
        </w:tabs>
        <w:ind w:left="709" w:hanging="709"/>
        <w:rPr>
          <w:rFonts w:cs="Arial"/>
          <w:szCs w:val="20"/>
        </w:rPr>
      </w:pPr>
      <w:r w:rsidRPr="00166665">
        <w:rPr>
          <w:rFonts w:cs="Arial"/>
          <w:szCs w:val="20"/>
        </w:rPr>
        <w:t xml:space="preserve">The Supplier will provide capacity management for all </w:t>
      </w:r>
      <w:proofErr w:type="spellStart"/>
      <w:r w:rsidR="001F1C19">
        <w:rPr>
          <w:rFonts w:cs="Arial"/>
          <w:szCs w:val="20"/>
        </w:rPr>
        <w:t>Netlink</w:t>
      </w:r>
      <w:proofErr w:type="spellEnd"/>
      <w:r w:rsidR="001F1C19">
        <w:rPr>
          <w:rFonts w:cs="Arial"/>
          <w:szCs w:val="20"/>
        </w:rPr>
        <w:t xml:space="preserve"> Star</w:t>
      </w:r>
      <w:r w:rsidRPr="00166665">
        <w:rPr>
          <w:rFonts w:cs="Arial"/>
          <w:szCs w:val="20"/>
        </w:rPr>
        <w:t xml:space="preserve"> Assets according to Para</w:t>
      </w:r>
      <w:r>
        <w:rPr>
          <w:rFonts w:cs="Arial"/>
          <w:szCs w:val="20"/>
        </w:rPr>
        <w:t>graph</w:t>
      </w:r>
      <w:r w:rsidRPr="00166665">
        <w:rPr>
          <w:rFonts w:cs="Arial"/>
          <w:szCs w:val="20"/>
        </w:rPr>
        <w:t xml:space="preserve"> 5.1.9</w:t>
      </w:r>
      <w:r>
        <w:rPr>
          <w:rFonts w:cs="Arial"/>
          <w:szCs w:val="20"/>
        </w:rPr>
        <w:t xml:space="preserve"> of </w:t>
      </w:r>
      <w:r w:rsidRPr="00166665">
        <w:rPr>
          <w:rFonts w:cs="Arial"/>
          <w:szCs w:val="20"/>
        </w:rPr>
        <w:t>Schedule 2.1</w:t>
      </w:r>
      <w:r>
        <w:rPr>
          <w:rFonts w:cs="Arial"/>
          <w:szCs w:val="20"/>
        </w:rPr>
        <w:t>(Service Description).</w:t>
      </w:r>
    </w:p>
    <w:p w14:paraId="0144F69B" w14:textId="77777777" w:rsidR="00C53FD0" w:rsidRDefault="00C53FD0" w:rsidP="009D675B">
      <w:pPr>
        <w:pStyle w:val="Heading2"/>
        <w:numPr>
          <w:ilvl w:val="1"/>
          <w:numId w:val="134"/>
        </w:numPr>
        <w:tabs>
          <w:tab w:val="num" w:pos="709"/>
        </w:tabs>
        <w:ind w:left="709" w:hanging="709"/>
        <w:rPr>
          <w:rFonts w:cs="Arial"/>
          <w:szCs w:val="20"/>
        </w:rPr>
      </w:pPr>
    </w:p>
    <w:p w14:paraId="4DB54AA9" w14:textId="09568219" w:rsidR="00C53FD0" w:rsidRPr="00166665" w:rsidRDefault="00C53FD0" w:rsidP="009D675B">
      <w:pPr>
        <w:pStyle w:val="Heading2"/>
        <w:numPr>
          <w:ilvl w:val="1"/>
          <w:numId w:val="134"/>
        </w:numPr>
        <w:tabs>
          <w:tab w:val="num" w:pos="709"/>
        </w:tabs>
        <w:ind w:left="709" w:hanging="709"/>
        <w:rPr>
          <w:rFonts w:cs="Arial"/>
          <w:szCs w:val="20"/>
        </w:rPr>
      </w:pPr>
      <w:r>
        <w:rPr>
          <w:rFonts w:cs="Arial"/>
          <w:szCs w:val="20"/>
        </w:rPr>
        <w:t xml:space="preserve">Supplier will provide manual inputs for usage of software licenses related to the Services for </w:t>
      </w:r>
      <w:proofErr w:type="spellStart"/>
      <w:r w:rsidR="001F1C19">
        <w:rPr>
          <w:rFonts w:cs="Arial"/>
          <w:szCs w:val="20"/>
        </w:rPr>
        <w:t>Netlink</w:t>
      </w:r>
      <w:proofErr w:type="spellEnd"/>
      <w:r w:rsidR="001F1C19">
        <w:rPr>
          <w:rFonts w:cs="Arial"/>
          <w:szCs w:val="20"/>
        </w:rPr>
        <w:t xml:space="preserve"> Star</w:t>
      </w:r>
      <w:r>
        <w:rPr>
          <w:rFonts w:cs="Arial"/>
          <w:szCs w:val="20"/>
        </w:rPr>
        <w:t xml:space="preserve">’s licensing database to </w:t>
      </w:r>
      <w:proofErr w:type="gramStart"/>
      <w:r>
        <w:rPr>
          <w:rFonts w:cs="Arial"/>
          <w:szCs w:val="20"/>
        </w:rPr>
        <w:t>allow;</w:t>
      </w:r>
      <w:proofErr w:type="gramEnd"/>
      <w:r>
        <w:rPr>
          <w:rFonts w:cs="Arial"/>
          <w:szCs w:val="20"/>
        </w:rPr>
        <w:t xml:space="preserve"> </w:t>
      </w:r>
    </w:p>
    <w:p w14:paraId="3EFE11A2" w14:textId="254A28F3" w:rsidR="00C53FD0" w:rsidRPr="00166665" w:rsidRDefault="001F1C19" w:rsidP="009D675B">
      <w:pPr>
        <w:pStyle w:val="Heading30"/>
        <w:numPr>
          <w:ilvl w:val="2"/>
          <w:numId w:val="134"/>
        </w:numPr>
        <w:tabs>
          <w:tab w:val="num" w:pos="1702"/>
        </w:tabs>
        <w:ind w:left="1702" w:hanging="992"/>
      </w:pPr>
      <w:proofErr w:type="spellStart"/>
      <w:r>
        <w:lastRenderedPageBreak/>
        <w:t>Netlink</w:t>
      </w:r>
      <w:proofErr w:type="spellEnd"/>
      <w:r>
        <w:t xml:space="preserve"> Star</w:t>
      </w:r>
      <w:r w:rsidR="00C53FD0">
        <w:t xml:space="preserve"> to check </w:t>
      </w:r>
      <w:r w:rsidR="00C53FD0" w:rsidRPr="00166665">
        <w:t xml:space="preserve">regularly the then-current database to ensure the Supplier is using </w:t>
      </w:r>
      <w:proofErr w:type="spellStart"/>
      <w:r>
        <w:t>Netlink</w:t>
      </w:r>
      <w:proofErr w:type="spellEnd"/>
      <w:r>
        <w:t xml:space="preserve"> Star</w:t>
      </w:r>
      <w:r w:rsidR="00C53FD0" w:rsidRPr="00166665">
        <w:t xml:space="preserve"> Software and other tooling within </w:t>
      </w:r>
      <w:proofErr w:type="spellStart"/>
      <w:r>
        <w:t>Netlink</w:t>
      </w:r>
      <w:proofErr w:type="spellEnd"/>
      <w:r>
        <w:t xml:space="preserve"> Star</w:t>
      </w:r>
      <w:r w:rsidR="00C53FD0" w:rsidRPr="00166665">
        <w:t>’s existing licensing allowances; and</w:t>
      </w:r>
    </w:p>
    <w:p w14:paraId="11F70F1B" w14:textId="2911C4A0" w:rsidR="00033F28" w:rsidRDefault="001F1C19" w:rsidP="009D675B">
      <w:pPr>
        <w:pStyle w:val="Heading30"/>
        <w:numPr>
          <w:ilvl w:val="2"/>
          <w:numId w:val="134"/>
        </w:numPr>
        <w:tabs>
          <w:tab w:val="num" w:pos="1702"/>
        </w:tabs>
        <w:ind w:left="1702" w:hanging="992"/>
      </w:pPr>
      <w:proofErr w:type="spellStart"/>
      <w:r>
        <w:t>Netlink</w:t>
      </w:r>
      <w:proofErr w:type="spellEnd"/>
      <w:r>
        <w:t xml:space="preserve"> Star</w:t>
      </w:r>
      <w:r w:rsidR="00C53FD0">
        <w:t xml:space="preserve"> to update </w:t>
      </w:r>
      <w:r w:rsidR="00C53FD0" w:rsidRPr="00166665">
        <w:t xml:space="preserve">the database each time the Supplier adds to, removes </w:t>
      </w:r>
      <w:proofErr w:type="gramStart"/>
      <w:r w:rsidR="00C53FD0" w:rsidRPr="00166665">
        <w:t>from</w:t>
      </w:r>
      <w:proofErr w:type="gramEnd"/>
      <w:r w:rsidR="00C53FD0" w:rsidRPr="00166665">
        <w:t xml:space="preserve"> or amends in any way the existing licensing arrangements contained within the database.</w:t>
      </w:r>
    </w:p>
    <w:p w14:paraId="421C52AA" w14:textId="29B0F981" w:rsidR="00F933B5" w:rsidRDefault="00F933B5" w:rsidP="009D675B">
      <w:pPr>
        <w:pStyle w:val="Heading30"/>
        <w:numPr>
          <w:ilvl w:val="2"/>
          <w:numId w:val="134"/>
        </w:numPr>
        <w:ind w:left="1702" w:hanging="992"/>
      </w:pPr>
      <w:proofErr w:type="gramStart"/>
      <w:r>
        <w:t>In the event that</w:t>
      </w:r>
      <w:proofErr w:type="gramEnd"/>
      <w:r>
        <w:t xml:space="preserve"> the Supplier is building new VMs/Servers for </w:t>
      </w:r>
      <w:proofErr w:type="spellStart"/>
      <w:r w:rsidR="001F1C19">
        <w:t>Netlink</w:t>
      </w:r>
      <w:proofErr w:type="spellEnd"/>
      <w:r w:rsidR="001F1C19">
        <w:t xml:space="preserve"> Star</w:t>
      </w:r>
      <w:r>
        <w:t xml:space="preserve">, the Supplier shall install Flexera agent on the new VM/Server and all details of this reported back and for the information on the licenses to be reported back to Flexera servers. </w:t>
      </w:r>
    </w:p>
    <w:p w14:paraId="539C14C1" w14:textId="65E853E8" w:rsidR="00F933B5" w:rsidRDefault="00F933B5" w:rsidP="009D675B">
      <w:pPr>
        <w:pStyle w:val="Heading30"/>
        <w:numPr>
          <w:ilvl w:val="2"/>
          <w:numId w:val="134"/>
        </w:numPr>
        <w:ind w:left="1702" w:hanging="992"/>
      </w:pPr>
      <w:proofErr w:type="gramStart"/>
      <w:r>
        <w:t>In the event that</w:t>
      </w:r>
      <w:proofErr w:type="gramEnd"/>
      <w:r>
        <w:t xml:space="preserve"> the Supplier procures new software and/or hardware on </w:t>
      </w:r>
      <w:proofErr w:type="spellStart"/>
      <w:r w:rsidR="001F1C19">
        <w:t>Netlink</w:t>
      </w:r>
      <w:proofErr w:type="spellEnd"/>
      <w:r w:rsidR="001F1C19">
        <w:t xml:space="preserve"> Star</w:t>
      </w:r>
      <w:r>
        <w:t xml:space="preserve">’s behalf then it shall complete all relevant FNMS form/template with relevant information and send the forms/template to the </w:t>
      </w:r>
      <w:proofErr w:type="spellStart"/>
      <w:r w:rsidR="001F1C19">
        <w:t>Netlink</w:t>
      </w:r>
      <w:proofErr w:type="spellEnd"/>
      <w:r w:rsidR="001F1C19">
        <w:t xml:space="preserve"> Star</w:t>
      </w:r>
      <w:r>
        <w:t xml:space="preserve"> SAM team for the data to be imported into Flexera. </w:t>
      </w:r>
    </w:p>
    <w:p w14:paraId="25D51784" w14:textId="03E347BC" w:rsidR="00F933B5" w:rsidRDefault="00F933B5" w:rsidP="009D675B">
      <w:pPr>
        <w:pStyle w:val="Heading30"/>
        <w:numPr>
          <w:ilvl w:val="2"/>
          <w:numId w:val="134"/>
        </w:numPr>
        <w:tabs>
          <w:tab w:val="num" w:pos="1702"/>
        </w:tabs>
        <w:ind w:left="1702" w:hanging="992"/>
      </w:pPr>
      <w:r>
        <w:t xml:space="preserve">The Supplier shall inform </w:t>
      </w:r>
      <w:proofErr w:type="spellStart"/>
      <w:r w:rsidR="001F1C19">
        <w:t>Netlink</w:t>
      </w:r>
      <w:proofErr w:type="spellEnd"/>
      <w:r w:rsidR="001F1C19">
        <w:t xml:space="preserve"> Star</w:t>
      </w:r>
      <w:r>
        <w:t xml:space="preserve"> in advance if there is a change in licensing required by </w:t>
      </w:r>
      <w:proofErr w:type="spellStart"/>
      <w:r w:rsidR="001F1C19">
        <w:t>Netlink</w:t>
      </w:r>
      <w:proofErr w:type="spellEnd"/>
      <w:r w:rsidR="001F1C19">
        <w:t xml:space="preserve"> Star</w:t>
      </w:r>
      <w:r>
        <w:t xml:space="preserve"> due to the procurement or installation by the Supplier and provide sufficient notice for </w:t>
      </w:r>
      <w:proofErr w:type="spellStart"/>
      <w:r w:rsidR="001F1C19">
        <w:t>Netlink</w:t>
      </w:r>
      <w:proofErr w:type="spellEnd"/>
      <w:r w:rsidR="001F1C19">
        <w:t xml:space="preserve"> Star</w:t>
      </w:r>
      <w:r>
        <w:t xml:space="preserve"> to for example, procure more licenses or procure a wider license. </w:t>
      </w:r>
    </w:p>
    <w:p w14:paraId="77EC5F98" w14:textId="77777777" w:rsidR="00F933B5" w:rsidRDefault="00F933B5" w:rsidP="00F933B5">
      <w:pPr>
        <w:pStyle w:val="Heading30"/>
        <w:numPr>
          <w:ilvl w:val="0"/>
          <w:numId w:val="0"/>
        </w:numPr>
        <w:ind w:left="1702"/>
      </w:pPr>
    </w:p>
    <w:p w14:paraId="695234C8" w14:textId="77777777" w:rsidR="00033F28" w:rsidRDefault="00033F28" w:rsidP="00033F28">
      <w:pPr>
        <w:pStyle w:val="Heading30"/>
        <w:numPr>
          <w:ilvl w:val="0"/>
          <w:numId w:val="0"/>
        </w:numPr>
        <w:ind w:left="1702" w:hanging="992"/>
      </w:pPr>
    </w:p>
    <w:p w14:paraId="02F6CE7D" w14:textId="283DE3A0" w:rsidR="00033F28" w:rsidRPr="00033F28" w:rsidRDefault="00033F28" w:rsidP="00033F28">
      <w:pPr>
        <w:pStyle w:val="Heading30"/>
        <w:numPr>
          <w:ilvl w:val="0"/>
          <w:numId w:val="0"/>
        </w:numPr>
        <w:ind w:left="1702" w:hanging="992"/>
        <w:sectPr w:rsidR="00033F28" w:rsidRPr="00033F28">
          <w:headerReference w:type="even" r:id="rId40"/>
          <w:headerReference w:type="default" r:id="rId41"/>
          <w:footerReference w:type="even" r:id="rId42"/>
          <w:footerReference w:type="default" r:id="rId43"/>
          <w:headerReference w:type="first" r:id="rId44"/>
          <w:footerReference w:type="first" r:id="rId45"/>
          <w:pgSz w:w="11906" w:h="16838"/>
          <w:pgMar w:top="1440" w:right="1440" w:bottom="1440" w:left="1440" w:header="708" w:footer="708" w:gutter="0"/>
          <w:cols w:space="708"/>
          <w:docGrid w:linePitch="360"/>
        </w:sectPr>
      </w:pPr>
    </w:p>
    <w:p w14:paraId="3D1DB788" w14:textId="77777777" w:rsidR="00C53FD0" w:rsidRPr="00166665" w:rsidRDefault="00C53FD0" w:rsidP="00C53FD0">
      <w:pPr>
        <w:jc w:val="center"/>
        <w:rPr>
          <w:rFonts w:cs="Arial"/>
          <w:b/>
          <w:bCs/>
          <w:szCs w:val="20"/>
        </w:rPr>
      </w:pPr>
      <w:r w:rsidRPr="00166665">
        <w:rPr>
          <w:rFonts w:cs="Arial"/>
          <w:b/>
          <w:bCs/>
          <w:szCs w:val="20"/>
        </w:rPr>
        <w:lastRenderedPageBreak/>
        <w:t>PART B: SOFTWARE</w:t>
      </w:r>
    </w:p>
    <w:p w14:paraId="3816BD84" w14:textId="77777777" w:rsidR="00C53FD0" w:rsidRPr="00166665" w:rsidRDefault="00C53FD0" w:rsidP="009D675B">
      <w:pPr>
        <w:pStyle w:val="Heading1"/>
        <w:numPr>
          <w:ilvl w:val="0"/>
          <w:numId w:val="136"/>
        </w:numPr>
        <w:tabs>
          <w:tab w:val="left" w:pos="720"/>
        </w:tabs>
        <w:ind w:left="709" w:hanging="709"/>
        <w:rPr>
          <w:rFonts w:cs="Arial"/>
          <w:b w:val="0"/>
          <w:bCs w:val="0"/>
          <w:szCs w:val="20"/>
        </w:rPr>
      </w:pPr>
      <w:r w:rsidRPr="00166665">
        <w:rPr>
          <w:rFonts w:cs="Arial"/>
          <w:szCs w:val="20"/>
        </w:rPr>
        <w:t xml:space="preserve">THE SOFTWARE </w:t>
      </w:r>
    </w:p>
    <w:p w14:paraId="5B713403" w14:textId="3EC0E9F6" w:rsidR="00C53FD0" w:rsidRPr="00166665" w:rsidRDefault="00C53FD0" w:rsidP="009D675B">
      <w:pPr>
        <w:pStyle w:val="Heading2"/>
        <w:numPr>
          <w:ilvl w:val="1"/>
          <w:numId w:val="134"/>
        </w:numPr>
        <w:tabs>
          <w:tab w:val="num" w:pos="709"/>
        </w:tabs>
        <w:ind w:left="709" w:hanging="709"/>
        <w:rPr>
          <w:rFonts w:cs="Arial"/>
          <w:szCs w:val="20"/>
        </w:rPr>
      </w:pPr>
      <w:r w:rsidRPr="00166665">
        <w:rPr>
          <w:rFonts w:cs="Arial"/>
          <w:szCs w:val="20"/>
        </w:rPr>
        <w:t xml:space="preserve">The Parties agree that they will update this Schedule periodically to record any </w:t>
      </w:r>
      <w:proofErr w:type="spellStart"/>
      <w:r w:rsidR="001F1C19">
        <w:rPr>
          <w:rFonts w:cs="Arial"/>
          <w:szCs w:val="20"/>
        </w:rPr>
        <w:t>Netlink</w:t>
      </w:r>
      <w:proofErr w:type="spellEnd"/>
      <w:r w:rsidR="001F1C19">
        <w:rPr>
          <w:rFonts w:cs="Arial"/>
          <w:szCs w:val="20"/>
        </w:rPr>
        <w:t xml:space="preserve"> Star</w:t>
      </w:r>
      <w:r w:rsidRPr="00166665">
        <w:rPr>
          <w:rFonts w:cs="Arial"/>
          <w:szCs w:val="20"/>
        </w:rPr>
        <w:t xml:space="preserve"> Software, Supplier Software or </w:t>
      </w:r>
      <w:proofErr w:type="gramStart"/>
      <w:r w:rsidRPr="00166665">
        <w:rPr>
          <w:rFonts w:cs="Arial"/>
          <w:szCs w:val="20"/>
        </w:rPr>
        <w:t>Third Party</w:t>
      </w:r>
      <w:proofErr w:type="gramEnd"/>
      <w:r w:rsidRPr="00166665">
        <w:rPr>
          <w:rFonts w:cs="Arial"/>
          <w:szCs w:val="20"/>
        </w:rPr>
        <w:t xml:space="preserve"> Software subsequently licensed by the Supplier or third parties for the purposes of the delivery of the Services. </w:t>
      </w:r>
    </w:p>
    <w:p w14:paraId="20E546BC" w14:textId="77777777" w:rsidR="00C53FD0" w:rsidRPr="00166665" w:rsidRDefault="00C53FD0" w:rsidP="009D675B">
      <w:pPr>
        <w:pStyle w:val="Heading2"/>
        <w:numPr>
          <w:ilvl w:val="1"/>
          <w:numId w:val="134"/>
        </w:numPr>
        <w:tabs>
          <w:tab w:val="num" w:pos="709"/>
        </w:tabs>
        <w:ind w:left="709" w:hanging="709"/>
        <w:rPr>
          <w:rFonts w:cs="Arial"/>
          <w:szCs w:val="20"/>
        </w:rPr>
      </w:pPr>
      <w:r w:rsidRPr="00166665">
        <w:rPr>
          <w:rFonts w:cs="Arial"/>
          <w:szCs w:val="20"/>
        </w:rPr>
        <w:t>Software</w:t>
      </w:r>
      <w:r w:rsidRPr="00166665">
        <w:rPr>
          <w:rFonts w:cs="Arial"/>
          <w:b/>
          <w:szCs w:val="20"/>
        </w:rPr>
        <w:t xml:space="preserve"> </w:t>
      </w:r>
    </w:p>
    <w:p w14:paraId="16D76680" w14:textId="77777777" w:rsidR="00C53FD0" w:rsidRPr="00166665" w:rsidRDefault="00C53FD0" w:rsidP="00C53FD0">
      <w:pPr>
        <w:spacing w:line="251" w:lineRule="auto"/>
        <w:ind w:left="847" w:hanging="10"/>
        <w:rPr>
          <w:rFonts w:cs="Arial"/>
          <w:szCs w:val="20"/>
        </w:rPr>
      </w:pPr>
      <w:r w:rsidRPr="00166665">
        <w:rPr>
          <w:rFonts w:eastAsia="Verdana" w:cs="Arial"/>
          <w:i/>
          <w:iCs/>
          <w:szCs w:val="20"/>
        </w:rPr>
        <w:t xml:space="preserve">The Software includes the following items: </w:t>
      </w:r>
    </w:p>
    <w:tbl>
      <w:tblPr>
        <w:tblStyle w:val="TableGrid1"/>
        <w:tblW w:w="9062" w:type="dxa"/>
        <w:tblInd w:w="5" w:type="dxa"/>
        <w:tblCellMar>
          <w:top w:w="47" w:type="dxa"/>
          <w:right w:w="47" w:type="dxa"/>
        </w:tblCellMar>
        <w:tblLook w:val="04A0" w:firstRow="1" w:lastRow="0" w:firstColumn="1" w:lastColumn="0" w:noHBand="0" w:noVBand="1"/>
      </w:tblPr>
      <w:tblGrid>
        <w:gridCol w:w="2301"/>
        <w:gridCol w:w="1800"/>
        <w:gridCol w:w="1843"/>
        <w:gridCol w:w="1417"/>
        <w:gridCol w:w="1701"/>
      </w:tblGrid>
      <w:tr w:rsidR="00C53FD0" w:rsidRPr="00166665" w14:paraId="5985DF13" w14:textId="77777777" w:rsidTr="000D476B">
        <w:trPr>
          <w:trHeight w:val="925"/>
        </w:trPr>
        <w:tc>
          <w:tcPr>
            <w:tcW w:w="2301" w:type="dxa"/>
            <w:tcBorders>
              <w:top w:val="single" w:sz="4" w:space="0" w:color="000000" w:themeColor="text1"/>
              <w:left w:val="single" w:sz="4" w:space="0" w:color="000000" w:themeColor="text1"/>
              <w:bottom w:val="single" w:sz="17" w:space="0" w:color="000000" w:themeColor="text1"/>
              <w:right w:val="single" w:sz="4" w:space="0" w:color="000000" w:themeColor="text1"/>
            </w:tcBorders>
          </w:tcPr>
          <w:p w14:paraId="60840BEC" w14:textId="77777777" w:rsidR="00C53FD0" w:rsidRPr="00166665" w:rsidRDefault="00C53FD0" w:rsidP="000D476B">
            <w:pPr>
              <w:rPr>
                <w:rFonts w:ascii="Arial" w:hAnsi="Arial" w:cs="Arial"/>
                <w:i/>
                <w:iCs/>
                <w:sz w:val="20"/>
                <w:szCs w:val="20"/>
              </w:rPr>
            </w:pPr>
            <w:r w:rsidRPr="00166665">
              <w:rPr>
                <w:rFonts w:ascii="Arial" w:eastAsia="Verdana" w:hAnsi="Arial" w:cs="Arial"/>
                <w:b/>
                <w:i/>
                <w:iCs/>
                <w:sz w:val="20"/>
                <w:szCs w:val="20"/>
              </w:rPr>
              <w:t xml:space="preserve">Software name </w:t>
            </w:r>
          </w:p>
        </w:tc>
        <w:tc>
          <w:tcPr>
            <w:tcW w:w="1800" w:type="dxa"/>
            <w:tcBorders>
              <w:top w:val="single" w:sz="4" w:space="0" w:color="000000" w:themeColor="text1"/>
              <w:left w:val="single" w:sz="4" w:space="0" w:color="000000" w:themeColor="text1"/>
              <w:bottom w:val="single" w:sz="17" w:space="0" w:color="000000" w:themeColor="text1"/>
              <w:right w:val="single" w:sz="4" w:space="0" w:color="000000" w:themeColor="text1"/>
            </w:tcBorders>
          </w:tcPr>
          <w:p w14:paraId="44CA4B41" w14:textId="77777777" w:rsidR="00C53FD0" w:rsidRPr="00166665" w:rsidRDefault="00C53FD0" w:rsidP="000D476B">
            <w:pPr>
              <w:ind w:right="63"/>
              <w:jc w:val="both"/>
              <w:rPr>
                <w:rFonts w:ascii="Arial" w:hAnsi="Arial" w:cs="Arial"/>
                <w:i/>
                <w:iCs/>
                <w:sz w:val="20"/>
                <w:szCs w:val="20"/>
              </w:rPr>
            </w:pPr>
            <w:r w:rsidRPr="00166665">
              <w:rPr>
                <w:rFonts w:ascii="Arial" w:eastAsia="Verdana" w:hAnsi="Arial" w:cs="Arial"/>
                <w:b/>
                <w:i/>
                <w:iCs/>
                <w:sz w:val="20"/>
                <w:szCs w:val="20"/>
              </w:rPr>
              <w:t>Software supplier (Supplier or Third Party)</w:t>
            </w:r>
          </w:p>
        </w:tc>
        <w:tc>
          <w:tcPr>
            <w:tcW w:w="1843" w:type="dxa"/>
            <w:tcBorders>
              <w:top w:val="single" w:sz="4" w:space="0" w:color="000000" w:themeColor="text1"/>
              <w:left w:val="single" w:sz="4" w:space="0" w:color="000000" w:themeColor="text1"/>
              <w:bottom w:val="single" w:sz="17" w:space="0" w:color="000000" w:themeColor="text1"/>
              <w:right w:val="single" w:sz="4" w:space="0" w:color="000000" w:themeColor="text1"/>
            </w:tcBorders>
          </w:tcPr>
          <w:p w14:paraId="1FB5D362" w14:textId="77777777" w:rsidR="00C53FD0" w:rsidRPr="00166665" w:rsidRDefault="00C53FD0" w:rsidP="000D476B">
            <w:pPr>
              <w:rPr>
                <w:rFonts w:ascii="Arial" w:hAnsi="Arial" w:cs="Arial"/>
                <w:i/>
                <w:iCs/>
                <w:sz w:val="20"/>
                <w:szCs w:val="20"/>
              </w:rPr>
            </w:pPr>
            <w:r w:rsidRPr="00166665">
              <w:rPr>
                <w:rFonts w:ascii="Arial" w:eastAsia="Verdana" w:hAnsi="Arial" w:cs="Arial"/>
                <w:b/>
                <w:i/>
                <w:iCs/>
                <w:sz w:val="20"/>
                <w:szCs w:val="20"/>
              </w:rPr>
              <w:t xml:space="preserve">Purpose </w:t>
            </w:r>
          </w:p>
        </w:tc>
        <w:tc>
          <w:tcPr>
            <w:tcW w:w="1417" w:type="dxa"/>
            <w:tcBorders>
              <w:top w:val="single" w:sz="4" w:space="0" w:color="000000" w:themeColor="text1"/>
              <w:left w:val="single" w:sz="4" w:space="0" w:color="000000" w:themeColor="text1"/>
              <w:bottom w:val="single" w:sz="17" w:space="0" w:color="000000" w:themeColor="text1"/>
              <w:right w:val="single" w:sz="4" w:space="0" w:color="000000" w:themeColor="text1"/>
            </w:tcBorders>
          </w:tcPr>
          <w:p w14:paraId="1D7B171E" w14:textId="77777777" w:rsidR="00C53FD0" w:rsidRPr="00166665" w:rsidRDefault="00C53FD0" w:rsidP="000D476B">
            <w:pPr>
              <w:jc w:val="both"/>
              <w:rPr>
                <w:rFonts w:ascii="Arial" w:hAnsi="Arial" w:cs="Arial"/>
                <w:i/>
                <w:iCs/>
                <w:sz w:val="20"/>
                <w:szCs w:val="20"/>
              </w:rPr>
            </w:pPr>
            <w:r w:rsidRPr="00166665">
              <w:rPr>
                <w:rFonts w:ascii="Arial" w:eastAsia="Verdana" w:hAnsi="Arial" w:cs="Arial"/>
                <w:b/>
                <w:i/>
                <w:iCs/>
                <w:sz w:val="20"/>
                <w:szCs w:val="20"/>
              </w:rPr>
              <w:t xml:space="preserve">Number of </w:t>
            </w:r>
          </w:p>
          <w:p w14:paraId="16329C70" w14:textId="77777777" w:rsidR="00C53FD0" w:rsidRPr="00166665" w:rsidRDefault="00C53FD0" w:rsidP="000D476B">
            <w:pPr>
              <w:rPr>
                <w:rFonts w:ascii="Arial" w:hAnsi="Arial" w:cs="Arial"/>
                <w:i/>
                <w:iCs/>
                <w:sz w:val="20"/>
                <w:szCs w:val="20"/>
              </w:rPr>
            </w:pPr>
            <w:r w:rsidRPr="00166665">
              <w:rPr>
                <w:rFonts w:ascii="Arial" w:eastAsia="Verdana" w:hAnsi="Arial" w:cs="Arial"/>
                <w:b/>
                <w:i/>
                <w:iCs/>
                <w:sz w:val="20"/>
                <w:szCs w:val="20"/>
              </w:rPr>
              <w:t xml:space="preserve">Licences </w:t>
            </w:r>
          </w:p>
        </w:tc>
        <w:tc>
          <w:tcPr>
            <w:tcW w:w="1701" w:type="dxa"/>
            <w:tcBorders>
              <w:top w:val="single" w:sz="4" w:space="0" w:color="000000" w:themeColor="text1"/>
              <w:left w:val="single" w:sz="4" w:space="0" w:color="000000" w:themeColor="text1"/>
              <w:bottom w:val="single" w:sz="17" w:space="0" w:color="000000" w:themeColor="text1"/>
              <w:right w:val="single" w:sz="4" w:space="0" w:color="000000" w:themeColor="text1"/>
            </w:tcBorders>
          </w:tcPr>
          <w:p w14:paraId="2EA8338E" w14:textId="09DC50D2" w:rsidR="00C53FD0" w:rsidRPr="00166665" w:rsidRDefault="00C53FD0" w:rsidP="00420208">
            <w:pPr>
              <w:jc w:val="both"/>
              <w:rPr>
                <w:rFonts w:ascii="Arial" w:hAnsi="Arial" w:cs="Arial"/>
                <w:i/>
                <w:iCs/>
                <w:sz w:val="20"/>
                <w:szCs w:val="20"/>
              </w:rPr>
            </w:pPr>
            <w:r w:rsidRPr="00166665">
              <w:rPr>
                <w:rFonts w:ascii="Arial" w:eastAsia="Verdana" w:hAnsi="Arial" w:cs="Arial"/>
                <w:b/>
                <w:i/>
                <w:iCs/>
                <w:sz w:val="20"/>
                <w:szCs w:val="20"/>
              </w:rPr>
              <w:t xml:space="preserve">Type: </w:t>
            </w:r>
            <w:proofErr w:type="spellStart"/>
            <w:r w:rsidR="001F1C19">
              <w:rPr>
                <w:rFonts w:ascii="Arial" w:eastAsia="Verdana" w:hAnsi="Arial" w:cs="Arial"/>
                <w:b/>
                <w:i/>
                <w:iCs/>
                <w:sz w:val="20"/>
                <w:szCs w:val="20"/>
              </w:rPr>
              <w:t>Netlink</w:t>
            </w:r>
            <w:proofErr w:type="spellEnd"/>
            <w:r w:rsidR="001F1C19">
              <w:rPr>
                <w:rFonts w:ascii="Arial" w:eastAsia="Verdana" w:hAnsi="Arial" w:cs="Arial"/>
                <w:b/>
                <w:i/>
                <w:iCs/>
                <w:sz w:val="20"/>
                <w:szCs w:val="20"/>
              </w:rPr>
              <w:t xml:space="preserve"> Star</w:t>
            </w:r>
            <w:r w:rsidRPr="00166665">
              <w:rPr>
                <w:rFonts w:ascii="Arial" w:eastAsia="Verdana" w:hAnsi="Arial" w:cs="Arial"/>
                <w:b/>
                <w:i/>
                <w:iCs/>
                <w:sz w:val="20"/>
                <w:szCs w:val="20"/>
              </w:rPr>
              <w:t xml:space="preserve"> Software/ Supplier Software or </w:t>
            </w:r>
            <w:proofErr w:type="gramStart"/>
            <w:r w:rsidRPr="00166665">
              <w:rPr>
                <w:rFonts w:ascii="Arial" w:eastAsia="Verdana" w:hAnsi="Arial" w:cs="Arial"/>
                <w:b/>
                <w:i/>
                <w:iCs/>
                <w:sz w:val="20"/>
                <w:szCs w:val="20"/>
              </w:rPr>
              <w:t>Third Party</w:t>
            </w:r>
            <w:proofErr w:type="gramEnd"/>
            <w:r w:rsidRPr="00166665">
              <w:rPr>
                <w:rFonts w:ascii="Arial" w:eastAsia="Verdana" w:hAnsi="Arial" w:cs="Arial"/>
                <w:b/>
                <w:i/>
                <w:iCs/>
                <w:sz w:val="20"/>
                <w:szCs w:val="20"/>
              </w:rPr>
              <w:t xml:space="preserve"> Software (COTS </w:t>
            </w:r>
          </w:p>
          <w:p w14:paraId="05CE9147" w14:textId="77777777" w:rsidR="00C53FD0" w:rsidRPr="00166665" w:rsidRDefault="00C53FD0" w:rsidP="00420208">
            <w:pPr>
              <w:tabs>
                <w:tab w:val="right" w:pos="1261"/>
              </w:tabs>
              <w:jc w:val="both"/>
              <w:rPr>
                <w:rFonts w:ascii="Arial" w:hAnsi="Arial" w:cs="Arial"/>
                <w:i/>
                <w:iCs/>
                <w:sz w:val="20"/>
                <w:szCs w:val="20"/>
              </w:rPr>
            </w:pPr>
            <w:r w:rsidRPr="00166665">
              <w:rPr>
                <w:rFonts w:ascii="Arial" w:eastAsia="Verdana" w:hAnsi="Arial" w:cs="Arial"/>
                <w:b/>
                <w:i/>
                <w:iCs/>
                <w:sz w:val="20"/>
                <w:szCs w:val="20"/>
              </w:rPr>
              <w:t xml:space="preserve">or </w:t>
            </w:r>
            <w:r w:rsidRPr="00166665">
              <w:rPr>
                <w:rFonts w:ascii="Arial" w:eastAsia="Verdana" w:hAnsi="Arial" w:cs="Arial"/>
                <w:b/>
                <w:i/>
                <w:iCs/>
                <w:sz w:val="20"/>
                <w:szCs w:val="20"/>
              </w:rPr>
              <w:tab/>
              <w:t>Non-</w:t>
            </w:r>
          </w:p>
          <w:p w14:paraId="60A7F73B" w14:textId="77777777" w:rsidR="00C53FD0" w:rsidRPr="00166665" w:rsidRDefault="00C53FD0" w:rsidP="00420208">
            <w:pPr>
              <w:jc w:val="both"/>
              <w:rPr>
                <w:rFonts w:ascii="Arial" w:eastAsia="Verdana" w:hAnsi="Arial" w:cs="Arial"/>
                <w:b/>
                <w:i/>
                <w:iCs/>
                <w:sz w:val="20"/>
                <w:szCs w:val="20"/>
              </w:rPr>
            </w:pPr>
            <w:r w:rsidRPr="00166665">
              <w:rPr>
                <w:rFonts w:ascii="Arial" w:eastAsia="Verdana" w:hAnsi="Arial" w:cs="Arial"/>
                <w:b/>
                <w:i/>
                <w:iCs/>
                <w:sz w:val="20"/>
                <w:szCs w:val="20"/>
              </w:rPr>
              <w:t xml:space="preserve">COTS) </w:t>
            </w:r>
          </w:p>
          <w:p w14:paraId="26C4733E" w14:textId="77777777" w:rsidR="00C53FD0" w:rsidRPr="00166665" w:rsidRDefault="00C53FD0" w:rsidP="000D476B">
            <w:pPr>
              <w:rPr>
                <w:rFonts w:ascii="Arial" w:hAnsi="Arial" w:cs="Arial"/>
                <w:i/>
                <w:iCs/>
                <w:sz w:val="20"/>
                <w:szCs w:val="20"/>
              </w:rPr>
            </w:pPr>
            <w:r w:rsidRPr="00166665">
              <w:rPr>
                <w:rFonts w:ascii="Arial" w:eastAsia="Verdana" w:hAnsi="Arial" w:cs="Arial"/>
                <w:b/>
                <w:i/>
                <w:iCs/>
                <w:sz w:val="20"/>
                <w:szCs w:val="20"/>
              </w:rPr>
              <w:t xml:space="preserve"> </w:t>
            </w:r>
          </w:p>
        </w:tc>
      </w:tr>
      <w:tr w:rsidR="00C53FD0" w:rsidRPr="00166665" w14:paraId="4674CB33" w14:textId="77777777" w:rsidTr="000D476B">
        <w:trPr>
          <w:trHeight w:val="487"/>
        </w:trPr>
        <w:tc>
          <w:tcPr>
            <w:tcW w:w="2301" w:type="dxa"/>
            <w:tcBorders>
              <w:top w:val="single" w:sz="17" w:space="0" w:color="000000" w:themeColor="text1"/>
              <w:left w:val="single" w:sz="4" w:space="0" w:color="000000" w:themeColor="text1"/>
              <w:bottom w:val="single" w:sz="4" w:space="0" w:color="000000" w:themeColor="text1"/>
              <w:right w:val="single" w:sz="4" w:space="0" w:color="000000" w:themeColor="text1"/>
            </w:tcBorders>
          </w:tcPr>
          <w:p w14:paraId="7FCBB5AA" w14:textId="77777777" w:rsidR="00C53FD0" w:rsidRPr="00166665" w:rsidRDefault="00C53FD0" w:rsidP="000D476B">
            <w:pPr>
              <w:rPr>
                <w:rFonts w:ascii="Arial" w:hAnsi="Arial" w:cs="Arial"/>
                <w:i/>
                <w:iCs/>
                <w:sz w:val="20"/>
                <w:szCs w:val="20"/>
              </w:rPr>
            </w:pPr>
            <w:r w:rsidRPr="00166665">
              <w:rPr>
                <w:rFonts w:ascii="Arial" w:eastAsia="Verdana" w:hAnsi="Arial" w:cs="Arial"/>
                <w:i/>
                <w:iCs/>
                <w:sz w:val="20"/>
                <w:szCs w:val="20"/>
              </w:rPr>
              <w:t>iDRAC9 Enterprise</w:t>
            </w:r>
          </w:p>
        </w:tc>
        <w:tc>
          <w:tcPr>
            <w:tcW w:w="1800" w:type="dxa"/>
            <w:tcBorders>
              <w:top w:val="single" w:sz="17" w:space="0" w:color="000000" w:themeColor="text1"/>
              <w:left w:val="single" w:sz="4" w:space="0" w:color="000000" w:themeColor="text1"/>
              <w:bottom w:val="single" w:sz="4" w:space="0" w:color="000000" w:themeColor="text1"/>
              <w:right w:val="single" w:sz="4" w:space="0" w:color="000000" w:themeColor="text1"/>
            </w:tcBorders>
          </w:tcPr>
          <w:p w14:paraId="45052BD3" w14:textId="77777777" w:rsidR="00C53FD0" w:rsidRPr="00166665" w:rsidRDefault="00C53FD0" w:rsidP="000D476B">
            <w:pPr>
              <w:rPr>
                <w:rFonts w:ascii="Arial" w:hAnsi="Arial" w:cs="Arial"/>
                <w:i/>
                <w:iCs/>
                <w:sz w:val="20"/>
                <w:szCs w:val="20"/>
              </w:rPr>
            </w:pPr>
            <w:r w:rsidRPr="00166665">
              <w:rPr>
                <w:rFonts w:ascii="Arial" w:eastAsia="Verdana" w:hAnsi="Arial" w:cs="Arial"/>
                <w:i/>
                <w:iCs/>
                <w:sz w:val="20"/>
                <w:szCs w:val="20"/>
              </w:rPr>
              <w:t xml:space="preserve"> Dell</w:t>
            </w:r>
          </w:p>
        </w:tc>
        <w:tc>
          <w:tcPr>
            <w:tcW w:w="1843" w:type="dxa"/>
            <w:tcBorders>
              <w:top w:val="single" w:sz="17" w:space="0" w:color="000000" w:themeColor="text1"/>
              <w:left w:val="single" w:sz="4" w:space="0" w:color="000000" w:themeColor="text1"/>
              <w:bottom w:val="single" w:sz="4" w:space="0" w:color="000000" w:themeColor="text1"/>
              <w:right w:val="single" w:sz="4" w:space="0" w:color="000000" w:themeColor="text1"/>
            </w:tcBorders>
          </w:tcPr>
          <w:p w14:paraId="726F1B3C" w14:textId="77777777" w:rsidR="00C53FD0" w:rsidRPr="00166665" w:rsidRDefault="00C53FD0" w:rsidP="000D476B">
            <w:pPr>
              <w:rPr>
                <w:rFonts w:ascii="Arial" w:hAnsi="Arial" w:cs="Arial"/>
                <w:i/>
                <w:iCs/>
                <w:sz w:val="20"/>
                <w:szCs w:val="20"/>
              </w:rPr>
            </w:pPr>
            <w:r w:rsidRPr="00166665">
              <w:rPr>
                <w:rFonts w:ascii="Arial" w:eastAsia="Verdana" w:hAnsi="Arial" w:cs="Arial"/>
                <w:i/>
                <w:iCs/>
                <w:sz w:val="20"/>
                <w:szCs w:val="20"/>
              </w:rPr>
              <w:t xml:space="preserve">Server Management </w:t>
            </w:r>
          </w:p>
        </w:tc>
        <w:tc>
          <w:tcPr>
            <w:tcW w:w="1417" w:type="dxa"/>
            <w:tcBorders>
              <w:top w:val="single" w:sz="17" w:space="0" w:color="000000" w:themeColor="text1"/>
              <w:left w:val="single" w:sz="4" w:space="0" w:color="000000" w:themeColor="text1"/>
              <w:bottom w:val="single" w:sz="4" w:space="0" w:color="000000" w:themeColor="text1"/>
              <w:right w:val="single" w:sz="4" w:space="0" w:color="000000" w:themeColor="text1"/>
            </w:tcBorders>
          </w:tcPr>
          <w:p w14:paraId="2B74C7FB" w14:textId="77777777" w:rsidR="00C53FD0" w:rsidRPr="00166665" w:rsidRDefault="00C53FD0" w:rsidP="000D476B">
            <w:pPr>
              <w:rPr>
                <w:rFonts w:ascii="Arial" w:hAnsi="Arial" w:cs="Arial"/>
                <w:i/>
                <w:iCs/>
                <w:sz w:val="20"/>
                <w:szCs w:val="20"/>
              </w:rPr>
            </w:pPr>
            <w:r w:rsidRPr="00166665">
              <w:rPr>
                <w:rFonts w:ascii="Arial" w:eastAsia="Verdana" w:hAnsi="Arial" w:cs="Arial"/>
                <w:i/>
                <w:iCs/>
                <w:sz w:val="20"/>
                <w:szCs w:val="20"/>
              </w:rPr>
              <w:t>36</w:t>
            </w:r>
          </w:p>
        </w:tc>
        <w:tc>
          <w:tcPr>
            <w:tcW w:w="1701" w:type="dxa"/>
            <w:tcBorders>
              <w:top w:val="single" w:sz="17" w:space="0" w:color="000000" w:themeColor="text1"/>
              <w:left w:val="single" w:sz="4" w:space="0" w:color="000000" w:themeColor="text1"/>
              <w:bottom w:val="single" w:sz="4" w:space="0" w:color="000000" w:themeColor="text1"/>
              <w:right w:val="single" w:sz="4" w:space="0" w:color="000000" w:themeColor="text1"/>
            </w:tcBorders>
          </w:tcPr>
          <w:p w14:paraId="3A28B356" w14:textId="77777777" w:rsidR="00C53FD0" w:rsidRPr="00166665" w:rsidRDefault="00C53FD0" w:rsidP="000D476B">
            <w:pPr>
              <w:rPr>
                <w:rFonts w:ascii="Arial" w:hAnsi="Arial" w:cs="Arial"/>
                <w:i/>
                <w:iCs/>
                <w:sz w:val="20"/>
                <w:szCs w:val="20"/>
              </w:rPr>
            </w:pPr>
            <w:r w:rsidRPr="00166665">
              <w:rPr>
                <w:rFonts w:ascii="Arial" w:eastAsia="Verdana" w:hAnsi="Arial" w:cs="Arial"/>
                <w:i/>
                <w:iCs/>
                <w:sz w:val="20"/>
                <w:szCs w:val="20"/>
              </w:rPr>
              <w:t xml:space="preserve"> </w:t>
            </w:r>
          </w:p>
        </w:tc>
      </w:tr>
      <w:tr w:rsidR="00C53FD0" w:rsidRPr="00166665" w14:paraId="226DF6DD"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43F0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VMware vCenter Server 7 Standard</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24DF9"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VMware</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463B46"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Virtualisation</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CC2F9"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09C6E" w14:textId="77777777" w:rsidR="00C53FD0" w:rsidRPr="00166665" w:rsidRDefault="00C53FD0" w:rsidP="000D476B">
            <w:pPr>
              <w:rPr>
                <w:rFonts w:ascii="Arial" w:eastAsia="Verdana" w:hAnsi="Arial" w:cs="Arial"/>
                <w:i/>
                <w:iCs/>
                <w:sz w:val="20"/>
                <w:szCs w:val="20"/>
              </w:rPr>
            </w:pPr>
          </w:p>
        </w:tc>
      </w:tr>
      <w:tr w:rsidR="00C53FD0" w:rsidRPr="00166665" w14:paraId="06FF7EEC"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43A06"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VMware NSX Data </w:t>
            </w:r>
            <w:proofErr w:type="spellStart"/>
            <w:r w:rsidRPr="00166665">
              <w:rPr>
                <w:rFonts w:ascii="Arial" w:eastAsia="Verdana" w:hAnsi="Arial" w:cs="Arial"/>
                <w:i/>
                <w:iCs/>
                <w:sz w:val="20"/>
                <w:szCs w:val="20"/>
              </w:rPr>
              <w:t>Center</w:t>
            </w:r>
            <w:proofErr w:type="spellEnd"/>
            <w:r w:rsidRPr="00166665">
              <w:rPr>
                <w:rFonts w:ascii="Arial" w:eastAsia="Verdana" w:hAnsi="Arial" w:cs="Arial"/>
                <w:i/>
                <w:iCs/>
                <w:sz w:val="20"/>
                <w:szCs w:val="20"/>
              </w:rPr>
              <w:t xml:space="preserve"> Enterprise Plus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52EBC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VMware</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CAF14"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Networks</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54E1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132</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D06D56" w14:textId="77777777" w:rsidR="00C53FD0" w:rsidRPr="00166665" w:rsidRDefault="00C53FD0" w:rsidP="000D476B">
            <w:pPr>
              <w:rPr>
                <w:rFonts w:ascii="Arial" w:eastAsia="Verdana" w:hAnsi="Arial" w:cs="Arial"/>
                <w:i/>
                <w:iCs/>
                <w:sz w:val="20"/>
                <w:szCs w:val="20"/>
              </w:rPr>
            </w:pPr>
          </w:p>
        </w:tc>
      </w:tr>
      <w:tr w:rsidR="00C53FD0" w:rsidRPr="00166665" w14:paraId="4CC9948D"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4CED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VMware vSphere 7 for Platinum Edition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F12C6"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VMware</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01084"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Virtualisation</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688F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128</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F08275" w14:textId="77777777" w:rsidR="00C53FD0" w:rsidRPr="00166665" w:rsidRDefault="00C53FD0" w:rsidP="000D476B">
            <w:pPr>
              <w:rPr>
                <w:rFonts w:ascii="Arial" w:eastAsia="Verdana" w:hAnsi="Arial" w:cs="Arial"/>
                <w:i/>
                <w:iCs/>
                <w:sz w:val="20"/>
                <w:szCs w:val="20"/>
              </w:rPr>
            </w:pPr>
          </w:p>
        </w:tc>
      </w:tr>
      <w:tr w:rsidR="00C53FD0" w:rsidRPr="00166665" w14:paraId="57210CFA"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54BB17"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VMware </w:t>
            </w:r>
            <w:proofErr w:type="spellStart"/>
            <w:r w:rsidRPr="00166665">
              <w:rPr>
                <w:rFonts w:ascii="Arial" w:eastAsia="Verdana" w:hAnsi="Arial" w:cs="Arial"/>
                <w:i/>
                <w:iCs/>
                <w:sz w:val="20"/>
                <w:szCs w:val="20"/>
              </w:rPr>
              <w:t>vSAN</w:t>
            </w:r>
            <w:proofErr w:type="spellEnd"/>
            <w:r w:rsidRPr="00166665">
              <w:rPr>
                <w:rFonts w:ascii="Arial" w:eastAsia="Verdana" w:hAnsi="Arial" w:cs="Arial"/>
                <w:i/>
                <w:iCs/>
                <w:sz w:val="20"/>
                <w:szCs w:val="20"/>
              </w:rPr>
              <w:t xml:space="preserve"> 7 Enterprise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9A4158"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VMware</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9744D"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Storage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FBC0A"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128</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D8E19" w14:textId="77777777" w:rsidR="00C53FD0" w:rsidRPr="00166665" w:rsidRDefault="00C53FD0" w:rsidP="000D476B">
            <w:pPr>
              <w:rPr>
                <w:rFonts w:ascii="Arial" w:eastAsia="Verdana" w:hAnsi="Arial" w:cs="Arial"/>
                <w:i/>
                <w:iCs/>
                <w:sz w:val="20"/>
                <w:szCs w:val="20"/>
              </w:rPr>
            </w:pPr>
          </w:p>
        </w:tc>
      </w:tr>
      <w:tr w:rsidR="00C53FD0" w:rsidRPr="00166665" w14:paraId="49145753"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BBFFE"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VMware SDDC Manager for Cloud Foundation 4</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13FB3"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VMware</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F59A5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Virtualisation</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2F7737"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128</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FD50E0" w14:textId="77777777" w:rsidR="00C53FD0" w:rsidRPr="00166665" w:rsidRDefault="00C53FD0" w:rsidP="000D476B">
            <w:pPr>
              <w:rPr>
                <w:rFonts w:ascii="Arial" w:eastAsia="Verdana" w:hAnsi="Arial" w:cs="Arial"/>
                <w:i/>
                <w:iCs/>
                <w:sz w:val="20"/>
                <w:szCs w:val="20"/>
              </w:rPr>
            </w:pPr>
          </w:p>
        </w:tc>
      </w:tr>
      <w:tr w:rsidR="00C53FD0" w:rsidRPr="00166665" w14:paraId="006702D9"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6DC9A"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VMware </w:t>
            </w:r>
            <w:proofErr w:type="spellStart"/>
            <w:r w:rsidRPr="00166665">
              <w:rPr>
                <w:rFonts w:ascii="Arial" w:eastAsia="Verdana" w:hAnsi="Arial" w:cs="Arial"/>
                <w:i/>
                <w:iCs/>
                <w:sz w:val="20"/>
                <w:szCs w:val="20"/>
              </w:rPr>
              <w:t>vRealize</w:t>
            </w:r>
            <w:proofErr w:type="spellEnd"/>
            <w:r w:rsidRPr="00166665">
              <w:rPr>
                <w:rFonts w:ascii="Arial" w:eastAsia="Verdana" w:hAnsi="Arial" w:cs="Arial"/>
                <w:i/>
                <w:iCs/>
                <w:sz w:val="20"/>
                <w:szCs w:val="20"/>
              </w:rPr>
              <w:t xml:space="preserve"> Suite 2019 Enterprise Edition (</w:t>
            </w:r>
            <w:proofErr w:type="spellStart"/>
            <w:r w:rsidRPr="00166665">
              <w:rPr>
                <w:rFonts w:ascii="Arial" w:eastAsia="Verdana" w:hAnsi="Arial" w:cs="Arial"/>
                <w:i/>
                <w:iCs/>
                <w:sz w:val="20"/>
                <w:szCs w:val="20"/>
              </w:rPr>
              <w:t>vRealize</w:t>
            </w:r>
            <w:proofErr w:type="spellEnd"/>
            <w:r w:rsidRPr="00166665">
              <w:rPr>
                <w:rFonts w:ascii="Arial" w:eastAsia="Verdana" w:hAnsi="Arial" w:cs="Arial"/>
                <w:i/>
                <w:iCs/>
                <w:sz w:val="20"/>
                <w:szCs w:val="20"/>
              </w:rPr>
              <w:t xml:space="preserve"> Operations Manager, </w:t>
            </w:r>
            <w:proofErr w:type="spellStart"/>
            <w:r w:rsidRPr="00166665">
              <w:rPr>
                <w:rFonts w:ascii="Arial" w:hAnsi="Arial" w:cs="Arial"/>
                <w:sz w:val="20"/>
                <w:szCs w:val="20"/>
              </w:rPr>
              <w:t>vRealize</w:t>
            </w:r>
            <w:proofErr w:type="spellEnd"/>
            <w:r w:rsidRPr="00166665">
              <w:rPr>
                <w:rFonts w:ascii="Arial" w:hAnsi="Arial" w:cs="Arial"/>
                <w:sz w:val="20"/>
                <w:szCs w:val="20"/>
              </w:rPr>
              <w:t xml:space="preserve"> Log Insight, </w:t>
            </w:r>
            <w:proofErr w:type="spellStart"/>
            <w:r w:rsidRPr="00166665">
              <w:rPr>
                <w:rFonts w:ascii="Arial" w:hAnsi="Arial" w:cs="Arial"/>
                <w:sz w:val="20"/>
                <w:szCs w:val="20"/>
              </w:rPr>
              <w:t>vRealize</w:t>
            </w:r>
            <w:proofErr w:type="spellEnd"/>
            <w:r w:rsidRPr="00166665">
              <w:rPr>
                <w:rFonts w:ascii="Arial" w:hAnsi="Arial" w:cs="Arial"/>
                <w:sz w:val="20"/>
                <w:szCs w:val="20"/>
              </w:rPr>
              <w:t xml:space="preserve"> Lifecycle Manager, </w:t>
            </w:r>
            <w:proofErr w:type="spellStart"/>
            <w:r w:rsidRPr="00166665">
              <w:rPr>
                <w:rFonts w:ascii="Arial" w:hAnsi="Arial" w:cs="Arial"/>
                <w:sz w:val="20"/>
                <w:szCs w:val="20"/>
              </w:rPr>
              <w:t>vRealize</w:t>
            </w:r>
            <w:proofErr w:type="spellEnd"/>
            <w:r w:rsidRPr="00166665">
              <w:rPr>
                <w:rFonts w:ascii="Arial" w:hAnsi="Arial" w:cs="Arial"/>
                <w:sz w:val="20"/>
                <w:szCs w:val="20"/>
              </w:rPr>
              <w:t xml:space="preserve"> Automation</w:t>
            </w:r>
            <w:r w:rsidRPr="00166665">
              <w:rPr>
                <w:rFonts w:ascii="Arial" w:eastAsia="Verdana" w:hAnsi="Arial" w:cs="Arial"/>
                <w:i/>
                <w:iCs/>
                <w:sz w:val="20"/>
                <w:szCs w:val="20"/>
              </w:rPr>
              <w: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9C46F"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VMware</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18A8D"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Virtualisation</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D0DDA"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128</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D94633" w14:textId="77777777" w:rsidR="00C53FD0" w:rsidRPr="00166665" w:rsidRDefault="00C53FD0" w:rsidP="000D476B">
            <w:pPr>
              <w:rPr>
                <w:rFonts w:ascii="Arial" w:eastAsia="Verdana" w:hAnsi="Arial" w:cs="Arial"/>
                <w:i/>
                <w:iCs/>
                <w:sz w:val="20"/>
                <w:szCs w:val="20"/>
              </w:rPr>
            </w:pPr>
          </w:p>
        </w:tc>
      </w:tr>
      <w:tr w:rsidR="00C53FD0" w:rsidRPr="00166665" w14:paraId="7DADA5F7"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4FD07"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VMWare </w:t>
            </w:r>
            <w:proofErr w:type="spellStart"/>
            <w:r w:rsidRPr="00166665">
              <w:rPr>
                <w:rFonts w:ascii="Arial" w:eastAsia="Verdana" w:hAnsi="Arial" w:cs="Arial"/>
                <w:i/>
                <w:iCs/>
                <w:sz w:val="20"/>
                <w:szCs w:val="20"/>
              </w:rPr>
              <w:t>vRealize</w:t>
            </w:r>
            <w:proofErr w:type="spellEnd"/>
            <w:r w:rsidRPr="00166665">
              <w:rPr>
                <w:rFonts w:ascii="Arial" w:eastAsia="Verdana" w:hAnsi="Arial" w:cs="Arial"/>
                <w:i/>
                <w:iCs/>
                <w:sz w:val="20"/>
                <w:szCs w:val="20"/>
              </w:rPr>
              <w:t xml:space="preserve"> Network Insight Enterprise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B9FE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VMware</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C154A4"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Management</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90756"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128</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B31AD" w14:textId="77777777" w:rsidR="00C53FD0" w:rsidRPr="00166665" w:rsidRDefault="00C53FD0" w:rsidP="000D476B">
            <w:pPr>
              <w:rPr>
                <w:rFonts w:ascii="Arial" w:eastAsia="Verdana" w:hAnsi="Arial" w:cs="Arial"/>
                <w:i/>
                <w:iCs/>
                <w:sz w:val="20"/>
                <w:szCs w:val="20"/>
              </w:rPr>
            </w:pPr>
          </w:p>
        </w:tc>
      </w:tr>
      <w:tr w:rsidR="00C53FD0" w:rsidRPr="00166665" w14:paraId="513E48DC"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4F90F" w14:textId="77777777" w:rsidR="00C53FD0" w:rsidRPr="00166665" w:rsidRDefault="00C53FD0" w:rsidP="000D476B">
            <w:pPr>
              <w:rPr>
                <w:rFonts w:ascii="Arial" w:hAnsi="Arial" w:cs="Arial"/>
                <w:i/>
                <w:sz w:val="20"/>
                <w:szCs w:val="20"/>
              </w:rPr>
            </w:pPr>
            <w:r w:rsidRPr="00166665">
              <w:rPr>
                <w:rFonts w:ascii="Arial" w:eastAsia="Verdana" w:hAnsi="Arial" w:cs="Arial"/>
                <w:i/>
                <w:sz w:val="20"/>
                <w:szCs w:val="20"/>
              </w:rPr>
              <w:t>IBM Db2 v11.5.5 Standard Edition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35F88" w14:textId="77777777" w:rsidR="00C53FD0" w:rsidRPr="00166665" w:rsidRDefault="00C53FD0" w:rsidP="000D476B">
            <w:pPr>
              <w:rPr>
                <w:rFonts w:ascii="Arial" w:hAnsi="Arial" w:cs="Arial"/>
                <w:i/>
                <w:sz w:val="20"/>
                <w:szCs w:val="20"/>
              </w:rPr>
            </w:pPr>
            <w:r w:rsidRPr="00166665">
              <w:rPr>
                <w:rFonts w:ascii="Arial" w:eastAsia="Verdana" w:hAnsi="Arial" w:cs="Arial"/>
                <w:i/>
                <w:sz w:val="20"/>
                <w:szCs w:val="20"/>
              </w:rPr>
              <w:t>IBM</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C4CF42" w14:textId="77777777" w:rsidR="00C53FD0" w:rsidRPr="00166665" w:rsidRDefault="00C53FD0" w:rsidP="000D476B">
            <w:pPr>
              <w:rPr>
                <w:rFonts w:ascii="Arial" w:hAnsi="Arial" w:cs="Arial"/>
                <w:i/>
                <w:sz w:val="20"/>
                <w:szCs w:val="20"/>
              </w:rPr>
            </w:pPr>
            <w:r w:rsidRPr="00166665">
              <w:rPr>
                <w:rFonts w:ascii="Arial" w:hAnsi="Arial" w:cs="Arial"/>
                <w:i/>
                <w:sz w:val="20"/>
                <w:szCs w:val="20"/>
              </w:rPr>
              <w:t>Database Service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4FCB34" w14:textId="77777777" w:rsidR="00C53FD0" w:rsidRPr="00166665" w:rsidRDefault="00C53FD0" w:rsidP="000D476B">
            <w:pPr>
              <w:rPr>
                <w:rFonts w:ascii="Arial" w:hAnsi="Arial" w:cs="Arial"/>
                <w:i/>
                <w:sz w:val="20"/>
                <w:szCs w:val="20"/>
              </w:rPr>
            </w:pPr>
            <w:r w:rsidRPr="00166665">
              <w:rPr>
                <w:rFonts w:ascii="Arial" w:eastAsia="Verdana" w:hAnsi="Arial" w:cs="Arial"/>
                <w:i/>
                <w:sz w:val="20"/>
                <w:szCs w:val="20"/>
              </w:rPr>
              <w:t>12</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335485" w14:textId="77777777" w:rsidR="00C53FD0" w:rsidRPr="00166665" w:rsidRDefault="00C53FD0" w:rsidP="000D476B">
            <w:pPr>
              <w:rPr>
                <w:rFonts w:ascii="Arial" w:hAnsi="Arial" w:cs="Arial"/>
                <w:i/>
                <w:strike/>
                <w:sz w:val="20"/>
                <w:szCs w:val="20"/>
              </w:rPr>
            </w:pPr>
            <w:r w:rsidRPr="00166665">
              <w:rPr>
                <w:rFonts w:ascii="Arial" w:eastAsia="Verdana" w:hAnsi="Arial" w:cs="Arial"/>
                <w:i/>
                <w:strike/>
                <w:sz w:val="20"/>
                <w:szCs w:val="20"/>
              </w:rPr>
              <w:t xml:space="preserve"> </w:t>
            </w:r>
          </w:p>
        </w:tc>
      </w:tr>
      <w:tr w:rsidR="00C53FD0" w:rsidRPr="00166665" w14:paraId="01FFF15C"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DF1E4"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Oracle Database 19c Enterprise Edition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B5AD17"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Oracle</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E2F76"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Database Service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2F8F1E"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TBC</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25627" w14:textId="77777777" w:rsidR="00C53FD0" w:rsidRPr="00166665" w:rsidRDefault="00C53FD0" w:rsidP="000D476B">
            <w:pPr>
              <w:rPr>
                <w:rFonts w:ascii="Arial" w:eastAsia="Verdana" w:hAnsi="Arial" w:cs="Arial"/>
                <w:i/>
                <w:iCs/>
                <w:sz w:val="20"/>
                <w:szCs w:val="20"/>
              </w:rPr>
            </w:pPr>
          </w:p>
        </w:tc>
      </w:tr>
      <w:tr w:rsidR="00C53FD0" w:rsidRPr="00166665" w14:paraId="35D6C979" w14:textId="77777777" w:rsidTr="000D476B">
        <w:trPr>
          <w:trHeight w:val="300"/>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B0C1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Oracle Grid Infrastructure (GI) 19c</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AEA7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Oracle</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2364A"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Database Service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9AB44"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TBC</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8C4F9C" w14:textId="77777777" w:rsidR="00C53FD0" w:rsidRPr="00166665" w:rsidRDefault="00C53FD0" w:rsidP="000D476B">
            <w:pPr>
              <w:rPr>
                <w:rFonts w:ascii="Arial" w:eastAsia="Verdana" w:hAnsi="Arial" w:cs="Arial"/>
                <w:i/>
                <w:iCs/>
                <w:sz w:val="20"/>
                <w:szCs w:val="20"/>
              </w:rPr>
            </w:pPr>
          </w:p>
        </w:tc>
      </w:tr>
      <w:tr w:rsidR="00C53FD0" w:rsidRPr="00166665" w14:paraId="15DCAB36"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BEA79"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Microsoft SQL Server 2019 Enterprise Edition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5ECA5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Microsoft</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485A2"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Database Service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74329"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85549" w14:textId="77777777" w:rsidR="00C53FD0" w:rsidRPr="00166665" w:rsidRDefault="00C53FD0" w:rsidP="000D476B">
            <w:pPr>
              <w:rPr>
                <w:rFonts w:ascii="Arial" w:eastAsia="Verdana" w:hAnsi="Arial" w:cs="Arial"/>
                <w:i/>
                <w:iCs/>
                <w:sz w:val="20"/>
                <w:szCs w:val="20"/>
              </w:rPr>
            </w:pPr>
          </w:p>
        </w:tc>
      </w:tr>
      <w:tr w:rsidR="00C53FD0" w:rsidRPr="00166665" w14:paraId="7A3D03EB"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0FA5A"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Microsoft Server 2019 Datacentre Edition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13054"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Microsoft</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7D3FE"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OS</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C8A1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1600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39A35C" w14:textId="77777777" w:rsidR="00C53FD0" w:rsidRPr="00166665" w:rsidRDefault="00C53FD0" w:rsidP="000D476B">
            <w:pPr>
              <w:rPr>
                <w:rFonts w:ascii="Arial" w:eastAsia="Verdana" w:hAnsi="Arial" w:cs="Arial"/>
                <w:i/>
                <w:iCs/>
                <w:sz w:val="20"/>
                <w:szCs w:val="20"/>
              </w:rPr>
            </w:pPr>
          </w:p>
        </w:tc>
      </w:tr>
      <w:tr w:rsidR="00C53FD0" w:rsidRPr="00166665" w14:paraId="760238F0"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C462F"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Microsoft Windows RDS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D3DA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Microsoft</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25168"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Remote Access</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9EFA6"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600 (User CAL)</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BB095" w14:textId="77777777" w:rsidR="00C53FD0" w:rsidRPr="00166665" w:rsidRDefault="00C53FD0" w:rsidP="000D476B">
            <w:pPr>
              <w:rPr>
                <w:rFonts w:ascii="Arial" w:eastAsia="Verdana" w:hAnsi="Arial" w:cs="Arial"/>
                <w:i/>
                <w:iCs/>
                <w:sz w:val="20"/>
                <w:szCs w:val="20"/>
              </w:rPr>
            </w:pPr>
          </w:p>
        </w:tc>
      </w:tr>
      <w:tr w:rsidR="00C53FD0" w:rsidRPr="00166665" w14:paraId="3EA95BCF"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F563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lastRenderedPageBreak/>
              <w:t xml:space="preserve">Red Hat Enterprise Linux (Premium) for Virtual </w:t>
            </w:r>
            <w:proofErr w:type="spellStart"/>
            <w:r w:rsidRPr="00166665">
              <w:rPr>
                <w:rFonts w:ascii="Arial" w:eastAsia="Verdana" w:hAnsi="Arial" w:cs="Arial"/>
                <w:i/>
                <w:iCs/>
                <w:sz w:val="20"/>
                <w:szCs w:val="20"/>
              </w:rPr>
              <w:t>Datacenters</w:t>
            </w:r>
            <w:proofErr w:type="spellEnd"/>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B156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Red Hat/IBM</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01A2E"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OS</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93EC8"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80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A8A52" w14:textId="77777777" w:rsidR="00C53FD0" w:rsidRPr="00166665" w:rsidRDefault="00C53FD0" w:rsidP="000D476B">
            <w:pPr>
              <w:rPr>
                <w:rFonts w:ascii="Arial" w:eastAsia="Verdana" w:hAnsi="Arial" w:cs="Arial"/>
                <w:i/>
                <w:iCs/>
                <w:sz w:val="20"/>
                <w:szCs w:val="20"/>
              </w:rPr>
            </w:pPr>
          </w:p>
        </w:tc>
      </w:tr>
      <w:tr w:rsidR="00C53FD0" w:rsidRPr="00166665" w14:paraId="5A01CF1F"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3DCE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Citrix VPX Advanced</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D84E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Citrix</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D11BC5"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Virtualisation</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30A5E"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517BA9" w14:textId="77777777" w:rsidR="00C53FD0" w:rsidRPr="00166665" w:rsidRDefault="00C53FD0" w:rsidP="000D476B">
            <w:pPr>
              <w:rPr>
                <w:rFonts w:ascii="Arial" w:eastAsia="Verdana" w:hAnsi="Arial" w:cs="Arial"/>
                <w:i/>
                <w:iCs/>
                <w:sz w:val="20"/>
                <w:szCs w:val="20"/>
              </w:rPr>
            </w:pPr>
          </w:p>
        </w:tc>
      </w:tr>
      <w:tr w:rsidR="00C53FD0" w:rsidRPr="00166665" w14:paraId="7F3558F6"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73B21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Citrix Virtual Apps and Desktops Premium Edition User-Based Licenses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84611D"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Citrix</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E954A"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Virtualisation</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2063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500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40BCB" w14:textId="77777777" w:rsidR="00C53FD0" w:rsidRPr="00166665" w:rsidRDefault="00C53FD0" w:rsidP="000D476B">
            <w:pPr>
              <w:rPr>
                <w:rFonts w:ascii="Arial" w:eastAsia="Verdana" w:hAnsi="Arial" w:cs="Arial"/>
                <w:i/>
                <w:iCs/>
                <w:sz w:val="20"/>
                <w:szCs w:val="20"/>
              </w:rPr>
            </w:pPr>
          </w:p>
        </w:tc>
      </w:tr>
      <w:tr w:rsidR="00C53FD0" w:rsidRPr="00166665" w14:paraId="1EC4BF0E"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2DD10" w14:textId="77777777" w:rsidR="00C53FD0" w:rsidRPr="00166665" w:rsidRDefault="00C53FD0" w:rsidP="000D476B">
            <w:pPr>
              <w:rPr>
                <w:rFonts w:ascii="Arial" w:eastAsia="Verdana" w:hAnsi="Arial" w:cs="Arial"/>
                <w:i/>
                <w:iCs/>
                <w:sz w:val="20"/>
                <w:szCs w:val="20"/>
              </w:rPr>
            </w:pPr>
            <w:proofErr w:type="spellStart"/>
            <w:r w:rsidRPr="00166665">
              <w:rPr>
                <w:rFonts w:ascii="Arial" w:eastAsia="Verdana" w:hAnsi="Arial" w:cs="Arial"/>
                <w:i/>
                <w:iCs/>
                <w:sz w:val="20"/>
                <w:szCs w:val="20"/>
              </w:rPr>
              <w:t>Trinzic</w:t>
            </w:r>
            <w:proofErr w:type="spellEnd"/>
            <w:r w:rsidRPr="00166665">
              <w:rPr>
                <w:rFonts w:ascii="Arial" w:eastAsia="Verdana" w:hAnsi="Arial" w:cs="Arial"/>
                <w:i/>
                <w:iCs/>
                <w:sz w:val="20"/>
                <w:szCs w:val="20"/>
              </w:rPr>
              <w:t xml:space="preserve"> 4015 Software Bundle, DDI and Grid</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786DA"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Infoblox</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D4371"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DDI</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A1359E"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2DA11" w14:textId="77777777" w:rsidR="00C53FD0" w:rsidRPr="00166665" w:rsidRDefault="00C53FD0" w:rsidP="000D476B">
            <w:pPr>
              <w:rPr>
                <w:rFonts w:ascii="Arial" w:eastAsia="Verdana" w:hAnsi="Arial" w:cs="Arial"/>
                <w:i/>
                <w:iCs/>
                <w:sz w:val="20"/>
                <w:szCs w:val="20"/>
              </w:rPr>
            </w:pPr>
          </w:p>
        </w:tc>
      </w:tr>
      <w:tr w:rsidR="00C53FD0" w:rsidRPr="00166665" w14:paraId="1670D184"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23FBE" w14:textId="77777777" w:rsidR="00C53FD0" w:rsidRPr="00166665" w:rsidRDefault="00C53FD0" w:rsidP="000D476B">
            <w:pPr>
              <w:rPr>
                <w:rFonts w:ascii="Arial" w:eastAsia="Verdana" w:hAnsi="Arial" w:cs="Arial"/>
                <w:i/>
                <w:iCs/>
                <w:sz w:val="20"/>
                <w:szCs w:val="20"/>
              </w:rPr>
            </w:pPr>
            <w:proofErr w:type="spellStart"/>
            <w:r w:rsidRPr="00166665">
              <w:rPr>
                <w:rFonts w:ascii="Arial" w:eastAsia="Verdana" w:hAnsi="Arial" w:cs="Arial"/>
                <w:i/>
                <w:iCs/>
                <w:sz w:val="20"/>
                <w:szCs w:val="20"/>
              </w:rPr>
              <w:t>Trinzic</w:t>
            </w:r>
            <w:proofErr w:type="spellEnd"/>
            <w:r w:rsidRPr="00166665">
              <w:rPr>
                <w:rFonts w:ascii="Arial" w:eastAsia="Verdana" w:hAnsi="Arial" w:cs="Arial"/>
                <w:i/>
                <w:iCs/>
                <w:sz w:val="20"/>
                <w:szCs w:val="20"/>
              </w:rPr>
              <w:t xml:space="preserve"> Software Module Subscription, Cloud Network Automation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45D0E"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Infoblox</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28D78"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DDI</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DA14F4"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29EBF" w14:textId="77777777" w:rsidR="00C53FD0" w:rsidRPr="00166665" w:rsidRDefault="00C53FD0" w:rsidP="000D476B">
            <w:pPr>
              <w:rPr>
                <w:rFonts w:ascii="Arial" w:eastAsia="Verdana" w:hAnsi="Arial" w:cs="Arial"/>
                <w:i/>
                <w:iCs/>
                <w:sz w:val="20"/>
                <w:szCs w:val="20"/>
              </w:rPr>
            </w:pPr>
          </w:p>
        </w:tc>
      </w:tr>
      <w:tr w:rsidR="00C53FD0" w:rsidRPr="00166665" w14:paraId="66BBA6EC"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27D6A"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Network Insight 2205 Software Bundle, Network Insight and Grid</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1F16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Infoblox</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792A1"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DDI</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90FA07"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49DEF" w14:textId="77777777" w:rsidR="00C53FD0" w:rsidRPr="00166665" w:rsidRDefault="00C53FD0" w:rsidP="000D476B">
            <w:pPr>
              <w:rPr>
                <w:rFonts w:ascii="Arial" w:eastAsia="Verdana" w:hAnsi="Arial" w:cs="Arial"/>
                <w:i/>
                <w:iCs/>
                <w:sz w:val="20"/>
                <w:szCs w:val="20"/>
              </w:rPr>
            </w:pPr>
          </w:p>
        </w:tc>
      </w:tr>
      <w:tr w:rsidR="00C53FD0" w:rsidRPr="00166665" w14:paraId="49AC1997"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FA86A"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TR-5005 Reporting &amp; Analytics Software Bundle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CCDF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Infoblox</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54B73"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DDI</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C5DC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5B34C" w14:textId="77777777" w:rsidR="00C53FD0" w:rsidRPr="00166665" w:rsidRDefault="00C53FD0" w:rsidP="000D476B">
            <w:pPr>
              <w:rPr>
                <w:rFonts w:ascii="Arial" w:eastAsia="Verdana" w:hAnsi="Arial" w:cs="Arial"/>
                <w:i/>
                <w:iCs/>
                <w:sz w:val="20"/>
                <w:szCs w:val="20"/>
              </w:rPr>
            </w:pPr>
          </w:p>
        </w:tc>
      </w:tr>
      <w:tr w:rsidR="00C53FD0" w:rsidRPr="00166665" w14:paraId="06A4CF21"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E8B6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Reporting and Analytics</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1798B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Infoblox</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4A35DD"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DDI</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13E8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848FD" w14:textId="77777777" w:rsidR="00C53FD0" w:rsidRPr="00166665" w:rsidRDefault="00C53FD0" w:rsidP="000D476B">
            <w:pPr>
              <w:rPr>
                <w:rFonts w:ascii="Arial" w:eastAsia="Verdana" w:hAnsi="Arial" w:cs="Arial"/>
                <w:i/>
                <w:iCs/>
                <w:sz w:val="20"/>
                <w:szCs w:val="20"/>
              </w:rPr>
            </w:pPr>
          </w:p>
        </w:tc>
      </w:tr>
      <w:tr w:rsidR="00C53FD0" w:rsidRPr="00166665" w14:paraId="268FA333"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AE7D2" w14:textId="77777777" w:rsidR="00C53FD0" w:rsidRPr="00166665" w:rsidRDefault="00C53FD0" w:rsidP="000D476B">
            <w:pPr>
              <w:rPr>
                <w:rFonts w:ascii="Arial" w:eastAsia="Verdana" w:hAnsi="Arial" w:cs="Arial"/>
                <w:i/>
                <w:iCs/>
                <w:sz w:val="20"/>
                <w:szCs w:val="20"/>
              </w:rPr>
            </w:pPr>
            <w:proofErr w:type="spellStart"/>
            <w:r w:rsidRPr="00166665">
              <w:rPr>
                <w:rFonts w:ascii="Arial" w:eastAsia="Verdana" w:hAnsi="Arial" w:cs="Arial"/>
                <w:i/>
                <w:iCs/>
                <w:sz w:val="20"/>
                <w:szCs w:val="20"/>
              </w:rPr>
              <w:t>Trinzic</w:t>
            </w:r>
            <w:proofErr w:type="spellEnd"/>
            <w:r w:rsidRPr="00166665">
              <w:rPr>
                <w:rFonts w:ascii="Arial" w:eastAsia="Verdana" w:hAnsi="Arial" w:cs="Arial"/>
                <w:i/>
                <w:iCs/>
                <w:sz w:val="20"/>
                <w:szCs w:val="20"/>
              </w:rPr>
              <w:t xml:space="preserve"> 1425 Software Bundle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8C6463"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Infoblox</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428F8"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DDI</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4875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59C964" w14:textId="77777777" w:rsidR="00C53FD0" w:rsidRPr="00166665" w:rsidRDefault="00C53FD0" w:rsidP="000D476B">
            <w:pPr>
              <w:rPr>
                <w:rFonts w:ascii="Arial" w:eastAsia="Verdana" w:hAnsi="Arial" w:cs="Arial"/>
                <w:i/>
                <w:iCs/>
                <w:sz w:val="20"/>
                <w:szCs w:val="20"/>
              </w:rPr>
            </w:pPr>
          </w:p>
        </w:tc>
      </w:tr>
      <w:tr w:rsidR="00C53FD0" w:rsidRPr="00166665" w14:paraId="54556379"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7492E6" w14:textId="77777777" w:rsidR="00C53FD0" w:rsidRPr="00166665" w:rsidRDefault="00C53FD0" w:rsidP="000D476B">
            <w:pPr>
              <w:rPr>
                <w:rFonts w:ascii="Arial" w:eastAsia="Verdana" w:hAnsi="Arial" w:cs="Arial"/>
                <w:i/>
                <w:iCs/>
                <w:sz w:val="20"/>
                <w:szCs w:val="20"/>
              </w:rPr>
            </w:pPr>
            <w:proofErr w:type="spellStart"/>
            <w:r w:rsidRPr="00166665">
              <w:rPr>
                <w:rFonts w:ascii="Arial" w:eastAsia="Verdana" w:hAnsi="Arial" w:cs="Arial"/>
                <w:i/>
                <w:iCs/>
                <w:sz w:val="20"/>
                <w:szCs w:val="20"/>
              </w:rPr>
              <w:t>Trinzic</w:t>
            </w:r>
            <w:proofErr w:type="spellEnd"/>
            <w:r w:rsidRPr="00166665">
              <w:rPr>
                <w:rFonts w:ascii="Arial" w:eastAsia="Verdana" w:hAnsi="Arial" w:cs="Arial"/>
                <w:i/>
                <w:iCs/>
                <w:sz w:val="20"/>
                <w:szCs w:val="20"/>
              </w:rPr>
              <w:t xml:space="preserve"> 825 Software Bundle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4644F"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Infoblox</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F91421"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DDI</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5D8E8"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F087D" w14:textId="77777777" w:rsidR="00C53FD0" w:rsidRPr="00166665" w:rsidRDefault="00C53FD0" w:rsidP="000D476B">
            <w:pPr>
              <w:rPr>
                <w:rFonts w:ascii="Arial" w:eastAsia="Verdana" w:hAnsi="Arial" w:cs="Arial"/>
                <w:i/>
                <w:iCs/>
                <w:sz w:val="20"/>
                <w:szCs w:val="20"/>
              </w:rPr>
            </w:pPr>
          </w:p>
        </w:tc>
      </w:tr>
      <w:tr w:rsidR="00C53FD0" w:rsidRPr="00166665" w14:paraId="0F9A5E92"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5FE68" w14:textId="77777777" w:rsidR="00C53FD0" w:rsidRPr="00166665" w:rsidRDefault="00C53FD0" w:rsidP="000D476B">
            <w:pPr>
              <w:rPr>
                <w:rFonts w:ascii="Arial" w:eastAsia="Verdana" w:hAnsi="Arial" w:cs="Arial"/>
                <w:i/>
                <w:iCs/>
                <w:sz w:val="20"/>
                <w:szCs w:val="20"/>
              </w:rPr>
            </w:pPr>
            <w:proofErr w:type="spellStart"/>
            <w:r w:rsidRPr="00166665">
              <w:rPr>
                <w:rFonts w:ascii="Arial" w:eastAsia="Verdana" w:hAnsi="Arial" w:cs="Arial"/>
                <w:i/>
                <w:iCs/>
                <w:sz w:val="20"/>
                <w:szCs w:val="20"/>
              </w:rPr>
              <w:t>Trinzic</w:t>
            </w:r>
            <w:proofErr w:type="spellEnd"/>
            <w:r w:rsidRPr="00166665">
              <w:rPr>
                <w:rFonts w:ascii="Arial" w:eastAsia="Verdana" w:hAnsi="Arial" w:cs="Arial"/>
                <w:i/>
                <w:iCs/>
                <w:sz w:val="20"/>
                <w:szCs w:val="20"/>
              </w:rPr>
              <w:t xml:space="preserve"> 2215 Software Bundle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8DD9BD"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Infoblox</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6E82D"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DDI</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5C8E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D86B55" w14:textId="77777777" w:rsidR="00C53FD0" w:rsidRPr="00166665" w:rsidRDefault="00C53FD0" w:rsidP="000D476B">
            <w:pPr>
              <w:rPr>
                <w:rFonts w:ascii="Arial" w:eastAsia="Verdana" w:hAnsi="Arial" w:cs="Arial"/>
                <w:i/>
                <w:iCs/>
                <w:sz w:val="20"/>
                <w:szCs w:val="20"/>
              </w:rPr>
            </w:pPr>
          </w:p>
        </w:tc>
      </w:tr>
      <w:tr w:rsidR="00C53FD0" w:rsidRPr="00166665" w14:paraId="5863613F"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2AAD7B" w14:textId="77777777" w:rsidR="00C53FD0" w:rsidRPr="00166665" w:rsidRDefault="00C53FD0" w:rsidP="000D476B">
            <w:pPr>
              <w:rPr>
                <w:rFonts w:ascii="Arial" w:eastAsia="Verdana" w:hAnsi="Arial" w:cs="Arial"/>
                <w:i/>
                <w:iCs/>
                <w:sz w:val="20"/>
                <w:szCs w:val="20"/>
              </w:rPr>
            </w:pPr>
            <w:proofErr w:type="spellStart"/>
            <w:r w:rsidRPr="00166665">
              <w:rPr>
                <w:rFonts w:ascii="Arial" w:eastAsia="Verdana" w:hAnsi="Arial" w:cs="Arial"/>
                <w:i/>
                <w:iCs/>
                <w:sz w:val="20"/>
                <w:szCs w:val="20"/>
              </w:rPr>
              <w:t>Trinzic</w:t>
            </w:r>
            <w:proofErr w:type="spellEnd"/>
            <w:r w:rsidRPr="00166665">
              <w:rPr>
                <w:rFonts w:ascii="Arial" w:eastAsia="Verdana" w:hAnsi="Arial" w:cs="Arial"/>
                <w:i/>
                <w:iCs/>
                <w:sz w:val="20"/>
                <w:szCs w:val="20"/>
              </w:rPr>
              <w:t xml:space="preserve"> Advanced DNS Protection</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4E022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Infoblox</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47989"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DDI</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77CF9"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22E35" w14:textId="77777777" w:rsidR="00C53FD0" w:rsidRPr="00166665" w:rsidRDefault="00C53FD0" w:rsidP="000D476B">
            <w:pPr>
              <w:rPr>
                <w:rFonts w:ascii="Arial" w:eastAsia="Verdana" w:hAnsi="Arial" w:cs="Arial"/>
                <w:i/>
                <w:iCs/>
                <w:sz w:val="20"/>
                <w:szCs w:val="20"/>
              </w:rPr>
            </w:pPr>
          </w:p>
        </w:tc>
      </w:tr>
      <w:tr w:rsidR="00C53FD0" w:rsidRPr="00166665" w14:paraId="027321F3"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69E5A" w14:textId="77777777" w:rsidR="00C53FD0" w:rsidRPr="00166665" w:rsidRDefault="00C53FD0" w:rsidP="000D476B">
            <w:pPr>
              <w:rPr>
                <w:rFonts w:ascii="Arial" w:eastAsia="Verdana" w:hAnsi="Arial" w:cs="Arial"/>
                <w:i/>
                <w:iCs/>
                <w:sz w:val="20"/>
                <w:szCs w:val="20"/>
              </w:rPr>
            </w:pPr>
            <w:proofErr w:type="spellStart"/>
            <w:r w:rsidRPr="00166665">
              <w:rPr>
                <w:rFonts w:ascii="Arial" w:eastAsia="Verdana" w:hAnsi="Arial" w:cs="Arial"/>
                <w:i/>
                <w:iCs/>
                <w:sz w:val="20"/>
                <w:szCs w:val="20"/>
              </w:rPr>
              <w:t>Trinzic</w:t>
            </w:r>
            <w:proofErr w:type="spellEnd"/>
            <w:r w:rsidRPr="00166665">
              <w:rPr>
                <w:rFonts w:ascii="Arial" w:eastAsia="Verdana" w:hAnsi="Arial" w:cs="Arial"/>
                <w:i/>
                <w:iCs/>
                <w:sz w:val="20"/>
                <w:szCs w:val="20"/>
              </w:rPr>
              <w:t xml:space="preserve"> DNS Traffic Control</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45D52F"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Infoblox</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105AE4"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DDI</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BCF78"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D304FC" w14:textId="77777777" w:rsidR="00C53FD0" w:rsidRPr="00166665" w:rsidRDefault="00C53FD0" w:rsidP="000D476B">
            <w:pPr>
              <w:rPr>
                <w:rFonts w:ascii="Arial" w:eastAsia="Verdana" w:hAnsi="Arial" w:cs="Arial"/>
                <w:i/>
                <w:iCs/>
                <w:sz w:val="20"/>
                <w:szCs w:val="20"/>
              </w:rPr>
            </w:pPr>
          </w:p>
        </w:tc>
      </w:tr>
      <w:tr w:rsidR="00C53FD0" w:rsidRPr="00166665" w14:paraId="090D3B4D"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A180F" w14:textId="77777777" w:rsidR="00C53FD0" w:rsidRPr="00166665" w:rsidRDefault="00C53FD0" w:rsidP="000D476B">
            <w:pPr>
              <w:rPr>
                <w:rFonts w:ascii="Arial" w:eastAsia="Verdana" w:hAnsi="Arial" w:cs="Arial"/>
                <w:i/>
                <w:iCs/>
                <w:sz w:val="20"/>
                <w:szCs w:val="20"/>
              </w:rPr>
            </w:pPr>
            <w:proofErr w:type="spellStart"/>
            <w:r w:rsidRPr="00166665">
              <w:rPr>
                <w:rFonts w:ascii="Arial" w:eastAsia="Verdana" w:hAnsi="Arial" w:cs="Arial"/>
                <w:i/>
                <w:iCs/>
                <w:sz w:val="20"/>
                <w:szCs w:val="20"/>
              </w:rPr>
              <w:t>BloxOne</w:t>
            </w:r>
            <w:proofErr w:type="spellEnd"/>
            <w:r w:rsidRPr="00166665">
              <w:rPr>
                <w:rFonts w:ascii="Arial" w:eastAsia="Verdana" w:hAnsi="Arial" w:cs="Arial"/>
                <w:i/>
                <w:iCs/>
                <w:sz w:val="20"/>
                <w:szCs w:val="20"/>
              </w:rPr>
              <w:t xml:space="preserve"> Threat </w:t>
            </w:r>
            <w:proofErr w:type="spellStart"/>
            <w:r w:rsidRPr="00166665">
              <w:rPr>
                <w:rFonts w:ascii="Arial" w:eastAsia="Verdana" w:hAnsi="Arial" w:cs="Arial"/>
                <w:i/>
                <w:iCs/>
                <w:sz w:val="20"/>
                <w:szCs w:val="20"/>
              </w:rPr>
              <w:t>Defense</w:t>
            </w:r>
            <w:proofErr w:type="spellEnd"/>
            <w:r w:rsidRPr="00166665">
              <w:rPr>
                <w:rFonts w:ascii="Arial" w:eastAsia="Verdana" w:hAnsi="Arial" w:cs="Arial"/>
                <w:i/>
                <w:iCs/>
                <w:sz w:val="20"/>
                <w:szCs w:val="20"/>
              </w:rPr>
              <w:t xml:space="preserve"> Advanced</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9B47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Infoblox</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7C3E5A"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DDI</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0BA5E"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2500</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A806A" w14:textId="77777777" w:rsidR="00C53FD0" w:rsidRPr="00166665" w:rsidRDefault="00C53FD0" w:rsidP="000D476B">
            <w:pPr>
              <w:rPr>
                <w:rFonts w:ascii="Arial" w:eastAsia="Verdana" w:hAnsi="Arial" w:cs="Arial"/>
                <w:i/>
                <w:iCs/>
                <w:sz w:val="20"/>
                <w:szCs w:val="20"/>
              </w:rPr>
            </w:pPr>
          </w:p>
        </w:tc>
      </w:tr>
      <w:tr w:rsidR="00C53FD0" w:rsidRPr="00166665" w14:paraId="36CD8E8F"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A8B5D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 RecoverPoint for Virtual Machines Data Protection Software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53D948"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38E81"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Backup and Recovery</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E9B58"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36</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DA4674" w14:textId="77777777" w:rsidR="00C53FD0" w:rsidRPr="00166665" w:rsidRDefault="00C53FD0" w:rsidP="000D476B">
            <w:pPr>
              <w:rPr>
                <w:rFonts w:ascii="Arial" w:eastAsia="Verdana" w:hAnsi="Arial" w:cs="Arial"/>
                <w:i/>
                <w:iCs/>
                <w:sz w:val="20"/>
                <w:szCs w:val="20"/>
              </w:rPr>
            </w:pPr>
          </w:p>
        </w:tc>
      </w:tr>
      <w:tr w:rsidR="00C53FD0" w:rsidRPr="00166665" w14:paraId="7BC0D939"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2C33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Dell EMC Isilon </w:t>
            </w:r>
            <w:proofErr w:type="spellStart"/>
            <w:r w:rsidRPr="00166665">
              <w:rPr>
                <w:rFonts w:ascii="Arial" w:eastAsia="Verdana" w:hAnsi="Arial" w:cs="Arial"/>
                <w:i/>
                <w:iCs/>
                <w:sz w:val="20"/>
                <w:szCs w:val="20"/>
              </w:rPr>
              <w:t>SyncIQ</w:t>
            </w:r>
            <w:proofErr w:type="spellEnd"/>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6EDF7"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C3FB4A"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Storage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8C289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8 (Tier 3 Base), 240 (Tier 3 Capacity)</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FCFE9E" w14:textId="77777777" w:rsidR="00C53FD0" w:rsidRPr="00166665" w:rsidRDefault="00C53FD0" w:rsidP="000D476B">
            <w:pPr>
              <w:rPr>
                <w:rFonts w:ascii="Arial" w:eastAsia="Verdana" w:hAnsi="Arial" w:cs="Arial"/>
                <w:i/>
                <w:iCs/>
                <w:sz w:val="20"/>
                <w:szCs w:val="20"/>
              </w:rPr>
            </w:pPr>
          </w:p>
        </w:tc>
      </w:tr>
      <w:tr w:rsidR="00C53FD0" w:rsidRPr="00166665" w14:paraId="1F564A87"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A5A24"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Dell EMC Isilon </w:t>
            </w:r>
            <w:proofErr w:type="spellStart"/>
            <w:r w:rsidRPr="00166665">
              <w:rPr>
                <w:rFonts w:ascii="Arial" w:eastAsia="Verdana" w:hAnsi="Arial" w:cs="Arial"/>
                <w:i/>
                <w:iCs/>
                <w:sz w:val="20"/>
                <w:szCs w:val="20"/>
              </w:rPr>
              <w:t>SnapshotIQ</w:t>
            </w:r>
            <w:proofErr w:type="spellEnd"/>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40E96D"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47C5F9"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Storage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82D75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8 (Tier 3 Base), 240 (Tier 3 Capacity)</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B33FD" w14:textId="77777777" w:rsidR="00C53FD0" w:rsidRPr="00166665" w:rsidRDefault="00C53FD0" w:rsidP="000D476B">
            <w:pPr>
              <w:rPr>
                <w:rFonts w:ascii="Arial" w:eastAsia="Verdana" w:hAnsi="Arial" w:cs="Arial"/>
                <w:i/>
                <w:iCs/>
                <w:sz w:val="20"/>
                <w:szCs w:val="20"/>
              </w:rPr>
            </w:pPr>
          </w:p>
        </w:tc>
      </w:tr>
      <w:tr w:rsidR="00C53FD0" w:rsidRPr="00166665" w14:paraId="3C7E1488"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5D9CF"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Dell EMC Isilon </w:t>
            </w:r>
            <w:proofErr w:type="spellStart"/>
            <w:r w:rsidRPr="00166665">
              <w:rPr>
                <w:rFonts w:ascii="Arial" w:eastAsia="Verdana" w:hAnsi="Arial" w:cs="Arial"/>
                <w:i/>
                <w:iCs/>
                <w:sz w:val="20"/>
                <w:szCs w:val="20"/>
              </w:rPr>
              <w:t>SmartQuotas</w:t>
            </w:r>
            <w:proofErr w:type="spellEnd"/>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1BFF3"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DC0BD"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Storage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80F58"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8 (Tier 3 Base), 240 (Tier 3 Capacity)</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16008" w14:textId="77777777" w:rsidR="00C53FD0" w:rsidRPr="00166665" w:rsidRDefault="00C53FD0" w:rsidP="000D476B">
            <w:pPr>
              <w:rPr>
                <w:rFonts w:ascii="Arial" w:eastAsia="Verdana" w:hAnsi="Arial" w:cs="Arial"/>
                <w:i/>
                <w:iCs/>
                <w:sz w:val="20"/>
                <w:szCs w:val="20"/>
              </w:rPr>
            </w:pPr>
          </w:p>
        </w:tc>
      </w:tr>
      <w:tr w:rsidR="00C53FD0" w:rsidRPr="00166665" w14:paraId="748C6EBA"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68889"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Dell EMC Isilon </w:t>
            </w:r>
            <w:proofErr w:type="spellStart"/>
            <w:r w:rsidRPr="00166665">
              <w:rPr>
                <w:rFonts w:ascii="Arial" w:eastAsia="Verdana" w:hAnsi="Arial" w:cs="Arial"/>
                <w:i/>
                <w:iCs/>
                <w:sz w:val="20"/>
                <w:szCs w:val="20"/>
              </w:rPr>
              <w:t>SmartPools</w:t>
            </w:r>
            <w:proofErr w:type="spellEnd"/>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0D58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C42C8"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Storage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AC8F9"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8 (Tier 3 Base), 240 (Tier 3 Capacity)</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CDBE2" w14:textId="77777777" w:rsidR="00C53FD0" w:rsidRPr="00166665" w:rsidRDefault="00C53FD0" w:rsidP="000D476B">
            <w:pPr>
              <w:rPr>
                <w:rFonts w:ascii="Arial" w:eastAsia="Verdana" w:hAnsi="Arial" w:cs="Arial"/>
                <w:i/>
                <w:iCs/>
                <w:sz w:val="20"/>
                <w:szCs w:val="20"/>
              </w:rPr>
            </w:pPr>
          </w:p>
        </w:tc>
      </w:tr>
      <w:tr w:rsidR="00C53FD0" w:rsidRPr="00166665" w14:paraId="51D6B4FB"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0B8B3"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lastRenderedPageBreak/>
              <w:t>Dell EMC Isilon SmartConnect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3A90D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3F5A1"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Storage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2F3AF"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8 (Tier 3 Base), 240 (Tier 3 Capacity)</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CB6460" w14:textId="77777777" w:rsidR="00C53FD0" w:rsidRPr="00166665" w:rsidRDefault="00C53FD0" w:rsidP="000D476B">
            <w:pPr>
              <w:rPr>
                <w:rFonts w:ascii="Arial" w:eastAsia="Verdana" w:hAnsi="Arial" w:cs="Arial"/>
                <w:i/>
                <w:iCs/>
                <w:sz w:val="20"/>
                <w:szCs w:val="20"/>
              </w:rPr>
            </w:pPr>
          </w:p>
        </w:tc>
      </w:tr>
      <w:tr w:rsidR="00C53FD0" w:rsidRPr="00166665" w14:paraId="7E1067C7"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E9CFA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Dell EMC Isilon </w:t>
            </w:r>
            <w:proofErr w:type="spellStart"/>
            <w:r w:rsidRPr="00166665">
              <w:rPr>
                <w:rFonts w:ascii="Arial" w:eastAsia="Verdana" w:hAnsi="Arial" w:cs="Arial"/>
                <w:i/>
                <w:iCs/>
                <w:sz w:val="20"/>
                <w:szCs w:val="20"/>
              </w:rPr>
              <w:t>OneFS</w:t>
            </w:r>
            <w:proofErr w:type="spellEnd"/>
            <w:r w:rsidRPr="00166665">
              <w:rPr>
                <w:rFonts w:ascii="Arial" w:eastAsia="Verdana" w:hAnsi="Arial" w:cs="Arial"/>
                <w:i/>
                <w:iCs/>
                <w:sz w:val="20"/>
                <w:szCs w:val="20"/>
              </w:rPr>
              <w:t xml:space="preserve"> Encryption Key Management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F5A83"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01335"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Storage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D93E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8 (Tier 3 Base)</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9FA882" w14:textId="77777777" w:rsidR="00C53FD0" w:rsidRPr="00166665" w:rsidRDefault="00C53FD0" w:rsidP="000D476B">
            <w:pPr>
              <w:rPr>
                <w:rFonts w:ascii="Arial" w:eastAsia="Verdana" w:hAnsi="Arial" w:cs="Arial"/>
                <w:i/>
                <w:iCs/>
                <w:sz w:val="20"/>
                <w:szCs w:val="20"/>
              </w:rPr>
            </w:pPr>
          </w:p>
        </w:tc>
      </w:tr>
      <w:tr w:rsidR="00C53FD0" w:rsidRPr="00166665" w14:paraId="04E3A22E"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A348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Dell EMC Isilon </w:t>
            </w:r>
            <w:proofErr w:type="spellStart"/>
            <w:r w:rsidRPr="00166665">
              <w:rPr>
                <w:rFonts w:ascii="Arial" w:eastAsia="Verdana" w:hAnsi="Arial" w:cs="Arial"/>
                <w:i/>
                <w:iCs/>
                <w:sz w:val="20"/>
                <w:szCs w:val="20"/>
              </w:rPr>
              <w:t>OneFS</w:t>
            </w:r>
            <w:proofErr w:type="spellEnd"/>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D1267"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D594"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Storage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7978A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8 (Tier 3 Base), 240 (Tier 3 Capacity)</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5F84E" w14:textId="77777777" w:rsidR="00C53FD0" w:rsidRPr="00166665" w:rsidRDefault="00C53FD0" w:rsidP="000D476B">
            <w:pPr>
              <w:rPr>
                <w:rFonts w:ascii="Arial" w:eastAsia="Verdana" w:hAnsi="Arial" w:cs="Arial"/>
                <w:i/>
                <w:iCs/>
                <w:sz w:val="20"/>
                <w:szCs w:val="20"/>
              </w:rPr>
            </w:pPr>
          </w:p>
        </w:tc>
      </w:tr>
      <w:tr w:rsidR="00C53FD0" w:rsidRPr="00166665" w14:paraId="37336EA4"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D16A0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Dell EMC Isilon HDFS for </w:t>
            </w:r>
            <w:proofErr w:type="spellStart"/>
            <w:r w:rsidRPr="00166665">
              <w:rPr>
                <w:rFonts w:ascii="Arial" w:eastAsia="Verdana" w:hAnsi="Arial" w:cs="Arial"/>
                <w:i/>
                <w:iCs/>
                <w:sz w:val="20"/>
                <w:szCs w:val="20"/>
              </w:rPr>
              <w:t>OneFS</w:t>
            </w:r>
            <w:proofErr w:type="spellEnd"/>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D1B3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98E7C"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Storage</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BD070"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8 (Tier 3 Base)</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C824AA" w14:textId="77777777" w:rsidR="00C53FD0" w:rsidRPr="00166665" w:rsidRDefault="00C53FD0" w:rsidP="000D476B">
            <w:pPr>
              <w:rPr>
                <w:rFonts w:ascii="Arial" w:eastAsia="Verdana" w:hAnsi="Arial" w:cs="Arial"/>
                <w:i/>
                <w:iCs/>
                <w:sz w:val="20"/>
                <w:szCs w:val="20"/>
              </w:rPr>
            </w:pPr>
          </w:p>
        </w:tc>
      </w:tr>
      <w:tr w:rsidR="00C53FD0" w:rsidRPr="00166665" w14:paraId="442004B5"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85E19"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 Data Protection Suite for VMware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EBAB9"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E3CA6"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Backup and Recovery</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9864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128</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1CADC" w14:textId="77777777" w:rsidR="00C53FD0" w:rsidRPr="00166665" w:rsidRDefault="00C53FD0" w:rsidP="000D476B">
            <w:pPr>
              <w:rPr>
                <w:rFonts w:ascii="Arial" w:eastAsia="Verdana" w:hAnsi="Arial" w:cs="Arial"/>
                <w:i/>
                <w:iCs/>
                <w:sz w:val="20"/>
                <w:szCs w:val="20"/>
              </w:rPr>
            </w:pPr>
          </w:p>
        </w:tc>
      </w:tr>
      <w:tr w:rsidR="00C53FD0" w:rsidRPr="00166665" w14:paraId="59E0419C"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162B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 Data Protection Central</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564A6"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C2D713"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Backup and Recovery</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1B22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DD0A48" w14:textId="77777777" w:rsidR="00C53FD0" w:rsidRPr="00166665" w:rsidRDefault="00C53FD0" w:rsidP="000D476B">
            <w:pPr>
              <w:rPr>
                <w:rFonts w:ascii="Arial" w:eastAsia="Verdana" w:hAnsi="Arial" w:cs="Arial"/>
                <w:i/>
                <w:iCs/>
                <w:sz w:val="20"/>
                <w:szCs w:val="20"/>
              </w:rPr>
            </w:pPr>
          </w:p>
        </w:tc>
      </w:tr>
      <w:tr w:rsidR="00C53FD0" w:rsidRPr="00166665" w14:paraId="07CF0331"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41F0E1"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 Data Protection Search</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2927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90DC8"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Backup and Recovery</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12A0ED"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473E5" w14:textId="77777777" w:rsidR="00C53FD0" w:rsidRPr="00166665" w:rsidRDefault="00C53FD0" w:rsidP="000D476B">
            <w:pPr>
              <w:rPr>
                <w:rFonts w:ascii="Arial" w:eastAsia="Verdana" w:hAnsi="Arial" w:cs="Arial"/>
                <w:i/>
                <w:iCs/>
                <w:sz w:val="20"/>
                <w:szCs w:val="20"/>
              </w:rPr>
            </w:pPr>
          </w:p>
        </w:tc>
      </w:tr>
      <w:tr w:rsidR="00C53FD0" w:rsidRPr="00166665" w14:paraId="4B670E66"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BA30F7"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 Avamar Virtual Edition for VMware</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5361F"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29F430"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Backup and Recovery</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89C6BB"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 4 (2TB)</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9BFFC" w14:textId="77777777" w:rsidR="00C53FD0" w:rsidRPr="00166665" w:rsidRDefault="00C53FD0" w:rsidP="000D476B">
            <w:pPr>
              <w:rPr>
                <w:rFonts w:ascii="Arial" w:eastAsia="Verdana" w:hAnsi="Arial" w:cs="Arial"/>
                <w:i/>
                <w:iCs/>
                <w:sz w:val="20"/>
                <w:szCs w:val="20"/>
              </w:rPr>
            </w:pPr>
          </w:p>
        </w:tc>
      </w:tr>
      <w:tr w:rsidR="00C53FD0" w:rsidRPr="00166665" w14:paraId="38C9DEDF"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A02F74"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 Data Domain Boost for Enterprise Applications (DDBEA)</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494B28"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52B74"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Backup and Recovery</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F0C68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12</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FCE42A" w14:textId="77777777" w:rsidR="00C53FD0" w:rsidRPr="00166665" w:rsidRDefault="00C53FD0" w:rsidP="000D476B">
            <w:pPr>
              <w:rPr>
                <w:rFonts w:ascii="Arial" w:eastAsia="Verdana" w:hAnsi="Arial" w:cs="Arial"/>
                <w:i/>
                <w:iCs/>
                <w:sz w:val="20"/>
                <w:szCs w:val="20"/>
              </w:rPr>
            </w:pPr>
          </w:p>
        </w:tc>
      </w:tr>
      <w:tr w:rsidR="00C53FD0" w:rsidRPr="00166665" w14:paraId="618EF5A0"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77F305"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 Cyber Recovery Vault</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B2D0C6"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FFA1F"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Backup and Recovery</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B47F6"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7473E4" w14:textId="77777777" w:rsidR="00C53FD0" w:rsidRPr="00166665" w:rsidRDefault="00C53FD0" w:rsidP="000D476B">
            <w:pPr>
              <w:rPr>
                <w:rFonts w:ascii="Arial" w:eastAsia="Verdana" w:hAnsi="Arial" w:cs="Arial"/>
                <w:i/>
                <w:iCs/>
                <w:sz w:val="20"/>
                <w:szCs w:val="20"/>
              </w:rPr>
            </w:pPr>
          </w:p>
        </w:tc>
      </w:tr>
      <w:tr w:rsidR="00C53FD0" w:rsidRPr="00166665" w14:paraId="51E17559"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1E872"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 xml:space="preserve">Dell EMC </w:t>
            </w:r>
            <w:proofErr w:type="spellStart"/>
            <w:r w:rsidRPr="00166665">
              <w:rPr>
                <w:rFonts w:ascii="Arial" w:eastAsia="Verdana" w:hAnsi="Arial" w:cs="Arial"/>
                <w:i/>
                <w:iCs/>
                <w:sz w:val="20"/>
                <w:szCs w:val="20"/>
              </w:rPr>
              <w:t>CyberSense</w:t>
            </w:r>
            <w:proofErr w:type="spellEnd"/>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F37C7"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3BA961"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Backup and Recovery</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DD126"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AD494A" w14:textId="77777777" w:rsidR="00C53FD0" w:rsidRPr="00166665" w:rsidRDefault="00C53FD0" w:rsidP="000D476B">
            <w:pPr>
              <w:rPr>
                <w:rFonts w:ascii="Arial" w:eastAsia="Verdana" w:hAnsi="Arial" w:cs="Arial"/>
                <w:i/>
                <w:iCs/>
                <w:sz w:val="20"/>
                <w:szCs w:val="20"/>
              </w:rPr>
            </w:pPr>
          </w:p>
        </w:tc>
      </w:tr>
      <w:tr w:rsidR="00C53FD0" w:rsidRPr="00166665" w14:paraId="0833169E" w14:textId="77777777" w:rsidTr="000D476B">
        <w:trPr>
          <w:trHeight w:val="468"/>
        </w:trPr>
        <w:tc>
          <w:tcPr>
            <w:tcW w:w="23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FAC86"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 Data Protection Advisor</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6A7EAC"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Dell EMC</w:t>
            </w:r>
          </w:p>
        </w:tc>
        <w:tc>
          <w:tcPr>
            <w:tcW w:w="18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8A7F33"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Backup and Recovery</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EA4E3" w14:textId="77777777" w:rsidR="00C53FD0" w:rsidRPr="00166665" w:rsidRDefault="00C53FD0" w:rsidP="000D476B">
            <w:pPr>
              <w:rPr>
                <w:rFonts w:ascii="Arial" w:eastAsia="Verdana" w:hAnsi="Arial" w:cs="Arial"/>
                <w:i/>
                <w:iCs/>
                <w:sz w:val="20"/>
                <w:szCs w:val="20"/>
              </w:rPr>
            </w:pPr>
            <w:r w:rsidRPr="00166665">
              <w:rPr>
                <w:rFonts w:ascii="Arial" w:eastAsia="Verdana" w:hAnsi="Arial" w:cs="Arial"/>
                <w:i/>
                <w:iCs/>
                <w:sz w:val="20"/>
                <w:szCs w:val="20"/>
              </w:rPr>
              <w:t>1</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87EBE" w14:textId="77777777" w:rsidR="00C53FD0" w:rsidRPr="00166665" w:rsidRDefault="00C53FD0" w:rsidP="000D476B">
            <w:pPr>
              <w:rPr>
                <w:rFonts w:ascii="Arial" w:eastAsia="Verdana" w:hAnsi="Arial" w:cs="Arial"/>
                <w:i/>
                <w:iCs/>
                <w:sz w:val="20"/>
                <w:szCs w:val="20"/>
              </w:rPr>
            </w:pPr>
          </w:p>
        </w:tc>
      </w:tr>
    </w:tbl>
    <w:p w14:paraId="2AF76BD7" w14:textId="77777777" w:rsidR="00C53FD0" w:rsidRPr="00166665" w:rsidRDefault="00C53FD0" w:rsidP="00C53FD0">
      <w:pPr>
        <w:spacing w:after="25"/>
        <w:rPr>
          <w:rFonts w:eastAsia="Verdana" w:cs="Arial"/>
          <w:i/>
          <w:iCs/>
          <w:szCs w:val="20"/>
        </w:rPr>
      </w:pPr>
    </w:p>
    <w:p w14:paraId="70F0D2AC" w14:textId="77777777" w:rsidR="00C53FD0" w:rsidRPr="00166665" w:rsidRDefault="00C53FD0" w:rsidP="00C53FD0">
      <w:pPr>
        <w:spacing w:after="25"/>
        <w:rPr>
          <w:rFonts w:cs="Arial"/>
          <w:i/>
          <w:iCs/>
          <w:szCs w:val="20"/>
        </w:rPr>
      </w:pPr>
    </w:p>
    <w:p w14:paraId="61CEF9D5" w14:textId="77777777" w:rsidR="00C53FD0" w:rsidRPr="00166665" w:rsidRDefault="00C53FD0" w:rsidP="00C53FD0">
      <w:pPr>
        <w:rPr>
          <w:rFonts w:cs="Arial"/>
          <w:szCs w:val="20"/>
        </w:rPr>
        <w:sectPr w:rsidR="00C53FD0" w:rsidRPr="00166665">
          <w:pgSz w:w="11906" w:h="16838"/>
          <w:pgMar w:top="1440" w:right="1440" w:bottom="1440" w:left="1440" w:header="708" w:footer="708" w:gutter="0"/>
          <w:cols w:space="708"/>
          <w:docGrid w:linePitch="360"/>
        </w:sectPr>
      </w:pPr>
    </w:p>
    <w:p w14:paraId="5C534934" w14:textId="64154295" w:rsidR="00C53FD0" w:rsidRPr="00166665" w:rsidRDefault="001F1C19" w:rsidP="009D675B">
      <w:pPr>
        <w:pStyle w:val="Heading1"/>
        <w:numPr>
          <w:ilvl w:val="0"/>
          <w:numId w:val="134"/>
        </w:numPr>
        <w:tabs>
          <w:tab w:val="num" w:pos="709"/>
        </w:tabs>
        <w:ind w:left="709" w:hanging="709"/>
        <w:rPr>
          <w:rFonts w:cs="Arial"/>
          <w:b w:val="0"/>
          <w:bCs w:val="0"/>
          <w:szCs w:val="20"/>
        </w:rPr>
      </w:pPr>
      <w:r>
        <w:rPr>
          <w:rFonts w:cs="Arial"/>
          <w:szCs w:val="20"/>
        </w:rPr>
        <w:lastRenderedPageBreak/>
        <w:t>NETLINK STAR</w:t>
      </w:r>
      <w:r w:rsidR="00C53FD0" w:rsidRPr="00166665">
        <w:rPr>
          <w:rFonts w:cs="Arial"/>
          <w:szCs w:val="20"/>
        </w:rPr>
        <w:t xml:space="preserve"> APPLICATIONS</w:t>
      </w:r>
    </w:p>
    <w:p w14:paraId="022C2E28" w14:textId="35E3D1D1" w:rsidR="00C53FD0" w:rsidRPr="00166665" w:rsidRDefault="001F1C19" w:rsidP="009D675B">
      <w:pPr>
        <w:pStyle w:val="Heading2"/>
        <w:numPr>
          <w:ilvl w:val="1"/>
          <w:numId w:val="134"/>
        </w:numPr>
        <w:tabs>
          <w:tab w:val="num" w:pos="709"/>
        </w:tabs>
        <w:ind w:left="709" w:hanging="709"/>
        <w:rPr>
          <w:rFonts w:cs="Arial"/>
          <w:szCs w:val="20"/>
        </w:rPr>
      </w:pPr>
      <w:proofErr w:type="spellStart"/>
      <w:r>
        <w:rPr>
          <w:rFonts w:cs="Arial"/>
          <w:szCs w:val="20"/>
        </w:rPr>
        <w:t>Netlink</w:t>
      </w:r>
      <w:proofErr w:type="spellEnd"/>
      <w:r>
        <w:rPr>
          <w:rFonts w:cs="Arial"/>
          <w:szCs w:val="20"/>
        </w:rPr>
        <w:t xml:space="preserve"> Star</w:t>
      </w:r>
      <w:r w:rsidR="00C53FD0" w:rsidRPr="00166665">
        <w:rPr>
          <w:rFonts w:cs="Arial"/>
          <w:szCs w:val="20"/>
        </w:rPr>
        <w:t xml:space="preserve"> will provide the following </w:t>
      </w:r>
      <w:proofErr w:type="spellStart"/>
      <w:r>
        <w:rPr>
          <w:rFonts w:cs="Arial"/>
          <w:szCs w:val="20"/>
        </w:rPr>
        <w:t>Netlink</w:t>
      </w:r>
      <w:proofErr w:type="spellEnd"/>
      <w:r>
        <w:rPr>
          <w:rFonts w:cs="Arial"/>
          <w:szCs w:val="20"/>
        </w:rPr>
        <w:t xml:space="preserve"> Star</w:t>
      </w:r>
      <w:r w:rsidR="00C53FD0" w:rsidRPr="00166665">
        <w:rPr>
          <w:rFonts w:cs="Arial"/>
          <w:szCs w:val="20"/>
        </w:rPr>
        <w:t xml:space="preserve"> Software in application form for use by the Supplier for delivery of the Services</w:t>
      </w:r>
      <w:r w:rsidR="00C53FD0">
        <w:rPr>
          <w:rFonts w:cs="Arial"/>
          <w:szCs w:val="20"/>
        </w:rPr>
        <w:t xml:space="preserve"> </w:t>
      </w:r>
      <w:r w:rsidR="00C53FD0" w:rsidRPr="00166665">
        <w:rPr>
          <w:rFonts w:cs="Arial"/>
          <w:szCs w:val="20"/>
        </w:rPr>
        <w:t xml:space="preserve">in accordance with </w:t>
      </w:r>
      <w:r w:rsidR="00C53FD0">
        <w:rPr>
          <w:rFonts w:cs="Arial"/>
          <w:szCs w:val="20"/>
        </w:rPr>
        <w:t xml:space="preserve">Paragraph </w:t>
      </w:r>
      <w:r w:rsidR="00C53FD0" w:rsidRPr="00166665">
        <w:rPr>
          <w:rFonts w:cs="Arial"/>
          <w:szCs w:val="20"/>
        </w:rPr>
        <w:t xml:space="preserve">5.1.15 (Support for all tooling and application involved in the provision of the Operate Services) of Schedule 2.1 (Service Description). </w:t>
      </w:r>
    </w:p>
    <w:p w14:paraId="73F354F9" w14:textId="77777777" w:rsidR="00C53FD0" w:rsidRPr="00166665" w:rsidRDefault="00C53FD0" w:rsidP="009D675B">
      <w:pPr>
        <w:pStyle w:val="Heading30"/>
        <w:numPr>
          <w:ilvl w:val="2"/>
          <w:numId w:val="134"/>
        </w:numPr>
        <w:tabs>
          <w:tab w:val="num" w:pos="1702"/>
        </w:tabs>
        <w:ind w:left="1702" w:hanging="992"/>
      </w:pPr>
      <w:r w:rsidRPr="00166665">
        <w:t>‘Scope for the Supplier’ in Table below details:</w:t>
      </w:r>
    </w:p>
    <w:p w14:paraId="590FC740" w14:textId="77777777" w:rsidR="00C53FD0" w:rsidRPr="00166665" w:rsidRDefault="00C53FD0" w:rsidP="009D675B">
      <w:pPr>
        <w:pStyle w:val="Heading4"/>
        <w:numPr>
          <w:ilvl w:val="3"/>
          <w:numId w:val="134"/>
        </w:numPr>
        <w:tabs>
          <w:tab w:val="num" w:pos="1702"/>
        </w:tabs>
        <w:ind w:left="1702" w:hanging="709"/>
        <w:rPr>
          <w:rFonts w:cs="Arial"/>
          <w:szCs w:val="20"/>
        </w:rPr>
      </w:pPr>
      <w:r w:rsidRPr="00166665">
        <w:rPr>
          <w:rFonts w:cs="Arial"/>
          <w:szCs w:val="20"/>
        </w:rPr>
        <w:t xml:space="preserve">‘Update Data’ means the Supplier is responsible for creating and/or maintaining the data within the specific </w:t>
      </w:r>
      <w:proofErr w:type="gramStart"/>
      <w:r w:rsidRPr="00166665">
        <w:rPr>
          <w:rFonts w:cs="Arial"/>
          <w:szCs w:val="20"/>
        </w:rPr>
        <w:t>application;</w:t>
      </w:r>
      <w:proofErr w:type="gramEnd"/>
    </w:p>
    <w:p w14:paraId="4D5BB74B" w14:textId="77777777" w:rsidR="00C53FD0" w:rsidRPr="00166665" w:rsidRDefault="00C53FD0" w:rsidP="009D675B">
      <w:pPr>
        <w:pStyle w:val="Heading4"/>
        <w:numPr>
          <w:ilvl w:val="3"/>
          <w:numId w:val="134"/>
        </w:numPr>
        <w:tabs>
          <w:tab w:val="num" w:pos="1702"/>
        </w:tabs>
        <w:ind w:left="1702" w:hanging="709"/>
        <w:rPr>
          <w:rFonts w:cs="Arial"/>
          <w:szCs w:val="20"/>
        </w:rPr>
      </w:pPr>
      <w:r w:rsidRPr="00166665">
        <w:rPr>
          <w:rFonts w:cs="Arial"/>
          <w:szCs w:val="20"/>
        </w:rPr>
        <w:t xml:space="preserve">‘Maintain Agents’ means the Supplier is responsible for installation of relevant agents per standard build definitions and monitoring the status, as part of the specific </w:t>
      </w:r>
      <w:proofErr w:type="gramStart"/>
      <w:r w:rsidRPr="00166665">
        <w:rPr>
          <w:rFonts w:cs="Arial"/>
          <w:szCs w:val="20"/>
        </w:rPr>
        <w:t>application;</w:t>
      </w:r>
      <w:proofErr w:type="gramEnd"/>
    </w:p>
    <w:p w14:paraId="5293984E" w14:textId="77777777" w:rsidR="00C53FD0" w:rsidRPr="00166665" w:rsidRDefault="00C53FD0" w:rsidP="009D675B">
      <w:pPr>
        <w:pStyle w:val="Heading4"/>
        <w:numPr>
          <w:ilvl w:val="3"/>
          <w:numId w:val="134"/>
        </w:numPr>
        <w:tabs>
          <w:tab w:val="num" w:pos="1702"/>
        </w:tabs>
        <w:ind w:left="1702" w:hanging="709"/>
        <w:rPr>
          <w:rFonts w:cs="Arial"/>
          <w:szCs w:val="20"/>
        </w:rPr>
      </w:pPr>
      <w:r w:rsidRPr="00166665">
        <w:rPr>
          <w:rFonts w:cs="Arial"/>
          <w:szCs w:val="20"/>
        </w:rPr>
        <w:t xml:space="preserve">‘Integrate’ means the Supplier is responsible for providing integration either to or from the specific </w:t>
      </w:r>
      <w:proofErr w:type="gramStart"/>
      <w:r w:rsidRPr="00166665">
        <w:rPr>
          <w:rFonts w:cs="Arial"/>
          <w:szCs w:val="20"/>
        </w:rPr>
        <w:t>application;</w:t>
      </w:r>
      <w:proofErr w:type="gramEnd"/>
      <w:r w:rsidRPr="00166665">
        <w:rPr>
          <w:rFonts w:cs="Arial"/>
          <w:szCs w:val="20"/>
        </w:rPr>
        <w:t xml:space="preserve"> </w:t>
      </w:r>
    </w:p>
    <w:p w14:paraId="0346BCEF" w14:textId="77777777" w:rsidR="00C53FD0" w:rsidRPr="00166665" w:rsidRDefault="00C53FD0" w:rsidP="009D675B">
      <w:pPr>
        <w:pStyle w:val="Heading4"/>
        <w:numPr>
          <w:ilvl w:val="3"/>
          <w:numId w:val="134"/>
        </w:numPr>
        <w:tabs>
          <w:tab w:val="num" w:pos="1702"/>
        </w:tabs>
        <w:ind w:left="1702" w:hanging="709"/>
        <w:rPr>
          <w:rFonts w:cs="Arial"/>
          <w:szCs w:val="20"/>
        </w:rPr>
      </w:pPr>
      <w:r w:rsidRPr="00166665">
        <w:rPr>
          <w:rFonts w:cs="Arial"/>
          <w:szCs w:val="20"/>
        </w:rPr>
        <w:t xml:space="preserve">‘TBD by Supplier’ means the Supplier to confirm how and if the specific application will be </w:t>
      </w:r>
      <w:proofErr w:type="gramStart"/>
      <w:r w:rsidRPr="00166665">
        <w:rPr>
          <w:rFonts w:cs="Arial"/>
          <w:szCs w:val="20"/>
        </w:rPr>
        <w:t>used;</w:t>
      </w:r>
      <w:proofErr w:type="gramEnd"/>
    </w:p>
    <w:p w14:paraId="4BCAD312" w14:textId="77777777" w:rsidR="00C53FD0" w:rsidRPr="00166665" w:rsidRDefault="00C53FD0" w:rsidP="009D675B">
      <w:pPr>
        <w:pStyle w:val="Heading4"/>
        <w:numPr>
          <w:ilvl w:val="3"/>
          <w:numId w:val="134"/>
        </w:numPr>
        <w:tabs>
          <w:tab w:val="num" w:pos="1702"/>
        </w:tabs>
        <w:ind w:left="1702" w:hanging="709"/>
        <w:rPr>
          <w:rFonts w:cs="Arial"/>
          <w:szCs w:val="20"/>
        </w:rPr>
      </w:pPr>
      <w:r w:rsidRPr="00166665">
        <w:rPr>
          <w:rFonts w:cs="Arial"/>
          <w:szCs w:val="20"/>
        </w:rPr>
        <w:t xml:space="preserve">‘Own/Maintain’ means the Supplier is responsible for supporting the </w:t>
      </w:r>
      <w:proofErr w:type="gramStart"/>
      <w:r w:rsidRPr="00166665">
        <w:rPr>
          <w:rFonts w:cs="Arial"/>
          <w:szCs w:val="20"/>
        </w:rPr>
        <w:t>application;</w:t>
      </w:r>
      <w:proofErr w:type="gramEnd"/>
    </w:p>
    <w:p w14:paraId="3F1046DD" w14:textId="77777777" w:rsidR="00C53FD0" w:rsidRPr="00166665" w:rsidRDefault="00C53FD0" w:rsidP="00C53FD0">
      <w:pPr>
        <w:pStyle w:val="Heading4"/>
        <w:numPr>
          <w:ilvl w:val="0"/>
          <w:numId w:val="0"/>
        </w:numPr>
        <w:ind w:left="2127" w:hanging="862"/>
        <w:rPr>
          <w:rFonts w:cs="Arial"/>
          <w:szCs w:val="20"/>
        </w:rPr>
      </w:pPr>
      <w:r w:rsidRPr="00166665">
        <w:rPr>
          <w:rFonts w:cs="Arial"/>
          <w:szCs w:val="20"/>
        </w:rPr>
        <w:t>This is without prejudice to the Supplier obligations set out in the terms and conditions of this Agreement in relation to Software.</w:t>
      </w:r>
    </w:p>
    <w:p w14:paraId="6E7B5749" w14:textId="7FF508E0" w:rsidR="00C53FD0" w:rsidRPr="00166665" w:rsidRDefault="00C53FD0" w:rsidP="009D675B">
      <w:pPr>
        <w:pStyle w:val="Heading30"/>
        <w:numPr>
          <w:ilvl w:val="2"/>
          <w:numId w:val="134"/>
        </w:numPr>
        <w:tabs>
          <w:tab w:val="num" w:pos="1702"/>
        </w:tabs>
        <w:ind w:left="1702" w:hanging="992"/>
      </w:pPr>
      <w:r w:rsidRPr="00166665">
        <w:t xml:space="preserve">‘Mandated Use’ details </w:t>
      </w:r>
      <w:proofErr w:type="gramStart"/>
      <w:r w:rsidRPr="00166665">
        <w:t>whether or not</w:t>
      </w:r>
      <w:proofErr w:type="gramEnd"/>
      <w:r w:rsidRPr="00166665">
        <w:t xml:space="preserve"> </w:t>
      </w:r>
      <w:proofErr w:type="spellStart"/>
      <w:r w:rsidR="001F1C19">
        <w:t>Netlink</w:t>
      </w:r>
      <w:proofErr w:type="spellEnd"/>
      <w:r w:rsidR="001F1C19">
        <w:t xml:space="preserve"> Star</w:t>
      </w:r>
      <w:r w:rsidRPr="00166665">
        <w:t xml:space="preserve"> mandates the use of the specific application by the Supplier in the provision of the Operate Service.</w:t>
      </w:r>
    </w:p>
    <w:tbl>
      <w:tblPr>
        <w:tblStyle w:val="GridTable1Light"/>
        <w:tblW w:w="13462" w:type="dxa"/>
        <w:tblLook w:val="04A0" w:firstRow="1" w:lastRow="0" w:firstColumn="1" w:lastColumn="0" w:noHBand="0" w:noVBand="1"/>
      </w:tblPr>
      <w:tblGrid>
        <w:gridCol w:w="2091"/>
        <w:gridCol w:w="1655"/>
        <w:gridCol w:w="2428"/>
        <w:gridCol w:w="1791"/>
        <w:gridCol w:w="1386"/>
        <w:gridCol w:w="4111"/>
      </w:tblGrid>
      <w:tr w:rsidR="00C53FD0" w:rsidRPr="00166665" w14:paraId="11174295" w14:textId="77777777" w:rsidTr="000D476B">
        <w:trPr>
          <w:cnfStyle w:val="100000000000" w:firstRow="1" w:lastRow="0" w:firstColumn="0" w:lastColumn="0" w:oddVBand="0" w:evenVBand="0" w:oddHBand="0" w:evenHBand="0" w:firstRowFirstColumn="0" w:firstRowLastColumn="0" w:lastRowFirstColumn="0" w:lastRowLastColumn="0"/>
          <w:trHeight w:val="560"/>
          <w:tblHeader/>
        </w:trPr>
        <w:tc>
          <w:tcPr>
            <w:cnfStyle w:val="001000000000" w:firstRow="0" w:lastRow="0" w:firstColumn="1" w:lastColumn="0" w:oddVBand="0" w:evenVBand="0" w:oddHBand="0" w:evenHBand="0" w:firstRowFirstColumn="0" w:firstRowLastColumn="0" w:lastRowFirstColumn="0" w:lastRowLastColumn="0"/>
            <w:tcW w:w="2091" w:type="dxa"/>
            <w:hideMark/>
          </w:tcPr>
          <w:p w14:paraId="0CD084E8" w14:textId="77777777" w:rsidR="00C53FD0" w:rsidRPr="00166665" w:rsidRDefault="00C53FD0" w:rsidP="000D476B">
            <w:pPr>
              <w:rPr>
                <w:rFonts w:ascii="Arial" w:hAnsi="Arial" w:cs="Arial"/>
                <w:i/>
                <w:iCs/>
                <w:sz w:val="20"/>
                <w:szCs w:val="20"/>
              </w:rPr>
            </w:pPr>
            <w:r w:rsidRPr="00166665">
              <w:rPr>
                <w:rFonts w:ascii="Arial" w:hAnsi="Arial" w:cs="Arial"/>
                <w:i/>
                <w:iCs/>
                <w:sz w:val="20"/>
                <w:szCs w:val="20"/>
              </w:rPr>
              <w:t>Service</w:t>
            </w:r>
          </w:p>
        </w:tc>
        <w:tc>
          <w:tcPr>
            <w:tcW w:w="1655" w:type="dxa"/>
            <w:hideMark/>
          </w:tcPr>
          <w:p w14:paraId="368775A6" w14:textId="77777777" w:rsidR="00C53FD0" w:rsidRPr="00166665" w:rsidRDefault="00C53FD0" w:rsidP="000D476B">
            <w:pPr>
              <w:cnfStyle w:val="100000000000" w:firstRow="1"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Application(s)</w:t>
            </w:r>
          </w:p>
        </w:tc>
        <w:tc>
          <w:tcPr>
            <w:tcW w:w="2428" w:type="dxa"/>
            <w:hideMark/>
          </w:tcPr>
          <w:p w14:paraId="05B93215" w14:textId="77777777" w:rsidR="00C53FD0" w:rsidRPr="00166665" w:rsidRDefault="00C53FD0" w:rsidP="000D476B">
            <w:pPr>
              <w:cnfStyle w:val="100000000000" w:firstRow="1"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Purpose</w:t>
            </w:r>
          </w:p>
        </w:tc>
        <w:tc>
          <w:tcPr>
            <w:tcW w:w="1791" w:type="dxa"/>
            <w:hideMark/>
          </w:tcPr>
          <w:p w14:paraId="2CC2FBC3" w14:textId="77777777" w:rsidR="00C53FD0" w:rsidRPr="00166665" w:rsidRDefault="00C53FD0" w:rsidP="000D476B">
            <w:pPr>
              <w:cnfStyle w:val="100000000000" w:firstRow="1"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xml:space="preserve">Scope for </w:t>
            </w:r>
          </w:p>
          <w:p w14:paraId="4F414127" w14:textId="77777777" w:rsidR="00C53FD0" w:rsidRPr="00166665" w:rsidRDefault="00C53FD0" w:rsidP="000D476B">
            <w:pPr>
              <w:cnfStyle w:val="100000000000" w:firstRow="1"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Supplier</w:t>
            </w:r>
          </w:p>
        </w:tc>
        <w:tc>
          <w:tcPr>
            <w:tcW w:w="1386" w:type="dxa"/>
            <w:hideMark/>
          </w:tcPr>
          <w:p w14:paraId="156D62CA" w14:textId="77777777" w:rsidR="00C53FD0" w:rsidRPr="00166665" w:rsidRDefault="00C53FD0" w:rsidP="000D476B">
            <w:pPr>
              <w:cnfStyle w:val="100000000000" w:firstRow="1"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Mandated Use</w:t>
            </w:r>
          </w:p>
        </w:tc>
        <w:tc>
          <w:tcPr>
            <w:tcW w:w="4111" w:type="dxa"/>
            <w:hideMark/>
          </w:tcPr>
          <w:p w14:paraId="2073AF42" w14:textId="77777777" w:rsidR="00C53FD0" w:rsidRPr="00166665" w:rsidRDefault="00C53FD0" w:rsidP="000D476B">
            <w:pPr>
              <w:cnfStyle w:val="100000000000" w:firstRow="1"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Further Scope Information</w:t>
            </w:r>
          </w:p>
        </w:tc>
      </w:tr>
      <w:tr w:rsidR="00C53FD0" w:rsidRPr="00166665" w14:paraId="5639B7B9" w14:textId="77777777" w:rsidTr="000D476B">
        <w:trPr>
          <w:trHeight w:val="712"/>
        </w:trPr>
        <w:tc>
          <w:tcPr>
            <w:cnfStyle w:val="001000000000" w:firstRow="0" w:lastRow="0" w:firstColumn="1" w:lastColumn="0" w:oddVBand="0" w:evenVBand="0" w:oddHBand="0" w:evenHBand="0" w:firstRowFirstColumn="0" w:firstRowLastColumn="0" w:lastRowFirstColumn="0" w:lastRowLastColumn="0"/>
            <w:tcW w:w="2091" w:type="dxa"/>
            <w:vMerge w:val="restart"/>
            <w:hideMark/>
          </w:tcPr>
          <w:p w14:paraId="44620C2B" w14:textId="77777777" w:rsidR="00C53FD0" w:rsidRPr="00166665" w:rsidRDefault="00C53FD0" w:rsidP="000D476B">
            <w:pPr>
              <w:rPr>
                <w:rFonts w:ascii="Arial" w:hAnsi="Arial" w:cs="Arial"/>
                <w:i/>
                <w:iCs/>
                <w:sz w:val="20"/>
                <w:szCs w:val="20"/>
              </w:rPr>
            </w:pPr>
            <w:r w:rsidRPr="00166665">
              <w:rPr>
                <w:rFonts w:ascii="Arial" w:hAnsi="Arial" w:cs="Arial"/>
                <w:b w:val="0"/>
                <w:bCs w:val="0"/>
                <w:i/>
                <w:iCs/>
                <w:sz w:val="20"/>
                <w:szCs w:val="20"/>
              </w:rPr>
              <w:t>Configuration Management</w:t>
            </w:r>
          </w:p>
          <w:p w14:paraId="0079B6C0" w14:textId="77777777" w:rsidR="00C53FD0" w:rsidRPr="00166665" w:rsidRDefault="00C53FD0" w:rsidP="000D476B">
            <w:pPr>
              <w:rPr>
                <w:rFonts w:ascii="Arial" w:hAnsi="Arial" w:cs="Arial"/>
                <w:i/>
                <w:iCs/>
                <w:sz w:val="20"/>
                <w:szCs w:val="20"/>
              </w:rPr>
            </w:pPr>
            <w:r w:rsidRPr="00166665">
              <w:rPr>
                <w:rFonts w:ascii="Arial" w:hAnsi="Arial" w:cs="Arial"/>
                <w:b w:val="0"/>
                <w:bCs w:val="0"/>
                <w:i/>
                <w:iCs/>
                <w:sz w:val="20"/>
                <w:szCs w:val="20"/>
              </w:rPr>
              <w:t>and Asset Management</w:t>
            </w:r>
          </w:p>
        </w:tc>
        <w:tc>
          <w:tcPr>
            <w:tcW w:w="1655" w:type="dxa"/>
            <w:hideMark/>
          </w:tcPr>
          <w:p w14:paraId="58649128"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SCCD</w:t>
            </w:r>
          </w:p>
        </w:tc>
        <w:tc>
          <w:tcPr>
            <w:tcW w:w="2428" w:type="dxa"/>
            <w:hideMark/>
          </w:tcPr>
          <w:p w14:paraId="25218838"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IT Configuration/Asset Management</w:t>
            </w:r>
          </w:p>
        </w:tc>
        <w:tc>
          <w:tcPr>
            <w:tcW w:w="1791" w:type="dxa"/>
            <w:hideMark/>
          </w:tcPr>
          <w:p w14:paraId="1273A5BC"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Update Data</w:t>
            </w:r>
          </w:p>
          <w:p w14:paraId="79A9EB85"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Integrate</w:t>
            </w:r>
          </w:p>
        </w:tc>
        <w:tc>
          <w:tcPr>
            <w:tcW w:w="1386" w:type="dxa"/>
            <w:hideMark/>
          </w:tcPr>
          <w:p w14:paraId="06BD3F70"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Yes</w:t>
            </w:r>
          </w:p>
        </w:tc>
        <w:tc>
          <w:tcPr>
            <w:tcW w:w="4111" w:type="dxa"/>
            <w:hideMark/>
          </w:tcPr>
          <w:p w14:paraId="25375161"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Integration with Supplier tools for data consistency across both for incident management</w:t>
            </w:r>
          </w:p>
        </w:tc>
      </w:tr>
      <w:tr w:rsidR="00C53FD0" w:rsidRPr="00166665" w14:paraId="3F5925DB" w14:textId="77777777" w:rsidTr="000D476B">
        <w:trPr>
          <w:trHeight w:val="558"/>
        </w:trPr>
        <w:tc>
          <w:tcPr>
            <w:cnfStyle w:val="001000000000" w:firstRow="0" w:lastRow="0" w:firstColumn="1" w:lastColumn="0" w:oddVBand="0" w:evenVBand="0" w:oddHBand="0" w:evenHBand="0" w:firstRowFirstColumn="0" w:firstRowLastColumn="0" w:lastRowFirstColumn="0" w:lastRowLastColumn="0"/>
            <w:tcW w:w="2091" w:type="dxa"/>
            <w:vMerge/>
          </w:tcPr>
          <w:p w14:paraId="7F4A2AF7" w14:textId="77777777" w:rsidR="00C53FD0" w:rsidRPr="00166665" w:rsidRDefault="00C53FD0" w:rsidP="000D476B">
            <w:pPr>
              <w:rPr>
                <w:rFonts w:ascii="Arial" w:hAnsi="Arial" w:cs="Arial"/>
                <w:i/>
                <w:iCs/>
                <w:sz w:val="20"/>
                <w:szCs w:val="20"/>
              </w:rPr>
            </w:pPr>
          </w:p>
        </w:tc>
        <w:tc>
          <w:tcPr>
            <w:tcW w:w="1655" w:type="dxa"/>
          </w:tcPr>
          <w:p w14:paraId="5B5F421C"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ARM21, ANN21</w:t>
            </w:r>
          </w:p>
        </w:tc>
        <w:tc>
          <w:tcPr>
            <w:tcW w:w="2428" w:type="dxa"/>
          </w:tcPr>
          <w:p w14:paraId="70781A17"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Master inventory management of</w:t>
            </w:r>
          </w:p>
          <w:p w14:paraId="4A8DD01A" w14:textId="5734CDDE"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xml:space="preserve">1. Physical assets (IT and network devices) </w:t>
            </w:r>
          </w:p>
          <w:p w14:paraId="3D755714"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2. Static network links</w:t>
            </w:r>
          </w:p>
        </w:tc>
        <w:tc>
          <w:tcPr>
            <w:tcW w:w="1791" w:type="dxa"/>
          </w:tcPr>
          <w:p w14:paraId="599A67BE"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Update Data</w:t>
            </w:r>
          </w:p>
        </w:tc>
        <w:tc>
          <w:tcPr>
            <w:tcW w:w="1386" w:type="dxa"/>
          </w:tcPr>
          <w:p w14:paraId="138AB6D2"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Yes</w:t>
            </w:r>
          </w:p>
        </w:tc>
        <w:tc>
          <w:tcPr>
            <w:tcW w:w="4111" w:type="dxa"/>
          </w:tcPr>
          <w:p w14:paraId="4B94651D"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w:t>
            </w:r>
          </w:p>
          <w:p w14:paraId="16F7E6AD"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w:t>
            </w:r>
          </w:p>
        </w:tc>
      </w:tr>
      <w:tr w:rsidR="00C53FD0" w:rsidRPr="00166665" w14:paraId="71B156D6" w14:textId="77777777" w:rsidTr="000D476B">
        <w:trPr>
          <w:trHeight w:val="558"/>
        </w:trPr>
        <w:tc>
          <w:tcPr>
            <w:cnfStyle w:val="001000000000" w:firstRow="0" w:lastRow="0" w:firstColumn="1" w:lastColumn="0" w:oddVBand="0" w:evenVBand="0" w:oddHBand="0" w:evenHBand="0" w:firstRowFirstColumn="0" w:firstRowLastColumn="0" w:lastRowFirstColumn="0" w:lastRowLastColumn="0"/>
            <w:tcW w:w="2091" w:type="dxa"/>
            <w:hideMark/>
          </w:tcPr>
          <w:p w14:paraId="5A0E2670" w14:textId="77777777" w:rsidR="00C53FD0" w:rsidRPr="00166665" w:rsidRDefault="00C53FD0" w:rsidP="000D476B">
            <w:pPr>
              <w:rPr>
                <w:rFonts w:ascii="Arial" w:hAnsi="Arial" w:cs="Arial"/>
                <w:b w:val="0"/>
                <w:bCs w:val="0"/>
                <w:i/>
                <w:iCs/>
                <w:sz w:val="20"/>
                <w:szCs w:val="20"/>
              </w:rPr>
            </w:pPr>
            <w:r w:rsidRPr="00166665">
              <w:rPr>
                <w:rFonts w:ascii="Arial" w:hAnsi="Arial" w:cs="Arial"/>
                <w:b w:val="0"/>
                <w:bCs w:val="0"/>
                <w:i/>
                <w:iCs/>
                <w:sz w:val="20"/>
                <w:szCs w:val="20"/>
              </w:rPr>
              <w:t>Incident and Problem Management</w:t>
            </w:r>
          </w:p>
        </w:tc>
        <w:tc>
          <w:tcPr>
            <w:tcW w:w="1655" w:type="dxa"/>
            <w:hideMark/>
          </w:tcPr>
          <w:p w14:paraId="6BE57565"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SCCD</w:t>
            </w:r>
          </w:p>
        </w:tc>
        <w:tc>
          <w:tcPr>
            <w:tcW w:w="2428" w:type="dxa"/>
            <w:hideMark/>
          </w:tcPr>
          <w:p w14:paraId="5CD5944F"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p>
        </w:tc>
        <w:tc>
          <w:tcPr>
            <w:tcW w:w="1791" w:type="dxa"/>
            <w:hideMark/>
          </w:tcPr>
          <w:p w14:paraId="08A774D7"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Update Data</w:t>
            </w:r>
          </w:p>
          <w:p w14:paraId="1B3A234A"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Integrate</w:t>
            </w:r>
          </w:p>
        </w:tc>
        <w:tc>
          <w:tcPr>
            <w:tcW w:w="1386" w:type="dxa"/>
            <w:hideMark/>
          </w:tcPr>
          <w:p w14:paraId="206896CA"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Yes</w:t>
            </w:r>
          </w:p>
        </w:tc>
        <w:tc>
          <w:tcPr>
            <w:tcW w:w="4111" w:type="dxa"/>
            <w:hideMark/>
          </w:tcPr>
          <w:p w14:paraId="676D931B" w14:textId="7662844A"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xml:space="preserve">Integration between Supplier tool and </w:t>
            </w:r>
            <w:proofErr w:type="spellStart"/>
            <w:r w:rsidR="001F1C19">
              <w:rPr>
                <w:rFonts w:ascii="Arial" w:hAnsi="Arial" w:cs="Arial"/>
                <w:i/>
                <w:iCs/>
                <w:sz w:val="20"/>
                <w:szCs w:val="20"/>
              </w:rPr>
              <w:t>Netlink</w:t>
            </w:r>
            <w:proofErr w:type="spellEnd"/>
            <w:r w:rsidR="001F1C19">
              <w:rPr>
                <w:rFonts w:ascii="Arial" w:hAnsi="Arial" w:cs="Arial"/>
                <w:i/>
                <w:iCs/>
                <w:sz w:val="20"/>
                <w:szCs w:val="20"/>
              </w:rPr>
              <w:t xml:space="preserve"> Star</w:t>
            </w:r>
            <w:r w:rsidRPr="00166665">
              <w:rPr>
                <w:rFonts w:ascii="Arial" w:hAnsi="Arial" w:cs="Arial"/>
                <w:i/>
                <w:iCs/>
                <w:sz w:val="20"/>
                <w:szCs w:val="20"/>
              </w:rPr>
              <w:t xml:space="preserve"> tool</w:t>
            </w:r>
          </w:p>
        </w:tc>
      </w:tr>
      <w:tr w:rsidR="00C53FD0" w:rsidRPr="00166665" w14:paraId="7CB410CF" w14:textId="77777777" w:rsidTr="000D476B">
        <w:trPr>
          <w:trHeight w:val="595"/>
        </w:trPr>
        <w:tc>
          <w:tcPr>
            <w:cnfStyle w:val="001000000000" w:firstRow="0" w:lastRow="0" w:firstColumn="1" w:lastColumn="0" w:oddVBand="0" w:evenVBand="0" w:oddHBand="0" w:evenHBand="0" w:firstRowFirstColumn="0" w:firstRowLastColumn="0" w:lastRowFirstColumn="0" w:lastRowLastColumn="0"/>
            <w:tcW w:w="2091" w:type="dxa"/>
            <w:hideMark/>
          </w:tcPr>
          <w:p w14:paraId="3B5D3C64" w14:textId="77777777" w:rsidR="00C53FD0" w:rsidRPr="00166665" w:rsidRDefault="00C53FD0" w:rsidP="000D476B">
            <w:pPr>
              <w:rPr>
                <w:rFonts w:ascii="Arial" w:hAnsi="Arial" w:cs="Arial"/>
                <w:b w:val="0"/>
                <w:bCs w:val="0"/>
                <w:i/>
                <w:iCs/>
                <w:sz w:val="20"/>
                <w:szCs w:val="20"/>
              </w:rPr>
            </w:pPr>
            <w:r w:rsidRPr="00166665">
              <w:rPr>
                <w:rFonts w:ascii="Arial" w:hAnsi="Arial" w:cs="Arial"/>
                <w:b w:val="0"/>
                <w:bCs w:val="0"/>
                <w:i/>
                <w:iCs/>
                <w:sz w:val="20"/>
                <w:szCs w:val="20"/>
              </w:rPr>
              <w:t>Event and Incident Management</w:t>
            </w:r>
          </w:p>
        </w:tc>
        <w:tc>
          <w:tcPr>
            <w:tcW w:w="1655" w:type="dxa"/>
            <w:hideMark/>
          </w:tcPr>
          <w:p w14:paraId="02E28A7E"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Netcool</w:t>
            </w:r>
          </w:p>
        </w:tc>
        <w:tc>
          <w:tcPr>
            <w:tcW w:w="2428" w:type="dxa"/>
            <w:hideMark/>
          </w:tcPr>
          <w:p w14:paraId="47E7C629"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p>
        </w:tc>
        <w:tc>
          <w:tcPr>
            <w:tcW w:w="1791" w:type="dxa"/>
            <w:hideMark/>
          </w:tcPr>
          <w:p w14:paraId="21A9EA31"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Integrate</w:t>
            </w:r>
          </w:p>
        </w:tc>
        <w:tc>
          <w:tcPr>
            <w:tcW w:w="1386" w:type="dxa"/>
            <w:hideMark/>
          </w:tcPr>
          <w:p w14:paraId="0E8A155F"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No</w:t>
            </w:r>
          </w:p>
        </w:tc>
        <w:tc>
          <w:tcPr>
            <w:tcW w:w="4111" w:type="dxa"/>
            <w:hideMark/>
          </w:tcPr>
          <w:p w14:paraId="6262A07F" w14:textId="3C7A0218"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xml:space="preserve">Integration between Supplier tool and </w:t>
            </w:r>
            <w:proofErr w:type="spellStart"/>
            <w:r w:rsidR="001F1C19">
              <w:rPr>
                <w:rFonts w:ascii="Arial" w:hAnsi="Arial" w:cs="Arial"/>
                <w:i/>
                <w:iCs/>
                <w:sz w:val="20"/>
                <w:szCs w:val="20"/>
              </w:rPr>
              <w:t>Netlink</w:t>
            </w:r>
            <w:proofErr w:type="spellEnd"/>
            <w:r w:rsidR="001F1C19">
              <w:rPr>
                <w:rFonts w:ascii="Arial" w:hAnsi="Arial" w:cs="Arial"/>
                <w:i/>
                <w:iCs/>
                <w:sz w:val="20"/>
                <w:szCs w:val="20"/>
              </w:rPr>
              <w:t xml:space="preserve"> Star</w:t>
            </w:r>
            <w:r w:rsidRPr="00166665">
              <w:rPr>
                <w:rFonts w:ascii="Arial" w:hAnsi="Arial" w:cs="Arial"/>
                <w:i/>
                <w:iCs/>
                <w:sz w:val="20"/>
                <w:szCs w:val="20"/>
              </w:rPr>
              <w:t xml:space="preserve"> tool</w:t>
            </w:r>
          </w:p>
        </w:tc>
      </w:tr>
      <w:tr w:rsidR="00C53FD0" w:rsidRPr="00166665" w14:paraId="0AAEAEA0" w14:textId="77777777" w:rsidTr="000D476B">
        <w:trPr>
          <w:trHeight w:val="566"/>
        </w:trPr>
        <w:tc>
          <w:tcPr>
            <w:cnfStyle w:val="001000000000" w:firstRow="0" w:lastRow="0" w:firstColumn="1" w:lastColumn="0" w:oddVBand="0" w:evenVBand="0" w:oddHBand="0" w:evenHBand="0" w:firstRowFirstColumn="0" w:firstRowLastColumn="0" w:lastRowFirstColumn="0" w:lastRowLastColumn="0"/>
            <w:tcW w:w="2091" w:type="dxa"/>
            <w:vMerge w:val="restart"/>
            <w:hideMark/>
          </w:tcPr>
          <w:p w14:paraId="22F5CBE3" w14:textId="77777777" w:rsidR="00C53FD0" w:rsidRPr="00166665" w:rsidRDefault="00C53FD0" w:rsidP="000D476B">
            <w:pPr>
              <w:rPr>
                <w:rFonts w:ascii="Arial" w:hAnsi="Arial" w:cs="Arial"/>
                <w:i/>
                <w:iCs/>
                <w:sz w:val="20"/>
                <w:szCs w:val="20"/>
              </w:rPr>
            </w:pPr>
            <w:r w:rsidRPr="00166665">
              <w:rPr>
                <w:rFonts w:ascii="Arial" w:hAnsi="Arial" w:cs="Arial"/>
                <w:b w:val="0"/>
                <w:bCs w:val="0"/>
                <w:i/>
                <w:iCs/>
                <w:sz w:val="20"/>
                <w:szCs w:val="20"/>
              </w:rPr>
              <w:lastRenderedPageBreak/>
              <w:t>Server Workload Management</w:t>
            </w:r>
          </w:p>
          <w:p w14:paraId="4A9B9284" w14:textId="77777777" w:rsidR="00C53FD0" w:rsidRPr="00166665" w:rsidRDefault="00C53FD0" w:rsidP="000D476B">
            <w:pPr>
              <w:rPr>
                <w:rFonts w:ascii="Arial" w:hAnsi="Arial" w:cs="Arial"/>
                <w:i/>
                <w:iCs/>
                <w:sz w:val="20"/>
                <w:szCs w:val="20"/>
              </w:rPr>
            </w:pPr>
          </w:p>
        </w:tc>
        <w:tc>
          <w:tcPr>
            <w:tcW w:w="1655" w:type="dxa"/>
            <w:hideMark/>
          </w:tcPr>
          <w:p w14:paraId="4D509DA1"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xml:space="preserve">VMware VCF Suite </w:t>
            </w:r>
          </w:p>
        </w:tc>
        <w:tc>
          <w:tcPr>
            <w:tcW w:w="2428" w:type="dxa"/>
            <w:hideMark/>
          </w:tcPr>
          <w:p w14:paraId="28BC14DD"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Software Defined Data Centre Services</w:t>
            </w:r>
          </w:p>
        </w:tc>
        <w:tc>
          <w:tcPr>
            <w:tcW w:w="1791" w:type="dxa"/>
            <w:hideMark/>
          </w:tcPr>
          <w:p w14:paraId="527920ED"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Own/Maintain</w:t>
            </w:r>
          </w:p>
        </w:tc>
        <w:tc>
          <w:tcPr>
            <w:tcW w:w="1386" w:type="dxa"/>
            <w:hideMark/>
          </w:tcPr>
          <w:p w14:paraId="0BF0F83F"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Yes</w:t>
            </w:r>
          </w:p>
        </w:tc>
        <w:tc>
          <w:tcPr>
            <w:tcW w:w="4111" w:type="dxa"/>
            <w:hideMark/>
          </w:tcPr>
          <w:p w14:paraId="36703BB0"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xml:space="preserve">Including vCenter, </w:t>
            </w:r>
            <w:proofErr w:type="spellStart"/>
            <w:r w:rsidRPr="00166665">
              <w:rPr>
                <w:rFonts w:ascii="Arial" w:hAnsi="Arial" w:cs="Arial"/>
                <w:i/>
                <w:iCs/>
                <w:sz w:val="20"/>
                <w:szCs w:val="20"/>
              </w:rPr>
              <w:t>ESXi</w:t>
            </w:r>
            <w:proofErr w:type="spellEnd"/>
            <w:r w:rsidRPr="00166665">
              <w:rPr>
                <w:rFonts w:ascii="Arial" w:hAnsi="Arial" w:cs="Arial"/>
                <w:i/>
                <w:iCs/>
                <w:sz w:val="20"/>
                <w:szCs w:val="20"/>
              </w:rPr>
              <w:t xml:space="preserve">, NSX-T, </w:t>
            </w:r>
            <w:proofErr w:type="spellStart"/>
            <w:r w:rsidRPr="00166665">
              <w:rPr>
                <w:rFonts w:ascii="Arial" w:hAnsi="Arial" w:cs="Arial"/>
                <w:i/>
                <w:iCs/>
                <w:sz w:val="20"/>
                <w:szCs w:val="20"/>
              </w:rPr>
              <w:t>vSAN</w:t>
            </w:r>
            <w:proofErr w:type="spellEnd"/>
            <w:r w:rsidRPr="00166665">
              <w:rPr>
                <w:rFonts w:ascii="Arial" w:hAnsi="Arial" w:cs="Arial"/>
                <w:i/>
                <w:iCs/>
                <w:sz w:val="20"/>
                <w:szCs w:val="20"/>
              </w:rPr>
              <w:t>, SDDC</w:t>
            </w:r>
          </w:p>
        </w:tc>
      </w:tr>
      <w:tr w:rsidR="00C53FD0" w:rsidRPr="00166665" w14:paraId="39AECAD8" w14:textId="77777777" w:rsidTr="000D476B">
        <w:trPr>
          <w:trHeight w:val="1836"/>
        </w:trPr>
        <w:tc>
          <w:tcPr>
            <w:cnfStyle w:val="001000000000" w:firstRow="0" w:lastRow="0" w:firstColumn="1" w:lastColumn="0" w:oddVBand="0" w:evenVBand="0" w:oddHBand="0" w:evenHBand="0" w:firstRowFirstColumn="0" w:firstRowLastColumn="0" w:lastRowFirstColumn="0" w:lastRowLastColumn="0"/>
            <w:tcW w:w="2091" w:type="dxa"/>
            <w:vMerge/>
            <w:hideMark/>
          </w:tcPr>
          <w:p w14:paraId="6A6DE1E0" w14:textId="77777777" w:rsidR="00C53FD0" w:rsidRPr="00166665" w:rsidRDefault="00C53FD0" w:rsidP="000D476B">
            <w:pPr>
              <w:rPr>
                <w:rFonts w:ascii="Arial" w:hAnsi="Arial" w:cs="Arial"/>
                <w:i/>
                <w:iCs/>
                <w:sz w:val="20"/>
                <w:szCs w:val="20"/>
              </w:rPr>
            </w:pPr>
          </w:p>
        </w:tc>
        <w:tc>
          <w:tcPr>
            <w:tcW w:w="1655" w:type="dxa"/>
            <w:hideMark/>
          </w:tcPr>
          <w:p w14:paraId="147F3F98"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xml:space="preserve">VMware </w:t>
            </w:r>
            <w:proofErr w:type="spellStart"/>
            <w:r w:rsidRPr="00166665">
              <w:rPr>
                <w:rFonts w:ascii="Arial" w:hAnsi="Arial" w:cs="Arial"/>
                <w:i/>
                <w:iCs/>
                <w:sz w:val="20"/>
                <w:szCs w:val="20"/>
              </w:rPr>
              <w:t>vRealize</w:t>
            </w:r>
            <w:proofErr w:type="spellEnd"/>
            <w:r w:rsidRPr="00166665">
              <w:rPr>
                <w:rFonts w:ascii="Arial" w:hAnsi="Arial" w:cs="Arial"/>
                <w:i/>
                <w:iCs/>
                <w:sz w:val="20"/>
                <w:szCs w:val="20"/>
              </w:rPr>
              <w:t xml:space="preserve"> Suite (including Operations app)</w:t>
            </w:r>
          </w:p>
        </w:tc>
        <w:tc>
          <w:tcPr>
            <w:tcW w:w="2428" w:type="dxa"/>
            <w:hideMark/>
          </w:tcPr>
          <w:p w14:paraId="70B76F4D"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xml:space="preserve">IT infrastructure component and application management (Incident Management, monitoring, </w:t>
            </w:r>
            <w:proofErr w:type="gramStart"/>
            <w:r w:rsidRPr="00166665">
              <w:rPr>
                <w:rFonts w:ascii="Arial" w:hAnsi="Arial" w:cs="Arial"/>
                <w:i/>
                <w:iCs/>
                <w:sz w:val="20"/>
                <w:szCs w:val="20"/>
              </w:rPr>
              <w:t>provisioning</w:t>
            </w:r>
            <w:proofErr w:type="gramEnd"/>
            <w:r w:rsidRPr="00166665">
              <w:rPr>
                <w:rFonts w:ascii="Arial" w:hAnsi="Arial" w:cs="Arial"/>
                <w:i/>
                <w:iCs/>
                <w:sz w:val="20"/>
                <w:szCs w:val="20"/>
              </w:rPr>
              <w:t xml:space="preserve"> and configuration management)</w:t>
            </w:r>
          </w:p>
        </w:tc>
        <w:tc>
          <w:tcPr>
            <w:tcW w:w="1791" w:type="dxa"/>
            <w:hideMark/>
          </w:tcPr>
          <w:p w14:paraId="4835C8F2"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Own/Maintain</w:t>
            </w:r>
          </w:p>
          <w:p w14:paraId="526ABC03"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Maintain agents</w:t>
            </w:r>
          </w:p>
        </w:tc>
        <w:tc>
          <w:tcPr>
            <w:tcW w:w="1386" w:type="dxa"/>
            <w:hideMark/>
          </w:tcPr>
          <w:p w14:paraId="63BB9F98"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Yes</w:t>
            </w:r>
          </w:p>
        </w:tc>
        <w:tc>
          <w:tcPr>
            <w:tcW w:w="4111" w:type="dxa"/>
            <w:hideMark/>
          </w:tcPr>
          <w:p w14:paraId="2FE688A0" w14:textId="2FAF2C42"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xml:space="preserve">Integration between Supplier’s tools and </w:t>
            </w:r>
            <w:proofErr w:type="spellStart"/>
            <w:r w:rsidR="001F1C19">
              <w:rPr>
                <w:rFonts w:ascii="Arial" w:hAnsi="Arial" w:cs="Arial"/>
                <w:i/>
                <w:iCs/>
                <w:sz w:val="20"/>
                <w:szCs w:val="20"/>
              </w:rPr>
              <w:t>Netlink</w:t>
            </w:r>
            <w:proofErr w:type="spellEnd"/>
            <w:r w:rsidR="001F1C19">
              <w:rPr>
                <w:rFonts w:ascii="Arial" w:hAnsi="Arial" w:cs="Arial"/>
                <w:i/>
                <w:iCs/>
                <w:sz w:val="20"/>
                <w:szCs w:val="20"/>
              </w:rPr>
              <w:t xml:space="preserve"> Star</w:t>
            </w:r>
            <w:r w:rsidRPr="00166665">
              <w:rPr>
                <w:rFonts w:ascii="Arial" w:hAnsi="Arial" w:cs="Arial"/>
                <w:i/>
                <w:iCs/>
                <w:sz w:val="20"/>
                <w:szCs w:val="20"/>
              </w:rPr>
              <w:t xml:space="preserve"> tools</w:t>
            </w:r>
          </w:p>
          <w:p w14:paraId="3A142603"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w:t>
            </w:r>
          </w:p>
          <w:p w14:paraId="32030A4C"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p>
        </w:tc>
      </w:tr>
      <w:tr w:rsidR="00C53FD0" w:rsidRPr="00166665" w14:paraId="27E210AD" w14:textId="77777777" w:rsidTr="000D476B">
        <w:trPr>
          <w:trHeight w:val="1007"/>
        </w:trPr>
        <w:tc>
          <w:tcPr>
            <w:cnfStyle w:val="001000000000" w:firstRow="0" w:lastRow="0" w:firstColumn="1" w:lastColumn="0" w:oddVBand="0" w:evenVBand="0" w:oddHBand="0" w:evenHBand="0" w:firstRowFirstColumn="0" w:firstRowLastColumn="0" w:lastRowFirstColumn="0" w:lastRowLastColumn="0"/>
            <w:tcW w:w="2091" w:type="dxa"/>
            <w:hideMark/>
          </w:tcPr>
          <w:p w14:paraId="01A89405" w14:textId="77777777" w:rsidR="00C53FD0" w:rsidRPr="00166665" w:rsidRDefault="00C53FD0" w:rsidP="000D476B">
            <w:pPr>
              <w:rPr>
                <w:rFonts w:ascii="Arial" w:hAnsi="Arial" w:cs="Arial"/>
                <w:b w:val="0"/>
                <w:bCs w:val="0"/>
                <w:i/>
                <w:iCs/>
                <w:sz w:val="20"/>
                <w:szCs w:val="20"/>
              </w:rPr>
            </w:pPr>
            <w:r w:rsidRPr="00166665">
              <w:rPr>
                <w:rFonts w:ascii="Arial" w:hAnsi="Arial" w:cs="Arial"/>
                <w:b w:val="0"/>
                <w:bCs w:val="0"/>
                <w:i/>
                <w:iCs/>
                <w:sz w:val="20"/>
                <w:szCs w:val="20"/>
              </w:rPr>
              <w:t>Backup and Recovery</w:t>
            </w:r>
          </w:p>
        </w:tc>
        <w:tc>
          <w:tcPr>
            <w:tcW w:w="1655" w:type="dxa"/>
            <w:hideMark/>
          </w:tcPr>
          <w:p w14:paraId="3B43253C"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Dell / EMC Data Domain and Avamar, and Cyber Recovery Vault</w:t>
            </w:r>
          </w:p>
        </w:tc>
        <w:tc>
          <w:tcPr>
            <w:tcW w:w="2428" w:type="dxa"/>
            <w:hideMark/>
          </w:tcPr>
          <w:p w14:paraId="19F84917"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Backup and Recovery</w:t>
            </w:r>
          </w:p>
        </w:tc>
        <w:tc>
          <w:tcPr>
            <w:tcW w:w="1791" w:type="dxa"/>
            <w:hideMark/>
          </w:tcPr>
          <w:p w14:paraId="6518B193"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Own/Maintain</w:t>
            </w:r>
          </w:p>
          <w:p w14:paraId="7F613368"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Maintain agents</w:t>
            </w:r>
          </w:p>
        </w:tc>
        <w:tc>
          <w:tcPr>
            <w:tcW w:w="1386" w:type="dxa"/>
            <w:hideMark/>
          </w:tcPr>
          <w:p w14:paraId="4EFE2945"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Yes</w:t>
            </w:r>
          </w:p>
        </w:tc>
        <w:tc>
          <w:tcPr>
            <w:tcW w:w="4111" w:type="dxa"/>
            <w:hideMark/>
          </w:tcPr>
          <w:p w14:paraId="07822C17"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w:t>
            </w:r>
          </w:p>
        </w:tc>
      </w:tr>
      <w:tr w:rsidR="00C53FD0" w:rsidRPr="00166665" w14:paraId="2A7C3418" w14:textId="77777777" w:rsidTr="000D476B">
        <w:trPr>
          <w:trHeight w:val="791"/>
        </w:trPr>
        <w:tc>
          <w:tcPr>
            <w:cnfStyle w:val="001000000000" w:firstRow="0" w:lastRow="0" w:firstColumn="1" w:lastColumn="0" w:oddVBand="0" w:evenVBand="0" w:oddHBand="0" w:evenHBand="0" w:firstRowFirstColumn="0" w:firstRowLastColumn="0" w:lastRowFirstColumn="0" w:lastRowLastColumn="0"/>
            <w:tcW w:w="2091" w:type="dxa"/>
            <w:hideMark/>
          </w:tcPr>
          <w:p w14:paraId="26A677AB" w14:textId="77777777" w:rsidR="00C53FD0" w:rsidRPr="00166665" w:rsidRDefault="00C53FD0" w:rsidP="000D476B">
            <w:pPr>
              <w:rPr>
                <w:rFonts w:ascii="Arial" w:hAnsi="Arial" w:cs="Arial"/>
                <w:b w:val="0"/>
                <w:bCs w:val="0"/>
                <w:i/>
                <w:iCs/>
                <w:sz w:val="20"/>
                <w:szCs w:val="20"/>
              </w:rPr>
            </w:pPr>
            <w:r w:rsidRPr="00166665">
              <w:rPr>
                <w:rFonts w:ascii="Arial" w:hAnsi="Arial" w:cs="Arial"/>
                <w:b w:val="0"/>
                <w:bCs w:val="0"/>
                <w:i/>
                <w:iCs/>
                <w:sz w:val="20"/>
                <w:szCs w:val="20"/>
              </w:rPr>
              <w:t>Monitoring and Reporting</w:t>
            </w:r>
          </w:p>
        </w:tc>
        <w:tc>
          <w:tcPr>
            <w:tcW w:w="1655" w:type="dxa"/>
            <w:hideMark/>
          </w:tcPr>
          <w:p w14:paraId="5B49A526"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Grafana</w:t>
            </w:r>
          </w:p>
        </w:tc>
        <w:tc>
          <w:tcPr>
            <w:tcW w:w="2428" w:type="dxa"/>
            <w:hideMark/>
          </w:tcPr>
          <w:p w14:paraId="33518E54"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xml:space="preserve">Reporting analysis/visualization for monitoring data </w:t>
            </w:r>
          </w:p>
        </w:tc>
        <w:tc>
          <w:tcPr>
            <w:tcW w:w="1791" w:type="dxa"/>
            <w:hideMark/>
          </w:tcPr>
          <w:p w14:paraId="5ACDF917"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TBD by Supplier</w:t>
            </w:r>
          </w:p>
          <w:p w14:paraId="2AD9D99F"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Maintain agents</w:t>
            </w:r>
          </w:p>
        </w:tc>
        <w:tc>
          <w:tcPr>
            <w:tcW w:w="1386" w:type="dxa"/>
            <w:hideMark/>
          </w:tcPr>
          <w:p w14:paraId="027E82AE"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No</w:t>
            </w:r>
          </w:p>
        </w:tc>
        <w:tc>
          <w:tcPr>
            <w:tcW w:w="4111" w:type="dxa"/>
            <w:hideMark/>
          </w:tcPr>
          <w:p w14:paraId="4A67FF7D" w14:textId="6E41BC23" w:rsidR="00C53FD0" w:rsidRPr="00166665" w:rsidRDefault="001F1C19"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proofErr w:type="spellStart"/>
            <w:r>
              <w:rPr>
                <w:rFonts w:ascii="Arial" w:hAnsi="Arial" w:cs="Arial"/>
                <w:i/>
                <w:iCs/>
                <w:sz w:val="20"/>
                <w:szCs w:val="20"/>
              </w:rPr>
              <w:t>Netlink</w:t>
            </w:r>
            <w:proofErr w:type="spellEnd"/>
            <w:r>
              <w:rPr>
                <w:rFonts w:ascii="Arial" w:hAnsi="Arial" w:cs="Arial"/>
                <w:i/>
                <w:iCs/>
                <w:sz w:val="20"/>
                <w:szCs w:val="20"/>
              </w:rPr>
              <w:t xml:space="preserve"> Star</w:t>
            </w:r>
            <w:r w:rsidR="00C53FD0" w:rsidRPr="00166665">
              <w:rPr>
                <w:rFonts w:ascii="Arial" w:hAnsi="Arial" w:cs="Arial"/>
                <w:i/>
                <w:iCs/>
                <w:sz w:val="20"/>
                <w:szCs w:val="20"/>
              </w:rPr>
              <w:t xml:space="preserve"> recommend the adoption of this </w:t>
            </w:r>
            <w:proofErr w:type="gramStart"/>
            <w:r w:rsidR="00C53FD0" w:rsidRPr="00166665">
              <w:rPr>
                <w:rFonts w:ascii="Arial" w:hAnsi="Arial" w:cs="Arial"/>
                <w:i/>
                <w:iCs/>
                <w:sz w:val="20"/>
                <w:szCs w:val="20"/>
              </w:rPr>
              <w:t>tool</w:t>
            </w:r>
            <w:proofErr w:type="gramEnd"/>
          </w:p>
          <w:p w14:paraId="12C133AF"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w:t>
            </w:r>
          </w:p>
          <w:p w14:paraId="18E87FD1"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p>
        </w:tc>
      </w:tr>
      <w:tr w:rsidR="00C53FD0" w:rsidRPr="00166665" w14:paraId="726D9149" w14:textId="77777777" w:rsidTr="000D476B">
        <w:trPr>
          <w:trHeight w:val="1007"/>
        </w:trPr>
        <w:tc>
          <w:tcPr>
            <w:cnfStyle w:val="001000000000" w:firstRow="0" w:lastRow="0" w:firstColumn="1" w:lastColumn="0" w:oddVBand="0" w:evenVBand="0" w:oddHBand="0" w:evenHBand="0" w:firstRowFirstColumn="0" w:firstRowLastColumn="0" w:lastRowFirstColumn="0" w:lastRowLastColumn="0"/>
            <w:tcW w:w="2091" w:type="dxa"/>
            <w:hideMark/>
          </w:tcPr>
          <w:p w14:paraId="79E734E9" w14:textId="77777777" w:rsidR="00C53FD0" w:rsidRPr="00166665" w:rsidRDefault="00C53FD0" w:rsidP="000D476B">
            <w:pPr>
              <w:rPr>
                <w:rFonts w:ascii="Arial" w:hAnsi="Arial" w:cs="Arial"/>
                <w:b w:val="0"/>
                <w:bCs w:val="0"/>
                <w:i/>
                <w:iCs/>
                <w:sz w:val="20"/>
                <w:szCs w:val="20"/>
              </w:rPr>
            </w:pPr>
            <w:r w:rsidRPr="00166665">
              <w:rPr>
                <w:rFonts w:ascii="Arial" w:hAnsi="Arial" w:cs="Arial"/>
                <w:b w:val="0"/>
                <w:bCs w:val="0"/>
                <w:i/>
                <w:iCs/>
                <w:sz w:val="20"/>
                <w:szCs w:val="20"/>
              </w:rPr>
              <w:t>Domain Name System, Dynamic Host Configuration Protocol Management</w:t>
            </w:r>
          </w:p>
        </w:tc>
        <w:tc>
          <w:tcPr>
            <w:tcW w:w="1655" w:type="dxa"/>
            <w:hideMark/>
          </w:tcPr>
          <w:p w14:paraId="35E5D7B0"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xml:space="preserve"> Infoblox </w:t>
            </w:r>
            <w:proofErr w:type="spellStart"/>
            <w:r w:rsidRPr="00166665">
              <w:rPr>
                <w:rFonts w:ascii="Arial" w:hAnsi="Arial" w:cs="Arial"/>
                <w:i/>
                <w:iCs/>
                <w:sz w:val="20"/>
                <w:szCs w:val="20"/>
              </w:rPr>
              <w:t>Trinzic</w:t>
            </w:r>
            <w:proofErr w:type="spellEnd"/>
          </w:p>
        </w:tc>
        <w:tc>
          <w:tcPr>
            <w:tcW w:w="2428" w:type="dxa"/>
            <w:hideMark/>
          </w:tcPr>
          <w:p w14:paraId="4D905D51"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DDI (IPAM, DNS, DHCP) management</w:t>
            </w:r>
          </w:p>
        </w:tc>
        <w:tc>
          <w:tcPr>
            <w:tcW w:w="1791" w:type="dxa"/>
            <w:hideMark/>
          </w:tcPr>
          <w:p w14:paraId="3658D939"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Update Data</w:t>
            </w:r>
          </w:p>
          <w:p w14:paraId="09922FA9"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xml:space="preserve">Own/maintain </w:t>
            </w:r>
          </w:p>
        </w:tc>
        <w:tc>
          <w:tcPr>
            <w:tcW w:w="1386" w:type="dxa"/>
            <w:hideMark/>
          </w:tcPr>
          <w:p w14:paraId="483B129A"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Yes</w:t>
            </w:r>
          </w:p>
        </w:tc>
        <w:tc>
          <w:tcPr>
            <w:tcW w:w="4111" w:type="dxa"/>
            <w:hideMark/>
          </w:tcPr>
          <w:p w14:paraId="1D457E3B" w14:textId="6ADB7496"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xml:space="preserve">Ongoing maintenance of DNS/DHCP </w:t>
            </w:r>
            <w:proofErr w:type="spellStart"/>
            <w:r w:rsidR="001F1C19">
              <w:rPr>
                <w:rFonts w:ascii="Arial" w:hAnsi="Arial" w:cs="Arial"/>
                <w:i/>
                <w:iCs/>
                <w:sz w:val="20"/>
                <w:szCs w:val="20"/>
              </w:rPr>
              <w:t>Netlink</w:t>
            </w:r>
            <w:proofErr w:type="spellEnd"/>
            <w:r w:rsidR="001F1C19">
              <w:rPr>
                <w:rFonts w:ascii="Arial" w:hAnsi="Arial" w:cs="Arial"/>
                <w:i/>
                <w:iCs/>
                <w:sz w:val="20"/>
                <w:szCs w:val="20"/>
              </w:rPr>
              <w:t xml:space="preserve"> Star</w:t>
            </w:r>
            <w:r w:rsidRPr="00166665">
              <w:rPr>
                <w:rFonts w:ascii="Arial" w:hAnsi="Arial" w:cs="Arial"/>
                <w:i/>
                <w:iCs/>
                <w:sz w:val="20"/>
                <w:szCs w:val="20"/>
              </w:rPr>
              <w:t xml:space="preserve"> data</w:t>
            </w:r>
          </w:p>
          <w:p w14:paraId="0E086093"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w:t>
            </w:r>
          </w:p>
        </w:tc>
      </w:tr>
      <w:tr w:rsidR="00C53FD0" w:rsidRPr="00166665" w14:paraId="04505BDC" w14:textId="77777777" w:rsidTr="000D476B">
        <w:trPr>
          <w:trHeight w:val="1007"/>
        </w:trPr>
        <w:tc>
          <w:tcPr>
            <w:cnfStyle w:val="001000000000" w:firstRow="0" w:lastRow="0" w:firstColumn="1" w:lastColumn="0" w:oddVBand="0" w:evenVBand="0" w:oddHBand="0" w:evenHBand="0" w:firstRowFirstColumn="0" w:firstRowLastColumn="0" w:lastRowFirstColumn="0" w:lastRowLastColumn="0"/>
            <w:tcW w:w="2091" w:type="dxa"/>
            <w:hideMark/>
          </w:tcPr>
          <w:p w14:paraId="706B8BF6" w14:textId="77777777" w:rsidR="00C53FD0" w:rsidRPr="00166665" w:rsidRDefault="00C53FD0" w:rsidP="000D476B">
            <w:pPr>
              <w:rPr>
                <w:rFonts w:ascii="Arial" w:hAnsi="Arial" w:cs="Arial"/>
                <w:b w:val="0"/>
                <w:bCs w:val="0"/>
                <w:i/>
                <w:iCs/>
                <w:sz w:val="20"/>
                <w:szCs w:val="20"/>
              </w:rPr>
            </w:pPr>
            <w:r w:rsidRPr="00166665">
              <w:rPr>
                <w:rFonts w:ascii="Arial" w:hAnsi="Arial" w:cs="Arial"/>
                <w:b w:val="0"/>
                <w:bCs w:val="0"/>
                <w:i/>
                <w:iCs/>
                <w:sz w:val="20"/>
                <w:szCs w:val="20"/>
              </w:rPr>
              <w:t>License Management</w:t>
            </w:r>
          </w:p>
        </w:tc>
        <w:tc>
          <w:tcPr>
            <w:tcW w:w="1655" w:type="dxa"/>
            <w:hideMark/>
          </w:tcPr>
          <w:p w14:paraId="68E552AD"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FNMS</w:t>
            </w:r>
          </w:p>
        </w:tc>
        <w:tc>
          <w:tcPr>
            <w:tcW w:w="2428" w:type="dxa"/>
            <w:hideMark/>
          </w:tcPr>
          <w:p w14:paraId="40A1AFDB"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License management and compliance – software and hardware</w:t>
            </w:r>
          </w:p>
        </w:tc>
        <w:tc>
          <w:tcPr>
            <w:tcW w:w="1791" w:type="dxa"/>
            <w:hideMark/>
          </w:tcPr>
          <w:p w14:paraId="15E44BD0"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Update Data</w:t>
            </w:r>
          </w:p>
          <w:p w14:paraId="723D2993"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Maintain agents</w:t>
            </w:r>
          </w:p>
        </w:tc>
        <w:tc>
          <w:tcPr>
            <w:tcW w:w="1386" w:type="dxa"/>
            <w:hideMark/>
          </w:tcPr>
          <w:p w14:paraId="2F70E364"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Yes</w:t>
            </w:r>
          </w:p>
        </w:tc>
        <w:tc>
          <w:tcPr>
            <w:tcW w:w="4111" w:type="dxa"/>
            <w:hideMark/>
          </w:tcPr>
          <w:p w14:paraId="18D037E4" w14:textId="001491A9"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xml:space="preserve">Provide requisite data for </w:t>
            </w:r>
            <w:proofErr w:type="spellStart"/>
            <w:r w:rsidR="001F1C19">
              <w:rPr>
                <w:rFonts w:ascii="Arial" w:hAnsi="Arial" w:cs="Arial"/>
                <w:i/>
                <w:iCs/>
                <w:sz w:val="20"/>
                <w:szCs w:val="20"/>
              </w:rPr>
              <w:t>Netlink</w:t>
            </w:r>
            <w:proofErr w:type="spellEnd"/>
            <w:r w:rsidR="001F1C19">
              <w:rPr>
                <w:rFonts w:ascii="Arial" w:hAnsi="Arial" w:cs="Arial"/>
                <w:i/>
                <w:iCs/>
                <w:sz w:val="20"/>
                <w:szCs w:val="20"/>
              </w:rPr>
              <w:t xml:space="preserve"> Star</w:t>
            </w:r>
            <w:r w:rsidRPr="00166665">
              <w:rPr>
                <w:rFonts w:ascii="Arial" w:hAnsi="Arial" w:cs="Arial"/>
                <w:i/>
                <w:iCs/>
                <w:sz w:val="20"/>
                <w:szCs w:val="20"/>
              </w:rPr>
              <w:t xml:space="preserve"> to update </w:t>
            </w:r>
            <w:proofErr w:type="gramStart"/>
            <w:r w:rsidRPr="00166665">
              <w:rPr>
                <w:rFonts w:ascii="Arial" w:hAnsi="Arial" w:cs="Arial"/>
                <w:i/>
                <w:iCs/>
                <w:sz w:val="20"/>
                <w:szCs w:val="20"/>
              </w:rPr>
              <w:t>FNMS</w:t>
            </w:r>
            <w:proofErr w:type="gramEnd"/>
          </w:p>
          <w:p w14:paraId="06FCE106"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w:t>
            </w:r>
          </w:p>
          <w:p w14:paraId="2E5169B0"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w:t>
            </w:r>
          </w:p>
        </w:tc>
      </w:tr>
      <w:tr w:rsidR="00C53FD0" w:rsidRPr="00166665" w14:paraId="01F67D2D" w14:textId="77777777" w:rsidTr="000D476B">
        <w:trPr>
          <w:trHeight w:val="1007"/>
        </w:trPr>
        <w:tc>
          <w:tcPr>
            <w:cnfStyle w:val="001000000000" w:firstRow="0" w:lastRow="0" w:firstColumn="1" w:lastColumn="0" w:oddVBand="0" w:evenVBand="0" w:oddHBand="0" w:evenHBand="0" w:firstRowFirstColumn="0" w:firstRowLastColumn="0" w:lastRowFirstColumn="0" w:lastRowLastColumn="0"/>
            <w:tcW w:w="2091" w:type="dxa"/>
            <w:hideMark/>
          </w:tcPr>
          <w:p w14:paraId="19E0AF03" w14:textId="77777777" w:rsidR="00C53FD0" w:rsidRPr="00166665" w:rsidRDefault="00C53FD0" w:rsidP="000D476B">
            <w:pPr>
              <w:rPr>
                <w:rFonts w:ascii="Arial" w:hAnsi="Arial" w:cs="Arial"/>
                <w:b w:val="0"/>
                <w:bCs w:val="0"/>
                <w:i/>
                <w:iCs/>
                <w:sz w:val="20"/>
                <w:szCs w:val="20"/>
              </w:rPr>
            </w:pPr>
            <w:r w:rsidRPr="00166665">
              <w:rPr>
                <w:rFonts w:ascii="Arial" w:hAnsi="Arial" w:cs="Arial"/>
                <w:b w:val="0"/>
                <w:bCs w:val="0"/>
                <w:i/>
                <w:iCs/>
                <w:sz w:val="20"/>
                <w:szCs w:val="20"/>
              </w:rPr>
              <w:t>Antivirus Updates</w:t>
            </w:r>
          </w:p>
        </w:tc>
        <w:tc>
          <w:tcPr>
            <w:tcW w:w="1655" w:type="dxa"/>
            <w:hideMark/>
          </w:tcPr>
          <w:p w14:paraId="5BA6C062"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Trend Micro Deep Security</w:t>
            </w:r>
          </w:p>
        </w:tc>
        <w:tc>
          <w:tcPr>
            <w:tcW w:w="2428" w:type="dxa"/>
            <w:hideMark/>
          </w:tcPr>
          <w:p w14:paraId="272F5595"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Antivirus for RHEL and Windows</w:t>
            </w:r>
          </w:p>
        </w:tc>
        <w:tc>
          <w:tcPr>
            <w:tcW w:w="1791" w:type="dxa"/>
            <w:hideMark/>
          </w:tcPr>
          <w:p w14:paraId="5DF2F0C5"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xml:space="preserve">Maintain agents </w:t>
            </w:r>
          </w:p>
        </w:tc>
        <w:tc>
          <w:tcPr>
            <w:tcW w:w="1386" w:type="dxa"/>
            <w:hideMark/>
          </w:tcPr>
          <w:p w14:paraId="4C0BA5E2"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No</w:t>
            </w:r>
          </w:p>
        </w:tc>
        <w:tc>
          <w:tcPr>
            <w:tcW w:w="4111" w:type="dxa"/>
            <w:hideMark/>
          </w:tcPr>
          <w:p w14:paraId="75E7B3A7"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Installation of relevant agents per standard build definitions</w:t>
            </w:r>
          </w:p>
          <w:p w14:paraId="54E404BA"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w:t>
            </w:r>
          </w:p>
          <w:p w14:paraId="4A964589"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Monitor status of relevant agents</w:t>
            </w:r>
          </w:p>
        </w:tc>
      </w:tr>
      <w:tr w:rsidR="00C53FD0" w:rsidRPr="00166665" w14:paraId="7CDA8F93" w14:textId="77777777" w:rsidTr="000D476B">
        <w:trPr>
          <w:trHeight w:val="1007"/>
        </w:trPr>
        <w:tc>
          <w:tcPr>
            <w:cnfStyle w:val="001000000000" w:firstRow="0" w:lastRow="0" w:firstColumn="1" w:lastColumn="0" w:oddVBand="0" w:evenVBand="0" w:oddHBand="0" w:evenHBand="0" w:firstRowFirstColumn="0" w:firstRowLastColumn="0" w:lastRowFirstColumn="0" w:lastRowLastColumn="0"/>
            <w:tcW w:w="2091" w:type="dxa"/>
            <w:vMerge w:val="restart"/>
            <w:hideMark/>
          </w:tcPr>
          <w:p w14:paraId="682CEA1B" w14:textId="77777777" w:rsidR="00C53FD0" w:rsidRPr="00166665" w:rsidRDefault="00C53FD0" w:rsidP="000D476B">
            <w:pPr>
              <w:rPr>
                <w:rFonts w:ascii="Arial" w:hAnsi="Arial" w:cs="Arial"/>
                <w:i/>
                <w:iCs/>
                <w:sz w:val="20"/>
                <w:szCs w:val="20"/>
              </w:rPr>
            </w:pPr>
            <w:r w:rsidRPr="00166665">
              <w:rPr>
                <w:rFonts w:ascii="Arial" w:hAnsi="Arial" w:cs="Arial"/>
                <w:b w:val="0"/>
                <w:bCs w:val="0"/>
                <w:i/>
                <w:iCs/>
                <w:sz w:val="20"/>
                <w:szCs w:val="20"/>
              </w:rPr>
              <w:lastRenderedPageBreak/>
              <w:t>Data Centre Network Management</w:t>
            </w:r>
          </w:p>
          <w:p w14:paraId="1E1E07F2" w14:textId="77777777" w:rsidR="00C53FD0" w:rsidRPr="00166665" w:rsidRDefault="00C53FD0" w:rsidP="000D476B">
            <w:pPr>
              <w:rPr>
                <w:rFonts w:ascii="Arial" w:hAnsi="Arial" w:cs="Arial"/>
                <w:i/>
                <w:iCs/>
                <w:sz w:val="20"/>
                <w:szCs w:val="20"/>
              </w:rPr>
            </w:pPr>
          </w:p>
        </w:tc>
        <w:tc>
          <w:tcPr>
            <w:tcW w:w="1655" w:type="dxa"/>
            <w:hideMark/>
          </w:tcPr>
          <w:p w14:paraId="01239C3F"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xml:space="preserve">Cisco Data </w:t>
            </w:r>
            <w:proofErr w:type="spellStart"/>
            <w:r w:rsidRPr="00166665">
              <w:rPr>
                <w:rFonts w:ascii="Arial" w:hAnsi="Arial" w:cs="Arial"/>
                <w:i/>
                <w:iCs/>
                <w:sz w:val="20"/>
                <w:szCs w:val="20"/>
              </w:rPr>
              <w:t>Center</w:t>
            </w:r>
            <w:proofErr w:type="spellEnd"/>
            <w:r w:rsidRPr="00166665">
              <w:rPr>
                <w:rFonts w:ascii="Arial" w:hAnsi="Arial" w:cs="Arial"/>
                <w:i/>
                <w:iCs/>
                <w:sz w:val="20"/>
                <w:szCs w:val="20"/>
              </w:rPr>
              <w:t xml:space="preserve"> Network Manager</w:t>
            </w:r>
          </w:p>
        </w:tc>
        <w:tc>
          <w:tcPr>
            <w:tcW w:w="2428" w:type="dxa"/>
            <w:hideMark/>
          </w:tcPr>
          <w:p w14:paraId="4E2DBB62"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For LAN and SAN fabric/switches</w:t>
            </w:r>
          </w:p>
        </w:tc>
        <w:tc>
          <w:tcPr>
            <w:tcW w:w="1791" w:type="dxa"/>
            <w:hideMark/>
          </w:tcPr>
          <w:p w14:paraId="4B7A75AB"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xml:space="preserve">Own/maintain </w:t>
            </w:r>
          </w:p>
        </w:tc>
        <w:tc>
          <w:tcPr>
            <w:tcW w:w="1386" w:type="dxa"/>
            <w:hideMark/>
          </w:tcPr>
          <w:p w14:paraId="340108F9"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Yes</w:t>
            </w:r>
          </w:p>
        </w:tc>
        <w:tc>
          <w:tcPr>
            <w:tcW w:w="4111" w:type="dxa"/>
            <w:hideMark/>
          </w:tcPr>
          <w:p w14:paraId="26C208DB"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w:t>
            </w:r>
          </w:p>
        </w:tc>
      </w:tr>
      <w:tr w:rsidR="00C53FD0" w:rsidRPr="00166665" w14:paraId="68A18E99" w14:textId="77777777" w:rsidTr="000D476B">
        <w:trPr>
          <w:trHeight w:val="1007"/>
        </w:trPr>
        <w:tc>
          <w:tcPr>
            <w:cnfStyle w:val="001000000000" w:firstRow="0" w:lastRow="0" w:firstColumn="1" w:lastColumn="0" w:oddVBand="0" w:evenVBand="0" w:oddHBand="0" w:evenHBand="0" w:firstRowFirstColumn="0" w:firstRowLastColumn="0" w:lastRowFirstColumn="0" w:lastRowLastColumn="0"/>
            <w:tcW w:w="2091" w:type="dxa"/>
            <w:vMerge/>
            <w:hideMark/>
          </w:tcPr>
          <w:p w14:paraId="67C2E852" w14:textId="77777777" w:rsidR="00C53FD0" w:rsidRPr="00166665" w:rsidRDefault="00C53FD0" w:rsidP="000D476B">
            <w:pPr>
              <w:rPr>
                <w:rFonts w:ascii="Arial" w:hAnsi="Arial" w:cs="Arial"/>
                <w:i/>
                <w:iCs/>
                <w:sz w:val="20"/>
                <w:szCs w:val="20"/>
              </w:rPr>
            </w:pPr>
          </w:p>
        </w:tc>
        <w:tc>
          <w:tcPr>
            <w:tcW w:w="1655" w:type="dxa"/>
            <w:hideMark/>
          </w:tcPr>
          <w:p w14:paraId="3B577D9D"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Cisco Application Policy infrastructure Controller</w:t>
            </w:r>
          </w:p>
        </w:tc>
        <w:tc>
          <w:tcPr>
            <w:tcW w:w="2428" w:type="dxa"/>
            <w:hideMark/>
          </w:tcPr>
          <w:p w14:paraId="267AB220"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p>
        </w:tc>
        <w:tc>
          <w:tcPr>
            <w:tcW w:w="1791" w:type="dxa"/>
            <w:hideMark/>
          </w:tcPr>
          <w:p w14:paraId="4C10310B"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xml:space="preserve">Own/maintain </w:t>
            </w:r>
          </w:p>
        </w:tc>
        <w:tc>
          <w:tcPr>
            <w:tcW w:w="1386" w:type="dxa"/>
            <w:hideMark/>
          </w:tcPr>
          <w:p w14:paraId="24364E69"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Yes</w:t>
            </w:r>
          </w:p>
        </w:tc>
        <w:tc>
          <w:tcPr>
            <w:tcW w:w="4111" w:type="dxa"/>
            <w:hideMark/>
          </w:tcPr>
          <w:p w14:paraId="526ADCB3"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w:t>
            </w:r>
          </w:p>
        </w:tc>
      </w:tr>
      <w:tr w:rsidR="00C53FD0" w:rsidRPr="00166665" w14:paraId="1EFAAF27" w14:textId="77777777" w:rsidTr="000D476B">
        <w:trPr>
          <w:trHeight w:val="1007"/>
        </w:trPr>
        <w:tc>
          <w:tcPr>
            <w:cnfStyle w:val="001000000000" w:firstRow="0" w:lastRow="0" w:firstColumn="1" w:lastColumn="0" w:oddVBand="0" w:evenVBand="0" w:oddHBand="0" w:evenHBand="0" w:firstRowFirstColumn="0" w:firstRowLastColumn="0" w:lastRowFirstColumn="0" w:lastRowLastColumn="0"/>
            <w:tcW w:w="2091" w:type="dxa"/>
            <w:vMerge/>
            <w:hideMark/>
          </w:tcPr>
          <w:p w14:paraId="18E8800A" w14:textId="77777777" w:rsidR="00C53FD0" w:rsidRPr="00166665" w:rsidRDefault="00C53FD0" w:rsidP="000D476B">
            <w:pPr>
              <w:rPr>
                <w:rFonts w:ascii="Arial" w:hAnsi="Arial" w:cs="Arial"/>
                <w:i/>
                <w:iCs/>
                <w:sz w:val="20"/>
                <w:szCs w:val="20"/>
              </w:rPr>
            </w:pPr>
          </w:p>
        </w:tc>
        <w:tc>
          <w:tcPr>
            <w:tcW w:w="1655" w:type="dxa"/>
            <w:hideMark/>
          </w:tcPr>
          <w:p w14:paraId="2A84CE29"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Cisco UCS Manager</w:t>
            </w:r>
          </w:p>
        </w:tc>
        <w:tc>
          <w:tcPr>
            <w:tcW w:w="2428" w:type="dxa"/>
            <w:hideMark/>
          </w:tcPr>
          <w:p w14:paraId="43E5BC28"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LAN UCS and hyperflex server management</w:t>
            </w:r>
          </w:p>
        </w:tc>
        <w:tc>
          <w:tcPr>
            <w:tcW w:w="1791" w:type="dxa"/>
            <w:hideMark/>
          </w:tcPr>
          <w:p w14:paraId="5F702C63"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xml:space="preserve">Own/maintain </w:t>
            </w:r>
          </w:p>
        </w:tc>
        <w:tc>
          <w:tcPr>
            <w:tcW w:w="1386" w:type="dxa"/>
            <w:hideMark/>
          </w:tcPr>
          <w:p w14:paraId="6D63B458"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Yes</w:t>
            </w:r>
          </w:p>
        </w:tc>
        <w:tc>
          <w:tcPr>
            <w:tcW w:w="4111" w:type="dxa"/>
          </w:tcPr>
          <w:p w14:paraId="250A80C4"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p>
        </w:tc>
      </w:tr>
      <w:tr w:rsidR="00C53FD0" w:rsidRPr="00166665" w14:paraId="58069675" w14:textId="77777777" w:rsidTr="000D476B">
        <w:trPr>
          <w:trHeight w:val="1007"/>
        </w:trPr>
        <w:tc>
          <w:tcPr>
            <w:cnfStyle w:val="001000000000" w:firstRow="0" w:lastRow="0" w:firstColumn="1" w:lastColumn="0" w:oddVBand="0" w:evenVBand="0" w:oddHBand="0" w:evenHBand="0" w:firstRowFirstColumn="0" w:firstRowLastColumn="0" w:lastRowFirstColumn="0" w:lastRowLastColumn="0"/>
            <w:tcW w:w="2091" w:type="dxa"/>
            <w:vMerge/>
            <w:hideMark/>
          </w:tcPr>
          <w:p w14:paraId="121E3DBE" w14:textId="77777777" w:rsidR="00C53FD0" w:rsidRPr="00166665" w:rsidRDefault="00C53FD0" w:rsidP="000D476B">
            <w:pPr>
              <w:rPr>
                <w:rFonts w:ascii="Arial" w:hAnsi="Arial" w:cs="Arial"/>
                <w:i/>
                <w:iCs/>
                <w:sz w:val="20"/>
                <w:szCs w:val="20"/>
              </w:rPr>
            </w:pPr>
          </w:p>
        </w:tc>
        <w:tc>
          <w:tcPr>
            <w:tcW w:w="1655" w:type="dxa"/>
            <w:hideMark/>
          </w:tcPr>
          <w:p w14:paraId="2D335BF2"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Cisco Prime</w:t>
            </w:r>
          </w:p>
        </w:tc>
        <w:tc>
          <w:tcPr>
            <w:tcW w:w="2428" w:type="dxa"/>
            <w:hideMark/>
          </w:tcPr>
          <w:p w14:paraId="265B160D"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NMS for Cisco LAN and DC edge routers</w:t>
            </w:r>
          </w:p>
        </w:tc>
        <w:tc>
          <w:tcPr>
            <w:tcW w:w="1791" w:type="dxa"/>
            <w:hideMark/>
          </w:tcPr>
          <w:p w14:paraId="0F69C0F9"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xml:space="preserve">Own/maintain </w:t>
            </w:r>
          </w:p>
        </w:tc>
        <w:tc>
          <w:tcPr>
            <w:tcW w:w="1386" w:type="dxa"/>
            <w:hideMark/>
          </w:tcPr>
          <w:p w14:paraId="671CD889"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Yes</w:t>
            </w:r>
          </w:p>
        </w:tc>
        <w:tc>
          <w:tcPr>
            <w:tcW w:w="4111" w:type="dxa"/>
          </w:tcPr>
          <w:p w14:paraId="58ABF5EE"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p>
        </w:tc>
      </w:tr>
      <w:tr w:rsidR="00C53FD0" w:rsidRPr="00166665" w14:paraId="36218F1D" w14:textId="77777777" w:rsidTr="000D476B">
        <w:trPr>
          <w:trHeight w:val="1007"/>
        </w:trPr>
        <w:tc>
          <w:tcPr>
            <w:cnfStyle w:val="001000000000" w:firstRow="0" w:lastRow="0" w:firstColumn="1" w:lastColumn="0" w:oddVBand="0" w:evenVBand="0" w:oddHBand="0" w:evenHBand="0" w:firstRowFirstColumn="0" w:firstRowLastColumn="0" w:lastRowFirstColumn="0" w:lastRowLastColumn="0"/>
            <w:tcW w:w="2091" w:type="dxa"/>
          </w:tcPr>
          <w:p w14:paraId="0FC6EF08" w14:textId="77777777" w:rsidR="00C53FD0" w:rsidRPr="00166665" w:rsidRDefault="00C53FD0" w:rsidP="000D476B">
            <w:pPr>
              <w:rPr>
                <w:rFonts w:ascii="Arial" w:hAnsi="Arial" w:cs="Arial"/>
                <w:i/>
                <w:iCs/>
                <w:sz w:val="20"/>
                <w:szCs w:val="20"/>
              </w:rPr>
            </w:pPr>
            <w:r w:rsidRPr="00166665">
              <w:rPr>
                <w:rFonts w:ascii="Arial" w:hAnsi="Arial" w:cs="Arial"/>
                <w:b w:val="0"/>
                <w:bCs w:val="0"/>
                <w:i/>
                <w:iCs/>
                <w:sz w:val="20"/>
                <w:szCs w:val="20"/>
              </w:rPr>
              <w:t>Data Centre Network performance monitoring and reporting</w:t>
            </w:r>
          </w:p>
        </w:tc>
        <w:tc>
          <w:tcPr>
            <w:tcW w:w="1655" w:type="dxa"/>
          </w:tcPr>
          <w:p w14:paraId="5DCCC84B"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proofErr w:type="spellStart"/>
            <w:r w:rsidRPr="00166665">
              <w:rPr>
                <w:rFonts w:ascii="Arial" w:hAnsi="Arial" w:cs="Arial"/>
                <w:i/>
                <w:iCs/>
                <w:sz w:val="20"/>
                <w:szCs w:val="20"/>
              </w:rPr>
              <w:t>Solarwinds</w:t>
            </w:r>
            <w:proofErr w:type="spellEnd"/>
          </w:p>
        </w:tc>
        <w:tc>
          <w:tcPr>
            <w:tcW w:w="2428" w:type="dxa"/>
          </w:tcPr>
          <w:p w14:paraId="142CBC8A"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Monitoring of Data Centre LAN and dynamic network services</w:t>
            </w:r>
          </w:p>
        </w:tc>
        <w:tc>
          <w:tcPr>
            <w:tcW w:w="1791" w:type="dxa"/>
          </w:tcPr>
          <w:p w14:paraId="1349C510"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TBD by Supplier</w:t>
            </w:r>
          </w:p>
        </w:tc>
        <w:tc>
          <w:tcPr>
            <w:tcW w:w="1386" w:type="dxa"/>
          </w:tcPr>
          <w:p w14:paraId="1019C2DE"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No</w:t>
            </w:r>
          </w:p>
        </w:tc>
        <w:tc>
          <w:tcPr>
            <w:tcW w:w="4111" w:type="dxa"/>
          </w:tcPr>
          <w:p w14:paraId="47558023"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p>
        </w:tc>
      </w:tr>
      <w:tr w:rsidR="00C53FD0" w:rsidRPr="00166665" w14:paraId="105203ED" w14:textId="77777777" w:rsidTr="000D476B">
        <w:trPr>
          <w:trHeight w:val="1007"/>
        </w:trPr>
        <w:tc>
          <w:tcPr>
            <w:cnfStyle w:val="001000000000" w:firstRow="0" w:lastRow="0" w:firstColumn="1" w:lastColumn="0" w:oddVBand="0" w:evenVBand="0" w:oddHBand="0" w:evenHBand="0" w:firstRowFirstColumn="0" w:firstRowLastColumn="0" w:lastRowFirstColumn="0" w:lastRowLastColumn="0"/>
            <w:tcW w:w="2091" w:type="dxa"/>
            <w:hideMark/>
          </w:tcPr>
          <w:p w14:paraId="407C218E" w14:textId="77777777" w:rsidR="00C53FD0" w:rsidRPr="00166665" w:rsidRDefault="00C53FD0" w:rsidP="000D476B">
            <w:pPr>
              <w:rPr>
                <w:rFonts w:ascii="Arial" w:hAnsi="Arial" w:cs="Arial"/>
                <w:b w:val="0"/>
                <w:bCs w:val="0"/>
                <w:i/>
                <w:iCs/>
                <w:sz w:val="20"/>
                <w:szCs w:val="20"/>
              </w:rPr>
            </w:pPr>
            <w:r w:rsidRPr="00166665">
              <w:rPr>
                <w:rFonts w:ascii="Arial" w:hAnsi="Arial" w:cs="Arial"/>
                <w:b w:val="0"/>
                <w:bCs w:val="0"/>
                <w:i/>
                <w:iCs/>
                <w:sz w:val="20"/>
                <w:szCs w:val="20"/>
              </w:rPr>
              <w:t>Security Information and Event Management</w:t>
            </w:r>
          </w:p>
        </w:tc>
        <w:tc>
          <w:tcPr>
            <w:tcW w:w="1655" w:type="dxa"/>
            <w:hideMark/>
          </w:tcPr>
          <w:p w14:paraId="75200C24"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proofErr w:type="spellStart"/>
            <w:r w:rsidRPr="00166665">
              <w:rPr>
                <w:rFonts w:ascii="Arial" w:hAnsi="Arial" w:cs="Arial"/>
                <w:i/>
                <w:iCs/>
                <w:sz w:val="20"/>
                <w:szCs w:val="20"/>
              </w:rPr>
              <w:t>QRadar</w:t>
            </w:r>
            <w:proofErr w:type="spellEnd"/>
            <w:r w:rsidRPr="00166665">
              <w:rPr>
                <w:rFonts w:ascii="Arial" w:hAnsi="Arial" w:cs="Arial"/>
                <w:i/>
                <w:iCs/>
                <w:sz w:val="20"/>
                <w:szCs w:val="20"/>
              </w:rPr>
              <w:t>™</w:t>
            </w:r>
          </w:p>
        </w:tc>
        <w:tc>
          <w:tcPr>
            <w:tcW w:w="2428" w:type="dxa"/>
            <w:hideMark/>
          </w:tcPr>
          <w:p w14:paraId="697EACD3"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Syslog security analysis</w:t>
            </w:r>
          </w:p>
        </w:tc>
        <w:tc>
          <w:tcPr>
            <w:tcW w:w="1791" w:type="dxa"/>
            <w:hideMark/>
          </w:tcPr>
          <w:p w14:paraId="3BB8FC49"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Maintain agents</w:t>
            </w:r>
          </w:p>
        </w:tc>
        <w:tc>
          <w:tcPr>
            <w:tcW w:w="1386" w:type="dxa"/>
            <w:hideMark/>
          </w:tcPr>
          <w:p w14:paraId="42B349FF"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No</w:t>
            </w:r>
          </w:p>
        </w:tc>
        <w:tc>
          <w:tcPr>
            <w:tcW w:w="4111" w:type="dxa"/>
            <w:hideMark/>
          </w:tcPr>
          <w:p w14:paraId="732A8E6E"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Installation of relevant agents per standard build definitions</w:t>
            </w:r>
          </w:p>
          <w:p w14:paraId="42A70726"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Monitor status of relevant agents</w:t>
            </w:r>
          </w:p>
          <w:p w14:paraId="1CCA19F1"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w:t>
            </w:r>
          </w:p>
        </w:tc>
      </w:tr>
      <w:tr w:rsidR="00C53FD0" w:rsidRPr="00166665" w14:paraId="15DB802A" w14:textId="77777777" w:rsidTr="000D476B">
        <w:trPr>
          <w:trHeight w:val="1007"/>
        </w:trPr>
        <w:tc>
          <w:tcPr>
            <w:cnfStyle w:val="001000000000" w:firstRow="0" w:lastRow="0" w:firstColumn="1" w:lastColumn="0" w:oddVBand="0" w:evenVBand="0" w:oddHBand="0" w:evenHBand="0" w:firstRowFirstColumn="0" w:firstRowLastColumn="0" w:lastRowFirstColumn="0" w:lastRowLastColumn="0"/>
            <w:tcW w:w="2091" w:type="dxa"/>
            <w:hideMark/>
          </w:tcPr>
          <w:p w14:paraId="356D589D" w14:textId="77777777" w:rsidR="00C53FD0" w:rsidRPr="00166665" w:rsidRDefault="00C53FD0" w:rsidP="000D476B">
            <w:pPr>
              <w:rPr>
                <w:rFonts w:ascii="Arial" w:hAnsi="Arial" w:cs="Arial"/>
                <w:b w:val="0"/>
                <w:bCs w:val="0"/>
                <w:i/>
                <w:iCs/>
                <w:sz w:val="20"/>
                <w:szCs w:val="20"/>
              </w:rPr>
            </w:pPr>
            <w:r w:rsidRPr="00166665">
              <w:rPr>
                <w:rFonts w:ascii="Arial" w:hAnsi="Arial" w:cs="Arial"/>
                <w:b w:val="0"/>
                <w:bCs w:val="0"/>
                <w:i/>
                <w:iCs/>
                <w:sz w:val="20"/>
                <w:szCs w:val="20"/>
              </w:rPr>
              <w:t>Active Directory Management</w:t>
            </w:r>
          </w:p>
        </w:tc>
        <w:tc>
          <w:tcPr>
            <w:tcW w:w="1655" w:type="dxa"/>
            <w:hideMark/>
          </w:tcPr>
          <w:p w14:paraId="3EED5DBF"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Microsoft AD</w:t>
            </w:r>
          </w:p>
        </w:tc>
        <w:tc>
          <w:tcPr>
            <w:tcW w:w="2428" w:type="dxa"/>
            <w:hideMark/>
          </w:tcPr>
          <w:p w14:paraId="333232A4"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xml:space="preserve">Identify AAA </w:t>
            </w:r>
            <w:proofErr w:type="gramStart"/>
            <w:r w:rsidRPr="00166665">
              <w:rPr>
                <w:rFonts w:ascii="Arial" w:hAnsi="Arial" w:cs="Arial"/>
                <w:i/>
                <w:iCs/>
                <w:sz w:val="20"/>
                <w:szCs w:val="20"/>
              </w:rPr>
              <w:t>management</w:t>
            </w:r>
            <w:proofErr w:type="gramEnd"/>
            <w:r w:rsidRPr="00166665">
              <w:rPr>
                <w:rFonts w:ascii="Arial" w:hAnsi="Arial" w:cs="Arial"/>
                <w:i/>
                <w:iCs/>
                <w:sz w:val="20"/>
                <w:szCs w:val="20"/>
              </w:rPr>
              <w:t xml:space="preserve"> </w:t>
            </w:r>
          </w:p>
          <w:p w14:paraId="27CD97A5"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Creation of OUs</w:t>
            </w:r>
          </w:p>
        </w:tc>
        <w:tc>
          <w:tcPr>
            <w:tcW w:w="1791" w:type="dxa"/>
            <w:hideMark/>
          </w:tcPr>
          <w:p w14:paraId="153F5528"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Own/maintain</w:t>
            </w:r>
          </w:p>
        </w:tc>
        <w:tc>
          <w:tcPr>
            <w:tcW w:w="1386" w:type="dxa"/>
            <w:hideMark/>
          </w:tcPr>
          <w:p w14:paraId="39B2AC8F"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Yes</w:t>
            </w:r>
          </w:p>
        </w:tc>
        <w:tc>
          <w:tcPr>
            <w:tcW w:w="4111" w:type="dxa"/>
            <w:hideMark/>
          </w:tcPr>
          <w:p w14:paraId="1692B94D"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 </w:t>
            </w:r>
          </w:p>
        </w:tc>
      </w:tr>
      <w:tr w:rsidR="00C53FD0" w:rsidRPr="00166665" w14:paraId="7DA5C2FD" w14:textId="77777777" w:rsidTr="000D476B">
        <w:trPr>
          <w:trHeight w:val="1007"/>
        </w:trPr>
        <w:tc>
          <w:tcPr>
            <w:cnfStyle w:val="001000000000" w:firstRow="0" w:lastRow="0" w:firstColumn="1" w:lastColumn="0" w:oddVBand="0" w:evenVBand="0" w:oddHBand="0" w:evenHBand="0" w:firstRowFirstColumn="0" w:firstRowLastColumn="0" w:lastRowFirstColumn="0" w:lastRowLastColumn="0"/>
            <w:tcW w:w="2091" w:type="dxa"/>
            <w:hideMark/>
          </w:tcPr>
          <w:p w14:paraId="20D07FC9" w14:textId="77777777" w:rsidR="00C53FD0" w:rsidRPr="00166665" w:rsidRDefault="00C53FD0" w:rsidP="000D476B">
            <w:pPr>
              <w:rPr>
                <w:rFonts w:ascii="Arial" w:hAnsi="Arial" w:cs="Arial"/>
                <w:b w:val="0"/>
                <w:bCs w:val="0"/>
                <w:i/>
                <w:iCs/>
                <w:sz w:val="20"/>
                <w:szCs w:val="20"/>
              </w:rPr>
            </w:pPr>
            <w:r w:rsidRPr="00166665">
              <w:rPr>
                <w:rFonts w:ascii="Arial" w:hAnsi="Arial" w:cs="Arial"/>
                <w:b w:val="0"/>
                <w:bCs w:val="0"/>
                <w:i/>
                <w:iCs/>
                <w:sz w:val="20"/>
                <w:szCs w:val="20"/>
              </w:rPr>
              <w:t>Desktop and Application virtualisation and Load Balancing</w:t>
            </w:r>
          </w:p>
        </w:tc>
        <w:tc>
          <w:tcPr>
            <w:tcW w:w="1655" w:type="dxa"/>
            <w:hideMark/>
          </w:tcPr>
          <w:p w14:paraId="79C30228"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Citrix Virtual Applications and Desktops</w:t>
            </w:r>
          </w:p>
          <w:p w14:paraId="4936A4F4"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lastRenderedPageBreak/>
              <w:t>Citrix ADC Load Balancing</w:t>
            </w:r>
          </w:p>
        </w:tc>
        <w:tc>
          <w:tcPr>
            <w:tcW w:w="2428" w:type="dxa"/>
            <w:hideMark/>
          </w:tcPr>
          <w:p w14:paraId="5062F82F"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p>
        </w:tc>
        <w:tc>
          <w:tcPr>
            <w:tcW w:w="1791" w:type="dxa"/>
            <w:hideMark/>
          </w:tcPr>
          <w:p w14:paraId="7FD81137"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Own/maintain</w:t>
            </w:r>
          </w:p>
        </w:tc>
        <w:tc>
          <w:tcPr>
            <w:tcW w:w="1386" w:type="dxa"/>
            <w:hideMark/>
          </w:tcPr>
          <w:p w14:paraId="1F196BA2"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Yes</w:t>
            </w:r>
          </w:p>
        </w:tc>
        <w:tc>
          <w:tcPr>
            <w:tcW w:w="4111" w:type="dxa"/>
          </w:tcPr>
          <w:p w14:paraId="2D42FB0C"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p>
        </w:tc>
      </w:tr>
      <w:tr w:rsidR="00C53FD0" w:rsidRPr="00166665" w14:paraId="2A8B4BFA" w14:textId="77777777" w:rsidTr="000D476B">
        <w:trPr>
          <w:trHeight w:val="1007"/>
        </w:trPr>
        <w:tc>
          <w:tcPr>
            <w:cnfStyle w:val="001000000000" w:firstRow="0" w:lastRow="0" w:firstColumn="1" w:lastColumn="0" w:oddVBand="0" w:evenVBand="0" w:oddHBand="0" w:evenHBand="0" w:firstRowFirstColumn="0" w:firstRowLastColumn="0" w:lastRowFirstColumn="0" w:lastRowLastColumn="0"/>
            <w:tcW w:w="2091" w:type="dxa"/>
            <w:hideMark/>
          </w:tcPr>
          <w:p w14:paraId="5B3656A0" w14:textId="77777777" w:rsidR="00C53FD0" w:rsidRPr="00166665" w:rsidRDefault="00C53FD0" w:rsidP="000D476B">
            <w:pPr>
              <w:rPr>
                <w:rFonts w:ascii="Arial" w:hAnsi="Arial" w:cs="Arial"/>
                <w:b w:val="0"/>
                <w:bCs w:val="0"/>
                <w:i/>
                <w:iCs/>
                <w:sz w:val="20"/>
                <w:szCs w:val="20"/>
              </w:rPr>
            </w:pPr>
            <w:r w:rsidRPr="00166665">
              <w:rPr>
                <w:rFonts w:ascii="Arial" w:hAnsi="Arial" w:cs="Arial"/>
                <w:b w:val="0"/>
                <w:bCs w:val="0"/>
                <w:i/>
                <w:iCs/>
                <w:sz w:val="20"/>
                <w:szCs w:val="20"/>
              </w:rPr>
              <w:t xml:space="preserve">Database Management </w:t>
            </w:r>
          </w:p>
        </w:tc>
        <w:tc>
          <w:tcPr>
            <w:tcW w:w="1655" w:type="dxa"/>
            <w:hideMark/>
          </w:tcPr>
          <w:p w14:paraId="4EA6158F"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Oracle,</w:t>
            </w:r>
          </w:p>
          <w:p w14:paraId="5495FC32"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MS-SQL</w:t>
            </w:r>
          </w:p>
          <w:p w14:paraId="18F8DD90"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DB2</w:t>
            </w:r>
          </w:p>
        </w:tc>
        <w:tc>
          <w:tcPr>
            <w:tcW w:w="2428" w:type="dxa"/>
            <w:hideMark/>
          </w:tcPr>
          <w:p w14:paraId="1E589729"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Database hosting platforms</w:t>
            </w:r>
          </w:p>
        </w:tc>
        <w:tc>
          <w:tcPr>
            <w:tcW w:w="1791" w:type="dxa"/>
            <w:hideMark/>
          </w:tcPr>
          <w:p w14:paraId="47ABBC10" w14:textId="77777777" w:rsidR="00C53FD0" w:rsidRPr="00166665" w:rsidRDefault="00C53FD0" w:rsidP="009D675B">
            <w:pPr>
              <w:pStyle w:val="ListParagraph"/>
              <w:numPr>
                <w:ilvl w:val="0"/>
                <w:numId w:val="135"/>
              </w:numPr>
              <w:spacing w:after="0" w:line="240" w:lineRule="auto"/>
              <w:ind w:left="142" w:hanging="218"/>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Own/maintain</w:t>
            </w:r>
          </w:p>
        </w:tc>
        <w:tc>
          <w:tcPr>
            <w:tcW w:w="1386" w:type="dxa"/>
            <w:hideMark/>
          </w:tcPr>
          <w:p w14:paraId="225A862F"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00166665">
              <w:rPr>
                <w:rFonts w:ascii="Arial" w:hAnsi="Arial" w:cs="Arial"/>
                <w:i/>
                <w:iCs/>
                <w:sz w:val="20"/>
                <w:szCs w:val="20"/>
              </w:rPr>
              <w:t>Yes</w:t>
            </w:r>
          </w:p>
        </w:tc>
        <w:tc>
          <w:tcPr>
            <w:tcW w:w="4111" w:type="dxa"/>
          </w:tcPr>
          <w:p w14:paraId="05DA80C9" w14:textId="77777777" w:rsidR="00C53FD0" w:rsidRPr="00166665" w:rsidRDefault="00C53FD0" w:rsidP="000D476B">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p>
        </w:tc>
      </w:tr>
    </w:tbl>
    <w:p w14:paraId="3CEE8F0F" w14:textId="77777777" w:rsidR="00C53FD0" w:rsidRPr="00166665" w:rsidRDefault="00C53FD0" w:rsidP="00C53FD0">
      <w:pPr>
        <w:spacing w:after="25"/>
        <w:rPr>
          <w:rFonts w:eastAsia="Verdana" w:cs="Arial"/>
          <w:i/>
          <w:iCs/>
          <w:szCs w:val="20"/>
        </w:rPr>
      </w:pPr>
    </w:p>
    <w:p w14:paraId="26F3191A" w14:textId="77777777" w:rsidR="00C53FD0" w:rsidRPr="00166665" w:rsidRDefault="00C53FD0" w:rsidP="00C53FD0">
      <w:pPr>
        <w:rPr>
          <w:rFonts w:cs="Arial"/>
          <w:b/>
          <w:bCs/>
          <w:i/>
          <w:iCs/>
          <w:szCs w:val="20"/>
        </w:rPr>
      </w:pPr>
    </w:p>
    <w:p w14:paraId="6401924A" w14:textId="77777777" w:rsidR="00C53FD0" w:rsidRDefault="00C53FD0" w:rsidP="00F2428A">
      <w:pPr>
        <w:pStyle w:val="Level1"/>
        <w:keepNext/>
        <w:numPr>
          <w:ilvl w:val="0"/>
          <w:numId w:val="0"/>
        </w:numPr>
        <w:spacing w:after="120" w:line="240" w:lineRule="auto"/>
        <w:ind w:left="851"/>
        <w:jc w:val="center"/>
        <w:rPr>
          <w:rFonts w:ascii="Times New Roman" w:hAnsi="Times New Roman"/>
        </w:rPr>
        <w:sectPr w:rsidR="00C53FD0" w:rsidSect="00C53FD0">
          <w:headerReference w:type="even" r:id="rId46"/>
          <w:headerReference w:type="default" r:id="rId47"/>
          <w:footerReference w:type="even" r:id="rId48"/>
          <w:footerReference w:type="default" r:id="rId49"/>
          <w:headerReference w:type="first" r:id="rId50"/>
          <w:pgSz w:w="16840" w:h="11907" w:orient="landscape" w:code="9"/>
          <w:pgMar w:top="1418" w:right="1418" w:bottom="1418" w:left="1134" w:header="709" w:footer="709" w:gutter="0"/>
          <w:cols w:space="708"/>
          <w:titlePg/>
          <w:docGrid w:linePitch="360"/>
        </w:sectPr>
      </w:pPr>
    </w:p>
    <w:p w14:paraId="41C0151A" w14:textId="5E330A2B" w:rsidR="002701EF" w:rsidRPr="000E5786" w:rsidRDefault="004C127E" w:rsidP="00DD60F0">
      <w:pPr>
        <w:pStyle w:val="Heading1"/>
        <w:numPr>
          <w:ilvl w:val="0"/>
          <w:numId w:val="0"/>
        </w:numPr>
        <w:spacing w:after="120"/>
        <w:jc w:val="center"/>
        <w:rPr>
          <w:rFonts w:cs="Arial"/>
          <w:szCs w:val="20"/>
        </w:rPr>
      </w:pPr>
      <w:r w:rsidRPr="000E5786">
        <w:rPr>
          <w:rFonts w:cs="Arial"/>
          <w:szCs w:val="20"/>
        </w:rPr>
        <w:lastRenderedPageBreak/>
        <w:t>schedule 6.1</w:t>
      </w:r>
    </w:p>
    <w:p w14:paraId="3FEF078A" w14:textId="26024FE7" w:rsidR="004C127E" w:rsidRPr="000E5786" w:rsidRDefault="004C127E" w:rsidP="00DD60F0">
      <w:pPr>
        <w:pStyle w:val="Heading1"/>
        <w:numPr>
          <w:ilvl w:val="0"/>
          <w:numId w:val="0"/>
        </w:numPr>
        <w:spacing w:after="120"/>
        <w:jc w:val="center"/>
        <w:rPr>
          <w:rFonts w:cs="Arial"/>
          <w:caps w:val="0"/>
          <w:smallCaps/>
          <w:szCs w:val="20"/>
        </w:rPr>
      </w:pPr>
      <w:r w:rsidRPr="000E5786">
        <w:rPr>
          <w:rFonts w:cs="Arial"/>
          <w:szCs w:val="20"/>
        </w:rPr>
        <w:t xml:space="preserve"> Project Template Sheet</w:t>
      </w:r>
    </w:p>
    <w:p w14:paraId="500112AC" w14:textId="77777777" w:rsidR="004C127E" w:rsidRPr="000E5786" w:rsidRDefault="004C127E" w:rsidP="00DD60F0">
      <w:pPr>
        <w:keepNext/>
        <w:pBdr>
          <w:top w:val="nil"/>
          <w:left w:val="nil"/>
          <w:bottom w:val="nil"/>
          <w:right w:val="nil"/>
          <w:between w:val="nil"/>
        </w:pBdr>
        <w:jc w:val="center"/>
        <w:rPr>
          <w:rFonts w:cs="Arial"/>
          <w:b/>
          <w:szCs w:val="20"/>
        </w:rPr>
      </w:pPr>
      <w:r w:rsidRPr="000E5786">
        <w:rPr>
          <w:rFonts w:cs="Arial"/>
          <w:b/>
          <w:szCs w:val="20"/>
        </w:rPr>
        <w:t>To</w:t>
      </w:r>
    </w:p>
    <w:p w14:paraId="54362CA5" w14:textId="77777777" w:rsidR="004C127E" w:rsidRPr="000E5786" w:rsidRDefault="004C127E" w:rsidP="00DD60F0">
      <w:pPr>
        <w:keepNext/>
        <w:pBdr>
          <w:top w:val="nil"/>
          <w:left w:val="nil"/>
          <w:bottom w:val="nil"/>
          <w:right w:val="nil"/>
          <w:between w:val="nil"/>
        </w:pBdr>
        <w:jc w:val="center"/>
        <w:rPr>
          <w:rFonts w:cs="Arial"/>
          <w:b/>
          <w:szCs w:val="20"/>
        </w:rPr>
      </w:pPr>
      <w:r w:rsidRPr="000E5786">
        <w:rPr>
          <w:rFonts w:cs="Arial"/>
          <w:b/>
          <w:szCs w:val="20"/>
        </w:rPr>
        <w:t>[</w:t>
      </w:r>
      <w:r w:rsidRPr="000E5786">
        <w:rPr>
          <w:rFonts w:cs="Arial"/>
          <w:b/>
          <w:szCs w:val="20"/>
          <w:highlight w:val="yellow"/>
        </w:rPr>
        <w:t>Data Centre Transition Migrate &amp; Operate Services</w:t>
      </w:r>
      <w:r w:rsidRPr="000E5786">
        <w:rPr>
          <w:rFonts w:cs="Arial"/>
          <w:b/>
          <w:szCs w:val="20"/>
        </w:rPr>
        <w:t xml:space="preserve">] </w:t>
      </w:r>
      <w:proofErr w:type="gramStart"/>
      <w:r w:rsidRPr="000E5786">
        <w:rPr>
          <w:rFonts w:cs="Arial"/>
          <w:b/>
          <w:szCs w:val="20"/>
        </w:rPr>
        <w:t>Agreement</w:t>
      </w:r>
      <w:proofErr w:type="gramEnd"/>
    </w:p>
    <w:p w14:paraId="3D5B9FD1" w14:textId="77777777" w:rsidR="004C127E" w:rsidRPr="000E5786" w:rsidRDefault="004C127E" w:rsidP="00DD60F0">
      <w:pPr>
        <w:keepNext/>
        <w:pBdr>
          <w:top w:val="nil"/>
          <w:left w:val="nil"/>
          <w:bottom w:val="nil"/>
          <w:right w:val="nil"/>
          <w:between w:val="nil"/>
        </w:pBdr>
        <w:jc w:val="center"/>
        <w:rPr>
          <w:rFonts w:cs="Arial"/>
          <w:b/>
          <w:szCs w:val="20"/>
        </w:rPr>
      </w:pPr>
      <w:r w:rsidRPr="000E5786">
        <w:rPr>
          <w:rFonts w:cs="Arial"/>
          <w:b/>
          <w:szCs w:val="20"/>
        </w:rPr>
        <w:t>Dated: [</w:t>
      </w:r>
      <w:r w:rsidRPr="000E5786">
        <w:rPr>
          <w:rFonts w:cs="Arial"/>
          <w:b/>
          <w:szCs w:val="20"/>
          <w:highlight w:val="yellow"/>
        </w:rPr>
        <w:t>Insert</w:t>
      </w:r>
      <w:r w:rsidRPr="000E5786">
        <w:rPr>
          <w:rFonts w:cs="Arial"/>
          <w:b/>
          <w:szCs w:val="20"/>
        </w:rPr>
        <w:t>]</w:t>
      </w:r>
    </w:p>
    <w:p w14:paraId="78F39D81" w14:textId="41D74795" w:rsidR="004C127E" w:rsidRPr="000E5786" w:rsidRDefault="004C127E" w:rsidP="00DD60F0">
      <w:pPr>
        <w:keepNext/>
        <w:pBdr>
          <w:top w:val="nil"/>
          <w:left w:val="nil"/>
          <w:bottom w:val="nil"/>
          <w:right w:val="nil"/>
          <w:between w:val="nil"/>
        </w:pBdr>
        <w:rPr>
          <w:rFonts w:cs="Arial"/>
          <w:b/>
          <w:szCs w:val="20"/>
        </w:rPr>
      </w:pPr>
      <w:r w:rsidRPr="000E5786">
        <w:rPr>
          <w:rFonts w:cs="Arial"/>
          <w:b/>
          <w:szCs w:val="20"/>
        </w:rPr>
        <w:t>Project Sheet: 01</w:t>
      </w:r>
    </w:p>
    <w:tbl>
      <w:tblPr>
        <w:tblW w:w="9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2325"/>
        <w:gridCol w:w="4782"/>
      </w:tblGrid>
      <w:tr w:rsidR="004C127E" w:rsidRPr="000E5786" w14:paraId="5E6C28E6" w14:textId="77777777">
        <w:trPr>
          <w:trHeight w:val="260"/>
        </w:trPr>
        <w:tc>
          <w:tcPr>
            <w:tcW w:w="2280" w:type="dxa"/>
            <w:shd w:val="clear" w:color="auto" w:fill="C0C0C0"/>
            <w:vAlign w:val="center"/>
          </w:tcPr>
          <w:p w14:paraId="34EE55F9" w14:textId="47AD5953" w:rsidR="004C127E" w:rsidRPr="000E5786" w:rsidRDefault="001F1C19" w:rsidP="00E538A1">
            <w:pPr>
              <w:numPr>
                <w:ilvl w:val="0"/>
                <w:numId w:val="12"/>
              </w:numPr>
              <w:ind w:left="311" w:hanging="311"/>
              <w:rPr>
                <w:rFonts w:cs="Arial"/>
                <w:b/>
                <w:szCs w:val="20"/>
              </w:rPr>
            </w:pPr>
            <w:proofErr w:type="spellStart"/>
            <w:r>
              <w:rPr>
                <w:rFonts w:cs="Arial"/>
                <w:b/>
                <w:szCs w:val="20"/>
              </w:rPr>
              <w:t>Netlink</w:t>
            </w:r>
            <w:proofErr w:type="spellEnd"/>
            <w:r>
              <w:rPr>
                <w:rFonts w:cs="Arial"/>
                <w:b/>
                <w:szCs w:val="20"/>
              </w:rPr>
              <w:t xml:space="preserve"> Star</w:t>
            </w:r>
            <w:r w:rsidR="004C127E" w:rsidRPr="000E5786">
              <w:rPr>
                <w:rFonts w:cs="Arial"/>
                <w:b/>
                <w:szCs w:val="20"/>
              </w:rPr>
              <w:t>:</w:t>
            </w:r>
          </w:p>
        </w:tc>
        <w:tc>
          <w:tcPr>
            <w:tcW w:w="7107" w:type="dxa"/>
            <w:gridSpan w:val="2"/>
            <w:vAlign w:val="center"/>
          </w:tcPr>
          <w:p w14:paraId="366511E4" w14:textId="00FDD5A4" w:rsidR="004C127E" w:rsidRPr="000E5786" w:rsidRDefault="001F1C19" w:rsidP="00C3397C">
            <w:pPr>
              <w:ind w:left="11" w:hanging="11"/>
              <w:rPr>
                <w:rFonts w:cs="Arial"/>
                <w:szCs w:val="20"/>
              </w:rPr>
            </w:pPr>
            <w:r>
              <w:rPr>
                <w:rFonts w:cs="Arial"/>
                <w:b/>
                <w:bCs/>
                <w:szCs w:val="20"/>
              </w:rPr>
              <w:t>NETLINK STAR</w:t>
            </w:r>
            <w:r w:rsidR="004C127E" w:rsidRPr="00C3397C">
              <w:rPr>
                <w:rFonts w:cs="Arial"/>
                <w:b/>
                <w:bCs/>
                <w:szCs w:val="20"/>
              </w:rPr>
              <w:t xml:space="preserve"> INFRASTRUCTURE LIMITED</w:t>
            </w:r>
            <w:r w:rsidR="004C127E" w:rsidRPr="000E5786">
              <w:rPr>
                <w:rFonts w:cs="Arial"/>
                <w:szCs w:val="20"/>
              </w:rPr>
              <w:t xml:space="preserve"> a company registered in England and Wales under company number 0</w:t>
            </w:r>
            <w:r w:rsidR="00916458">
              <w:rPr>
                <w:rFonts w:cs="Arial"/>
                <w:szCs w:val="20"/>
              </w:rPr>
              <w:t>9666661</w:t>
            </w:r>
            <w:r w:rsidR="004C127E" w:rsidRPr="000E5786">
              <w:rPr>
                <w:rFonts w:cs="Arial"/>
                <w:szCs w:val="20"/>
              </w:rPr>
              <w:t xml:space="preserve"> whose registered office is at 1 </w:t>
            </w:r>
            <w:r w:rsidR="00BA32BB">
              <w:rPr>
                <w:rFonts w:cs="Arial"/>
                <w:szCs w:val="20"/>
              </w:rPr>
              <w:t>Elysian</w:t>
            </w:r>
            <w:r w:rsidR="004C127E" w:rsidRPr="000E5786">
              <w:rPr>
                <w:rFonts w:cs="Arial"/>
                <w:szCs w:val="20"/>
              </w:rPr>
              <w:t xml:space="preserve"> Street, London </w:t>
            </w:r>
            <w:r w:rsidR="00BA32BB">
              <w:rPr>
                <w:rFonts w:cs="Arial"/>
                <w:szCs w:val="20"/>
              </w:rPr>
              <w:t>EE7</w:t>
            </w:r>
            <w:r w:rsidR="004C127E" w:rsidRPr="000E5786">
              <w:rPr>
                <w:rFonts w:cs="Arial"/>
                <w:szCs w:val="20"/>
              </w:rPr>
              <w:t xml:space="preserve"> 2DN </w:t>
            </w:r>
          </w:p>
        </w:tc>
      </w:tr>
      <w:tr w:rsidR="004C127E" w:rsidRPr="000E5786" w14:paraId="27282438" w14:textId="77777777">
        <w:trPr>
          <w:trHeight w:val="260"/>
        </w:trPr>
        <w:tc>
          <w:tcPr>
            <w:tcW w:w="2280" w:type="dxa"/>
            <w:shd w:val="clear" w:color="auto" w:fill="C0C0C0"/>
            <w:vAlign w:val="center"/>
          </w:tcPr>
          <w:p w14:paraId="7669EDEC" w14:textId="77777777" w:rsidR="004C127E" w:rsidRPr="000E5786" w:rsidRDefault="004C127E" w:rsidP="00E538A1">
            <w:pPr>
              <w:numPr>
                <w:ilvl w:val="0"/>
                <w:numId w:val="12"/>
              </w:numPr>
              <w:ind w:left="311" w:hanging="311"/>
              <w:rPr>
                <w:rFonts w:cs="Arial"/>
                <w:b/>
                <w:szCs w:val="20"/>
              </w:rPr>
            </w:pPr>
            <w:r w:rsidRPr="000E5786">
              <w:rPr>
                <w:rFonts w:cs="Arial"/>
                <w:b/>
                <w:szCs w:val="20"/>
              </w:rPr>
              <w:t>Supplier:</w:t>
            </w:r>
          </w:p>
        </w:tc>
        <w:tc>
          <w:tcPr>
            <w:tcW w:w="7107" w:type="dxa"/>
            <w:gridSpan w:val="2"/>
            <w:vAlign w:val="center"/>
          </w:tcPr>
          <w:p w14:paraId="58D965ED" w14:textId="2EA0C296" w:rsidR="004C127E" w:rsidRPr="000E5786" w:rsidRDefault="000159CE" w:rsidP="00C3397C">
            <w:pPr>
              <w:ind w:left="11" w:hanging="11"/>
              <w:rPr>
                <w:rFonts w:cs="Arial"/>
                <w:szCs w:val="20"/>
              </w:rPr>
            </w:pPr>
            <w:r>
              <w:rPr>
                <w:rFonts w:cs="Arial"/>
                <w:b/>
                <w:bCs/>
                <w:szCs w:val="20"/>
              </w:rPr>
              <w:t>QUROSERV</w:t>
            </w:r>
            <w:r w:rsidR="00C3397C" w:rsidRPr="00C3397C">
              <w:rPr>
                <w:rFonts w:cs="Arial"/>
                <w:b/>
                <w:bCs/>
                <w:szCs w:val="20"/>
              </w:rPr>
              <w:t xml:space="preserve"> UK PLC</w:t>
            </w:r>
            <w:r w:rsidR="00C3397C" w:rsidRPr="000E5786">
              <w:rPr>
                <w:rFonts w:cs="Arial"/>
                <w:szCs w:val="20"/>
              </w:rPr>
              <w:t xml:space="preserve"> </w:t>
            </w:r>
            <w:r w:rsidR="004C127E" w:rsidRPr="000E5786">
              <w:rPr>
                <w:rFonts w:cs="Arial"/>
                <w:szCs w:val="20"/>
              </w:rPr>
              <w:t xml:space="preserve">a company registered in </w:t>
            </w:r>
            <w:r w:rsidR="00603831" w:rsidRPr="000E5786">
              <w:rPr>
                <w:rFonts w:cs="Arial"/>
                <w:szCs w:val="20"/>
              </w:rPr>
              <w:t xml:space="preserve">England and </w:t>
            </w:r>
            <w:proofErr w:type="gramStart"/>
            <w:r w:rsidR="00603831" w:rsidRPr="000E5786">
              <w:rPr>
                <w:rFonts w:cs="Arial"/>
                <w:szCs w:val="20"/>
              </w:rPr>
              <w:t xml:space="preserve">Wales </w:t>
            </w:r>
            <w:r w:rsidR="004C127E" w:rsidRPr="000E5786">
              <w:rPr>
                <w:rFonts w:cs="Arial"/>
                <w:szCs w:val="20"/>
              </w:rPr>
              <w:t xml:space="preserve"> under</w:t>
            </w:r>
            <w:proofErr w:type="gramEnd"/>
            <w:r w:rsidR="004C127E" w:rsidRPr="000E5786">
              <w:rPr>
                <w:rFonts w:cs="Arial"/>
                <w:szCs w:val="20"/>
              </w:rPr>
              <w:t xml:space="preserve"> company number </w:t>
            </w:r>
            <w:r w:rsidR="00603831" w:rsidRPr="000E5786">
              <w:rPr>
                <w:rFonts w:cs="Arial"/>
                <w:szCs w:val="20"/>
              </w:rPr>
              <w:t>9</w:t>
            </w:r>
            <w:r w:rsidR="00300CBA">
              <w:rPr>
                <w:rFonts w:cs="Arial"/>
                <w:szCs w:val="20"/>
              </w:rPr>
              <w:t>7777</w:t>
            </w:r>
            <w:r w:rsidR="00603831" w:rsidRPr="000E5786">
              <w:rPr>
                <w:rFonts w:cs="Arial"/>
                <w:szCs w:val="20"/>
              </w:rPr>
              <w:t>935</w:t>
            </w:r>
            <w:r w:rsidR="004C127E" w:rsidRPr="000E5786">
              <w:rPr>
                <w:rFonts w:cs="Arial"/>
                <w:szCs w:val="20"/>
              </w:rPr>
              <w:t xml:space="preserve"> whose registered office is at</w:t>
            </w:r>
            <w:r w:rsidR="00603831" w:rsidRPr="000E5786">
              <w:rPr>
                <w:rFonts w:cs="Arial"/>
                <w:szCs w:val="20"/>
              </w:rPr>
              <w:t xml:space="preserve"> </w:t>
            </w:r>
            <w:proofErr w:type="spellStart"/>
            <w:r w:rsidR="00BA32BB">
              <w:rPr>
                <w:rFonts w:cs="Arial"/>
                <w:szCs w:val="20"/>
              </w:rPr>
              <w:t>Blotten</w:t>
            </w:r>
            <w:proofErr w:type="spellEnd"/>
            <w:r w:rsidR="00BA32BB">
              <w:rPr>
                <w:rFonts w:cs="Arial"/>
                <w:szCs w:val="20"/>
              </w:rPr>
              <w:t xml:space="preserve"> Vu</w:t>
            </w:r>
            <w:r w:rsidR="00603831" w:rsidRPr="000E5786">
              <w:rPr>
                <w:rFonts w:cs="Arial"/>
                <w:szCs w:val="20"/>
              </w:rPr>
              <w:t xml:space="preserve">, Woking, Surrey, </w:t>
            </w:r>
            <w:r w:rsidR="00BA32BB">
              <w:rPr>
                <w:rFonts w:cs="Arial"/>
                <w:szCs w:val="20"/>
              </w:rPr>
              <w:t>KR98</w:t>
            </w:r>
            <w:r w:rsidR="00603831" w:rsidRPr="000E5786">
              <w:rPr>
                <w:rFonts w:cs="Arial"/>
                <w:szCs w:val="20"/>
              </w:rPr>
              <w:t xml:space="preserve"> 6DB</w:t>
            </w:r>
            <w:r w:rsidR="004C127E" w:rsidRPr="000E5786">
              <w:rPr>
                <w:rFonts w:cs="Arial"/>
                <w:szCs w:val="20"/>
              </w:rPr>
              <w:t xml:space="preserve"> </w:t>
            </w:r>
          </w:p>
        </w:tc>
      </w:tr>
      <w:tr w:rsidR="004C127E" w:rsidRPr="000E5786" w14:paraId="6679FD6E" w14:textId="77777777">
        <w:trPr>
          <w:trHeight w:val="260"/>
        </w:trPr>
        <w:tc>
          <w:tcPr>
            <w:tcW w:w="2280" w:type="dxa"/>
            <w:shd w:val="clear" w:color="auto" w:fill="C0C0C0"/>
            <w:vAlign w:val="center"/>
          </w:tcPr>
          <w:p w14:paraId="4A023A21" w14:textId="77777777" w:rsidR="004C127E" w:rsidRPr="000E5786" w:rsidRDefault="004C127E" w:rsidP="00E538A1">
            <w:pPr>
              <w:numPr>
                <w:ilvl w:val="0"/>
                <w:numId w:val="12"/>
              </w:numPr>
              <w:ind w:left="311" w:hanging="311"/>
              <w:rPr>
                <w:rFonts w:cs="Arial"/>
                <w:b/>
                <w:szCs w:val="20"/>
              </w:rPr>
            </w:pPr>
            <w:r w:rsidRPr="000E5786">
              <w:rPr>
                <w:rFonts w:cs="Arial"/>
                <w:b/>
                <w:szCs w:val="20"/>
              </w:rPr>
              <w:t>Terms:</w:t>
            </w:r>
          </w:p>
        </w:tc>
        <w:tc>
          <w:tcPr>
            <w:tcW w:w="7107" w:type="dxa"/>
            <w:gridSpan w:val="2"/>
            <w:vAlign w:val="center"/>
          </w:tcPr>
          <w:p w14:paraId="527CF042" w14:textId="5B283D8B" w:rsidR="004C127E" w:rsidRPr="000E5786" w:rsidRDefault="004C127E" w:rsidP="00C3397C">
            <w:pPr>
              <w:pBdr>
                <w:top w:val="nil"/>
                <w:left w:val="nil"/>
                <w:bottom w:val="nil"/>
                <w:right w:val="nil"/>
                <w:between w:val="nil"/>
              </w:pBdr>
              <w:ind w:left="0" w:firstLine="0"/>
              <w:rPr>
                <w:rFonts w:cs="Arial"/>
                <w:szCs w:val="20"/>
              </w:rPr>
            </w:pPr>
            <w:r w:rsidRPr="000E5786">
              <w:rPr>
                <w:rFonts w:cs="Arial"/>
                <w:szCs w:val="20"/>
              </w:rPr>
              <w:t xml:space="preserve">This Project Sheet is an agreement between Supplier and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and incorporates, by reference, all the terms and conditions contained in the [</w:t>
            </w:r>
            <w:r w:rsidRPr="000E5786">
              <w:rPr>
                <w:rFonts w:cs="Arial"/>
                <w:szCs w:val="20"/>
                <w:highlight w:val="yellow"/>
              </w:rPr>
              <w:t>Data Centre Transition Migrate &amp; Operate Services</w:t>
            </w:r>
            <w:r w:rsidRPr="000E5786">
              <w:rPr>
                <w:rFonts w:cs="Arial"/>
                <w:szCs w:val="20"/>
              </w:rPr>
              <w:t xml:space="preserve">] Agreement </w:t>
            </w:r>
            <w:proofErr w:type="gramStart"/>
            <w:r w:rsidRPr="000E5786">
              <w:rPr>
                <w:rFonts w:cs="Arial"/>
                <w:szCs w:val="20"/>
              </w:rPr>
              <w:t>entered into</w:t>
            </w:r>
            <w:proofErr w:type="gramEnd"/>
            <w:r w:rsidRPr="000E5786">
              <w:rPr>
                <w:rFonts w:cs="Arial"/>
                <w:szCs w:val="20"/>
              </w:rPr>
              <w:t xml:space="preserve"> between the Parties dated [</w:t>
            </w:r>
            <w:r w:rsidRPr="000E5786">
              <w:rPr>
                <w:rFonts w:cs="Arial"/>
                <w:szCs w:val="20"/>
                <w:highlight w:val="yellow"/>
              </w:rPr>
              <w:t>insert date</w:t>
            </w:r>
            <w:r w:rsidRPr="000E5786">
              <w:rPr>
                <w:rFonts w:cs="Arial"/>
                <w:szCs w:val="20"/>
              </w:rPr>
              <w:t xml:space="preserve">] </w:t>
            </w:r>
            <w:r w:rsidR="00C3397C">
              <w:rPr>
                <w:rFonts w:cs="Arial"/>
                <w:szCs w:val="20"/>
              </w:rPr>
              <w:t>(</w:t>
            </w:r>
            <w:r w:rsidRPr="000E5786">
              <w:rPr>
                <w:rFonts w:cs="Arial"/>
                <w:szCs w:val="20"/>
              </w:rPr>
              <w:t>“</w:t>
            </w:r>
            <w:r w:rsidRPr="00C3397C">
              <w:rPr>
                <w:rFonts w:cs="Arial"/>
                <w:b/>
                <w:bCs/>
                <w:szCs w:val="20"/>
              </w:rPr>
              <w:t>Agreement</w:t>
            </w:r>
            <w:r w:rsidRPr="000E5786">
              <w:rPr>
                <w:rFonts w:cs="Arial"/>
                <w:szCs w:val="20"/>
              </w:rPr>
              <w:t>”</w:t>
            </w:r>
            <w:r w:rsidR="00C3397C">
              <w:rPr>
                <w:rFonts w:cs="Arial"/>
                <w:szCs w:val="20"/>
              </w:rPr>
              <w:t>)</w:t>
            </w:r>
            <w:r w:rsidRPr="000E5786">
              <w:rPr>
                <w:rFonts w:cs="Arial"/>
                <w:szCs w:val="20"/>
              </w:rPr>
              <w:t xml:space="preserve">. </w:t>
            </w:r>
          </w:p>
          <w:p w14:paraId="1E19FFE0" w14:textId="77777777" w:rsidR="004C127E" w:rsidRPr="000E5786" w:rsidRDefault="004C127E" w:rsidP="00C3397C">
            <w:pPr>
              <w:pBdr>
                <w:top w:val="nil"/>
                <w:left w:val="nil"/>
                <w:bottom w:val="nil"/>
                <w:right w:val="nil"/>
                <w:between w:val="nil"/>
              </w:pBdr>
              <w:ind w:left="11" w:hanging="11"/>
              <w:rPr>
                <w:rFonts w:cs="Arial"/>
                <w:b/>
                <w:szCs w:val="20"/>
              </w:rPr>
            </w:pPr>
            <w:r w:rsidRPr="000E5786">
              <w:rPr>
                <w:rFonts w:cs="Arial"/>
                <w:szCs w:val="20"/>
              </w:rPr>
              <w:t>Unless separately defined in this Project Sheet, the defined terms used in this Project Sheet will have the same meanings as the defined terms in the Agreement.</w:t>
            </w:r>
          </w:p>
        </w:tc>
      </w:tr>
      <w:tr w:rsidR="004C127E" w:rsidRPr="000E5786" w14:paraId="1A394D55" w14:textId="77777777">
        <w:trPr>
          <w:trHeight w:val="260"/>
        </w:trPr>
        <w:tc>
          <w:tcPr>
            <w:tcW w:w="2280" w:type="dxa"/>
            <w:shd w:val="clear" w:color="auto" w:fill="C0C0C0"/>
            <w:vAlign w:val="center"/>
          </w:tcPr>
          <w:p w14:paraId="70FC429E" w14:textId="77777777" w:rsidR="004C127E" w:rsidRPr="000E5786" w:rsidRDefault="004C127E" w:rsidP="00E538A1">
            <w:pPr>
              <w:numPr>
                <w:ilvl w:val="0"/>
                <w:numId w:val="12"/>
              </w:numPr>
              <w:ind w:left="311" w:hanging="311"/>
              <w:rPr>
                <w:rFonts w:cs="Arial"/>
                <w:b/>
                <w:szCs w:val="20"/>
              </w:rPr>
            </w:pPr>
            <w:r w:rsidRPr="000E5786">
              <w:rPr>
                <w:rFonts w:cs="Arial"/>
                <w:b/>
                <w:szCs w:val="20"/>
              </w:rPr>
              <w:t>Project Services Commencement Date:</w:t>
            </w:r>
          </w:p>
        </w:tc>
        <w:tc>
          <w:tcPr>
            <w:tcW w:w="7107" w:type="dxa"/>
            <w:gridSpan w:val="2"/>
            <w:vAlign w:val="center"/>
          </w:tcPr>
          <w:p w14:paraId="1894A98D" w14:textId="77777777" w:rsidR="004C127E" w:rsidRPr="000E5786" w:rsidRDefault="004C127E" w:rsidP="00DD60F0">
            <w:pPr>
              <w:rPr>
                <w:rFonts w:cs="Arial"/>
                <w:szCs w:val="20"/>
              </w:rPr>
            </w:pPr>
            <w:r w:rsidRPr="000E5786">
              <w:rPr>
                <w:rFonts w:cs="Arial"/>
                <w:szCs w:val="20"/>
              </w:rPr>
              <w:t>The Project Services commence on [</w:t>
            </w:r>
            <w:r w:rsidRPr="000E5786">
              <w:rPr>
                <w:rFonts w:cs="Arial"/>
                <w:szCs w:val="20"/>
                <w:highlight w:val="yellow"/>
              </w:rPr>
              <w:t>insert date</w:t>
            </w:r>
            <w:r w:rsidRPr="000E5786">
              <w:rPr>
                <w:rFonts w:cs="Arial"/>
                <w:szCs w:val="20"/>
              </w:rPr>
              <w:t>].</w:t>
            </w:r>
          </w:p>
        </w:tc>
      </w:tr>
      <w:tr w:rsidR="004C127E" w:rsidRPr="000E5786" w14:paraId="6E084D34" w14:textId="77777777">
        <w:trPr>
          <w:trHeight w:val="260"/>
        </w:trPr>
        <w:tc>
          <w:tcPr>
            <w:tcW w:w="2280" w:type="dxa"/>
            <w:shd w:val="clear" w:color="auto" w:fill="C0C0C0"/>
            <w:vAlign w:val="center"/>
          </w:tcPr>
          <w:p w14:paraId="235877D1" w14:textId="77777777" w:rsidR="004C127E" w:rsidRPr="000E5786" w:rsidRDefault="004C127E" w:rsidP="00E538A1">
            <w:pPr>
              <w:numPr>
                <w:ilvl w:val="0"/>
                <w:numId w:val="12"/>
              </w:numPr>
              <w:ind w:left="311" w:hanging="311"/>
              <w:rPr>
                <w:rFonts w:cs="Arial"/>
                <w:b/>
                <w:szCs w:val="20"/>
              </w:rPr>
            </w:pPr>
            <w:r w:rsidRPr="000E5786">
              <w:rPr>
                <w:rFonts w:cs="Arial"/>
                <w:b/>
                <w:szCs w:val="20"/>
              </w:rPr>
              <w:t>Duration:</w:t>
            </w:r>
          </w:p>
        </w:tc>
        <w:tc>
          <w:tcPr>
            <w:tcW w:w="7107" w:type="dxa"/>
            <w:gridSpan w:val="2"/>
            <w:vAlign w:val="center"/>
          </w:tcPr>
          <w:p w14:paraId="13F960C6" w14:textId="77777777" w:rsidR="004C127E" w:rsidRPr="000E5786" w:rsidRDefault="004C127E" w:rsidP="00DD60F0">
            <w:pPr>
              <w:rPr>
                <w:rFonts w:cs="Arial"/>
                <w:szCs w:val="20"/>
              </w:rPr>
            </w:pPr>
            <w:r w:rsidRPr="000E5786">
              <w:rPr>
                <w:rFonts w:cs="Arial"/>
                <w:szCs w:val="20"/>
                <w:highlight w:val="yellow"/>
              </w:rPr>
              <w:t xml:space="preserve">[X] [weeks][months] </w:t>
            </w:r>
            <w:r w:rsidRPr="000E5786">
              <w:rPr>
                <w:rFonts w:cs="Arial"/>
                <w:szCs w:val="20"/>
              </w:rPr>
              <w:t>from the Project Services Commencement Date.</w:t>
            </w:r>
          </w:p>
          <w:p w14:paraId="61024938" w14:textId="77777777" w:rsidR="004C127E" w:rsidRPr="000E5786" w:rsidRDefault="004C127E" w:rsidP="00DD60F0">
            <w:pPr>
              <w:rPr>
                <w:rFonts w:cs="Arial"/>
                <w:szCs w:val="20"/>
                <w:highlight w:val="yellow"/>
              </w:rPr>
            </w:pPr>
            <w:r w:rsidRPr="000E5786">
              <w:rPr>
                <w:rFonts w:cs="Arial"/>
                <w:szCs w:val="20"/>
                <w:highlight w:val="yellow"/>
              </w:rPr>
              <w:t>OR</w:t>
            </w:r>
          </w:p>
          <w:p w14:paraId="2FBFD983" w14:textId="77777777" w:rsidR="004C127E" w:rsidRPr="000E5786" w:rsidRDefault="004C127E" w:rsidP="00DD60F0">
            <w:pPr>
              <w:rPr>
                <w:rFonts w:cs="Arial"/>
                <w:szCs w:val="20"/>
              </w:rPr>
            </w:pPr>
            <w:r w:rsidRPr="000E5786">
              <w:rPr>
                <w:rFonts w:cs="Arial"/>
                <w:szCs w:val="20"/>
                <w:highlight w:val="yellow"/>
              </w:rPr>
              <w:t>[Ending on [date]]</w:t>
            </w:r>
          </w:p>
        </w:tc>
      </w:tr>
      <w:tr w:rsidR="004C127E" w:rsidRPr="000E5786" w14:paraId="600824E6" w14:textId="77777777">
        <w:trPr>
          <w:trHeight w:val="260"/>
        </w:trPr>
        <w:tc>
          <w:tcPr>
            <w:tcW w:w="2280" w:type="dxa"/>
            <w:shd w:val="clear" w:color="auto" w:fill="C0C0C0"/>
            <w:vAlign w:val="center"/>
          </w:tcPr>
          <w:p w14:paraId="4F86C331" w14:textId="77777777" w:rsidR="004C127E" w:rsidRPr="000E5786" w:rsidRDefault="004C127E" w:rsidP="00E538A1">
            <w:pPr>
              <w:numPr>
                <w:ilvl w:val="0"/>
                <w:numId w:val="12"/>
              </w:numPr>
              <w:ind w:left="311" w:hanging="311"/>
              <w:rPr>
                <w:rFonts w:cs="Arial"/>
                <w:b/>
                <w:szCs w:val="20"/>
              </w:rPr>
            </w:pPr>
            <w:r w:rsidRPr="000E5786">
              <w:rPr>
                <w:rFonts w:cs="Arial"/>
                <w:b/>
                <w:szCs w:val="20"/>
              </w:rPr>
              <w:t>Project:</w:t>
            </w:r>
          </w:p>
        </w:tc>
        <w:tc>
          <w:tcPr>
            <w:tcW w:w="7107" w:type="dxa"/>
            <w:gridSpan w:val="2"/>
            <w:vAlign w:val="center"/>
          </w:tcPr>
          <w:p w14:paraId="7FFB2004" w14:textId="77777777" w:rsidR="004C127E" w:rsidRPr="000E5786" w:rsidRDefault="004C127E" w:rsidP="00DD60F0">
            <w:pPr>
              <w:rPr>
                <w:rFonts w:cs="Arial"/>
                <w:szCs w:val="20"/>
              </w:rPr>
            </w:pPr>
            <w:r w:rsidRPr="000E5786">
              <w:rPr>
                <w:rFonts w:cs="Arial"/>
                <w:szCs w:val="20"/>
                <w:highlight w:val="yellow"/>
              </w:rPr>
              <w:t>[Insert]</w:t>
            </w:r>
          </w:p>
        </w:tc>
      </w:tr>
      <w:tr w:rsidR="004C127E" w:rsidRPr="000E5786" w14:paraId="7319C4C1" w14:textId="77777777">
        <w:trPr>
          <w:trHeight w:val="260"/>
        </w:trPr>
        <w:tc>
          <w:tcPr>
            <w:tcW w:w="2280" w:type="dxa"/>
            <w:shd w:val="clear" w:color="auto" w:fill="C0C0C0"/>
            <w:vAlign w:val="center"/>
          </w:tcPr>
          <w:p w14:paraId="337C77AD" w14:textId="77777777" w:rsidR="004C127E" w:rsidRPr="000E5786" w:rsidRDefault="004C127E" w:rsidP="00E538A1">
            <w:pPr>
              <w:numPr>
                <w:ilvl w:val="0"/>
                <w:numId w:val="12"/>
              </w:numPr>
              <w:ind w:left="311" w:hanging="311"/>
              <w:rPr>
                <w:rFonts w:cs="Arial"/>
                <w:b/>
                <w:szCs w:val="20"/>
              </w:rPr>
            </w:pPr>
            <w:r w:rsidRPr="000E5786">
              <w:rPr>
                <w:rFonts w:cs="Arial"/>
                <w:b/>
                <w:szCs w:val="20"/>
              </w:rPr>
              <w:t>Representatives:</w:t>
            </w:r>
          </w:p>
        </w:tc>
        <w:tc>
          <w:tcPr>
            <w:tcW w:w="7107" w:type="dxa"/>
            <w:gridSpan w:val="2"/>
            <w:vAlign w:val="center"/>
          </w:tcPr>
          <w:p w14:paraId="490805CF" w14:textId="77777777" w:rsidR="004C127E" w:rsidRPr="000E5786" w:rsidRDefault="004C127E" w:rsidP="00DD60F0">
            <w:pPr>
              <w:pBdr>
                <w:top w:val="nil"/>
                <w:left w:val="nil"/>
                <w:bottom w:val="nil"/>
                <w:right w:val="nil"/>
                <w:between w:val="nil"/>
              </w:pBdr>
              <w:rPr>
                <w:rFonts w:cs="Arial"/>
                <w:b/>
                <w:szCs w:val="20"/>
              </w:rPr>
            </w:pPr>
            <w:r w:rsidRPr="000E5786">
              <w:rPr>
                <w:rFonts w:cs="Arial"/>
                <w:b/>
                <w:szCs w:val="20"/>
              </w:rPr>
              <w:t>Supplier:</w:t>
            </w:r>
          </w:p>
          <w:p w14:paraId="53D3A77F" w14:textId="3284625D" w:rsidR="004C127E" w:rsidRPr="00C3397C" w:rsidRDefault="00C3397C" w:rsidP="00DD60F0">
            <w:pPr>
              <w:pBdr>
                <w:top w:val="nil"/>
                <w:left w:val="nil"/>
                <w:bottom w:val="nil"/>
                <w:right w:val="nil"/>
                <w:between w:val="nil"/>
              </w:pBdr>
              <w:rPr>
                <w:rFonts w:cs="Arial"/>
                <w:bCs/>
                <w:szCs w:val="20"/>
              </w:rPr>
            </w:pPr>
            <w:r>
              <w:rPr>
                <w:rFonts w:cs="Arial"/>
                <w:bCs/>
                <w:szCs w:val="20"/>
              </w:rPr>
              <w:t>[</w:t>
            </w:r>
            <w:r w:rsidR="004C127E" w:rsidRPr="00C3397C">
              <w:rPr>
                <w:rFonts w:cs="Arial"/>
                <w:bCs/>
                <w:szCs w:val="20"/>
                <w:highlight w:val="yellow"/>
              </w:rPr>
              <w:t>Name, title, Contact details</w:t>
            </w:r>
            <w:r>
              <w:rPr>
                <w:rFonts w:cs="Arial"/>
                <w:bCs/>
                <w:szCs w:val="20"/>
              </w:rPr>
              <w:t>]</w:t>
            </w:r>
          </w:p>
          <w:p w14:paraId="79CD900B" w14:textId="31CDD490" w:rsidR="004C127E" w:rsidRPr="000E5786" w:rsidRDefault="001F1C19" w:rsidP="00DD60F0">
            <w:pPr>
              <w:pBdr>
                <w:top w:val="nil"/>
                <w:left w:val="nil"/>
                <w:bottom w:val="nil"/>
                <w:right w:val="nil"/>
                <w:between w:val="nil"/>
              </w:pBdr>
              <w:rPr>
                <w:rFonts w:cs="Arial"/>
                <w:b/>
                <w:szCs w:val="20"/>
              </w:rPr>
            </w:pPr>
            <w:proofErr w:type="spellStart"/>
            <w:r>
              <w:rPr>
                <w:rFonts w:cs="Arial"/>
                <w:b/>
                <w:szCs w:val="20"/>
              </w:rPr>
              <w:t>Netlink</w:t>
            </w:r>
            <w:proofErr w:type="spellEnd"/>
            <w:r>
              <w:rPr>
                <w:rFonts w:cs="Arial"/>
                <w:b/>
                <w:szCs w:val="20"/>
              </w:rPr>
              <w:t xml:space="preserve"> Star</w:t>
            </w:r>
            <w:r w:rsidR="004C127E" w:rsidRPr="000E5786">
              <w:rPr>
                <w:rFonts w:cs="Arial"/>
                <w:b/>
                <w:szCs w:val="20"/>
              </w:rPr>
              <w:t>:</w:t>
            </w:r>
          </w:p>
          <w:p w14:paraId="5E1BFF30" w14:textId="40254C64" w:rsidR="004C127E" w:rsidRPr="00C3397C" w:rsidRDefault="00C3397C" w:rsidP="00DD60F0">
            <w:pPr>
              <w:pBdr>
                <w:top w:val="nil"/>
                <w:left w:val="nil"/>
                <w:bottom w:val="nil"/>
                <w:right w:val="nil"/>
                <w:between w:val="nil"/>
              </w:pBdr>
              <w:rPr>
                <w:rFonts w:cs="Arial"/>
                <w:bCs/>
                <w:szCs w:val="20"/>
              </w:rPr>
            </w:pPr>
            <w:r>
              <w:rPr>
                <w:rFonts w:cs="Arial"/>
                <w:bCs/>
                <w:szCs w:val="20"/>
              </w:rPr>
              <w:t>[</w:t>
            </w:r>
            <w:r w:rsidRPr="00C3397C">
              <w:rPr>
                <w:rFonts w:cs="Arial"/>
                <w:bCs/>
                <w:szCs w:val="20"/>
                <w:highlight w:val="yellow"/>
              </w:rPr>
              <w:t>N</w:t>
            </w:r>
            <w:r w:rsidR="004C127E" w:rsidRPr="00C3397C">
              <w:rPr>
                <w:rFonts w:cs="Arial"/>
                <w:bCs/>
                <w:szCs w:val="20"/>
                <w:highlight w:val="yellow"/>
              </w:rPr>
              <w:t>ame, Title, Contact details</w:t>
            </w:r>
            <w:r>
              <w:rPr>
                <w:rFonts w:cs="Arial"/>
                <w:bCs/>
                <w:szCs w:val="20"/>
              </w:rPr>
              <w:t>]</w:t>
            </w:r>
          </w:p>
        </w:tc>
      </w:tr>
      <w:tr w:rsidR="004C127E" w:rsidRPr="000E5786" w14:paraId="2F677A20" w14:textId="77777777">
        <w:trPr>
          <w:trHeight w:val="260"/>
        </w:trPr>
        <w:tc>
          <w:tcPr>
            <w:tcW w:w="2280" w:type="dxa"/>
            <w:shd w:val="clear" w:color="auto" w:fill="C0C0C0"/>
            <w:vAlign w:val="center"/>
          </w:tcPr>
          <w:p w14:paraId="3E9E04AB" w14:textId="77777777" w:rsidR="004C127E" w:rsidRPr="000E5786" w:rsidRDefault="004C127E" w:rsidP="00E538A1">
            <w:pPr>
              <w:numPr>
                <w:ilvl w:val="0"/>
                <w:numId w:val="12"/>
              </w:numPr>
              <w:ind w:left="311" w:hanging="311"/>
              <w:rPr>
                <w:rFonts w:cs="Arial"/>
                <w:b/>
                <w:szCs w:val="20"/>
              </w:rPr>
            </w:pPr>
            <w:bookmarkStart w:id="2289" w:name="_19c6y18" w:colFirst="0" w:colLast="0"/>
            <w:bookmarkEnd w:id="2289"/>
            <w:r w:rsidRPr="000E5786">
              <w:rPr>
                <w:rFonts w:cs="Arial"/>
                <w:b/>
                <w:szCs w:val="20"/>
              </w:rPr>
              <w:t>Project Services:</w:t>
            </w:r>
          </w:p>
        </w:tc>
        <w:tc>
          <w:tcPr>
            <w:tcW w:w="7107" w:type="dxa"/>
            <w:gridSpan w:val="2"/>
            <w:vAlign w:val="center"/>
          </w:tcPr>
          <w:p w14:paraId="4F25E4F8" w14:textId="77777777" w:rsidR="004C127E" w:rsidRPr="000E5786" w:rsidRDefault="004C127E" w:rsidP="00C3397C">
            <w:pPr>
              <w:ind w:left="436"/>
              <w:rPr>
                <w:rFonts w:cs="Arial"/>
                <w:szCs w:val="20"/>
              </w:rPr>
            </w:pPr>
            <w:r w:rsidRPr="000E5786">
              <w:rPr>
                <w:rFonts w:cs="Arial"/>
                <w:szCs w:val="20"/>
              </w:rPr>
              <w:t>Supplier shall:</w:t>
            </w:r>
          </w:p>
          <w:p w14:paraId="7BCDD78E" w14:textId="77777777" w:rsidR="004C127E" w:rsidRPr="000E5786" w:rsidRDefault="004C127E" w:rsidP="00E538A1">
            <w:pPr>
              <w:numPr>
                <w:ilvl w:val="0"/>
                <w:numId w:val="13"/>
              </w:numPr>
              <w:ind w:left="459" w:hanging="425"/>
              <w:rPr>
                <w:rFonts w:cs="Arial"/>
                <w:szCs w:val="20"/>
              </w:rPr>
            </w:pPr>
            <w:r w:rsidRPr="000E5786">
              <w:rPr>
                <w:rFonts w:cs="Arial"/>
                <w:szCs w:val="20"/>
              </w:rPr>
              <w:t>[</w:t>
            </w:r>
            <w:r w:rsidRPr="000E5786">
              <w:rPr>
                <w:rFonts w:cs="Arial"/>
                <w:szCs w:val="20"/>
                <w:highlight w:val="yellow"/>
              </w:rPr>
              <w:t>Insert detail of Project Services</w:t>
            </w:r>
            <w:r w:rsidRPr="000E5786">
              <w:rPr>
                <w:rFonts w:cs="Arial"/>
                <w:szCs w:val="20"/>
              </w:rPr>
              <w:t>]</w:t>
            </w:r>
          </w:p>
          <w:p w14:paraId="22D35E25" w14:textId="77777777" w:rsidR="004C127E" w:rsidRPr="000E5786" w:rsidRDefault="004C127E" w:rsidP="00DD60F0">
            <w:pPr>
              <w:ind w:left="459"/>
              <w:rPr>
                <w:rFonts w:cs="Arial"/>
                <w:szCs w:val="20"/>
              </w:rPr>
            </w:pPr>
          </w:p>
          <w:p w14:paraId="21CF7926" w14:textId="77777777" w:rsidR="004C127E" w:rsidRPr="000E5786" w:rsidRDefault="004C127E" w:rsidP="00DD60F0">
            <w:pPr>
              <w:ind w:left="34"/>
              <w:rPr>
                <w:rFonts w:cs="Arial"/>
                <w:szCs w:val="20"/>
              </w:rPr>
            </w:pPr>
          </w:p>
        </w:tc>
      </w:tr>
      <w:tr w:rsidR="004C127E" w:rsidRPr="000E5786" w14:paraId="7D0C7CE5" w14:textId="77777777">
        <w:trPr>
          <w:trHeight w:val="700"/>
        </w:trPr>
        <w:tc>
          <w:tcPr>
            <w:tcW w:w="2280" w:type="dxa"/>
            <w:shd w:val="clear" w:color="auto" w:fill="C0C0C0"/>
            <w:vAlign w:val="center"/>
          </w:tcPr>
          <w:p w14:paraId="2FC4F6DE" w14:textId="77777777" w:rsidR="004C127E" w:rsidRPr="000E5786" w:rsidRDefault="004C127E" w:rsidP="00E538A1">
            <w:pPr>
              <w:numPr>
                <w:ilvl w:val="0"/>
                <w:numId w:val="12"/>
              </w:numPr>
              <w:ind w:left="311" w:hanging="311"/>
              <w:rPr>
                <w:rFonts w:cs="Arial"/>
                <w:b/>
                <w:szCs w:val="20"/>
              </w:rPr>
            </w:pPr>
            <w:r w:rsidRPr="000E5786">
              <w:rPr>
                <w:rFonts w:cs="Arial"/>
                <w:b/>
                <w:szCs w:val="20"/>
              </w:rPr>
              <w:t>Deliverables:</w:t>
            </w:r>
          </w:p>
        </w:tc>
        <w:tc>
          <w:tcPr>
            <w:tcW w:w="7107" w:type="dxa"/>
            <w:gridSpan w:val="2"/>
            <w:shd w:val="clear" w:color="auto" w:fill="auto"/>
            <w:vAlign w:val="center"/>
          </w:tcPr>
          <w:p w14:paraId="323F62F0" w14:textId="71F06ABF" w:rsidR="004C127E" w:rsidRPr="000E5786" w:rsidRDefault="004C127E" w:rsidP="00DD60F0">
            <w:pPr>
              <w:rPr>
                <w:rFonts w:cs="Arial"/>
                <w:szCs w:val="20"/>
              </w:rPr>
            </w:pPr>
            <w:r w:rsidRPr="000E5786">
              <w:rPr>
                <w:rFonts w:cs="Arial"/>
                <w:szCs w:val="20"/>
              </w:rPr>
              <w:t xml:space="preserve">Supplier will be responsible </w:t>
            </w:r>
            <w:r w:rsidR="00C3397C">
              <w:rPr>
                <w:rFonts w:cs="Arial"/>
                <w:szCs w:val="20"/>
              </w:rPr>
              <w:t>for</w:t>
            </w:r>
            <w:r w:rsidR="00C3397C" w:rsidRPr="000E5786">
              <w:rPr>
                <w:rFonts w:cs="Arial"/>
                <w:szCs w:val="20"/>
              </w:rPr>
              <w:t xml:space="preserve"> </w:t>
            </w:r>
            <w:r w:rsidRPr="000E5786">
              <w:rPr>
                <w:rFonts w:cs="Arial"/>
                <w:szCs w:val="20"/>
              </w:rPr>
              <w:t>deliver</w:t>
            </w:r>
            <w:r w:rsidR="00C3397C">
              <w:rPr>
                <w:rFonts w:cs="Arial"/>
                <w:szCs w:val="20"/>
              </w:rPr>
              <w:t>ing</w:t>
            </w:r>
            <w:r w:rsidRPr="000E5786">
              <w:rPr>
                <w:rFonts w:cs="Arial"/>
                <w:szCs w:val="20"/>
              </w:rPr>
              <w:t xml:space="preserve"> the following outcomes:</w:t>
            </w:r>
          </w:p>
          <w:p w14:paraId="44C3652F" w14:textId="77777777" w:rsidR="004C127E" w:rsidRPr="000E5786" w:rsidRDefault="004C127E" w:rsidP="00E538A1">
            <w:pPr>
              <w:numPr>
                <w:ilvl w:val="0"/>
                <w:numId w:val="11"/>
              </w:numPr>
              <w:ind w:left="459" w:hanging="425"/>
              <w:rPr>
                <w:rFonts w:cs="Arial"/>
                <w:szCs w:val="20"/>
              </w:rPr>
            </w:pPr>
            <w:r w:rsidRPr="000E5786">
              <w:rPr>
                <w:rFonts w:cs="Arial"/>
                <w:szCs w:val="20"/>
              </w:rPr>
              <w:t>[</w:t>
            </w:r>
            <w:r w:rsidRPr="000E5786">
              <w:rPr>
                <w:rFonts w:cs="Arial"/>
                <w:szCs w:val="20"/>
                <w:highlight w:val="yellow"/>
              </w:rPr>
              <w:t>List of deliverables</w:t>
            </w:r>
            <w:r w:rsidRPr="000E5786">
              <w:rPr>
                <w:rFonts w:cs="Arial"/>
                <w:szCs w:val="20"/>
              </w:rPr>
              <w:t>]</w:t>
            </w:r>
          </w:p>
          <w:p w14:paraId="170D874E" w14:textId="77777777" w:rsidR="004C127E" w:rsidRPr="000E5786" w:rsidRDefault="004C127E" w:rsidP="00DD60F0">
            <w:pPr>
              <w:ind w:left="459"/>
              <w:rPr>
                <w:rFonts w:cs="Arial"/>
                <w:szCs w:val="20"/>
              </w:rPr>
            </w:pPr>
          </w:p>
        </w:tc>
      </w:tr>
      <w:tr w:rsidR="004C127E" w:rsidRPr="000E5786" w14:paraId="7F7E8B85" w14:textId="77777777">
        <w:trPr>
          <w:trHeight w:val="700"/>
        </w:trPr>
        <w:tc>
          <w:tcPr>
            <w:tcW w:w="2280" w:type="dxa"/>
            <w:shd w:val="clear" w:color="auto" w:fill="C0C0C0"/>
            <w:vAlign w:val="center"/>
          </w:tcPr>
          <w:p w14:paraId="63205AEB" w14:textId="77777777" w:rsidR="004C127E" w:rsidRPr="000E5786" w:rsidRDefault="004C127E" w:rsidP="00E538A1">
            <w:pPr>
              <w:numPr>
                <w:ilvl w:val="0"/>
                <w:numId w:val="12"/>
              </w:numPr>
              <w:ind w:left="311" w:hanging="311"/>
              <w:rPr>
                <w:rFonts w:cs="Arial"/>
                <w:b/>
                <w:szCs w:val="20"/>
              </w:rPr>
            </w:pPr>
            <w:r w:rsidRPr="000E5786">
              <w:rPr>
                <w:rFonts w:cs="Arial"/>
                <w:b/>
                <w:szCs w:val="20"/>
              </w:rPr>
              <w:t>Acceptance Criteria and Testing</w:t>
            </w:r>
          </w:p>
        </w:tc>
        <w:tc>
          <w:tcPr>
            <w:tcW w:w="7107" w:type="dxa"/>
            <w:gridSpan w:val="2"/>
            <w:shd w:val="clear" w:color="auto" w:fill="auto"/>
            <w:vAlign w:val="center"/>
          </w:tcPr>
          <w:p w14:paraId="6B4CE1C7" w14:textId="727ED28C" w:rsidR="004C127E" w:rsidRPr="000E5786" w:rsidRDefault="004C127E" w:rsidP="00C3397C">
            <w:pPr>
              <w:ind w:left="0" w:firstLine="0"/>
              <w:rPr>
                <w:rFonts w:cs="Arial"/>
                <w:szCs w:val="20"/>
              </w:rPr>
            </w:pPr>
            <w:r w:rsidRPr="000E5786">
              <w:rPr>
                <w:rFonts w:cs="Arial"/>
                <w:szCs w:val="20"/>
              </w:rPr>
              <w:t>[</w:t>
            </w:r>
            <w:r w:rsidRPr="000E5786">
              <w:rPr>
                <w:rFonts w:cs="Arial"/>
                <w:szCs w:val="20"/>
                <w:highlight w:val="yellow"/>
              </w:rPr>
              <w:t xml:space="preserve">set out the acceptance criteria applicable to any Deliverables and Services as well as the </w:t>
            </w:r>
            <w:r w:rsidR="00137BAA" w:rsidRPr="000E5786">
              <w:rPr>
                <w:rFonts w:cs="Arial"/>
                <w:szCs w:val="20"/>
                <w:highlight w:val="yellow"/>
              </w:rPr>
              <w:t xml:space="preserve">acceptance </w:t>
            </w:r>
            <w:r w:rsidRPr="000E5786">
              <w:rPr>
                <w:rFonts w:cs="Arial"/>
                <w:szCs w:val="20"/>
                <w:highlight w:val="yellow"/>
              </w:rPr>
              <w:t>Testing (and any other testing) to be carried out. State who will carry out the testing</w:t>
            </w:r>
            <w:r w:rsidRPr="000E5786">
              <w:rPr>
                <w:rFonts w:cs="Arial"/>
                <w:szCs w:val="20"/>
              </w:rPr>
              <w:t>]</w:t>
            </w:r>
          </w:p>
        </w:tc>
      </w:tr>
      <w:tr w:rsidR="004C127E" w:rsidRPr="000E5786" w14:paraId="319C367B" w14:textId="77777777">
        <w:trPr>
          <w:trHeight w:val="260"/>
        </w:trPr>
        <w:tc>
          <w:tcPr>
            <w:tcW w:w="2280" w:type="dxa"/>
            <w:shd w:val="clear" w:color="auto" w:fill="C0C0C0"/>
            <w:vAlign w:val="center"/>
          </w:tcPr>
          <w:p w14:paraId="34BB73D0" w14:textId="77777777" w:rsidR="004C127E" w:rsidRPr="000E5786" w:rsidRDefault="004C127E" w:rsidP="00E538A1">
            <w:pPr>
              <w:numPr>
                <w:ilvl w:val="0"/>
                <w:numId w:val="12"/>
              </w:numPr>
              <w:ind w:left="311" w:hanging="311"/>
              <w:rPr>
                <w:rFonts w:cs="Arial"/>
                <w:b/>
                <w:szCs w:val="20"/>
              </w:rPr>
            </w:pPr>
            <w:r w:rsidRPr="000E5786">
              <w:rPr>
                <w:rFonts w:cs="Arial"/>
                <w:b/>
                <w:szCs w:val="20"/>
              </w:rPr>
              <w:t>Assumptions:</w:t>
            </w:r>
          </w:p>
        </w:tc>
        <w:tc>
          <w:tcPr>
            <w:tcW w:w="7107" w:type="dxa"/>
            <w:gridSpan w:val="2"/>
            <w:vAlign w:val="center"/>
          </w:tcPr>
          <w:p w14:paraId="1656CE34" w14:textId="77777777" w:rsidR="004C127E" w:rsidRPr="000E5786" w:rsidRDefault="004C127E" w:rsidP="00C3397C">
            <w:pPr>
              <w:ind w:left="34" w:hanging="23"/>
              <w:rPr>
                <w:rFonts w:cs="Arial"/>
                <w:szCs w:val="20"/>
                <w:highlight w:val="yellow"/>
              </w:rPr>
            </w:pPr>
            <w:r w:rsidRPr="000E5786">
              <w:rPr>
                <w:rFonts w:cs="Arial"/>
                <w:szCs w:val="20"/>
              </w:rPr>
              <w:t>[</w:t>
            </w:r>
            <w:r w:rsidRPr="000E5786">
              <w:rPr>
                <w:rFonts w:cs="Arial"/>
                <w:szCs w:val="20"/>
                <w:highlight w:val="yellow"/>
              </w:rPr>
              <w:t xml:space="preserve">insert any assumptions </w:t>
            </w:r>
            <w:proofErr w:type="spellStart"/>
            <w:r w:rsidRPr="000E5786">
              <w:rPr>
                <w:rFonts w:cs="Arial"/>
                <w:szCs w:val="20"/>
                <w:highlight w:val="yellow"/>
              </w:rPr>
              <w:t>e.g</w:t>
            </w:r>
            <w:proofErr w:type="spellEnd"/>
            <w:r w:rsidRPr="000E5786">
              <w:rPr>
                <w:rFonts w:cs="Arial"/>
                <w:szCs w:val="20"/>
                <w:highlight w:val="yellow"/>
              </w:rPr>
              <w:t>:]</w:t>
            </w:r>
          </w:p>
          <w:p w14:paraId="1B3159FD" w14:textId="77777777" w:rsidR="004C127E" w:rsidRPr="000E5786" w:rsidRDefault="004C127E" w:rsidP="00C3397C">
            <w:pPr>
              <w:ind w:left="34" w:hanging="23"/>
              <w:rPr>
                <w:rFonts w:cs="Arial"/>
                <w:szCs w:val="20"/>
              </w:rPr>
            </w:pPr>
            <w:r w:rsidRPr="000E5786">
              <w:rPr>
                <w:rFonts w:cs="Arial"/>
                <w:szCs w:val="20"/>
                <w:highlight w:val="yellow"/>
              </w:rPr>
              <w:t>[</w:t>
            </w:r>
            <w:r w:rsidRPr="000E5786">
              <w:rPr>
                <w:rFonts w:cs="Arial"/>
                <w:i/>
                <w:iCs/>
                <w:szCs w:val="20"/>
                <w:highlight w:val="yellow"/>
              </w:rPr>
              <w:t>Supplier resources will be billed on a [day/week/fixed] rate from the Project Services Commencement Date for the Duration of the Project Services</w:t>
            </w:r>
            <w:r w:rsidRPr="000E5786">
              <w:rPr>
                <w:rFonts w:cs="Arial"/>
                <w:szCs w:val="20"/>
                <w:highlight w:val="yellow"/>
              </w:rPr>
              <w:t>.]</w:t>
            </w:r>
          </w:p>
          <w:p w14:paraId="4F56021F" w14:textId="77777777" w:rsidR="004C127E" w:rsidRPr="000E5786" w:rsidRDefault="004C127E" w:rsidP="00DD60F0">
            <w:pPr>
              <w:ind w:left="34"/>
              <w:rPr>
                <w:rFonts w:cs="Arial"/>
                <w:szCs w:val="20"/>
              </w:rPr>
            </w:pPr>
          </w:p>
        </w:tc>
      </w:tr>
      <w:tr w:rsidR="004C127E" w:rsidRPr="000E5786" w14:paraId="341AF103" w14:textId="77777777">
        <w:trPr>
          <w:trHeight w:val="260"/>
        </w:trPr>
        <w:tc>
          <w:tcPr>
            <w:tcW w:w="2280" w:type="dxa"/>
            <w:shd w:val="clear" w:color="auto" w:fill="C0C0C0"/>
            <w:vAlign w:val="center"/>
          </w:tcPr>
          <w:p w14:paraId="50E2D0A5" w14:textId="77777777" w:rsidR="004C127E" w:rsidRPr="000E5786" w:rsidRDefault="004C127E" w:rsidP="00E538A1">
            <w:pPr>
              <w:numPr>
                <w:ilvl w:val="0"/>
                <w:numId w:val="12"/>
              </w:numPr>
              <w:ind w:left="311" w:hanging="279"/>
              <w:rPr>
                <w:rFonts w:cs="Arial"/>
                <w:b/>
                <w:szCs w:val="20"/>
              </w:rPr>
            </w:pPr>
            <w:r w:rsidRPr="000E5786">
              <w:rPr>
                <w:rFonts w:cs="Arial"/>
                <w:b/>
                <w:szCs w:val="20"/>
              </w:rPr>
              <w:lastRenderedPageBreak/>
              <w:t>Dependencies:</w:t>
            </w:r>
          </w:p>
        </w:tc>
        <w:tc>
          <w:tcPr>
            <w:tcW w:w="7107" w:type="dxa"/>
            <w:gridSpan w:val="2"/>
            <w:vAlign w:val="center"/>
          </w:tcPr>
          <w:p w14:paraId="286B1A1E" w14:textId="77777777" w:rsidR="004C127E" w:rsidRPr="000E5786" w:rsidRDefault="004C127E" w:rsidP="00DD60F0">
            <w:pPr>
              <w:rPr>
                <w:rFonts w:cs="Arial"/>
                <w:szCs w:val="20"/>
              </w:rPr>
            </w:pPr>
            <w:r w:rsidRPr="000E5786">
              <w:rPr>
                <w:rFonts w:cs="Arial"/>
                <w:szCs w:val="20"/>
              </w:rPr>
              <w:t>[</w:t>
            </w:r>
            <w:r w:rsidRPr="000E5786">
              <w:rPr>
                <w:rFonts w:cs="Arial"/>
                <w:szCs w:val="20"/>
                <w:highlight w:val="yellow"/>
              </w:rPr>
              <w:t>Insert details, if any]</w:t>
            </w:r>
          </w:p>
          <w:p w14:paraId="2FD5B203" w14:textId="77777777" w:rsidR="004C127E" w:rsidRPr="000E5786" w:rsidRDefault="004C127E" w:rsidP="00DD60F0">
            <w:pPr>
              <w:ind w:left="34"/>
              <w:rPr>
                <w:rFonts w:cs="Arial"/>
                <w:szCs w:val="20"/>
              </w:rPr>
            </w:pPr>
          </w:p>
        </w:tc>
      </w:tr>
      <w:tr w:rsidR="004C127E" w:rsidRPr="000E5786" w14:paraId="1CCF32DB" w14:textId="77777777">
        <w:trPr>
          <w:trHeight w:val="260"/>
        </w:trPr>
        <w:tc>
          <w:tcPr>
            <w:tcW w:w="2280" w:type="dxa"/>
            <w:shd w:val="clear" w:color="auto" w:fill="C0C0C0"/>
            <w:vAlign w:val="center"/>
          </w:tcPr>
          <w:p w14:paraId="089CC45A" w14:textId="77777777" w:rsidR="004C127E" w:rsidRPr="000E5786" w:rsidRDefault="004C127E" w:rsidP="00E538A1">
            <w:pPr>
              <w:numPr>
                <w:ilvl w:val="0"/>
                <w:numId w:val="12"/>
              </w:numPr>
              <w:ind w:left="311" w:hanging="311"/>
              <w:rPr>
                <w:rFonts w:cs="Arial"/>
                <w:b/>
                <w:szCs w:val="20"/>
              </w:rPr>
            </w:pPr>
            <w:r w:rsidRPr="000E5786">
              <w:rPr>
                <w:rFonts w:cs="Arial"/>
                <w:b/>
                <w:szCs w:val="20"/>
              </w:rPr>
              <w:t>Location of Project Services:</w:t>
            </w:r>
          </w:p>
        </w:tc>
        <w:tc>
          <w:tcPr>
            <w:tcW w:w="7107" w:type="dxa"/>
            <w:gridSpan w:val="2"/>
            <w:vAlign w:val="center"/>
          </w:tcPr>
          <w:p w14:paraId="01257662" w14:textId="77777777" w:rsidR="004C127E" w:rsidRPr="000E5786" w:rsidRDefault="004C127E" w:rsidP="00C3397C">
            <w:pPr>
              <w:ind w:left="34" w:hanging="23"/>
              <w:rPr>
                <w:rFonts w:cs="Arial"/>
                <w:szCs w:val="20"/>
              </w:rPr>
            </w:pPr>
            <w:r w:rsidRPr="000E5786">
              <w:rPr>
                <w:rFonts w:cs="Arial"/>
                <w:szCs w:val="20"/>
                <w:highlight w:val="yellow"/>
              </w:rPr>
              <w:t>[Insert location where Project Services will take place.]</w:t>
            </w:r>
            <w:r w:rsidRPr="000E5786">
              <w:rPr>
                <w:rFonts w:cs="Arial"/>
                <w:szCs w:val="20"/>
              </w:rPr>
              <w:t xml:space="preserve"> </w:t>
            </w:r>
          </w:p>
          <w:p w14:paraId="153B3E3C" w14:textId="406074B3" w:rsidR="004C127E" w:rsidRPr="000E5786" w:rsidRDefault="004C127E" w:rsidP="00C3397C">
            <w:pPr>
              <w:ind w:left="34" w:hanging="23"/>
              <w:rPr>
                <w:rFonts w:cs="Arial"/>
                <w:szCs w:val="20"/>
              </w:rPr>
            </w:pPr>
            <w:r w:rsidRPr="000E5786">
              <w:rPr>
                <w:rFonts w:cs="Arial"/>
                <w:szCs w:val="20"/>
              </w:rPr>
              <w:t xml:space="preserve">With any other acceptable working locations to be confirmed with the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Representative.</w:t>
            </w:r>
          </w:p>
        </w:tc>
      </w:tr>
      <w:tr w:rsidR="004C127E" w:rsidRPr="000E5786" w14:paraId="17EBFFD3" w14:textId="77777777">
        <w:trPr>
          <w:trHeight w:val="320"/>
        </w:trPr>
        <w:tc>
          <w:tcPr>
            <w:tcW w:w="2280" w:type="dxa"/>
            <w:shd w:val="clear" w:color="auto" w:fill="C0C0C0"/>
            <w:vAlign w:val="center"/>
          </w:tcPr>
          <w:p w14:paraId="53DEBD3B" w14:textId="77777777" w:rsidR="004C127E" w:rsidRPr="000E5786" w:rsidRDefault="004C127E" w:rsidP="00E538A1">
            <w:pPr>
              <w:numPr>
                <w:ilvl w:val="0"/>
                <w:numId w:val="12"/>
              </w:numPr>
              <w:ind w:left="311" w:hanging="311"/>
              <w:rPr>
                <w:rFonts w:cs="Arial"/>
                <w:b/>
                <w:szCs w:val="20"/>
              </w:rPr>
            </w:pPr>
            <w:r w:rsidRPr="000E5786">
              <w:rPr>
                <w:rFonts w:cs="Arial"/>
                <w:b/>
                <w:szCs w:val="20"/>
              </w:rPr>
              <w:t>Charges and Milestones:</w:t>
            </w:r>
          </w:p>
        </w:tc>
        <w:tc>
          <w:tcPr>
            <w:tcW w:w="7107" w:type="dxa"/>
            <w:gridSpan w:val="2"/>
            <w:shd w:val="clear" w:color="auto" w:fill="auto"/>
            <w:vAlign w:val="center"/>
          </w:tcPr>
          <w:p w14:paraId="230E7570" w14:textId="77777777" w:rsidR="004C127E" w:rsidRPr="000E5786" w:rsidRDefault="004C127E" w:rsidP="00C3397C">
            <w:pPr>
              <w:pBdr>
                <w:top w:val="nil"/>
                <w:left w:val="nil"/>
                <w:bottom w:val="nil"/>
                <w:right w:val="nil"/>
                <w:between w:val="nil"/>
              </w:pBdr>
              <w:ind w:left="11" w:hanging="11"/>
              <w:rPr>
                <w:rFonts w:cs="Arial"/>
                <w:szCs w:val="20"/>
              </w:rPr>
            </w:pPr>
            <w:r w:rsidRPr="000E5786">
              <w:rPr>
                <w:rFonts w:cs="Arial"/>
                <w:szCs w:val="20"/>
              </w:rPr>
              <w:t>The Charges for the Project Services will be [</w:t>
            </w:r>
            <w:r w:rsidRPr="000E5786">
              <w:rPr>
                <w:rFonts w:cs="Arial"/>
                <w:szCs w:val="20"/>
                <w:highlight w:val="yellow"/>
              </w:rPr>
              <w:t>insert total Charges payable</w:t>
            </w:r>
            <w:r w:rsidRPr="000E5786">
              <w:rPr>
                <w:rFonts w:cs="Arial"/>
                <w:szCs w:val="20"/>
              </w:rPr>
              <w:t>] in accordance with:</w:t>
            </w:r>
          </w:p>
          <w:p w14:paraId="7CBC022E" w14:textId="77777777" w:rsidR="004C127E" w:rsidRPr="000E5786" w:rsidRDefault="004C127E" w:rsidP="00C3397C">
            <w:pPr>
              <w:pBdr>
                <w:top w:val="nil"/>
                <w:left w:val="nil"/>
                <w:bottom w:val="nil"/>
                <w:right w:val="nil"/>
                <w:between w:val="nil"/>
              </w:pBdr>
              <w:ind w:left="0" w:firstLine="0"/>
              <w:rPr>
                <w:rFonts w:cs="Arial"/>
                <w:szCs w:val="20"/>
              </w:rPr>
            </w:pPr>
            <w:r w:rsidRPr="000E5786">
              <w:rPr>
                <w:rFonts w:cs="Arial"/>
                <w:szCs w:val="20"/>
              </w:rPr>
              <w:t>[</w:t>
            </w:r>
            <w:r w:rsidRPr="000E5786">
              <w:rPr>
                <w:rFonts w:cs="Arial"/>
                <w:szCs w:val="20"/>
                <w:highlight w:val="yellow"/>
              </w:rPr>
              <w:t>the pricing and payment profile and the invoicing procedure specified in Schedule 7.1 of the Agreement (Charges and Invoicing) together with any milestones]</w:t>
            </w:r>
          </w:p>
          <w:p w14:paraId="53AC9D44" w14:textId="77777777" w:rsidR="004C127E" w:rsidRPr="000E5786" w:rsidRDefault="004C127E" w:rsidP="00DD60F0">
            <w:pPr>
              <w:pBdr>
                <w:top w:val="nil"/>
                <w:left w:val="nil"/>
                <w:bottom w:val="nil"/>
                <w:right w:val="nil"/>
                <w:between w:val="nil"/>
              </w:pBdr>
              <w:rPr>
                <w:rFonts w:cs="Arial"/>
                <w:szCs w:val="20"/>
              </w:rPr>
            </w:pPr>
            <w:r w:rsidRPr="000E5786">
              <w:rPr>
                <w:rFonts w:cs="Arial"/>
                <w:szCs w:val="20"/>
                <w:highlight w:val="yellow"/>
              </w:rPr>
              <w:t>OR</w:t>
            </w:r>
          </w:p>
          <w:p w14:paraId="201A0B9A" w14:textId="77777777" w:rsidR="004C127E" w:rsidRPr="000E5786" w:rsidRDefault="004C127E" w:rsidP="00DD60F0">
            <w:pPr>
              <w:pBdr>
                <w:top w:val="nil"/>
                <w:left w:val="nil"/>
                <w:bottom w:val="nil"/>
                <w:right w:val="nil"/>
                <w:between w:val="nil"/>
              </w:pBdr>
              <w:rPr>
                <w:rFonts w:cs="Arial"/>
                <w:szCs w:val="20"/>
              </w:rPr>
            </w:pPr>
            <w:r w:rsidRPr="000E5786">
              <w:rPr>
                <w:rFonts w:cs="Arial"/>
                <w:szCs w:val="20"/>
              </w:rPr>
              <w:t>[</w:t>
            </w:r>
            <w:r w:rsidRPr="000E5786">
              <w:rPr>
                <w:rFonts w:cs="Arial"/>
                <w:szCs w:val="20"/>
                <w:highlight w:val="yellow"/>
              </w:rPr>
              <w:t>the rate card set out in Annex 1</w:t>
            </w:r>
            <w:r w:rsidRPr="000E5786">
              <w:rPr>
                <w:rFonts w:cs="Arial"/>
                <w:szCs w:val="20"/>
              </w:rPr>
              <w:t>]</w:t>
            </w:r>
          </w:p>
          <w:p w14:paraId="223BDAE1" w14:textId="77777777" w:rsidR="004C127E" w:rsidRPr="000E5786" w:rsidRDefault="004C127E" w:rsidP="00DD60F0">
            <w:pPr>
              <w:pBdr>
                <w:top w:val="nil"/>
                <w:left w:val="nil"/>
                <w:bottom w:val="nil"/>
                <w:right w:val="nil"/>
                <w:between w:val="nil"/>
              </w:pBdr>
              <w:rPr>
                <w:rFonts w:cs="Arial"/>
                <w:szCs w:val="20"/>
              </w:rPr>
            </w:pPr>
          </w:p>
          <w:p w14:paraId="6D48AB99" w14:textId="77777777" w:rsidR="004C127E" w:rsidRPr="000E5786" w:rsidRDefault="004C127E" w:rsidP="00DD60F0">
            <w:pPr>
              <w:pBdr>
                <w:top w:val="nil"/>
                <w:left w:val="nil"/>
                <w:bottom w:val="nil"/>
                <w:right w:val="nil"/>
                <w:between w:val="nil"/>
              </w:pBdr>
              <w:rPr>
                <w:rFonts w:cs="Arial"/>
                <w:szCs w:val="20"/>
              </w:rPr>
            </w:pPr>
            <w:r w:rsidRPr="000E5786">
              <w:rPr>
                <w:rFonts w:cs="Arial"/>
                <w:szCs w:val="20"/>
              </w:rPr>
              <w:t>[</w:t>
            </w:r>
            <w:r w:rsidRPr="000E5786">
              <w:rPr>
                <w:rFonts w:cs="Arial"/>
                <w:szCs w:val="20"/>
                <w:highlight w:val="yellow"/>
              </w:rPr>
              <w:t>Insert any specific payment terms not covered in the Agreement</w:t>
            </w:r>
            <w:r w:rsidRPr="000E5786">
              <w:rPr>
                <w:rFonts w:cs="Arial"/>
                <w:szCs w:val="20"/>
              </w:rPr>
              <w:t>]</w:t>
            </w:r>
          </w:p>
        </w:tc>
      </w:tr>
      <w:tr w:rsidR="004C127E" w:rsidRPr="000E5786" w14:paraId="360BDF03" w14:textId="77777777">
        <w:trPr>
          <w:trHeight w:val="320"/>
        </w:trPr>
        <w:tc>
          <w:tcPr>
            <w:tcW w:w="2280" w:type="dxa"/>
            <w:shd w:val="clear" w:color="auto" w:fill="C0C0C0"/>
            <w:vAlign w:val="center"/>
          </w:tcPr>
          <w:p w14:paraId="53C20337" w14:textId="77777777" w:rsidR="004C127E" w:rsidRPr="000E5786" w:rsidRDefault="004C127E" w:rsidP="00E538A1">
            <w:pPr>
              <w:numPr>
                <w:ilvl w:val="0"/>
                <w:numId w:val="12"/>
              </w:numPr>
              <w:ind w:left="311" w:hanging="311"/>
              <w:rPr>
                <w:rFonts w:cs="Arial"/>
                <w:b/>
                <w:szCs w:val="20"/>
              </w:rPr>
            </w:pPr>
            <w:r w:rsidRPr="000E5786">
              <w:rPr>
                <w:rFonts w:cs="Arial"/>
                <w:b/>
                <w:szCs w:val="20"/>
              </w:rPr>
              <w:t>Data Protection:</w:t>
            </w:r>
          </w:p>
        </w:tc>
        <w:tc>
          <w:tcPr>
            <w:tcW w:w="7107" w:type="dxa"/>
            <w:gridSpan w:val="2"/>
            <w:vAlign w:val="center"/>
          </w:tcPr>
          <w:p w14:paraId="55022C59" w14:textId="77777777" w:rsidR="004C127E" w:rsidRPr="000E5786" w:rsidRDefault="004C127E" w:rsidP="00DD60F0">
            <w:pPr>
              <w:rPr>
                <w:rFonts w:cs="Arial"/>
                <w:szCs w:val="20"/>
              </w:rPr>
            </w:pPr>
            <w:r w:rsidRPr="000E5786">
              <w:rPr>
                <w:rFonts w:cs="Arial"/>
                <w:szCs w:val="20"/>
              </w:rPr>
              <w:t>[</w:t>
            </w:r>
            <w:r w:rsidRPr="000E5786">
              <w:rPr>
                <w:rFonts w:cs="Arial"/>
                <w:szCs w:val="20"/>
                <w:highlight w:val="yellow"/>
              </w:rPr>
              <w:t>Insert details e.g.:]</w:t>
            </w:r>
          </w:p>
          <w:p w14:paraId="4F6C243A" w14:textId="4F69CF71" w:rsidR="004C127E" w:rsidRPr="000E5786" w:rsidRDefault="004C127E" w:rsidP="00C3397C">
            <w:pPr>
              <w:ind w:left="11" w:hanging="11"/>
              <w:rPr>
                <w:rFonts w:cs="Arial"/>
                <w:i/>
                <w:iCs/>
                <w:szCs w:val="20"/>
              </w:rPr>
            </w:pPr>
            <w:r w:rsidRPr="000E5786">
              <w:rPr>
                <w:rFonts w:cs="Arial"/>
                <w:szCs w:val="20"/>
              </w:rPr>
              <w:t>[</w:t>
            </w:r>
            <w:r w:rsidRPr="000E5786">
              <w:rPr>
                <w:rFonts w:cs="Arial"/>
                <w:i/>
                <w:iCs/>
                <w:szCs w:val="20"/>
                <w:highlight w:val="yellow"/>
              </w:rPr>
              <w:t xml:space="preserve">Supplier shall not receive access to any Personal Data when conducting this engagement. The </w:t>
            </w:r>
            <w:proofErr w:type="spellStart"/>
            <w:r w:rsidR="001F1C19">
              <w:rPr>
                <w:rFonts w:cs="Arial"/>
                <w:i/>
                <w:iCs/>
                <w:szCs w:val="20"/>
                <w:highlight w:val="yellow"/>
              </w:rPr>
              <w:t>Netlink</w:t>
            </w:r>
            <w:proofErr w:type="spellEnd"/>
            <w:r w:rsidR="001F1C19">
              <w:rPr>
                <w:rFonts w:cs="Arial"/>
                <w:i/>
                <w:iCs/>
                <w:szCs w:val="20"/>
                <w:highlight w:val="yellow"/>
              </w:rPr>
              <w:t xml:space="preserve"> Star</w:t>
            </w:r>
            <w:r w:rsidRPr="000E5786">
              <w:rPr>
                <w:rFonts w:cs="Arial"/>
                <w:i/>
                <w:iCs/>
                <w:szCs w:val="20"/>
                <w:highlight w:val="yellow"/>
              </w:rPr>
              <w:t xml:space="preserve"> warrants that any data shared with Supplier will not allow individuals to be identified</w:t>
            </w:r>
            <w:r w:rsidRPr="000E5786">
              <w:rPr>
                <w:rFonts w:cs="Arial"/>
                <w:i/>
                <w:iCs/>
                <w:szCs w:val="20"/>
              </w:rPr>
              <w:t>.]</w:t>
            </w:r>
          </w:p>
          <w:p w14:paraId="02B6B35E" w14:textId="5EBBCC15" w:rsidR="004C127E" w:rsidRPr="000E5786" w:rsidRDefault="004C127E" w:rsidP="00C3397C">
            <w:pPr>
              <w:ind w:left="34" w:hanging="23"/>
              <w:rPr>
                <w:rFonts w:cs="Arial"/>
                <w:szCs w:val="20"/>
              </w:rPr>
            </w:pPr>
            <w:r w:rsidRPr="000E5786">
              <w:rPr>
                <w:rFonts w:cs="Arial"/>
                <w:i/>
                <w:iCs/>
                <w:szCs w:val="20"/>
              </w:rPr>
              <w:t>[</w:t>
            </w:r>
            <w:r w:rsidRPr="000E5786">
              <w:rPr>
                <w:rFonts w:cs="Arial"/>
                <w:i/>
                <w:iCs/>
                <w:szCs w:val="20"/>
                <w:highlight w:val="yellow"/>
              </w:rPr>
              <w:t xml:space="preserve">In the event that Supplier requires access to Personal </w:t>
            </w:r>
            <w:proofErr w:type="gramStart"/>
            <w:r w:rsidRPr="000E5786">
              <w:rPr>
                <w:rFonts w:cs="Arial"/>
                <w:i/>
                <w:iCs/>
                <w:szCs w:val="20"/>
                <w:highlight w:val="yellow"/>
              </w:rPr>
              <w:t>Data</w:t>
            </w:r>
            <w:proofErr w:type="gramEnd"/>
            <w:r w:rsidRPr="000E5786">
              <w:rPr>
                <w:rFonts w:cs="Arial"/>
                <w:i/>
                <w:iCs/>
                <w:szCs w:val="20"/>
                <w:highlight w:val="yellow"/>
              </w:rPr>
              <w:t xml:space="preserve"> and it cannot be practically anonymised by the </w:t>
            </w:r>
            <w:proofErr w:type="spellStart"/>
            <w:r w:rsidR="001F1C19">
              <w:rPr>
                <w:rFonts w:cs="Arial"/>
                <w:i/>
                <w:iCs/>
                <w:szCs w:val="20"/>
                <w:highlight w:val="yellow"/>
              </w:rPr>
              <w:t>Netlink</w:t>
            </w:r>
            <w:proofErr w:type="spellEnd"/>
            <w:r w:rsidR="001F1C19">
              <w:rPr>
                <w:rFonts w:cs="Arial"/>
                <w:i/>
                <w:iCs/>
                <w:szCs w:val="20"/>
                <w:highlight w:val="yellow"/>
              </w:rPr>
              <w:t xml:space="preserve"> Star</w:t>
            </w:r>
            <w:r w:rsidRPr="000E5786">
              <w:rPr>
                <w:rFonts w:cs="Arial"/>
                <w:i/>
                <w:iCs/>
                <w:szCs w:val="20"/>
                <w:highlight w:val="yellow"/>
              </w:rPr>
              <w:t xml:space="preserve">, the Parties shall </w:t>
            </w:r>
            <w:r w:rsidR="00476A6C">
              <w:rPr>
                <w:rFonts w:cs="Arial"/>
                <w:i/>
                <w:iCs/>
                <w:szCs w:val="20"/>
                <w:highlight w:val="yellow"/>
              </w:rPr>
              <w:t>update</w:t>
            </w:r>
            <w:r w:rsidRPr="000E5786">
              <w:rPr>
                <w:rFonts w:cs="Arial"/>
                <w:i/>
                <w:iCs/>
                <w:szCs w:val="20"/>
                <w:highlight w:val="yellow"/>
              </w:rPr>
              <w:t xml:space="preserve"> Schedule </w:t>
            </w:r>
            <w:r w:rsidR="002B67C3">
              <w:rPr>
                <w:rFonts w:cs="Arial"/>
                <w:i/>
                <w:iCs/>
                <w:szCs w:val="20"/>
                <w:highlight w:val="yellow"/>
              </w:rPr>
              <w:t>1</w:t>
            </w:r>
            <w:r w:rsidRPr="000E5786">
              <w:rPr>
                <w:rFonts w:cs="Arial"/>
                <w:i/>
                <w:iCs/>
                <w:szCs w:val="20"/>
                <w:highlight w:val="yellow"/>
              </w:rPr>
              <w:t xml:space="preserve">2 </w:t>
            </w:r>
            <w:r w:rsidR="00476A6C">
              <w:rPr>
                <w:rFonts w:cs="Arial"/>
                <w:i/>
                <w:iCs/>
                <w:szCs w:val="20"/>
                <w:highlight w:val="yellow"/>
              </w:rPr>
              <w:t>as applicable</w:t>
            </w:r>
            <w:r w:rsidRPr="000E5786">
              <w:rPr>
                <w:rFonts w:cs="Arial"/>
                <w:i/>
                <w:iCs/>
                <w:szCs w:val="20"/>
                <w:highlight w:val="yellow"/>
              </w:rPr>
              <w:t xml:space="preserve">. Supplier shall access this Personal Data only via suitably secured systems under the control of the </w:t>
            </w:r>
            <w:proofErr w:type="spellStart"/>
            <w:r w:rsidR="001F1C19">
              <w:rPr>
                <w:rFonts w:cs="Arial"/>
                <w:i/>
                <w:iCs/>
                <w:szCs w:val="20"/>
                <w:highlight w:val="yellow"/>
              </w:rPr>
              <w:t>Netlink</w:t>
            </w:r>
            <w:proofErr w:type="spellEnd"/>
            <w:r w:rsidR="001F1C19">
              <w:rPr>
                <w:rFonts w:cs="Arial"/>
                <w:i/>
                <w:iCs/>
                <w:szCs w:val="20"/>
                <w:highlight w:val="yellow"/>
              </w:rPr>
              <w:t xml:space="preserve"> Star</w:t>
            </w:r>
            <w:r w:rsidRPr="000E5786">
              <w:rPr>
                <w:rFonts w:cs="Arial"/>
                <w:i/>
                <w:iCs/>
                <w:szCs w:val="20"/>
                <w:highlight w:val="yellow"/>
              </w:rPr>
              <w:t xml:space="preserve"> and at the </w:t>
            </w:r>
            <w:proofErr w:type="spellStart"/>
            <w:r w:rsidR="001F1C19">
              <w:rPr>
                <w:rFonts w:cs="Arial"/>
                <w:i/>
                <w:iCs/>
                <w:szCs w:val="20"/>
                <w:highlight w:val="yellow"/>
              </w:rPr>
              <w:t>Netlink</w:t>
            </w:r>
            <w:proofErr w:type="spellEnd"/>
            <w:r w:rsidR="001F1C19">
              <w:rPr>
                <w:rFonts w:cs="Arial"/>
                <w:i/>
                <w:iCs/>
                <w:szCs w:val="20"/>
                <w:highlight w:val="yellow"/>
              </w:rPr>
              <w:t xml:space="preserve"> Star</w:t>
            </w:r>
            <w:r w:rsidRPr="000E5786">
              <w:rPr>
                <w:rFonts w:cs="Arial"/>
                <w:i/>
                <w:iCs/>
                <w:szCs w:val="20"/>
                <w:highlight w:val="yellow"/>
              </w:rPr>
              <w:t>’s business premises. No Personal Data shall be transferred to Supplier systems</w:t>
            </w:r>
            <w:r w:rsidRPr="000E5786">
              <w:rPr>
                <w:rFonts w:cs="Arial"/>
                <w:i/>
                <w:iCs/>
                <w:szCs w:val="20"/>
              </w:rPr>
              <w:t>.]</w:t>
            </w:r>
          </w:p>
        </w:tc>
      </w:tr>
      <w:tr w:rsidR="004C127E" w:rsidRPr="000E5786" w14:paraId="1BFC9038" w14:textId="77777777">
        <w:trPr>
          <w:trHeight w:val="40"/>
        </w:trPr>
        <w:tc>
          <w:tcPr>
            <w:tcW w:w="2280" w:type="dxa"/>
            <w:shd w:val="clear" w:color="auto" w:fill="C0C0C0"/>
            <w:vAlign w:val="center"/>
          </w:tcPr>
          <w:p w14:paraId="007742F9" w14:textId="77777777" w:rsidR="004C127E" w:rsidRPr="000E5786" w:rsidRDefault="004C127E" w:rsidP="00E538A1">
            <w:pPr>
              <w:numPr>
                <w:ilvl w:val="0"/>
                <w:numId w:val="12"/>
              </w:numPr>
              <w:ind w:left="311" w:hanging="311"/>
              <w:rPr>
                <w:rFonts w:cs="Arial"/>
                <w:b/>
                <w:szCs w:val="20"/>
              </w:rPr>
            </w:pPr>
            <w:r w:rsidRPr="000E5786">
              <w:rPr>
                <w:rFonts w:cs="Arial"/>
                <w:b/>
                <w:szCs w:val="20"/>
              </w:rPr>
              <w:t>Expenses:</w:t>
            </w:r>
          </w:p>
        </w:tc>
        <w:tc>
          <w:tcPr>
            <w:tcW w:w="7107" w:type="dxa"/>
            <w:gridSpan w:val="2"/>
            <w:vAlign w:val="center"/>
          </w:tcPr>
          <w:p w14:paraId="7A50FC82" w14:textId="77777777" w:rsidR="004C127E" w:rsidRPr="000E5786" w:rsidRDefault="004C127E" w:rsidP="00DD60F0">
            <w:pPr>
              <w:rPr>
                <w:rFonts w:cs="Arial"/>
                <w:szCs w:val="20"/>
              </w:rPr>
            </w:pPr>
            <w:r w:rsidRPr="000E5786">
              <w:rPr>
                <w:rFonts w:cs="Arial"/>
                <w:szCs w:val="20"/>
              </w:rPr>
              <w:t>[</w:t>
            </w:r>
            <w:r w:rsidRPr="000E5786">
              <w:rPr>
                <w:rFonts w:cs="Arial"/>
                <w:szCs w:val="20"/>
                <w:highlight w:val="yellow"/>
              </w:rPr>
              <w:t>Insert details e.g.:]</w:t>
            </w:r>
          </w:p>
          <w:p w14:paraId="0FF3EDF5" w14:textId="659129ED" w:rsidR="004C127E" w:rsidRPr="000E5786" w:rsidRDefault="004C127E" w:rsidP="00C3397C">
            <w:pPr>
              <w:ind w:left="34" w:hanging="23"/>
              <w:rPr>
                <w:rFonts w:cs="Arial"/>
                <w:i/>
                <w:iCs/>
                <w:szCs w:val="20"/>
                <w:highlight w:val="yellow"/>
              </w:rPr>
            </w:pPr>
            <w:r w:rsidRPr="000E5786">
              <w:rPr>
                <w:rFonts w:cs="Arial"/>
                <w:szCs w:val="20"/>
                <w:highlight w:val="yellow"/>
              </w:rPr>
              <w:t>[</w:t>
            </w:r>
            <w:r w:rsidRPr="000E5786">
              <w:rPr>
                <w:rFonts w:cs="Arial"/>
                <w:i/>
                <w:iCs/>
                <w:szCs w:val="20"/>
                <w:highlight w:val="yellow"/>
              </w:rPr>
              <w:t xml:space="preserve">Supplier resources attending site at </w:t>
            </w:r>
            <w:proofErr w:type="spellStart"/>
            <w:r w:rsidR="001F1C19">
              <w:rPr>
                <w:rFonts w:cs="Arial"/>
                <w:i/>
                <w:iCs/>
                <w:szCs w:val="20"/>
                <w:highlight w:val="yellow"/>
              </w:rPr>
              <w:t>Netlink</w:t>
            </w:r>
            <w:proofErr w:type="spellEnd"/>
            <w:r w:rsidR="001F1C19">
              <w:rPr>
                <w:rFonts w:cs="Arial"/>
                <w:i/>
                <w:iCs/>
                <w:szCs w:val="20"/>
                <w:highlight w:val="yellow"/>
              </w:rPr>
              <w:t xml:space="preserve"> Star</w:t>
            </w:r>
            <w:r w:rsidRPr="000E5786">
              <w:rPr>
                <w:rFonts w:cs="Arial"/>
                <w:i/>
                <w:iCs/>
                <w:szCs w:val="20"/>
                <w:highlight w:val="yellow"/>
              </w:rPr>
              <w:t xml:space="preserve"> as noted in Location of Project Services will not incur expenses.]</w:t>
            </w:r>
          </w:p>
        </w:tc>
      </w:tr>
      <w:tr w:rsidR="004C127E" w:rsidRPr="000E5786" w14:paraId="76B0E8DC" w14:textId="77777777">
        <w:trPr>
          <w:trHeight w:val="640"/>
        </w:trPr>
        <w:tc>
          <w:tcPr>
            <w:tcW w:w="9387" w:type="dxa"/>
            <w:gridSpan w:val="3"/>
            <w:shd w:val="clear" w:color="auto" w:fill="C0C0C0"/>
            <w:vAlign w:val="center"/>
          </w:tcPr>
          <w:p w14:paraId="4335815F" w14:textId="77777777" w:rsidR="004C127E" w:rsidRPr="000E5786" w:rsidRDefault="004C127E" w:rsidP="00DD60F0">
            <w:pPr>
              <w:rPr>
                <w:rFonts w:cs="Arial"/>
                <w:b/>
                <w:i/>
                <w:szCs w:val="20"/>
              </w:rPr>
            </w:pPr>
            <w:r w:rsidRPr="000E5786">
              <w:rPr>
                <w:rFonts w:cs="Arial"/>
                <w:b/>
                <w:i/>
                <w:szCs w:val="20"/>
              </w:rPr>
              <w:t>Signed by the Parties’ duly authorised representatives:</w:t>
            </w:r>
          </w:p>
        </w:tc>
      </w:tr>
      <w:tr w:rsidR="004C127E" w:rsidRPr="000E5786" w14:paraId="22063218" w14:textId="77777777">
        <w:trPr>
          <w:trHeight w:val="500"/>
        </w:trPr>
        <w:tc>
          <w:tcPr>
            <w:tcW w:w="4605" w:type="dxa"/>
            <w:gridSpan w:val="2"/>
            <w:vAlign w:val="center"/>
          </w:tcPr>
          <w:p w14:paraId="7BE22778" w14:textId="0D02634F" w:rsidR="004C127E" w:rsidRPr="000E5786" w:rsidRDefault="001F1C19" w:rsidP="00DD60F0">
            <w:pPr>
              <w:rPr>
                <w:rFonts w:cs="Arial"/>
                <w:b/>
                <w:szCs w:val="20"/>
              </w:rPr>
            </w:pPr>
            <w:proofErr w:type="spellStart"/>
            <w:r>
              <w:rPr>
                <w:rFonts w:cs="Arial"/>
                <w:b/>
                <w:szCs w:val="20"/>
              </w:rPr>
              <w:t>Netlink</w:t>
            </w:r>
            <w:proofErr w:type="spellEnd"/>
            <w:r>
              <w:rPr>
                <w:rFonts w:cs="Arial"/>
                <w:b/>
                <w:szCs w:val="20"/>
              </w:rPr>
              <w:t xml:space="preserve"> Star</w:t>
            </w:r>
          </w:p>
          <w:p w14:paraId="2E1127FF" w14:textId="77777777" w:rsidR="004C127E" w:rsidRPr="000E5786" w:rsidRDefault="004C127E" w:rsidP="00DD60F0">
            <w:pPr>
              <w:rPr>
                <w:rFonts w:cs="Arial"/>
                <w:szCs w:val="20"/>
              </w:rPr>
            </w:pPr>
          </w:p>
          <w:p w14:paraId="63382FC9" w14:textId="77777777" w:rsidR="004C127E" w:rsidRPr="000E5786" w:rsidRDefault="004C127E" w:rsidP="00DD60F0">
            <w:pPr>
              <w:rPr>
                <w:rFonts w:cs="Arial"/>
                <w:szCs w:val="20"/>
              </w:rPr>
            </w:pPr>
            <w:r w:rsidRPr="000E5786">
              <w:rPr>
                <w:rFonts w:cs="Arial"/>
                <w:szCs w:val="20"/>
              </w:rPr>
              <w:t xml:space="preserve">Name: </w:t>
            </w:r>
          </w:p>
          <w:p w14:paraId="7D8E1D2A" w14:textId="77777777" w:rsidR="004C127E" w:rsidRPr="000E5786" w:rsidRDefault="004C127E" w:rsidP="00DD60F0">
            <w:pPr>
              <w:rPr>
                <w:rFonts w:cs="Arial"/>
                <w:szCs w:val="20"/>
              </w:rPr>
            </w:pPr>
          </w:p>
          <w:p w14:paraId="5001CAB8" w14:textId="77777777" w:rsidR="004C127E" w:rsidRPr="000E5786" w:rsidRDefault="004C127E" w:rsidP="00DD60F0">
            <w:pPr>
              <w:rPr>
                <w:rFonts w:cs="Arial"/>
                <w:szCs w:val="20"/>
              </w:rPr>
            </w:pPr>
            <w:r w:rsidRPr="000E5786">
              <w:rPr>
                <w:rFonts w:cs="Arial"/>
                <w:szCs w:val="20"/>
              </w:rPr>
              <w:t xml:space="preserve">Title: </w:t>
            </w:r>
          </w:p>
          <w:p w14:paraId="6FCAD56C" w14:textId="77777777" w:rsidR="004C127E" w:rsidRPr="000E5786" w:rsidRDefault="004C127E" w:rsidP="00DD60F0">
            <w:pPr>
              <w:rPr>
                <w:rFonts w:cs="Arial"/>
                <w:szCs w:val="20"/>
              </w:rPr>
            </w:pPr>
          </w:p>
          <w:p w14:paraId="536A959B" w14:textId="77777777" w:rsidR="004C127E" w:rsidRPr="000E5786" w:rsidRDefault="004C127E" w:rsidP="00DD60F0">
            <w:pPr>
              <w:rPr>
                <w:rFonts w:cs="Arial"/>
                <w:szCs w:val="20"/>
              </w:rPr>
            </w:pPr>
            <w:r w:rsidRPr="000E5786">
              <w:rPr>
                <w:rFonts w:cs="Arial"/>
                <w:szCs w:val="20"/>
              </w:rPr>
              <w:t>Signature:</w:t>
            </w:r>
          </w:p>
          <w:p w14:paraId="3AFA4170" w14:textId="77777777" w:rsidR="004C127E" w:rsidRPr="000E5786" w:rsidRDefault="004C127E" w:rsidP="00DD60F0">
            <w:pPr>
              <w:rPr>
                <w:rFonts w:cs="Arial"/>
                <w:szCs w:val="20"/>
              </w:rPr>
            </w:pPr>
          </w:p>
          <w:p w14:paraId="2DAD2F45" w14:textId="77777777" w:rsidR="004C127E" w:rsidRPr="000E5786" w:rsidRDefault="004C127E" w:rsidP="00DD60F0">
            <w:pPr>
              <w:rPr>
                <w:rFonts w:cs="Arial"/>
                <w:szCs w:val="20"/>
              </w:rPr>
            </w:pPr>
            <w:r w:rsidRPr="000E5786">
              <w:rPr>
                <w:rFonts w:cs="Arial"/>
                <w:szCs w:val="20"/>
              </w:rPr>
              <w:t xml:space="preserve">Date: </w:t>
            </w:r>
          </w:p>
        </w:tc>
        <w:tc>
          <w:tcPr>
            <w:tcW w:w="4782" w:type="dxa"/>
            <w:vAlign w:val="center"/>
          </w:tcPr>
          <w:p w14:paraId="67FB2BC7" w14:textId="77777777" w:rsidR="004C127E" w:rsidRPr="000E5786" w:rsidRDefault="004C127E" w:rsidP="00DD60F0">
            <w:pPr>
              <w:rPr>
                <w:rFonts w:cs="Arial"/>
                <w:b/>
                <w:szCs w:val="20"/>
              </w:rPr>
            </w:pPr>
            <w:r w:rsidRPr="000E5786">
              <w:rPr>
                <w:rFonts w:cs="Arial"/>
                <w:b/>
                <w:szCs w:val="20"/>
              </w:rPr>
              <w:t>Supplier</w:t>
            </w:r>
          </w:p>
          <w:p w14:paraId="29CB5699" w14:textId="77777777" w:rsidR="004C127E" w:rsidRPr="000E5786" w:rsidRDefault="004C127E" w:rsidP="00DD60F0">
            <w:pPr>
              <w:rPr>
                <w:rFonts w:cs="Arial"/>
                <w:szCs w:val="20"/>
              </w:rPr>
            </w:pPr>
          </w:p>
          <w:p w14:paraId="78C5F53C" w14:textId="77777777" w:rsidR="004C127E" w:rsidRPr="000E5786" w:rsidRDefault="004C127E" w:rsidP="00DD60F0">
            <w:pPr>
              <w:rPr>
                <w:rFonts w:cs="Arial"/>
                <w:szCs w:val="20"/>
              </w:rPr>
            </w:pPr>
            <w:r w:rsidRPr="000E5786">
              <w:rPr>
                <w:rFonts w:cs="Arial"/>
                <w:szCs w:val="20"/>
              </w:rPr>
              <w:t>Name:</w:t>
            </w:r>
          </w:p>
          <w:p w14:paraId="5D5DEDD7" w14:textId="77777777" w:rsidR="004C127E" w:rsidRPr="000E5786" w:rsidRDefault="004C127E" w:rsidP="00DD60F0">
            <w:pPr>
              <w:rPr>
                <w:rFonts w:cs="Arial"/>
                <w:szCs w:val="20"/>
              </w:rPr>
            </w:pPr>
          </w:p>
          <w:p w14:paraId="777A326F" w14:textId="77777777" w:rsidR="004C127E" w:rsidRPr="000E5786" w:rsidRDefault="004C127E" w:rsidP="00DD60F0">
            <w:pPr>
              <w:rPr>
                <w:rFonts w:cs="Arial"/>
                <w:szCs w:val="20"/>
              </w:rPr>
            </w:pPr>
            <w:r w:rsidRPr="000E5786">
              <w:rPr>
                <w:rFonts w:cs="Arial"/>
                <w:szCs w:val="20"/>
              </w:rPr>
              <w:t>Title:</w:t>
            </w:r>
          </w:p>
          <w:p w14:paraId="25EDCAA8" w14:textId="77777777" w:rsidR="004C127E" w:rsidRPr="000E5786" w:rsidRDefault="004C127E" w:rsidP="00DD60F0">
            <w:pPr>
              <w:rPr>
                <w:rFonts w:cs="Arial"/>
                <w:szCs w:val="20"/>
              </w:rPr>
            </w:pPr>
          </w:p>
          <w:p w14:paraId="2E844C19" w14:textId="77777777" w:rsidR="004C127E" w:rsidRPr="000E5786" w:rsidRDefault="004C127E" w:rsidP="00DD60F0">
            <w:pPr>
              <w:rPr>
                <w:rFonts w:cs="Arial"/>
                <w:szCs w:val="20"/>
              </w:rPr>
            </w:pPr>
            <w:r w:rsidRPr="000E5786">
              <w:rPr>
                <w:rFonts w:cs="Arial"/>
                <w:szCs w:val="20"/>
              </w:rPr>
              <w:t>Signature:</w:t>
            </w:r>
          </w:p>
          <w:p w14:paraId="24683659" w14:textId="77777777" w:rsidR="004C127E" w:rsidRPr="000E5786" w:rsidRDefault="004C127E" w:rsidP="00DD60F0">
            <w:pPr>
              <w:rPr>
                <w:rFonts w:cs="Arial"/>
                <w:szCs w:val="20"/>
              </w:rPr>
            </w:pPr>
          </w:p>
          <w:p w14:paraId="4CF9B0F3" w14:textId="77777777" w:rsidR="004C127E" w:rsidRPr="000E5786" w:rsidRDefault="004C127E" w:rsidP="00DD60F0">
            <w:pPr>
              <w:rPr>
                <w:rFonts w:cs="Arial"/>
                <w:szCs w:val="20"/>
              </w:rPr>
            </w:pPr>
            <w:r w:rsidRPr="000E5786">
              <w:rPr>
                <w:rFonts w:cs="Arial"/>
                <w:szCs w:val="20"/>
              </w:rPr>
              <w:t>Date:</w:t>
            </w:r>
          </w:p>
        </w:tc>
      </w:tr>
    </w:tbl>
    <w:p w14:paraId="62BC980F" w14:textId="77777777" w:rsidR="004C127E" w:rsidRPr="000E5786" w:rsidRDefault="004C127E" w:rsidP="00DD60F0">
      <w:pPr>
        <w:pBdr>
          <w:top w:val="nil"/>
          <w:left w:val="nil"/>
          <w:bottom w:val="nil"/>
          <w:right w:val="nil"/>
          <w:between w:val="nil"/>
        </w:pBdr>
        <w:rPr>
          <w:rFonts w:cs="Arial"/>
          <w:szCs w:val="20"/>
        </w:rPr>
      </w:pPr>
      <w:r w:rsidRPr="000E5786">
        <w:rPr>
          <w:rFonts w:cs="Arial"/>
          <w:szCs w:val="20"/>
        </w:rPr>
        <w:tab/>
      </w:r>
    </w:p>
    <w:p w14:paraId="78227361" w14:textId="77777777" w:rsidR="004C127E" w:rsidRPr="000E5786" w:rsidRDefault="004C127E" w:rsidP="00DD60F0">
      <w:pPr>
        <w:rPr>
          <w:rFonts w:cs="Arial"/>
          <w:szCs w:val="20"/>
        </w:rPr>
      </w:pPr>
      <w:r w:rsidRPr="000E5786">
        <w:rPr>
          <w:rFonts w:cs="Arial"/>
          <w:szCs w:val="20"/>
        </w:rPr>
        <w:br w:type="page"/>
      </w:r>
    </w:p>
    <w:p w14:paraId="5CB13AB6" w14:textId="3262EC6B" w:rsidR="004C127E" w:rsidRPr="000E5786" w:rsidRDefault="002529F3" w:rsidP="00DD60F0">
      <w:pPr>
        <w:pBdr>
          <w:top w:val="nil"/>
          <w:left w:val="nil"/>
          <w:bottom w:val="nil"/>
          <w:right w:val="nil"/>
          <w:between w:val="nil"/>
        </w:pBdr>
        <w:jc w:val="center"/>
        <w:rPr>
          <w:rFonts w:cs="Arial"/>
          <w:b/>
          <w:bCs/>
          <w:szCs w:val="20"/>
          <w:highlight w:val="yellow"/>
        </w:rPr>
      </w:pPr>
      <w:bookmarkStart w:id="2290" w:name="_3tbugp1" w:colFirst="0" w:colLast="0"/>
      <w:bookmarkEnd w:id="2290"/>
      <w:r w:rsidRPr="000E5786">
        <w:rPr>
          <w:rFonts w:cs="Arial"/>
          <w:b/>
          <w:bCs/>
          <w:szCs w:val="20"/>
          <w:highlight w:val="yellow"/>
        </w:rPr>
        <w:lastRenderedPageBreak/>
        <w:t>ANNEX 1</w:t>
      </w:r>
    </w:p>
    <w:p w14:paraId="1626364E" w14:textId="77777777" w:rsidR="004C127E" w:rsidRPr="000E5786" w:rsidRDefault="004C127E" w:rsidP="00DD60F0">
      <w:pPr>
        <w:keepNext/>
        <w:pBdr>
          <w:top w:val="nil"/>
          <w:left w:val="nil"/>
          <w:bottom w:val="nil"/>
          <w:right w:val="nil"/>
          <w:between w:val="nil"/>
        </w:pBdr>
        <w:rPr>
          <w:rFonts w:cs="Arial"/>
          <w:b/>
          <w:szCs w:val="20"/>
          <w:highlight w:val="yellow"/>
        </w:rPr>
      </w:pPr>
      <w:r w:rsidRPr="000E5786">
        <w:rPr>
          <w:rFonts w:cs="Arial"/>
          <w:b/>
          <w:bCs/>
          <w:szCs w:val="20"/>
          <w:highlight w:val="yellow"/>
        </w:rPr>
        <w:t>[</w:t>
      </w:r>
      <w:r w:rsidRPr="000E5786">
        <w:rPr>
          <w:rFonts w:cs="Arial"/>
          <w:b/>
          <w:szCs w:val="20"/>
          <w:highlight w:val="yellow"/>
        </w:rPr>
        <w:t>Project Sheet Rate Card]</w:t>
      </w:r>
    </w:p>
    <w:p w14:paraId="52FE0E2D" w14:textId="77777777" w:rsidR="004C127E" w:rsidRPr="000E5786" w:rsidRDefault="004C127E" w:rsidP="00DD60F0">
      <w:pPr>
        <w:pBdr>
          <w:top w:val="nil"/>
          <w:left w:val="nil"/>
          <w:bottom w:val="nil"/>
          <w:right w:val="nil"/>
          <w:between w:val="nil"/>
        </w:pBdr>
        <w:rPr>
          <w:rFonts w:cs="Arial"/>
          <w:szCs w:val="20"/>
          <w:highlight w:val="yellow"/>
        </w:rPr>
      </w:pPr>
      <w:r w:rsidRPr="000E5786">
        <w:rPr>
          <w:rFonts w:cs="Arial"/>
          <w:szCs w:val="20"/>
          <w:highlight w:val="yellow"/>
        </w:rPr>
        <w:t>[Set out details of how the Charges are calculated below e.g.:]</w:t>
      </w:r>
    </w:p>
    <w:p w14:paraId="7772A4E4" w14:textId="77777777" w:rsidR="004C127E" w:rsidRPr="000E5786" w:rsidRDefault="004C127E" w:rsidP="00DD60F0">
      <w:pPr>
        <w:pBdr>
          <w:top w:val="nil"/>
          <w:left w:val="nil"/>
          <w:bottom w:val="nil"/>
          <w:right w:val="nil"/>
          <w:between w:val="nil"/>
        </w:pBdr>
        <w:rPr>
          <w:rFonts w:cs="Arial"/>
          <w:i/>
          <w:iCs/>
          <w:szCs w:val="20"/>
          <w:highlight w:val="yellow"/>
        </w:rPr>
      </w:pPr>
      <w:r w:rsidRPr="000E5786">
        <w:rPr>
          <w:rFonts w:cs="Arial"/>
          <w:i/>
          <w:iCs/>
          <w:szCs w:val="20"/>
          <w:highlight w:val="yellow"/>
        </w:rPr>
        <w:t xml:space="preserve">The rate card set out below shall apply to this Project Sheet. </w:t>
      </w:r>
    </w:p>
    <w:tbl>
      <w:tblPr>
        <w:tblW w:w="5097" w:type="dxa"/>
        <w:tblInd w:w="2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8"/>
        <w:gridCol w:w="2549"/>
      </w:tblGrid>
      <w:tr w:rsidR="004C127E" w:rsidRPr="000E5786" w14:paraId="7C1F0922" w14:textId="77777777" w:rsidTr="00B26A5F">
        <w:tc>
          <w:tcPr>
            <w:tcW w:w="2548" w:type="dxa"/>
          </w:tcPr>
          <w:p w14:paraId="042CC926" w14:textId="77777777" w:rsidR="004C127E" w:rsidRPr="000E5786" w:rsidRDefault="004C127E" w:rsidP="00DD60F0">
            <w:pPr>
              <w:pBdr>
                <w:top w:val="nil"/>
                <w:left w:val="nil"/>
                <w:bottom w:val="nil"/>
                <w:right w:val="nil"/>
                <w:between w:val="nil"/>
              </w:pBdr>
              <w:ind w:left="709" w:hanging="709"/>
              <w:rPr>
                <w:rFonts w:cs="Arial"/>
                <w:b/>
                <w:i/>
                <w:iCs/>
                <w:szCs w:val="20"/>
                <w:highlight w:val="yellow"/>
              </w:rPr>
            </w:pPr>
            <w:r w:rsidRPr="000E5786">
              <w:rPr>
                <w:rFonts w:cs="Arial"/>
                <w:b/>
                <w:i/>
                <w:iCs/>
                <w:szCs w:val="20"/>
                <w:highlight w:val="yellow"/>
              </w:rPr>
              <w:t>Consultant Level</w:t>
            </w:r>
          </w:p>
        </w:tc>
        <w:tc>
          <w:tcPr>
            <w:tcW w:w="2549" w:type="dxa"/>
          </w:tcPr>
          <w:p w14:paraId="452D7645" w14:textId="77777777" w:rsidR="004C127E" w:rsidRPr="000E5786" w:rsidRDefault="004C127E" w:rsidP="00DD60F0">
            <w:pPr>
              <w:pBdr>
                <w:top w:val="nil"/>
                <w:left w:val="nil"/>
                <w:bottom w:val="nil"/>
                <w:right w:val="nil"/>
                <w:between w:val="nil"/>
              </w:pBdr>
              <w:rPr>
                <w:rFonts w:cs="Arial"/>
                <w:b/>
                <w:i/>
                <w:iCs/>
                <w:szCs w:val="20"/>
                <w:highlight w:val="yellow"/>
              </w:rPr>
            </w:pPr>
            <w:r w:rsidRPr="000E5786">
              <w:rPr>
                <w:rFonts w:cs="Arial"/>
                <w:b/>
                <w:i/>
                <w:iCs/>
                <w:szCs w:val="20"/>
                <w:highlight w:val="yellow"/>
              </w:rPr>
              <w:t>Charges (excluding VAT)</w:t>
            </w:r>
          </w:p>
        </w:tc>
      </w:tr>
      <w:tr w:rsidR="004C127E" w:rsidRPr="000E5786" w14:paraId="31B48664" w14:textId="77777777" w:rsidTr="00B26A5F">
        <w:tc>
          <w:tcPr>
            <w:tcW w:w="2548" w:type="dxa"/>
          </w:tcPr>
          <w:p w14:paraId="4DAE55E9" w14:textId="77777777" w:rsidR="004C127E" w:rsidRPr="000E5786" w:rsidRDefault="004C127E" w:rsidP="00DD60F0">
            <w:pPr>
              <w:pBdr>
                <w:top w:val="nil"/>
                <w:left w:val="nil"/>
                <w:bottom w:val="nil"/>
                <w:right w:val="nil"/>
                <w:between w:val="nil"/>
              </w:pBdr>
              <w:ind w:left="709" w:hanging="709"/>
              <w:rPr>
                <w:rFonts w:cs="Arial"/>
                <w:i/>
                <w:iCs/>
                <w:szCs w:val="20"/>
              </w:rPr>
            </w:pPr>
            <w:r w:rsidRPr="000E5786">
              <w:rPr>
                <w:rFonts w:cs="Arial"/>
                <w:i/>
                <w:iCs/>
                <w:szCs w:val="20"/>
                <w:highlight w:val="yellow"/>
              </w:rPr>
              <w:t>INSERT DETAILS</w:t>
            </w:r>
          </w:p>
        </w:tc>
        <w:tc>
          <w:tcPr>
            <w:tcW w:w="2549" w:type="dxa"/>
          </w:tcPr>
          <w:p w14:paraId="3422AF86" w14:textId="77777777" w:rsidR="004C127E" w:rsidRPr="000E5786" w:rsidRDefault="004C127E" w:rsidP="00DD60F0">
            <w:pPr>
              <w:pBdr>
                <w:top w:val="nil"/>
                <w:left w:val="nil"/>
                <w:bottom w:val="nil"/>
                <w:right w:val="nil"/>
                <w:between w:val="nil"/>
              </w:pBdr>
              <w:ind w:left="709" w:hanging="709"/>
              <w:rPr>
                <w:rFonts w:cs="Arial"/>
                <w:i/>
                <w:iCs/>
                <w:szCs w:val="20"/>
              </w:rPr>
            </w:pPr>
          </w:p>
        </w:tc>
      </w:tr>
      <w:tr w:rsidR="004C127E" w:rsidRPr="000E5786" w14:paraId="26E30888" w14:textId="77777777" w:rsidTr="00B26A5F">
        <w:tc>
          <w:tcPr>
            <w:tcW w:w="2548" w:type="dxa"/>
          </w:tcPr>
          <w:p w14:paraId="75947494" w14:textId="77777777" w:rsidR="004C127E" w:rsidRPr="000E5786" w:rsidRDefault="004C127E" w:rsidP="00DD60F0">
            <w:pPr>
              <w:pBdr>
                <w:top w:val="nil"/>
                <w:left w:val="nil"/>
                <w:bottom w:val="nil"/>
                <w:right w:val="nil"/>
                <w:between w:val="nil"/>
              </w:pBdr>
              <w:ind w:left="709" w:hanging="709"/>
              <w:rPr>
                <w:rFonts w:cs="Arial"/>
                <w:i/>
                <w:iCs/>
                <w:szCs w:val="20"/>
              </w:rPr>
            </w:pPr>
          </w:p>
        </w:tc>
        <w:tc>
          <w:tcPr>
            <w:tcW w:w="2549" w:type="dxa"/>
          </w:tcPr>
          <w:p w14:paraId="5B495231" w14:textId="77777777" w:rsidR="004C127E" w:rsidRPr="000E5786" w:rsidRDefault="004C127E" w:rsidP="00DD60F0">
            <w:pPr>
              <w:pBdr>
                <w:top w:val="nil"/>
                <w:left w:val="nil"/>
                <w:bottom w:val="nil"/>
                <w:right w:val="nil"/>
                <w:between w:val="nil"/>
              </w:pBdr>
              <w:ind w:left="709" w:hanging="709"/>
              <w:rPr>
                <w:rFonts w:cs="Arial"/>
                <w:i/>
                <w:iCs/>
                <w:szCs w:val="20"/>
              </w:rPr>
            </w:pPr>
          </w:p>
        </w:tc>
      </w:tr>
      <w:tr w:rsidR="004C127E" w:rsidRPr="000E5786" w14:paraId="3CA628C1" w14:textId="77777777" w:rsidTr="00B26A5F">
        <w:tc>
          <w:tcPr>
            <w:tcW w:w="2548" w:type="dxa"/>
          </w:tcPr>
          <w:p w14:paraId="6ECAFE01" w14:textId="77777777" w:rsidR="004C127E" w:rsidRPr="000E5786" w:rsidRDefault="004C127E" w:rsidP="00DD60F0">
            <w:pPr>
              <w:pBdr>
                <w:top w:val="nil"/>
                <w:left w:val="nil"/>
                <w:bottom w:val="nil"/>
                <w:right w:val="nil"/>
                <w:between w:val="nil"/>
              </w:pBdr>
              <w:rPr>
                <w:rFonts w:cs="Arial"/>
                <w:i/>
                <w:iCs/>
                <w:szCs w:val="20"/>
              </w:rPr>
            </w:pPr>
          </w:p>
        </w:tc>
        <w:tc>
          <w:tcPr>
            <w:tcW w:w="2549" w:type="dxa"/>
          </w:tcPr>
          <w:p w14:paraId="7C7F59D5" w14:textId="77777777" w:rsidR="004C127E" w:rsidRPr="000E5786" w:rsidRDefault="004C127E" w:rsidP="00DD60F0">
            <w:pPr>
              <w:pBdr>
                <w:top w:val="nil"/>
                <w:left w:val="nil"/>
                <w:bottom w:val="nil"/>
                <w:right w:val="nil"/>
                <w:between w:val="nil"/>
              </w:pBdr>
              <w:ind w:left="709" w:hanging="709"/>
              <w:rPr>
                <w:rFonts w:cs="Arial"/>
                <w:i/>
                <w:iCs/>
                <w:szCs w:val="20"/>
              </w:rPr>
            </w:pPr>
          </w:p>
        </w:tc>
      </w:tr>
    </w:tbl>
    <w:p w14:paraId="4D764F00" w14:textId="77777777" w:rsidR="004C127E" w:rsidRPr="000E5786" w:rsidRDefault="004C127E" w:rsidP="00DD60F0">
      <w:pPr>
        <w:pBdr>
          <w:top w:val="nil"/>
          <w:left w:val="nil"/>
          <w:bottom w:val="nil"/>
          <w:right w:val="nil"/>
          <w:between w:val="nil"/>
        </w:pBdr>
        <w:rPr>
          <w:rFonts w:cs="Arial"/>
          <w:szCs w:val="20"/>
        </w:rPr>
      </w:pPr>
    </w:p>
    <w:p w14:paraId="7B8351A7" w14:textId="5A96B853" w:rsidR="004C127E" w:rsidRPr="000E5786" w:rsidRDefault="004C127E" w:rsidP="00DD60F0">
      <w:pPr>
        <w:rPr>
          <w:rFonts w:cs="Arial"/>
          <w:szCs w:val="20"/>
        </w:rPr>
      </w:pPr>
      <w:r w:rsidRPr="000E5786">
        <w:rPr>
          <w:rFonts w:cs="Arial"/>
          <w:szCs w:val="20"/>
        </w:rPr>
        <w:br w:type="page"/>
      </w:r>
    </w:p>
    <w:p w14:paraId="0B52840A" w14:textId="3EE12EC8" w:rsidR="009920CE" w:rsidRPr="000E5786" w:rsidRDefault="009920CE" w:rsidP="00DD60F0">
      <w:pPr>
        <w:pStyle w:val="ScheduleSubheading"/>
        <w:numPr>
          <w:ilvl w:val="0"/>
          <w:numId w:val="0"/>
        </w:numPr>
        <w:spacing w:after="120"/>
        <w:rPr>
          <w:rFonts w:cs="Arial"/>
          <w:szCs w:val="20"/>
        </w:rPr>
      </w:pPr>
      <w:r w:rsidRPr="000E5786">
        <w:rPr>
          <w:rFonts w:cs="Arial"/>
          <w:szCs w:val="20"/>
        </w:rPr>
        <w:lastRenderedPageBreak/>
        <w:t>SCHEDULE 6.2</w:t>
      </w:r>
    </w:p>
    <w:p w14:paraId="537DE9F1" w14:textId="7341D04E" w:rsidR="009920CE" w:rsidRPr="000E5786" w:rsidRDefault="009920CE" w:rsidP="00DD60F0">
      <w:pPr>
        <w:pStyle w:val="Sch1"/>
        <w:numPr>
          <w:ilvl w:val="0"/>
          <w:numId w:val="0"/>
        </w:numPr>
        <w:spacing w:after="120"/>
        <w:jc w:val="center"/>
        <w:rPr>
          <w:rFonts w:cs="Arial"/>
          <w:b/>
          <w:szCs w:val="20"/>
        </w:rPr>
      </w:pPr>
      <w:r w:rsidRPr="000E5786">
        <w:rPr>
          <w:rFonts w:cs="Arial"/>
          <w:b/>
          <w:szCs w:val="20"/>
        </w:rPr>
        <w:t>PROJECT SERVICES</w:t>
      </w:r>
    </w:p>
    <w:p w14:paraId="655FD5A5" w14:textId="77777777" w:rsidR="00D85F7C" w:rsidRPr="000E5786" w:rsidRDefault="00D85F7C" w:rsidP="009D675B">
      <w:pPr>
        <w:pStyle w:val="Heading1"/>
        <w:numPr>
          <w:ilvl w:val="0"/>
          <w:numId w:val="37"/>
        </w:numPr>
        <w:spacing w:after="120"/>
        <w:rPr>
          <w:rFonts w:cs="Arial"/>
          <w:b w:val="0"/>
          <w:szCs w:val="20"/>
        </w:rPr>
      </w:pPr>
      <w:r w:rsidRPr="000E5786">
        <w:rPr>
          <w:rFonts w:cs="Arial"/>
          <w:szCs w:val="20"/>
        </w:rPr>
        <w:t>General</w:t>
      </w:r>
    </w:p>
    <w:p w14:paraId="2893FD66" w14:textId="77777777" w:rsidR="00D85F7C" w:rsidRPr="000E5786" w:rsidRDefault="00D85F7C" w:rsidP="00F966FF">
      <w:pPr>
        <w:pStyle w:val="Heading2"/>
        <w:numPr>
          <w:ilvl w:val="1"/>
          <w:numId w:val="149"/>
        </w:numPr>
        <w:spacing w:after="120"/>
        <w:rPr>
          <w:rFonts w:cs="Arial"/>
          <w:szCs w:val="20"/>
        </w:rPr>
      </w:pPr>
      <w:r w:rsidRPr="000E5786">
        <w:rPr>
          <w:rFonts w:cs="Arial"/>
          <w:szCs w:val="20"/>
        </w:rPr>
        <w:t>In relation to any Significant Change, the Supplier shall create and modify the Services through Projects in accordance with the Change Control Procedure. All modifications to the Services other than Significant Changes may be done without Projects, including via the Service Catalogue.</w:t>
      </w:r>
    </w:p>
    <w:p w14:paraId="506CFF74" w14:textId="58A8EF05" w:rsidR="00D85F7C" w:rsidRPr="000E5786" w:rsidRDefault="00D85F7C" w:rsidP="00F966FF">
      <w:pPr>
        <w:pStyle w:val="Heading2"/>
        <w:numPr>
          <w:ilvl w:val="1"/>
          <w:numId w:val="149"/>
        </w:numPr>
        <w:spacing w:after="120"/>
        <w:rPr>
          <w:rFonts w:eastAsiaTheme="minorEastAsia" w:cs="Arial"/>
          <w:szCs w:val="20"/>
        </w:rPr>
      </w:pPr>
      <w:r w:rsidRPr="000E5786">
        <w:rPr>
          <w:rFonts w:cs="Arial"/>
          <w:szCs w:val="20"/>
        </w:rPr>
        <w:t xml:space="preserve">The Supplier shall manage and deliver all Projects according to the best practice principles of PRINCE2, or by using its own equivalent (in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reasonable opinion) project management methodology complying with the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NRT Project Delivery Handbook (reference guide of the Project Delivery related processes and the Governance for </w:t>
      </w:r>
      <w:r w:rsidR="007A2AA0">
        <w:rPr>
          <w:rFonts w:cs="Arial"/>
          <w:szCs w:val="20"/>
        </w:rPr>
        <w:t>Asset set</w:t>
      </w:r>
      <w:r w:rsidRPr="000E5786">
        <w:rPr>
          <w:rFonts w:cs="Arial"/>
          <w:szCs w:val="20"/>
        </w:rPr>
        <w:t xml:space="preserve"> Investment Project (GRIP) stages)</w:t>
      </w:r>
      <w:r w:rsidRPr="000E5786">
        <w:rPr>
          <w:rStyle w:val="normaltextrun"/>
          <w:rFonts w:cs="Arial"/>
          <w:color w:val="293947"/>
          <w:szCs w:val="20"/>
          <w:shd w:val="clear" w:color="auto" w:fill="FFFFFF"/>
        </w:rPr>
        <w:t xml:space="preserve"> </w:t>
      </w:r>
      <w:r w:rsidRPr="000E5786">
        <w:rPr>
          <w:rFonts w:cs="Arial"/>
          <w:szCs w:val="20"/>
        </w:rPr>
        <w:t xml:space="preserve">to ensure compliance with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project processes and stage gates. </w:t>
      </w:r>
    </w:p>
    <w:p w14:paraId="0090F756" w14:textId="77777777" w:rsidR="00D85F7C" w:rsidRPr="000E5786" w:rsidRDefault="00D85F7C" w:rsidP="00F966FF">
      <w:pPr>
        <w:pStyle w:val="Heading2"/>
        <w:numPr>
          <w:ilvl w:val="1"/>
          <w:numId w:val="149"/>
        </w:numPr>
        <w:spacing w:after="120"/>
        <w:rPr>
          <w:rFonts w:cs="Arial"/>
          <w:szCs w:val="20"/>
        </w:rPr>
      </w:pPr>
      <w:r w:rsidRPr="000E5786">
        <w:rPr>
          <w:rFonts w:cs="Arial"/>
          <w:szCs w:val="20"/>
        </w:rPr>
        <w:t>The Supplier will provide the following project management capabilities:</w:t>
      </w:r>
    </w:p>
    <w:p w14:paraId="546D4AD3" w14:textId="77777777" w:rsidR="00D85F7C" w:rsidRPr="000E5786" w:rsidRDefault="00D85F7C" w:rsidP="00F966FF">
      <w:pPr>
        <w:pStyle w:val="Heading3"/>
        <w:numPr>
          <w:ilvl w:val="2"/>
          <w:numId w:val="149"/>
        </w:numPr>
      </w:pPr>
      <w:proofErr w:type="gramStart"/>
      <w:r w:rsidRPr="000E5786">
        <w:t>reporting;</w:t>
      </w:r>
      <w:proofErr w:type="gramEnd"/>
      <w:r w:rsidRPr="000E5786">
        <w:t xml:space="preserve"> </w:t>
      </w:r>
    </w:p>
    <w:p w14:paraId="7FDC5D69" w14:textId="77777777" w:rsidR="00D85F7C" w:rsidRPr="000E5786" w:rsidRDefault="00D85F7C" w:rsidP="00F966FF">
      <w:pPr>
        <w:pStyle w:val="Heading3"/>
        <w:numPr>
          <w:ilvl w:val="2"/>
          <w:numId w:val="149"/>
        </w:numPr>
      </w:pPr>
      <w:r w:rsidRPr="000E5786">
        <w:t xml:space="preserve">risk and issue </w:t>
      </w:r>
      <w:proofErr w:type="gramStart"/>
      <w:r w:rsidRPr="000E5786">
        <w:t>management;</w:t>
      </w:r>
      <w:proofErr w:type="gramEnd"/>
      <w:r w:rsidRPr="000E5786">
        <w:t xml:space="preserve"> </w:t>
      </w:r>
    </w:p>
    <w:p w14:paraId="43F88BDE" w14:textId="77777777" w:rsidR="00D85F7C" w:rsidRPr="000E5786" w:rsidRDefault="00D85F7C" w:rsidP="00F966FF">
      <w:pPr>
        <w:pStyle w:val="Heading3"/>
        <w:numPr>
          <w:ilvl w:val="2"/>
          <w:numId w:val="149"/>
        </w:numPr>
      </w:pPr>
      <w:r w:rsidRPr="000E5786">
        <w:t xml:space="preserve">stakeholder </w:t>
      </w:r>
      <w:proofErr w:type="gramStart"/>
      <w:r w:rsidRPr="000E5786">
        <w:t>management;</w:t>
      </w:r>
      <w:proofErr w:type="gramEnd"/>
    </w:p>
    <w:p w14:paraId="311A8DE7" w14:textId="77777777" w:rsidR="00D85F7C" w:rsidRPr="000E5786" w:rsidRDefault="00D85F7C" w:rsidP="00F966FF">
      <w:pPr>
        <w:pStyle w:val="Heading3"/>
        <w:numPr>
          <w:ilvl w:val="2"/>
          <w:numId w:val="149"/>
        </w:numPr>
      </w:pPr>
      <w:r w:rsidRPr="000E5786">
        <w:t>resource planning; and</w:t>
      </w:r>
    </w:p>
    <w:p w14:paraId="62C2B0FB" w14:textId="77777777" w:rsidR="00D85F7C" w:rsidRPr="000E5786" w:rsidRDefault="00D85F7C" w:rsidP="00F966FF">
      <w:pPr>
        <w:pStyle w:val="Heading3"/>
        <w:numPr>
          <w:ilvl w:val="2"/>
          <w:numId w:val="149"/>
        </w:numPr>
      </w:pPr>
      <w:r w:rsidRPr="000E5786">
        <w:t>project planning.</w:t>
      </w:r>
    </w:p>
    <w:p w14:paraId="620C73C2" w14:textId="2D86F40B" w:rsidR="00D85F7C" w:rsidRPr="000E5786" w:rsidRDefault="00D85F7C" w:rsidP="00F966FF">
      <w:pPr>
        <w:pStyle w:val="Heading2"/>
        <w:numPr>
          <w:ilvl w:val="1"/>
          <w:numId w:val="149"/>
        </w:numPr>
        <w:spacing w:after="120"/>
        <w:rPr>
          <w:rFonts w:cs="Arial"/>
          <w:szCs w:val="20"/>
        </w:rPr>
      </w:pPr>
      <w:r w:rsidRPr="000E5786">
        <w:rPr>
          <w:rFonts w:cs="Arial"/>
          <w:szCs w:val="20"/>
        </w:rPr>
        <w:t xml:space="preserve">Supplier shall assist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with the preparation of each Draft Project Sheet and Project Sheet.</w:t>
      </w:r>
    </w:p>
    <w:p w14:paraId="12C1CCDF" w14:textId="77777777" w:rsidR="00D85F7C" w:rsidRPr="000E5786" w:rsidRDefault="00D85F7C" w:rsidP="00F966FF">
      <w:pPr>
        <w:pStyle w:val="Heading2"/>
        <w:numPr>
          <w:ilvl w:val="1"/>
          <w:numId w:val="149"/>
        </w:numPr>
        <w:spacing w:after="120"/>
        <w:rPr>
          <w:rFonts w:cs="Arial"/>
          <w:szCs w:val="20"/>
        </w:rPr>
      </w:pPr>
      <w:r w:rsidRPr="000E5786">
        <w:rPr>
          <w:rFonts w:cs="Arial"/>
          <w:szCs w:val="20"/>
        </w:rPr>
        <w:t>The Supplier shall ensure that all Projects shall have a Project Sheet agreed between the Parties before the work can commence.</w:t>
      </w:r>
    </w:p>
    <w:p w14:paraId="2FDD3000" w14:textId="2D4D14C7" w:rsidR="00D85F7C" w:rsidRPr="000E5786" w:rsidRDefault="00D85F7C" w:rsidP="00F966FF">
      <w:pPr>
        <w:pStyle w:val="Heading2"/>
        <w:numPr>
          <w:ilvl w:val="1"/>
          <w:numId w:val="149"/>
        </w:numPr>
        <w:spacing w:after="120"/>
        <w:rPr>
          <w:rFonts w:cs="Arial"/>
          <w:szCs w:val="20"/>
        </w:rPr>
      </w:pPr>
      <w:r w:rsidRPr="000E5786">
        <w:rPr>
          <w:rFonts w:cs="Arial"/>
          <w:szCs w:val="20"/>
        </w:rPr>
        <w:t xml:space="preserve">The Supplier shall deliver all Projects according to a Project Plan which shall be agreed between the Parties for all Projects. The Supplier shall make all Project Plans available to specified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staff in a programme or portfolio view.</w:t>
      </w:r>
    </w:p>
    <w:p w14:paraId="27B8A4D5" w14:textId="77777777" w:rsidR="00407A01" w:rsidRPr="000E5786" w:rsidRDefault="00407A01" w:rsidP="00407A01">
      <w:pPr>
        <w:pStyle w:val="Heading2"/>
        <w:numPr>
          <w:ilvl w:val="0"/>
          <w:numId w:val="0"/>
        </w:numPr>
        <w:spacing w:after="120"/>
        <w:ind w:left="709"/>
        <w:rPr>
          <w:rFonts w:cs="Arial"/>
          <w:szCs w:val="20"/>
        </w:rPr>
      </w:pPr>
    </w:p>
    <w:p w14:paraId="53873130" w14:textId="77777777" w:rsidR="00D85F7C" w:rsidRPr="000E5786" w:rsidRDefault="00D85F7C" w:rsidP="00F966FF">
      <w:pPr>
        <w:pStyle w:val="Heading1"/>
        <w:numPr>
          <w:ilvl w:val="0"/>
          <w:numId w:val="149"/>
        </w:numPr>
        <w:spacing w:after="120"/>
        <w:rPr>
          <w:rFonts w:cs="Arial"/>
          <w:szCs w:val="20"/>
        </w:rPr>
      </w:pPr>
      <w:r w:rsidRPr="000E5786">
        <w:rPr>
          <w:rFonts w:cs="Arial"/>
          <w:szCs w:val="20"/>
        </w:rPr>
        <w:t>Project Template Sheet</w:t>
      </w:r>
    </w:p>
    <w:p w14:paraId="0476D954" w14:textId="0122D46A" w:rsidR="00D85F7C" w:rsidRPr="000E5786" w:rsidRDefault="001F1C19" w:rsidP="00F966FF">
      <w:pPr>
        <w:pStyle w:val="Heading2"/>
        <w:numPr>
          <w:ilvl w:val="1"/>
          <w:numId w:val="149"/>
        </w:numPr>
        <w:spacing w:after="120"/>
        <w:rPr>
          <w:rFonts w:cs="Arial"/>
          <w:szCs w:val="20"/>
        </w:rPr>
      </w:pPr>
      <w:proofErr w:type="spellStart"/>
      <w:r>
        <w:rPr>
          <w:rFonts w:cs="Arial"/>
          <w:szCs w:val="20"/>
        </w:rPr>
        <w:t>Netlink</w:t>
      </w:r>
      <w:proofErr w:type="spellEnd"/>
      <w:r>
        <w:rPr>
          <w:rFonts w:cs="Arial"/>
          <w:szCs w:val="20"/>
        </w:rPr>
        <w:t xml:space="preserve"> Star</w:t>
      </w:r>
      <w:r w:rsidR="00D85F7C" w:rsidRPr="000E5786">
        <w:rPr>
          <w:rFonts w:cs="Arial"/>
          <w:szCs w:val="20"/>
        </w:rPr>
        <w:t xml:space="preserve"> shall capture its requirements for any Project using the </w:t>
      </w:r>
      <w:r w:rsidR="00D85F7C" w:rsidRPr="000E5786">
        <w:rPr>
          <w:rFonts w:cs="Arial"/>
          <w:bCs w:val="0"/>
          <w:szCs w:val="20"/>
        </w:rPr>
        <w:t>Project Template Sheet</w:t>
      </w:r>
      <w:r w:rsidR="00D85F7C" w:rsidRPr="000E5786">
        <w:rPr>
          <w:rFonts w:cs="Arial"/>
          <w:szCs w:val="20"/>
        </w:rPr>
        <w:t xml:space="preserve"> as outlined in Schedule 6.1 (Project Template Sheet).</w:t>
      </w:r>
    </w:p>
    <w:p w14:paraId="5E7C2BA7" w14:textId="71985385" w:rsidR="00D85F7C" w:rsidRPr="000E5786" w:rsidRDefault="00D85F7C" w:rsidP="00F966FF">
      <w:pPr>
        <w:pStyle w:val="Heading2"/>
        <w:numPr>
          <w:ilvl w:val="1"/>
          <w:numId w:val="149"/>
        </w:numPr>
        <w:spacing w:after="120"/>
        <w:rPr>
          <w:rFonts w:cs="Arial"/>
          <w:szCs w:val="20"/>
        </w:rPr>
      </w:pPr>
      <w:r w:rsidRPr="000E5786">
        <w:rPr>
          <w:rFonts w:cs="Arial"/>
          <w:szCs w:val="20"/>
        </w:rPr>
        <w:t>The Supplier shall not start work on delivering any Project until the appropriate Draft Project Sheet is agreed in accordance with the Change Control Procedure.</w:t>
      </w:r>
    </w:p>
    <w:p w14:paraId="7BC914D7" w14:textId="77777777" w:rsidR="00407A01" w:rsidRPr="000E5786" w:rsidRDefault="00407A01" w:rsidP="00407A01">
      <w:pPr>
        <w:pStyle w:val="Heading2"/>
        <w:numPr>
          <w:ilvl w:val="0"/>
          <w:numId w:val="0"/>
        </w:numPr>
        <w:spacing w:after="120"/>
        <w:ind w:left="709"/>
        <w:rPr>
          <w:rFonts w:cs="Arial"/>
          <w:szCs w:val="20"/>
        </w:rPr>
      </w:pPr>
    </w:p>
    <w:p w14:paraId="5CA39216" w14:textId="77777777" w:rsidR="00D85F7C" w:rsidRPr="000E5786" w:rsidRDefault="00D85F7C" w:rsidP="00F966FF">
      <w:pPr>
        <w:pStyle w:val="Heading1"/>
        <w:numPr>
          <w:ilvl w:val="0"/>
          <w:numId w:val="149"/>
        </w:numPr>
        <w:spacing w:after="120"/>
        <w:rPr>
          <w:rFonts w:cs="Arial"/>
          <w:szCs w:val="20"/>
        </w:rPr>
      </w:pPr>
      <w:r w:rsidRPr="000E5786">
        <w:rPr>
          <w:rFonts w:cs="Arial"/>
          <w:szCs w:val="20"/>
        </w:rPr>
        <w:t>Project Sheet Contents</w:t>
      </w:r>
    </w:p>
    <w:p w14:paraId="0A284FD4" w14:textId="77777777" w:rsidR="00D85F7C" w:rsidRPr="000E5786" w:rsidRDefault="00D85F7C" w:rsidP="00F966FF">
      <w:pPr>
        <w:pStyle w:val="Heading2"/>
        <w:numPr>
          <w:ilvl w:val="1"/>
          <w:numId w:val="149"/>
        </w:numPr>
        <w:spacing w:after="120"/>
        <w:rPr>
          <w:rFonts w:cs="Arial"/>
          <w:szCs w:val="20"/>
        </w:rPr>
      </w:pPr>
      <w:r w:rsidRPr="000E5786">
        <w:rPr>
          <w:rFonts w:cs="Arial"/>
          <w:szCs w:val="20"/>
        </w:rPr>
        <w:t>The Supplier shall ensure that each Draft Project Sheet and Project Sheet shall include:</w:t>
      </w:r>
    </w:p>
    <w:p w14:paraId="478B38D4" w14:textId="77777777" w:rsidR="00D85F7C" w:rsidRPr="000E5786" w:rsidRDefault="00D85F7C" w:rsidP="00F966FF">
      <w:pPr>
        <w:pStyle w:val="Heading3"/>
        <w:numPr>
          <w:ilvl w:val="2"/>
          <w:numId w:val="149"/>
        </w:numPr>
      </w:pPr>
      <w:r w:rsidRPr="000E5786">
        <w:t xml:space="preserve">all Project Template Sheet sections fully completed with the following sections including at a </w:t>
      </w:r>
      <w:proofErr w:type="gramStart"/>
      <w:r w:rsidRPr="000E5786">
        <w:t>minimum;</w:t>
      </w:r>
      <w:proofErr w:type="gramEnd"/>
      <w:r w:rsidRPr="000E5786">
        <w:t xml:space="preserve"> </w:t>
      </w:r>
    </w:p>
    <w:p w14:paraId="430FFB6D" w14:textId="2483F12A" w:rsidR="00D85F7C" w:rsidRPr="000E5786" w:rsidRDefault="00D85F7C" w:rsidP="00F966FF">
      <w:pPr>
        <w:pStyle w:val="Heading3"/>
        <w:numPr>
          <w:ilvl w:val="2"/>
          <w:numId w:val="149"/>
        </w:numPr>
      </w:pPr>
      <w:r w:rsidRPr="000E5786">
        <w:t>Section 6. Project:</w:t>
      </w:r>
    </w:p>
    <w:p w14:paraId="572D5957" w14:textId="77777777" w:rsidR="00D85F7C" w:rsidRPr="000E5786" w:rsidRDefault="00D85F7C" w:rsidP="00F966FF">
      <w:pPr>
        <w:pStyle w:val="Heading4"/>
        <w:numPr>
          <w:ilvl w:val="3"/>
          <w:numId w:val="149"/>
        </w:numPr>
        <w:spacing w:after="120"/>
        <w:ind w:left="2410"/>
        <w:rPr>
          <w:rFonts w:cs="Arial"/>
          <w:szCs w:val="20"/>
        </w:rPr>
      </w:pPr>
      <w:bookmarkStart w:id="2291" w:name="_Hlk77250473"/>
      <w:r w:rsidRPr="000E5786">
        <w:rPr>
          <w:rFonts w:cs="Arial"/>
          <w:szCs w:val="20"/>
        </w:rPr>
        <w:t xml:space="preserve">an overview </w:t>
      </w:r>
      <w:proofErr w:type="gramStart"/>
      <w:r w:rsidRPr="000E5786">
        <w:rPr>
          <w:rFonts w:cs="Arial"/>
          <w:szCs w:val="20"/>
        </w:rPr>
        <w:t>commentary;</w:t>
      </w:r>
      <w:proofErr w:type="gramEnd"/>
    </w:p>
    <w:p w14:paraId="01C94928"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 xml:space="preserve">high level delivery </w:t>
      </w:r>
      <w:proofErr w:type="gramStart"/>
      <w:r w:rsidRPr="000E5786">
        <w:rPr>
          <w:rFonts w:cs="Arial"/>
          <w:szCs w:val="20"/>
        </w:rPr>
        <w:t>approach;</w:t>
      </w:r>
      <w:proofErr w:type="gramEnd"/>
    </w:p>
    <w:p w14:paraId="22084240"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 xml:space="preserve">alignment to the appropriate GRIP </w:t>
      </w:r>
      <w:proofErr w:type="gramStart"/>
      <w:r w:rsidRPr="000E5786">
        <w:rPr>
          <w:rFonts w:cs="Arial"/>
          <w:szCs w:val="20"/>
        </w:rPr>
        <w:t>stages;</w:t>
      </w:r>
      <w:proofErr w:type="gramEnd"/>
    </w:p>
    <w:p w14:paraId="31E24601"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Project RACI; and</w:t>
      </w:r>
    </w:p>
    <w:p w14:paraId="50A45A0C"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 xml:space="preserve">key risks and </w:t>
      </w:r>
      <w:proofErr w:type="gramStart"/>
      <w:r w:rsidRPr="000E5786">
        <w:rPr>
          <w:rFonts w:cs="Arial"/>
          <w:szCs w:val="20"/>
        </w:rPr>
        <w:t>mitigations;</w:t>
      </w:r>
      <w:proofErr w:type="gramEnd"/>
    </w:p>
    <w:bookmarkEnd w:id="2291"/>
    <w:p w14:paraId="4C1F555A" w14:textId="77777777" w:rsidR="00D85F7C" w:rsidRPr="000E5786" w:rsidRDefault="00D85F7C" w:rsidP="00F966FF">
      <w:pPr>
        <w:pStyle w:val="Heading3"/>
        <w:numPr>
          <w:ilvl w:val="2"/>
          <w:numId w:val="149"/>
        </w:numPr>
      </w:pPr>
      <w:r w:rsidRPr="000E5786">
        <w:t>Section 9. Deliverables:</w:t>
      </w:r>
    </w:p>
    <w:p w14:paraId="691A331D"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the Acceptance Criteria attached to each Deliverable; and</w:t>
      </w:r>
    </w:p>
    <w:p w14:paraId="2D27BC13" w14:textId="77777777" w:rsidR="00D85F7C" w:rsidRPr="000E5786" w:rsidRDefault="00D85F7C" w:rsidP="00F966FF">
      <w:pPr>
        <w:pStyle w:val="Heading3"/>
        <w:numPr>
          <w:ilvl w:val="2"/>
          <w:numId w:val="149"/>
        </w:numPr>
      </w:pPr>
      <w:r w:rsidRPr="000E5786">
        <w:lastRenderedPageBreak/>
        <w:t>Section 14. Charges and Milestones</w:t>
      </w:r>
    </w:p>
    <w:p w14:paraId="6866E4E4"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Project Plan including Milestones and any payment amounts attached to satisfaction of the Milestone; and</w:t>
      </w:r>
    </w:p>
    <w:p w14:paraId="4E67DD50" w14:textId="6C31824D" w:rsidR="00D85F7C" w:rsidRPr="000E5786" w:rsidRDefault="00D85F7C" w:rsidP="00F966FF">
      <w:pPr>
        <w:pStyle w:val="Heading4"/>
        <w:numPr>
          <w:ilvl w:val="3"/>
          <w:numId w:val="149"/>
        </w:numPr>
        <w:spacing w:after="120"/>
        <w:ind w:left="2410"/>
        <w:rPr>
          <w:rFonts w:cs="Arial"/>
          <w:szCs w:val="20"/>
        </w:rPr>
      </w:pPr>
      <w:r w:rsidRPr="000E5786">
        <w:rPr>
          <w:rFonts w:cs="Arial"/>
          <w:szCs w:val="20"/>
        </w:rPr>
        <w:t>the Acceptance Criteria attached to each Milestone.</w:t>
      </w:r>
    </w:p>
    <w:p w14:paraId="4260AA1A" w14:textId="77777777" w:rsidR="00407A01" w:rsidRPr="000E5786" w:rsidRDefault="00407A01" w:rsidP="00407A01">
      <w:pPr>
        <w:pStyle w:val="Heading4"/>
        <w:numPr>
          <w:ilvl w:val="0"/>
          <w:numId w:val="0"/>
        </w:numPr>
        <w:spacing w:after="120"/>
        <w:ind w:left="1702"/>
        <w:rPr>
          <w:rFonts w:cs="Arial"/>
          <w:szCs w:val="20"/>
        </w:rPr>
      </w:pPr>
    </w:p>
    <w:p w14:paraId="01A221C7" w14:textId="77777777" w:rsidR="00D85F7C" w:rsidRPr="000E5786" w:rsidRDefault="00D85F7C" w:rsidP="00F966FF">
      <w:pPr>
        <w:pStyle w:val="Heading1"/>
        <w:numPr>
          <w:ilvl w:val="0"/>
          <w:numId w:val="149"/>
        </w:numPr>
        <w:spacing w:after="120"/>
        <w:rPr>
          <w:rFonts w:cs="Arial"/>
          <w:szCs w:val="20"/>
        </w:rPr>
      </w:pPr>
      <w:r w:rsidRPr="000E5786">
        <w:rPr>
          <w:rFonts w:cs="Arial"/>
          <w:szCs w:val="20"/>
        </w:rPr>
        <w:t>Project Plan</w:t>
      </w:r>
    </w:p>
    <w:p w14:paraId="43F68F5B" w14:textId="77252606" w:rsidR="00D85F7C" w:rsidRPr="000E5786" w:rsidRDefault="00D85F7C" w:rsidP="00F966FF">
      <w:pPr>
        <w:pStyle w:val="Heading2"/>
        <w:numPr>
          <w:ilvl w:val="1"/>
          <w:numId w:val="149"/>
        </w:numPr>
        <w:spacing w:after="120"/>
        <w:rPr>
          <w:rFonts w:cs="Arial"/>
          <w:szCs w:val="20"/>
        </w:rPr>
      </w:pPr>
      <w:r w:rsidRPr="000E5786">
        <w:rPr>
          <w:rFonts w:cs="Arial"/>
          <w:szCs w:val="20"/>
        </w:rPr>
        <w:t xml:space="preserve">The Supplier shall produce a service-based plan to support control and delivery that will have the appropriate phases per Paragraph 5 and align to the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GRIP stages as agreed with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to be relevant to the Project</w:t>
      </w:r>
      <w:r w:rsidR="00C10638">
        <w:rPr>
          <w:rFonts w:cs="Arial"/>
          <w:szCs w:val="20"/>
        </w:rPr>
        <w:t xml:space="preserve"> (“</w:t>
      </w:r>
      <w:r w:rsidR="00C10638" w:rsidRPr="00C10638">
        <w:rPr>
          <w:rFonts w:cs="Arial"/>
          <w:b/>
          <w:bCs w:val="0"/>
          <w:szCs w:val="20"/>
        </w:rPr>
        <w:t>Project Plan</w:t>
      </w:r>
      <w:r w:rsidR="00C10638">
        <w:rPr>
          <w:rFonts w:cs="Arial"/>
          <w:szCs w:val="20"/>
        </w:rPr>
        <w:t>”)</w:t>
      </w:r>
      <w:r w:rsidRPr="000E5786">
        <w:rPr>
          <w:rFonts w:cs="Arial"/>
          <w:szCs w:val="20"/>
        </w:rPr>
        <w:t>.</w:t>
      </w:r>
    </w:p>
    <w:p w14:paraId="64E67B83" w14:textId="4EF9FE1D" w:rsidR="00D85F7C" w:rsidRPr="000E5786" w:rsidRDefault="00D85F7C" w:rsidP="00F966FF">
      <w:pPr>
        <w:pStyle w:val="Heading2"/>
        <w:numPr>
          <w:ilvl w:val="1"/>
          <w:numId w:val="149"/>
        </w:numPr>
        <w:spacing w:after="120"/>
        <w:rPr>
          <w:rFonts w:cs="Arial"/>
          <w:szCs w:val="20"/>
        </w:rPr>
      </w:pPr>
      <w:r w:rsidRPr="000E5786">
        <w:rPr>
          <w:rFonts w:cs="Arial"/>
          <w:szCs w:val="20"/>
        </w:rPr>
        <w:t xml:space="preserve">The Supplier shall supply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the following as a minimum during the duration of the </w:t>
      </w:r>
      <w:proofErr w:type="gramStart"/>
      <w:r w:rsidRPr="000E5786">
        <w:rPr>
          <w:rFonts w:cs="Arial"/>
          <w:szCs w:val="20"/>
        </w:rPr>
        <w:t>particular Project</w:t>
      </w:r>
      <w:proofErr w:type="gramEnd"/>
      <w:r w:rsidRPr="000E5786">
        <w:rPr>
          <w:rFonts w:cs="Arial"/>
          <w:szCs w:val="20"/>
        </w:rPr>
        <w:t>.</w:t>
      </w:r>
    </w:p>
    <w:tbl>
      <w:tblPr>
        <w:tblW w:w="8363" w:type="dxa"/>
        <w:tblInd w:w="70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3"/>
        <w:gridCol w:w="1845"/>
        <w:gridCol w:w="3292"/>
        <w:gridCol w:w="2623"/>
      </w:tblGrid>
      <w:tr w:rsidR="00D85F7C" w:rsidRPr="000E5786" w14:paraId="2F86F8A7" w14:textId="77777777" w:rsidTr="00C3397C">
        <w:tc>
          <w:tcPr>
            <w:tcW w:w="603" w:type="dxa"/>
            <w:tcBorders>
              <w:top w:val="single" w:sz="6" w:space="0" w:color="auto"/>
              <w:left w:val="single" w:sz="6" w:space="0" w:color="auto"/>
              <w:bottom w:val="single" w:sz="6" w:space="0" w:color="auto"/>
              <w:right w:val="single" w:sz="6" w:space="0" w:color="auto"/>
            </w:tcBorders>
            <w:shd w:val="clear" w:color="auto" w:fill="3876BE"/>
            <w:hideMark/>
          </w:tcPr>
          <w:p w14:paraId="791D33A4" w14:textId="77777777" w:rsidR="00D85F7C" w:rsidRPr="000E5786" w:rsidRDefault="00D85F7C" w:rsidP="00C3397C">
            <w:pPr>
              <w:ind w:left="420"/>
              <w:jc w:val="left"/>
              <w:textAlignment w:val="baseline"/>
              <w:rPr>
                <w:rFonts w:cs="Arial"/>
                <w:szCs w:val="20"/>
              </w:rPr>
            </w:pPr>
            <w:r w:rsidRPr="000E5786">
              <w:rPr>
                <w:rFonts w:cs="Arial"/>
                <w:b/>
                <w:bCs/>
                <w:szCs w:val="20"/>
              </w:rPr>
              <w:t>GRIP</w:t>
            </w:r>
            <w:r w:rsidRPr="000E5786">
              <w:rPr>
                <w:rFonts w:cs="Arial"/>
                <w:szCs w:val="20"/>
              </w:rPr>
              <w:t> </w:t>
            </w:r>
          </w:p>
        </w:tc>
        <w:tc>
          <w:tcPr>
            <w:tcW w:w="1845" w:type="dxa"/>
            <w:tcBorders>
              <w:top w:val="single" w:sz="6" w:space="0" w:color="auto"/>
              <w:left w:val="single" w:sz="6" w:space="0" w:color="auto"/>
              <w:bottom w:val="single" w:sz="6" w:space="0" w:color="auto"/>
              <w:right w:val="single" w:sz="6" w:space="0" w:color="auto"/>
            </w:tcBorders>
            <w:shd w:val="clear" w:color="auto" w:fill="3876BE"/>
            <w:hideMark/>
          </w:tcPr>
          <w:p w14:paraId="70531FB9" w14:textId="77777777" w:rsidR="00D85F7C" w:rsidRPr="000E5786" w:rsidRDefault="00D85F7C" w:rsidP="00C3397C">
            <w:pPr>
              <w:ind w:left="420" w:hanging="307"/>
              <w:jc w:val="left"/>
              <w:textAlignment w:val="baseline"/>
              <w:rPr>
                <w:rFonts w:cs="Arial"/>
                <w:szCs w:val="20"/>
              </w:rPr>
            </w:pPr>
            <w:r w:rsidRPr="000E5786">
              <w:rPr>
                <w:rFonts w:cs="Arial"/>
                <w:b/>
                <w:bCs/>
                <w:szCs w:val="20"/>
              </w:rPr>
              <w:t>Name</w:t>
            </w:r>
            <w:r w:rsidRPr="000E5786">
              <w:rPr>
                <w:rFonts w:cs="Arial"/>
                <w:szCs w:val="20"/>
              </w:rPr>
              <w:t> </w:t>
            </w:r>
          </w:p>
        </w:tc>
        <w:tc>
          <w:tcPr>
            <w:tcW w:w="3292" w:type="dxa"/>
            <w:tcBorders>
              <w:top w:val="single" w:sz="6" w:space="0" w:color="auto"/>
              <w:left w:val="single" w:sz="6" w:space="0" w:color="auto"/>
              <w:bottom w:val="single" w:sz="6" w:space="0" w:color="auto"/>
              <w:right w:val="single" w:sz="6" w:space="0" w:color="auto"/>
            </w:tcBorders>
            <w:shd w:val="clear" w:color="auto" w:fill="3876BE"/>
            <w:hideMark/>
          </w:tcPr>
          <w:p w14:paraId="3FF4F3DE" w14:textId="77777777" w:rsidR="00D85F7C" w:rsidRPr="000E5786" w:rsidRDefault="00D85F7C" w:rsidP="00C3397C">
            <w:pPr>
              <w:ind w:left="420" w:hanging="309"/>
              <w:jc w:val="left"/>
              <w:textAlignment w:val="baseline"/>
              <w:rPr>
                <w:rFonts w:cs="Arial"/>
                <w:szCs w:val="20"/>
              </w:rPr>
            </w:pPr>
            <w:r w:rsidRPr="000E5786">
              <w:rPr>
                <w:rFonts w:cs="Arial"/>
                <w:b/>
                <w:bCs/>
                <w:szCs w:val="20"/>
              </w:rPr>
              <w:t>Stage Aim</w:t>
            </w:r>
            <w:r w:rsidRPr="000E5786">
              <w:rPr>
                <w:rFonts w:cs="Arial"/>
                <w:szCs w:val="20"/>
              </w:rPr>
              <w:t> </w:t>
            </w:r>
          </w:p>
        </w:tc>
        <w:tc>
          <w:tcPr>
            <w:tcW w:w="2623" w:type="dxa"/>
            <w:tcBorders>
              <w:top w:val="single" w:sz="6" w:space="0" w:color="auto"/>
              <w:left w:val="single" w:sz="6" w:space="0" w:color="auto"/>
              <w:bottom w:val="single" w:sz="6" w:space="0" w:color="auto"/>
              <w:right w:val="single" w:sz="6" w:space="0" w:color="auto"/>
            </w:tcBorders>
            <w:shd w:val="clear" w:color="auto" w:fill="3876BE"/>
            <w:hideMark/>
          </w:tcPr>
          <w:p w14:paraId="333C68A3" w14:textId="77777777" w:rsidR="00D85F7C" w:rsidRPr="000E5786" w:rsidRDefault="00D85F7C" w:rsidP="00C3397C">
            <w:pPr>
              <w:ind w:left="420" w:hanging="348"/>
              <w:jc w:val="left"/>
              <w:textAlignment w:val="baseline"/>
              <w:rPr>
                <w:rFonts w:cs="Arial"/>
                <w:szCs w:val="20"/>
              </w:rPr>
            </w:pPr>
            <w:r w:rsidRPr="000E5786">
              <w:rPr>
                <w:rFonts w:cs="Arial"/>
                <w:b/>
                <w:bCs/>
                <w:szCs w:val="20"/>
              </w:rPr>
              <w:t>Main Output</w:t>
            </w:r>
            <w:r w:rsidRPr="000E5786">
              <w:rPr>
                <w:rFonts w:cs="Arial"/>
                <w:szCs w:val="20"/>
              </w:rPr>
              <w:t> </w:t>
            </w:r>
          </w:p>
        </w:tc>
      </w:tr>
      <w:tr w:rsidR="00D85F7C" w:rsidRPr="000E5786" w14:paraId="468707F1" w14:textId="77777777" w:rsidTr="00C3397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67FDE46D" w14:textId="77777777" w:rsidR="00D85F7C" w:rsidRPr="000E5786" w:rsidRDefault="00D85F7C" w:rsidP="00C3397C">
            <w:pPr>
              <w:ind w:left="0" w:hanging="5"/>
              <w:jc w:val="center"/>
              <w:textAlignment w:val="baseline"/>
              <w:rPr>
                <w:rFonts w:cs="Arial"/>
                <w:color w:val="293947"/>
                <w:szCs w:val="20"/>
              </w:rPr>
            </w:pPr>
            <w:r w:rsidRPr="00C3397C">
              <w:rPr>
                <w:rFonts w:cs="Arial"/>
                <w:color w:val="293947"/>
                <w:szCs w:val="20"/>
              </w:rPr>
              <w:t>1</w:t>
            </w:r>
            <w:r w:rsidRPr="000E5786">
              <w:rPr>
                <w:rFonts w:cs="Arial"/>
                <w:color w:val="293947"/>
                <w:szCs w:val="20"/>
              </w:rPr>
              <w:t> </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12310790" w14:textId="77777777" w:rsidR="00D85F7C" w:rsidRPr="000E5786" w:rsidRDefault="00D85F7C" w:rsidP="00C3397C">
            <w:pPr>
              <w:ind w:left="84" w:right="-678" w:firstLine="0"/>
              <w:jc w:val="left"/>
              <w:textAlignment w:val="baseline"/>
              <w:rPr>
                <w:rFonts w:cs="Arial"/>
                <w:color w:val="293947"/>
                <w:szCs w:val="20"/>
              </w:rPr>
            </w:pPr>
            <w:r w:rsidRPr="000E5786">
              <w:rPr>
                <w:rFonts w:cs="Arial"/>
                <w:color w:val="293947"/>
                <w:szCs w:val="20"/>
              </w:rPr>
              <w:t>Output Definition </w:t>
            </w:r>
          </w:p>
        </w:tc>
        <w:tc>
          <w:tcPr>
            <w:tcW w:w="3292" w:type="dxa"/>
            <w:tcBorders>
              <w:top w:val="single" w:sz="6" w:space="0" w:color="auto"/>
              <w:left w:val="single" w:sz="6" w:space="0" w:color="auto"/>
              <w:bottom w:val="single" w:sz="6" w:space="0" w:color="auto"/>
              <w:right w:val="single" w:sz="6" w:space="0" w:color="auto"/>
            </w:tcBorders>
            <w:shd w:val="clear" w:color="auto" w:fill="auto"/>
            <w:hideMark/>
          </w:tcPr>
          <w:p w14:paraId="7DFBCA3E" w14:textId="77777777" w:rsidR="00D85F7C" w:rsidRPr="000E5786" w:rsidRDefault="00D85F7C" w:rsidP="00C3397C">
            <w:pPr>
              <w:ind w:left="84" w:right="-678" w:firstLine="0"/>
              <w:jc w:val="left"/>
              <w:textAlignment w:val="baseline"/>
              <w:rPr>
                <w:rFonts w:cs="Arial"/>
                <w:color w:val="293947"/>
                <w:szCs w:val="20"/>
              </w:rPr>
            </w:pPr>
            <w:r w:rsidRPr="000E5786">
              <w:rPr>
                <w:rFonts w:cs="Arial"/>
                <w:color w:val="293947"/>
                <w:szCs w:val="20"/>
              </w:rPr>
              <w:t>Defines the output for the project </w:t>
            </w:r>
          </w:p>
        </w:tc>
        <w:tc>
          <w:tcPr>
            <w:tcW w:w="2623" w:type="dxa"/>
            <w:tcBorders>
              <w:top w:val="single" w:sz="6" w:space="0" w:color="auto"/>
              <w:left w:val="single" w:sz="6" w:space="0" w:color="auto"/>
              <w:bottom w:val="single" w:sz="6" w:space="0" w:color="auto"/>
              <w:right w:val="single" w:sz="6" w:space="0" w:color="auto"/>
            </w:tcBorders>
            <w:shd w:val="clear" w:color="auto" w:fill="auto"/>
            <w:hideMark/>
          </w:tcPr>
          <w:p w14:paraId="3F8AAFCC" w14:textId="77777777" w:rsidR="00D85F7C" w:rsidRPr="000E5786" w:rsidRDefault="00D85F7C" w:rsidP="00C3397C">
            <w:pPr>
              <w:ind w:left="84" w:right="-11" w:firstLine="0"/>
              <w:jc w:val="left"/>
              <w:textAlignment w:val="baseline"/>
              <w:rPr>
                <w:rFonts w:cs="Arial"/>
                <w:color w:val="293947"/>
                <w:szCs w:val="20"/>
              </w:rPr>
            </w:pPr>
            <w:r w:rsidRPr="000E5786">
              <w:rPr>
                <w:rFonts w:cs="Arial"/>
                <w:color w:val="293947"/>
                <w:szCs w:val="20"/>
              </w:rPr>
              <w:t>Definition of requirements, the problem or opportunity through stakeholder consultation </w:t>
            </w:r>
          </w:p>
        </w:tc>
      </w:tr>
      <w:tr w:rsidR="00D85F7C" w:rsidRPr="000E5786" w14:paraId="37A9CCBE" w14:textId="77777777" w:rsidTr="00C3397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4548726E" w14:textId="2E1F14C5" w:rsidR="00D85F7C" w:rsidRPr="000E5786" w:rsidRDefault="00D85F7C" w:rsidP="00C3397C">
            <w:pPr>
              <w:ind w:left="0" w:hanging="5"/>
              <w:jc w:val="center"/>
              <w:textAlignment w:val="baseline"/>
              <w:rPr>
                <w:rFonts w:cs="Arial"/>
                <w:color w:val="293947"/>
                <w:szCs w:val="20"/>
              </w:rPr>
            </w:pPr>
            <w:r w:rsidRPr="00C3397C">
              <w:rPr>
                <w:rFonts w:cs="Arial"/>
                <w:color w:val="293947"/>
                <w:szCs w:val="20"/>
              </w:rPr>
              <w:t>2</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075AC38D" w14:textId="77777777" w:rsidR="00D85F7C" w:rsidRPr="000E5786" w:rsidRDefault="00D85F7C" w:rsidP="00C3397C">
            <w:pPr>
              <w:ind w:left="84" w:firstLine="0"/>
              <w:jc w:val="left"/>
              <w:textAlignment w:val="baseline"/>
              <w:rPr>
                <w:rFonts w:cs="Arial"/>
                <w:color w:val="293947"/>
                <w:szCs w:val="20"/>
              </w:rPr>
            </w:pPr>
            <w:r w:rsidRPr="000E5786">
              <w:rPr>
                <w:rFonts w:cs="Arial"/>
                <w:color w:val="293947"/>
                <w:szCs w:val="20"/>
              </w:rPr>
              <w:t>Pre-feasibility </w:t>
            </w:r>
          </w:p>
        </w:tc>
        <w:tc>
          <w:tcPr>
            <w:tcW w:w="3292" w:type="dxa"/>
            <w:tcBorders>
              <w:top w:val="single" w:sz="6" w:space="0" w:color="auto"/>
              <w:left w:val="single" w:sz="6" w:space="0" w:color="auto"/>
              <w:bottom w:val="single" w:sz="6" w:space="0" w:color="auto"/>
              <w:right w:val="single" w:sz="6" w:space="0" w:color="auto"/>
            </w:tcBorders>
            <w:shd w:val="clear" w:color="auto" w:fill="auto"/>
            <w:hideMark/>
          </w:tcPr>
          <w:p w14:paraId="400CA6AE" w14:textId="77777777" w:rsidR="00D85F7C" w:rsidRPr="000E5786" w:rsidRDefault="00D85F7C" w:rsidP="00C3397C">
            <w:pPr>
              <w:ind w:left="84" w:firstLine="0"/>
              <w:jc w:val="left"/>
              <w:textAlignment w:val="baseline"/>
              <w:rPr>
                <w:rFonts w:cs="Arial"/>
                <w:color w:val="293947"/>
                <w:szCs w:val="20"/>
              </w:rPr>
            </w:pPr>
            <w:r w:rsidRPr="000E5786">
              <w:rPr>
                <w:rFonts w:cs="Arial"/>
                <w:color w:val="293947"/>
                <w:szCs w:val="20"/>
              </w:rPr>
              <w:t>Defines the scope of investment. Confirm that the outputs can be economically delivered and are aligned with organisation strategy. </w:t>
            </w:r>
          </w:p>
        </w:tc>
        <w:tc>
          <w:tcPr>
            <w:tcW w:w="2623" w:type="dxa"/>
            <w:tcBorders>
              <w:top w:val="single" w:sz="6" w:space="0" w:color="auto"/>
              <w:left w:val="single" w:sz="6" w:space="0" w:color="auto"/>
              <w:bottom w:val="single" w:sz="6" w:space="0" w:color="auto"/>
              <w:right w:val="single" w:sz="6" w:space="0" w:color="auto"/>
            </w:tcBorders>
            <w:shd w:val="clear" w:color="auto" w:fill="auto"/>
            <w:hideMark/>
          </w:tcPr>
          <w:p w14:paraId="40632C5D" w14:textId="77777777" w:rsidR="00D85F7C" w:rsidRPr="000E5786" w:rsidRDefault="00D85F7C" w:rsidP="00C3397C">
            <w:pPr>
              <w:ind w:left="84" w:right="-11" w:firstLine="0"/>
              <w:jc w:val="left"/>
              <w:textAlignment w:val="baseline"/>
              <w:rPr>
                <w:rFonts w:cs="Arial"/>
                <w:color w:val="293947"/>
                <w:szCs w:val="20"/>
              </w:rPr>
            </w:pPr>
            <w:r w:rsidRPr="000E5786">
              <w:rPr>
                <w:rFonts w:cs="Arial"/>
                <w:color w:val="293947"/>
                <w:szCs w:val="20"/>
              </w:rPr>
              <w:t>Identifying solutions, in response to the requirements </w:t>
            </w:r>
          </w:p>
        </w:tc>
      </w:tr>
      <w:tr w:rsidR="00D85F7C" w:rsidRPr="000E5786" w14:paraId="635C3E3D" w14:textId="77777777" w:rsidTr="00C3397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08207084" w14:textId="796C9E62" w:rsidR="00D85F7C" w:rsidRPr="000E5786" w:rsidRDefault="00D85F7C" w:rsidP="00C3397C">
            <w:pPr>
              <w:ind w:left="0" w:hanging="5"/>
              <w:jc w:val="center"/>
              <w:textAlignment w:val="baseline"/>
              <w:rPr>
                <w:rFonts w:cs="Arial"/>
                <w:color w:val="293947"/>
                <w:szCs w:val="20"/>
              </w:rPr>
            </w:pPr>
            <w:r w:rsidRPr="00C3397C">
              <w:rPr>
                <w:rFonts w:cs="Arial"/>
                <w:color w:val="293947"/>
                <w:szCs w:val="20"/>
              </w:rPr>
              <w:t>3</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5F89231C" w14:textId="77777777" w:rsidR="00D85F7C" w:rsidRPr="000E5786" w:rsidRDefault="00D85F7C" w:rsidP="00C3397C">
            <w:pPr>
              <w:ind w:left="84" w:firstLine="0"/>
              <w:jc w:val="left"/>
              <w:textAlignment w:val="baseline"/>
              <w:rPr>
                <w:rFonts w:cs="Arial"/>
                <w:color w:val="293947"/>
                <w:szCs w:val="20"/>
              </w:rPr>
            </w:pPr>
            <w:r w:rsidRPr="000E5786">
              <w:rPr>
                <w:rFonts w:cs="Arial"/>
                <w:color w:val="293947"/>
                <w:szCs w:val="20"/>
              </w:rPr>
              <w:t>Option Selection </w:t>
            </w:r>
          </w:p>
        </w:tc>
        <w:tc>
          <w:tcPr>
            <w:tcW w:w="3292" w:type="dxa"/>
            <w:tcBorders>
              <w:top w:val="single" w:sz="6" w:space="0" w:color="auto"/>
              <w:left w:val="single" w:sz="6" w:space="0" w:color="auto"/>
              <w:bottom w:val="single" w:sz="6" w:space="0" w:color="auto"/>
              <w:right w:val="single" w:sz="6" w:space="0" w:color="auto"/>
            </w:tcBorders>
            <w:shd w:val="clear" w:color="auto" w:fill="auto"/>
            <w:hideMark/>
          </w:tcPr>
          <w:p w14:paraId="2B14DAFD" w14:textId="77777777" w:rsidR="00D85F7C" w:rsidRPr="000E5786" w:rsidRDefault="00D85F7C" w:rsidP="00C3397C">
            <w:pPr>
              <w:ind w:left="84" w:firstLine="0"/>
              <w:jc w:val="left"/>
              <w:textAlignment w:val="baseline"/>
              <w:rPr>
                <w:rFonts w:cs="Arial"/>
                <w:color w:val="293947"/>
                <w:szCs w:val="20"/>
              </w:rPr>
            </w:pPr>
            <w:r w:rsidRPr="000E5786">
              <w:rPr>
                <w:rFonts w:cs="Arial"/>
                <w:color w:val="293947"/>
                <w:szCs w:val="20"/>
              </w:rPr>
              <w:t xml:space="preserve">Develops options. Assesses and select the most appropriate option that </w:t>
            </w:r>
            <w:r w:rsidRPr="000E5786" w:rsidDel="005C1BB6">
              <w:rPr>
                <w:rFonts w:cs="Arial"/>
                <w:color w:val="293947"/>
                <w:szCs w:val="20"/>
              </w:rPr>
              <w:t xml:space="preserve">economically </w:t>
            </w:r>
            <w:r w:rsidRPr="000E5786">
              <w:rPr>
                <w:rFonts w:cs="Arial"/>
                <w:color w:val="293947"/>
                <w:szCs w:val="20"/>
              </w:rPr>
              <w:t>delivers the stakeholder requirements. </w:t>
            </w:r>
          </w:p>
        </w:tc>
        <w:tc>
          <w:tcPr>
            <w:tcW w:w="2623" w:type="dxa"/>
            <w:tcBorders>
              <w:top w:val="single" w:sz="6" w:space="0" w:color="auto"/>
              <w:left w:val="single" w:sz="6" w:space="0" w:color="auto"/>
              <w:bottom w:val="single" w:sz="6" w:space="0" w:color="auto"/>
              <w:right w:val="single" w:sz="6" w:space="0" w:color="auto"/>
            </w:tcBorders>
            <w:shd w:val="clear" w:color="auto" w:fill="auto"/>
            <w:hideMark/>
          </w:tcPr>
          <w:p w14:paraId="5A21F260" w14:textId="77777777" w:rsidR="00D85F7C" w:rsidRPr="000E5786" w:rsidRDefault="00D85F7C" w:rsidP="00C3397C">
            <w:pPr>
              <w:ind w:left="84" w:right="-11" w:firstLine="0"/>
              <w:jc w:val="left"/>
              <w:textAlignment w:val="baseline"/>
              <w:rPr>
                <w:rFonts w:cs="Arial"/>
                <w:color w:val="293947"/>
                <w:szCs w:val="20"/>
              </w:rPr>
            </w:pPr>
            <w:r w:rsidRPr="000E5786">
              <w:rPr>
                <w:rFonts w:cs="Arial"/>
                <w:color w:val="293947"/>
                <w:szCs w:val="20"/>
              </w:rPr>
              <w:t>Single option determined and stakeholder approval to option approved through Approval in Principle (AIP). </w:t>
            </w:r>
          </w:p>
        </w:tc>
      </w:tr>
      <w:tr w:rsidR="00D85F7C" w:rsidRPr="000E5786" w14:paraId="1AEA410C" w14:textId="77777777" w:rsidTr="00C3397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64CCA38B" w14:textId="5705071E" w:rsidR="00D85F7C" w:rsidRPr="000E5786" w:rsidRDefault="00D85F7C" w:rsidP="00C3397C">
            <w:pPr>
              <w:ind w:left="0" w:hanging="5"/>
              <w:jc w:val="center"/>
              <w:textAlignment w:val="baseline"/>
              <w:rPr>
                <w:rFonts w:cs="Arial"/>
                <w:color w:val="293947"/>
                <w:szCs w:val="20"/>
              </w:rPr>
            </w:pPr>
            <w:r w:rsidRPr="00C3397C">
              <w:rPr>
                <w:rFonts w:cs="Arial"/>
                <w:color w:val="293947"/>
                <w:szCs w:val="20"/>
              </w:rPr>
              <w:t>4</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19AAEF3A" w14:textId="77777777" w:rsidR="00D85F7C" w:rsidRPr="000E5786" w:rsidRDefault="00D85F7C" w:rsidP="00C3397C">
            <w:pPr>
              <w:ind w:left="84" w:firstLine="0"/>
              <w:jc w:val="left"/>
              <w:textAlignment w:val="baseline"/>
              <w:rPr>
                <w:rFonts w:cs="Arial"/>
                <w:color w:val="293947"/>
                <w:szCs w:val="20"/>
              </w:rPr>
            </w:pPr>
            <w:r w:rsidRPr="000E5786">
              <w:rPr>
                <w:rFonts w:cs="Arial"/>
                <w:color w:val="293947"/>
                <w:szCs w:val="20"/>
              </w:rPr>
              <w:t>Single Option Development </w:t>
            </w:r>
          </w:p>
        </w:tc>
        <w:tc>
          <w:tcPr>
            <w:tcW w:w="3292" w:type="dxa"/>
            <w:tcBorders>
              <w:top w:val="single" w:sz="6" w:space="0" w:color="auto"/>
              <w:left w:val="single" w:sz="6" w:space="0" w:color="auto"/>
              <w:bottom w:val="single" w:sz="6" w:space="0" w:color="auto"/>
              <w:right w:val="single" w:sz="6" w:space="0" w:color="auto"/>
            </w:tcBorders>
            <w:shd w:val="clear" w:color="auto" w:fill="auto"/>
            <w:hideMark/>
          </w:tcPr>
          <w:p w14:paraId="4DA854D8" w14:textId="77777777" w:rsidR="00D85F7C" w:rsidRPr="000E5786" w:rsidRDefault="00D85F7C" w:rsidP="00C3397C">
            <w:pPr>
              <w:ind w:left="84" w:firstLine="0"/>
              <w:jc w:val="left"/>
              <w:textAlignment w:val="baseline"/>
              <w:rPr>
                <w:rFonts w:cs="Arial"/>
                <w:color w:val="293947"/>
                <w:szCs w:val="20"/>
              </w:rPr>
            </w:pPr>
            <w:r w:rsidRPr="000E5786">
              <w:rPr>
                <w:rFonts w:cs="Arial"/>
                <w:color w:val="293947"/>
                <w:szCs w:val="20"/>
              </w:rPr>
              <w:t>Initiation of the development of the chosen single option. </w:t>
            </w:r>
          </w:p>
        </w:tc>
        <w:tc>
          <w:tcPr>
            <w:tcW w:w="2623" w:type="dxa"/>
            <w:tcBorders>
              <w:top w:val="single" w:sz="6" w:space="0" w:color="auto"/>
              <w:left w:val="single" w:sz="6" w:space="0" w:color="auto"/>
              <w:bottom w:val="single" w:sz="6" w:space="0" w:color="auto"/>
              <w:right w:val="single" w:sz="6" w:space="0" w:color="auto"/>
            </w:tcBorders>
            <w:shd w:val="clear" w:color="auto" w:fill="auto"/>
            <w:hideMark/>
          </w:tcPr>
          <w:p w14:paraId="4DCBB4F7" w14:textId="77777777" w:rsidR="00D85F7C" w:rsidRPr="000E5786" w:rsidRDefault="00D85F7C" w:rsidP="00C3397C">
            <w:pPr>
              <w:ind w:left="84" w:right="-11" w:firstLine="0"/>
              <w:jc w:val="left"/>
              <w:textAlignment w:val="baseline"/>
              <w:rPr>
                <w:rFonts w:cs="Arial"/>
                <w:color w:val="293947"/>
                <w:szCs w:val="20"/>
              </w:rPr>
            </w:pPr>
            <w:r w:rsidRPr="000E5786">
              <w:rPr>
                <w:rFonts w:cs="Arial"/>
                <w:color w:val="293947"/>
                <w:szCs w:val="20"/>
              </w:rPr>
              <w:t>Outline Design </w:t>
            </w:r>
          </w:p>
        </w:tc>
      </w:tr>
      <w:tr w:rsidR="00D85F7C" w:rsidRPr="000E5786" w14:paraId="78D20CD2" w14:textId="77777777" w:rsidTr="00C3397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27CE309E" w14:textId="76EEEAED" w:rsidR="00D85F7C" w:rsidRPr="000E5786" w:rsidRDefault="00D85F7C" w:rsidP="00C3397C">
            <w:pPr>
              <w:ind w:left="0" w:hanging="5"/>
              <w:jc w:val="center"/>
              <w:textAlignment w:val="baseline"/>
              <w:rPr>
                <w:rFonts w:cs="Arial"/>
                <w:color w:val="293947"/>
                <w:szCs w:val="20"/>
              </w:rPr>
            </w:pPr>
            <w:r w:rsidRPr="00C3397C">
              <w:rPr>
                <w:rFonts w:cs="Arial"/>
                <w:color w:val="293947"/>
                <w:szCs w:val="20"/>
              </w:rPr>
              <w:t>5</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2C2BED46" w14:textId="77777777" w:rsidR="00D85F7C" w:rsidRPr="000E5786" w:rsidRDefault="00D85F7C" w:rsidP="00C3397C">
            <w:pPr>
              <w:ind w:left="84" w:firstLine="0"/>
              <w:jc w:val="left"/>
              <w:textAlignment w:val="baseline"/>
              <w:rPr>
                <w:rFonts w:cs="Arial"/>
                <w:color w:val="293947"/>
                <w:szCs w:val="20"/>
              </w:rPr>
            </w:pPr>
            <w:r w:rsidRPr="000E5786">
              <w:rPr>
                <w:rFonts w:cs="Arial"/>
                <w:color w:val="293947"/>
                <w:szCs w:val="20"/>
              </w:rPr>
              <w:t>Detailed Design </w:t>
            </w:r>
          </w:p>
        </w:tc>
        <w:tc>
          <w:tcPr>
            <w:tcW w:w="3292" w:type="dxa"/>
            <w:tcBorders>
              <w:top w:val="single" w:sz="6" w:space="0" w:color="auto"/>
              <w:left w:val="single" w:sz="6" w:space="0" w:color="auto"/>
              <w:bottom w:val="single" w:sz="6" w:space="0" w:color="auto"/>
              <w:right w:val="single" w:sz="6" w:space="0" w:color="auto"/>
            </w:tcBorders>
            <w:shd w:val="clear" w:color="auto" w:fill="auto"/>
            <w:hideMark/>
          </w:tcPr>
          <w:p w14:paraId="2C3A6209" w14:textId="77777777" w:rsidR="00D85F7C" w:rsidRPr="000E5786" w:rsidRDefault="00D85F7C" w:rsidP="00C3397C">
            <w:pPr>
              <w:ind w:left="84" w:firstLine="0"/>
              <w:jc w:val="left"/>
              <w:textAlignment w:val="baseline"/>
              <w:rPr>
                <w:rFonts w:cs="Arial"/>
                <w:color w:val="293947"/>
                <w:szCs w:val="20"/>
              </w:rPr>
            </w:pPr>
            <w:r w:rsidRPr="000E5786">
              <w:rPr>
                <w:rFonts w:cs="Arial"/>
                <w:color w:val="293947"/>
                <w:szCs w:val="20"/>
              </w:rPr>
              <w:t>Produces a complete, robust engineering design that underpins definitive cost/time/resource and risk estimates </w:t>
            </w:r>
          </w:p>
        </w:tc>
        <w:tc>
          <w:tcPr>
            <w:tcW w:w="2623" w:type="dxa"/>
            <w:tcBorders>
              <w:top w:val="single" w:sz="6" w:space="0" w:color="auto"/>
              <w:left w:val="single" w:sz="6" w:space="0" w:color="auto"/>
              <w:bottom w:val="single" w:sz="6" w:space="0" w:color="auto"/>
              <w:right w:val="single" w:sz="6" w:space="0" w:color="auto"/>
            </w:tcBorders>
            <w:shd w:val="clear" w:color="auto" w:fill="auto"/>
            <w:hideMark/>
          </w:tcPr>
          <w:p w14:paraId="56CFB14F" w14:textId="77777777" w:rsidR="00D85F7C" w:rsidRPr="000E5786" w:rsidRDefault="00D85F7C" w:rsidP="00C3397C">
            <w:pPr>
              <w:ind w:left="84" w:right="-11" w:firstLine="0"/>
              <w:jc w:val="left"/>
              <w:textAlignment w:val="baseline"/>
              <w:rPr>
                <w:rFonts w:cs="Arial"/>
                <w:color w:val="293947"/>
                <w:szCs w:val="20"/>
              </w:rPr>
            </w:pPr>
            <w:r w:rsidRPr="000E5786">
              <w:rPr>
                <w:rFonts w:cs="Arial"/>
                <w:color w:val="293947"/>
                <w:szCs w:val="20"/>
              </w:rPr>
              <w:t>Full design to which the project will be built </w:t>
            </w:r>
          </w:p>
        </w:tc>
      </w:tr>
      <w:tr w:rsidR="00D85F7C" w:rsidRPr="000E5786" w14:paraId="03DCB6D4" w14:textId="77777777" w:rsidTr="00C3397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2D42CE6C" w14:textId="46B78EEB" w:rsidR="00D85F7C" w:rsidRPr="000E5786" w:rsidRDefault="00D85F7C" w:rsidP="00C3397C">
            <w:pPr>
              <w:ind w:left="0" w:hanging="5"/>
              <w:jc w:val="center"/>
              <w:textAlignment w:val="baseline"/>
              <w:rPr>
                <w:rFonts w:cs="Arial"/>
                <w:color w:val="293947"/>
                <w:szCs w:val="20"/>
              </w:rPr>
            </w:pPr>
            <w:r w:rsidRPr="00C3397C">
              <w:rPr>
                <w:rFonts w:cs="Arial"/>
                <w:color w:val="293947"/>
                <w:szCs w:val="20"/>
              </w:rPr>
              <w:t>6</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76F5E211" w14:textId="77777777" w:rsidR="00D85F7C" w:rsidRPr="000E5786" w:rsidRDefault="00D85F7C" w:rsidP="00C3397C">
            <w:pPr>
              <w:ind w:left="84" w:firstLine="0"/>
              <w:jc w:val="left"/>
              <w:textAlignment w:val="baseline"/>
              <w:rPr>
                <w:rFonts w:cs="Arial"/>
                <w:color w:val="293947"/>
                <w:szCs w:val="20"/>
              </w:rPr>
            </w:pPr>
            <w:r w:rsidRPr="000E5786">
              <w:rPr>
                <w:rFonts w:cs="Arial"/>
                <w:color w:val="293947"/>
                <w:szCs w:val="20"/>
              </w:rPr>
              <w:t>Construction Testing &amp; Commission </w:t>
            </w:r>
          </w:p>
        </w:tc>
        <w:tc>
          <w:tcPr>
            <w:tcW w:w="3292" w:type="dxa"/>
            <w:tcBorders>
              <w:top w:val="single" w:sz="6" w:space="0" w:color="auto"/>
              <w:left w:val="single" w:sz="6" w:space="0" w:color="auto"/>
              <w:bottom w:val="single" w:sz="6" w:space="0" w:color="auto"/>
              <w:right w:val="single" w:sz="6" w:space="0" w:color="auto"/>
            </w:tcBorders>
            <w:shd w:val="clear" w:color="auto" w:fill="auto"/>
            <w:hideMark/>
          </w:tcPr>
          <w:p w14:paraId="51EEA867" w14:textId="77777777" w:rsidR="00D85F7C" w:rsidRPr="000E5786" w:rsidRDefault="00D85F7C" w:rsidP="00C3397C">
            <w:pPr>
              <w:ind w:left="84" w:firstLine="0"/>
              <w:jc w:val="left"/>
              <w:textAlignment w:val="baseline"/>
              <w:rPr>
                <w:rFonts w:cs="Arial"/>
                <w:color w:val="293947"/>
                <w:szCs w:val="20"/>
              </w:rPr>
            </w:pPr>
            <w:r w:rsidRPr="000E5786">
              <w:rPr>
                <w:rFonts w:cs="Arial"/>
                <w:color w:val="293947"/>
                <w:szCs w:val="20"/>
              </w:rPr>
              <w:t>Delivery to the specification and testing to confirm operation in accordance with design </w:t>
            </w:r>
          </w:p>
        </w:tc>
        <w:tc>
          <w:tcPr>
            <w:tcW w:w="2623" w:type="dxa"/>
            <w:tcBorders>
              <w:top w:val="single" w:sz="6" w:space="0" w:color="auto"/>
              <w:left w:val="single" w:sz="6" w:space="0" w:color="auto"/>
              <w:bottom w:val="single" w:sz="6" w:space="0" w:color="auto"/>
              <w:right w:val="single" w:sz="6" w:space="0" w:color="auto"/>
            </w:tcBorders>
            <w:shd w:val="clear" w:color="auto" w:fill="auto"/>
            <w:hideMark/>
          </w:tcPr>
          <w:p w14:paraId="4BBF4591" w14:textId="77777777" w:rsidR="00D85F7C" w:rsidRPr="000E5786" w:rsidRDefault="00D85F7C" w:rsidP="00C3397C">
            <w:pPr>
              <w:ind w:left="84" w:right="-11" w:firstLine="0"/>
              <w:jc w:val="left"/>
              <w:textAlignment w:val="baseline"/>
              <w:rPr>
                <w:rFonts w:cs="Arial"/>
                <w:color w:val="293947"/>
                <w:szCs w:val="20"/>
              </w:rPr>
            </w:pPr>
            <w:r w:rsidRPr="000E5786">
              <w:rPr>
                <w:rFonts w:cs="Arial"/>
                <w:color w:val="293947"/>
                <w:szCs w:val="20"/>
              </w:rPr>
              <w:t xml:space="preserve">Project built, </w:t>
            </w:r>
            <w:proofErr w:type="gramStart"/>
            <w:r w:rsidRPr="000E5786">
              <w:rPr>
                <w:rFonts w:cs="Arial"/>
                <w:color w:val="293947"/>
                <w:szCs w:val="20"/>
              </w:rPr>
              <w:t>tested</w:t>
            </w:r>
            <w:proofErr w:type="gramEnd"/>
            <w:r w:rsidRPr="000E5786">
              <w:rPr>
                <w:rFonts w:cs="Arial"/>
                <w:color w:val="293947"/>
                <w:szCs w:val="20"/>
              </w:rPr>
              <w:t xml:space="preserve"> and commissioned into use </w:t>
            </w:r>
          </w:p>
        </w:tc>
      </w:tr>
      <w:tr w:rsidR="00D85F7C" w:rsidRPr="000E5786" w14:paraId="522C7F98" w14:textId="77777777" w:rsidTr="00C3397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455E8CC0" w14:textId="0AF29AED" w:rsidR="00D85F7C" w:rsidRPr="000E5786" w:rsidRDefault="00D85F7C" w:rsidP="00C3397C">
            <w:pPr>
              <w:ind w:left="0" w:hanging="5"/>
              <w:jc w:val="center"/>
              <w:textAlignment w:val="baseline"/>
              <w:rPr>
                <w:rFonts w:cs="Arial"/>
                <w:color w:val="293947"/>
                <w:szCs w:val="20"/>
              </w:rPr>
            </w:pPr>
            <w:r w:rsidRPr="00C3397C">
              <w:rPr>
                <w:rFonts w:cs="Arial"/>
                <w:color w:val="293947"/>
                <w:szCs w:val="20"/>
              </w:rPr>
              <w:t>7</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574A8242" w14:textId="77777777" w:rsidR="00D85F7C" w:rsidRPr="000E5786" w:rsidRDefault="00D85F7C" w:rsidP="00C3397C">
            <w:pPr>
              <w:ind w:left="84" w:firstLine="0"/>
              <w:jc w:val="left"/>
              <w:textAlignment w:val="baseline"/>
              <w:rPr>
                <w:rFonts w:cs="Arial"/>
                <w:color w:val="293947"/>
                <w:szCs w:val="20"/>
              </w:rPr>
            </w:pPr>
            <w:r w:rsidRPr="000E5786">
              <w:rPr>
                <w:rFonts w:cs="Arial"/>
                <w:color w:val="293947"/>
                <w:szCs w:val="20"/>
              </w:rPr>
              <w:t>Scheme </w:t>
            </w:r>
            <w:proofErr w:type="spellStart"/>
            <w:r w:rsidRPr="000E5786">
              <w:rPr>
                <w:rFonts w:cs="Arial"/>
                <w:color w:val="293947"/>
                <w:szCs w:val="20"/>
              </w:rPr>
              <w:t>Handback</w:t>
            </w:r>
            <w:proofErr w:type="spellEnd"/>
            <w:r w:rsidRPr="000E5786">
              <w:rPr>
                <w:rFonts w:cs="Arial"/>
                <w:color w:val="293947"/>
                <w:szCs w:val="20"/>
              </w:rPr>
              <w:t> </w:t>
            </w:r>
          </w:p>
        </w:tc>
        <w:tc>
          <w:tcPr>
            <w:tcW w:w="3292" w:type="dxa"/>
            <w:tcBorders>
              <w:top w:val="single" w:sz="6" w:space="0" w:color="auto"/>
              <w:left w:val="single" w:sz="6" w:space="0" w:color="auto"/>
              <w:bottom w:val="single" w:sz="6" w:space="0" w:color="auto"/>
              <w:right w:val="single" w:sz="6" w:space="0" w:color="auto"/>
            </w:tcBorders>
            <w:shd w:val="clear" w:color="auto" w:fill="auto"/>
            <w:hideMark/>
          </w:tcPr>
          <w:p w14:paraId="6073F604" w14:textId="77777777" w:rsidR="00D85F7C" w:rsidRPr="000E5786" w:rsidRDefault="00D85F7C" w:rsidP="00C3397C">
            <w:pPr>
              <w:ind w:left="84" w:firstLine="0"/>
              <w:jc w:val="left"/>
              <w:textAlignment w:val="baseline"/>
              <w:rPr>
                <w:rFonts w:cs="Arial"/>
                <w:color w:val="293947"/>
                <w:szCs w:val="20"/>
              </w:rPr>
            </w:pPr>
            <w:r w:rsidRPr="000E5786">
              <w:rPr>
                <w:rFonts w:cs="Arial"/>
                <w:color w:val="293947"/>
                <w:szCs w:val="20"/>
              </w:rPr>
              <w:t>Transfer asset responsibility from the project team to the operator and maintainer </w:t>
            </w:r>
          </w:p>
        </w:tc>
        <w:tc>
          <w:tcPr>
            <w:tcW w:w="2623" w:type="dxa"/>
            <w:tcBorders>
              <w:top w:val="single" w:sz="6" w:space="0" w:color="auto"/>
              <w:left w:val="single" w:sz="6" w:space="0" w:color="auto"/>
              <w:bottom w:val="single" w:sz="6" w:space="0" w:color="auto"/>
              <w:right w:val="single" w:sz="6" w:space="0" w:color="auto"/>
            </w:tcBorders>
            <w:shd w:val="clear" w:color="auto" w:fill="auto"/>
            <w:hideMark/>
          </w:tcPr>
          <w:p w14:paraId="5BB1E1B3" w14:textId="77777777" w:rsidR="00D85F7C" w:rsidRPr="000E5786" w:rsidRDefault="00D85F7C" w:rsidP="00C3397C">
            <w:pPr>
              <w:ind w:left="84" w:right="-11" w:firstLine="0"/>
              <w:jc w:val="left"/>
              <w:textAlignment w:val="baseline"/>
              <w:rPr>
                <w:rFonts w:cs="Arial"/>
                <w:color w:val="293947"/>
                <w:szCs w:val="20"/>
              </w:rPr>
            </w:pPr>
            <w:r w:rsidRPr="000E5786">
              <w:rPr>
                <w:rFonts w:cs="Arial"/>
                <w:color w:val="293947"/>
                <w:szCs w:val="20"/>
              </w:rPr>
              <w:t>Project handed over to maintainer or operator </w:t>
            </w:r>
          </w:p>
        </w:tc>
      </w:tr>
      <w:tr w:rsidR="00D85F7C" w:rsidRPr="000E5786" w14:paraId="64F4CA65" w14:textId="77777777" w:rsidTr="00C3397C">
        <w:tc>
          <w:tcPr>
            <w:tcW w:w="603" w:type="dxa"/>
            <w:tcBorders>
              <w:top w:val="single" w:sz="6" w:space="0" w:color="auto"/>
              <w:left w:val="single" w:sz="6" w:space="0" w:color="auto"/>
              <w:bottom w:val="single" w:sz="6" w:space="0" w:color="auto"/>
              <w:right w:val="single" w:sz="6" w:space="0" w:color="auto"/>
            </w:tcBorders>
            <w:shd w:val="clear" w:color="auto" w:fill="auto"/>
            <w:hideMark/>
          </w:tcPr>
          <w:p w14:paraId="1027D5D2" w14:textId="182E2980" w:rsidR="00D85F7C" w:rsidRPr="000E5786" w:rsidRDefault="00D85F7C" w:rsidP="00C3397C">
            <w:pPr>
              <w:ind w:left="0" w:hanging="5"/>
              <w:jc w:val="center"/>
              <w:textAlignment w:val="baseline"/>
              <w:rPr>
                <w:rFonts w:cs="Arial"/>
                <w:color w:val="293947"/>
                <w:szCs w:val="20"/>
              </w:rPr>
            </w:pPr>
            <w:r w:rsidRPr="00C3397C">
              <w:rPr>
                <w:rFonts w:cs="Arial"/>
                <w:color w:val="293947"/>
                <w:szCs w:val="20"/>
              </w:rPr>
              <w:t>8</w:t>
            </w:r>
          </w:p>
        </w:tc>
        <w:tc>
          <w:tcPr>
            <w:tcW w:w="1845" w:type="dxa"/>
            <w:tcBorders>
              <w:top w:val="single" w:sz="6" w:space="0" w:color="auto"/>
              <w:left w:val="single" w:sz="6" w:space="0" w:color="auto"/>
              <w:bottom w:val="single" w:sz="6" w:space="0" w:color="auto"/>
              <w:right w:val="single" w:sz="6" w:space="0" w:color="auto"/>
            </w:tcBorders>
            <w:shd w:val="clear" w:color="auto" w:fill="auto"/>
            <w:hideMark/>
          </w:tcPr>
          <w:p w14:paraId="63428678" w14:textId="77777777" w:rsidR="00D85F7C" w:rsidRPr="000E5786" w:rsidRDefault="00D85F7C" w:rsidP="00C3397C">
            <w:pPr>
              <w:ind w:left="84" w:firstLine="0"/>
              <w:jc w:val="left"/>
              <w:textAlignment w:val="baseline"/>
              <w:rPr>
                <w:rFonts w:cs="Arial"/>
                <w:color w:val="293947"/>
                <w:szCs w:val="20"/>
              </w:rPr>
            </w:pPr>
            <w:r w:rsidRPr="000E5786">
              <w:rPr>
                <w:rFonts w:cs="Arial"/>
                <w:color w:val="293947"/>
                <w:szCs w:val="20"/>
              </w:rPr>
              <w:t>Project Close Out </w:t>
            </w:r>
          </w:p>
        </w:tc>
        <w:tc>
          <w:tcPr>
            <w:tcW w:w="3292" w:type="dxa"/>
            <w:tcBorders>
              <w:top w:val="single" w:sz="6" w:space="0" w:color="auto"/>
              <w:left w:val="single" w:sz="6" w:space="0" w:color="auto"/>
              <w:bottom w:val="single" w:sz="6" w:space="0" w:color="auto"/>
              <w:right w:val="single" w:sz="6" w:space="0" w:color="auto"/>
            </w:tcBorders>
            <w:shd w:val="clear" w:color="auto" w:fill="auto"/>
            <w:hideMark/>
          </w:tcPr>
          <w:p w14:paraId="0A2D97BE" w14:textId="77777777" w:rsidR="00D85F7C" w:rsidRPr="000E5786" w:rsidRDefault="00D85F7C" w:rsidP="00C3397C">
            <w:pPr>
              <w:ind w:left="84" w:firstLine="0"/>
              <w:jc w:val="left"/>
              <w:textAlignment w:val="baseline"/>
              <w:rPr>
                <w:rFonts w:cs="Arial"/>
                <w:color w:val="293947"/>
                <w:szCs w:val="20"/>
              </w:rPr>
            </w:pPr>
            <w:r w:rsidRPr="000E5786">
              <w:rPr>
                <w:rFonts w:cs="Arial"/>
                <w:color w:val="293947"/>
                <w:szCs w:val="20"/>
              </w:rPr>
              <w:t>Closeout in an orderly manner </w:t>
            </w:r>
          </w:p>
        </w:tc>
        <w:tc>
          <w:tcPr>
            <w:tcW w:w="2623" w:type="dxa"/>
            <w:tcBorders>
              <w:top w:val="single" w:sz="6" w:space="0" w:color="auto"/>
              <w:left w:val="single" w:sz="6" w:space="0" w:color="auto"/>
              <w:bottom w:val="single" w:sz="6" w:space="0" w:color="auto"/>
              <w:right w:val="single" w:sz="6" w:space="0" w:color="auto"/>
            </w:tcBorders>
            <w:shd w:val="clear" w:color="auto" w:fill="auto"/>
            <w:hideMark/>
          </w:tcPr>
          <w:p w14:paraId="122307F4" w14:textId="77777777" w:rsidR="00D85F7C" w:rsidRPr="000E5786" w:rsidRDefault="00D85F7C" w:rsidP="00C3397C">
            <w:pPr>
              <w:ind w:left="84" w:right="-11" w:firstLine="0"/>
              <w:jc w:val="left"/>
              <w:textAlignment w:val="baseline"/>
              <w:rPr>
                <w:rFonts w:cs="Arial"/>
                <w:color w:val="293947"/>
                <w:szCs w:val="20"/>
              </w:rPr>
            </w:pPr>
            <w:r w:rsidRPr="000E5786">
              <w:rPr>
                <w:rFonts w:cs="Arial"/>
                <w:color w:val="293947"/>
                <w:szCs w:val="20"/>
              </w:rPr>
              <w:t>Project formally closed out and project support systems formally closed. </w:t>
            </w:r>
          </w:p>
        </w:tc>
      </w:tr>
    </w:tbl>
    <w:p w14:paraId="1E056BB8" w14:textId="77777777" w:rsidR="00D85F7C" w:rsidRPr="000E5786" w:rsidRDefault="00D85F7C" w:rsidP="00DD60F0">
      <w:pPr>
        <w:pStyle w:val="Level2"/>
        <w:numPr>
          <w:ilvl w:val="0"/>
          <w:numId w:val="0"/>
        </w:numPr>
        <w:spacing w:after="120" w:line="240" w:lineRule="auto"/>
        <w:ind w:left="851"/>
        <w:rPr>
          <w:rFonts w:ascii="Arial" w:hAnsi="Arial" w:cs="Arial"/>
          <w:b/>
          <w:bCs/>
        </w:rPr>
      </w:pPr>
    </w:p>
    <w:p w14:paraId="51024251" w14:textId="77777777" w:rsidR="00D85F7C" w:rsidRPr="000E5786" w:rsidRDefault="00D85F7C" w:rsidP="00F966FF">
      <w:pPr>
        <w:pStyle w:val="Heading1"/>
        <w:numPr>
          <w:ilvl w:val="0"/>
          <w:numId w:val="149"/>
        </w:numPr>
        <w:spacing w:after="120"/>
        <w:rPr>
          <w:rFonts w:cs="Arial"/>
          <w:szCs w:val="20"/>
        </w:rPr>
      </w:pPr>
      <w:r w:rsidRPr="000E5786">
        <w:rPr>
          <w:rFonts w:cs="Arial"/>
          <w:szCs w:val="20"/>
        </w:rPr>
        <w:t>Project Phases</w:t>
      </w:r>
    </w:p>
    <w:p w14:paraId="5EB6FA69" w14:textId="77777777" w:rsidR="00D85F7C" w:rsidRPr="000E5786" w:rsidRDefault="00D85F7C" w:rsidP="00F966FF">
      <w:pPr>
        <w:pStyle w:val="Heading2"/>
        <w:numPr>
          <w:ilvl w:val="1"/>
          <w:numId w:val="149"/>
        </w:numPr>
        <w:spacing w:after="120"/>
        <w:rPr>
          <w:rFonts w:cs="Arial"/>
          <w:szCs w:val="20"/>
        </w:rPr>
      </w:pPr>
      <w:r w:rsidRPr="000E5786">
        <w:rPr>
          <w:rFonts w:cs="Arial"/>
          <w:szCs w:val="20"/>
        </w:rPr>
        <w:t xml:space="preserve">The following phases will be included in the project plan in addition to alignment with the GRIP Stages. </w:t>
      </w:r>
    </w:p>
    <w:p w14:paraId="2CB177F2" w14:textId="77777777" w:rsidR="00D85F7C" w:rsidRPr="00C3397C" w:rsidRDefault="00D85F7C" w:rsidP="00F966FF">
      <w:pPr>
        <w:pStyle w:val="Heading2"/>
        <w:keepNext/>
        <w:numPr>
          <w:ilvl w:val="1"/>
          <w:numId w:val="149"/>
        </w:numPr>
        <w:spacing w:after="120"/>
        <w:rPr>
          <w:rFonts w:cs="Arial"/>
          <w:b/>
          <w:bCs w:val="0"/>
          <w:szCs w:val="20"/>
        </w:rPr>
      </w:pPr>
      <w:r w:rsidRPr="00C3397C">
        <w:rPr>
          <w:rFonts w:cs="Arial"/>
          <w:b/>
          <w:bCs w:val="0"/>
          <w:szCs w:val="20"/>
        </w:rPr>
        <w:t>Feasibility Phase</w:t>
      </w:r>
    </w:p>
    <w:p w14:paraId="2F5344AC" w14:textId="67967740" w:rsidR="00D85F7C" w:rsidRPr="000E5786" w:rsidRDefault="00D85F7C" w:rsidP="00F966FF">
      <w:pPr>
        <w:pStyle w:val="Heading3"/>
        <w:numPr>
          <w:ilvl w:val="2"/>
          <w:numId w:val="149"/>
        </w:numPr>
      </w:pPr>
      <w:r w:rsidRPr="000E5786">
        <w:t>The Supplier shall ensure that all Projects shall have a period for evaluating feasibility (“</w:t>
      </w:r>
      <w:r w:rsidRPr="000E5786">
        <w:rPr>
          <w:b/>
        </w:rPr>
        <w:t>Feasibility Phase</w:t>
      </w:r>
      <w:r w:rsidRPr="000E5786">
        <w:t xml:space="preserve">”) with defined and agreed (with </w:t>
      </w:r>
      <w:proofErr w:type="spellStart"/>
      <w:r w:rsidR="001F1C19">
        <w:t>Netlink</w:t>
      </w:r>
      <w:proofErr w:type="spellEnd"/>
      <w:r w:rsidR="001F1C19">
        <w:t xml:space="preserve"> Star</w:t>
      </w:r>
      <w:r w:rsidRPr="000E5786">
        <w:t xml:space="preserve">) objectives, </w:t>
      </w:r>
      <w:proofErr w:type="gramStart"/>
      <w:r w:rsidRPr="000E5786">
        <w:t>deliverables</w:t>
      </w:r>
      <w:proofErr w:type="gramEnd"/>
      <w:r w:rsidRPr="000E5786">
        <w:t xml:space="preserve"> and Acceptance Criteria.</w:t>
      </w:r>
    </w:p>
    <w:p w14:paraId="287E5872" w14:textId="77777777" w:rsidR="00D85F7C" w:rsidRPr="000E5786" w:rsidRDefault="00D85F7C" w:rsidP="00F966FF">
      <w:pPr>
        <w:pStyle w:val="Heading3"/>
        <w:numPr>
          <w:ilvl w:val="2"/>
          <w:numId w:val="149"/>
        </w:numPr>
      </w:pPr>
      <w:r w:rsidRPr="000E5786">
        <w:lastRenderedPageBreak/>
        <w:t>The Supplier shall validate all planning assumptions in the Feasibility Phase before proceeding with Project delivery.</w:t>
      </w:r>
    </w:p>
    <w:p w14:paraId="1213DEB7" w14:textId="77777777" w:rsidR="00D85F7C" w:rsidRPr="000E5786" w:rsidRDefault="00D85F7C" w:rsidP="00F966FF">
      <w:pPr>
        <w:pStyle w:val="Heading3"/>
        <w:numPr>
          <w:ilvl w:val="2"/>
          <w:numId w:val="149"/>
        </w:numPr>
      </w:pPr>
      <w:r w:rsidRPr="000E5786">
        <w:t xml:space="preserve">The Supplier shall ensure that all objectives and Project Deliverables identified for the Feasibility Phase have been met or delivered (or exceptions are noted and agreed by both Parties). Such exceptions shall be summarised in an End of Phase Report.  </w:t>
      </w:r>
    </w:p>
    <w:p w14:paraId="1F53C908" w14:textId="77777777" w:rsidR="00D85F7C" w:rsidRPr="00C3397C" w:rsidRDefault="00D85F7C" w:rsidP="00F966FF">
      <w:pPr>
        <w:pStyle w:val="Heading2"/>
        <w:numPr>
          <w:ilvl w:val="1"/>
          <w:numId w:val="149"/>
        </w:numPr>
        <w:spacing w:after="120"/>
        <w:rPr>
          <w:rFonts w:cs="Arial"/>
          <w:b/>
          <w:bCs w:val="0"/>
          <w:szCs w:val="20"/>
        </w:rPr>
      </w:pPr>
      <w:r w:rsidRPr="00C3397C">
        <w:rPr>
          <w:rFonts w:cs="Arial"/>
          <w:b/>
          <w:bCs w:val="0"/>
          <w:szCs w:val="20"/>
        </w:rPr>
        <w:t>Output Definition</w:t>
      </w:r>
    </w:p>
    <w:p w14:paraId="6C53F45F" w14:textId="2BF25B2A" w:rsidR="00D85F7C" w:rsidRPr="000E5786" w:rsidRDefault="00D85F7C" w:rsidP="00F966FF">
      <w:pPr>
        <w:pStyle w:val="Heading3"/>
        <w:numPr>
          <w:ilvl w:val="2"/>
          <w:numId w:val="149"/>
        </w:numPr>
      </w:pPr>
      <w:r w:rsidRPr="000E5786">
        <w:t>If necessary, the Supplier shall include a</w:t>
      </w:r>
      <w:r w:rsidR="004E415B">
        <w:t>n</w:t>
      </w:r>
      <w:r w:rsidRPr="000E5786">
        <w:t xml:space="preserve"> Output Definition Phase to refine the Project Template Sheet into a Statement of Detailed Requirements. If required for the phase the Parties shall define and agree objectives, Project Deliverables and Acceptance Criteria.</w:t>
      </w:r>
    </w:p>
    <w:p w14:paraId="6BD2D0C1" w14:textId="77777777" w:rsidR="00D85F7C" w:rsidRPr="000E5786" w:rsidRDefault="00D85F7C" w:rsidP="00F966FF">
      <w:pPr>
        <w:pStyle w:val="Heading3"/>
        <w:numPr>
          <w:ilvl w:val="2"/>
          <w:numId w:val="149"/>
        </w:numPr>
      </w:pPr>
      <w:r w:rsidRPr="000E5786">
        <w:t xml:space="preserve">The Supplier shall ensure that all objectives and Project Deliverables identified for the Output Definition Phase have been met or delivered (or exceptions are noted and agreed by both Parties). Such exceptions shall be summarised in an End of Phase Report.  </w:t>
      </w:r>
    </w:p>
    <w:p w14:paraId="119F59DA" w14:textId="77777777" w:rsidR="00D85F7C" w:rsidRPr="000E5786" w:rsidRDefault="00D85F7C" w:rsidP="00F966FF">
      <w:pPr>
        <w:pStyle w:val="Heading3"/>
        <w:numPr>
          <w:ilvl w:val="2"/>
          <w:numId w:val="149"/>
        </w:numPr>
      </w:pPr>
      <w:r w:rsidRPr="000E5786">
        <w:t>The Supplier may merge the Output Definition Phase with the Feasibility Phase.</w:t>
      </w:r>
    </w:p>
    <w:p w14:paraId="2946BCAA" w14:textId="77777777" w:rsidR="00D85F7C" w:rsidRPr="00C3397C" w:rsidRDefault="00D85F7C" w:rsidP="00F966FF">
      <w:pPr>
        <w:pStyle w:val="Heading2"/>
        <w:numPr>
          <w:ilvl w:val="1"/>
          <w:numId w:val="149"/>
        </w:numPr>
        <w:spacing w:after="120"/>
        <w:rPr>
          <w:rFonts w:cs="Arial"/>
          <w:b/>
          <w:bCs w:val="0"/>
          <w:szCs w:val="20"/>
        </w:rPr>
      </w:pPr>
      <w:r w:rsidRPr="00C3397C">
        <w:rPr>
          <w:rFonts w:cs="Arial"/>
          <w:b/>
          <w:bCs w:val="0"/>
          <w:szCs w:val="20"/>
        </w:rPr>
        <w:t>Design and Detailed Design Phase</w:t>
      </w:r>
    </w:p>
    <w:p w14:paraId="19C08FA4" w14:textId="1269AE7D" w:rsidR="00D85F7C" w:rsidRPr="000E5786" w:rsidRDefault="00D85F7C" w:rsidP="00F966FF">
      <w:pPr>
        <w:pStyle w:val="Heading3"/>
        <w:numPr>
          <w:ilvl w:val="2"/>
          <w:numId w:val="149"/>
        </w:numPr>
      </w:pPr>
      <w:r w:rsidRPr="000E5786">
        <w:t xml:space="preserve">The Supplier shall conduct a Design exercise for each Project in accordance with </w:t>
      </w:r>
      <w:proofErr w:type="spellStart"/>
      <w:r w:rsidR="001F1C19">
        <w:t>Netlink</w:t>
      </w:r>
      <w:proofErr w:type="spellEnd"/>
      <w:r w:rsidR="001F1C19">
        <w:t xml:space="preserve"> Star</w:t>
      </w:r>
      <w:r w:rsidRPr="000E5786">
        <w:t>’s Design standards and with defined and agreed objectives, Project Deliverables and Acceptance Criteria.</w:t>
      </w:r>
    </w:p>
    <w:p w14:paraId="0B533DCE" w14:textId="77777777" w:rsidR="00D85F7C" w:rsidRPr="000E5786" w:rsidRDefault="00D85F7C" w:rsidP="00F966FF">
      <w:pPr>
        <w:pStyle w:val="Heading3"/>
        <w:numPr>
          <w:ilvl w:val="2"/>
          <w:numId w:val="149"/>
        </w:numPr>
      </w:pPr>
      <w:r w:rsidRPr="000E5786">
        <w:t>The Supplier shall ensure that all objectives and Project Deliverables identified for the Design Phase have been met or delivered (or exceptions are noted and agreed by both Parties). Such exceptions shall be summarised in an End of Phase Report.</w:t>
      </w:r>
    </w:p>
    <w:p w14:paraId="1376B64B" w14:textId="7B57BBE3" w:rsidR="00D85F7C" w:rsidRPr="000E5786" w:rsidRDefault="00D85F7C" w:rsidP="00F966FF">
      <w:pPr>
        <w:pStyle w:val="Heading3"/>
        <w:numPr>
          <w:ilvl w:val="2"/>
          <w:numId w:val="149"/>
        </w:numPr>
      </w:pPr>
      <w:r w:rsidRPr="000E5786">
        <w:t xml:space="preserve">The Supplier shall not commence the Build Phase until the Design has been accepted by </w:t>
      </w:r>
      <w:proofErr w:type="spellStart"/>
      <w:r w:rsidR="001F1C19">
        <w:t>Netlink</w:t>
      </w:r>
      <w:proofErr w:type="spellEnd"/>
      <w:r w:rsidR="001F1C19">
        <w:t xml:space="preserve"> Star</w:t>
      </w:r>
      <w:r w:rsidRPr="000E5786">
        <w:t>’s TDA in accordance with Schedule 8.1 (Governance).</w:t>
      </w:r>
    </w:p>
    <w:p w14:paraId="4C3C2666" w14:textId="77777777" w:rsidR="00D85F7C" w:rsidRPr="00C3397C" w:rsidRDefault="00D85F7C" w:rsidP="00F966FF">
      <w:pPr>
        <w:pStyle w:val="Heading2"/>
        <w:numPr>
          <w:ilvl w:val="1"/>
          <w:numId w:val="149"/>
        </w:numPr>
        <w:spacing w:after="120"/>
        <w:rPr>
          <w:rFonts w:cs="Arial"/>
          <w:b/>
          <w:bCs w:val="0"/>
          <w:szCs w:val="20"/>
        </w:rPr>
      </w:pPr>
      <w:r w:rsidRPr="00C3397C">
        <w:rPr>
          <w:rFonts w:cs="Arial"/>
          <w:b/>
          <w:bCs w:val="0"/>
          <w:szCs w:val="20"/>
        </w:rPr>
        <w:t xml:space="preserve">Build Phase </w:t>
      </w:r>
    </w:p>
    <w:p w14:paraId="3A99F803" w14:textId="77777777" w:rsidR="00D85F7C" w:rsidRPr="000E5786" w:rsidRDefault="00D85F7C" w:rsidP="00F966FF">
      <w:pPr>
        <w:pStyle w:val="Heading3"/>
        <w:numPr>
          <w:ilvl w:val="2"/>
          <w:numId w:val="149"/>
        </w:numPr>
      </w:pPr>
      <w:r w:rsidRPr="000E5786">
        <w:t>The Supplier shall build the Technical Solution for the Project in accordance with the approved design and with defined and agreed objectives, Project Deliverables and Acceptance Criteria.</w:t>
      </w:r>
    </w:p>
    <w:p w14:paraId="3FCC6694" w14:textId="77777777" w:rsidR="00D85F7C" w:rsidRPr="000E5786" w:rsidRDefault="00D85F7C" w:rsidP="00F966FF">
      <w:pPr>
        <w:pStyle w:val="Heading3"/>
        <w:numPr>
          <w:ilvl w:val="2"/>
          <w:numId w:val="149"/>
        </w:numPr>
      </w:pPr>
      <w:r w:rsidRPr="000E5786">
        <w:t>The Supplier shall ensure that all objectives and Project Deliverables identified for the Build Phase have been met or delivered (or exceptions are noted and agreed). Such exceptions shall be summarised in an End of Phase Report.</w:t>
      </w:r>
    </w:p>
    <w:p w14:paraId="1F880D4A" w14:textId="77777777" w:rsidR="00D85F7C" w:rsidRPr="00C3397C" w:rsidRDefault="00D85F7C" w:rsidP="00F966FF">
      <w:pPr>
        <w:pStyle w:val="Heading2"/>
        <w:numPr>
          <w:ilvl w:val="1"/>
          <w:numId w:val="149"/>
        </w:numPr>
        <w:spacing w:after="120"/>
        <w:rPr>
          <w:rFonts w:cs="Arial"/>
          <w:b/>
          <w:bCs w:val="0"/>
          <w:szCs w:val="20"/>
        </w:rPr>
      </w:pPr>
      <w:r w:rsidRPr="00C3397C">
        <w:rPr>
          <w:rFonts w:cs="Arial"/>
          <w:b/>
          <w:bCs w:val="0"/>
          <w:szCs w:val="20"/>
        </w:rPr>
        <w:t>Test Phase</w:t>
      </w:r>
    </w:p>
    <w:p w14:paraId="41729B56" w14:textId="77777777" w:rsidR="00D85F7C" w:rsidRPr="000E5786" w:rsidRDefault="00D85F7C" w:rsidP="00F966FF">
      <w:pPr>
        <w:pStyle w:val="Heading3"/>
        <w:numPr>
          <w:ilvl w:val="2"/>
          <w:numId w:val="149"/>
        </w:numPr>
      </w:pPr>
      <w:r w:rsidRPr="000E5786">
        <w:t>The Supplier shall conduct a Test of all Deliverables created or modified during the Build Phase with defined and agreed objectives and Project Deliverables and Acceptance Criteria.</w:t>
      </w:r>
    </w:p>
    <w:p w14:paraId="64BE08B5" w14:textId="77777777" w:rsidR="00D85F7C" w:rsidRPr="000E5786" w:rsidRDefault="00D85F7C" w:rsidP="00F966FF">
      <w:pPr>
        <w:pStyle w:val="Heading3"/>
        <w:numPr>
          <w:ilvl w:val="2"/>
          <w:numId w:val="149"/>
        </w:numPr>
      </w:pPr>
      <w:r w:rsidRPr="000E5786">
        <w:t>The Supplier shall ensure that all objectives and Project Deliverables identified for the Test Phase have been met or delivered (or exceptions are noted and agreed by both Parties). Such exceptions shall be summarised in an End of Phase Report.</w:t>
      </w:r>
    </w:p>
    <w:p w14:paraId="6960F91E" w14:textId="77777777" w:rsidR="00D85F7C" w:rsidRPr="000E5786" w:rsidRDefault="00D85F7C" w:rsidP="00F966FF">
      <w:pPr>
        <w:pStyle w:val="Heading3"/>
        <w:numPr>
          <w:ilvl w:val="2"/>
          <w:numId w:val="149"/>
        </w:numPr>
      </w:pPr>
      <w:r w:rsidRPr="000E5786">
        <w:t xml:space="preserve">The Test Phase should include some or </w:t>
      </w:r>
      <w:proofErr w:type="gramStart"/>
      <w:r w:rsidRPr="000E5786">
        <w:t>all of</w:t>
      </w:r>
      <w:proofErr w:type="gramEnd"/>
      <w:r w:rsidRPr="000E5786">
        <w:t xml:space="preserve"> the following as appropriate:</w:t>
      </w:r>
    </w:p>
    <w:p w14:paraId="4841ED48"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 xml:space="preserve">component </w:t>
      </w:r>
      <w:proofErr w:type="gramStart"/>
      <w:r w:rsidRPr="000E5786">
        <w:rPr>
          <w:rFonts w:cs="Arial"/>
          <w:szCs w:val="20"/>
        </w:rPr>
        <w:t>Test;</w:t>
      </w:r>
      <w:proofErr w:type="gramEnd"/>
    </w:p>
    <w:p w14:paraId="2438C6E3"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 xml:space="preserve">integration </w:t>
      </w:r>
      <w:proofErr w:type="gramStart"/>
      <w:r w:rsidRPr="000E5786">
        <w:rPr>
          <w:rFonts w:cs="Arial"/>
          <w:szCs w:val="20"/>
        </w:rPr>
        <w:t>Test;</w:t>
      </w:r>
      <w:proofErr w:type="gramEnd"/>
    </w:p>
    <w:p w14:paraId="3132C33D"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 xml:space="preserve">system </w:t>
      </w:r>
      <w:proofErr w:type="gramStart"/>
      <w:r w:rsidRPr="000E5786">
        <w:rPr>
          <w:rFonts w:cs="Arial"/>
          <w:szCs w:val="20"/>
        </w:rPr>
        <w:t>Test;</w:t>
      </w:r>
      <w:proofErr w:type="gramEnd"/>
    </w:p>
    <w:p w14:paraId="0378CDA9"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system integration Test; and</w:t>
      </w:r>
    </w:p>
    <w:p w14:paraId="4C767F58"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Non-functional Tests including, as required, Infrastructure Stress Testing.</w:t>
      </w:r>
    </w:p>
    <w:p w14:paraId="79004096" w14:textId="77777777" w:rsidR="00D85F7C" w:rsidRPr="000E5786" w:rsidRDefault="00D85F7C" w:rsidP="00F966FF">
      <w:pPr>
        <w:pStyle w:val="Heading3"/>
        <w:numPr>
          <w:ilvl w:val="2"/>
          <w:numId w:val="149"/>
        </w:numPr>
      </w:pPr>
      <w:r w:rsidRPr="000E5786">
        <w:t>The Supplier shall conduct all Testing and acceptance in line with the requirements of Schedule 6.3 (Testing Procedures)</w:t>
      </w:r>
      <w:r w:rsidRPr="000E5786">
        <w:rPr>
          <w:b/>
        </w:rPr>
        <w:t>.</w:t>
      </w:r>
    </w:p>
    <w:p w14:paraId="19BAB0BB" w14:textId="77777777" w:rsidR="00D85F7C" w:rsidRPr="000E5786" w:rsidRDefault="00D85F7C" w:rsidP="00F966FF">
      <w:pPr>
        <w:pStyle w:val="Heading3"/>
        <w:numPr>
          <w:ilvl w:val="2"/>
          <w:numId w:val="149"/>
        </w:numPr>
      </w:pPr>
      <w:r w:rsidRPr="000E5786">
        <w:t>The Supplier shall allow time for rework and re-Test.</w:t>
      </w:r>
    </w:p>
    <w:p w14:paraId="2A1AC1B0" w14:textId="77777777" w:rsidR="00D85F7C" w:rsidRPr="000E5786" w:rsidRDefault="00D85F7C" w:rsidP="00F966FF">
      <w:pPr>
        <w:pStyle w:val="Heading3"/>
        <w:numPr>
          <w:ilvl w:val="2"/>
          <w:numId w:val="149"/>
        </w:numPr>
      </w:pPr>
      <w:r w:rsidRPr="000E5786">
        <w:lastRenderedPageBreak/>
        <w:t>If required the Supplier may run the Design Phase, Build Phase and Test Phase in parallel if:</w:t>
      </w:r>
    </w:p>
    <w:p w14:paraId="5F8548EA"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 xml:space="preserve">Project Deliverables are produced to widely differing </w:t>
      </w:r>
      <w:proofErr w:type="gramStart"/>
      <w:r w:rsidRPr="000E5786">
        <w:rPr>
          <w:rFonts w:cs="Arial"/>
          <w:szCs w:val="20"/>
        </w:rPr>
        <w:t>timescales;</w:t>
      </w:r>
      <w:proofErr w:type="gramEnd"/>
    </w:p>
    <w:p w14:paraId="174B19E5"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developing Project Deliverables incrementally is more suited to the Project; or</w:t>
      </w:r>
    </w:p>
    <w:p w14:paraId="372D1459"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 xml:space="preserve">the Parties agree in the Draft </w:t>
      </w:r>
      <w:r w:rsidRPr="000E5786">
        <w:rPr>
          <w:rFonts w:cs="Arial"/>
          <w:bCs w:val="0"/>
          <w:szCs w:val="20"/>
        </w:rPr>
        <w:t>Project Sheet</w:t>
      </w:r>
      <w:r w:rsidRPr="000E5786">
        <w:rPr>
          <w:rFonts w:cs="Arial"/>
          <w:szCs w:val="20"/>
        </w:rPr>
        <w:t>.</w:t>
      </w:r>
    </w:p>
    <w:p w14:paraId="57726FF9" w14:textId="77777777" w:rsidR="00D85F7C" w:rsidRPr="00C3397C" w:rsidRDefault="00D85F7C" w:rsidP="00F966FF">
      <w:pPr>
        <w:pStyle w:val="Heading2"/>
        <w:numPr>
          <w:ilvl w:val="1"/>
          <w:numId w:val="149"/>
        </w:numPr>
        <w:spacing w:after="120"/>
        <w:rPr>
          <w:rFonts w:cs="Arial"/>
          <w:b/>
          <w:bCs w:val="0"/>
          <w:szCs w:val="20"/>
        </w:rPr>
      </w:pPr>
      <w:r w:rsidRPr="00C3397C">
        <w:rPr>
          <w:rFonts w:cs="Arial"/>
          <w:b/>
          <w:bCs w:val="0"/>
          <w:szCs w:val="20"/>
        </w:rPr>
        <w:t>Migration Phase</w:t>
      </w:r>
    </w:p>
    <w:p w14:paraId="5C3E94E6" w14:textId="77777777" w:rsidR="00D85F7C" w:rsidRPr="000E5786" w:rsidRDefault="00D85F7C" w:rsidP="00F966FF">
      <w:pPr>
        <w:pStyle w:val="Heading3"/>
        <w:numPr>
          <w:ilvl w:val="2"/>
          <w:numId w:val="149"/>
        </w:numPr>
      </w:pPr>
      <w:r w:rsidRPr="000E5786">
        <w:t>The Supplier shall migrate all applications, data and any Services associated with those applications, as required by the Project Plan.</w:t>
      </w:r>
    </w:p>
    <w:p w14:paraId="67E3158B" w14:textId="77777777" w:rsidR="00D85F7C" w:rsidRPr="000E5786" w:rsidRDefault="00D85F7C" w:rsidP="00F966FF">
      <w:pPr>
        <w:pStyle w:val="Heading3"/>
        <w:numPr>
          <w:ilvl w:val="2"/>
          <w:numId w:val="149"/>
        </w:numPr>
      </w:pPr>
      <w:r w:rsidRPr="000E5786">
        <w:t>The Supplier shall plan for the need to restore the environments to a pre-migrated condition, to migrate incrementally or to migrate elements more than once as agreed in Project Sheet for the Project.</w:t>
      </w:r>
    </w:p>
    <w:p w14:paraId="0DBE551C" w14:textId="6FCFE26E" w:rsidR="00D85F7C" w:rsidRPr="000E5786" w:rsidRDefault="00D85F7C" w:rsidP="00F966FF">
      <w:pPr>
        <w:pStyle w:val="Heading3"/>
        <w:numPr>
          <w:ilvl w:val="2"/>
          <w:numId w:val="149"/>
        </w:numPr>
      </w:pPr>
      <w:r w:rsidRPr="000E5786">
        <w:t xml:space="preserve">The Supplier shall demonstrate the success of migration to </w:t>
      </w:r>
      <w:proofErr w:type="spellStart"/>
      <w:r w:rsidR="001F1C19">
        <w:t>Netlink</w:t>
      </w:r>
      <w:proofErr w:type="spellEnd"/>
      <w:r w:rsidR="001F1C19">
        <w:t xml:space="preserve"> Star</w:t>
      </w:r>
      <w:r w:rsidRPr="000E5786">
        <w:t xml:space="preserve"> ahead of transition of Service.</w:t>
      </w:r>
    </w:p>
    <w:p w14:paraId="59D3BDF4" w14:textId="77777777" w:rsidR="00D85F7C" w:rsidRPr="000E5786" w:rsidRDefault="00D85F7C" w:rsidP="00F966FF">
      <w:pPr>
        <w:pStyle w:val="Heading3"/>
        <w:numPr>
          <w:ilvl w:val="2"/>
          <w:numId w:val="149"/>
        </w:numPr>
      </w:pPr>
      <w:r w:rsidRPr="000E5786">
        <w:t>Except as agreed by the Parties in writing in the Project Sheet there shall be no unplanned downtime.</w:t>
      </w:r>
    </w:p>
    <w:p w14:paraId="2B2B2EFB" w14:textId="77777777" w:rsidR="00D85F7C" w:rsidRPr="00C3397C" w:rsidRDefault="00D85F7C" w:rsidP="00F966FF">
      <w:pPr>
        <w:pStyle w:val="Heading2"/>
        <w:numPr>
          <w:ilvl w:val="1"/>
          <w:numId w:val="149"/>
        </w:numPr>
        <w:spacing w:after="120"/>
        <w:rPr>
          <w:rFonts w:cs="Arial"/>
          <w:b/>
          <w:bCs w:val="0"/>
          <w:szCs w:val="20"/>
        </w:rPr>
      </w:pPr>
      <w:r w:rsidRPr="00C3397C">
        <w:rPr>
          <w:rFonts w:cs="Arial"/>
          <w:b/>
          <w:bCs w:val="0"/>
          <w:szCs w:val="20"/>
        </w:rPr>
        <w:t>Acceptance Phase</w:t>
      </w:r>
    </w:p>
    <w:p w14:paraId="32B617E5" w14:textId="77777777" w:rsidR="00D85F7C" w:rsidRPr="000E5786" w:rsidRDefault="00D85F7C" w:rsidP="00F966FF">
      <w:pPr>
        <w:pStyle w:val="Heading3"/>
        <w:numPr>
          <w:ilvl w:val="2"/>
          <w:numId w:val="149"/>
        </w:numPr>
      </w:pPr>
      <w:r w:rsidRPr="000E5786">
        <w:t>The Supplier shall ensure that all Projects shall have an Acceptance Phase.</w:t>
      </w:r>
    </w:p>
    <w:p w14:paraId="0EBF7553" w14:textId="152E969E" w:rsidR="00D85F7C" w:rsidRPr="000E5786" w:rsidRDefault="00D85F7C" w:rsidP="00F966FF">
      <w:pPr>
        <w:pStyle w:val="Heading3"/>
        <w:numPr>
          <w:ilvl w:val="2"/>
          <w:numId w:val="149"/>
        </w:numPr>
      </w:pPr>
      <w:r w:rsidRPr="000E5786">
        <w:t xml:space="preserve">The Supplier shall allow time for </w:t>
      </w:r>
      <w:proofErr w:type="spellStart"/>
      <w:r w:rsidR="001F1C19">
        <w:t>Netlink</w:t>
      </w:r>
      <w:proofErr w:type="spellEnd"/>
      <w:r w:rsidR="001F1C19">
        <w:t xml:space="preserve"> Star</w:t>
      </w:r>
      <w:r w:rsidRPr="000E5786">
        <w:t xml:space="preserve"> to carry out User Acceptance Testing and other </w:t>
      </w:r>
      <w:r w:rsidR="008B6AF5" w:rsidRPr="000E5786">
        <w:t xml:space="preserve">acceptance testing required </w:t>
      </w:r>
      <w:r w:rsidRPr="000E5786">
        <w:t>in accordance with Schedule 6.3 (Testing Procedures).</w:t>
      </w:r>
    </w:p>
    <w:p w14:paraId="6204AF6A" w14:textId="77777777" w:rsidR="00D85F7C" w:rsidRPr="000E5786" w:rsidRDefault="00D85F7C" w:rsidP="00F966FF">
      <w:pPr>
        <w:pStyle w:val="Heading3"/>
        <w:numPr>
          <w:ilvl w:val="2"/>
          <w:numId w:val="149"/>
        </w:numPr>
      </w:pPr>
      <w:r w:rsidRPr="000E5786">
        <w:t>The Supplier shall allow time in their plans for rework and re-acceptance.</w:t>
      </w:r>
    </w:p>
    <w:p w14:paraId="68CA7389" w14:textId="4D44D111" w:rsidR="00D85F7C" w:rsidRPr="000E5786" w:rsidRDefault="00D85F7C" w:rsidP="00F966FF">
      <w:pPr>
        <w:pStyle w:val="Heading3"/>
        <w:numPr>
          <w:ilvl w:val="2"/>
          <w:numId w:val="149"/>
        </w:numPr>
      </w:pPr>
      <w:r w:rsidRPr="000E5786">
        <w:t xml:space="preserve">The Supplier shall support </w:t>
      </w:r>
      <w:proofErr w:type="spellStart"/>
      <w:r w:rsidR="001F1C19">
        <w:t>Netlink</w:t>
      </w:r>
      <w:proofErr w:type="spellEnd"/>
      <w:r w:rsidR="001F1C19">
        <w:t xml:space="preserve"> Star</w:t>
      </w:r>
      <w:r w:rsidRPr="000E5786">
        <w:t xml:space="preserve"> in </w:t>
      </w:r>
      <w:proofErr w:type="spellStart"/>
      <w:r w:rsidR="001F1C19">
        <w:t>Netlink</w:t>
      </w:r>
      <w:proofErr w:type="spellEnd"/>
      <w:r w:rsidR="001F1C19">
        <w:t xml:space="preserve"> Star</w:t>
      </w:r>
      <w:r w:rsidRPr="000E5786">
        <w:t>’s User Acceptance Testing.</w:t>
      </w:r>
    </w:p>
    <w:p w14:paraId="39BF3C8A" w14:textId="77777777" w:rsidR="00D85F7C" w:rsidRPr="000E5786" w:rsidRDefault="00D85F7C" w:rsidP="00F966FF">
      <w:pPr>
        <w:pStyle w:val="Heading3"/>
        <w:numPr>
          <w:ilvl w:val="2"/>
          <w:numId w:val="149"/>
        </w:numPr>
      </w:pPr>
      <w:r w:rsidRPr="000E5786">
        <w:t>The Supplier shall carry out operational acceptance testing unless it is carried out at another phase.</w:t>
      </w:r>
    </w:p>
    <w:p w14:paraId="788257F1" w14:textId="77777777" w:rsidR="00D85F7C" w:rsidRPr="00C3397C" w:rsidRDefault="00D85F7C" w:rsidP="00F966FF">
      <w:pPr>
        <w:pStyle w:val="Heading2"/>
        <w:numPr>
          <w:ilvl w:val="1"/>
          <w:numId w:val="149"/>
        </w:numPr>
        <w:spacing w:after="120"/>
        <w:rPr>
          <w:rFonts w:cs="Arial"/>
          <w:b/>
          <w:bCs w:val="0"/>
          <w:szCs w:val="20"/>
        </w:rPr>
      </w:pPr>
      <w:r w:rsidRPr="00C3397C">
        <w:rPr>
          <w:rFonts w:cs="Arial"/>
          <w:b/>
          <w:bCs w:val="0"/>
          <w:szCs w:val="20"/>
        </w:rPr>
        <w:t>Deploy Phase</w:t>
      </w:r>
    </w:p>
    <w:p w14:paraId="3B74A246" w14:textId="77777777" w:rsidR="00D85F7C" w:rsidRPr="000E5786" w:rsidRDefault="00D85F7C" w:rsidP="00F966FF">
      <w:pPr>
        <w:pStyle w:val="Heading3"/>
        <w:numPr>
          <w:ilvl w:val="2"/>
          <w:numId w:val="149"/>
        </w:numPr>
      </w:pPr>
      <w:r w:rsidRPr="000E5786">
        <w:t>The Supplier shall (via Release Management) transfer a created or modified Service for the Transition Phase once it has successfully passed the Acceptance Phase.</w:t>
      </w:r>
    </w:p>
    <w:p w14:paraId="04823CA9" w14:textId="77777777" w:rsidR="00D85F7C" w:rsidRPr="00C3397C" w:rsidRDefault="00D85F7C" w:rsidP="00F966FF">
      <w:pPr>
        <w:pStyle w:val="Heading2"/>
        <w:numPr>
          <w:ilvl w:val="1"/>
          <w:numId w:val="149"/>
        </w:numPr>
        <w:spacing w:after="120"/>
        <w:rPr>
          <w:rFonts w:cs="Arial"/>
          <w:b/>
          <w:bCs w:val="0"/>
          <w:szCs w:val="20"/>
        </w:rPr>
      </w:pPr>
      <w:r w:rsidRPr="00C3397C">
        <w:rPr>
          <w:rFonts w:cs="Arial"/>
          <w:b/>
          <w:bCs w:val="0"/>
          <w:szCs w:val="20"/>
        </w:rPr>
        <w:t>Transition Phase</w:t>
      </w:r>
    </w:p>
    <w:p w14:paraId="135DE215" w14:textId="1F192968" w:rsidR="00D85F7C" w:rsidRPr="000E5786" w:rsidRDefault="00D85F7C" w:rsidP="00F966FF">
      <w:pPr>
        <w:pStyle w:val="Heading3"/>
        <w:numPr>
          <w:ilvl w:val="2"/>
          <w:numId w:val="149"/>
        </w:numPr>
      </w:pPr>
      <w:r w:rsidRPr="000E5786">
        <w:t xml:space="preserve">No Service or modification to a Service may go live without passing operational acceptance testing except at </w:t>
      </w:r>
      <w:proofErr w:type="spellStart"/>
      <w:r w:rsidR="001F1C19">
        <w:t>Netlink</w:t>
      </w:r>
      <w:proofErr w:type="spellEnd"/>
      <w:r w:rsidR="001F1C19">
        <w:t xml:space="preserve"> Star</w:t>
      </w:r>
      <w:r w:rsidRPr="000E5786">
        <w:t xml:space="preserve">’s sole discretion. </w:t>
      </w:r>
      <w:proofErr w:type="gramStart"/>
      <w:r w:rsidRPr="000E5786">
        <w:t>In the event that</w:t>
      </w:r>
      <w:proofErr w:type="gramEnd"/>
      <w:r w:rsidRPr="000E5786">
        <w:t xml:space="preserve"> </w:t>
      </w:r>
      <w:proofErr w:type="spellStart"/>
      <w:r w:rsidR="001F1C19">
        <w:t>Netlink</w:t>
      </w:r>
      <w:proofErr w:type="spellEnd"/>
      <w:r w:rsidR="001F1C19">
        <w:t xml:space="preserve"> Star</w:t>
      </w:r>
      <w:r w:rsidRPr="000E5786">
        <w:t xml:space="preserve"> exercises this discretion in writing the Supplier may reasonably exclude applicable Service Levels from:</w:t>
      </w:r>
    </w:p>
    <w:p w14:paraId="13B70C6F"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the calculation of Service Credits; and</w:t>
      </w:r>
    </w:p>
    <w:p w14:paraId="7064B8C4"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the triggering of Service Failure,</w:t>
      </w:r>
    </w:p>
    <w:p w14:paraId="63112B1E" w14:textId="77777777" w:rsidR="00D85F7C" w:rsidRPr="000E5786" w:rsidRDefault="00D85F7C" w:rsidP="006031F8">
      <w:pPr>
        <w:pStyle w:val="Body3"/>
        <w:spacing w:after="120" w:line="240" w:lineRule="auto"/>
        <w:ind w:hanging="141"/>
        <w:rPr>
          <w:rFonts w:ascii="Arial" w:hAnsi="Arial" w:cs="Arial"/>
        </w:rPr>
      </w:pPr>
      <w:r w:rsidRPr="000E5786">
        <w:rPr>
          <w:rFonts w:ascii="Arial" w:hAnsi="Arial" w:cs="Arial"/>
        </w:rPr>
        <w:t xml:space="preserve">until such time as the relevant tests </w:t>
      </w:r>
      <w:proofErr w:type="gramStart"/>
      <w:r w:rsidRPr="000E5786">
        <w:rPr>
          <w:rFonts w:ascii="Arial" w:hAnsi="Arial" w:cs="Arial"/>
        </w:rPr>
        <w:t>are</w:t>
      </w:r>
      <w:proofErr w:type="gramEnd"/>
      <w:r w:rsidRPr="000E5786">
        <w:rPr>
          <w:rFonts w:ascii="Arial" w:hAnsi="Arial" w:cs="Arial"/>
        </w:rPr>
        <w:t xml:space="preserve"> passed.</w:t>
      </w:r>
    </w:p>
    <w:p w14:paraId="24AFF7BD" w14:textId="23563AB2" w:rsidR="00D85F7C" w:rsidRPr="000E5786" w:rsidRDefault="00D85F7C" w:rsidP="00F966FF">
      <w:pPr>
        <w:pStyle w:val="Heading3"/>
        <w:numPr>
          <w:ilvl w:val="2"/>
          <w:numId w:val="149"/>
        </w:numPr>
      </w:pPr>
      <w:r w:rsidRPr="000E5786">
        <w:t xml:space="preserve">The Supplier shall support </w:t>
      </w:r>
      <w:proofErr w:type="spellStart"/>
      <w:r w:rsidR="001F1C19">
        <w:t>Netlink</w:t>
      </w:r>
      <w:proofErr w:type="spellEnd"/>
      <w:r w:rsidR="001F1C19">
        <w:t xml:space="preserve"> Star</w:t>
      </w:r>
      <w:r w:rsidRPr="000E5786">
        <w:t>’s need to prepare Users for transition and to support Users through transition.</w:t>
      </w:r>
    </w:p>
    <w:p w14:paraId="0DBFDF56" w14:textId="77777777" w:rsidR="00D85F7C" w:rsidRPr="000E5786" w:rsidRDefault="00D85F7C" w:rsidP="00F966FF">
      <w:pPr>
        <w:pStyle w:val="Heading3"/>
        <w:numPr>
          <w:ilvl w:val="2"/>
          <w:numId w:val="149"/>
        </w:numPr>
      </w:pPr>
      <w:r w:rsidRPr="000E5786">
        <w:t>The Supplier may merge or re-order the Migration Phase, Acceptance Phase and Transition Phase according to the needs of the Project.</w:t>
      </w:r>
    </w:p>
    <w:p w14:paraId="14E79945" w14:textId="77777777" w:rsidR="00D85F7C" w:rsidRPr="000E5786" w:rsidRDefault="00D85F7C" w:rsidP="00F966FF">
      <w:pPr>
        <w:pStyle w:val="Heading2"/>
        <w:numPr>
          <w:ilvl w:val="1"/>
          <w:numId w:val="149"/>
        </w:numPr>
        <w:spacing w:after="120"/>
        <w:rPr>
          <w:rFonts w:cs="Arial"/>
          <w:b/>
          <w:bCs w:val="0"/>
          <w:szCs w:val="20"/>
        </w:rPr>
      </w:pPr>
      <w:r w:rsidRPr="00C3397C">
        <w:rPr>
          <w:rFonts w:cs="Arial"/>
          <w:b/>
          <w:bCs w:val="0"/>
          <w:szCs w:val="20"/>
        </w:rPr>
        <w:t>Operate</w:t>
      </w:r>
      <w:r w:rsidRPr="000E5786">
        <w:rPr>
          <w:rFonts w:cs="Arial"/>
          <w:b/>
          <w:bCs w:val="0"/>
          <w:szCs w:val="20"/>
        </w:rPr>
        <w:t xml:space="preserve"> </w:t>
      </w:r>
      <w:r w:rsidRPr="00C3397C">
        <w:rPr>
          <w:rFonts w:cs="Arial"/>
          <w:b/>
          <w:bCs w:val="0"/>
          <w:szCs w:val="20"/>
        </w:rPr>
        <w:t>Phase</w:t>
      </w:r>
    </w:p>
    <w:p w14:paraId="13EFBA4B" w14:textId="77777777" w:rsidR="00D85F7C" w:rsidRPr="000E5786" w:rsidRDefault="00D85F7C" w:rsidP="00F966FF">
      <w:pPr>
        <w:pStyle w:val="Heading3"/>
        <w:numPr>
          <w:ilvl w:val="2"/>
          <w:numId w:val="149"/>
        </w:numPr>
      </w:pPr>
      <w:r w:rsidRPr="000E5786">
        <w:t>The Supplier shall deliver the Services (including the Operate Service) with the created or modified Services once they have successfully passed the Transition Phase.</w:t>
      </w:r>
    </w:p>
    <w:p w14:paraId="6ECA9AFF" w14:textId="77777777" w:rsidR="00D85F7C" w:rsidRPr="00C3397C" w:rsidRDefault="00D85F7C" w:rsidP="00F966FF">
      <w:pPr>
        <w:pStyle w:val="Heading2"/>
        <w:numPr>
          <w:ilvl w:val="1"/>
          <w:numId w:val="149"/>
        </w:numPr>
        <w:spacing w:after="120"/>
        <w:rPr>
          <w:rFonts w:cs="Arial"/>
          <w:b/>
          <w:bCs w:val="0"/>
          <w:szCs w:val="20"/>
        </w:rPr>
      </w:pPr>
      <w:r w:rsidRPr="00C3397C">
        <w:rPr>
          <w:rFonts w:cs="Arial"/>
          <w:b/>
          <w:bCs w:val="0"/>
          <w:szCs w:val="20"/>
        </w:rPr>
        <w:t>Project Close Out</w:t>
      </w:r>
    </w:p>
    <w:p w14:paraId="6DA91AFA" w14:textId="77777777" w:rsidR="00D85F7C" w:rsidRPr="000E5786" w:rsidRDefault="00D85F7C" w:rsidP="00F966FF">
      <w:pPr>
        <w:pStyle w:val="Heading3"/>
        <w:numPr>
          <w:ilvl w:val="2"/>
          <w:numId w:val="149"/>
        </w:numPr>
      </w:pPr>
      <w:r w:rsidRPr="000E5786">
        <w:t>The Supplier shall ensure that all Projects shall have a Project Closure Phase.</w:t>
      </w:r>
    </w:p>
    <w:p w14:paraId="0B7CC9DB" w14:textId="3E16962E" w:rsidR="00D85F7C" w:rsidRPr="000E5786" w:rsidRDefault="00D85F7C" w:rsidP="00F966FF">
      <w:pPr>
        <w:pStyle w:val="Heading3"/>
        <w:numPr>
          <w:ilvl w:val="2"/>
          <w:numId w:val="149"/>
        </w:numPr>
      </w:pPr>
      <w:r w:rsidRPr="000E5786">
        <w:lastRenderedPageBreak/>
        <w:t xml:space="preserve">The Supplier shall in the Project Close out phase conduct a Lessons Learned Review and share the results with </w:t>
      </w:r>
      <w:proofErr w:type="spellStart"/>
      <w:r w:rsidR="001F1C19">
        <w:t>Netlink</w:t>
      </w:r>
      <w:proofErr w:type="spellEnd"/>
      <w:r w:rsidR="001F1C19">
        <w:t xml:space="preserve"> Star</w:t>
      </w:r>
      <w:r w:rsidRPr="000E5786">
        <w:t>.</w:t>
      </w:r>
    </w:p>
    <w:p w14:paraId="4D5892BA" w14:textId="77777777" w:rsidR="00D85F7C" w:rsidRPr="00C3397C" w:rsidRDefault="00D85F7C" w:rsidP="00F966FF">
      <w:pPr>
        <w:pStyle w:val="Heading2"/>
        <w:numPr>
          <w:ilvl w:val="1"/>
          <w:numId w:val="149"/>
        </w:numPr>
        <w:spacing w:after="120"/>
        <w:rPr>
          <w:rFonts w:cs="Arial"/>
          <w:b/>
          <w:bCs w:val="0"/>
          <w:szCs w:val="20"/>
        </w:rPr>
      </w:pPr>
      <w:r w:rsidRPr="00C3397C">
        <w:rPr>
          <w:rFonts w:cs="Arial"/>
          <w:b/>
          <w:bCs w:val="0"/>
          <w:szCs w:val="20"/>
        </w:rPr>
        <w:t>General Project Plan Requirements</w:t>
      </w:r>
    </w:p>
    <w:p w14:paraId="5A01BDF0" w14:textId="77777777" w:rsidR="00D85F7C" w:rsidRPr="000E5786" w:rsidRDefault="00D85F7C" w:rsidP="00F966FF">
      <w:pPr>
        <w:pStyle w:val="Heading3"/>
        <w:numPr>
          <w:ilvl w:val="2"/>
          <w:numId w:val="149"/>
        </w:numPr>
      </w:pPr>
      <w:r w:rsidRPr="000E5786">
        <w:t>The Supplier shall ensure that each Project Plan shall include a Project Initiation Document (Output Definition) including:</w:t>
      </w:r>
    </w:p>
    <w:p w14:paraId="0FE08E43"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 xml:space="preserve">Project </w:t>
      </w:r>
      <w:proofErr w:type="gramStart"/>
      <w:r w:rsidRPr="000E5786">
        <w:rPr>
          <w:rFonts w:cs="Arial"/>
          <w:szCs w:val="20"/>
        </w:rPr>
        <w:t>background;</w:t>
      </w:r>
      <w:proofErr w:type="gramEnd"/>
    </w:p>
    <w:p w14:paraId="34BE4D4C"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 xml:space="preserve">Project </w:t>
      </w:r>
      <w:proofErr w:type="gramStart"/>
      <w:r w:rsidRPr="000E5786">
        <w:rPr>
          <w:rFonts w:cs="Arial"/>
          <w:szCs w:val="20"/>
        </w:rPr>
        <w:t>definition;</w:t>
      </w:r>
      <w:proofErr w:type="gramEnd"/>
      <w:r w:rsidRPr="000E5786">
        <w:rPr>
          <w:rFonts w:cs="Arial"/>
          <w:szCs w:val="20"/>
        </w:rPr>
        <w:t xml:space="preserve"> </w:t>
      </w:r>
    </w:p>
    <w:p w14:paraId="03A835DA"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 xml:space="preserve">Project business </w:t>
      </w:r>
      <w:proofErr w:type="gramStart"/>
      <w:r w:rsidRPr="000E5786">
        <w:rPr>
          <w:rFonts w:cs="Arial"/>
          <w:szCs w:val="20"/>
        </w:rPr>
        <w:t>case;</w:t>
      </w:r>
      <w:proofErr w:type="gramEnd"/>
      <w:r w:rsidRPr="000E5786">
        <w:rPr>
          <w:rFonts w:cs="Arial"/>
          <w:szCs w:val="20"/>
        </w:rPr>
        <w:t xml:space="preserve"> </w:t>
      </w:r>
    </w:p>
    <w:p w14:paraId="6726AC7B"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Project Plan (that is product based, and includes project approach; identified high-level milestones; identified contingency; RACI matrix; resource schedule; assumptions made</w:t>
      </w:r>
      <w:proofErr w:type="gramStart"/>
      <w:r w:rsidRPr="000E5786">
        <w:rPr>
          <w:rFonts w:cs="Arial"/>
          <w:szCs w:val="20"/>
        </w:rPr>
        <w:t>);</w:t>
      </w:r>
      <w:proofErr w:type="gramEnd"/>
    </w:p>
    <w:p w14:paraId="51B3E50A"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 xml:space="preserve">Project Quality </w:t>
      </w:r>
      <w:proofErr w:type="gramStart"/>
      <w:r w:rsidRPr="000E5786">
        <w:rPr>
          <w:rFonts w:cs="Arial"/>
          <w:szCs w:val="20"/>
        </w:rPr>
        <w:t>Plan;</w:t>
      </w:r>
      <w:proofErr w:type="gramEnd"/>
      <w:r w:rsidRPr="000E5786">
        <w:rPr>
          <w:rFonts w:cs="Arial"/>
          <w:szCs w:val="20"/>
        </w:rPr>
        <w:t xml:space="preserve"> </w:t>
      </w:r>
    </w:p>
    <w:p w14:paraId="7D66A238" w14:textId="77777777" w:rsidR="00D85F7C" w:rsidRPr="000E5786" w:rsidRDefault="00D85F7C" w:rsidP="00F966FF">
      <w:pPr>
        <w:pStyle w:val="Heading4"/>
        <w:numPr>
          <w:ilvl w:val="3"/>
          <w:numId w:val="149"/>
        </w:numPr>
        <w:spacing w:after="120"/>
        <w:ind w:left="2410"/>
        <w:rPr>
          <w:rFonts w:cs="Arial"/>
          <w:szCs w:val="20"/>
        </w:rPr>
      </w:pPr>
      <w:proofErr w:type="gramStart"/>
      <w:r w:rsidRPr="000E5786">
        <w:rPr>
          <w:rFonts w:cs="Arial"/>
          <w:szCs w:val="20"/>
        </w:rPr>
        <w:t>Risks;</w:t>
      </w:r>
      <w:proofErr w:type="gramEnd"/>
    </w:p>
    <w:p w14:paraId="656A4CA1"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 xml:space="preserve">Contingency </w:t>
      </w:r>
      <w:proofErr w:type="gramStart"/>
      <w:r w:rsidRPr="000E5786">
        <w:rPr>
          <w:rFonts w:cs="Arial"/>
          <w:szCs w:val="20"/>
        </w:rPr>
        <w:t>Plan;</w:t>
      </w:r>
      <w:proofErr w:type="gramEnd"/>
    </w:p>
    <w:p w14:paraId="3A0ABA4B"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 xml:space="preserve">Project </w:t>
      </w:r>
      <w:proofErr w:type="gramStart"/>
      <w:r w:rsidRPr="000E5786">
        <w:rPr>
          <w:rFonts w:cs="Arial"/>
          <w:szCs w:val="20"/>
        </w:rPr>
        <w:t>organisation;</w:t>
      </w:r>
      <w:proofErr w:type="gramEnd"/>
    </w:p>
    <w:p w14:paraId="4899A81C"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 xml:space="preserve">Project controls; and </w:t>
      </w:r>
    </w:p>
    <w:p w14:paraId="49D32458"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Exception process.</w:t>
      </w:r>
    </w:p>
    <w:p w14:paraId="44262C92" w14:textId="77777777" w:rsidR="00D85F7C" w:rsidRPr="000E5786" w:rsidRDefault="00D85F7C" w:rsidP="00F966FF">
      <w:pPr>
        <w:pStyle w:val="Heading3"/>
        <w:numPr>
          <w:ilvl w:val="2"/>
          <w:numId w:val="149"/>
        </w:numPr>
      </w:pPr>
      <w:r w:rsidRPr="000E5786">
        <w:t>The Supplier shall identify for each Project:</w:t>
      </w:r>
    </w:p>
    <w:p w14:paraId="0788A666"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the accommodation and facilities they would require at each location for those resources identified in the Project Plan (including the area required expressed in square metres</w:t>
      </w:r>
      <w:proofErr w:type="gramStart"/>
      <w:r w:rsidRPr="000E5786">
        <w:rPr>
          <w:rFonts w:cs="Arial"/>
          <w:szCs w:val="20"/>
        </w:rPr>
        <w:t>);</w:t>
      </w:r>
      <w:proofErr w:type="gramEnd"/>
    </w:p>
    <w:p w14:paraId="206443DD"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the equipment and associated IT services that they would require at each of location; and</w:t>
      </w:r>
    </w:p>
    <w:p w14:paraId="418C4097" w14:textId="77777777" w:rsidR="00D85F7C" w:rsidRPr="000E5786" w:rsidRDefault="00D85F7C" w:rsidP="00F966FF">
      <w:pPr>
        <w:pStyle w:val="Heading4"/>
        <w:numPr>
          <w:ilvl w:val="3"/>
          <w:numId w:val="149"/>
        </w:numPr>
        <w:spacing w:after="120"/>
        <w:ind w:left="2410"/>
        <w:rPr>
          <w:rFonts w:cs="Arial"/>
          <w:szCs w:val="20"/>
        </w:rPr>
      </w:pPr>
      <w:r w:rsidRPr="000E5786">
        <w:rPr>
          <w:rFonts w:cs="Arial"/>
          <w:szCs w:val="20"/>
        </w:rPr>
        <w:t>whether the facilities are required on a full-time or part-time basis.</w:t>
      </w:r>
    </w:p>
    <w:p w14:paraId="3C96A963" w14:textId="77C2BF72" w:rsidR="00D85F7C" w:rsidRPr="000E5786" w:rsidRDefault="00D85F7C" w:rsidP="00DD60F0">
      <w:pPr>
        <w:rPr>
          <w:rFonts w:cs="Arial"/>
          <w:szCs w:val="20"/>
        </w:rPr>
      </w:pPr>
      <w:r w:rsidRPr="000E5786">
        <w:rPr>
          <w:rFonts w:cs="Arial"/>
          <w:szCs w:val="20"/>
        </w:rPr>
        <w:br w:type="page"/>
      </w:r>
    </w:p>
    <w:p w14:paraId="00586F38" w14:textId="40B4882B" w:rsidR="004B457B" w:rsidRDefault="004B457B" w:rsidP="006A0217">
      <w:pPr>
        <w:jc w:val="center"/>
        <w:rPr>
          <w:rFonts w:cs="Arial"/>
          <w:b/>
        </w:rPr>
      </w:pPr>
      <w:r>
        <w:rPr>
          <w:rFonts w:cs="Arial"/>
          <w:b/>
        </w:rPr>
        <w:lastRenderedPageBreak/>
        <w:t>SCHEDULE 6.3</w:t>
      </w:r>
    </w:p>
    <w:p w14:paraId="68D8B1F6" w14:textId="22F7FE20" w:rsidR="004B457B" w:rsidRPr="00EC6A61" w:rsidRDefault="004B457B" w:rsidP="006A0217">
      <w:pPr>
        <w:jc w:val="center"/>
        <w:rPr>
          <w:rFonts w:cs="Arial"/>
          <w:b/>
        </w:rPr>
      </w:pPr>
      <w:r>
        <w:rPr>
          <w:rFonts w:cs="Arial"/>
          <w:b/>
        </w:rPr>
        <w:t>TESTING PROCEDURES</w:t>
      </w:r>
    </w:p>
    <w:p w14:paraId="5BAF5C6F" w14:textId="6C543151" w:rsidR="004B457B" w:rsidRPr="00EC6A61" w:rsidRDefault="004B457B" w:rsidP="009D675B">
      <w:pPr>
        <w:pStyle w:val="Level1"/>
        <w:numPr>
          <w:ilvl w:val="0"/>
          <w:numId w:val="76"/>
        </w:numPr>
        <w:tabs>
          <w:tab w:val="clear" w:pos="2411"/>
          <w:tab w:val="num" w:pos="851"/>
        </w:tabs>
        <w:spacing w:after="120" w:line="240" w:lineRule="auto"/>
        <w:ind w:left="851"/>
        <w:rPr>
          <w:rFonts w:ascii="Arial" w:hAnsi="Arial" w:cs="Arial"/>
          <w:b/>
        </w:rPr>
      </w:pPr>
      <w:r w:rsidRPr="00EC6A61">
        <w:rPr>
          <w:rFonts w:ascii="Arial" w:hAnsi="Arial" w:cs="Arial"/>
          <w:b/>
        </w:rPr>
        <w:t>INTRODUCTION</w:t>
      </w:r>
    </w:p>
    <w:p w14:paraId="7179E4CA" w14:textId="038C428C" w:rsidR="004B457B" w:rsidRPr="00EC6A61" w:rsidRDefault="004B457B" w:rsidP="004B457B">
      <w:pPr>
        <w:pStyle w:val="Level2"/>
        <w:tabs>
          <w:tab w:val="clear" w:pos="1135"/>
          <w:tab w:val="num" w:pos="851"/>
        </w:tabs>
        <w:spacing w:after="120" w:line="240" w:lineRule="auto"/>
        <w:ind w:left="851"/>
        <w:rPr>
          <w:rFonts w:ascii="Arial" w:hAnsi="Arial" w:cs="Arial"/>
        </w:rPr>
      </w:pPr>
      <w:r w:rsidRPr="00EC6A61">
        <w:rPr>
          <w:rFonts w:ascii="Arial" w:hAnsi="Arial" w:cs="Arial"/>
        </w:rPr>
        <w:t xml:space="preserve">This </w:t>
      </w:r>
      <w:r w:rsidRPr="00EC6A61">
        <w:rPr>
          <w:rFonts w:ascii="Arial" w:hAnsi="Arial" w:cs="Arial"/>
          <w:bCs/>
        </w:rPr>
        <w:t xml:space="preserve">Schedule </w:t>
      </w:r>
      <w:r w:rsidRPr="00EC6A61">
        <w:rPr>
          <w:rFonts w:ascii="Arial" w:hAnsi="Arial" w:cs="Arial"/>
        </w:rPr>
        <w:t xml:space="preserve">covers the principles of testing and acceptance and outlines the procedures that the Supplier and </w:t>
      </w:r>
      <w:proofErr w:type="spellStart"/>
      <w:r w:rsidR="001F1C19">
        <w:rPr>
          <w:rFonts w:ascii="Arial" w:hAnsi="Arial" w:cs="Arial"/>
        </w:rPr>
        <w:t>Netlink</w:t>
      </w:r>
      <w:proofErr w:type="spellEnd"/>
      <w:r w:rsidR="001F1C19">
        <w:rPr>
          <w:rFonts w:ascii="Arial" w:hAnsi="Arial" w:cs="Arial"/>
        </w:rPr>
        <w:t xml:space="preserve"> Star</w:t>
      </w:r>
      <w:r w:rsidRPr="00EC6A61">
        <w:rPr>
          <w:rFonts w:ascii="Arial" w:hAnsi="Arial" w:cs="Arial"/>
        </w:rPr>
        <w:t xml:space="preserve"> shall adopt in the performance of the Services and delivery of the Deliverables.</w:t>
      </w:r>
    </w:p>
    <w:p w14:paraId="6C4B1922" w14:textId="736CC60F" w:rsidR="004B457B" w:rsidRPr="00EC6A61" w:rsidRDefault="004B457B" w:rsidP="004B457B">
      <w:pPr>
        <w:pStyle w:val="Level1"/>
        <w:tabs>
          <w:tab w:val="clear" w:pos="2411"/>
          <w:tab w:val="num" w:pos="851"/>
        </w:tabs>
        <w:spacing w:after="120" w:line="240" w:lineRule="auto"/>
        <w:ind w:left="851"/>
        <w:rPr>
          <w:rFonts w:ascii="Arial" w:hAnsi="Arial" w:cs="Arial"/>
          <w:b/>
          <w:bCs/>
        </w:rPr>
      </w:pPr>
      <w:r w:rsidRPr="00EC6A61">
        <w:rPr>
          <w:rFonts w:ascii="Arial" w:hAnsi="Arial" w:cs="Arial"/>
          <w:b/>
          <w:bCs/>
        </w:rPr>
        <w:t>GENERAL PRINCIPLES</w:t>
      </w:r>
    </w:p>
    <w:p w14:paraId="18102205" w14:textId="77777777" w:rsidR="004B457B" w:rsidRPr="00EC6A61" w:rsidRDefault="004B457B" w:rsidP="004B457B">
      <w:pPr>
        <w:pStyle w:val="Level2"/>
        <w:tabs>
          <w:tab w:val="clear" w:pos="1135"/>
          <w:tab w:val="num" w:pos="851"/>
        </w:tabs>
        <w:spacing w:after="120" w:line="240" w:lineRule="auto"/>
        <w:ind w:left="851"/>
        <w:rPr>
          <w:rFonts w:ascii="Arial" w:hAnsi="Arial" w:cs="Arial"/>
        </w:rPr>
      </w:pPr>
      <w:r w:rsidRPr="00EC6A61">
        <w:rPr>
          <w:rFonts w:ascii="Arial" w:hAnsi="Arial" w:cs="Arial"/>
        </w:rPr>
        <w:t>The Testing and Acceptance Procedures shall apply to the following:</w:t>
      </w:r>
    </w:p>
    <w:p w14:paraId="3DF5C640" w14:textId="77777777" w:rsidR="004B457B" w:rsidRPr="00EC6A61" w:rsidRDefault="004B457B" w:rsidP="006A0217">
      <w:pPr>
        <w:pStyle w:val="Level3"/>
        <w:spacing w:line="240" w:lineRule="auto"/>
        <w:rPr>
          <w:rFonts w:ascii="Arial" w:hAnsi="Arial" w:cs="Arial"/>
        </w:rPr>
      </w:pPr>
      <w:r w:rsidRPr="00EC6A61">
        <w:rPr>
          <w:rFonts w:ascii="Arial" w:hAnsi="Arial" w:cs="Arial"/>
        </w:rPr>
        <w:t xml:space="preserve">a new or revised Service introduced under the Change Control </w:t>
      </w:r>
      <w:proofErr w:type="gramStart"/>
      <w:r w:rsidRPr="00EC6A61">
        <w:rPr>
          <w:rFonts w:ascii="Arial" w:hAnsi="Arial" w:cs="Arial"/>
        </w:rPr>
        <w:t>Procedures;</w:t>
      </w:r>
      <w:proofErr w:type="gramEnd"/>
    </w:p>
    <w:p w14:paraId="18C35414" w14:textId="77777777" w:rsidR="004B457B" w:rsidRPr="00EC6A61" w:rsidRDefault="004B457B" w:rsidP="006A0217">
      <w:pPr>
        <w:pStyle w:val="Level3"/>
        <w:spacing w:line="240" w:lineRule="auto"/>
        <w:rPr>
          <w:rFonts w:ascii="Arial" w:hAnsi="Arial" w:cs="Arial"/>
        </w:rPr>
      </w:pPr>
      <w:r w:rsidRPr="00EC6A61">
        <w:rPr>
          <w:rFonts w:ascii="Arial" w:hAnsi="Arial" w:cs="Arial"/>
        </w:rPr>
        <w:t>any Significant Change as detailed in</w:t>
      </w:r>
      <w:r w:rsidRPr="00EC6A61">
        <w:rPr>
          <w:rFonts w:ascii="Arial" w:hAnsi="Arial" w:cs="Arial"/>
          <w:b/>
        </w:rPr>
        <w:t xml:space="preserve"> </w:t>
      </w:r>
      <w:r w:rsidRPr="00EC6A61">
        <w:rPr>
          <w:rFonts w:ascii="Arial" w:hAnsi="Arial" w:cs="Arial"/>
          <w:bCs/>
        </w:rPr>
        <w:t>Schedule 8.2 (Change Control Procedure</w:t>
      </w:r>
      <w:proofErr w:type="gramStart"/>
      <w:r w:rsidRPr="00EC6A61">
        <w:rPr>
          <w:rFonts w:ascii="Arial" w:hAnsi="Arial" w:cs="Arial"/>
          <w:bCs/>
        </w:rPr>
        <w:t>)</w:t>
      </w:r>
      <w:r w:rsidRPr="00EC6A61">
        <w:rPr>
          <w:rFonts w:ascii="Arial" w:hAnsi="Arial" w:cs="Arial"/>
        </w:rPr>
        <w:t>;</w:t>
      </w:r>
      <w:proofErr w:type="gramEnd"/>
      <w:r w:rsidRPr="00EC6A61">
        <w:rPr>
          <w:rFonts w:ascii="Arial" w:hAnsi="Arial" w:cs="Arial"/>
        </w:rPr>
        <w:t xml:space="preserve"> </w:t>
      </w:r>
    </w:p>
    <w:p w14:paraId="187D3A0A" w14:textId="77777777" w:rsidR="004B457B" w:rsidRPr="00EC6A61" w:rsidRDefault="004B457B" w:rsidP="006A0217">
      <w:pPr>
        <w:pStyle w:val="Level3"/>
        <w:spacing w:line="240" w:lineRule="auto"/>
        <w:rPr>
          <w:rFonts w:ascii="Arial" w:hAnsi="Arial" w:cs="Arial"/>
        </w:rPr>
      </w:pPr>
      <w:r w:rsidRPr="00EC6A61">
        <w:rPr>
          <w:rFonts w:ascii="Arial" w:hAnsi="Arial" w:cs="Arial"/>
        </w:rPr>
        <w:t xml:space="preserve">any Deliverable delivered pursuant to this </w:t>
      </w:r>
      <w:proofErr w:type="gramStart"/>
      <w:r w:rsidRPr="00EC6A61">
        <w:rPr>
          <w:rFonts w:ascii="Arial" w:hAnsi="Arial" w:cs="Arial"/>
        </w:rPr>
        <w:t>Agreement;</w:t>
      </w:r>
      <w:proofErr w:type="gramEnd"/>
    </w:p>
    <w:p w14:paraId="17286302" w14:textId="77777777" w:rsidR="004B457B" w:rsidRPr="00EC6A61" w:rsidRDefault="004B457B" w:rsidP="006A0217">
      <w:pPr>
        <w:pStyle w:val="Level3"/>
        <w:spacing w:line="240" w:lineRule="auto"/>
        <w:rPr>
          <w:rFonts w:ascii="Arial" w:hAnsi="Arial" w:cs="Arial"/>
        </w:rPr>
      </w:pPr>
      <w:r w:rsidRPr="00EC6A61">
        <w:rPr>
          <w:rFonts w:ascii="Arial" w:hAnsi="Arial" w:cs="Arial"/>
        </w:rPr>
        <w:t>any Project initiated under the Agreement; and</w:t>
      </w:r>
    </w:p>
    <w:p w14:paraId="036B013F" w14:textId="77777777" w:rsidR="004B457B" w:rsidRPr="00EC6A61" w:rsidRDefault="004B457B" w:rsidP="006A0217">
      <w:pPr>
        <w:pStyle w:val="Level3"/>
        <w:spacing w:line="240" w:lineRule="auto"/>
        <w:rPr>
          <w:rFonts w:ascii="Arial" w:hAnsi="Arial" w:cs="Arial"/>
        </w:rPr>
      </w:pPr>
      <w:r w:rsidRPr="00EC6A61">
        <w:rPr>
          <w:rFonts w:ascii="Arial" w:hAnsi="Arial" w:cs="Arial"/>
        </w:rPr>
        <w:t xml:space="preserve">any other Change, Service, Deliverable, </w:t>
      </w:r>
      <w:proofErr w:type="gramStart"/>
      <w:r w:rsidRPr="00EC6A61">
        <w:rPr>
          <w:rFonts w:ascii="Arial" w:hAnsi="Arial" w:cs="Arial"/>
        </w:rPr>
        <w:t>Project</w:t>
      </w:r>
      <w:proofErr w:type="gramEnd"/>
      <w:r w:rsidRPr="00EC6A61">
        <w:rPr>
          <w:rFonts w:ascii="Arial" w:hAnsi="Arial" w:cs="Arial"/>
        </w:rPr>
        <w:t xml:space="preserve"> or part thereof that the Parties agree shall be subject to Testing and Acceptance Procedures,</w:t>
      </w:r>
    </w:p>
    <w:p w14:paraId="3B1B863C" w14:textId="77777777" w:rsidR="004B457B" w:rsidRPr="00EC6A61" w:rsidRDefault="004B457B" w:rsidP="006A0217">
      <w:pPr>
        <w:pStyle w:val="Level3"/>
        <w:numPr>
          <w:ilvl w:val="0"/>
          <w:numId w:val="0"/>
        </w:numPr>
        <w:spacing w:line="240" w:lineRule="auto"/>
        <w:ind w:left="851"/>
        <w:rPr>
          <w:rFonts w:ascii="Arial" w:hAnsi="Arial" w:cs="Arial"/>
        </w:rPr>
      </w:pPr>
      <w:r w:rsidRPr="00EC6A61">
        <w:rPr>
          <w:rFonts w:ascii="Arial" w:hAnsi="Arial" w:cs="Arial"/>
        </w:rPr>
        <w:t>each a “</w:t>
      </w:r>
      <w:r w:rsidRPr="00EC6A61">
        <w:rPr>
          <w:rFonts w:ascii="Arial" w:hAnsi="Arial" w:cs="Arial"/>
          <w:b/>
          <w:bCs/>
        </w:rPr>
        <w:t>Testable Element</w:t>
      </w:r>
      <w:r w:rsidRPr="00EC6A61">
        <w:rPr>
          <w:rFonts w:ascii="Arial" w:hAnsi="Arial" w:cs="Arial"/>
        </w:rPr>
        <w:t>”.</w:t>
      </w:r>
    </w:p>
    <w:p w14:paraId="29F9760D" w14:textId="36E1B48D" w:rsidR="004B457B" w:rsidRPr="00EC6A61" w:rsidRDefault="004B457B" w:rsidP="004B457B">
      <w:pPr>
        <w:pStyle w:val="Level2"/>
        <w:tabs>
          <w:tab w:val="clear" w:pos="1135"/>
          <w:tab w:val="num" w:pos="851"/>
        </w:tabs>
        <w:spacing w:after="120" w:line="240" w:lineRule="auto"/>
        <w:ind w:left="851"/>
        <w:rPr>
          <w:rFonts w:ascii="Arial" w:hAnsi="Arial" w:cs="Arial"/>
        </w:rPr>
      </w:pPr>
      <w:r w:rsidRPr="00EC6A61">
        <w:rPr>
          <w:rFonts w:ascii="Arial" w:hAnsi="Arial" w:cs="Arial"/>
        </w:rPr>
        <w:t xml:space="preserve">Unless stated otherwise by </w:t>
      </w:r>
      <w:proofErr w:type="spellStart"/>
      <w:r w:rsidR="001F1C19">
        <w:rPr>
          <w:rFonts w:ascii="Arial" w:hAnsi="Arial" w:cs="Arial"/>
        </w:rPr>
        <w:t>Netlink</w:t>
      </w:r>
      <w:proofErr w:type="spellEnd"/>
      <w:r w:rsidR="001F1C19">
        <w:rPr>
          <w:rFonts w:ascii="Arial" w:hAnsi="Arial" w:cs="Arial"/>
        </w:rPr>
        <w:t xml:space="preserve"> Star</w:t>
      </w:r>
      <w:r w:rsidRPr="00EC6A61">
        <w:rPr>
          <w:rFonts w:ascii="Arial" w:hAnsi="Arial" w:cs="Arial"/>
        </w:rPr>
        <w:t xml:space="preserve">, any Minor Change as detailed in </w:t>
      </w:r>
      <w:r w:rsidRPr="00EC6A61">
        <w:rPr>
          <w:rFonts w:ascii="Arial" w:hAnsi="Arial" w:cs="Arial"/>
          <w:bCs/>
        </w:rPr>
        <w:t>Schedule 8.2 (Change Control Procedure)</w:t>
      </w:r>
      <w:r w:rsidRPr="00EC6A61">
        <w:rPr>
          <w:rFonts w:ascii="Arial" w:hAnsi="Arial" w:cs="Arial"/>
        </w:rPr>
        <w:t>, shall not be subject to the Testing and Acceptance Procedures.</w:t>
      </w:r>
    </w:p>
    <w:p w14:paraId="6232AAC9" w14:textId="1820357F" w:rsidR="004B457B" w:rsidRPr="00EC6A61" w:rsidRDefault="004B457B" w:rsidP="004B457B">
      <w:pPr>
        <w:pStyle w:val="Level1"/>
        <w:tabs>
          <w:tab w:val="clear" w:pos="2411"/>
          <w:tab w:val="num" w:pos="851"/>
        </w:tabs>
        <w:spacing w:after="120" w:line="240" w:lineRule="auto"/>
        <w:ind w:left="851"/>
        <w:rPr>
          <w:rFonts w:ascii="Arial" w:hAnsi="Arial" w:cs="Arial"/>
          <w:b/>
          <w:bCs/>
        </w:rPr>
      </w:pPr>
      <w:r w:rsidRPr="00EC6A61">
        <w:rPr>
          <w:rFonts w:ascii="Arial" w:hAnsi="Arial" w:cs="Arial"/>
          <w:b/>
          <w:bCs/>
        </w:rPr>
        <w:t>TESTS</w:t>
      </w:r>
    </w:p>
    <w:p w14:paraId="4CCEC799" w14:textId="77777777" w:rsidR="004B457B" w:rsidRPr="00EC6A61" w:rsidRDefault="004B457B" w:rsidP="004B457B">
      <w:pPr>
        <w:pStyle w:val="Level2"/>
        <w:tabs>
          <w:tab w:val="clear" w:pos="1135"/>
          <w:tab w:val="num" w:pos="851"/>
        </w:tabs>
        <w:spacing w:after="120" w:line="240" w:lineRule="auto"/>
        <w:ind w:left="851"/>
        <w:rPr>
          <w:rFonts w:ascii="Arial" w:hAnsi="Arial" w:cs="Arial"/>
        </w:rPr>
      </w:pPr>
      <w:r w:rsidRPr="00EC6A61">
        <w:rPr>
          <w:rFonts w:ascii="Arial" w:hAnsi="Arial" w:cs="Arial"/>
        </w:rPr>
        <w:t>The Supplier shall develop and submit a Test Strategy for all Testable Elements.</w:t>
      </w:r>
    </w:p>
    <w:p w14:paraId="33CC059C" w14:textId="77777777" w:rsidR="004B457B" w:rsidRPr="00EC6A61" w:rsidRDefault="004B457B" w:rsidP="004B457B">
      <w:pPr>
        <w:pStyle w:val="Level2"/>
        <w:tabs>
          <w:tab w:val="clear" w:pos="1135"/>
          <w:tab w:val="num" w:pos="851"/>
        </w:tabs>
        <w:spacing w:after="120" w:line="240" w:lineRule="auto"/>
        <w:ind w:left="851"/>
        <w:rPr>
          <w:rFonts w:ascii="Arial" w:hAnsi="Arial" w:cs="Arial"/>
        </w:rPr>
      </w:pPr>
      <w:r w:rsidRPr="00EC6A61">
        <w:rPr>
          <w:rFonts w:ascii="Arial" w:hAnsi="Arial" w:cs="Arial"/>
        </w:rPr>
        <w:t>The Test Strategy shall include:</w:t>
      </w:r>
    </w:p>
    <w:p w14:paraId="35000106" w14:textId="77777777" w:rsidR="004B457B" w:rsidRPr="00EC6A61" w:rsidRDefault="004B457B" w:rsidP="006A0217">
      <w:pPr>
        <w:pStyle w:val="Level3"/>
        <w:spacing w:line="240" w:lineRule="auto"/>
        <w:rPr>
          <w:rFonts w:ascii="Arial" w:hAnsi="Arial" w:cs="Arial"/>
        </w:rPr>
      </w:pPr>
      <w:r w:rsidRPr="00EC6A61">
        <w:rPr>
          <w:rFonts w:ascii="Arial" w:hAnsi="Arial" w:cs="Arial"/>
        </w:rPr>
        <w:t xml:space="preserve">an overview of how Testing will be conducted in relation to the Project Plan, any agreed timetables and in particular the Test </w:t>
      </w:r>
      <w:proofErr w:type="gramStart"/>
      <w:r w:rsidRPr="00EC6A61">
        <w:rPr>
          <w:rFonts w:ascii="Arial" w:hAnsi="Arial" w:cs="Arial"/>
        </w:rPr>
        <w:t>Stage;</w:t>
      </w:r>
      <w:proofErr w:type="gramEnd"/>
    </w:p>
    <w:p w14:paraId="5C34045E" w14:textId="77777777" w:rsidR="004B457B" w:rsidRPr="00EC6A61" w:rsidRDefault="004B457B" w:rsidP="006A0217">
      <w:pPr>
        <w:pStyle w:val="Level3"/>
        <w:spacing w:line="240" w:lineRule="auto"/>
        <w:rPr>
          <w:rFonts w:ascii="Arial" w:hAnsi="Arial" w:cs="Arial"/>
        </w:rPr>
      </w:pPr>
      <w:r w:rsidRPr="00EC6A61">
        <w:rPr>
          <w:rFonts w:ascii="Arial" w:hAnsi="Arial" w:cs="Arial"/>
        </w:rPr>
        <w:t xml:space="preserve">the process to be used to capture and record Test results and the categorisation of </w:t>
      </w:r>
      <w:proofErr w:type="gramStart"/>
      <w:r w:rsidRPr="00EC6A61">
        <w:rPr>
          <w:rFonts w:ascii="Arial" w:hAnsi="Arial" w:cs="Arial"/>
        </w:rPr>
        <w:t>Defects;</w:t>
      </w:r>
      <w:proofErr w:type="gramEnd"/>
    </w:p>
    <w:p w14:paraId="52986509" w14:textId="77777777" w:rsidR="004B457B" w:rsidRPr="00EC6A61" w:rsidRDefault="004B457B" w:rsidP="006A0217">
      <w:pPr>
        <w:pStyle w:val="Level3"/>
        <w:spacing w:line="240" w:lineRule="auto"/>
        <w:rPr>
          <w:rFonts w:ascii="Arial" w:hAnsi="Arial" w:cs="Arial"/>
        </w:rPr>
      </w:pPr>
      <w:r w:rsidRPr="00EC6A61">
        <w:rPr>
          <w:rFonts w:ascii="Arial" w:hAnsi="Arial" w:cs="Arial"/>
        </w:rPr>
        <w:t xml:space="preserve">the method for mapping the expected Test results to the Test </w:t>
      </w:r>
      <w:proofErr w:type="gramStart"/>
      <w:r w:rsidRPr="00EC6A61">
        <w:rPr>
          <w:rFonts w:ascii="Arial" w:hAnsi="Arial" w:cs="Arial"/>
        </w:rPr>
        <w:t>Criteria;</w:t>
      </w:r>
      <w:proofErr w:type="gramEnd"/>
    </w:p>
    <w:p w14:paraId="3B68F0C6" w14:textId="77777777" w:rsidR="004B457B" w:rsidRPr="00EC6A61" w:rsidRDefault="004B457B" w:rsidP="006A0217">
      <w:pPr>
        <w:pStyle w:val="Level3"/>
        <w:spacing w:line="240" w:lineRule="auto"/>
        <w:rPr>
          <w:rFonts w:ascii="Arial" w:hAnsi="Arial" w:cs="Arial"/>
        </w:rPr>
      </w:pPr>
      <w:r w:rsidRPr="00EC6A61">
        <w:rPr>
          <w:rFonts w:ascii="Arial" w:hAnsi="Arial" w:cs="Arial"/>
        </w:rPr>
        <w:t xml:space="preserve">the procedure to be followed should a Testable Element fail to satisfy the Test Criteria or to produce unexpected results, including a procedure for the resolution of </w:t>
      </w:r>
      <w:proofErr w:type="gramStart"/>
      <w:r w:rsidRPr="00EC6A61">
        <w:rPr>
          <w:rFonts w:ascii="Arial" w:hAnsi="Arial" w:cs="Arial"/>
        </w:rPr>
        <w:t>Defects;</w:t>
      </w:r>
      <w:proofErr w:type="gramEnd"/>
    </w:p>
    <w:p w14:paraId="43E9A1FD" w14:textId="77777777" w:rsidR="004B457B" w:rsidRPr="00EC6A61" w:rsidRDefault="004B457B" w:rsidP="006A0217">
      <w:pPr>
        <w:pStyle w:val="Level3"/>
        <w:spacing w:line="240" w:lineRule="auto"/>
        <w:rPr>
          <w:rFonts w:ascii="Arial" w:hAnsi="Arial" w:cs="Arial"/>
        </w:rPr>
      </w:pPr>
      <w:r w:rsidRPr="00EC6A61">
        <w:rPr>
          <w:rFonts w:ascii="Arial" w:hAnsi="Arial" w:cs="Arial"/>
        </w:rPr>
        <w:t xml:space="preserve">the procedure to be followed to sign off each </w:t>
      </w:r>
      <w:proofErr w:type="gramStart"/>
      <w:r w:rsidRPr="00EC6A61">
        <w:rPr>
          <w:rFonts w:ascii="Arial" w:hAnsi="Arial" w:cs="Arial"/>
        </w:rPr>
        <w:t>Test;</w:t>
      </w:r>
      <w:proofErr w:type="gramEnd"/>
    </w:p>
    <w:p w14:paraId="74F83A61" w14:textId="77777777" w:rsidR="004B457B" w:rsidRPr="00EC6A61" w:rsidRDefault="004B457B" w:rsidP="006A0217">
      <w:pPr>
        <w:pStyle w:val="Level3"/>
        <w:spacing w:line="240" w:lineRule="auto"/>
        <w:rPr>
          <w:rFonts w:ascii="Arial" w:hAnsi="Arial" w:cs="Arial"/>
        </w:rPr>
      </w:pPr>
      <w:r w:rsidRPr="00EC6A61">
        <w:rPr>
          <w:rFonts w:ascii="Arial" w:hAnsi="Arial" w:cs="Arial"/>
        </w:rPr>
        <w:t xml:space="preserve">the process for the production and maintenance of Test Reports and reporting, including templates for the Test Reports and the Test Issue Management Log, and a sample plan to resolve </w:t>
      </w:r>
      <w:proofErr w:type="gramStart"/>
      <w:r w:rsidRPr="00EC6A61">
        <w:rPr>
          <w:rFonts w:ascii="Arial" w:hAnsi="Arial" w:cs="Arial"/>
        </w:rPr>
        <w:t>Defects;</w:t>
      </w:r>
      <w:proofErr w:type="gramEnd"/>
    </w:p>
    <w:p w14:paraId="71E48269" w14:textId="0BD847D6" w:rsidR="004B457B" w:rsidRPr="00EC6A61" w:rsidRDefault="004B457B" w:rsidP="006A0217">
      <w:pPr>
        <w:pStyle w:val="Level3"/>
        <w:spacing w:line="240" w:lineRule="auto"/>
        <w:rPr>
          <w:rFonts w:ascii="Arial" w:hAnsi="Arial" w:cs="Arial"/>
        </w:rPr>
      </w:pPr>
      <w:r w:rsidRPr="00EC6A61">
        <w:rPr>
          <w:rFonts w:ascii="Arial" w:hAnsi="Arial" w:cs="Arial"/>
        </w:rPr>
        <w:t>the names and contact detai</w:t>
      </w:r>
      <w:r w:rsidR="00420208">
        <w:rPr>
          <w:rFonts w:ascii="Arial" w:hAnsi="Arial" w:cs="Arial"/>
        </w:rPr>
        <w:t>l</w:t>
      </w:r>
      <w:r w:rsidRPr="00EC6A61">
        <w:rPr>
          <w:rFonts w:ascii="Arial" w:hAnsi="Arial" w:cs="Arial"/>
        </w:rPr>
        <w:t xml:space="preserve">s of the Supplier's and </w:t>
      </w:r>
      <w:proofErr w:type="spellStart"/>
      <w:r w:rsidR="001F1C19">
        <w:rPr>
          <w:rFonts w:ascii="Arial" w:hAnsi="Arial" w:cs="Arial"/>
        </w:rPr>
        <w:t>Netlink</w:t>
      </w:r>
      <w:proofErr w:type="spellEnd"/>
      <w:r w:rsidR="001F1C19">
        <w:rPr>
          <w:rFonts w:ascii="Arial" w:hAnsi="Arial" w:cs="Arial"/>
        </w:rPr>
        <w:t xml:space="preserve"> Star</w:t>
      </w:r>
      <w:r w:rsidRPr="00EC6A61">
        <w:rPr>
          <w:rFonts w:ascii="Arial" w:hAnsi="Arial" w:cs="Arial"/>
        </w:rPr>
        <w:t xml:space="preserve">’s Test </w:t>
      </w:r>
      <w:proofErr w:type="gramStart"/>
      <w:r w:rsidRPr="00EC6A61">
        <w:rPr>
          <w:rFonts w:ascii="Arial" w:hAnsi="Arial" w:cs="Arial"/>
        </w:rPr>
        <w:t>representatives;</w:t>
      </w:r>
      <w:proofErr w:type="gramEnd"/>
    </w:p>
    <w:p w14:paraId="666BFAFE" w14:textId="0348A294" w:rsidR="004B457B" w:rsidRPr="00EC6A61" w:rsidRDefault="004B457B" w:rsidP="006A0217">
      <w:pPr>
        <w:pStyle w:val="Level3"/>
        <w:spacing w:line="240" w:lineRule="auto"/>
        <w:rPr>
          <w:rFonts w:ascii="Arial" w:hAnsi="Arial" w:cs="Arial"/>
        </w:rPr>
      </w:pPr>
      <w:r w:rsidRPr="00EC6A61">
        <w:rPr>
          <w:rFonts w:ascii="Arial" w:hAnsi="Arial" w:cs="Arial"/>
        </w:rPr>
        <w:t xml:space="preserve">a </w:t>
      </w:r>
      <w:proofErr w:type="gramStart"/>
      <w:r w:rsidRPr="00EC6A61">
        <w:rPr>
          <w:rFonts w:ascii="Arial" w:hAnsi="Arial" w:cs="Arial"/>
        </w:rPr>
        <w:t>high level</w:t>
      </w:r>
      <w:proofErr w:type="gramEnd"/>
      <w:r w:rsidRPr="00EC6A61">
        <w:rPr>
          <w:rFonts w:ascii="Arial" w:hAnsi="Arial" w:cs="Arial"/>
        </w:rPr>
        <w:t xml:space="preserve"> identification of the resources required for Testing, including facilities, tools, existing scripts, infrastructure, personnel and </w:t>
      </w:r>
      <w:proofErr w:type="spellStart"/>
      <w:r w:rsidR="001F1C19">
        <w:rPr>
          <w:rFonts w:ascii="Arial" w:hAnsi="Arial" w:cs="Arial"/>
        </w:rPr>
        <w:t>Netlink</w:t>
      </w:r>
      <w:proofErr w:type="spellEnd"/>
      <w:r w:rsidR="001F1C19">
        <w:rPr>
          <w:rFonts w:ascii="Arial" w:hAnsi="Arial" w:cs="Arial"/>
        </w:rPr>
        <w:t xml:space="preserve"> Star</w:t>
      </w:r>
      <w:r w:rsidRPr="00EC6A61">
        <w:rPr>
          <w:rFonts w:ascii="Arial" w:hAnsi="Arial" w:cs="Arial"/>
        </w:rPr>
        <w:t xml:space="preserve"> and/or third party involvement (including Other Suppliers) in the conduct of the Tests;</w:t>
      </w:r>
    </w:p>
    <w:p w14:paraId="5788BE0F" w14:textId="77777777" w:rsidR="004B457B" w:rsidRPr="00EC6A61" w:rsidRDefault="004B457B" w:rsidP="006A0217">
      <w:pPr>
        <w:pStyle w:val="Level3"/>
        <w:spacing w:line="240" w:lineRule="auto"/>
        <w:rPr>
          <w:rFonts w:ascii="Arial" w:hAnsi="Arial" w:cs="Arial"/>
        </w:rPr>
      </w:pPr>
      <w:r w:rsidRPr="00EC6A61">
        <w:rPr>
          <w:rFonts w:ascii="Arial" w:hAnsi="Arial" w:cs="Arial"/>
        </w:rPr>
        <w:t>the technical environments required to support the Tests; and</w:t>
      </w:r>
    </w:p>
    <w:p w14:paraId="33F032D8" w14:textId="77777777" w:rsidR="004B457B" w:rsidRPr="00EC6A61" w:rsidRDefault="004B457B" w:rsidP="006A0217">
      <w:pPr>
        <w:pStyle w:val="Level3"/>
        <w:spacing w:line="240" w:lineRule="auto"/>
        <w:rPr>
          <w:rFonts w:ascii="Arial" w:hAnsi="Arial" w:cs="Arial"/>
        </w:rPr>
      </w:pPr>
      <w:r w:rsidRPr="00EC6A61">
        <w:rPr>
          <w:rFonts w:ascii="Arial" w:hAnsi="Arial" w:cs="Arial"/>
        </w:rPr>
        <w:t>the procedure for managing the configuration of those Test environments.</w:t>
      </w:r>
    </w:p>
    <w:p w14:paraId="20DB69CE" w14:textId="28088BE2" w:rsidR="004B457B" w:rsidRPr="00EC6A61" w:rsidRDefault="004F6650" w:rsidP="004B457B">
      <w:pPr>
        <w:pStyle w:val="Level1"/>
        <w:keepNext/>
        <w:tabs>
          <w:tab w:val="clear" w:pos="2411"/>
          <w:tab w:val="num" w:pos="851"/>
        </w:tabs>
        <w:spacing w:after="120" w:line="240" w:lineRule="auto"/>
        <w:ind w:left="851"/>
        <w:rPr>
          <w:rFonts w:ascii="Arial" w:hAnsi="Arial" w:cs="Arial"/>
          <w:b/>
          <w:bCs/>
        </w:rPr>
      </w:pPr>
      <w:r w:rsidRPr="00EC6A61">
        <w:rPr>
          <w:rFonts w:ascii="Arial" w:hAnsi="Arial" w:cs="Arial"/>
          <w:b/>
          <w:bCs/>
        </w:rPr>
        <w:t>TEST PLAN</w:t>
      </w:r>
    </w:p>
    <w:p w14:paraId="1C76B571" w14:textId="1491C655" w:rsidR="004B457B" w:rsidRPr="00EC6A61" w:rsidRDefault="004B457B" w:rsidP="004B457B">
      <w:pPr>
        <w:pStyle w:val="Level2"/>
        <w:tabs>
          <w:tab w:val="clear" w:pos="1135"/>
          <w:tab w:val="num" w:pos="851"/>
        </w:tabs>
        <w:spacing w:after="120" w:line="240" w:lineRule="auto"/>
        <w:ind w:left="851"/>
        <w:rPr>
          <w:rFonts w:ascii="Arial" w:hAnsi="Arial" w:cs="Arial"/>
        </w:rPr>
      </w:pPr>
      <w:r w:rsidRPr="00EC6A61">
        <w:rPr>
          <w:rFonts w:ascii="Arial" w:hAnsi="Arial" w:cs="Arial"/>
        </w:rPr>
        <w:t xml:space="preserve">For each Testable Element, the Supplier shall develop a </w:t>
      </w:r>
      <w:r w:rsidR="004F6650" w:rsidRPr="00EC6A61">
        <w:rPr>
          <w:rFonts w:ascii="Arial" w:hAnsi="Arial" w:cs="Arial"/>
        </w:rPr>
        <w:t xml:space="preserve">test plan </w:t>
      </w:r>
      <w:r w:rsidRPr="00EC6A61">
        <w:rPr>
          <w:rFonts w:ascii="Arial" w:hAnsi="Arial" w:cs="Arial"/>
        </w:rPr>
        <w:t xml:space="preserve">for the approval of </w:t>
      </w:r>
      <w:proofErr w:type="spellStart"/>
      <w:r w:rsidR="001F1C19">
        <w:rPr>
          <w:rFonts w:ascii="Arial" w:hAnsi="Arial" w:cs="Arial"/>
        </w:rPr>
        <w:t>Netlink</w:t>
      </w:r>
      <w:proofErr w:type="spellEnd"/>
      <w:r w:rsidR="001F1C19">
        <w:rPr>
          <w:rFonts w:ascii="Arial" w:hAnsi="Arial" w:cs="Arial"/>
        </w:rPr>
        <w:t xml:space="preserve"> Star</w:t>
      </w:r>
      <w:r w:rsidRPr="00EC6A61">
        <w:rPr>
          <w:rFonts w:ascii="Arial" w:hAnsi="Arial" w:cs="Arial"/>
        </w:rPr>
        <w:t>’s Test Manager, or other nominated person, no later than 15 Working Days (or such other period as the parties may agree in the Test Strategy or otherwise) prior to the start date for the relevant Testing as agreed between the Parties</w:t>
      </w:r>
      <w:r w:rsidR="004F6650">
        <w:rPr>
          <w:rFonts w:ascii="Arial" w:hAnsi="Arial" w:cs="Arial"/>
        </w:rPr>
        <w:t xml:space="preserve"> (“</w:t>
      </w:r>
      <w:r w:rsidR="004F6650" w:rsidRPr="004F6650">
        <w:rPr>
          <w:rFonts w:ascii="Arial" w:hAnsi="Arial" w:cs="Arial"/>
          <w:b/>
          <w:bCs/>
        </w:rPr>
        <w:t>Test Plan</w:t>
      </w:r>
      <w:r w:rsidR="004F6650">
        <w:rPr>
          <w:rFonts w:ascii="Arial" w:hAnsi="Arial" w:cs="Arial"/>
        </w:rPr>
        <w:t>”)</w:t>
      </w:r>
      <w:r w:rsidRPr="00EC6A61">
        <w:rPr>
          <w:rFonts w:ascii="Arial" w:hAnsi="Arial" w:cs="Arial"/>
        </w:rPr>
        <w:t>.</w:t>
      </w:r>
    </w:p>
    <w:p w14:paraId="111B6CF8" w14:textId="3F8EB1CE" w:rsidR="004B457B" w:rsidRPr="00EC6A61" w:rsidRDefault="001F1C19" w:rsidP="004B457B">
      <w:pPr>
        <w:pStyle w:val="Level2"/>
        <w:tabs>
          <w:tab w:val="clear" w:pos="1135"/>
          <w:tab w:val="num" w:pos="851"/>
        </w:tabs>
        <w:spacing w:after="120" w:line="240" w:lineRule="auto"/>
        <w:ind w:left="851"/>
        <w:rPr>
          <w:rFonts w:ascii="Arial" w:hAnsi="Arial" w:cs="Arial"/>
        </w:rPr>
      </w:pPr>
      <w:proofErr w:type="spellStart"/>
      <w:r>
        <w:rPr>
          <w:rFonts w:ascii="Arial" w:hAnsi="Arial" w:cs="Arial"/>
        </w:rPr>
        <w:lastRenderedPageBreak/>
        <w:t>Netlink</w:t>
      </w:r>
      <w:proofErr w:type="spellEnd"/>
      <w:r>
        <w:rPr>
          <w:rFonts w:ascii="Arial" w:hAnsi="Arial" w:cs="Arial"/>
        </w:rPr>
        <w:t xml:space="preserve"> Star</w:t>
      </w:r>
      <w:r w:rsidR="004B457B" w:rsidRPr="00EC6A61">
        <w:rPr>
          <w:rFonts w:ascii="Arial" w:hAnsi="Arial" w:cs="Arial"/>
        </w:rPr>
        <w:t xml:space="preserve"> shall aim to respond within five (5) Working</w:t>
      </w:r>
      <w:r w:rsidR="004B457B" w:rsidRPr="00EC6A61" w:rsidDel="00C14928">
        <w:rPr>
          <w:rFonts w:ascii="Arial" w:hAnsi="Arial" w:cs="Arial"/>
        </w:rPr>
        <w:t xml:space="preserve"> </w:t>
      </w:r>
      <w:r w:rsidR="004B457B" w:rsidRPr="00EC6A61">
        <w:rPr>
          <w:rFonts w:ascii="Arial" w:hAnsi="Arial" w:cs="Arial"/>
        </w:rPr>
        <w:t xml:space="preserve">Days </w:t>
      </w:r>
      <w:proofErr w:type="gramStart"/>
      <w:r w:rsidR="004B457B" w:rsidRPr="00EC6A61">
        <w:rPr>
          <w:rFonts w:ascii="Arial" w:hAnsi="Arial" w:cs="Arial"/>
        </w:rPr>
        <w:t xml:space="preserve">but in any case </w:t>
      </w:r>
      <w:proofErr w:type="gramEnd"/>
      <w:r w:rsidR="004B457B" w:rsidRPr="00EC6A61">
        <w:rPr>
          <w:rFonts w:ascii="Arial" w:hAnsi="Arial" w:cs="Arial"/>
        </w:rPr>
        <w:t>shall respond within ten (10) Working</w:t>
      </w:r>
      <w:r w:rsidR="004B457B" w:rsidRPr="00EC6A61" w:rsidDel="00C14928">
        <w:rPr>
          <w:rFonts w:ascii="Arial" w:hAnsi="Arial" w:cs="Arial"/>
        </w:rPr>
        <w:t xml:space="preserve"> </w:t>
      </w:r>
      <w:r w:rsidR="004B457B" w:rsidRPr="00EC6A61">
        <w:rPr>
          <w:rFonts w:ascii="Arial" w:hAnsi="Arial" w:cs="Arial"/>
        </w:rPr>
        <w:t xml:space="preserve">Days of receipt of a Test Plan being provided.  </w:t>
      </w:r>
      <w:proofErr w:type="spellStart"/>
      <w:r>
        <w:rPr>
          <w:rFonts w:ascii="Arial" w:hAnsi="Arial" w:cs="Arial"/>
        </w:rPr>
        <w:t>Netlink</w:t>
      </w:r>
      <w:proofErr w:type="spellEnd"/>
      <w:r>
        <w:rPr>
          <w:rFonts w:ascii="Arial" w:hAnsi="Arial" w:cs="Arial"/>
        </w:rPr>
        <w:t xml:space="preserve"> Star</w:t>
      </w:r>
      <w:r w:rsidR="004B457B" w:rsidRPr="00EC6A61">
        <w:rPr>
          <w:rFonts w:ascii="Arial" w:hAnsi="Arial" w:cs="Arial"/>
        </w:rPr>
        <w:t xml:space="preserve"> shall, acting reasonably, either agree to the Test Plan or clearly set out in writing </w:t>
      </w:r>
      <w:proofErr w:type="spellStart"/>
      <w:r>
        <w:rPr>
          <w:rFonts w:ascii="Arial" w:hAnsi="Arial" w:cs="Arial"/>
        </w:rPr>
        <w:t>Netlink</w:t>
      </w:r>
      <w:proofErr w:type="spellEnd"/>
      <w:r>
        <w:rPr>
          <w:rFonts w:ascii="Arial" w:hAnsi="Arial" w:cs="Arial"/>
        </w:rPr>
        <w:t xml:space="preserve"> Star</w:t>
      </w:r>
      <w:r w:rsidR="004B457B" w:rsidRPr="00EC6A61">
        <w:rPr>
          <w:rFonts w:ascii="Arial" w:hAnsi="Arial" w:cs="Arial"/>
        </w:rPr>
        <w:t>’s objections and comments. The Supplier shall, within five (5) Working</w:t>
      </w:r>
      <w:r w:rsidR="004B457B" w:rsidRPr="00EC6A61" w:rsidDel="00C14928">
        <w:rPr>
          <w:rFonts w:ascii="Arial" w:hAnsi="Arial" w:cs="Arial"/>
        </w:rPr>
        <w:t xml:space="preserve"> </w:t>
      </w:r>
      <w:r w:rsidR="004B457B" w:rsidRPr="00EC6A61">
        <w:rPr>
          <w:rFonts w:ascii="Arial" w:hAnsi="Arial" w:cs="Arial"/>
        </w:rPr>
        <w:t xml:space="preserve">Days, revise the Test Plan to take account of any reasonable objections and provide the revised Test Plan to </w:t>
      </w:r>
      <w:proofErr w:type="spellStart"/>
      <w:r>
        <w:rPr>
          <w:rFonts w:ascii="Arial" w:hAnsi="Arial" w:cs="Arial"/>
        </w:rPr>
        <w:t>Netlink</w:t>
      </w:r>
      <w:proofErr w:type="spellEnd"/>
      <w:r>
        <w:rPr>
          <w:rFonts w:ascii="Arial" w:hAnsi="Arial" w:cs="Arial"/>
        </w:rPr>
        <w:t xml:space="preserve"> Star</w:t>
      </w:r>
      <w:r w:rsidR="004B457B" w:rsidRPr="00EC6A61">
        <w:rPr>
          <w:rFonts w:ascii="Arial" w:hAnsi="Arial" w:cs="Arial"/>
        </w:rPr>
        <w:t xml:space="preserve"> for its approval. </w:t>
      </w:r>
      <w:proofErr w:type="spellStart"/>
      <w:r>
        <w:rPr>
          <w:rFonts w:ascii="Arial" w:hAnsi="Arial" w:cs="Arial"/>
        </w:rPr>
        <w:t>Netlink</w:t>
      </w:r>
      <w:proofErr w:type="spellEnd"/>
      <w:r>
        <w:rPr>
          <w:rFonts w:ascii="Arial" w:hAnsi="Arial" w:cs="Arial"/>
        </w:rPr>
        <w:t xml:space="preserve"> Star</w:t>
      </w:r>
      <w:r w:rsidR="004B457B" w:rsidRPr="00EC6A61">
        <w:rPr>
          <w:rFonts w:ascii="Arial" w:hAnsi="Arial" w:cs="Arial"/>
        </w:rPr>
        <w:t xml:space="preserve"> shall respond within three (3) Working</w:t>
      </w:r>
      <w:r w:rsidR="004B457B" w:rsidRPr="00EC6A61" w:rsidDel="00C14928">
        <w:rPr>
          <w:rFonts w:ascii="Arial" w:hAnsi="Arial" w:cs="Arial"/>
        </w:rPr>
        <w:t xml:space="preserve"> </w:t>
      </w:r>
      <w:r w:rsidR="004B457B" w:rsidRPr="00EC6A61">
        <w:rPr>
          <w:rFonts w:ascii="Arial" w:hAnsi="Arial" w:cs="Arial"/>
        </w:rPr>
        <w:t xml:space="preserve">Days of receipt of the revised Test Plan either agreeing to the revised Test Plan or clearly setting out in writing its objections in which case the matter will be escalated according to </w:t>
      </w:r>
      <w:r w:rsidR="004B457B" w:rsidRPr="00EC6A61">
        <w:rPr>
          <w:rFonts w:ascii="Arial" w:hAnsi="Arial" w:cs="Arial"/>
          <w:bCs/>
        </w:rPr>
        <w:t>Schedule 8.1 (Governance).</w:t>
      </w:r>
    </w:p>
    <w:p w14:paraId="6430336B" w14:textId="77777777" w:rsidR="004B457B" w:rsidRPr="00EC6A61" w:rsidRDefault="004B457B" w:rsidP="004B457B">
      <w:pPr>
        <w:pStyle w:val="Level2"/>
        <w:tabs>
          <w:tab w:val="clear" w:pos="1135"/>
          <w:tab w:val="num" w:pos="851"/>
        </w:tabs>
        <w:spacing w:after="120" w:line="240" w:lineRule="auto"/>
        <w:ind w:left="851"/>
        <w:rPr>
          <w:rFonts w:ascii="Arial" w:hAnsi="Arial" w:cs="Arial"/>
        </w:rPr>
      </w:pPr>
      <w:r w:rsidRPr="00EC6A61">
        <w:rPr>
          <w:rFonts w:ascii="Arial" w:hAnsi="Arial" w:cs="Arial"/>
        </w:rPr>
        <w:t>Each Test Plan shall include as a minimum:</w:t>
      </w:r>
    </w:p>
    <w:p w14:paraId="28317B18" w14:textId="77777777" w:rsidR="004B457B" w:rsidRPr="00EC6A61" w:rsidRDefault="004B457B" w:rsidP="006A0217">
      <w:pPr>
        <w:pStyle w:val="Level3"/>
        <w:spacing w:line="240" w:lineRule="auto"/>
        <w:rPr>
          <w:rFonts w:ascii="Arial" w:hAnsi="Arial" w:cs="Arial"/>
        </w:rPr>
      </w:pPr>
      <w:r w:rsidRPr="00EC6A61">
        <w:rPr>
          <w:rFonts w:ascii="Arial" w:hAnsi="Arial" w:cs="Arial"/>
        </w:rPr>
        <w:t xml:space="preserve">the relevant Test definition and the purpose of the Test, the Testable Element(s) to which it relates, the requirements being tested and, for each Test, the specific Test Criteria to be met, which in the case of certain Testable Elements may be a scope of work or requirements specification which the Testable Element will be tested </w:t>
      </w:r>
      <w:proofErr w:type="gramStart"/>
      <w:r w:rsidRPr="00EC6A61">
        <w:rPr>
          <w:rFonts w:ascii="Arial" w:hAnsi="Arial" w:cs="Arial"/>
        </w:rPr>
        <w:t>against;</w:t>
      </w:r>
      <w:proofErr w:type="gramEnd"/>
    </w:p>
    <w:p w14:paraId="0D4C1ECA" w14:textId="77777777" w:rsidR="004B457B" w:rsidRPr="00EC6A61" w:rsidRDefault="004B457B" w:rsidP="006A0217">
      <w:pPr>
        <w:pStyle w:val="Level3"/>
        <w:spacing w:line="240" w:lineRule="auto"/>
        <w:rPr>
          <w:rFonts w:ascii="Arial" w:hAnsi="Arial" w:cs="Arial"/>
        </w:rPr>
      </w:pPr>
      <w:r w:rsidRPr="00EC6A61">
        <w:rPr>
          <w:rFonts w:ascii="Arial" w:hAnsi="Arial" w:cs="Arial"/>
        </w:rPr>
        <w:t>a detailed procedure for the Tests to be carried out, including:</w:t>
      </w:r>
    </w:p>
    <w:p w14:paraId="3C45E168" w14:textId="77777777" w:rsidR="004B457B" w:rsidRPr="00EC6A61" w:rsidRDefault="004B457B" w:rsidP="006A0217">
      <w:pPr>
        <w:pStyle w:val="Level4"/>
        <w:spacing w:after="120" w:line="240" w:lineRule="auto"/>
        <w:rPr>
          <w:rFonts w:ascii="Arial" w:hAnsi="Arial" w:cs="Arial"/>
        </w:rPr>
      </w:pPr>
      <w:r w:rsidRPr="00EC6A61">
        <w:rPr>
          <w:rFonts w:ascii="Arial" w:hAnsi="Arial" w:cs="Arial"/>
        </w:rPr>
        <w:t xml:space="preserve">the timetable for the Tests including start and end </w:t>
      </w:r>
      <w:proofErr w:type="gramStart"/>
      <w:r w:rsidRPr="00EC6A61">
        <w:rPr>
          <w:rFonts w:ascii="Arial" w:hAnsi="Arial" w:cs="Arial"/>
        </w:rPr>
        <w:t>dates;</w:t>
      </w:r>
      <w:proofErr w:type="gramEnd"/>
    </w:p>
    <w:p w14:paraId="5FE52B32" w14:textId="77777777" w:rsidR="004B457B" w:rsidRPr="00EC6A61" w:rsidRDefault="004B457B" w:rsidP="006A0217">
      <w:pPr>
        <w:pStyle w:val="Level4"/>
        <w:spacing w:after="120" w:line="240" w:lineRule="auto"/>
        <w:rPr>
          <w:rFonts w:ascii="Arial" w:hAnsi="Arial" w:cs="Arial"/>
        </w:rPr>
      </w:pPr>
      <w:r w:rsidRPr="00EC6A61">
        <w:rPr>
          <w:rFonts w:ascii="Arial" w:hAnsi="Arial" w:cs="Arial"/>
        </w:rPr>
        <w:t xml:space="preserve">the applicable industry-standard Testing mechanism to be </w:t>
      </w:r>
      <w:proofErr w:type="gramStart"/>
      <w:r w:rsidRPr="00EC6A61">
        <w:rPr>
          <w:rFonts w:ascii="Arial" w:hAnsi="Arial" w:cs="Arial"/>
        </w:rPr>
        <w:t>applied;</w:t>
      </w:r>
      <w:proofErr w:type="gramEnd"/>
    </w:p>
    <w:p w14:paraId="75B703E3" w14:textId="60480E84" w:rsidR="004B457B" w:rsidRPr="00EC6A61" w:rsidRDefault="004B457B" w:rsidP="006A0217">
      <w:pPr>
        <w:pStyle w:val="Level4"/>
        <w:spacing w:after="120" w:line="240" w:lineRule="auto"/>
        <w:rPr>
          <w:rFonts w:ascii="Arial" w:hAnsi="Arial" w:cs="Arial"/>
        </w:rPr>
      </w:pPr>
      <w:r w:rsidRPr="00EC6A61">
        <w:rPr>
          <w:rFonts w:ascii="Arial" w:hAnsi="Arial" w:cs="Arial"/>
        </w:rPr>
        <w:t xml:space="preserve">the applicable test automation tools from the list of approved test tools agreed with </w:t>
      </w:r>
      <w:proofErr w:type="spellStart"/>
      <w:r w:rsidR="001F1C19">
        <w:rPr>
          <w:rFonts w:ascii="Arial" w:hAnsi="Arial" w:cs="Arial"/>
        </w:rPr>
        <w:t>Netlink</w:t>
      </w:r>
      <w:proofErr w:type="spellEnd"/>
      <w:r w:rsidR="001F1C19">
        <w:rPr>
          <w:rFonts w:ascii="Arial" w:hAnsi="Arial" w:cs="Arial"/>
        </w:rPr>
        <w:t xml:space="preserve"> </w:t>
      </w:r>
      <w:proofErr w:type="gramStart"/>
      <w:r w:rsidR="001F1C19">
        <w:rPr>
          <w:rFonts w:ascii="Arial" w:hAnsi="Arial" w:cs="Arial"/>
        </w:rPr>
        <w:t>Star</w:t>
      </w:r>
      <w:r w:rsidRPr="00EC6A61">
        <w:rPr>
          <w:rFonts w:ascii="Arial" w:hAnsi="Arial" w:cs="Arial"/>
        </w:rPr>
        <w:t>;</w:t>
      </w:r>
      <w:proofErr w:type="gramEnd"/>
    </w:p>
    <w:p w14:paraId="091D1CCB" w14:textId="77777777" w:rsidR="004B457B" w:rsidRPr="00EC6A61" w:rsidRDefault="004B457B" w:rsidP="006A0217">
      <w:pPr>
        <w:pStyle w:val="Level4"/>
        <w:spacing w:after="120" w:line="240" w:lineRule="auto"/>
        <w:rPr>
          <w:rFonts w:ascii="Arial" w:hAnsi="Arial" w:cs="Arial"/>
        </w:rPr>
      </w:pPr>
      <w:r w:rsidRPr="00EC6A61">
        <w:rPr>
          <w:rFonts w:ascii="Arial" w:hAnsi="Arial" w:cs="Arial"/>
        </w:rPr>
        <w:t xml:space="preserve">the mechanism for ensuring the quality, completeness and relevance of the </w:t>
      </w:r>
      <w:proofErr w:type="gramStart"/>
      <w:r w:rsidRPr="00EC6A61">
        <w:rPr>
          <w:rFonts w:ascii="Arial" w:hAnsi="Arial" w:cs="Arial"/>
        </w:rPr>
        <w:t>Tests;</w:t>
      </w:r>
      <w:proofErr w:type="gramEnd"/>
    </w:p>
    <w:p w14:paraId="3CE65F01" w14:textId="77777777" w:rsidR="004B457B" w:rsidRPr="00EC6A61" w:rsidRDefault="004B457B" w:rsidP="006A0217">
      <w:pPr>
        <w:pStyle w:val="Level4"/>
        <w:spacing w:after="120" w:line="240" w:lineRule="auto"/>
        <w:rPr>
          <w:rFonts w:ascii="Arial" w:hAnsi="Arial" w:cs="Arial"/>
        </w:rPr>
      </w:pPr>
      <w:r w:rsidRPr="00EC6A61">
        <w:rPr>
          <w:rFonts w:ascii="Arial" w:hAnsi="Arial" w:cs="Arial"/>
        </w:rPr>
        <w:t xml:space="preserve">the format and an example of Test progress </w:t>
      </w:r>
      <w:proofErr w:type="gramStart"/>
      <w:r w:rsidRPr="00EC6A61">
        <w:rPr>
          <w:rFonts w:ascii="Arial" w:hAnsi="Arial" w:cs="Arial"/>
        </w:rPr>
        <w:t>reports;</w:t>
      </w:r>
      <w:proofErr w:type="gramEnd"/>
    </w:p>
    <w:p w14:paraId="6CD7793C" w14:textId="4761C042" w:rsidR="004B457B" w:rsidRPr="00EC6A61" w:rsidRDefault="004B457B" w:rsidP="006A0217">
      <w:pPr>
        <w:pStyle w:val="Level4"/>
        <w:spacing w:after="120" w:line="240" w:lineRule="auto"/>
        <w:rPr>
          <w:rFonts w:ascii="Arial" w:hAnsi="Arial" w:cs="Arial"/>
        </w:rPr>
      </w:pPr>
      <w:r w:rsidRPr="00EC6A61">
        <w:rPr>
          <w:rFonts w:ascii="Arial" w:hAnsi="Arial" w:cs="Arial"/>
        </w:rPr>
        <w:t xml:space="preserve">the process with which </w:t>
      </w:r>
      <w:proofErr w:type="spellStart"/>
      <w:r w:rsidR="001F1C19">
        <w:rPr>
          <w:rFonts w:ascii="Arial" w:hAnsi="Arial" w:cs="Arial"/>
        </w:rPr>
        <w:t>Netlink</w:t>
      </w:r>
      <w:proofErr w:type="spellEnd"/>
      <w:r w:rsidR="001F1C19">
        <w:rPr>
          <w:rFonts w:ascii="Arial" w:hAnsi="Arial" w:cs="Arial"/>
        </w:rPr>
        <w:t xml:space="preserve"> Star</w:t>
      </w:r>
      <w:r w:rsidRPr="00EC6A61">
        <w:rPr>
          <w:rFonts w:ascii="Arial" w:hAnsi="Arial" w:cs="Arial"/>
        </w:rPr>
        <w:t xml:space="preserve"> will review Defects and progress on a timely </w:t>
      </w:r>
      <w:proofErr w:type="gramStart"/>
      <w:r w:rsidRPr="00EC6A61">
        <w:rPr>
          <w:rFonts w:ascii="Arial" w:hAnsi="Arial" w:cs="Arial"/>
        </w:rPr>
        <w:t>basis;</w:t>
      </w:r>
      <w:proofErr w:type="gramEnd"/>
    </w:p>
    <w:p w14:paraId="2152E4C4" w14:textId="77777777" w:rsidR="004B457B" w:rsidRPr="00EC6A61" w:rsidRDefault="004B457B" w:rsidP="006A0217">
      <w:pPr>
        <w:pStyle w:val="Level4"/>
        <w:spacing w:after="120" w:line="240" w:lineRule="auto"/>
        <w:rPr>
          <w:rFonts w:ascii="Arial" w:hAnsi="Arial" w:cs="Arial"/>
        </w:rPr>
      </w:pPr>
      <w:r w:rsidRPr="00EC6A61">
        <w:rPr>
          <w:rFonts w:ascii="Arial" w:hAnsi="Arial" w:cs="Arial"/>
        </w:rPr>
        <w:t xml:space="preserve">the Test </w:t>
      </w:r>
      <w:proofErr w:type="gramStart"/>
      <w:r w:rsidRPr="00EC6A61">
        <w:rPr>
          <w:rFonts w:ascii="Arial" w:hAnsi="Arial" w:cs="Arial"/>
        </w:rPr>
        <w:t>schedule;</w:t>
      </w:r>
      <w:proofErr w:type="gramEnd"/>
    </w:p>
    <w:p w14:paraId="041EF153" w14:textId="77777777" w:rsidR="004B457B" w:rsidRPr="00EC6A61" w:rsidRDefault="004B457B" w:rsidP="006A0217">
      <w:pPr>
        <w:pStyle w:val="Level4"/>
        <w:spacing w:after="120" w:line="240" w:lineRule="auto"/>
        <w:rPr>
          <w:rFonts w:ascii="Arial" w:hAnsi="Arial" w:cs="Arial"/>
        </w:rPr>
      </w:pPr>
      <w:r w:rsidRPr="00EC6A61">
        <w:rPr>
          <w:rFonts w:ascii="Arial" w:hAnsi="Arial" w:cs="Arial"/>
        </w:rPr>
        <w:t>the re-Test procedure, the timetable and the resources which would be required for re-</w:t>
      </w:r>
      <w:proofErr w:type="gramStart"/>
      <w:r w:rsidRPr="00EC6A61">
        <w:rPr>
          <w:rFonts w:ascii="Arial" w:hAnsi="Arial" w:cs="Arial"/>
        </w:rPr>
        <w:t>Testing;</w:t>
      </w:r>
      <w:proofErr w:type="gramEnd"/>
    </w:p>
    <w:p w14:paraId="321CA085" w14:textId="77777777" w:rsidR="004B457B" w:rsidRPr="00EC6A61" w:rsidRDefault="004B457B" w:rsidP="006A0217">
      <w:pPr>
        <w:pStyle w:val="Level4"/>
        <w:spacing w:after="120" w:line="240" w:lineRule="auto"/>
        <w:rPr>
          <w:rFonts w:ascii="Arial" w:hAnsi="Arial" w:cs="Arial"/>
        </w:rPr>
      </w:pPr>
      <w:r w:rsidRPr="00EC6A61">
        <w:rPr>
          <w:rFonts w:ascii="Arial" w:hAnsi="Arial" w:cs="Arial"/>
        </w:rPr>
        <w:t xml:space="preserve">the </w:t>
      </w:r>
      <w:proofErr w:type="gramStart"/>
      <w:r w:rsidRPr="00EC6A61">
        <w:rPr>
          <w:rFonts w:ascii="Arial" w:hAnsi="Arial" w:cs="Arial"/>
        </w:rPr>
        <w:t>decision making</w:t>
      </w:r>
      <w:proofErr w:type="gramEnd"/>
      <w:r w:rsidRPr="00EC6A61">
        <w:rPr>
          <w:rFonts w:ascii="Arial" w:hAnsi="Arial" w:cs="Arial"/>
        </w:rPr>
        <w:t xml:space="preserve"> process for escalation from a re-Test situation to specific remedial action to resolve the Defect;</w:t>
      </w:r>
    </w:p>
    <w:p w14:paraId="0F46DDF8" w14:textId="0C1989CF" w:rsidR="004B457B" w:rsidRPr="00EC6A61" w:rsidRDefault="004B457B" w:rsidP="006A0217">
      <w:pPr>
        <w:pStyle w:val="Level4"/>
        <w:spacing w:after="120" w:line="240" w:lineRule="auto"/>
        <w:rPr>
          <w:rFonts w:ascii="Arial" w:hAnsi="Arial" w:cs="Arial"/>
        </w:rPr>
      </w:pPr>
      <w:r w:rsidRPr="00EC6A61">
        <w:rPr>
          <w:rFonts w:ascii="Arial" w:hAnsi="Arial" w:cs="Arial"/>
        </w:rPr>
        <w:t xml:space="preserve">identification of all resources required from the Supplier, </w:t>
      </w:r>
      <w:proofErr w:type="spellStart"/>
      <w:r w:rsidR="001F1C19">
        <w:rPr>
          <w:rFonts w:ascii="Arial" w:hAnsi="Arial" w:cs="Arial"/>
        </w:rPr>
        <w:t>Netlink</w:t>
      </w:r>
      <w:proofErr w:type="spellEnd"/>
      <w:r w:rsidR="001F1C19">
        <w:rPr>
          <w:rFonts w:ascii="Arial" w:hAnsi="Arial" w:cs="Arial"/>
        </w:rPr>
        <w:t xml:space="preserve"> </w:t>
      </w:r>
      <w:proofErr w:type="gramStart"/>
      <w:r w:rsidR="001F1C19">
        <w:rPr>
          <w:rFonts w:ascii="Arial" w:hAnsi="Arial" w:cs="Arial"/>
        </w:rPr>
        <w:t>Star</w:t>
      </w:r>
      <w:proofErr w:type="gramEnd"/>
      <w:r w:rsidRPr="00EC6A61">
        <w:rPr>
          <w:rFonts w:ascii="Arial" w:hAnsi="Arial" w:cs="Arial"/>
        </w:rPr>
        <w:t xml:space="preserve"> and any third/other parties; and </w:t>
      </w:r>
    </w:p>
    <w:p w14:paraId="2CBE29CB" w14:textId="77777777" w:rsidR="004B457B" w:rsidRPr="00EC6A61" w:rsidRDefault="004B457B" w:rsidP="006A0217">
      <w:pPr>
        <w:pStyle w:val="Level4"/>
        <w:spacing w:after="120" w:line="240" w:lineRule="auto"/>
        <w:rPr>
          <w:rFonts w:ascii="Arial" w:hAnsi="Arial" w:cs="Arial"/>
        </w:rPr>
      </w:pPr>
      <w:r w:rsidRPr="00EC6A61">
        <w:rPr>
          <w:rFonts w:ascii="Arial" w:hAnsi="Arial" w:cs="Arial"/>
        </w:rPr>
        <w:t>as required, operational acceptance tests to ensure no adverse impact on live service.</w:t>
      </w:r>
    </w:p>
    <w:p w14:paraId="16561B27" w14:textId="07ACD17B" w:rsidR="004B457B" w:rsidRPr="00EC6A61" w:rsidRDefault="001F1C19" w:rsidP="004B457B">
      <w:pPr>
        <w:pStyle w:val="Level2"/>
        <w:tabs>
          <w:tab w:val="clear" w:pos="1135"/>
          <w:tab w:val="num" w:pos="851"/>
        </w:tabs>
        <w:spacing w:after="120" w:line="240" w:lineRule="auto"/>
        <w:ind w:left="851"/>
        <w:rPr>
          <w:rFonts w:ascii="Arial" w:hAnsi="Arial" w:cs="Arial"/>
        </w:rPr>
      </w:pPr>
      <w:proofErr w:type="spellStart"/>
      <w:r>
        <w:rPr>
          <w:rFonts w:ascii="Arial" w:hAnsi="Arial" w:cs="Arial"/>
        </w:rPr>
        <w:t>Netlink</w:t>
      </w:r>
      <w:proofErr w:type="spellEnd"/>
      <w:r>
        <w:rPr>
          <w:rFonts w:ascii="Arial" w:hAnsi="Arial" w:cs="Arial"/>
        </w:rPr>
        <w:t xml:space="preserve"> Star</w:t>
      </w:r>
      <w:r w:rsidR="004B457B" w:rsidRPr="00EC6A61">
        <w:rPr>
          <w:rFonts w:ascii="Arial" w:hAnsi="Arial" w:cs="Arial"/>
        </w:rPr>
        <w:t xml:space="preserve"> at its sole discretion may require one or more </w:t>
      </w:r>
      <w:proofErr w:type="spellStart"/>
      <w:r>
        <w:rPr>
          <w:rFonts w:ascii="Arial" w:hAnsi="Arial" w:cs="Arial"/>
        </w:rPr>
        <w:t>Netlink</w:t>
      </w:r>
      <w:proofErr w:type="spellEnd"/>
      <w:r>
        <w:rPr>
          <w:rFonts w:ascii="Arial" w:hAnsi="Arial" w:cs="Arial"/>
        </w:rPr>
        <w:t xml:space="preserve"> Star</w:t>
      </w:r>
      <w:r w:rsidR="004B457B" w:rsidRPr="00EC6A61">
        <w:rPr>
          <w:rFonts w:ascii="Arial" w:hAnsi="Arial" w:cs="Arial"/>
        </w:rPr>
        <w:t xml:space="preserve"> Representatives to attend any or </w:t>
      </w:r>
      <w:proofErr w:type="gramStart"/>
      <w:r w:rsidR="004B457B" w:rsidRPr="00EC6A61">
        <w:rPr>
          <w:rFonts w:ascii="Arial" w:hAnsi="Arial" w:cs="Arial"/>
        </w:rPr>
        <w:t>all of</w:t>
      </w:r>
      <w:proofErr w:type="gramEnd"/>
      <w:r w:rsidR="004B457B" w:rsidRPr="00EC6A61">
        <w:rPr>
          <w:rFonts w:ascii="Arial" w:hAnsi="Arial" w:cs="Arial"/>
        </w:rPr>
        <w:t xml:space="preserve"> the Tests within the Test Plan to assure that the agreed Test Plan is being adhered to and for general observation.</w:t>
      </w:r>
    </w:p>
    <w:p w14:paraId="005C68CF" w14:textId="0BED1921" w:rsidR="004B457B" w:rsidRPr="00EC6A61" w:rsidRDefault="004B457B" w:rsidP="004B457B">
      <w:pPr>
        <w:pStyle w:val="Level2"/>
        <w:tabs>
          <w:tab w:val="clear" w:pos="1135"/>
          <w:tab w:val="num" w:pos="851"/>
        </w:tabs>
        <w:spacing w:after="120" w:line="240" w:lineRule="auto"/>
        <w:ind w:left="851"/>
        <w:rPr>
          <w:rFonts w:ascii="Arial" w:hAnsi="Arial" w:cs="Arial"/>
        </w:rPr>
      </w:pPr>
      <w:r w:rsidRPr="00EC6A61">
        <w:rPr>
          <w:rFonts w:ascii="Arial" w:hAnsi="Arial" w:cs="Arial"/>
        </w:rPr>
        <w:t xml:space="preserve">For the avoidance of doubt, the </w:t>
      </w:r>
      <w:proofErr w:type="spellStart"/>
      <w:r w:rsidR="001F1C19">
        <w:rPr>
          <w:rFonts w:ascii="Arial" w:hAnsi="Arial" w:cs="Arial"/>
        </w:rPr>
        <w:t>Netlink</w:t>
      </w:r>
      <w:proofErr w:type="spellEnd"/>
      <w:r w:rsidR="001F1C19">
        <w:rPr>
          <w:rFonts w:ascii="Arial" w:hAnsi="Arial" w:cs="Arial"/>
        </w:rPr>
        <w:t xml:space="preserve"> Star</w:t>
      </w:r>
      <w:r w:rsidRPr="00EC6A61">
        <w:rPr>
          <w:rFonts w:ascii="Arial" w:hAnsi="Arial" w:cs="Arial"/>
        </w:rPr>
        <w:t xml:space="preserve"> Representatives shall not be involved in the execution of the Tests unless agreed by both Parties.</w:t>
      </w:r>
    </w:p>
    <w:p w14:paraId="742D852B" w14:textId="1E52BC87" w:rsidR="004B457B" w:rsidRPr="00EC6A61" w:rsidRDefault="001F1C19" w:rsidP="004B457B">
      <w:pPr>
        <w:pStyle w:val="Level2"/>
        <w:tabs>
          <w:tab w:val="clear" w:pos="1135"/>
          <w:tab w:val="num" w:pos="851"/>
        </w:tabs>
        <w:spacing w:after="120" w:line="240" w:lineRule="auto"/>
        <w:ind w:left="851"/>
        <w:rPr>
          <w:rFonts w:ascii="Arial" w:hAnsi="Arial" w:cs="Arial"/>
        </w:rPr>
      </w:pPr>
      <w:proofErr w:type="spellStart"/>
      <w:r>
        <w:rPr>
          <w:rFonts w:ascii="Arial" w:hAnsi="Arial" w:cs="Arial"/>
        </w:rPr>
        <w:t>Netlink</w:t>
      </w:r>
      <w:proofErr w:type="spellEnd"/>
      <w:r>
        <w:rPr>
          <w:rFonts w:ascii="Arial" w:hAnsi="Arial" w:cs="Arial"/>
        </w:rPr>
        <w:t xml:space="preserve"> Star</w:t>
      </w:r>
      <w:r w:rsidR="004B457B" w:rsidRPr="00EC6A61">
        <w:rPr>
          <w:rFonts w:ascii="Arial" w:hAnsi="Arial" w:cs="Arial"/>
        </w:rPr>
        <w:t xml:space="preserve"> shall not unreasonably withhold or delay its approval of the Test Plans and the Supplier shall implement any reasonable requirements of </w:t>
      </w:r>
      <w:proofErr w:type="spellStart"/>
      <w:r>
        <w:rPr>
          <w:rFonts w:ascii="Arial" w:hAnsi="Arial" w:cs="Arial"/>
        </w:rPr>
        <w:t>Netlink</w:t>
      </w:r>
      <w:proofErr w:type="spellEnd"/>
      <w:r>
        <w:rPr>
          <w:rFonts w:ascii="Arial" w:hAnsi="Arial" w:cs="Arial"/>
        </w:rPr>
        <w:t xml:space="preserve"> Star</w:t>
      </w:r>
      <w:r w:rsidR="004B457B" w:rsidRPr="00EC6A61">
        <w:rPr>
          <w:rFonts w:ascii="Arial" w:hAnsi="Arial" w:cs="Arial"/>
        </w:rPr>
        <w:t xml:space="preserve"> in those Test Plans.</w:t>
      </w:r>
    </w:p>
    <w:p w14:paraId="115AB6C4" w14:textId="217CFF67" w:rsidR="004B457B" w:rsidRPr="00EC6A61" w:rsidRDefault="007720E3" w:rsidP="004B457B">
      <w:pPr>
        <w:pStyle w:val="Level1"/>
        <w:keepNext/>
        <w:tabs>
          <w:tab w:val="clear" w:pos="2411"/>
          <w:tab w:val="num" w:pos="851"/>
        </w:tabs>
        <w:spacing w:after="120" w:line="240" w:lineRule="auto"/>
        <w:ind w:left="851"/>
        <w:rPr>
          <w:rFonts w:ascii="Arial" w:hAnsi="Arial" w:cs="Arial"/>
        </w:rPr>
      </w:pPr>
      <w:r w:rsidRPr="00EC6A61">
        <w:rPr>
          <w:rFonts w:ascii="Arial" w:hAnsi="Arial" w:cs="Arial"/>
          <w:b/>
          <w:bCs/>
        </w:rPr>
        <w:t>DEFECTS</w:t>
      </w:r>
    </w:p>
    <w:p w14:paraId="60222D88" w14:textId="01271240" w:rsidR="004B457B" w:rsidRPr="00EC6A61" w:rsidRDefault="004B457B" w:rsidP="004B457B">
      <w:pPr>
        <w:pStyle w:val="Level2"/>
        <w:tabs>
          <w:tab w:val="clear" w:pos="1135"/>
          <w:tab w:val="num" w:pos="851"/>
        </w:tabs>
        <w:spacing w:after="120" w:line="240" w:lineRule="auto"/>
        <w:ind w:left="851"/>
        <w:rPr>
          <w:rFonts w:ascii="Arial" w:hAnsi="Arial" w:cs="Arial"/>
        </w:rPr>
      </w:pPr>
      <w:r w:rsidRPr="00EC6A61">
        <w:rPr>
          <w:rFonts w:ascii="Arial" w:hAnsi="Arial" w:cs="Arial"/>
        </w:rPr>
        <w:t xml:space="preserve">Where a Test is carried out that produces an outcome not in line with the Acceptance Criteria, a Defect shall be raised, except where </w:t>
      </w:r>
      <w:proofErr w:type="spellStart"/>
      <w:r w:rsidR="001F1C19">
        <w:rPr>
          <w:rFonts w:ascii="Arial" w:hAnsi="Arial" w:cs="Arial"/>
        </w:rPr>
        <w:t>Netlink</w:t>
      </w:r>
      <w:proofErr w:type="spellEnd"/>
      <w:r w:rsidR="001F1C19">
        <w:rPr>
          <w:rFonts w:ascii="Arial" w:hAnsi="Arial" w:cs="Arial"/>
        </w:rPr>
        <w:t xml:space="preserve"> Star</w:t>
      </w:r>
      <w:r w:rsidRPr="00EC6A61">
        <w:rPr>
          <w:rFonts w:ascii="Arial" w:hAnsi="Arial" w:cs="Arial"/>
        </w:rPr>
        <w:t xml:space="preserve"> agrees that such an outcome was an artefact of the Test or the data.  On such an occurrence, </w:t>
      </w:r>
      <w:proofErr w:type="spellStart"/>
      <w:r w:rsidR="001F1C19">
        <w:rPr>
          <w:rFonts w:ascii="Arial" w:hAnsi="Arial" w:cs="Arial"/>
        </w:rPr>
        <w:t>Netlink</w:t>
      </w:r>
      <w:proofErr w:type="spellEnd"/>
      <w:r w:rsidR="001F1C19">
        <w:rPr>
          <w:rFonts w:ascii="Arial" w:hAnsi="Arial" w:cs="Arial"/>
        </w:rPr>
        <w:t xml:space="preserve"> Star</w:t>
      </w:r>
      <w:r w:rsidRPr="00EC6A61">
        <w:rPr>
          <w:rFonts w:ascii="Arial" w:hAnsi="Arial" w:cs="Arial"/>
        </w:rPr>
        <w:t xml:space="preserve"> may request that the Test be repeated in accordance with the procedures specified in the Test Plan.</w:t>
      </w:r>
    </w:p>
    <w:p w14:paraId="1A399A51" w14:textId="77777777" w:rsidR="004B457B" w:rsidRPr="00EC6A61" w:rsidRDefault="004B457B" w:rsidP="007720E3">
      <w:pPr>
        <w:pStyle w:val="Level2"/>
        <w:keepNext/>
        <w:tabs>
          <w:tab w:val="clear" w:pos="1135"/>
          <w:tab w:val="num" w:pos="1418"/>
        </w:tabs>
        <w:spacing w:after="120" w:line="240" w:lineRule="auto"/>
        <w:ind w:left="851"/>
        <w:rPr>
          <w:rFonts w:ascii="Arial" w:hAnsi="Arial" w:cs="Arial"/>
        </w:rPr>
      </w:pPr>
      <w:r w:rsidRPr="00EC6A61">
        <w:rPr>
          <w:rFonts w:ascii="Arial" w:hAnsi="Arial" w:cs="Arial"/>
        </w:rPr>
        <w:lastRenderedPageBreak/>
        <w:t>Defects shall be classified according to the following scale:</w:t>
      </w:r>
    </w:p>
    <w:tbl>
      <w:tblPr>
        <w:tblStyle w:val="TableGrid0"/>
        <w:tblW w:w="0" w:type="auto"/>
        <w:tblInd w:w="851" w:type="dxa"/>
        <w:tblLook w:val="04A0" w:firstRow="1" w:lastRow="0" w:firstColumn="1" w:lastColumn="0" w:noHBand="0" w:noVBand="1"/>
      </w:tblPr>
      <w:tblGrid>
        <w:gridCol w:w="1143"/>
        <w:gridCol w:w="1133"/>
        <w:gridCol w:w="5889"/>
      </w:tblGrid>
      <w:tr w:rsidR="004B457B" w:rsidRPr="00EC6A61" w14:paraId="5C3FD405" w14:textId="77777777" w:rsidTr="006A0217">
        <w:tc>
          <w:tcPr>
            <w:tcW w:w="1143" w:type="dxa"/>
            <w:shd w:val="clear" w:color="auto" w:fill="D9D9D9" w:themeFill="background1" w:themeFillShade="D9"/>
          </w:tcPr>
          <w:p w14:paraId="2EE1DC16" w14:textId="77777777" w:rsidR="004B457B" w:rsidRPr="007720E3" w:rsidRDefault="004B457B" w:rsidP="006A0217">
            <w:pPr>
              <w:pStyle w:val="Level2"/>
              <w:keepNext/>
              <w:numPr>
                <w:ilvl w:val="0"/>
                <w:numId w:val="0"/>
              </w:numPr>
              <w:spacing w:after="120" w:line="240" w:lineRule="auto"/>
              <w:rPr>
                <w:rFonts w:ascii="Arial" w:hAnsi="Arial" w:cs="Arial"/>
                <w:b/>
                <w:bCs/>
                <w:sz w:val="20"/>
              </w:rPr>
            </w:pPr>
            <w:r w:rsidRPr="007720E3">
              <w:rPr>
                <w:rFonts w:ascii="Arial" w:hAnsi="Arial" w:cs="Arial"/>
                <w:b/>
                <w:bCs/>
                <w:sz w:val="20"/>
              </w:rPr>
              <w:t>Severity</w:t>
            </w:r>
          </w:p>
        </w:tc>
        <w:tc>
          <w:tcPr>
            <w:tcW w:w="1133" w:type="dxa"/>
            <w:shd w:val="clear" w:color="auto" w:fill="D9D9D9" w:themeFill="background1" w:themeFillShade="D9"/>
          </w:tcPr>
          <w:p w14:paraId="29C4F67C" w14:textId="77777777" w:rsidR="004B457B" w:rsidRPr="007720E3" w:rsidRDefault="004B457B" w:rsidP="006A0217">
            <w:pPr>
              <w:pStyle w:val="Level2"/>
              <w:keepNext/>
              <w:numPr>
                <w:ilvl w:val="0"/>
                <w:numId w:val="0"/>
              </w:numPr>
              <w:spacing w:after="120" w:line="240" w:lineRule="auto"/>
              <w:rPr>
                <w:rFonts w:ascii="Arial" w:hAnsi="Arial" w:cs="Arial"/>
                <w:b/>
                <w:bCs/>
                <w:sz w:val="20"/>
              </w:rPr>
            </w:pPr>
            <w:r w:rsidRPr="007720E3">
              <w:rPr>
                <w:rFonts w:ascii="Arial" w:hAnsi="Arial" w:cs="Arial"/>
                <w:b/>
                <w:bCs/>
                <w:sz w:val="20"/>
              </w:rPr>
              <w:t>Type</w:t>
            </w:r>
          </w:p>
        </w:tc>
        <w:tc>
          <w:tcPr>
            <w:tcW w:w="5889" w:type="dxa"/>
            <w:shd w:val="clear" w:color="auto" w:fill="D9D9D9" w:themeFill="background1" w:themeFillShade="D9"/>
          </w:tcPr>
          <w:p w14:paraId="0430B942" w14:textId="77777777" w:rsidR="004B457B" w:rsidRPr="007720E3" w:rsidRDefault="004B457B" w:rsidP="006A0217">
            <w:pPr>
              <w:pStyle w:val="Level2"/>
              <w:keepNext/>
              <w:numPr>
                <w:ilvl w:val="0"/>
                <w:numId w:val="0"/>
              </w:numPr>
              <w:spacing w:after="120" w:line="240" w:lineRule="auto"/>
              <w:rPr>
                <w:rFonts w:ascii="Arial" w:hAnsi="Arial" w:cs="Arial"/>
                <w:b/>
                <w:bCs/>
                <w:sz w:val="20"/>
              </w:rPr>
            </w:pPr>
            <w:r w:rsidRPr="007720E3">
              <w:rPr>
                <w:rFonts w:ascii="Arial" w:hAnsi="Arial" w:cs="Arial"/>
                <w:b/>
                <w:bCs/>
                <w:sz w:val="20"/>
              </w:rPr>
              <w:t>Description</w:t>
            </w:r>
          </w:p>
        </w:tc>
      </w:tr>
      <w:tr w:rsidR="004B457B" w:rsidRPr="00EC6A61" w14:paraId="61A1DDAB" w14:textId="77777777" w:rsidTr="006A0217">
        <w:tc>
          <w:tcPr>
            <w:tcW w:w="1143" w:type="dxa"/>
          </w:tcPr>
          <w:p w14:paraId="17B5A2C1" w14:textId="77777777" w:rsidR="004B457B" w:rsidRPr="007720E3" w:rsidRDefault="004B457B" w:rsidP="006A0217">
            <w:pPr>
              <w:pStyle w:val="Level2"/>
              <w:keepLines/>
              <w:numPr>
                <w:ilvl w:val="0"/>
                <w:numId w:val="0"/>
              </w:numPr>
              <w:spacing w:after="120" w:line="240" w:lineRule="auto"/>
              <w:rPr>
                <w:rFonts w:ascii="Arial" w:hAnsi="Arial" w:cs="Arial"/>
                <w:sz w:val="20"/>
              </w:rPr>
            </w:pPr>
            <w:r w:rsidRPr="007720E3">
              <w:rPr>
                <w:rFonts w:ascii="Arial" w:hAnsi="Arial" w:cs="Arial"/>
                <w:iCs/>
                <w:sz w:val="20"/>
              </w:rPr>
              <w:t>1</w:t>
            </w:r>
          </w:p>
        </w:tc>
        <w:tc>
          <w:tcPr>
            <w:tcW w:w="1133" w:type="dxa"/>
          </w:tcPr>
          <w:p w14:paraId="2E317EE9" w14:textId="77777777" w:rsidR="004B457B" w:rsidRPr="007720E3" w:rsidRDefault="004B457B" w:rsidP="006A0217">
            <w:pPr>
              <w:pStyle w:val="Level2"/>
              <w:keepLines/>
              <w:numPr>
                <w:ilvl w:val="0"/>
                <w:numId w:val="0"/>
              </w:numPr>
              <w:spacing w:after="120" w:line="240" w:lineRule="auto"/>
              <w:rPr>
                <w:rFonts w:ascii="Arial" w:hAnsi="Arial" w:cs="Arial"/>
                <w:sz w:val="20"/>
              </w:rPr>
            </w:pPr>
            <w:r w:rsidRPr="007720E3">
              <w:rPr>
                <w:rFonts w:ascii="Arial" w:hAnsi="Arial" w:cs="Arial"/>
                <w:iCs/>
                <w:sz w:val="20"/>
              </w:rPr>
              <w:t>Critical</w:t>
            </w:r>
          </w:p>
        </w:tc>
        <w:tc>
          <w:tcPr>
            <w:tcW w:w="5889" w:type="dxa"/>
          </w:tcPr>
          <w:p w14:paraId="3BDE7E59" w14:textId="77777777" w:rsidR="004B457B" w:rsidRPr="007720E3" w:rsidRDefault="004B457B" w:rsidP="006A0217">
            <w:pPr>
              <w:pStyle w:val="Level2"/>
              <w:keepLines/>
              <w:numPr>
                <w:ilvl w:val="0"/>
                <w:numId w:val="0"/>
              </w:numPr>
              <w:spacing w:after="120" w:line="240" w:lineRule="auto"/>
              <w:rPr>
                <w:rFonts w:ascii="Arial" w:hAnsi="Arial" w:cs="Arial"/>
                <w:sz w:val="20"/>
              </w:rPr>
            </w:pPr>
            <w:r w:rsidRPr="007720E3">
              <w:rPr>
                <w:rFonts w:ascii="Arial" w:hAnsi="Arial" w:cs="Arial"/>
                <w:iCs/>
                <w:sz w:val="20"/>
              </w:rPr>
              <w:t xml:space="preserve">The defect results in the failure of a business-critical part of the Testable Element and there is no workaround. Reviews/testing cannot </w:t>
            </w:r>
            <w:proofErr w:type="gramStart"/>
            <w:r w:rsidRPr="007720E3">
              <w:rPr>
                <w:rFonts w:ascii="Arial" w:hAnsi="Arial" w:cs="Arial"/>
                <w:iCs/>
                <w:sz w:val="20"/>
              </w:rPr>
              <w:t>proceed</w:t>
            </w:r>
            <w:proofErr w:type="gramEnd"/>
            <w:r w:rsidRPr="007720E3">
              <w:rPr>
                <w:rFonts w:ascii="Arial" w:hAnsi="Arial" w:cs="Arial"/>
                <w:iCs/>
                <w:sz w:val="20"/>
              </w:rPr>
              <w:t xml:space="preserve"> and, in a live environment, this defect would have a critical impact on the operation of the business. </w:t>
            </w:r>
          </w:p>
        </w:tc>
      </w:tr>
      <w:tr w:rsidR="004B457B" w:rsidRPr="00EC6A61" w14:paraId="03A6E2F6" w14:textId="77777777" w:rsidTr="006A0217">
        <w:tc>
          <w:tcPr>
            <w:tcW w:w="1143" w:type="dxa"/>
          </w:tcPr>
          <w:p w14:paraId="19C1D1F3" w14:textId="77777777" w:rsidR="004B457B" w:rsidRPr="007720E3" w:rsidRDefault="004B457B" w:rsidP="006A0217">
            <w:pPr>
              <w:pStyle w:val="Level2"/>
              <w:keepLines/>
              <w:numPr>
                <w:ilvl w:val="0"/>
                <w:numId w:val="0"/>
              </w:numPr>
              <w:spacing w:after="120" w:line="240" w:lineRule="auto"/>
              <w:rPr>
                <w:rFonts w:ascii="Arial" w:hAnsi="Arial" w:cs="Arial"/>
                <w:sz w:val="20"/>
              </w:rPr>
            </w:pPr>
            <w:r w:rsidRPr="007720E3">
              <w:rPr>
                <w:rFonts w:ascii="Arial" w:hAnsi="Arial" w:cs="Arial"/>
                <w:iCs/>
                <w:sz w:val="20"/>
              </w:rPr>
              <w:t>2</w:t>
            </w:r>
          </w:p>
        </w:tc>
        <w:tc>
          <w:tcPr>
            <w:tcW w:w="1133" w:type="dxa"/>
          </w:tcPr>
          <w:p w14:paraId="3BA00F2D" w14:textId="77777777" w:rsidR="004B457B" w:rsidRPr="007720E3" w:rsidRDefault="004B457B" w:rsidP="006A0217">
            <w:pPr>
              <w:pStyle w:val="Level2"/>
              <w:keepLines/>
              <w:numPr>
                <w:ilvl w:val="0"/>
                <w:numId w:val="0"/>
              </w:numPr>
              <w:spacing w:after="120" w:line="240" w:lineRule="auto"/>
              <w:rPr>
                <w:rFonts w:ascii="Arial" w:hAnsi="Arial" w:cs="Arial"/>
                <w:sz w:val="20"/>
              </w:rPr>
            </w:pPr>
            <w:r w:rsidRPr="007720E3">
              <w:rPr>
                <w:rFonts w:ascii="Arial" w:hAnsi="Arial" w:cs="Arial"/>
                <w:iCs/>
                <w:sz w:val="20"/>
              </w:rPr>
              <w:t>High</w:t>
            </w:r>
          </w:p>
        </w:tc>
        <w:tc>
          <w:tcPr>
            <w:tcW w:w="5889" w:type="dxa"/>
          </w:tcPr>
          <w:p w14:paraId="0672F829" w14:textId="6BB49B81" w:rsidR="004B457B" w:rsidRPr="007720E3" w:rsidRDefault="004B457B" w:rsidP="006A0217">
            <w:pPr>
              <w:pStyle w:val="Level2"/>
              <w:keepLines/>
              <w:numPr>
                <w:ilvl w:val="0"/>
                <w:numId w:val="0"/>
              </w:numPr>
              <w:spacing w:after="120" w:line="240" w:lineRule="auto"/>
              <w:rPr>
                <w:rFonts w:ascii="Arial" w:hAnsi="Arial" w:cs="Arial"/>
                <w:sz w:val="20"/>
              </w:rPr>
            </w:pPr>
            <w:r w:rsidRPr="007720E3">
              <w:rPr>
                <w:rFonts w:ascii="Arial" w:hAnsi="Arial" w:cs="Arial"/>
                <w:iCs/>
                <w:sz w:val="20"/>
              </w:rPr>
              <w:t xml:space="preserve">Either the defect results in the failure of a </w:t>
            </w:r>
            <w:proofErr w:type="gramStart"/>
            <w:r w:rsidRPr="007720E3">
              <w:rPr>
                <w:rFonts w:ascii="Arial" w:hAnsi="Arial" w:cs="Arial"/>
                <w:iCs/>
                <w:sz w:val="20"/>
              </w:rPr>
              <w:t>business critical</w:t>
            </w:r>
            <w:proofErr w:type="gramEnd"/>
            <w:r w:rsidRPr="007720E3">
              <w:rPr>
                <w:rFonts w:ascii="Arial" w:hAnsi="Arial" w:cs="Arial"/>
                <w:iCs/>
                <w:sz w:val="20"/>
              </w:rPr>
              <w:t xml:space="preserve"> part of the Testable Element and there is no practical workaround; or a significant portion of the Testable Element is not operational and, in a live environment; this defect would have a critical impact on the operation of the business. </w:t>
            </w:r>
          </w:p>
        </w:tc>
      </w:tr>
      <w:tr w:rsidR="004B457B" w:rsidRPr="00EC6A61" w14:paraId="473E2E35" w14:textId="77777777" w:rsidTr="006A0217">
        <w:tc>
          <w:tcPr>
            <w:tcW w:w="1143" w:type="dxa"/>
          </w:tcPr>
          <w:p w14:paraId="345DB555" w14:textId="77777777" w:rsidR="004B457B" w:rsidRPr="007720E3" w:rsidRDefault="004B457B" w:rsidP="006A0217">
            <w:pPr>
              <w:pStyle w:val="Level2"/>
              <w:keepLines/>
              <w:numPr>
                <w:ilvl w:val="0"/>
                <w:numId w:val="0"/>
              </w:numPr>
              <w:spacing w:after="120" w:line="240" w:lineRule="auto"/>
              <w:rPr>
                <w:rFonts w:ascii="Arial" w:hAnsi="Arial" w:cs="Arial"/>
                <w:sz w:val="20"/>
              </w:rPr>
            </w:pPr>
            <w:r w:rsidRPr="007720E3">
              <w:rPr>
                <w:rFonts w:ascii="Arial" w:hAnsi="Arial" w:cs="Arial"/>
                <w:iCs/>
                <w:sz w:val="20"/>
              </w:rPr>
              <w:t>3</w:t>
            </w:r>
          </w:p>
        </w:tc>
        <w:tc>
          <w:tcPr>
            <w:tcW w:w="1133" w:type="dxa"/>
          </w:tcPr>
          <w:p w14:paraId="0A02600A" w14:textId="77777777" w:rsidR="004B457B" w:rsidRPr="007720E3" w:rsidRDefault="004B457B" w:rsidP="006A0217">
            <w:pPr>
              <w:pStyle w:val="Level2"/>
              <w:keepLines/>
              <w:numPr>
                <w:ilvl w:val="0"/>
                <w:numId w:val="0"/>
              </w:numPr>
              <w:spacing w:after="120" w:line="240" w:lineRule="auto"/>
              <w:rPr>
                <w:rFonts w:ascii="Arial" w:hAnsi="Arial" w:cs="Arial"/>
                <w:sz w:val="20"/>
              </w:rPr>
            </w:pPr>
            <w:r w:rsidRPr="007720E3">
              <w:rPr>
                <w:rFonts w:ascii="Arial" w:hAnsi="Arial" w:cs="Arial"/>
                <w:iCs/>
                <w:sz w:val="20"/>
              </w:rPr>
              <w:t>Medium</w:t>
            </w:r>
          </w:p>
        </w:tc>
        <w:tc>
          <w:tcPr>
            <w:tcW w:w="5889" w:type="dxa"/>
          </w:tcPr>
          <w:p w14:paraId="182B112A" w14:textId="77777777" w:rsidR="004B457B" w:rsidRPr="007720E3" w:rsidRDefault="004B457B" w:rsidP="006A0217">
            <w:pPr>
              <w:pStyle w:val="Level2"/>
              <w:keepLines/>
              <w:numPr>
                <w:ilvl w:val="0"/>
                <w:numId w:val="0"/>
              </w:numPr>
              <w:spacing w:after="120" w:line="240" w:lineRule="auto"/>
              <w:rPr>
                <w:rFonts w:ascii="Arial" w:hAnsi="Arial" w:cs="Arial"/>
                <w:sz w:val="20"/>
              </w:rPr>
            </w:pPr>
            <w:r w:rsidRPr="007720E3">
              <w:rPr>
                <w:rFonts w:ascii="Arial" w:hAnsi="Arial" w:cs="Arial"/>
                <w:sz w:val="20"/>
              </w:rPr>
              <w:t>Either a defect in a business-critical Testable Element with minor consequences, or a significant defect in a non-critical part of the Testable Element. The defect does not result in failure, but causes the Testable Element to perform sub-optimally, behave unpredictably, or the defect impairs the solution’s usability</w:t>
            </w:r>
            <w:r w:rsidRPr="007720E3">
              <w:rPr>
                <w:rFonts w:ascii="Arial" w:hAnsi="Arial" w:cs="Arial"/>
                <w:iCs/>
                <w:sz w:val="20"/>
              </w:rPr>
              <w:t xml:space="preserve">. </w:t>
            </w:r>
          </w:p>
        </w:tc>
      </w:tr>
      <w:tr w:rsidR="004B457B" w:rsidRPr="00EC6A61" w14:paraId="1DEA6A5D" w14:textId="77777777" w:rsidTr="006A0217">
        <w:tc>
          <w:tcPr>
            <w:tcW w:w="1143" w:type="dxa"/>
          </w:tcPr>
          <w:p w14:paraId="377F78B4" w14:textId="77777777" w:rsidR="004B457B" w:rsidRPr="007720E3" w:rsidRDefault="004B457B" w:rsidP="006A0217">
            <w:pPr>
              <w:pStyle w:val="Level2"/>
              <w:keepLines/>
              <w:numPr>
                <w:ilvl w:val="0"/>
                <w:numId w:val="0"/>
              </w:numPr>
              <w:spacing w:after="120" w:line="240" w:lineRule="auto"/>
              <w:rPr>
                <w:rFonts w:ascii="Arial" w:hAnsi="Arial" w:cs="Arial"/>
                <w:sz w:val="20"/>
              </w:rPr>
            </w:pPr>
            <w:r w:rsidRPr="007720E3">
              <w:rPr>
                <w:rFonts w:ascii="Arial" w:hAnsi="Arial" w:cs="Arial"/>
                <w:iCs/>
                <w:sz w:val="20"/>
              </w:rPr>
              <w:t>4</w:t>
            </w:r>
          </w:p>
        </w:tc>
        <w:tc>
          <w:tcPr>
            <w:tcW w:w="1133" w:type="dxa"/>
          </w:tcPr>
          <w:p w14:paraId="304655E0" w14:textId="77777777" w:rsidR="004B457B" w:rsidRPr="007720E3" w:rsidRDefault="004B457B" w:rsidP="006A0217">
            <w:pPr>
              <w:pStyle w:val="Level2"/>
              <w:keepLines/>
              <w:numPr>
                <w:ilvl w:val="0"/>
                <w:numId w:val="0"/>
              </w:numPr>
              <w:spacing w:after="120" w:line="240" w:lineRule="auto"/>
              <w:rPr>
                <w:rFonts w:ascii="Arial" w:hAnsi="Arial" w:cs="Arial"/>
                <w:sz w:val="20"/>
              </w:rPr>
            </w:pPr>
            <w:r w:rsidRPr="007720E3">
              <w:rPr>
                <w:rFonts w:ascii="Arial" w:hAnsi="Arial" w:cs="Arial"/>
                <w:iCs/>
                <w:sz w:val="20"/>
              </w:rPr>
              <w:t>Low</w:t>
            </w:r>
          </w:p>
        </w:tc>
        <w:tc>
          <w:tcPr>
            <w:tcW w:w="5889" w:type="dxa"/>
          </w:tcPr>
          <w:p w14:paraId="15594CF7" w14:textId="77777777" w:rsidR="004B457B" w:rsidRPr="007720E3" w:rsidRDefault="004B457B" w:rsidP="006A0217">
            <w:pPr>
              <w:pStyle w:val="Level2"/>
              <w:keepLines/>
              <w:numPr>
                <w:ilvl w:val="0"/>
                <w:numId w:val="0"/>
              </w:numPr>
              <w:spacing w:after="120" w:line="240" w:lineRule="auto"/>
              <w:rPr>
                <w:rFonts w:ascii="Arial" w:hAnsi="Arial" w:cs="Arial"/>
                <w:sz w:val="20"/>
              </w:rPr>
            </w:pPr>
            <w:r w:rsidRPr="007720E3">
              <w:rPr>
                <w:rFonts w:ascii="Arial" w:hAnsi="Arial" w:cs="Arial"/>
                <w:iCs/>
                <w:sz w:val="20"/>
              </w:rPr>
              <w:t>This is a defect that has minimal impact to the Testable Element. The defect does not cause a failure and does not impair usability.</w:t>
            </w:r>
          </w:p>
        </w:tc>
      </w:tr>
    </w:tbl>
    <w:p w14:paraId="44FF21F7" w14:textId="77777777" w:rsidR="004B457B" w:rsidRPr="00EC6A61" w:rsidRDefault="004B457B" w:rsidP="006A0217">
      <w:pPr>
        <w:pStyle w:val="Level2"/>
        <w:numPr>
          <w:ilvl w:val="0"/>
          <w:numId w:val="0"/>
        </w:numPr>
        <w:spacing w:after="120" w:line="240" w:lineRule="auto"/>
        <w:ind w:left="851"/>
        <w:rPr>
          <w:rFonts w:ascii="Arial" w:hAnsi="Arial" w:cs="Arial"/>
        </w:rPr>
      </w:pPr>
    </w:p>
    <w:p w14:paraId="0AC6D2B5" w14:textId="77777777" w:rsidR="004B457B" w:rsidRPr="00EC6A61" w:rsidRDefault="004B457B" w:rsidP="007720E3">
      <w:pPr>
        <w:pStyle w:val="Body1"/>
        <w:spacing w:after="120" w:line="240" w:lineRule="auto"/>
        <w:ind w:left="1276"/>
        <w:rPr>
          <w:rFonts w:ascii="Arial" w:hAnsi="Arial" w:cs="Arial"/>
        </w:rPr>
      </w:pPr>
      <w:r w:rsidRPr="00EC6A61">
        <w:rPr>
          <w:rFonts w:ascii="Arial" w:hAnsi="Arial" w:cs="Arial"/>
          <w:b/>
        </w:rPr>
        <w:t>Table 1 Defect Classifications</w:t>
      </w:r>
    </w:p>
    <w:p w14:paraId="088E124B" w14:textId="705FA7CA" w:rsidR="004B457B" w:rsidRPr="00EC6A61" w:rsidRDefault="004B457B" w:rsidP="004B457B">
      <w:pPr>
        <w:pStyle w:val="Level2"/>
        <w:tabs>
          <w:tab w:val="clear" w:pos="1135"/>
          <w:tab w:val="num" w:pos="851"/>
        </w:tabs>
        <w:spacing w:after="120" w:line="240" w:lineRule="auto"/>
        <w:ind w:left="851"/>
        <w:rPr>
          <w:rFonts w:ascii="Arial" w:hAnsi="Arial" w:cs="Arial"/>
        </w:rPr>
      </w:pPr>
      <w:r w:rsidRPr="00EC6A61">
        <w:rPr>
          <w:rFonts w:ascii="Arial" w:hAnsi="Arial" w:cs="Arial"/>
        </w:rPr>
        <w:t xml:space="preserve">The Supplier shall be able to set the classification of all Defects in accordance with the agreed definitions in Table 1. </w:t>
      </w:r>
      <w:proofErr w:type="gramStart"/>
      <w:r w:rsidRPr="00EC6A61">
        <w:rPr>
          <w:rFonts w:ascii="Arial" w:hAnsi="Arial" w:cs="Arial"/>
        </w:rPr>
        <w:t>In the event that</w:t>
      </w:r>
      <w:proofErr w:type="gramEnd"/>
      <w:r w:rsidRPr="00EC6A61">
        <w:rPr>
          <w:rFonts w:ascii="Arial" w:hAnsi="Arial" w:cs="Arial"/>
        </w:rPr>
        <w:t xml:space="preserve"> </w:t>
      </w:r>
      <w:proofErr w:type="spellStart"/>
      <w:r w:rsidR="001F1C19">
        <w:rPr>
          <w:rFonts w:ascii="Arial" w:hAnsi="Arial" w:cs="Arial"/>
        </w:rPr>
        <w:t>Netlink</w:t>
      </w:r>
      <w:proofErr w:type="spellEnd"/>
      <w:r w:rsidR="001F1C19">
        <w:rPr>
          <w:rFonts w:ascii="Arial" w:hAnsi="Arial" w:cs="Arial"/>
        </w:rPr>
        <w:t xml:space="preserve"> Star</w:t>
      </w:r>
      <w:r w:rsidRPr="00EC6A61">
        <w:rPr>
          <w:rFonts w:ascii="Arial" w:hAnsi="Arial" w:cs="Arial"/>
        </w:rPr>
        <w:t xml:space="preserve"> believes that any classification may be incorrect, </w:t>
      </w:r>
      <w:proofErr w:type="spellStart"/>
      <w:r w:rsidR="001F1C19">
        <w:rPr>
          <w:rFonts w:ascii="Arial" w:hAnsi="Arial" w:cs="Arial"/>
        </w:rPr>
        <w:t>Netlink</w:t>
      </w:r>
      <w:proofErr w:type="spellEnd"/>
      <w:r w:rsidR="001F1C19">
        <w:rPr>
          <w:rFonts w:ascii="Arial" w:hAnsi="Arial" w:cs="Arial"/>
        </w:rPr>
        <w:t xml:space="preserve"> Star</w:t>
      </w:r>
      <w:r w:rsidRPr="00EC6A61">
        <w:rPr>
          <w:rFonts w:ascii="Arial" w:hAnsi="Arial" w:cs="Arial"/>
        </w:rPr>
        <w:t xml:space="preserve"> may reasonably request to the Supplier that this be modified. </w:t>
      </w:r>
      <w:proofErr w:type="gramStart"/>
      <w:r w:rsidRPr="00EC6A61">
        <w:rPr>
          <w:rFonts w:ascii="Arial" w:hAnsi="Arial" w:cs="Arial"/>
        </w:rPr>
        <w:t>In the event that</w:t>
      </w:r>
      <w:proofErr w:type="gramEnd"/>
      <w:r w:rsidRPr="00EC6A61">
        <w:rPr>
          <w:rFonts w:ascii="Arial" w:hAnsi="Arial" w:cs="Arial"/>
        </w:rPr>
        <w:t xml:space="preserve"> an agreement is not reached between the Parties in relation to modifications suggested by the Supplier, the Parties shall refer this to the applicable governance body for resolution as specified in </w:t>
      </w:r>
      <w:r w:rsidRPr="00EC6A61">
        <w:rPr>
          <w:rFonts w:ascii="Arial" w:hAnsi="Arial" w:cs="Arial"/>
          <w:bCs/>
        </w:rPr>
        <w:t>Schedule 8.1 (Governance)</w:t>
      </w:r>
      <w:r w:rsidRPr="00EC6A61">
        <w:rPr>
          <w:rFonts w:ascii="Arial" w:hAnsi="Arial" w:cs="Arial"/>
        </w:rPr>
        <w:t>.</w:t>
      </w:r>
    </w:p>
    <w:p w14:paraId="4D6084FD" w14:textId="20B4F502" w:rsidR="004B457B" w:rsidRPr="00EC6A61" w:rsidRDefault="004B457B" w:rsidP="004B457B">
      <w:pPr>
        <w:pStyle w:val="Level2"/>
        <w:tabs>
          <w:tab w:val="clear" w:pos="1135"/>
          <w:tab w:val="num" w:pos="851"/>
        </w:tabs>
        <w:spacing w:after="120" w:line="240" w:lineRule="auto"/>
        <w:ind w:left="851"/>
        <w:rPr>
          <w:rFonts w:ascii="Arial" w:hAnsi="Arial" w:cs="Arial"/>
        </w:rPr>
      </w:pPr>
      <w:r w:rsidRPr="00EC6A61">
        <w:rPr>
          <w:rFonts w:ascii="Arial" w:hAnsi="Arial" w:cs="Arial"/>
        </w:rPr>
        <w:t xml:space="preserve">The Supplier shall suggest for </w:t>
      </w:r>
      <w:proofErr w:type="spellStart"/>
      <w:r w:rsidR="001F1C19">
        <w:rPr>
          <w:rFonts w:ascii="Arial" w:hAnsi="Arial" w:cs="Arial"/>
        </w:rPr>
        <w:t>Netlink</w:t>
      </w:r>
      <w:proofErr w:type="spellEnd"/>
      <w:r w:rsidR="001F1C19">
        <w:rPr>
          <w:rFonts w:ascii="Arial" w:hAnsi="Arial" w:cs="Arial"/>
        </w:rPr>
        <w:t xml:space="preserve"> Star</w:t>
      </w:r>
      <w:r w:rsidRPr="00EC6A61">
        <w:rPr>
          <w:rFonts w:ascii="Arial" w:hAnsi="Arial" w:cs="Arial"/>
        </w:rPr>
        <w:t>’s approval (not to be unreasonably withheld or delayed)</w:t>
      </w:r>
      <w:r w:rsidR="00420208">
        <w:rPr>
          <w:rFonts w:ascii="Arial" w:hAnsi="Arial" w:cs="Arial"/>
        </w:rPr>
        <w:t xml:space="preserve"> </w:t>
      </w:r>
      <w:r w:rsidRPr="00EC6A61">
        <w:rPr>
          <w:rFonts w:ascii="Arial" w:hAnsi="Arial" w:cs="Arial"/>
        </w:rPr>
        <w:t>the priority in which any identified Defects shall be addressed.</w:t>
      </w:r>
    </w:p>
    <w:p w14:paraId="0ADAAB2A" w14:textId="07320910" w:rsidR="004B457B" w:rsidRPr="00EC6A61" w:rsidRDefault="007720E3" w:rsidP="004B457B">
      <w:pPr>
        <w:pStyle w:val="Level1"/>
        <w:tabs>
          <w:tab w:val="clear" w:pos="2411"/>
          <w:tab w:val="num" w:pos="851"/>
        </w:tabs>
        <w:spacing w:after="120" w:line="240" w:lineRule="auto"/>
        <w:ind w:left="851"/>
        <w:rPr>
          <w:rFonts w:ascii="Arial" w:hAnsi="Arial" w:cs="Arial"/>
          <w:b/>
          <w:bCs/>
        </w:rPr>
      </w:pPr>
      <w:r w:rsidRPr="00EC6A61">
        <w:rPr>
          <w:rFonts w:ascii="Arial" w:hAnsi="Arial" w:cs="Arial"/>
          <w:b/>
          <w:bCs/>
        </w:rPr>
        <w:t>TEST REPORTING</w:t>
      </w:r>
    </w:p>
    <w:p w14:paraId="01E52827" w14:textId="592814AF" w:rsidR="004B457B" w:rsidRPr="00EC6A61" w:rsidRDefault="004B457B" w:rsidP="004B457B">
      <w:pPr>
        <w:pStyle w:val="Level2"/>
        <w:tabs>
          <w:tab w:val="clear" w:pos="1135"/>
          <w:tab w:val="num" w:pos="851"/>
        </w:tabs>
        <w:spacing w:after="120" w:line="240" w:lineRule="auto"/>
        <w:ind w:left="851"/>
        <w:rPr>
          <w:rFonts w:ascii="Arial" w:hAnsi="Arial" w:cs="Arial"/>
        </w:rPr>
      </w:pPr>
      <w:r w:rsidRPr="00EC6A61">
        <w:rPr>
          <w:rFonts w:ascii="Arial" w:hAnsi="Arial" w:cs="Arial"/>
        </w:rPr>
        <w:t>The Supplier shall, as soon as is reasonably practical, and no later than five (5) Working</w:t>
      </w:r>
      <w:r w:rsidRPr="00EC6A61" w:rsidDel="00C14928">
        <w:rPr>
          <w:rFonts w:ascii="Arial" w:hAnsi="Arial" w:cs="Arial"/>
        </w:rPr>
        <w:t xml:space="preserve"> </w:t>
      </w:r>
      <w:r w:rsidRPr="00EC6A61">
        <w:rPr>
          <w:rFonts w:ascii="Arial" w:hAnsi="Arial" w:cs="Arial"/>
        </w:rPr>
        <w:t xml:space="preserve">Days after the completion of a Test, make available to </w:t>
      </w:r>
      <w:proofErr w:type="spellStart"/>
      <w:r w:rsidR="001F1C19">
        <w:rPr>
          <w:rFonts w:ascii="Arial" w:hAnsi="Arial" w:cs="Arial"/>
        </w:rPr>
        <w:t>Netlink</w:t>
      </w:r>
      <w:proofErr w:type="spellEnd"/>
      <w:r w:rsidR="001F1C19">
        <w:rPr>
          <w:rFonts w:ascii="Arial" w:hAnsi="Arial" w:cs="Arial"/>
        </w:rPr>
        <w:t xml:space="preserve"> Star</w:t>
      </w:r>
      <w:r w:rsidRPr="00EC6A61">
        <w:rPr>
          <w:rFonts w:ascii="Arial" w:hAnsi="Arial" w:cs="Arial"/>
        </w:rPr>
        <w:t>’s Test Manager, or nominated representative, a Test Report.</w:t>
      </w:r>
    </w:p>
    <w:p w14:paraId="4F4214FE" w14:textId="77777777" w:rsidR="004B457B" w:rsidRPr="00EC6A61" w:rsidRDefault="004B457B" w:rsidP="004B457B">
      <w:pPr>
        <w:pStyle w:val="Level2"/>
        <w:tabs>
          <w:tab w:val="clear" w:pos="1135"/>
          <w:tab w:val="num" w:pos="851"/>
        </w:tabs>
        <w:spacing w:after="120" w:line="240" w:lineRule="auto"/>
        <w:ind w:left="851"/>
        <w:rPr>
          <w:rFonts w:ascii="Arial" w:hAnsi="Arial" w:cs="Arial"/>
        </w:rPr>
      </w:pPr>
      <w:r w:rsidRPr="00EC6A61">
        <w:rPr>
          <w:rFonts w:ascii="Arial" w:hAnsi="Arial" w:cs="Arial"/>
        </w:rPr>
        <w:t>The Test Report shall contain:</w:t>
      </w:r>
    </w:p>
    <w:p w14:paraId="352C304A" w14:textId="77777777" w:rsidR="004B457B" w:rsidRPr="00EC6A61" w:rsidRDefault="004B457B" w:rsidP="006A0217">
      <w:pPr>
        <w:pStyle w:val="Level3"/>
        <w:spacing w:line="240" w:lineRule="auto"/>
        <w:rPr>
          <w:rFonts w:ascii="Arial" w:hAnsi="Arial" w:cs="Arial"/>
        </w:rPr>
      </w:pPr>
      <w:r w:rsidRPr="00EC6A61">
        <w:rPr>
          <w:rFonts w:ascii="Arial" w:hAnsi="Arial" w:cs="Arial"/>
        </w:rPr>
        <w:t xml:space="preserve">an overview of the Testing </w:t>
      </w:r>
      <w:proofErr w:type="gramStart"/>
      <w:r w:rsidRPr="00EC6A61">
        <w:rPr>
          <w:rFonts w:ascii="Arial" w:hAnsi="Arial" w:cs="Arial"/>
        </w:rPr>
        <w:t>conducted;</w:t>
      </w:r>
      <w:proofErr w:type="gramEnd"/>
    </w:p>
    <w:p w14:paraId="7B455375" w14:textId="77777777" w:rsidR="004B457B" w:rsidRPr="00EC6A61" w:rsidRDefault="004B457B" w:rsidP="006A0217">
      <w:pPr>
        <w:pStyle w:val="Level3"/>
        <w:spacing w:line="240" w:lineRule="auto"/>
        <w:rPr>
          <w:rFonts w:ascii="Arial" w:hAnsi="Arial" w:cs="Arial"/>
        </w:rPr>
      </w:pPr>
      <w:r w:rsidRPr="00EC6A61">
        <w:rPr>
          <w:rFonts w:ascii="Arial" w:hAnsi="Arial" w:cs="Arial"/>
        </w:rPr>
        <w:t xml:space="preserve">identification of the relevant Test Criteria that have been </w:t>
      </w:r>
      <w:proofErr w:type="gramStart"/>
      <w:r w:rsidRPr="00EC6A61">
        <w:rPr>
          <w:rFonts w:ascii="Arial" w:hAnsi="Arial" w:cs="Arial"/>
        </w:rPr>
        <w:t>satisfied;</w:t>
      </w:r>
      <w:proofErr w:type="gramEnd"/>
    </w:p>
    <w:p w14:paraId="2D9FA1C5" w14:textId="4DF6B9F1" w:rsidR="004B457B" w:rsidRPr="00EC6A61" w:rsidRDefault="004B457B" w:rsidP="006A0217">
      <w:pPr>
        <w:pStyle w:val="Level3"/>
        <w:spacing w:line="240" w:lineRule="auto"/>
        <w:rPr>
          <w:rFonts w:ascii="Arial" w:hAnsi="Arial" w:cs="Arial"/>
        </w:rPr>
      </w:pPr>
      <w:r w:rsidRPr="00EC6A61">
        <w:rPr>
          <w:rFonts w:ascii="Arial" w:hAnsi="Arial" w:cs="Arial"/>
        </w:rPr>
        <w:t>identification of the relevant Test Criteria that have not been satisfied together</w:t>
      </w:r>
      <w:r w:rsidR="00FD4D0F">
        <w:rPr>
          <w:rFonts w:ascii="Arial" w:hAnsi="Arial" w:cs="Arial"/>
        </w:rPr>
        <w:t xml:space="preserve"> </w:t>
      </w:r>
      <w:r w:rsidRPr="00EC6A61">
        <w:rPr>
          <w:rFonts w:ascii="Arial" w:hAnsi="Arial" w:cs="Arial"/>
        </w:rPr>
        <w:t xml:space="preserve">with the Supplier's explanation of why those criteria have not been </w:t>
      </w:r>
      <w:proofErr w:type="gramStart"/>
      <w:r w:rsidRPr="00EC6A61">
        <w:rPr>
          <w:rFonts w:ascii="Arial" w:hAnsi="Arial" w:cs="Arial"/>
        </w:rPr>
        <w:t>met;</w:t>
      </w:r>
      <w:proofErr w:type="gramEnd"/>
    </w:p>
    <w:p w14:paraId="600DDC8E" w14:textId="23E1B541" w:rsidR="004B457B" w:rsidRPr="00EC6A61" w:rsidRDefault="004B457B" w:rsidP="006A0217">
      <w:pPr>
        <w:pStyle w:val="Level3"/>
        <w:spacing w:line="240" w:lineRule="auto"/>
        <w:rPr>
          <w:rFonts w:ascii="Arial" w:hAnsi="Arial" w:cs="Arial"/>
        </w:rPr>
      </w:pPr>
      <w:r w:rsidRPr="00EC6A61">
        <w:rPr>
          <w:rFonts w:ascii="Arial" w:hAnsi="Arial" w:cs="Arial"/>
        </w:rPr>
        <w:t>the Tests that were not completed together</w:t>
      </w:r>
      <w:r w:rsidR="00FD4D0F">
        <w:rPr>
          <w:rFonts w:ascii="Arial" w:hAnsi="Arial" w:cs="Arial"/>
        </w:rPr>
        <w:t xml:space="preserve"> </w:t>
      </w:r>
      <w:r w:rsidRPr="00EC6A61">
        <w:rPr>
          <w:rFonts w:ascii="Arial" w:hAnsi="Arial" w:cs="Arial"/>
        </w:rPr>
        <w:t>with the Supplier's explanation of why those Tests were not completed; and</w:t>
      </w:r>
    </w:p>
    <w:p w14:paraId="0ED31333" w14:textId="77777777" w:rsidR="004B457B" w:rsidRPr="00EC6A61" w:rsidRDefault="004B457B" w:rsidP="006A0217">
      <w:pPr>
        <w:pStyle w:val="Level3"/>
        <w:spacing w:line="240" w:lineRule="auto"/>
        <w:rPr>
          <w:rFonts w:ascii="Arial" w:hAnsi="Arial" w:cs="Arial"/>
        </w:rPr>
      </w:pPr>
      <w:r w:rsidRPr="00EC6A61">
        <w:rPr>
          <w:rFonts w:ascii="Arial" w:hAnsi="Arial" w:cs="Arial"/>
        </w:rPr>
        <w:t>any remedial actions or re-Tests required for those Test Criteria that have not been satisfied, according to the procedures specified in the Test Plan.</w:t>
      </w:r>
    </w:p>
    <w:p w14:paraId="52943650" w14:textId="48833C06" w:rsidR="004B457B" w:rsidRPr="00EC6A61" w:rsidRDefault="007720E3" w:rsidP="004B457B">
      <w:pPr>
        <w:pStyle w:val="Level1"/>
        <w:tabs>
          <w:tab w:val="clear" w:pos="2411"/>
          <w:tab w:val="num" w:pos="851"/>
        </w:tabs>
        <w:spacing w:after="120" w:line="240" w:lineRule="auto"/>
        <w:ind w:left="851"/>
        <w:rPr>
          <w:rFonts w:ascii="Arial" w:hAnsi="Arial" w:cs="Arial"/>
        </w:rPr>
      </w:pPr>
      <w:r w:rsidRPr="00EC6A61">
        <w:rPr>
          <w:rFonts w:ascii="Arial" w:hAnsi="Arial" w:cs="Arial"/>
          <w:b/>
          <w:bCs/>
        </w:rPr>
        <w:t>ACCEPTANCE</w:t>
      </w:r>
    </w:p>
    <w:p w14:paraId="1AF46A0A" w14:textId="77777777" w:rsidR="004B457B" w:rsidRPr="00EC6A61" w:rsidRDefault="004B457B" w:rsidP="004B457B">
      <w:pPr>
        <w:pStyle w:val="Level2"/>
        <w:tabs>
          <w:tab w:val="clear" w:pos="1135"/>
          <w:tab w:val="num" w:pos="851"/>
        </w:tabs>
        <w:spacing w:after="120" w:line="240" w:lineRule="auto"/>
        <w:ind w:left="851"/>
        <w:rPr>
          <w:rFonts w:ascii="Arial" w:hAnsi="Arial" w:cs="Arial"/>
        </w:rPr>
      </w:pPr>
      <w:r w:rsidRPr="00EC6A61">
        <w:rPr>
          <w:rFonts w:ascii="Arial" w:hAnsi="Arial" w:cs="Arial"/>
        </w:rPr>
        <w:t>Acceptance Criteria for Acceptance of a Testable Element will be agreed and documented in the relevant Project Sheet or otherwise agreed in writing by the Parties.</w:t>
      </w:r>
    </w:p>
    <w:p w14:paraId="2D94C658" w14:textId="48706E46" w:rsidR="004B457B" w:rsidRPr="00EC6A61" w:rsidRDefault="004B457B" w:rsidP="004B457B">
      <w:pPr>
        <w:pStyle w:val="Level2"/>
        <w:tabs>
          <w:tab w:val="clear" w:pos="1135"/>
          <w:tab w:val="num" w:pos="851"/>
        </w:tabs>
        <w:spacing w:after="120" w:line="240" w:lineRule="auto"/>
        <w:ind w:left="851"/>
        <w:rPr>
          <w:rFonts w:ascii="Arial" w:hAnsi="Arial" w:cs="Arial"/>
        </w:rPr>
      </w:pPr>
      <w:bookmarkStart w:id="2292" w:name="_Ref80873555"/>
      <w:r w:rsidRPr="00EC6A61">
        <w:rPr>
          <w:rFonts w:ascii="Arial" w:hAnsi="Arial" w:cs="Arial"/>
        </w:rPr>
        <w:t xml:space="preserve">A Testable Element shall not be presented to </w:t>
      </w:r>
      <w:proofErr w:type="spellStart"/>
      <w:r w:rsidR="001F1C19">
        <w:rPr>
          <w:rFonts w:ascii="Arial" w:hAnsi="Arial" w:cs="Arial"/>
        </w:rPr>
        <w:t>Netlink</w:t>
      </w:r>
      <w:proofErr w:type="spellEnd"/>
      <w:r w:rsidR="001F1C19">
        <w:rPr>
          <w:rFonts w:ascii="Arial" w:hAnsi="Arial" w:cs="Arial"/>
        </w:rPr>
        <w:t xml:space="preserve"> Star</w:t>
      </w:r>
      <w:r w:rsidRPr="00EC6A61">
        <w:rPr>
          <w:rFonts w:ascii="Arial" w:hAnsi="Arial" w:cs="Arial"/>
        </w:rPr>
        <w:t xml:space="preserve"> for Acceptance until all Tests that are associated with that product have been completed and met their Test Criteria.</w:t>
      </w:r>
      <w:bookmarkEnd w:id="2292"/>
    </w:p>
    <w:p w14:paraId="3F89E719" w14:textId="4D3054FE" w:rsidR="004B457B" w:rsidRPr="00EC6A61" w:rsidRDefault="001F1C19" w:rsidP="004B457B">
      <w:pPr>
        <w:pStyle w:val="Level2"/>
        <w:tabs>
          <w:tab w:val="clear" w:pos="1135"/>
          <w:tab w:val="num" w:pos="851"/>
        </w:tabs>
        <w:spacing w:after="120" w:line="240" w:lineRule="auto"/>
        <w:ind w:left="851"/>
        <w:rPr>
          <w:rFonts w:ascii="Arial" w:hAnsi="Arial" w:cs="Arial"/>
        </w:rPr>
      </w:pPr>
      <w:proofErr w:type="spellStart"/>
      <w:r>
        <w:rPr>
          <w:rFonts w:ascii="Arial" w:hAnsi="Arial" w:cs="Arial"/>
        </w:rPr>
        <w:t>Netlink</w:t>
      </w:r>
      <w:proofErr w:type="spellEnd"/>
      <w:r>
        <w:rPr>
          <w:rFonts w:ascii="Arial" w:hAnsi="Arial" w:cs="Arial"/>
        </w:rPr>
        <w:t xml:space="preserve"> Star</w:t>
      </w:r>
      <w:r w:rsidR="004B457B" w:rsidRPr="00EC6A61">
        <w:rPr>
          <w:rFonts w:ascii="Arial" w:hAnsi="Arial" w:cs="Arial"/>
        </w:rPr>
        <w:t xml:space="preserve"> shall designate the result of the Testing of the Testable Element as either:</w:t>
      </w:r>
    </w:p>
    <w:p w14:paraId="28738EB6" w14:textId="77777777" w:rsidR="004B457B" w:rsidRPr="00EC6A61" w:rsidRDefault="004B457B" w:rsidP="006A0217">
      <w:pPr>
        <w:pStyle w:val="Level3"/>
        <w:spacing w:line="240" w:lineRule="auto"/>
        <w:rPr>
          <w:rFonts w:ascii="Arial" w:hAnsi="Arial" w:cs="Arial"/>
        </w:rPr>
      </w:pPr>
      <w:r w:rsidRPr="00EC6A61">
        <w:rPr>
          <w:rFonts w:ascii="Arial" w:hAnsi="Arial" w:cs="Arial"/>
        </w:rPr>
        <w:lastRenderedPageBreak/>
        <w:t>Fully Accepted, by which all the Acceptance Criteria have been successfully met; or</w:t>
      </w:r>
    </w:p>
    <w:p w14:paraId="7436B3C8" w14:textId="77777777" w:rsidR="004B457B" w:rsidRPr="00EC6A61" w:rsidRDefault="004B457B" w:rsidP="006A0217">
      <w:pPr>
        <w:pStyle w:val="Level3"/>
        <w:spacing w:line="240" w:lineRule="auto"/>
        <w:rPr>
          <w:rFonts w:ascii="Arial" w:hAnsi="Arial" w:cs="Arial"/>
        </w:rPr>
      </w:pPr>
      <w:r w:rsidRPr="00EC6A61">
        <w:rPr>
          <w:rFonts w:ascii="Arial" w:hAnsi="Arial" w:cs="Arial"/>
        </w:rPr>
        <w:t xml:space="preserve">Partially Accepted, by which some, but not </w:t>
      </w:r>
      <w:proofErr w:type="gramStart"/>
      <w:r w:rsidRPr="00EC6A61">
        <w:rPr>
          <w:rFonts w:ascii="Arial" w:hAnsi="Arial" w:cs="Arial"/>
        </w:rPr>
        <w:t>all of</w:t>
      </w:r>
      <w:proofErr w:type="gramEnd"/>
      <w:r w:rsidRPr="00EC6A61">
        <w:rPr>
          <w:rFonts w:ascii="Arial" w:hAnsi="Arial" w:cs="Arial"/>
        </w:rPr>
        <w:t xml:space="preserve"> the Acceptance Criteria have not been met; or</w:t>
      </w:r>
    </w:p>
    <w:p w14:paraId="719BED6C" w14:textId="77777777" w:rsidR="004B457B" w:rsidRPr="00EC6A61" w:rsidRDefault="004B457B" w:rsidP="006A0217">
      <w:pPr>
        <w:pStyle w:val="Level3"/>
        <w:spacing w:line="240" w:lineRule="auto"/>
        <w:rPr>
          <w:rFonts w:ascii="Arial" w:hAnsi="Arial" w:cs="Arial"/>
        </w:rPr>
      </w:pPr>
      <w:r w:rsidRPr="00EC6A61">
        <w:rPr>
          <w:rFonts w:ascii="Arial" w:hAnsi="Arial" w:cs="Arial"/>
        </w:rPr>
        <w:t>Rejected, by which none of the Acceptance Criteria have been met</w:t>
      </w:r>
      <w:r>
        <w:rPr>
          <w:rFonts w:ascii="Arial" w:hAnsi="Arial" w:cs="Arial"/>
        </w:rPr>
        <w:t>,</w:t>
      </w:r>
    </w:p>
    <w:p w14:paraId="05F04C7D" w14:textId="1BA60444" w:rsidR="004B457B" w:rsidRPr="00EC6A61" w:rsidRDefault="004B457B" w:rsidP="006A0217">
      <w:pPr>
        <w:pStyle w:val="Level3"/>
        <w:numPr>
          <w:ilvl w:val="0"/>
          <w:numId w:val="0"/>
        </w:numPr>
        <w:spacing w:line="240" w:lineRule="auto"/>
        <w:ind w:left="851"/>
        <w:rPr>
          <w:rFonts w:ascii="Arial" w:hAnsi="Arial" w:cs="Arial"/>
        </w:rPr>
      </w:pPr>
      <w:r w:rsidRPr="00EC6A61">
        <w:rPr>
          <w:rFonts w:ascii="Arial" w:hAnsi="Arial" w:cs="Arial"/>
        </w:rPr>
        <w:t xml:space="preserve">as soon as reasonably practicable and in accordance with any timeline and process set out in the applicable Project Sheet. If </w:t>
      </w:r>
      <w:proofErr w:type="spellStart"/>
      <w:r w:rsidR="001F1C19">
        <w:rPr>
          <w:rFonts w:ascii="Arial" w:hAnsi="Arial" w:cs="Arial"/>
        </w:rPr>
        <w:t>Netlink</w:t>
      </w:r>
      <w:proofErr w:type="spellEnd"/>
      <w:r w:rsidR="001F1C19">
        <w:rPr>
          <w:rFonts w:ascii="Arial" w:hAnsi="Arial" w:cs="Arial"/>
        </w:rPr>
        <w:t xml:space="preserve"> Star</w:t>
      </w:r>
      <w:r w:rsidRPr="00EC6A61">
        <w:rPr>
          <w:rFonts w:ascii="Arial" w:hAnsi="Arial" w:cs="Arial"/>
        </w:rPr>
        <w:t xml:space="preserve"> has not designated the result according to such timelines, the Supplier shall issue </w:t>
      </w:r>
      <w:proofErr w:type="spellStart"/>
      <w:r w:rsidR="001F1C19">
        <w:rPr>
          <w:rFonts w:ascii="Arial" w:hAnsi="Arial" w:cs="Arial"/>
        </w:rPr>
        <w:t>Netlink</w:t>
      </w:r>
      <w:proofErr w:type="spellEnd"/>
      <w:r w:rsidR="001F1C19">
        <w:rPr>
          <w:rFonts w:ascii="Arial" w:hAnsi="Arial" w:cs="Arial"/>
        </w:rPr>
        <w:t xml:space="preserve"> Star</w:t>
      </w:r>
      <w:r w:rsidRPr="00EC6A61">
        <w:rPr>
          <w:rFonts w:ascii="Arial" w:hAnsi="Arial" w:cs="Arial"/>
        </w:rPr>
        <w:t xml:space="preserve"> with a written reminder to designate the result and the issue shall be raised and discussed by the Parties at the next Project Review Meeting and escalated appropriately. For the avoidance of doubt failure to comply with such timelines shall not in any event constitute deemed acceptance by </w:t>
      </w:r>
      <w:proofErr w:type="spellStart"/>
      <w:r w:rsidR="001F1C19">
        <w:rPr>
          <w:rFonts w:ascii="Arial" w:hAnsi="Arial" w:cs="Arial"/>
        </w:rPr>
        <w:t>Netlink</w:t>
      </w:r>
      <w:proofErr w:type="spellEnd"/>
      <w:r w:rsidR="001F1C19">
        <w:rPr>
          <w:rFonts w:ascii="Arial" w:hAnsi="Arial" w:cs="Arial"/>
        </w:rPr>
        <w:t xml:space="preserve"> Star</w:t>
      </w:r>
      <w:r w:rsidRPr="00EC6A61">
        <w:rPr>
          <w:rFonts w:ascii="Arial" w:hAnsi="Arial" w:cs="Arial"/>
        </w:rPr>
        <w:t xml:space="preserve">. </w:t>
      </w:r>
    </w:p>
    <w:p w14:paraId="636552C7" w14:textId="4AFE7866" w:rsidR="004B457B" w:rsidRPr="00EC6A61" w:rsidRDefault="004B457B" w:rsidP="004B457B">
      <w:pPr>
        <w:pStyle w:val="Level2"/>
        <w:tabs>
          <w:tab w:val="clear" w:pos="1135"/>
          <w:tab w:val="num" w:pos="851"/>
        </w:tabs>
        <w:spacing w:after="120" w:line="240" w:lineRule="auto"/>
        <w:ind w:left="851"/>
        <w:rPr>
          <w:rFonts w:ascii="Arial" w:hAnsi="Arial" w:cs="Arial"/>
        </w:rPr>
      </w:pPr>
      <w:r w:rsidRPr="00EC6A61">
        <w:rPr>
          <w:rFonts w:ascii="Arial" w:hAnsi="Arial" w:cs="Arial"/>
        </w:rPr>
        <w:t xml:space="preserve">Where the Testable Element has been designated as Fully Accepted, </w:t>
      </w:r>
      <w:proofErr w:type="spellStart"/>
      <w:r w:rsidR="001F1C19">
        <w:rPr>
          <w:rFonts w:ascii="Arial" w:hAnsi="Arial" w:cs="Arial"/>
        </w:rPr>
        <w:t>Netlink</w:t>
      </w:r>
      <w:proofErr w:type="spellEnd"/>
      <w:r w:rsidR="001F1C19">
        <w:rPr>
          <w:rFonts w:ascii="Arial" w:hAnsi="Arial" w:cs="Arial"/>
        </w:rPr>
        <w:t xml:space="preserve"> Star</w:t>
      </w:r>
      <w:r w:rsidRPr="00EC6A61">
        <w:rPr>
          <w:rFonts w:ascii="Arial" w:hAnsi="Arial" w:cs="Arial"/>
        </w:rPr>
        <w:t xml:space="preserve"> shall provide the Supplier with an Acceptance Certificate as soon as is reasonably practicable, and no later than ten (10) Working</w:t>
      </w:r>
      <w:r w:rsidRPr="00EC6A61" w:rsidDel="00C14928">
        <w:rPr>
          <w:rFonts w:ascii="Arial" w:hAnsi="Arial" w:cs="Arial"/>
        </w:rPr>
        <w:t xml:space="preserve"> </w:t>
      </w:r>
      <w:r w:rsidRPr="00EC6A61">
        <w:rPr>
          <w:rFonts w:ascii="Arial" w:hAnsi="Arial" w:cs="Arial"/>
        </w:rPr>
        <w:t>Days after the completion of an Acceptance Test.</w:t>
      </w:r>
    </w:p>
    <w:p w14:paraId="41257AA1" w14:textId="69399BF9" w:rsidR="004B457B" w:rsidRPr="00EC6A61" w:rsidRDefault="004B457B" w:rsidP="004B457B">
      <w:pPr>
        <w:pStyle w:val="Level2"/>
        <w:tabs>
          <w:tab w:val="clear" w:pos="1135"/>
          <w:tab w:val="num" w:pos="851"/>
        </w:tabs>
        <w:spacing w:after="120" w:line="240" w:lineRule="auto"/>
        <w:ind w:left="851"/>
        <w:rPr>
          <w:rFonts w:ascii="Arial" w:hAnsi="Arial" w:cs="Arial"/>
        </w:rPr>
      </w:pPr>
      <w:r w:rsidRPr="00EC6A61">
        <w:rPr>
          <w:rFonts w:ascii="Arial" w:hAnsi="Arial" w:cs="Arial"/>
        </w:rPr>
        <w:t xml:space="preserve">Where the Testable Element has been designated by </w:t>
      </w:r>
      <w:proofErr w:type="spellStart"/>
      <w:r w:rsidR="001F1C19">
        <w:rPr>
          <w:rFonts w:ascii="Arial" w:hAnsi="Arial" w:cs="Arial"/>
        </w:rPr>
        <w:t>Netlink</w:t>
      </w:r>
      <w:proofErr w:type="spellEnd"/>
      <w:r w:rsidR="001F1C19">
        <w:rPr>
          <w:rFonts w:ascii="Arial" w:hAnsi="Arial" w:cs="Arial"/>
        </w:rPr>
        <w:t xml:space="preserve"> Star</w:t>
      </w:r>
      <w:r w:rsidRPr="00EC6A61">
        <w:rPr>
          <w:rFonts w:ascii="Arial" w:hAnsi="Arial" w:cs="Arial"/>
        </w:rPr>
        <w:t xml:space="preserve"> as Partially Accepted, </w:t>
      </w:r>
      <w:proofErr w:type="spellStart"/>
      <w:r w:rsidR="001F1C19">
        <w:rPr>
          <w:rFonts w:ascii="Arial" w:hAnsi="Arial" w:cs="Arial"/>
        </w:rPr>
        <w:t>Netlink</w:t>
      </w:r>
      <w:proofErr w:type="spellEnd"/>
      <w:r w:rsidR="001F1C19">
        <w:rPr>
          <w:rFonts w:ascii="Arial" w:hAnsi="Arial" w:cs="Arial"/>
        </w:rPr>
        <w:t xml:space="preserve"> Star</w:t>
      </w:r>
      <w:r w:rsidRPr="00EC6A61">
        <w:rPr>
          <w:rFonts w:ascii="Arial" w:hAnsi="Arial" w:cs="Arial"/>
        </w:rPr>
        <w:t>, acting reasonably, may either:</w:t>
      </w:r>
    </w:p>
    <w:p w14:paraId="55DE4043" w14:textId="77777777" w:rsidR="004B457B" w:rsidRPr="00EC6A61" w:rsidRDefault="004B457B" w:rsidP="006A0217">
      <w:pPr>
        <w:pStyle w:val="Level3"/>
        <w:spacing w:line="240" w:lineRule="auto"/>
        <w:rPr>
          <w:rFonts w:ascii="Arial" w:hAnsi="Arial" w:cs="Arial"/>
        </w:rPr>
      </w:pPr>
      <w:r w:rsidRPr="00EC6A61">
        <w:rPr>
          <w:rFonts w:ascii="Arial" w:hAnsi="Arial" w:cs="Arial"/>
        </w:rPr>
        <w:t>issue an Acceptance Certificate, conditional on the completion of remedial work; or</w:t>
      </w:r>
    </w:p>
    <w:p w14:paraId="4A543902" w14:textId="77777777" w:rsidR="004B457B" w:rsidRPr="00EC6A61" w:rsidRDefault="004B457B" w:rsidP="006A0217">
      <w:pPr>
        <w:pStyle w:val="Level3"/>
        <w:spacing w:line="240" w:lineRule="auto"/>
        <w:rPr>
          <w:rFonts w:ascii="Arial" w:hAnsi="Arial" w:cs="Arial"/>
        </w:rPr>
      </w:pPr>
      <w:r w:rsidRPr="00EC6A61">
        <w:rPr>
          <w:rFonts w:ascii="Arial" w:hAnsi="Arial" w:cs="Arial"/>
        </w:rPr>
        <w:t>require that remedial work be carried out prior to issuing an Acceptance Certificate.</w:t>
      </w:r>
    </w:p>
    <w:p w14:paraId="1C1BE66F" w14:textId="62219BB0" w:rsidR="004B457B" w:rsidRPr="00EC6A61" w:rsidRDefault="004B457B" w:rsidP="004B457B">
      <w:pPr>
        <w:pStyle w:val="Level2"/>
        <w:tabs>
          <w:tab w:val="clear" w:pos="1135"/>
          <w:tab w:val="num" w:pos="851"/>
        </w:tabs>
        <w:spacing w:after="120" w:line="240" w:lineRule="auto"/>
        <w:ind w:left="851"/>
        <w:rPr>
          <w:rFonts w:ascii="Arial" w:hAnsi="Arial" w:cs="Arial"/>
        </w:rPr>
      </w:pPr>
      <w:r w:rsidRPr="00EC6A61">
        <w:rPr>
          <w:rFonts w:ascii="Arial" w:hAnsi="Arial" w:cs="Arial"/>
        </w:rPr>
        <w:t xml:space="preserve">Where the Testable Element has been rejected, the Supplier shall specify the remedial work that shall be conducted by the Supplier and gain agreement from </w:t>
      </w:r>
      <w:proofErr w:type="spellStart"/>
      <w:r w:rsidR="001F1C19">
        <w:rPr>
          <w:rFonts w:ascii="Arial" w:hAnsi="Arial" w:cs="Arial"/>
        </w:rPr>
        <w:t>Netlink</w:t>
      </w:r>
      <w:proofErr w:type="spellEnd"/>
      <w:r w:rsidR="001F1C19">
        <w:rPr>
          <w:rFonts w:ascii="Arial" w:hAnsi="Arial" w:cs="Arial"/>
        </w:rPr>
        <w:t xml:space="preserve"> </w:t>
      </w:r>
      <w:proofErr w:type="gramStart"/>
      <w:r w:rsidR="001F1C19">
        <w:rPr>
          <w:rFonts w:ascii="Arial" w:hAnsi="Arial" w:cs="Arial"/>
        </w:rPr>
        <w:t>Star</w:t>
      </w:r>
      <w:r w:rsidRPr="00EC6A61">
        <w:rPr>
          <w:rFonts w:ascii="Arial" w:hAnsi="Arial" w:cs="Arial"/>
        </w:rPr>
        <w:t>, before</w:t>
      </w:r>
      <w:proofErr w:type="gramEnd"/>
      <w:r w:rsidRPr="00EC6A61">
        <w:rPr>
          <w:rFonts w:ascii="Arial" w:hAnsi="Arial" w:cs="Arial"/>
        </w:rPr>
        <w:t xml:space="preserve"> re-submission for Testing.</w:t>
      </w:r>
    </w:p>
    <w:p w14:paraId="7563E898" w14:textId="77777777" w:rsidR="004B457B" w:rsidRPr="00EC6A61" w:rsidRDefault="004B457B" w:rsidP="004B457B">
      <w:pPr>
        <w:pStyle w:val="Level2"/>
        <w:tabs>
          <w:tab w:val="clear" w:pos="1135"/>
          <w:tab w:val="num" w:pos="851"/>
        </w:tabs>
        <w:spacing w:after="120" w:line="240" w:lineRule="auto"/>
        <w:ind w:left="851"/>
        <w:rPr>
          <w:rFonts w:ascii="Arial" w:hAnsi="Arial" w:cs="Arial"/>
        </w:rPr>
      </w:pPr>
      <w:r w:rsidRPr="00EC6A61">
        <w:rPr>
          <w:rFonts w:ascii="Arial" w:hAnsi="Arial" w:cs="Arial"/>
        </w:rPr>
        <w:t>Any remedial work performed by the Supplier for a Partially Accepted or Rejected Testable Element shall be conducted at the Supplier’s cost.</w:t>
      </w:r>
    </w:p>
    <w:p w14:paraId="14DEF8DF" w14:textId="40220E91" w:rsidR="004B457B" w:rsidRPr="00EC6A61" w:rsidRDefault="007720E3" w:rsidP="004B457B">
      <w:pPr>
        <w:pStyle w:val="Level1"/>
        <w:tabs>
          <w:tab w:val="clear" w:pos="2411"/>
          <w:tab w:val="num" w:pos="851"/>
        </w:tabs>
        <w:spacing w:after="120" w:line="240" w:lineRule="auto"/>
        <w:ind w:left="851"/>
        <w:rPr>
          <w:rFonts w:ascii="Arial" w:hAnsi="Arial" w:cs="Arial"/>
          <w:b/>
          <w:bCs/>
        </w:rPr>
      </w:pPr>
      <w:r w:rsidRPr="00EC6A61">
        <w:rPr>
          <w:rFonts w:ascii="Arial" w:hAnsi="Arial" w:cs="Arial"/>
          <w:b/>
          <w:bCs/>
        </w:rPr>
        <w:t>MILESTONE ACCEPTANCE</w:t>
      </w:r>
    </w:p>
    <w:p w14:paraId="48FE3AFC" w14:textId="3E5E8EEC" w:rsidR="004B457B" w:rsidRPr="00EC6A61" w:rsidRDefault="004B457B" w:rsidP="004B457B">
      <w:pPr>
        <w:pStyle w:val="Level2"/>
        <w:tabs>
          <w:tab w:val="clear" w:pos="1135"/>
          <w:tab w:val="num" w:pos="851"/>
        </w:tabs>
        <w:spacing w:after="120" w:line="240" w:lineRule="auto"/>
        <w:ind w:left="851"/>
        <w:rPr>
          <w:rFonts w:ascii="Arial" w:hAnsi="Arial" w:cs="Arial"/>
        </w:rPr>
      </w:pPr>
      <w:r w:rsidRPr="00EC6A61">
        <w:rPr>
          <w:rFonts w:ascii="Arial" w:hAnsi="Arial" w:cs="Arial"/>
        </w:rPr>
        <w:t xml:space="preserve">For each Milestone, </w:t>
      </w:r>
      <w:proofErr w:type="spellStart"/>
      <w:r w:rsidR="001F1C19">
        <w:rPr>
          <w:rFonts w:ascii="Arial" w:hAnsi="Arial" w:cs="Arial"/>
        </w:rPr>
        <w:t>Netlink</w:t>
      </w:r>
      <w:proofErr w:type="spellEnd"/>
      <w:r w:rsidR="001F1C19">
        <w:rPr>
          <w:rFonts w:ascii="Arial" w:hAnsi="Arial" w:cs="Arial"/>
        </w:rPr>
        <w:t xml:space="preserve"> Star</w:t>
      </w:r>
      <w:r w:rsidRPr="00EC6A61">
        <w:rPr>
          <w:rFonts w:ascii="Arial" w:hAnsi="Arial" w:cs="Arial"/>
        </w:rPr>
        <w:t xml:space="preserve"> shall issue a Milestone Acceptance Certificate when all Acceptance Certificates for Deliverables (or other Testable Elements) associated with that Milestone have been issued.</w:t>
      </w:r>
    </w:p>
    <w:p w14:paraId="5C29A352" w14:textId="4C9DC15C" w:rsidR="004B457B" w:rsidRPr="00EC6A61" w:rsidRDefault="001F1C19" w:rsidP="004B457B">
      <w:pPr>
        <w:pStyle w:val="Level2"/>
        <w:tabs>
          <w:tab w:val="clear" w:pos="1135"/>
          <w:tab w:val="num" w:pos="851"/>
        </w:tabs>
        <w:spacing w:after="120" w:line="240" w:lineRule="auto"/>
        <w:ind w:left="851"/>
        <w:rPr>
          <w:rFonts w:ascii="Arial" w:hAnsi="Arial" w:cs="Arial"/>
        </w:rPr>
      </w:pPr>
      <w:proofErr w:type="spellStart"/>
      <w:r>
        <w:rPr>
          <w:rFonts w:ascii="Arial" w:hAnsi="Arial" w:cs="Arial"/>
        </w:rPr>
        <w:t>Netlink</w:t>
      </w:r>
      <w:proofErr w:type="spellEnd"/>
      <w:r>
        <w:rPr>
          <w:rFonts w:ascii="Arial" w:hAnsi="Arial" w:cs="Arial"/>
        </w:rPr>
        <w:t xml:space="preserve"> Star</w:t>
      </w:r>
      <w:r w:rsidR="004B457B" w:rsidRPr="00EC6A61">
        <w:rPr>
          <w:rFonts w:ascii="Arial" w:hAnsi="Arial" w:cs="Arial"/>
        </w:rPr>
        <w:t xml:space="preserve"> shall use all reasonable endeavours to issue the Milestone Acceptance Certificate within five (5) Working Days of the final Product Acceptance Certificate for that Milestone.</w:t>
      </w:r>
    </w:p>
    <w:p w14:paraId="446B6F75" w14:textId="77777777" w:rsidR="004B457B" w:rsidRPr="00EC6A61" w:rsidRDefault="004B457B" w:rsidP="004B457B">
      <w:pPr>
        <w:pStyle w:val="Level2"/>
        <w:tabs>
          <w:tab w:val="clear" w:pos="1135"/>
          <w:tab w:val="num" w:pos="851"/>
        </w:tabs>
        <w:spacing w:after="120" w:line="240" w:lineRule="auto"/>
        <w:ind w:left="851"/>
        <w:rPr>
          <w:rFonts w:ascii="Arial" w:hAnsi="Arial" w:cs="Arial"/>
        </w:rPr>
      </w:pPr>
      <w:r w:rsidRPr="00EC6A61">
        <w:rPr>
          <w:rFonts w:ascii="Arial" w:hAnsi="Arial" w:cs="Arial"/>
        </w:rPr>
        <w:t xml:space="preserve">The Milestone Acceptance Certificate shall be used for the purpose of invoicing Project Charges in accordance with </w:t>
      </w:r>
      <w:r w:rsidRPr="00EC6A61">
        <w:rPr>
          <w:rFonts w:ascii="Arial" w:hAnsi="Arial" w:cs="Arial"/>
          <w:bCs/>
        </w:rPr>
        <w:t>Schedule 7.1 (Charges and Invoicing)</w:t>
      </w:r>
      <w:r w:rsidRPr="00EC6A61">
        <w:rPr>
          <w:rFonts w:ascii="Arial" w:hAnsi="Arial" w:cs="Arial"/>
        </w:rPr>
        <w:t>.</w:t>
      </w:r>
    </w:p>
    <w:p w14:paraId="689FC035" w14:textId="77777777" w:rsidR="004B457B" w:rsidRPr="00EC6A61" w:rsidRDefault="004B457B" w:rsidP="006A0217">
      <w:pPr>
        <w:jc w:val="left"/>
        <w:rPr>
          <w:rFonts w:cs="Arial"/>
          <w:b/>
        </w:rPr>
      </w:pPr>
      <w:r w:rsidRPr="00EC6A61">
        <w:rPr>
          <w:rFonts w:cs="Arial"/>
          <w:b/>
        </w:rPr>
        <w:br w:type="page"/>
      </w:r>
    </w:p>
    <w:p w14:paraId="539D8FE3" w14:textId="013EF8F4" w:rsidR="004B457B" w:rsidRPr="00EC6A61" w:rsidRDefault="004B457B" w:rsidP="006A0217">
      <w:pPr>
        <w:jc w:val="center"/>
        <w:rPr>
          <w:rFonts w:cs="Arial"/>
          <w:b/>
        </w:rPr>
      </w:pPr>
      <w:r w:rsidRPr="00EC6A61">
        <w:rPr>
          <w:rFonts w:cs="Arial"/>
          <w:b/>
        </w:rPr>
        <w:lastRenderedPageBreak/>
        <w:t>ANNEX 6.</w:t>
      </w:r>
      <w:r w:rsidR="00DF38EE">
        <w:rPr>
          <w:rFonts w:cs="Arial"/>
          <w:b/>
        </w:rPr>
        <w:t>3</w:t>
      </w:r>
      <w:r w:rsidRPr="00EC6A61">
        <w:rPr>
          <w:rFonts w:cs="Arial"/>
          <w:b/>
        </w:rPr>
        <w:t>A</w:t>
      </w:r>
    </w:p>
    <w:p w14:paraId="5EA5E11D" w14:textId="77777777" w:rsidR="004B457B" w:rsidRPr="00EC6A61" w:rsidRDefault="004B457B" w:rsidP="006A0217">
      <w:pPr>
        <w:rPr>
          <w:rFonts w:cs="Arial"/>
        </w:rPr>
      </w:pPr>
    </w:p>
    <w:p w14:paraId="1CB9F3B9" w14:textId="77777777" w:rsidR="004B457B" w:rsidRPr="00EC6A61" w:rsidRDefault="004B457B" w:rsidP="006A0217">
      <w:pPr>
        <w:rPr>
          <w:rFonts w:cs="Arial"/>
        </w:rPr>
      </w:pPr>
      <w:r w:rsidRPr="00EC6A61">
        <w:rPr>
          <w:rFonts w:cs="Arial"/>
        </w:rPr>
        <w:t>Product Acceptance Certificate</w:t>
      </w:r>
    </w:p>
    <w:p w14:paraId="24C7C00C" w14:textId="77777777" w:rsidR="004B457B" w:rsidRPr="00EC6A61" w:rsidRDefault="004B457B" w:rsidP="006A0217">
      <w:pPr>
        <w:rPr>
          <w:rFonts w:cs="Arial"/>
        </w:rPr>
      </w:pPr>
      <w:r w:rsidRPr="00EC6A61">
        <w:rPr>
          <w:rFonts w:cs="Arial"/>
        </w:rPr>
        <w:t>To:</w:t>
      </w:r>
      <w:r w:rsidRPr="00EC6A61">
        <w:rPr>
          <w:rFonts w:cs="Arial"/>
        </w:rPr>
        <w:tab/>
      </w:r>
      <w:r w:rsidRPr="00EC6A61">
        <w:rPr>
          <w:rFonts w:cs="Arial"/>
        </w:rPr>
        <w:tab/>
        <w:t xml:space="preserve">[Supplier] </w:t>
      </w:r>
    </w:p>
    <w:p w14:paraId="1E1F5CE9" w14:textId="77777777" w:rsidR="004B457B" w:rsidRPr="00EC6A61" w:rsidRDefault="004B457B" w:rsidP="006A0217">
      <w:pPr>
        <w:rPr>
          <w:rFonts w:cs="Arial"/>
        </w:rPr>
      </w:pPr>
      <w:r w:rsidRPr="00EC6A61">
        <w:rPr>
          <w:rFonts w:cs="Arial"/>
        </w:rPr>
        <w:t>FROM:</w:t>
      </w:r>
      <w:r w:rsidRPr="00EC6A61">
        <w:rPr>
          <w:rFonts w:cs="Arial"/>
        </w:rPr>
        <w:tab/>
      </w:r>
      <w:r w:rsidRPr="00EC6A61">
        <w:rPr>
          <w:rFonts w:cs="Arial"/>
        </w:rPr>
        <w:tab/>
        <w:t>[Customer]</w:t>
      </w:r>
    </w:p>
    <w:p w14:paraId="343C143D" w14:textId="77777777" w:rsidR="004B457B" w:rsidRPr="00EC6A61" w:rsidRDefault="004B457B" w:rsidP="006A0217">
      <w:pPr>
        <w:rPr>
          <w:rFonts w:cs="Arial"/>
        </w:rPr>
      </w:pPr>
    </w:p>
    <w:p w14:paraId="7FE12779" w14:textId="77777777" w:rsidR="004B457B" w:rsidRPr="00EC6A61" w:rsidRDefault="004B457B" w:rsidP="006A0217">
      <w:pPr>
        <w:rPr>
          <w:rFonts w:cs="Arial"/>
        </w:rPr>
      </w:pPr>
      <w:r w:rsidRPr="00EC6A61">
        <w:rPr>
          <w:rFonts w:cs="Arial"/>
        </w:rPr>
        <w:t>[Date]</w:t>
      </w:r>
    </w:p>
    <w:p w14:paraId="7BB43973" w14:textId="77777777" w:rsidR="004B457B" w:rsidRPr="00EC6A61" w:rsidRDefault="004B457B" w:rsidP="006A0217">
      <w:pPr>
        <w:rPr>
          <w:rFonts w:cs="Arial"/>
        </w:rPr>
      </w:pPr>
      <w:r w:rsidRPr="00EC6A61">
        <w:rPr>
          <w:rFonts w:cs="Arial"/>
        </w:rPr>
        <w:t>Dear Madam/Sir,</w:t>
      </w:r>
    </w:p>
    <w:p w14:paraId="4C0CF194" w14:textId="77777777" w:rsidR="004B457B" w:rsidRPr="00EC6A61" w:rsidRDefault="004B457B" w:rsidP="006A0217">
      <w:pPr>
        <w:rPr>
          <w:rFonts w:cs="Arial"/>
        </w:rPr>
      </w:pPr>
    </w:p>
    <w:p w14:paraId="279C9DE6" w14:textId="77777777" w:rsidR="004B457B" w:rsidRPr="00EC6A61" w:rsidRDefault="004B457B" w:rsidP="006A0217">
      <w:pPr>
        <w:rPr>
          <w:rFonts w:cs="Arial"/>
        </w:rPr>
      </w:pPr>
      <w:r w:rsidRPr="00EC6A61">
        <w:rPr>
          <w:rFonts w:cs="Arial"/>
        </w:rPr>
        <w:t>PRODUCT ACCEPTANCE CERTIFICATE</w:t>
      </w:r>
    </w:p>
    <w:p w14:paraId="3E623FF2" w14:textId="77777777" w:rsidR="004B457B" w:rsidRPr="00EC6A61" w:rsidRDefault="004B457B" w:rsidP="006A0217">
      <w:pPr>
        <w:rPr>
          <w:rFonts w:cs="Arial"/>
        </w:rPr>
      </w:pPr>
    </w:p>
    <w:p w14:paraId="5A3BF404" w14:textId="77777777" w:rsidR="004B457B" w:rsidRPr="00EC6A61" w:rsidRDefault="004B457B" w:rsidP="006A0217">
      <w:pPr>
        <w:rPr>
          <w:rFonts w:cs="Arial"/>
        </w:rPr>
      </w:pPr>
      <w:r w:rsidRPr="00EC6A61">
        <w:rPr>
          <w:rFonts w:cs="Arial"/>
        </w:rPr>
        <w:t>Project Product: [insert description of Project Product]</w:t>
      </w:r>
    </w:p>
    <w:p w14:paraId="490D13C5" w14:textId="77777777" w:rsidR="004B457B" w:rsidRPr="00EC6A61" w:rsidRDefault="004B457B" w:rsidP="006A0217">
      <w:pPr>
        <w:jc w:val="left"/>
        <w:rPr>
          <w:rFonts w:cs="Arial"/>
        </w:rPr>
      </w:pPr>
    </w:p>
    <w:p w14:paraId="15BC5000" w14:textId="6AB4A847" w:rsidR="004B457B" w:rsidRPr="00EC6A61" w:rsidRDefault="004B457B" w:rsidP="006A0217">
      <w:pPr>
        <w:jc w:val="left"/>
        <w:rPr>
          <w:rFonts w:cs="Arial"/>
        </w:rPr>
      </w:pPr>
      <w:r w:rsidRPr="00EC6A61">
        <w:rPr>
          <w:rFonts w:cs="Arial"/>
        </w:rPr>
        <w:t xml:space="preserve">We refer </w:t>
      </w:r>
      <w:r w:rsidR="00FD4D0F">
        <w:rPr>
          <w:rFonts w:cs="Arial"/>
        </w:rPr>
        <w:t>to</w:t>
      </w:r>
      <w:r w:rsidRPr="00EC6A61">
        <w:rPr>
          <w:rFonts w:cs="Arial"/>
        </w:rPr>
        <w:t xml:space="preserve"> the agr</w:t>
      </w:r>
      <w:r w:rsidR="00FD4D0F">
        <w:rPr>
          <w:rFonts w:cs="Arial"/>
        </w:rPr>
        <w:t>e</w:t>
      </w:r>
      <w:r w:rsidRPr="00EC6A61">
        <w:rPr>
          <w:rFonts w:cs="Arial"/>
        </w:rPr>
        <w:t xml:space="preserve">ement ("Agreement") relating to the provision of the [             </w:t>
      </w:r>
      <w:proofErr w:type="gramStart"/>
      <w:r w:rsidRPr="00EC6A61">
        <w:rPr>
          <w:rFonts w:cs="Arial"/>
        </w:rPr>
        <w:t xml:space="preserve">  ]</w:t>
      </w:r>
      <w:proofErr w:type="gramEnd"/>
      <w:r w:rsidRPr="00EC6A61">
        <w:rPr>
          <w:rFonts w:cs="Arial"/>
        </w:rPr>
        <w:t xml:space="preserve"> Services betwee</w:t>
      </w:r>
      <w:r w:rsidR="00FD4D0F">
        <w:rPr>
          <w:rFonts w:cs="Arial"/>
        </w:rPr>
        <w:t xml:space="preserve">n </w:t>
      </w:r>
      <w:r w:rsidRPr="00EC6A61">
        <w:rPr>
          <w:rFonts w:cs="Arial"/>
        </w:rPr>
        <w:t>the [Cu</w:t>
      </w:r>
      <w:r w:rsidR="00FD4D0F">
        <w:rPr>
          <w:rFonts w:cs="Arial"/>
        </w:rPr>
        <w:t>s</w:t>
      </w:r>
      <w:r w:rsidRPr="00EC6A61">
        <w:rPr>
          <w:rFonts w:cs="Arial"/>
        </w:rPr>
        <w:t xml:space="preserve">tomer] ("Customer") and     </w:t>
      </w:r>
      <w:r w:rsidR="00A20CD5">
        <w:rPr>
          <w:rFonts w:cs="Arial"/>
        </w:rPr>
        <w:t>“</w:t>
      </w:r>
      <w:r w:rsidRPr="00EC6A61">
        <w:rPr>
          <w:rFonts w:cs="Arial"/>
        </w:rPr>
        <w:t xml:space="preserve">        </w:t>
      </w:r>
      <w:r w:rsidR="00A20CD5">
        <w:rPr>
          <w:rFonts w:cs="Arial"/>
        </w:rPr>
        <w:t>”</w:t>
      </w:r>
      <w:r w:rsidRPr="00EC6A61">
        <w:rPr>
          <w:rFonts w:cs="Arial"/>
        </w:rPr>
        <w:t xml:space="preserve">       ("Supplier") dated [                    ].</w:t>
      </w:r>
    </w:p>
    <w:p w14:paraId="7455C4E6" w14:textId="77777777" w:rsidR="004B457B" w:rsidRPr="00EC6A61" w:rsidRDefault="004B457B" w:rsidP="006A0217">
      <w:pPr>
        <w:jc w:val="left"/>
        <w:rPr>
          <w:rFonts w:cs="Arial"/>
        </w:rPr>
      </w:pPr>
    </w:p>
    <w:p w14:paraId="196F8E8A" w14:textId="77777777" w:rsidR="004B457B" w:rsidRPr="00EC6A61" w:rsidRDefault="004B457B" w:rsidP="006A0217">
      <w:pPr>
        <w:jc w:val="left"/>
        <w:rPr>
          <w:rFonts w:cs="Arial"/>
        </w:rPr>
      </w:pPr>
      <w:r w:rsidRPr="00EC6A61">
        <w:rPr>
          <w:rFonts w:cs="Arial"/>
        </w:rPr>
        <w:t xml:space="preserve">The definitions for terms capitalised in this certificate are set out in </w:t>
      </w:r>
      <w:r w:rsidRPr="00EC6A61">
        <w:rPr>
          <w:rFonts w:cs="Arial"/>
          <w:b/>
        </w:rPr>
        <w:t xml:space="preserve">Schedule 1 </w:t>
      </w:r>
      <w:r w:rsidRPr="00EC6A61">
        <w:rPr>
          <w:rFonts w:cs="Arial"/>
        </w:rPr>
        <w:t>(Definitions) to the Agreement.</w:t>
      </w:r>
    </w:p>
    <w:p w14:paraId="67BBF5A9" w14:textId="77777777" w:rsidR="004B457B" w:rsidRPr="00EC6A61" w:rsidRDefault="004B457B" w:rsidP="006A0217">
      <w:pPr>
        <w:jc w:val="left"/>
        <w:rPr>
          <w:rFonts w:cs="Arial"/>
        </w:rPr>
      </w:pPr>
    </w:p>
    <w:p w14:paraId="30CC30B5" w14:textId="77777777" w:rsidR="004B457B" w:rsidRPr="00EC6A61" w:rsidRDefault="004B457B" w:rsidP="006A0217">
      <w:pPr>
        <w:jc w:val="left"/>
        <w:rPr>
          <w:rFonts w:cs="Arial"/>
        </w:rPr>
      </w:pPr>
      <w:r w:rsidRPr="00EC6A61">
        <w:rPr>
          <w:rFonts w:cs="Arial"/>
        </w:rPr>
        <w:t>[We confirm that the Project Products listed above have been tested successfully in accordance with the Acceptance Criteria relevant to those Products.]</w:t>
      </w:r>
    </w:p>
    <w:p w14:paraId="24756134" w14:textId="77777777" w:rsidR="004B457B" w:rsidRPr="00EC6A61" w:rsidRDefault="004B457B" w:rsidP="006A0217">
      <w:pPr>
        <w:jc w:val="left"/>
        <w:rPr>
          <w:rFonts w:cs="Arial"/>
        </w:rPr>
      </w:pPr>
    </w:p>
    <w:p w14:paraId="461ECC60" w14:textId="77777777" w:rsidR="004B457B" w:rsidRPr="00EC6A61" w:rsidRDefault="004B457B" w:rsidP="006A0217">
      <w:pPr>
        <w:jc w:val="left"/>
        <w:rPr>
          <w:rFonts w:cs="Arial"/>
        </w:rPr>
      </w:pPr>
      <w:r w:rsidRPr="00EC6A61">
        <w:rPr>
          <w:rFonts w:cs="Arial"/>
        </w:rPr>
        <w:t>OR</w:t>
      </w:r>
    </w:p>
    <w:p w14:paraId="26935977" w14:textId="77777777" w:rsidR="004B457B" w:rsidRPr="00EC6A61" w:rsidRDefault="004B457B" w:rsidP="006A0217">
      <w:pPr>
        <w:jc w:val="left"/>
        <w:rPr>
          <w:rFonts w:cs="Arial"/>
        </w:rPr>
      </w:pPr>
    </w:p>
    <w:p w14:paraId="7DDBF4DB" w14:textId="77777777" w:rsidR="004B457B" w:rsidRPr="00EC6A61" w:rsidRDefault="004B457B" w:rsidP="006A0217">
      <w:pPr>
        <w:jc w:val="left"/>
        <w:rPr>
          <w:rFonts w:cs="Arial"/>
        </w:rPr>
      </w:pPr>
      <w:r w:rsidRPr="00EC6A61">
        <w:rPr>
          <w:rFonts w:cs="Arial"/>
        </w:rPr>
        <w:t>[This Product Acceptance Certificate is issued on the condition that any Defects are remedied in accordance with the remedial plan attached to this certificate</w:t>
      </w:r>
      <w:proofErr w:type="gramStart"/>
      <w:r w:rsidRPr="00EC6A61">
        <w:rPr>
          <w:rFonts w:cs="Arial"/>
        </w:rPr>
        <w:t>.]*</w:t>
      </w:r>
      <w:proofErr w:type="gramEnd"/>
    </w:p>
    <w:p w14:paraId="7A4D7276" w14:textId="77777777" w:rsidR="004B457B" w:rsidRPr="00EC6A61" w:rsidRDefault="004B457B" w:rsidP="006A0217">
      <w:pPr>
        <w:rPr>
          <w:rFonts w:cs="Arial"/>
        </w:rPr>
      </w:pPr>
    </w:p>
    <w:p w14:paraId="082D1148" w14:textId="77777777" w:rsidR="004B457B" w:rsidRPr="00EC6A61" w:rsidRDefault="004B457B" w:rsidP="006A0217">
      <w:pPr>
        <w:rPr>
          <w:rFonts w:cs="Arial"/>
        </w:rPr>
      </w:pPr>
      <w:r w:rsidRPr="00EC6A61">
        <w:rPr>
          <w:rFonts w:cs="Arial"/>
        </w:rPr>
        <w:t>*</w:t>
      </w:r>
      <w:proofErr w:type="gramStart"/>
      <w:r w:rsidRPr="00EC6A61">
        <w:rPr>
          <w:rFonts w:cs="Arial"/>
        </w:rPr>
        <w:t>delete</w:t>
      </w:r>
      <w:proofErr w:type="gramEnd"/>
      <w:r w:rsidRPr="00EC6A61">
        <w:rPr>
          <w:rFonts w:cs="Arial"/>
        </w:rPr>
        <w:t xml:space="preserve"> as appropriate</w:t>
      </w:r>
    </w:p>
    <w:p w14:paraId="43FCA6BC" w14:textId="77777777" w:rsidR="004B457B" w:rsidRPr="00EC6A61" w:rsidRDefault="004B457B" w:rsidP="006A0217">
      <w:pPr>
        <w:rPr>
          <w:rFonts w:cs="Arial"/>
        </w:rPr>
      </w:pPr>
      <w:r w:rsidRPr="00EC6A61">
        <w:rPr>
          <w:rFonts w:cs="Arial"/>
        </w:rPr>
        <w:t>Yours faithfully</w:t>
      </w:r>
    </w:p>
    <w:p w14:paraId="4E95613F" w14:textId="77777777" w:rsidR="004B457B" w:rsidRPr="00EC6A61" w:rsidRDefault="004B457B" w:rsidP="006A0217">
      <w:pPr>
        <w:rPr>
          <w:rFonts w:cs="Arial"/>
        </w:rPr>
      </w:pPr>
    </w:p>
    <w:p w14:paraId="53C09DC1" w14:textId="77777777" w:rsidR="004B457B" w:rsidRPr="00EC6A61" w:rsidRDefault="004B457B" w:rsidP="006A0217">
      <w:pPr>
        <w:rPr>
          <w:rFonts w:cs="Arial"/>
        </w:rPr>
      </w:pPr>
      <w:r w:rsidRPr="00EC6A61">
        <w:rPr>
          <w:rFonts w:cs="Arial"/>
        </w:rPr>
        <w:t>[Name]</w:t>
      </w:r>
    </w:p>
    <w:p w14:paraId="1F70D639" w14:textId="77777777" w:rsidR="004B457B" w:rsidRPr="00EC6A61" w:rsidRDefault="004B457B" w:rsidP="006A0217">
      <w:pPr>
        <w:rPr>
          <w:rFonts w:cs="Arial"/>
        </w:rPr>
      </w:pPr>
      <w:r w:rsidRPr="00EC6A61">
        <w:rPr>
          <w:rFonts w:cs="Arial"/>
        </w:rPr>
        <w:t>[Programme Director or delegate]</w:t>
      </w:r>
    </w:p>
    <w:p w14:paraId="46D70BC5" w14:textId="77777777" w:rsidR="004B457B" w:rsidRPr="00EC6A61" w:rsidRDefault="004B457B" w:rsidP="006A0217">
      <w:pPr>
        <w:rPr>
          <w:rFonts w:cs="Arial"/>
        </w:rPr>
      </w:pPr>
      <w:r w:rsidRPr="00EC6A61">
        <w:rPr>
          <w:rFonts w:cs="Arial"/>
        </w:rPr>
        <w:t>acting on behalf of [Customer]</w:t>
      </w:r>
    </w:p>
    <w:p w14:paraId="42EB4DD9" w14:textId="77777777" w:rsidR="004B457B" w:rsidRPr="00EC6A61" w:rsidRDefault="004B457B" w:rsidP="006A0217">
      <w:pPr>
        <w:rPr>
          <w:rFonts w:cs="Arial"/>
        </w:rPr>
      </w:pPr>
      <w:r w:rsidRPr="00EC6A61">
        <w:rPr>
          <w:rFonts w:cs="Arial"/>
        </w:rPr>
        <w:t xml:space="preserve"> </w:t>
      </w:r>
    </w:p>
    <w:p w14:paraId="58164A08" w14:textId="2FA89585" w:rsidR="004B457B" w:rsidRPr="00EC6A61" w:rsidRDefault="004B457B" w:rsidP="006A0217">
      <w:pPr>
        <w:jc w:val="center"/>
        <w:rPr>
          <w:rFonts w:cs="Arial"/>
          <w:b/>
        </w:rPr>
      </w:pPr>
      <w:r w:rsidRPr="00EC6A61">
        <w:rPr>
          <w:rFonts w:cs="Arial"/>
          <w:b/>
        </w:rPr>
        <w:br w:type="page"/>
      </w:r>
      <w:r w:rsidRPr="00EC6A61">
        <w:rPr>
          <w:rFonts w:cs="Arial"/>
          <w:b/>
        </w:rPr>
        <w:lastRenderedPageBreak/>
        <w:t>ANNEX 6.</w:t>
      </w:r>
      <w:r w:rsidR="00DF38EE">
        <w:rPr>
          <w:rFonts w:cs="Arial"/>
          <w:b/>
        </w:rPr>
        <w:t>3</w:t>
      </w:r>
      <w:r w:rsidRPr="00EC6A61">
        <w:rPr>
          <w:rFonts w:cs="Arial"/>
          <w:b/>
        </w:rPr>
        <w:t>B</w:t>
      </w:r>
    </w:p>
    <w:p w14:paraId="6A230AB1" w14:textId="77777777" w:rsidR="004B457B" w:rsidRPr="00EC6A61" w:rsidRDefault="004B457B" w:rsidP="006A0217">
      <w:pPr>
        <w:rPr>
          <w:rFonts w:cs="Arial"/>
        </w:rPr>
      </w:pPr>
    </w:p>
    <w:p w14:paraId="5D5E16D2" w14:textId="77777777" w:rsidR="004B457B" w:rsidRPr="00EC6A61" w:rsidRDefault="004B457B" w:rsidP="006A0217">
      <w:pPr>
        <w:rPr>
          <w:rFonts w:cs="Arial"/>
        </w:rPr>
      </w:pPr>
      <w:r w:rsidRPr="00EC6A61">
        <w:rPr>
          <w:rFonts w:cs="Arial"/>
        </w:rPr>
        <w:t>Milestone Acceptance Certificate</w:t>
      </w:r>
    </w:p>
    <w:p w14:paraId="7D9E4D0D" w14:textId="77777777" w:rsidR="004B457B" w:rsidRPr="00EC6A61" w:rsidRDefault="004B457B" w:rsidP="006A0217">
      <w:pPr>
        <w:rPr>
          <w:rFonts w:cs="Arial"/>
        </w:rPr>
      </w:pPr>
      <w:r w:rsidRPr="00EC6A61">
        <w:rPr>
          <w:rFonts w:cs="Arial"/>
        </w:rPr>
        <w:t>To:</w:t>
      </w:r>
      <w:r w:rsidRPr="00EC6A61">
        <w:rPr>
          <w:rFonts w:cs="Arial"/>
        </w:rPr>
        <w:tab/>
      </w:r>
      <w:r w:rsidRPr="00EC6A61">
        <w:rPr>
          <w:rFonts w:cs="Arial"/>
        </w:rPr>
        <w:tab/>
        <w:t xml:space="preserve">[Supplier] </w:t>
      </w:r>
    </w:p>
    <w:p w14:paraId="3CFEF8F7" w14:textId="77777777" w:rsidR="004B457B" w:rsidRPr="00EC6A61" w:rsidRDefault="004B457B" w:rsidP="006A0217">
      <w:pPr>
        <w:rPr>
          <w:rFonts w:cs="Arial"/>
        </w:rPr>
      </w:pPr>
      <w:r w:rsidRPr="00EC6A61">
        <w:rPr>
          <w:rFonts w:cs="Arial"/>
        </w:rPr>
        <w:t>FROM:</w:t>
      </w:r>
      <w:r w:rsidRPr="00EC6A61">
        <w:rPr>
          <w:rFonts w:cs="Arial"/>
        </w:rPr>
        <w:tab/>
      </w:r>
      <w:r w:rsidRPr="00EC6A61">
        <w:rPr>
          <w:rFonts w:cs="Arial"/>
        </w:rPr>
        <w:tab/>
        <w:t>[Customer]</w:t>
      </w:r>
    </w:p>
    <w:p w14:paraId="1CA1DE58" w14:textId="77777777" w:rsidR="004B457B" w:rsidRPr="00EC6A61" w:rsidRDefault="004B457B" w:rsidP="006A0217">
      <w:pPr>
        <w:rPr>
          <w:rFonts w:cs="Arial"/>
        </w:rPr>
      </w:pPr>
    </w:p>
    <w:p w14:paraId="08DB9BCE" w14:textId="77777777" w:rsidR="004B457B" w:rsidRPr="00EC6A61" w:rsidRDefault="004B457B" w:rsidP="006A0217">
      <w:pPr>
        <w:rPr>
          <w:rFonts w:cs="Arial"/>
        </w:rPr>
      </w:pPr>
      <w:r w:rsidRPr="00EC6A61">
        <w:rPr>
          <w:rFonts w:cs="Arial"/>
        </w:rPr>
        <w:t>[Date]</w:t>
      </w:r>
    </w:p>
    <w:p w14:paraId="6BF4EC66" w14:textId="77777777" w:rsidR="004B457B" w:rsidRPr="00EC6A61" w:rsidRDefault="004B457B" w:rsidP="006A0217">
      <w:pPr>
        <w:rPr>
          <w:rFonts w:cs="Arial"/>
        </w:rPr>
      </w:pPr>
    </w:p>
    <w:p w14:paraId="2E1DF898" w14:textId="77777777" w:rsidR="004B457B" w:rsidRPr="00EC6A61" w:rsidRDefault="004B457B" w:rsidP="006A0217">
      <w:pPr>
        <w:rPr>
          <w:rFonts w:cs="Arial"/>
        </w:rPr>
      </w:pPr>
      <w:r w:rsidRPr="00EC6A61">
        <w:rPr>
          <w:rFonts w:cs="Arial"/>
        </w:rPr>
        <w:t>Dear Madam/Sir,</w:t>
      </w:r>
    </w:p>
    <w:p w14:paraId="4ED6BCA7" w14:textId="77777777" w:rsidR="004B457B" w:rsidRPr="00EC6A61" w:rsidRDefault="004B457B" w:rsidP="006A0217">
      <w:pPr>
        <w:rPr>
          <w:rFonts w:cs="Arial"/>
        </w:rPr>
      </w:pPr>
      <w:r w:rsidRPr="00EC6A61">
        <w:rPr>
          <w:rFonts w:cs="Arial"/>
        </w:rPr>
        <w:t>MILESTONE ACCEPTANCE CERTIFICATE</w:t>
      </w:r>
    </w:p>
    <w:p w14:paraId="1F103FEA" w14:textId="77777777" w:rsidR="004B457B" w:rsidRPr="00EC6A61" w:rsidRDefault="004B457B" w:rsidP="006A0217">
      <w:pPr>
        <w:rPr>
          <w:rFonts w:cs="Arial"/>
        </w:rPr>
      </w:pPr>
      <w:r w:rsidRPr="00EC6A61">
        <w:rPr>
          <w:rFonts w:cs="Arial"/>
        </w:rPr>
        <w:t>Milestone: [insert description of Milestone]</w:t>
      </w:r>
    </w:p>
    <w:p w14:paraId="4D70C767" w14:textId="77777777" w:rsidR="004B457B" w:rsidRPr="00EC6A61" w:rsidRDefault="004B457B" w:rsidP="006A0217">
      <w:pPr>
        <w:rPr>
          <w:rFonts w:cs="Arial"/>
        </w:rPr>
      </w:pPr>
    </w:p>
    <w:p w14:paraId="7A9E9A9F" w14:textId="52E446D3" w:rsidR="004B457B" w:rsidRPr="00EC6A61" w:rsidRDefault="004B457B" w:rsidP="006A0217">
      <w:pPr>
        <w:rPr>
          <w:rFonts w:cs="Arial"/>
        </w:rPr>
      </w:pPr>
      <w:r w:rsidRPr="00EC6A61">
        <w:rPr>
          <w:rFonts w:cs="Arial"/>
        </w:rPr>
        <w:t xml:space="preserve">We refer </w:t>
      </w:r>
      <w:r w:rsidR="00FD4D0F">
        <w:rPr>
          <w:rFonts w:cs="Arial"/>
        </w:rPr>
        <w:t>to</w:t>
      </w:r>
      <w:r w:rsidRPr="00EC6A61">
        <w:rPr>
          <w:rFonts w:cs="Arial"/>
        </w:rPr>
        <w:t xml:space="preserve"> the agr</w:t>
      </w:r>
      <w:r w:rsidR="00FD4D0F">
        <w:rPr>
          <w:rFonts w:cs="Arial"/>
        </w:rPr>
        <w:t>e</w:t>
      </w:r>
      <w:r w:rsidRPr="00EC6A61">
        <w:rPr>
          <w:rFonts w:cs="Arial"/>
        </w:rPr>
        <w:t xml:space="preserve">ement ("Agreement") relating to the provision of the [                  </w:t>
      </w:r>
      <w:proofErr w:type="gramStart"/>
      <w:r w:rsidRPr="00EC6A61">
        <w:rPr>
          <w:rFonts w:cs="Arial"/>
        </w:rPr>
        <w:t xml:space="preserve">  ]</w:t>
      </w:r>
      <w:proofErr w:type="gramEnd"/>
      <w:r w:rsidRPr="00EC6A61">
        <w:rPr>
          <w:rFonts w:cs="Arial"/>
        </w:rPr>
        <w:t xml:space="preserve"> Services betwee</w:t>
      </w:r>
      <w:r w:rsidR="00FD4D0F">
        <w:rPr>
          <w:rFonts w:cs="Arial"/>
        </w:rPr>
        <w:t>n</w:t>
      </w:r>
      <w:r w:rsidRPr="00EC6A61">
        <w:rPr>
          <w:rFonts w:cs="Arial"/>
        </w:rPr>
        <w:t xml:space="preserve"> the [Cu</w:t>
      </w:r>
      <w:r w:rsidR="00FD4D0F">
        <w:rPr>
          <w:rFonts w:cs="Arial"/>
        </w:rPr>
        <w:t>s</w:t>
      </w:r>
      <w:r w:rsidRPr="00EC6A61">
        <w:rPr>
          <w:rFonts w:cs="Arial"/>
        </w:rPr>
        <w:t xml:space="preserve">tomer] ("Customer") and     </w:t>
      </w:r>
      <w:r w:rsidR="00A20CD5">
        <w:rPr>
          <w:rFonts w:cs="Arial"/>
        </w:rPr>
        <w:t>“</w:t>
      </w:r>
      <w:r w:rsidRPr="00EC6A61">
        <w:rPr>
          <w:rFonts w:cs="Arial"/>
        </w:rPr>
        <w:t xml:space="preserve">        </w:t>
      </w:r>
      <w:r w:rsidR="00A20CD5">
        <w:rPr>
          <w:rFonts w:cs="Arial"/>
        </w:rPr>
        <w:t>”</w:t>
      </w:r>
      <w:r w:rsidRPr="00EC6A61">
        <w:rPr>
          <w:rFonts w:cs="Arial"/>
        </w:rPr>
        <w:t xml:space="preserve">       ("Supplier") dated [                    ].</w:t>
      </w:r>
    </w:p>
    <w:p w14:paraId="319ECEA8" w14:textId="77777777" w:rsidR="004B457B" w:rsidRPr="00EC6A61" w:rsidRDefault="004B457B" w:rsidP="006A0217">
      <w:pPr>
        <w:rPr>
          <w:rFonts w:cs="Arial"/>
        </w:rPr>
      </w:pPr>
    </w:p>
    <w:p w14:paraId="346AD77A" w14:textId="77777777" w:rsidR="004B457B" w:rsidRPr="00EC6A61" w:rsidRDefault="004B457B" w:rsidP="006A0217">
      <w:pPr>
        <w:rPr>
          <w:rFonts w:cs="Arial"/>
        </w:rPr>
      </w:pPr>
      <w:r w:rsidRPr="00EC6A61">
        <w:rPr>
          <w:rFonts w:cs="Arial"/>
        </w:rPr>
        <w:t xml:space="preserve">The definitions for terms capitalised in this certificate are set out in </w:t>
      </w:r>
      <w:r w:rsidRPr="00EC6A61">
        <w:rPr>
          <w:rFonts w:cs="Arial"/>
          <w:b/>
        </w:rPr>
        <w:t>Schedule 1</w:t>
      </w:r>
      <w:r w:rsidRPr="00EC6A61">
        <w:rPr>
          <w:rFonts w:cs="Arial"/>
        </w:rPr>
        <w:t xml:space="preserve"> (Definitions) to the Agreement.</w:t>
      </w:r>
    </w:p>
    <w:p w14:paraId="01D93200" w14:textId="77777777" w:rsidR="004B457B" w:rsidRPr="00EC6A61" w:rsidRDefault="004B457B" w:rsidP="006A0217">
      <w:pPr>
        <w:rPr>
          <w:rFonts w:cs="Arial"/>
        </w:rPr>
      </w:pPr>
    </w:p>
    <w:p w14:paraId="045FD2D7" w14:textId="77777777" w:rsidR="004B457B" w:rsidRPr="00EC6A61" w:rsidRDefault="004B457B" w:rsidP="006A0217">
      <w:pPr>
        <w:rPr>
          <w:rFonts w:cs="Arial"/>
        </w:rPr>
      </w:pPr>
      <w:r w:rsidRPr="00EC6A61">
        <w:rPr>
          <w:rFonts w:cs="Arial"/>
        </w:rPr>
        <w:t xml:space="preserve">We confirm that all the Products relating to Milestone Number </w:t>
      </w:r>
      <w:proofErr w:type="gramStart"/>
      <w:r w:rsidRPr="00EC6A61">
        <w:rPr>
          <w:rFonts w:cs="Arial"/>
        </w:rPr>
        <w:t>[ ]</w:t>
      </w:r>
      <w:proofErr w:type="gramEnd"/>
      <w:r w:rsidRPr="00EC6A61">
        <w:rPr>
          <w:rFonts w:cs="Arial"/>
        </w:rPr>
        <w:t xml:space="preserve"> have been issued with a Product Acceptance Certificate. You may now issue an invoice in respect of the Project Charges due which are payable in accordance with </w:t>
      </w:r>
      <w:r w:rsidRPr="00EC6A61">
        <w:rPr>
          <w:rFonts w:cs="Arial"/>
          <w:b/>
        </w:rPr>
        <w:t>Schedule 7.1</w:t>
      </w:r>
      <w:r w:rsidRPr="00EC6A61">
        <w:rPr>
          <w:rFonts w:cs="Arial"/>
        </w:rPr>
        <w:t>.</w:t>
      </w:r>
    </w:p>
    <w:p w14:paraId="6B28355B" w14:textId="77777777" w:rsidR="004B457B" w:rsidRPr="00EC6A61" w:rsidRDefault="004B457B" w:rsidP="006A0217">
      <w:pPr>
        <w:rPr>
          <w:rFonts w:cs="Arial"/>
        </w:rPr>
      </w:pPr>
    </w:p>
    <w:p w14:paraId="0093DE30" w14:textId="77777777" w:rsidR="004B457B" w:rsidRPr="00EC6A61" w:rsidRDefault="004B457B" w:rsidP="006A0217">
      <w:pPr>
        <w:rPr>
          <w:rFonts w:cs="Arial"/>
        </w:rPr>
      </w:pPr>
    </w:p>
    <w:p w14:paraId="43BF7EA0" w14:textId="77777777" w:rsidR="004B457B" w:rsidRPr="00EC6A61" w:rsidRDefault="004B457B" w:rsidP="006A0217">
      <w:pPr>
        <w:rPr>
          <w:rFonts w:cs="Arial"/>
        </w:rPr>
      </w:pPr>
      <w:r w:rsidRPr="00EC6A61">
        <w:rPr>
          <w:rFonts w:cs="Arial"/>
        </w:rPr>
        <w:t>Yours faithfully</w:t>
      </w:r>
    </w:p>
    <w:p w14:paraId="246999E4" w14:textId="77777777" w:rsidR="004B457B" w:rsidRPr="00EC6A61" w:rsidRDefault="004B457B" w:rsidP="006A0217">
      <w:pPr>
        <w:rPr>
          <w:rFonts w:cs="Arial"/>
        </w:rPr>
      </w:pPr>
      <w:r w:rsidRPr="00EC6A61">
        <w:rPr>
          <w:rFonts w:cs="Arial"/>
        </w:rPr>
        <w:t>[Name]</w:t>
      </w:r>
    </w:p>
    <w:p w14:paraId="02419600" w14:textId="77777777" w:rsidR="004B457B" w:rsidRPr="00EC6A61" w:rsidRDefault="004B457B" w:rsidP="006A0217">
      <w:pPr>
        <w:rPr>
          <w:rFonts w:cs="Arial"/>
        </w:rPr>
      </w:pPr>
      <w:r w:rsidRPr="00EC6A61">
        <w:rPr>
          <w:rFonts w:cs="Arial"/>
        </w:rPr>
        <w:t>[Chair of the Project Management Team or any Customer member of the associated project Steering Committee]</w:t>
      </w:r>
    </w:p>
    <w:p w14:paraId="29242D22" w14:textId="77777777" w:rsidR="004B457B" w:rsidRPr="00EC6A61" w:rsidRDefault="004B457B" w:rsidP="006A0217">
      <w:pPr>
        <w:rPr>
          <w:rFonts w:cs="Arial"/>
        </w:rPr>
      </w:pPr>
      <w:r w:rsidRPr="00EC6A61">
        <w:rPr>
          <w:rFonts w:cs="Arial"/>
        </w:rPr>
        <w:t>acting on behalf of [Customer]</w:t>
      </w:r>
    </w:p>
    <w:p w14:paraId="6BE42E7E" w14:textId="77777777" w:rsidR="004B457B" w:rsidRPr="00EC6A61" w:rsidRDefault="004B457B" w:rsidP="006A0217">
      <w:pPr>
        <w:pStyle w:val="Level4"/>
        <w:numPr>
          <w:ilvl w:val="0"/>
          <w:numId w:val="0"/>
        </w:numPr>
        <w:spacing w:after="120" w:line="240" w:lineRule="auto"/>
        <w:rPr>
          <w:rFonts w:ascii="Arial" w:hAnsi="Arial" w:cs="Arial"/>
        </w:rPr>
      </w:pPr>
    </w:p>
    <w:p w14:paraId="2BD89102" w14:textId="77777777" w:rsidR="004B457B" w:rsidRPr="00EC6A61" w:rsidRDefault="004B457B" w:rsidP="006A0217">
      <w:pPr>
        <w:pStyle w:val="Level2"/>
        <w:numPr>
          <w:ilvl w:val="1"/>
          <w:numId w:val="0"/>
        </w:numPr>
        <w:spacing w:after="120" w:line="240" w:lineRule="auto"/>
        <w:rPr>
          <w:rFonts w:ascii="Arial" w:hAnsi="Arial" w:cs="Arial"/>
        </w:rPr>
      </w:pPr>
    </w:p>
    <w:p w14:paraId="190C4F6F" w14:textId="77777777" w:rsidR="004B457B" w:rsidRDefault="004B457B">
      <w:pPr>
        <w:rPr>
          <w:rFonts w:cs="Arial"/>
          <w:b/>
          <w:szCs w:val="20"/>
        </w:rPr>
      </w:pPr>
      <w:r>
        <w:rPr>
          <w:rFonts w:cs="Arial"/>
          <w:szCs w:val="20"/>
        </w:rPr>
        <w:br w:type="page"/>
      </w:r>
    </w:p>
    <w:p w14:paraId="7F6D81A6" w14:textId="5CA63220" w:rsidR="00F2428A" w:rsidRPr="000E5786" w:rsidRDefault="00F2428A" w:rsidP="006A15F3">
      <w:pPr>
        <w:pStyle w:val="Level1"/>
        <w:keepNext/>
        <w:numPr>
          <w:ilvl w:val="0"/>
          <w:numId w:val="0"/>
        </w:numPr>
        <w:spacing w:after="120" w:line="240" w:lineRule="auto"/>
        <w:ind w:left="851"/>
        <w:jc w:val="center"/>
        <w:rPr>
          <w:rFonts w:ascii="Arial" w:hAnsi="Arial" w:cs="Arial"/>
          <w:b/>
          <w:bCs/>
        </w:rPr>
      </w:pPr>
      <w:r w:rsidRPr="000E5786">
        <w:rPr>
          <w:rFonts w:ascii="Arial" w:hAnsi="Arial" w:cs="Arial"/>
          <w:b/>
          <w:bCs/>
        </w:rPr>
        <w:lastRenderedPageBreak/>
        <w:t xml:space="preserve">SCHEDULE </w:t>
      </w:r>
      <w:r>
        <w:rPr>
          <w:rFonts w:ascii="Arial" w:hAnsi="Arial" w:cs="Arial"/>
          <w:b/>
          <w:bCs/>
        </w:rPr>
        <w:t>6.4</w:t>
      </w:r>
    </w:p>
    <w:p w14:paraId="2713ABAD" w14:textId="2925F14B" w:rsidR="00F2428A" w:rsidRDefault="00F2428A" w:rsidP="006A15F3">
      <w:pPr>
        <w:pStyle w:val="Level1"/>
        <w:keepNext/>
        <w:numPr>
          <w:ilvl w:val="0"/>
          <w:numId w:val="0"/>
        </w:numPr>
        <w:spacing w:after="120" w:line="240" w:lineRule="auto"/>
        <w:ind w:left="851"/>
        <w:jc w:val="center"/>
        <w:rPr>
          <w:rFonts w:ascii="Arial" w:hAnsi="Arial" w:cs="Arial"/>
          <w:b/>
          <w:bCs/>
        </w:rPr>
      </w:pPr>
      <w:r>
        <w:rPr>
          <w:rFonts w:ascii="Arial" w:hAnsi="Arial" w:cs="Arial"/>
          <w:b/>
          <w:bCs/>
        </w:rPr>
        <w:t>INITIAL TRANSITION PROJECT</w:t>
      </w:r>
    </w:p>
    <w:p w14:paraId="1CA354E8" w14:textId="0257420F" w:rsidR="00F2428A" w:rsidRDefault="006A15F3" w:rsidP="006A15F3">
      <w:pPr>
        <w:ind w:left="567" w:firstLine="284"/>
        <w:jc w:val="center"/>
        <w:rPr>
          <w:rFonts w:cs="Arial"/>
          <w:b/>
          <w:bCs/>
          <w:color w:val="auto"/>
          <w:szCs w:val="20"/>
        </w:rPr>
      </w:pPr>
      <w:r w:rsidRPr="006A15F3">
        <w:rPr>
          <w:b/>
          <w:bCs/>
        </w:rPr>
        <w:t>IN STANDALONE DOCUMENT</w:t>
      </w:r>
      <w:r>
        <w:rPr>
          <w:rFonts w:cs="Arial"/>
          <w:b/>
          <w:bCs/>
        </w:rPr>
        <w:t xml:space="preserve"> </w:t>
      </w:r>
      <w:r w:rsidR="00F2428A">
        <w:rPr>
          <w:rFonts w:cs="Arial"/>
          <w:b/>
          <w:bCs/>
        </w:rPr>
        <w:br w:type="page"/>
      </w:r>
    </w:p>
    <w:p w14:paraId="1A16CF36" w14:textId="4ED24F7D" w:rsidR="00F2428A" w:rsidRPr="000E5786" w:rsidRDefault="00F2428A" w:rsidP="00F2428A">
      <w:pPr>
        <w:pStyle w:val="Level1"/>
        <w:keepNext/>
        <w:numPr>
          <w:ilvl w:val="0"/>
          <w:numId w:val="0"/>
        </w:numPr>
        <w:spacing w:after="120" w:line="240" w:lineRule="auto"/>
        <w:ind w:left="851"/>
        <w:jc w:val="center"/>
        <w:rPr>
          <w:rFonts w:ascii="Arial" w:hAnsi="Arial" w:cs="Arial"/>
          <w:b/>
          <w:bCs/>
        </w:rPr>
      </w:pPr>
      <w:r w:rsidRPr="000E5786">
        <w:rPr>
          <w:rFonts w:ascii="Arial" w:hAnsi="Arial" w:cs="Arial"/>
          <w:b/>
          <w:bCs/>
        </w:rPr>
        <w:lastRenderedPageBreak/>
        <w:t xml:space="preserve">SCHEDULE </w:t>
      </w:r>
      <w:r>
        <w:rPr>
          <w:rFonts w:ascii="Arial" w:hAnsi="Arial" w:cs="Arial"/>
          <w:b/>
          <w:bCs/>
        </w:rPr>
        <w:t>6.5</w:t>
      </w:r>
    </w:p>
    <w:p w14:paraId="7817F745" w14:textId="23727A60" w:rsidR="00F2428A" w:rsidRDefault="00F2428A" w:rsidP="00F2428A">
      <w:pPr>
        <w:pStyle w:val="Level1"/>
        <w:keepNext/>
        <w:numPr>
          <w:ilvl w:val="0"/>
          <w:numId w:val="0"/>
        </w:numPr>
        <w:spacing w:after="120" w:line="240" w:lineRule="auto"/>
        <w:ind w:left="851"/>
        <w:jc w:val="center"/>
        <w:rPr>
          <w:rFonts w:ascii="Arial" w:hAnsi="Arial" w:cs="Arial"/>
          <w:b/>
          <w:bCs/>
        </w:rPr>
      </w:pPr>
      <w:r>
        <w:rPr>
          <w:rFonts w:ascii="Arial" w:hAnsi="Arial" w:cs="Arial"/>
          <w:b/>
          <w:bCs/>
        </w:rPr>
        <w:t>MIGRATION PROJECT</w:t>
      </w:r>
    </w:p>
    <w:p w14:paraId="47EAE9C4" w14:textId="5B75798C" w:rsidR="00F2428A" w:rsidRPr="006A15F3" w:rsidRDefault="006A15F3" w:rsidP="00F2428A">
      <w:pPr>
        <w:pStyle w:val="Level1"/>
        <w:keepNext/>
        <w:numPr>
          <w:ilvl w:val="0"/>
          <w:numId w:val="0"/>
        </w:numPr>
        <w:spacing w:after="120" w:line="240" w:lineRule="auto"/>
        <w:ind w:left="851"/>
        <w:jc w:val="center"/>
        <w:rPr>
          <w:rFonts w:ascii="Arial" w:hAnsi="Arial" w:cs="Arial"/>
          <w:b/>
          <w:bCs/>
        </w:rPr>
      </w:pPr>
      <w:r w:rsidRPr="006A15F3">
        <w:rPr>
          <w:rFonts w:ascii="Arial" w:hAnsi="Arial" w:cs="Arial"/>
          <w:b/>
          <w:bCs/>
        </w:rPr>
        <w:t>IN STANDALONE DOCUMENT</w:t>
      </w:r>
    </w:p>
    <w:p w14:paraId="370CC1A4" w14:textId="77777777" w:rsidR="00F2428A" w:rsidRDefault="00F2428A">
      <w:pPr>
        <w:rPr>
          <w:rFonts w:cs="Arial"/>
          <w:b/>
          <w:szCs w:val="20"/>
        </w:rPr>
      </w:pPr>
      <w:r>
        <w:rPr>
          <w:rFonts w:cs="Arial"/>
          <w:szCs w:val="20"/>
        </w:rPr>
        <w:br w:type="page"/>
      </w:r>
    </w:p>
    <w:p w14:paraId="7E14D246" w14:textId="4FE248B9" w:rsidR="007C0699" w:rsidRPr="000E5786" w:rsidRDefault="007C0699" w:rsidP="007C0699">
      <w:pPr>
        <w:pStyle w:val="ScheduleSubheading"/>
        <w:numPr>
          <w:ilvl w:val="0"/>
          <w:numId w:val="0"/>
        </w:numPr>
        <w:rPr>
          <w:rFonts w:cs="Arial"/>
          <w:szCs w:val="20"/>
        </w:rPr>
      </w:pPr>
      <w:r w:rsidRPr="000E5786">
        <w:rPr>
          <w:rFonts w:cs="Arial"/>
          <w:szCs w:val="20"/>
        </w:rPr>
        <w:lastRenderedPageBreak/>
        <w:t>SCHEDULE 7.</w:t>
      </w:r>
      <w:r>
        <w:rPr>
          <w:rFonts w:cs="Arial"/>
          <w:szCs w:val="20"/>
        </w:rPr>
        <w:t>1</w:t>
      </w:r>
    </w:p>
    <w:p w14:paraId="7FD3C275" w14:textId="51A186C1" w:rsidR="007C0699" w:rsidRDefault="007C0699" w:rsidP="007C0699">
      <w:pPr>
        <w:pStyle w:val="Sch1"/>
        <w:numPr>
          <w:ilvl w:val="0"/>
          <w:numId w:val="0"/>
        </w:numPr>
        <w:jc w:val="center"/>
        <w:rPr>
          <w:rFonts w:cs="Arial"/>
          <w:b/>
          <w:szCs w:val="20"/>
        </w:rPr>
      </w:pPr>
      <w:r>
        <w:rPr>
          <w:rFonts w:cs="Arial"/>
          <w:b/>
          <w:szCs w:val="20"/>
        </w:rPr>
        <w:t>CHARGES AND INVOICING</w:t>
      </w:r>
    </w:p>
    <w:p w14:paraId="1A4C66BF" w14:textId="77777777" w:rsidR="00EE03DC" w:rsidRPr="002529F3" w:rsidRDefault="00EE03DC" w:rsidP="009D675B">
      <w:pPr>
        <w:pStyle w:val="Level1"/>
        <w:numPr>
          <w:ilvl w:val="0"/>
          <w:numId w:val="98"/>
        </w:numPr>
        <w:tabs>
          <w:tab w:val="clear" w:pos="2411"/>
          <w:tab w:val="num" w:pos="851"/>
        </w:tabs>
        <w:spacing w:after="120" w:line="240" w:lineRule="auto"/>
        <w:ind w:left="851"/>
        <w:rPr>
          <w:rFonts w:ascii="Arial" w:hAnsi="Arial" w:cs="Arial"/>
          <w:b/>
        </w:rPr>
      </w:pPr>
      <w:r w:rsidRPr="002529F3">
        <w:rPr>
          <w:rFonts w:ascii="Arial" w:hAnsi="Arial" w:cs="Arial"/>
          <w:b/>
        </w:rPr>
        <w:t>GENERAL</w:t>
      </w:r>
    </w:p>
    <w:p w14:paraId="000E7133" w14:textId="77777777" w:rsidR="00EE03DC" w:rsidRPr="001420F0" w:rsidRDefault="00EE03DC" w:rsidP="009D675B">
      <w:pPr>
        <w:pStyle w:val="Level2"/>
        <w:numPr>
          <w:ilvl w:val="1"/>
          <w:numId w:val="76"/>
        </w:numPr>
        <w:tabs>
          <w:tab w:val="clear" w:pos="1135"/>
          <w:tab w:val="num" w:pos="851"/>
        </w:tabs>
        <w:spacing w:after="120" w:line="240" w:lineRule="auto"/>
        <w:ind w:left="851"/>
        <w:rPr>
          <w:rFonts w:ascii="Arial" w:hAnsi="Arial" w:cs="Arial"/>
        </w:rPr>
      </w:pPr>
      <w:r w:rsidRPr="001420F0">
        <w:rPr>
          <w:rFonts w:ascii="Arial" w:hAnsi="Arial" w:cs="Arial"/>
        </w:rPr>
        <w:t xml:space="preserve">The Supplier shall ensure that all </w:t>
      </w:r>
      <w:r>
        <w:rPr>
          <w:rFonts w:ascii="Arial" w:hAnsi="Arial" w:cs="Arial"/>
        </w:rPr>
        <w:t>C</w:t>
      </w:r>
      <w:r w:rsidRPr="001420F0">
        <w:rPr>
          <w:rFonts w:ascii="Arial" w:hAnsi="Arial" w:cs="Arial"/>
        </w:rPr>
        <w:t xml:space="preserve">harges shall be quoted in GBP. </w:t>
      </w:r>
    </w:p>
    <w:p w14:paraId="451973C4" w14:textId="77777777" w:rsidR="00EE03DC" w:rsidRPr="001420F0" w:rsidRDefault="00EE03DC" w:rsidP="00EE03DC">
      <w:pPr>
        <w:pStyle w:val="Level1"/>
        <w:keepNext/>
        <w:tabs>
          <w:tab w:val="clear" w:pos="2411"/>
          <w:tab w:val="num" w:pos="851"/>
        </w:tabs>
        <w:spacing w:after="120" w:line="240" w:lineRule="auto"/>
        <w:ind w:left="851"/>
        <w:rPr>
          <w:rFonts w:ascii="Arial" w:hAnsi="Arial" w:cs="Arial"/>
          <w:b/>
        </w:rPr>
      </w:pPr>
      <w:bookmarkStart w:id="2293" w:name="_Toc277002224"/>
      <w:bookmarkStart w:id="2294" w:name="_Toc277251994"/>
      <w:r w:rsidRPr="001420F0">
        <w:rPr>
          <w:rFonts w:ascii="Arial" w:hAnsi="Arial" w:cs="Arial"/>
          <w:b/>
        </w:rPr>
        <w:t>CHARGES MUST BE COMPREHENSIVE</w:t>
      </w:r>
      <w:bookmarkEnd w:id="2293"/>
      <w:bookmarkEnd w:id="2294"/>
    </w:p>
    <w:p w14:paraId="7C7AEF8E" w14:textId="69E3AE3F" w:rsidR="00EE03DC" w:rsidRPr="001420F0" w:rsidRDefault="00EE03DC" w:rsidP="00EE03DC">
      <w:pPr>
        <w:pStyle w:val="Level2"/>
        <w:tabs>
          <w:tab w:val="num" w:pos="851"/>
        </w:tabs>
        <w:spacing w:after="120" w:line="240" w:lineRule="auto"/>
        <w:ind w:left="851"/>
        <w:rPr>
          <w:rFonts w:ascii="Arial" w:hAnsi="Arial" w:cs="Arial"/>
        </w:rPr>
      </w:pPr>
      <w:r w:rsidRPr="001420F0">
        <w:rPr>
          <w:rFonts w:ascii="Arial" w:hAnsi="Arial" w:cs="Arial"/>
        </w:rPr>
        <w:t xml:space="preserve">The Supplier shall ensure that the charges shall be based on the Supplier and its Sub-contractors as detailed in </w:t>
      </w:r>
      <w:r w:rsidRPr="001420F0">
        <w:rPr>
          <w:rFonts w:ascii="Arial" w:hAnsi="Arial" w:cs="Arial"/>
          <w:bCs/>
        </w:rPr>
        <w:t>Schedule 4.3 (Notified</w:t>
      </w:r>
      <w:r w:rsidRPr="001420F0">
        <w:rPr>
          <w:rFonts w:ascii="Arial" w:hAnsi="Arial" w:cs="Arial"/>
        </w:rPr>
        <w:t xml:space="preserve"> Key Sub-contractors) providing </w:t>
      </w:r>
      <w:proofErr w:type="gramStart"/>
      <w:r w:rsidRPr="001420F0">
        <w:rPr>
          <w:rFonts w:ascii="Arial" w:hAnsi="Arial" w:cs="Arial"/>
        </w:rPr>
        <w:t>all of</w:t>
      </w:r>
      <w:proofErr w:type="gramEnd"/>
      <w:r w:rsidRPr="001420F0">
        <w:rPr>
          <w:rFonts w:ascii="Arial" w:hAnsi="Arial" w:cs="Arial"/>
        </w:rPr>
        <w:t xml:space="preserve"> the Services and shall include:</w:t>
      </w:r>
    </w:p>
    <w:p w14:paraId="134521C2" w14:textId="77777777" w:rsidR="00EE03DC" w:rsidRPr="001420F0" w:rsidRDefault="00EE03DC" w:rsidP="00EE03DC">
      <w:pPr>
        <w:pStyle w:val="Level3"/>
        <w:spacing w:line="240" w:lineRule="auto"/>
        <w:rPr>
          <w:rFonts w:ascii="Arial" w:hAnsi="Arial" w:cs="Arial"/>
        </w:rPr>
      </w:pPr>
      <w:r w:rsidRPr="001420F0">
        <w:rPr>
          <w:rFonts w:ascii="Arial" w:hAnsi="Arial" w:cs="Arial"/>
        </w:rPr>
        <w:t xml:space="preserve">all associated costs that the Supplier may reasonably incur in entering into the Agreement and performing the Services (including all transition, </w:t>
      </w:r>
      <w:proofErr w:type="gramStart"/>
      <w:r w:rsidRPr="001420F0">
        <w:rPr>
          <w:rFonts w:ascii="Arial" w:hAnsi="Arial" w:cs="Arial"/>
        </w:rPr>
        <w:t>start-up</w:t>
      </w:r>
      <w:proofErr w:type="gramEnd"/>
      <w:r w:rsidRPr="001420F0">
        <w:rPr>
          <w:rFonts w:ascii="Arial" w:hAnsi="Arial" w:cs="Arial"/>
        </w:rPr>
        <w:t xml:space="preserve"> and implementation costs); and </w:t>
      </w:r>
    </w:p>
    <w:p w14:paraId="5E2CDD07" w14:textId="77777777" w:rsidR="00EE03DC" w:rsidRPr="001420F0" w:rsidRDefault="00EE03DC" w:rsidP="00EE03DC">
      <w:pPr>
        <w:pStyle w:val="Level3"/>
        <w:spacing w:line="240" w:lineRule="auto"/>
        <w:rPr>
          <w:rFonts w:ascii="Arial" w:hAnsi="Arial" w:cs="Arial"/>
        </w:rPr>
      </w:pPr>
      <w:r w:rsidRPr="001420F0">
        <w:rPr>
          <w:rFonts w:ascii="Arial" w:hAnsi="Arial" w:cs="Arial"/>
        </w:rPr>
        <w:t xml:space="preserve">all expenses that the Supplier reasonably expects to incur in performing the Services during the Term (including travel to supplier premises, travel to data centres, lodging, document reproduction, postage, express post, shipping costs and long-distance telephone charges). </w:t>
      </w:r>
    </w:p>
    <w:p w14:paraId="7A282F4E" w14:textId="5B0FC727" w:rsidR="00EE03DC" w:rsidRPr="001420F0" w:rsidRDefault="00EE03DC" w:rsidP="00EE03DC">
      <w:pPr>
        <w:pStyle w:val="Level2"/>
        <w:tabs>
          <w:tab w:val="num" w:pos="851"/>
        </w:tabs>
        <w:spacing w:after="120" w:line="240" w:lineRule="auto"/>
        <w:ind w:left="851"/>
        <w:rPr>
          <w:rFonts w:ascii="Arial" w:hAnsi="Arial" w:cs="Arial"/>
        </w:rPr>
      </w:pPr>
      <w:r w:rsidRPr="001420F0">
        <w:rPr>
          <w:rFonts w:ascii="Arial" w:hAnsi="Arial" w:cs="Arial"/>
        </w:rPr>
        <w:t xml:space="preserve">No additional expenses incurred by the Supplier in providing the Services will be separately reimbursable by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except as expressly agreed between the </w:t>
      </w:r>
      <w:r>
        <w:rPr>
          <w:rFonts w:ascii="Arial" w:hAnsi="Arial" w:cs="Arial"/>
        </w:rPr>
        <w:t>P</w:t>
      </w:r>
      <w:r w:rsidRPr="001420F0">
        <w:rPr>
          <w:rFonts w:ascii="Arial" w:hAnsi="Arial" w:cs="Arial"/>
        </w:rPr>
        <w:t>arties in this Agreement.</w:t>
      </w:r>
    </w:p>
    <w:p w14:paraId="72ABB466" w14:textId="77777777" w:rsidR="00EE03DC" w:rsidRPr="001420F0" w:rsidRDefault="00EE03DC" w:rsidP="00EE03DC">
      <w:pPr>
        <w:pStyle w:val="Level1"/>
        <w:keepNext/>
        <w:tabs>
          <w:tab w:val="clear" w:pos="2411"/>
          <w:tab w:val="num" w:pos="851"/>
        </w:tabs>
        <w:spacing w:after="120" w:line="240" w:lineRule="auto"/>
        <w:ind w:left="851"/>
        <w:rPr>
          <w:rFonts w:ascii="Arial" w:hAnsi="Arial" w:cs="Arial"/>
          <w:b/>
        </w:rPr>
      </w:pPr>
      <w:bookmarkStart w:id="2295" w:name="_Toc277002225"/>
      <w:bookmarkStart w:id="2296" w:name="_Toc277251995"/>
      <w:r w:rsidRPr="001420F0">
        <w:rPr>
          <w:rFonts w:ascii="Arial" w:hAnsi="Arial" w:cs="Arial"/>
          <w:b/>
        </w:rPr>
        <w:t>BASIC PRICING PARAMETERS</w:t>
      </w:r>
      <w:bookmarkEnd w:id="2295"/>
      <w:bookmarkEnd w:id="2296"/>
    </w:p>
    <w:p w14:paraId="4034B101" w14:textId="69ACE712" w:rsidR="00EE03DC" w:rsidRPr="001420F0" w:rsidRDefault="00EE03DC" w:rsidP="00EE03DC">
      <w:pPr>
        <w:pStyle w:val="Level2"/>
        <w:tabs>
          <w:tab w:val="num" w:pos="851"/>
        </w:tabs>
        <w:spacing w:after="120" w:line="240" w:lineRule="auto"/>
        <w:ind w:left="851"/>
        <w:rPr>
          <w:rFonts w:ascii="Arial" w:hAnsi="Arial" w:cs="Arial"/>
        </w:rPr>
      </w:pPr>
      <w:r w:rsidRPr="001420F0">
        <w:rPr>
          <w:rFonts w:ascii="Arial" w:hAnsi="Arial" w:cs="Arial"/>
        </w:rPr>
        <w:t xml:space="preserve">The </w:t>
      </w:r>
      <w:r>
        <w:rPr>
          <w:rFonts w:ascii="Arial" w:hAnsi="Arial" w:cs="Arial"/>
        </w:rPr>
        <w:t>C</w:t>
      </w:r>
      <w:r w:rsidRPr="001420F0">
        <w:rPr>
          <w:rFonts w:ascii="Arial" w:hAnsi="Arial" w:cs="Arial"/>
        </w:rPr>
        <w:t>harges for the Term are as determined by the Commercial Model.</w:t>
      </w:r>
    </w:p>
    <w:p w14:paraId="40774842" w14:textId="77777777" w:rsidR="00EE03DC" w:rsidRPr="001420F0" w:rsidRDefault="00EE03DC" w:rsidP="00EE03DC">
      <w:pPr>
        <w:pStyle w:val="Level1"/>
        <w:keepNext/>
        <w:tabs>
          <w:tab w:val="clear" w:pos="2411"/>
          <w:tab w:val="num" w:pos="851"/>
        </w:tabs>
        <w:spacing w:after="120" w:line="240" w:lineRule="auto"/>
        <w:ind w:left="851"/>
        <w:rPr>
          <w:rFonts w:ascii="Arial" w:hAnsi="Arial" w:cs="Arial"/>
          <w:b/>
        </w:rPr>
      </w:pPr>
      <w:bookmarkStart w:id="2297" w:name="_Toc277002226"/>
      <w:bookmarkStart w:id="2298" w:name="_Toc277251996"/>
      <w:r w:rsidRPr="001420F0">
        <w:rPr>
          <w:rFonts w:ascii="Arial" w:hAnsi="Arial" w:cs="Arial"/>
          <w:b/>
        </w:rPr>
        <w:t>NO DOUBLE RECOVERY OF COSTS</w:t>
      </w:r>
      <w:bookmarkEnd w:id="2297"/>
      <w:bookmarkEnd w:id="2298"/>
    </w:p>
    <w:p w14:paraId="3B1BDE19" w14:textId="77777777" w:rsidR="00EE03DC" w:rsidRPr="001420F0" w:rsidRDefault="00EE03DC" w:rsidP="00EE03DC">
      <w:pPr>
        <w:pStyle w:val="Level2"/>
        <w:tabs>
          <w:tab w:val="num" w:pos="851"/>
        </w:tabs>
        <w:spacing w:after="120" w:line="240" w:lineRule="auto"/>
        <w:ind w:left="851"/>
        <w:rPr>
          <w:rFonts w:ascii="Arial" w:hAnsi="Arial" w:cs="Arial"/>
        </w:rPr>
      </w:pPr>
      <w:r w:rsidRPr="001420F0">
        <w:rPr>
          <w:rFonts w:ascii="Arial" w:hAnsi="Arial" w:cs="Arial"/>
        </w:rPr>
        <w:t xml:space="preserve">The Supplier shall apply the pricing methodology fairly throughout the Term so as not to recover the Supplier’s fixed costs and overheads more than once.  </w:t>
      </w:r>
    </w:p>
    <w:p w14:paraId="372441EB" w14:textId="77777777" w:rsidR="00EE03DC" w:rsidRPr="001420F0" w:rsidRDefault="00EE03DC" w:rsidP="00EE03DC">
      <w:pPr>
        <w:pStyle w:val="Level1"/>
        <w:keepNext/>
        <w:tabs>
          <w:tab w:val="clear" w:pos="2411"/>
          <w:tab w:val="num" w:pos="851"/>
        </w:tabs>
        <w:spacing w:after="120" w:line="240" w:lineRule="auto"/>
        <w:ind w:left="851"/>
        <w:rPr>
          <w:rFonts w:ascii="Arial" w:hAnsi="Arial" w:cs="Arial"/>
          <w:b/>
        </w:rPr>
      </w:pPr>
      <w:bookmarkStart w:id="2299" w:name="_Ref81502581"/>
      <w:bookmarkStart w:id="2300" w:name="_Toc277002234"/>
      <w:bookmarkStart w:id="2301" w:name="_Toc277252004"/>
      <w:r w:rsidRPr="001420F0">
        <w:rPr>
          <w:rFonts w:ascii="Arial" w:hAnsi="Arial" w:cs="Arial"/>
          <w:b/>
        </w:rPr>
        <w:t>VOLUME ADJUSTMENTS</w:t>
      </w:r>
      <w:bookmarkEnd w:id="2299"/>
    </w:p>
    <w:p w14:paraId="0501B03D" w14:textId="0758101E" w:rsidR="00EE03DC" w:rsidRPr="001420F0" w:rsidRDefault="00EE03DC" w:rsidP="00EE03DC">
      <w:pPr>
        <w:pStyle w:val="Level2"/>
        <w:tabs>
          <w:tab w:val="num" w:pos="851"/>
        </w:tabs>
        <w:spacing w:after="120" w:line="240" w:lineRule="auto"/>
        <w:ind w:left="851"/>
        <w:rPr>
          <w:rFonts w:ascii="Arial" w:hAnsi="Arial" w:cs="Arial"/>
        </w:rPr>
      </w:pPr>
      <w:bookmarkStart w:id="2302" w:name="_Ref81502572"/>
      <w:r w:rsidRPr="001420F0">
        <w:rPr>
          <w:rFonts w:ascii="Arial" w:hAnsi="Arial" w:cs="Arial"/>
        </w:rPr>
        <w:t xml:space="preserve">The Supplier agrees that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shall be entitled, during a Contract Year, to amend the total number of Service Components and the Charges shall vary according to the unit charges by Service Component as set out in Schedule 7.4 (Product and Service Catalogue).</w:t>
      </w:r>
      <w:bookmarkEnd w:id="2302"/>
    </w:p>
    <w:p w14:paraId="2CD2BBCC" w14:textId="2238A059" w:rsidR="00EE03DC" w:rsidRPr="001420F0" w:rsidRDefault="00EE03DC" w:rsidP="00EE03DC">
      <w:pPr>
        <w:pStyle w:val="Level2"/>
        <w:tabs>
          <w:tab w:val="num" w:pos="851"/>
        </w:tabs>
        <w:spacing w:after="120" w:line="240" w:lineRule="auto"/>
        <w:ind w:left="851"/>
        <w:rPr>
          <w:rFonts w:ascii="Arial" w:hAnsi="Arial" w:cs="Arial"/>
        </w:rPr>
      </w:pPr>
      <w:r w:rsidRPr="001420F0">
        <w:rPr>
          <w:rFonts w:ascii="Arial" w:hAnsi="Arial" w:cs="Arial"/>
        </w:rPr>
        <w:t xml:space="preserve">Notwithstanding any other term in this Agreement or any completed Project Sheet, should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decrease its use of the Services as set out in this Paragraph </w:t>
      </w:r>
      <w:r w:rsidRPr="001420F0">
        <w:rPr>
          <w:rFonts w:ascii="Arial" w:hAnsi="Arial" w:cs="Arial"/>
        </w:rPr>
        <w:fldChar w:fldCharType="begin"/>
      </w:r>
      <w:r w:rsidRPr="001420F0">
        <w:rPr>
          <w:rFonts w:ascii="Arial" w:hAnsi="Arial" w:cs="Arial"/>
        </w:rPr>
        <w:instrText xml:space="preserve"> REF _Ref81502581 \r \h  \* MERGEFORMAT </w:instrText>
      </w:r>
      <w:r w:rsidRPr="001420F0">
        <w:rPr>
          <w:rFonts w:ascii="Arial" w:hAnsi="Arial" w:cs="Arial"/>
        </w:rPr>
      </w:r>
      <w:r w:rsidRPr="001420F0">
        <w:rPr>
          <w:rFonts w:ascii="Arial" w:hAnsi="Arial" w:cs="Arial"/>
        </w:rPr>
        <w:fldChar w:fldCharType="separate"/>
      </w:r>
      <w:r w:rsidRPr="001420F0">
        <w:rPr>
          <w:rFonts w:ascii="Arial" w:hAnsi="Arial" w:cs="Arial"/>
        </w:rPr>
        <w:t>5</w:t>
      </w:r>
      <w:r w:rsidRPr="001420F0">
        <w:rPr>
          <w:rFonts w:ascii="Arial" w:hAnsi="Arial" w:cs="Arial"/>
        </w:rPr>
        <w:fldChar w:fldCharType="end"/>
      </w:r>
      <w:r w:rsidRPr="001420F0">
        <w:rPr>
          <w:rFonts w:ascii="Arial" w:hAnsi="Arial" w:cs="Arial"/>
        </w:rPr>
        <w:t xml:space="preserve">, no compensation payments or other amounts shall be payable to the Supplier by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as a consequence of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decreasing </w:t>
      </w:r>
      <w:r>
        <w:rPr>
          <w:rFonts w:ascii="Arial" w:hAnsi="Arial" w:cs="Arial"/>
        </w:rPr>
        <w:t>its</w:t>
      </w:r>
      <w:r w:rsidRPr="001420F0">
        <w:rPr>
          <w:rFonts w:ascii="Arial" w:hAnsi="Arial" w:cs="Arial"/>
        </w:rPr>
        <w:t xml:space="preserve"> use of the Services. </w:t>
      </w:r>
    </w:p>
    <w:p w14:paraId="2B7B5E52" w14:textId="77777777" w:rsidR="00EE03DC" w:rsidRPr="001420F0" w:rsidRDefault="00EE03DC" w:rsidP="00EE03DC">
      <w:pPr>
        <w:pStyle w:val="Level1"/>
        <w:keepNext/>
        <w:tabs>
          <w:tab w:val="clear" w:pos="2411"/>
          <w:tab w:val="num" w:pos="851"/>
        </w:tabs>
        <w:spacing w:after="120" w:line="240" w:lineRule="auto"/>
        <w:ind w:left="851"/>
        <w:rPr>
          <w:rFonts w:ascii="Arial" w:hAnsi="Arial" w:cs="Arial"/>
          <w:b/>
        </w:rPr>
      </w:pPr>
      <w:r w:rsidRPr="001420F0">
        <w:rPr>
          <w:rFonts w:ascii="Arial" w:hAnsi="Arial" w:cs="Arial"/>
          <w:b/>
        </w:rPr>
        <w:t>CHARGING STRUCTURE</w:t>
      </w:r>
      <w:bookmarkEnd w:id="2300"/>
      <w:bookmarkEnd w:id="2301"/>
    </w:p>
    <w:p w14:paraId="36DE4821" w14:textId="77777777" w:rsidR="00EE03DC" w:rsidRPr="001420F0" w:rsidRDefault="00EE03DC" w:rsidP="00EE03DC">
      <w:pPr>
        <w:pStyle w:val="Level2"/>
        <w:tabs>
          <w:tab w:val="num" w:pos="851"/>
        </w:tabs>
        <w:spacing w:after="120" w:line="240" w:lineRule="auto"/>
        <w:ind w:left="851"/>
        <w:rPr>
          <w:rFonts w:ascii="Arial" w:hAnsi="Arial" w:cs="Arial"/>
          <w:b/>
        </w:rPr>
      </w:pPr>
      <w:bookmarkStart w:id="2303" w:name="_Toc277002235"/>
      <w:bookmarkStart w:id="2304" w:name="_Toc277252005"/>
      <w:r w:rsidRPr="001420F0">
        <w:rPr>
          <w:rFonts w:ascii="Arial" w:hAnsi="Arial" w:cs="Arial"/>
          <w:b/>
        </w:rPr>
        <w:t>Service Baselines</w:t>
      </w:r>
      <w:bookmarkEnd w:id="2303"/>
      <w:bookmarkEnd w:id="2304"/>
    </w:p>
    <w:p w14:paraId="0881F9C0" w14:textId="4933CC75" w:rsidR="00EE03DC" w:rsidRPr="001420F0" w:rsidRDefault="00EE03DC" w:rsidP="00EE03DC">
      <w:pPr>
        <w:pStyle w:val="Level2"/>
        <w:spacing w:after="120" w:line="240" w:lineRule="auto"/>
        <w:ind w:left="851"/>
        <w:rPr>
          <w:rFonts w:ascii="Arial" w:hAnsi="Arial" w:cs="Arial"/>
        </w:rPr>
      </w:pPr>
      <w:r w:rsidRPr="001420F0">
        <w:rPr>
          <w:rFonts w:ascii="Arial" w:hAnsi="Arial" w:cs="Arial"/>
        </w:rPr>
        <w:t xml:space="preserve">The Supplier shall supply a unit cost for each Service provided to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in the Financial Model and the Charges for the Products and Services shall be calculated in accordance with Schedule 7.4 (Product and Service Catalogue) strictly based on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’s actual daily consumption with Products and Services being able to be stood up and down with immediate effect on the charging. </w:t>
      </w:r>
    </w:p>
    <w:p w14:paraId="7D56F378" w14:textId="77777777" w:rsidR="00EE03DC" w:rsidRPr="001420F0" w:rsidRDefault="00EE03DC" w:rsidP="00EE03DC">
      <w:pPr>
        <w:pStyle w:val="Level2"/>
        <w:tabs>
          <w:tab w:val="clear" w:pos="1135"/>
          <w:tab w:val="num" w:pos="851"/>
        </w:tabs>
        <w:spacing w:after="120" w:line="240" w:lineRule="auto"/>
        <w:ind w:left="851"/>
        <w:rPr>
          <w:rFonts w:ascii="Arial" w:hAnsi="Arial" w:cs="Arial"/>
        </w:rPr>
      </w:pPr>
      <w:r w:rsidRPr="001420F0">
        <w:rPr>
          <w:rFonts w:ascii="Arial" w:hAnsi="Arial" w:cs="Arial"/>
        </w:rPr>
        <w:t>The Financial Model sets out the Services and defines the related individual Service Components.</w:t>
      </w:r>
    </w:p>
    <w:p w14:paraId="0BC72FB1" w14:textId="3981B722" w:rsidR="00EE03DC" w:rsidRPr="001420F0" w:rsidRDefault="00EE03DC" w:rsidP="00EE03DC">
      <w:pPr>
        <w:pStyle w:val="Level2"/>
        <w:tabs>
          <w:tab w:val="clear" w:pos="1135"/>
          <w:tab w:val="num" w:pos="851"/>
        </w:tabs>
        <w:spacing w:after="120" w:line="240" w:lineRule="auto"/>
        <w:ind w:left="851"/>
        <w:rPr>
          <w:rFonts w:ascii="Arial" w:hAnsi="Arial" w:cs="Arial"/>
        </w:rPr>
      </w:pPr>
      <w:r w:rsidRPr="001420F0">
        <w:rPr>
          <w:rFonts w:ascii="Arial" w:hAnsi="Arial" w:cs="Arial"/>
        </w:rPr>
        <w:t xml:space="preserve">The Charges payable for the Products and Services shall be subject to a volume discount as set out in Annex </w:t>
      </w:r>
      <w:r>
        <w:rPr>
          <w:rFonts w:ascii="Arial" w:hAnsi="Arial" w:cs="Arial"/>
        </w:rPr>
        <w:t>7.1</w:t>
      </w:r>
      <w:r w:rsidRPr="001420F0">
        <w:rPr>
          <w:rFonts w:ascii="Arial" w:hAnsi="Arial" w:cs="Arial"/>
        </w:rPr>
        <w:t>A</w:t>
      </w:r>
      <w:r>
        <w:rPr>
          <w:rFonts w:ascii="Arial" w:hAnsi="Arial" w:cs="Arial"/>
        </w:rPr>
        <w:t>.</w:t>
      </w:r>
    </w:p>
    <w:p w14:paraId="2BA920EE" w14:textId="485F05B6" w:rsidR="00EE03DC" w:rsidRPr="00C35613" w:rsidRDefault="00EE03DC" w:rsidP="00EE03DC">
      <w:pPr>
        <w:pStyle w:val="Level2"/>
        <w:tabs>
          <w:tab w:val="num" w:pos="851"/>
        </w:tabs>
        <w:spacing w:after="120" w:line="240" w:lineRule="auto"/>
        <w:ind w:left="851"/>
        <w:rPr>
          <w:rFonts w:ascii="Arial" w:hAnsi="Arial" w:cs="Arial"/>
        </w:rPr>
      </w:pPr>
      <w:bookmarkStart w:id="2305" w:name="_Toc277002236"/>
      <w:bookmarkStart w:id="2306" w:name="_Toc277252006"/>
      <w:r w:rsidRPr="00C35613">
        <w:rPr>
          <w:rFonts w:ascii="Arial" w:hAnsi="Arial" w:cs="Arial"/>
          <w:b/>
        </w:rPr>
        <w:t>Base Charge</w:t>
      </w:r>
      <w:bookmarkEnd w:id="2305"/>
      <w:bookmarkEnd w:id="2306"/>
      <w:r w:rsidRPr="00C35613">
        <w:rPr>
          <w:rFonts w:ascii="Arial" w:hAnsi="Arial" w:cs="Arial"/>
          <w:b/>
        </w:rPr>
        <w:t xml:space="preserve">. </w:t>
      </w:r>
      <w:bookmarkStart w:id="2307" w:name="_Ref81502910"/>
      <w:r w:rsidRPr="00C35613">
        <w:rPr>
          <w:rFonts w:ascii="Arial" w:hAnsi="Arial" w:cs="Arial"/>
        </w:rPr>
        <w:t>The “</w:t>
      </w:r>
      <w:r w:rsidRPr="00C35613">
        <w:rPr>
          <w:rFonts w:ascii="Arial" w:hAnsi="Arial" w:cs="Arial"/>
          <w:b/>
          <w:bCs/>
        </w:rPr>
        <w:t>Base Charge</w:t>
      </w:r>
      <w:r w:rsidRPr="00C35613">
        <w:rPr>
          <w:rFonts w:ascii="Arial" w:hAnsi="Arial" w:cs="Arial"/>
        </w:rPr>
        <w:t>” means the</w:t>
      </w:r>
      <w:r w:rsidR="00D20A1A">
        <w:rPr>
          <w:rFonts w:ascii="Arial" w:hAnsi="Arial" w:cs="Arial"/>
        </w:rPr>
        <w:t xml:space="preserve"> total sum of</w:t>
      </w:r>
      <w:r w:rsidRPr="00C35613">
        <w:rPr>
          <w:rFonts w:ascii="Arial" w:hAnsi="Arial" w:cs="Arial"/>
        </w:rPr>
        <w:t xml:space="preserve"> </w:t>
      </w:r>
      <w:r w:rsidR="00D20A1A">
        <w:rPr>
          <w:rFonts w:ascii="Arial" w:hAnsi="Arial" w:cs="Arial"/>
        </w:rPr>
        <w:t xml:space="preserve">the </w:t>
      </w:r>
      <w:r w:rsidRPr="00C35613">
        <w:rPr>
          <w:rFonts w:ascii="Arial" w:hAnsi="Arial" w:cs="Arial"/>
        </w:rPr>
        <w:t xml:space="preserve">Base Overhead Charge, the Base Service </w:t>
      </w:r>
      <w:proofErr w:type="gramStart"/>
      <w:r w:rsidRPr="00C35613">
        <w:rPr>
          <w:rFonts w:ascii="Arial" w:hAnsi="Arial" w:cs="Arial"/>
        </w:rPr>
        <w:t>Charge</w:t>
      </w:r>
      <w:proofErr w:type="gramEnd"/>
      <w:r w:rsidRPr="00C35613">
        <w:rPr>
          <w:rFonts w:ascii="Arial" w:hAnsi="Arial" w:cs="Arial"/>
        </w:rPr>
        <w:t xml:space="preserve"> and the Base Catalogue Charge.</w:t>
      </w:r>
      <w:bookmarkEnd w:id="2307"/>
    </w:p>
    <w:p w14:paraId="12610608" w14:textId="77777777" w:rsidR="00EE03DC" w:rsidRPr="001420F0" w:rsidRDefault="00EE03DC" w:rsidP="00EE03DC">
      <w:pPr>
        <w:pStyle w:val="Level2"/>
        <w:tabs>
          <w:tab w:val="num" w:pos="851"/>
        </w:tabs>
        <w:spacing w:after="120" w:line="240" w:lineRule="auto"/>
        <w:ind w:left="851"/>
        <w:rPr>
          <w:rFonts w:ascii="Arial" w:hAnsi="Arial" w:cs="Arial"/>
          <w:b/>
          <w:bCs/>
        </w:rPr>
      </w:pPr>
      <w:r w:rsidRPr="001420F0">
        <w:rPr>
          <w:rFonts w:ascii="Arial" w:hAnsi="Arial" w:cs="Arial"/>
          <w:b/>
          <w:bCs/>
        </w:rPr>
        <w:t>Base Overhead Charge</w:t>
      </w:r>
    </w:p>
    <w:p w14:paraId="2F3123E5" w14:textId="77777777" w:rsidR="00EE03DC" w:rsidRPr="001420F0" w:rsidRDefault="00EE03DC" w:rsidP="00EE03DC">
      <w:pPr>
        <w:pStyle w:val="Level3"/>
        <w:spacing w:line="240" w:lineRule="auto"/>
        <w:rPr>
          <w:rFonts w:ascii="Arial" w:hAnsi="Arial" w:cs="Arial"/>
        </w:rPr>
      </w:pPr>
      <w:r w:rsidRPr="001420F0">
        <w:rPr>
          <w:rFonts w:ascii="Arial" w:hAnsi="Arial" w:cs="Arial"/>
        </w:rPr>
        <w:lastRenderedPageBreak/>
        <w:t xml:space="preserve">The Supplier shall recover the fixed costs for delivering its core service management capability through a monthly unit Charge set out in </w:t>
      </w:r>
      <w:r w:rsidRPr="001420F0">
        <w:rPr>
          <w:rFonts w:ascii="Arial" w:hAnsi="Arial" w:cs="Arial"/>
          <w:bCs/>
        </w:rPr>
        <w:t>Schedule 7.</w:t>
      </w:r>
      <w:r>
        <w:rPr>
          <w:rFonts w:ascii="Arial" w:hAnsi="Arial" w:cs="Arial"/>
          <w:bCs/>
        </w:rPr>
        <w:t>4</w:t>
      </w:r>
      <w:r w:rsidRPr="001420F0">
        <w:rPr>
          <w:rFonts w:ascii="Arial" w:hAnsi="Arial" w:cs="Arial"/>
        </w:rPr>
        <w:t xml:space="preserve"> (the “</w:t>
      </w:r>
      <w:r w:rsidRPr="001420F0">
        <w:rPr>
          <w:rFonts w:ascii="Arial" w:hAnsi="Arial" w:cs="Arial"/>
          <w:b/>
          <w:bCs/>
        </w:rPr>
        <w:t>Base Overhead Charge</w:t>
      </w:r>
      <w:r w:rsidRPr="001420F0">
        <w:rPr>
          <w:rFonts w:ascii="Arial" w:hAnsi="Arial" w:cs="Arial"/>
        </w:rPr>
        <w:t>”).</w:t>
      </w:r>
    </w:p>
    <w:p w14:paraId="0B3ACA82" w14:textId="77777777" w:rsidR="00EE03DC" w:rsidRPr="001420F0" w:rsidRDefault="00EE03DC" w:rsidP="00EE03DC">
      <w:pPr>
        <w:pStyle w:val="Level3"/>
        <w:spacing w:line="240" w:lineRule="auto"/>
        <w:rPr>
          <w:rFonts w:ascii="Arial" w:hAnsi="Arial" w:cs="Arial"/>
        </w:rPr>
      </w:pPr>
      <w:r w:rsidRPr="001420F0">
        <w:rPr>
          <w:rFonts w:ascii="Arial" w:hAnsi="Arial" w:cs="Arial"/>
        </w:rPr>
        <w:t>The Supplier shall ensure that the Base Overhead Charge includes the costs of:</w:t>
      </w:r>
    </w:p>
    <w:p w14:paraId="6977872F" w14:textId="77777777" w:rsidR="00EE03DC" w:rsidRPr="001420F0" w:rsidRDefault="00EE03DC" w:rsidP="008B6AF5">
      <w:pPr>
        <w:pStyle w:val="Level4"/>
        <w:spacing w:after="120" w:line="240" w:lineRule="auto"/>
        <w:rPr>
          <w:rFonts w:ascii="Arial" w:hAnsi="Arial" w:cs="Arial"/>
        </w:rPr>
      </w:pPr>
      <w:r w:rsidRPr="001420F0">
        <w:rPr>
          <w:rFonts w:ascii="Arial" w:hAnsi="Arial" w:cs="Arial"/>
        </w:rPr>
        <w:t xml:space="preserve">administering the Product and Service </w:t>
      </w:r>
      <w:proofErr w:type="gramStart"/>
      <w:r w:rsidRPr="001420F0">
        <w:rPr>
          <w:rFonts w:ascii="Arial" w:hAnsi="Arial" w:cs="Arial"/>
        </w:rPr>
        <w:t>Catalogue;</w:t>
      </w:r>
      <w:proofErr w:type="gramEnd"/>
    </w:p>
    <w:p w14:paraId="298A0B7D" w14:textId="77777777" w:rsidR="00EE03DC" w:rsidRPr="001420F0" w:rsidRDefault="00EE03DC" w:rsidP="008B6AF5">
      <w:pPr>
        <w:pStyle w:val="Level4"/>
        <w:spacing w:after="120" w:line="240" w:lineRule="auto"/>
        <w:rPr>
          <w:rFonts w:ascii="Arial" w:hAnsi="Arial" w:cs="Arial"/>
        </w:rPr>
      </w:pPr>
      <w:bookmarkStart w:id="2308" w:name="_Hlk80708303"/>
      <w:r w:rsidRPr="001420F0">
        <w:rPr>
          <w:rFonts w:ascii="Arial" w:hAnsi="Arial" w:cs="Arial"/>
          <w:bCs/>
        </w:rPr>
        <w:t>providing contract management, contract project office, reporting and governance</w:t>
      </w:r>
      <w:bookmarkEnd w:id="2308"/>
      <w:r w:rsidRPr="001420F0">
        <w:rPr>
          <w:rFonts w:ascii="Arial" w:hAnsi="Arial" w:cs="Arial"/>
          <w:bCs/>
        </w:rPr>
        <w:t>; and</w:t>
      </w:r>
    </w:p>
    <w:p w14:paraId="2FE78617" w14:textId="77777777" w:rsidR="00EE03DC" w:rsidRPr="001420F0" w:rsidRDefault="00EE03DC" w:rsidP="008B6AF5">
      <w:pPr>
        <w:pStyle w:val="Level4"/>
        <w:spacing w:after="120" w:line="240" w:lineRule="auto"/>
        <w:rPr>
          <w:rFonts w:ascii="Arial" w:hAnsi="Arial" w:cs="Arial"/>
        </w:rPr>
      </w:pPr>
      <w:r w:rsidRPr="001420F0">
        <w:rPr>
          <w:rFonts w:ascii="Arial" w:hAnsi="Arial" w:cs="Arial"/>
        </w:rPr>
        <w:t xml:space="preserve">administering and generating Change Control Analysis in accordance with the Change Control Procedure in </w:t>
      </w:r>
      <w:r w:rsidRPr="00C9694A">
        <w:rPr>
          <w:rFonts w:ascii="Arial" w:hAnsi="Arial" w:cs="Arial"/>
          <w:bCs/>
        </w:rPr>
        <w:t>Schedule 8.2</w:t>
      </w:r>
      <w:r w:rsidRPr="001420F0">
        <w:rPr>
          <w:rFonts w:ascii="Arial" w:hAnsi="Arial" w:cs="Arial"/>
          <w:bCs/>
        </w:rPr>
        <w:t xml:space="preserve"> (Change Control Procedure).  </w:t>
      </w:r>
    </w:p>
    <w:p w14:paraId="5CDF05C9" w14:textId="6E493591" w:rsidR="00EE03DC" w:rsidRPr="00C35613" w:rsidRDefault="00EE03DC" w:rsidP="00EE03DC">
      <w:pPr>
        <w:pStyle w:val="Level2"/>
        <w:tabs>
          <w:tab w:val="num" w:pos="851"/>
        </w:tabs>
        <w:spacing w:after="120" w:line="240" w:lineRule="auto"/>
        <w:ind w:left="851"/>
        <w:rPr>
          <w:rFonts w:ascii="Arial" w:hAnsi="Arial" w:cs="Arial"/>
        </w:rPr>
      </w:pPr>
      <w:r w:rsidRPr="00C35613">
        <w:rPr>
          <w:rFonts w:ascii="Arial" w:hAnsi="Arial" w:cs="Arial"/>
          <w:b/>
          <w:bCs/>
        </w:rPr>
        <w:t xml:space="preserve">Base Service Charge. </w:t>
      </w:r>
      <w:r w:rsidRPr="00C35613">
        <w:rPr>
          <w:rFonts w:ascii="Arial" w:hAnsi="Arial" w:cs="Arial"/>
        </w:rPr>
        <w:t>The Supplier shall recover the fixed costs for delivering the Operational Service through a monthly unit Charge as described in Annex 7.4A (the “</w:t>
      </w:r>
      <w:r w:rsidRPr="00C35613">
        <w:rPr>
          <w:rFonts w:ascii="Arial" w:hAnsi="Arial" w:cs="Arial"/>
          <w:b/>
          <w:bCs/>
        </w:rPr>
        <w:t>Base Service Charge</w:t>
      </w:r>
      <w:r w:rsidRPr="00C35613">
        <w:rPr>
          <w:rFonts w:ascii="Arial" w:hAnsi="Arial" w:cs="Arial"/>
        </w:rPr>
        <w:t xml:space="preserve">”). </w:t>
      </w:r>
    </w:p>
    <w:p w14:paraId="2C4B1636" w14:textId="63376EC2" w:rsidR="00EE03DC" w:rsidRPr="00C35613" w:rsidRDefault="00EE03DC" w:rsidP="00EE03DC">
      <w:pPr>
        <w:pStyle w:val="Level2"/>
        <w:tabs>
          <w:tab w:val="num" w:pos="851"/>
        </w:tabs>
        <w:spacing w:after="120" w:line="240" w:lineRule="auto"/>
        <w:ind w:left="851"/>
        <w:rPr>
          <w:rFonts w:ascii="Arial" w:hAnsi="Arial" w:cs="Arial"/>
        </w:rPr>
      </w:pPr>
      <w:r w:rsidRPr="00C35613">
        <w:rPr>
          <w:rFonts w:ascii="Arial" w:hAnsi="Arial" w:cs="Arial"/>
          <w:b/>
          <w:bCs/>
        </w:rPr>
        <w:t xml:space="preserve">Base Catalogue Charge. </w:t>
      </w:r>
      <w:bookmarkStart w:id="2309" w:name="_Ref81502917"/>
      <w:r w:rsidRPr="00C35613">
        <w:rPr>
          <w:rFonts w:ascii="Arial" w:hAnsi="Arial" w:cs="Arial"/>
        </w:rPr>
        <w:t xml:space="preserve">The Base Catalogue Charge </w:t>
      </w:r>
      <w:r w:rsidR="00D20A1A">
        <w:rPr>
          <w:rFonts w:ascii="Arial" w:hAnsi="Arial" w:cs="Arial"/>
        </w:rPr>
        <w:t xml:space="preserve">is the charge for the </w:t>
      </w:r>
      <w:r w:rsidRPr="00C35613">
        <w:rPr>
          <w:rFonts w:ascii="Arial" w:hAnsi="Arial" w:cs="Arial"/>
        </w:rPr>
        <w:t xml:space="preserve">services (Service Requests) </w:t>
      </w:r>
      <w:r w:rsidR="00D20A1A">
        <w:rPr>
          <w:rFonts w:ascii="Arial" w:hAnsi="Arial" w:cs="Arial"/>
        </w:rPr>
        <w:t xml:space="preserve">provided to </w:t>
      </w:r>
      <w:proofErr w:type="spellStart"/>
      <w:r w:rsidR="001F1C19">
        <w:rPr>
          <w:rFonts w:ascii="Arial" w:hAnsi="Arial" w:cs="Arial"/>
        </w:rPr>
        <w:t>Netlink</w:t>
      </w:r>
      <w:proofErr w:type="spellEnd"/>
      <w:r w:rsidR="001F1C19">
        <w:rPr>
          <w:rFonts w:ascii="Arial" w:hAnsi="Arial" w:cs="Arial"/>
        </w:rPr>
        <w:t xml:space="preserve"> Star</w:t>
      </w:r>
      <w:r w:rsidR="00D20A1A">
        <w:rPr>
          <w:rFonts w:ascii="Arial" w:hAnsi="Arial" w:cs="Arial"/>
        </w:rPr>
        <w:t xml:space="preserve"> </w:t>
      </w:r>
      <w:r w:rsidRPr="00C35613">
        <w:rPr>
          <w:rFonts w:ascii="Arial" w:hAnsi="Arial" w:cs="Arial"/>
        </w:rPr>
        <w:t xml:space="preserve">as described in </w:t>
      </w:r>
      <w:r>
        <w:rPr>
          <w:rFonts w:ascii="Arial" w:hAnsi="Arial" w:cs="Arial"/>
        </w:rPr>
        <w:t>Annex</w:t>
      </w:r>
      <w:r w:rsidRPr="00C35613">
        <w:rPr>
          <w:rFonts w:ascii="Arial" w:hAnsi="Arial" w:cs="Arial"/>
        </w:rPr>
        <w:t xml:space="preserve"> 7.4</w:t>
      </w:r>
      <w:r>
        <w:rPr>
          <w:rFonts w:ascii="Arial" w:hAnsi="Arial" w:cs="Arial"/>
        </w:rPr>
        <w:t>B.</w:t>
      </w:r>
    </w:p>
    <w:p w14:paraId="579FCF16" w14:textId="77777777" w:rsidR="00EE03DC" w:rsidRPr="001420F0" w:rsidRDefault="00EE03DC" w:rsidP="00EE03DC">
      <w:pPr>
        <w:pStyle w:val="Level2"/>
        <w:tabs>
          <w:tab w:val="num" w:pos="851"/>
        </w:tabs>
        <w:spacing w:after="120" w:line="240" w:lineRule="auto"/>
        <w:ind w:left="851"/>
        <w:rPr>
          <w:rFonts w:ascii="Arial" w:hAnsi="Arial" w:cs="Arial"/>
          <w:b/>
          <w:bCs/>
        </w:rPr>
      </w:pPr>
      <w:bookmarkStart w:id="2310" w:name="_Toc277002238"/>
      <w:bookmarkStart w:id="2311" w:name="_Toc277252008"/>
      <w:bookmarkEnd w:id="2309"/>
      <w:r w:rsidRPr="001420F0">
        <w:rPr>
          <w:rFonts w:ascii="Arial" w:hAnsi="Arial" w:cs="Arial"/>
          <w:b/>
        </w:rPr>
        <w:t>Project Charges</w:t>
      </w:r>
      <w:bookmarkEnd w:id="2310"/>
      <w:bookmarkEnd w:id="2311"/>
      <w:r w:rsidRPr="001420F0">
        <w:rPr>
          <w:rFonts w:ascii="Arial" w:hAnsi="Arial" w:cs="Arial"/>
          <w:b/>
        </w:rPr>
        <w:t xml:space="preserve"> and Indexation</w:t>
      </w:r>
    </w:p>
    <w:p w14:paraId="28D8650C" w14:textId="19C80367" w:rsidR="00EE03DC" w:rsidRPr="001420F0" w:rsidRDefault="001F1C19" w:rsidP="00EE03DC">
      <w:pPr>
        <w:pStyle w:val="Level3"/>
        <w:spacing w:line="240" w:lineRule="auto"/>
        <w:rPr>
          <w:rFonts w:ascii="Arial" w:hAnsi="Arial" w:cs="Arial"/>
        </w:rPr>
      </w:pPr>
      <w:proofErr w:type="spellStart"/>
      <w:r>
        <w:rPr>
          <w:rFonts w:ascii="Arial" w:hAnsi="Arial" w:cs="Arial"/>
        </w:rPr>
        <w:t>Netlink</w:t>
      </w:r>
      <w:proofErr w:type="spellEnd"/>
      <w:r>
        <w:rPr>
          <w:rFonts w:ascii="Arial" w:hAnsi="Arial" w:cs="Arial"/>
        </w:rPr>
        <w:t xml:space="preserve"> Star</w:t>
      </w:r>
      <w:r w:rsidR="00EE03DC" w:rsidRPr="001420F0">
        <w:rPr>
          <w:rFonts w:ascii="Arial" w:hAnsi="Arial" w:cs="Arial"/>
        </w:rPr>
        <w:t xml:space="preserve"> may, from time to time, require the Supplier to provide personnel to support the delivery of a specified Project. To support this, the Supplier shall provide, via the Product and Service Catalogue, such personnel at the Supplier’s Rate Card </w:t>
      </w:r>
      <w:proofErr w:type="gramStart"/>
      <w:r w:rsidR="00EE03DC" w:rsidRPr="001420F0">
        <w:rPr>
          <w:rFonts w:ascii="Arial" w:hAnsi="Arial" w:cs="Arial"/>
        </w:rPr>
        <w:t>prices</w:t>
      </w:r>
      <w:proofErr w:type="gramEnd"/>
      <w:r w:rsidR="00EE03DC" w:rsidRPr="001420F0">
        <w:rPr>
          <w:rFonts w:ascii="Arial" w:hAnsi="Arial" w:cs="Arial"/>
        </w:rPr>
        <w:t xml:space="preserve"> </w:t>
      </w:r>
    </w:p>
    <w:p w14:paraId="10A93FF9" w14:textId="77777777" w:rsidR="00EE03DC" w:rsidRPr="001420F0" w:rsidRDefault="00EE03DC" w:rsidP="00EE03DC">
      <w:pPr>
        <w:pStyle w:val="Level3"/>
        <w:spacing w:line="240" w:lineRule="auto"/>
        <w:rPr>
          <w:rFonts w:ascii="Arial" w:hAnsi="Arial" w:cs="Arial"/>
        </w:rPr>
      </w:pPr>
      <w:r w:rsidRPr="001420F0">
        <w:rPr>
          <w:rFonts w:ascii="Arial" w:hAnsi="Arial" w:cs="Arial"/>
        </w:rPr>
        <w:t>For fixed price Projects, the Project Charges shall be associated with defined Milestones within the applicable completed Project Sheet</w:t>
      </w:r>
      <w:r w:rsidRPr="001420F0">
        <w:rPr>
          <w:rFonts w:ascii="Arial" w:hAnsi="Arial" w:cs="Arial"/>
          <w:bCs/>
        </w:rPr>
        <w:t xml:space="preserve"> and in any future Projects </w:t>
      </w:r>
      <w:r w:rsidRPr="001420F0">
        <w:rPr>
          <w:rFonts w:ascii="Arial" w:hAnsi="Arial" w:cs="Arial"/>
        </w:rPr>
        <w:t xml:space="preserve">each in accordance with </w:t>
      </w:r>
      <w:r w:rsidRPr="00C35613">
        <w:rPr>
          <w:rFonts w:ascii="Arial" w:hAnsi="Arial" w:cs="Arial"/>
        </w:rPr>
        <w:t>Schedule 6.1</w:t>
      </w:r>
      <w:r w:rsidRPr="001420F0">
        <w:rPr>
          <w:rFonts w:ascii="Arial" w:hAnsi="Arial" w:cs="Arial"/>
          <w:color w:val="FFFF00"/>
        </w:rPr>
        <w:t xml:space="preserve"> </w:t>
      </w:r>
      <w:r w:rsidRPr="001420F0">
        <w:rPr>
          <w:rFonts w:ascii="Arial" w:hAnsi="Arial" w:cs="Arial"/>
        </w:rPr>
        <w:t>(Project Template Sheet).</w:t>
      </w:r>
    </w:p>
    <w:p w14:paraId="4807F94A" w14:textId="77777777" w:rsidR="00EE03DC" w:rsidRPr="001420F0" w:rsidRDefault="00EE03DC" w:rsidP="00EE03DC">
      <w:pPr>
        <w:pStyle w:val="Level3"/>
        <w:keepNext/>
        <w:spacing w:line="240" w:lineRule="auto"/>
        <w:rPr>
          <w:rFonts w:ascii="Arial" w:hAnsi="Arial" w:cs="Arial"/>
        </w:rPr>
      </w:pPr>
      <w:r w:rsidRPr="001420F0">
        <w:rPr>
          <w:rFonts w:ascii="Arial" w:hAnsi="Arial" w:cs="Arial"/>
        </w:rPr>
        <w:t xml:space="preserve">Payment of Project Charges for fixed price Projects shall be dependent on: </w:t>
      </w:r>
    </w:p>
    <w:p w14:paraId="74F370CF" w14:textId="29374A9B" w:rsidR="00EE03DC" w:rsidRPr="001420F0" w:rsidRDefault="00EE03DC" w:rsidP="008B6AF5">
      <w:pPr>
        <w:pStyle w:val="Level4"/>
        <w:spacing w:after="120" w:line="240" w:lineRule="auto"/>
        <w:rPr>
          <w:rFonts w:ascii="Arial" w:hAnsi="Arial" w:cs="Arial"/>
        </w:rPr>
      </w:pPr>
      <w:r w:rsidRPr="001420F0">
        <w:rPr>
          <w:rFonts w:ascii="Arial" w:hAnsi="Arial" w:cs="Arial"/>
        </w:rPr>
        <w:t xml:space="preserve">the acceptance of the Payment Milestone by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in accordance with the agreed Acceptance Criteria specified in the completed Project Sheet; and</w:t>
      </w:r>
    </w:p>
    <w:p w14:paraId="3A3BA8BD" w14:textId="77777777" w:rsidR="00EE03DC" w:rsidRPr="001420F0" w:rsidRDefault="00EE03DC" w:rsidP="008B6AF5">
      <w:pPr>
        <w:pStyle w:val="Level4"/>
        <w:spacing w:after="120" w:line="240" w:lineRule="auto"/>
        <w:rPr>
          <w:rFonts w:ascii="Arial" w:hAnsi="Arial" w:cs="Arial"/>
        </w:rPr>
      </w:pPr>
      <w:r w:rsidRPr="001420F0">
        <w:rPr>
          <w:rFonts w:ascii="Arial" w:hAnsi="Arial" w:cs="Arial"/>
        </w:rPr>
        <w:t>the production of a Milestone Acceptance Certificate for that Payment Milestone.</w:t>
      </w:r>
    </w:p>
    <w:p w14:paraId="1DC53819" w14:textId="77777777" w:rsidR="00EE03DC" w:rsidRPr="001420F0" w:rsidRDefault="00EE03DC" w:rsidP="009D675B">
      <w:pPr>
        <w:pStyle w:val="Level4"/>
        <w:numPr>
          <w:ilvl w:val="2"/>
          <w:numId w:val="34"/>
        </w:numPr>
        <w:spacing w:after="120" w:line="240" w:lineRule="auto"/>
        <w:rPr>
          <w:rFonts w:ascii="Arial" w:hAnsi="Arial" w:cs="Arial"/>
        </w:rPr>
      </w:pPr>
      <w:r w:rsidRPr="001420F0">
        <w:rPr>
          <w:rFonts w:ascii="Arial" w:hAnsi="Arial" w:cs="Arial"/>
        </w:rPr>
        <w:t xml:space="preserve">For time and material Projects, the invoicing shall be done </w:t>
      </w:r>
      <w:proofErr w:type="gramStart"/>
      <w:r w:rsidRPr="001420F0">
        <w:rPr>
          <w:rFonts w:ascii="Arial" w:hAnsi="Arial" w:cs="Arial"/>
        </w:rPr>
        <w:t>on a monthly basis</w:t>
      </w:r>
      <w:proofErr w:type="gramEnd"/>
      <w:r w:rsidRPr="001420F0">
        <w:rPr>
          <w:rFonts w:ascii="Arial" w:hAnsi="Arial" w:cs="Arial"/>
        </w:rPr>
        <w:t xml:space="preserve"> at the end of each calendar month based on actual effort utilised during the month.</w:t>
      </w:r>
    </w:p>
    <w:p w14:paraId="3205DDF7" w14:textId="77777777" w:rsidR="00EE03DC" w:rsidRPr="001420F0" w:rsidRDefault="00EE03DC" w:rsidP="00EE03DC">
      <w:pPr>
        <w:pStyle w:val="Level3"/>
        <w:spacing w:line="240" w:lineRule="auto"/>
        <w:rPr>
          <w:rFonts w:ascii="Arial" w:hAnsi="Arial" w:cs="Arial"/>
        </w:rPr>
      </w:pPr>
      <w:r w:rsidRPr="001420F0">
        <w:rPr>
          <w:rFonts w:ascii="Arial" w:hAnsi="Arial" w:cs="Arial"/>
        </w:rPr>
        <w:t xml:space="preserve">For time and material Projects, the Supplier shall invoice the Project Charges on a pro rata basis (to half days and full days, full days being eight (8) hour days) against the Rate Card Prices. </w:t>
      </w:r>
    </w:p>
    <w:p w14:paraId="26212021" w14:textId="77777777" w:rsidR="00EE03DC" w:rsidRPr="001420F0" w:rsidRDefault="00EE03DC" w:rsidP="00EE03DC">
      <w:pPr>
        <w:pStyle w:val="Level3"/>
        <w:spacing w:line="240" w:lineRule="auto"/>
        <w:rPr>
          <w:rFonts w:ascii="Arial" w:hAnsi="Arial" w:cs="Arial"/>
        </w:rPr>
      </w:pPr>
      <w:r w:rsidRPr="001420F0">
        <w:rPr>
          <w:rFonts w:ascii="Arial" w:hAnsi="Arial" w:cs="Arial"/>
        </w:rPr>
        <w:t>Charges, Payment Milestones and Acceptance Criteria for the Initial Transition Project are set out in Schedule 6.4 (Initial Transition Project).</w:t>
      </w:r>
    </w:p>
    <w:p w14:paraId="5FDA4BD5" w14:textId="77777777" w:rsidR="00EE03DC" w:rsidRPr="001420F0" w:rsidRDefault="00EE03DC" w:rsidP="00EE03DC">
      <w:pPr>
        <w:pStyle w:val="Level3"/>
        <w:spacing w:line="240" w:lineRule="auto"/>
        <w:rPr>
          <w:rFonts w:ascii="Arial" w:hAnsi="Arial" w:cs="Arial"/>
        </w:rPr>
      </w:pPr>
      <w:r w:rsidRPr="001420F0">
        <w:rPr>
          <w:rFonts w:ascii="Arial" w:hAnsi="Arial" w:cs="Arial"/>
        </w:rPr>
        <w:t>Charges, Payment Milestones and Acceptance Criteria for the Migration Project are set out in Schedule 6.5 (Migration Project).</w:t>
      </w:r>
    </w:p>
    <w:p w14:paraId="549C0CE9" w14:textId="77777777" w:rsidR="00EE03DC" w:rsidRPr="001420F0" w:rsidRDefault="00EE03DC" w:rsidP="00EE03DC">
      <w:pPr>
        <w:pStyle w:val="Level2"/>
        <w:tabs>
          <w:tab w:val="num" w:pos="851"/>
        </w:tabs>
        <w:spacing w:after="120" w:line="240" w:lineRule="auto"/>
        <w:ind w:left="851"/>
        <w:rPr>
          <w:rFonts w:ascii="Arial" w:hAnsi="Arial" w:cs="Arial"/>
          <w:b/>
          <w:bCs/>
        </w:rPr>
      </w:pPr>
      <w:bookmarkStart w:id="2312" w:name="_Toc277002239"/>
      <w:bookmarkStart w:id="2313" w:name="_Toc277252009"/>
      <w:r w:rsidRPr="001420F0">
        <w:rPr>
          <w:rFonts w:ascii="Arial" w:hAnsi="Arial" w:cs="Arial"/>
          <w:b/>
        </w:rPr>
        <w:t>Catalogue Charges</w:t>
      </w:r>
      <w:bookmarkEnd w:id="2312"/>
      <w:bookmarkEnd w:id="2313"/>
    </w:p>
    <w:p w14:paraId="01A81B05" w14:textId="77777777" w:rsidR="00EE03DC" w:rsidRPr="001420F0" w:rsidRDefault="00EE03DC" w:rsidP="00EE03DC">
      <w:pPr>
        <w:pStyle w:val="Level3"/>
        <w:spacing w:line="240" w:lineRule="auto"/>
        <w:rPr>
          <w:rFonts w:ascii="Arial" w:hAnsi="Arial" w:cs="Arial"/>
        </w:rPr>
      </w:pPr>
      <w:r w:rsidRPr="001420F0">
        <w:rPr>
          <w:rFonts w:ascii="Arial" w:hAnsi="Arial" w:cs="Arial"/>
        </w:rPr>
        <w:t>The Product and Service Catalogue shall be the sole method of calling off or procuring simple fixed price service or products under the Agreement.</w:t>
      </w:r>
    </w:p>
    <w:p w14:paraId="29213029" w14:textId="77777777" w:rsidR="00EE03DC" w:rsidRPr="001420F0" w:rsidRDefault="00EE03DC" w:rsidP="00EE03DC">
      <w:pPr>
        <w:pStyle w:val="Level3"/>
        <w:spacing w:line="240" w:lineRule="auto"/>
        <w:rPr>
          <w:rFonts w:ascii="Arial" w:hAnsi="Arial" w:cs="Arial"/>
        </w:rPr>
      </w:pPr>
      <w:r w:rsidRPr="001420F0">
        <w:rPr>
          <w:rFonts w:ascii="Arial" w:hAnsi="Arial" w:cs="Arial"/>
        </w:rPr>
        <w:t>The Supplier shall recover the costs of providing Catalogue Items through Catalogue Charges.</w:t>
      </w:r>
    </w:p>
    <w:p w14:paraId="79416836" w14:textId="77777777" w:rsidR="00EE03DC" w:rsidRPr="001420F0" w:rsidRDefault="00EE03DC" w:rsidP="00EE03DC">
      <w:pPr>
        <w:pStyle w:val="Level3"/>
        <w:spacing w:line="240" w:lineRule="auto"/>
        <w:rPr>
          <w:rFonts w:ascii="Arial" w:hAnsi="Arial" w:cs="Arial"/>
        </w:rPr>
      </w:pPr>
      <w:r w:rsidRPr="001420F0">
        <w:rPr>
          <w:rFonts w:ascii="Arial" w:hAnsi="Arial" w:cs="Arial"/>
        </w:rPr>
        <w:t>The pricing for Catalogue Items shall be based on the effort needed to deliver them in accordance with the Rate Card Prices. The Parties will agree pricing for Catalogue Items prior adding the Catalogue Item to the Product and Service Catalogue in accordance with Schedule 7.4 (Product and Service Catalogue).</w:t>
      </w:r>
    </w:p>
    <w:p w14:paraId="5D47EAB8" w14:textId="77777777" w:rsidR="00EE03DC" w:rsidRPr="001420F0" w:rsidRDefault="00EE03DC" w:rsidP="00EE03DC">
      <w:pPr>
        <w:pStyle w:val="Level3"/>
        <w:spacing w:line="240" w:lineRule="auto"/>
        <w:rPr>
          <w:rFonts w:ascii="Arial" w:hAnsi="Arial" w:cs="Arial"/>
        </w:rPr>
      </w:pPr>
      <w:r w:rsidRPr="001420F0">
        <w:rPr>
          <w:rFonts w:ascii="Arial" w:hAnsi="Arial" w:cs="Arial"/>
        </w:rPr>
        <w:t>The Catalogue Charges shall comprise the Base Catalogue Charges and the Variable Catalogue Charges.</w:t>
      </w:r>
    </w:p>
    <w:p w14:paraId="2B048A42" w14:textId="3CBFB3BA" w:rsidR="00EE03DC" w:rsidRPr="001420F0" w:rsidRDefault="00EE03DC" w:rsidP="00EE03DC">
      <w:pPr>
        <w:pStyle w:val="Level3"/>
        <w:spacing w:line="240" w:lineRule="auto"/>
        <w:rPr>
          <w:rFonts w:ascii="Arial" w:hAnsi="Arial" w:cs="Arial"/>
        </w:rPr>
      </w:pPr>
      <w:r w:rsidRPr="001420F0">
        <w:rPr>
          <w:rFonts w:ascii="Arial" w:hAnsi="Arial" w:cs="Arial"/>
        </w:rPr>
        <w:lastRenderedPageBreak/>
        <w:t xml:space="preserve">The Supplier shall provide Catalogue Items within the volumes applicable to the Base Catalogue Charge as specified in Schedule 7.4 </w:t>
      </w:r>
      <w:r w:rsidRPr="001420F0">
        <w:rPr>
          <w:rFonts w:ascii="Arial" w:hAnsi="Arial" w:cs="Arial"/>
          <w:bCs/>
        </w:rPr>
        <w:t xml:space="preserve">(Product and Service Catalogue) </w:t>
      </w:r>
      <w:r w:rsidRPr="001420F0">
        <w:rPr>
          <w:rFonts w:ascii="Arial" w:hAnsi="Arial" w:cs="Arial"/>
        </w:rPr>
        <w:t>for no additional cost beyond the Base Catalogue Charge.</w:t>
      </w:r>
    </w:p>
    <w:p w14:paraId="6838D1A7" w14:textId="77777777" w:rsidR="00EE03DC" w:rsidRPr="001420F0" w:rsidRDefault="00EE03DC" w:rsidP="00EE03DC">
      <w:pPr>
        <w:pStyle w:val="Level3"/>
        <w:spacing w:line="240" w:lineRule="auto"/>
        <w:rPr>
          <w:rFonts w:ascii="Arial" w:hAnsi="Arial" w:cs="Arial"/>
        </w:rPr>
      </w:pPr>
      <w:r w:rsidRPr="001420F0">
        <w:rPr>
          <w:rFonts w:ascii="Arial" w:hAnsi="Arial" w:cs="Arial"/>
        </w:rPr>
        <w:t>The Supplier shall provide additional Catalogue Items above the volumes applicable to the Base Catalogue Charges at additional charge (the “</w:t>
      </w:r>
      <w:r w:rsidRPr="001420F0">
        <w:rPr>
          <w:rFonts w:ascii="Arial" w:hAnsi="Arial" w:cs="Arial"/>
          <w:b/>
          <w:bCs/>
        </w:rPr>
        <w:t>Variable Catalogue Charge</w:t>
      </w:r>
      <w:r w:rsidRPr="001420F0">
        <w:rPr>
          <w:rFonts w:ascii="Arial" w:hAnsi="Arial" w:cs="Arial"/>
        </w:rPr>
        <w:t xml:space="preserve">”) as specified in </w:t>
      </w:r>
      <w:r>
        <w:rPr>
          <w:rFonts w:ascii="Arial" w:hAnsi="Arial" w:cs="Arial"/>
          <w:bCs/>
        </w:rPr>
        <w:t>Schedule 7.4 (Product and Service Catalogue)</w:t>
      </w:r>
    </w:p>
    <w:p w14:paraId="66CFDF0A" w14:textId="77777777" w:rsidR="00EE03DC" w:rsidRPr="001420F0" w:rsidRDefault="00EE03DC" w:rsidP="00EE03DC">
      <w:pPr>
        <w:pStyle w:val="Level3"/>
        <w:spacing w:line="240" w:lineRule="auto"/>
        <w:rPr>
          <w:rFonts w:ascii="Arial" w:hAnsi="Arial" w:cs="Arial"/>
        </w:rPr>
      </w:pPr>
      <w:r w:rsidRPr="001420F0">
        <w:rPr>
          <w:rFonts w:ascii="Arial" w:hAnsi="Arial" w:cs="Arial"/>
        </w:rPr>
        <w:t>The Supplier shall invoice the Variable Catalogue Charge monthly in arrears based on the actual usage beyond that included in the Base Catalogue Charge in that period.</w:t>
      </w:r>
    </w:p>
    <w:p w14:paraId="4FAC67A3" w14:textId="77777777" w:rsidR="00EE03DC" w:rsidRPr="001420F0" w:rsidRDefault="00EE03DC" w:rsidP="00EE03DC">
      <w:pPr>
        <w:pStyle w:val="Level1"/>
        <w:keepNext/>
        <w:tabs>
          <w:tab w:val="clear" w:pos="2411"/>
          <w:tab w:val="num" w:pos="851"/>
        </w:tabs>
        <w:spacing w:after="120" w:line="240" w:lineRule="auto"/>
        <w:ind w:left="851"/>
        <w:rPr>
          <w:rFonts w:ascii="Arial" w:hAnsi="Arial" w:cs="Arial"/>
          <w:b/>
        </w:rPr>
      </w:pPr>
      <w:bookmarkStart w:id="2314" w:name="_Toc277002240"/>
      <w:bookmarkStart w:id="2315" w:name="_Toc277252010"/>
      <w:bookmarkStart w:id="2316" w:name="_Ref81502342"/>
      <w:bookmarkStart w:id="2317" w:name="_Ref81504548"/>
      <w:bookmarkStart w:id="2318" w:name="_Ref81504657"/>
      <w:r w:rsidRPr="001420F0">
        <w:rPr>
          <w:rFonts w:ascii="Arial" w:hAnsi="Arial" w:cs="Arial"/>
          <w:b/>
        </w:rPr>
        <w:t>SUPPLIER INVOICING</w:t>
      </w:r>
      <w:bookmarkEnd w:id="2314"/>
      <w:bookmarkEnd w:id="2315"/>
      <w:bookmarkEnd w:id="2316"/>
      <w:bookmarkEnd w:id="2317"/>
      <w:bookmarkEnd w:id="2318"/>
    </w:p>
    <w:p w14:paraId="2410AC5D" w14:textId="4935DB06" w:rsidR="00EE03DC" w:rsidRPr="001420F0" w:rsidRDefault="00EE03DC" w:rsidP="00EE03DC">
      <w:pPr>
        <w:pStyle w:val="Level2"/>
        <w:tabs>
          <w:tab w:val="num" w:pos="851"/>
        </w:tabs>
        <w:spacing w:after="120" w:line="240" w:lineRule="auto"/>
        <w:ind w:left="851"/>
        <w:rPr>
          <w:rFonts w:ascii="Arial" w:hAnsi="Arial" w:cs="Arial"/>
        </w:rPr>
      </w:pPr>
      <w:r w:rsidRPr="001420F0">
        <w:rPr>
          <w:rFonts w:ascii="Arial" w:hAnsi="Arial" w:cs="Arial"/>
        </w:rPr>
        <w:t xml:space="preserve">This part of Schedule 7.1 sets out the method by which the Supplier shall raise invoices to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for payment of the Charges, together with the requirement</w:t>
      </w:r>
      <w:r>
        <w:rPr>
          <w:rFonts w:ascii="Arial" w:hAnsi="Arial" w:cs="Arial"/>
        </w:rPr>
        <w:t>s</w:t>
      </w:r>
      <w:r w:rsidRPr="001420F0">
        <w:rPr>
          <w:rFonts w:ascii="Arial" w:hAnsi="Arial" w:cs="Arial"/>
        </w:rPr>
        <w:t xml:space="preserve"> which apply to such invoices and the payment terms thereof.</w:t>
      </w:r>
    </w:p>
    <w:p w14:paraId="2EB11E97" w14:textId="584E2220" w:rsidR="00EE03DC" w:rsidRPr="001420F0" w:rsidRDefault="00EE03DC" w:rsidP="00EE03DC">
      <w:pPr>
        <w:pStyle w:val="Level2"/>
        <w:tabs>
          <w:tab w:val="num" w:pos="851"/>
        </w:tabs>
        <w:spacing w:after="120" w:line="240" w:lineRule="auto"/>
        <w:ind w:left="851"/>
        <w:rPr>
          <w:rFonts w:ascii="Arial" w:hAnsi="Arial" w:cs="Arial"/>
        </w:rPr>
      </w:pPr>
      <w:r w:rsidRPr="001420F0">
        <w:rPr>
          <w:rFonts w:ascii="Arial" w:hAnsi="Arial" w:cs="Arial"/>
        </w:rPr>
        <w:t xml:space="preserve">The Supplier shall prepare and provide to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for approval a draft template invoice for the Charges within ten (10) Working Days of the Effective Date which shall include, as a minimum, the details set out in paragraph </w:t>
      </w:r>
      <w:r w:rsidRPr="001420F0">
        <w:rPr>
          <w:rFonts w:ascii="Arial" w:hAnsi="Arial" w:cs="Arial"/>
        </w:rPr>
        <w:fldChar w:fldCharType="begin"/>
      </w:r>
      <w:r w:rsidRPr="001420F0">
        <w:rPr>
          <w:rFonts w:ascii="Arial" w:hAnsi="Arial" w:cs="Arial"/>
        </w:rPr>
        <w:instrText xml:space="preserve"> REF _Ref81504379 \r \h  \* MERGEFORMAT </w:instrText>
      </w:r>
      <w:r w:rsidRPr="001420F0">
        <w:rPr>
          <w:rFonts w:ascii="Arial" w:hAnsi="Arial" w:cs="Arial"/>
        </w:rPr>
      </w:r>
      <w:r w:rsidRPr="001420F0">
        <w:rPr>
          <w:rFonts w:ascii="Arial" w:hAnsi="Arial" w:cs="Arial"/>
        </w:rPr>
        <w:fldChar w:fldCharType="separate"/>
      </w:r>
      <w:r w:rsidRPr="001420F0">
        <w:rPr>
          <w:rFonts w:ascii="Arial" w:hAnsi="Arial" w:cs="Arial"/>
        </w:rPr>
        <w:t>7.4</w:t>
      </w:r>
      <w:r w:rsidRPr="001420F0">
        <w:rPr>
          <w:rFonts w:ascii="Arial" w:hAnsi="Arial" w:cs="Arial"/>
        </w:rPr>
        <w:fldChar w:fldCharType="end"/>
      </w:r>
      <w:r w:rsidRPr="001420F0">
        <w:rPr>
          <w:rFonts w:ascii="Arial" w:hAnsi="Arial" w:cs="Arial"/>
        </w:rPr>
        <w:t xml:space="preserve"> together with such other information as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may reasonably require to assess whether the Charges that will be detailed therein are properly payable.  If the template invoice is not approved by </w:t>
      </w:r>
      <w:proofErr w:type="spellStart"/>
      <w:r w:rsidR="001F1C19">
        <w:rPr>
          <w:rFonts w:ascii="Arial" w:hAnsi="Arial" w:cs="Arial"/>
        </w:rPr>
        <w:t>Netlink</w:t>
      </w:r>
      <w:proofErr w:type="spellEnd"/>
      <w:r w:rsidR="001F1C19">
        <w:rPr>
          <w:rFonts w:ascii="Arial" w:hAnsi="Arial" w:cs="Arial"/>
        </w:rPr>
        <w:t xml:space="preserve"> </w:t>
      </w:r>
      <w:proofErr w:type="gramStart"/>
      <w:r w:rsidR="001F1C19">
        <w:rPr>
          <w:rFonts w:ascii="Arial" w:hAnsi="Arial" w:cs="Arial"/>
        </w:rPr>
        <w:t>Star</w:t>
      </w:r>
      <w:proofErr w:type="gramEnd"/>
      <w:r w:rsidRPr="001420F0">
        <w:rPr>
          <w:rFonts w:ascii="Arial" w:hAnsi="Arial" w:cs="Arial"/>
        </w:rPr>
        <w:t xml:space="preserve"> then the Supplier shall make such amendments as may be reasonably required by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If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uses an e-invoicing </w:t>
      </w:r>
      <w:proofErr w:type="gramStart"/>
      <w:r w:rsidRPr="001420F0">
        <w:rPr>
          <w:rFonts w:ascii="Arial" w:hAnsi="Arial" w:cs="Arial"/>
        </w:rPr>
        <w:t>system</w:t>
      </w:r>
      <w:proofErr w:type="gramEnd"/>
      <w:r w:rsidRPr="001420F0">
        <w:rPr>
          <w:rFonts w:ascii="Arial" w:hAnsi="Arial" w:cs="Arial"/>
        </w:rPr>
        <w:t xml:space="preserve"> then the Supplier shall instead comply with the requirements of that system.</w:t>
      </w:r>
    </w:p>
    <w:p w14:paraId="5BEF402D" w14:textId="77777777" w:rsidR="00EE03DC" w:rsidRPr="001420F0" w:rsidRDefault="00EE03DC" w:rsidP="00EE03DC">
      <w:pPr>
        <w:pStyle w:val="Level2"/>
        <w:tabs>
          <w:tab w:val="num" w:pos="851"/>
        </w:tabs>
        <w:spacing w:after="120" w:line="240" w:lineRule="auto"/>
        <w:ind w:left="851"/>
        <w:rPr>
          <w:rFonts w:ascii="Arial" w:hAnsi="Arial" w:cs="Arial"/>
        </w:rPr>
      </w:pPr>
      <w:r w:rsidRPr="001420F0">
        <w:rPr>
          <w:rFonts w:ascii="Arial" w:hAnsi="Arial" w:cs="Arial"/>
        </w:rPr>
        <w:t>The Supplier shall submit invoices monthly in arrears.</w:t>
      </w:r>
    </w:p>
    <w:p w14:paraId="047DD678" w14:textId="488019EA" w:rsidR="00EE03DC" w:rsidRPr="001420F0" w:rsidRDefault="00EE03DC" w:rsidP="00EE03DC">
      <w:pPr>
        <w:pStyle w:val="Level2"/>
        <w:tabs>
          <w:tab w:val="num" w:pos="851"/>
        </w:tabs>
        <w:spacing w:after="120" w:line="240" w:lineRule="auto"/>
        <w:ind w:left="851"/>
        <w:rPr>
          <w:rFonts w:ascii="Arial" w:hAnsi="Arial" w:cs="Arial"/>
        </w:rPr>
      </w:pPr>
      <w:bookmarkStart w:id="2319" w:name="_Ref81504379"/>
      <w:r w:rsidRPr="001420F0">
        <w:rPr>
          <w:rFonts w:ascii="Arial" w:hAnsi="Arial" w:cs="Arial"/>
        </w:rPr>
        <w:t xml:space="preserve">The Supplier shall ensure that each invoice is submitted in the correct format for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’s e-invoicing system, or that it contains the following information:</w:t>
      </w:r>
      <w:bookmarkEnd w:id="2319"/>
    </w:p>
    <w:p w14:paraId="6A995E15" w14:textId="77777777" w:rsidR="00EE03DC" w:rsidRPr="001420F0" w:rsidRDefault="00EE03DC" w:rsidP="00EE03DC">
      <w:pPr>
        <w:pStyle w:val="Level3"/>
        <w:spacing w:line="240" w:lineRule="auto"/>
        <w:rPr>
          <w:rFonts w:ascii="Arial" w:hAnsi="Arial" w:cs="Arial"/>
        </w:rPr>
      </w:pPr>
      <w:r w:rsidRPr="001420F0">
        <w:rPr>
          <w:rFonts w:ascii="Arial" w:hAnsi="Arial" w:cs="Arial"/>
        </w:rPr>
        <w:t xml:space="preserve">the date of the </w:t>
      </w:r>
      <w:proofErr w:type="gramStart"/>
      <w:r w:rsidRPr="001420F0">
        <w:rPr>
          <w:rFonts w:ascii="Arial" w:hAnsi="Arial" w:cs="Arial"/>
        </w:rPr>
        <w:t>invoice;</w:t>
      </w:r>
      <w:proofErr w:type="gramEnd"/>
    </w:p>
    <w:p w14:paraId="18BB3714" w14:textId="77777777" w:rsidR="00EE03DC" w:rsidRPr="001420F0" w:rsidRDefault="00EE03DC" w:rsidP="00EE03DC">
      <w:pPr>
        <w:pStyle w:val="Level3"/>
        <w:spacing w:line="240" w:lineRule="auto"/>
        <w:rPr>
          <w:rFonts w:ascii="Arial" w:hAnsi="Arial" w:cs="Arial"/>
        </w:rPr>
      </w:pPr>
      <w:r w:rsidRPr="001420F0">
        <w:rPr>
          <w:rFonts w:ascii="Arial" w:hAnsi="Arial" w:cs="Arial"/>
        </w:rPr>
        <w:t xml:space="preserve">a unique invoice </w:t>
      </w:r>
      <w:proofErr w:type="gramStart"/>
      <w:r w:rsidRPr="001420F0">
        <w:rPr>
          <w:rFonts w:ascii="Arial" w:hAnsi="Arial" w:cs="Arial"/>
        </w:rPr>
        <w:t>number;</w:t>
      </w:r>
      <w:proofErr w:type="gramEnd"/>
    </w:p>
    <w:p w14:paraId="613CBFDF" w14:textId="77777777" w:rsidR="00EE03DC" w:rsidRPr="001420F0" w:rsidRDefault="00EE03DC" w:rsidP="00EE03DC">
      <w:pPr>
        <w:pStyle w:val="Level3"/>
        <w:spacing w:line="240" w:lineRule="auto"/>
        <w:rPr>
          <w:rFonts w:ascii="Arial" w:hAnsi="Arial" w:cs="Arial"/>
        </w:rPr>
      </w:pPr>
      <w:r w:rsidRPr="001420F0">
        <w:rPr>
          <w:rFonts w:ascii="Arial" w:hAnsi="Arial" w:cs="Arial"/>
        </w:rPr>
        <w:t xml:space="preserve">the month to which the relevant monthly Operate Charges and Project Charge(s) </w:t>
      </w:r>
      <w:proofErr w:type="gramStart"/>
      <w:r w:rsidRPr="001420F0">
        <w:rPr>
          <w:rFonts w:ascii="Arial" w:hAnsi="Arial" w:cs="Arial"/>
        </w:rPr>
        <w:t>relate;</w:t>
      </w:r>
      <w:proofErr w:type="gramEnd"/>
    </w:p>
    <w:p w14:paraId="7299C465" w14:textId="77777777" w:rsidR="00EE03DC" w:rsidRPr="001420F0" w:rsidRDefault="00EE03DC" w:rsidP="00EE03DC">
      <w:pPr>
        <w:pStyle w:val="Level3"/>
        <w:spacing w:line="240" w:lineRule="auto"/>
        <w:rPr>
          <w:rFonts w:ascii="Arial" w:hAnsi="Arial" w:cs="Arial"/>
        </w:rPr>
      </w:pPr>
      <w:r w:rsidRPr="001420F0">
        <w:rPr>
          <w:rFonts w:ascii="Arial" w:hAnsi="Arial" w:cs="Arial"/>
        </w:rPr>
        <w:t xml:space="preserve">the correct reference for this </w:t>
      </w:r>
      <w:proofErr w:type="gramStart"/>
      <w:r w:rsidRPr="001420F0">
        <w:rPr>
          <w:rFonts w:ascii="Arial" w:hAnsi="Arial" w:cs="Arial"/>
        </w:rPr>
        <w:t>Agreement;</w:t>
      </w:r>
      <w:proofErr w:type="gramEnd"/>
    </w:p>
    <w:p w14:paraId="10105699" w14:textId="77777777" w:rsidR="00EE03DC" w:rsidRPr="001420F0" w:rsidRDefault="00EE03DC" w:rsidP="00EE03DC">
      <w:pPr>
        <w:pStyle w:val="Level3"/>
        <w:spacing w:line="240" w:lineRule="auto"/>
        <w:rPr>
          <w:rFonts w:ascii="Arial" w:hAnsi="Arial" w:cs="Arial"/>
        </w:rPr>
      </w:pPr>
      <w:r w:rsidRPr="001420F0">
        <w:rPr>
          <w:rFonts w:ascii="Arial" w:hAnsi="Arial" w:cs="Arial"/>
        </w:rPr>
        <w:t>the reference number of the purchase order to which it relates (if any</w:t>
      </w:r>
      <w:proofErr w:type="gramStart"/>
      <w:r w:rsidRPr="001420F0">
        <w:rPr>
          <w:rFonts w:ascii="Arial" w:hAnsi="Arial" w:cs="Arial"/>
        </w:rPr>
        <w:t>);</w:t>
      </w:r>
      <w:proofErr w:type="gramEnd"/>
    </w:p>
    <w:p w14:paraId="5DD6E174" w14:textId="77777777" w:rsidR="00EE03DC" w:rsidRPr="001420F0" w:rsidRDefault="00EE03DC" w:rsidP="00EE03DC">
      <w:pPr>
        <w:pStyle w:val="Level3"/>
        <w:spacing w:line="240" w:lineRule="auto"/>
        <w:rPr>
          <w:rFonts w:ascii="Arial" w:hAnsi="Arial" w:cs="Arial"/>
        </w:rPr>
      </w:pPr>
      <w:r w:rsidRPr="001420F0">
        <w:rPr>
          <w:rFonts w:ascii="Arial" w:hAnsi="Arial" w:cs="Arial"/>
        </w:rPr>
        <w:t xml:space="preserve">the dates between which the Services subject of each of the Charges detailed on the invoice were </w:t>
      </w:r>
      <w:proofErr w:type="gramStart"/>
      <w:r w:rsidRPr="001420F0">
        <w:rPr>
          <w:rFonts w:ascii="Arial" w:hAnsi="Arial" w:cs="Arial"/>
        </w:rPr>
        <w:t>performed;</w:t>
      </w:r>
      <w:proofErr w:type="gramEnd"/>
    </w:p>
    <w:p w14:paraId="17940FFC" w14:textId="77777777" w:rsidR="00EE03DC" w:rsidRPr="001420F0" w:rsidRDefault="00EE03DC" w:rsidP="00EE03DC">
      <w:pPr>
        <w:pStyle w:val="Level3"/>
        <w:spacing w:line="240" w:lineRule="auto"/>
        <w:rPr>
          <w:rFonts w:ascii="Arial" w:hAnsi="Arial" w:cs="Arial"/>
        </w:rPr>
      </w:pPr>
      <w:r w:rsidRPr="001420F0">
        <w:rPr>
          <w:rFonts w:ascii="Arial" w:hAnsi="Arial" w:cs="Arial"/>
        </w:rPr>
        <w:t xml:space="preserve">a description of the Services to which the invoice </w:t>
      </w:r>
      <w:proofErr w:type="gramStart"/>
      <w:r w:rsidRPr="001420F0">
        <w:rPr>
          <w:rFonts w:ascii="Arial" w:hAnsi="Arial" w:cs="Arial"/>
        </w:rPr>
        <w:t>relates;</w:t>
      </w:r>
      <w:proofErr w:type="gramEnd"/>
    </w:p>
    <w:p w14:paraId="2635FF27" w14:textId="72C1C8BF" w:rsidR="00EE03DC" w:rsidRPr="001420F0" w:rsidRDefault="00EE03DC" w:rsidP="00EE03DC">
      <w:pPr>
        <w:pStyle w:val="Level3"/>
        <w:spacing w:line="240" w:lineRule="auto"/>
        <w:rPr>
          <w:rFonts w:ascii="Arial" w:hAnsi="Arial" w:cs="Arial"/>
        </w:rPr>
      </w:pPr>
      <w:r w:rsidRPr="001420F0">
        <w:rPr>
          <w:rFonts w:ascii="Arial" w:hAnsi="Arial" w:cs="Arial"/>
        </w:rPr>
        <w:t xml:space="preserve">the pricing mechanism used to calculate the Charges (such as </w:t>
      </w:r>
      <w:r w:rsidR="00476A6C" w:rsidRPr="001420F0">
        <w:rPr>
          <w:rFonts w:ascii="Arial" w:hAnsi="Arial" w:cs="Arial"/>
        </w:rPr>
        <w:t>fixed price, time and materials etc</w:t>
      </w:r>
      <w:proofErr w:type="gramStart"/>
      <w:r w:rsidRPr="001420F0">
        <w:rPr>
          <w:rFonts w:ascii="Arial" w:hAnsi="Arial" w:cs="Arial"/>
        </w:rPr>
        <w:t>);</w:t>
      </w:r>
      <w:proofErr w:type="gramEnd"/>
    </w:p>
    <w:p w14:paraId="008A5563" w14:textId="77777777" w:rsidR="00EE03DC" w:rsidRPr="001420F0" w:rsidRDefault="00EE03DC" w:rsidP="00EE03DC">
      <w:pPr>
        <w:pStyle w:val="Level3"/>
        <w:spacing w:line="240" w:lineRule="auto"/>
        <w:rPr>
          <w:rFonts w:ascii="Arial" w:hAnsi="Arial" w:cs="Arial"/>
        </w:rPr>
      </w:pPr>
      <w:r w:rsidRPr="001420F0">
        <w:rPr>
          <w:rFonts w:ascii="Arial" w:hAnsi="Arial" w:cs="Arial"/>
        </w:rPr>
        <w:t xml:space="preserve">any payments due in respect of Achievement of a Milestone, including the Milestone Achievement Certificate number for each relevant </w:t>
      </w:r>
      <w:proofErr w:type="gramStart"/>
      <w:r w:rsidRPr="001420F0">
        <w:rPr>
          <w:rFonts w:ascii="Arial" w:hAnsi="Arial" w:cs="Arial"/>
        </w:rPr>
        <w:t>Milestone;</w:t>
      </w:r>
      <w:proofErr w:type="gramEnd"/>
    </w:p>
    <w:p w14:paraId="55FA5EC0" w14:textId="2D38A044" w:rsidR="00EE03DC" w:rsidRPr="001420F0" w:rsidRDefault="00EE03DC" w:rsidP="00EE03DC">
      <w:pPr>
        <w:pStyle w:val="Level3"/>
        <w:spacing w:line="240" w:lineRule="auto"/>
        <w:rPr>
          <w:rFonts w:ascii="Arial" w:hAnsi="Arial" w:cs="Arial"/>
        </w:rPr>
      </w:pPr>
      <w:r w:rsidRPr="001420F0">
        <w:rPr>
          <w:rFonts w:ascii="Arial" w:hAnsi="Arial" w:cs="Arial"/>
        </w:rPr>
        <w:t xml:space="preserve">the total Charges gross and net of any applicable deductions and, separately, the amount of any </w:t>
      </w:r>
      <w:r w:rsidR="006A0217" w:rsidRPr="001420F0">
        <w:rPr>
          <w:rFonts w:ascii="Arial" w:hAnsi="Arial" w:cs="Arial"/>
        </w:rPr>
        <w:t xml:space="preserve">reimbursable expenses </w:t>
      </w:r>
      <w:r w:rsidRPr="001420F0">
        <w:rPr>
          <w:rFonts w:ascii="Arial" w:hAnsi="Arial" w:cs="Arial"/>
        </w:rPr>
        <w:t xml:space="preserve">properly chargeable to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under the terms of this Agreement, and, separately, any VAT or other sales tax payable in respect of each of the </w:t>
      </w:r>
      <w:proofErr w:type="gramStart"/>
      <w:r w:rsidRPr="001420F0">
        <w:rPr>
          <w:rFonts w:ascii="Arial" w:hAnsi="Arial" w:cs="Arial"/>
        </w:rPr>
        <w:t>same;</w:t>
      </w:r>
      <w:proofErr w:type="gramEnd"/>
    </w:p>
    <w:p w14:paraId="0111D6E7" w14:textId="77777777" w:rsidR="00EE03DC" w:rsidRPr="001420F0" w:rsidRDefault="00EE03DC" w:rsidP="00EE03DC">
      <w:pPr>
        <w:pStyle w:val="Level3"/>
        <w:spacing w:line="240" w:lineRule="auto"/>
        <w:rPr>
          <w:rFonts w:ascii="Arial" w:hAnsi="Arial" w:cs="Arial"/>
        </w:rPr>
      </w:pPr>
      <w:r w:rsidRPr="001420F0">
        <w:rPr>
          <w:rFonts w:ascii="Arial" w:hAnsi="Arial" w:cs="Arial"/>
        </w:rPr>
        <w:t xml:space="preserve">all Product and Service Catalogue </w:t>
      </w:r>
      <w:proofErr w:type="gramStart"/>
      <w:r w:rsidRPr="001420F0">
        <w:rPr>
          <w:rFonts w:ascii="Arial" w:hAnsi="Arial" w:cs="Arial"/>
        </w:rPr>
        <w:t>Charges;</w:t>
      </w:r>
      <w:proofErr w:type="gramEnd"/>
    </w:p>
    <w:p w14:paraId="246E111E" w14:textId="77777777" w:rsidR="00EE03DC" w:rsidRPr="001420F0" w:rsidRDefault="00EE03DC" w:rsidP="00EE03DC">
      <w:pPr>
        <w:pStyle w:val="Level3"/>
        <w:spacing w:line="240" w:lineRule="auto"/>
        <w:rPr>
          <w:rFonts w:ascii="Arial" w:hAnsi="Arial" w:cs="Arial"/>
        </w:rPr>
      </w:pPr>
      <w:r w:rsidRPr="001420F0">
        <w:rPr>
          <w:rFonts w:ascii="Arial" w:hAnsi="Arial" w:cs="Arial"/>
        </w:rPr>
        <w:t xml:space="preserve">details of any Service Credits or Delay Payments or similar deductions that shall apply to the Charges detailed on the </w:t>
      </w:r>
      <w:proofErr w:type="gramStart"/>
      <w:r w:rsidRPr="001420F0">
        <w:rPr>
          <w:rFonts w:ascii="Arial" w:hAnsi="Arial" w:cs="Arial"/>
        </w:rPr>
        <w:t>invoice;</w:t>
      </w:r>
      <w:proofErr w:type="gramEnd"/>
    </w:p>
    <w:p w14:paraId="2D938464" w14:textId="20477168" w:rsidR="00EE03DC" w:rsidRPr="001420F0" w:rsidRDefault="00EE03DC" w:rsidP="00EE03DC">
      <w:pPr>
        <w:pStyle w:val="Level3"/>
        <w:spacing w:line="240" w:lineRule="auto"/>
        <w:rPr>
          <w:rFonts w:ascii="Arial" w:hAnsi="Arial" w:cs="Arial"/>
        </w:rPr>
      </w:pPr>
      <w:r w:rsidRPr="001420F0">
        <w:rPr>
          <w:rFonts w:ascii="Arial" w:hAnsi="Arial" w:cs="Arial"/>
        </w:rPr>
        <w:t xml:space="preserve">reference to any reports required by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in respect of the Services to which the Charges detailed on the invoice relate (or in the case of reports issued by the Supplier for validation by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then to any such reports as are validated by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in respect of the Services</w:t>
      </w:r>
      <w:proofErr w:type="gramStart"/>
      <w:r w:rsidRPr="001420F0">
        <w:rPr>
          <w:rFonts w:ascii="Arial" w:hAnsi="Arial" w:cs="Arial"/>
        </w:rPr>
        <w:t>);</w:t>
      </w:r>
      <w:proofErr w:type="gramEnd"/>
    </w:p>
    <w:p w14:paraId="0F4AC32A" w14:textId="4A9DF29A" w:rsidR="00EE03DC" w:rsidRPr="001420F0" w:rsidRDefault="00EE03DC" w:rsidP="00EE03DC">
      <w:pPr>
        <w:pStyle w:val="Level3"/>
        <w:spacing w:line="240" w:lineRule="auto"/>
        <w:rPr>
          <w:rFonts w:ascii="Arial" w:hAnsi="Arial" w:cs="Arial"/>
        </w:rPr>
      </w:pPr>
      <w:r w:rsidRPr="001420F0">
        <w:rPr>
          <w:rFonts w:ascii="Arial" w:hAnsi="Arial" w:cs="Arial"/>
        </w:rPr>
        <w:lastRenderedPageBreak/>
        <w:t>a contact name and telephone number of a responsible pers</w:t>
      </w:r>
      <w:r w:rsidR="008D4F23">
        <w:rPr>
          <w:rFonts w:ascii="Arial" w:hAnsi="Arial" w:cs="Arial"/>
        </w:rPr>
        <w:t>o</w:t>
      </w:r>
      <w:r w:rsidRPr="001420F0">
        <w:rPr>
          <w:rFonts w:ascii="Arial" w:hAnsi="Arial" w:cs="Arial"/>
        </w:rPr>
        <w:t>n in the Supplier's finance department in the event of administrative queries; and</w:t>
      </w:r>
    </w:p>
    <w:p w14:paraId="422DE163" w14:textId="77777777" w:rsidR="00EE03DC" w:rsidRPr="001420F0" w:rsidRDefault="00EE03DC" w:rsidP="00EE03DC">
      <w:pPr>
        <w:pStyle w:val="Level3"/>
        <w:spacing w:line="240" w:lineRule="auto"/>
        <w:rPr>
          <w:rFonts w:ascii="Arial" w:hAnsi="Arial" w:cs="Arial"/>
        </w:rPr>
      </w:pPr>
      <w:r w:rsidRPr="001420F0">
        <w:rPr>
          <w:rFonts w:ascii="Arial" w:hAnsi="Arial" w:cs="Arial"/>
        </w:rPr>
        <w:t>the banking details for payment to the Supplier via electronic transfer of funds (</w:t>
      </w:r>
      <w:proofErr w:type="gramStart"/>
      <w:r w:rsidRPr="001420F0">
        <w:rPr>
          <w:rFonts w:ascii="Arial" w:hAnsi="Arial" w:cs="Arial"/>
        </w:rPr>
        <w:t>i.e.</w:t>
      </w:r>
      <w:proofErr w:type="gramEnd"/>
      <w:r w:rsidRPr="001420F0">
        <w:rPr>
          <w:rFonts w:ascii="Arial" w:hAnsi="Arial" w:cs="Arial"/>
        </w:rPr>
        <w:t xml:space="preserve"> name and address of bank, sort code, account name and number).</w:t>
      </w:r>
    </w:p>
    <w:p w14:paraId="752C5ADB" w14:textId="23470B33" w:rsidR="00EE03DC" w:rsidRPr="001420F0" w:rsidRDefault="00EE03DC" w:rsidP="00EE03DC">
      <w:pPr>
        <w:pStyle w:val="Level2"/>
        <w:tabs>
          <w:tab w:val="num" w:pos="851"/>
        </w:tabs>
        <w:spacing w:after="120" w:line="240" w:lineRule="auto"/>
        <w:ind w:left="851"/>
        <w:rPr>
          <w:rFonts w:ascii="Arial" w:hAnsi="Arial" w:cs="Arial"/>
        </w:rPr>
      </w:pPr>
      <w:r w:rsidRPr="001420F0">
        <w:rPr>
          <w:rFonts w:ascii="Arial" w:hAnsi="Arial" w:cs="Arial"/>
        </w:rPr>
        <w:t xml:space="preserve">The Supplier shall be entitled to invoice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in respect of Services in accordance with the requirements in Paragraph </w:t>
      </w:r>
      <w:r w:rsidRPr="001420F0">
        <w:rPr>
          <w:rFonts w:ascii="Arial" w:hAnsi="Arial" w:cs="Arial"/>
        </w:rPr>
        <w:fldChar w:fldCharType="begin"/>
      </w:r>
      <w:r w:rsidRPr="001420F0">
        <w:rPr>
          <w:rFonts w:ascii="Arial" w:hAnsi="Arial" w:cs="Arial"/>
        </w:rPr>
        <w:instrText xml:space="preserve"> REF _Ref81504548 \r \h  \* MERGEFORMAT </w:instrText>
      </w:r>
      <w:r w:rsidRPr="001420F0">
        <w:rPr>
          <w:rFonts w:ascii="Arial" w:hAnsi="Arial" w:cs="Arial"/>
        </w:rPr>
      </w:r>
      <w:r w:rsidRPr="001420F0">
        <w:rPr>
          <w:rFonts w:ascii="Arial" w:hAnsi="Arial" w:cs="Arial"/>
        </w:rPr>
        <w:fldChar w:fldCharType="separate"/>
      </w:r>
      <w:r w:rsidRPr="001420F0">
        <w:rPr>
          <w:rFonts w:ascii="Arial" w:hAnsi="Arial" w:cs="Arial"/>
        </w:rPr>
        <w:t>7</w:t>
      </w:r>
      <w:r w:rsidRPr="001420F0">
        <w:rPr>
          <w:rFonts w:ascii="Arial" w:hAnsi="Arial" w:cs="Arial"/>
        </w:rPr>
        <w:fldChar w:fldCharType="end"/>
      </w:r>
      <w:r w:rsidRPr="001420F0">
        <w:rPr>
          <w:rFonts w:ascii="Arial" w:hAnsi="Arial" w:cs="Arial"/>
        </w:rPr>
        <w:t xml:space="preserve">. Prior to submitting any </w:t>
      </w:r>
      <w:proofErr w:type="gramStart"/>
      <w:r w:rsidRPr="001420F0">
        <w:rPr>
          <w:rFonts w:ascii="Arial" w:hAnsi="Arial" w:cs="Arial"/>
        </w:rPr>
        <w:t>invoice</w:t>
      </w:r>
      <w:proofErr w:type="gramEnd"/>
      <w:r w:rsidRPr="001420F0">
        <w:rPr>
          <w:rFonts w:ascii="Arial" w:hAnsi="Arial" w:cs="Arial"/>
        </w:rPr>
        <w:t xml:space="preserve"> the Supplier shall first submit to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a draft invoice setting out the Charges payable.  The Parties shall endeavour to agree the draft invoice within five (5) Working Days of its receipt by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following which the Supplier shall be entitled to submit its invoice.</w:t>
      </w:r>
    </w:p>
    <w:p w14:paraId="41A67B72" w14:textId="3C472794" w:rsidR="00EE03DC" w:rsidRPr="001420F0" w:rsidRDefault="00EE03DC" w:rsidP="00EE03DC">
      <w:pPr>
        <w:pStyle w:val="Level2"/>
        <w:tabs>
          <w:tab w:val="num" w:pos="851"/>
        </w:tabs>
        <w:spacing w:after="120" w:line="240" w:lineRule="auto"/>
        <w:ind w:left="851"/>
        <w:rPr>
          <w:rFonts w:ascii="Arial" w:hAnsi="Arial" w:cs="Arial"/>
        </w:rPr>
      </w:pPr>
      <w:r w:rsidRPr="001420F0">
        <w:rPr>
          <w:rFonts w:ascii="Arial" w:hAnsi="Arial" w:cs="Arial"/>
        </w:rPr>
        <w:t xml:space="preserve">Each invoice </w:t>
      </w:r>
      <w:proofErr w:type="gramStart"/>
      <w:r w:rsidRPr="001420F0">
        <w:rPr>
          <w:rFonts w:ascii="Arial" w:hAnsi="Arial" w:cs="Arial"/>
        </w:rPr>
        <w:t>shall at all times</w:t>
      </w:r>
      <w:proofErr w:type="gramEnd"/>
      <w:r w:rsidRPr="001420F0">
        <w:rPr>
          <w:rFonts w:ascii="Arial" w:hAnsi="Arial" w:cs="Arial"/>
        </w:rPr>
        <w:t xml:space="preserve"> be accompanied by </w:t>
      </w:r>
      <w:r w:rsidR="00FF3BC0">
        <w:rPr>
          <w:rFonts w:ascii="Arial" w:hAnsi="Arial" w:cs="Arial"/>
        </w:rPr>
        <w:t>s</w:t>
      </w:r>
      <w:r w:rsidRPr="001420F0">
        <w:rPr>
          <w:rFonts w:ascii="Arial" w:hAnsi="Arial" w:cs="Arial"/>
        </w:rPr>
        <w:t xml:space="preserve">upporting </w:t>
      </w:r>
      <w:r w:rsidR="00FF3BC0">
        <w:rPr>
          <w:rFonts w:ascii="Arial" w:hAnsi="Arial" w:cs="Arial"/>
        </w:rPr>
        <w:t>d</w:t>
      </w:r>
      <w:r w:rsidRPr="001420F0">
        <w:rPr>
          <w:rFonts w:ascii="Arial" w:hAnsi="Arial" w:cs="Arial"/>
        </w:rPr>
        <w:t xml:space="preserve">ocumentation in accordance with </w:t>
      </w:r>
      <w:r w:rsidRPr="00C35613">
        <w:rPr>
          <w:rFonts w:ascii="Arial" w:hAnsi="Arial" w:cs="Arial"/>
        </w:rPr>
        <w:t>Schedule 2.2</w:t>
      </w:r>
      <w:r w:rsidRPr="001420F0">
        <w:rPr>
          <w:rFonts w:ascii="Arial" w:hAnsi="Arial" w:cs="Arial"/>
        </w:rPr>
        <w:t xml:space="preserve"> (Service Level</w:t>
      </w:r>
      <w:r>
        <w:rPr>
          <w:rFonts w:ascii="Arial" w:hAnsi="Arial" w:cs="Arial"/>
        </w:rPr>
        <w:t>s</w:t>
      </w:r>
      <w:r w:rsidRPr="001420F0">
        <w:rPr>
          <w:rFonts w:ascii="Arial" w:hAnsi="Arial" w:cs="Arial"/>
        </w:rPr>
        <w:t xml:space="preserve">) Paragraph 7 (Performance Reporting).  Any assessment by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as to what constitutes </w:t>
      </w:r>
      <w:r w:rsidR="00BE3D26" w:rsidRPr="001420F0">
        <w:rPr>
          <w:rFonts w:ascii="Arial" w:hAnsi="Arial" w:cs="Arial"/>
        </w:rPr>
        <w:t xml:space="preserve">supporting documentation </w:t>
      </w:r>
      <w:r w:rsidRPr="001420F0">
        <w:rPr>
          <w:rFonts w:ascii="Arial" w:hAnsi="Arial" w:cs="Arial"/>
        </w:rPr>
        <w:t xml:space="preserve">shall not be conclusive and the Supplier undertakes to provide to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any other documentation reasonably required by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from time to time to substantiate an invoice.</w:t>
      </w:r>
    </w:p>
    <w:p w14:paraId="2ADA8FDE" w14:textId="5C9FADF8" w:rsidR="00EE03DC" w:rsidRPr="001420F0" w:rsidRDefault="00EE03DC" w:rsidP="00EE03DC">
      <w:pPr>
        <w:pStyle w:val="Level2"/>
        <w:tabs>
          <w:tab w:val="num" w:pos="851"/>
        </w:tabs>
        <w:spacing w:after="120" w:line="240" w:lineRule="auto"/>
        <w:ind w:left="851"/>
        <w:rPr>
          <w:rFonts w:ascii="Arial" w:hAnsi="Arial" w:cs="Arial"/>
        </w:rPr>
      </w:pPr>
      <w:bookmarkStart w:id="2320" w:name="_Hlk81837608"/>
      <w:r w:rsidRPr="001420F0">
        <w:rPr>
          <w:rFonts w:ascii="Arial" w:hAnsi="Arial" w:cs="Arial"/>
        </w:rPr>
        <w:t xml:space="preserve">The Supplier shall submit all invoices and </w:t>
      </w:r>
      <w:r w:rsidR="00BE3D26" w:rsidRPr="001420F0">
        <w:rPr>
          <w:rFonts w:ascii="Arial" w:hAnsi="Arial" w:cs="Arial"/>
        </w:rPr>
        <w:t xml:space="preserve">supporting documentation </w:t>
      </w:r>
      <w:r w:rsidRPr="001420F0">
        <w:rPr>
          <w:rFonts w:ascii="Arial" w:hAnsi="Arial" w:cs="Arial"/>
        </w:rPr>
        <w:t>to</w:t>
      </w:r>
      <w:r>
        <w:rPr>
          <w:rFonts w:ascii="Arial" w:hAnsi="Arial" w:cs="Arial"/>
        </w:rPr>
        <w:t xml:space="preserve"> both</w:t>
      </w:r>
      <w:r w:rsidRPr="001420F0">
        <w:rPr>
          <w:rFonts w:ascii="Arial" w:hAnsi="Arial" w:cs="Arial"/>
        </w:rPr>
        <w:t>:</w:t>
      </w:r>
    </w:p>
    <w:p w14:paraId="1DCE0E1E" w14:textId="10C634DB" w:rsidR="00EE03DC" w:rsidRPr="001420F0" w:rsidRDefault="00EE03DC" w:rsidP="008B6AF5">
      <w:pPr>
        <w:pStyle w:val="Level3"/>
        <w:spacing w:line="240" w:lineRule="auto"/>
        <w:rPr>
          <w:rFonts w:ascii="Arial" w:hAnsi="Arial" w:cs="Arial"/>
        </w:rPr>
      </w:pPr>
      <w:r>
        <w:rPr>
          <w:rFonts w:ascii="Arial" w:hAnsi="Arial" w:cs="Arial"/>
        </w:rPr>
        <w:t xml:space="preserve">by post,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Accounts Payable, P.O. Box 4145, Manchester M60 7WZ; and</w:t>
      </w:r>
    </w:p>
    <w:p w14:paraId="05005FE8" w14:textId="1137410F" w:rsidR="00EE03DC" w:rsidRDefault="00EE03DC" w:rsidP="008B6AF5">
      <w:pPr>
        <w:pStyle w:val="Level3"/>
        <w:spacing w:line="240" w:lineRule="auto"/>
        <w:rPr>
          <w:rStyle w:val="Hyperlink"/>
          <w:rFonts w:ascii="Arial" w:hAnsi="Arial" w:cs="Arial"/>
        </w:rPr>
      </w:pPr>
      <w:r>
        <w:rPr>
          <w:rFonts w:ascii="Arial" w:hAnsi="Arial" w:cs="Arial"/>
        </w:rPr>
        <w:t xml:space="preserve">by </w:t>
      </w:r>
      <w:r w:rsidRPr="001420F0">
        <w:rPr>
          <w:rFonts w:ascii="Arial" w:hAnsi="Arial" w:cs="Arial"/>
        </w:rPr>
        <w:t>email</w:t>
      </w:r>
      <w:r>
        <w:rPr>
          <w:rFonts w:ascii="Arial" w:hAnsi="Arial" w:cs="Arial"/>
        </w:rPr>
        <w:t>,</w:t>
      </w:r>
      <w:r w:rsidRPr="001420F0">
        <w:rPr>
          <w:rFonts w:ascii="Arial" w:hAnsi="Arial" w:cs="Arial"/>
        </w:rPr>
        <w:t xml:space="preserve"> </w:t>
      </w:r>
      <w:hyperlink r:id="rId51" w:history="1">
        <w:r w:rsidR="00EF68D3" w:rsidRPr="00102DD7">
          <w:rPr>
            <w:rStyle w:val="Hyperlink"/>
            <w:rFonts w:ascii="Arial" w:hAnsi="Arial" w:cs="Arial"/>
          </w:rPr>
          <w:t>invoices@net.co.uk</w:t>
        </w:r>
      </w:hyperlink>
      <w:r>
        <w:rPr>
          <w:rStyle w:val="Hyperlink"/>
          <w:rFonts w:ascii="Arial" w:hAnsi="Arial" w:cs="Arial"/>
        </w:rPr>
        <w:t>,</w:t>
      </w:r>
    </w:p>
    <w:p w14:paraId="7A6BF3EF" w14:textId="1EE6721A" w:rsidR="00EE03DC" w:rsidRPr="001420F0" w:rsidRDefault="00EE03DC" w:rsidP="008B6AF5">
      <w:pPr>
        <w:pStyle w:val="Body"/>
        <w:spacing w:after="120" w:line="240" w:lineRule="auto"/>
        <w:ind w:left="851"/>
        <w:rPr>
          <w:rFonts w:ascii="Arial" w:hAnsi="Arial" w:cs="Arial"/>
        </w:rPr>
      </w:pPr>
      <w:r w:rsidRPr="001420F0">
        <w:rPr>
          <w:rFonts w:ascii="Arial" w:hAnsi="Arial" w:cs="Arial"/>
        </w:rPr>
        <w:t xml:space="preserve">with a copy (again including any </w:t>
      </w:r>
      <w:r w:rsidR="00BE3D26" w:rsidRPr="001420F0">
        <w:rPr>
          <w:rFonts w:ascii="Arial" w:hAnsi="Arial" w:cs="Arial"/>
        </w:rPr>
        <w:t>supporting documentation</w:t>
      </w:r>
      <w:r w:rsidRPr="001420F0">
        <w:rPr>
          <w:rFonts w:ascii="Arial" w:hAnsi="Arial" w:cs="Arial"/>
        </w:rPr>
        <w:t xml:space="preserve">) to such other person and at such place as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may notify to the Supplier from time to time.</w:t>
      </w:r>
    </w:p>
    <w:bookmarkEnd w:id="2320"/>
    <w:p w14:paraId="1A7A21EB" w14:textId="53449704" w:rsidR="00EE03DC" w:rsidRPr="001420F0" w:rsidRDefault="00EE03DC" w:rsidP="00EE03DC">
      <w:pPr>
        <w:pStyle w:val="Level2"/>
        <w:tabs>
          <w:tab w:val="num" w:pos="851"/>
        </w:tabs>
        <w:spacing w:after="120" w:line="240" w:lineRule="auto"/>
        <w:ind w:left="851"/>
        <w:rPr>
          <w:rFonts w:ascii="Arial" w:hAnsi="Arial" w:cs="Arial"/>
        </w:rPr>
      </w:pPr>
      <w:r w:rsidRPr="001420F0">
        <w:rPr>
          <w:rFonts w:ascii="Arial" w:hAnsi="Arial" w:cs="Arial"/>
        </w:rPr>
        <w:t xml:space="preserve">All Supplier invoices shall be expressed in </w:t>
      </w:r>
      <w:proofErr w:type="gramStart"/>
      <w:r w:rsidRPr="001420F0">
        <w:rPr>
          <w:rFonts w:ascii="Arial" w:hAnsi="Arial" w:cs="Arial"/>
        </w:rPr>
        <w:t>sterling</w:t>
      </w:r>
      <w:proofErr w:type="gramEnd"/>
      <w:r w:rsidRPr="001420F0">
        <w:rPr>
          <w:rFonts w:ascii="Arial" w:hAnsi="Arial" w:cs="Arial"/>
        </w:rPr>
        <w:t xml:space="preserve"> or such other currency as shall be permitted by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in writing.</w:t>
      </w:r>
    </w:p>
    <w:p w14:paraId="5A740538" w14:textId="1A7D3F76" w:rsidR="00EE03DC" w:rsidRPr="001420F0" w:rsidRDefault="001F1C19" w:rsidP="00EE03DC">
      <w:pPr>
        <w:pStyle w:val="Level2"/>
        <w:tabs>
          <w:tab w:val="num" w:pos="851"/>
        </w:tabs>
        <w:spacing w:after="120" w:line="240" w:lineRule="auto"/>
        <w:ind w:left="851"/>
        <w:rPr>
          <w:rFonts w:ascii="Arial" w:hAnsi="Arial" w:cs="Arial"/>
        </w:rPr>
      </w:pPr>
      <w:proofErr w:type="spellStart"/>
      <w:r>
        <w:rPr>
          <w:rFonts w:ascii="Arial" w:hAnsi="Arial" w:cs="Arial"/>
        </w:rPr>
        <w:t>Netlink</w:t>
      </w:r>
      <w:proofErr w:type="spellEnd"/>
      <w:r>
        <w:rPr>
          <w:rFonts w:ascii="Arial" w:hAnsi="Arial" w:cs="Arial"/>
        </w:rPr>
        <w:t xml:space="preserve"> Star</w:t>
      </w:r>
      <w:r w:rsidR="00EE03DC" w:rsidRPr="001420F0">
        <w:rPr>
          <w:rFonts w:ascii="Arial" w:hAnsi="Arial" w:cs="Arial"/>
        </w:rPr>
        <w:t xml:space="preserve"> shall regard an invoice as valid only if it complies with the provisions of this Paragraph </w:t>
      </w:r>
      <w:r w:rsidR="00EE03DC" w:rsidRPr="001420F0">
        <w:rPr>
          <w:rFonts w:ascii="Arial" w:hAnsi="Arial" w:cs="Arial"/>
        </w:rPr>
        <w:fldChar w:fldCharType="begin"/>
      </w:r>
      <w:r w:rsidR="00EE03DC" w:rsidRPr="001420F0">
        <w:rPr>
          <w:rFonts w:ascii="Arial" w:hAnsi="Arial" w:cs="Arial"/>
        </w:rPr>
        <w:instrText xml:space="preserve"> REF _Ref81504657 \r \h  \* MERGEFORMAT </w:instrText>
      </w:r>
      <w:r w:rsidR="00EE03DC" w:rsidRPr="001420F0">
        <w:rPr>
          <w:rFonts w:ascii="Arial" w:hAnsi="Arial" w:cs="Arial"/>
        </w:rPr>
      </w:r>
      <w:r w:rsidR="00EE03DC" w:rsidRPr="001420F0">
        <w:rPr>
          <w:rFonts w:ascii="Arial" w:hAnsi="Arial" w:cs="Arial"/>
        </w:rPr>
        <w:fldChar w:fldCharType="separate"/>
      </w:r>
      <w:r w:rsidR="00EE03DC" w:rsidRPr="001420F0">
        <w:rPr>
          <w:rFonts w:ascii="Arial" w:hAnsi="Arial" w:cs="Arial"/>
        </w:rPr>
        <w:t>7</w:t>
      </w:r>
      <w:r w:rsidR="00EE03DC" w:rsidRPr="001420F0">
        <w:rPr>
          <w:rFonts w:ascii="Arial" w:hAnsi="Arial" w:cs="Arial"/>
        </w:rPr>
        <w:fldChar w:fldCharType="end"/>
      </w:r>
      <w:r w:rsidR="00EE03DC" w:rsidRPr="001420F0">
        <w:rPr>
          <w:rFonts w:ascii="Arial" w:hAnsi="Arial" w:cs="Arial"/>
        </w:rPr>
        <w:t>.  Where any invoice does not confo</w:t>
      </w:r>
      <w:r w:rsidR="00FD4D0F">
        <w:rPr>
          <w:rFonts w:ascii="Arial" w:hAnsi="Arial" w:cs="Arial"/>
        </w:rPr>
        <w:t>r</w:t>
      </w:r>
      <w:r w:rsidR="00EE03DC" w:rsidRPr="001420F0">
        <w:rPr>
          <w:rFonts w:ascii="Arial" w:hAnsi="Arial" w:cs="Arial"/>
        </w:rPr>
        <w:t xml:space="preserve">m to </w:t>
      </w:r>
      <w:proofErr w:type="spellStart"/>
      <w:r>
        <w:rPr>
          <w:rFonts w:ascii="Arial" w:hAnsi="Arial" w:cs="Arial"/>
        </w:rPr>
        <w:t>Netlink</w:t>
      </w:r>
      <w:proofErr w:type="spellEnd"/>
      <w:r>
        <w:rPr>
          <w:rFonts w:ascii="Arial" w:hAnsi="Arial" w:cs="Arial"/>
        </w:rPr>
        <w:t xml:space="preserve"> Star</w:t>
      </w:r>
      <w:r w:rsidR="00EE03DC" w:rsidRPr="001420F0">
        <w:rPr>
          <w:rFonts w:ascii="Arial" w:hAnsi="Arial" w:cs="Arial"/>
        </w:rPr>
        <w:t xml:space="preserve">'s requirements set out in this Paragraph </w:t>
      </w:r>
      <w:r w:rsidR="00EE03DC" w:rsidRPr="001420F0">
        <w:rPr>
          <w:rFonts w:ascii="Arial" w:hAnsi="Arial" w:cs="Arial"/>
        </w:rPr>
        <w:fldChar w:fldCharType="begin"/>
      </w:r>
      <w:r w:rsidR="00EE03DC" w:rsidRPr="001420F0">
        <w:rPr>
          <w:rFonts w:ascii="Arial" w:hAnsi="Arial" w:cs="Arial"/>
        </w:rPr>
        <w:instrText xml:space="preserve"> REF _Ref81504657 \r \h  \* MERGEFORMAT </w:instrText>
      </w:r>
      <w:r w:rsidR="00EE03DC" w:rsidRPr="001420F0">
        <w:rPr>
          <w:rFonts w:ascii="Arial" w:hAnsi="Arial" w:cs="Arial"/>
        </w:rPr>
      </w:r>
      <w:r w:rsidR="00EE03DC" w:rsidRPr="001420F0">
        <w:rPr>
          <w:rFonts w:ascii="Arial" w:hAnsi="Arial" w:cs="Arial"/>
        </w:rPr>
        <w:fldChar w:fldCharType="separate"/>
      </w:r>
      <w:r w:rsidR="00EE03DC" w:rsidRPr="001420F0">
        <w:rPr>
          <w:rFonts w:ascii="Arial" w:hAnsi="Arial" w:cs="Arial"/>
        </w:rPr>
        <w:t>7</w:t>
      </w:r>
      <w:r w:rsidR="00EE03DC" w:rsidRPr="001420F0">
        <w:rPr>
          <w:rFonts w:ascii="Arial" w:hAnsi="Arial" w:cs="Arial"/>
        </w:rPr>
        <w:fldChar w:fldCharType="end"/>
      </w:r>
      <w:r w:rsidR="00EE03DC" w:rsidRPr="001420F0">
        <w:rPr>
          <w:rFonts w:ascii="Arial" w:hAnsi="Arial" w:cs="Arial"/>
        </w:rPr>
        <w:t xml:space="preserve">, </w:t>
      </w:r>
      <w:proofErr w:type="spellStart"/>
      <w:r>
        <w:rPr>
          <w:rFonts w:ascii="Arial" w:hAnsi="Arial" w:cs="Arial"/>
        </w:rPr>
        <w:t>Netlink</w:t>
      </w:r>
      <w:proofErr w:type="spellEnd"/>
      <w:r>
        <w:rPr>
          <w:rFonts w:ascii="Arial" w:hAnsi="Arial" w:cs="Arial"/>
        </w:rPr>
        <w:t xml:space="preserve"> Star</w:t>
      </w:r>
      <w:r w:rsidR="00EE03DC" w:rsidRPr="001420F0">
        <w:rPr>
          <w:rFonts w:ascii="Arial" w:hAnsi="Arial" w:cs="Arial"/>
        </w:rPr>
        <w:t xml:space="preserve"> shall promptly return the disputed invoice to the Supplier and the Supplier shall promptly issue a replacement invoice which shall comply with such requirements.</w:t>
      </w:r>
    </w:p>
    <w:p w14:paraId="2FF90ECF" w14:textId="51F85168" w:rsidR="00EE03DC" w:rsidRPr="001420F0" w:rsidRDefault="00EE03DC" w:rsidP="00EE03DC">
      <w:pPr>
        <w:pStyle w:val="Level2"/>
        <w:tabs>
          <w:tab w:val="num" w:pos="851"/>
        </w:tabs>
        <w:spacing w:after="120" w:line="240" w:lineRule="auto"/>
        <w:ind w:left="851"/>
        <w:rPr>
          <w:rFonts w:ascii="Arial" w:hAnsi="Arial" w:cs="Arial"/>
        </w:rPr>
      </w:pPr>
      <w:bookmarkStart w:id="2321" w:name="_Hlk81837730"/>
      <w:bookmarkStart w:id="2322" w:name="_Ref81560987"/>
      <w:r w:rsidRPr="001420F0">
        <w:rPr>
          <w:rFonts w:ascii="Arial" w:hAnsi="Arial" w:cs="Arial"/>
        </w:rPr>
        <w:t xml:space="preserve">The Supplier acknowledges that efficient invoicing </w:t>
      </w:r>
      <w:proofErr w:type="gramStart"/>
      <w:r w:rsidRPr="001420F0">
        <w:rPr>
          <w:rFonts w:ascii="Arial" w:hAnsi="Arial" w:cs="Arial"/>
        </w:rPr>
        <w:t>is of significant importance</w:t>
      </w:r>
      <w:proofErr w:type="gramEnd"/>
      <w:r w:rsidRPr="001420F0">
        <w:rPr>
          <w:rFonts w:ascii="Arial" w:hAnsi="Arial" w:cs="Arial"/>
        </w:rPr>
        <w:t xml:space="preserve"> to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and the Supplier shall raise invoices within 120 days of the end of the relevant Invoicing Period and in accordance with this Schedule.</w:t>
      </w:r>
      <w:bookmarkEnd w:id="2321"/>
      <w:bookmarkEnd w:id="2322"/>
    </w:p>
    <w:p w14:paraId="00B9F066" w14:textId="5E954269" w:rsidR="00EE03DC" w:rsidRPr="001420F0" w:rsidRDefault="00EE03DC" w:rsidP="00EE03DC">
      <w:pPr>
        <w:pStyle w:val="Level2"/>
        <w:tabs>
          <w:tab w:val="num" w:pos="851"/>
        </w:tabs>
        <w:spacing w:after="120" w:line="240" w:lineRule="auto"/>
        <w:ind w:left="851"/>
        <w:rPr>
          <w:rFonts w:ascii="Arial" w:hAnsi="Arial" w:cs="Arial"/>
        </w:rPr>
      </w:pPr>
      <w:proofErr w:type="gramStart"/>
      <w:r w:rsidRPr="001420F0">
        <w:rPr>
          <w:rFonts w:ascii="Arial" w:hAnsi="Arial" w:cs="Arial"/>
        </w:rPr>
        <w:t>In the event that</w:t>
      </w:r>
      <w:proofErr w:type="gramEnd"/>
      <w:r w:rsidRPr="001420F0">
        <w:rPr>
          <w:rFonts w:ascii="Arial" w:hAnsi="Arial" w:cs="Arial"/>
        </w:rPr>
        <w:t xml:space="preserve"> invoices are not raised in accordance with the timescales detailed in Paragraph </w:t>
      </w:r>
      <w:r>
        <w:rPr>
          <w:rFonts w:ascii="Arial" w:hAnsi="Arial" w:cs="Arial"/>
        </w:rPr>
        <w:t>7.10</w:t>
      </w:r>
      <w:r w:rsidRPr="001420F0">
        <w:rPr>
          <w:rFonts w:ascii="Arial" w:hAnsi="Arial" w:cs="Arial"/>
        </w:rPr>
        <w:t xml:space="preserve"> the Supplier shall be deemed to have waived its rights to claim the relevant Charges and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shall not be liable for such payment.</w:t>
      </w:r>
    </w:p>
    <w:p w14:paraId="78481A52" w14:textId="77777777" w:rsidR="00EE03DC" w:rsidRPr="001420F0" w:rsidRDefault="00EE03DC" w:rsidP="00EE03DC">
      <w:pPr>
        <w:pStyle w:val="Level1"/>
        <w:tabs>
          <w:tab w:val="clear" w:pos="2411"/>
          <w:tab w:val="num" w:pos="851"/>
        </w:tabs>
        <w:spacing w:after="120" w:line="240" w:lineRule="auto"/>
        <w:ind w:left="851"/>
        <w:rPr>
          <w:rFonts w:ascii="Arial" w:hAnsi="Arial" w:cs="Arial"/>
          <w:b/>
          <w:bCs/>
        </w:rPr>
      </w:pPr>
      <w:r w:rsidRPr="001420F0">
        <w:rPr>
          <w:rFonts w:ascii="Arial" w:hAnsi="Arial" w:cs="Arial"/>
          <w:b/>
          <w:bCs/>
        </w:rPr>
        <w:t>PAYMENT TERMS</w:t>
      </w:r>
    </w:p>
    <w:p w14:paraId="0126AE82" w14:textId="681BAB82" w:rsidR="00EE03DC" w:rsidRPr="001420F0" w:rsidRDefault="00EE03DC" w:rsidP="00EE03DC">
      <w:pPr>
        <w:pStyle w:val="Level2"/>
        <w:tabs>
          <w:tab w:val="num" w:pos="851"/>
        </w:tabs>
        <w:spacing w:after="120" w:line="240" w:lineRule="auto"/>
        <w:ind w:left="851"/>
        <w:rPr>
          <w:rFonts w:ascii="Arial" w:hAnsi="Arial" w:cs="Arial"/>
        </w:rPr>
      </w:pPr>
      <w:r w:rsidRPr="001420F0">
        <w:rPr>
          <w:rFonts w:ascii="Arial" w:hAnsi="Arial" w:cs="Arial"/>
        </w:rPr>
        <w:t xml:space="preserve">Subject to the relevant provisions of this Schedule,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shall make payment to the Supplier within 28 days of verifying that the invoice is valid and undisputed by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at its nominated address for invoices.</w:t>
      </w:r>
    </w:p>
    <w:p w14:paraId="440173D7" w14:textId="77777777" w:rsidR="00EE03DC" w:rsidRPr="001420F0" w:rsidRDefault="00EE03DC" w:rsidP="00EE03DC">
      <w:pPr>
        <w:pStyle w:val="Level2"/>
        <w:tabs>
          <w:tab w:val="num" w:pos="851"/>
        </w:tabs>
        <w:spacing w:after="120" w:line="240" w:lineRule="auto"/>
        <w:ind w:left="851"/>
        <w:rPr>
          <w:rFonts w:ascii="Arial" w:hAnsi="Arial" w:cs="Arial"/>
        </w:rPr>
      </w:pPr>
      <w:r w:rsidRPr="001420F0">
        <w:rPr>
          <w:rFonts w:ascii="Arial" w:hAnsi="Arial" w:cs="Arial"/>
        </w:rPr>
        <w:t>Unless the Parties agree otherwise in writing, all Supplier invoices shall be paid in sterling by electronic transfer of funds to the bank account that the Supplier has specified on its invoice.</w:t>
      </w:r>
    </w:p>
    <w:p w14:paraId="06C5C4F2" w14:textId="77777777" w:rsidR="00EE03DC" w:rsidRPr="001420F0" w:rsidRDefault="00EE03DC" w:rsidP="00EE03DC">
      <w:pPr>
        <w:pStyle w:val="Level2"/>
        <w:tabs>
          <w:tab w:val="num" w:pos="851"/>
        </w:tabs>
        <w:spacing w:after="120" w:line="240" w:lineRule="auto"/>
        <w:ind w:left="851"/>
        <w:rPr>
          <w:rFonts w:ascii="Arial" w:hAnsi="Arial" w:cs="Arial"/>
        </w:rPr>
      </w:pPr>
      <w:r w:rsidRPr="001420F0">
        <w:rPr>
          <w:rFonts w:ascii="Arial" w:hAnsi="Arial" w:cs="Arial"/>
        </w:rPr>
        <w:t xml:space="preserve">The Supplier shall, if agreed subject to the Change Control Procedures in accordance with </w:t>
      </w:r>
      <w:r w:rsidRPr="00C35613">
        <w:rPr>
          <w:rFonts w:ascii="Arial" w:hAnsi="Arial" w:cs="Arial"/>
          <w:bCs/>
        </w:rPr>
        <w:t>Schedule 8.2</w:t>
      </w:r>
      <w:r w:rsidRPr="001420F0">
        <w:rPr>
          <w:rFonts w:ascii="Arial" w:hAnsi="Arial" w:cs="Arial"/>
          <w:b/>
        </w:rPr>
        <w:t xml:space="preserve"> </w:t>
      </w:r>
      <w:r w:rsidRPr="001420F0">
        <w:rPr>
          <w:rFonts w:ascii="Arial" w:hAnsi="Arial" w:cs="Arial"/>
          <w:bCs/>
        </w:rPr>
        <w:t>(Change Control Procedure)</w:t>
      </w:r>
      <w:r w:rsidRPr="001420F0">
        <w:rPr>
          <w:rFonts w:ascii="Arial" w:hAnsi="Arial" w:cs="Arial"/>
        </w:rPr>
        <w:t>, integrate with an e-invoicing capability.</w:t>
      </w:r>
    </w:p>
    <w:p w14:paraId="6C211B94" w14:textId="77777777" w:rsidR="00EE03DC" w:rsidRPr="001420F0" w:rsidRDefault="00EE03DC" w:rsidP="00EE03DC">
      <w:pPr>
        <w:pStyle w:val="Level1"/>
        <w:tabs>
          <w:tab w:val="clear" w:pos="2411"/>
          <w:tab w:val="num" w:pos="851"/>
        </w:tabs>
        <w:spacing w:after="120" w:line="240" w:lineRule="auto"/>
        <w:ind w:left="851"/>
        <w:rPr>
          <w:rFonts w:ascii="Arial" w:hAnsi="Arial" w:cs="Arial"/>
          <w:b/>
        </w:rPr>
      </w:pPr>
      <w:bookmarkStart w:id="2323" w:name="_Toc277002260"/>
      <w:bookmarkStart w:id="2324" w:name="_Toc277252028"/>
      <w:r w:rsidRPr="001420F0">
        <w:rPr>
          <w:rFonts w:ascii="Arial" w:hAnsi="Arial" w:cs="Arial"/>
          <w:b/>
        </w:rPr>
        <w:t xml:space="preserve">EXIT </w:t>
      </w:r>
      <w:bookmarkEnd w:id="2323"/>
      <w:bookmarkEnd w:id="2324"/>
      <w:r w:rsidRPr="001420F0">
        <w:rPr>
          <w:rFonts w:ascii="Arial" w:hAnsi="Arial" w:cs="Arial"/>
          <w:b/>
        </w:rPr>
        <w:t xml:space="preserve">ASSISTANCE </w:t>
      </w:r>
    </w:p>
    <w:p w14:paraId="4D2BE84A" w14:textId="088F7977" w:rsidR="00EE03DC" w:rsidRPr="001420F0" w:rsidRDefault="00EE03DC" w:rsidP="00EE03DC">
      <w:pPr>
        <w:pStyle w:val="Level2"/>
        <w:tabs>
          <w:tab w:val="num" w:pos="851"/>
        </w:tabs>
        <w:spacing w:after="120" w:line="240" w:lineRule="auto"/>
        <w:ind w:left="851"/>
        <w:rPr>
          <w:rFonts w:ascii="Arial" w:hAnsi="Arial" w:cs="Arial"/>
        </w:rPr>
      </w:pPr>
      <w:r w:rsidRPr="001420F0">
        <w:rPr>
          <w:rFonts w:ascii="Arial" w:hAnsi="Arial" w:cs="Arial"/>
        </w:rPr>
        <w:t xml:space="preserve">The Supplier is required to provide exit assistance as specified in </w:t>
      </w:r>
      <w:r w:rsidRPr="005C1C06">
        <w:rPr>
          <w:rFonts w:ascii="Arial" w:hAnsi="Arial" w:cs="Arial"/>
          <w:bCs/>
        </w:rPr>
        <w:t>Schedule 8.5</w:t>
      </w:r>
      <w:r w:rsidRPr="001420F0">
        <w:rPr>
          <w:rFonts w:ascii="Arial" w:hAnsi="Arial" w:cs="Arial"/>
          <w:b/>
        </w:rPr>
        <w:t xml:space="preserve"> </w:t>
      </w:r>
      <w:r w:rsidRPr="001420F0">
        <w:rPr>
          <w:rFonts w:ascii="Arial" w:hAnsi="Arial" w:cs="Arial"/>
          <w:bCs/>
        </w:rPr>
        <w:t xml:space="preserve">(Exit Management) </w:t>
      </w:r>
      <w:r w:rsidRPr="001420F0">
        <w:rPr>
          <w:rFonts w:ascii="Arial" w:hAnsi="Arial" w:cs="Arial"/>
        </w:rPr>
        <w:t xml:space="preserve">that encompasses the activities associated with the transition of the Services to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or a nominated Replacement Supplier on expiry of the Agreement in accordance with the Exit Plan. </w:t>
      </w:r>
    </w:p>
    <w:p w14:paraId="287B2B89" w14:textId="77777777" w:rsidR="00EE03DC" w:rsidRPr="001420F0" w:rsidRDefault="00EE03DC" w:rsidP="00EE03DC">
      <w:pPr>
        <w:pStyle w:val="Level2"/>
        <w:tabs>
          <w:tab w:val="num" w:pos="851"/>
        </w:tabs>
        <w:spacing w:after="120" w:line="240" w:lineRule="auto"/>
        <w:ind w:left="851"/>
        <w:rPr>
          <w:rFonts w:ascii="Arial" w:hAnsi="Arial" w:cs="Arial"/>
        </w:rPr>
      </w:pPr>
      <w:r w:rsidRPr="001420F0">
        <w:rPr>
          <w:rFonts w:ascii="Arial" w:hAnsi="Arial" w:cs="Arial"/>
        </w:rPr>
        <w:t>All Charges for such exit assistance shall be charged on a time and materials’ basis in accordance with the Rate Card.</w:t>
      </w:r>
    </w:p>
    <w:p w14:paraId="1841F9A5" w14:textId="77777777" w:rsidR="00EE03DC" w:rsidRPr="001420F0" w:rsidRDefault="00EE03DC" w:rsidP="009D675B">
      <w:pPr>
        <w:pStyle w:val="Rule2"/>
        <w:numPr>
          <w:ilvl w:val="0"/>
          <w:numId w:val="34"/>
        </w:numPr>
        <w:tabs>
          <w:tab w:val="clear" w:pos="2411"/>
          <w:tab w:val="num" w:pos="851"/>
        </w:tabs>
        <w:spacing w:after="120" w:line="240" w:lineRule="auto"/>
        <w:ind w:left="851"/>
        <w:rPr>
          <w:rFonts w:ascii="Arial" w:hAnsi="Arial" w:cs="Arial"/>
          <w:b/>
          <w:bCs/>
        </w:rPr>
      </w:pPr>
      <w:r w:rsidRPr="001420F0">
        <w:rPr>
          <w:rFonts w:ascii="Arial" w:hAnsi="Arial" w:cs="Arial"/>
          <w:b/>
        </w:rPr>
        <w:t>TERMINATION FOR CONVENIENCE CHARGES</w:t>
      </w:r>
    </w:p>
    <w:p w14:paraId="3612DE5F" w14:textId="68A40359" w:rsidR="00EE03DC" w:rsidRDefault="00EE03DC" w:rsidP="00EE03DC">
      <w:pPr>
        <w:pStyle w:val="Level2"/>
        <w:tabs>
          <w:tab w:val="num" w:pos="851"/>
        </w:tabs>
        <w:spacing w:after="120" w:line="240" w:lineRule="auto"/>
        <w:ind w:left="851"/>
        <w:rPr>
          <w:rFonts w:ascii="Arial" w:hAnsi="Arial" w:cs="Arial"/>
        </w:rPr>
      </w:pPr>
      <w:proofErr w:type="gramStart"/>
      <w:r>
        <w:rPr>
          <w:rFonts w:ascii="Arial" w:hAnsi="Arial" w:cs="Arial"/>
        </w:rPr>
        <w:lastRenderedPageBreak/>
        <w:t>I</w:t>
      </w:r>
      <w:r w:rsidRPr="001420F0">
        <w:rPr>
          <w:rFonts w:ascii="Arial" w:hAnsi="Arial" w:cs="Arial"/>
        </w:rPr>
        <w:t>n the event that</w:t>
      </w:r>
      <w:proofErr w:type="gramEnd"/>
      <w:r w:rsidRPr="001420F0">
        <w:rPr>
          <w:rFonts w:ascii="Arial" w:hAnsi="Arial" w:cs="Arial"/>
        </w:rPr>
        <w:t xml:space="preserve">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terminates this Agreement for convenience pursuant to clause 36.1.1, </w:t>
      </w:r>
      <w:proofErr w:type="spellStart"/>
      <w:r w:rsidR="001F1C19">
        <w:rPr>
          <w:rFonts w:ascii="Arial" w:hAnsi="Arial" w:cs="Arial"/>
        </w:rPr>
        <w:t>Netlink</w:t>
      </w:r>
      <w:proofErr w:type="spellEnd"/>
      <w:r w:rsidR="001F1C19">
        <w:rPr>
          <w:rFonts w:ascii="Arial" w:hAnsi="Arial" w:cs="Arial"/>
        </w:rPr>
        <w:t xml:space="preserve"> Star</w:t>
      </w:r>
      <w:r w:rsidRPr="001420F0">
        <w:rPr>
          <w:rFonts w:ascii="Arial" w:hAnsi="Arial" w:cs="Arial"/>
        </w:rPr>
        <w:t xml:space="preserve"> shall pay to the Supplier the Termination Payment. The value of the Termination Payment shall be the figure set out in Table 1 below (all figures in KGBP) in the cell relating to the month in which termination is effective.</w:t>
      </w:r>
    </w:p>
    <w:p w14:paraId="3B621248" w14:textId="77777777" w:rsidR="009A45F4" w:rsidDel="00C35613" w:rsidRDefault="009A45F4" w:rsidP="002E06FF">
      <w:pPr>
        <w:pStyle w:val="Level2"/>
        <w:numPr>
          <w:ilvl w:val="0"/>
          <w:numId w:val="0"/>
        </w:numPr>
        <w:tabs>
          <w:tab w:val="num" w:pos="1134"/>
        </w:tabs>
        <w:spacing w:before="120" w:after="0" w:line="240" w:lineRule="auto"/>
        <w:rPr>
          <w:rFonts w:ascii="Arial" w:hAnsi="Arial" w:cs="Arial"/>
        </w:rPr>
      </w:pPr>
    </w:p>
    <w:tbl>
      <w:tblPr>
        <w:tblStyle w:val="TableGrid0"/>
        <w:tblW w:w="0" w:type="auto"/>
        <w:tblInd w:w="1980" w:type="dxa"/>
        <w:tblLook w:val="04A0" w:firstRow="1" w:lastRow="0" w:firstColumn="1" w:lastColumn="0" w:noHBand="0" w:noVBand="1"/>
      </w:tblPr>
      <w:tblGrid>
        <w:gridCol w:w="992"/>
        <w:gridCol w:w="1276"/>
        <w:gridCol w:w="1276"/>
        <w:gridCol w:w="1275"/>
      </w:tblGrid>
      <w:tr w:rsidR="009A45F4" w14:paraId="551562EC" w14:textId="77777777" w:rsidTr="009A45F4">
        <w:tc>
          <w:tcPr>
            <w:tcW w:w="992" w:type="dxa"/>
          </w:tcPr>
          <w:p w14:paraId="37A9954A" w14:textId="624FAF82" w:rsidR="009A45F4" w:rsidRPr="009A45F4" w:rsidRDefault="009A45F4" w:rsidP="009A45F4">
            <w:pPr>
              <w:pStyle w:val="Level2"/>
              <w:numPr>
                <w:ilvl w:val="0"/>
                <w:numId w:val="0"/>
              </w:numPr>
              <w:tabs>
                <w:tab w:val="num" w:pos="1134"/>
              </w:tabs>
              <w:spacing w:after="0" w:line="240" w:lineRule="auto"/>
              <w:rPr>
                <w:rFonts w:ascii="Arial" w:hAnsi="Arial" w:cs="Arial"/>
                <w:b/>
                <w:bCs/>
                <w:i/>
                <w:iCs/>
                <w:sz w:val="20"/>
              </w:rPr>
            </w:pPr>
            <w:r w:rsidRPr="009A45F4">
              <w:rPr>
                <w:rFonts w:ascii="Arial" w:hAnsi="Arial" w:cs="Arial"/>
                <w:b/>
                <w:bCs/>
                <w:i/>
                <w:iCs/>
                <w:sz w:val="20"/>
              </w:rPr>
              <w:t>k£</w:t>
            </w:r>
          </w:p>
        </w:tc>
        <w:tc>
          <w:tcPr>
            <w:tcW w:w="1276" w:type="dxa"/>
            <w:shd w:val="clear" w:color="auto" w:fill="F2F2F2" w:themeFill="background1" w:themeFillShade="F2"/>
          </w:tcPr>
          <w:p w14:paraId="7FD10282" w14:textId="297DDEED" w:rsidR="009A45F4" w:rsidRPr="009A45F4" w:rsidRDefault="009A45F4" w:rsidP="009A45F4">
            <w:pPr>
              <w:pStyle w:val="Level2"/>
              <w:numPr>
                <w:ilvl w:val="0"/>
                <w:numId w:val="0"/>
              </w:numPr>
              <w:tabs>
                <w:tab w:val="num" w:pos="1134"/>
              </w:tabs>
              <w:spacing w:after="0" w:line="240" w:lineRule="auto"/>
              <w:rPr>
                <w:rFonts w:ascii="Arial" w:hAnsi="Arial" w:cs="Arial"/>
                <w:b/>
                <w:bCs/>
                <w:sz w:val="20"/>
              </w:rPr>
            </w:pPr>
            <w:r w:rsidRPr="009A45F4">
              <w:rPr>
                <w:rFonts w:ascii="Arial" w:hAnsi="Arial" w:cs="Arial"/>
                <w:b/>
                <w:bCs/>
                <w:sz w:val="20"/>
              </w:rPr>
              <w:t>2022</w:t>
            </w:r>
          </w:p>
        </w:tc>
        <w:tc>
          <w:tcPr>
            <w:tcW w:w="1276" w:type="dxa"/>
            <w:shd w:val="clear" w:color="auto" w:fill="F2F2F2" w:themeFill="background1" w:themeFillShade="F2"/>
          </w:tcPr>
          <w:p w14:paraId="105A3223" w14:textId="3640D9C7" w:rsidR="009A45F4" w:rsidRPr="009A45F4" w:rsidRDefault="009A45F4" w:rsidP="009A45F4">
            <w:pPr>
              <w:pStyle w:val="Level2"/>
              <w:numPr>
                <w:ilvl w:val="0"/>
                <w:numId w:val="0"/>
              </w:numPr>
              <w:tabs>
                <w:tab w:val="num" w:pos="1134"/>
              </w:tabs>
              <w:spacing w:after="0" w:line="240" w:lineRule="auto"/>
              <w:rPr>
                <w:rFonts w:ascii="Arial" w:hAnsi="Arial" w:cs="Arial"/>
                <w:b/>
                <w:bCs/>
                <w:sz w:val="20"/>
              </w:rPr>
            </w:pPr>
            <w:r w:rsidRPr="009A45F4">
              <w:rPr>
                <w:rFonts w:ascii="Arial" w:hAnsi="Arial" w:cs="Arial"/>
                <w:b/>
                <w:bCs/>
                <w:sz w:val="20"/>
              </w:rPr>
              <w:t>2023</w:t>
            </w:r>
          </w:p>
        </w:tc>
        <w:tc>
          <w:tcPr>
            <w:tcW w:w="1275" w:type="dxa"/>
            <w:shd w:val="clear" w:color="auto" w:fill="F2F2F2" w:themeFill="background1" w:themeFillShade="F2"/>
          </w:tcPr>
          <w:p w14:paraId="6F421465" w14:textId="250C7931" w:rsidR="009A45F4" w:rsidRPr="009A45F4" w:rsidRDefault="009A45F4" w:rsidP="009A45F4">
            <w:pPr>
              <w:pStyle w:val="Level2"/>
              <w:numPr>
                <w:ilvl w:val="0"/>
                <w:numId w:val="0"/>
              </w:numPr>
              <w:tabs>
                <w:tab w:val="num" w:pos="1134"/>
              </w:tabs>
              <w:spacing w:after="0" w:line="240" w:lineRule="auto"/>
              <w:rPr>
                <w:rFonts w:ascii="Arial" w:hAnsi="Arial" w:cs="Arial"/>
                <w:b/>
                <w:bCs/>
                <w:sz w:val="20"/>
              </w:rPr>
            </w:pPr>
            <w:r w:rsidRPr="009A45F4">
              <w:rPr>
                <w:rFonts w:ascii="Arial" w:hAnsi="Arial" w:cs="Arial"/>
                <w:b/>
                <w:bCs/>
                <w:sz w:val="20"/>
              </w:rPr>
              <w:t>2024</w:t>
            </w:r>
          </w:p>
        </w:tc>
      </w:tr>
      <w:tr w:rsidR="009A45F4" w14:paraId="7E7837B4" w14:textId="77777777" w:rsidTr="009A45F4">
        <w:tc>
          <w:tcPr>
            <w:tcW w:w="992" w:type="dxa"/>
            <w:shd w:val="clear" w:color="auto" w:fill="F2F2F2" w:themeFill="background1" w:themeFillShade="F2"/>
          </w:tcPr>
          <w:p w14:paraId="3080D7DE" w14:textId="56B9B4AF"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Jan</w:t>
            </w:r>
          </w:p>
        </w:tc>
        <w:tc>
          <w:tcPr>
            <w:tcW w:w="1276" w:type="dxa"/>
          </w:tcPr>
          <w:p w14:paraId="59E63B36" w14:textId="0081D0AC"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375</w:t>
            </w:r>
          </w:p>
        </w:tc>
        <w:tc>
          <w:tcPr>
            <w:tcW w:w="1276" w:type="dxa"/>
          </w:tcPr>
          <w:p w14:paraId="707A5F1B" w14:textId="2A52B897"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185</w:t>
            </w:r>
          </w:p>
        </w:tc>
        <w:tc>
          <w:tcPr>
            <w:tcW w:w="1275" w:type="dxa"/>
          </w:tcPr>
          <w:p w14:paraId="219F7C81" w14:textId="02AE1A7F"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86</w:t>
            </w:r>
          </w:p>
        </w:tc>
      </w:tr>
      <w:tr w:rsidR="009A45F4" w14:paraId="0EC2698A" w14:textId="77777777" w:rsidTr="00DF38EE">
        <w:tc>
          <w:tcPr>
            <w:tcW w:w="992" w:type="dxa"/>
            <w:shd w:val="clear" w:color="auto" w:fill="F2F2F2" w:themeFill="background1" w:themeFillShade="F2"/>
            <w:vAlign w:val="bottom"/>
          </w:tcPr>
          <w:p w14:paraId="64FDE23C" w14:textId="4C4DF664" w:rsidR="009A45F4" w:rsidRPr="009A45F4" w:rsidRDefault="009A45F4" w:rsidP="009A45F4">
            <w:pPr>
              <w:pStyle w:val="Level2"/>
              <w:numPr>
                <w:ilvl w:val="0"/>
                <w:numId w:val="0"/>
              </w:numPr>
              <w:tabs>
                <w:tab w:val="num" w:pos="1134"/>
              </w:tabs>
              <w:spacing w:after="0" w:line="240" w:lineRule="auto"/>
              <w:rPr>
                <w:rFonts w:ascii="Arial" w:hAnsi="Arial" w:cs="Arial"/>
                <w:sz w:val="20"/>
                <w:szCs w:val="16"/>
              </w:rPr>
            </w:pPr>
            <w:r w:rsidRPr="009A45F4">
              <w:rPr>
                <w:rFonts w:ascii="Arial" w:hAnsi="Arial" w:cs="Arial"/>
                <w:color w:val="222B35"/>
                <w:sz w:val="20"/>
                <w:szCs w:val="16"/>
              </w:rPr>
              <w:t>Feb</w:t>
            </w:r>
          </w:p>
        </w:tc>
        <w:tc>
          <w:tcPr>
            <w:tcW w:w="1276" w:type="dxa"/>
          </w:tcPr>
          <w:p w14:paraId="7ADCFCB9" w14:textId="7F6F43DA" w:rsidR="009A45F4" w:rsidRPr="009A45F4" w:rsidRDefault="009A45F4" w:rsidP="009A45F4">
            <w:pPr>
              <w:pStyle w:val="Level2"/>
              <w:numPr>
                <w:ilvl w:val="0"/>
                <w:numId w:val="0"/>
              </w:numPr>
              <w:tabs>
                <w:tab w:val="num" w:pos="1134"/>
              </w:tabs>
              <w:spacing w:after="0" w:line="240" w:lineRule="auto"/>
              <w:rPr>
                <w:rFonts w:ascii="Arial" w:hAnsi="Arial" w:cs="Arial"/>
                <w:sz w:val="20"/>
              </w:rPr>
            </w:pPr>
            <w:r w:rsidRPr="009A45F4">
              <w:rPr>
                <w:rFonts w:ascii="Arial" w:hAnsi="Arial" w:cs="Arial"/>
                <w:sz w:val="20"/>
              </w:rPr>
              <w:t>355</w:t>
            </w:r>
          </w:p>
        </w:tc>
        <w:tc>
          <w:tcPr>
            <w:tcW w:w="1276" w:type="dxa"/>
          </w:tcPr>
          <w:p w14:paraId="0AD838C0" w14:textId="7EC72386"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176</w:t>
            </w:r>
          </w:p>
        </w:tc>
        <w:tc>
          <w:tcPr>
            <w:tcW w:w="1275" w:type="dxa"/>
          </w:tcPr>
          <w:p w14:paraId="2405D4D3" w14:textId="32D94E2A"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78</w:t>
            </w:r>
          </w:p>
        </w:tc>
      </w:tr>
      <w:tr w:rsidR="009A45F4" w14:paraId="69699E52" w14:textId="77777777" w:rsidTr="00DF38EE">
        <w:tc>
          <w:tcPr>
            <w:tcW w:w="992" w:type="dxa"/>
            <w:shd w:val="clear" w:color="auto" w:fill="F2F2F2" w:themeFill="background1" w:themeFillShade="F2"/>
            <w:vAlign w:val="bottom"/>
          </w:tcPr>
          <w:p w14:paraId="5357802A" w14:textId="65F22A0D" w:rsidR="009A45F4" w:rsidRPr="009A45F4" w:rsidRDefault="009A45F4" w:rsidP="009A45F4">
            <w:pPr>
              <w:pStyle w:val="Level2"/>
              <w:numPr>
                <w:ilvl w:val="0"/>
                <w:numId w:val="0"/>
              </w:numPr>
              <w:tabs>
                <w:tab w:val="num" w:pos="1134"/>
              </w:tabs>
              <w:spacing w:after="0" w:line="240" w:lineRule="auto"/>
              <w:rPr>
                <w:rFonts w:ascii="Arial" w:hAnsi="Arial" w:cs="Arial"/>
                <w:sz w:val="20"/>
                <w:szCs w:val="16"/>
              </w:rPr>
            </w:pPr>
            <w:r w:rsidRPr="009A45F4">
              <w:rPr>
                <w:rFonts w:ascii="Arial" w:hAnsi="Arial" w:cs="Arial"/>
                <w:color w:val="222B35"/>
                <w:sz w:val="20"/>
                <w:szCs w:val="16"/>
              </w:rPr>
              <w:t>Mar</w:t>
            </w:r>
          </w:p>
        </w:tc>
        <w:tc>
          <w:tcPr>
            <w:tcW w:w="1276" w:type="dxa"/>
          </w:tcPr>
          <w:p w14:paraId="5EDCAB77" w14:textId="58404B25"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339</w:t>
            </w:r>
          </w:p>
        </w:tc>
        <w:tc>
          <w:tcPr>
            <w:tcW w:w="1276" w:type="dxa"/>
          </w:tcPr>
          <w:p w14:paraId="52AAD6C3" w14:textId="7CDE3810"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167</w:t>
            </w:r>
          </w:p>
        </w:tc>
        <w:tc>
          <w:tcPr>
            <w:tcW w:w="1275" w:type="dxa"/>
          </w:tcPr>
          <w:p w14:paraId="7EFDCB35" w14:textId="513F333A"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70</w:t>
            </w:r>
          </w:p>
        </w:tc>
      </w:tr>
      <w:tr w:rsidR="009A45F4" w14:paraId="4C45D555" w14:textId="77777777" w:rsidTr="00DF38EE">
        <w:tc>
          <w:tcPr>
            <w:tcW w:w="992" w:type="dxa"/>
            <w:shd w:val="clear" w:color="auto" w:fill="F2F2F2" w:themeFill="background1" w:themeFillShade="F2"/>
            <w:vAlign w:val="bottom"/>
          </w:tcPr>
          <w:p w14:paraId="13EBA98D" w14:textId="164418C1" w:rsidR="009A45F4" w:rsidRPr="009A45F4" w:rsidRDefault="009A45F4" w:rsidP="009A45F4">
            <w:pPr>
              <w:pStyle w:val="Level2"/>
              <w:numPr>
                <w:ilvl w:val="0"/>
                <w:numId w:val="0"/>
              </w:numPr>
              <w:tabs>
                <w:tab w:val="num" w:pos="1134"/>
              </w:tabs>
              <w:spacing w:after="0" w:line="240" w:lineRule="auto"/>
              <w:rPr>
                <w:rFonts w:ascii="Arial" w:hAnsi="Arial" w:cs="Arial"/>
                <w:sz w:val="20"/>
                <w:szCs w:val="16"/>
              </w:rPr>
            </w:pPr>
            <w:r w:rsidRPr="009A45F4">
              <w:rPr>
                <w:rFonts w:ascii="Arial" w:hAnsi="Arial" w:cs="Arial"/>
                <w:color w:val="222B35"/>
                <w:sz w:val="20"/>
                <w:szCs w:val="16"/>
              </w:rPr>
              <w:t>Apr</w:t>
            </w:r>
          </w:p>
        </w:tc>
        <w:tc>
          <w:tcPr>
            <w:tcW w:w="1276" w:type="dxa"/>
          </w:tcPr>
          <w:p w14:paraId="52D44011" w14:textId="12874F9B"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321</w:t>
            </w:r>
          </w:p>
        </w:tc>
        <w:tc>
          <w:tcPr>
            <w:tcW w:w="1276" w:type="dxa"/>
          </w:tcPr>
          <w:p w14:paraId="33AAAEB5" w14:textId="151804AD"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159</w:t>
            </w:r>
          </w:p>
        </w:tc>
        <w:tc>
          <w:tcPr>
            <w:tcW w:w="1275" w:type="dxa"/>
          </w:tcPr>
          <w:p w14:paraId="35FD2A20" w14:textId="23497A64"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62</w:t>
            </w:r>
          </w:p>
        </w:tc>
      </w:tr>
      <w:tr w:rsidR="009A45F4" w14:paraId="694562D0" w14:textId="77777777" w:rsidTr="00DF38EE">
        <w:tc>
          <w:tcPr>
            <w:tcW w:w="992" w:type="dxa"/>
            <w:shd w:val="clear" w:color="auto" w:fill="F2F2F2" w:themeFill="background1" w:themeFillShade="F2"/>
            <w:vAlign w:val="bottom"/>
          </w:tcPr>
          <w:p w14:paraId="2E15F133" w14:textId="4D766A65" w:rsidR="009A45F4" w:rsidRPr="009A45F4" w:rsidRDefault="009A45F4" w:rsidP="009A45F4">
            <w:pPr>
              <w:pStyle w:val="Level2"/>
              <w:numPr>
                <w:ilvl w:val="0"/>
                <w:numId w:val="0"/>
              </w:numPr>
              <w:tabs>
                <w:tab w:val="num" w:pos="1134"/>
              </w:tabs>
              <w:spacing w:after="0" w:line="240" w:lineRule="auto"/>
              <w:rPr>
                <w:rFonts w:ascii="Arial" w:hAnsi="Arial" w:cs="Arial"/>
                <w:sz w:val="20"/>
                <w:szCs w:val="16"/>
              </w:rPr>
            </w:pPr>
            <w:r w:rsidRPr="009A45F4">
              <w:rPr>
                <w:rFonts w:ascii="Arial" w:hAnsi="Arial" w:cs="Arial"/>
                <w:color w:val="222B35"/>
                <w:sz w:val="20"/>
                <w:szCs w:val="16"/>
              </w:rPr>
              <w:t>May</w:t>
            </w:r>
          </w:p>
        </w:tc>
        <w:tc>
          <w:tcPr>
            <w:tcW w:w="1276" w:type="dxa"/>
          </w:tcPr>
          <w:p w14:paraId="1AD30AC5" w14:textId="1F3199A8"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301</w:t>
            </w:r>
          </w:p>
        </w:tc>
        <w:tc>
          <w:tcPr>
            <w:tcW w:w="1276" w:type="dxa"/>
          </w:tcPr>
          <w:p w14:paraId="2D50E7DB" w14:textId="4F12F8B8"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149</w:t>
            </w:r>
          </w:p>
        </w:tc>
        <w:tc>
          <w:tcPr>
            <w:tcW w:w="1275" w:type="dxa"/>
          </w:tcPr>
          <w:p w14:paraId="13DB908E" w14:textId="67C73457"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54</w:t>
            </w:r>
          </w:p>
        </w:tc>
      </w:tr>
      <w:tr w:rsidR="009A45F4" w14:paraId="71230C28" w14:textId="77777777" w:rsidTr="00DF38EE">
        <w:tc>
          <w:tcPr>
            <w:tcW w:w="992" w:type="dxa"/>
            <w:shd w:val="clear" w:color="auto" w:fill="F2F2F2" w:themeFill="background1" w:themeFillShade="F2"/>
            <w:vAlign w:val="bottom"/>
          </w:tcPr>
          <w:p w14:paraId="25ECAD7D" w14:textId="52DC8D11" w:rsidR="009A45F4" w:rsidRPr="009A45F4" w:rsidRDefault="009A45F4" w:rsidP="009A45F4">
            <w:pPr>
              <w:pStyle w:val="Level2"/>
              <w:numPr>
                <w:ilvl w:val="0"/>
                <w:numId w:val="0"/>
              </w:numPr>
              <w:tabs>
                <w:tab w:val="num" w:pos="1134"/>
              </w:tabs>
              <w:spacing w:after="0" w:line="240" w:lineRule="auto"/>
              <w:rPr>
                <w:rFonts w:ascii="Arial" w:hAnsi="Arial" w:cs="Arial"/>
                <w:sz w:val="20"/>
                <w:szCs w:val="16"/>
              </w:rPr>
            </w:pPr>
            <w:r w:rsidRPr="009A45F4">
              <w:rPr>
                <w:rFonts w:ascii="Arial" w:hAnsi="Arial" w:cs="Arial"/>
                <w:color w:val="222B35"/>
                <w:sz w:val="20"/>
                <w:szCs w:val="16"/>
              </w:rPr>
              <w:t>Jun</w:t>
            </w:r>
          </w:p>
        </w:tc>
        <w:tc>
          <w:tcPr>
            <w:tcW w:w="1276" w:type="dxa"/>
          </w:tcPr>
          <w:p w14:paraId="03C86BC8" w14:textId="1DF5FE33"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282</w:t>
            </w:r>
          </w:p>
        </w:tc>
        <w:tc>
          <w:tcPr>
            <w:tcW w:w="1276" w:type="dxa"/>
          </w:tcPr>
          <w:p w14:paraId="3ADB8331" w14:textId="1C31F697"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141</w:t>
            </w:r>
          </w:p>
        </w:tc>
        <w:tc>
          <w:tcPr>
            <w:tcW w:w="1275" w:type="dxa"/>
          </w:tcPr>
          <w:p w14:paraId="1244B6BC" w14:textId="28923D95"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46</w:t>
            </w:r>
          </w:p>
        </w:tc>
      </w:tr>
      <w:tr w:rsidR="009A45F4" w14:paraId="62FD1BC0" w14:textId="77777777" w:rsidTr="00DF38EE">
        <w:tc>
          <w:tcPr>
            <w:tcW w:w="992" w:type="dxa"/>
            <w:shd w:val="clear" w:color="auto" w:fill="F2F2F2" w:themeFill="background1" w:themeFillShade="F2"/>
            <w:vAlign w:val="bottom"/>
          </w:tcPr>
          <w:p w14:paraId="68964DC5" w14:textId="721C9FFC" w:rsidR="009A45F4" w:rsidRPr="009A45F4" w:rsidRDefault="009A45F4" w:rsidP="009A45F4">
            <w:pPr>
              <w:pStyle w:val="Level2"/>
              <w:numPr>
                <w:ilvl w:val="0"/>
                <w:numId w:val="0"/>
              </w:numPr>
              <w:tabs>
                <w:tab w:val="num" w:pos="1134"/>
              </w:tabs>
              <w:spacing w:after="0" w:line="240" w:lineRule="auto"/>
              <w:rPr>
                <w:rFonts w:ascii="Arial" w:hAnsi="Arial" w:cs="Arial"/>
                <w:sz w:val="20"/>
                <w:szCs w:val="16"/>
              </w:rPr>
            </w:pPr>
            <w:r w:rsidRPr="009A45F4">
              <w:rPr>
                <w:rFonts w:ascii="Arial" w:hAnsi="Arial" w:cs="Arial"/>
                <w:color w:val="222B35"/>
                <w:sz w:val="20"/>
                <w:szCs w:val="16"/>
              </w:rPr>
              <w:t>Jul</w:t>
            </w:r>
          </w:p>
        </w:tc>
        <w:tc>
          <w:tcPr>
            <w:tcW w:w="1276" w:type="dxa"/>
          </w:tcPr>
          <w:p w14:paraId="6932667D" w14:textId="6D9120C9"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260</w:t>
            </w:r>
          </w:p>
        </w:tc>
        <w:tc>
          <w:tcPr>
            <w:tcW w:w="1276" w:type="dxa"/>
          </w:tcPr>
          <w:p w14:paraId="4D92C724" w14:textId="151A2C24"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133</w:t>
            </w:r>
          </w:p>
        </w:tc>
        <w:tc>
          <w:tcPr>
            <w:tcW w:w="1275" w:type="dxa"/>
          </w:tcPr>
          <w:p w14:paraId="12EE81FA" w14:textId="00EA6327"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39</w:t>
            </w:r>
          </w:p>
        </w:tc>
      </w:tr>
      <w:tr w:rsidR="009A45F4" w14:paraId="5EEEA580" w14:textId="77777777" w:rsidTr="00DF38EE">
        <w:tc>
          <w:tcPr>
            <w:tcW w:w="992" w:type="dxa"/>
            <w:shd w:val="clear" w:color="auto" w:fill="F2F2F2" w:themeFill="background1" w:themeFillShade="F2"/>
            <w:vAlign w:val="bottom"/>
          </w:tcPr>
          <w:p w14:paraId="2F80A517" w14:textId="4F328C71" w:rsidR="009A45F4" w:rsidRPr="009A45F4" w:rsidRDefault="009A45F4" w:rsidP="009A45F4">
            <w:pPr>
              <w:pStyle w:val="Level2"/>
              <w:numPr>
                <w:ilvl w:val="0"/>
                <w:numId w:val="0"/>
              </w:numPr>
              <w:tabs>
                <w:tab w:val="num" w:pos="1134"/>
              </w:tabs>
              <w:spacing w:after="0" w:line="240" w:lineRule="auto"/>
              <w:rPr>
                <w:rFonts w:ascii="Arial" w:hAnsi="Arial" w:cs="Arial"/>
                <w:sz w:val="20"/>
                <w:szCs w:val="16"/>
              </w:rPr>
            </w:pPr>
            <w:r w:rsidRPr="009A45F4">
              <w:rPr>
                <w:rFonts w:ascii="Arial" w:hAnsi="Arial" w:cs="Arial"/>
                <w:color w:val="222B35"/>
                <w:sz w:val="20"/>
                <w:szCs w:val="16"/>
              </w:rPr>
              <w:t>Aug</w:t>
            </w:r>
          </w:p>
        </w:tc>
        <w:tc>
          <w:tcPr>
            <w:tcW w:w="1276" w:type="dxa"/>
          </w:tcPr>
          <w:p w14:paraId="754A2E6E" w14:textId="2EE2B76C"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238</w:t>
            </w:r>
          </w:p>
        </w:tc>
        <w:tc>
          <w:tcPr>
            <w:tcW w:w="1276" w:type="dxa"/>
          </w:tcPr>
          <w:p w14:paraId="39E43250" w14:textId="7B2A18E8"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125</w:t>
            </w:r>
          </w:p>
        </w:tc>
        <w:tc>
          <w:tcPr>
            <w:tcW w:w="1275" w:type="dxa"/>
          </w:tcPr>
          <w:p w14:paraId="026B06C0" w14:textId="53B96D8F"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31</w:t>
            </w:r>
          </w:p>
        </w:tc>
      </w:tr>
      <w:tr w:rsidR="009A45F4" w14:paraId="0BFB6C75" w14:textId="77777777" w:rsidTr="00DF38EE">
        <w:tc>
          <w:tcPr>
            <w:tcW w:w="992" w:type="dxa"/>
            <w:shd w:val="clear" w:color="auto" w:fill="F2F2F2" w:themeFill="background1" w:themeFillShade="F2"/>
            <w:vAlign w:val="bottom"/>
          </w:tcPr>
          <w:p w14:paraId="59DB891A" w14:textId="6142BBAB" w:rsidR="009A45F4" w:rsidRPr="009A45F4" w:rsidRDefault="009A45F4" w:rsidP="009A45F4">
            <w:pPr>
              <w:pStyle w:val="Level2"/>
              <w:numPr>
                <w:ilvl w:val="0"/>
                <w:numId w:val="0"/>
              </w:numPr>
              <w:tabs>
                <w:tab w:val="num" w:pos="1134"/>
              </w:tabs>
              <w:spacing w:after="0" w:line="240" w:lineRule="auto"/>
              <w:rPr>
                <w:rFonts w:ascii="Arial" w:hAnsi="Arial" w:cs="Arial"/>
                <w:sz w:val="20"/>
                <w:szCs w:val="16"/>
              </w:rPr>
            </w:pPr>
            <w:r w:rsidRPr="009A45F4">
              <w:rPr>
                <w:rFonts w:ascii="Arial" w:hAnsi="Arial" w:cs="Arial"/>
                <w:color w:val="222B35"/>
                <w:sz w:val="20"/>
                <w:szCs w:val="16"/>
              </w:rPr>
              <w:t>Sep</w:t>
            </w:r>
          </w:p>
        </w:tc>
        <w:tc>
          <w:tcPr>
            <w:tcW w:w="1276" w:type="dxa"/>
          </w:tcPr>
          <w:p w14:paraId="56277FA3" w14:textId="3B6B7686"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222</w:t>
            </w:r>
          </w:p>
        </w:tc>
        <w:tc>
          <w:tcPr>
            <w:tcW w:w="1276" w:type="dxa"/>
          </w:tcPr>
          <w:p w14:paraId="44587E36" w14:textId="2F38FD94"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117</w:t>
            </w:r>
          </w:p>
        </w:tc>
        <w:tc>
          <w:tcPr>
            <w:tcW w:w="1275" w:type="dxa"/>
          </w:tcPr>
          <w:p w14:paraId="11EEA9F9" w14:textId="03FBC2C1"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23</w:t>
            </w:r>
          </w:p>
        </w:tc>
      </w:tr>
      <w:tr w:rsidR="009A45F4" w14:paraId="500E03DE" w14:textId="77777777" w:rsidTr="00DF38EE">
        <w:tc>
          <w:tcPr>
            <w:tcW w:w="992" w:type="dxa"/>
            <w:shd w:val="clear" w:color="auto" w:fill="F2F2F2" w:themeFill="background1" w:themeFillShade="F2"/>
            <w:vAlign w:val="bottom"/>
          </w:tcPr>
          <w:p w14:paraId="6263E6DE" w14:textId="5826692F" w:rsidR="009A45F4" w:rsidRPr="009A45F4" w:rsidRDefault="009A45F4" w:rsidP="009A45F4">
            <w:pPr>
              <w:pStyle w:val="Level2"/>
              <w:numPr>
                <w:ilvl w:val="0"/>
                <w:numId w:val="0"/>
              </w:numPr>
              <w:tabs>
                <w:tab w:val="num" w:pos="1134"/>
              </w:tabs>
              <w:spacing w:after="0" w:line="240" w:lineRule="auto"/>
              <w:rPr>
                <w:rFonts w:ascii="Arial" w:hAnsi="Arial" w:cs="Arial"/>
                <w:sz w:val="20"/>
                <w:szCs w:val="16"/>
              </w:rPr>
            </w:pPr>
            <w:r w:rsidRPr="009A45F4">
              <w:rPr>
                <w:rFonts w:ascii="Arial" w:hAnsi="Arial" w:cs="Arial"/>
                <w:color w:val="222B35"/>
                <w:sz w:val="20"/>
                <w:szCs w:val="16"/>
              </w:rPr>
              <w:t>Oct</w:t>
            </w:r>
          </w:p>
        </w:tc>
        <w:tc>
          <w:tcPr>
            <w:tcW w:w="1276" w:type="dxa"/>
          </w:tcPr>
          <w:p w14:paraId="2D9CBED9" w14:textId="7817EBEB"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212</w:t>
            </w:r>
          </w:p>
        </w:tc>
        <w:tc>
          <w:tcPr>
            <w:tcW w:w="1276" w:type="dxa"/>
          </w:tcPr>
          <w:p w14:paraId="71524965" w14:textId="5CB5DE9A"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109</w:t>
            </w:r>
          </w:p>
        </w:tc>
        <w:tc>
          <w:tcPr>
            <w:tcW w:w="1275" w:type="dxa"/>
          </w:tcPr>
          <w:p w14:paraId="7CD69B3A" w14:textId="64769F61"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15</w:t>
            </w:r>
          </w:p>
        </w:tc>
      </w:tr>
      <w:tr w:rsidR="009A45F4" w14:paraId="34334379" w14:textId="77777777" w:rsidTr="00DF38EE">
        <w:tc>
          <w:tcPr>
            <w:tcW w:w="992" w:type="dxa"/>
            <w:shd w:val="clear" w:color="auto" w:fill="F2F2F2" w:themeFill="background1" w:themeFillShade="F2"/>
            <w:vAlign w:val="bottom"/>
          </w:tcPr>
          <w:p w14:paraId="51E700B0" w14:textId="549E16A6" w:rsidR="009A45F4" w:rsidRPr="009A45F4" w:rsidRDefault="009A45F4" w:rsidP="009A45F4">
            <w:pPr>
              <w:pStyle w:val="Level2"/>
              <w:numPr>
                <w:ilvl w:val="0"/>
                <w:numId w:val="0"/>
              </w:numPr>
              <w:tabs>
                <w:tab w:val="num" w:pos="1134"/>
              </w:tabs>
              <w:spacing w:after="0" w:line="240" w:lineRule="auto"/>
              <w:rPr>
                <w:rFonts w:ascii="Arial" w:hAnsi="Arial" w:cs="Arial"/>
                <w:sz w:val="20"/>
                <w:szCs w:val="16"/>
              </w:rPr>
            </w:pPr>
            <w:r w:rsidRPr="009A45F4">
              <w:rPr>
                <w:rFonts w:ascii="Arial" w:hAnsi="Arial" w:cs="Arial"/>
                <w:color w:val="222B35"/>
                <w:sz w:val="20"/>
                <w:szCs w:val="16"/>
              </w:rPr>
              <w:t>Nov</w:t>
            </w:r>
          </w:p>
        </w:tc>
        <w:tc>
          <w:tcPr>
            <w:tcW w:w="1276" w:type="dxa"/>
          </w:tcPr>
          <w:p w14:paraId="26123967" w14:textId="159FF85F"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202</w:t>
            </w:r>
          </w:p>
        </w:tc>
        <w:tc>
          <w:tcPr>
            <w:tcW w:w="1276" w:type="dxa"/>
          </w:tcPr>
          <w:p w14:paraId="2430F99D" w14:textId="157A82CF"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101</w:t>
            </w:r>
          </w:p>
        </w:tc>
        <w:tc>
          <w:tcPr>
            <w:tcW w:w="1275" w:type="dxa"/>
          </w:tcPr>
          <w:p w14:paraId="05E4C3AC" w14:textId="35CD2E9F"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8</w:t>
            </w:r>
          </w:p>
        </w:tc>
      </w:tr>
      <w:tr w:rsidR="009A45F4" w14:paraId="540B911C" w14:textId="77777777" w:rsidTr="00DF38EE">
        <w:tc>
          <w:tcPr>
            <w:tcW w:w="992" w:type="dxa"/>
            <w:shd w:val="clear" w:color="auto" w:fill="F2F2F2" w:themeFill="background1" w:themeFillShade="F2"/>
            <w:vAlign w:val="bottom"/>
          </w:tcPr>
          <w:p w14:paraId="759F8596" w14:textId="4FD7D1B2" w:rsidR="009A45F4" w:rsidRPr="009A45F4" w:rsidRDefault="009A45F4" w:rsidP="009A45F4">
            <w:pPr>
              <w:pStyle w:val="Level2"/>
              <w:numPr>
                <w:ilvl w:val="0"/>
                <w:numId w:val="0"/>
              </w:numPr>
              <w:tabs>
                <w:tab w:val="num" w:pos="1134"/>
              </w:tabs>
              <w:spacing w:after="0" w:line="240" w:lineRule="auto"/>
              <w:rPr>
                <w:rFonts w:ascii="Arial" w:hAnsi="Arial" w:cs="Arial"/>
                <w:sz w:val="20"/>
                <w:szCs w:val="16"/>
              </w:rPr>
            </w:pPr>
            <w:r w:rsidRPr="009A45F4">
              <w:rPr>
                <w:rFonts w:ascii="Arial" w:hAnsi="Arial" w:cs="Arial"/>
                <w:color w:val="222B35"/>
                <w:sz w:val="20"/>
                <w:szCs w:val="16"/>
              </w:rPr>
              <w:t>Dec</w:t>
            </w:r>
          </w:p>
        </w:tc>
        <w:tc>
          <w:tcPr>
            <w:tcW w:w="1276" w:type="dxa"/>
          </w:tcPr>
          <w:p w14:paraId="03D4B479" w14:textId="2E6471A5"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193</w:t>
            </w:r>
          </w:p>
        </w:tc>
        <w:tc>
          <w:tcPr>
            <w:tcW w:w="1276" w:type="dxa"/>
          </w:tcPr>
          <w:p w14:paraId="121C2581" w14:textId="4426ACA8" w:rsidR="009A45F4" w:rsidRPr="009A45F4" w:rsidRDefault="009A45F4" w:rsidP="009A45F4">
            <w:pPr>
              <w:pStyle w:val="Level2"/>
              <w:numPr>
                <w:ilvl w:val="0"/>
                <w:numId w:val="0"/>
              </w:numPr>
              <w:tabs>
                <w:tab w:val="num" w:pos="1134"/>
              </w:tabs>
              <w:spacing w:after="0" w:line="240" w:lineRule="auto"/>
              <w:rPr>
                <w:rFonts w:ascii="Arial" w:hAnsi="Arial" w:cs="Arial"/>
                <w:sz w:val="20"/>
              </w:rPr>
            </w:pPr>
            <w:r>
              <w:rPr>
                <w:rFonts w:ascii="Arial" w:hAnsi="Arial" w:cs="Arial"/>
                <w:sz w:val="20"/>
              </w:rPr>
              <w:t>93</w:t>
            </w:r>
          </w:p>
        </w:tc>
        <w:tc>
          <w:tcPr>
            <w:tcW w:w="1275" w:type="dxa"/>
          </w:tcPr>
          <w:p w14:paraId="5CD78B65" w14:textId="77777777" w:rsidR="009A45F4" w:rsidRPr="009A45F4" w:rsidRDefault="009A45F4" w:rsidP="009A45F4">
            <w:pPr>
              <w:pStyle w:val="Level2"/>
              <w:numPr>
                <w:ilvl w:val="0"/>
                <w:numId w:val="0"/>
              </w:numPr>
              <w:tabs>
                <w:tab w:val="num" w:pos="1134"/>
              </w:tabs>
              <w:spacing w:after="0" w:line="240" w:lineRule="auto"/>
              <w:rPr>
                <w:rFonts w:ascii="Arial" w:hAnsi="Arial" w:cs="Arial"/>
                <w:sz w:val="20"/>
              </w:rPr>
            </w:pPr>
          </w:p>
        </w:tc>
      </w:tr>
    </w:tbl>
    <w:p w14:paraId="1CC29267" w14:textId="77777777" w:rsidR="00EE03DC" w:rsidRPr="001420F0" w:rsidRDefault="00EE03DC" w:rsidP="008B6AF5">
      <w:pPr>
        <w:pStyle w:val="Level3"/>
        <w:numPr>
          <w:ilvl w:val="0"/>
          <w:numId w:val="0"/>
        </w:numPr>
        <w:spacing w:before="120" w:line="240" w:lineRule="auto"/>
        <w:ind w:left="2160"/>
        <w:rPr>
          <w:rFonts w:ascii="Arial" w:hAnsi="Arial" w:cs="Arial"/>
          <w:b/>
          <w:bCs/>
        </w:rPr>
      </w:pPr>
      <w:r w:rsidRPr="001420F0">
        <w:rPr>
          <w:rFonts w:ascii="Arial" w:hAnsi="Arial" w:cs="Arial"/>
          <w:b/>
          <w:bCs/>
        </w:rPr>
        <w:t>Table 1: Termination Payment</w:t>
      </w:r>
    </w:p>
    <w:p w14:paraId="3F22C952" w14:textId="77777777" w:rsidR="00EE03DC" w:rsidRPr="001420F0" w:rsidRDefault="00EE03DC" w:rsidP="008B6AF5">
      <w:pPr>
        <w:jc w:val="left"/>
        <w:rPr>
          <w:rFonts w:cs="Arial"/>
          <w:b/>
          <w:bCs/>
        </w:rPr>
      </w:pPr>
      <w:r w:rsidRPr="001420F0">
        <w:rPr>
          <w:rFonts w:cs="Arial"/>
          <w:b/>
          <w:bCs/>
        </w:rPr>
        <w:br w:type="page"/>
      </w:r>
    </w:p>
    <w:p w14:paraId="34922BC7" w14:textId="77777777" w:rsidR="00EE03DC" w:rsidRPr="001420F0" w:rsidRDefault="00EE03DC" w:rsidP="008B6AF5">
      <w:pPr>
        <w:jc w:val="center"/>
        <w:rPr>
          <w:rFonts w:cs="Arial"/>
          <w:b/>
          <w:bCs/>
        </w:rPr>
      </w:pPr>
      <w:r w:rsidRPr="001420F0">
        <w:rPr>
          <w:rFonts w:cs="Arial"/>
          <w:b/>
          <w:bCs/>
        </w:rPr>
        <w:lastRenderedPageBreak/>
        <w:t xml:space="preserve">ANNEX </w:t>
      </w:r>
      <w:r>
        <w:rPr>
          <w:rFonts w:cs="Arial"/>
          <w:b/>
          <w:bCs/>
        </w:rPr>
        <w:t>7.1</w:t>
      </w:r>
      <w:r w:rsidRPr="001420F0">
        <w:rPr>
          <w:rFonts w:cs="Arial"/>
          <w:b/>
          <w:bCs/>
        </w:rPr>
        <w:t>A</w:t>
      </w:r>
    </w:p>
    <w:p w14:paraId="66A634BA" w14:textId="77777777" w:rsidR="00EE03DC" w:rsidRPr="001420F0" w:rsidRDefault="00EE03DC" w:rsidP="008B6AF5">
      <w:pPr>
        <w:jc w:val="center"/>
        <w:rPr>
          <w:rFonts w:cs="Arial"/>
          <w:b/>
          <w:bCs/>
        </w:rPr>
      </w:pPr>
    </w:p>
    <w:p w14:paraId="1141AFB2" w14:textId="77777777" w:rsidR="00EE03DC" w:rsidRPr="001420F0" w:rsidRDefault="00EE03DC" w:rsidP="008B6AF5">
      <w:pPr>
        <w:jc w:val="left"/>
        <w:rPr>
          <w:rFonts w:cs="Arial"/>
          <w:b/>
          <w:bCs/>
        </w:rPr>
      </w:pPr>
    </w:p>
    <w:p w14:paraId="1FFDF743" w14:textId="77777777" w:rsidR="00EE03DC" w:rsidRPr="001420F0" w:rsidRDefault="00EE03DC" w:rsidP="008B6AF5">
      <w:pPr>
        <w:jc w:val="left"/>
        <w:rPr>
          <w:rFonts w:cs="Arial"/>
        </w:rPr>
      </w:pPr>
      <w:r w:rsidRPr="001420F0">
        <w:rPr>
          <w:rFonts w:cs="Arial"/>
        </w:rPr>
        <w:t>Discount bands based on man-day utilisation. These discounts will be applied to the Rate Card</w:t>
      </w:r>
    </w:p>
    <w:p w14:paraId="6D0396A2" w14:textId="77777777" w:rsidR="00EE03DC" w:rsidRPr="001420F0" w:rsidRDefault="00EE03DC" w:rsidP="008B6AF5">
      <w:pPr>
        <w:jc w:val="left"/>
        <w:rPr>
          <w:rFonts w:cs="Arial"/>
        </w:rPr>
      </w:pPr>
    </w:p>
    <w:tbl>
      <w:tblPr>
        <w:tblW w:w="9360" w:type="dxa"/>
        <w:tblLook w:val="04A0" w:firstRow="1" w:lastRow="0" w:firstColumn="1" w:lastColumn="0" w:noHBand="0" w:noVBand="1"/>
      </w:tblPr>
      <w:tblGrid>
        <w:gridCol w:w="1680"/>
        <w:gridCol w:w="2440"/>
        <w:gridCol w:w="2700"/>
        <w:gridCol w:w="2540"/>
      </w:tblGrid>
      <w:tr w:rsidR="00EE03DC" w:rsidRPr="001420F0" w14:paraId="14564F42" w14:textId="77777777" w:rsidTr="008B6AF5">
        <w:trPr>
          <w:trHeight w:val="690"/>
        </w:trPr>
        <w:tc>
          <w:tcPr>
            <w:tcW w:w="168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DB6C820" w14:textId="77777777" w:rsidR="00EE03DC" w:rsidRPr="001420F0" w:rsidRDefault="00EE03DC" w:rsidP="008B6AF5">
            <w:pPr>
              <w:jc w:val="left"/>
              <w:rPr>
                <w:rFonts w:cs="Arial"/>
              </w:rPr>
            </w:pPr>
            <w:r w:rsidRPr="001420F0">
              <w:rPr>
                <w:rFonts w:cs="Arial"/>
              </w:rPr>
              <w:t> </w:t>
            </w:r>
          </w:p>
        </w:tc>
        <w:tc>
          <w:tcPr>
            <w:tcW w:w="2440" w:type="dxa"/>
            <w:tcBorders>
              <w:top w:val="single" w:sz="4" w:space="0" w:color="auto"/>
              <w:left w:val="nil"/>
              <w:bottom w:val="single" w:sz="4" w:space="0" w:color="auto"/>
              <w:right w:val="single" w:sz="4" w:space="0" w:color="auto"/>
            </w:tcBorders>
            <w:shd w:val="clear" w:color="000000" w:fill="FFFFFF"/>
            <w:vAlign w:val="center"/>
            <w:hideMark/>
          </w:tcPr>
          <w:p w14:paraId="28285675" w14:textId="77777777" w:rsidR="00EE03DC" w:rsidRPr="001420F0" w:rsidRDefault="00EE03DC" w:rsidP="008B6AF5">
            <w:pPr>
              <w:jc w:val="center"/>
              <w:rPr>
                <w:rFonts w:cs="Arial"/>
                <w:b/>
                <w:bCs/>
              </w:rPr>
            </w:pPr>
            <w:r w:rsidRPr="001420F0">
              <w:rPr>
                <w:rFonts w:cs="Arial"/>
                <w:b/>
                <w:bCs/>
              </w:rPr>
              <w:t xml:space="preserve">Minimum number of </w:t>
            </w:r>
            <w:r>
              <w:rPr>
                <w:rFonts w:cs="Arial"/>
                <w:b/>
                <w:bCs/>
              </w:rPr>
              <w:t xml:space="preserve">payable </w:t>
            </w:r>
            <w:r w:rsidRPr="001420F0">
              <w:rPr>
                <w:rFonts w:cs="Arial"/>
                <w:b/>
                <w:bCs/>
              </w:rPr>
              <w:t>Total Days</w:t>
            </w:r>
            <w:r>
              <w:rPr>
                <w:rFonts w:cs="Arial"/>
                <w:b/>
                <w:bCs/>
              </w:rPr>
              <w:t xml:space="preserve"> </w:t>
            </w:r>
          </w:p>
        </w:tc>
        <w:tc>
          <w:tcPr>
            <w:tcW w:w="2700" w:type="dxa"/>
            <w:tcBorders>
              <w:top w:val="single" w:sz="4" w:space="0" w:color="auto"/>
              <w:left w:val="nil"/>
              <w:bottom w:val="single" w:sz="4" w:space="0" w:color="auto"/>
              <w:right w:val="single" w:sz="4" w:space="0" w:color="auto"/>
            </w:tcBorders>
            <w:shd w:val="clear" w:color="000000" w:fill="FFFFFF"/>
            <w:vAlign w:val="center"/>
            <w:hideMark/>
          </w:tcPr>
          <w:p w14:paraId="2E899062" w14:textId="77777777" w:rsidR="00EE03DC" w:rsidRPr="001420F0" w:rsidRDefault="00EE03DC" w:rsidP="008B6AF5">
            <w:pPr>
              <w:jc w:val="center"/>
              <w:rPr>
                <w:rFonts w:cs="Arial"/>
                <w:b/>
                <w:bCs/>
              </w:rPr>
            </w:pPr>
            <w:r w:rsidRPr="001420F0">
              <w:rPr>
                <w:rFonts w:cs="Arial"/>
                <w:b/>
                <w:bCs/>
              </w:rPr>
              <w:t xml:space="preserve">Maximum number of </w:t>
            </w:r>
            <w:r>
              <w:rPr>
                <w:rFonts w:cs="Arial"/>
                <w:b/>
                <w:bCs/>
              </w:rPr>
              <w:t xml:space="preserve">payable </w:t>
            </w:r>
            <w:r w:rsidRPr="001420F0">
              <w:rPr>
                <w:rFonts w:cs="Arial"/>
                <w:b/>
                <w:bCs/>
              </w:rPr>
              <w:t>Total Days</w:t>
            </w:r>
          </w:p>
        </w:tc>
        <w:tc>
          <w:tcPr>
            <w:tcW w:w="2540" w:type="dxa"/>
            <w:tcBorders>
              <w:top w:val="single" w:sz="4" w:space="0" w:color="auto"/>
              <w:left w:val="nil"/>
              <w:bottom w:val="single" w:sz="4" w:space="0" w:color="auto"/>
              <w:right w:val="single" w:sz="4" w:space="0" w:color="auto"/>
            </w:tcBorders>
            <w:shd w:val="clear" w:color="000000" w:fill="FFFFFF"/>
            <w:vAlign w:val="center"/>
            <w:hideMark/>
          </w:tcPr>
          <w:p w14:paraId="6E74DD2F" w14:textId="77777777" w:rsidR="00EE03DC" w:rsidRPr="001420F0" w:rsidRDefault="00EE03DC" w:rsidP="008B6AF5">
            <w:pPr>
              <w:jc w:val="center"/>
              <w:rPr>
                <w:rFonts w:cs="Arial"/>
                <w:b/>
                <w:bCs/>
              </w:rPr>
            </w:pPr>
            <w:r w:rsidRPr="001420F0">
              <w:rPr>
                <w:rFonts w:cs="Arial"/>
                <w:b/>
                <w:bCs/>
              </w:rPr>
              <w:t>% Discount on Day Rate</w:t>
            </w:r>
          </w:p>
        </w:tc>
      </w:tr>
      <w:tr w:rsidR="00EE03DC" w:rsidRPr="001420F0" w14:paraId="73AD7BDF" w14:textId="77777777" w:rsidTr="008B6AF5">
        <w:trPr>
          <w:trHeight w:val="225"/>
        </w:trPr>
        <w:tc>
          <w:tcPr>
            <w:tcW w:w="1680" w:type="dxa"/>
            <w:tcBorders>
              <w:top w:val="nil"/>
              <w:left w:val="single" w:sz="4" w:space="0" w:color="auto"/>
              <w:bottom w:val="single" w:sz="4" w:space="0" w:color="auto"/>
              <w:right w:val="single" w:sz="4" w:space="0" w:color="auto"/>
            </w:tcBorders>
            <w:shd w:val="clear" w:color="000000" w:fill="FFFFFF"/>
            <w:noWrap/>
            <w:vAlign w:val="bottom"/>
            <w:hideMark/>
          </w:tcPr>
          <w:p w14:paraId="4E2B6221" w14:textId="77777777" w:rsidR="00EE03DC" w:rsidRPr="001420F0" w:rsidRDefault="00EE03DC" w:rsidP="008B6AF5">
            <w:pPr>
              <w:jc w:val="center"/>
              <w:rPr>
                <w:rFonts w:cs="Arial"/>
                <w:b/>
                <w:bCs/>
              </w:rPr>
            </w:pPr>
            <w:r w:rsidRPr="001420F0">
              <w:rPr>
                <w:rFonts w:cs="Arial"/>
                <w:b/>
                <w:bCs/>
              </w:rPr>
              <w:t>Band 1</w:t>
            </w:r>
          </w:p>
        </w:tc>
        <w:tc>
          <w:tcPr>
            <w:tcW w:w="2440" w:type="dxa"/>
            <w:tcBorders>
              <w:top w:val="nil"/>
              <w:left w:val="nil"/>
              <w:bottom w:val="single" w:sz="4" w:space="0" w:color="auto"/>
              <w:right w:val="single" w:sz="4" w:space="0" w:color="auto"/>
            </w:tcBorders>
            <w:shd w:val="clear" w:color="000000" w:fill="FFFF00"/>
            <w:noWrap/>
            <w:vAlign w:val="bottom"/>
            <w:hideMark/>
          </w:tcPr>
          <w:p w14:paraId="71606CF1" w14:textId="77777777" w:rsidR="00EE03DC" w:rsidRPr="001420F0" w:rsidRDefault="00EE03DC" w:rsidP="008B6AF5">
            <w:pPr>
              <w:jc w:val="right"/>
              <w:rPr>
                <w:rFonts w:cs="Arial"/>
              </w:rPr>
            </w:pPr>
            <w:r w:rsidRPr="001420F0">
              <w:rPr>
                <w:rFonts w:cs="Arial"/>
              </w:rPr>
              <w:t>0</w:t>
            </w:r>
          </w:p>
        </w:tc>
        <w:tc>
          <w:tcPr>
            <w:tcW w:w="2700" w:type="dxa"/>
            <w:tcBorders>
              <w:top w:val="nil"/>
              <w:left w:val="nil"/>
              <w:bottom w:val="single" w:sz="4" w:space="0" w:color="auto"/>
              <w:right w:val="single" w:sz="4" w:space="0" w:color="auto"/>
            </w:tcBorders>
            <w:shd w:val="clear" w:color="000000" w:fill="FFFF00"/>
            <w:noWrap/>
            <w:vAlign w:val="bottom"/>
            <w:hideMark/>
          </w:tcPr>
          <w:p w14:paraId="1B405B67" w14:textId="77777777" w:rsidR="00EE03DC" w:rsidRPr="001420F0" w:rsidRDefault="00EE03DC" w:rsidP="008B6AF5">
            <w:pPr>
              <w:jc w:val="right"/>
              <w:rPr>
                <w:rFonts w:cs="Arial"/>
              </w:rPr>
            </w:pPr>
            <w:r w:rsidRPr="001420F0">
              <w:rPr>
                <w:rFonts w:cs="Arial"/>
              </w:rPr>
              <w:t>1300</w:t>
            </w:r>
          </w:p>
        </w:tc>
        <w:tc>
          <w:tcPr>
            <w:tcW w:w="2540" w:type="dxa"/>
            <w:tcBorders>
              <w:top w:val="nil"/>
              <w:left w:val="nil"/>
              <w:bottom w:val="single" w:sz="4" w:space="0" w:color="auto"/>
              <w:right w:val="single" w:sz="4" w:space="0" w:color="auto"/>
            </w:tcBorders>
            <w:shd w:val="clear" w:color="000000" w:fill="FFFF00"/>
            <w:noWrap/>
            <w:vAlign w:val="bottom"/>
            <w:hideMark/>
          </w:tcPr>
          <w:p w14:paraId="0EFF5005" w14:textId="77777777" w:rsidR="00EE03DC" w:rsidRPr="001420F0" w:rsidRDefault="00EE03DC" w:rsidP="008B6AF5">
            <w:pPr>
              <w:jc w:val="right"/>
              <w:rPr>
                <w:rFonts w:cs="Arial"/>
              </w:rPr>
            </w:pPr>
            <w:r w:rsidRPr="001420F0">
              <w:rPr>
                <w:rFonts w:cs="Arial"/>
              </w:rPr>
              <w:t>0%</w:t>
            </w:r>
          </w:p>
        </w:tc>
      </w:tr>
      <w:tr w:rsidR="00EE03DC" w:rsidRPr="001420F0" w14:paraId="2D2405E8" w14:textId="77777777" w:rsidTr="008B6AF5">
        <w:trPr>
          <w:trHeight w:val="225"/>
        </w:trPr>
        <w:tc>
          <w:tcPr>
            <w:tcW w:w="1680" w:type="dxa"/>
            <w:tcBorders>
              <w:top w:val="nil"/>
              <w:left w:val="single" w:sz="4" w:space="0" w:color="auto"/>
              <w:bottom w:val="single" w:sz="4" w:space="0" w:color="auto"/>
              <w:right w:val="single" w:sz="4" w:space="0" w:color="auto"/>
            </w:tcBorders>
            <w:shd w:val="clear" w:color="000000" w:fill="FFFFFF"/>
            <w:noWrap/>
            <w:vAlign w:val="bottom"/>
            <w:hideMark/>
          </w:tcPr>
          <w:p w14:paraId="617612B8" w14:textId="77777777" w:rsidR="00EE03DC" w:rsidRPr="001420F0" w:rsidRDefault="00EE03DC" w:rsidP="008B6AF5">
            <w:pPr>
              <w:jc w:val="center"/>
              <w:rPr>
                <w:rFonts w:cs="Arial"/>
                <w:b/>
                <w:bCs/>
              </w:rPr>
            </w:pPr>
            <w:r w:rsidRPr="001420F0">
              <w:rPr>
                <w:rFonts w:cs="Arial"/>
                <w:b/>
                <w:bCs/>
              </w:rPr>
              <w:t>Band 2</w:t>
            </w:r>
          </w:p>
        </w:tc>
        <w:tc>
          <w:tcPr>
            <w:tcW w:w="2440" w:type="dxa"/>
            <w:tcBorders>
              <w:top w:val="nil"/>
              <w:left w:val="nil"/>
              <w:bottom w:val="single" w:sz="4" w:space="0" w:color="auto"/>
              <w:right w:val="single" w:sz="4" w:space="0" w:color="auto"/>
            </w:tcBorders>
            <w:shd w:val="clear" w:color="000000" w:fill="FFFF00"/>
            <w:noWrap/>
            <w:vAlign w:val="bottom"/>
            <w:hideMark/>
          </w:tcPr>
          <w:p w14:paraId="09B90EAA" w14:textId="77777777" w:rsidR="00EE03DC" w:rsidRPr="001420F0" w:rsidRDefault="00EE03DC" w:rsidP="008B6AF5">
            <w:pPr>
              <w:jc w:val="right"/>
              <w:rPr>
                <w:rFonts w:cs="Arial"/>
              </w:rPr>
            </w:pPr>
            <w:r w:rsidRPr="001420F0">
              <w:rPr>
                <w:rFonts w:cs="Arial"/>
              </w:rPr>
              <w:t>1301</w:t>
            </w:r>
          </w:p>
        </w:tc>
        <w:tc>
          <w:tcPr>
            <w:tcW w:w="2700" w:type="dxa"/>
            <w:tcBorders>
              <w:top w:val="nil"/>
              <w:left w:val="nil"/>
              <w:bottom w:val="single" w:sz="4" w:space="0" w:color="auto"/>
              <w:right w:val="single" w:sz="4" w:space="0" w:color="auto"/>
            </w:tcBorders>
            <w:shd w:val="clear" w:color="000000" w:fill="FFFF00"/>
            <w:noWrap/>
            <w:vAlign w:val="bottom"/>
            <w:hideMark/>
          </w:tcPr>
          <w:p w14:paraId="1B743FDD" w14:textId="77777777" w:rsidR="00EE03DC" w:rsidRPr="001420F0" w:rsidRDefault="00EE03DC" w:rsidP="008B6AF5">
            <w:pPr>
              <w:jc w:val="right"/>
              <w:rPr>
                <w:rFonts w:cs="Arial"/>
              </w:rPr>
            </w:pPr>
            <w:r w:rsidRPr="001420F0">
              <w:rPr>
                <w:rFonts w:cs="Arial"/>
              </w:rPr>
              <w:t>3000</w:t>
            </w:r>
          </w:p>
        </w:tc>
        <w:tc>
          <w:tcPr>
            <w:tcW w:w="2540" w:type="dxa"/>
            <w:tcBorders>
              <w:top w:val="nil"/>
              <w:left w:val="nil"/>
              <w:bottom w:val="single" w:sz="4" w:space="0" w:color="auto"/>
              <w:right w:val="single" w:sz="4" w:space="0" w:color="auto"/>
            </w:tcBorders>
            <w:shd w:val="clear" w:color="000000" w:fill="FFFF00"/>
            <w:noWrap/>
            <w:vAlign w:val="bottom"/>
            <w:hideMark/>
          </w:tcPr>
          <w:p w14:paraId="55C2CC4A" w14:textId="77777777" w:rsidR="00EE03DC" w:rsidRPr="001420F0" w:rsidRDefault="00EE03DC" w:rsidP="008B6AF5">
            <w:pPr>
              <w:jc w:val="right"/>
              <w:rPr>
                <w:rFonts w:cs="Arial"/>
              </w:rPr>
            </w:pPr>
            <w:r w:rsidRPr="001420F0">
              <w:rPr>
                <w:rFonts w:cs="Arial"/>
              </w:rPr>
              <w:t>2%</w:t>
            </w:r>
          </w:p>
        </w:tc>
      </w:tr>
      <w:tr w:rsidR="00EE03DC" w:rsidRPr="001420F0" w14:paraId="0377CFCB" w14:textId="77777777" w:rsidTr="008B6AF5">
        <w:trPr>
          <w:trHeight w:val="225"/>
        </w:trPr>
        <w:tc>
          <w:tcPr>
            <w:tcW w:w="1680" w:type="dxa"/>
            <w:tcBorders>
              <w:top w:val="nil"/>
              <w:left w:val="single" w:sz="4" w:space="0" w:color="auto"/>
              <w:bottom w:val="single" w:sz="4" w:space="0" w:color="auto"/>
              <w:right w:val="single" w:sz="4" w:space="0" w:color="auto"/>
            </w:tcBorders>
            <w:shd w:val="clear" w:color="000000" w:fill="FFFFFF"/>
            <w:noWrap/>
            <w:vAlign w:val="bottom"/>
            <w:hideMark/>
          </w:tcPr>
          <w:p w14:paraId="5A0352A5" w14:textId="77777777" w:rsidR="00EE03DC" w:rsidRPr="001420F0" w:rsidRDefault="00EE03DC" w:rsidP="008B6AF5">
            <w:pPr>
              <w:jc w:val="center"/>
              <w:rPr>
                <w:rFonts w:cs="Arial"/>
                <w:b/>
                <w:bCs/>
              </w:rPr>
            </w:pPr>
            <w:r w:rsidRPr="001420F0">
              <w:rPr>
                <w:rFonts w:cs="Arial"/>
                <w:b/>
                <w:bCs/>
              </w:rPr>
              <w:t>Band 3</w:t>
            </w:r>
          </w:p>
        </w:tc>
        <w:tc>
          <w:tcPr>
            <w:tcW w:w="2440" w:type="dxa"/>
            <w:tcBorders>
              <w:top w:val="nil"/>
              <w:left w:val="nil"/>
              <w:bottom w:val="single" w:sz="4" w:space="0" w:color="auto"/>
              <w:right w:val="single" w:sz="4" w:space="0" w:color="auto"/>
            </w:tcBorders>
            <w:shd w:val="clear" w:color="000000" w:fill="FFFF00"/>
            <w:noWrap/>
            <w:vAlign w:val="bottom"/>
            <w:hideMark/>
          </w:tcPr>
          <w:p w14:paraId="4C867B14" w14:textId="77777777" w:rsidR="00EE03DC" w:rsidRPr="001420F0" w:rsidRDefault="00EE03DC" w:rsidP="008B6AF5">
            <w:pPr>
              <w:jc w:val="right"/>
              <w:rPr>
                <w:rFonts w:cs="Arial"/>
              </w:rPr>
            </w:pPr>
            <w:r w:rsidRPr="001420F0">
              <w:rPr>
                <w:rFonts w:cs="Arial"/>
              </w:rPr>
              <w:t>3001+</w:t>
            </w:r>
          </w:p>
        </w:tc>
        <w:tc>
          <w:tcPr>
            <w:tcW w:w="2700" w:type="dxa"/>
            <w:tcBorders>
              <w:top w:val="nil"/>
              <w:left w:val="nil"/>
              <w:bottom w:val="single" w:sz="4" w:space="0" w:color="auto"/>
              <w:right w:val="single" w:sz="4" w:space="0" w:color="auto"/>
            </w:tcBorders>
            <w:shd w:val="clear" w:color="000000" w:fill="FFFF00"/>
            <w:noWrap/>
            <w:vAlign w:val="bottom"/>
            <w:hideMark/>
          </w:tcPr>
          <w:p w14:paraId="5E2C80C3" w14:textId="77777777" w:rsidR="00EE03DC" w:rsidRPr="001420F0" w:rsidRDefault="00EE03DC" w:rsidP="008B6AF5">
            <w:pPr>
              <w:jc w:val="left"/>
              <w:rPr>
                <w:rFonts w:cs="Arial"/>
              </w:rPr>
            </w:pPr>
            <w:r w:rsidRPr="001420F0">
              <w:rPr>
                <w:rFonts w:cs="Arial"/>
              </w:rPr>
              <w:t> </w:t>
            </w:r>
          </w:p>
        </w:tc>
        <w:tc>
          <w:tcPr>
            <w:tcW w:w="2540" w:type="dxa"/>
            <w:tcBorders>
              <w:top w:val="nil"/>
              <w:left w:val="nil"/>
              <w:bottom w:val="single" w:sz="4" w:space="0" w:color="auto"/>
              <w:right w:val="single" w:sz="4" w:space="0" w:color="auto"/>
            </w:tcBorders>
            <w:shd w:val="clear" w:color="000000" w:fill="FFFF00"/>
            <w:noWrap/>
            <w:vAlign w:val="bottom"/>
            <w:hideMark/>
          </w:tcPr>
          <w:p w14:paraId="6C549227" w14:textId="77777777" w:rsidR="00EE03DC" w:rsidRPr="001420F0" w:rsidRDefault="00EE03DC" w:rsidP="008B6AF5">
            <w:pPr>
              <w:jc w:val="right"/>
              <w:rPr>
                <w:rFonts w:cs="Arial"/>
              </w:rPr>
            </w:pPr>
            <w:r w:rsidRPr="001420F0">
              <w:rPr>
                <w:rFonts w:cs="Arial"/>
              </w:rPr>
              <w:t>3%</w:t>
            </w:r>
          </w:p>
        </w:tc>
      </w:tr>
    </w:tbl>
    <w:p w14:paraId="266B4855" w14:textId="77777777" w:rsidR="00EE03DC" w:rsidRPr="001420F0" w:rsidRDefault="00EE03DC" w:rsidP="008B6AF5">
      <w:pPr>
        <w:jc w:val="left"/>
        <w:rPr>
          <w:rFonts w:cs="Arial"/>
        </w:rPr>
      </w:pPr>
    </w:p>
    <w:p w14:paraId="3CBB6D22" w14:textId="77777777" w:rsidR="007C0699" w:rsidRPr="000E5786" w:rsidRDefault="007C0699" w:rsidP="007C0699">
      <w:pPr>
        <w:pStyle w:val="Sch1"/>
        <w:numPr>
          <w:ilvl w:val="0"/>
          <w:numId w:val="0"/>
        </w:numPr>
        <w:jc w:val="center"/>
        <w:rPr>
          <w:rFonts w:cs="Arial"/>
          <w:b/>
          <w:szCs w:val="20"/>
        </w:rPr>
      </w:pPr>
    </w:p>
    <w:p w14:paraId="70681A6D" w14:textId="77777777" w:rsidR="007C0699" w:rsidRDefault="007C0699">
      <w:pPr>
        <w:rPr>
          <w:rFonts w:cs="Arial"/>
          <w:b/>
          <w:szCs w:val="20"/>
        </w:rPr>
      </w:pPr>
      <w:r>
        <w:rPr>
          <w:rFonts w:cs="Arial"/>
          <w:szCs w:val="20"/>
        </w:rPr>
        <w:br w:type="page"/>
      </w:r>
    </w:p>
    <w:p w14:paraId="7CE1DE3B" w14:textId="79D80C98" w:rsidR="002B2490" w:rsidRPr="000E5786" w:rsidRDefault="002B2490" w:rsidP="002B2490">
      <w:pPr>
        <w:pStyle w:val="ScheduleSubheading"/>
        <w:numPr>
          <w:ilvl w:val="0"/>
          <w:numId w:val="0"/>
        </w:numPr>
        <w:rPr>
          <w:rFonts w:cs="Arial"/>
          <w:szCs w:val="20"/>
        </w:rPr>
      </w:pPr>
      <w:bookmarkStart w:id="2325" w:name="_Hlk90584250"/>
      <w:r w:rsidRPr="000E5786">
        <w:rPr>
          <w:rFonts w:cs="Arial"/>
          <w:szCs w:val="20"/>
        </w:rPr>
        <w:lastRenderedPageBreak/>
        <w:t>SCHEDULE 7.2</w:t>
      </w:r>
    </w:p>
    <w:p w14:paraId="73D115A5" w14:textId="145A74FD" w:rsidR="002B2490" w:rsidRPr="000E5786" w:rsidRDefault="002B2490" w:rsidP="002B2490">
      <w:pPr>
        <w:pStyle w:val="Sch1"/>
        <w:numPr>
          <w:ilvl w:val="0"/>
          <w:numId w:val="0"/>
        </w:numPr>
        <w:jc w:val="center"/>
        <w:rPr>
          <w:rFonts w:cs="Arial"/>
          <w:b/>
          <w:szCs w:val="20"/>
        </w:rPr>
      </w:pPr>
      <w:r w:rsidRPr="000E5786">
        <w:rPr>
          <w:rFonts w:cs="Arial"/>
          <w:b/>
          <w:szCs w:val="20"/>
        </w:rPr>
        <w:t>SERVICE CREDITS</w:t>
      </w:r>
    </w:p>
    <w:p w14:paraId="4883290C" w14:textId="77777777" w:rsidR="002B2490" w:rsidRPr="000E5786" w:rsidRDefault="002B2490" w:rsidP="009D675B">
      <w:pPr>
        <w:pStyle w:val="Heading1"/>
        <w:numPr>
          <w:ilvl w:val="0"/>
          <w:numId w:val="39"/>
        </w:numPr>
        <w:spacing w:after="120"/>
        <w:rPr>
          <w:rFonts w:cs="Arial"/>
          <w:szCs w:val="20"/>
        </w:rPr>
      </w:pPr>
      <w:bookmarkStart w:id="2326" w:name="_Toc277002247"/>
      <w:bookmarkStart w:id="2327" w:name="_Toc277252016"/>
      <w:r w:rsidRPr="000E5786">
        <w:rPr>
          <w:rFonts w:cs="Arial"/>
          <w:szCs w:val="20"/>
        </w:rPr>
        <w:t>Principles</w:t>
      </w:r>
    </w:p>
    <w:p w14:paraId="6ACA7C10" w14:textId="011F125C" w:rsidR="002B2490" w:rsidRPr="000E5786" w:rsidRDefault="002B2490" w:rsidP="009D675B">
      <w:pPr>
        <w:pStyle w:val="Heading2"/>
        <w:numPr>
          <w:ilvl w:val="1"/>
          <w:numId w:val="138"/>
        </w:numPr>
        <w:spacing w:after="120"/>
        <w:rPr>
          <w:rFonts w:cs="Arial"/>
          <w:szCs w:val="20"/>
        </w:rPr>
      </w:pPr>
      <w:r w:rsidRPr="000E5786">
        <w:rPr>
          <w:rFonts w:cs="Arial"/>
          <w:szCs w:val="20"/>
        </w:rPr>
        <w:t>The Charges for the Services shall be subject to the Service Credit regime described in this Schedule.</w:t>
      </w:r>
    </w:p>
    <w:p w14:paraId="75064F52" w14:textId="77777777" w:rsidR="002B2490" w:rsidRPr="000E5786" w:rsidRDefault="002B2490" w:rsidP="009D675B">
      <w:pPr>
        <w:pStyle w:val="Heading2"/>
        <w:numPr>
          <w:ilvl w:val="1"/>
          <w:numId w:val="138"/>
        </w:numPr>
        <w:spacing w:after="120"/>
        <w:rPr>
          <w:rFonts w:cs="Arial"/>
          <w:szCs w:val="20"/>
        </w:rPr>
      </w:pPr>
      <w:r w:rsidRPr="000E5786">
        <w:rPr>
          <w:rFonts w:cs="Arial"/>
          <w:szCs w:val="20"/>
        </w:rPr>
        <w:t>The objectives of the Service Levels and the Service Credit regime are to:</w:t>
      </w:r>
    </w:p>
    <w:p w14:paraId="0E1DF102" w14:textId="77215688" w:rsidR="002B2490" w:rsidRPr="000E5786" w:rsidRDefault="002B2490" w:rsidP="009D675B">
      <w:pPr>
        <w:pStyle w:val="Heading3"/>
        <w:numPr>
          <w:ilvl w:val="2"/>
          <w:numId w:val="138"/>
        </w:numPr>
      </w:pPr>
      <w:r w:rsidRPr="000E5786">
        <w:t xml:space="preserve">ensure that the Services are of a consistently high quality and meet the business requirements of </w:t>
      </w:r>
      <w:proofErr w:type="spellStart"/>
      <w:r w:rsidR="001F1C19">
        <w:t>Netlink</w:t>
      </w:r>
      <w:proofErr w:type="spellEnd"/>
      <w:r w:rsidR="001F1C19">
        <w:t xml:space="preserve"> </w:t>
      </w:r>
      <w:proofErr w:type="gramStart"/>
      <w:r w:rsidR="001F1C19">
        <w:t>Star</w:t>
      </w:r>
      <w:r w:rsidRPr="000E5786">
        <w:t>;</w:t>
      </w:r>
      <w:proofErr w:type="gramEnd"/>
    </w:p>
    <w:p w14:paraId="2DB382B7" w14:textId="55019125" w:rsidR="002B2490" w:rsidRPr="000E5786" w:rsidRDefault="002B2490" w:rsidP="009D675B">
      <w:pPr>
        <w:pStyle w:val="Heading3"/>
        <w:numPr>
          <w:ilvl w:val="2"/>
          <w:numId w:val="138"/>
        </w:numPr>
      </w:pPr>
      <w:r w:rsidRPr="000E5786">
        <w:t xml:space="preserve">provide a mechanism whereby </w:t>
      </w:r>
      <w:proofErr w:type="spellStart"/>
      <w:r w:rsidR="001F1C19">
        <w:t>Netlink</w:t>
      </w:r>
      <w:proofErr w:type="spellEnd"/>
      <w:r w:rsidR="001F1C19">
        <w:t xml:space="preserve"> Star</w:t>
      </w:r>
      <w:r w:rsidRPr="000E5786">
        <w:t xml:space="preserve"> can attain meaningful recognition of inconvenience and/or loss resulting from the Supplier’s failure to deliver the level of Service for which it has contracted to deliver; and</w:t>
      </w:r>
    </w:p>
    <w:p w14:paraId="5AAA67AB" w14:textId="77777777" w:rsidR="002B2490" w:rsidRPr="000E5786" w:rsidRDefault="002B2490" w:rsidP="009D675B">
      <w:pPr>
        <w:pStyle w:val="Heading3"/>
        <w:numPr>
          <w:ilvl w:val="2"/>
          <w:numId w:val="138"/>
        </w:numPr>
      </w:pPr>
      <w:r w:rsidRPr="000E5786">
        <w:t>provide an incentive for the Supplier to meet the Service Levels and to remedy any failure to meet the Service Levels expeditiously.</w:t>
      </w:r>
    </w:p>
    <w:p w14:paraId="5657E602" w14:textId="382A2E74" w:rsidR="002B2490" w:rsidRPr="000E5786" w:rsidRDefault="002B2490" w:rsidP="009D675B">
      <w:pPr>
        <w:pStyle w:val="Heading2"/>
        <w:numPr>
          <w:ilvl w:val="1"/>
          <w:numId w:val="138"/>
        </w:numPr>
        <w:spacing w:after="120"/>
        <w:rPr>
          <w:rFonts w:cs="Arial"/>
          <w:szCs w:val="20"/>
        </w:rPr>
      </w:pPr>
      <w:r w:rsidRPr="000E5786">
        <w:rPr>
          <w:rFonts w:cs="Arial"/>
          <w:szCs w:val="20"/>
        </w:rPr>
        <w:t xml:space="preserve">Where the level of service falls below the Target </w:t>
      </w:r>
      <w:r w:rsidR="0027602E">
        <w:rPr>
          <w:rFonts w:cs="Arial"/>
          <w:szCs w:val="20"/>
        </w:rPr>
        <w:t xml:space="preserve">Performance </w:t>
      </w:r>
      <w:r w:rsidRPr="000E5786">
        <w:rPr>
          <w:rFonts w:cs="Arial"/>
          <w:szCs w:val="20"/>
        </w:rPr>
        <w:t xml:space="preserve">Level the Supplier shall conduct a root cause analysis as to the reasons for failing to meet the Target Level and agree an action plan with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Where the root cause of the failure to meet the Target Level is attributable to the Supplier, the Supplier shall meet all costs in carrying out any remedial action required to ensure the Service Level meets or exceeds its Target </w:t>
      </w:r>
      <w:r w:rsidR="0027602E">
        <w:rPr>
          <w:rFonts w:cs="Arial"/>
          <w:szCs w:val="20"/>
        </w:rPr>
        <w:t xml:space="preserve">Performance </w:t>
      </w:r>
      <w:r w:rsidRPr="000E5786">
        <w:rPr>
          <w:rFonts w:cs="Arial"/>
          <w:szCs w:val="20"/>
        </w:rPr>
        <w:t xml:space="preserve">Level for the remainder of the Term. </w:t>
      </w:r>
    </w:p>
    <w:p w14:paraId="051FC13B" w14:textId="77777777" w:rsidR="002B2490" w:rsidRPr="0027602E" w:rsidRDefault="002B2490" w:rsidP="009D675B">
      <w:pPr>
        <w:pStyle w:val="Heading2"/>
        <w:numPr>
          <w:ilvl w:val="1"/>
          <w:numId w:val="138"/>
        </w:numPr>
        <w:spacing w:after="120"/>
        <w:rPr>
          <w:rFonts w:cs="Arial"/>
          <w:b/>
          <w:bCs w:val="0"/>
          <w:szCs w:val="20"/>
        </w:rPr>
      </w:pPr>
      <w:r w:rsidRPr="0027602E">
        <w:rPr>
          <w:rFonts w:cs="Arial"/>
          <w:b/>
          <w:bCs w:val="0"/>
          <w:szCs w:val="20"/>
        </w:rPr>
        <w:t>Service Failure</w:t>
      </w:r>
    </w:p>
    <w:p w14:paraId="2E44BA7E" w14:textId="42163424" w:rsidR="002B2490" w:rsidRPr="000E5786" w:rsidRDefault="002B2490" w:rsidP="009D675B">
      <w:pPr>
        <w:pStyle w:val="Heading3"/>
        <w:numPr>
          <w:ilvl w:val="2"/>
          <w:numId w:val="138"/>
        </w:numPr>
      </w:pPr>
      <w:r w:rsidRPr="000E5786">
        <w:t>“</w:t>
      </w:r>
      <w:r w:rsidRPr="0027602E">
        <w:rPr>
          <w:b/>
        </w:rPr>
        <w:t>Service Failure</w:t>
      </w:r>
      <w:r w:rsidRPr="000E5786">
        <w:t>” means a Service falling below its Minimum Level as set out in Schedule 2.2 (</w:t>
      </w:r>
      <w:r w:rsidRPr="00B26A5F">
        <w:t>Service Levels</w:t>
      </w:r>
      <w:r w:rsidRPr="000E5786">
        <w:t xml:space="preserve">) or in the case of a Binary Service Level that has no Minimum Level set, that it fails the applicable Target </w:t>
      </w:r>
      <w:r w:rsidR="0027602E">
        <w:t xml:space="preserve">Performance </w:t>
      </w:r>
      <w:r w:rsidRPr="000E5786">
        <w:t>Level.</w:t>
      </w:r>
    </w:p>
    <w:p w14:paraId="1DB3473F" w14:textId="51448639" w:rsidR="002B2490" w:rsidRPr="000E5786" w:rsidRDefault="002B2490" w:rsidP="009D675B">
      <w:pPr>
        <w:pStyle w:val="Heading3"/>
        <w:numPr>
          <w:ilvl w:val="2"/>
          <w:numId w:val="138"/>
        </w:numPr>
      </w:pPr>
      <w:r w:rsidRPr="000E5786">
        <w:t>In the event of a Service Failure, the Supplier shall be obliged to produce a plan setting out the remedial action required to ensure the Service Level meets or exceeds its Target Level (“</w:t>
      </w:r>
      <w:r w:rsidRPr="000E5786">
        <w:rPr>
          <w:b/>
        </w:rPr>
        <w:t>Remedial Plan</w:t>
      </w:r>
      <w:r w:rsidRPr="000E5786">
        <w:t xml:space="preserve">”) and provide the Remedial Plan to </w:t>
      </w:r>
      <w:proofErr w:type="spellStart"/>
      <w:r w:rsidR="001F1C19">
        <w:t>Netlink</w:t>
      </w:r>
      <w:proofErr w:type="spellEnd"/>
      <w:r w:rsidR="001F1C19">
        <w:t xml:space="preserve"> Star</w:t>
      </w:r>
      <w:r w:rsidRPr="000E5786">
        <w:t xml:space="preserve"> within 30 days of such failure occurring. Supplier shall amend the Remedial Plan as reasonably agreed with </w:t>
      </w:r>
      <w:proofErr w:type="spellStart"/>
      <w:r w:rsidR="001F1C19">
        <w:t>Netlink</w:t>
      </w:r>
      <w:proofErr w:type="spellEnd"/>
      <w:r w:rsidR="001F1C19">
        <w:t xml:space="preserve"> Star</w:t>
      </w:r>
      <w:r w:rsidRPr="000E5786">
        <w:t xml:space="preserve">. The Remedial Plan will detail the measures to be taken by the Supplier to enable the Service Level to meet its Target Level by no later than the date set out in the Remedial Plan. </w:t>
      </w:r>
      <w:proofErr w:type="spellStart"/>
      <w:r w:rsidR="001F1C19">
        <w:t>Netlink</w:t>
      </w:r>
      <w:proofErr w:type="spellEnd"/>
      <w:r w:rsidR="001F1C19">
        <w:t xml:space="preserve"> Star</w:t>
      </w:r>
      <w:r w:rsidRPr="000E5786">
        <w:t xml:space="preserve"> shall bear no costs for the implementation of the Remedial Plan. </w:t>
      </w:r>
    </w:p>
    <w:p w14:paraId="01C0FCB4" w14:textId="0BAD5CEC" w:rsidR="002B2490" w:rsidRPr="000E5786" w:rsidRDefault="002B2490" w:rsidP="009D675B">
      <w:pPr>
        <w:pStyle w:val="Heading3"/>
        <w:numPr>
          <w:ilvl w:val="2"/>
          <w:numId w:val="138"/>
        </w:numPr>
      </w:pPr>
      <w:proofErr w:type="gramStart"/>
      <w:r w:rsidRPr="000E5786">
        <w:t>In the event that</w:t>
      </w:r>
      <w:proofErr w:type="gramEnd"/>
      <w:r w:rsidRPr="000E5786">
        <w:t xml:space="preserve"> any of the Service Levels fail to meet the Minimum Level in any Invoicing Period the Supplier shall generate the proportion of the relevant groups (listed in </w:t>
      </w:r>
      <w:r w:rsidR="0027602E" w:rsidRPr="000E5786">
        <w:t xml:space="preserve">Paragraph </w:t>
      </w:r>
      <w:r w:rsidRPr="000E5786">
        <w:fldChar w:fldCharType="begin"/>
      </w:r>
      <w:r w:rsidRPr="000E5786">
        <w:instrText xml:space="preserve"> REF _Ref82526992 \r \h  \* MERGEFORMAT </w:instrText>
      </w:r>
      <w:r w:rsidRPr="000E5786">
        <w:fldChar w:fldCharType="separate"/>
      </w:r>
      <w:r w:rsidRPr="000E5786">
        <w:t>3.2</w:t>
      </w:r>
      <w:r w:rsidRPr="000E5786">
        <w:fldChar w:fldCharType="end"/>
      </w:r>
      <w:r w:rsidRPr="000E5786">
        <w:t>) as a Service Credit.</w:t>
      </w:r>
    </w:p>
    <w:bookmarkEnd w:id="2326"/>
    <w:bookmarkEnd w:id="2327"/>
    <w:p w14:paraId="63AB3D6F" w14:textId="77777777" w:rsidR="002B2490" w:rsidRPr="000E5786" w:rsidRDefault="002B2490" w:rsidP="009D675B">
      <w:pPr>
        <w:pStyle w:val="Heading2"/>
        <w:numPr>
          <w:ilvl w:val="1"/>
          <w:numId w:val="138"/>
        </w:numPr>
        <w:spacing w:after="120"/>
        <w:rPr>
          <w:rFonts w:cs="Arial"/>
          <w:szCs w:val="20"/>
        </w:rPr>
      </w:pPr>
      <w:r w:rsidRPr="000E5786">
        <w:rPr>
          <w:rFonts w:cs="Arial"/>
          <w:szCs w:val="20"/>
          <w:lang w:val="en-US"/>
        </w:rPr>
        <w:t xml:space="preserve">The payment of Service Credits by the Supplier shall be reflective of the performance of the Supplier in </w:t>
      </w:r>
      <w:r w:rsidRPr="000E5786">
        <w:rPr>
          <w:rFonts w:cs="Arial"/>
          <w:szCs w:val="20"/>
        </w:rPr>
        <w:t>delivering</w:t>
      </w:r>
      <w:r w:rsidRPr="000E5786">
        <w:rPr>
          <w:rFonts w:cs="Arial"/>
          <w:szCs w:val="20"/>
          <w:lang w:val="en-US"/>
        </w:rPr>
        <w:t xml:space="preserve"> the Services against the Service Levels.</w:t>
      </w:r>
    </w:p>
    <w:p w14:paraId="3B60C66F" w14:textId="4CDE11FC" w:rsidR="002B2490" w:rsidRPr="000E5786" w:rsidRDefault="002B2490" w:rsidP="009D675B">
      <w:pPr>
        <w:pStyle w:val="Heading2"/>
        <w:numPr>
          <w:ilvl w:val="1"/>
          <w:numId w:val="138"/>
        </w:numPr>
        <w:spacing w:after="120"/>
        <w:rPr>
          <w:rFonts w:cs="Arial"/>
          <w:szCs w:val="20"/>
          <w:lang w:val="en-US"/>
        </w:rPr>
      </w:pPr>
      <w:r w:rsidRPr="000E5786">
        <w:rPr>
          <w:rFonts w:cs="Arial"/>
          <w:szCs w:val="20"/>
          <w:lang w:val="en-US"/>
        </w:rPr>
        <w:t xml:space="preserve">The </w:t>
      </w:r>
      <w:r w:rsidRPr="000E5786">
        <w:rPr>
          <w:rFonts w:cs="Arial"/>
          <w:szCs w:val="20"/>
        </w:rPr>
        <w:t>provisions</w:t>
      </w:r>
      <w:r w:rsidRPr="000E5786">
        <w:rPr>
          <w:rFonts w:cs="Arial"/>
          <w:szCs w:val="20"/>
          <w:lang w:val="en-US"/>
        </w:rPr>
        <w:t xml:space="preserve"> of this Schedule .2</w:t>
      </w:r>
      <w:r w:rsidRPr="000E5786">
        <w:rPr>
          <w:rFonts w:cs="Arial"/>
          <w:b/>
          <w:szCs w:val="20"/>
          <w:lang w:val="en-US"/>
        </w:rPr>
        <w:t xml:space="preserve"> </w:t>
      </w:r>
      <w:r w:rsidRPr="000E5786">
        <w:rPr>
          <w:rFonts w:cs="Arial"/>
          <w:szCs w:val="20"/>
          <w:lang w:val="en-US"/>
        </w:rPr>
        <w:t xml:space="preserve">are without prejudice to </w:t>
      </w:r>
      <w:proofErr w:type="spellStart"/>
      <w:r w:rsidR="001F1C19">
        <w:rPr>
          <w:rFonts w:cs="Arial"/>
          <w:szCs w:val="20"/>
          <w:lang w:val="en-US"/>
        </w:rPr>
        <w:t>Netlink</w:t>
      </w:r>
      <w:proofErr w:type="spellEnd"/>
      <w:r w:rsidR="001F1C19">
        <w:rPr>
          <w:rFonts w:cs="Arial"/>
          <w:szCs w:val="20"/>
          <w:lang w:val="en-US"/>
        </w:rPr>
        <w:t xml:space="preserve"> Star</w:t>
      </w:r>
      <w:r w:rsidRPr="000E5786">
        <w:rPr>
          <w:rFonts w:cs="Arial"/>
          <w:szCs w:val="20"/>
          <w:lang w:val="en-US"/>
        </w:rPr>
        <w:t>’s other rights and remedies.</w:t>
      </w:r>
    </w:p>
    <w:p w14:paraId="3B81BB20" w14:textId="77777777" w:rsidR="00407A01" w:rsidRPr="000E5786" w:rsidRDefault="00407A01" w:rsidP="00407A01">
      <w:pPr>
        <w:pStyle w:val="Heading2"/>
        <w:numPr>
          <w:ilvl w:val="0"/>
          <w:numId w:val="0"/>
        </w:numPr>
        <w:spacing w:after="120"/>
        <w:ind w:left="709"/>
        <w:rPr>
          <w:rFonts w:cs="Arial"/>
          <w:szCs w:val="20"/>
          <w:lang w:val="en-US"/>
        </w:rPr>
      </w:pPr>
    </w:p>
    <w:p w14:paraId="0AA96B84" w14:textId="77777777" w:rsidR="002B2490" w:rsidRPr="000E5786" w:rsidRDefault="002B2490" w:rsidP="009D675B">
      <w:pPr>
        <w:pStyle w:val="Heading1"/>
        <w:numPr>
          <w:ilvl w:val="0"/>
          <w:numId w:val="138"/>
        </w:numPr>
        <w:spacing w:after="120"/>
        <w:rPr>
          <w:rFonts w:cs="Arial"/>
          <w:szCs w:val="20"/>
          <w:lang w:val="en-US"/>
        </w:rPr>
      </w:pPr>
      <w:r w:rsidRPr="000E5786">
        <w:rPr>
          <w:rFonts w:cs="Arial"/>
          <w:szCs w:val="20"/>
        </w:rPr>
        <w:t>Service</w:t>
      </w:r>
      <w:r w:rsidRPr="000E5786">
        <w:rPr>
          <w:rFonts w:cs="Arial"/>
          <w:szCs w:val="20"/>
          <w:lang w:val="en-US"/>
        </w:rPr>
        <w:t xml:space="preserve"> Credits effective date</w:t>
      </w:r>
    </w:p>
    <w:p w14:paraId="208E5C9B" w14:textId="7AF49BCE" w:rsidR="002B2490" w:rsidRPr="000E5786" w:rsidRDefault="002B2490" w:rsidP="002B2490">
      <w:pPr>
        <w:pStyle w:val="Heading2"/>
        <w:numPr>
          <w:ilvl w:val="0"/>
          <w:numId w:val="0"/>
        </w:numPr>
        <w:spacing w:after="120"/>
        <w:ind w:left="709"/>
        <w:rPr>
          <w:rFonts w:cs="Arial"/>
          <w:szCs w:val="20"/>
          <w:lang w:val="en-US"/>
        </w:rPr>
      </w:pPr>
      <w:r w:rsidRPr="000E5786">
        <w:rPr>
          <w:rFonts w:cs="Arial"/>
          <w:szCs w:val="20"/>
          <w:lang w:val="en-US"/>
        </w:rPr>
        <w:t>Service Credits shall begin to accrue from the commencement of the Operate Service.</w:t>
      </w:r>
    </w:p>
    <w:p w14:paraId="150A1E3B" w14:textId="77777777" w:rsidR="00407A01" w:rsidRPr="000E5786" w:rsidRDefault="00407A01" w:rsidP="00407A01">
      <w:pPr>
        <w:pStyle w:val="Heading2"/>
        <w:numPr>
          <w:ilvl w:val="0"/>
          <w:numId w:val="0"/>
        </w:numPr>
        <w:spacing w:after="120"/>
        <w:ind w:left="709" w:hanging="709"/>
        <w:rPr>
          <w:rFonts w:cs="Arial"/>
          <w:szCs w:val="20"/>
          <w:lang w:val="en-US"/>
        </w:rPr>
      </w:pPr>
    </w:p>
    <w:p w14:paraId="10835BE3" w14:textId="77777777" w:rsidR="002B2490" w:rsidRPr="000E5786" w:rsidRDefault="002B2490" w:rsidP="009D675B">
      <w:pPr>
        <w:pStyle w:val="Heading1"/>
        <w:numPr>
          <w:ilvl w:val="0"/>
          <w:numId w:val="138"/>
        </w:numPr>
        <w:spacing w:after="120"/>
        <w:rPr>
          <w:rFonts w:cs="Arial"/>
          <w:szCs w:val="20"/>
        </w:rPr>
      </w:pPr>
      <w:bookmarkStart w:id="2328" w:name="_Toc277002248"/>
      <w:bookmarkStart w:id="2329" w:name="_Toc277252017"/>
      <w:r w:rsidRPr="000E5786">
        <w:rPr>
          <w:rFonts w:cs="Arial"/>
          <w:szCs w:val="20"/>
        </w:rPr>
        <w:t>Base Charge at Risk</w:t>
      </w:r>
      <w:bookmarkEnd w:id="2328"/>
      <w:bookmarkEnd w:id="2329"/>
      <w:r w:rsidRPr="000E5786">
        <w:rPr>
          <w:rFonts w:cs="Arial"/>
          <w:szCs w:val="20"/>
        </w:rPr>
        <w:t xml:space="preserve"> and apportionment</w:t>
      </w:r>
    </w:p>
    <w:p w14:paraId="1A68C213" w14:textId="5EA098A0" w:rsidR="002B2490" w:rsidRPr="000E5786" w:rsidRDefault="002B2490" w:rsidP="009D675B">
      <w:pPr>
        <w:pStyle w:val="Heading2"/>
        <w:numPr>
          <w:ilvl w:val="1"/>
          <w:numId w:val="138"/>
        </w:numPr>
        <w:spacing w:after="120"/>
        <w:rPr>
          <w:rFonts w:cs="Arial"/>
          <w:szCs w:val="20"/>
        </w:rPr>
      </w:pPr>
      <w:r w:rsidRPr="000E5786">
        <w:rPr>
          <w:rFonts w:cs="Arial"/>
          <w:szCs w:val="20"/>
        </w:rPr>
        <w:t xml:space="preserve">This Service Credit regime shall operate against a specified percentage of the total </w:t>
      </w:r>
      <w:r w:rsidR="00B55F58">
        <w:rPr>
          <w:rFonts w:cs="Arial"/>
          <w:szCs w:val="20"/>
        </w:rPr>
        <w:t>Catalogue</w:t>
      </w:r>
      <w:r w:rsidR="00B55F58" w:rsidRPr="000E5786">
        <w:rPr>
          <w:rFonts w:cs="Arial"/>
          <w:szCs w:val="20"/>
        </w:rPr>
        <w:t xml:space="preserve"> </w:t>
      </w:r>
      <w:r w:rsidRPr="000E5786">
        <w:rPr>
          <w:rFonts w:cs="Arial"/>
          <w:szCs w:val="20"/>
        </w:rPr>
        <w:t>Charge in the Invoicing Period (the “</w:t>
      </w:r>
      <w:r w:rsidRPr="000E5786">
        <w:rPr>
          <w:rFonts w:cs="Arial"/>
          <w:b/>
          <w:szCs w:val="20"/>
        </w:rPr>
        <w:t>At-risk Value</w:t>
      </w:r>
      <w:r w:rsidRPr="000E5786">
        <w:rPr>
          <w:rFonts w:cs="Arial"/>
          <w:szCs w:val="20"/>
        </w:rPr>
        <w:t xml:space="preserve">”) which shall be set at 10%. </w:t>
      </w:r>
    </w:p>
    <w:p w14:paraId="3FEA05A1" w14:textId="77777777" w:rsidR="002B2490" w:rsidRPr="000E5786" w:rsidRDefault="002B2490" w:rsidP="009D675B">
      <w:pPr>
        <w:pStyle w:val="Heading2"/>
        <w:numPr>
          <w:ilvl w:val="1"/>
          <w:numId w:val="138"/>
        </w:numPr>
        <w:spacing w:after="120"/>
        <w:rPr>
          <w:rFonts w:cs="Arial"/>
          <w:szCs w:val="20"/>
        </w:rPr>
      </w:pPr>
      <w:bookmarkStart w:id="2330" w:name="_Ref82526992"/>
      <w:r w:rsidRPr="000E5786">
        <w:rPr>
          <w:rFonts w:cs="Arial"/>
          <w:szCs w:val="20"/>
        </w:rPr>
        <w:t>The At-risk Value shall be broken down into groups as follows:</w:t>
      </w:r>
      <w:bookmarkEnd w:id="2330"/>
    </w:p>
    <w:p w14:paraId="0FE6CA35" w14:textId="77777777" w:rsidR="002B2490" w:rsidRPr="000E5786" w:rsidRDefault="002B2490" w:rsidP="009D675B">
      <w:pPr>
        <w:pStyle w:val="Heading3"/>
        <w:numPr>
          <w:ilvl w:val="2"/>
          <w:numId w:val="138"/>
        </w:numPr>
      </w:pPr>
      <w:r w:rsidRPr="000E5786">
        <w:t xml:space="preserve">The Availability Credit Group shall equal </w:t>
      </w:r>
      <w:r w:rsidRPr="000E5786">
        <w:rPr>
          <w:b/>
        </w:rPr>
        <w:t>40%</w:t>
      </w:r>
      <w:r w:rsidRPr="000E5786">
        <w:t xml:space="preserve"> of the At-risk </w:t>
      </w:r>
      <w:proofErr w:type="gramStart"/>
      <w:r w:rsidRPr="000E5786">
        <w:t>Value;</w:t>
      </w:r>
      <w:proofErr w:type="gramEnd"/>
    </w:p>
    <w:p w14:paraId="23E80921" w14:textId="77777777" w:rsidR="002B2490" w:rsidRPr="000E5786" w:rsidRDefault="002B2490" w:rsidP="009D675B">
      <w:pPr>
        <w:pStyle w:val="Heading3"/>
        <w:numPr>
          <w:ilvl w:val="2"/>
          <w:numId w:val="138"/>
        </w:numPr>
      </w:pPr>
      <w:r w:rsidRPr="000E5786">
        <w:lastRenderedPageBreak/>
        <w:t xml:space="preserve">The Reaction Time Credit Group shall equal </w:t>
      </w:r>
      <w:r w:rsidRPr="000E5786">
        <w:rPr>
          <w:b/>
        </w:rPr>
        <w:t>30%</w:t>
      </w:r>
      <w:r w:rsidRPr="000E5786">
        <w:t xml:space="preserve"> of the At-risk </w:t>
      </w:r>
      <w:proofErr w:type="gramStart"/>
      <w:r w:rsidRPr="000E5786">
        <w:t>Value;</w:t>
      </w:r>
      <w:proofErr w:type="gramEnd"/>
    </w:p>
    <w:p w14:paraId="17B30178" w14:textId="77777777" w:rsidR="002B2490" w:rsidRPr="000E5786" w:rsidRDefault="002B2490" w:rsidP="009D675B">
      <w:pPr>
        <w:pStyle w:val="Heading3"/>
        <w:numPr>
          <w:ilvl w:val="2"/>
          <w:numId w:val="138"/>
        </w:numPr>
      </w:pPr>
      <w:r w:rsidRPr="000E5786">
        <w:t xml:space="preserve">The Business Continuity Credit Group shall equal </w:t>
      </w:r>
      <w:r w:rsidRPr="000E5786">
        <w:rPr>
          <w:b/>
        </w:rPr>
        <w:t>20%</w:t>
      </w:r>
      <w:r w:rsidRPr="000E5786">
        <w:t xml:space="preserve"> of the At-risk Value; and</w:t>
      </w:r>
    </w:p>
    <w:p w14:paraId="494C2133" w14:textId="40368298" w:rsidR="002B2490" w:rsidRPr="000E5786" w:rsidRDefault="002B2490" w:rsidP="009D675B">
      <w:pPr>
        <w:pStyle w:val="Heading3"/>
        <w:numPr>
          <w:ilvl w:val="2"/>
          <w:numId w:val="138"/>
        </w:numPr>
      </w:pPr>
      <w:r w:rsidRPr="000E5786">
        <w:t xml:space="preserve">The Service Quality Credit Group shall equal </w:t>
      </w:r>
      <w:r w:rsidRPr="000E5786">
        <w:rPr>
          <w:b/>
        </w:rPr>
        <w:t>10%</w:t>
      </w:r>
      <w:r w:rsidRPr="000E5786">
        <w:t xml:space="preserve"> of the At-risk Value.</w:t>
      </w:r>
    </w:p>
    <w:p w14:paraId="2950AB0C" w14:textId="77777777" w:rsidR="009C77E2" w:rsidRPr="009C77E2" w:rsidRDefault="009C77E2" w:rsidP="009D675B">
      <w:pPr>
        <w:pStyle w:val="Heading3"/>
        <w:numPr>
          <w:ilvl w:val="2"/>
          <w:numId w:val="138"/>
        </w:numPr>
      </w:pPr>
      <w:r w:rsidRPr="009C77E2">
        <w:t>Within each Credit Group the service credits are apportioned to the individual Service Levels as described in Table A below:</w:t>
      </w:r>
    </w:p>
    <w:p w14:paraId="16BEA715" w14:textId="77777777" w:rsidR="009C77E2" w:rsidRPr="009C77E2" w:rsidRDefault="009C77E2" w:rsidP="009C77E2">
      <w:pPr>
        <w:pStyle w:val="Heading3"/>
        <w:numPr>
          <w:ilvl w:val="0"/>
          <w:numId w:val="0"/>
        </w:numPr>
        <w:ind w:left="1702"/>
      </w:pPr>
    </w:p>
    <w:tbl>
      <w:tblPr>
        <w:tblStyle w:val="TableGrid0"/>
        <w:tblW w:w="0" w:type="auto"/>
        <w:tblInd w:w="1702" w:type="dxa"/>
        <w:tblLook w:val="04A0" w:firstRow="1" w:lastRow="0" w:firstColumn="1" w:lastColumn="0" w:noHBand="0" w:noVBand="1"/>
      </w:tblPr>
      <w:tblGrid>
        <w:gridCol w:w="1161"/>
        <w:gridCol w:w="1213"/>
        <w:gridCol w:w="1851"/>
        <w:gridCol w:w="1567"/>
        <w:gridCol w:w="1567"/>
      </w:tblGrid>
      <w:tr w:rsidR="009C77E2" w:rsidRPr="009C77E2" w14:paraId="0BABB0B6" w14:textId="77777777" w:rsidTr="009C77E2">
        <w:tc>
          <w:tcPr>
            <w:tcW w:w="960" w:type="dxa"/>
          </w:tcPr>
          <w:p w14:paraId="2B1C9231"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Credit Group</w:t>
            </w:r>
          </w:p>
        </w:tc>
        <w:tc>
          <w:tcPr>
            <w:tcW w:w="1281" w:type="dxa"/>
          </w:tcPr>
          <w:p w14:paraId="0221392C"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Service Level Reference</w:t>
            </w:r>
          </w:p>
        </w:tc>
        <w:tc>
          <w:tcPr>
            <w:tcW w:w="1851" w:type="dxa"/>
          </w:tcPr>
          <w:p w14:paraId="4F9AF884"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Service Level Name</w:t>
            </w:r>
          </w:p>
        </w:tc>
        <w:tc>
          <w:tcPr>
            <w:tcW w:w="1611" w:type="dxa"/>
          </w:tcPr>
          <w:p w14:paraId="073CCE41"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Apportionment within Credit Group</w:t>
            </w:r>
          </w:p>
        </w:tc>
        <w:tc>
          <w:tcPr>
            <w:tcW w:w="1611" w:type="dxa"/>
          </w:tcPr>
          <w:p w14:paraId="42C1461D"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Apportionment of At-Risk Value</w:t>
            </w:r>
          </w:p>
        </w:tc>
      </w:tr>
      <w:tr w:rsidR="009C77E2" w:rsidRPr="009C77E2" w14:paraId="636F534A" w14:textId="77777777" w:rsidTr="009C77E2">
        <w:tc>
          <w:tcPr>
            <w:tcW w:w="960" w:type="dxa"/>
            <w:vMerge w:val="restart"/>
          </w:tcPr>
          <w:p w14:paraId="54A6F85A"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Availability</w:t>
            </w:r>
          </w:p>
        </w:tc>
        <w:tc>
          <w:tcPr>
            <w:tcW w:w="1281" w:type="dxa"/>
          </w:tcPr>
          <w:p w14:paraId="2492846A"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A-1a</w:t>
            </w:r>
          </w:p>
        </w:tc>
        <w:tc>
          <w:tcPr>
            <w:tcW w:w="1851" w:type="dxa"/>
          </w:tcPr>
          <w:p w14:paraId="23EEA9AE"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Service Component Availability</w:t>
            </w:r>
          </w:p>
        </w:tc>
        <w:tc>
          <w:tcPr>
            <w:tcW w:w="1611" w:type="dxa"/>
          </w:tcPr>
          <w:p w14:paraId="15F04384"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25%</w:t>
            </w:r>
          </w:p>
        </w:tc>
        <w:tc>
          <w:tcPr>
            <w:tcW w:w="1611" w:type="dxa"/>
          </w:tcPr>
          <w:p w14:paraId="3D5AE77C"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10%</w:t>
            </w:r>
          </w:p>
        </w:tc>
      </w:tr>
      <w:tr w:rsidR="009C77E2" w:rsidRPr="009C77E2" w14:paraId="228831D3" w14:textId="77777777" w:rsidTr="009C77E2">
        <w:tc>
          <w:tcPr>
            <w:tcW w:w="960" w:type="dxa"/>
            <w:vMerge/>
          </w:tcPr>
          <w:p w14:paraId="40DB3685" w14:textId="77777777" w:rsidR="009C77E2" w:rsidRPr="009C77E2" w:rsidRDefault="009C77E2" w:rsidP="009C77E2">
            <w:pPr>
              <w:pStyle w:val="Heading3"/>
              <w:numPr>
                <w:ilvl w:val="0"/>
                <w:numId w:val="0"/>
              </w:numPr>
              <w:rPr>
                <w:rFonts w:ascii="Arial" w:hAnsi="Arial"/>
                <w:sz w:val="20"/>
              </w:rPr>
            </w:pPr>
          </w:p>
        </w:tc>
        <w:tc>
          <w:tcPr>
            <w:tcW w:w="1281" w:type="dxa"/>
          </w:tcPr>
          <w:p w14:paraId="34C750BA"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A-1b</w:t>
            </w:r>
          </w:p>
        </w:tc>
        <w:tc>
          <w:tcPr>
            <w:tcW w:w="1851" w:type="dxa"/>
          </w:tcPr>
          <w:p w14:paraId="5D70C330"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Service Component Availability Adherence</w:t>
            </w:r>
          </w:p>
        </w:tc>
        <w:tc>
          <w:tcPr>
            <w:tcW w:w="1611" w:type="dxa"/>
          </w:tcPr>
          <w:p w14:paraId="49FCFD8D"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25%</w:t>
            </w:r>
          </w:p>
        </w:tc>
        <w:tc>
          <w:tcPr>
            <w:tcW w:w="1611" w:type="dxa"/>
          </w:tcPr>
          <w:p w14:paraId="0997E065"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10%</w:t>
            </w:r>
          </w:p>
        </w:tc>
      </w:tr>
      <w:tr w:rsidR="009C77E2" w:rsidRPr="009C77E2" w14:paraId="3CC6B97D" w14:textId="77777777" w:rsidTr="009C77E2">
        <w:tc>
          <w:tcPr>
            <w:tcW w:w="960" w:type="dxa"/>
            <w:vMerge/>
          </w:tcPr>
          <w:p w14:paraId="5DEC28CB" w14:textId="77777777" w:rsidR="009C77E2" w:rsidRPr="009C77E2" w:rsidRDefault="009C77E2" w:rsidP="009C77E2">
            <w:pPr>
              <w:pStyle w:val="Heading3"/>
              <w:numPr>
                <w:ilvl w:val="0"/>
                <w:numId w:val="0"/>
              </w:numPr>
              <w:rPr>
                <w:rFonts w:ascii="Arial" w:hAnsi="Arial"/>
                <w:sz w:val="20"/>
              </w:rPr>
            </w:pPr>
          </w:p>
        </w:tc>
        <w:tc>
          <w:tcPr>
            <w:tcW w:w="1281" w:type="dxa"/>
          </w:tcPr>
          <w:p w14:paraId="47E5D5FA"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A-2</w:t>
            </w:r>
          </w:p>
        </w:tc>
        <w:tc>
          <w:tcPr>
            <w:tcW w:w="1851" w:type="dxa"/>
          </w:tcPr>
          <w:p w14:paraId="574EB6AE"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Service Component non-Availability</w:t>
            </w:r>
          </w:p>
        </w:tc>
        <w:tc>
          <w:tcPr>
            <w:tcW w:w="1611" w:type="dxa"/>
          </w:tcPr>
          <w:p w14:paraId="01C30968"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25%</w:t>
            </w:r>
          </w:p>
        </w:tc>
        <w:tc>
          <w:tcPr>
            <w:tcW w:w="1611" w:type="dxa"/>
          </w:tcPr>
          <w:p w14:paraId="324C863E"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10%</w:t>
            </w:r>
          </w:p>
        </w:tc>
      </w:tr>
      <w:tr w:rsidR="009C77E2" w:rsidRPr="009C77E2" w14:paraId="40332C53" w14:textId="77777777" w:rsidTr="009C77E2">
        <w:tc>
          <w:tcPr>
            <w:tcW w:w="960" w:type="dxa"/>
            <w:vMerge/>
          </w:tcPr>
          <w:p w14:paraId="2EC6CD66" w14:textId="77777777" w:rsidR="009C77E2" w:rsidRPr="009C77E2" w:rsidRDefault="009C77E2" w:rsidP="009C77E2">
            <w:pPr>
              <w:pStyle w:val="Heading3"/>
              <w:numPr>
                <w:ilvl w:val="0"/>
                <w:numId w:val="0"/>
              </w:numPr>
              <w:rPr>
                <w:rFonts w:ascii="Arial" w:hAnsi="Arial"/>
                <w:sz w:val="20"/>
              </w:rPr>
            </w:pPr>
          </w:p>
        </w:tc>
        <w:tc>
          <w:tcPr>
            <w:tcW w:w="1281" w:type="dxa"/>
          </w:tcPr>
          <w:p w14:paraId="1BC2857E"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A-3</w:t>
            </w:r>
          </w:p>
        </w:tc>
        <w:tc>
          <w:tcPr>
            <w:tcW w:w="1851" w:type="dxa"/>
          </w:tcPr>
          <w:p w14:paraId="1087F889"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Maximum Service Outage Duration</w:t>
            </w:r>
          </w:p>
        </w:tc>
        <w:tc>
          <w:tcPr>
            <w:tcW w:w="1611" w:type="dxa"/>
          </w:tcPr>
          <w:p w14:paraId="4B56575E"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25%</w:t>
            </w:r>
          </w:p>
        </w:tc>
        <w:tc>
          <w:tcPr>
            <w:tcW w:w="1611" w:type="dxa"/>
          </w:tcPr>
          <w:p w14:paraId="4A628272"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10%</w:t>
            </w:r>
          </w:p>
        </w:tc>
      </w:tr>
      <w:tr w:rsidR="009C77E2" w:rsidRPr="009C77E2" w14:paraId="736EA5EC" w14:textId="77777777" w:rsidTr="009C77E2">
        <w:tc>
          <w:tcPr>
            <w:tcW w:w="960" w:type="dxa"/>
            <w:vMerge w:val="restart"/>
          </w:tcPr>
          <w:p w14:paraId="06384EFD"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Business Continuity</w:t>
            </w:r>
          </w:p>
        </w:tc>
        <w:tc>
          <w:tcPr>
            <w:tcW w:w="1281" w:type="dxa"/>
          </w:tcPr>
          <w:p w14:paraId="393AE36D"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BC-1</w:t>
            </w:r>
          </w:p>
        </w:tc>
        <w:tc>
          <w:tcPr>
            <w:tcW w:w="1851" w:type="dxa"/>
          </w:tcPr>
          <w:p w14:paraId="2333AA2F"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Business Continuity</w:t>
            </w:r>
          </w:p>
        </w:tc>
        <w:tc>
          <w:tcPr>
            <w:tcW w:w="1611" w:type="dxa"/>
          </w:tcPr>
          <w:p w14:paraId="1014A1E5"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0%</w:t>
            </w:r>
          </w:p>
        </w:tc>
        <w:tc>
          <w:tcPr>
            <w:tcW w:w="1611" w:type="dxa"/>
          </w:tcPr>
          <w:p w14:paraId="02939959"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0%</w:t>
            </w:r>
          </w:p>
        </w:tc>
      </w:tr>
      <w:tr w:rsidR="009C77E2" w:rsidRPr="009C77E2" w14:paraId="6B159F9E" w14:textId="77777777" w:rsidTr="009C77E2">
        <w:tc>
          <w:tcPr>
            <w:tcW w:w="960" w:type="dxa"/>
            <w:vMerge/>
          </w:tcPr>
          <w:p w14:paraId="76E05096" w14:textId="77777777" w:rsidR="009C77E2" w:rsidRPr="009C77E2" w:rsidRDefault="009C77E2" w:rsidP="009C77E2">
            <w:pPr>
              <w:pStyle w:val="Heading3"/>
              <w:numPr>
                <w:ilvl w:val="0"/>
                <w:numId w:val="0"/>
              </w:numPr>
              <w:rPr>
                <w:rFonts w:ascii="Arial" w:hAnsi="Arial"/>
                <w:sz w:val="20"/>
              </w:rPr>
            </w:pPr>
          </w:p>
        </w:tc>
        <w:tc>
          <w:tcPr>
            <w:tcW w:w="1281" w:type="dxa"/>
          </w:tcPr>
          <w:p w14:paraId="16807305"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BC-2</w:t>
            </w:r>
          </w:p>
        </w:tc>
        <w:tc>
          <w:tcPr>
            <w:tcW w:w="1851" w:type="dxa"/>
          </w:tcPr>
          <w:p w14:paraId="58C94947"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Backup Success</w:t>
            </w:r>
          </w:p>
        </w:tc>
        <w:tc>
          <w:tcPr>
            <w:tcW w:w="1611" w:type="dxa"/>
          </w:tcPr>
          <w:p w14:paraId="3D0D070E"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50%</w:t>
            </w:r>
          </w:p>
        </w:tc>
        <w:tc>
          <w:tcPr>
            <w:tcW w:w="1611" w:type="dxa"/>
          </w:tcPr>
          <w:p w14:paraId="37D46AE5"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10%</w:t>
            </w:r>
          </w:p>
        </w:tc>
      </w:tr>
      <w:tr w:rsidR="009C77E2" w:rsidRPr="009C77E2" w14:paraId="79CDE9BF" w14:textId="77777777" w:rsidTr="009C77E2">
        <w:tc>
          <w:tcPr>
            <w:tcW w:w="960" w:type="dxa"/>
            <w:vMerge/>
          </w:tcPr>
          <w:p w14:paraId="379954BA" w14:textId="77777777" w:rsidR="009C77E2" w:rsidRPr="009C77E2" w:rsidRDefault="009C77E2" w:rsidP="009C77E2">
            <w:pPr>
              <w:pStyle w:val="Heading3"/>
              <w:numPr>
                <w:ilvl w:val="0"/>
                <w:numId w:val="0"/>
              </w:numPr>
              <w:rPr>
                <w:rFonts w:ascii="Arial" w:hAnsi="Arial"/>
                <w:sz w:val="20"/>
              </w:rPr>
            </w:pPr>
          </w:p>
        </w:tc>
        <w:tc>
          <w:tcPr>
            <w:tcW w:w="1281" w:type="dxa"/>
          </w:tcPr>
          <w:p w14:paraId="105445CE"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BC-3</w:t>
            </w:r>
          </w:p>
        </w:tc>
        <w:tc>
          <w:tcPr>
            <w:tcW w:w="1851" w:type="dxa"/>
          </w:tcPr>
          <w:p w14:paraId="0C06A856"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Backup Restoration Success</w:t>
            </w:r>
          </w:p>
        </w:tc>
        <w:tc>
          <w:tcPr>
            <w:tcW w:w="1611" w:type="dxa"/>
          </w:tcPr>
          <w:p w14:paraId="76749D11"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50%</w:t>
            </w:r>
          </w:p>
        </w:tc>
        <w:tc>
          <w:tcPr>
            <w:tcW w:w="1611" w:type="dxa"/>
          </w:tcPr>
          <w:p w14:paraId="72BA8D5C"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10%</w:t>
            </w:r>
          </w:p>
        </w:tc>
      </w:tr>
      <w:tr w:rsidR="009C77E2" w:rsidRPr="009C77E2" w14:paraId="03A340E4" w14:textId="77777777" w:rsidTr="009C77E2">
        <w:tc>
          <w:tcPr>
            <w:tcW w:w="960" w:type="dxa"/>
            <w:vMerge w:val="restart"/>
          </w:tcPr>
          <w:p w14:paraId="6B8D30CE"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Reaction Time</w:t>
            </w:r>
          </w:p>
        </w:tc>
        <w:tc>
          <w:tcPr>
            <w:tcW w:w="1281" w:type="dxa"/>
          </w:tcPr>
          <w:p w14:paraId="229648BF"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R-1</w:t>
            </w:r>
          </w:p>
        </w:tc>
        <w:tc>
          <w:tcPr>
            <w:tcW w:w="1851" w:type="dxa"/>
          </w:tcPr>
          <w:p w14:paraId="7A718F3D"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 xml:space="preserve">Response Time for Priority 1 Incidents </w:t>
            </w:r>
          </w:p>
        </w:tc>
        <w:tc>
          <w:tcPr>
            <w:tcW w:w="1611" w:type="dxa"/>
          </w:tcPr>
          <w:p w14:paraId="71911EC7"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8%</w:t>
            </w:r>
          </w:p>
        </w:tc>
        <w:tc>
          <w:tcPr>
            <w:tcW w:w="1611" w:type="dxa"/>
          </w:tcPr>
          <w:p w14:paraId="6756AFCD"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2.4%</w:t>
            </w:r>
          </w:p>
        </w:tc>
      </w:tr>
      <w:tr w:rsidR="009C77E2" w:rsidRPr="009C77E2" w14:paraId="2576E5E6" w14:textId="77777777" w:rsidTr="009C77E2">
        <w:tc>
          <w:tcPr>
            <w:tcW w:w="960" w:type="dxa"/>
            <w:vMerge/>
          </w:tcPr>
          <w:p w14:paraId="28FD1025" w14:textId="77777777" w:rsidR="009C77E2" w:rsidRPr="009C77E2" w:rsidRDefault="009C77E2" w:rsidP="009C77E2">
            <w:pPr>
              <w:pStyle w:val="Heading3"/>
              <w:numPr>
                <w:ilvl w:val="0"/>
                <w:numId w:val="0"/>
              </w:numPr>
              <w:rPr>
                <w:rFonts w:ascii="Arial" w:hAnsi="Arial"/>
                <w:sz w:val="20"/>
              </w:rPr>
            </w:pPr>
          </w:p>
        </w:tc>
        <w:tc>
          <w:tcPr>
            <w:tcW w:w="1281" w:type="dxa"/>
          </w:tcPr>
          <w:p w14:paraId="0F612074"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R-2</w:t>
            </w:r>
          </w:p>
        </w:tc>
        <w:tc>
          <w:tcPr>
            <w:tcW w:w="1851" w:type="dxa"/>
          </w:tcPr>
          <w:p w14:paraId="1C26C0C8"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 xml:space="preserve">Response Time for Priority 2 Incidents </w:t>
            </w:r>
          </w:p>
        </w:tc>
        <w:tc>
          <w:tcPr>
            <w:tcW w:w="1611" w:type="dxa"/>
          </w:tcPr>
          <w:p w14:paraId="15BE8CCE"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8%</w:t>
            </w:r>
          </w:p>
        </w:tc>
        <w:tc>
          <w:tcPr>
            <w:tcW w:w="1611" w:type="dxa"/>
          </w:tcPr>
          <w:p w14:paraId="4A2C6DA3"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2.4%</w:t>
            </w:r>
          </w:p>
        </w:tc>
      </w:tr>
      <w:tr w:rsidR="009C77E2" w:rsidRPr="009C77E2" w14:paraId="7A12D5A8" w14:textId="77777777" w:rsidTr="009C77E2">
        <w:tc>
          <w:tcPr>
            <w:tcW w:w="960" w:type="dxa"/>
            <w:vMerge/>
          </w:tcPr>
          <w:p w14:paraId="5D5E80AB" w14:textId="77777777" w:rsidR="009C77E2" w:rsidRPr="009C77E2" w:rsidRDefault="009C77E2" w:rsidP="009C77E2">
            <w:pPr>
              <w:pStyle w:val="Heading3"/>
              <w:numPr>
                <w:ilvl w:val="0"/>
                <w:numId w:val="0"/>
              </w:numPr>
              <w:rPr>
                <w:rFonts w:ascii="Arial" w:hAnsi="Arial"/>
                <w:sz w:val="20"/>
              </w:rPr>
            </w:pPr>
          </w:p>
        </w:tc>
        <w:tc>
          <w:tcPr>
            <w:tcW w:w="1281" w:type="dxa"/>
          </w:tcPr>
          <w:p w14:paraId="0D7B1157"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R-3</w:t>
            </w:r>
          </w:p>
        </w:tc>
        <w:tc>
          <w:tcPr>
            <w:tcW w:w="1851" w:type="dxa"/>
          </w:tcPr>
          <w:p w14:paraId="4554FBB0"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Response Time for Priority 3 Incidents</w:t>
            </w:r>
          </w:p>
        </w:tc>
        <w:tc>
          <w:tcPr>
            <w:tcW w:w="1611" w:type="dxa"/>
          </w:tcPr>
          <w:p w14:paraId="68487AE8"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1%</w:t>
            </w:r>
          </w:p>
        </w:tc>
        <w:tc>
          <w:tcPr>
            <w:tcW w:w="1611" w:type="dxa"/>
          </w:tcPr>
          <w:p w14:paraId="3FA00CAB"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0.3%</w:t>
            </w:r>
          </w:p>
        </w:tc>
      </w:tr>
      <w:tr w:rsidR="009C77E2" w:rsidRPr="009C77E2" w14:paraId="373E7B64" w14:textId="77777777" w:rsidTr="009C77E2">
        <w:tc>
          <w:tcPr>
            <w:tcW w:w="960" w:type="dxa"/>
            <w:vMerge/>
          </w:tcPr>
          <w:p w14:paraId="3F9B908F" w14:textId="77777777" w:rsidR="009C77E2" w:rsidRPr="009C77E2" w:rsidRDefault="009C77E2" w:rsidP="009C77E2">
            <w:pPr>
              <w:pStyle w:val="Heading3"/>
              <w:numPr>
                <w:ilvl w:val="0"/>
                <w:numId w:val="0"/>
              </w:numPr>
              <w:rPr>
                <w:rFonts w:ascii="Arial" w:hAnsi="Arial"/>
                <w:sz w:val="20"/>
              </w:rPr>
            </w:pPr>
          </w:p>
        </w:tc>
        <w:tc>
          <w:tcPr>
            <w:tcW w:w="1281" w:type="dxa"/>
          </w:tcPr>
          <w:p w14:paraId="4E05819C"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R-4</w:t>
            </w:r>
          </w:p>
        </w:tc>
        <w:tc>
          <w:tcPr>
            <w:tcW w:w="1851" w:type="dxa"/>
          </w:tcPr>
          <w:p w14:paraId="444A1856"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Response Time for Priority 4 Incidents</w:t>
            </w:r>
          </w:p>
        </w:tc>
        <w:tc>
          <w:tcPr>
            <w:tcW w:w="1611" w:type="dxa"/>
          </w:tcPr>
          <w:p w14:paraId="69946CD6"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1%</w:t>
            </w:r>
          </w:p>
        </w:tc>
        <w:tc>
          <w:tcPr>
            <w:tcW w:w="1611" w:type="dxa"/>
          </w:tcPr>
          <w:p w14:paraId="7E204686"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0.3%</w:t>
            </w:r>
          </w:p>
        </w:tc>
      </w:tr>
      <w:tr w:rsidR="009C77E2" w:rsidRPr="009C77E2" w14:paraId="2D93442F" w14:textId="77777777" w:rsidTr="009C77E2">
        <w:tc>
          <w:tcPr>
            <w:tcW w:w="960" w:type="dxa"/>
            <w:vMerge/>
          </w:tcPr>
          <w:p w14:paraId="731076C7" w14:textId="77777777" w:rsidR="009C77E2" w:rsidRPr="009C77E2" w:rsidRDefault="009C77E2" w:rsidP="009C77E2">
            <w:pPr>
              <w:pStyle w:val="Heading3"/>
              <w:numPr>
                <w:ilvl w:val="0"/>
                <w:numId w:val="0"/>
              </w:numPr>
              <w:rPr>
                <w:rFonts w:ascii="Arial" w:hAnsi="Arial"/>
                <w:sz w:val="20"/>
              </w:rPr>
            </w:pPr>
          </w:p>
        </w:tc>
        <w:tc>
          <w:tcPr>
            <w:tcW w:w="1281" w:type="dxa"/>
          </w:tcPr>
          <w:p w14:paraId="59A9AD1F"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R-5</w:t>
            </w:r>
          </w:p>
        </w:tc>
        <w:tc>
          <w:tcPr>
            <w:tcW w:w="1851" w:type="dxa"/>
          </w:tcPr>
          <w:p w14:paraId="5D636FC7"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 xml:space="preserve">Resolution Time for Priority 1 Incidents </w:t>
            </w:r>
          </w:p>
        </w:tc>
        <w:tc>
          <w:tcPr>
            <w:tcW w:w="1611" w:type="dxa"/>
          </w:tcPr>
          <w:p w14:paraId="4AC40640"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25%</w:t>
            </w:r>
          </w:p>
        </w:tc>
        <w:tc>
          <w:tcPr>
            <w:tcW w:w="1611" w:type="dxa"/>
          </w:tcPr>
          <w:p w14:paraId="5D30A0BC"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7.5%</w:t>
            </w:r>
          </w:p>
        </w:tc>
      </w:tr>
      <w:tr w:rsidR="009C77E2" w:rsidRPr="009C77E2" w14:paraId="2DDE2F9A" w14:textId="77777777" w:rsidTr="009C77E2">
        <w:tc>
          <w:tcPr>
            <w:tcW w:w="960" w:type="dxa"/>
            <w:vMerge/>
          </w:tcPr>
          <w:p w14:paraId="05AB8A88" w14:textId="77777777" w:rsidR="009C77E2" w:rsidRPr="009C77E2" w:rsidRDefault="009C77E2" w:rsidP="009C77E2">
            <w:pPr>
              <w:pStyle w:val="Heading3"/>
              <w:numPr>
                <w:ilvl w:val="0"/>
                <w:numId w:val="0"/>
              </w:numPr>
              <w:rPr>
                <w:rFonts w:ascii="Arial" w:hAnsi="Arial"/>
                <w:sz w:val="20"/>
              </w:rPr>
            </w:pPr>
          </w:p>
        </w:tc>
        <w:tc>
          <w:tcPr>
            <w:tcW w:w="1281" w:type="dxa"/>
          </w:tcPr>
          <w:p w14:paraId="20EE3383"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R-6</w:t>
            </w:r>
          </w:p>
        </w:tc>
        <w:tc>
          <w:tcPr>
            <w:tcW w:w="1851" w:type="dxa"/>
          </w:tcPr>
          <w:p w14:paraId="6D3AF397"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 xml:space="preserve">Resolution Time for Priority 2 Incidents </w:t>
            </w:r>
          </w:p>
        </w:tc>
        <w:tc>
          <w:tcPr>
            <w:tcW w:w="1611" w:type="dxa"/>
          </w:tcPr>
          <w:p w14:paraId="099FE13E"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25%</w:t>
            </w:r>
          </w:p>
        </w:tc>
        <w:tc>
          <w:tcPr>
            <w:tcW w:w="1611" w:type="dxa"/>
          </w:tcPr>
          <w:p w14:paraId="5590C4E4"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7.5%</w:t>
            </w:r>
          </w:p>
        </w:tc>
      </w:tr>
      <w:tr w:rsidR="009C77E2" w:rsidRPr="009C77E2" w14:paraId="3C99B9B8" w14:textId="77777777" w:rsidTr="009C77E2">
        <w:tc>
          <w:tcPr>
            <w:tcW w:w="960" w:type="dxa"/>
            <w:vMerge/>
          </w:tcPr>
          <w:p w14:paraId="3FD4F971" w14:textId="77777777" w:rsidR="009C77E2" w:rsidRPr="009C77E2" w:rsidRDefault="009C77E2" w:rsidP="009C77E2">
            <w:pPr>
              <w:pStyle w:val="Heading3"/>
              <w:numPr>
                <w:ilvl w:val="0"/>
                <w:numId w:val="0"/>
              </w:numPr>
              <w:rPr>
                <w:rFonts w:ascii="Arial" w:hAnsi="Arial"/>
                <w:sz w:val="20"/>
              </w:rPr>
            </w:pPr>
          </w:p>
        </w:tc>
        <w:tc>
          <w:tcPr>
            <w:tcW w:w="1281" w:type="dxa"/>
          </w:tcPr>
          <w:p w14:paraId="68723D5D"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R-7</w:t>
            </w:r>
          </w:p>
        </w:tc>
        <w:tc>
          <w:tcPr>
            <w:tcW w:w="1851" w:type="dxa"/>
          </w:tcPr>
          <w:p w14:paraId="01A90669"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Resolution Time for Priority 3 Incidents</w:t>
            </w:r>
          </w:p>
        </w:tc>
        <w:tc>
          <w:tcPr>
            <w:tcW w:w="1611" w:type="dxa"/>
          </w:tcPr>
          <w:p w14:paraId="4C6793A8"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5%</w:t>
            </w:r>
          </w:p>
        </w:tc>
        <w:tc>
          <w:tcPr>
            <w:tcW w:w="1611" w:type="dxa"/>
          </w:tcPr>
          <w:p w14:paraId="3C985FA3"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1.5%</w:t>
            </w:r>
          </w:p>
        </w:tc>
      </w:tr>
      <w:tr w:rsidR="009C77E2" w:rsidRPr="009C77E2" w14:paraId="5FE9D238" w14:textId="77777777" w:rsidTr="009C77E2">
        <w:tc>
          <w:tcPr>
            <w:tcW w:w="960" w:type="dxa"/>
            <w:vMerge/>
          </w:tcPr>
          <w:p w14:paraId="7076A8F3" w14:textId="77777777" w:rsidR="009C77E2" w:rsidRPr="009C77E2" w:rsidRDefault="009C77E2" w:rsidP="009C77E2">
            <w:pPr>
              <w:pStyle w:val="Heading3"/>
              <w:numPr>
                <w:ilvl w:val="0"/>
                <w:numId w:val="0"/>
              </w:numPr>
              <w:rPr>
                <w:rFonts w:ascii="Arial" w:hAnsi="Arial"/>
                <w:sz w:val="20"/>
              </w:rPr>
            </w:pPr>
          </w:p>
        </w:tc>
        <w:tc>
          <w:tcPr>
            <w:tcW w:w="1281" w:type="dxa"/>
          </w:tcPr>
          <w:p w14:paraId="133C5BB4"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R-8</w:t>
            </w:r>
          </w:p>
        </w:tc>
        <w:tc>
          <w:tcPr>
            <w:tcW w:w="1851" w:type="dxa"/>
          </w:tcPr>
          <w:p w14:paraId="0D96D1C0"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Resolution Time for Priority 4 Incidents</w:t>
            </w:r>
          </w:p>
        </w:tc>
        <w:tc>
          <w:tcPr>
            <w:tcW w:w="1611" w:type="dxa"/>
          </w:tcPr>
          <w:p w14:paraId="6DF95F8E"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5%</w:t>
            </w:r>
          </w:p>
        </w:tc>
        <w:tc>
          <w:tcPr>
            <w:tcW w:w="1611" w:type="dxa"/>
          </w:tcPr>
          <w:p w14:paraId="12D3BC41"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1.5%</w:t>
            </w:r>
          </w:p>
        </w:tc>
      </w:tr>
      <w:tr w:rsidR="009C77E2" w:rsidRPr="009C77E2" w14:paraId="1917DB0D" w14:textId="77777777" w:rsidTr="009C77E2">
        <w:tc>
          <w:tcPr>
            <w:tcW w:w="960" w:type="dxa"/>
            <w:vMerge/>
          </w:tcPr>
          <w:p w14:paraId="2832888F" w14:textId="77777777" w:rsidR="009C77E2" w:rsidRPr="009C77E2" w:rsidRDefault="009C77E2" w:rsidP="009C77E2">
            <w:pPr>
              <w:pStyle w:val="Heading3"/>
              <w:numPr>
                <w:ilvl w:val="0"/>
                <w:numId w:val="0"/>
              </w:numPr>
              <w:rPr>
                <w:rFonts w:ascii="Arial" w:hAnsi="Arial"/>
                <w:sz w:val="20"/>
              </w:rPr>
            </w:pPr>
          </w:p>
        </w:tc>
        <w:tc>
          <w:tcPr>
            <w:tcW w:w="1281" w:type="dxa"/>
          </w:tcPr>
          <w:p w14:paraId="35ADA41A"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R-9</w:t>
            </w:r>
          </w:p>
        </w:tc>
        <w:tc>
          <w:tcPr>
            <w:tcW w:w="1851" w:type="dxa"/>
          </w:tcPr>
          <w:p w14:paraId="617D3E3A"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Service catalogue fulfilment 1 (On time delivery)</w:t>
            </w:r>
          </w:p>
        </w:tc>
        <w:tc>
          <w:tcPr>
            <w:tcW w:w="1611" w:type="dxa"/>
          </w:tcPr>
          <w:p w14:paraId="1CC92D89"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12%</w:t>
            </w:r>
          </w:p>
        </w:tc>
        <w:tc>
          <w:tcPr>
            <w:tcW w:w="1611" w:type="dxa"/>
          </w:tcPr>
          <w:p w14:paraId="6CE49AE9"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3.6%</w:t>
            </w:r>
          </w:p>
        </w:tc>
      </w:tr>
      <w:tr w:rsidR="009C77E2" w:rsidRPr="009C77E2" w14:paraId="69C928B6" w14:textId="77777777" w:rsidTr="009C77E2">
        <w:tc>
          <w:tcPr>
            <w:tcW w:w="960" w:type="dxa"/>
            <w:vMerge/>
          </w:tcPr>
          <w:p w14:paraId="433B45AF" w14:textId="77777777" w:rsidR="009C77E2" w:rsidRPr="009C77E2" w:rsidRDefault="009C77E2" w:rsidP="009C77E2">
            <w:pPr>
              <w:pStyle w:val="Heading3"/>
              <w:numPr>
                <w:ilvl w:val="0"/>
                <w:numId w:val="0"/>
              </w:numPr>
              <w:rPr>
                <w:rFonts w:ascii="Arial" w:hAnsi="Arial"/>
                <w:sz w:val="20"/>
              </w:rPr>
            </w:pPr>
          </w:p>
        </w:tc>
        <w:tc>
          <w:tcPr>
            <w:tcW w:w="1281" w:type="dxa"/>
          </w:tcPr>
          <w:p w14:paraId="53ED1ABF"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R-10</w:t>
            </w:r>
          </w:p>
        </w:tc>
        <w:tc>
          <w:tcPr>
            <w:tcW w:w="1851" w:type="dxa"/>
          </w:tcPr>
          <w:p w14:paraId="4A27F8DD"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Acknowledgement time</w:t>
            </w:r>
          </w:p>
        </w:tc>
        <w:tc>
          <w:tcPr>
            <w:tcW w:w="1611" w:type="dxa"/>
          </w:tcPr>
          <w:p w14:paraId="7A830A34"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10%</w:t>
            </w:r>
          </w:p>
        </w:tc>
        <w:tc>
          <w:tcPr>
            <w:tcW w:w="1611" w:type="dxa"/>
          </w:tcPr>
          <w:p w14:paraId="102B5784"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3%</w:t>
            </w:r>
          </w:p>
        </w:tc>
      </w:tr>
      <w:tr w:rsidR="009C77E2" w:rsidRPr="009C77E2" w14:paraId="019CBEAE" w14:textId="77777777" w:rsidTr="009C77E2">
        <w:tc>
          <w:tcPr>
            <w:tcW w:w="960" w:type="dxa"/>
            <w:vMerge w:val="restart"/>
          </w:tcPr>
          <w:p w14:paraId="652BAC13"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Service Quality</w:t>
            </w:r>
          </w:p>
        </w:tc>
        <w:tc>
          <w:tcPr>
            <w:tcW w:w="1281" w:type="dxa"/>
          </w:tcPr>
          <w:p w14:paraId="57754C90"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Q-1</w:t>
            </w:r>
          </w:p>
        </w:tc>
        <w:tc>
          <w:tcPr>
            <w:tcW w:w="1851" w:type="dxa"/>
          </w:tcPr>
          <w:p w14:paraId="4A070D39"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Customer input to resolve Priority 1 and Priority 2 incidents</w:t>
            </w:r>
          </w:p>
        </w:tc>
        <w:tc>
          <w:tcPr>
            <w:tcW w:w="1611" w:type="dxa"/>
          </w:tcPr>
          <w:p w14:paraId="0B93268A"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33.3%</w:t>
            </w:r>
          </w:p>
        </w:tc>
        <w:tc>
          <w:tcPr>
            <w:tcW w:w="1611" w:type="dxa"/>
          </w:tcPr>
          <w:p w14:paraId="273A4604"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3.33%</w:t>
            </w:r>
          </w:p>
        </w:tc>
      </w:tr>
      <w:tr w:rsidR="009C77E2" w:rsidRPr="009C77E2" w14:paraId="69312A87" w14:textId="77777777" w:rsidTr="009C77E2">
        <w:tc>
          <w:tcPr>
            <w:tcW w:w="960" w:type="dxa"/>
            <w:vMerge/>
          </w:tcPr>
          <w:p w14:paraId="754BC7AA" w14:textId="77777777" w:rsidR="009C77E2" w:rsidRPr="009C77E2" w:rsidRDefault="009C77E2" w:rsidP="009C77E2">
            <w:pPr>
              <w:pStyle w:val="Heading3"/>
              <w:numPr>
                <w:ilvl w:val="0"/>
                <w:numId w:val="0"/>
              </w:numPr>
              <w:rPr>
                <w:rFonts w:ascii="Arial" w:hAnsi="Arial"/>
                <w:sz w:val="20"/>
              </w:rPr>
            </w:pPr>
          </w:p>
        </w:tc>
        <w:tc>
          <w:tcPr>
            <w:tcW w:w="1281" w:type="dxa"/>
          </w:tcPr>
          <w:p w14:paraId="7737B646"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Q-2</w:t>
            </w:r>
          </w:p>
        </w:tc>
        <w:tc>
          <w:tcPr>
            <w:tcW w:w="1851" w:type="dxa"/>
          </w:tcPr>
          <w:p w14:paraId="2F588801"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Supplier Staff Churn</w:t>
            </w:r>
          </w:p>
        </w:tc>
        <w:tc>
          <w:tcPr>
            <w:tcW w:w="1611" w:type="dxa"/>
          </w:tcPr>
          <w:p w14:paraId="7266497B"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33.3%</w:t>
            </w:r>
          </w:p>
        </w:tc>
        <w:tc>
          <w:tcPr>
            <w:tcW w:w="1611" w:type="dxa"/>
          </w:tcPr>
          <w:p w14:paraId="591DD996"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3.33%</w:t>
            </w:r>
          </w:p>
        </w:tc>
      </w:tr>
      <w:tr w:rsidR="009C77E2" w:rsidRPr="009C77E2" w14:paraId="49AA2405" w14:textId="77777777" w:rsidTr="009C77E2">
        <w:tc>
          <w:tcPr>
            <w:tcW w:w="960" w:type="dxa"/>
            <w:vMerge/>
          </w:tcPr>
          <w:p w14:paraId="1E39717C" w14:textId="77777777" w:rsidR="009C77E2" w:rsidRPr="009C77E2" w:rsidRDefault="009C77E2" w:rsidP="009C77E2">
            <w:pPr>
              <w:pStyle w:val="Heading3"/>
              <w:numPr>
                <w:ilvl w:val="0"/>
                <w:numId w:val="0"/>
              </w:numPr>
              <w:rPr>
                <w:rFonts w:ascii="Arial" w:hAnsi="Arial"/>
                <w:sz w:val="20"/>
              </w:rPr>
            </w:pPr>
          </w:p>
        </w:tc>
        <w:tc>
          <w:tcPr>
            <w:tcW w:w="1281" w:type="dxa"/>
          </w:tcPr>
          <w:p w14:paraId="1CC35FDD"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Q3</w:t>
            </w:r>
          </w:p>
        </w:tc>
        <w:tc>
          <w:tcPr>
            <w:tcW w:w="1851" w:type="dxa"/>
          </w:tcPr>
          <w:p w14:paraId="0E417582"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Contract Schedule 2.1 Non-compliance</w:t>
            </w:r>
          </w:p>
        </w:tc>
        <w:tc>
          <w:tcPr>
            <w:tcW w:w="1611" w:type="dxa"/>
          </w:tcPr>
          <w:p w14:paraId="0045B600"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33.3%</w:t>
            </w:r>
          </w:p>
        </w:tc>
        <w:tc>
          <w:tcPr>
            <w:tcW w:w="1611" w:type="dxa"/>
          </w:tcPr>
          <w:p w14:paraId="0D63D334" w14:textId="77777777" w:rsidR="009C77E2" w:rsidRPr="009C77E2" w:rsidRDefault="009C77E2" w:rsidP="009C77E2">
            <w:pPr>
              <w:pStyle w:val="Heading3"/>
              <w:numPr>
                <w:ilvl w:val="0"/>
                <w:numId w:val="0"/>
              </w:numPr>
              <w:rPr>
                <w:rFonts w:ascii="Arial" w:hAnsi="Arial"/>
                <w:sz w:val="20"/>
              </w:rPr>
            </w:pPr>
            <w:r w:rsidRPr="009C77E2">
              <w:rPr>
                <w:rFonts w:ascii="Arial" w:hAnsi="Arial"/>
                <w:sz w:val="20"/>
              </w:rPr>
              <w:t>3.33%</w:t>
            </w:r>
          </w:p>
        </w:tc>
      </w:tr>
    </w:tbl>
    <w:p w14:paraId="1F34A985" w14:textId="77777777" w:rsidR="009C77E2" w:rsidRPr="009C77E2" w:rsidRDefault="009C77E2" w:rsidP="009C77E2">
      <w:pPr>
        <w:pStyle w:val="Heading3"/>
        <w:numPr>
          <w:ilvl w:val="0"/>
          <w:numId w:val="0"/>
        </w:numPr>
        <w:ind w:left="1702"/>
      </w:pPr>
    </w:p>
    <w:p w14:paraId="063CCDCD" w14:textId="425806DE" w:rsidR="00407A01" w:rsidRPr="009C77E2" w:rsidRDefault="009C77E2" w:rsidP="009D675B">
      <w:pPr>
        <w:pStyle w:val="Heading3"/>
        <w:numPr>
          <w:ilvl w:val="2"/>
          <w:numId w:val="138"/>
        </w:numPr>
      </w:pPr>
      <w:r w:rsidRPr="009C77E2">
        <w:t>Table A: Service level at-risk apportionment</w:t>
      </w:r>
    </w:p>
    <w:p w14:paraId="08A27BBF" w14:textId="7E64C776" w:rsidR="002B2490" w:rsidRPr="000E5786" w:rsidRDefault="001F1C19" w:rsidP="009D675B">
      <w:pPr>
        <w:pStyle w:val="Heading1"/>
        <w:numPr>
          <w:ilvl w:val="0"/>
          <w:numId w:val="138"/>
        </w:numPr>
        <w:spacing w:after="120"/>
        <w:rPr>
          <w:rFonts w:cs="Arial"/>
          <w:szCs w:val="20"/>
        </w:rPr>
      </w:pPr>
      <w:bookmarkStart w:id="2331" w:name="_Ref445984155"/>
      <w:r>
        <w:rPr>
          <w:rFonts w:cs="Arial"/>
          <w:szCs w:val="20"/>
        </w:rPr>
        <w:t>Netlink Star</w:t>
      </w:r>
      <w:r w:rsidR="002B2490" w:rsidRPr="000E5786">
        <w:rPr>
          <w:rFonts w:cs="Arial"/>
          <w:szCs w:val="20"/>
        </w:rPr>
        <w:t xml:space="preserve"> Reviews</w:t>
      </w:r>
    </w:p>
    <w:p w14:paraId="5C71F62C" w14:textId="7B44EEAD" w:rsidR="002B2490" w:rsidRPr="000E5786" w:rsidRDefault="0056388A" w:rsidP="002B2490">
      <w:pPr>
        <w:pStyle w:val="Heading2"/>
        <w:numPr>
          <w:ilvl w:val="0"/>
          <w:numId w:val="0"/>
        </w:numPr>
        <w:spacing w:after="120"/>
        <w:ind w:left="709"/>
        <w:rPr>
          <w:rFonts w:cs="Arial"/>
          <w:szCs w:val="20"/>
        </w:rPr>
      </w:pPr>
      <w:r>
        <w:rPr>
          <w:rFonts w:cs="Arial"/>
          <w:szCs w:val="20"/>
        </w:rPr>
        <w:t xml:space="preserve">Notwithstanding Clause 8.7 of the terms and conditions </w:t>
      </w:r>
      <w:proofErr w:type="spellStart"/>
      <w:r w:rsidR="001F1C19">
        <w:rPr>
          <w:rFonts w:cs="Arial"/>
          <w:szCs w:val="20"/>
        </w:rPr>
        <w:t>Netlink</w:t>
      </w:r>
      <w:proofErr w:type="spellEnd"/>
      <w:r w:rsidR="001F1C19">
        <w:rPr>
          <w:rFonts w:cs="Arial"/>
          <w:szCs w:val="20"/>
        </w:rPr>
        <w:t xml:space="preserve"> Star</w:t>
      </w:r>
      <w:r w:rsidR="002B2490" w:rsidRPr="000E5786">
        <w:rPr>
          <w:rFonts w:cs="Arial"/>
          <w:szCs w:val="20"/>
        </w:rPr>
        <w:t xml:space="preserve"> reserves the right to (</w:t>
      </w:r>
      <w:proofErr w:type="spellStart"/>
      <w:r w:rsidR="002B2490" w:rsidRPr="000E5786">
        <w:rPr>
          <w:rFonts w:cs="Arial"/>
          <w:szCs w:val="20"/>
        </w:rPr>
        <w:t>i</w:t>
      </w:r>
      <w:proofErr w:type="spellEnd"/>
      <w:r w:rsidR="002B2490" w:rsidRPr="000E5786">
        <w:rPr>
          <w:rFonts w:cs="Arial"/>
          <w:szCs w:val="20"/>
        </w:rPr>
        <w:t>) review the Service Levels and Service Credit apportionment and (ii) amend the Service Credit apportionment quarterly at the Service Management Review Meeting</w:t>
      </w:r>
      <w:r>
        <w:rPr>
          <w:rFonts w:cs="Arial"/>
          <w:szCs w:val="20"/>
        </w:rPr>
        <w:t xml:space="preserve"> and inform the Supplier of its decision</w:t>
      </w:r>
      <w:r w:rsidR="002B2490" w:rsidRPr="000E5786">
        <w:rPr>
          <w:rFonts w:cs="Arial"/>
          <w:szCs w:val="20"/>
        </w:rPr>
        <w:t xml:space="preserve">.  </w:t>
      </w:r>
    </w:p>
    <w:p w14:paraId="705146A1" w14:textId="77777777" w:rsidR="00407A01" w:rsidRPr="000E5786" w:rsidRDefault="00407A01" w:rsidP="00407A01">
      <w:pPr>
        <w:pStyle w:val="Heading2"/>
        <w:numPr>
          <w:ilvl w:val="0"/>
          <w:numId w:val="0"/>
        </w:numPr>
        <w:spacing w:after="120"/>
        <w:ind w:left="709" w:hanging="709"/>
        <w:rPr>
          <w:rFonts w:cs="Arial"/>
          <w:szCs w:val="20"/>
        </w:rPr>
      </w:pPr>
    </w:p>
    <w:p w14:paraId="1AFDE122" w14:textId="77777777" w:rsidR="002B2490" w:rsidRPr="000E5786" w:rsidRDefault="002B2490" w:rsidP="009D675B">
      <w:pPr>
        <w:pStyle w:val="Heading1"/>
        <w:numPr>
          <w:ilvl w:val="0"/>
          <w:numId w:val="138"/>
        </w:numPr>
        <w:spacing w:after="120"/>
        <w:rPr>
          <w:rFonts w:cs="Arial"/>
          <w:szCs w:val="20"/>
        </w:rPr>
      </w:pPr>
      <w:r w:rsidRPr="000E5786">
        <w:rPr>
          <w:rFonts w:cs="Arial"/>
          <w:szCs w:val="20"/>
        </w:rPr>
        <w:t>Availability Credit Group</w:t>
      </w:r>
    </w:p>
    <w:p w14:paraId="18B2A574" w14:textId="0DC48B11" w:rsidR="002B2490" w:rsidRPr="000E5786" w:rsidRDefault="002B2490" w:rsidP="009D675B">
      <w:pPr>
        <w:pStyle w:val="Heading2"/>
        <w:numPr>
          <w:ilvl w:val="1"/>
          <w:numId w:val="138"/>
        </w:numPr>
        <w:spacing w:after="120"/>
        <w:rPr>
          <w:rFonts w:cs="Arial"/>
          <w:szCs w:val="20"/>
        </w:rPr>
      </w:pPr>
      <w:r w:rsidRPr="000E5786">
        <w:rPr>
          <w:rFonts w:cs="Arial"/>
          <w:szCs w:val="20"/>
        </w:rPr>
        <w:t>The Availability Credit Group consists of five (5) Service Levels as set out in Schedule 2.2 (</w:t>
      </w:r>
      <w:r w:rsidRPr="00B26A5F">
        <w:rPr>
          <w:rFonts w:cs="Arial"/>
          <w:iCs w:val="0"/>
          <w:szCs w:val="20"/>
        </w:rPr>
        <w:t>Service Levels)</w:t>
      </w:r>
      <w:bookmarkEnd w:id="2331"/>
      <w:r w:rsidRPr="00B26A5F">
        <w:rPr>
          <w:rFonts w:cs="Arial"/>
          <w:iCs w:val="0"/>
          <w:szCs w:val="20"/>
        </w:rPr>
        <w:t>:</w:t>
      </w:r>
    </w:p>
    <w:p w14:paraId="18820D4A" w14:textId="77777777" w:rsidR="002B2490" w:rsidRPr="000E5786" w:rsidRDefault="002B2490" w:rsidP="009D675B">
      <w:pPr>
        <w:pStyle w:val="Heading3"/>
        <w:numPr>
          <w:ilvl w:val="2"/>
          <w:numId w:val="138"/>
        </w:numPr>
      </w:pPr>
      <w:r w:rsidRPr="000E5786">
        <w:t xml:space="preserve">A-1a Service Component </w:t>
      </w:r>
      <w:proofErr w:type="gramStart"/>
      <w:r w:rsidRPr="000E5786">
        <w:t>Availability;</w:t>
      </w:r>
      <w:proofErr w:type="gramEnd"/>
    </w:p>
    <w:p w14:paraId="5044818F" w14:textId="77777777" w:rsidR="002B2490" w:rsidRPr="000E5786" w:rsidRDefault="002B2490" w:rsidP="009D675B">
      <w:pPr>
        <w:pStyle w:val="Heading3"/>
        <w:numPr>
          <w:ilvl w:val="2"/>
          <w:numId w:val="138"/>
        </w:numPr>
      </w:pPr>
      <w:r w:rsidRPr="000E5786">
        <w:t xml:space="preserve">A-1b Service Component Availability </w:t>
      </w:r>
      <w:proofErr w:type="gramStart"/>
      <w:r w:rsidRPr="000E5786">
        <w:t>adherence;</w:t>
      </w:r>
      <w:proofErr w:type="gramEnd"/>
    </w:p>
    <w:p w14:paraId="6F2B3532" w14:textId="77777777" w:rsidR="002B2490" w:rsidRPr="000E5786" w:rsidRDefault="002B2490" w:rsidP="009D675B">
      <w:pPr>
        <w:pStyle w:val="Heading3"/>
        <w:numPr>
          <w:ilvl w:val="2"/>
          <w:numId w:val="138"/>
        </w:numPr>
      </w:pPr>
      <w:r w:rsidRPr="000E5786">
        <w:t>A-2 Service Component non-</w:t>
      </w:r>
      <w:proofErr w:type="gramStart"/>
      <w:r w:rsidRPr="000E5786">
        <w:t>Availability;</w:t>
      </w:r>
      <w:proofErr w:type="gramEnd"/>
    </w:p>
    <w:p w14:paraId="67A4AEBB" w14:textId="77777777" w:rsidR="002B2490" w:rsidRPr="000E5786" w:rsidRDefault="002B2490" w:rsidP="009D675B">
      <w:pPr>
        <w:pStyle w:val="Heading3"/>
        <w:numPr>
          <w:ilvl w:val="2"/>
          <w:numId w:val="138"/>
        </w:numPr>
      </w:pPr>
      <w:r w:rsidRPr="000E5786">
        <w:t>A-3a Maximum Service Outage Duration; and</w:t>
      </w:r>
    </w:p>
    <w:p w14:paraId="33D0279B" w14:textId="77777777" w:rsidR="002B2490" w:rsidRPr="000E5786" w:rsidRDefault="002B2490" w:rsidP="009D675B">
      <w:pPr>
        <w:pStyle w:val="Heading3"/>
        <w:numPr>
          <w:ilvl w:val="2"/>
          <w:numId w:val="138"/>
        </w:numPr>
      </w:pPr>
      <w:r w:rsidRPr="000E5786">
        <w:t>A-3b Maximum Service Outage Duration.</w:t>
      </w:r>
    </w:p>
    <w:p w14:paraId="538C3FD2" w14:textId="6BBBD580" w:rsidR="002B2490" w:rsidRPr="000E5786" w:rsidRDefault="002B2490" w:rsidP="009D675B">
      <w:pPr>
        <w:pStyle w:val="Heading2"/>
        <w:numPr>
          <w:ilvl w:val="1"/>
          <w:numId w:val="138"/>
        </w:numPr>
        <w:spacing w:after="120"/>
        <w:rPr>
          <w:rFonts w:cs="Arial"/>
          <w:szCs w:val="20"/>
        </w:rPr>
      </w:pPr>
      <w:r w:rsidRPr="000E5786">
        <w:rPr>
          <w:rFonts w:cs="Arial"/>
          <w:szCs w:val="20"/>
        </w:rPr>
        <w:t xml:space="preserve">In any Invoicing Period, the applicable Service Credit is the sum of the Availability </w:t>
      </w:r>
      <w:r w:rsidR="008B6AF5">
        <w:rPr>
          <w:rFonts w:cs="Arial"/>
          <w:szCs w:val="20"/>
        </w:rPr>
        <w:t xml:space="preserve">Credit Group </w:t>
      </w:r>
      <w:r w:rsidRPr="000E5786">
        <w:rPr>
          <w:rFonts w:cs="Arial"/>
          <w:szCs w:val="20"/>
        </w:rPr>
        <w:t>Service Levels that constituted a Service Failure multiplied by one fifth (</w:t>
      </w:r>
      <w:proofErr w:type="spellStart"/>
      <w:r w:rsidRPr="000E5786">
        <w:rPr>
          <w:rFonts w:cs="Arial"/>
          <w:szCs w:val="20"/>
        </w:rPr>
        <w:t>i.e</w:t>
      </w:r>
      <w:proofErr w:type="spellEnd"/>
      <w:r w:rsidRPr="000E5786">
        <w:rPr>
          <w:rFonts w:cs="Arial"/>
          <w:szCs w:val="20"/>
        </w:rPr>
        <w:t xml:space="preserve"> 20%) of the Availability Credit Group.  For Example:</w:t>
      </w:r>
    </w:p>
    <w:p w14:paraId="408C70A9" w14:textId="77777777" w:rsidR="009C77E2" w:rsidRPr="000E5786" w:rsidRDefault="009C77E2" w:rsidP="009C77E2">
      <w:pPr>
        <w:pStyle w:val="ListBullet"/>
        <w:tabs>
          <w:tab w:val="num" w:pos="1701"/>
        </w:tabs>
        <w:ind w:left="1701"/>
        <w:rPr>
          <w:rFonts w:ascii="Arial" w:hAnsi="Arial" w:cs="Arial"/>
        </w:rPr>
      </w:pPr>
      <w:r w:rsidRPr="000E5786">
        <w:rPr>
          <w:rFonts w:ascii="Arial" w:hAnsi="Arial" w:cs="Arial"/>
        </w:rPr>
        <w:t xml:space="preserve">A-1a Service Component Availability </w:t>
      </w:r>
      <w:proofErr w:type="gramStart"/>
      <w:r w:rsidRPr="000E5786">
        <w:rPr>
          <w:rFonts w:ascii="Arial" w:hAnsi="Arial" w:cs="Arial"/>
        </w:rPr>
        <w:t>achieved;</w:t>
      </w:r>
      <w:proofErr w:type="gramEnd"/>
    </w:p>
    <w:p w14:paraId="66CAD404" w14:textId="77777777" w:rsidR="009C77E2" w:rsidRPr="000E5786" w:rsidRDefault="009C77E2" w:rsidP="009C77E2">
      <w:pPr>
        <w:pStyle w:val="ListBullet"/>
        <w:tabs>
          <w:tab w:val="num" w:pos="1701"/>
        </w:tabs>
        <w:ind w:left="1701"/>
        <w:rPr>
          <w:rFonts w:ascii="Arial" w:hAnsi="Arial" w:cs="Arial"/>
        </w:rPr>
      </w:pPr>
      <w:r w:rsidRPr="000E5786">
        <w:rPr>
          <w:rFonts w:ascii="Arial" w:hAnsi="Arial" w:cs="Arial"/>
        </w:rPr>
        <w:t xml:space="preserve">A-1b Service Component Availability adherence </w:t>
      </w:r>
      <w:proofErr w:type="gramStart"/>
      <w:r w:rsidRPr="000E5786">
        <w:rPr>
          <w:rFonts w:ascii="Arial" w:hAnsi="Arial" w:cs="Arial"/>
        </w:rPr>
        <w:t>failed;</w:t>
      </w:r>
      <w:proofErr w:type="gramEnd"/>
    </w:p>
    <w:p w14:paraId="0E348861" w14:textId="77777777" w:rsidR="009C77E2" w:rsidRPr="009C77E2" w:rsidRDefault="009C77E2" w:rsidP="009C77E2">
      <w:pPr>
        <w:pStyle w:val="ListBullet"/>
        <w:tabs>
          <w:tab w:val="num" w:pos="1701"/>
        </w:tabs>
        <w:ind w:left="1701"/>
        <w:rPr>
          <w:rFonts w:ascii="Arial" w:hAnsi="Arial" w:cs="Arial"/>
        </w:rPr>
      </w:pPr>
      <w:r w:rsidRPr="009C77E2">
        <w:rPr>
          <w:rFonts w:ascii="Arial" w:hAnsi="Arial" w:cs="Arial"/>
        </w:rPr>
        <w:t>A-2 Service Component non-Availability achieved; and</w:t>
      </w:r>
    </w:p>
    <w:p w14:paraId="1060AC6F" w14:textId="77777777" w:rsidR="009C77E2" w:rsidRPr="009C77E2" w:rsidRDefault="009C77E2" w:rsidP="009C77E2">
      <w:pPr>
        <w:pStyle w:val="ListBullet"/>
        <w:tabs>
          <w:tab w:val="num" w:pos="1701"/>
        </w:tabs>
        <w:ind w:left="1701"/>
        <w:rPr>
          <w:rFonts w:ascii="Arial" w:hAnsi="Arial" w:cs="Arial"/>
        </w:rPr>
      </w:pPr>
      <w:r w:rsidRPr="009C77E2">
        <w:rPr>
          <w:rFonts w:ascii="Arial" w:hAnsi="Arial" w:cs="Arial"/>
        </w:rPr>
        <w:t xml:space="preserve">A-3 Maximum Service Outage duration </w:t>
      </w:r>
      <w:proofErr w:type="gramStart"/>
      <w:r w:rsidRPr="009C77E2">
        <w:rPr>
          <w:rFonts w:ascii="Arial" w:hAnsi="Arial" w:cs="Arial"/>
        </w:rPr>
        <w:t>failed;</w:t>
      </w:r>
      <w:proofErr w:type="gramEnd"/>
      <w:r w:rsidRPr="009C77E2">
        <w:rPr>
          <w:rFonts w:ascii="Arial" w:hAnsi="Arial" w:cs="Arial"/>
        </w:rPr>
        <w:t xml:space="preserve"> </w:t>
      </w:r>
    </w:p>
    <w:p w14:paraId="324CD459" w14:textId="77777777" w:rsidR="002B2490" w:rsidRPr="000E5786" w:rsidRDefault="002B2490" w:rsidP="00B26A5F">
      <w:pPr>
        <w:pStyle w:val="ListBullet"/>
        <w:numPr>
          <w:ilvl w:val="0"/>
          <w:numId w:val="0"/>
        </w:numPr>
        <w:ind w:left="1341"/>
        <w:rPr>
          <w:rFonts w:ascii="Arial" w:hAnsi="Arial" w:cs="Arial"/>
        </w:rPr>
      </w:pPr>
    </w:p>
    <w:p w14:paraId="487B29D5" w14:textId="32ED308F" w:rsidR="002B2490" w:rsidRPr="000E5786" w:rsidRDefault="002B2490" w:rsidP="00B26A5F">
      <w:pPr>
        <w:pStyle w:val="ListBullet"/>
        <w:numPr>
          <w:ilvl w:val="0"/>
          <w:numId w:val="0"/>
        </w:numPr>
        <w:ind w:left="709"/>
        <w:rPr>
          <w:rFonts w:ascii="Arial" w:hAnsi="Arial" w:cs="Arial"/>
        </w:rPr>
      </w:pPr>
      <w:r w:rsidRPr="000E5786">
        <w:rPr>
          <w:rFonts w:ascii="Arial" w:hAnsi="Arial" w:cs="Arial"/>
        </w:rPr>
        <w:t xml:space="preserve">Two Availability </w:t>
      </w:r>
      <w:r w:rsidR="008B6AF5">
        <w:rPr>
          <w:rFonts w:ascii="Arial" w:hAnsi="Arial" w:cs="Arial"/>
        </w:rPr>
        <w:t xml:space="preserve">Credit Group </w:t>
      </w:r>
      <w:r w:rsidRPr="000E5786">
        <w:rPr>
          <w:rFonts w:ascii="Arial" w:hAnsi="Arial" w:cs="Arial"/>
        </w:rPr>
        <w:t xml:space="preserve">Service </w:t>
      </w:r>
      <w:r w:rsidR="0012582E" w:rsidRPr="000E5786">
        <w:rPr>
          <w:rFonts w:ascii="Arial" w:hAnsi="Arial" w:cs="Arial"/>
        </w:rPr>
        <w:t xml:space="preserve">Levels </w:t>
      </w:r>
      <w:r w:rsidRPr="000E5786">
        <w:rPr>
          <w:rFonts w:ascii="Arial" w:hAnsi="Arial" w:cs="Arial"/>
        </w:rPr>
        <w:t xml:space="preserve">have failed, therefore the Service Credit is calculated </w:t>
      </w:r>
      <w:proofErr w:type="gramStart"/>
      <w:r w:rsidRPr="000E5786">
        <w:rPr>
          <w:rFonts w:ascii="Arial" w:hAnsi="Arial" w:cs="Arial"/>
        </w:rPr>
        <w:t xml:space="preserve">as </w:t>
      </w:r>
      <w:r w:rsidR="009C77E2" w:rsidRPr="009C77E2">
        <w:rPr>
          <w:rFonts w:ascii="Arial" w:hAnsi="Arial" w:cs="Arial"/>
        </w:rPr>
        <w:t xml:space="preserve"> 2</w:t>
      </w:r>
      <w:proofErr w:type="gramEnd"/>
      <w:r w:rsidR="009C77E2" w:rsidRPr="009C77E2">
        <w:rPr>
          <w:rFonts w:ascii="Arial" w:hAnsi="Arial" w:cs="Arial"/>
        </w:rPr>
        <w:t xml:space="preserve"> X 25% = 50%</w:t>
      </w:r>
      <w:r w:rsidR="009C77E2" w:rsidRPr="000E5786">
        <w:rPr>
          <w:rFonts w:ascii="Arial" w:hAnsi="Arial" w:cs="Arial"/>
        </w:rPr>
        <w:t xml:space="preserve"> </w:t>
      </w:r>
      <w:r w:rsidRPr="000E5786">
        <w:rPr>
          <w:rFonts w:ascii="Arial" w:hAnsi="Arial" w:cs="Arial"/>
        </w:rPr>
        <w:t>of the Availability Credit Group.</w:t>
      </w:r>
    </w:p>
    <w:p w14:paraId="38009F81" w14:textId="77777777" w:rsidR="002B2490" w:rsidRPr="000E5786" w:rsidRDefault="002B2490" w:rsidP="00407A01">
      <w:pPr>
        <w:pStyle w:val="ListBullet"/>
        <w:numPr>
          <w:ilvl w:val="0"/>
          <w:numId w:val="0"/>
        </w:numPr>
        <w:ind w:left="981"/>
        <w:rPr>
          <w:rFonts w:ascii="Arial" w:hAnsi="Arial" w:cs="Arial"/>
        </w:rPr>
      </w:pPr>
    </w:p>
    <w:p w14:paraId="0AF3EA83" w14:textId="77777777" w:rsidR="002B2490" w:rsidRPr="000E5786" w:rsidRDefault="002B2490" w:rsidP="009D675B">
      <w:pPr>
        <w:pStyle w:val="Heading1"/>
        <w:numPr>
          <w:ilvl w:val="0"/>
          <w:numId w:val="138"/>
        </w:numPr>
        <w:spacing w:after="120"/>
        <w:rPr>
          <w:rFonts w:cs="Arial"/>
          <w:szCs w:val="20"/>
        </w:rPr>
      </w:pPr>
      <w:bookmarkStart w:id="2332" w:name="_Ref445984959"/>
      <w:r w:rsidRPr="000E5786">
        <w:rPr>
          <w:rFonts w:cs="Arial"/>
          <w:szCs w:val="20"/>
        </w:rPr>
        <w:t>Reaction Time Credit Group</w:t>
      </w:r>
    </w:p>
    <w:p w14:paraId="4A78647A" w14:textId="77777777" w:rsidR="002B2490" w:rsidRPr="000E5786" w:rsidRDefault="002B2490" w:rsidP="009D675B">
      <w:pPr>
        <w:pStyle w:val="Heading2"/>
        <w:numPr>
          <w:ilvl w:val="1"/>
          <w:numId w:val="138"/>
        </w:numPr>
        <w:spacing w:after="120"/>
        <w:rPr>
          <w:rFonts w:cs="Arial"/>
          <w:szCs w:val="20"/>
        </w:rPr>
      </w:pPr>
      <w:r w:rsidRPr="000E5786">
        <w:rPr>
          <w:rFonts w:cs="Arial"/>
          <w:szCs w:val="20"/>
        </w:rPr>
        <w:t>The Reaction Time Group consists of ten (10) Service Levels as set out in Schedule 2.2 (</w:t>
      </w:r>
      <w:r w:rsidRPr="00B26A5F">
        <w:rPr>
          <w:rFonts w:cs="Arial"/>
          <w:iCs w:val="0"/>
          <w:szCs w:val="20"/>
        </w:rPr>
        <w:t>Service Levels</w:t>
      </w:r>
      <w:r w:rsidRPr="000E5786">
        <w:rPr>
          <w:rFonts w:cs="Arial"/>
          <w:i/>
          <w:szCs w:val="20"/>
        </w:rPr>
        <w:t>)</w:t>
      </w:r>
      <w:r w:rsidRPr="000E5786">
        <w:rPr>
          <w:rFonts w:cs="Arial"/>
          <w:szCs w:val="20"/>
        </w:rPr>
        <w:t>:</w:t>
      </w:r>
    </w:p>
    <w:p w14:paraId="07B381B4" w14:textId="77777777" w:rsidR="002B2490" w:rsidRPr="000E5786" w:rsidRDefault="002B2490" w:rsidP="009D675B">
      <w:pPr>
        <w:pStyle w:val="Heading3"/>
        <w:numPr>
          <w:ilvl w:val="2"/>
          <w:numId w:val="138"/>
        </w:numPr>
      </w:pPr>
      <w:r w:rsidRPr="000E5786">
        <w:t>4 x Response Time (R-1 to R-4</w:t>
      </w:r>
      <w:proofErr w:type="gramStart"/>
      <w:r w:rsidRPr="000E5786">
        <w:t>);</w:t>
      </w:r>
      <w:proofErr w:type="gramEnd"/>
    </w:p>
    <w:p w14:paraId="0C8380A7" w14:textId="77777777" w:rsidR="002B2490" w:rsidRPr="000E5786" w:rsidRDefault="002B2490" w:rsidP="009D675B">
      <w:pPr>
        <w:pStyle w:val="Heading3"/>
        <w:numPr>
          <w:ilvl w:val="2"/>
          <w:numId w:val="138"/>
        </w:numPr>
      </w:pPr>
      <w:r w:rsidRPr="000E5786">
        <w:lastRenderedPageBreak/>
        <w:t>4 x Resolution Time (R-5 to R-8</w:t>
      </w:r>
      <w:proofErr w:type="gramStart"/>
      <w:r w:rsidRPr="000E5786">
        <w:t>);</w:t>
      </w:r>
      <w:proofErr w:type="gramEnd"/>
    </w:p>
    <w:p w14:paraId="2BEB4B3B" w14:textId="77777777" w:rsidR="002B2490" w:rsidRPr="000E5786" w:rsidRDefault="002B2490" w:rsidP="009D675B">
      <w:pPr>
        <w:pStyle w:val="Heading3"/>
        <w:numPr>
          <w:ilvl w:val="2"/>
          <w:numId w:val="138"/>
        </w:numPr>
      </w:pPr>
      <w:r w:rsidRPr="000E5786">
        <w:t xml:space="preserve">1 x Service Catalogue Fulfilment (R-9); and </w:t>
      </w:r>
    </w:p>
    <w:p w14:paraId="7CB1D1A0" w14:textId="77777777" w:rsidR="002B2490" w:rsidRPr="000E5786" w:rsidRDefault="002B2490" w:rsidP="009D675B">
      <w:pPr>
        <w:pStyle w:val="Heading3"/>
        <w:numPr>
          <w:ilvl w:val="2"/>
          <w:numId w:val="138"/>
        </w:numPr>
      </w:pPr>
      <w:r w:rsidRPr="000E5786">
        <w:t>1 x Acknowledgement Time (R-10).</w:t>
      </w:r>
    </w:p>
    <w:p w14:paraId="4CC3D3FF" w14:textId="77777777" w:rsidR="002B2490" w:rsidRPr="000E5786" w:rsidRDefault="002B2490" w:rsidP="009D675B">
      <w:pPr>
        <w:pStyle w:val="Heading2"/>
        <w:numPr>
          <w:ilvl w:val="1"/>
          <w:numId w:val="138"/>
        </w:numPr>
        <w:spacing w:after="120"/>
        <w:rPr>
          <w:rFonts w:cs="Arial"/>
          <w:szCs w:val="20"/>
        </w:rPr>
      </w:pPr>
      <w:r w:rsidRPr="000E5786">
        <w:rPr>
          <w:rFonts w:cs="Arial"/>
          <w:szCs w:val="20"/>
        </w:rPr>
        <w:t>In any Invoicing Period, the Reaction Time Credit Group shall be distributed amongst the following Service Levels in the following proportions:</w:t>
      </w:r>
      <w:bookmarkEnd w:id="2332"/>
    </w:p>
    <w:p w14:paraId="0FA8B4A2" w14:textId="77777777" w:rsidR="002B2490" w:rsidRPr="000E5786" w:rsidRDefault="002B2490" w:rsidP="009D675B">
      <w:pPr>
        <w:pStyle w:val="Heading3"/>
        <w:numPr>
          <w:ilvl w:val="2"/>
          <w:numId w:val="138"/>
        </w:numPr>
      </w:pPr>
      <w:r w:rsidRPr="000E5786">
        <w:t xml:space="preserve">For Priority 1 &amp; 2 Response Time for Incidents (R-1 and R-2): </w:t>
      </w:r>
      <w:r w:rsidRPr="000E5786">
        <w:rPr>
          <w:b/>
        </w:rPr>
        <w:t>16%</w:t>
      </w:r>
      <w:r w:rsidRPr="000E5786">
        <w:t xml:space="preserve"> of the Reaction Time Credit </w:t>
      </w:r>
      <w:proofErr w:type="gramStart"/>
      <w:r w:rsidRPr="000E5786">
        <w:t>Group;</w:t>
      </w:r>
      <w:proofErr w:type="gramEnd"/>
    </w:p>
    <w:p w14:paraId="562659E8" w14:textId="506CADAC" w:rsidR="002B2490" w:rsidRPr="000E5786" w:rsidRDefault="002B2490" w:rsidP="009D675B">
      <w:pPr>
        <w:pStyle w:val="Heading3"/>
        <w:numPr>
          <w:ilvl w:val="2"/>
          <w:numId w:val="138"/>
        </w:numPr>
      </w:pPr>
      <w:r w:rsidRPr="000E5786">
        <w:t xml:space="preserve">For Priority 3 &amp; 4 Response Time for Incidents (R-3 and R-4): </w:t>
      </w:r>
      <w:r w:rsidRPr="000E5786">
        <w:rPr>
          <w:b/>
        </w:rPr>
        <w:t>2%</w:t>
      </w:r>
      <w:r w:rsidRPr="000E5786">
        <w:t xml:space="preserve"> of the Reaction Time Credit </w:t>
      </w:r>
      <w:proofErr w:type="gramStart"/>
      <w:r w:rsidRPr="000E5786">
        <w:t>Group;</w:t>
      </w:r>
      <w:proofErr w:type="gramEnd"/>
    </w:p>
    <w:p w14:paraId="1853F5D2" w14:textId="77777777" w:rsidR="002B2490" w:rsidRPr="000E5786" w:rsidRDefault="002B2490" w:rsidP="009D675B">
      <w:pPr>
        <w:pStyle w:val="Heading3"/>
        <w:numPr>
          <w:ilvl w:val="2"/>
          <w:numId w:val="138"/>
        </w:numPr>
      </w:pPr>
      <w:r w:rsidRPr="000E5786">
        <w:t>For Priority 1 &amp; 2 Resolution Time for Incidents (R-5 and R-6):</w:t>
      </w:r>
      <w:r w:rsidRPr="000E5786">
        <w:rPr>
          <w:b/>
        </w:rPr>
        <w:t xml:space="preserve"> 50%</w:t>
      </w:r>
      <w:r w:rsidRPr="000E5786">
        <w:t xml:space="preserve"> of the Reaction Time Credit </w:t>
      </w:r>
      <w:proofErr w:type="gramStart"/>
      <w:r w:rsidRPr="000E5786">
        <w:t>Group;</w:t>
      </w:r>
      <w:proofErr w:type="gramEnd"/>
      <w:r w:rsidRPr="000E5786">
        <w:t xml:space="preserve"> </w:t>
      </w:r>
    </w:p>
    <w:p w14:paraId="680A3947" w14:textId="77777777" w:rsidR="002B2490" w:rsidRPr="000E5786" w:rsidRDefault="002B2490" w:rsidP="009D675B">
      <w:pPr>
        <w:pStyle w:val="Heading3"/>
        <w:numPr>
          <w:ilvl w:val="2"/>
          <w:numId w:val="138"/>
        </w:numPr>
      </w:pPr>
      <w:r w:rsidRPr="000E5786">
        <w:t xml:space="preserve">For Priority 3 &amp; 4 Resolution Time for Incidents (R-7 and R-9): </w:t>
      </w:r>
      <w:r w:rsidRPr="000E5786">
        <w:rPr>
          <w:b/>
        </w:rPr>
        <w:t xml:space="preserve">10% </w:t>
      </w:r>
      <w:r w:rsidRPr="000E5786">
        <w:t xml:space="preserve">of the Reaction Time Credit </w:t>
      </w:r>
      <w:proofErr w:type="gramStart"/>
      <w:r w:rsidRPr="000E5786">
        <w:t>Group;</w:t>
      </w:r>
      <w:proofErr w:type="gramEnd"/>
    </w:p>
    <w:p w14:paraId="6B443746" w14:textId="77777777" w:rsidR="002B2490" w:rsidRPr="000E5786" w:rsidRDefault="002B2490" w:rsidP="009D675B">
      <w:pPr>
        <w:pStyle w:val="Heading3"/>
        <w:numPr>
          <w:ilvl w:val="2"/>
          <w:numId w:val="138"/>
        </w:numPr>
      </w:pPr>
      <w:r w:rsidRPr="000E5786">
        <w:t xml:space="preserve">For Service Catalogue Fulfilment for Service Requests (R-9): </w:t>
      </w:r>
      <w:r w:rsidRPr="000E5786">
        <w:rPr>
          <w:b/>
        </w:rPr>
        <w:t>12%</w:t>
      </w:r>
      <w:r w:rsidRPr="000E5786">
        <w:t xml:space="preserve"> of the Reaction Time Credit Group; and </w:t>
      </w:r>
    </w:p>
    <w:p w14:paraId="33097A82" w14:textId="7744CAF2" w:rsidR="002B2490" w:rsidRPr="000E5786" w:rsidRDefault="002B2490" w:rsidP="009D675B">
      <w:pPr>
        <w:pStyle w:val="Heading3"/>
        <w:numPr>
          <w:ilvl w:val="2"/>
          <w:numId w:val="138"/>
        </w:numPr>
      </w:pPr>
      <w:r w:rsidRPr="000E5786">
        <w:t xml:space="preserve">For Acknowledgement Time for Incidents (R-10): </w:t>
      </w:r>
      <w:r w:rsidRPr="000E5786">
        <w:rPr>
          <w:b/>
        </w:rPr>
        <w:t>10%</w:t>
      </w:r>
      <w:r w:rsidRPr="000E5786">
        <w:t xml:space="preserve"> of the Reaction Time Credit Group.</w:t>
      </w:r>
    </w:p>
    <w:p w14:paraId="252A8B72" w14:textId="77777777" w:rsidR="00407A01" w:rsidRPr="000E5786" w:rsidRDefault="00407A01" w:rsidP="009D675B">
      <w:pPr>
        <w:pStyle w:val="Heading3"/>
        <w:numPr>
          <w:ilvl w:val="2"/>
          <w:numId w:val="138"/>
        </w:numPr>
      </w:pPr>
    </w:p>
    <w:p w14:paraId="0DAD8D4B" w14:textId="77777777" w:rsidR="002B2490" w:rsidRPr="000E5786" w:rsidRDefault="002B2490" w:rsidP="009D675B">
      <w:pPr>
        <w:pStyle w:val="Heading1"/>
        <w:numPr>
          <w:ilvl w:val="0"/>
          <w:numId w:val="138"/>
        </w:numPr>
        <w:spacing w:after="120"/>
        <w:rPr>
          <w:rFonts w:cs="Arial"/>
          <w:szCs w:val="20"/>
        </w:rPr>
      </w:pPr>
      <w:bookmarkStart w:id="2333" w:name="_Hlk77315831"/>
      <w:r w:rsidRPr="000E5786">
        <w:rPr>
          <w:rFonts w:cs="Arial"/>
          <w:szCs w:val="20"/>
        </w:rPr>
        <w:t>Business Continuity Credit Group</w:t>
      </w:r>
    </w:p>
    <w:p w14:paraId="56123556" w14:textId="77777777" w:rsidR="002B2490" w:rsidRPr="000E5786" w:rsidRDefault="002B2490" w:rsidP="009D675B">
      <w:pPr>
        <w:pStyle w:val="Heading2"/>
        <w:numPr>
          <w:ilvl w:val="1"/>
          <w:numId w:val="138"/>
        </w:numPr>
        <w:spacing w:after="120"/>
        <w:rPr>
          <w:rFonts w:cs="Arial"/>
          <w:szCs w:val="20"/>
        </w:rPr>
      </w:pPr>
      <w:r w:rsidRPr="000E5786">
        <w:rPr>
          <w:rFonts w:cs="Arial"/>
          <w:szCs w:val="20"/>
        </w:rPr>
        <w:t>The Business Continuity Credit Group consists of three (3) Service Levels as set out in Schedule 2.2 (</w:t>
      </w:r>
      <w:r w:rsidRPr="00B26A5F">
        <w:rPr>
          <w:rFonts w:cs="Arial"/>
          <w:iCs w:val="0"/>
          <w:szCs w:val="20"/>
        </w:rPr>
        <w:t>Service Levels</w:t>
      </w:r>
      <w:r w:rsidRPr="000E5786">
        <w:rPr>
          <w:rFonts w:cs="Arial"/>
          <w:i/>
          <w:szCs w:val="20"/>
        </w:rPr>
        <w:t>)</w:t>
      </w:r>
      <w:r w:rsidRPr="000E5786">
        <w:rPr>
          <w:rFonts w:cs="Arial"/>
          <w:szCs w:val="20"/>
        </w:rPr>
        <w:t>:</w:t>
      </w:r>
    </w:p>
    <w:p w14:paraId="1394FBD6" w14:textId="77777777" w:rsidR="002B2490" w:rsidRPr="000E5786" w:rsidRDefault="002B2490" w:rsidP="009D675B">
      <w:pPr>
        <w:pStyle w:val="Heading3"/>
        <w:numPr>
          <w:ilvl w:val="2"/>
          <w:numId w:val="138"/>
        </w:numPr>
      </w:pPr>
      <w:r w:rsidRPr="000E5786">
        <w:t xml:space="preserve">BC-1 Business </w:t>
      </w:r>
      <w:proofErr w:type="gramStart"/>
      <w:r w:rsidRPr="000E5786">
        <w:t>Continuity;</w:t>
      </w:r>
      <w:bookmarkEnd w:id="2333"/>
      <w:proofErr w:type="gramEnd"/>
    </w:p>
    <w:p w14:paraId="558E012E" w14:textId="77777777" w:rsidR="002B2490" w:rsidRPr="000E5786" w:rsidRDefault="002B2490" w:rsidP="009D675B">
      <w:pPr>
        <w:pStyle w:val="Heading3"/>
        <w:numPr>
          <w:ilvl w:val="2"/>
          <w:numId w:val="138"/>
        </w:numPr>
      </w:pPr>
      <w:r w:rsidRPr="000E5786">
        <w:t>BC-2 Backup Success; and</w:t>
      </w:r>
    </w:p>
    <w:p w14:paraId="43D023A4" w14:textId="77777777" w:rsidR="002B2490" w:rsidRPr="000E5786" w:rsidRDefault="002B2490" w:rsidP="009D675B">
      <w:pPr>
        <w:pStyle w:val="Heading3"/>
        <w:numPr>
          <w:ilvl w:val="2"/>
          <w:numId w:val="138"/>
        </w:numPr>
      </w:pPr>
      <w:r w:rsidRPr="000E5786">
        <w:t>BC-3 Backup Restoration Success.</w:t>
      </w:r>
    </w:p>
    <w:p w14:paraId="22F433EE" w14:textId="77777777" w:rsidR="002B2490" w:rsidRPr="000E5786" w:rsidRDefault="002B2490" w:rsidP="009D675B">
      <w:pPr>
        <w:pStyle w:val="Heading2"/>
        <w:numPr>
          <w:ilvl w:val="1"/>
          <w:numId w:val="138"/>
        </w:numPr>
        <w:spacing w:after="120"/>
        <w:rPr>
          <w:rFonts w:cs="Arial"/>
          <w:szCs w:val="20"/>
        </w:rPr>
      </w:pPr>
      <w:r w:rsidRPr="000E5786">
        <w:rPr>
          <w:rFonts w:cs="Arial"/>
          <w:szCs w:val="20"/>
        </w:rPr>
        <w:t>In any Invoicing Period, the Business Continuity Credit Group shall be distributed amongst the following Service Levels in the following proportions:</w:t>
      </w:r>
    </w:p>
    <w:p w14:paraId="0D78F3C7" w14:textId="5AF7DF15" w:rsidR="002B2490" w:rsidRPr="000E5786" w:rsidRDefault="002B2490" w:rsidP="009D675B">
      <w:pPr>
        <w:pStyle w:val="Heading3"/>
        <w:numPr>
          <w:ilvl w:val="2"/>
          <w:numId w:val="138"/>
        </w:numPr>
      </w:pPr>
      <w:r w:rsidRPr="000E5786">
        <w:t>BC-1 Business Continuity</w:t>
      </w:r>
      <w:r w:rsidR="0012582E">
        <w:t>:</w:t>
      </w:r>
      <w:r w:rsidRPr="000E5786">
        <w:t xml:space="preserve"> 0% of the Business Continuity Credit </w:t>
      </w:r>
      <w:proofErr w:type="gramStart"/>
      <w:r w:rsidRPr="000E5786">
        <w:t>Group;</w:t>
      </w:r>
      <w:proofErr w:type="gramEnd"/>
    </w:p>
    <w:p w14:paraId="742CC340" w14:textId="72361FD6" w:rsidR="002B2490" w:rsidRPr="000E5786" w:rsidRDefault="002B2490" w:rsidP="009D675B">
      <w:pPr>
        <w:pStyle w:val="Heading3"/>
        <w:numPr>
          <w:ilvl w:val="2"/>
          <w:numId w:val="138"/>
        </w:numPr>
      </w:pPr>
      <w:r w:rsidRPr="000E5786">
        <w:t>BC-2 Backup Success</w:t>
      </w:r>
      <w:r w:rsidR="0012582E">
        <w:t>:</w:t>
      </w:r>
      <w:r w:rsidRPr="000E5786">
        <w:t xml:space="preserve"> 50% of the Business Continuity Credit Group; and</w:t>
      </w:r>
    </w:p>
    <w:p w14:paraId="744B63A9" w14:textId="21705492" w:rsidR="002B2490" w:rsidRPr="000E5786" w:rsidRDefault="002B2490" w:rsidP="009D675B">
      <w:pPr>
        <w:pStyle w:val="Heading3"/>
        <w:numPr>
          <w:ilvl w:val="2"/>
          <w:numId w:val="138"/>
        </w:numPr>
      </w:pPr>
      <w:r w:rsidRPr="000E5786">
        <w:t>BC-3 Backup Restoration Success</w:t>
      </w:r>
      <w:r w:rsidR="0012582E">
        <w:t>:</w:t>
      </w:r>
      <w:r w:rsidRPr="000E5786">
        <w:t xml:space="preserve"> 50% of the Business Continuity Credit Group.</w:t>
      </w:r>
    </w:p>
    <w:p w14:paraId="0F628FC6" w14:textId="77777777" w:rsidR="00407A01" w:rsidRPr="000E5786" w:rsidRDefault="00407A01" w:rsidP="009D675B">
      <w:pPr>
        <w:pStyle w:val="Heading3"/>
        <w:numPr>
          <w:ilvl w:val="2"/>
          <w:numId w:val="138"/>
        </w:numPr>
      </w:pPr>
    </w:p>
    <w:p w14:paraId="0B3B3C84" w14:textId="77777777" w:rsidR="002B2490" w:rsidRPr="000E5786" w:rsidRDefault="002B2490" w:rsidP="009D675B">
      <w:pPr>
        <w:pStyle w:val="Heading1"/>
        <w:numPr>
          <w:ilvl w:val="0"/>
          <w:numId w:val="138"/>
        </w:numPr>
        <w:spacing w:after="120"/>
        <w:rPr>
          <w:rFonts w:cs="Arial"/>
          <w:szCs w:val="20"/>
        </w:rPr>
      </w:pPr>
      <w:bookmarkStart w:id="2334" w:name="_Ref445985548"/>
      <w:bookmarkStart w:id="2335" w:name="_Toc277002250"/>
      <w:bookmarkStart w:id="2336" w:name="_Toc277252019"/>
      <w:r w:rsidRPr="000E5786">
        <w:rPr>
          <w:rFonts w:cs="Arial"/>
          <w:szCs w:val="20"/>
        </w:rPr>
        <w:t>Service Quality Credit Group</w:t>
      </w:r>
    </w:p>
    <w:p w14:paraId="7A8D39A4" w14:textId="2975253D" w:rsidR="002B2490" w:rsidRPr="000E5786" w:rsidRDefault="002B2490" w:rsidP="009D675B">
      <w:pPr>
        <w:pStyle w:val="Heading2"/>
        <w:numPr>
          <w:ilvl w:val="1"/>
          <w:numId w:val="138"/>
        </w:numPr>
        <w:spacing w:after="120"/>
        <w:rPr>
          <w:rFonts w:cs="Arial"/>
          <w:szCs w:val="20"/>
        </w:rPr>
      </w:pPr>
      <w:r w:rsidRPr="000E5786">
        <w:rPr>
          <w:rFonts w:cs="Arial"/>
          <w:szCs w:val="20"/>
        </w:rPr>
        <w:t>The Service Quality Credit Group consists of three (3) Service Levels as set out in Schedule 2.2 (</w:t>
      </w:r>
      <w:r w:rsidRPr="00B26A5F">
        <w:rPr>
          <w:rFonts w:cs="Arial"/>
          <w:iCs w:val="0"/>
          <w:szCs w:val="20"/>
        </w:rPr>
        <w:t>Service Levels</w:t>
      </w:r>
      <w:r w:rsidRPr="000E5786">
        <w:rPr>
          <w:rFonts w:cs="Arial"/>
          <w:i/>
          <w:szCs w:val="20"/>
        </w:rPr>
        <w:t>):</w:t>
      </w:r>
    </w:p>
    <w:p w14:paraId="16E9306E" w14:textId="77777777" w:rsidR="002B2490" w:rsidRPr="000E5786" w:rsidRDefault="002B2490" w:rsidP="009D675B">
      <w:pPr>
        <w:pStyle w:val="Heading3"/>
        <w:numPr>
          <w:ilvl w:val="2"/>
          <w:numId w:val="138"/>
        </w:numPr>
      </w:pPr>
      <w:r w:rsidRPr="000E5786">
        <w:t xml:space="preserve">Q-1 Customer input to resolve Priority 1 and Priority 2 </w:t>
      </w:r>
      <w:proofErr w:type="gramStart"/>
      <w:r w:rsidRPr="000E5786">
        <w:t>Incidents;</w:t>
      </w:r>
      <w:proofErr w:type="gramEnd"/>
    </w:p>
    <w:p w14:paraId="0AF3BC83" w14:textId="77777777" w:rsidR="002B2490" w:rsidRPr="000E5786" w:rsidRDefault="002B2490" w:rsidP="009D675B">
      <w:pPr>
        <w:pStyle w:val="Heading3"/>
        <w:numPr>
          <w:ilvl w:val="2"/>
          <w:numId w:val="138"/>
        </w:numPr>
      </w:pPr>
      <w:r w:rsidRPr="000E5786">
        <w:t xml:space="preserve">Q-2 Supplier Churn; and </w:t>
      </w:r>
    </w:p>
    <w:p w14:paraId="4393AB2E" w14:textId="77777777" w:rsidR="002B2490" w:rsidRPr="000E5786" w:rsidRDefault="002B2490" w:rsidP="009D675B">
      <w:pPr>
        <w:pStyle w:val="Heading3"/>
        <w:numPr>
          <w:ilvl w:val="2"/>
          <w:numId w:val="138"/>
        </w:numPr>
      </w:pPr>
      <w:r w:rsidRPr="000E5786">
        <w:t>Q-3 Contract Non-compliance.</w:t>
      </w:r>
      <w:r w:rsidRPr="000E5786">
        <w:rPr>
          <w:i/>
        </w:rPr>
        <w:t xml:space="preserve"> </w:t>
      </w:r>
    </w:p>
    <w:p w14:paraId="0A786777" w14:textId="133D0623" w:rsidR="002B2490" w:rsidRPr="000E5786" w:rsidRDefault="002B2490" w:rsidP="009D675B">
      <w:pPr>
        <w:pStyle w:val="Heading2"/>
        <w:numPr>
          <w:ilvl w:val="1"/>
          <w:numId w:val="138"/>
        </w:numPr>
        <w:spacing w:after="120"/>
        <w:rPr>
          <w:rFonts w:cs="Arial"/>
          <w:szCs w:val="20"/>
        </w:rPr>
      </w:pPr>
      <w:r w:rsidRPr="000E5786">
        <w:rPr>
          <w:rFonts w:cs="Arial"/>
          <w:szCs w:val="20"/>
        </w:rPr>
        <w:t>In any Invoicing Period, the Service Quality Credit Group is the sum of the Service Quality Credit Service Levels that did not constitute a Service Failure multiplied by 33.3%, with all three (3) Service Levels passing giving 100%.</w:t>
      </w:r>
      <w:bookmarkStart w:id="2337" w:name="_Toc277002251"/>
      <w:bookmarkStart w:id="2338" w:name="_Toc277252020"/>
      <w:bookmarkStart w:id="2339" w:name="OLE_LINK1"/>
      <w:bookmarkStart w:id="2340" w:name="OLE_LINK2"/>
      <w:bookmarkEnd w:id="2334"/>
      <w:bookmarkEnd w:id="2335"/>
      <w:bookmarkEnd w:id="2336"/>
    </w:p>
    <w:p w14:paraId="27213001" w14:textId="77777777" w:rsidR="00407A01" w:rsidRPr="000E5786" w:rsidRDefault="00407A01" w:rsidP="00407A01">
      <w:pPr>
        <w:pStyle w:val="Heading2"/>
        <w:numPr>
          <w:ilvl w:val="0"/>
          <w:numId w:val="0"/>
        </w:numPr>
        <w:spacing w:after="120"/>
        <w:ind w:left="709"/>
        <w:rPr>
          <w:rFonts w:cs="Arial"/>
          <w:szCs w:val="20"/>
        </w:rPr>
      </w:pPr>
    </w:p>
    <w:p w14:paraId="4825F44E" w14:textId="77777777" w:rsidR="002B2490" w:rsidRPr="000E5786" w:rsidRDefault="002B2490" w:rsidP="009D675B">
      <w:pPr>
        <w:pStyle w:val="Heading1"/>
        <w:numPr>
          <w:ilvl w:val="0"/>
          <w:numId w:val="138"/>
        </w:numPr>
        <w:spacing w:after="120"/>
        <w:rPr>
          <w:rFonts w:cs="Arial"/>
          <w:szCs w:val="20"/>
        </w:rPr>
      </w:pPr>
      <w:r w:rsidRPr="000E5786">
        <w:rPr>
          <w:rFonts w:cs="Arial"/>
          <w:szCs w:val="20"/>
        </w:rPr>
        <w:t>Calculation of the Service Credit</w:t>
      </w:r>
      <w:bookmarkEnd w:id="2337"/>
      <w:bookmarkEnd w:id="2338"/>
    </w:p>
    <w:tbl>
      <w:tblPr>
        <w:tblStyle w:val="TableGrid0"/>
        <w:tblW w:w="0" w:type="auto"/>
        <w:tblInd w:w="704" w:type="dxa"/>
        <w:tblLook w:val="04A0" w:firstRow="1" w:lastRow="0" w:firstColumn="1" w:lastColumn="0" w:noHBand="0" w:noVBand="1"/>
      </w:tblPr>
      <w:tblGrid>
        <w:gridCol w:w="1698"/>
        <w:gridCol w:w="1982"/>
        <w:gridCol w:w="3527"/>
        <w:gridCol w:w="1150"/>
      </w:tblGrid>
      <w:tr w:rsidR="002B2490" w:rsidRPr="000E5786" w14:paraId="4286365C" w14:textId="77777777" w:rsidTr="00B26A5F">
        <w:trPr>
          <w:trHeight w:val="561"/>
        </w:trPr>
        <w:tc>
          <w:tcPr>
            <w:tcW w:w="1701" w:type="dxa"/>
          </w:tcPr>
          <w:p w14:paraId="731A3763" w14:textId="77777777" w:rsidR="002B2490" w:rsidRPr="000E5786" w:rsidRDefault="002B2490" w:rsidP="0095745D">
            <w:pPr>
              <w:jc w:val="left"/>
              <w:rPr>
                <w:rFonts w:ascii="Arial" w:hAnsi="Arial" w:cs="Arial"/>
                <w:b/>
                <w:bCs/>
                <w:sz w:val="20"/>
                <w:szCs w:val="20"/>
              </w:rPr>
            </w:pPr>
            <w:r w:rsidRPr="000E5786">
              <w:rPr>
                <w:rFonts w:ascii="Arial" w:hAnsi="Arial" w:cs="Arial"/>
                <w:b/>
                <w:bCs/>
                <w:sz w:val="20"/>
                <w:szCs w:val="20"/>
              </w:rPr>
              <w:t>Service Credit Groups</w:t>
            </w:r>
          </w:p>
        </w:tc>
        <w:tc>
          <w:tcPr>
            <w:tcW w:w="1985" w:type="dxa"/>
          </w:tcPr>
          <w:p w14:paraId="4FCBD61D" w14:textId="77777777" w:rsidR="002B2490" w:rsidRPr="000E5786" w:rsidRDefault="002B2490" w:rsidP="0095745D">
            <w:pPr>
              <w:jc w:val="left"/>
              <w:rPr>
                <w:rFonts w:ascii="Arial" w:hAnsi="Arial" w:cs="Arial"/>
                <w:b/>
                <w:bCs/>
                <w:sz w:val="20"/>
                <w:szCs w:val="20"/>
              </w:rPr>
            </w:pPr>
            <w:r w:rsidRPr="000E5786">
              <w:rPr>
                <w:rFonts w:ascii="Arial" w:hAnsi="Arial" w:cs="Arial"/>
                <w:b/>
                <w:bCs/>
                <w:sz w:val="20"/>
                <w:szCs w:val="20"/>
              </w:rPr>
              <w:t>Apportionment of At-risk Value</w:t>
            </w:r>
          </w:p>
        </w:tc>
        <w:tc>
          <w:tcPr>
            <w:tcW w:w="3543" w:type="dxa"/>
          </w:tcPr>
          <w:p w14:paraId="59E1E7D5" w14:textId="77777777" w:rsidR="002B2490" w:rsidRPr="000E5786" w:rsidRDefault="002B2490" w:rsidP="0095745D">
            <w:pPr>
              <w:jc w:val="left"/>
              <w:rPr>
                <w:rFonts w:ascii="Arial" w:hAnsi="Arial" w:cs="Arial"/>
                <w:b/>
                <w:bCs/>
                <w:sz w:val="20"/>
                <w:szCs w:val="20"/>
              </w:rPr>
            </w:pPr>
            <w:r w:rsidRPr="000E5786">
              <w:rPr>
                <w:rFonts w:ascii="Arial" w:hAnsi="Arial" w:cs="Arial"/>
                <w:b/>
                <w:bCs/>
                <w:sz w:val="20"/>
                <w:szCs w:val="20"/>
              </w:rPr>
              <w:t>Total Service Credits (example)</w:t>
            </w:r>
          </w:p>
        </w:tc>
        <w:tc>
          <w:tcPr>
            <w:tcW w:w="1104" w:type="dxa"/>
          </w:tcPr>
          <w:p w14:paraId="4A87B34A" w14:textId="77777777" w:rsidR="002B2490" w:rsidRPr="000E5786" w:rsidRDefault="002B2490" w:rsidP="0095745D">
            <w:pPr>
              <w:jc w:val="left"/>
              <w:rPr>
                <w:rFonts w:ascii="Arial" w:hAnsi="Arial" w:cs="Arial"/>
                <w:b/>
                <w:bCs/>
                <w:sz w:val="20"/>
                <w:szCs w:val="20"/>
              </w:rPr>
            </w:pPr>
            <w:r w:rsidRPr="000E5786">
              <w:rPr>
                <w:rFonts w:ascii="Arial" w:hAnsi="Arial" w:cs="Arial"/>
                <w:b/>
                <w:bCs/>
                <w:sz w:val="20"/>
                <w:szCs w:val="20"/>
              </w:rPr>
              <w:t>Result</w:t>
            </w:r>
          </w:p>
          <w:p w14:paraId="52F600B6" w14:textId="77777777" w:rsidR="002B2490" w:rsidRPr="000E5786" w:rsidRDefault="002B2490" w:rsidP="0095745D">
            <w:pPr>
              <w:jc w:val="left"/>
              <w:rPr>
                <w:rFonts w:ascii="Arial" w:hAnsi="Arial" w:cs="Arial"/>
                <w:b/>
                <w:bCs/>
                <w:sz w:val="20"/>
                <w:szCs w:val="20"/>
              </w:rPr>
            </w:pPr>
            <w:r w:rsidRPr="000E5786">
              <w:rPr>
                <w:rFonts w:ascii="Arial" w:hAnsi="Arial" w:cs="Arial"/>
                <w:b/>
                <w:bCs/>
                <w:sz w:val="20"/>
                <w:szCs w:val="20"/>
              </w:rPr>
              <w:t>(example)</w:t>
            </w:r>
          </w:p>
        </w:tc>
      </w:tr>
      <w:tr w:rsidR="002B2490" w:rsidRPr="000E5786" w14:paraId="6FF59BD8" w14:textId="77777777" w:rsidTr="00B26A5F">
        <w:trPr>
          <w:trHeight w:val="516"/>
        </w:trPr>
        <w:tc>
          <w:tcPr>
            <w:tcW w:w="1701" w:type="dxa"/>
          </w:tcPr>
          <w:p w14:paraId="31E04502" w14:textId="77777777" w:rsidR="002B2490" w:rsidRPr="000E5786" w:rsidRDefault="002B2490" w:rsidP="0095745D">
            <w:pPr>
              <w:pStyle w:val="Level2"/>
              <w:numPr>
                <w:ilvl w:val="0"/>
                <w:numId w:val="0"/>
              </w:numPr>
              <w:spacing w:after="0" w:line="240" w:lineRule="auto"/>
              <w:rPr>
                <w:rFonts w:ascii="Arial" w:hAnsi="Arial" w:cs="Arial"/>
                <w:sz w:val="20"/>
              </w:rPr>
            </w:pPr>
            <w:r w:rsidRPr="000E5786">
              <w:rPr>
                <w:rFonts w:ascii="Arial" w:hAnsi="Arial" w:cs="Arial"/>
                <w:sz w:val="20"/>
              </w:rPr>
              <w:lastRenderedPageBreak/>
              <w:t>Availability</w:t>
            </w:r>
          </w:p>
        </w:tc>
        <w:tc>
          <w:tcPr>
            <w:tcW w:w="1985" w:type="dxa"/>
          </w:tcPr>
          <w:p w14:paraId="03C4328D" w14:textId="0E225753" w:rsidR="002B2490" w:rsidRPr="000E5786" w:rsidRDefault="009C77E2" w:rsidP="0095745D">
            <w:pPr>
              <w:pStyle w:val="Level2"/>
              <w:numPr>
                <w:ilvl w:val="0"/>
                <w:numId w:val="0"/>
              </w:numPr>
              <w:spacing w:after="0" w:line="240" w:lineRule="auto"/>
              <w:jc w:val="center"/>
              <w:rPr>
                <w:rFonts w:ascii="Arial" w:hAnsi="Arial" w:cs="Arial"/>
                <w:sz w:val="20"/>
              </w:rPr>
            </w:pPr>
            <w:r>
              <w:rPr>
                <w:rFonts w:ascii="Arial" w:hAnsi="Arial" w:cs="Arial"/>
                <w:sz w:val="20"/>
              </w:rPr>
              <w:t>5</w:t>
            </w:r>
            <w:r w:rsidR="002B2490" w:rsidRPr="000E5786">
              <w:rPr>
                <w:rFonts w:ascii="Arial" w:hAnsi="Arial" w:cs="Arial"/>
                <w:sz w:val="20"/>
              </w:rPr>
              <w:t>0%</w:t>
            </w:r>
          </w:p>
        </w:tc>
        <w:tc>
          <w:tcPr>
            <w:tcW w:w="3543" w:type="dxa"/>
          </w:tcPr>
          <w:p w14:paraId="18D3F004" w14:textId="567CCD8A" w:rsidR="002B2490" w:rsidRPr="000E5786" w:rsidRDefault="002B2490" w:rsidP="0095745D">
            <w:pPr>
              <w:pStyle w:val="Level2"/>
              <w:numPr>
                <w:ilvl w:val="0"/>
                <w:numId w:val="0"/>
              </w:numPr>
              <w:spacing w:after="0" w:line="240" w:lineRule="auto"/>
              <w:rPr>
                <w:rFonts w:ascii="Arial" w:hAnsi="Arial" w:cs="Arial"/>
                <w:sz w:val="20"/>
              </w:rPr>
            </w:pPr>
            <w:r w:rsidRPr="000E5786">
              <w:rPr>
                <w:rFonts w:ascii="Arial" w:hAnsi="Arial" w:cs="Arial"/>
                <w:sz w:val="20"/>
              </w:rPr>
              <w:t xml:space="preserve">all </w:t>
            </w:r>
            <w:r w:rsidR="009C77E2">
              <w:rPr>
                <w:rFonts w:ascii="Arial" w:hAnsi="Arial" w:cs="Arial"/>
                <w:sz w:val="20"/>
              </w:rPr>
              <w:t>4</w:t>
            </w:r>
            <w:r w:rsidRPr="000E5786">
              <w:rPr>
                <w:rFonts w:ascii="Arial" w:hAnsi="Arial" w:cs="Arial"/>
                <w:sz w:val="20"/>
              </w:rPr>
              <w:t xml:space="preserve"> Service Levels passed, 100%</w:t>
            </w:r>
          </w:p>
        </w:tc>
        <w:tc>
          <w:tcPr>
            <w:tcW w:w="1104" w:type="dxa"/>
          </w:tcPr>
          <w:p w14:paraId="15AB840D" w14:textId="0CE5FE6D" w:rsidR="002B2490" w:rsidRPr="000E5786" w:rsidRDefault="009C77E2" w:rsidP="0095745D">
            <w:pPr>
              <w:pStyle w:val="Level2"/>
              <w:numPr>
                <w:ilvl w:val="0"/>
                <w:numId w:val="0"/>
              </w:numPr>
              <w:spacing w:after="0" w:line="240" w:lineRule="auto"/>
              <w:jc w:val="center"/>
              <w:rPr>
                <w:rFonts w:ascii="Arial" w:hAnsi="Arial" w:cs="Arial"/>
                <w:sz w:val="20"/>
              </w:rPr>
            </w:pPr>
            <w:r>
              <w:rPr>
                <w:rFonts w:ascii="Arial" w:hAnsi="Arial" w:cs="Arial"/>
                <w:sz w:val="20"/>
              </w:rPr>
              <w:t>5</w:t>
            </w:r>
            <w:r w:rsidR="002B2490" w:rsidRPr="000E5786">
              <w:rPr>
                <w:rFonts w:ascii="Arial" w:hAnsi="Arial" w:cs="Arial"/>
                <w:sz w:val="20"/>
              </w:rPr>
              <w:t>0%</w:t>
            </w:r>
          </w:p>
        </w:tc>
      </w:tr>
      <w:tr w:rsidR="002B2490" w:rsidRPr="000E5786" w14:paraId="5B6CEA29" w14:textId="77777777" w:rsidTr="00B26A5F">
        <w:tc>
          <w:tcPr>
            <w:tcW w:w="1701" w:type="dxa"/>
          </w:tcPr>
          <w:p w14:paraId="3C68A55B" w14:textId="77777777" w:rsidR="002B2490" w:rsidRPr="000E5786" w:rsidRDefault="002B2490" w:rsidP="0095745D">
            <w:pPr>
              <w:pStyle w:val="Level2"/>
              <w:numPr>
                <w:ilvl w:val="0"/>
                <w:numId w:val="0"/>
              </w:numPr>
              <w:spacing w:after="0" w:line="240" w:lineRule="auto"/>
              <w:rPr>
                <w:rFonts w:ascii="Arial" w:hAnsi="Arial" w:cs="Arial"/>
                <w:sz w:val="20"/>
              </w:rPr>
            </w:pPr>
            <w:r w:rsidRPr="000E5786">
              <w:rPr>
                <w:rFonts w:ascii="Arial" w:hAnsi="Arial" w:cs="Arial"/>
                <w:sz w:val="20"/>
              </w:rPr>
              <w:t>Reaction Time</w:t>
            </w:r>
          </w:p>
        </w:tc>
        <w:tc>
          <w:tcPr>
            <w:tcW w:w="1985" w:type="dxa"/>
          </w:tcPr>
          <w:p w14:paraId="159C5F84" w14:textId="77777777" w:rsidR="002B2490" w:rsidRPr="000E5786" w:rsidRDefault="002B2490" w:rsidP="0095745D">
            <w:pPr>
              <w:pStyle w:val="Level2"/>
              <w:numPr>
                <w:ilvl w:val="0"/>
                <w:numId w:val="0"/>
              </w:numPr>
              <w:spacing w:after="0" w:line="240" w:lineRule="auto"/>
              <w:jc w:val="center"/>
              <w:rPr>
                <w:rFonts w:ascii="Arial" w:hAnsi="Arial" w:cs="Arial"/>
                <w:sz w:val="20"/>
              </w:rPr>
            </w:pPr>
            <w:r w:rsidRPr="000E5786">
              <w:rPr>
                <w:rFonts w:ascii="Arial" w:hAnsi="Arial" w:cs="Arial"/>
                <w:sz w:val="20"/>
              </w:rPr>
              <w:t>30%</w:t>
            </w:r>
          </w:p>
        </w:tc>
        <w:tc>
          <w:tcPr>
            <w:tcW w:w="3543" w:type="dxa"/>
          </w:tcPr>
          <w:p w14:paraId="2B08FB0F" w14:textId="77777777" w:rsidR="002B2490" w:rsidRPr="000E5786" w:rsidRDefault="002B2490" w:rsidP="0095745D">
            <w:pPr>
              <w:pStyle w:val="Level2"/>
              <w:numPr>
                <w:ilvl w:val="0"/>
                <w:numId w:val="0"/>
              </w:numPr>
              <w:spacing w:after="0" w:line="240" w:lineRule="auto"/>
              <w:rPr>
                <w:rFonts w:ascii="Arial" w:hAnsi="Arial" w:cs="Arial"/>
                <w:sz w:val="20"/>
              </w:rPr>
            </w:pPr>
            <w:r w:rsidRPr="000E5786">
              <w:rPr>
                <w:rFonts w:ascii="Arial" w:hAnsi="Arial" w:cs="Arial"/>
                <w:sz w:val="20"/>
              </w:rPr>
              <w:t>Proportion was 80%</w:t>
            </w:r>
          </w:p>
        </w:tc>
        <w:tc>
          <w:tcPr>
            <w:tcW w:w="1104" w:type="dxa"/>
          </w:tcPr>
          <w:p w14:paraId="12943975" w14:textId="77777777" w:rsidR="002B2490" w:rsidRPr="000E5786" w:rsidRDefault="002B2490" w:rsidP="0095745D">
            <w:pPr>
              <w:pStyle w:val="Level2"/>
              <w:numPr>
                <w:ilvl w:val="0"/>
                <w:numId w:val="0"/>
              </w:numPr>
              <w:spacing w:after="0" w:line="240" w:lineRule="auto"/>
              <w:jc w:val="center"/>
              <w:rPr>
                <w:rFonts w:ascii="Arial" w:hAnsi="Arial" w:cs="Arial"/>
                <w:sz w:val="20"/>
              </w:rPr>
            </w:pPr>
            <w:r w:rsidRPr="000E5786">
              <w:rPr>
                <w:rFonts w:ascii="Arial" w:hAnsi="Arial" w:cs="Arial"/>
                <w:sz w:val="20"/>
              </w:rPr>
              <w:t>24%</w:t>
            </w:r>
          </w:p>
        </w:tc>
      </w:tr>
      <w:tr w:rsidR="002B2490" w:rsidRPr="000E5786" w14:paraId="27FC6CD3" w14:textId="77777777" w:rsidTr="00B26A5F">
        <w:tc>
          <w:tcPr>
            <w:tcW w:w="1701" w:type="dxa"/>
          </w:tcPr>
          <w:p w14:paraId="7C600A9F" w14:textId="77777777" w:rsidR="002B2490" w:rsidRPr="000E5786" w:rsidRDefault="002B2490" w:rsidP="0095745D">
            <w:pPr>
              <w:pStyle w:val="Level2"/>
              <w:numPr>
                <w:ilvl w:val="0"/>
                <w:numId w:val="0"/>
              </w:numPr>
              <w:spacing w:after="0" w:line="240" w:lineRule="auto"/>
              <w:rPr>
                <w:rFonts w:ascii="Arial" w:hAnsi="Arial" w:cs="Arial"/>
                <w:sz w:val="20"/>
              </w:rPr>
            </w:pPr>
            <w:r w:rsidRPr="000E5786">
              <w:rPr>
                <w:rFonts w:ascii="Arial" w:hAnsi="Arial" w:cs="Arial"/>
                <w:sz w:val="20"/>
              </w:rPr>
              <w:t>Business Continuity</w:t>
            </w:r>
          </w:p>
        </w:tc>
        <w:tc>
          <w:tcPr>
            <w:tcW w:w="1985" w:type="dxa"/>
          </w:tcPr>
          <w:p w14:paraId="0B846CE7" w14:textId="77777777" w:rsidR="002B2490" w:rsidRPr="000E5786" w:rsidRDefault="002B2490" w:rsidP="0095745D">
            <w:pPr>
              <w:pStyle w:val="Level2"/>
              <w:numPr>
                <w:ilvl w:val="0"/>
                <w:numId w:val="0"/>
              </w:numPr>
              <w:spacing w:after="0" w:line="240" w:lineRule="auto"/>
              <w:jc w:val="center"/>
              <w:rPr>
                <w:rFonts w:ascii="Arial" w:hAnsi="Arial" w:cs="Arial"/>
                <w:sz w:val="20"/>
              </w:rPr>
            </w:pPr>
            <w:r w:rsidRPr="000E5786">
              <w:rPr>
                <w:rFonts w:ascii="Arial" w:hAnsi="Arial" w:cs="Arial"/>
                <w:sz w:val="20"/>
              </w:rPr>
              <w:t>20%</w:t>
            </w:r>
          </w:p>
        </w:tc>
        <w:tc>
          <w:tcPr>
            <w:tcW w:w="3543" w:type="dxa"/>
          </w:tcPr>
          <w:p w14:paraId="72528633" w14:textId="77777777" w:rsidR="002B2490" w:rsidRPr="000E5786" w:rsidRDefault="002B2490" w:rsidP="0095745D">
            <w:pPr>
              <w:pStyle w:val="Level2"/>
              <w:numPr>
                <w:ilvl w:val="0"/>
                <w:numId w:val="0"/>
              </w:numPr>
              <w:spacing w:after="0" w:line="240" w:lineRule="auto"/>
              <w:rPr>
                <w:rFonts w:ascii="Arial" w:hAnsi="Arial" w:cs="Arial"/>
                <w:sz w:val="20"/>
              </w:rPr>
            </w:pPr>
            <w:r w:rsidRPr="000E5786">
              <w:rPr>
                <w:rFonts w:ascii="Arial" w:hAnsi="Arial" w:cs="Arial"/>
                <w:sz w:val="20"/>
              </w:rPr>
              <w:t>Proportion was 20% as BC-1 event occurred and failed</w:t>
            </w:r>
          </w:p>
        </w:tc>
        <w:tc>
          <w:tcPr>
            <w:tcW w:w="1104" w:type="dxa"/>
          </w:tcPr>
          <w:p w14:paraId="62F339C7" w14:textId="77777777" w:rsidR="002B2490" w:rsidRPr="000E5786" w:rsidRDefault="002B2490" w:rsidP="0095745D">
            <w:pPr>
              <w:pStyle w:val="Level2"/>
              <w:numPr>
                <w:ilvl w:val="0"/>
                <w:numId w:val="0"/>
              </w:numPr>
              <w:spacing w:after="0" w:line="240" w:lineRule="auto"/>
              <w:jc w:val="center"/>
              <w:rPr>
                <w:rFonts w:ascii="Arial" w:hAnsi="Arial" w:cs="Arial"/>
                <w:sz w:val="20"/>
              </w:rPr>
            </w:pPr>
            <w:r w:rsidRPr="000E5786">
              <w:rPr>
                <w:rFonts w:ascii="Arial" w:hAnsi="Arial" w:cs="Arial"/>
                <w:sz w:val="20"/>
              </w:rPr>
              <w:t>4%</w:t>
            </w:r>
          </w:p>
        </w:tc>
      </w:tr>
      <w:tr w:rsidR="002B2490" w:rsidRPr="000E5786" w14:paraId="7EC39EF5" w14:textId="77777777" w:rsidTr="00B26A5F">
        <w:tc>
          <w:tcPr>
            <w:tcW w:w="1701" w:type="dxa"/>
          </w:tcPr>
          <w:p w14:paraId="19E792DA" w14:textId="77777777" w:rsidR="002B2490" w:rsidRPr="000E5786" w:rsidRDefault="002B2490" w:rsidP="0095745D">
            <w:pPr>
              <w:pStyle w:val="Level2"/>
              <w:numPr>
                <w:ilvl w:val="0"/>
                <w:numId w:val="0"/>
              </w:numPr>
              <w:spacing w:after="0" w:line="240" w:lineRule="auto"/>
              <w:rPr>
                <w:rFonts w:ascii="Arial" w:hAnsi="Arial" w:cs="Arial"/>
                <w:sz w:val="20"/>
              </w:rPr>
            </w:pPr>
            <w:r w:rsidRPr="000E5786">
              <w:rPr>
                <w:rFonts w:ascii="Arial" w:hAnsi="Arial" w:cs="Arial"/>
                <w:sz w:val="20"/>
              </w:rPr>
              <w:t>Quality</w:t>
            </w:r>
          </w:p>
        </w:tc>
        <w:tc>
          <w:tcPr>
            <w:tcW w:w="1985" w:type="dxa"/>
          </w:tcPr>
          <w:p w14:paraId="63F97183" w14:textId="77777777" w:rsidR="002B2490" w:rsidRPr="000E5786" w:rsidRDefault="002B2490" w:rsidP="0095745D">
            <w:pPr>
              <w:pStyle w:val="Level2"/>
              <w:numPr>
                <w:ilvl w:val="0"/>
                <w:numId w:val="0"/>
              </w:numPr>
              <w:spacing w:after="0" w:line="240" w:lineRule="auto"/>
              <w:jc w:val="center"/>
              <w:rPr>
                <w:rFonts w:ascii="Arial" w:hAnsi="Arial" w:cs="Arial"/>
                <w:sz w:val="20"/>
              </w:rPr>
            </w:pPr>
            <w:r w:rsidRPr="000E5786">
              <w:rPr>
                <w:rFonts w:ascii="Arial" w:hAnsi="Arial" w:cs="Arial"/>
                <w:sz w:val="20"/>
              </w:rPr>
              <w:t>10%</w:t>
            </w:r>
          </w:p>
        </w:tc>
        <w:tc>
          <w:tcPr>
            <w:tcW w:w="3543" w:type="dxa"/>
          </w:tcPr>
          <w:p w14:paraId="738490E5" w14:textId="77777777" w:rsidR="002B2490" w:rsidRPr="000E5786" w:rsidRDefault="002B2490" w:rsidP="0095745D">
            <w:pPr>
              <w:pStyle w:val="Level2"/>
              <w:numPr>
                <w:ilvl w:val="0"/>
                <w:numId w:val="0"/>
              </w:numPr>
              <w:spacing w:after="0" w:line="240" w:lineRule="auto"/>
              <w:rPr>
                <w:rFonts w:ascii="Arial" w:hAnsi="Arial" w:cs="Arial"/>
                <w:sz w:val="20"/>
              </w:rPr>
            </w:pPr>
            <w:r w:rsidRPr="000E5786">
              <w:rPr>
                <w:rFonts w:ascii="Arial" w:hAnsi="Arial" w:cs="Arial"/>
                <w:sz w:val="20"/>
              </w:rPr>
              <w:t>2 out of the 3 Service Levels passed, 66.6%</w:t>
            </w:r>
          </w:p>
        </w:tc>
        <w:tc>
          <w:tcPr>
            <w:tcW w:w="1104" w:type="dxa"/>
          </w:tcPr>
          <w:p w14:paraId="3FB78705" w14:textId="77777777" w:rsidR="002B2490" w:rsidRPr="000E5786" w:rsidRDefault="002B2490" w:rsidP="0095745D">
            <w:pPr>
              <w:pStyle w:val="Level2"/>
              <w:numPr>
                <w:ilvl w:val="0"/>
                <w:numId w:val="0"/>
              </w:numPr>
              <w:spacing w:after="0" w:line="240" w:lineRule="auto"/>
              <w:jc w:val="center"/>
              <w:rPr>
                <w:rFonts w:ascii="Arial" w:hAnsi="Arial" w:cs="Arial"/>
                <w:sz w:val="20"/>
              </w:rPr>
            </w:pPr>
            <w:r w:rsidRPr="000E5786">
              <w:rPr>
                <w:rFonts w:ascii="Arial" w:hAnsi="Arial" w:cs="Arial"/>
                <w:sz w:val="20"/>
              </w:rPr>
              <w:t>6.6%</w:t>
            </w:r>
          </w:p>
        </w:tc>
      </w:tr>
      <w:tr w:rsidR="002B2490" w:rsidRPr="000E5786" w14:paraId="4478A336" w14:textId="77777777" w:rsidTr="00B26A5F">
        <w:tc>
          <w:tcPr>
            <w:tcW w:w="7229" w:type="dxa"/>
            <w:gridSpan w:val="3"/>
          </w:tcPr>
          <w:p w14:paraId="31B61C88" w14:textId="77777777" w:rsidR="002B2490" w:rsidRPr="000E5786" w:rsidRDefault="002B2490" w:rsidP="0095745D">
            <w:pPr>
              <w:pStyle w:val="Level2"/>
              <w:numPr>
                <w:ilvl w:val="0"/>
                <w:numId w:val="0"/>
              </w:numPr>
              <w:spacing w:after="0" w:line="240" w:lineRule="auto"/>
              <w:rPr>
                <w:rFonts w:ascii="Arial" w:hAnsi="Arial" w:cs="Arial"/>
                <w:b/>
                <w:bCs/>
                <w:sz w:val="20"/>
              </w:rPr>
            </w:pPr>
            <w:r w:rsidRPr="000E5786">
              <w:rPr>
                <w:rFonts w:ascii="Arial" w:hAnsi="Arial" w:cs="Arial"/>
                <w:b/>
                <w:bCs/>
                <w:sz w:val="20"/>
              </w:rPr>
              <w:t xml:space="preserve">Total </w:t>
            </w:r>
          </w:p>
        </w:tc>
        <w:tc>
          <w:tcPr>
            <w:tcW w:w="1104" w:type="dxa"/>
          </w:tcPr>
          <w:p w14:paraId="32716D3E" w14:textId="6E5E6686" w:rsidR="002B2490" w:rsidRPr="000E5786" w:rsidRDefault="009C77E2" w:rsidP="0095745D">
            <w:pPr>
              <w:pStyle w:val="Level2"/>
              <w:numPr>
                <w:ilvl w:val="0"/>
                <w:numId w:val="0"/>
              </w:numPr>
              <w:spacing w:after="0" w:line="240" w:lineRule="auto"/>
              <w:jc w:val="center"/>
              <w:rPr>
                <w:rFonts w:ascii="Arial" w:hAnsi="Arial" w:cs="Arial"/>
                <w:b/>
                <w:bCs/>
                <w:sz w:val="20"/>
              </w:rPr>
            </w:pPr>
            <w:r>
              <w:rPr>
                <w:rFonts w:ascii="Arial" w:hAnsi="Arial" w:cs="Arial"/>
                <w:b/>
                <w:bCs/>
                <w:sz w:val="20"/>
              </w:rPr>
              <w:t>8</w:t>
            </w:r>
            <w:r w:rsidR="002B2490" w:rsidRPr="000E5786">
              <w:rPr>
                <w:rFonts w:ascii="Arial" w:hAnsi="Arial" w:cs="Arial"/>
                <w:b/>
                <w:bCs/>
                <w:sz w:val="20"/>
              </w:rPr>
              <w:t>4.6%</w:t>
            </w:r>
          </w:p>
        </w:tc>
      </w:tr>
    </w:tbl>
    <w:p w14:paraId="631A3797" w14:textId="36901519" w:rsidR="002B2490" w:rsidRPr="000E5786" w:rsidRDefault="002B2490" w:rsidP="00B26A5F">
      <w:pPr>
        <w:pStyle w:val="Caption"/>
        <w:ind w:left="709" w:firstLine="1"/>
        <w:rPr>
          <w:rFonts w:ascii="Arial" w:hAnsi="Arial" w:cs="Arial"/>
          <w:i/>
          <w:iCs/>
        </w:rPr>
      </w:pPr>
      <w:r w:rsidRPr="000E5786">
        <w:rPr>
          <w:rFonts w:ascii="Arial" w:hAnsi="Arial" w:cs="Arial"/>
        </w:rPr>
        <w:t xml:space="preserve">Table </w:t>
      </w:r>
      <w:r w:rsidR="0012582E">
        <w:rPr>
          <w:rFonts w:ascii="Arial" w:hAnsi="Arial" w:cs="Arial"/>
        </w:rPr>
        <w:t>1:</w:t>
      </w:r>
      <w:r w:rsidRPr="000E5786">
        <w:rPr>
          <w:rFonts w:ascii="Arial" w:hAnsi="Arial" w:cs="Arial"/>
        </w:rPr>
        <w:t xml:space="preserve"> Apportionment and example </w:t>
      </w:r>
    </w:p>
    <w:p w14:paraId="7FD3880C" w14:textId="1E8569F2" w:rsidR="002B2490" w:rsidRPr="000E5786" w:rsidRDefault="002B2490" w:rsidP="002B2490">
      <w:pPr>
        <w:pStyle w:val="Heading2"/>
        <w:numPr>
          <w:ilvl w:val="0"/>
          <w:numId w:val="0"/>
        </w:numPr>
        <w:spacing w:after="120"/>
        <w:ind w:left="709"/>
        <w:rPr>
          <w:rFonts w:cs="Arial"/>
          <w:szCs w:val="20"/>
          <w:lang w:val="en-US"/>
        </w:rPr>
      </w:pPr>
      <w:r w:rsidRPr="000E5786">
        <w:rPr>
          <w:rFonts w:cs="Arial"/>
          <w:szCs w:val="20"/>
          <w:lang w:val="en-US"/>
        </w:rPr>
        <w:t xml:space="preserve">In the above </w:t>
      </w:r>
      <w:r w:rsidRPr="000E5786">
        <w:rPr>
          <w:rFonts w:cs="Arial"/>
          <w:szCs w:val="20"/>
        </w:rPr>
        <w:t>example</w:t>
      </w:r>
      <w:r w:rsidRPr="000E5786">
        <w:rPr>
          <w:rFonts w:cs="Arial"/>
          <w:szCs w:val="20"/>
          <w:lang w:val="en-US"/>
        </w:rPr>
        <w:t xml:space="preserve"> </w:t>
      </w:r>
      <w:r w:rsidR="009C77E2">
        <w:rPr>
          <w:rFonts w:cs="Arial"/>
          <w:szCs w:val="20"/>
          <w:lang w:val="en-US"/>
        </w:rPr>
        <w:t>1</w:t>
      </w:r>
      <w:r w:rsidRPr="000E5786">
        <w:rPr>
          <w:rFonts w:cs="Arial"/>
          <w:szCs w:val="20"/>
          <w:lang w:val="en-US"/>
        </w:rPr>
        <w:t xml:space="preserve">5.4% of the At-risk Value is payable to </w:t>
      </w:r>
      <w:proofErr w:type="spellStart"/>
      <w:r w:rsidR="001F1C19">
        <w:rPr>
          <w:rFonts w:cs="Arial"/>
          <w:szCs w:val="20"/>
          <w:lang w:val="en-US"/>
        </w:rPr>
        <w:t>Netlink</w:t>
      </w:r>
      <w:proofErr w:type="spellEnd"/>
      <w:r w:rsidR="001F1C19">
        <w:rPr>
          <w:rFonts w:cs="Arial"/>
          <w:szCs w:val="20"/>
          <w:lang w:val="en-US"/>
        </w:rPr>
        <w:t xml:space="preserve"> Star</w:t>
      </w:r>
      <w:r w:rsidRPr="000E5786">
        <w:rPr>
          <w:rFonts w:cs="Arial"/>
          <w:szCs w:val="20"/>
          <w:lang w:val="en-US"/>
        </w:rPr>
        <w:t xml:space="preserve">, </w:t>
      </w:r>
      <w:proofErr w:type="gramStart"/>
      <w:r w:rsidRPr="000E5786">
        <w:rPr>
          <w:rFonts w:cs="Arial"/>
          <w:szCs w:val="20"/>
          <w:lang w:val="en-US"/>
        </w:rPr>
        <w:t>i.e.</w:t>
      </w:r>
      <w:proofErr w:type="gramEnd"/>
      <w:r w:rsidRPr="000E5786">
        <w:rPr>
          <w:rFonts w:cs="Arial"/>
          <w:szCs w:val="20"/>
          <w:lang w:val="en-US"/>
        </w:rPr>
        <w:t xml:space="preserve"> </w:t>
      </w:r>
      <w:r w:rsidR="009C77E2">
        <w:rPr>
          <w:rFonts w:cs="Arial"/>
          <w:szCs w:val="20"/>
          <w:lang w:val="en-US"/>
        </w:rPr>
        <w:t>1</w:t>
      </w:r>
      <w:r w:rsidRPr="000E5786">
        <w:rPr>
          <w:rFonts w:cs="Arial"/>
          <w:szCs w:val="20"/>
          <w:lang w:val="en-US"/>
        </w:rPr>
        <w:t>5.4% of 10% of the Base Charge in that Invoicing Period.</w:t>
      </w:r>
    </w:p>
    <w:p w14:paraId="71173FA6" w14:textId="77777777" w:rsidR="002B2490" w:rsidRPr="000E5786" w:rsidRDefault="002B2490" w:rsidP="009D675B">
      <w:pPr>
        <w:pStyle w:val="Heading1"/>
        <w:numPr>
          <w:ilvl w:val="0"/>
          <w:numId w:val="138"/>
        </w:numPr>
        <w:spacing w:after="120"/>
        <w:rPr>
          <w:rFonts w:cs="Arial"/>
          <w:szCs w:val="20"/>
        </w:rPr>
      </w:pPr>
      <w:r w:rsidRPr="000E5786">
        <w:rPr>
          <w:rFonts w:cs="Arial"/>
          <w:szCs w:val="20"/>
        </w:rPr>
        <w:t>Binary and Continuous Service Levels</w:t>
      </w:r>
    </w:p>
    <w:p w14:paraId="23F1B6EC" w14:textId="77777777" w:rsidR="002B2490" w:rsidRPr="000E5786" w:rsidRDefault="002B2490" w:rsidP="009D675B">
      <w:pPr>
        <w:pStyle w:val="Heading2"/>
        <w:numPr>
          <w:ilvl w:val="1"/>
          <w:numId w:val="138"/>
        </w:numPr>
        <w:spacing w:after="120"/>
        <w:rPr>
          <w:rFonts w:cs="Arial"/>
          <w:szCs w:val="20"/>
        </w:rPr>
      </w:pPr>
      <w:r w:rsidRPr="000E5786">
        <w:rPr>
          <w:rFonts w:cs="Arial"/>
          <w:b/>
          <w:szCs w:val="20"/>
        </w:rPr>
        <w:t xml:space="preserve">Binary Service Levels. </w:t>
      </w:r>
      <w:r w:rsidRPr="000E5786">
        <w:rPr>
          <w:rFonts w:cs="Arial"/>
          <w:szCs w:val="20"/>
        </w:rPr>
        <w:t>For a Service Level in this category, no Minimum Level applies. Performance meeting or exceeding the Target Level shall not incur any Service Credits. Where actual performance does not meet this Target Level, 100% of the At-Risk Value for that Service Level shall be designated as Service Credits.</w:t>
      </w:r>
    </w:p>
    <w:p w14:paraId="0B0339B4" w14:textId="77777777" w:rsidR="002B2490" w:rsidRPr="000E5786" w:rsidRDefault="002B2490" w:rsidP="009D675B">
      <w:pPr>
        <w:pStyle w:val="Heading2"/>
        <w:numPr>
          <w:ilvl w:val="1"/>
          <w:numId w:val="138"/>
        </w:numPr>
        <w:spacing w:after="120"/>
        <w:rPr>
          <w:rFonts w:cs="Arial"/>
          <w:szCs w:val="20"/>
        </w:rPr>
      </w:pPr>
      <w:r w:rsidRPr="000E5786">
        <w:rPr>
          <w:rFonts w:cs="Arial"/>
          <w:b/>
          <w:szCs w:val="20"/>
        </w:rPr>
        <w:t xml:space="preserve">Continuous Service Level. </w:t>
      </w:r>
      <w:r w:rsidRPr="000E5786">
        <w:rPr>
          <w:rFonts w:cs="Arial"/>
          <w:szCs w:val="20"/>
        </w:rPr>
        <w:t>For each Service Level that is a Continuous Service Level:</w:t>
      </w:r>
    </w:p>
    <w:p w14:paraId="15C96A30" w14:textId="77777777" w:rsidR="002B2490" w:rsidRPr="000E5786" w:rsidRDefault="002B2490" w:rsidP="009D675B">
      <w:pPr>
        <w:pStyle w:val="Heading3"/>
        <w:numPr>
          <w:ilvl w:val="2"/>
          <w:numId w:val="138"/>
        </w:numPr>
      </w:pPr>
      <w:r w:rsidRPr="000E5786">
        <w:t>where the Target Level is met or exceeded: (</w:t>
      </w:r>
      <w:proofErr w:type="spellStart"/>
      <w:r w:rsidRPr="000E5786">
        <w:t>i</w:t>
      </w:r>
      <w:proofErr w:type="spellEnd"/>
      <w:r w:rsidRPr="000E5786">
        <w:t xml:space="preserve">) the Supplier shall not incur any Service Credits; and (ii) the Supplier shall indicate any RAG status for this Service Level as green for this reporting </w:t>
      </w:r>
      <w:proofErr w:type="gramStart"/>
      <w:r w:rsidRPr="000E5786">
        <w:t>period;</w:t>
      </w:r>
      <w:proofErr w:type="gramEnd"/>
    </w:p>
    <w:p w14:paraId="6AFB64F6" w14:textId="77777777" w:rsidR="002B2490" w:rsidRPr="000E5786" w:rsidRDefault="002B2490" w:rsidP="009D675B">
      <w:pPr>
        <w:pStyle w:val="Heading3"/>
        <w:numPr>
          <w:ilvl w:val="2"/>
          <w:numId w:val="138"/>
        </w:numPr>
      </w:pPr>
      <w:r w:rsidRPr="000E5786">
        <w:t>where the Target Level is not met but the Minimum Level is met: (</w:t>
      </w:r>
      <w:proofErr w:type="spellStart"/>
      <w:r w:rsidRPr="000E5786">
        <w:t>i</w:t>
      </w:r>
      <w:proofErr w:type="spellEnd"/>
      <w:r w:rsidRPr="000E5786">
        <w:t xml:space="preserve">) the Supplier shall not incur any Service Credits; (ii) the Supplier shall undertake a root cause analysis of the failure to achieve Target Level and prepare a Remedial Plan; and (iii) the Supplier shall indicate any RAG status for this Service Level as amber for this reporting </w:t>
      </w:r>
      <w:proofErr w:type="gramStart"/>
      <w:r w:rsidRPr="000E5786">
        <w:t>period;</w:t>
      </w:r>
      <w:proofErr w:type="gramEnd"/>
    </w:p>
    <w:p w14:paraId="495D340B" w14:textId="69F13E98" w:rsidR="002B2490" w:rsidRPr="000E5786" w:rsidRDefault="002B2490" w:rsidP="009D675B">
      <w:pPr>
        <w:pStyle w:val="Heading3"/>
        <w:numPr>
          <w:ilvl w:val="2"/>
          <w:numId w:val="138"/>
        </w:numPr>
      </w:pPr>
      <w:r w:rsidRPr="000E5786">
        <w:t>where the Minimum Level is not met: (</w:t>
      </w:r>
      <w:proofErr w:type="spellStart"/>
      <w:r w:rsidRPr="000E5786">
        <w:t>i</w:t>
      </w:r>
      <w:proofErr w:type="spellEnd"/>
      <w:r w:rsidRPr="000E5786">
        <w:t xml:space="preserve">) a proportion of the At-Risk Value for that Service Level is designated as Service Credits, the proportion being determined according to where the achieved measure is in relation to the Minimum Level (0% of the At-Risk Value for the Service Level) and the Service Credit Boundary Level  on a linear basis; (ii) the Supplier shall undertake a root cause analysis of the failure to achieve Target Level and prepare a Remedial Plan; and (iii) the Supplier shall indicate any RAG status for this Service Level as red for this reporting period; </w:t>
      </w:r>
    </w:p>
    <w:p w14:paraId="17A25B72" w14:textId="474006B4" w:rsidR="002B2490" w:rsidRPr="000E5786" w:rsidRDefault="002B2490" w:rsidP="00B26A5F">
      <w:pPr>
        <w:pStyle w:val="Heading4"/>
        <w:numPr>
          <w:ilvl w:val="0"/>
          <w:numId w:val="0"/>
        </w:numPr>
        <w:spacing w:after="120"/>
        <w:ind w:left="1702"/>
        <w:rPr>
          <w:rFonts w:cs="Arial"/>
          <w:szCs w:val="20"/>
        </w:rPr>
      </w:pPr>
      <w:r w:rsidRPr="000E5786">
        <w:rPr>
          <w:rFonts w:cs="Arial"/>
          <w:szCs w:val="20"/>
        </w:rPr>
        <w:t xml:space="preserve">As an example, a </w:t>
      </w:r>
      <w:r w:rsidR="003623C9">
        <w:rPr>
          <w:rFonts w:cs="Arial"/>
          <w:szCs w:val="20"/>
        </w:rPr>
        <w:t xml:space="preserve">hypothetical </w:t>
      </w:r>
      <w:r w:rsidRPr="000E5786">
        <w:rPr>
          <w:rFonts w:cs="Arial"/>
          <w:szCs w:val="20"/>
        </w:rPr>
        <w:t>Service Level has a Minimum Level set at 70% and a Service Credit Boundary Level set at 30%.  If the achieved performance level is 60%, it is positioned is three quarters of the way between 70% and 30% and therefore equivalent to 75% of the At-Risk Value for that Service Level.  Therefore, the Service Credit is calculated as 25% of the At-Risk Value.</w:t>
      </w:r>
    </w:p>
    <w:p w14:paraId="4A9AE8E6" w14:textId="66FB3B83" w:rsidR="002B2490" w:rsidRPr="000E5786" w:rsidRDefault="002B2490" w:rsidP="009D675B">
      <w:pPr>
        <w:pStyle w:val="Heading3"/>
        <w:numPr>
          <w:ilvl w:val="2"/>
          <w:numId w:val="138"/>
        </w:numPr>
      </w:pPr>
      <w:r w:rsidRPr="000E5786">
        <w:t>where the Service Credit Boundary Level is not met: (</w:t>
      </w:r>
      <w:proofErr w:type="spellStart"/>
      <w:r w:rsidRPr="000E5786">
        <w:t>i</w:t>
      </w:r>
      <w:proofErr w:type="spellEnd"/>
      <w:r w:rsidRPr="000E5786">
        <w:t>) 100% of the At-Risk Value for that Service Level is designated as Service Credits; (ii) the Supplier shall undertake a root cause analysis of the failure to achieve Target Level and prepare a Remedial Plan; and (iii) the Supplier shall indicate any RAG status for this Service Level as Black for this reporting period.</w:t>
      </w:r>
    </w:p>
    <w:p w14:paraId="6941E3A0" w14:textId="77777777" w:rsidR="00407A01" w:rsidRPr="000E5786" w:rsidRDefault="00407A01" w:rsidP="009D675B">
      <w:pPr>
        <w:pStyle w:val="Heading3"/>
        <w:numPr>
          <w:ilvl w:val="2"/>
          <w:numId w:val="138"/>
        </w:numPr>
      </w:pPr>
    </w:p>
    <w:p w14:paraId="33E59A25" w14:textId="77777777" w:rsidR="002B2490" w:rsidRPr="000E5786" w:rsidRDefault="002B2490" w:rsidP="009D675B">
      <w:pPr>
        <w:pStyle w:val="Heading1"/>
        <w:numPr>
          <w:ilvl w:val="0"/>
          <w:numId w:val="138"/>
        </w:numPr>
        <w:spacing w:after="120"/>
        <w:rPr>
          <w:rFonts w:cs="Arial"/>
          <w:szCs w:val="20"/>
        </w:rPr>
      </w:pPr>
      <w:bookmarkStart w:id="2341" w:name="_Toc277002252"/>
      <w:r w:rsidRPr="000E5786">
        <w:rPr>
          <w:rFonts w:cs="Arial"/>
          <w:szCs w:val="20"/>
          <w:lang w:val="en-US"/>
        </w:rPr>
        <w:t xml:space="preserve">Service </w:t>
      </w:r>
      <w:r w:rsidRPr="000E5786">
        <w:rPr>
          <w:rFonts w:cs="Arial"/>
          <w:szCs w:val="20"/>
        </w:rPr>
        <w:t>Credit</w:t>
      </w:r>
      <w:r w:rsidRPr="000E5786">
        <w:rPr>
          <w:rFonts w:cs="Arial"/>
          <w:szCs w:val="20"/>
          <w:lang w:val="en-US"/>
        </w:rPr>
        <w:t xml:space="preserve"> Cap</w:t>
      </w:r>
    </w:p>
    <w:p w14:paraId="0A574813" w14:textId="4F26F8D1" w:rsidR="002B2490" w:rsidRPr="000E5786" w:rsidRDefault="002B2490" w:rsidP="002B2490">
      <w:pPr>
        <w:pStyle w:val="Heading2"/>
        <w:numPr>
          <w:ilvl w:val="0"/>
          <w:numId w:val="0"/>
        </w:numPr>
        <w:spacing w:after="120"/>
        <w:ind w:left="709"/>
        <w:rPr>
          <w:rFonts w:cs="Arial"/>
          <w:szCs w:val="20"/>
        </w:rPr>
      </w:pPr>
      <w:r w:rsidRPr="000E5786">
        <w:rPr>
          <w:rFonts w:cs="Arial"/>
          <w:szCs w:val="20"/>
          <w:lang w:val="en-US"/>
        </w:rPr>
        <w:t xml:space="preserve">The total </w:t>
      </w:r>
      <w:r w:rsidRPr="000E5786">
        <w:rPr>
          <w:rFonts w:cs="Arial"/>
          <w:szCs w:val="20"/>
        </w:rPr>
        <w:t>Service</w:t>
      </w:r>
      <w:r w:rsidRPr="000E5786">
        <w:rPr>
          <w:rFonts w:cs="Arial"/>
          <w:szCs w:val="20"/>
          <w:lang w:val="en-US"/>
        </w:rPr>
        <w:t xml:space="preserve"> Credits to be deducted from the Base Charge in </w:t>
      </w:r>
      <w:proofErr w:type="gramStart"/>
      <w:r w:rsidRPr="000E5786">
        <w:rPr>
          <w:rFonts w:cs="Arial"/>
          <w:szCs w:val="20"/>
          <w:lang w:val="en-US"/>
        </w:rPr>
        <w:t>any one</w:t>
      </w:r>
      <w:proofErr w:type="gramEnd"/>
      <w:r w:rsidR="00325E3C">
        <w:rPr>
          <w:rFonts w:cs="Arial"/>
          <w:szCs w:val="20"/>
          <w:lang w:val="en-US"/>
        </w:rPr>
        <w:t xml:space="preserve"> (1)</w:t>
      </w:r>
      <w:r w:rsidRPr="000E5786">
        <w:rPr>
          <w:rFonts w:cs="Arial"/>
          <w:szCs w:val="20"/>
          <w:lang w:val="en-US"/>
        </w:rPr>
        <w:t xml:space="preserve"> </w:t>
      </w:r>
      <w:proofErr w:type="spellStart"/>
      <w:r w:rsidRPr="000E5786">
        <w:rPr>
          <w:rFonts w:cs="Arial"/>
          <w:szCs w:val="20"/>
          <w:lang w:val="en-US"/>
        </w:rPr>
        <w:t>Invoi</w:t>
      </w:r>
      <w:r w:rsidRPr="000E5786">
        <w:rPr>
          <w:rFonts w:cs="Arial"/>
          <w:szCs w:val="20"/>
        </w:rPr>
        <w:t>cing</w:t>
      </w:r>
      <w:proofErr w:type="spellEnd"/>
      <w:r w:rsidRPr="000E5786">
        <w:rPr>
          <w:rFonts w:cs="Arial"/>
          <w:szCs w:val="20"/>
        </w:rPr>
        <w:t xml:space="preserve"> Period shall be capped at the At-risk Value.</w:t>
      </w:r>
    </w:p>
    <w:bookmarkEnd w:id="2325"/>
    <w:bookmarkEnd w:id="2339"/>
    <w:bookmarkEnd w:id="2340"/>
    <w:bookmarkEnd w:id="2341"/>
    <w:p w14:paraId="0DCEC65F" w14:textId="509CDA8A" w:rsidR="00D85F7C" w:rsidRPr="000E5786" w:rsidRDefault="00D85F7C" w:rsidP="00DD60F0">
      <w:pPr>
        <w:rPr>
          <w:rFonts w:eastAsia="Arial" w:cs="Arial"/>
          <w:b/>
          <w:szCs w:val="20"/>
        </w:rPr>
      </w:pPr>
      <w:r w:rsidRPr="000E5786">
        <w:rPr>
          <w:rFonts w:eastAsia="Arial" w:cs="Arial"/>
          <w:b/>
          <w:szCs w:val="20"/>
        </w:rPr>
        <w:br w:type="page"/>
      </w:r>
    </w:p>
    <w:p w14:paraId="59AB2AA1" w14:textId="40746C89" w:rsidR="004C127E" w:rsidRPr="000E5786" w:rsidRDefault="004C127E" w:rsidP="00DD60F0">
      <w:pPr>
        <w:jc w:val="center"/>
        <w:rPr>
          <w:rFonts w:eastAsia="Arial" w:cs="Arial"/>
          <w:b/>
          <w:szCs w:val="20"/>
        </w:rPr>
      </w:pPr>
      <w:r w:rsidRPr="000E5786">
        <w:rPr>
          <w:rFonts w:eastAsia="Arial" w:cs="Arial"/>
          <w:b/>
          <w:szCs w:val="20"/>
        </w:rPr>
        <w:lastRenderedPageBreak/>
        <w:t>SCHEDULE 7.3</w:t>
      </w:r>
    </w:p>
    <w:p w14:paraId="168F489E" w14:textId="33042789" w:rsidR="004C127E" w:rsidRPr="000E5786" w:rsidRDefault="004356D9" w:rsidP="00DD60F0">
      <w:pPr>
        <w:jc w:val="center"/>
        <w:textAlignment w:val="baseline"/>
        <w:rPr>
          <w:rFonts w:eastAsia="Arial" w:cs="Arial"/>
          <w:b/>
          <w:bCs/>
          <w:spacing w:val="-1"/>
          <w:szCs w:val="20"/>
        </w:rPr>
      </w:pPr>
      <w:r w:rsidRPr="000E5786">
        <w:rPr>
          <w:rFonts w:eastAsia="Arial" w:cs="Arial"/>
          <w:b/>
          <w:bCs/>
          <w:spacing w:val="-1"/>
          <w:szCs w:val="20"/>
        </w:rPr>
        <w:t>BENCHMARKING</w:t>
      </w:r>
    </w:p>
    <w:p w14:paraId="6FB0A258" w14:textId="51867326" w:rsidR="00617E9A" w:rsidRPr="000E5786" w:rsidRDefault="004C127E" w:rsidP="009D675B">
      <w:pPr>
        <w:pStyle w:val="Heading1"/>
        <w:numPr>
          <w:ilvl w:val="0"/>
          <w:numId w:val="143"/>
        </w:numPr>
        <w:spacing w:after="120"/>
        <w:rPr>
          <w:rFonts w:eastAsia="Arial" w:cs="Arial"/>
          <w:b w:val="0"/>
          <w:spacing w:val="-4"/>
          <w:szCs w:val="20"/>
        </w:rPr>
      </w:pPr>
      <w:r w:rsidRPr="000E5786">
        <w:rPr>
          <w:rFonts w:cs="Arial"/>
          <w:szCs w:val="20"/>
        </w:rPr>
        <w:t>DEFINITIONS</w:t>
      </w:r>
    </w:p>
    <w:p w14:paraId="2A3ECBDE" w14:textId="5166FE21" w:rsidR="00617E9A" w:rsidRPr="000E5786" w:rsidRDefault="00617E9A" w:rsidP="009D675B">
      <w:pPr>
        <w:pStyle w:val="Heading2"/>
        <w:numPr>
          <w:ilvl w:val="1"/>
          <w:numId w:val="143"/>
        </w:numPr>
        <w:spacing w:after="120"/>
        <w:rPr>
          <w:rFonts w:eastAsia="Arial" w:cs="Arial"/>
          <w:szCs w:val="20"/>
          <w:lang w:val="en-US" w:eastAsia="en-US"/>
        </w:rPr>
      </w:pPr>
      <w:r w:rsidRPr="000E5786">
        <w:rPr>
          <w:rFonts w:eastAsia="Arial" w:cs="Arial"/>
          <w:szCs w:val="20"/>
          <w:lang w:val="en-US" w:eastAsia="en-US"/>
        </w:rPr>
        <w:t xml:space="preserve">In </w:t>
      </w:r>
      <w:r w:rsidRPr="000E5786">
        <w:rPr>
          <w:rFonts w:cs="Arial"/>
          <w:szCs w:val="20"/>
        </w:rPr>
        <w:t>this</w:t>
      </w:r>
      <w:r w:rsidRPr="000E5786">
        <w:rPr>
          <w:rFonts w:eastAsia="Arial" w:cs="Arial"/>
          <w:szCs w:val="20"/>
          <w:lang w:val="en-US" w:eastAsia="en-US"/>
        </w:rPr>
        <w:t xml:space="preserve"> </w:t>
      </w:r>
      <w:r w:rsidRPr="000E5786">
        <w:rPr>
          <w:rFonts w:cs="Arial"/>
          <w:szCs w:val="20"/>
        </w:rPr>
        <w:t>Schedule</w:t>
      </w:r>
      <w:r w:rsidRPr="000E5786">
        <w:rPr>
          <w:rFonts w:eastAsia="Arial" w:cs="Arial"/>
          <w:szCs w:val="20"/>
          <w:lang w:val="en-US" w:eastAsia="en-US"/>
        </w:rPr>
        <w:t>, the following definitions shall apply:</w:t>
      </w:r>
    </w:p>
    <w:tbl>
      <w:tblPr>
        <w:tblStyle w:val="TableGrid0"/>
        <w:tblW w:w="8363"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528"/>
      </w:tblGrid>
      <w:tr w:rsidR="002B67C3" w14:paraId="5A01079F" w14:textId="77777777" w:rsidTr="007568F4">
        <w:tc>
          <w:tcPr>
            <w:tcW w:w="2835" w:type="dxa"/>
          </w:tcPr>
          <w:p w14:paraId="2EDABEDE" w14:textId="0B2E0836" w:rsidR="002B67C3" w:rsidRPr="007568F4" w:rsidRDefault="002B67C3" w:rsidP="007568F4">
            <w:pPr>
              <w:tabs>
                <w:tab w:val="left" w:pos="792"/>
              </w:tabs>
              <w:ind w:left="27" w:firstLine="0"/>
              <w:textAlignment w:val="baseline"/>
              <w:rPr>
                <w:rFonts w:ascii="Arial" w:eastAsia="Arial" w:hAnsi="Arial" w:cs="Arial"/>
                <w:sz w:val="20"/>
                <w:szCs w:val="20"/>
                <w:lang w:val="en-US"/>
              </w:rPr>
            </w:pPr>
            <w:r w:rsidRPr="007568F4">
              <w:rPr>
                <w:rFonts w:ascii="Arial" w:eastAsia="Arial" w:hAnsi="Arial" w:cs="Arial"/>
                <w:b/>
                <w:sz w:val="20"/>
                <w:szCs w:val="20"/>
                <w:lang w:val="en-US"/>
              </w:rPr>
              <w:t>“Benchmarked Service”</w:t>
            </w:r>
          </w:p>
        </w:tc>
        <w:tc>
          <w:tcPr>
            <w:tcW w:w="5528" w:type="dxa"/>
          </w:tcPr>
          <w:p w14:paraId="18D90E29" w14:textId="7F59ACAE" w:rsidR="002B67C3" w:rsidRPr="007568F4" w:rsidRDefault="002B67C3" w:rsidP="007568F4">
            <w:pPr>
              <w:tabs>
                <w:tab w:val="left" w:pos="792"/>
              </w:tabs>
              <w:ind w:left="0" w:firstLine="0"/>
              <w:textAlignment w:val="baseline"/>
              <w:rPr>
                <w:rFonts w:ascii="Arial" w:eastAsia="Arial" w:hAnsi="Arial" w:cs="Arial"/>
                <w:sz w:val="20"/>
                <w:szCs w:val="20"/>
                <w:lang w:val="en-US"/>
              </w:rPr>
            </w:pPr>
            <w:r w:rsidRPr="007568F4">
              <w:rPr>
                <w:rFonts w:ascii="Arial" w:eastAsia="Arial" w:hAnsi="Arial" w:cs="Arial"/>
                <w:sz w:val="20"/>
                <w:szCs w:val="20"/>
                <w:lang w:val="en-US"/>
              </w:rPr>
              <w:t xml:space="preserve">a Service that </w:t>
            </w:r>
            <w:proofErr w:type="spellStart"/>
            <w:r w:rsidR="001F1C19">
              <w:rPr>
                <w:rFonts w:ascii="Arial" w:eastAsia="Arial" w:hAnsi="Arial" w:cs="Arial"/>
                <w:sz w:val="20"/>
                <w:szCs w:val="20"/>
                <w:lang w:val="en-US"/>
              </w:rPr>
              <w:t>Netlink</w:t>
            </w:r>
            <w:proofErr w:type="spellEnd"/>
            <w:r w:rsidR="001F1C19">
              <w:rPr>
                <w:rFonts w:ascii="Arial" w:eastAsia="Arial" w:hAnsi="Arial" w:cs="Arial"/>
                <w:sz w:val="20"/>
                <w:szCs w:val="20"/>
                <w:lang w:val="en-US"/>
              </w:rPr>
              <w:t xml:space="preserve"> Star</w:t>
            </w:r>
            <w:r w:rsidRPr="007568F4">
              <w:rPr>
                <w:rFonts w:ascii="Arial" w:eastAsia="Arial" w:hAnsi="Arial" w:cs="Arial"/>
                <w:sz w:val="20"/>
                <w:szCs w:val="20"/>
                <w:lang w:val="en-US"/>
              </w:rPr>
              <w:t xml:space="preserve"> elects to include in a</w:t>
            </w:r>
            <w:r w:rsidRPr="007568F4">
              <w:rPr>
                <w:rFonts w:ascii="Arial" w:eastAsia="Arial" w:hAnsi="Arial" w:cs="Arial"/>
                <w:b/>
                <w:sz w:val="20"/>
                <w:szCs w:val="20"/>
                <w:lang w:val="en-US"/>
              </w:rPr>
              <w:t xml:space="preserve"> </w:t>
            </w:r>
            <w:r w:rsidRPr="007568F4">
              <w:rPr>
                <w:rFonts w:ascii="Arial" w:eastAsia="Arial" w:hAnsi="Arial" w:cs="Arial"/>
                <w:sz w:val="20"/>
                <w:szCs w:val="20"/>
                <w:lang w:val="en-US"/>
              </w:rPr>
              <w:t>Benchmark Review under Paragraph 2.3;</w:t>
            </w:r>
          </w:p>
        </w:tc>
      </w:tr>
      <w:tr w:rsidR="002B67C3" w14:paraId="162EAFF1" w14:textId="77777777" w:rsidTr="007568F4">
        <w:tc>
          <w:tcPr>
            <w:tcW w:w="2835" w:type="dxa"/>
          </w:tcPr>
          <w:p w14:paraId="748E3899" w14:textId="388018DB" w:rsidR="002B67C3" w:rsidRPr="007568F4" w:rsidRDefault="002B67C3" w:rsidP="007568F4">
            <w:pPr>
              <w:tabs>
                <w:tab w:val="left" w:pos="792"/>
              </w:tabs>
              <w:ind w:left="0" w:firstLine="0"/>
              <w:textAlignment w:val="baseline"/>
              <w:rPr>
                <w:rFonts w:ascii="Arial" w:eastAsia="Arial" w:hAnsi="Arial" w:cs="Arial"/>
                <w:sz w:val="20"/>
                <w:szCs w:val="20"/>
                <w:lang w:val="en-US"/>
              </w:rPr>
            </w:pPr>
          </w:p>
        </w:tc>
        <w:tc>
          <w:tcPr>
            <w:tcW w:w="5528" w:type="dxa"/>
          </w:tcPr>
          <w:p w14:paraId="0F1E3D9F" w14:textId="18FB4ABF" w:rsidR="002B67C3" w:rsidRPr="007568F4" w:rsidRDefault="002B67C3" w:rsidP="007568F4">
            <w:pPr>
              <w:tabs>
                <w:tab w:val="left" w:pos="792"/>
              </w:tabs>
              <w:ind w:left="0" w:firstLine="0"/>
              <w:textAlignment w:val="baseline"/>
              <w:rPr>
                <w:rFonts w:ascii="Arial" w:eastAsia="Arial" w:hAnsi="Arial" w:cs="Arial"/>
                <w:sz w:val="20"/>
                <w:szCs w:val="20"/>
                <w:lang w:val="en-US"/>
              </w:rPr>
            </w:pPr>
          </w:p>
        </w:tc>
      </w:tr>
      <w:tr w:rsidR="002B67C3" w14:paraId="4FDC13FB" w14:textId="77777777" w:rsidTr="007568F4">
        <w:tc>
          <w:tcPr>
            <w:tcW w:w="2835" w:type="dxa"/>
          </w:tcPr>
          <w:p w14:paraId="1820665A" w14:textId="42826CFB" w:rsidR="002B67C3" w:rsidRPr="007568F4" w:rsidRDefault="002B67C3" w:rsidP="007568F4">
            <w:pPr>
              <w:tabs>
                <w:tab w:val="left" w:pos="792"/>
              </w:tabs>
              <w:ind w:left="0" w:firstLine="0"/>
              <w:textAlignment w:val="baseline"/>
              <w:rPr>
                <w:rFonts w:ascii="Arial" w:eastAsia="Arial" w:hAnsi="Arial" w:cs="Arial"/>
                <w:sz w:val="20"/>
                <w:szCs w:val="20"/>
                <w:lang w:val="en-US"/>
              </w:rPr>
            </w:pPr>
            <w:r w:rsidRPr="007568F4">
              <w:rPr>
                <w:rFonts w:ascii="Arial" w:eastAsia="Arial" w:hAnsi="Arial" w:cs="Arial"/>
                <w:b/>
                <w:sz w:val="20"/>
                <w:szCs w:val="20"/>
                <w:lang w:val="en-US"/>
              </w:rPr>
              <w:t>“Benchmark Report”</w:t>
            </w:r>
          </w:p>
        </w:tc>
        <w:tc>
          <w:tcPr>
            <w:tcW w:w="5528" w:type="dxa"/>
          </w:tcPr>
          <w:p w14:paraId="2E034E35" w14:textId="55BA3306" w:rsidR="002B67C3" w:rsidRPr="007568F4" w:rsidRDefault="002B67C3" w:rsidP="007568F4">
            <w:pPr>
              <w:tabs>
                <w:tab w:val="left" w:pos="792"/>
              </w:tabs>
              <w:ind w:left="0" w:firstLine="0"/>
              <w:textAlignment w:val="baseline"/>
              <w:rPr>
                <w:rFonts w:ascii="Arial" w:eastAsia="Arial" w:hAnsi="Arial" w:cs="Arial"/>
                <w:sz w:val="20"/>
                <w:szCs w:val="20"/>
                <w:lang w:val="en-US"/>
              </w:rPr>
            </w:pPr>
            <w:r w:rsidRPr="007568F4">
              <w:rPr>
                <w:rFonts w:ascii="Arial" w:eastAsia="Arial" w:hAnsi="Arial" w:cs="Arial"/>
                <w:sz w:val="20"/>
                <w:szCs w:val="20"/>
                <w:lang w:val="en-US"/>
              </w:rPr>
              <w:t xml:space="preserve">the report produced by the </w:t>
            </w:r>
            <w:proofErr w:type="spellStart"/>
            <w:r w:rsidRPr="007568F4">
              <w:rPr>
                <w:rFonts w:ascii="Arial" w:eastAsia="Arial" w:hAnsi="Arial" w:cs="Arial"/>
                <w:sz w:val="20"/>
                <w:szCs w:val="20"/>
                <w:lang w:val="en-US"/>
              </w:rPr>
              <w:t>Benchmarker</w:t>
            </w:r>
            <w:proofErr w:type="spellEnd"/>
            <w:r w:rsidRPr="007568F4">
              <w:rPr>
                <w:rFonts w:ascii="Arial" w:eastAsia="Arial" w:hAnsi="Arial" w:cs="Arial"/>
                <w:sz w:val="20"/>
                <w:szCs w:val="20"/>
                <w:lang w:val="en-US"/>
              </w:rPr>
              <w:t xml:space="preserve"> following the Benchmark Review as further described in Paragraph 5;</w:t>
            </w:r>
          </w:p>
        </w:tc>
      </w:tr>
      <w:tr w:rsidR="002B67C3" w14:paraId="04F1CD97" w14:textId="77777777" w:rsidTr="007568F4">
        <w:tc>
          <w:tcPr>
            <w:tcW w:w="2835" w:type="dxa"/>
          </w:tcPr>
          <w:p w14:paraId="48F75E06" w14:textId="3C5460BE" w:rsidR="002B67C3" w:rsidRPr="007568F4" w:rsidRDefault="002B67C3" w:rsidP="007568F4">
            <w:pPr>
              <w:tabs>
                <w:tab w:val="left" w:pos="792"/>
              </w:tabs>
              <w:ind w:left="0" w:firstLine="0"/>
              <w:textAlignment w:val="baseline"/>
              <w:rPr>
                <w:rFonts w:ascii="Arial" w:eastAsia="Arial" w:hAnsi="Arial" w:cs="Arial"/>
                <w:sz w:val="20"/>
                <w:szCs w:val="20"/>
                <w:lang w:val="en-US"/>
              </w:rPr>
            </w:pPr>
            <w:r w:rsidRPr="007568F4">
              <w:rPr>
                <w:rFonts w:ascii="Arial" w:eastAsia="Arial" w:hAnsi="Arial" w:cs="Arial"/>
                <w:b/>
                <w:sz w:val="20"/>
                <w:szCs w:val="20"/>
                <w:lang w:val="en-US"/>
              </w:rPr>
              <w:t>“Benchmark Review”</w:t>
            </w:r>
          </w:p>
        </w:tc>
        <w:tc>
          <w:tcPr>
            <w:tcW w:w="5528" w:type="dxa"/>
          </w:tcPr>
          <w:p w14:paraId="54DEDDDA" w14:textId="77C8A83C" w:rsidR="002B67C3" w:rsidRPr="007568F4" w:rsidRDefault="002B67C3" w:rsidP="007568F4">
            <w:pPr>
              <w:tabs>
                <w:tab w:val="left" w:pos="792"/>
              </w:tabs>
              <w:ind w:left="0" w:firstLine="0"/>
              <w:textAlignment w:val="baseline"/>
              <w:rPr>
                <w:rFonts w:ascii="Arial" w:eastAsia="Arial" w:hAnsi="Arial" w:cs="Arial"/>
                <w:sz w:val="20"/>
                <w:szCs w:val="20"/>
                <w:lang w:val="en-US"/>
              </w:rPr>
            </w:pPr>
            <w:r w:rsidRPr="007568F4">
              <w:rPr>
                <w:rFonts w:ascii="Arial" w:eastAsia="Arial" w:hAnsi="Arial" w:cs="Arial"/>
                <w:sz w:val="20"/>
                <w:szCs w:val="20"/>
                <w:lang w:val="en-US"/>
              </w:rPr>
              <w:t>a review of one (1) or more of the Services carried out in accordance with Paragraph 4 to determine whether those Services represent Good Value;</w:t>
            </w:r>
          </w:p>
        </w:tc>
      </w:tr>
      <w:tr w:rsidR="007568F4" w14:paraId="35F7A307" w14:textId="77777777" w:rsidTr="007568F4">
        <w:tc>
          <w:tcPr>
            <w:tcW w:w="2835" w:type="dxa"/>
          </w:tcPr>
          <w:p w14:paraId="0FF7BE8E" w14:textId="23F3A4E2" w:rsidR="007568F4" w:rsidRPr="007568F4" w:rsidRDefault="007568F4" w:rsidP="007568F4">
            <w:pPr>
              <w:tabs>
                <w:tab w:val="left" w:pos="792"/>
              </w:tabs>
              <w:ind w:left="0" w:firstLine="0"/>
              <w:textAlignment w:val="baseline"/>
              <w:rPr>
                <w:rFonts w:eastAsia="Arial" w:cs="Arial"/>
                <w:b/>
                <w:szCs w:val="20"/>
                <w:lang w:val="en-US"/>
              </w:rPr>
            </w:pPr>
            <w:r w:rsidRPr="007568F4">
              <w:rPr>
                <w:rFonts w:ascii="Arial" w:eastAsia="Arial" w:hAnsi="Arial" w:cs="Arial"/>
                <w:b/>
                <w:sz w:val="20"/>
                <w:szCs w:val="20"/>
                <w:lang w:val="en-US"/>
              </w:rPr>
              <w:t>“</w:t>
            </w:r>
            <w:proofErr w:type="spellStart"/>
            <w:r w:rsidRPr="007568F4">
              <w:rPr>
                <w:rFonts w:ascii="Arial" w:eastAsia="Arial" w:hAnsi="Arial" w:cs="Arial"/>
                <w:b/>
                <w:sz w:val="20"/>
                <w:szCs w:val="20"/>
                <w:lang w:val="en-US"/>
              </w:rPr>
              <w:t>Benchmarker</w:t>
            </w:r>
            <w:proofErr w:type="spellEnd"/>
            <w:r w:rsidRPr="007568F4">
              <w:rPr>
                <w:rFonts w:ascii="Arial" w:eastAsia="Arial" w:hAnsi="Arial" w:cs="Arial"/>
                <w:b/>
                <w:sz w:val="20"/>
                <w:szCs w:val="20"/>
                <w:lang w:val="en-US"/>
              </w:rPr>
              <w:t>”</w:t>
            </w:r>
          </w:p>
        </w:tc>
        <w:tc>
          <w:tcPr>
            <w:tcW w:w="5528" w:type="dxa"/>
          </w:tcPr>
          <w:p w14:paraId="2E560B2E" w14:textId="55094712" w:rsidR="007568F4" w:rsidRPr="007568F4" w:rsidRDefault="007568F4" w:rsidP="007568F4">
            <w:pPr>
              <w:tabs>
                <w:tab w:val="left" w:pos="792"/>
              </w:tabs>
              <w:ind w:left="0" w:firstLine="0"/>
              <w:textAlignment w:val="baseline"/>
              <w:rPr>
                <w:rFonts w:eastAsia="Arial" w:cs="Arial"/>
                <w:szCs w:val="20"/>
                <w:lang w:val="en-US"/>
              </w:rPr>
            </w:pPr>
            <w:r w:rsidRPr="007568F4">
              <w:rPr>
                <w:rFonts w:ascii="Arial" w:eastAsia="Arial" w:hAnsi="Arial" w:cs="Arial"/>
                <w:sz w:val="20"/>
                <w:szCs w:val="20"/>
                <w:lang w:val="en-US"/>
              </w:rPr>
              <w:t>the independent third party appointed under Paragraph 3.1;</w:t>
            </w:r>
          </w:p>
        </w:tc>
      </w:tr>
      <w:tr w:rsidR="007568F4" w14:paraId="017E6890" w14:textId="77777777" w:rsidTr="007568F4">
        <w:tc>
          <w:tcPr>
            <w:tcW w:w="2835" w:type="dxa"/>
          </w:tcPr>
          <w:p w14:paraId="4B68C1B8" w14:textId="270A4C56" w:rsidR="007568F4" w:rsidRPr="007568F4" w:rsidRDefault="007568F4" w:rsidP="007568F4">
            <w:pPr>
              <w:tabs>
                <w:tab w:val="left" w:pos="792"/>
              </w:tabs>
              <w:ind w:left="0" w:firstLine="0"/>
              <w:textAlignment w:val="baseline"/>
              <w:rPr>
                <w:rFonts w:ascii="Arial" w:eastAsia="Arial" w:hAnsi="Arial" w:cs="Arial"/>
                <w:sz w:val="20"/>
                <w:szCs w:val="20"/>
                <w:lang w:val="en-US"/>
              </w:rPr>
            </w:pPr>
            <w:r w:rsidRPr="007568F4">
              <w:rPr>
                <w:rFonts w:ascii="Arial" w:eastAsia="Arial" w:hAnsi="Arial" w:cs="Arial"/>
                <w:b/>
                <w:spacing w:val="-1"/>
                <w:sz w:val="20"/>
                <w:szCs w:val="20"/>
                <w:lang w:val="en-US"/>
              </w:rPr>
              <w:t>“Comparable Service”</w:t>
            </w:r>
          </w:p>
        </w:tc>
        <w:tc>
          <w:tcPr>
            <w:tcW w:w="5528" w:type="dxa"/>
          </w:tcPr>
          <w:p w14:paraId="0CDC7B9A" w14:textId="65E210D1" w:rsidR="007568F4" w:rsidRPr="007568F4" w:rsidRDefault="007568F4" w:rsidP="007568F4">
            <w:pPr>
              <w:tabs>
                <w:tab w:val="left" w:pos="792"/>
              </w:tabs>
              <w:ind w:left="0" w:firstLine="0"/>
              <w:textAlignment w:val="baseline"/>
              <w:rPr>
                <w:rFonts w:ascii="Arial" w:eastAsia="Arial" w:hAnsi="Arial" w:cs="Arial"/>
                <w:sz w:val="20"/>
                <w:szCs w:val="20"/>
                <w:lang w:val="en-US"/>
              </w:rPr>
            </w:pPr>
            <w:r w:rsidRPr="007568F4">
              <w:rPr>
                <w:rFonts w:ascii="Arial" w:eastAsia="Arial" w:hAnsi="Arial" w:cs="Arial"/>
                <w:spacing w:val="-1"/>
                <w:sz w:val="20"/>
                <w:szCs w:val="20"/>
                <w:lang w:val="en-US"/>
              </w:rPr>
              <w:t xml:space="preserve">in relation to a Benchmarked Service, a service that is identical or materially </w:t>
            </w:r>
            <w:proofErr w:type="gramStart"/>
            <w:r w:rsidRPr="007568F4">
              <w:rPr>
                <w:rFonts w:ascii="Arial" w:eastAsia="Arial" w:hAnsi="Arial" w:cs="Arial"/>
                <w:spacing w:val="-1"/>
                <w:sz w:val="20"/>
                <w:szCs w:val="20"/>
                <w:lang w:val="en-US"/>
              </w:rPr>
              <w:t>similar to</w:t>
            </w:r>
            <w:proofErr w:type="gramEnd"/>
            <w:r w:rsidRPr="007568F4">
              <w:rPr>
                <w:rFonts w:ascii="Arial" w:eastAsia="Arial" w:hAnsi="Arial" w:cs="Arial"/>
                <w:spacing w:val="-1"/>
                <w:sz w:val="20"/>
                <w:szCs w:val="20"/>
                <w:lang w:val="en-US"/>
              </w:rPr>
              <w:t xml:space="preserve"> the Benchmarked Service (including in terms of scope, specification, volume and quality of performance);</w:t>
            </w:r>
          </w:p>
        </w:tc>
      </w:tr>
      <w:tr w:rsidR="007568F4" w14:paraId="730801A9" w14:textId="77777777" w:rsidTr="007568F4">
        <w:tc>
          <w:tcPr>
            <w:tcW w:w="2835" w:type="dxa"/>
          </w:tcPr>
          <w:p w14:paraId="697E16D4" w14:textId="78EFC9F6" w:rsidR="007568F4" w:rsidRPr="007568F4" w:rsidRDefault="007568F4" w:rsidP="007568F4">
            <w:pPr>
              <w:tabs>
                <w:tab w:val="left" w:pos="792"/>
              </w:tabs>
              <w:ind w:left="0" w:firstLine="0"/>
              <w:jc w:val="left"/>
              <w:textAlignment w:val="baseline"/>
              <w:rPr>
                <w:rFonts w:ascii="Arial" w:eastAsia="Arial" w:hAnsi="Arial" w:cs="Arial"/>
                <w:sz w:val="20"/>
                <w:szCs w:val="20"/>
                <w:lang w:val="en-US"/>
              </w:rPr>
            </w:pPr>
            <w:r w:rsidRPr="007568F4">
              <w:rPr>
                <w:rFonts w:ascii="Arial" w:eastAsia="Arial" w:hAnsi="Arial" w:cs="Arial"/>
                <w:b/>
                <w:sz w:val="20"/>
                <w:szCs w:val="20"/>
                <w:lang w:val="en-US"/>
              </w:rPr>
              <w:t>“Comparison Group”</w:t>
            </w:r>
          </w:p>
        </w:tc>
        <w:tc>
          <w:tcPr>
            <w:tcW w:w="5528" w:type="dxa"/>
          </w:tcPr>
          <w:p w14:paraId="253EBDE7" w14:textId="7B6F3C0D" w:rsidR="007568F4" w:rsidRPr="007568F4" w:rsidRDefault="007568F4" w:rsidP="007568F4">
            <w:pPr>
              <w:tabs>
                <w:tab w:val="left" w:pos="792"/>
              </w:tabs>
              <w:ind w:left="0" w:firstLine="0"/>
              <w:textAlignment w:val="baseline"/>
              <w:rPr>
                <w:rFonts w:ascii="Arial" w:eastAsia="Arial" w:hAnsi="Arial" w:cs="Arial"/>
                <w:sz w:val="20"/>
                <w:szCs w:val="20"/>
                <w:lang w:val="en-US"/>
              </w:rPr>
            </w:pPr>
            <w:r w:rsidRPr="007568F4">
              <w:rPr>
                <w:rFonts w:ascii="Arial" w:eastAsia="Arial" w:hAnsi="Arial" w:cs="Arial"/>
                <w:sz w:val="20"/>
                <w:szCs w:val="20"/>
                <w:lang w:val="en-US"/>
              </w:rPr>
              <w:t xml:space="preserve">in relation to a Comparable Service, a sample group of </w:t>
            </w:r>
            <w:proofErr w:type="spellStart"/>
            <w:r w:rsidRPr="007568F4">
              <w:rPr>
                <w:rFonts w:ascii="Arial" w:eastAsia="Arial" w:hAnsi="Arial" w:cs="Arial"/>
                <w:sz w:val="20"/>
                <w:szCs w:val="20"/>
                <w:lang w:val="en-US"/>
              </w:rPr>
              <w:t>organisations</w:t>
            </w:r>
            <w:proofErr w:type="spellEnd"/>
            <w:r w:rsidRPr="007568F4">
              <w:rPr>
                <w:rFonts w:ascii="Arial" w:eastAsia="Arial" w:hAnsi="Arial" w:cs="Arial"/>
                <w:sz w:val="20"/>
                <w:szCs w:val="20"/>
                <w:lang w:val="en-US"/>
              </w:rPr>
              <w:t xml:space="preserve"> providing the Comparable Service identified by the </w:t>
            </w:r>
            <w:proofErr w:type="spellStart"/>
            <w:r w:rsidRPr="007568F4">
              <w:rPr>
                <w:rFonts w:ascii="Arial" w:eastAsia="Arial" w:hAnsi="Arial" w:cs="Arial"/>
                <w:sz w:val="20"/>
                <w:szCs w:val="20"/>
                <w:lang w:val="en-US"/>
              </w:rPr>
              <w:t>Benchmarker</w:t>
            </w:r>
            <w:proofErr w:type="spellEnd"/>
            <w:r w:rsidRPr="007568F4">
              <w:rPr>
                <w:rFonts w:ascii="Arial" w:eastAsia="Arial" w:hAnsi="Arial" w:cs="Arial"/>
                <w:sz w:val="20"/>
                <w:szCs w:val="20"/>
                <w:lang w:val="en-US"/>
              </w:rPr>
              <w:t xml:space="preserve"> under Paragraph 4.8 which consists of </w:t>
            </w:r>
            <w:proofErr w:type="spellStart"/>
            <w:r w:rsidRPr="007568F4">
              <w:rPr>
                <w:rFonts w:ascii="Arial" w:eastAsia="Arial" w:hAnsi="Arial" w:cs="Arial"/>
                <w:sz w:val="20"/>
                <w:szCs w:val="20"/>
                <w:lang w:val="en-US"/>
              </w:rPr>
              <w:t>organisations</w:t>
            </w:r>
            <w:proofErr w:type="spellEnd"/>
            <w:r w:rsidRPr="007568F4">
              <w:rPr>
                <w:rFonts w:ascii="Arial" w:eastAsia="Arial" w:hAnsi="Arial" w:cs="Arial"/>
                <w:sz w:val="20"/>
                <w:szCs w:val="20"/>
                <w:lang w:val="en-US"/>
              </w:rPr>
              <w:t xml:space="preserve"> which are either of similar size to the Supplier or which are similarly structured in terms of their business and their service offering so as to be (</w:t>
            </w:r>
            <w:r w:rsidR="00A20CD5">
              <w:rPr>
                <w:rFonts w:ascii="Arial" w:eastAsia="Arial" w:hAnsi="Arial" w:cs="Arial"/>
                <w:sz w:val="20"/>
                <w:szCs w:val="20"/>
                <w:lang w:val="en-US"/>
              </w:rPr>
              <w:t>’</w:t>
            </w:r>
            <w:r w:rsidRPr="007568F4">
              <w:rPr>
                <w:rFonts w:ascii="Arial" w:eastAsia="Arial" w:hAnsi="Arial" w:cs="Arial"/>
                <w:sz w:val="20"/>
                <w:szCs w:val="20"/>
                <w:lang w:val="en-US"/>
              </w:rPr>
              <w:t xml:space="preserve">n the </w:t>
            </w:r>
            <w:proofErr w:type="spellStart"/>
            <w:r w:rsidRPr="007568F4">
              <w:rPr>
                <w:rFonts w:ascii="Arial" w:eastAsia="Arial" w:hAnsi="Arial" w:cs="Arial"/>
                <w:sz w:val="20"/>
                <w:szCs w:val="20"/>
                <w:lang w:val="en-US"/>
              </w:rPr>
              <w:t>Benchmarker's</w:t>
            </w:r>
            <w:proofErr w:type="spellEnd"/>
            <w:r w:rsidRPr="007568F4">
              <w:rPr>
                <w:rFonts w:ascii="Arial" w:eastAsia="Arial" w:hAnsi="Arial" w:cs="Arial"/>
                <w:sz w:val="20"/>
                <w:szCs w:val="20"/>
                <w:lang w:val="en-US"/>
              </w:rPr>
              <w:t xml:space="preserve"> professional opinion) fair comparators with the Supplier or which, in the professional opinion of the </w:t>
            </w:r>
            <w:proofErr w:type="spellStart"/>
            <w:r w:rsidRPr="007568F4">
              <w:rPr>
                <w:rFonts w:ascii="Arial" w:eastAsia="Arial" w:hAnsi="Arial" w:cs="Arial"/>
                <w:sz w:val="20"/>
                <w:szCs w:val="20"/>
                <w:lang w:val="en-US"/>
              </w:rPr>
              <w:t>Benchmarker</w:t>
            </w:r>
            <w:proofErr w:type="spellEnd"/>
            <w:r w:rsidRPr="007568F4">
              <w:rPr>
                <w:rFonts w:ascii="Arial" w:eastAsia="Arial" w:hAnsi="Arial" w:cs="Arial"/>
                <w:sz w:val="20"/>
                <w:szCs w:val="20"/>
                <w:lang w:val="en-US"/>
              </w:rPr>
              <w:t xml:space="preserve">, are best practice </w:t>
            </w:r>
            <w:proofErr w:type="spellStart"/>
            <w:r w:rsidRPr="007568F4">
              <w:rPr>
                <w:rFonts w:ascii="Arial" w:eastAsia="Arial" w:hAnsi="Arial" w:cs="Arial"/>
                <w:sz w:val="20"/>
                <w:szCs w:val="20"/>
                <w:lang w:val="en-US"/>
              </w:rPr>
              <w:t>organisations</w:t>
            </w:r>
            <w:proofErr w:type="spellEnd"/>
            <w:r w:rsidRPr="007568F4">
              <w:rPr>
                <w:rFonts w:ascii="Arial" w:eastAsia="Arial" w:hAnsi="Arial" w:cs="Arial"/>
                <w:sz w:val="20"/>
                <w:szCs w:val="20"/>
                <w:lang w:val="en-US"/>
              </w:rPr>
              <w:t xml:space="preserve"> and, where there are a reasonable number of such </w:t>
            </w:r>
            <w:proofErr w:type="spellStart"/>
            <w:r w:rsidRPr="007568F4">
              <w:rPr>
                <w:rFonts w:ascii="Arial" w:eastAsia="Arial" w:hAnsi="Arial" w:cs="Arial"/>
                <w:sz w:val="20"/>
                <w:szCs w:val="20"/>
                <w:lang w:val="en-US"/>
              </w:rPr>
              <w:t>organisations</w:t>
            </w:r>
            <w:proofErr w:type="spellEnd"/>
            <w:r w:rsidRPr="007568F4">
              <w:rPr>
                <w:rFonts w:ascii="Arial" w:eastAsia="Arial" w:hAnsi="Arial" w:cs="Arial"/>
                <w:sz w:val="20"/>
                <w:szCs w:val="20"/>
                <w:lang w:val="en-US"/>
              </w:rPr>
              <w:t xml:space="preserve">, referencing only those </w:t>
            </w:r>
            <w:proofErr w:type="spellStart"/>
            <w:r w:rsidRPr="007568F4">
              <w:rPr>
                <w:rFonts w:ascii="Arial" w:eastAsia="Arial" w:hAnsi="Arial" w:cs="Arial"/>
                <w:sz w:val="20"/>
                <w:szCs w:val="20"/>
                <w:lang w:val="en-US"/>
              </w:rPr>
              <w:t>organisations</w:t>
            </w:r>
            <w:proofErr w:type="spellEnd"/>
            <w:r w:rsidRPr="007568F4">
              <w:rPr>
                <w:rFonts w:ascii="Arial" w:eastAsia="Arial" w:hAnsi="Arial" w:cs="Arial"/>
                <w:sz w:val="20"/>
                <w:szCs w:val="20"/>
                <w:lang w:val="en-US"/>
              </w:rPr>
              <w:t xml:space="preserve"> that are carrying on at least a significant part of their business within the United Kingdom;</w:t>
            </w:r>
          </w:p>
        </w:tc>
      </w:tr>
      <w:tr w:rsidR="007568F4" w14:paraId="2E204B1D" w14:textId="77777777" w:rsidTr="007568F4">
        <w:tc>
          <w:tcPr>
            <w:tcW w:w="2835" w:type="dxa"/>
          </w:tcPr>
          <w:p w14:paraId="100C30BA" w14:textId="77777777" w:rsidR="007568F4" w:rsidRPr="007568F4" w:rsidRDefault="007568F4" w:rsidP="007568F4">
            <w:pPr>
              <w:tabs>
                <w:tab w:val="left" w:pos="792"/>
              </w:tabs>
              <w:ind w:left="0" w:firstLine="0"/>
              <w:jc w:val="left"/>
              <w:textAlignment w:val="baseline"/>
              <w:rPr>
                <w:rFonts w:ascii="Arial" w:eastAsia="Arial" w:hAnsi="Arial" w:cs="Arial"/>
                <w:b/>
                <w:sz w:val="20"/>
                <w:szCs w:val="20"/>
                <w:lang w:val="en-US"/>
              </w:rPr>
            </w:pPr>
            <w:r w:rsidRPr="007568F4">
              <w:rPr>
                <w:rFonts w:ascii="Arial" w:eastAsia="Arial" w:hAnsi="Arial" w:cs="Arial"/>
                <w:b/>
                <w:sz w:val="20"/>
                <w:szCs w:val="20"/>
                <w:lang w:val="en-US"/>
              </w:rPr>
              <w:t>“Equivalent Services Data”</w:t>
            </w:r>
          </w:p>
          <w:p w14:paraId="153499D2" w14:textId="77777777" w:rsidR="007568F4" w:rsidRPr="007568F4" w:rsidRDefault="007568F4" w:rsidP="007568F4">
            <w:pPr>
              <w:tabs>
                <w:tab w:val="left" w:pos="792"/>
              </w:tabs>
              <w:ind w:left="0" w:firstLine="0"/>
              <w:textAlignment w:val="baseline"/>
              <w:rPr>
                <w:rFonts w:ascii="Arial" w:eastAsia="Arial" w:hAnsi="Arial" w:cs="Arial"/>
                <w:sz w:val="20"/>
                <w:szCs w:val="20"/>
                <w:lang w:val="en-US"/>
              </w:rPr>
            </w:pPr>
          </w:p>
        </w:tc>
        <w:tc>
          <w:tcPr>
            <w:tcW w:w="5528" w:type="dxa"/>
          </w:tcPr>
          <w:p w14:paraId="1DFDD6A5" w14:textId="445D833A" w:rsidR="007568F4" w:rsidRPr="007568F4" w:rsidRDefault="007568F4" w:rsidP="007568F4">
            <w:pPr>
              <w:tabs>
                <w:tab w:val="left" w:pos="792"/>
              </w:tabs>
              <w:ind w:left="0" w:firstLine="0"/>
              <w:textAlignment w:val="baseline"/>
              <w:rPr>
                <w:rFonts w:ascii="Arial" w:eastAsia="Arial" w:hAnsi="Arial" w:cs="Arial"/>
                <w:sz w:val="20"/>
                <w:szCs w:val="20"/>
                <w:lang w:val="en-US"/>
              </w:rPr>
            </w:pPr>
            <w:r w:rsidRPr="007568F4">
              <w:rPr>
                <w:rFonts w:ascii="Arial" w:eastAsia="Arial" w:hAnsi="Arial" w:cs="Arial"/>
                <w:sz w:val="20"/>
                <w:szCs w:val="20"/>
                <w:lang w:val="en-US"/>
              </w:rPr>
              <w:t xml:space="preserve">in relation to a Comparable Service, data derived from an analysis of the Comparable Service provided by the Comparison Group as adjusted in accordance with Paragraphs 4.8(a) and 4.9 provided that the </w:t>
            </w:r>
            <w:proofErr w:type="spellStart"/>
            <w:r w:rsidRPr="007568F4">
              <w:rPr>
                <w:rFonts w:ascii="Arial" w:eastAsia="Arial" w:hAnsi="Arial" w:cs="Arial"/>
                <w:sz w:val="20"/>
                <w:szCs w:val="20"/>
                <w:lang w:val="en-US"/>
              </w:rPr>
              <w:t>Benchmarker</w:t>
            </w:r>
            <w:proofErr w:type="spellEnd"/>
            <w:r w:rsidRPr="007568F4">
              <w:rPr>
                <w:rFonts w:ascii="Arial" w:eastAsia="Arial" w:hAnsi="Arial" w:cs="Arial"/>
                <w:sz w:val="20"/>
                <w:szCs w:val="20"/>
                <w:lang w:val="en-US"/>
              </w:rPr>
              <w:t xml:space="preserve"> shall not use any such data that relates to a period which ended more than 36 months prior to the date of the appointment of the </w:t>
            </w:r>
            <w:proofErr w:type="spellStart"/>
            <w:r w:rsidRPr="007568F4">
              <w:rPr>
                <w:rFonts w:ascii="Arial" w:eastAsia="Arial" w:hAnsi="Arial" w:cs="Arial"/>
                <w:sz w:val="20"/>
                <w:szCs w:val="20"/>
                <w:lang w:val="en-US"/>
              </w:rPr>
              <w:t>Benchmarker</w:t>
            </w:r>
            <w:proofErr w:type="spellEnd"/>
            <w:r w:rsidRPr="007568F4">
              <w:rPr>
                <w:rFonts w:ascii="Arial" w:eastAsia="Arial" w:hAnsi="Arial" w:cs="Arial"/>
                <w:sz w:val="20"/>
                <w:szCs w:val="20"/>
                <w:lang w:val="en-US"/>
              </w:rPr>
              <w:t>;</w:t>
            </w:r>
          </w:p>
        </w:tc>
      </w:tr>
      <w:tr w:rsidR="007568F4" w14:paraId="1F033276" w14:textId="77777777" w:rsidTr="007568F4">
        <w:tc>
          <w:tcPr>
            <w:tcW w:w="2835" w:type="dxa"/>
          </w:tcPr>
          <w:p w14:paraId="27EE62D7" w14:textId="46E7B269" w:rsidR="007568F4" w:rsidRPr="007568F4" w:rsidRDefault="007568F4" w:rsidP="007568F4">
            <w:pPr>
              <w:tabs>
                <w:tab w:val="left" w:pos="792"/>
              </w:tabs>
              <w:ind w:left="0" w:firstLine="0"/>
              <w:textAlignment w:val="baseline"/>
              <w:rPr>
                <w:rFonts w:ascii="Arial" w:eastAsia="Arial" w:hAnsi="Arial" w:cs="Arial"/>
                <w:sz w:val="20"/>
                <w:szCs w:val="20"/>
                <w:lang w:val="en-US"/>
              </w:rPr>
            </w:pPr>
            <w:r w:rsidRPr="007568F4">
              <w:rPr>
                <w:rFonts w:ascii="Arial" w:eastAsia="Arial" w:hAnsi="Arial" w:cs="Arial"/>
                <w:b/>
                <w:spacing w:val="-1"/>
                <w:sz w:val="20"/>
                <w:szCs w:val="20"/>
                <w:lang w:val="en-US"/>
              </w:rPr>
              <w:t>“Good Value”</w:t>
            </w:r>
          </w:p>
        </w:tc>
        <w:tc>
          <w:tcPr>
            <w:tcW w:w="5528" w:type="dxa"/>
          </w:tcPr>
          <w:p w14:paraId="5D690D8C" w14:textId="77777777" w:rsidR="007568F4" w:rsidRPr="007568F4" w:rsidRDefault="007568F4" w:rsidP="007568F4">
            <w:pPr>
              <w:tabs>
                <w:tab w:val="left" w:pos="792"/>
              </w:tabs>
              <w:ind w:left="0" w:firstLine="0"/>
              <w:textAlignment w:val="baseline"/>
              <w:rPr>
                <w:rFonts w:ascii="Arial" w:eastAsia="Arial" w:hAnsi="Arial" w:cs="Arial"/>
                <w:b/>
                <w:spacing w:val="-1"/>
                <w:sz w:val="20"/>
                <w:szCs w:val="20"/>
                <w:lang w:val="en-US"/>
              </w:rPr>
            </w:pPr>
            <w:r w:rsidRPr="007568F4">
              <w:rPr>
                <w:rFonts w:ascii="Arial" w:eastAsia="Arial" w:hAnsi="Arial" w:cs="Arial"/>
                <w:spacing w:val="-1"/>
                <w:sz w:val="20"/>
                <w:szCs w:val="20"/>
                <w:lang w:val="en-US"/>
              </w:rPr>
              <w:t xml:space="preserve">in relation </w:t>
            </w:r>
            <w:r w:rsidRPr="007568F4">
              <w:rPr>
                <w:rFonts w:ascii="Arial" w:eastAsia="Arial" w:hAnsi="Arial" w:cs="Arial"/>
                <w:sz w:val="20"/>
                <w:szCs w:val="20"/>
                <w:lang w:val="en-US"/>
              </w:rPr>
              <w:t>to</w:t>
            </w:r>
            <w:r w:rsidRPr="007568F4">
              <w:rPr>
                <w:rFonts w:ascii="Arial" w:eastAsia="Arial" w:hAnsi="Arial" w:cs="Arial"/>
                <w:spacing w:val="-1"/>
                <w:sz w:val="20"/>
                <w:szCs w:val="20"/>
                <w:lang w:val="en-US"/>
              </w:rPr>
              <w:t xml:space="preserve"> a Benchmarked Service, that:</w:t>
            </w:r>
          </w:p>
          <w:p w14:paraId="22399412" w14:textId="77777777" w:rsidR="007568F4" w:rsidRPr="007568F4" w:rsidRDefault="007568F4" w:rsidP="00E538A1">
            <w:pPr>
              <w:numPr>
                <w:ilvl w:val="0"/>
                <w:numId w:val="14"/>
              </w:numPr>
              <w:ind w:left="634" w:right="288" w:hanging="648"/>
              <w:textAlignment w:val="baseline"/>
              <w:rPr>
                <w:rFonts w:ascii="Arial" w:eastAsia="Arial" w:hAnsi="Arial" w:cs="Arial"/>
                <w:sz w:val="20"/>
                <w:szCs w:val="20"/>
                <w:lang w:val="en-US"/>
              </w:rPr>
            </w:pPr>
            <w:r w:rsidRPr="007568F4">
              <w:rPr>
                <w:rFonts w:ascii="Arial" w:eastAsia="Arial" w:hAnsi="Arial" w:cs="Arial"/>
                <w:sz w:val="20"/>
                <w:szCs w:val="20"/>
                <w:lang w:val="en-US"/>
              </w:rPr>
              <w:t xml:space="preserve">having </w:t>
            </w:r>
            <w:proofErr w:type="gramStart"/>
            <w:r w:rsidRPr="007568F4">
              <w:rPr>
                <w:rFonts w:ascii="Arial" w:eastAsia="Arial" w:hAnsi="Arial" w:cs="Arial"/>
                <w:sz w:val="20"/>
                <w:szCs w:val="20"/>
                <w:lang w:val="en-US"/>
              </w:rPr>
              <w:t>taken into account</w:t>
            </w:r>
            <w:proofErr w:type="gramEnd"/>
            <w:r w:rsidRPr="007568F4">
              <w:rPr>
                <w:rFonts w:ascii="Arial" w:eastAsia="Arial" w:hAnsi="Arial" w:cs="Arial"/>
                <w:sz w:val="20"/>
                <w:szCs w:val="20"/>
                <w:lang w:val="en-US"/>
              </w:rPr>
              <w:t xml:space="preserve"> the Performance Indicators and Target Service Levels, the value for money of the Charges attributable to that Benchmarked Service is at least as good as the value for money of the Upper Quartile; and</w:t>
            </w:r>
          </w:p>
          <w:p w14:paraId="7F529AA2" w14:textId="09E80CB2" w:rsidR="007568F4" w:rsidRPr="007568F4" w:rsidRDefault="007568F4" w:rsidP="00E538A1">
            <w:pPr>
              <w:numPr>
                <w:ilvl w:val="0"/>
                <w:numId w:val="14"/>
              </w:numPr>
              <w:ind w:left="634" w:right="144" w:hanging="648"/>
              <w:textAlignment w:val="baseline"/>
              <w:rPr>
                <w:rFonts w:ascii="Arial" w:eastAsia="Arial" w:hAnsi="Arial" w:cs="Arial"/>
                <w:sz w:val="20"/>
                <w:szCs w:val="20"/>
                <w:lang w:val="en-US"/>
              </w:rPr>
            </w:pPr>
            <w:r w:rsidRPr="007568F4">
              <w:rPr>
                <w:rFonts w:ascii="Arial" w:eastAsia="Arial" w:hAnsi="Arial" w:cs="Arial"/>
                <w:spacing w:val="1"/>
                <w:sz w:val="20"/>
                <w:szCs w:val="20"/>
                <w:lang w:val="en-US"/>
              </w:rPr>
              <w:t xml:space="preserve">any Performance Indicators and Target Service Levels applicable to that Benchmarked Service are, having </w:t>
            </w:r>
            <w:proofErr w:type="gramStart"/>
            <w:r w:rsidRPr="007568F4">
              <w:rPr>
                <w:rFonts w:ascii="Arial" w:eastAsia="Arial" w:hAnsi="Arial" w:cs="Arial"/>
                <w:spacing w:val="1"/>
                <w:sz w:val="20"/>
                <w:szCs w:val="20"/>
                <w:lang w:val="en-US"/>
              </w:rPr>
              <w:t>taken into account</w:t>
            </w:r>
            <w:proofErr w:type="gramEnd"/>
            <w:r w:rsidRPr="007568F4">
              <w:rPr>
                <w:rFonts w:ascii="Arial" w:eastAsia="Arial" w:hAnsi="Arial" w:cs="Arial"/>
                <w:spacing w:val="1"/>
                <w:sz w:val="20"/>
                <w:szCs w:val="20"/>
                <w:lang w:val="en-US"/>
              </w:rPr>
              <w:t xml:space="preserve"> the Charges, equal to or better than the median service levels for the Comparable Service using Equivalent Services Data; and</w:t>
            </w:r>
          </w:p>
        </w:tc>
      </w:tr>
      <w:tr w:rsidR="007568F4" w14:paraId="706520EB" w14:textId="77777777" w:rsidTr="007568F4">
        <w:tc>
          <w:tcPr>
            <w:tcW w:w="2835" w:type="dxa"/>
          </w:tcPr>
          <w:p w14:paraId="58B3AB36" w14:textId="105E3232" w:rsidR="007568F4" w:rsidRPr="007568F4" w:rsidRDefault="007568F4" w:rsidP="007568F4">
            <w:pPr>
              <w:tabs>
                <w:tab w:val="left" w:pos="792"/>
              </w:tabs>
              <w:ind w:left="0" w:firstLine="0"/>
              <w:textAlignment w:val="baseline"/>
              <w:rPr>
                <w:rFonts w:ascii="Arial" w:eastAsia="Arial" w:hAnsi="Arial" w:cs="Arial"/>
                <w:sz w:val="20"/>
                <w:szCs w:val="20"/>
                <w:lang w:val="en-US"/>
              </w:rPr>
            </w:pPr>
            <w:r w:rsidRPr="007568F4">
              <w:rPr>
                <w:rFonts w:ascii="Arial" w:eastAsia="Arial" w:hAnsi="Arial" w:cs="Arial"/>
                <w:b/>
                <w:spacing w:val="-2"/>
                <w:sz w:val="20"/>
                <w:szCs w:val="20"/>
                <w:lang w:val="en-US"/>
              </w:rPr>
              <w:t>“Upper Quartile”</w:t>
            </w:r>
          </w:p>
        </w:tc>
        <w:tc>
          <w:tcPr>
            <w:tcW w:w="5528" w:type="dxa"/>
          </w:tcPr>
          <w:p w14:paraId="7FBC285B" w14:textId="20FED79E" w:rsidR="007568F4" w:rsidRPr="007568F4" w:rsidRDefault="007568F4" w:rsidP="007568F4">
            <w:pPr>
              <w:tabs>
                <w:tab w:val="left" w:pos="792"/>
              </w:tabs>
              <w:ind w:left="0" w:firstLine="0"/>
              <w:textAlignment w:val="baseline"/>
              <w:rPr>
                <w:rFonts w:ascii="Arial" w:eastAsia="Arial" w:hAnsi="Arial" w:cs="Arial"/>
                <w:sz w:val="20"/>
                <w:szCs w:val="20"/>
                <w:lang w:val="en-US"/>
              </w:rPr>
            </w:pPr>
            <w:r w:rsidRPr="007568F4">
              <w:rPr>
                <w:rFonts w:ascii="Arial" w:eastAsia="Arial" w:hAnsi="Arial" w:cs="Arial"/>
                <w:spacing w:val="-2"/>
                <w:sz w:val="20"/>
                <w:szCs w:val="20"/>
                <w:lang w:val="en-US"/>
              </w:rPr>
              <w:t>the top 25% of instances of provision of a Comparable Service by members of the Comparison Group ranked by best value for money to the recipients of that Comparable Service.</w:t>
            </w:r>
          </w:p>
        </w:tc>
      </w:tr>
    </w:tbl>
    <w:p w14:paraId="4F870DF1" w14:textId="77777777" w:rsidR="00617E9A" w:rsidRPr="000E5786" w:rsidRDefault="00617E9A" w:rsidP="00DD60F0">
      <w:pPr>
        <w:tabs>
          <w:tab w:val="left" w:pos="3600"/>
        </w:tabs>
        <w:ind w:left="3600" w:right="144" w:hanging="2880"/>
        <w:textAlignment w:val="baseline"/>
        <w:rPr>
          <w:rFonts w:eastAsia="Arial" w:cs="Arial"/>
          <w:b/>
          <w:spacing w:val="-2"/>
          <w:szCs w:val="20"/>
          <w:lang w:val="en-US" w:eastAsia="en-US"/>
        </w:rPr>
      </w:pPr>
    </w:p>
    <w:p w14:paraId="31AFB50B" w14:textId="45BB1E43" w:rsidR="004C127E" w:rsidRPr="000E5786" w:rsidRDefault="004C127E" w:rsidP="009D675B">
      <w:pPr>
        <w:pStyle w:val="Heading1"/>
        <w:numPr>
          <w:ilvl w:val="0"/>
          <w:numId w:val="143"/>
        </w:numPr>
        <w:spacing w:after="120"/>
        <w:rPr>
          <w:rFonts w:eastAsia="Arial" w:cs="Arial"/>
          <w:b w:val="0"/>
          <w:szCs w:val="20"/>
        </w:rPr>
      </w:pPr>
      <w:r w:rsidRPr="000E5786">
        <w:rPr>
          <w:rFonts w:cs="Arial"/>
          <w:szCs w:val="20"/>
        </w:rPr>
        <w:t>FREQUENCY</w:t>
      </w:r>
      <w:r w:rsidRPr="000E5786">
        <w:rPr>
          <w:rFonts w:eastAsia="Arial" w:cs="Arial"/>
          <w:szCs w:val="20"/>
        </w:rPr>
        <w:t xml:space="preserve">, </w:t>
      </w:r>
      <w:proofErr w:type="gramStart"/>
      <w:r w:rsidRPr="000E5786">
        <w:rPr>
          <w:rFonts w:eastAsia="Arial" w:cs="Arial"/>
          <w:szCs w:val="20"/>
        </w:rPr>
        <w:t>PURPOSE</w:t>
      </w:r>
      <w:proofErr w:type="gramEnd"/>
      <w:r w:rsidRPr="000E5786">
        <w:rPr>
          <w:rFonts w:eastAsia="Arial" w:cs="Arial"/>
          <w:szCs w:val="20"/>
        </w:rPr>
        <w:t xml:space="preserve"> AND SCOPE OF BENCHMARK REVIEW</w:t>
      </w:r>
    </w:p>
    <w:p w14:paraId="5885D597" w14:textId="2E42987B" w:rsidR="004C127E" w:rsidRPr="000E5786" w:rsidRDefault="001F1C19" w:rsidP="009D675B">
      <w:pPr>
        <w:pStyle w:val="Heading2"/>
        <w:numPr>
          <w:ilvl w:val="1"/>
          <w:numId w:val="143"/>
        </w:numPr>
        <w:spacing w:after="120"/>
        <w:rPr>
          <w:rFonts w:eastAsia="Arial" w:cs="Arial"/>
          <w:b/>
          <w:szCs w:val="20"/>
        </w:rPr>
      </w:pPr>
      <w:proofErr w:type="spellStart"/>
      <w:r>
        <w:rPr>
          <w:rFonts w:eastAsia="Arial" w:cs="Arial"/>
          <w:szCs w:val="20"/>
        </w:rPr>
        <w:t>Netlink</w:t>
      </w:r>
      <w:proofErr w:type="spellEnd"/>
      <w:r>
        <w:rPr>
          <w:rFonts w:eastAsia="Arial" w:cs="Arial"/>
          <w:szCs w:val="20"/>
        </w:rPr>
        <w:t xml:space="preserve"> Star</w:t>
      </w:r>
      <w:r w:rsidR="004C127E" w:rsidRPr="000E5786">
        <w:rPr>
          <w:rFonts w:eastAsia="Arial" w:cs="Arial"/>
          <w:szCs w:val="20"/>
        </w:rPr>
        <w:t xml:space="preserve"> may, by written notice to the Supplier, require a Benchmark Review of any or </w:t>
      </w:r>
      <w:proofErr w:type="gramStart"/>
      <w:r w:rsidR="004C127E" w:rsidRPr="000E5786">
        <w:rPr>
          <w:rFonts w:eastAsia="Arial" w:cs="Arial"/>
          <w:szCs w:val="20"/>
        </w:rPr>
        <w:t>all of</w:t>
      </w:r>
      <w:proofErr w:type="gramEnd"/>
      <w:r w:rsidR="004C127E" w:rsidRPr="000E5786">
        <w:rPr>
          <w:rFonts w:eastAsia="Arial" w:cs="Arial"/>
          <w:szCs w:val="20"/>
        </w:rPr>
        <w:t xml:space="preserve"> the </w:t>
      </w:r>
      <w:r w:rsidR="004C127E" w:rsidRPr="000E5786">
        <w:rPr>
          <w:rFonts w:cs="Arial"/>
          <w:szCs w:val="20"/>
        </w:rPr>
        <w:t>Services</w:t>
      </w:r>
      <w:r w:rsidR="004C127E" w:rsidRPr="000E5786">
        <w:rPr>
          <w:rFonts w:eastAsia="Arial" w:cs="Arial"/>
          <w:szCs w:val="20"/>
        </w:rPr>
        <w:t xml:space="preserve"> in order to establish whether a Benchmarked Service is, and/or the Benchmarked Services as a whole are, Good Value.</w:t>
      </w:r>
    </w:p>
    <w:p w14:paraId="7953211A" w14:textId="4BE07788" w:rsidR="004C127E" w:rsidRPr="000E5786" w:rsidRDefault="001F1C19" w:rsidP="009D675B">
      <w:pPr>
        <w:pStyle w:val="Heading2"/>
        <w:numPr>
          <w:ilvl w:val="1"/>
          <w:numId w:val="143"/>
        </w:numPr>
        <w:spacing w:after="120"/>
        <w:rPr>
          <w:rFonts w:eastAsia="Arial" w:cs="Arial"/>
          <w:b/>
          <w:szCs w:val="20"/>
        </w:rPr>
      </w:pPr>
      <w:proofErr w:type="spellStart"/>
      <w:r>
        <w:rPr>
          <w:rFonts w:eastAsia="Arial" w:cs="Arial"/>
          <w:spacing w:val="-1"/>
          <w:szCs w:val="20"/>
        </w:rPr>
        <w:t>Netlink</w:t>
      </w:r>
      <w:proofErr w:type="spellEnd"/>
      <w:r>
        <w:rPr>
          <w:rFonts w:eastAsia="Arial" w:cs="Arial"/>
          <w:spacing w:val="-1"/>
          <w:szCs w:val="20"/>
        </w:rPr>
        <w:t xml:space="preserve"> Star</w:t>
      </w:r>
      <w:r w:rsidR="004C127E" w:rsidRPr="000E5786">
        <w:rPr>
          <w:rFonts w:eastAsia="Arial" w:cs="Arial"/>
          <w:spacing w:val="-1"/>
          <w:szCs w:val="20"/>
        </w:rPr>
        <w:t xml:space="preserve"> shall not be entitled to carry out a Benchmark Review of any Services during the </w:t>
      </w:r>
      <w:proofErr w:type="gramStart"/>
      <w:r w:rsidR="004C127E" w:rsidRPr="000E5786">
        <w:rPr>
          <w:rFonts w:eastAsia="Arial" w:cs="Arial"/>
          <w:spacing w:val="-1"/>
          <w:szCs w:val="20"/>
        </w:rPr>
        <w:t>12 month</w:t>
      </w:r>
      <w:proofErr w:type="gramEnd"/>
      <w:r w:rsidR="004C127E" w:rsidRPr="000E5786">
        <w:rPr>
          <w:rFonts w:eastAsia="Arial" w:cs="Arial"/>
          <w:spacing w:val="-1"/>
          <w:szCs w:val="20"/>
        </w:rPr>
        <w:t xml:space="preserve"> </w:t>
      </w:r>
      <w:r w:rsidR="004C127E" w:rsidRPr="000E5786">
        <w:rPr>
          <w:rFonts w:cs="Arial"/>
          <w:szCs w:val="20"/>
        </w:rPr>
        <w:t>period</w:t>
      </w:r>
      <w:r w:rsidR="004C127E" w:rsidRPr="000E5786">
        <w:rPr>
          <w:rFonts w:eastAsia="Arial" w:cs="Arial"/>
          <w:spacing w:val="-1"/>
          <w:szCs w:val="20"/>
        </w:rPr>
        <w:t xml:space="preserve"> from the Operational Service Commencement Date for those Services, nor at intervals of less than 12 months after any previous Benchmark Review relating to the same Services.</w:t>
      </w:r>
    </w:p>
    <w:p w14:paraId="4B1DE116" w14:textId="7D5675DE" w:rsidR="004C127E" w:rsidRPr="000E5786" w:rsidRDefault="004C127E" w:rsidP="009D675B">
      <w:pPr>
        <w:pStyle w:val="Heading2"/>
        <w:numPr>
          <w:ilvl w:val="1"/>
          <w:numId w:val="143"/>
        </w:numPr>
        <w:spacing w:after="120"/>
        <w:rPr>
          <w:rFonts w:eastAsia="Arial" w:cs="Arial"/>
          <w:b/>
          <w:szCs w:val="20"/>
        </w:rPr>
      </w:pPr>
      <w:r w:rsidRPr="000E5786">
        <w:rPr>
          <w:rFonts w:eastAsia="Arial" w:cs="Arial"/>
          <w:szCs w:val="20"/>
        </w:rPr>
        <w:t xml:space="preserve">The Services that are to be the Benchmarked Services shall be identified by </w:t>
      </w:r>
      <w:proofErr w:type="spellStart"/>
      <w:r w:rsidR="001F1C19">
        <w:rPr>
          <w:rFonts w:eastAsia="Arial" w:cs="Arial"/>
          <w:szCs w:val="20"/>
        </w:rPr>
        <w:t>Netlink</w:t>
      </w:r>
      <w:proofErr w:type="spellEnd"/>
      <w:r w:rsidR="001F1C19">
        <w:rPr>
          <w:rFonts w:eastAsia="Arial" w:cs="Arial"/>
          <w:szCs w:val="20"/>
        </w:rPr>
        <w:t xml:space="preserve"> Star</w:t>
      </w:r>
      <w:r w:rsidRPr="000E5786">
        <w:rPr>
          <w:rFonts w:eastAsia="Arial" w:cs="Arial"/>
          <w:szCs w:val="20"/>
        </w:rPr>
        <w:t xml:space="preserve"> in the notice given </w:t>
      </w:r>
      <w:r w:rsidRPr="000E5786">
        <w:rPr>
          <w:rFonts w:cs="Arial"/>
          <w:szCs w:val="20"/>
        </w:rPr>
        <w:t>under</w:t>
      </w:r>
      <w:r w:rsidRPr="000E5786">
        <w:rPr>
          <w:rFonts w:eastAsia="Arial" w:cs="Arial"/>
          <w:szCs w:val="20"/>
        </w:rPr>
        <w:t xml:space="preserve"> Paragraph 2.1.</w:t>
      </w:r>
    </w:p>
    <w:p w14:paraId="2AE92A6D" w14:textId="77777777" w:rsidR="00615F94" w:rsidRPr="000E5786" w:rsidRDefault="00615F94" w:rsidP="00DD60F0">
      <w:pPr>
        <w:tabs>
          <w:tab w:val="left" w:pos="851"/>
        </w:tabs>
        <w:textAlignment w:val="baseline"/>
        <w:rPr>
          <w:rFonts w:eastAsia="Arial" w:cs="Arial"/>
          <w:b/>
          <w:szCs w:val="20"/>
        </w:rPr>
      </w:pPr>
    </w:p>
    <w:p w14:paraId="3D2F21A8" w14:textId="7DB93ED4" w:rsidR="004C127E" w:rsidRPr="000E5786" w:rsidRDefault="004C127E" w:rsidP="009D675B">
      <w:pPr>
        <w:pStyle w:val="Heading1"/>
        <w:numPr>
          <w:ilvl w:val="0"/>
          <w:numId w:val="143"/>
        </w:numPr>
        <w:spacing w:after="120"/>
        <w:rPr>
          <w:rFonts w:eastAsia="Arial" w:cs="Arial"/>
          <w:b w:val="0"/>
          <w:spacing w:val="-1"/>
          <w:szCs w:val="20"/>
        </w:rPr>
      </w:pPr>
      <w:r w:rsidRPr="000E5786">
        <w:rPr>
          <w:rFonts w:cs="Arial"/>
          <w:szCs w:val="20"/>
        </w:rPr>
        <w:t>APPOINTMENT</w:t>
      </w:r>
      <w:r w:rsidRPr="000E5786">
        <w:rPr>
          <w:rFonts w:eastAsia="Arial" w:cs="Arial"/>
          <w:spacing w:val="-1"/>
          <w:szCs w:val="20"/>
        </w:rPr>
        <w:t xml:space="preserve"> OF BENCHMARKER</w:t>
      </w:r>
    </w:p>
    <w:p w14:paraId="10156123" w14:textId="78F4C134" w:rsidR="004C127E" w:rsidRPr="000E5786" w:rsidRDefault="001F1C19" w:rsidP="009D675B">
      <w:pPr>
        <w:pStyle w:val="Heading2"/>
        <w:numPr>
          <w:ilvl w:val="1"/>
          <w:numId w:val="143"/>
        </w:numPr>
        <w:spacing w:after="120"/>
        <w:rPr>
          <w:rFonts w:eastAsia="Arial" w:cs="Arial"/>
          <w:b/>
          <w:spacing w:val="-1"/>
          <w:szCs w:val="20"/>
        </w:rPr>
      </w:pPr>
      <w:proofErr w:type="spellStart"/>
      <w:r>
        <w:rPr>
          <w:rFonts w:eastAsia="Arial" w:cs="Arial"/>
          <w:szCs w:val="20"/>
        </w:rPr>
        <w:t>Netlink</w:t>
      </w:r>
      <w:proofErr w:type="spellEnd"/>
      <w:r>
        <w:rPr>
          <w:rFonts w:eastAsia="Arial" w:cs="Arial"/>
          <w:szCs w:val="20"/>
        </w:rPr>
        <w:t xml:space="preserve"> Star</w:t>
      </w:r>
      <w:r w:rsidR="004C127E" w:rsidRPr="000E5786">
        <w:rPr>
          <w:rFonts w:eastAsia="Arial" w:cs="Arial"/>
          <w:szCs w:val="20"/>
        </w:rPr>
        <w:t xml:space="preserve"> shall appoint as the </w:t>
      </w:r>
      <w:proofErr w:type="spellStart"/>
      <w:r w:rsidR="004C127E" w:rsidRPr="000E5786">
        <w:rPr>
          <w:rFonts w:eastAsia="Arial" w:cs="Arial"/>
          <w:szCs w:val="20"/>
        </w:rPr>
        <w:t>Benchmarker</w:t>
      </w:r>
      <w:proofErr w:type="spellEnd"/>
      <w:r w:rsidR="004C127E" w:rsidRPr="000E5786">
        <w:rPr>
          <w:rFonts w:eastAsia="Arial" w:cs="Arial"/>
          <w:szCs w:val="20"/>
        </w:rPr>
        <w:t xml:space="preserve"> to carry out the Benchmark Review either an organisation on the list of organisations set out in Annex </w:t>
      </w:r>
      <w:r w:rsidR="004E711C">
        <w:rPr>
          <w:rFonts w:eastAsia="Arial" w:cs="Arial"/>
          <w:szCs w:val="20"/>
        </w:rPr>
        <w:t>7.3A</w:t>
      </w:r>
      <w:r w:rsidR="004C127E" w:rsidRPr="000E5786">
        <w:rPr>
          <w:rFonts w:eastAsia="Arial" w:cs="Arial"/>
          <w:szCs w:val="20"/>
        </w:rPr>
        <w:t xml:space="preserve"> or such other organisation as may be agreed in writing between the Parties.</w:t>
      </w:r>
    </w:p>
    <w:p w14:paraId="63D6F1DE" w14:textId="60A4D5F5" w:rsidR="004C127E" w:rsidRPr="000E5786" w:rsidRDefault="001F1C19" w:rsidP="009D675B">
      <w:pPr>
        <w:pStyle w:val="Heading2"/>
        <w:numPr>
          <w:ilvl w:val="1"/>
          <w:numId w:val="143"/>
        </w:numPr>
        <w:spacing w:after="120"/>
        <w:rPr>
          <w:rFonts w:eastAsia="Arial" w:cs="Arial"/>
          <w:b/>
          <w:spacing w:val="-1"/>
          <w:szCs w:val="20"/>
        </w:rPr>
      </w:pPr>
      <w:proofErr w:type="spellStart"/>
      <w:r>
        <w:rPr>
          <w:rFonts w:eastAsia="Arial" w:cs="Arial"/>
          <w:szCs w:val="20"/>
        </w:rPr>
        <w:t>Netlink</w:t>
      </w:r>
      <w:proofErr w:type="spellEnd"/>
      <w:r>
        <w:rPr>
          <w:rFonts w:eastAsia="Arial" w:cs="Arial"/>
          <w:szCs w:val="20"/>
        </w:rPr>
        <w:t xml:space="preserve"> Star</w:t>
      </w:r>
      <w:r w:rsidR="004C127E" w:rsidRPr="000E5786">
        <w:rPr>
          <w:rFonts w:eastAsia="Arial" w:cs="Arial"/>
          <w:szCs w:val="20"/>
        </w:rPr>
        <w:t xml:space="preserve"> shall, at the written request of the Supplier, require the </w:t>
      </w:r>
      <w:proofErr w:type="spellStart"/>
      <w:r w:rsidR="004C127E" w:rsidRPr="000E5786">
        <w:rPr>
          <w:rFonts w:eastAsia="Arial" w:cs="Arial"/>
          <w:szCs w:val="20"/>
        </w:rPr>
        <w:t>Benchmarker</w:t>
      </w:r>
      <w:proofErr w:type="spellEnd"/>
      <w:r w:rsidR="004C127E" w:rsidRPr="000E5786">
        <w:rPr>
          <w:rFonts w:eastAsia="Arial" w:cs="Arial"/>
          <w:szCs w:val="20"/>
        </w:rPr>
        <w:t xml:space="preserve"> to enter into a </w:t>
      </w:r>
      <w:r w:rsidR="004C127E" w:rsidRPr="000E5786">
        <w:rPr>
          <w:rFonts w:cs="Arial"/>
          <w:szCs w:val="20"/>
        </w:rPr>
        <w:t>confidentiality</w:t>
      </w:r>
      <w:r w:rsidR="004C127E" w:rsidRPr="000E5786">
        <w:rPr>
          <w:rFonts w:eastAsia="Arial" w:cs="Arial"/>
          <w:szCs w:val="20"/>
        </w:rPr>
        <w:t xml:space="preserve"> agreement with the Supplier in, or substantially in, the form set out in Annex </w:t>
      </w:r>
      <w:r w:rsidR="004E711C">
        <w:rPr>
          <w:rFonts w:eastAsia="Arial" w:cs="Arial"/>
          <w:szCs w:val="20"/>
        </w:rPr>
        <w:t>7.3B</w:t>
      </w:r>
      <w:r w:rsidR="004C127E" w:rsidRPr="000E5786">
        <w:rPr>
          <w:rFonts w:eastAsia="Arial" w:cs="Arial"/>
          <w:szCs w:val="20"/>
        </w:rPr>
        <w:t>.</w:t>
      </w:r>
    </w:p>
    <w:p w14:paraId="370D202F" w14:textId="78BFFC8B" w:rsidR="004C127E" w:rsidRPr="000E5786" w:rsidRDefault="004C127E" w:rsidP="009D675B">
      <w:pPr>
        <w:pStyle w:val="Heading2"/>
        <w:numPr>
          <w:ilvl w:val="1"/>
          <w:numId w:val="143"/>
        </w:numPr>
        <w:spacing w:after="120"/>
        <w:rPr>
          <w:rFonts w:eastAsia="Arial" w:cs="Arial"/>
          <w:b/>
          <w:spacing w:val="-1"/>
          <w:szCs w:val="20"/>
        </w:rPr>
      </w:pPr>
      <w:r w:rsidRPr="000E5786">
        <w:rPr>
          <w:rFonts w:eastAsia="Arial" w:cs="Arial"/>
          <w:szCs w:val="20"/>
        </w:rPr>
        <w:t xml:space="preserve">The costs and expenses of the </w:t>
      </w:r>
      <w:proofErr w:type="spellStart"/>
      <w:r w:rsidRPr="000E5786">
        <w:rPr>
          <w:rFonts w:eastAsia="Arial" w:cs="Arial"/>
          <w:szCs w:val="20"/>
        </w:rPr>
        <w:t>Benchmarker</w:t>
      </w:r>
      <w:proofErr w:type="spellEnd"/>
      <w:r w:rsidRPr="000E5786">
        <w:rPr>
          <w:rFonts w:eastAsia="Arial" w:cs="Arial"/>
          <w:szCs w:val="20"/>
        </w:rPr>
        <w:t xml:space="preserve"> and the Benchmark Review shall be shared equally between both Parties provided that each Party shall bear its own internal costs of the Benchmark Review. The </w:t>
      </w:r>
      <w:proofErr w:type="spellStart"/>
      <w:r w:rsidRPr="000E5786">
        <w:rPr>
          <w:rFonts w:eastAsia="Arial" w:cs="Arial"/>
          <w:szCs w:val="20"/>
        </w:rPr>
        <w:t>Benchmarker</w:t>
      </w:r>
      <w:proofErr w:type="spellEnd"/>
      <w:r w:rsidRPr="000E5786">
        <w:rPr>
          <w:rFonts w:eastAsia="Arial" w:cs="Arial"/>
          <w:szCs w:val="20"/>
        </w:rPr>
        <w:t xml:space="preserve"> shall not be compensated on a contingency fee or incentive basis.</w:t>
      </w:r>
    </w:p>
    <w:p w14:paraId="2FCB0FB3" w14:textId="5A03460C" w:rsidR="004C127E" w:rsidRPr="000E5786" w:rsidRDefault="001F1C19" w:rsidP="009D675B">
      <w:pPr>
        <w:pStyle w:val="Heading2"/>
        <w:numPr>
          <w:ilvl w:val="1"/>
          <w:numId w:val="143"/>
        </w:numPr>
        <w:spacing w:after="120"/>
        <w:rPr>
          <w:rFonts w:eastAsia="Arial" w:cs="Arial"/>
          <w:b/>
          <w:spacing w:val="-1"/>
          <w:szCs w:val="20"/>
        </w:rPr>
      </w:pPr>
      <w:proofErr w:type="spellStart"/>
      <w:r>
        <w:rPr>
          <w:rFonts w:eastAsia="Arial" w:cs="Arial"/>
          <w:szCs w:val="20"/>
        </w:rPr>
        <w:t>Netlink</w:t>
      </w:r>
      <w:proofErr w:type="spellEnd"/>
      <w:r>
        <w:rPr>
          <w:rFonts w:eastAsia="Arial" w:cs="Arial"/>
          <w:szCs w:val="20"/>
        </w:rPr>
        <w:t xml:space="preserve"> Star</w:t>
      </w:r>
      <w:r w:rsidR="004C127E" w:rsidRPr="000E5786">
        <w:rPr>
          <w:rFonts w:eastAsia="Arial" w:cs="Arial"/>
          <w:szCs w:val="20"/>
        </w:rPr>
        <w:t xml:space="preserve"> shall be entitled to pay the </w:t>
      </w:r>
      <w:proofErr w:type="spellStart"/>
      <w:r w:rsidR="004C127E" w:rsidRPr="000E5786">
        <w:rPr>
          <w:rFonts w:eastAsia="Arial" w:cs="Arial"/>
          <w:szCs w:val="20"/>
        </w:rPr>
        <w:t>Benchmarker’s</w:t>
      </w:r>
      <w:proofErr w:type="spellEnd"/>
      <w:r w:rsidR="004C127E" w:rsidRPr="000E5786">
        <w:rPr>
          <w:rFonts w:eastAsia="Arial" w:cs="Arial"/>
          <w:szCs w:val="20"/>
        </w:rPr>
        <w:t xml:space="preserve"> costs and expenses in full and to recover the Supplier’s share from the Supplier.</w:t>
      </w:r>
    </w:p>
    <w:p w14:paraId="1C2600B3" w14:textId="77777777" w:rsidR="004C127E" w:rsidRPr="000E5786" w:rsidRDefault="004C127E" w:rsidP="00DD60F0">
      <w:pPr>
        <w:pStyle w:val="ListParagraph"/>
        <w:tabs>
          <w:tab w:val="left" w:pos="851"/>
        </w:tabs>
        <w:spacing w:after="120" w:line="240" w:lineRule="auto"/>
        <w:ind w:left="851"/>
        <w:contextualSpacing w:val="0"/>
        <w:textAlignment w:val="baseline"/>
        <w:rPr>
          <w:rFonts w:ascii="Arial" w:eastAsia="Arial" w:hAnsi="Arial" w:cs="Arial"/>
          <w:b/>
          <w:color w:val="000000"/>
          <w:spacing w:val="-1"/>
          <w:sz w:val="20"/>
          <w:szCs w:val="20"/>
        </w:rPr>
      </w:pPr>
    </w:p>
    <w:p w14:paraId="7F8065A9" w14:textId="3AD455DC" w:rsidR="004C127E" w:rsidRPr="000E5786" w:rsidRDefault="004C127E" w:rsidP="009D675B">
      <w:pPr>
        <w:pStyle w:val="Heading1"/>
        <w:numPr>
          <w:ilvl w:val="0"/>
          <w:numId w:val="143"/>
        </w:numPr>
        <w:spacing w:after="120"/>
        <w:rPr>
          <w:rFonts w:eastAsia="Arial" w:cs="Arial"/>
          <w:b w:val="0"/>
          <w:szCs w:val="20"/>
        </w:rPr>
      </w:pPr>
      <w:r w:rsidRPr="000E5786">
        <w:rPr>
          <w:rFonts w:cs="Arial"/>
          <w:szCs w:val="20"/>
        </w:rPr>
        <w:t>BENCHMARK</w:t>
      </w:r>
      <w:r w:rsidRPr="000E5786">
        <w:rPr>
          <w:rFonts w:eastAsia="Arial" w:cs="Arial"/>
          <w:szCs w:val="20"/>
        </w:rPr>
        <w:t xml:space="preserve"> REVIEW</w:t>
      </w:r>
    </w:p>
    <w:p w14:paraId="453D9D96" w14:textId="4AA31CE4" w:rsidR="00617E9A" w:rsidRPr="000E5786" w:rsidRDefault="001F1C19" w:rsidP="009D675B">
      <w:pPr>
        <w:pStyle w:val="Heading2"/>
        <w:numPr>
          <w:ilvl w:val="1"/>
          <w:numId w:val="143"/>
        </w:numPr>
        <w:spacing w:after="120"/>
        <w:rPr>
          <w:rFonts w:eastAsia="Arial" w:cs="Arial"/>
          <w:b/>
          <w:szCs w:val="20"/>
        </w:rPr>
      </w:pPr>
      <w:proofErr w:type="spellStart"/>
      <w:r>
        <w:rPr>
          <w:rFonts w:eastAsia="Arial" w:cs="Arial"/>
          <w:szCs w:val="20"/>
        </w:rPr>
        <w:t>Netlink</w:t>
      </w:r>
      <w:proofErr w:type="spellEnd"/>
      <w:r>
        <w:rPr>
          <w:rFonts w:eastAsia="Arial" w:cs="Arial"/>
          <w:szCs w:val="20"/>
        </w:rPr>
        <w:t xml:space="preserve"> Star</w:t>
      </w:r>
      <w:r w:rsidR="004C127E" w:rsidRPr="000E5786">
        <w:rPr>
          <w:rFonts w:eastAsia="Arial" w:cs="Arial"/>
          <w:szCs w:val="20"/>
        </w:rPr>
        <w:t xml:space="preserve"> shall require the </w:t>
      </w:r>
      <w:proofErr w:type="spellStart"/>
      <w:r w:rsidR="004C127E" w:rsidRPr="000E5786">
        <w:rPr>
          <w:rFonts w:eastAsia="Arial" w:cs="Arial"/>
          <w:szCs w:val="20"/>
        </w:rPr>
        <w:t>Benchmarker</w:t>
      </w:r>
      <w:proofErr w:type="spellEnd"/>
      <w:r w:rsidR="004C127E" w:rsidRPr="000E5786">
        <w:rPr>
          <w:rFonts w:eastAsia="Arial" w:cs="Arial"/>
          <w:szCs w:val="20"/>
        </w:rPr>
        <w:t xml:space="preserve"> to produce, and to send to each Party for approval, a draft plan for the Benchmark Review within ten (10) Working Days after the date of the appointment of the </w:t>
      </w:r>
      <w:proofErr w:type="spellStart"/>
      <w:r w:rsidR="004C127E" w:rsidRPr="000E5786">
        <w:rPr>
          <w:rFonts w:eastAsia="Arial" w:cs="Arial"/>
          <w:szCs w:val="20"/>
        </w:rPr>
        <w:t>Benchmarker</w:t>
      </w:r>
      <w:proofErr w:type="spellEnd"/>
      <w:r w:rsidR="004C127E" w:rsidRPr="000E5786">
        <w:rPr>
          <w:rFonts w:eastAsia="Arial" w:cs="Arial"/>
          <w:szCs w:val="20"/>
        </w:rPr>
        <w:t xml:space="preserve">, or such longer period as the </w:t>
      </w:r>
      <w:proofErr w:type="spellStart"/>
      <w:r w:rsidR="004C127E" w:rsidRPr="000E5786">
        <w:rPr>
          <w:rFonts w:eastAsia="Arial" w:cs="Arial"/>
          <w:szCs w:val="20"/>
        </w:rPr>
        <w:t>Benchmarker</w:t>
      </w:r>
      <w:proofErr w:type="spellEnd"/>
      <w:r w:rsidR="004C127E" w:rsidRPr="000E5786">
        <w:rPr>
          <w:rFonts w:eastAsia="Arial" w:cs="Arial"/>
          <w:szCs w:val="20"/>
        </w:rPr>
        <w:t xml:space="preserve"> shall reasonably request in all the circumstances. The plan must include:</w:t>
      </w:r>
    </w:p>
    <w:p w14:paraId="528DE75E" w14:textId="77777777" w:rsidR="00617E9A" w:rsidRPr="00B26A5F" w:rsidRDefault="00617E9A" w:rsidP="009D675B">
      <w:pPr>
        <w:pStyle w:val="Heading3"/>
        <w:numPr>
          <w:ilvl w:val="2"/>
          <w:numId w:val="143"/>
        </w:numPr>
      </w:pPr>
      <w:r w:rsidRPr="000E5786">
        <w:rPr>
          <w:rFonts w:eastAsia="Arial"/>
        </w:rPr>
        <w:t xml:space="preserve">a </w:t>
      </w:r>
      <w:r w:rsidRPr="00B26A5F">
        <w:t xml:space="preserve">proposed timetable for the Benchmark </w:t>
      </w:r>
      <w:proofErr w:type="gramStart"/>
      <w:r w:rsidRPr="00B26A5F">
        <w:t>Review;</w:t>
      </w:r>
      <w:proofErr w:type="gramEnd"/>
    </w:p>
    <w:p w14:paraId="28F1DA04" w14:textId="77777777" w:rsidR="00617E9A" w:rsidRPr="00B26A5F" w:rsidRDefault="00617E9A" w:rsidP="009D675B">
      <w:pPr>
        <w:pStyle w:val="Heading3"/>
        <w:numPr>
          <w:ilvl w:val="2"/>
          <w:numId w:val="143"/>
        </w:numPr>
      </w:pPr>
      <w:r w:rsidRPr="00B26A5F">
        <w:t xml:space="preserve">a description of the information that the </w:t>
      </w:r>
      <w:proofErr w:type="spellStart"/>
      <w:r w:rsidRPr="00B26A5F">
        <w:t>Benchmarker</w:t>
      </w:r>
      <w:proofErr w:type="spellEnd"/>
      <w:r w:rsidRPr="00B26A5F">
        <w:t xml:space="preserve"> requires each Party to </w:t>
      </w:r>
      <w:proofErr w:type="gramStart"/>
      <w:r w:rsidRPr="00B26A5F">
        <w:t>provide;</w:t>
      </w:r>
      <w:proofErr w:type="gramEnd"/>
    </w:p>
    <w:p w14:paraId="61458F43" w14:textId="77777777" w:rsidR="00617E9A" w:rsidRPr="00B26A5F" w:rsidRDefault="00617E9A" w:rsidP="009D675B">
      <w:pPr>
        <w:pStyle w:val="Heading3"/>
        <w:numPr>
          <w:ilvl w:val="2"/>
          <w:numId w:val="143"/>
        </w:numPr>
      </w:pPr>
      <w:r w:rsidRPr="00B26A5F">
        <w:t xml:space="preserve">a description of the benchmarking methodology to be </w:t>
      </w:r>
      <w:proofErr w:type="gramStart"/>
      <w:r w:rsidRPr="00B26A5F">
        <w:t>used;</w:t>
      </w:r>
      <w:proofErr w:type="gramEnd"/>
    </w:p>
    <w:p w14:paraId="4495E5F1" w14:textId="77777777" w:rsidR="00617E9A" w:rsidRPr="00B26A5F" w:rsidRDefault="00617E9A" w:rsidP="009D675B">
      <w:pPr>
        <w:pStyle w:val="Heading3"/>
        <w:numPr>
          <w:ilvl w:val="2"/>
          <w:numId w:val="143"/>
        </w:numPr>
      </w:pPr>
      <w:r w:rsidRPr="00B26A5F">
        <w:t xml:space="preserve">a description that clearly illustrates that the benchmarking methodology to be used is capable of fulfilling the benchmarking objectives under Paragraph </w:t>
      </w:r>
      <w:proofErr w:type="gramStart"/>
      <w:r w:rsidRPr="00B26A5F">
        <w:t>2.1;</w:t>
      </w:r>
      <w:proofErr w:type="gramEnd"/>
    </w:p>
    <w:p w14:paraId="45A317E8" w14:textId="77777777" w:rsidR="00617E9A" w:rsidRPr="00B26A5F" w:rsidRDefault="00617E9A" w:rsidP="009D675B">
      <w:pPr>
        <w:pStyle w:val="Heading3"/>
        <w:numPr>
          <w:ilvl w:val="2"/>
          <w:numId w:val="143"/>
        </w:numPr>
      </w:pPr>
      <w:r w:rsidRPr="00B26A5F">
        <w:t xml:space="preserve">an estimate of the resources required from each Party to underpin the delivery of the </w:t>
      </w:r>
      <w:proofErr w:type="gramStart"/>
      <w:r w:rsidRPr="00B26A5F">
        <w:t>plan;</w:t>
      </w:r>
      <w:proofErr w:type="gramEnd"/>
    </w:p>
    <w:p w14:paraId="1CD8F274" w14:textId="77777777" w:rsidR="00617E9A" w:rsidRPr="00B26A5F" w:rsidRDefault="00617E9A" w:rsidP="009D675B">
      <w:pPr>
        <w:pStyle w:val="Heading3"/>
        <w:numPr>
          <w:ilvl w:val="2"/>
          <w:numId w:val="143"/>
        </w:numPr>
      </w:pPr>
      <w:r w:rsidRPr="00B26A5F">
        <w:t xml:space="preserve">a description of how the </w:t>
      </w:r>
      <w:proofErr w:type="spellStart"/>
      <w:r w:rsidRPr="00B26A5F">
        <w:t>Benchmarker</w:t>
      </w:r>
      <w:proofErr w:type="spellEnd"/>
      <w:r w:rsidRPr="00B26A5F">
        <w:t xml:space="preserve"> will scope and identify the Comparison </w:t>
      </w:r>
      <w:proofErr w:type="gramStart"/>
      <w:r w:rsidRPr="00B26A5F">
        <w:t>Group;</w:t>
      </w:r>
      <w:proofErr w:type="gramEnd"/>
    </w:p>
    <w:p w14:paraId="49DA1771" w14:textId="77777777" w:rsidR="00617E9A" w:rsidRPr="00B26A5F" w:rsidRDefault="00617E9A" w:rsidP="009D675B">
      <w:pPr>
        <w:pStyle w:val="Heading3"/>
        <w:numPr>
          <w:ilvl w:val="2"/>
          <w:numId w:val="143"/>
        </w:numPr>
      </w:pPr>
      <w:r w:rsidRPr="00B26A5F">
        <w:t xml:space="preserve">details of any entities which the </w:t>
      </w:r>
      <w:proofErr w:type="spellStart"/>
      <w:r w:rsidRPr="00B26A5F">
        <w:t>Benchmarker</w:t>
      </w:r>
      <w:proofErr w:type="spellEnd"/>
      <w:r w:rsidRPr="00B26A5F">
        <w:t xml:space="preserve"> proposes to include within the Comparison Group; and</w:t>
      </w:r>
    </w:p>
    <w:p w14:paraId="4F81BFEC" w14:textId="3F63D946" w:rsidR="004C127E" w:rsidRPr="000E5786" w:rsidRDefault="00617E9A" w:rsidP="009D675B">
      <w:pPr>
        <w:pStyle w:val="Heading3"/>
        <w:numPr>
          <w:ilvl w:val="2"/>
          <w:numId w:val="143"/>
        </w:numPr>
        <w:rPr>
          <w:rFonts w:eastAsia="Arial"/>
        </w:rPr>
      </w:pPr>
      <w:r w:rsidRPr="00B26A5F">
        <w:t xml:space="preserve">if </w:t>
      </w:r>
      <w:r w:rsidR="00FD4D0F">
        <w:t>i</w:t>
      </w:r>
      <w:r w:rsidRPr="00B26A5F">
        <w:t xml:space="preserve">n the </w:t>
      </w:r>
      <w:proofErr w:type="spellStart"/>
      <w:r w:rsidRPr="00B26A5F">
        <w:t>Benchmarker's</w:t>
      </w:r>
      <w:proofErr w:type="spellEnd"/>
      <w:r w:rsidRPr="00B26A5F">
        <w:t xml:space="preserve"> professional opinion there are no Comparable Services or the number</w:t>
      </w:r>
      <w:r w:rsidRPr="000E5786">
        <w:rPr>
          <w:rFonts w:eastAsia="Arial"/>
        </w:rPr>
        <w:t xml:space="preserve"> of entities carrying out Comparable Services is insufficient to create a Comparison Group, a detailed approach for meeting the relevant benchmarking objective(s) under Paragraph 2.1 using a proxy for the Comparison Services and/or Comparison Group as applicable.</w:t>
      </w:r>
    </w:p>
    <w:p w14:paraId="6B87ADD7" w14:textId="4E10397D" w:rsidR="0032354C" w:rsidRPr="000E5786" w:rsidRDefault="0032354C" w:rsidP="009D675B">
      <w:pPr>
        <w:pStyle w:val="Heading2"/>
        <w:numPr>
          <w:ilvl w:val="1"/>
          <w:numId w:val="143"/>
        </w:numPr>
        <w:spacing w:after="120"/>
        <w:rPr>
          <w:rFonts w:eastAsia="Arial" w:cs="Arial"/>
          <w:szCs w:val="20"/>
        </w:rPr>
      </w:pPr>
      <w:r w:rsidRPr="000E5786">
        <w:rPr>
          <w:rFonts w:eastAsia="Arial" w:cs="Arial"/>
          <w:szCs w:val="20"/>
        </w:rPr>
        <w:t xml:space="preserve">The Parties acknowledge that the selection and or use of proxies for the Comparison Group (both in </w:t>
      </w:r>
      <w:r w:rsidRPr="000E5786">
        <w:rPr>
          <w:rFonts w:cs="Arial"/>
          <w:szCs w:val="20"/>
        </w:rPr>
        <w:t>terms</w:t>
      </w:r>
      <w:r w:rsidRPr="000E5786">
        <w:rPr>
          <w:rFonts w:eastAsia="Arial" w:cs="Arial"/>
          <w:szCs w:val="20"/>
        </w:rPr>
        <w:t xml:space="preserve"> of </w:t>
      </w:r>
      <w:r w:rsidRPr="000E5786">
        <w:rPr>
          <w:rFonts w:cs="Arial"/>
          <w:szCs w:val="20"/>
        </w:rPr>
        <w:t>number</w:t>
      </w:r>
      <w:r w:rsidRPr="000E5786">
        <w:rPr>
          <w:rFonts w:eastAsia="Arial" w:cs="Arial"/>
          <w:szCs w:val="20"/>
        </w:rPr>
        <w:t xml:space="preserve"> and identity of entities) and Comparable Services shall be a matter f</w:t>
      </w:r>
      <w:r w:rsidR="00FD4D0F">
        <w:rPr>
          <w:rFonts w:eastAsia="Arial" w:cs="Arial"/>
          <w:szCs w:val="20"/>
        </w:rPr>
        <w:t>o</w:t>
      </w:r>
      <w:r w:rsidRPr="000E5786">
        <w:rPr>
          <w:rFonts w:eastAsia="Arial" w:cs="Arial"/>
          <w:szCs w:val="20"/>
        </w:rPr>
        <w:t xml:space="preserve">r the </w:t>
      </w:r>
      <w:proofErr w:type="spellStart"/>
      <w:r w:rsidRPr="000E5786">
        <w:rPr>
          <w:rFonts w:eastAsia="Arial" w:cs="Arial"/>
          <w:szCs w:val="20"/>
        </w:rPr>
        <w:t>Benchmarker's</w:t>
      </w:r>
      <w:proofErr w:type="spellEnd"/>
      <w:r w:rsidRPr="000E5786">
        <w:rPr>
          <w:rFonts w:eastAsia="Arial" w:cs="Arial"/>
          <w:szCs w:val="20"/>
        </w:rPr>
        <w:t xml:space="preserve"> professional judgment.</w:t>
      </w:r>
    </w:p>
    <w:p w14:paraId="7F9F86B6" w14:textId="64A4C77F" w:rsidR="00D95277" w:rsidRPr="000E5786" w:rsidRDefault="004C127E" w:rsidP="009D675B">
      <w:pPr>
        <w:pStyle w:val="Heading2"/>
        <w:numPr>
          <w:ilvl w:val="1"/>
          <w:numId w:val="143"/>
        </w:numPr>
        <w:spacing w:after="120"/>
        <w:rPr>
          <w:rFonts w:eastAsia="Arial" w:cs="Arial"/>
          <w:szCs w:val="20"/>
        </w:rPr>
      </w:pPr>
      <w:r w:rsidRPr="000E5786">
        <w:rPr>
          <w:rFonts w:eastAsia="Arial" w:cs="Arial"/>
          <w:szCs w:val="20"/>
        </w:rPr>
        <w:lastRenderedPageBreak/>
        <w:t xml:space="preserve">Each Party shall give notice in writing to the </w:t>
      </w:r>
      <w:proofErr w:type="spellStart"/>
      <w:r w:rsidRPr="000E5786">
        <w:rPr>
          <w:rFonts w:eastAsia="Arial" w:cs="Arial"/>
          <w:szCs w:val="20"/>
        </w:rPr>
        <w:t>Benchmarker</w:t>
      </w:r>
      <w:proofErr w:type="spellEnd"/>
      <w:r w:rsidRPr="000E5786">
        <w:rPr>
          <w:rFonts w:eastAsia="Arial" w:cs="Arial"/>
          <w:szCs w:val="20"/>
        </w:rPr>
        <w:t xml:space="preserve"> and to the other Party within ten (10) Working Days after receiving the draft plan either approving the draft plan or suggesting amendments to that plan which must be reasonable. Where a Party suggests amendments to the draft plan pursuant to this Paragraph 4.3, the </w:t>
      </w:r>
      <w:proofErr w:type="spellStart"/>
      <w:r w:rsidRPr="000E5786">
        <w:rPr>
          <w:rFonts w:eastAsia="Arial" w:cs="Arial"/>
          <w:szCs w:val="20"/>
        </w:rPr>
        <w:t>Benchmarker</w:t>
      </w:r>
      <w:proofErr w:type="spellEnd"/>
      <w:r w:rsidRPr="000E5786">
        <w:rPr>
          <w:rFonts w:eastAsia="Arial" w:cs="Arial"/>
          <w:szCs w:val="20"/>
        </w:rPr>
        <w:t xml:space="preserve"> shall, if it believes the amendments are reasonable, produce an amended draft plan. Paragraph 4.1 and this Paragraph 4.3 shall apply to any amended draft plan.</w:t>
      </w:r>
    </w:p>
    <w:p w14:paraId="7B8393AD" w14:textId="1FCB2B6E" w:rsidR="004C127E" w:rsidRPr="000E5786" w:rsidRDefault="004C127E" w:rsidP="009D675B">
      <w:pPr>
        <w:pStyle w:val="Heading2"/>
        <w:numPr>
          <w:ilvl w:val="1"/>
          <w:numId w:val="143"/>
        </w:numPr>
        <w:spacing w:after="120"/>
        <w:rPr>
          <w:rFonts w:eastAsia="Arial" w:cs="Arial"/>
          <w:szCs w:val="20"/>
        </w:rPr>
      </w:pPr>
      <w:r w:rsidRPr="000E5786">
        <w:rPr>
          <w:rFonts w:eastAsia="Arial" w:cs="Arial"/>
          <w:szCs w:val="20"/>
        </w:rPr>
        <w:t xml:space="preserve">Failure by a Party to give notice under Paragraph 4.3 shall be treated as approval of the draft plan by that Party. If the Parties fail to approve the draft plan within 30 Working Days of its first </w:t>
      </w:r>
      <w:r w:rsidRPr="000E5786">
        <w:rPr>
          <w:rFonts w:cs="Arial"/>
          <w:szCs w:val="20"/>
        </w:rPr>
        <w:t>being</w:t>
      </w:r>
      <w:r w:rsidRPr="000E5786">
        <w:rPr>
          <w:rFonts w:eastAsia="Arial" w:cs="Arial"/>
          <w:szCs w:val="20"/>
        </w:rPr>
        <w:t xml:space="preserve"> sent to them pursuant to Paragraph 4.1 then the </w:t>
      </w:r>
      <w:proofErr w:type="spellStart"/>
      <w:r w:rsidRPr="000E5786">
        <w:rPr>
          <w:rFonts w:eastAsia="Arial" w:cs="Arial"/>
          <w:szCs w:val="20"/>
        </w:rPr>
        <w:t>Benchmarker</w:t>
      </w:r>
      <w:proofErr w:type="spellEnd"/>
      <w:r w:rsidRPr="000E5786">
        <w:rPr>
          <w:rFonts w:eastAsia="Arial" w:cs="Arial"/>
          <w:szCs w:val="20"/>
        </w:rPr>
        <w:t xml:space="preserve"> shall prescribe the plan.</w:t>
      </w:r>
    </w:p>
    <w:p w14:paraId="093953DB" w14:textId="4F1B2008" w:rsidR="004C127E" w:rsidRPr="000E5786" w:rsidRDefault="004C127E" w:rsidP="009D675B">
      <w:pPr>
        <w:pStyle w:val="Heading2"/>
        <w:numPr>
          <w:ilvl w:val="1"/>
          <w:numId w:val="143"/>
        </w:numPr>
        <w:spacing w:after="120"/>
        <w:rPr>
          <w:rFonts w:eastAsia="Arial" w:cs="Arial"/>
          <w:spacing w:val="-1"/>
          <w:szCs w:val="20"/>
        </w:rPr>
      </w:pPr>
      <w:r w:rsidRPr="000E5786">
        <w:rPr>
          <w:rFonts w:eastAsia="Arial" w:cs="Arial"/>
          <w:szCs w:val="20"/>
        </w:rPr>
        <w:t xml:space="preserve">Once the plan is approved by both Parties </w:t>
      </w:r>
      <w:proofErr w:type="gramStart"/>
      <w:r w:rsidRPr="000E5786">
        <w:rPr>
          <w:rFonts w:eastAsia="Arial" w:cs="Arial"/>
          <w:szCs w:val="20"/>
        </w:rPr>
        <w:t>or</w:t>
      </w:r>
      <w:proofErr w:type="gramEnd"/>
      <w:r w:rsidRPr="000E5786">
        <w:rPr>
          <w:rFonts w:eastAsia="Arial" w:cs="Arial"/>
          <w:szCs w:val="20"/>
        </w:rPr>
        <w:t xml:space="preserve"> prescribed by the </w:t>
      </w:r>
      <w:proofErr w:type="spellStart"/>
      <w:r w:rsidRPr="000E5786">
        <w:rPr>
          <w:rFonts w:eastAsia="Arial" w:cs="Arial"/>
          <w:szCs w:val="20"/>
        </w:rPr>
        <w:t>Benchmarker</w:t>
      </w:r>
      <w:proofErr w:type="spellEnd"/>
      <w:r w:rsidRPr="000E5786">
        <w:rPr>
          <w:rFonts w:eastAsia="Arial" w:cs="Arial"/>
          <w:szCs w:val="20"/>
        </w:rPr>
        <w:t xml:space="preserve">, </w:t>
      </w:r>
      <w:r w:rsidRPr="000E5786">
        <w:rPr>
          <w:rFonts w:eastAsia="Arial" w:cs="Arial"/>
          <w:spacing w:val="-1"/>
          <w:szCs w:val="20"/>
        </w:rPr>
        <w:t xml:space="preserve">the </w:t>
      </w:r>
      <w:proofErr w:type="spellStart"/>
      <w:r w:rsidRPr="000E5786">
        <w:rPr>
          <w:rFonts w:eastAsia="Arial" w:cs="Arial"/>
          <w:spacing w:val="-1"/>
          <w:szCs w:val="20"/>
        </w:rPr>
        <w:t>Benchmarker</w:t>
      </w:r>
      <w:proofErr w:type="spellEnd"/>
      <w:r w:rsidRPr="000E5786">
        <w:rPr>
          <w:rFonts w:eastAsia="Arial" w:cs="Arial"/>
          <w:spacing w:val="-1"/>
          <w:szCs w:val="20"/>
        </w:rPr>
        <w:t xml:space="preserve"> shall carry out the Benchmark Review in accordance with the plan. Each Party shall </w:t>
      </w:r>
      <w:r w:rsidRPr="000E5786">
        <w:rPr>
          <w:rFonts w:cs="Arial"/>
          <w:szCs w:val="20"/>
        </w:rPr>
        <w:t>procure</w:t>
      </w:r>
      <w:r w:rsidRPr="000E5786">
        <w:rPr>
          <w:rFonts w:eastAsia="Arial" w:cs="Arial"/>
          <w:spacing w:val="-1"/>
          <w:szCs w:val="20"/>
        </w:rPr>
        <w:t xml:space="preserve"> that all the information described in the plan, together with any additional information reasonably required by the </w:t>
      </w:r>
      <w:proofErr w:type="spellStart"/>
      <w:r w:rsidRPr="000E5786">
        <w:rPr>
          <w:rFonts w:eastAsia="Arial" w:cs="Arial"/>
          <w:spacing w:val="-1"/>
          <w:szCs w:val="20"/>
        </w:rPr>
        <w:t>Benchmarker</w:t>
      </w:r>
      <w:proofErr w:type="spellEnd"/>
      <w:r w:rsidRPr="000E5786">
        <w:rPr>
          <w:rFonts w:eastAsia="Arial" w:cs="Arial"/>
          <w:spacing w:val="-1"/>
          <w:szCs w:val="20"/>
        </w:rPr>
        <w:t xml:space="preserve"> is provided to the </w:t>
      </w:r>
      <w:proofErr w:type="spellStart"/>
      <w:r w:rsidRPr="000E5786">
        <w:rPr>
          <w:rFonts w:eastAsia="Arial" w:cs="Arial"/>
          <w:spacing w:val="-1"/>
          <w:szCs w:val="20"/>
        </w:rPr>
        <w:t>Benchmarker</w:t>
      </w:r>
      <w:proofErr w:type="spellEnd"/>
      <w:r w:rsidRPr="000E5786">
        <w:rPr>
          <w:rFonts w:eastAsia="Arial" w:cs="Arial"/>
          <w:spacing w:val="-1"/>
          <w:szCs w:val="20"/>
        </w:rPr>
        <w:t xml:space="preserve"> without undue delay. If the Supplier fails to provide any information requested from it by the </w:t>
      </w:r>
      <w:proofErr w:type="spellStart"/>
      <w:r w:rsidRPr="000E5786">
        <w:rPr>
          <w:rFonts w:eastAsia="Arial" w:cs="Arial"/>
          <w:spacing w:val="-1"/>
          <w:szCs w:val="20"/>
        </w:rPr>
        <w:t>Benchmarker</w:t>
      </w:r>
      <w:proofErr w:type="spellEnd"/>
      <w:r w:rsidRPr="000E5786">
        <w:rPr>
          <w:rFonts w:eastAsia="Arial" w:cs="Arial"/>
          <w:spacing w:val="-1"/>
          <w:szCs w:val="20"/>
        </w:rPr>
        <w:t xml:space="preserve"> and described in the plan, such failure shall constitute a material Default for the purposes of clause 30.1 (</w:t>
      </w:r>
      <w:r w:rsidRPr="000E5786">
        <w:rPr>
          <w:rFonts w:eastAsia="Arial" w:cs="Arial"/>
          <w:iCs w:val="0"/>
          <w:spacing w:val="-1"/>
          <w:szCs w:val="20"/>
        </w:rPr>
        <w:t>Rectification Plan Process</w:t>
      </w:r>
      <w:r w:rsidRPr="000E5786">
        <w:rPr>
          <w:rFonts w:eastAsia="Arial" w:cs="Arial"/>
          <w:spacing w:val="-1"/>
          <w:szCs w:val="20"/>
        </w:rPr>
        <w:t>).</w:t>
      </w:r>
    </w:p>
    <w:p w14:paraId="3773F6E5" w14:textId="030BB11B" w:rsidR="004C127E" w:rsidRPr="000E5786" w:rsidRDefault="004C127E" w:rsidP="009D675B">
      <w:pPr>
        <w:pStyle w:val="Heading2"/>
        <w:numPr>
          <w:ilvl w:val="1"/>
          <w:numId w:val="143"/>
        </w:numPr>
        <w:spacing w:after="120"/>
        <w:rPr>
          <w:rFonts w:eastAsia="Arial" w:cs="Arial"/>
          <w:spacing w:val="-1"/>
          <w:szCs w:val="20"/>
        </w:rPr>
      </w:pPr>
      <w:r w:rsidRPr="000E5786">
        <w:rPr>
          <w:rFonts w:eastAsia="Arial" w:cs="Arial"/>
          <w:szCs w:val="20"/>
        </w:rPr>
        <w:t xml:space="preserve">Each Party shall co-operate fully with the </w:t>
      </w:r>
      <w:proofErr w:type="spellStart"/>
      <w:r w:rsidRPr="000E5786">
        <w:rPr>
          <w:rFonts w:eastAsia="Arial" w:cs="Arial"/>
          <w:szCs w:val="20"/>
        </w:rPr>
        <w:t>Benchmarker</w:t>
      </w:r>
      <w:proofErr w:type="spellEnd"/>
      <w:r w:rsidRPr="000E5786">
        <w:rPr>
          <w:rFonts w:eastAsia="Arial" w:cs="Arial"/>
          <w:szCs w:val="20"/>
        </w:rPr>
        <w:t xml:space="preserve">, including by providing access to records, technical documentation, premises, equipment, </w:t>
      </w:r>
      <w:proofErr w:type="gramStart"/>
      <w:r w:rsidRPr="000E5786">
        <w:rPr>
          <w:rFonts w:eastAsia="Arial" w:cs="Arial"/>
          <w:szCs w:val="20"/>
        </w:rPr>
        <w:t>systems</w:t>
      </w:r>
      <w:proofErr w:type="gramEnd"/>
      <w:r w:rsidRPr="000E5786">
        <w:rPr>
          <w:rFonts w:eastAsia="Arial" w:cs="Arial"/>
          <w:szCs w:val="20"/>
        </w:rPr>
        <w:t xml:space="preserve"> and personnel at times reasonably requested by the </w:t>
      </w:r>
      <w:proofErr w:type="spellStart"/>
      <w:r w:rsidRPr="000E5786">
        <w:rPr>
          <w:rFonts w:eastAsia="Arial" w:cs="Arial"/>
          <w:szCs w:val="20"/>
        </w:rPr>
        <w:t>Benchmarker</w:t>
      </w:r>
      <w:proofErr w:type="spellEnd"/>
      <w:r w:rsidRPr="000E5786">
        <w:rPr>
          <w:rFonts w:eastAsia="Arial" w:cs="Arial"/>
          <w:szCs w:val="20"/>
        </w:rPr>
        <w:t xml:space="preserve">, provided that the </w:t>
      </w:r>
      <w:proofErr w:type="spellStart"/>
      <w:r w:rsidRPr="000E5786">
        <w:rPr>
          <w:rFonts w:eastAsia="Arial" w:cs="Arial"/>
          <w:szCs w:val="20"/>
        </w:rPr>
        <w:t>Benchmarker</w:t>
      </w:r>
      <w:proofErr w:type="spellEnd"/>
      <w:r w:rsidRPr="000E5786">
        <w:rPr>
          <w:rFonts w:eastAsia="Arial" w:cs="Arial"/>
          <w:szCs w:val="20"/>
        </w:rPr>
        <w:t xml:space="preserve"> shall be instructed to minimise any disruption to the Services</w:t>
      </w:r>
      <w:bookmarkStart w:id="2342" w:name="_Hlk80288040"/>
      <w:r w:rsidR="00615F94" w:rsidRPr="000E5786">
        <w:rPr>
          <w:rFonts w:eastAsia="Arial" w:cs="Arial"/>
          <w:szCs w:val="20"/>
        </w:rPr>
        <w:t>.</w:t>
      </w:r>
    </w:p>
    <w:p w14:paraId="2CC103A1" w14:textId="2A7E4406" w:rsidR="004C127E" w:rsidRPr="000E5786" w:rsidRDefault="004C127E" w:rsidP="009D675B">
      <w:pPr>
        <w:pStyle w:val="Heading2"/>
        <w:numPr>
          <w:ilvl w:val="1"/>
          <w:numId w:val="143"/>
        </w:numPr>
        <w:spacing w:after="120"/>
        <w:rPr>
          <w:rFonts w:eastAsia="Arial" w:cs="Arial"/>
          <w:szCs w:val="20"/>
        </w:rPr>
      </w:pPr>
      <w:r w:rsidRPr="000E5786">
        <w:rPr>
          <w:rFonts w:eastAsia="Arial" w:cs="Arial"/>
          <w:szCs w:val="20"/>
        </w:rPr>
        <w:t xml:space="preserve">Either Party may provide additional material to the </w:t>
      </w:r>
      <w:proofErr w:type="spellStart"/>
      <w:r w:rsidRPr="000E5786">
        <w:rPr>
          <w:rFonts w:eastAsia="Arial" w:cs="Arial"/>
          <w:szCs w:val="20"/>
        </w:rPr>
        <w:t>Benchmarker</w:t>
      </w:r>
      <w:proofErr w:type="spellEnd"/>
      <w:r w:rsidRPr="000E5786">
        <w:rPr>
          <w:rFonts w:eastAsia="Arial" w:cs="Arial"/>
          <w:szCs w:val="20"/>
        </w:rPr>
        <w:t xml:space="preserve"> to assist the </w:t>
      </w:r>
      <w:proofErr w:type="spellStart"/>
      <w:r w:rsidRPr="000E5786">
        <w:rPr>
          <w:rFonts w:eastAsia="Arial" w:cs="Arial"/>
          <w:szCs w:val="20"/>
        </w:rPr>
        <w:t>Benchmarker</w:t>
      </w:r>
      <w:proofErr w:type="spellEnd"/>
      <w:r w:rsidRPr="000E5786">
        <w:rPr>
          <w:rFonts w:eastAsia="Arial" w:cs="Arial"/>
          <w:szCs w:val="20"/>
        </w:rPr>
        <w:t xml:space="preserve"> in </w:t>
      </w:r>
      <w:r w:rsidRPr="000E5786">
        <w:rPr>
          <w:rFonts w:cs="Arial"/>
          <w:szCs w:val="20"/>
        </w:rPr>
        <w:t>conducting</w:t>
      </w:r>
      <w:r w:rsidRPr="000E5786">
        <w:rPr>
          <w:rFonts w:eastAsia="Arial" w:cs="Arial"/>
          <w:szCs w:val="20"/>
        </w:rPr>
        <w:t xml:space="preserve"> the Benchmark Review.</w:t>
      </w:r>
    </w:p>
    <w:p w14:paraId="38C9863D" w14:textId="15ADCA14" w:rsidR="00DA3C89" w:rsidRPr="000E5786" w:rsidRDefault="004C127E" w:rsidP="009D675B">
      <w:pPr>
        <w:pStyle w:val="Heading2"/>
        <w:numPr>
          <w:ilvl w:val="1"/>
          <w:numId w:val="143"/>
        </w:numPr>
        <w:spacing w:after="120"/>
        <w:rPr>
          <w:rFonts w:eastAsia="Arial" w:cs="Arial"/>
          <w:szCs w:val="20"/>
        </w:rPr>
      </w:pPr>
      <w:r w:rsidRPr="000E5786">
        <w:rPr>
          <w:rFonts w:eastAsia="Arial" w:cs="Arial"/>
          <w:szCs w:val="20"/>
        </w:rPr>
        <w:t xml:space="preserve">Once it </w:t>
      </w:r>
      <w:r w:rsidRPr="000E5786">
        <w:rPr>
          <w:rFonts w:cs="Arial"/>
          <w:szCs w:val="20"/>
        </w:rPr>
        <w:t>has</w:t>
      </w:r>
      <w:r w:rsidRPr="000E5786">
        <w:rPr>
          <w:rFonts w:eastAsia="Arial" w:cs="Arial"/>
          <w:szCs w:val="20"/>
        </w:rPr>
        <w:t xml:space="preserve"> received the information it requires, the </w:t>
      </w:r>
      <w:proofErr w:type="spellStart"/>
      <w:r w:rsidRPr="000E5786">
        <w:rPr>
          <w:rFonts w:eastAsia="Arial" w:cs="Arial"/>
          <w:szCs w:val="20"/>
        </w:rPr>
        <w:t>Benchmarker</w:t>
      </w:r>
      <w:proofErr w:type="spellEnd"/>
      <w:r w:rsidRPr="000E5786">
        <w:rPr>
          <w:rFonts w:eastAsia="Arial" w:cs="Arial"/>
          <w:szCs w:val="20"/>
        </w:rPr>
        <w:t xml:space="preserve"> shall:</w:t>
      </w:r>
    </w:p>
    <w:p w14:paraId="11466F48" w14:textId="6F742275" w:rsidR="00DA3C89" w:rsidRPr="00B26A5F" w:rsidRDefault="00DA3C89" w:rsidP="009D675B">
      <w:pPr>
        <w:pStyle w:val="Heading3"/>
        <w:numPr>
          <w:ilvl w:val="2"/>
          <w:numId w:val="143"/>
        </w:numPr>
      </w:pPr>
      <w:r w:rsidRPr="00B26A5F">
        <w:t>finalise the sample of entities constituting the Comparison Group and collect data relating to Comparable Services. The final selection of the Comparison Group (both in terms of number and identity of entities) and of the Comparable Services shall be a matter f</w:t>
      </w:r>
      <w:r w:rsidR="00FD4D0F">
        <w:t>o</w:t>
      </w:r>
      <w:r w:rsidRPr="00B26A5F">
        <w:t xml:space="preserve">r the </w:t>
      </w:r>
      <w:proofErr w:type="spellStart"/>
      <w:r w:rsidRPr="00B26A5F">
        <w:t>Benchmarker's</w:t>
      </w:r>
      <w:proofErr w:type="spellEnd"/>
      <w:r w:rsidRPr="00B26A5F">
        <w:t xml:space="preserve"> professional </w:t>
      </w:r>
      <w:proofErr w:type="gramStart"/>
      <w:r w:rsidRPr="00B26A5F">
        <w:t>judgment;</w:t>
      </w:r>
      <w:proofErr w:type="gramEnd"/>
    </w:p>
    <w:p w14:paraId="5627DC05" w14:textId="77777777" w:rsidR="00DA3C89" w:rsidRPr="00B26A5F" w:rsidRDefault="00DA3C89" w:rsidP="009D675B">
      <w:pPr>
        <w:pStyle w:val="Heading3"/>
        <w:numPr>
          <w:ilvl w:val="2"/>
          <w:numId w:val="143"/>
        </w:numPr>
      </w:pPr>
      <w:r w:rsidRPr="00B26A5F">
        <w:t xml:space="preserve">derive the Equivalent Services Data by applying the adjustment factors listed in Paragraph 4.9 and from an analysis of the Comparable </w:t>
      </w:r>
      <w:proofErr w:type="gramStart"/>
      <w:r w:rsidRPr="00B26A5F">
        <w:t>Services;</w:t>
      </w:r>
      <w:proofErr w:type="gramEnd"/>
    </w:p>
    <w:p w14:paraId="523094DD" w14:textId="77777777" w:rsidR="00DA3C89" w:rsidRPr="00B26A5F" w:rsidRDefault="00DA3C89" w:rsidP="009D675B">
      <w:pPr>
        <w:pStyle w:val="Heading3"/>
        <w:numPr>
          <w:ilvl w:val="2"/>
          <w:numId w:val="143"/>
        </w:numPr>
      </w:pPr>
      <w:r w:rsidRPr="00B26A5F">
        <w:t xml:space="preserve">derive the relative value for money of the charges payable for the Comparable Services using the Equivalent Services Data and from that derive the Upper </w:t>
      </w:r>
      <w:proofErr w:type="gramStart"/>
      <w:r w:rsidRPr="00B26A5F">
        <w:t>Quartile;</w:t>
      </w:r>
      <w:proofErr w:type="gramEnd"/>
    </w:p>
    <w:p w14:paraId="2CCBD574" w14:textId="77777777" w:rsidR="00DA3C89" w:rsidRPr="00B26A5F" w:rsidRDefault="00DA3C89" w:rsidP="009D675B">
      <w:pPr>
        <w:pStyle w:val="Heading3"/>
        <w:numPr>
          <w:ilvl w:val="2"/>
          <w:numId w:val="143"/>
        </w:numPr>
      </w:pPr>
      <w:r w:rsidRPr="00B26A5F">
        <w:t xml:space="preserve">derive the median service levels relating to the Comparable Services using the Equivalent Services </w:t>
      </w:r>
      <w:proofErr w:type="gramStart"/>
      <w:r w:rsidRPr="00B26A5F">
        <w:t>Data;</w:t>
      </w:r>
      <w:proofErr w:type="gramEnd"/>
    </w:p>
    <w:p w14:paraId="22C87D96" w14:textId="77777777" w:rsidR="00DA3C89" w:rsidRPr="00B26A5F" w:rsidRDefault="00DA3C89" w:rsidP="009D675B">
      <w:pPr>
        <w:pStyle w:val="Heading3"/>
        <w:numPr>
          <w:ilvl w:val="2"/>
          <w:numId w:val="143"/>
        </w:numPr>
      </w:pPr>
      <w:r w:rsidRPr="00B26A5F">
        <w:t xml:space="preserve">compare the value for money of the Charges attributable to the Benchmarked Services (having regard in particular to the applicable Performance Indicators and Target Service Levels) to the value for money of the Upper </w:t>
      </w:r>
      <w:proofErr w:type="gramStart"/>
      <w:r w:rsidRPr="00B26A5F">
        <w:t>Quartile;</w:t>
      </w:r>
      <w:proofErr w:type="gramEnd"/>
    </w:p>
    <w:p w14:paraId="0086B10C" w14:textId="77777777" w:rsidR="00DA3C89" w:rsidRPr="00B26A5F" w:rsidRDefault="00DA3C89" w:rsidP="009D675B">
      <w:pPr>
        <w:pStyle w:val="Heading3"/>
        <w:numPr>
          <w:ilvl w:val="2"/>
          <w:numId w:val="143"/>
        </w:numPr>
      </w:pPr>
      <w:r w:rsidRPr="00B26A5F">
        <w:t>compare the Performance Indicators and Target Service Levels attributable to the Benchmarked Services (having regard to the Charges and Service Credits) with the median service levels using the Equivalent Services Data; and</w:t>
      </w:r>
    </w:p>
    <w:p w14:paraId="4A42CCC3" w14:textId="77777777" w:rsidR="00DA3C89" w:rsidRPr="000E5786" w:rsidRDefault="00DA3C89" w:rsidP="009D675B">
      <w:pPr>
        <w:pStyle w:val="Heading3"/>
        <w:numPr>
          <w:ilvl w:val="2"/>
          <w:numId w:val="143"/>
        </w:numPr>
        <w:rPr>
          <w:rFonts w:eastAsia="Arial"/>
        </w:rPr>
      </w:pPr>
      <w:r w:rsidRPr="00B26A5F">
        <w:t xml:space="preserve">determine </w:t>
      </w:r>
      <w:proofErr w:type="gramStart"/>
      <w:r w:rsidRPr="00B26A5F">
        <w:t>whether or not</w:t>
      </w:r>
      <w:proofErr w:type="gramEnd"/>
      <w:r w:rsidRPr="00B26A5F">
        <w:t xml:space="preserve"> each Benchmarked Service is and/or the Benchmarked</w:t>
      </w:r>
      <w:r w:rsidRPr="000E5786">
        <w:rPr>
          <w:rFonts w:eastAsia="Arial"/>
        </w:rPr>
        <w:t xml:space="preserve"> Services as a whole are, Good Value.</w:t>
      </w:r>
    </w:p>
    <w:p w14:paraId="6107F01B" w14:textId="7351F34B" w:rsidR="004C127E" w:rsidRPr="000E5786" w:rsidRDefault="004C127E" w:rsidP="009D675B">
      <w:pPr>
        <w:pStyle w:val="Heading2"/>
        <w:numPr>
          <w:ilvl w:val="1"/>
          <w:numId w:val="143"/>
        </w:numPr>
        <w:spacing w:after="120"/>
        <w:rPr>
          <w:rFonts w:eastAsia="Arial" w:cs="Arial"/>
          <w:spacing w:val="-1"/>
          <w:szCs w:val="20"/>
        </w:rPr>
      </w:pPr>
      <w:r w:rsidRPr="000E5786">
        <w:rPr>
          <w:rFonts w:eastAsia="Arial" w:cs="Arial"/>
          <w:spacing w:val="-1"/>
          <w:szCs w:val="20"/>
        </w:rPr>
        <w:t xml:space="preserve">The </w:t>
      </w:r>
      <w:proofErr w:type="spellStart"/>
      <w:r w:rsidRPr="000E5786">
        <w:rPr>
          <w:rFonts w:eastAsia="Arial" w:cs="Arial"/>
          <w:spacing w:val="-1"/>
          <w:szCs w:val="20"/>
        </w:rPr>
        <w:t>Benchmarker</w:t>
      </w:r>
      <w:proofErr w:type="spellEnd"/>
      <w:r w:rsidRPr="000E5786">
        <w:rPr>
          <w:rFonts w:eastAsia="Arial" w:cs="Arial"/>
          <w:spacing w:val="-1"/>
          <w:szCs w:val="20"/>
        </w:rPr>
        <w:t xml:space="preserve"> shall have regard to the following matters when performing a comparative assessment </w:t>
      </w:r>
      <w:r w:rsidRPr="000E5786">
        <w:rPr>
          <w:rFonts w:cs="Arial"/>
          <w:szCs w:val="20"/>
        </w:rPr>
        <w:t>of</w:t>
      </w:r>
      <w:r w:rsidRPr="000E5786">
        <w:rPr>
          <w:rFonts w:eastAsia="Arial" w:cs="Arial"/>
          <w:spacing w:val="-1"/>
          <w:szCs w:val="20"/>
        </w:rPr>
        <w:t xml:space="preserve"> a Benchmarked Service and a Comparable Service </w:t>
      </w:r>
      <w:proofErr w:type="gramStart"/>
      <w:r w:rsidRPr="000E5786">
        <w:rPr>
          <w:rFonts w:eastAsia="Arial" w:cs="Arial"/>
          <w:spacing w:val="-1"/>
          <w:szCs w:val="20"/>
        </w:rPr>
        <w:t>in order to</w:t>
      </w:r>
      <w:proofErr w:type="gramEnd"/>
      <w:r w:rsidRPr="000E5786">
        <w:rPr>
          <w:rFonts w:eastAsia="Arial" w:cs="Arial"/>
          <w:spacing w:val="-1"/>
          <w:szCs w:val="20"/>
        </w:rPr>
        <w:t xml:space="preserve"> derive Equivalent Services Data:</w:t>
      </w:r>
    </w:p>
    <w:p w14:paraId="70F4407D" w14:textId="77777777" w:rsidR="00DA3C89" w:rsidRPr="00B26A5F" w:rsidRDefault="00DA3C89" w:rsidP="009D675B">
      <w:pPr>
        <w:pStyle w:val="Heading3"/>
        <w:numPr>
          <w:ilvl w:val="2"/>
          <w:numId w:val="143"/>
        </w:numPr>
      </w:pPr>
      <w:r w:rsidRPr="000E5786">
        <w:rPr>
          <w:rFonts w:eastAsia="Arial"/>
        </w:rPr>
        <w:t xml:space="preserve">the </w:t>
      </w:r>
      <w:r w:rsidRPr="00B26A5F">
        <w:t>contractual and business environment under which the Services are being provided (including the scope, scale, complexity and geographical spread of the Services</w:t>
      </w:r>
      <w:proofErr w:type="gramStart"/>
      <w:r w:rsidRPr="00B26A5F">
        <w:t>);</w:t>
      </w:r>
      <w:proofErr w:type="gramEnd"/>
    </w:p>
    <w:p w14:paraId="655ADD57" w14:textId="1811AA06" w:rsidR="00DA3C89" w:rsidRPr="00B26A5F" w:rsidRDefault="00DA3C89" w:rsidP="009D675B">
      <w:pPr>
        <w:pStyle w:val="Heading3"/>
        <w:numPr>
          <w:ilvl w:val="2"/>
          <w:numId w:val="143"/>
        </w:numPr>
      </w:pPr>
      <w:r w:rsidRPr="00B26A5F">
        <w:t xml:space="preserve">any front-end investment and development costs of the </w:t>
      </w:r>
      <w:proofErr w:type="gramStart"/>
      <w:r w:rsidRPr="00B26A5F">
        <w:t>Supp</w:t>
      </w:r>
      <w:r w:rsidR="00FD4D0F">
        <w:t>l</w:t>
      </w:r>
      <w:r w:rsidRPr="00B26A5F">
        <w:t>ier;</w:t>
      </w:r>
      <w:proofErr w:type="gramEnd"/>
    </w:p>
    <w:p w14:paraId="69EA3C07" w14:textId="77777777" w:rsidR="00DA3C89" w:rsidRPr="00B26A5F" w:rsidRDefault="00DA3C89" w:rsidP="009D675B">
      <w:pPr>
        <w:pStyle w:val="Heading3"/>
        <w:numPr>
          <w:ilvl w:val="2"/>
          <w:numId w:val="143"/>
        </w:numPr>
      </w:pPr>
      <w:r w:rsidRPr="00B26A5F">
        <w:t xml:space="preserve">the Supplier's risk profile including the financial, performance or liability risks associated with the provision of the Services as a </w:t>
      </w:r>
      <w:proofErr w:type="gramStart"/>
      <w:r w:rsidRPr="00B26A5F">
        <w:t>whole;</w:t>
      </w:r>
      <w:proofErr w:type="gramEnd"/>
    </w:p>
    <w:p w14:paraId="5A0DC82F" w14:textId="3D2C8B2C" w:rsidR="00DA3C89" w:rsidRPr="00B26A5F" w:rsidRDefault="00DA3C89" w:rsidP="009D675B">
      <w:pPr>
        <w:pStyle w:val="Heading3"/>
        <w:numPr>
          <w:ilvl w:val="2"/>
          <w:numId w:val="143"/>
        </w:numPr>
      </w:pPr>
      <w:r w:rsidRPr="00B26A5F">
        <w:t>the exte</w:t>
      </w:r>
      <w:r w:rsidR="00FD4D0F">
        <w:t>n</w:t>
      </w:r>
      <w:r w:rsidRPr="00B26A5F">
        <w:t xml:space="preserve">t of the Supplier's management and contract governance </w:t>
      </w:r>
      <w:proofErr w:type="gramStart"/>
      <w:r w:rsidRPr="00B26A5F">
        <w:t>responsibilities;</w:t>
      </w:r>
      <w:proofErr w:type="gramEnd"/>
    </w:p>
    <w:p w14:paraId="29EF70BE" w14:textId="7560CBE3" w:rsidR="00DA3C89" w:rsidRPr="000E5786" w:rsidRDefault="00DA3C89" w:rsidP="009D675B">
      <w:pPr>
        <w:pStyle w:val="Heading3"/>
        <w:numPr>
          <w:ilvl w:val="2"/>
          <w:numId w:val="143"/>
        </w:numPr>
        <w:rPr>
          <w:rFonts w:eastAsia="Arial"/>
        </w:rPr>
      </w:pPr>
      <w:r w:rsidRPr="00B26A5F">
        <w:lastRenderedPageBreak/>
        <w:t xml:space="preserve">any other reasonable factors demonstrated by the Supplier, which, if not taken into consideration, could unfairly </w:t>
      </w:r>
      <w:r w:rsidR="00FD4D0F">
        <w:t>c</w:t>
      </w:r>
      <w:r w:rsidRPr="00B26A5F">
        <w:t>ause the Supplier's pricing to appear non-competitive (such as erroneous costing, non-sustainable behaviour including excessive consumption</w:t>
      </w:r>
      <w:r w:rsidRPr="000E5786">
        <w:rPr>
          <w:rFonts w:eastAsia="Arial"/>
        </w:rPr>
        <w:t xml:space="preserve"> of energy or over-aggressive pricing).</w:t>
      </w:r>
    </w:p>
    <w:p w14:paraId="63BF896C" w14:textId="77777777" w:rsidR="00615F94" w:rsidRPr="000E5786" w:rsidRDefault="00615F94" w:rsidP="00DD60F0">
      <w:pPr>
        <w:tabs>
          <w:tab w:val="left" w:pos="1872"/>
        </w:tabs>
        <w:ind w:left="1872"/>
        <w:textAlignment w:val="baseline"/>
        <w:rPr>
          <w:rFonts w:eastAsia="Arial" w:cs="Arial"/>
          <w:szCs w:val="20"/>
        </w:rPr>
      </w:pPr>
    </w:p>
    <w:bookmarkEnd w:id="2342"/>
    <w:p w14:paraId="729A00E1" w14:textId="77777777" w:rsidR="00615F94" w:rsidRPr="000E5786" w:rsidRDefault="004C127E" w:rsidP="009D675B">
      <w:pPr>
        <w:pStyle w:val="Heading1"/>
        <w:numPr>
          <w:ilvl w:val="0"/>
          <w:numId w:val="143"/>
        </w:numPr>
        <w:spacing w:after="120"/>
        <w:rPr>
          <w:rFonts w:eastAsia="Arial" w:cs="Arial"/>
          <w:b w:val="0"/>
          <w:spacing w:val="-2"/>
          <w:szCs w:val="20"/>
        </w:rPr>
      </w:pPr>
      <w:r w:rsidRPr="000E5786">
        <w:rPr>
          <w:rFonts w:cs="Arial"/>
          <w:szCs w:val="20"/>
        </w:rPr>
        <w:t>BENCHMARK</w:t>
      </w:r>
      <w:r w:rsidRPr="000E5786">
        <w:rPr>
          <w:rFonts w:eastAsia="Arial" w:cs="Arial"/>
          <w:spacing w:val="-2"/>
          <w:szCs w:val="20"/>
        </w:rPr>
        <w:t xml:space="preserve"> REPORT</w:t>
      </w:r>
    </w:p>
    <w:p w14:paraId="3657E6F6" w14:textId="7F97836E" w:rsidR="004C127E" w:rsidRPr="000E5786" w:rsidRDefault="004C127E" w:rsidP="009D675B">
      <w:pPr>
        <w:pStyle w:val="Heading2"/>
        <w:numPr>
          <w:ilvl w:val="1"/>
          <w:numId w:val="143"/>
        </w:numPr>
        <w:spacing w:after="120"/>
        <w:rPr>
          <w:rFonts w:eastAsia="Arial" w:cs="Arial"/>
          <w:b/>
          <w:spacing w:val="-2"/>
          <w:szCs w:val="20"/>
        </w:rPr>
      </w:pPr>
      <w:r w:rsidRPr="000E5786">
        <w:rPr>
          <w:rFonts w:eastAsia="Arial" w:cs="Arial"/>
          <w:szCs w:val="20"/>
        </w:rPr>
        <w:t xml:space="preserve">The </w:t>
      </w:r>
      <w:proofErr w:type="spellStart"/>
      <w:r w:rsidRPr="000E5786">
        <w:rPr>
          <w:rFonts w:cs="Arial"/>
          <w:szCs w:val="20"/>
        </w:rPr>
        <w:t>Benchmarker</w:t>
      </w:r>
      <w:proofErr w:type="spellEnd"/>
      <w:r w:rsidRPr="000E5786">
        <w:rPr>
          <w:rFonts w:eastAsia="Arial" w:cs="Arial"/>
          <w:szCs w:val="20"/>
        </w:rPr>
        <w:t xml:space="preserve"> shall be required to prepare a Benchmark Report and deliver it simultaneously to both Parties, at the time specified in the plan approved under Paragraph 4, setting out its findings. The Benchmark Report shall:</w:t>
      </w:r>
    </w:p>
    <w:p w14:paraId="78C373CC" w14:textId="77777777" w:rsidR="00DA3C89" w:rsidRPr="00B26A5F" w:rsidRDefault="00DA3C89" w:rsidP="009D675B">
      <w:pPr>
        <w:pStyle w:val="Heading3"/>
        <w:numPr>
          <w:ilvl w:val="2"/>
          <w:numId w:val="143"/>
        </w:numPr>
      </w:pPr>
      <w:r w:rsidRPr="000E5786">
        <w:rPr>
          <w:rFonts w:eastAsia="Arial"/>
        </w:rPr>
        <w:t xml:space="preserve">include a finding as to whether or not each Benchmarked Service is and/or </w:t>
      </w:r>
      <w:r w:rsidRPr="00B26A5F">
        <w:t xml:space="preserve">whether the Benchmarked Services as a whole are, Good </w:t>
      </w:r>
      <w:proofErr w:type="gramStart"/>
      <w:r w:rsidRPr="00B26A5F">
        <w:t>Value;</w:t>
      </w:r>
      <w:proofErr w:type="gramEnd"/>
    </w:p>
    <w:p w14:paraId="7D3E5291" w14:textId="77777777" w:rsidR="00DA3C89" w:rsidRPr="00B26A5F" w:rsidRDefault="00DA3C89" w:rsidP="009D675B">
      <w:pPr>
        <w:pStyle w:val="Heading3"/>
        <w:numPr>
          <w:ilvl w:val="2"/>
          <w:numId w:val="143"/>
        </w:numPr>
      </w:pPr>
      <w:r w:rsidRPr="00B26A5F">
        <w:t xml:space="preserve">include other findings (if any) regarding the quality and competitiveness or otherwise of those </w:t>
      </w:r>
      <w:proofErr w:type="gramStart"/>
      <w:r w:rsidRPr="00B26A5F">
        <w:t>Services;</w:t>
      </w:r>
      <w:proofErr w:type="gramEnd"/>
    </w:p>
    <w:p w14:paraId="5AF28660" w14:textId="77777777" w:rsidR="00DA3C89" w:rsidRPr="00B26A5F" w:rsidRDefault="00DA3C89" w:rsidP="009D675B">
      <w:pPr>
        <w:pStyle w:val="Heading3"/>
        <w:numPr>
          <w:ilvl w:val="2"/>
          <w:numId w:val="143"/>
        </w:numPr>
      </w:pPr>
      <w:r w:rsidRPr="00B26A5F">
        <w:t xml:space="preserve">if any Benchmarked Service is not Good Value, or the Benchmarked Services </w:t>
      </w:r>
      <w:proofErr w:type="gramStart"/>
      <w:r w:rsidRPr="00B26A5F">
        <w:t>as a whole are</w:t>
      </w:r>
      <w:proofErr w:type="gramEnd"/>
      <w:r w:rsidRPr="00B26A5F">
        <w:t xml:space="preserve"> not Good Value, specify the changes that would be required to the Charges, Performance Indicators and/or Target Performance Levels, that would be required to make that Benchmarked Service or those Benchmarked Services as a whole Good Value; and</w:t>
      </w:r>
    </w:p>
    <w:p w14:paraId="2519FAE7" w14:textId="77777777" w:rsidR="00DA3C89" w:rsidRPr="000E5786" w:rsidRDefault="00DA3C89" w:rsidP="009D675B">
      <w:pPr>
        <w:pStyle w:val="Heading3"/>
        <w:numPr>
          <w:ilvl w:val="2"/>
          <w:numId w:val="143"/>
        </w:numPr>
        <w:rPr>
          <w:rFonts w:eastAsia="Arial"/>
        </w:rPr>
      </w:pPr>
      <w:r w:rsidRPr="00B26A5F">
        <w:t>illustrate</w:t>
      </w:r>
      <w:r w:rsidRPr="000E5786">
        <w:rPr>
          <w:rFonts w:eastAsia="Arial"/>
        </w:rPr>
        <w:t xml:space="preserve"> the method used for any normalisation of the Equivalent Services Data.</w:t>
      </w:r>
    </w:p>
    <w:p w14:paraId="04C42F17" w14:textId="7C4F1B51" w:rsidR="004C127E" w:rsidRPr="000E5786" w:rsidRDefault="004C127E" w:rsidP="009D675B">
      <w:pPr>
        <w:pStyle w:val="Heading2"/>
        <w:numPr>
          <w:ilvl w:val="1"/>
          <w:numId w:val="143"/>
        </w:numPr>
        <w:spacing w:after="120"/>
        <w:rPr>
          <w:rFonts w:eastAsia="Arial" w:cs="Arial"/>
          <w:szCs w:val="20"/>
        </w:rPr>
      </w:pPr>
      <w:r w:rsidRPr="000E5786">
        <w:rPr>
          <w:rFonts w:eastAsia="Arial" w:cs="Arial"/>
          <w:szCs w:val="20"/>
        </w:rPr>
        <w:t xml:space="preserve">The </w:t>
      </w:r>
      <w:proofErr w:type="spellStart"/>
      <w:r w:rsidRPr="000E5786">
        <w:rPr>
          <w:rFonts w:cs="Arial"/>
          <w:szCs w:val="20"/>
        </w:rPr>
        <w:t>Benchmarker</w:t>
      </w:r>
      <w:proofErr w:type="spellEnd"/>
      <w:r w:rsidRPr="000E5786">
        <w:rPr>
          <w:rFonts w:eastAsia="Arial" w:cs="Arial"/>
          <w:szCs w:val="20"/>
        </w:rPr>
        <w:t xml:space="preserve"> shall act as an expert and not as an arbitrator.</w:t>
      </w:r>
    </w:p>
    <w:p w14:paraId="78A9330D" w14:textId="6E982B32" w:rsidR="004C127E" w:rsidRPr="000E5786" w:rsidRDefault="004C127E" w:rsidP="009D675B">
      <w:pPr>
        <w:pStyle w:val="Heading2"/>
        <w:numPr>
          <w:ilvl w:val="1"/>
          <w:numId w:val="143"/>
        </w:numPr>
        <w:spacing w:after="120"/>
        <w:rPr>
          <w:rFonts w:eastAsia="Arial" w:cs="Arial"/>
          <w:szCs w:val="20"/>
        </w:rPr>
      </w:pPr>
      <w:r w:rsidRPr="000E5786">
        <w:rPr>
          <w:rFonts w:eastAsia="Arial" w:cs="Arial"/>
          <w:spacing w:val="-2"/>
          <w:szCs w:val="20"/>
        </w:rPr>
        <w:t xml:space="preserve">If the Benchmark Report states that any Benchmarked Service is not Good Value or that the Benchmarked Services </w:t>
      </w:r>
      <w:proofErr w:type="gramStart"/>
      <w:r w:rsidRPr="000E5786">
        <w:rPr>
          <w:rFonts w:eastAsia="Arial" w:cs="Arial"/>
          <w:spacing w:val="-2"/>
          <w:szCs w:val="20"/>
        </w:rPr>
        <w:t>as a whole are</w:t>
      </w:r>
      <w:proofErr w:type="gramEnd"/>
      <w:r w:rsidRPr="000E5786">
        <w:rPr>
          <w:rFonts w:eastAsia="Arial" w:cs="Arial"/>
          <w:spacing w:val="-2"/>
          <w:szCs w:val="20"/>
        </w:rPr>
        <w:t xml:space="preserve"> not Good Value, then the Supplier shall (subject to Paragraphs 5.5 and 5.6) implement the changes set out in the Benchmark Report as soon as reasonably practicable within timescales agreed with </w:t>
      </w:r>
      <w:proofErr w:type="spellStart"/>
      <w:r w:rsidR="001F1C19">
        <w:rPr>
          <w:rFonts w:eastAsia="Arial" w:cs="Arial"/>
          <w:spacing w:val="-2"/>
          <w:szCs w:val="20"/>
        </w:rPr>
        <w:t>Netlink</w:t>
      </w:r>
      <w:proofErr w:type="spellEnd"/>
      <w:r w:rsidR="001F1C19">
        <w:rPr>
          <w:rFonts w:eastAsia="Arial" w:cs="Arial"/>
          <w:spacing w:val="-2"/>
          <w:szCs w:val="20"/>
        </w:rPr>
        <w:t xml:space="preserve"> Star</w:t>
      </w:r>
      <w:r w:rsidRPr="000E5786">
        <w:rPr>
          <w:rFonts w:eastAsia="Arial" w:cs="Arial"/>
          <w:spacing w:val="-2"/>
          <w:szCs w:val="20"/>
        </w:rPr>
        <w:t xml:space="preserve"> but in any event within no more than three (3) </w:t>
      </w:r>
      <w:r w:rsidRPr="000E5786">
        <w:rPr>
          <w:rFonts w:eastAsia="Arial" w:cs="Arial"/>
          <w:szCs w:val="20"/>
        </w:rPr>
        <w:t>months. Any associated changes to the Charges shall take effect only from the same date and shall not be retrospective.</w:t>
      </w:r>
    </w:p>
    <w:p w14:paraId="5B8BD089" w14:textId="360200D4" w:rsidR="004C127E" w:rsidRPr="000E5786" w:rsidRDefault="004C127E" w:rsidP="009D675B">
      <w:pPr>
        <w:pStyle w:val="Heading2"/>
        <w:numPr>
          <w:ilvl w:val="1"/>
          <w:numId w:val="143"/>
        </w:numPr>
        <w:spacing w:after="120"/>
        <w:rPr>
          <w:rFonts w:eastAsia="Arial" w:cs="Arial"/>
          <w:szCs w:val="20"/>
        </w:rPr>
      </w:pPr>
      <w:r w:rsidRPr="000E5786">
        <w:rPr>
          <w:rFonts w:eastAsia="Arial" w:cs="Arial"/>
          <w:szCs w:val="20"/>
        </w:rPr>
        <w:t xml:space="preserve">The Supplier acknowledges and agrees that Benchmark Reviews shall not </w:t>
      </w:r>
      <w:r w:rsidRPr="000E5786">
        <w:rPr>
          <w:rFonts w:eastAsia="Arial" w:cs="Arial"/>
          <w:spacing w:val="-1"/>
          <w:szCs w:val="20"/>
        </w:rPr>
        <w:t>result in any increase to the Charges, disapplication of the Performance Indicators or any reduction in the Target Performance Levels.</w:t>
      </w:r>
    </w:p>
    <w:p w14:paraId="1DCBEDA4" w14:textId="77777777" w:rsidR="004C127E" w:rsidRPr="000E5786" w:rsidRDefault="004C127E" w:rsidP="009D675B">
      <w:pPr>
        <w:pStyle w:val="Heading2"/>
        <w:numPr>
          <w:ilvl w:val="1"/>
          <w:numId w:val="143"/>
        </w:numPr>
        <w:spacing w:after="120"/>
        <w:rPr>
          <w:rFonts w:eastAsia="Arial" w:cs="Arial"/>
          <w:szCs w:val="20"/>
        </w:rPr>
      </w:pPr>
      <w:r w:rsidRPr="000E5786">
        <w:rPr>
          <w:rFonts w:eastAsia="Arial" w:cs="Arial"/>
          <w:szCs w:val="20"/>
        </w:rPr>
        <w:t xml:space="preserve">The Supplier shall be entitled to reject any Benchmark Report if the Supplier reasonably considers </w:t>
      </w:r>
      <w:r w:rsidRPr="000E5786">
        <w:rPr>
          <w:rFonts w:cs="Arial"/>
          <w:szCs w:val="20"/>
        </w:rPr>
        <w:t>that</w:t>
      </w:r>
      <w:r w:rsidRPr="000E5786">
        <w:rPr>
          <w:rFonts w:eastAsia="Arial" w:cs="Arial"/>
          <w:szCs w:val="20"/>
        </w:rPr>
        <w:t xml:space="preserve"> the </w:t>
      </w:r>
      <w:proofErr w:type="spellStart"/>
      <w:r w:rsidRPr="000E5786">
        <w:rPr>
          <w:rFonts w:eastAsia="Arial" w:cs="Arial"/>
          <w:szCs w:val="20"/>
        </w:rPr>
        <w:t>Benchmarker</w:t>
      </w:r>
      <w:proofErr w:type="spellEnd"/>
      <w:r w:rsidRPr="000E5786">
        <w:rPr>
          <w:rFonts w:eastAsia="Arial" w:cs="Arial"/>
          <w:szCs w:val="20"/>
        </w:rPr>
        <w:t xml:space="preserve"> has not followed the procedure for the related Benchmark Review as set out in this Schedule in any material respect.</w:t>
      </w:r>
    </w:p>
    <w:p w14:paraId="04B238E8" w14:textId="619D0001" w:rsidR="004C127E" w:rsidRPr="000E5786" w:rsidRDefault="004C127E" w:rsidP="009D675B">
      <w:pPr>
        <w:pStyle w:val="Heading2"/>
        <w:numPr>
          <w:ilvl w:val="1"/>
          <w:numId w:val="143"/>
        </w:numPr>
        <w:spacing w:after="120"/>
        <w:rPr>
          <w:rFonts w:eastAsia="Arial" w:cs="Arial"/>
          <w:szCs w:val="20"/>
        </w:rPr>
      </w:pPr>
      <w:r w:rsidRPr="000E5786">
        <w:rPr>
          <w:rFonts w:eastAsia="Arial" w:cs="Arial"/>
          <w:szCs w:val="20"/>
        </w:rPr>
        <w:t>The Supplier shall not be obliged to implement any Benchmark Report to the extent this would cause the Supplier to provide the Services at a loss (as determined, by reference to the Financial Model), or to the extent the Supplier cannot technically implement the recommended changes.</w:t>
      </w:r>
    </w:p>
    <w:p w14:paraId="0F755863" w14:textId="5EBE0B3B" w:rsidR="004C127E" w:rsidRPr="000E5786" w:rsidRDefault="004C127E" w:rsidP="009D675B">
      <w:pPr>
        <w:pStyle w:val="Heading2"/>
        <w:numPr>
          <w:ilvl w:val="1"/>
          <w:numId w:val="143"/>
        </w:numPr>
        <w:spacing w:after="120"/>
        <w:rPr>
          <w:rFonts w:cs="Arial"/>
          <w:bCs w:val="0"/>
          <w:iCs w:val="0"/>
          <w:szCs w:val="20"/>
        </w:rPr>
      </w:pPr>
      <w:r w:rsidRPr="000E5786">
        <w:rPr>
          <w:rFonts w:cs="Arial"/>
          <w:bCs w:val="0"/>
          <w:iCs w:val="0"/>
          <w:szCs w:val="20"/>
        </w:rPr>
        <w:t xml:space="preserve">In the event of any Dispute arising over whether the </w:t>
      </w:r>
      <w:proofErr w:type="spellStart"/>
      <w:r w:rsidRPr="000E5786">
        <w:rPr>
          <w:rFonts w:cs="Arial"/>
          <w:bCs w:val="0"/>
          <w:iCs w:val="0"/>
          <w:szCs w:val="20"/>
        </w:rPr>
        <w:t>Benchmarker</w:t>
      </w:r>
      <w:proofErr w:type="spellEnd"/>
      <w:r w:rsidRPr="000E5786">
        <w:rPr>
          <w:rFonts w:cs="Arial"/>
          <w:bCs w:val="0"/>
          <w:iCs w:val="0"/>
          <w:szCs w:val="20"/>
        </w:rPr>
        <w:t xml:space="preserve"> has followed the procedure for the </w:t>
      </w:r>
      <w:r w:rsidRPr="000E5786">
        <w:rPr>
          <w:rFonts w:cs="Arial"/>
          <w:szCs w:val="20"/>
        </w:rPr>
        <w:t>related</w:t>
      </w:r>
      <w:r w:rsidRPr="000E5786">
        <w:rPr>
          <w:rFonts w:cs="Arial"/>
          <w:bCs w:val="0"/>
          <w:iCs w:val="0"/>
          <w:szCs w:val="20"/>
        </w:rPr>
        <w:t xml:space="preserve"> Benchmark Review under Paragraph 5.5 and/or any matter referred to in Paragraph 5.6, the Dispute shall be referred to Expert Determination. For the avoidance of doubt in the event of a Dispute between the Parties, </w:t>
      </w:r>
      <w:proofErr w:type="spellStart"/>
      <w:r w:rsidR="001F1C19">
        <w:rPr>
          <w:rFonts w:cs="Arial"/>
          <w:bCs w:val="0"/>
          <w:iCs w:val="0"/>
          <w:szCs w:val="20"/>
        </w:rPr>
        <w:t>Netlink</w:t>
      </w:r>
      <w:proofErr w:type="spellEnd"/>
      <w:r w:rsidR="001F1C19">
        <w:rPr>
          <w:rFonts w:cs="Arial"/>
          <w:bCs w:val="0"/>
          <w:iCs w:val="0"/>
          <w:szCs w:val="20"/>
        </w:rPr>
        <w:t xml:space="preserve"> Star</w:t>
      </w:r>
      <w:r w:rsidRPr="000E5786">
        <w:rPr>
          <w:rFonts w:cs="Arial"/>
          <w:bCs w:val="0"/>
          <w:iCs w:val="0"/>
          <w:szCs w:val="20"/>
        </w:rPr>
        <w:t xml:space="preserve"> shall continue to pay the Charges to the Supplier in accordance with the terms of this Agreement and the Performance Indicators and Target Performance Levels shall remain unchanged pending the conclusion of the Expert Determination.</w:t>
      </w:r>
    </w:p>
    <w:p w14:paraId="72325181" w14:textId="48111B2B" w:rsidR="00DA3C89" w:rsidRPr="000E5786" w:rsidRDefault="004C127E" w:rsidP="009D675B">
      <w:pPr>
        <w:pStyle w:val="Heading2"/>
        <w:keepNext/>
        <w:numPr>
          <w:ilvl w:val="1"/>
          <w:numId w:val="143"/>
        </w:numPr>
        <w:spacing w:after="120"/>
        <w:rPr>
          <w:rFonts w:eastAsia="Arial" w:cs="Arial"/>
          <w:szCs w:val="20"/>
        </w:rPr>
      </w:pPr>
      <w:r w:rsidRPr="000E5786">
        <w:rPr>
          <w:rFonts w:eastAsia="Arial" w:cs="Arial"/>
          <w:szCs w:val="20"/>
        </w:rPr>
        <w:t xml:space="preserve">On </w:t>
      </w:r>
      <w:r w:rsidRPr="000E5786">
        <w:rPr>
          <w:rFonts w:cs="Arial"/>
          <w:szCs w:val="20"/>
        </w:rPr>
        <w:t>conclusion</w:t>
      </w:r>
      <w:r w:rsidRPr="000E5786">
        <w:rPr>
          <w:rFonts w:eastAsia="Arial" w:cs="Arial"/>
          <w:szCs w:val="20"/>
        </w:rPr>
        <w:t xml:space="preserve"> of the Expert Determination</w:t>
      </w:r>
      <w:r w:rsidR="00B26A5F" w:rsidRPr="00B26A5F">
        <w:rPr>
          <w:rFonts w:eastAsia="Arial" w:cs="Arial"/>
          <w:spacing w:val="-2"/>
          <w:szCs w:val="20"/>
        </w:rPr>
        <w:t xml:space="preserve"> </w:t>
      </w:r>
      <w:r w:rsidR="00B26A5F" w:rsidRPr="000E5786">
        <w:rPr>
          <w:rFonts w:eastAsia="Arial" w:cs="Arial"/>
          <w:spacing w:val="-2"/>
          <w:szCs w:val="20"/>
        </w:rPr>
        <w:t>if the Expert determines that all or any part of the Benchmark Report recommendations regarding any</w:t>
      </w:r>
      <w:r w:rsidRPr="000E5786">
        <w:rPr>
          <w:rFonts w:eastAsia="Arial" w:cs="Arial"/>
          <w:szCs w:val="20"/>
        </w:rPr>
        <w:t>:</w:t>
      </w:r>
    </w:p>
    <w:p w14:paraId="00B45A93" w14:textId="155CC803" w:rsidR="00DA3C89" w:rsidRPr="000E5786" w:rsidRDefault="00DA3C89" w:rsidP="009D675B">
      <w:pPr>
        <w:pStyle w:val="Heading3"/>
        <w:numPr>
          <w:ilvl w:val="2"/>
          <w:numId w:val="143"/>
        </w:numPr>
        <w:rPr>
          <w:rFonts w:eastAsia="Arial"/>
        </w:rPr>
      </w:pPr>
      <w:r w:rsidRPr="000E5786">
        <w:rPr>
          <w:rFonts w:eastAsia="Arial"/>
        </w:rPr>
        <w:t xml:space="preserve">reduction in the Charges shall be implemented by the </w:t>
      </w:r>
      <w:r w:rsidRPr="00B26A5F">
        <w:t>Supplier</w:t>
      </w:r>
      <w:r w:rsidRPr="000E5786">
        <w:rPr>
          <w:rFonts w:eastAsia="Arial"/>
        </w:rPr>
        <w:t xml:space="preserve">, the Supplier shall immediately repay to </w:t>
      </w:r>
      <w:proofErr w:type="spellStart"/>
      <w:r w:rsidR="001F1C19">
        <w:rPr>
          <w:rFonts w:eastAsia="Arial"/>
        </w:rPr>
        <w:t>Netlink</w:t>
      </w:r>
      <w:proofErr w:type="spellEnd"/>
      <w:r w:rsidR="001F1C19">
        <w:rPr>
          <w:rFonts w:eastAsia="Arial"/>
        </w:rPr>
        <w:t xml:space="preserve"> Star</w:t>
      </w:r>
      <w:r w:rsidRPr="000E5786">
        <w:rPr>
          <w:rFonts w:eastAsia="Arial"/>
        </w:rPr>
        <w:t xml:space="preserve"> the difference between the Charges paid by </w:t>
      </w:r>
      <w:proofErr w:type="spellStart"/>
      <w:r w:rsidR="001F1C19">
        <w:rPr>
          <w:rFonts w:eastAsia="Arial"/>
        </w:rPr>
        <w:t>Netlink</w:t>
      </w:r>
      <w:proofErr w:type="spellEnd"/>
      <w:r w:rsidR="001F1C19">
        <w:rPr>
          <w:rFonts w:eastAsia="Arial"/>
        </w:rPr>
        <w:t xml:space="preserve"> Star</w:t>
      </w:r>
      <w:r w:rsidRPr="000E5786">
        <w:rPr>
          <w:rFonts w:eastAsia="Arial"/>
        </w:rPr>
        <w:t xml:space="preserve"> up to and including the </w:t>
      </w:r>
      <w:r w:rsidR="00A20CD5">
        <w:rPr>
          <w:rFonts w:eastAsia="Arial"/>
        </w:rPr>
        <w:t>’</w:t>
      </w:r>
      <w:r w:rsidRPr="000E5786">
        <w:rPr>
          <w:rFonts w:eastAsia="Arial"/>
        </w:rPr>
        <w:t>ate of the Expert's determination and the date upon which the recommended reduction in Charges should have originally taken effect pursuant to Paragraph 5.3 together with interest thereon at the applicable rate under the Late Payment Of Commercial Debts (Interest) Act 1998; and</w:t>
      </w:r>
    </w:p>
    <w:p w14:paraId="22037832" w14:textId="02C19CF0" w:rsidR="00DA3C89" w:rsidRPr="000E5786" w:rsidRDefault="00DA3C89" w:rsidP="009D675B">
      <w:pPr>
        <w:pStyle w:val="Heading3"/>
        <w:numPr>
          <w:ilvl w:val="2"/>
          <w:numId w:val="143"/>
        </w:numPr>
        <w:rPr>
          <w:rFonts w:eastAsia="Arial"/>
        </w:rPr>
      </w:pPr>
      <w:r w:rsidRPr="000E5786">
        <w:rPr>
          <w:rFonts w:eastAsia="Arial"/>
        </w:rPr>
        <w:t>changes to the Performance Indicators and/or Target Performance Levels shall be implemented by the Supplier:</w:t>
      </w:r>
    </w:p>
    <w:p w14:paraId="7A26D1E1" w14:textId="77777777" w:rsidR="00DA3C89" w:rsidRPr="00B26A5F" w:rsidRDefault="00DA3C89" w:rsidP="009D675B">
      <w:pPr>
        <w:pStyle w:val="Heading4"/>
        <w:numPr>
          <w:ilvl w:val="3"/>
          <w:numId w:val="143"/>
        </w:numPr>
        <w:spacing w:after="120"/>
        <w:ind w:left="2410"/>
        <w:rPr>
          <w:rFonts w:cs="Arial"/>
          <w:szCs w:val="20"/>
        </w:rPr>
      </w:pPr>
      <w:r w:rsidRPr="000E5786">
        <w:rPr>
          <w:rFonts w:eastAsia="Arial" w:cs="Arial"/>
          <w:szCs w:val="20"/>
        </w:rPr>
        <w:lastRenderedPageBreak/>
        <w:t xml:space="preserve">the </w:t>
      </w:r>
      <w:r w:rsidRPr="00B26A5F">
        <w:rPr>
          <w:rFonts w:cs="Arial"/>
          <w:szCs w:val="20"/>
        </w:rPr>
        <w:t xml:space="preserve">Supplier shall immediately implement the relevant </w:t>
      </w:r>
      <w:proofErr w:type="gramStart"/>
      <w:r w:rsidRPr="00B26A5F">
        <w:rPr>
          <w:rFonts w:cs="Arial"/>
          <w:szCs w:val="20"/>
        </w:rPr>
        <w:t>changes;</w:t>
      </w:r>
      <w:proofErr w:type="gramEnd"/>
    </w:p>
    <w:p w14:paraId="3E4EA787" w14:textId="77777777" w:rsidR="00DA3C89" w:rsidRPr="00B26A5F" w:rsidRDefault="00DA3C89" w:rsidP="009D675B">
      <w:pPr>
        <w:pStyle w:val="Heading4"/>
        <w:numPr>
          <w:ilvl w:val="3"/>
          <w:numId w:val="143"/>
        </w:numPr>
        <w:spacing w:after="120"/>
        <w:ind w:left="2410"/>
        <w:rPr>
          <w:rFonts w:cs="Arial"/>
          <w:szCs w:val="20"/>
        </w:rPr>
      </w:pPr>
      <w:r w:rsidRPr="00B26A5F">
        <w:rPr>
          <w:rFonts w:cs="Arial"/>
          <w:szCs w:val="20"/>
        </w:rPr>
        <w:t xml:space="preserve">the Supplier shall immediately pay an amount equal to any Service Credits which would have accrued up to and including the date of the Expert’s determination if the relevant changes had taken effect on the date determined pursuant to Paragraph 5.3 together with interest thereon at the applicable rate under the Late Payment </w:t>
      </w:r>
      <w:proofErr w:type="gramStart"/>
      <w:r w:rsidRPr="00B26A5F">
        <w:rPr>
          <w:rFonts w:cs="Arial"/>
          <w:szCs w:val="20"/>
        </w:rPr>
        <w:t>Of</w:t>
      </w:r>
      <w:proofErr w:type="gramEnd"/>
      <w:r w:rsidRPr="00B26A5F">
        <w:rPr>
          <w:rFonts w:cs="Arial"/>
          <w:szCs w:val="20"/>
        </w:rPr>
        <w:t xml:space="preserve"> Commercial Debts (Interest) Act 1998; and</w:t>
      </w:r>
    </w:p>
    <w:p w14:paraId="15AEE921" w14:textId="05BBEEBC" w:rsidR="00DA3C89" w:rsidRPr="000E5786" w:rsidRDefault="00DA3C89" w:rsidP="009D675B">
      <w:pPr>
        <w:pStyle w:val="Heading4"/>
        <w:numPr>
          <w:ilvl w:val="3"/>
          <w:numId w:val="143"/>
        </w:numPr>
        <w:spacing w:after="120"/>
        <w:ind w:left="2410"/>
        <w:rPr>
          <w:rFonts w:eastAsia="Arial" w:cs="Arial"/>
          <w:szCs w:val="20"/>
        </w:rPr>
      </w:pPr>
      <w:r w:rsidRPr="00B26A5F">
        <w:rPr>
          <w:rFonts w:cs="Arial"/>
          <w:szCs w:val="20"/>
        </w:rPr>
        <w:t>the relevant changes shall thereafter be subject to the Change Control Procedure</w:t>
      </w:r>
      <w:r w:rsidRPr="000E5786">
        <w:rPr>
          <w:rFonts w:eastAsia="Arial" w:cs="Arial"/>
          <w:szCs w:val="20"/>
        </w:rPr>
        <w:t xml:space="preserve"> for the purposes of formalising and documenting the relevant change or amendment for the purposes of this Agreement.</w:t>
      </w:r>
    </w:p>
    <w:p w14:paraId="49FE0BCC" w14:textId="2371D742" w:rsidR="004C127E" w:rsidRPr="000E5786" w:rsidRDefault="004C127E" w:rsidP="009D675B">
      <w:pPr>
        <w:pStyle w:val="Heading2"/>
        <w:numPr>
          <w:ilvl w:val="1"/>
          <w:numId w:val="143"/>
        </w:numPr>
        <w:spacing w:after="120"/>
        <w:rPr>
          <w:rFonts w:eastAsia="Arial" w:cs="Arial"/>
          <w:szCs w:val="20"/>
        </w:rPr>
        <w:sectPr w:rsidR="004C127E" w:rsidRPr="000E5786" w:rsidSect="0026522A">
          <w:pgSz w:w="11907" w:h="16840" w:code="9"/>
          <w:pgMar w:top="1418" w:right="1418" w:bottom="1134" w:left="1418" w:header="709" w:footer="709" w:gutter="0"/>
          <w:cols w:space="708"/>
          <w:titlePg/>
          <w:docGrid w:linePitch="360"/>
        </w:sectPr>
      </w:pPr>
      <w:r w:rsidRPr="000E5786">
        <w:rPr>
          <w:rFonts w:eastAsia="Arial" w:cs="Arial"/>
          <w:szCs w:val="20"/>
        </w:rPr>
        <w:t xml:space="preserve">Any failure by the Supplier to implement the changes as set out in the Benchmark Report in accordance with the relevant timescales determined in accordance with Paragraph 5.3 (unless the provisions of Paragraph 5.6 and/or Paragraph 5.7 apply) or in accordance with Paragraph 5.8 shall, without prejudice to any other rights or remedies of </w:t>
      </w:r>
      <w:proofErr w:type="spellStart"/>
      <w:r w:rsidR="001F1C19">
        <w:rPr>
          <w:rFonts w:eastAsia="Arial" w:cs="Arial"/>
          <w:szCs w:val="20"/>
        </w:rPr>
        <w:t>Netlink</w:t>
      </w:r>
      <w:proofErr w:type="spellEnd"/>
      <w:r w:rsidR="001F1C19">
        <w:rPr>
          <w:rFonts w:eastAsia="Arial" w:cs="Arial"/>
          <w:szCs w:val="20"/>
        </w:rPr>
        <w:t xml:space="preserve"> Star</w:t>
      </w:r>
      <w:r w:rsidRPr="000E5786">
        <w:rPr>
          <w:rFonts w:eastAsia="Arial" w:cs="Arial"/>
          <w:szCs w:val="20"/>
        </w:rPr>
        <w:t>, constitute a Supplier Termination Event.</w:t>
      </w:r>
    </w:p>
    <w:p w14:paraId="32175EF6" w14:textId="58AE5816" w:rsidR="004C127E" w:rsidRPr="000E5786" w:rsidRDefault="004C127E" w:rsidP="00DD60F0">
      <w:pPr>
        <w:jc w:val="center"/>
        <w:textAlignment w:val="baseline"/>
        <w:rPr>
          <w:rFonts w:eastAsia="Arial" w:cs="Arial"/>
          <w:b/>
          <w:szCs w:val="20"/>
        </w:rPr>
      </w:pPr>
      <w:r w:rsidRPr="000E5786">
        <w:rPr>
          <w:rFonts w:eastAsia="Arial" w:cs="Arial"/>
          <w:b/>
          <w:szCs w:val="20"/>
        </w:rPr>
        <w:lastRenderedPageBreak/>
        <w:t xml:space="preserve">ANNEX </w:t>
      </w:r>
      <w:r w:rsidR="004E711C">
        <w:rPr>
          <w:rFonts w:eastAsia="Arial" w:cs="Arial"/>
          <w:b/>
          <w:szCs w:val="20"/>
        </w:rPr>
        <w:t>7.3A</w:t>
      </w:r>
      <w:r w:rsidRPr="000E5786">
        <w:rPr>
          <w:rFonts w:eastAsia="Arial" w:cs="Arial"/>
          <w:b/>
          <w:szCs w:val="20"/>
        </w:rPr>
        <w:t xml:space="preserve">: </w:t>
      </w:r>
    </w:p>
    <w:p w14:paraId="45A2D2A4" w14:textId="62A97170" w:rsidR="004C127E" w:rsidRPr="000E5786" w:rsidRDefault="005D1570" w:rsidP="00DD60F0">
      <w:pPr>
        <w:jc w:val="center"/>
        <w:textAlignment w:val="baseline"/>
        <w:rPr>
          <w:rFonts w:eastAsia="Arial" w:cs="Arial"/>
          <w:b/>
          <w:szCs w:val="20"/>
        </w:rPr>
      </w:pPr>
      <w:r w:rsidRPr="000E5786">
        <w:rPr>
          <w:rFonts w:eastAsia="Arial" w:cs="Arial"/>
          <w:b/>
          <w:szCs w:val="20"/>
        </w:rPr>
        <w:t>APPROVED BENCHMARKERS</w:t>
      </w:r>
    </w:p>
    <w:p w14:paraId="1277BE2A" w14:textId="77777777" w:rsidR="004C127E" w:rsidRPr="000E5786" w:rsidRDefault="004C127E" w:rsidP="00DD60F0">
      <w:pPr>
        <w:pStyle w:val="ListParagraph"/>
        <w:tabs>
          <w:tab w:val="left" w:pos="851"/>
        </w:tabs>
        <w:spacing w:after="120" w:line="240" w:lineRule="auto"/>
        <w:ind w:left="851" w:right="72"/>
        <w:contextualSpacing w:val="0"/>
        <w:textAlignment w:val="baseline"/>
        <w:rPr>
          <w:rFonts w:ascii="Arial" w:eastAsia="Arial" w:hAnsi="Arial" w:cs="Arial"/>
          <w:color w:val="000000"/>
          <w:sz w:val="20"/>
          <w:szCs w:val="20"/>
        </w:rPr>
      </w:pPr>
      <w:r w:rsidRPr="000E5786">
        <w:rPr>
          <w:rFonts w:ascii="Arial" w:eastAsia="Arial" w:hAnsi="Arial" w:cs="Arial"/>
          <w:color w:val="000000"/>
          <w:sz w:val="20"/>
          <w:szCs w:val="20"/>
        </w:rPr>
        <w:t xml:space="preserve">1. </w:t>
      </w:r>
      <w:r w:rsidRPr="000E5786">
        <w:rPr>
          <w:rFonts w:ascii="Arial" w:eastAsia="Arial" w:hAnsi="Arial" w:cs="Arial"/>
          <w:color w:val="000000"/>
          <w:sz w:val="20"/>
          <w:szCs w:val="20"/>
        </w:rPr>
        <w:tab/>
        <w:t xml:space="preserve">Gartner  </w:t>
      </w:r>
    </w:p>
    <w:p w14:paraId="16C709E8" w14:textId="77777777" w:rsidR="004C127E" w:rsidRPr="000E5786" w:rsidRDefault="004C127E" w:rsidP="00DD60F0">
      <w:pPr>
        <w:pStyle w:val="ListParagraph"/>
        <w:tabs>
          <w:tab w:val="left" w:pos="851"/>
        </w:tabs>
        <w:spacing w:after="120" w:line="240" w:lineRule="auto"/>
        <w:ind w:left="851" w:right="72"/>
        <w:contextualSpacing w:val="0"/>
        <w:textAlignment w:val="baseline"/>
        <w:rPr>
          <w:rFonts w:ascii="Arial" w:eastAsia="Arial" w:hAnsi="Arial" w:cs="Arial"/>
          <w:color w:val="000000"/>
          <w:sz w:val="20"/>
          <w:szCs w:val="20"/>
        </w:rPr>
      </w:pPr>
      <w:r w:rsidRPr="000E5786">
        <w:rPr>
          <w:rFonts w:ascii="Arial" w:eastAsia="Arial" w:hAnsi="Arial" w:cs="Arial"/>
          <w:color w:val="000000"/>
          <w:sz w:val="20"/>
          <w:szCs w:val="20"/>
        </w:rPr>
        <w:t xml:space="preserve">2. </w:t>
      </w:r>
      <w:r w:rsidRPr="000E5786">
        <w:rPr>
          <w:rFonts w:ascii="Arial" w:eastAsia="Arial" w:hAnsi="Arial" w:cs="Arial"/>
          <w:color w:val="000000"/>
          <w:sz w:val="20"/>
          <w:szCs w:val="20"/>
        </w:rPr>
        <w:tab/>
        <w:t xml:space="preserve">Forrester   </w:t>
      </w:r>
    </w:p>
    <w:p w14:paraId="6CD3C90B" w14:textId="77777777" w:rsidR="004C127E" w:rsidRPr="000E5786" w:rsidRDefault="004C127E" w:rsidP="00DD60F0">
      <w:pPr>
        <w:rPr>
          <w:rFonts w:eastAsia="Arial" w:cs="Arial"/>
          <w:b/>
          <w:szCs w:val="20"/>
        </w:rPr>
      </w:pPr>
      <w:r w:rsidRPr="000E5786">
        <w:rPr>
          <w:rFonts w:eastAsia="Arial" w:cs="Arial"/>
          <w:b/>
          <w:szCs w:val="20"/>
        </w:rPr>
        <w:br w:type="page"/>
      </w:r>
    </w:p>
    <w:p w14:paraId="13D49AF1" w14:textId="337626FA" w:rsidR="004C127E" w:rsidRPr="000E5786" w:rsidRDefault="004C127E" w:rsidP="00DD60F0">
      <w:pPr>
        <w:jc w:val="center"/>
        <w:textAlignment w:val="baseline"/>
        <w:rPr>
          <w:rFonts w:eastAsia="Arial" w:cs="Arial"/>
          <w:b/>
          <w:szCs w:val="20"/>
        </w:rPr>
      </w:pPr>
      <w:r w:rsidRPr="000E5786">
        <w:rPr>
          <w:rFonts w:eastAsia="Arial" w:cs="Arial"/>
          <w:b/>
          <w:szCs w:val="20"/>
        </w:rPr>
        <w:lastRenderedPageBreak/>
        <w:t xml:space="preserve">ANNEX </w:t>
      </w:r>
      <w:r w:rsidR="004E711C">
        <w:rPr>
          <w:rFonts w:eastAsia="Arial" w:cs="Arial"/>
          <w:b/>
          <w:szCs w:val="20"/>
        </w:rPr>
        <w:t>7.3B</w:t>
      </w:r>
      <w:r w:rsidRPr="000E5786">
        <w:rPr>
          <w:rFonts w:eastAsia="Arial" w:cs="Arial"/>
          <w:b/>
          <w:szCs w:val="20"/>
        </w:rPr>
        <w:t>:</w:t>
      </w:r>
    </w:p>
    <w:p w14:paraId="5E48D169" w14:textId="77777777" w:rsidR="004C127E" w:rsidRPr="000E5786" w:rsidRDefault="004C127E" w:rsidP="00DD60F0">
      <w:pPr>
        <w:jc w:val="center"/>
        <w:textAlignment w:val="baseline"/>
        <w:rPr>
          <w:rFonts w:eastAsia="Arial" w:cs="Arial"/>
          <w:b/>
          <w:szCs w:val="20"/>
        </w:rPr>
      </w:pPr>
      <w:r w:rsidRPr="000E5786">
        <w:rPr>
          <w:rFonts w:eastAsia="Arial" w:cs="Arial"/>
          <w:b/>
          <w:szCs w:val="20"/>
        </w:rPr>
        <w:t>CONFIDENTIALITY AGREEMENT</w:t>
      </w:r>
    </w:p>
    <w:p w14:paraId="2A969C63" w14:textId="77777777" w:rsidR="004C127E" w:rsidRPr="000E5786" w:rsidRDefault="004C127E" w:rsidP="00DD60F0">
      <w:pPr>
        <w:textAlignment w:val="baseline"/>
        <w:rPr>
          <w:rFonts w:eastAsia="Arial" w:cs="Arial"/>
          <w:b/>
          <w:szCs w:val="20"/>
        </w:rPr>
      </w:pPr>
      <w:r w:rsidRPr="000E5786">
        <w:rPr>
          <w:rFonts w:eastAsia="Arial" w:cs="Arial"/>
          <w:b/>
          <w:szCs w:val="20"/>
        </w:rPr>
        <w:t xml:space="preserve">THIS AGREEMENT </w:t>
      </w:r>
      <w:r w:rsidRPr="000E5786">
        <w:rPr>
          <w:rFonts w:eastAsia="Arial" w:cs="Arial"/>
          <w:szCs w:val="20"/>
        </w:rPr>
        <w:t>is made on [</w:t>
      </w:r>
      <w:r w:rsidRPr="007568F4">
        <w:rPr>
          <w:rFonts w:eastAsia="Arial" w:cs="Arial"/>
          <w:szCs w:val="20"/>
          <w:highlight w:val="yellow"/>
        </w:rPr>
        <w:t>date</w:t>
      </w:r>
      <w:r w:rsidRPr="000E5786">
        <w:rPr>
          <w:rFonts w:eastAsia="Arial" w:cs="Arial"/>
          <w:szCs w:val="20"/>
        </w:rPr>
        <w:t>]</w:t>
      </w:r>
    </w:p>
    <w:p w14:paraId="6EFA4360" w14:textId="77777777" w:rsidR="004C127E" w:rsidRPr="000E5786" w:rsidRDefault="004C127E" w:rsidP="00DD60F0">
      <w:pPr>
        <w:textAlignment w:val="baseline"/>
        <w:rPr>
          <w:rFonts w:eastAsia="Arial" w:cs="Arial"/>
          <w:b/>
          <w:spacing w:val="-3"/>
          <w:szCs w:val="20"/>
        </w:rPr>
      </w:pPr>
      <w:r w:rsidRPr="000E5786">
        <w:rPr>
          <w:rFonts w:eastAsia="Arial" w:cs="Arial"/>
          <w:b/>
          <w:spacing w:val="-3"/>
          <w:szCs w:val="20"/>
        </w:rPr>
        <w:t>BETWEEN:</w:t>
      </w:r>
    </w:p>
    <w:p w14:paraId="11F7A9AC" w14:textId="151A5439" w:rsidR="004C127E" w:rsidRPr="000E5786" w:rsidRDefault="00603831" w:rsidP="00E538A1">
      <w:pPr>
        <w:numPr>
          <w:ilvl w:val="0"/>
          <w:numId w:val="15"/>
        </w:numPr>
        <w:textAlignment w:val="baseline"/>
        <w:rPr>
          <w:rFonts w:eastAsia="Arial" w:cs="Arial"/>
          <w:b/>
          <w:szCs w:val="20"/>
        </w:rPr>
      </w:pPr>
      <w:r w:rsidRPr="000E5786">
        <w:rPr>
          <w:rFonts w:eastAsia="Arial" w:cs="Arial"/>
          <w:b/>
          <w:i/>
          <w:szCs w:val="20"/>
        </w:rPr>
        <w:t xml:space="preserve"> UK PLC</w:t>
      </w:r>
      <w:r w:rsidR="004C127E" w:rsidRPr="000E5786">
        <w:rPr>
          <w:rFonts w:eastAsia="Arial" w:cs="Arial"/>
          <w:b/>
          <w:szCs w:val="20"/>
        </w:rPr>
        <w:t xml:space="preserve"> </w:t>
      </w:r>
      <w:r w:rsidR="004C127E" w:rsidRPr="000E5786">
        <w:rPr>
          <w:rFonts w:eastAsia="Arial" w:cs="Arial"/>
          <w:szCs w:val="20"/>
        </w:rPr>
        <w:t>of</w:t>
      </w:r>
      <w:r w:rsidRPr="000E5786">
        <w:rPr>
          <w:rFonts w:eastAsia="Arial" w:cs="Arial"/>
          <w:szCs w:val="20"/>
        </w:rPr>
        <w:t xml:space="preserve"> </w:t>
      </w:r>
      <w:proofErr w:type="spellStart"/>
      <w:r w:rsidR="00BA32BB">
        <w:rPr>
          <w:rFonts w:eastAsia="Arial" w:cs="Arial"/>
          <w:b/>
          <w:bCs/>
          <w:szCs w:val="20"/>
        </w:rPr>
        <w:t>Blotten</w:t>
      </w:r>
      <w:proofErr w:type="spellEnd"/>
      <w:r w:rsidR="00BA32BB">
        <w:rPr>
          <w:rFonts w:eastAsia="Arial" w:cs="Arial"/>
          <w:b/>
          <w:bCs/>
          <w:szCs w:val="20"/>
        </w:rPr>
        <w:t xml:space="preserve"> Vu</w:t>
      </w:r>
      <w:r w:rsidRPr="000E5786">
        <w:rPr>
          <w:rFonts w:eastAsia="Arial" w:cs="Arial"/>
          <w:b/>
          <w:bCs/>
          <w:szCs w:val="20"/>
        </w:rPr>
        <w:t xml:space="preserve">, Woking, Surrey, </w:t>
      </w:r>
      <w:r w:rsidR="00BA32BB">
        <w:rPr>
          <w:rFonts w:eastAsia="Arial" w:cs="Arial"/>
          <w:b/>
          <w:bCs/>
          <w:szCs w:val="20"/>
        </w:rPr>
        <w:t>K</w:t>
      </w:r>
      <w:r w:rsidRPr="000E5786">
        <w:rPr>
          <w:rFonts w:eastAsia="Arial" w:cs="Arial"/>
          <w:b/>
          <w:bCs/>
          <w:szCs w:val="20"/>
        </w:rPr>
        <w:t>B</w:t>
      </w:r>
      <w:r w:rsidR="004C127E" w:rsidRPr="000E5786">
        <w:rPr>
          <w:rFonts w:eastAsia="Arial" w:cs="Arial"/>
          <w:szCs w:val="20"/>
        </w:rPr>
        <w:t xml:space="preserve"> (the “</w:t>
      </w:r>
      <w:r w:rsidR="004C127E" w:rsidRPr="000E5786">
        <w:rPr>
          <w:rFonts w:eastAsia="Arial" w:cs="Arial"/>
          <w:b/>
          <w:szCs w:val="20"/>
        </w:rPr>
        <w:t>Supplier</w:t>
      </w:r>
      <w:r w:rsidR="004C127E" w:rsidRPr="000E5786">
        <w:rPr>
          <w:rFonts w:eastAsia="Arial" w:cs="Arial"/>
          <w:szCs w:val="20"/>
        </w:rPr>
        <w:t>”); and</w:t>
      </w:r>
    </w:p>
    <w:p w14:paraId="6534DF42" w14:textId="77777777" w:rsidR="004C127E" w:rsidRPr="000E5786" w:rsidRDefault="004C127E" w:rsidP="00E538A1">
      <w:pPr>
        <w:numPr>
          <w:ilvl w:val="0"/>
          <w:numId w:val="15"/>
        </w:numPr>
        <w:ind w:right="216"/>
        <w:textAlignment w:val="baseline"/>
        <w:rPr>
          <w:rFonts w:eastAsia="Arial" w:cs="Arial"/>
          <w:b/>
          <w:szCs w:val="20"/>
        </w:rPr>
      </w:pPr>
      <w:r w:rsidRPr="000E5786">
        <w:rPr>
          <w:rFonts w:eastAsia="Arial" w:cs="Arial"/>
          <w:b/>
          <w:szCs w:val="20"/>
        </w:rPr>
        <w:t>[</w:t>
      </w:r>
      <w:r w:rsidRPr="000E5786">
        <w:rPr>
          <w:rFonts w:eastAsia="Arial" w:cs="Arial"/>
          <w:b/>
          <w:i/>
          <w:szCs w:val="20"/>
          <w:highlight w:val="yellow"/>
        </w:rPr>
        <w:t>insert name</w:t>
      </w:r>
      <w:r w:rsidRPr="000E5786">
        <w:rPr>
          <w:rFonts w:eastAsia="Arial" w:cs="Arial"/>
          <w:b/>
          <w:szCs w:val="20"/>
        </w:rPr>
        <w:t xml:space="preserve">] </w:t>
      </w:r>
      <w:r w:rsidRPr="000E5786">
        <w:rPr>
          <w:rFonts w:eastAsia="Arial" w:cs="Arial"/>
          <w:szCs w:val="20"/>
        </w:rPr>
        <w:t>of [</w:t>
      </w:r>
      <w:r w:rsidRPr="000E5786">
        <w:rPr>
          <w:rFonts w:eastAsia="Arial" w:cs="Arial"/>
          <w:b/>
          <w:i/>
          <w:szCs w:val="20"/>
          <w:highlight w:val="yellow"/>
        </w:rPr>
        <w:t>insert address</w:t>
      </w:r>
      <w:r w:rsidRPr="000E5786">
        <w:rPr>
          <w:rFonts w:eastAsia="Arial" w:cs="Arial"/>
          <w:szCs w:val="20"/>
        </w:rPr>
        <w:t>] (the “</w:t>
      </w:r>
      <w:proofErr w:type="spellStart"/>
      <w:r w:rsidRPr="000E5786">
        <w:rPr>
          <w:rFonts w:eastAsia="Arial" w:cs="Arial"/>
          <w:b/>
          <w:szCs w:val="20"/>
        </w:rPr>
        <w:t>Benchmarker</w:t>
      </w:r>
      <w:proofErr w:type="spellEnd"/>
      <w:r w:rsidRPr="000E5786">
        <w:rPr>
          <w:rFonts w:eastAsia="Arial" w:cs="Arial"/>
          <w:szCs w:val="20"/>
        </w:rPr>
        <w:t>” and together with the Supplier, the “</w:t>
      </w:r>
      <w:r w:rsidRPr="000E5786">
        <w:rPr>
          <w:rFonts w:eastAsia="Arial" w:cs="Arial"/>
          <w:b/>
          <w:szCs w:val="20"/>
        </w:rPr>
        <w:t>Parties</w:t>
      </w:r>
      <w:r w:rsidRPr="000E5786">
        <w:rPr>
          <w:rFonts w:eastAsia="Arial" w:cs="Arial"/>
          <w:szCs w:val="20"/>
        </w:rPr>
        <w:t>”).</w:t>
      </w:r>
    </w:p>
    <w:p w14:paraId="3865D486" w14:textId="77777777" w:rsidR="004C127E" w:rsidRPr="000E5786" w:rsidRDefault="004C127E" w:rsidP="00DD60F0">
      <w:pPr>
        <w:textAlignment w:val="baseline"/>
        <w:rPr>
          <w:rFonts w:eastAsia="Arial" w:cs="Arial"/>
          <w:b/>
          <w:spacing w:val="-2"/>
          <w:szCs w:val="20"/>
        </w:rPr>
      </w:pPr>
      <w:r w:rsidRPr="000E5786">
        <w:rPr>
          <w:rFonts w:eastAsia="Arial" w:cs="Arial"/>
          <w:b/>
          <w:spacing w:val="-2"/>
          <w:szCs w:val="20"/>
        </w:rPr>
        <w:t>WHEREAS:</w:t>
      </w:r>
    </w:p>
    <w:p w14:paraId="3596E196" w14:textId="7CDEE3F3" w:rsidR="004C127E" w:rsidRPr="000E5786" w:rsidRDefault="001F1C19" w:rsidP="00E538A1">
      <w:pPr>
        <w:numPr>
          <w:ilvl w:val="0"/>
          <w:numId w:val="16"/>
        </w:numPr>
        <w:ind w:left="709" w:right="72" w:hanging="709"/>
        <w:textAlignment w:val="baseline"/>
        <w:rPr>
          <w:rFonts w:eastAsia="Arial" w:cs="Arial"/>
          <w:szCs w:val="20"/>
        </w:rPr>
      </w:pPr>
      <w:proofErr w:type="spellStart"/>
      <w:r>
        <w:rPr>
          <w:rFonts w:eastAsia="Arial" w:cs="Arial"/>
          <w:szCs w:val="20"/>
        </w:rPr>
        <w:t>Netlink</w:t>
      </w:r>
      <w:proofErr w:type="spellEnd"/>
      <w:r>
        <w:rPr>
          <w:rFonts w:eastAsia="Arial" w:cs="Arial"/>
          <w:szCs w:val="20"/>
        </w:rPr>
        <w:t xml:space="preserve"> Star</w:t>
      </w:r>
      <w:r w:rsidR="004C127E" w:rsidRPr="000E5786">
        <w:rPr>
          <w:rFonts w:eastAsia="Arial" w:cs="Arial"/>
          <w:szCs w:val="20"/>
        </w:rPr>
        <w:t xml:space="preserve"> Infrastructure Limited (“</w:t>
      </w:r>
      <w:proofErr w:type="spellStart"/>
      <w:r>
        <w:rPr>
          <w:rFonts w:eastAsia="Arial" w:cs="Arial"/>
          <w:b/>
          <w:szCs w:val="20"/>
        </w:rPr>
        <w:t>Netlink</w:t>
      </w:r>
      <w:proofErr w:type="spellEnd"/>
      <w:r>
        <w:rPr>
          <w:rFonts w:eastAsia="Arial" w:cs="Arial"/>
          <w:b/>
          <w:szCs w:val="20"/>
        </w:rPr>
        <w:t xml:space="preserve"> Star</w:t>
      </w:r>
      <w:r w:rsidR="004C127E" w:rsidRPr="000E5786">
        <w:rPr>
          <w:rFonts w:eastAsia="Arial" w:cs="Arial"/>
          <w:szCs w:val="20"/>
        </w:rPr>
        <w:t>”) and the Supplier are party to a contract dated [</w:t>
      </w:r>
      <w:r w:rsidR="004C127E" w:rsidRPr="000E5786">
        <w:rPr>
          <w:rFonts w:eastAsia="Arial" w:cs="Arial"/>
          <w:szCs w:val="20"/>
          <w:highlight w:val="yellow"/>
        </w:rPr>
        <w:t>insert date</w:t>
      </w:r>
      <w:r w:rsidR="004C127E" w:rsidRPr="000E5786">
        <w:rPr>
          <w:rFonts w:eastAsia="Arial" w:cs="Arial"/>
          <w:szCs w:val="20"/>
        </w:rPr>
        <w:t>] (the “</w:t>
      </w:r>
      <w:r w:rsidR="004C127E" w:rsidRPr="000E5786">
        <w:rPr>
          <w:rFonts w:eastAsia="Arial" w:cs="Arial"/>
          <w:b/>
          <w:szCs w:val="20"/>
        </w:rPr>
        <w:t>Contract</w:t>
      </w:r>
      <w:r w:rsidR="004C127E" w:rsidRPr="000E5786">
        <w:rPr>
          <w:rFonts w:eastAsia="Arial" w:cs="Arial"/>
          <w:szCs w:val="20"/>
        </w:rPr>
        <w:t xml:space="preserve">”) for the provision by the Supplier of data centre migration services to </w:t>
      </w:r>
      <w:proofErr w:type="spellStart"/>
      <w:r>
        <w:rPr>
          <w:rFonts w:eastAsia="Arial" w:cs="Arial"/>
          <w:szCs w:val="20"/>
        </w:rPr>
        <w:t>Netlink</w:t>
      </w:r>
      <w:proofErr w:type="spellEnd"/>
      <w:r>
        <w:rPr>
          <w:rFonts w:eastAsia="Arial" w:cs="Arial"/>
          <w:szCs w:val="20"/>
        </w:rPr>
        <w:t xml:space="preserve"> Star</w:t>
      </w:r>
      <w:r w:rsidR="004C127E" w:rsidRPr="000E5786">
        <w:rPr>
          <w:rFonts w:eastAsia="Arial" w:cs="Arial"/>
          <w:szCs w:val="20"/>
        </w:rPr>
        <w:t>.</w:t>
      </w:r>
    </w:p>
    <w:p w14:paraId="78590736" w14:textId="0DDBE0E2" w:rsidR="004C127E" w:rsidRPr="000E5786" w:rsidRDefault="004C127E" w:rsidP="00E538A1">
      <w:pPr>
        <w:numPr>
          <w:ilvl w:val="0"/>
          <w:numId w:val="16"/>
        </w:numPr>
        <w:ind w:left="709" w:right="216" w:hanging="709"/>
        <w:textAlignment w:val="baseline"/>
        <w:rPr>
          <w:rFonts w:eastAsia="Arial" w:cs="Arial"/>
          <w:szCs w:val="20"/>
        </w:rPr>
      </w:pPr>
      <w:r w:rsidRPr="000E5786">
        <w:rPr>
          <w:rFonts w:eastAsia="Arial" w:cs="Arial"/>
          <w:szCs w:val="20"/>
        </w:rPr>
        <w:t xml:space="preserve">The </w:t>
      </w:r>
      <w:proofErr w:type="spellStart"/>
      <w:r w:rsidRPr="000E5786">
        <w:rPr>
          <w:rFonts w:eastAsia="Arial" w:cs="Arial"/>
          <w:szCs w:val="20"/>
        </w:rPr>
        <w:t>Benchmarker</w:t>
      </w:r>
      <w:proofErr w:type="spellEnd"/>
      <w:r w:rsidRPr="000E5786">
        <w:rPr>
          <w:rFonts w:eastAsia="Arial" w:cs="Arial"/>
          <w:szCs w:val="20"/>
        </w:rPr>
        <w:t xml:space="preserve"> is to receive Confidential Information from the Supplier for the purpose of carrying out a benchmarking review for </w:t>
      </w:r>
      <w:proofErr w:type="spellStart"/>
      <w:r w:rsidR="001F1C19">
        <w:rPr>
          <w:rFonts w:eastAsia="Arial" w:cs="Arial"/>
          <w:szCs w:val="20"/>
        </w:rPr>
        <w:t>Netlink</w:t>
      </w:r>
      <w:proofErr w:type="spellEnd"/>
      <w:r w:rsidR="001F1C19">
        <w:rPr>
          <w:rFonts w:eastAsia="Arial" w:cs="Arial"/>
          <w:szCs w:val="20"/>
        </w:rPr>
        <w:t xml:space="preserve"> Star</w:t>
      </w:r>
      <w:r w:rsidRPr="000E5786">
        <w:rPr>
          <w:rFonts w:eastAsia="Arial" w:cs="Arial"/>
          <w:szCs w:val="20"/>
        </w:rPr>
        <w:t xml:space="preserve"> of one or more of such services pursuant to the terms of the Contract (the “</w:t>
      </w:r>
      <w:r w:rsidRPr="000E5786">
        <w:rPr>
          <w:rFonts w:eastAsia="Arial" w:cs="Arial"/>
          <w:b/>
          <w:szCs w:val="20"/>
        </w:rPr>
        <w:t>Permitted Purpose</w:t>
      </w:r>
      <w:r w:rsidRPr="000E5786">
        <w:rPr>
          <w:rFonts w:eastAsia="Arial" w:cs="Arial"/>
          <w:szCs w:val="20"/>
        </w:rPr>
        <w:t>”).</w:t>
      </w:r>
    </w:p>
    <w:p w14:paraId="0A76AD03" w14:textId="77777777" w:rsidR="004C127E" w:rsidRPr="000E5786" w:rsidRDefault="004C127E" w:rsidP="00DD60F0">
      <w:pPr>
        <w:textAlignment w:val="baseline"/>
        <w:rPr>
          <w:rFonts w:eastAsia="Arial" w:cs="Arial"/>
          <w:b/>
          <w:spacing w:val="-1"/>
          <w:szCs w:val="20"/>
        </w:rPr>
      </w:pPr>
      <w:r w:rsidRPr="000E5786">
        <w:rPr>
          <w:rFonts w:eastAsia="Arial" w:cs="Arial"/>
          <w:b/>
          <w:spacing w:val="-1"/>
          <w:szCs w:val="20"/>
        </w:rPr>
        <w:t>IT IS AGREED as follows:</w:t>
      </w:r>
    </w:p>
    <w:p w14:paraId="1611C09F" w14:textId="77777777" w:rsidR="00615F94" w:rsidRPr="000E5786" w:rsidRDefault="004C127E" w:rsidP="009D675B">
      <w:pPr>
        <w:pStyle w:val="Heading1"/>
        <w:numPr>
          <w:ilvl w:val="0"/>
          <w:numId w:val="38"/>
        </w:numPr>
        <w:spacing w:after="120"/>
        <w:rPr>
          <w:rFonts w:eastAsia="Arial" w:cs="Arial"/>
          <w:b w:val="0"/>
          <w:spacing w:val="-3"/>
          <w:szCs w:val="20"/>
        </w:rPr>
      </w:pPr>
      <w:r w:rsidRPr="000E5786">
        <w:rPr>
          <w:rFonts w:cs="Arial"/>
          <w:szCs w:val="20"/>
        </w:rPr>
        <w:t>Interpretation</w:t>
      </w:r>
    </w:p>
    <w:p w14:paraId="62B07487" w14:textId="5D796B2F" w:rsidR="004C127E" w:rsidRPr="000E5786" w:rsidRDefault="004C127E" w:rsidP="009D675B">
      <w:pPr>
        <w:pStyle w:val="Heading2"/>
        <w:numPr>
          <w:ilvl w:val="1"/>
          <w:numId w:val="144"/>
        </w:numPr>
        <w:spacing w:after="120"/>
        <w:rPr>
          <w:rFonts w:eastAsia="Arial" w:cs="Arial"/>
          <w:b/>
          <w:spacing w:val="-3"/>
          <w:szCs w:val="20"/>
        </w:rPr>
      </w:pPr>
      <w:r w:rsidRPr="000E5786">
        <w:rPr>
          <w:rFonts w:eastAsia="Arial" w:cs="Arial"/>
          <w:szCs w:val="20"/>
        </w:rPr>
        <w:t xml:space="preserve">In this Agreement, </w:t>
      </w:r>
      <w:r w:rsidRPr="000E5786">
        <w:rPr>
          <w:rFonts w:cs="Arial"/>
          <w:szCs w:val="20"/>
        </w:rPr>
        <w:t>unless</w:t>
      </w:r>
      <w:r w:rsidRPr="000E5786">
        <w:rPr>
          <w:rFonts w:eastAsia="Arial" w:cs="Arial"/>
          <w:szCs w:val="20"/>
        </w:rPr>
        <w:t xml:space="preserve"> the context otherwise requires:</w:t>
      </w:r>
    </w:p>
    <w:tbl>
      <w:tblPr>
        <w:tblW w:w="9160" w:type="dxa"/>
        <w:tblLayout w:type="fixed"/>
        <w:tblCellMar>
          <w:left w:w="0" w:type="dxa"/>
          <w:right w:w="0" w:type="dxa"/>
        </w:tblCellMar>
        <w:tblLook w:val="0000" w:firstRow="0" w:lastRow="0" w:firstColumn="0" w:lastColumn="0" w:noHBand="0" w:noVBand="0"/>
      </w:tblPr>
      <w:tblGrid>
        <w:gridCol w:w="2910"/>
        <w:gridCol w:w="6250"/>
      </w:tblGrid>
      <w:tr w:rsidR="008473E5" w:rsidRPr="000E5786" w14:paraId="20F96587" w14:textId="77777777" w:rsidTr="004C62F2">
        <w:trPr>
          <w:trHeight w:hRule="exact" w:val="4445"/>
        </w:trPr>
        <w:tc>
          <w:tcPr>
            <w:tcW w:w="2910" w:type="dxa"/>
          </w:tcPr>
          <w:p w14:paraId="038FFA3B" w14:textId="77777777" w:rsidR="008473E5" w:rsidRPr="000E5786" w:rsidRDefault="008473E5" w:rsidP="00B26A5F">
            <w:pPr>
              <w:ind w:left="142" w:hanging="142"/>
              <w:jc w:val="center"/>
              <w:textAlignment w:val="baseline"/>
              <w:rPr>
                <w:rFonts w:eastAsia="Arial" w:cs="Arial"/>
                <w:b/>
                <w:szCs w:val="20"/>
              </w:rPr>
            </w:pPr>
            <w:bookmarkStart w:id="2343" w:name="_Hlk86152482"/>
            <w:r w:rsidRPr="000E5786">
              <w:rPr>
                <w:rFonts w:eastAsia="Arial" w:cs="Arial"/>
                <w:b/>
                <w:szCs w:val="20"/>
              </w:rPr>
              <w:t xml:space="preserve">“Confidential </w:t>
            </w:r>
            <w:r w:rsidRPr="000E5786">
              <w:rPr>
                <w:rFonts w:eastAsia="Arial" w:cs="Arial"/>
                <w:b/>
                <w:szCs w:val="20"/>
              </w:rPr>
              <w:br/>
              <w:t>Information”</w:t>
            </w:r>
          </w:p>
        </w:tc>
        <w:tc>
          <w:tcPr>
            <w:tcW w:w="6250" w:type="dxa"/>
          </w:tcPr>
          <w:p w14:paraId="457F6B5F" w14:textId="77777777" w:rsidR="008473E5" w:rsidRPr="000E5786" w:rsidRDefault="008473E5" w:rsidP="00DD60F0">
            <w:pPr>
              <w:textAlignment w:val="baseline"/>
              <w:rPr>
                <w:rFonts w:eastAsia="Arial" w:cs="Arial"/>
                <w:szCs w:val="20"/>
              </w:rPr>
            </w:pPr>
            <w:r w:rsidRPr="000E5786">
              <w:rPr>
                <w:rFonts w:eastAsia="Arial" w:cs="Arial"/>
                <w:szCs w:val="20"/>
              </w:rPr>
              <w:t>means:</w:t>
            </w:r>
          </w:p>
          <w:p w14:paraId="4446EF5B" w14:textId="77777777" w:rsidR="008473E5" w:rsidRPr="000E5786" w:rsidRDefault="008473E5" w:rsidP="00E538A1">
            <w:pPr>
              <w:pStyle w:val="ListParagraph"/>
              <w:numPr>
                <w:ilvl w:val="0"/>
                <w:numId w:val="21"/>
              </w:numPr>
              <w:spacing w:after="120" w:line="240" w:lineRule="auto"/>
              <w:ind w:left="635" w:right="504" w:hanging="567"/>
              <w:textAlignment w:val="baseline"/>
              <w:rPr>
                <w:rFonts w:ascii="Arial" w:eastAsia="Arial" w:hAnsi="Arial" w:cs="Arial"/>
                <w:color w:val="000000"/>
                <w:sz w:val="20"/>
                <w:szCs w:val="20"/>
              </w:rPr>
            </w:pPr>
            <w:r w:rsidRPr="000E5786">
              <w:rPr>
                <w:rFonts w:ascii="Arial" w:eastAsia="Arial" w:hAnsi="Arial" w:cs="Arial"/>
                <w:color w:val="000000"/>
                <w:spacing w:val="-1"/>
                <w:sz w:val="20"/>
                <w:szCs w:val="20"/>
              </w:rPr>
              <w:t xml:space="preserve">Information, including all personal data within the meaning of the Data Protection Legislation, and however it is conveyed, provided by the Supplier to the </w:t>
            </w:r>
            <w:proofErr w:type="spellStart"/>
            <w:r w:rsidRPr="000E5786">
              <w:rPr>
                <w:rFonts w:ascii="Arial" w:eastAsia="Arial" w:hAnsi="Arial" w:cs="Arial"/>
                <w:color w:val="000000"/>
                <w:sz w:val="20"/>
                <w:szCs w:val="20"/>
              </w:rPr>
              <w:t>Benchmarker</w:t>
            </w:r>
            <w:proofErr w:type="spellEnd"/>
            <w:r w:rsidRPr="000E5786">
              <w:rPr>
                <w:rFonts w:ascii="Arial" w:eastAsia="Arial" w:hAnsi="Arial" w:cs="Arial"/>
                <w:color w:val="000000"/>
                <w:sz w:val="20"/>
                <w:szCs w:val="20"/>
              </w:rPr>
              <w:t xml:space="preserve"> pursuant to this Agreement that relates to:</w:t>
            </w:r>
          </w:p>
          <w:p w14:paraId="705959B6" w14:textId="77777777" w:rsidR="008473E5" w:rsidRPr="000E5786" w:rsidRDefault="008473E5" w:rsidP="00E538A1">
            <w:pPr>
              <w:numPr>
                <w:ilvl w:val="0"/>
                <w:numId w:val="17"/>
              </w:numPr>
              <w:tabs>
                <w:tab w:val="clear" w:pos="720"/>
              </w:tabs>
              <w:ind w:left="1343" w:hanging="720"/>
              <w:textAlignment w:val="baseline"/>
              <w:rPr>
                <w:rFonts w:eastAsia="Arial" w:cs="Arial"/>
                <w:szCs w:val="20"/>
              </w:rPr>
            </w:pPr>
            <w:r w:rsidRPr="000E5786">
              <w:rPr>
                <w:rFonts w:eastAsia="Arial" w:cs="Arial"/>
                <w:szCs w:val="20"/>
              </w:rPr>
              <w:t>the Supplier; or</w:t>
            </w:r>
          </w:p>
          <w:p w14:paraId="2ED38B49" w14:textId="77777777" w:rsidR="008473E5" w:rsidRPr="000E5786" w:rsidRDefault="008473E5" w:rsidP="00E538A1">
            <w:pPr>
              <w:numPr>
                <w:ilvl w:val="0"/>
                <w:numId w:val="17"/>
              </w:numPr>
              <w:tabs>
                <w:tab w:val="clear" w:pos="720"/>
              </w:tabs>
              <w:ind w:left="1343" w:right="432" w:hanging="720"/>
              <w:textAlignment w:val="baseline"/>
              <w:rPr>
                <w:rFonts w:eastAsia="Arial" w:cs="Arial"/>
                <w:spacing w:val="-1"/>
                <w:szCs w:val="20"/>
              </w:rPr>
            </w:pPr>
            <w:r w:rsidRPr="000E5786">
              <w:rPr>
                <w:rFonts w:eastAsia="Arial" w:cs="Arial"/>
                <w:spacing w:val="-1"/>
                <w:szCs w:val="20"/>
              </w:rPr>
              <w:t xml:space="preserve">the operations, business, affairs, developments, intellectual property rights, trade secrets, know-how and/or personnel of the </w:t>
            </w:r>
            <w:proofErr w:type="gramStart"/>
            <w:r w:rsidRPr="000E5786">
              <w:rPr>
                <w:rFonts w:eastAsia="Arial" w:cs="Arial"/>
                <w:spacing w:val="-1"/>
                <w:szCs w:val="20"/>
              </w:rPr>
              <w:t>Supplier;</w:t>
            </w:r>
            <w:proofErr w:type="gramEnd"/>
          </w:p>
          <w:p w14:paraId="04934637" w14:textId="77777777" w:rsidR="008473E5" w:rsidRPr="000E5786" w:rsidRDefault="008473E5" w:rsidP="00E538A1">
            <w:pPr>
              <w:pStyle w:val="ListParagraph"/>
              <w:numPr>
                <w:ilvl w:val="0"/>
                <w:numId w:val="21"/>
              </w:numPr>
              <w:tabs>
                <w:tab w:val="left" w:pos="1486"/>
              </w:tabs>
              <w:spacing w:after="120" w:line="240" w:lineRule="auto"/>
              <w:ind w:left="635" w:right="504" w:hanging="567"/>
              <w:textAlignment w:val="baseline"/>
              <w:rPr>
                <w:rFonts w:ascii="Arial" w:eastAsia="Arial" w:hAnsi="Arial" w:cs="Arial"/>
                <w:color w:val="000000"/>
                <w:sz w:val="20"/>
                <w:szCs w:val="20"/>
              </w:rPr>
            </w:pPr>
            <w:r w:rsidRPr="000E5786">
              <w:rPr>
                <w:rFonts w:ascii="Arial" w:eastAsia="Arial" w:hAnsi="Arial" w:cs="Arial"/>
                <w:color w:val="000000"/>
                <w:sz w:val="20"/>
                <w:szCs w:val="20"/>
              </w:rPr>
              <w:t xml:space="preserve">other Information provided by the Supplier pursuant to this Agreement to the </w:t>
            </w:r>
            <w:proofErr w:type="spellStart"/>
            <w:r w:rsidRPr="000E5786">
              <w:rPr>
                <w:rFonts w:ascii="Arial" w:eastAsia="Arial" w:hAnsi="Arial" w:cs="Arial"/>
                <w:color w:val="000000"/>
                <w:sz w:val="20"/>
                <w:szCs w:val="20"/>
              </w:rPr>
              <w:t>Benchmarker</w:t>
            </w:r>
            <w:proofErr w:type="spellEnd"/>
            <w:r w:rsidRPr="000E5786">
              <w:rPr>
                <w:rFonts w:ascii="Arial" w:eastAsia="Arial" w:hAnsi="Arial" w:cs="Arial"/>
                <w:color w:val="000000"/>
                <w:sz w:val="20"/>
                <w:szCs w:val="20"/>
              </w:rPr>
              <w:t xml:space="preserve"> that is clearly designated as being confidential or equivalent or that ought reasonably to </w:t>
            </w:r>
            <w:proofErr w:type="gramStart"/>
            <w:r w:rsidRPr="000E5786">
              <w:rPr>
                <w:rFonts w:ascii="Arial" w:eastAsia="Arial" w:hAnsi="Arial" w:cs="Arial"/>
                <w:color w:val="000000"/>
                <w:sz w:val="20"/>
                <w:szCs w:val="20"/>
              </w:rPr>
              <w:t>be considered to be</w:t>
            </w:r>
            <w:proofErr w:type="gramEnd"/>
            <w:r w:rsidRPr="000E5786">
              <w:rPr>
                <w:rFonts w:ascii="Arial" w:eastAsia="Arial" w:hAnsi="Arial" w:cs="Arial"/>
                <w:color w:val="000000"/>
                <w:sz w:val="20"/>
                <w:szCs w:val="20"/>
              </w:rPr>
              <w:t xml:space="preserve"> confidential which comes (or has come) to the </w:t>
            </w:r>
            <w:proofErr w:type="spellStart"/>
            <w:r w:rsidRPr="000E5786">
              <w:rPr>
                <w:rFonts w:ascii="Arial" w:eastAsia="Arial" w:hAnsi="Arial" w:cs="Arial"/>
                <w:color w:val="000000"/>
                <w:sz w:val="20"/>
                <w:szCs w:val="20"/>
              </w:rPr>
              <w:t>Benchmarker’s</w:t>
            </w:r>
            <w:proofErr w:type="spellEnd"/>
            <w:r w:rsidRPr="000E5786">
              <w:rPr>
                <w:rFonts w:ascii="Arial" w:eastAsia="Arial" w:hAnsi="Arial" w:cs="Arial"/>
                <w:color w:val="000000"/>
                <w:sz w:val="20"/>
                <w:szCs w:val="20"/>
              </w:rPr>
              <w:t xml:space="preserve"> attention or into the </w:t>
            </w:r>
            <w:proofErr w:type="spellStart"/>
            <w:r w:rsidRPr="000E5786">
              <w:rPr>
                <w:rFonts w:ascii="Arial" w:eastAsia="Arial" w:hAnsi="Arial" w:cs="Arial"/>
                <w:color w:val="000000"/>
                <w:sz w:val="20"/>
                <w:szCs w:val="20"/>
              </w:rPr>
              <w:t>Benchmarker’s</w:t>
            </w:r>
            <w:proofErr w:type="spellEnd"/>
            <w:r w:rsidRPr="000E5786">
              <w:rPr>
                <w:rFonts w:ascii="Arial" w:eastAsia="Arial" w:hAnsi="Arial" w:cs="Arial"/>
                <w:color w:val="000000"/>
                <w:sz w:val="20"/>
                <w:szCs w:val="20"/>
              </w:rPr>
              <w:t xml:space="preserve"> possession in connection with the Permitted Purpose;</w:t>
            </w:r>
          </w:p>
        </w:tc>
      </w:tr>
    </w:tbl>
    <w:bookmarkEnd w:id="2343"/>
    <w:p w14:paraId="1AB8B2B4" w14:textId="77777777" w:rsidR="008473E5" w:rsidRPr="000E5786" w:rsidRDefault="008473E5" w:rsidP="00E538A1">
      <w:pPr>
        <w:pStyle w:val="ListParagraph"/>
        <w:numPr>
          <w:ilvl w:val="0"/>
          <w:numId w:val="21"/>
        </w:numPr>
        <w:tabs>
          <w:tab w:val="clear" w:pos="648"/>
          <w:tab w:val="left" w:pos="3544"/>
        </w:tabs>
        <w:spacing w:after="120" w:line="240" w:lineRule="auto"/>
        <w:ind w:left="3544" w:right="369" w:hanging="567"/>
        <w:textAlignment w:val="baseline"/>
        <w:rPr>
          <w:rFonts w:ascii="Arial" w:eastAsia="Arial" w:hAnsi="Arial" w:cs="Arial"/>
          <w:color w:val="000000"/>
          <w:spacing w:val="-2"/>
          <w:sz w:val="20"/>
          <w:szCs w:val="20"/>
        </w:rPr>
      </w:pPr>
      <w:r w:rsidRPr="000E5786">
        <w:rPr>
          <w:rFonts w:ascii="Arial" w:eastAsia="Arial" w:hAnsi="Arial" w:cs="Arial"/>
          <w:color w:val="000000"/>
          <w:spacing w:val="-2"/>
          <w:sz w:val="20"/>
          <w:szCs w:val="20"/>
        </w:rPr>
        <w:t>information derived from any of the above, but not including any Information that:</w:t>
      </w:r>
    </w:p>
    <w:p w14:paraId="3AAC61E2" w14:textId="77777777" w:rsidR="008473E5" w:rsidRPr="000E5786" w:rsidRDefault="008473E5" w:rsidP="00DD60F0">
      <w:pPr>
        <w:pStyle w:val="ListParagraph"/>
        <w:tabs>
          <w:tab w:val="left" w:pos="648"/>
          <w:tab w:val="left" w:pos="3544"/>
        </w:tabs>
        <w:spacing w:after="120" w:line="240" w:lineRule="auto"/>
        <w:ind w:left="3544" w:right="369"/>
        <w:textAlignment w:val="baseline"/>
        <w:rPr>
          <w:rFonts w:ascii="Arial" w:eastAsia="Arial" w:hAnsi="Arial" w:cs="Arial"/>
          <w:color w:val="000000"/>
          <w:spacing w:val="-2"/>
          <w:sz w:val="20"/>
          <w:szCs w:val="20"/>
        </w:rPr>
      </w:pPr>
    </w:p>
    <w:p w14:paraId="0233E150" w14:textId="30817FA7" w:rsidR="008473E5" w:rsidRPr="000E5786" w:rsidRDefault="008473E5" w:rsidP="00E538A1">
      <w:pPr>
        <w:numPr>
          <w:ilvl w:val="0"/>
          <w:numId w:val="19"/>
        </w:numPr>
        <w:tabs>
          <w:tab w:val="clear" w:pos="720"/>
        </w:tabs>
        <w:ind w:left="4395" w:right="576" w:hanging="720"/>
        <w:textAlignment w:val="baseline"/>
        <w:rPr>
          <w:rFonts w:eastAsia="Arial" w:cs="Arial"/>
          <w:spacing w:val="-2"/>
          <w:szCs w:val="20"/>
        </w:rPr>
      </w:pPr>
      <w:r w:rsidRPr="000E5786">
        <w:rPr>
          <w:rFonts w:eastAsia="Arial" w:cs="Arial"/>
          <w:szCs w:val="20"/>
        </w:rPr>
        <w:t xml:space="preserve">was in the possession of the </w:t>
      </w:r>
      <w:proofErr w:type="spellStart"/>
      <w:r w:rsidRPr="000E5786">
        <w:rPr>
          <w:rFonts w:eastAsia="Arial" w:cs="Arial"/>
          <w:szCs w:val="20"/>
        </w:rPr>
        <w:t>Benchmarker</w:t>
      </w:r>
      <w:proofErr w:type="spellEnd"/>
      <w:r w:rsidRPr="000E5786">
        <w:rPr>
          <w:rFonts w:eastAsia="Arial" w:cs="Arial"/>
          <w:szCs w:val="20"/>
        </w:rPr>
        <w:t xml:space="preserve"> without obligation of confidentiality prior to its disclosure by the </w:t>
      </w:r>
      <w:proofErr w:type="gramStart"/>
      <w:r w:rsidRPr="000E5786">
        <w:rPr>
          <w:rFonts w:eastAsia="Arial" w:cs="Arial"/>
          <w:szCs w:val="20"/>
        </w:rPr>
        <w:t>Supplier;</w:t>
      </w:r>
      <w:proofErr w:type="gramEnd"/>
    </w:p>
    <w:p w14:paraId="1B57751C" w14:textId="77777777" w:rsidR="008473E5" w:rsidRPr="000E5786" w:rsidRDefault="008473E5" w:rsidP="00E538A1">
      <w:pPr>
        <w:numPr>
          <w:ilvl w:val="0"/>
          <w:numId w:val="19"/>
        </w:numPr>
        <w:tabs>
          <w:tab w:val="clear" w:pos="720"/>
        </w:tabs>
        <w:ind w:left="4395" w:right="576" w:hanging="720"/>
        <w:textAlignment w:val="baseline"/>
        <w:rPr>
          <w:rFonts w:eastAsia="Arial" w:cs="Arial"/>
          <w:spacing w:val="-2"/>
          <w:szCs w:val="20"/>
        </w:rPr>
      </w:pPr>
      <w:r w:rsidRPr="000E5786">
        <w:rPr>
          <w:rFonts w:eastAsia="Arial" w:cs="Arial"/>
          <w:szCs w:val="20"/>
        </w:rPr>
        <w:t xml:space="preserve">the </w:t>
      </w:r>
      <w:proofErr w:type="spellStart"/>
      <w:r w:rsidRPr="000E5786">
        <w:rPr>
          <w:rFonts w:eastAsia="Arial" w:cs="Arial"/>
          <w:szCs w:val="20"/>
        </w:rPr>
        <w:t>Benchmarker</w:t>
      </w:r>
      <w:proofErr w:type="spellEnd"/>
      <w:r w:rsidRPr="000E5786">
        <w:rPr>
          <w:rFonts w:eastAsia="Arial" w:cs="Arial"/>
          <w:szCs w:val="20"/>
        </w:rPr>
        <w:t xml:space="preserve"> obtained on a non-confidential basis from a third party who is not, to the </w:t>
      </w:r>
      <w:proofErr w:type="spellStart"/>
      <w:r w:rsidRPr="000E5786">
        <w:rPr>
          <w:rFonts w:eastAsia="Arial" w:cs="Arial"/>
          <w:szCs w:val="20"/>
        </w:rPr>
        <w:t>Benchmarker’s</w:t>
      </w:r>
      <w:proofErr w:type="spellEnd"/>
      <w:r w:rsidRPr="000E5786">
        <w:rPr>
          <w:rFonts w:eastAsia="Arial" w:cs="Arial"/>
          <w:szCs w:val="20"/>
        </w:rPr>
        <w:t xml:space="preserve"> knowledge or belief, bound by a confidentiality agreement with the Supplier or otherwise prohibited from disclosing the information to the </w:t>
      </w:r>
      <w:proofErr w:type="spellStart"/>
      <w:proofErr w:type="gramStart"/>
      <w:r w:rsidRPr="000E5786">
        <w:rPr>
          <w:rFonts w:eastAsia="Arial" w:cs="Arial"/>
          <w:szCs w:val="20"/>
        </w:rPr>
        <w:t>Benchmarker</w:t>
      </w:r>
      <w:proofErr w:type="spellEnd"/>
      <w:r w:rsidRPr="000E5786">
        <w:rPr>
          <w:rFonts w:eastAsia="Arial" w:cs="Arial"/>
          <w:szCs w:val="20"/>
        </w:rPr>
        <w:t>;</w:t>
      </w:r>
      <w:proofErr w:type="gramEnd"/>
    </w:p>
    <w:p w14:paraId="05346BC0" w14:textId="77777777" w:rsidR="008473E5" w:rsidRPr="000E5786" w:rsidRDefault="008473E5" w:rsidP="00E538A1">
      <w:pPr>
        <w:numPr>
          <w:ilvl w:val="0"/>
          <w:numId w:val="19"/>
        </w:numPr>
        <w:tabs>
          <w:tab w:val="clear" w:pos="720"/>
        </w:tabs>
        <w:ind w:left="4395" w:right="576" w:hanging="720"/>
        <w:textAlignment w:val="baseline"/>
        <w:rPr>
          <w:rFonts w:eastAsia="Arial" w:cs="Arial"/>
          <w:spacing w:val="-2"/>
          <w:szCs w:val="20"/>
        </w:rPr>
      </w:pPr>
      <w:r w:rsidRPr="000E5786">
        <w:rPr>
          <w:rFonts w:eastAsia="Arial" w:cs="Arial"/>
          <w:szCs w:val="20"/>
        </w:rPr>
        <w:t>was already generally available and in the public domain at the time of disclosure otherwise than by a breach of this Agreement or breach of a duty of confidentiality; or</w:t>
      </w:r>
    </w:p>
    <w:p w14:paraId="47164E2F" w14:textId="77777777" w:rsidR="008473E5" w:rsidRPr="000E5786" w:rsidRDefault="008473E5" w:rsidP="00E538A1">
      <w:pPr>
        <w:numPr>
          <w:ilvl w:val="0"/>
          <w:numId w:val="19"/>
        </w:numPr>
        <w:tabs>
          <w:tab w:val="clear" w:pos="720"/>
        </w:tabs>
        <w:ind w:left="4395" w:right="576" w:hanging="720"/>
        <w:textAlignment w:val="baseline"/>
        <w:rPr>
          <w:rFonts w:eastAsia="Arial" w:cs="Arial"/>
          <w:spacing w:val="-2"/>
          <w:szCs w:val="20"/>
        </w:rPr>
      </w:pPr>
      <w:r w:rsidRPr="000E5786">
        <w:rPr>
          <w:rFonts w:eastAsia="Arial" w:cs="Arial"/>
          <w:szCs w:val="20"/>
        </w:rPr>
        <w:lastRenderedPageBreak/>
        <w:t xml:space="preserve">was independently developed without access to the Confidential </w:t>
      </w:r>
      <w:proofErr w:type="gramStart"/>
      <w:r w:rsidRPr="000E5786">
        <w:rPr>
          <w:rFonts w:eastAsia="Arial" w:cs="Arial"/>
          <w:szCs w:val="20"/>
        </w:rPr>
        <w:t>Information;</w:t>
      </w:r>
      <w:proofErr w:type="gramEnd"/>
    </w:p>
    <w:p w14:paraId="3DC24C13" w14:textId="4A4E14D1" w:rsidR="008473E5" w:rsidRPr="000E5786" w:rsidRDefault="008473E5" w:rsidP="00DD60F0">
      <w:pPr>
        <w:tabs>
          <w:tab w:val="left" w:pos="3600"/>
        </w:tabs>
        <w:ind w:left="3600" w:right="144" w:hanging="2808"/>
        <w:textAlignment w:val="baseline"/>
        <w:rPr>
          <w:rFonts w:eastAsia="Arial" w:cs="Arial"/>
          <w:b/>
          <w:szCs w:val="20"/>
        </w:rPr>
      </w:pPr>
      <w:r w:rsidRPr="000E5786">
        <w:rPr>
          <w:rFonts w:eastAsia="Arial" w:cs="Arial"/>
          <w:b/>
          <w:szCs w:val="20"/>
        </w:rPr>
        <w:t>“Information”</w:t>
      </w:r>
      <w:r w:rsidRPr="000E5786">
        <w:rPr>
          <w:rFonts w:eastAsia="Arial" w:cs="Arial"/>
          <w:b/>
          <w:szCs w:val="20"/>
        </w:rPr>
        <w:tab/>
      </w:r>
      <w:r w:rsidRPr="000E5786">
        <w:rPr>
          <w:rFonts w:eastAsia="Arial" w:cs="Arial"/>
          <w:szCs w:val="20"/>
        </w:rPr>
        <w:t>means all information of whatever nature, however conveyed and in whatever form, including in writing, orally, by demonstration, electronically and in a tangible, visual or machine-readable medium (including CD-ROM, magnetic and digital form); and</w:t>
      </w:r>
    </w:p>
    <w:p w14:paraId="61ED3710" w14:textId="77777777" w:rsidR="008473E5" w:rsidRPr="000E5786" w:rsidRDefault="008473E5" w:rsidP="00DD60F0">
      <w:pPr>
        <w:tabs>
          <w:tab w:val="left" w:pos="3600"/>
        </w:tabs>
        <w:ind w:left="3600" w:right="216" w:hanging="2808"/>
        <w:textAlignment w:val="baseline"/>
        <w:rPr>
          <w:rFonts w:eastAsia="Arial" w:cs="Arial"/>
          <w:b/>
          <w:szCs w:val="20"/>
        </w:rPr>
      </w:pPr>
      <w:r w:rsidRPr="000E5786">
        <w:rPr>
          <w:rFonts w:eastAsia="Arial" w:cs="Arial"/>
          <w:b/>
          <w:szCs w:val="20"/>
        </w:rPr>
        <w:t>“Permitted Purpose”</w:t>
      </w:r>
      <w:r w:rsidRPr="000E5786">
        <w:rPr>
          <w:rFonts w:eastAsia="Arial" w:cs="Arial"/>
          <w:b/>
          <w:szCs w:val="20"/>
        </w:rPr>
        <w:tab/>
      </w:r>
      <w:r w:rsidRPr="000E5786">
        <w:rPr>
          <w:rFonts w:eastAsia="Arial" w:cs="Arial"/>
          <w:szCs w:val="20"/>
        </w:rPr>
        <w:t>has the meaning given to that expression in recital (B) to this Agreement.</w:t>
      </w:r>
    </w:p>
    <w:p w14:paraId="7280192B" w14:textId="77777777" w:rsidR="004C127E" w:rsidRPr="000E5786" w:rsidRDefault="004C127E" w:rsidP="009D675B">
      <w:pPr>
        <w:pStyle w:val="Heading2"/>
        <w:numPr>
          <w:ilvl w:val="1"/>
          <w:numId w:val="144"/>
        </w:numPr>
        <w:spacing w:after="120"/>
        <w:rPr>
          <w:rFonts w:eastAsia="Arial" w:cs="Arial"/>
          <w:szCs w:val="20"/>
        </w:rPr>
      </w:pPr>
      <w:r w:rsidRPr="000E5786">
        <w:rPr>
          <w:rFonts w:eastAsia="Arial" w:cs="Arial"/>
          <w:szCs w:val="20"/>
        </w:rPr>
        <w:t xml:space="preserve">In this </w:t>
      </w:r>
      <w:r w:rsidRPr="000E5786">
        <w:rPr>
          <w:rFonts w:cs="Arial"/>
          <w:szCs w:val="20"/>
        </w:rPr>
        <w:t>Agreement</w:t>
      </w:r>
      <w:r w:rsidRPr="000E5786">
        <w:rPr>
          <w:rFonts w:eastAsia="Arial" w:cs="Arial"/>
          <w:szCs w:val="20"/>
        </w:rPr>
        <w:t>:</w:t>
      </w:r>
    </w:p>
    <w:p w14:paraId="2ACBBBA9" w14:textId="5D632D99" w:rsidR="004C127E" w:rsidRPr="000E5786" w:rsidRDefault="004C127E" w:rsidP="00E538A1">
      <w:pPr>
        <w:numPr>
          <w:ilvl w:val="0"/>
          <w:numId w:val="18"/>
        </w:numPr>
        <w:tabs>
          <w:tab w:val="left" w:pos="1418"/>
        </w:tabs>
        <w:ind w:left="1418" w:hanging="709"/>
        <w:textAlignment w:val="baseline"/>
        <w:rPr>
          <w:rFonts w:eastAsia="Arial" w:cs="Arial"/>
          <w:szCs w:val="20"/>
        </w:rPr>
      </w:pPr>
      <w:r w:rsidRPr="000E5786">
        <w:rPr>
          <w:rFonts w:eastAsia="Arial" w:cs="Arial"/>
          <w:szCs w:val="20"/>
        </w:rPr>
        <w:t xml:space="preserve">a reference to any gender includes a reference to other </w:t>
      </w:r>
      <w:proofErr w:type="gramStart"/>
      <w:r w:rsidRPr="000E5786">
        <w:rPr>
          <w:rFonts w:eastAsia="Arial" w:cs="Arial"/>
          <w:szCs w:val="20"/>
        </w:rPr>
        <w:t>genders;</w:t>
      </w:r>
      <w:proofErr w:type="gramEnd"/>
    </w:p>
    <w:p w14:paraId="27C71C94" w14:textId="239886C7" w:rsidR="004C127E" w:rsidRPr="000E5786" w:rsidRDefault="004C127E" w:rsidP="00E538A1">
      <w:pPr>
        <w:numPr>
          <w:ilvl w:val="0"/>
          <w:numId w:val="18"/>
        </w:numPr>
        <w:tabs>
          <w:tab w:val="left" w:pos="1418"/>
        </w:tabs>
        <w:ind w:left="1418" w:hanging="709"/>
        <w:textAlignment w:val="baseline"/>
        <w:rPr>
          <w:rFonts w:eastAsia="Arial" w:cs="Arial"/>
          <w:szCs w:val="20"/>
        </w:rPr>
      </w:pPr>
      <w:r w:rsidRPr="000E5786">
        <w:rPr>
          <w:rFonts w:eastAsia="Arial" w:cs="Arial"/>
          <w:szCs w:val="20"/>
        </w:rPr>
        <w:t xml:space="preserve">the singular includes the plural and </w:t>
      </w:r>
      <w:proofErr w:type="gramStart"/>
      <w:r w:rsidRPr="000E5786">
        <w:rPr>
          <w:rFonts w:eastAsia="Arial" w:cs="Arial"/>
          <w:szCs w:val="20"/>
        </w:rPr>
        <w:t>vice versa;</w:t>
      </w:r>
      <w:proofErr w:type="gramEnd"/>
    </w:p>
    <w:p w14:paraId="45F774DD" w14:textId="1C1D0490" w:rsidR="004C127E" w:rsidRPr="000E5786" w:rsidRDefault="004C127E" w:rsidP="00E538A1">
      <w:pPr>
        <w:numPr>
          <w:ilvl w:val="0"/>
          <w:numId w:val="18"/>
        </w:numPr>
        <w:tabs>
          <w:tab w:val="left" w:pos="1418"/>
        </w:tabs>
        <w:ind w:left="1418" w:hanging="709"/>
        <w:textAlignment w:val="baseline"/>
        <w:rPr>
          <w:rFonts w:eastAsia="Arial" w:cs="Arial"/>
          <w:szCs w:val="20"/>
        </w:rPr>
      </w:pPr>
      <w:r w:rsidRPr="00B26A5F">
        <w:rPr>
          <w:rFonts w:eastAsia="Arial" w:cs="Arial"/>
          <w:szCs w:val="20"/>
        </w:rPr>
        <w:t>the words “include</w:t>
      </w:r>
      <w:proofErr w:type="gramStart"/>
      <w:r w:rsidRPr="00B26A5F">
        <w:rPr>
          <w:rFonts w:eastAsia="Arial" w:cs="Arial"/>
          <w:szCs w:val="20"/>
        </w:rPr>
        <w:t>”</w:t>
      </w:r>
      <w:proofErr w:type="gramEnd"/>
      <w:r w:rsidRPr="00B26A5F">
        <w:rPr>
          <w:rFonts w:eastAsia="Arial" w:cs="Arial"/>
          <w:szCs w:val="20"/>
        </w:rPr>
        <w:t xml:space="preserve"> and cognate expressions shall be construed as if they were immediately followed by the words “without limitation”;</w:t>
      </w:r>
    </w:p>
    <w:p w14:paraId="7A464080" w14:textId="4461C16A" w:rsidR="004C127E" w:rsidRPr="000E5786" w:rsidRDefault="004C127E" w:rsidP="00E538A1">
      <w:pPr>
        <w:numPr>
          <w:ilvl w:val="0"/>
          <w:numId w:val="18"/>
        </w:numPr>
        <w:tabs>
          <w:tab w:val="left" w:pos="1418"/>
        </w:tabs>
        <w:ind w:left="1418" w:hanging="709"/>
        <w:textAlignment w:val="baseline"/>
        <w:rPr>
          <w:rFonts w:eastAsia="Arial" w:cs="Arial"/>
          <w:szCs w:val="20"/>
        </w:rPr>
      </w:pPr>
      <w:r w:rsidRPr="000E5786">
        <w:rPr>
          <w:rFonts w:eastAsia="Arial" w:cs="Arial"/>
          <w:szCs w:val="20"/>
        </w:rPr>
        <w:t xml:space="preserve">references to any statutory provision include a reference to that provision as modified, replaced, amended and/or re-enacted from time to time (before or after the date of this Agreement) and any prior or subsequent subordinate legislation made under </w:t>
      </w:r>
      <w:proofErr w:type="gramStart"/>
      <w:r w:rsidRPr="000E5786">
        <w:rPr>
          <w:rFonts w:eastAsia="Arial" w:cs="Arial"/>
          <w:szCs w:val="20"/>
        </w:rPr>
        <w:t>it;</w:t>
      </w:r>
      <w:proofErr w:type="gramEnd"/>
    </w:p>
    <w:p w14:paraId="59431616" w14:textId="0CB039F3" w:rsidR="004C127E" w:rsidRPr="000E5786" w:rsidRDefault="004C127E" w:rsidP="00E538A1">
      <w:pPr>
        <w:numPr>
          <w:ilvl w:val="0"/>
          <w:numId w:val="18"/>
        </w:numPr>
        <w:tabs>
          <w:tab w:val="left" w:pos="1418"/>
        </w:tabs>
        <w:ind w:left="1418" w:hanging="709"/>
        <w:textAlignment w:val="baseline"/>
        <w:rPr>
          <w:rFonts w:eastAsia="Arial" w:cs="Arial"/>
          <w:szCs w:val="20"/>
        </w:rPr>
      </w:pPr>
      <w:r w:rsidRPr="000E5786">
        <w:rPr>
          <w:rFonts w:eastAsia="Arial" w:cs="Arial"/>
          <w:szCs w:val="20"/>
        </w:rPr>
        <w:t>headings are included for ease of reference only and shall not affect the interpretation or construction of this Agreement; and</w:t>
      </w:r>
    </w:p>
    <w:p w14:paraId="52B88BF7" w14:textId="0D2D8F01" w:rsidR="004C127E" w:rsidRPr="000E5786" w:rsidRDefault="004C127E" w:rsidP="00E538A1">
      <w:pPr>
        <w:numPr>
          <w:ilvl w:val="0"/>
          <w:numId w:val="18"/>
        </w:numPr>
        <w:tabs>
          <w:tab w:val="left" w:pos="1418"/>
        </w:tabs>
        <w:ind w:left="1418" w:hanging="709"/>
        <w:textAlignment w:val="baseline"/>
        <w:rPr>
          <w:rFonts w:eastAsia="Arial" w:cs="Arial"/>
          <w:szCs w:val="20"/>
        </w:rPr>
      </w:pPr>
      <w:r w:rsidRPr="000E5786">
        <w:rPr>
          <w:rFonts w:eastAsia="Arial" w:cs="Arial"/>
          <w:szCs w:val="20"/>
        </w:rPr>
        <w:t>references to Clauses are to clauses of this Agreement.</w:t>
      </w:r>
    </w:p>
    <w:p w14:paraId="27D3BED4" w14:textId="77777777" w:rsidR="00615F94" w:rsidRPr="000E5786" w:rsidRDefault="00615F94" w:rsidP="00DD60F0">
      <w:pPr>
        <w:tabs>
          <w:tab w:val="left" w:pos="1418"/>
        </w:tabs>
        <w:textAlignment w:val="baseline"/>
        <w:rPr>
          <w:rFonts w:eastAsia="Arial" w:cs="Arial"/>
          <w:szCs w:val="20"/>
        </w:rPr>
      </w:pPr>
    </w:p>
    <w:p w14:paraId="5214802A" w14:textId="77777777" w:rsidR="00615F94" w:rsidRPr="000E5786" w:rsidRDefault="004C127E" w:rsidP="009D675B">
      <w:pPr>
        <w:pStyle w:val="Heading1"/>
        <w:numPr>
          <w:ilvl w:val="0"/>
          <w:numId w:val="144"/>
        </w:numPr>
        <w:spacing w:after="120"/>
        <w:rPr>
          <w:rFonts w:eastAsia="Arial" w:cs="Arial"/>
          <w:b w:val="0"/>
          <w:spacing w:val="-1"/>
          <w:szCs w:val="20"/>
        </w:rPr>
      </w:pPr>
      <w:r w:rsidRPr="000E5786">
        <w:rPr>
          <w:rFonts w:cs="Arial"/>
          <w:szCs w:val="20"/>
        </w:rPr>
        <w:t>Confidentiality</w:t>
      </w:r>
      <w:r w:rsidRPr="000E5786">
        <w:rPr>
          <w:rFonts w:eastAsia="Arial" w:cs="Arial"/>
          <w:b w:val="0"/>
          <w:spacing w:val="-1"/>
          <w:szCs w:val="20"/>
        </w:rPr>
        <w:t xml:space="preserve"> Obligations</w:t>
      </w:r>
    </w:p>
    <w:p w14:paraId="4CD69914" w14:textId="0D99E4F4" w:rsidR="004C127E" w:rsidRPr="000E5786" w:rsidRDefault="004C127E" w:rsidP="009D675B">
      <w:pPr>
        <w:pStyle w:val="Heading2"/>
        <w:numPr>
          <w:ilvl w:val="1"/>
          <w:numId w:val="144"/>
        </w:numPr>
        <w:spacing w:after="120"/>
        <w:rPr>
          <w:rFonts w:eastAsia="Arial" w:cs="Arial"/>
          <w:b/>
          <w:spacing w:val="-1"/>
          <w:szCs w:val="20"/>
        </w:rPr>
      </w:pPr>
      <w:r w:rsidRPr="000E5786">
        <w:rPr>
          <w:rFonts w:eastAsia="Arial" w:cs="Arial"/>
          <w:szCs w:val="20"/>
        </w:rPr>
        <w:t xml:space="preserve">In </w:t>
      </w:r>
      <w:r w:rsidRPr="000E5786">
        <w:rPr>
          <w:rFonts w:cs="Arial"/>
          <w:szCs w:val="20"/>
        </w:rPr>
        <w:t>consideration</w:t>
      </w:r>
      <w:r w:rsidRPr="000E5786">
        <w:rPr>
          <w:rFonts w:eastAsia="Arial" w:cs="Arial"/>
          <w:szCs w:val="20"/>
        </w:rPr>
        <w:t xml:space="preserve"> of the Supplier providing Confidential Information to the </w:t>
      </w:r>
      <w:proofErr w:type="spellStart"/>
      <w:r w:rsidRPr="000E5786">
        <w:rPr>
          <w:rFonts w:eastAsia="Arial" w:cs="Arial"/>
          <w:szCs w:val="20"/>
        </w:rPr>
        <w:t>Benchmarker</w:t>
      </w:r>
      <w:proofErr w:type="spellEnd"/>
      <w:r w:rsidRPr="000E5786">
        <w:rPr>
          <w:rFonts w:eastAsia="Arial" w:cs="Arial"/>
          <w:szCs w:val="20"/>
        </w:rPr>
        <w:t xml:space="preserve">, the </w:t>
      </w:r>
      <w:proofErr w:type="spellStart"/>
      <w:r w:rsidRPr="000E5786">
        <w:rPr>
          <w:rFonts w:eastAsia="Arial" w:cs="Arial"/>
          <w:szCs w:val="20"/>
        </w:rPr>
        <w:t>Benchmarker</w:t>
      </w:r>
      <w:proofErr w:type="spellEnd"/>
      <w:r w:rsidRPr="000E5786">
        <w:rPr>
          <w:rFonts w:eastAsia="Arial" w:cs="Arial"/>
          <w:szCs w:val="20"/>
        </w:rPr>
        <w:t xml:space="preserve"> shall:</w:t>
      </w:r>
    </w:p>
    <w:p w14:paraId="5FBB63B0" w14:textId="77777777" w:rsidR="004C127E" w:rsidRPr="000E5786" w:rsidRDefault="004C127E" w:rsidP="009D675B">
      <w:pPr>
        <w:numPr>
          <w:ilvl w:val="0"/>
          <w:numId w:val="49"/>
        </w:numPr>
        <w:tabs>
          <w:tab w:val="left" w:pos="1418"/>
        </w:tabs>
        <w:ind w:firstLine="709"/>
        <w:textAlignment w:val="baseline"/>
        <w:rPr>
          <w:rFonts w:eastAsia="Arial" w:cs="Arial"/>
          <w:szCs w:val="20"/>
        </w:rPr>
      </w:pPr>
      <w:r w:rsidRPr="000E5786">
        <w:rPr>
          <w:rFonts w:eastAsia="Arial" w:cs="Arial"/>
          <w:szCs w:val="20"/>
        </w:rPr>
        <w:t xml:space="preserve">treat all Confidential Information as secret and </w:t>
      </w:r>
      <w:proofErr w:type="gramStart"/>
      <w:r w:rsidRPr="000E5786">
        <w:rPr>
          <w:rFonts w:eastAsia="Arial" w:cs="Arial"/>
          <w:szCs w:val="20"/>
        </w:rPr>
        <w:t>confidential;</w:t>
      </w:r>
      <w:proofErr w:type="gramEnd"/>
    </w:p>
    <w:p w14:paraId="32EC4575" w14:textId="77777777" w:rsidR="004C127E" w:rsidRPr="000E5786" w:rsidRDefault="004C127E" w:rsidP="009D675B">
      <w:pPr>
        <w:numPr>
          <w:ilvl w:val="0"/>
          <w:numId w:val="49"/>
        </w:numPr>
        <w:tabs>
          <w:tab w:val="left" w:pos="1418"/>
        </w:tabs>
        <w:ind w:left="1418" w:hanging="709"/>
        <w:textAlignment w:val="baseline"/>
        <w:rPr>
          <w:rFonts w:eastAsia="Arial" w:cs="Arial"/>
          <w:szCs w:val="20"/>
        </w:rPr>
      </w:pPr>
      <w:r w:rsidRPr="000E5786">
        <w:rPr>
          <w:rFonts w:eastAsia="Arial" w:cs="Arial"/>
          <w:spacing w:val="-2"/>
          <w:szCs w:val="20"/>
        </w:rPr>
        <w:t>have in place and maintain proper security measures and procedures to protect the confidentiality of the Confidential Information (having regard to its form and nature</w:t>
      </w:r>
      <w:proofErr w:type="gramStart"/>
      <w:r w:rsidRPr="000E5786">
        <w:rPr>
          <w:rFonts w:eastAsia="Arial" w:cs="Arial"/>
          <w:spacing w:val="-2"/>
          <w:szCs w:val="20"/>
        </w:rPr>
        <w:t>);</w:t>
      </w:r>
      <w:proofErr w:type="gramEnd"/>
    </w:p>
    <w:p w14:paraId="2D317046" w14:textId="77777777" w:rsidR="004C127E" w:rsidRPr="000E5786" w:rsidRDefault="004C127E" w:rsidP="009D675B">
      <w:pPr>
        <w:numPr>
          <w:ilvl w:val="0"/>
          <w:numId w:val="49"/>
        </w:numPr>
        <w:tabs>
          <w:tab w:val="left" w:pos="1418"/>
        </w:tabs>
        <w:ind w:left="1418" w:hanging="709"/>
        <w:textAlignment w:val="baseline"/>
        <w:rPr>
          <w:rFonts w:eastAsia="Arial" w:cs="Arial"/>
          <w:szCs w:val="20"/>
        </w:rPr>
      </w:pPr>
      <w:r w:rsidRPr="000E5786">
        <w:rPr>
          <w:rFonts w:eastAsia="Arial" w:cs="Arial"/>
          <w:szCs w:val="20"/>
        </w:rPr>
        <w:t xml:space="preserve">not disclose or permit the disclosure of any of the Confidential Information to any other person without obtaining the prior written consent of the Supplier or, if relevant, other owner or except as expressly set out in this </w:t>
      </w:r>
      <w:proofErr w:type="gramStart"/>
      <w:r w:rsidRPr="000E5786">
        <w:rPr>
          <w:rFonts w:eastAsia="Arial" w:cs="Arial"/>
          <w:szCs w:val="20"/>
        </w:rPr>
        <w:t>Agreement;</w:t>
      </w:r>
      <w:proofErr w:type="gramEnd"/>
    </w:p>
    <w:p w14:paraId="5CACEDF1" w14:textId="77777777" w:rsidR="004C127E" w:rsidRPr="000E5786" w:rsidRDefault="004C127E" w:rsidP="009D675B">
      <w:pPr>
        <w:numPr>
          <w:ilvl w:val="0"/>
          <w:numId w:val="49"/>
        </w:numPr>
        <w:tabs>
          <w:tab w:val="left" w:pos="1418"/>
        </w:tabs>
        <w:ind w:left="1418" w:hanging="709"/>
        <w:textAlignment w:val="baseline"/>
        <w:rPr>
          <w:rFonts w:eastAsia="Arial" w:cs="Arial"/>
          <w:szCs w:val="20"/>
        </w:rPr>
      </w:pPr>
      <w:r w:rsidRPr="000E5786">
        <w:rPr>
          <w:rFonts w:eastAsia="Arial" w:cs="Arial"/>
          <w:szCs w:val="20"/>
        </w:rPr>
        <w:t xml:space="preserve">not transfer any of the Confidential Information outside the United </w:t>
      </w:r>
      <w:proofErr w:type="gramStart"/>
      <w:r w:rsidRPr="000E5786">
        <w:rPr>
          <w:rFonts w:eastAsia="Arial" w:cs="Arial"/>
          <w:szCs w:val="20"/>
        </w:rPr>
        <w:t>Kingdom;</w:t>
      </w:r>
      <w:proofErr w:type="gramEnd"/>
    </w:p>
    <w:p w14:paraId="71311F73" w14:textId="77777777" w:rsidR="004C127E" w:rsidRPr="000E5786" w:rsidRDefault="004C127E" w:rsidP="009D675B">
      <w:pPr>
        <w:numPr>
          <w:ilvl w:val="0"/>
          <w:numId w:val="49"/>
        </w:numPr>
        <w:tabs>
          <w:tab w:val="left" w:pos="1418"/>
        </w:tabs>
        <w:ind w:left="1418" w:hanging="709"/>
        <w:textAlignment w:val="baseline"/>
        <w:rPr>
          <w:rFonts w:eastAsia="Arial" w:cs="Arial"/>
          <w:szCs w:val="20"/>
        </w:rPr>
      </w:pPr>
      <w:r w:rsidRPr="000E5786">
        <w:rPr>
          <w:rFonts w:eastAsia="Arial" w:cs="Arial"/>
          <w:szCs w:val="20"/>
        </w:rPr>
        <w:t xml:space="preserve">not use or exploit any of the Confidential Information for any purpose whatsoever other than the Permitted </w:t>
      </w:r>
      <w:proofErr w:type="gramStart"/>
      <w:r w:rsidRPr="000E5786">
        <w:rPr>
          <w:rFonts w:eastAsia="Arial" w:cs="Arial"/>
          <w:szCs w:val="20"/>
        </w:rPr>
        <w:t>Purpose;</w:t>
      </w:r>
      <w:proofErr w:type="gramEnd"/>
    </w:p>
    <w:p w14:paraId="04906402" w14:textId="77777777" w:rsidR="004C127E" w:rsidRPr="000E5786" w:rsidRDefault="004C127E" w:rsidP="009D675B">
      <w:pPr>
        <w:numPr>
          <w:ilvl w:val="0"/>
          <w:numId w:val="49"/>
        </w:numPr>
        <w:tabs>
          <w:tab w:val="left" w:pos="1418"/>
        </w:tabs>
        <w:ind w:left="1418" w:hanging="709"/>
        <w:textAlignment w:val="baseline"/>
        <w:rPr>
          <w:rFonts w:eastAsia="Arial" w:cs="Arial"/>
          <w:szCs w:val="20"/>
        </w:rPr>
      </w:pPr>
      <w:r w:rsidRPr="000E5786">
        <w:rPr>
          <w:rFonts w:eastAsia="Arial" w:cs="Arial"/>
          <w:szCs w:val="20"/>
        </w:rPr>
        <w:t>immediately notify the Supplier in writing if it suspects or becomes aware of any unauthorised access, copying, use or disclosure in any form of any of the Confidential Information; and</w:t>
      </w:r>
    </w:p>
    <w:p w14:paraId="3259637D" w14:textId="77777777" w:rsidR="004C127E" w:rsidRPr="000E5786" w:rsidRDefault="004C127E" w:rsidP="009D675B">
      <w:pPr>
        <w:numPr>
          <w:ilvl w:val="0"/>
          <w:numId w:val="49"/>
        </w:numPr>
        <w:tabs>
          <w:tab w:val="left" w:pos="1418"/>
        </w:tabs>
        <w:ind w:left="1418" w:hanging="709"/>
        <w:textAlignment w:val="baseline"/>
        <w:rPr>
          <w:rFonts w:eastAsia="Arial" w:cs="Arial"/>
          <w:szCs w:val="20"/>
        </w:rPr>
      </w:pPr>
      <w:r w:rsidRPr="000E5786">
        <w:rPr>
          <w:rFonts w:eastAsia="Arial" w:cs="Arial"/>
          <w:szCs w:val="20"/>
        </w:rPr>
        <w:t>once the Permitted Purpose has been fulfilled:</w:t>
      </w:r>
    </w:p>
    <w:p w14:paraId="2A4A862E" w14:textId="77777777" w:rsidR="004C127E" w:rsidRPr="000E5786" w:rsidRDefault="004C127E" w:rsidP="009D675B">
      <w:pPr>
        <w:numPr>
          <w:ilvl w:val="0"/>
          <w:numId w:val="50"/>
        </w:numPr>
        <w:tabs>
          <w:tab w:val="left" w:pos="2694"/>
        </w:tabs>
        <w:ind w:left="1843" w:right="576"/>
        <w:textAlignment w:val="baseline"/>
        <w:rPr>
          <w:rFonts w:eastAsia="Arial" w:cs="Arial"/>
          <w:szCs w:val="20"/>
        </w:rPr>
      </w:pPr>
      <w:r w:rsidRPr="000E5786">
        <w:rPr>
          <w:rFonts w:eastAsia="Arial" w:cs="Arial"/>
          <w:szCs w:val="20"/>
        </w:rPr>
        <w:t xml:space="preserve">destroy or return to the Supplier all documents and other tangible materials that contain any of the Confidential </w:t>
      </w:r>
      <w:proofErr w:type="gramStart"/>
      <w:r w:rsidRPr="000E5786">
        <w:rPr>
          <w:rFonts w:eastAsia="Arial" w:cs="Arial"/>
          <w:szCs w:val="20"/>
        </w:rPr>
        <w:t>Information;</w:t>
      </w:r>
      <w:proofErr w:type="gramEnd"/>
    </w:p>
    <w:p w14:paraId="080A6F67" w14:textId="77777777" w:rsidR="004C127E" w:rsidRPr="000E5786" w:rsidRDefault="004C127E" w:rsidP="009D675B">
      <w:pPr>
        <w:numPr>
          <w:ilvl w:val="0"/>
          <w:numId w:val="50"/>
        </w:numPr>
        <w:tabs>
          <w:tab w:val="left" w:pos="2694"/>
        </w:tabs>
        <w:ind w:left="1843" w:right="72"/>
        <w:textAlignment w:val="baseline"/>
        <w:rPr>
          <w:rFonts w:eastAsia="Arial" w:cs="Arial"/>
          <w:szCs w:val="20"/>
        </w:rPr>
      </w:pPr>
      <w:r w:rsidRPr="000E5786">
        <w:rPr>
          <w:rFonts w:eastAsia="Arial" w:cs="Arial"/>
          <w:szCs w:val="20"/>
        </w:rPr>
        <w:t xml:space="preserve">ensure, so far as reasonably practicable, that all Confidential Information held in electronic, </w:t>
      </w:r>
      <w:proofErr w:type="gramStart"/>
      <w:r w:rsidRPr="000E5786">
        <w:rPr>
          <w:rFonts w:eastAsia="Arial" w:cs="Arial"/>
          <w:szCs w:val="20"/>
        </w:rPr>
        <w:t>digital</w:t>
      </w:r>
      <w:proofErr w:type="gramEnd"/>
      <w:r w:rsidRPr="000E5786">
        <w:rPr>
          <w:rFonts w:eastAsia="Arial" w:cs="Arial"/>
          <w:szCs w:val="20"/>
        </w:rPr>
        <w:t xml:space="preserve"> or other machine-readable form ceases to be readily accessible (other than by the information technology staff of the </w:t>
      </w:r>
      <w:proofErr w:type="spellStart"/>
      <w:r w:rsidRPr="000E5786">
        <w:rPr>
          <w:rFonts w:eastAsia="Arial" w:cs="Arial"/>
          <w:szCs w:val="20"/>
        </w:rPr>
        <w:t>Benchmarker</w:t>
      </w:r>
      <w:proofErr w:type="spellEnd"/>
      <w:r w:rsidRPr="000E5786">
        <w:rPr>
          <w:rFonts w:eastAsia="Arial" w:cs="Arial"/>
          <w:szCs w:val="20"/>
        </w:rPr>
        <w:t>) from any computer, word processor, voicemail system or any other device; and</w:t>
      </w:r>
    </w:p>
    <w:p w14:paraId="136069FC" w14:textId="1E286F0E" w:rsidR="004C127E" w:rsidRPr="000E5786" w:rsidRDefault="004C127E" w:rsidP="009D675B">
      <w:pPr>
        <w:numPr>
          <w:ilvl w:val="0"/>
          <w:numId w:val="50"/>
        </w:numPr>
        <w:tabs>
          <w:tab w:val="left" w:pos="2694"/>
        </w:tabs>
        <w:ind w:left="1843"/>
        <w:textAlignment w:val="baseline"/>
        <w:rPr>
          <w:rFonts w:eastAsia="Arial" w:cs="Arial"/>
          <w:szCs w:val="20"/>
        </w:rPr>
      </w:pPr>
      <w:r w:rsidRPr="000E5786">
        <w:rPr>
          <w:rFonts w:eastAsia="Arial" w:cs="Arial"/>
          <w:szCs w:val="20"/>
        </w:rPr>
        <w:t>make no further use of any Confidential Information.</w:t>
      </w:r>
    </w:p>
    <w:p w14:paraId="10392EED" w14:textId="77777777" w:rsidR="00EC521B" w:rsidRPr="000E5786" w:rsidRDefault="00EC521B" w:rsidP="00DD60F0">
      <w:pPr>
        <w:tabs>
          <w:tab w:val="left" w:pos="720"/>
          <w:tab w:val="left" w:pos="2592"/>
        </w:tabs>
        <w:ind w:left="2592"/>
        <w:textAlignment w:val="baseline"/>
        <w:rPr>
          <w:rFonts w:eastAsia="Arial" w:cs="Arial"/>
          <w:szCs w:val="20"/>
        </w:rPr>
      </w:pPr>
    </w:p>
    <w:p w14:paraId="74CE986C" w14:textId="77777777" w:rsidR="004C127E" w:rsidRPr="000E5786" w:rsidRDefault="004C127E" w:rsidP="009D675B">
      <w:pPr>
        <w:pStyle w:val="Heading1"/>
        <w:numPr>
          <w:ilvl w:val="0"/>
          <w:numId w:val="144"/>
        </w:numPr>
        <w:spacing w:after="120"/>
        <w:rPr>
          <w:rFonts w:eastAsia="Arial" w:cs="Arial"/>
          <w:b w:val="0"/>
          <w:spacing w:val="-1"/>
          <w:szCs w:val="20"/>
        </w:rPr>
      </w:pPr>
      <w:r w:rsidRPr="000E5786">
        <w:rPr>
          <w:rFonts w:eastAsia="Arial" w:cs="Arial"/>
          <w:bCs w:val="0"/>
          <w:spacing w:val="-1"/>
          <w:szCs w:val="20"/>
        </w:rPr>
        <w:lastRenderedPageBreak/>
        <w:t>Permitted</w:t>
      </w:r>
      <w:r w:rsidRPr="000E5786">
        <w:rPr>
          <w:rFonts w:eastAsia="Arial" w:cs="Arial"/>
          <w:b w:val="0"/>
          <w:spacing w:val="-1"/>
          <w:szCs w:val="20"/>
        </w:rPr>
        <w:t xml:space="preserve"> </w:t>
      </w:r>
      <w:r w:rsidRPr="000E5786">
        <w:rPr>
          <w:rFonts w:cs="Arial"/>
          <w:szCs w:val="20"/>
        </w:rPr>
        <w:t>Disclosures</w:t>
      </w:r>
    </w:p>
    <w:p w14:paraId="34BA6A0F" w14:textId="77777777" w:rsidR="004C127E" w:rsidRPr="000E5786" w:rsidRDefault="004C127E" w:rsidP="009D675B">
      <w:pPr>
        <w:pStyle w:val="Heading2"/>
        <w:numPr>
          <w:ilvl w:val="1"/>
          <w:numId w:val="144"/>
        </w:numPr>
        <w:spacing w:after="120"/>
        <w:rPr>
          <w:rFonts w:eastAsia="Arial" w:cs="Arial"/>
          <w:b/>
          <w:spacing w:val="-1"/>
          <w:szCs w:val="20"/>
        </w:rPr>
      </w:pPr>
      <w:r w:rsidRPr="000E5786">
        <w:rPr>
          <w:rFonts w:eastAsia="Arial" w:cs="Arial"/>
          <w:spacing w:val="-2"/>
          <w:szCs w:val="20"/>
        </w:rPr>
        <w:t xml:space="preserve">The </w:t>
      </w:r>
      <w:proofErr w:type="spellStart"/>
      <w:r w:rsidRPr="000E5786">
        <w:rPr>
          <w:rFonts w:eastAsia="Arial" w:cs="Arial"/>
          <w:spacing w:val="-2"/>
          <w:szCs w:val="20"/>
        </w:rPr>
        <w:t>Benchmarker</w:t>
      </w:r>
      <w:proofErr w:type="spellEnd"/>
      <w:r w:rsidRPr="000E5786">
        <w:rPr>
          <w:rFonts w:eastAsia="Arial" w:cs="Arial"/>
          <w:spacing w:val="-2"/>
          <w:szCs w:val="20"/>
        </w:rPr>
        <w:t xml:space="preserve"> may disclose Confidential Information to those of its directors, officers, </w:t>
      </w:r>
      <w:r w:rsidRPr="000E5786">
        <w:rPr>
          <w:rFonts w:cs="Arial"/>
          <w:szCs w:val="20"/>
        </w:rPr>
        <w:t>employees</w:t>
      </w:r>
      <w:r w:rsidRPr="000E5786">
        <w:rPr>
          <w:rFonts w:eastAsia="Arial" w:cs="Arial"/>
          <w:spacing w:val="-2"/>
          <w:szCs w:val="20"/>
        </w:rPr>
        <w:t xml:space="preserve">, </w:t>
      </w:r>
      <w:proofErr w:type="gramStart"/>
      <w:r w:rsidRPr="000E5786">
        <w:rPr>
          <w:rFonts w:eastAsia="Arial" w:cs="Arial"/>
          <w:spacing w:val="-2"/>
          <w:szCs w:val="20"/>
        </w:rPr>
        <w:t>consultants</w:t>
      </w:r>
      <w:proofErr w:type="gramEnd"/>
      <w:r w:rsidRPr="000E5786">
        <w:rPr>
          <w:rFonts w:eastAsia="Arial" w:cs="Arial"/>
          <w:spacing w:val="-2"/>
          <w:szCs w:val="20"/>
        </w:rPr>
        <w:t xml:space="preserve"> and professional advisers who:</w:t>
      </w:r>
    </w:p>
    <w:p w14:paraId="6E83A0FB" w14:textId="77777777" w:rsidR="004C127E" w:rsidRPr="000E5786" w:rsidRDefault="004C127E" w:rsidP="009D675B">
      <w:pPr>
        <w:numPr>
          <w:ilvl w:val="0"/>
          <w:numId w:val="51"/>
        </w:numPr>
        <w:tabs>
          <w:tab w:val="left" w:pos="1418"/>
        </w:tabs>
        <w:ind w:left="1418" w:hanging="709"/>
        <w:textAlignment w:val="baseline"/>
        <w:rPr>
          <w:rFonts w:eastAsia="Arial" w:cs="Arial"/>
          <w:szCs w:val="20"/>
        </w:rPr>
      </w:pPr>
      <w:r w:rsidRPr="000E5786">
        <w:rPr>
          <w:rFonts w:eastAsia="Arial" w:cs="Arial"/>
          <w:szCs w:val="20"/>
        </w:rPr>
        <w:t>reasonably need to receive the Confidential Information in connection with the Permitted Purpose; and</w:t>
      </w:r>
    </w:p>
    <w:p w14:paraId="4AC3ADBA" w14:textId="77777777" w:rsidR="004C127E" w:rsidRPr="000E5786" w:rsidRDefault="004C127E" w:rsidP="009D675B">
      <w:pPr>
        <w:numPr>
          <w:ilvl w:val="0"/>
          <w:numId w:val="51"/>
        </w:numPr>
        <w:tabs>
          <w:tab w:val="left" w:pos="1418"/>
        </w:tabs>
        <w:ind w:left="1418" w:hanging="709"/>
        <w:textAlignment w:val="baseline"/>
        <w:rPr>
          <w:rFonts w:eastAsia="Arial" w:cs="Arial"/>
          <w:szCs w:val="20"/>
        </w:rPr>
      </w:pPr>
      <w:r w:rsidRPr="000E5786">
        <w:rPr>
          <w:rFonts w:eastAsia="Arial" w:cs="Arial"/>
          <w:szCs w:val="20"/>
        </w:rPr>
        <w:t xml:space="preserve">have been informed by the </w:t>
      </w:r>
      <w:proofErr w:type="spellStart"/>
      <w:r w:rsidRPr="000E5786">
        <w:rPr>
          <w:rFonts w:eastAsia="Arial" w:cs="Arial"/>
          <w:szCs w:val="20"/>
        </w:rPr>
        <w:t>Benchmarker</w:t>
      </w:r>
      <w:proofErr w:type="spellEnd"/>
      <w:r w:rsidRPr="000E5786">
        <w:rPr>
          <w:rFonts w:eastAsia="Arial" w:cs="Arial"/>
          <w:szCs w:val="20"/>
        </w:rPr>
        <w:t xml:space="preserve"> of the confidential nature of the Confidential Information; and</w:t>
      </w:r>
    </w:p>
    <w:p w14:paraId="4FEC8BD1" w14:textId="77777777" w:rsidR="004C127E" w:rsidRPr="000E5786" w:rsidRDefault="004C127E" w:rsidP="009D675B">
      <w:pPr>
        <w:numPr>
          <w:ilvl w:val="0"/>
          <w:numId w:val="51"/>
        </w:numPr>
        <w:tabs>
          <w:tab w:val="left" w:pos="1418"/>
        </w:tabs>
        <w:ind w:left="1418" w:hanging="709"/>
        <w:textAlignment w:val="baseline"/>
        <w:rPr>
          <w:rFonts w:eastAsia="Arial" w:cs="Arial"/>
          <w:szCs w:val="20"/>
        </w:rPr>
      </w:pPr>
      <w:r w:rsidRPr="000E5786">
        <w:rPr>
          <w:rFonts w:eastAsia="Arial" w:cs="Arial"/>
          <w:szCs w:val="20"/>
        </w:rPr>
        <w:t xml:space="preserve">have agreed to terms </w:t>
      </w:r>
      <w:proofErr w:type="gramStart"/>
      <w:r w:rsidRPr="000E5786">
        <w:rPr>
          <w:rFonts w:eastAsia="Arial" w:cs="Arial"/>
          <w:szCs w:val="20"/>
        </w:rPr>
        <w:t>similar to</w:t>
      </w:r>
      <w:proofErr w:type="gramEnd"/>
      <w:r w:rsidRPr="000E5786">
        <w:rPr>
          <w:rFonts w:eastAsia="Arial" w:cs="Arial"/>
          <w:szCs w:val="20"/>
        </w:rPr>
        <w:t xml:space="preserve"> those in this Agreement.</w:t>
      </w:r>
    </w:p>
    <w:p w14:paraId="1FCD9FF0" w14:textId="474EFE77" w:rsidR="004C127E" w:rsidRPr="000E5786" w:rsidRDefault="004C127E" w:rsidP="009D675B">
      <w:pPr>
        <w:pStyle w:val="Heading2"/>
        <w:numPr>
          <w:ilvl w:val="1"/>
          <w:numId w:val="144"/>
        </w:numPr>
        <w:spacing w:after="120"/>
        <w:rPr>
          <w:rFonts w:eastAsia="Arial" w:cs="Arial"/>
          <w:b/>
          <w:spacing w:val="-1"/>
          <w:szCs w:val="20"/>
        </w:rPr>
      </w:pPr>
      <w:r w:rsidRPr="000E5786">
        <w:rPr>
          <w:rFonts w:eastAsia="Arial" w:cs="Arial"/>
          <w:szCs w:val="20"/>
        </w:rPr>
        <w:t xml:space="preserve">The </w:t>
      </w:r>
      <w:proofErr w:type="spellStart"/>
      <w:r w:rsidRPr="000E5786">
        <w:rPr>
          <w:rFonts w:eastAsia="Arial" w:cs="Arial"/>
          <w:szCs w:val="20"/>
        </w:rPr>
        <w:t>Benchmarker</w:t>
      </w:r>
      <w:proofErr w:type="spellEnd"/>
      <w:r w:rsidRPr="000E5786">
        <w:rPr>
          <w:rFonts w:eastAsia="Arial" w:cs="Arial"/>
          <w:szCs w:val="20"/>
        </w:rPr>
        <w:t xml:space="preserve"> shall be entitled to disclose Confidential Information to </w:t>
      </w:r>
      <w:proofErr w:type="spellStart"/>
      <w:r w:rsidR="001F1C19">
        <w:rPr>
          <w:rFonts w:eastAsia="Arial" w:cs="Arial"/>
          <w:szCs w:val="20"/>
        </w:rPr>
        <w:t>Netlink</w:t>
      </w:r>
      <w:proofErr w:type="spellEnd"/>
      <w:r w:rsidR="001F1C19">
        <w:rPr>
          <w:rFonts w:eastAsia="Arial" w:cs="Arial"/>
          <w:szCs w:val="20"/>
        </w:rPr>
        <w:t xml:space="preserve"> Star</w:t>
      </w:r>
      <w:r w:rsidRPr="000E5786">
        <w:rPr>
          <w:rFonts w:eastAsia="Arial" w:cs="Arial"/>
          <w:szCs w:val="20"/>
        </w:rPr>
        <w:t xml:space="preserve"> for the </w:t>
      </w:r>
      <w:r w:rsidRPr="000E5786">
        <w:rPr>
          <w:rFonts w:cs="Arial"/>
          <w:szCs w:val="20"/>
        </w:rPr>
        <w:t>Permitted</w:t>
      </w:r>
      <w:r w:rsidRPr="000E5786">
        <w:rPr>
          <w:rFonts w:eastAsia="Arial" w:cs="Arial"/>
          <w:szCs w:val="20"/>
        </w:rPr>
        <w:t xml:space="preserve"> Purpose and to any Expert appointed in relation to a Dispute as referred to in </w:t>
      </w:r>
      <w:r w:rsidR="00A80BE8" w:rsidRPr="000E5786">
        <w:rPr>
          <w:rFonts w:eastAsia="Arial" w:cs="Arial"/>
          <w:szCs w:val="20"/>
        </w:rPr>
        <w:t xml:space="preserve">Paragraph </w:t>
      </w:r>
      <w:r w:rsidRPr="000E5786">
        <w:rPr>
          <w:rFonts w:eastAsia="Arial" w:cs="Arial"/>
          <w:szCs w:val="20"/>
        </w:rPr>
        <w:t>5.7 of Schedule 7.3 (</w:t>
      </w:r>
      <w:r w:rsidRPr="00B26A5F">
        <w:rPr>
          <w:rFonts w:eastAsia="Arial" w:cs="Arial"/>
          <w:iCs w:val="0"/>
          <w:szCs w:val="20"/>
        </w:rPr>
        <w:t>Benchmarking</w:t>
      </w:r>
      <w:r w:rsidRPr="000E5786">
        <w:rPr>
          <w:rFonts w:eastAsia="Arial" w:cs="Arial"/>
          <w:szCs w:val="20"/>
        </w:rPr>
        <w:t>) to the Contract.</w:t>
      </w:r>
    </w:p>
    <w:p w14:paraId="21B60CF3" w14:textId="77777777" w:rsidR="004C127E" w:rsidRPr="000E5786" w:rsidRDefault="004C127E" w:rsidP="009D675B">
      <w:pPr>
        <w:pStyle w:val="Heading2"/>
        <w:numPr>
          <w:ilvl w:val="1"/>
          <w:numId w:val="144"/>
        </w:numPr>
        <w:spacing w:after="120"/>
        <w:rPr>
          <w:rFonts w:eastAsia="Arial" w:cs="Arial"/>
          <w:b/>
          <w:spacing w:val="-1"/>
          <w:szCs w:val="20"/>
        </w:rPr>
      </w:pPr>
      <w:r w:rsidRPr="000E5786">
        <w:rPr>
          <w:rFonts w:eastAsia="Arial" w:cs="Arial"/>
          <w:szCs w:val="20"/>
        </w:rPr>
        <w:t xml:space="preserve">The </w:t>
      </w:r>
      <w:proofErr w:type="spellStart"/>
      <w:r w:rsidRPr="000E5786">
        <w:rPr>
          <w:rFonts w:eastAsia="Arial" w:cs="Arial"/>
          <w:szCs w:val="20"/>
        </w:rPr>
        <w:t>Benchmarker</w:t>
      </w:r>
      <w:proofErr w:type="spellEnd"/>
      <w:r w:rsidRPr="000E5786">
        <w:rPr>
          <w:rFonts w:eastAsia="Arial" w:cs="Arial"/>
          <w:szCs w:val="20"/>
        </w:rPr>
        <w:t xml:space="preserve"> shall be entitled to disclose Confidential Information to the extent that it is required to do so by applicable law or by order of a court or other public body that has jurisdiction over the </w:t>
      </w:r>
      <w:proofErr w:type="spellStart"/>
      <w:r w:rsidRPr="000E5786">
        <w:rPr>
          <w:rFonts w:eastAsia="Arial" w:cs="Arial"/>
          <w:szCs w:val="20"/>
        </w:rPr>
        <w:t>Benchmarker</w:t>
      </w:r>
      <w:proofErr w:type="spellEnd"/>
      <w:r w:rsidRPr="000E5786">
        <w:rPr>
          <w:rFonts w:eastAsia="Arial" w:cs="Arial"/>
          <w:szCs w:val="20"/>
        </w:rPr>
        <w:t>.</w:t>
      </w:r>
    </w:p>
    <w:p w14:paraId="1E4D96E9" w14:textId="77777777" w:rsidR="004C127E" w:rsidRPr="000E5786" w:rsidRDefault="004C127E" w:rsidP="009D675B">
      <w:pPr>
        <w:pStyle w:val="Heading2"/>
        <w:numPr>
          <w:ilvl w:val="1"/>
          <w:numId w:val="144"/>
        </w:numPr>
        <w:spacing w:after="120"/>
        <w:rPr>
          <w:rFonts w:eastAsia="Arial" w:cs="Arial"/>
          <w:b/>
          <w:spacing w:val="-1"/>
          <w:szCs w:val="20"/>
        </w:rPr>
      </w:pPr>
      <w:r w:rsidRPr="000E5786">
        <w:rPr>
          <w:rFonts w:eastAsia="Arial" w:cs="Arial"/>
          <w:szCs w:val="20"/>
        </w:rPr>
        <w:t xml:space="preserve">Before making a disclosure pursuant to Clause 3.3, the </w:t>
      </w:r>
      <w:proofErr w:type="spellStart"/>
      <w:r w:rsidRPr="000E5786">
        <w:rPr>
          <w:rFonts w:eastAsia="Arial" w:cs="Arial"/>
          <w:szCs w:val="20"/>
        </w:rPr>
        <w:t>Benchmarker</w:t>
      </w:r>
      <w:proofErr w:type="spellEnd"/>
      <w:r w:rsidRPr="000E5786">
        <w:rPr>
          <w:rFonts w:eastAsia="Arial" w:cs="Arial"/>
          <w:szCs w:val="20"/>
        </w:rPr>
        <w:t xml:space="preserve"> shall, if the circumstances permit:</w:t>
      </w:r>
    </w:p>
    <w:p w14:paraId="21A325CA" w14:textId="77777777" w:rsidR="004C127E" w:rsidRPr="000E5786" w:rsidRDefault="004C127E" w:rsidP="009D675B">
      <w:pPr>
        <w:numPr>
          <w:ilvl w:val="0"/>
          <w:numId w:val="52"/>
        </w:numPr>
        <w:tabs>
          <w:tab w:val="left" w:pos="1418"/>
        </w:tabs>
        <w:ind w:left="1418" w:hanging="709"/>
        <w:textAlignment w:val="baseline"/>
        <w:rPr>
          <w:rFonts w:eastAsia="Arial" w:cs="Arial"/>
          <w:szCs w:val="20"/>
        </w:rPr>
      </w:pPr>
      <w:r w:rsidRPr="000E5786">
        <w:rPr>
          <w:rFonts w:eastAsia="Arial" w:cs="Arial"/>
          <w:szCs w:val="20"/>
        </w:rPr>
        <w:t>notify the Supplier in writing of the proposed disclosure as soon as possible (and if possible before the court or other public body orders the disclosure of the Confidential Information); and</w:t>
      </w:r>
    </w:p>
    <w:p w14:paraId="0AED7241" w14:textId="7CC9EE78" w:rsidR="004C127E" w:rsidRPr="000E5786" w:rsidRDefault="004C127E" w:rsidP="009D675B">
      <w:pPr>
        <w:numPr>
          <w:ilvl w:val="0"/>
          <w:numId w:val="52"/>
        </w:numPr>
        <w:tabs>
          <w:tab w:val="left" w:pos="1418"/>
        </w:tabs>
        <w:ind w:left="1418" w:hanging="709"/>
        <w:textAlignment w:val="baseline"/>
        <w:rPr>
          <w:rFonts w:eastAsia="Arial" w:cs="Arial"/>
          <w:szCs w:val="20"/>
        </w:rPr>
      </w:pPr>
      <w:r w:rsidRPr="000E5786">
        <w:rPr>
          <w:rFonts w:eastAsia="Arial" w:cs="Arial"/>
          <w:szCs w:val="20"/>
        </w:rPr>
        <w:t>ask the court or other public body to treat the Confidential Information as confidential.</w:t>
      </w:r>
    </w:p>
    <w:p w14:paraId="69CE7085" w14:textId="77777777" w:rsidR="00EC521B" w:rsidRPr="000E5786" w:rsidRDefault="00EC521B" w:rsidP="00DD60F0">
      <w:pPr>
        <w:tabs>
          <w:tab w:val="left" w:pos="1080"/>
          <w:tab w:val="left" w:pos="1872"/>
        </w:tabs>
        <w:ind w:left="1872" w:right="1224"/>
        <w:textAlignment w:val="baseline"/>
        <w:rPr>
          <w:rFonts w:eastAsia="Arial" w:cs="Arial"/>
          <w:szCs w:val="20"/>
        </w:rPr>
      </w:pPr>
    </w:p>
    <w:p w14:paraId="3EC1F276" w14:textId="77777777" w:rsidR="00615F94" w:rsidRPr="000E5786" w:rsidRDefault="004C127E" w:rsidP="009D675B">
      <w:pPr>
        <w:pStyle w:val="Heading1"/>
        <w:numPr>
          <w:ilvl w:val="0"/>
          <w:numId w:val="144"/>
        </w:numPr>
        <w:spacing w:after="120"/>
        <w:rPr>
          <w:rFonts w:eastAsia="Arial" w:cs="Arial"/>
          <w:b w:val="0"/>
          <w:spacing w:val="-5"/>
          <w:szCs w:val="20"/>
        </w:rPr>
      </w:pPr>
      <w:r w:rsidRPr="000E5786">
        <w:rPr>
          <w:rFonts w:cs="Arial"/>
          <w:szCs w:val="20"/>
        </w:rPr>
        <w:t>General</w:t>
      </w:r>
    </w:p>
    <w:p w14:paraId="42C00F0D" w14:textId="77777777" w:rsidR="00615F94" w:rsidRPr="000E5786" w:rsidRDefault="004C127E" w:rsidP="009D675B">
      <w:pPr>
        <w:pStyle w:val="Heading2"/>
        <w:numPr>
          <w:ilvl w:val="1"/>
          <w:numId w:val="144"/>
        </w:numPr>
        <w:spacing w:after="120"/>
        <w:rPr>
          <w:rFonts w:eastAsia="Arial" w:cs="Arial"/>
          <w:b/>
          <w:spacing w:val="-5"/>
          <w:szCs w:val="20"/>
        </w:rPr>
      </w:pPr>
      <w:r w:rsidRPr="000E5786">
        <w:rPr>
          <w:rFonts w:eastAsia="Arial" w:cs="Arial"/>
          <w:szCs w:val="20"/>
        </w:rPr>
        <w:t xml:space="preserve">The </w:t>
      </w:r>
      <w:proofErr w:type="spellStart"/>
      <w:r w:rsidRPr="000E5786">
        <w:rPr>
          <w:rFonts w:eastAsia="Arial" w:cs="Arial"/>
          <w:szCs w:val="20"/>
        </w:rPr>
        <w:t>Benchmarker</w:t>
      </w:r>
      <w:proofErr w:type="spellEnd"/>
      <w:r w:rsidRPr="000E5786">
        <w:rPr>
          <w:rFonts w:eastAsia="Arial" w:cs="Arial"/>
          <w:szCs w:val="20"/>
        </w:rPr>
        <w:t xml:space="preserve"> </w:t>
      </w:r>
      <w:r w:rsidRPr="000E5786">
        <w:rPr>
          <w:rFonts w:cs="Arial"/>
          <w:szCs w:val="20"/>
        </w:rPr>
        <w:t>acknowledges</w:t>
      </w:r>
      <w:r w:rsidRPr="000E5786">
        <w:rPr>
          <w:rFonts w:eastAsia="Arial" w:cs="Arial"/>
          <w:szCs w:val="20"/>
        </w:rPr>
        <w:t xml:space="preserve"> and agrees that all property, including intellectual property rights, in Confidential Information disclosed to it by the Supplier shall remain with and be vested in the Supplier.</w:t>
      </w:r>
    </w:p>
    <w:p w14:paraId="419D78A3" w14:textId="26EBE515" w:rsidR="004C127E" w:rsidRPr="000E5786" w:rsidRDefault="004C127E" w:rsidP="009D675B">
      <w:pPr>
        <w:pStyle w:val="Heading2"/>
        <w:numPr>
          <w:ilvl w:val="1"/>
          <w:numId w:val="144"/>
        </w:numPr>
        <w:spacing w:after="120"/>
        <w:rPr>
          <w:rFonts w:eastAsia="Arial" w:cs="Arial"/>
          <w:b/>
          <w:spacing w:val="-5"/>
          <w:szCs w:val="20"/>
        </w:rPr>
      </w:pPr>
      <w:r w:rsidRPr="000E5786">
        <w:rPr>
          <w:rFonts w:eastAsia="Arial" w:cs="Arial"/>
          <w:szCs w:val="20"/>
        </w:rPr>
        <w:t xml:space="preserve">This Agreement </w:t>
      </w:r>
      <w:r w:rsidRPr="000E5786">
        <w:rPr>
          <w:rFonts w:cs="Arial"/>
          <w:szCs w:val="20"/>
        </w:rPr>
        <w:t>does</w:t>
      </w:r>
      <w:r w:rsidRPr="000E5786">
        <w:rPr>
          <w:rFonts w:eastAsia="Arial" w:cs="Arial"/>
          <w:szCs w:val="20"/>
        </w:rPr>
        <w:t xml:space="preserve"> not include, expressly or by implication, any representations, </w:t>
      </w:r>
      <w:proofErr w:type="gramStart"/>
      <w:r w:rsidRPr="000E5786">
        <w:rPr>
          <w:rFonts w:eastAsia="Arial" w:cs="Arial"/>
          <w:szCs w:val="20"/>
        </w:rPr>
        <w:t>warranties</w:t>
      </w:r>
      <w:proofErr w:type="gramEnd"/>
      <w:r w:rsidRPr="000E5786">
        <w:rPr>
          <w:rFonts w:eastAsia="Arial" w:cs="Arial"/>
          <w:szCs w:val="20"/>
        </w:rPr>
        <w:t xml:space="preserve"> or other obligations:</w:t>
      </w:r>
    </w:p>
    <w:p w14:paraId="4B653007" w14:textId="77777777" w:rsidR="004C127E" w:rsidRPr="000E5786" w:rsidRDefault="004C127E" w:rsidP="009D675B">
      <w:pPr>
        <w:numPr>
          <w:ilvl w:val="0"/>
          <w:numId w:val="53"/>
        </w:numPr>
        <w:tabs>
          <w:tab w:val="left" w:pos="1418"/>
        </w:tabs>
        <w:ind w:left="1418" w:hanging="709"/>
        <w:textAlignment w:val="baseline"/>
        <w:rPr>
          <w:rFonts w:eastAsia="Arial" w:cs="Arial"/>
          <w:szCs w:val="20"/>
        </w:rPr>
      </w:pPr>
      <w:r w:rsidRPr="000E5786">
        <w:rPr>
          <w:rFonts w:eastAsia="Arial" w:cs="Arial"/>
          <w:szCs w:val="20"/>
        </w:rPr>
        <w:t xml:space="preserve">to grant the </w:t>
      </w:r>
      <w:proofErr w:type="spellStart"/>
      <w:r w:rsidRPr="000E5786">
        <w:rPr>
          <w:rFonts w:eastAsia="Arial" w:cs="Arial"/>
          <w:szCs w:val="20"/>
        </w:rPr>
        <w:t>Benchmarker</w:t>
      </w:r>
      <w:proofErr w:type="spellEnd"/>
      <w:r w:rsidRPr="000E5786">
        <w:rPr>
          <w:rFonts w:eastAsia="Arial" w:cs="Arial"/>
          <w:szCs w:val="20"/>
        </w:rPr>
        <w:t xml:space="preserve"> any licence or rights other than as may be expressly stated in this </w:t>
      </w:r>
      <w:proofErr w:type="gramStart"/>
      <w:r w:rsidRPr="000E5786">
        <w:rPr>
          <w:rFonts w:eastAsia="Arial" w:cs="Arial"/>
          <w:szCs w:val="20"/>
        </w:rPr>
        <w:t>Agreement;</w:t>
      </w:r>
      <w:proofErr w:type="gramEnd"/>
    </w:p>
    <w:p w14:paraId="03F067D8" w14:textId="77777777" w:rsidR="004C127E" w:rsidRPr="000E5786" w:rsidRDefault="004C127E" w:rsidP="009D675B">
      <w:pPr>
        <w:numPr>
          <w:ilvl w:val="0"/>
          <w:numId w:val="53"/>
        </w:numPr>
        <w:tabs>
          <w:tab w:val="left" w:pos="1418"/>
        </w:tabs>
        <w:ind w:left="1418" w:hanging="709"/>
        <w:textAlignment w:val="baseline"/>
        <w:rPr>
          <w:rFonts w:eastAsia="Arial" w:cs="Arial"/>
          <w:szCs w:val="20"/>
        </w:rPr>
      </w:pPr>
      <w:r w:rsidRPr="000E5786">
        <w:rPr>
          <w:rFonts w:eastAsia="Arial" w:cs="Arial"/>
          <w:szCs w:val="20"/>
        </w:rPr>
        <w:t>to require the Supplier to disclose, continue disclosing or update any Confidential Information; or</w:t>
      </w:r>
    </w:p>
    <w:p w14:paraId="4D2A0604" w14:textId="77777777" w:rsidR="00615F94" w:rsidRPr="000E5786" w:rsidRDefault="004C127E" w:rsidP="009D675B">
      <w:pPr>
        <w:numPr>
          <w:ilvl w:val="0"/>
          <w:numId w:val="53"/>
        </w:numPr>
        <w:tabs>
          <w:tab w:val="left" w:pos="1418"/>
        </w:tabs>
        <w:ind w:left="1418" w:hanging="709"/>
        <w:textAlignment w:val="baseline"/>
        <w:rPr>
          <w:rFonts w:eastAsia="Arial" w:cs="Arial"/>
          <w:b/>
          <w:spacing w:val="-5"/>
          <w:szCs w:val="20"/>
        </w:rPr>
      </w:pPr>
      <w:r w:rsidRPr="000E5786">
        <w:rPr>
          <w:rFonts w:eastAsia="Arial" w:cs="Arial"/>
          <w:szCs w:val="20"/>
        </w:rPr>
        <w:t xml:space="preserve">as to the accuracy, efficacy, completeness, capabilities, </w:t>
      </w:r>
      <w:proofErr w:type="gramStart"/>
      <w:r w:rsidRPr="000E5786">
        <w:rPr>
          <w:rFonts w:eastAsia="Arial" w:cs="Arial"/>
          <w:szCs w:val="20"/>
        </w:rPr>
        <w:t>safety</w:t>
      </w:r>
      <w:proofErr w:type="gramEnd"/>
      <w:r w:rsidRPr="000E5786">
        <w:rPr>
          <w:rFonts w:eastAsia="Arial" w:cs="Arial"/>
          <w:szCs w:val="20"/>
        </w:rPr>
        <w:t xml:space="preserve"> or any other qualities whatsoever of any Information or materials provided pursuant to or in anticipation of this Agreement.</w:t>
      </w:r>
    </w:p>
    <w:p w14:paraId="2CF5E8D2" w14:textId="3AD0DC8F" w:rsidR="00615F94" w:rsidRPr="000E5786" w:rsidRDefault="004C127E" w:rsidP="009D675B">
      <w:pPr>
        <w:pStyle w:val="Heading2"/>
        <w:numPr>
          <w:ilvl w:val="1"/>
          <w:numId w:val="144"/>
        </w:numPr>
        <w:spacing w:after="120"/>
        <w:rPr>
          <w:rFonts w:eastAsia="Arial" w:cs="Arial"/>
          <w:b/>
          <w:spacing w:val="-5"/>
          <w:szCs w:val="20"/>
        </w:rPr>
      </w:pPr>
      <w:r w:rsidRPr="000E5786">
        <w:rPr>
          <w:rFonts w:eastAsia="Arial" w:cs="Arial"/>
          <w:szCs w:val="20"/>
        </w:rPr>
        <w:t>The rights, powers and remedies provided in this Agreement are cumulative</w:t>
      </w:r>
      <w:r w:rsidR="007568F4">
        <w:rPr>
          <w:rFonts w:eastAsia="Arial" w:cs="Arial"/>
          <w:szCs w:val="20"/>
        </w:rPr>
        <w:t xml:space="preserve"> </w:t>
      </w:r>
      <w:r w:rsidRPr="000E5786">
        <w:rPr>
          <w:rFonts w:eastAsia="Arial" w:cs="Arial"/>
          <w:spacing w:val="-1"/>
          <w:szCs w:val="20"/>
        </w:rPr>
        <w:t xml:space="preserve">and not exclusive of any rights, powers or remedies provided by law. No failure or delay by either Party to exercise any right, power or </w:t>
      </w:r>
      <w:r w:rsidRPr="000E5786">
        <w:rPr>
          <w:rFonts w:cs="Arial"/>
          <w:szCs w:val="20"/>
        </w:rPr>
        <w:t>remedy</w:t>
      </w:r>
      <w:r w:rsidRPr="000E5786">
        <w:rPr>
          <w:rFonts w:eastAsia="Arial" w:cs="Arial"/>
          <w:spacing w:val="-1"/>
          <w:szCs w:val="20"/>
        </w:rPr>
        <w:t xml:space="preserve"> will </w:t>
      </w:r>
      <w:r w:rsidRPr="000E5786">
        <w:rPr>
          <w:rFonts w:eastAsia="Arial" w:cs="Arial"/>
          <w:szCs w:val="20"/>
        </w:rPr>
        <w:t>operate as a waiver of it nor will any partial exercise preclude any further exercise of the same, or of some other right, power or remedy.</w:t>
      </w:r>
    </w:p>
    <w:p w14:paraId="7DA6E720" w14:textId="77777777" w:rsidR="00615F94" w:rsidRPr="000E5786" w:rsidRDefault="004C127E" w:rsidP="009D675B">
      <w:pPr>
        <w:pStyle w:val="Heading2"/>
        <w:numPr>
          <w:ilvl w:val="1"/>
          <w:numId w:val="144"/>
        </w:numPr>
        <w:spacing w:after="120"/>
        <w:rPr>
          <w:rFonts w:eastAsia="Arial" w:cs="Arial"/>
          <w:b/>
          <w:spacing w:val="-5"/>
          <w:szCs w:val="20"/>
        </w:rPr>
      </w:pPr>
      <w:r w:rsidRPr="000E5786">
        <w:rPr>
          <w:rFonts w:eastAsia="Arial" w:cs="Arial"/>
          <w:szCs w:val="20"/>
        </w:rPr>
        <w:t xml:space="preserve">Without prejudice to any other rights or remedies that the Supplier may have, the </w:t>
      </w:r>
      <w:proofErr w:type="spellStart"/>
      <w:r w:rsidRPr="000E5786">
        <w:rPr>
          <w:rFonts w:eastAsia="Arial" w:cs="Arial"/>
          <w:szCs w:val="20"/>
        </w:rPr>
        <w:t>Benchmarker</w:t>
      </w:r>
      <w:proofErr w:type="spellEnd"/>
      <w:r w:rsidRPr="000E5786">
        <w:rPr>
          <w:rFonts w:eastAsia="Arial" w:cs="Arial"/>
          <w:szCs w:val="20"/>
        </w:rPr>
        <w:t xml:space="preserve"> acknowledges and agrees that damages alone may not be an adequate remedy for any breach by the </w:t>
      </w:r>
      <w:proofErr w:type="spellStart"/>
      <w:r w:rsidRPr="000E5786">
        <w:rPr>
          <w:rFonts w:eastAsia="Arial" w:cs="Arial"/>
          <w:szCs w:val="20"/>
        </w:rPr>
        <w:t>Benchmarker</w:t>
      </w:r>
      <w:proofErr w:type="spellEnd"/>
      <w:r w:rsidRPr="000E5786">
        <w:rPr>
          <w:rFonts w:eastAsia="Arial" w:cs="Arial"/>
          <w:szCs w:val="20"/>
        </w:rPr>
        <w:t xml:space="preserve"> of any of the provisions of this Agreement. Accordingly, the </w:t>
      </w:r>
      <w:proofErr w:type="spellStart"/>
      <w:r w:rsidRPr="000E5786">
        <w:rPr>
          <w:rFonts w:eastAsia="Arial" w:cs="Arial"/>
          <w:szCs w:val="20"/>
        </w:rPr>
        <w:t>Benchmarker</w:t>
      </w:r>
      <w:proofErr w:type="spellEnd"/>
      <w:r w:rsidRPr="000E5786">
        <w:rPr>
          <w:rFonts w:eastAsia="Arial" w:cs="Arial"/>
          <w:szCs w:val="20"/>
        </w:rPr>
        <w:t xml:space="preserve"> acknowledges that the Supplier shall be entitled to the remedies of injunction and specific performance as well as any other equitable relief for any threatened or actual breach of this Agreement and/or breach of confidence and that no proof of special damages shall be necessary for the enforcement of such remedies.</w:t>
      </w:r>
    </w:p>
    <w:p w14:paraId="32FECB31" w14:textId="77777777" w:rsidR="00615F94" w:rsidRPr="000E5786" w:rsidRDefault="004C127E" w:rsidP="009D675B">
      <w:pPr>
        <w:pStyle w:val="Heading2"/>
        <w:numPr>
          <w:ilvl w:val="1"/>
          <w:numId w:val="144"/>
        </w:numPr>
        <w:spacing w:after="120"/>
        <w:rPr>
          <w:rFonts w:eastAsia="Arial" w:cs="Arial"/>
          <w:b/>
          <w:spacing w:val="-5"/>
          <w:szCs w:val="20"/>
        </w:rPr>
      </w:pPr>
      <w:r w:rsidRPr="000E5786">
        <w:rPr>
          <w:rFonts w:eastAsia="Arial" w:cs="Arial"/>
          <w:szCs w:val="20"/>
        </w:rPr>
        <w:t xml:space="preserve">The maximum liability of the </w:t>
      </w:r>
      <w:proofErr w:type="spellStart"/>
      <w:r w:rsidRPr="000E5786">
        <w:rPr>
          <w:rFonts w:eastAsia="Arial" w:cs="Arial"/>
          <w:szCs w:val="20"/>
        </w:rPr>
        <w:t>Benchmarker</w:t>
      </w:r>
      <w:proofErr w:type="spellEnd"/>
      <w:r w:rsidRPr="000E5786">
        <w:rPr>
          <w:rFonts w:eastAsia="Arial" w:cs="Arial"/>
          <w:szCs w:val="20"/>
        </w:rPr>
        <w:t xml:space="preserve"> to the Supplier for any breach of this Agreement shall be limited to ten </w:t>
      </w:r>
      <w:r w:rsidRPr="000E5786">
        <w:rPr>
          <w:rFonts w:cs="Arial"/>
          <w:szCs w:val="20"/>
        </w:rPr>
        <w:t>million</w:t>
      </w:r>
      <w:r w:rsidRPr="000E5786">
        <w:rPr>
          <w:rFonts w:eastAsia="Arial" w:cs="Arial"/>
          <w:szCs w:val="20"/>
        </w:rPr>
        <w:t xml:space="preserve"> pounds (£10,000,000).</w:t>
      </w:r>
    </w:p>
    <w:p w14:paraId="564F6217" w14:textId="77777777" w:rsidR="00615F94" w:rsidRPr="000E5786" w:rsidRDefault="004C127E" w:rsidP="009D675B">
      <w:pPr>
        <w:pStyle w:val="Heading2"/>
        <w:numPr>
          <w:ilvl w:val="1"/>
          <w:numId w:val="144"/>
        </w:numPr>
        <w:spacing w:after="120"/>
        <w:rPr>
          <w:rFonts w:eastAsia="Arial" w:cs="Arial"/>
          <w:b/>
          <w:spacing w:val="-5"/>
          <w:szCs w:val="20"/>
        </w:rPr>
      </w:pPr>
      <w:r w:rsidRPr="000E5786">
        <w:rPr>
          <w:rFonts w:eastAsia="Arial" w:cs="Arial"/>
          <w:szCs w:val="20"/>
        </w:rPr>
        <w:t xml:space="preserve">For the purposes of the Contracts (Rights of Third Parties) Act 1999 no one other than the Parties has the right to </w:t>
      </w:r>
      <w:r w:rsidRPr="000E5786">
        <w:rPr>
          <w:rFonts w:cs="Arial"/>
          <w:szCs w:val="20"/>
        </w:rPr>
        <w:t>enforce</w:t>
      </w:r>
      <w:r w:rsidRPr="000E5786">
        <w:rPr>
          <w:rFonts w:eastAsia="Arial" w:cs="Arial"/>
          <w:szCs w:val="20"/>
        </w:rPr>
        <w:t xml:space="preserve"> the terms of this Agreement.</w:t>
      </w:r>
    </w:p>
    <w:p w14:paraId="52A9F51C" w14:textId="77777777" w:rsidR="00615F94" w:rsidRPr="000E5786" w:rsidRDefault="004C127E" w:rsidP="009D675B">
      <w:pPr>
        <w:pStyle w:val="Heading2"/>
        <w:numPr>
          <w:ilvl w:val="1"/>
          <w:numId w:val="144"/>
        </w:numPr>
        <w:spacing w:after="120"/>
        <w:rPr>
          <w:rFonts w:eastAsia="Arial" w:cs="Arial"/>
          <w:b/>
          <w:spacing w:val="-5"/>
          <w:szCs w:val="20"/>
        </w:rPr>
      </w:pPr>
      <w:r w:rsidRPr="000E5786">
        <w:rPr>
          <w:rFonts w:eastAsia="Arial" w:cs="Arial"/>
          <w:szCs w:val="20"/>
        </w:rPr>
        <w:lastRenderedPageBreak/>
        <w:t>Each Party shall be responsible for all costs incurred by it or on its behalf in connection with this Agreement.</w:t>
      </w:r>
    </w:p>
    <w:p w14:paraId="429D8CAC" w14:textId="646D5D87" w:rsidR="004C127E" w:rsidRPr="000E5786" w:rsidRDefault="004C127E" w:rsidP="009D675B">
      <w:pPr>
        <w:pStyle w:val="Heading2"/>
        <w:numPr>
          <w:ilvl w:val="1"/>
          <w:numId w:val="144"/>
        </w:numPr>
        <w:spacing w:after="120"/>
        <w:rPr>
          <w:rFonts w:eastAsia="Arial" w:cs="Arial"/>
          <w:b/>
          <w:spacing w:val="-5"/>
          <w:szCs w:val="20"/>
        </w:rPr>
      </w:pPr>
      <w:r w:rsidRPr="000E5786">
        <w:rPr>
          <w:rFonts w:eastAsia="Arial" w:cs="Arial"/>
          <w:szCs w:val="20"/>
        </w:rPr>
        <w:t xml:space="preserve">This Agreement may be executed in any number of counterparts and by the Parties on separate </w:t>
      </w:r>
      <w:proofErr w:type="gramStart"/>
      <w:r w:rsidRPr="000E5786">
        <w:rPr>
          <w:rFonts w:eastAsia="Arial" w:cs="Arial"/>
          <w:szCs w:val="20"/>
        </w:rPr>
        <w:t>counterparts, but</w:t>
      </w:r>
      <w:proofErr w:type="gramEnd"/>
      <w:r w:rsidRPr="000E5786">
        <w:rPr>
          <w:rFonts w:eastAsia="Arial" w:cs="Arial"/>
          <w:szCs w:val="20"/>
        </w:rPr>
        <w:t xml:space="preserve"> shall not be effective until each Party has executed at least one counterpart. Each counterpart shall constitute an original of this Agreement, but all the counterparts shall together constitute but one and the same instrument.</w:t>
      </w:r>
    </w:p>
    <w:p w14:paraId="312A8850" w14:textId="77777777" w:rsidR="004C127E" w:rsidRPr="000E5786" w:rsidRDefault="004C127E" w:rsidP="00DD60F0">
      <w:pPr>
        <w:pStyle w:val="ListParagraph"/>
        <w:tabs>
          <w:tab w:val="left" w:pos="792"/>
        </w:tabs>
        <w:spacing w:after="120" w:line="240" w:lineRule="auto"/>
        <w:ind w:left="792"/>
        <w:contextualSpacing w:val="0"/>
        <w:textAlignment w:val="baseline"/>
        <w:rPr>
          <w:rFonts w:ascii="Arial" w:eastAsia="Arial" w:hAnsi="Arial" w:cs="Arial"/>
          <w:b/>
          <w:color w:val="000000"/>
          <w:spacing w:val="-5"/>
          <w:sz w:val="20"/>
          <w:szCs w:val="20"/>
        </w:rPr>
      </w:pPr>
    </w:p>
    <w:p w14:paraId="41A693ED" w14:textId="77777777" w:rsidR="00615F94" w:rsidRPr="000E5786" w:rsidRDefault="004C127E" w:rsidP="009D675B">
      <w:pPr>
        <w:pStyle w:val="Heading1"/>
        <w:numPr>
          <w:ilvl w:val="0"/>
          <w:numId w:val="144"/>
        </w:numPr>
        <w:spacing w:after="120"/>
        <w:rPr>
          <w:rFonts w:eastAsia="Arial" w:cs="Arial"/>
          <w:b w:val="0"/>
          <w:spacing w:val="-5"/>
          <w:szCs w:val="20"/>
        </w:rPr>
      </w:pPr>
      <w:r w:rsidRPr="000E5786">
        <w:rPr>
          <w:rFonts w:cs="Arial"/>
          <w:szCs w:val="20"/>
        </w:rPr>
        <w:t>Notices</w:t>
      </w:r>
    </w:p>
    <w:p w14:paraId="2009BADD" w14:textId="43D8E9D7" w:rsidR="00615F94" w:rsidRPr="000E5786" w:rsidRDefault="004C127E" w:rsidP="009D675B">
      <w:pPr>
        <w:pStyle w:val="Heading2"/>
        <w:numPr>
          <w:ilvl w:val="1"/>
          <w:numId w:val="144"/>
        </w:numPr>
        <w:spacing w:after="120"/>
        <w:rPr>
          <w:rFonts w:eastAsia="Arial" w:cs="Arial"/>
          <w:b/>
          <w:spacing w:val="-5"/>
          <w:szCs w:val="20"/>
        </w:rPr>
      </w:pPr>
      <w:r w:rsidRPr="000E5786">
        <w:rPr>
          <w:rFonts w:eastAsia="Arial" w:cs="Arial"/>
          <w:szCs w:val="20"/>
        </w:rPr>
        <w:t>Any notice to be given under this Agreement (each a “</w:t>
      </w:r>
      <w:r w:rsidRPr="000E5786">
        <w:rPr>
          <w:rFonts w:eastAsia="Arial" w:cs="Arial"/>
          <w:b/>
          <w:szCs w:val="20"/>
        </w:rPr>
        <w:t>Notice</w:t>
      </w:r>
      <w:r w:rsidRPr="000E5786">
        <w:rPr>
          <w:rFonts w:eastAsia="Arial" w:cs="Arial"/>
          <w:szCs w:val="20"/>
        </w:rPr>
        <w:t xml:space="preserve">”) shall be given in writing and shall be delivered by hand and shall be deemed to have been duly given at the time of delivery provided that such Notice is sent to the relevant physical address, and expressly marked for the attention of the relevant individual, set out in </w:t>
      </w:r>
      <w:r w:rsidR="007568F4" w:rsidRPr="000E5786">
        <w:rPr>
          <w:rFonts w:eastAsia="Arial" w:cs="Arial"/>
          <w:szCs w:val="20"/>
        </w:rPr>
        <w:t xml:space="preserve">Clause </w:t>
      </w:r>
      <w:r w:rsidRPr="000E5786">
        <w:rPr>
          <w:rFonts w:eastAsia="Arial" w:cs="Arial"/>
          <w:szCs w:val="20"/>
        </w:rPr>
        <w:t>5.2.</w:t>
      </w:r>
    </w:p>
    <w:p w14:paraId="7C6FCE7F" w14:textId="213F9A28" w:rsidR="004C127E" w:rsidRPr="000E5786" w:rsidRDefault="004C127E" w:rsidP="009D675B">
      <w:pPr>
        <w:pStyle w:val="Heading2"/>
        <w:numPr>
          <w:ilvl w:val="1"/>
          <w:numId w:val="144"/>
        </w:numPr>
        <w:spacing w:after="120"/>
        <w:rPr>
          <w:rFonts w:eastAsia="Arial" w:cs="Arial"/>
          <w:b/>
          <w:spacing w:val="-5"/>
          <w:szCs w:val="20"/>
        </w:rPr>
      </w:pPr>
      <w:r w:rsidRPr="000E5786">
        <w:rPr>
          <w:rFonts w:eastAsia="Arial" w:cs="Arial"/>
          <w:spacing w:val="-4"/>
          <w:szCs w:val="20"/>
        </w:rPr>
        <w:t>Any Notice:</w:t>
      </w:r>
    </w:p>
    <w:p w14:paraId="6851D2DF" w14:textId="4F0E520F" w:rsidR="004C127E" w:rsidRPr="000E5786" w:rsidRDefault="004C127E" w:rsidP="00A20CD5">
      <w:pPr>
        <w:numPr>
          <w:ilvl w:val="0"/>
          <w:numId w:val="20"/>
        </w:numPr>
        <w:tabs>
          <w:tab w:val="clear" w:pos="1152"/>
          <w:tab w:val="left" w:pos="1872"/>
        </w:tabs>
        <w:ind w:left="1134" w:firstLine="0"/>
        <w:textAlignment w:val="baseline"/>
        <w:rPr>
          <w:rFonts w:eastAsia="Arial" w:cs="Arial"/>
          <w:szCs w:val="20"/>
        </w:rPr>
      </w:pPr>
      <w:r w:rsidRPr="000E5786">
        <w:rPr>
          <w:rFonts w:eastAsia="Arial" w:cs="Arial"/>
          <w:szCs w:val="20"/>
        </w:rPr>
        <w:t>if to be given to the Supplier all be sent to:</w:t>
      </w:r>
    </w:p>
    <w:p w14:paraId="2613B537" w14:textId="2E49E965" w:rsidR="004C127E" w:rsidRPr="000E5786" w:rsidRDefault="004C127E" w:rsidP="00DD60F0">
      <w:pPr>
        <w:tabs>
          <w:tab w:val="left" w:pos="1152"/>
          <w:tab w:val="left" w:pos="1872"/>
        </w:tabs>
        <w:ind w:left="720"/>
        <w:textAlignment w:val="baseline"/>
        <w:rPr>
          <w:rFonts w:eastAsia="Arial" w:cs="Arial"/>
          <w:szCs w:val="20"/>
        </w:rPr>
      </w:pPr>
      <w:r w:rsidRPr="000E5786">
        <w:rPr>
          <w:rFonts w:eastAsia="Arial" w:cs="Arial"/>
          <w:szCs w:val="20"/>
        </w:rPr>
        <w:tab/>
      </w:r>
      <w:r w:rsidRPr="000E5786">
        <w:rPr>
          <w:rFonts w:eastAsia="Arial" w:cs="Arial"/>
          <w:szCs w:val="20"/>
        </w:rPr>
        <w:tab/>
      </w:r>
      <w:r w:rsidR="00603831" w:rsidRPr="000E5786">
        <w:rPr>
          <w:rFonts w:eastAsia="Arial" w:cs="Arial"/>
          <w:szCs w:val="20"/>
        </w:rPr>
        <w:t xml:space="preserve"> </w:t>
      </w:r>
      <w:proofErr w:type="spellStart"/>
      <w:r w:rsidR="00BA32BB">
        <w:rPr>
          <w:rFonts w:eastAsia="Arial" w:cs="Arial"/>
          <w:szCs w:val="20"/>
        </w:rPr>
        <w:t>Blotten</w:t>
      </w:r>
      <w:proofErr w:type="spellEnd"/>
      <w:r w:rsidR="00BA32BB">
        <w:rPr>
          <w:rFonts w:eastAsia="Arial" w:cs="Arial"/>
          <w:szCs w:val="20"/>
        </w:rPr>
        <w:t xml:space="preserve"> Vu</w:t>
      </w:r>
      <w:r w:rsidR="00603831" w:rsidRPr="000E5786">
        <w:rPr>
          <w:rFonts w:eastAsia="Arial" w:cs="Arial"/>
          <w:szCs w:val="20"/>
        </w:rPr>
        <w:t xml:space="preserve">, Woking, Surrey, </w:t>
      </w:r>
      <w:r w:rsidR="00BA32BB">
        <w:rPr>
          <w:rFonts w:eastAsia="Arial" w:cs="Arial"/>
          <w:szCs w:val="20"/>
        </w:rPr>
        <w:t>KR98</w:t>
      </w:r>
      <w:r w:rsidR="00603831" w:rsidRPr="000E5786">
        <w:rPr>
          <w:rFonts w:eastAsia="Arial" w:cs="Arial"/>
          <w:szCs w:val="20"/>
        </w:rPr>
        <w:t xml:space="preserve"> 6DB</w:t>
      </w:r>
    </w:p>
    <w:p w14:paraId="5D1BD0A7" w14:textId="63CAE6D5" w:rsidR="004C127E" w:rsidRPr="000E5786" w:rsidRDefault="004C127E" w:rsidP="00DD60F0">
      <w:pPr>
        <w:tabs>
          <w:tab w:val="left" w:pos="1152"/>
          <w:tab w:val="left" w:pos="1872"/>
        </w:tabs>
        <w:ind w:left="720"/>
        <w:textAlignment w:val="baseline"/>
        <w:rPr>
          <w:rFonts w:eastAsia="Arial" w:cs="Arial"/>
          <w:szCs w:val="20"/>
        </w:rPr>
      </w:pPr>
      <w:r w:rsidRPr="000E5786">
        <w:rPr>
          <w:rFonts w:eastAsia="Arial" w:cs="Arial"/>
          <w:szCs w:val="20"/>
        </w:rPr>
        <w:tab/>
      </w:r>
      <w:r w:rsidRPr="000E5786">
        <w:rPr>
          <w:rFonts w:eastAsia="Arial" w:cs="Arial"/>
          <w:szCs w:val="20"/>
        </w:rPr>
        <w:tab/>
        <w:t xml:space="preserve">Attention: </w:t>
      </w:r>
      <w:r w:rsidR="00DF38EE">
        <w:rPr>
          <w:rFonts w:eastAsia="Arial" w:cs="Arial"/>
          <w:szCs w:val="20"/>
        </w:rPr>
        <w:t>Company Secretary, (companysecretary</w:t>
      </w:r>
      <w:r w:rsidR="00CB3B25">
        <w:rPr>
          <w:rFonts w:eastAsia="Arial" w:cs="Arial"/>
          <w:szCs w:val="20"/>
        </w:rPr>
        <w:t>.uk@</w:t>
      </w:r>
      <w:r w:rsidR="000159CE">
        <w:rPr>
          <w:rFonts w:eastAsia="Arial" w:cs="Arial"/>
          <w:szCs w:val="20"/>
        </w:rPr>
        <w:t>Quroserv</w:t>
      </w:r>
      <w:r w:rsidR="00CB3B25">
        <w:rPr>
          <w:rFonts w:eastAsia="Arial" w:cs="Arial"/>
          <w:szCs w:val="20"/>
        </w:rPr>
        <w:t>.com)</w:t>
      </w:r>
    </w:p>
    <w:p w14:paraId="0F207010" w14:textId="77777777" w:rsidR="004C127E" w:rsidRPr="000E5786" w:rsidRDefault="004C127E" w:rsidP="00DD60F0">
      <w:pPr>
        <w:rPr>
          <w:rFonts w:cs="Arial"/>
          <w:szCs w:val="20"/>
        </w:rPr>
      </w:pPr>
    </w:p>
    <w:p w14:paraId="6A77BDAC" w14:textId="77777777" w:rsidR="004C127E" w:rsidRPr="000E5786" w:rsidRDefault="004C127E" w:rsidP="00E538A1">
      <w:pPr>
        <w:numPr>
          <w:ilvl w:val="0"/>
          <w:numId w:val="20"/>
        </w:numPr>
        <w:tabs>
          <w:tab w:val="clear" w:pos="1152"/>
          <w:tab w:val="left" w:pos="1872"/>
        </w:tabs>
        <w:ind w:left="1134"/>
        <w:textAlignment w:val="baseline"/>
        <w:rPr>
          <w:rFonts w:eastAsia="Arial" w:cs="Arial"/>
          <w:szCs w:val="20"/>
        </w:rPr>
      </w:pPr>
      <w:r w:rsidRPr="000E5786">
        <w:rPr>
          <w:rFonts w:eastAsia="Arial" w:cs="Arial"/>
          <w:szCs w:val="20"/>
        </w:rPr>
        <w:t xml:space="preserve">if to be given to the </w:t>
      </w:r>
      <w:proofErr w:type="spellStart"/>
      <w:r w:rsidRPr="000E5786">
        <w:rPr>
          <w:rFonts w:eastAsia="Arial" w:cs="Arial"/>
          <w:szCs w:val="20"/>
        </w:rPr>
        <w:t>Benchmarker</w:t>
      </w:r>
      <w:proofErr w:type="spellEnd"/>
      <w:r w:rsidRPr="000E5786">
        <w:rPr>
          <w:rFonts w:eastAsia="Arial" w:cs="Arial"/>
          <w:szCs w:val="20"/>
        </w:rPr>
        <w:t xml:space="preserve"> shall be sent to:</w:t>
      </w:r>
    </w:p>
    <w:p w14:paraId="0EB4619A" w14:textId="77777777" w:rsidR="004C127E" w:rsidRPr="000E5786" w:rsidRDefault="004C127E" w:rsidP="00DD60F0">
      <w:pPr>
        <w:shd w:val="solid" w:color="FFFF00" w:fill="FFFF00"/>
        <w:ind w:left="1847" w:right="4773"/>
        <w:textAlignment w:val="baseline"/>
        <w:rPr>
          <w:rFonts w:eastAsia="Arial" w:cs="Arial"/>
          <w:spacing w:val="-5"/>
          <w:szCs w:val="20"/>
        </w:rPr>
      </w:pPr>
      <w:r w:rsidRPr="000E5786">
        <w:rPr>
          <w:rFonts w:eastAsia="Arial" w:cs="Arial"/>
          <w:spacing w:val="-5"/>
          <w:szCs w:val="20"/>
        </w:rPr>
        <w:t>[</w:t>
      </w:r>
      <w:r w:rsidRPr="000E5786">
        <w:rPr>
          <w:rFonts w:eastAsia="Arial" w:cs="Arial"/>
          <w:i/>
          <w:spacing w:val="-5"/>
          <w:szCs w:val="20"/>
        </w:rPr>
        <w:t>Name of Organisation</w:t>
      </w:r>
      <w:r w:rsidRPr="000E5786">
        <w:rPr>
          <w:rFonts w:eastAsia="Arial" w:cs="Arial"/>
          <w:spacing w:val="-5"/>
          <w:szCs w:val="20"/>
        </w:rPr>
        <w:t>]</w:t>
      </w:r>
    </w:p>
    <w:p w14:paraId="39111CEC" w14:textId="77777777" w:rsidR="004C127E" w:rsidRPr="000E5786" w:rsidRDefault="004C127E" w:rsidP="00DD60F0">
      <w:pPr>
        <w:shd w:val="solid" w:color="FFFF00" w:fill="FFFF00"/>
        <w:ind w:left="1847" w:right="6191"/>
        <w:textAlignment w:val="baseline"/>
        <w:rPr>
          <w:rFonts w:eastAsia="Arial" w:cs="Arial"/>
          <w:spacing w:val="-12"/>
          <w:szCs w:val="20"/>
        </w:rPr>
      </w:pPr>
      <w:r w:rsidRPr="000E5786">
        <w:rPr>
          <w:rFonts w:eastAsia="Arial" w:cs="Arial"/>
          <w:spacing w:val="-12"/>
          <w:szCs w:val="20"/>
        </w:rPr>
        <w:t>[</w:t>
      </w:r>
      <w:r w:rsidRPr="000E5786">
        <w:rPr>
          <w:rFonts w:eastAsia="Arial" w:cs="Arial"/>
          <w:i/>
          <w:spacing w:val="-12"/>
          <w:szCs w:val="20"/>
        </w:rPr>
        <w:t>Address</w:t>
      </w:r>
      <w:r w:rsidRPr="000E5786">
        <w:rPr>
          <w:rFonts w:eastAsia="Arial" w:cs="Arial"/>
          <w:spacing w:val="-12"/>
          <w:szCs w:val="20"/>
        </w:rPr>
        <w:t>]</w:t>
      </w:r>
    </w:p>
    <w:p w14:paraId="608F6A9D" w14:textId="37F40359" w:rsidR="004C127E" w:rsidRPr="000E5786" w:rsidRDefault="004C127E" w:rsidP="00DD60F0">
      <w:pPr>
        <w:tabs>
          <w:tab w:val="left" w:pos="3888"/>
        </w:tabs>
        <w:ind w:left="1797"/>
        <w:textAlignment w:val="baseline"/>
        <w:rPr>
          <w:rFonts w:eastAsia="Arial" w:cs="Arial"/>
          <w:spacing w:val="-3"/>
          <w:szCs w:val="20"/>
        </w:rPr>
      </w:pPr>
      <w:r w:rsidRPr="000E5786">
        <w:rPr>
          <w:rFonts w:eastAsia="Arial" w:cs="Arial"/>
          <w:spacing w:val="-3"/>
          <w:szCs w:val="20"/>
        </w:rPr>
        <w:t>Attention: [</w:t>
      </w:r>
      <w:r w:rsidRPr="000E5786">
        <w:rPr>
          <w:rFonts w:eastAsia="Arial" w:cs="Arial"/>
          <w:spacing w:val="-3"/>
          <w:szCs w:val="20"/>
          <w:highlight w:val="yellow"/>
        </w:rPr>
        <w:t>name</w:t>
      </w:r>
      <w:r w:rsidRPr="000E5786">
        <w:rPr>
          <w:rFonts w:eastAsia="Arial" w:cs="Arial"/>
          <w:spacing w:val="-3"/>
          <w:szCs w:val="20"/>
        </w:rPr>
        <w:t>]</w:t>
      </w:r>
    </w:p>
    <w:p w14:paraId="27314FDD" w14:textId="77777777" w:rsidR="00EC521B" w:rsidRPr="000E5786" w:rsidRDefault="00EC521B" w:rsidP="00DD60F0">
      <w:pPr>
        <w:tabs>
          <w:tab w:val="left" w:pos="3888"/>
        </w:tabs>
        <w:textAlignment w:val="baseline"/>
        <w:rPr>
          <w:rFonts w:eastAsia="Arial" w:cs="Arial"/>
          <w:spacing w:val="-3"/>
          <w:szCs w:val="20"/>
        </w:rPr>
      </w:pPr>
    </w:p>
    <w:p w14:paraId="0D9D0792" w14:textId="77777777" w:rsidR="00615F94" w:rsidRPr="000E5786" w:rsidRDefault="004C127E" w:rsidP="009D675B">
      <w:pPr>
        <w:pStyle w:val="Heading1"/>
        <w:numPr>
          <w:ilvl w:val="0"/>
          <w:numId w:val="144"/>
        </w:numPr>
        <w:spacing w:after="120"/>
        <w:rPr>
          <w:rFonts w:eastAsia="Arial" w:cs="Arial"/>
          <w:b w:val="0"/>
          <w:szCs w:val="20"/>
        </w:rPr>
      </w:pPr>
      <w:r w:rsidRPr="000E5786">
        <w:rPr>
          <w:rFonts w:cs="Arial"/>
          <w:szCs w:val="20"/>
        </w:rPr>
        <w:t>Governing</w:t>
      </w:r>
      <w:r w:rsidRPr="000E5786">
        <w:rPr>
          <w:rFonts w:eastAsia="Arial" w:cs="Arial"/>
          <w:b w:val="0"/>
          <w:szCs w:val="20"/>
        </w:rPr>
        <w:t xml:space="preserve"> law</w:t>
      </w:r>
    </w:p>
    <w:p w14:paraId="46C53E1C" w14:textId="77777777" w:rsidR="00615F94" w:rsidRPr="000E5786" w:rsidRDefault="004C127E" w:rsidP="009D675B">
      <w:pPr>
        <w:pStyle w:val="Heading2"/>
        <w:numPr>
          <w:ilvl w:val="1"/>
          <w:numId w:val="144"/>
        </w:numPr>
        <w:spacing w:after="120"/>
        <w:rPr>
          <w:rFonts w:eastAsia="Arial" w:cs="Arial"/>
          <w:b/>
          <w:szCs w:val="20"/>
        </w:rPr>
      </w:pPr>
      <w:r w:rsidRPr="000E5786">
        <w:rPr>
          <w:rFonts w:eastAsia="Arial" w:cs="Arial"/>
          <w:szCs w:val="20"/>
        </w:rPr>
        <w:t>This Agreement shall be governed by, and construed in accordance with, English law and any matter claim or dispute arising out of or in connection with this Agreement whether contractual or non-</w:t>
      </w:r>
      <w:r w:rsidRPr="000E5786">
        <w:rPr>
          <w:rFonts w:cs="Arial"/>
          <w:szCs w:val="20"/>
        </w:rPr>
        <w:t>contractual</w:t>
      </w:r>
      <w:r w:rsidRPr="000E5786">
        <w:rPr>
          <w:rFonts w:eastAsia="Arial" w:cs="Arial"/>
          <w:szCs w:val="20"/>
        </w:rPr>
        <w:t>, shall be governed by and determined in accordance with English law.</w:t>
      </w:r>
    </w:p>
    <w:p w14:paraId="1966B345" w14:textId="78A75718" w:rsidR="004C127E" w:rsidRPr="000E5786" w:rsidRDefault="004C127E" w:rsidP="009D675B">
      <w:pPr>
        <w:pStyle w:val="Heading2"/>
        <w:numPr>
          <w:ilvl w:val="1"/>
          <w:numId w:val="144"/>
        </w:numPr>
        <w:spacing w:after="120"/>
        <w:rPr>
          <w:rFonts w:eastAsia="Arial" w:cs="Arial"/>
          <w:b/>
          <w:szCs w:val="20"/>
        </w:rPr>
      </w:pPr>
      <w:r w:rsidRPr="000E5786">
        <w:rPr>
          <w:rFonts w:eastAsia="Arial" w:cs="Arial"/>
          <w:szCs w:val="20"/>
        </w:rPr>
        <w:t xml:space="preserve">Each Party </w:t>
      </w:r>
      <w:r w:rsidRPr="000E5786">
        <w:rPr>
          <w:rFonts w:cs="Arial"/>
          <w:szCs w:val="20"/>
        </w:rPr>
        <w:t>hereby</w:t>
      </w:r>
      <w:r w:rsidRPr="000E5786">
        <w:rPr>
          <w:rFonts w:eastAsia="Arial" w:cs="Arial"/>
          <w:szCs w:val="20"/>
        </w:rPr>
        <w:t xml:space="preserve"> irrevocably submits to the exclusive jurisdiction of the English courts in respect of any claim or dispute arising out of or in connection with this Agreement.</w:t>
      </w:r>
    </w:p>
    <w:p w14:paraId="2F0AD011" w14:textId="5F6C3D8F" w:rsidR="004C127E" w:rsidRPr="000E5786" w:rsidRDefault="004C127E" w:rsidP="00DD60F0">
      <w:pPr>
        <w:rPr>
          <w:rFonts w:eastAsia="Arial" w:cs="Arial"/>
          <w:b/>
          <w:spacing w:val="-1"/>
          <w:szCs w:val="20"/>
        </w:rPr>
      </w:pPr>
    </w:p>
    <w:p w14:paraId="4CDCDF63" w14:textId="1FEFB155" w:rsidR="004C127E" w:rsidRDefault="004C127E" w:rsidP="00B26A5F">
      <w:pPr>
        <w:tabs>
          <w:tab w:val="left" w:pos="792"/>
        </w:tabs>
        <w:ind w:left="0" w:firstLine="0"/>
        <w:textAlignment w:val="baseline"/>
        <w:rPr>
          <w:rFonts w:eastAsia="Arial" w:cs="Arial"/>
          <w:spacing w:val="-1"/>
          <w:szCs w:val="20"/>
        </w:rPr>
      </w:pPr>
      <w:r w:rsidRPr="000E5786">
        <w:rPr>
          <w:rFonts w:eastAsia="Arial" w:cs="Arial"/>
          <w:b/>
          <w:spacing w:val="-1"/>
          <w:szCs w:val="20"/>
        </w:rPr>
        <w:t xml:space="preserve">IN WITNESS </w:t>
      </w:r>
      <w:r w:rsidRPr="000E5786">
        <w:rPr>
          <w:rFonts w:eastAsia="Arial" w:cs="Arial"/>
          <w:spacing w:val="-1"/>
          <w:szCs w:val="20"/>
        </w:rPr>
        <w:t>of the above this Agreement has been signed by the duly authorised representatives of the Parties on the date which appears at the head of page 1.</w:t>
      </w:r>
    </w:p>
    <w:p w14:paraId="4972CAD7" w14:textId="77777777" w:rsidR="00B26A5F" w:rsidRPr="000E5786" w:rsidRDefault="00B26A5F" w:rsidP="00B26A5F">
      <w:pPr>
        <w:tabs>
          <w:tab w:val="left" w:pos="792"/>
        </w:tabs>
        <w:ind w:left="0" w:firstLine="0"/>
        <w:textAlignment w:val="baseline"/>
        <w:rPr>
          <w:rFonts w:eastAsia="Arial" w:cs="Arial"/>
          <w:b/>
          <w:szCs w:val="20"/>
        </w:rPr>
      </w:pPr>
    </w:p>
    <w:p w14:paraId="5072B02E" w14:textId="639BB002" w:rsidR="004C127E" w:rsidRPr="000E5786" w:rsidRDefault="004C127E" w:rsidP="00DD60F0">
      <w:pPr>
        <w:ind w:left="72"/>
        <w:textAlignment w:val="baseline"/>
        <w:rPr>
          <w:rFonts w:eastAsia="Arial" w:cs="Arial"/>
          <w:b/>
          <w:szCs w:val="20"/>
        </w:rPr>
      </w:pPr>
      <w:r w:rsidRPr="000E5786">
        <w:rPr>
          <w:rFonts w:eastAsia="Arial" w:cs="Arial"/>
          <w:b/>
          <w:szCs w:val="20"/>
        </w:rPr>
        <w:t>For and on behalf of</w:t>
      </w:r>
      <w:r w:rsidR="00603831" w:rsidRPr="000E5786">
        <w:rPr>
          <w:rFonts w:eastAsia="Arial" w:cs="Arial"/>
          <w:b/>
          <w:szCs w:val="20"/>
        </w:rPr>
        <w:t xml:space="preserve"> </w:t>
      </w:r>
      <w:proofErr w:type="spellStart"/>
      <w:r w:rsidR="000159CE">
        <w:rPr>
          <w:rFonts w:eastAsia="Arial" w:cs="Arial"/>
          <w:b/>
          <w:szCs w:val="20"/>
        </w:rPr>
        <w:t>Quroserv</w:t>
      </w:r>
      <w:proofErr w:type="spellEnd"/>
      <w:r w:rsidR="00603831" w:rsidRPr="000E5786">
        <w:rPr>
          <w:rFonts w:eastAsia="Arial" w:cs="Arial"/>
          <w:b/>
          <w:szCs w:val="20"/>
        </w:rPr>
        <w:t xml:space="preserve"> UK PLC</w:t>
      </w:r>
      <w:r w:rsidRPr="000E5786">
        <w:rPr>
          <w:rFonts w:eastAsia="Arial" w:cs="Arial"/>
          <w:b/>
          <w:szCs w:val="20"/>
        </w:rPr>
        <w:t xml:space="preserve"> </w:t>
      </w:r>
    </w:p>
    <w:p w14:paraId="5ADDBF08" w14:textId="77777777" w:rsidR="004C127E" w:rsidRPr="000E5786" w:rsidRDefault="004C127E" w:rsidP="00DD60F0">
      <w:pPr>
        <w:tabs>
          <w:tab w:val="left" w:leader="underscore" w:pos="5184"/>
        </w:tabs>
        <w:ind w:left="72"/>
        <w:textAlignment w:val="baseline"/>
        <w:rPr>
          <w:rFonts w:eastAsia="Arial" w:cs="Arial"/>
          <w:spacing w:val="-5"/>
          <w:szCs w:val="20"/>
        </w:rPr>
      </w:pPr>
      <w:r w:rsidRPr="000E5786">
        <w:rPr>
          <w:rFonts w:eastAsia="Arial" w:cs="Arial"/>
          <w:spacing w:val="-5"/>
          <w:szCs w:val="20"/>
        </w:rPr>
        <w:t>Signature:</w:t>
      </w:r>
      <w:r w:rsidRPr="000E5786">
        <w:rPr>
          <w:rFonts w:eastAsia="Arial" w:cs="Arial"/>
          <w:spacing w:val="-5"/>
          <w:szCs w:val="20"/>
        </w:rPr>
        <w:tab/>
        <w:t xml:space="preserve"> Date:</w:t>
      </w:r>
    </w:p>
    <w:p w14:paraId="07F68C72" w14:textId="77777777" w:rsidR="004C127E" w:rsidRPr="000E5786" w:rsidRDefault="004C127E" w:rsidP="00DD60F0">
      <w:pPr>
        <w:tabs>
          <w:tab w:val="left" w:pos="5184"/>
        </w:tabs>
        <w:ind w:left="72"/>
        <w:textAlignment w:val="baseline"/>
        <w:rPr>
          <w:rFonts w:eastAsia="Arial" w:cs="Arial"/>
          <w:spacing w:val="-1"/>
          <w:szCs w:val="20"/>
        </w:rPr>
      </w:pPr>
      <w:r w:rsidRPr="000E5786">
        <w:rPr>
          <w:rFonts w:eastAsia="Arial" w:cs="Arial"/>
          <w:spacing w:val="-1"/>
          <w:szCs w:val="20"/>
        </w:rPr>
        <w:t>Name:</w:t>
      </w:r>
      <w:r w:rsidRPr="000E5786">
        <w:rPr>
          <w:rFonts w:eastAsia="Arial" w:cs="Arial"/>
          <w:spacing w:val="-1"/>
          <w:szCs w:val="20"/>
        </w:rPr>
        <w:tab/>
        <w:t>Position:</w:t>
      </w:r>
    </w:p>
    <w:p w14:paraId="1876B288" w14:textId="77777777" w:rsidR="004C127E" w:rsidRPr="000E5786" w:rsidRDefault="004C127E" w:rsidP="00DD60F0">
      <w:pPr>
        <w:ind w:left="72"/>
        <w:textAlignment w:val="baseline"/>
        <w:rPr>
          <w:rFonts w:eastAsia="Arial" w:cs="Arial"/>
          <w:b/>
          <w:szCs w:val="20"/>
        </w:rPr>
      </w:pPr>
      <w:r w:rsidRPr="000E5786">
        <w:rPr>
          <w:rFonts w:eastAsia="Arial" w:cs="Arial"/>
          <w:b/>
          <w:szCs w:val="20"/>
        </w:rPr>
        <w:t>For and on behalf of [</w:t>
      </w:r>
      <w:r w:rsidRPr="000E5786">
        <w:rPr>
          <w:rFonts w:eastAsia="Arial" w:cs="Arial"/>
          <w:b/>
          <w:i/>
          <w:szCs w:val="20"/>
          <w:highlight w:val="yellow"/>
        </w:rPr>
        <w:t xml:space="preserve">name of </w:t>
      </w:r>
      <w:proofErr w:type="spellStart"/>
      <w:r w:rsidRPr="000E5786">
        <w:rPr>
          <w:rFonts w:eastAsia="Arial" w:cs="Arial"/>
          <w:b/>
          <w:i/>
          <w:szCs w:val="20"/>
          <w:highlight w:val="yellow"/>
        </w:rPr>
        <w:t>Benchmarker</w:t>
      </w:r>
      <w:proofErr w:type="spellEnd"/>
      <w:r w:rsidRPr="000E5786">
        <w:rPr>
          <w:rFonts w:eastAsia="Arial" w:cs="Arial"/>
          <w:b/>
          <w:szCs w:val="20"/>
        </w:rPr>
        <w:t>]</w:t>
      </w:r>
    </w:p>
    <w:p w14:paraId="1CABB8F7" w14:textId="77777777" w:rsidR="004C127E" w:rsidRPr="000E5786" w:rsidRDefault="004C127E" w:rsidP="00DD60F0">
      <w:pPr>
        <w:tabs>
          <w:tab w:val="left" w:leader="underscore" w:pos="5184"/>
        </w:tabs>
        <w:ind w:left="72"/>
        <w:textAlignment w:val="baseline"/>
        <w:rPr>
          <w:rFonts w:eastAsia="Arial" w:cs="Arial"/>
          <w:spacing w:val="-5"/>
          <w:szCs w:val="20"/>
        </w:rPr>
      </w:pPr>
      <w:r w:rsidRPr="000E5786">
        <w:rPr>
          <w:rFonts w:eastAsia="Arial" w:cs="Arial"/>
          <w:spacing w:val="-5"/>
          <w:szCs w:val="20"/>
        </w:rPr>
        <w:t>Signature:</w:t>
      </w:r>
      <w:r w:rsidRPr="000E5786">
        <w:rPr>
          <w:rFonts w:eastAsia="Arial" w:cs="Arial"/>
          <w:spacing w:val="-5"/>
          <w:szCs w:val="20"/>
        </w:rPr>
        <w:tab/>
        <w:t xml:space="preserve"> Date:</w:t>
      </w:r>
    </w:p>
    <w:p w14:paraId="02E39FFF" w14:textId="77777777" w:rsidR="004C127E" w:rsidRPr="000E5786" w:rsidRDefault="004C127E" w:rsidP="00DD60F0">
      <w:pPr>
        <w:tabs>
          <w:tab w:val="left" w:pos="5184"/>
        </w:tabs>
        <w:ind w:left="74"/>
        <w:textAlignment w:val="baseline"/>
        <w:rPr>
          <w:rFonts w:eastAsia="Arial" w:cs="Arial"/>
          <w:spacing w:val="-1"/>
          <w:szCs w:val="20"/>
        </w:rPr>
      </w:pPr>
      <w:r w:rsidRPr="000E5786">
        <w:rPr>
          <w:rFonts w:eastAsia="Arial" w:cs="Arial"/>
          <w:spacing w:val="-1"/>
          <w:szCs w:val="20"/>
        </w:rPr>
        <w:t>Name:</w:t>
      </w:r>
      <w:r w:rsidRPr="000E5786">
        <w:rPr>
          <w:rFonts w:eastAsia="Arial" w:cs="Arial"/>
          <w:spacing w:val="-1"/>
          <w:szCs w:val="20"/>
        </w:rPr>
        <w:tab/>
        <w:t>Position:</w:t>
      </w:r>
    </w:p>
    <w:p w14:paraId="717D98F4" w14:textId="568274AF" w:rsidR="004C127E" w:rsidRPr="000E5786" w:rsidRDefault="004C127E" w:rsidP="00DD60F0">
      <w:pPr>
        <w:rPr>
          <w:rFonts w:eastAsia="Arial" w:cs="Arial"/>
          <w:spacing w:val="-1"/>
          <w:szCs w:val="20"/>
        </w:rPr>
      </w:pPr>
      <w:r w:rsidRPr="000E5786">
        <w:rPr>
          <w:rFonts w:eastAsia="Arial" w:cs="Arial"/>
          <w:spacing w:val="-1"/>
          <w:szCs w:val="20"/>
        </w:rPr>
        <w:br w:type="page"/>
      </w:r>
    </w:p>
    <w:p w14:paraId="7F053B5F" w14:textId="77777777" w:rsidR="002701EF" w:rsidRPr="000E5786" w:rsidRDefault="004C127E" w:rsidP="00DD60F0">
      <w:pPr>
        <w:pStyle w:val="Heading1"/>
        <w:numPr>
          <w:ilvl w:val="0"/>
          <w:numId w:val="0"/>
        </w:numPr>
        <w:spacing w:after="120"/>
        <w:jc w:val="center"/>
        <w:rPr>
          <w:rFonts w:cs="Arial"/>
          <w:szCs w:val="20"/>
        </w:rPr>
      </w:pPr>
      <w:r w:rsidRPr="000E5786">
        <w:rPr>
          <w:rFonts w:cs="Arial"/>
          <w:szCs w:val="20"/>
        </w:rPr>
        <w:lastRenderedPageBreak/>
        <w:t>SCHEDULE 7.4</w:t>
      </w:r>
    </w:p>
    <w:p w14:paraId="0871214A" w14:textId="67DF0C35" w:rsidR="004C127E" w:rsidRPr="000E5786" w:rsidRDefault="004C127E" w:rsidP="00DD60F0">
      <w:pPr>
        <w:pStyle w:val="Heading1"/>
        <w:numPr>
          <w:ilvl w:val="0"/>
          <w:numId w:val="0"/>
        </w:numPr>
        <w:spacing w:after="120"/>
        <w:jc w:val="center"/>
        <w:rPr>
          <w:rFonts w:cs="Arial"/>
          <w:b w:val="0"/>
          <w:bCs w:val="0"/>
          <w:szCs w:val="20"/>
        </w:rPr>
      </w:pPr>
      <w:r w:rsidRPr="000E5786">
        <w:rPr>
          <w:rFonts w:cs="Arial"/>
          <w:szCs w:val="20"/>
        </w:rPr>
        <w:t>Product and Service Catalogue</w:t>
      </w:r>
    </w:p>
    <w:p w14:paraId="7716C40F" w14:textId="77777777" w:rsidR="004C127E" w:rsidRPr="000E5786" w:rsidRDefault="004C127E" w:rsidP="009D675B">
      <w:pPr>
        <w:pStyle w:val="Heading1"/>
        <w:numPr>
          <w:ilvl w:val="0"/>
          <w:numId w:val="40"/>
        </w:numPr>
        <w:spacing w:after="120"/>
        <w:rPr>
          <w:rFonts w:cs="Arial"/>
          <w:szCs w:val="20"/>
        </w:rPr>
      </w:pPr>
      <w:r w:rsidRPr="000E5786">
        <w:rPr>
          <w:rFonts w:cs="Arial"/>
          <w:szCs w:val="20"/>
        </w:rPr>
        <w:t>Purpose of the Product and Service Catalogue</w:t>
      </w:r>
    </w:p>
    <w:p w14:paraId="3F6C6BC9" w14:textId="77777777" w:rsidR="004C127E" w:rsidRPr="000E5786" w:rsidRDefault="004C127E" w:rsidP="009D675B">
      <w:pPr>
        <w:pStyle w:val="Heading2"/>
        <w:numPr>
          <w:ilvl w:val="1"/>
          <w:numId w:val="139"/>
        </w:numPr>
        <w:spacing w:after="120"/>
        <w:rPr>
          <w:rFonts w:cs="Arial"/>
          <w:szCs w:val="20"/>
        </w:rPr>
      </w:pPr>
      <w:r w:rsidRPr="000E5786">
        <w:rPr>
          <w:rFonts w:cs="Arial"/>
          <w:szCs w:val="20"/>
        </w:rPr>
        <w:t xml:space="preserve">This Schedule 7.4 includes the provision, maintenance, monitoring and operation by Supplier of: </w:t>
      </w:r>
    </w:p>
    <w:p w14:paraId="3D6FCD12" w14:textId="1BD49B43" w:rsidR="004C127E" w:rsidRPr="000E5786" w:rsidRDefault="004C127E" w:rsidP="009D675B">
      <w:pPr>
        <w:pStyle w:val="Heading3"/>
        <w:numPr>
          <w:ilvl w:val="2"/>
          <w:numId w:val="139"/>
        </w:numPr>
      </w:pPr>
      <w:r w:rsidRPr="000E5786">
        <w:t>the Catalogue Items including the Supplier’s Catalogue charges included in the Base Service Charge as part of the Monthly Operate Charges; and</w:t>
      </w:r>
    </w:p>
    <w:p w14:paraId="051AF738" w14:textId="77777777" w:rsidR="004C127E" w:rsidRPr="000E5786" w:rsidRDefault="004C127E" w:rsidP="009D675B">
      <w:pPr>
        <w:pStyle w:val="Heading3"/>
        <w:numPr>
          <w:ilvl w:val="2"/>
          <w:numId w:val="139"/>
        </w:numPr>
      </w:pPr>
      <w:r w:rsidRPr="000E5786">
        <w:t>the Service Requests in Annex B (including create, modify, decommission a Service Component, provision of the Hands and Eyes service, and miscellaneous Service Requests not relating to Service Components) represent standard, repeatable changes to the Catalogue Items in the Product and Service Catalogue. Service Requests are included in the Base &amp; Variable Catalogue Charges as part of the Monthly Operate Charges.</w:t>
      </w:r>
    </w:p>
    <w:p w14:paraId="768AE45A" w14:textId="6C37CA30" w:rsidR="004C127E" w:rsidRPr="000E5786" w:rsidRDefault="004C127E" w:rsidP="009D675B">
      <w:pPr>
        <w:pStyle w:val="Heading2"/>
        <w:numPr>
          <w:ilvl w:val="1"/>
          <w:numId w:val="139"/>
        </w:numPr>
        <w:spacing w:after="120"/>
        <w:rPr>
          <w:rFonts w:cs="Arial"/>
          <w:szCs w:val="20"/>
        </w:rPr>
      </w:pPr>
      <w:r w:rsidRPr="000E5786">
        <w:rPr>
          <w:rFonts w:cs="Arial"/>
          <w:szCs w:val="20"/>
        </w:rPr>
        <w:t xml:space="preserve">The Base Service Charge (Product and Service Catalogue items in operation) and Base &amp; Variable Catalogue Charge (for Service Requests) will become Charges only when the Operate Service is in ‘live’ operation according to the Initial Transition Project Deliverables and acceptance criteria. </w:t>
      </w:r>
    </w:p>
    <w:p w14:paraId="496735B3" w14:textId="77777777" w:rsidR="004C127E" w:rsidRPr="000E5786" w:rsidRDefault="004C127E" w:rsidP="009D675B">
      <w:pPr>
        <w:pStyle w:val="Heading2"/>
        <w:numPr>
          <w:ilvl w:val="1"/>
          <w:numId w:val="139"/>
        </w:numPr>
        <w:spacing w:after="120"/>
        <w:rPr>
          <w:rFonts w:cs="Arial"/>
          <w:szCs w:val="20"/>
        </w:rPr>
      </w:pPr>
      <w:r w:rsidRPr="000E5786">
        <w:rPr>
          <w:rFonts w:cs="Arial"/>
          <w:szCs w:val="20"/>
        </w:rPr>
        <w:t xml:space="preserve">Requests for changes made as part of Project Services shall not be charged as Base &amp; Variable Catalogue Charges (Service Requests) as they are part of Project Charges. </w:t>
      </w:r>
    </w:p>
    <w:p w14:paraId="1783E82D" w14:textId="53E5A345" w:rsidR="004C127E" w:rsidRPr="000E5786" w:rsidRDefault="004C127E" w:rsidP="009D675B">
      <w:pPr>
        <w:pStyle w:val="Heading2"/>
        <w:numPr>
          <w:ilvl w:val="1"/>
          <w:numId w:val="139"/>
        </w:numPr>
        <w:spacing w:after="120"/>
        <w:rPr>
          <w:rFonts w:cs="Arial"/>
          <w:szCs w:val="20"/>
        </w:rPr>
      </w:pPr>
      <w:r w:rsidRPr="000E5786">
        <w:rPr>
          <w:rFonts w:cs="Arial"/>
          <w:szCs w:val="20"/>
        </w:rPr>
        <w:t xml:space="preserve">The Supplier shall maintain and provide the Product and Service Catalogue and the Base &amp; Variable Catalogue (list of Service Requests) such that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is able to augment and manage the delivery of the Operate Services in a flexible manner through fixed prices for certain services or products that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call upon throughout the Term.</w:t>
      </w:r>
    </w:p>
    <w:p w14:paraId="3A6EB926" w14:textId="6B8AC7FE" w:rsidR="004C127E" w:rsidRPr="000E5786" w:rsidRDefault="001F1C19" w:rsidP="009D675B">
      <w:pPr>
        <w:pStyle w:val="Heading2"/>
        <w:numPr>
          <w:ilvl w:val="1"/>
          <w:numId w:val="139"/>
        </w:numPr>
        <w:spacing w:after="120"/>
        <w:rPr>
          <w:rFonts w:cs="Arial"/>
          <w:szCs w:val="20"/>
        </w:rPr>
      </w:pPr>
      <w:proofErr w:type="spellStart"/>
      <w:r>
        <w:rPr>
          <w:rFonts w:cs="Arial"/>
          <w:szCs w:val="20"/>
        </w:rPr>
        <w:t>Netlink</w:t>
      </w:r>
      <w:proofErr w:type="spellEnd"/>
      <w:r>
        <w:rPr>
          <w:rFonts w:cs="Arial"/>
          <w:szCs w:val="20"/>
        </w:rPr>
        <w:t xml:space="preserve"> Star</w:t>
      </w:r>
      <w:r w:rsidR="004C127E" w:rsidRPr="000E5786">
        <w:rPr>
          <w:rFonts w:cs="Arial"/>
          <w:szCs w:val="20"/>
        </w:rPr>
        <w:t xml:space="preserve"> reserves the right to procure Catalogue Items from a third-party at its absolute discretion and is under no obligation to request or obtain Catalogue Items from the Supplier.</w:t>
      </w:r>
    </w:p>
    <w:p w14:paraId="1CA74D71" w14:textId="77777777" w:rsidR="00407A01" w:rsidRPr="000E5786" w:rsidRDefault="00407A01" w:rsidP="00407A01">
      <w:pPr>
        <w:pStyle w:val="Heading2"/>
        <w:numPr>
          <w:ilvl w:val="0"/>
          <w:numId w:val="0"/>
        </w:numPr>
        <w:spacing w:after="120"/>
        <w:ind w:left="709"/>
        <w:rPr>
          <w:rFonts w:cs="Arial"/>
          <w:szCs w:val="20"/>
        </w:rPr>
      </w:pPr>
    </w:p>
    <w:p w14:paraId="44C1C67D" w14:textId="77777777" w:rsidR="004C127E" w:rsidRPr="000E5786" w:rsidRDefault="004C127E" w:rsidP="009D675B">
      <w:pPr>
        <w:pStyle w:val="Heading1"/>
        <w:numPr>
          <w:ilvl w:val="0"/>
          <w:numId w:val="139"/>
        </w:numPr>
        <w:spacing w:after="120"/>
        <w:rPr>
          <w:rFonts w:cs="Arial"/>
          <w:szCs w:val="20"/>
        </w:rPr>
      </w:pPr>
      <w:r w:rsidRPr="000E5786">
        <w:rPr>
          <w:rFonts w:cs="Arial"/>
          <w:szCs w:val="20"/>
        </w:rPr>
        <w:t>Operation of the Product and Service Catalogue and Base &amp; Variable Catalogue</w:t>
      </w:r>
    </w:p>
    <w:p w14:paraId="58E88186" w14:textId="46273EEE" w:rsidR="004C127E" w:rsidRPr="000E5786" w:rsidRDefault="001F1C19" w:rsidP="009D675B">
      <w:pPr>
        <w:pStyle w:val="Heading2"/>
        <w:numPr>
          <w:ilvl w:val="1"/>
          <w:numId w:val="139"/>
        </w:numPr>
        <w:spacing w:after="120"/>
        <w:rPr>
          <w:rFonts w:cs="Arial"/>
          <w:szCs w:val="20"/>
        </w:rPr>
      </w:pPr>
      <w:proofErr w:type="spellStart"/>
      <w:r>
        <w:rPr>
          <w:rFonts w:cs="Arial"/>
          <w:szCs w:val="20"/>
        </w:rPr>
        <w:t>Netlink</w:t>
      </w:r>
      <w:proofErr w:type="spellEnd"/>
      <w:r>
        <w:rPr>
          <w:rFonts w:cs="Arial"/>
          <w:szCs w:val="20"/>
        </w:rPr>
        <w:t xml:space="preserve"> Star</w:t>
      </w:r>
      <w:r w:rsidR="004C127E" w:rsidRPr="000E5786">
        <w:rPr>
          <w:rFonts w:cs="Arial"/>
          <w:szCs w:val="20"/>
        </w:rPr>
        <w:t xml:space="preserve"> shall designate individuals to be authorised to place orders (Service Requests) for Catalogue Items (“</w:t>
      </w:r>
      <w:r w:rsidR="004C127E" w:rsidRPr="000E5786">
        <w:rPr>
          <w:rFonts w:cs="Arial"/>
          <w:b/>
          <w:szCs w:val="20"/>
        </w:rPr>
        <w:t>Authorised Users</w:t>
      </w:r>
      <w:r w:rsidR="004C127E" w:rsidRPr="000E5786">
        <w:rPr>
          <w:rFonts w:cs="Arial"/>
          <w:szCs w:val="20"/>
        </w:rPr>
        <w:t xml:space="preserve">”). </w:t>
      </w:r>
    </w:p>
    <w:p w14:paraId="6ABDE2E5" w14:textId="3191F4DC" w:rsidR="004C127E" w:rsidRPr="000E5786" w:rsidRDefault="001F1C19" w:rsidP="009D675B">
      <w:pPr>
        <w:pStyle w:val="Heading2"/>
        <w:numPr>
          <w:ilvl w:val="1"/>
          <w:numId w:val="139"/>
        </w:numPr>
        <w:spacing w:after="120"/>
        <w:rPr>
          <w:rFonts w:cs="Arial"/>
          <w:szCs w:val="20"/>
        </w:rPr>
      </w:pPr>
      <w:proofErr w:type="spellStart"/>
      <w:r>
        <w:rPr>
          <w:rFonts w:cs="Arial"/>
          <w:szCs w:val="20"/>
        </w:rPr>
        <w:t>Netlink</w:t>
      </w:r>
      <w:proofErr w:type="spellEnd"/>
      <w:r>
        <w:rPr>
          <w:rFonts w:cs="Arial"/>
          <w:szCs w:val="20"/>
        </w:rPr>
        <w:t xml:space="preserve"> Star</w:t>
      </w:r>
      <w:r w:rsidR="004C127E" w:rsidRPr="000E5786">
        <w:rPr>
          <w:rFonts w:cs="Arial"/>
          <w:szCs w:val="20"/>
        </w:rPr>
        <w:t xml:space="preserve"> shall implement a process which will enable only Authorised Users to order Catalogue Items (Annex </w:t>
      </w:r>
      <w:r w:rsidR="004E711C">
        <w:rPr>
          <w:rFonts w:cs="Arial"/>
          <w:szCs w:val="20"/>
        </w:rPr>
        <w:t>7.4</w:t>
      </w:r>
      <w:r w:rsidR="004C127E" w:rsidRPr="000E5786">
        <w:rPr>
          <w:rFonts w:cs="Arial"/>
          <w:szCs w:val="20"/>
        </w:rPr>
        <w:t xml:space="preserve">A) through a Service Request (Annex </w:t>
      </w:r>
      <w:r w:rsidR="004E711C">
        <w:rPr>
          <w:rFonts w:cs="Arial"/>
          <w:szCs w:val="20"/>
        </w:rPr>
        <w:t>7.4</w:t>
      </w:r>
      <w:r w:rsidR="004C127E" w:rsidRPr="000E5786">
        <w:rPr>
          <w:rFonts w:cs="Arial"/>
          <w:szCs w:val="20"/>
        </w:rPr>
        <w:t>B).</w:t>
      </w:r>
    </w:p>
    <w:p w14:paraId="11B656A4" w14:textId="77777777" w:rsidR="004C127E" w:rsidRPr="000E5786" w:rsidRDefault="004C127E" w:rsidP="009D675B">
      <w:pPr>
        <w:pStyle w:val="Heading2"/>
        <w:numPr>
          <w:ilvl w:val="1"/>
          <w:numId w:val="139"/>
        </w:numPr>
        <w:spacing w:after="120"/>
        <w:rPr>
          <w:rFonts w:cs="Arial"/>
          <w:szCs w:val="20"/>
        </w:rPr>
      </w:pPr>
      <w:r w:rsidRPr="000E5786">
        <w:rPr>
          <w:rFonts w:cs="Arial"/>
          <w:szCs w:val="20"/>
        </w:rPr>
        <w:t xml:space="preserve">The Supplier shall ensure that Catalogue Items relating to Service Components are delivered, installed or provided in a timely and efficient fashion to a consistent standard, and shall ensure that all agreed performance measures (including any agreed Service Levels) relating to </w:t>
      </w:r>
      <w:proofErr w:type="gramStart"/>
      <w:r w:rsidRPr="000E5786">
        <w:rPr>
          <w:rFonts w:cs="Arial"/>
          <w:szCs w:val="20"/>
        </w:rPr>
        <w:t>provision</w:t>
      </w:r>
      <w:proofErr w:type="gramEnd"/>
      <w:r w:rsidRPr="000E5786">
        <w:rPr>
          <w:rFonts w:cs="Arial"/>
          <w:szCs w:val="20"/>
        </w:rPr>
        <w:t xml:space="preserve"> and installation of new equipment or provision of services are met.</w:t>
      </w:r>
    </w:p>
    <w:p w14:paraId="1B269730" w14:textId="77777777" w:rsidR="004C127E" w:rsidRPr="000E5786" w:rsidRDefault="004C127E" w:rsidP="009D675B">
      <w:pPr>
        <w:pStyle w:val="Heading2"/>
        <w:numPr>
          <w:ilvl w:val="1"/>
          <w:numId w:val="139"/>
        </w:numPr>
        <w:spacing w:after="120"/>
        <w:rPr>
          <w:rFonts w:cs="Arial"/>
          <w:szCs w:val="20"/>
        </w:rPr>
      </w:pPr>
      <w:r w:rsidRPr="000E5786">
        <w:rPr>
          <w:rFonts w:cs="Arial"/>
          <w:szCs w:val="20"/>
        </w:rPr>
        <w:t>The Supplier shall ensure that all Catalogue Items are available and can be delivered within the Service Levels described within the Agreement.</w:t>
      </w:r>
    </w:p>
    <w:p w14:paraId="3282DC76" w14:textId="7CF9B4E4" w:rsidR="004C127E" w:rsidRPr="000E5786" w:rsidRDefault="001F1C19" w:rsidP="009D675B">
      <w:pPr>
        <w:pStyle w:val="Heading2"/>
        <w:numPr>
          <w:ilvl w:val="1"/>
          <w:numId w:val="139"/>
        </w:numPr>
        <w:spacing w:after="120"/>
        <w:rPr>
          <w:rFonts w:cs="Arial"/>
          <w:szCs w:val="20"/>
        </w:rPr>
      </w:pPr>
      <w:proofErr w:type="spellStart"/>
      <w:r>
        <w:rPr>
          <w:rFonts w:cs="Arial"/>
          <w:szCs w:val="20"/>
        </w:rPr>
        <w:t>Netlink</w:t>
      </w:r>
      <w:proofErr w:type="spellEnd"/>
      <w:r>
        <w:rPr>
          <w:rFonts w:cs="Arial"/>
          <w:szCs w:val="20"/>
        </w:rPr>
        <w:t xml:space="preserve"> Star</w:t>
      </w:r>
      <w:r w:rsidR="004C127E" w:rsidRPr="000E5786">
        <w:rPr>
          <w:rFonts w:cs="Arial"/>
          <w:szCs w:val="20"/>
        </w:rPr>
        <w:t xml:space="preserve"> shall ensure that a Service Request shall contain all details necessary for the delivery of the Catalogue Items without further need for intervention by </w:t>
      </w:r>
      <w:proofErr w:type="spellStart"/>
      <w:r>
        <w:rPr>
          <w:rFonts w:cs="Arial"/>
          <w:szCs w:val="20"/>
        </w:rPr>
        <w:t>Netlink</w:t>
      </w:r>
      <w:proofErr w:type="spellEnd"/>
      <w:r>
        <w:rPr>
          <w:rFonts w:cs="Arial"/>
          <w:szCs w:val="20"/>
        </w:rPr>
        <w:t xml:space="preserve"> Star</w:t>
      </w:r>
      <w:r w:rsidR="004C127E" w:rsidRPr="000E5786">
        <w:rPr>
          <w:rFonts w:cs="Arial"/>
          <w:szCs w:val="20"/>
        </w:rPr>
        <w:t>. The Service Request shall include, but not be limited to:</w:t>
      </w:r>
    </w:p>
    <w:p w14:paraId="61507468" w14:textId="77777777" w:rsidR="004C127E" w:rsidRPr="000E5786" w:rsidRDefault="004C127E" w:rsidP="009D675B">
      <w:pPr>
        <w:pStyle w:val="Heading3"/>
        <w:numPr>
          <w:ilvl w:val="2"/>
          <w:numId w:val="139"/>
        </w:numPr>
      </w:pPr>
      <w:r w:rsidRPr="000E5786">
        <w:t xml:space="preserve">the name of the Authorised </w:t>
      </w:r>
      <w:proofErr w:type="gramStart"/>
      <w:r w:rsidRPr="000E5786">
        <w:t>User;</w:t>
      </w:r>
      <w:proofErr w:type="gramEnd"/>
    </w:p>
    <w:p w14:paraId="668E95F1" w14:textId="77777777" w:rsidR="004C127E" w:rsidRPr="000E5786" w:rsidRDefault="004C127E" w:rsidP="009D675B">
      <w:pPr>
        <w:pStyle w:val="Heading3"/>
        <w:numPr>
          <w:ilvl w:val="2"/>
          <w:numId w:val="139"/>
        </w:numPr>
      </w:pPr>
      <w:r w:rsidRPr="000E5786">
        <w:t xml:space="preserve">the nature of the Catalogue Items </w:t>
      </w:r>
      <w:proofErr w:type="gramStart"/>
      <w:r w:rsidRPr="000E5786">
        <w:t>requested;</w:t>
      </w:r>
      <w:proofErr w:type="gramEnd"/>
    </w:p>
    <w:p w14:paraId="071B286E" w14:textId="77777777" w:rsidR="004C127E" w:rsidRPr="000E5786" w:rsidRDefault="004C127E" w:rsidP="009D675B">
      <w:pPr>
        <w:pStyle w:val="Heading3"/>
        <w:numPr>
          <w:ilvl w:val="2"/>
          <w:numId w:val="139"/>
        </w:numPr>
      </w:pPr>
      <w:r w:rsidRPr="000E5786">
        <w:t xml:space="preserve">the date, </w:t>
      </w:r>
      <w:proofErr w:type="gramStart"/>
      <w:r w:rsidRPr="000E5786">
        <w:t>time</w:t>
      </w:r>
      <w:proofErr w:type="gramEnd"/>
      <w:r w:rsidRPr="000E5786">
        <w:t xml:space="preserve"> and place where the Catalogue Items are required to be performed or delivered; and</w:t>
      </w:r>
    </w:p>
    <w:p w14:paraId="37EAAA53" w14:textId="77777777" w:rsidR="004C127E" w:rsidRPr="000E5786" w:rsidRDefault="004C127E" w:rsidP="009D675B">
      <w:pPr>
        <w:pStyle w:val="Heading3"/>
        <w:numPr>
          <w:ilvl w:val="2"/>
          <w:numId w:val="139"/>
        </w:numPr>
      </w:pPr>
      <w:r w:rsidRPr="000E5786">
        <w:t>any specific requirements, details, descriptions necessary to deliver the Catalogue Items.</w:t>
      </w:r>
    </w:p>
    <w:p w14:paraId="40950BFE" w14:textId="5952B214" w:rsidR="004C127E" w:rsidRPr="000E5786" w:rsidRDefault="004C127E" w:rsidP="009D675B">
      <w:pPr>
        <w:pStyle w:val="Heading2"/>
        <w:numPr>
          <w:ilvl w:val="1"/>
          <w:numId w:val="139"/>
        </w:numPr>
        <w:spacing w:after="120"/>
        <w:rPr>
          <w:rFonts w:cs="Arial"/>
          <w:szCs w:val="20"/>
        </w:rPr>
      </w:pPr>
      <w:r w:rsidRPr="000E5786">
        <w:rPr>
          <w:rFonts w:cs="Arial"/>
          <w:szCs w:val="20"/>
        </w:rPr>
        <w:t xml:space="preserve">The Supplier shall only charge for Catalogue Items through the agreed Catalogue Charges in accordance with </w:t>
      </w:r>
      <w:r w:rsidRPr="000E5786">
        <w:rPr>
          <w:rFonts w:cs="Arial"/>
          <w:bCs w:val="0"/>
          <w:szCs w:val="20"/>
        </w:rPr>
        <w:t>Schedule 7.1</w:t>
      </w:r>
      <w:r w:rsidR="00E05FA8" w:rsidRPr="000E5786">
        <w:rPr>
          <w:rFonts w:cs="Arial"/>
          <w:bCs w:val="0"/>
          <w:szCs w:val="20"/>
        </w:rPr>
        <w:t xml:space="preserve"> (</w:t>
      </w:r>
      <w:r w:rsidRPr="000E5786">
        <w:rPr>
          <w:rFonts w:cs="Arial"/>
          <w:bCs w:val="0"/>
          <w:szCs w:val="20"/>
        </w:rPr>
        <w:t>Charging and Invoicing).</w:t>
      </w:r>
    </w:p>
    <w:p w14:paraId="548694C9" w14:textId="77777777" w:rsidR="00407A01" w:rsidRPr="000E5786" w:rsidRDefault="00407A01" w:rsidP="00407A01">
      <w:pPr>
        <w:pStyle w:val="Heading2"/>
        <w:numPr>
          <w:ilvl w:val="0"/>
          <w:numId w:val="0"/>
        </w:numPr>
        <w:spacing w:after="120"/>
        <w:ind w:left="709"/>
        <w:rPr>
          <w:rFonts w:cs="Arial"/>
          <w:szCs w:val="20"/>
        </w:rPr>
      </w:pPr>
    </w:p>
    <w:p w14:paraId="30F9E0F2" w14:textId="77777777" w:rsidR="004C127E" w:rsidRPr="000E5786" w:rsidRDefault="004C127E" w:rsidP="009D675B">
      <w:pPr>
        <w:pStyle w:val="Heading1"/>
        <w:numPr>
          <w:ilvl w:val="0"/>
          <w:numId w:val="139"/>
        </w:numPr>
        <w:spacing w:after="120"/>
        <w:rPr>
          <w:rFonts w:cs="Arial"/>
          <w:szCs w:val="20"/>
        </w:rPr>
      </w:pPr>
      <w:r w:rsidRPr="000E5786">
        <w:rPr>
          <w:rFonts w:cs="Arial"/>
          <w:szCs w:val="20"/>
        </w:rPr>
        <w:t>Content of the Product and Service Catalogue</w:t>
      </w:r>
    </w:p>
    <w:p w14:paraId="54CEE78F" w14:textId="5E3F1DF2" w:rsidR="004C127E" w:rsidRPr="00B26A5F" w:rsidRDefault="004C127E" w:rsidP="009D675B">
      <w:pPr>
        <w:pStyle w:val="Heading2"/>
        <w:numPr>
          <w:ilvl w:val="1"/>
          <w:numId w:val="139"/>
        </w:numPr>
        <w:spacing w:after="120"/>
        <w:rPr>
          <w:rFonts w:cs="Arial"/>
          <w:szCs w:val="20"/>
        </w:rPr>
      </w:pPr>
      <w:r w:rsidRPr="00B26A5F">
        <w:rPr>
          <w:rFonts w:cs="Arial"/>
          <w:szCs w:val="20"/>
        </w:rPr>
        <w:t>The Supplier shall ensure that</w:t>
      </w:r>
      <w:r w:rsidR="00B26A5F" w:rsidRPr="00B26A5F">
        <w:rPr>
          <w:rFonts w:cs="Arial"/>
          <w:szCs w:val="20"/>
        </w:rPr>
        <w:t xml:space="preserve"> </w:t>
      </w:r>
      <w:r w:rsidRPr="00B26A5F">
        <w:rPr>
          <w:rFonts w:cs="Arial"/>
          <w:szCs w:val="20"/>
        </w:rPr>
        <w:t>the Product and Service Catalogue identifies all types of Service Component that will be operated by the Supplier via the Operate Service</w:t>
      </w:r>
      <w:r w:rsidR="00B26A5F">
        <w:rPr>
          <w:rFonts w:cs="Arial"/>
          <w:szCs w:val="20"/>
        </w:rPr>
        <w:t>.</w:t>
      </w:r>
      <w:r w:rsidRPr="00B26A5F">
        <w:rPr>
          <w:rFonts w:cs="Arial"/>
          <w:szCs w:val="20"/>
        </w:rPr>
        <w:t xml:space="preserve"> </w:t>
      </w:r>
    </w:p>
    <w:p w14:paraId="20964B11" w14:textId="366CA6E7" w:rsidR="004C127E" w:rsidRPr="000E5786" w:rsidRDefault="004C127E" w:rsidP="009D675B">
      <w:pPr>
        <w:pStyle w:val="Heading2"/>
        <w:numPr>
          <w:ilvl w:val="1"/>
          <w:numId w:val="139"/>
        </w:numPr>
        <w:spacing w:after="120"/>
        <w:rPr>
          <w:rFonts w:cs="Arial"/>
          <w:szCs w:val="20"/>
        </w:rPr>
      </w:pPr>
      <w:r w:rsidRPr="000E5786">
        <w:rPr>
          <w:rFonts w:cs="Arial"/>
          <w:szCs w:val="20"/>
        </w:rPr>
        <w:t xml:space="preserve">Annex </w:t>
      </w:r>
      <w:r w:rsidR="004E711C">
        <w:rPr>
          <w:rFonts w:cs="Arial"/>
          <w:szCs w:val="20"/>
        </w:rPr>
        <w:t>7.4</w:t>
      </w:r>
      <w:r w:rsidRPr="000E5786">
        <w:rPr>
          <w:rFonts w:cs="Arial"/>
          <w:szCs w:val="20"/>
        </w:rPr>
        <w:t>A sets out the Service Components available within the Product and Service Catalogue and associated charges for operating the Service Components (the Base Service Charge). Monthly prices will be charged on a pro-rated basis according to when the Service Component was created or deleted within the month</w:t>
      </w:r>
      <w:r w:rsidR="00B26A5F">
        <w:rPr>
          <w:rFonts w:cs="Arial"/>
          <w:szCs w:val="20"/>
        </w:rPr>
        <w:t>.</w:t>
      </w:r>
    </w:p>
    <w:p w14:paraId="40CA9727" w14:textId="439B9F99" w:rsidR="004C127E" w:rsidRPr="000E5786" w:rsidRDefault="004C127E" w:rsidP="009D675B">
      <w:pPr>
        <w:pStyle w:val="Heading2"/>
        <w:numPr>
          <w:ilvl w:val="1"/>
          <w:numId w:val="139"/>
        </w:numPr>
        <w:spacing w:after="120"/>
        <w:rPr>
          <w:rFonts w:cs="Arial"/>
          <w:szCs w:val="20"/>
        </w:rPr>
      </w:pPr>
      <w:r w:rsidRPr="000E5786">
        <w:rPr>
          <w:rFonts w:cs="Arial"/>
          <w:szCs w:val="20"/>
        </w:rPr>
        <w:t xml:space="preserve">Annex </w:t>
      </w:r>
      <w:r w:rsidR="004E711C">
        <w:rPr>
          <w:rFonts w:cs="Arial"/>
          <w:szCs w:val="20"/>
        </w:rPr>
        <w:t>7.4</w:t>
      </w:r>
      <w:r w:rsidRPr="000E5786">
        <w:rPr>
          <w:rFonts w:cs="Arial"/>
          <w:szCs w:val="20"/>
        </w:rPr>
        <w:t>B</w:t>
      </w:r>
      <w:r w:rsidRPr="00B26A5F">
        <w:rPr>
          <w:rFonts w:cs="Arial"/>
          <w:szCs w:val="20"/>
        </w:rPr>
        <w:t xml:space="preserve"> </w:t>
      </w:r>
      <w:r w:rsidRPr="000E5786">
        <w:rPr>
          <w:rFonts w:cs="Arial"/>
          <w:szCs w:val="20"/>
        </w:rPr>
        <w:t xml:space="preserve">sets out the relevant Service Requests that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require from time to time (Base &amp; Variable Catalogue Charges).</w:t>
      </w:r>
    </w:p>
    <w:p w14:paraId="3715940D" w14:textId="014BCB88" w:rsidR="004C127E" w:rsidRPr="000E5786" w:rsidRDefault="004C127E" w:rsidP="009D675B">
      <w:pPr>
        <w:pStyle w:val="Heading2"/>
        <w:numPr>
          <w:ilvl w:val="1"/>
          <w:numId w:val="139"/>
        </w:numPr>
        <w:spacing w:after="120"/>
        <w:rPr>
          <w:rFonts w:cs="Arial"/>
          <w:szCs w:val="20"/>
        </w:rPr>
      </w:pPr>
      <w:r w:rsidRPr="000E5786">
        <w:rPr>
          <w:rFonts w:cs="Arial"/>
          <w:szCs w:val="20"/>
        </w:rPr>
        <w:t xml:space="preserve">Annex </w:t>
      </w:r>
      <w:r w:rsidR="004E711C">
        <w:rPr>
          <w:rFonts w:cs="Arial"/>
          <w:szCs w:val="20"/>
        </w:rPr>
        <w:t>7.4</w:t>
      </w:r>
      <w:r w:rsidRPr="000E5786">
        <w:rPr>
          <w:rFonts w:cs="Arial"/>
          <w:szCs w:val="20"/>
        </w:rPr>
        <w:t xml:space="preserve">C shows </w:t>
      </w:r>
      <w:r w:rsidR="00C10638">
        <w:rPr>
          <w:rFonts w:cs="Arial"/>
          <w:szCs w:val="20"/>
        </w:rPr>
        <w:t xml:space="preserve">the </w:t>
      </w:r>
      <w:r w:rsidR="007568F4" w:rsidRPr="000E5786">
        <w:rPr>
          <w:rFonts w:cs="Arial"/>
          <w:szCs w:val="20"/>
        </w:rPr>
        <w:t>Rate Card</w:t>
      </w:r>
      <w:r w:rsidR="00B26A5F">
        <w:rPr>
          <w:rFonts w:cs="Arial"/>
          <w:szCs w:val="20"/>
        </w:rPr>
        <w:t>.</w:t>
      </w:r>
      <w:r w:rsidRPr="000E5786">
        <w:rPr>
          <w:rFonts w:cs="Arial"/>
          <w:szCs w:val="20"/>
        </w:rPr>
        <w:t xml:space="preserve"> </w:t>
      </w:r>
    </w:p>
    <w:p w14:paraId="51DD8B3E" w14:textId="0E54DFEE" w:rsidR="004C127E" w:rsidRPr="000E5786" w:rsidRDefault="004C127E" w:rsidP="009D675B">
      <w:pPr>
        <w:pStyle w:val="Heading2"/>
        <w:numPr>
          <w:ilvl w:val="1"/>
          <w:numId w:val="139"/>
        </w:numPr>
        <w:spacing w:after="120"/>
        <w:rPr>
          <w:rFonts w:cs="Arial"/>
          <w:szCs w:val="20"/>
        </w:rPr>
      </w:pPr>
      <w:r w:rsidRPr="000E5786">
        <w:rPr>
          <w:rFonts w:cs="Arial"/>
          <w:szCs w:val="20"/>
        </w:rPr>
        <w:t xml:space="preserve">Annex </w:t>
      </w:r>
      <w:r w:rsidR="004E711C">
        <w:rPr>
          <w:rFonts w:cs="Arial"/>
          <w:szCs w:val="20"/>
        </w:rPr>
        <w:t>7.4</w:t>
      </w:r>
      <w:r w:rsidR="00815AC2">
        <w:rPr>
          <w:rFonts w:cs="Arial"/>
          <w:szCs w:val="20"/>
        </w:rPr>
        <w:t>A-</w:t>
      </w:r>
      <w:r w:rsidR="00F966FF">
        <w:rPr>
          <w:rFonts w:cs="Arial"/>
          <w:szCs w:val="20"/>
        </w:rPr>
        <w:t>D</w:t>
      </w:r>
      <w:r w:rsidR="00CC6FF5">
        <w:rPr>
          <w:rFonts w:cs="Arial"/>
          <w:szCs w:val="20"/>
        </w:rPr>
        <w:t>,</w:t>
      </w:r>
      <w:r w:rsidRPr="00B26A5F">
        <w:rPr>
          <w:rFonts w:cs="Arial"/>
          <w:szCs w:val="20"/>
        </w:rPr>
        <w:t xml:space="preserve"> </w:t>
      </w:r>
      <w:r w:rsidRPr="000E5786">
        <w:rPr>
          <w:rFonts w:cs="Arial"/>
          <w:szCs w:val="20"/>
        </w:rPr>
        <w:t>contains the Commercial Model</w:t>
      </w:r>
      <w:r w:rsidR="00B26A5F">
        <w:rPr>
          <w:rFonts w:cs="Arial"/>
          <w:szCs w:val="20"/>
        </w:rPr>
        <w:t>.</w:t>
      </w:r>
    </w:p>
    <w:p w14:paraId="034B0A46" w14:textId="77777777" w:rsidR="00407A01" w:rsidRPr="000E5786" w:rsidRDefault="00407A01" w:rsidP="00CC6FF5">
      <w:pPr>
        <w:pStyle w:val="Heading3"/>
        <w:numPr>
          <w:ilvl w:val="0"/>
          <w:numId w:val="0"/>
        </w:numPr>
        <w:ind w:left="1429"/>
      </w:pPr>
    </w:p>
    <w:p w14:paraId="466DFFB3" w14:textId="77777777" w:rsidR="004C127E" w:rsidRPr="000E5786" w:rsidRDefault="004C127E" w:rsidP="009D675B">
      <w:pPr>
        <w:pStyle w:val="Heading1"/>
        <w:numPr>
          <w:ilvl w:val="0"/>
          <w:numId w:val="139"/>
        </w:numPr>
        <w:spacing w:after="120"/>
        <w:rPr>
          <w:rFonts w:cs="Arial"/>
          <w:szCs w:val="20"/>
        </w:rPr>
      </w:pPr>
      <w:r w:rsidRPr="000E5786">
        <w:rPr>
          <w:rFonts w:cs="Arial"/>
          <w:szCs w:val="20"/>
        </w:rPr>
        <w:t>Content of the Base and Variable Catalogue (Service Requests)</w:t>
      </w:r>
    </w:p>
    <w:p w14:paraId="04F75005" w14:textId="444691B0" w:rsidR="004C127E" w:rsidRPr="000E5786" w:rsidRDefault="004C127E" w:rsidP="009D675B">
      <w:pPr>
        <w:pStyle w:val="Heading2"/>
        <w:numPr>
          <w:ilvl w:val="1"/>
          <w:numId w:val="139"/>
        </w:numPr>
        <w:spacing w:after="120"/>
        <w:rPr>
          <w:rFonts w:cs="Arial"/>
          <w:szCs w:val="20"/>
        </w:rPr>
      </w:pPr>
      <w:r w:rsidRPr="000E5786">
        <w:rPr>
          <w:rFonts w:cs="Arial"/>
          <w:szCs w:val="20"/>
        </w:rPr>
        <w:t xml:space="preserve">Annex </w:t>
      </w:r>
      <w:r w:rsidR="004E711C">
        <w:rPr>
          <w:rFonts w:cs="Arial"/>
          <w:szCs w:val="20"/>
        </w:rPr>
        <w:t>7.4</w:t>
      </w:r>
      <w:r w:rsidRPr="000E5786">
        <w:rPr>
          <w:rFonts w:cs="Arial"/>
          <w:szCs w:val="20"/>
        </w:rPr>
        <w:t xml:space="preserve">B sets out the list of Service Requests (Base Variable Catalogue Charges) for which the Supplier shall provide a specified volume of per month at no charge. Any volume of requests in any month above this volume, as set out in Annex </w:t>
      </w:r>
      <w:r w:rsidR="004E711C">
        <w:rPr>
          <w:rFonts w:cs="Arial"/>
          <w:szCs w:val="20"/>
        </w:rPr>
        <w:t>7.4</w:t>
      </w:r>
      <w:r w:rsidRPr="000E5786">
        <w:rPr>
          <w:rFonts w:cs="Arial"/>
          <w:szCs w:val="20"/>
        </w:rPr>
        <w:t xml:space="preserve">B, shall be charged according to the specific Catalogue Charge for that Service Request as set out in Annex </w:t>
      </w:r>
      <w:r w:rsidR="004E711C">
        <w:rPr>
          <w:rFonts w:cs="Arial"/>
          <w:szCs w:val="20"/>
        </w:rPr>
        <w:t>7.4</w:t>
      </w:r>
      <w:r w:rsidRPr="000E5786">
        <w:rPr>
          <w:rFonts w:cs="Arial"/>
          <w:szCs w:val="20"/>
        </w:rPr>
        <w:t xml:space="preserve">B as ‘Additional Request Charge’ in the table in Annex </w:t>
      </w:r>
      <w:r w:rsidR="004E711C">
        <w:rPr>
          <w:rFonts w:cs="Arial"/>
          <w:szCs w:val="20"/>
        </w:rPr>
        <w:t>7.4</w:t>
      </w:r>
      <w:r w:rsidRPr="000E5786">
        <w:rPr>
          <w:rFonts w:cs="Arial"/>
          <w:szCs w:val="20"/>
        </w:rPr>
        <w:t xml:space="preserve">B.  Additionally,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make a Service Request on an urgent basis as set out in Annex </w:t>
      </w:r>
      <w:r w:rsidR="004E711C">
        <w:rPr>
          <w:rFonts w:cs="Arial"/>
          <w:szCs w:val="20"/>
        </w:rPr>
        <w:t>7.4</w:t>
      </w:r>
      <w:r w:rsidRPr="000E5786">
        <w:rPr>
          <w:rFonts w:cs="Arial"/>
          <w:szCs w:val="20"/>
        </w:rPr>
        <w:t xml:space="preserve">B as ‘Critical </w:t>
      </w:r>
      <w:r w:rsidR="00A970BD" w:rsidRPr="000E5786">
        <w:rPr>
          <w:rFonts w:cs="Arial"/>
          <w:szCs w:val="20"/>
        </w:rPr>
        <w:t xml:space="preserve">Response </w:t>
      </w:r>
      <w:r w:rsidRPr="000E5786">
        <w:rPr>
          <w:rFonts w:cs="Arial"/>
          <w:szCs w:val="20"/>
        </w:rPr>
        <w:t xml:space="preserve">Charge’ in the table in Annex </w:t>
      </w:r>
      <w:r w:rsidR="004E711C">
        <w:rPr>
          <w:rFonts w:cs="Arial"/>
          <w:szCs w:val="20"/>
        </w:rPr>
        <w:t>7.4</w:t>
      </w:r>
      <w:r w:rsidRPr="000E5786">
        <w:rPr>
          <w:rFonts w:cs="Arial"/>
          <w:szCs w:val="20"/>
        </w:rPr>
        <w:t>B.</w:t>
      </w:r>
    </w:p>
    <w:p w14:paraId="1EC58910" w14:textId="77777777" w:rsidR="004C127E" w:rsidRPr="000E5786" w:rsidRDefault="004C127E" w:rsidP="009D675B">
      <w:pPr>
        <w:pStyle w:val="Heading2"/>
        <w:numPr>
          <w:ilvl w:val="1"/>
          <w:numId w:val="139"/>
        </w:numPr>
        <w:spacing w:after="120"/>
        <w:rPr>
          <w:rFonts w:cs="Arial"/>
          <w:szCs w:val="20"/>
        </w:rPr>
      </w:pPr>
      <w:r w:rsidRPr="000E5786">
        <w:rPr>
          <w:rFonts w:cs="Arial"/>
          <w:szCs w:val="20"/>
        </w:rPr>
        <w:t>Parties agree that:</w:t>
      </w:r>
    </w:p>
    <w:p w14:paraId="151F6B43" w14:textId="050EEE8E" w:rsidR="004C127E" w:rsidRPr="000E5786" w:rsidRDefault="004C127E" w:rsidP="009D675B">
      <w:pPr>
        <w:pStyle w:val="Heading3"/>
        <w:numPr>
          <w:ilvl w:val="2"/>
          <w:numId w:val="139"/>
        </w:numPr>
      </w:pPr>
      <w:r w:rsidRPr="000E5786">
        <w:t xml:space="preserve">the Service Request Fulfilment Time is the total time elapsed from the time the request is assigned to the Supplier team to delivery / completed execution of Service Request used in Schedule 2.2 </w:t>
      </w:r>
      <w:r w:rsidR="00E41B86" w:rsidRPr="000E5786">
        <w:t>(</w:t>
      </w:r>
      <w:r w:rsidRPr="000E5786">
        <w:t>Service Level</w:t>
      </w:r>
      <w:r w:rsidR="00E41B86" w:rsidRPr="000E5786">
        <w:t>s)</w:t>
      </w:r>
      <w:r w:rsidRPr="000E5786">
        <w:t xml:space="preserve"> R-9 Service catalogue fulfilment. Service Request Fulfilment Time is by Service Request Complexity as shown in Table 1. </w:t>
      </w:r>
    </w:p>
    <w:p w14:paraId="7162A368" w14:textId="30AB1711" w:rsidR="004C127E" w:rsidRPr="000E5786" w:rsidRDefault="004C127E" w:rsidP="009D675B">
      <w:pPr>
        <w:pStyle w:val="Heading3"/>
        <w:numPr>
          <w:ilvl w:val="2"/>
          <w:numId w:val="139"/>
        </w:numPr>
      </w:pPr>
      <w:r w:rsidRPr="000E5786">
        <w:t>the Critical Request Fulfilment Time (</w:t>
      </w:r>
      <w:proofErr w:type="gramStart"/>
      <w:r w:rsidRPr="000E5786">
        <w:t>i.e.</w:t>
      </w:r>
      <w:proofErr w:type="gramEnd"/>
      <w:r w:rsidRPr="000E5786">
        <w:t xml:space="preserve"> for Service Requests made by </w:t>
      </w:r>
      <w:proofErr w:type="spellStart"/>
      <w:r w:rsidR="001F1C19">
        <w:t>Netlink</w:t>
      </w:r>
      <w:proofErr w:type="spellEnd"/>
      <w:r w:rsidR="001F1C19">
        <w:t xml:space="preserve"> Star</w:t>
      </w:r>
      <w:r w:rsidRPr="000E5786">
        <w:t xml:space="preserve"> on an urgent basis) is a reduced response time where </w:t>
      </w:r>
      <w:proofErr w:type="spellStart"/>
      <w:r w:rsidR="001F1C19">
        <w:t>Netlink</w:t>
      </w:r>
      <w:proofErr w:type="spellEnd"/>
      <w:r w:rsidR="001F1C19">
        <w:t xml:space="preserve"> Star</w:t>
      </w:r>
      <w:r w:rsidRPr="000E5786">
        <w:t xml:space="preserve"> makes an urgent Service </w:t>
      </w:r>
      <w:r w:rsidR="00E05FA8" w:rsidRPr="000E5786">
        <w:t>Request in</w:t>
      </w:r>
      <w:r w:rsidRPr="000E5786">
        <w:t xml:space="preserve"> the event of a business incident not associated with data centre operations. Only designated Authorised Users can instigate these types of requests. The fulfilment time for these types of Service Requests </w:t>
      </w:r>
      <w:r w:rsidR="00E05FA8" w:rsidRPr="000E5786">
        <w:t>is 4</w:t>
      </w:r>
      <w:r w:rsidRPr="000E5786">
        <w:t xml:space="preserve"> (four) hours as a maximum. </w:t>
      </w:r>
    </w:p>
    <w:tbl>
      <w:tblPr>
        <w:tblStyle w:val="TableGrid0"/>
        <w:tblpPr w:leftFromText="180" w:rightFromText="180" w:vertAnchor="text" w:horzAnchor="margin" w:tblpXSpec="right" w:tblpY="9"/>
        <w:tblW w:w="8221" w:type="dxa"/>
        <w:tblLook w:val="04A0" w:firstRow="1" w:lastRow="0" w:firstColumn="1" w:lastColumn="0" w:noHBand="0" w:noVBand="1"/>
      </w:tblPr>
      <w:tblGrid>
        <w:gridCol w:w="2212"/>
        <w:gridCol w:w="1616"/>
        <w:gridCol w:w="2126"/>
        <w:gridCol w:w="2267"/>
      </w:tblGrid>
      <w:tr w:rsidR="00AC4874" w:rsidRPr="000E5786" w14:paraId="407150A4" w14:textId="77777777" w:rsidTr="00AC4874">
        <w:tc>
          <w:tcPr>
            <w:tcW w:w="2212" w:type="dxa"/>
          </w:tcPr>
          <w:p w14:paraId="7CCB2BB9" w14:textId="77777777" w:rsidR="00AC4874" w:rsidRPr="000E5786" w:rsidRDefault="00AC4874" w:rsidP="00AC4874">
            <w:pPr>
              <w:pStyle w:val="BodyText"/>
              <w:spacing w:after="120"/>
              <w:rPr>
                <w:rFonts w:ascii="Arial" w:hAnsi="Arial" w:cs="Arial"/>
                <w:b/>
                <w:bCs/>
                <w:sz w:val="20"/>
                <w:szCs w:val="20"/>
              </w:rPr>
            </w:pPr>
            <w:r w:rsidRPr="000E5786">
              <w:rPr>
                <w:rFonts w:ascii="Arial" w:hAnsi="Arial" w:cs="Arial"/>
                <w:b/>
                <w:bCs/>
                <w:sz w:val="20"/>
                <w:szCs w:val="20"/>
              </w:rPr>
              <w:t>Service Request Complexity</w:t>
            </w:r>
          </w:p>
        </w:tc>
        <w:tc>
          <w:tcPr>
            <w:tcW w:w="1616" w:type="dxa"/>
          </w:tcPr>
          <w:p w14:paraId="19595E08" w14:textId="77777777" w:rsidR="00AC4874" w:rsidRPr="000E5786" w:rsidRDefault="00AC4874" w:rsidP="00AC4874">
            <w:pPr>
              <w:pStyle w:val="BodyText"/>
              <w:spacing w:after="120"/>
              <w:jc w:val="center"/>
              <w:rPr>
                <w:rFonts w:ascii="Arial" w:hAnsi="Arial" w:cs="Arial"/>
                <w:b/>
                <w:bCs/>
                <w:sz w:val="20"/>
                <w:szCs w:val="20"/>
              </w:rPr>
            </w:pPr>
            <w:r w:rsidRPr="000E5786">
              <w:rPr>
                <w:rFonts w:ascii="Arial" w:hAnsi="Arial" w:cs="Arial"/>
                <w:b/>
                <w:bCs/>
                <w:sz w:val="20"/>
                <w:szCs w:val="20"/>
              </w:rPr>
              <w:t>Simple</w:t>
            </w:r>
          </w:p>
        </w:tc>
        <w:tc>
          <w:tcPr>
            <w:tcW w:w="2126" w:type="dxa"/>
          </w:tcPr>
          <w:p w14:paraId="14791C45" w14:textId="77777777" w:rsidR="00AC4874" w:rsidRPr="000E5786" w:rsidRDefault="00AC4874" w:rsidP="00AC4874">
            <w:pPr>
              <w:pStyle w:val="BodyText"/>
              <w:spacing w:after="120"/>
              <w:jc w:val="center"/>
              <w:rPr>
                <w:rFonts w:ascii="Arial" w:hAnsi="Arial" w:cs="Arial"/>
                <w:b/>
                <w:bCs/>
                <w:sz w:val="20"/>
                <w:szCs w:val="20"/>
              </w:rPr>
            </w:pPr>
            <w:r w:rsidRPr="000E5786">
              <w:rPr>
                <w:rFonts w:ascii="Arial" w:hAnsi="Arial" w:cs="Arial"/>
                <w:b/>
                <w:bCs/>
                <w:sz w:val="20"/>
                <w:szCs w:val="20"/>
              </w:rPr>
              <w:t>Medium</w:t>
            </w:r>
          </w:p>
        </w:tc>
        <w:tc>
          <w:tcPr>
            <w:tcW w:w="2267" w:type="dxa"/>
          </w:tcPr>
          <w:p w14:paraId="053E41DC" w14:textId="77777777" w:rsidR="00AC4874" w:rsidRPr="000E5786" w:rsidRDefault="00AC4874" w:rsidP="00AC4874">
            <w:pPr>
              <w:pStyle w:val="BodyText"/>
              <w:spacing w:after="120"/>
              <w:jc w:val="center"/>
              <w:rPr>
                <w:rFonts w:ascii="Arial" w:hAnsi="Arial" w:cs="Arial"/>
                <w:b/>
                <w:bCs/>
                <w:sz w:val="20"/>
                <w:szCs w:val="20"/>
              </w:rPr>
            </w:pPr>
            <w:r w:rsidRPr="000E5786">
              <w:rPr>
                <w:rFonts w:ascii="Arial" w:hAnsi="Arial" w:cs="Arial"/>
                <w:b/>
                <w:bCs/>
                <w:sz w:val="20"/>
                <w:szCs w:val="20"/>
              </w:rPr>
              <w:t>Complex</w:t>
            </w:r>
          </w:p>
        </w:tc>
      </w:tr>
      <w:tr w:rsidR="00AC4874" w:rsidRPr="000E5786" w14:paraId="6EB162F5" w14:textId="77777777" w:rsidTr="00AC4874">
        <w:tc>
          <w:tcPr>
            <w:tcW w:w="2212" w:type="dxa"/>
          </w:tcPr>
          <w:p w14:paraId="562F7480" w14:textId="77777777" w:rsidR="00AC4874" w:rsidRPr="000E5786" w:rsidRDefault="00AC4874" w:rsidP="00AC4874">
            <w:pPr>
              <w:pStyle w:val="BodyText"/>
              <w:spacing w:after="120"/>
              <w:rPr>
                <w:rFonts w:ascii="Arial" w:hAnsi="Arial" w:cs="Arial"/>
                <w:b/>
                <w:bCs/>
                <w:sz w:val="20"/>
                <w:szCs w:val="20"/>
              </w:rPr>
            </w:pPr>
            <w:r w:rsidRPr="000E5786">
              <w:rPr>
                <w:rFonts w:ascii="Arial" w:hAnsi="Arial" w:cs="Arial"/>
                <w:b/>
                <w:bCs/>
                <w:sz w:val="20"/>
                <w:szCs w:val="20"/>
              </w:rPr>
              <w:t>Service Request Fulfilment Time</w:t>
            </w:r>
          </w:p>
        </w:tc>
        <w:tc>
          <w:tcPr>
            <w:tcW w:w="1616" w:type="dxa"/>
          </w:tcPr>
          <w:p w14:paraId="759532EE" w14:textId="77777777" w:rsidR="00AC4874" w:rsidRPr="000E5786" w:rsidRDefault="00AC4874" w:rsidP="00AC4874">
            <w:pPr>
              <w:pStyle w:val="BodyText"/>
              <w:spacing w:after="120"/>
              <w:jc w:val="center"/>
              <w:rPr>
                <w:rFonts w:ascii="Arial" w:hAnsi="Arial" w:cs="Arial"/>
                <w:sz w:val="20"/>
                <w:szCs w:val="20"/>
              </w:rPr>
            </w:pPr>
            <w:r w:rsidRPr="000E5786">
              <w:rPr>
                <w:rFonts w:ascii="Arial" w:hAnsi="Arial" w:cs="Arial"/>
                <w:sz w:val="20"/>
                <w:szCs w:val="20"/>
              </w:rPr>
              <w:t>&lt; 24 hours</w:t>
            </w:r>
          </w:p>
        </w:tc>
        <w:tc>
          <w:tcPr>
            <w:tcW w:w="2126" w:type="dxa"/>
          </w:tcPr>
          <w:p w14:paraId="77CFCBE5" w14:textId="77777777" w:rsidR="00AC4874" w:rsidRPr="000E5786" w:rsidRDefault="00AC4874" w:rsidP="00AC4874">
            <w:pPr>
              <w:pStyle w:val="BodyText"/>
              <w:spacing w:after="120"/>
              <w:jc w:val="center"/>
              <w:rPr>
                <w:rFonts w:ascii="Arial" w:hAnsi="Arial" w:cs="Arial"/>
                <w:sz w:val="20"/>
                <w:szCs w:val="20"/>
              </w:rPr>
            </w:pPr>
            <w:r w:rsidRPr="000E5786">
              <w:rPr>
                <w:rFonts w:ascii="Arial" w:hAnsi="Arial" w:cs="Arial"/>
                <w:sz w:val="20"/>
                <w:szCs w:val="20"/>
              </w:rPr>
              <w:t>&lt; 5 days</w:t>
            </w:r>
          </w:p>
        </w:tc>
        <w:tc>
          <w:tcPr>
            <w:tcW w:w="2267" w:type="dxa"/>
          </w:tcPr>
          <w:p w14:paraId="79CDFEB5" w14:textId="77777777" w:rsidR="00AC4874" w:rsidRPr="000E5786" w:rsidRDefault="00AC4874" w:rsidP="00AC4874">
            <w:pPr>
              <w:pStyle w:val="BodyText"/>
              <w:spacing w:after="120"/>
              <w:jc w:val="center"/>
              <w:rPr>
                <w:rFonts w:ascii="Arial" w:hAnsi="Arial" w:cs="Arial"/>
                <w:sz w:val="20"/>
                <w:szCs w:val="20"/>
              </w:rPr>
            </w:pPr>
            <w:r w:rsidRPr="000E5786">
              <w:rPr>
                <w:rFonts w:ascii="Arial" w:hAnsi="Arial" w:cs="Arial"/>
                <w:sz w:val="20"/>
                <w:szCs w:val="20"/>
              </w:rPr>
              <w:t>&gt; 5 days and &lt; 15 days</w:t>
            </w:r>
          </w:p>
        </w:tc>
      </w:tr>
    </w:tbl>
    <w:p w14:paraId="0F0A961F" w14:textId="77777777" w:rsidR="00AC4874" w:rsidRPr="000E5786" w:rsidRDefault="00AC4874" w:rsidP="00AC4874">
      <w:pPr>
        <w:pStyle w:val="Level3"/>
        <w:numPr>
          <w:ilvl w:val="0"/>
          <w:numId w:val="0"/>
        </w:numPr>
        <w:spacing w:line="240" w:lineRule="auto"/>
        <w:ind w:left="851"/>
        <w:rPr>
          <w:rStyle w:val="Strong"/>
          <w:rFonts w:ascii="Arial" w:hAnsi="Arial" w:cs="Arial"/>
        </w:rPr>
      </w:pPr>
      <w:r w:rsidRPr="000E5786">
        <w:rPr>
          <w:rStyle w:val="Strong"/>
          <w:rFonts w:ascii="Arial" w:hAnsi="Arial" w:cs="Arial"/>
        </w:rPr>
        <w:t>Table 1: Request Fulfilment Time by Service Request Complexity</w:t>
      </w:r>
    </w:p>
    <w:p w14:paraId="560BBFD3" w14:textId="77777777" w:rsidR="00407A01" w:rsidRPr="000E5786" w:rsidRDefault="00407A01" w:rsidP="002529F3">
      <w:pPr>
        <w:pStyle w:val="Heading3"/>
        <w:numPr>
          <w:ilvl w:val="0"/>
          <w:numId w:val="0"/>
        </w:numPr>
        <w:ind w:left="1702"/>
        <w:rPr>
          <w:rStyle w:val="Strong"/>
          <w:b w:val="0"/>
          <w:bCs/>
        </w:rPr>
      </w:pPr>
    </w:p>
    <w:p w14:paraId="7023C437" w14:textId="77777777" w:rsidR="004C127E" w:rsidRPr="000E5786" w:rsidRDefault="004C127E" w:rsidP="009D675B">
      <w:pPr>
        <w:pStyle w:val="Heading1"/>
        <w:numPr>
          <w:ilvl w:val="0"/>
          <w:numId w:val="139"/>
        </w:numPr>
        <w:spacing w:after="120"/>
        <w:rPr>
          <w:rFonts w:cs="Arial"/>
          <w:szCs w:val="20"/>
        </w:rPr>
      </w:pPr>
      <w:r w:rsidRPr="000E5786">
        <w:rPr>
          <w:rFonts w:cs="Arial"/>
          <w:szCs w:val="20"/>
        </w:rPr>
        <w:t>Maintaining the Product and Service Catalogue</w:t>
      </w:r>
    </w:p>
    <w:p w14:paraId="272B6080" w14:textId="77777777" w:rsidR="004C127E" w:rsidRPr="000E5786" w:rsidRDefault="004C127E" w:rsidP="009D675B">
      <w:pPr>
        <w:pStyle w:val="Heading2"/>
        <w:numPr>
          <w:ilvl w:val="1"/>
          <w:numId w:val="139"/>
        </w:numPr>
        <w:spacing w:after="120"/>
        <w:rPr>
          <w:rFonts w:cs="Arial"/>
          <w:szCs w:val="20"/>
        </w:rPr>
      </w:pPr>
      <w:r w:rsidRPr="000E5786">
        <w:rPr>
          <w:rFonts w:cs="Arial"/>
          <w:szCs w:val="20"/>
        </w:rPr>
        <w:t>The Supplier shall maintain the Product and Service Catalogue throughout the Term and ensure that the Catalogue Items remain relevant and consistent with the nature of Services being delivered.</w:t>
      </w:r>
    </w:p>
    <w:p w14:paraId="4621E558" w14:textId="2EA0B361" w:rsidR="004C127E" w:rsidRPr="000E5786" w:rsidRDefault="001F1C19" w:rsidP="009D675B">
      <w:pPr>
        <w:pStyle w:val="Heading2"/>
        <w:numPr>
          <w:ilvl w:val="1"/>
          <w:numId w:val="139"/>
        </w:numPr>
        <w:spacing w:after="120"/>
        <w:rPr>
          <w:rFonts w:cs="Arial"/>
          <w:szCs w:val="20"/>
        </w:rPr>
      </w:pPr>
      <w:proofErr w:type="spellStart"/>
      <w:r>
        <w:rPr>
          <w:rFonts w:cs="Arial"/>
          <w:szCs w:val="20"/>
        </w:rPr>
        <w:t>Netlink</w:t>
      </w:r>
      <w:proofErr w:type="spellEnd"/>
      <w:r>
        <w:rPr>
          <w:rFonts w:cs="Arial"/>
          <w:szCs w:val="20"/>
        </w:rPr>
        <w:t xml:space="preserve"> Star</w:t>
      </w:r>
      <w:r w:rsidR="004C127E" w:rsidRPr="000E5786">
        <w:rPr>
          <w:rFonts w:cs="Arial"/>
          <w:szCs w:val="20"/>
        </w:rPr>
        <w:t xml:space="preserve"> may request for new services or other items to be added to the Product and Service Catalogue at any time which shall be agreed through the Change Control Procedure.</w:t>
      </w:r>
    </w:p>
    <w:p w14:paraId="1D682874" w14:textId="660E5FA9" w:rsidR="004C127E" w:rsidRPr="000E5786" w:rsidRDefault="004C127E" w:rsidP="009D675B">
      <w:pPr>
        <w:pStyle w:val="Heading2"/>
        <w:numPr>
          <w:ilvl w:val="1"/>
          <w:numId w:val="139"/>
        </w:numPr>
        <w:spacing w:after="120"/>
        <w:rPr>
          <w:rFonts w:cs="Arial"/>
          <w:szCs w:val="20"/>
        </w:rPr>
      </w:pPr>
      <w:r w:rsidRPr="000E5786">
        <w:rPr>
          <w:rFonts w:cs="Arial"/>
          <w:szCs w:val="20"/>
        </w:rPr>
        <w:t xml:space="preserve">Supplier and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will discuss and amend the Service Request Fulfilment Time when achieving the existing fulfilment time becomes impractical due to growth in data volume.</w:t>
      </w:r>
    </w:p>
    <w:p w14:paraId="3FE4A88E" w14:textId="1BCAEDED" w:rsidR="004C127E" w:rsidRPr="000E5786" w:rsidRDefault="004C127E" w:rsidP="009D675B">
      <w:pPr>
        <w:pStyle w:val="Heading2"/>
        <w:numPr>
          <w:ilvl w:val="1"/>
          <w:numId w:val="139"/>
        </w:numPr>
        <w:spacing w:after="120"/>
        <w:rPr>
          <w:rFonts w:cs="Arial"/>
          <w:szCs w:val="20"/>
        </w:rPr>
      </w:pPr>
      <w:r w:rsidRPr="000E5786">
        <w:rPr>
          <w:rFonts w:cs="Arial"/>
          <w:szCs w:val="20"/>
        </w:rPr>
        <w:t xml:space="preserve">The Supplier shall publish the Product and Service Catalogue to all Authorised Users on the occurrence of any amendment to a listed item, </w:t>
      </w:r>
      <w:proofErr w:type="gramStart"/>
      <w:r w:rsidRPr="000E5786">
        <w:rPr>
          <w:rFonts w:cs="Arial"/>
          <w:szCs w:val="20"/>
        </w:rPr>
        <w:t>addition</w:t>
      </w:r>
      <w:proofErr w:type="gramEnd"/>
      <w:r w:rsidRPr="000E5786">
        <w:rPr>
          <w:rFonts w:cs="Arial"/>
          <w:szCs w:val="20"/>
        </w:rPr>
        <w:t xml:space="preserve"> or deletion to the content of the Product and Service Catalogue.</w:t>
      </w:r>
    </w:p>
    <w:p w14:paraId="531662A1" w14:textId="77777777" w:rsidR="00407A01" w:rsidRPr="000E5786" w:rsidRDefault="00407A01" w:rsidP="00407A01">
      <w:pPr>
        <w:pStyle w:val="Heading2"/>
        <w:numPr>
          <w:ilvl w:val="0"/>
          <w:numId w:val="0"/>
        </w:numPr>
        <w:spacing w:after="120"/>
        <w:ind w:left="709"/>
        <w:rPr>
          <w:rFonts w:cs="Arial"/>
          <w:szCs w:val="20"/>
        </w:rPr>
      </w:pPr>
    </w:p>
    <w:p w14:paraId="42233530" w14:textId="77777777" w:rsidR="004C127E" w:rsidRPr="000E5786" w:rsidRDefault="004C127E" w:rsidP="009D675B">
      <w:pPr>
        <w:pStyle w:val="Heading1"/>
        <w:numPr>
          <w:ilvl w:val="0"/>
          <w:numId w:val="139"/>
        </w:numPr>
        <w:spacing w:after="120"/>
        <w:rPr>
          <w:rFonts w:cs="Arial"/>
          <w:szCs w:val="20"/>
        </w:rPr>
      </w:pPr>
      <w:r w:rsidRPr="000E5786">
        <w:rPr>
          <w:rFonts w:cs="Arial"/>
          <w:szCs w:val="20"/>
        </w:rPr>
        <w:t>The Initial Base &amp; Variable Catalogue</w:t>
      </w:r>
    </w:p>
    <w:p w14:paraId="5BBC57F7" w14:textId="4BB5B632" w:rsidR="004C127E" w:rsidRPr="000E5786" w:rsidRDefault="004C127E" w:rsidP="009D675B">
      <w:pPr>
        <w:pStyle w:val="Heading2"/>
        <w:numPr>
          <w:ilvl w:val="1"/>
          <w:numId w:val="139"/>
        </w:numPr>
        <w:spacing w:after="120"/>
        <w:rPr>
          <w:rFonts w:cs="Arial"/>
          <w:szCs w:val="20"/>
        </w:rPr>
      </w:pPr>
      <w:r w:rsidRPr="000E5786">
        <w:rPr>
          <w:rFonts w:cs="Arial"/>
          <w:szCs w:val="20"/>
        </w:rPr>
        <w:t xml:space="preserve">The Catalogue </w:t>
      </w:r>
      <w:r w:rsidR="00476A6C">
        <w:rPr>
          <w:rFonts w:cs="Arial"/>
          <w:szCs w:val="20"/>
        </w:rPr>
        <w:t xml:space="preserve">as </w:t>
      </w:r>
      <w:r w:rsidRPr="000E5786">
        <w:rPr>
          <w:rFonts w:cs="Arial"/>
          <w:szCs w:val="20"/>
        </w:rPr>
        <w:t xml:space="preserve">at </w:t>
      </w:r>
      <w:r w:rsidR="00476A6C">
        <w:rPr>
          <w:rFonts w:cs="Arial"/>
          <w:szCs w:val="20"/>
        </w:rPr>
        <w:t>the Effective Date is as</w:t>
      </w:r>
      <w:r w:rsidRPr="000E5786">
        <w:rPr>
          <w:rFonts w:cs="Arial"/>
          <w:szCs w:val="20"/>
        </w:rPr>
        <w:t xml:space="preserve"> in Annex </w:t>
      </w:r>
      <w:r w:rsidR="004E711C">
        <w:rPr>
          <w:rFonts w:cs="Arial"/>
          <w:szCs w:val="20"/>
        </w:rPr>
        <w:t>7.4</w:t>
      </w:r>
      <w:r w:rsidRPr="000E5786">
        <w:rPr>
          <w:rFonts w:cs="Arial"/>
          <w:szCs w:val="20"/>
        </w:rPr>
        <w:t>B</w:t>
      </w:r>
      <w:r w:rsidR="00D971D1">
        <w:rPr>
          <w:rFonts w:cs="Arial"/>
          <w:szCs w:val="20"/>
        </w:rPr>
        <w:t xml:space="preserve"> and</w:t>
      </w:r>
      <w:r w:rsidRPr="000E5786">
        <w:rPr>
          <w:rFonts w:cs="Arial"/>
          <w:szCs w:val="20"/>
        </w:rPr>
        <w:t xml:space="preserve"> indicates the volume of Service Requests included in the Base Catalogue Charge (“</w:t>
      </w:r>
      <w:r w:rsidRPr="000E5786">
        <w:rPr>
          <w:rFonts w:cs="Arial"/>
          <w:b/>
          <w:bCs w:val="0"/>
          <w:szCs w:val="20"/>
        </w:rPr>
        <w:t>Inclusive Catalogue Items</w:t>
      </w:r>
      <w:r w:rsidRPr="000E5786">
        <w:rPr>
          <w:rFonts w:cs="Arial"/>
          <w:szCs w:val="20"/>
        </w:rPr>
        <w:t>”) provided for no charge.</w:t>
      </w:r>
      <w:r w:rsidR="00163F08">
        <w:rPr>
          <w:rFonts w:cs="Arial"/>
          <w:szCs w:val="20"/>
        </w:rPr>
        <w:t xml:space="preserve"> </w:t>
      </w:r>
      <w:r w:rsidR="00163F08">
        <w:t xml:space="preserve">The table in Annex 7.4A indicates the Supplier’s Catalogue </w:t>
      </w:r>
      <w:proofErr w:type="gramStart"/>
      <w:r w:rsidR="00163F08">
        <w:t>charges</w:t>
      </w:r>
      <w:proofErr w:type="gramEnd"/>
    </w:p>
    <w:p w14:paraId="63877D4A" w14:textId="61B8A9D8" w:rsidR="004C127E" w:rsidRPr="000E5786" w:rsidRDefault="004C127E" w:rsidP="009D675B">
      <w:pPr>
        <w:pStyle w:val="Heading2"/>
        <w:numPr>
          <w:ilvl w:val="1"/>
          <w:numId w:val="139"/>
        </w:numPr>
        <w:spacing w:after="120"/>
        <w:rPr>
          <w:rFonts w:cs="Arial"/>
          <w:szCs w:val="20"/>
        </w:rPr>
      </w:pPr>
      <w:r w:rsidRPr="000E5786">
        <w:rPr>
          <w:rFonts w:cs="Arial"/>
          <w:szCs w:val="20"/>
        </w:rPr>
        <w:t xml:space="preserve">The table also indicates the volume of requests above which the Supplier may recover costs through the Variable Catalogue Charges, based on the actual additional volume of such services consumed in the month and according to the ‘additional request charge’ in the table in Annex </w:t>
      </w:r>
      <w:r w:rsidR="004E711C">
        <w:rPr>
          <w:rFonts w:cs="Arial"/>
          <w:szCs w:val="20"/>
        </w:rPr>
        <w:t>7.4</w:t>
      </w:r>
      <w:r w:rsidRPr="000E5786">
        <w:rPr>
          <w:rFonts w:cs="Arial"/>
          <w:szCs w:val="20"/>
        </w:rPr>
        <w:t>B.</w:t>
      </w:r>
    </w:p>
    <w:p w14:paraId="5FDE6290" w14:textId="77777777" w:rsidR="004C127E" w:rsidRPr="000E5786" w:rsidRDefault="004C127E" w:rsidP="009D675B">
      <w:pPr>
        <w:pStyle w:val="Heading2"/>
        <w:numPr>
          <w:ilvl w:val="1"/>
          <w:numId w:val="139"/>
        </w:numPr>
        <w:spacing w:after="120"/>
        <w:rPr>
          <w:rFonts w:cs="Arial"/>
          <w:szCs w:val="20"/>
        </w:rPr>
      </w:pPr>
      <w:r w:rsidRPr="000E5786">
        <w:rPr>
          <w:rFonts w:cs="Arial"/>
          <w:szCs w:val="20"/>
        </w:rPr>
        <w:t xml:space="preserve">Where the Supplier </w:t>
      </w:r>
      <w:proofErr w:type="gramStart"/>
      <w:r w:rsidRPr="000E5786">
        <w:rPr>
          <w:rFonts w:cs="Arial"/>
          <w:szCs w:val="20"/>
        </w:rPr>
        <w:t>is able to</w:t>
      </w:r>
      <w:proofErr w:type="gramEnd"/>
      <w:r w:rsidRPr="000E5786">
        <w:rPr>
          <w:rFonts w:cs="Arial"/>
          <w:szCs w:val="20"/>
        </w:rPr>
        <w:t xml:space="preserve"> establish that a specific instance of a Project is repeatable, then it shall be added as a new Service Request in the Base &amp; Variable Catalogue.</w:t>
      </w:r>
    </w:p>
    <w:p w14:paraId="7178109E" w14:textId="77777777" w:rsidR="004C127E" w:rsidRPr="002529F3" w:rsidRDefault="004C127E" w:rsidP="009D675B">
      <w:pPr>
        <w:pStyle w:val="Heading2"/>
        <w:numPr>
          <w:ilvl w:val="1"/>
          <w:numId w:val="139"/>
        </w:numPr>
        <w:spacing w:after="120"/>
        <w:rPr>
          <w:rFonts w:cs="Arial"/>
          <w:szCs w:val="20"/>
        </w:rPr>
      </w:pPr>
      <w:r w:rsidRPr="002529F3">
        <w:rPr>
          <w:rFonts w:cs="Arial"/>
          <w:szCs w:val="20"/>
        </w:rPr>
        <w:t>Additions to the Base &amp; Variable Catalogue will be made through the Change Control Procedure as a Minor and Non-Technical Change Request.</w:t>
      </w:r>
    </w:p>
    <w:p w14:paraId="2622633A" w14:textId="599EBF80" w:rsidR="004C127E" w:rsidRPr="000E5786" w:rsidRDefault="004C127E" w:rsidP="009D675B">
      <w:pPr>
        <w:pStyle w:val="Heading2"/>
        <w:numPr>
          <w:ilvl w:val="1"/>
          <w:numId w:val="139"/>
        </w:numPr>
        <w:spacing w:after="120"/>
        <w:rPr>
          <w:rFonts w:cs="Arial"/>
          <w:szCs w:val="20"/>
        </w:rPr>
      </w:pPr>
      <w:r w:rsidRPr="000E5786">
        <w:rPr>
          <w:rFonts w:cs="Arial"/>
          <w:szCs w:val="20"/>
        </w:rPr>
        <w:t>All prices are in UK Sterling.</w:t>
      </w:r>
      <w:r w:rsidR="00163F08">
        <w:rPr>
          <w:rFonts w:cs="Arial"/>
          <w:szCs w:val="20"/>
        </w:rPr>
        <w:t xml:space="preserve"> </w:t>
      </w:r>
    </w:p>
    <w:p w14:paraId="10457C38" w14:textId="77777777" w:rsidR="004C127E" w:rsidRPr="000E5786" w:rsidRDefault="004C127E" w:rsidP="00DD60F0">
      <w:pPr>
        <w:rPr>
          <w:rFonts w:cs="Arial"/>
          <w:bCs/>
          <w:szCs w:val="20"/>
        </w:rPr>
      </w:pPr>
      <w:r w:rsidRPr="000E5786">
        <w:rPr>
          <w:rFonts w:cs="Arial"/>
          <w:bCs/>
          <w:szCs w:val="20"/>
        </w:rPr>
        <w:br w:type="page"/>
      </w:r>
    </w:p>
    <w:tbl>
      <w:tblPr>
        <w:tblStyle w:val="TableGrid0"/>
        <w:tblW w:w="6374" w:type="dxa"/>
        <w:tblInd w:w="1327" w:type="dxa"/>
        <w:tblLook w:val="04A0" w:firstRow="1" w:lastRow="0" w:firstColumn="1" w:lastColumn="0" w:noHBand="0" w:noVBand="1"/>
      </w:tblPr>
      <w:tblGrid>
        <w:gridCol w:w="4815"/>
        <w:gridCol w:w="1559"/>
      </w:tblGrid>
      <w:tr w:rsidR="00815AC2" w14:paraId="1277E4A3" w14:textId="77777777" w:rsidTr="00815AC2">
        <w:trPr>
          <w:trHeight w:val="243"/>
          <w:tblHeader/>
        </w:trPr>
        <w:tc>
          <w:tcPr>
            <w:tcW w:w="4815" w:type="dxa"/>
            <w:tcBorders>
              <w:top w:val="single" w:sz="4" w:space="0" w:color="auto"/>
              <w:left w:val="single" w:sz="4" w:space="0" w:color="auto"/>
              <w:bottom w:val="single" w:sz="4" w:space="0" w:color="auto"/>
              <w:right w:val="single" w:sz="4" w:space="0" w:color="auto"/>
            </w:tcBorders>
            <w:noWrap/>
            <w:hideMark/>
          </w:tcPr>
          <w:p w14:paraId="3FCF0093" w14:textId="77777777" w:rsidR="00815AC2" w:rsidRDefault="00815AC2">
            <w:pPr>
              <w:rPr>
                <w:rFonts w:ascii="Arial" w:hAnsi="Arial" w:cs="Arial"/>
                <w:b/>
                <w:bCs/>
                <w:sz w:val="20"/>
                <w:szCs w:val="20"/>
              </w:rPr>
            </w:pPr>
            <w:r>
              <w:rPr>
                <w:rFonts w:ascii="Arial" w:hAnsi="Arial" w:cs="Arial"/>
                <w:b/>
                <w:bCs/>
                <w:sz w:val="20"/>
                <w:szCs w:val="20"/>
              </w:rPr>
              <w:lastRenderedPageBreak/>
              <w:t>Catalogue Item</w:t>
            </w:r>
          </w:p>
        </w:tc>
        <w:tc>
          <w:tcPr>
            <w:tcW w:w="1559" w:type="dxa"/>
            <w:tcBorders>
              <w:top w:val="single" w:sz="4" w:space="0" w:color="auto"/>
              <w:left w:val="single" w:sz="4" w:space="0" w:color="auto"/>
              <w:bottom w:val="single" w:sz="4" w:space="0" w:color="auto"/>
              <w:right w:val="single" w:sz="4" w:space="0" w:color="auto"/>
            </w:tcBorders>
            <w:hideMark/>
          </w:tcPr>
          <w:p w14:paraId="0355ED29" w14:textId="77777777" w:rsidR="00815AC2" w:rsidRDefault="00815AC2">
            <w:pPr>
              <w:rPr>
                <w:rFonts w:ascii="Arial" w:hAnsi="Arial" w:cs="Arial"/>
                <w:b/>
                <w:bCs/>
                <w:sz w:val="20"/>
                <w:szCs w:val="20"/>
              </w:rPr>
            </w:pPr>
            <w:r>
              <w:rPr>
                <w:rFonts w:ascii="Arial" w:hAnsi="Arial" w:cs="Arial"/>
                <w:b/>
                <w:bCs/>
                <w:sz w:val="20"/>
                <w:szCs w:val="20"/>
              </w:rPr>
              <w:t>Unit Price</w:t>
            </w:r>
          </w:p>
        </w:tc>
      </w:tr>
      <w:tr w:rsidR="00815AC2" w14:paraId="1952E20E" w14:textId="77777777" w:rsidTr="00815AC2">
        <w:trPr>
          <w:trHeight w:val="288"/>
        </w:trPr>
        <w:tc>
          <w:tcPr>
            <w:tcW w:w="6374" w:type="dxa"/>
            <w:gridSpan w:val="2"/>
            <w:tcBorders>
              <w:top w:val="single" w:sz="4" w:space="0" w:color="auto"/>
              <w:left w:val="single" w:sz="4" w:space="0" w:color="auto"/>
              <w:bottom w:val="single" w:sz="4" w:space="0" w:color="auto"/>
              <w:right w:val="single" w:sz="4" w:space="0" w:color="auto"/>
            </w:tcBorders>
            <w:hideMark/>
          </w:tcPr>
          <w:p w14:paraId="1C8AF12C" w14:textId="77777777" w:rsidR="00815AC2" w:rsidRDefault="00815AC2">
            <w:pPr>
              <w:rPr>
                <w:rFonts w:ascii="Arial" w:hAnsi="Arial" w:cs="Arial"/>
                <w:b/>
                <w:bCs/>
                <w:sz w:val="20"/>
                <w:szCs w:val="20"/>
              </w:rPr>
            </w:pPr>
            <w:r>
              <w:rPr>
                <w:rFonts w:ascii="Arial" w:hAnsi="Arial" w:cs="Arial"/>
                <w:b/>
                <w:bCs/>
                <w:sz w:val="20"/>
                <w:szCs w:val="20"/>
              </w:rPr>
              <w:t>Virtual Server: </w:t>
            </w:r>
          </w:p>
        </w:tc>
      </w:tr>
      <w:tr w:rsidR="00815AC2" w14:paraId="2551BFDC" w14:textId="77777777" w:rsidTr="00815AC2">
        <w:trPr>
          <w:trHeight w:val="288"/>
        </w:trPr>
        <w:tc>
          <w:tcPr>
            <w:tcW w:w="4815" w:type="dxa"/>
            <w:tcBorders>
              <w:top w:val="single" w:sz="4" w:space="0" w:color="auto"/>
              <w:left w:val="single" w:sz="4" w:space="0" w:color="auto"/>
              <w:bottom w:val="single" w:sz="4" w:space="0" w:color="auto"/>
              <w:right w:val="single" w:sz="4" w:space="0" w:color="auto"/>
            </w:tcBorders>
            <w:hideMark/>
          </w:tcPr>
          <w:p w14:paraId="1BB6E7FD" w14:textId="77777777" w:rsidR="00815AC2" w:rsidRDefault="00815AC2">
            <w:pPr>
              <w:rPr>
                <w:rFonts w:ascii="Arial" w:hAnsi="Arial" w:cs="Arial"/>
                <w:sz w:val="20"/>
                <w:szCs w:val="20"/>
              </w:rPr>
            </w:pPr>
            <w:r>
              <w:rPr>
                <w:rFonts w:ascii="Arial" w:hAnsi="Arial" w:cs="Arial"/>
                <w:sz w:val="20"/>
                <w:szCs w:val="20"/>
              </w:rPr>
              <w:t>Windows 2012 (Large)</w:t>
            </w:r>
          </w:p>
        </w:tc>
        <w:tc>
          <w:tcPr>
            <w:tcW w:w="1559" w:type="dxa"/>
            <w:tcBorders>
              <w:top w:val="single" w:sz="4" w:space="0" w:color="auto"/>
              <w:left w:val="single" w:sz="4" w:space="0" w:color="auto"/>
              <w:bottom w:val="single" w:sz="4" w:space="0" w:color="auto"/>
              <w:right w:val="single" w:sz="4" w:space="0" w:color="auto"/>
            </w:tcBorders>
            <w:hideMark/>
          </w:tcPr>
          <w:p w14:paraId="52EE9187" w14:textId="77777777" w:rsidR="00815AC2" w:rsidRDefault="00815AC2">
            <w:pPr>
              <w:rPr>
                <w:rFonts w:ascii="Arial" w:hAnsi="Arial" w:cs="Arial"/>
                <w:sz w:val="20"/>
                <w:szCs w:val="20"/>
              </w:rPr>
            </w:pPr>
            <w:r>
              <w:rPr>
                <w:rFonts w:ascii="Arial" w:hAnsi="Arial" w:cs="Arial"/>
                <w:sz w:val="20"/>
                <w:szCs w:val="20"/>
              </w:rPr>
              <w:t>13.35</w:t>
            </w:r>
          </w:p>
        </w:tc>
      </w:tr>
      <w:tr w:rsidR="00815AC2" w14:paraId="7C781F89" w14:textId="77777777" w:rsidTr="00815AC2">
        <w:trPr>
          <w:trHeight w:val="288"/>
        </w:trPr>
        <w:tc>
          <w:tcPr>
            <w:tcW w:w="4815" w:type="dxa"/>
            <w:tcBorders>
              <w:top w:val="single" w:sz="4" w:space="0" w:color="auto"/>
              <w:left w:val="single" w:sz="4" w:space="0" w:color="auto"/>
              <w:bottom w:val="single" w:sz="4" w:space="0" w:color="auto"/>
              <w:right w:val="single" w:sz="4" w:space="0" w:color="auto"/>
            </w:tcBorders>
            <w:hideMark/>
          </w:tcPr>
          <w:p w14:paraId="4C3A3044" w14:textId="77777777" w:rsidR="00815AC2" w:rsidRDefault="00815AC2">
            <w:pPr>
              <w:rPr>
                <w:rFonts w:ascii="Arial" w:hAnsi="Arial" w:cs="Arial"/>
                <w:sz w:val="20"/>
                <w:szCs w:val="20"/>
              </w:rPr>
            </w:pPr>
            <w:r>
              <w:rPr>
                <w:rFonts w:ascii="Arial" w:hAnsi="Arial" w:cs="Arial"/>
                <w:sz w:val="20"/>
                <w:szCs w:val="20"/>
              </w:rPr>
              <w:t>Windows 2016 (Large)</w:t>
            </w:r>
          </w:p>
        </w:tc>
        <w:tc>
          <w:tcPr>
            <w:tcW w:w="1559" w:type="dxa"/>
            <w:tcBorders>
              <w:top w:val="single" w:sz="4" w:space="0" w:color="auto"/>
              <w:left w:val="single" w:sz="4" w:space="0" w:color="auto"/>
              <w:bottom w:val="single" w:sz="4" w:space="0" w:color="auto"/>
              <w:right w:val="single" w:sz="4" w:space="0" w:color="auto"/>
            </w:tcBorders>
            <w:hideMark/>
          </w:tcPr>
          <w:p w14:paraId="6F5A7645" w14:textId="77777777" w:rsidR="00815AC2" w:rsidRDefault="00815AC2">
            <w:pPr>
              <w:rPr>
                <w:rFonts w:ascii="Arial" w:hAnsi="Arial" w:cs="Arial"/>
                <w:sz w:val="20"/>
                <w:szCs w:val="20"/>
              </w:rPr>
            </w:pPr>
            <w:r>
              <w:rPr>
                <w:rFonts w:ascii="Arial" w:hAnsi="Arial" w:cs="Arial"/>
                <w:sz w:val="20"/>
                <w:szCs w:val="20"/>
              </w:rPr>
              <w:t>13.35</w:t>
            </w:r>
          </w:p>
        </w:tc>
      </w:tr>
      <w:tr w:rsidR="00815AC2" w14:paraId="03D99CE9" w14:textId="77777777" w:rsidTr="00815AC2">
        <w:trPr>
          <w:trHeight w:val="288"/>
        </w:trPr>
        <w:tc>
          <w:tcPr>
            <w:tcW w:w="4815" w:type="dxa"/>
            <w:tcBorders>
              <w:top w:val="single" w:sz="4" w:space="0" w:color="auto"/>
              <w:left w:val="single" w:sz="4" w:space="0" w:color="auto"/>
              <w:bottom w:val="single" w:sz="4" w:space="0" w:color="auto"/>
              <w:right w:val="single" w:sz="4" w:space="0" w:color="auto"/>
            </w:tcBorders>
            <w:hideMark/>
          </w:tcPr>
          <w:p w14:paraId="275ECF52" w14:textId="77777777" w:rsidR="00815AC2" w:rsidRDefault="00815AC2">
            <w:pPr>
              <w:rPr>
                <w:rFonts w:ascii="Arial" w:hAnsi="Arial" w:cs="Arial"/>
                <w:sz w:val="20"/>
                <w:szCs w:val="20"/>
              </w:rPr>
            </w:pPr>
            <w:r>
              <w:rPr>
                <w:rFonts w:ascii="Arial" w:hAnsi="Arial" w:cs="Arial"/>
                <w:sz w:val="20"/>
                <w:szCs w:val="20"/>
              </w:rPr>
              <w:t>Windows 2019 (Large)</w:t>
            </w:r>
          </w:p>
        </w:tc>
        <w:tc>
          <w:tcPr>
            <w:tcW w:w="1559" w:type="dxa"/>
            <w:tcBorders>
              <w:top w:val="single" w:sz="4" w:space="0" w:color="auto"/>
              <w:left w:val="single" w:sz="4" w:space="0" w:color="auto"/>
              <w:bottom w:val="single" w:sz="4" w:space="0" w:color="auto"/>
              <w:right w:val="single" w:sz="4" w:space="0" w:color="auto"/>
            </w:tcBorders>
            <w:hideMark/>
          </w:tcPr>
          <w:p w14:paraId="7B443CB3" w14:textId="77777777" w:rsidR="00815AC2" w:rsidRDefault="00815AC2">
            <w:pPr>
              <w:rPr>
                <w:rFonts w:ascii="Arial" w:hAnsi="Arial" w:cs="Arial"/>
                <w:sz w:val="20"/>
                <w:szCs w:val="20"/>
              </w:rPr>
            </w:pPr>
            <w:r>
              <w:rPr>
                <w:rFonts w:ascii="Arial" w:hAnsi="Arial" w:cs="Arial"/>
                <w:sz w:val="20"/>
                <w:szCs w:val="20"/>
              </w:rPr>
              <w:t>13.35</w:t>
            </w:r>
          </w:p>
        </w:tc>
      </w:tr>
      <w:tr w:rsidR="00815AC2" w14:paraId="0936B978" w14:textId="77777777" w:rsidTr="00815AC2">
        <w:trPr>
          <w:trHeight w:val="288"/>
        </w:trPr>
        <w:tc>
          <w:tcPr>
            <w:tcW w:w="4815" w:type="dxa"/>
            <w:tcBorders>
              <w:top w:val="single" w:sz="4" w:space="0" w:color="auto"/>
              <w:left w:val="single" w:sz="4" w:space="0" w:color="auto"/>
              <w:bottom w:val="single" w:sz="4" w:space="0" w:color="auto"/>
              <w:right w:val="single" w:sz="4" w:space="0" w:color="auto"/>
            </w:tcBorders>
            <w:hideMark/>
          </w:tcPr>
          <w:p w14:paraId="4E65501D" w14:textId="77777777" w:rsidR="00815AC2" w:rsidRDefault="00815AC2">
            <w:pPr>
              <w:rPr>
                <w:rFonts w:ascii="Arial" w:hAnsi="Arial" w:cs="Arial"/>
                <w:sz w:val="20"/>
                <w:szCs w:val="20"/>
              </w:rPr>
            </w:pPr>
            <w:r>
              <w:rPr>
                <w:rFonts w:ascii="Arial" w:hAnsi="Arial" w:cs="Arial"/>
                <w:sz w:val="20"/>
                <w:szCs w:val="20"/>
              </w:rPr>
              <w:t>Red hat Linux 7.5 (Large)</w:t>
            </w:r>
          </w:p>
        </w:tc>
        <w:tc>
          <w:tcPr>
            <w:tcW w:w="1559" w:type="dxa"/>
            <w:tcBorders>
              <w:top w:val="single" w:sz="4" w:space="0" w:color="auto"/>
              <w:left w:val="single" w:sz="4" w:space="0" w:color="auto"/>
              <w:bottom w:val="single" w:sz="4" w:space="0" w:color="auto"/>
              <w:right w:val="single" w:sz="4" w:space="0" w:color="auto"/>
            </w:tcBorders>
            <w:hideMark/>
          </w:tcPr>
          <w:p w14:paraId="1FBF4E97" w14:textId="77777777" w:rsidR="00815AC2" w:rsidRDefault="00815AC2">
            <w:pPr>
              <w:rPr>
                <w:rFonts w:ascii="Arial" w:hAnsi="Arial" w:cs="Arial"/>
                <w:sz w:val="20"/>
                <w:szCs w:val="20"/>
              </w:rPr>
            </w:pPr>
            <w:r>
              <w:rPr>
                <w:rFonts w:ascii="Arial" w:hAnsi="Arial" w:cs="Arial"/>
                <w:sz w:val="20"/>
                <w:szCs w:val="20"/>
              </w:rPr>
              <w:t>6.47</w:t>
            </w:r>
          </w:p>
        </w:tc>
      </w:tr>
      <w:tr w:rsidR="00815AC2" w14:paraId="33974038" w14:textId="77777777" w:rsidTr="00815AC2">
        <w:trPr>
          <w:trHeight w:val="288"/>
        </w:trPr>
        <w:tc>
          <w:tcPr>
            <w:tcW w:w="4815" w:type="dxa"/>
            <w:tcBorders>
              <w:top w:val="single" w:sz="4" w:space="0" w:color="auto"/>
              <w:left w:val="single" w:sz="4" w:space="0" w:color="auto"/>
              <w:bottom w:val="single" w:sz="4" w:space="0" w:color="auto"/>
              <w:right w:val="single" w:sz="4" w:space="0" w:color="auto"/>
            </w:tcBorders>
            <w:hideMark/>
          </w:tcPr>
          <w:p w14:paraId="1375F66E" w14:textId="77777777" w:rsidR="00815AC2" w:rsidRDefault="00815AC2">
            <w:pPr>
              <w:rPr>
                <w:rFonts w:ascii="Arial" w:hAnsi="Arial" w:cs="Arial"/>
                <w:sz w:val="20"/>
                <w:szCs w:val="20"/>
              </w:rPr>
            </w:pPr>
            <w:r>
              <w:rPr>
                <w:rFonts w:ascii="Arial" w:hAnsi="Arial" w:cs="Arial"/>
                <w:sz w:val="20"/>
                <w:szCs w:val="20"/>
              </w:rPr>
              <w:t>Windows 2012 (Medium)</w:t>
            </w:r>
          </w:p>
        </w:tc>
        <w:tc>
          <w:tcPr>
            <w:tcW w:w="1559" w:type="dxa"/>
            <w:tcBorders>
              <w:top w:val="single" w:sz="4" w:space="0" w:color="auto"/>
              <w:left w:val="single" w:sz="4" w:space="0" w:color="auto"/>
              <w:bottom w:val="single" w:sz="4" w:space="0" w:color="auto"/>
              <w:right w:val="single" w:sz="4" w:space="0" w:color="auto"/>
            </w:tcBorders>
            <w:hideMark/>
          </w:tcPr>
          <w:p w14:paraId="2F7B9887" w14:textId="77777777" w:rsidR="00815AC2" w:rsidRDefault="00815AC2">
            <w:pPr>
              <w:rPr>
                <w:rFonts w:ascii="Arial" w:hAnsi="Arial" w:cs="Arial"/>
                <w:sz w:val="20"/>
                <w:szCs w:val="20"/>
              </w:rPr>
            </w:pPr>
            <w:r>
              <w:rPr>
                <w:rFonts w:ascii="Arial" w:hAnsi="Arial" w:cs="Arial"/>
                <w:sz w:val="20"/>
                <w:szCs w:val="20"/>
              </w:rPr>
              <w:t>13.35</w:t>
            </w:r>
          </w:p>
        </w:tc>
      </w:tr>
      <w:tr w:rsidR="00815AC2" w14:paraId="551759BF" w14:textId="77777777" w:rsidTr="00815AC2">
        <w:trPr>
          <w:trHeight w:val="288"/>
        </w:trPr>
        <w:tc>
          <w:tcPr>
            <w:tcW w:w="4815" w:type="dxa"/>
            <w:tcBorders>
              <w:top w:val="single" w:sz="4" w:space="0" w:color="auto"/>
              <w:left w:val="single" w:sz="4" w:space="0" w:color="auto"/>
              <w:bottom w:val="single" w:sz="4" w:space="0" w:color="auto"/>
              <w:right w:val="single" w:sz="4" w:space="0" w:color="auto"/>
            </w:tcBorders>
            <w:hideMark/>
          </w:tcPr>
          <w:p w14:paraId="4C8781A1" w14:textId="77777777" w:rsidR="00815AC2" w:rsidRDefault="00815AC2">
            <w:pPr>
              <w:rPr>
                <w:rFonts w:ascii="Arial" w:hAnsi="Arial" w:cs="Arial"/>
                <w:sz w:val="20"/>
                <w:szCs w:val="20"/>
              </w:rPr>
            </w:pPr>
            <w:r>
              <w:rPr>
                <w:rFonts w:ascii="Arial" w:hAnsi="Arial" w:cs="Arial"/>
                <w:sz w:val="20"/>
                <w:szCs w:val="20"/>
              </w:rPr>
              <w:t>Windows 2016 (Medium)</w:t>
            </w:r>
          </w:p>
        </w:tc>
        <w:tc>
          <w:tcPr>
            <w:tcW w:w="1559" w:type="dxa"/>
            <w:tcBorders>
              <w:top w:val="single" w:sz="4" w:space="0" w:color="auto"/>
              <w:left w:val="single" w:sz="4" w:space="0" w:color="auto"/>
              <w:bottom w:val="single" w:sz="4" w:space="0" w:color="auto"/>
              <w:right w:val="single" w:sz="4" w:space="0" w:color="auto"/>
            </w:tcBorders>
            <w:hideMark/>
          </w:tcPr>
          <w:p w14:paraId="0584DCCD" w14:textId="77777777" w:rsidR="00815AC2" w:rsidRDefault="00815AC2">
            <w:pPr>
              <w:rPr>
                <w:rFonts w:ascii="Arial" w:hAnsi="Arial" w:cs="Arial"/>
                <w:sz w:val="20"/>
                <w:szCs w:val="20"/>
              </w:rPr>
            </w:pPr>
            <w:r>
              <w:rPr>
                <w:rFonts w:ascii="Arial" w:hAnsi="Arial" w:cs="Arial"/>
                <w:sz w:val="20"/>
                <w:szCs w:val="20"/>
              </w:rPr>
              <w:t>13.35</w:t>
            </w:r>
          </w:p>
        </w:tc>
      </w:tr>
      <w:tr w:rsidR="00815AC2" w14:paraId="6CC85049" w14:textId="77777777" w:rsidTr="00815AC2">
        <w:trPr>
          <w:trHeight w:val="288"/>
        </w:trPr>
        <w:tc>
          <w:tcPr>
            <w:tcW w:w="4815" w:type="dxa"/>
            <w:tcBorders>
              <w:top w:val="single" w:sz="4" w:space="0" w:color="auto"/>
              <w:left w:val="single" w:sz="4" w:space="0" w:color="auto"/>
              <w:bottom w:val="single" w:sz="4" w:space="0" w:color="auto"/>
              <w:right w:val="single" w:sz="4" w:space="0" w:color="auto"/>
            </w:tcBorders>
            <w:hideMark/>
          </w:tcPr>
          <w:p w14:paraId="7BDAD3D8" w14:textId="77777777" w:rsidR="00815AC2" w:rsidRDefault="00815AC2">
            <w:pPr>
              <w:rPr>
                <w:rFonts w:ascii="Arial" w:hAnsi="Arial" w:cs="Arial"/>
                <w:sz w:val="20"/>
                <w:szCs w:val="20"/>
              </w:rPr>
            </w:pPr>
            <w:r>
              <w:rPr>
                <w:rFonts w:ascii="Arial" w:hAnsi="Arial" w:cs="Arial"/>
                <w:sz w:val="20"/>
                <w:szCs w:val="20"/>
              </w:rPr>
              <w:t>Windows 2019 (Medium)</w:t>
            </w:r>
          </w:p>
        </w:tc>
        <w:tc>
          <w:tcPr>
            <w:tcW w:w="1559" w:type="dxa"/>
            <w:tcBorders>
              <w:top w:val="single" w:sz="4" w:space="0" w:color="auto"/>
              <w:left w:val="single" w:sz="4" w:space="0" w:color="auto"/>
              <w:bottom w:val="single" w:sz="4" w:space="0" w:color="auto"/>
              <w:right w:val="single" w:sz="4" w:space="0" w:color="auto"/>
            </w:tcBorders>
            <w:hideMark/>
          </w:tcPr>
          <w:p w14:paraId="14FDEF0C" w14:textId="77777777" w:rsidR="00815AC2" w:rsidRDefault="00815AC2">
            <w:pPr>
              <w:rPr>
                <w:rFonts w:ascii="Arial" w:hAnsi="Arial" w:cs="Arial"/>
                <w:sz w:val="20"/>
                <w:szCs w:val="20"/>
              </w:rPr>
            </w:pPr>
            <w:r>
              <w:rPr>
                <w:rFonts w:ascii="Arial" w:hAnsi="Arial" w:cs="Arial"/>
                <w:sz w:val="20"/>
                <w:szCs w:val="20"/>
              </w:rPr>
              <w:t>13.35</w:t>
            </w:r>
          </w:p>
        </w:tc>
      </w:tr>
      <w:tr w:rsidR="00815AC2" w14:paraId="550D62E3" w14:textId="77777777" w:rsidTr="00815AC2">
        <w:trPr>
          <w:trHeight w:val="288"/>
        </w:trPr>
        <w:tc>
          <w:tcPr>
            <w:tcW w:w="4815" w:type="dxa"/>
            <w:tcBorders>
              <w:top w:val="single" w:sz="4" w:space="0" w:color="auto"/>
              <w:left w:val="single" w:sz="4" w:space="0" w:color="auto"/>
              <w:bottom w:val="single" w:sz="4" w:space="0" w:color="auto"/>
              <w:right w:val="single" w:sz="4" w:space="0" w:color="auto"/>
            </w:tcBorders>
            <w:hideMark/>
          </w:tcPr>
          <w:p w14:paraId="5BBCF1CF" w14:textId="77777777" w:rsidR="00815AC2" w:rsidRDefault="00815AC2">
            <w:pPr>
              <w:rPr>
                <w:rFonts w:ascii="Arial" w:hAnsi="Arial" w:cs="Arial"/>
                <w:sz w:val="20"/>
                <w:szCs w:val="20"/>
              </w:rPr>
            </w:pPr>
            <w:r>
              <w:rPr>
                <w:rFonts w:ascii="Arial" w:hAnsi="Arial" w:cs="Arial"/>
                <w:sz w:val="20"/>
                <w:szCs w:val="20"/>
              </w:rPr>
              <w:t>Red hat Linux 7.5 (Medium)</w:t>
            </w:r>
          </w:p>
        </w:tc>
        <w:tc>
          <w:tcPr>
            <w:tcW w:w="1559" w:type="dxa"/>
            <w:tcBorders>
              <w:top w:val="single" w:sz="4" w:space="0" w:color="auto"/>
              <w:left w:val="single" w:sz="4" w:space="0" w:color="auto"/>
              <w:bottom w:val="single" w:sz="4" w:space="0" w:color="auto"/>
              <w:right w:val="single" w:sz="4" w:space="0" w:color="auto"/>
            </w:tcBorders>
            <w:hideMark/>
          </w:tcPr>
          <w:p w14:paraId="7A95849D" w14:textId="77777777" w:rsidR="00815AC2" w:rsidRDefault="00815AC2">
            <w:pPr>
              <w:rPr>
                <w:rFonts w:ascii="Arial" w:hAnsi="Arial" w:cs="Arial"/>
                <w:sz w:val="20"/>
                <w:szCs w:val="20"/>
              </w:rPr>
            </w:pPr>
            <w:r>
              <w:rPr>
                <w:rFonts w:ascii="Arial" w:hAnsi="Arial" w:cs="Arial"/>
                <w:sz w:val="20"/>
                <w:szCs w:val="20"/>
              </w:rPr>
              <w:t>6.47</w:t>
            </w:r>
          </w:p>
        </w:tc>
      </w:tr>
      <w:tr w:rsidR="00815AC2" w14:paraId="23AA4DD3" w14:textId="77777777" w:rsidTr="00815AC2">
        <w:trPr>
          <w:trHeight w:val="288"/>
        </w:trPr>
        <w:tc>
          <w:tcPr>
            <w:tcW w:w="4815" w:type="dxa"/>
            <w:tcBorders>
              <w:top w:val="single" w:sz="4" w:space="0" w:color="auto"/>
              <w:left w:val="single" w:sz="4" w:space="0" w:color="auto"/>
              <w:bottom w:val="single" w:sz="4" w:space="0" w:color="auto"/>
              <w:right w:val="single" w:sz="4" w:space="0" w:color="auto"/>
            </w:tcBorders>
            <w:hideMark/>
          </w:tcPr>
          <w:p w14:paraId="7D976F02" w14:textId="77777777" w:rsidR="00815AC2" w:rsidRDefault="00815AC2">
            <w:pPr>
              <w:rPr>
                <w:rFonts w:ascii="Arial" w:hAnsi="Arial" w:cs="Arial"/>
                <w:sz w:val="20"/>
                <w:szCs w:val="20"/>
              </w:rPr>
            </w:pPr>
            <w:r>
              <w:rPr>
                <w:rFonts w:ascii="Arial" w:hAnsi="Arial" w:cs="Arial"/>
                <w:sz w:val="20"/>
                <w:szCs w:val="20"/>
              </w:rPr>
              <w:t>Windows 2012 (Small)</w:t>
            </w:r>
          </w:p>
        </w:tc>
        <w:tc>
          <w:tcPr>
            <w:tcW w:w="1559" w:type="dxa"/>
            <w:tcBorders>
              <w:top w:val="single" w:sz="4" w:space="0" w:color="auto"/>
              <w:left w:val="single" w:sz="4" w:space="0" w:color="auto"/>
              <w:bottom w:val="single" w:sz="4" w:space="0" w:color="auto"/>
              <w:right w:val="single" w:sz="4" w:space="0" w:color="auto"/>
            </w:tcBorders>
            <w:hideMark/>
          </w:tcPr>
          <w:p w14:paraId="358AAA0C" w14:textId="77777777" w:rsidR="00815AC2" w:rsidRDefault="00815AC2">
            <w:pPr>
              <w:rPr>
                <w:rFonts w:ascii="Arial" w:hAnsi="Arial" w:cs="Arial"/>
                <w:sz w:val="20"/>
                <w:szCs w:val="20"/>
              </w:rPr>
            </w:pPr>
            <w:r>
              <w:rPr>
                <w:rFonts w:ascii="Arial" w:hAnsi="Arial" w:cs="Arial"/>
                <w:sz w:val="20"/>
                <w:szCs w:val="20"/>
              </w:rPr>
              <w:t>13.35</w:t>
            </w:r>
          </w:p>
        </w:tc>
      </w:tr>
      <w:tr w:rsidR="00815AC2" w14:paraId="6703D538" w14:textId="77777777" w:rsidTr="00815AC2">
        <w:trPr>
          <w:trHeight w:val="288"/>
        </w:trPr>
        <w:tc>
          <w:tcPr>
            <w:tcW w:w="4815" w:type="dxa"/>
            <w:tcBorders>
              <w:top w:val="single" w:sz="4" w:space="0" w:color="auto"/>
              <w:left w:val="single" w:sz="4" w:space="0" w:color="auto"/>
              <w:bottom w:val="single" w:sz="4" w:space="0" w:color="auto"/>
              <w:right w:val="single" w:sz="4" w:space="0" w:color="auto"/>
            </w:tcBorders>
            <w:hideMark/>
          </w:tcPr>
          <w:p w14:paraId="57786BB9" w14:textId="77777777" w:rsidR="00815AC2" w:rsidRDefault="00815AC2">
            <w:pPr>
              <w:rPr>
                <w:rFonts w:ascii="Arial" w:hAnsi="Arial" w:cs="Arial"/>
                <w:sz w:val="20"/>
                <w:szCs w:val="20"/>
              </w:rPr>
            </w:pPr>
            <w:r>
              <w:rPr>
                <w:rFonts w:ascii="Arial" w:hAnsi="Arial" w:cs="Arial"/>
                <w:sz w:val="20"/>
                <w:szCs w:val="20"/>
              </w:rPr>
              <w:t>Windows 2016 (Small)</w:t>
            </w:r>
          </w:p>
        </w:tc>
        <w:tc>
          <w:tcPr>
            <w:tcW w:w="1559" w:type="dxa"/>
            <w:tcBorders>
              <w:top w:val="single" w:sz="4" w:space="0" w:color="auto"/>
              <w:left w:val="single" w:sz="4" w:space="0" w:color="auto"/>
              <w:bottom w:val="single" w:sz="4" w:space="0" w:color="auto"/>
              <w:right w:val="single" w:sz="4" w:space="0" w:color="auto"/>
            </w:tcBorders>
            <w:hideMark/>
          </w:tcPr>
          <w:p w14:paraId="41C96A67" w14:textId="77777777" w:rsidR="00815AC2" w:rsidRDefault="00815AC2">
            <w:pPr>
              <w:rPr>
                <w:rFonts w:ascii="Arial" w:hAnsi="Arial" w:cs="Arial"/>
                <w:sz w:val="20"/>
                <w:szCs w:val="20"/>
              </w:rPr>
            </w:pPr>
            <w:r>
              <w:rPr>
                <w:rFonts w:ascii="Arial" w:hAnsi="Arial" w:cs="Arial"/>
                <w:sz w:val="20"/>
                <w:szCs w:val="20"/>
              </w:rPr>
              <w:t>13.35</w:t>
            </w:r>
          </w:p>
        </w:tc>
      </w:tr>
      <w:tr w:rsidR="00815AC2" w14:paraId="26176EDC" w14:textId="77777777" w:rsidTr="00815AC2">
        <w:trPr>
          <w:trHeight w:val="288"/>
        </w:trPr>
        <w:tc>
          <w:tcPr>
            <w:tcW w:w="4815" w:type="dxa"/>
            <w:tcBorders>
              <w:top w:val="single" w:sz="4" w:space="0" w:color="auto"/>
              <w:left w:val="single" w:sz="4" w:space="0" w:color="auto"/>
              <w:bottom w:val="single" w:sz="4" w:space="0" w:color="auto"/>
              <w:right w:val="single" w:sz="4" w:space="0" w:color="auto"/>
            </w:tcBorders>
            <w:hideMark/>
          </w:tcPr>
          <w:p w14:paraId="1917C373" w14:textId="77777777" w:rsidR="00815AC2" w:rsidRDefault="00815AC2">
            <w:pPr>
              <w:rPr>
                <w:rFonts w:ascii="Arial" w:hAnsi="Arial" w:cs="Arial"/>
                <w:sz w:val="20"/>
                <w:szCs w:val="20"/>
              </w:rPr>
            </w:pPr>
            <w:r>
              <w:rPr>
                <w:rFonts w:ascii="Arial" w:hAnsi="Arial" w:cs="Arial"/>
                <w:sz w:val="20"/>
                <w:szCs w:val="20"/>
              </w:rPr>
              <w:t>Windows 2019 (Small)</w:t>
            </w:r>
          </w:p>
        </w:tc>
        <w:tc>
          <w:tcPr>
            <w:tcW w:w="1559" w:type="dxa"/>
            <w:tcBorders>
              <w:top w:val="single" w:sz="4" w:space="0" w:color="auto"/>
              <w:left w:val="single" w:sz="4" w:space="0" w:color="auto"/>
              <w:bottom w:val="single" w:sz="4" w:space="0" w:color="auto"/>
              <w:right w:val="single" w:sz="4" w:space="0" w:color="auto"/>
            </w:tcBorders>
            <w:hideMark/>
          </w:tcPr>
          <w:p w14:paraId="3FB1E127" w14:textId="77777777" w:rsidR="00815AC2" w:rsidRDefault="00815AC2">
            <w:pPr>
              <w:rPr>
                <w:rFonts w:ascii="Arial" w:hAnsi="Arial" w:cs="Arial"/>
                <w:sz w:val="20"/>
                <w:szCs w:val="20"/>
              </w:rPr>
            </w:pPr>
            <w:r>
              <w:rPr>
                <w:rFonts w:ascii="Arial" w:hAnsi="Arial" w:cs="Arial"/>
                <w:sz w:val="20"/>
                <w:szCs w:val="20"/>
              </w:rPr>
              <w:t>13.35</w:t>
            </w:r>
          </w:p>
        </w:tc>
      </w:tr>
      <w:tr w:rsidR="00815AC2" w14:paraId="7369564E"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6C04B1A8" w14:textId="77777777" w:rsidR="00815AC2" w:rsidRDefault="00815AC2">
            <w:pPr>
              <w:rPr>
                <w:rFonts w:ascii="Arial" w:hAnsi="Arial" w:cs="Arial"/>
                <w:sz w:val="20"/>
                <w:szCs w:val="20"/>
              </w:rPr>
            </w:pPr>
            <w:r>
              <w:rPr>
                <w:rFonts w:ascii="Arial" w:hAnsi="Arial" w:cs="Arial"/>
                <w:sz w:val="20"/>
                <w:szCs w:val="20"/>
              </w:rPr>
              <w:t>Red hat Linux 7.5 (Small)</w:t>
            </w:r>
          </w:p>
        </w:tc>
        <w:tc>
          <w:tcPr>
            <w:tcW w:w="1559" w:type="dxa"/>
            <w:tcBorders>
              <w:top w:val="single" w:sz="4" w:space="0" w:color="auto"/>
              <w:left w:val="single" w:sz="4" w:space="0" w:color="auto"/>
              <w:bottom w:val="single" w:sz="4" w:space="0" w:color="auto"/>
              <w:right w:val="single" w:sz="4" w:space="0" w:color="auto"/>
            </w:tcBorders>
            <w:hideMark/>
          </w:tcPr>
          <w:p w14:paraId="0B205BAB" w14:textId="77777777" w:rsidR="00815AC2" w:rsidRDefault="00815AC2">
            <w:pPr>
              <w:rPr>
                <w:rFonts w:ascii="Arial" w:hAnsi="Arial" w:cs="Arial"/>
                <w:sz w:val="20"/>
                <w:szCs w:val="20"/>
              </w:rPr>
            </w:pPr>
            <w:r>
              <w:rPr>
                <w:rFonts w:ascii="Arial" w:hAnsi="Arial" w:cs="Arial"/>
                <w:sz w:val="20"/>
                <w:szCs w:val="20"/>
              </w:rPr>
              <w:t>6.47</w:t>
            </w:r>
          </w:p>
        </w:tc>
      </w:tr>
      <w:tr w:rsidR="00815AC2" w14:paraId="29691616" w14:textId="77777777" w:rsidTr="00815AC2">
        <w:trPr>
          <w:trHeight w:val="324"/>
        </w:trPr>
        <w:tc>
          <w:tcPr>
            <w:tcW w:w="6374" w:type="dxa"/>
            <w:gridSpan w:val="2"/>
            <w:tcBorders>
              <w:top w:val="single" w:sz="4" w:space="0" w:color="auto"/>
              <w:left w:val="single" w:sz="4" w:space="0" w:color="auto"/>
              <w:bottom w:val="single" w:sz="4" w:space="0" w:color="auto"/>
              <w:right w:val="single" w:sz="4" w:space="0" w:color="auto"/>
            </w:tcBorders>
            <w:noWrap/>
            <w:hideMark/>
          </w:tcPr>
          <w:p w14:paraId="2B20EE77" w14:textId="77777777" w:rsidR="00815AC2" w:rsidRDefault="00815AC2">
            <w:pPr>
              <w:rPr>
                <w:rFonts w:ascii="Arial" w:hAnsi="Arial" w:cs="Arial"/>
                <w:b/>
                <w:bCs/>
                <w:sz w:val="20"/>
                <w:szCs w:val="20"/>
              </w:rPr>
            </w:pPr>
            <w:r>
              <w:rPr>
                <w:rFonts w:ascii="Arial" w:hAnsi="Arial" w:cs="Arial"/>
                <w:b/>
                <w:bCs/>
                <w:sz w:val="20"/>
                <w:szCs w:val="20"/>
              </w:rPr>
              <w:t>Physical Server: </w:t>
            </w:r>
          </w:p>
        </w:tc>
      </w:tr>
      <w:tr w:rsidR="00815AC2" w14:paraId="1C685C67" w14:textId="77777777" w:rsidTr="00815AC2">
        <w:trPr>
          <w:trHeight w:val="312"/>
        </w:trPr>
        <w:tc>
          <w:tcPr>
            <w:tcW w:w="4815" w:type="dxa"/>
            <w:tcBorders>
              <w:top w:val="single" w:sz="4" w:space="0" w:color="auto"/>
              <w:left w:val="single" w:sz="4" w:space="0" w:color="auto"/>
              <w:bottom w:val="single" w:sz="4" w:space="0" w:color="auto"/>
              <w:right w:val="single" w:sz="4" w:space="0" w:color="auto"/>
            </w:tcBorders>
            <w:hideMark/>
          </w:tcPr>
          <w:p w14:paraId="3F810F14" w14:textId="77777777" w:rsidR="00815AC2" w:rsidRDefault="00815AC2">
            <w:pPr>
              <w:rPr>
                <w:rFonts w:ascii="Arial" w:hAnsi="Arial" w:cs="Arial"/>
                <w:sz w:val="20"/>
                <w:szCs w:val="20"/>
              </w:rPr>
            </w:pPr>
            <w:r>
              <w:rPr>
                <w:rFonts w:ascii="Arial" w:hAnsi="Arial" w:cs="Arial"/>
                <w:sz w:val="20"/>
                <w:szCs w:val="20"/>
              </w:rPr>
              <w:t>Windows 2012 (Large)</w:t>
            </w:r>
          </w:p>
        </w:tc>
        <w:tc>
          <w:tcPr>
            <w:tcW w:w="1559" w:type="dxa"/>
            <w:tcBorders>
              <w:top w:val="single" w:sz="4" w:space="0" w:color="auto"/>
              <w:left w:val="single" w:sz="4" w:space="0" w:color="auto"/>
              <w:bottom w:val="single" w:sz="4" w:space="0" w:color="auto"/>
              <w:right w:val="single" w:sz="4" w:space="0" w:color="auto"/>
            </w:tcBorders>
            <w:hideMark/>
          </w:tcPr>
          <w:p w14:paraId="552C37DF" w14:textId="77777777" w:rsidR="00815AC2" w:rsidRDefault="00815AC2">
            <w:pPr>
              <w:rPr>
                <w:rFonts w:ascii="Arial" w:hAnsi="Arial" w:cs="Arial"/>
                <w:sz w:val="20"/>
                <w:szCs w:val="20"/>
              </w:rPr>
            </w:pPr>
            <w:r>
              <w:rPr>
                <w:rFonts w:ascii="Arial" w:hAnsi="Arial" w:cs="Arial"/>
                <w:sz w:val="20"/>
                <w:szCs w:val="20"/>
              </w:rPr>
              <w:t>13.35</w:t>
            </w:r>
          </w:p>
        </w:tc>
      </w:tr>
      <w:tr w:rsidR="00815AC2" w14:paraId="175A281D"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6AAD8E97" w14:textId="77777777" w:rsidR="00815AC2" w:rsidRDefault="00815AC2">
            <w:pPr>
              <w:rPr>
                <w:rFonts w:ascii="Arial" w:hAnsi="Arial" w:cs="Arial"/>
                <w:sz w:val="20"/>
                <w:szCs w:val="20"/>
              </w:rPr>
            </w:pPr>
            <w:r>
              <w:rPr>
                <w:rFonts w:ascii="Arial" w:hAnsi="Arial" w:cs="Arial"/>
                <w:sz w:val="20"/>
                <w:szCs w:val="20"/>
              </w:rPr>
              <w:t>Windows 2016 (Large)</w:t>
            </w:r>
          </w:p>
        </w:tc>
        <w:tc>
          <w:tcPr>
            <w:tcW w:w="1559" w:type="dxa"/>
            <w:tcBorders>
              <w:top w:val="single" w:sz="4" w:space="0" w:color="auto"/>
              <w:left w:val="single" w:sz="4" w:space="0" w:color="auto"/>
              <w:bottom w:val="single" w:sz="4" w:space="0" w:color="auto"/>
              <w:right w:val="single" w:sz="4" w:space="0" w:color="auto"/>
            </w:tcBorders>
            <w:hideMark/>
          </w:tcPr>
          <w:p w14:paraId="1F443962" w14:textId="77777777" w:rsidR="00815AC2" w:rsidRDefault="00815AC2">
            <w:pPr>
              <w:rPr>
                <w:rFonts w:ascii="Arial" w:hAnsi="Arial" w:cs="Arial"/>
                <w:sz w:val="20"/>
                <w:szCs w:val="20"/>
              </w:rPr>
            </w:pPr>
            <w:r>
              <w:rPr>
                <w:rFonts w:ascii="Arial" w:hAnsi="Arial" w:cs="Arial"/>
                <w:sz w:val="20"/>
                <w:szCs w:val="20"/>
              </w:rPr>
              <w:t>13.35</w:t>
            </w:r>
          </w:p>
        </w:tc>
      </w:tr>
      <w:tr w:rsidR="00815AC2" w14:paraId="38065F75"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78C1AD42" w14:textId="77777777" w:rsidR="00815AC2" w:rsidRDefault="00815AC2">
            <w:pPr>
              <w:rPr>
                <w:rFonts w:ascii="Arial" w:hAnsi="Arial" w:cs="Arial"/>
                <w:sz w:val="20"/>
                <w:szCs w:val="20"/>
              </w:rPr>
            </w:pPr>
            <w:r>
              <w:rPr>
                <w:rFonts w:ascii="Arial" w:hAnsi="Arial" w:cs="Arial"/>
                <w:sz w:val="20"/>
                <w:szCs w:val="20"/>
              </w:rPr>
              <w:t>Windows 2019 (Large)</w:t>
            </w:r>
          </w:p>
        </w:tc>
        <w:tc>
          <w:tcPr>
            <w:tcW w:w="1559" w:type="dxa"/>
            <w:tcBorders>
              <w:top w:val="single" w:sz="4" w:space="0" w:color="auto"/>
              <w:left w:val="single" w:sz="4" w:space="0" w:color="auto"/>
              <w:bottom w:val="single" w:sz="4" w:space="0" w:color="auto"/>
              <w:right w:val="single" w:sz="4" w:space="0" w:color="auto"/>
            </w:tcBorders>
            <w:hideMark/>
          </w:tcPr>
          <w:p w14:paraId="3920BD2E" w14:textId="77777777" w:rsidR="00815AC2" w:rsidRDefault="00815AC2">
            <w:pPr>
              <w:rPr>
                <w:rFonts w:ascii="Arial" w:hAnsi="Arial" w:cs="Arial"/>
                <w:sz w:val="20"/>
                <w:szCs w:val="20"/>
              </w:rPr>
            </w:pPr>
            <w:r>
              <w:rPr>
                <w:rFonts w:ascii="Arial" w:hAnsi="Arial" w:cs="Arial"/>
                <w:sz w:val="20"/>
                <w:szCs w:val="20"/>
              </w:rPr>
              <w:t>13.35</w:t>
            </w:r>
          </w:p>
        </w:tc>
      </w:tr>
      <w:tr w:rsidR="00815AC2" w14:paraId="00389376"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6788EBDC" w14:textId="77777777" w:rsidR="00815AC2" w:rsidRDefault="00815AC2">
            <w:pPr>
              <w:rPr>
                <w:rFonts w:ascii="Arial" w:hAnsi="Arial" w:cs="Arial"/>
                <w:sz w:val="20"/>
                <w:szCs w:val="20"/>
              </w:rPr>
            </w:pPr>
            <w:r>
              <w:rPr>
                <w:rFonts w:ascii="Arial" w:hAnsi="Arial" w:cs="Arial"/>
                <w:sz w:val="20"/>
                <w:szCs w:val="20"/>
              </w:rPr>
              <w:t>Red hat Linux 7.5 (Large)</w:t>
            </w:r>
          </w:p>
        </w:tc>
        <w:tc>
          <w:tcPr>
            <w:tcW w:w="1559" w:type="dxa"/>
            <w:tcBorders>
              <w:top w:val="single" w:sz="4" w:space="0" w:color="auto"/>
              <w:left w:val="single" w:sz="4" w:space="0" w:color="auto"/>
              <w:bottom w:val="single" w:sz="4" w:space="0" w:color="auto"/>
              <w:right w:val="single" w:sz="4" w:space="0" w:color="auto"/>
            </w:tcBorders>
            <w:hideMark/>
          </w:tcPr>
          <w:p w14:paraId="0ACD4765" w14:textId="77777777" w:rsidR="00815AC2" w:rsidRDefault="00815AC2">
            <w:pPr>
              <w:rPr>
                <w:rFonts w:ascii="Arial" w:hAnsi="Arial" w:cs="Arial"/>
                <w:sz w:val="20"/>
                <w:szCs w:val="20"/>
              </w:rPr>
            </w:pPr>
            <w:r>
              <w:rPr>
                <w:rFonts w:ascii="Arial" w:hAnsi="Arial" w:cs="Arial"/>
                <w:sz w:val="20"/>
                <w:szCs w:val="20"/>
              </w:rPr>
              <w:t>6.47</w:t>
            </w:r>
          </w:p>
        </w:tc>
      </w:tr>
      <w:tr w:rsidR="00815AC2" w14:paraId="1415B2B4" w14:textId="77777777" w:rsidTr="00815AC2">
        <w:trPr>
          <w:trHeight w:val="312"/>
        </w:trPr>
        <w:tc>
          <w:tcPr>
            <w:tcW w:w="4815" w:type="dxa"/>
            <w:tcBorders>
              <w:top w:val="single" w:sz="4" w:space="0" w:color="auto"/>
              <w:left w:val="single" w:sz="4" w:space="0" w:color="auto"/>
              <w:bottom w:val="single" w:sz="4" w:space="0" w:color="auto"/>
              <w:right w:val="single" w:sz="4" w:space="0" w:color="auto"/>
            </w:tcBorders>
            <w:hideMark/>
          </w:tcPr>
          <w:p w14:paraId="157DB7F6" w14:textId="77777777" w:rsidR="00815AC2" w:rsidRDefault="00815AC2">
            <w:pPr>
              <w:rPr>
                <w:rFonts w:ascii="Arial" w:hAnsi="Arial" w:cs="Arial"/>
                <w:sz w:val="20"/>
                <w:szCs w:val="20"/>
              </w:rPr>
            </w:pPr>
            <w:r>
              <w:rPr>
                <w:rFonts w:ascii="Arial" w:hAnsi="Arial" w:cs="Arial"/>
                <w:sz w:val="20"/>
                <w:szCs w:val="20"/>
              </w:rPr>
              <w:t>Windows 2012 (Medium)</w:t>
            </w:r>
          </w:p>
        </w:tc>
        <w:tc>
          <w:tcPr>
            <w:tcW w:w="1559" w:type="dxa"/>
            <w:tcBorders>
              <w:top w:val="single" w:sz="4" w:space="0" w:color="auto"/>
              <w:left w:val="single" w:sz="4" w:space="0" w:color="auto"/>
              <w:bottom w:val="single" w:sz="4" w:space="0" w:color="auto"/>
              <w:right w:val="single" w:sz="4" w:space="0" w:color="auto"/>
            </w:tcBorders>
            <w:hideMark/>
          </w:tcPr>
          <w:p w14:paraId="130724A6" w14:textId="77777777" w:rsidR="00815AC2" w:rsidRDefault="00815AC2">
            <w:pPr>
              <w:rPr>
                <w:rFonts w:ascii="Arial" w:hAnsi="Arial" w:cs="Arial"/>
                <w:sz w:val="20"/>
                <w:szCs w:val="20"/>
              </w:rPr>
            </w:pPr>
            <w:r>
              <w:rPr>
                <w:rFonts w:ascii="Arial" w:hAnsi="Arial" w:cs="Arial"/>
                <w:sz w:val="20"/>
                <w:szCs w:val="20"/>
              </w:rPr>
              <w:t>13.35</w:t>
            </w:r>
          </w:p>
        </w:tc>
      </w:tr>
      <w:tr w:rsidR="00815AC2" w14:paraId="10386C15"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1F756A7B" w14:textId="77777777" w:rsidR="00815AC2" w:rsidRDefault="00815AC2">
            <w:pPr>
              <w:rPr>
                <w:rFonts w:ascii="Arial" w:hAnsi="Arial" w:cs="Arial"/>
                <w:sz w:val="20"/>
                <w:szCs w:val="20"/>
              </w:rPr>
            </w:pPr>
            <w:r>
              <w:rPr>
                <w:rFonts w:ascii="Arial" w:hAnsi="Arial" w:cs="Arial"/>
                <w:sz w:val="20"/>
                <w:szCs w:val="20"/>
              </w:rPr>
              <w:t>Windows 2016 (Medium)</w:t>
            </w:r>
          </w:p>
        </w:tc>
        <w:tc>
          <w:tcPr>
            <w:tcW w:w="1559" w:type="dxa"/>
            <w:tcBorders>
              <w:top w:val="single" w:sz="4" w:space="0" w:color="auto"/>
              <w:left w:val="single" w:sz="4" w:space="0" w:color="auto"/>
              <w:bottom w:val="single" w:sz="4" w:space="0" w:color="auto"/>
              <w:right w:val="single" w:sz="4" w:space="0" w:color="auto"/>
            </w:tcBorders>
            <w:hideMark/>
          </w:tcPr>
          <w:p w14:paraId="7682BA77" w14:textId="77777777" w:rsidR="00815AC2" w:rsidRDefault="00815AC2">
            <w:pPr>
              <w:rPr>
                <w:rFonts w:ascii="Arial" w:hAnsi="Arial" w:cs="Arial"/>
                <w:sz w:val="20"/>
                <w:szCs w:val="20"/>
              </w:rPr>
            </w:pPr>
            <w:r>
              <w:rPr>
                <w:rFonts w:ascii="Arial" w:hAnsi="Arial" w:cs="Arial"/>
                <w:sz w:val="20"/>
                <w:szCs w:val="20"/>
              </w:rPr>
              <w:t>13.35</w:t>
            </w:r>
          </w:p>
        </w:tc>
      </w:tr>
      <w:tr w:rsidR="00815AC2" w14:paraId="6754CF3A"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5F97170D" w14:textId="77777777" w:rsidR="00815AC2" w:rsidRDefault="00815AC2">
            <w:pPr>
              <w:rPr>
                <w:rFonts w:ascii="Arial" w:hAnsi="Arial" w:cs="Arial"/>
                <w:sz w:val="20"/>
                <w:szCs w:val="20"/>
              </w:rPr>
            </w:pPr>
            <w:r>
              <w:rPr>
                <w:rFonts w:ascii="Arial" w:hAnsi="Arial" w:cs="Arial"/>
                <w:sz w:val="20"/>
                <w:szCs w:val="20"/>
              </w:rPr>
              <w:t>Windows 2019 (Medium)</w:t>
            </w:r>
          </w:p>
        </w:tc>
        <w:tc>
          <w:tcPr>
            <w:tcW w:w="1559" w:type="dxa"/>
            <w:tcBorders>
              <w:top w:val="single" w:sz="4" w:space="0" w:color="auto"/>
              <w:left w:val="single" w:sz="4" w:space="0" w:color="auto"/>
              <w:bottom w:val="single" w:sz="4" w:space="0" w:color="auto"/>
              <w:right w:val="single" w:sz="4" w:space="0" w:color="auto"/>
            </w:tcBorders>
            <w:hideMark/>
          </w:tcPr>
          <w:p w14:paraId="425C3B1E" w14:textId="77777777" w:rsidR="00815AC2" w:rsidRDefault="00815AC2">
            <w:pPr>
              <w:rPr>
                <w:rFonts w:ascii="Arial" w:hAnsi="Arial" w:cs="Arial"/>
                <w:sz w:val="20"/>
                <w:szCs w:val="20"/>
              </w:rPr>
            </w:pPr>
            <w:r>
              <w:rPr>
                <w:rFonts w:ascii="Arial" w:hAnsi="Arial" w:cs="Arial"/>
                <w:sz w:val="20"/>
                <w:szCs w:val="20"/>
              </w:rPr>
              <w:t>13.35</w:t>
            </w:r>
          </w:p>
        </w:tc>
      </w:tr>
      <w:tr w:rsidR="00815AC2" w14:paraId="5D771E91"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3B9EE266" w14:textId="77777777" w:rsidR="00815AC2" w:rsidRDefault="00815AC2">
            <w:pPr>
              <w:rPr>
                <w:rFonts w:ascii="Arial" w:hAnsi="Arial" w:cs="Arial"/>
                <w:sz w:val="20"/>
                <w:szCs w:val="20"/>
              </w:rPr>
            </w:pPr>
            <w:r>
              <w:rPr>
                <w:rFonts w:ascii="Arial" w:hAnsi="Arial" w:cs="Arial"/>
                <w:sz w:val="20"/>
                <w:szCs w:val="20"/>
              </w:rPr>
              <w:t>Red hat Linux 7.5 (Medium)</w:t>
            </w:r>
          </w:p>
        </w:tc>
        <w:tc>
          <w:tcPr>
            <w:tcW w:w="1559" w:type="dxa"/>
            <w:tcBorders>
              <w:top w:val="single" w:sz="4" w:space="0" w:color="auto"/>
              <w:left w:val="single" w:sz="4" w:space="0" w:color="auto"/>
              <w:bottom w:val="single" w:sz="4" w:space="0" w:color="auto"/>
              <w:right w:val="single" w:sz="4" w:space="0" w:color="auto"/>
            </w:tcBorders>
            <w:hideMark/>
          </w:tcPr>
          <w:p w14:paraId="59604655" w14:textId="77777777" w:rsidR="00815AC2" w:rsidRDefault="00815AC2">
            <w:pPr>
              <w:rPr>
                <w:rFonts w:ascii="Arial" w:hAnsi="Arial" w:cs="Arial"/>
                <w:sz w:val="20"/>
                <w:szCs w:val="20"/>
              </w:rPr>
            </w:pPr>
            <w:r>
              <w:rPr>
                <w:rFonts w:ascii="Arial" w:hAnsi="Arial" w:cs="Arial"/>
                <w:sz w:val="20"/>
                <w:szCs w:val="20"/>
              </w:rPr>
              <w:t>6.47</w:t>
            </w:r>
          </w:p>
        </w:tc>
      </w:tr>
      <w:tr w:rsidR="00815AC2" w14:paraId="1AB02927" w14:textId="77777777" w:rsidTr="00815AC2">
        <w:trPr>
          <w:trHeight w:val="312"/>
        </w:trPr>
        <w:tc>
          <w:tcPr>
            <w:tcW w:w="4815" w:type="dxa"/>
            <w:tcBorders>
              <w:top w:val="single" w:sz="4" w:space="0" w:color="auto"/>
              <w:left w:val="single" w:sz="4" w:space="0" w:color="auto"/>
              <w:bottom w:val="single" w:sz="4" w:space="0" w:color="auto"/>
              <w:right w:val="single" w:sz="4" w:space="0" w:color="auto"/>
            </w:tcBorders>
            <w:hideMark/>
          </w:tcPr>
          <w:p w14:paraId="3DDC8BE6" w14:textId="77777777" w:rsidR="00815AC2" w:rsidRDefault="00815AC2">
            <w:pPr>
              <w:rPr>
                <w:rFonts w:ascii="Arial" w:hAnsi="Arial" w:cs="Arial"/>
                <w:sz w:val="20"/>
                <w:szCs w:val="20"/>
              </w:rPr>
            </w:pPr>
            <w:r>
              <w:rPr>
                <w:rFonts w:ascii="Arial" w:hAnsi="Arial" w:cs="Arial"/>
                <w:sz w:val="20"/>
                <w:szCs w:val="20"/>
              </w:rPr>
              <w:t>Windows 2012 (Small)</w:t>
            </w:r>
          </w:p>
        </w:tc>
        <w:tc>
          <w:tcPr>
            <w:tcW w:w="1559" w:type="dxa"/>
            <w:tcBorders>
              <w:top w:val="single" w:sz="4" w:space="0" w:color="auto"/>
              <w:left w:val="single" w:sz="4" w:space="0" w:color="auto"/>
              <w:bottom w:val="single" w:sz="4" w:space="0" w:color="auto"/>
              <w:right w:val="single" w:sz="4" w:space="0" w:color="auto"/>
            </w:tcBorders>
            <w:hideMark/>
          </w:tcPr>
          <w:p w14:paraId="50EFCD9F" w14:textId="77777777" w:rsidR="00815AC2" w:rsidRDefault="00815AC2">
            <w:pPr>
              <w:rPr>
                <w:rFonts w:ascii="Arial" w:hAnsi="Arial" w:cs="Arial"/>
                <w:sz w:val="20"/>
                <w:szCs w:val="20"/>
              </w:rPr>
            </w:pPr>
            <w:r>
              <w:rPr>
                <w:rFonts w:ascii="Arial" w:hAnsi="Arial" w:cs="Arial"/>
                <w:sz w:val="20"/>
                <w:szCs w:val="20"/>
              </w:rPr>
              <w:t>13.35</w:t>
            </w:r>
          </w:p>
        </w:tc>
      </w:tr>
      <w:tr w:rsidR="00815AC2" w14:paraId="72D6F393" w14:textId="77777777" w:rsidTr="00815AC2">
        <w:trPr>
          <w:trHeight w:val="280"/>
        </w:trPr>
        <w:tc>
          <w:tcPr>
            <w:tcW w:w="4815" w:type="dxa"/>
            <w:tcBorders>
              <w:top w:val="single" w:sz="4" w:space="0" w:color="auto"/>
              <w:left w:val="single" w:sz="4" w:space="0" w:color="auto"/>
              <w:bottom w:val="single" w:sz="4" w:space="0" w:color="auto"/>
              <w:right w:val="single" w:sz="4" w:space="0" w:color="auto"/>
            </w:tcBorders>
            <w:hideMark/>
          </w:tcPr>
          <w:p w14:paraId="73276F38" w14:textId="77777777" w:rsidR="00815AC2" w:rsidRDefault="00815AC2">
            <w:pPr>
              <w:rPr>
                <w:rFonts w:ascii="Arial" w:hAnsi="Arial" w:cs="Arial"/>
                <w:sz w:val="20"/>
                <w:szCs w:val="20"/>
              </w:rPr>
            </w:pPr>
            <w:r>
              <w:rPr>
                <w:rFonts w:ascii="Arial" w:hAnsi="Arial" w:cs="Arial"/>
                <w:sz w:val="20"/>
                <w:szCs w:val="20"/>
              </w:rPr>
              <w:t>Windows 2016 (Small)</w:t>
            </w:r>
          </w:p>
        </w:tc>
        <w:tc>
          <w:tcPr>
            <w:tcW w:w="1559" w:type="dxa"/>
            <w:tcBorders>
              <w:top w:val="single" w:sz="4" w:space="0" w:color="auto"/>
              <w:left w:val="single" w:sz="4" w:space="0" w:color="auto"/>
              <w:bottom w:val="single" w:sz="4" w:space="0" w:color="auto"/>
              <w:right w:val="single" w:sz="4" w:space="0" w:color="auto"/>
            </w:tcBorders>
            <w:hideMark/>
          </w:tcPr>
          <w:p w14:paraId="4AE29E12" w14:textId="77777777" w:rsidR="00815AC2" w:rsidRDefault="00815AC2">
            <w:pPr>
              <w:rPr>
                <w:rFonts w:ascii="Arial" w:hAnsi="Arial" w:cs="Arial"/>
                <w:sz w:val="20"/>
                <w:szCs w:val="20"/>
              </w:rPr>
            </w:pPr>
            <w:r>
              <w:rPr>
                <w:rFonts w:ascii="Arial" w:hAnsi="Arial" w:cs="Arial"/>
                <w:sz w:val="20"/>
                <w:szCs w:val="20"/>
              </w:rPr>
              <w:t>13.35</w:t>
            </w:r>
          </w:p>
        </w:tc>
      </w:tr>
      <w:tr w:rsidR="00815AC2" w14:paraId="0879827C"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3B4B42D7" w14:textId="77777777" w:rsidR="00815AC2" w:rsidRDefault="00815AC2">
            <w:pPr>
              <w:rPr>
                <w:rFonts w:ascii="Arial" w:hAnsi="Arial" w:cs="Arial"/>
                <w:sz w:val="20"/>
                <w:szCs w:val="20"/>
              </w:rPr>
            </w:pPr>
            <w:r>
              <w:rPr>
                <w:rFonts w:ascii="Arial" w:hAnsi="Arial" w:cs="Arial"/>
                <w:sz w:val="20"/>
                <w:szCs w:val="20"/>
              </w:rPr>
              <w:t>Windows 2019 (Small)</w:t>
            </w:r>
          </w:p>
        </w:tc>
        <w:tc>
          <w:tcPr>
            <w:tcW w:w="1559" w:type="dxa"/>
            <w:tcBorders>
              <w:top w:val="single" w:sz="4" w:space="0" w:color="auto"/>
              <w:left w:val="single" w:sz="4" w:space="0" w:color="auto"/>
              <w:bottom w:val="single" w:sz="4" w:space="0" w:color="auto"/>
              <w:right w:val="single" w:sz="4" w:space="0" w:color="auto"/>
            </w:tcBorders>
            <w:hideMark/>
          </w:tcPr>
          <w:p w14:paraId="5150166F" w14:textId="77777777" w:rsidR="00815AC2" w:rsidRDefault="00815AC2">
            <w:pPr>
              <w:rPr>
                <w:rFonts w:ascii="Arial" w:hAnsi="Arial" w:cs="Arial"/>
                <w:sz w:val="20"/>
                <w:szCs w:val="20"/>
              </w:rPr>
            </w:pPr>
            <w:r>
              <w:rPr>
                <w:rFonts w:ascii="Arial" w:hAnsi="Arial" w:cs="Arial"/>
                <w:sz w:val="20"/>
                <w:szCs w:val="20"/>
              </w:rPr>
              <w:t>13.35</w:t>
            </w:r>
          </w:p>
        </w:tc>
      </w:tr>
      <w:tr w:rsidR="00815AC2" w14:paraId="7EB234ED"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388F8093" w14:textId="77777777" w:rsidR="00815AC2" w:rsidRDefault="00815AC2">
            <w:pPr>
              <w:rPr>
                <w:rFonts w:ascii="Arial" w:hAnsi="Arial" w:cs="Arial"/>
                <w:sz w:val="20"/>
                <w:szCs w:val="20"/>
              </w:rPr>
            </w:pPr>
            <w:r>
              <w:rPr>
                <w:rFonts w:ascii="Arial" w:hAnsi="Arial" w:cs="Arial"/>
                <w:sz w:val="20"/>
                <w:szCs w:val="20"/>
              </w:rPr>
              <w:t>Red hat Linux 7.5 (Small)</w:t>
            </w:r>
          </w:p>
        </w:tc>
        <w:tc>
          <w:tcPr>
            <w:tcW w:w="1559" w:type="dxa"/>
            <w:tcBorders>
              <w:top w:val="single" w:sz="4" w:space="0" w:color="auto"/>
              <w:left w:val="single" w:sz="4" w:space="0" w:color="auto"/>
              <w:bottom w:val="single" w:sz="4" w:space="0" w:color="auto"/>
              <w:right w:val="single" w:sz="4" w:space="0" w:color="auto"/>
            </w:tcBorders>
            <w:hideMark/>
          </w:tcPr>
          <w:p w14:paraId="744463B6" w14:textId="77777777" w:rsidR="00815AC2" w:rsidRDefault="00815AC2">
            <w:pPr>
              <w:rPr>
                <w:rFonts w:ascii="Arial" w:hAnsi="Arial" w:cs="Arial"/>
                <w:sz w:val="20"/>
                <w:szCs w:val="20"/>
              </w:rPr>
            </w:pPr>
            <w:r>
              <w:rPr>
                <w:rFonts w:ascii="Arial" w:hAnsi="Arial" w:cs="Arial"/>
                <w:sz w:val="20"/>
                <w:szCs w:val="20"/>
              </w:rPr>
              <w:t>6.47</w:t>
            </w:r>
          </w:p>
        </w:tc>
      </w:tr>
      <w:tr w:rsidR="00815AC2" w14:paraId="026EC874" w14:textId="77777777" w:rsidTr="00815AC2">
        <w:trPr>
          <w:trHeight w:val="324"/>
        </w:trPr>
        <w:tc>
          <w:tcPr>
            <w:tcW w:w="6374" w:type="dxa"/>
            <w:gridSpan w:val="2"/>
            <w:tcBorders>
              <w:top w:val="single" w:sz="4" w:space="0" w:color="auto"/>
              <w:left w:val="single" w:sz="4" w:space="0" w:color="auto"/>
              <w:bottom w:val="single" w:sz="4" w:space="0" w:color="auto"/>
              <w:right w:val="single" w:sz="4" w:space="0" w:color="auto"/>
            </w:tcBorders>
            <w:noWrap/>
            <w:hideMark/>
          </w:tcPr>
          <w:p w14:paraId="15A55306" w14:textId="77777777" w:rsidR="00815AC2" w:rsidRDefault="00815AC2">
            <w:pPr>
              <w:rPr>
                <w:rFonts w:ascii="Arial" w:hAnsi="Arial" w:cs="Arial"/>
                <w:b/>
                <w:bCs/>
                <w:sz w:val="20"/>
                <w:szCs w:val="20"/>
              </w:rPr>
            </w:pPr>
            <w:r>
              <w:rPr>
                <w:rFonts w:ascii="Arial" w:hAnsi="Arial" w:cs="Arial"/>
                <w:b/>
                <w:bCs/>
                <w:sz w:val="20"/>
                <w:szCs w:val="20"/>
              </w:rPr>
              <w:t>Data Storage (SAN):</w:t>
            </w:r>
          </w:p>
        </w:tc>
      </w:tr>
      <w:tr w:rsidR="00815AC2" w14:paraId="6A52EAF8" w14:textId="77777777" w:rsidTr="00815AC2">
        <w:trPr>
          <w:trHeight w:val="312"/>
        </w:trPr>
        <w:tc>
          <w:tcPr>
            <w:tcW w:w="4815" w:type="dxa"/>
            <w:tcBorders>
              <w:top w:val="single" w:sz="4" w:space="0" w:color="auto"/>
              <w:left w:val="single" w:sz="4" w:space="0" w:color="auto"/>
              <w:bottom w:val="single" w:sz="4" w:space="0" w:color="auto"/>
              <w:right w:val="single" w:sz="4" w:space="0" w:color="auto"/>
            </w:tcBorders>
            <w:hideMark/>
          </w:tcPr>
          <w:p w14:paraId="6F0CB140" w14:textId="77777777" w:rsidR="00815AC2" w:rsidRDefault="00815AC2">
            <w:pPr>
              <w:rPr>
                <w:rFonts w:ascii="Arial" w:hAnsi="Arial" w:cs="Arial"/>
                <w:sz w:val="20"/>
                <w:szCs w:val="20"/>
              </w:rPr>
            </w:pPr>
            <w:r>
              <w:rPr>
                <w:rFonts w:ascii="Arial" w:hAnsi="Arial" w:cs="Arial"/>
                <w:sz w:val="20"/>
                <w:szCs w:val="20"/>
              </w:rPr>
              <w:t>Storage Volume (per Gb)</w:t>
            </w:r>
          </w:p>
        </w:tc>
        <w:tc>
          <w:tcPr>
            <w:tcW w:w="1559" w:type="dxa"/>
            <w:tcBorders>
              <w:top w:val="single" w:sz="4" w:space="0" w:color="auto"/>
              <w:left w:val="single" w:sz="4" w:space="0" w:color="auto"/>
              <w:bottom w:val="single" w:sz="4" w:space="0" w:color="auto"/>
              <w:right w:val="single" w:sz="4" w:space="0" w:color="auto"/>
            </w:tcBorders>
            <w:hideMark/>
          </w:tcPr>
          <w:p w14:paraId="54F8DD69" w14:textId="77777777" w:rsidR="00815AC2" w:rsidRDefault="00815AC2">
            <w:pPr>
              <w:rPr>
                <w:rFonts w:ascii="Arial" w:hAnsi="Arial" w:cs="Arial"/>
                <w:sz w:val="20"/>
                <w:szCs w:val="20"/>
              </w:rPr>
            </w:pPr>
            <w:r>
              <w:rPr>
                <w:rFonts w:ascii="Arial" w:hAnsi="Arial" w:cs="Arial"/>
                <w:sz w:val="20"/>
                <w:szCs w:val="20"/>
              </w:rPr>
              <w:t>0.01</w:t>
            </w:r>
          </w:p>
        </w:tc>
      </w:tr>
      <w:tr w:rsidR="00815AC2" w14:paraId="516696F7" w14:textId="77777777" w:rsidTr="00815AC2">
        <w:trPr>
          <w:trHeight w:val="312"/>
        </w:trPr>
        <w:tc>
          <w:tcPr>
            <w:tcW w:w="4815" w:type="dxa"/>
            <w:tcBorders>
              <w:top w:val="single" w:sz="4" w:space="0" w:color="auto"/>
              <w:left w:val="single" w:sz="4" w:space="0" w:color="auto"/>
              <w:bottom w:val="single" w:sz="4" w:space="0" w:color="auto"/>
              <w:right w:val="single" w:sz="4" w:space="0" w:color="auto"/>
            </w:tcBorders>
            <w:hideMark/>
          </w:tcPr>
          <w:p w14:paraId="0A0D2688" w14:textId="77777777" w:rsidR="00815AC2" w:rsidRDefault="00815AC2">
            <w:pPr>
              <w:rPr>
                <w:rFonts w:ascii="Arial" w:hAnsi="Arial" w:cs="Arial"/>
                <w:sz w:val="20"/>
                <w:szCs w:val="20"/>
              </w:rPr>
            </w:pPr>
            <w:r>
              <w:rPr>
                <w:rFonts w:ascii="Arial" w:hAnsi="Arial" w:cs="Arial"/>
                <w:sz w:val="20"/>
                <w:szCs w:val="20"/>
              </w:rPr>
              <w:t>Raw Disk (per Gb)</w:t>
            </w:r>
          </w:p>
        </w:tc>
        <w:tc>
          <w:tcPr>
            <w:tcW w:w="1559" w:type="dxa"/>
            <w:tcBorders>
              <w:top w:val="single" w:sz="4" w:space="0" w:color="auto"/>
              <w:left w:val="single" w:sz="4" w:space="0" w:color="auto"/>
              <w:bottom w:val="single" w:sz="4" w:space="0" w:color="auto"/>
              <w:right w:val="single" w:sz="4" w:space="0" w:color="auto"/>
            </w:tcBorders>
            <w:hideMark/>
          </w:tcPr>
          <w:p w14:paraId="358BDB3E" w14:textId="77777777" w:rsidR="00815AC2" w:rsidRDefault="00815AC2">
            <w:pPr>
              <w:rPr>
                <w:rFonts w:ascii="Arial" w:hAnsi="Arial" w:cs="Arial"/>
                <w:sz w:val="20"/>
                <w:szCs w:val="20"/>
              </w:rPr>
            </w:pPr>
            <w:r>
              <w:rPr>
                <w:rFonts w:ascii="Arial" w:hAnsi="Arial" w:cs="Arial"/>
                <w:sz w:val="20"/>
                <w:szCs w:val="20"/>
              </w:rPr>
              <w:t>0.01</w:t>
            </w:r>
          </w:p>
        </w:tc>
      </w:tr>
      <w:tr w:rsidR="00815AC2" w14:paraId="78FBA791" w14:textId="77777777" w:rsidTr="00815AC2">
        <w:trPr>
          <w:trHeight w:val="312"/>
        </w:trPr>
        <w:tc>
          <w:tcPr>
            <w:tcW w:w="4815" w:type="dxa"/>
            <w:tcBorders>
              <w:top w:val="single" w:sz="4" w:space="0" w:color="auto"/>
              <w:left w:val="single" w:sz="4" w:space="0" w:color="auto"/>
              <w:bottom w:val="single" w:sz="4" w:space="0" w:color="auto"/>
              <w:right w:val="single" w:sz="4" w:space="0" w:color="auto"/>
            </w:tcBorders>
            <w:hideMark/>
          </w:tcPr>
          <w:p w14:paraId="67BA5978" w14:textId="77777777" w:rsidR="00815AC2" w:rsidRDefault="00815AC2">
            <w:pPr>
              <w:rPr>
                <w:rFonts w:ascii="Arial" w:hAnsi="Arial" w:cs="Arial"/>
                <w:sz w:val="20"/>
                <w:szCs w:val="20"/>
              </w:rPr>
            </w:pPr>
            <w:r>
              <w:rPr>
                <w:rFonts w:ascii="Arial" w:hAnsi="Arial" w:cs="Arial"/>
                <w:sz w:val="20"/>
                <w:szCs w:val="20"/>
              </w:rPr>
              <w:t>Binary Library (per Gb)</w:t>
            </w:r>
          </w:p>
        </w:tc>
        <w:tc>
          <w:tcPr>
            <w:tcW w:w="1559" w:type="dxa"/>
            <w:tcBorders>
              <w:top w:val="single" w:sz="4" w:space="0" w:color="auto"/>
              <w:left w:val="single" w:sz="4" w:space="0" w:color="auto"/>
              <w:bottom w:val="single" w:sz="4" w:space="0" w:color="auto"/>
              <w:right w:val="single" w:sz="4" w:space="0" w:color="auto"/>
            </w:tcBorders>
            <w:hideMark/>
          </w:tcPr>
          <w:p w14:paraId="73074554" w14:textId="77777777" w:rsidR="00815AC2" w:rsidRDefault="00815AC2">
            <w:pPr>
              <w:rPr>
                <w:rFonts w:ascii="Arial" w:hAnsi="Arial" w:cs="Arial"/>
                <w:sz w:val="20"/>
                <w:szCs w:val="20"/>
              </w:rPr>
            </w:pPr>
            <w:r>
              <w:rPr>
                <w:rFonts w:ascii="Arial" w:hAnsi="Arial" w:cs="Arial"/>
                <w:sz w:val="20"/>
                <w:szCs w:val="20"/>
              </w:rPr>
              <w:t>0.01</w:t>
            </w:r>
          </w:p>
        </w:tc>
      </w:tr>
      <w:tr w:rsidR="00815AC2" w14:paraId="1277EB8E"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69584FD9" w14:textId="77777777" w:rsidR="00815AC2" w:rsidRDefault="00815AC2">
            <w:pPr>
              <w:rPr>
                <w:rFonts w:ascii="Arial" w:hAnsi="Arial" w:cs="Arial"/>
                <w:sz w:val="20"/>
                <w:szCs w:val="20"/>
              </w:rPr>
            </w:pPr>
            <w:r>
              <w:rPr>
                <w:rFonts w:ascii="Arial" w:hAnsi="Arial" w:cs="Arial"/>
                <w:sz w:val="20"/>
                <w:szCs w:val="20"/>
              </w:rPr>
              <w:t>NFS Share</w:t>
            </w:r>
          </w:p>
        </w:tc>
        <w:tc>
          <w:tcPr>
            <w:tcW w:w="1559" w:type="dxa"/>
            <w:tcBorders>
              <w:top w:val="single" w:sz="4" w:space="0" w:color="auto"/>
              <w:left w:val="single" w:sz="4" w:space="0" w:color="auto"/>
              <w:bottom w:val="single" w:sz="4" w:space="0" w:color="auto"/>
              <w:right w:val="single" w:sz="4" w:space="0" w:color="auto"/>
            </w:tcBorders>
            <w:hideMark/>
          </w:tcPr>
          <w:p w14:paraId="7BFC2081" w14:textId="77777777" w:rsidR="00815AC2" w:rsidRDefault="00815AC2">
            <w:pPr>
              <w:ind w:left="0" w:firstLine="0"/>
              <w:rPr>
                <w:rFonts w:ascii="Arial" w:hAnsi="Arial" w:cs="Arial"/>
                <w:sz w:val="20"/>
                <w:szCs w:val="20"/>
              </w:rPr>
            </w:pPr>
            <w:r>
              <w:rPr>
                <w:rFonts w:ascii="Arial" w:hAnsi="Arial" w:cs="Arial"/>
                <w:sz w:val="20"/>
                <w:szCs w:val="20"/>
              </w:rPr>
              <w:t>Charges are covered in the per Gb pricing above.</w:t>
            </w:r>
          </w:p>
        </w:tc>
      </w:tr>
      <w:tr w:rsidR="00815AC2" w14:paraId="1021832F"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1D944F46" w14:textId="77777777" w:rsidR="00815AC2" w:rsidRDefault="00815AC2">
            <w:pPr>
              <w:rPr>
                <w:rFonts w:ascii="Arial" w:hAnsi="Arial" w:cs="Arial"/>
                <w:sz w:val="20"/>
                <w:szCs w:val="20"/>
              </w:rPr>
            </w:pPr>
            <w:r>
              <w:rPr>
                <w:rFonts w:ascii="Arial" w:hAnsi="Arial" w:cs="Arial"/>
                <w:sz w:val="20"/>
                <w:szCs w:val="20"/>
              </w:rPr>
              <w:t>FTP Share</w:t>
            </w:r>
          </w:p>
        </w:tc>
        <w:tc>
          <w:tcPr>
            <w:tcW w:w="1559" w:type="dxa"/>
            <w:tcBorders>
              <w:top w:val="single" w:sz="4" w:space="0" w:color="auto"/>
              <w:left w:val="single" w:sz="4" w:space="0" w:color="auto"/>
              <w:bottom w:val="single" w:sz="4" w:space="0" w:color="auto"/>
              <w:right w:val="single" w:sz="4" w:space="0" w:color="auto"/>
            </w:tcBorders>
            <w:hideMark/>
          </w:tcPr>
          <w:p w14:paraId="5DB1FC1B" w14:textId="77777777" w:rsidR="00815AC2" w:rsidRDefault="00815AC2">
            <w:pPr>
              <w:ind w:left="0" w:firstLine="0"/>
              <w:rPr>
                <w:rFonts w:ascii="Arial" w:hAnsi="Arial" w:cs="Arial"/>
                <w:sz w:val="20"/>
                <w:szCs w:val="20"/>
              </w:rPr>
            </w:pPr>
            <w:r>
              <w:rPr>
                <w:rFonts w:ascii="Arial" w:hAnsi="Arial" w:cs="Arial"/>
                <w:sz w:val="20"/>
                <w:szCs w:val="20"/>
              </w:rPr>
              <w:t>Charges are covered in the per Gb pricing above.</w:t>
            </w:r>
          </w:p>
        </w:tc>
      </w:tr>
      <w:tr w:rsidR="00815AC2" w14:paraId="3F31735D"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70B260B6" w14:textId="77777777" w:rsidR="00815AC2" w:rsidRDefault="00815AC2">
            <w:pPr>
              <w:rPr>
                <w:rFonts w:ascii="Arial" w:hAnsi="Arial" w:cs="Arial"/>
                <w:b/>
                <w:bCs/>
                <w:sz w:val="20"/>
                <w:szCs w:val="20"/>
              </w:rPr>
            </w:pPr>
            <w:r>
              <w:rPr>
                <w:rFonts w:ascii="Arial" w:hAnsi="Arial" w:cs="Arial"/>
                <w:b/>
                <w:bCs/>
                <w:sz w:val="20"/>
                <w:szCs w:val="20"/>
              </w:rPr>
              <w:t>Container Server:</w:t>
            </w:r>
          </w:p>
        </w:tc>
        <w:tc>
          <w:tcPr>
            <w:tcW w:w="1559" w:type="dxa"/>
            <w:tcBorders>
              <w:top w:val="single" w:sz="4" w:space="0" w:color="auto"/>
              <w:left w:val="single" w:sz="4" w:space="0" w:color="auto"/>
              <w:bottom w:val="single" w:sz="4" w:space="0" w:color="auto"/>
              <w:right w:val="single" w:sz="4" w:space="0" w:color="auto"/>
            </w:tcBorders>
          </w:tcPr>
          <w:p w14:paraId="063520A1" w14:textId="77777777" w:rsidR="00815AC2" w:rsidRDefault="00815AC2">
            <w:pPr>
              <w:rPr>
                <w:rFonts w:ascii="Arial" w:hAnsi="Arial" w:cs="Arial"/>
                <w:sz w:val="20"/>
                <w:szCs w:val="20"/>
              </w:rPr>
            </w:pPr>
          </w:p>
        </w:tc>
      </w:tr>
      <w:tr w:rsidR="00815AC2" w14:paraId="42EFF5CD"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67239D6F" w14:textId="77777777" w:rsidR="00815AC2" w:rsidRDefault="00815AC2">
            <w:pPr>
              <w:rPr>
                <w:rFonts w:ascii="Arial" w:hAnsi="Arial" w:cs="Arial"/>
                <w:sz w:val="20"/>
                <w:szCs w:val="20"/>
              </w:rPr>
            </w:pPr>
            <w:r>
              <w:rPr>
                <w:rFonts w:ascii="Arial" w:hAnsi="Arial" w:cs="Arial"/>
                <w:sz w:val="20"/>
                <w:szCs w:val="20"/>
              </w:rPr>
              <w:lastRenderedPageBreak/>
              <w:t>Kubernetes API Server</w:t>
            </w:r>
          </w:p>
        </w:tc>
        <w:tc>
          <w:tcPr>
            <w:tcW w:w="1559" w:type="dxa"/>
            <w:tcBorders>
              <w:top w:val="single" w:sz="4" w:space="0" w:color="auto"/>
              <w:left w:val="single" w:sz="4" w:space="0" w:color="auto"/>
              <w:bottom w:val="single" w:sz="4" w:space="0" w:color="auto"/>
              <w:right w:val="single" w:sz="4" w:space="0" w:color="auto"/>
            </w:tcBorders>
            <w:hideMark/>
          </w:tcPr>
          <w:p w14:paraId="5C5BA5AE" w14:textId="77777777" w:rsidR="00815AC2" w:rsidRDefault="00815AC2">
            <w:pPr>
              <w:rPr>
                <w:rFonts w:ascii="Arial" w:hAnsi="Arial" w:cs="Arial"/>
                <w:sz w:val="20"/>
                <w:szCs w:val="20"/>
              </w:rPr>
            </w:pPr>
            <w:r>
              <w:rPr>
                <w:rFonts w:ascii="Arial" w:hAnsi="Arial" w:cs="Arial"/>
                <w:sz w:val="20"/>
                <w:szCs w:val="20"/>
              </w:rPr>
              <w:t>109</w:t>
            </w:r>
          </w:p>
        </w:tc>
      </w:tr>
      <w:tr w:rsidR="00815AC2" w14:paraId="74FD9D6B" w14:textId="77777777" w:rsidTr="00815AC2">
        <w:trPr>
          <w:trHeight w:val="324"/>
        </w:trPr>
        <w:tc>
          <w:tcPr>
            <w:tcW w:w="6374" w:type="dxa"/>
            <w:gridSpan w:val="2"/>
            <w:tcBorders>
              <w:top w:val="single" w:sz="4" w:space="0" w:color="auto"/>
              <w:left w:val="single" w:sz="4" w:space="0" w:color="auto"/>
              <w:bottom w:val="single" w:sz="4" w:space="0" w:color="auto"/>
              <w:right w:val="single" w:sz="4" w:space="0" w:color="auto"/>
            </w:tcBorders>
            <w:noWrap/>
            <w:hideMark/>
          </w:tcPr>
          <w:p w14:paraId="0AB5A167" w14:textId="77777777" w:rsidR="00815AC2" w:rsidRDefault="00815AC2">
            <w:pPr>
              <w:rPr>
                <w:rFonts w:ascii="Arial" w:hAnsi="Arial" w:cs="Arial"/>
                <w:b/>
                <w:bCs/>
                <w:sz w:val="20"/>
                <w:szCs w:val="20"/>
              </w:rPr>
            </w:pPr>
            <w:r>
              <w:rPr>
                <w:rFonts w:ascii="Arial" w:hAnsi="Arial" w:cs="Arial"/>
                <w:b/>
                <w:bCs/>
                <w:sz w:val="20"/>
                <w:szCs w:val="20"/>
              </w:rPr>
              <w:t>Appliance: </w:t>
            </w:r>
          </w:p>
        </w:tc>
      </w:tr>
      <w:tr w:rsidR="00815AC2" w14:paraId="5CF7CC40" w14:textId="77777777" w:rsidTr="00815AC2">
        <w:trPr>
          <w:trHeight w:val="312"/>
        </w:trPr>
        <w:tc>
          <w:tcPr>
            <w:tcW w:w="4815" w:type="dxa"/>
            <w:tcBorders>
              <w:top w:val="single" w:sz="4" w:space="0" w:color="auto"/>
              <w:left w:val="single" w:sz="4" w:space="0" w:color="auto"/>
              <w:bottom w:val="single" w:sz="4" w:space="0" w:color="auto"/>
              <w:right w:val="single" w:sz="4" w:space="0" w:color="auto"/>
            </w:tcBorders>
            <w:hideMark/>
          </w:tcPr>
          <w:p w14:paraId="408D0A22" w14:textId="77777777" w:rsidR="00815AC2" w:rsidRDefault="00815AC2">
            <w:pPr>
              <w:rPr>
                <w:rFonts w:ascii="Arial" w:hAnsi="Arial" w:cs="Arial"/>
                <w:sz w:val="20"/>
                <w:szCs w:val="20"/>
              </w:rPr>
            </w:pPr>
            <w:r>
              <w:rPr>
                <w:rFonts w:ascii="Arial" w:hAnsi="Arial" w:cs="Arial"/>
                <w:sz w:val="20"/>
                <w:szCs w:val="20"/>
              </w:rPr>
              <w:t>Device</w:t>
            </w:r>
          </w:p>
        </w:tc>
        <w:tc>
          <w:tcPr>
            <w:tcW w:w="1559" w:type="dxa"/>
            <w:tcBorders>
              <w:top w:val="single" w:sz="4" w:space="0" w:color="auto"/>
              <w:left w:val="single" w:sz="4" w:space="0" w:color="auto"/>
              <w:bottom w:val="single" w:sz="4" w:space="0" w:color="auto"/>
              <w:right w:val="single" w:sz="4" w:space="0" w:color="auto"/>
            </w:tcBorders>
            <w:hideMark/>
          </w:tcPr>
          <w:p w14:paraId="7DCA825B" w14:textId="77777777" w:rsidR="00815AC2" w:rsidRDefault="00815AC2">
            <w:pPr>
              <w:rPr>
                <w:rFonts w:ascii="Arial" w:hAnsi="Arial" w:cs="Arial"/>
                <w:sz w:val="20"/>
                <w:szCs w:val="20"/>
              </w:rPr>
            </w:pPr>
            <w:r>
              <w:rPr>
                <w:rFonts w:ascii="Arial" w:hAnsi="Arial" w:cs="Arial"/>
                <w:sz w:val="20"/>
                <w:szCs w:val="20"/>
              </w:rPr>
              <w:t>4.80</w:t>
            </w:r>
          </w:p>
        </w:tc>
      </w:tr>
      <w:tr w:rsidR="00815AC2" w14:paraId="6E58D84C" w14:textId="77777777" w:rsidTr="00815AC2">
        <w:trPr>
          <w:trHeight w:val="300"/>
        </w:trPr>
        <w:tc>
          <w:tcPr>
            <w:tcW w:w="6374" w:type="dxa"/>
            <w:gridSpan w:val="2"/>
            <w:tcBorders>
              <w:top w:val="single" w:sz="4" w:space="0" w:color="auto"/>
              <w:left w:val="single" w:sz="4" w:space="0" w:color="auto"/>
              <w:bottom w:val="single" w:sz="4" w:space="0" w:color="auto"/>
              <w:right w:val="single" w:sz="4" w:space="0" w:color="auto"/>
            </w:tcBorders>
            <w:noWrap/>
            <w:hideMark/>
          </w:tcPr>
          <w:p w14:paraId="2963A25F" w14:textId="77777777" w:rsidR="00815AC2" w:rsidRDefault="00815AC2">
            <w:pPr>
              <w:rPr>
                <w:rFonts w:ascii="Arial" w:hAnsi="Arial" w:cs="Arial"/>
                <w:b/>
                <w:bCs/>
                <w:sz w:val="20"/>
                <w:szCs w:val="20"/>
              </w:rPr>
            </w:pPr>
            <w:r>
              <w:rPr>
                <w:rFonts w:ascii="Arial" w:hAnsi="Arial" w:cs="Arial"/>
                <w:b/>
                <w:bCs/>
                <w:sz w:val="20"/>
                <w:szCs w:val="20"/>
              </w:rPr>
              <w:t>Database: </w:t>
            </w:r>
          </w:p>
        </w:tc>
      </w:tr>
      <w:tr w:rsidR="00815AC2" w14:paraId="29308C24" w14:textId="77777777" w:rsidTr="00815AC2">
        <w:trPr>
          <w:trHeight w:val="312"/>
        </w:trPr>
        <w:tc>
          <w:tcPr>
            <w:tcW w:w="4815" w:type="dxa"/>
            <w:tcBorders>
              <w:top w:val="single" w:sz="4" w:space="0" w:color="auto"/>
              <w:left w:val="single" w:sz="4" w:space="0" w:color="auto"/>
              <w:bottom w:val="single" w:sz="4" w:space="0" w:color="auto"/>
              <w:right w:val="single" w:sz="4" w:space="0" w:color="auto"/>
            </w:tcBorders>
            <w:hideMark/>
          </w:tcPr>
          <w:p w14:paraId="616EC7E1" w14:textId="77777777" w:rsidR="00815AC2" w:rsidRDefault="00815AC2">
            <w:pPr>
              <w:rPr>
                <w:rFonts w:ascii="Arial" w:hAnsi="Arial" w:cs="Arial"/>
                <w:sz w:val="20"/>
                <w:szCs w:val="20"/>
              </w:rPr>
            </w:pPr>
            <w:r>
              <w:rPr>
                <w:rFonts w:ascii="Arial" w:hAnsi="Arial" w:cs="Arial"/>
                <w:sz w:val="20"/>
                <w:szCs w:val="20"/>
              </w:rPr>
              <w:t>SQL 2017 (Large)</w:t>
            </w:r>
          </w:p>
        </w:tc>
        <w:tc>
          <w:tcPr>
            <w:tcW w:w="1559" w:type="dxa"/>
            <w:tcBorders>
              <w:top w:val="single" w:sz="4" w:space="0" w:color="auto"/>
              <w:left w:val="single" w:sz="4" w:space="0" w:color="auto"/>
              <w:bottom w:val="single" w:sz="4" w:space="0" w:color="auto"/>
              <w:right w:val="single" w:sz="4" w:space="0" w:color="auto"/>
            </w:tcBorders>
            <w:hideMark/>
          </w:tcPr>
          <w:p w14:paraId="71F6EEB5" w14:textId="77777777" w:rsidR="00815AC2" w:rsidRDefault="00815AC2">
            <w:pPr>
              <w:rPr>
                <w:rFonts w:ascii="Arial" w:hAnsi="Arial" w:cs="Arial"/>
                <w:sz w:val="20"/>
                <w:szCs w:val="20"/>
              </w:rPr>
            </w:pPr>
            <w:r>
              <w:rPr>
                <w:rFonts w:ascii="Arial" w:hAnsi="Arial" w:cs="Arial"/>
                <w:sz w:val="20"/>
                <w:szCs w:val="20"/>
              </w:rPr>
              <w:t>4.80</w:t>
            </w:r>
          </w:p>
        </w:tc>
      </w:tr>
      <w:tr w:rsidR="00815AC2" w14:paraId="7E2986D2"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467D1A9E" w14:textId="77777777" w:rsidR="00815AC2" w:rsidRDefault="00815AC2">
            <w:pPr>
              <w:rPr>
                <w:rFonts w:ascii="Arial" w:hAnsi="Arial" w:cs="Arial"/>
                <w:sz w:val="20"/>
                <w:szCs w:val="20"/>
              </w:rPr>
            </w:pPr>
            <w:r>
              <w:rPr>
                <w:rFonts w:ascii="Arial" w:hAnsi="Arial" w:cs="Arial"/>
                <w:sz w:val="20"/>
                <w:szCs w:val="20"/>
              </w:rPr>
              <w:t>SQL 2012 (Large)</w:t>
            </w:r>
          </w:p>
        </w:tc>
        <w:tc>
          <w:tcPr>
            <w:tcW w:w="1559" w:type="dxa"/>
            <w:tcBorders>
              <w:top w:val="single" w:sz="4" w:space="0" w:color="auto"/>
              <w:left w:val="single" w:sz="4" w:space="0" w:color="auto"/>
              <w:bottom w:val="single" w:sz="4" w:space="0" w:color="auto"/>
              <w:right w:val="single" w:sz="4" w:space="0" w:color="auto"/>
            </w:tcBorders>
            <w:hideMark/>
          </w:tcPr>
          <w:p w14:paraId="4872FB8F" w14:textId="77777777" w:rsidR="00815AC2" w:rsidRDefault="00815AC2">
            <w:pPr>
              <w:rPr>
                <w:rFonts w:ascii="Arial" w:hAnsi="Arial" w:cs="Arial"/>
                <w:sz w:val="20"/>
                <w:szCs w:val="20"/>
              </w:rPr>
            </w:pPr>
            <w:r>
              <w:rPr>
                <w:rFonts w:ascii="Arial" w:hAnsi="Arial" w:cs="Arial"/>
                <w:sz w:val="20"/>
                <w:szCs w:val="20"/>
              </w:rPr>
              <w:t>4.80</w:t>
            </w:r>
          </w:p>
        </w:tc>
      </w:tr>
      <w:tr w:rsidR="00815AC2" w14:paraId="541368F0"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1A261962" w14:textId="77777777" w:rsidR="00815AC2" w:rsidRDefault="00815AC2">
            <w:pPr>
              <w:rPr>
                <w:rFonts w:ascii="Arial" w:hAnsi="Arial" w:cs="Arial"/>
                <w:sz w:val="20"/>
                <w:szCs w:val="20"/>
              </w:rPr>
            </w:pPr>
            <w:r>
              <w:rPr>
                <w:rFonts w:ascii="Arial" w:hAnsi="Arial" w:cs="Arial"/>
                <w:sz w:val="20"/>
                <w:szCs w:val="20"/>
              </w:rPr>
              <w:t>DB2 11.1 (Large)</w:t>
            </w:r>
          </w:p>
        </w:tc>
        <w:tc>
          <w:tcPr>
            <w:tcW w:w="1559" w:type="dxa"/>
            <w:tcBorders>
              <w:top w:val="single" w:sz="4" w:space="0" w:color="auto"/>
              <w:left w:val="single" w:sz="4" w:space="0" w:color="auto"/>
              <w:bottom w:val="single" w:sz="4" w:space="0" w:color="auto"/>
              <w:right w:val="single" w:sz="4" w:space="0" w:color="auto"/>
            </w:tcBorders>
            <w:hideMark/>
          </w:tcPr>
          <w:p w14:paraId="42A87814" w14:textId="77777777" w:rsidR="00815AC2" w:rsidRDefault="00815AC2">
            <w:pPr>
              <w:rPr>
                <w:rFonts w:ascii="Arial" w:hAnsi="Arial" w:cs="Arial"/>
                <w:sz w:val="20"/>
                <w:szCs w:val="20"/>
              </w:rPr>
            </w:pPr>
            <w:r>
              <w:rPr>
                <w:rFonts w:ascii="Arial" w:hAnsi="Arial" w:cs="Arial"/>
                <w:sz w:val="20"/>
                <w:szCs w:val="20"/>
              </w:rPr>
              <w:t>4.80</w:t>
            </w:r>
          </w:p>
        </w:tc>
      </w:tr>
      <w:tr w:rsidR="00815AC2" w14:paraId="40AE6307"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07AD9895" w14:textId="77777777" w:rsidR="00815AC2" w:rsidRDefault="00815AC2">
            <w:pPr>
              <w:rPr>
                <w:rFonts w:ascii="Arial" w:hAnsi="Arial" w:cs="Arial"/>
                <w:sz w:val="20"/>
                <w:szCs w:val="20"/>
              </w:rPr>
            </w:pPr>
            <w:r>
              <w:rPr>
                <w:rFonts w:ascii="Arial" w:hAnsi="Arial" w:cs="Arial"/>
                <w:sz w:val="20"/>
                <w:szCs w:val="20"/>
              </w:rPr>
              <w:t>DB2 11.5 (Large)</w:t>
            </w:r>
          </w:p>
        </w:tc>
        <w:tc>
          <w:tcPr>
            <w:tcW w:w="1559" w:type="dxa"/>
            <w:tcBorders>
              <w:top w:val="single" w:sz="4" w:space="0" w:color="auto"/>
              <w:left w:val="single" w:sz="4" w:space="0" w:color="auto"/>
              <w:bottom w:val="single" w:sz="4" w:space="0" w:color="auto"/>
              <w:right w:val="single" w:sz="4" w:space="0" w:color="auto"/>
            </w:tcBorders>
            <w:hideMark/>
          </w:tcPr>
          <w:p w14:paraId="29C333FE" w14:textId="77777777" w:rsidR="00815AC2" w:rsidRDefault="00815AC2">
            <w:pPr>
              <w:rPr>
                <w:rFonts w:ascii="Arial" w:hAnsi="Arial" w:cs="Arial"/>
                <w:sz w:val="20"/>
                <w:szCs w:val="20"/>
              </w:rPr>
            </w:pPr>
            <w:r>
              <w:rPr>
                <w:rFonts w:ascii="Arial" w:hAnsi="Arial" w:cs="Arial"/>
                <w:sz w:val="20"/>
                <w:szCs w:val="20"/>
              </w:rPr>
              <w:t>4.80</w:t>
            </w:r>
          </w:p>
        </w:tc>
      </w:tr>
      <w:tr w:rsidR="00815AC2" w14:paraId="0CD03320"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7D19CF84" w14:textId="77777777" w:rsidR="00815AC2" w:rsidRDefault="00815AC2">
            <w:pPr>
              <w:rPr>
                <w:rFonts w:ascii="Arial" w:hAnsi="Arial" w:cs="Arial"/>
                <w:sz w:val="20"/>
                <w:szCs w:val="20"/>
              </w:rPr>
            </w:pPr>
            <w:r>
              <w:rPr>
                <w:rFonts w:ascii="Arial" w:hAnsi="Arial" w:cs="Arial"/>
                <w:sz w:val="20"/>
                <w:szCs w:val="20"/>
              </w:rPr>
              <w:t>Oracle 12c (Large)</w:t>
            </w:r>
          </w:p>
        </w:tc>
        <w:tc>
          <w:tcPr>
            <w:tcW w:w="1559" w:type="dxa"/>
            <w:tcBorders>
              <w:top w:val="single" w:sz="4" w:space="0" w:color="auto"/>
              <w:left w:val="single" w:sz="4" w:space="0" w:color="auto"/>
              <w:bottom w:val="single" w:sz="4" w:space="0" w:color="auto"/>
              <w:right w:val="single" w:sz="4" w:space="0" w:color="auto"/>
            </w:tcBorders>
            <w:hideMark/>
          </w:tcPr>
          <w:p w14:paraId="623B0232" w14:textId="77777777" w:rsidR="00815AC2" w:rsidRDefault="00815AC2">
            <w:pPr>
              <w:rPr>
                <w:rFonts w:ascii="Arial" w:hAnsi="Arial" w:cs="Arial"/>
                <w:sz w:val="20"/>
                <w:szCs w:val="20"/>
              </w:rPr>
            </w:pPr>
            <w:r>
              <w:rPr>
                <w:rFonts w:ascii="Arial" w:hAnsi="Arial" w:cs="Arial"/>
                <w:sz w:val="20"/>
                <w:szCs w:val="20"/>
              </w:rPr>
              <w:t>4.80</w:t>
            </w:r>
          </w:p>
        </w:tc>
      </w:tr>
      <w:tr w:rsidR="00815AC2" w14:paraId="38E3D73E"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2A4608E0" w14:textId="77777777" w:rsidR="00815AC2" w:rsidRDefault="00815AC2">
            <w:pPr>
              <w:rPr>
                <w:rFonts w:ascii="Arial" w:hAnsi="Arial" w:cs="Arial"/>
                <w:sz w:val="20"/>
                <w:szCs w:val="20"/>
              </w:rPr>
            </w:pPr>
            <w:r>
              <w:rPr>
                <w:rFonts w:ascii="Arial" w:hAnsi="Arial" w:cs="Arial"/>
                <w:sz w:val="20"/>
                <w:szCs w:val="20"/>
              </w:rPr>
              <w:t>Oracle 11g (Large)</w:t>
            </w:r>
          </w:p>
        </w:tc>
        <w:tc>
          <w:tcPr>
            <w:tcW w:w="1559" w:type="dxa"/>
            <w:tcBorders>
              <w:top w:val="single" w:sz="4" w:space="0" w:color="auto"/>
              <w:left w:val="single" w:sz="4" w:space="0" w:color="auto"/>
              <w:bottom w:val="single" w:sz="4" w:space="0" w:color="auto"/>
              <w:right w:val="single" w:sz="4" w:space="0" w:color="auto"/>
            </w:tcBorders>
            <w:hideMark/>
          </w:tcPr>
          <w:p w14:paraId="5BCF4055" w14:textId="77777777" w:rsidR="00815AC2" w:rsidRDefault="00815AC2">
            <w:pPr>
              <w:rPr>
                <w:rFonts w:ascii="Arial" w:hAnsi="Arial" w:cs="Arial"/>
                <w:sz w:val="20"/>
                <w:szCs w:val="20"/>
              </w:rPr>
            </w:pPr>
            <w:r>
              <w:rPr>
                <w:rFonts w:ascii="Arial" w:hAnsi="Arial" w:cs="Arial"/>
                <w:sz w:val="20"/>
                <w:szCs w:val="20"/>
              </w:rPr>
              <w:t>4.80</w:t>
            </w:r>
          </w:p>
        </w:tc>
      </w:tr>
      <w:tr w:rsidR="00815AC2" w14:paraId="231E5E9E" w14:textId="77777777" w:rsidTr="00815AC2">
        <w:trPr>
          <w:trHeight w:val="312"/>
        </w:trPr>
        <w:tc>
          <w:tcPr>
            <w:tcW w:w="4815" w:type="dxa"/>
            <w:tcBorders>
              <w:top w:val="single" w:sz="4" w:space="0" w:color="auto"/>
              <w:left w:val="single" w:sz="4" w:space="0" w:color="auto"/>
              <w:bottom w:val="single" w:sz="4" w:space="0" w:color="auto"/>
              <w:right w:val="single" w:sz="4" w:space="0" w:color="auto"/>
            </w:tcBorders>
            <w:hideMark/>
          </w:tcPr>
          <w:p w14:paraId="17C5419D" w14:textId="77777777" w:rsidR="00815AC2" w:rsidRDefault="00815AC2">
            <w:pPr>
              <w:rPr>
                <w:rFonts w:ascii="Arial" w:hAnsi="Arial" w:cs="Arial"/>
                <w:sz w:val="20"/>
                <w:szCs w:val="20"/>
              </w:rPr>
            </w:pPr>
            <w:r>
              <w:rPr>
                <w:rFonts w:ascii="Arial" w:hAnsi="Arial" w:cs="Arial"/>
                <w:sz w:val="20"/>
                <w:szCs w:val="20"/>
              </w:rPr>
              <w:t>SQL 2017 (Medium)</w:t>
            </w:r>
          </w:p>
        </w:tc>
        <w:tc>
          <w:tcPr>
            <w:tcW w:w="1559" w:type="dxa"/>
            <w:tcBorders>
              <w:top w:val="single" w:sz="4" w:space="0" w:color="auto"/>
              <w:left w:val="single" w:sz="4" w:space="0" w:color="auto"/>
              <w:bottom w:val="single" w:sz="4" w:space="0" w:color="auto"/>
              <w:right w:val="single" w:sz="4" w:space="0" w:color="auto"/>
            </w:tcBorders>
            <w:hideMark/>
          </w:tcPr>
          <w:p w14:paraId="0572E095" w14:textId="77777777" w:rsidR="00815AC2" w:rsidRDefault="00815AC2">
            <w:pPr>
              <w:rPr>
                <w:rFonts w:ascii="Arial" w:hAnsi="Arial" w:cs="Arial"/>
                <w:sz w:val="20"/>
                <w:szCs w:val="20"/>
              </w:rPr>
            </w:pPr>
            <w:r>
              <w:rPr>
                <w:rFonts w:ascii="Arial" w:hAnsi="Arial" w:cs="Arial"/>
                <w:sz w:val="20"/>
                <w:szCs w:val="20"/>
              </w:rPr>
              <w:t>4.80</w:t>
            </w:r>
          </w:p>
        </w:tc>
      </w:tr>
      <w:tr w:rsidR="00815AC2" w14:paraId="63B1C14B"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5F20867F" w14:textId="77777777" w:rsidR="00815AC2" w:rsidRDefault="00815AC2">
            <w:pPr>
              <w:rPr>
                <w:rFonts w:ascii="Arial" w:hAnsi="Arial" w:cs="Arial"/>
                <w:sz w:val="20"/>
                <w:szCs w:val="20"/>
              </w:rPr>
            </w:pPr>
            <w:r>
              <w:rPr>
                <w:rFonts w:ascii="Arial" w:hAnsi="Arial" w:cs="Arial"/>
                <w:sz w:val="20"/>
                <w:szCs w:val="20"/>
              </w:rPr>
              <w:t>SQL 2012 (Medium)</w:t>
            </w:r>
          </w:p>
        </w:tc>
        <w:tc>
          <w:tcPr>
            <w:tcW w:w="1559" w:type="dxa"/>
            <w:tcBorders>
              <w:top w:val="single" w:sz="4" w:space="0" w:color="auto"/>
              <w:left w:val="single" w:sz="4" w:space="0" w:color="auto"/>
              <w:bottom w:val="single" w:sz="4" w:space="0" w:color="auto"/>
              <w:right w:val="single" w:sz="4" w:space="0" w:color="auto"/>
            </w:tcBorders>
            <w:hideMark/>
          </w:tcPr>
          <w:p w14:paraId="7DD4B1B1" w14:textId="77777777" w:rsidR="00815AC2" w:rsidRDefault="00815AC2">
            <w:pPr>
              <w:rPr>
                <w:rFonts w:ascii="Arial" w:hAnsi="Arial" w:cs="Arial"/>
                <w:sz w:val="20"/>
                <w:szCs w:val="20"/>
              </w:rPr>
            </w:pPr>
            <w:r>
              <w:rPr>
                <w:rFonts w:ascii="Arial" w:hAnsi="Arial" w:cs="Arial"/>
                <w:sz w:val="20"/>
                <w:szCs w:val="20"/>
              </w:rPr>
              <w:t>4.80</w:t>
            </w:r>
          </w:p>
        </w:tc>
      </w:tr>
      <w:tr w:rsidR="00815AC2" w14:paraId="73C603D8"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35514CF6" w14:textId="77777777" w:rsidR="00815AC2" w:rsidRDefault="00815AC2">
            <w:pPr>
              <w:rPr>
                <w:rFonts w:ascii="Arial" w:hAnsi="Arial" w:cs="Arial"/>
                <w:sz w:val="20"/>
                <w:szCs w:val="20"/>
              </w:rPr>
            </w:pPr>
            <w:r>
              <w:rPr>
                <w:rFonts w:ascii="Arial" w:hAnsi="Arial" w:cs="Arial"/>
                <w:sz w:val="20"/>
                <w:szCs w:val="20"/>
              </w:rPr>
              <w:t>DB2 11.1 (Medium)</w:t>
            </w:r>
          </w:p>
        </w:tc>
        <w:tc>
          <w:tcPr>
            <w:tcW w:w="1559" w:type="dxa"/>
            <w:tcBorders>
              <w:top w:val="single" w:sz="4" w:space="0" w:color="auto"/>
              <w:left w:val="single" w:sz="4" w:space="0" w:color="auto"/>
              <w:bottom w:val="single" w:sz="4" w:space="0" w:color="auto"/>
              <w:right w:val="single" w:sz="4" w:space="0" w:color="auto"/>
            </w:tcBorders>
            <w:hideMark/>
          </w:tcPr>
          <w:p w14:paraId="0B0256BB" w14:textId="77777777" w:rsidR="00815AC2" w:rsidRDefault="00815AC2">
            <w:pPr>
              <w:rPr>
                <w:rFonts w:ascii="Arial" w:hAnsi="Arial" w:cs="Arial"/>
                <w:sz w:val="20"/>
                <w:szCs w:val="20"/>
              </w:rPr>
            </w:pPr>
            <w:r>
              <w:rPr>
                <w:rFonts w:ascii="Arial" w:hAnsi="Arial" w:cs="Arial"/>
                <w:sz w:val="20"/>
                <w:szCs w:val="20"/>
              </w:rPr>
              <w:t>4.80</w:t>
            </w:r>
          </w:p>
        </w:tc>
      </w:tr>
      <w:tr w:rsidR="00815AC2" w14:paraId="3D5C1A50"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0E8E735A" w14:textId="77777777" w:rsidR="00815AC2" w:rsidRDefault="00815AC2">
            <w:pPr>
              <w:rPr>
                <w:rFonts w:ascii="Arial" w:hAnsi="Arial" w:cs="Arial"/>
                <w:sz w:val="20"/>
                <w:szCs w:val="20"/>
              </w:rPr>
            </w:pPr>
            <w:r>
              <w:rPr>
                <w:rFonts w:ascii="Arial" w:hAnsi="Arial" w:cs="Arial"/>
                <w:sz w:val="20"/>
                <w:szCs w:val="20"/>
              </w:rPr>
              <w:t>DB2 11.5 (Medium)</w:t>
            </w:r>
          </w:p>
        </w:tc>
        <w:tc>
          <w:tcPr>
            <w:tcW w:w="1559" w:type="dxa"/>
            <w:tcBorders>
              <w:top w:val="single" w:sz="4" w:space="0" w:color="auto"/>
              <w:left w:val="single" w:sz="4" w:space="0" w:color="auto"/>
              <w:bottom w:val="single" w:sz="4" w:space="0" w:color="auto"/>
              <w:right w:val="single" w:sz="4" w:space="0" w:color="auto"/>
            </w:tcBorders>
            <w:hideMark/>
          </w:tcPr>
          <w:p w14:paraId="09EBFD2B" w14:textId="77777777" w:rsidR="00815AC2" w:rsidRDefault="00815AC2">
            <w:pPr>
              <w:rPr>
                <w:rFonts w:ascii="Arial" w:hAnsi="Arial" w:cs="Arial"/>
                <w:sz w:val="20"/>
                <w:szCs w:val="20"/>
              </w:rPr>
            </w:pPr>
            <w:r>
              <w:rPr>
                <w:rFonts w:ascii="Arial" w:hAnsi="Arial" w:cs="Arial"/>
                <w:sz w:val="20"/>
                <w:szCs w:val="20"/>
              </w:rPr>
              <w:t>4.80</w:t>
            </w:r>
          </w:p>
        </w:tc>
      </w:tr>
      <w:tr w:rsidR="00815AC2" w14:paraId="582F1B23"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116A31AD" w14:textId="77777777" w:rsidR="00815AC2" w:rsidRDefault="00815AC2">
            <w:pPr>
              <w:rPr>
                <w:rFonts w:ascii="Arial" w:hAnsi="Arial" w:cs="Arial"/>
                <w:sz w:val="20"/>
                <w:szCs w:val="20"/>
              </w:rPr>
            </w:pPr>
            <w:r>
              <w:rPr>
                <w:rFonts w:ascii="Arial" w:hAnsi="Arial" w:cs="Arial"/>
                <w:sz w:val="20"/>
                <w:szCs w:val="20"/>
              </w:rPr>
              <w:t>Oracle 12c (Medium)</w:t>
            </w:r>
          </w:p>
        </w:tc>
        <w:tc>
          <w:tcPr>
            <w:tcW w:w="1559" w:type="dxa"/>
            <w:tcBorders>
              <w:top w:val="single" w:sz="4" w:space="0" w:color="auto"/>
              <w:left w:val="single" w:sz="4" w:space="0" w:color="auto"/>
              <w:bottom w:val="single" w:sz="4" w:space="0" w:color="auto"/>
              <w:right w:val="single" w:sz="4" w:space="0" w:color="auto"/>
            </w:tcBorders>
            <w:hideMark/>
          </w:tcPr>
          <w:p w14:paraId="32007FAF" w14:textId="77777777" w:rsidR="00815AC2" w:rsidRDefault="00815AC2">
            <w:pPr>
              <w:rPr>
                <w:rFonts w:ascii="Arial" w:hAnsi="Arial" w:cs="Arial"/>
                <w:sz w:val="20"/>
                <w:szCs w:val="20"/>
              </w:rPr>
            </w:pPr>
            <w:r>
              <w:rPr>
                <w:rFonts w:ascii="Arial" w:hAnsi="Arial" w:cs="Arial"/>
                <w:sz w:val="20"/>
                <w:szCs w:val="20"/>
              </w:rPr>
              <w:t>4.80</w:t>
            </w:r>
          </w:p>
        </w:tc>
      </w:tr>
      <w:tr w:rsidR="00815AC2" w14:paraId="127811DE"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22310142" w14:textId="77777777" w:rsidR="00815AC2" w:rsidRDefault="00815AC2">
            <w:pPr>
              <w:rPr>
                <w:rFonts w:ascii="Arial" w:hAnsi="Arial" w:cs="Arial"/>
                <w:sz w:val="20"/>
                <w:szCs w:val="20"/>
              </w:rPr>
            </w:pPr>
            <w:r>
              <w:rPr>
                <w:rFonts w:ascii="Arial" w:hAnsi="Arial" w:cs="Arial"/>
                <w:sz w:val="20"/>
                <w:szCs w:val="20"/>
              </w:rPr>
              <w:t>Oracle 11g (Medium)</w:t>
            </w:r>
          </w:p>
        </w:tc>
        <w:tc>
          <w:tcPr>
            <w:tcW w:w="1559" w:type="dxa"/>
            <w:tcBorders>
              <w:top w:val="single" w:sz="4" w:space="0" w:color="auto"/>
              <w:left w:val="single" w:sz="4" w:space="0" w:color="auto"/>
              <w:bottom w:val="single" w:sz="4" w:space="0" w:color="auto"/>
              <w:right w:val="single" w:sz="4" w:space="0" w:color="auto"/>
            </w:tcBorders>
            <w:hideMark/>
          </w:tcPr>
          <w:p w14:paraId="4D09F7E6" w14:textId="77777777" w:rsidR="00815AC2" w:rsidRDefault="00815AC2">
            <w:pPr>
              <w:rPr>
                <w:rFonts w:ascii="Arial" w:hAnsi="Arial" w:cs="Arial"/>
                <w:sz w:val="20"/>
                <w:szCs w:val="20"/>
              </w:rPr>
            </w:pPr>
            <w:r>
              <w:rPr>
                <w:rFonts w:ascii="Arial" w:hAnsi="Arial" w:cs="Arial"/>
                <w:sz w:val="20"/>
                <w:szCs w:val="20"/>
              </w:rPr>
              <w:t>4.80</w:t>
            </w:r>
          </w:p>
        </w:tc>
      </w:tr>
      <w:tr w:rsidR="00815AC2" w14:paraId="60364060" w14:textId="77777777" w:rsidTr="00815AC2">
        <w:trPr>
          <w:trHeight w:val="312"/>
        </w:trPr>
        <w:tc>
          <w:tcPr>
            <w:tcW w:w="4815" w:type="dxa"/>
            <w:tcBorders>
              <w:top w:val="single" w:sz="4" w:space="0" w:color="auto"/>
              <w:left w:val="single" w:sz="4" w:space="0" w:color="auto"/>
              <w:bottom w:val="single" w:sz="4" w:space="0" w:color="auto"/>
              <w:right w:val="single" w:sz="4" w:space="0" w:color="auto"/>
            </w:tcBorders>
            <w:hideMark/>
          </w:tcPr>
          <w:p w14:paraId="235226ED" w14:textId="77777777" w:rsidR="00815AC2" w:rsidRDefault="00815AC2">
            <w:pPr>
              <w:rPr>
                <w:rFonts w:ascii="Arial" w:hAnsi="Arial" w:cs="Arial"/>
                <w:sz w:val="20"/>
                <w:szCs w:val="20"/>
              </w:rPr>
            </w:pPr>
            <w:r>
              <w:rPr>
                <w:rFonts w:ascii="Arial" w:hAnsi="Arial" w:cs="Arial"/>
                <w:sz w:val="20"/>
                <w:szCs w:val="20"/>
              </w:rPr>
              <w:t>SQL 2017 (Small)</w:t>
            </w:r>
          </w:p>
        </w:tc>
        <w:tc>
          <w:tcPr>
            <w:tcW w:w="1559" w:type="dxa"/>
            <w:tcBorders>
              <w:top w:val="single" w:sz="4" w:space="0" w:color="auto"/>
              <w:left w:val="single" w:sz="4" w:space="0" w:color="auto"/>
              <w:bottom w:val="single" w:sz="4" w:space="0" w:color="auto"/>
              <w:right w:val="single" w:sz="4" w:space="0" w:color="auto"/>
            </w:tcBorders>
            <w:hideMark/>
          </w:tcPr>
          <w:p w14:paraId="21AC0B32" w14:textId="77777777" w:rsidR="00815AC2" w:rsidRDefault="00815AC2">
            <w:pPr>
              <w:rPr>
                <w:rFonts w:ascii="Arial" w:hAnsi="Arial" w:cs="Arial"/>
                <w:sz w:val="20"/>
                <w:szCs w:val="20"/>
              </w:rPr>
            </w:pPr>
            <w:r>
              <w:rPr>
                <w:rFonts w:ascii="Arial" w:hAnsi="Arial" w:cs="Arial"/>
                <w:sz w:val="20"/>
                <w:szCs w:val="20"/>
              </w:rPr>
              <w:t>4.80</w:t>
            </w:r>
          </w:p>
        </w:tc>
      </w:tr>
      <w:tr w:rsidR="00815AC2" w14:paraId="09021963"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1C507A18" w14:textId="77777777" w:rsidR="00815AC2" w:rsidRDefault="00815AC2">
            <w:pPr>
              <w:rPr>
                <w:rFonts w:ascii="Arial" w:hAnsi="Arial" w:cs="Arial"/>
                <w:sz w:val="20"/>
                <w:szCs w:val="20"/>
              </w:rPr>
            </w:pPr>
            <w:r>
              <w:rPr>
                <w:rFonts w:ascii="Arial" w:hAnsi="Arial" w:cs="Arial"/>
                <w:sz w:val="20"/>
                <w:szCs w:val="20"/>
              </w:rPr>
              <w:t>SQL 2012 (Small)</w:t>
            </w:r>
          </w:p>
        </w:tc>
        <w:tc>
          <w:tcPr>
            <w:tcW w:w="1559" w:type="dxa"/>
            <w:tcBorders>
              <w:top w:val="single" w:sz="4" w:space="0" w:color="auto"/>
              <w:left w:val="single" w:sz="4" w:space="0" w:color="auto"/>
              <w:bottom w:val="single" w:sz="4" w:space="0" w:color="auto"/>
              <w:right w:val="single" w:sz="4" w:space="0" w:color="auto"/>
            </w:tcBorders>
            <w:hideMark/>
          </w:tcPr>
          <w:p w14:paraId="5668AEAD" w14:textId="77777777" w:rsidR="00815AC2" w:rsidRDefault="00815AC2">
            <w:pPr>
              <w:rPr>
                <w:rFonts w:ascii="Arial" w:hAnsi="Arial" w:cs="Arial"/>
                <w:sz w:val="20"/>
                <w:szCs w:val="20"/>
              </w:rPr>
            </w:pPr>
            <w:r>
              <w:rPr>
                <w:rFonts w:ascii="Arial" w:hAnsi="Arial" w:cs="Arial"/>
                <w:sz w:val="20"/>
                <w:szCs w:val="20"/>
              </w:rPr>
              <w:t>4.80</w:t>
            </w:r>
          </w:p>
        </w:tc>
      </w:tr>
      <w:tr w:rsidR="00815AC2" w14:paraId="04DCA8B3"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3094AC14" w14:textId="77777777" w:rsidR="00815AC2" w:rsidRDefault="00815AC2">
            <w:pPr>
              <w:rPr>
                <w:rFonts w:ascii="Arial" w:hAnsi="Arial" w:cs="Arial"/>
                <w:sz w:val="20"/>
                <w:szCs w:val="20"/>
              </w:rPr>
            </w:pPr>
            <w:r>
              <w:rPr>
                <w:rFonts w:ascii="Arial" w:hAnsi="Arial" w:cs="Arial"/>
                <w:sz w:val="20"/>
                <w:szCs w:val="20"/>
              </w:rPr>
              <w:t>DB2 11.1 (Small)</w:t>
            </w:r>
          </w:p>
        </w:tc>
        <w:tc>
          <w:tcPr>
            <w:tcW w:w="1559" w:type="dxa"/>
            <w:tcBorders>
              <w:top w:val="single" w:sz="4" w:space="0" w:color="auto"/>
              <w:left w:val="single" w:sz="4" w:space="0" w:color="auto"/>
              <w:bottom w:val="single" w:sz="4" w:space="0" w:color="auto"/>
              <w:right w:val="single" w:sz="4" w:space="0" w:color="auto"/>
            </w:tcBorders>
            <w:hideMark/>
          </w:tcPr>
          <w:p w14:paraId="529A4F2F" w14:textId="77777777" w:rsidR="00815AC2" w:rsidRDefault="00815AC2">
            <w:pPr>
              <w:rPr>
                <w:rFonts w:ascii="Arial" w:hAnsi="Arial" w:cs="Arial"/>
                <w:sz w:val="20"/>
                <w:szCs w:val="20"/>
              </w:rPr>
            </w:pPr>
            <w:r>
              <w:rPr>
                <w:rFonts w:ascii="Arial" w:hAnsi="Arial" w:cs="Arial"/>
                <w:sz w:val="20"/>
                <w:szCs w:val="20"/>
              </w:rPr>
              <w:t>4.80</w:t>
            </w:r>
          </w:p>
        </w:tc>
      </w:tr>
      <w:tr w:rsidR="00815AC2" w14:paraId="55CF3097"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2040A0B7" w14:textId="77777777" w:rsidR="00815AC2" w:rsidRDefault="00815AC2">
            <w:pPr>
              <w:rPr>
                <w:rFonts w:ascii="Arial" w:hAnsi="Arial" w:cs="Arial"/>
                <w:sz w:val="20"/>
                <w:szCs w:val="20"/>
              </w:rPr>
            </w:pPr>
            <w:r>
              <w:rPr>
                <w:rFonts w:ascii="Arial" w:hAnsi="Arial" w:cs="Arial"/>
                <w:sz w:val="20"/>
                <w:szCs w:val="20"/>
              </w:rPr>
              <w:t>DB2 11.5 (Small)</w:t>
            </w:r>
          </w:p>
        </w:tc>
        <w:tc>
          <w:tcPr>
            <w:tcW w:w="1559" w:type="dxa"/>
            <w:tcBorders>
              <w:top w:val="single" w:sz="4" w:space="0" w:color="auto"/>
              <w:left w:val="single" w:sz="4" w:space="0" w:color="auto"/>
              <w:bottom w:val="single" w:sz="4" w:space="0" w:color="auto"/>
              <w:right w:val="single" w:sz="4" w:space="0" w:color="auto"/>
            </w:tcBorders>
            <w:hideMark/>
          </w:tcPr>
          <w:p w14:paraId="6A623D1B" w14:textId="77777777" w:rsidR="00815AC2" w:rsidRDefault="00815AC2">
            <w:pPr>
              <w:rPr>
                <w:rFonts w:ascii="Arial" w:hAnsi="Arial" w:cs="Arial"/>
                <w:sz w:val="20"/>
                <w:szCs w:val="20"/>
              </w:rPr>
            </w:pPr>
            <w:r>
              <w:rPr>
                <w:rFonts w:ascii="Arial" w:hAnsi="Arial" w:cs="Arial"/>
                <w:sz w:val="20"/>
                <w:szCs w:val="20"/>
              </w:rPr>
              <w:t>4.80</w:t>
            </w:r>
          </w:p>
        </w:tc>
      </w:tr>
      <w:tr w:rsidR="00815AC2" w14:paraId="778620B1"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0887ED65" w14:textId="77777777" w:rsidR="00815AC2" w:rsidRDefault="00815AC2">
            <w:pPr>
              <w:rPr>
                <w:rFonts w:ascii="Arial" w:hAnsi="Arial" w:cs="Arial"/>
                <w:sz w:val="20"/>
                <w:szCs w:val="20"/>
              </w:rPr>
            </w:pPr>
            <w:r>
              <w:rPr>
                <w:rFonts w:ascii="Arial" w:hAnsi="Arial" w:cs="Arial"/>
                <w:sz w:val="20"/>
                <w:szCs w:val="20"/>
              </w:rPr>
              <w:t>Oracle 12c (Small)</w:t>
            </w:r>
          </w:p>
        </w:tc>
        <w:tc>
          <w:tcPr>
            <w:tcW w:w="1559" w:type="dxa"/>
            <w:tcBorders>
              <w:top w:val="single" w:sz="4" w:space="0" w:color="auto"/>
              <w:left w:val="single" w:sz="4" w:space="0" w:color="auto"/>
              <w:bottom w:val="single" w:sz="4" w:space="0" w:color="auto"/>
              <w:right w:val="single" w:sz="4" w:space="0" w:color="auto"/>
            </w:tcBorders>
            <w:hideMark/>
          </w:tcPr>
          <w:p w14:paraId="61AAFBAE" w14:textId="77777777" w:rsidR="00815AC2" w:rsidRDefault="00815AC2">
            <w:pPr>
              <w:rPr>
                <w:rFonts w:ascii="Arial" w:hAnsi="Arial" w:cs="Arial"/>
                <w:sz w:val="20"/>
                <w:szCs w:val="20"/>
              </w:rPr>
            </w:pPr>
            <w:r>
              <w:rPr>
                <w:rFonts w:ascii="Arial" w:hAnsi="Arial" w:cs="Arial"/>
                <w:sz w:val="20"/>
                <w:szCs w:val="20"/>
              </w:rPr>
              <w:t>4.80</w:t>
            </w:r>
          </w:p>
        </w:tc>
      </w:tr>
      <w:tr w:rsidR="00815AC2" w14:paraId="78E85C7F"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6FA12860" w14:textId="77777777" w:rsidR="00815AC2" w:rsidRDefault="00815AC2">
            <w:pPr>
              <w:rPr>
                <w:rFonts w:ascii="Arial" w:hAnsi="Arial" w:cs="Arial"/>
                <w:sz w:val="20"/>
                <w:szCs w:val="20"/>
              </w:rPr>
            </w:pPr>
            <w:r>
              <w:rPr>
                <w:rFonts w:ascii="Arial" w:hAnsi="Arial" w:cs="Arial"/>
                <w:sz w:val="20"/>
                <w:szCs w:val="20"/>
              </w:rPr>
              <w:t>Oracle 11g (Small)</w:t>
            </w:r>
          </w:p>
        </w:tc>
        <w:tc>
          <w:tcPr>
            <w:tcW w:w="1559" w:type="dxa"/>
            <w:tcBorders>
              <w:top w:val="single" w:sz="4" w:space="0" w:color="auto"/>
              <w:left w:val="single" w:sz="4" w:space="0" w:color="auto"/>
              <w:bottom w:val="single" w:sz="4" w:space="0" w:color="auto"/>
              <w:right w:val="single" w:sz="4" w:space="0" w:color="auto"/>
            </w:tcBorders>
            <w:hideMark/>
          </w:tcPr>
          <w:p w14:paraId="1496D14E" w14:textId="77777777" w:rsidR="00815AC2" w:rsidRDefault="00815AC2">
            <w:pPr>
              <w:rPr>
                <w:rFonts w:ascii="Arial" w:hAnsi="Arial" w:cs="Arial"/>
                <w:sz w:val="20"/>
                <w:szCs w:val="20"/>
              </w:rPr>
            </w:pPr>
            <w:r>
              <w:rPr>
                <w:rFonts w:ascii="Arial" w:hAnsi="Arial" w:cs="Arial"/>
                <w:sz w:val="20"/>
                <w:szCs w:val="20"/>
              </w:rPr>
              <w:t>4.80</w:t>
            </w:r>
          </w:p>
        </w:tc>
      </w:tr>
      <w:tr w:rsidR="00815AC2" w14:paraId="55FE1747" w14:textId="77777777" w:rsidTr="00815AC2">
        <w:trPr>
          <w:trHeight w:val="288"/>
        </w:trPr>
        <w:tc>
          <w:tcPr>
            <w:tcW w:w="6374" w:type="dxa"/>
            <w:gridSpan w:val="2"/>
            <w:tcBorders>
              <w:top w:val="single" w:sz="4" w:space="0" w:color="auto"/>
              <w:left w:val="single" w:sz="4" w:space="0" w:color="auto"/>
              <w:bottom w:val="single" w:sz="4" w:space="0" w:color="auto"/>
              <w:right w:val="single" w:sz="4" w:space="0" w:color="auto"/>
            </w:tcBorders>
            <w:noWrap/>
            <w:hideMark/>
          </w:tcPr>
          <w:p w14:paraId="05317910" w14:textId="77777777" w:rsidR="00815AC2" w:rsidRDefault="00815AC2">
            <w:pPr>
              <w:rPr>
                <w:rFonts w:ascii="Arial" w:hAnsi="Arial" w:cs="Arial"/>
                <w:b/>
                <w:bCs/>
                <w:sz w:val="20"/>
                <w:szCs w:val="20"/>
              </w:rPr>
            </w:pPr>
            <w:r>
              <w:rPr>
                <w:rFonts w:ascii="Arial" w:hAnsi="Arial" w:cs="Arial"/>
                <w:b/>
                <w:bCs/>
                <w:sz w:val="20"/>
                <w:szCs w:val="20"/>
              </w:rPr>
              <w:t>Active Directory:</w:t>
            </w:r>
          </w:p>
        </w:tc>
      </w:tr>
      <w:tr w:rsidR="00815AC2" w14:paraId="4A10EB61"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0FCFEF0A" w14:textId="77777777" w:rsidR="00815AC2" w:rsidRDefault="00815AC2">
            <w:pPr>
              <w:rPr>
                <w:rFonts w:ascii="Arial" w:hAnsi="Arial" w:cs="Arial"/>
                <w:sz w:val="20"/>
                <w:szCs w:val="20"/>
              </w:rPr>
            </w:pPr>
            <w:r>
              <w:rPr>
                <w:rFonts w:ascii="Arial" w:hAnsi="Arial" w:cs="Arial"/>
                <w:sz w:val="20"/>
                <w:szCs w:val="20"/>
              </w:rPr>
              <w:t xml:space="preserve">User Management (Per user) </w:t>
            </w:r>
          </w:p>
        </w:tc>
        <w:tc>
          <w:tcPr>
            <w:tcW w:w="1559" w:type="dxa"/>
            <w:tcBorders>
              <w:top w:val="single" w:sz="4" w:space="0" w:color="auto"/>
              <w:left w:val="single" w:sz="4" w:space="0" w:color="auto"/>
              <w:bottom w:val="single" w:sz="4" w:space="0" w:color="auto"/>
              <w:right w:val="single" w:sz="4" w:space="0" w:color="auto"/>
            </w:tcBorders>
            <w:hideMark/>
          </w:tcPr>
          <w:p w14:paraId="371209DB" w14:textId="77777777" w:rsidR="00815AC2" w:rsidRDefault="00815AC2">
            <w:pPr>
              <w:rPr>
                <w:rFonts w:ascii="Arial" w:hAnsi="Arial" w:cs="Arial"/>
                <w:sz w:val="20"/>
                <w:szCs w:val="20"/>
              </w:rPr>
            </w:pPr>
            <w:r>
              <w:rPr>
                <w:rFonts w:ascii="Arial" w:hAnsi="Arial" w:cs="Arial"/>
                <w:sz w:val="20"/>
                <w:szCs w:val="20"/>
              </w:rPr>
              <w:t>0.60</w:t>
            </w:r>
          </w:p>
        </w:tc>
      </w:tr>
      <w:tr w:rsidR="00815AC2" w14:paraId="136AA003"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0622B365" w14:textId="77777777" w:rsidR="00815AC2" w:rsidRDefault="00815AC2">
            <w:pPr>
              <w:rPr>
                <w:rFonts w:ascii="Arial" w:hAnsi="Arial" w:cs="Arial"/>
                <w:sz w:val="20"/>
                <w:szCs w:val="20"/>
              </w:rPr>
            </w:pPr>
            <w:r>
              <w:rPr>
                <w:rFonts w:ascii="Arial" w:hAnsi="Arial" w:cs="Arial"/>
                <w:sz w:val="20"/>
                <w:szCs w:val="20"/>
              </w:rPr>
              <w:t>AD Security group (Per group)</w:t>
            </w:r>
          </w:p>
        </w:tc>
        <w:tc>
          <w:tcPr>
            <w:tcW w:w="1559" w:type="dxa"/>
            <w:tcBorders>
              <w:top w:val="single" w:sz="4" w:space="0" w:color="auto"/>
              <w:left w:val="single" w:sz="4" w:space="0" w:color="auto"/>
              <w:bottom w:val="single" w:sz="4" w:space="0" w:color="auto"/>
              <w:right w:val="single" w:sz="4" w:space="0" w:color="auto"/>
            </w:tcBorders>
            <w:hideMark/>
          </w:tcPr>
          <w:p w14:paraId="7C48E448" w14:textId="77777777" w:rsidR="00815AC2" w:rsidRDefault="00815AC2">
            <w:pPr>
              <w:rPr>
                <w:rFonts w:ascii="Arial" w:hAnsi="Arial" w:cs="Arial"/>
                <w:sz w:val="20"/>
                <w:szCs w:val="20"/>
              </w:rPr>
            </w:pPr>
            <w:r>
              <w:rPr>
                <w:rFonts w:ascii="Arial" w:hAnsi="Arial" w:cs="Arial"/>
                <w:sz w:val="20"/>
                <w:szCs w:val="20"/>
              </w:rPr>
              <w:t>0.60</w:t>
            </w:r>
          </w:p>
        </w:tc>
      </w:tr>
      <w:tr w:rsidR="00815AC2" w14:paraId="0FA381C0"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7C893E52" w14:textId="77777777" w:rsidR="00815AC2" w:rsidRDefault="00815AC2">
            <w:pPr>
              <w:rPr>
                <w:rFonts w:ascii="Arial" w:hAnsi="Arial" w:cs="Arial"/>
                <w:sz w:val="20"/>
                <w:szCs w:val="20"/>
              </w:rPr>
            </w:pPr>
            <w:r>
              <w:rPr>
                <w:rFonts w:ascii="Arial" w:hAnsi="Arial" w:cs="Arial"/>
                <w:sz w:val="20"/>
                <w:szCs w:val="20"/>
              </w:rPr>
              <w:t>AD Objects (Per object)</w:t>
            </w:r>
          </w:p>
        </w:tc>
        <w:tc>
          <w:tcPr>
            <w:tcW w:w="1559" w:type="dxa"/>
            <w:tcBorders>
              <w:top w:val="single" w:sz="4" w:space="0" w:color="auto"/>
              <w:left w:val="single" w:sz="4" w:space="0" w:color="auto"/>
              <w:bottom w:val="single" w:sz="4" w:space="0" w:color="auto"/>
              <w:right w:val="single" w:sz="4" w:space="0" w:color="auto"/>
            </w:tcBorders>
            <w:hideMark/>
          </w:tcPr>
          <w:p w14:paraId="3828C893" w14:textId="77777777" w:rsidR="00815AC2" w:rsidRDefault="00815AC2">
            <w:pPr>
              <w:rPr>
                <w:rFonts w:ascii="Arial" w:hAnsi="Arial" w:cs="Arial"/>
                <w:sz w:val="20"/>
                <w:szCs w:val="20"/>
              </w:rPr>
            </w:pPr>
            <w:r>
              <w:rPr>
                <w:rFonts w:ascii="Arial" w:hAnsi="Arial" w:cs="Arial"/>
                <w:sz w:val="20"/>
                <w:szCs w:val="20"/>
              </w:rPr>
              <w:t>0.60</w:t>
            </w:r>
          </w:p>
        </w:tc>
      </w:tr>
      <w:tr w:rsidR="00815AC2" w14:paraId="23E20589"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0EB56E22" w14:textId="77777777" w:rsidR="00815AC2" w:rsidRDefault="00815AC2">
            <w:pPr>
              <w:rPr>
                <w:rFonts w:ascii="Arial" w:hAnsi="Arial" w:cs="Arial"/>
                <w:sz w:val="20"/>
                <w:szCs w:val="20"/>
              </w:rPr>
            </w:pPr>
            <w:r>
              <w:rPr>
                <w:rFonts w:ascii="Arial" w:hAnsi="Arial" w:cs="Arial"/>
                <w:sz w:val="20"/>
                <w:szCs w:val="20"/>
              </w:rPr>
              <w:t>Domain Controllers (Per DC)</w:t>
            </w:r>
          </w:p>
        </w:tc>
        <w:tc>
          <w:tcPr>
            <w:tcW w:w="1559" w:type="dxa"/>
            <w:tcBorders>
              <w:top w:val="single" w:sz="4" w:space="0" w:color="auto"/>
              <w:left w:val="single" w:sz="4" w:space="0" w:color="auto"/>
              <w:bottom w:val="single" w:sz="4" w:space="0" w:color="auto"/>
              <w:right w:val="single" w:sz="4" w:space="0" w:color="auto"/>
            </w:tcBorders>
            <w:hideMark/>
          </w:tcPr>
          <w:p w14:paraId="614EB77C" w14:textId="77777777" w:rsidR="00815AC2" w:rsidRDefault="00815AC2">
            <w:pPr>
              <w:rPr>
                <w:rFonts w:ascii="Arial" w:hAnsi="Arial" w:cs="Arial"/>
                <w:sz w:val="20"/>
                <w:szCs w:val="20"/>
              </w:rPr>
            </w:pPr>
            <w:r>
              <w:rPr>
                <w:rFonts w:ascii="Arial" w:hAnsi="Arial" w:cs="Arial"/>
                <w:sz w:val="20"/>
                <w:szCs w:val="20"/>
              </w:rPr>
              <w:t>0.60</w:t>
            </w:r>
          </w:p>
        </w:tc>
      </w:tr>
      <w:tr w:rsidR="00815AC2" w14:paraId="2EBD68C3" w14:textId="77777777" w:rsidTr="00815AC2">
        <w:trPr>
          <w:trHeight w:val="300"/>
        </w:trPr>
        <w:tc>
          <w:tcPr>
            <w:tcW w:w="6374" w:type="dxa"/>
            <w:gridSpan w:val="2"/>
            <w:tcBorders>
              <w:top w:val="single" w:sz="4" w:space="0" w:color="auto"/>
              <w:left w:val="single" w:sz="4" w:space="0" w:color="auto"/>
              <w:bottom w:val="single" w:sz="4" w:space="0" w:color="auto"/>
              <w:right w:val="single" w:sz="4" w:space="0" w:color="auto"/>
            </w:tcBorders>
            <w:noWrap/>
            <w:hideMark/>
          </w:tcPr>
          <w:p w14:paraId="30FB2B6B" w14:textId="77777777" w:rsidR="00815AC2" w:rsidRDefault="00815AC2">
            <w:pPr>
              <w:rPr>
                <w:rFonts w:ascii="Arial" w:hAnsi="Arial" w:cs="Arial"/>
                <w:b/>
                <w:bCs/>
                <w:sz w:val="20"/>
                <w:szCs w:val="20"/>
              </w:rPr>
            </w:pPr>
            <w:r>
              <w:rPr>
                <w:rFonts w:ascii="Arial" w:hAnsi="Arial" w:cs="Arial"/>
                <w:b/>
                <w:bCs/>
                <w:sz w:val="20"/>
                <w:szCs w:val="20"/>
              </w:rPr>
              <w:t>Web Server:</w:t>
            </w:r>
          </w:p>
        </w:tc>
      </w:tr>
      <w:tr w:rsidR="00815AC2" w14:paraId="73F4A0A1" w14:textId="77777777" w:rsidTr="00815AC2">
        <w:trPr>
          <w:trHeight w:val="312"/>
        </w:trPr>
        <w:tc>
          <w:tcPr>
            <w:tcW w:w="4815" w:type="dxa"/>
            <w:tcBorders>
              <w:top w:val="single" w:sz="4" w:space="0" w:color="auto"/>
              <w:left w:val="single" w:sz="4" w:space="0" w:color="auto"/>
              <w:bottom w:val="single" w:sz="4" w:space="0" w:color="auto"/>
              <w:right w:val="single" w:sz="4" w:space="0" w:color="auto"/>
            </w:tcBorders>
            <w:hideMark/>
          </w:tcPr>
          <w:p w14:paraId="3368BFDB" w14:textId="77777777" w:rsidR="00815AC2" w:rsidRDefault="00815AC2">
            <w:pPr>
              <w:rPr>
                <w:rFonts w:ascii="Arial" w:hAnsi="Arial" w:cs="Arial"/>
                <w:sz w:val="20"/>
                <w:szCs w:val="20"/>
              </w:rPr>
            </w:pPr>
            <w:r>
              <w:rPr>
                <w:rFonts w:ascii="Arial" w:hAnsi="Arial" w:cs="Arial"/>
                <w:sz w:val="20"/>
                <w:szCs w:val="20"/>
              </w:rPr>
              <w:t>Windows IIS 10 Standalone (Large)</w:t>
            </w:r>
          </w:p>
        </w:tc>
        <w:tc>
          <w:tcPr>
            <w:tcW w:w="1559" w:type="dxa"/>
            <w:tcBorders>
              <w:top w:val="single" w:sz="4" w:space="0" w:color="auto"/>
              <w:left w:val="single" w:sz="4" w:space="0" w:color="auto"/>
              <w:bottom w:val="single" w:sz="4" w:space="0" w:color="auto"/>
              <w:right w:val="single" w:sz="4" w:space="0" w:color="auto"/>
            </w:tcBorders>
            <w:hideMark/>
          </w:tcPr>
          <w:p w14:paraId="5495052E" w14:textId="77777777" w:rsidR="00815AC2" w:rsidRDefault="00815AC2">
            <w:pPr>
              <w:rPr>
                <w:rFonts w:ascii="Arial" w:hAnsi="Arial" w:cs="Arial"/>
                <w:sz w:val="20"/>
                <w:szCs w:val="20"/>
              </w:rPr>
            </w:pPr>
            <w:r>
              <w:rPr>
                <w:rFonts w:ascii="Arial" w:hAnsi="Arial" w:cs="Arial"/>
                <w:sz w:val="20"/>
                <w:szCs w:val="20"/>
              </w:rPr>
              <w:t>19.68</w:t>
            </w:r>
          </w:p>
        </w:tc>
      </w:tr>
      <w:tr w:rsidR="00815AC2" w14:paraId="074E5F54"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0AC34869" w14:textId="77777777" w:rsidR="00815AC2" w:rsidRDefault="00815AC2">
            <w:pPr>
              <w:rPr>
                <w:rFonts w:ascii="Arial" w:hAnsi="Arial" w:cs="Arial"/>
                <w:sz w:val="20"/>
                <w:szCs w:val="20"/>
              </w:rPr>
            </w:pPr>
            <w:r>
              <w:rPr>
                <w:rFonts w:ascii="Arial" w:hAnsi="Arial" w:cs="Arial"/>
                <w:sz w:val="20"/>
                <w:szCs w:val="20"/>
              </w:rPr>
              <w:t>Windows IIS 10 Load balanced (Large)</w:t>
            </w:r>
          </w:p>
        </w:tc>
        <w:tc>
          <w:tcPr>
            <w:tcW w:w="1559" w:type="dxa"/>
            <w:tcBorders>
              <w:top w:val="single" w:sz="4" w:space="0" w:color="auto"/>
              <w:left w:val="single" w:sz="4" w:space="0" w:color="auto"/>
              <w:bottom w:val="single" w:sz="4" w:space="0" w:color="auto"/>
              <w:right w:val="single" w:sz="4" w:space="0" w:color="auto"/>
            </w:tcBorders>
            <w:hideMark/>
          </w:tcPr>
          <w:p w14:paraId="00BDAACE" w14:textId="77777777" w:rsidR="00815AC2" w:rsidRDefault="00815AC2">
            <w:pPr>
              <w:rPr>
                <w:rFonts w:ascii="Arial" w:hAnsi="Arial" w:cs="Arial"/>
                <w:sz w:val="20"/>
                <w:szCs w:val="20"/>
              </w:rPr>
            </w:pPr>
            <w:r>
              <w:rPr>
                <w:rFonts w:ascii="Arial" w:hAnsi="Arial" w:cs="Arial"/>
                <w:sz w:val="20"/>
                <w:szCs w:val="20"/>
              </w:rPr>
              <w:t>19.68</w:t>
            </w:r>
          </w:p>
        </w:tc>
      </w:tr>
      <w:tr w:rsidR="00815AC2" w14:paraId="510EAB14"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64ABDFB9" w14:textId="77777777" w:rsidR="00815AC2" w:rsidRDefault="00815AC2">
            <w:pPr>
              <w:rPr>
                <w:rFonts w:ascii="Arial" w:hAnsi="Arial" w:cs="Arial"/>
                <w:sz w:val="20"/>
                <w:szCs w:val="20"/>
              </w:rPr>
            </w:pPr>
            <w:r>
              <w:rPr>
                <w:rFonts w:ascii="Arial" w:hAnsi="Arial" w:cs="Arial"/>
                <w:sz w:val="20"/>
                <w:szCs w:val="20"/>
              </w:rPr>
              <w:t>RHEL Apache 2.4 Standalone (Large)</w:t>
            </w:r>
          </w:p>
        </w:tc>
        <w:tc>
          <w:tcPr>
            <w:tcW w:w="1559" w:type="dxa"/>
            <w:tcBorders>
              <w:top w:val="single" w:sz="4" w:space="0" w:color="auto"/>
              <w:left w:val="single" w:sz="4" w:space="0" w:color="auto"/>
              <w:bottom w:val="single" w:sz="4" w:space="0" w:color="auto"/>
              <w:right w:val="single" w:sz="4" w:space="0" w:color="auto"/>
            </w:tcBorders>
            <w:hideMark/>
          </w:tcPr>
          <w:p w14:paraId="30B2A91E" w14:textId="77777777" w:rsidR="00815AC2" w:rsidRDefault="00815AC2">
            <w:pPr>
              <w:rPr>
                <w:rFonts w:ascii="Arial" w:hAnsi="Arial" w:cs="Arial"/>
                <w:sz w:val="20"/>
                <w:szCs w:val="20"/>
              </w:rPr>
            </w:pPr>
            <w:r>
              <w:rPr>
                <w:rFonts w:ascii="Arial" w:hAnsi="Arial" w:cs="Arial"/>
                <w:sz w:val="20"/>
                <w:szCs w:val="20"/>
              </w:rPr>
              <w:t>19.68</w:t>
            </w:r>
          </w:p>
        </w:tc>
      </w:tr>
      <w:tr w:rsidR="00815AC2" w14:paraId="793F95CD"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3AC60D89" w14:textId="77777777" w:rsidR="00815AC2" w:rsidRDefault="00815AC2">
            <w:pPr>
              <w:rPr>
                <w:rFonts w:ascii="Arial" w:hAnsi="Arial" w:cs="Arial"/>
                <w:sz w:val="20"/>
                <w:szCs w:val="20"/>
              </w:rPr>
            </w:pPr>
            <w:r>
              <w:rPr>
                <w:rFonts w:ascii="Arial" w:hAnsi="Arial" w:cs="Arial"/>
                <w:sz w:val="20"/>
                <w:szCs w:val="20"/>
              </w:rPr>
              <w:t>RHEL Apache 2.4 Load balanced (Large)</w:t>
            </w:r>
          </w:p>
        </w:tc>
        <w:tc>
          <w:tcPr>
            <w:tcW w:w="1559" w:type="dxa"/>
            <w:tcBorders>
              <w:top w:val="single" w:sz="4" w:space="0" w:color="auto"/>
              <w:left w:val="single" w:sz="4" w:space="0" w:color="auto"/>
              <w:bottom w:val="single" w:sz="4" w:space="0" w:color="auto"/>
              <w:right w:val="single" w:sz="4" w:space="0" w:color="auto"/>
            </w:tcBorders>
            <w:hideMark/>
          </w:tcPr>
          <w:p w14:paraId="5B02107E" w14:textId="77777777" w:rsidR="00815AC2" w:rsidRDefault="00815AC2">
            <w:pPr>
              <w:rPr>
                <w:rFonts w:ascii="Arial" w:hAnsi="Arial" w:cs="Arial"/>
                <w:sz w:val="20"/>
                <w:szCs w:val="20"/>
              </w:rPr>
            </w:pPr>
            <w:r>
              <w:rPr>
                <w:rFonts w:ascii="Arial" w:hAnsi="Arial" w:cs="Arial"/>
                <w:sz w:val="20"/>
                <w:szCs w:val="20"/>
              </w:rPr>
              <w:t>19.68</w:t>
            </w:r>
          </w:p>
        </w:tc>
      </w:tr>
      <w:tr w:rsidR="00815AC2" w14:paraId="0874F8FD" w14:textId="77777777" w:rsidTr="00815AC2">
        <w:trPr>
          <w:trHeight w:val="312"/>
        </w:trPr>
        <w:tc>
          <w:tcPr>
            <w:tcW w:w="4815" w:type="dxa"/>
            <w:tcBorders>
              <w:top w:val="single" w:sz="4" w:space="0" w:color="auto"/>
              <w:left w:val="single" w:sz="4" w:space="0" w:color="auto"/>
              <w:bottom w:val="single" w:sz="4" w:space="0" w:color="auto"/>
              <w:right w:val="single" w:sz="4" w:space="0" w:color="auto"/>
            </w:tcBorders>
            <w:hideMark/>
          </w:tcPr>
          <w:p w14:paraId="1762C61F" w14:textId="77777777" w:rsidR="00815AC2" w:rsidRDefault="00815AC2">
            <w:pPr>
              <w:rPr>
                <w:rFonts w:ascii="Arial" w:hAnsi="Arial" w:cs="Arial"/>
                <w:sz w:val="20"/>
                <w:szCs w:val="20"/>
              </w:rPr>
            </w:pPr>
            <w:r>
              <w:rPr>
                <w:rFonts w:ascii="Arial" w:hAnsi="Arial" w:cs="Arial"/>
                <w:sz w:val="20"/>
                <w:szCs w:val="20"/>
              </w:rPr>
              <w:t>Windows IIS 10 Standalone (Medium)</w:t>
            </w:r>
          </w:p>
        </w:tc>
        <w:tc>
          <w:tcPr>
            <w:tcW w:w="1559" w:type="dxa"/>
            <w:tcBorders>
              <w:top w:val="single" w:sz="4" w:space="0" w:color="auto"/>
              <w:left w:val="single" w:sz="4" w:space="0" w:color="auto"/>
              <w:bottom w:val="single" w:sz="4" w:space="0" w:color="auto"/>
              <w:right w:val="single" w:sz="4" w:space="0" w:color="auto"/>
            </w:tcBorders>
            <w:hideMark/>
          </w:tcPr>
          <w:p w14:paraId="4357556C" w14:textId="77777777" w:rsidR="00815AC2" w:rsidRDefault="00815AC2">
            <w:pPr>
              <w:rPr>
                <w:rFonts w:ascii="Arial" w:hAnsi="Arial" w:cs="Arial"/>
                <w:sz w:val="20"/>
                <w:szCs w:val="20"/>
              </w:rPr>
            </w:pPr>
            <w:r>
              <w:rPr>
                <w:rFonts w:ascii="Arial" w:hAnsi="Arial" w:cs="Arial"/>
                <w:sz w:val="20"/>
                <w:szCs w:val="20"/>
              </w:rPr>
              <w:t>19.68</w:t>
            </w:r>
          </w:p>
        </w:tc>
      </w:tr>
      <w:tr w:rsidR="00815AC2" w14:paraId="394FFE53"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0A80B2D8" w14:textId="77777777" w:rsidR="00815AC2" w:rsidRDefault="00815AC2">
            <w:pPr>
              <w:rPr>
                <w:rFonts w:ascii="Arial" w:hAnsi="Arial" w:cs="Arial"/>
                <w:sz w:val="20"/>
                <w:szCs w:val="20"/>
              </w:rPr>
            </w:pPr>
            <w:r>
              <w:rPr>
                <w:rFonts w:ascii="Arial" w:hAnsi="Arial" w:cs="Arial"/>
                <w:sz w:val="20"/>
                <w:szCs w:val="20"/>
              </w:rPr>
              <w:t>Windows IIS 10 Load balanced (Medium)</w:t>
            </w:r>
          </w:p>
        </w:tc>
        <w:tc>
          <w:tcPr>
            <w:tcW w:w="1559" w:type="dxa"/>
            <w:tcBorders>
              <w:top w:val="single" w:sz="4" w:space="0" w:color="auto"/>
              <w:left w:val="single" w:sz="4" w:space="0" w:color="auto"/>
              <w:bottom w:val="single" w:sz="4" w:space="0" w:color="auto"/>
              <w:right w:val="single" w:sz="4" w:space="0" w:color="auto"/>
            </w:tcBorders>
            <w:hideMark/>
          </w:tcPr>
          <w:p w14:paraId="0659AD0A" w14:textId="77777777" w:rsidR="00815AC2" w:rsidRDefault="00815AC2">
            <w:pPr>
              <w:rPr>
                <w:rFonts w:ascii="Arial" w:hAnsi="Arial" w:cs="Arial"/>
                <w:sz w:val="20"/>
                <w:szCs w:val="20"/>
              </w:rPr>
            </w:pPr>
            <w:r>
              <w:rPr>
                <w:rFonts w:ascii="Arial" w:hAnsi="Arial" w:cs="Arial"/>
                <w:sz w:val="20"/>
                <w:szCs w:val="20"/>
              </w:rPr>
              <w:t>19.68</w:t>
            </w:r>
          </w:p>
        </w:tc>
      </w:tr>
      <w:tr w:rsidR="00815AC2" w14:paraId="6A6DB2D6"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4CDC77A4" w14:textId="77777777" w:rsidR="00815AC2" w:rsidRDefault="00815AC2">
            <w:pPr>
              <w:rPr>
                <w:rFonts w:ascii="Arial" w:hAnsi="Arial" w:cs="Arial"/>
                <w:sz w:val="20"/>
                <w:szCs w:val="20"/>
              </w:rPr>
            </w:pPr>
            <w:r>
              <w:rPr>
                <w:rFonts w:ascii="Arial" w:hAnsi="Arial" w:cs="Arial"/>
                <w:sz w:val="20"/>
                <w:szCs w:val="20"/>
              </w:rPr>
              <w:t>RHEL Apache 2.4 Standalone (Medium))</w:t>
            </w:r>
          </w:p>
        </w:tc>
        <w:tc>
          <w:tcPr>
            <w:tcW w:w="1559" w:type="dxa"/>
            <w:tcBorders>
              <w:top w:val="single" w:sz="4" w:space="0" w:color="auto"/>
              <w:left w:val="single" w:sz="4" w:space="0" w:color="auto"/>
              <w:bottom w:val="single" w:sz="4" w:space="0" w:color="auto"/>
              <w:right w:val="single" w:sz="4" w:space="0" w:color="auto"/>
            </w:tcBorders>
            <w:hideMark/>
          </w:tcPr>
          <w:p w14:paraId="40E69EFA" w14:textId="77777777" w:rsidR="00815AC2" w:rsidRDefault="00815AC2">
            <w:pPr>
              <w:rPr>
                <w:rFonts w:ascii="Arial" w:hAnsi="Arial" w:cs="Arial"/>
                <w:sz w:val="20"/>
                <w:szCs w:val="20"/>
              </w:rPr>
            </w:pPr>
            <w:r>
              <w:rPr>
                <w:rFonts w:ascii="Arial" w:hAnsi="Arial" w:cs="Arial"/>
                <w:sz w:val="20"/>
                <w:szCs w:val="20"/>
              </w:rPr>
              <w:t>19.68</w:t>
            </w:r>
          </w:p>
        </w:tc>
      </w:tr>
      <w:tr w:rsidR="00815AC2" w14:paraId="721CDA8F"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0D72A9AA" w14:textId="77777777" w:rsidR="00815AC2" w:rsidRDefault="00815AC2">
            <w:pPr>
              <w:rPr>
                <w:rFonts w:ascii="Arial" w:hAnsi="Arial" w:cs="Arial"/>
                <w:sz w:val="20"/>
                <w:szCs w:val="20"/>
              </w:rPr>
            </w:pPr>
            <w:r>
              <w:rPr>
                <w:rFonts w:ascii="Arial" w:hAnsi="Arial" w:cs="Arial"/>
                <w:sz w:val="20"/>
                <w:szCs w:val="20"/>
              </w:rPr>
              <w:t>RHEL Apache 2.4 Load balanced (Medium)</w:t>
            </w:r>
          </w:p>
        </w:tc>
        <w:tc>
          <w:tcPr>
            <w:tcW w:w="1559" w:type="dxa"/>
            <w:tcBorders>
              <w:top w:val="single" w:sz="4" w:space="0" w:color="auto"/>
              <w:left w:val="single" w:sz="4" w:space="0" w:color="auto"/>
              <w:bottom w:val="single" w:sz="4" w:space="0" w:color="auto"/>
              <w:right w:val="single" w:sz="4" w:space="0" w:color="auto"/>
            </w:tcBorders>
            <w:hideMark/>
          </w:tcPr>
          <w:p w14:paraId="02E3A425" w14:textId="77777777" w:rsidR="00815AC2" w:rsidRDefault="00815AC2">
            <w:pPr>
              <w:rPr>
                <w:rFonts w:ascii="Arial" w:hAnsi="Arial" w:cs="Arial"/>
                <w:sz w:val="20"/>
                <w:szCs w:val="20"/>
              </w:rPr>
            </w:pPr>
            <w:r>
              <w:rPr>
                <w:rFonts w:ascii="Arial" w:hAnsi="Arial" w:cs="Arial"/>
                <w:sz w:val="20"/>
                <w:szCs w:val="20"/>
              </w:rPr>
              <w:t>19.68</w:t>
            </w:r>
          </w:p>
        </w:tc>
      </w:tr>
      <w:tr w:rsidR="00815AC2" w14:paraId="45133F0A" w14:textId="77777777" w:rsidTr="00815AC2">
        <w:trPr>
          <w:trHeight w:val="312"/>
        </w:trPr>
        <w:tc>
          <w:tcPr>
            <w:tcW w:w="4815" w:type="dxa"/>
            <w:tcBorders>
              <w:top w:val="single" w:sz="4" w:space="0" w:color="auto"/>
              <w:left w:val="single" w:sz="4" w:space="0" w:color="auto"/>
              <w:bottom w:val="single" w:sz="4" w:space="0" w:color="auto"/>
              <w:right w:val="single" w:sz="4" w:space="0" w:color="auto"/>
            </w:tcBorders>
            <w:hideMark/>
          </w:tcPr>
          <w:p w14:paraId="57F985DA" w14:textId="77777777" w:rsidR="00815AC2" w:rsidRDefault="00815AC2">
            <w:pPr>
              <w:rPr>
                <w:rFonts w:ascii="Arial" w:hAnsi="Arial" w:cs="Arial"/>
                <w:sz w:val="20"/>
                <w:szCs w:val="20"/>
              </w:rPr>
            </w:pPr>
            <w:r>
              <w:rPr>
                <w:rFonts w:ascii="Arial" w:hAnsi="Arial" w:cs="Arial"/>
                <w:sz w:val="20"/>
                <w:szCs w:val="20"/>
              </w:rPr>
              <w:t>Windows IIS 10 Standalone (Small)</w:t>
            </w:r>
          </w:p>
        </w:tc>
        <w:tc>
          <w:tcPr>
            <w:tcW w:w="1559" w:type="dxa"/>
            <w:tcBorders>
              <w:top w:val="single" w:sz="4" w:space="0" w:color="auto"/>
              <w:left w:val="single" w:sz="4" w:space="0" w:color="auto"/>
              <w:bottom w:val="single" w:sz="4" w:space="0" w:color="auto"/>
              <w:right w:val="single" w:sz="4" w:space="0" w:color="auto"/>
            </w:tcBorders>
            <w:hideMark/>
          </w:tcPr>
          <w:p w14:paraId="1A90EE50" w14:textId="77777777" w:rsidR="00815AC2" w:rsidRDefault="00815AC2">
            <w:pPr>
              <w:rPr>
                <w:rFonts w:ascii="Arial" w:hAnsi="Arial" w:cs="Arial"/>
                <w:sz w:val="20"/>
                <w:szCs w:val="20"/>
              </w:rPr>
            </w:pPr>
            <w:r>
              <w:rPr>
                <w:rFonts w:ascii="Arial" w:hAnsi="Arial" w:cs="Arial"/>
                <w:sz w:val="20"/>
                <w:szCs w:val="20"/>
              </w:rPr>
              <w:t>19.68</w:t>
            </w:r>
          </w:p>
        </w:tc>
      </w:tr>
      <w:tr w:rsidR="00815AC2" w14:paraId="17E13E9A"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0E664385" w14:textId="77777777" w:rsidR="00815AC2" w:rsidRDefault="00815AC2">
            <w:pPr>
              <w:rPr>
                <w:rFonts w:ascii="Arial" w:hAnsi="Arial" w:cs="Arial"/>
                <w:sz w:val="20"/>
                <w:szCs w:val="20"/>
              </w:rPr>
            </w:pPr>
            <w:r>
              <w:rPr>
                <w:rFonts w:ascii="Arial" w:hAnsi="Arial" w:cs="Arial"/>
                <w:sz w:val="20"/>
                <w:szCs w:val="20"/>
              </w:rPr>
              <w:lastRenderedPageBreak/>
              <w:t>Windows IIS 10 Load balanced (Small)</w:t>
            </w:r>
          </w:p>
        </w:tc>
        <w:tc>
          <w:tcPr>
            <w:tcW w:w="1559" w:type="dxa"/>
            <w:tcBorders>
              <w:top w:val="single" w:sz="4" w:space="0" w:color="auto"/>
              <w:left w:val="single" w:sz="4" w:space="0" w:color="auto"/>
              <w:bottom w:val="single" w:sz="4" w:space="0" w:color="auto"/>
              <w:right w:val="single" w:sz="4" w:space="0" w:color="auto"/>
            </w:tcBorders>
            <w:hideMark/>
          </w:tcPr>
          <w:p w14:paraId="0438F37A" w14:textId="77777777" w:rsidR="00815AC2" w:rsidRDefault="00815AC2">
            <w:pPr>
              <w:rPr>
                <w:rFonts w:ascii="Arial" w:hAnsi="Arial" w:cs="Arial"/>
                <w:sz w:val="20"/>
                <w:szCs w:val="20"/>
              </w:rPr>
            </w:pPr>
            <w:r>
              <w:rPr>
                <w:rFonts w:ascii="Arial" w:hAnsi="Arial" w:cs="Arial"/>
                <w:sz w:val="20"/>
                <w:szCs w:val="20"/>
              </w:rPr>
              <w:t>19.68</w:t>
            </w:r>
          </w:p>
        </w:tc>
      </w:tr>
      <w:tr w:rsidR="00815AC2" w14:paraId="2F355E3B"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372B6506" w14:textId="77777777" w:rsidR="00815AC2" w:rsidRDefault="00815AC2">
            <w:pPr>
              <w:rPr>
                <w:rFonts w:ascii="Arial" w:hAnsi="Arial" w:cs="Arial"/>
                <w:sz w:val="20"/>
                <w:szCs w:val="20"/>
              </w:rPr>
            </w:pPr>
            <w:r>
              <w:rPr>
                <w:rFonts w:ascii="Arial" w:hAnsi="Arial" w:cs="Arial"/>
                <w:sz w:val="20"/>
                <w:szCs w:val="20"/>
              </w:rPr>
              <w:t>RHEL Apache 2.4 Standalone (Small)</w:t>
            </w:r>
          </w:p>
        </w:tc>
        <w:tc>
          <w:tcPr>
            <w:tcW w:w="1559" w:type="dxa"/>
            <w:tcBorders>
              <w:top w:val="single" w:sz="4" w:space="0" w:color="auto"/>
              <w:left w:val="single" w:sz="4" w:space="0" w:color="auto"/>
              <w:bottom w:val="single" w:sz="4" w:space="0" w:color="auto"/>
              <w:right w:val="single" w:sz="4" w:space="0" w:color="auto"/>
            </w:tcBorders>
            <w:hideMark/>
          </w:tcPr>
          <w:p w14:paraId="16CF712C" w14:textId="77777777" w:rsidR="00815AC2" w:rsidRDefault="00815AC2">
            <w:pPr>
              <w:rPr>
                <w:rFonts w:ascii="Arial" w:hAnsi="Arial" w:cs="Arial"/>
                <w:sz w:val="20"/>
                <w:szCs w:val="20"/>
              </w:rPr>
            </w:pPr>
            <w:r>
              <w:rPr>
                <w:rFonts w:ascii="Arial" w:hAnsi="Arial" w:cs="Arial"/>
                <w:sz w:val="20"/>
                <w:szCs w:val="20"/>
              </w:rPr>
              <w:t>19.68</w:t>
            </w:r>
          </w:p>
        </w:tc>
      </w:tr>
      <w:tr w:rsidR="00815AC2" w14:paraId="5E8A4584"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2D6CCE95" w14:textId="77777777" w:rsidR="00815AC2" w:rsidRDefault="00815AC2">
            <w:pPr>
              <w:rPr>
                <w:rFonts w:ascii="Arial" w:hAnsi="Arial" w:cs="Arial"/>
                <w:sz w:val="20"/>
                <w:szCs w:val="20"/>
              </w:rPr>
            </w:pPr>
            <w:r>
              <w:rPr>
                <w:rFonts w:ascii="Arial" w:hAnsi="Arial" w:cs="Arial"/>
                <w:sz w:val="20"/>
                <w:szCs w:val="20"/>
              </w:rPr>
              <w:t>RHEL Apache 2.4 Load balanced (Small)</w:t>
            </w:r>
          </w:p>
        </w:tc>
        <w:tc>
          <w:tcPr>
            <w:tcW w:w="1559" w:type="dxa"/>
            <w:tcBorders>
              <w:top w:val="single" w:sz="4" w:space="0" w:color="auto"/>
              <w:left w:val="single" w:sz="4" w:space="0" w:color="auto"/>
              <w:bottom w:val="single" w:sz="4" w:space="0" w:color="auto"/>
              <w:right w:val="single" w:sz="4" w:space="0" w:color="auto"/>
            </w:tcBorders>
            <w:hideMark/>
          </w:tcPr>
          <w:p w14:paraId="423DF91B" w14:textId="77777777" w:rsidR="00815AC2" w:rsidRDefault="00815AC2">
            <w:pPr>
              <w:rPr>
                <w:rFonts w:ascii="Arial" w:hAnsi="Arial" w:cs="Arial"/>
                <w:sz w:val="20"/>
                <w:szCs w:val="20"/>
              </w:rPr>
            </w:pPr>
            <w:r>
              <w:rPr>
                <w:rFonts w:ascii="Arial" w:hAnsi="Arial" w:cs="Arial"/>
                <w:sz w:val="20"/>
                <w:szCs w:val="20"/>
              </w:rPr>
              <w:t>19.68</w:t>
            </w:r>
          </w:p>
        </w:tc>
      </w:tr>
      <w:tr w:rsidR="00815AC2" w14:paraId="1BABA20C" w14:textId="77777777" w:rsidTr="00815AC2">
        <w:trPr>
          <w:trHeight w:val="324"/>
        </w:trPr>
        <w:tc>
          <w:tcPr>
            <w:tcW w:w="6374" w:type="dxa"/>
            <w:gridSpan w:val="2"/>
            <w:tcBorders>
              <w:top w:val="single" w:sz="4" w:space="0" w:color="auto"/>
              <w:left w:val="single" w:sz="4" w:space="0" w:color="auto"/>
              <w:bottom w:val="single" w:sz="4" w:space="0" w:color="auto"/>
              <w:right w:val="single" w:sz="4" w:space="0" w:color="auto"/>
            </w:tcBorders>
            <w:noWrap/>
            <w:hideMark/>
          </w:tcPr>
          <w:p w14:paraId="7999C871" w14:textId="77777777" w:rsidR="00815AC2" w:rsidRDefault="00815AC2">
            <w:pPr>
              <w:rPr>
                <w:rFonts w:ascii="Arial" w:hAnsi="Arial" w:cs="Arial"/>
                <w:b/>
                <w:bCs/>
                <w:sz w:val="20"/>
                <w:szCs w:val="20"/>
              </w:rPr>
            </w:pPr>
            <w:r>
              <w:rPr>
                <w:rFonts w:ascii="Arial" w:hAnsi="Arial" w:cs="Arial"/>
                <w:b/>
                <w:bCs/>
                <w:sz w:val="20"/>
                <w:szCs w:val="20"/>
              </w:rPr>
              <w:t>Virtual Desktop Interface (VDI):</w:t>
            </w:r>
          </w:p>
        </w:tc>
      </w:tr>
      <w:tr w:rsidR="00815AC2" w14:paraId="6E787EF5" w14:textId="77777777" w:rsidTr="00815AC2">
        <w:trPr>
          <w:trHeight w:val="312"/>
        </w:trPr>
        <w:tc>
          <w:tcPr>
            <w:tcW w:w="4815" w:type="dxa"/>
            <w:tcBorders>
              <w:top w:val="single" w:sz="4" w:space="0" w:color="auto"/>
              <w:left w:val="single" w:sz="4" w:space="0" w:color="auto"/>
              <w:bottom w:val="single" w:sz="4" w:space="0" w:color="auto"/>
              <w:right w:val="single" w:sz="4" w:space="0" w:color="auto"/>
            </w:tcBorders>
            <w:hideMark/>
          </w:tcPr>
          <w:p w14:paraId="227457BD" w14:textId="77777777" w:rsidR="00815AC2" w:rsidRDefault="00815AC2">
            <w:pPr>
              <w:rPr>
                <w:rFonts w:ascii="Arial" w:hAnsi="Arial" w:cs="Arial"/>
                <w:sz w:val="20"/>
                <w:szCs w:val="20"/>
              </w:rPr>
            </w:pPr>
            <w:r>
              <w:rPr>
                <w:rFonts w:ascii="Arial" w:hAnsi="Arial" w:cs="Arial"/>
                <w:sz w:val="20"/>
                <w:szCs w:val="20"/>
              </w:rPr>
              <w:t>Windows 7 (Persistent)</w:t>
            </w:r>
          </w:p>
        </w:tc>
        <w:tc>
          <w:tcPr>
            <w:tcW w:w="1559" w:type="dxa"/>
            <w:tcBorders>
              <w:top w:val="single" w:sz="4" w:space="0" w:color="auto"/>
              <w:left w:val="single" w:sz="4" w:space="0" w:color="auto"/>
              <w:bottom w:val="single" w:sz="4" w:space="0" w:color="auto"/>
              <w:right w:val="single" w:sz="4" w:space="0" w:color="auto"/>
            </w:tcBorders>
            <w:hideMark/>
          </w:tcPr>
          <w:p w14:paraId="6456BC09" w14:textId="77777777" w:rsidR="00815AC2" w:rsidRDefault="00815AC2">
            <w:pPr>
              <w:rPr>
                <w:rFonts w:ascii="Arial" w:hAnsi="Arial" w:cs="Arial"/>
                <w:sz w:val="20"/>
                <w:szCs w:val="20"/>
              </w:rPr>
            </w:pPr>
            <w:r>
              <w:rPr>
                <w:rFonts w:ascii="Arial" w:hAnsi="Arial" w:cs="Arial"/>
                <w:sz w:val="20"/>
                <w:szCs w:val="20"/>
              </w:rPr>
              <w:t>0.96</w:t>
            </w:r>
          </w:p>
        </w:tc>
      </w:tr>
      <w:tr w:rsidR="00815AC2" w14:paraId="2F50F6BE"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1FAB671B" w14:textId="77777777" w:rsidR="00815AC2" w:rsidRDefault="00815AC2">
            <w:pPr>
              <w:rPr>
                <w:rFonts w:ascii="Arial" w:hAnsi="Arial" w:cs="Arial"/>
                <w:sz w:val="20"/>
                <w:szCs w:val="20"/>
              </w:rPr>
            </w:pPr>
            <w:r>
              <w:rPr>
                <w:rFonts w:ascii="Arial" w:hAnsi="Arial" w:cs="Arial"/>
                <w:sz w:val="20"/>
                <w:szCs w:val="20"/>
              </w:rPr>
              <w:t>Windows 7 (</w:t>
            </w:r>
            <w:proofErr w:type="gramStart"/>
            <w:r>
              <w:rPr>
                <w:rFonts w:ascii="Arial" w:hAnsi="Arial" w:cs="Arial"/>
                <w:sz w:val="20"/>
                <w:szCs w:val="20"/>
              </w:rPr>
              <w:t>Non Persistent</w:t>
            </w:r>
            <w:proofErr w:type="gramEnd"/>
            <w:r>
              <w:rPr>
                <w:rFonts w:ascii="Arial" w:hAnsi="Arial" w:cs="Arial"/>
                <w:sz w:val="20"/>
                <w:szCs w:val="20"/>
              </w:rPr>
              <w:t>)</w:t>
            </w:r>
          </w:p>
        </w:tc>
        <w:tc>
          <w:tcPr>
            <w:tcW w:w="1559" w:type="dxa"/>
            <w:tcBorders>
              <w:top w:val="single" w:sz="4" w:space="0" w:color="auto"/>
              <w:left w:val="single" w:sz="4" w:space="0" w:color="auto"/>
              <w:bottom w:val="single" w:sz="4" w:space="0" w:color="auto"/>
              <w:right w:val="single" w:sz="4" w:space="0" w:color="auto"/>
            </w:tcBorders>
            <w:hideMark/>
          </w:tcPr>
          <w:p w14:paraId="0D9F3215" w14:textId="77777777" w:rsidR="00815AC2" w:rsidRDefault="00815AC2">
            <w:pPr>
              <w:rPr>
                <w:rFonts w:ascii="Arial" w:hAnsi="Arial" w:cs="Arial"/>
                <w:sz w:val="20"/>
                <w:szCs w:val="20"/>
              </w:rPr>
            </w:pPr>
            <w:r>
              <w:rPr>
                <w:rFonts w:ascii="Arial" w:hAnsi="Arial" w:cs="Arial"/>
                <w:sz w:val="20"/>
                <w:szCs w:val="20"/>
              </w:rPr>
              <w:t>0.96</w:t>
            </w:r>
          </w:p>
        </w:tc>
      </w:tr>
      <w:tr w:rsidR="00815AC2" w14:paraId="4040B1AC"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5016A9D2" w14:textId="77777777" w:rsidR="00815AC2" w:rsidRDefault="00815AC2">
            <w:pPr>
              <w:rPr>
                <w:rFonts w:ascii="Arial" w:hAnsi="Arial" w:cs="Arial"/>
                <w:sz w:val="20"/>
                <w:szCs w:val="20"/>
              </w:rPr>
            </w:pPr>
            <w:r>
              <w:rPr>
                <w:rFonts w:ascii="Arial" w:hAnsi="Arial" w:cs="Arial"/>
                <w:sz w:val="20"/>
                <w:szCs w:val="20"/>
              </w:rPr>
              <w:t>Windows 10 (Persistent)</w:t>
            </w:r>
          </w:p>
        </w:tc>
        <w:tc>
          <w:tcPr>
            <w:tcW w:w="1559" w:type="dxa"/>
            <w:tcBorders>
              <w:top w:val="single" w:sz="4" w:space="0" w:color="auto"/>
              <w:left w:val="single" w:sz="4" w:space="0" w:color="auto"/>
              <w:bottom w:val="single" w:sz="4" w:space="0" w:color="auto"/>
              <w:right w:val="single" w:sz="4" w:space="0" w:color="auto"/>
            </w:tcBorders>
            <w:hideMark/>
          </w:tcPr>
          <w:p w14:paraId="107DAC1E" w14:textId="77777777" w:rsidR="00815AC2" w:rsidRDefault="00815AC2">
            <w:pPr>
              <w:rPr>
                <w:rFonts w:ascii="Arial" w:hAnsi="Arial" w:cs="Arial"/>
                <w:sz w:val="20"/>
                <w:szCs w:val="20"/>
              </w:rPr>
            </w:pPr>
            <w:r>
              <w:rPr>
                <w:rFonts w:ascii="Arial" w:hAnsi="Arial" w:cs="Arial"/>
                <w:sz w:val="20"/>
                <w:szCs w:val="20"/>
              </w:rPr>
              <w:t>0.96</w:t>
            </w:r>
          </w:p>
        </w:tc>
      </w:tr>
      <w:tr w:rsidR="00815AC2" w14:paraId="69E96C65"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0CECE4DC" w14:textId="77777777" w:rsidR="00815AC2" w:rsidRDefault="00815AC2">
            <w:pPr>
              <w:rPr>
                <w:rFonts w:ascii="Arial" w:hAnsi="Arial" w:cs="Arial"/>
                <w:sz w:val="20"/>
                <w:szCs w:val="20"/>
              </w:rPr>
            </w:pPr>
            <w:r>
              <w:rPr>
                <w:rFonts w:ascii="Arial" w:hAnsi="Arial" w:cs="Arial"/>
                <w:sz w:val="20"/>
                <w:szCs w:val="20"/>
              </w:rPr>
              <w:t>Windows 10 (Non persistent)</w:t>
            </w:r>
          </w:p>
        </w:tc>
        <w:tc>
          <w:tcPr>
            <w:tcW w:w="1559" w:type="dxa"/>
            <w:tcBorders>
              <w:top w:val="single" w:sz="4" w:space="0" w:color="auto"/>
              <w:left w:val="single" w:sz="4" w:space="0" w:color="auto"/>
              <w:bottom w:val="single" w:sz="4" w:space="0" w:color="auto"/>
              <w:right w:val="single" w:sz="4" w:space="0" w:color="auto"/>
            </w:tcBorders>
            <w:hideMark/>
          </w:tcPr>
          <w:p w14:paraId="7714896F" w14:textId="77777777" w:rsidR="00815AC2" w:rsidRDefault="00815AC2">
            <w:pPr>
              <w:rPr>
                <w:rFonts w:ascii="Arial" w:hAnsi="Arial" w:cs="Arial"/>
                <w:sz w:val="20"/>
                <w:szCs w:val="20"/>
              </w:rPr>
            </w:pPr>
            <w:r>
              <w:rPr>
                <w:rFonts w:ascii="Arial" w:hAnsi="Arial" w:cs="Arial"/>
                <w:sz w:val="20"/>
                <w:szCs w:val="20"/>
              </w:rPr>
              <w:t>0.96</w:t>
            </w:r>
          </w:p>
        </w:tc>
      </w:tr>
      <w:tr w:rsidR="00815AC2" w14:paraId="3F43166B" w14:textId="77777777" w:rsidTr="00815AC2">
        <w:trPr>
          <w:trHeight w:val="312"/>
        </w:trPr>
        <w:tc>
          <w:tcPr>
            <w:tcW w:w="4815" w:type="dxa"/>
            <w:tcBorders>
              <w:top w:val="single" w:sz="4" w:space="0" w:color="auto"/>
              <w:left w:val="single" w:sz="4" w:space="0" w:color="auto"/>
              <w:bottom w:val="single" w:sz="4" w:space="0" w:color="auto"/>
              <w:right w:val="single" w:sz="4" w:space="0" w:color="auto"/>
            </w:tcBorders>
            <w:hideMark/>
          </w:tcPr>
          <w:p w14:paraId="3AF04F4F" w14:textId="77777777" w:rsidR="00815AC2" w:rsidRDefault="00815AC2">
            <w:pPr>
              <w:rPr>
                <w:rFonts w:ascii="Arial" w:hAnsi="Arial" w:cs="Arial"/>
                <w:sz w:val="20"/>
                <w:szCs w:val="20"/>
              </w:rPr>
            </w:pPr>
            <w:r>
              <w:rPr>
                <w:rFonts w:ascii="Arial" w:hAnsi="Arial" w:cs="Arial"/>
                <w:sz w:val="20"/>
                <w:szCs w:val="20"/>
              </w:rPr>
              <w:t>Windows 7 (developer)</w:t>
            </w:r>
          </w:p>
        </w:tc>
        <w:tc>
          <w:tcPr>
            <w:tcW w:w="1559" w:type="dxa"/>
            <w:tcBorders>
              <w:top w:val="single" w:sz="4" w:space="0" w:color="auto"/>
              <w:left w:val="single" w:sz="4" w:space="0" w:color="auto"/>
              <w:bottom w:val="single" w:sz="4" w:space="0" w:color="auto"/>
              <w:right w:val="single" w:sz="4" w:space="0" w:color="auto"/>
            </w:tcBorders>
            <w:hideMark/>
          </w:tcPr>
          <w:p w14:paraId="301F63C4" w14:textId="77777777" w:rsidR="00815AC2" w:rsidRDefault="00815AC2">
            <w:pPr>
              <w:rPr>
                <w:rFonts w:ascii="Arial" w:hAnsi="Arial" w:cs="Arial"/>
                <w:sz w:val="20"/>
                <w:szCs w:val="20"/>
              </w:rPr>
            </w:pPr>
            <w:r>
              <w:rPr>
                <w:rFonts w:ascii="Arial" w:hAnsi="Arial" w:cs="Arial"/>
                <w:sz w:val="20"/>
                <w:szCs w:val="20"/>
              </w:rPr>
              <w:t>0.96</w:t>
            </w:r>
          </w:p>
        </w:tc>
      </w:tr>
      <w:tr w:rsidR="00815AC2" w14:paraId="45239E78"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0BBFD3E7" w14:textId="77777777" w:rsidR="00815AC2" w:rsidRDefault="00815AC2">
            <w:pPr>
              <w:rPr>
                <w:rFonts w:ascii="Arial" w:hAnsi="Arial" w:cs="Arial"/>
                <w:sz w:val="20"/>
                <w:szCs w:val="20"/>
              </w:rPr>
            </w:pPr>
            <w:r>
              <w:rPr>
                <w:rFonts w:ascii="Arial" w:hAnsi="Arial" w:cs="Arial"/>
                <w:sz w:val="20"/>
                <w:szCs w:val="20"/>
              </w:rPr>
              <w:t>Windows 10 (Developer</w:t>
            </w:r>
          </w:p>
        </w:tc>
        <w:tc>
          <w:tcPr>
            <w:tcW w:w="1559" w:type="dxa"/>
            <w:tcBorders>
              <w:top w:val="single" w:sz="4" w:space="0" w:color="auto"/>
              <w:left w:val="single" w:sz="4" w:space="0" w:color="auto"/>
              <w:bottom w:val="single" w:sz="4" w:space="0" w:color="auto"/>
              <w:right w:val="single" w:sz="4" w:space="0" w:color="auto"/>
            </w:tcBorders>
            <w:hideMark/>
          </w:tcPr>
          <w:p w14:paraId="5930EDE7" w14:textId="77777777" w:rsidR="00815AC2" w:rsidRDefault="00815AC2">
            <w:pPr>
              <w:rPr>
                <w:rFonts w:ascii="Arial" w:hAnsi="Arial" w:cs="Arial"/>
                <w:sz w:val="20"/>
                <w:szCs w:val="20"/>
              </w:rPr>
            </w:pPr>
            <w:r>
              <w:rPr>
                <w:rFonts w:ascii="Arial" w:hAnsi="Arial" w:cs="Arial"/>
                <w:sz w:val="20"/>
                <w:szCs w:val="20"/>
              </w:rPr>
              <w:t>0.96</w:t>
            </w:r>
          </w:p>
        </w:tc>
      </w:tr>
      <w:tr w:rsidR="00815AC2" w14:paraId="7FB4212F" w14:textId="77777777" w:rsidTr="00815AC2">
        <w:trPr>
          <w:trHeight w:val="324"/>
        </w:trPr>
        <w:tc>
          <w:tcPr>
            <w:tcW w:w="6374" w:type="dxa"/>
            <w:gridSpan w:val="2"/>
            <w:tcBorders>
              <w:top w:val="single" w:sz="4" w:space="0" w:color="auto"/>
              <w:left w:val="single" w:sz="4" w:space="0" w:color="auto"/>
              <w:bottom w:val="single" w:sz="4" w:space="0" w:color="auto"/>
              <w:right w:val="single" w:sz="4" w:space="0" w:color="auto"/>
            </w:tcBorders>
            <w:noWrap/>
            <w:hideMark/>
          </w:tcPr>
          <w:p w14:paraId="02833C7C" w14:textId="77777777" w:rsidR="00815AC2" w:rsidRDefault="00815AC2">
            <w:pPr>
              <w:rPr>
                <w:rFonts w:ascii="Arial" w:hAnsi="Arial" w:cs="Arial"/>
                <w:b/>
                <w:bCs/>
                <w:sz w:val="20"/>
                <w:szCs w:val="20"/>
              </w:rPr>
            </w:pPr>
            <w:r>
              <w:rPr>
                <w:rFonts w:ascii="Arial" w:hAnsi="Arial" w:cs="Arial"/>
                <w:b/>
                <w:bCs/>
                <w:sz w:val="20"/>
                <w:szCs w:val="20"/>
              </w:rPr>
              <w:t>DC LAN: </w:t>
            </w:r>
          </w:p>
        </w:tc>
      </w:tr>
      <w:tr w:rsidR="00815AC2" w14:paraId="67FFBCC8" w14:textId="77777777" w:rsidTr="00815AC2">
        <w:trPr>
          <w:trHeight w:val="312"/>
        </w:trPr>
        <w:tc>
          <w:tcPr>
            <w:tcW w:w="4815" w:type="dxa"/>
            <w:tcBorders>
              <w:top w:val="single" w:sz="4" w:space="0" w:color="auto"/>
              <w:left w:val="single" w:sz="4" w:space="0" w:color="auto"/>
              <w:bottom w:val="single" w:sz="4" w:space="0" w:color="auto"/>
              <w:right w:val="single" w:sz="4" w:space="0" w:color="auto"/>
            </w:tcBorders>
            <w:hideMark/>
          </w:tcPr>
          <w:p w14:paraId="3C69F480" w14:textId="77777777" w:rsidR="00815AC2" w:rsidRDefault="00815AC2">
            <w:pPr>
              <w:rPr>
                <w:rFonts w:ascii="Arial" w:hAnsi="Arial" w:cs="Arial"/>
                <w:sz w:val="20"/>
                <w:szCs w:val="20"/>
              </w:rPr>
            </w:pPr>
            <w:r>
              <w:rPr>
                <w:rFonts w:ascii="Arial" w:hAnsi="Arial" w:cs="Arial"/>
                <w:sz w:val="20"/>
                <w:szCs w:val="20"/>
              </w:rPr>
              <w:t>ACI tenant</w:t>
            </w:r>
          </w:p>
        </w:tc>
        <w:tc>
          <w:tcPr>
            <w:tcW w:w="1559" w:type="dxa"/>
            <w:tcBorders>
              <w:top w:val="single" w:sz="4" w:space="0" w:color="auto"/>
              <w:left w:val="single" w:sz="4" w:space="0" w:color="auto"/>
              <w:bottom w:val="single" w:sz="4" w:space="0" w:color="auto"/>
              <w:right w:val="single" w:sz="4" w:space="0" w:color="auto"/>
            </w:tcBorders>
            <w:hideMark/>
          </w:tcPr>
          <w:p w14:paraId="47D5969C" w14:textId="77777777" w:rsidR="00815AC2" w:rsidRDefault="00815AC2">
            <w:pPr>
              <w:rPr>
                <w:rFonts w:ascii="Arial" w:hAnsi="Arial" w:cs="Arial"/>
                <w:sz w:val="20"/>
                <w:szCs w:val="20"/>
              </w:rPr>
            </w:pPr>
            <w:r>
              <w:rPr>
                <w:rFonts w:ascii="Arial" w:hAnsi="Arial" w:cs="Arial"/>
                <w:sz w:val="20"/>
                <w:szCs w:val="20"/>
              </w:rPr>
              <w:t>0.73</w:t>
            </w:r>
          </w:p>
        </w:tc>
      </w:tr>
      <w:tr w:rsidR="00815AC2" w14:paraId="1A4909B8"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58FA23E4" w14:textId="77777777" w:rsidR="00815AC2" w:rsidRDefault="00815AC2">
            <w:pPr>
              <w:rPr>
                <w:rFonts w:ascii="Arial" w:hAnsi="Arial" w:cs="Arial"/>
                <w:sz w:val="20"/>
                <w:szCs w:val="20"/>
              </w:rPr>
            </w:pPr>
            <w:r>
              <w:rPr>
                <w:rFonts w:ascii="Arial" w:hAnsi="Arial" w:cs="Arial"/>
                <w:sz w:val="20"/>
                <w:szCs w:val="20"/>
              </w:rPr>
              <w:t>Bridge Domain</w:t>
            </w:r>
          </w:p>
        </w:tc>
        <w:tc>
          <w:tcPr>
            <w:tcW w:w="1559" w:type="dxa"/>
            <w:tcBorders>
              <w:top w:val="single" w:sz="4" w:space="0" w:color="auto"/>
              <w:left w:val="single" w:sz="4" w:space="0" w:color="auto"/>
              <w:bottom w:val="single" w:sz="4" w:space="0" w:color="auto"/>
              <w:right w:val="single" w:sz="4" w:space="0" w:color="auto"/>
            </w:tcBorders>
            <w:hideMark/>
          </w:tcPr>
          <w:p w14:paraId="0F3FB680" w14:textId="77777777" w:rsidR="00815AC2" w:rsidRDefault="00815AC2">
            <w:pPr>
              <w:rPr>
                <w:rFonts w:ascii="Arial" w:hAnsi="Arial" w:cs="Arial"/>
                <w:sz w:val="20"/>
                <w:szCs w:val="20"/>
              </w:rPr>
            </w:pPr>
            <w:r>
              <w:rPr>
                <w:rFonts w:ascii="Arial" w:hAnsi="Arial" w:cs="Arial"/>
                <w:sz w:val="20"/>
                <w:szCs w:val="20"/>
              </w:rPr>
              <w:t>0.73</w:t>
            </w:r>
          </w:p>
        </w:tc>
      </w:tr>
      <w:tr w:rsidR="00815AC2" w14:paraId="416445EB"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7F069AAD" w14:textId="77777777" w:rsidR="00815AC2" w:rsidRDefault="00815AC2">
            <w:pPr>
              <w:rPr>
                <w:rFonts w:ascii="Arial" w:hAnsi="Arial" w:cs="Arial"/>
                <w:sz w:val="20"/>
                <w:szCs w:val="20"/>
              </w:rPr>
            </w:pPr>
            <w:r>
              <w:rPr>
                <w:rFonts w:ascii="Arial" w:hAnsi="Arial" w:cs="Arial"/>
                <w:sz w:val="20"/>
                <w:szCs w:val="20"/>
              </w:rPr>
              <w:t>Subnet</w:t>
            </w:r>
          </w:p>
        </w:tc>
        <w:tc>
          <w:tcPr>
            <w:tcW w:w="1559" w:type="dxa"/>
            <w:tcBorders>
              <w:top w:val="single" w:sz="4" w:space="0" w:color="auto"/>
              <w:left w:val="single" w:sz="4" w:space="0" w:color="auto"/>
              <w:bottom w:val="single" w:sz="4" w:space="0" w:color="auto"/>
              <w:right w:val="single" w:sz="4" w:space="0" w:color="auto"/>
            </w:tcBorders>
            <w:hideMark/>
          </w:tcPr>
          <w:p w14:paraId="3B68DFF3" w14:textId="77777777" w:rsidR="00815AC2" w:rsidRDefault="00815AC2">
            <w:pPr>
              <w:rPr>
                <w:rFonts w:ascii="Arial" w:hAnsi="Arial" w:cs="Arial"/>
                <w:sz w:val="20"/>
                <w:szCs w:val="20"/>
              </w:rPr>
            </w:pPr>
            <w:r>
              <w:rPr>
                <w:rFonts w:ascii="Arial" w:hAnsi="Arial" w:cs="Arial"/>
                <w:sz w:val="20"/>
                <w:szCs w:val="20"/>
              </w:rPr>
              <w:t>0.73</w:t>
            </w:r>
          </w:p>
        </w:tc>
      </w:tr>
      <w:tr w:rsidR="00815AC2" w14:paraId="45A70BF1"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3EDB1DA4" w14:textId="77777777" w:rsidR="00815AC2" w:rsidRDefault="00815AC2">
            <w:pPr>
              <w:rPr>
                <w:rFonts w:ascii="Arial" w:hAnsi="Arial" w:cs="Arial"/>
                <w:sz w:val="20"/>
                <w:szCs w:val="20"/>
              </w:rPr>
            </w:pPr>
            <w:r>
              <w:rPr>
                <w:rFonts w:ascii="Arial" w:hAnsi="Arial" w:cs="Arial"/>
                <w:sz w:val="20"/>
                <w:szCs w:val="20"/>
              </w:rPr>
              <w:t>Endpoint group</w:t>
            </w:r>
          </w:p>
        </w:tc>
        <w:tc>
          <w:tcPr>
            <w:tcW w:w="1559" w:type="dxa"/>
            <w:tcBorders>
              <w:top w:val="single" w:sz="4" w:space="0" w:color="auto"/>
              <w:left w:val="single" w:sz="4" w:space="0" w:color="auto"/>
              <w:bottom w:val="single" w:sz="4" w:space="0" w:color="auto"/>
              <w:right w:val="single" w:sz="4" w:space="0" w:color="auto"/>
            </w:tcBorders>
            <w:hideMark/>
          </w:tcPr>
          <w:p w14:paraId="770CEB2D" w14:textId="77777777" w:rsidR="00815AC2" w:rsidRDefault="00815AC2">
            <w:pPr>
              <w:rPr>
                <w:rFonts w:ascii="Arial" w:hAnsi="Arial" w:cs="Arial"/>
                <w:sz w:val="20"/>
                <w:szCs w:val="20"/>
              </w:rPr>
            </w:pPr>
            <w:r>
              <w:rPr>
                <w:rFonts w:ascii="Arial" w:hAnsi="Arial" w:cs="Arial"/>
                <w:sz w:val="20"/>
                <w:szCs w:val="20"/>
              </w:rPr>
              <w:t>0.73</w:t>
            </w:r>
          </w:p>
        </w:tc>
      </w:tr>
      <w:tr w:rsidR="00815AC2" w14:paraId="31B057B5" w14:textId="77777777" w:rsidTr="00815AC2">
        <w:trPr>
          <w:trHeight w:val="312"/>
        </w:trPr>
        <w:tc>
          <w:tcPr>
            <w:tcW w:w="4815" w:type="dxa"/>
            <w:tcBorders>
              <w:top w:val="single" w:sz="4" w:space="0" w:color="auto"/>
              <w:left w:val="single" w:sz="4" w:space="0" w:color="auto"/>
              <w:bottom w:val="single" w:sz="4" w:space="0" w:color="auto"/>
              <w:right w:val="single" w:sz="4" w:space="0" w:color="auto"/>
            </w:tcBorders>
            <w:hideMark/>
          </w:tcPr>
          <w:p w14:paraId="3481FA49" w14:textId="77777777" w:rsidR="00815AC2" w:rsidRDefault="00815AC2">
            <w:pPr>
              <w:rPr>
                <w:rFonts w:ascii="Arial" w:hAnsi="Arial" w:cs="Arial"/>
                <w:sz w:val="20"/>
                <w:szCs w:val="20"/>
              </w:rPr>
            </w:pPr>
            <w:r>
              <w:rPr>
                <w:rFonts w:ascii="Arial" w:hAnsi="Arial" w:cs="Arial"/>
                <w:sz w:val="20"/>
                <w:szCs w:val="20"/>
              </w:rPr>
              <w:t>Contract</w:t>
            </w:r>
          </w:p>
        </w:tc>
        <w:tc>
          <w:tcPr>
            <w:tcW w:w="1559" w:type="dxa"/>
            <w:tcBorders>
              <w:top w:val="single" w:sz="4" w:space="0" w:color="auto"/>
              <w:left w:val="single" w:sz="4" w:space="0" w:color="auto"/>
              <w:bottom w:val="single" w:sz="4" w:space="0" w:color="auto"/>
              <w:right w:val="single" w:sz="4" w:space="0" w:color="auto"/>
            </w:tcBorders>
            <w:hideMark/>
          </w:tcPr>
          <w:p w14:paraId="796BA546" w14:textId="77777777" w:rsidR="00815AC2" w:rsidRDefault="00815AC2">
            <w:pPr>
              <w:rPr>
                <w:rFonts w:ascii="Arial" w:hAnsi="Arial" w:cs="Arial"/>
                <w:sz w:val="20"/>
                <w:szCs w:val="20"/>
              </w:rPr>
            </w:pPr>
            <w:r>
              <w:rPr>
                <w:rFonts w:ascii="Arial" w:hAnsi="Arial" w:cs="Arial"/>
                <w:sz w:val="20"/>
                <w:szCs w:val="20"/>
              </w:rPr>
              <w:t>0.73</w:t>
            </w:r>
          </w:p>
        </w:tc>
      </w:tr>
      <w:tr w:rsidR="00815AC2" w14:paraId="69A2809B" w14:textId="77777777" w:rsidTr="00815AC2">
        <w:trPr>
          <w:trHeight w:val="300"/>
        </w:trPr>
        <w:tc>
          <w:tcPr>
            <w:tcW w:w="4815" w:type="dxa"/>
            <w:tcBorders>
              <w:top w:val="single" w:sz="4" w:space="0" w:color="auto"/>
              <w:left w:val="single" w:sz="4" w:space="0" w:color="auto"/>
              <w:bottom w:val="single" w:sz="4" w:space="0" w:color="auto"/>
              <w:right w:val="single" w:sz="4" w:space="0" w:color="auto"/>
            </w:tcBorders>
            <w:hideMark/>
          </w:tcPr>
          <w:p w14:paraId="5521762C" w14:textId="77777777" w:rsidR="00815AC2" w:rsidRDefault="00815AC2">
            <w:pPr>
              <w:rPr>
                <w:rFonts w:ascii="Arial" w:hAnsi="Arial" w:cs="Arial"/>
                <w:sz w:val="20"/>
                <w:szCs w:val="20"/>
              </w:rPr>
            </w:pPr>
            <w:r>
              <w:rPr>
                <w:rFonts w:ascii="Arial" w:hAnsi="Arial" w:cs="Arial"/>
                <w:sz w:val="20"/>
                <w:szCs w:val="20"/>
              </w:rPr>
              <w:t>VRF</w:t>
            </w:r>
          </w:p>
        </w:tc>
        <w:tc>
          <w:tcPr>
            <w:tcW w:w="1559" w:type="dxa"/>
            <w:tcBorders>
              <w:top w:val="single" w:sz="4" w:space="0" w:color="auto"/>
              <w:left w:val="single" w:sz="4" w:space="0" w:color="auto"/>
              <w:bottom w:val="single" w:sz="4" w:space="0" w:color="auto"/>
              <w:right w:val="single" w:sz="4" w:space="0" w:color="auto"/>
            </w:tcBorders>
            <w:hideMark/>
          </w:tcPr>
          <w:p w14:paraId="7FBF5165" w14:textId="77777777" w:rsidR="00815AC2" w:rsidRDefault="00815AC2">
            <w:pPr>
              <w:rPr>
                <w:rFonts w:ascii="Arial" w:hAnsi="Arial" w:cs="Arial"/>
                <w:sz w:val="20"/>
                <w:szCs w:val="20"/>
              </w:rPr>
            </w:pPr>
            <w:r>
              <w:rPr>
                <w:rFonts w:ascii="Arial" w:hAnsi="Arial" w:cs="Arial"/>
                <w:sz w:val="20"/>
                <w:szCs w:val="20"/>
              </w:rPr>
              <w:t>0.73</w:t>
            </w:r>
          </w:p>
        </w:tc>
      </w:tr>
      <w:tr w:rsidR="00815AC2" w14:paraId="09FA739A" w14:textId="77777777" w:rsidTr="00815AC2">
        <w:trPr>
          <w:trHeight w:val="312"/>
        </w:trPr>
        <w:tc>
          <w:tcPr>
            <w:tcW w:w="4815" w:type="dxa"/>
            <w:tcBorders>
              <w:top w:val="single" w:sz="4" w:space="0" w:color="auto"/>
              <w:left w:val="single" w:sz="4" w:space="0" w:color="auto"/>
              <w:bottom w:val="single" w:sz="4" w:space="0" w:color="auto"/>
              <w:right w:val="single" w:sz="4" w:space="0" w:color="auto"/>
            </w:tcBorders>
            <w:hideMark/>
          </w:tcPr>
          <w:p w14:paraId="1A2CB053" w14:textId="77777777" w:rsidR="00815AC2" w:rsidRDefault="00815AC2">
            <w:pPr>
              <w:rPr>
                <w:rFonts w:ascii="Arial" w:hAnsi="Arial" w:cs="Arial"/>
                <w:sz w:val="20"/>
                <w:szCs w:val="20"/>
              </w:rPr>
            </w:pPr>
            <w:proofErr w:type="spellStart"/>
            <w:r>
              <w:rPr>
                <w:rFonts w:ascii="Arial" w:hAnsi="Arial" w:cs="Arial"/>
                <w:sz w:val="20"/>
                <w:szCs w:val="20"/>
              </w:rPr>
              <w:t>Loadbalancer</w:t>
            </w:r>
            <w:proofErr w:type="spellEnd"/>
          </w:p>
        </w:tc>
        <w:tc>
          <w:tcPr>
            <w:tcW w:w="1559" w:type="dxa"/>
            <w:tcBorders>
              <w:top w:val="single" w:sz="4" w:space="0" w:color="auto"/>
              <w:left w:val="single" w:sz="4" w:space="0" w:color="auto"/>
              <w:bottom w:val="single" w:sz="4" w:space="0" w:color="auto"/>
              <w:right w:val="single" w:sz="4" w:space="0" w:color="auto"/>
            </w:tcBorders>
            <w:noWrap/>
            <w:hideMark/>
          </w:tcPr>
          <w:p w14:paraId="3F7516DA" w14:textId="77777777" w:rsidR="00815AC2" w:rsidRDefault="00815AC2">
            <w:pPr>
              <w:rPr>
                <w:rFonts w:ascii="Arial" w:hAnsi="Arial" w:cs="Arial"/>
                <w:sz w:val="20"/>
                <w:szCs w:val="20"/>
              </w:rPr>
            </w:pPr>
            <w:r>
              <w:rPr>
                <w:rFonts w:ascii="Arial" w:hAnsi="Arial" w:cs="Arial"/>
                <w:sz w:val="20"/>
                <w:szCs w:val="20"/>
              </w:rPr>
              <w:t>0.73</w:t>
            </w:r>
          </w:p>
        </w:tc>
      </w:tr>
      <w:tr w:rsidR="00815AC2" w14:paraId="03734903" w14:textId="77777777" w:rsidTr="00815AC2">
        <w:trPr>
          <w:trHeight w:val="312"/>
        </w:trPr>
        <w:tc>
          <w:tcPr>
            <w:tcW w:w="4815" w:type="dxa"/>
            <w:tcBorders>
              <w:top w:val="single" w:sz="4" w:space="0" w:color="auto"/>
              <w:left w:val="single" w:sz="4" w:space="0" w:color="auto"/>
              <w:bottom w:val="single" w:sz="4" w:space="0" w:color="auto"/>
              <w:right w:val="single" w:sz="4" w:space="0" w:color="auto"/>
            </w:tcBorders>
            <w:hideMark/>
          </w:tcPr>
          <w:p w14:paraId="68319C95" w14:textId="77777777" w:rsidR="00815AC2" w:rsidRDefault="00815AC2">
            <w:pPr>
              <w:rPr>
                <w:rFonts w:ascii="Arial" w:hAnsi="Arial" w:cs="Arial"/>
                <w:sz w:val="20"/>
                <w:szCs w:val="20"/>
              </w:rPr>
            </w:pPr>
            <w:r>
              <w:rPr>
                <w:rFonts w:ascii="Arial" w:hAnsi="Arial" w:cs="Arial"/>
                <w:sz w:val="20"/>
                <w:szCs w:val="20"/>
              </w:rPr>
              <w:t>VLAN</w:t>
            </w:r>
          </w:p>
        </w:tc>
        <w:tc>
          <w:tcPr>
            <w:tcW w:w="1559" w:type="dxa"/>
            <w:tcBorders>
              <w:top w:val="single" w:sz="4" w:space="0" w:color="auto"/>
              <w:left w:val="single" w:sz="4" w:space="0" w:color="auto"/>
              <w:bottom w:val="single" w:sz="4" w:space="0" w:color="auto"/>
              <w:right w:val="single" w:sz="4" w:space="0" w:color="auto"/>
            </w:tcBorders>
            <w:noWrap/>
            <w:hideMark/>
          </w:tcPr>
          <w:p w14:paraId="5250DE76" w14:textId="77777777" w:rsidR="00815AC2" w:rsidRDefault="00815AC2">
            <w:pPr>
              <w:rPr>
                <w:rFonts w:ascii="Arial" w:hAnsi="Arial" w:cs="Arial"/>
                <w:sz w:val="20"/>
                <w:szCs w:val="20"/>
              </w:rPr>
            </w:pPr>
            <w:r>
              <w:rPr>
                <w:rFonts w:ascii="Arial" w:hAnsi="Arial" w:cs="Arial"/>
                <w:sz w:val="20"/>
                <w:szCs w:val="20"/>
              </w:rPr>
              <w:t>0.73</w:t>
            </w:r>
          </w:p>
        </w:tc>
      </w:tr>
      <w:tr w:rsidR="00815AC2" w14:paraId="64BB844E" w14:textId="77777777" w:rsidTr="00815AC2">
        <w:trPr>
          <w:trHeight w:val="288"/>
        </w:trPr>
        <w:tc>
          <w:tcPr>
            <w:tcW w:w="4815" w:type="dxa"/>
            <w:tcBorders>
              <w:top w:val="single" w:sz="4" w:space="0" w:color="auto"/>
              <w:left w:val="single" w:sz="4" w:space="0" w:color="auto"/>
              <w:bottom w:val="single" w:sz="4" w:space="0" w:color="auto"/>
              <w:right w:val="single" w:sz="4" w:space="0" w:color="auto"/>
            </w:tcBorders>
            <w:hideMark/>
          </w:tcPr>
          <w:p w14:paraId="78C49A07" w14:textId="77777777" w:rsidR="00815AC2" w:rsidRDefault="00815AC2">
            <w:pPr>
              <w:rPr>
                <w:rFonts w:ascii="Arial" w:hAnsi="Arial" w:cs="Arial"/>
                <w:sz w:val="20"/>
                <w:szCs w:val="20"/>
              </w:rPr>
            </w:pPr>
            <w:r>
              <w:rPr>
                <w:rFonts w:ascii="Arial" w:hAnsi="Arial" w:cs="Arial"/>
                <w:sz w:val="20"/>
                <w:szCs w:val="20"/>
              </w:rPr>
              <w:t xml:space="preserve">Firewall </w:t>
            </w:r>
          </w:p>
        </w:tc>
        <w:tc>
          <w:tcPr>
            <w:tcW w:w="1559" w:type="dxa"/>
            <w:tcBorders>
              <w:top w:val="single" w:sz="4" w:space="0" w:color="auto"/>
              <w:left w:val="single" w:sz="4" w:space="0" w:color="auto"/>
              <w:bottom w:val="single" w:sz="4" w:space="0" w:color="auto"/>
              <w:right w:val="single" w:sz="4" w:space="0" w:color="auto"/>
            </w:tcBorders>
            <w:noWrap/>
            <w:hideMark/>
          </w:tcPr>
          <w:p w14:paraId="2956099D" w14:textId="77777777" w:rsidR="00815AC2" w:rsidRDefault="00815AC2">
            <w:pPr>
              <w:rPr>
                <w:rFonts w:ascii="Arial" w:hAnsi="Arial" w:cs="Arial"/>
                <w:sz w:val="20"/>
                <w:szCs w:val="20"/>
              </w:rPr>
            </w:pPr>
            <w:r>
              <w:rPr>
                <w:rFonts w:ascii="Arial" w:hAnsi="Arial" w:cs="Arial"/>
                <w:sz w:val="20"/>
                <w:szCs w:val="20"/>
              </w:rPr>
              <w:t>TBC</w:t>
            </w:r>
          </w:p>
        </w:tc>
      </w:tr>
    </w:tbl>
    <w:p w14:paraId="08CF8DFD" w14:textId="77777777" w:rsidR="00815AC2" w:rsidRDefault="00815AC2" w:rsidP="00815AC2">
      <w:pPr>
        <w:rPr>
          <w:rFonts w:cs="Arial"/>
          <w:szCs w:val="20"/>
        </w:rPr>
      </w:pPr>
    </w:p>
    <w:p w14:paraId="54BB2325" w14:textId="77777777" w:rsidR="004C127E" w:rsidRPr="000E5786" w:rsidRDefault="004C127E" w:rsidP="00DD60F0">
      <w:pPr>
        <w:pStyle w:val="Level2"/>
        <w:numPr>
          <w:ilvl w:val="0"/>
          <w:numId w:val="0"/>
        </w:numPr>
        <w:spacing w:after="120" w:line="240" w:lineRule="auto"/>
        <w:rPr>
          <w:rFonts w:ascii="Arial" w:hAnsi="Arial" w:cs="Arial"/>
        </w:rPr>
        <w:sectPr w:rsidR="004C127E" w:rsidRPr="000E5786" w:rsidSect="0026522A">
          <w:headerReference w:type="even" r:id="rId52"/>
          <w:headerReference w:type="default" r:id="rId53"/>
          <w:footerReference w:type="even" r:id="rId54"/>
          <w:footerReference w:type="default" r:id="rId55"/>
          <w:headerReference w:type="first" r:id="rId56"/>
          <w:footerReference w:type="first" r:id="rId57"/>
          <w:pgSz w:w="11907" w:h="16840" w:code="9"/>
          <w:pgMar w:top="1418" w:right="1418" w:bottom="1134" w:left="1418" w:header="709" w:footer="709" w:gutter="0"/>
          <w:cols w:space="708"/>
          <w:titlePg/>
          <w:docGrid w:linePitch="360"/>
        </w:sectPr>
      </w:pPr>
    </w:p>
    <w:p w14:paraId="7969FDBD" w14:textId="453244D9" w:rsidR="004C127E" w:rsidRPr="000E5786" w:rsidRDefault="00261967" w:rsidP="00DD60F0">
      <w:pPr>
        <w:jc w:val="center"/>
        <w:rPr>
          <w:rFonts w:cs="Arial"/>
          <w:b/>
          <w:bCs/>
          <w:szCs w:val="20"/>
        </w:rPr>
      </w:pPr>
      <w:bookmarkStart w:id="2344" w:name="_Hlk81748337"/>
      <w:r w:rsidRPr="000E5786">
        <w:rPr>
          <w:rFonts w:cs="Arial"/>
          <w:b/>
          <w:bCs/>
          <w:szCs w:val="20"/>
        </w:rPr>
        <w:lastRenderedPageBreak/>
        <w:t xml:space="preserve">ANNEX </w:t>
      </w:r>
      <w:r w:rsidR="00AC4874">
        <w:rPr>
          <w:rFonts w:cs="Arial"/>
          <w:b/>
          <w:bCs/>
          <w:szCs w:val="20"/>
        </w:rPr>
        <w:t>7.4</w:t>
      </w:r>
      <w:r w:rsidR="004C127E" w:rsidRPr="000E5786">
        <w:rPr>
          <w:rFonts w:cs="Arial"/>
          <w:b/>
          <w:bCs/>
          <w:szCs w:val="20"/>
        </w:rPr>
        <w:t>A</w:t>
      </w:r>
      <w:r w:rsidR="00FD2116">
        <w:rPr>
          <w:rFonts w:cs="Arial"/>
          <w:b/>
          <w:bCs/>
          <w:szCs w:val="20"/>
        </w:rPr>
        <w:t xml:space="preserve"> – COMMERCIAL MODEL</w:t>
      </w:r>
    </w:p>
    <w:p w14:paraId="701E78E5" w14:textId="1782A680" w:rsidR="004C127E" w:rsidRPr="000E5786" w:rsidRDefault="004C127E" w:rsidP="00DD60F0">
      <w:pPr>
        <w:jc w:val="center"/>
        <w:rPr>
          <w:rFonts w:cs="Arial"/>
          <w:b/>
          <w:bCs/>
          <w:szCs w:val="20"/>
        </w:rPr>
      </w:pPr>
      <w:r w:rsidRPr="000E5786">
        <w:rPr>
          <w:rFonts w:cs="Arial"/>
          <w:b/>
          <w:bCs/>
          <w:szCs w:val="20"/>
        </w:rPr>
        <w:t>BASE SERVICE CHARGES (5 YEAR TERM)</w:t>
      </w:r>
    </w:p>
    <w:p w14:paraId="5C10DC34" w14:textId="7BDAE4A6" w:rsidR="004C127E" w:rsidRPr="00AC4874" w:rsidRDefault="004C127E" w:rsidP="009D675B">
      <w:pPr>
        <w:pStyle w:val="Heading1"/>
        <w:numPr>
          <w:ilvl w:val="0"/>
          <w:numId w:val="54"/>
        </w:numPr>
        <w:spacing w:after="120"/>
        <w:rPr>
          <w:rFonts w:cs="Arial"/>
          <w:szCs w:val="20"/>
        </w:rPr>
      </w:pPr>
      <w:r w:rsidRPr="00AC4874">
        <w:rPr>
          <w:rFonts w:cs="Arial"/>
          <w:szCs w:val="20"/>
        </w:rPr>
        <w:t>Base Service Charges</w:t>
      </w:r>
    </w:p>
    <w:p w14:paraId="0DDCB034" w14:textId="0A3A2916" w:rsidR="004C127E" w:rsidRPr="00AC4874" w:rsidRDefault="004C127E" w:rsidP="00F966FF">
      <w:pPr>
        <w:pStyle w:val="Heading2"/>
        <w:numPr>
          <w:ilvl w:val="1"/>
          <w:numId w:val="151"/>
        </w:numPr>
        <w:spacing w:after="120"/>
        <w:rPr>
          <w:rFonts w:cs="Arial"/>
          <w:szCs w:val="20"/>
        </w:rPr>
      </w:pPr>
      <w:r w:rsidRPr="000E5786">
        <w:rPr>
          <w:rFonts w:cs="Arial"/>
        </w:rPr>
        <w:t xml:space="preserve">The </w:t>
      </w:r>
      <w:r w:rsidRPr="00AC4874">
        <w:rPr>
          <w:rFonts w:cs="Arial"/>
          <w:szCs w:val="20"/>
        </w:rPr>
        <w:t xml:space="preserve">table in this Annex </w:t>
      </w:r>
      <w:r w:rsidR="00AC4874">
        <w:rPr>
          <w:rFonts w:cs="Arial"/>
          <w:szCs w:val="20"/>
        </w:rPr>
        <w:t>7.4</w:t>
      </w:r>
      <w:r w:rsidRPr="00AC4874">
        <w:rPr>
          <w:rFonts w:cs="Arial"/>
          <w:szCs w:val="20"/>
        </w:rPr>
        <w:t>A indicates the Supplier’s Catalogue charges included in the Base Service Charge.</w:t>
      </w:r>
    </w:p>
    <w:p w14:paraId="66607149" w14:textId="77777777" w:rsidR="004C127E" w:rsidRPr="00AC4874" w:rsidRDefault="004C127E" w:rsidP="00F966FF">
      <w:pPr>
        <w:pStyle w:val="Heading2"/>
        <w:numPr>
          <w:ilvl w:val="1"/>
          <w:numId w:val="151"/>
        </w:numPr>
        <w:spacing w:after="120"/>
        <w:rPr>
          <w:rFonts w:cs="Arial"/>
          <w:szCs w:val="20"/>
        </w:rPr>
      </w:pPr>
      <w:r w:rsidRPr="00AC4874">
        <w:rPr>
          <w:rFonts w:cs="Arial"/>
          <w:szCs w:val="20"/>
        </w:rPr>
        <w:t>Unit Prices quoted are per Month, pro-rated to the day that the Service Component is available.</w:t>
      </w:r>
    </w:p>
    <w:p w14:paraId="0889D1D1" w14:textId="77777777" w:rsidR="00815AC2" w:rsidRDefault="004C127E" w:rsidP="00F966FF">
      <w:pPr>
        <w:pStyle w:val="Heading2"/>
        <w:numPr>
          <w:ilvl w:val="1"/>
          <w:numId w:val="151"/>
        </w:numPr>
        <w:spacing w:after="120"/>
        <w:rPr>
          <w:rFonts w:cs="Arial"/>
          <w:szCs w:val="20"/>
        </w:rPr>
      </w:pPr>
      <w:r w:rsidRPr="00AC4874">
        <w:rPr>
          <w:rFonts w:cs="Arial"/>
          <w:szCs w:val="20"/>
        </w:rPr>
        <w:t>This Base Service Charges will be fixed for the contract term. Any additional services required will be quoted in accordance with these Service Charges.</w:t>
      </w:r>
    </w:p>
    <w:p w14:paraId="3C3613A3" w14:textId="4655185B" w:rsidR="0018631C" w:rsidRPr="00815AC2" w:rsidRDefault="004C127E" w:rsidP="00F966FF">
      <w:pPr>
        <w:pStyle w:val="Heading2"/>
        <w:numPr>
          <w:ilvl w:val="1"/>
          <w:numId w:val="151"/>
        </w:numPr>
        <w:spacing w:after="120"/>
        <w:rPr>
          <w:rFonts w:cs="Arial"/>
          <w:b/>
          <w:szCs w:val="20"/>
        </w:rPr>
      </w:pPr>
      <w:r w:rsidRPr="00815AC2">
        <w:rPr>
          <w:rFonts w:cs="Arial"/>
          <w:szCs w:val="20"/>
        </w:rPr>
        <w:t>All rates are</w:t>
      </w:r>
      <w:r w:rsidRPr="00815AC2">
        <w:rPr>
          <w:rFonts w:cs="Arial"/>
        </w:rPr>
        <w:t xml:space="preserve"> quoted in GBP.</w:t>
      </w:r>
      <w:r w:rsidR="0049278A" w:rsidRPr="00815AC2">
        <w:rPr>
          <w:rFonts w:cs="Arial"/>
        </w:rPr>
        <w:t xml:space="preserve"> </w:t>
      </w:r>
      <w:bookmarkEnd w:id="2344"/>
      <w:r w:rsidR="0018631C" w:rsidRPr="00815AC2">
        <w:rPr>
          <w:rFonts w:cs="Arial"/>
          <w:b/>
          <w:szCs w:val="20"/>
        </w:rPr>
        <w:br w:type="page"/>
      </w:r>
    </w:p>
    <w:p w14:paraId="754DE920" w14:textId="663DC1BD" w:rsidR="004C127E" w:rsidRDefault="004C127E" w:rsidP="00DD60F0">
      <w:pPr>
        <w:jc w:val="center"/>
        <w:rPr>
          <w:rFonts w:cs="Arial"/>
          <w:b/>
          <w:bCs/>
          <w:szCs w:val="20"/>
        </w:rPr>
      </w:pPr>
      <w:r w:rsidRPr="000E5786">
        <w:rPr>
          <w:rFonts w:cs="Arial"/>
          <w:b/>
          <w:bCs/>
          <w:szCs w:val="20"/>
        </w:rPr>
        <w:lastRenderedPageBreak/>
        <w:t xml:space="preserve">Annex </w:t>
      </w:r>
      <w:r w:rsidR="00AC4874">
        <w:rPr>
          <w:rFonts w:cs="Arial"/>
          <w:b/>
          <w:bCs/>
          <w:szCs w:val="20"/>
        </w:rPr>
        <w:t>7.4</w:t>
      </w:r>
      <w:r w:rsidRPr="000E5786">
        <w:rPr>
          <w:rFonts w:cs="Arial"/>
          <w:b/>
          <w:bCs/>
          <w:szCs w:val="20"/>
        </w:rPr>
        <w:t>B</w:t>
      </w:r>
    </w:p>
    <w:p w14:paraId="6A3E5350" w14:textId="75F44CE9" w:rsidR="001F0877" w:rsidRPr="000E5786" w:rsidRDefault="001F0877" w:rsidP="00DD60F0">
      <w:pPr>
        <w:jc w:val="center"/>
        <w:rPr>
          <w:rFonts w:cs="Arial"/>
          <w:b/>
          <w:bCs/>
          <w:szCs w:val="20"/>
        </w:rPr>
      </w:pPr>
      <w:r>
        <w:rPr>
          <w:rFonts w:cs="Arial"/>
          <w:b/>
          <w:bCs/>
          <w:szCs w:val="20"/>
        </w:rPr>
        <w:t>COMMERCIAL MODEL</w:t>
      </w:r>
    </w:p>
    <w:p w14:paraId="071C530D" w14:textId="4D1FBEEF" w:rsidR="004C127E" w:rsidRPr="000E5786" w:rsidRDefault="004C127E" w:rsidP="00DD60F0">
      <w:pPr>
        <w:jc w:val="center"/>
        <w:rPr>
          <w:rFonts w:cs="Arial"/>
          <w:b/>
          <w:bCs/>
          <w:szCs w:val="20"/>
        </w:rPr>
      </w:pPr>
      <w:r w:rsidRPr="000E5786">
        <w:rPr>
          <w:rFonts w:cs="Arial"/>
          <w:b/>
          <w:bCs/>
          <w:szCs w:val="20"/>
        </w:rPr>
        <w:t>BASE CATALOGUE CHARGES (5 YEAR TERM)</w:t>
      </w:r>
    </w:p>
    <w:p w14:paraId="64AAC6D4" w14:textId="55ECA8F2" w:rsidR="004C127E" w:rsidRPr="00AC4874" w:rsidRDefault="004C127E" w:rsidP="009D675B">
      <w:pPr>
        <w:pStyle w:val="Heading1"/>
        <w:numPr>
          <w:ilvl w:val="0"/>
          <w:numId w:val="55"/>
        </w:numPr>
        <w:spacing w:after="120"/>
        <w:rPr>
          <w:rFonts w:cs="Arial"/>
          <w:szCs w:val="20"/>
        </w:rPr>
      </w:pPr>
      <w:r w:rsidRPr="00AC4874">
        <w:rPr>
          <w:rFonts w:cs="Arial"/>
          <w:szCs w:val="20"/>
        </w:rPr>
        <w:t>Base Catalogue Charges</w:t>
      </w:r>
    </w:p>
    <w:p w14:paraId="069A9A32" w14:textId="67FF2E86" w:rsidR="004C127E" w:rsidRPr="000E5786" w:rsidRDefault="004C127E" w:rsidP="009D675B">
      <w:pPr>
        <w:pStyle w:val="Heading2"/>
        <w:numPr>
          <w:ilvl w:val="1"/>
          <w:numId w:val="140"/>
        </w:numPr>
        <w:spacing w:after="120"/>
        <w:rPr>
          <w:rFonts w:cs="Arial"/>
        </w:rPr>
      </w:pPr>
      <w:r w:rsidRPr="000E5786">
        <w:rPr>
          <w:rFonts w:cs="Arial"/>
        </w:rPr>
        <w:t xml:space="preserve">The table in this </w:t>
      </w:r>
      <w:r w:rsidRPr="00AC4874">
        <w:rPr>
          <w:rFonts w:cs="Arial"/>
          <w:bCs w:val="0"/>
          <w:iCs w:val="0"/>
        </w:rPr>
        <w:t xml:space="preserve">Annex </w:t>
      </w:r>
      <w:r w:rsidR="00AC4874">
        <w:rPr>
          <w:rFonts w:cs="Arial"/>
          <w:bCs w:val="0"/>
          <w:iCs w:val="0"/>
        </w:rPr>
        <w:t>7.4</w:t>
      </w:r>
      <w:r w:rsidRPr="00AC4874">
        <w:rPr>
          <w:rFonts w:cs="Arial"/>
          <w:bCs w:val="0"/>
          <w:iCs w:val="0"/>
        </w:rPr>
        <w:t>B</w:t>
      </w:r>
      <w:r w:rsidRPr="000E5786">
        <w:rPr>
          <w:rFonts w:cs="Arial"/>
          <w:b/>
          <w:bCs w:val="0"/>
        </w:rPr>
        <w:t xml:space="preserve"> </w:t>
      </w:r>
      <w:r w:rsidRPr="000E5786">
        <w:rPr>
          <w:rFonts w:cs="Arial"/>
        </w:rPr>
        <w:t xml:space="preserve">indicates the Supplier’s </w:t>
      </w:r>
      <w:r w:rsidR="001F0877">
        <w:rPr>
          <w:rFonts w:cs="Arial"/>
        </w:rPr>
        <w:t xml:space="preserve">tooling and </w:t>
      </w:r>
      <w:r w:rsidRPr="000E5786">
        <w:rPr>
          <w:rFonts w:cs="Arial"/>
        </w:rPr>
        <w:t>Service Request charges included in the Base Catalogue Charge.</w:t>
      </w:r>
    </w:p>
    <w:p w14:paraId="741A2835" w14:textId="77777777" w:rsidR="004C127E" w:rsidRPr="000E5786" w:rsidRDefault="004C127E" w:rsidP="009D675B">
      <w:pPr>
        <w:pStyle w:val="Heading2"/>
        <w:numPr>
          <w:ilvl w:val="1"/>
          <w:numId w:val="140"/>
        </w:numPr>
        <w:spacing w:after="120"/>
        <w:rPr>
          <w:rFonts w:cs="Arial"/>
        </w:rPr>
      </w:pPr>
      <w:r w:rsidRPr="000E5786">
        <w:rPr>
          <w:rFonts w:cs="Arial"/>
        </w:rPr>
        <w:t xml:space="preserve">Service Requests are defined by having the following properties: </w:t>
      </w:r>
    </w:p>
    <w:p w14:paraId="2A85745D" w14:textId="77777777" w:rsidR="004C127E" w:rsidRPr="000E5786" w:rsidRDefault="004C127E" w:rsidP="009D675B">
      <w:pPr>
        <w:pStyle w:val="Heading3"/>
        <w:numPr>
          <w:ilvl w:val="2"/>
          <w:numId w:val="140"/>
        </w:numPr>
      </w:pPr>
      <w:r w:rsidRPr="000E5786">
        <w:rPr>
          <w:b/>
        </w:rPr>
        <w:t>Service Component Type</w:t>
      </w:r>
      <w:r w:rsidRPr="000E5786">
        <w:t xml:space="preserve">: </w:t>
      </w:r>
      <w:proofErr w:type="gramStart"/>
      <w:r w:rsidRPr="000E5786">
        <w:t>the</w:t>
      </w:r>
      <w:proofErr w:type="gramEnd"/>
      <w:r w:rsidRPr="000E5786">
        <w:t xml:space="preserve"> </w:t>
      </w:r>
      <w:r w:rsidRPr="00AC4874">
        <w:t>Infrastructure</w:t>
      </w:r>
      <w:r w:rsidRPr="000E5786">
        <w:t>, Platform or other category of service;</w:t>
      </w:r>
    </w:p>
    <w:p w14:paraId="5CCDD80B" w14:textId="77777777" w:rsidR="004C127E" w:rsidRPr="000E5786" w:rsidRDefault="004C127E" w:rsidP="009D675B">
      <w:pPr>
        <w:pStyle w:val="Heading3"/>
        <w:numPr>
          <w:ilvl w:val="2"/>
          <w:numId w:val="140"/>
        </w:numPr>
      </w:pPr>
      <w:r w:rsidRPr="000E5786">
        <w:rPr>
          <w:b/>
        </w:rPr>
        <w:t xml:space="preserve">Service Request Type: </w:t>
      </w:r>
      <w:r w:rsidRPr="000E5786">
        <w:t>whether they are request for:</w:t>
      </w:r>
    </w:p>
    <w:p w14:paraId="5FE60A0B" w14:textId="77777777" w:rsidR="004C127E" w:rsidRPr="00AC4874" w:rsidRDefault="004C127E" w:rsidP="009D675B">
      <w:pPr>
        <w:pStyle w:val="Heading4"/>
        <w:numPr>
          <w:ilvl w:val="3"/>
          <w:numId w:val="140"/>
        </w:numPr>
        <w:spacing w:after="120"/>
        <w:ind w:left="2410"/>
        <w:rPr>
          <w:rFonts w:eastAsia="Arial" w:cs="Arial"/>
          <w:szCs w:val="20"/>
        </w:rPr>
      </w:pPr>
      <w:r w:rsidRPr="00AC4874">
        <w:rPr>
          <w:rFonts w:eastAsia="Arial" w:cs="Arial"/>
          <w:szCs w:val="20"/>
        </w:rPr>
        <w:t xml:space="preserve">Create a Service </w:t>
      </w:r>
      <w:proofErr w:type="gramStart"/>
      <w:r w:rsidRPr="00AC4874">
        <w:rPr>
          <w:rFonts w:eastAsia="Arial" w:cs="Arial"/>
          <w:szCs w:val="20"/>
        </w:rPr>
        <w:t>Component;</w:t>
      </w:r>
      <w:proofErr w:type="gramEnd"/>
    </w:p>
    <w:p w14:paraId="171C1EFE" w14:textId="77777777" w:rsidR="004C127E" w:rsidRPr="00AC4874" w:rsidRDefault="004C127E" w:rsidP="009D675B">
      <w:pPr>
        <w:pStyle w:val="Heading4"/>
        <w:numPr>
          <w:ilvl w:val="3"/>
          <w:numId w:val="140"/>
        </w:numPr>
        <w:spacing w:after="120"/>
        <w:ind w:left="2410"/>
        <w:rPr>
          <w:rFonts w:eastAsia="Arial" w:cs="Arial"/>
          <w:szCs w:val="20"/>
        </w:rPr>
      </w:pPr>
      <w:r w:rsidRPr="00AC4874">
        <w:rPr>
          <w:rFonts w:eastAsia="Arial" w:cs="Arial"/>
          <w:szCs w:val="20"/>
        </w:rPr>
        <w:t xml:space="preserve">Modify a Service </w:t>
      </w:r>
      <w:proofErr w:type="gramStart"/>
      <w:r w:rsidRPr="00AC4874">
        <w:rPr>
          <w:rFonts w:eastAsia="Arial" w:cs="Arial"/>
          <w:szCs w:val="20"/>
        </w:rPr>
        <w:t>Component;</w:t>
      </w:r>
      <w:proofErr w:type="gramEnd"/>
    </w:p>
    <w:p w14:paraId="2CDDA554" w14:textId="77777777" w:rsidR="004C127E" w:rsidRPr="00AC4874" w:rsidRDefault="004C127E" w:rsidP="009D675B">
      <w:pPr>
        <w:pStyle w:val="Heading4"/>
        <w:numPr>
          <w:ilvl w:val="3"/>
          <w:numId w:val="140"/>
        </w:numPr>
        <w:spacing w:after="120"/>
        <w:ind w:left="2410"/>
        <w:rPr>
          <w:rFonts w:eastAsia="Arial" w:cs="Arial"/>
          <w:szCs w:val="20"/>
        </w:rPr>
      </w:pPr>
      <w:r w:rsidRPr="00AC4874">
        <w:rPr>
          <w:rFonts w:eastAsia="Arial" w:cs="Arial"/>
          <w:szCs w:val="20"/>
        </w:rPr>
        <w:t xml:space="preserve">Decommission a Service </w:t>
      </w:r>
      <w:proofErr w:type="gramStart"/>
      <w:r w:rsidRPr="00AC4874">
        <w:rPr>
          <w:rFonts w:eastAsia="Arial" w:cs="Arial"/>
          <w:szCs w:val="20"/>
        </w:rPr>
        <w:t>Component;</w:t>
      </w:r>
      <w:proofErr w:type="gramEnd"/>
    </w:p>
    <w:p w14:paraId="4E1C640D" w14:textId="77777777" w:rsidR="004C127E" w:rsidRPr="00AC4874" w:rsidRDefault="004C127E" w:rsidP="009D675B">
      <w:pPr>
        <w:pStyle w:val="Heading4"/>
        <w:numPr>
          <w:ilvl w:val="3"/>
          <w:numId w:val="140"/>
        </w:numPr>
        <w:spacing w:after="120"/>
        <w:ind w:left="2410"/>
        <w:rPr>
          <w:rFonts w:eastAsia="Arial" w:cs="Arial"/>
          <w:szCs w:val="20"/>
        </w:rPr>
      </w:pPr>
      <w:r w:rsidRPr="00AC4874">
        <w:rPr>
          <w:rFonts w:eastAsia="Arial" w:cs="Arial"/>
          <w:szCs w:val="20"/>
        </w:rPr>
        <w:t>Hands and Eyes requests; and</w:t>
      </w:r>
    </w:p>
    <w:p w14:paraId="32372D13" w14:textId="77777777" w:rsidR="004C127E" w:rsidRPr="000E5786" w:rsidRDefault="004C127E" w:rsidP="009D675B">
      <w:pPr>
        <w:pStyle w:val="Heading4"/>
        <w:numPr>
          <w:ilvl w:val="3"/>
          <w:numId w:val="140"/>
        </w:numPr>
        <w:spacing w:after="120"/>
        <w:ind w:left="2410"/>
        <w:rPr>
          <w:rFonts w:cs="Arial"/>
        </w:rPr>
      </w:pPr>
      <w:r w:rsidRPr="00AC4874">
        <w:rPr>
          <w:rFonts w:eastAsia="Arial" w:cs="Arial"/>
          <w:szCs w:val="20"/>
        </w:rPr>
        <w:t>Miscellaneous</w:t>
      </w:r>
      <w:r w:rsidRPr="000E5786">
        <w:rPr>
          <w:rFonts w:cs="Arial"/>
        </w:rPr>
        <w:t>, not relating to Service Components.</w:t>
      </w:r>
    </w:p>
    <w:p w14:paraId="09C91064" w14:textId="77777777" w:rsidR="004C127E" w:rsidRPr="000E5786" w:rsidRDefault="004C127E" w:rsidP="009D675B">
      <w:pPr>
        <w:pStyle w:val="Heading3"/>
        <w:numPr>
          <w:ilvl w:val="2"/>
          <w:numId w:val="140"/>
        </w:numPr>
      </w:pPr>
      <w:r w:rsidRPr="000E5786">
        <w:rPr>
          <w:b/>
        </w:rPr>
        <w:t>Service Request Description</w:t>
      </w:r>
      <w:r w:rsidRPr="000E5786">
        <w:t xml:space="preserve"> is the </w:t>
      </w:r>
      <w:r w:rsidRPr="00AC4874">
        <w:t>scope</w:t>
      </w:r>
      <w:r w:rsidRPr="000E5786">
        <w:t xml:space="preserve"> of service to be delivered.</w:t>
      </w:r>
    </w:p>
    <w:p w14:paraId="018681AE" w14:textId="77777777" w:rsidR="004C127E" w:rsidRPr="000E5786" w:rsidRDefault="004C127E" w:rsidP="009D675B">
      <w:pPr>
        <w:pStyle w:val="Heading3"/>
        <w:numPr>
          <w:ilvl w:val="2"/>
          <w:numId w:val="140"/>
        </w:numPr>
      </w:pPr>
      <w:r w:rsidRPr="000E5786">
        <w:rPr>
          <w:b/>
        </w:rPr>
        <w:t>Service Request Complexity</w:t>
      </w:r>
      <w:r w:rsidRPr="000E5786">
        <w:t xml:space="preserve">: </w:t>
      </w:r>
      <w:r w:rsidRPr="00AC4874">
        <w:t>categorised</w:t>
      </w:r>
      <w:r w:rsidRPr="000E5786">
        <w:t xml:space="preserve"> as Simple, </w:t>
      </w:r>
      <w:proofErr w:type="gramStart"/>
      <w:r w:rsidRPr="000E5786">
        <w:t>Medium</w:t>
      </w:r>
      <w:proofErr w:type="gramEnd"/>
      <w:r w:rsidRPr="000E5786">
        <w:t xml:space="preserve"> or Complex (as a guide):</w:t>
      </w:r>
    </w:p>
    <w:p w14:paraId="2029B047" w14:textId="77777777" w:rsidR="004C127E" w:rsidRPr="00AC4874" w:rsidRDefault="004C127E" w:rsidP="009D675B">
      <w:pPr>
        <w:pStyle w:val="Heading4"/>
        <w:numPr>
          <w:ilvl w:val="3"/>
          <w:numId w:val="140"/>
        </w:numPr>
        <w:spacing w:after="120"/>
        <w:ind w:left="2410"/>
        <w:rPr>
          <w:rFonts w:eastAsia="Arial" w:cs="Arial"/>
          <w:szCs w:val="20"/>
        </w:rPr>
      </w:pPr>
      <w:r w:rsidRPr="000E5786">
        <w:rPr>
          <w:rFonts w:cs="Arial"/>
        </w:rPr>
        <w:t>Simple (“</w:t>
      </w:r>
      <w:r w:rsidRPr="007568F4">
        <w:rPr>
          <w:rFonts w:cs="Arial"/>
          <w:b/>
          <w:bCs w:val="0"/>
        </w:rPr>
        <w:t>S</w:t>
      </w:r>
      <w:r w:rsidRPr="000E5786">
        <w:rPr>
          <w:rFonts w:cs="Arial"/>
        </w:rPr>
        <w:t xml:space="preserve">”): a set </w:t>
      </w:r>
      <w:r w:rsidRPr="00AC4874">
        <w:rPr>
          <w:rFonts w:eastAsia="Arial" w:cs="Arial"/>
          <w:szCs w:val="20"/>
        </w:rPr>
        <w:t xml:space="preserve">of items to process where the set is fewer than five distinct items with standardised configuration, fully pre-defined working instructions, quick and streamlined </w:t>
      </w:r>
      <w:proofErr w:type="gramStart"/>
      <w:r w:rsidRPr="00AC4874">
        <w:rPr>
          <w:rFonts w:eastAsia="Arial" w:cs="Arial"/>
          <w:szCs w:val="20"/>
        </w:rPr>
        <w:t>provisioning;</w:t>
      </w:r>
      <w:proofErr w:type="gramEnd"/>
      <w:r w:rsidRPr="00AC4874">
        <w:rPr>
          <w:rFonts w:eastAsia="Arial" w:cs="Arial"/>
          <w:szCs w:val="20"/>
        </w:rPr>
        <w:t xml:space="preserve"> </w:t>
      </w:r>
    </w:p>
    <w:p w14:paraId="7A5C52E1" w14:textId="77777777" w:rsidR="004C127E" w:rsidRPr="00AC4874" w:rsidRDefault="004C127E" w:rsidP="009D675B">
      <w:pPr>
        <w:pStyle w:val="Heading4"/>
        <w:numPr>
          <w:ilvl w:val="3"/>
          <w:numId w:val="140"/>
        </w:numPr>
        <w:spacing w:after="120"/>
        <w:ind w:left="2410"/>
        <w:rPr>
          <w:rFonts w:eastAsia="Arial" w:cs="Arial"/>
          <w:szCs w:val="20"/>
        </w:rPr>
      </w:pPr>
      <w:r w:rsidRPr="00AC4874">
        <w:rPr>
          <w:rFonts w:eastAsia="Arial" w:cs="Arial"/>
          <w:szCs w:val="20"/>
        </w:rPr>
        <w:t>Medium (“</w:t>
      </w:r>
      <w:r w:rsidRPr="007568F4">
        <w:rPr>
          <w:rFonts w:eastAsia="Arial" w:cs="Arial"/>
          <w:b/>
          <w:bCs w:val="0"/>
          <w:szCs w:val="20"/>
        </w:rPr>
        <w:t>M</w:t>
      </w:r>
      <w:r w:rsidRPr="00AC4874">
        <w:rPr>
          <w:rFonts w:eastAsia="Arial" w:cs="Arial"/>
          <w:szCs w:val="20"/>
        </w:rPr>
        <w:t>”): a set of items to process where the set is more than five distinct items but fewer than ten distinct items which are partially standardised configuration, pre-defined working instructions; and</w:t>
      </w:r>
    </w:p>
    <w:p w14:paraId="42E48B32" w14:textId="77777777" w:rsidR="004C127E" w:rsidRPr="000E5786" w:rsidRDefault="004C127E" w:rsidP="009D675B">
      <w:pPr>
        <w:pStyle w:val="Heading4"/>
        <w:numPr>
          <w:ilvl w:val="3"/>
          <w:numId w:val="140"/>
        </w:numPr>
        <w:spacing w:after="120"/>
        <w:ind w:left="2410"/>
        <w:rPr>
          <w:rFonts w:cs="Arial"/>
        </w:rPr>
      </w:pPr>
      <w:r w:rsidRPr="00AC4874">
        <w:rPr>
          <w:rFonts w:eastAsia="Arial" w:cs="Arial"/>
          <w:szCs w:val="20"/>
        </w:rPr>
        <w:t>Complex (“</w:t>
      </w:r>
      <w:r w:rsidRPr="007568F4">
        <w:rPr>
          <w:rFonts w:eastAsia="Arial" w:cs="Arial"/>
          <w:b/>
          <w:bCs w:val="0"/>
          <w:szCs w:val="20"/>
        </w:rPr>
        <w:t>C</w:t>
      </w:r>
      <w:r w:rsidRPr="00AC4874">
        <w:rPr>
          <w:rFonts w:eastAsia="Arial" w:cs="Arial"/>
          <w:szCs w:val="20"/>
        </w:rPr>
        <w:t>”): a set of items to process where the set contains more than ten items to process. Non-Standard Configuration, limited expertise and</w:t>
      </w:r>
      <w:r w:rsidRPr="000E5786">
        <w:rPr>
          <w:rFonts w:cs="Arial"/>
        </w:rPr>
        <w:t xml:space="preserve"> without pre-defined working instructions. </w:t>
      </w:r>
    </w:p>
    <w:p w14:paraId="54BCCC5D" w14:textId="00021CFC" w:rsidR="004C127E" w:rsidRPr="000E5786" w:rsidRDefault="004C127E" w:rsidP="009D675B">
      <w:pPr>
        <w:pStyle w:val="Heading2"/>
        <w:numPr>
          <w:ilvl w:val="1"/>
          <w:numId w:val="140"/>
        </w:numPr>
        <w:spacing w:after="120"/>
        <w:rPr>
          <w:rFonts w:cs="Arial"/>
        </w:rPr>
      </w:pPr>
      <w:r w:rsidRPr="000E5786">
        <w:rPr>
          <w:rFonts w:cs="Arial"/>
        </w:rPr>
        <w:t xml:space="preserve">Each categorisation of Service Request has been given a </w:t>
      </w:r>
      <w:proofErr w:type="gramStart"/>
      <w:r w:rsidRPr="000E5786">
        <w:rPr>
          <w:rFonts w:cs="Arial"/>
        </w:rPr>
        <w:t>monthly allocation Maximum Volume requests</w:t>
      </w:r>
      <w:proofErr w:type="gramEnd"/>
      <w:r w:rsidRPr="000E5786">
        <w:rPr>
          <w:rFonts w:cs="Arial"/>
        </w:rPr>
        <w:t xml:space="preserve">. By </w:t>
      </w:r>
      <w:proofErr w:type="gramStart"/>
      <w:r w:rsidRPr="000E5786">
        <w:rPr>
          <w:rFonts w:cs="Arial"/>
        </w:rPr>
        <w:t>default</w:t>
      </w:r>
      <w:proofErr w:type="gramEnd"/>
      <w:r w:rsidRPr="000E5786">
        <w:rPr>
          <w:rFonts w:cs="Arial"/>
        </w:rPr>
        <w:t xml:space="preserve"> Service Requests are not charged for. Above the Maximum Volume limit there will be a charge for additional each Service Request, ‘Additional Request Charge’ in the table in this Annex </w:t>
      </w:r>
      <w:r w:rsidR="004E711C">
        <w:rPr>
          <w:rFonts w:cs="Arial"/>
        </w:rPr>
        <w:t>7.4</w:t>
      </w:r>
      <w:r w:rsidRPr="000E5786">
        <w:rPr>
          <w:rFonts w:cs="Arial"/>
        </w:rPr>
        <w:t>B</w:t>
      </w:r>
    </w:p>
    <w:p w14:paraId="69F8E566" w14:textId="089FDB53" w:rsidR="004C127E" w:rsidRPr="000E5786" w:rsidRDefault="004C127E" w:rsidP="009D675B">
      <w:pPr>
        <w:pStyle w:val="Heading2"/>
        <w:numPr>
          <w:ilvl w:val="1"/>
          <w:numId w:val="140"/>
        </w:numPr>
        <w:spacing w:after="120"/>
        <w:rPr>
          <w:rFonts w:cs="Arial"/>
        </w:rPr>
      </w:pPr>
      <w:r w:rsidRPr="000E5786">
        <w:rPr>
          <w:rFonts w:cs="Arial"/>
        </w:rPr>
        <w:t xml:space="preserve">Urgent requests delivered within a reduced timescale will be subject to a Critical Response </w:t>
      </w:r>
      <w:r w:rsidR="00A970BD" w:rsidRPr="000E5786">
        <w:rPr>
          <w:rFonts w:cs="Arial"/>
        </w:rPr>
        <w:t>Charge</w:t>
      </w:r>
      <w:r w:rsidRPr="000E5786">
        <w:rPr>
          <w:rFonts w:cs="Arial"/>
        </w:rPr>
        <w:t>.</w:t>
      </w:r>
    </w:p>
    <w:p w14:paraId="0C855D30" w14:textId="77777777" w:rsidR="004C127E" w:rsidRPr="000E5786" w:rsidRDefault="004C127E" w:rsidP="009D675B">
      <w:pPr>
        <w:pStyle w:val="Heading2"/>
        <w:numPr>
          <w:ilvl w:val="1"/>
          <w:numId w:val="140"/>
        </w:numPr>
        <w:spacing w:after="120"/>
        <w:rPr>
          <w:rFonts w:cs="Arial"/>
        </w:rPr>
      </w:pPr>
      <w:r w:rsidRPr="000E5786">
        <w:rPr>
          <w:rFonts w:cs="Arial"/>
        </w:rPr>
        <w:t>Unit Prices quoted are per request.</w:t>
      </w:r>
    </w:p>
    <w:p w14:paraId="7354B9D3" w14:textId="7469FE1A" w:rsidR="004C127E" w:rsidRPr="000E5786" w:rsidRDefault="004C127E" w:rsidP="009D675B">
      <w:pPr>
        <w:pStyle w:val="Heading2"/>
        <w:numPr>
          <w:ilvl w:val="1"/>
          <w:numId w:val="140"/>
        </w:numPr>
        <w:spacing w:after="120"/>
        <w:rPr>
          <w:rFonts w:cs="Arial"/>
        </w:rPr>
      </w:pPr>
      <w:r w:rsidRPr="000E5786">
        <w:rPr>
          <w:rFonts w:cs="Arial"/>
        </w:rPr>
        <w:t>This Base Catalogue Charges will be fixed for the contract term. Any additional services request required will be quoted in accordance with these Charges.</w:t>
      </w:r>
      <w:r w:rsidR="001F0877">
        <w:rPr>
          <w:rFonts w:cs="Arial"/>
        </w:rPr>
        <w:t xml:space="preserve"> Tooling Charges and unit quantities shall be subject to confirmation during the Transition Project.</w:t>
      </w:r>
    </w:p>
    <w:p w14:paraId="1469C71F" w14:textId="5E9A26C3" w:rsidR="004C127E" w:rsidRDefault="004C127E" w:rsidP="009D675B">
      <w:pPr>
        <w:pStyle w:val="Heading2"/>
        <w:numPr>
          <w:ilvl w:val="1"/>
          <w:numId w:val="140"/>
        </w:numPr>
        <w:spacing w:after="120"/>
        <w:rPr>
          <w:rFonts w:cs="Arial"/>
        </w:rPr>
      </w:pPr>
      <w:r w:rsidRPr="000E5786">
        <w:rPr>
          <w:rFonts w:cs="Arial"/>
        </w:rPr>
        <w:lastRenderedPageBreak/>
        <w:t>All rates are quoted in GBP.</w:t>
      </w:r>
    </w:p>
    <w:p w14:paraId="5ACDF668" w14:textId="2A72DF61" w:rsidR="00815AC2" w:rsidRDefault="00815AC2" w:rsidP="00815AC2">
      <w:pPr>
        <w:pStyle w:val="Heading2"/>
        <w:numPr>
          <w:ilvl w:val="0"/>
          <w:numId w:val="0"/>
        </w:numPr>
        <w:spacing w:after="120"/>
        <w:ind w:left="576"/>
        <w:rPr>
          <w:rFonts w:cs="Arial"/>
        </w:rPr>
      </w:pPr>
    </w:p>
    <w:p w14:paraId="2A7E5959" w14:textId="77777777" w:rsidR="00815AC2" w:rsidRDefault="00815AC2" w:rsidP="00815AC2">
      <w:pPr>
        <w:pStyle w:val="Heading2"/>
        <w:numPr>
          <w:ilvl w:val="0"/>
          <w:numId w:val="0"/>
        </w:numPr>
        <w:tabs>
          <w:tab w:val="left" w:pos="720"/>
        </w:tabs>
        <w:spacing w:after="120"/>
        <w:ind w:left="709" w:hanging="709"/>
        <w:rPr>
          <w:rFonts w:cs="Arial"/>
          <w:b/>
          <w:bCs w:val="0"/>
          <w:sz w:val="24"/>
          <w:szCs w:val="24"/>
        </w:rPr>
      </w:pPr>
      <w:r>
        <w:rPr>
          <w:rFonts w:cs="Arial"/>
          <w:b/>
          <w:bCs w:val="0"/>
          <w:sz w:val="24"/>
          <w:szCs w:val="24"/>
        </w:rPr>
        <w:t>Tooling Charges</w:t>
      </w:r>
    </w:p>
    <w:p w14:paraId="4C36670D" w14:textId="77777777" w:rsidR="00815AC2" w:rsidRDefault="00815AC2" w:rsidP="00815AC2">
      <w:pPr>
        <w:pStyle w:val="Heading2"/>
        <w:numPr>
          <w:ilvl w:val="0"/>
          <w:numId w:val="0"/>
        </w:numPr>
        <w:tabs>
          <w:tab w:val="left" w:pos="720"/>
        </w:tabs>
        <w:spacing w:after="120"/>
        <w:ind w:left="709" w:hanging="709"/>
        <w:rPr>
          <w:rFonts w:cs="Arial"/>
        </w:rPr>
      </w:pPr>
    </w:p>
    <w:tbl>
      <w:tblPr>
        <w:tblW w:w="14599" w:type="dxa"/>
        <w:tblLook w:val="04A0" w:firstRow="1" w:lastRow="0" w:firstColumn="1" w:lastColumn="0" w:noHBand="0" w:noVBand="1"/>
      </w:tblPr>
      <w:tblGrid>
        <w:gridCol w:w="1439"/>
        <w:gridCol w:w="1526"/>
        <w:gridCol w:w="1890"/>
        <w:gridCol w:w="2070"/>
        <w:gridCol w:w="1710"/>
        <w:gridCol w:w="1260"/>
        <w:gridCol w:w="1620"/>
        <w:gridCol w:w="1350"/>
        <w:gridCol w:w="1734"/>
      </w:tblGrid>
      <w:tr w:rsidR="00815AC2" w14:paraId="505CB9ED" w14:textId="77777777" w:rsidTr="00815AC2">
        <w:trPr>
          <w:trHeight w:val="1524"/>
        </w:trPr>
        <w:tc>
          <w:tcPr>
            <w:tcW w:w="1439"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E1C2EA5" w14:textId="77777777" w:rsidR="00815AC2" w:rsidRDefault="00815AC2">
            <w:pPr>
              <w:spacing w:after="0"/>
              <w:ind w:left="0" w:firstLine="0"/>
              <w:jc w:val="left"/>
              <w:rPr>
                <w:rFonts w:ascii="Calibri" w:hAnsi="Calibri" w:cs="Calibri"/>
                <w:b/>
                <w:bCs/>
                <w:color w:val="auto"/>
                <w:sz w:val="22"/>
                <w:szCs w:val="22"/>
                <w:lang w:val="en-US" w:eastAsia="en-US"/>
              </w:rPr>
            </w:pPr>
            <w:r>
              <w:rPr>
                <w:rFonts w:ascii="Calibri" w:hAnsi="Calibri" w:cs="Calibri"/>
                <w:b/>
                <w:bCs/>
                <w:color w:val="auto"/>
                <w:sz w:val="22"/>
                <w:szCs w:val="22"/>
                <w:lang w:val="en-US" w:eastAsia="en-US"/>
              </w:rPr>
              <w:t>Service</w:t>
            </w:r>
          </w:p>
        </w:tc>
        <w:tc>
          <w:tcPr>
            <w:tcW w:w="1526" w:type="dxa"/>
            <w:tcBorders>
              <w:top w:val="single" w:sz="4" w:space="0" w:color="auto"/>
              <w:left w:val="nil"/>
              <w:bottom w:val="single" w:sz="4" w:space="0" w:color="auto"/>
              <w:right w:val="single" w:sz="4" w:space="0" w:color="auto"/>
            </w:tcBorders>
            <w:shd w:val="clear" w:color="auto" w:fill="FFFFFF"/>
            <w:vAlign w:val="center"/>
            <w:hideMark/>
          </w:tcPr>
          <w:p w14:paraId="7A36505F" w14:textId="77777777" w:rsidR="00815AC2" w:rsidRDefault="00815AC2">
            <w:pPr>
              <w:spacing w:after="0"/>
              <w:ind w:left="0" w:firstLine="0"/>
              <w:jc w:val="left"/>
              <w:rPr>
                <w:rFonts w:ascii="Calibri" w:hAnsi="Calibri" w:cs="Calibri"/>
                <w:b/>
                <w:bCs/>
                <w:color w:val="auto"/>
                <w:sz w:val="22"/>
                <w:szCs w:val="22"/>
                <w:lang w:val="en-US" w:eastAsia="en-US"/>
              </w:rPr>
            </w:pPr>
            <w:r>
              <w:rPr>
                <w:rFonts w:ascii="Calibri" w:hAnsi="Calibri" w:cs="Calibri"/>
                <w:b/>
                <w:bCs/>
                <w:sz w:val="22"/>
                <w:szCs w:val="22"/>
                <w:lang w:val="en-US" w:eastAsia="en-US"/>
              </w:rPr>
              <w:t>Charge Description</w:t>
            </w:r>
          </w:p>
        </w:tc>
        <w:tc>
          <w:tcPr>
            <w:tcW w:w="1890" w:type="dxa"/>
            <w:tcBorders>
              <w:top w:val="single" w:sz="4" w:space="0" w:color="auto"/>
              <w:left w:val="nil"/>
              <w:bottom w:val="single" w:sz="4" w:space="0" w:color="auto"/>
              <w:right w:val="single" w:sz="4" w:space="0" w:color="auto"/>
            </w:tcBorders>
            <w:shd w:val="clear" w:color="auto" w:fill="FFFFFF"/>
            <w:vAlign w:val="center"/>
            <w:hideMark/>
          </w:tcPr>
          <w:p w14:paraId="10B643F3" w14:textId="77777777" w:rsidR="00815AC2" w:rsidRDefault="00815AC2">
            <w:pPr>
              <w:spacing w:after="0"/>
              <w:ind w:left="0" w:firstLine="0"/>
              <w:jc w:val="left"/>
              <w:rPr>
                <w:rFonts w:ascii="Calibri" w:hAnsi="Calibri" w:cs="Calibri"/>
                <w:b/>
                <w:bCs/>
                <w:color w:val="auto"/>
                <w:sz w:val="22"/>
                <w:szCs w:val="22"/>
                <w:lang w:val="en-US" w:eastAsia="en-US"/>
              </w:rPr>
            </w:pPr>
            <w:r>
              <w:rPr>
                <w:rFonts w:ascii="Calibri" w:hAnsi="Calibri" w:cs="Calibri"/>
                <w:b/>
                <w:bCs/>
                <w:sz w:val="22"/>
                <w:szCs w:val="22"/>
                <w:lang w:val="en-US" w:eastAsia="en-US"/>
              </w:rPr>
              <w:t>Reason</w:t>
            </w:r>
          </w:p>
        </w:tc>
        <w:tc>
          <w:tcPr>
            <w:tcW w:w="2070" w:type="dxa"/>
            <w:tcBorders>
              <w:top w:val="single" w:sz="4" w:space="0" w:color="auto"/>
              <w:left w:val="nil"/>
              <w:bottom w:val="single" w:sz="4" w:space="0" w:color="auto"/>
              <w:right w:val="single" w:sz="4" w:space="0" w:color="auto"/>
            </w:tcBorders>
            <w:shd w:val="clear" w:color="auto" w:fill="FFFFFF"/>
            <w:vAlign w:val="center"/>
            <w:hideMark/>
          </w:tcPr>
          <w:p w14:paraId="3B59896F" w14:textId="77777777" w:rsidR="00815AC2" w:rsidRDefault="00815AC2">
            <w:pPr>
              <w:spacing w:after="0"/>
              <w:ind w:left="0" w:firstLine="0"/>
              <w:jc w:val="center"/>
              <w:rPr>
                <w:rFonts w:ascii="Calibri" w:hAnsi="Calibri" w:cs="Calibri"/>
                <w:b/>
                <w:bCs/>
                <w:color w:val="auto"/>
                <w:sz w:val="22"/>
                <w:szCs w:val="22"/>
                <w:lang w:val="en-US" w:eastAsia="en-US"/>
              </w:rPr>
            </w:pPr>
            <w:r>
              <w:rPr>
                <w:rFonts w:ascii="Calibri" w:hAnsi="Calibri" w:cs="Calibri"/>
                <w:b/>
                <w:bCs/>
                <w:sz w:val="22"/>
                <w:szCs w:val="22"/>
                <w:lang w:val="en-US" w:eastAsia="en-US"/>
              </w:rPr>
              <w:t>Unit/Frequency</w:t>
            </w:r>
          </w:p>
        </w:tc>
        <w:tc>
          <w:tcPr>
            <w:tcW w:w="1710" w:type="dxa"/>
            <w:tcBorders>
              <w:top w:val="single" w:sz="4" w:space="0" w:color="auto"/>
              <w:left w:val="nil"/>
              <w:bottom w:val="single" w:sz="4" w:space="0" w:color="auto"/>
              <w:right w:val="single" w:sz="4" w:space="0" w:color="auto"/>
            </w:tcBorders>
            <w:shd w:val="clear" w:color="auto" w:fill="FFFFFF"/>
            <w:vAlign w:val="center"/>
            <w:hideMark/>
          </w:tcPr>
          <w:p w14:paraId="74FA3E17" w14:textId="77777777" w:rsidR="00815AC2" w:rsidRDefault="00815AC2">
            <w:pPr>
              <w:spacing w:after="0"/>
              <w:ind w:left="0" w:firstLine="0"/>
              <w:jc w:val="center"/>
              <w:rPr>
                <w:rFonts w:ascii="Calibri" w:hAnsi="Calibri" w:cs="Calibri"/>
                <w:b/>
                <w:bCs/>
                <w:color w:val="auto"/>
                <w:sz w:val="22"/>
                <w:szCs w:val="22"/>
                <w:lang w:val="en-US" w:eastAsia="en-US"/>
              </w:rPr>
            </w:pPr>
            <w:r>
              <w:rPr>
                <w:rFonts w:ascii="Calibri" w:hAnsi="Calibri" w:cs="Calibri"/>
                <w:b/>
                <w:bCs/>
                <w:sz w:val="22"/>
                <w:szCs w:val="22"/>
                <w:lang w:val="en-US" w:eastAsia="en-US"/>
              </w:rPr>
              <w:t>No. of Units/No. of occurrences over contract term</w:t>
            </w:r>
          </w:p>
        </w:tc>
        <w:tc>
          <w:tcPr>
            <w:tcW w:w="1260" w:type="dxa"/>
            <w:tcBorders>
              <w:top w:val="single" w:sz="4" w:space="0" w:color="auto"/>
              <w:left w:val="nil"/>
              <w:bottom w:val="single" w:sz="4" w:space="0" w:color="auto"/>
              <w:right w:val="single" w:sz="4" w:space="0" w:color="auto"/>
            </w:tcBorders>
            <w:shd w:val="clear" w:color="auto" w:fill="FFFFFF"/>
            <w:vAlign w:val="center"/>
            <w:hideMark/>
          </w:tcPr>
          <w:p w14:paraId="3F2CDF3B" w14:textId="77777777" w:rsidR="00815AC2" w:rsidRDefault="00815AC2">
            <w:pPr>
              <w:spacing w:after="0"/>
              <w:ind w:left="0" w:firstLine="0"/>
              <w:jc w:val="center"/>
              <w:rPr>
                <w:rFonts w:ascii="Calibri" w:hAnsi="Calibri" w:cs="Calibri"/>
                <w:b/>
                <w:bCs/>
                <w:color w:val="auto"/>
                <w:sz w:val="22"/>
                <w:szCs w:val="22"/>
                <w:lang w:val="en-US" w:eastAsia="en-US"/>
              </w:rPr>
            </w:pPr>
            <w:r>
              <w:rPr>
                <w:rFonts w:ascii="Calibri" w:hAnsi="Calibri" w:cs="Calibri"/>
                <w:b/>
                <w:bCs/>
                <w:sz w:val="22"/>
                <w:szCs w:val="22"/>
                <w:lang w:val="en-US" w:eastAsia="en-US"/>
              </w:rPr>
              <w:t>Charge per unit per month</w:t>
            </w:r>
          </w:p>
        </w:tc>
        <w:tc>
          <w:tcPr>
            <w:tcW w:w="1620" w:type="dxa"/>
            <w:tcBorders>
              <w:top w:val="single" w:sz="4" w:space="0" w:color="auto"/>
              <w:left w:val="nil"/>
              <w:bottom w:val="single" w:sz="4" w:space="0" w:color="auto"/>
              <w:right w:val="single" w:sz="4" w:space="0" w:color="auto"/>
            </w:tcBorders>
            <w:shd w:val="clear" w:color="auto" w:fill="FFFFFF"/>
            <w:vAlign w:val="center"/>
            <w:hideMark/>
          </w:tcPr>
          <w:p w14:paraId="377CC369" w14:textId="77777777" w:rsidR="00815AC2" w:rsidRDefault="00815AC2">
            <w:pPr>
              <w:spacing w:after="0"/>
              <w:ind w:left="0" w:firstLine="0"/>
              <w:jc w:val="center"/>
              <w:rPr>
                <w:rFonts w:ascii="Calibri" w:hAnsi="Calibri" w:cs="Calibri"/>
                <w:b/>
                <w:bCs/>
                <w:color w:val="auto"/>
                <w:sz w:val="22"/>
                <w:szCs w:val="22"/>
                <w:lang w:val="en-US" w:eastAsia="en-US"/>
              </w:rPr>
            </w:pPr>
            <w:r>
              <w:rPr>
                <w:rFonts w:ascii="Calibri" w:hAnsi="Calibri" w:cs="Calibri"/>
                <w:b/>
                <w:bCs/>
                <w:sz w:val="22"/>
                <w:szCs w:val="22"/>
                <w:lang w:val="en-US" w:eastAsia="en-US"/>
              </w:rPr>
              <w:t xml:space="preserve">Monthly Price </w:t>
            </w:r>
          </w:p>
        </w:tc>
        <w:tc>
          <w:tcPr>
            <w:tcW w:w="1350" w:type="dxa"/>
            <w:tcBorders>
              <w:top w:val="single" w:sz="4" w:space="0" w:color="auto"/>
              <w:left w:val="nil"/>
              <w:bottom w:val="single" w:sz="4" w:space="0" w:color="auto"/>
              <w:right w:val="single" w:sz="4" w:space="0" w:color="auto"/>
            </w:tcBorders>
            <w:shd w:val="clear" w:color="auto" w:fill="FFFFFF"/>
            <w:vAlign w:val="center"/>
            <w:hideMark/>
          </w:tcPr>
          <w:p w14:paraId="486158FA" w14:textId="77777777" w:rsidR="00815AC2" w:rsidRDefault="00815AC2">
            <w:pPr>
              <w:spacing w:after="0"/>
              <w:ind w:left="0" w:firstLine="0"/>
              <w:jc w:val="center"/>
              <w:rPr>
                <w:rFonts w:ascii="Calibri" w:hAnsi="Calibri" w:cs="Calibri"/>
                <w:b/>
                <w:bCs/>
                <w:color w:val="auto"/>
                <w:sz w:val="22"/>
                <w:szCs w:val="22"/>
                <w:lang w:val="en-US" w:eastAsia="en-US"/>
              </w:rPr>
            </w:pPr>
            <w:r>
              <w:rPr>
                <w:rFonts w:ascii="Calibri" w:hAnsi="Calibri" w:cs="Calibri"/>
                <w:b/>
                <w:bCs/>
                <w:sz w:val="22"/>
                <w:szCs w:val="22"/>
                <w:lang w:val="en-US" w:eastAsia="en-US"/>
              </w:rPr>
              <w:t xml:space="preserve"> yearly price </w:t>
            </w:r>
          </w:p>
        </w:tc>
        <w:tc>
          <w:tcPr>
            <w:tcW w:w="1734" w:type="dxa"/>
            <w:tcBorders>
              <w:top w:val="single" w:sz="4" w:space="0" w:color="auto"/>
              <w:left w:val="nil"/>
              <w:bottom w:val="single" w:sz="4" w:space="0" w:color="auto"/>
              <w:right w:val="single" w:sz="4" w:space="0" w:color="auto"/>
            </w:tcBorders>
            <w:shd w:val="clear" w:color="auto" w:fill="FFFFFF"/>
            <w:vAlign w:val="center"/>
            <w:hideMark/>
          </w:tcPr>
          <w:p w14:paraId="599F53BF" w14:textId="77777777" w:rsidR="00815AC2" w:rsidRDefault="00815AC2">
            <w:pPr>
              <w:spacing w:after="0"/>
              <w:ind w:left="0" w:firstLine="0"/>
              <w:jc w:val="center"/>
              <w:rPr>
                <w:rFonts w:ascii="Calibri" w:hAnsi="Calibri" w:cs="Calibri"/>
                <w:b/>
                <w:bCs/>
                <w:color w:val="auto"/>
                <w:sz w:val="22"/>
                <w:szCs w:val="22"/>
                <w:lang w:val="en-US" w:eastAsia="en-US"/>
              </w:rPr>
            </w:pPr>
            <w:r>
              <w:rPr>
                <w:rFonts w:ascii="Calibri" w:hAnsi="Calibri" w:cs="Calibri"/>
                <w:b/>
                <w:bCs/>
                <w:sz w:val="22"/>
                <w:szCs w:val="22"/>
                <w:lang w:val="en-US" w:eastAsia="en-US"/>
              </w:rPr>
              <w:t>Total Charge over contract term</w:t>
            </w:r>
          </w:p>
        </w:tc>
      </w:tr>
      <w:tr w:rsidR="00815AC2" w14:paraId="77ADFF30" w14:textId="77777777" w:rsidTr="00815AC2">
        <w:trPr>
          <w:trHeight w:val="870"/>
        </w:trPr>
        <w:tc>
          <w:tcPr>
            <w:tcW w:w="1439" w:type="dxa"/>
            <w:tcBorders>
              <w:top w:val="nil"/>
              <w:left w:val="dotted" w:sz="4" w:space="0" w:color="auto"/>
              <w:bottom w:val="dotted" w:sz="4" w:space="0" w:color="auto"/>
              <w:right w:val="dotted" w:sz="4" w:space="0" w:color="auto"/>
            </w:tcBorders>
            <w:shd w:val="clear" w:color="auto" w:fill="FFFF00"/>
            <w:vAlign w:val="center"/>
            <w:hideMark/>
          </w:tcPr>
          <w:p w14:paraId="10559663"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Event Management tool</w:t>
            </w:r>
          </w:p>
        </w:tc>
        <w:tc>
          <w:tcPr>
            <w:tcW w:w="1526" w:type="dxa"/>
            <w:tcBorders>
              <w:top w:val="nil"/>
              <w:left w:val="nil"/>
              <w:bottom w:val="dotted" w:sz="4" w:space="0" w:color="auto"/>
              <w:right w:val="dotted" w:sz="4" w:space="0" w:color="auto"/>
            </w:tcBorders>
            <w:shd w:val="clear" w:color="auto" w:fill="FFFF00"/>
            <w:vAlign w:val="center"/>
            <w:hideMark/>
          </w:tcPr>
          <w:p w14:paraId="3E770CE9"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Splunk RUN</w:t>
            </w:r>
          </w:p>
        </w:tc>
        <w:tc>
          <w:tcPr>
            <w:tcW w:w="1890" w:type="dxa"/>
            <w:tcBorders>
              <w:top w:val="nil"/>
              <w:left w:val="nil"/>
              <w:bottom w:val="dotted" w:sz="4" w:space="0" w:color="auto"/>
              <w:right w:val="dotted" w:sz="4" w:space="0" w:color="auto"/>
            </w:tcBorders>
            <w:shd w:val="clear" w:color="auto" w:fill="FFFF00"/>
            <w:vAlign w:val="center"/>
            <w:hideMark/>
          </w:tcPr>
          <w:p w14:paraId="78372247"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Event correlation tool</w:t>
            </w:r>
          </w:p>
        </w:tc>
        <w:tc>
          <w:tcPr>
            <w:tcW w:w="2070" w:type="dxa"/>
            <w:tcBorders>
              <w:top w:val="nil"/>
              <w:left w:val="nil"/>
              <w:bottom w:val="dotted" w:sz="4" w:space="0" w:color="auto"/>
              <w:right w:val="dotted" w:sz="4" w:space="0" w:color="auto"/>
            </w:tcBorders>
            <w:shd w:val="clear" w:color="auto" w:fill="FFFF00"/>
            <w:noWrap/>
            <w:vAlign w:val="center"/>
            <w:hideMark/>
          </w:tcPr>
          <w:p w14:paraId="762B039D"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xml:space="preserve">Deployment once and monthly </w:t>
            </w:r>
            <w:proofErr w:type="spellStart"/>
            <w:proofErr w:type="gramStart"/>
            <w:r>
              <w:rPr>
                <w:rFonts w:ascii="Calibri" w:hAnsi="Calibri" w:cs="Calibri"/>
                <w:sz w:val="22"/>
                <w:szCs w:val="22"/>
                <w:lang w:val="en-US" w:eastAsia="en-US"/>
              </w:rPr>
              <w:t>on going</w:t>
            </w:r>
            <w:proofErr w:type="spellEnd"/>
            <w:proofErr w:type="gramEnd"/>
            <w:r>
              <w:rPr>
                <w:rFonts w:ascii="Calibri" w:hAnsi="Calibri" w:cs="Calibri"/>
                <w:sz w:val="22"/>
                <w:szCs w:val="22"/>
                <w:lang w:val="en-US" w:eastAsia="en-US"/>
              </w:rPr>
              <w:t xml:space="preserve"> Support</w:t>
            </w:r>
          </w:p>
        </w:tc>
        <w:tc>
          <w:tcPr>
            <w:tcW w:w="1710" w:type="dxa"/>
            <w:tcBorders>
              <w:top w:val="nil"/>
              <w:left w:val="nil"/>
              <w:bottom w:val="dotted" w:sz="4" w:space="0" w:color="auto"/>
              <w:right w:val="dotted" w:sz="4" w:space="0" w:color="auto"/>
            </w:tcBorders>
            <w:shd w:val="clear" w:color="auto" w:fill="FFFF00"/>
            <w:noWrap/>
            <w:vAlign w:val="center"/>
            <w:hideMark/>
          </w:tcPr>
          <w:p w14:paraId="6B3687C2"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1020</w:t>
            </w:r>
          </w:p>
        </w:tc>
        <w:tc>
          <w:tcPr>
            <w:tcW w:w="1260" w:type="dxa"/>
            <w:tcBorders>
              <w:top w:val="nil"/>
              <w:left w:val="nil"/>
              <w:bottom w:val="dotted" w:sz="4" w:space="0" w:color="auto"/>
              <w:right w:val="dotted" w:sz="4" w:space="0" w:color="auto"/>
            </w:tcBorders>
            <w:shd w:val="clear" w:color="auto" w:fill="FFFF00"/>
            <w:noWrap/>
            <w:vAlign w:val="center"/>
            <w:hideMark/>
          </w:tcPr>
          <w:p w14:paraId="260302B5"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3.1 </w:t>
            </w:r>
          </w:p>
        </w:tc>
        <w:tc>
          <w:tcPr>
            <w:tcW w:w="1620" w:type="dxa"/>
            <w:tcBorders>
              <w:top w:val="nil"/>
              <w:left w:val="nil"/>
              <w:bottom w:val="dotted" w:sz="4" w:space="0" w:color="auto"/>
              <w:right w:val="dotted" w:sz="4" w:space="0" w:color="auto"/>
            </w:tcBorders>
            <w:shd w:val="clear" w:color="auto" w:fill="FFFF00"/>
            <w:noWrap/>
            <w:vAlign w:val="center"/>
            <w:hideMark/>
          </w:tcPr>
          <w:p w14:paraId="5C8B9C83"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3,180 </w:t>
            </w:r>
          </w:p>
        </w:tc>
        <w:tc>
          <w:tcPr>
            <w:tcW w:w="1350" w:type="dxa"/>
            <w:tcBorders>
              <w:top w:val="nil"/>
              <w:left w:val="nil"/>
              <w:bottom w:val="dotted" w:sz="4" w:space="0" w:color="auto"/>
              <w:right w:val="dotted" w:sz="4" w:space="0" w:color="auto"/>
            </w:tcBorders>
            <w:shd w:val="clear" w:color="auto" w:fill="FFFF00"/>
            <w:noWrap/>
            <w:vAlign w:val="center"/>
            <w:hideMark/>
          </w:tcPr>
          <w:p w14:paraId="730047B8"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38,157 </w:t>
            </w:r>
          </w:p>
        </w:tc>
        <w:tc>
          <w:tcPr>
            <w:tcW w:w="1734" w:type="dxa"/>
            <w:tcBorders>
              <w:top w:val="nil"/>
              <w:left w:val="nil"/>
              <w:bottom w:val="dotted" w:sz="4" w:space="0" w:color="auto"/>
              <w:right w:val="dotted" w:sz="4" w:space="0" w:color="auto"/>
            </w:tcBorders>
            <w:shd w:val="clear" w:color="auto" w:fill="ACB9CA"/>
            <w:noWrap/>
            <w:vAlign w:val="center"/>
            <w:hideMark/>
          </w:tcPr>
          <w:p w14:paraId="6CCC60E4"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178,065 </w:t>
            </w:r>
          </w:p>
        </w:tc>
      </w:tr>
      <w:tr w:rsidR="00815AC2" w14:paraId="69A872B3" w14:textId="77777777" w:rsidTr="00815AC2">
        <w:trPr>
          <w:trHeight w:val="580"/>
        </w:trPr>
        <w:tc>
          <w:tcPr>
            <w:tcW w:w="1439" w:type="dxa"/>
            <w:tcBorders>
              <w:top w:val="nil"/>
              <w:left w:val="dotted" w:sz="4" w:space="0" w:color="auto"/>
              <w:bottom w:val="dotted" w:sz="4" w:space="0" w:color="auto"/>
              <w:right w:val="dotted" w:sz="4" w:space="0" w:color="auto"/>
            </w:tcBorders>
            <w:shd w:val="clear" w:color="auto" w:fill="FFFF00"/>
            <w:vAlign w:val="center"/>
            <w:hideMark/>
          </w:tcPr>
          <w:p w14:paraId="6923D816"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Patching tool</w:t>
            </w:r>
          </w:p>
        </w:tc>
        <w:tc>
          <w:tcPr>
            <w:tcW w:w="1526" w:type="dxa"/>
            <w:tcBorders>
              <w:top w:val="nil"/>
              <w:left w:val="nil"/>
              <w:bottom w:val="dotted" w:sz="4" w:space="0" w:color="auto"/>
              <w:right w:val="dotted" w:sz="4" w:space="0" w:color="auto"/>
            </w:tcBorders>
            <w:shd w:val="clear" w:color="auto" w:fill="FFFF00"/>
            <w:vAlign w:val="center"/>
            <w:hideMark/>
          </w:tcPr>
          <w:p w14:paraId="1F25A361"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BigFix RUN</w:t>
            </w:r>
          </w:p>
        </w:tc>
        <w:tc>
          <w:tcPr>
            <w:tcW w:w="1890" w:type="dxa"/>
            <w:tcBorders>
              <w:top w:val="nil"/>
              <w:left w:val="nil"/>
              <w:bottom w:val="dotted" w:sz="4" w:space="0" w:color="auto"/>
              <w:right w:val="dotted" w:sz="4" w:space="0" w:color="auto"/>
            </w:tcBorders>
            <w:shd w:val="clear" w:color="auto" w:fill="FFFF00"/>
            <w:vAlign w:val="center"/>
            <w:hideMark/>
          </w:tcPr>
          <w:p w14:paraId="01F97C7C"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Patching tool for Linux and Wintel servers</w:t>
            </w:r>
          </w:p>
        </w:tc>
        <w:tc>
          <w:tcPr>
            <w:tcW w:w="2070" w:type="dxa"/>
            <w:tcBorders>
              <w:top w:val="nil"/>
              <w:left w:val="nil"/>
              <w:bottom w:val="dotted" w:sz="4" w:space="0" w:color="auto"/>
              <w:right w:val="dotted" w:sz="4" w:space="0" w:color="auto"/>
            </w:tcBorders>
            <w:shd w:val="clear" w:color="auto" w:fill="FFFF00"/>
            <w:noWrap/>
            <w:vAlign w:val="center"/>
            <w:hideMark/>
          </w:tcPr>
          <w:p w14:paraId="5B295605"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xml:space="preserve">Deployment once and monthly </w:t>
            </w:r>
            <w:proofErr w:type="spellStart"/>
            <w:proofErr w:type="gramStart"/>
            <w:r>
              <w:rPr>
                <w:rFonts w:ascii="Calibri" w:hAnsi="Calibri" w:cs="Calibri"/>
                <w:sz w:val="22"/>
                <w:szCs w:val="22"/>
                <w:lang w:val="en-US" w:eastAsia="en-US"/>
              </w:rPr>
              <w:t>on going</w:t>
            </w:r>
            <w:proofErr w:type="spellEnd"/>
            <w:proofErr w:type="gramEnd"/>
            <w:r>
              <w:rPr>
                <w:rFonts w:ascii="Calibri" w:hAnsi="Calibri" w:cs="Calibri"/>
                <w:sz w:val="22"/>
                <w:szCs w:val="22"/>
                <w:lang w:val="en-US" w:eastAsia="en-US"/>
              </w:rPr>
              <w:t xml:space="preserve"> Support</w:t>
            </w:r>
          </w:p>
        </w:tc>
        <w:tc>
          <w:tcPr>
            <w:tcW w:w="1710" w:type="dxa"/>
            <w:tcBorders>
              <w:top w:val="nil"/>
              <w:left w:val="nil"/>
              <w:bottom w:val="dotted" w:sz="4" w:space="0" w:color="auto"/>
              <w:right w:val="dotted" w:sz="4" w:space="0" w:color="auto"/>
            </w:tcBorders>
            <w:shd w:val="clear" w:color="auto" w:fill="FFFF00"/>
            <w:noWrap/>
            <w:vAlign w:val="center"/>
            <w:hideMark/>
          </w:tcPr>
          <w:p w14:paraId="5BD5E7C4"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620</w:t>
            </w:r>
          </w:p>
        </w:tc>
        <w:tc>
          <w:tcPr>
            <w:tcW w:w="1260" w:type="dxa"/>
            <w:tcBorders>
              <w:top w:val="nil"/>
              <w:left w:val="nil"/>
              <w:bottom w:val="dotted" w:sz="4" w:space="0" w:color="auto"/>
              <w:right w:val="dotted" w:sz="4" w:space="0" w:color="auto"/>
            </w:tcBorders>
            <w:shd w:val="clear" w:color="auto" w:fill="FFFF00"/>
            <w:noWrap/>
            <w:vAlign w:val="center"/>
            <w:hideMark/>
          </w:tcPr>
          <w:p w14:paraId="382934E7"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5.1 </w:t>
            </w:r>
          </w:p>
        </w:tc>
        <w:tc>
          <w:tcPr>
            <w:tcW w:w="1620" w:type="dxa"/>
            <w:tcBorders>
              <w:top w:val="nil"/>
              <w:left w:val="nil"/>
              <w:bottom w:val="dotted" w:sz="4" w:space="0" w:color="auto"/>
              <w:right w:val="dotted" w:sz="4" w:space="0" w:color="auto"/>
            </w:tcBorders>
            <w:shd w:val="clear" w:color="auto" w:fill="FFFF00"/>
            <w:noWrap/>
            <w:vAlign w:val="center"/>
            <w:hideMark/>
          </w:tcPr>
          <w:p w14:paraId="1FDF4E92"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3,185 </w:t>
            </w:r>
          </w:p>
        </w:tc>
        <w:tc>
          <w:tcPr>
            <w:tcW w:w="1350" w:type="dxa"/>
            <w:tcBorders>
              <w:top w:val="nil"/>
              <w:left w:val="nil"/>
              <w:bottom w:val="dotted" w:sz="4" w:space="0" w:color="auto"/>
              <w:right w:val="dotted" w:sz="4" w:space="0" w:color="auto"/>
            </w:tcBorders>
            <w:shd w:val="clear" w:color="auto" w:fill="FFFF00"/>
            <w:noWrap/>
            <w:vAlign w:val="center"/>
            <w:hideMark/>
          </w:tcPr>
          <w:p w14:paraId="54D609E9"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38,223 </w:t>
            </w:r>
          </w:p>
        </w:tc>
        <w:tc>
          <w:tcPr>
            <w:tcW w:w="1734" w:type="dxa"/>
            <w:tcBorders>
              <w:top w:val="nil"/>
              <w:left w:val="nil"/>
              <w:bottom w:val="dotted" w:sz="4" w:space="0" w:color="auto"/>
              <w:right w:val="dotted" w:sz="4" w:space="0" w:color="auto"/>
            </w:tcBorders>
            <w:shd w:val="clear" w:color="auto" w:fill="ACB9CA"/>
            <w:noWrap/>
            <w:vAlign w:val="center"/>
            <w:hideMark/>
          </w:tcPr>
          <w:p w14:paraId="32470570"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178,372 </w:t>
            </w:r>
          </w:p>
        </w:tc>
      </w:tr>
      <w:tr w:rsidR="00815AC2" w14:paraId="187658FD" w14:textId="77777777" w:rsidTr="00815AC2">
        <w:trPr>
          <w:trHeight w:val="580"/>
        </w:trPr>
        <w:tc>
          <w:tcPr>
            <w:tcW w:w="1439" w:type="dxa"/>
            <w:tcBorders>
              <w:top w:val="nil"/>
              <w:left w:val="dotted" w:sz="4" w:space="0" w:color="auto"/>
              <w:bottom w:val="dotted" w:sz="4" w:space="0" w:color="auto"/>
              <w:right w:val="dotted" w:sz="4" w:space="0" w:color="auto"/>
            </w:tcBorders>
            <w:shd w:val="clear" w:color="auto" w:fill="FFFF00"/>
            <w:vAlign w:val="center"/>
            <w:hideMark/>
          </w:tcPr>
          <w:p w14:paraId="7E453522"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ITIL Licenses</w:t>
            </w:r>
          </w:p>
        </w:tc>
        <w:tc>
          <w:tcPr>
            <w:tcW w:w="1526" w:type="dxa"/>
            <w:tcBorders>
              <w:top w:val="nil"/>
              <w:left w:val="nil"/>
              <w:bottom w:val="dotted" w:sz="4" w:space="0" w:color="auto"/>
              <w:right w:val="dotted" w:sz="4" w:space="0" w:color="auto"/>
            </w:tcBorders>
            <w:shd w:val="clear" w:color="auto" w:fill="FFFF00"/>
            <w:vAlign w:val="center"/>
            <w:hideMark/>
          </w:tcPr>
          <w:p w14:paraId="40146013" w14:textId="77777777" w:rsidR="00815AC2" w:rsidRDefault="00815AC2">
            <w:pPr>
              <w:spacing w:after="0"/>
              <w:ind w:left="0" w:firstLine="0"/>
              <w:jc w:val="left"/>
              <w:rPr>
                <w:rFonts w:ascii="Calibri" w:hAnsi="Calibri" w:cs="Calibri"/>
                <w:color w:val="auto"/>
                <w:sz w:val="22"/>
                <w:szCs w:val="22"/>
                <w:lang w:val="en-US" w:eastAsia="en-US"/>
              </w:rPr>
            </w:pPr>
            <w:proofErr w:type="gramStart"/>
            <w:r>
              <w:rPr>
                <w:rFonts w:ascii="Calibri" w:hAnsi="Calibri" w:cs="Calibri"/>
                <w:sz w:val="22"/>
                <w:szCs w:val="22"/>
                <w:lang w:val="en-US" w:eastAsia="en-US"/>
              </w:rPr>
              <w:t>ServiceNow  Licenses</w:t>
            </w:r>
            <w:proofErr w:type="gramEnd"/>
          </w:p>
        </w:tc>
        <w:tc>
          <w:tcPr>
            <w:tcW w:w="1890" w:type="dxa"/>
            <w:tcBorders>
              <w:top w:val="nil"/>
              <w:left w:val="nil"/>
              <w:bottom w:val="dotted" w:sz="4" w:space="0" w:color="auto"/>
              <w:right w:val="dotted" w:sz="4" w:space="0" w:color="auto"/>
            </w:tcBorders>
            <w:shd w:val="clear" w:color="auto" w:fill="FFFF00"/>
            <w:vAlign w:val="center"/>
            <w:hideMark/>
          </w:tcPr>
          <w:p w14:paraId="68B68327"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ITIL Service now Licenses for engineering working on NRT</w:t>
            </w:r>
          </w:p>
        </w:tc>
        <w:tc>
          <w:tcPr>
            <w:tcW w:w="2070" w:type="dxa"/>
            <w:tcBorders>
              <w:top w:val="nil"/>
              <w:left w:val="nil"/>
              <w:bottom w:val="dotted" w:sz="4" w:space="0" w:color="auto"/>
              <w:right w:val="dotted" w:sz="4" w:space="0" w:color="auto"/>
            </w:tcBorders>
            <w:shd w:val="clear" w:color="auto" w:fill="FFFF00"/>
            <w:noWrap/>
            <w:vAlign w:val="center"/>
            <w:hideMark/>
          </w:tcPr>
          <w:p w14:paraId="3CD26F98"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xml:space="preserve">Deployment once and management </w:t>
            </w:r>
            <w:proofErr w:type="spellStart"/>
            <w:r>
              <w:rPr>
                <w:rFonts w:ascii="Calibri" w:hAnsi="Calibri" w:cs="Calibri"/>
                <w:sz w:val="22"/>
                <w:szCs w:val="22"/>
                <w:lang w:val="en-US" w:eastAsia="en-US"/>
              </w:rPr>
              <w:t>on going</w:t>
            </w:r>
            <w:proofErr w:type="spellEnd"/>
            <w:r>
              <w:rPr>
                <w:rFonts w:ascii="Calibri" w:hAnsi="Calibri" w:cs="Calibri"/>
                <w:sz w:val="22"/>
                <w:szCs w:val="22"/>
                <w:lang w:val="en-US" w:eastAsia="en-US"/>
              </w:rPr>
              <w:t xml:space="preserve"> Support</w:t>
            </w:r>
          </w:p>
        </w:tc>
        <w:tc>
          <w:tcPr>
            <w:tcW w:w="1710" w:type="dxa"/>
            <w:tcBorders>
              <w:top w:val="nil"/>
              <w:left w:val="nil"/>
              <w:bottom w:val="dotted" w:sz="4" w:space="0" w:color="auto"/>
              <w:right w:val="dotted" w:sz="4" w:space="0" w:color="auto"/>
            </w:tcBorders>
            <w:shd w:val="clear" w:color="auto" w:fill="FFFF00"/>
            <w:noWrap/>
            <w:vAlign w:val="center"/>
            <w:hideMark/>
          </w:tcPr>
          <w:p w14:paraId="701000CB"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n/a</w:t>
            </w:r>
          </w:p>
        </w:tc>
        <w:tc>
          <w:tcPr>
            <w:tcW w:w="1260" w:type="dxa"/>
            <w:tcBorders>
              <w:top w:val="nil"/>
              <w:left w:val="nil"/>
              <w:bottom w:val="dotted" w:sz="4" w:space="0" w:color="auto"/>
              <w:right w:val="dotted" w:sz="4" w:space="0" w:color="auto"/>
            </w:tcBorders>
            <w:shd w:val="clear" w:color="auto" w:fill="FFFF00"/>
            <w:noWrap/>
            <w:vAlign w:val="center"/>
            <w:hideMark/>
          </w:tcPr>
          <w:p w14:paraId="30FB5F23" w14:textId="77777777" w:rsidR="00815AC2" w:rsidRDefault="00815AC2">
            <w:pPr>
              <w:spacing w:after="0"/>
              <w:ind w:left="0" w:firstLine="0"/>
              <w:jc w:val="right"/>
              <w:rPr>
                <w:rFonts w:ascii="Calibri" w:hAnsi="Calibri" w:cs="Calibri"/>
                <w:color w:val="auto"/>
                <w:sz w:val="22"/>
                <w:szCs w:val="22"/>
                <w:lang w:val="en-US" w:eastAsia="en-US"/>
              </w:rPr>
            </w:pPr>
            <w:r>
              <w:rPr>
                <w:rFonts w:ascii="Calibri" w:hAnsi="Calibri" w:cs="Calibri"/>
                <w:sz w:val="22"/>
                <w:szCs w:val="22"/>
                <w:lang w:val="en-US" w:eastAsia="en-US"/>
              </w:rPr>
              <w:t xml:space="preserve"> n/a </w:t>
            </w:r>
          </w:p>
        </w:tc>
        <w:tc>
          <w:tcPr>
            <w:tcW w:w="1620" w:type="dxa"/>
            <w:tcBorders>
              <w:top w:val="nil"/>
              <w:left w:val="nil"/>
              <w:bottom w:val="dotted" w:sz="4" w:space="0" w:color="auto"/>
              <w:right w:val="dotted" w:sz="4" w:space="0" w:color="auto"/>
            </w:tcBorders>
            <w:shd w:val="clear" w:color="auto" w:fill="FFFF00"/>
            <w:noWrap/>
            <w:vAlign w:val="center"/>
            <w:hideMark/>
          </w:tcPr>
          <w:p w14:paraId="367D9111" w14:textId="77777777" w:rsidR="00815AC2" w:rsidRDefault="00815AC2">
            <w:pPr>
              <w:spacing w:after="0"/>
              <w:ind w:left="0" w:firstLine="0"/>
              <w:jc w:val="right"/>
              <w:rPr>
                <w:rFonts w:ascii="Calibri" w:hAnsi="Calibri" w:cs="Calibri"/>
                <w:color w:val="auto"/>
                <w:sz w:val="22"/>
                <w:szCs w:val="22"/>
                <w:lang w:val="en-US" w:eastAsia="en-US"/>
              </w:rPr>
            </w:pPr>
            <w:r>
              <w:rPr>
                <w:rFonts w:ascii="Calibri" w:hAnsi="Calibri" w:cs="Calibri"/>
                <w:sz w:val="22"/>
                <w:szCs w:val="22"/>
                <w:lang w:val="en-US" w:eastAsia="en-US"/>
              </w:rPr>
              <w:t xml:space="preserve">                    2,437 </w:t>
            </w:r>
          </w:p>
        </w:tc>
        <w:tc>
          <w:tcPr>
            <w:tcW w:w="1350" w:type="dxa"/>
            <w:tcBorders>
              <w:top w:val="nil"/>
              <w:left w:val="nil"/>
              <w:bottom w:val="dotted" w:sz="4" w:space="0" w:color="auto"/>
              <w:right w:val="dotted" w:sz="4" w:space="0" w:color="auto"/>
            </w:tcBorders>
            <w:shd w:val="clear" w:color="auto" w:fill="FFFF00"/>
            <w:noWrap/>
            <w:vAlign w:val="center"/>
            <w:hideMark/>
          </w:tcPr>
          <w:p w14:paraId="0A32FA5E"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29,247 </w:t>
            </w:r>
          </w:p>
        </w:tc>
        <w:tc>
          <w:tcPr>
            <w:tcW w:w="1734" w:type="dxa"/>
            <w:tcBorders>
              <w:top w:val="nil"/>
              <w:left w:val="nil"/>
              <w:bottom w:val="dotted" w:sz="4" w:space="0" w:color="auto"/>
              <w:right w:val="dotted" w:sz="4" w:space="0" w:color="auto"/>
            </w:tcBorders>
            <w:shd w:val="clear" w:color="auto" w:fill="ACB9CA"/>
            <w:noWrap/>
            <w:vAlign w:val="center"/>
            <w:hideMark/>
          </w:tcPr>
          <w:p w14:paraId="60BB9CAC"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136,487 </w:t>
            </w:r>
          </w:p>
        </w:tc>
      </w:tr>
      <w:tr w:rsidR="00815AC2" w14:paraId="36C923EB" w14:textId="77777777" w:rsidTr="00815AC2">
        <w:trPr>
          <w:trHeight w:val="580"/>
        </w:trPr>
        <w:tc>
          <w:tcPr>
            <w:tcW w:w="1439" w:type="dxa"/>
            <w:tcBorders>
              <w:top w:val="nil"/>
              <w:left w:val="dotted" w:sz="4" w:space="0" w:color="auto"/>
              <w:bottom w:val="dotted" w:sz="4" w:space="0" w:color="auto"/>
              <w:right w:val="dotted" w:sz="4" w:space="0" w:color="auto"/>
            </w:tcBorders>
            <w:shd w:val="clear" w:color="auto" w:fill="FFFF00"/>
            <w:vAlign w:val="center"/>
            <w:hideMark/>
          </w:tcPr>
          <w:p w14:paraId="0F40A7F9"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Automation Servers</w:t>
            </w:r>
          </w:p>
        </w:tc>
        <w:tc>
          <w:tcPr>
            <w:tcW w:w="1526" w:type="dxa"/>
            <w:tcBorders>
              <w:top w:val="nil"/>
              <w:left w:val="nil"/>
              <w:bottom w:val="dotted" w:sz="4" w:space="0" w:color="auto"/>
              <w:right w:val="dotted" w:sz="4" w:space="0" w:color="auto"/>
            </w:tcBorders>
            <w:shd w:val="clear" w:color="auto" w:fill="FFFF00"/>
            <w:vAlign w:val="center"/>
            <w:hideMark/>
          </w:tcPr>
          <w:p w14:paraId="3E78A890"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xml:space="preserve">Automation using DOP Platform </w:t>
            </w:r>
          </w:p>
        </w:tc>
        <w:tc>
          <w:tcPr>
            <w:tcW w:w="1890" w:type="dxa"/>
            <w:tcBorders>
              <w:top w:val="nil"/>
              <w:left w:val="nil"/>
              <w:bottom w:val="dotted" w:sz="4" w:space="0" w:color="auto"/>
              <w:right w:val="dotted" w:sz="4" w:space="0" w:color="auto"/>
            </w:tcBorders>
            <w:shd w:val="clear" w:color="auto" w:fill="FFFF00"/>
            <w:vAlign w:val="center"/>
            <w:hideMark/>
          </w:tcPr>
          <w:p w14:paraId="35E7837D"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MFOO Server</w:t>
            </w:r>
          </w:p>
        </w:tc>
        <w:tc>
          <w:tcPr>
            <w:tcW w:w="2070" w:type="dxa"/>
            <w:tcBorders>
              <w:top w:val="nil"/>
              <w:left w:val="nil"/>
              <w:bottom w:val="dotted" w:sz="4" w:space="0" w:color="auto"/>
              <w:right w:val="dotted" w:sz="4" w:space="0" w:color="auto"/>
            </w:tcBorders>
            <w:shd w:val="clear" w:color="auto" w:fill="FFFF00"/>
            <w:noWrap/>
            <w:vAlign w:val="center"/>
            <w:hideMark/>
          </w:tcPr>
          <w:p w14:paraId="0DAC30D3"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xml:space="preserve">Deployment once and monthly </w:t>
            </w:r>
            <w:proofErr w:type="spellStart"/>
            <w:proofErr w:type="gramStart"/>
            <w:r>
              <w:rPr>
                <w:rFonts w:ascii="Calibri" w:hAnsi="Calibri" w:cs="Calibri"/>
                <w:sz w:val="22"/>
                <w:szCs w:val="22"/>
                <w:lang w:val="en-US" w:eastAsia="en-US"/>
              </w:rPr>
              <w:t>on going</w:t>
            </w:r>
            <w:proofErr w:type="spellEnd"/>
            <w:proofErr w:type="gramEnd"/>
            <w:r>
              <w:rPr>
                <w:rFonts w:ascii="Calibri" w:hAnsi="Calibri" w:cs="Calibri"/>
                <w:sz w:val="22"/>
                <w:szCs w:val="22"/>
                <w:lang w:val="en-US" w:eastAsia="en-US"/>
              </w:rPr>
              <w:t xml:space="preserve"> Support</w:t>
            </w:r>
          </w:p>
        </w:tc>
        <w:tc>
          <w:tcPr>
            <w:tcW w:w="1710" w:type="dxa"/>
            <w:tcBorders>
              <w:top w:val="nil"/>
              <w:left w:val="nil"/>
              <w:bottom w:val="dotted" w:sz="4" w:space="0" w:color="auto"/>
              <w:right w:val="dotted" w:sz="4" w:space="0" w:color="auto"/>
            </w:tcBorders>
            <w:shd w:val="clear" w:color="auto" w:fill="FFFF00"/>
            <w:noWrap/>
            <w:vAlign w:val="center"/>
            <w:hideMark/>
          </w:tcPr>
          <w:p w14:paraId="21D9BD09"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620</w:t>
            </w:r>
          </w:p>
        </w:tc>
        <w:tc>
          <w:tcPr>
            <w:tcW w:w="1260" w:type="dxa"/>
            <w:tcBorders>
              <w:top w:val="nil"/>
              <w:left w:val="nil"/>
              <w:bottom w:val="dotted" w:sz="4" w:space="0" w:color="auto"/>
              <w:right w:val="dotted" w:sz="4" w:space="0" w:color="auto"/>
            </w:tcBorders>
            <w:shd w:val="clear" w:color="auto" w:fill="FFFF00"/>
            <w:noWrap/>
            <w:vAlign w:val="center"/>
            <w:hideMark/>
          </w:tcPr>
          <w:p w14:paraId="3935C674"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2.2 </w:t>
            </w:r>
          </w:p>
        </w:tc>
        <w:tc>
          <w:tcPr>
            <w:tcW w:w="1620" w:type="dxa"/>
            <w:tcBorders>
              <w:top w:val="nil"/>
              <w:left w:val="nil"/>
              <w:bottom w:val="dotted" w:sz="4" w:space="0" w:color="auto"/>
              <w:right w:val="dotted" w:sz="4" w:space="0" w:color="auto"/>
            </w:tcBorders>
            <w:shd w:val="clear" w:color="auto" w:fill="FFFF00"/>
            <w:noWrap/>
            <w:vAlign w:val="center"/>
            <w:hideMark/>
          </w:tcPr>
          <w:p w14:paraId="5F0B3538"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1,384 </w:t>
            </w:r>
          </w:p>
        </w:tc>
        <w:tc>
          <w:tcPr>
            <w:tcW w:w="1350" w:type="dxa"/>
            <w:tcBorders>
              <w:top w:val="nil"/>
              <w:left w:val="nil"/>
              <w:bottom w:val="dotted" w:sz="4" w:space="0" w:color="auto"/>
              <w:right w:val="dotted" w:sz="4" w:space="0" w:color="auto"/>
            </w:tcBorders>
            <w:shd w:val="clear" w:color="auto" w:fill="FFFF00"/>
            <w:noWrap/>
            <w:vAlign w:val="center"/>
            <w:hideMark/>
          </w:tcPr>
          <w:p w14:paraId="4C058075"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16,606 </w:t>
            </w:r>
          </w:p>
        </w:tc>
        <w:tc>
          <w:tcPr>
            <w:tcW w:w="1734" w:type="dxa"/>
            <w:tcBorders>
              <w:top w:val="nil"/>
              <w:left w:val="nil"/>
              <w:bottom w:val="dotted" w:sz="4" w:space="0" w:color="auto"/>
              <w:right w:val="dotted" w:sz="4" w:space="0" w:color="auto"/>
            </w:tcBorders>
            <w:shd w:val="clear" w:color="auto" w:fill="ACB9CA"/>
            <w:noWrap/>
            <w:vAlign w:val="center"/>
            <w:hideMark/>
          </w:tcPr>
          <w:p w14:paraId="0A1DDD8D"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77,497 </w:t>
            </w:r>
          </w:p>
        </w:tc>
      </w:tr>
      <w:tr w:rsidR="00815AC2" w14:paraId="1A0BC395" w14:textId="77777777" w:rsidTr="00815AC2">
        <w:trPr>
          <w:trHeight w:val="580"/>
        </w:trPr>
        <w:tc>
          <w:tcPr>
            <w:tcW w:w="1439" w:type="dxa"/>
            <w:tcBorders>
              <w:top w:val="nil"/>
              <w:left w:val="dotted" w:sz="4" w:space="0" w:color="auto"/>
              <w:bottom w:val="dotted" w:sz="4" w:space="0" w:color="auto"/>
              <w:right w:val="dotted" w:sz="4" w:space="0" w:color="auto"/>
            </w:tcBorders>
            <w:shd w:val="clear" w:color="auto" w:fill="FFFF00"/>
            <w:vAlign w:val="center"/>
            <w:hideMark/>
          </w:tcPr>
          <w:p w14:paraId="5D73C2F7"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xml:space="preserve">Automation Network </w:t>
            </w:r>
          </w:p>
        </w:tc>
        <w:tc>
          <w:tcPr>
            <w:tcW w:w="1526" w:type="dxa"/>
            <w:tcBorders>
              <w:top w:val="nil"/>
              <w:left w:val="nil"/>
              <w:bottom w:val="dotted" w:sz="4" w:space="0" w:color="auto"/>
              <w:right w:val="dotted" w:sz="4" w:space="0" w:color="auto"/>
            </w:tcBorders>
            <w:shd w:val="clear" w:color="auto" w:fill="FFFF00"/>
            <w:vAlign w:val="center"/>
            <w:hideMark/>
          </w:tcPr>
          <w:p w14:paraId="3D0B5A58"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xml:space="preserve">Automation using DOP Platform </w:t>
            </w:r>
          </w:p>
        </w:tc>
        <w:tc>
          <w:tcPr>
            <w:tcW w:w="1890" w:type="dxa"/>
            <w:tcBorders>
              <w:top w:val="nil"/>
              <w:left w:val="nil"/>
              <w:bottom w:val="dotted" w:sz="4" w:space="0" w:color="auto"/>
              <w:right w:val="dotted" w:sz="4" w:space="0" w:color="auto"/>
            </w:tcBorders>
            <w:shd w:val="clear" w:color="auto" w:fill="FFFF00"/>
            <w:vAlign w:val="center"/>
            <w:hideMark/>
          </w:tcPr>
          <w:p w14:paraId="7795A8EC"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MFOO Network</w:t>
            </w:r>
          </w:p>
        </w:tc>
        <w:tc>
          <w:tcPr>
            <w:tcW w:w="2070" w:type="dxa"/>
            <w:tcBorders>
              <w:top w:val="nil"/>
              <w:left w:val="nil"/>
              <w:bottom w:val="dotted" w:sz="4" w:space="0" w:color="auto"/>
              <w:right w:val="dotted" w:sz="4" w:space="0" w:color="auto"/>
            </w:tcBorders>
            <w:shd w:val="clear" w:color="auto" w:fill="FFFF00"/>
            <w:noWrap/>
            <w:vAlign w:val="center"/>
            <w:hideMark/>
          </w:tcPr>
          <w:p w14:paraId="437E6676"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xml:space="preserve">Deployment once and monthly </w:t>
            </w:r>
            <w:proofErr w:type="spellStart"/>
            <w:proofErr w:type="gramStart"/>
            <w:r>
              <w:rPr>
                <w:rFonts w:ascii="Calibri" w:hAnsi="Calibri" w:cs="Calibri"/>
                <w:sz w:val="22"/>
                <w:szCs w:val="22"/>
                <w:lang w:val="en-US" w:eastAsia="en-US"/>
              </w:rPr>
              <w:t>on going</w:t>
            </w:r>
            <w:proofErr w:type="spellEnd"/>
            <w:proofErr w:type="gramEnd"/>
            <w:r>
              <w:rPr>
                <w:rFonts w:ascii="Calibri" w:hAnsi="Calibri" w:cs="Calibri"/>
                <w:sz w:val="22"/>
                <w:szCs w:val="22"/>
                <w:lang w:val="en-US" w:eastAsia="en-US"/>
              </w:rPr>
              <w:t xml:space="preserve"> Support</w:t>
            </w:r>
          </w:p>
        </w:tc>
        <w:tc>
          <w:tcPr>
            <w:tcW w:w="1710" w:type="dxa"/>
            <w:tcBorders>
              <w:top w:val="nil"/>
              <w:left w:val="nil"/>
              <w:bottom w:val="dotted" w:sz="4" w:space="0" w:color="auto"/>
              <w:right w:val="dotted" w:sz="4" w:space="0" w:color="auto"/>
            </w:tcBorders>
            <w:shd w:val="clear" w:color="auto" w:fill="FFFF00"/>
            <w:noWrap/>
            <w:vAlign w:val="center"/>
            <w:hideMark/>
          </w:tcPr>
          <w:p w14:paraId="632D991A"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400</w:t>
            </w:r>
          </w:p>
        </w:tc>
        <w:tc>
          <w:tcPr>
            <w:tcW w:w="1260" w:type="dxa"/>
            <w:tcBorders>
              <w:top w:val="nil"/>
              <w:left w:val="nil"/>
              <w:bottom w:val="dotted" w:sz="4" w:space="0" w:color="auto"/>
              <w:right w:val="dotted" w:sz="4" w:space="0" w:color="auto"/>
            </w:tcBorders>
            <w:shd w:val="clear" w:color="auto" w:fill="FFFF00"/>
            <w:noWrap/>
            <w:vAlign w:val="center"/>
            <w:hideMark/>
          </w:tcPr>
          <w:p w14:paraId="67576B49"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1.4 </w:t>
            </w:r>
          </w:p>
        </w:tc>
        <w:tc>
          <w:tcPr>
            <w:tcW w:w="1620" w:type="dxa"/>
            <w:tcBorders>
              <w:top w:val="nil"/>
              <w:left w:val="nil"/>
              <w:bottom w:val="dotted" w:sz="4" w:space="0" w:color="auto"/>
              <w:right w:val="dotted" w:sz="4" w:space="0" w:color="auto"/>
            </w:tcBorders>
            <w:shd w:val="clear" w:color="auto" w:fill="FFFF00"/>
            <w:noWrap/>
            <w:vAlign w:val="center"/>
            <w:hideMark/>
          </w:tcPr>
          <w:p w14:paraId="1FBBBE7E"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551 </w:t>
            </w:r>
          </w:p>
        </w:tc>
        <w:tc>
          <w:tcPr>
            <w:tcW w:w="1350" w:type="dxa"/>
            <w:tcBorders>
              <w:top w:val="nil"/>
              <w:left w:val="nil"/>
              <w:bottom w:val="dotted" w:sz="4" w:space="0" w:color="auto"/>
              <w:right w:val="dotted" w:sz="4" w:space="0" w:color="auto"/>
            </w:tcBorders>
            <w:shd w:val="clear" w:color="auto" w:fill="FFFF00"/>
            <w:noWrap/>
            <w:vAlign w:val="center"/>
            <w:hideMark/>
          </w:tcPr>
          <w:p w14:paraId="00879BA1"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6,607 </w:t>
            </w:r>
          </w:p>
        </w:tc>
        <w:tc>
          <w:tcPr>
            <w:tcW w:w="1734" w:type="dxa"/>
            <w:tcBorders>
              <w:top w:val="nil"/>
              <w:left w:val="nil"/>
              <w:bottom w:val="dotted" w:sz="4" w:space="0" w:color="auto"/>
              <w:right w:val="dotted" w:sz="4" w:space="0" w:color="auto"/>
            </w:tcBorders>
            <w:shd w:val="clear" w:color="auto" w:fill="ACB9CA"/>
            <w:noWrap/>
            <w:vAlign w:val="center"/>
            <w:hideMark/>
          </w:tcPr>
          <w:p w14:paraId="6D6A1746"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30,834 </w:t>
            </w:r>
          </w:p>
        </w:tc>
      </w:tr>
      <w:tr w:rsidR="00815AC2" w14:paraId="265AE4EC" w14:textId="77777777" w:rsidTr="00815AC2">
        <w:trPr>
          <w:trHeight w:val="870"/>
        </w:trPr>
        <w:tc>
          <w:tcPr>
            <w:tcW w:w="1439" w:type="dxa"/>
            <w:tcBorders>
              <w:top w:val="nil"/>
              <w:left w:val="single" w:sz="8" w:space="0" w:color="00B050"/>
              <w:bottom w:val="nil"/>
              <w:right w:val="dotted" w:sz="4" w:space="0" w:color="auto"/>
            </w:tcBorders>
            <w:shd w:val="clear" w:color="auto" w:fill="FFFF00"/>
            <w:vAlign w:val="center"/>
            <w:hideMark/>
          </w:tcPr>
          <w:p w14:paraId="505AE067"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Chat tool + Portal + IPAM + Tool support</w:t>
            </w:r>
          </w:p>
        </w:tc>
        <w:tc>
          <w:tcPr>
            <w:tcW w:w="1526" w:type="dxa"/>
            <w:tcBorders>
              <w:top w:val="nil"/>
              <w:left w:val="nil"/>
              <w:bottom w:val="nil"/>
              <w:right w:val="dotted" w:sz="4" w:space="0" w:color="auto"/>
            </w:tcBorders>
            <w:shd w:val="clear" w:color="auto" w:fill="FFFF00"/>
            <w:vAlign w:val="center"/>
            <w:hideMark/>
          </w:tcPr>
          <w:p w14:paraId="495FAEE0"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xml:space="preserve">Service Portal, Chat tool </w:t>
            </w:r>
          </w:p>
        </w:tc>
        <w:tc>
          <w:tcPr>
            <w:tcW w:w="1890" w:type="dxa"/>
            <w:tcBorders>
              <w:top w:val="nil"/>
              <w:left w:val="nil"/>
              <w:bottom w:val="nil"/>
              <w:right w:val="dotted" w:sz="4" w:space="0" w:color="auto"/>
            </w:tcBorders>
            <w:shd w:val="clear" w:color="auto" w:fill="FFFF00"/>
            <w:vAlign w:val="center"/>
            <w:hideMark/>
          </w:tcPr>
          <w:p w14:paraId="76C4B0F2"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xml:space="preserve">Web Based chat and Service portal. Includes management of </w:t>
            </w:r>
            <w:proofErr w:type="spellStart"/>
            <w:r>
              <w:rPr>
                <w:rFonts w:ascii="Calibri" w:hAnsi="Calibri" w:cs="Calibri"/>
                <w:sz w:val="22"/>
                <w:szCs w:val="22"/>
                <w:lang w:val="en-US" w:eastAsia="en-US"/>
              </w:rPr>
              <w:lastRenderedPageBreak/>
              <w:t>Icinga</w:t>
            </w:r>
            <w:proofErr w:type="spellEnd"/>
            <w:r>
              <w:rPr>
                <w:rFonts w:ascii="Calibri" w:hAnsi="Calibri" w:cs="Calibri"/>
                <w:sz w:val="22"/>
                <w:szCs w:val="22"/>
                <w:lang w:val="en-US" w:eastAsia="en-US"/>
              </w:rPr>
              <w:t xml:space="preserve"> and Info blocks</w:t>
            </w:r>
          </w:p>
        </w:tc>
        <w:tc>
          <w:tcPr>
            <w:tcW w:w="2070" w:type="dxa"/>
            <w:tcBorders>
              <w:top w:val="nil"/>
              <w:left w:val="nil"/>
              <w:bottom w:val="dotted" w:sz="4" w:space="0" w:color="auto"/>
              <w:right w:val="dotted" w:sz="4" w:space="0" w:color="auto"/>
            </w:tcBorders>
            <w:shd w:val="clear" w:color="auto" w:fill="FFFF00"/>
            <w:noWrap/>
            <w:vAlign w:val="center"/>
            <w:hideMark/>
          </w:tcPr>
          <w:p w14:paraId="72C5317E"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lastRenderedPageBreak/>
              <w:t xml:space="preserve">Deployment once and management </w:t>
            </w:r>
            <w:proofErr w:type="spellStart"/>
            <w:r>
              <w:rPr>
                <w:rFonts w:ascii="Calibri" w:hAnsi="Calibri" w:cs="Calibri"/>
                <w:sz w:val="22"/>
                <w:szCs w:val="22"/>
                <w:lang w:val="en-US" w:eastAsia="en-US"/>
              </w:rPr>
              <w:t>on going</w:t>
            </w:r>
            <w:proofErr w:type="spellEnd"/>
            <w:r>
              <w:rPr>
                <w:rFonts w:ascii="Calibri" w:hAnsi="Calibri" w:cs="Calibri"/>
                <w:sz w:val="22"/>
                <w:szCs w:val="22"/>
                <w:lang w:val="en-US" w:eastAsia="en-US"/>
              </w:rPr>
              <w:t xml:space="preserve"> Support</w:t>
            </w:r>
          </w:p>
        </w:tc>
        <w:tc>
          <w:tcPr>
            <w:tcW w:w="1710" w:type="dxa"/>
            <w:tcBorders>
              <w:top w:val="nil"/>
              <w:left w:val="nil"/>
              <w:bottom w:val="dotted" w:sz="4" w:space="0" w:color="auto"/>
              <w:right w:val="dotted" w:sz="4" w:space="0" w:color="auto"/>
            </w:tcBorders>
            <w:shd w:val="clear" w:color="auto" w:fill="FFFF00"/>
            <w:noWrap/>
            <w:vAlign w:val="center"/>
            <w:hideMark/>
          </w:tcPr>
          <w:p w14:paraId="1208991A"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n/a</w:t>
            </w:r>
          </w:p>
        </w:tc>
        <w:tc>
          <w:tcPr>
            <w:tcW w:w="1260" w:type="dxa"/>
            <w:tcBorders>
              <w:top w:val="nil"/>
              <w:left w:val="nil"/>
              <w:bottom w:val="dotted" w:sz="4" w:space="0" w:color="auto"/>
              <w:right w:val="dotted" w:sz="4" w:space="0" w:color="auto"/>
            </w:tcBorders>
            <w:shd w:val="clear" w:color="auto" w:fill="FFFF00"/>
            <w:noWrap/>
            <w:vAlign w:val="center"/>
            <w:hideMark/>
          </w:tcPr>
          <w:p w14:paraId="6EE62454"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2,284 </w:t>
            </w:r>
          </w:p>
        </w:tc>
        <w:tc>
          <w:tcPr>
            <w:tcW w:w="1620" w:type="dxa"/>
            <w:tcBorders>
              <w:top w:val="nil"/>
              <w:left w:val="nil"/>
              <w:bottom w:val="dotted" w:sz="4" w:space="0" w:color="auto"/>
              <w:right w:val="dotted" w:sz="4" w:space="0" w:color="auto"/>
            </w:tcBorders>
            <w:shd w:val="clear" w:color="auto" w:fill="FFFF00"/>
            <w:noWrap/>
            <w:vAlign w:val="center"/>
            <w:hideMark/>
          </w:tcPr>
          <w:p w14:paraId="0E0C98F7"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2,284 </w:t>
            </w:r>
          </w:p>
        </w:tc>
        <w:tc>
          <w:tcPr>
            <w:tcW w:w="1350" w:type="dxa"/>
            <w:tcBorders>
              <w:top w:val="nil"/>
              <w:left w:val="nil"/>
              <w:bottom w:val="dotted" w:sz="4" w:space="0" w:color="auto"/>
              <w:right w:val="dotted" w:sz="4" w:space="0" w:color="auto"/>
            </w:tcBorders>
            <w:shd w:val="clear" w:color="auto" w:fill="FFFF00"/>
            <w:noWrap/>
            <w:vAlign w:val="center"/>
            <w:hideMark/>
          </w:tcPr>
          <w:p w14:paraId="1454E552"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27,410 </w:t>
            </w:r>
          </w:p>
        </w:tc>
        <w:tc>
          <w:tcPr>
            <w:tcW w:w="1734" w:type="dxa"/>
            <w:tcBorders>
              <w:top w:val="nil"/>
              <w:left w:val="nil"/>
              <w:bottom w:val="dotted" w:sz="4" w:space="0" w:color="auto"/>
              <w:right w:val="dotted" w:sz="4" w:space="0" w:color="auto"/>
            </w:tcBorders>
            <w:shd w:val="clear" w:color="auto" w:fill="ACB9CA"/>
            <w:noWrap/>
            <w:vAlign w:val="center"/>
            <w:hideMark/>
          </w:tcPr>
          <w:p w14:paraId="17EE2700"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127,912 </w:t>
            </w:r>
          </w:p>
        </w:tc>
      </w:tr>
      <w:tr w:rsidR="00815AC2" w14:paraId="48EFBFB6" w14:textId="77777777" w:rsidTr="00815AC2">
        <w:trPr>
          <w:trHeight w:val="580"/>
        </w:trPr>
        <w:tc>
          <w:tcPr>
            <w:tcW w:w="1439" w:type="dxa"/>
            <w:tcBorders>
              <w:top w:val="dotted" w:sz="4" w:space="0" w:color="auto"/>
              <w:left w:val="dotted" w:sz="4" w:space="0" w:color="auto"/>
              <w:bottom w:val="dotted" w:sz="4" w:space="0" w:color="auto"/>
              <w:right w:val="dotted" w:sz="4" w:space="0" w:color="auto"/>
            </w:tcBorders>
            <w:shd w:val="clear" w:color="auto" w:fill="FFFF00"/>
            <w:vAlign w:val="center"/>
            <w:hideMark/>
          </w:tcPr>
          <w:p w14:paraId="080CF4E0"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xml:space="preserve">Integration </w:t>
            </w:r>
          </w:p>
        </w:tc>
        <w:tc>
          <w:tcPr>
            <w:tcW w:w="1526" w:type="dxa"/>
            <w:tcBorders>
              <w:top w:val="dotted" w:sz="4" w:space="0" w:color="auto"/>
              <w:left w:val="nil"/>
              <w:bottom w:val="dotted" w:sz="4" w:space="0" w:color="auto"/>
              <w:right w:val="dotted" w:sz="4" w:space="0" w:color="auto"/>
            </w:tcBorders>
            <w:shd w:val="clear" w:color="auto" w:fill="FFFF00"/>
            <w:vAlign w:val="center"/>
            <w:hideMark/>
          </w:tcPr>
          <w:p w14:paraId="741ADF42"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SD2SD RUN</w:t>
            </w:r>
          </w:p>
        </w:tc>
        <w:tc>
          <w:tcPr>
            <w:tcW w:w="1890" w:type="dxa"/>
            <w:tcBorders>
              <w:top w:val="dotted" w:sz="4" w:space="0" w:color="auto"/>
              <w:left w:val="nil"/>
              <w:bottom w:val="dotted" w:sz="4" w:space="0" w:color="auto"/>
              <w:right w:val="dotted" w:sz="4" w:space="0" w:color="auto"/>
            </w:tcBorders>
            <w:shd w:val="clear" w:color="auto" w:fill="FFFF00"/>
            <w:vAlign w:val="center"/>
            <w:hideMark/>
          </w:tcPr>
          <w:p w14:paraId="45F3D56C"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xml:space="preserve">Integration / </w:t>
            </w:r>
            <w:proofErr w:type="spellStart"/>
            <w:r>
              <w:rPr>
                <w:rFonts w:ascii="Calibri" w:hAnsi="Calibri" w:cs="Calibri"/>
                <w:sz w:val="22"/>
                <w:szCs w:val="22"/>
                <w:lang w:val="en-US" w:eastAsia="en-US"/>
              </w:rPr>
              <w:t>eBonding</w:t>
            </w:r>
            <w:proofErr w:type="spellEnd"/>
            <w:r>
              <w:rPr>
                <w:rFonts w:ascii="Calibri" w:hAnsi="Calibri" w:cs="Calibri"/>
                <w:sz w:val="22"/>
                <w:szCs w:val="22"/>
                <w:lang w:val="en-US" w:eastAsia="en-US"/>
              </w:rPr>
              <w:t xml:space="preserve"> between SCCD and ITSM MSP DOP SNOW</w:t>
            </w:r>
          </w:p>
        </w:tc>
        <w:tc>
          <w:tcPr>
            <w:tcW w:w="2070" w:type="dxa"/>
            <w:tcBorders>
              <w:top w:val="nil"/>
              <w:left w:val="nil"/>
              <w:bottom w:val="dotted" w:sz="4" w:space="0" w:color="auto"/>
              <w:right w:val="dotted" w:sz="4" w:space="0" w:color="auto"/>
            </w:tcBorders>
            <w:shd w:val="clear" w:color="auto" w:fill="FFFF00"/>
            <w:noWrap/>
            <w:vAlign w:val="center"/>
            <w:hideMark/>
          </w:tcPr>
          <w:p w14:paraId="364F602F"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xml:space="preserve">Deployment once and management </w:t>
            </w:r>
            <w:proofErr w:type="spellStart"/>
            <w:r>
              <w:rPr>
                <w:rFonts w:ascii="Calibri" w:hAnsi="Calibri" w:cs="Calibri"/>
                <w:sz w:val="22"/>
                <w:szCs w:val="22"/>
                <w:lang w:val="en-US" w:eastAsia="en-US"/>
              </w:rPr>
              <w:t>on going</w:t>
            </w:r>
            <w:proofErr w:type="spellEnd"/>
            <w:r>
              <w:rPr>
                <w:rFonts w:ascii="Calibri" w:hAnsi="Calibri" w:cs="Calibri"/>
                <w:sz w:val="22"/>
                <w:szCs w:val="22"/>
                <w:lang w:val="en-US" w:eastAsia="en-US"/>
              </w:rPr>
              <w:t xml:space="preserve"> Support</w:t>
            </w:r>
          </w:p>
        </w:tc>
        <w:tc>
          <w:tcPr>
            <w:tcW w:w="1710" w:type="dxa"/>
            <w:tcBorders>
              <w:top w:val="nil"/>
              <w:left w:val="nil"/>
              <w:bottom w:val="dotted" w:sz="4" w:space="0" w:color="auto"/>
              <w:right w:val="dotted" w:sz="4" w:space="0" w:color="auto"/>
            </w:tcBorders>
            <w:shd w:val="clear" w:color="auto" w:fill="FFFF00"/>
            <w:noWrap/>
            <w:vAlign w:val="center"/>
            <w:hideMark/>
          </w:tcPr>
          <w:p w14:paraId="1E29BDA6"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1</w:t>
            </w:r>
          </w:p>
        </w:tc>
        <w:tc>
          <w:tcPr>
            <w:tcW w:w="1260" w:type="dxa"/>
            <w:tcBorders>
              <w:top w:val="nil"/>
              <w:left w:val="nil"/>
              <w:bottom w:val="dotted" w:sz="4" w:space="0" w:color="auto"/>
              <w:right w:val="dotted" w:sz="4" w:space="0" w:color="auto"/>
            </w:tcBorders>
            <w:shd w:val="clear" w:color="auto" w:fill="FFFF00"/>
            <w:noWrap/>
            <w:vAlign w:val="center"/>
            <w:hideMark/>
          </w:tcPr>
          <w:p w14:paraId="425D4339"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897 </w:t>
            </w:r>
          </w:p>
        </w:tc>
        <w:tc>
          <w:tcPr>
            <w:tcW w:w="1620" w:type="dxa"/>
            <w:tcBorders>
              <w:top w:val="nil"/>
              <w:left w:val="nil"/>
              <w:bottom w:val="dotted" w:sz="4" w:space="0" w:color="auto"/>
              <w:right w:val="dotted" w:sz="4" w:space="0" w:color="auto"/>
            </w:tcBorders>
            <w:shd w:val="clear" w:color="auto" w:fill="FFFF00"/>
            <w:noWrap/>
            <w:vAlign w:val="center"/>
            <w:hideMark/>
          </w:tcPr>
          <w:p w14:paraId="0EE8CB36"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897 </w:t>
            </w:r>
          </w:p>
        </w:tc>
        <w:tc>
          <w:tcPr>
            <w:tcW w:w="1350" w:type="dxa"/>
            <w:tcBorders>
              <w:top w:val="nil"/>
              <w:left w:val="nil"/>
              <w:bottom w:val="dotted" w:sz="4" w:space="0" w:color="auto"/>
              <w:right w:val="dotted" w:sz="4" w:space="0" w:color="auto"/>
            </w:tcBorders>
            <w:shd w:val="clear" w:color="auto" w:fill="FFFF00"/>
            <w:noWrap/>
            <w:vAlign w:val="center"/>
            <w:hideMark/>
          </w:tcPr>
          <w:p w14:paraId="13C88081"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10,759 </w:t>
            </w:r>
          </w:p>
        </w:tc>
        <w:tc>
          <w:tcPr>
            <w:tcW w:w="1734" w:type="dxa"/>
            <w:tcBorders>
              <w:top w:val="nil"/>
              <w:left w:val="nil"/>
              <w:bottom w:val="dotted" w:sz="4" w:space="0" w:color="auto"/>
              <w:right w:val="dotted" w:sz="4" w:space="0" w:color="auto"/>
            </w:tcBorders>
            <w:shd w:val="clear" w:color="auto" w:fill="ACB9CA"/>
            <w:noWrap/>
            <w:vAlign w:val="center"/>
            <w:hideMark/>
          </w:tcPr>
          <w:p w14:paraId="0DF69CF3"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50,207 </w:t>
            </w:r>
          </w:p>
        </w:tc>
      </w:tr>
      <w:tr w:rsidR="00815AC2" w14:paraId="2036A72D" w14:textId="77777777" w:rsidTr="00815AC2">
        <w:trPr>
          <w:trHeight w:val="580"/>
        </w:trPr>
        <w:tc>
          <w:tcPr>
            <w:tcW w:w="1439" w:type="dxa"/>
            <w:tcBorders>
              <w:top w:val="nil"/>
              <w:left w:val="dotted" w:sz="4" w:space="0" w:color="auto"/>
              <w:bottom w:val="dotted" w:sz="4" w:space="0" w:color="auto"/>
              <w:right w:val="dotted" w:sz="4" w:space="0" w:color="auto"/>
            </w:tcBorders>
            <w:shd w:val="clear" w:color="auto" w:fill="FFFF00"/>
            <w:vAlign w:val="center"/>
            <w:hideMark/>
          </w:tcPr>
          <w:p w14:paraId="309A941E"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xml:space="preserve">Integration </w:t>
            </w:r>
          </w:p>
        </w:tc>
        <w:tc>
          <w:tcPr>
            <w:tcW w:w="1526" w:type="dxa"/>
            <w:tcBorders>
              <w:top w:val="nil"/>
              <w:left w:val="nil"/>
              <w:bottom w:val="dotted" w:sz="4" w:space="0" w:color="auto"/>
              <w:right w:val="dotted" w:sz="4" w:space="0" w:color="auto"/>
            </w:tcBorders>
            <w:shd w:val="clear" w:color="auto" w:fill="FFFF00"/>
            <w:vAlign w:val="center"/>
            <w:hideMark/>
          </w:tcPr>
          <w:p w14:paraId="35310510"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EV2SD</w:t>
            </w:r>
          </w:p>
        </w:tc>
        <w:tc>
          <w:tcPr>
            <w:tcW w:w="1890" w:type="dxa"/>
            <w:tcBorders>
              <w:top w:val="nil"/>
              <w:left w:val="nil"/>
              <w:bottom w:val="dotted" w:sz="4" w:space="0" w:color="auto"/>
              <w:right w:val="dotted" w:sz="4" w:space="0" w:color="auto"/>
            </w:tcBorders>
            <w:shd w:val="clear" w:color="auto" w:fill="FFFF00"/>
            <w:vAlign w:val="center"/>
            <w:hideMark/>
          </w:tcPr>
          <w:p w14:paraId="349BF933"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xml:space="preserve">Integration between Monitoring tool and Splunk </w:t>
            </w:r>
          </w:p>
        </w:tc>
        <w:tc>
          <w:tcPr>
            <w:tcW w:w="2070" w:type="dxa"/>
            <w:tcBorders>
              <w:top w:val="nil"/>
              <w:left w:val="nil"/>
              <w:bottom w:val="dotted" w:sz="4" w:space="0" w:color="auto"/>
              <w:right w:val="dotted" w:sz="4" w:space="0" w:color="auto"/>
            </w:tcBorders>
            <w:shd w:val="clear" w:color="auto" w:fill="FFFF00"/>
            <w:noWrap/>
            <w:vAlign w:val="center"/>
            <w:hideMark/>
          </w:tcPr>
          <w:p w14:paraId="5EB3F0D1"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xml:space="preserve">Deployment once and management </w:t>
            </w:r>
            <w:proofErr w:type="spellStart"/>
            <w:r>
              <w:rPr>
                <w:rFonts w:ascii="Calibri" w:hAnsi="Calibri" w:cs="Calibri"/>
                <w:sz w:val="22"/>
                <w:szCs w:val="22"/>
                <w:lang w:val="en-US" w:eastAsia="en-US"/>
              </w:rPr>
              <w:t>on going</w:t>
            </w:r>
            <w:proofErr w:type="spellEnd"/>
            <w:r>
              <w:rPr>
                <w:rFonts w:ascii="Calibri" w:hAnsi="Calibri" w:cs="Calibri"/>
                <w:sz w:val="22"/>
                <w:szCs w:val="22"/>
                <w:lang w:val="en-US" w:eastAsia="en-US"/>
              </w:rPr>
              <w:t xml:space="preserve"> Support</w:t>
            </w:r>
          </w:p>
        </w:tc>
        <w:tc>
          <w:tcPr>
            <w:tcW w:w="1710" w:type="dxa"/>
            <w:tcBorders>
              <w:top w:val="nil"/>
              <w:left w:val="nil"/>
              <w:bottom w:val="dotted" w:sz="4" w:space="0" w:color="auto"/>
              <w:right w:val="dotted" w:sz="4" w:space="0" w:color="auto"/>
            </w:tcBorders>
            <w:shd w:val="clear" w:color="auto" w:fill="FFFF00"/>
            <w:noWrap/>
            <w:vAlign w:val="center"/>
            <w:hideMark/>
          </w:tcPr>
          <w:p w14:paraId="382A7338"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1</w:t>
            </w:r>
          </w:p>
        </w:tc>
        <w:tc>
          <w:tcPr>
            <w:tcW w:w="1260" w:type="dxa"/>
            <w:tcBorders>
              <w:top w:val="nil"/>
              <w:left w:val="nil"/>
              <w:bottom w:val="dotted" w:sz="4" w:space="0" w:color="auto"/>
              <w:right w:val="dotted" w:sz="4" w:space="0" w:color="auto"/>
            </w:tcBorders>
            <w:shd w:val="clear" w:color="auto" w:fill="FFFF00"/>
            <w:noWrap/>
            <w:vAlign w:val="center"/>
            <w:hideMark/>
          </w:tcPr>
          <w:p w14:paraId="4F92F765"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362 </w:t>
            </w:r>
          </w:p>
        </w:tc>
        <w:tc>
          <w:tcPr>
            <w:tcW w:w="1620" w:type="dxa"/>
            <w:tcBorders>
              <w:top w:val="nil"/>
              <w:left w:val="nil"/>
              <w:bottom w:val="dotted" w:sz="4" w:space="0" w:color="auto"/>
              <w:right w:val="dotted" w:sz="4" w:space="0" w:color="auto"/>
            </w:tcBorders>
            <w:shd w:val="clear" w:color="auto" w:fill="FFFF00"/>
            <w:noWrap/>
            <w:vAlign w:val="center"/>
            <w:hideMark/>
          </w:tcPr>
          <w:p w14:paraId="5429C58B"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362 </w:t>
            </w:r>
          </w:p>
        </w:tc>
        <w:tc>
          <w:tcPr>
            <w:tcW w:w="1350" w:type="dxa"/>
            <w:tcBorders>
              <w:top w:val="nil"/>
              <w:left w:val="nil"/>
              <w:bottom w:val="dotted" w:sz="4" w:space="0" w:color="auto"/>
              <w:right w:val="dotted" w:sz="4" w:space="0" w:color="auto"/>
            </w:tcBorders>
            <w:shd w:val="clear" w:color="auto" w:fill="FFFF00"/>
            <w:noWrap/>
            <w:vAlign w:val="center"/>
            <w:hideMark/>
          </w:tcPr>
          <w:p w14:paraId="618C35E4"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4,340 </w:t>
            </w:r>
          </w:p>
        </w:tc>
        <w:tc>
          <w:tcPr>
            <w:tcW w:w="1734" w:type="dxa"/>
            <w:tcBorders>
              <w:top w:val="nil"/>
              <w:left w:val="nil"/>
              <w:bottom w:val="dotted" w:sz="4" w:space="0" w:color="auto"/>
              <w:right w:val="dotted" w:sz="4" w:space="0" w:color="auto"/>
            </w:tcBorders>
            <w:shd w:val="clear" w:color="auto" w:fill="ACB9CA"/>
            <w:noWrap/>
            <w:vAlign w:val="center"/>
            <w:hideMark/>
          </w:tcPr>
          <w:p w14:paraId="5AFC6835"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20,253 </w:t>
            </w:r>
          </w:p>
        </w:tc>
      </w:tr>
      <w:tr w:rsidR="00815AC2" w14:paraId="6DF6E970" w14:textId="77777777" w:rsidTr="00815AC2">
        <w:trPr>
          <w:trHeight w:val="290"/>
        </w:trPr>
        <w:tc>
          <w:tcPr>
            <w:tcW w:w="1439" w:type="dxa"/>
            <w:tcBorders>
              <w:top w:val="nil"/>
              <w:left w:val="dotted" w:sz="4" w:space="0" w:color="auto"/>
              <w:bottom w:val="dotted" w:sz="4" w:space="0" w:color="auto"/>
              <w:right w:val="dotted" w:sz="4" w:space="0" w:color="auto"/>
            </w:tcBorders>
            <w:shd w:val="clear" w:color="auto" w:fill="FFFF00"/>
            <w:vAlign w:val="center"/>
            <w:hideMark/>
          </w:tcPr>
          <w:p w14:paraId="6BB82EBB"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xml:space="preserve">Connectivity </w:t>
            </w:r>
          </w:p>
        </w:tc>
        <w:tc>
          <w:tcPr>
            <w:tcW w:w="1526" w:type="dxa"/>
            <w:tcBorders>
              <w:top w:val="nil"/>
              <w:left w:val="nil"/>
              <w:bottom w:val="dotted" w:sz="4" w:space="0" w:color="auto"/>
              <w:right w:val="dotted" w:sz="4" w:space="0" w:color="auto"/>
            </w:tcBorders>
            <w:shd w:val="clear" w:color="auto" w:fill="FFFF00"/>
            <w:vAlign w:val="center"/>
            <w:hideMark/>
          </w:tcPr>
          <w:p w14:paraId="13E59D6B"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Connectivity SAM</w:t>
            </w:r>
          </w:p>
        </w:tc>
        <w:tc>
          <w:tcPr>
            <w:tcW w:w="1890" w:type="dxa"/>
            <w:tcBorders>
              <w:top w:val="nil"/>
              <w:left w:val="nil"/>
              <w:bottom w:val="dotted" w:sz="4" w:space="0" w:color="auto"/>
              <w:right w:val="dotted" w:sz="4" w:space="0" w:color="auto"/>
            </w:tcBorders>
            <w:shd w:val="clear" w:color="auto" w:fill="FFFF00"/>
            <w:vAlign w:val="center"/>
            <w:hideMark/>
          </w:tcPr>
          <w:p w14:paraId="6AD4D17C"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Connectivity cost</w:t>
            </w:r>
          </w:p>
        </w:tc>
        <w:tc>
          <w:tcPr>
            <w:tcW w:w="2070" w:type="dxa"/>
            <w:tcBorders>
              <w:top w:val="nil"/>
              <w:left w:val="nil"/>
              <w:bottom w:val="dotted" w:sz="4" w:space="0" w:color="auto"/>
              <w:right w:val="dotted" w:sz="4" w:space="0" w:color="auto"/>
            </w:tcBorders>
            <w:shd w:val="clear" w:color="auto" w:fill="FFFF00"/>
            <w:noWrap/>
            <w:vAlign w:val="center"/>
            <w:hideMark/>
          </w:tcPr>
          <w:p w14:paraId="0175640F"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xml:space="preserve">Deployment once and management </w:t>
            </w:r>
            <w:proofErr w:type="spellStart"/>
            <w:r>
              <w:rPr>
                <w:rFonts w:ascii="Calibri" w:hAnsi="Calibri" w:cs="Calibri"/>
                <w:sz w:val="22"/>
                <w:szCs w:val="22"/>
                <w:lang w:val="en-US" w:eastAsia="en-US"/>
              </w:rPr>
              <w:t>on going</w:t>
            </w:r>
            <w:proofErr w:type="spellEnd"/>
            <w:r>
              <w:rPr>
                <w:rFonts w:ascii="Calibri" w:hAnsi="Calibri" w:cs="Calibri"/>
                <w:sz w:val="22"/>
                <w:szCs w:val="22"/>
                <w:lang w:val="en-US" w:eastAsia="en-US"/>
              </w:rPr>
              <w:t xml:space="preserve"> Support</w:t>
            </w:r>
          </w:p>
        </w:tc>
        <w:tc>
          <w:tcPr>
            <w:tcW w:w="1710" w:type="dxa"/>
            <w:tcBorders>
              <w:top w:val="nil"/>
              <w:left w:val="nil"/>
              <w:bottom w:val="dotted" w:sz="4" w:space="0" w:color="auto"/>
              <w:right w:val="dotted" w:sz="4" w:space="0" w:color="auto"/>
            </w:tcBorders>
            <w:shd w:val="clear" w:color="auto" w:fill="FFFF00"/>
            <w:noWrap/>
            <w:vAlign w:val="center"/>
            <w:hideMark/>
          </w:tcPr>
          <w:p w14:paraId="0F8C370B"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46</w:t>
            </w:r>
          </w:p>
        </w:tc>
        <w:tc>
          <w:tcPr>
            <w:tcW w:w="1260" w:type="dxa"/>
            <w:tcBorders>
              <w:top w:val="nil"/>
              <w:left w:val="nil"/>
              <w:bottom w:val="dotted" w:sz="4" w:space="0" w:color="auto"/>
              <w:right w:val="dotted" w:sz="4" w:space="0" w:color="auto"/>
            </w:tcBorders>
            <w:shd w:val="clear" w:color="auto" w:fill="FFFF00"/>
            <w:noWrap/>
            <w:vAlign w:val="center"/>
            <w:hideMark/>
          </w:tcPr>
          <w:p w14:paraId="11285F31"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4.4 </w:t>
            </w:r>
          </w:p>
        </w:tc>
        <w:tc>
          <w:tcPr>
            <w:tcW w:w="1620" w:type="dxa"/>
            <w:tcBorders>
              <w:top w:val="nil"/>
              <w:left w:val="nil"/>
              <w:bottom w:val="dotted" w:sz="4" w:space="0" w:color="auto"/>
              <w:right w:val="dotted" w:sz="4" w:space="0" w:color="auto"/>
            </w:tcBorders>
            <w:shd w:val="clear" w:color="auto" w:fill="FFFF00"/>
            <w:noWrap/>
            <w:vAlign w:val="center"/>
            <w:hideMark/>
          </w:tcPr>
          <w:p w14:paraId="54D890A3"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200.8 </w:t>
            </w:r>
          </w:p>
        </w:tc>
        <w:tc>
          <w:tcPr>
            <w:tcW w:w="1350" w:type="dxa"/>
            <w:tcBorders>
              <w:top w:val="nil"/>
              <w:left w:val="nil"/>
              <w:bottom w:val="dotted" w:sz="4" w:space="0" w:color="auto"/>
              <w:right w:val="dotted" w:sz="4" w:space="0" w:color="auto"/>
            </w:tcBorders>
            <w:shd w:val="clear" w:color="auto" w:fill="FFFF00"/>
            <w:noWrap/>
            <w:vAlign w:val="center"/>
            <w:hideMark/>
          </w:tcPr>
          <w:p w14:paraId="13319765"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2,409 </w:t>
            </w:r>
          </w:p>
        </w:tc>
        <w:tc>
          <w:tcPr>
            <w:tcW w:w="1734" w:type="dxa"/>
            <w:tcBorders>
              <w:top w:val="nil"/>
              <w:left w:val="nil"/>
              <w:bottom w:val="dotted" w:sz="4" w:space="0" w:color="auto"/>
              <w:right w:val="dotted" w:sz="4" w:space="0" w:color="auto"/>
            </w:tcBorders>
            <w:shd w:val="clear" w:color="auto" w:fill="ACB9CA"/>
            <w:noWrap/>
            <w:vAlign w:val="center"/>
            <w:hideMark/>
          </w:tcPr>
          <w:p w14:paraId="7089B523"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11,243 </w:t>
            </w:r>
          </w:p>
        </w:tc>
      </w:tr>
      <w:tr w:rsidR="00815AC2" w14:paraId="777CB1CC" w14:textId="77777777" w:rsidTr="00815AC2">
        <w:trPr>
          <w:trHeight w:val="590"/>
        </w:trPr>
        <w:tc>
          <w:tcPr>
            <w:tcW w:w="1439" w:type="dxa"/>
            <w:tcBorders>
              <w:top w:val="nil"/>
              <w:left w:val="dotted" w:sz="4" w:space="0" w:color="auto"/>
              <w:bottom w:val="dotted" w:sz="4" w:space="0" w:color="auto"/>
              <w:right w:val="dotted" w:sz="4" w:space="0" w:color="auto"/>
            </w:tcBorders>
            <w:shd w:val="clear" w:color="auto" w:fill="FFFF00"/>
            <w:vAlign w:val="center"/>
            <w:hideMark/>
          </w:tcPr>
          <w:p w14:paraId="346652EB"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xml:space="preserve">Telephone </w:t>
            </w:r>
          </w:p>
        </w:tc>
        <w:tc>
          <w:tcPr>
            <w:tcW w:w="1526" w:type="dxa"/>
            <w:tcBorders>
              <w:top w:val="nil"/>
              <w:left w:val="nil"/>
              <w:bottom w:val="dotted" w:sz="4" w:space="0" w:color="auto"/>
              <w:right w:val="dotted" w:sz="4" w:space="0" w:color="auto"/>
            </w:tcBorders>
            <w:shd w:val="clear" w:color="auto" w:fill="FFFF00"/>
            <w:vAlign w:val="center"/>
            <w:hideMark/>
          </w:tcPr>
          <w:p w14:paraId="5487C422" w14:textId="77777777" w:rsidR="00815AC2" w:rsidRDefault="00815AC2">
            <w:pPr>
              <w:spacing w:after="0"/>
              <w:ind w:left="0" w:firstLine="0"/>
              <w:jc w:val="left"/>
              <w:rPr>
                <w:rFonts w:ascii="Calibri" w:hAnsi="Calibri" w:cs="Calibri"/>
                <w:color w:val="auto"/>
                <w:sz w:val="22"/>
                <w:szCs w:val="22"/>
                <w:lang w:val="en-US" w:eastAsia="en-US"/>
              </w:rPr>
            </w:pPr>
            <w:proofErr w:type="spellStart"/>
            <w:r>
              <w:rPr>
                <w:rFonts w:ascii="Calibri" w:hAnsi="Calibri" w:cs="Calibri"/>
                <w:sz w:val="22"/>
                <w:szCs w:val="22"/>
                <w:lang w:val="en-US" w:eastAsia="en-US"/>
              </w:rPr>
              <w:t>Odigo</w:t>
            </w:r>
            <w:proofErr w:type="spellEnd"/>
          </w:p>
        </w:tc>
        <w:tc>
          <w:tcPr>
            <w:tcW w:w="1890" w:type="dxa"/>
            <w:tcBorders>
              <w:top w:val="nil"/>
              <w:left w:val="nil"/>
              <w:bottom w:val="dotted" w:sz="4" w:space="0" w:color="auto"/>
              <w:right w:val="dotted" w:sz="4" w:space="0" w:color="auto"/>
            </w:tcBorders>
            <w:shd w:val="clear" w:color="auto" w:fill="FFFF00"/>
            <w:vAlign w:val="center"/>
            <w:hideMark/>
          </w:tcPr>
          <w:p w14:paraId="777C201E"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Toll free number and telephonic support</w:t>
            </w:r>
          </w:p>
        </w:tc>
        <w:tc>
          <w:tcPr>
            <w:tcW w:w="2070" w:type="dxa"/>
            <w:tcBorders>
              <w:top w:val="nil"/>
              <w:left w:val="nil"/>
              <w:bottom w:val="dotted" w:sz="4" w:space="0" w:color="auto"/>
              <w:right w:val="dotted" w:sz="4" w:space="0" w:color="auto"/>
            </w:tcBorders>
            <w:shd w:val="clear" w:color="auto" w:fill="FFFF00"/>
            <w:noWrap/>
            <w:vAlign w:val="center"/>
            <w:hideMark/>
          </w:tcPr>
          <w:p w14:paraId="6FE921F2"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xml:space="preserve">Deployment once and monthly </w:t>
            </w:r>
            <w:proofErr w:type="spellStart"/>
            <w:proofErr w:type="gramStart"/>
            <w:r>
              <w:rPr>
                <w:rFonts w:ascii="Calibri" w:hAnsi="Calibri" w:cs="Calibri"/>
                <w:sz w:val="22"/>
                <w:szCs w:val="22"/>
                <w:lang w:val="en-US" w:eastAsia="en-US"/>
              </w:rPr>
              <w:t>on going</w:t>
            </w:r>
            <w:proofErr w:type="spellEnd"/>
            <w:proofErr w:type="gramEnd"/>
            <w:r>
              <w:rPr>
                <w:rFonts w:ascii="Calibri" w:hAnsi="Calibri" w:cs="Calibri"/>
                <w:sz w:val="22"/>
                <w:szCs w:val="22"/>
                <w:lang w:val="en-US" w:eastAsia="en-US"/>
              </w:rPr>
              <w:t xml:space="preserve"> Support</w:t>
            </w:r>
          </w:p>
        </w:tc>
        <w:tc>
          <w:tcPr>
            <w:tcW w:w="1710" w:type="dxa"/>
            <w:tcBorders>
              <w:top w:val="nil"/>
              <w:left w:val="nil"/>
              <w:bottom w:val="dotted" w:sz="4" w:space="0" w:color="auto"/>
              <w:right w:val="dotted" w:sz="4" w:space="0" w:color="auto"/>
            </w:tcBorders>
            <w:shd w:val="clear" w:color="auto" w:fill="FFFF00"/>
            <w:noWrap/>
            <w:vAlign w:val="center"/>
            <w:hideMark/>
          </w:tcPr>
          <w:p w14:paraId="5DC83547"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969</w:t>
            </w:r>
          </w:p>
        </w:tc>
        <w:tc>
          <w:tcPr>
            <w:tcW w:w="1260" w:type="dxa"/>
            <w:tcBorders>
              <w:top w:val="nil"/>
              <w:left w:val="nil"/>
              <w:bottom w:val="dotted" w:sz="4" w:space="0" w:color="auto"/>
              <w:right w:val="dotted" w:sz="4" w:space="0" w:color="auto"/>
            </w:tcBorders>
            <w:shd w:val="clear" w:color="auto" w:fill="FFFF00"/>
            <w:noWrap/>
            <w:vAlign w:val="center"/>
            <w:hideMark/>
          </w:tcPr>
          <w:p w14:paraId="64B0C214"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1.2 </w:t>
            </w:r>
          </w:p>
        </w:tc>
        <w:tc>
          <w:tcPr>
            <w:tcW w:w="1620" w:type="dxa"/>
            <w:tcBorders>
              <w:top w:val="nil"/>
              <w:left w:val="nil"/>
              <w:bottom w:val="dotted" w:sz="4" w:space="0" w:color="auto"/>
              <w:right w:val="dotted" w:sz="4" w:space="0" w:color="auto"/>
            </w:tcBorders>
            <w:shd w:val="clear" w:color="auto" w:fill="FFFF00"/>
            <w:noWrap/>
            <w:vAlign w:val="center"/>
            <w:hideMark/>
          </w:tcPr>
          <w:p w14:paraId="6C125892"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1,155 </w:t>
            </w:r>
          </w:p>
        </w:tc>
        <w:tc>
          <w:tcPr>
            <w:tcW w:w="1350" w:type="dxa"/>
            <w:tcBorders>
              <w:top w:val="nil"/>
              <w:left w:val="nil"/>
              <w:bottom w:val="dotted" w:sz="4" w:space="0" w:color="auto"/>
              <w:right w:val="dotted" w:sz="4" w:space="0" w:color="auto"/>
            </w:tcBorders>
            <w:shd w:val="clear" w:color="auto" w:fill="FFFF00"/>
            <w:noWrap/>
            <w:vAlign w:val="center"/>
            <w:hideMark/>
          </w:tcPr>
          <w:p w14:paraId="16DCDB0B"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13,859 </w:t>
            </w:r>
          </w:p>
        </w:tc>
        <w:tc>
          <w:tcPr>
            <w:tcW w:w="1734" w:type="dxa"/>
            <w:tcBorders>
              <w:top w:val="nil"/>
              <w:left w:val="nil"/>
              <w:bottom w:val="dotted" w:sz="4" w:space="0" w:color="auto"/>
              <w:right w:val="dotted" w:sz="4" w:space="0" w:color="auto"/>
            </w:tcBorders>
            <w:shd w:val="clear" w:color="auto" w:fill="ACB9CA"/>
            <w:noWrap/>
            <w:vAlign w:val="center"/>
            <w:hideMark/>
          </w:tcPr>
          <w:p w14:paraId="31CBEE2B"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64,677 </w:t>
            </w:r>
          </w:p>
        </w:tc>
      </w:tr>
      <w:tr w:rsidR="00815AC2" w14:paraId="68F1C522" w14:textId="77777777" w:rsidTr="00815AC2">
        <w:trPr>
          <w:trHeight w:val="580"/>
        </w:trPr>
        <w:tc>
          <w:tcPr>
            <w:tcW w:w="1439" w:type="dxa"/>
            <w:tcBorders>
              <w:top w:val="nil"/>
              <w:left w:val="dotted" w:sz="4" w:space="0" w:color="auto"/>
              <w:bottom w:val="dotted" w:sz="4" w:space="0" w:color="auto"/>
              <w:right w:val="dotted" w:sz="4" w:space="0" w:color="auto"/>
            </w:tcBorders>
            <w:shd w:val="clear" w:color="auto" w:fill="FFFF00"/>
            <w:vAlign w:val="center"/>
            <w:hideMark/>
          </w:tcPr>
          <w:p w14:paraId="05BDD892"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RDS</w:t>
            </w:r>
          </w:p>
        </w:tc>
        <w:tc>
          <w:tcPr>
            <w:tcW w:w="1526" w:type="dxa"/>
            <w:tcBorders>
              <w:top w:val="nil"/>
              <w:left w:val="nil"/>
              <w:bottom w:val="dotted" w:sz="4" w:space="0" w:color="auto"/>
              <w:right w:val="dotted" w:sz="4" w:space="0" w:color="auto"/>
            </w:tcBorders>
            <w:shd w:val="clear" w:color="auto" w:fill="FFFF00"/>
            <w:vAlign w:val="center"/>
            <w:hideMark/>
          </w:tcPr>
          <w:p w14:paraId="5F2A1D72" w14:textId="77777777" w:rsidR="00815AC2" w:rsidRDefault="00815AC2">
            <w:pPr>
              <w:spacing w:after="0"/>
              <w:ind w:left="0" w:firstLine="0"/>
              <w:jc w:val="left"/>
              <w:rPr>
                <w:rFonts w:ascii="Calibri" w:hAnsi="Calibri" w:cs="Calibri"/>
                <w:color w:val="auto"/>
                <w:sz w:val="22"/>
                <w:szCs w:val="22"/>
                <w:lang w:val="en-US" w:eastAsia="en-US"/>
              </w:rPr>
            </w:pPr>
            <w:proofErr w:type="spellStart"/>
            <w:r>
              <w:rPr>
                <w:rFonts w:ascii="Calibri" w:hAnsi="Calibri" w:cs="Calibri"/>
                <w:sz w:val="22"/>
                <w:szCs w:val="22"/>
                <w:lang w:val="en-US" w:eastAsia="en-US"/>
              </w:rPr>
              <w:t>GotoAssist</w:t>
            </w:r>
            <w:proofErr w:type="spellEnd"/>
          </w:p>
        </w:tc>
        <w:tc>
          <w:tcPr>
            <w:tcW w:w="1890" w:type="dxa"/>
            <w:tcBorders>
              <w:top w:val="nil"/>
              <w:left w:val="nil"/>
              <w:bottom w:val="dotted" w:sz="4" w:space="0" w:color="auto"/>
              <w:right w:val="dotted" w:sz="4" w:space="0" w:color="auto"/>
            </w:tcBorders>
            <w:shd w:val="clear" w:color="auto" w:fill="FFFF00"/>
            <w:vAlign w:val="center"/>
            <w:hideMark/>
          </w:tcPr>
          <w:p w14:paraId="6DB89865"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xml:space="preserve">Remote desktop tool for L2 resolution </w:t>
            </w:r>
          </w:p>
        </w:tc>
        <w:tc>
          <w:tcPr>
            <w:tcW w:w="2070" w:type="dxa"/>
            <w:tcBorders>
              <w:top w:val="nil"/>
              <w:left w:val="nil"/>
              <w:bottom w:val="dotted" w:sz="4" w:space="0" w:color="auto"/>
              <w:right w:val="dotted" w:sz="4" w:space="0" w:color="auto"/>
            </w:tcBorders>
            <w:shd w:val="clear" w:color="auto" w:fill="FFFF00"/>
            <w:noWrap/>
            <w:vAlign w:val="center"/>
            <w:hideMark/>
          </w:tcPr>
          <w:p w14:paraId="5DBB4FCE"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xml:space="preserve">Deployment once and monthly </w:t>
            </w:r>
            <w:proofErr w:type="spellStart"/>
            <w:proofErr w:type="gramStart"/>
            <w:r>
              <w:rPr>
                <w:rFonts w:ascii="Calibri" w:hAnsi="Calibri" w:cs="Calibri"/>
                <w:sz w:val="22"/>
                <w:szCs w:val="22"/>
                <w:lang w:val="en-US" w:eastAsia="en-US"/>
              </w:rPr>
              <w:t>on going</w:t>
            </w:r>
            <w:proofErr w:type="spellEnd"/>
            <w:proofErr w:type="gramEnd"/>
            <w:r>
              <w:rPr>
                <w:rFonts w:ascii="Calibri" w:hAnsi="Calibri" w:cs="Calibri"/>
                <w:sz w:val="22"/>
                <w:szCs w:val="22"/>
                <w:lang w:val="en-US" w:eastAsia="en-US"/>
              </w:rPr>
              <w:t xml:space="preserve"> Support</w:t>
            </w:r>
          </w:p>
        </w:tc>
        <w:tc>
          <w:tcPr>
            <w:tcW w:w="1710" w:type="dxa"/>
            <w:tcBorders>
              <w:top w:val="nil"/>
              <w:left w:val="nil"/>
              <w:bottom w:val="dotted" w:sz="4" w:space="0" w:color="auto"/>
              <w:right w:val="dotted" w:sz="4" w:space="0" w:color="auto"/>
            </w:tcBorders>
            <w:shd w:val="clear" w:color="auto" w:fill="FFFF00"/>
            <w:noWrap/>
            <w:vAlign w:val="center"/>
            <w:hideMark/>
          </w:tcPr>
          <w:p w14:paraId="75F16813"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1</w:t>
            </w:r>
          </w:p>
        </w:tc>
        <w:tc>
          <w:tcPr>
            <w:tcW w:w="1260" w:type="dxa"/>
            <w:tcBorders>
              <w:top w:val="nil"/>
              <w:left w:val="nil"/>
              <w:bottom w:val="dotted" w:sz="4" w:space="0" w:color="auto"/>
              <w:right w:val="dotted" w:sz="4" w:space="0" w:color="auto"/>
            </w:tcBorders>
            <w:shd w:val="clear" w:color="auto" w:fill="FFFF00"/>
            <w:noWrap/>
            <w:vAlign w:val="center"/>
            <w:hideMark/>
          </w:tcPr>
          <w:p w14:paraId="4932A3BA"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49.2 </w:t>
            </w:r>
          </w:p>
        </w:tc>
        <w:tc>
          <w:tcPr>
            <w:tcW w:w="1620" w:type="dxa"/>
            <w:tcBorders>
              <w:top w:val="nil"/>
              <w:left w:val="nil"/>
              <w:bottom w:val="dotted" w:sz="4" w:space="0" w:color="auto"/>
              <w:right w:val="dotted" w:sz="4" w:space="0" w:color="auto"/>
            </w:tcBorders>
            <w:shd w:val="clear" w:color="auto" w:fill="FFFF00"/>
            <w:noWrap/>
            <w:vAlign w:val="center"/>
            <w:hideMark/>
          </w:tcPr>
          <w:p w14:paraId="36BFF61B"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49 </w:t>
            </w:r>
          </w:p>
        </w:tc>
        <w:tc>
          <w:tcPr>
            <w:tcW w:w="1350" w:type="dxa"/>
            <w:tcBorders>
              <w:top w:val="nil"/>
              <w:left w:val="nil"/>
              <w:bottom w:val="dotted" w:sz="4" w:space="0" w:color="auto"/>
              <w:right w:val="dotted" w:sz="4" w:space="0" w:color="auto"/>
            </w:tcBorders>
            <w:shd w:val="clear" w:color="auto" w:fill="FFFF00"/>
            <w:noWrap/>
            <w:vAlign w:val="center"/>
            <w:hideMark/>
          </w:tcPr>
          <w:p w14:paraId="7D5133FC"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591 </w:t>
            </w:r>
          </w:p>
        </w:tc>
        <w:tc>
          <w:tcPr>
            <w:tcW w:w="1734" w:type="dxa"/>
            <w:tcBorders>
              <w:top w:val="nil"/>
              <w:left w:val="nil"/>
              <w:bottom w:val="dotted" w:sz="4" w:space="0" w:color="auto"/>
              <w:right w:val="dotted" w:sz="4" w:space="0" w:color="auto"/>
            </w:tcBorders>
            <w:shd w:val="clear" w:color="auto" w:fill="ACB9CA"/>
            <w:noWrap/>
            <w:vAlign w:val="center"/>
            <w:hideMark/>
          </w:tcPr>
          <w:p w14:paraId="2F444402"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2,758 </w:t>
            </w:r>
          </w:p>
        </w:tc>
      </w:tr>
      <w:tr w:rsidR="00815AC2" w14:paraId="1231A3DD" w14:textId="77777777" w:rsidTr="00815AC2">
        <w:trPr>
          <w:trHeight w:val="580"/>
        </w:trPr>
        <w:tc>
          <w:tcPr>
            <w:tcW w:w="1439" w:type="dxa"/>
            <w:tcBorders>
              <w:top w:val="nil"/>
              <w:left w:val="dotted" w:sz="4" w:space="0" w:color="auto"/>
              <w:bottom w:val="dotted" w:sz="4" w:space="0" w:color="auto"/>
              <w:right w:val="dotted" w:sz="4" w:space="0" w:color="auto"/>
            </w:tcBorders>
            <w:shd w:val="clear" w:color="auto" w:fill="FFFF00"/>
            <w:vAlign w:val="center"/>
            <w:hideMark/>
          </w:tcPr>
          <w:p w14:paraId="1E24A356"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other expenses</w:t>
            </w:r>
          </w:p>
        </w:tc>
        <w:tc>
          <w:tcPr>
            <w:tcW w:w="1526" w:type="dxa"/>
            <w:tcBorders>
              <w:top w:val="nil"/>
              <w:left w:val="nil"/>
              <w:bottom w:val="dotted" w:sz="4" w:space="0" w:color="auto"/>
              <w:right w:val="dotted" w:sz="4" w:space="0" w:color="auto"/>
            </w:tcBorders>
            <w:shd w:val="clear" w:color="auto" w:fill="FFFF00"/>
            <w:vAlign w:val="center"/>
            <w:hideMark/>
          </w:tcPr>
          <w:p w14:paraId="7E9AE8FD"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Other expenses</w:t>
            </w:r>
          </w:p>
        </w:tc>
        <w:tc>
          <w:tcPr>
            <w:tcW w:w="1890" w:type="dxa"/>
            <w:tcBorders>
              <w:top w:val="nil"/>
              <w:left w:val="nil"/>
              <w:bottom w:val="dotted" w:sz="4" w:space="0" w:color="auto"/>
              <w:right w:val="dotted" w:sz="4" w:space="0" w:color="auto"/>
            </w:tcBorders>
            <w:shd w:val="clear" w:color="auto" w:fill="FFFF00"/>
            <w:vAlign w:val="center"/>
            <w:hideMark/>
          </w:tcPr>
          <w:p w14:paraId="17E92E72"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On call, shift allowance, transport, laptop, mobile/data</w:t>
            </w:r>
          </w:p>
        </w:tc>
        <w:tc>
          <w:tcPr>
            <w:tcW w:w="2070" w:type="dxa"/>
            <w:tcBorders>
              <w:top w:val="nil"/>
              <w:left w:val="nil"/>
              <w:bottom w:val="dotted" w:sz="4" w:space="0" w:color="auto"/>
              <w:right w:val="dotted" w:sz="4" w:space="0" w:color="auto"/>
            </w:tcBorders>
            <w:shd w:val="clear" w:color="auto" w:fill="FFFF00"/>
            <w:noWrap/>
            <w:vAlign w:val="center"/>
            <w:hideMark/>
          </w:tcPr>
          <w:p w14:paraId="67A77AB1"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xml:space="preserve">Monthly </w:t>
            </w:r>
            <w:proofErr w:type="spellStart"/>
            <w:proofErr w:type="gramStart"/>
            <w:r>
              <w:rPr>
                <w:rFonts w:ascii="Calibri" w:hAnsi="Calibri" w:cs="Calibri"/>
                <w:sz w:val="22"/>
                <w:szCs w:val="22"/>
                <w:lang w:val="en-US" w:eastAsia="en-US"/>
              </w:rPr>
              <w:t>on going</w:t>
            </w:r>
            <w:proofErr w:type="spellEnd"/>
            <w:proofErr w:type="gramEnd"/>
            <w:r>
              <w:rPr>
                <w:rFonts w:ascii="Calibri" w:hAnsi="Calibri" w:cs="Calibri"/>
                <w:sz w:val="22"/>
                <w:szCs w:val="22"/>
                <w:lang w:val="en-US" w:eastAsia="en-US"/>
              </w:rPr>
              <w:t xml:space="preserve"> Support</w:t>
            </w:r>
          </w:p>
        </w:tc>
        <w:tc>
          <w:tcPr>
            <w:tcW w:w="1710" w:type="dxa"/>
            <w:tcBorders>
              <w:top w:val="nil"/>
              <w:left w:val="nil"/>
              <w:bottom w:val="dotted" w:sz="4" w:space="0" w:color="auto"/>
              <w:right w:val="dotted" w:sz="4" w:space="0" w:color="auto"/>
            </w:tcBorders>
            <w:shd w:val="clear" w:color="auto" w:fill="FFFF00"/>
            <w:noWrap/>
            <w:vAlign w:val="center"/>
            <w:hideMark/>
          </w:tcPr>
          <w:p w14:paraId="1F1AC9BF"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1</w:t>
            </w:r>
          </w:p>
        </w:tc>
        <w:tc>
          <w:tcPr>
            <w:tcW w:w="1260" w:type="dxa"/>
            <w:tcBorders>
              <w:top w:val="nil"/>
              <w:left w:val="nil"/>
              <w:bottom w:val="dotted" w:sz="4" w:space="0" w:color="auto"/>
              <w:right w:val="dotted" w:sz="4" w:space="0" w:color="auto"/>
            </w:tcBorders>
            <w:shd w:val="clear" w:color="auto" w:fill="FFFF00"/>
            <w:noWrap/>
            <w:vAlign w:val="center"/>
            <w:hideMark/>
          </w:tcPr>
          <w:p w14:paraId="61BA5803"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431 </w:t>
            </w:r>
          </w:p>
        </w:tc>
        <w:tc>
          <w:tcPr>
            <w:tcW w:w="1620" w:type="dxa"/>
            <w:tcBorders>
              <w:top w:val="nil"/>
              <w:left w:val="nil"/>
              <w:bottom w:val="dotted" w:sz="4" w:space="0" w:color="auto"/>
              <w:right w:val="dotted" w:sz="4" w:space="0" w:color="auto"/>
            </w:tcBorders>
            <w:shd w:val="clear" w:color="auto" w:fill="FFFF00"/>
            <w:noWrap/>
            <w:vAlign w:val="center"/>
            <w:hideMark/>
          </w:tcPr>
          <w:p w14:paraId="44CF4AB3"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431 </w:t>
            </w:r>
          </w:p>
        </w:tc>
        <w:tc>
          <w:tcPr>
            <w:tcW w:w="1350" w:type="dxa"/>
            <w:tcBorders>
              <w:top w:val="nil"/>
              <w:left w:val="nil"/>
              <w:bottom w:val="dotted" w:sz="4" w:space="0" w:color="auto"/>
              <w:right w:val="dotted" w:sz="4" w:space="0" w:color="auto"/>
            </w:tcBorders>
            <w:shd w:val="clear" w:color="auto" w:fill="FFFF00"/>
            <w:noWrap/>
            <w:vAlign w:val="center"/>
            <w:hideMark/>
          </w:tcPr>
          <w:p w14:paraId="5F71862C"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5,177 </w:t>
            </w:r>
          </w:p>
        </w:tc>
        <w:tc>
          <w:tcPr>
            <w:tcW w:w="1734" w:type="dxa"/>
            <w:tcBorders>
              <w:top w:val="nil"/>
              <w:left w:val="nil"/>
              <w:bottom w:val="dotted" w:sz="4" w:space="0" w:color="auto"/>
              <w:right w:val="dotted" w:sz="4" w:space="0" w:color="auto"/>
            </w:tcBorders>
            <w:shd w:val="clear" w:color="auto" w:fill="ACB9CA"/>
            <w:noWrap/>
            <w:vAlign w:val="center"/>
            <w:hideMark/>
          </w:tcPr>
          <w:p w14:paraId="21353B53"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24,159 </w:t>
            </w:r>
          </w:p>
        </w:tc>
      </w:tr>
      <w:tr w:rsidR="00815AC2" w14:paraId="3FE13949" w14:textId="77777777" w:rsidTr="00815AC2">
        <w:trPr>
          <w:trHeight w:val="290"/>
        </w:trPr>
        <w:tc>
          <w:tcPr>
            <w:tcW w:w="1439" w:type="dxa"/>
            <w:tcBorders>
              <w:top w:val="nil"/>
              <w:left w:val="single" w:sz="8" w:space="0" w:color="00B050"/>
              <w:bottom w:val="nil"/>
              <w:right w:val="dotted" w:sz="4" w:space="0" w:color="auto"/>
            </w:tcBorders>
            <w:shd w:val="clear" w:color="auto" w:fill="FFFF00"/>
            <w:vAlign w:val="center"/>
            <w:hideMark/>
          </w:tcPr>
          <w:p w14:paraId="15681E6B"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w:t>
            </w:r>
          </w:p>
        </w:tc>
        <w:tc>
          <w:tcPr>
            <w:tcW w:w="1526" w:type="dxa"/>
            <w:tcBorders>
              <w:top w:val="nil"/>
              <w:left w:val="nil"/>
              <w:bottom w:val="nil"/>
              <w:right w:val="dotted" w:sz="4" w:space="0" w:color="auto"/>
            </w:tcBorders>
            <w:shd w:val="clear" w:color="auto" w:fill="FFFF00"/>
            <w:vAlign w:val="center"/>
            <w:hideMark/>
          </w:tcPr>
          <w:p w14:paraId="5663AD23"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w:t>
            </w:r>
          </w:p>
        </w:tc>
        <w:tc>
          <w:tcPr>
            <w:tcW w:w="1890" w:type="dxa"/>
            <w:tcBorders>
              <w:top w:val="nil"/>
              <w:left w:val="nil"/>
              <w:bottom w:val="nil"/>
              <w:right w:val="dotted" w:sz="4" w:space="0" w:color="auto"/>
            </w:tcBorders>
            <w:shd w:val="clear" w:color="auto" w:fill="FFFF00"/>
            <w:vAlign w:val="center"/>
            <w:hideMark/>
          </w:tcPr>
          <w:p w14:paraId="48F5EF61" w14:textId="77777777" w:rsidR="00815AC2" w:rsidRDefault="00815AC2">
            <w:pPr>
              <w:spacing w:after="0"/>
              <w:ind w:left="0" w:firstLine="0"/>
              <w:jc w:val="left"/>
              <w:rPr>
                <w:rFonts w:ascii="Calibri" w:hAnsi="Calibri" w:cs="Calibri"/>
                <w:color w:val="auto"/>
                <w:sz w:val="22"/>
                <w:szCs w:val="22"/>
                <w:lang w:val="en-US" w:eastAsia="en-US"/>
              </w:rPr>
            </w:pPr>
            <w:r>
              <w:rPr>
                <w:rFonts w:ascii="Calibri" w:hAnsi="Calibri" w:cs="Calibri"/>
                <w:sz w:val="22"/>
                <w:szCs w:val="22"/>
                <w:lang w:val="en-US" w:eastAsia="en-US"/>
              </w:rPr>
              <w:t> </w:t>
            </w:r>
          </w:p>
        </w:tc>
        <w:tc>
          <w:tcPr>
            <w:tcW w:w="2070" w:type="dxa"/>
            <w:shd w:val="clear" w:color="auto" w:fill="FFFF00"/>
            <w:noWrap/>
            <w:vAlign w:val="center"/>
            <w:hideMark/>
          </w:tcPr>
          <w:p w14:paraId="1DED4A03"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w:t>
            </w:r>
          </w:p>
        </w:tc>
        <w:tc>
          <w:tcPr>
            <w:tcW w:w="1710" w:type="dxa"/>
            <w:tcBorders>
              <w:top w:val="nil"/>
              <w:left w:val="dotted" w:sz="4" w:space="0" w:color="auto"/>
              <w:bottom w:val="nil"/>
              <w:right w:val="nil"/>
            </w:tcBorders>
            <w:shd w:val="clear" w:color="auto" w:fill="FFFF00"/>
            <w:noWrap/>
            <w:vAlign w:val="center"/>
            <w:hideMark/>
          </w:tcPr>
          <w:p w14:paraId="333D0C8A"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w:t>
            </w:r>
          </w:p>
        </w:tc>
        <w:tc>
          <w:tcPr>
            <w:tcW w:w="1260" w:type="dxa"/>
            <w:tcBorders>
              <w:top w:val="nil"/>
              <w:left w:val="dotted" w:sz="4" w:space="0" w:color="auto"/>
              <w:bottom w:val="nil"/>
              <w:right w:val="nil"/>
            </w:tcBorders>
            <w:shd w:val="clear" w:color="auto" w:fill="FFFF00"/>
            <w:noWrap/>
            <w:vAlign w:val="center"/>
            <w:hideMark/>
          </w:tcPr>
          <w:p w14:paraId="4816CD7E"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w:t>
            </w:r>
          </w:p>
        </w:tc>
        <w:tc>
          <w:tcPr>
            <w:tcW w:w="1620" w:type="dxa"/>
            <w:tcBorders>
              <w:top w:val="nil"/>
              <w:left w:val="dotted" w:sz="4" w:space="0" w:color="auto"/>
              <w:bottom w:val="dotted" w:sz="4" w:space="0" w:color="auto"/>
              <w:right w:val="dotted" w:sz="4" w:space="0" w:color="auto"/>
            </w:tcBorders>
            <w:shd w:val="clear" w:color="auto" w:fill="FFFF00"/>
            <w:noWrap/>
            <w:vAlign w:val="center"/>
            <w:hideMark/>
          </w:tcPr>
          <w:p w14:paraId="2DD63FEE"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w:t>
            </w:r>
          </w:p>
        </w:tc>
        <w:tc>
          <w:tcPr>
            <w:tcW w:w="1350" w:type="dxa"/>
            <w:tcBorders>
              <w:top w:val="nil"/>
              <w:left w:val="nil"/>
              <w:bottom w:val="dotted" w:sz="4" w:space="0" w:color="auto"/>
              <w:right w:val="dotted" w:sz="4" w:space="0" w:color="auto"/>
            </w:tcBorders>
            <w:shd w:val="clear" w:color="auto" w:fill="FFFF00"/>
            <w:noWrap/>
            <w:vAlign w:val="center"/>
            <w:hideMark/>
          </w:tcPr>
          <w:p w14:paraId="0F5F492F"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   </w:t>
            </w:r>
          </w:p>
        </w:tc>
        <w:tc>
          <w:tcPr>
            <w:tcW w:w="1734" w:type="dxa"/>
            <w:tcBorders>
              <w:top w:val="nil"/>
              <w:left w:val="nil"/>
              <w:bottom w:val="dotted" w:sz="4" w:space="0" w:color="auto"/>
              <w:right w:val="dotted" w:sz="4" w:space="0" w:color="auto"/>
            </w:tcBorders>
            <w:shd w:val="clear" w:color="auto" w:fill="ACB9CA"/>
            <w:noWrap/>
            <w:vAlign w:val="center"/>
            <w:hideMark/>
          </w:tcPr>
          <w:p w14:paraId="55873AA2" w14:textId="77777777" w:rsidR="00815AC2" w:rsidRDefault="00815AC2">
            <w:pPr>
              <w:spacing w:after="0"/>
              <w:ind w:left="0" w:firstLine="0"/>
              <w:jc w:val="center"/>
              <w:rPr>
                <w:rFonts w:ascii="Calibri" w:hAnsi="Calibri" w:cs="Calibri"/>
                <w:color w:val="auto"/>
                <w:sz w:val="22"/>
                <w:szCs w:val="22"/>
                <w:lang w:val="en-US" w:eastAsia="en-US"/>
              </w:rPr>
            </w:pPr>
            <w:r>
              <w:rPr>
                <w:rFonts w:ascii="Calibri" w:hAnsi="Calibri" w:cs="Calibri"/>
                <w:sz w:val="22"/>
                <w:szCs w:val="22"/>
                <w:lang w:val="en-US" w:eastAsia="en-US"/>
              </w:rPr>
              <w:t xml:space="preserve">                             -   </w:t>
            </w:r>
          </w:p>
        </w:tc>
      </w:tr>
    </w:tbl>
    <w:p w14:paraId="3E5F7698" w14:textId="77777777" w:rsidR="00815AC2" w:rsidRDefault="00815AC2" w:rsidP="00815AC2">
      <w:pPr>
        <w:pStyle w:val="Heading2"/>
        <w:numPr>
          <w:ilvl w:val="0"/>
          <w:numId w:val="0"/>
        </w:numPr>
        <w:tabs>
          <w:tab w:val="left" w:pos="720"/>
        </w:tabs>
        <w:spacing w:after="120"/>
        <w:ind w:left="709" w:hanging="709"/>
        <w:rPr>
          <w:rFonts w:cs="Arial"/>
        </w:rPr>
      </w:pPr>
    </w:p>
    <w:p w14:paraId="13F05FC9" w14:textId="77777777" w:rsidR="00815AC2" w:rsidRPr="000E5786" w:rsidRDefault="00815AC2" w:rsidP="00815AC2">
      <w:pPr>
        <w:pStyle w:val="Heading2"/>
        <w:numPr>
          <w:ilvl w:val="0"/>
          <w:numId w:val="0"/>
        </w:numPr>
        <w:spacing w:after="120"/>
        <w:ind w:left="576"/>
        <w:rPr>
          <w:rFonts w:cs="Arial"/>
        </w:rPr>
      </w:pPr>
    </w:p>
    <w:p w14:paraId="0D042782" w14:textId="77777777" w:rsidR="00283998" w:rsidRDefault="00283998" w:rsidP="00DD60F0">
      <w:pPr>
        <w:rPr>
          <w:rFonts w:cs="Arial"/>
          <w:bCs/>
          <w:szCs w:val="20"/>
        </w:rPr>
      </w:pPr>
    </w:p>
    <w:p w14:paraId="201BB028" w14:textId="77777777" w:rsidR="00283998" w:rsidRDefault="00283998" w:rsidP="00DD60F0">
      <w:pPr>
        <w:rPr>
          <w:rFonts w:cs="Arial"/>
          <w:bCs/>
          <w:szCs w:val="20"/>
        </w:rPr>
      </w:pPr>
    </w:p>
    <w:p w14:paraId="3908A04B" w14:textId="6141BFD4" w:rsidR="004C127E" w:rsidRDefault="00283998" w:rsidP="00DD60F0">
      <w:pPr>
        <w:rPr>
          <w:rFonts w:cs="Arial"/>
          <w:bCs/>
          <w:szCs w:val="20"/>
        </w:rPr>
      </w:pPr>
      <w:r>
        <w:rPr>
          <w:rFonts w:cs="Arial"/>
          <w:bCs/>
          <w:szCs w:val="20"/>
        </w:rPr>
        <w:lastRenderedPageBreak/>
        <w:t>Service Request Charges</w:t>
      </w:r>
    </w:p>
    <w:tbl>
      <w:tblPr>
        <w:tblStyle w:val="TableGrid0"/>
        <w:tblW w:w="15315" w:type="dxa"/>
        <w:tblInd w:w="-572" w:type="dxa"/>
        <w:tblLayout w:type="fixed"/>
        <w:tblLook w:val="04A0" w:firstRow="1" w:lastRow="0" w:firstColumn="1" w:lastColumn="0" w:noHBand="0" w:noVBand="1"/>
      </w:tblPr>
      <w:tblGrid>
        <w:gridCol w:w="2413"/>
        <w:gridCol w:w="3971"/>
        <w:gridCol w:w="568"/>
        <w:gridCol w:w="567"/>
        <w:gridCol w:w="567"/>
        <w:gridCol w:w="567"/>
        <w:gridCol w:w="567"/>
        <w:gridCol w:w="567"/>
        <w:gridCol w:w="709"/>
        <w:gridCol w:w="708"/>
        <w:gridCol w:w="709"/>
        <w:gridCol w:w="851"/>
        <w:gridCol w:w="1275"/>
        <w:gridCol w:w="1276"/>
      </w:tblGrid>
      <w:tr w:rsidR="00283998" w14:paraId="76BF31C9" w14:textId="77777777" w:rsidTr="00F8677C">
        <w:trPr>
          <w:cantSplit/>
          <w:trHeight w:val="1904"/>
          <w:tblHeader/>
        </w:trPr>
        <w:tc>
          <w:tcPr>
            <w:tcW w:w="2413" w:type="dxa"/>
            <w:tcBorders>
              <w:top w:val="single" w:sz="4" w:space="0" w:color="auto"/>
              <w:left w:val="single" w:sz="4" w:space="0" w:color="auto"/>
              <w:bottom w:val="single" w:sz="4" w:space="0" w:color="auto"/>
              <w:right w:val="single" w:sz="4" w:space="0" w:color="auto"/>
            </w:tcBorders>
            <w:vAlign w:val="center"/>
            <w:hideMark/>
          </w:tcPr>
          <w:p w14:paraId="648FE6C8" w14:textId="77777777" w:rsidR="00283998" w:rsidRDefault="00283998">
            <w:pPr>
              <w:ind w:left="0" w:firstLine="0"/>
              <w:jc w:val="center"/>
              <w:rPr>
                <w:rFonts w:ascii="Arial" w:hAnsi="Arial" w:cs="Arial"/>
                <w:b/>
                <w:bCs/>
                <w:sz w:val="20"/>
                <w:szCs w:val="20"/>
              </w:rPr>
            </w:pPr>
            <w:bookmarkStart w:id="2345" w:name="_Hlk82786559"/>
            <w:r>
              <w:rPr>
                <w:rFonts w:ascii="Arial" w:hAnsi="Arial" w:cs="Arial"/>
                <w:b/>
                <w:bCs/>
                <w:sz w:val="20"/>
                <w:szCs w:val="20"/>
              </w:rPr>
              <w:t>Service Component Type</w:t>
            </w:r>
          </w:p>
        </w:tc>
        <w:tc>
          <w:tcPr>
            <w:tcW w:w="3971" w:type="dxa"/>
            <w:tcBorders>
              <w:top w:val="single" w:sz="4" w:space="0" w:color="auto"/>
              <w:left w:val="single" w:sz="4" w:space="0" w:color="auto"/>
              <w:bottom w:val="single" w:sz="4" w:space="0" w:color="auto"/>
              <w:right w:val="single" w:sz="4" w:space="0" w:color="auto"/>
            </w:tcBorders>
            <w:vAlign w:val="center"/>
            <w:hideMark/>
          </w:tcPr>
          <w:p w14:paraId="7F957D7D" w14:textId="77777777" w:rsidR="00283998" w:rsidRDefault="00283998">
            <w:pPr>
              <w:ind w:left="0" w:firstLine="0"/>
              <w:jc w:val="center"/>
              <w:rPr>
                <w:rFonts w:ascii="Arial" w:hAnsi="Arial" w:cs="Arial"/>
                <w:b/>
                <w:bCs/>
                <w:sz w:val="20"/>
                <w:szCs w:val="20"/>
              </w:rPr>
            </w:pPr>
            <w:r>
              <w:rPr>
                <w:rFonts w:ascii="Arial" w:hAnsi="Arial" w:cs="Arial"/>
                <w:b/>
                <w:bCs/>
                <w:sz w:val="20"/>
                <w:szCs w:val="20"/>
              </w:rPr>
              <w:t>Service Request Description</w:t>
            </w:r>
          </w:p>
        </w:tc>
        <w:tc>
          <w:tcPr>
            <w:tcW w:w="568" w:type="dxa"/>
            <w:tcBorders>
              <w:top w:val="single" w:sz="4" w:space="0" w:color="auto"/>
              <w:left w:val="single" w:sz="4" w:space="0" w:color="auto"/>
              <w:bottom w:val="single" w:sz="4" w:space="0" w:color="auto"/>
              <w:right w:val="single" w:sz="4" w:space="0" w:color="auto"/>
            </w:tcBorders>
            <w:textDirection w:val="btLr"/>
            <w:vAlign w:val="center"/>
            <w:hideMark/>
          </w:tcPr>
          <w:p w14:paraId="24FC27C3" w14:textId="77777777" w:rsidR="00283998" w:rsidRDefault="00283998">
            <w:pPr>
              <w:ind w:left="113" w:right="113" w:firstLine="0"/>
              <w:jc w:val="center"/>
              <w:rPr>
                <w:rFonts w:ascii="Arial" w:hAnsi="Arial" w:cs="Arial"/>
                <w:b/>
                <w:bCs/>
                <w:sz w:val="20"/>
                <w:szCs w:val="20"/>
              </w:rPr>
            </w:pPr>
            <w:r>
              <w:rPr>
                <w:rFonts w:ascii="Arial" w:hAnsi="Arial" w:cs="Arial"/>
                <w:b/>
                <w:bCs/>
                <w:sz w:val="20"/>
                <w:szCs w:val="20"/>
              </w:rPr>
              <w:t>Create (S)</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788E2759" w14:textId="77777777" w:rsidR="00283998" w:rsidRDefault="00283998">
            <w:pPr>
              <w:ind w:left="113" w:right="113" w:firstLine="0"/>
              <w:jc w:val="center"/>
              <w:rPr>
                <w:rFonts w:ascii="Arial" w:hAnsi="Arial" w:cs="Arial"/>
                <w:b/>
                <w:bCs/>
                <w:sz w:val="20"/>
                <w:szCs w:val="20"/>
              </w:rPr>
            </w:pPr>
            <w:proofErr w:type="spellStart"/>
            <w:r>
              <w:rPr>
                <w:rFonts w:ascii="Arial" w:hAnsi="Arial" w:cs="Arial"/>
                <w:b/>
                <w:bCs/>
                <w:sz w:val="20"/>
                <w:szCs w:val="20"/>
              </w:rPr>
              <w:t>Iate</w:t>
            </w:r>
            <w:proofErr w:type="spellEnd"/>
            <w:r>
              <w:rPr>
                <w:rFonts w:ascii="Arial" w:hAnsi="Arial" w:cs="Arial"/>
                <w:b/>
                <w:bCs/>
                <w:sz w:val="20"/>
                <w:szCs w:val="20"/>
              </w:rPr>
              <w:t xml:space="preserve"> (M)</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0088746D" w14:textId="77777777" w:rsidR="00283998" w:rsidRDefault="00283998">
            <w:pPr>
              <w:ind w:left="113" w:right="113" w:firstLine="0"/>
              <w:jc w:val="center"/>
              <w:rPr>
                <w:rFonts w:ascii="Arial" w:hAnsi="Arial" w:cs="Arial"/>
                <w:b/>
                <w:bCs/>
                <w:sz w:val="20"/>
                <w:szCs w:val="20"/>
              </w:rPr>
            </w:pPr>
            <w:r>
              <w:rPr>
                <w:rFonts w:ascii="Arial" w:hAnsi="Arial" w:cs="Arial"/>
                <w:b/>
                <w:bCs/>
                <w:sz w:val="20"/>
                <w:szCs w:val="20"/>
              </w:rPr>
              <w:t>Create (C)</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0DE72D14" w14:textId="77777777" w:rsidR="00283998" w:rsidRDefault="00283998">
            <w:pPr>
              <w:ind w:left="113" w:right="113" w:firstLine="0"/>
              <w:jc w:val="center"/>
              <w:rPr>
                <w:rFonts w:ascii="Arial" w:hAnsi="Arial" w:cs="Arial"/>
                <w:b/>
                <w:bCs/>
                <w:sz w:val="20"/>
                <w:szCs w:val="20"/>
              </w:rPr>
            </w:pPr>
            <w:r>
              <w:rPr>
                <w:rFonts w:ascii="Arial" w:hAnsi="Arial" w:cs="Arial"/>
                <w:b/>
                <w:bCs/>
                <w:sz w:val="20"/>
                <w:szCs w:val="20"/>
              </w:rPr>
              <w:t>Modify (S)</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78B90392" w14:textId="77777777" w:rsidR="00283998" w:rsidRDefault="00283998">
            <w:pPr>
              <w:ind w:left="5" w:right="113" w:firstLine="108"/>
              <w:jc w:val="center"/>
              <w:rPr>
                <w:rFonts w:ascii="Arial" w:hAnsi="Arial" w:cs="Arial"/>
                <w:b/>
                <w:bCs/>
                <w:sz w:val="20"/>
                <w:szCs w:val="20"/>
              </w:rPr>
            </w:pPr>
            <w:proofErr w:type="spellStart"/>
            <w:r>
              <w:rPr>
                <w:rFonts w:ascii="Arial" w:hAnsi="Arial" w:cs="Arial"/>
                <w:b/>
                <w:bCs/>
                <w:sz w:val="20"/>
                <w:szCs w:val="20"/>
              </w:rPr>
              <w:t>Idify</w:t>
            </w:r>
            <w:proofErr w:type="spellEnd"/>
            <w:r>
              <w:rPr>
                <w:rFonts w:ascii="Arial" w:hAnsi="Arial" w:cs="Arial"/>
                <w:b/>
                <w:bCs/>
                <w:sz w:val="20"/>
                <w:szCs w:val="20"/>
              </w:rPr>
              <w:t xml:space="preserve"> (M)</w:t>
            </w:r>
          </w:p>
        </w:tc>
        <w:tc>
          <w:tcPr>
            <w:tcW w:w="567" w:type="dxa"/>
            <w:tcBorders>
              <w:top w:val="single" w:sz="4" w:space="0" w:color="auto"/>
              <w:left w:val="single" w:sz="4" w:space="0" w:color="auto"/>
              <w:bottom w:val="single" w:sz="4" w:space="0" w:color="auto"/>
              <w:right w:val="single" w:sz="4" w:space="0" w:color="auto"/>
            </w:tcBorders>
            <w:textDirection w:val="btLr"/>
            <w:vAlign w:val="center"/>
            <w:hideMark/>
          </w:tcPr>
          <w:p w14:paraId="6CCB034A" w14:textId="77777777" w:rsidR="00283998" w:rsidRDefault="00283998">
            <w:pPr>
              <w:ind w:left="113" w:right="113" w:firstLine="0"/>
              <w:jc w:val="center"/>
              <w:rPr>
                <w:rFonts w:ascii="Arial" w:hAnsi="Arial" w:cs="Arial"/>
                <w:b/>
                <w:bCs/>
                <w:sz w:val="20"/>
                <w:szCs w:val="20"/>
              </w:rPr>
            </w:pPr>
            <w:r>
              <w:rPr>
                <w:rFonts w:ascii="Arial" w:hAnsi="Arial" w:cs="Arial"/>
                <w:b/>
                <w:bCs/>
                <w:sz w:val="20"/>
                <w:szCs w:val="20"/>
              </w:rPr>
              <w:t>Modify (C)</w:t>
            </w:r>
          </w:p>
        </w:tc>
        <w:tc>
          <w:tcPr>
            <w:tcW w:w="709" w:type="dxa"/>
            <w:tcBorders>
              <w:top w:val="single" w:sz="4" w:space="0" w:color="auto"/>
              <w:left w:val="single" w:sz="4" w:space="0" w:color="auto"/>
              <w:bottom w:val="single" w:sz="4" w:space="0" w:color="auto"/>
              <w:right w:val="single" w:sz="4" w:space="0" w:color="auto"/>
            </w:tcBorders>
            <w:textDirection w:val="btLr"/>
            <w:vAlign w:val="center"/>
            <w:hideMark/>
          </w:tcPr>
          <w:p w14:paraId="434A313B" w14:textId="77777777" w:rsidR="00283998" w:rsidRDefault="00283998">
            <w:pPr>
              <w:ind w:left="113" w:right="113" w:firstLine="0"/>
              <w:jc w:val="center"/>
              <w:rPr>
                <w:rFonts w:ascii="Arial" w:hAnsi="Arial" w:cs="Arial"/>
                <w:b/>
                <w:bCs/>
                <w:sz w:val="20"/>
                <w:szCs w:val="20"/>
              </w:rPr>
            </w:pPr>
            <w:r>
              <w:rPr>
                <w:rFonts w:ascii="Arial" w:hAnsi="Arial" w:cs="Arial"/>
                <w:b/>
                <w:bCs/>
                <w:sz w:val="20"/>
                <w:szCs w:val="20"/>
              </w:rPr>
              <w:t>Decommission (S)</w:t>
            </w:r>
          </w:p>
        </w:tc>
        <w:tc>
          <w:tcPr>
            <w:tcW w:w="708" w:type="dxa"/>
            <w:tcBorders>
              <w:top w:val="single" w:sz="4" w:space="0" w:color="auto"/>
              <w:left w:val="single" w:sz="4" w:space="0" w:color="auto"/>
              <w:bottom w:val="single" w:sz="4" w:space="0" w:color="auto"/>
              <w:right w:val="single" w:sz="4" w:space="0" w:color="auto"/>
            </w:tcBorders>
            <w:textDirection w:val="btLr"/>
            <w:vAlign w:val="center"/>
            <w:hideMark/>
          </w:tcPr>
          <w:p w14:paraId="104F8E4F" w14:textId="77777777" w:rsidR="00283998" w:rsidRDefault="00283998">
            <w:pPr>
              <w:ind w:left="113" w:right="113" w:firstLine="0"/>
              <w:jc w:val="center"/>
              <w:rPr>
                <w:rFonts w:ascii="Arial" w:hAnsi="Arial" w:cs="Arial"/>
                <w:b/>
                <w:bCs/>
                <w:sz w:val="20"/>
                <w:szCs w:val="20"/>
              </w:rPr>
            </w:pPr>
            <w:proofErr w:type="spellStart"/>
            <w:r>
              <w:rPr>
                <w:rFonts w:ascii="Arial" w:hAnsi="Arial" w:cs="Arial"/>
                <w:b/>
                <w:bCs/>
                <w:sz w:val="20"/>
                <w:szCs w:val="20"/>
              </w:rPr>
              <w:t>DecommisIn</w:t>
            </w:r>
            <w:proofErr w:type="spellEnd"/>
            <w:r>
              <w:rPr>
                <w:rFonts w:ascii="Arial" w:hAnsi="Arial" w:cs="Arial"/>
                <w:b/>
                <w:bCs/>
                <w:sz w:val="20"/>
                <w:szCs w:val="20"/>
              </w:rPr>
              <w:t xml:space="preserve"> (M)</w:t>
            </w:r>
          </w:p>
        </w:tc>
        <w:tc>
          <w:tcPr>
            <w:tcW w:w="709" w:type="dxa"/>
            <w:tcBorders>
              <w:top w:val="single" w:sz="4" w:space="0" w:color="auto"/>
              <w:left w:val="single" w:sz="4" w:space="0" w:color="auto"/>
              <w:bottom w:val="single" w:sz="4" w:space="0" w:color="auto"/>
              <w:right w:val="single" w:sz="4" w:space="0" w:color="auto"/>
            </w:tcBorders>
            <w:textDirection w:val="btLr"/>
            <w:vAlign w:val="center"/>
            <w:hideMark/>
          </w:tcPr>
          <w:p w14:paraId="5713396D" w14:textId="77777777" w:rsidR="00283998" w:rsidRDefault="00283998">
            <w:pPr>
              <w:ind w:left="113" w:right="113" w:firstLine="0"/>
              <w:jc w:val="center"/>
              <w:rPr>
                <w:rFonts w:ascii="Arial" w:hAnsi="Arial" w:cs="Arial"/>
                <w:b/>
                <w:bCs/>
                <w:sz w:val="20"/>
                <w:szCs w:val="20"/>
              </w:rPr>
            </w:pPr>
            <w:r>
              <w:rPr>
                <w:rFonts w:ascii="Arial" w:hAnsi="Arial" w:cs="Arial"/>
                <w:b/>
                <w:bCs/>
                <w:sz w:val="20"/>
                <w:szCs w:val="20"/>
              </w:rPr>
              <w:t>Decommission (C)</w:t>
            </w:r>
          </w:p>
        </w:tc>
        <w:tc>
          <w:tcPr>
            <w:tcW w:w="851" w:type="dxa"/>
            <w:tcBorders>
              <w:top w:val="single" w:sz="4" w:space="0" w:color="auto"/>
              <w:left w:val="single" w:sz="4" w:space="0" w:color="auto"/>
              <w:bottom w:val="single" w:sz="4" w:space="0" w:color="auto"/>
              <w:right w:val="single" w:sz="4" w:space="0" w:color="auto"/>
            </w:tcBorders>
            <w:textDirection w:val="btLr"/>
            <w:vAlign w:val="center"/>
            <w:hideMark/>
          </w:tcPr>
          <w:p w14:paraId="178EE471" w14:textId="77777777" w:rsidR="00283998" w:rsidRDefault="00283998">
            <w:pPr>
              <w:ind w:left="113" w:right="113" w:firstLine="0"/>
              <w:jc w:val="center"/>
              <w:rPr>
                <w:rFonts w:ascii="Arial" w:hAnsi="Arial" w:cs="Arial"/>
                <w:b/>
                <w:bCs/>
                <w:sz w:val="20"/>
                <w:szCs w:val="20"/>
              </w:rPr>
            </w:pPr>
            <w:proofErr w:type="gramStart"/>
            <w:r>
              <w:rPr>
                <w:rFonts w:ascii="Arial" w:hAnsi="Arial" w:cs="Arial"/>
                <w:b/>
                <w:bCs/>
                <w:sz w:val="20"/>
                <w:szCs w:val="20"/>
              </w:rPr>
              <w:t>Non Service</w:t>
            </w:r>
            <w:proofErr w:type="gramEnd"/>
            <w:r>
              <w:rPr>
                <w:rFonts w:ascii="Arial" w:hAnsi="Arial" w:cs="Arial"/>
                <w:b/>
                <w:bCs/>
                <w:sz w:val="20"/>
                <w:szCs w:val="20"/>
              </w:rPr>
              <w:t xml:space="preserve"> Component Request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FDE6E5C" w14:textId="77777777" w:rsidR="00283998" w:rsidRDefault="00283998">
            <w:pPr>
              <w:ind w:left="0" w:firstLine="0"/>
              <w:jc w:val="center"/>
              <w:rPr>
                <w:rFonts w:ascii="Arial" w:hAnsi="Arial" w:cs="Arial"/>
                <w:b/>
                <w:bCs/>
                <w:sz w:val="20"/>
                <w:szCs w:val="20"/>
              </w:rPr>
            </w:pPr>
            <w:r>
              <w:rPr>
                <w:rFonts w:ascii="Arial" w:hAnsi="Arial" w:cs="Arial"/>
                <w:b/>
                <w:bCs/>
                <w:sz w:val="20"/>
                <w:szCs w:val="20"/>
              </w:rPr>
              <w:t>Additional Request Charge</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33C98CF" w14:textId="77777777" w:rsidR="00283998" w:rsidRDefault="00283998">
            <w:pPr>
              <w:ind w:left="0" w:firstLine="0"/>
              <w:jc w:val="center"/>
              <w:rPr>
                <w:rFonts w:ascii="Arial" w:hAnsi="Arial" w:cs="Arial"/>
                <w:b/>
                <w:bCs/>
                <w:sz w:val="20"/>
                <w:szCs w:val="20"/>
              </w:rPr>
            </w:pPr>
            <w:r>
              <w:rPr>
                <w:rFonts w:ascii="Arial" w:hAnsi="Arial" w:cs="Arial"/>
                <w:b/>
                <w:bCs/>
                <w:sz w:val="20"/>
                <w:szCs w:val="20"/>
              </w:rPr>
              <w:t>Critical Response Charge</w:t>
            </w:r>
          </w:p>
        </w:tc>
        <w:bookmarkEnd w:id="2345"/>
      </w:tr>
      <w:tr w:rsidR="00283998" w14:paraId="461D78D8" w14:textId="77777777" w:rsidTr="00F8677C">
        <w:trPr>
          <w:trHeight w:val="510"/>
        </w:trPr>
        <w:tc>
          <w:tcPr>
            <w:tcW w:w="2413" w:type="dxa"/>
            <w:tcBorders>
              <w:top w:val="single" w:sz="4" w:space="0" w:color="auto"/>
              <w:left w:val="single" w:sz="4" w:space="0" w:color="auto"/>
              <w:bottom w:val="single" w:sz="4" w:space="0" w:color="auto"/>
              <w:right w:val="single" w:sz="4" w:space="0" w:color="auto"/>
            </w:tcBorders>
            <w:hideMark/>
          </w:tcPr>
          <w:p w14:paraId="1FE5DE23" w14:textId="77777777" w:rsidR="00283998" w:rsidRDefault="00283998">
            <w:pPr>
              <w:ind w:left="0" w:firstLine="0"/>
              <w:rPr>
                <w:rFonts w:ascii="Arial" w:hAnsi="Arial" w:cs="Arial"/>
                <w:b/>
                <w:bCs/>
                <w:sz w:val="20"/>
                <w:szCs w:val="20"/>
              </w:rPr>
            </w:pPr>
            <w:r>
              <w:rPr>
                <w:rFonts w:ascii="Arial" w:hAnsi="Arial" w:cs="Arial"/>
                <w:b/>
                <w:bCs/>
                <w:sz w:val="20"/>
                <w:szCs w:val="20"/>
              </w:rPr>
              <w:t>Maximum Volume Requests (per month)</w:t>
            </w:r>
          </w:p>
        </w:tc>
        <w:tc>
          <w:tcPr>
            <w:tcW w:w="3971" w:type="dxa"/>
            <w:tcBorders>
              <w:top w:val="single" w:sz="4" w:space="0" w:color="auto"/>
              <w:left w:val="single" w:sz="4" w:space="0" w:color="auto"/>
              <w:bottom w:val="single" w:sz="4" w:space="0" w:color="auto"/>
              <w:right w:val="single" w:sz="4" w:space="0" w:color="auto"/>
            </w:tcBorders>
            <w:hideMark/>
          </w:tcPr>
          <w:p w14:paraId="5087B0C4" w14:textId="77777777" w:rsidR="00283998" w:rsidRDefault="00283998">
            <w:pPr>
              <w:jc w:val="center"/>
              <w:rPr>
                <w:rFonts w:ascii="Arial" w:hAnsi="Arial" w:cs="Arial"/>
                <w:b/>
                <w:bCs/>
                <w:sz w:val="20"/>
                <w:szCs w:val="20"/>
              </w:rPr>
            </w:pPr>
            <w:r>
              <w:rPr>
                <w:rFonts w:ascii="Arial" w:hAnsi="Arial" w:cs="Arial"/>
                <w:b/>
                <w:bCs/>
                <w:sz w:val="20"/>
                <w:szCs w:val="20"/>
              </w:rPr>
              <w:t>NA</w:t>
            </w:r>
          </w:p>
        </w:tc>
        <w:tc>
          <w:tcPr>
            <w:tcW w:w="568" w:type="dxa"/>
            <w:tcBorders>
              <w:top w:val="single" w:sz="4" w:space="0" w:color="auto"/>
              <w:left w:val="single" w:sz="4" w:space="0" w:color="auto"/>
              <w:bottom w:val="single" w:sz="4" w:space="0" w:color="auto"/>
              <w:right w:val="single" w:sz="4" w:space="0" w:color="auto"/>
            </w:tcBorders>
            <w:hideMark/>
          </w:tcPr>
          <w:p w14:paraId="0095370F" w14:textId="77777777" w:rsidR="00283998" w:rsidRDefault="00283998">
            <w:pPr>
              <w:jc w:val="center"/>
              <w:rPr>
                <w:rFonts w:ascii="Arial" w:hAnsi="Arial" w:cs="Arial"/>
                <w:b/>
                <w:bCs/>
                <w:sz w:val="20"/>
                <w:szCs w:val="20"/>
              </w:rPr>
            </w:pPr>
            <w:r>
              <w:rPr>
                <w:rFonts w:ascii="Arial" w:hAnsi="Arial" w:cs="Arial"/>
                <w:b/>
                <w:bCs/>
                <w:sz w:val="20"/>
                <w:szCs w:val="20"/>
              </w:rPr>
              <w:t>100</w:t>
            </w:r>
          </w:p>
        </w:tc>
        <w:tc>
          <w:tcPr>
            <w:tcW w:w="567" w:type="dxa"/>
            <w:tcBorders>
              <w:top w:val="single" w:sz="4" w:space="0" w:color="auto"/>
              <w:left w:val="single" w:sz="4" w:space="0" w:color="auto"/>
              <w:bottom w:val="single" w:sz="4" w:space="0" w:color="auto"/>
              <w:right w:val="single" w:sz="4" w:space="0" w:color="auto"/>
            </w:tcBorders>
            <w:hideMark/>
          </w:tcPr>
          <w:p w14:paraId="776DE47B" w14:textId="77777777" w:rsidR="00283998" w:rsidRDefault="00283998">
            <w:pPr>
              <w:jc w:val="center"/>
              <w:rPr>
                <w:rFonts w:ascii="Arial" w:hAnsi="Arial" w:cs="Arial"/>
                <w:b/>
                <w:bCs/>
                <w:sz w:val="20"/>
                <w:szCs w:val="20"/>
              </w:rPr>
            </w:pPr>
            <w:r>
              <w:rPr>
                <w:rFonts w:ascii="Arial" w:hAnsi="Arial" w:cs="Arial"/>
                <w:b/>
                <w:bCs/>
                <w:sz w:val="20"/>
                <w:szCs w:val="20"/>
              </w:rPr>
              <w:t>30</w:t>
            </w:r>
          </w:p>
        </w:tc>
        <w:tc>
          <w:tcPr>
            <w:tcW w:w="567" w:type="dxa"/>
            <w:tcBorders>
              <w:top w:val="single" w:sz="4" w:space="0" w:color="auto"/>
              <w:left w:val="single" w:sz="4" w:space="0" w:color="auto"/>
              <w:bottom w:val="single" w:sz="4" w:space="0" w:color="auto"/>
              <w:right w:val="single" w:sz="4" w:space="0" w:color="auto"/>
            </w:tcBorders>
            <w:hideMark/>
          </w:tcPr>
          <w:p w14:paraId="4DE33F11" w14:textId="77777777" w:rsidR="00283998" w:rsidRDefault="00283998">
            <w:pPr>
              <w:jc w:val="center"/>
              <w:rPr>
                <w:rFonts w:ascii="Arial" w:hAnsi="Arial" w:cs="Arial"/>
                <w:b/>
                <w:bCs/>
                <w:sz w:val="20"/>
                <w:szCs w:val="20"/>
              </w:rPr>
            </w:pPr>
            <w:r>
              <w:rPr>
                <w:rFonts w:ascii="Arial" w:hAnsi="Arial" w:cs="Arial"/>
                <w:b/>
                <w:bCs/>
                <w:sz w:val="20"/>
                <w:szCs w:val="20"/>
              </w:rPr>
              <w:t>5</w:t>
            </w:r>
          </w:p>
        </w:tc>
        <w:tc>
          <w:tcPr>
            <w:tcW w:w="567" w:type="dxa"/>
            <w:tcBorders>
              <w:top w:val="single" w:sz="4" w:space="0" w:color="auto"/>
              <w:left w:val="single" w:sz="4" w:space="0" w:color="auto"/>
              <w:bottom w:val="single" w:sz="4" w:space="0" w:color="auto"/>
              <w:right w:val="single" w:sz="4" w:space="0" w:color="auto"/>
            </w:tcBorders>
            <w:hideMark/>
          </w:tcPr>
          <w:p w14:paraId="21F74246" w14:textId="77777777" w:rsidR="00283998" w:rsidRDefault="00283998">
            <w:pPr>
              <w:jc w:val="center"/>
              <w:rPr>
                <w:rFonts w:ascii="Arial" w:hAnsi="Arial" w:cs="Arial"/>
                <w:b/>
                <w:bCs/>
                <w:sz w:val="20"/>
                <w:szCs w:val="20"/>
              </w:rPr>
            </w:pPr>
            <w:r>
              <w:rPr>
                <w:rFonts w:ascii="Arial" w:hAnsi="Arial" w:cs="Arial"/>
                <w:b/>
                <w:bCs/>
                <w:sz w:val="20"/>
                <w:szCs w:val="20"/>
              </w:rPr>
              <w:t>250</w:t>
            </w:r>
          </w:p>
        </w:tc>
        <w:tc>
          <w:tcPr>
            <w:tcW w:w="567" w:type="dxa"/>
            <w:tcBorders>
              <w:top w:val="single" w:sz="4" w:space="0" w:color="auto"/>
              <w:left w:val="single" w:sz="4" w:space="0" w:color="auto"/>
              <w:bottom w:val="single" w:sz="4" w:space="0" w:color="auto"/>
              <w:right w:val="single" w:sz="4" w:space="0" w:color="auto"/>
            </w:tcBorders>
            <w:hideMark/>
          </w:tcPr>
          <w:p w14:paraId="25B63BC4" w14:textId="77777777" w:rsidR="00283998" w:rsidRDefault="00283998">
            <w:pPr>
              <w:jc w:val="center"/>
              <w:rPr>
                <w:rFonts w:ascii="Arial" w:hAnsi="Arial" w:cs="Arial"/>
                <w:b/>
                <w:bCs/>
                <w:sz w:val="20"/>
                <w:szCs w:val="20"/>
              </w:rPr>
            </w:pPr>
            <w:r>
              <w:rPr>
                <w:rFonts w:ascii="Arial" w:hAnsi="Arial" w:cs="Arial"/>
                <w:b/>
                <w:bCs/>
                <w:sz w:val="20"/>
                <w:szCs w:val="20"/>
              </w:rPr>
              <w:t>80</w:t>
            </w:r>
          </w:p>
        </w:tc>
        <w:tc>
          <w:tcPr>
            <w:tcW w:w="567" w:type="dxa"/>
            <w:tcBorders>
              <w:top w:val="single" w:sz="4" w:space="0" w:color="auto"/>
              <w:left w:val="single" w:sz="4" w:space="0" w:color="auto"/>
              <w:bottom w:val="single" w:sz="4" w:space="0" w:color="auto"/>
              <w:right w:val="single" w:sz="4" w:space="0" w:color="auto"/>
            </w:tcBorders>
            <w:hideMark/>
          </w:tcPr>
          <w:p w14:paraId="5B1F9ADA" w14:textId="77777777" w:rsidR="00283998" w:rsidRDefault="00283998">
            <w:pPr>
              <w:jc w:val="center"/>
              <w:rPr>
                <w:rFonts w:ascii="Arial" w:hAnsi="Arial" w:cs="Arial"/>
                <w:b/>
                <w:bCs/>
                <w:sz w:val="20"/>
                <w:szCs w:val="20"/>
              </w:rPr>
            </w:pPr>
            <w:r>
              <w:rPr>
                <w:rFonts w:ascii="Arial" w:hAnsi="Arial" w:cs="Arial"/>
                <w:b/>
                <w:bCs/>
                <w:sz w:val="20"/>
                <w:szCs w:val="20"/>
              </w:rPr>
              <w:t>5</w:t>
            </w:r>
          </w:p>
        </w:tc>
        <w:tc>
          <w:tcPr>
            <w:tcW w:w="709" w:type="dxa"/>
            <w:tcBorders>
              <w:top w:val="single" w:sz="4" w:space="0" w:color="auto"/>
              <w:left w:val="single" w:sz="4" w:space="0" w:color="auto"/>
              <w:bottom w:val="single" w:sz="4" w:space="0" w:color="auto"/>
              <w:right w:val="single" w:sz="4" w:space="0" w:color="auto"/>
            </w:tcBorders>
            <w:hideMark/>
          </w:tcPr>
          <w:p w14:paraId="6684966D" w14:textId="77777777" w:rsidR="00283998" w:rsidRDefault="00283998">
            <w:pPr>
              <w:jc w:val="center"/>
              <w:rPr>
                <w:rFonts w:ascii="Arial" w:hAnsi="Arial" w:cs="Arial"/>
                <w:b/>
                <w:bCs/>
                <w:sz w:val="20"/>
                <w:szCs w:val="20"/>
              </w:rPr>
            </w:pPr>
            <w:r>
              <w:rPr>
                <w:rFonts w:ascii="Arial" w:hAnsi="Arial" w:cs="Arial"/>
                <w:b/>
                <w:bCs/>
                <w:sz w:val="20"/>
                <w:szCs w:val="20"/>
              </w:rPr>
              <w:t>100</w:t>
            </w:r>
          </w:p>
        </w:tc>
        <w:tc>
          <w:tcPr>
            <w:tcW w:w="708" w:type="dxa"/>
            <w:tcBorders>
              <w:top w:val="single" w:sz="4" w:space="0" w:color="auto"/>
              <w:left w:val="single" w:sz="4" w:space="0" w:color="auto"/>
              <w:bottom w:val="single" w:sz="4" w:space="0" w:color="auto"/>
              <w:right w:val="single" w:sz="4" w:space="0" w:color="auto"/>
            </w:tcBorders>
            <w:hideMark/>
          </w:tcPr>
          <w:p w14:paraId="078BCFC2" w14:textId="77777777" w:rsidR="00283998" w:rsidRDefault="00283998">
            <w:pPr>
              <w:jc w:val="center"/>
              <w:rPr>
                <w:rFonts w:ascii="Arial" w:hAnsi="Arial" w:cs="Arial"/>
                <w:b/>
                <w:bCs/>
                <w:sz w:val="20"/>
                <w:szCs w:val="20"/>
              </w:rPr>
            </w:pPr>
            <w:r>
              <w:rPr>
                <w:rFonts w:ascii="Arial" w:hAnsi="Arial" w:cs="Arial"/>
                <w:b/>
                <w:bCs/>
                <w:sz w:val="20"/>
                <w:szCs w:val="20"/>
              </w:rPr>
              <w:t>30</w:t>
            </w:r>
          </w:p>
        </w:tc>
        <w:tc>
          <w:tcPr>
            <w:tcW w:w="709" w:type="dxa"/>
            <w:tcBorders>
              <w:top w:val="single" w:sz="4" w:space="0" w:color="auto"/>
              <w:left w:val="single" w:sz="4" w:space="0" w:color="auto"/>
              <w:bottom w:val="single" w:sz="4" w:space="0" w:color="auto"/>
              <w:right w:val="single" w:sz="4" w:space="0" w:color="auto"/>
            </w:tcBorders>
            <w:hideMark/>
          </w:tcPr>
          <w:p w14:paraId="19ADF821" w14:textId="77777777" w:rsidR="00283998" w:rsidRDefault="00283998">
            <w:pPr>
              <w:jc w:val="center"/>
              <w:rPr>
                <w:rFonts w:ascii="Arial" w:hAnsi="Arial" w:cs="Arial"/>
                <w:b/>
                <w:bCs/>
                <w:sz w:val="20"/>
                <w:szCs w:val="20"/>
              </w:rPr>
            </w:pPr>
            <w:r>
              <w:rPr>
                <w:rFonts w:ascii="Arial" w:hAnsi="Arial" w:cs="Arial"/>
                <w:b/>
                <w:bCs/>
                <w:sz w:val="20"/>
                <w:szCs w:val="20"/>
              </w:rPr>
              <w:t>5</w:t>
            </w:r>
          </w:p>
        </w:tc>
        <w:tc>
          <w:tcPr>
            <w:tcW w:w="851" w:type="dxa"/>
            <w:tcBorders>
              <w:top w:val="single" w:sz="4" w:space="0" w:color="auto"/>
              <w:left w:val="single" w:sz="4" w:space="0" w:color="auto"/>
              <w:bottom w:val="single" w:sz="4" w:space="0" w:color="auto"/>
              <w:right w:val="single" w:sz="4" w:space="0" w:color="auto"/>
            </w:tcBorders>
            <w:hideMark/>
          </w:tcPr>
          <w:p w14:paraId="4214DBBC" w14:textId="77777777" w:rsidR="00283998" w:rsidRDefault="00283998">
            <w:pPr>
              <w:jc w:val="center"/>
              <w:rPr>
                <w:rFonts w:ascii="Arial" w:hAnsi="Arial" w:cs="Arial"/>
                <w:b/>
                <w:bCs/>
                <w:sz w:val="20"/>
                <w:szCs w:val="20"/>
              </w:rPr>
            </w:pPr>
            <w:r>
              <w:rPr>
                <w:rFonts w:ascii="Arial" w:hAnsi="Arial" w:cs="Arial"/>
                <w:b/>
                <w:bCs/>
                <w:sz w:val="20"/>
                <w:szCs w:val="20"/>
              </w:rPr>
              <w:t>20</w:t>
            </w:r>
          </w:p>
        </w:tc>
        <w:tc>
          <w:tcPr>
            <w:tcW w:w="1275" w:type="dxa"/>
            <w:tcBorders>
              <w:top w:val="single" w:sz="4" w:space="0" w:color="auto"/>
              <w:left w:val="single" w:sz="4" w:space="0" w:color="auto"/>
              <w:bottom w:val="single" w:sz="4" w:space="0" w:color="auto"/>
              <w:right w:val="single" w:sz="4" w:space="0" w:color="auto"/>
            </w:tcBorders>
            <w:hideMark/>
          </w:tcPr>
          <w:p w14:paraId="353E9BA8" w14:textId="77777777" w:rsidR="00283998" w:rsidRDefault="00283998">
            <w:pPr>
              <w:rPr>
                <w:rFonts w:ascii="Arial" w:hAnsi="Arial" w:cs="Arial"/>
                <w:b/>
                <w:bCs/>
                <w:sz w:val="20"/>
                <w:szCs w:val="20"/>
              </w:rPr>
            </w:pPr>
          </w:p>
        </w:tc>
        <w:tc>
          <w:tcPr>
            <w:tcW w:w="1276" w:type="dxa"/>
            <w:tcBorders>
              <w:top w:val="single" w:sz="4" w:space="0" w:color="auto"/>
              <w:left w:val="single" w:sz="4" w:space="0" w:color="auto"/>
              <w:bottom w:val="single" w:sz="4" w:space="0" w:color="auto"/>
              <w:right w:val="single" w:sz="4" w:space="0" w:color="auto"/>
            </w:tcBorders>
            <w:hideMark/>
          </w:tcPr>
          <w:p w14:paraId="3DE64623" w14:textId="77777777" w:rsidR="00283998" w:rsidRDefault="00283998">
            <w:pPr>
              <w:spacing w:after="0"/>
              <w:ind w:left="0"/>
              <w:rPr>
                <w:rFonts w:ascii="Arial" w:eastAsia="Times New Roman" w:hAnsi="Arial" w:cs="Arial"/>
                <w:sz w:val="20"/>
                <w:szCs w:val="20"/>
                <w:lang w:eastAsia="en-GB"/>
              </w:rPr>
            </w:pPr>
          </w:p>
        </w:tc>
      </w:tr>
      <w:tr w:rsidR="00283998" w14:paraId="2170E4FD" w14:textId="77777777" w:rsidTr="00F8677C">
        <w:trPr>
          <w:trHeight w:val="330"/>
        </w:trPr>
        <w:tc>
          <w:tcPr>
            <w:tcW w:w="2413" w:type="dxa"/>
            <w:tcBorders>
              <w:top w:val="single" w:sz="4" w:space="0" w:color="auto"/>
              <w:left w:val="single" w:sz="4" w:space="0" w:color="auto"/>
              <w:bottom w:val="single" w:sz="4" w:space="0" w:color="auto"/>
              <w:right w:val="single" w:sz="4" w:space="0" w:color="auto"/>
            </w:tcBorders>
            <w:hideMark/>
          </w:tcPr>
          <w:p w14:paraId="73B1BEEC" w14:textId="77777777" w:rsidR="00283998" w:rsidRDefault="00283998">
            <w:pPr>
              <w:ind w:left="0" w:right="-114" w:firstLine="0"/>
              <w:jc w:val="left"/>
              <w:rPr>
                <w:rFonts w:ascii="Arial" w:hAnsi="Arial" w:cs="Arial"/>
                <w:bCs/>
                <w:sz w:val="20"/>
                <w:szCs w:val="20"/>
              </w:rPr>
            </w:pPr>
            <w:r>
              <w:rPr>
                <w:rFonts w:ascii="Arial" w:hAnsi="Arial" w:cs="Arial"/>
                <w:bCs/>
                <w:sz w:val="20"/>
                <w:szCs w:val="20"/>
              </w:rPr>
              <w:t>Virtual Server</w:t>
            </w:r>
          </w:p>
        </w:tc>
        <w:tc>
          <w:tcPr>
            <w:tcW w:w="3971" w:type="dxa"/>
            <w:tcBorders>
              <w:top w:val="single" w:sz="4" w:space="0" w:color="auto"/>
              <w:left w:val="single" w:sz="4" w:space="0" w:color="auto"/>
              <w:bottom w:val="single" w:sz="4" w:space="0" w:color="auto"/>
              <w:right w:val="single" w:sz="4" w:space="0" w:color="auto"/>
            </w:tcBorders>
            <w:hideMark/>
          </w:tcPr>
          <w:p w14:paraId="04F65661" w14:textId="77777777" w:rsidR="00283998" w:rsidRDefault="00283998">
            <w:pPr>
              <w:ind w:left="0" w:right="-107" w:firstLine="0"/>
              <w:jc w:val="left"/>
              <w:rPr>
                <w:rFonts w:ascii="Arial" w:hAnsi="Arial" w:cs="Arial"/>
                <w:bCs/>
                <w:sz w:val="20"/>
                <w:szCs w:val="20"/>
              </w:rPr>
            </w:pPr>
            <w:r>
              <w:rPr>
                <w:rFonts w:ascii="Arial" w:hAnsi="Arial" w:cs="Arial"/>
                <w:bCs/>
                <w:sz w:val="20"/>
                <w:szCs w:val="20"/>
              </w:rPr>
              <w:t>Create Virtual Server</w:t>
            </w:r>
          </w:p>
        </w:tc>
        <w:tc>
          <w:tcPr>
            <w:tcW w:w="568" w:type="dxa"/>
            <w:tcBorders>
              <w:top w:val="single" w:sz="4" w:space="0" w:color="auto"/>
              <w:left w:val="single" w:sz="4" w:space="0" w:color="auto"/>
              <w:bottom w:val="single" w:sz="4" w:space="0" w:color="auto"/>
              <w:right w:val="single" w:sz="4" w:space="0" w:color="auto"/>
            </w:tcBorders>
            <w:hideMark/>
          </w:tcPr>
          <w:p w14:paraId="795C776A"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6B5E15D7"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1378CE85"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C979012"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D7ECE83"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4C57ED7"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279FAC57"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33A33BDB"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183C0785"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51F92D51"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5F4C5883" w14:textId="77777777" w:rsidR="00283998" w:rsidRDefault="00283998">
            <w:pPr>
              <w:jc w:val="center"/>
              <w:rPr>
                <w:rFonts w:ascii="Arial" w:hAnsi="Arial" w:cs="Arial"/>
                <w:bCs/>
                <w:sz w:val="20"/>
                <w:szCs w:val="20"/>
              </w:rPr>
            </w:pPr>
            <w:r>
              <w:rPr>
                <w:rFonts w:ascii="Arial" w:hAnsi="Arial" w:cs="Arial"/>
                <w:bCs/>
                <w:sz w:val="20"/>
                <w:szCs w:val="20"/>
              </w:rPr>
              <w:t>80</w:t>
            </w:r>
          </w:p>
        </w:tc>
        <w:tc>
          <w:tcPr>
            <w:tcW w:w="1276" w:type="dxa"/>
            <w:tcBorders>
              <w:top w:val="single" w:sz="4" w:space="0" w:color="auto"/>
              <w:left w:val="single" w:sz="4" w:space="0" w:color="auto"/>
              <w:bottom w:val="single" w:sz="4" w:space="0" w:color="auto"/>
              <w:right w:val="single" w:sz="4" w:space="0" w:color="auto"/>
            </w:tcBorders>
            <w:hideMark/>
          </w:tcPr>
          <w:p w14:paraId="0EEC7C80" w14:textId="77777777" w:rsidR="00283998" w:rsidRDefault="00283998">
            <w:pPr>
              <w:jc w:val="center"/>
              <w:rPr>
                <w:rFonts w:ascii="Arial" w:hAnsi="Arial" w:cs="Arial"/>
                <w:bCs/>
                <w:sz w:val="20"/>
                <w:szCs w:val="20"/>
              </w:rPr>
            </w:pPr>
            <w:r>
              <w:rPr>
                <w:rFonts w:ascii="Arial" w:hAnsi="Arial" w:cs="Arial"/>
                <w:bCs/>
                <w:sz w:val="20"/>
                <w:szCs w:val="20"/>
              </w:rPr>
              <w:t>100</w:t>
            </w:r>
          </w:p>
        </w:tc>
      </w:tr>
      <w:tr w:rsidR="00283998" w14:paraId="35EAD7EE" w14:textId="77777777" w:rsidTr="00F8677C">
        <w:trPr>
          <w:trHeight w:val="313"/>
        </w:trPr>
        <w:tc>
          <w:tcPr>
            <w:tcW w:w="2413" w:type="dxa"/>
            <w:tcBorders>
              <w:top w:val="single" w:sz="4" w:space="0" w:color="auto"/>
              <w:left w:val="single" w:sz="4" w:space="0" w:color="auto"/>
              <w:bottom w:val="single" w:sz="4" w:space="0" w:color="auto"/>
              <w:right w:val="single" w:sz="4" w:space="0" w:color="auto"/>
            </w:tcBorders>
            <w:hideMark/>
          </w:tcPr>
          <w:p w14:paraId="030D7104" w14:textId="77777777" w:rsidR="00283998" w:rsidRDefault="00283998">
            <w:pPr>
              <w:ind w:left="0" w:right="-114" w:firstLine="0"/>
              <w:jc w:val="left"/>
              <w:rPr>
                <w:rFonts w:ascii="Arial" w:hAnsi="Arial" w:cs="Arial"/>
                <w:bCs/>
                <w:sz w:val="20"/>
                <w:szCs w:val="20"/>
              </w:rPr>
            </w:pPr>
            <w:r>
              <w:rPr>
                <w:rFonts w:ascii="Arial" w:hAnsi="Arial" w:cs="Arial"/>
                <w:bCs/>
                <w:sz w:val="20"/>
                <w:szCs w:val="20"/>
              </w:rPr>
              <w:t>Virtual Server</w:t>
            </w:r>
          </w:p>
        </w:tc>
        <w:tc>
          <w:tcPr>
            <w:tcW w:w="3971" w:type="dxa"/>
            <w:tcBorders>
              <w:top w:val="single" w:sz="4" w:space="0" w:color="auto"/>
              <w:left w:val="single" w:sz="4" w:space="0" w:color="auto"/>
              <w:bottom w:val="single" w:sz="4" w:space="0" w:color="auto"/>
              <w:right w:val="single" w:sz="4" w:space="0" w:color="auto"/>
            </w:tcBorders>
            <w:hideMark/>
          </w:tcPr>
          <w:p w14:paraId="35B55549"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Virtual Server Configuration</w:t>
            </w:r>
          </w:p>
        </w:tc>
        <w:tc>
          <w:tcPr>
            <w:tcW w:w="568" w:type="dxa"/>
            <w:tcBorders>
              <w:top w:val="single" w:sz="4" w:space="0" w:color="auto"/>
              <w:left w:val="single" w:sz="4" w:space="0" w:color="auto"/>
              <w:bottom w:val="single" w:sz="4" w:space="0" w:color="auto"/>
              <w:right w:val="single" w:sz="4" w:space="0" w:color="auto"/>
            </w:tcBorders>
            <w:hideMark/>
          </w:tcPr>
          <w:p w14:paraId="08959928"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E215085"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F1AF8FA"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8CE4FA3"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3DD1D843"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36625716"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75B3AB2D"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08BAC26E"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7FC1AAC8"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43C1BD08"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7A7DB7D7"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4402AE70"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3DA96A18" w14:textId="77777777" w:rsidTr="00F8677C">
        <w:trPr>
          <w:trHeight w:val="304"/>
        </w:trPr>
        <w:tc>
          <w:tcPr>
            <w:tcW w:w="2413" w:type="dxa"/>
            <w:tcBorders>
              <w:top w:val="single" w:sz="4" w:space="0" w:color="auto"/>
              <w:left w:val="single" w:sz="4" w:space="0" w:color="auto"/>
              <w:bottom w:val="single" w:sz="4" w:space="0" w:color="auto"/>
              <w:right w:val="single" w:sz="4" w:space="0" w:color="auto"/>
            </w:tcBorders>
            <w:hideMark/>
          </w:tcPr>
          <w:p w14:paraId="0D6A85C1" w14:textId="77777777" w:rsidR="00283998" w:rsidRDefault="00283998">
            <w:pPr>
              <w:ind w:left="0" w:right="-114" w:firstLine="0"/>
              <w:jc w:val="left"/>
              <w:rPr>
                <w:rFonts w:ascii="Arial" w:hAnsi="Arial" w:cs="Arial"/>
                <w:bCs/>
                <w:sz w:val="20"/>
                <w:szCs w:val="20"/>
              </w:rPr>
            </w:pPr>
            <w:r>
              <w:rPr>
                <w:rFonts w:ascii="Arial" w:hAnsi="Arial" w:cs="Arial"/>
                <w:bCs/>
                <w:sz w:val="20"/>
                <w:szCs w:val="20"/>
              </w:rPr>
              <w:t>Virtual Server</w:t>
            </w:r>
          </w:p>
        </w:tc>
        <w:tc>
          <w:tcPr>
            <w:tcW w:w="3971" w:type="dxa"/>
            <w:tcBorders>
              <w:top w:val="single" w:sz="4" w:space="0" w:color="auto"/>
              <w:left w:val="single" w:sz="4" w:space="0" w:color="auto"/>
              <w:bottom w:val="single" w:sz="4" w:space="0" w:color="auto"/>
              <w:right w:val="single" w:sz="4" w:space="0" w:color="auto"/>
            </w:tcBorders>
            <w:hideMark/>
          </w:tcPr>
          <w:p w14:paraId="4A99EABF" w14:textId="77777777" w:rsidR="00283998" w:rsidRDefault="00283998">
            <w:pPr>
              <w:ind w:left="0" w:right="-107" w:firstLine="0"/>
              <w:jc w:val="left"/>
              <w:rPr>
                <w:rFonts w:ascii="Arial" w:hAnsi="Arial" w:cs="Arial"/>
                <w:bCs/>
                <w:sz w:val="20"/>
                <w:szCs w:val="20"/>
              </w:rPr>
            </w:pPr>
            <w:r>
              <w:rPr>
                <w:rFonts w:ascii="Arial" w:hAnsi="Arial" w:cs="Arial"/>
                <w:bCs/>
                <w:sz w:val="20"/>
                <w:szCs w:val="20"/>
              </w:rPr>
              <w:t>Migrate Virtual Server to Virtual Server</w:t>
            </w:r>
          </w:p>
        </w:tc>
        <w:tc>
          <w:tcPr>
            <w:tcW w:w="568" w:type="dxa"/>
            <w:tcBorders>
              <w:top w:val="single" w:sz="4" w:space="0" w:color="auto"/>
              <w:left w:val="single" w:sz="4" w:space="0" w:color="auto"/>
              <w:bottom w:val="single" w:sz="4" w:space="0" w:color="auto"/>
              <w:right w:val="single" w:sz="4" w:space="0" w:color="auto"/>
            </w:tcBorders>
            <w:hideMark/>
          </w:tcPr>
          <w:p w14:paraId="0DCF6C9E"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986AAF5"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6E5976BB"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92CDC31"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4908322C"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5A798AE3"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03D21C8E"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2E9E3141"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05D450E6"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3D304991"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00831A7E" w14:textId="77777777" w:rsidR="00283998" w:rsidRDefault="00283998">
            <w:pPr>
              <w:rPr>
                <w:rFonts w:ascii="Arial" w:hAnsi="Arial" w:cs="Arial"/>
                <w:bCs/>
                <w:sz w:val="20"/>
                <w:szCs w:val="20"/>
              </w:rPr>
            </w:pPr>
            <w:r>
              <w:rPr>
                <w:rFonts w:ascii="Arial" w:hAnsi="Arial" w:cs="Arial"/>
                <w:bCs/>
                <w:sz w:val="20"/>
                <w:szCs w:val="20"/>
              </w:rPr>
              <w:t>Part of Migration</w:t>
            </w:r>
          </w:p>
        </w:tc>
        <w:tc>
          <w:tcPr>
            <w:tcW w:w="1276" w:type="dxa"/>
            <w:tcBorders>
              <w:top w:val="single" w:sz="4" w:space="0" w:color="auto"/>
              <w:left w:val="single" w:sz="4" w:space="0" w:color="auto"/>
              <w:bottom w:val="single" w:sz="4" w:space="0" w:color="auto"/>
              <w:right w:val="single" w:sz="4" w:space="0" w:color="auto"/>
            </w:tcBorders>
            <w:hideMark/>
          </w:tcPr>
          <w:p w14:paraId="409C0CF2" w14:textId="77777777" w:rsidR="00283998" w:rsidRDefault="00283998">
            <w:pPr>
              <w:jc w:val="center"/>
              <w:rPr>
                <w:rFonts w:ascii="Arial" w:hAnsi="Arial" w:cs="Arial"/>
                <w:bCs/>
                <w:sz w:val="20"/>
                <w:szCs w:val="20"/>
              </w:rPr>
            </w:pPr>
            <w:r>
              <w:rPr>
                <w:rFonts w:ascii="Arial" w:hAnsi="Arial" w:cs="Arial"/>
                <w:bCs/>
                <w:sz w:val="20"/>
                <w:szCs w:val="20"/>
              </w:rPr>
              <w:t>Part of Migration</w:t>
            </w:r>
          </w:p>
        </w:tc>
      </w:tr>
      <w:tr w:rsidR="00283998" w14:paraId="295FADC4" w14:textId="77777777" w:rsidTr="00F8677C">
        <w:trPr>
          <w:trHeight w:val="295"/>
        </w:trPr>
        <w:tc>
          <w:tcPr>
            <w:tcW w:w="2413" w:type="dxa"/>
            <w:tcBorders>
              <w:top w:val="single" w:sz="4" w:space="0" w:color="auto"/>
              <w:left w:val="single" w:sz="4" w:space="0" w:color="auto"/>
              <w:bottom w:val="single" w:sz="4" w:space="0" w:color="auto"/>
              <w:right w:val="single" w:sz="4" w:space="0" w:color="auto"/>
            </w:tcBorders>
            <w:hideMark/>
          </w:tcPr>
          <w:p w14:paraId="2757F948" w14:textId="77777777" w:rsidR="00283998" w:rsidRDefault="00283998">
            <w:pPr>
              <w:ind w:left="0" w:right="-114" w:firstLine="0"/>
              <w:jc w:val="left"/>
              <w:rPr>
                <w:rFonts w:ascii="Arial" w:hAnsi="Arial" w:cs="Arial"/>
                <w:bCs/>
                <w:sz w:val="20"/>
                <w:szCs w:val="20"/>
              </w:rPr>
            </w:pPr>
            <w:r>
              <w:rPr>
                <w:rFonts w:ascii="Arial" w:hAnsi="Arial" w:cs="Arial"/>
                <w:bCs/>
                <w:sz w:val="20"/>
                <w:szCs w:val="20"/>
              </w:rPr>
              <w:t>Virtual Server</w:t>
            </w:r>
          </w:p>
        </w:tc>
        <w:tc>
          <w:tcPr>
            <w:tcW w:w="3971" w:type="dxa"/>
            <w:tcBorders>
              <w:top w:val="single" w:sz="4" w:space="0" w:color="auto"/>
              <w:left w:val="single" w:sz="4" w:space="0" w:color="auto"/>
              <w:bottom w:val="single" w:sz="4" w:space="0" w:color="auto"/>
              <w:right w:val="single" w:sz="4" w:space="0" w:color="auto"/>
            </w:tcBorders>
            <w:hideMark/>
          </w:tcPr>
          <w:p w14:paraId="7502FB78" w14:textId="77777777" w:rsidR="00283998" w:rsidRDefault="00283998">
            <w:pPr>
              <w:ind w:left="0" w:right="-107" w:firstLine="0"/>
              <w:jc w:val="left"/>
              <w:rPr>
                <w:rFonts w:ascii="Arial" w:hAnsi="Arial" w:cs="Arial"/>
                <w:bCs/>
                <w:sz w:val="20"/>
                <w:szCs w:val="20"/>
              </w:rPr>
            </w:pPr>
            <w:r>
              <w:rPr>
                <w:rFonts w:ascii="Arial" w:hAnsi="Arial" w:cs="Arial"/>
                <w:bCs/>
                <w:sz w:val="20"/>
                <w:szCs w:val="20"/>
              </w:rPr>
              <w:t xml:space="preserve">Migrate Physical Server to Virtual Server </w:t>
            </w:r>
          </w:p>
        </w:tc>
        <w:tc>
          <w:tcPr>
            <w:tcW w:w="568" w:type="dxa"/>
            <w:tcBorders>
              <w:top w:val="single" w:sz="4" w:space="0" w:color="auto"/>
              <w:left w:val="single" w:sz="4" w:space="0" w:color="auto"/>
              <w:bottom w:val="single" w:sz="4" w:space="0" w:color="auto"/>
              <w:right w:val="single" w:sz="4" w:space="0" w:color="auto"/>
            </w:tcBorders>
            <w:hideMark/>
          </w:tcPr>
          <w:p w14:paraId="0E763344"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799772A"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57D80B2"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ABED87F"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468463F1"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5FFAEC4A"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3847C79F"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34C1F874"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10653DE1"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17039C02"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0084C635" w14:textId="77777777" w:rsidR="00283998" w:rsidRDefault="00283998">
            <w:pPr>
              <w:jc w:val="center"/>
              <w:rPr>
                <w:rFonts w:ascii="Arial" w:hAnsi="Arial" w:cs="Arial"/>
                <w:bCs/>
                <w:sz w:val="20"/>
                <w:szCs w:val="20"/>
              </w:rPr>
            </w:pPr>
            <w:r>
              <w:rPr>
                <w:rFonts w:ascii="Arial" w:hAnsi="Arial" w:cs="Arial"/>
                <w:bCs/>
                <w:sz w:val="20"/>
                <w:szCs w:val="20"/>
              </w:rPr>
              <w:t>Part of Migration</w:t>
            </w:r>
          </w:p>
        </w:tc>
        <w:tc>
          <w:tcPr>
            <w:tcW w:w="1276" w:type="dxa"/>
            <w:tcBorders>
              <w:top w:val="single" w:sz="4" w:space="0" w:color="auto"/>
              <w:left w:val="single" w:sz="4" w:space="0" w:color="auto"/>
              <w:bottom w:val="single" w:sz="4" w:space="0" w:color="auto"/>
              <w:right w:val="single" w:sz="4" w:space="0" w:color="auto"/>
            </w:tcBorders>
            <w:hideMark/>
          </w:tcPr>
          <w:p w14:paraId="00B48BB1" w14:textId="77777777" w:rsidR="00283998" w:rsidRDefault="00283998">
            <w:pPr>
              <w:jc w:val="center"/>
              <w:rPr>
                <w:rFonts w:ascii="Arial" w:hAnsi="Arial" w:cs="Arial"/>
                <w:bCs/>
                <w:sz w:val="20"/>
                <w:szCs w:val="20"/>
              </w:rPr>
            </w:pPr>
            <w:r>
              <w:rPr>
                <w:rFonts w:ascii="Arial" w:hAnsi="Arial" w:cs="Arial"/>
                <w:bCs/>
                <w:sz w:val="20"/>
                <w:szCs w:val="20"/>
              </w:rPr>
              <w:t>Part of Migration</w:t>
            </w:r>
          </w:p>
        </w:tc>
      </w:tr>
      <w:tr w:rsidR="00283998" w14:paraId="227E1D42" w14:textId="77777777" w:rsidTr="00F8677C">
        <w:trPr>
          <w:trHeight w:val="357"/>
        </w:trPr>
        <w:tc>
          <w:tcPr>
            <w:tcW w:w="2413" w:type="dxa"/>
            <w:tcBorders>
              <w:top w:val="single" w:sz="4" w:space="0" w:color="auto"/>
              <w:left w:val="single" w:sz="4" w:space="0" w:color="auto"/>
              <w:bottom w:val="single" w:sz="4" w:space="0" w:color="auto"/>
              <w:right w:val="single" w:sz="4" w:space="0" w:color="auto"/>
            </w:tcBorders>
            <w:hideMark/>
          </w:tcPr>
          <w:p w14:paraId="5699FA79" w14:textId="77777777" w:rsidR="00283998" w:rsidRDefault="00283998">
            <w:pPr>
              <w:ind w:left="0" w:right="-114" w:firstLine="0"/>
              <w:jc w:val="left"/>
              <w:rPr>
                <w:rFonts w:ascii="Arial" w:hAnsi="Arial" w:cs="Arial"/>
                <w:bCs/>
                <w:sz w:val="20"/>
                <w:szCs w:val="20"/>
              </w:rPr>
            </w:pPr>
            <w:r>
              <w:rPr>
                <w:rFonts w:ascii="Arial" w:hAnsi="Arial" w:cs="Arial"/>
                <w:bCs/>
                <w:sz w:val="20"/>
                <w:szCs w:val="20"/>
              </w:rPr>
              <w:t>Virtual Server</w:t>
            </w:r>
          </w:p>
        </w:tc>
        <w:tc>
          <w:tcPr>
            <w:tcW w:w="3971" w:type="dxa"/>
            <w:tcBorders>
              <w:top w:val="single" w:sz="4" w:space="0" w:color="auto"/>
              <w:left w:val="single" w:sz="4" w:space="0" w:color="auto"/>
              <w:bottom w:val="single" w:sz="4" w:space="0" w:color="auto"/>
              <w:right w:val="single" w:sz="4" w:space="0" w:color="auto"/>
            </w:tcBorders>
            <w:hideMark/>
          </w:tcPr>
          <w:p w14:paraId="6C2AE356" w14:textId="77777777" w:rsidR="00283998" w:rsidRDefault="00283998">
            <w:pPr>
              <w:ind w:left="0" w:right="-107" w:firstLine="0"/>
              <w:jc w:val="left"/>
              <w:rPr>
                <w:rFonts w:ascii="Arial" w:hAnsi="Arial" w:cs="Arial"/>
                <w:bCs/>
                <w:sz w:val="20"/>
                <w:szCs w:val="20"/>
              </w:rPr>
            </w:pPr>
            <w:r>
              <w:rPr>
                <w:rFonts w:ascii="Arial" w:hAnsi="Arial" w:cs="Arial"/>
                <w:bCs/>
                <w:sz w:val="20"/>
                <w:szCs w:val="20"/>
              </w:rPr>
              <w:t>Create Virtual Server Snapshot</w:t>
            </w:r>
          </w:p>
        </w:tc>
        <w:tc>
          <w:tcPr>
            <w:tcW w:w="568" w:type="dxa"/>
            <w:tcBorders>
              <w:top w:val="single" w:sz="4" w:space="0" w:color="auto"/>
              <w:left w:val="single" w:sz="4" w:space="0" w:color="auto"/>
              <w:bottom w:val="single" w:sz="4" w:space="0" w:color="auto"/>
              <w:right w:val="single" w:sz="4" w:space="0" w:color="auto"/>
            </w:tcBorders>
            <w:hideMark/>
          </w:tcPr>
          <w:p w14:paraId="446047A3"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CA9198C"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3E45E7D3"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ADB6CEF"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6EEEDA26"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5C33CF07"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4A9A16AF"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14651AEF"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05C6F0C2"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3C0F0337"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26FB2C6C"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0CE4041A"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2B44D59E" w14:textId="77777777" w:rsidTr="00F8677C">
        <w:trPr>
          <w:trHeight w:val="345"/>
        </w:trPr>
        <w:tc>
          <w:tcPr>
            <w:tcW w:w="2413" w:type="dxa"/>
            <w:tcBorders>
              <w:top w:val="single" w:sz="4" w:space="0" w:color="auto"/>
              <w:left w:val="single" w:sz="4" w:space="0" w:color="auto"/>
              <w:bottom w:val="single" w:sz="4" w:space="0" w:color="auto"/>
              <w:right w:val="single" w:sz="4" w:space="0" w:color="auto"/>
            </w:tcBorders>
            <w:hideMark/>
          </w:tcPr>
          <w:p w14:paraId="5B352F36" w14:textId="77777777" w:rsidR="00283998" w:rsidRDefault="00283998">
            <w:pPr>
              <w:ind w:left="0" w:right="-114" w:firstLine="0"/>
              <w:jc w:val="left"/>
              <w:rPr>
                <w:rFonts w:ascii="Arial" w:hAnsi="Arial" w:cs="Arial"/>
                <w:bCs/>
                <w:sz w:val="20"/>
                <w:szCs w:val="20"/>
              </w:rPr>
            </w:pPr>
            <w:r>
              <w:rPr>
                <w:rFonts w:ascii="Arial" w:hAnsi="Arial" w:cs="Arial"/>
                <w:bCs/>
                <w:sz w:val="20"/>
                <w:szCs w:val="20"/>
              </w:rPr>
              <w:t>Virtual Server</w:t>
            </w:r>
          </w:p>
        </w:tc>
        <w:tc>
          <w:tcPr>
            <w:tcW w:w="3971" w:type="dxa"/>
            <w:tcBorders>
              <w:top w:val="single" w:sz="4" w:space="0" w:color="auto"/>
              <w:left w:val="single" w:sz="4" w:space="0" w:color="auto"/>
              <w:bottom w:val="single" w:sz="4" w:space="0" w:color="auto"/>
              <w:right w:val="single" w:sz="4" w:space="0" w:color="auto"/>
            </w:tcBorders>
            <w:hideMark/>
          </w:tcPr>
          <w:p w14:paraId="22611A56" w14:textId="77777777" w:rsidR="00283998" w:rsidRDefault="00283998">
            <w:pPr>
              <w:ind w:left="0" w:right="-107" w:firstLine="0"/>
              <w:jc w:val="left"/>
              <w:rPr>
                <w:rFonts w:ascii="Arial" w:hAnsi="Arial" w:cs="Arial"/>
                <w:bCs/>
                <w:sz w:val="20"/>
                <w:szCs w:val="20"/>
              </w:rPr>
            </w:pPr>
            <w:r>
              <w:rPr>
                <w:rFonts w:ascii="Arial" w:hAnsi="Arial" w:cs="Arial"/>
                <w:bCs/>
                <w:sz w:val="20"/>
                <w:szCs w:val="20"/>
              </w:rPr>
              <w:t>Decommission Virtual Server</w:t>
            </w:r>
          </w:p>
        </w:tc>
        <w:tc>
          <w:tcPr>
            <w:tcW w:w="568" w:type="dxa"/>
            <w:tcBorders>
              <w:top w:val="single" w:sz="4" w:space="0" w:color="auto"/>
              <w:left w:val="single" w:sz="4" w:space="0" w:color="auto"/>
              <w:bottom w:val="single" w:sz="4" w:space="0" w:color="auto"/>
              <w:right w:val="single" w:sz="4" w:space="0" w:color="auto"/>
            </w:tcBorders>
            <w:hideMark/>
          </w:tcPr>
          <w:p w14:paraId="023C286B"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8E735CF"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39083519"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AE9C3F8"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50FCA4C"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9D0B136"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262B11CD" w14:textId="77777777" w:rsidR="00283998" w:rsidRDefault="00283998">
            <w:pPr>
              <w:jc w:val="center"/>
              <w:rPr>
                <w:rFonts w:ascii="Arial" w:hAnsi="Arial" w:cs="Arial"/>
                <w:bCs/>
                <w:sz w:val="20"/>
                <w:szCs w:val="20"/>
              </w:rPr>
            </w:pPr>
            <w:r>
              <w:rPr>
                <w:rFonts w:ascii="Arial" w:hAnsi="Arial" w:cs="Arial"/>
                <w:bCs/>
                <w:sz w:val="20"/>
                <w:szCs w:val="20"/>
              </w:rPr>
              <w:t>X</w:t>
            </w:r>
          </w:p>
        </w:tc>
        <w:tc>
          <w:tcPr>
            <w:tcW w:w="708" w:type="dxa"/>
            <w:tcBorders>
              <w:top w:val="single" w:sz="4" w:space="0" w:color="auto"/>
              <w:left w:val="single" w:sz="4" w:space="0" w:color="auto"/>
              <w:bottom w:val="single" w:sz="4" w:space="0" w:color="auto"/>
              <w:right w:val="single" w:sz="4" w:space="0" w:color="auto"/>
            </w:tcBorders>
            <w:hideMark/>
          </w:tcPr>
          <w:p w14:paraId="5D56AD41" w14:textId="77777777" w:rsidR="00283998" w:rsidRDefault="00283998">
            <w:pP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614170E6"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2695230A"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426DF74C" w14:textId="77777777" w:rsidR="00283998" w:rsidRDefault="00283998">
            <w:pPr>
              <w:jc w:val="center"/>
              <w:rPr>
                <w:rFonts w:ascii="Arial" w:hAnsi="Arial" w:cs="Arial"/>
                <w:bCs/>
                <w:sz w:val="20"/>
                <w:szCs w:val="20"/>
              </w:rPr>
            </w:pPr>
            <w:r>
              <w:rPr>
                <w:rFonts w:ascii="Arial" w:hAnsi="Arial" w:cs="Arial"/>
                <w:bCs/>
                <w:sz w:val="20"/>
                <w:szCs w:val="20"/>
              </w:rPr>
              <w:t>80</w:t>
            </w:r>
          </w:p>
        </w:tc>
        <w:tc>
          <w:tcPr>
            <w:tcW w:w="1276" w:type="dxa"/>
            <w:tcBorders>
              <w:top w:val="single" w:sz="4" w:space="0" w:color="auto"/>
              <w:left w:val="single" w:sz="4" w:space="0" w:color="auto"/>
              <w:bottom w:val="single" w:sz="4" w:space="0" w:color="auto"/>
              <w:right w:val="single" w:sz="4" w:space="0" w:color="auto"/>
            </w:tcBorders>
            <w:hideMark/>
          </w:tcPr>
          <w:p w14:paraId="0FB4EF16" w14:textId="77777777" w:rsidR="00283998" w:rsidRDefault="00283998">
            <w:pPr>
              <w:jc w:val="center"/>
              <w:rPr>
                <w:rFonts w:ascii="Arial" w:hAnsi="Arial" w:cs="Arial"/>
                <w:bCs/>
                <w:sz w:val="20"/>
                <w:szCs w:val="20"/>
              </w:rPr>
            </w:pPr>
            <w:r>
              <w:rPr>
                <w:rFonts w:ascii="Arial" w:hAnsi="Arial" w:cs="Arial"/>
                <w:bCs/>
                <w:sz w:val="20"/>
                <w:szCs w:val="20"/>
              </w:rPr>
              <w:t>100</w:t>
            </w:r>
          </w:p>
        </w:tc>
      </w:tr>
      <w:tr w:rsidR="00283998" w14:paraId="65100214" w14:textId="77777777" w:rsidTr="00F8677C">
        <w:trPr>
          <w:trHeight w:val="338"/>
        </w:trPr>
        <w:tc>
          <w:tcPr>
            <w:tcW w:w="2413" w:type="dxa"/>
            <w:tcBorders>
              <w:top w:val="single" w:sz="4" w:space="0" w:color="auto"/>
              <w:left w:val="single" w:sz="4" w:space="0" w:color="auto"/>
              <w:bottom w:val="single" w:sz="4" w:space="0" w:color="auto"/>
              <w:right w:val="single" w:sz="4" w:space="0" w:color="auto"/>
            </w:tcBorders>
            <w:hideMark/>
          </w:tcPr>
          <w:p w14:paraId="0AC3D1D6" w14:textId="77777777" w:rsidR="00283998" w:rsidRDefault="00283998">
            <w:pPr>
              <w:ind w:left="0" w:right="-114" w:firstLine="0"/>
              <w:jc w:val="left"/>
              <w:rPr>
                <w:rFonts w:ascii="Arial" w:hAnsi="Arial" w:cs="Arial"/>
                <w:bCs/>
                <w:sz w:val="20"/>
                <w:szCs w:val="20"/>
              </w:rPr>
            </w:pPr>
            <w:r>
              <w:rPr>
                <w:rFonts w:ascii="Arial" w:hAnsi="Arial" w:cs="Arial"/>
                <w:bCs/>
                <w:sz w:val="20"/>
                <w:szCs w:val="20"/>
              </w:rPr>
              <w:t xml:space="preserve">Physical Server </w:t>
            </w:r>
          </w:p>
        </w:tc>
        <w:tc>
          <w:tcPr>
            <w:tcW w:w="3971" w:type="dxa"/>
            <w:tcBorders>
              <w:top w:val="single" w:sz="4" w:space="0" w:color="auto"/>
              <w:left w:val="single" w:sz="4" w:space="0" w:color="auto"/>
              <w:bottom w:val="single" w:sz="4" w:space="0" w:color="auto"/>
              <w:right w:val="single" w:sz="4" w:space="0" w:color="auto"/>
            </w:tcBorders>
            <w:hideMark/>
          </w:tcPr>
          <w:p w14:paraId="1555C481" w14:textId="77777777" w:rsidR="00283998" w:rsidRDefault="00283998">
            <w:pPr>
              <w:ind w:left="0" w:right="-107" w:firstLine="0"/>
              <w:jc w:val="left"/>
              <w:rPr>
                <w:rFonts w:ascii="Arial" w:hAnsi="Arial" w:cs="Arial"/>
                <w:bCs/>
                <w:sz w:val="20"/>
                <w:szCs w:val="20"/>
              </w:rPr>
            </w:pPr>
            <w:r>
              <w:rPr>
                <w:rFonts w:ascii="Arial" w:hAnsi="Arial" w:cs="Arial"/>
                <w:bCs/>
                <w:sz w:val="20"/>
                <w:szCs w:val="20"/>
              </w:rPr>
              <w:t>Create Physical Server</w:t>
            </w:r>
          </w:p>
        </w:tc>
        <w:tc>
          <w:tcPr>
            <w:tcW w:w="568" w:type="dxa"/>
            <w:tcBorders>
              <w:top w:val="single" w:sz="4" w:space="0" w:color="auto"/>
              <w:left w:val="single" w:sz="4" w:space="0" w:color="auto"/>
              <w:bottom w:val="single" w:sz="4" w:space="0" w:color="auto"/>
              <w:right w:val="single" w:sz="4" w:space="0" w:color="auto"/>
            </w:tcBorders>
            <w:hideMark/>
          </w:tcPr>
          <w:p w14:paraId="16604077"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0595C02B"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5CF9E82B"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A4C9C73"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81AD805"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68DE158D"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2AEDA4FB"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79DEF417"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79471E6C"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3867100B"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64DF44BE" w14:textId="77777777" w:rsidR="00283998" w:rsidRDefault="00283998">
            <w:pPr>
              <w:jc w:val="center"/>
              <w:rPr>
                <w:rFonts w:ascii="Arial" w:hAnsi="Arial" w:cs="Arial"/>
                <w:bCs/>
                <w:sz w:val="20"/>
                <w:szCs w:val="20"/>
              </w:rPr>
            </w:pPr>
            <w:r>
              <w:rPr>
                <w:rFonts w:ascii="Arial" w:hAnsi="Arial" w:cs="Arial"/>
                <w:bCs/>
                <w:sz w:val="20"/>
                <w:szCs w:val="20"/>
              </w:rPr>
              <w:t>400</w:t>
            </w:r>
          </w:p>
        </w:tc>
        <w:tc>
          <w:tcPr>
            <w:tcW w:w="1276" w:type="dxa"/>
            <w:tcBorders>
              <w:top w:val="single" w:sz="4" w:space="0" w:color="auto"/>
              <w:left w:val="single" w:sz="4" w:space="0" w:color="auto"/>
              <w:bottom w:val="single" w:sz="4" w:space="0" w:color="auto"/>
              <w:right w:val="single" w:sz="4" w:space="0" w:color="auto"/>
            </w:tcBorders>
            <w:hideMark/>
          </w:tcPr>
          <w:p w14:paraId="645D298D" w14:textId="77777777" w:rsidR="00283998" w:rsidRDefault="00283998">
            <w:pPr>
              <w:jc w:val="center"/>
              <w:rPr>
                <w:rFonts w:ascii="Arial" w:hAnsi="Arial" w:cs="Arial"/>
                <w:bCs/>
                <w:sz w:val="20"/>
                <w:szCs w:val="20"/>
              </w:rPr>
            </w:pPr>
            <w:r>
              <w:rPr>
                <w:rFonts w:ascii="Arial" w:hAnsi="Arial" w:cs="Arial"/>
                <w:bCs/>
                <w:sz w:val="20"/>
                <w:szCs w:val="20"/>
              </w:rPr>
              <w:t>600</w:t>
            </w:r>
          </w:p>
        </w:tc>
      </w:tr>
      <w:tr w:rsidR="00283998" w14:paraId="1F0CDA77" w14:textId="77777777" w:rsidTr="00F8677C">
        <w:trPr>
          <w:trHeight w:val="273"/>
        </w:trPr>
        <w:tc>
          <w:tcPr>
            <w:tcW w:w="2413" w:type="dxa"/>
            <w:tcBorders>
              <w:top w:val="single" w:sz="4" w:space="0" w:color="auto"/>
              <w:left w:val="single" w:sz="4" w:space="0" w:color="auto"/>
              <w:bottom w:val="single" w:sz="4" w:space="0" w:color="auto"/>
              <w:right w:val="single" w:sz="4" w:space="0" w:color="auto"/>
            </w:tcBorders>
            <w:hideMark/>
          </w:tcPr>
          <w:p w14:paraId="322C9CC6" w14:textId="77777777" w:rsidR="00283998" w:rsidRDefault="00283998">
            <w:pPr>
              <w:ind w:left="0" w:right="-114" w:firstLine="0"/>
              <w:jc w:val="left"/>
              <w:rPr>
                <w:rFonts w:ascii="Arial" w:hAnsi="Arial" w:cs="Arial"/>
                <w:bCs/>
                <w:sz w:val="20"/>
                <w:szCs w:val="20"/>
              </w:rPr>
            </w:pPr>
            <w:r>
              <w:rPr>
                <w:rFonts w:ascii="Arial" w:hAnsi="Arial" w:cs="Arial"/>
                <w:bCs/>
                <w:sz w:val="20"/>
                <w:szCs w:val="20"/>
              </w:rPr>
              <w:t xml:space="preserve">Physical Server </w:t>
            </w:r>
          </w:p>
        </w:tc>
        <w:tc>
          <w:tcPr>
            <w:tcW w:w="3971" w:type="dxa"/>
            <w:tcBorders>
              <w:top w:val="single" w:sz="4" w:space="0" w:color="auto"/>
              <w:left w:val="single" w:sz="4" w:space="0" w:color="auto"/>
              <w:bottom w:val="single" w:sz="4" w:space="0" w:color="auto"/>
              <w:right w:val="single" w:sz="4" w:space="0" w:color="auto"/>
            </w:tcBorders>
            <w:hideMark/>
          </w:tcPr>
          <w:p w14:paraId="748713CB"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configuration of physical server</w:t>
            </w:r>
          </w:p>
        </w:tc>
        <w:tc>
          <w:tcPr>
            <w:tcW w:w="568" w:type="dxa"/>
            <w:tcBorders>
              <w:top w:val="single" w:sz="4" w:space="0" w:color="auto"/>
              <w:left w:val="single" w:sz="4" w:space="0" w:color="auto"/>
              <w:bottom w:val="single" w:sz="4" w:space="0" w:color="auto"/>
              <w:right w:val="single" w:sz="4" w:space="0" w:color="auto"/>
            </w:tcBorders>
            <w:hideMark/>
          </w:tcPr>
          <w:p w14:paraId="7D0F57F7"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0AE9D6F"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55DA8B28"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C196396"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350E341B"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7CF1B5A3"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5FD23981"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1EF4FD7B"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37AD1593"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06218398"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4EC213DE" w14:textId="77777777" w:rsidR="00283998" w:rsidRDefault="00283998">
            <w:pPr>
              <w:jc w:val="center"/>
              <w:rPr>
                <w:rFonts w:ascii="Arial" w:hAnsi="Arial" w:cs="Arial"/>
                <w:bCs/>
                <w:sz w:val="20"/>
                <w:szCs w:val="20"/>
              </w:rPr>
            </w:pPr>
            <w:r>
              <w:rPr>
                <w:rFonts w:ascii="Arial" w:hAnsi="Arial" w:cs="Arial"/>
                <w:bCs/>
                <w:sz w:val="20"/>
                <w:szCs w:val="20"/>
              </w:rPr>
              <w:t>400</w:t>
            </w:r>
          </w:p>
        </w:tc>
        <w:tc>
          <w:tcPr>
            <w:tcW w:w="1276" w:type="dxa"/>
            <w:tcBorders>
              <w:top w:val="single" w:sz="4" w:space="0" w:color="auto"/>
              <w:left w:val="single" w:sz="4" w:space="0" w:color="auto"/>
              <w:bottom w:val="single" w:sz="4" w:space="0" w:color="auto"/>
              <w:right w:val="single" w:sz="4" w:space="0" w:color="auto"/>
            </w:tcBorders>
            <w:hideMark/>
          </w:tcPr>
          <w:p w14:paraId="06810797" w14:textId="77777777" w:rsidR="00283998" w:rsidRDefault="00283998">
            <w:pPr>
              <w:jc w:val="center"/>
              <w:rPr>
                <w:rFonts w:ascii="Arial" w:hAnsi="Arial" w:cs="Arial"/>
                <w:bCs/>
                <w:sz w:val="20"/>
                <w:szCs w:val="20"/>
              </w:rPr>
            </w:pPr>
            <w:r>
              <w:rPr>
                <w:rFonts w:ascii="Arial" w:hAnsi="Arial" w:cs="Arial"/>
                <w:bCs/>
                <w:sz w:val="20"/>
                <w:szCs w:val="20"/>
              </w:rPr>
              <w:t>600</w:t>
            </w:r>
          </w:p>
        </w:tc>
      </w:tr>
      <w:tr w:rsidR="00283998" w14:paraId="0C80FEF4" w14:textId="77777777" w:rsidTr="00F8677C">
        <w:trPr>
          <w:trHeight w:val="338"/>
        </w:trPr>
        <w:tc>
          <w:tcPr>
            <w:tcW w:w="2413" w:type="dxa"/>
            <w:tcBorders>
              <w:top w:val="single" w:sz="4" w:space="0" w:color="auto"/>
              <w:left w:val="single" w:sz="4" w:space="0" w:color="auto"/>
              <w:bottom w:val="single" w:sz="4" w:space="0" w:color="auto"/>
              <w:right w:val="single" w:sz="4" w:space="0" w:color="auto"/>
            </w:tcBorders>
            <w:hideMark/>
          </w:tcPr>
          <w:p w14:paraId="4B25B9F5" w14:textId="77777777" w:rsidR="00283998" w:rsidRDefault="00283998">
            <w:pPr>
              <w:ind w:left="0" w:right="-114" w:firstLine="0"/>
              <w:jc w:val="left"/>
              <w:rPr>
                <w:rFonts w:ascii="Arial" w:hAnsi="Arial" w:cs="Arial"/>
                <w:bCs/>
                <w:sz w:val="20"/>
                <w:szCs w:val="20"/>
              </w:rPr>
            </w:pPr>
            <w:r>
              <w:rPr>
                <w:rFonts w:ascii="Arial" w:hAnsi="Arial" w:cs="Arial"/>
                <w:bCs/>
                <w:sz w:val="20"/>
                <w:szCs w:val="20"/>
              </w:rPr>
              <w:t xml:space="preserve">Physical Server </w:t>
            </w:r>
          </w:p>
        </w:tc>
        <w:tc>
          <w:tcPr>
            <w:tcW w:w="3971" w:type="dxa"/>
            <w:tcBorders>
              <w:top w:val="single" w:sz="4" w:space="0" w:color="auto"/>
              <w:left w:val="single" w:sz="4" w:space="0" w:color="auto"/>
              <w:bottom w:val="single" w:sz="4" w:space="0" w:color="auto"/>
              <w:right w:val="single" w:sz="4" w:space="0" w:color="auto"/>
            </w:tcBorders>
            <w:hideMark/>
          </w:tcPr>
          <w:p w14:paraId="015BC4B9" w14:textId="77777777" w:rsidR="00283998" w:rsidRDefault="00283998">
            <w:pPr>
              <w:ind w:left="0" w:right="-107" w:firstLine="0"/>
              <w:jc w:val="left"/>
              <w:rPr>
                <w:rFonts w:ascii="Arial" w:hAnsi="Arial" w:cs="Arial"/>
                <w:bCs/>
                <w:sz w:val="20"/>
                <w:szCs w:val="20"/>
              </w:rPr>
            </w:pPr>
            <w:r>
              <w:rPr>
                <w:rFonts w:ascii="Arial" w:hAnsi="Arial" w:cs="Arial"/>
                <w:bCs/>
                <w:sz w:val="20"/>
                <w:szCs w:val="20"/>
              </w:rPr>
              <w:t>Decommission Physical server</w:t>
            </w:r>
          </w:p>
        </w:tc>
        <w:tc>
          <w:tcPr>
            <w:tcW w:w="568" w:type="dxa"/>
            <w:tcBorders>
              <w:top w:val="single" w:sz="4" w:space="0" w:color="auto"/>
              <w:left w:val="single" w:sz="4" w:space="0" w:color="auto"/>
              <w:bottom w:val="single" w:sz="4" w:space="0" w:color="auto"/>
              <w:right w:val="single" w:sz="4" w:space="0" w:color="auto"/>
            </w:tcBorders>
            <w:hideMark/>
          </w:tcPr>
          <w:p w14:paraId="3896A315"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5FB271D"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F18313F"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E25E9B9"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F841BA5"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A25870D"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5CBAA5CF" w14:textId="77777777" w:rsidR="00283998" w:rsidRDefault="00283998">
            <w:pPr>
              <w:jc w:val="center"/>
              <w:rPr>
                <w:rFonts w:ascii="Arial" w:hAnsi="Arial" w:cs="Arial"/>
                <w:bCs/>
                <w:sz w:val="20"/>
                <w:szCs w:val="20"/>
              </w:rPr>
            </w:pPr>
            <w:r>
              <w:rPr>
                <w:rFonts w:ascii="Arial" w:hAnsi="Arial" w:cs="Arial"/>
                <w:bCs/>
                <w:sz w:val="20"/>
                <w:szCs w:val="20"/>
              </w:rPr>
              <w:t>X</w:t>
            </w:r>
          </w:p>
        </w:tc>
        <w:tc>
          <w:tcPr>
            <w:tcW w:w="708" w:type="dxa"/>
            <w:tcBorders>
              <w:top w:val="single" w:sz="4" w:space="0" w:color="auto"/>
              <w:left w:val="single" w:sz="4" w:space="0" w:color="auto"/>
              <w:bottom w:val="single" w:sz="4" w:space="0" w:color="auto"/>
              <w:right w:val="single" w:sz="4" w:space="0" w:color="auto"/>
            </w:tcBorders>
            <w:hideMark/>
          </w:tcPr>
          <w:p w14:paraId="7F77D6DA" w14:textId="77777777" w:rsidR="00283998" w:rsidRDefault="00283998">
            <w:pP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337A7589"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7BFBEAD9"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0A6D7E1F" w14:textId="77777777" w:rsidR="00283998" w:rsidRDefault="00283998">
            <w:pPr>
              <w:jc w:val="center"/>
              <w:rPr>
                <w:rFonts w:ascii="Arial" w:hAnsi="Arial" w:cs="Arial"/>
                <w:bCs/>
                <w:sz w:val="20"/>
                <w:szCs w:val="20"/>
              </w:rPr>
            </w:pPr>
            <w:r>
              <w:rPr>
                <w:rFonts w:ascii="Arial" w:hAnsi="Arial" w:cs="Arial"/>
                <w:bCs/>
                <w:sz w:val="20"/>
                <w:szCs w:val="20"/>
              </w:rPr>
              <w:t>400</w:t>
            </w:r>
          </w:p>
        </w:tc>
        <w:tc>
          <w:tcPr>
            <w:tcW w:w="1276" w:type="dxa"/>
            <w:tcBorders>
              <w:top w:val="single" w:sz="4" w:space="0" w:color="auto"/>
              <w:left w:val="single" w:sz="4" w:space="0" w:color="auto"/>
              <w:bottom w:val="single" w:sz="4" w:space="0" w:color="auto"/>
              <w:right w:val="single" w:sz="4" w:space="0" w:color="auto"/>
            </w:tcBorders>
            <w:hideMark/>
          </w:tcPr>
          <w:p w14:paraId="258C2555" w14:textId="77777777" w:rsidR="00283998" w:rsidRDefault="00283998">
            <w:pPr>
              <w:jc w:val="center"/>
              <w:rPr>
                <w:rFonts w:ascii="Arial" w:hAnsi="Arial" w:cs="Arial"/>
                <w:bCs/>
                <w:sz w:val="20"/>
                <w:szCs w:val="20"/>
              </w:rPr>
            </w:pPr>
            <w:r>
              <w:rPr>
                <w:rFonts w:ascii="Arial" w:hAnsi="Arial" w:cs="Arial"/>
                <w:bCs/>
                <w:sz w:val="20"/>
                <w:szCs w:val="20"/>
              </w:rPr>
              <w:t>600</w:t>
            </w:r>
          </w:p>
        </w:tc>
      </w:tr>
      <w:tr w:rsidR="00283998" w14:paraId="63AE81E6" w14:textId="77777777" w:rsidTr="00F8677C">
        <w:trPr>
          <w:trHeight w:val="255"/>
        </w:trPr>
        <w:tc>
          <w:tcPr>
            <w:tcW w:w="2413" w:type="dxa"/>
            <w:tcBorders>
              <w:top w:val="single" w:sz="4" w:space="0" w:color="auto"/>
              <w:left w:val="single" w:sz="4" w:space="0" w:color="auto"/>
              <w:bottom w:val="single" w:sz="4" w:space="0" w:color="auto"/>
              <w:right w:val="single" w:sz="4" w:space="0" w:color="auto"/>
            </w:tcBorders>
            <w:hideMark/>
          </w:tcPr>
          <w:p w14:paraId="4BC19EA5" w14:textId="77777777" w:rsidR="00283998" w:rsidRDefault="00283998">
            <w:pPr>
              <w:ind w:left="0" w:right="-114" w:firstLine="0"/>
              <w:jc w:val="left"/>
              <w:rPr>
                <w:rFonts w:ascii="Arial" w:hAnsi="Arial" w:cs="Arial"/>
                <w:bCs/>
                <w:sz w:val="20"/>
                <w:szCs w:val="20"/>
              </w:rPr>
            </w:pPr>
            <w:r>
              <w:rPr>
                <w:rFonts w:ascii="Arial" w:hAnsi="Arial" w:cs="Arial"/>
                <w:bCs/>
                <w:sz w:val="20"/>
                <w:szCs w:val="20"/>
              </w:rPr>
              <w:t>Container Server</w:t>
            </w:r>
          </w:p>
        </w:tc>
        <w:tc>
          <w:tcPr>
            <w:tcW w:w="3971" w:type="dxa"/>
            <w:tcBorders>
              <w:top w:val="single" w:sz="4" w:space="0" w:color="auto"/>
              <w:left w:val="single" w:sz="4" w:space="0" w:color="auto"/>
              <w:bottom w:val="single" w:sz="4" w:space="0" w:color="auto"/>
              <w:right w:val="single" w:sz="4" w:space="0" w:color="auto"/>
            </w:tcBorders>
            <w:hideMark/>
          </w:tcPr>
          <w:p w14:paraId="5DF00F22" w14:textId="77777777" w:rsidR="00283998" w:rsidRDefault="00283998">
            <w:pPr>
              <w:ind w:left="0" w:right="-107" w:firstLine="0"/>
              <w:jc w:val="left"/>
              <w:rPr>
                <w:rFonts w:ascii="Arial" w:hAnsi="Arial" w:cs="Arial"/>
                <w:bCs/>
                <w:sz w:val="20"/>
                <w:szCs w:val="20"/>
              </w:rPr>
            </w:pPr>
            <w:r>
              <w:rPr>
                <w:rFonts w:ascii="Arial" w:hAnsi="Arial" w:cs="Arial"/>
                <w:bCs/>
                <w:sz w:val="20"/>
                <w:szCs w:val="20"/>
              </w:rPr>
              <w:t>Create Container Server</w:t>
            </w:r>
          </w:p>
        </w:tc>
        <w:tc>
          <w:tcPr>
            <w:tcW w:w="568" w:type="dxa"/>
            <w:tcBorders>
              <w:top w:val="single" w:sz="4" w:space="0" w:color="auto"/>
              <w:left w:val="single" w:sz="4" w:space="0" w:color="auto"/>
              <w:bottom w:val="single" w:sz="4" w:space="0" w:color="auto"/>
              <w:right w:val="single" w:sz="4" w:space="0" w:color="auto"/>
            </w:tcBorders>
            <w:hideMark/>
          </w:tcPr>
          <w:p w14:paraId="5D817A78"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4B4435BE"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12CEA64C"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CCE7725"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7BD8F7F"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7E36D8CB"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1927E5E6"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2AAB6FAA"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0DE78EB3"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075A1683"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261E5CE2"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75DE13E7"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3331AEF0" w14:textId="77777777" w:rsidTr="00F8677C">
        <w:trPr>
          <w:trHeight w:val="285"/>
        </w:trPr>
        <w:tc>
          <w:tcPr>
            <w:tcW w:w="2413" w:type="dxa"/>
            <w:tcBorders>
              <w:top w:val="single" w:sz="4" w:space="0" w:color="auto"/>
              <w:left w:val="single" w:sz="4" w:space="0" w:color="auto"/>
              <w:bottom w:val="single" w:sz="4" w:space="0" w:color="auto"/>
              <w:right w:val="single" w:sz="4" w:space="0" w:color="auto"/>
            </w:tcBorders>
            <w:hideMark/>
          </w:tcPr>
          <w:p w14:paraId="38BA2D7F" w14:textId="77777777" w:rsidR="00283998" w:rsidRDefault="00283998">
            <w:pPr>
              <w:ind w:left="0" w:right="-114" w:firstLine="0"/>
              <w:jc w:val="left"/>
              <w:rPr>
                <w:rFonts w:ascii="Arial" w:hAnsi="Arial" w:cs="Arial"/>
                <w:bCs/>
                <w:sz w:val="20"/>
                <w:szCs w:val="20"/>
              </w:rPr>
            </w:pPr>
            <w:r>
              <w:rPr>
                <w:rFonts w:ascii="Arial" w:hAnsi="Arial" w:cs="Arial"/>
                <w:bCs/>
                <w:sz w:val="20"/>
                <w:szCs w:val="20"/>
              </w:rPr>
              <w:t>Container Server</w:t>
            </w:r>
          </w:p>
        </w:tc>
        <w:tc>
          <w:tcPr>
            <w:tcW w:w="3971" w:type="dxa"/>
            <w:tcBorders>
              <w:top w:val="single" w:sz="4" w:space="0" w:color="auto"/>
              <w:left w:val="single" w:sz="4" w:space="0" w:color="auto"/>
              <w:bottom w:val="single" w:sz="4" w:space="0" w:color="auto"/>
              <w:right w:val="single" w:sz="4" w:space="0" w:color="auto"/>
            </w:tcBorders>
            <w:hideMark/>
          </w:tcPr>
          <w:p w14:paraId="59702BEA"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Container Server</w:t>
            </w:r>
          </w:p>
        </w:tc>
        <w:tc>
          <w:tcPr>
            <w:tcW w:w="568" w:type="dxa"/>
            <w:tcBorders>
              <w:top w:val="single" w:sz="4" w:space="0" w:color="auto"/>
              <w:left w:val="single" w:sz="4" w:space="0" w:color="auto"/>
              <w:bottom w:val="single" w:sz="4" w:space="0" w:color="auto"/>
              <w:right w:val="single" w:sz="4" w:space="0" w:color="auto"/>
            </w:tcBorders>
            <w:hideMark/>
          </w:tcPr>
          <w:p w14:paraId="3F51947D"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7BA4924"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094B9BB"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4A5F1A1"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4D339E42"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504B1714"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6BC13095"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6D71A78E"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3C35F44A"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7CE97E8A"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24A87529"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6DA377A4"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062D50D3" w14:textId="77777777" w:rsidTr="00F8677C">
        <w:trPr>
          <w:trHeight w:val="251"/>
        </w:trPr>
        <w:tc>
          <w:tcPr>
            <w:tcW w:w="2413" w:type="dxa"/>
            <w:tcBorders>
              <w:top w:val="single" w:sz="4" w:space="0" w:color="auto"/>
              <w:left w:val="single" w:sz="4" w:space="0" w:color="auto"/>
              <w:bottom w:val="single" w:sz="4" w:space="0" w:color="auto"/>
              <w:right w:val="single" w:sz="4" w:space="0" w:color="auto"/>
            </w:tcBorders>
            <w:hideMark/>
          </w:tcPr>
          <w:p w14:paraId="1410F772" w14:textId="77777777" w:rsidR="00283998" w:rsidRDefault="00283998">
            <w:pPr>
              <w:ind w:left="0" w:right="-114" w:firstLine="0"/>
              <w:jc w:val="left"/>
              <w:rPr>
                <w:rFonts w:ascii="Arial" w:hAnsi="Arial" w:cs="Arial"/>
                <w:bCs/>
                <w:sz w:val="20"/>
                <w:szCs w:val="20"/>
              </w:rPr>
            </w:pPr>
            <w:r>
              <w:rPr>
                <w:rFonts w:ascii="Arial" w:hAnsi="Arial" w:cs="Arial"/>
                <w:bCs/>
                <w:sz w:val="20"/>
                <w:szCs w:val="20"/>
              </w:rPr>
              <w:t>Container Server</w:t>
            </w:r>
          </w:p>
        </w:tc>
        <w:tc>
          <w:tcPr>
            <w:tcW w:w="3971" w:type="dxa"/>
            <w:tcBorders>
              <w:top w:val="single" w:sz="4" w:space="0" w:color="auto"/>
              <w:left w:val="single" w:sz="4" w:space="0" w:color="auto"/>
              <w:bottom w:val="single" w:sz="4" w:space="0" w:color="auto"/>
              <w:right w:val="single" w:sz="4" w:space="0" w:color="auto"/>
            </w:tcBorders>
            <w:hideMark/>
          </w:tcPr>
          <w:p w14:paraId="69F1841D" w14:textId="77777777" w:rsidR="00283998" w:rsidRDefault="00283998">
            <w:pPr>
              <w:ind w:left="0" w:right="-107" w:firstLine="0"/>
              <w:jc w:val="left"/>
              <w:rPr>
                <w:rFonts w:ascii="Arial" w:hAnsi="Arial" w:cs="Arial"/>
                <w:bCs/>
                <w:sz w:val="20"/>
                <w:szCs w:val="20"/>
              </w:rPr>
            </w:pPr>
            <w:r>
              <w:rPr>
                <w:rFonts w:ascii="Arial" w:hAnsi="Arial" w:cs="Arial"/>
                <w:bCs/>
                <w:sz w:val="20"/>
                <w:szCs w:val="20"/>
              </w:rPr>
              <w:t>Decommission Container Server</w:t>
            </w:r>
          </w:p>
        </w:tc>
        <w:tc>
          <w:tcPr>
            <w:tcW w:w="568" w:type="dxa"/>
            <w:tcBorders>
              <w:top w:val="single" w:sz="4" w:space="0" w:color="auto"/>
              <w:left w:val="single" w:sz="4" w:space="0" w:color="auto"/>
              <w:bottom w:val="single" w:sz="4" w:space="0" w:color="auto"/>
              <w:right w:val="single" w:sz="4" w:space="0" w:color="auto"/>
            </w:tcBorders>
            <w:hideMark/>
          </w:tcPr>
          <w:p w14:paraId="7166331C"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8C3AC8F"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5BFDFAA"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CF43E06"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0FC27AD"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548AD3DD"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6CEEB214" w14:textId="77777777" w:rsidR="00283998" w:rsidRDefault="00283998">
            <w:pPr>
              <w:jc w:val="center"/>
              <w:rPr>
                <w:rFonts w:ascii="Arial" w:hAnsi="Arial" w:cs="Arial"/>
                <w:bCs/>
                <w:sz w:val="20"/>
                <w:szCs w:val="20"/>
              </w:rPr>
            </w:pPr>
            <w:r>
              <w:rPr>
                <w:rFonts w:ascii="Arial" w:hAnsi="Arial" w:cs="Arial"/>
                <w:bCs/>
                <w:sz w:val="20"/>
                <w:szCs w:val="20"/>
              </w:rPr>
              <w:t>X</w:t>
            </w:r>
          </w:p>
        </w:tc>
        <w:tc>
          <w:tcPr>
            <w:tcW w:w="708" w:type="dxa"/>
            <w:tcBorders>
              <w:top w:val="single" w:sz="4" w:space="0" w:color="auto"/>
              <w:left w:val="single" w:sz="4" w:space="0" w:color="auto"/>
              <w:bottom w:val="single" w:sz="4" w:space="0" w:color="auto"/>
              <w:right w:val="single" w:sz="4" w:space="0" w:color="auto"/>
            </w:tcBorders>
            <w:hideMark/>
          </w:tcPr>
          <w:p w14:paraId="1C329F94" w14:textId="77777777" w:rsidR="00283998" w:rsidRDefault="00283998">
            <w:pP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5D20C369"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4CF57A65"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00655A13"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4B3D3529"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205E9AE0"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138251DF" w14:textId="77777777" w:rsidR="00283998" w:rsidRDefault="00283998">
            <w:pPr>
              <w:ind w:left="0" w:right="-114" w:firstLine="0"/>
              <w:jc w:val="left"/>
              <w:rPr>
                <w:rFonts w:ascii="Arial" w:hAnsi="Arial" w:cs="Arial"/>
                <w:bCs/>
                <w:sz w:val="20"/>
                <w:szCs w:val="20"/>
              </w:rPr>
            </w:pPr>
            <w:r>
              <w:rPr>
                <w:rFonts w:ascii="Arial" w:hAnsi="Arial" w:cs="Arial"/>
                <w:bCs/>
                <w:sz w:val="20"/>
                <w:szCs w:val="20"/>
              </w:rPr>
              <w:t>Virtual Desktop Server</w:t>
            </w:r>
          </w:p>
        </w:tc>
        <w:tc>
          <w:tcPr>
            <w:tcW w:w="3971" w:type="dxa"/>
            <w:tcBorders>
              <w:top w:val="single" w:sz="4" w:space="0" w:color="auto"/>
              <w:left w:val="single" w:sz="4" w:space="0" w:color="auto"/>
              <w:bottom w:val="single" w:sz="4" w:space="0" w:color="auto"/>
              <w:right w:val="single" w:sz="4" w:space="0" w:color="auto"/>
            </w:tcBorders>
            <w:hideMark/>
          </w:tcPr>
          <w:p w14:paraId="098B99BA" w14:textId="77777777" w:rsidR="00283998" w:rsidRDefault="00283998">
            <w:pPr>
              <w:ind w:left="0" w:right="-107" w:firstLine="0"/>
              <w:jc w:val="left"/>
              <w:rPr>
                <w:rFonts w:ascii="Arial" w:hAnsi="Arial" w:cs="Arial"/>
                <w:bCs/>
                <w:sz w:val="20"/>
                <w:szCs w:val="20"/>
              </w:rPr>
            </w:pPr>
            <w:r>
              <w:rPr>
                <w:rFonts w:ascii="Arial" w:hAnsi="Arial" w:cs="Arial"/>
                <w:bCs/>
                <w:sz w:val="20"/>
                <w:szCs w:val="20"/>
              </w:rPr>
              <w:t>Create Virtual Desktop Server</w:t>
            </w:r>
          </w:p>
        </w:tc>
        <w:tc>
          <w:tcPr>
            <w:tcW w:w="568" w:type="dxa"/>
            <w:tcBorders>
              <w:top w:val="single" w:sz="4" w:space="0" w:color="auto"/>
              <w:left w:val="single" w:sz="4" w:space="0" w:color="auto"/>
              <w:bottom w:val="single" w:sz="4" w:space="0" w:color="auto"/>
              <w:right w:val="single" w:sz="4" w:space="0" w:color="auto"/>
            </w:tcBorders>
            <w:hideMark/>
          </w:tcPr>
          <w:p w14:paraId="4B953382"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35E5F23F"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518B2391"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1E052DB"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5D78BF3"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6920D4CC"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2B908920"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62E9637E"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2E9AD4EE"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04E7877B"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41452511"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14ABDD89"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09F2877E"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68684F80" w14:textId="77777777" w:rsidR="00283998" w:rsidRDefault="00283998">
            <w:pPr>
              <w:ind w:left="0" w:right="-114" w:firstLine="0"/>
              <w:jc w:val="left"/>
              <w:rPr>
                <w:rFonts w:ascii="Arial" w:hAnsi="Arial" w:cs="Arial"/>
                <w:bCs/>
                <w:sz w:val="20"/>
                <w:szCs w:val="20"/>
              </w:rPr>
            </w:pPr>
            <w:r>
              <w:rPr>
                <w:rFonts w:ascii="Arial" w:hAnsi="Arial" w:cs="Arial"/>
                <w:bCs/>
                <w:sz w:val="20"/>
                <w:szCs w:val="20"/>
              </w:rPr>
              <w:t>Virtual Desktop Server</w:t>
            </w:r>
          </w:p>
        </w:tc>
        <w:tc>
          <w:tcPr>
            <w:tcW w:w="3971" w:type="dxa"/>
            <w:tcBorders>
              <w:top w:val="single" w:sz="4" w:space="0" w:color="auto"/>
              <w:left w:val="single" w:sz="4" w:space="0" w:color="auto"/>
              <w:bottom w:val="single" w:sz="4" w:space="0" w:color="auto"/>
              <w:right w:val="single" w:sz="4" w:space="0" w:color="auto"/>
            </w:tcBorders>
            <w:hideMark/>
          </w:tcPr>
          <w:p w14:paraId="04BED053"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IP pool.</w:t>
            </w:r>
          </w:p>
        </w:tc>
        <w:tc>
          <w:tcPr>
            <w:tcW w:w="568" w:type="dxa"/>
            <w:tcBorders>
              <w:top w:val="single" w:sz="4" w:space="0" w:color="auto"/>
              <w:left w:val="single" w:sz="4" w:space="0" w:color="auto"/>
              <w:bottom w:val="single" w:sz="4" w:space="0" w:color="auto"/>
              <w:right w:val="single" w:sz="4" w:space="0" w:color="auto"/>
            </w:tcBorders>
            <w:hideMark/>
          </w:tcPr>
          <w:p w14:paraId="274AA611"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5D1B091"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86F9514"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BB6D10B"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6F7E7659"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618F2EFD"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4D0A8716"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27ED3567"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52268529"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2ACF6072"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70B3B420"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3912311A"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15567D2F"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3844A678" w14:textId="77777777" w:rsidR="00283998" w:rsidRDefault="00283998">
            <w:pPr>
              <w:ind w:left="0" w:right="-114" w:firstLine="0"/>
              <w:jc w:val="left"/>
              <w:rPr>
                <w:rFonts w:ascii="Arial" w:hAnsi="Arial" w:cs="Arial"/>
                <w:bCs/>
                <w:sz w:val="20"/>
                <w:szCs w:val="20"/>
              </w:rPr>
            </w:pPr>
            <w:r>
              <w:rPr>
                <w:rFonts w:ascii="Arial" w:hAnsi="Arial" w:cs="Arial"/>
                <w:bCs/>
                <w:sz w:val="20"/>
                <w:szCs w:val="20"/>
              </w:rPr>
              <w:lastRenderedPageBreak/>
              <w:t>Virtual Desktop Server</w:t>
            </w:r>
          </w:p>
        </w:tc>
        <w:tc>
          <w:tcPr>
            <w:tcW w:w="3971" w:type="dxa"/>
            <w:tcBorders>
              <w:top w:val="single" w:sz="4" w:space="0" w:color="auto"/>
              <w:left w:val="single" w:sz="4" w:space="0" w:color="auto"/>
              <w:bottom w:val="single" w:sz="4" w:space="0" w:color="auto"/>
              <w:right w:val="single" w:sz="4" w:space="0" w:color="auto"/>
            </w:tcBorders>
            <w:hideMark/>
          </w:tcPr>
          <w:p w14:paraId="3CB31E30"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DNS records in Infoblox</w:t>
            </w:r>
          </w:p>
        </w:tc>
        <w:tc>
          <w:tcPr>
            <w:tcW w:w="568" w:type="dxa"/>
            <w:tcBorders>
              <w:top w:val="single" w:sz="4" w:space="0" w:color="auto"/>
              <w:left w:val="single" w:sz="4" w:space="0" w:color="auto"/>
              <w:bottom w:val="single" w:sz="4" w:space="0" w:color="auto"/>
              <w:right w:val="single" w:sz="4" w:space="0" w:color="auto"/>
            </w:tcBorders>
            <w:hideMark/>
          </w:tcPr>
          <w:p w14:paraId="3E99F40D"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3345DAE"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7AFAB692"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F3B017C"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15B4FB65"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5B1D0338"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031157A9"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4B5C997A"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3A78C82C"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46A40B36"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1E4EFE8C"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5787F1DD"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7A424B46"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320D3C02" w14:textId="77777777" w:rsidR="00283998" w:rsidRDefault="00283998">
            <w:pPr>
              <w:ind w:left="0" w:right="-114" w:firstLine="0"/>
              <w:jc w:val="left"/>
              <w:rPr>
                <w:rFonts w:ascii="Arial" w:hAnsi="Arial" w:cs="Arial"/>
                <w:bCs/>
                <w:sz w:val="20"/>
                <w:szCs w:val="20"/>
              </w:rPr>
            </w:pPr>
            <w:r>
              <w:rPr>
                <w:rFonts w:ascii="Arial" w:hAnsi="Arial" w:cs="Arial"/>
                <w:bCs/>
                <w:sz w:val="20"/>
                <w:szCs w:val="20"/>
              </w:rPr>
              <w:t>Virtual Desktop Server</w:t>
            </w:r>
          </w:p>
        </w:tc>
        <w:tc>
          <w:tcPr>
            <w:tcW w:w="3971" w:type="dxa"/>
            <w:tcBorders>
              <w:top w:val="single" w:sz="4" w:space="0" w:color="auto"/>
              <w:left w:val="single" w:sz="4" w:space="0" w:color="auto"/>
              <w:bottom w:val="single" w:sz="4" w:space="0" w:color="auto"/>
              <w:right w:val="single" w:sz="4" w:space="0" w:color="auto"/>
            </w:tcBorders>
            <w:hideMark/>
          </w:tcPr>
          <w:p w14:paraId="40C3DA97"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DNS zone(s) in Infoblox</w:t>
            </w:r>
          </w:p>
        </w:tc>
        <w:tc>
          <w:tcPr>
            <w:tcW w:w="568" w:type="dxa"/>
            <w:tcBorders>
              <w:top w:val="single" w:sz="4" w:space="0" w:color="auto"/>
              <w:left w:val="single" w:sz="4" w:space="0" w:color="auto"/>
              <w:bottom w:val="single" w:sz="4" w:space="0" w:color="auto"/>
              <w:right w:val="single" w:sz="4" w:space="0" w:color="auto"/>
            </w:tcBorders>
            <w:hideMark/>
          </w:tcPr>
          <w:p w14:paraId="34A59FBC"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0EDB0B5"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49A0FF8C"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0787800"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68A05F2E"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6B7056FA"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4FC5AAE8"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6D3A6A4F"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750D4558"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192A297F"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0186AF9A"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270B5ED8"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4DFC51E6" w14:textId="77777777" w:rsidTr="00F8677C">
        <w:trPr>
          <w:trHeight w:val="492"/>
        </w:trPr>
        <w:tc>
          <w:tcPr>
            <w:tcW w:w="2413" w:type="dxa"/>
            <w:tcBorders>
              <w:top w:val="single" w:sz="4" w:space="0" w:color="auto"/>
              <w:left w:val="single" w:sz="4" w:space="0" w:color="auto"/>
              <w:bottom w:val="single" w:sz="4" w:space="0" w:color="auto"/>
              <w:right w:val="single" w:sz="4" w:space="0" w:color="auto"/>
            </w:tcBorders>
            <w:hideMark/>
          </w:tcPr>
          <w:p w14:paraId="5C4EBAB8" w14:textId="77777777" w:rsidR="00283998" w:rsidRDefault="00283998">
            <w:pPr>
              <w:ind w:left="0" w:right="-114" w:firstLine="0"/>
              <w:jc w:val="left"/>
              <w:rPr>
                <w:rFonts w:ascii="Arial" w:hAnsi="Arial" w:cs="Arial"/>
                <w:bCs/>
                <w:sz w:val="20"/>
                <w:szCs w:val="20"/>
              </w:rPr>
            </w:pPr>
            <w:r>
              <w:rPr>
                <w:rFonts w:ascii="Arial" w:hAnsi="Arial" w:cs="Arial"/>
                <w:bCs/>
                <w:sz w:val="20"/>
                <w:szCs w:val="20"/>
              </w:rPr>
              <w:t>Virtual Desktop Server</w:t>
            </w:r>
          </w:p>
        </w:tc>
        <w:tc>
          <w:tcPr>
            <w:tcW w:w="3971" w:type="dxa"/>
            <w:tcBorders>
              <w:top w:val="single" w:sz="4" w:space="0" w:color="auto"/>
              <w:left w:val="single" w:sz="4" w:space="0" w:color="auto"/>
              <w:bottom w:val="single" w:sz="4" w:space="0" w:color="auto"/>
              <w:right w:val="single" w:sz="4" w:space="0" w:color="auto"/>
            </w:tcBorders>
            <w:hideMark/>
          </w:tcPr>
          <w:p w14:paraId="535E17DC" w14:textId="77777777" w:rsidR="00283998" w:rsidRDefault="00283998">
            <w:pPr>
              <w:ind w:left="0" w:right="-107" w:firstLine="0"/>
              <w:jc w:val="left"/>
              <w:rPr>
                <w:rFonts w:ascii="Arial" w:hAnsi="Arial" w:cs="Arial"/>
                <w:bCs/>
                <w:sz w:val="20"/>
                <w:szCs w:val="20"/>
              </w:rPr>
            </w:pPr>
            <w:r>
              <w:rPr>
                <w:rFonts w:ascii="Arial" w:hAnsi="Arial" w:cs="Arial"/>
                <w:bCs/>
                <w:sz w:val="20"/>
                <w:szCs w:val="20"/>
              </w:rPr>
              <w:t>Provisioning of full Virtual Desktop or Rebuilding existing Virtual Desktops.</w:t>
            </w:r>
          </w:p>
        </w:tc>
        <w:tc>
          <w:tcPr>
            <w:tcW w:w="568" w:type="dxa"/>
            <w:tcBorders>
              <w:top w:val="single" w:sz="4" w:space="0" w:color="auto"/>
              <w:left w:val="single" w:sz="4" w:space="0" w:color="auto"/>
              <w:bottom w:val="single" w:sz="4" w:space="0" w:color="auto"/>
              <w:right w:val="single" w:sz="4" w:space="0" w:color="auto"/>
            </w:tcBorders>
            <w:hideMark/>
          </w:tcPr>
          <w:p w14:paraId="5BC625CB"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BA4B28A"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58623125"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A04508D"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22931195"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7F164B3B"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155108ED"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60D0348D"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2E7CF7DD"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0B3DAFAE"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58896A3F"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2ABDCA08"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11DBA957" w14:textId="77777777" w:rsidTr="00F8677C">
        <w:trPr>
          <w:trHeight w:val="458"/>
        </w:trPr>
        <w:tc>
          <w:tcPr>
            <w:tcW w:w="2413" w:type="dxa"/>
            <w:tcBorders>
              <w:top w:val="single" w:sz="4" w:space="0" w:color="auto"/>
              <w:left w:val="single" w:sz="4" w:space="0" w:color="auto"/>
              <w:bottom w:val="single" w:sz="4" w:space="0" w:color="auto"/>
              <w:right w:val="single" w:sz="4" w:space="0" w:color="auto"/>
            </w:tcBorders>
            <w:hideMark/>
          </w:tcPr>
          <w:p w14:paraId="63DEB8D9" w14:textId="77777777" w:rsidR="00283998" w:rsidRDefault="00283998">
            <w:pPr>
              <w:ind w:left="0" w:right="-114" w:firstLine="0"/>
              <w:jc w:val="left"/>
              <w:rPr>
                <w:rFonts w:ascii="Arial" w:hAnsi="Arial" w:cs="Arial"/>
                <w:bCs/>
                <w:sz w:val="20"/>
                <w:szCs w:val="20"/>
              </w:rPr>
            </w:pPr>
            <w:r>
              <w:rPr>
                <w:rFonts w:ascii="Arial" w:hAnsi="Arial" w:cs="Arial"/>
                <w:bCs/>
                <w:sz w:val="20"/>
                <w:szCs w:val="20"/>
              </w:rPr>
              <w:t>Virtual Desktop Server</w:t>
            </w:r>
          </w:p>
        </w:tc>
        <w:tc>
          <w:tcPr>
            <w:tcW w:w="3971" w:type="dxa"/>
            <w:tcBorders>
              <w:top w:val="single" w:sz="4" w:space="0" w:color="auto"/>
              <w:left w:val="single" w:sz="4" w:space="0" w:color="auto"/>
              <w:bottom w:val="single" w:sz="4" w:space="0" w:color="auto"/>
              <w:right w:val="single" w:sz="4" w:space="0" w:color="auto"/>
            </w:tcBorders>
            <w:hideMark/>
          </w:tcPr>
          <w:p w14:paraId="726643EE" w14:textId="77777777" w:rsidR="00283998" w:rsidRDefault="00283998">
            <w:pPr>
              <w:ind w:left="0" w:right="-107" w:firstLine="0"/>
              <w:jc w:val="left"/>
              <w:rPr>
                <w:rFonts w:ascii="Arial" w:hAnsi="Arial" w:cs="Arial"/>
                <w:bCs/>
                <w:sz w:val="20"/>
                <w:szCs w:val="20"/>
              </w:rPr>
            </w:pPr>
            <w:r>
              <w:rPr>
                <w:rFonts w:ascii="Arial" w:hAnsi="Arial" w:cs="Arial"/>
                <w:bCs/>
                <w:sz w:val="20"/>
                <w:szCs w:val="20"/>
              </w:rPr>
              <w:t>Packaging Application for APP Streaming or Changing existing Applications.</w:t>
            </w:r>
          </w:p>
        </w:tc>
        <w:tc>
          <w:tcPr>
            <w:tcW w:w="568" w:type="dxa"/>
            <w:tcBorders>
              <w:top w:val="single" w:sz="4" w:space="0" w:color="auto"/>
              <w:left w:val="single" w:sz="4" w:space="0" w:color="auto"/>
              <w:bottom w:val="single" w:sz="4" w:space="0" w:color="auto"/>
              <w:right w:val="single" w:sz="4" w:space="0" w:color="auto"/>
            </w:tcBorders>
            <w:hideMark/>
          </w:tcPr>
          <w:p w14:paraId="5848FF44"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375ACA6"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546D00B8"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4C17752"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3D0B74E2"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7B8FD1BF"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576E8FCF"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478FE91E"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76EEF378"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47FF3F0D"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2622A453"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1A06CC63"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7C777AA0" w14:textId="77777777" w:rsidTr="00F8677C">
        <w:trPr>
          <w:trHeight w:val="297"/>
        </w:trPr>
        <w:tc>
          <w:tcPr>
            <w:tcW w:w="2413" w:type="dxa"/>
            <w:tcBorders>
              <w:top w:val="single" w:sz="4" w:space="0" w:color="auto"/>
              <w:left w:val="single" w:sz="4" w:space="0" w:color="auto"/>
              <w:bottom w:val="single" w:sz="4" w:space="0" w:color="auto"/>
              <w:right w:val="single" w:sz="4" w:space="0" w:color="auto"/>
            </w:tcBorders>
            <w:hideMark/>
          </w:tcPr>
          <w:p w14:paraId="32FC2B00" w14:textId="77777777" w:rsidR="00283998" w:rsidRDefault="00283998">
            <w:pPr>
              <w:ind w:left="0" w:right="-114" w:firstLine="0"/>
              <w:jc w:val="left"/>
              <w:rPr>
                <w:rFonts w:ascii="Arial" w:hAnsi="Arial" w:cs="Arial"/>
                <w:bCs/>
                <w:sz w:val="20"/>
                <w:szCs w:val="20"/>
              </w:rPr>
            </w:pPr>
            <w:r>
              <w:rPr>
                <w:rFonts w:ascii="Arial" w:hAnsi="Arial" w:cs="Arial"/>
                <w:bCs/>
                <w:sz w:val="20"/>
                <w:szCs w:val="20"/>
              </w:rPr>
              <w:t>Virtual Desktop Server</w:t>
            </w:r>
          </w:p>
        </w:tc>
        <w:tc>
          <w:tcPr>
            <w:tcW w:w="3971" w:type="dxa"/>
            <w:tcBorders>
              <w:top w:val="single" w:sz="4" w:space="0" w:color="auto"/>
              <w:left w:val="single" w:sz="4" w:space="0" w:color="auto"/>
              <w:bottom w:val="single" w:sz="4" w:space="0" w:color="auto"/>
              <w:right w:val="single" w:sz="4" w:space="0" w:color="auto"/>
            </w:tcBorders>
            <w:hideMark/>
          </w:tcPr>
          <w:p w14:paraId="0F0A61EA" w14:textId="77777777" w:rsidR="00283998" w:rsidRDefault="00283998">
            <w:pPr>
              <w:ind w:left="0" w:right="-107" w:firstLine="0"/>
              <w:jc w:val="left"/>
              <w:rPr>
                <w:rFonts w:ascii="Arial" w:hAnsi="Arial" w:cs="Arial"/>
                <w:bCs/>
                <w:sz w:val="20"/>
                <w:szCs w:val="20"/>
              </w:rPr>
            </w:pPr>
            <w:r>
              <w:rPr>
                <w:rFonts w:ascii="Arial" w:hAnsi="Arial" w:cs="Arial"/>
                <w:bCs/>
                <w:sz w:val="20"/>
                <w:szCs w:val="20"/>
              </w:rPr>
              <w:t>Publishing of application streaming.</w:t>
            </w:r>
          </w:p>
        </w:tc>
        <w:tc>
          <w:tcPr>
            <w:tcW w:w="568" w:type="dxa"/>
            <w:tcBorders>
              <w:top w:val="single" w:sz="4" w:space="0" w:color="auto"/>
              <w:left w:val="single" w:sz="4" w:space="0" w:color="auto"/>
              <w:bottom w:val="single" w:sz="4" w:space="0" w:color="auto"/>
              <w:right w:val="single" w:sz="4" w:space="0" w:color="auto"/>
            </w:tcBorders>
            <w:hideMark/>
          </w:tcPr>
          <w:p w14:paraId="1C5B095B"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B829623"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BC6B1C2"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09E0876"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29B77E6B"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7F79A9C1"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79725DFA"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338C2C3E"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238A1A12"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0416EC53"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7E74E013"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64C53462"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3C78CC8C" w14:textId="77777777" w:rsidTr="00F8677C">
        <w:trPr>
          <w:trHeight w:val="231"/>
        </w:trPr>
        <w:tc>
          <w:tcPr>
            <w:tcW w:w="2413" w:type="dxa"/>
            <w:tcBorders>
              <w:top w:val="single" w:sz="4" w:space="0" w:color="auto"/>
              <w:left w:val="single" w:sz="4" w:space="0" w:color="auto"/>
              <w:bottom w:val="single" w:sz="4" w:space="0" w:color="auto"/>
              <w:right w:val="single" w:sz="4" w:space="0" w:color="auto"/>
            </w:tcBorders>
            <w:hideMark/>
          </w:tcPr>
          <w:p w14:paraId="0EA842F7" w14:textId="77777777" w:rsidR="00283998" w:rsidRDefault="00283998">
            <w:pPr>
              <w:ind w:left="0" w:right="-114" w:firstLine="0"/>
              <w:jc w:val="left"/>
              <w:rPr>
                <w:rFonts w:ascii="Arial" w:hAnsi="Arial" w:cs="Arial"/>
                <w:bCs/>
                <w:sz w:val="20"/>
                <w:szCs w:val="20"/>
              </w:rPr>
            </w:pPr>
            <w:r>
              <w:rPr>
                <w:rFonts w:ascii="Arial" w:hAnsi="Arial" w:cs="Arial"/>
                <w:bCs/>
                <w:sz w:val="20"/>
                <w:szCs w:val="20"/>
              </w:rPr>
              <w:t>Virtual Desktop Server</w:t>
            </w:r>
          </w:p>
        </w:tc>
        <w:tc>
          <w:tcPr>
            <w:tcW w:w="3971" w:type="dxa"/>
            <w:tcBorders>
              <w:top w:val="single" w:sz="4" w:space="0" w:color="auto"/>
              <w:left w:val="single" w:sz="4" w:space="0" w:color="auto"/>
              <w:bottom w:val="single" w:sz="4" w:space="0" w:color="auto"/>
              <w:right w:val="single" w:sz="4" w:space="0" w:color="auto"/>
            </w:tcBorders>
            <w:hideMark/>
          </w:tcPr>
          <w:p w14:paraId="681DB480" w14:textId="77777777" w:rsidR="00283998" w:rsidRDefault="00283998">
            <w:pPr>
              <w:ind w:left="0" w:right="-107" w:firstLine="0"/>
              <w:jc w:val="left"/>
              <w:rPr>
                <w:rFonts w:ascii="Arial" w:hAnsi="Arial" w:cs="Arial"/>
                <w:bCs/>
                <w:sz w:val="20"/>
                <w:szCs w:val="20"/>
              </w:rPr>
            </w:pPr>
            <w:r>
              <w:rPr>
                <w:rFonts w:ascii="Arial" w:hAnsi="Arial" w:cs="Arial"/>
                <w:bCs/>
                <w:sz w:val="20"/>
                <w:szCs w:val="20"/>
              </w:rPr>
              <w:t>Create or Updating VDI templates.</w:t>
            </w:r>
          </w:p>
        </w:tc>
        <w:tc>
          <w:tcPr>
            <w:tcW w:w="568" w:type="dxa"/>
            <w:tcBorders>
              <w:top w:val="single" w:sz="4" w:space="0" w:color="auto"/>
              <w:left w:val="single" w:sz="4" w:space="0" w:color="auto"/>
              <w:bottom w:val="single" w:sz="4" w:space="0" w:color="auto"/>
              <w:right w:val="single" w:sz="4" w:space="0" w:color="auto"/>
            </w:tcBorders>
            <w:hideMark/>
          </w:tcPr>
          <w:p w14:paraId="56A28A3C"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49E03AD"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2CFFE28F"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FA35233"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67956EF4"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6ACE6D5D"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0C468A1D"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092D41CC"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2841D89F"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0120175E"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472D2F30"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2B782D91"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6E7DEB5C" w14:textId="77777777" w:rsidTr="00F8677C">
        <w:trPr>
          <w:trHeight w:val="279"/>
        </w:trPr>
        <w:tc>
          <w:tcPr>
            <w:tcW w:w="2413" w:type="dxa"/>
            <w:tcBorders>
              <w:top w:val="single" w:sz="4" w:space="0" w:color="auto"/>
              <w:left w:val="single" w:sz="4" w:space="0" w:color="auto"/>
              <w:bottom w:val="single" w:sz="4" w:space="0" w:color="auto"/>
              <w:right w:val="single" w:sz="4" w:space="0" w:color="auto"/>
            </w:tcBorders>
            <w:hideMark/>
          </w:tcPr>
          <w:p w14:paraId="014BEB88" w14:textId="77777777" w:rsidR="00283998" w:rsidRDefault="00283998">
            <w:pPr>
              <w:ind w:left="0" w:right="-114" w:firstLine="0"/>
              <w:jc w:val="left"/>
              <w:rPr>
                <w:rFonts w:ascii="Arial" w:hAnsi="Arial" w:cs="Arial"/>
                <w:bCs/>
                <w:sz w:val="20"/>
                <w:szCs w:val="20"/>
              </w:rPr>
            </w:pPr>
            <w:r>
              <w:rPr>
                <w:rFonts w:ascii="Arial" w:hAnsi="Arial" w:cs="Arial"/>
                <w:bCs/>
                <w:sz w:val="20"/>
                <w:szCs w:val="20"/>
              </w:rPr>
              <w:t>Virtual Desktop Server</w:t>
            </w:r>
          </w:p>
        </w:tc>
        <w:tc>
          <w:tcPr>
            <w:tcW w:w="3971" w:type="dxa"/>
            <w:tcBorders>
              <w:top w:val="single" w:sz="4" w:space="0" w:color="auto"/>
              <w:left w:val="single" w:sz="4" w:space="0" w:color="auto"/>
              <w:bottom w:val="single" w:sz="4" w:space="0" w:color="auto"/>
              <w:right w:val="single" w:sz="4" w:space="0" w:color="auto"/>
            </w:tcBorders>
            <w:hideMark/>
          </w:tcPr>
          <w:p w14:paraId="58977D9F" w14:textId="77777777" w:rsidR="00283998" w:rsidRDefault="00283998">
            <w:pPr>
              <w:ind w:left="0" w:right="-107" w:firstLine="0"/>
              <w:jc w:val="left"/>
              <w:rPr>
                <w:rFonts w:ascii="Arial" w:hAnsi="Arial" w:cs="Arial"/>
                <w:bCs/>
                <w:sz w:val="20"/>
                <w:szCs w:val="20"/>
              </w:rPr>
            </w:pPr>
            <w:r>
              <w:rPr>
                <w:rFonts w:ascii="Arial" w:hAnsi="Arial" w:cs="Arial"/>
                <w:bCs/>
                <w:sz w:val="20"/>
                <w:szCs w:val="20"/>
              </w:rPr>
              <w:t xml:space="preserve">Scale up and scale out of the VDI Server. </w:t>
            </w:r>
          </w:p>
        </w:tc>
        <w:tc>
          <w:tcPr>
            <w:tcW w:w="568" w:type="dxa"/>
            <w:tcBorders>
              <w:top w:val="single" w:sz="4" w:space="0" w:color="auto"/>
              <w:left w:val="single" w:sz="4" w:space="0" w:color="auto"/>
              <w:bottom w:val="single" w:sz="4" w:space="0" w:color="auto"/>
              <w:right w:val="single" w:sz="4" w:space="0" w:color="auto"/>
            </w:tcBorders>
            <w:hideMark/>
          </w:tcPr>
          <w:p w14:paraId="46BB25F6"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4AC3493"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2D699597"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69C7F72"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7CD21E17"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23D944DB"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613339A2"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0536DEE9"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25124911"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4989E266"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49BF38FF"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47FA7597"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317FEAD8"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6FBB0987" w14:textId="77777777" w:rsidR="00283998" w:rsidRDefault="00283998">
            <w:pPr>
              <w:ind w:left="0" w:right="-114" w:firstLine="0"/>
              <w:jc w:val="left"/>
              <w:rPr>
                <w:rFonts w:ascii="Arial" w:hAnsi="Arial" w:cs="Arial"/>
                <w:bCs/>
                <w:sz w:val="20"/>
                <w:szCs w:val="20"/>
              </w:rPr>
            </w:pPr>
            <w:r>
              <w:rPr>
                <w:rFonts w:ascii="Arial" w:hAnsi="Arial" w:cs="Arial"/>
                <w:bCs/>
                <w:sz w:val="20"/>
                <w:szCs w:val="20"/>
              </w:rPr>
              <w:t>Virtual Desktop Server</w:t>
            </w:r>
          </w:p>
        </w:tc>
        <w:tc>
          <w:tcPr>
            <w:tcW w:w="3971" w:type="dxa"/>
            <w:tcBorders>
              <w:top w:val="single" w:sz="4" w:space="0" w:color="auto"/>
              <w:left w:val="single" w:sz="4" w:space="0" w:color="auto"/>
              <w:bottom w:val="single" w:sz="4" w:space="0" w:color="auto"/>
              <w:right w:val="single" w:sz="4" w:space="0" w:color="auto"/>
            </w:tcBorders>
            <w:hideMark/>
          </w:tcPr>
          <w:p w14:paraId="75696977" w14:textId="77777777" w:rsidR="00283998" w:rsidRDefault="00283998">
            <w:pPr>
              <w:ind w:left="0" w:right="-107" w:firstLine="0"/>
              <w:jc w:val="left"/>
              <w:rPr>
                <w:rFonts w:ascii="Arial" w:hAnsi="Arial" w:cs="Arial"/>
                <w:bCs/>
                <w:sz w:val="20"/>
                <w:szCs w:val="20"/>
              </w:rPr>
            </w:pPr>
            <w:r>
              <w:rPr>
                <w:rFonts w:ascii="Arial" w:hAnsi="Arial" w:cs="Arial"/>
                <w:bCs/>
                <w:sz w:val="20"/>
                <w:szCs w:val="20"/>
              </w:rPr>
              <w:t>Configure NTP source.</w:t>
            </w:r>
          </w:p>
        </w:tc>
        <w:tc>
          <w:tcPr>
            <w:tcW w:w="568" w:type="dxa"/>
            <w:tcBorders>
              <w:top w:val="single" w:sz="4" w:space="0" w:color="auto"/>
              <w:left w:val="single" w:sz="4" w:space="0" w:color="auto"/>
              <w:bottom w:val="single" w:sz="4" w:space="0" w:color="auto"/>
              <w:right w:val="single" w:sz="4" w:space="0" w:color="auto"/>
            </w:tcBorders>
            <w:hideMark/>
          </w:tcPr>
          <w:p w14:paraId="67FFE9F2"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FBEE285"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390500F4"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002550E"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4485A758"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5671A9B8"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6188CE02"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58541E95"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2E261DA3"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074BB216"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7DFBAE7C"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3B61C99A"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648B6027" w14:textId="77777777" w:rsidTr="00F8677C">
        <w:trPr>
          <w:trHeight w:val="275"/>
        </w:trPr>
        <w:tc>
          <w:tcPr>
            <w:tcW w:w="2413" w:type="dxa"/>
            <w:tcBorders>
              <w:top w:val="single" w:sz="4" w:space="0" w:color="auto"/>
              <w:left w:val="single" w:sz="4" w:space="0" w:color="auto"/>
              <w:bottom w:val="single" w:sz="4" w:space="0" w:color="auto"/>
              <w:right w:val="single" w:sz="4" w:space="0" w:color="auto"/>
            </w:tcBorders>
            <w:hideMark/>
          </w:tcPr>
          <w:p w14:paraId="13612867" w14:textId="77777777" w:rsidR="00283998" w:rsidRDefault="00283998">
            <w:pPr>
              <w:ind w:left="0" w:right="-114" w:firstLine="0"/>
              <w:jc w:val="left"/>
              <w:rPr>
                <w:rFonts w:ascii="Arial" w:hAnsi="Arial" w:cs="Arial"/>
                <w:bCs/>
                <w:sz w:val="20"/>
                <w:szCs w:val="20"/>
              </w:rPr>
            </w:pPr>
            <w:r>
              <w:rPr>
                <w:rFonts w:ascii="Arial" w:hAnsi="Arial" w:cs="Arial"/>
                <w:bCs/>
                <w:sz w:val="20"/>
                <w:szCs w:val="20"/>
              </w:rPr>
              <w:t>Virtual Desktop Server</w:t>
            </w:r>
          </w:p>
        </w:tc>
        <w:tc>
          <w:tcPr>
            <w:tcW w:w="3971" w:type="dxa"/>
            <w:tcBorders>
              <w:top w:val="single" w:sz="4" w:space="0" w:color="auto"/>
              <w:left w:val="single" w:sz="4" w:space="0" w:color="auto"/>
              <w:bottom w:val="single" w:sz="4" w:space="0" w:color="auto"/>
              <w:right w:val="single" w:sz="4" w:space="0" w:color="auto"/>
            </w:tcBorders>
            <w:hideMark/>
          </w:tcPr>
          <w:p w14:paraId="1157B948" w14:textId="77777777" w:rsidR="00283998" w:rsidRDefault="00283998">
            <w:pPr>
              <w:ind w:left="0" w:right="-107" w:firstLine="0"/>
              <w:jc w:val="left"/>
              <w:rPr>
                <w:rFonts w:ascii="Arial" w:hAnsi="Arial" w:cs="Arial"/>
                <w:bCs/>
                <w:sz w:val="20"/>
                <w:szCs w:val="20"/>
              </w:rPr>
            </w:pPr>
            <w:r>
              <w:rPr>
                <w:rFonts w:ascii="Arial" w:hAnsi="Arial" w:cs="Arial"/>
                <w:bCs/>
                <w:sz w:val="20"/>
                <w:szCs w:val="20"/>
              </w:rPr>
              <w:t xml:space="preserve">Configure </w:t>
            </w:r>
            <w:proofErr w:type="spellStart"/>
            <w:r>
              <w:rPr>
                <w:rFonts w:ascii="Arial" w:hAnsi="Arial" w:cs="Arial"/>
                <w:bCs/>
                <w:sz w:val="20"/>
                <w:szCs w:val="20"/>
              </w:rPr>
              <w:t>SysLog</w:t>
            </w:r>
            <w:proofErr w:type="spellEnd"/>
            <w:r>
              <w:rPr>
                <w:rFonts w:ascii="Arial" w:hAnsi="Arial" w:cs="Arial"/>
                <w:bCs/>
                <w:sz w:val="20"/>
                <w:szCs w:val="20"/>
              </w:rPr>
              <w:t xml:space="preserve"> and SMTP targets</w:t>
            </w:r>
          </w:p>
        </w:tc>
        <w:tc>
          <w:tcPr>
            <w:tcW w:w="568" w:type="dxa"/>
            <w:tcBorders>
              <w:top w:val="single" w:sz="4" w:space="0" w:color="auto"/>
              <w:left w:val="single" w:sz="4" w:space="0" w:color="auto"/>
              <w:bottom w:val="single" w:sz="4" w:space="0" w:color="auto"/>
              <w:right w:val="single" w:sz="4" w:space="0" w:color="auto"/>
            </w:tcBorders>
            <w:hideMark/>
          </w:tcPr>
          <w:p w14:paraId="6D6BCC08"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B7F36AE"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3A61A114"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E6D5D5F"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54A3EEEF"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30123678"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45C065CC"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010E128A"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13E9D9EE"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0D5A2FDF"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57EB23A9"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72C401F1"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412DF208"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51F49DB2" w14:textId="77777777" w:rsidR="00283998" w:rsidRDefault="00283998">
            <w:pPr>
              <w:ind w:left="0" w:right="-114" w:firstLine="0"/>
              <w:jc w:val="left"/>
              <w:rPr>
                <w:rFonts w:ascii="Arial" w:hAnsi="Arial" w:cs="Arial"/>
                <w:bCs/>
                <w:sz w:val="20"/>
                <w:szCs w:val="20"/>
              </w:rPr>
            </w:pPr>
            <w:r>
              <w:rPr>
                <w:rFonts w:ascii="Arial" w:hAnsi="Arial" w:cs="Arial"/>
                <w:bCs/>
                <w:sz w:val="20"/>
                <w:szCs w:val="20"/>
              </w:rPr>
              <w:t>Virtual Desktop Server</w:t>
            </w:r>
          </w:p>
        </w:tc>
        <w:tc>
          <w:tcPr>
            <w:tcW w:w="3971" w:type="dxa"/>
            <w:tcBorders>
              <w:top w:val="single" w:sz="4" w:space="0" w:color="auto"/>
              <w:left w:val="single" w:sz="4" w:space="0" w:color="auto"/>
              <w:bottom w:val="single" w:sz="4" w:space="0" w:color="auto"/>
              <w:right w:val="single" w:sz="4" w:space="0" w:color="auto"/>
            </w:tcBorders>
            <w:hideMark/>
          </w:tcPr>
          <w:p w14:paraId="3052943A" w14:textId="77777777" w:rsidR="00283998" w:rsidRDefault="00283998">
            <w:pPr>
              <w:ind w:left="0" w:right="-107" w:firstLine="0"/>
              <w:jc w:val="left"/>
              <w:rPr>
                <w:rFonts w:ascii="Arial" w:hAnsi="Arial" w:cs="Arial"/>
                <w:bCs/>
                <w:sz w:val="20"/>
                <w:szCs w:val="20"/>
              </w:rPr>
            </w:pPr>
            <w:r>
              <w:rPr>
                <w:rFonts w:ascii="Arial" w:hAnsi="Arial" w:cs="Arial"/>
                <w:bCs/>
                <w:sz w:val="20"/>
                <w:szCs w:val="20"/>
              </w:rPr>
              <w:t>Decommission VDI Server</w:t>
            </w:r>
          </w:p>
        </w:tc>
        <w:tc>
          <w:tcPr>
            <w:tcW w:w="568" w:type="dxa"/>
            <w:tcBorders>
              <w:top w:val="single" w:sz="4" w:space="0" w:color="auto"/>
              <w:left w:val="single" w:sz="4" w:space="0" w:color="auto"/>
              <w:bottom w:val="single" w:sz="4" w:space="0" w:color="auto"/>
              <w:right w:val="single" w:sz="4" w:space="0" w:color="auto"/>
            </w:tcBorders>
            <w:hideMark/>
          </w:tcPr>
          <w:p w14:paraId="6B0D3163"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42C8545"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6B018DE4"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5AD5E56"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708E27B"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AE56F57"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1EED0A3D" w14:textId="77777777" w:rsidR="00283998" w:rsidRDefault="00283998">
            <w:pPr>
              <w:jc w:val="center"/>
              <w:rPr>
                <w:rFonts w:ascii="Arial" w:hAnsi="Arial" w:cs="Arial"/>
                <w:bCs/>
                <w:sz w:val="20"/>
                <w:szCs w:val="20"/>
              </w:rPr>
            </w:pPr>
            <w:r>
              <w:rPr>
                <w:rFonts w:ascii="Arial" w:hAnsi="Arial" w:cs="Arial"/>
                <w:bCs/>
                <w:sz w:val="20"/>
                <w:szCs w:val="20"/>
              </w:rPr>
              <w:t>X</w:t>
            </w:r>
          </w:p>
        </w:tc>
        <w:tc>
          <w:tcPr>
            <w:tcW w:w="708" w:type="dxa"/>
            <w:tcBorders>
              <w:top w:val="single" w:sz="4" w:space="0" w:color="auto"/>
              <w:left w:val="single" w:sz="4" w:space="0" w:color="auto"/>
              <w:bottom w:val="single" w:sz="4" w:space="0" w:color="auto"/>
              <w:right w:val="single" w:sz="4" w:space="0" w:color="auto"/>
            </w:tcBorders>
            <w:hideMark/>
          </w:tcPr>
          <w:p w14:paraId="06AE9164" w14:textId="77777777" w:rsidR="00283998" w:rsidRDefault="00283998">
            <w:pP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720C6AE3"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616D8431"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41754436"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4AC6A17C"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6802273A"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1AAAEA89" w14:textId="77777777" w:rsidR="00283998" w:rsidRDefault="00283998">
            <w:pPr>
              <w:ind w:left="0" w:right="-114" w:firstLine="0"/>
              <w:jc w:val="left"/>
              <w:rPr>
                <w:rFonts w:ascii="Arial" w:hAnsi="Arial" w:cs="Arial"/>
                <w:bCs/>
                <w:sz w:val="20"/>
                <w:szCs w:val="20"/>
              </w:rPr>
            </w:pPr>
            <w:r>
              <w:rPr>
                <w:rFonts w:ascii="Arial" w:hAnsi="Arial" w:cs="Arial"/>
                <w:bCs/>
                <w:sz w:val="20"/>
                <w:szCs w:val="20"/>
              </w:rPr>
              <w:t>Database Server</w:t>
            </w:r>
          </w:p>
        </w:tc>
        <w:tc>
          <w:tcPr>
            <w:tcW w:w="3971" w:type="dxa"/>
            <w:tcBorders>
              <w:top w:val="single" w:sz="4" w:space="0" w:color="auto"/>
              <w:left w:val="single" w:sz="4" w:space="0" w:color="auto"/>
              <w:bottom w:val="single" w:sz="4" w:space="0" w:color="auto"/>
              <w:right w:val="single" w:sz="4" w:space="0" w:color="auto"/>
            </w:tcBorders>
            <w:hideMark/>
          </w:tcPr>
          <w:p w14:paraId="29F44424" w14:textId="77777777" w:rsidR="00283998" w:rsidRDefault="00283998">
            <w:pPr>
              <w:ind w:left="0" w:right="-107" w:firstLine="0"/>
              <w:jc w:val="left"/>
              <w:rPr>
                <w:rFonts w:ascii="Arial" w:hAnsi="Arial" w:cs="Arial"/>
                <w:bCs/>
                <w:sz w:val="20"/>
                <w:szCs w:val="20"/>
              </w:rPr>
            </w:pPr>
            <w:r>
              <w:rPr>
                <w:rFonts w:ascii="Arial" w:hAnsi="Arial" w:cs="Arial"/>
                <w:bCs/>
                <w:sz w:val="20"/>
                <w:szCs w:val="20"/>
              </w:rPr>
              <w:t>Create Database Instance</w:t>
            </w:r>
          </w:p>
        </w:tc>
        <w:tc>
          <w:tcPr>
            <w:tcW w:w="568" w:type="dxa"/>
            <w:tcBorders>
              <w:top w:val="single" w:sz="4" w:space="0" w:color="auto"/>
              <w:left w:val="single" w:sz="4" w:space="0" w:color="auto"/>
              <w:bottom w:val="single" w:sz="4" w:space="0" w:color="auto"/>
              <w:right w:val="single" w:sz="4" w:space="0" w:color="auto"/>
            </w:tcBorders>
            <w:hideMark/>
          </w:tcPr>
          <w:p w14:paraId="1AE6DFAA"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261F3448"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1625787D"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68C0E14"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604F7B9"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77A0419B"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5A01C97F"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119C0673"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29B0202D"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64CF333D"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7BEDA3A4" w14:textId="77777777" w:rsidR="00283998" w:rsidRDefault="00283998">
            <w:pPr>
              <w:jc w:val="center"/>
              <w:rPr>
                <w:rFonts w:ascii="Arial" w:hAnsi="Arial" w:cs="Arial"/>
                <w:bCs/>
                <w:sz w:val="20"/>
                <w:szCs w:val="20"/>
              </w:rPr>
            </w:pPr>
            <w:r>
              <w:rPr>
                <w:rFonts w:ascii="Arial" w:hAnsi="Arial" w:cs="Arial"/>
                <w:bCs/>
                <w:sz w:val="20"/>
                <w:szCs w:val="20"/>
              </w:rPr>
              <w:t>400</w:t>
            </w:r>
          </w:p>
        </w:tc>
        <w:tc>
          <w:tcPr>
            <w:tcW w:w="1276" w:type="dxa"/>
            <w:tcBorders>
              <w:top w:val="single" w:sz="4" w:space="0" w:color="auto"/>
              <w:left w:val="single" w:sz="4" w:space="0" w:color="auto"/>
              <w:bottom w:val="single" w:sz="4" w:space="0" w:color="auto"/>
              <w:right w:val="single" w:sz="4" w:space="0" w:color="auto"/>
            </w:tcBorders>
            <w:hideMark/>
          </w:tcPr>
          <w:p w14:paraId="66ABCDC7" w14:textId="77777777" w:rsidR="00283998" w:rsidRDefault="00283998">
            <w:pPr>
              <w:jc w:val="center"/>
              <w:rPr>
                <w:rFonts w:ascii="Arial" w:hAnsi="Arial" w:cs="Arial"/>
                <w:bCs/>
                <w:sz w:val="20"/>
                <w:szCs w:val="20"/>
              </w:rPr>
            </w:pPr>
            <w:r>
              <w:rPr>
                <w:rFonts w:ascii="Arial" w:hAnsi="Arial" w:cs="Arial"/>
                <w:bCs/>
                <w:sz w:val="20"/>
                <w:szCs w:val="20"/>
              </w:rPr>
              <w:t>600</w:t>
            </w:r>
          </w:p>
        </w:tc>
      </w:tr>
      <w:tr w:rsidR="00283998" w14:paraId="2DC44AFD"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35A7D767" w14:textId="77777777" w:rsidR="00283998" w:rsidRDefault="00283998">
            <w:pPr>
              <w:ind w:left="0" w:right="-114" w:firstLine="0"/>
              <w:jc w:val="left"/>
              <w:rPr>
                <w:rFonts w:ascii="Arial" w:hAnsi="Arial" w:cs="Arial"/>
                <w:bCs/>
                <w:sz w:val="20"/>
                <w:szCs w:val="20"/>
              </w:rPr>
            </w:pPr>
            <w:r>
              <w:rPr>
                <w:rFonts w:ascii="Arial" w:hAnsi="Arial" w:cs="Arial"/>
                <w:bCs/>
                <w:sz w:val="20"/>
                <w:szCs w:val="20"/>
              </w:rPr>
              <w:t>Database Server</w:t>
            </w:r>
          </w:p>
        </w:tc>
        <w:tc>
          <w:tcPr>
            <w:tcW w:w="3971" w:type="dxa"/>
            <w:tcBorders>
              <w:top w:val="single" w:sz="4" w:space="0" w:color="auto"/>
              <w:left w:val="single" w:sz="4" w:space="0" w:color="auto"/>
              <w:bottom w:val="single" w:sz="4" w:space="0" w:color="auto"/>
              <w:right w:val="single" w:sz="4" w:space="0" w:color="auto"/>
            </w:tcBorders>
            <w:hideMark/>
          </w:tcPr>
          <w:p w14:paraId="02FF6383"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Configuration of IP pool.</w:t>
            </w:r>
          </w:p>
        </w:tc>
        <w:tc>
          <w:tcPr>
            <w:tcW w:w="568" w:type="dxa"/>
            <w:tcBorders>
              <w:top w:val="single" w:sz="4" w:space="0" w:color="auto"/>
              <w:left w:val="single" w:sz="4" w:space="0" w:color="auto"/>
              <w:bottom w:val="single" w:sz="4" w:space="0" w:color="auto"/>
              <w:right w:val="single" w:sz="4" w:space="0" w:color="auto"/>
            </w:tcBorders>
            <w:hideMark/>
          </w:tcPr>
          <w:p w14:paraId="1A994AF2"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5DCDBCB"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4E8B5DE"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E95C52F"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02BA9D7B"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4C381F78"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201C29BF"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737A451F"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34BAB411"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799AC91D"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42224EAD" w14:textId="77777777" w:rsidR="00283998" w:rsidRDefault="00283998">
            <w:pPr>
              <w:jc w:val="center"/>
              <w:rPr>
                <w:rFonts w:ascii="Arial" w:hAnsi="Arial" w:cs="Arial"/>
                <w:bCs/>
                <w:sz w:val="20"/>
                <w:szCs w:val="20"/>
              </w:rPr>
            </w:pPr>
            <w:r>
              <w:rPr>
                <w:rFonts w:ascii="Arial" w:hAnsi="Arial" w:cs="Arial"/>
                <w:bCs/>
                <w:sz w:val="20"/>
                <w:szCs w:val="20"/>
              </w:rPr>
              <w:t>400</w:t>
            </w:r>
          </w:p>
        </w:tc>
        <w:tc>
          <w:tcPr>
            <w:tcW w:w="1276" w:type="dxa"/>
            <w:tcBorders>
              <w:top w:val="single" w:sz="4" w:space="0" w:color="auto"/>
              <w:left w:val="single" w:sz="4" w:space="0" w:color="auto"/>
              <w:bottom w:val="single" w:sz="4" w:space="0" w:color="auto"/>
              <w:right w:val="single" w:sz="4" w:space="0" w:color="auto"/>
            </w:tcBorders>
            <w:hideMark/>
          </w:tcPr>
          <w:p w14:paraId="3931277A" w14:textId="77777777" w:rsidR="00283998" w:rsidRDefault="00283998">
            <w:pPr>
              <w:jc w:val="center"/>
              <w:rPr>
                <w:rFonts w:ascii="Arial" w:hAnsi="Arial" w:cs="Arial"/>
                <w:bCs/>
                <w:sz w:val="20"/>
                <w:szCs w:val="20"/>
              </w:rPr>
            </w:pPr>
            <w:r>
              <w:rPr>
                <w:rFonts w:ascii="Arial" w:hAnsi="Arial" w:cs="Arial"/>
                <w:bCs/>
                <w:sz w:val="20"/>
                <w:szCs w:val="20"/>
              </w:rPr>
              <w:t>600</w:t>
            </w:r>
          </w:p>
        </w:tc>
      </w:tr>
      <w:tr w:rsidR="00283998" w14:paraId="359BDBF7"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5E7D9351" w14:textId="77777777" w:rsidR="00283998" w:rsidRDefault="00283998">
            <w:pPr>
              <w:ind w:left="0" w:right="-114" w:firstLine="0"/>
              <w:jc w:val="left"/>
              <w:rPr>
                <w:rFonts w:ascii="Arial" w:hAnsi="Arial" w:cs="Arial"/>
                <w:bCs/>
                <w:sz w:val="20"/>
                <w:szCs w:val="20"/>
              </w:rPr>
            </w:pPr>
            <w:r>
              <w:rPr>
                <w:rFonts w:ascii="Arial" w:hAnsi="Arial" w:cs="Arial"/>
                <w:bCs/>
                <w:sz w:val="20"/>
                <w:szCs w:val="20"/>
              </w:rPr>
              <w:t>Database Server</w:t>
            </w:r>
          </w:p>
        </w:tc>
        <w:tc>
          <w:tcPr>
            <w:tcW w:w="3971" w:type="dxa"/>
            <w:tcBorders>
              <w:top w:val="single" w:sz="4" w:space="0" w:color="auto"/>
              <w:left w:val="single" w:sz="4" w:space="0" w:color="auto"/>
              <w:bottom w:val="single" w:sz="4" w:space="0" w:color="auto"/>
              <w:right w:val="single" w:sz="4" w:space="0" w:color="auto"/>
            </w:tcBorders>
            <w:hideMark/>
          </w:tcPr>
          <w:p w14:paraId="1289683D" w14:textId="77777777" w:rsidR="00283998" w:rsidRDefault="00283998">
            <w:pPr>
              <w:ind w:left="0" w:right="-107" w:firstLine="0"/>
              <w:jc w:val="left"/>
              <w:rPr>
                <w:rFonts w:ascii="Arial" w:hAnsi="Arial" w:cs="Arial"/>
                <w:bCs/>
                <w:sz w:val="20"/>
                <w:szCs w:val="20"/>
              </w:rPr>
            </w:pPr>
            <w:r>
              <w:rPr>
                <w:rFonts w:ascii="Arial" w:hAnsi="Arial" w:cs="Arial"/>
                <w:bCs/>
                <w:sz w:val="20"/>
                <w:szCs w:val="20"/>
              </w:rPr>
              <w:t>Update of DNS records in Infoblox</w:t>
            </w:r>
          </w:p>
        </w:tc>
        <w:tc>
          <w:tcPr>
            <w:tcW w:w="568" w:type="dxa"/>
            <w:tcBorders>
              <w:top w:val="single" w:sz="4" w:space="0" w:color="auto"/>
              <w:left w:val="single" w:sz="4" w:space="0" w:color="auto"/>
              <w:bottom w:val="single" w:sz="4" w:space="0" w:color="auto"/>
              <w:right w:val="single" w:sz="4" w:space="0" w:color="auto"/>
            </w:tcBorders>
            <w:hideMark/>
          </w:tcPr>
          <w:p w14:paraId="3C70AF85"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A0A6678"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C09EBAE"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3A31CC4"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53939200"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5F54DB25"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55680FC7"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1432305E"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64764F47"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29CC3B6C"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1B1075E7" w14:textId="77777777" w:rsidR="00283998" w:rsidRDefault="00283998">
            <w:pPr>
              <w:jc w:val="center"/>
              <w:rPr>
                <w:rFonts w:ascii="Arial" w:hAnsi="Arial" w:cs="Arial"/>
                <w:bCs/>
                <w:sz w:val="20"/>
                <w:szCs w:val="20"/>
              </w:rPr>
            </w:pPr>
            <w:r>
              <w:rPr>
                <w:rFonts w:ascii="Arial" w:hAnsi="Arial" w:cs="Arial"/>
                <w:bCs/>
                <w:sz w:val="20"/>
                <w:szCs w:val="20"/>
              </w:rPr>
              <w:t>400</w:t>
            </w:r>
          </w:p>
        </w:tc>
        <w:tc>
          <w:tcPr>
            <w:tcW w:w="1276" w:type="dxa"/>
            <w:tcBorders>
              <w:top w:val="single" w:sz="4" w:space="0" w:color="auto"/>
              <w:left w:val="single" w:sz="4" w:space="0" w:color="auto"/>
              <w:bottom w:val="single" w:sz="4" w:space="0" w:color="auto"/>
              <w:right w:val="single" w:sz="4" w:space="0" w:color="auto"/>
            </w:tcBorders>
            <w:hideMark/>
          </w:tcPr>
          <w:p w14:paraId="6187E653" w14:textId="77777777" w:rsidR="00283998" w:rsidRDefault="00283998">
            <w:pPr>
              <w:jc w:val="center"/>
              <w:rPr>
                <w:rFonts w:ascii="Arial" w:hAnsi="Arial" w:cs="Arial"/>
                <w:bCs/>
                <w:sz w:val="20"/>
                <w:szCs w:val="20"/>
              </w:rPr>
            </w:pPr>
            <w:r>
              <w:rPr>
                <w:rFonts w:ascii="Arial" w:hAnsi="Arial" w:cs="Arial"/>
                <w:bCs/>
                <w:sz w:val="20"/>
                <w:szCs w:val="20"/>
              </w:rPr>
              <w:t>600</w:t>
            </w:r>
          </w:p>
        </w:tc>
      </w:tr>
      <w:tr w:rsidR="00283998" w14:paraId="37DF4302"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37525618" w14:textId="77777777" w:rsidR="00283998" w:rsidRDefault="00283998">
            <w:pPr>
              <w:ind w:left="0" w:right="-114" w:firstLine="0"/>
              <w:jc w:val="left"/>
              <w:rPr>
                <w:rFonts w:ascii="Arial" w:hAnsi="Arial" w:cs="Arial"/>
                <w:bCs/>
                <w:sz w:val="20"/>
                <w:szCs w:val="20"/>
              </w:rPr>
            </w:pPr>
            <w:r>
              <w:rPr>
                <w:rFonts w:ascii="Arial" w:hAnsi="Arial" w:cs="Arial"/>
                <w:bCs/>
                <w:sz w:val="20"/>
                <w:szCs w:val="20"/>
              </w:rPr>
              <w:t>Database Server</w:t>
            </w:r>
          </w:p>
        </w:tc>
        <w:tc>
          <w:tcPr>
            <w:tcW w:w="3971" w:type="dxa"/>
            <w:tcBorders>
              <w:top w:val="single" w:sz="4" w:space="0" w:color="auto"/>
              <w:left w:val="single" w:sz="4" w:space="0" w:color="auto"/>
              <w:bottom w:val="single" w:sz="4" w:space="0" w:color="auto"/>
              <w:right w:val="single" w:sz="4" w:space="0" w:color="auto"/>
            </w:tcBorders>
            <w:hideMark/>
          </w:tcPr>
          <w:p w14:paraId="6CBD9582" w14:textId="77777777" w:rsidR="00283998" w:rsidRDefault="00283998">
            <w:pPr>
              <w:ind w:left="0" w:right="-107" w:firstLine="0"/>
              <w:jc w:val="left"/>
              <w:rPr>
                <w:rFonts w:ascii="Arial" w:hAnsi="Arial" w:cs="Arial"/>
                <w:bCs/>
                <w:sz w:val="20"/>
                <w:szCs w:val="20"/>
              </w:rPr>
            </w:pPr>
            <w:r>
              <w:rPr>
                <w:rFonts w:ascii="Arial" w:hAnsi="Arial" w:cs="Arial"/>
                <w:bCs/>
                <w:sz w:val="20"/>
                <w:szCs w:val="20"/>
              </w:rPr>
              <w:t>Update of DNS zone(s) in Infoblox</w:t>
            </w:r>
          </w:p>
        </w:tc>
        <w:tc>
          <w:tcPr>
            <w:tcW w:w="568" w:type="dxa"/>
            <w:tcBorders>
              <w:top w:val="single" w:sz="4" w:space="0" w:color="auto"/>
              <w:left w:val="single" w:sz="4" w:space="0" w:color="auto"/>
              <w:bottom w:val="single" w:sz="4" w:space="0" w:color="auto"/>
              <w:right w:val="single" w:sz="4" w:space="0" w:color="auto"/>
            </w:tcBorders>
            <w:hideMark/>
          </w:tcPr>
          <w:p w14:paraId="401D7E4F"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6836DB2"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3B142D11"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011B221"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11EB645F"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0E7655D3"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6CC733CD"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311B297F"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7A13C7DF"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63E7B4F0"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4B155000" w14:textId="77777777" w:rsidR="00283998" w:rsidRDefault="00283998">
            <w:pPr>
              <w:jc w:val="center"/>
              <w:rPr>
                <w:rFonts w:ascii="Arial" w:hAnsi="Arial" w:cs="Arial"/>
                <w:bCs/>
                <w:sz w:val="20"/>
                <w:szCs w:val="20"/>
              </w:rPr>
            </w:pPr>
            <w:r>
              <w:rPr>
                <w:rFonts w:ascii="Arial" w:hAnsi="Arial" w:cs="Arial"/>
                <w:bCs/>
                <w:sz w:val="20"/>
                <w:szCs w:val="20"/>
              </w:rPr>
              <w:t>400</w:t>
            </w:r>
          </w:p>
        </w:tc>
        <w:tc>
          <w:tcPr>
            <w:tcW w:w="1276" w:type="dxa"/>
            <w:tcBorders>
              <w:top w:val="single" w:sz="4" w:space="0" w:color="auto"/>
              <w:left w:val="single" w:sz="4" w:space="0" w:color="auto"/>
              <w:bottom w:val="single" w:sz="4" w:space="0" w:color="auto"/>
              <w:right w:val="single" w:sz="4" w:space="0" w:color="auto"/>
            </w:tcBorders>
            <w:hideMark/>
          </w:tcPr>
          <w:p w14:paraId="0BAAF0A9" w14:textId="77777777" w:rsidR="00283998" w:rsidRDefault="00283998">
            <w:pPr>
              <w:jc w:val="center"/>
              <w:rPr>
                <w:rFonts w:ascii="Arial" w:hAnsi="Arial" w:cs="Arial"/>
                <w:bCs/>
                <w:sz w:val="20"/>
                <w:szCs w:val="20"/>
              </w:rPr>
            </w:pPr>
            <w:r>
              <w:rPr>
                <w:rFonts w:ascii="Arial" w:hAnsi="Arial" w:cs="Arial"/>
                <w:bCs/>
                <w:sz w:val="20"/>
                <w:szCs w:val="20"/>
              </w:rPr>
              <w:t>600</w:t>
            </w:r>
          </w:p>
        </w:tc>
      </w:tr>
      <w:tr w:rsidR="00283998" w14:paraId="65844101" w14:textId="77777777" w:rsidTr="00F8677C">
        <w:trPr>
          <w:trHeight w:val="235"/>
        </w:trPr>
        <w:tc>
          <w:tcPr>
            <w:tcW w:w="2413" w:type="dxa"/>
            <w:tcBorders>
              <w:top w:val="single" w:sz="4" w:space="0" w:color="auto"/>
              <w:left w:val="single" w:sz="4" w:space="0" w:color="auto"/>
              <w:bottom w:val="single" w:sz="4" w:space="0" w:color="auto"/>
              <w:right w:val="single" w:sz="4" w:space="0" w:color="auto"/>
            </w:tcBorders>
            <w:hideMark/>
          </w:tcPr>
          <w:p w14:paraId="0B1A85BC" w14:textId="77777777" w:rsidR="00283998" w:rsidRDefault="00283998">
            <w:pPr>
              <w:ind w:left="0" w:right="-114" w:firstLine="0"/>
              <w:jc w:val="left"/>
              <w:rPr>
                <w:rFonts w:ascii="Arial" w:hAnsi="Arial" w:cs="Arial"/>
                <w:bCs/>
                <w:sz w:val="20"/>
                <w:szCs w:val="20"/>
              </w:rPr>
            </w:pPr>
            <w:r>
              <w:rPr>
                <w:rFonts w:ascii="Arial" w:hAnsi="Arial" w:cs="Arial"/>
                <w:bCs/>
                <w:sz w:val="20"/>
                <w:szCs w:val="20"/>
              </w:rPr>
              <w:t>Database Server</w:t>
            </w:r>
          </w:p>
        </w:tc>
        <w:tc>
          <w:tcPr>
            <w:tcW w:w="3971" w:type="dxa"/>
            <w:tcBorders>
              <w:top w:val="single" w:sz="4" w:space="0" w:color="auto"/>
              <w:left w:val="single" w:sz="4" w:space="0" w:color="auto"/>
              <w:bottom w:val="single" w:sz="4" w:space="0" w:color="auto"/>
              <w:right w:val="single" w:sz="4" w:space="0" w:color="auto"/>
            </w:tcBorders>
            <w:hideMark/>
          </w:tcPr>
          <w:p w14:paraId="13894741" w14:textId="77777777" w:rsidR="00283998" w:rsidRDefault="00283998">
            <w:pPr>
              <w:ind w:left="0" w:right="-107" w:firstLine="0"/>
              <w:jc w:val="left"/>
              <w:rPr>
                <w:rFonts w:ascii="Arial" w:hAnsi="Arial" w:cs="Arial"/>
                <w:bCs/>
                <w:sz w:val="20"/>
                <w:szCs w:val="20"/>
              </w:rPr>
            </w:pPr>
            <w:r>
              <w:rPr>
                <w:rFonts w:ascii="Arial" w:hAnsi="Arial" w:cs="Arial"/>
                <w:bCs/>
                <w:sz w:val="20"/>
                <w:szCs w:val="20"/>
              </w:rPr>
              <w:t xml:space="preserve">Maintenance tasks configuration for </w:t>
            </w:r>
            <w:proofErr w:type="spellStart"/>
            <w:r>
              <w:rPr>
                <w:rFonts w:ascii="Arial" w:hAnsi="Arial" w:cs="Arial"/>
                <w:bCs/>
                <w:sz w:val="20"/>
                <w:szCs w:val="20"/>
              </w:rPr>
              <w:t>DBs.</w:t>
            </w:r>
            <w:proofErr w:type="spellEnd"/>
          </w:p>
        </w:tc>
        <w:tc>
          <w:tcPr>
            <w:tcW w:w="568" w:type="dxa"/>
            <w:tcBorders>
              <w:top w:val="single" w:sz="4" w:space="0" w:color="auto"/>
              <w:left w:val="single" w:sz="4" w:space="0" w:color="auto"/>
              <w:bottom w:val="single" w:sz="4" w:space="0" w:color="auto"/>
              <w:right w:val="single" w:sz="4" w:space="0" w:color="auto"/>
            </w:tcBorders>
            <w:hideMark/>
          </w:tcPr>
          <w:p w14:paraId="147F46CF"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1CC1D88"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3E95DC4C"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6312D0C"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7799EC3D"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6708D9EB"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599CECA7"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742FAC2A"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63ECBDDE"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0C3CDC2C"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15D73464" w14:textId="77777777" w:rsidR="00283998" w:rsidRDefault="00283998">
            <w:pPr>
              <w:jc w:val="center"/>
              <w:rPr>
                <w:rFonts w:ascii="Arial" w:hAnsi="Arial" w:cs="Arial"/>
                <w:bCs/>
                <w:sz w:val="20"/>
                <w:szCs w:val="20"/>
              </w:rPr>
            </w:pPr>
            <w:r>
              <w:rPr>
                <w:rFonts w:ascii="Arial" w:hAnsi="Arial" w:cs="Arial"/>
                <w:bCs/>
                <w:sz w:val="20"/>
                <w:szCs w:val="20"/>
              </w:rPr>
              <w:t>400</w:t>
            </w:r>
          </w:p>
        </w:tc>
        <w:tc>
          <w:tcPr>
            <w:tcW w:w="1276" w:type="dxa"/>
            <w:tcBorders>
              <w:top w:val="single" w:sz="4" w:space="0" w:color="auto"/>
              <w:left w:val="single" w:sz="4" w:space="0" w:color="auto"/>
              <w:bottom w:val="single" w:sz="4" w:space="0" w:color="auto"/>
              <w:right w:val="single" w:sz="4" w:space="0" w:color="auto"/>
            </w:tcBorders>
            <w:hideMark/>
          </w:tcPr>
          <w:p w14:paraId="7C01A0D7" w14:textId="77777777" w:rsidR="00283998" w:rsidRDefault="00283998">
            <w:pPr>
              <w:jc w:val="center"/>
              <w:rPr>
                <w:rFonts w:ascii="Arial" w:hAnsi="Arial" w:cs="Arial"/>
                <w:bCs/>
                <w:sz w:val="20"/>
                <w:szCs w:val="20"/>
              </w:rPr>
            </w:pPr>
            <w:r>
              <w:rPr>
                <w:rFonts w:ascii="Arial" w:hAnsi="Arial" w:cs="Arial"/>
                <w:bCs/>
                <w:sz w:val="20"/>
                <w:szCs w:val="20"/>
              </w:rPr>
              <w:t>600</w:t>
            </w:r>
          </w:p>
        </w:tc>
      </w:tr>
      <w:tr w:rsidR="00283998" w14:paraId="68C5FD1F" w14:textId="77777777" w:rsidTr="00F8677C">
        <w:trPr>
          <w:trHeight w:val="310"/>
        </w:trPr>
        <w:tc>
          <w:tcPr>
            <w:tcW w:w="2413" w:type="dxa"/>
            <w:tcBorders>
              <w:top w:val="single" w:sz="4" w:space="0" w:color="auto"/>
              <w:left w:val="single" w:sz="4" w:space="0" w:color="auto"/>
              <w:bottom w:val="single" w:sz="4" w:space="0" w:color="auto"/>
              <w:right w:val="single" w:sz="4" w:space="0" w:color="auto"/>
            </w:tcBorders>
            <w:hideMark/>
          </w:tcPr>
          <w:p w14:paraId="1DBEA898" w14:textId="77777777" w:rsidR="00283998" w:rsidRDefault="00283998">
            <w:pPr>
              <w:ind w:left="0" w:right="-114" w:firstLine="0"/>
              <w:jc w:val="left"/>
              <w:rPr>
                <w:rFonts w:ascii="Arial" w:hAnsi="Arial" w:cs="Arial"/>
                <w:bCs/>
                <w:sz w:val="20"/>
                <w:szCs w:val="20"/>
              </w:rPr>
            </w:pPr>
            <w:r>
              <w:rPr>
                <w:rFonts w:ascii="Arial" w:hAnsi="Arial" w:cs="Arial"/>
                <w:bCs/>
                <w:sz w:val="20"/>
                <w:szCs w:val="20"/>
              </w:rPr>
              <w:t>Database Server</w:t>
            </w:r>
          </w:p>
        </w:tc>
        <w:tc>
          <w:tcPr>
            <w:tcW w:w="3971" w:type="dxa"/>
            <w:tcBorders>
              <w:top w:val="single" w:sz="4" w:space="0" w:color="auto"/>
              <w:left w:val="single" w:sz="4" w:space="0" w:color="auto"/>
              <w:bottom w:val="single" w:sz="4" w:space="0" w:color="auto"/>
              <w:right w:val="single" w:sz="4" w:space="0" w:color="auto"/>
            </w:tcBorders>
            <w:hideMark/>
          </w:tcPr>
          <w:p w14:paraId="365691E8" w14:textId="77777777" w:rsidR="00283998" w:rsidRDefault="00283998">
            <w:pPr>
              <w:ind w:left="0" w:right="-107" w:firstLine="0"/>
              <w:jc w:val="left"/>
              <w:rPr>
                <w:rFonts w:ascii="Arial" w:hAnsi="Arial" w:cs="Arial"/>
                <w:bCs/>
                <w:sz w:val="20"/>
                <w:szCs w:val="20"/>
              </w:rPr>
            </w:pPr>
            <w:r>
              <w:rPr>
                <w:rFonts w:ascii="Arial" w:hAnsi="Arial" w:cs="Arial"/>
                <w:bCs/>
                <w:sz w:val="20"/>
                <w:szCs w:val="20"/>
              </w:rPr>
              <w:t xml:space="preserve">Configure </w:t>
            </w:r>
            <w:proofErr w:type="spellStart"/>
            <w:r>
              <w:rPr>
                <w:rFonts w:ascii="Arial" w:hAnsi="Arial" w:cs="Arial"/>
                <w:bCs/>
                <w:sz w:val="20"/>
                <w:szCs w:val="20"/>
              </w:rPr>
              <w:t>SysLog</w:t>
            </w:r>
            <w:proofErr w:type="spellEnd"/>
            <w:r>
              <w:rPr>
                <w:rFonts w:ascii="Arial" w:hAnsi="Arial" w:cs="Arial"/>
                <w:bCs/>
                <w:sz w:val="20"/>
                <w:szCs w:val="20"/>
              </w:rPr>
              <w:t xml:space="preserve"> and SMTP targets</w:t>
            </w:r>
          </w:p>
        </w:tc>
        <w:tc>
          <w:tcPr>
            <w:tcW w:w="568" w:type="dxa"/>
            <w:tcBorders>
              <w:top w:val="single" w:sz="4" w:space="0" w:color="auto"/>
              <w:left w:val="single" w:sz="4" w:space="0" w:color="auto"/>
              <w:bottom w:val="single" w:sz="4" w:space="0" w:color="auto"/>
              <w:right w:val="single" w:sz="4" w:space="0" w:color="auto"/>
            </w:tcBorders>
            <w:hideMark/>
          </w:tcPr>
          <w:p w14:paraId="32283E15"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CE28C70"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2A32723D"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C5567EC"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2380B9CE"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1C64CB10"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61CED344"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568BC938"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4BB34A4D"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38364776"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15604B64" w14:textId="77777777" w:rsidR="00283998" w:rsidRDefault="00283998">
            <w:pPr>
              <w:jc w:val="center"/>
              <w:rPr>
                <w:rFonts w:ascii="Arial" w:hAnsi="Arial" w:cs="Arial"/>
                <w:bCs/>
                <w:sz w:val="20"/>
                <w:szCs w:val="20"/>
              </w:rPr>
            </w:pPr>
            <w:r>
              <w:rPr>
                <w:rFonts w:ascii="Arial" w:hAnsi="Arial" w:cs="Arial"/>
                <w:bCs/>
                <w:sz w:val="20"/>
                <w:szCs w:val="20"/>
              </w:rPr>
              <w:t>400</w:t>
            </w:r>
          </w:p>
        </w:tc>
        <w:tc>
          <w:tcPr>
            <w:tcW w:w="1276" w:type="dxa"/>
            <w:tcBorders>
              <w:top w:val="single" w:sz="4" w:space="0" w:color="auto"/>
              <w:left w:val="single" w:sz="4" w:space="0" w:color="auto"/>
              <w:bottom w:val="single" w:sz="4" w:space="0" w:color="auto"/>
              <w:right w:val="single" w:sz="4" w:space="0" w:color="auto"/>
            </w:tcBorders>
            <w:hideMark/>
          </w:tcPr>
          <w:p w14:paraId="2A3906C8" w14:textId="77777777" w:rsidR="00283998" w:rsidRDefault="00283998">
            <w:pPr>
              <w:jc w:val="center"/>
              <w:rPr>
                <w:rFonts w:ascii="Arial" w:hAnsi="Arial" w:cs="Arial"/>
                <w:bCs/>
                <w:sz w:val="20"/>
                <w:szCs w:val="20"/>
              </w:rPr>
            </w:pPr>
            <w:r>
              <w:rPr>
                <w:rFonts w:ascii="Arial" w:hAnsi="Arial" w:cs="Arial"/>
                <w:bCs/>
                <w:sz w:val="20"/>
                <w:szCs w:val="20"/>
              </w:rPr>
              <w:t>600</w:t>
            </w:r>
          </w:p>
        </w:tc>
      </w:tr>
      <w:tr w:rsidR="00283998" w14:paraId="480E5174" w14:textId="77777777" w:rsidTr="00F8677C">
        <w:trPr>
          <w:trHeight w:val="510"/>
        </w:trPr>
        <w:tc>
          <w:tcPr>
            <w:tcW w:w="2413" w:type="dxa"/>
            <w:tcBorders>
              <w:top w:val="single" w:sz="4" w:space="0" w:color="auto"/>
              <w:left w:val="single" w:sz="4" w:space="0" w:color="auto"/>
              <w:bottom w:val="single" w:sz="4" w:space="0" w:color="auto"/>
              <w:right w:val="single" w:sz="4" w:space="0" w:color="auto"/>
            </w:tcBorders>
            <w:hideMark/>
          </w:tcPr>
          <w:p w14:paraId="0E8C7FA2" w14:textId="77777777" w:rsidR="00283998" w:rsidRDefault="00283998">
            <w:pPr>
              <w:ind w:left="0" w:right="-114" w:firstLine="0"/>
              <w:jc w:val="left"/>
              <w:rPr>
                <w:rFonts w:ascii="Arial" w:hAnsi="Arial" w:cs="Arial"/>
                <w:bCs/>
                <w:sz w:val="20"/>
                <w:szCs w:val="20"/>
              </w:rPr>
            </w:pPr>
            <w:r>
              <w:rPr>
                <w:rFonts w:ascii="Arial" w:hAnsi="Arial" w:cs="Arial"/>
                <w:bCs/>
                <w:sz w:val="20"/>
                <w:szCs w:val="20"/>
              </w:rPr>
              <w:t>Database Server</w:t>
            </w:r>
          </w:p>
        </w:tc>
        <w:tc>
          <w:tcPr>
            <w:tcW w:w="3971" w:type="dxa"/>
            <w:tcBorders>
              <w:top w:val="single" w:sz="4" w:space="0" w:color="auto"/>
              <w:left w:val="single" w:sz="4" w:space="0" w:color="auto"/>
              <w:bottom w:val="single" w:sz="4" w:space="0" w:color="auto"/>
              <w:right w:val="single" w:sz="4" w:space="0" w:color="auto"/>
            </w:tcBorders>
            <w:hideMark/>
          </w:tcPr>
          <w:p w14:paraId="3F091682" w14:textId="77777777" w:rsidR="00283998" w:rsidRDefault="00283998">
            <w:pPr>
              <w:ind w:left="0" w:right="-107" w:firstLine="0"/>
              <w:jc w:val="left"/>
              <w:rPr>
                <w:rFonts w:ascii="Arial" w:hAnsi="Arial" w:cs="Arial"/>
                <w:bCs/>
                <w:sz w:val="20"/>
                <w:szCs w:val="20"/>
              </w:rPr>
            </w:pPr>
            <w:r>
              <w:rPr>
                <w:rFonts w:ascii="Arial" w:hAnsi="Arial" w:cs="Arial"/>
                <w:bCs/>
                <w:sz w:val="20"/>
                <w:szCs w:val="20"/>
              </w:rPr>
              <w:t xml:space="preserve">Scale up and scale out of the DBMS service. </w:t>
            </w:r>
          </w:p>
        </w:tc>
        <w:tc>
          <w:tcPr>
            <w:tcW w:w="568" w:type="dxa"/>
            <w:tcBorders>
              <w:top w:val="single" w:sz="4" w:space="0" w:color="auto"/>
              <w:left w:val="single" w:sz="4" w:space="0" w:color="auto"/>
              <w:bottom w:val="single" w:sz="4" w:space="0" w:color="auto"/>
              <w:right w:val="single" w:sz="4" w:space="0" w:color="auto"/>
            </w:tcBorders>
            <w:hideMark/>
          </w:tcPr>
          <w:p w14:paraId="5AB15CF4"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147F3C6"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205FEBCB"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AE57DB3"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71140348"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27CED765"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452A0972"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78B92663"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7202AB35"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6B6F0B35"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1E0DF34E" w14:textId="77777777" w:rsidR="00283998" w:rsidRDefault="00283998">
            <w:pPr>
              <w:jc w:val="center"/>
              <w:rPr>
                <w:rFonts w:ascii="Arial" w:hAnsi="Arial" w:cs="Arial"/>
                <w:bCs/>
                <w:sz w:val="20"/>
                <w:szCs w:val="20"/>
              </w:rPr>
            </w:pPr>
            <w:r>
              <w:rPr>
                <w:rFonts w:ascii="Arial" w:hAnsi="Arial" w:cs="Arial"/>
                <w:bCs/>
                <w:sz w:val="20"/>
                <w:szCs w:val="20"/>
              </w:rPr>
              <w:t>400</w:t>
            </w:r>
          </w:p>
        </w:tc>
        <w:tc>
          <w:tcPr>
            <w:tcW w:w="1276" w:type="dxa"/>
            <w:tcBorders>
              <w:top w:val="single" w:sz="4" w:space="0" w:color="auto"/>
              <w:left w:val="single" w:sz="4" w:space="0" w:color="auto"/>
              <w:bottom w:val="single" w:sz="4" w:space="0" w:color="auto"/>
              <w:right w:val="single" w:sz="4" w:space="0" w:color="auto"/>
            </w:tcBorders>
            <w:hideMark/>
          </w:tcPr>
          <w:p w14:paraId="183BC557" w14:textId="77777777" w:rsidR="00283998" w:rsidRDefault="00283998">
            <w:pPr>
              <w:jc w:val="center"/>
              <w:rPr>
                <w:rFonts w:ascii="Arial" w:hAnsi="Arial" w:cs="Arial"/>
                <w:bCs/>
                <w:sz w:val="20"/>
                <w:szCs w:val="20"/>
              </w:rPr>
            </w:pPr>
            <w:r>
              <w:rPr>
                <w:rFonts w:ascii="Arial" w:hAnsi="Arial" w:cs="Arial"/>
                <w:bCs/>
                <w:sz w:val="20"/>
                <w:szCs w:val="20"/>
              </w:rPr>
              <w:t>600</w:t>
            </w:r>
          </w:p>
        </w:tc>
      </w:tr>
      <w:tr w:rsidR="00283998" w14:paraId="6D3BDD1E" w14:textId="77777777" w:rsidTr="00F8677C">
        <w:trPr>
          <w:trHeight w:val="510"/>
        </w:trPr>
        <w:tc>
          <w:tcPr>
            <w:tcW w:w="2413" w:type="dxa"/>
            <w:tcBorders>
              <w:top w:val="single" w:sz="4" w:space="0" w:color="auto"/>
              <w:left w:val="single" w:sz="4" w:space="0" w:color="auto"/>
              <w:bottom w:val="single" w:sz="4" w:space="0" w:color="auto"/>
              <w:right w:val="single" w:sz="4" w:space="0" w:color="auto"/>
            </w:tcBorders>
            <w:hideMark/>
          </w:tcPr>
          <w:p w14:paraId="6857A77B" w14:textId="77777777" w:rsidR="00283998" w:rsidRDefault="00283998">
            <w:pPr>
              <w:ind w:left="0" w:right="-114" w:firstLine="0"/>
              <w:jc w:val="left"/>
              <w:rPr>
                <w:rFonts w:ascii="Arial" w:hAnsi="Arial" w:cs="Arial"/>
                <w:bCs/>
                <w:sz w:val="20"/>
                <w:szCs w:val="20"/>
              </w:rPr>
            </w:pPr>
            <w:r>
              <w:rPr>
                <w:rFonts w:ascii="Arial" w:hAnsi="Arial" w:cs="Arial"/>
                <w:bCs/>
                <w:sz w:val="20"/>
                <w:szCs w:val="20"/>
              </w:rPr>
              <w:lastRenderedPageBreak/>
              <w:t>Database Server</w:t>
            </w:r>
          </w:p>
        </w:tc>
        <w:tc>
          <w:tcPr>
            <w:tcW w:w="3971" w:type="dxa"/>
            <w:tcBorders>
              <w:top w:val="single" w:sz="4" w:space="0" w:color="auto"/>
              <w:left w:val="single" w:sz="4" w:space="0" w:color="auto"/>
              <w:bottom w:val="single" w:sz="4" w:space="0" w:color="auto"/>
              <w:right w:val="single" w:sz="4" w:space="0" w:color="auto"/>
            </w:tcBorders>
            <w:hideMark/>
          </w:tcPr>
          <w:p w14:paraId="05C0F972" w14:textId="77777777" w:rsidR="00283998" w:rsidRDefault="00283998">
            <w:pPr>
              <w:ind w:left="0" w:right="-107" w:firstLine="0"/>
              <w:jc w:val="left"/>
              <w:rPr>
                <w:rFonts w:ascii="Arial" w:hAnsi="Arial" w:cs="Arial"/>
                <w:bCs/>
                <w:sz w:val="20"/>
                <w:szCs w:val="20"/>
              </w:rPr>
            </w:pPr>
            <w:r>
              <w:rPr>
                <w:rFonts w:ascii="Arial" w:hAnsi="Arial" w:cs="Arial"/>
                <w:bCs/>
                <w:sz w:val="20"/>
                <w:szCs w:val="20"/>
              </w:rPr>
              <w:t>Decommission Database Instance Service Component</w:t>
            </w:r>
          </w:p>
        </w:tc>
        <w:tc>
          <w:tcPr>
            <w:tcW w:w="568" w:type="dxa"/>
            <w:tcBorders>
              <w:top w:val="single" w:sz="4" w:space="0" w:color="auto"/>
              <w:left w:val="single" w:sz="4" w:space="0" w:color="auto"/>
              <w:bottom w:val="single" w:sz="4" w:space="0" w:color="auto"/>
              <w:right w:val="single" w:sz="4" w:space="0" w:color="auto"/>
            </w:tcBorders>
            <w:hideMark/>
          </w:tcPr>
          <w:p w14:paraId="572E4322"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4D25C73"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35316D3D"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4387F3F"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467675AB"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498CFC89"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40C0DE53"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421DE5BA"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1002E6AB"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5A57D648"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76C46FC7" w14:textId="77777777" w:rsidR="00283998" w:rsidRDefault="00283998">
            <w:pPr>
              <w:jc w:val="center"/>
              <w:rPr>
                <w:rFonts w:ascii="Arial" w:hAnsi="Arial" w:cs="Arial"/>
                <w:bCs/>
                <w:sz w:val="20"/>
                <w:szCs w:val="20"/>
              </w:rPr>
            </w:pPr>
            <w:r>
              <w:rPr>
                <w:rFonts w:ascii="Arial" w:hAnsi="Arial" w:cs="Arial"/>
                <w:bCs/>
                <w:sz w:val="20"/>
                <w:szCs w:val="20"/>
              </w:rPr>
              <w:t>400</w:t>
            </w:r>
          </w:p>
        </w:tc>
        <w:tc>
          <w:tcPr>
            <w:tcW w:w="1276" w:type="dxa"/>
            <w:tcBorders>
              <w:top w:val="single" w:sz="4" w:space="0" w:color="auto"/>
              <w:left w:val="single" w:sz="4" w:space="0" w:color="auto"/>
              <w:bottom w:val="single" w:sz="4" w:space="0" w:color="auto"/>
              <w:right w:val="single" w:sz="4" w:space="0" w:color="auto"/>
            </w:tcBorders>
            <w:hideMark/>
          </w:tcPr>
          <w:p w14:paraId="69012D83" w14:textId="77777777" w:rsidR="00283998" w:rsidRDefault="00283998">
            <w:pPr>
              <w:jc w:val="center"/>
              <w:rPr>
                <w:rFonts w:ascii="Arial" w:hAnsi="Arial" w:cs="Arial"/>
                <w:bCs/>
                <w:sz w:val="20"/>
                <w:szCs w:val="20"/>
              </w:rPr>
            </w:pPr>
            <w:r>
              <w:rPr>
                <w:rFonts w:ascii="Arial" w:hAnsi="Arial" w:cs="Arial"/>
                <w:bCs/>
                <w:sz w:val="20"/>
                <w:szCs w:val="20"/>
              </w:rPr>
              <w:t>600</w:t>
            </w:r>
          </w:p>
        </w:tc>
      </w:tr>
      <w:tr w:rsidR="00283998" w14:paraId="5A408243"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2C9EC2A2" w14:textId="77777777" w:rsidR="00283998" w:rsidRDefault="00283998">
            <w:pPr>
              <w:ind w:left="0" w:right="-114" w:firstLine="0"/>
              <w:jc w:val="left"/>
              <w:rPr>
                <w:rFonts w:ascii="Arial" w:hAnsi="Arial" w:cs="Arial"/>
                <w:bCs/>
                <w:sz w:val="20"/>
                <w:szCs w:val="20"/>
              </w:rPr>
            </w:pPr>
            <w:r>
              <w:rPr>
                <w:rFonts w:ascii="Arial" w:hAnsi="Arial" w:cs="Arial"/>
                <w:bCs/>
                <w:sz w:val="20"/>
                <w:szCs w:val="20"/>
              </w:rPr>
              <w:t>Active Directory Object</w:t>
            </w:r>
          </w:p>
        </w:tc>
        <w:tc>
          <w:tcPr>
            <w:tcW w:w="3971" w:type="dxa"/>
            <w:tcBorders>
              <w:top w:val="single" w:sz="4" w:space="0" w:color="auto"/>
              <w:left w:val="single" w:sz="4" w:space="0" w:color="auto"/>
              <w:bottom w:val="single" w:sz="4" w:space="0" w:color="auto"/>
              <w:right w:val="single" w:sz="4" w:space="0" w:color="auto"/>
            </w:tcBorders>
            <w:hideMark/>
          </w:tcPr>
          <w:p w14:paraId="619D88B5" w14:textId="77777777" w:rsidR="00283998" w:rsidRDefault="00283998">
            <w:pPr>
              <w:ind w:left="0" w:right="-107" w:firstLine="0"/>
              <w:jc w:val="left"/>
              <w:rPr>
                <w:rFonts w:ascii="Arial" w:hAnsi="Arial" w:cs="Arial"/>
                <w:bCs/>
                <w:sz w:val="20"/>
                <w:szCs w:val="20"/>
              </w:rPr>
            </w:pPr>
            <w:r>
              <w:rPr>
                <w:rFonts w:ascii="Arial" w:hAnsi="Arial" w:cs="Arial"/>
                <w:bCs/>
                <w:sz w:val="20"/>
                <w:szCs w:val="20"/>
              </w:rPr>
              <w:t>Create Active Directory Object</w:t>
            </w:r>
          </w:p>
        </w:tc>
        <w:tc>
          <w:tcPr>
            <w:tcW w:w="568" w:type="dxa"/>
            <w:tcBorders>
              <w:top w:val="single" w:sz="4" w:space="0" w:color="auto"/>
              <w:left w:val="single" w:sz="4" w:space="0" w:color="auto"/>
              <w:bottom w:val="single" w:sz="4" w:space="0" w:color="auto"/>
              <w:right w:val="single" w:sz="4" w:space="0" w:color="auto"/>
            </w:tcBorders>
            <w:hideMark/>
          </w:tcPr>
          <w:p w14:paraId="73926902"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2D36916"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13735879"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B15C783"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1D93D737"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4BB41EAA"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580936C0"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7486392A"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5C4C0328"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6B21FBF5"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11CBCB76" w14:textId="77777777" w:rsidR="00283998" w:rsidRDefault="00283998">
            <w:pPr>
              <w:jc w:val="center"/>
              <w:rPr>
                <w:rFonts w:ascii="Arial" w:hAnsi="Arial" w:cs="Arial"/>
                <w:bCs/>
                <w:sz w:val="20"/>
                <w:szCs w:val="20"/>
              </w:rPr>
            </w:pPr>
            <w:r>
              <w:rPr>
                <w:rFonts w:ascii="Arial" w:hAnsi="Arial" w:cs="Arial"/>
                <w:bCs/>
                <w:sz w:val="20"/>
                <w:szCs w:val="20"/>
              </w:rPr>
              <w:t>400</w:t>
            </w:r>
          </w:p>
        </w:tc>
        <w:tc>
          <w:tcPr>
            <w:tcW w:w="1276" w:type="dxa"/>
            <w:tcBorders>
              <w:top w:val="single" w:sz="4" w:space="0" w:color="auto"/>
              <w:left w:val="single" w:sz="4" w:space="0" w:color="auto"/>
              <w:bottom w:val="single" w:sz="4" w:space="0" w:color="auto"/>
              <w:right w:val="single" w:sz="4" w:space="0" w:color="auto"/>
            </w:tcBorders>
            <w:hideMark/>
          </w:tcPr>
          <w:p w14:paraId="52491F3F" w14:textId="77777777" w:rsidR="00283998" w:rsidRDefault="00283998">
            <w:pPr>
              <w:jc w:val="center"/>
              <w:rPr>
                <w:rFonts w:ascii="Arial" w:hAnsi="Arial" w:cs="Arial"/>
                <w:bCs/>
                <w:sz w:val="20"/>
                <w:szCs w:val="20"/>
              </w:rPr>
            </w:pPr>
            <w:r>
              <w:rPr>
                <w:rFonts w:ascii="Arial" w:hAnsi="Arial" w:cs="Arial"/>
                <w:bCs/>
                <w:sz w:val="20"/>
                <w:szCs w:val="20"/>
              </w:rPr>
              <w:t>600</w:t>
            </w:r>
          </w:p>
        </w:tc>
      </w:tr>
      <w:tr w:rsidR="00283998" w14:paraId="0F846EF6"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77D21E07" w14:textId="77777777" w:rsidR="00283998" w:rsidRDefault="00283998">
            <w:pPr>
              <w:ind w:left="0" w:right="-114" w:firstLine="0"/>
              <w:jc w:val="left"/>
              <w:rPr>
                <w:rFonts w:ascii="Arial" w:hAnsi="Arial" w:cs="Arial"/>
                <w:bCs/>
                <w:sz w:val="20"/>
                <w:szCs w:val="20"/>
              </w:rPr>
            </w:pPr>
            <w:r>
              <w:rPr>
                <w:rFonts w:ascii="Arial" w:hAnsi="Arial" w:cs="Arial"/>
                <w:bCs/>
                <w:sz w:val="20"/>
                <w:szCs w:val="20"/>
              </w:rPr>
              <w:t>Active Directory Object</w:t>
            </w:r>
          </w:p>
        </w:tc>
        <w:tc>
          <w:tcPr>
            <w:tcW w:w="3971" w:type="dxa"/>
            <w:tcBorders>
              <w:top w:val="single" w:sz="4" w:space="0" w:color="auto"/>
              <w:left w:val="single" w:sz="4" w:space="0" w:color="auto"/>
              <w:bottom w:val="single" w:sz="4" w:space="0" w:color="auto"/>
              <w:right w:val="single" w:sz="4" w:space="0" w:color="auto"/>
            </w:tcBorders>
            <w:hideMark/>
          </w:tcPr>
          <w:p w14:paraId="52D6DCA4"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roles</w:t>
            </w:r>
          </w:p>
        </w:tc>
        <w:tc>
          <w:tcPr>
            <w:tcW w:w="568" w:type="dxa"/>
            <w:tcBorders>
              <w:top w:val="single" w:sz="4" w:space="0" w:color="auto"/>
              <w:left w:val="single" w:sz="4" w:space="0" w:color="auto"/>
              <w:bottom w:val="single" w:sz="4" w:space="0" w:color="auto"/>
              <w:right w:val="single" w:sz="4" w:space="0" w:color="auto"/>
            </w:tcBorders>
            <w:hideMark/>
          </w:tcPr>
          <w:p w14:paraId="17DB6136"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62D2218"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1C81C584"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98327C7"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7799DA6D"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645D7F55"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71EAC3E8"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566A87ED"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4FED779F"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6412F782"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46AE33E2"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24093008"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51330579"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66A194DA" w14:textId="77777777" w:rsidR="00283998" w:rsidRDefault="00283998">
            <w:pPr>
              <w:ind w:left="0" w:right="-114" w:firstLine="0"/>
              <w:jc w:val="left"/>
              <w:rPr>
                <w:rFonts w:ascii="Arial" w:hAnsi="Arial" w:cs="Arial"/>
                <w:bCs/>
                <w:sz w:val="20"/>
                <w:szCs w:val="20"/>
              </w:rPr>
            </w:pPr>
            <w:r>
              <w:rPr>
                <w:rFonts w:ascii="Arial" w:hAnsi="Arial" w:cs="Arial"/>
                <w:bCs/>
                <w:sz w:val="20"/>
                <w:szCs w:val="20"/>
              </w:rPr>
              <w:t>Active Directory Object</w:t>
            </w:r>
          </w:p>
        </w:tc>
        <w:tc>
          <w:tcPr>
            <w:tcW w:w="3971" w:type="dxa"/>
            <w:tcBorders>
              <w:top w:val="single" w:sz="4" w:space="0" w:color="auto"/>
              <w:left w:val="single" w:sz="4" w:space="0" w:color="auto"/>
              <w:bottom w:val="single" w:sz="4" w:space="0" w:color="auto"/>
              <w:right w:val="single" w:sz="4" w:space="0" w:color="auto"/>
            </w:tcBorders>
            <w:hideMark/>
          </w:tcPr>
          <w:p w14:paraId="5FD865F4"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user account</w:t>
            </w:r>
          </w:p>
        </w:tc>
        <w:tc>
          <w:tcPr>
            <w:tcW w:w="568" w:type="dxa"/>
            <w:tcBorders>
              <w:top w:val="single" w:sz="4" w:space="0" w:color="auto"/>
              <w:left w:val="single" w:sz="4" w:space="0" w:color="auto"/>
              <w:bottom w:val="single" w:sz="4" w:space="0" w:color="auto"/>
              <w:right w:val="single" w:sz="4" w:space="0" w:color="auto"/>
            </w:tcBorders>
            <w:hideMark/>
          </w:tcPr>
          <w:p w14:paraId="0BCC3E06"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57433BD"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45F19F0B"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16F4A7A"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0589103A"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764035BE"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185AAE77"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69E3C932"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62AA6551"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3DFDD2AE"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4D883986"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7E139B20"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739C9C01"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2D65CDB2" w14:textId="77777777" w:rsidR="00283998" w:rsidRDefault="00283998">
            <w:pPr>
              <w:ind w:left="0" w:right="-114" w:firstLine="0"/>
              <w:jc w:val="left"/>
              <w:rPr>
                <w:rFonts w:ascii="Arial" w:hAnsi="Arial" w:cs="Arial"/>
                <w:bCs/>
                <w:sz w:val="20"/>
                <w:szCs w:val="20"/>
              </w:rPr>
            </w:pPr>
            <w:r>
              <w:rPr>
                <w:rFonts w:ascii="Arial" w:hAnsi="Arial" w:cs="Arial"/>
                <w:bCs/>
                <w:sz w:val="20"/>
                <w:szCs w:val="20"/>
              </w:rPr>
              <w:t>Active Directory Object</w:t>
            </w:r>
          </w:p>
        </w:tc>
        <w:tc>
          <w:tcPr>
            <w:tcW w:w="3971" w:type="dxa"/>
            <w:tcBorders>
              <w:top w:val="single" w:sz="4" w:space="0" w:color="auto"/>
              <w:left w:val="single" w:sz="4" w:space="0" w:color="auto"/>
              <w:bottom w:val="single" w:sz="4" w:space="0" w:color="auto"/>
              <w:right w:val="single" w:sz="4" w:space="0" w:color="auto"/>
            </w:tcBorders>
            <w:hideMark/>
          </w:tcPr>
          <w:p w14:paraId="3590FE3B"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service/system account</w:t>
            </w:r>
          </w:p>
        </w:tc>
        <w:tc>
          <w:tcPr>
            <w:tcW w:w="568" w:type="dxa"/>
            <w:tcBorders>
              <w:top w:val="single" w:sz="4" w:space="0" w:color="auto"/>
              <w:left w:val="single" w:sz="4" w:space="0" w:color="auto"/>
              <w:bottom w:val="single" w:sz="4" w:space="0" w:color="auto"/>
              <w:right w:val="single" w:sz="4" w:space="0" w:color="auto"/>
            </w:tcBorders>
            <w:hideMark/>
          </w:tcPr>
          <w:p w14:paraId="1675EBBD"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4E15E05"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14E0ADAD"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A7380BF"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0C1ECA06"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14390938"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6B23764B"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4A7E09FD"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60521ABB"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48D86062"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2FF67162"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1C689804"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76B40BE8"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5A19C84D" w14:textId="77777777" w:rsidR="00283998" w:rsidRDefault="00283998">
            <w:pPr>
              <w:ind w:left="0" w:right="-114" w:firstLine="0"/>
              <w:jc w:val="left"/>
              <w:rPr>
                <w:rFonts w:ascii="Arial" w:hAnsi="Arial" w:cs="Arial"/>
                <w:bCs/>
                <w:sz w:val="20"/>
                <w:szCs w:val="20"/>
              </w:rPr>
            </w:pPr>
            <w:r>
              <w:rPr>
                <w:rFonts w:ascii="Arial" w:hAnsi="Arial" w:cs="Arial"/>
                <w:bCs/>
                <w:sz w:val="20"/>
                <w:szCs w:val="20"/>
              </w:rPr>
              <w:t>Active Directory Object</w:t>
            </w:r>
          </w:p>
        </w:tc>
        <w:tc>
          <w:tcPr>
            <w:tcW w:w="3971" w:type="dxa"/>
            <w:tcBorders>
              <w:top w:val="single" w:sz="4" w:space="0" w:color="auto"/>
              <w:left w:val="single" w:sz="4" w:space="0" w:color="auto"/>
              <w:bottom w:val="single" w:sz="4" w:space="0" w:color="auto"/>
              <w:right w:val="single" w:sz="4" w:space="0" w:color="auto"/>
            </w:tcBorders>
            <w:hideMark/>
          </w:tcPr>
          <w:p w14:paraId="2A260837"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group</w:t>
            </w:r>
          </w:p>
        </w:tc>
        <w:tc>
          <w:tcPr>
            <w:tcW w:w="568" w:type="dxa"/>
            <w:tcBorders>
              <w:top w:val="single" w:sz="4" w:space="0" w:color="auto"/>
              <w:left w:val="single" w:sz="4" w:space="0" w:color="auto"/>
              <w:bottom w:val="single" w:sz="4" w:space="0" w:color="auto"/>
              <w:right w:val="single" w:sz="4" w:space="0" w:color="auto"/>
            </w:tcBorders>
            <w:hideMark/>
          </w:tcPr>
          <w:p w14:paraId="10160272"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768886F"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4046ECEE"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BFC41CC"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17751910"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024F284C"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31C9A8E7"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20616FBA"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5507F9D3"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2E0809E4"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05703B6F"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3DA4CF5E"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6769D4D6" w14:textId="77777777" w:rsidTr="00F8677C">
        <w:trPr>
          <w:trHeight w:val="250"/>
        </w:trPr>
        <w:tc>
          <w:tcPr>
            <w:tcW w:w="2413" w:type="dxa"/>
            <w:tcBorders>
              <w:top w:val="single" w:sz="4" w:space="0" w:color="auto"/>
              <w:left w:val="single" w:sz="4" w:space="0" w:color="auto"/>
              <w:bottom w:val="single" w:sz="4" w:space="0" w:color="auto"/>
              <w:right w:val="single" w:sz="4" w:space="0" w:color="auto"/>
            </w:tcBorders>
            <w:hideMark/>
          </w:tcPr>
          <w:p w14:paraId="7439BD69" w14:textId="77777777" w:rsidR="00283998" w:rsidRDefault="00283998">
            <w:pPr>
              <w:ind w:left="0" w:right="-114" w:firstLine="0"/>
              <w:jc w:val="left"/>
              <w:rPr>
                <w:rFonts w:ascii="Arial" w:hAnsi="Arial" w:cs="Arial"/>
                <w:bCs/>
                <w:sz w:val="20"/>
                <w:szCs w:val="20"/>
              </w:rPr>
            </w:pPr>
            <w:r>
              <w:rPr>
                <w:rFonts w:ascii="Arial" w:hAnsi="Arial" w:cs="Arial"/>
                <w:bCs/>
                <w:sz w:val="20"/>
                <w:szCs w:val="20"/>
              </w:rPr>
              <w:t>Active Directory Object</w:t>
            </w:r>
          </w:p>
        </w:tc>
        <w:tc>
          <w:tcPr>
            <w:tcW w:w="3971" w:type="dxa"/>
            <w:tcBorders>
              <w:top w:val="single" w:sz="4" w:space="0" w:color="auto"/>
              <w:left w:val="single" w:sz="4" w:space="0" w:color="auto"/>
              <w:bottom w:val="single" w:sz="4" w:space="0" w:color="auto"/>
              <w:right w:val="single" w:sz="4" w:space="0" w:color="auto"/>
            </w:tcBorders>
            <w:hideMark/>
          </w:tcPr>
          <w:p w14:paraId="66246858" w14:textId="77777777" w:rsidR="00283998" w:rsidRDefault="00283998">
            <w:pPr>
              <w:ind w:left="0" w:right="-107" w:firstLine="0"/>
              <w:jc w:val="left"/>
              <w:rPr>
                <w:rFonts w:ascii="Arial" w:hAnsi="Arial" w:cs="Arial"/>
                <w:bCs/>
                <w:sz w:val="20"/>
                <w:szCs w:val="20"/>
              </w:rPr>
            </w:pPr>
            <w:r>
              <w:rPr>
                <w:rFonts w:ascii="Arial" w:hAnsi="Arial" w:cs="Arial"/>
                <w:bCs/>
                <w:sz w:val="20"/>
                <w:szCs w:val="20"/>
              </w:rPr>
              <w:t>Decommission Active Directory Object</w:t>
            </w:r>
          </w:p>
        </w:tc>
        <w:tc>
          <w:tcPr>
            <w:tcW w:w="568" w:type="dxa"/>
            <w:tcBorders>
              <w:top w:val="single" w:sz="4" w:space="0" w:color="auto"/>
              <w:left w:val="single" w:sz="4" w:space="0" w:color="auto"/>
              <w:bottom w:val="single" w:sz="4" w:space="0" w:color="auto"/>
              <w:right w:val="single" w:sz="4" w:space="0" w:color="auto"/>
            </w:tcBorders>
            <w:hideMark/>
          </w:tcPr>
          <w:p w14:paraId="1DC3D3E8"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CA5403F"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6A9EB056"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4DFD265"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9974FE5"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3CE0F0EA"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1C870A11" w14:textId="77777777" w:rsidR="00283998" w:rsidRDefault="00283998">
            <w:pPr>
              <w:jc w:val="center"/>
              <w:rPr>
                <w:rFonts w:ascii="Arial" w:hAnsi="Arial" w:cs="Arial"/>
                <w:bCs/>
                <w:sz w:val="20"/>
                <w:szCs w:val="20"/>
              </w:rPr>
            </w:pPr>
            <w:r>
              <w:rPr>
                <w:rFonts w:ascii="Arial" w:hAnsi="Arial" w:cs="Arial"/>
                <w:bCs/>
                <w:sz w:val="20"/>
                <w:szCs w:val="20"/>
              </w:rPr>
              <w:t>X</w:t>
            </w:r>
          </w:p>
        </w:tc>
        <w:tc>
          <w:tcPr>
            <w:tcW w:w="708" w:type="dxa"/>
            <w:tcBorders>
              <w:top w:val="single" w:sz="4" w:space="0" w:color="auto"/>
              <w:left w:val="single" w:sz="4" w:space="0" w:color="auto"/>
              <w:bottom w:val="single" w:sz="4" w:space="0" w:color="auto"/>
              <w:right w:val="single" w:sz="4" w:space="0" w:color="auto"/>
            </w:tcBorders>
            <w:hideMark/>
          </w:tcPr>
          <w:p w14:paraId="0399E57A" w14:textId="77777777" w:rsidR="00283998" w:rsidRDefault="00283998">
            <w:pP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42052EBF"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5BDF1C6B"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19521635"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7D2AA0DA"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7946E536"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62170981" w14:textId="77777777" w:rsidR="00283998" w:rsidRDefault="00283998">
            <w:pPr>
              <w:ind w:left="0" w:right="-114" w:firstLine="0"/>
              <w:jc w:val="left"/>
              <w:rPr>
                <w:rFonts w:ascii="Arial" w:hAnsi="Arial" w:cs="Arial"/>
                <w:bCs/>
                <w:sz w:val="20"/>
                <w:szCs w:val="20"/>
              </w:rPr>
            </w:pPr>
            <w:r>
              <w:rPr>
                <w:rFonts w:ascii="Arial" w:hAnsi="Arial" w:cs="Arial"/>
                <w:bCs/>
                <w:sz w:val="20"/>
                <w:szCs w:val="20"/>
              </w:rPr>
              <w:t xml:space="preserve">DC LAN ACI </w:t>
            </w:r>
            <w:proofErr w:type="spellStart"/>
            <w:r>
              <w:rPr>
                <w:rFonts w:ascii="Arial" w:hAnsi="Arial" w:cs="Arial"/>
                <w:bCs/>
                <w:sz w:val="20"/>
                <w:szCs w:val="20"/>
              </w:rPr>
              <w:t>tennant</w:t>
            </w:r>
            <w:proofErr w:type="spellEnd"/>
          </w:p>
        </w:tc>
        <w:tc>
          <w:tcPr>
            <w:tcW w:w="3971" w:type="dxa"/>
            <w:tcBorders>
              <w:top w:val="single" w:sz="4" w:space="0" w:color="auto"/>
              <w:left w:val="single" w:sz="4" w:space="0" w:color="auto"/>
              <w:bottom w:val="single" w:sz="4" w:space="0" w:color="auto"/>
              <w:right w:val="single" w:sz="4" w:space="0" w:color="auto"/>
            </w:tcBorders>
            <w:hideMark/>
          </w:tcPr>
          <w:p w14:paraId="28D48C0E" w14:textId="77777777" w:rsidR="00283998" w:rsidRDefault="00283998">
            <w:pPr>
              <w:ind w:left="0" w:right="-107" w:firstLine="0"/>
              <w:jc w:val="left"/>
              <w:rPr>
                <w:rFonts w:ascii="Arial" w:hAnsi="Arial" w:cs="Arial"/>
                <w:bCs/>
                <w:sz w:val="20"/>
                <w:szCs w:val="20"/>
              </w:rPr>
            </w:pPr>
            <w:r>
              <w:rPr>
                <w:rFonts w:ascii="Arial" w:hAnsi="Arial" w:cs="Arial"/>
                <w:bCs/>
                <w:sz w:val="20"/>
                <w:szCs w:val="20"/>
              </w:rPr>
              <w:t xml:space="preserve">Create ACI </w:t>
            </w:r>
            <w:proofErr w:type="spellStart"/>
            <w:r>
              <w:rPr>
                <w:rFonts w:ascii="Arial" w:hAnsi="Arial" w:cs="Arial"/>
                <w:bCs/>
                <w:sz w:val="20"/>
                <w:szCs w:val="20"/>
              </w:rPr>
              <w:t>tennant</w:t>
            </w:r>
            <w:proofErr w:type="spellEnd"/>
          </w:p>
        </w:tc>
        <w:tc>
          <w:tcPr>
            <w:tcW w:w="568" w:type="dxa"/>
            <w:tcBorders>
              <w:top w:val="single" w:sz="4" w:space="0" w:color="auto"/>
              <w:left w:val="single" w:sz="4" w:space="0" w:color="auto"/>
              <w:bottom w:val="single" w:sz="4" w:space="0" w:color="auto"/>
              <w:right w:val="single" w:sz="4" w:space="0" w:color="auto"/>
            </w:tcBorders>
            <w:hideMark/>
          </w:tcPr>
          <w:p w14:paraId="7D0DC807"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14BFB7AC"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19F5F02B"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B0B5B52"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DBB0705"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1B09276E"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493A6DEB"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6197AABC"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127DCA63"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7EC9F481"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24B5F014"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72C7E270"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37FCFB79"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2FD432A4"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Bridge Domain</w:t>
            </w:r>
          </w:p>
        </w:tc>
        <w:tc>
          <w:tcPr>
            <w:tcW w:w="3971" w:type="dxa"/>
            <w:tcBorders>
              <w:top w:val="single" w:sz="4" w:space="0" w:color="auto"/>
              <w:left w:val="single" w:sz="4" w:space="0" w:color="auto"/>
              <w:bottom w:val="single" w:sz="4" w:space="0" w:color="auto"/>
              <w:right w:val="single" w:sz="4" w:space="0" w:color="auto"/>
            </w:tcBorders>
            <w:hideMark/>
          </w:tcPr>
          <w:p w14:paraId="7AA79850" w14:textId="77777777" w:rsidR="00283998" w:rsidRDefault="00283998">
            <w:pPr>
              <w:ind w:left="0" w:right="-107" w:firstLine="0"/>
              <w:jc w:val="left"/>
              <w:rPr>
                <w:rFonts w:ascii="Arial" w:hAnsi="Arial" w:cs="Arial"/>
                <w:bCs/>
                <w:sz w:val="20"/>
                <w:szCs w:val="20"/>
              </w:rPr>
            </w:pPr>
            <w:r>
              <w:rPr>
                <w:rFonts w:ascii="Arial" w:hAnsi="Arial" w:cs="Arial"/>
                <w:bCs/>
                <w:sz w:val="20"/>
                <w:szCs w:val="20"/>
              </w:rPr>
              <w:t>Create Bridge Domain</w:t>
            </w:r>
          </w:p>
        </w:tc>
        <w:tc>
          <w:tcPr>
            <w:tcW w:w="568" w:type="dxa"/>
            <w:tcBorders>
              <w:top w:val="single" w:sz="4" w:space="0" w:color="auto"/>
              <w:left w:val="single" w:sz="4" w:space="0" w:color="auto"/>
              <w:bottom w:val="single" w:sz="4" w:space="0" w:color="auto"/>
              <w:right w:val="single" w:sz="4" w:space="0" w:color="auto"/>
            </w:tcBorders>
            <w:hideMark/>
          </w:tcPr>
          <w:p w14:paraId="0A8B33FF"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195665BA"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22894ADE"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809E644"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ED37A58"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1209724A"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0F723F27"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2CED6C79"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2B67255E"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2F113E99"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439B36F1"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3497A0B4"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1BB2F036"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7F4821E0"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Subnet</w:t>
            </w:r>
          </w:p>
        </w:tc>
        <w:tc>
          <w:tcPr>
            <w:tcW w:w="3971" w:type="dxa"/>
            <w:tcBorders>
              <w:top w:val="single" w:sz="4" w:space="0" w:color="auto"/>
              <w:left w:val="single" w:sz="4" w:space="0" w:color="auto"/>
              <w:bottom w:val="single" w:sz="4" w:space="0" w:color="auto"/>
              <w:right w:val="single" w:sz="4" w:space="0" w:color="auto"/>
            </w:tcBorders>
            <w:hideMark/>
          </w:tcPr>
          <w:p w14:paraId="0D48952D" w14:textId="77777777" w:rsidR="00283998" w:rsidRDefault="00283998">
            <w:pPr>
              <w:ind w:left="0" w:right="-107" w:firstLine="0"/>
              <w:jc w:val="left"/>
              <w:rPr>
                <w:rFonts w:ascii="Arial" w:hAnsi="Arial" w:cs="Arial"/>
                <w:bCs/>
                <w:sz w:val="20"/>
                <w:szCs w:val="20"/>
              </w:rPr>
            </w:pPr>
            <w:r>
              <w:rPr>
                <w:rFonts w:ascii="Arial" w:hAnsi="Arial" w:cs="Arial"/>
                <w:bCs/>
                <w:sz w:val="20"/>
                <w:szCs w:val="20"/>
              </w:rPr>
              <w:t>Create Subnet</w:t>
            </w:r>
          </w:p>
        </w:tc>
        <w:tc>
          <w:tcPr>
            <w:tcW w:w="568" w:type="dxa"/>
            <w:tcBorders>
              <w:top w:val="single" w:sz="4" w:space="0" w:color="auto"/>
              <w:left w:val="single" w:sz="4" w:space="0" w:color="auto"/>
              <w:bottom w:val="single" w:sz="4" w:space="0" w:color="auto"/>
              <w:right w:val="single" w:sz="4" w:space="0" w:color="auto"/>
            </w:tcBorders>
            <w:hideMark/>
          </w:tcPr>
          <w:p w14:paraId="348F8A22"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01B30955"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4C79A039"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1049A33"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89C9228"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99FFDA6"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59D2791C"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7A7CFCA9"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27F5E944"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20029193"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1D976CE7"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55398BBF"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54B1277C"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3AB60895"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Endpoint group</w:t>
            </w:r>
          </w:p>
        </w:tc>
        <w:tc>
          <w:tcPr>
            <w:tcW w:w="3971" w:type="dxa"/>
            <w:tcBorders>
              <w:top w:val="single" w:sz="4" w:space="0" w:color="auto"/>
              <w:left w:val="single" w:sz="4" w:space="0" w:color="auto"/>
              <w:bottom w:val="single" w:sz="4" w:space="0" w:color="auto"/>
              <w:right w:val="single" w:sz="4" w:space="0" w:color="auto"/>
            </w:tcBorders>
            <w:hideMark/>
          </w:tcPr>
          <w:p w14:paraId="7474021C" w14:textId="77777777" w:rsidR="00283998" w:rsidRDefault="00283998">
            <w:pPr>
              <w:ind w:left="0" w:right="-107" w:firstLine="0"/>
              <w:jc w:val="left"/>
              <w:rPr>
                <w:rFonts w:ascii="Arial" w:hAnsi="Arial" w:cs="Arial"/>
                <w:bCs/>
                <w:sz w:val="20"/>
                <w:szCs w:val="20"/>
              </w:rPr>
            </w:pPr>
            <w:r>
              <w:rPr>
                <w:rFonts w:ascii="Arial" w:hAnsi="Arial" w:cs="Arial"/>
                <w:bCs/>
                <w:sz w:val="20"/>
                <w:szCs w:val="20"/>
              </w:rPr>
              <w:t>Create Endpoint group</w:t>
            </w:r>
          </w:p>
        </w:tc>
        <w:tc>
          <w:tcPr>
            <w:tcW w:w="568" w:type="dxa"/>
            <w:tcBorders>
              <w:top w:val="single" w:sz="4" w:space="0" w:color="auto"/>
              <w:left w:val="single" w:sz="4" w:space="0" w:color="auto"/>
              <w:bottom w:val="single" w:sz="4" w:space="0" w:color="auto"/>
              <w:right w:val="single" w:sz="4" w:space="0" w:color="auto"/>
            </w:tcBorders>
            <w:hideMark/>
          </w:tcPr>
          <w:p w14:paraId="2181DF0A"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0E5647A5"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1F074395"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4B87F45"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4F77998"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5009C0E"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036F84C7"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684588E7"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4EA1F21D"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35D22777"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5A40CD68"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0314EC12"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4B1B12E0"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2B449BB0"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Contract</w:t>
            </w:r>
          </w:p>
        </w:tc>
        <w:tc>
          <w:tcPr>
            <w:tcW w:w="3971" w:type="dxa"/>
            <w:tcBorders>
              <w:top w:val="single" w:sz="4" w:space="0" w:color="auto"/>
              <w:left w:val="single" w:sz="4" w:space="0" w:color="auto"/>
              <w:bottom w:val="single" w:sz="4" w:space="0" w:color="auto"/>
              <w:right w:val="single" w:sz="4" w:space="0" w:color="auto"/>
            </w:tcBorders>
            <w:hideMark/>
          </w:tcPr>
          <w:p w14:paraId="02157F0A" w14:textId="77777777" w:rsidR="00283998" w:rsidRDefault="00283998">
            <w:pPr>
              <w:ind w:left="0" w:right="-107" w:firstLine="0"/>
              <w:jc w:val="left"/>
              <w:rPr>
                <w:rFonts w:ascii="Arial" w:hAnsi="Arial" w:cs="Arial"/>
                <w:bCs/>
                <w:sz w:val="20"/>
                <w:szCs w:val="20"/>
              </w:rPr>
            </w:pPr>
            <w:r>
              <w:rPr>
                <w:rFonts w:ascii="Arial" w:hAnsi="Arial" w:cs="Arial"/>
                <w:bCs/>
                <w:sz w:val="20"/>
                <w:szCs w:val="20"/>
              </w:rPr>
              <w:t>Create Contract</w:t>
            </w:r>
          </w:p>
        </w:tc>
        <w:tc>
          <w:tcPr>
            <w:tcW w:w="568" w:type="dxa"/>
            <w:tcBorders>
              <w:top w:val="single" w:sz="4" w:space="0" w:color="auto"/>
              <w:left w:val="single" w:sz="4" w:space="0" w:color="auto"/>
              <w:bottom w:val="single" w:sz="4" w:space="0" w:color="auto"/>
              <w:right w:val="single" w:sz="4" w:space="0" w:color="auto"/>
            </w:tcBorders>
            <w:hideMark/>
          </w:tcPr>
          <w:p w14:paraId="0DB75CC8"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4E6F1656"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16B8BC22"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816247D"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482BBD6"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766CADD9"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42564502"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02A23C37"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24ECBF55"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2974DFF2"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03C01D03"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7C25A440"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5552C3E0"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68AFFD4E"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VLAN</w:t>
            </w:r>
          </w:p>
        </w:tc>
        <w:tc>
          <w:tcPr>
            <w:tcW w:w="3971" w:type="dxa"/>
            <w:tcBorders>
              <w:top w:val="single" w:sz="4" w:space="0" w:color="auto"/>
              <w:left w:val="single" w:sz="4" w:space="0" w:color="auto"/>
              <w:bottom w:val="single" w:sz="4" w:space="0" w:color="auto"/>
              <w:right w:val="single" w:sz="4" w:space="0" w:color="auto"/>
            </w:tcBorders>
            <w:hideMark/>
          </w:tcPr>
          <w:p w14:paraId="429582AF" w14:textId="77777777" w:rsidR="00283998" w:rsidRDefault="00283998">
            <w:pPr>
              <w:ind w:left="0" w:right="-107" w:firstLine="0"/>
              <w:jc w:val="left"/>
              <w:rPr>
                <w:rFonts w:ascii="Arial" w:hAnsi="Arial" w:cs="Arial"/>
                <w:bCs/>
                <w:sz w:val="20"/>
                <w:szCs w:val="20"/>
              </w:rPr>
            </w:pPr>
            <w:r>
              <w:rPr>
                <w:rFonts w:ascii="Arial" w:hAnsi="Arial" w:cs="Arial"/>
                <w:bCs/>
                <w:sz w:val="20"/>
                <w:szCs w:val="20"/>
              </w:rPr>
              <w:t>Create VLAN</w:t>
            </w:r>
          </w:p>
        </w:tc>
        <w:tc>
          <w:tcPr>
            <w:tcW w:w="568" w:type="dxa"/>
            <w:tcBorders>
              <w:top w:val="single" w:sz="4" w:space="0" w:color="auto"/>
              <w:left w:val="single" w:sz="4" w:space="0" w:color="auto"/>
              <w:bottom w:val="single" w:sz="4" w:space="0" w:color="auto"/>
              <w:right w:val="single" w:sz="4" w:space="0" w:color="auto"/>
            </w:tcBorders>
            <w:hideMark/>
          </w:tcPr>
          <w:p w14:paraId="7CC35C3F"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6DB6D392"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19DF7D74"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DDC96E5"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2959B2C"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406EA181"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6F36A662"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1E99EA40"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11BC5B6A"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020BB3E6"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16012F7C"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468772FA"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0517101A"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63314728"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VRF</w:t>
            </w:r>
          </w:p>
        </w:tc>
        <w:tc>
          <w:tcPr>
            <w:tcW w:w="3971" w:type="dxa"/>
            <w:tcBorders>
              <w:top w:val="single" w:sz="4" w:space="0" w:color="auto"/>
              <w:left w:val="single" w:sz="4" w:space="0" w:color="auto"/>
              <w:bottom w:val="single" w:sz="4" w:space="0" w:color="auto"/>
              <w:right w:val="single" w:sz="4" w:space="0" w:color="auto"/>
            </w:tcBorders>
            <w:hideMark/>
          </w:tcPr>
          <w:p w14:paraId="7483C11D" w14:textId="77777777" w:rsidR="00283998" w:rsidRDefault="00283998">
            <w:pPr>
              <w:ind w:left="0" w:right="-107" w:firstLine="0"/>
              <w:jc w:val="left"/>
              <w:rPr>
                <w:rFonts w:ascii="Arial" w:hAnsi="Arial" w:cs="Arial"/>
                <w:bCs/>
                <w:sz w:val="20"/>
                <w:szCs w:val="20"/>
              </w:rPr>
            </w:pPr>
            <w:r>
              <w:rPr>
                <w:rFonts w:ascii="Arial" w:hAnsi="Arial" w:cs="Arial"/>
                <w:bCs/>
                <w:sz w:val="20"/>
                <w:szCs w:val="20"/>
              </w:rPr>
              <w:t>Create VRF</w:t>
            </w:r>
          </w:p>
        </w:tc>
        <w:tc>
          <w:tcPr>
            <w:tcW w:w="568" w:type="dxa"/>
            <w:tcBorders>
              <w:top w:val="single" w:sz="4" w:space="0" w:color="auto"/>
              <w:left w:val="single" w:sz="4" w:space="0" w:color="auto"/>
              <w:bottom w:val="single" w:sz="4" w:space="0" w:color="auto"/>
              <w:right w:val="single" w:sz="4" w:space="0" w:color="auto"/>
            </w:tcBorders>
            <w:hideMark/>
          </w:tcPr>
          <w:p w14:paraId="7D9471D6"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42E02C22"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2D09E4E7"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F9F2F82"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8EE73E7"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7EE1517C"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250009D2"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0D8575DD"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54075814"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38CAEB55"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5BB2DD37"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77DD6FCD"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43EE847A"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60D1560A" w14:textId="77777777" w:rsidR="00283998" w:rsidRDefault="00283998">
            <w:pPr>
              <w:ind w:left="0" w:right="-114" w:firstLine="0"/>
              <w:jc w:val="left"/>
              <w:rPr>
                <w:rFonts w:ascii="Arial" w:hAnsi="Arial" w:cs="Arial"/>
                <w:bCs/>
                <w:sz w:val="20"/>
                <w:szCs w:val="20"/>
              </w:rPr>
            </w:pPr>
            <w:r>
              <w:rPr>
                <w:rFonts w:ascii="Arial" w:hAnsi="Arial" w:cs="Arial"/>
                <w:bCs/>
                <w:sz w:val="20"/>
                <w:szCs w:val="20"/>
              </w:rPr>
              <w:t xml:space="preserve">DC LAN </w:t>
            </w:r>
            <w:proofErr w:type="spellStart"/>
            <w:r>
              <w:rPr>
                <w:rFonts w:ascii="Arial" w:hAnsi="Arial" w:cs="Arial"/>
                <w:bCs/>
                <w:sz w:val="20"/>
                <w:szCs w:val="20"/>
              </w:rPr>
              <w:t>Loadbalancer</w:t>
            </w:r>
            <w:proofErr w:type="spellEnd"/>
          </w:p>
        </w:tc>
        <w:tc>
          <w:tcPr>
            <w:tcW w:w="3971" w:type="dxa"/>
            <w:tcBorders>
              <w:top w:val="single" w:sz="4" w:space="0" w:color="auto"/>
              <w:left w:val="single" w:sz="4" w:space="0" w:color="auto"/>
              <w:bottom w:val="single" w:sz="4" w:space="0" w:color="auto"/>
              <w:right w:val="single" w:sz="4" w:space="0" w:color="auto"/>
            </w:tcBorders>
            <w:hideMark/>
          </w:tcPr>
          <w:p w14:paraId="59DE97FF" w14:textId="77777777" w:rsidR="00283998" w:rsidRDefault="00283998">
            <w:pPr>
              <w:ind w:left="0" w:right="-107" w:firstLine="0"/>
              <w:jc w:val="left"/>
              <w:rPr>
                <w:rFonts w:ascii="Arial" w:hAnsi="Arial" w:cs="Arial"/>
                <w:bCs/>
                <w:sz w:val="20"/>
                <w:szCs w:val="20"/>
              </w:rPr>
            </w:pPr>
            <w:r>
              <w:rPr>
                <w:rFonts w:ascii="Arial" w:hAnsi="Arial" w:cs="Arial"/>
                <w:bCs/>
                <w:sz w:val="20"/>
                <w:szCs w:val="20"/>
              </w:rPr>
              <w:t xml:space="preserve">Create </w:t>
            </w:r>
            <w:proofErr w:type="spellStart"/>
            <w:r>
              <w:rPr>
                <w:rFonts w:ascii="Arial" w:hAnsi="Arial" w:cs="Arial"/>
                <w:bCs/>
                <w:sz w:val="20"/>
                <w:szCs w:val="20"/>
              </w:rPr>
              <w:t>Loadbalancer</w:t>
            </w:r>
            <w:proofErr w:type="spellEnd"/>
          </w:p>
        </w:tc>
        <w:tc>
          <w:tcPr>
            <w:tcW w:w="568" w:type="dxa"/>
            <w:tcBorders>
              <w:top w:val="single" w:sz="4" w:space="0" w:color="auto"/>
              <w:left w:val="single" w:sz="4" w:space="0" w:color="auto"/>
              <w:bottom w:val="single" w:sz="4" w:space="0" w:color="auto"/>
              <w:right w:val="single" w:sz="4" w:space="0" w:color="auto"/>
            </w:tcBorders>
            <w:hideMark/>
          </w:tcPr>
          <w:p w14:paraId="4B79EDB9"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1FA1B51D"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19ADEA63"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0058B11"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FB4E05F"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49106425"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14DEABCC"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3D71681B"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42B3BA16"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03F6B583"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2A9E1C10"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0EA75181"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3A0A519A"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305D0228"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Firewall</w:t>
            </w:r>
          </w:p>
        </w:tc>
        <w:tc>
          <w:tcPr>
            <w:tcW w:w="3971" w:type="dxa"/>
            <w:tcBorders>
              <w:top w:val="single" w:sz="4" w:space="0" w:color="auto"/>
              <w:left w:val="single" w:sz="4" w:space="0" w:color="auto"/>
              <w:bottom w:val="single" w:sz="4" w:space="0" w:color="auto"/>
              <w:right w:val="single" w:sz="4" w:space="0" w:color="auto"/>
            </w:tcBorders>
            <w:hideMark/>
          </w:tcPr>
          <w:p w14:paraId="7B287718" w14:textId="77777777" w:rsidR="00283998" w:rsidRDefault="00283998">
            <w:pPr>
              <w:ind w:left="0" w:right="-107" w:firstLine="0"/>
              <w:jc w:val="left"/>
              <w:rPr>
                <w:rFonts w:ascii="Arial" w:hAnsi="Arial" w:cs="Arial"/>
                <w:bCs/>
                <w:sz w:val="20"/>
                <w:szCs w:val="20"/>
              </w:rPr>
            </w:pPr>
            <w:r>
              <w:rPr>
                <w:rFonts w:ascii="Arial" w:hAnsi="Arial" w:cs="Arial"/>
                <w:bCs/>
                <w:sz w:val="20"/>
                <w:szCs w:val="20"/>
              </w:rPr>
              <w:t>Create Firewall</w:t>
            </w:r>
          </w:p>
        </w:tc>
        <w:tc>
          <w:tcPr>
            <w:tcW w:w="568" w:type="dxa"/>
            <w:tcBorders>
              <w:top w:val="single" w:sz="4" w:space="0" w:color="auto"/>
              <w:left w:val="single" w:sz="4" w:space="0" w:color="auto"/>
              <w:bottom w:val="single" w:sz="4" w:space="0" w:color="auto"/>
              <w:right w:val="single" w:sz="4" w:space="0" w:color="auto"/>
            </w:tcBorders>
            <w:hideMark/>
          </w:tcPr>
          <w:p w14:paraId="5A6DC742"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40820C6A"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58230564"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292A0B9"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E2CB96A"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74D1FA09"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36722601"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5428BC38"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39C9919A"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04E391F2"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2962B1F4"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4A51AA97"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7C3E4FC0"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38E94641"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ACI Tennant</w:t>
            </w:r>
          </w:p>
        </w:tc>
        <w:tc>
          <w:tcPr>
            <w:tcW w:w="3971" w:type="dxa"/>
            <w:tcBorders>
              <w:top w:val="single" w:sz="4" w:space="0" w:color="auto"/>
              <w:left w:val="single" w:sz="4" w:space="0" w:color="auto"/>
              <w:bottom w:val="single" w:sz="4" w:space="0" w:color="auto"/>
              <w:right w:val="single" w:sz="4" w:space="0" w:color="auto"/>
            </w:tcBorders>
            <w:hideMark/>
          </w:tcPr>
          <w:p w14:paraId="68390620" w14:textId="77777777" w:rsidR="00283998" w:rsidRDefault="00283998">
            <w:pPr>
              <w:ind w:left="0" w:right="-107" w:firstLine="0"/>
              <w:jc w:val="left"/>
              <w:rPr>
                <w:rFonts w:ascii="Arial" w:hAnsi="Arial" w:cs="Arial"/>
                <w:bCs/>
                <w:sz w:val="20"/>
                <w:szCs w:val="20"/>
              </w:rPr>
            </w:pPr>
            <w:r>
              <w:rPr>
                <w:rFonts w:ascii="Arial" w:hAnsi="Arial" w:cs="Arial"/>
                <w:bCs/>
                <w:sz w:val="20"/>
                <w:szCs w:val="20"/>
              </w:rPr>
              <w:t xml:space="preserve">Modify ACI </w:t>
            </w:r>
            <w:proofErr w:type="spellStart"/>
            <w:r>
              <w:rPr>
                <w:rFonts w:ascii="Arial" w:hAnsi="Arial" w:cs="Arial"/>
                <w:bCs/>
                <w:sz w:val="20"/>
                <w:szCs w:val="20"/>
              </w:rPr>
              <w:t>tennant</w:t>
            </w:r>
            <w:proofErr w:type="spellEnd"/>
          </w:p>
        </w:tc>
        <w:tc>
          <w:tcPr>
            <w:tcW w:w="568" w:type="dxa"/>
            <w:tcBorders>
              <w:top w:val="single" w:sz="4" w:space="0" w:color="auto"/>
              <w:left w:val="single" w:sz="4" w:space="0" w:color="auto"/>
              <w:bottom w:val="single" w:sz="4" w:space="0" w:color="auto"/>
              <w:right w:val="single" w:sz="4" w:space="0" w:color="auto"/>
            </w:tcBorders>
            <w:hideMark/>
          </w:tcPr>
          <w:p w14:paraId="6EACE3A5"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9A631F7"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77D7C8D6"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C40C08A"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4B273F48"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3BB37C22"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6FADE90F"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7DD2D3F0"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1C19A92F"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1F7C2174"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781C2D83"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6C0AFAA4"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27A8719F"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7D86616C"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Bridge Domain</w:t>
            </w:r>
          </w:p>
        </w:tc>
        <w:tc>
          <w:tcPr>
            <w:tcW w:w="3971" w:type="dxa"/>
            <w:tcBorders>
              <w:top w:val="single" w:sz="4" w:space="0" w:color="auto"/>
              <w:left w:val="single" w:sz="4" w:space="0" w:color="auto"/>
              <w:bottom w:val="single" w:sz="4" w:space="0" w:color="auto"/>
              <w:right w:val="single" w:sz="4" w:space="0" w:color="auto"/>
            </w:tcBorders>
            <w:hideMark/>
          </w:tcPr>
          <w:p w14:paraId="275462FF"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Bridge Domain</w:t>
            </w:r>
          </w:p>
        </w:tc>
        <w:tc>
          <w:tcPr>
            <w:tcW w:w="568" w:type="dxa"/>
            <w:tcBorders>
              <w:top w:val="single" w:sz="4" w:space="0" w:color="auto"/>
              <w:left w:val="single" w:sz="4" w:space="0" w:color="auto"/>
              <w:bottom w:val="single" w:sz="4" w:space="0" w:color="auto"/>
              <w:right w:val="single" w:sz="4" w:space="0" w:color="auto"/>
            </w:tcBorders>
            <w:hideMark/>
          </w:tcPr>
          <w:p w14:paraId="6B66A6BA"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C172275"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7E91CA20"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A0435D8"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4E928200"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65920E5E"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2F3E1A38"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7C80A9A9"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6EF9B7FF"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7D14985C"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1A2602D3"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3F4726CE"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4BA12D62"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041BB0DD" w14:textId="77777777" w:rsidR="00283998" w:rsidRDefault="00283998">
            <w:pPr>
              <w:ind w:left="0" w:right="-114" w:firstLine="0"/>
              <w:jc w:val="left"/>
              <w:rPr>
                <w:rFonts w:ascii="Arial" w:hAnsi="Arial" w:cs="Arial"/>
                <w:bCs/>
                <w:sz w:val="20"/>
                <w:szCs w:val="20"/>
              </w:rPr>
            </w:pPr>
            <w:r>
              <w:rPr>
                <w:rFonts w:ascii="Arial" w:hAnsi="Arial" w:cs="Arial"/>
                <w:bCs/>
                <w:sz w:val="20"/>
                <w:szCs w:val="20"/>
              </w:rPr>
              <w:lastRenderedPageBreak/>
              <w:t>DC LAN Subnet</w:t>
            </w:r>
          </w:p>
        </w:tc>
        <w:tc>
          <w:tcPr>
            <w:tcW w:w="3971" w:type="dxa"/>
            <w:tcBorders>
              <w:top w:val="single" w:sz="4" w:space="0" w:color="auto"/>
              <w:left w:val="single" w:sz="4" w:space="0" w:color="auto"/>
              <w:bottom w:val="single" w:sz="4" w:space="0" w:color="auto"/>
              <w:right w:val="single" w:sz="4" w:space="0" w:color="auto"/>
            </w:tcBorders>
            <w:hideMark/>
          </w:tcPr>
          <w:p w14:paraId="355CC86E"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Subnet</w:t>
            </w:r>
          </w:p>
        </w:tc>
        <w:tc>
          <w:tcPr>
            <w:tcW w:w="568" w:type="dxa"/>
            <w:tcBorders>
              <w:top w:val="single" w:sz="4" w:space="0" w:color="auto"/>
              <w:left w:val="single" w:sz="4" w:space="0" w:color="auto"/>
              <w:bottom w:val="single" w:sz="4" w:space="0" w:color="auto"/>
              <w:right w:val="single" w:sz="4" w:space="0" w:color="auto"/>
            </w:tcBorders>
            <w:hideMark/>
          </w:tcPr>
          <w:p w14:paraId="4381FC00"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CAD763F"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559E3E74"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2CED3D0"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43A0AD13"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061C9BEE"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1296ADC4"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3994E370"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1FE6121C"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58518E84"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4BD54FB2"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515F2F2A"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17353148"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0156DB40"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Endpoint group</w:t>
            </w:r>
          </w:p>
        </w:tc>
        <w:tc>
          <w:tcPr>
            <w:tcW w:w="3971" w:type="dxa"/>
            <w:tcBorders>
              <w:top w:val="single" w:sz="4" w:space="0" w:color="auto"/>
              <w:left w:val="single" w:sz="4" w:space="0" w:color="auto"/>
              <w:bottom w:val="single" w:sz="4" w:space="0" w:color="auto"/>
              <w:right w:val="single" w:sz="4" w:space="0" w:color="auto"/>
            </w:tcBorders>
            <w:hideMark/>
          </w:tcPr>
          <w:p w14:paraId="7C25E722"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Endpoint group</w:t>
            </w:r>
          </w:p>
        </w:tc>
        <w:tc>
          <w:tcPr>
            <w:tcW w:w="568" w:type="dxa"/>
            <w:tcBorders>
              <w:top w:val="single" w:sz="4" w:space="0" w:color="auto"/>
              <w:left w:val="single" w:sz="4" w:space="0" w:color="auto"/>
              <w:bottom w:val="single" w:sz="4" w:space="0" w:color="auto"/>
              <w:right w:val="single" w:sz="4" w:space="0" w:color="auto"/>
            </w:tcBorders>
            <w:hideMark/>
          </w:tcPr>
          <w:p w14:paraId="55210F18"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04CE7F4"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516B6C7B"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12D99CE"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6D72359F"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51800108"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36B47BE1"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450136C3"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5A9EB061"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14E15567"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239613EE"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4F875E30"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631AA9BD"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6EB04276"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Contract</w:t>
            </w:r>
          </w:p>
        </w:tc>
        <w:tc>
          <w:tcPr>
            <w:tcW w:w="3971" w:type="dxa"/>
            <w:tcBorders>
              <w:top w:val="single" w:sz="4" w:space="0" w:color="auto"/>
              <w:left w:val="single" w:sz="4" w:space="0" w:color="auto"/>
              <w:bottom w:val="single" w:sz="4" w:space="0" w:color="auto"/>
              <w:right w:val="single" w:sz="4" w:space="0" w:color="auto"/>
            </w:tcBorders>
            <w:hideMark/>
          </w:tcPr>
          <w:p w14:paraId="7AF2A89E"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Contract</w:t>
            </w:r>
          </w:p>
        </w:tc>
        <w:tc>
          <w:tcPr>
            <w:tcW w:w="568" w:type="dxa"/>
            <w:tcBorders>
              <w:top w:val="single" w:sz="4" w:space="0" w:color="auto"/>
              <w:left w:val="single" w:sz="4" w:space="0" w:color="auto"/>
              <w:bottom w:val="single" w:sz="4" w:space="0" w:color="auto"/>
              <w:right w:val="single" w:sz="4" w:space="0" w:color="auto"/>
            </w:tcBorders>
            <w:hideMark/>
          </w:tcPr>
          <w:p w14:paraId="4A3BAA10"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DF7FA9B"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5D56017F"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7844246"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37EF48CD"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71C8C459"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3E218F68"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28875309"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6A895A55"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325B5575"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74EA3687"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583ACEC1"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28639F21"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10EE9985"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VRF</w:t>
            </w:r>
          </w:p>
        </w:tc>
        <w:tc>
          <w:tcPr>
            <w:tcW w:w="3971" w:type="dxa"/>
            <w:tcBorders>
              <w:top w:val="single" w:sz="4" w:space="0" w:color="auto"/>
              <w:left w:val="single" w:sz="4" w:space="0" w:color="auto"/>
              <w:bottom w:val="single" w:sz="4" w:space="0" w:color="auto"/>
              <w:right w:val="single" w:sz="4" w:space="0" w:color="auto"/>
            </w:tcBorders>
            <w:hideMark/>
          </w:tcPr>
          <w:p w14:paraId="2C843F56"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VRF</w:t>
            </w:r>
          </w:p>
        </w:tc>
        <w:tc>
          <w:tcPr>
            <w:tcW w:w="568" w:type="dxa"/>
            <w:tcBorders>
              <w:top w:val="single" w:sz="4" w:space="0" w:color="auto"/>
              <w:left w:val="single" w:sz="4" w:space="0" w:color="auto"/>
              <w:bottom w:val="single" w:sz="4" w:space="0" w:color="auto"/>
              <w:right w:val="single" w:sz="4" w:space="0" w:color="auto"/>
            </w:tcBorders>
            <w:hideMark/>
          </w:tcPr>
          <w:p w14:paraId="687E8CAC"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9E798CB"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24DD9CAF"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4D09F7E"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32838E46"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7BF5E3AD"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232C524B"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765DD731"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09156BBD"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15D2EBBC"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57AA3601"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37E6B2BC"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66F9F7E5"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10DC7DBF"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General</w:t>
            </w:r>
          </w:p>
        </w:tc>
        <w:tc>
          <w:tcPr>
            <w:tcW w:w="3971" w:type="dxa"/>
            <w:tcBorders>
              <w:top w:val="single" w:sz="4" w:space="0" w:color="auto"/>
              <w:left w:val="single" w:sz="4" w:space="0" w:color="auto"/>
              <w:bottom w:val="single" w:sz="4" w:space="0" w:color="auto"/>
              <w:right w:val="single" w:sz="4" w:space="0" w:color="auto"/>
            </w:tcBorders>
            <w:hideMark/>
          </w:tcPr>
          <w:p w14:paraId="75D0CA2C"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Policies</w:t>
            </w:r>
          </w:p>
        </w:tc>
        <w:tc>
          <w:tcPr>
            <w:tcW w:w="568" w:type="dxa"/>
            <w:tcBorders>
              <w:top w:val="single" w:sz="4" w:space="0" w:color="auto"/>
              <w:left w:val="single" w:sz="4" w:space="0" w:color="auto"/>
              <w:bottom w:val="single" w:sz="4" w:space="0" w:color="auto"/>
              <w:right w:val="single" w:sz="4" w:space="0" w:color="auto"/>
            </w:tcBorders>
            <w:hideMark/>
          </w:tcPr>
          <w:p w14:paraId="65E8E641"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2D63796"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5F1F4584"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DBAB27E"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0E5E67F0"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56C625B2"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0AA110C2"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600C95F3"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5DE18350"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2F776D74"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13AEC95E"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336FE6E7"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0B3107A9"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1EA7ED13"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VLAN</w:t>
            </w:r>
          </w:p>
        </w:tc>
        <w:tc>
          <w:tcPr>
            <w:tcW w:w="3971" w:type="dxa"/>
            <w:tcBorders>
              <w:top w:val="single" w:sz="4" w:space="0" w:color="auto"/>
              <w:left w:val="single" w:sz="4" w:space="0" w:color="auto"/>
              <w:bottom w:val="single" w:sz="4" w:space="0" w:color="auto"/>
              <w:right w:val="single" w:sz="4" w:space="0" w:color="auto"/>
            </w:tcBorders>
            <w:hideMark/>
          </w:tcPr>
          <w:p w14:paraId="2B3EC66C"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VLAN</w:t>
            </w:r>
          </w:p>
        </w:tc>
        <w:tc>
          <w:tcPr>
            <w:tcW w:w="568" w:type="dxa"/>
            <w:tcBorders>
              <w:top w:val="single" w:sz="4" w:space="0" w:color="auto"/>
              <w:left w:val="single" w:sz="4" w:space="0" w:color="auto"/>
              <w:bottom w:val="single" w:sz="4" w:space="0" w:color="auto"/>
              <w:right w:val="single" w:sz="4" w:space="0" w:color="auto"/>
            </w:tcBorders>
            <w:hideMark/>
          </w:tcPr>
          <w:p w14:paraId="224EF2E1"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9C86CD1"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290367EB"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2B65B9F"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28E58D8C"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097402D7"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429DA774"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352DF392"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3EE5E721"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14E0B495"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0B7C7892"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412A349B"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5A275335"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72FFA0B4"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General</w:t>
            </w:r>
          </w:p>
        </w:tc>
        <w:tc>
          <w:tcPr>
            <w:tcW w:w="3971" w:type="dxa"/>
            <w:tcBorders>
              <w:top w:val="single" w:sz="4" w:space="0" w:color="auto"/>
              <w:left w:val="single" w:sz="4" w:space="0" w:color="auto"/>
              <w:bottom w:val="single" w:sz="4" w:space="0" w:color="auto"/>
              <w:right w:val="single" w:sz="4" w:space="0" w:color="auto"/>
            </w:tcBorders>
            <w:hideMark/>
          </w:tcPr>
          <w:p w14:paraId="53C51013"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Routing tables</w:t>
            </w:r>
          </w:p>
        </w:tc>
        <w:tc>
          <w:tcPr>
            <w:tcW w:w="568" w:type="dxa"/>
            <w:tcBorders>
              <w:top w:val="single" w:sz="4" w:space="0" w:color="auto"/>
              <w:left w:val="single" w:sz="4" w:space="0" w:color="auto"/>
              <w:bottom w:val="single" w:sz="4" w:space="0" w:color="auto"/>
              <w:right w:val="single" w:sz="4" w:space="0" w:color="auto"/>
            </w:tcBorders>
            <w:hideMark/>
          </w:tcPr>
          <w:p w14:paraId="4A069E51"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AF4551A"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A71B1D2"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6BF8401"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3C37F57A"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49D11E5D"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7686B5D7"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28FAF411"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3E71E680"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32A48A6D"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6D5F4DD6"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7C3A0D90"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6B4B6776"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31B008DF"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General</w:t>
            </w:r>
          </w:p>
        </w:tc>
        <w:tc>
          <w:tcPr>
            <w:tcW w:w="3971" w:type="dxa"/>
            <w:tcBorders>
              <w:top w:val="single" w:sz="4" w:space="0" w:color="auto"/>
              <w:left w:val="single" w:sz="4" w:space="0" w:color="auto"/>
              <w:bottom w:val="single" w:sz="4" w:space="0" w:color="auto"/>
              <w:right w:val="single" w:sz="4" w:space="0" w:color="auto"/>
            </w:tcBorders>
            <w:hideMark/>
          </w:tcPr>
          <w:p w14:paraId="49512D13"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DNS records in Infoblox</w:t>
            </w:r>
          </w:p>
        </w:tc>
        <w:tc>
          <w:tcPr>
            <w:tcW w:w="568" w:type="dxa"/>
            <w:tcBorders>
              <w:top w:val="single" w:sz="4" w:space="0" w:color="auto"/>
              <w:left w:val="single" w:sz="4" w:space="0" w:color="auto"/>
              <w:bottom w:val="single" w:sz="4" w:space="0" w:color="auto"/>
              <w:right w:val="single" w:sz="4" w:space="0" w:color="auto"/>
            </w:tcBorders>
            <w:hideMark/>
          </w:tcPr>
          <w:p w14:paraId="4A3B187B"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826F3B5"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69605C77"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0C828C8"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09D15B8C"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3FB1CA00"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229F280F"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4ED09AEB"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33D4108C"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698BA944"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2DE990D0"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74653FBF"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4F6FF192"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46CD1B6B"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General</w:t>
            </w:r>
          </w:p>
        </w:tc>
        <w:tc>
          <w:tcPr>
            <w:tcW w:w="3971" w:type="dxa"/>
            <w:tcBorders>
              <w:top w:val="single" w:sz="4" w:space="0" w:color="auto"/>
              <w:left w:val="single" w:sz="4" w:space="0" w:color="auto"/>
              <w:bottom w:val="single" w:sz="4" w:space="0" w:color="auto"/>
              <w:right w:val="single" w:sz="4" w:space="0" w:color="auto"/>
            </w:tcBorders>
            <w:hideMark/>
          </w:tcPr>
          <w:p w14:paraId="45A1B3F5"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DNS zones in Infoblox</w:t>
            </w:r>
          </w:p>
        </w:tc>
        <w:tc>
          <w:tcPr>
            <w:tcW w:w="568" w:type="dxa"/>
            <w:tcBorders>
              <w:top w:val="single" w:sz="4" w:space="0" w:color="auto"/>
              <w:left w:val="single" w:sz="4" w:space="0" w:color="auto"/>
              <w:bottom w:val="single" w:sz="4" w:space="0" w:color="auto"/>
              <w:right w:val="single" w:sz="4" w:space="0" w:color="auto"/>
            </w:tcBorders>
            <w:hideMark/>
          </w:tcPr>
          <w:p w14:paraId="6781A0E8"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306DB7D"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691F4A3C"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06FDB80"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0E44B96F"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7D8A9B95"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497F8F2D"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3DA4887D"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6C1506C3"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7DB1617E"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18F62C51"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370ED78C"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72E64103"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14935478"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General</w:t>
            </w:r>
          </w:p>
        </w:tc>
        <w:tc>
          <w:tcPr>
            <w:tcW w:w="3971" w:type="dxa"/>
            <w:tcBorders>
              <w:top w:val="single" w:sz="4" w:space="0" w:color="auto"/>
              <w:left w:val="single" w:sz="4" w:space="0" w:color="auto"/>
              <w:bottom w:val="single" w:sz="4" w:space="0" w:color="auto"/>
              <w:right w:val="single" w:sz="4" w:space="0" w:color="auto"/>
            </w:tcBorders>
            <w:hideMark/>
          </w:tcPr>
          <w:p w14:paraId="731C3EAE" w14:textId="77777777" w:rsidR="00283998" w:rsidRDefault="00283998">
            <w:pPr>
              <w:ind w:left="0" w:right="-107" w:firstLine="0"/>
              <w:jc w:val="left"/>
              <w:rPr>
                <w:rFonts w:ascii="Arial" w:hAnsi="Arial" w:cs="Arial"/>
                <w:bCs/>
                <w:sz w:val="20"/>
                <w:szCs w:val="20"/>
              </w:rPr>
            </w:pPr>
            <w:r>
              <w:rPr>
                <w:rFonts w:ascii="Arial" w:hAnsi="Arial" w:cs="Arial"/>
                <w:bCs/>
                <w:sz w:val="20"/>
                <w:szCs w:val="20"/>
              </w:rPr>
              <w:t xml:space="preserve">Modify Configuration of SSL/TLS </w:t>
            </w:r>
          </w:p>
        </w:tc>
        <w:tc>
          <w:tcPr>
            <w:tcW w:w="568" w:type="dxa"/>
            <w:tcBorders>
              <w:top w:val="single" w:sz="4" w:space="0" w:color="auto"/>
              <w:left w:val="single" w:sz="4" w:space="0" w:color="auto"/>
              <w:bottom w:val="single" w:sz="4" w:space="0" w:color="auto"/>
              <w:right w:val="single" w:sz="4" w:space="0" w:color="auto"/>
            </w:tcBorders>
            <w:hideMark/>
          </w:tcPr>
          <w:p w14:paraId="1D9D972B"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1BD0D22"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CADBA41"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FCF0E79"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456B475F"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3F9DD477"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24ECA19D"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2500C959"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2A390F7C"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6A13CBB4"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147AB96C"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43280F78"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05EF1589" w14:textId="77777777" w:rsidTr="00F8677C">
        <w:trPr>
          <w:trHeight w:val="510"/>
        </w:trPr>
        <w:tc>
          <w:tcPr>
            <w:tcW w:w="2413" w:type="dxa"/>
            <w:tcBorders>
              <w:top w:val="single" w:sz="4" w:space="0" w:color="auto"/>
              <w:left w:val="single" w:sz="4" w:space="0" w:color="auto"/>
              <w:bottom w:val="single" w:sz="4" w:space="0" w:color="auto"/>
              <w:right w:val="single" w:sz="4" w:space="0" w:color="auto"/>
            </w:tcBorders>
            <w:hideMark/>
          </w:tcPr>
          <w:p w14:paraId="065908CE" w14:textId="77777777" w:rsidR="00283998" w:rsidRDefault="00283998">
            <w:pPr>
              <w:ind w:left="0" w:right="-114" w:firstLine="0"/>
              <w:jc w:val="left"/>
              <w:rPr>
                <w:rFonts w:ascii="Arial" w:hAnsi="Arial" w:cs="Arial"/>
                <w:bCs/>
                <w:sz w:val="20"/>
                <w:szCs w:val="20"/>
              </w:rPr>
            </w:pPr>
            <w:r>
              <w:rPr>
                <w:rFonts w:ascii="Arial" w:hAnsi="Arial" w:cs="Arial"/>
                <w:bCs/>
                <w:sz w:val="20"/>
                <w:szCs w:val="20"/>
              </w:rPr>
              <w:t xml:space="preserve">DC LAN </w:t>
            </w:r>
            <w:proofErr w:type="spellStart"/>
            <w:r>
              <w:rPr>
                <w:rFonts w:ascii="Arial" w:hAnsi="Arial" w:cs="Arial"/>
                <w:bCs/>
                <w:sz w:val="20"/>
                <w:szCs w:val="20"/>
              </w:rPr>
              <w:t>Loadbalancer</w:t>
            </w:r>
            <w:proofErr w:type="spellEnd"/>
          </w:p>
        </w:tc>
        <w:tc>
          <w:tcPr>
            <w:tcW w:w="3971" w:type="dxa"/>
            <w:tcBorders>
              <w:top w:val="single" w:sz="4" w:space="0" w:color="auto"/>
              <w:left w:val="single" w:sz="4" w:space="0" w:color="auto"/>
              <w:bottom w:val="single" w:sz="4" w:space="0" w:color="auto"/>
              <w:right w:val="single" w:sz="4" w:space="0" w:color="auto"/>
            </w:tcBorders>
            <w:hideMark/>
          </w:tcPr>
          <w:p w14:paraId="20B36BED" w14:textId="77777777" w:rsidR="00283998" w:rsidRDefault="00283998">
            <w:pPr>
              <w:ind w:left="0" w:right="-107" w:firstLine="0"/>
              <w:jc w:val="left"/>
              <w:rPr>
                <w:rFonts w:ascii="Arial" w:hAnsi="Arial" w:cs="Arial"/>
                <w:bCs/>
                <w:sz w:val="20"/>
                <w:szCs w:val="20"/>
              </w:rPr>
            </w:pPr>
            <w:r>
              <w:rPr>
                <w:rFonts w:ascii="Arial" w:hAnsi="Arial" w:cs="Arial"/>
                <w:bCs/>
                <w:sz w:val="20"/>
                <w:szCs w:val="20"/>
              </w:rPr>
              <w:t xml:space="preserve">Modify SLB and GSLB L4-L7 Load Balancers configuration </w:t>
            </w:r>
          </w:p>
        </w:tc>
        <w:tc>
          <w:tcPr>
            <w:tcW w:w="568" w:type="dxa"/>
            <w:tcBorders>
              <w:top w:val="single" w:sz="4" w:space="0" w:color="auto"/>
              <w:left w:val="single" w:sz="4" w:space="0" w:color="auto"/>
              <w:bottom w:val="single" w:sz="4" w:space="0" w:color="auto"/>
              <w:right w:val="single" w:sz="4" w:space="0" w:color="auto"/>
            </w:tcBorders>
            <w:hideMark/>
          </w:tcPr>
          <w:p w14:paraId="1E403991"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0ED3AAE"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47F0F83B"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26FD32B"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1704C309"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2CBADC68"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17A64BBD"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61B44FD9"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5D682EE4"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00DBD2B9"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0C2FBA48"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1E0A230B"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5EE156EC" w14:textId="77777777" w:rsidTr="00F8677C">
        <w:trPr>
          <w:trHeight w:val="510"/>
        </w:trPr>
        <w:tc>
          <w:tcPr>
            <w:tcW w:w="2413" w:type="dxa"/>
            <w:tcBorders>
              <w:top w:val="single" w:sz="4" w:space="0" w:color="auto"/>
              <w:left w:val="single" w:sz="4" w:space="0" w:color="auto"/>
              <w:bottom w:val="single" w:sz="4" w:space="0" w:color="auto"/>
              <w:right w:val="single" w:sz="4" w:space="0" w:color="auto"/>
            </w:tcBorders>
            <w:hideMark/>
          </w:tcPr>
          <w:p w14:paraId="4019CAE6" w14:textId="77777777" w:rsidR="00283998" w:rsidRDefault="00283998">
            <w:pPr>
              <w:ind w:left="0" w:right="-114" w:firstLine="0"/>
              <w:jc w:val="left"/>
              <w:rPr>
                <w:rFonts w:ascii="Arial" w:hAnsi="Arial" w:cs="Arial"/>
                <w:bCs/>
                <w:sz w:val="20"/>
                <w:szCs w:val="20"/>
              </w:rPr>
            </w:pPr>
            <w:r>
              <w:rPr>
                <w:rFonts w:ascii="Arial" w:hAnsi="Arial" w:cs="Arial"/>
                <w:bCs/>
                <w:sz w:val="20"/>
                <w:szCs w:val="20"/>
              </w:rPr>
              <w:t xml:space="preserve">DC LAN </w:t>
            </w:r>
            <w:proofErr w:type="spellStart"/>
            <w:r>
              <w:rPr>
                <w:rFonts w:ascii="Arial" w:hAnsi="Arial" w:cs="Arial"/>
                <w:bCs/>
                <w:sz w:val="20"/>
                <w:szCs w:val="20"/>
              </w:rPr>
              <w:t>Loadbalancer</w:t>
            </w:r>
            <w:proofErr w:type="spellEnd"/>
          </w:p>
        </w:tc>
        <w:tc>
          <w:tcPr>
            <w:tcW w:w="3971" w:type="dxa"/>
            <w:tcBorders>
              <w:top w:val="single" w:sz="4" w:space="0" w:color="auto"/>
              <w:left w:val="single" w:sz="4" w:space="0" w:color="auto"/>
              <w:bottom w:val="single" w:sz="4" w:space="0" w:color="auto"/>
              <w:right w:val="single" w:sz="4" w:space="0" w:color="auto"/>
            </w:tcBorders>
            <w:hideMark/>
          </w:tcPr>
          <w:p w14:paraId="3889BC80"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Load Balancer Server pool configuration and update.</w:t>
            </w:r>
          </w:p>
        </w:tc>
        <w:tc>
          <w:tcPr>
            <w:tcW w:w="568" w:type="dxa"/>
            <w:tcBorders>
              <w:top w:val="single" w:sz="4" w:space="0" w:color="auto"/>
              <w:left w:val="single" w:sz="4" w:space="0" w:color="auto"/>
              <w:bottom w:val="single" w:sz="4" w:space="0" w:color="auto"/>
              <w:right w:val="single" w:sz="4" w:space="0" w:color="auto"/>
            </w:tcBorders>
            <w:hideMark/>
          </w:tcPr>
          <w:p w14:paraId="17113BB1"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B2BA9D4"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251EEA28"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E09C697"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48146253"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510CF154"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789301EC"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3ABDB5D8"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1AF5E3BB"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662E429D"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17BE7E65"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020397C0"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2BFD26E8" w14:textId="77777777" w:rsidTr="00F8677C">
        <w:trPr>
          <w:trHeight w:val="329"/>
        </w:trPr>
        <w:tc>
          <w:tcPr>
            <w:tcW w:w="2413" w:type="dxa"/>
            <w:tcBorders>
              <w:top w:val="single" w:sz="4" w:space="0" w:color="auto"/>
              <w:left w:val="single" w:sz="4" w:space="0" w:color="auto"/>
              <w:bottom w:val="single" w:sz="4" w:space="0" w:color="auto"/>
              <w:right w:val="single" w:sz="4" w:space="0" w:color="auto"/>
            </w:tcBorders>
            <w:hideMark/>
          </w:tcPr>
          <w:p w14:paraId="05D08218" w14:textId="77777777" w:rsidR="00283998" w:rsidRDefault="00283998">
            <w:pPr>
              <w:ind w:left="0" w:right="-114" w:firstLine="0"/>
              <w:jc w:val="left"/>
              <w:rPr>
                <w:rFonts w:ascii="Arial" w:hAnsi="Arial" w:cs="Arial"/>
                <w:bCs/>
                <w:sz w:val="20"/>
                <w:szCs w:val="20"/>
              </w:rPr>
            </w:pPr>
            <w:r>
              <w:rPr>
                <w:rFonts w:ascii="Arial" w:hAnsi="Arial" w:cs="Arial"/>
                <w:bCs/>
                <w:sz w:val="20"/>
                <w:szCs w:val="20"/>
              </w:rPr>
              <w:t xml:space="preserve">DC LAN </w:t>
            </w:r>
            <w:proofErr w:type="spellStart"/>
            <w:r>
              <w:rPr>
                <w:rFonts w:ascii="Arial" w:hAnsi="Arial" w:cs="Arial"/>
                <w:bCs/>
                <w:sz w:val="20"/>
                <w:szCs w:val="20"/>
              </w:rPr>
              <w:t>Loadbalancer</w:t>
            </w:r>
            <w:proofErr w:type="spellEnd"/>
          </w:p>
        </w:tc>
        <w:tc>
          <w:tcPr>
            <w:tcW w:w="3971" w:type="dxa"/>
            <w:tcBorders>
              <w:top w:val="single" w:sz="4" w:space="0" w:color="auto"/>
              <w:left w:val="single" w:sz="4" w:space="0" w:color="auto"/>
              <w:bottom w:val="single" w:sz="4" w:space="0" w:color="auto"/>
              <w:right w:val="single" w:sz="4" w:space="0" w:color="auto"/>
            </w:tcBorders>
            <w:hideMark/>
          </w:tcPr>
          <w:p w14:paraId="2B1B7B7B" w14:textId="77777777" w:rsidR="00283998" w:rsidRDefault="00283998">
            <w:pPr>
              <w:ind w:left="0" w:right="-107" w:firstLine="0"/>
              <w:jc w:val="left"/>
              <w:rPr>
                <w:rFonts w:ascii="Arial" w:hAnsi="Arial" w:cs="Arial"/>
                <w:bCs/>
                <w:sz w:val="20"/>
                <w:szCs w:val="20"/>
              </w:rPr>
            </w:pPr>
            <w:r>
              <w:rPr>
                <w:rFonts w:ascii="Arial" w:hAnsi="Arial" w:cs="Arial"/>
                <w:bCs/>
                <w:sz w:val="20"/>
                <w:szCs w:val="20"/>
              </w:rPr>
              <w:t>Scaling up or out of L4-L7 load balancers.</w:t>
            </w:r>
          </w:p>
        </w:tc>
        <w:tc>
          <w:tcPr>
            <w:tcW w:w="568" w:type="dxa"/>
            <w:tcBorders>
              <w:top w:val="single" w:sz="4" w:space="0" w:color="auto"/>
              <w:left w:val="single" w:sz="4" w:space="0" w:color="auto"/>
              <w:bottom w:val="single" w:sz="4" w:space="0" w:color="auto"/>
              <w:right w:val="single" w:sz="4" w:space="0" w:color="auto"/>
            </w:tcBorders>
            <w:hideMark/>
          </w:tcPr>
          <w:p w14:paraId="585CF054"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07CADC5"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4A231D95"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032ADC1"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73409522"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0FA63942"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76EF4ED9"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55B0CBAC"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7A82749A"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79C02018"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5A9C2524"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3349A9A0"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20D451BF"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29CA6C92"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General</w:t>
            </w:r>
          </w:p>
        </w:tc>
        <w:tc>
          <w:tcPr>
            <w:tcW w:w="3971" w:type="dxa"/>
            <w:tcBorders>
              <w:top w:val="single" w:sz="4" w:space="0" w:color="auto"/>
              <w:left w:val="single" w:sz="4" w:space="0" w:color="auto"/>
              <w:bottom w:val="single" w:sz="4" w:space="0" w:color="auto"/>
              <w:right w:val="single" w:sz="4" w:space="0" w:color="auto"/>
            </w:tcBorders>
            <w:hideMark/>
          </w:tcPr>
          <w:p w14:paraId="55B3F228"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Configuration NTP source.</w:t>
            </w:r>
          </w:p>
        </w:tc>
        <w:tc>
          <w:tcPr>
            <w:tcW w:w="568" w:type="dxa"/>
            <w:tcBorders>
              <w:top w:val="single" w:sz="4" w:space="0" w:color="auto"/>
              <w:left w:val="single" w:sz="4" w:space="0" w:color="auto"/>
              <w:bottom w:val="single" w:sz="4" w:space="0" w:color="auto"/>
              <w:right w:val="single" w:sz="4" w:space="0" w:color="auto"/>
            </w:tcBorders>
            <w:hideMark/>
          </w:tcPr>
          <w:p w14:paraId="735DCF8E"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0F0716B"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533C195F"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3A622F5"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5797FBDA"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7CA5B4C8"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7C154DA5"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5850AFD9"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2A76E9E1"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2EF7329C"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5C5D444A"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0111BEE0"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0FC9F109" w14:textId="77777777" w:rsidTr="00F8677C">
        <w:trPr>
          <w:trHeight w:val="510"/>
        </w:trPr>
        <w:tc>
          <w:tcPr>
            <w:tcW w:w="2413" w:type="dxa"/>
            <w:tcBorders>
              <w:top w:val="single" w:sz="4" w:space="0" w:color="auto"/>
              <w:left w:val="single" w:sz="4" w:space="0" w:color="auto"/>
              <w:bottom w:val="single" w:sz="4" w:space="0" w:color="auto"/>
              <w:right w:val="single" w:sz="4" w:space="0" w:color="auto"/>
            </w:tcBorders>
            <w:hideMark/>
          </w:tcPr>
          <w:p w14:paraId="0C50D2F9"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General</w:t>
            </w:r>
          </w:p>
        </w:tc>
        <w:tc>
          <w:tcPr>
            <w:tcW w:w="3971" w:type="dxa"/>
            <w:tcBorders>
              <w:top w:val="single" w:sz="4" w:space="0" w:color="auto"/>
              <w:left w:val="single" w:sz="4" w:space="0" w:color="auto"/>
              <w:bottom w:val="single" w:sz="4" w:space="0" w:color="auto"/>
              <w:right w:val="single" w:sz="4" w:space="0" w:color="auto"/>
            </w:tcBorders>
            <w:hideMark/>
          </w:tcPr>
          <w:p w14:paraId="13BA5D7C" w14:textId="77777777" w:rsidR="00283998" w:rsidRDefault="00283998">
            <w:pPr>
              <w:ind w:left="0" w:right="-107" w:firstLine="0"/>
              <w:jc w:val="left"/>
              <w:rPr>
                <w:rFonts w:ascii="Arial" w:hAnsi="Arial" w:cs="Arial"/>
                <w:bCs/>
                <w:sz w:val="20"/>
                <w:szCs w:val="20"/>
              </w:rPr>
            </w:pPr>
            <w:r>
              <w:rPr>
                <w:rFonts w:ascii="Arial" w:hAnsi="Arial" w:cs="Arial"/>
                <w:bCs/>
                <w:sz w:val="20"/>
                <w:szCs w:val="20"/>
              </w:rPr>
              <w:t xml:space="preserve">Modify Configuration </w:t>
            </w:r>
            <w:proofErr w:type="spellStart"/>
            <w:r>
              <w:rPr>
                <w:rFonts w:ascii="Arial" w:hAnsi="Arial" w:cs="Arial"/>
                <w:bCs/>
                <w:sz w:val="20"/>
                <w:szCs w:val="20"/>
              </w:rPr>
              <w:t>SysLog</w:t>
            </w:r>
            <w:proofErr w:type="spellEnd"/>
            <w:r>
              <w:rPr>
                <w:rFonts w:ascii="Arial" w:hAnsi="Arial" w:cs="Arial"/>
                <w:bCs/>
                <w:sz w:val="20"/>
                <w:szCs w:val="20"/>
              </w:rPr>
              <w:t xml:space="preserve"> and SMTP targets</w:t>
            </w:r>
          </w:p>
        </w:tc>
        <w:tc>
          <w:tcPr>
            <w:tcW w:w="568" w:type="dxa"/>
            <w:tcBorders>
              <w:top w:val="single" w:sz="4" w:space="0" w:color="auto"/>
              <w:left w:val="single" w:sz="4" w:space="0" w:color="auto"/>
              <w:bottom w:val="single" w:sz="4" w:space="0" w:color="auto"/>
              <w:right w:val="single" w:sz="4" w:space="0" w:color="auto"/>
            </w:tcBorders>
            <w:hideMark/>
          </w:tcPr>
          <w:p w14:paraId="6FA110A9"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10904D8"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220B7B75"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D8BF8B1"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6DD07930"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71C60CF0"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55EB3F9C"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3CF41738"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7B2B871F"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4FEBB0EA"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1FEED634"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289C5086"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2275093D"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51309D44"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General</w:t>
            </w:r>
          </w:p>
        </w:tc>
        <w:tc>
          <w:tcPr>
            <w:tcW w:w="3971" w:type="dxa"/>
            <w:tcBorders>
              <w:top w:val="single" w:sz="4" w:space="0" w:color="auto"/>
              <w:left w:val="single" w:sz="4" w:space="0" w:color="auto"/>
              <w:bottom w:val="single" w:sz="4" w:space="0" w:color="auto"/>
              <w:right w:val="single" w:sz="4" w:space="0" w:color="auto"/>
            </w:tcBorders>
            <w:hideMark/>
          </w:tcPr>
          <w:p w14:paraId="510E1FFB" w14:textId="77777777" w:rsidR="00283998" w:rsidRDefault="00283998">
            <w:pPr>
              <w:ind w:left="0" w:right="-107" w:firstLine="0"/>
              <w:jc w:val="left"/>
              <w:rPr>
                <w:rFonts w:ascii="Arial" w:hAnsi="Arial" w:cs="Arial"/>
                <w:bCs/>
                <w:sz w:val="20"/>
                <w:szCs w:val="20"/>
              </w:rPr>
            </w:pPr>
            <w:r>
              <w:rPr>
                <w:rFonts w:ascii="Arial" w:hAnsi="Arial" w:cs="Arial"/>
                <w:bCs/>
                <w:sz w:val="20"/>
                <w:szCs w:val="20"/>
              </w:rPr>
              <w:t xml:space="preserve">Modify update FW rules in NSX </w:t>
            </w:r>
          </w:p>
        </w:tc>
        <w:tc>
          <w:tcPr>
            <w:tcW w:w="568" w:type="dxa"/>
            <w:tcBorders>
              <w:top w:val="single" w:sz="4" w:space="0" w:color="auto"/>
              <w:left w:val="single" w:sz="4" w:space="0" w:color="auto"/>
              <w:bottom w:val="single" w:sz="4" w:space="0" w:color="auto"/>
              <w:right w:val="single" w:sz="4" w:space="0" w:color="auto"/>
            </w:tcBorders>
            <w:hideMark/>
          </w:tcPr>
          <w:p w14:paraId="25EDB7B4"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BAD2DDD"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2DC536FA"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1DAD770"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43878328"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40BF7A76"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0CC9E50D"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3864D194"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0EC8FAE7"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4F4E251E"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03F2C865"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13FE6BAA"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00A95D5B"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7EF030A3" w14:textId="77777777" w:rsidR="00283998" w:rsidRDefault="00283998">
            <w:pPr>
              <w:ind w:left="0" w:right="-114" w:firstLine="0"/>
              <w:jc w:val="left"/>
              <w:rPr>
                <w:rFonts w:ascii="Arial" w:hAnsi="Arial" w:cs="Arial"/>
                <w:bCs/>
                <w:sz w:val="20"/>
                <w:szCs w:val="20"/>
              </w:rPr>
            </w:pPr>
            <w:r>
              <w:rPr>
                <w:rFonts w:ascii="Arial" w:hAnsi="Arial" w:cs="Arial"/>
                <w:bCs/>
                <w:sz w:val="20"/>
                <w:szCs w:val="20"/>
              </w:rPr>
              <w:t xml:space="preserve">DC LAN ACI </w:t>
            </w:r>
            <w:proofErr w:type="spellStart"/>
            <w:r>
              <w:rPr>
                <w:rFonts w:ascii="Arial" w:hAnsi="Arial" w:cs="Arial"/>
                <w:bCs/>
                <w:sz w:val="20"/>
                <w:szCs w:val="20"/>
              </w:rPr>
              <w:t>tennant</w:t>
            </w:r>
            <w:proofErr w:type="spellEnd"/>
          </w:p>
        </w:tc>
        <w:tc>
          <w:tcPr>
            <w:tcW w:w="3971" w:type="dxa"/>
            <w:tcBorders>
              <w:top w:val="single" w:sz="4" w:space="0" w:color="auto"/>
              <w:left w:val="single" w:sz="4" w:space="0" w:color="auto"/>
              <w:bottom w:val="single" w:sz="4" w:space="0" w:color="auto"/>
              <w:right w:val="single" w:sz="4" w:space="0" w:color="auto"/>
            </w:tcBorders>
            <w:hideMark/>
          </w:tcPr>
          <w:p w14:paraId="5F86E85B" w14:textId="77777777" w:rsidR="00283998" w:rsidRDefault="00283998">
            <w:pPr>
              <w:ind w:left="0" w:right="-107" w:firstLine="0"/>
              <w:jc w:val="left"/>
              <w:rPr>
                <w:rFonts w:ascii="Arial" w:hAnsi="Arial" w:cs="Arial"/>
                <w:bCs/>
                <w:sz w:val="20"/>
                <w:szCs w:val="20"/>
              </w:rPr>
            </w:pPr>
            <w:r>
              <w:rPr>
                <w:rFonts w:ascii="Arial" w:hAnsi="Arial" w:cs="Arial"/>
                <w:bCs/>
                <w:sz w:val="20"/>
                <w:szCs w:val="20"/>
              </w:rPr>
              <w:t xml:space="preserve">Decommission ACI </w:t>
            </w:r>
            <w:proofErr w:type="spellStart"/>
            <w:r>
              <w:rPr>
                <w:rFonts w:ascii="Arial" w:hAnsi="Arial" w:cs="Arial"/>
                <w:bCs/>
                <w:sz w:val="20"/>
                <w:szCs w:val="20"/>
              </w:rPr>
              <w:t>tennant</w:t>
            </w:r>
            <w:proofErr w:type="spellEnd"/>
          </w:p>
        </w:tc>
        <w:tc>
          <w:tcPr>
            <w:tcW w:w="568" w:type="dxa"/>
            <w:tcBorders>
              <w:top w:val="single" w:sz="4" w:space="0" w:color="auto"/>
              <w:left w:val="single" w:sz="4" w:space="0" w:color="auto"/>
              <w:bottom w:val="single" w:sz="4" w:space="0" w:color="auto"/>
              <w:right w:val="single" w:sz="4" w:space="0" w:color="auto"/>
            </w:tcBorders>
            <w:hideMark/>
          </w:tcPr>
          <w:p w14:paraId="558CD0BC"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630A8CC"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63C84E2F"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66C4422"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27E84C6"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5AB87127"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70D9BB1C" w14:textId="77777777" w:rsidR="00283998" w:rsidRDefault="00283998">
            <w:pPr>
              <w:jc w:val="center"/>
              <w:rPr>
                <w:rFonts w:ascii="Arial" w:hAnsi="Arial" w:cs="Arial"/>
                <w:bCs/>
                <w:sz w:val="20"/>
                <w:szCs w:val="20"/>
              </w:rPr>
            </w:pPr>
            <w:r>
              <w:rPr>
                <w:rFonts w:ascii="Arial" w:hAnsi="Arial" w:cs="Arial"/>
                <w:bCs/>
                <w:sz w:val="20"/>
                <w:szCs w:val="20"/>
              </w:rPr>
              <w:t>X</w:t>
            </w:r>
          </w:p>
        </w:tc>
        <w:tc>
          <w:tcPr>
            <w:tcW w:w="708" w:type="dxa"/>
            <w:tcBorders>
              <w:top w:val="single" w:sz="4" w:space="0" w:color="auto"/>
              <w:left w:val="single" w:sz="4" w:space="0" w:color="auto"/>
              <w:bottom w:val="single" w:sz="4" w:space="0" w:color="auto"/>
              <w:right w:val="single" w:sz="4" w:space="0" w:color="auto"/>
            </w:tcBorders>
            <w:hideMark/>
          </w:tcPr>
          <w:p w14:paraId="6BEC081F" w14:textId="77777777" w:rsidR="00283998" w:rsidRDefault="00283998">
            <w:pP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59007D47"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02D2FBEA"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731701CB"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54ACB505"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4C723CB4"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7C6F2C0B" w14:textId="77777777" w:rsidR="00283998" w:rsidRDefault="00283998">
            <w:pPr>
              <w:ind w:left="0" w:right="-114" w:firstLine="0"/>
              <w:jc w:val="left"/>
              <w:rPr>
                <w:rFonts w:ascii="Arial" w:hAnsi="Arial" w:cs="Arial"/>
                <w:bCs/>
                <w:sz w:val="20"/>
                <w:szCs w:val="20"/>
              </w:rPr>
            </w:pPr>
            <w:r>
              <w:rPr>
                <w:rFonts w:ascii="Arial" w:hAnsi="Arial" w:cs="Arial"/>
                <w:bCs/>
                <w:sz w:val="20"/>
                <w:szCs w:val="20"/>
              </w:rPr>
              <w:lastRenderedPageBreak/>
              <w:t>DC LAN Bridge Domain</w:t>
            </w:r>
          </w:p>
        </w:tc>
        <w:tc>
          <w:tcPr>
            <w:tcW w:w="3971" w:type="dxa"/>
            <w:tcBorders>
              <w:top w:val="single" w:sz="4" w:space="0" w:color="auto"/>
              <w:left w:val="single" w:sz="4" w:space="0" w:color="auto"/>
              <w:bottom w:val="single" w:sz="4" w:space="0" w:color="auto"/>
              <w:right w:val="single" w:sz="4" w:space="0" w:color="auto"/>
            </w:tcBorders>
            <w:hideMark/>
          </w:tcPr>
          <w:p w14:paraId="4FF9A6D8" w14:textId="77777777" w:rsidR="00283998" w:rsidRDefault="00283998">
            <w:pPr>
              <w:ind w:left="0" w:right="-107" w:firstLine="0"/>
              <w:jc w:val="left"/>
              <w:rPr>
                <w:rFonts w:ascii="Arial" w:hAnsi="Arial" w:cs="Arial"/>
                <w:bCs/>
                <w:sz w:val="20"/>
                <w:szCs w:val="20"/>
              </w:rPr>
            </w:pPr>
            <w:r>
              <w:rPr>
                <w:rFonts w:ascii="Arial" w:hAnsi="Arial" w:cs="Arial"/>
                <w:bCs/>
                <w:sz w:val="20"/>
                <w:szCs w:val="20"/>
              </w:rPr>
              <w:t>Decommission Bridge Domain</w:t>
            </w:r>
          </w:p>
        </w:tc>
        <w:tc>
          <w:tcPr>
            <w:tcW w:w="568" w:type="dxa"/>
            <w:tcBorders>
              <w:top w:val="single" w:sz="4" w:space="0" w:color="auto"/>
              <w:left w:val="single" w:sz="4" w:space="0" w:color="auto"/>
              <w:bottom w:val="single" w:sz="4" w:space="0" w:color="auto"/>
              <w:right w:val="single" w:sz="4" w:space="0" w:color="auto"/>
            </w:tcBorders>
            <w:hideMark/>
          </w:tcPr>
          <w:p w14:paraId="378293CC"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76CBF18"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11EBC839"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D6CF7A5"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8652C9C"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5C6D5B4D"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6A5471E9" w14:textId="77777777" w:rsidR="00283998" w:rsidRDefault="00283998">
            <w:pPr>
              <w:jc w:val="center"/>
              <w:rPr>
                <w:rFonts w:ascii="Arial" w:hAnsi="Arial" w:cs="Arial"/>
                <w:bCs/>
                <w:sz w:val="20"/>
                <w:szCs w:val="20"/>
              </w:rPr>
            </w:pPr>
            <w:r>
              <w:rPr>
                <w:rFonts w:ascii="Arial" w:hAnsi="Arial" w:cs="Arial"/>
                <w:bCs/>
                <w:sz w:val="20"/>
                <w:szCs w:val="20"/>
              </w:rPr>
              <w:t>X</w:t>
            </w:r>
          </w:p>
        </w:tc>
        <w:tc>
          <w:tcPr>
            <w:tcW w:w="708" w:type="dxa"/>
            <w:tcBorders>
              <w:top w:val="single" w:sz="4" w:space="0" w:color="auto"/>
              <w:left w:val="single" w:sz="4" w:space="0" w:color="auto"/>
              <w:bottom w:val="single" w:sz="4" w:space="0" w:color="auto"/>
              <w:right w:val="single" w:sz="4" w:space="0" w:color="auto"/>
            </w:tcBorders>
            <w:hideMark/>
          </w:tcPr>
          <w:p w14:paraId="44A2E8C9" w14:textId="77777777" w:rsidR="00283998" w:rsidRDefault="00283998">
            <w:pP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38C94B80"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1D62373B"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5BEDA215"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466FDCB1"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1AD0C68D"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558FAD64"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Subnet</w:t>
            </w:r>
          </w:p>
        </w:tc>
        <w:tc>
          <w:tcPr>
            <w:tcW w:w="3971" w:type="dxa"/>
            <w:tcBorders>
              <w:top w:val="single" w:sz="4" w:space="0" w:color="auto"/>
              <w:left w:val="single" w:sz="4" w:space="0" w:color="auto"/>
              <w:bottom w:val="single" w:sz="4" w:space="0" w:color="auto"/>
              <w:right w:val="single" w:sz="4" w:space="0" w:color="auto"/>
            </w:tcBorders>
            <w:hideMark/>
          </w:tcPr>
          <w:p w14:paraId="03FBB3AB" w14:textId="77777777" w:rsidR="00283998" w:rsidRDefault="00283998">
            <w:pPr>
              <w:ind w:left="0" w:right="-107" w:firstLine="0"/>
              <w:jc w:val="left"/>
              <w:rPr>
                <w:rFonts w:ascii="Arial" w:hAnsi="Arial" w:cs="Arial"/>
                <w:bCs/>
                <w:sz w:val="20"/>
                <w:szCs w:val="20"/>
              </w:rPr>
            </w:pPr>
            <w:r>
              <w:rPr>
                <w:rFonts w:ascii="Arial" w:hAnsi="Arial" w:cs="Arial"/>
                <w:bCs/>
                <w:sz w:val="20"/>
                <w:szCs w:val="20"/>
              </w:rPr>
              <w:t>Decommission Subnet</w:t>
            </w:r>
          </w:p>
        </w:tc>
        <w:tc>
          <w:tcPr>
            <w:tcW w:w="568" w:type="dxa"/>
            <w:tcBorders>
              <w:top w:val="single" w:sz="4" w:space="0" w:color="auto"/>
              <w:left w:val="single" w:sz="4" w:space="0" w:color="auto"/>
              <w:bottom w:val="single" w:sz="4" w:space="0" w:color="auto"/>
              <w:right w:val="single" w:sz="4" w:space="0" w:color="auto"/>
            </w:tcBorders>
            <w:hideMark/>
          </w:tcPr>
          <w:p w14:paraId="6A284E88"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759A614"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35450B9B"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4DB17F2"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4326233"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2BEE1CB7"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68D05851" w14:textId="77777777" w:rsidR="00283998" w:rsidRDefault="00283998">
            <w:pPr>
              <w:jc w:val="center"/>
              <w:rPr>
                <w:rFonts w:ascii="Arial" w:hAnsi="Arial" w:cs="Arial"/>
                <w:bCs/>
                <w:sz w:val="20"/>
                <w:szCs w:val="20"/>
              </w:rPr>
            </w:pPr>
            <w:r>
              <w:rPr>
                <w:rFonts w:ascii="Arial" w:hAnsi="Arial" w:cs="Arial"/>
                <w:bCs/>
                <w:sz w:val="20"/>
                <w:szCs w:val="20"/>
              </w:rPr>
              <w:t>X</w:t>
            </w:r>
          </w:p>
        </w:tc>
        <w:tc>
          <w:tcPr>
            <w:tcW w:w="708" w:type="dxa"/>
            <w:tcBorders>
              <w:top w:val="single" w:sz="4" w:space="0" w:color="auto"/>
              <w:left w:val="single" w:sz="4" w:space="0" w:color="auto"/>
              <w:bottom w:val="single" w:sz="4" w:space="0" w:color="auto"/>
              <w:right w:val="single" w:sz="4" w:space="0" w:color="auto"/>
            </w:tcBorders>
            <w:hideMark/>
          </w:tcPr>
          <w:p w14:paraId="1BD91257" w14:textId="77777777" w:rsidR="00283998" w:rsidRDefault="00283998">
            <w:pP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71A15132"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54B4D0D7"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37BCB4AD"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5D6C3241"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4C021AF6"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565DC804"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Endpoint group</w:t>
            </w:r>
          </w:p>
        </w:tc>
        <w:tc>
          <w:tcPr>
            <w:tcW w:w="3971" w:type="dxa"/>
            <w:tcBorders>
              <w:top w:val="single" w:sz="4" w:space="0" w:color="auto"/>
              <w:left w:val="single" w:sz="4" w:space="0" w:color="auto"/>
              <w:bottom w:val="single" w:sz="4" w:space="0" w:color="auto"/>
              <w:right w:val="single" w:sz="4" w:space="0" w:color="auto"/>
            </w:tcBorders>
            <w:hideMark/>
          </w:tcPr>
          <w:p w14:paraId="66CF3584" w14:textId="77777777" w:rsidR="00283998" w:rsidRDefault="00283998">
            <w:pPr>
              <w:ind w:left="0" w:right="-107" w:firstLine="0"/>
              <w:jc w:val="left"/>
              <w:rPr>
                <w:rFonts w:ascii="Arial" w:hAnsi="Arial" w:cs="Arial"/>
                <w:bCs/>
                <w:sz w:val="20"/>
                <w:szCs w:val="20"/>
              </w:rPr>
            </w:pPr>
            <w:r>
              <w:rPr>
                <w:rFonts w:ascii="Arial" w:hAnsi="Arial" w:cs="Arial"/>
                <w:bCs/>
                <w:sz w:val="20"/>
                <w:szCs w:val="20"/>
              </w:rPr>
              <w:t>Decommission Endpoint group</w:t>
            </w:r>
          </w:p>
        </w:tc>
        <w:tc>
          <w:tcPr>
            <w:tcW w:w="568" w:type="dxa"/>
            <w:tcBorders>
              <w:top w:val="single" w:sz="4" w:space="0" w:color="auto"/>
              <w:left w:val="single" w:sz="4" w:space="0" w:color="auto"/>
              <w:bottom w:val="single" w:sz="4" w:space="0" w:color="auto"/>
              <w:right w:val="single" w:sz="4" w:space="0" w:color="auto"/>
            </w:tcBorders>
            <w:hideMark/>
          </w:tcPr>
          <w:p w14:paraId="3644F0A8"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DD11F7F"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2AB20309"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A2B3715"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6ECC6B2"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348F58A1"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7A47FAA4" w14:textId="77777777" w:rsidR="00283998" w:rsidRDefault="00283998">
            <w:pPr>
              <w:jc w:val="center"/>
              <w:rPr>
                <w:rFonts w:ascii="Arial" w:hAnsi="Arial" w:cs="Arial"/>
                <w:bCs/>
                <w:sz w:val="20"/>
                <w:szCs w:val="20"/>
              </w:rPr>
            </w:pPr>
            <w:r>
              <w:rPr>
                <w:rFonts w:ascii="Arial" w:hAnsi="Arial" w:cs="Arial"/>
                <w:bCs/>
                <w:sz w:val="20"/>
                <w:szCs w:val="20"/>
              </w:rPr>
              <w:t>X</w:t>
            </w:r>
          </w:p>
        </w:tc>
        <w:tc>
          <w:tcPr>
            <w:tcW w:w="708" w:type="dxa"/>
            <w:tcBorders>
              <w:top w:val="single" w:sz="4" w:space="0" w:color="auto"/>
              <w:left w:val="single" w:sz="4" w:space="0" w:color="auto"/>
              <w:bottom w:val="single" w:sz="4" w:space="0" w:color="auto"/>
              <w:right w:val="single" w:sz="4" w:space="0" w:color="auto"/>
            </w:tcBorders>
            <w:hideMark/>
          </w:tcPr>
          <w:p w14:paraId="366763D5" w14:textId="77777777" w:rsidR="00283998" w:rsidRDefault="00283998">
            <w:pP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376DBEC4"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083C3D9F"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0A14BD21"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58A84F96"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1F601AD1"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07D137AC"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Contract</w:t>
            </w:r>
          </w:p>
        </w:tc>
        <w:tc>
          <w:tcPr>
            <w:tcW w:w="3971" w:type="dxa"/>
            <w:tcBorders>
              <w:top w:val="single" w:sz="4" w:space="0" w:color="auto"/>
              <w:left w:val="single" w:sz="4" w:space="0" w:color="auto"/>
              <w:bottom w:val="single" w:sz="4" w:space="0" w:color="auto"/>
              <w:right w:val="single" w:sz="4" w:space="0" w:color="auto"/>
            </w:tcBorders>
            <w:hideMark/>
          </w:tcPr>
          <w:p w14:paraId="00516EF8" w14:textId="77777777" w:rsidR="00283998" w:rsidRDefault="00283998">
            <w:pPr>
              <w:ind w:left="0" w:right="-107" w:firstLine="0"/>
              <w:jc w:val="left"/>
              <w:rPr>
                <w:rFonts w:ascii="Arial" w:hAnsi="Arial" w:cs="Arial"/>
                <w:bCs/>
                <w:sz w:val="20"/>
                <w:szCs w:val="20"/>
              </w:rPr>
            </w:pPr>
            <w:r>
              <w:rPr>
                <w:rFonts w:ascii="Arial" w:hAnsi="Arial" w:cs="Arial"/>
                <w:bCs/>
                <w:sz w:val="20"/>
                <w:szCs w:val="20"/>
              </w:rPr>
              <w:t>Decommission Contract</w:t>
            </w:r>
          </w:p>
        </w:tc>
        <w:tc>
          <w:tcPr>
            <w:tcW w:w="568" w:type="dxa"/>
            <w:tcBorders>
              <w:top w:val="single" w:sz="4" w:space="0" w:color="auto"/>
              <w:left w:val="single" w:sz="4" w:space="0" w:color="auto"/>
              <w:bottom w:val="single" w:sz="4" w:space="0" w:color="auto"/>
              <w:right w:val="single" w:sz="4" w:space="0" w:color="auto"/>
            </w:tcBorders>
            <w:hideMark/>
          </w:tcPr>
          <w:p w14:paraId="4F1ADD62"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4ABE8C5"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620DB291"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2885F2F"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4B8673E"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315D6ED8"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68722C95" w14:textId="77777777" w:rsidR="00283998" w:rsidRDefault="00283998">
            <w:pPr>
              <w:jc w:val="center"/>
              <w:rPr>
                <w:rFonts w:ascii="Arial" w:hAnsi="Arial" w:cs="Arial"/>
                <w:bCs/>
                <w:sz w:val="20"/>
                <w:szCs w:val="20"/>
              </w:rPr>
            </w:pPr>
            <w:r>
              <w:rPr>
                <w:rFonts w:ascii="Arial" w:hAnsi="Arial" w:cs="Arial"/>
                <w:bCs/>
                <w:sz w:val="20"/>
                <w:szCs w:val="20"/>
              </w:rPr>
              <w:t>X</w:t>
            </w:r>
          </w:p>
        </w:tc>
        <w:tc>
          <w:tcPr>
            <w:tcW w:w="708" w:type="dxa"/>
            <w:tcBorders>
              <w:top w:val="single" w:sz="4" w:space="0" w:color="auto"/>
              <w:left w:val="single" w:sz="4" w:space="0" w:color="auto"/>
              <w:bottom w:val="single" w:sz="4" w:space="0" w:color="auto"/>
              <w:right w:val="single" w:sz="4" w:space="0" w:color="auto"/>
            </w:tcBorders>
            <w:hideMark/>
          </w:tcPr>
          <w:p w14:paraId="7F254158" w14:textId="77777777" w:rsidR="00283998" w:rsidRDefault="00283998">
            <w:pP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5348B86A"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27D7A6A2"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17204C74"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4D21A913"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15F966D1"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44F18065"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VLAN</w:t>
            </w:r>
          </w:p>
        </w:tc>
        <w:tc>
          <w:tcPr>
            <w:tcW w:w="3971" w:type="dxa"/>
            <w:tcBorders>
              <w:top w:val="single" w:sz="4" w:space="0" w:color="auto"/>
              <w:left w:val="single" w:sz="4" w:space="0" w:color="auto"/>
              <w:bottom w:val="single" w:sz="4" w:space="0" w:color="auto"/>
              <w:right w:val="single" w:sz="4" w:space="0" w:color="auto"/>
            </w:tcBorders>
            <w:hideMark/>
          </w:tcPr>
          <w:p w14:paraId="7FD76C91" w14:textId="77777777" w:rsidR="00283998" w:rsidRDefault="00283998">
            <w:pPr>
              <w:ind w:left="0" w:right="-107" w:firstLine="0"/>
              <w:jc w:val="left"/>
              <w:rPr>
                <w:rFonts w:ascii="Arial" w:hAnsi="Arial" w:cs="Arial"/>
                <w:bCs/>
                <w:sz w:val="20"/>
                <w:szCs w:val="20"/>
              </w:rPr>
            </w:pPr>
            <w:r>
              <w:rPr>
                <w:rFonts w:ascii="Arial" w:hAnsi="Arial" w:cs="Arial"/>
                <w:bCs/>
                <w:sz w:val="20"/>
                <w:szCs w:val="20"/>
              </w:rPr>
              <w:t>Decommission VLAN</w:t>
            </w:r>
          </w:p>
        </w:tc>
        <w:tc>
          <w:tcPr>
            <w:tcW w:w="568" w:type="dxa"/>
            <w:tcBorders>
              <w:top w:val="single" w:sz="4" w:space="0" w:color="auto"/>
              <w:left w:val="single" w:sz="4" w:space="0" w:color="auto"/>
              <w:bottom w:val="single" w:sz="4" w:space="0" w:color="auto"/>
              <w:right w:val="single" w:sz="4" w:space="0" w:color="auto"/>
            </w:tcBorders>
            <w:hideMark/>
          </w:tcPr>
          <w:p w14:paraId="066CFAA1"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DD7A105"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74490EEF"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1CEEA06"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9F4C41D"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6E1487DD"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24AD28BD" w14:textId="77777777" w:rsidR="00283998" w:rsidRDefault="00283998">
            <w:pPr>
              <w:jc w:val="center"/>
              <w:rPr>
                <w:rFonts w:ascii="Arial" w:hAnsi="Arial" w:cs="Arial"/>
                <w:bCs/>
                <w:sz w:val="20"/>
                <w:szCs w:val="20"/>
              </w:rPr>
            </w:pPr>
            <w:r>
              <w:rPr>
                <w:rFonts w:ascii="Arial" w:hAnsi="Arial" w:cs="Arial"/>
                <w:bCs/>
                <w:sz w:val="20"/>
                <w:szCs w:val="20"/>
              </w:rPr>
              <w:t>X</w:t>
            </w:r>
          </w:p>
        </w:tc>
        <w:tc>
          <w:tcPr>
            <w:tcW w:w="708" w:type="dxa"/>
            <w:tcBorders>
              <w:top w:val="single" w:sz="4" w:space="0" w:color="auto"/>
              <w:left w:val="single" w:sz="4" w:space="0" w:color="auto"/>
              <w:bottom w:val="single" w:sz="4" w:space="0" w:color="auto"/>
              <w:right w:val="single" w:sz="4" w:space="0" w:color="auto"/>
            </w:tcBorders>
            <w:hideMark/>
          </w:tcPr>
          <w:p w14:paraId="2200B374" w14:textId="77777777" w:rsidR="00283998" w:rsidRDefault="00283998">
            <w:pP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0FF125FC"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314AFAE8"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24885F43"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1EBB6409"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659BD2B4"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1BEA2696"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VRF</w:t>
            </w:r>
          </w:p>
        </w:tc>
        <w:tc>
          <w:tcPr>
            <w:tcW w:w="3971" w:type="dxa"/>
            <w:tcBorders>
              <w:top w:val="single" w:sz="4" w:space="0" w:color="auto"/>
              <w:left w:val="single" w:sz="4" w:space="0" w:color="auto"/>
              <w:bottom w:val="single" w:sz="4" w:space="0" w:color="auto"/>
              <w:right w:val="single" w:sz="4" w:space="0" w:color="auto"/>
            </w:tcBorders>
            <w:hideMark/>
          </w:tcPr>
          <w:p w14:paraId="00D706FD" w14:textId="77777777" w:rsidR="00283998" w:rsidRDefault="00283998">
            <w:pPr>
              <w:ind w:left="0" w:right="-107" w:firstLine="0"/>
              <w:jc w:val="left"/>
              <w:rPr>
                <w:rFonts w:ascii="Arial" w:hAnsi="Arial" w:cs="Arial"/>
                <w:bCs/>
                <w:sz w:val="20"/>
                <w:szCs w:val="20"/>
              </w:rPr>
            </w:pPr>
            <w:r>
              <w:rPr>
                <w:rFonts w:ascii="Arial" w:hAnsi="Arial" w:cs="Arial"/>
                <w:bCs/>
                <w:sz w:val="20"/>
                <w:szCs w:val="20"/>
              </w:rPr>
              <w:t>Decommission VRF</w:t>
            </w:r>
          </w:p>
        </w:tc>
        <w:tc>
          <w:tcPr>
            <w:tcW w:w="568" w:type="dxa"/>
            <w:tcBorders>
              <w:top w:val="single" w:sz="4" w:space="0" w:color="auto"/>
              <w:left w:val="single" w:sz="4" w:space="0" w:color="auto"/>
              <w:bottom w:val="single" w:sz="4" w:space="0" w:color="auto"/>
              <w:right w:val="single" w:sz="4" w:space="0" w:color="auto"/>
            </w:tcBorders>
            <w:hideMark/>
          </w:tcPr>
          <w:p w14:paraId="5433B7C1"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F1D4885"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17400B8"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A4C439F"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ACB0E1E"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1AE974A9"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092D301E" w14:textId="77777777" w:rsidR="00283998" w:rsidRDefault="00283998">
            <w:pPr>
              <w:jc w:val="center"/>
              <w:rPr>
                <w:rFonts w:ascii="Arial" w:hAnsi="Arial" w:cs="Arial"/>
                <w:bCs/>
                <w:sz w:val="20"/>
                <w:szCs w:val="20"/>
              </w:rPr>
            </w:pPr>
            <w:r>
              <w:rPr>
                <w:rFonts w:ascii="Arial" w:hAnsi="Arial" w:cs="Arial"/>
                <w:bCs/>
                <w:sz w:val="20"/>
                <w:szCs w:val="20"/>
              </w:rPr>
              <w:t>X</w:t>
            </w:r>
          </w:p>
        </w:tc>
        <w:tc>
          <w:tcPr>
            <w:tcW w:w="708" w:type="dxa"/>
            <w:tcBorders>
              <w:top w:val="single" w:sz="4" w:space="0" w:color="auto"/>
              <w:left w:val="single" w:sz="4" w:space="0" w:color="auto"/>
              <w:bottom w:val="single" w:sz="4" w:space="0" w:color="auto"/>
              <w:right w:val="single" w:sz="4" w:space="0" w:color="auto"/>
            </w:tcBorders>
            <w:hideMark/>
          </w:tcPr>
          <w:p w14:paraId="259BB5A2" w14:textId="77777777" w:rsidR="00283998" w:rsidRDefault="00283998">
            <w:pP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6193CD4F"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7E383825"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4DCEEB96"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1630B4FC"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16FB3335"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25EF3535" w14:textId="77777777" w:rsidR="00283998" w:rsidRDefault="00283998">
            <w:pPr>
              <w:ind w:left="0" w:right="-114" w:firstLine="0"/>
              <w:jc w:val="left"/>
              <w:rPr>
                <w:rFonts w:ascii="Arial" w:hAnsi="Arial" w:cs="Arial"/>
                <w:bCs/>
                <w:sz w:val="20"/>
                <w:szCs w:val="20"/>
              </w:rPr>
            </w:pPr>
            <w:r>
              <w:rPr>
                <w:rFonts w:ascii="Arial" w:hAnsi="Arial" w:cs="Arial"/>
                <w:bCs/>
                <w:sz w:val="20"/>
                <w:szCs w:val="20"/>
              </w:rPr>
              <w:t xml:space="preserve">DC LAN </w:t>
            </w:r>
            <w:proofErr w:type="spellStart"/>
            <w:r>
              <w:rPr>
                <w:rFonts w:ascii="Arial" w:hAnsi="Arial" w:cs="Arial"/>
                <w:bCs/>
                <w:sz w:val="20"/>
                <w:szCs w:val="20"/>
              </w:rPr>
              <w:t>Loadbalancer</w:t>
            </w:r>
            <w:proofErr w:type="spellEnd"/>
          </w:p>
        </w:tc>
        <w:tc>
          <w:tcPr>
            <w:tcW w:w="3971" w:type="dxa"/>
            <w:tcBorders>
              <w:top w:val="single" w:sz="4" w:space="0" w:color="auto"/>
              <w:left w:val="single" w:sz="4" w:space="0" w:color="auto"/>
              <w:bottom w:val="single" w:sz="4" w:space="0" w:color="auto"/>
              <w:right w:val="single" w:sz="4" w:space="0" w:color="auto"/>
            </w:tcBorders>
            <w:hideMark/>
          </w:tcPr>
          <w:p w14:paraId="64D908B8" w14:textId="77777777" w:rsidR="00283998" w:rsidRDefault="00283998">
            <w:pPr>
              <w:ind w:left="0" w:right="-107" w:firstLine="0"/>
              <w:jc w:val="left"/>
              <w:rPr>
                <w:rFonts w:ascii="Arial" w:hAnsi="Arial" w:cs="Arial"/>
                <w:bCs/>
                <w:sz w:val="20"/>
                <w:szCs w:val="20"/>
              </w:rPr>
            </w:pPr>
            <w:r>
              <w:rPr>
                <w:rFonts w:ascii="Arial" w:hAnsi="Arial" w:cs="Arial"/>
                <w:bCs/>
                <w:sz w:val="20"/>
                <w:szCs w:val="20"/>
              </w:rPr>
              <w:t xml:space="preserve">Decommission </w:t>
            </w:r>
            <w:proofErr w:type="spellStart"/>
            <w:r>
              <w:rPr>
                <w:rFonts w:ascii="Arial" w:hAnsi="Arial" w:cs="Arial"/>
                <w:bCs/>
                <w:sz w:val="20"/>
                <w:szCs w:val="20"/>
              </w:rPr>
              <w:t>Loadbalancer</w:t>
            </w:r>
            <w:proofErr w:type="spellEnd"/>
          </w:p>
        </w:tc>
        <w:tc>
          <w:tcPr>
            <w:tcW w:w="568" w:type="dxa"/>
            <w:tcBorders>
              <w:top w:val="single" w:sz="4" w:space="0" w:color="auto"/>
              <w:left w:val="single" w:sz="4" w:space="0" w:color="auto"/>
              <w:bottom w:val="single" w:sz="4" w:space="0" w:color="auto"/>
              <w:right w:val="single" w:sz="4" w:space="0" w:color="auto"/>
            </w:tcBorders>
            <w:hideMark/>
          </w:tcPr>
          <w:p w14:paraId="75306C35"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DB426A3"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633B1EF1"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E1EFAAF"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584046F"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24AAEFB7"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4CBB0DB5" w14:textId="77777777" w:rsidR="00283998" w:rsidRDefault="00283998">
            <w:pPr>
              <w:jc w:val="center"/>
              <w:rPr>
                <w:rFonts w:ascii="Arial" w:hAnsi="Arial" w:cs="Arial"/>
                <w:bCs/>
                <w:sz w:val="20"/>
                <w:szCs w:val="20"/>
              </w:rPr>
            </w:pPr>
            <w:r>
              <w:rPr>
                <w:rFonts w:ascii="Arial" w:hAnsi="Arial" w:cs="Arial"/>
                <w:bCs/>
                <w:sz w:val="20"/>
                <w:szCs w:val="20"/>
              </w:rPr>
              <w:t>X</w:t>
            </w:r>
          </w:p>
        </w:tc>
        <w:tc>
          <w:tcPr>
            <w:tcW w:w="708" w:type="dxa"/>
            <w:tcBorders>
              <w:top w:val="single" w:sz="4" w:space="0" w:color="auto"/>
              <w:left w:val="single" w:sz="4" w:space="0" w:color="auto"/>
              <w:bottom w:val="single" w:sz="4" w:space="0" w:color="auto"/>
              <w:right w:val="single" w:sz="4" w:space="0" w:color="auto"/>
            </w:tcBorders>
            <w:hideMark/>
          </w:tcPr>
          <w:p w14:paraId="3F09A482" w14:textId="77777777" w:rsidR="00283998" w:rsidRDefault="00283998">
            <w:pP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6FF8DB34"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38FE3AC6"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0C219287"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7EFEFB4A"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12357827"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3DE82C54" w14:textId="77777777" w:rsidR="00283998" w:rsidRDefault="00283998">
            <w:pPr>
              <w:ind w:left="0" w:right="-114" w:firstLine="0"/>
              <w:jc w:val="left"/>
              <w:rPr>
                <w:rFonts w:ascii="Arial" w:hAnsi="Arial" w:cs="Arial"/>
                <w:bCs/>
                <w:sz w:val="20"/>
                <w:szCs w:val="20"/>
              </w:rPr>
            </w:pPr>
            <w:r>
              <w:rPr>
                <w:rFonts w:ascii="Arial" w:hAnsi="Arial" w:cs="Arial"/>
                <w:bCs/>
                <w:sz w:val="20"/>
                <w:szCs w:val="20"/>
              </w:rPr>
              <w:t>DC LAN Firewall</w:t>
            </w:r>
          </w:p>
        </w:tc>
        <w:tc>
          <w:tcPr>
            <w:tcW w:w="3971" w:type="dxa"/>
            <w:tcBorders>
              <w:top w:val="single" w:sz="4" w:space="0" w:color="auto"/>
              <w:left w:val="single" w:sz="4" w:space="0" w:color="auto"/>
              <w:bottom w:val="single" w:sz="4" w:space="0" w:color="auto"/>
              <w:right w:val="single" w:sz="4" w:space="0" w:color="auto"/>
            </w:tcBorders>
            <w:hideMark/>
          </w:tcPr>
          <w:p w14:paraId="0EF97593" w14:textId="77777777" w:rsidR="00283998" w:rsidRDefault="00283998">
            <w:pPr>
              <w:ind w:left="0" w:right="-107" w:firstLine="0"/>
              <w:jc w:val="left"/>
              <w:rPr>
                <w:rFonts w:ascii="Arial" w:hAnsi="Arial" w:cs="Arial"/>
                <w:bCs/>
                <w:sz w:val="20"/>
                <w:szCs w:val="20"/>
              </w:rPr>
            </w:pPr>
            <w:r>
              <w:rPr>
                <w:rFonts w:ascii="Arial" w:hAnsi="Arial" w:cs="Arial"/>
                <w:bCs/>
                <w:sz w:val="20"/>
                <w:szCs w:val="20"/>
              </w:rPr>
              <w:t>Decommission Firewall</w:t>
            </w:r>
          </w:p>
        </w:tc>
        <w:tc>
          <w:tcPr>
            <w:tcW w:w="568" w:type="dxa"/>
            <w:tcBorders>
              <w:top w:val="single" w:sz="4" w:space="0" w:color="auto"/>
              <w:left w:val="single" w:sz="4" w:space="0" w:color="auto"/>
              <w:bottom w:val="single" w:sz="4" w:space="0" w:color="auto"/>
              <w:right w:val="single" w:sz="4" w:space="0" w:color="auto"/>
            </w:tcBorders>
            <w:hideMark/>
          </w:tcPr>
          <w:p w14:paraId="132040D4"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763AFE0"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265EFA52"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4B5DC61"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FD43EBE"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3C77E022"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5DDE3B69" w14:textId="77777777" w:rsidR="00283998" w:rsidRDefault="00283998">
            <w:pPr>
              <w:jc w:val="center"/>
              <w:rPr>
                <w:rFonts w:ascii="Arial" w:hAnsi="Arial" w:cs="Arial"/>
                <w:bCs/>
                <w:sz w:val="20"/>
                <w:szCs w:val="20"/>
              </w:rPr>
            </w:pPr>
            <w:r>
              <w:rPr>
                <w:rFonts w:ascii="Arial" w:hAnsi="Arial" w:cs="Arial"/>
                <w:bCs/>
                <w:sz w:val="20"/>
                <w:szCs w:val="20"/>
              </w:rPr>
              <w:t>X</w:t>
            </w:r>
          </w:p>
        </w:tc>
        <w:tc>
          <w:tcPr>
            <w:tcW w:w="708" w:type="dxa"/>
            <w:tcBorders>
              <w:top w:val="single" w:sz="4" w:space="0" w:color="auto"/>
              <w:left w:val="single" w:sz="4" w:space="0" w:color="auto"/>
              <w:bottom w:val="single" w:sz="4" w:space="0" w:color="auto"/>
              <w:right w:val="single" w:sz="4" w:space="0" w:color="auto"/>
            </w:tcBorders>
            <w:hideMark/>
          </w:tcPr>
          <w:p w14:paraId="319A1ACA" w14:textId="77777777" w:rsidR="00283998" w:rsidRDefault="00283998">
            <w:pP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00028397"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7B7EE0EA"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4D875F87"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5D68A2AC"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0D01AD04"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284F3794" w14:textId="77777777" w:rsidR="00283998" w:rsidRDefault="00283998">
            <w:pPr>
              <w:ind w:left="0" w:right="-114" w:firstLine="0"/>
              <w:jc w:val="left"/>
              <w:rPr>
                <w:rFonts w:ascii="Arial" w:hAnsi="Arial" w:cs="Arial"/>
                <w:bCs/>
                <w:sz w:val="20"/>
                <w:szCs w:val="20"/>
              </w:rPr>
            </w:pPr>
            <w:r>
              <w:rPr>
                <w:rFonts w:ascii="Arial" w:hAnsi="Arial" w:cs="Arial"/>
                <w:bCs/>
                <w:sz w:val="20"/>
                <w:szCs w:val="20"/>
              </w:rPr>
              <w:t>Storage SAN LUN</w:t>
            </w:r>
          </w:p>
        </w:tc>
        <w:tc>
          <w:tcPr>
            <w:tcW w:w="3971" w:type="dxa"/>
            <w:tcBorders>
              <w:top w:val="single" w:sz="4" w:space="0" w:color="auto"/>
              <w:left w:val="single" w:sz="4" w:space="0" w:color="auto"/>
              <w:bottom w:val="single" w:sz="4" w:space="0" w:color="auto"/>
              <w:right w:val="single" w:sz="4" w:space="0" w:color="auto"/>
            </w:tcBorders>
            <w:hideMark/>
          </w:tcPr>
          <w:p w14:paraId="0213E037" w14:textId="77777777" w:rsidR="00283998" w:rsidRDefault="00283998">
            <w:pPr>
              <w:ind w:left="0" w:right="-107" w:firstLine="0"/>
              <w:jc w:val="left"/>
              <w:rPr>
                <w:rFonts w:ascii="Arial" w:hAnsi="Arial" w:cs="Arial"/>
                <w:bCs/>
                <w:sz w:val="20"/>
                <w:szCs w:val="20"/>
              </w:rPr>
            </w:pPr>
            <w:r>
              <w:rPr>
                <w:rFonts w:ascii="Arial" w:hAnsi="Arial" w:cs="Arial"/>
                <w:bCs/>
                <w:sz w:val="20"/>
                <w:szCs w:val="20"/>
              </w:rPr>
              <w:t>Create SAN LUN</w:t>
            </w:r>
          </w:p>
        </w:tc>
        <w:tc>
          <w:tcPr>
            <w:tcW w:w="568" w:type="dxa"/>
            <w:tcBorders>
              <w:top w:val="single" w:sz="4" w:space="0" w:color="auto"/>
              <w:left w:val="single" w:sz="4" w:space="0" w:color="auto"/>
              <w:bottom w:val="single" w:sz="4" w:space="0" w:color="auto"/>
              <w:right w:val="single" w:sz="4" w:space="0" w:color="auto"/>
            </w:tcBorders>
            <w:hideMark/>
          </w:tcPr>
          <w:p w14:paraId="4F8D6157"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7DDC2BC2"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0287AA91"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9A71E2C"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B3D38E2"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46BBF7BD"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341BEBFF"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2E39636A"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6AA7A1D0"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3BF78D44"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22F34857" w14:textId="77777777" w:rsidR="00283998" w:rsidRDefault="00283998">
            <w:pPr>
              <w:jc w:val="center"/>
              <w:rPr>
                <w:rFonts w:ascii="Arial" w:hAnsi="Arial" w:cs="Arial"/>
                <w:bCs/>
                <w:sz w:val="20"/>
                <w:szCs w:val="20"/>
              </w:rPr>
            </w:pPr>
            <w:r>
              <w:rPr>
                <w:rFonts w:ascii="Arial" w:hAnsi="Arial" w:cs="Arial"/>
                <w:bCs/>
                <w:sz w:val="20"/>
                <w:szCs w:val="20"/>
              </w:rPr>
              <w:t>60</w:t>
            </w:r>
          </w:p>
        </w:tc>
        <w:tc>
          <w:tcPr>
            <w:tcW w:w="1276" w:type="dxa"/>
            <w:tcBorders>
              <w:top w:val="single" w:sz="4" w:space="0" w:color="auto"/>
              <w:left w:val="single" w:sz="4" w:space="0" w:color="auto"/>
              <w:bottom w:val="single" w:sz="4" w:space="0" w:color="auto"/>
              <w:right w:val="single" w:sz="4" w:space="0" w:color="auto"/>
            </w:tcBorders>
            <w:hideMark/>
          </w:tcPr>
          <w:p w14:paraId="6A2AF4E4" w14:textId="77777777" w:rsidR="00283998" w:rsidRDefault="00283998">
            <w:pPr>
              <w:jc w:val="center"/>
              <w:rPr>
                <w:rFonts w:ascii="Arial" w:hAnsi="Arial" w:cs="Arial"/>
                <w:bCs/>
                <w:sz w:val="20"/>
                <w:szCs w:val="20"/>
              </w:rPr>
            </w:pPr>
            <w:r>
              <w:rPr>
                <w:rFonts w:ascii="Arial" w:hAnsi="Arial" w:cs="Arial"/>
                <w:bCs/>
                <w:sz w:val="20"/>
                <w:szCs w:val="20"/>
              </w:rPr>
              <w:t>80</w:t>
            </w:r>
          </w:p>
        </w:tc>
      </w:tr>
      <w:tr w:rsidR="00283998" w14:paraId="5B8A764F"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1457324C" w14:textId="77777777" w:rsidR="00283998" w:rsidRDefault="00283998">
            <w:pPr>
              <w:ind w:left="0" w:right="-114" w:firstLine="0"/>
              <w:jc w:val="left"/>
              <w:rPr>
                <w:rFonts w:ascii="Arial" w:hAnsi="Arial" w:cs="Arial"/>
                <w:bCs/>
                <w:sz w:val="20"/>
                <w:szCs w:val="20"/>
              </w:rPr>
            </w:pPr>
            <w:r>
              <w:rPr>
                <w:rFonts w:ascii="Arial" w:hAnsi="Arial" w:cs="Arial"/>
                <w:bCs/>
                <w:sz w:val="20"/>
                <w:szCs w:val="20"/>
              </w:rPr>
              <w:t>Storage NFS Share</w:t>
            </w:r>
          </w:p>
        </w:tc>
        <w:tc>
          <w:tcPr>
            <w:tcW w:w="3971" w:type="dxa"/>
            <w:tcBorders>
              <w:top w:val="single" w:sz="4" w:space="0" w:color="auto"/>
              <w:left w:val="single" w:sz="4" w:space="0" w:color="auto"/>
              <w:bottom w:val="single" w:sz="4" w:space="0" w:color="auto"/>
              <w:right w:val="single" w:sz="4" w:space="0" w:color="auto"/>
            </w:tcBorders>
            <w:hideMark/>
          </w:tcPr>
          <w:p w14:paraId="703137CB" w14:textId="77777777" w:rsidR="00283998" w:rsidRDefault="00283998">
            <w:pPr>
              <w:ind w:left="0" w:right="-107" w:firstLine="0"/>
              <w:jc w:val="left"/>
              <w:rPr>
                <w:rFonts w:ascii="Arial" w:hAnsi="Arial" w:cs="Arial"/>
                <w:bCs/>
                <w:sz w:val="20"/>
                <w:szCs w:val="20"/>
              </w:rPr>
            </w:pPr>
            <w:r>
              <w:rPr>
                <w:rFonts w:ascii="Arial" w:hAnsi="Arial" w:cs="Arial"/>
                <w:bCs/>
                <w:sz w:val="20"/>
                <w:szCs w:val="20"/>
              </w:rPr>
              <w:t>Create NFS share</w:t>
            </w:r>
          </w:p>
        </w:tc>
        <w:tc>
          <w:tcPr>
            <w:tcW w:w="568" w:type="dxa"/>
            <w:tcBorders>
              <w:top w:val="single" w:sz="4" w:space="0" w:color="auto"/>
              <w:left w:val="single" w:sz="4" w:space="0" w:color="auto"/>
              <w:bottom w:val="single" w:sz="4" w:space="0" w:color="auto"/>
              <w:right w:val="single" w:sz="4" w:space="0" w:color="auto"/>
            </w:tcBorders>
            <w:hideMark/>
          </w:tcPr>
          <w:p w14:paraId="2B364AB4"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5CDC9ADA"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162D97A2"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E1ECDAF"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EC59661"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6D26DEFA"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07451190"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7FBF74C9"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6EF03B0D"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111661A1"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22AC135D"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3E6FA144"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14823BFD"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69E98EE9" w14:textId="77777777" w:rsidR="00283998" w:rsidRDefault="00283998">
            <w:pPr>
              <w:ind w:left="0" w:right="-114" w:firstLine="0"/>
              <w:jc w:val="left"/>
              <w:rPr>
                <w:rFonts w:ascii="Arial" w:hAnsi="Arial" w:cs="Arial"/>
                <w:bCs/>
                <w:sz w:val="20"/>
                <w:szCs w:val="20"/>
              </w:rPr>
            </w:pPr>
            <w:r>
              <w:rPr>
                <w:rFonts w:ascii="Arial" w:hAnsi="Arial" w:cs="Arial"/>
                <w:bCs/>
                <w:sz w:val="20"/>
                <w:szCs w:val="20"/>
              </w:rPr>
              <w:t>Storage FTP Share</w:t>
            </w:r>
          </w:p>
        </w:tc>
        <w:tc>
          <w:tcPr>
            <w:tcW w:w="3971" w:type="dxa"/>
            <w:tcBorders>
              <w:top w:val="single" w:sz="4" w:space="0" w:color="auto"/>
              <w:left w:val="single" w:sz="4" w:space="0" w:color="auto"/>
              <w:bottom w:val="single" w:sz="4" w:space="0" w:color="auto"/>
              <w:right w:val="single" w:sz="4" w:space="0" w:color="auto"/>
            </w:tcBorders>
            <w:hideMark/>
          </w:tcPr>
          <w:p w14:paraId="401C7529" w14:textId="77777777" w:rsidR="00283998" w:rsidRDefault="00283998">
            <w:pPr>
              <w:ind w:left="0" w:right="-107" w:firstLine="0"/>
              <w:jc w:val="left"/>
              <w:rPr>
                <w:rFonts w:ascii="Arial" w:hAnsi="Arial" w:cs="Arial"/>
                <w:bCs/>
                <w:sz w:val="20"/>
                <w:szCs w:val="20"/>
              </w:rPr>
            </w:pPr>
            <w:r>
              <w:rPr>
                <w:rFonts w:ascii="Arial" w:hAnsi="Arial" w:cs="Arial"/>
                <w:bCs/>
                <w:sz w:val="20"/>
                <w:szCs w:val="20"/>
              </w:rPr>
              <w:t>Create FTP share</w:t>
            </w:r>
          </w:p>
        </w:tc>
        <w:tc>
          <w:tcPr>
            <w:tcW w:w="568" w:type="dxa"/>
            <w:tcBorders>
              <w:top w:val="single" w:sz="4" w:space="0" w:color="auto"/>
              <w:left w:val="single" w:sz="4" w:space="0" w:color="auto"/>
              <w:bottom w:val="single" w:sz="4" w:space="0" w:color="auto"/>
              <w:right w:val="single" w:sz="4" w:space="0" w:color="auto"/>
            </w:tcBorders>
            <w:hideMark/>
          </w:tcPr>
          <w:p w14:paraId="1EC76AAE"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6354654F"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37BF6835"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50D914B"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48BD47F"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7363D557"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57FC5634"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0683DC71"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0BAC7C79"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732FE1E1"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0EF97039"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1252FB60"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5C954111"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63440F88" w14:textId="77777777" w:rsidR="00283998" w:rsidRDefault="00283998">
            <w:pPr>
              <w:ind w:left="0" w:right="-114" w:firstLine="0"/>
              <w:jc w:val="left"/>
              <w:rPr>
                <w:rFonts w:ascii="Arial" w:hAnsi="Arial" w:cs="Arial"/>
                <w:bCs/>
                <w:sz w:val="20"/>
                <w:szCs w:val="20"/>
              </w:rPr>
            </w:pPr>
            <w:r>
              <w:rPr>
                <w:rFonts w:ascii="Arial" w:hAnsi="Arial" w:cs="Arial"/>
                <w:bCs/>
                <w:sz w:val="20"/>
                <w:szCs w:val="20"/>
              </w:rPr>
              <w:t>Storage Raw Disk</w:t>
            </w:r>
          </w:p>
        </w:tc>
        <w:tc>
          <w:tcPr>
            <w:tcW w:w="3971" w:type="dxa"/>
            <w:tcBorders>
              <w:top w:val="single" w:sz="4" w:space="0" w:color="auto"/>
              <w:left w:val="single" w:sz="4" w:space="0" w:color="auto"/>
              <w:bottom w:val="single" w:sz="4" w:space="0" w:color="auto"/>
              <w:right w:val="single" w:sz="4" w:space="0" w:color="auto"/>
            </w:tcBorders>
            <w:hideMark/>
          </w:tcPr>
          <w:p w14:paraId="4514BE34" w14:textId="77777777" w:rsidR="00283998" w:rsidRDefault="00283998">
            <w:pPr>
              <w:ind w:left="0" w:right="-107" w:firstLine="0"/>
              <w:jc w:val="left"/>
              <w:rPr>
                <w:rFonts w:ascii="Arial" w:hAnsi="Arial" w:cs="Arial"/>
                <w:bCs/>
                <w:sz w:val="20"/>
                <w:szCs w:val="20"/>
              </w:rPr>
            </w:pPr>
            <w:r>
              <w:rPr>
                <w:rFonts w:ascii="Arial" w:hAnsi="Arial" w:cs="Arial"/>
                <w:bCs/>
                <w:sz w:val="20"/>
                <w:szCs w:val="20"/>
              </w:rPr>
              <w:t>Create RAW disk</w:t>
            </w:r>
          </w:p>
        </w:tc>
        <w:tc>
          <w:tcPr>
            <w:tcW w:w="568" w:type="dxa"/>
            <w:tcBorders>
              <w:top w:val="single" w:sz="4" w:space="0" w:color="auto"/>
              <w:left w:val="single" w:sz="4" w:space="0" w:color="auto"/>
              <w:bottom w:val="single" w:sz="4" w:space="0" w:color="auto"/>
              <w:right w:val="single" w:sz="4" w:space="0" w:color="auto"/>
            </w:tcBorders>
            <w:hideMark/>
          </w:tcPr>
          <w:p w14:paraId="47D1BD03"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544CFA0D"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28219606"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B851ABB"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C5F3467"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5B6A1D4C"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10F2CA33"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4D43B4FB"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3982F2B3"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6FA59DFB"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3FAAA809"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10FD32DF"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1338C10C"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64EE21E2" w14:textId="77777777" w:rsidR="00283998" w:rsidRDefault="00283998">
            <w:pPr>
              <w:ind w:left="0" w:right="-114" w:firstLine="0"/>
              <w:jc w:val="left"/>
              <w:rPr>
                <w:rFonts w:ascii="Arial" w:hAnsi="Arial" w:cs="Arial"/>
                <w:bCs/>
                <w:sz w:val="20"/>
                <w:szCs w:val="20"/>
              </w:rPr>
            </w:pPr>
            <w:r>
              <w:rPr>
                <w:rFonts w:ascii="Arial" w:hAnsi="Arial" w:cs="Arial"/>
                <w:bCs/>
                <w:sz w:val="20"/>
                <w:szCs w:val="20"/>
              </w:rPr>
              <w:t>Storage Binary library/repository</w:t>
            </w:r>
          </w:p>
        </w:tc>
        <w:tc>
          <w:tcPr>
            <w:tcW w:w="3971" w:type="dxa"/>
            <w:tcBorders>
              <w:top w:val="single" w:sz="4" w:space="0" w:color="auto"/>
              <w:left w:val="single" w:sz="4" w:space="0" w:color="auto"/>
              <w:bottom w:val="single" w:sz="4" w:space="0" w:color="auto"/>
              <w:right w:val="single" w:sz="4" w:space="0" w:color="auto"/>
            </w:tcBorders>
            <w:hideMark/>
          </w:tcPr>
          <w:p w14:paraId="1E96CCD8" w14:textId="77777777" w:rsidR="00283998" w:rsidRDefault="00283998">
            <w:pPr>
              <w:ind w:left="0" w:right="-107" w:firstLine="0"/>
              <w:jc w:val="left"/>
              <w:rPr>
                <w:rFonts w:ascii="Arial" w:hAnsi="Arial" w:cs="Arial"/>
                <w:bCs/>
                <w:sz w:val="20"/>
                <w:szCs w:val="20"/>
              </w:rPr>
            </w:pPr>
            <w:r>
              <w:rPr>
                <w:rFonts w:ascii="Arial" w:hAnsi="Arial" w:cs="Arial"/>
                <w:bCs/>
                <w:sz w:val="20"/>
                <w:szCs w:val="20"/>
              </w:rPr>
              <w:t>Create Binary library/repository</w:t>
            </w:r>
          </w:p>
        </w:tc>
        <w:tc>
          <w:tcPr>
            <w:tcW w:w="568" w:type="dxa"/>
            <w:tcBorders>
              <w:top w:val="single" w:sz="4" w:space="0" w:color="auto"/>
              <w:left w:val="single" w:sz="4" w:space="0" w:color="auto"/>
              <w:bottom w:val="single" w:sz="4" w:space="0" w:color="auto"/>
              <w:right w:val="single" w:sz="4" w:space="0" w:color="auto"/>
            </w:tcBorders>
            <w:hideMark/>
          </w:tcPr>
          <w:p w14:paraId="1A3D49F8"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3C4B7E38"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3735FCFE"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D375D2A"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FFDD346"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79EF50E"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782BDEA4"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4609417F"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6C229228"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054DED63"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1998B553"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1270FA23"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5E45D0EA"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0352A2E9" w14:textId="77777777" w:rsidR="00283998" w:rsidRDefault="00283998">
            <w:pPr>
              <w:ind w:left="0" w:right="-114" w:firstLine="0"/>
              <w:jc w:val="left"/>
              <w:rPr>
                <w:rFonts w:ascii="Arial" w:hAnsi="Arial" w:cs="Arial"/>
                <w:bCs/>
                <w:sz w:val="20"/>
                <w:szCs w:val="20"/>
              </w:rPr>
            </w:pPr>
            <w:r>
              <w:rPr>
                <w:rFonts w:ascii="Arial" w:hAnsi="Arial" w:cs="Arial"/>
                <w:bCs/>
                <w:sz w:val="20"/>
                <w:szCs w:val="20"/>
              </w:rPr>
              <w:t>Storage SAN LUN</w:t>
            </w:r>
          </w:p>
        </w:tc>
        <w:tc>
          <w:tcPr>
            <w:tcW w:w="3971" w:type="dxa"/>
            <w:tcBorders>
              <w:top w:val="single" w:sz="4" w:space="0" w:color="auto"/>
              <w:left w:val="single" w:sz="4" w:space="0" w:color="auto"/>
              <w:bottom w:val="single" w:sz="4" w:space="0" w:color="auto"/>
              <w:right w:val="single" w:sz="4" w:space="0" w:color="auto"/>
            </w:tcBorders>
            <w:hideMark/>
          </w:tcPr>
          <w:p w14:paraId="144064F1"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SAN LUN</w:t>
            </w:r>
          </w:p>
        </w:tc>
        <w:tc>
          <w:tcPr>
            <w:tcW w:w="568" w:type="dxa"/>
            <w:tcBorders>
              <w:top w:val="single" w:sz="4" w:space="0" w:color="auto"/>
              <w:left w:val="single" w:sz="4" w:space="0" w:color="auto"/>
              <w:bottom w:val="single" w:sz="4" w:space="0" w:color="auto"/>
              <w:right w:val="single" w:sz="4" w:space="0" w:color="auto"/>
            </w:tcBorders>
            <w:hideMark/>
          </w:tcPr>
          <w:p w14:paraId="056D300C"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8D8F335"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45F71098"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24476FA"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079533E8"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01F51205"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31C0E8EA"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50B41B19"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28806081"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60030735"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6F386DFE" w14:textId="77777777" w:rsidR="00283998" w:rsidRDefault="00283998">
            <w:pPr>
              <w:jc w:val="center"/>
            </w:pPr>
            <w:r>
              <w:t>TBD</w:t>
            </w:r>
          </w:p>
        </w:tc>
        <w:tc>
          <w:tcPr>
            <w:tcW w:w="1276" w:type="dxa"/>
            <w:tcBorders>
              <w:top w:val="single" w:sz="4" w:space="0" w:color="auto"/>
              <w:left w:val="single" w:sz="4" w:space="0" w:color="auto"/>
              <w:bottom w:val="single" w:sz="4" w:space="0" w:color="auto"/>
              <w:right w:val="single" w:sz="4" w:space="0" w:color="auto"/>
            </w:tcBorders>
            <w:hideMark/>
          </w:tcPr>
          <w:p w14:paraId="62E09F22"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11C3F8AB"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376C7A9F" w14:textId="77777777" w:rsidR="00283998" w:rsidRDefault="00283998">
            <w:pPr>
              <w:ind w:left="0" w:right="-114" w:firstLine="0"/>
              <w:jc w:val="left"/>
              <w:rPr>
                <w:rFonts w:ascii="Arial" w:hAnsi="Arial" w:cs="Arial"/>
                <w:bCs/>
                <w:sz w:val="20"/>
                <w:szCs w:val="20"/>
              </w:rPr>
            </w:pPr>
            <w:r>
              <w:rPr>
                <w:rFonts w:ascii="Arial" w:hAnsi="Arial" w:cs="Arial"/>
                <w:bCs/>
                <w:sz w:val="20"/>
                <w:szCs w:val="20"/>
              </w:rPr>
              <w:t>Storage NFS Share</w:t>
            </w:r>
          </w:p>
        </w:tc>
        <w:tc>
          <w:tcPr>
            <w:tcW w:w="3971" w:type="dxa"/>
            <w:tcBorders>
              <w:top w:val="single" w:sz="4" w:space="0" w:color="auto"/>
              <w:left w:val="single" w:sz="4" w:space="0" w:color="auto"/>
              <w:bottom w:val="single" w:sz="4" w:space="0" w:color="auto"/>
              <w:right w:val="single" w:sz="4" w:space="0" w:color="auto"/>
            </w:tcBorders>
            <w:hideMark/>
          </w:tcPr>
          <w:p w14:paraId="57A908E4"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NFS share</w:t>
            </w:r>
          </w:p>
        </w:tc>
        <w:tc>
          <w:tcPr>
            <w:tcW w:w="568" w:type="dxa"/>
            <w:tcBorders>
              <w:top w:val="single" w:sz="4" w:space="0" w:color="auto"/>
              <w:left w:val="single" w:sz="4" w:space="0" w:color="auto"/>
              <w:bottom w:val="single" w:sz="4" w:space="0" w:color="auto"/>
              <w:right w:val="single" w:sz="4" w:space="0" w:color="auto"/>
            </w:tcBorders>
            <w:hideMark/>
          </w:tcPr>
          <w:p w14:paraId="0AC6F896"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E3B393C"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110F62C1"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64C432F"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06BA16FA"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2C103170"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04456D82"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7686C334"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2AFB9DD3"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11E26BEA"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3652B5B1"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1E111E4C"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5CFEB2EF"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26276E4C" w14:textId="77777777" w:rsidR="00283998" w:rsidRDefault="00283998">
            <w:pPr>
              <w:ind w:left="0" w:right="-114" w:firstLine="0"/>
              <w:jc w:val="left"/>
              <w:rPr>
                <w:rFonts w:ascii="Arial" w:hAnsi="Arial" w:cs="Arial"/>
                <w:bCs/>
                <w:sz w:val="20"/>
                <w:szCs w:val="20"/>
              </w:rPr>
            </w:pPr>
            <w:r>
              <w:rPr>
                <w:rFonts w:ascii="Arial" w:hAnsi="Arial" w:cs="Arial"/>
                <w:bCs/>
                <w:sz w:val="20"/>
                <w:szCs w:val="20"/>
              </w:rPr>
              <w:t>Storage FTP Share</w:t>
            </w:r>
          </w:p>
        </w:tc>
        <w:tc>
          <w:tcPr>
            <w:tcW w:w="3971" w:type="dxa"/>
            <w:tcBorders>
              <w:top w:val="single" w:sz="4" w:space="0" w:color="auto"/>
              <w:left w:val="single" w:sz="4" w:space="0" w:color="auto"/>
              <w:bottom w:val="single" w:sz="4" w:space="0" w:color="auto"/>
              <w:right w:val="single" w:sz="4" w:space="0" w:color="auto"/>
            </w:tcBorders>
            <w:hideMark/>
          </w:tcPr>
          <w:p w14:paraId="51BF1999"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FTP share</w:t>
            </w:r>
          </w:p>
        </w:tc>
        <w:tc>
          <w:tcPr>
            <w:tcW w:w="568" w:type="dxa"/>
            <w:tcBorders>
              <w:top w:val="single" w:sz="4" w:space="0" w:color="auto"/>
              <w:left w:val="single" w:sz="4" w:space="0" w:color="auto"/>
              <w:bottom w:val="single" w:sz="4" w:space="0" w:color="auto"/>
              <w:right w:val="single" w:sz="4" w:space="0" w:color="auto"/>
            </w:tcBorders>
            <w:hideMark/>
          </w:tcPr>
          <w:p w14:paraId="2B45E111"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2D824E4"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290BFEE5"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C3E5648"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0E80DFC0"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01148931"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0BDFD85F"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257C7780"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33013750"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50B3D709"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1E4D43BC"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152C3BCC"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68B77DE5"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32237303" w14:textId="77777777" w:rsidR="00283998" w:rsidRDefault="00283998">
            <w:pPr>
              <w:ind w:left="0" w:right="-114" w:firstLine="0"/>
              <w:jc w:val="left"/>
              <w:rPr>
                <w:rFonts w:ascii="Arial" w:hAnsi="Arial" w:cs="Arial"/>
                <w:bCs/>
                <w:sz w:val="20"/>
                <w:szCs w:val="20"/>
              </w:rPr>
            </w:pPr>
            <w:r>
              <w:rPr>
                <w:rFonts w:ascii="Arial" w:hAnsi="Arial" w:cs="Arial"/>
                <w:bCs/>
                <w:sz w:val="20"/>
                <w:szCs w:val="20"/>
              </w:rPr>
              <w:t>Storage Raw Disk</w:t>
            </w:r>
          </w:p>
        </w:tc>
        <w:tc>
          <w:tcPr>
            <w:tcW w:w="3971" w:type="dxa"/>
            <w:tcBorders>
              <w:top w:val="single" w:sz="4" w:space="0" w:color="auto"/>
              <w:left w:val="single" w:sz="4" w:space="0" w:color="auto"/>
              <w:bottom w:val="single" w:sz="4" w:space="0" w:color="auto"/>
              <w:right w:val="single" w:sz="4" w:space="0" w:color="auto"/>
            </w:tcBorders>
            <w:hideMark/>
          </w:tcPr>
          <w:p w14:paraId="14FFFB0E"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RAW disk</w:t>
            </w:r>
          </w:p>
        </w:tc>
        <w:tc>
          <w:tcPr>
            <w:tcW w:w="568" w:type="dxa"/>
            <w:tcBorders>
              <w:top w:val="single" w:sz="4" w:space="0" w:color="auto"/>
              <w:left w:val="single" w:sz="4" w:space="0" w:color="auto"/>
              <w:bottom w:val="single" w:sz="4" w:space="0" w:color="auto"/>
              <w:right w:val="single" w:sz="4" w:space="0" w:color="auto"/>
            </w:tcBorders>
            <w:hideMark/>
          </w:tcPr>
          <w:p w14:paraId="3B4F0E12"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2DB950A"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1CF18BEF"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992077E"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72366B66"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2CC3275C"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55C9BF46"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37BBCBE1"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3A893C59"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3DDCF25B"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604A6699"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214ED7BF"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58D873BB"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6265AD48" w14:textId="77777777" w:rsidR="00283998" w:rsidRDefault="00283998">
            <w:pPr>
              <w:ind w:left="0" w:right="-114" w:firstLine="0"/>
              <w:jc w:val="left"/>
              <w:rPr>
                <w:rFonts w:ascii="Arial" w:hAnsi="Arial" w:cs="Arial"/>
                <w:bCs/>
                <w:sz w:val="20"/>
                <w:szCs w:val="20"/>
              </w:rPr>
            </w:pPr>
            <w:r>
              <w:rPr>
                <w:rFonts w:ascii="Arial" w:hAnsi="Arial" w:cs="Arial"/>
                <w:bCs/>
                <w:sz w:val="20"/>
                <w:szCs w:val="20"/>
              </w:rPr>
              <w:lastRenderedPageBreak/>
              <w:t>Storage Binary library/repository</w:t>
            </w:r>
          </w:p>
        </w:tc>
        <w:tc>
          <w:tcPr>
            <w:tcW w:w="3971" w:type="dxa"/>
            <w:tcBorders>
              <w:top w:val="single" w:sz="4" w:space="0" w:color="auto"/>
              <w:left w:val="single" w:sz="4" w:space="0" w:color="auto"/>
              <w:bottom w:val="single" w:sz="4" w:space="0" w:color="auto"/>
              <w:right w:val="single" w:sz="4" w:space="0" w:color="auto"/>
            </w:tcBorders>
            <w:hideMark/>
          </w:tcPr>
          <w:p w14:paraId="71B57CFE"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Binary library/repository</w:t>
            </w:r>
          </w:p>
        </w:tc>
        <w:tc>
          <w:tcPr>
            <w:tcW w:w="568" w:type="dxa"/>
            <w:tcBorders>
              <w:top w:val="single" w:sz="4" w:space="0" w:color="auto"/>
              <w:left w:val="single" w:sz="4" w:space="0" w:color="auto"/>
              <w:bottom w:val="single" w:sz="4" w:space="0" w:color="auto"/>
              <w:right w:val="single" w:sz="4" w:space="0" w:color="auto"/>
            </w:tcBorders>
            <w:hideMark/>
          </w:tcPr>
          <w:p w14:paraId="5A89144F"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7DCF43D"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5292A452"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EB6C7A9"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2516917D"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6DD81BE2"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16B2A524"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5E760941"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714DDEC6"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53683BCD"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60CB1AA3"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6AC9C005"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30539A9D"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02DCA6C7" w14:textId="77777777" w:rsidR="00283998" w:rsidRDefault="00283998">
            <w:pPr>
              <w:ind w:left="0" w:right="-114" w:firstLine="0"/>
              <w:jc w:val="left"/>
              <w:rPr>
                <w:rFonts w:ascii="Arial" w:hAnsi="Arial" w:cs="Arial"/>
                <w:bCs/>
                <w:sz w:val="20"/>
                <w:szCs w:val="20"/>
              </w:rPr>
            </w:pPr>
            <w:r>
              <w:rPr>
                <w:rFonts w:ascii="Arial" w:hAnsi="Arial" w:cs="Arial"/>
                <w:bCs/>
                <w:sz w:val="20"/>
                <w:szCs w:val="20"/>
              </w:rPr>
              <w:t>Storage SAN LUN</w:t>
            </w:r>
          </w:p>
        </w:tc>
        <w:tc>
          <w:tcPr>
            <w:tcW w:w="3971" w:type="dxa"/>
            <w:tcBorders>
              <w:top w:val="single" w:sz="4" w:space="0" w:color="auto"/>
              <w:left w:val="single" w:sz="4" w:space="0" w:color="auto"/>
              <w:bottom w:val="single" w:sz="4" w:space="0" w:color="auto"/>
              <w:right w:val="single" w:sz="4" w:space="0" w:color="auto"/>
            </w:tcBorders>
            <w:hideMark/>
          </w:tcPr>
          <w:p w14:paraId="65F6CB99" w14:textId="77777777" w:rsidR="00283998" w:rsidRDefault="00283998">
            <w:pPr>
              <w:ind w:left="0" w:right="-107" w:firstLine="0"/>
              <w:jc w:val="left"/>
              <w:rPr>
                <w:rFonts w:ascii="Arial" w:hAnsi="Arial" w:cs="Arial"/>
                <w:bCs/>
                <w:sz w:val="20"/>
                <w:szCs w:val="20"/>
              </w:rPr>
            </w:pPr>
            <w:r>
              <w:rPr>
                <w:rFonts w:ascii="Arial" w:hAnsi="Arial" w:cs="Arial"/>
                <w:bCs/>
                <w:sz w:val="20"/>
                <w:szCs w:val="20"/>
              </w:rPr>
              <w:t>Scale up/down SAN LUN</w:t>
            </w:r>
          </w:p>
        </w:tc>
        <w:tc>
          <w:tcPr>
            <w:tcW w:w="568" w:type="dxa"/>
            <w:tcBorders>
              <w:top w:val="single" w:sz="4" w:space="0" w:color="auto"/>
              <w:left w:val="single" w:sz="4" w:space="0" w:color="auto"/>
              <w:bottom w:val="single" w:sz="4" w:space="0" w:color="auto"/>
              <w:right w:val="single" w:sz="4" w:space="0" w:color="auto"/>
            </w:tcBorders>
            <w:hideMark/>
          </w:tcPr>
          <w:p w14:paraId="47EDAC56"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3F94479"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CC498A6"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D20BEBE"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1C425FD5"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39633BEE"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2EFEF33A"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05C5C2C7"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0ECE0372"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1066D3E8"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53DC1431"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3CFF7C62"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29E43891"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125F38CD" w14:textId="77777777" w:rsidR="00283998" w:rsidRDefault="00283998">
            <w:pPr>
              <w:ind w:left="0" w:right="-114" w:firstLine="0"/>
              <w:jc w:val="left"/>
              <w:rPr>
                <w:rFonts w:ascii="Arial" w:hAnsi="Arial" w:cs="Arial"/>
                <w:bCs/>
                <w:sz w:val="20"/>
                <w:szCs w:val="20"/>
              </w:rPr>
            </w:pPr>
            <w:r>
              <w:rPr>
                <w:rFonts w:ascii="Arial" w:hAnsi="Arial" w:cs="Arial"/>
                <w:bCs/>
                <w:sz w:val="20"/>
                <w:szCs w:val="20"/>
              </w:rPr>
              <w:t>Storage NFS Share</w:t>
            </w:r>
          </w:p>
        </w:tc>
        <w:tc>
          <w:tcPr>
            <w:tcW w:w="3971" w:type="dxa"/>
            <w:tcBorders>
              <w:top w:val="single" w:sz="4" w:space="0" w:color="auto"/>
              <w:left w:val="single" w:sz="4" w:space="0" w:color="auto"/>
              <w:bottom w:val="single" w:sz="4" w:space="0" w:color="auto"/>
              <w:right w:val="single" w:sz="4" w:space="0" w:color="auto"/>
            </w:tcBorders>
            <w:hideMark/>
          </w:tcPr>
          <w:p w14:paraId="6A12DA0D" w14:textId="77777777" w:rsidR="00283998" w:rsidRDefault="00283998">
            <w:pPr>
              <w:ind w:left="0" w:right="-107" w:firstLine="0"/>
              <w:jc w:val="left"/>
              <w:rPr>
                <w:rFonts w:ascii="Arial" w:hAnsi="Arial" w:cs="Arial"/>
                <w:bCs/>
                <w:sz w:val="20"/>
                <w:szCs w:val="20"/>
              </w:rPr>
            </w:pPr>
            <w:r>
              <w:rPr>
                <w:rFonts w:ascii="Arial" w:hAnsi="Arial" w:cs="Arial"/>
                <w:bCs/>
                <w:sz w:val="20"/>
                <w:szCs w:val="20"/>
              </w:rPr>
              <w:t>Scale up/down NFS share</w:t>
            </w:r>
          </w:p>
        </w:tc>
        <w:tc>
          <w:tcPr>
            <w:tcW w:w="568" w:type="dxa"/>
            <w:tcBorders>
              <w:top w:val="single" w:sz="4" w:space="0" w:color="auto"/>
              <w:left w:val="single" w:sz="4" w:space="0" w:color="auto"/>
              <w:bottom w:val="single" w:sz="4" w:space="0" w:color="auto"/>
              <w:right w:val="single" w:sz="4" w:space="0" w:color="auto"/>
            </w:tcBorders>
            <w:hideMark/>
          </w:tcPr>
          <w:p w14:paraId="70440CCC"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DABD369"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43DA532A"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9B53B04"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28A5CA3E"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7B4C726E"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3ECED1DC"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1F55ADFB"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35002D7B"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62DDA378"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6BD51FFD"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6A390E3D"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42590016"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335AD690" w14:textId="77777777" w:rsidR="00283998" w:rsidRDefault="00283998">
            <w:pPr>
              <w:ind w:left="0" w:right="-114" w:firstLine="0"/>
              <w:jc w:val="left"/>
              <w:rPr>
                <w:rFonts w:ascii="Arial" w:hAnsi="Arial" w:cs="Arial"/>
                <w:bCs/>
                <w:sz w:val="20"/>
                <w:szCs w:val="20"/>
              </w:rPr>
            </w:pPr>
            <w:r>
              <w:rPr>
                <w:rFonts w:ascii="Arial" w:hAnsi="Arial" w:cs="Arial"/>
                <w:bCs/>
                <w:sz w:val="20"/>
                <w:szCs w:val="20"/>
              </w:rPr>
              <w:t>Storage FTP Share</w:t>
            </w:r>
          </w:p>
        </w:tc>
        <w:tc>
          <w:tcPr>
            <w:tcW w:w="3971" w:type="dxa"/>
            <w:tcBorders>
              <w:top w:val="single" w:sz="4" w:space="0" w:color="auto"/>
              <w:left w:val="single" w:sz="4" w:space="0" w:color="auto"/>
              <w:bottom w:val="single" w:sz="4" w:space="0" w:color="auto"/>
              <w:right w:val="single" w:sz="4" w:space="0" w:color="auto"/>
            </w:tcBorders>
            <w:hideMark/>
          </w:tcPr>
          <w:p w14:paraId="3EE61B85" w14:textId="77777777" w:rsidR="00283998" w:rsidRDefault="00283998">
            <w:pPr>
              <w:ind w:left="0" w:right="-107" w:firstLine="0"/>
              <w:jc w:val="left"/>
              <w:rPr>
                <w:rFonts w:ascii="Arial" w:hAnsi="Arial" w:cs="Arial"/>
                <w:bCs/>
                <w:sz w:val="20"/>
                <w:szCs w:val="20"/>
              </w:rPr>
            </w:pPr>
            <w:r>
              <w:rPr>
                <w:rFonts w:ascii="Arial" w:hAnsi="Arial" w:cs="Arial"/>
                <w:bCs/>
                <w:sz w:val="20"/>
                <w:szCs w:val="20"/>
              </w:rPr>
              <w:t>Scale up/down FTP share</w:t>
            </w:r>
          </w:p>
        </w:tc>
        <w:tc>
          <w:tcPr>
            <w:tcW w:w="568" w:type="dxa"/>
            <w:tcBorders>
              <w:top w:val="single" w:sz="4" w:space="0" w:color="auto"/>
              <w:left w:val="single" w:sz="4" w:space="0" w:color="auto"/>
              <w:bottom w:val="single" w:sz="4" w:space="0" w:color="auto"/>
              <w:right w:val="single" w:sz="4" w:space="0" w:color="auto"/>
            </w:tcBorders>
            <w:hideMark/>
          </w:tcPr>
          <w:p w14:paraId="1CBA828D"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A2F2EC5"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3F220359"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6E747A0"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41B373E1"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1C7165C4"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4559E0AD"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240D29D6"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280ABA2E"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3E953C78"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7E3DA58D"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1E0509E3"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7D84684B"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6B6535CA" w14:textId="77777777" w:rsidR="00283998" w:rsidRDefault="00283998">
            <w:pPr>
              <w:ind w:left="0" w:right="-114" w:firstLine="0"/>
              <w:jc w:val="left"/>
              <w:rPr>
                <w:rFonts w:ascii="Arial" w:hAnsi="Arial" w:cs="Arial"/>
                <w:bCs/>
                <w:sz w:val="20"/>
                <w:szCs w:val="20"/>
              </w:rPr>
            </w:pPr>
            <w:r>
              <w:rPr>
                <w:rFonts w:ascii="Arial" w:hAnsi="Arial" w:cs="Arial"/>
                <w:bCs/>
                <w:sz w:val="20"/>
                <w:szCs w:val="20"/>
              </w:rPr>
              <w:t>Storage Raw Disk</w:t>
            </w:r>
          </w:p>
        </w:tc>
        <w:tc>
          <w:tcPr>
            <w:tcW w:w="3971" w:type="dxa"/>
            <w:tcBorders>
              <w:top w:val="single" w:sz="4" w:space="0" w:color="auto"/>
              <w:left w:val="single" w:sz="4" w:space="0" w:color="auto"/>
              <w:bottom w:val="single" w:sz="4" w:space="0" w:color="auto"/>
              <w:right w:val="single" w:sz="4" w:space="0" w:color="auto"/>
            </w:tcBorders>
            <w:hideMark/>
          </w:tcPr>
          <w:p w14:paraId="24CD7282" w14:textId="77777777" w:rsidR="00283998" w:rsidRDefault="00283998">
            <w:pPr>
              <w:ind w:left="0" w:right="-107" w:firstLine="0"/>
              <w:jc w:val="left"/>
              <w:rPr>
                <w:rFonts w:ascii="Arial" w:hAnsi="Arial" w:cs="Arial"/>
                <w:bCs/>
                <w:sz w:val="20"/>
                <w:szCs w:val="20"/>
              </w:rPr>
            </w:pPr>
            <w:r>
              <w:rPr>
                <w:rFonts w:ascii="Arial" w:hAnsi="Arial" w:cs="Arial"/>
                <w:bCs/>
                <w:sz w:val="20"/>
                <w:szCs w:val="20"/>
              </w:rPr>
              <w:t>Scale up/down RAW disk</w:t>
            </w:r>
          </w:p>
        </w:tc>
        <w:tc>
          <w:tcPr>
            <w:tcW w:w="568" w:type="dxa"/>
            <w:tcBorders>
              <w:top w:val="single" w:sz="4" w:space="0" w:color="auto"/>
              <w:left w:val="single" w:sz="4" w:space="0" w:color="auto"/>
              <w:bottom w:val="single" w:sz="4" w:space="0" w:color="auto"/>
              <w:right w:val="single" w:sz="4" w:space="0" w:color="auto"/>
            </w:tcBorders>
            <w:hideMark/>
          </w:tcPr>
          <w:p w14:paraId="78AE9CE5"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DC5FBD2"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F5A803B"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DF62237"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068B561A"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2A72C6D0"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1041E937"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4B9C99AE"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51C0729D"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5EF9D909"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32080C9B"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79D86415"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0836FC5B" w14:textId="77777777" w:rsidTr="00F8677C">
        <w:trPr>
          <w:trHeight w:val="510"/>
        </w:trPr>
        <w:tc>
          <w:tcPr>
            <w:tcW w:w="2413" w:type="dxa"/>
            <w:tcBorders>
              <w:top w:val="single" w:sz="4" w:space="0" w:color="auto"/>
              <w:left w:val="single" w:sz="4" w:space="0" w:color="auto"/>
              <w:bottom w:val="single" w:sz="4" w:space="0" w:color="auto"/>
              <w:right w:val="single" w:sz="4" w:space="0" w:color="auto"/>
            </w:tcBorders>
            <w:hideMark/>
          </w:tcPr>
          <w:p w14:paraId="5BA21063" w14:textId="77777777" w:rsidR="00283998" w:rsidRDefault="00283998">
            <w:pPr>
              <w:ind w:left="0" w:right="-114" w:firstLine="0"/>
              <w:jc w:val="left"/>
              <w:rPr>
                <w:rFonts w:ascii="Arial" w:hAnsi="Arial" w:cs="Arial"/>
                <w:bCs/>
                <w:sz w:val="20"/>
                <w:szCs w:val="20"/>
              </w:rPr>
            </w:pPr>
            <w:r>
              <w:rPr>
                <w:rFonts w:ascii="Arial" w:hAnsi="Arial" w:cs="Arial"/>
                <w:bCs/>
                <w:sz w:val="20"/>
                <w:szCs w:val="20"/>
              </w:rPr>
              <w:t>Storage Binary library/repository</w:t>
            </w:r>
          </w:p>
        </w:tc>
        <w:tc>
          <w:tcPr>
            <w:tcW w:w="3971" w:type="dxa"/>
            <w:tcBorders>
              <w:top w:val="single" w:sz="4" w:space="0" w:color="auto"/>
              <w:left w:val="single" w:sz="4" w:space="0" w:color="auto"/>
              <w:bottom w:val="single" w:sz="4" w:space="0" w:color="auto"/>
              <w:right w:val="single" w:sz="4" w:space="0" w:color="auto"/>
            </w:tcBorders>
            <w:hideMark/>
          </w:tcPr>
          <w:p w14:paraId="735B8BA4" w14:textId="77777777" w:rsidR="00283998" w:rsidRDefault="00283998">
            <w:pPr>
              <w:ind w:left="0" w:right="-107" w:firstLine="0"/>
              <w:jc w:val="left"/>
              <w:rPr>
                <w:rFonts w:ascii="Arial" w:hAnsi="Arial" w:cs="Arial"/>
                <w:bCs/>
                <w:sz w:val="20"/>
                <w:szCs w:val="20"/>
              </w:rPr>
            </w:pPr>
            <w:r>
              <w:rPr>
                <w:rFonts w:ascii="Arial" w:hAnsi="Arial" w:cs="Arial"/>
                <w:bCs/>
                <w:sz w:val="20"/>
                <w:szCs w:val="20"/>
              </w:rPr>
              <w:t>Scale up/down Binary library/repository</w:t>
            </w:r>
          </w:p>
        </w:tc>
        <w:tc>
          <w:tcPr>
            <w:tcW w:w="568" w:type="dxa"/>
            <w:tcBorders>
              <w:top w:val="single" w:sz="4" w:space="0" w:color="auto"/>
              <w:left w:val="single" w:sz="4" w:space="0" w:color="auto"/>
              <w:bottom w:val="single" w:sz="4" w:space="0" w:color="auto"/>
              <w:right w:val="single" w:sz="4" w:space="0" w:color="auto"/>
            </w:tcBorders>
            <w:hideMark/>
          </w:tcPr>
          <w:p w14:paraId="1A08FF14"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62E5657"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1AB32AAA"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678742D"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360DD9EF"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4C6E7BC4"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458EF528"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185FC90A"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2DB03F61"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5D7C2F4C"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002F6642"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357297D1"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4921454A"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407BDF3D" w14:textId="77777777" w:rsidR="00283998" w:rsidRDefault="00283998">
            <w:pPr>
              <w:ind w:left="0" w:right="-114" w:firstLine="0"/>
              <w:jc w:val="left"/>
              <w:rPr>
                <w:rFonts w:ascii="Arial" w:hAnsi="Arial" w:cs="Arial"/>
                <w:bCs/>
                <w:sz w:val="20"/>
                <w:szCs w:val="20"/>
              </w:rPr>
            </w:pPr>
            <w:r>
              <w:rPr>
                <w:rFonts w:ascii="Arial" w:hAnsi="Arial" w:cs="Arial"/>
                <w:bCs/>
                <w:sz w:val="20"/>
                <w:szCs w:val="20"/>
              </w:rPr>
              <w:t>Storage General</w:t>
            </w:r>
          </w:p>
        </w:tc>
        <w:tc>
          <w:tcPr>
            <w:tcW w:w="3971" w:type="dxa"/>
            <w:tcBorders>
              <w:top w:val="single" w:sz="4" w:space="0" w:color="auto"/>
              <w:left w:val="single" w:sz="4" w:space="0" w:color="auto"/>
              <w:bottom w:val="single" w:sz="4" w:space="0" w:color="auto"/>
              <w:right w:val="single" w:sz="4" w:space="0" w:color="auto"/>
            </w:tcBorders>
            <w:hideMark/>
          </w:tcPr>
          <w:p w14:paraId="6B2FF921" w14:textId="77777777" w:rsidR="00283998" w:rsidRDefault="00283998">
            <w:pPr>
              <w:ind w:left="0" w:right="-107" w:firstLine="0"/>
              <w:jc w:val="left"/>
              <w:rPr>
                <w:rFonts w:ascii="Arial" w:hAnsi="Arial" w:cs="Arial"/>
                <w:bCs/>
                <w:sz w:val="20"/>
                <w:szCs w:val="20"/>
              </w:rPr>
            </w:pPr>
            <w:r>
              <w:rPr>
                <w:rFonts w:ascii="Arial" w:hAnsi="Arial" w:cs="Arial"/>
                <w:bCs/>
                <w:sz w:val="20"/>
                <w:szCs w:val="20"/>
              </w:rPr>
              <w:t>Archive storage volume</w:t>
            </w:r>
          </w:p>
        </w:tc>
        <w:tc>
          <w:tcPr>
            <w:tcW w:w="568" w:type="dxa"/>
            <w:tcBorders>
              <w:top w:val="single" w:sz="4" w:space="0" w:color="auto"/>
              <w:left w:val="single" w:sz="4" w:space="0" w:color="auto"/>
              <w:bottom w:val="single" w:sz="4" w:space="0" w:color="auto"/>
              <w:right w:val="single" w:sz="4" w:space="0" w:color="auto"/>
            </w:tcBorders>
            <w:hideMark/>
          </w:tcPr>
          <w:p w14:paraId="2A755C41"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360E76D"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679B3B2E"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93A33D8"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58E3C108"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34712866"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74279862"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2E0DE4CF"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660FA0C1"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0096F7DD"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3AAF9467"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7CDD1951"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6B2A0ED3"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1C6C144E" w14:textId="77777777" w:rsidR="00283998" w:rsidRDefault="00283998">
            <w:pPr>
              <w:ind w:left="0" w:right="-114" w:firstLine="0"/>
              <w:jc w:val="left"/>
              <w:rPr>
                <w:rFonts w:ascii="Arial" w:hAnsi="Arial" w:cs="Arial"/>
                <w:bCs/>
                <w:sz w:val="20"/>
                <w:szCs w:val="20"/>
              </w:rPr>
            </w:pPr>
            <w:r>
              <w:rPr>
                <w:rFonts w:ascii="Arial" w:hAnsi="Arial" w:cs="Arial"/>
                <w:bCs/>
                <w:sz w:val="20"/>
                <w:szCs w:val="20"/>
              </w:rPr>
              <w:t>Storage General</w:t>
            </w:r>
          </w:p>
        </w:tc>
        <w:tc>
          <w:tcPr>
            <w:tcW w:w="3971" w:type="dxa"/>
            <w:tcBorders>
              <w:top w:val="single" w:sz="4" w:space="0" w:color="auto"/>
              <w:left w:val="single" w:sz="4" w:space="0" w:color="auto"/>
              <w:bottom w:val="single" w:sz="4" w:space="0" w:color="auto"/>
              <w:right w:val="single" w:sz="4" w:space="0" w:color="auto"/>
            </w:tcBorders>
            <w:hideMark/>
          </w:tcPr>
          <w:p w14:paraId="7953C7CE" w14:textId="77777777" w:rsidR="00283998" w:rsidRDefault="00283998">
            <w:pPr>
              <w:ind w:left="0" w:right="-107" w:firstLine="0"/>
              <w:jc w:val="left"/>
              <w:rPr>
                <w:rFonts w:ascii="Arial" w:hAnsi="Arial" w:cs="Arial"/>
                <w:bCs/>
                <w:sz w:val="20"/>
                <w:szCs w:val="20"/>
              </w:rPr>
            </w:pPr>
            <w:r>
              <w:rPr>
                <w:rFonts w:ascii="Arial" w:hAnsi="Arial" w:cs="Arial"/>
                <w:bCs/>
                <w:sz w:val="20"/>
                <w:szCs w:val="20"/>
              </w:rPr>
              <w:t>Restore storage volume</w:t>
            </w:r>
          </w:p>
        </w:tc>
        <w:tc>
          <w:tcPr>
            <w:tcW w:w="568" w:type="dxa"/>
            <w:tcBorders>
              <w:top w:val="single" w:sz="4" w:space="0" w:color="auto"/>
              <w:left w:val="single" w:sz="4" w:space="0" w:color="auto"/>
              <w:bottom w:val="single" w:sz="4" w:space="0" w:color="auto"/>
              <w:right w:val="single" w:sz="4" w:space="0" w:color="auto"/>
            </w:tcBorders>
            <w:hideMark/>
          </w:tcPr>
          <w:p w14:paraId="1E251104"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F0A7E94"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20A6A91E"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4B2A3F7"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4448F9D2"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3EA4C4E1"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5221D28A"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7696DA10"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1438812A"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56BFEAB8"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1B9C731B"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5BF8999D"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3DB0BF38"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478798FB" w14:textId="77777777" w:rsidR="00283998" w:rsidRDefault="00283998">
            <w:pPr>
              <w:ind w:left="0" w:right="-114" w:firstLine="0"/>
              <w:jc w:val="left"/>
              <w:rPr>
                <w:rFonts w:ascii="Arial" w:hAnsi="Arial" w:cs="Arial"/>
                <w:bCs/>
                <w:sz w:val="20"/>
                <w:szCs w:val="20"/>
              </w:rPr>
            </w:pPr>
            <w:r>
              <w:rPr>
                <w:rFonts w:ascii="Arial" w:hAnsi="Arial" w:cs="Arial"/>
                <w:bCs/>
                <w:sz w:val="20"/>
                <w:szCs w:val="20"/>
              </w:rPr>
              <w:t>Storage SAN LUN</w:t>
            </w:r>
          </w:p>
        </w:tc>
        <w:tc>
          <w:tcPr>
            <w:tcW w:w="3971" w:type="dxa"/>
            <w:tcBorders>
              <w:top w:val="single" w:sz="4" w:space="0" w:color="auto"/>
              <w:left w:val="single" w:sz="4" w:space="0" w:color="auto"/>
              <w:bottom w:val="single" w:sz="4" w:space="0" w:color="auto"/>
              <w:right w:val="single" w:sz="4" w:space="0" w:color="auto"/>
            </w:tcBorders>
            <w:hideMark/>
          </w:tcPr>
          <w:p w14:paraId="3804B76A" w14:textId="77777777" w:rsidR="00283998" w:rsidRDefault="00283998">
            <w:pPr>
              <w:ind w:left="0" w:right="-107" w:firstLine="0"/>
              <w:jc w:val="left"/>
              <w:rPr>
                <w:rFonts w:ascii="Arial" w:hAnsi="Arial" w:cs="Arial"/>
                <w:bCs/>
                <w:sz w:val="20"/>
                <w:szCs w:val="20"/>
              </w:rPr>
            </w:pPr>
            <w:r>
              <w:rPr>
                <w:rFonts w:ascii="Arial" w:hAnsi="Arial" w:cs="Arial"/>
                <w:bCs/>
                <w:sz w:val="20"/>
                <w:szCs w:val="20"/>
              </w:rPr>
              <w:t>Decommission SAN LUN</w:t>
            </w:r>
          </w:p>
        </w:tc>
        <w:tc>
          <w:tcPr>
            <w:tcW w:w="568" w:type="dxa"/>
            <w:tcBorders>
              <w:top w:val="single" w:sz="4" w:space="0" w:color="auto"/>
              <w:left w:val="single" w:sz="4" w:space="0" w:color="auto"/>
              <w:bottom w:val="single" w:sz="4" w:space="0" w:color="auto"/>
              <w:right w:val="single" w:sz="4" w:space="0" w:color="auto"/>
            </w:tcBorders>
            <w:hideMark/>
          </w:tcPr>
          <w:p w14:paraId="27FD3C5E"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901BA57"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12566D6E"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8B0D5ED"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30BAB14"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1AF1123"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34310A49" w14:textId="77777777" w:rsidR="00283998" w:rsidRDefault="00283998">
            <w:pPr>
              <w:jc w:val="center"/>
              <w:rPr>
                <w:rFonts w:ascii="Arial" w:hAnsi="Arial" w:cs="Arial"/>
                <w:bCs/>
                <w:sz w:val="20"/>
                <w:szCs w:val="20"/>
              </w:rPr>
            </w:pPr>
            <w:r>
              <w:rPr>
                <w:rFonts w:ascii="Arial" w:hAnsi="Arial" w:cs="Arial"/>
                <w:bCs/>
                <w:sz w:val="20"/>
                <w:szCs w:val="20"/>
              </w:rPr>
              <w:t>X</w:t>
            </w:r>
          </w:p>
        </w:tc>
        <w:tc>
          <w:tcPr>
            <w:tcW w:w="708" w:type="dxa"/>
            <w:tcBorders>
              <w:top w:val="single" w:sz="4" w:space="0" w:color="auto"/>
              <w:left w:val="single" w:sz="4" w:space="0" w:color="auto"/>
              <w:bottom w:val="single" w:sz="4" w:space="0" w:color="auto"/>
              <w:right w:val="single" w:sz="4" w:space="0" w:color="auto"/>
            </w:tcBorders>
            <w:hideMark/>
          </w:tcPr>
          <w:p w14:paraId="5864708E" w14:textId="77777777" w:rsidR="00283998" w:rsidRDefault="00283998">
            <w:pP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203EE6DB"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282B2F49"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1BC1C130"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731D14B8"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261672BE"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40A4A23B" w14:textId="77777777" w:rsidR="00283998" w:rsidRDefault="00283998">
            <w:pPr>
              <w:ind w:left="0" w:right="-114" w:firstLine="0"/>
              <w:jc w:val="left"/>
              <w:rPr>
                <w:rFonts w:ascii="Arial" w:hAnsi="Arial" w:cs="Arial"/>
                <w:bCs/>
                <w:sz w:val="20"/>
                <w:szCs w:val="20"/>
              </w:rPr>
            </w:pPr>
            <w:r>
              <w:rPr>
                <w:rFonts w:ascii="Arial" w:hAnsi="Arial" w:cs="Arial"/>
                <w:bCs/>
                <w:sz w:val="20"/>
                <w:szCs w:val="20"/>
              </w:rPr>
              <w:t>Storage NFS Share</w:t>
            </w:r>
          </w:p>
        </w:tc>
        <w:tc>
          <w:tcPr>
            <w:tcW w:w="3971" w:type="dxa"/>
            <w:tcBorders>
              <w:top w:val="single" w:sz="4" w:space="0" w:color="auto"/>
              <w:left w:val="single" w:sz="4" w:space="0" w:color="auto"/>
              <w:bottom w:val="single" w:sz="4" w:space="0" w:color="auto"/>
              <w:right w:val="single" w:sz="4" w:space="0" w:color="auto"/>
            </w:tcBorders>
            <w:hideMark/>
          </w:tcPr>
          <w:p w14:paraId="06F097F0" w14:textId="77777777" w:rsidR="00283998" w:rsidRDefault="00283998">
            <w:pPr>
              <w:ind w:left="0" w:right="-107" w:firstLine="0"/>
              <w:jc w:val="left"/>
              <w:rPr>
                <w:rFonts w:ascii="Arial" w:hAnsi="Arial" w:cs="Arial"/>
                <w:bCs/>
                <w:sz w:val="20"/>
                <w:szCs w:val="20"/>
              </w:rPr>
            </w:pPr>
            <w:r>
              <w:rPr>
                <w:rFonts w:ascii="Arial" w:hAnsi="Arial" w:cs="Arial"/>
                <w:bCs/>
                <w:sz w:val="20"/>
                <w:szCs w:val="20"/>
              </w:rPr>
              <w:t>Decommission NFS share</w:t>
            </w:r>
          </w:p>
        </w:tc>
        <w:tc>
          <w:tcPr>
            <w:tcW w:w="568" w:type="dxa"/>
            <w:tcBorders>
              <w:top w:val="single" w:sz="4" w:space="0" w:color="auto"/>
              <w:left w:val="single" w:sz="4" w:space="0" w:color="auto"/>
              <w:bottom w:val="single" w:sz="4" w:space="0" w:color="auto"/>
              <w:right w:val="single" w:sz="4" w:space="0" w:color="auto"/>
            </w:tcBorders>
            <w:hideMark/>
          </w:tcPr>
          <w:p w14:paraId="5701983F"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33A7C5B"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25C1963D"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EAD5A49"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B6D57DF"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1CD0C614"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104BAC5C" w14:textId="77777777" w:rsidR="00283998" w:rsidRDefault="00283998">
            <w:pPr>
              <w:jc w:val="center"/>
              <w:rPr>
                <w:rFonts w:ascii="Arial" w:hAnsi="Arial" w:cs="Arial"/>
                <w:bCs/>
                <w:sz w:val="20"/>
                <w:szCs w:val="20"/>
              </w:rPr>
            </w:pPr>
            <w:r>
              <w:rPr>
                <w:rFonts w:ascii="Arial" w:hAnsi="Arial" w:cs="Arial"/>
                <w:bCs/>
                <w:sz w:val="20"/>
                <w:szCs w:val="20"/>
              </w:rPr>
              <w:t>X</w:t>
            </w:r>
          </w:p>
        </w:tc>
        <w:tc>
          <w:tcPr>
            <w:tcW w:w="708" w:type="dxa"/>
            <w:tcBorders>
              <w:top w:val="single" w:sz="4" w:space="0" w:color="auto"/>
              <w:left w:val="single" w:sz="4" w:space="0" w:color="auto"/>
              <w:bottom w:val="single" w:sz="4" w:space="0" w:color="auto"/>
              <w:right w:val="single" w:sz="4" w:space="0" w:color="auto"/>
            </w:tcBorders>
            <w:hideMark/>
          </w:tcPr>
          <w:p w14:paraId="421FF6A6" w14:textId="77777777" w:rsidR="00283998" w:rsidRDefault="00283998">
            <w:pP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5F46251B"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210A5EBE"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25E16203"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5279CF67"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7C5162F6"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463CB213" w14:textId="77777777" w:rsidR="00283998" w:rsidRDefault="00283998">
            <w:pPr>
              <w:ind w:left="0" w:right="-114" w:firstLine="0"/>
              <w:jc w:val="left"/>
              <w:rPr>
                <w:rFonts w:ascii="Arial" w:hAnsi="Arial" w:cs="Arial"/>
                <w:bCs/>
                <w:sz w:val="20"/>
                <w:szCs w:val="20"/>
              </w:rPr>
            </w:pPr>
            <w:r>
              <w:rPr>
                <w:rFonts w:ascii="Arial" w:hAnsi="Arial" w:cs="Arial"/>
                <w:bCs/>
                <w:sz w:val="20"/>
                <w:szCs w:val="20"/>
              </w:rPr>
              <w:t>Storage FTP Share</w:t>
            </w:r>
          </w:p>
        </w:tc>
        <w:tc>
          <w:tcPr>
            <w:tcW w:w="3971" w:type="dxa"/>
            <w:tcBorders>
              <w:top w:val="single" w:sz="4" w:space="0" w:color="auto"/>
              <w:left w:val="single" w:sz="4" w:space="0" w:color="auto"/>
              <w:bottom w:val="single" w:sz="4" w:space="0" w:color="auto"/>
              <w:right w:val="single" w:sz="4" w:space="0" w:color="auto"/>
            </w:tcBorders>
            <w:hideMark/>
          </w:tcPr>
          <w:p w14:paraId="21884E95" w14:textId="77777777" w:rsidR="00283998" w:rsidRDefault="00283998">
            <w:pPr>
              <w:ind w:left="0" w:right="-107" w:firstLine="0"/>
              <w:jc w:val="left"/>
              <w:rPr>
                <w:rFonts w:ascii="Arial" w:hAnsi="Arial" w:cs="Arial"/>
                <w:bCs/>
                <w:sz w:val="20"/>
                <w:szCs w:val="20"/>
              </w:rPr>
            </w:pPr>
            <w:r>
              <w:rPr>
                <w:rFonts w:ascii="Arial" w:hAnsi="Arial" w:cs="Arial"/>
                <w:bCs/>
                <w:sz w:val="20"/>
                <w:szCs w:val="20"/>
              </w:rPr>
              <w:t>Decommission FTP share</w:t>
            </w:r>
          </w:p>
        </w:tc>
        <w:tc>
          <w:tcPr>
            <w:tcW w:w="568" w:type="dxa"/>
            <w:tcBorders>
              <w:top w:val="single" w:sz="4" w:space="0" w:color="auto"/>
              <w:left w:val="single" w:sz="4" w:space="0" w:color="auto"/>
              <w:bottom w:val="single" w:sz="4" w:space="0" w:color="auto"/>
              <w:right w:val="single" w:sz="4" w:space="0" w:color="auto"/>
            </w:tcBorders>
            <w:hideMark/>
          </w:tcPr>
          <w:p w14:paraId="053B6F24"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42376B8"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6F8E44FC"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FF97713"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059F3BC"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75E85959"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6DB8944E" w14:textId="77777777" w:rsidR="00283998" w:rsidRDefault="00283998">
            <w:pPr>
              <w:jc w:val="center"/>
              <w:rPr>
                <w:rFonts w:ascii="Arial" w:hAnsi="Arial" w:cs="Arial"/>
                <w:bCs/>
                <w:sz w:val="20"/>
                <w:szCs w:val="20"/>
              </w:rPr>
            </w:pPr>
            <w:r>
              <w:rPr>
                <w:rFonts w:ascii="Arial" w:hAnsi="Arial" w:cs="Arial"/>
                <w:bCs/>
                <w:sz w:val="20"/>
                <w:szCs w:val="20"/>
              </w:rPr>
              <w:t>X</w:t>
            </w:r>
          </w:p>
        </w:tc>
        <w:tc>
          <w:tcPr>
            <w:tcW w:w="708" w:type="dxa"/>
            <w:tcBorders>
              <w:top w:val="single" w:sz="4" w:space="0" w:color="auto"/>
              <w:left w:val="single" w:sz="4" w:space="0" w:color="auto"/>
              <w:bottom w:val="single" w:sz="4" w:space="0" w:color="auto"/>
              <w:right w:val="single" w:sz="4" w:space="0" w:color="auto"/>
            </w:tcBorders>
            <w:hideMark/>
          </w:tcPr>
          <w:p w14:paraId="5D1E609B" w14:textId="77777777" w:rsidR="00283998" w:rsidRDefault="00283998">
            <w:pP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716D0647"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7E96C82D"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798A663F"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4D81817C"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51F6127C"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594E6D4E" w14:textId="77777777" w:rsidR="00283998" w:rsidRDefault="00283998">
            <w:pPr>
              <w:ind w:left="0" w:right="-114" w:firstLine="0"/>
              <w:jc w:val="left"/>
              <w:rPr>
                <w:rFonts w:ascii="Arial" w:hAnsi="Arial" w:cs="Arial"/>
                <w:bCs/>
                <w:sz w:val="20"/>
                <w:szCs w:val="20"/>
              </w:rPr>
            </w:pPr>
            <w:r>
              <w:rPr>
                <w:rFonts w:ascii="Arial" w:hAnsi="Arial" w:cs="Arial"/>
                <w:bCs/>
                <w:sz w:val="20"/>
                <w:szCs w:val="20"/>
              </w:rPr>
              <w:t>Storage Raw Disk</w:t>
            </w:r>
          </w:p>
        </w:tc>
        <w:tc>
          <w:tcPr>
            <w:tcW w:w="3971" w:type="dxa"/>
            <w:tcBorders>
              <w:top w:val="single" w:sz="4" w:space="0" w:color="auto"/>
              <w:left w:val="single" w:sz="4" w:space="0" w:color="auto"/>
              <w:bottom w:val="single" w:sz="4" w:space="0" w:color="auto"/>
              <w:right w:val="single" w:sz="4" w:space="0" w:color="auto"/>
            </w:tcBorders>
            <w:hideMark/>
          </w:tcPr>
          <w:p w14:paraId="30C41F94" w14:textId="77777777" w:rsidR="00283998" w:rsidRDefault="00283998">
            <w:pPr>
              <w:ind w:left="0" w:right="-107" w:firstLine="0"/>
              <w:jc w:val="left"/>
              <w:rPr>
                <w:rFonts w:ascii="Arial" w:hAnsi="Arial" w:cs="Arial"/>
                <w:bCs/>
                <w:sz w:val="20"/>
                <w:szCs w:val="20"/>
              </w:rPr>
            </w:pPr>
            <w:r>
              <w:rPr>
                <w:rFonts w:ascii="Arial" w:hAnsi="Arial" w:cs="Arial"/>
                <w:bCs/>
                <w:sz w:val="20"/>
                <w:szCs w:val="20"/>
              </w:rPr>
              <w:t>Decommission RAW disk</w:t>
            </w:r>
          </w:p>
        </w:tc>
        <w:tc>
          <w:tcPr>
            <w:tcW w:w="568" w:type="dxa"/>
            <w:tcBorders>
              <w:top w:val="single" w:sz="4" w:space="0" w:color="auto"/>
              <w:left w:val="single" w:sz="4" w:space="0" w:color="auto"/>
              <w:bottom w:val="single" w:sz="4" w:space="0" w:color="auto"/>
              <w:right w:val="single" w:sz="4" w:space="0" w:color="auto"/>
            </w:tcBorders>
            <w:hideMark/>
          </w:tcPr>
          <w:p w14:paraId="6EFC4D39"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02B8974"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14509D3"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0969F98"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D75700C"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5D585BE4"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21CA2A5F" w14:textId="77777777" w:rsidR="00283998" w:rsidRDefault="00283998">
            <w:pPr>
              <w:jc w:val="center"/>
              <w:rPr>
                <w:rFonts w:ascii="Arial" w:hAnsi="Arial" w:cs="Arial"/>
                <w:bCs/>
                <w:sz w:val="20"/>
                <w:szCs w:val="20"/>
              </w:rPr>
            </w:pPr>
            <w:r>
              <w:rPr>
                <w:rFonts w:ascii="Arial" w:hAnsi="Arial" w:cs="Arial"/>
                <w:bCs/>
                <w:sz w:val="20"/>
                <w:szCs w:val="20"/>
              </w:rPr>
              <w:t>X</w:t>
            </w:r>
          </w:p>
        </w:tc>
        <w:tc>
          <w:tcPr>
            <w:tcW w:w="708" w:type="dxa"/>
            <w:tcBorders>
              <w:top w:val="single" w:sz="4" w:space="0" w:color="auto"/>
              <w:left w:val="single" w:sz="4" w:space="0" w:color="auto"/>
              <w:bottom w:val="single" w:sz="4" w:space="0" w:color="auto"/>
              <w:right w:val="single" w:sz="4" w:space="0" w:color="auto"/>
            </w:tcBorders>
            <w:hideMark/>
          </w:tcPr>
          <w:p w14:paraId="63C8519B" w14:textId="77777777" w:rsidR="00283998" w:rsidRDefault="00283998">
            <w:pP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16EF9202"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7FC12360"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2F77131C"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0624EF1E"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20811730" w14:textId="77777777" w:rsidTr="00F8677C">
        <w:trPr>
          <w:trHeight w:val="510"/>
        </w:trPr>
        <w:tc>
          <w:tcPr>
            <w:tcW w:w="2413" w:type="dxa"/>
            <w:tcBorders>
              <w:top w:val="single" w:sz="4" w:space="0" w:color="auto"/>
              <w:left w:val="single" w:sz="4" w:space="0" w:color="auto"/>
              <w:bottom w:val="single" w:sz="4" w:space="0" w:color="auto"/>
              <w:right w:val="single" w:sz="4" w:space="0" w:color="auto"/>
            </w:tcBorders>
            <w:hideMark/>
          </w:tcPr>
          <w:p w14:paraId="68300EEA" w14:textId="77777777" w:rsidR="00283998" w:rsidRDefault="00283998">
            <w:pPr>
              <w:ind w:left="0" w:right="-114" w:firstLine="0"/>
              <w:jc w:val="left"/>
              <w:rPr>
                <w:rFonts w:ascii="Arial" w:hAnsi="Arial" w:cs="Arial"/>
                <w:bCs/>
                <w:sz w:val="20"/>
                <w:szCs w:val="20"/>
              </w:rPr>
            </w:pPr>
            <w:r>
              <w:rPr>
                <w:rFonts w:ascii="Arial" w:hAnsi="Arial" w:cs="Arial"/>
                <w:bCs/>
                <w:sz w:val="20"/>
                <w:szCs w:val="20"/>
              </w:rPr>
              <w:t>Storage Binary library/repository</w:t>
            </w:r>
          </w:p>
        </w:tc>
        <w:tc>
          <w:tcPr>
            <w:tcW w:w="3971" w:type="dxa"/>
            <w:tcBorders>
              <w:top w:val="single" w:sz="4" w:space="0" w:color="auto"/>
              <w:left w:val="single" w:sz="4" w:space="0" w:color="auto"/>
              <w:bottom w:val="single" w:sz="4" w:space="0" w:color="auto"/>
              <w:right w:val="single" w:sz="4" w:space="0" w:color="auto"/>
            </w:tcBorders>
            <w:hideMark/>
          </w:tcPr>
          <w:p w14:paraId="16B9081E" w14:textId="77777777" w:rsidR="00283998" w:rsidRDefault="00283998">
            <w:pPr>
              <w:ind w:left="0" w:right="-107" w:firstLine="0"/>
              <w:jc w:val="left"/>
              <w:rPr>
                <w:rFonts w:ascii="Arial" w:hAnsi="Arial" w:cs="Arial"/>
                <w:bCs/>
                <w:sz w:val="20"/>
                <w:szCs w:val="20"/>
              </w:rPr>
            </w:pPr>
            <w:r>
              <w:rPr>
                <w:rFonts w:ascii="Arial" w:hAnsi="Arial" w:cs="Arial"/>
                <w:bCs/>
                <w:sz w:val="20"/>
                <w:szCs w:val="20"/>
              </w:rPr>
              <w:t>Decommission Binary library/repository</w:t>
            </w:r>
          </w:p>
        </w:tc>
        <w:tc>
          <w:tcPr>
            <w:tcW w:w="568" w:type="dxa"/>
            <w:tcBorders>
              <w:top w:val="single" w:sz="4" w:space="0" w:color="auto"/>
              <w:left w:val="single" w:sz="4" w:space="0" w:color="auto"/>
              <w:bottom w:val="single" w:sz="4" w:space="0" w:color="auto"/>
              <w:right w:val="single" w:sz="4" w:space="0" w:color="auto"/>
            </w:tcBorders>
            <w:hideMark/>
          </w:tcPr>
          <w:p w14:paraId="537929F5"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A4B8BA5"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6F392B81"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F46E9A6"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E7E73D3"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342E3C7F"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6CD39B9E" w14:textId="77777777" w:rsidR="00283998" w:rsidRDefault="00283998">
            <w:pPr>
              <w:jc w:val="center"/>
              <w:rPr>
                <w:rFonts w:ascii="Arial" w:hAnsi="Arial" w:cs="Arial"/>
                <w:bCs/>
                <w:sz w:val="20"/>
                <w:szCs w:val="20"/>
              </w:rPr>
            </w:pPr>
            <w:r>
              <w:rPr>
                <w:rFonts w:ascii="Arial" w:hAnsi="Arial" w:cs="Arial"/>
                <w:bCs/>
                <w:sz w:val="20"/>
                <w:szCs w:val="20"/>
              </w:rPr>
              <w:t>X</w:t>
            </w:r>
          </w:p>
        </w:tc>
        <w:tc>
          <w:tcPr>
            <w:tcW w:w="708" w:type="dxa"/>
            <w:tcBorders>
              <w:top w:val="single" w:sz="4" w:space="0" w:color="auto"/>
              <w:left w:val="single" w:sz="4" w:space="0" w:color="auto"/>
              <w:bottom w:val="single" w:sz="4" w:space="0" w:color="auto"/>
              <w:right w:val="single" w:sz="4" w:space="0" w:color="auto"/>
            </w:tcBorders>
            <w:hideMark/>
          </w:tcPr>
          <w:p w14:paraId="0D05E12E" w14:textId="77777777" w:rsidR="00283998" w:rsidRDefault="00283998">
            <w:pP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359C6107"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4B430FAD"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66BD3A49"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0471E594"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75F0E3BC"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13635DAA" w14:textId="77777777" w:rsidR="00283998" w:rsidRDefault="00283998">
            <w:pPr>
              <w:ind w:left="0" w:right="-114" w:firstLine="0"/>
              <w:jc w:val="left"/>
              <w:rPr>
                <w:rFonts w:ascii="Arial" w:hAnsi="Arial" w:cs="Arial"/>
                <w:bCs/>
                <w:sz w:val="20"/>
                <w:szCs w:val="20"/>
              </w:rPr>
            </w:pPr>
            <w:r>
              <w:rPr>
                <w:rFonts w:ascii="Arial" w:hAnsi="Arial" w:cs="Arial"/>
                <w:bCs/>
                <w:sz w:val="20"/>
                <w:szCs w:val="20"/>
              </w:rPr>
              <w:t>Appliance</w:t>
            </w:r>
          </w:p>
        </w:tc>
        <w:tc>
          <w:tcPr>
            <w:tcW w:w="3971" w:type="dxa"/>
            <w:tcBorders>
              <w:top w:val="single" w:sz="4" w:space="0" w:color="auto"/>
              <w:left w:val="single" w:sz="4" w:space="0" w:color="auto"/>
              <w:bottom w:val="single" w:sz="4" w:space="0" w:color="auto"/>
              <w:right w:val="single" w:sz="4" w:space="0" w:color="auto"/>
            </w:tcBorders>
            <w:hideMark/>
          </w:tcPr>
          <w:p w14:paraId="660CF256" w14:textId="77777777" w:rsidR="00283998" w:rsidRDefault="00283998">
            <w:pPr>
              <w:ind w:left="0" w:right="-107" w:firstLine="0"/>
              <w:jc w:val="left"/>
              <w:rPr>
                <w:rFonts w:ascii="Arial" w:hAnsi="Arial" w:cs="Arial"/>
                <w:bCs/>
                <w:sz w:val="20"/>
                <w:szCs w:val="20"/>
              </w:rPr>
            </w:pPr>
            <w:r>
              <w:rPr>
                <w:rFonts w:ascii="Arial" w:hAnsi="Arial" w:cs="Arial"/>
                <w:bCs/>
                <w:sz w:val="20"/>
                <w:szCs w:val="20"/>
              </w:rPr>
              <w:t>Create appliance monitor</w:t>
            </w:r>
          </w:p>
        </w:tc>
        <w:tc>
          <w:tcPr>
            <w:tcW w:w="568" w:type="dxa"/>
            <w:tcBorders>
              <w:top w:val="single" w:sz="4" w:space="0" w:color="auto"/>
              <w:left w:val="single" w:sz="4" w:space="0" w:color="auto"/>
              <w:bottom w:val="single" w:sz="4" w:space="0" w:color="auto"/>
              <w:right w:val="single" w:sz="4" w:space="0" w:color="auto"/>
            </w:tcBorders>
            <w:hideMark/>
          </w:tcPr>
          <w:p w14:paraId="19B9B432"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0442ABAC"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0CC0A03B"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4CFBA7E"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032636B"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681CCC12"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33CDC454"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77F192AB"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0994A741"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26E12947"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26F95945"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46E262B0"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1B9398DC" w14:textId="77777777" w:rsidTr="00F8677C">
        <w:trPr>
          <w:trHeight w:val="311"/>
        </w:trPr>
        <w:tc>
          <w:tcPr>
            <w:tcW w:w="2413" w:type="dxa"/>
            <w:tcBorders>
              <w:top w:val="single" w:sz="4" w:space="0" w:color="auto"/>
              <w:left w:val="single" w:sz="4" w:space="0" w:color="auto"/>
              <w:bottom w:val="single" w:sz="4" w:space="0" w:color="auto"/>
              <w:right w:val="single" w:sz="4" w:space="0" w:color="auto"/>
            </w:tcBorders>
            <w:hideMark/>
          </w:tcPr>
          <w:p w14:paraId="355D8F6B" w14:textId="77777777" w:rsidR="00283998" w:rsidRDefault="00283998">
            <w:pPr>
              <w:ind w:left="0" w:right="-114" w:firstLine="0"/>
              <w:jc w:val="left"/>
              <w:rPr>
                <w:rFonts w:ascii="Arial" w:hAnsi="Arial" w:cs="Arial"/>
                <w:bCs/>
                <w:sz w:val="20"/>
                <w:szCs w:val="20"/>
              </w:rPr>
            </w:pPr>
            <w:r>
              <w:rPr>
                <w:rFonts w:ascii="Arial" w:hAnsi="Arial" w:cs="Arial"/>
                <w:bCs/>
                <w:sz w:val="20"/>
                <w:szCs w:val="20"/>
              </w:rPr>
              <w:t>Appliance</w:t>
            </w:r>
          </w:p>
        </w:tc>
        <w:tc>
          <w:tcPr>
            <w:tcW w:w="3971" w:type="dxa"/>
            <w:tcBorders>
              <w:top w:val="single" w:sz="4" w:space="0" w:color="auto"/>
              <w:left w:val="single" w:sz="4" w:space="0" w:color="auto"/>
              <w:bottom w:val="single" w:sz="4" w:space="0" w:color="auto"/>
              <w:right w:val="single" w:sz="4" w:space="0" w:color="auto"/>
            </w:tcBorders>
            <w:hideMark/>
          </w:tcPr>
          <w:p w14:paraId="6153D9E8"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configuration of appliance monitor</w:t>
            </w:r>
          </w:p>
        </w:tc>
        <w:tc>
          <w:tcPr>
            <w:tcW w:w="568" w:type="dxa"/>
            <w:tcBorders>
              <w:top w:val="single" w:sz="4" w:space="0" w:color="auto"/>
              <w:left w:val="single" w:sz="4" w:space="0" w:color="auto"/>
              <w:bottom w:val="single" w:sz="4" w:space="0" w:color="auto"/>
              <w:right w:val="single" w:sz="4" w:space="0" w:color="auto"/>
            </w:tcBorders>
            <w:hideMark/>
          </w:tcPr>
          <w:p w14:paraId="68DB718B"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59FE0A6"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217A2383"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5B11EF2"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56FD1942"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46BECFAB"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2131B308"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0AAE0091"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5058792A"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6D2D2CD4"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791DA26B"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00ECE82C"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1993DC71"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085BDE3C" w14:textId="77777777" w:rsidR="00283998" w:rsidRDefault="00283998">
            <w:pPr>
              <w:ind w:left="0" w:right="-114" w:firstLine="0"/>
              <w:jc w:val="left"/>
              <w:rPr>
                <w:rFonts w:ascii="Arial" w:hAnsi="Arial" w:cs="Arial"/>
                <w:bCs/>
                <w:sz w:val="20"/>
                <w:szCs w:val="20"/>
              </w:rPr>
            </w:pPr>
            <w:r>
              <w:rPr>
                <w:rFonts w:ascii="Arial" w:hAnsi="Arial" w:cs="Arial"/>
                <w:bCs/>
                <w:sz w:val="20"/>
                <w:szCs w:val="20"/>
              </w:rPr>
              <w:t>Appliance</w:t>
            </w:r>
          </w:p>
        </w:tc>
        <w:tc>
          <w:tcPr>
            <w:tcW w:w="3971" w:type="dxa"/>
            <w:tcBorders>
              <w:top w:val="single" w:sz="4" w:space="0" w:color="auto"/>
              <w:left w:val="single" w:sz="4" w:space="0" w:color="auto"/>
              <w:bottom w:val="single" w:sz="4" w:space="0" w:color="auto"/>
              <w:right w:val="single" w:sz="4" w:space="0" w:color="auto"/>
            </w:tcBorders>
            <w:hideMark/>
          </w:tcPr>
          <w:p w14:paraId="47694627" w14:textId="77777777" w:rsidR="00283998" w:rsidRDefault="00283998">
            <w:pPr>
              <w:ind w:left="0" w:right="-107" w:firstLine="0"/>
              <w:jc w:val="left"/>
              <w:rPr>
                <w:rFonts w:ascii="Arial" w:hAnsi="Arial" w:cs="Arial"/>
                <w:bCs/>
                <w:sz w:val="20"/>
                <w:szCs w:val="20"/>
              </w:rPr>
            </w:pPr>
            <w:r>
              <w:rPr>
                <w:rFonts w:ascii="Arial" w:hAnsi="Arial" w:cs="Arial"/>
                <w:bCs/>
                <w:sz w:val="20"/>
                <w:szCs w:val="20"/>
              </w:rPr>
              <w:t>Decommission appliance monitor</w:t>
            </w:r>
          </w:p>
        </w:tc>
        <w:tc>
          <w:tcPr>
            <w:tcW w:w="568" w:type="dxa"/>
            <w:tcBorders>
              <w:top w:val="single" w:sz="4" w:space="0" w:color="auto"/>
              <w:left w:val="single" w:sz="4" w:space="0" w:color="auto"/>
              <w:bottom w:val="single" w:sz="4" w:space="0" w:color="auto"/>
              <w:right w:val="single" w:sz="4" w:space="0" w:color="auto"/>
            </w:tcBorders>
            <w:hideMark/>
          </w:tcPr>
          <w:p w14:paraId="2CB517A7"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A593CC8"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C7D99B4"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97E4816"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CA04897"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7C0D7F1A"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2CD1F5C4" w14:textId="77777777" w:rsidR="00283998" w:rsidRDefault="00283998">
            <w:pPr>
              <w:jc w:val="center"/>
              <w:rPr>
                <w:rFonts w:ascii="Arial" w:hAnsi="Arial" w:cs="Arial"/>
                <w:bCs/>
                <w:sz w:val="20"/>
                <w:szCs w:val="20"/>
              </w:rPr>
            </w:pPr>
            <w:r>
              <w:rPr>
                <w:rFonts w:ascii="Arial" w:hAnsi="Arial" w:cs="Arial"/>
                <w:bCs/>
                <w:sz w:val="20"/>
                <w:szCs w:val="20"/>
              </w:rPr>
              <w:t>X</w:t>
            </w:r>
          </w:p>
        </w:tc>
        <w:tc>
          <w:tcPr>
            <w:tcW w:w="708" w:type="dxa"/>
            <w:tcBorders>
              <w:top w:val="single" w:sz="4" w:space="0" w:color="auto"/>
              <w:left w:val="single" w:sz="4" w:space="0" w:color="auto"/>
              <w:bottom w:val="single" w:sz="4" w:space="0" w:color="auto"/>
              <w:right w:val="single" w:sz="4" w:space="0" w:color="auto"/>
            </w:tcBorders>
            <w:hideMark/>
          </w:tcPr>
          <w:p w14:paraId="0DCE3AA5" w14:textId="77777777" w:rsidR="00283998" w:rsidRDefault="00283998">
            <w:pP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3BAC88A2"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65028DA2"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2E007770"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62F2D9A1"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2C4E7F0B"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587CA48E" w14:textId="77777777" w:rsidR="00283998" w:rsidRDefault="00283998">
            <w:pPr>
              <w:ind w:left="0" w:right="-114" w:firstLine="0"/>
              <w:jc w:val="left"/>
              <w:rPr>
                <w:rFonts w:ascii="Arial" w:hAnsi="Arial" w:cs="Arial"/>
                <w:bCs/>
                <w:sz w:val="20"/>
                <w:szCs w:val="20"/>
              </w:rPr>
            </w:pPr>
            <w:r>
              <w:rPr>
                <w:rFonts w:ascii="Arial" w:hAnsi="Arial" w:cs="Arial"/>
                <w:bCs/>
                <w:sz w:val="20"/>
                <w:szCs w:val="20"/>
              </w:rPr>
              <w:t>Web Server</w:t>
            </w:r>
          </w:p>
        </w:tc>
        <w:tc>
          <w:tcPr>
            <w:tcW w:w="3971" w:type="dxa"/>
            <w:tcBorders>
              <w:top w:val="single" w:sz="4" w:space="0" w:color="auto"/>
              <w:left w:val="single" w:sz="4" w:space="0" w:color="auto"/>
              <w:bottom w:val="single" w:sz="4" w:space="0" w:color="auto"/>
              <w:right w:val="single" w:sz="4" w:space="0" w:color="auto"/>
            </w:tcBorders>
            <w:hideMark/>
          </w:tcPr>
          <w:p w14:paraId="40C1BCB1" w14:textId="77777777" w:rsidR="00283998" w:rsidRDefault="00283998">
            <w:pPr>
              <w:ind w:left="0" w:right="-107" w:firstLine="0"/>
              <w:jc w:val="left"/>
              <w:rPr>
                <w:rFonts w:ascii="Arial" w:hAnsi="Arial" w:cs="Arial"/>
                <w:bCs/>
                <w:sz w:val="20"/>
                <w:szCs w:val="20"/>
              </w:rPr>
            </w:pPr>
            <w:r>
              <w:rPr>
                <w:rFonts w:ascii="Arial" w:hAnsi="Arial" w:cs="Arial"/>
                <w:bCs/>
                <w:sz w:val="20"/>
                <w:szCs w:val="20"/>
              </w:rPr>
              <w:t>Create Web Server</w:t>
            </w:r>
          </w:p>
        </w:tc>
        <w:tc>
          <w:tcPr>
            <w:tcW w:w="568" w:type="dxa"/>
            <w:tcBorders>
              <w:top w:val="single" w:sz="4" w:space="0" w:color="auto"/>
              <w:left w:val="single" w:sz="4" w:space="0" w:color="auto"/>
              <w:bottom w:val="single" w:sz="4" w:space="0" w:color="auto"/>
              <w:right w:val="single" w:sz="4" w:space="0" w:color="auto"/>
            </w:tcBorders>
            <w:hideMark/>
          </w:tcPr>
          <w:p w14:paraId="6370BBB9"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76DE97D9"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54745265"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D89E28F"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DC530B5"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10EA88C4"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108D882B"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20AD9F9B"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3FD0C9D0"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47DAF57F"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3608E72C"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0E995B41"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0C85697D" w14:textId="77777777" w:rsidTr="00F8677C">
        <w:trPr>
          <w:trHeight w:val="510"/>
        </w:trPr>
        <w:tc>
          <w:tcPr>
            <w:tcW w:w="2413" w:type="dxa"/>
            <w:tcBorders>
              <w:top w:val="single" w:sz="4" w:space="0" w:color="auto"/>
              <w:left w:val="single" w:sz="4" w:space="0" w:color="auto"/>
              <w:bottom w:val="single" w:sz="4" w:space="0" w:color="auto"/>
              <w:right w:val="single" w:sz="4" w:space="0" w:color="auto"/>
            </w:tcBorders>
            <w:hideMark/>
          </w:tcPr>
          <w:p w14:paraId="5A6C85D6" w14:textId="77777777" w:rsidR="00283998" w:rsidRDefault="00283998">
            <w:pPr>
              <w:ind w:left="0" w:right="-114" w:firstLine="0"/>
              <w:jc w:val="left"/>
              <w:rPr>
                <w:rFonts w:ascii="Arial" w:hAnsi="Arial" w:cs="Arial"/>
                <w:bCs/>
                <w:sz w:val="20"/>
                <w:szCs w:val="20"/>
              </w:rPr>
            </w:pPr>
            <w:r>
              <w:rPr>
                <w:rFonts w:ascii="Arial" w:hAnsi="Arial" w:cs="Arial"/>
                <w:bCs/>
                <w:sz w:val="20"/>
                <w:szCs w:val="20"/>
              </w:rPr>
              <w:lastRenderedPageBreak/>
              <w:t>Web Server</w:t>
            </w:r>
          </w:p>
        </w:tc>
        <w:tc>
          <w:tcPr>
            <w:tcW w:w="3971" w:type="dxa"/>
            <w:tcBorders>
              <w:top w:val="single" w:sz="4" w:space="0" w:color="auto"/>
              <w:left w:val="single" w:sz="4" w:space="0" w:color="auto"/>
              <w:bottom w:val="single" w:sz="4" w:space="0" w:color="auto"/>
              <w:right w:val="single" w:sz="4" w:space="0" w:color="auto"/>
            </w:tcBorders>
            <w:hideMark/>
          </w:tcPr>
          <w:p w14:paraId="10574F77" w14:textId="77777777" w:rsidR="00283998" w:rsidRDefault="00283998">
            <w:pPr>
              <w:ind w:left="0" w:right="-107" w:firstLine="0"/>
              <w:jc w:val="left"/>
              <w:rPr>
                <w:rFonts w:ascii="Arial" w:hAnsi="Arial" w:cs="Arial"/>
                <w:bCs/>
                <w:sz w:val="20"/>
                <w:szCs w:val="20"/>
              </w:rPr>
            </w:pPr>
            <w:r>
              <w:rPr>
                <w:rFonts w:ascii="Arial" w:hAnsi="Arial" w:cs="Arial"/>
                <w:bCs/>
                <w:sz w:val="20"/>
                <w:szCs w:val="20"/>
              </w:rPr>
              <w:t>Modify configuration of Web Server</w:t>
            </w:r>
          </w:p>
        </w:tc>
        <w:tc>
          <w:tcPr>
            <w:tcW w:w="568" w:type="dxa"/>
            <w:tcBorders>
              <w:top w:val="single" w:sz="4" w:space="0" w:color="auto"/>
              <w:left w:val="single" w:sz="4" w:space="0" w:color="auto"/>
              <w:bottom w:val="single" w:sz="4" w:space="0" w:color="auto"/>
              <w:right w:val="single" w:sz="4" w:space="0" w:color="auto"/>
            </w:tcBorders>
            <w:hideMark/>
          </w:tcPr>
          <w:p w14:paraId="00905137"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B885B4F"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7923C59B"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C60C3CA"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57441F95"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6B7C7310"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20572826"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4AABECAE"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40A3B5DD"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6384B347"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74DE9C62"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1B224388"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722801E7"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752C92E9" w14:textId="77777777" w:rsidR="00283998" w:rsidRDefault="00283998">
            <w:pPr>
              <w:ind w:left="0" w:right="-114" w:firstLine="0"/>
              <w:jc w:val="left"/>
              <w:rPr>
                <w:rFonts w:ascii="Arial" w:hAnsi="Arial" w:cs="Arial"/>
                <w:bCs/>
                <w:sz w:val="20"/>
                <w:szCs w:val="20"/>
              </w:rPr>
            </w:pPr>
            <w:r>
              <w:rPr>
                <w:rFonts w:ascii="Arial" w:hAnsi="Arial" w:cs="Arial"/>
                <w:bCs/>
                <w:sz w:val="20"/>
                <w:szCs w:val="20"/>
              </w:rPr>
              <w:t>Web Server</w:t>
            </w:r>
          </w:p>
        </w:tc>
        <w:tc>
          <w:tcPr>
            <w:tcW w:w="3971" w:type="dxa"/>
            <w:tcBorders>
              <w:top w:val="single" w:sz="4" w:space="0" w:color="auto"/>
              <w:left w:val="single" w:sz="4" w:space="0" w:color="auto"/>
              <w:bottom w:val="single" w:sz="4" w:space="0" w:color="auto"/>
              <w:right w:val="single" w:sz="4" w:space="0" w:color="auto"/>
            </w:tcBorders>
            <w:hideMark/>
          </w:tcPr>
          <w:p w14:paraId="4A0CDED1" w14:textId="77777777" w:rsidR="00283998" w:rsidRDefault="00283998">
            <w:pPr>
              <w:ind w:left="0" w:right="-107" w:firstLine="0"/>
              <w:jc w:val="left"/>
              <w:rPr>
                <w:rFonts w:ascii="Arial" w:hAnsi="Arial" w:cs="Arial"/>
                <w:bCs/>
                <w:sz w:val="20"/>
                <w:szCs w:val="20"/>
              </w:rPr>
            </w:pPr>
            <w:r>
              <w:rPr>
                <w:rFonts w:ascii="Arial" w:hAnsi="Arial" w:cs="Arial"/>
                <w:bCs/>
                <w:sz w:val="20"/>
                <w:szCs w:val="20"/>
              </w:rPr>
              <w:t>Decommission Web Server</w:t>
            </w:r>
          </w:p>
        </w:tc>
        <w:tc>
          <w:tcPr>
            <w:tcW w:w="568" w:type="dxa"/>
            <w:tcBorders>
              <w:top w:val="single" w:sz="4" w:space="0" w:color="auto"/>
              <w:left w:val="single" w:sz="4" w:space="0" w:color="auto"/>
              <w:bottom w:val="single" w:sz="4" w:space="0" w:color="auto"/>
              <w:right w:val="single" w:sz="4" w:space="0" w:color="auto"/>
            </w:tcBorders>
            <w:hideMark/>
          </w:tcPr>
          <w:p w14:paraId="6ACCE099"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0D14445"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734DA1F"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1A07C94"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4D7FEC6"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7D55D6EE"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612362F8" w14:textId="77777777" w:rsidR="00283998" w:rsidRDefault="00283998">
            <w:pPr>
              <w:jc w:val="center"/>
              <w:rPr>
                <w:rFonts w:ascii="Arial" w:hAnsi="Arial" w:cs="Arial"/>
                <w:bCs/>
                <w:sz w:val="20"/>
                <w:szCs w:val="20"/>
              </w:rPr>
            </w:pPr>
            <w:r>
              <w:rPr>
                <w:rFonts w:ascii="Arial" w:hAnsi="Arial" w:cs="Arial"/>
                <w:bCs/>
                <w:sz w:val="20"/>
                <w:szCs w:val="20"/>
              </w:rPr>
              <w:t>X</w:t>
            </w:r>
          </w:p>
        </w:tc>
        <w:tc>
          <w:tcPr>
            <w:tcW w:w="708" w:type="dxa"/>
            <w:tcBorders>
              <w:top w:val="single" w:sz="4" w:space="0" w:color="auto"/>
              <w:left w:val="single" w:sz="4" w:space="0" w:color="auto"/>
              <w:bottom w:val="single" w:sz="4" w:space="0" w:color="auto"/>
              <w:right w:val="single" w:sz="4" w:space="0" w:color="auto"/>
            </w:tcBorders>
            <w:hideMark/>
          </w:tcPr>
          <w:p w14:paraId="25989D56" w14:textId="77777777" w:rsidR="00283998" w:rsidRDefault="00283998">
            <w:pP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tcPr>
          <w:p w14:paraId="6AD8AC87"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155FB167" w14:textId="77777777" w:rsidR="00283998" w:rsidRDefault="00283998">
            <w:pPr>
              <w:rPr>
                <w:rFonts w:ascii="Arial" w:hAnsi="Arial" w:cs="Arial"/>
                <w:bCs/>
                <w:sz w:val="20"/>
                <w:szCs w:val="20"/>
              </w:rPr>
            </w:pPr>
          </w:p>
        </w:tc>
        <w:tc>
          <w:tcPr>
            <w:tcW w:w="1275" w:type="dxa"/>
            <w:tcBorders>
              <w:top w:val="single" w:sz="4" w:space="0" w:color="auto"/>
              <w:left w:val="single" w:sz="4" w:space="0" w:color="auto"/>
              <w:bottom w:val="single" w:sz="4" w:space="0" w:color="auto"/>
              <w:right w:val="single" w:sz="4" w:space="0" w:color="auto"/>
            </w:tcBorders>
            <w:hideMark/>
          </w:tcPr>
          <w:p w14:paraId="132587B9"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21D48CBD"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38F296F2" w14:textId="77777777" w:rsidTr="00F8677C">
        <w:trPr>
          <w:trHeight w:val="980"/>
        </w:trPr>
        <w:tc>
          <w:tcPr>
            <w:tcW w:w="2413" w:type="dxa"/>
            <w:tcBorders>
              <w:top w:val="single" w:sz="4" w:space="0" w:color="auto"/>
              <w:left w:val="single" w:sz="4" w:space="0" w:color="auto"/>
              <w:bottom w:val="single" w:sz="4" w:space="0" w:color="auto"/>
              <w:right w:val="single" w:sz="4" w:space="0" w:color="auto"/>
            </w:tcBorders>
            <w:hideMark/>
          </w:tcPr>
          <w:p w14:paraId="03DDF38E" w14:textId="77777777" w:rsidR="00283998" w:rsidRDefault="00283998">
            <w:pPr>
              <w:ind w:left="0" w:right="-114" w:firstLine="0"/>
              <w:jc w:val="left"/>
              <w:rPr>
                <w:rFonts w:ascii="Arial" w:hAnsi="Arial" w:cs="Arial"/>
                <w:bCs/>
                <w:sz w:val="20"/>
                <w:szCs w:val="20"/>
              </w:rPr>
            </w:pPr>
            <w:r>
              <w:rPr>
                <w:rFonts w:ascii="Arial" w:hAnsi="Arial" w:cs="Arial"/>
                <w:bCs/>
                <w:sz w:val="20"/>
                <w:szCs w:val="20"/>
              </w:rPr>
              <w:t>Miscellaneous</w:t>
            </w:r>
          </w:p>
        </w:tc>
        <w:tc>
          <w:tcPr>
            <w:tcW w:w="3971" w:type="dxa"/>
            <w:tcBorders>
              <w:top w:val="single" w:sz="4" w:space="0" w:color="auto"/>
              <w:left w:val="single" w:sz="4" w:space="0" w:color="auto"/>
              <w:bottom w:val="single" w:sz="4" w:space="0" w:color="auto"/>
              <w:right w:val="single" w:sz="4" w:space="0" w:color="auto"/>
            </w:tcBorders>
            <w:hideMark/>
          </w:tcPr>
          <w:p w14:paraId="74D55324" w14:textId="77777777" w:rsidR="00283998" w:rsidRDefault="00283998">
            <w:pPr>
              <w:ind w:left="0" w:right="-107" w:firstLine="0"/>
              <w:jc w:val="left"/>
              <w:rPr>
                <w:rFonts w:ascii="Arial" w:hAnsi="Arial" w:cs="Arial"/>
                <w:bCs/>
                <w:sz w:val="20"/>
                <w:szCs w:val="20"/>
              </w:rPr>
            </w:pPr>
            <w:r>
              <w:rPr>
                <w:rFonts w:ascii="Arial" w:hAnsi="Arial" w:cs="Arial"/>
                <w:bCs/>
                <w:sz w:val="20"/>
                <w:szCs w:val="20"/>
              </w:rPr>
              <w:t xml:space="preserve">Configure or update Monitoring Dashboards (system, application, and services orientated) in </w:t>
            </w:r>
            <w:proofErr w:type="spellStart"/>
            <w:r>
              <w:rPr>
                <w:rFonts w:ascii="Arial" w:hAnsi="Arial" w:cs="Arial"/>
                <w:bCs/>
                <w:sz w:val="20"/>
                <w:szCs w:val="20"/>
              </w:rPr>
              <w:t>vRealize</w:t>
            </w:r>
            <w:proofErr w:type="spellEnd"/>
            <w:r>
              <w:rPr>
                <w:rFonts w:ascii="Arial" w:hAnsi="Arial" w:cs="Arial"/>
                <w:bCs/>
                <w:sz w:val="20"/>
                <w:szCs w:val="20"/>
              </w:rPr>
              <w:t xml:space="preserve"> Operations as per requirements.</w:t>
            </w:r>
          </w:p>
        </w:tc>
        <w:tc>
          <w:tcPr>
            <w:tcW w:w="568" w:type="dxa"/>
            <w:tcBorders>
              <w:top w:val="single" w:sz="4" w:space="0" w:color="auto"/>
              <w:left w:val="single" w:sz="4" w:space="0" w:color="auto"/>
              <w:bottom w:val="single" w:sz="4" w:space="0" w:color="auto"/>
              <w:right w:val="single" w:sz="4" w:space="0" w:color="auto"/>
            </w:tcBorders>
            <w:hideMark/>
          </w:tcPr>
          <w:p w14:paraId="36E39400"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3B18AA8"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5D2133E2"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DD051AC"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1BDA14E5"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18604DC4"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41941100"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685CFAB3"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520A8CBA"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79C5A464" w14:textId="77777777" w:rsidR="00283998" w:rsidRDefault="00283998">
            <w:pPr>
              <w:jc w:val="center"/>
              <w:rPr>
                <w:rFonts w:ascii="Arial" w:hAnsi="Arial" w:cs="Arial"/>
                <w:bCs/>
                <w:sz w:val="20"/>
                <w:szCs w:val="20"/>
              </w:rPr>
            </w:pPr>
            <w:r>
              <w:rPr>
                <w:rFonts w:ascii="Arial" w:hAnsi="Arial" w:cs="Arial"/>
                <w:bCs/>
                <w:sz w:val="20"/>
                <w:szCs w:val="20"/>
              </w:rPr>
              <w:t>X</w:t>
            </w:r>
          </w:p>
        </w:tc>
        <w:tc>
          <w:tcPr>
            <w:tcW w:w="1275" w:type="dxa"/>
            <w:tcBorders>
              <w:top w:val="single" w:sz="4" w:space="0" w:color="auto"/>
              <w:left w:val="single" w:sz="4" w:space="0" w:color="auto"/>
              <w:bottom w:val="single" w:sz="4" w:space="0" w:color="auto"/>
              <w:right w:val="single" w:sz="4" w:space="0" w:color="auto"/>
            </w:tcBorders>
            <w:hideMark/>
          </w:tcPr>
          <w:p w14:paraId="2E4094F4"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7E9F1B98"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2CF0FE2F" w14:textId="77777777" w:rsidTr="00F8677C">
        <w:trPr>
          <w:trHeight w:val="510"/>
        </w:trPr>
        <w:tc>
          <w:tcPr>
            <w:tcW w:w="2413" w:type="dxa"/>
            <w:tcBorders>
              <w:top w:val="single" w:sz="4" w:space="0" w:color="auto"/>
              <w:left w:val="single" w:sz="4" w:space="0" w:color="auto"/>
              <w:bottom w:val="single" w:sz="4" w:space="0" w:color="auto"/>
              <w:right w:val="single" w:sz="4" w:space="0" w:color="auto"/>
            </w:tcBorders>
            <w:hideMark/>
          </w:tcPr>
          <w:p w14:paraId="4D959E26" w14:textId="77777777" w:rsidR="00283998" w:rsidRDefault="00283998">
            <w:pPr>
              <w:ind w:left="0" w:right="-114" w:firstLine="0"/>
              <w:jc w:val="left"/>
              <w:rPr>
                <w:rFonts w:ascii="Arial" w:hAnsi="Arial" w:cs="Arial"/>
                <w:bCs/>
                <w:sz w:val="20"/>
                <w:szCs w:val="20"/>
              </w:rPr>
            </w:pPr>
            <w:r>
              <w:rPr>
                <w:rFonts w:ascii="Arial" w:hAnsi="Arial" w:cs="Arial"/>
                <w:bCs/>
                <w:sz w:val="20"/>
                <w:szCs w:val="20"/>
              </w:rPr>
              <w:t>Miscellaneous</w:t>
            </w:r>
          </w:p>
        </w:tc>
        <w:tc>
          <w:tcPr>
            <w:tcW w:w="3971" w:type="dxa"/>
            <w:tcBorders>
              <w:top w:val="single" w:sz="4" w:space="0" w:color="auto"/>
              <w:left w:val="single" w:sz="4" w:space="0" w:color="auto"/>
              <w:bottom w:val="single" w:sz="4" w:space="0" w:color="auto"/>
              <w:right w:val="single" w:sz="4" w:space="0" w:color="auto"/>
            </w:tcBorders>
            <w:hideMark/>
          </w:tcPr>
          <w:p w14:paraId="7FE108A5" w14:textId="77777777" w:rsidR="00283998" w:rsidRDefault="00283998">
            <w:pPr>
              <w:ind w:left="0" w:right="-107" w:firstLine="0"/>
              <w:jc w:val="left"/>
              <w:rPr>
                <w:rFonts w:ascii="Arial" w:hAnsi="Arial" w:cs="Arial"/>
                <w:bCs/>
                <w:sz w:val="20"/>
                <w:szCs w:val="20"/>
              </w:rPr>
            </w:pPr>
            <w:r>
              <w:rPr>
                <w:rFonts w:ascii="Arial" w:hAnsi="Arial" w:cs="Arial"/>
                <w:bCs/>
                <w:sz w:val="20"/>
                <w:szCs w:val="20"/>
              </w:rPr>
              <w:t>Configuration and update of monitoring metrics</w:t>
            </w:r>
          </w:p>
        </w:tc>
        <w:tc>
          <w:tcPr>
            <w:tcW w:w="568" w:type="dxa"/>
            <w:tcBorders>
              <w:top w:val="single" w:sz="4" w:space="0" w:color="auto"/>
              <w:left w:val="single" w:sz="4" w:space="0" w:color="auto"/>
              <w:bottom w:val="single" w:sz="4" w:space="0" w:color="auto"/>
              <w:right w:val="single" w:sz="4" w:space="0" w:color="auto"/>
            </w:tcBorders>
            <w:hideMark/>
          </w:tcPr>
          <w:p w14:paraId="771590E8"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16514F0"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6DE0EA04"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87E8972"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596BCD21"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17A9485A"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5449649C"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1EA58C31"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4FFFED45"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283E561F" w14:textId="77777777" w:rsidR="00283998" w:rsidRDefault="00283998">
            <w:pPr>
              <w:jc w:val="center"/>
              <w:rPr>
                <w:rFonts w:ascii="Arial" w:hAnsi="Arial" w:cs="Arial"/>
                <w:bCs/>
                <w:sz w:val="20"/>
                <w:szCs w:val="20"/>
              </w:rPr>
            </w:pPr>
            <w:r>
              <w:rPr>
                <w:rFonts w:ascii="Arial" w:hAnsi="Arial" w:cs="Arial"/>
                <w:bCs/>
                <w:sz w:val="20"/>
                <w:szCs w:val="20"/>
              </w:rPr>
              <w:t>X</w:t>
            </w:r>
          </w:p>
        </w:tc>
        <w:tc>
          <w:tcPr>
            <w:tcW w:w="1275" w:type="dxa"/>
            <w:tcBorders>
              <w:top w:val="single" w:sz="4" w:space="0" w:color="auto"/>
              <w:left w:val="single" w:sz="4" w:space="0" w:color="auto"/>
              <w:bottom w:val="single" w:sz="4" w:space="0" w:color="auto"/>
              <w:right w:val="single" w:sz="4" w:space="0" w:color="auto"/>
            </w:tcBorders>
            <w:hideMark/>
          </w:tcPr>
          <w:p w14:paraId="7A7AA5DF"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4E3A4835"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5488B3C1" w14:textId="77777777" w:rsidTr="00F8677C">
        <w:trPr>
          <w:trHeight w:val="510"/>
        </w:trPr>
        <w:tc>
          <w:tcPr>
            <w:tcW w:w="2413" w:type="dxa"/>
            <w:tcBorders>
              <w:top w:val="single" w:sz="4" w:space="0" w:color="auto"/>
              <w:left w:val="single" w:sz="4" w:space="0" w:color="auto"/>
              <w:bottom w:val="single" w:sz="4" w:space="0" w:color="auto"/>
              <w:right w:val="single" w:sz="4" w:space="0" w:color="auto"/>
            </w:tcBorders>
            <w:hideMark/>
          </w:tcPr>
          <w:p w14:paraId="34541E40" w14:textId="77777777" w:rsidR="00283998" w:rsidRDefault="00283998">
            <w:pPr>
              <w:ind w:left="0" w:right="-114" w:firstLine="0"/>
              <w:jc w:val="left"/>
              <w:rPr>
                <w:rFonts w:ascii="Arial" w:hAnsi="Arial" w:cs="Arial"/>
                <w:bCs/>
                <w:sz w:val="20"/>
                <w:szCs w:val="20"/>
              </w:rPr>
            </w:pPr>
            <w:r>
              <w:rPr>
                <w:rFonts w:ascii="Arial" w:hAnsi="Arial" w:cs="Arial"/>
                <w:bCs/>
                <w:sz w:val="20"/>
                <w:szCs w:val="20"/>
              </w:rPr>
              <w:t>Miscellaneous</w:t>
            </w:r>
          </w:p>
        </w:tc>
        <w:tc>
          <w:tcPr>
            <w:tcW w:w="3971" w:type="dxa"/>
            <w:tcBorders>
              <w:top w:val="single" w:sz="4" w:space="0" w:color="auto"/>
              <w:left w:val="single" w:sz="4" w:space="0" w:color="auto"/>
              <w:bottom w:val="single" w:sz="4" w:space="0" w:color="auto"/>
              <w:right w:val="single" w:sz="4" w:space="0" w:color="auto"/>
            </w:tcBorders>
            <w:hideMark/>
          </w:tcPr>
          <w:p w14:paraId="1A195A8A" w14:textId="77777777" w:rsidR="00283998" w:rsidRDefault="00283998">
            <w:pPr>
              <w:ind w:left="0" w:right="-107" w:firstLine="0"/>
              <w:jc w:val="left"/>
              <w:rPr>
                <w:rFonts w:ascii="Arial" w:hAnsi="Arial" w:cs="Arial"/>
                <w:bCs/>
                <w:sz w:val="20"/>
                <w:szCs w:val="20"/>
              </w:rPr>
            </w:pPr>
            <w:r>
              <w:rPr>
                <w:rFonts w:ascii="Arial" w:hAnsi="Arial" w:cs="Arial"/>
                <w:bCs/>
                <w:sz w:val="20"/>
                <w:szCs w:val="20"/>
              </w:rPr>
              <w:t>Configuration and update of monitoring widgets</w:t>
            </w:r>
          </w:p>
        </w:tc>
        <w:tc>
          <w:tcPr>
            <w:tcW w:w="568" w:type="dxa"/>
            <w:tcBorders>
              <w:top w:val="single" w:sz="4" w:space="0" w:color="auto"/>
              <w:left w:val="single" w:sz="4" w:space="0" w:color="auto"/>
              <w:bottom w:val="single" w:sz="4" w:space="0" w:color="auto"/>
              <w:right w:val="single" w:sz="4" w:space="0" w:color="auto"/>
            </w:tcBorders>
            <w:hideMark/>
          </w:tcPr>
          <w:p w14:paraId="59B31914"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6D5EFE7"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18615061"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8555C72"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2DC87EFF"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7FBCC098"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07357DC2"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2A263CBE"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17F50085"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2D21AA56" w14:textId="77777777" w:rsidR="00283998" w:rsidRDefault="00283998">
            <w:pPr>
              <w:jc w:val="center"/>
              <w:rPr>
                <w:rFonts w:ascii="Arial" w:hAnsi="Arial" w:cs="Arial"/>
                <w:bCs/>
                <w:sz w:val="20"/>
                <w:szCs w:val="20"/>
              </w:rPr>
            </w:pPr>
            <w:r>
              <w:rPr>
                <w:rFonts w:ascii="Arial" w:hAnsi="Arial" w:cs="Arial"/>
                <w:bCs/>
                <w:sz w:val="20"/>
                <w:szCs w:val="20"/>
              </w:rPr>
              <w:t>X</w:t>
            </w:r>
          </w:p>
        </w:tc>
        <w:tc>
          <w:tcPr>
            <w:tcW w:w="1275" w:type="dxa"/>
            <w:tcBorders>
              <w:top w:val="single" w:sz="4" w:space="0" w:color="auto"/>
              <w:left w:val="single" w:sz="4" w:space="0" w:color="auto"/>
              <w:bottom w:val="single" w:sz="4" w:space="0" w:color="auto"/>
              <w:right w:val="single" w:sz="4" w:space="0" w:color="auto"/>
            </w:tcBorders>
            <w:hideMark/>
          </w:tcPr>
          <w:p w14:paraId="7F906BAC"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627F9BCB"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227E4C15" w14:textId="77777777" w:rsidTr="00F8677C">
        <w:trPr>
          <w:trHeight w:val="510"/>
        </w:trPr>
        <w:tc>
          <w:tcPr>
            <w:tcW w:w="2413" w:type="dxa"/>
            <w:tcBorders>
              <w:top w:val="single" w:sz="4" w:space="0" w:color="auto"/>
              <w:left w:val="single" w:sz="4" w:space="0" w:color="auto"/>
              <w:bottom w:val="single" w:sz="4" w:space="0" w:color="auto"/>
              <w:right w:val="single" w:sz="4" w:space="0" w:color="auto"/>
            </w:tcBorders>
            <w:hideMark/>
          </w:tcPr>
          <w:p w14:paraId="1B64DA5E" w14:textId="77777777" w:rsidR="00283998" w:rsidRDefault="00283998">
            <w:pPr>
              <w:ind w:left="0" w:right="-114" w:firstLine="0"/>
              <w:jc w:val="left"/>
              <w:rPr>
                <w:rFonts w:ascii="Arial" w:hAnsi="Arial" w:cs="Arial"/>
                <w:bCs/>
                <w:sz w:val="20"/>
                <w:szCs w:val="20"/>
              </w:rPr>
            </w:pPr>
            <w:r>
              <w:rPr>
                <w:rFonts w:ascii="Arial" w:hAnsi="Arial" w:cs="Arial"/>
                <w:bCs/>
                <w:sz w:val="20"/>
                <w:szCs w:val="20"/>
              </w:rPr>
              <w:t>Miscellaneous</w:t>
            </w:r>
          </w:p>
        </w:tc>
        <w:tc>
          <w:tcPr>
            <w:tcW w:w="3971" w:type="dxa"/>
            <w:tcBorders>
              <w:top w:val="single" w:sz="4" w:space="0" w:color="auto"/>
              <w:left w:val="single" w:sz="4" w:space="0" w:color="auto"/>
              <w:bottom w:val="single" w:sz="4" w:space="0" w:color="auto"/>
              <w:right w:val="single" w:sz="4" w:space="0" w:color="auto"/>
            </w:tcBorders>
            <w:hideMark/>
          </w:tcPr>
          <w:p w14:paraId="071A072B" w14:textId="77777777" w:rsidR="00283998" w:rsidRDefault="00283998">
            <w:pPr>
              <w:ind w:left="0" w:right="-107" w:firstLine="0"/>
              <w:jc w:val="left"/>
              <w:rPr>
                <w:rFonts w:ascii="Arial" w:hAnsi="Arial" w:cs="Arial"/>
                <w:bCs/>
                <w:sz w:val="20"/>
                <w:szCs w:val="20"/>
              </w:rPr>
            </w:pPr>
            <w:r>
              <w:rPr>
                <w:rFonts w:ascii="Arial" w:hAnsi="Arial" w:cs="Arial"/>
                <w:bCs/>
                <w:sz w:val="20"/>
                <w:szCs w:val="20"/>
              </w:rPr>
              <w:t>Configuration and update of dashboards access</w:t>
            </w:r>
          </w:p>
        </w:tc>
        <w:tc>
          <w:tcPr>
            <w:tcW w:w="568" w:type="dxa"/>
            <w:tcBorders>
              <w:top w:val="single" w:sz="4" w:space="0" w:color="auto"/>
              <w:left w:val="single" w:sz="4" w:space="0" w:color="auto"/>
              <w:bottom w:val="single" w:sz="4" w:space="0" w:color="auto"/>
              <w:right w:val="single" w:sz="4" w:space="0" w:color="auto"/>
            </w:tcBorders>
            <w:hideMark/>
          </w:tcPr>
          <w:p w14:paraId="0C91A6E2"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ABBF0A9"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270C64F4"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189AB26"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3977A7B9"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3E6A32A8"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0B2637B1"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543340EA"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4D4E3303"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4C07EA68" w14:textId="77777777" w:rsidR="00283998" w:rsidRDefault="00283998">
            <w:pPr>
              <w:jc w:val="center"/>
              <w:rPr>
                <w:rFonts w:ascii="Arial" w:hAnsi="Arial" w:cs="Arial"/>
                <w:bCs/>
                <w:sz w:val="20"/>
                <w:szCs w:val="20"/>
              </w:rPr>
            </w:pPr>
            <w:r>
              <w:rPr>
                <w:rFonts w:ascii="Arial" w:hAnsi="Arial" w:cs="Arial"/>
                <w:bCs/>
                <w:sz w:val="20"/>
                <w:szCs w:val="20"/>
              </w:rPr>
              <w:t>X</w:t>
            </w:r>
          </w:p>
        </w:tc>
        <w:tc>
          <w:tcPr>
            <w:tcW w:w="1275" w:type="dxa"/>
            <w:tcBorders>
              <w:top w:val="single" w:sz="4" w:space="0" w:color="auto"/>
              <w:left w:val="single" w:sz="4" w:space="0" w:color="auto"/>
              <w:bottom w:val="single" w:sz="4" w:space="0" w:color="auto"/>
              <w:right w:val="single" w:sz="4" w:space="0" w:color="auto"/>
            </w:tcBorders>
            <w:hideMark/>
          </w:tcPr>
          <w:p w14:paraId="66B87C55"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4E86BFF0"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76809F66" w14:textId="77777777" w:rsidTr="00F8677C">
        <w:trPr>
          <w:trHeight w:val="510"/>
        </w:trPr>
        <w:tc>
          <w:tcPr>
            <w:tcW w:w="2413" w:type="dxa"/>
            <w:tcBorders>
              <w:top w:val="single" w:sz="4" w:space="0" w:color="auto"/>
              <w:left w:val="single" w:sz="4" w:space="0" w:color="auto"/>
              <w:bottom w:val="single" w:sz="4" w:space="0" w:color="auto"/>
              <w:right w:val="single" w:sz="4" w:space="0" w:color="auto"/>
            </w:tcBorders>
            <w:hideMark/>
          </w:tcPr>
          <w:p w14:paraId="623978B3" w14:textId="77777777" w:rsidR="00283998" w:rsidRDefault="00283998">
            <w:pPr>
              <w:ind w:left="0" w:right="-114" w:firstLine="0"/>
              <w:jc w:val="left"/>
              <w:rPr>
                <w:rFonts w:ascii="Arial" w:hAnsi="Arial" w:cs="Arial"/>
                <w:bCs/>
                <w:sz w:val="20"/>
                <w:szCs w:val="20"/>
              </w:rPr>
            </w:pPr>
            <w:r>
              <w:rPr>
                <w:rFonts w:ascii="Arial" w:hAnsi="Arial" w:cs="Arial"/>
                <w:bCs/>
                <w:sz w:val="20"/>
                <w:szCs w:val="20"/>
              </w:rPr>
              <w:t>Miscellaneous</w:t>
            </w:r>
          </w:p>
        </w:tc>
        <w:tc>
          <w:tcPr>
            <w:tcW w:w="3971" w:type="dxa"/>
            <w:tcBorders>
              <w:top w:val="single" w:sz="4" w:space="0" w:color="auto"/>
              <w:left w:val="single" w:sz="4" w:space="0" w:color="auto"/>
              <w:bottom w:val="single" w:sz="4" w:space="0" w:color="auto"/>
              <w:right w:val="single" w:sz="4" w:space="0" w:color="auto"/>
            </w:tcBorders>
            <w:hideMark/>
          </w:tcPr>
          <w:p w14:paraId="51D85846" w14:textId="77777777" w:rsidR="00283998" w:rsidRDefault="00283998">
            <w:pPr>
              <w:ind w:left="0" w:right="-107" w:firstLine="0"/>
              <w:jc w:val="left"/>
              <w:rPr>
                <w:rFonts w:ascii="Arial" w:hAnsi="Arial" w:cs="Arial"/>
                <w:bCs/>
                <w:sz w:val="20"/>
                <w:szCs w:val="20"/>
              </w:rPr>
            </w:pPr>
            <w:r>
              <w:rPr>
                <w:rFonts w:ascii="Arial" w:hAnsi="Arial" w:cs="Arial"/>
                <w:bCs/>
                <w:sz w:val="20"/>
                <w:szCs w:val="20"/>
              </w:rPr>
              <w:t>Configuration and update on data gathering endpoints agents</w:t>
            </w:r>
          </w:p>
        </w:tc>
        <w:tc>
          <w:tcPr>
            <w:tcW w:w="568" w:type="dxa"/>
            <w:tcBorders>
              <w:top w:val="single" w:sz="4" w:space="0" w:color="auto"/>
              <w:left w:val="single" w:sz="4" w:space="0" w:color="auto"/>
              <w:bottom w:val="single" w:sz="4" w:space="0" w:color="auto"/>
              <w:right w:val="single" w:sz="4" w:space="0" w:color="auto"/>
            </w:tcBorders>
            <w:hideMark/>
          </w:tcPr>
          <w:p w14:paraId="73BF48D2"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C59A6DD"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66632873"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513BE84" w14:textId="77777777" w:rsidR="00283998" w:rsidRDefault="00283998">
            <w:pPr>
              <w:jc w:val="center"/>
              <w:rPr>
                <w:rFonts w:ascii="Arial" w:hAnsi="Arial" w:cs="Arial"/>
                <w:bCs/>
                <w:sz w:val="20"/>
                <w:szCs w:val="20"/>
              </w:rPr>
            </w:pPr>
            <w:r>
              <w:rPr>
                <w:rFonts w:ascii="Arial" w:hAnsi="Arial" w:cs="Arial"/>
                <w:bCs/>
                <w:sz w:val="20"/>
                <w:szCs w:val="20"/>
              </w:rPr>
              <w:t>X</w:t>
            </w:r>
          </w:p>
        </w:tc>
        <w:tc>
          <w:tcPr>
            <w:tcW w:w="567" w:type="dxa"/>
            <w:tcBorders>
              <w:top w:val="single" w:sz="4" w:space="0" w:color="auto"/>
              <w:left w:val="single" w:sz="4" w:space="0" w:color="auto"/>
              <w:bottom w:val="single" w:sz="4" w:space="0" w:color="auto"/>
              <w:right w:val="single" w:sz="4" w:space="0" w:color="auto"/>
            </w:tcBorders>
            <w:hideMark/>
          </w:tcPr>
          <w:p w14:paraId="61806F4B"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tcPr>
          <w:p w14:paraId="173A89EF"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3BCA48B3"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5A53E1AE"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5F05A434"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7679507B" w14:textId="77777777" w:rsidR="00283998" w:rsidRDefault="00283998">
            <w:pPr>
              <w:jc w:val="center"/>
              <w:rPr>
                <w:rFonts w:ascii="Arial" w:hAnsi="Arial" w:cs="Arial"/>
                <w:bCs/>
                <w:sz w:val="20"/>
                <w:szCs w:val="20"/>
              </w:rPr>
            </w:pPr>
            <w:r>
              <w:rPr>
                <w:rFonts w:ascii="Arial" w:hAnsi="Arial" w:cs="Arial"/>
                <w:bCs/>
                <w:sz w:val="20"/>
                <w:szCs w:val="20"/>
              </w:rPr>
              <w:t>X</w:t>
            </w:r>
          </w:p>
        </w:tc>
        <w:tc>
          <w:tcPr>
            <w:tcW w:w="1275" w:type="dxa"/>
            <w:tcBorders>
              <w:top w:val="single" w:sz="4" w:space="0" w:color="auto"/>
              <w:left w:val="single" w:sz="4" w:space="0" w:color="auto"/>
              <w:bottom w:val="single" w:sz="4" w:space="0" w:color="auto"/>
              <w:right w:val="single" w:sz="4" w:space="0" w:color="auto"/>
            </w:tcBorders>
            <w:hideMark/>
          </w:tcPr>
          <w:p w14:paraId="2711669C"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619A461D"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7ABC8D64" w14:textId="77777777" w:rsidTr="00F8677C">
        <w:trPr>
          <w:trHeight w:val="533"/>
        </w:trPr>
        <w:tc>
          <w:tcPr>
            <w:tcW w:w="2413" w:type="dxa"/>
            <w:tcBorders>
              <w:top w:val="single" w:sz="4" w:space="0" w:color="auto"/>
              <w:left w:val="single" w:sz="4" w:space="0" w:color="auto"/>
              <w:bottom w:val="single" w:sz="4" w:space="0" w:color="auto"/>
              <w:right w:val="single" w:sz="4" w:space="0" w:color="auto"/>
            </w:tcBorders>
            <w:hideMark/>
          </w:tcPr>
          <w:p w14:paraId="3F6FF63A" w14:textId="77777777" w:rsidR="00283998" w:rsidRDefault="00283998">
            <w:pPr>
              <w:ind w:left="0" w:right="-114" w:firstLine="0"/>
              <w:jc w:val="left"/>
              <w:rPr>
                <w:rFonts w:ascii="Arial" w:hAnsi="Arial" w:cs="Arial"/>
                <w:bCs/>
                <w:sz w:val="20"/>
                <w:szCs w:val="20"/>
              </w:rPr>
            </w:pPr>
            <w:r>
              <w:rPr>
                <w:rFonts w:ascii="Arial" w:hAnsi="Arial" w:cs="Arial"/>
                <w:bCs/>
                <w:sz w:val="20"/>
                <w:szCs w:val="20"/>
              </w:rPr>
              <w:t>Hands and Eyes</w:t>
            </w:r>
          </w:p>
        </w:tc>
        <w:tc>
          <w:tcPr>
            <w:tcW w:w="3971" w:type="dxa"/>
            <w:tcBorders>
              <w:top w:val="single" w:sz="4" w:space="0" w:color="auto"/>
              <w:left w:val="single" w:sz="4" w:space="0" w:color="auto"/>
              <w:bottom w:val="single" w:sz="4" w:space="0" w:color="auto"/>
              <w:right w:val="single" w:sz="4" w:space="0" w:color="auto"/>
            </w:tcBorders>
            <w:hideMark/>
          </w:tcPr>
          <w:p w14:paraId="4545F7BF" w14:textId="77777777" w:rsidR="00283998" w:rsidRDefault="00283998">
            <w:pPr>
              <w:ind w:left="0" w:right="-107" w:firstLine="0"/>
              <w:jc w:val="left"/>
              <w:rPr>
                <w:rFonts w:ascii="Arial" w:hAnsi="Arial" w:cs="Arial"/>
                <w:bCs/>
                <w:sz w:val="20"/>
                <w:szCs w:val="20"/>
              </w:rPr>
            </w:pPr>
            <w:r>
              <w:rPr>
                <w:rFonts w:ascii="Arial" w:hAnsi="Arial" w:cs="Arial"/>
                <w:bCs/>
                <w:sz w:val="20"/>
                <w:szCs w:val="20"/>
              </w:rPr>
              <w:t xml:space="preserve">Check availability and reserve </w:t>
            </w:r>
            <w:proofErr w:type="spellStart"/>
            <w:r>
              <w:rPr>
                <w:rFonts w:ascii="Arial" w:hAnsi="Arial" w:cs="Arial"/>
                <w:bCs/>
                <w:sz w:val="20"/>
                <w:szCs w:val="20"/>
              </w:rPr>
              <w:t>rac</w:t>
            </w:r>
            <w:proofErr w:type="spellEnd"/>
            <w:r>
              <w:rPr>
                <w:rFonts w:ascii="Arial" w:hAnsi="Arial" w:cs="Arial"/>
                <w:bCs/>
                <w:sz w:val="20"/>
                <w:szCs w:val="20"/>
              </w:rPr>
              <w:t>’ space according requester's specification.</w:t>
            </w:r>
          </w:p>
        </w:tc>
        <w:tc>
          <w:tcPr>
            <w:tcW w:w="568" w:type="dxa"/>
            <w:tcBorders>
              <w:top w:val="single" w:sz="4" w:space="0" w:color="auto"/>
              <w:left w:val="single" w:sz="4" w:space="0" w:color="auto"/>
              <w:bottom w:val="single" w:sz="4" w:space="0" w:color="auto"/>
              <w:right w:val="single" w:sz="4" w:space="0" w:color="auto"/>
            </w:tcBorders>
            <w:hideMark/>
          </w:tcPr>
          <w:p w14:paraId="283E2AB6"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3F9572A"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3F91D84D"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923C721"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C9B2FEE"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788A895C"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75C48EB2"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10A341AC"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621B1276"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43A034CC" w14:textId="77777777" w:rsidR="00283998" w:rsidRDefault="00283998">
            <w:pPr>
              <w:jc w:val="center"/>
              <w:rPr>
                <w:rFonts w:ascii="Arial" w:hAnsi="Arial" w:cs="Arial"/>
                <w:bCs/>
                <w:sz w:val="20"/>
                <w:szCs w:val="20"/>
              </w:rPr>
            </w:pPr>
            <w:r>
              <w:rPr>
                <w:rFonts w:ascii="Arial" w:hAnsi="Arial" w:cs="Arial"/>
                <w:bCs/>
                <w:sz w:val="20"/>
                <w:szCs w:val="20"/>
              </w:rPr>
              <w:t>X</w:t>
            </w:r>
          </w:p>
        </w:tc>
        <w:tc>
          <w:tcPr>
            <w:tcW w:w="1275" w:type="dxa"/>
            <w:tcBorders>
              <w:top w:val="single" w:sz="4" w:space="0" w:color="auto"/>
              <w:left w:val="single" w:sz="4" w:space="0" w:color="auto"/>
              <w:bottom w:val="single" w:sz="4" w:space="0" w:color="auto"/>
              <w:right w:val="single" w:sz="4" w:space="0" w:color="auto"/>
            </w:tcBorders>
            <w:hideMark/>
          </w:tcPr>
          <w:p w14:paraId="74166094"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1984123E"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3E5AC0B6" w14:textId="77777777" w:rsidTr="00F8677C">
        <w:trPr>
          <w:trHeight w:val="527"/>
        </w:trPr>
        <w:tc>
          <w:tcPr>
            <w:tcW w:w="2413" w:type="dxa"/>
            <w:tcBorders>
              <w:top w:val="single" w:sz="4" w:space="0" w:color="auto"/>
              <w:left w:val="single" w:sz="4" w:space="0" w:color="auto"/>
              <w:bottom w:val="single" w:sz="4" w:space="0" w:color="auto"/>
              <w:right w:val="single" w:sz="4" w:space="0" w:color="auto"/>
            </w:tcBorders>
            <w:hideMark/>
          </w:tcPr>
          <w:p w14:paraId="2E89305D" w14:textId="77777777" w:rsidR="00283998" w:rsidRDefault="00283998">
            <w:pPr>
              <w:ind w:left="0" w:right="-114" w:firstLine="0"/>
              <w:jc w:val="left"/>
              <w:rPr>
                <w:rFonts w:ascii="Arial" w:hAnsi="Arial" w:cs="Arial"/>
                <w:bCs/>
                <w:sz w:val="20"/>
                <w:szCs w:val="20"/>
              </w:rPr>
            </w:pPr>
            <w:r>
              <w:rPr>
                <w:rFonts w:ascii="Arial" w:hAnsi="Arial" w:cs="Arial"/>
                <w:bCs/>
                <w:sz w:val="20"/>
                <w:szCs w:val="20"/>
              </w:rPr>
              <w:t>Hands and Eyes</w:t>
            </w:r>
          </w:p>
        </w:tc>
        <w:tc>
          <w:tcPr>
            <w:tcW w:w="3971" w:type="dxa"/>
            <w:tcBorders>
              <w:top w:val="single" w:sz="4" w:space="0" w:color="auto"/>
              <w:left w:val="single" w:sz="4" w:space="0" w:color="auto"/>
              <w:bottom w:val="single" w:sz="4" w:space="0" w:color="auto"/>
              <w:right w:val="single" w:sz="4" w:space="0" w:color="auto"/>
            </w:tcBorders>
            <w:hideMark/>
          </w:tcPr>
          <w:p w14:paraId="60111D26" w14:textId="77777777" w:rsidR="00283998" w:rsidRDefault="00283998">
            <w:pPr>
              <w:ind w:left="0" w:right="-107" w:firstLine="0"/>
              <w:jc w:val="left"/>
              <w:rPr>
                <w:rFonts w:ascii="Arial" w:hAnsi="Arial" w:cs="Arial"/>
                <w:bCs/>
                <w:sz w:val="20"/>
                <w:szCs w:val="20"/>
              </w:rPr>
            </w:pPr>
            <w:r>
              <w:rPr>
                <w:rFonts w:ascii="Arial" w:hAnsi="Arial" w:cs="Arial"/>
                <w:bCs/>
                <w:sz w:val="20"/>
                <w:szCs w:val="20"/>
              </w:rPr>
              <w:t xml:space="preserve">Physical placement/mounting of instance within allocated rack space </w:t>
            </w:r>
          </w:p>
        </w:tc>
        <w:tc>
          <w:tcPr>
            <w:tcW w:w="568" w:type="dxa"/>
            <w:tcBorders>
              <w:top w:val="single" w:sz="4" w:space="0" w:color="auto"/>
              <w:left w:val="single" w:sz="4" w:space="0" w:color="auto"/>
              <w:bottom w:val="single" w:sz="4" w:space="0" w:color="auto"/>
              <w:right w:val="single" w:sz="4" w:space="0" w:color="auto"/>
            </w:tcBorders>
            <w:hideMark/>
          </w:tcPr>
          <w:p w14:paraId="0B9831F2"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8C0BD0B"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45214EAD"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9D40A1B"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6947DAF"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49A66E2D"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10DD98C1"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2039E6E0"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685AF325"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042EAF22" w14:textId="77777777" w:rsidR="00283998" w:rsidRDefault="00283998">
            <w:pPr>
              <w:jc w:val="center"/>
              <w:rPr>
                <w:rFonts w:ascii="Arial" w:hAnsi="Arial" w:cs="Arial"/>
                <w:bCs/>
                <w:sz w:val="20"/>
                <w:szCs w:val="20"/>
              </w:rPr>
            </w:pPr>
            <w:r>
              <w:rPr>
                <w:rFonts w:ascii="Arial" w:hAnsi="Arial" w:cs="Arial"/>
                <w:bCs/>
                <w:sz w:val="20"/>
                <w:szCs w:val="20"/>
              </w:rPr>
              <w:t>X</w:t>
            </w:r>
          </w:p>
        </w:tc>
        <w:tc>
          <w:tcPr>
            <w:tcW w:w="1275" w:type="dxa"/>
            <w:tcBorders>
              <w:top w:val="single" w:sz="4" w:space="0" w:color="auto"/>
              <w:left w:val="single" w:sz="4" w:space="0" w:color="auto"/>
              <w:bottom w:val="single" w:sz="4" w:space="0" w:color="auto"/>
              <w:right w:val="single" w:sz="4" w:space="0" w:color="auto"/>
            </w:tcBorders>
            <w:hideMark/>
          </w:tcPr>
          <w:p w14:paraId="0E0152EB"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63D6B140"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76BF2B47" w14:textId="77777777" w:rsidTr="00F8677C">
        <w:trPr>
          <w:trHeight w:val="492"/>
        </w:trPr>
        <w:tc>
          <w:tcPr>
            <w:tcW w:w="2413" w:type="dxa"/>
            <w:tcBorders>
              <w:top w:val="single" w:sz="4" w:space="0" w:color="auto"/>
              <w:left w:val="single" w:sz="4" w:space="0" w:color="auto"/>
              <w:bottom w:val="single" w:sz="4" w:space="0" w:color="auto"/>
              <w:right w:val="single" w:sz="4" w:space="0" w:color="auto"/>
            </w:tcBorders>
            <w:hideMark/>
          </w:tcPr>
          <w:p w14:paraId="3A9FE580" w14:textId="77777777" w:rsidR="00283998" w:rsidRDefault="00283998">
            <w:pPr>
              <w:ind w:left="0" w:right="-114" w:firstLine="0"/>
              <w:jc w:val="left"/>
              <w:rPr>
                <w:rFonts w:ascii="Arial" w:hAnsi="Arial" w:cs="Arial"/>
                <w:bCs/>
                <w:sz w:val="20"/>
                <w:szCs w:val="20"/>
              </w:rPr>
            </w:pPr>
            <w:r>
              <w:rPr>
                <w:rFonts w:ascii="Arial" w:hAnsi="Arial" w:cs="Arial"/>
                <w:bCs/>
                <w:sz w:val="20"/>
                <w:szCs w:val="20"/>
              </w:rPr>
              <w:t>Hands and Eyes</w:t>
            </w:r>
          </w:p>
        </w:tc>
        <w:tc>
          <w:tcPr>
            <w:tcW w:w="3971" w:type="dxa"/>
            <w:tcBorders>
              <w:top w:val="single" w:sz="4" w:space="0" w:color="auto"/>
              <w:left w:val="single" w:sz="4" w:space="0" w:color="auto"/>
              <w:bottom w:val="single" w:sz="4" w:space="0" w:color="auto"/>
              <w:right w:val="single" w:sz="4" w:space="0" w:color="auto"/>
            </w:tcBorders>
            <w:hideMark/>
          </w:tcPr>
          <w:p w14:paraId="2334421C" w14:textId="77777777" w:rsidR="00283998" w:rsidRDefault="00283998">
            <w:pPr>
              <w:ind w:left="0" w:right="-107" w:firstLine="0"/>
              <w:jc w:val="left"/>
              <w:rPr>
                <w:rFonts w:ascii="Arial" w:hAnsi="Arial" w:cs="Arial"/>
                <w:bCs/>
                <w:sz w:val="20"/>
                <w:szCs w:val="20"/>
              </w:rPr>
            </w:pPr>
            <w:r>
              <w:rPr>
                <w:rFonts w:ascii="Arial" w:hAnsi="Arial" w:cs="Arial"/>
                <w:bCs/>
                <w:sz w:val="20"/>
                <w:szCs w:val="20"/>
              </w:rPr>
              <w:t>Assessment of device architecture (air flow, rack fit, etc.)</w:t>
            </w:r>
          </w:p>
        </w:tc>
        <w:tc>
          <w:tcPr>
            <w:tcW w:w="568" w:type="dxa"/>
            <w:tcBorders>
              <w:top w:val="single" w:sz="4" w:space="0" w:color="auto"/>
              <w:left w:val="single" w:sz="4" w:space="0" w:color="auto"/>
              <w:bottom w:val="single" w:sz="4" w:space="0" w:color="auto"/>
              <w:right w:val="single" w:sz="4" w:space="0" w:color="auto"/>
            </w:tcBorders>
            <w:hideMark/>
          </w:tcPr>
          <w:p w14:paraId="26D8E126"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9423263"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2B93FA06"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6EB8DE5"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5AF8299"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693223D0"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4394C2B2"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3CFE023A"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77A8438F"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0D34B2A6" w14:textId="77777777" w:rsidR="00283998" w:rsidRDefault="00283998">
            <w:pPr>
              <w:jc w:val="center"/>
              <w:rPr>
                <w:rFonts w:ascii="Arial" w:hAnsi="Arial" w:cs="Arial"/>
                <w:bCs/>
                <w:sz w:val="20"/>
                <w:szCs w:val="20"/>
              </w:rPr>
            </w:pPr>
            <w:r>
              <w:rPr>
                <w:rFonts w:ascii="Arial" w:hAnsi="Arial" w:cs="Arial"/>
                <w:bCs/>
                <w:sz w:val="20"/>
                <w:szCs w:val="20"/>
              </w:rPr>
              <w:t>X</w:t>
            </w:r>
          </w:p>
        </w:tc>
        <w:tc>
          <w:tcPr>
            <w:tcW w:w="1275" w:type="dxa"/>
            <w:tcBorders>
              <w:top w:val="single" w:sz="4" w:space="0" w:color="auto"/>
              <w:left w:val="single" w:sz="4" w:space="0" w:color="auto"/>
              <w:bottom w:val="single" w:sz="4" w:space="0" w:color="auto"/>
              <w:right w:val="single" w:sz="4" w:space="0" w:color="auto"/>
            </w:tcBorders>
            <w:hideMark/>
          </w:tcPr>
          <w:p w14:paraId="39B63AC9"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1EF9F881"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048069C4" w14:textId="77777777" w:rsidTr="00F8677C">
        <w:trPr>
          <w:trHeight w:val="345"/>
        </w:trPr>
        <w:tc>
          <w:tcPr>
            <w:tcW w:w="2413" w:type="dxa"/>
            <w:tcBorders>
              <w:top w:val="single" w:sz="4" w:space="0" w:color="auto"/>
              <w:left w:val="single" w:sz="4" w:space="0" w:color="auto"/>
              <w:bottom w:val="single" w:sz="4" w:space="0" w:color="auto"/>
              <w:right w:val="single" w:sz="4" w:space="0" w:color="auto"/>
            </w:tcBorders>
            <w:hideMark/>
          </w:tcPr>
          <w:p w14:paraId="1EEC2866" w14:textId="77777777" w:rsidR="00283998" w:rsidRDefault="00283998">
            <w:pPr>
              <w:ind w:left="0" w:right="-114" w:firstLine="0"/>
              <w:jc w:val="left"/>
              <w:rPr>
                <w:rFonts w:ascii="Arial" w:hAnsi="Arial" w:cs="Arial"/>
                <w:bCs/>
                <w:sz w:val="20"/>
                <w:szCs w:val="20"/>
              </w:rPr>
            </w:pPr>
            <w:r>
              <w:rPr>
                <w:rFonts w:ascii="Arial" w:hAnsi="Arial" w:cs="Arial"/>
                <w:bCs/>
                <w:sz w:val="20"/>
                <w:szCs w:val="20"/>
              </w:rPr>
              <w:t>Hands and Eyes</w:t>
            </w:r>
          </w:p>
        </w:tc>
        <w:tc>
          <w:tcPr>
            <w:tcW w:w="3971" w:type="dxa"/>
            <w:tcBorders>
              <w:top w:val="single" w:sz="4" w:space="0" w:color="auto"/>
              <w:left w:val="single" w:sz="4" w:space="0" w:color="auto"/>
              <w:bottom w:val="single" w:sz="4" w:space="0" w:color="auto"/>
              <w:right w:val="single" w:sz="4" w:space="0" w:color="auto"/>
            </w:tcBorders>
            <w:hideMark/>
          </w:tcPr>
          <w:p w14:paraId="64D69038" w14:textId="77777777" w:rsidR="00283998" w:rsidRDefault="00283998">
            <w:pPr>
              <w:ind w:left="0" w:right="-107" w:firstLine="0"/>
              <w:jc w:val="left"/>
              <w:rPr>
                <w:rFonts w:ascii="Arial" w:hAnsi="Arial" w:cs="Arial"/>
                <w:bCs/>
                <w:sz w:val="20"/>
                <w:szCs w:val="20"/>
              </w:rPr>
            </w:pPr>
            <w:r>
              <w:rPr>
                <w:rFonts w:ascii="Arial" w:hAnsi="Arial" w:cs="Arial"/>
                <w:bCs/>
                <w:sz w:val="20"/>
                <w:szCs w:val="20"/>
              </w:rPr>
              <w:t xml:space="preserve">Check power capacity within the rack. </w:t>
            </w:r>
          </w:p>
        </w:tc>
        <w:tc>
          <w:tcPr>
            <w:tcW w:w="568" w:type="dxa"/>
            <w:tcBorders>
              <w:top w:val="single" w:sz="4" w:space="0" w:color="auto"/>
              <w:left w:val="single" w:sz="4" w:space="0" w:color="auto"/>
              <w:bottom w:val="single" w:sz="4" w:space="0" w:color="auto"/>
              <w:right w:val="single" w:sz="4" w:space="0" w:color="auto"/>
            </w:tcBorders>
            <w:hideMark/>
          </w:tcPr>
          <w:p w14:paraId="166792E8"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E7B8A9A"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480F1E4"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1CC774A"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C094C50"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BC191A0"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1BFC64A5"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3CADC64A"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719CCF22"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27C34BC8" w14:textId="77777777" w:rsidR="00283998" w:rsidRDefault="00283998">
            <w:pPr>
              <w:jc w:val="center"/>
              <w:rPr>
                <w:rFonts w:ascii="Arial" w:hAnsi="Arial" w:cs="Arial"/>
                <w:bCs/>
                <w:sz w:val="20"/>
                <w:szCs w:val="20"/>
              </w:rPr>
            </w:pPr>
            <w:r>
              <w:rPr>
                <w:rFonts w:ascii="Arial" w:hAnsi="Arial" w:cs="Arial"/>
                <w:bCs/>
                <w:sz w:val="20"/>
                <w:szCs w:val="20"/>
              </w:rPr>
              <w:t>X</w:t>
            </w:r>
          </w:p>
        </w:tc>
        <w:tc>
          <w:tcPr>
            <w:tcW w:w="1275" w:type="dxa"/>
            <w:tcBorders>
              <w:top w:val="single" w:sz="4" w:space="0" w:color="auto"/>
              <w:left w:val="single" w:sz="4" w:space="0" w:color="auto"/>
              <w:bottom w:val="single" w:sz="4" w:space="0" w:color="auto"/>
              <w:right w:val="single" w:sz="4" w:space="0" w:color="auto"/>
            </w:tcBorders>
            <w:hideMark/>
          </w:tcPr>
          <w:p w14:paraId="0A3EF806"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2CBDB2C8"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2477EDAC" w14:textId="77777777" w:rsidTr="00F8677C">
        <w:trPr>
          <w:trHeight w:val="510"/>
        </w:trPr>
        <w:tc>
          <w:tcPr>
            <w:tcW w:w="2413" w:type="dxa"/>
            <w:tcBorders>
              <w:top w:val="single" w:sz="4" w:space="0" w:color="auto"/>
              <w:left w:val="single" w:sz="4" w:space="0" w:color="auto"/>
              <w:bottom w:val="single" w:sz="4" w:space="0" w:color="auto"/>
              <w:right w:val="single" w:sz="4" w:space="0" w:color="auto"/>
            </w:tcBorders>
            <w:hideMark/>
          </w:tcPr>
          <w:p w14:paraId="4D664624" w14:textId="77777777" w:rsidR="00283998" w:rsidRDefault="00283998">
            <w:pPr>
              <w:ind w:left="0" w:right="-114" w:firstLine="0"/>
              <w:jc w:val="left"/>
              <w:rPr>
                <w:rFonts w:ascii="Arial" w:hAnsi="Arial" w:cs="Arial"/>
                <w:bCs/>
                <w:sz w:val="20"/>
                <w:szCs w:val="20"/>
              </w:rPr>
            </w:pPr>
            <w:r>
              <w:rPr>
                <w:rFonts w:ascii="Arial" w:hAnsi="Arial" w:cs="Arial"/>
                <w:bCs/>
                <w:sz w:val="20"/>
                <w:szCs w:val="20"/>
              </w:rPr>
              <w:lastRenderedPageBreak/>
              <w:t>Hands and Eyes</w:t>
            </w:r>
          </w:p>
        </w:tc>
        <w:tc>
          <w:tcPr>
            <w:tcW w:w="3971" w:type="dxa"/>
            <w:tcBorders>
              <w:top w:val="single" w:sz="4" w:space="0" w:color="auto"/>
              <w:left w:val="single" w:sz="4" w:space="0" w:color="auto"/>
              <w:bottom w:val="single" w:sz="4" w:space="0" w:color="auto"/>
              <w:right w:val="single" w:sz="4" w:space="0" w:color="auto"/>
            </w:tcBorders>
            <w:hideMark/>
          </w:tcPr>
          <w:p w14:paraId="679DA6EC" w14:textId="77777777" w:rsidR="00283998" w:rsidRDefault="00283998">
            <w:pPr>
              <w:ind w:left="0" w:right="-107" w:firstLine="0"/>
              <w:jc w:val="left"/>
              <w:rPr>
                <w:rFonts w:ascii="Arial" w:hAnsi="Arial" w:cs="Arial"/>
                <w:bCs/>
                <w:sz w:val="20"/>
                <w:szCs w:val="20"/>
              </w:rPr>
            </w:pPr>
            <w:r>
              <w:rPr>
                <w:rFonts w:ascii="Arial" w:hAnsi="Arial" w:cs="Arial"/>
                <w:bCs/>
                <w:sz w:val="20"/>
                <w:szCs w:val="20"/>
              </w:rPr>
              <w:t>Configuration and update of rack intelligent PDU</w:t>
            </w:r>
          </w:p>
        </w:tc>
        <w:tc>
          <w:tcPr>
            <w:tcW w:w="568" w:type="dxa"/>
            <w:tcBorders>
              <w:top w:val="single" w:sz="4" w:space="0" w:color="auto"/>
              <w:left w:val="single" w:sz="4" w:space="0" w:color="auto"/>
              <w:bottom w:val="single" w:sz="4" w:space="0" w:color="auto"/>
              <w:right w:val="single" w:sz="4" w:space="0" w:color="auto"/>
            </w:tcBorders>
            <w:hideMark/>
          </w:tcPr>
          <w:p w14:paraId="26198F64"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D9EB922"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D3123F9"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13DBA09"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816B60D"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A52CED8"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25D5D7D6"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17C5FC65"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21706564"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6FEE77BB" w14:textId="77777777" w:rsidR="00283998" w:rsidRDefault="00283998">
            <w:pPr>
              <w:jc w:val="center"/>
              <w:rPr>
                <w:rFonts w:ascii="Arial" w:hAnsi="Arial" w:cs="Arial"/>
                <w:bCs/>
                <w:sz w:val="20"/>
                <w:szCs w:val="20"/>
              </w:rPr>
            </w:pPr>
            <w:r>
              <w:rPr>
                <w:rFonts w:ascii="Arial" w:hAnsi="Arial" w:cs="Arial"/>
                <w:bCs/>
                <w:sz w:val="20"/>
                <w:szCs w:val="20"/>
              </w:rPr>
              <w:t>X</w:t>
            </w:r>
          </w:p>
        </w:tc>
        <w:tc>
          <w:tcPr>
            <w:tcW w:w="1275" w:type="dxa"/>
            <w:tcBorders>
              <w:top w:val="single" w:sz="4" w:space="0" w:color="auto"/>
              <w:left w:val="single" w:sz="4" w:space="0" w:color="auto"/>
              <w:bottom w:val="single" w:sz="4" w:space="0" w:color="auto"/>
              <w:right w:val="single" w:sz="4" w:space="0" w:color="auto"/>
            </w:tcBorders>
            <w:hideMark/>
          </w:tcPr>
          <w:p w14:paraId="2A7428F0"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45533729"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449E89A6" w14:textId="77777777" w:rsidTr="00F8677C">
        <w:trPr>
          <w:trHeight w:val="510"/>
        </w:trPr>
        <w:tc>
          <w:tcPr>
            <w:tcW w:w="2413" w:type="dxa"/>
            <w:tcBorders>
              <w:top w:val="single" w:sz="4" w:space="0" w:color="auto"/>
              <w:left w:val="single" w:sz="4" w:space="0" w:color="auto"/>
              <w:bottom w:val="single" w:sz="4" w:space="0" w:color="auto"/>
              <w:right w:val="single" w:sz="4" w:space="0" w:color="auto"/>
            </w:tcBorders>
            <w:hideMark/>
          </w:tcPr>
          <w:p w14:paraId="27E5A7CB" w14:textId="77777777" w:rsidR="00283998" w:rsidRDefault="00283998">
            <w:pPr>
              <w:ind w:left="0" w:right="-114" w:firstLine="0"/>
              <w:jc w:val="left"/>
              <w:rPr>
                <w:rFonts w:ascii="Arial" w:hAnsi="Arial" w:cs="Arial"/>
                <w:bCs/>
                <w:sz w:val="20"/>
                <w:szCs w:val="20"/>
              </w:rPr>
            </w:pPr>
            <w:r>
              <w:rPr>
                <w:rFonts w:ascii="Arial" w:hAnsi="Arial" w:cs="Arial"/>
                <w:bCs/>
                <w:sz w:val="20"/>
                <w:szCs w:val="20"/>
              </w:rPr>
              <w:t>Hands and Eyes</w:t>
            </w:r>
          </w:p>
        </w:tc>
        <w:tc>
          <w:tcPr>
            <w:tcW w:w="3971" w:type="dxa"/>
            <w:tcBorders>
              <w:top w:val="single" w:sz="4" w:space="0" w:color="auto"/>
              <w:left w:val="single" w:sz="4" w:space="0" w:color="auto"/>
              <w:bottom w:val="single" w:sz="4" w:space="0" w:color="auto"/>
              <w:right w:val="single" w:sz="4" w:space="0" w:color="auto"/>
            </w:tcBorders>
            <w:hideMark/>
          </w:tcPr>
          <w:p w14:paraId="3062D516" w14:textId="77777777" w:rsidR="00283998" w:rsidRDefault="00283998">
            <w:pPr>
              <w:ind w:left="0" w:right="-107" w:firstLine="0"/>
              <w:jc w:val="left"/>
              <w:rPr>
                <w:rFonts w:ascii="Arial" w:hAnsi="Arial" w:cs="Arial"/>
                <w:bCs/>
                <w:sz w:val="20"/>
                <w:szCs w:val="20"/>
              </w:rPr>
            </w:pPr>
            <w:r>
              <w:rPr>
                <w:rFonts w:ascii="Arial" w:hAnsi="Arial" w:cs="Arial"/>
                <w:bCs/>
                <w:sz w:val="20"/>
                <w:szCs w:val="20"/>
              </w:rPr>
              <w:t>Check top rack port and bandwidth capacity.</w:t>
            </w:r>
          </w:p>
        </w:tc>
        <w:tc>
          <w:tcPr>
            <w:tcW w:w="568" w:type="dxa"/>
            <w:tcBorders>
              <w:top w:val="single" w:sz="4" w:space="0" w:color="auto"/>
              <w:left w:val="single" w:sz="4" w:space="0" w:color="auto"/>
              <w:bottom w:val="single" w:sz="4" w:space="0" w:color="auto"/>
              <w:right w:val="single" w:sz="4" w:space="0" w:color="auto"/>
            </w:tcBorders>
            <w:hideMark/>
          </w:tcPr>
          <w:p w14:paraId="5A958BA0"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61A62C6"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2D4C241E"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D1252BC"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2FCED36"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5C24EE35"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0FD34CEF"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383B32F5"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521EBB71"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0009C11C" w14:textId="77777777" w:rsidR="00283998" w:rsidRDefault="00283998">
            <w:pPr>
              <w:jc w:val="center"/>
              <w:rPr>
                <w:rFonts w:ascii="Arial" w:hAnsi="Arial" w:cs="Arial"/>
                <w:bCs/>
                <w:sz w:val="20"/>
                <w:szCs w:val="20"/>
              </w:rPr>
            </w:pPr>
            <w:r>
              <w:rPr>
                <w:rFonts w:ascii="Arial" w:hAnsi="Arial" w:cs="Arial"/>
                <w:bCs/>
                <w:sz w:val="20"/>
                <w:szCs w:val="20"/>
              </w:rPr>
              <w:t>X</w:t>
            </w:r>
          </w:p>
        </w:tc>
        <w:tc>
          <w:tcPr>
            <w:tcW w:w="1275" w:type="dxa"/>
            <w:tcBorders>
              <w:top w:val="single" w:sz="4" w:space="0" w:color="auto"/>
              <w:left w:val="single" w:sz="4" w:space="0" w:color="auto"/>
              <w:bottom w:val="single" w:sz="4" w:space="0" w:color="auto"/>
              <w:right w:val="single" w:sz="4" w:space="0" w:color="auto"/>
            </w:tcBorders>
            <w:hideMark/>
          </w:tcPr>
          <w:p w14:paraId="11420799"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2D2A2372"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730F2E27" w14:textId="77777777" w:rsidTr="00F8677C">
        <w:trPr>
          <w:trHeight w:val="317"/>
        </w:trPr>
        <w:tc>
          <w:tcPr>
            <w:tcW w:w="2413" w:type="dxa"/>
            <w:tcBorders>
              <w:top w:val="single" w:sz="4" w:space="0" w:color="auto"/>
              <w:left w:val="single" w:sz="4" w:space="0" w:color="auto"/>
              <w:bottom w:val="single" w:sz="4" w:space="0" w:color="auto"/>
              <w:right w:val="single" w:sz="4" w:space="0" w:color="auto"/>
            </w:tcBorders>
            <w:hideMark/>
          </w:tcPr>
          <w:p w14:paraId="111386A4" w14:textId="77777777" w:rsidR="00283998" w:rsidRDefault="00283998">
            <w:pPr>
              <w:ind w:left="0" w:right="-114" w:firstLine="0"/>
              <w:jc w:val="left"/>
              <w:rPr>
                <w:rFonts w:ascii="Arial" w:hAnsi="Arial" w:cs="Arial"/>
                <w:bCs/>
                <w:sz w:val="20"/>
                <w:szCs w:val="20"/>
              </w:rPr>
            </w:pPr>
            <w:r>
              <w:rPr>
                <w:rFonts w:ascii="Arial" w:hAnsi="Arial" w:cs="Arial"/>
                <w:bCs/>
                <w:sz w:val="20"/>
                <w:szCs w:val="20"/>
              </w:rPr>
              <w:t>Hands and Eyes</w:t>
            </w:r>
          </w:p>
        </w:tc>
        <w:tc>
          <w:tcPr>
            <w:tcW w:w="3971" w:type="dxa"/>
            <w:tcBorders>
              <w:top w:val="single" w:sz="4" w:space="0" w:color="auto"/>
              <w:left w:val="single" w:sz="4" w:space="0" w:color="auto"/>
              <w:bottom w:val="single" w:sz="4" w:space="0" w:color="auto"/>
              <w:right w:val="single" w:sz="4" w:space="0" w:color="auto"/>
            </w:tcBorders>
            <w:hideMark/>
          </w:tcPr>
          <w:p w14:paraId="3520F32F" w14:textId="77777777" w:rsidR="00283998" w:rsidRDefault="00283998">
            <w:pPr>
              <w:ind w:left="0" w:right="-107" w:firstLine="0"/>
              <w:jc w:val="left"/>
              <w:rPr>
                <w:rFonts w:ascii="Arial" w:hAnsi="Arial" w:cs="Arial"/>
                <w:bCs/>
                <w:sz w:val="20"/>
                <w:szCs w:val="20"/>
              </w:rPr>
            </w:pPr>
            <w:r>
              <w:rPr>
                <w:rFonts w:ascii="Arial" w:hAnsi="Arial" w:cs="Arial"/>
                <w:bCs/>
                <w:sz w:val="20"/>
                <w:szCs w:val="20"/>
              </w:rPr>
              <w:t xml:space="preserve">Instance cabling for LAN and SAN. </w:t>
            </w:r>
          </w:p>
        </w:tc>
        <w:tc>
          <w:tcPr>
            <w:tcW w:w="568" w:type="dxa"/>
            <w:tcBorders>
              <w:top w:val="single" w:sz="4" w:space="0" w:color="auto"/>
              <w:left w:val="single" w:sz="4" w:space="0" w:color="auto"/>
              <w:bottom w:val="single" w:sz="4" w:space="0" w:color="auto"/>
              <w:right w:val="single" w:sz="4" w:space="0" w:color="auto"/>
            </w:tcBorders>
            <w:hideMark/>
          </w:tcPr>
          <w:p w14:paraId="4C1E0EFE"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831F39A"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6F5B1FCD"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5DFF8E8"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C5C9274"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166B527F"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2E488A42"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2FECE1B1"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2D9B035E"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2EDCEC3D" w14:textId="77777777" w:rsidR="00283998" w:rsidRDefault="00283998">
            <w:pPr>
              <w:jc w:val="center"/>
              <w:rPr>
                <w:rFonts w:ascii="Arial" w:hAnsi="Arial" w:cs="Arial"/>
                <w:bCs/>
                <w:sz w:val="20"/>
                <w:szCs w:val="20"/>
              </w:rPr>
            </w:pPr>
            <w:r>
              <w:rPr>
                <w:rFonts w:ascii="Arial" w:hAnsi="Arial" w:cs="Arial"/>
                <w:bCs/>
                <w:sz w:val="20"/>
                <w:szCs w:val="20"/>
              </w:rPr>
              <w:t>X</w:t>
            </w:r>
          </w:p>
        </w:tc>
        <w:tc>
          <w:tcPr>
            <w:tcW w:w="1275" w:type="dxa"/>
            <w:tcBorders>
              <w:top w:val="single" w:sz="4" w:space="0" w:color="auto"/>
              <w:left w:val="single" w:sz="4" w:space="0" w:color="auto"/>
              <w:bottom w:val="single" w:sz="4" w:space="0" w:color="auto"/>
              <w:right w:val="single" w:sz="4" w:space="0" w:color="auto"/>
            </w:tcBorders>
            <w:hideMark/>
          </w:tcPr>
          <w:p w14:paraId="6C5FB7C0"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2F19278E"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399317EB"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286A7785" w14:textId="77777777" w:rsidR="00283998" w:rsidRDefault="00283998">
            <w:pPr>
              <w:ind w:left="0" w:right="-114" w:firstLine="0"/>
              <w:jc w:val="left"/>
              <w:rPr>
                <w:rFonts w:ascii="Arial" w:hAnsi="Arial" w:cs="Arial"/>
                <w:bCs/>
                <w:sz w:val="20"/>
                <w:szCs w:val="20"/>
              </w:rPr>
            </w:pPr>
            <w:r>
              <w:rPr>
                <w:rFonts w:ascii="Arial" w:hAnsi="Arial" w:cs="Arial"/>
                <w:bCs/>
                <w:sz w:val="20"/>
                <w:szCs w:val="20"/>
              </w:rPr>
              <w:t>Hands and Eyes</w:t>
            </w:r>
          </w:p>
        </w:tc>
        <w:tc>
          <w:tcPr>
            <w:tcW w:w="3971" w:type="dxa"/>
            <w:tcBorders>
              <w:top w:val="single" w:sz="4" w:space="0" w:color="auto"/>
              <w:left w:val="single" w:sz="4" w:space="0" w:color="auto"/>
              <w:bottom w:val="single" w:sz="4" w:space="0" w:color="auto"/>
              <w:right w:val="single" w:sz="4" w:space="0" w:color="auto"/>
            </w:tcBorders>
            <w:hideMark/>
          </w:tcPr>
          <w:p w14:paraId="1777EBC8" w14:textId="77777777" w:rsidR="00283998" w:rsidRDefault="00283998">
            <w:pPr>
              <w:ind w:left="0" w:right="-107" w:firstLine="0"/>
              <w:jc w:val="left"/>
              <w:rPr>
                <w:rFonts w:ascii="Arial" w:hAnsi="Arial" w:cs="Arial"/>
                <w:bCs/>
                <w:sz w:val="20"/>
                <w:szCs w:val="20"/>
              </w:rPr>
            </w:pPr>
            <w:r>
              <w:rPr>
                <w:rFonts w:ascii="Arial" w:hAnsi="Arial" w:cs="Arial"/>
                <w:bCs/>
                <w:sz w:val="20"/>
                <w:szCs w:val="20"/>
              </w:rPr>
              <w:t>Instance cabling to PDUs.</w:t>
            </w:r>
          </w:p>
        </w:tc>
        <w:tc>
          <w:tcPr>
            <w:tcW w:w="568" w:type="dxa"/>
            <w:tcBorders>
              <w:top w:val="single" w:sz="4" w:space="0" w:color="auto"/>
              <w:left w:val="single" w:sz="4" w:space="0" w:color="auto"/>
              <w:bottom w:val="single" w:sz="4" w:space="0" w:color="auto"/>
              <w:right w:val="single" w:sz="4" w:space="0" w:color="auto"/>
            </w:tcBorders>
            <w:hideMark/>
          </w:tcPr>
          <w:p w14:paraId="6E9D0F8D"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A6A8165"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2F2CC32"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7905F19"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89D201F"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7EE60E2A"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5ABA5758"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39B5AF00"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0A075949"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56F90788" w14:textId="77777777" w:rsidR="00283998" w:rsidRDefault="00283998">
            <w:pPr>
              <w:jc w:val="center"/>
              <w:rPr>
                <w:rFonts w:ascii="Arial" w:hAnsi="Arial" w:cs="Arial"/>
                <w:bCs/>
                <w:sz w:val="20"/>
                <w:szCs w:val="20"/>
              </w:rPr>
            </w:pPr>
            <w:r>
              <w:rPr>
                <w:rFonts w:ascii="Arial" w:hAnsi="Arial" w:cs="Arial"/>
                <w:bCs/>
                <w:sz w:val="20"/>
                <w:szCs w:val="20"/>
              </w:rPr>
              <w:t>X</w:t>
            </w:r>
          </w:p>
        </w:tc>
        <w:tc>
          <w:tcPr>
            <w:tcW w:w="1275" w:type="dxa"/>
            <w:tcBorders>
              <w:top w:val="single" w:sz="4" w:space="0" w:color="auto"/>
              <w:left w:val="single" w:sz="4" w:space="0" w:color="auto"/>
              <w:bottom w:val="single" w:sz="4" w:space="0" w:color="auto"/>
              <w:right w:val="single" w:sz="4" w:space="0" w:color="auto"/>
            </w:tcBorders>
            <w:hideMark/>
          </w:tcPr>
          <w:p w14:paraId="2AA2C739"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41C18EE1"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1292F7ED" w14:textId="77777777" w:rsidTr="00F8677C">
        <w:trPr>
          <w:trHeight w:val="313"/>
        </w:trPr>
        <w:tc>
          <w:tcPr>
            <w:tcW w:w="2413" w:type="dxa"/>
            <w:tcBorders>
              <w:top w:val="single" w:sz="4" w:space="0" w:color="auto"/>
              <w:left w:val="single" w:sz="4" w:space="0" w:color="auto"/>
              <w:bottom w:val="single" w:sz="4" w:space="0" w:color="auto"/>
              <w:right w:val="single" w:sz="4" w:space="0" w:color="auto"/>
            </w:tcBorders>
            <w:hideMark/>
          </w:tcPr>
          <w:p w14:paraId="5B096577" w14:textId="77777777" w:rsidR="00283998" w:rsidRDefault="00283998">
            <w:pPr>
              <w:ind w:left="0" w:right="-114" w:firstLine="0"/>
              <w:jc w:val="left"/>
              <w:rPr>
                <w:rFonts w:ascii="Arial" w:hAnsi="Arial" w:cs="Arial"/>
                <w:bCs/>
                <w:sz w:val="20"/>
                <w:szCs w:val="20"/>
              </w:rPr>
            </w:pPr>
            <w:r>
              <w:rPr>
                <w:rFonts w:ascii="Arial" w:hAnsi="Arial" w:cs="Arial"/>
                <w:bCs/>
                <w:sz w:val="20"/>
                <w:szCs w:val="20"/>
              </w:rPr>
              <w:t>Hands and Eyes</w:t>
            </w:r>
          </w:p>
        </w:tc>
        <w:tc>
          <w:tcPr>
            <w:tcW w:w="3971" w:type="dxa"/>
            <w:tcBorders>
              <w:top w:val="single" w:sz="4" w:space="0" w:color="auto"/>
              <w:left w:val="single" w:sz="4" w:space="0" w:color="auto"/>
              <w:bottom w:val="single" w:sz="4" w:space="0" w:color="auto"/>
              <w:right w:val="single" w:sz="4" w:space="0" w:color="auto"/>
            </w:tcBorders>
            <w:hideMark/>
          </w:tcPr>
          <w:p w14:paraId="128670EE" w14:textId="77777777" w:rsidR="00283998" w:rsidRDefault="00283998">
            <w:pPr>
              <w:ind w:left="0" w:right="-107" w:firstLine="0"/>
              <w:jc w:val="left"/>
              <w:rPr>
                <w:rFonts w:ascii="Arial" w:hAnsi="Arial" w:cs="Arial"/>
                <w:bCs/>
                <w:sz w:val="20"/>
                <w:szCs w:val="20"/>
              </w:rPr>
            </w:pPr>
            <w:r>
              <w:rPr>
                <w:rFonts w:ascii="Arial" w:hAnsi="Arial" w:cs="Arial"/>
                <w:bCs/>
                <w:sz w:val="20"/>
                <w:szCs w:val="20"/>
              </w:rPr>
              <w:t>Cabling and labelling management</w:t>
            </w:r>
          </w:p>
        </w:tc>
        <w:tc>
          <w:tcPr>
            <w:tcW w:w="568" w:type="dxa"/>
            <w:tcBorders>
              <w:top w:val="single" w:sz="4" w:space="0" w:color="auto"/>
              <w:left w:val="single" w:sz="4" w:space="0" w:color="auto"/>
              <w:bottom w:val="single" w:sz="4" w:space="0" w:color="auto"/>
              <w:right w:val="single" w:sz="4" w:space="0" w:color="auto"/>
            </w:tcBorders>
            <w:hideMark/>
          </w:tcPr>
          <w:p w14:paraId="4AA7271D"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09945669"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1AC3A994"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F4D456A"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26CEB9E"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1797ECC2"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3A629895"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73845841"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373AA46F"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5FC302AD" w14:textId="77777777" w:rsidR="00283998" w:rsidRDefault="00283998">
            <w:pPr>
              <w:jc w:val="center"/>
              <w:rPr>
                <w:rFonts w:ascii="Arial" w:hAnsi="Arial" w:cs="Arial"/>
                <w:bCs/>
                <w:sz w:val="20"/>
                <w:szCs w:val="20"/>
              </w:rPr>
            </w:pPr>
            <w:r>
              <w:rPr>
                <w:rFonts w:ascii="Arial" w:hAnsi="Arial" w:cs="Arial"/>
                <w:bCs/>
                <w:sz w:val="20"/>
                <w:szCs w:val="20"/>
              </w:rPr>
              <w:t>X</w:t>
            </w:r>
          </w:p>
        </w:tc>
        <w:tc>
          <w:tcPr>
            <w:tcW w:w="1275" w:type="dxa"/>
            <w:tcBorders>
              <w:top w:val="single" w:sz="4" w:space="0" w:color="auto"/>
              <w:left w:val="single" w:sz="4" w:space="0" w:color="auto"/>
              <w:bottom w:val="single" w:sz="4" w:space="0" w:color="auto"/>
              <w:right w:val="single" w:sz="4" w:space="0" w:color="auto"/>
            </w:tcBorders>
            <w:hideMark/>
          </w:tcPr>
          <w:p w14:paraId="574A8435"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60BECB88"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7E1A86FC" w14:textId="77777777" w:rsidTr="00F8677C">
        <w:trPr>
          <w:trHeight w:val="247"/>
        </w:trPr>
        <w:tc>
          <w:tcPr>
            <w:tcW w:w="2413" w:type="dxa"/>
            <w:tcBorders>
              <w:top w:val="single" w:sz="4" w:space="0" w:color="auto"/>
              <w:left w:val="single" w:sz="4" w:space="0" w:color="auto"/>
              <w:bottom w:val="single" w:sz="4" w:space="0" w:color="auto"/>
              <w:right w:val="single" w:sz="4" w:space="0" w:color="auto"/>
            </w:tcBorders>
            <w:hideMark/>
          </w:tcPr>
          <w:p w14:paraId="2B3DF892" w14:textId="77777777" w:rsidR="00283998" w:rsidRDefault="00283998">
            <w:pPr>
              <w:ind w:left="0" w:right="-114" w:firstLine="0"/>
              <w:jc w:val="left"/>
              <w:rPr>
                <w:rFonts w:ascii="Arial" w:hAnsi="Arial" w:cs="Arial"/>
                <w:bCs/>
                <w:sz w:val="20"/>
                <w:szCs w:val="20"/>
              </w:rPr>
            </w:pPr>
            <w:r>
              <w:rPr>
                <w:rFonts w:ascii="Arial" w:hAnsi="Arial" w:cs="Arial"/>
                <w:bCs/>
                <w:sz w:val="20"/>
                <w:szCs w:val="20"/>
              </w:rPr>
              <w:t>Hands and Eyes</w:t>
            </w:r>
          </w:p>
        </w:tc>
        <w:tc>
          <w:tcPr>
            <w:tcW w:w="3971" w:type="dxa"/>
            <w:tcBorders>
              <w:top w:val="single" w:sz="4" w:space="0" w:color="auto"/>
              <w:left w:val="single" w:sz="4" w:space="0" w:color="auto"/>
              <w:bottom w:val="single" w:sz="4" w:space="0" w:color="auto"/>
              <w:right w:val="single" w:sz="4" w:space="0" w:color="auto"/>
            </w:tcBorders>
            <w:hideMark/>
          </w:tcPr>
          <w:p w14:paraId="0375B8BB" w14:textId="77777777" w:rsidR="00283998" w:rsidRDefault="00283998">
            <w:pPr>
              <w:ind w:left="0" w:right="-107" w:firstLine="0"/>
              <w:jc w:val="left"/>
              <w:rPr>
                <w:rFonts w:ascii="Arial" w:hAnsi="Arial" w:cs="Arial"/>
                <w:bCs/>
                <w:sz w:val="20"/>
                <w:szCs w:val="20"/>
              </w:rPr>
            </w:pPr>
            <w:r>
              <w:rPr>
                <w:rFonts w:ascii="Arial" w:hAnsi="Arial" w:cs="Arial"/>
                <w:bCs/>
                <w:sz w:val="20"/>
                <w:szCs w:val="20"/>
              </w:rPr>
              <w:t>Cabling to KVM (where applicable)</w:t>
            </w:r>
          </w:p>
        </w:tc>
        <w:tc>
          <w:tcPr>
            <w:tcW w:w="568" w:type="dxa"/>
            <w:tcBorders>
              <w:top w:val="single" w:sz="4" w:space="0" w:color="auto"/>
              <w:left w:val="single" w:sz="4" w:space="0" w:color="auto"/>
              <w:bottom w:val="single" w:sz="4" w:space="0" w:color="auto"/>
              <w:right w:val="single" w:sz="4" w:space="0" w:color="auto"/>
            </w:tcBorders>
            <w:hideMark/>
          </w:tcPr>
          <w:p w14:paraId="563CA08B"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EE7E0B1"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50A3CB3A"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6B863B0"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5AD514D4"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3B8CE434"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271B7AE8"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6446CBDA"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0B076588"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35CEC522" w14:textId="77777777" w:rsidR="00283998" w:rsidRDefault="00283998">
            <w:pPr>
              <w:jc w:val="center"/>
              <w:rPr>
                <w:rFonts w:ascii="Arial" w:hAnsi="Arial" w:cs="Arial"/>
                <w:bCs/>
                <w:sz w:val="20"/>
                <w:szCs w:val="20"/>
              </w:rPr>
            </w:pPr>
            <w:r>
              <w:rPr>
                <w:rFonts w:ascii="Arial" w:hAnsi="Arial" w:cs="Arial"/>
                <w:bCs/>
                <w:sz w:val="20"/>
                <w:szCs w:val="20"/>
              </w:rPr>
              <w:t>X</w:t>
            </w:r>
          </w:p>
        </w:tc>
        <w:tc>
          <w:tcPr>
            <w:tcW w:w="1275" w:type="dxa"/>
            <w:tcBorders>
              <w:top w:val="single" w:sz="4" w:space="0" w:color="auto"/>
              <w:left w:val="single" w:sz="4" w:space="0" w:color="auto"/>
              <w:bottom w:val="single" w:sz="4" w:space="0" w:color="auto"/>
              <w:right w:val="single" w:sz="4" w:space="0" w:color="auto"/>
            </w:tcBorders>
            <w:hideMark/>
          </w:tcPr>
          <w:p w14:paraId="586D8211"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7C23A269"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23367DB5" w14:textId="77777777" w:rsidTr="00F8677C">
        <w:trPr>
          <w:trHeight w:val="579"/>
        </w:trPr>
        <w:tc>
          <w:tcPr>
            <w:tcW w:w="2413" w:type="dxa"/>
            <w:tcBorders>
              <w:top w:val="single" w:sz="4" w:space="0" w:color="auto"/>
              <w:left w:val="single" w:sz="4" w:space="0" w:color="auto"/>
              <w:bottom w:val="single" w:sz="4" w:space="0" w:color="auto"/>
              <w:right w:val="single" w:sz="4" w:space="0" w:color="auto"/>
            </w:tcBorders>
            <w:hideMark/>
          </w:tcPr>
          <w:p w14:paraId="5AB960AA" w14:textId="77777777" w:rsidR="00283998" w:rsidRDefault="00283998">
            <w:pPr>
              <w:ind w:left="0" w:right="-114" w:firstLine="0"/>
              <w:jc w:val="left"/>
              <w:rPr>
                <w:rFonts w:ascii="Arial" w:hAnsi="Arial" w:cs="Arial"/>
                <w:bCs/>
                <w:sz w:val="20"/>
                <w:szCs w:val="20"/>
              </w:rPr>
            </w:pPr>
            <w:r>
              <w:rPr>
                <w:rFonts w:ascii="Arial" w:hAnsi="Arial" w:cs="Arial"/>
                <w:bCs/>
                <w:sz w:val="20"/>
                <w:szCs w:val="20"/>
              </w:rPr>
              <w:t>Hands and Eyes</w:t>
            </w:r>
          </w:p>
        </w:tc>
        <w:tc>
          <w:tcPr>
            <w:tcW w:w="3971" w:type="dxa"/>
            <w:tcBorders>
              <w:top w:val="single" w:sz="4" w:space="0" w:color="auto"/>
              <w:left w:val="single" w:sz="4" w:space="0" w:color="auto"/>
              <w:bottom w:val="single" w:sz="4" w:space="0" w:color="auto"/>
              <w:right w:val="single" w:sz="4" w:space="0" w:color="auto"/>
            </w:tcBorders>
            <w:hideMark/>
          </w:tcPr>
          <w:p w14:paraId="14BE41FC" w14:textId="77777777" w:rsidR="00283998" w:rsidRDefault="00283998">
            <w:pPr>
              <w:ind w:left="0" w:right="-107" w:firstLine="0"/>
              <w:jc w:val="left"/>
              <w:rPr>
                <w:rFonts w:ascii="Arial" w:hAnsi="Arial" w:cs="Arial"/>
                <w:bCs/>
                <w:sz w:val="20"/>
                <w:szCs w:val="20"/>
              </w:rPr>
            </w:pPr>
            <w:r>
              <w:rPr>
                <w:rFonts w:ascii="Arial" w:hAnsi="Arial" w:cs="Arial"/>
                <w:bCs/>
                <w:sz w:val="20"/>
                <w:szCs w:val="20"/>
              </w:rPr>
              <w:t>Firmware/BIOS update for relevant components. (Where Applicable)</w:t>
            </w:r>
          </w:p>
        </w:tc>
        <w:tc>
          <w:tcPr>
            <w:tcW w:w="568" w:type="dxa"/>
            <w:tcBorders>
              <w:top w:val="single" w:sz="4" w:space="0" w:color="auto"/>
              <w:left w:val="single" w:sz="4" w:space="0" w:color="auto"/>
              <w:bottom w:val="single" w:sz="4" w:space="0" w:color="auto"/>
              <w:right w:val="single" w:sz="4" w:space="0" w:color="auto"/>
            </w:tcBorders>
            <w:hideMark/>
          </w:tcPr>
          <w:p w14:paraId="61F62D6C"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C397003"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28AEC86"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6A08475"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70643AF"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465F96D8"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5C2AC97D"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7080A543"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1250E7EA"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44DDB720" w14:textId="77777777" w:rsidR="00283998" w:rsidRDefault="00283998">
            <w:pPr>
              <w:jc w:val="center"/>
              <w:rPr>
                <w:rFonts w:ascii="Arial" w:hAnsi="Arial" w:cs="Arial"/>
                <w:bCs/>
                <w:sz w:val="20"/>
                <w:szCs w:val="20"/>
              </w:rPr>
            </w:pPr>
            <w:r>
              <w:rPr>
                <w:rFonts w:ascii="Arial" w:hAnsi="Arial" w:cs="Arial"/>
                <w:bCs/>
                <w:sz w:val="20"/>
                <w:szCs w:val="20"/>
              </w:rPr>
              <w:t>X</w:t>
            </w:r>
          </w:p>
        </w:tc>
        <w:tc>
          <w:tcPr>
            <w:tcW w:w="1275" w:type="dxa"/>
            <w:tcBorders>
              <w:top w:val="single" w:sz="4" w:space="0" w:color="auto"/>
              <w:left w:val="single" w:sz="4" w:space="0" w:color="auto"/>
              <w:bottom w:val="single" w:sz="4" w:space="0" w:color="auto"/>
              <w:right w:val="single" w:sz="4" w:space="0" w:color="auto"/>
            </w:tcBorders>
            <w:hideMark/>
          </w:tcPr>
          <w:p w14:paraId="08C72C88"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5C041214"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4B28CDE2" w14:textId="77777777" w:rsidTr="00F8677C">
        <w:trPr>
          <w:trHeight w:val="417"/>
        </w:trPr>
        <w:tc>
          <w:tcPr>
            <w:tcW w:w="2413" w:type="dxa"/>
            <w:tcBorders>
              <w:top w:val="single" w:sz="4" w:space="0" w:color="auto"/>
              <w:left w:val="single" w:sz="4" w:space="0" w:color="auto"/>
              <w:bottom w:val="single" w:sz="4" w:space="0" w:color="auto"/>
              <w:right w:val="single" w:sz="4" w:space="0" w:color="auto"/>
            </w:tcBorders>
            <w:hideMark/>
          </w:tcPr>
          <w:p w14:paraId="7C814691" w14:textId="77777777" w:rsidR="00283998" w:rsidRDefault="00283998">
            <w:pPr>
              <w:ind w:left="0" w:right="-114" w:firstLine="0"/>
              <w:jc w:val="left"/>
              <w:rPr>
                <w:rFonts w:ascii="Arial" w:hAnsi="Arial" w:cs="Arial"/>
                <w:bCs/>
                <w:sz w:val="20"/>
                <w:szCs w:val="20"/>
              </w:rPr>
            </w:pPr>
            <w:r>
              <w:rPr>
                <w:rFonts w:ascii="Arial" w:hAnsi="Arial" w:cs="Arial"/>
                <w:bCs/>
                <w:sz w:val="20"/>
                <w:szCs w:val="20"/>
              </w:rPr>
              <w:t>Hands and Eyes</w:t>
            </w:r>
          </w:p>
        </w:tc>
        <w:tc>
          <w:tcPr>
            <w:tcW w:w="3971" w:type="dxa"/>
            <w:tcBorders>
              <w:top w:val="single" w:sz="4" w:space="0" w:color="auto"/>
              <w:left w:val="single" w:sz="4" w:space="0" w:color="auto"/>
              <w:bottom w:val="single" w:sz="4" w:space="0" w:color="auto"/>
              <w:right w:val="single" w:sz="4" w:space="0" w:color="auto"/>
            </w:tcBorders>
            <w:hideMark/>
          </w:tcPr>
          <w:p w14:paraId="067D2343" w14:textId="77777777" w:rsidR="00283998" w:rsidRDefault="00283998">
            <w:pPr>
              <w:ind w:left="0" w:right="-107" w:firstLine="0"/>
              <w:jc w:val="left"/>
              <w:rPr>
                <w:rFonts w:ascii="Arial" w:hAnsi="Arial" w:cs="Arial"/>
                <w:bCs/>
                <w:sz w:val="20"/>
                <w:szCs w:val="20"/>
              </w:rPr>
            </w:pPr>
            <w:r>
              <w:rPr>
                <w:rFonts w:ascii="Arial" w:hAnsi="Arial" w:cs="Arial"/>
                <w:bCs/>
                <w:sz w:val="20"/>
                <w:szCs w:val="20"/>
              </w:rPr>
              <w:t>Add, Remove, Change, Swap Server resources/components. (Where Applicable)</w:t>
            </w:r>
          </w:p>
        </w:tc>
        <w:tc>
          <w:tcPr>
            <w:tcW w:w="568" w:type="dxa"/>
            <w:tcBorders>
              <w:top w:val="single" w:sz="4" w:space="0" w:color="auto"/>
              <w:left w:val="single" w:sz="4" w:space="0" w:color="auto"/>
              <w:bottom w:val="single" w:sz="4" w:space="0" w:color="auto"/>
              <w:right w:val="single" w:sz="4" w:space="0" w:color="auto"/>
            </w:tcBorders>
            <w:hideMark/>
          </w:tcPr>
          <w:p w14:paraId="09BE7B1D"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B85BCBB"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4A650CB"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B761CC9"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D3B4F31"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6759F486"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01069DE9"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75E4B654"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6233A7AE"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72B4AAA1" w14:textId="77777777" w:rsidR="00283998" w:rsidRDefault="00283998">
            <w:pPr>
              <w:jc w:val="center"/>
              <w:rPr>
                <w:rFonts w:ascii="Arial" w:hAnsi="Arial" w:cs="Arial"/>
                <w:bCs/>
                <w:sz w:val="20"/>
                <w:szCs w:val="20"/>
              </w:rPr>
            </w:pPr>
            <w:r>
              <w:rPr>
                <w:rFonts w:ascii="Arial" w:hAnsi="Arial" w:cs="Arial"/>
                <w:bCs/>
                <w:sz w:val="20"/>
                <w:szCs w:val="20"/>
              </w:rPr>
              <w:t>X</w:t>
            </w:r>
          </w:p>
        </w:tc>
        <w:tc>
          <w:tcPr>
            <w:tcW w:w="1275" w:type="dxa"/>
            <w:tcBorders>
              <w:top w:val="single" w:sz="4" w:space="0" w:color="auto"/>
              <w:left w:val="single" w:sz="4" w:space="0" w:color="auto"/>
              <w:bottom w:val="single" w:sz="4" w:space="0" w:color="auto"/>
              <w:right w:val="single" w:sz="4" w:space="0" w:color="auto"/>
            </w:tcBorders>
            <w:hideMark/>
          </w:tcPr>
          <w:p w14:paraId="1802DC53" w14:textId="77777777" w:rsidR="00283998" w:rsidRDefault="00283998">
            <w:pPr>
              <w:jc w:val="center"/>
              <w:rPr>
                <w:rFonts w:ascii="Arial" w:hAnsi="Arial" w:cs="Arial"/>
                <w:bCs/>
                <w:sz w:val="20"/>
                <w:szCs w:val="20"/>
              </w:rPr>
            </w:pPr>
            <w:r>
              <w:rPr>
                <w:rFonts w:ascii="Arial" w:hAnsi="Arial" w:cs="Arial"/>
                <w:bCs/>
                <w:sz w:val="20"/>
                <w:szCs w:val="20"/>
              </w:rPr>
              <w:t>TBD</w:t>
            </w:r>
          </w:p>
        </w:tc>
        <w:tc>
          <w:tcPr>
            <w:tcW w:w="1276" w:type="dxa"/>
            <w:tcBorders>
              <w:top w:val="single" w:sz="4" w:space="0" w:color="auto"/>
              <w:left w:val="single" w:sz="4" w:space="0" w:color="auto"/>
              <w:bottom w:val="single" w:sz="4" w:space="0" w:color="auto"/>
              <w:right w:val="single" w:sz="4" w:space="0" w:color="auto"/>
            </w:tcBorders>
            <w:hideMark/>
          </w:tcPr>
          <w:p w14:paraId="40CB1D1E" w14:textId="77777777" w:rsidR="00283998" w:rsidRDefault="00283998">
            <w:pPr>
              <w:jc w:val="center"/>
              <w:rPr>
                <w:rFonts w:ascii="Arial" w:hAnsi="Arial" w:cs="Arial"/>
                <w:bCs/>
                <w:sz w:val="20"/>
                <w:szCs w:val="20"/>
              </w:rPr>
            </w:pPr>
            <w:r>
              <w:rPr>
                <w:rFonts w:ascii="Arial" w:hAnsi="Arial" w:cs="Arial"/>
                <w:bCs/>
                <w:sz w:val="20"/>
                <w:szCs w:val="20"/>
              </w:rPr>
              <w:t>TBD</w:t>
            </w:r>
          </w:p>
        </w:tc>
      </w:tr>
      <w:tr w:rsidR="00283998" w14:paraId="3E02E2DF"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776F239A" w14:textId="77777777" w:rsidR="00283998" w:rsidRDefault="00283998">
            <w:pPr>
              <w:ind w:left="0" w:right="-114" w:firstLine="0"/>
              <w:jc w:val="left"/>
              <w:rPr>
                <w:rFonts w:ascii="Arial" w:hAnsi="Arial" w:cs="Arial"/>
                <w:bCs/>
                <w:sz w:val="20"/>
                <w:szCs w:val="20"/>
              </w:rPr>
            </w:pPr>
            <w:r>
              <w:rPr>
                <w:rFonts w:ascii="Arial" w:hAnsi="Arial" w:cs="Arial"/>
                <w:bCs/>
                <w:sz w:val="20"/>
                <w:szCs w:val="20"/>
              </w:rPr>
              <w:t>Hands and Eyes</w:t>
            </w:r>
          </w:p>
        </w:tc>
        <w:tc>
          <w:tcPr>
            <w:tcW w:w="3971" w:type="dxa"/>
            <w:tcBorders>
              <w:top w:val="single" w:sz="4" w:space="0" w:color="auto"/>
              <w:left w:val="single" w:sz="4" w:space="0" w:color="auto"/>
              <w:bottom w:val="single" w:sz="4" w:space="0" w:color="auto"/>
              <w:right w:val="single" w:sz="4" w:space="0" w:color="auto"/>
            </w:tcBorders>
            <w:hideMark/>
          </w:tcPr>
          <w:p w14:paraId="7DB5B63D" w14:textId="77777777" w:rsidR="00283998" w:rsidRDefault="00283998">
            <w:pPr>
              <w:ind w:left="0" w:right="-107" w:firstLine="0"/>
              <w:jc w:val="left"/>
              <w:rPr>
                <w:rFonts w:ascii="Arial" w:hAnsi="Arial" w:cs="Arial"/>
                <w:bCs/>
                <w:sz w:val="20"/>
                <w:szCs w:val="20"/>
              </w:rPr>
            </w:pPr>
            <w:r>
              <w:rPr>
                <w:rFonts w:ascii="Arial" w:hAnsi="Arial" w:cs="Arial"/>
                <w:bCs/>
                <w:sz w:val="20"/>
                <w:szCs w:val="20"/>
              </w:rPr>
              <w:t>Miscellaneous Small</w:t>
            </w:r>
          </w:p>
        </w:tc>
        <w:tc>
          <w:tcPr>
            <w:tcW w:w="568" w:type="dxa"/>
            <w:tcBorders>
              <w:top w:val="single" w:sz="4" w:space="0" w:color="auto"/>
              <w:left w:val="single" w:sz="4" w:space="0" w:color="auto"/>
              <w:bottom w:val="single" w:sz="4" w:space="0" w:color="auto"/>
              <w:right w:val="single" w:sz="4" w:space="0" w:color="auto"/>
            </w:tcBorders>
            <w:hideMark/>
          </w:tcPr>
          <w:p w14:paraId="3F1D468F"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6128B44A"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71995AA3"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233724AA"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5865491"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5D670B1A"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5521C8C6"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0C203617"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4AC7C1E2"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6C65D769" w14:textId="77777777" w:rsidR="00283998" w:rsidRDefault="00283998">
            <w:pPr>
              <w:jc w:val="center"/>
              <w:rPr>
                <w:rFonts w:ascii="Arial" w:hAnsi="Arial" w:cs="Arial"/>
                <w:bCs/>
                <w:sz w:val="20"/>
                <w:szCs w:val="20"/>
              </w:rPr>
            </w:pPr>
            <w:r>
              <w:rPr>
                <w:rFonts w:ascii="Arial" w:hAnsi="Arial" w:cs="Arial"/>
                <w:bCs/>
                <w:sz w:val="20"/>
                <w:szCs w:val="20"/>
              </w:rPr>
              <w:t>X</w:t>
            </w:r>
          </w:p>
        </w:tc>
        <w:tc>
          <w:tcPr>
            <w:tcW w:w="1275" w:type="dxa"/>
            <w:tcBorders>
              <w:top w:val="single" w:sz="4" w:space="0" w:color="auto"/>
              <w:left w:val="single" w:sz="4" w:space="0" w:color="auto"/>
              <w:bottom w:val="single" w:sz="4" w:space="0" w:color="auto"/>
              <w:right w:val="single" w:sz="4" w:space="0" w:color="auto"/>
            </w:tcBorders>
            <w:hideMark/>
          </w:tcPr>
          <w:p w14:paraId="1A05CEF5" w14:textId="1F3C1131" w:rsidR="00283998" w:rsidRDefault="00291CD4">
            <w:pPr>
              <w:jc w:val="center"/>
              <w:rPr>
                <w:rFonts w:ascii="Arial" w:hAnsi="Arial" w:cs="Arial"/>
                <w:bCs/>
                <w:sz w:val="20"/>
                <w:szCs w:val="20"/>
              </w:rPr>
            </w:pPr>
            <w:r>
              <w:rPr>
                <w:rFonts w:ascii="Arial" w:hAnsi="Arial" w:cs="Arial"/>
                <w:bCs/>
                <w:sz w:val="20"/>
                <w:szCs w:val="20"/>
              </w:rPr>
              <w:t>250</w:t>
            </w:r>
          </w:p>
        </w:tc>
        <w:tc>
          <w:tcPr>
            <w:tcW w:w="1276" w:type="dxa"/>
            <w:tcBorders>
              <w:top w:val="single" w:sz="4" w:space="0" w:color="auto"/>
              <w:left w:val="single" w:sz="4" w:space="0" w:color="auto"/>
              <w:bottom w:val="single" w:sz="4" w:space="0" w:color="auto"/>
              <w:right w:val="single" w:sz="4" w:space="0" w:color="auto"/>
            </w:tcBorders>
            <w:hideMark/>
          </w:tcPr>
          <w:p w14:paraId="6BE15190" w14:textId="7BDF891F" w:rsidR="00283998" w:rsidRDefault="00291CD4">
            <w:pPr>
              <w:jc w:val="center"/>
              <w:rPr>
                <w:rFonts w:ascii="Arial" w:hAnsi="Arial" w:cs="Arial"/>
                <w:bCs/>
                <w:sz w:val="20"/>
                <w:szCs w:val="20"/>
              </w:rPr>
            </w:pPr>
            <w:r>
              <w:rPr>
                <w:rFonts w:ascii="Arial" w:hAnsi="Arial" w:cs="Arial"/>
                <w:bCs/>
                <w:sz w:val="20"/>
                <w:szCs w:val="20"/>
              </w:rPr>
              <w:t>250</w:t>
            </w:r>
          </w:p>
        </w:tc>
      </w:tr>
      <w:tr w:rsidR="00283998" w14:paraId="61C76EB5"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0FC64BAC" w14:textId="77777777" w:rsidR="00283998" w:rsidRDefault="00283998">
            <w:pPr>
              <w:ind w:left="0" w:right="-114" w:firstLine="0"/>
              <w:jc w:val="left"/>
              <w:rPr>
                <w:rFonts w:ascii="Arial" w:hAnsi="Arial" w:cs="Arial"/>
                <w:bCs/>
                <w:sz w:val="20"/>
                <w:szCs w:val="20"/>
              </w:rPr>
            </w:pPr>
            <w:r>
              <w:rPr>
                <w:rFonts w:ascii="Arial" w:hAnsi="Arial" w:cs="Arial"/>
                <w:bCs/>
                <w:sz w:val="20"/>
                <w:szCs w:val="20"/>
              </w:rPr>
              <w:t>Hands and Eyes</w:t>
            </w:r>
          </w:p>
        </w:tc>
        <w:tc>
          <w:tcPr>
            <w:tcW w:w="3971" w:type="dxa"/>
            <w:tcBorders>
              <w:top w:val="single" w:sz="4" w:space="0" w:color="auto"/>
              <w:left w:val="single" w:sz="4" w:space="0" w:color="auto"/>
              <w:bottom w:val="single" w:sz="4" w:space="0" w:color="auto"/>
              <w:right w:val="single" w:sz="4" w:space="0" w:color="auto"/>
            </w:tcBorders>
            <w:hideMark/>
          </w:tcPr>
          <w:p w14:paraId="4551C3F9" w14:textId="77777777" w:rsidR="00283998" w:rsidRDefault="00283998">
            <w:pPr>
              <w:ind w:left="0" w:right="-107" w:firstLine="0"/>
              <w:jc w:val="left"/>
              <w:rPr>
                <w:rFonts w:ascii="Arial" w:hAnsi="Arial" w:cs="Arial"/>
                <w:bCs/>
                <w:sz w:val="20"/>
                <w:szCs w:val="20"/>
              </w:rPr>
            </w:pPr>
            <w:r>
              <w:rPr>
                <w:rFonts w:ascii="Arial" w:hAnsi="Arial" w:cs="Arial"/>
                <w:bCs/>
                <w:sz w:val="20"/>
                <w:szCs w:val="20"/>
              </w:rPr>
              <w:t>Miscellaneous Medium</w:t>
            </w:r>
          </w:p>
        </w:tc>
        <w:tc>
          <w:tcPr>
            <w:tcW w:w="568" w:type="dxa"/>
            <w:tcBorders>
              <w:top w:val="single" w:sz="4" w:space="0" w:color="auto"/>
              <w:left w:val="single" w:sz="4" w:space="0" w:color="auto"/>
              <w:bottom w:val="single" w:sz="4" w:space="0" w:color="auto"/>
              <w:right w:val="single" w:sz="4" w:space="0" w:color="auto"/>
            </w:tcBorders>
            <w:hideMark/>
          </w:tcPr>
          <w:p w14:paraId="6CD81407"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388531F3"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68DA1636"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192F4C7"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DC543FE"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23CE4EFA"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3CB88F48"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0F5D9B6B"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15201EAE"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0C45C5A4" w14:textId="77777777" w:rsidR="00283998" w:rsidRDefault="00283998">
            <w:pPr>
              <w:jc w:val="center"/>
              <w:rPr>
                <w:rFonts w:ascii="Arial" w:hAnsi="Arial" w:cs="Arial"/>
                <w:bCs/>
                <w:sz w:val="20"/>
                <w:szCs w:val="20"/>
              </w:rPr>
            </w:pPr>
            <w:r>
              <w:rPr>
                <w:rFonts w:ascii="Arial" w:hAnsi="Arial" w:cs="Arial"/>
                <w:bCs/>
                <w:sz w:val="20"/>
                <w:szCs w:val="20"/>
              </w:rPr>
              <w:t>X</w:t>
            </w:r>
          </w:p>
        </w:tc>
        <w:tc>
          <w:tcPr>
            <w:tcW w:w="1275" w:type="dxa"/>
            <w:tcBorders>
              <w:top w:val="single" w:sz="4" w:space="0" w:color="auto"/>
              <w:left w:val="single" w:sz="4" w:space="0" w:color="auto"/>
              <w:bottom w:val="single" w:sz="4" w:space="0" w:color="auto"/>
              <w:right w:val="single" w:sz="4" w:space="0" w:color="auto"/>
            </w:tcBorders>
            <w:hideMark/>
          </w:tcPr>
          <w:p w14:paraId="6BBBE28B" w14:textId="499C62E5" w:rsidR="00283998" w:rsidRDefault="00283998">
            <w:pPr>
              <w:jc w:val="center"/>
              <w:rPr>
                <w:rFonts w:ascii="Arial" w:hAnsi="Arial" w:cs="Arial"/>
                <w:bCs/>
                <w:sz w:val="20"/>
                <w:szCs w:val="20"/>
              </w:rPr>
            </w:pPr>
            <w:r>
              <w:rPr>
                <w:rFonts w:ascii="Arial" w:hAnsi="Arial" w:cs="Arial"/>
                <w:bCs/>
                <w:sz w:val="20"/>
                <w:szCs w:val="20"/>
              </w:rPr>
              <w:t>402</w:t>
            </w:r>
          </w:p>
        </w:tc>
        <w:tc>
          <w:tcPr>
            <w:tcW w:w="1276" w:type="dxa"/>
            <w:tcBorders>
              <w:top w:val="single" w:sz="4" w:space="0" w:color="auto"/>
              <w:left w:val="single" w:sz="4" w:space="0" w:color="auto"/>
              <w:bottom w:val="single" w:sz="4" w:space="0" w:color="auto"/>
              <w:right w:val="single" w:sz="4" w:space="0" w:color="auto"/>
            </w:tcBorders>
            <w:hideMark/>
          </w:tcPr>
          <w:p w14:paraId="21EED0A8" w14:textId="0F8AD61E" w:rsidR="00283998" w:rsidRDefault="00283998">
            <w:pPr>
              <w:jc w:val="center"/>
              <w:rPr>
                <w:rFonts w:ascii="Arial" w:hAnsi="Arial" w:cs="Arial"/>
                <w:bCs/>
                <w:sz w:val="20"/>
                <w:szCs w:val="20"/>
              </w:rPr>
            </w:pPr>
            <w:r>
              <w:rPr>
                <w:rFonts w:ascii="Arial" w:hAnsi="Arial" w:cs="Arial"/>
                <w:bCs/>
                <w:sz w:val="20"/>
                <w:szCs w:val="20"/>
              </w:rPr>
              <w:t>402</w:t>
            </w:r>
          </w:p>
        </w:tc>
      </w:tr>
      <w:tr w:rsidR="00283998" w14:paraId="479B99B3"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hideMark/>
          </w:tcPr>
          <w:p w14:paraId="3AEF0001" w14:textId="77777777" w:rsidR="00283998" w:rsidRDefault="00283998">
            <w:pPr>
              <w:ind w:left="0" w:right="-114" w:firstLine="0"/>
              <w:jc w:val="left"/>
              <w:rPr>
                <w:rFonts w:ascii="Arial" w:hAnsi="Arial" w:cs="Arial"/>
                <w:bCs/>
                <w:sz w:val="20"/>
                <w:szCs w:val="20"/>
              </w:rPr>
            </w:pPr>
            <w:r>
              <w:rPr>
                <w:rFonts w:ascii="Arial" w:hAnsi="Arial" w:cs="Arial"/>
                <w:bCs/>
                <w:sz w:val="20"/>
                <w:szCs w:val="20"/>
              </w:rPr>
              <w:t>Hands and Eyes</w:t>
            </w:r>
          </w:p>
        </w:tc>
        <w:tc>
          <w:tcPr>
            <w:tcW w:w="3971" w:type="dxa"/>
            <w:tcBorders>
              <w:top w:val="single" w:sz="4" w:space="0" w:color="auto"/>
              <w:left w:val="single" w:sz="4" w:space="0" w:color="auto"/>
              <w:bottom w:val="single" w:sz="4" w:space="0" w:color="auto"/>
              <w:right w:val="single" w:sz="4" w:space="0" w:color="auto"/>
            </w:tcBorders>
            <w:hideMark/>
          </w:tcPr>
          <w:p w14:paraId="7DDFEF91" w14:textId="77777777" w:rsidR="00283998" w:rsidRDefault="00283998">
            <w:pPr>
              <w:ind w:left="0" w:right="-107" w:firstLine="0"/>
              <w:jc w:val="left"/>
              <w:rPr>
                <w:rFonts w:ascii="Arial" w:hAnsi="Arial" w:cs="Arial"/>
                <w:bCs/>
                <w:sz w:val="20"/>
                <w:szCs w:val="20"/>
              </w:rPr>
            </w:pPr>
            <w:r>
              <w:rPr>
                <w:rFonts w:ascii="Arial" w:hAnsi="Arial" w:cs="Arial"/>
                <w:bCs/>
                <w:sz w:val="20"/>
                <w:szCs w:val="20"/>
              </w:rPr>
              <w:t>Miscellaneous Large</w:t>
            </w:r>
          </w:p>
        </w:tc>
        <w:tc>
          <w:tcPr>
            <w:tcW w:w="568" w:type="dxa"/>
            <w:tcBorders>
              <w:top w:val="single" w:sz="4" w:space="0" w:color="auto"/>
              <w:left w:val="single" w:sz="4" w:space="0" w:color="auto"/>
              <w:bottom w:val="single" w:sz="4" w:space="0" w:color="auto"/>
              <w:right w:val="single" w:sz="4" w:space="0" w:color="auto"/>
            </w:tcBorders>
            <w:hideMark/>
          </w:tcPr>
          <w:p w14:paraId="12F67947"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149745FA"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0A644F9B" w14:textId="77777777" w:rsidR="00283998" w:rsidRDefault="00283998">
            <w:pPr>
              <w:jc w:val="cente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454EA13C" w14:textId="77777777" w:rsidR="00283998" w:rsidRDefault="00283998">
            <w:pPr>
              <w:rPr>
                <w:rFonts w:ascii="Arial" w:hAnsi="Arial" w:cs="Arial"/>
                <w:bCs/>
                <w:sz w:val="20"/>
                <w:szCs w:val="20"/>
              </w:rPr>
            </w:pPr>
          </w:p>
        </w:tc>
        <w:tc>
          <w:tcPr>
            <w:tcW w:w="567" w:type="dxa"/>
            <w:tcBorders>
              <w:top w:val="single" w:sz="4" w:space="0" w:color="auto"/>
              <w:left w:val="single" w:sz="4" w:space="0" w:color="auto"/>
              <w:bottom w:val="single" w:sz="4" w:space="0" w:color="auto"/>
              <w:right w:val="single" w:sz="4" w:space="0" w:color="auto"/>
            </w:tcBorders>
            <w:hideMark/>
          </w:tcPr>
          <w:p w14:paraId="748C4FEA" w14:textId="77777777" w:rsidR="00283998" w:rsidRDefault="00283998">
            <w:pPr>
              <w:spacing w:after="0"/>
              <w:ind w:left="0"/>
              <w:rPr>
                <w:rFonts w:ascii="Arial" w:eastAsia="Times New Roman" w:hAnsi="Arial" w:cs="Arial"/>
                <w:sz w:val="20"/>
                <w:szCs w:val="20"/>
                <w:lang w:eastAsia="en-GB"/>
              </w:rPr>
            </w:pPr>
          </w:p>
        </w:tc>
        <w:tc>
          <w:tcPr>
            <w:tcW w:w="567" w:type="dxa"/>
            <w:tcBorders>
              <w:top w:val="single" w:sz="4" w:space="0" w:color="auto"/>
              <w:left w:val="single" w:sz="4" w:space="0" w:color="auto"/>
              <w:bottom w:val="single" w:sz="4" w:space="0" w:color="auto"/>
              <w:right w:val="single" w:sz="4" w:space="0" w:color="auto"/>
            </w:tcBorders>
          </w:tcPr>
          <w:p w14:paraId="45E2AB09" w14:textId="77777777" w:rsidR="00283998" w:rsidRDefault="00283998">
            <w:pPr>
              <w:jc w:val="center"/>
              <w:rPr>
                <w:rFonts w:ascii="Arial" w:hAnsi="Arial" w:cs="Arial"/>
                <w:bCs/>
                <w:sz w:val="20"/>
                <w:szCs w:val="20"/>
              </w:rPr>
            </w:pPr>
          </w:p>
        </w:tc>
        <w:tc>
          <w:tcPr>
            <w:tcW w:w="709" w:type="dxa"/>
            <w:tcBorders>
              <w:top w:val="single" w:sz="4" w:space="0" w:color="auto"/>
              <w:left w:val="single" w:sz="4" w:space="0" w:color="auto"/>
              <w:bottom w:val="single" w:sz="4" w:space="0" w:color="auto"/>
              <w:right w:val="single" w:sz="4" w:space="0" w:color="auto"/>
            </w:tcBorders>
            <w:hideMark/>
          </w:tcPr>
          <w:p w14:paraId="23C848D2" w14:textId="77777777" w:rsidR="00283998" w:rsidRDefault="00283998">
            <w:pPr>
              <w:rPr>
                <w:rFonts w:ascii="Arial" w:hAnsi="Arial" w:cs="Arial"/>
                <w:bCs/>
                <w:sz w:val="20"/>
                <w:szCs w:val="20"/>
              </w:rPr>
            </w:pPr>
          </w:p>
        </w:tc>
        <w:tc>
          <w:tcPr>
            <w:tcW w:w="708" w:type="dxa"/>
            <w:tcBorders>
              <w:top w:val="single" w:sz="4" w:space="0" w:color="auto"/>
              <w:left w:val="single" w:sz="4" w:space="0" w:color="auto"/>
              <w:bottom w:val="single" w:sz="4" w:space="0" w:color="auto"/>
              <w:right w:val="single" w:sz="4" w:space="0" w:color="auto"/>
            </w:tcBorders>
            <w:hideMark/>
          </w:tcPr>
          <w:p w14:paraId="559E5DE1" w14:textId="77777777" w:rsidR="00283998" w:rsidRDefault="00283998">
            <w:pPr>
              <w:spacing w:after="0"/>
              <w:ind w:left="0"/>
              <w:rPr>
                <w:rFonts w:ascii="Arial" w:eastAsia="Times New Roman" w:hAnsi="Arial" w:cs="Arial"/>
                <w:sz w:val="20"/>
                <w:szCs w:val="20"/>
                <w:lang w:eastAsia="en-GB"/>
              </w:rPr>
            </w:pPr>
          </w:p>
        </w:tc>
        <w:tc>
          <w:tcPr>
            <w:tcW w:w="709" w:type="dxa"/>
            <w:tcBorders>
              <w:top w:val="single" w:sz="4" w:space="0" w:color="auto"/>
              <w:left w:val="single" w:sz="4" w:space="0" w:color="auto"/>
              <w:bottom w:val="single" w:sz="4" w:space="0" w:color="auto"/>
              <w:right w:val="single" w:sz="4" w:space="0" w:color="auto"/>
            </w:tcBorders>
          </w:tcPr>
          <w:p w14:paraId="3784666B" w14:textId="77777777" w:rsidR="00283998" w:rsidRDefault="00283998">
            <w:pPr>
              <w:jc w:val="center"/>
              <w:rPr>
                <w:rFonts w:ascii="Arial" w:hAnsi="Arial" w:cs="Arial"/>
                <w:bCs/>
                <w:sz w:val="20"/>
                <w:szCs w:val="20"/>
              </w:rPr>
            </w:pPr>
          </w:p>
        </w:tc>
        <w:tc>
          <w:tcPr>
            <w:tcW w:w="851" w:type="dxa"/>
            <w:tcBorders>
              <w:top w:val="single" w:sz="4" w:space="0" w:color="auto"/>
              <w:left w:val="single" w:sz="4" w:space="0" w:color="auto"/>
              <w:bottom w:val="single" w:sz="4" w:space="0" w:color="auto"/>
              <w:right w:val="single" w:sz="4" w:space="0" w:color="auto"/>
            </w:tcBorders>
            <w:hideMark/>
          </w:tcPr>
          <w:p w14:paraId="6D59DD00" w14:textId="77777777" w:rsidR="00283998" w:rsidRDefault="00283998">
            <w:pPr>
              <w:jc w:val="center"/>
              <w:rPr>
                <w:rFonts w:ascii="Arial" w:hAnsi="Arial" w:cs="Arial"/>
                <w:bCs/>
                <w:sz w:val="20"/>
                <w:szCs w:val="20"/>
              </w:rPr>
            </w:pPr>
            <w:r>
              <w:rPr>
                <w:rFonts w:ascii="Arial" w:hAnsi="Arial" w:cs="Arial"/>
                <w:bCs/>
                <w:sz w:val="20"/>
                <w:szCs w:val="20"/>
              </w:rPr>
              <w:t>X</w:t>
            </w:r>
          </w:p>
        </w:tc>
        <w:tc>
          <w:tcPr>
            <w:tcW w:w="1275" w:type="dxa"/>
            <w:tcBorders>
              <w:top w:val="single" w:sz="4" w:space="0" w:color="auto"/>
              <w:left w:val="single" w:sz="4" w:space="0" w:color="auto"/>
              <w:bottom w:val="single" w:sz="4" w:space="0" w:color="auto"/>
              <w:right w:val="single" w:sz="4" w:space="0" w:color="auto"/>
            </w:tcBorders>
            <w:hideMark/>
          </w:tcPr>
          <w:p w14:paraId="2B8049CE" w14:textId="5CEE773A" w:rsidR="00283998" w:rsidRDefault="00291CD4">
            <w:pPr>
              <w:jc w:val="center"/>
              <w:rPr>
                <w:rFonts w:ascii="Arial" w:hAnsi="Arial" w:cs="Arial"/>
                <w:bCs/>
                <w:sz w:val="20"/>
                <w:szCs w:val="20"/>
              </w:rPr>
            </w:pPr>
            <w:r>
              <w:rPr>
                <w:rFonts w:ascii="Arial" w:hAnsi="Arial" w:cs="Arial"/>
                <w:bCs/>
                <w:sz w:val="20"/>
                <w:szCs w:val="20"/>
              </w:rPr>
              <w:t>874</w:t>
            </w:r>
          </w:p>
        </w:tc>
        <w:tc>
          <w:tcPr>
            <w:tcW w:w="1276" w:type="dxa"/>
            <w:tcBorders>
              <w:top w:val="single" w:sz="4" w:space="0" w:color="auto"/>
              <w:left w:val="single" w:sz="4" w:space="0" w:color="auto"/>
              <w:bottom w:val="single" w:sz="4" w:space="0" w:color="auto"/>
              <w:right w:val="single" w:sz="4" w:space="0" w:color="auto"/>
            </w:tcBorders>
            <w:hideMark/>
          </w:tcPr>
          <w:p w14:paraId="739C209A" w14:textId="7225325B" w:rsidR="00283998" w:rsidRDefault="00291CD4">
            <w:pPr>
              <w:jc w:val="center"/>
              <w:rPr>
                <w:rFonts w:ascii="Arial" w:hAnsi="Arial" w:cs="Arial"/>
                <w:bCs/>
                <w:sz w:val="20"/>
                <w:szCs w:val="20"/>
              </w:rPr>
            </w:pPr>
            <w:r>
              <w:rPr>
                <w:rFonts w:ascii="Arial" w:hAnsi="Arial" w:cs="Arial"/>
                <w:bCs/>
                <w:sz w:val="20"/>
                <w:szCs w:val="20"/>
              </w:rPr>
              <w:t>874</w:t>
            </w:r>
          </w:p>
        </w:tc>
      </w:tr>
      <w:tr w:rsidR="00283998" w14:paraId="1B1BEC4C" w14:textId="77777777" w:rsidTr="00F8677C">
        <w:trPr>
          <w:trHeight w:val="300"/>
        </w:trPr>
        <w:tc>
          <w:tcPr>
            <w:tcW w:w="2413" w:type="dxa"/>
            <w:tcBorders>
              <w:top w:val="single" w:sz="4" w:space="0" w:color="auto"/>
              <w:left w:val="single" w:sz="4" w:space="0" w:color="auto"/>
              <w:bottom w:val="single" w:sz="4" w:space="0" w:color="auto"/>
              <w:right w:val="single" w:sz="4" w:space="0" w:color="auto"/>
            </w:tcBorders>
          </w:tcPr>
          <w:p w14:paraId="37643547" w14:textId="77777777" w:rsidR="00283998" w:rsidRDefault="00283998">
            <w:pPr>
              <w:ind w:left="0" w:right="-114" w:firstLine="0"/>
              <w:jc w:val="left"/>
              <w:rPr>
                <w:rFonts w:cs="Arial"/>
                <w:bCs/>
                <w:szCs w:val="20"/>
              </w:rPr>
            </w:pPr>
          </w:p>
        </w:tc>
        <w:tc>
          <w:tcPr>
            <w:tcW w:w="3971" w:type="dxa"/>
            <w:tcBorders>
              <w:top w:val="single" w:sz="4" w:space="0" w:color="auto"/>
              <w:left w:val="single" w:sz="4" w:space="0" w:color="auto"/>
              <w:bottom w:val="single" w:sz="4" w:space="0" w:color="auto"/>
              <w:right w:val="single" w:sz="4" w:space="0" w:color="auto"/>
            </w:tcBorders>
          </w:tcPr>
          <w:p w14:paraId="1A5CC90D" w14:textId="77777777" w:rsidR="00283998" w:rsidRDefault="00283998">
            <w:pPr>
              <w:ind w:left="0" w:right="-107" w:firstLine="0"/>
              <w:jc w:val="left"/>
              <w:rPr>
                <w:rFonts w:cs="Arial"/>
                <w:bCs/>
                <w:szCs w:val="20"/>
              </w:rPr>
            </w:pPr>
          </w:p>
        </w:tc>
        <w:tc>
          <w:tcPr>
            <w:tcW w:w="568" w:type="dxa"/>
            <w:tcBorders>
              <w:top w:val="single" w:sz="4" w:space="0" w:color="auto"/>
              <w:left w:val="single" w:sz="4" w:space="0" w:color="auto"/>
              <w:bottom w:val="single" w:sz="4" w:space="0" w:color="auto"/>
              <w:right w:val="single" w:sz="4" w:space="0" w:color="auto"/>
            </w:tcBorders>
          </w:tcPr>
          <w:p w14:paraId="7499AC8B" w14:textId="77777777" w:rsidR="00283998" w:rsidRDefault="00283998">
            <w:pPr>
              <w:jc w:val="center"/>
              <w:rPr>
                <w:rFonts w:cs="Arial"/>
                <w:bCs/>
                <w:szCs w:val="20"/>
              </w:rPr>
            </w:pPr>
          </w:p>
        </w:tc>
        <w:tc>
          <w:tcPr>
            <w:tcW w:w="567" w:type="dxa"/>
            <w:tcBorders>
              <w:top w:val="single" w:sz="4" w:space="0" w:color="auto"/>
              <w:left w:val="single" w:sz="4" w:space="0" w:color="auto"/>
              <w:bottom w:val="single" w:sz="4" w:space="0" w:color="auto"/>
              <w:right w:val="single" w:sz="4" w:space="0" w:color="auto"/>
            </w:tcBorders>
          </w:tcPr>
          <w:p w14:paraId="467D52DF" w14:textId="77777777" w:rsidR="00283998" w:rsidRDefault="00283998">
            <w:pPr>
              <w:jc w:val="center"/>
              <w:rPr>
                <w:rFonts w:cs="Arial"/>
                <w:bCs/>
                <w:szCs w:val="20"/>
              </w:rPr>
            </w:pPr>
          </w:p>
        </w:tc>
        <w:tc>
          <w:tcPr>
            <w:tcW w:w="567" w:type="dxa"/>
            <w:tcBorders>
              <w:top w:val="single" w:sz="4" w:space="0" w:color="auto"/>
              <w:left w:val="single" w:sz="4" w:space="0" w:color="auto"/>
              <w:bottom w:val="single" w:sz="4" w:space="0" w:color="auto"/>
              <w:right w:val="single" w:sz="4" w:space="0" w:color="auto"/>
            </w:tcBorders>
          </w:tcPr>
          <w:p w14:paraId="50E110F3" w14:textId="77777777" w:rsidR="00283998" w:rsidRDefault="00283998">
            <w:pPr>
              <w:jc w:val="center"/>
              <w:rPr>
                <w:rFonts w:cs="Arial"/>
                <w:bCs/>
                <w:szCs w:val="20"/>
              </w:rPr>
            </w:pPr>
          </w:p>
        </w:tc>
        <w:tc>
          <w:tcPr>
            <w:tcW w:w="567" w:type="dxa"/>
            <w:tcBorders>
              <w:top w:val="single" w:sz="4" w:space="0" w:color="auto"/>
              <w:left w:val="single" w:sz="4" w:space="0" w:color="auto"/>
              <w:bottom w:val="single" w:sz="4" w:space="0" w:color="auto"/>
              <w:right w:val="single" w:sz="4" w:space="0" w:color="auto"/>
            </w:tcBorders>
          </w:tcPr>
          <w:p w14:paraId="65540F3E" w14:textId="77777777" w:rsidR="00283998" w:rsidRDefault="00283998">
            <w:pPr>
              <w:jc w:val="center"/>
              <w:rPr>
                <w:rFonts w:cs="Arial"/>
                <w:bCs/>
                <w:szCs w:val="20"/>
              </w:rPr>
            </w:pPr>
          </w:p>
        </w:tc>
        <w:tc>
          <w:tcPr>
            <w:tcW w:w="567" w:type="dxa"/>
            <w:tcBorders>
              <w:top w:val="single" w:sz="4" w:space="0" w:color="auto"/>
              <w:left w:val="single" w:sz="4" w:space="0" w:color="auto"/>
              <w:bottom w:val="single" w:sz="4" w:space="0" w:color="auto"/>
              <w:right w:val="single" w:sz="4" w:space="0" w:color="auto"/>
            </w:tcBorders>
          </w:tcPr>
          <w:p w14:paraId="64D9BCF9" w14:textId="77777777" w:rsidR="00283998" w:rsidRDefault="00283998">
            <w:pPr>
              <w:jc w:val="center"/>
              <w:rPr>
                <w:rFonts w:cs="Arial"/>
                <w:bCs/>
                <w:szCs w:val="20"/>
              </w:rPr>
            </w:pPr>
          </w:p>
        </w:tc>
        <w:tc>
          <w:tcPr>
            <w:tcW w:w="567" w:type="dxa"/>
            <w:tcBorders>
              <w:top w:val="single" w:sz="4" w:space="0" w:color="auto"/>
              <w:left w:val="single" w:sz="4" w:space="0" w:color="auto"/>
              <w:bottom w:val="single" w:sz="4" w:space="0" w:color="auto"/>
              <w:right w:val="single" w:sz="4" w:space="0" w:color="auto"/>
            </w:tcBorders>
          </w:tcPr>
          <w:p w14:paraId="10339B8A" w14:textId="77777777" w:rsidR="00283998" w:rsidRDefault="00283998">
            <w:pPr>
              <w:jc w:val="center"/>
              <w:rPr>
                <w:rFonts w:cs="Arial"/>
                <w:bCs/>
                <w:szCs w:val="20"/>
              </w:rPr>
            </w:pPr>
          </w:p>
        </w:tc>
        <w:tc>
          <w:tcPr>
            <w:tcW w:w="709" w:type="dxa"/>
            <w:tcBorders>
              <w:top w:val="single" w:sz="4" w:space="0" w:color="auto"/>
              <w:left w:val="single" w:sz="4" w:space="0" w:color="auto"/>
              <w:bottom w:val="single" w:sz="4" w:space="0" w:color="auto"/>
              <w:right w:val="single" w:sz="4" w:space="0" w:color="auto"/>
            </w:tcBorders>
          </w:tcPr>
          <w:p w14:paraId="26E2B302" w14:textId="77777777" w:rsidR="00283998" w:rsidRDefault="00283998">
            <w:pPr>
              <w:jc w:val="center"/>
              <w:rPr>
                <w:rFonts w:cs="Arial"/>
                <w:bCs/>
                <w:szCs w:val="20"/>
              </w:rPr>
            </w:pPr>
          </w:p>
        </w:tc>
        <w:tc>
          <w:tcPr>
            <w:tcW w:w="708" w:type="dxa"/>
            <w:tcBorders>
              <w:top w:val="single" w:sz="4" w:space="0" w:color="auto"/>
              <w:left w:val="single" w:sz="4" w:space="0" w:color="auto"/>
              <w:bottom w:val="single" w:sz="4" w:space="0" w:color="auto"/>
              <w:right w:val="single" w:sz="4" w:space="0" w:color="auto"/>
            </w:tcBorders>
          </w:tcPr>
          <w:p w14:paraId="61FA1E34" w14:textId="77777777" w:rsidR="00283998" w:rsidRDefault="00283998">
            <w:pPr>
              <w:jc w:val="center"/>
              <w:rPr>
                <w:rFonts w:cs="Arial"/>
                <w:bCs/>
                <w:szCs w:val="20"/>
              </w:rPr>
            </w:pPr>
          </w:p>
        </w:tc>
        <w:tc>
          <w:tcPr>
            <w:tcW w:w="709" w:type="dxa"/>
            <w:tcBorders>
              <w:top w:val="single" w:sz="4" w:space="0" w:color="auto"/>
              <w:left w:val="single" w:sz="4" w:space="0" w:color="auto"/>
              <w:bottom w:val="single" w:sz="4" w:space="0" w:color="auto"/>
              <w:right w:val="single" w:sz="4" w:space="0" w:color="auto"/>
            </w:tcBorders>
          </w:tcPr>
          <w:p w14:paraId="53659FDC" w14:textId="77777777" w:rsidR="00283998" w:rsidRDefault="00283998">
            <w:pPr>
              <w:jc w:val="center"/>
              <w:rPr>
                <w:rFonts w:cs="Arial"/>
                <w:bCs/>
                <w:szCs w:val="20"/>
              </w:rPr>
            </w:pPr>
          </w:p>
        </w:tc>
        <w:tc>
          <w:tcPr>
            <w:tcW w:w="851" w:type="dxa"/>
            <w:tcBorders>
              <w:top w:val="single" w:sz="4" w:space="0" w:color="auto"/>
              <w:left w:val="single" w:sz="4" w:space="0" w:color="auto"/>
              <w:bottom w:val="single" w:sz="4" w:space="0" w:color="auto"/>
              <w:right w:val="single" w:sz="4" w:space="0" w:color="auto"/>
            </w:tcBorders>
          </w:tcPr>
          <w:p w14:paraId="7CB29522" w14:textId="77777777" w:rsidR="00283998" w:rsidRDefault="00283998">
            <w:pPr>
              <w:jc w:val="center"/>
              <w:rPr>
                <w:rFonts w:cs="Arial"/>
                <w:bCs/>
                <w:szCs w:val="20"/>
              </w:rPr>
            </w:pPr>
          </w:p>
        </w:tc>
        <w:tc>
          <w:tcPr>
            <w:tcW w:w="1275" w:type="dxa"/>
            <w:tcBorders>
              <w:top w:val="single" w:sz="4" w:space="0" w:color="auto"/>
              <w:left w:val="single" w:sz="4" w:space="0" w:color="auto"/>
              <w:bottom w:val="single" w:sz="4" w:space="0" w:color="auto"/>
              <w:right w:val="single" w:sz="4" w:space="0" w:color="auto"/>
            </w:tcBorders>
            <w:hideMark/>
          </w:tcPr>
          <w:p w14:paraId="6A102DDD" w14:textId="6FB88894" w:rsidR="00283998" w:rsidRDefault="00283998">
            <w:pPr>
              <w:jc w:val="center"/>
              <w:rPr>
                <w:rFonts w:cs="Arial"/>
                <w:bCs/>
                <w:szCs w:val="20"/>
              </w:rPr>
            </w:pPr>
          </w:p>
        </w:tc>
        <w:tc>
          <w:tcPr>
            <w:tcW w:w="1276" w:type="dxa"/>
            <w:tcBorders>
              <w:top w:val="single" w:sz="4" w:space="0" w:color="auto"/>
              <w:left w:val="single" w:sz="4" w:space="0" w:color="auto"/>
              <w:bottom w:val="single" w:sz="4" w:space="0" w:color="auto"/>
              <w:right w:val="single" w:sz="4" w:space="0" w:color="auto"/>
            </w:tcBorders>
            <w:hideMark/>
          </w:tcPr>
          <w:p w14:paraId="09BC6283" w14:textId="4DE2A636" w:rsidR="00283998" w:rsidRDefault="00283998">
            <w:pPr>
              <w:jc w:val="center"/>
              <w:rPr>
                <w:rFonts w:cs="Arial"/>
                <w:bCs/>
                <w:szCs w:val="20"/>
              </w:rPr>
            </w:pPr>
          </w:p>
        </w:tc>
      </w:tr>
    </w:tbl>
    <w:p w14:paraId="1944D5A3" w14:textId="77777777" w:rsidR="00283998" w:rsidRDefault="00283998" w:rsidP="00283998">
      <w:pPr>
        <w:rPr>
          <w:rFonts w:cs="Arial"/>
          <w:b/>
          <w:bCs/>
          <w:szCs w:val="20"/>
        </w:rPr>
      </w:pPr>
    </w:p>
    <w:p w14:paraId="14C97DF3" w14:textId="1809D415" w:rsidR="00BF5DA0" w:rsidRPr="000E5786" w:rsidRDefault="00BF5DA0" w:rsidP="00283998">
      <w:pPr>
        <w:ind w:left="0" w:firstLine="0"/>
        <w:rPr>
          <w:rFonts w:cs="Arial"/>
          <w:b/>
          <w:bCs/>
          <w:szCs w:val="20"/>
        </w:rPr>
      </w:pPr>
    </w:p>
    <w:p w14:paraId="6D839DA8" w14:textId="031A4C0F" w:rsidR="006573B2" w:rsidRPr="000E5786" w:rsidRDefault="004C127E" w:rsidP="00DD60F0">
      <w:pPr>
        <w:jc w:val="center"/>
        <w:rPr>
          <w:rFonts w:cs="Arial"/>
          <w:b/>
          <w:bCs/>
          <w:szCs w:val="20"/>
        </w:rPr>
      </w:pPr>
      <w:r w:rsidRPr="000E5786">
        <w:rPr>
          <w:rFonts w:cs="Arial"/>
          <w:b/>
          <w:bCs/>
          <w:szCs w:val="20"/>
        </w:rPr>
        <w:t xml:space="preserve">Annex </w:t>
      </w:r>
      <w:r w:rsidR="00AC4874">
        <w:rPr>
          <w:rFonts w:cs="Arial"/>
          <w:b/>
          <w:bCs/>
          <w:szCs w:val="20"/>
        </w:rPr>
        <w:t>7.4</w:t>
      </w:r>
      <w:r w:rsidRPr="000E5786">
        <w:rPr>
          <w:rFonts w:cs="Arial"/>
          <w:b/>
          <w:bCs/>
          <w:szCs w:val="20"/>
        </w:rPr>
        <w:t>C</w:t>
      </w:r>
    </w:p>
    <w:p w14:paraId="70662E05" w14:textId="77777777" w:rsidR="009C77E2" w:rsidRPr="009A0E18" w:rsidRDefault="009C77E2" w:rsidP="009C77E2">
      <w:pPr>
        <w:jc w:val="center"/>
        <w:rPr>
          <w:rFonts w:cs="Arial"/>
          <w:b/>
          <w:szCs w:val="20"/>
        </w:rPr>
      </w:pPr>
      <w:r w:rsidRPr="009A0E18">
        <w:rPr>
          <w:rFonts w:cs="Arial"/>
          <w:b/>
          <w:szCs w:val="20"/>
        </w:rPr>
        <w:t>COMMERCIAL MODEL</w:t>
      </w:r>
    </w:p>
    <w:p w14:paraId="09C7A0FC" w14:textId="18E859BC" w:rsidR="004C127E" w:rsidRPr="000E5786" w:rsidRDefault="004C127E" w:rsidP="00DD60F0">
      <w:pPr>
        <w:jc w:val="center"/>
        <w:rPr>
          <w:rFonts w:cs="Arial"/>
          <w:bCs/>
          <w:szCs w:val="20"/>
        </w:rPr>
      </w:pPr>
      <w:r w:rsidRPr="000E5786">
        <w:rPr>
          <w:rFonts w:cs="Arial"/>
          <w:b/>
          <w:bCs/>
          <w:szCs w:val="20"/>
        </w:rPr>
        <w:t>Supplier Rate Card</w:t>
      </w:r>
    </w:p>
    <w:tbl>
      <w:tblPr>
        <w:tblW w:w="15166" w:type="dxa"/>
        <w:tblInd w:w="142" w:type="dxa"/>
        <w:tblLayout w:type="fixed"/>
        <w:tblLook w:val="04A0" w:firstRow="1" w:lastRow="0" w:firstColumn="1" w:lastColumn="0" w:noHBand="0" w:noVBand="1"/>
      </w:tblPr>
      <w:tblGrid>
        <w:gridCol w:w="1134"/>
        <w:gridCol w:w="1700"/>
        <w:gridCol w:w="1560"/>
        <w:gridCol w:w="851"/>
        <w:gridCol w:w="567"/>
        <w:gridCol w:w="565"/>
        <w:gridCol w:w="567"/>
        <w:gridCol w:w="709"/>
        <w:gridCol w:w="567"/>
        <w:gridCol w:w="709"/>
        <w:gridCol w:w="850"/>
        <w:gridCol w:w="709"/>
        <w:gridCol w:w="851"/>
        <w:gridCol w:w="708"/>
        <w:gridCol w:w="851"/>
        <w:gridCol w:w="709"/>
        <w:gridCol w:w="850"/>
        <w:gridCol w:w="709"/>
      </w:tblGrid>
      <w:tr w:rsidR="00FF2A36" w:rsidRPr="000E5786" w14:paraId="258837BC" w14:textId="77777777" w:rsidTr="00F15538">
        <w:trPr>
          <w:trHeight w:val="225"/>
        </w:trPr>
        <w:tc>
          <w:tcPr>
            <w:tcW w:w="1134" w:type="dxa"/>
            <w:tcBorders>
              <w:top w:val="nil"/>
              <w:left w:val="nil"/>
              <w:bottom w:val="nil"/>
              <w:right w:val="nil"/>
            </w:tcBorders>
            <w:shd w:val="clear" w:color="000000" w:fill="FFFFFF"/>
            <w:noWrap/>
            <w:vAlign w:val="bottom"/>
            <w:hideMark/>
          </w:tcPr>
          <w:p w14:paraId="4A778CC2" w14:textId="77777777" w:rsidR="004C127E" w:rsidRPr="000E5786" w:rsidRDefault="004C127E" w:rsidP="00DD60F0">
            <w:pPr>
              <w:rPr>
                <w:rFonts w:cs="Arial"/>
                <w:szCs w:val="20"/>
              </w:rPr>
            </w:pPr>
            <w:r w:rsidRPr="000E5786">
              <w:rPr>
                <w:rFonts w:cs="Arial"/>
                <w:szCs w:val="20"/>
              </w:rPr>
              <w:lastRenderedPageBreak/>
              <w:t> </w:t>
            </w:r>
          </w:p>
        </w:tc>
        <w:tc>
          <w:tcPr>
            <w:tcW w:w="1700" w:type="dxa"/>
            <w:tcBorders>
              <w:top w:val="nil"/>
              <w:left w:val="nil"/>
              <w:bottom w:val="nil"/>
              <w:right w:val="nil"/>
            </w:tcBorders>
            <w:shd w:val="clear" w:color="000000" w:fill="FFFFFF"/>
            <w:noWrap/>
            <w:vAlign w:val="bottom"/>
            <w:hideMark/>
          </w:tcPr>
          <w:p w14:paraId="675FC491" w14:textId="77777777" w:rsidR="004C127E" w:rsidRPr="000E5786" w:rsidRDefault="004C127E" w:rsidP="00DD60F0">
            <w:pPr>
              <w:rPr>
                <w:rFonts w:cs="Arial"/>
                <w:szCs w:val="20"/>
              </w:rPr>
            </w:pPr>
            <w:r w:rsidRPr="000E5786">
              <w:rPr>
                <w:rFonts w:cs="Arial"/>
                <w:szCs w:val="20"/>
              </w:rPr>
              <w:t> </w:t>
            </w:r>
          </w:p>
        </w:tc>
        <w:tc>
          <w:tcPr>
            <w:tcW w:w="1560" w:type="dxa"/>
            <w:tcBorders>
              <w:top w:val="nil"/>
              <w:left w:val="nil"/>
              <w:bottom w:val="nil"/>
              <w:right w:val="nil"/>
            </w:tcBorders>
            <w:shd w:val="clear" w:color="000000" w:fill="FFFFFF"/>
            <w:noWrap/>
            <w:vAlign w:val="bottom"/>
            <w:hideMark/>
          </w:tcPr>
          <w:p w14:paraId="6004E390" w14:textId="77777777" w:rsidR="004C127E" w:rsidRPr="000E5786" w:rsidRDefault="004C127E" w:rsidP="00DD60F0">
            <w:pPr>
              <w:rPr>
                <w:rFonts w:cs="Arial"/>
                <w:szCs w:val="20"/>
              </w:rPr>
            </w:pPr>
            <w:r w:rsidRPr="000E5786">
              <w:rPr>
                <w:rFonts w:cs="Arial"/>
                <w:szCs w:val="20"/>
              </w:rPr>
              <w:t> </w:t>
            </w:r>
          </w:p>
        </w:tc>
        <w:tc>
          <w:tcPr>
            <w:tcW w:w="851"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369AF2F0" w14:textId="77777777" w:rsidR="004C127E" w:rsidRPr="000E5786" w:rsidRDefault="004C127E" w:rsidP="00AC4874">
            <w:pPr>
              <w:ind w:left="0" w:firstLine="0"/>
              <w:jc w:val="left"/>
              <w:rPr>
                <w:rFonts w:cs="Arial"/>
                <w:b/>
                <w:bCs/>
                <w:szCs w:val="20"/>
              </w:rPr>
            </w:pPr>
            <w:r w:rsidRPr="000E5786">
              <w:rPr>
                <w:rFonts w:cs="Arial"/>
                <w:b/>
                <w:bCs/>
                <w:szCs w:val="20"/>
              </w:rPr>
              <w:t>SFIA CODE</w:t>
            </w:r>
          </w:p>
        </w:tc>
        <w:tc>
          <w:tcPr>
            <w:tcW w:w="1132" w:type="dxa"/>
            <w:gridSpan w:val="2"/>
            <w:tcBorders>
              <w:top w:val="single" w:sz="8" w:space="0" w:color="auto"/>
              <w:left w:val="nil"/>
              <w:bottom w:val="single" w:sz="4" w:space="0" w:color="auto"/>
              <w:right w:val="single" w:sz="8" w:space="0" w:color="000000"/>
            </w:tcBorders>
            <w:shd w:val="clear" w:color="000000" w:fill="FFFFFF"/>
            <w:noWrap/>
            <w:vAlign w:val="center"/>
            <w:hideMark/>
          </w:tcPr>
          <w:p w14:paraId="7166C30B" w14:textId="77777777" w:rsidR="004C127E" w:rsidRPr="000E5786" w:rsidRDefault="004C127E" w:rsidP="00DD60F0">
            <w:pPr>
              <w:jc w:val="center"/>
              <w:rPr>
                <w:rFonts w:cs="Arial"/>
                <w:b/>
                <w:bCs/>
                <w:szCs w:val="20"/>
              </w:rPr>
            </w:pPr>
            <w:r w:rsidRPr="000E5786">
              <w:rPr>
                <w:rFonts w:cs="Arial"/>
                <w:b/>
                <w:bCs/>
                <w:szCs w:val="20"/>
              </w:rPr>
              <w:t>1</w:t>
            </w:r>
          </w:p>
        </w:tc>
        <w:tc>
          <w:tcPr>
            <w:tcW w:w="1276" w:type="dxa"/>
            <w:gridSpan w:val="2"/>
            <w:tcBorders>
              <w:top w:val="single" w:sz="8" w:space="0" w:color="auto"/>
              <w:left w:val="nil"/>
              <w:bottom w:val="single" w:sz="4" w:space="0" w:color="auto"/>
              <w:right w:val="single" w:sz="8" w:space="0" w:color="000000"/>
            </w:tcBorders>
            <w:shd w:val="clear" w:color="000000" w:fill="FFFFFF"/>
            <w:noWrap/>
            <w:vAlign w:val="center"/>
            <w:hideMark/>
          </w:tcPr>
          <w:p w14:paraId="0E555F61" w14:textId="77777777" w:rsidR="004C127E" w:rsidRPr="000E5786" w:rsidRDefault="004C127E" w:rsidP="00DD60F0">
            <w:pPr>
              <w:jc w:val="center"/>
              <w:rPr>
                <w:rFonts w:cs="Arial"/>
                <w:b/>
                <w:bCs/>
                <w:szCs w:val="20"/>
              </w:rPr>
            </w:pPr>
            <w:r w:rsidRPr="000E5786">
              <w:rPr>
                <w:rFonts w:cs="Arial"/>
                <w:b/>
                <w:bCs/>
                <w:szCs w:val="20"/>
              </w:rPr>
              <w:t>2</w:t>
            </w:r>
          </w:p>
        </w:tc>
        <w:tc>
          <w:tcPr>
            <w:tcW w:w="1276" w:type="dxa"/>
            <w:gridSpan w:val="2"/>
            <w:tcBorders>
              <w:top w:val="single" w:sz="8" w:space="0" w:color="auto"/>
              <w:left w:val="nil"/>
              <w:bottom w:val="single" w:sz="4" w:space="0" w:color="auto"/>
              <w:right w:val="single" w:sz="8" w:space="0" w:color="000000"/>
            </w:tcBorders>
            <w:shd w:val="clear" w:color="000000" w:fill="FFFFFF"/>
            <w:noWrap/>
            <w:vAlign w:val="center"/>
            <w:hideMark/>
          </w:tcPr>
          <w:p w14:paraId="7C38D2BE" w14:textId="77777777" w:rsidR="004C127E" w:rsidRPr="000E5786" w:rsidRDefault="004C127E" w:rsidP="00DD60F0">
            <w:pPr>
              <w:jc w:val="center"/>
              <w:rPr>
                <w:rFonts w:cs="Arial"/>
                <w:b/>
                <w:bCs/>
                <w:szCs w:val="20"/>
              </w:rPr>
            </w:pPr>
            <w:r w:rsidRPr="000E5786">
              <w:rPr>
                <w:rFonts w:cs="Arial"/>
                <w:b/>
                <w:bCs/>
                <w:szCs w:val="20"/>
              </w:rPr>
              <w:t>3</w:t>
            </w:r>
          </w:p>
        </w:tc>
        <w:tc>
          <w:tcPr>
            <w:tcW w:w="1559" w:type="dxa"/>
            <w:gridSpan w:val="2"/>
            <w:tcBorders>
              <w:top w:val="single" w:sz="8" w:space="0" w:color="auto"/>
              <w:left w:val="nil"/>
              <w:bottom w:val="single" w:sz="4" w:space="0" w:color="auto"/>
              <w:right w:val="single" w:sz="8" w:space="0" w:color="000000"/>
            </w:tcBorders>
            <w:shd w:val="clear" w:color="000000" w:fill="FFFFFF"/>
            <w:noWrap/>
            <w:vAlign w:val="center"/>
            <w:hideMark/>
          </w:tcPr>
          <w:p w14:paraId="2AF9C04E" w14:textId="77777777" w:rsidR="004C127E" w:rsidRPr="000E5786" w:rsidRDefault="004C127E" w:rsidP="00DD60F0">
            <w:pPr>
              <w:jc w:val="center"/>
              <w:rPr>
                <w:rFonts w:cs="Arial"/>
                <w:b/>
                <w:bCs/>
                <w:szCs w:val="20"/>
              </w:rPr>
            </w:pPr>
            <w:r w:rsidRPr="000E5786">
              <w:rPr>
                <w:rFonts w:cs="Arial"/>
                <w:b/>
                <w:bCs/>
                <w:szCs w:val="20"/>
              </w:rPr>
              <w:t>4</w:t>
            </w:r>
          </w:p>
        </w:tc>
        <w:tc>
          <w:tcPr>
            <w:tcW w:w="1559" w:type="dxa"/>
            <w:gridSpan w:val="2"/>
            <w:tcBorders>
              <w:top w:val="single" w:sz="8" w:space="0" w:color="auto"/>
              <w:left w:val="nil"/>
              <w:bottom w:val="single" w:sz="4" w:space="0" w:color="auto"/>
              <w:right w:val="single" w:sz="8" w:space="0" w:color="000000"/>
            </w:tcBorders>
            <w:shd w:val="clear" w:color="000000" w:fill="FFFFFF"/>
            <w:noWrap/>
            <w:vAlign w:val="center"/>
            <w:hideMark/>
          </w:tcPr>
          <w:p w14:paraId="4A533EC9" w14:textId="77777777" w:rsidR="004C127E" w:rsidRPr="000E5786" w:rsidRDefault="004C127E" w:rsidP="00DD60F0">
            <w:pPr>
              <w:jc w:val="center"/>
              <w:rPr>
                <w:rFonts w:cs="Arial"/>
                <w:b/>
                <w:bCs/>
                <w:szCs w:val="20"/>
              </w:rPr>
            </w:pPr>
            <w:r w:rsidRPr="000E5786">
              <w:rPr>
                <w:rFonts w:cs="Arial"/>
                <w:b/>
                <w:bCs/>
                <w:szCs w:val="20"/>
              </w:rPr>
              <w:t>5</w:t>
            </w:r>
          </w:p>
        </w:tc>
        <w:tc>
          <w:tcPr>
            <w:tcW w:w="1560" w:type="dxa"/>
            <w:gridSpan w:val="2"/>
            <w:tcBorders>
              <w:top w:val="single" w:sz="8" w:space="0" w:color="auto"/>
              <w:left w:val="nil"/>
              <w:bottom w:val="single" w:sz="4" w:space="0" w:color="auto"/>
              <w:right w:val="single" w:sz="8" w:space="0" w:color="000000"/>
            </w:tcBorders>
            <w:shd w:val="clear" w:color="000000" w:fill="FFFFFF"/>
            <w:noWrap/>
            <w:vAlign w:val="center"/>
            <w:hideMark/>
          </w:tcPr>
          <w:p w14:paraId="769C85AD" w14:textId="77777777" w:rsidR="004C127E" w:rsidRPr="000E5786" w:rsidRDefault="004C127E" w:rsidP="00DD60F0">
            <w:pPr>
              <w:jc w:val="center"/>
              <w:rPr>
                <w:rFonts w:cs="Arial"/>
                <w:b/>
                <w:bCs/>
                <w:szCs w:val="20"/>
              </w:rPr>
            </w:pPr>
            <w:r w:rsidRPr="000E5786">
              <w:rPr>
                <w:rFonts w:cs="Arial"/>
                <w:b/>
                <w:bCs/>
                <w:szCs w:val="20"/>
              </w:rPr>
              <w:t>6</w:t>
            </w:r>
          </w:p>
        </w:tc>
        <w:tc>
          <w:tcPr>
            <w:tcW w:w="1559" w:type="dxa"/>
            <w:gridSpan w:val="2"/>
            <w:tcBorders>
              <w:top w:val="single" w:sz="8" w:space="0" w:color="auto"/>
              <w:left w:val="nil"/>
              <w:bottom w:val="single" w:sz="4" w:space="0" w:color="auto"/>
              <w:right w:val="single" w:sz="8" w:space="0" w:color="000000"/>
            </w:tcBorders>
            <w:shd w:val="clear" w:color="000000" w:fill="FFFFFF"/>
            <w:noWrap/>
            <w:vAlign w:val="center"/>
            <w:hideMark/>
          </w:tcPr>
          <w:p w14:paraId="6DC123D3" w14:textId="77777777" w:rsidR="004C127E" w:rsidRPr="000E5786" w:rsidRDefault="004C127E" w:rsidP="00DD60F0">
            <w:pPr>
              <w:jc w:val="center"/>
              <w:rPr>
                <w:rFonts w:cs="Arial"/>
                <w:b/>
                <w:bCs/>
                <w:szCs w:val="20"/>
              </w:rPr>
            </w:pPr>
            <w:r w:rsidRPr="000E5786">
              <w:rPr>
                <w:rFonts w:cs="Arial"/>
                <w:b/>
                <w:bCs/>
                <w:szCs w:val="20"/>
              </w:rPr>
              <w:t>7</w:t>
            </w:r>
          </w:p>
        </w:tc>
      </w:tr>
      <w:tr w:rsidR="00FF2A36" w:rsidRPr="000E5786" w14:paraId="5CB32B20" w14:textId="77777777" w:rsidTr="00F15538">
        <w:trPr>
          <w:trHeight w:val="225"/>
        </w:trPr>
        <w:tc>
          <w:tcPr>
            <w:tcW w:w="1134" w:type="dxa"/>
            <w:tcBorders>
              <w:top w:val="nil"/>
              <w:left w:val="nil"/>
              <w:bottom w:val="nil"/>
              <w:right w:val="nil"/>
            </w:tcBorders>
            <w:shd w:val="clear" w:color="000000" w:fill="FFFFFF"/>
            <w:noWrap/>
            <w:vAlign w:val="bottom"/>
            <w:hideMark/>
          </w:tcPr>
          <w:p w14:paraId="75CEF84B" w14:textId="77777777" w:rsidR="004C127E" w:rsidRPr="000E5786" w:rsidRDefault="004C127E" w:rsidP="00DD60F0">
            <w:pPr>
              <w:rPr>
                <w:rFonts w:cs="Arial"/>
                <w:szCs w:val="20"/>
              </w:rPr>
            </w:pPr>
            <w:r w:rsidRPr="000E5786">
              <w:rPr>
                <w:rFonts w:cs="Arial"/>
                <w:szCs w:val="20"/>
              </w:rPr>
              <w:t> </w:t>
            </w:r>
          </w:p>
        </w:tc>
        <w:tc>
          <w:tcPr>
            <w:tcW w:w="1700" w:type="dxa"/>
            <w:tcBorders>
              <w:top w:val="nil"/>
              <w:left w:val="nil"/>
              <w:bottom w:val="nil"/>
              <w:right w:val="nil"/>
            </w:tcBorders>
            <w:shd w:val="clear" w:color="000000" w:fill="FFFFFF"/>
            <w:noWrap/>
            <w:vAlign w:val="bottom"/>
            <w:hideMark/>
          </w:tcPr>
          <w:p w14:paraId="20183CA6" w14:textId="77777777" w:rsidR="004C127E" w:rsidRPr="000E5786" w:rsidRDefault="004C127E" w:rsidP="00DD60F0">
            <w:pPr>
              <w:rPr>
                <w:rFonts w:cs="Arial"/>
                <w:szCs w:val="20"/>
              </w:rPr>
            </w:pPr>
            <w:r w:rsidRPr="000E5786">
              <w:rPr>
                <w:rFonts w:cs="Arial"/>
                <w:szCs w:val="20"/>
              </w:rPr>
              <w:t> </w:t>
            </w:r>
          </w:p>
        </w:tc>
        <w:tc>
          <w:tcPr>
            <w:tcW w:w="1560" w:type="dxa"/>
            <w:tcBorders>
              <w:top w:val="nil"/>
              <w:left w:val="nil"/>
              <w:bottom w:val="nil"/>
              <w:right w:val="nil"/>
            </w:tcBorders>
            <w:shd w:val="clear" w:color="000000" w:fill="FFFFFF"/>
            <w:noWrap/>
            <w:vAlign w:val="bottom"/>
            <w:hideMark/>
          </w:tcPr>
          <w:p w14:paraId="5CDB7941" w14:textId="77777777" w:rsidR="004C127E" w:rsidRPr="000E5786" w:rsidRDefault="004C127E" w:rsidP="00DD60F0">
            <w:pPr>
              <w:rPr>
                <w:rFonts w:cs="Arial"/>
                <w:szCs w:val="20"/>
              </w:rPr>
            </w:pPr>
            <w:r w:rsidRPr="000E5786">
              <w:rPr>
                <w:rFonts w:cs="Arial"/>
                <w:szCs w:val="20"/>
              </w:rPr>
              <w:t> </w:t>
            </w:r>
          </w:p>
        </w:tc>
        <w:tc>
          <w:tcPr>
            <w:tcW w:w="851" w:type="dxa"/>
            <w:vMerge/>
            <w:tcBorders>
              <w:top w:val="single" w:sz="8" w:space="0" w:color="auto"/>
              <w:left w:val="single" w:sz="8" w:space="0" w:color="auto"/>
              <w:bottom w:val="single" w:sz="8" w:space="0" w:color="000000"/>
              <w:right w:val="single" w:sz="8" w:space="0" w:color="auto"/>
            </w:tcBorders>
            <w:vAlign w:val="center"/>
            <w:hideMark/>
          </w:tcPr>
          <w:p w14:paraId="6AC7A15B" w14:textId="77777777" w:rsidR="004C127E" w:rsidRPr="000E5786" w:rsidRDefault="004C127E" w:rsidP="00DD60F0">
            <w:pPr>
              <w:rPr>
                <w:rFonts w:cs="Arial"/>
                <w:b/>
                <w:bCs/>
                <w:szCs w:val="20"/>
              </w:rPr>
            </w:pPr>
          </w:p>
        </w:tc>
        <w:tc>
          <w:tcPr>
            <w:tcW w:w="1132" w:type="dxa"/>
            <w:gridSpan w:val="2"/>
            <w:tcBorders>
              <w:top w:val="single" w:sz="4" w:space="0" w:color="auto"/>
              <w:left w:val="nil"/>
              <w:bottom w:val="single" w:sz="4" w:space="0" w:color="auto"/>
              <w:right w:val="single" w:sz="8" w:space="0" w:color="000000"/>
            </w:tcBorders>
            <w:shd w:val="clear" w:color="000000" w:fill="FFFFFF"/>
            <w:vAlign w:val="center"/>
            <w:hideMark/>
          </w:tcPr>
          <w:p w14:paraId="07860BBC" w14:textId="77777777" w:rsidR="004C127E" w:rsidRPr="000E5786" w:rsidRDefault="004C127E" w:rsidP="00DD60F0">
            <w:pPr>
              <w:jc w:val="center"/>
              <w:rPr>
                <w:rFonts w:cs="Arial"/>
                <w:b/>
                <w:bCs/>
                <w:szCs w:val="20"/>
              </w:rPr>
            </w:pPr>
            <w:r w:rsidRPr="000E5786">
              <w:rPr>
                <w:rFonts w:cs="Arial"/>
                <w:b/>
                <w:bCs/>
                <w:szCs w:val="20"/>
              </w:rPr>
              <w:t>Follow</w:t>
            </w:r>
          </w:p>
        </w:tc>
        <w:tc>
          <w:tcPr>
            <w:tcW w:w="1276" w:type="dxa"/>
            <w:gridSpan w:val="2"/>
            <w:tcBorders>
              <w:top w:val="single" w:sz="4" w:space="0" w:color="auto"/>
              <w:left w:val="nil"/>
              <w:bottom w:val="single" w:sz="4" w:space="0" w:color="auto"/>
              <w:right w:val="single" w:sz="8" w:space="0" w:color="000000"/>
            </w:tcBorders>
            <w:shd w:val="clear" w:color="000000" w:fill="FFFFFF"/>
            <w:vAlign w:val="center"/>
            <w:hideMark/>
          </w:tcPr>
          <w:p w14:paraId="3C7CDF86" w14:textId="77777777" w:rsidR="004C127E" w:rsidRPr="000E5786" w:rsidRDefault="004C127E" w:rsidP="00DD60F0">
            <w:pPr>
              <w:jc w:val="center"/>
              <w:rPr>
                <w:rFonts w:cs="Arial"/>
                <w:b/>
                <w:bCs/>
                <w:szCs w:val="20"/>
              </w:rPr>
            </w:pPr>
            <w:r w:rsidRPr="000E5786">
              <w:rPr>
                <w:rFonts w:cs="Arial"/>
                <w:b/>
                <w:bCs/>
                <w:szCs w:val="20"/>
              </w:rPr>
              <w:t>Assist</w:t>
            </w:r>
          </w:p>
        </w:tc>
        <w:tc>
          <w:tcPr>
            <w:tcW w:w="1276" w:type="dxa"/>
            <w:gridSpan w:val="2"/>
            <w:tcBorders>
              <w:top w:val="single" w:sz="4" w:space="0" w:color="auto"/>
              <w:left w:val="nil"/>
              <w:bottom w:val="single" w:sz="4" w:space="0" w:color="auto"/>
              <w:right w:val="single" w:sz="8" w:space="0" w:color="000000"/>
            </w:tcBorders>
            <w:shd w:val="clear" w:color="000000" w:fill="FFFFFF"/>
            <w:vAlign w:val="center"/>
            <w:hideMark/>
          </w:tcPr>
          <w:p w14:paraId="1D97E250" w14:textId="77777777" w:rsidR="004C127E" w:rsidRPr="000E5786" w:rsidRDefault="004C127E" w:rsidP="00DD60F0">
            <w:pPr>
              <w:jc w:val="center"/>
              <w:rPr>
                <w:rFonts w:cs="Arial"/>
                <w:b/>
                <w:bCs/>
                <w:szCs w:val="20"/>
              </w:rPr>
            </w:pPr>
            <w:r w:rsidRPr="000E5786">
              <w:rPr>
                <w:rFonts w:cs="Arial"/>
                <w:b/>
                <w:bCs/>
                <w:szCs w:val="20"/>
              </w:rPr>
              <w:t>Apply</w:t>
            </w:r>
          </w:p>
        </w:tc>
        <w:tc>
          <w:tcPr>
            <w:tcW w:w="1559" w:type="dxa"/>
            <w:gridSpan w:val="2"/>
            <w:tcBorders>
              <w:top w:val="single" w:sz="4" w:space="0" w:color="auto"/>
              <w:left w:val="nil"/>
              <w:bottom w:val="single" w:sz="4" w:space="0" w:color="auto"/>
              <w:right w:val="single" w:sz="8" w:space="0" w:color="000000"/>
            </w:tcBorders>
            <w:shd w:val="clear" w:color="000000" w:fill="FFFFFF"/>
            <w:vAlign w:val="center"/>
            <w:hideMark/>
          </w:tcPr>
          <w:p w14:paraId="66D1C73D" w14:textId="77777777" w:rsidR="004C127E" w:rsidRPr="000E5786" w:rsidRDefault="004C127E" w:rsidP="00DD60F0">
            <w:pPr>
              <w:jc w:val="center"/>
              <w:rPr>
                <w:rFonts w:cs="Arial"/>
                <w:b/>
                <w:bCs/>
                <w:szCs w:val="20"/>
              </w:rPr>
            </w:pPr>
            <w:r w:rsidRPr="000E5786">
              <w:rPr>
                <w:rFonts w:cs="Arial"/>
                <w:b/>
                <w:bCs/>
                <w:szCs w:val="20"/>
              </w:rPr>
              <w:t>Enable</w:t>
            </w:r>
          </w:p>
        </w:tc>
        <w:tc>
          <w:tcPr>
            <w:tcW w:w="1559" w:type="dxa"/>
            <w:gridSpan w:val="2"/>
            <w:tcBorders>
              <w:top w:val="single" w:sz="4" w:space="0" w:color="auto"/>
              <w:left w:val="nil"/>
              <w:bottom w:val="single" w:sz="4" w:space="0" w:color="auto"/>
              <w:right w:val="single" w:sz="8" w:space="0" w:color="000000"/>
            </w:tcBorders>
            <w:shd w:val="clear" w:color="000000" w:fill="FFFFFF"/>
            <w:vAlign w:val="center"/>
            <w:hideMark/>
          </w:tcPr>
          <w:p w14:paraId="18D5677F" w14:textId="77777777" w:rsidR="004C127E" w:rsidRPr="000E5786" w:rsidRDefault="004C127E" w:rsidP="00DD60F0">
            <w:pPr>
              <w:jc w:val="center"/>
              <w:rPr>
                <w:rFonts w:cs="Arial"/>
                <w:b/>
                <w:bCs/>
                <w:szCs w:val="20"/>
              </w:rPr>
            </w:pPr>
            <w:r w:rsidRPr="000E5786">
              <w:rPr>
                <w:rFonts w:cs="Arial"/>
                <w:b/>
                <w:bCs/>
                <w:szCs w:val="20"/>
              </w:rPr>
              <w:t>Ensure, advise</w:t>
            </w:r>
          </w:p>
        </w:tc>
        <w:tc>
          <w:tcPr>
            <w:tcW w:w="1560" w:type="dxa"/>
            <w:gridSpan w:val="2"/>
            <w:tcBorders>
              <w:top w:val="single" w:sz="4" w:space="0" w:color="auto"/>
              <w:left w:val="nil"/>
              <w:bottom w:val="single" w:sz="4" w:space="0" w:color="auto"/>
              <w:right w:val="single" w:sz="8" w:space="0" w:color="000000"/>
            </w:tcBorders>
            <w:shd w:val="clear" w:color="000000" w:fill="FFFFFF"/>
            <w:vAlign w:val="center"/>
            <w:hideMark/>
          </w:tcPr>
          <w:p w14:paraId="4DF04209" w14:textId="77777777" w:rsidR="004C127E" w:rsidRPr="000E5786" w:rsidRDefault="004C127E" w:rsidP="00DD60F0">
            <w:pPr>
              <w:jc w:val="center"/>
              <w:rPr>
                <w:rFonts w:cs="Arial"/>
                <w:b/>
                <w:bCs/>
                <w:szCs w:val="20"/>
              </w:rPr>
            </w:pPr>
            <w:r w:rsidRPr="000E5786">
              <w:rPr>
                <w:rFonts w:cs="Arial"/>
                <w:b/>
                <w:bCs/>
                <w:szCs w:val="20"/>
              </w:rPr>
              <w:t>Initiate</w:t>
            </w:r>
          </w:p>
        </w:tc>
        <w:tc>
          <w:tcPr>
            <w:tcW w:w="1559" w:type="dxa"/>
            <w:gridSpan w:val="2"/>
            <w:tcBorders>
              <w:top w:val="single" w:sz="4" w:space="0" w:color="auto"/>
              <w:left w:val="nil"/>
              <w:bottom w:val="single" w:sz="4" w:space="0" w:color="auto"/>
              <w:right w:val="single" w:sz="8" w:space="0" w:color="000000"/>
            </w:tcBorders>
            <w:shd w:val="clear" w:color="000000" w:fill="FFFFFF"/>
            <w:vAlign w:val="center"/>
            <w:hideMark/>
          </w:tcPr>
          <w:p w14:paraId="15223760" w14:textId="77777777" w:rsidR="004C127E" w:rsidRPr="000E5786" w:rsidRDefault="004C127E" w:rsidP="00DD60F0">
            <w:pPr>
              <w:jc w:val="center"/>
              <w:rPr>
                <w:rFonts w:cs="Arial"/>
                <w:b/>
                <w:bCs/>
                <w:szCs w:val="20"/>
              </w:rPr>
            </w:pPr>
            <w:r w:rsidRPr="000E5786">
              <w:rPr>
                <w:rFonts w:cs="Arial"/>
                <w:b/>
                <w:bCs/>
                <w:szCs w:val="20"/>
              </w:rPr>
              <w:t>Set strategy</w:t>
            </w:r>
          </w:p>
        </w:tc>
      </w:tr>
      <w:tr w:rsidR="00A72177" w:rsidRPr="000E5786" w14:paraId="027369FB" w14:textId="77777777" w:rsidTr="00613818">
        <w:trPr>
          <w:trHeight w:val="240"/>
        </w:trPr>
        <w:tc>
          <w:tcPr>
            <w:tcW w:w="1134" w:type="dxa"/>
            <w:tcBorders>
              <w:top w:val="nil"/>
              <w:left w:val="nil"/>
              <w:bottom w:val="nil"/>
              <w:right w:val="nil"/>
            </w:tcBorders>
            <w:shd w:val="clear" w:color="000000" w:fill="FFFFFF"/>
            <w:noWrap/>
            <w:vAlign w:val="bottom"/>
            <w:hideMark/>
          </w:tcPr>
          <w:p w14:paraId="608A4EE1" w14:textId="77777777" w:rsidR="004C127E" w:rsidRPr="000E5786" w:rsidRDefault="004C127E" w:rsidP="00DD60F0">
            <w:pPr>
              <w:rPr>
                <w:rFonts w:cs="Arial"/>
                <w:szCs w:val="20"/>
              </w:rPr>
            </w:pPr>
            <w:r w:rsidRPr="000E5786">
              <w:rPr>
                <w:rFonts w:cs="Arial"/>
                <w:szCs w:val="20"/>
              </w:rPr>
              <w:t> </w:t>
            </w:r>
          </w:p>
        </w:tc>
        <w:tc>
          <w:tcPr>
            <w:tcW w:w="1700" w:type="dxa"/>
            <w:tcBorders>
              <w:top w:val="nil"/>
              <w:left w:val="nil"/>
              <w:bottom w:val="nil"/>
              <w:right w:val="nil"/>
            </w:tcBorders>
            <w:shd w:val="clear" w:color="000000" w:fill="FFFFFF"/>
            <w:noWrap/>
            <w:vAlign w:val="bottom"/>
            <w:hideMark/>
          </w:tcPr>
          <w:p w14:paraId="3500E8ED" w14:textId="77777777" w:rsidR="004C127E" w:rsidRPr="000E5786" w:rsidRDefault="004C127E" w:rsidP="00DD60F0">
            <w:pPr>
              <w:rPr>
                <w:rFonts w:cs="Arial"/>
                <w:szCs w:val="20"/>
              </w:rPr>
            </w:pPr>
            <w:r w:rsidRPr="000E5786">
              <w:rPr>
                <w:rFonts w:cs="Arial"/>
                <w:szCs w:val="20"/>
              </w:rPr>
              <w:t> </w:t>
            </w:r>
          </w:p>
        </w:tc>
        <w:tc>
          <w:tcPr>
            <w:tcW w:w="1560" w:type="dxa"/>
            <w:tcBorders>
              <w:top w:val="nil"/>
              <w:left w:val="nil"/>
              <w:bottom w:val="nil"/>
              <w:right w:val="nil"/>
            </w:tcBorders>
            <w:shd w:val="clear" w:color="000000" w:fill="FFFFFF"/>
            <w:noWrap/>
            <w:vAlign w:val="bottom"/>
            <w:hideMark/>
          </w:tcPr>
          <w:p w14:paraId="7EF4A81B" w14:textId="77777777" w:rsidR="004C127E" w:rsidRPr="000E5786" w:rsidRDefault="004C127E" w:rsidP="00DD60F0">
            <w:pPr>
              <w:rPr>
                <w:rFonts w:cs="Arial"/>
                <w:szCs w:val="20"/>
              </w:rPr>
            </w:pPr>
            <w:r w:rsidRPr="000E5786">
              <w:rPr>
                <w:rFonts w:cs="Arial"/>
                <w:szCs w:val="20"/>
              </w:rPr>
              <w:t> </w:t>
            </w:r>
          </w:p>
        </w:tc>
        <w:tc>
          <w:tcPr>
            <w:tcW w:w="851" w:type="dxa"/>
            <w:vMerge/>
            <w:tcBorders>
              <w:top w:val="single" w:sz="8" w:space="0" w:color="auto"/>
              <w:left w:val="single" w:sz="8" w:space="0" w:color="auto"/>
              <w:bottom w:val="single" w:sz="4" w:space="0" w:color="auto"/>
              <w:right w:val="single" w:sz="8" w:space="0" w:color="auto"/>
            </w:tcBorders>
            <w:vAlign w:val="center"/>
            <w:hideMark/>
          </w:tcPr>
          <w:p w14:paraId="0AE2161D" w14:textId="77777777" w:rsidR="004C127E" w:rsidRPr="000E5786" w:rsidRDefault="004C127E" w:rsidP="00DD60F0">
            <w:pPr>
              <w:rPr>
                <w:rFonts w:cs="Arial"/>
                <w:b/>
                <w:bCs/>
                <w:szCs w:val="20"/>
              </w:rPr>
            </w:pPr>
          </w:p>
        </w:tc>
        <w:tc>
          <w:tcPr>
            <w:tcW w:w="567" w:type="dxa"/>
            <w:tcBorders>
              <w:top w:val="nil"/>
              <w:left w:val="nil"/>
              <w:bottom w:val="nil"/>
              <w:right w:val="single" w:sz="4" w:space="0" w:color="auto"/>
            </w:tcBorders>
            <w:shd w:val="clear" w:color="000000" w:fill="FFFFFF"/>
            <w:vAlign w:val="center"/>
            <w:hideMark/>
          </w:tcPr>
          <w:p w14:paraId="1E770538" w14:textId="77777777" w:rsidR="004C127E" w:rsidRPr="000E5786" w:rsidRDefault="004C127E" w:rsidP="00DD60F0">
            <w:pPr>
              <w:jc w:val="center"/>
              <w:rPr>
                <w:rFonts w:cs="Arial"/>
                <w:b/>
                <w:bCs/>
                <w:szCs w:val="20"/>
              </w:rPr>
            </w:pPr>
            <w:r w:rsidRPr="000E5786">
              <w:rPr>
                <w:rFonts w:cs="Arial"/>
                <w:b/>
                <w:bCs/>
                <w:szCs w:val="20"/>
              </w:rPr>
              <w:t>ON</w:t>
            </w:r>
          </w:p>
        </w:tc>
        <w:tc>
          <w:tcPr>
            <w:tcW w:w="565" w:type="dxa"/>
            <w:tcBorders>
              <w:top w:val="nil"/>
              <w:left w:val="nil"/>
              <w:bottom w:val="nil"/>
              <w:right w:val="single" w:sz="8" w:space="0" w:color="auto"/>
            </w:tcBorders>
            <w:shd w:val="clear" w:color="000000" w:fill="FFFFFF"/>
            <w:vAlign w:val="center"/>
            <w:hideMark/>
          </w:tcPr>
          <w:p w14:paraId="570FEF0A" w14:textId="77777777" w:rsidR="004C127E" w:rsidRPr="000E5786" w:rsidRDefault="004C127E" w:rsidP="00DD60F0">
            <w:pPr>
              <w:jc w:val="center"/>
              <w:rPr>
                <w:rFonts w:cs="Arial"/>
                <w:b/>
                <w:bCs/>
                <w:szCs w:val="20"/>
              </w:rPr>
            </w:pPr>
            <w:r w:rsidRPr="000E5786">
              <w:rPr>
                <w:rFonts w:cs="Arial"/>
                <w:b/>
                <w:bCs/>
                <w:szCs w:val="20"/>
              </w:rPr>
              <w:t>OFF</w:t>
            </w:r>
          </w:p>
        </w:tc>
        <w:tc>
          <w:tcPr>
            <w:tcW w:w="567" w:type="dxa"/>
            <w:tcBorders>
              <w:top w:val="nil"/>
              <w:left w:val="nil"/>
              <w:bottom w:val="nil"/>
              <w:right w:val="single" w:sz="4" w:space="0" w:color="auto"/>
            </w:tcBorders>
            <w:shd w:val="clear" w:color="000000" w:fill="FFFFFF"/>
            <w:vAlign w:val="center"/>
            <w:hideMark/>
          </w:tcPr>
          <w:p w14:paraId="1952273B" w14:textId="77777777" w:rsidR="004C127E" w:rsidRPr="000E5786" w:rsidRDefault="004C127E" w:rsidP="00DD60F0">
            <w:pPr>
              <w:jc w:val="center"/>
              <w:rPr>
                <w:rFonts w:cs="Arial"/>
                <w:b/>
                <w:bCs/>
                <w:szCs w:val="20"/>
              </w:rPr>
            </w:pPr>
            <w:r w:rsidRPr="000E5786">
              <w:rPr>
                <w:rFonts w:cs="Arial"/>
                <w:b/>
                <w:bCs/>
                <w:szCs w:val="20"/>
              </w:rPr>
              <w:t>ON</w:t>
            </w:r>
          </w:p>
        </w:tc>
        <w:tc>
          <w:tcPr>
            <w:tcW w:w="709" w:type="dxa"/>
            <w:tcBorders>
              <w:top w:val="nil"/>
              <w:left w:val="nil"/>
              <w:bottom w:val="nil"/>
              <w:right w:val="single" w:sz="8" w:space="0" w:color="auto"/>
            </w:tcBorders>
            <w:shd w:val="clear" w:color="000000" w:fill="FFFFFF"/>
            <w:vAlign w:val="center"/>
            <w:hideMark/>
          </w:tcPr>
          <w:p w14:paraId="7FB7B8AE" w14:textId="77777777" w:rsidR="004C127E" w:rsidRPr="000E5786" w:rsidRDefault="004C127E" w:rsidP="00DD60F0">
            <w:pPr>
              <w:jc w:val="center"/>
              <w:rPr>
                <w:rFonts w:cs="Arial"/>
                <w:b/>
                <w:bCs/>
                <w:szCs w:val="20"/>
              </w:rPr>
            </w:pPr>
            <w:r w:rsidRPr="000E5786">
              <w:rPr>
                <w:rFonts w:cs="Arial"/>
                <w:b/>
                <w:bCs/>
                <w:szCs w:val="20"/>
              </w:rPr>
              <w:t>OFF</w:t>
            </w:r>
          </w:p>
        </w:tc>
        <w:tc>
          <w:tcPr>
            <w:tcW w:w="567" w:type="dxa"/>
            <w:tcBorders>
              <w:top w:val="nil"/>
              <w:left w:val="nil"/>
              <w:bottom w:val="nil"/>
              <w:right w:val="single" w:sz="4" w:space="0" w:color="auto"/>
            </w:tcBorders>
            <w:shd w:val="clear" w:color="000000" w:fill="FFFFFF"/>
            <w:vAlign w:val="center"/>
            <w:hideMark/>
          </w:tcPr>
          <w:p w14:paraId="4634D888" w14:textId="77777777" w:rsidR="004C127E" w:rsidRPr="000E5786" w:rsidRDefault="004C127E" w:rsidP="00DD60F0">
            <w:pPr>
              <w:jc w:val="center"/>
              <w:rPr>
                <w:rFonts w:cs="Arial"/>
                <w:b/>
                <w:bCs/>
                <w:szCs w:val="20"/>
              </w:rPr>
            </w:pPr>
            <w:r w:rsidRPr="000E5786">
              <w:rPr>
                <w:rFonts w:cs="Arial"/>
                <w:b/>
                <w:bCs/>
                <w:szCs w:val="20"/>
              </w:rPr>
              <w:t>ON</w:t>
            </w:r>
          </w:p>
        </w:tc>
        <w:tc>
          <w:tcPr>
            <w:tcW w:w="709" w:type="dxa"/>
            <w:tcBorders>
              <w:top w:val="nil"/>
              <w:left w:val="nil"/>
              <w:bottom w:val="nil"/>
              <w:right w:val="single" w:sz="8" w:space="0" w:color="auto"/>
            </w:tcBorders>
            <w:shd w:val="clear" w:color="000000" w:fill="FFFFFF"/>
            <w:vAlign w:val="center"/>
            <w:hideMark/>
          </w:tcPr>
          <w:p w14:paraId="7463B3D8" w14:textId="77777777" w:rsidR="004C127E" w:rsidRPr="000E5786" w:rsidRDefault="004C127E" w:rsidP="00DD60F0">
            <w:pPr>
              <w:jc w:val="center"/>
              <w:rPr>
                <w:rFonts w:cs="Arial"/>
                <w:b/>
                <w:bCs/>
                <w:szCs w:val="20"/>
              </w:rPr>
            </w:pPr>
            <w:r w:rsidRPr="000E5786">
              <w:rPr>
                <w:rFonts w:cs="Arial"/>
                <w:b/>
                <w:bCs/>
                <w:szCs w:val="20"/>
              </w:rPr>
              <w:t>OFF</w:t>
            </w:r>
          </w:p>
        </w:tc>
        <w:tc>
          <w:tcPr>
            <w:tcW w:w="850" w:type="dxa"/>
            <w:tcBorders>
              <w:top w:val="nil"/>
              <w:left w:val="nil"/>
              <w:bottom w:val="nil"/>
              <w:right w:val="single" w:sz="4" w:space="0" w:color="auto"/>
            </w:tcBorders>
            <w:shd w:val="clear" w:color="000000" w:fill="FFFFFF"/>
            <w:vAlign w:val="center"/>
            <w:hideMark/>
          </w:tcPr>
          <w:p w14:paraId="2FF74886" w14:textId="77777777" w:rsidR="004C127E" w:rsidRPr="000E5786" w:rsidRDefault="004C127E" w:rsidP="00DD60F0">
            <w:pPr>
              <w:jc w:val="center"/>
              <w:rPr>
                <w:rFonts w:cs="Arial"/>
                <w:b/>
                <w:bCs/>
                <w:szCs w:val="20"/>
              </w:rPr>
            </w:pPr>
            <w:r w:rsidRPr="000E5786">
              <w:rPr>
                <w:rFonts w:cs="Arial"/>
                <w:b/>
                <w:bCs/>
                <w:szCs w:val="20"/>
              </w:rPr>
              <w:t>ON</w:t>
            </w:r>
          </w:p>
        </w:tc>
        <w:tc>
          <w:tcPr>
            <w:tcW w:w="709" w:type="dxa"/>
            <w:tcBorders>
              <w:top w:val="nil"/>
              <w:left w:val="nil"/>
              <w:bottom w:val="nil"/>
              <w:right w:val="single" w:sz="8" w:space="0" w:color="auto"/>
            </w:tcBorders>
            <w:shd w:val="clear" w:color="000000" w:fill="FFFFFF"/>
            <w:vAlign w:val="center"/>
            <w:hideMark/>
          </w:tcPr>
          <w:p w14:paraId="3CA61B9D" w14:textId="77777777" w:rsidR="004C127E" w:rsidRPr="000E5786" w:rsidRDefault="004C127E" w:rsidP="00DD60F0">
            <w:pPr>
              <w:jc w:val="center"/>
              <w:rPr>
                <w:rFonts w:cs="Arial"/>
                <w:b/>
                <w:bCs/>
                <w:szCs w:val="20"/>
              </w:rPr>
            </w:pPr>
            <w:r w:rsidRPr="000E5786">
              <w:rPr>
                <w:rFonts w:cs="Arial"/>
                <w:b/>
                <w:bCs/>
                <w:szCs w:val="20"/>
              </w:rPr>
              <w:t>OFF</w:t>
            </w:r>
          </w:p>
        </w:tc>
        <w:tc>
          <w:tcPr>
            <w:tcW w:w="851" w:type="dxa"/>
            <w:tcBorders>
              <w:top w:val="nil"/>
              <w:left w:val="nil"/>
              <w:bottom w:val="nil"/>
              <w:right w:val="single" w:sz="4" w:space="0" w:color="auto"/>
            </w:tcBorders>
            <w:shd w:val="clear" w:color="000000" w:fill="FFFFFF"/>
            <w:vAlign w:val="center"/>
            <w:hideMark/>
          </w:tcPr>
          <w:p w14:paraId="4B7E3532" w14:textId="77777777" w:rsidR="004C127E" w:rsidRPr="000E5786" w:rsidRDefault="004C127E" w:rsidP="00DD60F0">
            <w:pPr>
              <w:jc w:val="center"/>
              <w:rPr>
                <w:rFonts w:cs="Arial"/>
                <w:b/>
                <w:bCs/>
                <w:szCs w:val="20"/>
              </w:rPr>
            </w:pPr>
            <w:r w:rsidRPr="000E5786">
              <w:rPr>
                <w:rFonts w:cs="Arial"/>
                <w:b/>
                <w:bCs/>
                <w:szCs w:val="20"/>
              </w:rPr>
              <w:t>ON</w:t>
            </w:r>
          </w:p>
        </w:tc>
        <w:tc>
          <w:tcPr>
            <w:tcW w:w="708" w:type="dxa"/>
            <w:tcBorders>
              <w:top w:val="nil"/>
              <w:left w:val="nil"/>
              <w:bottom w:val="nil"/>
              <w:right w:val="single" w:sz="8" w:space="0" w:color="auto"/>
            </w:tcBorders>
            <w:shd w:val="clear" w:color="000000" w:fill="FFFFFF"/>
            <w:vAlign w:val="center"/>
            <w:hideMark/>
          </w:tcPr>
          <w:p w14:paraId="43CB8CDD" w14:textId="77777777" w:rsidR="004C127E" w:rsidRPr="000E5786" w:rsidRDefault="004C127E" w:rsidP="00DD60F0">
            <w:pPr>
              <w:jc w:val="center"/>
              <w:rPr>
                <w:rFonts w:cs="Arial"/>
                <w:b/>
                <w:bCs/>
                <w:szCs w:val="20"/>
              </w:rPr>
            </w:pPr>
            <w:r w:rsidRPr="000E5786">
              <w:rPr>
                <w:rFonts w:cs="Arial"/>
                <w:b/>
                <w:bCs/>
                <w:szCs w:val="20"/>
              </w:rPr>
              <w:t>OFF</w:t>
            </w:r>
          </w:p>
        </w:tc>
        <w:tc>
          <w:tcPr>
            <w:tcW w:w="851" w:type="dxa"/>
            <w:tcBorders>
              <w:top w:val="nil"/>
              <w:left w:val="nil"/>
              <w:bottom w:val="nil"/>
              <w:right w:val="single" w:sz="4" w:space="0" w:color="auto"/>
            </w:tcBorders>
            <w:shd w:val="clear" w:color="000000" w:fill="FFFFFF"/>
            <w:vAlign w:val="center"/>
            <w:hideMark/>
          </w:tcPr>
          <w:p w14:paraId="72E7E1FC" w14:textId="77777777" w:rsidR="004C127E" w:rsidRPr="000E5786" w:rsidRDefault="004C127E" w:rsidP="00DD60F0">
            <w:pPr>
              <w:jc w:val="center"/>
              <w:rPr>
                <w:rFonts w:cs="Arial"/>
                <w:b/>
                <w:bCs/>
                <w:szCs w:val="20"/>
              </w:rPr>
            </w:pPr>
            <w:r w:rsidRPr="000E5786">
              <w:rPr>
                <w:rFonts w:cs="Arial"/>
                <w:b/>
                <w:bCs/>
                <w:szCs w:val="20"/>
              </w:rPr>
              <w:t>ON</w:t>
            </w:r>
          </w:p>
        </w:tc>
        <w:tc>
          <w:tcPr>
            <w:tcW w:w="709" w:type="dxa"/>
            <w:tcBorders>
              <w:top w:val="nil"/>
              <w:left w:val="nil"/>
              <w:bottom w:val="nil"/>
              <w:right w:val="single" w:sz="8" w:space="0" w:color="auto"/>
            </w:tcBorders>
            <w:shd w:val="clear" w:color="000000" w:fill="FFFFFF"/>
            <w:vAlign w:val="center"/>
            <w:hideMark/>
          </w:tcPr>
          <w:p w14:paraId="44D5695F" w14:textId="77777777" w:rsidR="004C127E" w:rsidRPr="000E5786" w:rsidRDefault="004C127E" w:rsidP="00DD60F0">
            <w:pPr>
              <w:jc w:val="center"/>
              <w:rPr>
                <w:rFonts w:cs="Arial"/>
                <w:b/>
                <w:bCs/>
                <w:szCs w:val="20"/>
              </w:rPr>
            </w:pPr>
            <w:r w:rsidRPr="000E5786">
              <w:rPr>
                <w:rFonts w:cs="Arial"/>
                <w:b/>
                <w:bCs/>
                <w:szCs w:val="20"/>
              </w:rPr>
              <w:t>OFF</w:t>
            </w:r>
          </w:p>
        </w:tc>
        <w:tc>
          <w:tcPr>
            <w:tcW w:w="850" w:type="dxa"/>
            <w:tcBorders>
              <w:top w:val="nil"/>
              <w:left w:val="nil"/>
              <w:bottom w:val="nil"/>
              <w:right w:val="single" w:sz="4" w:space="0" w:color="auto"/>
            </w:tcBorders>
            <w:shd w:val="clear" w:color="000000" w:fill="FFFFFF"/>
            <w:vAlign w:val="center"/>
            <w:hideMark/>
          </w:tcPr>
          <w:p w14:paraId="4A383FD9" w14:textId="77777777" w:rsidR="004C127E" w:rsidRPr="000E5786" w:rsidRDefault="004C127E" w:rsidP="00DD60F0">
            <w:pPr>
              <w:jc w:val="center"/>
              <w:rPr>
                <w:rFonts w:cs="Arial"/>
                <w:b/>
                <w:bCs/>
                <w:szCs w:val="20"/>
              </w:rPr>
            </w:pPr>
            <w:r w:rsidRPr="000E5786">
              <w:rPr>
                <w:rFonts w:cs="Arial"/>
                <w:b/>
                <w:bCs/>
                <w:szCs w:val="20"/>
              </w:rPr>
              <w:t>ON</w:t>
            </w:r>
          </w:p>
        </w:tc>
        <w:tc>
          <w:tcPr>
            <w:tcW w:w="709" w:type="dxa"/>
            <w:tcBorders>
              <w:top w:val="nil"/>
              <w:left w:val="nil"/>
              <w:bottom w:val="nil"/>
              <w:right w:val="single" w:sz="8" w:space="0" w:color="auto"/>
            </w:tcBorders>
            <w:shd w:val="clear" w:color="000000" w:fill="FFFFFF"/>
            <w:vAlign w:val="center"/>
            <w:hideMark/>
          </w:tcPr>
          <w:p w14:paraId="6AF6359B" w14:textId="77777777" w:rsidR="004C127E" w:rsidRPr="000E5786" w:rsidRDefault="004C127E" w:rsidP="00DD60F0">
            <w:pPr>
              <w:jc w:val="center"/>
              <w:rPr>
                <w:rFonts w:cs="Arial"/>
                <w:b/>
                <w:bCs/>
                <w:szCs w:val="20"/>
              </w:rPr>
            </w:pPr>
            <w:r w:rsidRPr="000E5786">
              <w:rPr>
                <w:rFonts w:cs="Arial"/>
                <w:b/>
                <w:bCs/>
                <w:szCs w:val="20"/>
              </w:rPr>
              <w:t>OFF</w:t>
            </w:r>
          </w:p>
        </w:tc>
      </w:tr>
      <w:tr w:rsidR="00A72177" w:rsidRPr="000E5786" w14:paraId="6C79D66E" w14:textId="77777777" w:rsidTr="00613818">
        <w:trPr>
          <w:trHeight w:val="225"/>
        </w:trPr>
        <w:tc>
          <w:tcPr>
            <w:tcW w:w="1134" w:type="dxa"/>
            <w:vMerge w:val="restart"/>
            <w:tcBorders>
              <w:top w:val="single" w:sz="8" w:space="0" w:color="auto"/>
              <w:left w:val="single" w:sz="8" w:space="0" w:color="auto"/>
              <w:bottom w:val="single" w:sz="4" w:space="0" w:color="auto"/>
              <w:right w:val="single" w:sz="8" w:space="0" w:color="auto"/>
            </w:tcBorders>
            <w:shd w:val="clear" w:color="auto" w:fill="auto"/>
            <w:textDirection w:val="btLr"/>
            <w:vAlign w:val="center"/>
            <w:hideMark/>
          </w:tcPr>
          <w:p w14:paraId="20B5809A" w14:textId="77777777" w:rsidR="004C127E" w:rsidRPr="000E5786" w:rsidRDefault="004C127E" w:rsidP="00AC4874">
            <w:pPr>
              <w:ind w:left="113" w:right="-114" w:firstLine="0"/>
              <w:jc w:val="center"/>
              <w:rPr>
                <w:rFonts w:cs="Arial"/>
                <w:b/>
                <w:bCs/>
                <w:szCs w:val="20"/>
              </w:rPr>
            </w:pPr>
            <w:r w:rsidRPr="000E5786">
              <w:rPr>
                <w:rFonts w:cs="Arial"/>
                <w:b/>
                <w:bCs/>
                <w:szCs w:val="20"/>
              </w:rPr>
              <w:t>Strategy and architecture</w:t>
            </w:r>
          </w:p>
        </w:tc>
        <w:tc>
          <w:tcPr>
            <w:tcW w:w="170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6E13532F" w14:textId="77777777" w:rsidR="004C127E" w:rsidRPr="000E5786" w:rsidRDefault="004C127E" w:rsidP="00AC4874">
            <w:pPr>
              <w:ind w:left="0" w:right="-103" w:firstLine="0"/>
              <w:jc w:val="center"/>
              <w:rPr>
                <w:rFonts w:cs="Arial"/>
                <w:b/>
                <w:bCs/>
                <w:szCs w:val="20"/>
              </w:rPr>
            </w:pPr>
            <w:r w:rsidRPr="000E5786">
              <w:rPr>
                <w:rFonts w:cs="Arial"/>
                <w:b/>
                <w:bCs/>
                <w:szCs w:val="20"/>
              </w:rPr>
              <w:t>Information strategy</w:t>
            </w:r>
          </w:p>
        </w:tc>
        <w:tc>
          <w:tcPr>
            <w:tcW w:w="1560" w:type="dxa"/>
            <w:tcBorders>
              <w:top w:val="single" w:sz="8" w:space="0" w:color="auto"/>
              <w:left w:val="nil"/>
              <w:bottom w:val="single" w:sz="4" w:space="0" w:color="auto"/>
              <w:right w:val="single" w:sz="4" w:space="0" w:color="auto"/>
            </w:tcBorders>
            <w:shd w:val="clear" w:color="auto" w:fill="auto"/>
            <w:noWrap/>
            <w:vAlign w:val="bottom"/>
            <w:hideMark/>
          </w:tcPr>
          <w:p w14:paraId="766B2E9A" w14:textId="77777777" w:rsidR="004C127E" w:rsidRPr="000E5786" w:rsidRDefault="004C127E" w:rsidP="00AC4874">
            <w:pPr>
              <w:ind w:left="0" w:right="32" w:firstLine="0"/>
              <w:jc w:val="left"/>
              <w:rPr>
                <w:rFonts w:cs="Arial"/>
                <w:szCs w:val="20"/>
              </w:rPr>
            </w:pPr>
            <w:r w:rsidRPr="000E5786">
              <w:rPr>
                <w:rFonts w:cs="Arial"/>
                <w:szCs w:val="20"/>
              </w:rPr>
              <w:t>IT Governance</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8E7C5F5" w14:textId="77777777" w:rsidR="004C127E" w:rsidRPr="000E5786" w:rsidRDefault="004C127E" w:rsidP="00DD60F0">
            <w:pPr>
              <w:jc w:val="center"/>
              <w:rPr>
                <w:rFonts w:cs="Arial"/>
                <w:szCs w:val="20"/>
              </w:rPr>
            </w:pPr>
            <w:r w:rsidRPr="000E5786">
              <w:rPr>
                <w:rFonts w:cs="Arial"/>
                <w:szCs w:val="20"/>
              </w:rPr>
              <w:t>GOVN</w:t>
            </w:r>
          </w:p>
        </w:tc>
        <w:tc>
          <w:tcPr>
            <w:tcW w:w="567" w:type="dxa"/>
            <w:tcBorders>
              <w:top w:val="single" w:sz="8" w:space="0" w:color="auto"/>
              <w:left w:val="single" w:sz="4" w:space="0" w:color="auto"/>
              <w:bottom w:val="single" w:sz="4" w:space="0" w:color="auto"/>
              <w:right w:val="single" w:sz="4" w:space="0" w:color="auto"/>
            </w:tcBorders>
            <w:shd w:val="clear" w:color="000000" w:fill="FFFF00"/>
            <w:noWrap/>
            <w:vAlign w:val="bottom"/>
            <w:hideMark/>
          </w:tcPr>
          <w:p w14:paraId="3EA1ECCB" w14:textId="24C73D2B" w:rsidR="004C127E" w:rsidRPr="000E5786" w:rsidRDefault="004C127E" w:rsidP="00DD60F0">
            <w:pPr>
              <w:rPr>
                <w:rFonts w:cs="Arial"/>
                <w:szCs w:val="20"/>
              </w:rPr>
            </w:pPr>
            <w:r w:rsidRPr="000E5786">
              <w:rPr>
                <w:rFonts w:cs="Arial"/>
                <w:szCs w:val="20"/>
              </w:rPr>
              <w:t xml:space="preserve">495 </w:t>
            </w:r>
          </w:p>
        </w:tc>
        <w:tc>
          <w:tcPr>
            <w:tcW w:w="565" w:type="dxa"/>
            <w:tcBorders>
              <w:top w:val="single" w:sz="8" w:space="0" w:color="auto"/>
              <w:left w:val="nil"/>
              <w:bottom w:val="single" w:sz="4" w:space="0" w:color="auto"/>
              <w:right w:val="single" w:sz="8" w:space="0" w:color="auto"/>
            </w:tcBorders>
            <w:shd w:val="clear" w:color="000000" w:fill="FFFF00"/>
            <w:noWrap/>
            <w:vAlign w:val="bottom"/>
            <w:hideMark/>
          </w:tcPr>
          <w:p w14:paraId="650608B4" w14:textId="0A82531F" w:rsidR="004C127E" w:rsidRPr="000E5786" w:rsidRDefault="004C127E" w:rsidP="00DD60F0">
            <w:pPr>
              <w:rPr>
                <w:rFonts w:cs="Arial"/>
                <w:szCs w:val="20"/>
              </w:rPr>
            </w:pPr>
            <w:r w:rsidRPr="000E5786">
              <w:rPr>
                <w:rFonts w:cs="Arial"/>
                <w:szCs w:val="20"/>
              </w:rPr>
              <w:t xml:space="preserve">91 </w:t>
            </w:r>
          </w:p>
        </w:tc>
        <w:tc>
          <w:tcPr>
            <w:tcW w:w="567" w:type="dxa"/>
            <w:tcBorders>
              <w:top w:val="single" w:sz="8" w:space="0" w:color="auto"/>
              <w:left w:val="nil"/>
              <w:bottom w:val="single" w:sz="4" w:space="0" w:color="auto"/>
              <w:right w:val="single" w:sz="4" w:space="0" w:color="auto"/>
            </w:tcBorders>
            <w:shd w:val="clear" w:color="000000" w:fill="FFFF00"/>
            <w:noWrap/>
            <w:vAlign w:val="bottom"/>
            <w:hideMark/>
          </w:tcPr>
          <w:p w14:paraId="3388BCE1" w14:textId="44BB7E17" w:rsidR="004C127E" w:rsidRPr="000E5786" w:rsidRDefault="004C127E" w:rsidP="00DD60F0">
            <w:pPr>
              <w:rPr>
                <w:rFonts w:cs="Arial"/>
                <w:szCs w:val="20"/>
              </w:rPr>
            </w:pPr>
            <w:r w:rsidRPr="000E5786">
              <w:rPr>
                <w:rFonts w:cs="Arial"/>
                <w:szCs w:val="20"/>
              </w:rPr>
              <w:t xml:space="preserve">795 </w:t>
            </w:r>
          </w:p>
        </w:tc>
        <w:tc>
          <w:tcPr>
            <w:tcW w:w="709" w:type="dxa"/>
            <w:tcBorders>
              <w:top w:val="single" w:sz="8" w:space="0" w:color="auto"/>
              <w:left w:val="nil"/>
              <w:bottom w:val="single" w:sz="4" w:space="0" w:color="auto"/>
              <w:right w:val="single" w:sz="8" w:space="0" w:color="auto"/>
            </w:tcBorders>
            <w:shd w:val="clear" w:color="000000" w:fill="FFFF00"/>
            <w:noWrap/>
            <w:vAlign w:val="bottom"/>
            <w:hideMark/>
          </w:tcPr>
          <w:p w14:paraId="1FC2D543" w14:textId="67E10A2D" w:rsidR="004C127E" w:rsidRPr="000E5786" w:rsidRDefault="004C127E" w:rsidP="00DD60F0">
            <w:pPr>
              <w:rPr>
                <w:rFonts w:cs="Arial"/>
                <w:szCs w:val="20"/>
              </w:rPr>
            </w:pPr>
            <w:r w:rsidRPr="000E5786">
              <w:rPr>
                <w:rFonts w:cs="Arial"/>
                <w:szCs w:val="20"/>
              </w:rPr>
              <w:t xml:space="preserve">155 </w:t>
            </w:r>
          </w:p>
        </w:tc>
        <w:tc>
          <w:tcPr>
            <w:tcW w:w="567" w:type="dxa"/>
            <w:tcBorders>
              <w:top w:val="single" w:sz="8" w:space="0" w:color="auto"/>
              <w:left w:val="nil"/>
              <w:bottom w:val="single" w:sz="4" w:space="0" w:color="auto"/>
              <w:right w:val="single" w:sz="4" w:space="0" w:color="auto"/>
            </w:tcBorders>
            <w:shd w:val="clear" w:color="000000" w:fill="FFFF00"/>
            <w:noWrap/>
            <w:vAlign w:val="bottom"/>
            <w:hideMark/>
          </w:tcPr>
          <w:p w14:paraId="107C36CC" w14:textId="3F5047AD" w:rsidR="004C127E" w:rsidRPr="000E5786" w:rsidRDefault="004C127E" w:rsidP="00DD60F0">
            <w:pPr>
              <w:rPr>
                <w:rFonts w:cs="Arial"/>
                <w:szCs w:val="20"/>
              </w:rPr>
            </w:pPr>
            <w:r w:rsidRPr="000E5786">
              <w:rPr>
                <w:rFonts w:cs="Arial"/>
                <w:szCs w:val="20"/>
              </w:rPr>
              <w:t xml:space="preserve">995 </w:t>
            </w:r>
          </w:p>
        </w:tc>
        <w:tc>
          <w:tcPr>
            <w:tcW w:w="709" w:type="dxa"/>
            <w:tcBorders>
              <w:top w:val="single" w:sz="8" w:space="0" w:color="auto"/>
              <w:left w:val="nil"/>
              <w:bottom w:val="single" w:sz="4" w:space="0" w:color="auto"/>
              <w:right w:val="single" w:sz="8" w:space="0" w:color="auto"/>
            </w:tcBorders>
            <w:shd w:val="clear" w:color="000000" w:fill="FFFF00"/>
            <w:noWrap/>
            <w:vAlign w:val="bottom"/>
            <w:hideMark/>
          </w:tcPr>
          <w:p w14:paraId="084EE038" w14:textId="05DA7DD6" w:rsidR="004C127E" w:rsidRPr="000E5786" w:rsidRDefault="004C127E" w:rsidP="00DD60F0">
            <w:pPr>
              <w:rPr>
                <w:rFonts w:cs="Arial"/>
                <w:szCs w:val="20"/>
              </w:rPr>
            </w:pPr>
            <w:r w:rsidRPr="000E5786">
              <w:rPr>
                <w:rFonts w:cs="Arial"/>
                <w:szCs w:val="20"/>
              </w:rPr>
              <w:t xml:space="preserve">226 </w:t>
            </w:r>
          </w:p>
        </w:tc>
        <w:tc>
          <w:tcPr>
            <w:tcW w:w="850" w:type="dxa"/>
            <w:tcBorders>
              <w:top w:val="single" w:sz="8" w:space="0" w:color="auto"/>
              <w:left w:val="nil"/>
              <w:bottom w:val="single" w:sz="4" w:space="0" w:color="auto"/>
              <w:right w:val="single" w:sz="4" w:space="0" w:color="auto"/>
            </w:tcBorders>
            <w:shd w:val="clear" w:color="000000" w:fill="FFFF00"/>
            <w:noWrap/>
            <w:vAlign w:val="bottom"/>
            <w:hideMark/>
          </w:tcPr>
          <w:p w14:paraId="54FC68FC" w14:textId="2A1A20E2" w:rsidR="004C127E" w:rsidRPr="000E5786" w:rsidRDefault="004C127E" w:rsidP="00DD60F0">
            <w:pPr>
              <w:rPr>
                <w:rFonts w:cs="Arial"/>
                <w:szCs w:val="20"/>
              </w:rPr>
            </w:pPr>
            <w:r w:rsidRPr="000E5786">
              <w:rPr>
                <w:rFonts w:cs="Arial"/>
                <w:szCs w:val="20"/>
              </w:rPr>
              <w:t xml:space="preserve">1,195 </w:t>
            </w:r>
          </w:p>
        </w:tc>
        <w:tc>
          <w:tcPr>
            <w:tcW w:w="709" w:type="dxa"/>
            <w:tcBorders>
              <w:top w:val="single" w:sz="8" w:space="0" w:color="auto"/>
              <w:left w:val="nil"/>
              <w:bottom w:val="single" w:sz="4" w:space="0" w:color="auto"/>
              <w:right w:val="single" w:sz="8" w:space="0" w:color="auto"/>
            </w:tcBorders>
            <w:shd w:val="clear" w:color="000000" w:fill="FFFF00"/>
            <w:noWrap/>
            <w:vAlign w:val="bottom"/>
            <w:hideMark/>
          </w:tcPr>
          <w:p w14:paraId="72545E91" w14:textId="476C4309" w:rsidR="004C127E" w:rsidRPr="000E5786" w:rsidRDefault="004C127E" w:rsidP="00DD60F0">
            <w:pPr>
              <w:rPr>
                <w:rFonts w:cs="Arial"/>
                <w:szCs w:val="20"/>
              </w:rPr>
            </w:pPr>
            <w:r w:rsidRPr="000E5786">
              <w:rPr>
                <w:rFonts w:cs="Arial"/>
                <w:szCs w:val="20"/>
              </w:rPr>
              <w:t xml:space="preserve">321 </w:t>
            </w:r>
          </w:p>
        </w:tc>
        <w:tc>
          <w:tcPr>
            <w:tcW w:w="851" w:type="dxa"/>
            <w:tcBorders>
              <w:top w:val="single" w:sz="8" w:space="0" w:color="auto"/>
              <w:left w:val="nil"/>
              <w:bottom w:val="single" w:sz="4" w:space="0" w:color="auto"/>
              <w:right w:val="single" w:sz="4" w:space="0" w:color="auto"/>
            </w:tcBorders>
            <w:shd w:val="clear" w:color="000000" w:fill="FFFF00"/>
            <w:noWrap/>
            <w:vAlign w:val="bottom"/>
            <w:hideMark/>
          </w:tcPr>
          <w:p w14:paraId="29BCC468" w14:textId="1F548E4F" w:rsidR="004C127E" w:rsidRPr="000E5786" w:rsidRDefault="004C127E" w:rsidP="00DD60F0">
            <w:pPr>
              <w:rPr>
                <w:rFonts w:cs="Arial"/>
                <w:szCs w:val="20"/>
              </w:rPr>
            </w:pPr>
            <w:r w:rsidRPr="000E5786">
              <w:rPr>
                <w:rFonts w:cs="Arial"/>
                <w:szCs w:val="20"/>
              </w:rPr>
              <w:t xml:space="preserve">1,495 </w:t>
            </w:r>
          </w:p>
        </w:tc>
        <w:tc>
          <w:tcPr>
            <w:tcW w:w="708" w:type="dxa"/>
            <w:tcBorders>
              <w:top w:val="single" w:sz="8" w:space="0" w:color="auto"/>
              <w:left w:val="nil"/>
              <w:bottom w:val="single" w:sz="4" w:space="0" w:color="auto"/>
              <w:right w:val="single" w:sz="8" w:space="0" w:color="auto"/>
            </w:tcBorders>
            <w:shd w:val="clear" w:color="000000" w:fill="FFFF00"/>
            <w:noWrap/>
            <w:vAlign w:val="bottom"/>
            <w:hideMark/>
          </w:tcPr>
          <w:p w14:paraId="49C79AA1" w14:textId="09E41E9B" w:rsidR="004C127E" w:rsidRPr="000E5786" w:rsidRDefault="004C127E" w:rsidP="00DD60F0">
            <w:pPr>
              <w:rPr>
                <w:rFonts w:cs="Arial"/>
                <w:szCs w:val="20"/>
              </w:rPr>
            </w:pPr>
            <w:r w:rsidRPr="000E5786">
              <w:rPr>
                <w:rFonts w:cs="Arial"/>
                <w:szCs w:val="20"/>
              </w:rPr>
              <w:t xml:space="preserve">414 </w:t>
            </w:r>
          </w:p>
        </w:tc>
        <w:tc>
          <w:tcPr>
            <w:tcW w:w="851" w:type="dxa"/>
            <w:tcBorders>
              <w:top w:val="single" w:sz="8" w:space="0" w:color="auto"/>
              <w:left w:val="nil"/>
              <w:bottom w:val="single" w:sz="4" w:space="0" w:color="auto"/>
              <w:right w:val="single" w:sz="4" w:space="0" w:color="auto"/>
            </w:tcBorders>
            <w:shd w:val="clear" w:color="000000" w:fill="FFFF00"/>
            <w:noWrap/>
            <w:vAlign w:val="bottom"/>
            <w:hideMark/>
          </w:tcPr>
          <w:p w14:paraId="0983EBF5" w14:textId="0F76D2BD" w:rsidR="004C127E" w:rsidRPr="000E5786" w:rsidRDefault="004C127E" w:rsidP="00DD60F0">
            <w:pPr>
              <w:rPr>
                <w:rFonts w:cs="Arial"/>
                <w:szCs w:val="20"/>
              </w:rPr>
            </w:pPr>
            <w:r w:rsidRPr="000E5786">
              <w:rPr>
                <w:rFonts w:cs="Arial"/>
                <w:szCs w:val="20"/>
              </w:rPr>
              <w:t xml:space="preserve">1,699 </w:t>
            </w:r>
          </w:p>
        </w:tc>
        <w:tc>
          <w:tcPr>
            <w:tcW w:w="709" w:type="dxa"/>
            <w:tcBorders>
              <w:top w:val="single" w:sz="8" w:space="0" w:color="auto"/>
              <w:left w:val="nil"/>
              <w:bottom w:val="single" w:sz="4" w:space="0" w:color="auto"/>
              <w:right w:val="single" w:sz="8" w:space="0" w:color="auto"/>
            </w:tcBorders>
            <w:shd w:val="clear" w:color="000000" w:fill="FFFF00"/>
            <w:noWrap/>
            <w:vAlign w:val="bottom"/>
            <w:hideMark/>
          </w:tcPr>
          <w:p w14:paraId="24FFC4D6" w14:textId="5C7F5980" w:rsidR="004C127E" w:rsidRPr="000E5786" w:rsidRDefault="004C127E" w:rsidP="00DD60F0">
            <w:pPr>
              <w:rPr>
                <w:rFonts w:cs="Arial"/>
                <w:szCs w:val="20"/>
              </w:rPr>
            </w:pPr>
            <w:r w:rsidRPr="000E5786">
              <w:rPr>
                <w:rFonts w:cs="Arial"/>
                <w:szCs w:val="20"/>
              </w:rPr>
              <w:t xml:space="preserve">600 </w:t>
            </w:r>
          </w:p>
        </w:tc>
        <w:tc>
          <w:tcPr>
            <w:tcW w:w="850" w:type="dxa"/>
            <w:tcBorders>
              <w:top w:val="single" w:sz="8" w:space="0" w:color="auto"/>
              <w:left w:val="nil"/>
              <w:bottom w:val="single" w:sz="4" w:space="0" w:color="auto"/>
              <w:right w:val="single" w:sz="4" w:space="0" w:color="auto"/>
            </w:tcBorders>
            <w:shd w:val="clear" w:color="000000" w:fill="FFFF00"/>
            <w:noWrap/>
            <w:vAlign w:val="bottom"/>
            <w:hideMark/>
          </w:tcPr>
          <w:p w14:paraId="032F0D61" w14:textId="1C997039" w:rsidR="004C127E" w:rsidRPr="000E5786" w:rsidRDefault="004C127E" w:rsidP="00DD60F0">
            <w:pPr>
              <w:rPr>
                <w:rFonts w:cs="Arial"/>
                <w:szCs w:val="20"/>
              </w:rPr>
            </w:pPr>
            <w:r w:rsidRPr="000E5786">
              <w:rPr>
                <w:rFonts w:cs="Arial"/>
                <w:szCs w:val="20"/>
              </w:rPr>
              <w:t xml:space="preserve">1,995 </w:t>
            </w:r>
          </w:p>
        </w:tc>
        <w:tc>
          <w:tcPr>
            <w:tcW w:w="709" w:type="dxa"/>
            <w:tcBorders>
              <w:top w:val="single" w:sz="8" w:space="0" w:color="auto"/>
              <w:left w:val="nil"/>
              <w:bottom w:val="single" w:sz="4" w:space="0" w:color="auto"/>
              <w:right w:val="single" w:sz="8" w:space="0" w:color="auto"/>
            </w:tcBorders>
            <w:shd w:val="clear" w:color="000000" w:fill="FFFF00"/>
            <w:noWrap/>
            <w:vAlign w:val="bottom"/>
            <w:hideMark/>
          </w:tcPr>
          <w:p w14:paraId="3F20E83A" w14:textId="457303B0" w:rsidR="004C127E" w:rsidRPr="000E5786" w:rsidRDefault="004C127E" w:rsidP="00DD60F0">
            <w:pPr>
              <w:rPr>
                <w:rFonts w:cs="Arial"/>
                <w:szCs w:val="20"/>
              </w:rPr>
            </w:pPr>
            <w:r w:rsidRPr="000E5786">
              <w:rPr>
                <w:rFonts w:cs="Arial"/>
                <w:szCs w:val="20"/>
              </w:rPr>
              <w:t xml:space="preserve">755 </w:t>
            </w:r>
          </w:p>
        </w:tc>
      </w:tr>
      <w:tr w:rsidR="00A72177" w:rsidRPr="000E5786" w14:paraId="1BB3BF41" w14:textId="77777777" w:rsidTr="00613818">
        <w:trPr>
          <w:trHeight w:val="240"/>
        </w:trPr>
        <w:tc>
          <w:tcPr>
            <w:tcW w:w="1134" w:type="dxa"/>
            <w:vMerge/>
            <w:tcBorders>
              <w:top w:val="single" w:sz="8" w:space="0" w:color="auto"/>
              <w:left w:val="single" w:sz="8" w:space="0" w:color="auto"/>
              <w:bottom w:val="single" w:sz="4" w:space="0" w:color="auto"/>
              <w:right w:val="single" w:sz="8" w:space="0" w:color="auto"/>
            </w:tcBorders>
            <w:vAlign w:val="center"/>
            <w:hideMark/>
          </w:tcPr>
          <w:p w14:paraId="1924373E" w14:textId="77777777" w:rsidR="004C127E" w:rsidRPr="000E5786" w:rsidRDefault="004C127E" w:rsidP="00DD60F0">
            <w:pPr>
              <w:rPr>
                <w:rFonts w:cs="Arial"/>
                <w:b/>
                <w:bCs/>
                <w:szCs w:val="20"/>
              </w:rPr>
            </w:pPr>
          </w:p>
        </w:tc>
        <w:tc>
          <w:tcPr>
            <w:tcW w:w="1700" w:type="dxa"/>
            <w:vMerge/>
            <w:tcBorders>
              <w:top w:val="single" w:sz="8" w:space="0" w:color="auto"/>
              <w:left w:val="single" w:sz="8" w:space="0" w:color="auto"/>
              <w:bottom w:val="single" w:sz="8" w:space="0" w:color="000000"/>
              <w:right w:val="single" w:sz="4" w:space="0" w:color="auto"/>
            </w:tcBorders>
            <w:vAlign w:val="center"/>
            <w:hideMark/>
          </w:tcPr>
          <w:p w14:paraId="1D6813FA" w14:textId="77777777" w:rsidR="004C127E" w:rsidRPr="000E5786" w:rsidRDefault="004C127E" w:rsidP="00DD60F0">
            <w:pP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3CD3181D" w14:textId="77777777" w:rsidR="004C127E" w:rsidRPr="000E5786" w:rsidRDefault="004C127E" w:rsidP="00AC4874">
            <w:pPr>
              <w:ind w:left="0" w:right="32" w:firstLine="0"/>
              <w:jc w:val="left"/>
              <w:rPr>
                <w:rFonts w:cs="Arial"/>
                <w:szCs w:val="20"/>
              </w:rPr>
            </w:pPr>
            <w:r w:rsidRPr="000E5786">
              <w:rPr>
                <w:rFonts w:cs="Arial"/>
                <w:szCs w:val="20"/>
              </w:rPr>
              <w:t>IT strategy and planning</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950F684" w14:textId="77777777" w:rsidR="004C127E" w:rsidRPr="000E5786" w:rsidRDefault="004C127E" w:rsidP="00DD60F0">
            <w:pPr>
              <w:jc w:val="center"/>
              <w:rPr>
                <w:rFonts w:cs="Arial"/>
                <w:szCs w:val="20"/>
              </w:rPr>
            </w:pPr>
            <w:r w:rsidRPr="000E5786">
              <w:rPr>
                <w:rFonts w:cs="Arial"/>
                <w:szCs w:val="20"/>
              </w:rPr>
              <w:t>ITSP</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020DE19A" w14:textId="68614DA1"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69947489" w14:textId="77EBF965"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7F479052" w14:textId="32CB84B7"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7778A7DA" w14:textId="44AF1F0C"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6ACC3F05" w14:textId="0D46DC8A"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389A8127" w14:textId="7287510D"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1A598305" w14:textId="4C3D6565"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77042616" w14:textId="6A67AF54"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753620EF" w14:textId="26BE08FA"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389A7646" w14:textId="636B2207"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18B8223D" w14:textId="20056420"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6B064A96" w14:textId="09DEE397"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6B6840D2" w14:textId="46CDC1AA"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198B9A86" w14:textId="5E8B7E3B" w:rsidR="004C127E" w:rsidRPr="000E5786" w:rsidRDefault="004C127E" w:rsidP="00DD60F0">
            <w:pPr>
              <w:rPr>
                <w:rFonts w:cs="Arial"/>
                <w:szCs w:val="20"/>
              </w:rPr>
            </w:pPr>
            <w:r w:rsidRPr="000E5786">
              <w:rPr>
                <w:rFonts w:cs="Arial"/>
                <w:szCs w:val="20"/>
              </w:rPr>
              <w:t xml:space="preserve">414 </w:t>
            </w:r>
          </w:p>
        </w:tc>
      </w:tr>
      <w:tr w:rsidR="00A72177" w:rsidRPr="000E5786" w14:paraId="3B282B97" w14:textId="77777777" w:rsidTr="00613818">
        <w:trPr>
          <w:trHeight w:val="225"/>
        </w:trPr>
        <w:tc>
          <w:tcPr>
            <w:tcW w:w="1134" w:type="dxa"/>
            <w:vMerge/>
            <w:tcBorders>
              <w:top w:val="single" w:sz="8" w:space="0" w:color="auto"/>
              <w:left w:val="single" w:sz="8" w:space="0" w:color="auto"/>
              <w:bottom w:val="single" w:sz="4" w:space="0" w:color="auto"/>
              <w:right w:val="single" w:sz="8" w:space="0" w:color="auto"/>
            </w:tcBorders>
            <w:vAlign w:val="center"/>
            <w:hideMark/>
          </w:tcPr>
          <w:p w14:paraId="59BCD968" w14:textId="77777777" w:rsidR="004C127E" w:rsidRPr="000E5786" w:rsidRDefault="004C127E" w:rsidP="00DD60F0">
            <w:pPr>
              <w:rPr>
                <w:rFonts w:cs="Arial"/>
                <w:b/>
                <w:bCs/>
                <w:szCs w:val="20"/>
              </w:rPr>
            </w:pPr>
          </w:p>
        </w:tc>
        <w:tc>
          <w:tcPr>
            <w:tcW w:w="1700" w:type="dxa"/>
            <w:vMerge/>
            <w:tcBorders>
              <w:top w:val="single" w:sz="8" w:space="0" w:color="auto"/>
              <w:left w:val="single" w:sz="8" w:space="0" w:color="auto"/>
              <w:bottom w:val="single" w:sz="8" w:space="0" w:color="000000"/>
              <w:right w:val="single" w:sz="4" w:space="0" w:color="auto"/>
            </w:tcBorders>
            <w:vAlign w:val="center"/>
            <w:hideMark/>
          </w:tcPr>
          <w:p w14:paraId="3CED5ED8" w14:textId="77777777" w:rsidR="004C127E" w:rsidRPr="000E5786" w:rsidRDefault="004C127E" w:rsidP="00DD60F0">
            <w:pP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795C6C2B" w14:textId="77777777" w:rsidR="004C127E" w:rsidRPr="000E5786" w:rsidRDefault="004C127E" w:rsidP="00AC4874">
            <w:pPr>
              <w:ind w:left="0" w:right="32" w:firstLine="0"/>
              <w:jc w:val="left"/>
              <w:rPr>
                <w:rFonts w:cs="Arial"/>
                <w:szCs w:val="20"/>
              </w:rPr>
            </w:pPr>
            <w:r w:rsidRPr="000E5786">
              <w:rPr>
                <w:rFonts w:cs="Arial"/>
                <w:szCs w:val="20"/>
              </w:rPr>
              <w:t>Information management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9AE9672" w14:textId="77777777" w:rsidR="004C127E" w:rsidRPr="000E5786" w:rsidRDefault="004C127E" w:rsidP="00DD60F0">
            <w:pPr>
              <w:jc w:val="center"/>
              <w:rPr>
                <w:rFonts w:cs="Arial"/>
                <w:szCs w:val="20"/>
              </w:rPr>
            </w:pPr>
            <w:r w:rsidRPr="000E5786">
              <w:rPr>
                <w:rFonts w:cs="Arial"/>
                <w:szCs w:val="20"/>
              </w:rPr>
              <w:t>IRMG</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69CE71BF" w14:textId="287697B8"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2FEEA087" w14:textId="68A7321A"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70912359" w14:textId="7139FB7D"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0B05F20A" w14:textId="5871E7C4"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7E2321E7" w14:textId="24D51FB3"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24D88492" w14:textId="3C0AFADA"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21628D03" w14:textId="0C465C0F"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5CC879DD" w14:textId="02465D48"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11F801F5" w14:textId="60753E9D"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726FD257" w14:textId="0CEFF45E"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46E5589A" w14:textId="6C7E70C5"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6784F5AB" w14:textId="49B91F5D"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72D18646" w14:textId="5DF51EE8"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6B190D82" w14:textId="1FAF883E" w:rsidR="004C127E" w:rsidRPr="000E5786" w:rsidRDefault="004C127E" w:rsidP="00DD60F0">
            <w:pPr>
              <w:rPr>
                <w:rFonts w:cs="Arial"/>
                <w:szCs w:val="20"/>
              </w:rPr>
            </w:pPr>
            <w:r w:rsidRPr="000E5786">
              <w:rPr>
                <w:rFonts w:cs="Arial"/>
                <w:szCs w:val="20"/>
              </w:rPr>
              <w:t xml:space="preserve">414 </w:t>
            </w:r>
          </w:p>
        </w:tc>
      </w:tr>
      <w:tr w:rsidR="00A72177" w:rsidRPr="000E5786" w14:paraId="189DC191" w14:textId="77777777" w:rsidTr="00613818">
        <w:trPr>
          <w:trHeight w:val="240"/>
        </w:trPr>
        <w:tc>
          <w:tcPr>
            <w:tcW w:w="1134" w:type="dxa"/>
            <w:vMerge/>
            <w:tcBorders>
              <w:top w:val="single" w:sz="8" w:space="0" w:color="auto"/>
              <w:left w:val="single" w:sz="8" w:space="0" w:color="auto"/>
              <w:bottom w:val="single" w:sz="4" w:space="0" w:color="auto"/>
              <w:right w:val="single" w:sz="8" w:space="0" w:color="auto"/>
            </w:tcBorders>
            <w:vAlign w:val="center"/>
            <w:hideMark/>
          </w:tcPr>
          <w:p w14:paraId="0F1D00F9" w14:textId="77777777" w:rsidR="004C127E" w:rsidRPr="000E5786" w:rsidRDefault="004C127E" w:rsidP="00DD60F0">
            <w:pPr>
              <w:rPr>
                <w:rFonts w:cs="Arial"/>
                <w:b/>
                <w:bCs/>
                <w:szCs w:val="20"/>
              </w:rPr>
            </w:pPr>
          </w:p>
        </w:tc>
        <w:tc>
          <w:tcPr>
            <w:tcW w:w="1700" w:type="dxa"/>
            <w:vMerge/>
            <w:tcBorders>
              <w:top w:val="single" w:sz="8" w:space="0" w:color="auto"/>
              <w:left w:val="single" w:sz="8" w:space="0" w:color="auto"/>
              <w:bottom w:val="single" w:sz="8" w:space="0" w:color="000000"/>
              <w:right w:val="single" w:sz="4" w:space="0" w:color="auto"/>
            </w:tcBorders>
            <w:vAlign w:val="center"/>
            <w:hideMark/>
          </w:tcPr>
          <w:p w14:paraId="66BAFE03" w14:textId="77777777" w:rsidR="004C127E" w:rsidRPr="000E5786" w:rsidRDefault="004C127E" w:rsidP="00DD60F0">
            <w:pP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2EAFA3B7" w14:textId="77777777" w:rsidR="004C127E" w:rsidRPr="000E5786" w:rsidRDefault="004C127E" w:rsidP="00AC4874">
            <w:pPr>
              <w:ind w:left="0" w:right="32" w:firstLine="0"/>
              <w:jc w:val="left"/>
              <w:rPr>
                <w:rFonts w:cs="Arial"/>
                <w:szCs w:val="20"/>
              </w:rPr>
            </w:pPr>
            <w:r w:rsidRPr="000E5786">
              <w:rPr>
                <w:rFonts w:cs="Arial"/>
                <w:szCs w:val="20"/>
              </w:rPr>
              <w:t>Information systems coordination</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328692A" w14:textId="77777777" w:rsidR="004C127E" w:rsidRPr="000E5786" w:rsidRDefault="004C127E" w:rsidP="00DD60F0">
            <w:pPr>
              <w:jc w:val="center"/>
              <w:rPr>
                <w:rFonts w:cs="Arial"/>
                <w:szCs w:val="20"/>
              </w:rPr>
            </w:pPr>
            <w:r w:rsidRPr="000E5786">
              <w:rPr>
                <w:rFonts w:cs="Arial"/>
                <w:szCs w:val="20"/>
              </w:rPr>
              <w:t>ISCO</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6057473F" w14:textId="2C0A83D2"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0F5537AC" w14:textId="2A6FEC34"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534577A8" w14:textId="22C5435C"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2B0C4E63" w14:textId="04B5EA4E"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1227E417" w14:textId="51EA698F"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1F65FBB5" w14:textId="28E067C5"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26760ED2" w14:textId="43F9BBB8"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1A234D62" w14:textId="5EA362CD"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575C59D4" w14:textId="3D122DF6"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0CEF00D2" w14:textId="7D7A07E3"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47FF33DB" w14:textId="4D8D8148"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247541E9" w14:textId="0FD40E01"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416E49F5" w14:textId="5529E4E6"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3F180C54" w14:textId="433F2FA9" w:rsidR="004C127E" w:rsidRPr="000E5786" w:rsidRDefault="004C127E" w:rsidP="00DD60F0">
            <w:pPr>
              <w:rPr>
                <w:rFonts w:cs="Arial"/>
                <w:szCs w:val="20"/>
              </w:rPr>
            </w:pPr>
            <w:r w:rsidRPr="000E5786">
              <w:rPr>
                <w:rFonts w:cs="Arial"/>
                <w:szCs w:val="20"/>
              </w:rPr>
              <w:t xml:space="preserve">414 </w:t>
            </w:r>
          </w:p>
        </w:tc>
      </w:tr>
      <w:tr w:rsidR="00A72177" w:rsidRPr="000E5786" w14:paraId="192B0FDF" w14:textId="77777777" w:rsidTr="00613818">
        <w:trPr>
          <w:trHeight w:val="225"/>
        </w:trPr>
        <w:tc>
          <w:tcPr>
            <w:tcW w:w="1134" w:type="dxa"/>
            <w:vMerge/>
            <w:tcBorders>
              <w:top w:val="single" w:sz="8" w:space="0" w:color="auto"/>
              <w:left w:val="single" w:sz="8" w:space="0" w:color="auto"/>
              <w:bottom w:val="single" w:sz="4" w:space="0" w:color="auto"/>
              <w:right w:val="single" w:sz="8" w:space="0" w:color="auto"/>
            </w:tcBorders>
            <w:vAlign w:val="center"/>
            <w:hideMark/>
          </w:tcPr>
          <w:p w14:paraId="7717A35A" w14:textId="77777777" w:rsidR="004C127E" w:rsidRPr="000E5786" w:rsidRDefault="004C127E" w:rsidP="00DD60F0">
            <w:pPr>
              <w:rPr>
                <w:rFonts w:cs="Arial"/>
                <w:b/>
                <w:bCs/>
                <w:szCs w:val="20"/>
              </w:rPr>
            </w:pPr>
          </w:p>
        </w:tc>
        <w:tc>
          <w:tcPr>
            <w:tcW w:w="1700" w:type="dxa"/>
            <w:vMerge/>
            <w:tcBorders>
              <w:top w:val="single" w:sz="8" w:space="0" w:color="auto"/>
              <w:left w:val="single" w:sz="8" w:space="0" w:color="auto"/>
              <w:bottom w:val="single" w:sz="8" w:space="0" w:color="000000"/>
              <w:right w:val="single" w:sz="4" w:space="0" w:color="auto"/>
            </w:tcBorders>
            <w:vAlign w:val="center"/>
            <w:hideMark/>
          </w:tcPr>
          <w:p w14:paraId="60E29F11" w14:textId="77777777" w:rsidR="004C127E" w:rsidRPr="000E5786" w:rsidRDefault="004C127E" w:rsidP="00DD60F0">
            <w:pP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70FD3440" w14:textId="77777777" w:rsidR="004C127E" w:rsidRPr="000E5786" w:rsidRDefault="004C127E" w:rsidP="00AC4874">
            <w:pPr>
              <w:ind w:left="0" w:right="32" w:firstLine="0"/>
              <w:jc w:val="left"/>
              <w:rPr>
                <w:rFonts w:cs="Arial"/>
                <w:szCs w:val="20"/>
              </w:rPr>
            </w:pPr>
            <w:r w:rsidRPr="000E5786">
              <w:rPr>
                <w:rFonts w:cs="Arial"/>
                <w:szCs w:val="20"/>
              </w:rPr>
              <w:t>Information security</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CCA7CBA" w14:textId="77777777" w:rsidR="004C127E" w:rsidRPr="000E5786" w:rsidRDefault="004C127E" w:rsidP="00DD60F0">
            <w:pPr>
              <w:jc w:val="center"/>
              <w:rPr>
                <w:rFonts w:cs="Arial"/>
                <w:szCs w:val="20"/>
              </w:rPr>
            </w:pPr>
            <w:r w:rsidRPr="000E5786">
              <w:rPr>
                <w:rFonts w:cs="Arial"/>
                <w:szCs w:val="20"/>
              </w:rPr>
              <w:t>SCTY</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3F1FC09D" w14:textId="6A1433A5"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402D2718" w14:textId="240E2533"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1F419851" w14:textId="4DB5CA5A"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327D11AD" w14:textId="5220BAB5"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031BE0CF" w14:textId="4CA78DB1"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5F8C1933" w14:textId="52F39445"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1CAF959E" w14:textId="658BF427"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170BA1F2" w14:textId="45227B3F"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345088B2" w14:textId="56DEFC1F"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1098EEF5" w14:textId="437B221B"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5613DBC2" w14:textId="65D82E6A"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52E28881" w14:textId="317972B9"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579B8D56" w14:textId="1B32F15C"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0589F93B" w14:textId="0C621B36" w:rsidR="004C127E" w:rsidRPr="000E5786" w:rsidRDefault="004C127E" w:rsidP="00DD60F0">
            <w:pPr>
              <w:rPr>
                <w:rFonts w:cs="Arial"/>
                <w:szCs w:val="20"/>
              </w:rPr>
            </w:pPr>
            <w:r w:rsidRPr="000E5786">
              <w:rPr>
                <w:rFonts w:cs="Arial"/>
                <w:szCs w:val="20"/>
              </w:rPr>
              <w:t xml:space="preserve">414 </w:t>
            </w:r>
          </w:p>
        </w:tc>
      </w:tr>
      <w:tr w:rsidR="00A72177" w:rsidRPr="000E5786" w14:paraId="484353F0" w14:textId="77777777" w:rsidTr="00613818">
        <w:trPr>
          <w:trHeight w:val="225"/>
        </w:trPr>
        <w:tc>
          <w:tcPr>
            <w:tcW w:w="1134" w:type="dxa"/>
            <w:vMerge/>
            <w:tcBorders>
              <w:top w:val="single" w:sz="8" w:space="0" w:color="auto"/>
              <w:left w:val="single" w:sz="8" w:space="0" w:color="auto"/>
              <w:bottom w:val="single" w:sz="4" w:space="0" w:color="auto"/>
              <w:right w:val="single" w:sz="8" w:space="0" w:color="auto"/>
            </w:tcBorders>
            <w:vAlign w:val="center"/>
            <w:hideMark/>
          </w:tcPr>
          <w:p w14:paraId="240CA3C6" w14:textId="77777777" w:rsidR="004C127E" w:rsidRPr="000E5786" w:rsidRDefault="004C127E" w:rsidP="00DD60F0">
            <w:pPr>
              <w:rPr>
                <w:rFonts w:cs="Arial"/>
                <w:b/>
                <w:bCs/>
                <w:szCs w:val="20"/>
              </w:rPr>
            </w:pPr>
          </w:p>
        </w:tc>
        <w:tc>
          <w:tcPr>
            <w:tcW w:w="1700" w:type="dxa"/>
            <w:vMerge/>
            <w:tcBorders>
              <w:top w:val="single" w:sz="8" w:space="0" w:color="auto"/>
              <w:left w:val="single" w:sz="8" w:space="0" w:color="auto"/>
              <w:bottom w:val="single" w:sz="8" w:space="0" w:color="000000"/>
              <w:right w:val="single" w:sz="4" w:space="0" w:color="auto"/>
            </w:tcBorders>
            <w:vAlign w:val="center"/>
            <w:hideMark/>
          </w:tcPr>
          <w:p w14:paraId="13F39A88" w14:textId="77777777" w:rsidR="004C127E" w:rsidRPr="000E5786" w:rsidRDefault="004C127E" w:rsidP="00DD60F0">
            <w:pP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037BFE58" w14:textId="77777777" w:rsidR="004C127E" w:rsidRPr="000E5786" w:rsidRDefault="004C127E" w:rsidP="00AC4874">
            <w:pPr>
              <w:ind w:left="0" w:right="32" w:firstLine="0"/>
              <w:jc w:val="left"/>
              <w:rPr>
                <w:rFonts w:cs="Arial"/>
                <w:szCs w:val="20"/>
              </w:rPr>
            </w:pPr>
            <w:r w:rsidRPr="000E5786">
              <w:rPr>
                <w:rFonts w:cs="Arial"/>
                <w:szCs w:val="20"/>
              </w:rPr>
              <w:t>Information assurance</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6D92C84" w14:textId="77777777" w:rsidR="004C127E" w:rsidRPr="000E5786" w:rsidRDefault="004C127E" w:rsidP="00DD60F0">
            <w:pPr>
              <w:jc w:val="center"/>
              <w:rPr>
                <w:rFonts w:cs="Arial"/>
                <w:szCs w:val="20"/>
              </w:rPr>
            </w:pPr>
            <w:r w:rsidRPr="000E5786">
              <w:rPr>
                <w:rFonts w:cs="Arial"/>
                <w:szCs w:val="20"/>
              </w:rPr>
              <w:t>INAS</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148DA6C9" w14:textId="2ABA905B"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194436E7" w14:textId="16417BEF"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68FAF323" w14:textId="693C43B5"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7E4E80E5" w14:textId="47FE6652"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24B3C2B6" w14:textId="05A84364"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1F417ACA" w14:textId="232E0083"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2E10537A" w14:textId="36D6695F"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435F3CB9" w14:textId="5A953BCD"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37A95109" w14:textId="2A23FC98"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75969936" w14:textId="419E13E2"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2D80AFBE" w14:textId="686D9593"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3CE2E111" w14:textId="4F100563"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66E1293B" w14:textId="34AB90C4"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66F7B764" w14:textId="34DD74F6" w:rsidR="004C127E" w:rsidRPr="000E5786" w:rsidRDefault="004C127E" w:rsidP="00DD60F0">
            <w:pPr>
              <w:rPr>
                <w:rFonts w:cs="Arial"/>
                <w:szCs w:val="20"/>
              </w:rPr>
            </w:pPr>
            <w:r w:rsidRPr="000E5786">
              <w:rPr>
                <w:rFonts w:cs="Arial"/>
                <w:szCs w:val="20"/>
              </w:rPr>
              <w:t xml:space="preserve">414 </w:t>
            </w:r>
          </w:p>
        </w:tc>
      </w:tr>
      <w:tr w:rsidR="00A72177" w:rsidRPr="000E5786" w14:paraId="23687C0F" w14:textId="77777777" w:rsidTr="00613818">
        <w:trPr>
          <w:trHeight w:val="240"/>
        </w:trPr>
        <w:tc>
          <w:tcPr>
            <w:tcW w:w="1134" w:type="dxa"/>
            <w:vMerge/>
            <w:tcBorders>
              <w:top w:val="single" w:sz="8" w:space="0" w:color="auto"/>
              <w:left w:val="single" w:sz="8" w:space="0" w:color="auto"/>
              <w:bottom w:val="single" w:sz="4" w:space="0" w:color="auto"/>
              <w:right w:val="single" w:sz="8" w:space="0" w:color="auto"/>
            </w:tcBorders>
            <w:vAlign w:val="center"/>
            <w:hideMark/>
          </w:tcPr>
          <w:p w14:paraId="59F80B82" w14:textId="77777777" w:rsidR="004C127E" w:rsidRPr="000E5786" w:rsidRDefault="004C127E" w:rsidP="00DD60F0">
            <w:pPr>
              <w:rPr>
                <w:rFonts w:cs="Arial"/>
                <w:b/>
                <w:bCs/>
                <w:szCs w:val="20"/>
              </w:rPr>
            </w:pPr>
          </w:p>
        </w:tc>
        <w:tc>
          <w:tcPr>
            <w:tcW w:w="1700" w:type="dxa"/>
            <w:vMerge/>
            <w:tcBorders>
              <w:top w:val="single" w:sz="8" w:space="0" w:color="auto"/>
              <w:left w:val="single" w:sz="8" w:space="0" w:color="auto"/>
              <w:bottom w:val="single" w:sz="8" w:space="0" w:color="000000"/>
              <w:right w:val="single" w:sz="4" w:space="0" w:color="auto"/>
            </w:tcBorders>
            <w:vAlign w:val="center"/>
            <w:hideMark/>
          </w:tcPr>
          <w:p w14:paraId="1BDE5498" w14:textId="77777777" w:rsidR="004C127E" w:rsidRPr="000E5786" w:rsidRDefault="004C127E" w:rsidP="00DD60F0">
            <w:pP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3B6000F1" w14:textId="77777777" w:rsidR="004C127E" w:rsidRPr="000E5786" w:rsidRDefault="004C127E" w:rsidP="00AC4874">
            <w:pPr>
              <w:ind w:left="0" w:right="32" w:firstLine="0"/>
              <w:jc w:val="left"/>
              <w:rPr>
                <w:rFonts w:cs="Arial"/>
                <w:szCs w:val="20"/>
              </w:rPr>
            </w:pPr>
            <w:r w:rsidRPr="000E5786">
              <w:rPr>
                <w:rFonts w:cs="Arial"/>
                <w:szCs w:val="20"/>
              </w:rPr>
              <w:t>Analytics</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D110074" w14:textId="77777777" w:rsidR="004C127E" w:rsidRPr="000E5786" w:rsidRDefault="004C127E" w:rsidP="00DD60F0">
            <w:pPr>
              <w:jc w:val="center"/>
              <w:rPr>
                <w:rFonts w:cs="Arial"/>
                <w:szCs w:val="20"/>
              </w:rPr>
            </w:pPr>
            <w:r w:rsidRPr="000E5786">
              <w:rPr>
                <w:rFonts w:cs="Arial"/>
                <w:szCs w:val="20"/>
              </w:rPr>
              <w:t>INAN</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404B595A" w14:textId="6A706AD0"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25AFAB3D" w14:textId="75BE8A78"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5F48F8F5" w14:textId="29D326CA"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0D83B8E2" w14:textId="2483DD57"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11585C78" w14:textId="71CF10CB"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05E01B13" w14:textId="2FC432CF"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017B5337" w14:textId="14DDFACE"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73341801" w14:textId="22EB6EE1"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3089D2F4" w14:textId="3D097080"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326EB1EF" w14:textId="2A1CDDC1"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5BACE8C0" w14:textId="3074030A"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136A002B" w14:textId="6DA56CDF"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6495331B" w14:textId="7E4EA9D5"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4AD68992" w14:textId="2AD65647" w:rsidR="004C127E" w:rsidRPr="000E5786" w:rsidRDefault="004C127E" w:rsidP="00DD60F0">
            <w:pPr>
              <w:rPr>
                <w:rFonts w:cs="Arial"/>
                <w:szCs w:val="20"/>
              </w:rPr>
            </w:pPr>
            <w:r w:rsidRPr="000E5786">
              <w:rPr>
                <w:rFonts w:cs="Arial"/>
                <w:szCs w:val="20"/>
              </w:rPr>
              <w:t xml:space="preserve">414 </w:t>
            </w:r>
          </w:p>
        </w:tc>
      </w:tr>
      <w:tr w:rsidR="00A72177" w:rsidRPr="000E5786" w14:paraId="38C24461" w14:textId="77777777" w:rsidTr="00613818">
        <w:trPr>
          <w:trHeight w:val="240"/>
        </w:trPr>
        <w:tc>
          <w:tcPr>
            <w:tcW w:w="1134" w:type="dxa"/>
            <w:vMerge/>
            <w:tcBorders>
              <w:top w:val="single" w:sz="8" w:space="0" w:color="auto"/>
              <w:left w:val="single" w:sz="8" w:space="0" w:color="auto"/>
              <w:bottom w:val="single" w:sz="4" w:space="0" w:color="auto"/>
              <w:right w:val="single" w:sz="8" w:space="0" w:color="auto"/>
            </w:tcBorders>
            <w:vAlign w:val="center"/>
            <w:hideMark/>
          </w:tcPr>
          <w:p w14:paraId="7A6C1301" w14:textId="77777777" w:rsidR="004C127E" w:rsidRPr="000E5786" w:rsidRDefault="004C127E" w:rsidP="00DD60F0">
            <w:pPr>
              <w:rPr>
                <w:rFonts w:cs="Arial"/>
                <w:b/>
                <w:bCs/>
                <w:szCs w:val="20"/>
              </w:rPr>
            </w:pPr>
          </w:p>
        </w:tc>
        <w:tc>
          <w:tcPr>
            <w:tcW w:w="1700" w:type="dxa"/>
            <w:vMerge/>
            <w:tcBorders>
              <w:top w:val="single" w:sz="8" w:space="0" w:color="auto"/>
              <w:left w:val="single" w:sz="8" w:space="0" w:color="auto"/>
              <w:bottom w:val="single" w:sz="8" w:space="0" w:color="000000"/>
              <w:right w:val="single" w:sz="4" w:space="0" w:color="auto"/>
            </w:tcBorders>
            <w:vAlign w:val="center"/>
            <w:hideMark/>
          </w:tcPr>
          <w:p w14:paraId="1F21F91D" w14:textId="77777777" w:rsidR="004C127E" w:rsidRPr="000E5786" w:rsidRDefault="004C127E" w:rsidP="00DD60F0">
            <w:pPr>
              <w:rPr>
                <w:rFonts w:cs="Arial"/>
                <w:b/>
                <w:bCs/>
                <w:szCs w:val="20"/>
              </w:rPr>
            </w:pPr>
          </w:p>
        </w:tc>
        <w:tc>
          <w:tcPr>
            <w:tcW w:w="1560" w:type="dxa"/>
            <w:tcBorders>
              <w:top w:val="nil"/>
              <w:left w:val="nil"/>
              <w:bottom w:val="single" w:sz="8" w:space="0" w:color="auto"/>
              <w:right w:val="single" w:sz="4" w:space="0" w:color="auto"/>
            </w:tcBorders>
            <w:shd w:val="clear" w:color="auto" w:fill="auto"/>
            <w:noWrap/>
            <w:vAlign w:val="bottom"/>
            <w:hideMark/>
          </w:tcPr>
          <w:p w14:paraId="755E88CD" w14:textId="77777777" w:rsidR="004C127E" w:rsidRPr="000E5786" w:rsidRDefault="004C127E" w:rsidP="00AC4874">
            <w:pPr>
              <w:ind w:left="0" w:right="32" w:firstLine="0"/>
              <w:jc w:val="left"/>
              <w:rPr>
                <w:rFonts w:cs="Arial"/>
                <w:szCs w:val="20"/>
              </w:rPr>
            </w:pPr>
            <w:r w:rsidRPr="000E5786">
              <w:rPr>
                <w:rFonts w:cs="Arial"/>
                <w:szCs w:val="20"/>
              </w:rPr>
              <w:t>Information content publishing</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6B31450" w14:textId="77777777" w:rsidR="004C127E" w:rsidRPr="000E5786" w:rsidRDefault="004C127E" w:rsidP="00DD60F0">
            <w:pPr>
              <w:jc w:val="center"/>
              <w:rPr>
                <w:rFonts w:cs="Arial"/>
                <w:szCs w:val="20"/>
              </w:rPr>
            </w:pPr>
            <w:r w:rsidRPr="000E5786">
              <w:rPr>
                <w:rFonts w:cs="Arial"/>
                <w:szCs w:val="20"/>
              </w:rPr>
              <w:t>ICPM</w:t>
            </w:r>
          </w:p>
        </w:tc>
        <w:tc>
          <w:tcPr>
            <w:tcW w:w="567" w:type="dxa"/>
            <w:tcBorders>
              <w:top w:val="nil"/>
              <w:left w:val="single" w:sz="4" w:space="0" w:color="auto"/>
              <w:bottom w:val="single" w:sz="8" w:space="0" w:color="auto"/>
              <w:right w:val="single" w:sz="4" w:space="0" w:color="auto"/>
            </w:tcBorders>
            <w:shd w:val="clear" w:color="000000" w:fill="FFFF00"/>
            <w:noWrap/>
            <w:vAlign w:val="bottom"/>
            <w:hideMark/>
          </w:tcPr>
          <w:p w14:paraId="5F1F1402" w14:textId="7BB8AC0B"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8" w:space="0" w:color="auto"/>
              <w:right w:val="single" w:sz="8" w:space="0" w:color="auto"/>
            </w:tcBorders>
            <w:shd w:val="clear" w:color="000000" w:fill="FFFF00"/>
            <w:noWrap/>
            <w:vAlign w:val="bottom"/>
            <w:hideMark/>
          </w:tcPr>
          <w:p w14:paraId="464F6D7D" w14:textId="76AD226C"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8" w:space="0" w:color="auto"/>
              <w:right w:val="single" w:sz="4" w:space="0" w:color="auto"/>
            </w:tcBorders>
            <w:shd w:val="clear" w:color="000000" w:fill="FFFF00"/>
            <w:noWrap/>
            <w:vAlign w:val="bottom"/>
            <w:hideMark/>
          </w:tcPr>
          <w:p w14:paraId="7028294D" w14:textId="6B0E6FF5"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8" w:space="0" w:color="auto"/>
              <w:right w:val="single" w:sz="8" w:space="0" w:color="auto"/>
            </w:tcBorders>
            <w:shd w:val="clear" w:color="000000" w:fill="FFFF00"/>
            <w:noWrap/>
            <w:vAlign w:val="bottom"/>
            <w:hideMark/>
          </w:tcPr>
          <w:p w14:paraId="4FC56775" w14:textId="23EA0B68"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8" w:space="0" w:color="auto"/>
              <w:right w:val="single" w:sz="4" w:space="0" w:color="auto"/>
            </w:tcBorders>
            <w:shd w:val="clear" w:color="000000" w:fill="FFFF00"/>
            <w:noWrap/>
            <w:vAlign w:val="bottom"/>
            <w:hideMark/>
          </w:tcPr>
          <w:p w14:paraId="631ED057" w14:textId="64C462EE"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8" w:space="0" w:color="auto"/>
              <w:right w:val="single" w:sz="8" w:space="0" w:color="auto"/>
            </w:tcBorders>
            <w:shd w:val="clear" w:color="000000" w:fill="FFFF00"/>
            <w:noWrap/>
            <w:vAlign w:val="bottom"/>
            <w:hideMark/>
          </w:tcPr>
          <w:p w14:paraId="302B7578" w14:textId="5D142F9B"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8" w:space="0" w:color="auto"/>
              <w:right w:val="single" w:sz="4" w:space="0" w:color="auto"/>
            </w:tcBorders>
            <w:shd w:val="clear" w:color="000000" w:fill="FFFF00"/>
            <w:noWrap/>
            <w:vAlign w:val="bottom"/>
            <w:hideMark/>
          </w:tcPr>
          <w:p w14:paraId="0E464A99" w14:textId="6A7343C5"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8" w:space="0" w:color="auto"/>
              <w:right w:val="single" w:sz="8" w:space="0" w:color="auto"/>
            </w:tcBorders>
            <w:shd w:val="clear" w:color="000000" w:fill="FFFF00"/>
            <w:noWrap/>
            <w:vAlign w:val="bottom"/>
            <w:hideMark/>
          </w:tcPr>
          <w:p w14:paraId="39A8866E" w14:textId="62FBBD12"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8" w:space="0" w:color="auto"/>
              <w:right w:val="single" w:sz="4" w:space="0" w:color="auto"/>
            </w:tcBorders>
            <w:shd w:val="clear" w:color="000000" w:fill="FFFF00"/>
            <w:noWrap/>
            <w:vAlign w:val="bottom"/>
            <w:hideMark/>
          </w:tcPr>
          <w:p w14:paraId="113A024E" w14:textId="6E9159F1"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8" w:space="0" w:color="auto"/>
              <w:right w:val="single" w:sz="8" w:space="0" w:color="auto"/>
            </w:tcBorders>
            <w:shd w:val="clear" w:color="000000" w:fill="FFFF00"/>
            <w:noWrap/>
            <w:vAlign w:val="bottom"/>
            <w:hideMark/>
          </w:tcPr>
          <w:p w14:paraId="797723BA" w14:textId="59345CCC"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8" w:space="0" w:color="auto"/>
              <w:right w:val="single" w:sz="4" w:space="0" w:color="auto"/>
            </w:tcBorders>
            <w:shd w:val="clear" w:color="000000" w:fill="FFFF00"/>
            <w:noWrap/>
            <w:vAlign w:val="bottom"/>
            <w:hideMark/>
          </w:tcPr>
          <w:p w14:paraId="6AA29C04" w14:textId="48D8EDD4"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8" w:space="0" w:color="auto"/>
              <w:right w:val="single" w:sz="8" w:space="0" w:color="auto"/>
            </w:tcBorders>
            <w:shd w:val="clear" w:color="000000" w:fill="FFFF00"/>
            <w:noWrap/>
            <w:vAlign w:val="bottom"/>
            <w:hideMark/>
          </w:tcPr>
          <w:p w14:paraId="7B48329F" w14:textId="4528B130"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8" w:space="0" w:color="auto"/>
              <w:right w:val="single" w:sz="4" w:space="0" w:color="auto"/>
            </w:tcBorders>
            <w:shd w:val="clear" w:color="000000" w:fill="FFFF00"/>
            <w:noWrap/>
            <w:vAlign w:val="bottom"/>
            <w:hideMark/>
          </w:tcPr>
          <w:p w14:paraId="1BCAF08E" w14:textId="452249BE"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8" w:space="0" w:color="auto"/>
              <w:right w:val="single" w:sz="8" w:space="0" w:color="auto"/>
            </w:tcBorders>
            <w:shd w:val="clear" w:color="000000" w:fill="FFFF00"/>
            <w:noWrap/>
            <w:vAlign w:val="bottom"/>
            <w:hideMark/>
          </w:tcPr>
          <w:p w14:paraId="537B358D" w14:textId="4F73C68E" w:rsidR="004C127E" w:rsidRPr="000E5786" w:rsidRDefault="004C127E" w:rsidP="00DD60F0">
            <w:pPr>
              <w:rPr>
                <w:rFonts w:cs="Arial"/>
                <w:szCs w:val="20"/>
              </w:rPr>
            </w:pPr>
            <w:r w:rsidRPr="000E5786">
              <w:rPr>
                <w:rFonts w:cs="Arial"/>
                <w:szCs w:val="20"/>
              </w:rPr>
              <w:t xml:space="preserve">414 </w:t>
            </w:r>
          </w:p>
        </w:tc>
      </w:tr>
      <w:tr w:rsidR="00A72177" w:rsidRPr="000E5786" w14:paraId="338A15A4" w14:textId="77777777" w:rsidTr="00613818">
        <w:trPr>
          <w:trHeight w:val="225"/>
        </w:trPr>
        <w:tc>
          <w:tcPr>
            <w:tcW w:w="1134" w:type="dxa"/>
            <w:vMerge w:val="restart"/>
            <w:tcBorders>
              <w:top w:val="single" w:sz="8" w:space="0" w:color="auto"/>
              <w:left w:val="single" w:sz="8" w:space="0" w:color="auto"/>
              <w:bottom w:val="single" w:sz="4" w:space="0" w:color="auto"/>
              <w:right w:val="single" w:sz="8" w:space="0" w:color="auto"/>
            </w:tcBorders>
            <w:vAlign w:val="center"/>
            <w:hideMark/>
          </w:tcPr>
          <w:p w14:paraId="0FC61522" w14:textId="77777777" w:rsidR="004C127E" w:rsidRPr="000E5786" w:rsidRDefault="004C127E" w:rsidP="00380763">
            <w:pPr>
              <w:rPr>
                <w:rFonts w:cs="Arial"/>
                <w:b/>
                <w:bCs/>
                <w:szCs w:val="20"/>
              </w:rPr>
            </w:pPr>
          </w:p>
        </w:tc>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14:paraId="3D256F4D" w14:textId="77777777" w:rsidR="004C127E" w:rsidRPr="000E5786" w:rsidRDefault="004C127E" w:rsidP="00AC4874">
            <w:pPr>
              <w:ind w:left="0" w:firstLine="0"/>
              <w:jc w:val="left"/>
              <w:rPr>
                <w:rFonts w:cs="Arial"/>
                <w:b/>
                <w:bCs/>
                <w:szCs w:val="20"/>
              </w:rPr>
            </w:pPr>
            <w:r w:rsidRPr="000E5786">
              <w:rPr>
                <w:rFonts w:cs="Arial"/>
                <w:b/>
                <w:bCs/>
                <w:szCs w:val="20"/>
              </w:rPr>
              <w:t>Advice and guidance</w:t>
            </w:r>
          </w:p>
        </w:tc>
        <w:tc>
          <w:tcPr>
            <w:tcW w:w="1560" w:type="dxa"/>
            <w:tcBorders>
              <w:top w:val="nil"/>
              <w:left w:val="nil"/>
              <w:bottom w:val="single" w:sz="4" w:space="0" w:color="auto"/>
              <w:right w:val="single" w:sz="4" w:space="0" w:color="auto"/>
            </w:tcBorders>
            <w:shd w:val="clear" w:color="auto" w:fill="auto"/>
            <w:noWrap/>
            <w:vAlign w:val="bottom"/>
            <w:hideMark/>
          </w:tcPr>
          <w:p w14:paraId="602BAE6B" w14:textId="77777777" w:rsidR="004C127E" w:rsidRPr="000E5786" w:rsidRDefault="004C127E" w:rsidP="00DD60F0">
            <w:pPr>
              <w:rPr>
                <w:rFonts w:cs="Arial"/>
                <w:szCs w:val="20"/>
              </w:rPr>
            </w:pPr>
            <w:r w:rsidRPr="000E5786">
              <w:rPr>
                <w:rFonts w:cs="Arial"/>
                <w:szCs w:val="20"/>
              </w:rPr>
              <w:t>Consultancy</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6CF29B9" w14:textId="77777777" w:rsidR="004C127E" w:rsidRPr="000E5786" w:rsidRDefault="004C127E" w:rsidP="00DD60F0">
            <w:pPr>
              <w:jc w:val="center"/>
              <w:rPr>
                <w:rFonts w:cs="Arial"/>
                <w:szCs w:val="20"/>
              </w:rPr>
            </w:pPr>
            <w:r w:rsidRPr="000E5786">
              <w:rPr>
                <w:rFonts w:cs="Arial"/>
                <w:szCs w:val="20"/>
              </w:rPr>
              <w:t>CNSL</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5480526E" w14:textId="279508D5"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59E736F4" w14:textId="1B80A5A7"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16340530" w14:textId="315FBC14"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64B7AE0B" w14:textId="40BF1EE3"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759CD142" w14:textId="7F10B936"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1C14B515" w14:textId="3F9E4926"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6173B3E1" w14:textId="36690C73"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2EC8A2FE" w14:textId="770F62DA"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6221C576" w14:textId="2450458D"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44A11BE1" w14:textId="3688EB8B"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73B762AC" w14:textId="3DC10B9D"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5D515BD1" w14:textId="31E750E4"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153C3A2B" w14:textId="1216FFEA"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429043E9" w14:textId="1764799E" w:rsidR="004C127E" w:rsidRPr="000E5786" w:rsidRDefault="004C127E" w:rsidP="00DD60F0">
            <w:pPr>
              <w:rPr>
                <w:rFonts w:cs="Arial"/>
                <w:szCs w:val="20"/>
              </w:rPr>
            </w:pPr>
            <w:r w:rsidRPr="000E5786">
              <w:rPr>
                <w:rFonts w:cs="Arial"/>
                <w:szCs w:val="20"/>
              </w:rPr>
              <w:t xml:space="preserve">414 </w:t>
            </w:r>
          </w:p>
        </w:tc>
      </w:tr>
      <w:tr w:rsidR="00A72177" w:rsidRPr="000E5786" w14:paraId="03024F5D" w14:textId="77777777" w:rsidTr="00613818">
        <w:trPr>
          <w:trHeight w:val="541"/>
        </w:trPr>
        <w:tc>
          <w:tcPr>
            <w:tcW w:w="1134" w:type="dxa"/>
            <w:vMerge/>
            <w:tcBorders>
              <w:top w:val="single" w:sz="8" w:space="0" w:color="auto"/>
              <w:left w:val="single" w:sz="8" w:space="0" w:color="auto"/>
              <w:bottom w:val="single" w:sz="4" w:space="0" w:color="auto"/>
              <w:right w:val="single" w:sz="8" w:space="0" w:color="auto"/>
            </w:tcBorders>
            <w:vAlign w:val="center"/>
            <w:hideMark/>
          </w:tcPr>
          <w:p w14:paraId="536CFFCE"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179E69C4" w14:textId="77777777" w:rsidR="004C127E" w:rsidRPr="000E5786" w:rsidRDefault="004C127E" w:rsidP="00DD60F0">
            <w:pPr>
              <w:rPr>
                <w:rFonts w:cs="Arial"/>
                <w:b/>
                <w:bCs/>
                <w:szCs w:val="20"/>
              </w:rPr>
            </w:pPr>
          </w:p>
        </w:tc>
        <w:tc>
          <w:tcPr>
            <w:tcW w:w="1560" w:type="dxa"/>
            <w:tcBorders>
              <w:top w:val="nil"/>
              <w:left w:val="nil"/>
              <w:bottom w:val="single" w:sz="8" w:space="0" w:color="auto"/>
              <w:right w:val="single" w:sz="4" w:space="0" w:color="auto"/>
            </w:tcBorders>
            <w:shd w:val="clear" w:color="auto" w:fill="auto"/>
            <w:noWrap/>
            <w:vAlign w:val="bottom"/>
            <w:hideMark/>
          </w:tcPr>
          <w:p w14:paraId="334C3535" w14:textId="77777777" w:rsidR="004C127E" w:rsidRPr="000E5786" w:rsidRDefault="004C127E" w:rsidP="00AC4874">
            <w:pPr>
              <w:ind w:left="0" w:right="32" w:firstLine="0"/>
              <w:jc w:val="left"/>
              <w:rPr>
                <w:rFonts w:cs="Arial"/>
                <w:szCs w:val="20"/>
              </w:rPr>
            </w:pPr>
            <w:r w:rsidRPr="000E5786">
              <w:rPr>
                <w:rFonts w:cs="Arial"/>
                <w:szCs w:val="20"/>
              </w:rPr>
              <w:t>Technical specialism</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DA20427" w14:textId="77777777" w:rsidR="004C127E" w:rsidRPr="000E5786" w:rsidRDefault="004C127E" w:rsidP="00DD60F0">
            <w:pPr>
              <w:jc w:val="center"/>
              <w:rPr>
                <w:rFonts w:cs="Arial"/>
                <w:szCs w:val="20"/>
              </w:rPr>
            </w:pPr>
            <w:r w:rsidRPr="000E5786">
              <w:rPr>
                <w:rFonts w:cs="Arial"/>
                <w:szCs w:val="20"/>
              </w:rPr>
              <w:t>TECH</w:t>
            </w:r>
          </w:p>
        </w:tc>
        <w:tc>
          <w:tcPr>
            <w:tcW w:w="567" w:type="dxa"/>
            <w:tcBorders>
              <w:top w:val="nil"/>
              <w:left w:val="single" w:sz="4" w:space="0" w:color="auto"/>
              <w:bottom w:val="single" w:sz="8" w:space="0" w:color="auto"/>
              <w:right w:val="single" w:sz="4" w:space="0" w:color="auto"/>
            </w:tcBorders>
            <w:shd w:val="clear" w:color="000000" w:fill="FFFF00"/>
            <w:noWrap/>
            <w:vAlign w:val="bottom"/>
            <w:hideMark/>
          </w:tcPr>
          <w:p w14:paraId="1B86141A" w14:textId="049A726D"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8" w:space="0" w:color="auto"/>
              <w:right w:val="single" w:sz="8" w:space="0" w:color="auto"/>
            </w:tcBorders>
            <w:shd w:val="clear" w:color="000000" w:fill="FFFF00"/>
            <w:noWrap/>
            <w:vAlign w:val="bottom"/>
            <w:hideMark/>
          </w:tcPr>
          <w:p w14:paraId="01BDEB50" w14:textId="342472C6"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8" w:space="0" w:color="auto"/>
              <w:right w:val="single" w:sz="4" w:space="0" w:color="auto"/>
            </w:tcBorders>
            <w:shd w:val="clear" w:color="000000" w:fill="FFFF00"/>
            <w:noWrap/>
            <w:vAlign w:val="bottom"/>
            <w:hideMark/>
          </w:tcPr>
          <w:p w14:paraId="6DF90293" w14:textId="7553F217"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8" w:space="0" w:color="auto"/>
              <w:right w:val="single" w:sz="8" w:space="0" w:color="auto"/>
            </w:tcBorders>
            <w:shd w:val="clear" w:color="000000" w:fill="FFFF00"/>
            <w:noWrap/>
            <w:vAlign w:val="bottom"/>
            <w:hideMark/>
          </w:tcPr>
          <w:p w14:paraId="04E4A92F" w14:textId="307B463B"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8" w:space="0" w:color="auto"/>
              <w:right w:val="single" w:sz="4" w:space="0" w:color="auto"/>
            </w:tcBorders>
            <w:shd w:val="clear" w:color="000000" w:fill="FFFF00"/>
            <w:noWrap/>
            <w:vAlign w:val="bottom"/>
            <w:hideMark/>
          </w:tcPr>
          <w:p w14:paraId="533B2A25" w14:textId="75C2689A"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8" w:space="0" w:color="auto"/>
              <w:right w:val="single" w:sz="8" w:space="0" w:color="auto"/>
            </w:tcBorders>
            <w:shd w:val="clear" w:color="000000" w:fill="FFFF00"/>
            <w:noWrap/>
            <w:vAlign w:val="bottom"/>
            <w:hideMark/>
          </w:tcPr>
          <w:p w14:paraId="1FCC9E84" w14:textId="3E33CFDC"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8" w:space="0" w:color="auto"/>
              <w:right w:val="single" w:sz="4" w:space="0" w:color="auto"/>
            </w:tcBorders>
            <w:shd w:val="clear" w:color="000000" w:fill="FFFF00"/>
            <w:noWrap/>
            <w:vAlign w:val="bottom"/>
            <w:hideMark/>
          </w:tcPr>
          <w:p w14:paraId="07E9F5F7" w14:textId="64BA04C2"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8" w:space="0" w:color="auto"/>
              <w:right w:val="single" w:sz="8" w:space="0" w:color="auto"/>
            </w:tcBorders>
            <w:shd w:val="clear" w:color="000000" w:fill="FFFF00"/>
            <w:noWrap/>
            <w:vAlign w:val="bottom"/>
            <w:hideMark/>
          </w:tcPr>
          <w:p w14:paraId="358DA733" w14:textId="4F557E83"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8" w:space="0" w:color="auto"/>
              <w:right w:val="single" w:sz="4" w:space="0" w:color="auto"/>
            </w:tcBorders>
            <w:shd w:val="clear" w:color="000000" w:fill="FFFF00"/>
            <w:noWrap/>
            <w:vAlign w:val="bottom"/>
            <w:hideMark/>
          </w:tcPr>
          <w:p w14:paraId="16541849" w14:textId="1DE340FB"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8" w:space="0" w:color="auto"/>
              <w:right w:val="single" w:sz="8" w:space="0" w:color="auto"/>
            </w:tcBorders>
            <w:shd w:val="clear" w:color="000000" w:fill="FFFF00"/>
            <w:noWrap/>
            <w:vAlign w:val="bottom"/>
            <w:hideMark/>
          </w:tcPr>
          <w:p w14:paraId="33346A4F" w14:textId="3240AB69"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8" w:space="0" w:color="auto"/>
              <w:right w:val="single" w:sz="4" w:space="0" w:color="auto"/>
            </w:tcBorders>
            <w:shd w:val="clear" w:color="000000" w:fill="FFFF00"/>
            <w:noWrap/>
            <w:vAlign w:val="bottom"/>
            <w:hideMark/>
          </w:tcPr>
          <w:p w14:paraId="7CDF1E9B" w14:textId="75FCA6E5"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8" w:space="0" w:color="auto"/>
              <w:right w:val="single" w:sz="8" w:space="0" w:color="auto"/>
            </w:tcBorders>
            <w:shd w:val="clear" w:color="000000" w:fill="FFFF00"/>
            <w:noWrap/>
            <w:vAlign w:val="bottom"/>
            <w:hideMark/>
          </w:tcPr>
          <w:p w14:paraId="16A60C35" w14:textId="789B9187"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8" w:space="0" w:color="auto"/>
              <w:right w:val="single" w:sz="4" w:space="0" w:color="auto"/>
            </w:tcBorders>
            <w:shd w:val="clear" w:color="000000" w:fill="FFFF00"/>
            <w:noWrap/>
            <w:vAlign w:val="bottom"/>
            <w:hideMark/>
          </w:tcPr>
          <w:p w14:paraId="7B2F164E" w14:textId="032AEF71"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8" w:space="0" w:color="auto"/>
              <w:right w:val="single" w:sz="8" w:space="0" w:color="auto"/>
            </w:tcBorders>
            <w:shd w:val="clear" w:color="000000" w:fill="FFFF00"/>
            <w:noWrap/>
            <w:vAlign w:val="bottom"/>
            <w:hideMark/>
          </w:tcPr>
          <w:p w14:paraId="5877B25C" w14:textId="21307E38" w:rsidR="004C127E" w:rsidRPr="000E5786" w:rsidRDefault="004C127E" w:rsidP="00DD60F0">
            <w:pPr>
              <w:rPr>
                <w:rFonts w:cs="Arial"/>
                <w:szCs w:val="20"/>
              </w:rPr>
            </w:pPr>
            <w:r w:rsidRPr="000E5786">
              <w:rPr>
                <w:rFonts w:cs="Arial"/>
                <w:szCs w:val="20"/>
              </w:rPr>
              <w:t xml:space="preserve">414 </w:t>
            </w:r>
          </w:p>
        </w:tc>
      </w:tr>
      <w:tr w:rsidR="00A72177" w:rsidRPr="000E5786" w14:paraId="5F4184FA" w14:textId="77777777" w:rsidTr="00613818">
        <w:trPr>
          <w:trHeight w:val="225"/>
        </w:trPr>
        <w:tc>
          <w:tcPr>
            <w:tcW w:w="1134" w:type="dxa"/>
            <w:vMerge/>
            <w:tcBorders>
              <w:top w:val="single" w:sz="8" w:space="0" w:color="auto"/>
              <w:left w:val="single" w:sz="8" w:space="0" w:color="auto"/>
              <w:bottom w:val="single" w:sz="4" w:space="0" w:color="auto"/>
              <w:right w:val="single" w:sz="8" w:space="0" w:color="auto"/>
            </w:tcBorders>
            <w:vAlign w:val="center"/>
            <w:hideMark/>
          </w:tcPr>
          <w:p w14:paraId="0AAB5165" w14:textId="77777777" w:rsidR="004C127E" w:rsidRPr="000E5786" w:rsidRDefault="004C127E" w:rsidP="00DD60F0">
            <w:pPr>
              <w:rPr>
                <w:rFonts w:cs="Arial"/>
                <w:b/>
                <w:bCs/>
                <w:szCs w:val="20"/>
              </w:rPr>
            </w:pPr>
          </w:p>
        </w:tc>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14:paraId="695E426B" w14:textId="77777777" w:rsidR="004C127E" w:rsidRPr="000E5786" w:rsidRDefault="004C127E" w:rsidP="00AC4874">
            <w:pPr>
              <w:ind w:left="0" w:firstLine="0"/>
              <w:jc w:val="center"/>
              <w:rPr>
                <w:rFonts w:cs="Arial"/>
                <w:b/>
                <w:bCs/>
                <w:szCs w:val="20"/>
              </w:rPr>
            </w:pPr>
            <w:r w:rsidRPr="000E5786">
              <w:rPr>
                <w:rFonts w:cs="Arial"/>
                <w:b/>
                <w:bCs/>
                <w:szCs w:val="20"/>
              </w:rPr>
              <w:t>Business strategy and planning</w:t>
            </w:r>
          </w:p>
        </w:tc>
        <w:tc>
          <w:tcPr>
            <w:tcW w:w="1560" w:type="dxa"/>
            <w:tcBorders>
              <w:top w:val="nil"/>
              <w:left w:val="nil"/>
              <w:bottom w:val="single" w:sz="4" w:space="0" w:color="auto"/>
              <w:right w:val="single" w:sz="4" w:space="0" w:color="auto"/>
            </w:tcBorders>
            <w:shd w:val="clear" w:color="auto" w:fill="auto"/>
            <w:noWrap/>
            <w:vAlign w:val="bottom"/>
            <w:hideMark/>
          </w:tcPr>
          <w:p w14:paraId="6026F294" w14:textId="77777777" w:rsidR="004C127E" w:rsidRPr="000E5786" w:rsidRDefault="004C127E" w:rsidP="00DD60F0">
            <w:pPr>
              <w:rPr>
                <w:rFonts w:cs="Arial"/>
                <w:szCs w:val="20"/>
              </w:rPr>
            </w:pPr>
            <w:r w:rsidRPr="000E5786">
              <w:rPr>
                <w:rFonts w:cs="Arial"/>
                <w:szCs w:val="20"/>
              </w:rPr>
              <w:t>Research</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1350203" w14:textId="77777777" w:rsidR="004C127E" w:rsidRPr="000E5786" w:rsidRDefault="004C127E" w:rsidP="00DD60F0">
            <w:pPr>
              <w:jc w:val="center"/>
              <w:rPr>
                <w:rFonts w:cs="Arial"/>
                <w:szCs w:val="20"/>
              </w:rPr>
            </w:pPr>
            <w:r w:rsidRPr="000E5786">
              <w:rPr>
                <w:rFonts w:cs="Arial"/>
                <w:szCs w:val="20"/>
              </w:rPr>
              <w:t>RSCH</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799B1CA8" w14:textId="5C66FEB7"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4EA744A1" w14:textId="76469130"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0200A80A" w14:textId="0C3CCF0F"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6E3B290C" w14:textId="13E0263A"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6EA2B203" w14:textId="19274641"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72940935" w14:textId="12BEF486"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34323AA7" w14:textId="42B7620A"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0600F103" w14:textId="1038FDAA"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6D2AB97C" w14:textId="7568290A"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1B1AA922" w14:textId="37FB4D02"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68D74428" w14:textId="3EC6209D"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255EA553" w14:textId="51DE0D89"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3AF91F1E" w14:textId="4EBA2D31"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022BA40F" w14:textId="57648445" w:rsidR="004C127E" w:rsidRPr="000E5786" w:rsidRDefault="004C127E" w:rsidP="00DD60F0">
            <w:pPr>
              <w:rPr>
                <w:rFonts w:cs="Arial"/>
                <w:szCs w:val="20"/>
              </w:rPr>
            </w:pPr>
            <w:r w:rsidRPr="000E5786">
              <w:rPr>
                <w:rFonts w:cs="Arial"/>
                <w:szCs w:val="20"/>
              </w:rPr>
              <w:t xml:space="preserve">414 </w:t>
            </w:r>
          </w:p>
        </w:tc>
      </w:tr>
      <w:tr w:rsidR="00A72177" w:rsidRPr="000E5786" w14:paraId="21298F7D" w14:textId="77777777" w:rsidTr="00613818">
        <w:trPr>
          <w:trHeight w:val="240"/>
        </w:trPr>
        <w:tc>
          <w:tcPr>
            <w:tcW w:w="1134" w:type="dxa"/>
            <w:vMerge/>
            <w:tcBorders>
              <w:top w:val="single" w:sz="8" w:space="0" w:color="auto"/>
              <w:left w:val="single" w:sz="8" w:space="0" w:color="auto"/>
              <w:bottom w:val="single" w:sz="4" w:space="0" w:color="auto"/>
              <w:right w:val="single" w:sz="8" w:space="0" w:color="auto"/>
            </w:tcBorders>
            <w:vAlign w:val="center"/>
            <w:hideMark/>
          </w:tcPr>
          <w:p w14:paraId="6F974722"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1990CBCE" w14:textId="77777777" w:rsidR="004C127E" w:rsidRPr="000E5786" w:rsidRDefault="004C127E" w:rsidP="00DD60F0">
            <w:pP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62E75967" w14:textId="77777777" w:rsidR="004C127E" w:rsidRPr="000E5786" w:rsidRDefault="004C127E" w:rsidP="00AC4874">
            <w:pPr>
              <w:ind w:left="0" w:right="32" w:firstLine="0"/>
              <w:jc w:val="left"/>
              <w:rPr>
                <w:rFonts w:cs="Arial"/>
                <w:szCs w:val="20"/>
              </w:rPr>
            </w:pPr>
            <w:r w:rsidRPr="000E5786">
              <w:rPr>
                <w:rFonts w:cs="Arial"/>
                <w:szCs w:val="20"/>
              </w:rPr>
              <w:t>IT management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05DADC4" w14:textId="77777777" w:rsidR="004C127E" w:rsidRPr="000E5786" w:rsidRDefault="004C127E" w:rsidP="00DD60F0">
            <w:pPr>
              <w:jc w:val="center"/>
              <w:rPr>
                <w:rFonts w:cs="Arial"/>
                <w:szCs w:val="20"/>
              </w:rPr>
            </w:pPr>
            <w:r w:rsidRPr="000E5786">
              <w:rPr>
                <w:rFonts w:cs="Arial"/>
                <w:szCs w:val="20"/>
              </w:rPr>
              <w:t>ITMG</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04E020E2" w14:textId="4633323E"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255A2810" w14:textId="351B52EF"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0EBFBCDD" w14:textId="74496F91"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6CBD35F6" w14:textId="4049F839"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31CC09BE" w14:textId="70C487EF"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7B9E7CBC" w14:textId="3E9FC4E0"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0A2439C7" w14:textId="12509254"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2AC935FA" w14:textId="380A68E6"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04287185" w14:textId="026704DE"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1E97A98D" w14:textId="45326CCC"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3B503C79" w14:textId="3A84B823"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102CB4EB" w14:textId="1098E205"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1E254F60" w14:textId="5423A259"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1862CB9A" w14:textId="76180393" w:rsidR="004C127E" w:rsidRPr="000E5786" w:rsidRDefault="004C127E" w:rsidP="00DD60F0">
            <w:pPr>
              <w:rPr>
                <w:rFonts w:cs="Arial"/>
                <w:szCs w:val="20"/>
              </w:rPr>
            </w:pPr>
            <w:r w:rsidRPr="000E5786">
              <w:rPr>
                <w:rFonts w:cs="Arial"/>
                <w:szCs w:val="20"/>
              </w:rPr>
              <w:t xml:space="preserve">414 </w:t>
            </w:r>
          </w:p>
        </w:tc>
      </w:tr>
      <w:tr w:rsidR="00A72177" w:rsidRPr="000E5786" w14:paraId="102AFDFE" w14:textId="77777777" w:rsidTr="00613818">
        <w:trPr>
          <w:trHeight w:val="225"/>
        </w:trPr>
        <w:tc>
          <w:tcPr>
            <w:tcW w:w="1134" w:type="dxa"/>
            <w:vMerge/>
            <w:tcBorders>
              <w:top w:val="single" w:sz="8" w:space="0" w:color="auto"/>
              <w:left w:val="single" w:sz="8" w:space="0" w:color="auto"/>
              <w:bottom w:val="single" w:sz="4" w:space="0" w:color="auto"/>
              <w:right w:val="single" w:sz="8" w:space="0" w:color="auto"/>
            </w:tcBorders>
            <w:vAlign w:val="center"/>
            <w:hideMark/>
          </w:tcPr>
          <w:p w14:paraId="52727F42"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0D88E072" w14:textId="77777777" w:rsidR="004C127E" w:rsidRPr="000E5786" w:rsidRDefault="004C127E" w:rsidP="00DD60F0">
            <w:pP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5717243E" w14:textId="77777777" w:rsidR="004C127E" w:rsidRPr="000E5786" w:rsidRDefault="004C127E" w:rsidP="00AC4874">
            <w:pPr>
              <w:ind w:left="0" w:right="32" w:firstLine="0"/>
              <w:jc w:val="left"/>
              <w:rPr>
                <w:rFonts w:cs="Arial"/>
                <w:szCs w:val="20"/>
              </w:rPr>
            </w:pPr>
            <w:r w:rsidRPr="000E5786">
              <w:rPr>
                <w:rFonts w:cs="Arial"/>
                <w:szCs w:val="20"/>
              </w:rPr>
              <w:t>Financial management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DD64C85" w14:textId="77777777" w:rsidR="004C127E" w:rsidRPr="000E5786" w:rsidRDefault="004C127E" w:rsidP="00DD60F0">
            <w:pPr>
              <w:jc w:val="center"/>
              <w:rPr>
                <w:rFonts w:cs="Arial"/>
                <w:szCs w:val="20"/>
              </w:rPr>
            </w:pPr>
            <w:r w:rsidRPr="000E5786">
              <w:rPr>
                <w:rFonts w:cs="Arial"/>
                <w:szCs w:val="20"/>
              </w:rPr>
              <w:t>FMIT</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114256AC" w14:textId="124E170A"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3903BB7C" w14:textId="58D69F31"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5F3C43F6" w14:textId="3CA5FC5C"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26080BE3" w14:textId="46CF1BEE"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1DBCBCF0" w14:textId="126F5062"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6CA902E0" w14:textId="536B67B0"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2AE0345A" w14:textId="5A75AB98"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7645269A" w14:textId="6F44CC32"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55E6CDD7" w14:textId="3D5A7C2C"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1273A087" w14:textId="535A6DF0"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78E21256" w14:textId="4F3874BE"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13E66F65" w14:textId="43E36DB9"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0A4C3CCD" w14:textId="06F51DBD"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29C54669" w14:textId="048292BD" w:rsidR="004C127E" w:rsidRPr="000E5786" w:rsidRDefault="004C127E" w:rsidP="00DD60F0">
            <w:pPr>
              <w:rPr>
                <w:rFonts w:cs="Arial"/>
                <w:szCs w:val="20"/>
              </w:rPr>
            </w:pPr>
            <w:r w:rsidRPr="000E5786">
              <w:rPr>
                <w:rFonts w:cs="Arial"/>
                <w:szCs w:val="20"/>
              </w:rPr>
              <w:t xml:space="preserve">414 </w:t>
            </w:r>
          </w:p>
        </w:tc>
      </w:tr>
      <w:tr w:rsidR="00A72177" w:rsidRPr="000E5786" w14:paraId="64A66D82" w14:textId="77777777" w:rsidTr="00613818">
        <w:trPr>
          <w:trHeight w:val="225"/>
        </w:trPr>
        <w:tc>
          <w:tcPr>
            <w:tcW w:w="1134" w:type="dxa"/>
            <w:vMerge/>
            <w:tcBorders>
              <w:top w:val="single" w:sz="8" w:space="0" w:color="auto"/>
              <w:left w:val="single" w:sz="8" w:space="0" w:color="auto"/>
              <w:bottom w:val="single" w:sz="4" w:space="0" w:color="auto"/>
              <w:right w:val="single" w:sz="8" w:space="0" w:color="auto"/>
            </w:tcBorders>
            <w:vAlign w:val="center"/>
            <w:hideMark/>
          </w:tcPr>
          <w:p w14:paraId="5C5EB690"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388EA27B" w14:textId="77777777" w:rsidR="004C127E" w:rsidRPr="000E5786" w:rsidRDefault="004C127E" w:rsidP="00DD60F0">
            <w:pP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52FC1F4D" w14:textId="77777777" w:rsidR="004C127E" w:rsidRPr="000E5786" w:rsidRDefault="004C127E" w:rsidP="00AC4874">
            <w:pPr>
              <w:ind w:left="0" w:right="32" w:firstLine="0"/>
              <w:jc w:val="left"/>
              <w:rPr>
                <w:rFonts w:cs="Arial"/>
                <w:szCs w:val="20"/>
              </w:rPr>
            </w:pPr>
            <w:r w:rsidRPr="000E5786">
              <w:rPr>
                <w:rFonts w:cs="Arial"/>
                <w:szCs w:val="20"/>
              </w:rPr>
              <w:t>Innovation</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D49A5EA" w14:textId="77777777" w:rsidR="004C127E" w:rsidRPr="000E5786" w:rsidRDefault="004C127E" w:rsidP="00DD60F0">
            <w:pPr>
              <w:jc w:val="center"/>
              <w:rPr>
                <w:rFonts w:cs="Arial"/>
                <w:szCs w:val="20"/>
              </w:rPr>
            </w:pPr>
            <w:r w:rsidRPr="000E5786">
              <w:rPr>
                <w:rFonts w:cs="Arial"/>
                <w:szCs w:val="20"/>
              </w:rPr>
              <w:t>INOV</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7D6ECCC8" w14:textId="2043FD2E"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1EB31F80" w14:textId="6B54A11B"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58CC3B4E" w14:textId="28B56905"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2E0BF5F4" w14:textId="528AA0FC"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1BE76A95" w14:textId="2B4EB7EB"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17F0A0E9" w14:textId="05F27A15"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0559C8C4" w14:textId="42422496"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6077AA91" w14:textId="7E8267BA"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69D772B0" w14:textId="6BD25795"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0957A701" w14:textId="7F76E9A2"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02AE7568" w14:textId="0FEDEB75"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79DAD86A" w14:textId="356EA7DE"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5BAD5F35" w14:textId="712ACA9C"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252A5909" w14:textId="11ABB025" w:rsidR="004C127E" w:rsidRPr="000E5786" w:rsidRDefault="004C127E" w:rsidP="00DD60F0">
            <w:pPr>
              <w:rPr>
                <w:rFonts w:cs="Arial"/>
                <w:szCs w:val="20"/>
              </w:rPr>
            </w:pPr>
            <w:r w:rsidRPr="000E5786">
              <w:rPr>
                <w:rFonts w:cs="Arial"/>
                <w:szCs w:val="20"/>
              </w:rPr>
              <w:t xml:space="preserve">414 </w:t>
            </w:r>
          </w:p>
        </w:tc>
      </w:tr>
      <w:tr w:rsidR="00A72177" w:rsidRPr="000E5786" w14:paraId="785E7DAB" w14:textId="77777777" w:rsidTr="00613818">
        <w:trPr>
          <w:trHeight w:val="225"/>
        </w:trPr>
        <w:tc>
          <w:tcPr>
            <w:tcW w:w="1134" w:type="dxa"/>
            <w:vMerge/>
            <w:tcBorders>
              <w:top w:val="single" w:sz="8" w:space="0" w:color="auto"/>
              <w:left w:val="single" w:sz="8" w:space="0" w:color="auto"/>
              <w:bottom w:val="single" w:sz="4" w:space="0" w:color="auto"/>
              <w:right w:val="single" w:sz="8" w:space="0" w:color="auto"/>
            </w:tcBorders>
            <w:vAlign w:val="center"/>
            <w:hideMark/>
          </w:tcPr>
          <w:p w14:paraId="5FC3F9C1"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7C513FAB" w14:textId="77777777" w:rsidR="004C127E" w:rsidRPr="000E5786" w:rsidRDefault="004C127E" w:rsidP="00DD60F0">
            <w:pP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54048C2A" w14:textId="77777777" w:rsidR="004C127E" w:rsidRPr="000E5786" w:rsidRDefault="004C127E" w:rsidP="00AC4874">
            <w:pPr>
              <w:ind w:left="0" w:right="32" w:firstLine="0"/>
              <w:jc w:val="left"/>
              <w:rPr>
                <w:rFonts w:cs="Arial"/>
                <w:szCs w:val="20"/>
              </w:rPr>
            </w:pPr>
            <w:r w:rsidRPr="000E5786">
              <w:rPr>
                <w:rFonts w:cs="Arial"/>
                <w:szCs w:val="20"/>
              </w:rPr>
              <w:t>Business process improvement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D8209A3" w14:textId="77777777" w:rsidR="004C127E" w:rsidRPr="000E5786" w:rsidRDefault="004C127E" w:rsidP="00DD60F0">
            <w:pPr>
              <w:jc w:val="center"/>
              <w:rPr>
                <w:rFonts w:cs="Arial"/>
                <w:szCs w:val="20"/>
              </w:rPr>
            </w:pPr>
            <w:r w:rsidRPr="000E5786">
              <w:rPr>
                <w:rFonts w:cs="Arial"/>
                <w:szCs w:val="20"/>
              </w:rPr>
              <w:t>BPRE</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10B89F04" w14:textId="02913D75"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15B9060B" w14:textId="18EF65F5"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76298033" w14:textId="3327212D"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31282B2D" w14:textId="7F309C87"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6D0D208E" w14:textId="06F1D770"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2BA6E52B" w14:textId="06E2A8DA"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3CB26695" w14:textId="40745969"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2316324E" w14:textId="4A96DD0C"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25949B73" w14:textId="18AAEF47"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511C5EB2" w14:textId="70AA2911"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4869BD49" w14:textId="4AF66CCF"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1B8F8592" w14:textId="6AB90FF2"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6C03E2AA" w14:textId="58A5B372"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6C1B8F89" w14:textId="67E1F1E8" w:rsidR="004C127E" w:rsidRPr="000E5786" w:rsidRDefault="004C127E" w:rsidP="00DD60F0">
            <w:pPr>
              <w:rPr>
                <w:rFonts w:cs="Arial"/>
                <w:szCs w:val="20"/>
              </w:rPr>
            </w:pPr>
            <w:r w:rsidRPr="000E5786">
              <w:rPr>
                <w:rFonts w:cs="Arial"/>
                <w:szCs w:val="20"/>
              </w:rPr>
              <w:t xml:space="preserve">414 </w:t>
            </w:r>
          </w:p>
        </w:tc>
      </w:tr>
      <w:tr w:rsidR="00A72177" w:rsidRPr="000E5786" w14:paraId="237909D1" w14:textId="77777777" w:rsidTr="00613818">
        <w:trPr>
          <w:trHeight w:val="225"/>
        </w:trPr>
        <w:tc>
          <w:tcPr>
            <w:tcW w:w="1134" w:type="dxa"/>
            <w:vMerge/>
            <w:tcBorders>
              <w:top w:val="single" w:sz="8" w:space="0" w:color="auto"/>
              <w:left w:val="single" w:sz="8" w:space="0" w:color="auto"/>
              <w:bottom w:val="single" w:sz="4" w:space="0" w:color="auto"/>
              <w:right w:val="single" w:sz="8" w:space="0" w:color="auto"/>
            </w:tcBorders>
            <w:vAlign w:val="center"/>
            <w:hideMark/>
          </w:tcPr>
          <w:p w14:paraId="5C07EF8C"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377DB363" w14:textId="77777777" w:rsidR="004C127E" w:rsidRPr="000E5786" w:rsidRDefault="004C127E" w:rsidP="00DD60F0">
            <w:pP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6C57BB86" w14:textId="77777777" w:rsidR="004C127E" w:rsidRPr="000E5786" w:rsidRDefault="004C127E" w:rsidP="00AC4874">
            <w:pPr>
              <w:ind w:left="0" w:right="32" w:firstLine="0"/>
              <w:jc w:val="left"/>
              <w:rPr>
                <w:rFonts w:cs="Arial"/>
                <w:szCs w:val="20"/>
              </w:rPr>
            </w:pPr>
            <w:r w:rsidRPr="000E5786">
              <w:rPr>
                <w:rFonts w:cs="Arial"/>
                <w:szCs w:val="20"/>
              </w:rPr>
              <w:t>Enterprise and business architecture</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CC1E65B" w14:textId="77777777" w:rsidR="004C127E" w:rsidRPr="000E5786" w:rsidRDefault="004C127E" w:rsidP="00DD60F0">
            <w:pPr>
              <w:jc w:val="center"/>
              <w:rPr>
                <w:rFonts w:cs="Arial"/>
                <w:szCs w:val="20"/>
              </w:rPr>
            </w:pPr>
            <w:r w:rsidRPr="000E5786">
              <w:rPr>
                <w:rFonts w:cs="Arial"/>
                <w:szCs w:val="20"/>
              </w:rPr>
              <w:t>STPL</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35AF39CE" w14:textId="620A34C9"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1E495A59" w14:textId="3C97E540"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7F1BB8E2" w14:textId="2A42A71C"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6590AAEA" w14:textId="5A11B55C"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79F9B3BD" w14:textId="7467829B"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7B71469A" w14:textId="420A5BA3"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43AE8658" w14:textId="226A4246"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1964B650" w14:textId="617D4AE6"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47B2D475" w14:textId="1EAF40BC"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328D6B97" w14:textId="44532458"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76654696" w14:textId="44A618B6"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2651D451" w14:textId="330EE8AB"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2C4AE997" w14:textId="5E00A6D6"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50F0083E" w14:textId="5A0D3ADB" w:rsidR="004C127E" w:rsidRPr="000E5786" w:rsidRDefault="004C127E" w:rsidP="00DD60F0">
            <w:pPr>
              <w:rPr>
                <w:rFonts w:cs="Arial"/>
                <w:szCs w:val="20"/>
              </w:rPr>
            </w:pPr>
            <w:r w:rsidRPr="000E5786">
              <w:rPr>
                <w:rFonts w:cs="Arial"/>
                <w:szCs w:val="20"/>
              </w:rPr>
              <w:t xml:space="preserve">414 </w:t>
            </w:r>
          </w:p>
        </w:tc>
      </w:tr>
      <w:tr w:rsidR="00A72177" w:rsidRPr="000E5786" w14:paraId="77174A48" w14:textId="77777777" w:rsidTr="00613818">
        <w:trPr>
          <w:trHeight w:val="225"/>
        </w:trPr>
        <w:tc>
          <w:tcPr>
            <w:tcW w:w="1134" w:type="dxa"/>
            <w:vMerge/>
            <w:tcBorders>
              <w:top w:val="single" w:sz="8" w:space="0" w:color="auto"/>
              <w:left w:val="single" w:sz="8" w:space="0" w:color="auto"/>
              <w:bottom w:val="single" w:sz="4" w:space="0" w:color="auto"/>
              <w:right w:val="single" w:sz="8" w:space="0" w:color="auto"/>
            </w:tcBorders>
            <w:vAlign w:val="center"/>
            <w:hideMark/>
          </w:tcPr>
          <w:p w14:paraId="757A61DA"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7308DA9C" w14:textId="77777777" w:rsidR="004C127E" w:rsidRPr="000E5786" w:rsidRDefault="004C127E" w:rsidP="00DD60F0">
            <w:pP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35B77A99" w14:textId="77777777" w:rsidR="004C127E" w:rsidRPr="000E5786" w:rsidRDefault="004C127E" w:rsidP="00AC4874">
            <w:pPr>
              <w:ind w:left="0" w:right="32" w:firstLine="0"/>
              <w:jc w:val="left"/>
              <w:rPr>
                <w:rFonts w:cs="Arial"/>
                <w:szCs w:val="20"/>
              </w:rPr>
            </w:pPr>
            <w:r w:rsidRPr="000E5786">
              <w:rPr>
                <w:rFonts w:cs="Arial"/>
                <w:szCs w:val="20"/>
              </w:rPr>
              <w:t>Business risk management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AE71706" w14:textId="77777777" w:rsidR="004C127E" w:rsidRPr="000E5786" w:rsidRDefault="004C127E" w:rsidP="00DD60F0">
            <w:pPr>
              <w:jc w:val="center"/>
              <w:rPr>
                <w:rFonts w:cs="Arial"/>
                <w:szCs w:val="20"/>
              </w:rPr>
            </w:pPr>
            <w:r w:rsidRPr="000E5786">
              <w:rPr>
                <w:rFonts w:cs="Arial"/>
                <w:szCs w:val="20"/>
              </w:rPr>
              <w:t>BURM</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6E6B1A0B" w14:textId="4897B89A"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1DD3022C" w14:textId="7F91CC00"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4307144C" w14:textId="174C16F6"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01A277F0" w14:textId="5D1991B0"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50DFDADF" w14:textId="38F7013A"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36DC8F0E" w14:textId="76F6E44F"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4668DC8F" w14:textId="78A1AD85"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3FE236F0" w14:textId="6D8ACD36"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6462589F" w14:textId="00EF813D"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2BEEB7E3" w14:textId="7F3DB4EF"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00113711" w14:textId="7D53225E"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2F7A321C" w14:textId="795A6AF4"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7DE13915" w14:textId="1CC607C2"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4457CB19" w14:textId="74244D5A" w:rsidR="004C127E" w:rsidRPr="000E5786" w:rsidRDefault="004C127E" w:rsidP="00DD60F0">
            <w:pPr>
              <w:rPr>
                <w:rFonts w:cs="Arial"/>
                <w:szCs w:val="20"/>
              </w:rPr>
            </w:pPr>
            <w:r w:rsidRPr="000E5786">
              <w:rPr>
                <w:rFonts w:cs="Arial"/>
                <w:szCs w:val="20"/>
              </w:rPr>
              <w:t xml:space="preserve">414 </w:t>
            </w:r>
          </w:p>
        </w:tc>
      </w:tr>
      <w:tr w:rsidR="00A72177" w:rsidRPr="000E5786" w14:paraId="79DF2D20" w14:textId="77777777" w:rsidTr="00613818">
        <w:trPr>
          <w:trHeight w:val="240"/>
        </w:trPr>
        <w:tc>
          <w:tcPr>
            <w:tcW w:w="1134" w:type="dxa"/>
            <w:vMerge/>
            <w:tcBorders>
              <w:top w:val="single" w:sz="8" w:space="0" w:color="auto"/>
              <w:left w:val="single" w:sz="8" w:space="0" w:color="auto"/>
              <w:bottom w:val="single" w:sz="4" w:space="0" w:color="auto"/>
              <w:right w:val="single" w:sz="8" w:space="0" w:color="auto"/>
            </w:tcBorders>
            <w:vAlign w:val="center"/>
            <w:hideMark/>
          </w:tcPr>
          <w:p w14:paraId="5389A1F1"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62168911" w14:textId="77777777" w:rsidR="004C127E" w:rsidRPr="000E5786" w:rsidRDefault="004C127E" w:rsidP="00DD60F0">
            <w:pPr>
              <w:rPr>
                <w:rFonts w:cs="Arial"/>
                <w:b/>
                <w:bCs/>
                <w:szCs w:val="20"/>
              </w:rPr>
            </w:pPr>
          </w:p>
        </w:tc>
        <w:tc>
          <w:tcPr>
            <w:tcW w:w="1560" w:type="dxa"/>
            <w:tcBorders>
              <w:top w:val="nil"/>
              <w:left w:val="nil"/>
              <w:bottom w:val="single" w:sz="8" w:space="0" w:color="auto"/>
              <w:right w:val="single" w:sz="4" w:space="0" w:color="auto"/>
            </w:tcBorders>
            <w:shd w:val="clear" w:color="auto" w:fill="auto"/>
            <w:noWrap/>
            <w:vAlign w:val="bottom"/>
            <w:hideMark/>
          </w:tcPr>
          <w:p w14:paraId="15954E4F" w14:textId="77777777" w:rsidR="004C127E" w:rsidRPr="000E5786" w:rsidRDefault="004C127E" w:rsidP="00AC4874">
            <w:pPr>
              <w:ind w:left="0" w:right="32" w:firstLine="0"/>
              <w:jc w:val="left"/>
              <w:rPr>
                <w:rFonts w:cs="Arial"/>
                <w:szCs w:val="20"/>
              </w:rPr>
            </w:pPr>
            <w:r w:rsidRPr="000E5786">
              <w:rPr>
                <w:rFonts w:cs="Arial"/>
                <w:szCs w:val="20"/>
              </w:rPr>
              <w:t>Sustainability strategy</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BE9ED37" w14:textId="77777777" w:rsidR="004C127E" w:rsidRPr="000E5786" w:rsidRDefault="004C127E" w:rsidP="00DD60F0">
            <w:pPr>
              <w:jc w:val="center"/>
              <w:rPr>
                <w:rFonts w:cs="Arial"/>
                <w:szCs w:val="20"/>
              </w:rPr>
            </w:pPr>
            <w:r w:rsidRPr="000E5786">
              <w:rPr>
                <w:rFonts w:cs="Arial"/>
                <w:szCs w:val="20"/>
              </w:rPr>
              <w:t>SUST</w:t>
            </w:r>
          </w:p>
        </w:tc>
        <w:tc>
          <w:tcPr>
            <w:tcW w:w="567" w:type="dxa"/>
            <w:tcBorders>
              <w:top w:val="nil"/>
              <w:left w:val="single" w:sz="4" w:space="0" w:color="auto"/>
              <w:bottom w:val="single" w:sz="8" w:space="0" w:color="auto"/>
              <w:right w:val="single" w:sz="4" w:space="0" w:color="auto"/>
            </w:tcBorders>
            <w:shd w:val="clear" w:color="000000" w:fill="FFFF00"/>
            <w:noWrap/>
            <w:vAlign w:val="bottom"/>
            <w:hideMark/>
          </w:tcPr>
          <w:p w14:paraId="783E1984" w14:textId="2FB87885"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8" w:space="0" w:color="auto"/>
              <w:right w:val="single" w:sz="8" w:space="0" w:color="auto"/>
            </w:tcBorders>
            <w:shd w:val="clear" w:color="000000" w:fill="FFFF00"/>
            <w:noWrap/>
            <w:vAlign w:val="bottom"/>
            <w:hideMark/>
          </w:tcPr>
          <w:p w14:paraId="0165C22F" w14:textId="52F465D9"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8" w:space="0" w:color="auto"/>
              <w:right w:val="single" w:sz="4" w:space="0" w:color="auto"/>
            </w:tcBorders>
            <w:shd w:val="clear" w:color="000000" w:fill="FFFF00"/>
            <w:noWrap/>
            <w:vAlign w:val="bottom"/>
            <w:hideMark/>
          </w:tcPr>
          <w:p w14:paraId="37D747D6" w14:textId="04F42661"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8" w:space="0" w:color="auto"/>
              <w:right w:val="single" w:sz="8" w:space="0" w:color="auto"/>
            </w:tcBorders>
            <w:shd w:val="clear" w:color="000000" w:fill="FFFF00"/>
            <w:noWrap/>
            <w:vAlign w:val="bottom"/>
            <w:hideMark/>
          </w:tcPr>
          <w:p w14:paraId="58EBB083" w14:textId="257103F9"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8" w:space="0" w:color="auto"/>
              <w:right w:val="single" w:sz="4" w:space="0" w:color="auto"/>
            </w:tcBorders>
            <w:shd w:val="clear" w:color="000000" w:fill="FFFF00"/>
            <w:noWrap/>
            <w:vAlign w:val="bottom"/>
            <w:hideMark/>
          </w:tcPr>
          <w:p w14:paraId="64DF79BD" w14:textId="7BB22BCA"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8" w:space="0" w:color="auto"/>
              <w:right w:val="single" w:sz="8" w:space="0" w:color="auto"/>
            </w:tcBorders>
            <w:shd w:val="clear" w:color="000000" w:fill="FFFF00"/>
            <w:noWrap/>
            <w:vAlign w:val="bottom"/>
            <w:hideMark/>
          </w:tcPr>
          <w:p w14:paraId="6C4E33EE" w14:textId="7D46D765"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8" w:space="0" w:color="auto"/>
              <w:right w:val="single" w:sz="4" w:space="0" w:color="auto"/>
            </w:tcBorders>
            <w:shd w:val="clear" w:color="000000" w:fill="FFFF00"/>
            <w:noWrap/>
            <w:vAlign w:val="bottom"/>
            <w:hideMark/>
          </w:tcPr>
          <w:p w14:paraId="0F2B1D5C" w14:textId="21C23701"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8" w:space="0" w:color="auto"/>
              <w:right w:val="single" w:sz="8" w:space="0" w:color="auto"/>
            </w:tcBorders>
            <w:shd w:val="clear" w:color="000000" w:fill="FFFF00"/>
            <w:noWrap/>
            <w:vAlign w:val="bottom"/>
            <w:hideMark/>
          </w:tcPr>
          <w:p w14:paraId="04121B7B" w14:textId="32C4D7D6"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8" w:space="0" w:color="auto"/>
              <w:right w:val="single" w:sz="4" w:space="0" w:color="auto"/>
            </w:tcBorders>
            <w:shd w:val="clear" w:color="000000" w:fill="FFFF00"/>
            <w:noWrap/>
            <w:vAlign w:val="bottom"/>
            <w:hideMark/>
          </w:tcPr>
          <w:p w14:paraId="45B4F4FB" w14:textId="4499089B"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8" w:space="0" w:color="auto"/>
              <w:right w:val="single" w:sz="8" w:space="0" w:color="auto"/>
            </w:tcBorders>
            <w:shd w:val="clear" w:color="000000" w:fill="FFFF00"/>
            <w:noWrap/>
            <w:vAlign w:val="bottom"/>
            <w:hideMark/>
          </w:tcPr>
          <w:p w14:paraId="4A271CF8" w14:textId="3DEBF04F"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8" w:space="0" w:color="auto"/>
              <w:right w:val="single" w:sz="4" w:space="0" w:color="auto"/>
            </w:tcBorders>
            <w:shd w:val="clear" w:color="000000" w:fill="FFFF00"/>
            <w:noWrap/>
            <w:vAlign w:val="bottom"/>
            <w:hideMark/>
          </w:tcPr>
          <w:p w14:paraId="598F437D" w14:textId="1F6EE3EA"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8" w:space="0" w:color="auto"/>
              <w:right w:val="single" w:sz="8" w:space="0" w:color="auto"/>
            </w:tcBorders>
            <w:shd w:val="clear" w:color="000000" w:fill="FFFF00"/>
            <w:noWrap/>
            <w:vAlign w:val="bottom"/>
            <w:hideMark/>
          </w:tcPr>
          <w:p w14:paraId="681CF3BD" w14:textId="7C2A39FB"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8" w:space="0" w:color="auto"/>
              <w:right w:val="single" w:sz="4" w:space="0" w:color="auto"/>
            </w:tcBorders>
            <w:shd w:val="clear" w:color="000000" w:fill="FFFF00"/>
            <w:noWrap/>
            <w:vAlign w:val="bottom"/>
            <w:hideMark/>
          </w:tcPr>
          <w:p w14:paraId="39BF97FD" w14:textId="7AFF584D"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8" w:space="0" w:color="auto"/>
              <w:right w:val="single" w:sz="8" w:space="0" w:color="auto"/>
            </w:tcBorders>
            <w:shd w:val="clear" w:color="000000" w:fill="FFFF00"/>
            <w:noWrap/>
            <w:vAlign w:val="bottom"/>
            <w:hideMark/>
          </w:tcPr>
          <w:p w14:paraId="0636A832" w14:textId="30EB8792" w:rsidR="004C127E" w:rsidRPr="000E5786" w:rsidRDefault="004C127E" w:rsidP="00DD60F0">
            <w:pPr>
              <w:rPr>
                <w:rFonts w:cs="Arial"/>
                <w:szCs w:val="20"/>
              </w:rPr>
            </w:pPr>
            <w:r w:rsidRPr="000E5786">
              <w:rPr>
                <w:rFonts w:cs="Arial"/>
                <w:szCs w:val="20"/>
              </w:rPr>
              <w:t xml:space="preserve">414 </w:t>
            </w:r>
          </w:p>
        </w:tc>
      </w:tr>
      <w:tr w:rsidR="00A72177" w:rsidRPr="000E5786" w14:paraId="42FF7904" w14:textId="77777777" w:rsidTr="00613818">
        <w:trPr>
          <w:trHeight w:val="240"/>
        </w:trPr>
        <w:tc>
          <w:tcPr>
            <w:tcW w:w="1134" w:type="dxa"/>
            <w:vMerge/>
            <w:tcBorders>
              <w:top w:val="single" w:sz="8" w:space="0" w:color="auto"/>
              <w:left w:val="single" w:sz="8" w:space="0" w:color="auto"/>
              <w:bottom w:val="single" w:sz="4" w:space="0" w:color="auto"/>
              <w:right w:val="single" w:sz="8" w:space="0" w:color="auto"/>
            </w:tcBorders>
            <w:vAlign w:val="center"/>
            <w:hideMark/>
          </w:tcPr>
          <w:p w14:paraId="01D30FDA" w14:textId="77777777" w:rsidR="004C127E" w:rsidRPr="000E5786" w:rsidRDefault="004C127E" w:rsidP="00DD60F0">
            <w:pPr>
              <w:rPr>
                <w:rFonts w:cs="Arial"/>
                <w:b/>
                <w:bCs/>
                <w:szCs w:val="20"/>
              </w:rPr>
            </w:pPr>
          </w:p>
        </w:tc>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14:paraId="1913CEFA" w14:textId="77777777" w:rsidR="004C127E" w:rsidRPr="000E5786" w:rsidRDefault="004C127E" w:rsidP="00380763">
            <w:pPr>
              <w:ind w:left="0" w:firstLine="0"/>
              <w:jc w:val="center"/>
              <w:rPr>
                <w:rFonts w:cs="Arial"/>
                <w:b/>
                <w:bCs/>
                <w:szCs w:val="20"/>
              </w:rPr>
            </w:pPr>
            <w:r w:rsidRPr="000E5786">
              <w:rPr>
                <w:rFonts w:cs="Arial"/>
                <w:b/>
                <w:bCs/>
                <w:szCs w:val="20"/>
              </w:rPr>
              <w:t>Technical strategy and planning</w:t>
            </w:r>
          </w:p>
        </w:tc>
        <w:tc>
          <w:tcPr>
            <w:tcW w:w="1560" w:type="dxa"/>
            <w:tcBorders>
              <w:top w:val="nil"/>
              <w:left w:val="nil"/>
              <w:bottom w:val="single" w:sz="4" w:space="0" w:color="auto"/>
              <w:right w:val="single" w:sz="4" w:space="0" w:color="auto"/>
            </w:tcBorders>
            <w:shd w:val="clear" w:color="auto" w:fill="auto"/>
            <w:noWrap/>
            <w:vAlign w:val="bottom"/>
            <w:hideMark/>
          </w:tcPr>
          <w:p w14:paraId="27F809D1" w14:textId="77777777" w:rsidR="004C127E" w:rsidRPr="000E5786" w:rsidRDefault="004C127E" w:rsidP="00AC4874">
            <w:pPr>
              <w:ind w:left="0" w:right="32" w:firstLine="0"/>
              <w:jc w:val="left"/>
              <w:rPr>
                <w:rFonts w:cs="Arial"/>
                <w:szCs w:val="20"/>
              </w:rPr>
            </w:pPr>
            <w:r w:rsidRPr="000E5786">
              <w:rPr>
                <w:rFonts w:cs="Arial"/>
                <w:szCs w:val="20"/>
              </w:rPr>
              <w:t>Emerging technology monitoring</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19D5BDB" w14:textId="77777777" w:rsidR="004C127E" w:rsidRPr="000E5786" w:rsidRDefault="004C127E" w:rsidP="00DD60F0">
            <w:pPr>
              <w:jc w:val="center"/>
              <w:rPr>
                <w:rFonts w:cs="Arial"/>
                <w:szCs w:val="20"/>
              </w:rPr>
            </w:pPr>
            <w:r w:rsidRPr="000E5786">
              <w:rPr>
                <w:rFonts w:cs="Arial"/>
                <w:szCs w:val="20"/>
              </w:rPr>
              <w:t>EMRG</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3CD9E4F5" w14:textId="56BCC0C8"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0E316359" w14:textId="223CA335"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17BD06BB" w14:textId="0B4DE6F9"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49B7ECA7" w14:textId="46A29335"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2FFEAFC4" w14:textId="65F62D4C"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58A9B7A9" w14:textId="30349CAB"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01F7B6D9" w14:textId="6D6B20B6"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172E5E41" w14:textId="41D2E918"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68E298AA" w14:textId="534504AD"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58079350" w14:textId="19D13B37"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35AB50EF" w14:textId="0AD962B5"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084CB7BF" w14:textId="50AC764C"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0231C27A" w14:textId="03431276"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49FE7C9D" w14:textId="3F27EBF8" w:rsidR="004C127E" w:rsidRPr="000E5786" w:rsidRDefault="004C127E" w:rsidP="00DD60F0">
            <w:pPr>
              <w:rPr>
                <w:rFonts w:cs="Arial"/>
                <w:szCs w:val="20"/>
              </w:rPr>
            </w:pPr>
            <w:r w:rsidRPr="000E5786">
              <w:rPr>
                <w:rFonts w:cs="Arial"/>
                <w:szCs w:val="20"/>
              </w:rPr>
              <w:t xml:space="preserve">414 </w:t>
            </w:r>
          </w:p>
        </w:tc>
      </w:tr>
      <w:tr w:rsidR="00A72177" w:rsidRPr="000E5786" w14:paraId="3EAF3122" w14:textId="77777777" w:rsidTr="00613818">
        <w:trPr>
          <w:trHeight w:val="315"/>
        </w:trPr>
        <w:tc>
          <w:tcPr>
            <w:tcW w:w="1134" w:type="dxa"/>
            <w:vMerge/>
            <w:tcBorders>
              <w:top w:val="single" w:sz="8" w:space="0" w:color="auto"/>
              <w:left w:val="single" w:sz="8" w:space="0" w:color="auto"/>
              <w:bottom w:val="single" w:sz="4" w:space="0" w:color="auto"/>
              <w:right w:val="single" w:sz="8" w:space="0" w:color="auto"/>
            </w:tcBorders>
            <w:vAlign w:val="center"/>
            <w:hideMark/>
          </w:tcPr>
          <w:p w14:paraId="5DD26119"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6AE3E355" w14:textId="77777777" w:rsidR="004C127E" w:rsidRPr="000E5786" w:rsidRDefault="004C127E" w:rsidP="00DD60F0">
            <w:pP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43951942" w14:textId="77777777" w:rsidR="004C127E" w:rsidRPr="000E5786" w:rsidRDefault="004C127E" w:rsidP="00AC4874">
            <w:pPr>
              <w:ind w:left="0" w:right="32" w:firstLine="0"/>
              <w:jc w:val="left"/>
              <w:rPr>
                <w:rFonts w:cs="Arial"/>
                <w:szCs w:val="20"/>
              </w:rPr>
            </w:pPr>
            <w:r w:rsidRPr="000E5786">
              <w:rPr>
                <w:rFonts w:cs="Arial"/>
                <w:szCs w:val="20"/>
              </w:rPr>
              <w:t>Continuity management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9F6C9AD" w14:textId="77777777" w:rsidR="004C127E" w:rsidRPr="000E5786" w:rsidRDefault="004C127E" w:rsidP="00DD60F0">
            <w:pPr>
              <w:jc w:val="center"/>
              <w:rPr>
                <w:rFonts w:cs="Arial"/>
                <w:szCs w:val="20"/>
              </w:rPr>
            </w:pPr>
            <w:r w:rsidRPr="000E5786">
              <w:rPr>
                <w:rFonts w:cs="Arial"/>
                <w:szCs w:val="20"/>
              </w:rPr>
              <w:t>COPL</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1BA3BD61" w14:textId="79945E49"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73A4E94F" w14:textId="4BF21B84"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189768F3" w14:textId="221680AE"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03A1DF77" w14:textId="54535200"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740679A5" w14:textId="1B7DAC15"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3775AF98" w14:textId="3F3F728D"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38DE2F6A" w14:textId="001A6BA9"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3ECDBD24" w14:textId="10A0DD1B"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75DDDA6D" w14:textId="064F1CD2"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5B118B52" w14:textId="24115520"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4B1AAF37" w14:textId="47FB786F"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59C0B66F" w14:textId="15481524"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512397EA" w14:textId="095FBF41"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5D87D2CF" w14:textId="3938C46E" w:rsidR="004C127E" w:rsidRPr="000E5786" w:rsidRDefault="004C127E" w:rsidP="00DD60F0">
            <w:pPr>
              <w:rPr>
                <w:rFonts w:cs="Arial"/>
                <w:szCs w:val="20"/>
              </w:rPr>
            </w:pPr>
            <w:r w:rsidRPr="000E5786">
              <w:rPr>
                <w:rFonts w:cs="Arial"/>
                <w:szCs w:val="20"/>
              </w:rPr>
              <w:t xml:space="preserve">414 </w:t>
            </w:r>
          </w:p>
        </w:tc>
      </w:tr>
      <w:tr w:rsidR="00A72177" w:rsidRPr="000E5786" w14:paraId="39A29E07" w14:textId="77777777" w:rsidTr="00613818">
        <w:trPr>
          <w:trHeight w:val="210"/>
        </w:trPr>
        <w:tc>
          <w:tcPr>
            <w:tcW w:w="1134" w:type="dxa"/>
            <w:vMerge/>
            <w:tcBorders>
              <w:top w:val="single" w:sz="8" w:space="0" w:color="auto"/>
              <w:left w:val="single" w:sz="8" w:space="0" w:color="auto"/>
              <w:bottom w:val="single" w:sz="4" w:space="0" w:color="auto"/>
              <w:right w:val="single" w:sz="8" w:space="0" w:color="auto"/>
            </w:tcBorders>
            <w:vAlign w:val="center"/>
            <w:hideMark/>
          </w:tcPr>
          <w:p w14:paraId="61FCA856"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34D2D3EB" w14:textId="77777777" w:rsidR="004C127E" w:rsidRPr="000E5786" w:rsidRDefault="004C127E" w:rsidP="00DD60F0">
            <w:pP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1718AEB2" w14:textId="77777777" w:rsidR="004C127E" w:rsidRPr="000E5786" w:rsidRDefault="004C127E" w:rsidP="00AC4874">
            <w:pPr>
              <w:ind w:left="0" w:right="32" w:firstLine="0"/>
              <w:jc w:val="left"/>
              <w:rPr>
                <w:rFonts w:cs="Arial"/>
                <w:szCs w:val="20"/>
              </w:rPr>
            </w:pPr>
            <w:r w:rsidRPr="000E5786">
              <w:rPr>
                <w:rFonts w:cs="Arial"/>
                <w:szCs w:val="20"/>
              </w:rPr>
              <w:t>Sustainability management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8F2B1B7" w14:textId="77777777" w:rsidR="004C127E" w:rsidRPr="000E5786" w:rsidRDefault="004C127E" w:rsidP="00DD60F0">
            <w:pPr>
              <w:jc w:val="center"/>
              <w:rPr>
                <w:rFonts w:cs="Arial"/>
                <w:szCs w:val="20"/>
              </w:rPr>
            </w:pPr>
            <w:r w:rsidRPr="000E5786">
              <w:rPr>
                <w:rFonts w:cs="Arial"/>
                <w:szCs w:val="20"/>
              </w:rPr>
              <w:t>SUMI</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0198852A" w14:textId="51D4830E"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53393AE7" w14:textId="60B49AC8"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559594EC" w14:textId="021EE25C"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667F0157" w14:textId="75DE92D9"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31635E1E" w14:textId="76B48E36"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4C1E73DF" w14:textId="07C09672"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47501D16" w14:textId="02584B64"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67789E1F" w14:textId="1050E2BE"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1956EFE5" w14:textId="0A175B56"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373DD57F" w14:textId="3D17A139"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5A34308B" w14:textId="4E90DD46"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1F37224F" w14:textId="2685B0E8"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212BF410" w14:textId="71E06C06"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2E3EC89B" w14:textId="499D27C7" w:rsidR="004C127E" w:rsidRPr="000E5786" w:rsidRDefault="004C127E" w:rsidP="00DD60F0">
            <w:pPr>
              <w:rPr>
                <w:rFonts w:cs="Arial"/>
                <w:szCs w:val="20"/>
              </w:rPr>
            </w:pPr>
            <w:r w:rsidRPr="000E5786">
              <w:rPr>
                <w:rFonts w:cs="Arial"/>
                <w:szCs w:val="20"/>
              </w:rPr>
              <w:t xml:space="preserve">414 </w:t>
            </w:r>
          </w:p>
        </w:tc>
      </w:tr>
      <w:tr w:rsidR="00A72177" w:rsidRPr="000E5786" w14:paraId="54F0EC5C" w14:textId="77777777" w:rsidTr="00613818">
        <w:trPr>
          <w:trHeight w:val="210"/>
        </w:trPr>
        <w:tc>
          <w:tcPr>
            <w:tcW w:w="1134" w:type="dxa"/>
            <w:vMerge/>
            <w:tcBorders>
              <w:top w:val="single" w:sz="8" w:space="0" w:color="auto"/>
              <w:left w:val="single" w:sz="8" w:space="0" w:color="auto"/>
              <w:bottom w:val="single" w:sz="4" w:space="0" w:color="auto"/>
              <w:right w:val="single" w:sz="8" w:space="0" w:color="auto"/>
            </w:tcBorders>
            <w:vAlign w:val="center"/>
            <w:hideMark/>
          </w:tcPr>
          <w:p w14:paraId="2E954378"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2F4A0CAA" w14:textId="77777777" w:rsidR="004C127E" w:rsidRPr="000E5786" w:rsidRDefault="004C127E" w:rsidP="00DD60F0">
            <w:pP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46D4A6D5" w14:textId="77777777" w:rsidR="004C127E" w:rsidRPr="000E5786" w:rsidRDefault="004C127E" w:rsidP="00AC4874">
            <w:pPr>
              <w:ind w:left="0" w:right="32" w:firstLine="0"/>
              <w:jc w:val="left"/>
              <w:rPr>
                <w:rFonts w:cs="Arial"/>
                <w:szCs w:val="20"/>
              </w:rPr>
            </w:pPr>
            <w:r w:rsidRPr="000E5786">
              <w:rPr>
                <w:rFonts w:cs="Arial"/>
                <w:szCs w:val="20"/>
              </w:rPr>
              <w:t>Network planning</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7110162" w14:textId="77777777" w:rsidR="004C127E" w:rsidRPr="000E5786" w:rsidRDefault="004C127E" w:rsidP="00DD60F0">
            <w:pPr>
              <w:jc w:val="center"/>
              <w:rPr>
                <w:rFonts w:cs="Arial"/>
                <w:szCs w:val="20"/>
              </w:rPr>
            </w:pPr>
            <w:r w:rsidRPr="000E5786">
              <w:rPr>
                <w:rFonts w:cs="Arial"/>
                <w:szCs w:val="20"/>
              </w:rPr>
              <w:t>NTPL</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126EFBCC" w14:textId="2D0BD20A"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46BE89DD" w14:textId="39858DD1"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16BBCB70" w14:textId="539E7001"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3D784D99" w14:textId="003BB17B"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4B45AC1D" w14:textId="0D146A5E"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4AE8C3F4" w14:textId="634151D8"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5EB2454D" w14:textId="5BEDAE70"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781976C2" w14:textId="4849ED95"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03EDDDE0" w14:textId="572C4060"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57659558" w14:textId="57AE7525"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6F1F28EF" w14:textId="5AD0F737"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19723C1B" w14:textId="1DA8CC9A"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4E78A535" w14:textId="6FBDFEB1"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0566D473" w14:textId="66E0C8D4" w:rsidR="004C127E" w:rsidRPr="000E5786" w:rsidRDefault="004C127E" w:rsidP="00DD60F0">
            <w:pPr>
              <w:rPr>
                <w:rFonts w:cs="Arial"/>
                <w:szCs w:val="20"/>
              </w:rPr>
            </w:pPr>
            <w:r w:rsidRPr="000E5786">
              <w:rPr>
                <w:rFonts w:cs="Arial"/>
                <w:szCs w:val="20"/>
              </w:rPr>
              <w:t xml:space="preserve">414 </w:t>
            </w:r>
          </w:p>
        </w:tc>
      </w:tr>
      <w:tr w:rsidR="00A72177" w:rsidRPr="000E5786" w14:paraId="622450E4" w14:textId="77777777" w:rsidTr="00613818">
        <w:trPr>
          <w:trHeight w:val="222"/>
        </w:trPr>
        <w:tc>
          <w:tcPr>
            <w:tcW w:w="1134" w:type="dxa"/>
            <w:vMerge/>
            <w:tcBorders>
              <w:top w:val="single" w:sz="8" w:space="0" w:color="auto"/>
              <w:left w:val="single" w:sz="8" w:space="0" w:color="auto"/>
              <w:bottom w:val="single" w:sz="4" w:space="0" w:color="auto"/>
              <w:right w:val="single" w:sz="8" w:space="0" w:color="auto"/>
            </w:tcBorders>
            <w:vAlign w:val="center"/>
            <w:hideMark/>
          </w:tcPr>
          <w:p w14:paraId="39A8622F"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0BCB79F9" w14:textId="77777777" w:rsidR="004C127E" w:rsidRPr="000E5786" w:rsidRDefault="004C127E" w:rsidP="00DD60F0">
            <w:pP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1812F138" w14:textId="77777777" w:rsidR="004C127E" w:rsidRPr="000E5786" w:rsidRDefault="004C127E" w:rsidP="00AC4874">
            <w:pPr>
              <w:ind w:left="0" w:right="32" w:firstLine="0"/>
              <w:jc w:val="left"/>
              <w:rPr>
                <w:rFonts w:cs="Arial"/>
                <w:szCs w:val="20"/>
              </w:rPr>
            </w:pPr>
            <w:r w:rsidRPr="000E5786">
              <w:rPr>
                <w:rFonts w:cs="Arial"/>
                <w:szCs w:val="20"/>
              </w:rPr>
              <w:t>Solution architecture</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9BCA7D1" w14:textId="77777777" w:rsidR="004C127E" w:rsidRPr="000E5786" w:rsidRDefault="004C127E" w:rsidP="00DD60F0">
            <w:pPr>
              <w:jc w:val="center"/>
              <w:rPr>
                <w:rFonts w:cs="Arial"/>
                <w:szCs w:val="20"/>
              </w:rPr>
            </w:pPr>
            <w:r w:rsidRPr="000E5786">
              <w:rPr>
                <w:rFonts w:cs="Arial"/>
                <w:szCs w:val="20"/>
              </w:rPr>
              <w:t>ARCH</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457ED8CA" w14:textId="58856905"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2E4F8B62" w14:textId="111AD643"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3CA30BD0" w14:textId="4D9A7BF7"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560902E7" w14:textId="3A929257"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32C137AD" w14:textId="2404E4C1"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3981C6EF" w14:textId="6AC88F16"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42B9858F" w14:textId="2B262A11"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62458468" w14:textId="72289761"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1FF5723C" w14:textId="1A444FD7"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262C2338" w14:textId="49B79849"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064FD066" w14:textId="235A16AB"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3EFA7D3F" w14:textId="5224520C"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2AA3A976" w14:textId="566C6B7A"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63A8E9F5" w14:textId="18640E59" w:rsidR="004C127E" w:rsidRPr="000E5786" w:rsidRDefault="004C127E" w:rsidP="00DD60F0">
            <w:pPr>
              <w:rPr>
                <w:rFonts w:cs="Arial"/>
                <w:szCs w:val="20"/>
              </w:rPr>
            </w:pPr>
            <w:r w:rsidRPr="000E5786">
              <w:rPr>
                <w:rFonts w:cs="Arial"/>
                <w:szCs w:val="20"/>
              </w:rPr>
              <w:t xml:space="preserve">414 </w:t>
            </w:r>
          </w:p>
        </w:tc>
      </w:tr>
      <w:tr w:rsidR="00A72177" w:rsidRPr="000E5786" w14:paraId="7C6778F6" w14:textId="77777777" w:rsidTr="00613818">
        <w:trPr>
          <w:trHeight w:val="240"/>
        </w:trPr>
        <w:tc>
          <w:tcPr>
            <w:tcW w:w="1134" w:type="dxa"/>
            <w:vMerge/>
            <w:tcBorders>
              <w:top w:val="single" w:sz="8" w:space="0" w:color="auto"/>
              <w:left w:val="single" w:sz="8" w:space="0" w:color="auto"/>
              <w:bottom w:val="single" w:sz="4" w:space="0" w:color="auto"/>
              <w:right w:val="single" w:sz="8" w:space="0" w:color="auto"/>
            </w:tcBorders>
            <w:vAlign w:val="center"/>
            <w:hideMark/>
          </w:tcPr>
          <w:p w14:paraId="26402275"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05769E00" w14:textId="77777777" w:rsidR="004C127E" w:rsidRPr="000E5786" w:rsidRDefault="004C127E" w:rsidP="00DD60F0">
            <w:pP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32982205" w14:textId="77777777" w:rsidR="004C127E" w:rsidRPr="000E5786" w:rsidRDefault="004C127E" w:rsidP="00AC4874">
            <w:pPr>
              <w:ind w:left="0" w:right="32" w:firstLine="0"/>
              <w:jc w:val="left"/>
              <w:rPr>
                <w:rFonts w:cs="Arial"/>
                <w:szCs w:val="20"/>
              </w:rPr>
            </w:pPr>
            <w:r w:rsidRPr="000E5786">
              <w:rPr>
                <w:rFonts w:cs="Arial"/>
                <w:szCs w:val="20"/>
              </w:rPr>
              <w:t>Data management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15DE041" w14:textId="77777777" w:rsidR="004C127E" w:rsidRPr="000E5786" w:rsidRDefault="004C127E" w:rsidP="00DD60F0">
            <w:pPr>
              <w:jc w:val="center"/>
              <w:rPr>
                <w:rFonts w:cs="Arial"/>
                <w:szCs w:val="20"/>
              </w:rPr>
            </w:pPr>
            <w:r w:rsidRPr="000E5786">
              <w:rPr>
                <w:rFonts w:cs="Arial"/>
                <w:szCs w:val="20"/>
              </w:rPr>
              <w:t>DATM</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5970C732" w14:textId="4C3487D2"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5696C219" w14:textId="164B6D17"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70A1195D" w14:textId="66A4D11D"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6F56EE48" w14:textId="5BF7237E"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750036C4" w14:textId="3319906F"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2441EBB9" w14:textId="76C6CF3B"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0FFCEF0D" w14:textId="440913A1"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756B8D34" w14:textId="2B42D172"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3A14E8AB" w14:textId="3D69C09B"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4F2ECDCC" w14:textId="1D0ECB02"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5199F79B" w14:textId="5B8ED741"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1ABCCFC0" w14:textId="11E4B60D"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587AB571" w14:textId="0E28D79C"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768F8ED5" w14:textId="4FE428B4" w:rsidR="004C127E" w:rsidRPr="000E5786" w:rsidRDefault="004C127E" w:rsidP="00DD60F0">
            <w:pPr>
              <w:rPr>
                <w:rFonts w:cs="Arial"/>
                <w:szCs w:val="20"/>
              </w:rPr>
            </w:pPr>
            <w:r w:rsidRPr="000E5786">
              <w:rPr>
                <w:rFonts w:cs="Arial"/>
                <w:szCs w:val="20"/>
              </w:rPr>
              <w:t xml:space="preserve">414 </w:t>
            </w:r>
          </w:p>
        </w:tc>
      </w:tr>
      <w:tr w:rsidR="00A72177" w:rsidRPr="000E5786" w14:paraId="3ED64972" w14:textId="77777777" w:rsidTr="00613818">
        <w:trPr>
          <w:trHeight w:val="222"/>
        </w:trPr>
        <w:tc>
          <w:tcPr>
            <w:tcW w:w="1134" w:type="dxa"/>
            <w:vMerge/>
            <w:tcBorders>
              <w:top w:val="single" w:sz="8" w:space="0" w:color="auto"/>
              <w:left w:val="single" w:sz="8" w:space="0" w:color="auto"/>
              <w:bottom w:val="single" w:sz="4" w:space="0" w:color="auto"/>
              <w:right w:val="single" w:sz="8" w:space="0" w:color="auto"/>
            </w:tcBorders>
            <w:vAlign w:val="center"/>
            <w:hideMark/>
          </w:tcPr>
          <w:p w14:paraId="289871AD"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7B4DBA82" w14:textId="77777777" w:rsidR="004C127E" w:rsidRPr="000E5786" w:rsidRDefault="004C127E" w:rsidP="00DD60F0">
            <w:pPr>
              <w:rPr>
                <w:rFonts w:cs="Arial"/>
                <w:b/>
                <w:bCs/>
                <w:szCs w:val="20"/>
              </w:rPr>
            </w:pPr>
          </w:p>
        </w:tc>
        <w:tc>
          <w:tcPr>
            <w:tcW w:w="1560" w:type="dxa"/>
            <w:tcBorders>
              <w:top w:val="nil"/>
              <w:left w:val="nil"/>
              <w:bottom w:val="single" w:sz="8" w:space="0" w:color="auto"/>
              <w:right w:val="single" w:sz="4" w:space="0" w:color="auto"/>
            </w:tcBorders>
            <w:shd w:val="clear" w:color="auto" w:fill="auto"/>
            <w:noWrap/>
            <w:vAlign w:val="bottom"/>
            <w:hideMark/>
          </w:tcPr>
          <w:p w14:paraId="6FF9040F" w14:textId="77777777" w:rsidR="004C127E" w:rsidRPr="000E5786" w:rsidRDefault="004C127E" w:rsidP="00AC4874">
            <w:pPr>
              <w:ind w:left="0" w:right="32" w:firstLine="0"/>
              <w:jc w:val="left"/>
              <w:rPr>
                <w:rFonts w:cs="Arial"/>
                <w:szCs w:val="20"/>
              </w:rPr>
            </w:pPr>
            <w:r w:rsidRPr="000E5786">
              <w:rPr>
                <w:rFonts w:cs="Arial"/>
                <w:szCs w:val="20"/>
              </w:rPr>
              <w:t>Methods and tools</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F1DB6F3" w14:textId="77777777" w:rsidR="004C127E" w:rsidRPr="000E5786" w:rsidRDefault="004C127E" w:rsidP="00DD60F0">
            <w:pPr>
              <w:jc w:val="center"/>
              <w:rPr>
                <w:rFonts w:cs="Arial"/>
                <w:szCs w:val="20"/>
              </w:rPr>
            </w:pPr>
            <w:r w:rsidRPr="000E5786">
              <w:rPr>
                <w:rFonts w:cs="Arial"/>
                <w:szCs w:val="20"/>
              </w:rPr>
              <w:t>METL</w:t>
            </w:r>
          </w:p>
        </w:tc>
        <w:tc>
          <w:tcPr>
            <w:tcW w:w="567" w:type="dxa"/>
            <w:tcBorders>
              <w:top w:val="nil"/>
              <w:left w:val="single" w:sz="4" w:space="0" w:color="auto"/>
              <w:bottom w:val="single" w:sz="8" w:space="0" w:color="auto"/>
              <w:right w:val="single" w:sz="4" w:space="0" w:color="auto"/>
            </w:tcBorders>
            <w:shd w:val="clear" w:color="000000" w:fill="FFFF00"/>
            <w:noWrap/>
            <w:vAlign w:val="bottom"/>
            <w:hideMark/>
          </w:tcPr>
          <w:p w14:paraId="720059B9" w14:textId="7EFA6198"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8" w:space="0" w:color="auto"/>
              <w:right w:val="single" w:sz="8" w:space="0" w:color="auto"/>
            </w:tcBorders>
            <w:shd w:val="clear" w:color="000000" w:fill="FFFF00"/>
            <w:noWrap/>
            <w:vAlign w:val="bottom"/>
            <w:hideMark/>
          </w:tcPr>
          <w:p w14:paraId="127EF90F" w14:textId="667F0D1C"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8" w:space="0" w:color="auto"/>
              <w:right w:val="single" w:sz="4" w:space="0" w:color="auto"/>
            </w:tcBorders>
            <w:shd w:val="clear" w:color="000000" w:fill="FFFF00"/>
            <w:noWrap/>
            <w:vAlign w:val="bottom"/>
            <w:hideMark/>
          </w:tcPr>
          <w:p w14:paraId="2C2568D3" w14:textId="3326E5FB"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8" w:space="0" w:color="auto"/>
              <w:right w:val="single" w:sz="8" w:space="0" w:color="auto"/>
            </w:tcBorders>
            <w:shd w:val="clear" w:color="000000" w:fill="FFFF00"/>
            <w:noWrap/>
            <w:vAlign w:val="bottom"/>
            <w:hideMark/>
          </w:tcPr>
          <w:p w14:paraId="32333F38" w14:textId="76519CDB"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8" w:space="0" w:color="auto"/>
              <w:right w:val="single" w:sz="4" w:space="0" w:color="auto"/>
            </w:tcBorders>
            <w:shd w:val="clear" w:color="000000" w:fill="FFFF00"/>
            <w:noWrap/>
            <w:vAlign w:val="bottom"/>
            <w:hideMark/>
          </w:tcPr>
          <w:p w14:paraId="730D15A4" w14:textId="33FB731F"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8" w:space="0" w:color="auto"/>
              <w:right w:val="single" w:sz="8" w:space="0" w:color="auto"/>
            </w:tcBorders>
            <w:shd w:val="clear" w:color="000000" w:fill="FFFF00"/>
            <w:noWrap/>
            <w:vAlign w:val="bottom"/>
            <w:hideMark/>
          </w:tcPr>
          <w:p w14:paraId="58042DA9" w14:textId="507C45F3"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8" w:space="0" w:color="auto"/>
              <w:right w:val="single" w:sz="4" w:space="0" w:color="auto"/>
            </w:tcBorders>
            <w:shd w:val="clear" w:color="000000" w:fill="FFFF00"/>
            <w:noWrap/>
            <w:vAlign w:val="bottom"/>
            <w:hideMark/>
          </w:tcPr>
          <w:p w14:paraId="33589A9D" w14:textId="4A946560"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8" w:space="0" w:color="auto"/>
              <w:right w:val="single" w:sz="8" w:space="0" w:color="auto"/>
            </w:tcBorders>
            <w:shd w:val="clear" w:color="000000" w:fill="FFFF00"/>
            <w:noWrap/>
            <w:vAlign w:val="bottom"/>
            <w:hideMark/>
          </w:tcPr>
          <w:p w14:paraId="69305A4A" w14:textId="783449B3"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8" w:space="0" w:color="auto"/>
              <w:right w:val="single" w:sz="4" w:space="0" w:color="auto"/>
            </w:tcBorders>
            <w:shd w:val="clear" w:color="000000" w:fill="FFFF00"/>
            <w:noWrap/>
            <w:vAlign w:val="bottom"/>
            <w:hideMark/>
          </w:tcPr>
          <w:p w14:paraId="7F04C03D" w14:textId="08FC5131"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8" w:space="0" w:color="auto"/>
              <w:right w:val="single" w:sz="8" w:space="0" w:color="auto"/>
            </w:tcBorders>
            <w:shd w:val="clear" w:color="000000" w:fill="FFFF00"/>
            <w:noWrap/>
            <w:vAlign w:val="bottom"/>
            <w:hideMark/>
          </w:tcPr>
          <w:p w14:paraId="744FF1EC" w14:textId="52C36D56"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8" w:space="0" w:color="auto"/>
              <w:right w:val="single" w:sz="4" w:space="0" w:color="auto"/>
            </w:tcBorders>
            <w:shd w:val="clear" w:color="000000" w:fill="FFFF00"/>
            <w:noWrap/>
            <w:vAlign w:val="bottom"/>
            <w:hideMark/>
          </w:tcPr>
          <w:p w14:paraId="3A00DE0D" w14:textId="2E466059"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8" w:space="0" w:color="auto"/>
              <w:right w:val="single" w:sz="8" w:space="0" w:color="auto"/>
            </w:tcBorders>
            <w:shd w:val="clear" w:color="000000" w:fill="FFFF00"/>
            <w:noWrap/>
            <w:vAlign w:val="bottom"/>
            <w:hideMark/>
          </w:tcPr>
          <w:p w14:paraId="4E53612E" w14:textId="5CEB0395"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8" w:space="0" w:color="auto"/>
              <w:right w:val="single" w:sz="4" w:space="0" w:color="auto"/>
            </w:tcBorders>
            <w:shd w:val="clear" w:color="000000" w:fill="FFFF00"/>
            <w:noWrap/>
            <w:vAlign w:val="bottom"/>
            <w:hideMark/>
          </w:tcPr>
          <w:p w14:paraId="6FC3EDFC" w14:textId="3EF54F62"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8" w:space="0" w:color="auto"/>
              <w:right w:val="single" w:sz="8" w:space="0" w:color="auto"/>
            </w:tcBorders>
            <w:shd w:val="clear" w:color="000000" w:fill="FFFF00"/>
            <w:noWrap/>
            <w:vAlign w:val="bottom"/>
            <w:hideMark/>
          </w:tcPr>
          <w:p w14:paraId="4A8DD94D" w14:textId="63F33DCA" w:rsidR="004C127E" w:rsidRPr="000E5786" w:rsidRDefault="004C127E" w:rsidP="00DD60F0">
            <w:pPr>
              <w:rPr>
                <w:rFonts w:cs="Arial"/>
                <w:szCs w:val="20"/>
              </w:rPr>
            </w:pPr>
            <w:r w:rsidRPr="000E5786">
              <w:rPr>
                <w:rFonts w:cs="Arial"/>
                <w:szCs w:val="20"/>
              </w:rPr>
              <w:t xml:space="preserve">414 </w:t>
            </w:r>
          </w:p>
        </w:tc>
      </w:tr>
      <w:tr w:rsidR="00A72177" w:rsidRPr="000E5786" w14:paraId="6D08C6E7" w14:textId="77777777" w:rsidTr="00613818">
        <w:trPr>
          <w:trHeight w:val="300"/>
        </w:trPr>
        <w:tc>
          <w:tcPr>
            <w:tcW w:w="1134" w:type="dxa"/>
            <w:vMerge w:val="restart"/>
            <w:tcBorders>
              <w:top w:val="nil"/>
              <w:left w:val="single" w:sz="8" w:space="0" w:color="auto"/>
              <w:bottom w:val="single" w:sz="4" w:space="0" w:color="auto"/>
              <w:right w:val="single" w:sz="8" w:space="0" w:color="auto"/>
            </w:tcBorders>
            <w:shd w:val="clear" w:color="auto" w:fill="auto"/>
            <w:textDirection w:val="btLr"/>
            <w:vAlign w:val="center"/>
            <w:hideMark/>
          </w:tcPr>
          <w:p w14:paraId="3DCC7886" w14:textId="77777777" w:rsidR="004C127E" w:rsidRPr="000E5786" w:rsidRDefault="004C127E" w:rsidP="00380763">
            <w:pPr>
              <w:ind w:left="142" w:right="-111" w:hanging="29"/>
              <w:jc w:val="center"/>
              <w:rPr>
                <w:rFonts w:cs="Arial"/>
                <w:b/>
                <w:bCs/>
                <w:szCs w:val="20"/>
              </w:rPr>
            </w:pPr>
            <w:r w:rsidRPr="000E5786">
              <w:rPr>
                <w:rFonts w:cs="Arial"/>
                <w:b/>
                <w:bCs/>
                <w:szCs w:val="20"/>
              </w:rPr>
              <w:t>Change and transformation</w:t>
            </w:r>
          </w:p>
        </w:tc>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14:paraId="68388BE9" w14:textId="77777777" w:rsidR="004C127E" w:rsidRPr="000E5786" w:rsidRDefault="004C127E" w:rsidP="00380763">
            <w:pPr>
              <w:ind w:left="0" w:firstLine="0"/>
              <w:jc w:val="center"/>
              <w:rPr>
                <w:rFonts w:cs="Arial"/>
                <w:b/>
                <w:bCs/>
                <w:szCs w:val="20"/>
              </w:rPr>
            </w:pPr>
            <w:r w:rsidRPr="000E5786">
              <w:rPr>
                <w:rFonts w:cs="Arial"/>
                <w:b/>
                <w:bCs/>
                <w:szCs w:val="20"/>
              </w:rPr>
              <w:t>Business change implementation</w:t>
            </w:r>
          </w:p>
        </w:tc>
        <w:tc>
          <w:tcPr>
            <w:tcW w:w="1560" w:type="dxa"/>
            <w:tcBorders>
              <w:top w:val="nil"/>
              <w:left w:val="nil"/>
              <w:bottom w:val="single" w:sz="4" w:space="0" w:color="auto"/>
              <w:right w:val="single" w:sz="4" w:space="0" w:color="auto"/>
            </w:tcBorders>
            <w:shd w:val="clear" w:color="auto" w:fill="auto"/>
            <w:noWrap/>
            <w:vAlign w:val="bottom"/>
            <w:hideMark/>
          </w:tcPr>
          <w:p w14:paraId="5C5C64AD" w14:textId="77777777" w:rsidR="004C127E" w:rsidRPr="000E5786" w:rsidRDefault="004C127E" w:rsidP="00AC4874">
            <w:pPr>
              <w:ind w:left="0" w:right="32" w:firstLine="0"/>
              <w:jc w:val="left"/>
              <w:rPr>
                <w:rFonts w:cs="Arial"/>
                <w:szCs w:val="20"/>
              </w:rPr>
            </w:pPr>
            <w:r w:rsidRPr="000E5786">
              <w:rPr>
                <w:rFonts w:cs="Arial"/>
                <w:szCs w:val="20"/>
              </w:rPr>
              <w:t>Portfolio management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F8F246D" w14:textId="77777777" w:rsidR="004C127E" w:rsidRPr="000E5786" w:rsidRDefault="004C127E" w:rsidP="00DD60F0">
            <w:pPr>
              <w:jc w:val="center"/>
              <w:rPr>
                <w:rFonts w:cs="Arial"/>
                <w:szCs w:val="20"/>
              </w:rPr>
            </w:pPr>
            <w:r w:rsidRPr="000E5786">
              <w:rPr>
                <w:rFonts w:cs="Arial"/>
                <w:szCs w:val="20"/>
              </w:rPr>
              <w:t>POMG</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117552CD" w14:textId="05964A66"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5CF636D9" w14:textId="71B0E0A0"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6CA2FB65" w14:textId="29A65575"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4393465B" w14:textId="6D2942BE"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03FEE3DC" w14:textId="62F259AC"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64781762" w14:textId="066715FF"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6E25E7BC" w14:textId="3BC38A70"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3F380F08" w14:textId="57A2CA5F"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64A589EF" w14:textId="1B3A76A1"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3DA98279" w14:textId="0669FA0E"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2AFF1DF8" w14:textId="2AAAB0B2"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182D8DE9" w14:textId="71496CAF"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26A9DCD1" w14:textId="28DB757B"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5D89081A" w14:textId="0636A590" w:rsidR="004C127E" w:rsidRPr="000E5786" w:rsidRDefault="004C127E" w:rsidP="00DD60F0">
            <w:pPr>
              <w:rPr>
                <w:rFonts w:cs="Arial"/>
                <w:szCs w:val="20"/>
              </w:rPr>
            </w:pPr>
            <w:r w:rsidRPr="000E5786">
              <w:rPr>
                <w:rFonts w:cs="Arial"/>
                <w:szCs w:val="20"/>
              </w:rPr>
              <w:t xml:space="preserve">414 </w:t>
            </w:r>
          </w:p>
        </w:tc>
      </w:tr>
      <w:tr w:rsidR="00A72177" w:rsidRPr="000E5786" w14:paraId="07E437BF" w14:textId="77777777" w:rsidTr="00613818">
        <w:trPr>
          <w:trHeight w:val="225"/>
        </w:trPr>
        <w:tc>
          <w:tcPr>
            <w:tcW w:w="1134" w:type="dxa"/>
            <w:vMerge/>
            <w:tcBorders>
              <w:top w:val="nil"/>
              <w:left w:val="single" w:sz="8" w:space="0" w:color="auto"/>
              <w:bottom w:val="single" w:sz="4" w:space="0" w:color="auto"/>
              <w:right w:val="single" w:sz="8" w:space="0" w:color="auto"/>
            </w:tcBorders>
            <w:vAlign w:val="center"/>
            <w:hideMark/>
          </w:tcPr>
          <w:p w14:paraId="04C3769F"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59AA580D" w14:textId="77777777" w:rsidR="004C127E" w:rsidRPr="000E5786" w:rsidRDefault="004C127E" w:rsidP="00380763">
            <w:pPr>
              <w:ind w:left="0" w:firstLine="0"/>
              <w:jc w:val="cente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7700BD97" w14:textId="77777777" w:rsidR="004C127E" w:rsidRPr="000E5786" w:rsidRDefault="004C127E" w:rsidP="00AC4874">
            <w:pPr>
              <w:ind w:left="0" w:right="32" w:firstLine="0"/>
              <w:jc w:val="left"/>
              <w:rPr>
                <w:rFonts w:cs="Arial"/>
                <w:szCs w:val="20"/>
              </w:rPr>
            </w:pPr>
            <w:r w:rsidRPr="000E5786">
              <w:rPr>
                <w:rFonts w:cs="Arial"/>
                <w:szCs w:val="20"/>
              </w:rPr>
              <w:t>Programme management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2764602" w14:textId="77777777" w:rsidR="004C127E" w:rsidRPr="000E5786" w:rsidRDefault="004C127E" w:rsidP="00DD60F0">
            <w:pPr>
              <w:jc w:val="center"/>
              <w:rPr>
                <w:rFonts w:cs="Arial"/>
                <w:szCs w:val="20"/>
              </w:rPr>
            </w:pPr>
            <w:r w:rsidRPr="000E5786">
              <w:rPr>
                <w:rFonts w:cs="Arial"/>
                <w:szCs w:val="20"/>
              </w:rPr>
              <w:t>PGMG</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3E68BA2E" w14:textId="797A296D"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52BB4F80" w14:textId="5E942991"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76E5C4B4" w14:textId="750B79F6"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67B81A1C" w14:textId="5452CDD9"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1CCE9398" w14:textId="07AFE4DD"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3C00E584" w14:textId="01EB9C66"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0971D4BE" w14:textId="46DBABAD"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6EFB440E" w14:textId="7455F5A5"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386EAE6B" w14:textId="20BDBE11"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092616EA" w14:textId="2A316739"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1549D2E5" w14:textId="4451AF67"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4C2C6465" w14:textId="0CC2D704"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5E146249" w14:textId="29BF6AB4"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4F0B846D" w14:textId="2F6D4259" w:rsidR="004C127E" w:rsidRPr="000E5786" w:rsidRDefault="004C127E" w:rsidP="00DD60F0">
            <w:pPr>
              <w:rPr>
                <w:rFonts w:cs="Arial"/>
                <w:szCs w:val="20"/>
              </w:rPr>
            </w:pPr>
            <w:r w:rsidRPr="000E5786">
              <w:rPr>
                <w:rFonts w:cs="Arial"/>
                <w:szCs w:val="20"/>
              </w:rPr>
              <w:t xml:space="preserve">414 </w:t>
            </w:r>
          </w:p>
        </w:tc>
      </w:tr>
      <w:tr w:rsidR="00A72177" w:rsidRPr="000E5786" w14:paraId="2D61D57A" w14:textId="77777777" w:rsidTr="00613818">
        <w:trPr>
          <w:trHeight w:val="225"/>
        </w:trPr>
        <w:tc>
          <w:tcPr>
            <w:tcW w:w="1134" w:type="dxa"/>
            <w:vMerge/>
            <w:tcBorders>
              <w:top w:val="nil"/>
              <w:left w:val="single" w:sz="8" w:space="0" w:color="auto"/>
              <w:bottom w:val="single" w:sz="4" w:space="0" w:color="auto"/>
              <w:right w:val="single" w:sz="8" w:space="0" w:color="auto"/>
            </w:tcBorders>
            <w:vAlign w:val="center"/>
            <w:hideMark/>
          </w:tcPr>
          <w:p w14:paraId="593B4E50"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5338282E" w14:textId="77777777" w:rsidR="004C127E" w:rsidRPr="000E5786" w:rsidRDefault="004C127E" w:rsidP="00380763">
            <w:pPr>
              <w:ind w:left="0" w:firstLine="0"/>
              <w:jc w:val="cente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2C6A53BD" w14:textId="77777777" w:rsidR="004C127E" w:rsidRPr="000E5786" w:rsidRDefault="004C127E" w:rsidP="00AC4874">
            <w:pPr>
              <w:ind w:left="0" w:right="32" w:firstLine="0"/>
              <w:jc w:val="left"/>
              <w:rPr>
                <w:rFonts w:cs="Arial"/>
                <w:szCs w:val="20"/>
              </w:rPr>
            </w:pPr>
            <w:r w:rsidRPr="000E5786">
              <w:rPr>
                <w:rFonts w:cs="Arial"/>
                <w:szCs w:val="20"/>
              </w:rPr>
              <w:t>Project management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61B4A23" w14:textId="77777777" w:rsidR="004C127E" w:rsidRPr="000E5786" w:rsidRDefault="004C127E" w:rsidP="00DD60F0">
            <w:pPr>
              <w:jc w:val="center"/>
              <w:rPr>
                <w:rFonts w:cs="Arial"/>
                <w:szCs w:val="20"/>
              </w:rPr>
            </w:pPr>
            <w:r w:rsidRPr="000E5786">
              <w:rPr>
                <w:rFonts w:cs="Arial"/>
                <w:szCs w:val="20"/>
              </w:rPr>
              <w:t>PRMG</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5FF7D756" w14:textId="0D972AB3"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420CE80B" w14:textId="7B4DCABF"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042EB3C2" w14:textId="72680AA7"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0EB2D114" w14:textId="1C6D9FE2"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7D0B9732" w14:textId="349B5447"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40B45C70" w14:textId="45FD03F4"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624B1784" w14:textId="168D9184"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75D21331" w14:textId="501441AE"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173742C1" w14:textId="34288A0D"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3E0894A5" w14:textId="1244E666"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6A3B5010" w14:textId="78478A14"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007B52A7" w14:textId="6B8915DA"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161E862B" w14:textId="05183E51"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2C0DEDA0" w14:textId="0E1B4F1E" w:rsidR="004C127E" w:rsidRPr="000E5786" w:rsidRDefault="004C127E" w:rsidP="00DD60F0">
            <w:pPr>
              <w:rPr>
                <w:rFonts w:cs="Arial"/>
                <w:szCs w:val="20"/>
              </w:rPr>
            </w:pPr>
            <w:r w:rsidRPr="000E5786">
              <w:rPr>
                <w:rFonts w:cs="Arial"/>
                <w:szCs w:val="20"/>
              </w:rPr>
              <w:t xml:space="preserve">414 </w:t>
            </w:r>
          </w:p>
        </w:tc>
      </w:tr>
      <w:tr w:rsidR="00A72177" w:rsidRPr="000E5786" w14:paraId="570E7223" w14:textId="77777777" w:rsidTr="00613818">
        <w:trPr>
          <w:trHeight w:val="222"/>
        </w:trPr>
        <w:tc>
          <w:tcPr>
            <w:tcW w:w="1134" w:type="dxa"/>
            <w:vMerge/>
            <w:tcBorders>
              <w:top w:val="nil"/>
              <w:left w:val="single" w:sz="8" w:space="0" w:color="auto"/>
              <w:bottom w:val="single" w:sz="4" w:space="0" w:color="auto"/>
              <w:right w:val="single" w:sz="8" w:space="0" w:color="auto"/>
            </w:tcBorders>
            <w:vAlign w:val="center"/>
            <w:hideMark/>
          </w:tcPr>
          <w:p w14:paraId="1D4769F3"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57B84915" w14:textId="77777777" w:rsidR="004C127E" w:rsidRPr="000E5786" w:rsidRDefault="004C127E" w:rsidP="00380763">
            <w:pPr>
              <w:ind w:left="0" w:firstLine="0"/>
              <w:jc w:val="center"/>
              <w:rPr>
                <w:rFonts w:cs="Arial"/>
                <w:b/>
                <w:bCs/>
                <w:szCs w:val="20"/>
              </w:rPr>
            </w:pPr>
          </w:p>
        </w:tc>
        <w:tc>
          <w:tcPr>
            <w:tcW w:w="1560" w:type="dxa"/>
            <w:tcBorders>
              <w:top w:val="nil"/>
              <w:left w:val="nil"/>
              <w:bottom w:val="single" w:sz="8" w:space="0" w:color="auto"/>
              <w:right w:val="single" w:sz="4" w:space="0" w:color="auto"/>
            </w:tcBorders>
            <w:shd w:val="clear" w:color="auto" w:fill="auto"/>
            <w:noWrap/>
            <w:vAlign w:val="bottom"/>
            <w:hideMark/>
          </w:tcPr>
          <w:p w14:paraId="53D89CDB" w14:textId="77777777" w:rsidR="004C127E" w:rsidRPr="000E5786" w:rsidRDefault="004C127E" w:rsidP="00AC4874">
            <w:pPr>
              <w:ind w:left="0" w:right="32" w:firstLine="0"/>
              <w:jc w:val="left"/>
              <w:rPr>
                <w:rFonts w:cs="Arial"/>
                <w:szCs w:val="20"/>
              </w:rPr>
            </w:pPr>
            <w:r w:rsidRPr="000E5786">
              <w:rPr>
                <w:rFonts w:cs="Arial"/>
                <w:szCs w:val="20"/>
              </w:rPr>
              <w:t>Portfolio programme and project support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8066735" w14:textId="77777777" w:rsidR="004C127E" w:rsidRPr="000E5786" w:rsidRDefault="004C127E" w:rsidP="00DD60F0">
            <w:pPr>
              <w:jc w:val="center"/>
              <w:rPr>
                <w:rFonts w:cs="Arial"/>
                <w:szCs w:val="20"/>
              </w:rPr>
            </w:pPr>
            <w:r w:rsidRPr="000E5786">
              <w:rPr>
                <w:rFonts w:cs="Arial"/>
                <w:szCs w:val="20"/>
              </w:rPr>
              <w:t>PROF</w:t>
            </w:r>
          </w:p>
        </w:tc>
        <w:tc>
          <w:tcPr>
            <w:tcW w:w="567" w:type="dxa"/>
            <w:tcBorders>
              <w:top w:val="nil"/>
              <w:left w:val="single" w:sz="4" w:space="0" w:color="auto"/>
              <w:bottom w:val="single" w:sz="8" w:space="0" w:color="auto"/>
              <w:right w:val="single" w:sz="4" w:space="0" w:color="auto"/>
            </w:tcBorders>
            <w:shd w:val="clear" w:color="000000" w:fill="FFFF00"/>
            <w:noWrap/>
            <w:vAlign w:val="bottom"/>
            <w:hideMark/>
          </w:tcPr>
          <w:p w14:paraId="68B23A70" w14:textId="48B6F363"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8" w:space="0" w:color="auto"/>
              <w:right w:val="single" w:sz="8" w:space="0" w:color="auto"/>
            </w:tcBorders>
            <w:shd w:val="clear" w:color="000000" w:fill="FFFF00"/>
            <w:noWrap/>
            <w:vAlign w:val="bottom"/>
            <w:hideMark/>
          </w:tcPr>
          <w:p w14:paraId="1878C0E4" w14:textId="2DA3ED5D"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8" w:space="0" w:color="auto"/>
              <w:right w:val="single" w:sz="4" w:space="0" w:color="auto"/>
            </w:tcBorders>
            <w:shd w:val="clear" w:color="000000" w:fill="FFFF00"/>
            <w:noWrap/>
            <w:vAlign w:val="bottom"/>
            <w:hideMark/>
          </w:tcPr>
          <w:p w14:paraId="6B8CBB60" w14:textId="04D5DECF"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8" w:space="0" w:color="auto"/>
              <w:right w:val="single" w:sz="8" w:space="0" w:color="auto"/>
            </w:tcBorders>
            <w:shd w:val="clear" w:color="000000" w:fill="FFFF00"/>
            <w:noWrap/>
            <w:vAlign w:val="bottom"/>
            <w:hideMark/>
          </w:tcPr>
          <w:p w14:paraId="10FD35D5" w14:textId="1BD14C65"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8" w:space="0" w:color="auto"/>
              <w:right w:val="single" w:sz="4" w:space="0" w:color="auto"/>
            </w:tcBorders>
            <w:shd w:val="clear" w:color="000000" w:fill="FFFF00"/>
            <w:noWrap/>
            <w:vAlign w:val="bottom"/>
            <w:hideMark/>
          </w:tcPr>
          <w:p w14:paraId="5D06EBD7" w14:textId="476C8413"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8" w:space="0" w:color="auto"/>
              <w:right w:val="single" w:sz="8" w:space="0" w:color="auto"/>
            </w:tcBorders>
            <w:shd w:val="clear" w:color="000000" w:fill="FFFF00"/>
            <w:noWrap/>
            <w:vAlign w:val="bottom"/>
            <w:hideMark/>
          </w:tcPr>
          <w:p w14:paraId="6D929189" w14:textId="2913AE63"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8" w:space="0" w:color="auto"/>
              <w:right w:val="single" w:sz="4" w:space="0" w:color="auto"/>
            </w:tcBorders>
            <w:shd w:val="clear" w:color="000000" w:fill="FFFF00"/>
            <w:noWrap/>
            <w:vAlign w:val="bottom"/>
            <w:hideMark/>
          </w:tcPr>
          <w:p w14:paraId="2AE62D55" w14:textId="7315CB80"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8" w:space="0" w:color="auto"/>
              <w:right w:val="single" w:sz="8" w:space="0" w:color="auto"/>
            </w:tcBorders>
            <w:shd w:val="clear" w:color="000000" w:fill="FFFF00"/>
            <w:noWrap/>
            <w:vAlign w:val="bottom"/>
            <w:hideMark/>
          </w:tcPr>
          <w:p w14:paraId="5B65D365" w14:textId="262CEEE7"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8" w:space="0" w:color="auto"/>
              <w:right w:val="single" w:sz="4" w:space="0" w:color="auto"/>
            </w:tcBorders>
            <w:shd w:val="clear" w:color="000000" w:fill="FFFF00"/>
            <w:noWrap/>
            <w:vAlign w:val="bottom"/>
            <w:hideMark/>
          </w:tcPr>
          <w:p w14:paraId="6C6BA866" w14:textId="24D5E212"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8" w:space="0" w:color="auto"/>
              <w:right w:val="single" w:sz="8" w:space="0" w:color="auto"/>
            </w:tcBorders>
            <w:shd w:val="clear" w:color="000000" w:fill="FFFF00"/>
            <w:noWrap/>
            <w:vAlign w:val="bottom"/>
            <w:hideMark/>
          </w:tcPr>
          <w:p w14:paraId="792841AB" w14:textId="3C4E9153"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8" w:space="0" w:color="auto"/>
              <w:right w:val="single" w:sz="4" w:space="0" w:color="auto"/>
            </w:tcBorders>
            <w:shd w:val="clear" w:color="000000" w:fill="FFFF00"/>
            <w:noWrap/>
            <w:vAlign w:val="bottom"/>
            <w:hideMark/>
          </w:tcPr>
          <w:p w14:paraId="186C3DA0" w14:textId="2D29ED41"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8" w:space="0" w:color="auto"/>
              <w:right w:val="single" w:sz="8" w:space="0" w:color="auto"/>
            </w:tcBorders>
            <w:shd w:val="clear" w:color="000000" w:fill="FFFF00"/>
            <w:noWrap/>
            <w:vAlign w:val="bottom"/>
            <w:hideMark/>
          </w:tcPr>
          <w:p w14:paraId="0B84EA63" w14:textId="3C7F90C2"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8" w:space="0" w:color="auto"/>
              <w:right w:val="single" w:sz="4" w:space="0" w:color="auto"/>
            </w:tcBorders>
            <w:shd w:val="clear" w:color="000000" w:fill="FFFF00"/>
            <w:noWrap/>
            <w:vAlign w:val="bottom"/>
            <w:hideMark/>
          </w:tcPr>
          <w:p w14:paraId="0520817B" w14:textId="04E13A85"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8" w:space="0" w:color="auto"/>
              <w:right w:val="single" w:sz="8" w:space="0" w:color="auto"/>
            </w:tcBorders>
            <w:shd w:val="clear" w:color="000000" w:fill="FFFF00"/>
            <w:noWrap/>
            <w:vAlign w:val="bottom"/>
            <w:hideMark/>
          </w:tcPr>
          <w:p w14:paraId="4B13F0EC" w14:textId="4F8EC433" w:rsidR="004C127E" w:rsidRPr="000E5786" w:rsidRDefault="004C127E" w:rsidP="00DD60F0">
            <w:pPr>
              <w:rPr>
                <w:rFonts w:cs="Arial"/>
                <w:szCs w:val="20"/>
              </w:rPr>
            </w:pPr>
            <w:r w:rsidRPr="000E5786">
              <w:rPr>
                <w:rFonts w:cs="Arial"/>
                <w:szCs w:val="20"/>
              </w:rPr>
              <w:t xml:space="preserve">414 </w:t>
            </w:r>
          </w:p>
        </w:tc>
      </w:tr>
      <w:tr w:rsidR="00A72177" w:rsidRPr="000E5786" w14:paraId="01E2BCA4" w14:textId="77777777" w:rsidTr="00613818">
        <w:trPr>
          <w:trHeight w:val="210"/>
        </w:trPr>
        <w:tc>
          <w:tcPr>
            <w:tcW w:w="1134" w:type="dxa"/>
            <w:vMerge/>
            <w:tcBorders>
              <w:top w:val="nil"/>
              <w:left w:val="single" w:sz="8" w:space="0" w:color="auto"/>
              <w:bottom w:val="single" w:sz="4" w:space="0" w:color="auto"/>
              <w:right w:val="single" w:sz="8" w:space="0" w:color="auto"/>
            </w:tcBorders>
            <w:vAlign w:val="center"/>
            <w:hideMark/>
          </w:tcPr>
          <w:p w14:paraId="603D91D6" w14:textId="77777777" w:rsidR="004C127E" w:rsidRPr="000E5786" w:rsidRDefault="004C127E" w:rsidP="00DD60F0">
            <w:pPr>
              <w:rPr>
                <w:rFonts w:cs="Arial"/>
                <w:b/>
                <w:bCs/>
                <w:szCs w:val="20"/>
              </w:rPr>
            </w:pPr>
          </w:p>
        </w:tc>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14:paraId="3510B8E0" w14:textId="77777777" w:rsidR="004C127E" w:rsidRPr="000E5786" w:rsidRDefault="004C127E" w:rsidP="00380763">
            <w:pPr>
              <w:ind w:left="0" w:firstLine="0"/>
              <w:jc w:val="center"/>
              <w:rPr>
                <w:rFonts w:cs="Arial"/>
                <w:b/>
                <w:bCs/>
                <w:szCs w:val="20"/>
              </w:rPr>
            </w:pPr>
            <w:r w:rsidRPr="000E5786">
              <w:rPr>
                <w:rFonts w:cs="Arial"/>
                <w:b/>
                <w:bCs/>
                <w:szCs w:val="20"/>
              </w:rPr>
              <w:t>Business change management</w:t>
            </w:r>
          </w:p>
        </w:tc>
        <w:tc>
          <w:tcPr>
            <w:tcW w:w="1560" w:type="dxa"/>
            <w:tcBorders>
              <w:top w:val="nil"/>
              <w:left w:val="nil"/>
              <w:bottom w:val="single" w:sz="4" w:space="0" w:color="auto"/>
              <w:right w:val="single" w:sz="4" w:space="0" w:color="auto"/>
            </w:tcBorders>
            <w:shd w:val="clear" w:color="auto" w:fill="auto"/>
            <w:noWrap/>
            <w:vAlign w:val="bottom"/>
            <w:hideMark/>
          </w:tcPr>
          <w:p w14:paraId="5D91460F" w14:textId="77777777" w:rsidR="004C127E" w:rsidRPr="000E5786" w:rsidRDefault="004C127E" w:rsidP="00AC4874">
            <w:pPr>
              <w:ind w:left="0" w:right="32" w:firstLine="0"/>
              <w:jc w:val="left"/>
              <w:rPr>
                <w:rFonts w:cs="Arial"/>
                <w:szCs w:val="20"/>
              </w:rPr>
            </w:pPr>
            <w:r w:rsidRPr="000E5786">
              <w:rPr>
                <w:rFonts w:cs="Arial"/>
                <w:szCs w:val="20"/>
              </w:rPr>
              <w:t>Business analysis</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939A1BD" w14:textId="77777777" w:rsidR="004C127E" w:rsidRPr="000E5786" w:rsidRDefault="004C127E" w:rsidP="00DD60F0">
            <w:pPr>
              <w:jc w:val="center"/>
              <w:rPr>
                <w:rFonts w:cs="Arial"/>
                <w:szCs w:val="20"/>
              </w:rPr>
            </w:pPr>
            <w:r w:rsidRPr="000E5786">
              <w:rPr>
                <w:rFonts w:cs="Arial"/>
                <w:szCs w:val="20"/>
              </w:rPr>
              <w:t>BUAN</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22FEA5E8" w14:textId="3309C819"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1E2F6B62" w14:textId="194E2C52"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1C3747A0" w14:textId="6706F2F8"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0FC3815F" w14:textId="10A4023E"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5A46CE7C" w14:textId="7EF6B872"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696C54FE" w14:textId="5A0EE8E5"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7C058E54" w14:textId="09098039"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7C322898" w14:textId="4C88B4D1"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2B4C47A1" w14:textId="338D92EA"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2864C16F" w14:textId="5949DE71"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3C5D7FEA" w14:textId="01E7812D"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6A00FD83" w14:textId="295352F2"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430A6BB2" w14:textId="7CA1DF36"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01D27518" w14:textId="68FD0E87" w:rsidR="004C127E" w:rsidRPr="000E5786" w:rsidRDefault="004C127E" w:rsidP="00DD60F0">
            <w:pPr>
              <w:rPr>
                <w:rFonts w:cs="Arial"/>
                <w:szCs w:val="20"/>
              </w:rPr>
            </w:pPr>
            <w:r w:rsidRPr="000E5786">
              <w:rPr>
                <w:rFonts w:cs="Arial"/>
                <w:szCs w:val="20"/>
              </w:rPr>
              <w:t xml:space="preserve">414 </w:t>
            </w:r>
          </w:p>
        </w:tc>
      </w:tr>
      <w:tr w:rsidR="00A72177" w:rsidRPr="000E5786" w14:paraId="01BBE6E8" w14:textId="77777777" w:rsidTr="00613818">
        <w:trPr>
          <w:trHeight w:val="222"/>
        </w:trPr>
        <w:tc>
          <w:tcPr>
            <w:tcW w:w="1134" w:type="dxa"/>
            <w:vMerge/>
            <w:tcBorders>
              <w:top w:val="nil"/>
              <w:left w:val="single" w:sz="8" w:space="0" w:color="auto"/>
              <w:bottom w:val="single" w:sz="4" w:space="0" w:color="auto"/>
              <w:right w:val="single" w:sz="8" w:space="0" w:color="auto"/>
            </w:tcBorders>
            <w:vAlign w:val="center"/>
            <w:hideMark/>
          </w:tcPr>
          <w:p w14:paraId="726B856B"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21EA404C" w14:textId="77777777" w:rsidR="004C127E" w:rsidRPr="000E5786" w:rsidRDefault="004C127E" w:rsidP="00380763">
            <w:pPr>
              <w:ind w:left="0" w:firstLine="0"/>
              <w:jc w:val="cente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32B15B22" w14:textId="4F23513F" w:rsidR="004C127E" w:rsidRPr="000E5786" w:rsidRDefault="0019481B" w:rsidP="00AC4874">
            <w:pPr>
              <w:ind w:left="0" w:right="32" w:firstLine="0"/>
              <w:jc w:val="left"/>
              <w:rPr>
                <w:rFonts w:cs="Arial"/>
                <w:szCs w:val="20"/>
              </w:rPr>
            </w:pPr>
            <w:r w:rsidRPr="000E5786">
              <w:rPr>
                <w:rFonts w:cs="Arial"/>
                <w:szCs w:val="20"/>
              </w:rPr>
              <w:t>Requirements</w:t>
            </w:r>
            <w:r w:rsidR="004C127E" w:rsidRPr="000E5786">
              <w:rPr>
                <w:rFonts w:cs="Arial"/>
                <w:szCs w:val="20"/>
              </w:rPr>
              <w:t xml:space="preserve"> definition and management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901F1AE" w14:textId="77777777" w:rsidR="004C127E" w:rsidRPr="000E5786" w:rsidRDefault="004C127E" w:rsidP="00DD60F0">
            <w:pPr>
              <w:jc w:val="center"/>
              <w:rPr>
                <w:rFonts w:cs="Arial"/>
                <w:szCs w:val="20"/>
              </w:rPr>
            </w:pPr>
            <w:r w:rsidRPr="000E5786">
              <w:rPr>
                <w:rFonts w:cs="Arial"/>
                <w:szCs w:val="20"/>
              </w:rPr>
              <w:t>REQM</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3AA1813E" w14:textId="18F0AF90"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60E809FA" w14:textId="648BDA56"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40D3AF96" w14:textId="644409D4"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1403D953" w14:textId="2139FC22"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72B4F1BB" w14:textId="488A7054"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22AA960F" w14:textId="02042767"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054B927F" w14:textId="74684892"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3F3FCBD5" w14:textId="5FB5050C"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0D7B7EFA" w14:textId="3E8F7F71"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55C2F311" w14:textId="2218E2FA"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32F3C07F" w14:textId="2FC84AE4"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4C2CA280" w14:textId="31EDDDE7"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6762E496" w14:textId="0D66AEED"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57E83165" w14:textId="375182EE" w:rsidR="004C127E" w:rsidRPr="000E5786" w:rsidRDefault="004C127E" w:rsidP="00DD60F0">
            <w:pPr>
              <w:rPr>
                <w:rFonts w:cs="Arial"/>
                <w:szCs w:val="20"/>
              </w:rPr>
            </w:pPr>
            <w:r w:rsidRPr="000E5786">
              <w:rPr>
                <w:rFonts w:cs="Arial"/>
                <w:szCs w:val="20"/>
              </w:rPr>
              <w:t xml:space="preserve">414 </w:t>
            </w:r>
          </w:p>
        </w:tc>
      </w:tr>
      <w:tr w:rsidR="00A72177" w:rsidRPr="000E5786" w14:paraId="1B989626" w14:textId="77777777" w:rsidTr="00613818">
        <w:trPr>
          <w:trHeight w:val="210"/>
        </w:trPr>
        <w:tc>
          <w:tcPr>
            <w:tcW w:w="1134" w:type="dxa"/>
            <w:vMerge/>
            <w:tcBorders>
              <w:top w:val="nil"/>
              <w:left w:val="single" w:sz="8" w:space="0" w:color="auto"/>
              <w:bottom w:val="single" w:sz="4" w:space="0" w:color="auto"/>
              <w:right w:val="single" w:sz="8" w:space="0" w:color="auto"/>
            </w:tcBorders>
            <w:vAlign w:val="center"/>
            <w:hideMark/>
          </w:tcPr>
          <w:p w14:paraId="20960562"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365955CC" w14:textId="77777777" w:rsidR="004C127E" w:rsidRPr="000E5786" w:rsidRDefault="004C127E" w:rsidP="00380763">
            <w:pPr>
              <w:ind w:left="0" w:firstLine="0"/>
              <w:jc w:val="cente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1C3D51BF" w14:textId="77777777" w:rsidR="004C127E" w:rsidRPr="000E5786" w:rsidRDefault="004C127E" w:rsidP="00AC4874">
            <w:pPr>
              <w:ind w:left="0" w:right="32" w:firstLine="0"/>
              <w:jc w:val="left"/>
              <w:rPr>
                <w:rFonts w:cs="Arial"/>
                <w:szCs w:val="20"/>
              </w:rPr>
            </w:pPr>
            <w:r w:rsidRPr="000E5786">
              <w:rPr>
                <w:rFonts w:cs="Arial"/>
                <w:szCs w:val="20"/>
              </w:rPr>
              <w:t>Business process testing</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775CFAB" w14:textId="77777777" w:rsidR="004C127E" w:rsidRPr="000E5786" w:rsidRDefault="004C127E" w:rsidP="00DD60F0">
            <w:pPr>
              <w:jc w:val="center"/>
              <w:rPr>
                <w:rFonts w:cs="Arial"/>
                <w:szCs w:val="20"/>
              </w:rPr>
            </w:pPr>
            <w:r w:rsidRPr="000E5786">
              <w:rPr>
                <w:rFonts w:cs="Arial"/>
                <w:szCs w:val="20"/>
              </w:rPr>
              <w:t>BPTS</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7DACD7AA" w14:textId="4D18AD37"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6ADAA165" w14:textId="46B9FF21"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606E9DA5" w14:textId="687D8142"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0EA2A9D2" w14:textId="31D4ACE0"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11599FD4" w14:textId="46F8D66E"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365546E2" w14:textId="5347179F"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008D0ECB" w14:textId="69620A8C"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3E7D282F" w14:textId="713B8A41"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627B73E2" w14:textId="1433C0F3"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35197E1E" w14:textId="207DDBF5"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2E0816A6" w14:textId="176C09E4"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0759984E" w14:textId="26C43909"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13348C14" w14:textId="50CCD381"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61EEA764" w14:textId="5CDACF68" w:rsidR="004C127E" w:rsidRPr="000E5786" w:rsidRDefault="004C127E" w:rsidP="00DD60F0">
            <w:pPr>
              <w:rPr>
                <w:rFonts w:cs="Arial"/>
                <w:szCs w:val="20"/>
              </w:rPr>
            </w:pPr>
            <w:r w:rsidRPr="000E5786">
              <w:rPr>
                <w:rFonts w:cs="Arial"/>
                <w:szCs w:val="20"/>
              </w:rPr>
              <w:t xml:space="preserve">414 </w:t>
            </w:r>
          </w:p>
        </w:tc>
      </w:tr>
      <w:tr w:rsidR="00A72177" w:rsidRPr="000E5786" w14:paraId="08A40B72" w14:textId="77777777" w:rsidTr="00613818">
        <w:trPr>
          <w:trHeight w:val="210"/>
        </w:trPr>
        <w:tc>
          <w:tcPr>
            <w:tcW w:w="1134" w:type="dxa"/>
            <w:vMerge/>
            <w:tcBorders>
              <w:top w:val="nil"/>
              <w:left w:val="single" w:sz="8" w:space="0" w:color="auto"/>
              <w:bottom w:val="single" w:sz="4" w:space="0" w:color="auto"/>
              <w:right w:val="single" w:sz="8" w:space="0" w:color="auto"/>
            </w:tcBorders>
            <w:vAlign w:val="center"/>
            <w:hideMark/>
          </w:tcPr>
          <w:p w14:paraId="47C4FC15"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6B078805" w14:textId="77777777" w:rsidR="004C127E" w:rsidRPr="000E5786" w:rsidRDefault="004C127E" w:rsidP="00380763">
            <w:pPr>
              <w:ind w:left="0" w:firstLine="0"/>
              <w:jc w:val="cente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1AFA1238" w14:textId="77777777" w:rsidR="004C127E" w:rsidRPr="000E5786" w:rsidRDefault="004C127E" w:rsidP="00AC4874">
            <w:pPr>
              <w:ind w:left="0" w:right="32" w:firstLine="0"/>
              <w:jc w:val="left"/>
              <w:rPr>
                <w:rFonts w:cs="Arial"/>
                <w:szCs w:val="20"/>
              </w:rPr>
            </w:pPr>
            <w:r w:rsidRPr="000E5786">
              <w:rPr>
                <w:rFonts w:cs="Arial"/>
                <w:szCs w:val="20"/>
              </w:rPr>
              <w:t>Change implementation planning and management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6999F20" w14:textId="77777777" w:rsidR="004C127E" w:rsidRPr="000E5786" w:rsidRDefault="004C127E" w:rsidP="00DD60F0">
            <w:pPr>
              <w:jc w:val="center"/>
              <w:rPr>
                <w:rFonts w:cs="Arial"/>
                <w:szCs w:val="20"/>
              </w:rPr>
            </w:pPr>
            <w:r w:rsidRPr="000E5786">
              <w:rPr>
                <w:rFonts w:cs="Arial"/>
                <w:szCs w:val="20"/>
              </w:rPr>
              <w:t>CIPM</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4E7A4B9E" w14:textId="5153B6ED"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44B3C0B1" w14:textId="1BB9B716"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3EF42D67" w14:textId="3EB187A8"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387E9FDC" w14:textId="3BAE0881"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6CC793C9" w14:textId="1E8919DA"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3F7D7031" w14:textId="0CB183A2"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4A45F07A" w14:textId="1113A39D"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782748A4" w14:textId="397875A2"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161AB0FE" w14:textId="5D459926"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1904CC07" w14:textId="521123B7"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6813F485" w14:textId="7694064F"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60987332" w14:textId="27C2F4F2"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5388400C" w14:textId="7D3B9F48"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2D0DE201" w14:textId="735A9646" w:rsidR="004C127E" w:rsidRPr="000E5786" w:rsidRDefault="004C127E" w:rsidP="00DD60F0">
            <w:pPr>
              <w:rPr>
                <w:rFonts w:cs="Arial"/>
                <w:szCs w:val="20"/>
              </w:rPr>
            </w:pPr>
            <w:r w:rsidRPr="000E5786">
              <w:rPr>
                <w:rFonts w:cs="Arial"/>
                <w:szCs w:val="20"/>
              </w:rPr>
              <w:t xml:space="preserve">414 </w:t>
            </w:r>
          </w:p>
        </w:tc>
      </w:tr>
      <w:tr w:rsidR="00A72177" w:rsidRPr="000E5786" w14:paraId="21755135" w14:textId="77777777" w:rsidTr="00613818">
        <w:trPr>
          <w:trHeight w:val="225"/>
        </w:trPr>
        <w:tc>
          <w:tcPr>
            <w:tcW w:w="1134" w:type="dxa"/>
            <w:vMerge/>
            <w:tcBorders>
              <w:top w:val="nil"/>
              <w:left w:val="single" w:sz="8" w:space="0" w:color="auto"/>
              <w:bottom w:val="single" w:sz="4" w:space="0" w:color="auto"/>
              <w:right w:val="single" w:sz="8" w:space="0" w:color="auto"/>
            </w:tcBorders>
            <w:vAlign w:val="center"/>
            <w:hideMark/>
          </w:tcPr>
          <w:p w14:paraId="1857C80B"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7AA2073D" w14:textId="77777777" w:rsidR="004C127E" w:rsidRPr="000E5786" w:rsidRDefault="004C127E" w:rsidP="00380763">
            <w:pPr>
              <w:ind w:left="0" w:firstLine="0"/>
              <w:jc w:val="cente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34FCA6AC" w14:textId="77777777" w:rsidR="004C127E" w:rsidRPr="000E5786" w:rsidRDefault="004C127E" w:rsidP="00AC4874">
            <w:pPr>
              <w:ind w:left="0" w:right="32" w:firstLine="0"/>
              <w:jc w:val="left"/>
              <w:rPr>
                <w:rFonts w:cs="Arial"/>
                <w:szCs w:val="20"/>
              </w:rPr>
            </w:pPr>
            <w:r w:rsidRPr="000E5786">
              <w:rPr>
                <w:rFonts w:cs="Arial"/>
                <w:szCs w:val="20"/>
              </w:rPr>
              <w:t>Organisation design and implementation</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B92E388" w14:textId="77777777" w:rsidR="004C127E" w:rsidRPr="000E5786" w:rsidRDefault="004C127E" w:rsidP="00DD60F0">
            <w:pPr>
              <w:jc w:val="center"/>
              <w:rPr>
                <w:rFonts w:cs="Arial"/>
                <w:szCs w:val="20"/>
              </w:rPr>
            </w:pPr>
            <w:r w:rsidRPr="000E5786">
              <w:rPr>
                <w:rFonts w:cs="Arial"/>
                <w:szCs w:val="20"/>
              </w:rPr>
              <w:t>ORDI</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2D2FCA73" w14:textId="7543E4DA"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1D7662CA" w14:textId="48AF6EEA"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61B89E05" w14:textId="0D3EDA42"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02932054" w14:textId="3F47C1E3"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614BE951" w14:textId="3EE5E5E0"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3842A81D" w14:textId="14B095FF"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7038294A" w14:textId="55772663"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3594E409" w14:textId="57087A22"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2BFCF354" w14:textId="7B423FD7"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220FB0FD" w14:textId="379824F9"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4F059AB9" w14:textId="62CF46B0"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250D899E" w14:textId="44D7ACCC"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13654725" w14:textId="210CE64D"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2F671AA1" w14:textId="06EBE9CC" w:rsidR="004C127E" w:rsidRPr="000E5786" w:rsidRDefault="004C127E" w:rsidP="00DD60F0">
            <w:pPr>
              <w:rPr>
                <w:rFonts w:cs="Arial"/>
                <w:szCs w:val="20"/>
              </w:rPr>
            </w:pPr>
            <w:r w:rsidRPr="000E5786">
              <w:rPr>
                <w:rFonts w:cs="Arial"/>
                <w:szCs w:val="20"/>
              </w:rPr>
              <w:t xml:space="preserve">414 </w:t>
            </w:r>
          </w:p>
        </w:tc>
      </w:tr>
      <w:tr w:rsidR="00A72177" w:rsidRPr="000E5786" w14:paraId="0FFC9E8B" w14:textId="77777777" w:rsidTr="00613818">
        <w:trPr>
          <w:trHeight w:val="225"/>
        </w:trPr>
        <w:tc>
          <w:tcPr>
            <w:tcW w:w="1134" w:type="dxa"/>
            <w:vMerge/>
            <w:tcBorders>
              <w:top w:val="nil"/>
              <w:left w:val="single" w:sz="8" w:space="0" w:color="auto"/>
              <w:bottom w:val="single" w:sz="4" w:space="0" w:color="auto"/>
              <w:right w:val="single" w:sz="8" w:space="0" w:color="auto"/>
            </w:tcBorders>
            <w:vAlign w:val="center"/>
            <w:hideMark/>
          </w:tcPr>
          <w:p w14:paraId="2CB91301"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531AE268" w14:textId="77777777" w:rsidR="004C127E" w:rsidRPr="000E5786" w:rsidRDefault="004C127E" w:rsidP="00380763">
            <w:pPr>
              <w:ind w:left="0" w:firstLine="0"/>
              <w:jc w:val="cente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496C8FD7" w14:textId="77777777" w:rsidR="004C127E" w:rsidRPr="000E5786" w:rsidRDefault="004C127E" w:rsidP="00AC4874">
            <w:pPr>
              <w:ind w:left="0" w:right="32" w:firstLine="0"/>
              <w:jc w:val="left"/>
              <w:rPr>
                <w:rFonts w:cs="Arial"/>
                <w:szCs w:val="20"/>
              </w:rPr>
            </w:pPr>
            <w:r w:rsidRPr="000E5786">
              <w:rPr>
                <w:rFonts w:cs="Arial"/>
                <w:szCs w:val="20"/>
              </w:rPr>
              <w:t>Benefits management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4D6FFB3" w14:textId="77777777" w:rsidR="004C127E" w:rsidRPr="000E5786" w:rsidRDefault="004C127E" w:rsidP="00DD60F0">
            <w:pPr>
              <w:jc w:val="center"/>
              <w:rPr>
                <w:rFonts w:cs="Arial"/>
                <w:szCs w:val="20"/>
              </w:rPr>
            </w:pPr>
            <w:r w:rsidRPr="000E5786">
              <w:rPr>
                <w:rFonts w:cs="Arial"/>
                <w:szCs w:val="20"/>
              </w:rPr>
              <w:t>BENM</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271C52A4" w14:textId="2374F813"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049B248A" w14:textId="595DB6E2"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4ED57622" w14:textId="7B3DEEF7"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6E21D270" w14:textId="12056508"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2292F598" w14:textId="74019B93"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7AE49910" w14:textId="7CBA5507"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2ED0FAA4" w14:textId="135CECD9"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222C3AEC" w14:textId="6EF70BAF"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15DD454E" w14:textId="16882406"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64B88572" w14:textId="7FDABFEF"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15E44487" w14:textId="06023827"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7125A7E9" w14:textId="1E30DB41"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4CA790AD" w14:textId="53581119"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53662094" w14:textId="7494C6AB" w:rsidR="004C127E" w:rsidRPr="000E5786" w:rsidRDefault="004C127E" w:rsidP="00DD60F0">
            <w:pPr>
              <w:rPr>
                <w:rFonts w:cs="Arial"/>
                <w:szCs w:val="20"/>
              </w:rPr>
            </w:pPr>
            <w:r w:rsidRPr="000E5786">
              <w:rPr>
                <w:rFonts w:cs="Arial"/>
                <w:szCs w:val="20"/>
              </w:rPr>
              <w:t xml:space="preserve">414 </w:t>
            </w:r>
          </w:p>
        </w:tc>
      </w:tr>
      <w:tr w:rsidR="00A72177" w:rsidRPr="000E5786" w14:paraId="2502267F" w14:textId="77777777" w:rsidTr="00613818">
        <w:trPr>
          <w:trHeight w:val="225"/>
        </w:trPr>
        <w:tc>
          <w:tcPr>
            <w:tcW w:w="1134" w:type="dxa"/>
            <w:vMerge/>
            <w:tcBorders>
              <w:top w:val="nil"/>
              <w:left w:val="single" w:sz="8" w:space="0" w:color="auto"/>
              <w:bottom w:val="single" w:sz="4" w:space="0" w:color="auto"/>
              <w:right w:val="single" w:sz="8" w:space="0" w:color="auto"/>
            </w:tcBorders>
            <w:vAlign w:val="center"/>
            <w:hideMark/>
          </w:tcPr>
          <w:p w14:paraId="695AE6A0"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5F4E87CD" w14:textId="77777777" w:rsidR="004C127E" w:rsidRPr="000E5786" w:rsidRDefault="004C127E" w:rsidP="00380763">
            <w:pPr>
              <w:ind w:left="0" w:firstLine="0"/>
              <w:jc w:val="cente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62BCB117" w14:textId="77777777" w:rsidR="004C127E" w:rsidRPr="000E5786" w:rsidRDefault="004C127E" w:rsidP="00AC4874">
            <w:pPr>
              <w:ind w:left="0" w:right="32" w:firstLine="0"/>
              <w:jc w:val="left"/>
              <w:rPr>
                <w:rFonts w:cs="Arial"/>
                <w:szCs w:val="20"/>
              </w:rPr>
            </w:pPr>
            <w:r w:rsidRPr="000E5786">
              <w:rPr>
                <w:rFonts w:cs="Arial"/>
                <w:szCs w:val="20"/>
              </w:rPr>
              <w:t>Business modelling</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BE2B597" w14:textId="77777777" w:rsidR="004C127E" w:rsidRPr="000E5786" w:rsidRDefault="004C127E" w:rsidP="00DD60F0">
            <w:pPr>
              <w:jc w:val="center"/>
              <w:rPr>
                <w:rFonts w:cs="Arial"/>
                <w:szCs w:val="20"/>
              </w:rPr>
            </w:pPr>
            <w:r w:rsidRPr="000E5786">
              <w:rPr>
                <w:rFonts w:cs="Arial"/>
                <w:szCs w:val="20"/>
              </w:rPr>
              <w:t>BSMO</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435D53D2" w14:textId="0A967F1E"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4" w:space="0" w:color="auto"/>
              <w:right w:val="single" w:sz="8" w:space="0" w:color="auto"/>
            </w:tcBorders>
            <w:shd w:val="clear" w:color="000000" w:fill="FFFF00"/>
            <w:noWrap/>
            <w:vAlign w:val="bottom"/>
            <w:hideMark/>
          </w:tcPr>
          <w:p w14:paraId="6E6583C4" w14:textId="4A975214"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477CE64C" w14:textId="2A349B3D"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1D9BC143" w14:textId="3F34420F"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7B51DE09" w14:textId="52D71D8D"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0EBFF00A" w14:textId="21959DD7"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74687158" w14:textId="03D4FF00"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65D12245" w14:textId="1D4757D4"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231CA116" w14:textId="550115AA"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1C5C91AD" w14:textId="25A8F6B2"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264D54AB" w14:textId="5E0CDFA2"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7FB5EE26" w14:textId="2EEC22F1"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017E1355" w14:textId="34055044"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5CB84A2A" w14:textId="4AE51CF1" w:rsidR="004C127E" w:rsidRPr="000E5786" w:rsidRDefault="004C127E" w:rsidP="00DD60F0">
            <w:pPr>
              <w:rPr>
                <w:rFonts w:cs="Arial"/>
                <w:szCs w:val="20"/>
              </w:rPr>
            </w:pPr>
            <w:r w:rsidRPr="000E5786">
              <w:rPr>
                <w:rFonts w:cs="Arial"/>
                <w:szCs w:val="20"/>
              </w:rPr>
              <w:t xml:space="preserve">414 </w:t>
            </w:r>
          </w:p>
        </w:tc>
      </w:tr>
      <w:tr w:rsidR="00A72177" w:rsidRPr="000E5786" w14:paraId="71E8E20F" w14:textId="77777777" w:rsidTr="00613818">
        <w:trPr>
          <w:trHeight w:val="240"/>
        </w:trPr>
        <w:tc>
          <w:tcPr>
            <w:tcW w:w="1134" w:type="dxa"/>
            <w:vMerge/>
            <w:tcBorders>
              <w:top w:val="nil"/>
              <w:left w:val="single" w:sz="8" w:space="0" w:color="auto"/>
              <w:bottom w:val="single" w:sz="4" w:space="0" w:color="auto"/>
              <w:right w:val="single" w:sz="8" w:space="0" w:color="auto"/>
            </w:tcBorders>
            <w:vAlign w:val="center"/>
            <w:hideMark/>
          </w:tcPr>
          <w:p w14:paraId="5E8B9107"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2B47B0E8" w14:textId="77777777" w:rsidR="004C127E" w:rsidRPr="000E5786" w:rsidRDefault="004C127E" w:rsidP="00380763">
            <w:pPr>
              <w:ind w:left="0" w:firstLine="0"/>
              <w:jc w:val="center"/>
              <w:rPr>
                <w:rFonts w:cs="Arial"/>
                <w:b/>
                <w:bCs/>
                <w:szCs w:val="20"/>
              </w:rPr>
            </w:pPr>
          </w:p>
        </w:tc>
        <w:tc>
          <w:tcPr>
            <w:tcW w:w="1560" w:type="dxa"/>
            <w:tcBorders>
              <w:top w:val="nil"/>
              <w:left w:val="nil"/>
              <w:bottom w:val="single" w:sz="8" w:space="0" w:color="auto"/>
              <w:right w:val="single" w:sz="4" w:space="0" w:color="auto"/>
            </w:tcBorders>
            <w:shd w:val="clear" w:color="auto" w:fill="auto"/>
            <w:noWrap/>
            <w:vAlign w:val="bottom"/>
            <w:hideMark/>
          </w:tcPr>
          <w:p w14:paraId="785A7551" w14:textId="15D13F84" w:rsidR="004C127E" w:rsidRPr="000E5786" w:rsidRDefault="0019481B" w:rsidP="00AC4874">
            <w:pPr>
              <w:ind w:left="0" w:right="32" w:firstLine="0"/>
              <w:jc w:val="left"/>
              <w:rPr>
                <w:rFonts w:cs="Arial"/>
                <w:szCs w:val="20"/>
              </w:rPr>
            </w:pPr>
            <w:r w:rsidRPr="000E5786">
              <w:rPr>
                <w:rFonts w:cs="Arial"/>
                <w:szCs w:val="20"/>
              </w:rPr>
              <w:t>Sustainability</w:t>
            </w:r>
            <w:r w:rsidR="004C127E" w:rsidRPr="000E5786">
              <w:rPr>
                <w:rFonts w:cs="Arial"/>
                <w:szCs w:val="20"/>
              </w:rPr>
              <w:t xml:space="preserve"> assessment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15397BE" w14:textId="77777777" w:rsidR="004C127E" w:rsidRPr="000E5786" w:rsidRDefault="004C127E" w:rsidP="00DD60F0">
            <w:pPr>
              <w:jc w:val="center"/>
              <w:rPr>
                <w:rFonts w:cs="Arial"/>
                <w:szCs w:val="20"/>
              </w:rPr>
            </w:pPr>
            <w:r w:rsidRPr="000E5786">
              <w:rPr>
                <w:rFonts w:cs="Arial"/>
                <w:szCs w:val="20"/>
              </w:rPr>
              <w:t>SUAS</w:t>
            </w:r>
          </w:p>
        </w:tc>
        <w:tc>
          <w:tcPr>
            <w:tcW w:w="567" w:type="dxa"/>
            <w:tcBorders>
              <w:top w:val="nil"/>
              <w:left w:val="single" w:sz="4" w:space="0" w:color="auto"/>
              <w:bottom w:val="single" w:sz="8" w:space="0" w:color="auto"/>
              <w:right w:val="single" w:sz="4" w:space="0" w:color="auto"/>
            </w:tcBorders>
            <w:shd w:val="clear" w:color="000000" w:fill="FFFF00"/>
            <w:noWrap/>
            <w:vAlign w:val="bottom"/>
            <w:hideMark/>
          </w:tcPr>
          <w:p w14:paraId="3EF11C7B" w14:textId="177E5ECE" w:rsidR="004C127E" w:rsidRPr="000E5786" w:rsidRDefault="004C127E" w:rsidP="00DD60F0">
            <w:pPr>
              <w:rPr>
                <w:rFonts w:cs="Arial"/>
                <w:szCs w:val="20"/>
              </w:rPr>
            </w:pPr>
            <w:r w:rsidRPr="000E5786">
              <w:rPr>
                <w:rFonts w:cs="Arial"/>
                <w:szCs w:val="20"/>
              </w:rPr>
              <w:t xml:space="preserve">495 </w:t>
            </w:r>
          </w:p>
        </w:tc>
        <w:tc>
          <w:tcPr>
            <w:tcW w:w="565" w:type="dxa"/>
            <w:tcBorders>
              <w:top w:val="nil"/>
              <w:left w:val="nil"/>
              <w:bottom w:val="single" w:sz="8" w:space="0" w:color="auto"/>
              <w:right w:val="single" w:sz="8" w:space="0" w:color="auto"/>
            </w:tcBorders>
            <w:shd w:val="clear" w:color="000000" w:fill="FFFF00"/>
            <w:noWrap/>
            <w:vAlign w:val="bottom"/>
            <w:hideMark/>
          </w:tcPr>
          <w:p w14:paraId="42DE66F6" w14:textId="6607D2FC"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8" w:space="0" w:color="auto"/>
              <w:right w:val="single" w:sz="4" w:space="0" w:color="auto"/>
            </w:tcBorders>
            <w:shd w:val="clear" w:color="000000" w:fill="FFFF00"/>
            <w:noWrap/>
            <w:vAlign w:val="bottom"/>
            <w:hideMark/>
          </w:tcPr>
          <w:p w14:paraId="6920C1C2" w14:textId="129294C4"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8" w:space="0" w:color="auto"/>
              <w:right w:val="single" w:sz="8" w:space="0" w:color="auto"/>
            </w:tcBorders>
            <w:shd w:val="clear" w:color="000000" w:fill="FFFF00"/>
            <w:noWrap/>
            <w:vAlign w:val="bottom"/>
            <w:hideMark/>
          </w:tcPr>
          <w:p w14:paraId="28B619E0" w14:textId="1C61DD5A"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8" w:space="0" w:color="auto"/>
              <w:right w:val="single" w:sz="4" w:space="0" w:color="auto"/>
            </w:tcBorders>
            <w:shd w:val="clear" w:color="000000" w:fill="FFFF00"/>
            <w:noWrap/>
            <w:vAlign w:val="bottom"/>
            <w:hideMark/>
          </w:tcPr>
          <w:p w14:paraId="6D0B7D84" w14:textId="7175775F"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8" w:space="0" w:color="auto"/>
              <w:right w:val="single" w:sz="8" w:space="0" w:color="auto"/>
            </w:tcBorders>
            <w:shd w:val="clear" w:color="000000" w:fill="FFFF00"/>
            <w:noWrap/>
            <w:vAlign w:val="bottom"/>
            <w:hideMark/>
          </w:tcPr>
          <w:p w14:paraId="6CDB144E" w14:textId="427161C3"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8" w:space="0" w:color="auto"/>
              <w:right w:val="single" w:sz="4" w:space="0" w:color="auto"/>
            </w:tcBorders>
            <w:shd w:val="clear" w:color="000000" w:fill="FFFF00"/>
            <w:noWrap/>
            <w:vAlign w:val="bottom"/>
            <w:hideMark/>
          </w:tcPr>
          <w:p w14:paraId="2BA6EF25" w14:textId="12C03F33"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8" w:space="0" w:color="auto"/>
              <w:right w:val="single" w:sz="8" w:space="0" w:color="auto"/>
            </w:tcBorders>
            <w:shd w:val="clear" w:color="000000" w:fill="FFFF00"/>
            <w:noWrap/>
            <w:vAlign w:val="bottom"/>
            <w:hideMark/>
          </w:tcPr>
          <w:p w14:paraId="3E312D31" w14:textId="74453455"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8" w:space="0" w:color="auto"/>
              <w:right w:val="single" w:sz="4" w:space="0" w:color="auto"/>
            </w:tcBorders>
            <w:shd w:val="clear" w:color="000000" w:fill="FFFF00"/>
            <w:noWrap/>
            <w:vAlign w:val="bottom"/>
            <w:hideMark/>
          </w:tcPr>
          <w:p w14:paraId="7F9F86F7" w14:textId="1DF5928C"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8" w:space="0" w:color="auto"/>
              <w:right w:val="single" w:sz="8" w:space="0" w:color="auto"/>
            </w:tcBorders>
            <w:shd w:val="clear" w:color="000000" w:fill="FFFF00"/>
            <w:noWrap/>
            <w:vAlign w:val="bottom"/>
            <w:hideMark/>
          </w:tcPr>
          <w:p w14:paraId="2609AD97" w14:textId="7103CD76"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8" w:space="0" w:color="auto"/>
              <w:right w:val="single" w:sz="4" w:space="0" w:color="auto"/>
            </w:tcBorders>
            <w:shd w:val="clear" w:color="000000" w:fill="FFFF00"/>
            <w:noWrap/>
            <w:vAlign w:val="bottom"/>
            <w:hideMark/>
          </w:tcPr>
          <w:p w14:paraId="5C553712" w14:textId="39EE2872"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8" w:space="0" w:color="auto"/>
              <w:right w:val="single" w:sz="8" w:space="0" w:color="auto"/>
            </w:tcBorders>
            <w:shd w:val="clear" w:color="000000" w:fill="FFFF00"/>
            <w:noWrap/>
            <w:vAlign w:val="bottom"/>
            <w:hideMark/>
          </w:tcPr>
          <w:p w14:paraId="4C2E96BD" w14:textId="00926B92"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8" w:space="0" w:color="auto"/>
              <w:right w:val="single" w:sz="4" w:space="0" w:color="auto"/>
            </w:tcBorders>
            <w:shd w:val="clear" w:color="000000" w:fill="FFFF00"/>
            <w:noWrap/>
            <w:vAlign w:val="bottom"/>
            <w:hideMark/>
          </w:tcPr>
          <w:p w14:paraId="3259AB66" w14:textId="0C355E77"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8" w:space="0" w:color="auto"/>
              <w:right w:val="single" w:sz="8" w:space="0" w:color="auto"/>
            </w:tcBorders>
            <w:shd w:val="clear" w:color="000000" w:fill="FFFF00"/>
            <w:noWrap/>
            <w:vAlign w:val="bottom"/>
            <w:hideMark/>
          </w:tcPr>
          <w:p w14:paraId="3511409F" w14:textId="7675A4F7" w:rsidR="004C127E" w:rsidRPr="000E5786" w:rsidRDefault="004C127E" w:rsidP="00DD60F0">
            <w:pPr>
              <w:rPr>
                <w:rFonts w:cs="Arial"/>
                <w:szCs w:val="20"/>
              </w:rPr>
            </w:pPr>
            <w:r w:rsidRPr="000E5786">
              <w:rPr>
                <w:rFonts w:cs="Arial"/>
                <w:szCs w:val="20"/>
              </w:rPr>
              <w:t xml:space="preserve">414 </w:t>
            </w:r>
          </w:p>
        </w:tc>
      </w:tr>
      <w:tr w:rsidR="00A72177" w:rsidRPr="000E5786" w14:paraId="509F9674" w14:textId="77777777" w:rsidTr="00613818">
        <w:trPr>
          <w:trHeight w:val="240"/>
        </w:trPr>
        <w:tc>
          <w:tcPr>
            <w:tcW w:w="1134"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0E355289" w14:textId="77777777" w:rsidR="004C127E" w:rsidRPr="000E5786" w:rsidRDefault="004C127E" w:rsidP="00380763">
            <w:pPr>
              <w:ind w:left="142" w:right="-111" w:hanging="29"/>
              <w:jc w:val="center"/>
              <w:rPr>
                <w:rFonts w:cs="Arial"/>
                <w:b/>
                <w:bCs/>
                <w:szCs w:val="20"/>
              </w:rPr>
            </w:pPr>
            <w:r w:rsidRPr="000E5786">
              <w:rPr>
                <w:rFonts w:cs="Arial"/>
                <w:b/>
                <w:bCs/>
                <w:szCs w:val="20"/>
              </w:rPr>
              <w:lastRenderedPageBreak/>
              <w:t>Development and implementation</w:t>
            </w:r>
          </w:p>
        </w:tc>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14:paraId="2EAC19A1" w14:textId="77777777" w:rsidR="004C127E" w:rsidRPr="000E5786" w:rsidRDefault="004C127E" w:rsidP="00380763">
            <w:pPr>
              <w:ind w:left="0" w:firstLine="0"/>
              <w:jc w:val="center"/>
              <w:rPr>
                <w:rFonts w:cs="Arial"/>
                <w:b/>
                <w:bCs/>
                <w:szCs w:val="20"/>
              </w:rPr>
            </w:pPr>
            <w:r w:rsidRPr="000E5786">
              <w:rPr>
                <w:rFonts w:cs="Arial"/>
                <w:b/>
                <w:bCs/>
                <w:szCs w:val="20"/>
              </w:rPr>
              <w:t>System development</w:t>
            </w:r>
          </w:p>
        </w:tc>
        <w:tc>
          <w:tcPr>
            <w:tcW w:w="1560" w:type="dxa"/>
            <w:tcBorders>
              <w:top w:val="nil"/>
              <w:left w:val="nil"/>
              <w:bottom w:val="single" w:sz="4" w:space="0" w:color="auto"/>
              <w:right w:val="single" w:sz="4" w:space="0" w:color="auto"/>
            </w:tcBorders>
            <w:shd w:val="clear" w:color="auto" w:fill="auto"/>
            <w:noWrap/>
            <w:vAlign w:val="bottom"/>
            <w:hideMark/>
          </w:tcPr>
          <w:p w14:paraId="1B5FF062" w14:textId="77777777" w:rsidR="004C127E" w:rsidRPr="000E5786" w:rsidRDefault="004C127E" w:rsidP="00AC4874">
            <w:pPr>
              <w:ind w:left="0" w:right="32" w:firstLine="0"/>
              <w:jc w:val="left"/>
              <w:rPr>
                <w:rFonts w:cs="Arial"/>
                <w:szCs w:val="20"/>
              </w:rPr>
            </w:pPr>
            <w:r w:rsidRPr="000E5786">
              <w:rPr>
                <w:rFonts w:cs="Arial"/>
                <w:szCs w:val="20"/>
              </w:rPr>
              <w:t>Systems development management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A95B099" w14:textId="77777777" w:rsidR="004C127E" w:rsidRPr="000E5786" w:rsidRDefault="004C127E" w:rsidP="00DD60F0">
            <w:pPr>
              <w:jc w:val="center"/>
              <w:rPr>
                <w:rFonts w:cs="Arial"/>
                <w:szCs w:val="20"/>
              </w:rPr>
            </w:pPr>
            <w:r w:rsidRPr="000E5786">
              <w:rPr>
                <w:rFonts w:cs="Arial"/>
                <w:szCs w:val="20"/>
              </w:rPr>
              <w:t>DLMG</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6BA4C4FB" w14:textId="1A4683BE" w:rsidR="004C127E" w:rsidRPr="000E5786" w:rsidRDefault="004C127E" w:rsidP="00DD60F0">
            <w:pPr>
              <w:rPr>
                <w:rFonts w:cs="Arial"/>
                <w:szCs w:val="20"/>
              </w:rPr>
            </w:pPr>
            <w:r w:rsidRPr="000E5786">
              <w:rPr>
                <w:rFonts w:cs="Arial"/>
                <w:szCs w:val="20"/>
              </w:rPr>
              <w:t xml:space="preserve">420 </w:t>
            </w:r>
          </w:p>
        </w:tc>
        <w:tc>
          <w:tcPr>
            <w:tcW w:w="565" w:type="dxa"/>
            <w:tcBorders>
              <w:top w:val="nil"/>
              <w:left w:val="nil"/>
              <w:bottom w:val="single" w:sz="4" w:space="0" w:color="auto"/>
              <w:right w:val="single" w:sz="8" w:space="0" w:color="auto"/>
            </w:tcBorders>
            <w:shd w:val="clear" w:color="000000" w:fill="FFFF00"/>
            <w:noWrap/>
            <w:vAlign w:val="bottom"/>
            <w:hideMark/>
          </w:tcPr>
          <w:p w14:paraId="2B25C480" w14:textId="1E38D064"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62F02AF4" w14:textId="049F40EF" w:rsidR="004C127E" w:rsidRPr="000E5786" w:rsidRDefault="004C127E" w:rsidP="00DD60F0">
            <w:pPr>
              <w:rPr>
                <w:rFonts w:cs="Arial"/>
                <w:szCs w:val="20"/>
              </w:rPr>
            </w:pPr>
            <w:r w:rsidRPr="000E5786">
              <w:rPr>
                <w:rFonts w:cs="Arial"/>
                <w:szCs w:val="20"/>
              </w:rPr>
              <w:t xml:space="preserve">530 </w:t>
            </w:r>
          </w:p>
        </w:tc>
        <w:tc>
          <w:tcPr>
            <w:tcW w:w="709" w:type="dxa"/>
            <w:tcBorders>
              <w:top w:val="nil"/>
              <w:left w:val="nil"/>
              <w:bottom w:val="single" w:sz="4" w:space="0" w:color="auto"/>
              <w:right w:val="single" w:sz="8" w:space="0" w:color="auto"/>
            </w:tcBorders>
            <w:shd w:val="clear" w:color="000000" w:fill="FFFF00"/>
            <w:noWrap/>
            <w:vAlign w:val="bottom"/>
            <w:hideMark/>
          </w:tcPr>
          <w:p w14:paraId="32ACC548" w14:textId="6C8AB191"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2919318D" w14:textId="1FCAEFFA" w:rsidR="004C127E" w:rsidRPr="000E5786" w:rsidRDefault="004C127E" w:rsidP="00DD60F0">
            <w:pPr>
              <w:rPr>
                <w:rFonts w:cs="Arial"/>
                <w:szCs w:val="20"/>
              </w:rPr>
            </w:pPr>
            <w:r w:rsidRPr="000E5786">
              <w:rPr>
                <w:rFonts w:cs="Arial"/>
                <w:szCs w:val="20"/>
              </w:rPr>
              <w:t xml:space="preserve">632 </w:t>
            </w:r>
          </w:p>
        </w:tc>
        <w:tc>
          <w:tcPr>
            <w:tcW w:w="709" w:type="dxa"/>
            <w:tcBorders>
              <w:top w:val="nil"/>
              <w:left w:val="nil"/>
              <w:bottom w:val="single" w:sz="4" w:space="0" w:color="auto"/>
              <w:right w:val="single" w:sz="8" w:space="0" w:color="auto"/>
            </w:tcBorders>
            <w:shd w:val="clear" w:color="000000" w:fill="FFFF00"/>
            <w:noWrap/>
            <w:vAlign w:val="bottom"/>
            <w:hideMark/>
          </w:tcPr>
          <w:p w14:paraId="468EB242" w14:textId="47651DAA"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6B59651E" w14:textId="0D2FE66A" w:rsidR="004C127E" w:rsidRPr="000E5786" w:rsidRDefault="004C127E" w:rsidP="00DD60F0">
            <w:pPr>
              <w:rPr>
                <w:rFonts w:cs="Arial"/>
                <w:szCs w:val="20"/>
              </w:rPr>
            </w:pPr>
            <w:r w:rsidRPr="000E5786">
              <w:rPr>
                <w:rFonts w:cs="Arial"/>
                <w:szCs w:val="20"/>
              </w:rPr>
              <w:t xml:space="preserve">876 </w:t>
            </w:r>
          </w:p>
        </w:tc>
        <w:tc>
          <w:tcPr>
            <w:tcW w:w="709" w:type="dxa"/>
            <w:tcBorders>
              <w:top w:val="nil"/>
              <w:left w:val="nil"/>
              <w:bottom w:val="single" w:sz="4" w:space="0" w:color="auto"/>
              <w:right w:val="single" w:sz="8" w:space="0" w:color="auto"/>
            </w:tcBorders>
            <w:shd w:val="clear" w:color="000000" w:fill="FFFF00"/>
            <w:noWrap/>
            <w:vAlign w:val="bottom"/>
            <w:hideMark/>
          </w:tcPr>
          <w:p w14:paraId="5F891340" w14:textId="01A73A51"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28B4790F" w14:textId="0774E5AF" w:rsidR="004C127E" w:rsidRPr="000E5786" w:rsidRDefault="004C127E" w:rsidP="00DD60F0">
            <w:pPr>
              <w:rPr>
                <w:rFonts w:cs="Arial"/>
                <w:szCs w:val="20"/>
              </w:rPr>
            </w:pPr>
            <w:r w:rsidRPr="000E5786">
              <w:rPr>
                <w:rFonts w:cs="Arial"/>
                <w:szCs w:val="20"/>
              </w:rPr>
              <w:t xml:space="preserve">1,003 </w:t>
            </w:r>
          </w:p>
        </w:tc>
        <w:tc>
          <w:tcPr>
            <w:tcW w:w="708" w:type="dxa"/>
            <w:tcBorders>
              <w:top w:val="nil"/>
              <w:left w:val="nil"/>
              <w:bottom w:val="single" w:sz="4" w:space="0" w:color="auto"/>
              <w:right w:val="single" w:sz="8" w:space="0" w:color="auto"/>
            </w:tcBorders>
            <w:shd w:val="clear" w:color="000000" w:fill="FFFF00"/>
            <w:noWrap/>
            <w:vAlign w:val="bottom"/>
            <w:hideMark/>
          </w:tcPr>
          <w:p w14:paraId="2E950320" w14:textId="2A9C1D27"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25A5B1D3" w14:textId="42173773" w:rsidR="004C127E" w:rsidRPr="000E5786" w:rsidRDefault="004C127E" w:rsidP="00DD60F0">
            <w:pPr>
              <w:rPr>
                <w:rFonts w:cs="Arial"/>
                <w:szCs w:val="20"/>
              </w:rPr>
            </w:pPr>
            <w:r w:rsidRPr="000E5786">
              <w:rPr>
                <w:rFonts w:cs="Arial"/>
                <w:szCs w:val="20"/>
              </w:rPr>
              <w:t xml:space="preserve">1,274 </w:t>
            </w:r>
          </w:p>
        </w:tc>
        <w:tc>
          <w:tcPr>
            <w:tcW w:w="709" w:type="dxa"/>
            <w:tcBorders>
              <w:top w:val="nil"/>
              <w:left w:val="nil"/>
              <w:bottom w:val="single" w:sz="4" w:space="0" w:color="auto"/>
              <w:right w:val="single" w:sz="8" w:space="0" w:color="auto"/>
            </w:tcBorders>
            <w:shd w:val="clear" w:color="000000" w:fill="FFFF00"/>
            <w:noWrap/>
            <w:vAlign w:val="bottom"/>
            <w:hideMark/>
          </w:tcPr>
          <w:p w14:paraId="60A3C544" w14:textId="0FB7038B"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05D3A4D6" w14:textId="7B0FB5AC" w:rsidR="004C127E" w:rsidRPr="000E5786" w:rsidRDefault="004C127E" w:rsidP="00DD60F0">
            <w:pPr>
              <w:rPr>
                <w:rFonts w:cs="Arial"/>
                <w:szCs w:val="20"/>
              </w:rPr>
            </w:pPr>
            <w:r w:rsidRPr="000E5786">
              <w:rPr>
                <w:rFonts w:cs="Arial"/>
                <w:szCs w:val="20"/>
              </w:rPr>
              <w:t xml:space="preserve">1,498 </w:t>
            </w:r>
          </w:p>
        </w:tc>
        <w:tc>
          <w:tcPr>
            <w:tcW w:w="709" w:type="dxa"/>
            <w:tcBorders>
              <w:top w:val="nil"/>
              <w:left w:val="nil"/>
              <w:bottom w:val="single" w:sz="4" w:space="0" w:color="auto"/>
              <w:right w:val="single" w:sz="8" w:space="0" w:color="auto"/>
            </w:tcBorders>
            <w:shd w:val="clear" w:color="000000" w:fill="FFFF00"/>
            <w:noWrap/>
            <w:vAlign w:val="bottom"/>
            <w:hideMark/>
          </w:tcPr>
          <w:p w14:paraId="23676522" w14:textId="24B980F2" w:rsidR="004C127E" w:rsidRPr="000E5786" w:rsidRDefault="004C127E" w:rsidP="00DD60F0">
            <w:pPr>
              <w:rPr>
                <w:rFonts w:cs="Arial"/>
                <w:szCs w:val="20"/>
              </w:rPr>
            </w:pPr>
            <w:r w:rsidRPr="000E5786">
              <w:rPr>
                <w:rFonts w:cs="Arial"/>
                <w:szCs w:val="20"/>
              </w:rPr>
              <w:t xml:space="preserve">414 </w:t>
            </w:r>
          </w:p>
        </w:tc>
      </w:tr>
      <w:tr w:rsidR="00A72177" w:rsidRPr="000E5786" w14:paraId="5450653F" w14:textId="77777777" w:rsidTr="00613818">
        <w:trPr>
          <w:trHeight w:val="225"/>
        </w:trPr>
        <w:tc>
          <w:tcPr>
            <w:tcW w:w="1134" w:type="dxa"/>
            <w:vMerge/>
            <w:tcBorders>
              <w:top w:val="nil"/>
              <w:left w:val="single" w:sz="8" w:space="0" w:color="auto"/>
              <w:bottom w:val="single" w:sz="8" w:space="0" w:color="000000"/>
              <w:right w:val="single" w:sz="8" w:space="0" w:color="auto"/>
            </w:tcBorders>
            <w:vAlign w:val="center"/>
            <w:hideMark/>
          </w:tcPr>
          <w:p w14:paraId="155BB676"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7A7389EE" w14:textId="77777777" w:rsidR="004C127E" w:rsidRPr="000E5786" w:rsidRDefault="004C127E" w:rsidP="00380763">
            <w:pPr>
              <w:ind w:left="0" w:firstLine="0"/>
              <w:jc w:val="cente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3D7F7116" w14:textId="77777777" w:rsidR="004C127E" w:rsidRPr="000E5786" w:rsidRDefault="004C127E" w:rsidP="00AC4874">
            <w:pPr>
              <w:ind w:left="0" w:right="32" w:firstLine="0"/>
              <w:jc w:val="left"/>
              <w:rPr>
                <w:rFonts w:cs="Arial"/>
                <w:szCs w:val="20"/>
              </w:rPr>
            </w:pPr>
            <w:r w:rsidRPr="000E5786">
              <w:rPr>
                <w:rFonts w:cs="Arial"/>
                <w:szCs w:val="20"/>
              </w:rPr>
              <w:t>Data analysis</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D223C1F" w14:textId="77777777" w:rsidR="004C127E" w:rsidRPr="000E5786" w:rsidRDefault="004C127E" w:rsidP="00DD60F0">
            <w:pPr>
              <w:jc w:val="center"/>
              <w:rPr>
                <w:rFonts w:cs="Arial"/>
                <w:szCs w:val="20"/>
              </w:rPr>
            </w:pPr>
            <w:r w:rsidRPr="000E5786">
              <w:rPr>
                <w:rFonts w:cs="Arial"/>
                <w:szCs w:val="20"/>
              </w:rPr>
              <w:t>DTAN</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05695705" w14:textId="7B948852" w:rsidR="004C127E" w:rsidRPr="000E5786" w:rsidRDefault="004C127E" w:rsidP="00DD60F0">
            <w:pPr>
              <w:rPr>
                <w:rFonts w:cs="Arial"/>
                <w:szCs w:val="20"/>
              </w:rPr>
            </w:pPr>
            <w:r w:rsidRPr="000E5786">
              <w:rPr>
                <w:rFonts w:cs="Arial"/>
                <w:szCs w:val="20"/>
              </w:rPr>
              <w:t xml:space="preserve">420 </w:t>
            </w:r>
          </w:p>
        </w:tc>
        <w:tc>
          <w:tcPr>
            <w:tcW w:w="565" w:type="dxa"/>
            <w:tcBorders>
              <w:top w:val="nil"/>
              <w:left w:val="nil"/>
              <w:bottom w:val="single" w:sz="4" w:space="0" w:color="auto"/>
              <w:right w:val="single" w:sz="8" w:space="0" w:color="auto"/>
            </w:tcBorders>
            <w:shd w:val="clear" w:color="000000" w:fill="FFFF00"/>
            <w:noWrap/>
            <w:vAlign w:val="bottom"/>
            <w:hideMark/>
          </w:tcPr>
          <w:p w14:paraId="353C018E" w14:textId="0C3EABC7"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5A147AE7" w14:textId="5B5099AE" w:rsidR="004C127E" w:rsidRPr="000E5786" w:rsidRDefault="004C127E" w:rsidP="00DD60F0">
            <w:pPr>
              <w:rPr>
                <w:rFonts w:cs="Arial"/>
                <w:szCs w:val="20"/>
              </w:rPr>
            </w:pPr>
            <w:r w:rsidRPr="000E5786">
              <w:rPr>
                <w:rFonts w:cs="Arial"/>
                <w:szCs w:val="20"/>
              </w:rPr>
              <w:t xml:space="preserve">530 </w:t>
            </w:r>
          </w:p>
        </w:tc>
        <w:tc>
          <w:tcPr>
            <w:tcW w:w="709" w:type="dxa"/>
            <w:tcBorders>
              <w:top w:val="nil"/>
              <w:left w:val="nil"/>
              <w:bottom w:val="single" w:sz="4" w:space="0" w:color="auto"/>
              <w:right w:val="single" w:sz="8" w:space="0" w:color="auto"/>
            </w:tcBorders>
            <w:shd w:val="clear" w:color="000000" w:fill="FFFF00"/>
            <w:noWrap/>
            <w:vAlign w:val="bottom"/>
            <w:hideMark/>
          </w:tcPr>
          <w:p w14:paraId="5EBBD359" w14:textId="3E247E61"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66A7D898" w14:textId="191124BC" w:rsidR="004C127E" w:rsidRPr="000E5786" w:rsidRDefault="004C127E" w:rsidP="00DD60F0">
            <w:pPr>
              <w:rPr>
                <w:rFonts w:cs="Arial"/>
                <w:szCs w:val="20"/>
              </w:rPr>
            </w:pPr>
            <w:r w:rsidRPr="000E5786">
              <w:rPr>
                <w:rFonts w:cs="Arial"/>
                <w:szCs w:val="20"/>
              </w:rPr>
              <w:t xml:space="preserve">632 </w:t>
            </w:r>
          </w:p>
        </w:tc>
        <w:tc>
          <w:tcPr>
            <w:tcW w:w="709" w:type="dxa"/>
            <w:tcBorders>
              <w:top w:val="nil"/>
              <w:left w:val="nil"/>
              <w:bottom w:val="single" w:sz="4" w:space="0" w:color="auto"/>
              <w:right w:val="single" w:sz="8" w:space="0" w:color="auto"/>
            </w:tcBorders>
            <w:shd w:val="clear" w:color="000000" w:fill="FFFF00"/>
            <w:noWrap/>
            <w:vAlign w:val="bottom"/>
            <w:hideMark/>
          </w:tcPr>
          <w:p w14:paraId="502D2233" w14:textId="41BAFD70"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6E85D657" w14:textId="3D9993EB" w:rsidR="004C127E" w:rsidRPr="000E5786" w:rsidRDefault="004C127E" w:rsidP="00DD60F0">
            <w:pPr>
              <w:rPr>
                <w:rFonts w:cs="Arial"/>
                <w:szCs w:val="20"/>
              </w:rPr>
            </w:pPr>
            <w:r w:rsidRPr="000E5786">
              <w:rPr>
                <w:rFonts w:cs="Arial"/>
                <w:szCs w:val="20"/>
              </w:rPr>
              <w:t xml:space="preserve">876 </w:t>
            </w:r>
          </w:p>
        </w:tc>
        <w:tc>
          <w:tcPr>
            <w:tcW w:w="709" w:type="dxa"/>
            <w:tcBorders>
              <w:top w:val="nil"/>
              <w:left w:val="nil"/>
              <w:bottom w:val="single" w:sz="4" w:space="0" w:color="auto"/>
              <w:right w:val="single" w:sz="8" w:space="0" w:color="auto"/>
            </w:tcBorders>
            <w:shd w:val="clear" w:color="000000" w:fill="FFFF00"/>
            <w:noWrap/>
            <w:vAlign w:val="bottom"/>
            <w:hideMark/>
          </w:tcPr>
          <w:p w14:paraId="1F7CC350" w14:textId="47CC7D3B"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105DA9B5" w14:textId="0AED18A1" w:rsidR="004C127E" w:rsidRPr="000E5786" w:rsidRDefault="004C127E" w:rsidP="00DD60F0">
            <w:pPr>
              <w:rPr>
                <w:rFonts w:cs="Arial"/>
                <w:szCs w:val="20"/>
              </w:rPr>
            </w:pPr>
            <w:r w:rsidRPr="000E5786">
              <w:rPr>
                <w:rFonts w:cs="Arial"/>
                <w:szCs w:val="20"/>
              </w:rPr>
              <w:t xml:space="preserve">1,003 </w:t>
            </w:r>
          </w:p>
        </w:tc>
        <w:tc>
          <w:tcPr>
            <w:tcW w:w="708" w:type="dxa"/>
            <w:tcBorders>
              <w:top w:val="nil"/>
              <w:left w:val="nil"/>
              <w:bottom w:val="single" w:sz="4" w:space="0" w:color="auto"/>
              <w:right w:val="single" w:sz="8" w:space="0" w:color="auto"/>
            </w:tcBorders>
            <w:shd w:val="clear" w:color="000000" w:fill="FFFF00"/>
            <w:noWrap/>
            <w:vAlign w:val="bottom"/>
            <w:hideMark/>
          </w:tcPr>
          <w:p w14:paraId="74444FD4" w14:textId="44D683F2"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7BB7785D" w14:textId="7490C23D" w:rsidR="004C127E" w:rsidRPr="000E5786" w:rsidRDefault="004C127E" w:rsidP="00DD60F0">
            <w:pPr>
              <w:rPr>
                <w:rFonts w:cs="Arial"/>
                <w:szCs w:val="20"/>
              </w:rPr>
            </w:pPr>
            <w:r w:rsidRPr="000E5786">
              <w:rPr>
                <w:rFonts w:cs="Arial"/>
                <w:szCs w:val="20"/>
              </w:rPr>
              <w:t xml:space="preserve">1,274 </w:t>
            </w:r>
          </w:p>
        </w:tc>
        <w:tc>
          <w:tcPr>
            <w:tcW w:w="709" w:type="dxa"/>
            <w:tcBorders>
              <w:top w:val="nil"/>
              <w:left w:val="nil"/>
              <w:bottom w:val="single" w:sz="4" w:space="0" w:color="auto"/>
              <w:right w:val="single" w:sz="8" w:space="0" w:color="auto"/>
            </w:tcBorders>
            <w:shd w:val="clear" w:color="000000" w:fill="FFFF00"/>
            <w:noWrap/>
            <w:vAlign w:val="bottom"/>
            <w:hideMark/>
          </w:tcPr>
          <w:p w14:paraId="48918DD5" w14:textId="5B6669E0"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12FAFC93" w14:textId="02F8AFB0" w:rsidR="004C127E" w:rsidRPr="000E5786" w:rsidRDefault="004C127E" w:rsidP="00DD60F0">
            <w:pPr>
              <w:rPr>
                <w:rFonts w:cs="Arial"/>
                <w:szCs w:val="20"/>
              </w:rPr>
            </w:pPr>
            <w:r w:rsidRPr="000E5786">
              <w:rPr>
                <w:rFonts w:cs="Arial"/>
                <w:szCs w:val="20"/>
              </w:rPr>
              <w:t xml:space="preserve">1,498 </w:t>
            </w:r>
          </w:p>
        </w:tc>
        <w:tc>
          <w:tcPr>
            <w:tcW w:w="709" w:type="dxa"/>
            <w:tcBorders>
              <w:top w:val="nil"/>
              <w:left w:val="nil"/>
              <w:bottom w:val="single" w:sz="4" w:space="0" w:color="auto"/>
              <w:right w:val="single" w:sz="8" w:space="0" w:color="auto"/>
            </w:tcBorders>
            <w:shd w:val="clear" w:color="000000" w:fill="FFFF00"/>
            <w:noWrap/>
            <w:vAlign w:val="bottom"/>
            <w:hideMark/>
          </w:tcPr>
          <w:p w14:paraId="41B83EDC" w14:textId="1978A957" w:rsidR="004C127E" w:rsidRPr="000E5786" w:rsidRDefault="004C127E" w:rsidP="00DD60F0">
            <w:pPr>
              <w:rPr>
                <w:rFonts w:cs="Arial"/>
                <w:szCs w:val="20"/>
              </w:rPr>
            </w:pPr>
            <w:r w:rsidRPr="000E5786">
              <w:rPr>
                <w:rFonts w:cs="Arial"/>
                <w:szCs w:val="20"/>
              </w:rPr>
              <w:t xml:space="preserve">414 </w:t>
            </w:r>
          </w:p>
        </w:tc>
      </w:tr>
      <w:tr w:rsidR="00A72177" w:rsidRPr="000E5786" w14:paraId="78F8B5DD" w14:textId="77777777" w:rsidTr="00613818">
        <w:trPr>
          <w:trHeight w:val="225"/>
        </w:trPr>
        <w:tc>
          <w:tcPr>
            <w:tcW w:w="1134" w:type="dxa"/>
            <w:vMerge/>
            <w:tcBorders>
              <w:top w:val="nil"/>
              <w:left w:val="single" w:sz="8" w:space="0" w:color="auto"/>
              <w:bottom w:val="single" w:sz="8" w:space="0" w:color="000000"/>
              <w:right w:val="single" w:sz="8" w:space="0" w:color="auto"/>
            </w:tcBorders>
            <w:vAlign w:val="center"/>
            <w:hideMark/>
          </w:tcPr>
          <w:p w14:paraId="2B490E3C"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2CB3E04D" w14:textId="77777777" w:rsidR="004C127E" w:rsidRPr="000E5786" w:rsidRDefault="004C127E" w:rsidP="00380763">
            <w:pPr>
              <w:ind w:left="0" w:firstLine="0"/>
              <w:jc w:val="cente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0BB0AEE9" w14:textId="77777777" w:rsidR="004C127E" w:rsidRPr="000E5786" w:rsidRDefault="004C127E" w:rsidP="00AC4874">
            <w:pPr>
              <w:ind w:left="0" w:right="32" w:firstLine="0"/>
              <w:jc w:val="left"/>
              <w:rPr>
                <w:rFonts w:cs="Arial"/>
                <w:szCs w:val="20"/>
              </w:rPr>
            </w:pPr>
            <w:r w:rsidRPr="000E5786">
              <w:rPr>
                <w:rFonts w:cs="Arial"/>
                <w:szCs w:val="20"/>
              </w:rPr>
              <w:t>Systems design</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432D852" w14:textId="77777777" w:rsidR="004C127E" w:rsidRPr="000E5786" w:rsidRDefault="004C127E" w:rsidP="00DD60F0">
            <w:pPr>
              <w:jc w:val="center"/>
              <w:rPr>
                <w:rFonts w:cs="Arial"/>
                <w:szCs w:val="20"/>
              </w:rPr>
            </w:pPr>
            <w:r w:rsidRPr="000E5786">
              <w:rPr>
                <w:rFonts w:cs="Arial"/>
                <w:szCs w:val="20"/>
              </w:rPr>
              <w:t>DESN</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7DA173B0" w14:textId="45051D23" w:rsidR="004C127E" w:rsidRPr="000E5786" w:rsidRDefault="004C127E" w:rsidP="00DD60F0">
            <w:pPr>
              <w:rPr>
                <w:rFonts w:cs="Arial"/>
                <w:szCs w:val="20"/>
              </w:rPr>
            </w:pPr>
            <w:r w:rsidRPr="000E5786">
              <w:rPr>
                <w:rFonts w:cs="Arial"/>
                <w:szCs w:val="20"/>
              </w:rPr>
              <w:t xml:space="preserve">420 </w:t>
            </w:r>
          </w:p>
        </w:tc>
        <w:tc>
          <w:tcPr>
            <w:tcW w:w="565" w:type="dxa"/>
            <w:tcBorders>
              <w:top w:val="nil"/>
              <w:left w:val="nil"/>
              <w:bottom w:val="single" w:sz="4" w:space="0" w:color="auto"/>
              <w:right w:val="single" w:sz="8" w:space="0" w:color="auto"/>
            </w:tcBorders>
            <w:shd w:val="clear" w:color="000000" w:fill="FFFF00"/>
            <w:noWrap/>
            <w:vAlign w:val="bottom"/>
            <w:hideMark/>
          </w:tcPr>
          <w:p w14:paraId="35E02617" w14:textId="703BB0D6"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732223A2" w14:textId="3CFBFBE0" w:rsidR="004C127E" w:rsidRPr="000E5786" w:rsidRDefault="004C127E" w:rsidP="00DD60F0">
            <w:pPr>
              <w:rPr>
                <w:rFonts w:cs="Arial"/>
                <w:szCs w:val="20"/>
              </w:rPr>
            </w:pPr>
            <w:r w:rsidRPr="000E5786">
              <w:rPr>
                <w:rFonts w:cs="Arial"/>
                <w:szCs w:val="20"/>
              </w:rPr>
              <w:t xml:space="preserve">530 </w:t>
            </w:r>
          </w:p>
        </w:tc>
        <w:tc>
          <w:tcPr>
            <w:tcW w:w="709" w:type="dxa"/>
            <w:tcBorders>
              <w:top w:val="nil"/>
              <w:left w:val="nil"/>
              <w:bottom w:val="single" w:sz="4" w:space="0" w:color="auto"/>
              <w:right w:val="single" w:sz="8" w:space="0" w:color="auto"/>
            </w:tcBorders>
            <w:shd w:val="clear" w:color="000000" w:fill="FFFF00"/>
            <w:noWrap/>
            <w:vAlign w:val="bottom"/>
            <w:hideMark/>
          </w:tcPr>
          <w:p w14:paraId="7FBDF18A" w14:textId="29FA9D36"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34E8265B" w14:textId="0E6DFC7C" w:rsidR="004C127E" w:rsidRPr="000E5786" w:rsidRDefault="004C127E" w:rsidP="00DD60F0">
            <w:pPr>
              <w:rPr>
                <w:rFonts w:cs="Arial"/>
                <w:szCs w:val="20"/>
              </w:rPr>
            </w:pPr>
            <w:r w:rsidRPr="000E5786">
              <w:rPr>
                <w:rFonts w:cs="Arial"/>
                <w:szCs w:val="20"/>
              </w:rPr>
              <w:t xml:space="preserve">632 </w:t>
            </w:r>
          </w:p>
        </w:tc>
        <w:tc>
          <w:tcPr>
            <w:tcW w:w="709" w:type="dxa"/>
            <w:tcBorders>
              <w:top w:val="nil"/>
              <w:left w:val="nil"/>
              <w:bottom w:val="single" w:sz="4" w:space="0" w:color="auto"/>
              <w:right w:val="single" w:sz="8" w:space="0" w:color="auto"/>
            </w:tcBorders>
            <w:shd w:val="clear" w:color="000000" w:fill="FFFF00"/>
            <w:noWrap/>
            <w:vAlign w:val="bottom"/>
            <w:hideMark/>
          </w:tcPr>
          <w:p w14:paraId="49144833" w14:textId="2C7BC8AF"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2A22AFE2" w14:textId="23CEBEC9" w:rsidR="004C127E" w:rsidRPr="000E5786" w:rsidRDefault="004C127E" w:rsidP="00DD60F0">
            <w:pPr>
              <w:rPr>
                <w:rFonts w:cs="Arial"/>
                <w:szCs w:val="20"/>
              </w:rPr>
            </w:pPr>
            <w:r w:rsidRPr="000E5786">
              <w:rPr>
                <w:rFonts w:cs="Arial"/>
                <w:szCs w:val="20"/>
              </w:rPr>
              <w:t xml:space="preserve">876 </w:t>
            </w:r>
          </w:p>
        </w:tc>
        <w:tc>
          <w:tcPr>
            <w:tcW w:w="709" w:type="dxa"/>
            <w:tcBorders>
              <w:top w:val="nil"/>
              <w:left w:val="nil"/>
              <w:bottom w:val="single" w:sz="4" w:space="0" w:color="auto"/>
              <w:right w:val="single" w:sz="8" w:space="0" w:color="auto"/>
            </w:tcBorders>
            <w:shd w:val="clear" w:color="000000" w:fill="FFFF00"/>
            <w:noWrap/>
            <w:vAlign w:val="bottom"/>
            <w:hideMark/>
          </w:tcPr>
          <w:p w14:paraId="0FC24566" w14:textId="4D79FD5C"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2AED1ACB" w14:textId="5BF9922E" w:rsidR="004C127E" w:rsidRPr="000E5786" w:rsidRDefault="004C127E" w:rsidP="00DD60F0">
            <w:pPr>
              <w:rPr>
                <w:rFonts w:cs="Arial"/>
                <w:szCs w:val="20"/>
              </w:rPr>
            </w:pPr>
            <w:r w:rsidRPr="000E5786">
              <w:rPr>
                <w:rFonts w:cs="Arial"/>
                <w:szCs w:val="20"/>
              </w:rPr>
              <w:t xml:space="preserve">1,003 </w:t>
            </w:r>
          </w:p>
        </w:tc>
        <w:tc>
          <w:tcPr>
            <w:tcW w:w="708" w:type="dxa"/>
            <w:tcBorders>
              <w:top w:val="nil"/>
              <w:left w:val="nil"/>
              <w:bottom w:val="single" w:sz="4" w:space="0" w:color="auto"/>
              <w:right w:val="single" w:sz="8" w:space="0" w:color="auto"/>
            </w:tcBorders>
            <w:shd w:val="clear" w:color="000000" w:fill="FFFF00"/>
            <w:noWrap/>
            <w:vAlign w:val="bottom"/>
            <w:hideMark/>
          </w:tcPr>
          <w:p w14:paraId="6529B52F" w14:textId="1069CDCC"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0C18CB4E" w14:textId="4608D1D7" w:rsidR="004C127E" w:rsidRPr="000E5786" w:rsidRDefault="004C127E" w:rsidP="00DD60F0">
            <w:pPr>
              <w:rPr>
                <w:rFonts w:cs="Arial"/>
                <w:szCs w:val="20"/>
              </w:rPr>
            </w:pPr>
            <w:r w:rsidRPr="000E5786">
              <w:rPr>
                <w:rFonts w:cs="Arial"/>
                <w:szCs w:val="20"/>
              </w:rPr>
              <w:t xml:space="preserve">1,274 </w:t>
            </w:r>
          </w:p>
        </w:tc>
        <w:tc>
          <w:tcPr>
            <w:tcW w:w="709" w:type="dxa"/>
            <w:tcBorders>
              <w:top w:val="nil"/>
              <w:left w:val="nil"/>
              <w:bottom w:val="single" w:sz="4" w:space="0" w:color="auto"/>
              <w:right w:val="single" w:sz="8" w:space="0" w:color="auto"/>
            </w:tcBorders>
            <w:shd w:val="clear" w:color="000000" w:fill="FFFF00"/>
            <w:noWrap/>
            <w:vAlign w:val="bottom"/>
            <w:hideMark/>
          </w:tcPr>
          <w:p w14:paraId="2E3C3326" w14:textId="5B6710ED"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5682FB0A" w14:textId="1C013C8D" w:rsidR="004C127E" w:rsidRPr="000E5786" w:rsidRDefault="004C127E" w:rsidP="00DD60F0">
            <w:pPr>
              <w:rPr>
                <w:rFonts w:cs="Arial"/>
                <w:szCs w:val="20"/>
              </w:rPr>
            </w:pPr>
            <w:r w:rsidRPr="000E5786">
              <w:rPr>
                <w:rFonts w:cs="Arial"/>
                <w:szCs w:val="20"/>
              </w:rPr>
              <w:t xml:space="preserve">1,498 </w:t>
            </w:r>
          </w:p>
        </w:tc>
        <w:tc>
          <w:tcPr>
            <w:tcW w:w="709" w:type="dxa"/>
            <w:tcBorders>
              <w:top w:val="nil"/>
              <w:left w:val="nil"/>
              <w:bottom w:val="single" w:sz="4" w:space="0" w:color="auto"/>
              <w:right w:val="single" w:sz="8" w:space="0" w:color="auto"/>
            </w:tcBorders>
            <w:shd w:val="clear" w:color="000000" w:fill="FFFF00"/>
            <w:noWrap/>
            <w:vAlign w:val="bottom"/>
            <w:hideMark/>
          </w:tcPr>
          <w:p w14:paraId="79E59E59" w14:textId="767CA8A3" w:rsidR="004C127E" w:rsidRPr="000E5786" w:rsidRDefault="004C127E" w:rsidP="00DD60F0">
            <w:pPr>
              <w:rPr>
                <w:rFonts w:cs="Arial"/>
                <w:szCs w:val="20"/>
              </w:rPr>
            </w:pPr>
            <w:r w:rsidRPr="000E5786">
              <w:rPr>
                <w:rFonts w:cs="Arial"/>
                <w:szCs w:val="20"/>
              </w:rPr>
              <w:t xml:space="preserve">414 </w:t>
            </w:r>
          </w:p>
        </w:tc>
      </w:tr>
      <w:tr w:rsidR="00A72177" w:rsidRPr="000E5786" w14:paraId="393B8E75" w14:textId="77777777" w:rsidTr="00613818">
        <w:trPr>
          <w:trHeight w:val="225"/>
        </w:trPr>
        <w:tc>
          <w:tcPr>
            <w:tcW w:w="1134" w:type="dxa"/>
            <w:vMerge/>
            <w:tcBorders>
              <w:top w:val="nil"/>
              <w:left w:val="single" w:sz="8" w:space="0" w:color="auto"/>
              <w:bottom w:val="single" w:sz="8" w:space="0" w:color="000000"/>
              <w:right w:val="single" w:sz="8" w:space="0" w:color="auto"/>
            </w:tcBorders>
            <w:vAlign w:val="center"/>
            <w:hideMark/>
          </w:tcPr>
          <w:p w14:paraId="7865D119"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7513A8FC" w14:textId="77777777" w:rsidR="004C127E" w:rsidRPr="000E5786" w:rsidRDefault="004C127E" w:rsidP="00380763">
            <w:pPr>
              <w:ind w:left="0" w:firstLine="0"/>
              <w:jc w:val="cente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0E46C3F6" w14:textId="77777777" w:rsidR="004C127E" w:rsidRPr="000E5786" w:rsidRDefault="004C127E" w:rsidP="00AC4874">
            <w:pPr>
              <w:ind w:left="0" w:right="32" w:firstLine="0"/>
              <w:jc w:val="left"/>
              <w:rPr>
                <w:rFonts w:cs="Arial"/>
                <w:szCs w:val="20"/>
              </w:rPr>
            </w:pPr>
            <w:r w:rsidRPr="000E5786">
              <w:rPr>
                <w:rFonts w:cs="Arial"/>
                <w:szCs w:val="20"/>
              </w:rPr>
              <w:t>Network design</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BD863F2" w14:textId="77777777" w:rsidR="004C127E" w:rsidRPr="000E5786" w:rsidRDefault="004C127E" w:rsidP="00DD60F0">
            <w:pPr>
              <w:jc w:val="center"/>
              <w:rPr>
                <w:rFonts w:cs="Arial"/>
                <w:szCs w:val="20"/>
              </w:rPr>
            </w:pPr>
            <w:r w:rsidRPr="000E5786">
              <w:rPr>
                <w:rFonts w:cs="Arial"/>
                <w:szCs w:val="20"/>
              </w:rPr>
              <w:t>NTDS</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477F21DE" w14:textId="275E76FE" w:rsidR="004C127E" w:rsidRPr="000E5786" w:rsidRDefault="004C127E" w:rsidP="00DD60F0">
            <w:pPr>
              <w:rPr>
                <w:rFonts w:cs="Arial"/>
                <w:szCs w:val="20"/>
              </w:rPr>
            </w:pPr>
            <w:r w:rsidRPr="000E5786">
              <w:rPr>
                <w:rFonts w:cs="Arial"/>
                <w:szCs w:val="20"/>
              </w:rPr>
              <w:t xml:space="preserve">420 </w:t>
            </w:r>
          </w:p>
        </w:tc>
        <w:tc>
          <w:tcPr>
            <w:tcW w:w="565" w:type="dxa"/>
            <w:tcBorders>
              <w:top w:val="nil"/>
              <w:left w:val="nil"/>
              <w:bottom w:val="single" w:sz="4" w:space="0" w:color="auto"/>
              <w:right w:val="single" w:sz="8" w:space="0" w:color="auto"/>
            </w:tcBorders>
            <w:shd w:val="clear" w:color="000000" w:fill="FFFF00"/>
            <w:noWrap/>
            <w:vAlign w:val="bottom"/>
            <w:hideMark/>
          </w:tcPr>
          <w:p w14:paraId="73430B26" w14:textId="6E07B8D3"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6E0FB846" w14:textId="7734B318" w:rsidR="004C127E" w:rsidRPr="000E5786" w:rsidRDefault="004C127E" w:rsidP="00DD60F0">
            <w:pPr>
              <w:rPr>
                <w:rFonts w:cs="Arial"/>
                <w:szCs w:val="20"/>
              </w:rPr>
            </w:pPr>
            <w:r w:rsidRPr="000E5786">
              <w:rPr>
                <w:rFonts w:cs="Arial"/>
                <w:szCs w:val="20"/>
              </w:rPr>
              <w:t xml:space="preserve">530 </w:t>
            </w:r>
          </w:p>
        </w:tc>
        <w:tc>
          <w:tcPr>
            <w:tcW w:w="709" w:type="dxa"/>
            <w:tcBorders>
              <w:top w:val="nil"/>
              <w:left w:val="nil"/>
              <w:bottom w:val="single" w:sz="4" w:space="0" w:color="auto"/>
              <w:right w:val="single" w:sz="8" w:space="0" w:color="auto"/>
            </w:tcBorders>
            <w:shd w:val="clear" w:color="000000" w:fill="FFFF00"/>
            <w:noWrap/>
            <w:vAlign w:val="bottom"/>
            <w:hideMark/>
          </w:tcPr>
          <w:p w14:paraId="6C1D3EDA" w14:textId="3BC7A28B"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390120EA" w14:textId="74B38E07" w:rsidR="004C127E" w:rsidRPr="000E5786" w:rsidRDefault="004C127E" w:rsidP="00DD60F0">
            <w:pPr>
              <w:rPr>
                <w:rFonts w:cs="Arial"/>
                <w:szCs w:val="20"/>
              </w:rPr>
            </w:pPr>
            <w:r w:rsidRPr="000E5786">
              <w:rPr>
                <w:rFonts w:cs="Arial"/>
                <w:szCs w:val="20"/>
              </w:rPr>
              <w:t xml:space="preserve">632 </w:t>
            </w:r>
          </w:p>
        </w:tc>
        <w:tc>
          <w:tcPr>
            <w:tcW w:w="709" w:type="dxa"/>
            <w:tcBorders>
              <w:top w:val="nil"/>
              <w:left w:val="nil"/>
              <w:bottom w:val="single" w:sz="4" w:space="0" w:color="auto"/>
              <w:right w:val="single" w:sz="8" w:space="0" w:color="auto"/>
            </w:tcBorders>
            <w:shd w:val="clear" w:color="000000" w:fill="FFFF00"/>
            <w:noWrap/>
            <w:vAlign w:val="bottom"/>
            <w:hideMark/>
          </w:tcPr>
          <w:p w14:paraId="7B588440" w14:textId="275C9316"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0DD683E3" w14:textId="2583863D" w:rsidR="004C127E" w:rsidRPr="000E5786" w:rsidRDefault="004C127E" w:rsidP="00DD60F0">
            <w:pPr>
              <w:rPr>
                <w:rFonts w:cs="Arial"/>
                <w:szCs w:val="20"/>
              </w:rPr>
            </w:pPr>
            <w:r w:rsidRPr="000E5786">
              <w:rPr>
                <w:rFonts w:cs="Arial"/>
                <w:szCs w:val="20"/>
              </w:rPr>
              <w:t xml:space="preserve">876 </w:t>
            </w:r>
          </w:p>
        </w:tc>
        <w:tc>
          <w:tcPr>
            <w:tcW w:w="709" w:type="dxa"/>
            <w:tcBorders>
              <w:top w:val="nil"/>
              <w:left w:val="nil"/>
              <w:bottom w:val="single" w:sz="4" w:space="0" w:color="auto"/>
              <w:right w:val="single" w:sz="8" w:space="0" w:color="auto"/>
            </w:tcBorders>
            <w:shd w:val="clear" w:color="000000" w:fill="FFFF00"/>
            <w:noWrap/>
            <w:vAlign w:val="bottom"/>
            <w:hideMark/>
          </w:tcPr>
          <w:p w14:paraId="798E6005" w14:textId="41C1A46E"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6606A7BC" w14:textId="3CCDFABC" w:rsidR="004C127E" w:rsidRPr="000E5786" w:rsidRDefault="004C127E" w:rsidP="00DD60F0">
            <w:pPr>
              <w:rPr>
                <w:rFonts w:cs="Arial"/>
                <w:szCs w:val="20"/>
              </w:rPr>
            </w:pPr>
            <w:r w:rsidRPr="000E5786">
              <w:rPr>
                <w:rFonts w:cs="Arial"/>
                <w:szCs w:val="20"/>
              </w:rPr>
              <w:t xml:space="preserve">1,003 </w:t>
            </w:r>
          </w:p>
        </w:tc>
        <w:tc>
          <w:tcPr>
            <w:tcW w:w="708" w:type="dxa"/>
            <w:tcBorders>
              <w:top w:val="nil"/>
              <w:left w:val="nil"/>
              <w:bottom w:val="single" w:sz="4" w:space="0" w:color="auto"/>
              <w:right w:val="single" w:sz="8" w:space="0" w:color="auto"/>
            </w:tcBorders>
            <w:shd w:val="clear" w:color="000000" w:fill="FFFF00"/>
            <w:noWrap/>
            <w:vAlign w:val="bottom"/>
            <w:hideMark/>
          </w:tcPr>
          <w:p w14:paraId="285DC452" w14:textId="4518D1EB"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30413C48" w14:textId="6439F31E" w:rsidR="004C127E" w:rsidRPr="000E5786" w:rsidRDefault="004C127E" w:rsidP="00DD60F0">
            <w:pPr>
              <w:rPr>
                <w:rFonts w:cs="Arial"/>
                <w:szCs w:val="20"/>
              </w:rPr>
            </w:pPr>
            <w:r w:rsidRPr="000E5786">
              <w:rPr>
                <w:rFonts w:cs="Arial"/>
                <w:szCs w:val="20"/>
              </w:rPr>
              <w:t xml:space="preserve">1,274 </w:t>
            </w:r>
          </w:p>
        </w:tc>
        <w:tc>
          <w:tcPr>
            <w:tcW w:w="709" w:type="dxa"/>
            <w:tcBorders>
              <w:top w:val="nil"/>
              <w:left w:val="nil"/>
              <w:bottom w:val="single" w:sz="4" w:space="0" w:color="auto"/>
              <w:right w:val="single" w:sz="8" w:space="0" w:color="auto"/>
            </w:tcBorders>
            <w:shd w:val="clear" w:color="000000" w:fill="FFFF00"/>
            <w:noWrap/>
            <w:vAlign w:val="bottom"/>
            <w:hideMark/>
          </w:tcPr>
          <w:p w14:paraId="51B25C5D" w14:textId="1E30C26F"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428E3D31" w14:textId="4F9FCB74" w:rsidR="004C127E" w:rsidRPr="000E5786" w:rsidRDefault="004C127E" w:rsidP="00DD60F0">
            <w:pPr>
              <w:rPr>
                <w:rFonts w:cs="Arial"/>
                <w:szCs w:val="20"/>
              </w:rPr>
            </w:pPr>
            <w:r w:rsidRPr="000E5786">
              <w:rPr>
                <w:rFonts w:cs="Arial"/>
                <w:szCs w:val="20"/>
              </w:rPr>
              <w:t xml:space="preserve">1,498 </w:t>
            </w:r>
          </w:p>
        </w:tc>
        <w:tc>
          <w:tcPr>
            <w:tcW w:w="709" w:type="dxa"/>
            <w:tcBorders>
              <w:top w:val="nil"/>
              <w:left w:val="nil"/>
              <w:bottom w:val="single" w:sz="4" w:space="0" w:color="auto"/>
              <w:right w:val="single" w:sz="8" w:space="0" w:color="auto"/>
            </w:tcBorders>
            <w:shd w:val="clear" w:color="000000" w:fill="FFFF00"/>
            <w:noWrap/>
            <w:vAlign w:val="bottom"/>
            <w:hideMark/>
          </w:tcPr>
          <w:p w14:paraId="65CE5FBC" w14:textId="404D04A5" w:rsidR="004C127E" w:rsidRPr="000E5786" w:rsidRDefault="004C127E" w:rsidP="00DD60F0">
            <w:pPr>
              <w:rPr>
                <w:rFonts w:cs="Arial"/>
                <w:szCs w:val="20"/>
              </w:rPr>
            </w:pPr>
            <w:r w:rsidRPr="000E5786">
              <w:rPr>
                <w:rFonts w:cs="Arial"/>
                <w:szCs w:val="20"/>
              </w:rPr>
              <w:t xml:space="preserve">414 </w:t>
            </w:r>
          </w:p>
        </w:tc>
      </w:tr>
      <w:tr w:rsidR="00A72177" w:rsidRPr="000E5786" w14:paraId="093A33E6" w14:textId="77777777" w:rsidTr="00613818">
        <w:trPr>
          <w:trHeight w:val="225"/>
        </w:trPr>
        <w:tc>
          <w:tcPr>
            <w:tcW w:w="1134" w:type="dxa"/>
            <w:vMerge/>
            <w:tcBorders>
              <w:top w:val="nil"/>
              <w:left w:val="single" w:sz="8" w:space="0" w:color="auto"/>
              <w:bottom w:val="single" w:sz="8" w:space="0" w:color="000000"/>
              <w:right w:val="single" w:sz="8" w:space="0" w:color="auto"/>
            </w:tcBorders>
            <w:vAlign w:val="center"/>
            <w:hideMark/>
          </w:tcPr>
          <w:p w14:paraId="3CD4EC34"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4F766E97" w14:textId="77777777" w:rsidR="004C127E" w:rsidRPr="000E5786" w:rsidRDefault="004C127E" w:rsidP="00380763">
            <w:pPr>
              <w:ind w:left="0" w:firstLine="0"/>
              <w:jc w:val="cente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0D7D7FAF" w14:textId="77777777" w:rsidR="004C127E" w:rsidRPr="000E5786" w:rsidRDefault="004C127E" w:rsidP="00AC4874">
            <w:pPr>
              <w:ind w:left="0" w:right="32" w:firstLine="0"/>
              <w:jc w:val="left"/>
              <w:rPr>
                <w:rFonts w:cs="Arial"/>
                <w:szCs w:val="20"/>
              </w:rPr>
            </w:pPr>
            <w:r w:rsidRPr="000E5786">
              <w:rPr>
                <w:rFonts w:cs="Arial"/>
                <w:szCs w:val="20"/>
              </w:rPr>
              <w:t>Database design</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2981479" w14:textId="77777777" w:rsidR="004C127E" w:rsidRPr="000E5786" w:rsidRDefault="004C127E" w:rsidP="00DD60F0">
            <w:pPr>
              <w:jc w:val="center"/>
              <w:rPr>
                <w:rFonts w:cs="Arial"/>
                <w:szCs w:val="20"/>
              </w:rPr>
            </w:pPr>
            <w:r w:rsidRPr="000E5786">
              <w:rPr>
                <w:rFonts w:cs="Arial"/>
                <w:szCs w:val="20"/>
              </w:rPr>
              <w:t>DBDS</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3F562CC4" w14:textId="65B8102C" w:rsidR="004C127E" w:rsidRPr="000E5786" w:rsidRDefault="004C127E" w:rsidP="00DD60F0">
            <w:pPr>
              <w:rPr>
                <w:rFonts w:cs="Arial"/>
                <w:szCs w:val="20"/>
              </w:rPr>
            </w:pPr>
            <w:r w:rsidRPr="000E5786">
              <w:rPr>
                <w:rFonts w:cs="Arial"/>
                <w:szCs w:val="20"/>
              </w:rPr>
              <w:t xml:space="preserve">420 </w:t>
            </w:r>
          </w:p>
        </w:tc>
        <w:tc>
          <w:tcPr>
            <w:tcW w:w="565" w:type="dxa"/>
            <w:tcBorders>
              <w:top w:val="nil"/>
              <w:left w:val="nil"/>
              <w:bottom w:val="single" w:sz="4" w:space="0" w:color="auto"/>
              <w:right w:val="single" w:sz="8" w:space="0" w:color="auto"/>
            </w:tcBorders>
            <w:shd w:val="clear" w:color="000000" w:fill="FFFF00"/>
            <w:noWrap/>
            <w:vAlign w:val="bottom"/>
            <w:hideMark/>
          </w:tcPr>
          <w:p w14:paraId="680027A1" w14:textId="615146D8"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68FD2FD1" w14:textId="0617A4AA" w:rsidR="004C127E" w:rsidRPr="000E5786" w:rsidRDefault="004C127E" w:rsidP="00DD60F0">
            <w:pPr>
              <w:rPr>
                <w:rFonts w:cs="Arial"/>
                <w:szCs w:val="20"/>
              </w:rPr>
            </w:pPr>
            <w:r w:rsidRPr="000E5786">
              <w:rPr>
                <w:rFonts w:cs="Arial"/>
                <w:szCs w:val="20"/>
              </w:rPr>
              <w:t xml:space="preserve">530 </w:t>
            </w:r>
          </w:p>
        </w:tc>
        <w:tc>
          <w:tcPr>
            <w:tcW w:w="709" w:type="dxa"/>
            <w:tcBorders>
              <w:top w:val="nil"/>
              <w:left w:val="nil"/>
              <w:bottom w:val="single" w:sz="4" w:space="0" w:color="auto"/>
              <w:right w:val="single" w:sz="8" w:space="0" w:color="auto"/>
            </w:tcBorders>
            <w:shd w:val="clear" w:color="000000" w:fill="FFFF00"/>
            <w:noWrap/>
            <w:vAlign w:val="bottom"/>
            <w:hideMark/>
          </w:tcPr>
          <w:p w14:paraId="54204715" w14:textId="5414B937"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7553C884" w14:textId="3A125A4F" w:rsidR="004C127E" w:rsidRPr="000E5786" w:rsidRDefault="004C127E" w:rsidP="00DD60F0">
            <w:pPr>
              <w:rPr>
                <w:rFonts w:cs="Arial"/>
                <w:szCs w:val="20"/>
              </w:rPr>
            </w:pPr>
            <w:r w:rsidRPr="000E5786">
              <w:rPr>
                <w:rFonts w:cs="Arial"/>
                <w:szCs w:val="20"/>
              </w:rPr>
              <w:t xml:space="preserve">632 </w:t>
            </w:r>
          </w:p>
        </w:tc>
        <w:tc>
          <w:tcPr>
            <w:tcW w:w="709" w:type="dxa"/>
            <w:tcBorders>
              <w:top w:val="nil"/>
              <w:left w:val="nil"/>
              <w:bottom w:val="single" w:sz="4" w:space="0" w:color="auto"/>
              <w:right w:val="single" w:sz="8" w:space="0" w:color="auto"/>
            </w:tcBorders>
            <w:shd w:val="clear" w:color="000000" w:fill="FFFF00"/>
            <w:noWrap/>
            <w:vAlign w:val="bottom"/>
            <w:hideMark/>
          </w:tcPr>
          <w:p w14:paraId="2A4072A1" w14:textId="6D1F4EAE"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057A5BF0" w14:textId="651A5C13" w:rsidR="004C127E" w:rsidRPr="000E5786" w:rsidRDefault="004C127E" w:rsidP="00DD60F0">
            <w:pPr>
              <w:rPr>
                <w:rFonts w:cs="Arial"/>
                <w:szCs w:val="20"/>
              </w:rPr>
            </w:pPr>
            <w:r w:rsidRPr="000E5786">
              <w:rPr>
                <w:rFonts w:cs="Arial"/>
                <w:szCs w:val="20"/>
              </w:rPr>
              <w:t xml:space="preserve">876 </w:t>
            </w:r>
          </w:p>
        </w:tc>
        <w:tc>
          <w:tcPr>
            <w:tcW w:w="709" w:type="dxa"/>
            <w:tcBorders>
              <w:top w:val="nil"/>
              <w:left w:val="nil"/>
              <w:bottom w:val="single" w:sz="4" w:space="0" w:color="auto"/>
              <w:right w:val="single" w:sz="8" w:space="0" w:color="auto"/>
            </w:tcBorders>
            <w:shd w:val="clear" w:color="000000" w:fill="FFFF00"/>
            <w:noWrap/>
            <w:vAlign w:val="bottom"/>
            <w:hideMark/>
          </w:tcPr>
          <w:p w14:paraId="4225CAAC" w14:textId="3F4B3046"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3EDD0313" w14:textId="4287D26F" w:rsidR="004C127E" w:rsidRPr="000E5786" w:rsidRDefault="004C127E" w:rsidP="00DD60F0">
            <w:pPr>
              <w:rPr>
                <w:rFonts w:cs="Arial"/>
                <w:szCs w:val="20"/>
              </w:rPr>
            </w:pPr>
            <w:r w:rsidRPr="000E5786">
              <w:rPr>
                <w:rFonts w:cs="Arial"/>
                <w:szCs w:val="20"/>
              </w:rPr>
              <w:t xml:space="preserve">1,003 </w:t>
            </w:r>
          </w:p>
        </w:tc>
        <w:tc>
          <w:tcPr>
            <w:tcW w:w="708" w:type="dxa"/>
            <w:tcBorders>
              <w:top w:val="nil"/>
              <w:left w:val="nil"/>
              <w:bottom w:val="single" w:sz="4" w:space="0" w:color="auto"/>
              <w:right w:val="single" w:sz="8" w:space="0" w:color="auto"/>
            </w:tcBorders>
            <w:shd w:val="clear" w:color="000000" w:fill="FFFF00"/>
            <w:noWrap/>
            <w:vAlign w:val="bottom"/>
            <w:hideMark/>
          </w:tcPr>
          <w:p w14:paraId="3FCBBA88" w14:textId="050494C3"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05BFC9F4" w14:textId="1BCBB650" w:rsidR="004C127E" w:rsidRPr="000E5786" w:rsidRDefault="004C127E" w:rsidP="00DD60F0">
            <w:pPr>
              <w:rPr>
                <w:rFonts w:cs="Arial"/>
                <w:szCs w:val="20"/>
              </w:rPr>
            </w:pPr>
            <w:r w:rsidRPr="000E5786">
              <w:rPr>
                <w:rFonts w:cs="Arial"/>
                <w:szCs w:val="20"/>
              </w:rPr>
              <w:t xml:space="preserve">1,274 </w:t>
            </w:r>
          </w:p>
        </w:tc>
        <w:tc>
          <w:tcPr>
            <w:tcW w:w="709" w:type="dxa"/>
            <w:tcBorders>
              <w:top w:val="nil"/>
              <w:left w:val="nil"/>
              <w:bottom w:val="single" w:sz="4" w:space="0" w:color="auto"/>
              <w:right w:val="single" w:sz="8" w:space="0" w:color="auto"/>
            </w:tcBorders>
            <w:shd w:val="clear" w:color="000000" w:fill="FFFF00"/>
            <w:noWrap/>
            <w:vAlign w:val="bottom"/>
            <w:hideMark/>
          </w:tcPr>
          <w:p w14:paraId="29B34140" w14:textId="711DDAC0"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5CDB0326" w14:textId="215DE0BA" w:rsidR="004C127E" w:rsidRPr="000E5786" w:rsidRDefault="004C127E" w:rsidP="00DD60F0">
            <w:pPr>
              <w:rPr>
                <w:rFonts w:cs="Arial"/>
                <w:szCs w:val="20"/>
              </w:rPr>
            </w:pPr>
            <w:r w:rsidRPr="000E5786">
              <w:rPr>
                <w:rFonts w:cs="Arial"/>
                <w:szCs w:val="20"/>
              </w:rPr>
              <w:t xml:space="preserve">1,498 </w:t>
            </w:r>
          </w:p>
        </w:tc>
        <w:tc>
          <w:tcPr>
            <w:tcW w:w="709" w:type="dxa"/>
            <w:tcBorders>
              <w:top w:val="nil"/>
              <w:left w:val="nil"/>
              <w:bottom w:val="single" w:sz="4" w:space="0" w:color="auto"/>
              <w:right w:val="single" w:sz="8" w:space="0" w:color="auto"/>
            </w:tcBorders>
            <w:shd w:val="clear" w:color="000000" w:fill="FFFF00"/>
            <w:noWrap/>
            <w:vAlign w:val="bottom"/>
            <w:hideMark/>
          </w:tcPr>
          <w:p w14:paraId="5914ACE8" w14:textId="2983057B" w:rsidR="004C127E" w:rsidRPr="000E5786" w:rsidRDefault="004C127E" w:rsidP="00DD60F0">
            <w:pPr>
              <w:rPr>
                <w:rFonts w:cs="Arial"/>
                <w:szCs w:val="20"/>
              </w:rPr>
            </w:pPr>
            <w:r w:rsidRPr="000E5786">
              <w:rPr>
                <w:rFonts w:cs="Arial"/>
                <w:szCs w:val="20"/>
              </w:rPr>
              <w:t xml:space="preserve">414 </w:t>
            </w:r>
          </w:p>
        </w:tc>
      </w:tr>
      <w:tr w:rsidR="00A72177" w:rsidRPr="000E5786" w14:paraId="4BF5DE22" w14:textId="77777777" w:rsidTr="00613818">
        <w:trPr>
          <w:trHeight w:val="225"/>
        </w:trPr>
        <w:tc>
          <w:tcPr>
            <w:tcW w:w="1134" w:type="dxa"/>
            <w:vMerge/>
            <w:tcBorders>
              <w:top w:val="nil"/>
              <w:left w:val="single" w:sz="8" w:space="0" w:color="auto"/>
              <w:bottom w:val="single" w:sz="8" w:space="0" w:color="000000"/>
              <w:right w:val="single" w:sz="8" w:space="0" w:color="auto"/>
            </w:tcBorders>
            <w:vAlign w:val="center"/>
            <w:hideMark/>
          </w:tcPr>
          <w:p w14:paraId="18E5BC73"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407B3C9A" w14:textId="77777777" w:rsidR="004C127E" w:rsidRPr="000E5786" w:rsidRDefault="004C127E" w:rsidP="00380763">
            <w:pPr>
              <w:ind w:left="0" w:firstLine="0"/>
              <w:jc w:val="cente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52D0BBF5" w14:textId="77777777" w:rsidR="004C127E" w:rsidRPr="000E5786" w:rsidRDefault="004C127E" w:rsidP="00AC4874">
            <w:pPr>
              <w:ind w:left="0" w:right="32" w:firstLine="0"/>
              <w:jc w:val="left"/>
              <w:rPr>
                <w:rFonts w:cs="Arial"/>
                <w:szCs w:val="20"/>
              </w:rPr>
            </w:pPr>
            <w:r w:rsidRPr="000E5786">
              <w:rPr>
                <w:rFonts w:cs="Arial"/>
                <w:szCs w:val="20"/>
              </w:rPr>
              <w:t>Programming/software development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2CC781F1" w14:textId="77777777" w:rsidR="004C127E" w:rsidRPr="000E5786" w:rsidRDefault="004C127E" w:rsidP="00DD60F0">
            <w:pPr>
              <w:jc w:val="center"/>
              <w:rPr>
                <w:rFonts w:cs="Arial"/>
                <w:szCs w:val="20"/>
              </w:rPr>
            </w:pPr>
            <w:r w:rsidRPr="000E5786">
              <w:rPr>
                <w:rFonts w:cs="Arial"/>
                <w:szCs w:val="20"/>
              </w:rPr>
              <w:t>PROG</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7CD0CF84" w14:textId="22760538" w:rsidR="004C127E" w:rsidRPr="000E5786" w:rsidRDefault="004C127E" w:rsidP="00DD60F0">
            <w:pPr>
              <w:rPr>
                <w:rFonts w:cs="Arial"/>
                <w:szCs w:val="20"/>
              </w:rPr>
            </w:pPr>
            <w:r w:rsidRPr="000E5786">
              <w:rPr>
                <w:rFonts w:cs="Arial"/>
                <w:szCs w:val="20"/>
              </w:rPr>
              <w:t xml:space="preserve">420 </w:t>
            </w:r>
          </w:p>
        </w:tc>
        <w:tc>
          <w:tcPr>
            <w:tcW w:w="565" w:type="dxa"/>
            <w:tcBorders>
              <w:top w:val="nil"/>
              <w:left w:val="nil"/>
              <w:bottom w:val="single" w:sz="4" w:space="0" w:color="auto"/>
              <w:right w:val="single" w:sz="8" w:space="0" w:color="auto"/>
            </w:tcBorders>
            <w:shd w:val="clear" w:color="000000" w:fill="FFFF00"/>
            <w:noWrap/>
            <w:vAlign w:val="bottom"/>
            <w:hideMark/>
          </w:tcPr>
          <w:p w14:paraId="71B5FA67" w14:textId="24B2FE67"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6D544092" w14:textId="01D66CB8" w:rsidR="004C127E" w:rsidRPr="000E5786" w:rsidRDefault="004C127E" w:rsidP="00DD60F0">
            <w:pPr>
              <w:rPr>
                <w:rFonts w:cs="Arial"/>
                <w:szCs w:val="20"/>
              </w:rPr>
            </w:pPr>
            <w:r w:rsidRPr="000E5786">
              <w:rPr>
                <w:rFonts w:cs="Arial"/>
                <w:szCs w:val="20"/>
              </w:rPr>
              <w:t xml:space="preserve">530 </w:t>
            </w:r>
          </w:p>
        </w:tc>
        <w:tc>
          <w:tcPr>
            <w:tcW w:w="709" w:type="dxa"/>
            <w:tcBorders>
              <w:top w:val="nil"/>
              <w:left w:val="nil"/>
              <w:bottom w:val="single" w:sz="4" w:space="0" w:color="auto"/>
              <w:right w:val="single" w:sz="8" w:space="0" w:color="auto"/>
            </w:tcBorders>
            <w:shd w:val="clear" w:color="000000" w:fill="FFFF00"/>
            <w:noWrap/>
            <w:vAlign w:val="bottom"/>
            <w:hideMark/>
          </w:tcPr>
          <w:p w14:paraId="543E0451" w14:textId="1A158445"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6A388B30" w14:textId="4680121A" w:rsidR="004C127E" w:rsidRPr="000E5786" w:rsidRDefault="004C127E" w:rsidP="00DD60F0">
            <w:pPr>
              <w:rPr>
                <w:rFonts w:cs="Arial"/>
                <w:szCs w:val="20"/>
              </w:rPr>
            </w:pPr>
            <w:r w:rsidRPr="000E5786">
              <w:rPr>
                <w:rFonts w:cs="Arial"/>
                <w:szCs w:val="20"/>
              </w:rPr>
              <w:t xml:space="preserve">632 </w:t>
            </w:r>
          </w:p>
        </w:tc>
        <w:tc>
          <w:tcPr>
            <w:tcW w:w="709" w:type="dxa"/>
            <w:tcBorders>
              <w:top w:val="nil"/>
              <w:left w:val="nil"/>
              <w:bottom w:val="single" w:sz="4" w:space="0" w:color="auto"/>
              <w:right w:val="single" w:sz="8" w:space="0" w:color="auto"/>
            </w:tcBorders>
            <w:shd w:val="clear" w:color="000000" w:fill="FFFF00"/>
            <w:noWrap/>
            <w:vAlign w:val="bottom"/>
            <w:hideMark/>
          </w:tcPr>
          <w:p w14:paraId="1640A2A2" w14:textId="3A43416B"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48ABCD6F" w14:textId="413174C5" w:rsidR="004C127E" w:rsidRPr="000E5786" w:rsidRDefault="004C127E" w:rsidP="00DD60F0">
            <w:pPr>
              <w:rPr>
                <w:rFonts w:cs="Arial"/>
                <w:szCs w:val="20"/>
              </w:rPr>
            </w:pPr>
            <w:r w:rsidRPr="000E5786">
              <w:rPr>
                <w:rFonts w:cs="Arial"/>
                <w:szCs w:val="20"/>
              </w:rPr>
              <w:t xml:space="preserve">876 </w:t>
            </w:r>
          </w:p>
        </w:tc>
        <w:tc>
          <w:tcPr>
            <w:tcW w:w="709" w:type="dxa"/>
            <w:tcBorders>
              <w:top w:val="nil"/>
              <w:left w:val="nil"/>
              <w:bottom w:val="single" w:sz="4" w:space="0" w:color="auto"/>
              <w:right w:val="single" w:sz="8" w:space="0" w:color="auto"/>
            </w:tcBorders>
            <w:shd w:val="clear" w:color="000000" w:fill="FFFF00"/>
            <w:noWrap/>
            <w:vAlign w:val="bottom"/>
            <w:hideMark/>
          </w:tcPr>
          <w:p w14:paraId="01F4F817" w14:textId="21598DAC"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2DDE38E3" w14:textId="039CCCBD" w:rsidR="004C127E" w:rsidRPr="000E5786" w:rsidRDefault="004C127E" w:rsidP="00DD60F0">
            <w:pPr>
              <w:rPr>
                <w:rFonts w:cs="Arial"/>
                <w:szCs w:val="20"/>
              </w:rPr>
            </w:pPr>
            <w:r w:rsidRPr="000E5786">
              <w:rPr>
                <w:rFonts w:cs="Arial"/>
                <w:szCs w:val="20"/>
              </w:rPr>
              <w:t xml:space="preserve">1,003 </w:t>
            </w:r>
          </w:p>
        </w:tc>
        <w:tc>
          <w:tcPr>
            <w:tcW w:w="708" w:type="dxa"/>
            <w:tcBorders>
              <w:top w:val="nil"/>
              <w:left w:val="nil"/>
              <w:bottom w:val="single" w:sz="4" w:space="0" w:color="auto"/>
              <w:right w:val="single" w:sz="8" w:space="0" w:color="auto"/>
            </w:tcBorders>
            <w:shd w:val="clear" w:color="000000" w:fill="FFFF00"/>
            <w:noWrap/>
            <w:vAlign w:val="bottom"/>
            <w:hideMark/>
          </w:tcPr>
          <w:p w14:paraId="41392E97" w14:textId="31672C8D"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49BD2455" w14:textId="5E24F869" w:rsidR="004C127E" w:rsidRPr="000E5786" w:rsidRDefault="004C127E" w:rsidP="00DD60F0">
            <w:pPr>
              <w:rPr>
                <w:rFonts w:cs="Arial"/>
                <w:szCs w:val="20"/>
              </w:rPr>
            </w:pPr>
            <w:r w:rsidRPr="000E5786">
              <w:rPr>
                <w:rFonts w:cs="Arial"/>
                <w:szCs w:val="20"/>
              </w:rPr>
              <w:t xml:space="preserve">1,274 </w:t>
            </w:r>
          </w:p>
        </w:tc>
        <w:tc>
          <w:tcPr>
            <w:tcW w:w="709" w:type="dxa"/>
            <w:tcBorders>
              <w:top w:val="nil"/>
              <w:left w:val="nil"/>
              <w:bottom w:val="single" w:sz="4" w:space="0" w:color="auto"/>
              <w:right w:val="single" w:sz="8" w:space="0" w:color="auto"/>
            </w:tcBorders>
            <w:shd w:val="clear" w:color="000000" w:fill="FFFF00"/>
            <w:noWrap/>
            <w:vAlign w:val="bottom"/>
            <w:hideMark/>
          </w:tcPr>
          <w:p w14:paraId="7827A3AC" w14:textId="4B5AB028"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23BEF2AD" w14:textId="7124CA77" w:rsidR="004C127E" w:rsidRPr="000E5786" w:rsidRDefault="004C127E" w:rsidP="00DD60F0">
            <w:pPr>
              <w:rPr>
                <w:rFonts w:cs="Arial"/>
                <w:szCs w:val="20"/>
              </w:rPr>
            </w:pPr>
            <w:r w:rsidRPr="000E5786">
              <w:rPr>
                <w:rFonts w:cs="Arial"/>
                <w:szCs w:val="20"/>
              </w:rPr>
              <w:t xml:space="preserve">1,498 </w:t>
            </w:r>
          </w:p>
        </w:tc>
        <w:tc>
          <w:tcPr>
            <w:tcW w:w="709" w:type="dxa"/>
            <w:tcBorders>
              <w:top w:val="nil"/>
              <w:left w:val="nil"/>
              <w:bottom w:val="single" w:sz="4" w:space="0" w:color="auto"/>
              <w:right w:val="single" w:sz="8" w:space="0" w:color="auto"/>
            </w:tcBorders>
            <w:shd w:val="clear" w:color="000000" w:fill="FFFF00"/>
            <w:noWrap/>
            <w:vAlign w:val="bottom"/>
            <w:hideMark/>
          </w:tcPr>
          <w:p w14:paraId="6F708D9E" w14:textId="2B783290" w:rsidR="004C127E" w:rsidRPr="000E5786" w:rsidRDefault="004C127E" w:rsidP="00DD60F0">
            <w:pPr>
              <w:rPr>
                <w:rFonts w:cs="Arial"/>
                <w:szCs w:val="20"/>
              </w:rPr>
            </w:pPr>
            <w:r w:rsidRPr="000E5786">
              <w:rPr>
                <w:rFonts w:cs="Arial"/>
                <w:szCs w:val="20"/>
              </w:rPr>
              <w:t xml:space="preserve">414 </w:t>
            </w:r>
          </w:p>
        </w:tc>
      </w:tr>
      <w:tr w:rsidR="00A72177" w:rsidRPr="000E5786" w14:paraId="41BCAFC4" w14:textId="77777777" w:rsidTr="00613818">
        <w:trPr>
          <w:trHeight w:val="225"/>
        </w:trPr>
        <w:tc>
          <w:tcPr>
            <w:tcW w:w="1134" w:type="dxa"/>
            <w:vMerge/>
            <w:tcBorders>
              <w:top w:val="nil"/>
              <w:left w:val="single" w:sz="8" w:space="0" w:color="auto"/>
              <w:bottom w:val="single" w:sz="8" w:space="0" w:color="000000"/>
              <w:right w:val="single" w:sz="8" w:space="0" w:color="auto"/>
            </w:tcBorders>
            <w:vAlign w:val="center"/>
            <w:hideMark/>
          </w:tcPr>
          <w:p w14:paraId="3257A262"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66FD4FE2" w14:textId="77777777" w:rsidR="004C127E" w:rsidRPr="000E5786" w:rsidRDefault="004C127E" w:rsidP="00380763">
            <w:pPr>
              <w:ind w:left="0" w:firstLine="0"/>
              <w:jc w:val="cente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1EEE797B" w14:textId="77777777" w:rsidR="004C127E" w:rsidRPr="000E5786" w:rsidRDefault="004C127E" w:rsidP="00AC4874">
            <w:pPr>
              <w:ind w:left="0" w:right="32" w:firstLine="0"/>
              <w:jc w:val="left"/>
              <w:rPr>
                <w:rFonts w:cs="Arial"/>
                <w:szCs w:val="20"/>
              </w:rPr>
            </w:pPr>
            <w:r w:rsidRPr="000E5786">
              <w:rPr>
                <w:rFonts w:cs="Arial"/>
                <w:szCs w:val="20"/>
              </w:rPr>
              <w:t>Animation development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DB71822" w14:textId="77777777" w:rsidR="004C127E" w:rsidRPr="000E5786" w:rsidRDefault="004C127E" w:rsidP="00DD60F0">
            <w:pPr>
              <w:jc w:val="center"/>
              <w:rPr>
                <w:rFonts w:cs="Arial"/>
                <w:szCs w:val="20"/>
              </w:rPr>
            </w:pPr>
            <w:r w:rsidRPr="000E5786">
              <w:rPr>
                <w:rFonts w:cs="Arial"/>
                <w:szCs w:val="20"/>
              </w:rPr>
              <w:t>ADEV</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3425AFE3" w14:textId="3D38978D" w:rsidR="004C127E" w:rsidRPr="000E5786" w:rsidRDefault="004C127E" w:rsidP="00DD60F0">
            <w:pPr>
              <w:rPr>
                <w:rFonts w:cs="Arial"/>
                <w:szCs w:val="20"/>
              </w:rPr>
            </w:pPr>
            <w:r w:rsidRPr="000E5786">
              <w:rPr>
                <w:rFonts w:cs="Arial"/>
                <w:szCs w:val="20"/>
              </w:rPr>
              <w:t xml:space="preserve">420 </w:t>
            </w:r>
          </w:p>
        </w:tc>
        <w:tc>
          <w:tcPr>
            <w:tcW w:w="565" w:type="dxa"/>
            <w:tcBorders>
              <w:top w:val="nil"/>
              <w:left w:val="nil"/>
              <w:bottom w:val="single" w:sz="4" w:space="0" w:color="auto"/>
              <w:right w:val="single" w:sz="8" w:space="0" w:color="auto"/>
            </w:tcBorders>
            <w:shd w:val="clear" w:color="000000" w:fill="FFFF00"/>
            <w:noWrap/>
            <w:vAlign w:val="bottom"/>
            <w:hideMark/>
          </w:tcPr>
          <w:p w14:paraId="24D961A5" w14:textId="3F1AE2E0"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4283CA09" w14:textId="057E7F60" w:rsidR="004C127E" w:rsidRPr="000E5786" w:rsidRDefault="004C127E" w:rsidP="00DD60F0">
            <w:pPr>
              <w:rPr>
                <w:rFonts w:cs="Arial"/>
                <w:szCs w:val="20"/>
              </w:rPr>
            </w:pPr>
            <w:r w:rsidRPr="000E5786">
              <w:rPr>
                <w:rFonts w:cs="Arial"/>
                <w:szCs w:val="20"/>
              </w:rPr>
              <w:t xml:space="preserve">530 </w:t>
            </w:r>
          </w:p>
        </w:tc>
        <w:tc>
          <w:tcPr>
            <w:tcW w:w="709" w:type="dxa"/>
            <w:tcBorders>
              <w:top w:val="nil"/>
              <w:left w:val="nil"/>
              <w:bottom w:val="single" w:sz="4" w:space="0" w:color="auto"/>
              <w:right w:val="single" w:sz="8" w:space="0" w:color="auto"/>
            </w:tcBorders>
            <w:shd w:val="clear" w:color="000000" w:fill="FFFF00"/>
            <w:noWrap/>
            <w:vAlign w:val="bottom"/>
            <w:hideMark/>
          </w:tcPr>
          <w:p w14:paraId="54EAA5F7" w14:textId="60E92ABD"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48EDE7BF" w14:textId="6C197C95" w:rsidR="004C127E" w:rsidRPr="000E5786" w:rsidRDefault="004C127E" w:rsidP="00DD60F0">
            <w:pPr>
              <w:rPr>
                <w:rFonts w:cs="Arial"/>
                <w:szCs w:val="20"/>
              </w:rPr>
            </w:pPr>
            <w:r w:rsidRPr="000E5786">
              <w:rPr>
                <w:rFonts w:cs="Arial"/>
                <w:szCs w:val="20"/>
              </w:rPr>
              <w:t xml:space="preserve">632 </w:t>
            </w:r>
          </w:p>
        </w:tc>
        <w:tc>
          <w:tcPr>
            <w:tcW w:w="709" w:type="dxa"/>
            <w:tcBorders>
              <w:top w:val="nil"/>
              <w:left w:val="nil"/>
              <w:bottom w:val="single" w:sz="4" w:space="0" w:color="auto"/>
              <w:right w:val="single" w:sz="8" w:space="0" w:color="auto"/>
            </w:tcBorders>
            <w:shd w:val="clear" w:color="000000" w:fill="FFFF00"/>
            <w:noWrap/>
            <w:vAlign w:val="bottom"/>
            <w:hideMark/>
          </w:tcPr>
          <w:p w14:paraId="69E05D41" w14:textId="28CD5DDC"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5F6682C5" w14:textId="699692F7" w:rsidR="004C127E" w:rsidRPr="000E5786" w:rsidRDefault="004C127E" w:rsidP="00DD60F0">
            <w:pPr>
              <w:rPr>
                <w:rFonts w:cs="Arial"/>
                <w:szCs w:val="20"/>
              </w:rPr>
            </w:pPr>
            <w:r w:rsidRPr="000E5786">
              <w:rPr>
                <w:rFonts w:cs="Arial"/>
                <w:szCs w:val="20"/>
              </w:rPr>
              <w:t xml:space="preserve">876 </w:t>
            </w:r>
          </w:p>
        </w:tc>
        <w:tc>
          <w:tcPr>
            <w:tcW w:w="709" w:type="dxa"/>
            <w:tcBorders>
              <w:top w:val="nil"/>
              <w:left w:val="nil"/>
              <w:bottom w:val="single" w:sz="4" w:space="0" w:color="auto"/>
              <w:right w:val="single" w:sz="8" w:space="0" w:color="auto"/>
            </w:tcBorders>
            <w:shd w:val="clear" w:color="000000" w:fill="FFFF00"/>
            <w:noWrap/>
            <w:vAlign w:val="bottom"/>
            <w:hideMark/>
          </w:tcPr>
          <w:p w14:paraId="7AB39894" w14:textId="509109F6"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56F15DE0" w14:textId="67380259" w:rsidR="004C127E" w:rsidRPr="000E5786" w:rsidRDefault="004C127E" w:rsidP="00DD60F0">
            <w:pPr>
              <w:rPr>
                <w:rFonts w:cs="Arial"/>
                <w:szCs w:val="20"/>
              </w:rPr>
            </w:pPr>
            <w:r w:rsidRPr="000E5786">
              <w:rPr>
                <w:rFonts w:cs="Arial"/>
                <w:szCs w:val="20"/>
              </w:rPr>
              <w:t xml:space="preserve">1,003 </w:t>
            </w:r>
          </w:p>
        </w:tc>
        <w:tc>
          <w:tcPr>
            <w:tcW w:w="708" w:type="dxa"/>
            <w:tcBorders>
              <w:top w:val="nil"/>
              <w:left w:val="nil"/>
              <w:bottom w:val="single" w:sz="4" w:space="0" w:color="auto"/>
              <w:right w:val="single" w:sz="8" w:space="0" w:color="auto"/>
            </w:tcBorders>
            <w:shd w:val="clear" w:color="000000" w:fill="FFFF00"/>
            <w:noWrap/>
            <w:vAlign w:val="bottom"/>
            <w:hideMark/>
          </w:tcPr>
          <w:p w14:paraId="04AB3AD0" w14:textId="6ABF0452"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37FBE846" w14:textId="3D159E86" w:rsidR="004C127E" w:rsidRPr="000E5786" w:rsidRDefault="004C127E" w:rsidP="00DD60F0">
            <w:pPr>
              <w:rPr>
                <w:rFonts w:cs="Arial"/>
                <w:szCs w:val="20"/>
              </w:rPr>
            </w:pPr>
            <w:r w:rsidRPr="000E5786">
              <w:rPr>
                <w:rFonts w:cs="Arial"/>
                <w:szCs w:val="20"/>
              </w:rPr>
              <w:t xml:space="preserve">1,274 </w:t>
            </w:r>
          </w:p>
        </w:tc>
        <w:tc>
          <w:tcPr>
            <w:tcW w:w="709" w:type="dxa"/>
            <w:tcBorders>
              <w:top w:val="nil"/>
              <w:left w:val="nil"/>
              <w:bottom w:val="single" w:sz="4" w:space="0" w:color="auto"/>
              <w:right w:val="single" w:sz="8" w:space="0" w:color="auto"/>
            </w:tcBorders>
            <w:shd w:val="clear" w:color="000000" w:fill="FFFF00"/>
            <w:noWrap/>
            <w:vAlign w:val="bottom"/>
            <w:hideMark/>
          </w:tcPr>
          <w:p w14:paraId="560A8D6F" w14:textId="016F4144"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6DE0CA84" w14:textId="2427853A" w:rsidR="004C127E" w:rsidRPr="000E5786" w:rsidRDefault="004C127E" w:rsidP="00DD60F0">
            <w:pPr>
              <w:rPr>
                <w:rFonts w:cs="Arial"/>
                <w:szCs w:val="20"/>
              </w:rPr>
            </w:pPr>
            <w:r w:rsidRPr="000E5786">
              <w:rPr>
                <w:rFonts w:cs="Arial"/>
                <w:szCs w:val="20"/>
              </w:rPr>
              <w:t xml:space="preserve">1,498 </w:t>
            </w:r>
          </w:p>
        </w:tc>
        <w:tc>
          <w:tcPr>
            <w:tcW w:w="709" w:type="dxa"/>
            <w:tcBorders>
              <w:top w:val="nil"/>
              <w:left w:val="nil"/>
              <w:bottom w:val="single" w:sz="4" w:space="0" w:color="auto"/>
              <w:right w:val="single" w:sz="8" w:space="0" w:color="auto"/>
            </w:tcBorders>
            <w:shd w:val="clear" w:color="000000" w:fill="FFFF00"/>
            <w:noWrap/>
            <w:vAlign w:val="bottom"/>
            <w:hideMark/>
          </w:tcPr>
          <w:p w14:paraId="63C61912" w14:textId="1B2ECC67" w:rsidR="004C127E" w:rsidRPr="000E5786" w:rsidRDefault="004C127E" w:rsidP="00DD60F0">
            <w:pPr>
              <w:rPr>
                <w:rFonts w:cs="Arial"/>
                <w:szCs w:val="20"/>
              </w:rPr>
            </w:pPr>
            <w:r w:rsidRPr="000E5786">
              <w:rPr>
                <w:rFonts w:cs="Arial"/>
                <w:szCs w:val="20"/>
              </w:rPr>
              <w:t xml:space="preserve">414 </w:t>
            </w:r>
          </w:p>
        </w:tc>
      </w:tr>
      <w:tr w:rsidR="00A72177" w:rsidRPr="000E5786" w14:paraId="3741FA52" w14:textId="77777777" w:rsidTr="00613818">
        <w:trPr>
          <w:trHeight w:val="240"/>
        </w:trPr>
        <w:tc>
          <w:tcPr>
            <w:tcW w:w="1134" w:type="dxa"/>
            <w:vMerge/>
            <w:tcBorders>
              <w:top w:val="nil"/>
              <w:left w:val="single" w:sz="8" w:space="0" w:color="auto"/>
              <w:bottom w:val="single" w:sz="8" w:space="0" w:color="000000"/>
              <w:right w:val="single" w:sz="8" w:space="0" w:color="auto"/>
            </w:tcBorders>
            <w:vAlign w:val="center"/>
            <w:hideMark/>
          </w:tcPr>
          <w:p w14:paraId="7EAFBF13"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37424A0B" w14:textId="77777777" w:rsidR="004C127E" w:rsidRPr="000E5786" w:rsidRDefault="004C127E" w:rsidP="00380763">
            <w:pPr>
              <w:ind w:left="0" w:firstLine="0"/>
              <w:jc w:val="cente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051F5181" w14:textId="77777777" w:rsidR="004C127E" w:rsidRPr="000E5786" w:rsidRDefault="004C127E" w:rsidP="00AC4874">
            <w:pPr>
              <w:ind w:left="0" w:right="32" w:firstLine="0"/>
              <w:jc w:val="left"/>
              <w:rPr>
                <w:rFonts w:cs="Arial"/>
                <w:szCs w:val="20"/>
              </w:rPr>
            </w:pPr>
            <w:r w:rsidRPr="000E5786">
              <w:rPr>
                <w:rFonts w:cs="Arial"/>
                <w:szCs w:val="20"/>
              </w:rPr>
              <w:t>Safety engineering</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1D867C9C" w14:textId="77777777" w:rsidR="004C127E" w:rsidRPr="000E5786" w:rsidRDefault="004C127E" w:rsidP="00DD60F0">
            <w:pPr>
              <w:jc w:val="center"/>
              <w:rPr>
                <w:rFonts w:cs="Arial"/>
                <w:szCs w:val="20"/>
              </w:rPr>
            </w:pPr>
            <w:r w:rsidRPr="000E5786">
              <w:rPr>
                <w:rFonts w:cs="Arial"/>
                <w:szCs w:val="20"/>
              </w:rPr>
              <w:t>SFEN</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4B672FBB" w14:textId="6D645196" w:rsidR="004C127E" w:rsidRPr="000E5786" w:rsidRDefault="004C127E" w:rsidP="00DD60F0">
            <w:pPr>
              <w:rPr>
                <w:rFonts w:cs="Arial"/>
                <w:szCs w:val="20"/>
              </w:rPr>
            </w:pPr>
            <w:r w:rsidRPr="000E5786">
              <w:rPr>
                <w:rFonts w:cs="Arial"/>
                <w:szCs w:val="20"/>
              </w:rPr>
              <w:t xml:space="preserve">420 </w:t>
            </w:r>
          </w:p>
        </w:tc>
        <w:tc>
          <w:tcPr>
            <w:tcW w:w="565" w:type="dxa"/>
            <w:tcBorders>
              <w:top w:val="nil"/>
              <w:left w:val="nil"/>
              <w:bottom w:val="single" w:sz="4" w:space="0" w:color="auto"/>
              <w:right w:val="single" w:sz="8" w:space="0" w:color="auto"/>
            </w:tcBorders>
            <w:shd w:val="clear" w:color="000000" w:fill="FFFF00"/>
            <w:noWrap/>
            <w:vAlign w:val="bottom"/>
            <w:hideMark/>
          </w:tcPr>
          <w:p w14:paraId="509F0893" w14:textId="3C9AD899"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0018E1F9" w14:textId="1B74336F" w:rsidR="004C127E" w:rsidRPr="000E5786" w:rsidRDefault="004C127E" w:rsidP="00DD60F0">
            <w:pPr>
              <w:rPr>
                <w:rFonts w:cs="Arial"/>
                <w:szCs w:val="20"/>
              </w:rPr>
            </w:pPr>
            <w:r w:rsidRPr="000E5786">
              <w:rPr>
                <w:rFonts w:cs="Arial"/>
                <w:szCs w:val="20"/>
              </w:rPr>
              <w:t xml:space="preserve">530 </w:t>
            </w:r>
          </w:p>
        </w:tc>
        <w:tc>
          <w:tcPr>
            <w:tcW w:w="709" w:type="dxa"/>
            <w:tcBorders>
              <w:top w:val="nil"/>
              <w:left w:val="nil"/>
              <w:bottom w:val="single" w:sz="4" w:space="0" w:color="auto"/>
              <w:right w:val="single" w:sz="8" w:space="0" w:color="auto"/>
            </w:tcBorders>
            <w:shd w:val="clear" w:color="000000" w:fill="FFFF00"/>
            <w:noWrap/>
            <w:vAlign w:val="bottom"/>
            <w:hideMark/>
          </w:tcPr>
          <w:p w14:paraId="55A1B684" w14:textId="53E5F899"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37E3D479" w14:textId="387EE62A" w:rsidR="004C127E" w:rsidRPr="000E5786" w:rsidRDefault="004C127E" w:rsidP="00DD60F0">
            <w:pPr>
              <w:rPr>
                <w:rFonts w:cs="Arial"/>
                <w:szCs w:val="20"/>
              </w:rPr>
            </w:pPr>
            <w:r w:rsidRPr="000E5786">
              <w:rPr>
                <w:rFonts w:cs="Arial"/>
                <w:szCs w:val="20"/>
              </w:rPr>
              <w:t xml:space="preserve">632 </w:t>
            </w:r>
          </w:p>
        </w:tc>
        <w:tc>
          <w:tcPr>
            <w:tcW w:w="709" w:type="dxa"/>
            <w:tcBorders>
              <w:top w:val="nil"/>
              <w:left w:val="nil"/>
              <w:bottom w:val="single" w:sz="4" w:space="0" w:color="auto"/>
              <w:right w:val="single" w:sz="8" w:space="0" w:color="auto"/>
            </w:tcBorders>
            <w:shd w:val="clear" w:color="000000" w:fill="FFFF00"/>
            <w:noWrap/>
            <w:vAlign w:val="bottom"/>
            <w:hideMark/>
          </w:tcPr>
          <w:p w14:paraId="3A5B0A5D" w14:textId="7750B844"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51A9548C" w14:textId="6EB9EED4" w:rsidR="004C127E" w:rsidRPr="000E5786" w:rsidRDefault="004C127E" w:rsidP="00DD60F0">
            <w:pPr>
              <w:rPr>
                <w:rFonts w:cs="Arial"/>
                <w:szCs w:val="20"/>
              </w:rPr>
            </w:pPr>
            <w:r w:rsidRPr="000E5786">
              <w:rPr>
                <w:rFonts w:cs="Arial"/>
                <w:szCs w:val="20"/>
              </w:rPr>
              <w:t xml:space="preserve">876 </w:t>
            </w:r>
          </w:p>
        </w:tc>
        <w:tc>
          <w:tcPr>
            <w:tcW w:w="709" w:type="dxa"/>
            <w:tcBorders>
              <w:top w:val="nil"/>
              <w:left w:val="nil"/>
              <w:bottom w:val="single" w:sz="4" w:space="0" w:color="auto"/>
              <w:right w:val="single" w:sz="8" w:space="0" w:color="auto"/>
            </w:tcBorders>
            <w:shd w:val="clear" w:color="000000" w:fill="FFFF00"/>
            <w:noWrap/>
            <w:vAlign w:val="bottom"/>
            <w:hideMark/>
          </w:tcPr>
          <w:p w14:paraId="681D52A1" w14:textId="6E0C2B08"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47F7C72D" w14:textId="63DBC106" w:rsidR="004C127E" w:rsidRPr="000E5786" w:rsidRDefault="004C127E" w:rsidP="00DD60F0">
            <w:pPr>
              <w:rPr>
                <w:rFonts w:cs="Arial"/>
                <w:szCs w:val="20"/>
              </w:rPr>
            </w:pPr>
            <w:r w:rsidRPr="000E5786">
              <w:rPr>
                <w:rFonts w:cs="Arial"/>
                <w:szCs w:val="20"/>
              </w:rPr>
              <w:t xml:space="preserve">1,003 </w:t>
            </w:r>
          </w:p>
        </w:tc>
        <w:tc>
          <w:tcPr>
            <w:tcW w:w="708" w:type="dxa"/>
            <w:tcBorders>
              <w:top w:val="nil"/>
              <w:left w:val="nil"/>
              <w:bottom w:val="single" w:sz="4" w:space="0" w:color="auto"/>
              <w:right w:val="single" w:sz="8" w:space="0" w:color="auto"/>
            </w:tcBorders>
            <w:shd w:val="clear" w:color="000000" w:fill="FFFF00"/>
            <w:noWrap/>
            <w:vAlign w:val="bottom"/>
            <w:hideMark/>
          </w:tcPr>
          <w:p w14:paraId="07A0D747" w14:textId="0088EB69"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406F6EAC" w14:textId="1FBBC1A9" w:rsidR="004C127E" w:rsidRPr="000E5786" w:rsidRDefault="004C127E" w:rsidP="00DD60F0">
            <w:pPr>
              <w:rPr>
                <w:rFonts w:cs="Arial"/>
                <w:szCs w:val="20"/>
              </w:rPr>
            </w:pPr>
            <w:r w:rsidRPr="000E5786">
              <w:rPr>
                <w:rFonts w:cs="Arial"/>
                <w:szCs w:val="20"/>
              </w:rPr>
              <w:t xml:space="preserve">1,274 </w:t>
            </w:r>
          </w:p>
        </w:tc>
        <w:tc>
          <w:tcPr>
            <w:tcW w:w="709" w:type="dxa"/>
            <w:tcBorders>
              <w:top w:val="nil"/>
              <w:left w:val="nil"/>
              <w:bottom w:val="single" w:sz="4" w:space="0" w:color="auto"/>
              <w:right w:val="single" w:sz="8" w:space="0" w:color="auto"/>
            </w:tcBorders>
            <w:shd w:val="clear" w:color="000000" w:fill="FFFF00"/>
            <w:noWrap/>
            <w:vAlign w:val="bottom"/>
            <w:hideMark/>
          </w:tcPr>
          <w:p w14:paraId="0DF598F3" w14:textId="010131D0"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21F95B4D" w14:textId="25E0A722" w:rsidR="004C127E" w:rsidRPr="000E5786" w:rsidRDefault="004C127E" w:rsidP="00DD60F0">
            <w:pPr>
              <w:rPr>
                <w:rFonts w:cs="Arial"/>
                <w:szCs w:val="20"/>
              </w:rPr>
            </w:pPr>
            <w:r w:rsidRPr="000E5786">
              <w:rPr>
                <w:rFonts w:cs="Arial"/>
                <w:szCs w:val="20"/>
              </w:rPr>
              <w:t xml:space="preserve">1,498 </w:t>
            </w:r>
          </w:p>
        </w:tc>
        <w:tc>
          <w:tcPr>
            <w:tcW w:w="709" w:type="dxa"/>
            <w:tcBorders>
              <w:top w:val="nil"/>
              <w:left w:val="nil"/>
              <w:bottom w:val="single" w:sz="4" w:space="0" w:color="auto"/>
              <w:right w:val="single" w:sz="8" w:space="0" w:color="auto"/>
            </w:tcBorders>
            <w:shd w:val="clear" w:color="000000" w:fill="FFFF00"/>
            <w:noWrap/>
            <w:vAlign w:val="bottom"/>
            <w:hideMark/>
          </w:tcPr>
          <w:p w14:paraId="76305536" w14:textId="367885C7" w:rsidR="004C127E" w:rsidRPr="000E5786" w:rsidRDefault="004C127E" w:rsidP="00DD60F0">
            <w:pPr>
              <w:rPr>
                <w:rFonts w:cs="Arial"/>
                <w:szCs w:val="20"/>
              </w:rPr>
            </w:pPr>
            <w:r w:rsidRPr="000E5786">
              <w:rPr>
                <w:rFonts w:cs="Arial"/>
                <w:szCs w:val="20"/>
              </w:rPr>
              <w:t xml:space="preserve">414 </w:t>
            </w:r>
          </w:p>
        </w:tc>
      </w:tr>
      <w:tr w:rsidR="00A72177" w:rsidRPr="000E5786" w14:paraId="397624AD" w14:textId="77777777" w:rsidTr="00613818">
        <w:trPr>
          <w:trHeight w:val="225"/>
        </w:trPr>
        <w:tc>
          <w:tcPr>
            <w:tcW w:w="1134" w:type="dxa"/>
            <w:vMerge/>
            <w:tcBorders>
              <w:top w:val="nil"/>
              <w:left w:val="single" w:sz="8" w:space="0" w:color="auto"/>
              <w:bottom w:val="single" w:sz="8" w:space="0" w:color="000000"/>
              <w:right w:val="single" w:sz="8" w:space="0" w:color="auto"/>
            </w:tcBorders>
            <w:vAlign w:val="center"/>
            <w:hideMark/>
          </w:tcPr>
          <w:p w14:paraId="792CDF72"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49851971" w14:textId="77777777" w:rsidR="004C127E" w:rsidRPr="000E5786" w:rsidRDefault="004C127E" w:rsidP="00380763">
            <w:pPr>
              <w:ind w:left="0" w:firstLine="0"/>
              <w:jc w:val="cente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122DD5CD" w14:textId="77777777" w:rsidR="004C127E" w:rsidRPr="000E5786" w:rsidRDefault="004C127E" w:rsidP="00AC4874">
            <w:pPr>
              <w:ind w:left="0" w:right="32" w:firstLine="0"/>
              <w:jc w:val="left"/>
              <w:rPr>
                <w:rFonts w:cs="Arial"/>
                <w:szCs w:val="20"/>
              </w:rPr>
            </w:pPr>
            <w:r w:rsidRPr="000E5786">
              <w:rPr>
                <w:rFonts w:cs="Arial"/>
                <w:szCs w:val="20"/>
              </w:rPr>
              <w:t>Sustainability engineering</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36FD379" w14:textId="77777777" w:rsidR="004C127E" w:rsidRPr="000E5786" w:rsidRDefault="004C127E" w:rsidP="00DD60F0">
            <w:pPr>
              <w:jc w:val="center"/>
              <w:rPr>
                <w:rFonts w:cs="Arial"/>
                <w:szCs w:val="20"/>
              </w:rPr>
            </w:pPr>
            <w:r w:rsidRPr="000E5786">
              <w:rPr>
                <w:rFonts w:cs="Arial"/>
                <w:szCs w:val="20"/>
              </w:rPr>
              <w:t>SUEN</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74106CB2" w14:textId="48B0F663" w:rsidR="004C127E" w:rsidRPr="000E5786" w:rsidRDefault="004C127E" w:rsidP="00DD60F0">
            <w:pPr>
              <w:rPr>
                <w:rFonts w:cs="Arial"/>
                <w:szCs w:val="20"/>
              </w:rPr>
            </w:pPr>
            <w:r w:rsidRPr="000E5786">
              <w:rPr>
                <w:rFonts w:cs="Arial"/>
                <w:szCs w:val="20"/>
              </w:rPr>
              <w:t xml:space="preserve">420 </w:t>
            </w:r>
          </w:p>
        </w:tc>
        <w:tc>
          <w:tcPr>
            <w:tcW w:w="565" w:type="dxa"/>
            <w:tcBorders>
              <w:top w:val="nil"/>
              <w:left w:val="nil"/>
              <w:bottom w:val="single" w:sz="4" w:space="0" w:color="auto"/>
              <w:right w:val="single" w:sz="8" w:space="0" w:color="auto"/>
            </w:tcBorders>
            <w:shd w:val="clear" w:color="000000" w:fill="FFFF00"/>
            <w:noWrap/>
            <w:vAlign w:val="bottom"/>
            <w:hideMark/>
          </w:tcPr>
          <w:p w14:paraId="3526DB28" w14:textId="47E91EAA"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2EB255FD" w14:textId="554A2C69" w:rsidR="004C127E" w:rsidRPr="000E5786" w:rsidRDefault="004C127E" w:rsidP="00DD60F0">
            <w:pPr>
              <w:rPr>
                <w:rFonts w:cs="Arial"/>
                <w:szCs w:val="20"/>
              </w:rPr>
            </w:pPr>
            <w:r w:rsidRPr="000E5786">
              <w:rPr>
                <w:rFonts w:cs="Arial"/>
                <w:szCs w:val="20"/>
              </w:rPr>
              <w:t xml:space="preserve">530 </w:t>
            </w:r>
          </w:p>
        </w:tc>
        <w:tc>
          <w:tcPr>
            <w:tcW w:w="709" w:type="dxa"/>
            <w:tcBorders>
              <w:top w:val="nil"/>
              <w:left w:val="nil"/>
              <w:bottom w:val="single" w:sz="4" w:space="0" w:color="auto"/>
              <w:right w:val="single" w:sz="8" w:space="0" w:color="auto"/>
            </w:tcBorders>
            <w:shd w:val="clear" w:color="000000" w:fill="FFFF00"/>
            <w:noWrap/>
            <w:vAlign w:val="bottom"/>
            <w:hideMark/>
          </w:tcPr>
          <w:p w14:paraId="0A999731" w14:textId="19968B05"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4149E2D4" w14:textId="3F5FEE3F" w:rsidR="004C127E" w:rsidRPr="000E5786" w:rsidRDefault="004C127E" w:rsidP="00DD60F0">
            <w:pPr>
              <w:rPr>
                <w:rFonts w:cs="Arial"/>
                <w:szCs w:val="20"/>
              </w:rPr>
            </w:pPr>
            <w:r w:rsidRPr="000E5786">
              <w:rPr>
                <w:rFonts w:cs="Arial"/>
                <w:szCs w:val="20"/>
              </w:rPr>
              <w:t xml:space="preserve">632 </w:t>
            </w:r>
          </w:p>
        </w:tc>
        <w:tc>
          <w:tcPr>
            <w:tcW w:w="709" w:type="dxa"/>
            <w:tcBorders>
              <w:top w:val="nil"/>
              <w:left w:val="nil"/>
              <w:bottom w:val="single" w:sz="4" w:space="0" w:color="auto"/>
              <w:right w:val="single" w:sz="8" w:space="0" w:color="auto"/>
            </w:tcBorders>
            <w:shd w:val="clear" w:color="000000" w:fill="FFFF00"/>
            <w:noWrap/>
            <w:vAlign w:val="bottom"/>
            <w:hideMark/>
          </w:tcPr>
          <w:p w14:paraId="4A8FC96A" w14:textId="5E43BFE6"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092EBEA7" w14:textId="6825D2AA" w:rsidR="004C127E" w:rsidRPr="000E5786" w:rsidRDefault="004C127E" w:rsidP="00DD60F0">
            <w:pPr>
              <w:rPr>
                <w:rFonts w:cs="Arial"/>
                <w:szCs w:val="20"/>
              </w:rPr>
            </w:pPr>
            <w:r w:rsidRPr="000E5786">
              <w:rPr>
                <w:rFonts w:cs="Arial"/>
                <w:szCs w:val="20"/>
              </w:rPr>
              <w:t xml:space="preserve">876 </w:t>
            </w:r>
          </w:p>
        </w:tc>
        <w:tc>
          <w:tcPr>
            <w:tcW w:w="709" w:type="dxa"/>
            <w:tcBorders>
              <w:top w:val="nil"/>
              <w:left w:val="nil"/>
              <w:bottom w:val="single" w:sz="4" w:space="0" w:color="auto"/>
              <w:right w:val="single" w:sz="8" w:space="0" w:color="auto"/>
            </w:tcBorders>
            <w:shd w:val="clear" w:color="000000" w:fill="FFFF00"/>
            <w:noWrap/>
            <w:vAlign w:val="bottom"/>
            <w:hideMark/>
          </w:tcPr>
          <w:p w14:paraId="6154C9A8" w14:textId="0E0FA41E"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0CC92CB1" w14:textId="0917DD02" w:rsidR="004C127E" w:rsidRPr="000E5786" w:rsidRDefault="004C127E" w:rsidP="00DD60F0">
            <w:pPr>
              <w:rPr>
                <w:rFonts w:cs="Arial"/>
                <w:szCs w:val="20"/>
              </w:rPr>
            </w:pPr>
            <w:r w:rsidRPr="000E5786">
              <w:rPr>
                <w:rFonts w:cs="Arial"/>
                <w:szCs w:val="20"/>
              </w:rPr>
              <w:t xml:space="preserve">1,003 </w:t>
            </w:r>
          </w:p>
        </w:tc>
        <w:tc>
          <w:tcPr>
            <w:tcW w:w="708" w:type="dxa"/>
            <w:tcBorders>
              <w:top w:val="nil"/>
              <w:left w:val="nil"/>
              <w:bottom w:val="single" w:sz="4" w:space="0" w:color="auto"/>
              <w:right w:val="single" w:sz="8" w:space="0" w:color="auto"/>
            </w:tcBorders>
            <w:shd w:val="clear" w:color="000000" w:fill="FFFF00"/>
            <w:noWrap/>
            <w:vAlign w:val="bottom"/>
            <w:hideMark/>
          </w:tcPr>
          <w:p w14:paraId="1CC4430B" w14:textId="73863B7D"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304CAE13" w14:textId="7FA5193A" w:rsidR="004C127E" w:rsidRPr="000E5786" w:rsidRDefault="004C127E" w:rsidP="00DD60F0">
            <w:pPr>
              <w:rPr>
                <w:rFonts w:cs="Arial"/>
                <w:szCs w:val="20"/>
              </w:rPr>
            </w:pPr>
            <w:r w:rsidRPr="000E5786">
              <w:rPr>
                <w:rFonts w:cs="Arial"/>
                <w:szCs w:val="20"/>
              </w:rPr>
              <w:t xml:space="preserve">1,274 </w:t>
            </w:r>
          </w:p>
        </w:tc>
        <w:tc>
          <w:tcPr>
            <w:tcW w:w="709" w:type="dxa"/>
            <w:tcBorders>
              <w:top w:val="nil"/>
              <w:left w:val="nil"/>
              <w:bottom w:val="single" w:sz="4" w:space="0" w:color="auto"/>
              <w:right w:val="single" w:sz="8" w:space="0" w:color="auto"/>
            </w:tcBorders>
            <w:shd w:val="clear" w:color="000000" w:fill="FFFF00"/>
            <w:noWrap/>
            <w:vAlign w:val="bottom"/>
            <w:hideMark/>
          </w:tcPr>
          <w:p w14:paraId="08BEE7C5" w14:textId="7BC5B8C8"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1ECE3461" w14:textId="6B4ED474" w:rsidR="004C127E" w:rsidRPr="000E5786" w:rsidRDefault="004C127E" w:rsidP="00DD60F0">
            <w:pPr>
              <w:rPr>
                <w:rFonts w:cs="Arial"/>
                <w:szCs w:val="20"/>
              </w:rPr>
            </w:pPr>
            <w:r w:rsidRPr="000E5786">
              <w:rPr>
                <w:rFonts w:cs="Arial"/>
                <w:szCs w:val="20"/>
              </w:rPr>
              <w:t xml:space="preserve">1,498 </w:t>
            </w:r>
          </w:p>
        </w:tc>
        <w:tc>
          <w:tcPr>
            <w:tcW w:w="709" w:type="dxa"/>
            <w:tcBorders>
              <w:top w:val="nil"/>
              <w:left w:val="nil"/>
              <w:bottom w:val="single" w:sz="4" w:space="0" w:color="auto"/>
              <w:right w:val="single" w:sz="8" w:space="0" w:color="auto"/>
            </w:tcBorders>
            <w:shd w:val="clear" w:color="000000" w:fill="FFFF00"/>
            <w:noWrap/>
            <w:vAlign w:val="bottom"/>
            <w:hideMark/>
          </w:tcPr>
          <w:p w14:paraId="67BC2F79" w14:textId="4A395376" w:rsidR="004C127E" w:rsidRPr="000E5786" w:rsidRDefault="004C127E" w:rsidP="00DD60F0">
            <w:pPr>
              <w:rPr>
                <w:rFonts w:cs="Arial"/>
                <w:szCs w:val="20"/>
              </w:rPr>
            </w:pPr>
            <w:r w:rsidRPr="000E5786">
              <w:rPr>
                <w:rFonts w:cs="Arial"/>
                <w:szCs w:val="20"/>
              </w:rPr>
              <w:t xml:space="preserve">414 </w:t>
            </w:r>
          </w:p>
        </w:tc>
      </w:tr>
      <w:tr w:rsidR="00A72177" w:rsidRPr="000E5786" w14:paraId="590DB220" w14:textId="77777777" w:rsidTr="00613818">
        <w:trPr>
          <w:trHeight w:val="225"/>
        </w:trPr>
        <w:tc>
          <w:tcPr>
            <w:tcW w:w="1134" w:type="dxa"/>
            <w:vMerge/>
            <w:tcBorders>
              <w:top w:val="nil"/>
              <w:left w:val="single" w:sz="8" w:space="0" w:color="auto"/>
              <w:bottom w:val="single" w:sz="8" w:space="0" w:color="000000"/>
              <w:right w:val="single" w:sz="8" w:space="0" w:color="auto"/>
            </w:tcBorders>
            <w:vAlign w:val="center"/>
            <w:hideMark/>
          </w:tcPr>
          <w:p w14:paraId="0469D406"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6AF78F1E" w14:textId="77777777" w:rsidR="004C127E" w:rsidRPr="000E5786" w:rsidRDefault="004C127E" w:rsidP="00380763">
            <w:pPr>
              <w:ind w:left="0" w:firstLine="0"/>
              <w:jc w:val="cente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363A60CB" w14:textId="77777777" w:rsidR="004C127E" w:rsidRPr="000E5786" w:rsidRDefault="004C127E" w:rsidP="00AC4874">
            <w:pPr>
              <w:ind w:left="0" w:right="32" w:firstLine="0"/>
              <w:jc w:val="left"/>
              <w:rPr>
                <w:rFonts w:cs="Arial"/>
                <w:szCs w:val="20"/>
              </w:rPr>
            </w:pPr>
            <w:r w:rsidRPr="000E5786">
              <w:rPr>
                <w:rFonts w:cs="Arial"/>
                <w:szCs w:val="20"/>
              </w:rPr>
              <w:t>Information content authoring</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8A01EFD" w14:textId="77777777" w:rsidR="004C127E" w:rsidRPr="000E5786" w:rsidRDefault="004C127E" w:rsidP="00DD60F0">
            <w:pPr>
              <w:jc w:val="center"/>
              <w:rPr>
                <w:rFonts w:cs="Arial"/>
                <w:szCs w:val="20"/>
              </w:rPr>
            </w:pPr>
            <w:r w:rsidRPr="000E5786">
              <w:rPr>
                <w:rFonts w:cs="Arial"/>
                <w:szCs w:val="20"/>
              </w:rPr>
              <w:t>INCA</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31D1C88C" w14:textId="1443B04F" w:rsidR="004C127E" w:rsidRPr="000E5786" w:rsidRDefault="004C127E" w:rsidP="00DD60F0">
            <w:pPr>
              <w:rPr>
                <w:rFonts w:cs="Arial"/>
                <w:szCs w:val="20"/>
              </w:rPr>
            </w:pPr>
            <w:r w:rsidRPr="000E5786">
              <w:rPr>
                <w:rFonts w:cs="Arial"/>
                <w:szCs w:val="20"/>
              </w:rPr>
              <w:t xml:space="preserve">420 </w:t>
            </w:r>
          </w:p>
        </w:tc>
        <w:tc>
          <w:tcPr>
            <w:tcW w:w="565" w:type="dxa"/>
            <w:tcBorders>
              <w:top w:val="nil"/>
              <w:left w:val="nil"/>
              <w:bottom w:val="single" w:sz="4" w:space="0" w:color="auto"/>
              <w:right w:val="single" w:sz="8" w:space="0" w:color="auto"/>
            </w:tcBorders>
            <w:shd w:val="clear" w:color="000000" w:fill="FFFF00"/>
            <w:noWrap/>
            <w:vAlign w:val="bottom"/>
            <w:hideMark/>
          </w:tcPr>
          <w:p w14:paraId="5807676B" w14:textId="03CF8365"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2F17556E" w14:textId="4AF0721D" w:rsidR="004C127E" w:rsidRPr="000E5786" w:rsidRDefault="004C127E" w:rsidP="00DD60F0">
            <w:pPr>
              <w:rPr>
                <w:rFonts w:cs="Arial"/>
                <w:szCs w:val="20"/>
              </w:rPr>
            </w:pPr>
            <w:r w:rsidRPr="000E5786">
              <w:rPr>
                <w:rFonts w:cs="Arial"/>
                <w:szCs w:val="20"/>
              </w:rPr>
              <w:t xml:space="preserve">530 </w:t>
            </w:r>
          </w:p>
        </w:tc>
        <w:tc>
          <w:tcPr>
            <w:tcW w:w="709" w:type="dxa"/>
            <w:tcBorders>
              <w:top w:val="nil"/>
              <w:left w:val="nil"/>
              <w:bottom w:val="single" w:sz="4" w:space="0" w:color="auto"/>
              <w:right w:val="single" w:sz="8" w:space="0" w:color="auto"/>
            </w:tcBorders>
            <w:shd w:val="clear" w:color="000000" w:fill="FFFF00"/>
            <w:noWrap/>
            <w:vAlign w:val="bottom"/>
            <w:hideMark/>
          </w:tcPr>
          <w:p w14:paraId="2D352378" w14:textId="055693C3"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6A9E8982" w14:textId="656F4F6B" w:rsidR="004C127E" w:rsidRPr="000E5786" w:rsidRDefault="004C127E" w:rsidP="00DD60F0">
            <w:pPr>
              <w:rPr>
                <w:rFonts w:cs="Arial"/>
                <w:szCs w:val="20"/>
              </w:rPr>
            </w:pPr>
            <w:r w:rsidRPr="000E5786">
              <w:rPr>
                <w:rFonts w:cs="Arial"/>
                <w:szCs w:val="20"/>
              </w:rPr>
              <w:t xml:space="preserve">632 </w:t>
            </w:r>
          </w:p>
        </w:tc>
        <w:tc>
          <w:tcPr>
            <w:tcW w:w="709" w:type="dxa"/>
            <w:tcBorders>
              <w:top w:val="nil"/>
              <w:left w:val="nil"/>
              <w:bottom w:val="single" w:sz="4" w:space="0" w:color="auto"/>
              <w:right w:val="single" w:sz="8" w:space="0" w:color="auto"/>
            </w:tcBorders>
            <w:shd w:val="clear" w:color="000000" w:fill="FFFF00"/>
            <w:noWrap/>
            <w:vAlign w:val="bottom"/>
            <w:hideMark/>
          </w:tcPr>
          <w:p w14:paraId="5F0E350A" w14:textId="7A46A2D2"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3F15A14A" w14:textId="02E14229" w:rsidR="004C127E" w:rsidRPr="000E5786" w:rsidRDefault="004C127E" w:rsidP="00DD60F0">
            <w:pPr>
              <w:rPr>
                <w:rFonts w:cs="Arial"/>
                <w:szCs w:val="20"/>
              </w:rPr>
            </w:pPr>
            <w:r w:rsidRPr="000E5786">
              <w:rPr>
                <w:rFonts w:cs="Arial"/>
                <w:szCs w:val="20"/>
              </w:rPr>
              <w:t xml:space="preserve">876 </w:t>
            </w:r>
          </w:p>
        </w:tc>
        <w:tc>
          <w:tcPr>
            <w:tcW w:w="709" w:type="dxa"/>
            <w:tcBorders>
              <w:top w:val="nil"/>
              <w:left w:val="nil"/>
              <w:bottom w:val="single" w:sz="4" w:space="0" w:color="auto"/>
              <w:right w:val="single" w:sz="8" w:space="0" w:color="auto"/>
            </w:tcBorders>
            <w:shd w:val="clear" w:color="000000" w:fill="FFFF00"/>
            <w:noWrap/>
            <w:vAlign w:val="bottom"/>
            <w:hideMark/>
          </w:tcPr>
          <w:p w14:paraId="3BD979DC" w14:textId="16B3D9B7"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2124CEEE" w14:textId="0CB40B84" w:rsidR="004C127E" w:rsidRPr="000E5786" w:rsidRDefault="004C127E" w:rsidP="00DD60F0">
            <w:pPr>
              <w:rPr>
                <w:rFonts w:cs="Arial"/>
                <w:szCs w:val="20"/>
              </w:rPr>
            </w:pPr>
            <w:r w:rsidRPr="000E5786">
              <w:rPr>
                <w:rFonts w:cs="Arial"/>
                <w:szCs w:val="20"/>
              </w:rPr>
              <w:t xml:space="preserve">1,003 </w:t>
            </w:r>
          </w:p>
        </w:tc>
        <w:tc>
          <w:tcPr>
            <w:tcW w:w="708" w:type="dxa"/>
            <w:tcBorders>
              <w:top w:val="nil"/>
              <w:left w:val="nil"/>
              <w:bottom w:val="single" w:sz="4" w:space="0" w:color="auto"/>
              <w:right w:val="single" w:sz="8" w:space="0" w:color="auto"/>
            </w:tcBorders>
            <w:shd w:val="clear" w:color="000000" w:fill="FFFF00"/>
            <w:noWrap/>
            <w:vAlign w:val="bottom"/>
            <w:hideMark/>
          </w:tcPr>
          <w:p w14:paraId="1C234A6B" w14:textId="722A7CC0"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10EAA911" w14:textId="6300BB9F" w:rsidR="004C127E" w:rsidRPr="000E5786" w:rsidRDefault="004C127E" w:rsidP="00DD60F0">
            <w:pPr>
              <w:rPr>
                <w:rFonts w:cs="Arial"/>
                <w:szCs w:val="20"/>
              </w:rPr>
            </w:pPr>
            <w:r w:rsidRPr="000E5786">
              <w:rPr>
                <w:rFonts w:cs="Arial"/>
                <w:szCs w:val="20"/>
              </w:rPr>
              <w:t xml:space="preserve">1,274 </w:t>
            </w:r>
          </w:p>
        </w:tc>
        <w:tc>
          <w:tcPr>
            <w:tcW w:w="709" w:type="dxa"/>
            <w:tcBorders>
              <w:top w:val="nil"/>
              <w:left w:val="nil"/>
              <w:bottom w:val="single" w:sz="4" w:space="0" w:color="auto"/>
              <w:right w:val="single" w:sz="8" w:space="0" w:color="auto"/>
            </w:tcBorders>
            <w:shd w:val="clear" w:color="000000" w:fill="FFFF00"/>
            <w:noWrap/>
            <w:vAlign w:val="bottom"/>
            <w:hideMark/>
          </w:tcPr>
          <w:p w14:paraId="15649B83" w14:textId="2E2AB5EE"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4FAEBC1E" w14:textId="379225E8" w:rsidR="004C127E" w:rsidRPr="000E5786" w:rsidRDefault="004C127E" w:rsidP="00DD60F0">
            <w:pPr>
              <w:rPr>
                <w:rFonts w:cs="Arial"/>
                <w:szCs w:val="20"/>
              </w:rPr>
            </w:pPr>
            <w:r w:rsidRPr="000E5786">
              <w:rPr>
                <w:rFonts w:cs="Arial"/>
                <w:szCs w:val="20"/>
              </w:rPr>
              <w:t xml:space="preserve">1,498 </w:t>
            </w:r>
          </w:p>
        </w:tc>
        <w:tc>
          <w:tcPr>
            <w:tcW w:w="709" w:type="dxa"/>
            <w:tcBorders>
              <w:top w:val="nil"/>
              <w:left w:val="nil"/>
              <w:bottom w:val="single" w:sz="4" w:space="0" w:color="auto"/>
              <w:right w:val="single" w:sz="8" w:space="0" w:color="auto"/>
            </w:tcBorders>
            <w:shd w:val="clear" w:color="000000" w:fill="FFFF00"/>
            <w:noWrap/>
            <w:vAlign w:val="bottom"/>
            <w:hideMark/>
          </w:tcPr>
          <w:p w14:paraId="7D73A855" w14:textId="7CC502D4" w:rsidR="004C127E" w:rsidRPr="000E5786" w:rsidRDefault="004C127E" w:rsidP="00DD60F0">
            <w:pPr>
              <w:rPr>
                <w:rFonts w:cs="Arial"/>
                <w:szCs w:val="20"/>
              </w:rPr>
            </w:pPr>
            <w:r w:rsidRPr="000E5786">
              <w:rPr>
                <w:rFonts w:cs="Arial"/>
                <w:szCs w:val="20"/>
              </w:rPr>
              <w:t xml:space="preserve">414 </w:t>
            </w:r>
          </w:p>
        </w:tc>
      </w:tr>
      <w:tr w:rsidR="00A72177" w:rsidRPr="000E5786" w14:paraId="11236A10" w14:textId="77777777" w:rsidTr="00613818">
        <w:trPr>
          <w:trHeight w:val="240"/>
        </w:trPr>
        <w:tc>
          <w:tcPr>
            <w:tcW w:w="1134" w:type="dxa"/>
            <w:vMerge/>
            <w:tcBorders>
              <w:top w:val="nil"/>
              <w:left w:val="single" w:sz="8" w:space="0" w:color="auto"/>
              <w:bottom w:val="single" w:sz="8" w:space="0" w:color="000000"/>
              <w:right w:val="single" w:sz="8" w:space="0" w:color="auto"/>
            </w:tcBorders>
            <w:vAlign w:val="center"/>
            <w:hideMark/>
          </w:tcPr>
          <w:p w14:paraId="7D77492B"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643EE4C4" w14:textId="77777777" w:rsidR="004C127E" w:rsidRPr="000E5786" w:rsidRDefault="004C127E" w:rsidP="00380763">
            <w:pPr>
              <w:ind w:left="0" w:firstLine="0"/>
              <w:jc w:val="center"/>
              <w:rPr>
                <w:rFonts w:cs="Arial"/>
                <w:b/>
                <w:bCs/>
                <w:szCs w:val="20"/>
              </w:rPr>
            </w:pPr>
          </w:p>
        </w:tc>
        <w:tc>
          <w:tcPr>
            <w:tcW w:w="1560" w:type="dxa"/>
            <w:tcBorders>
              <w:top w:val="nil"/>
              <w:left w:val="nil"/>
              <w:bottom w:val="single" w:sz="8" w:space="0" w:color="auto"/>
              <w:right w:val="single" w:sz="4" w:space="0" w:color="auto"/>
            </w:tcBorders>
            <w:shd w:val="clear" w:color="auto" w:fill="auto"/>
            <w:noWrap/>
            <w:vAlign w:val="bottom"/>
            <w:hideMark/>
          </w:tcPr>
          <w:p w14:paraId="5BDB0DA4" w14:textId="77777777" w:rsidR="004C127E" w:rsidRPr="000E5786" w:rsidRDefault="004C127E" w:rsidP="00AC4874">
            <w:pPr>
              <w:ind w:left="0" w:right="32" w:firstLine="0"/>
              <w:jc w:val="left"/>
              <w:rPr>
                <w:rFonts w:cs="Arial"/>
                <w:szCs w:val="20"/>
              </w:rPr>
            </w:pPr>
            <w:r w:rsidRPr="000E5786">
              <w:rPr>
                <w:rFonts w:cs="Arial"/>
                <w:szCs w:val="20"/>
              </w:rPr>
              <w:t>Testing</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DA72FA1" w14:textId="77777777" w:rsidR="004C127E" w:rsidRPr="000E5786" w:rsidRDefault="004C127E" w:rsidP="00DD60F0">
            <w:pPr>
              <w:jc w:val="center"/>
              <w:rPr>
                <w:rFonts w:cs="Arial"/>
                <w:szCs w:val="20"/>
              </w:rPr>
            </w:pPr>
            <w:r w:rsidRPr="000E5786">
              <w:rPr>
                <w:rFonts w:cs="Arial"/>
                <w:szCs w:val="20"/>
              </w:rPr>
              <w:t>TEST</w:t>
            </w:r>
          </w:p>
        </w:tc>
        <w:tc>
          <w:tcPr>
            <w:tcW w:w="567" w:type="dxa"/>
            <w:tcBorders>
              <w:top w:val="nil"/>
              <w:left w:val="single" w:sz="4" w:space="0" w:color="auto"/>
              <w:bottom w:val="single" w:sz="8" w:space="0" w:color="auto"/>
              <w:right w:val="single" w:sz="4" w:space="0" w:color="auto"/>
            </w:tcBorders>
            <w:shd w:val="clear" w:color="000000" w:fill="FFFF00"/>
            <w:noWrap/>
            <w:vAlign w:val="bottom"/>
            <w:hideMark/>
          </w:tcPr>
          <w:p w14:paraId="11DB38A4" w14:textId="2D0A7F25" w:rsidR="004C127E" w:rsidRPr="000E5786" w:rsidRDefault="004C127E" w:rsidP="00DD60F0">
            <w:pPr>
              <w:rPr>
                <w:rFonts w:cs="Arial"/>
                <w:szCs w:val="20"/>
              </w:rPr>
            </w:pPr>
            <w:r w:rsidRPr="000E5786">
              <w:rPr>
                <w:rFonts w:cs="Arial"/>
                <w:szCs w:val="20"/>
              </w:rPr>
              <w:t xml:space="preserve">420 </w:t>
            </w:r>
          </w:p>
        </w:tc>
        <w:tc>
          <w:tcPr>
            <w:tcW w:w="565" w:type="dxa"/>
            <w:tcBorders>
              <w:top w:val="nil"/>
              <w:left w:val="nil"/>
              <w:bottom w:val="single" w:sz="8" w:space="0" w:color="auto"/>
              <w:right w:val="single" w:sz="8" w:space="0" w:color="auto"/>
            </w:tcBorders>
            <w:shd w:val="clear" w:color="000000" w:fill="FFFF00"/>
            <w:noWrap/>
            <w:vAlign w:val="bottom"/>
            <w:hideMark/>
          </w:tcPr>
          <w:p w14:paraId="22189684" w14:textId="07861DB2"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8" w:space="0" w:color="auto"/>
              <w:right w:val="single" w:sz="4" w:space="0" w:color="auto"/>
            </w:tcBorders>
            <w:shd w:val="clear" w:color="000000" w:fill="FFFF00"/>
            <w:noWrap/>
            <w:vAlign w:val="bottom"/>
            <w:hideMark/>
          </w:tcPr>
          <w:p w14:paraId="2452FC81" w14:textId="3F2DFB46" w:rsidR="004C127E" w:rsidRPr="000E5786" w:rsidRDefault="004C127E" w:rsidP="00DD60F0">
            <w:pPr>
              <w:rPr>
                <w:rFonts w:cs="Arial"/>
                <w:szCs w:val="20"/>
              </w:rPr>
            </w:pPr>
            <w:r w:rsidRPr="000E5786">
              <w:rPr>
                <w:rFonts w:cs="Arial"/>
                <w:szCs w:val="20"/>
              </w:rPr>
              <w:t xml:space="preserve">530 </w:t>
            </w:r>
          </w:p>
        </w:tc>
        <w:tc>
          <w:tcPr>
            <w:tcW w:w="709" w:type="dxa"/>
            <w:tcBorders>
              <w:top w:val="nil"/>
              <w:left w:val="nil"/>
              <w:bottom w:val="single" w:sz="8" w:space="0" w:color="auto"/>
              <w:right w:val="single" w:sz="8" w:space="0" w:color="auto"/>
            </w:tcBorders>
            <w:shd w:val="clear" w:color="000000" w:fill="FFFF00"/>
            <w:noWrap/>
            <w:vAlign w:val="bottom"/>
            <w:hideMark/>
          </w:tcPr>
          <w:p w14:paraId="1EAD9D55" w14:textId="620D7C74"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8" w:space="0" w:color="auto"/>
              <w:right w:val="single" w:sz="4" w:space="0" w:color="auto"/>
            </w:tcBorders>
            <w:shd w:val="clear" w:color="000000" w:fill="FFFF00"/>
            <w:noWrap/>
            <w:vAlign w:val="bottom"/>
            <w:hideMark/>
          </w:tcPr>
          <w:p w14:paraId="05798FC3" w14:textId="3A6C47AE" w:rsidR="004C127E" w:rsidRPr="000E5786" w:rsidRDefault="004C127E" w:rsidP="00DD60F0">
            <w:pPr>
              <w:rPr>
                <w:rFonts w:cs="Arial"/>
                <w:szCs w:val="20"/>
              </w:rPr>
            </w:pPr>
            <w:r w:rsidRPr="000E5786">
              <w:rPr>
                <w:rFonts w:cs="Arial"/>
                <w:szCs w:val="20"/>
              </w:rPr>
              <w:t xml:space="preserve">632 </w:t>
            </w:r>
          </w:p>
        </w:tc>
        <w:tc>
          <w:tcPr>
            <w:tcW w:w="709" w:type="dxa"/>
            <w:tcBorders>
              <w:top w:val="nil"/>
              <w:left w:val="nil"/>
              <w:bottom w:val="single" w:sz="8" w:space="0" w:color="auto"/>
              <w:right w:val="single" w:sz="8" w:space="0" w:color="auto"/>
            </w:tcBorders>
            <w:shd w:val="clear" w:color="000000" w:fill="FFFF00"/>
            <w:noWrap/>
            <w:vAlign w:val="bottom"/>
            <w:hideMark/>
          </w:tcPr>
          <w:p w14:paraId="238CE310" w14:textId="6706BA5F"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8" w:space="0" w:color="auto"/>
              <w:right w:val="single" w:sz="4" w:space="0" w:color="auto"/>
            </w:tcBorders>
            <w:shd w:val="clear" w:color="000000" w:fill="FFFF00"/>
            <w:noWrap/>
            <w:vAlign w:val="bottom"/>
            <w:hideMark/>
          </w:tcPr>
          <w:p w14:paraId="6EEFB1A1" w14:textId="0828B864" w:rsidR="004C127E" w:rsidRPr="000E5786" w:rsidRDefault="004C127E" w:rsidP="00DD60F0">
            <w:pPr>
              <w:rPr>
                <w:rFonts w:cs="Arial"/>
                <w:szCs w:val="20"/>
              </w:rPr>
            </w:pPr>
            <w:r w:rsidRPr="000E5786">
              <w:rPr>
                <w:rFonts w:cs="Arial"/>
                <w:szCs w:val="20"/>
              </w:rPr>
              <w:t xml:space="preserve">876 </w:t>
            </w:r>
          </w:p>
        </w:tc>
        <w:tc>
          <w:tcPr>
            <w:tcW w:w="709" w:type="dxa"/>
            <w:tcBorders>
              <w:top w:val="nil"/>
              <w:left w:val="nil"/>
              <w:bottom w:val="single" w:sz="8" w:space="0" w:color="auto"/>
              <w:right w:val="single" w:sz="8" w:space="0" w:color="auto"/>
            </w:tcBorders>
            <w:shd w:val="clear" w:color="000000" w:fill="FFFF00"/>
            <w:noWrap/>
            <w:vAlign w:val="bottom"/>
            <w:hideMark/>
          </w:tcPr>
          <w:p w14:paraId="7C7E5F00" w14:textId="1D367AB2"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8" w:space="0" w:color="auto"/>
              <w:right w:val="single" w:sz="4" w:space="0" w:color="auto"/>
            </w:tcBorders>
            <w:shd w:val="clear" w:color="000000" w:fill="FFFF00"/>
            <w:noWrap/>
            <w:vAlign w:val="bottom"/>
            <w:hideMark/>
          </w:tcPr>
          <w:p w14:paraId="170F8A66" w14:textId="4E0DB224" w:rsidR="004C127E" w:rsidRPr="000E5786" w:rsidRDefault="004C127E" w:rsidP="00DD60F0">
            <w:pPr>
              <w:rPr>
                <w:rFonts w:cs="Arial"/>
                <w:szCs w:val="20"/>
              </w:rPr>
            </w:pPr>
            <w:r w:rsidRPr="000E5786">
              <w:rPr>
                <w:rFonts w:cs="Arial"/>
                <w:szCs w:val="20"/>
              </w:rPr>
              <w:t xml:space="preserve">1,003 </w:t>
            </w:r>
          </w:p>
        </w:tc>
        <w:tc>
          <w:tcPr>
            <w:tcW w:w="708" w:type="dxa"/>
            <w:tcBorders>
              <w:top w:val="nil"/>
              <w:left w:val="nil"/>
              <w:bottom w:val="single" w:sz="8" w:space="0" w:color="auto"/>
              <w:right w:val="single" w:sz="8" w:space="0" w:color="auto"/>
            </w:tcBorders>
            <w:shd w:val="clear" w:color="000000" w:fill="FFFF00"/>
            <w:noWrap/>
            <w:vAlign w:val="bottom"/>
            <w:hideMark/>
          </w:tcPr>
          <w:p w14:paraId="4A3D2739" w14:textId="7E77E0BF"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8" w:space="0" w:color="auto"/>
              <w:right w:val="single" w:sz="4" w:space="0" w:color="auto"/>
            </w:tcBorders>
            <w:shd w:val="clear" w:color="000000" w:fill="FFFF00"/>
            <w:noWrap/>
            <w:vAlign w:val="bottom"/>
            <w:hideMark/>
          </w:tcPr>
          <w:p w14:paraId="27168A14" w14:textId="57F5FF23" w:rsidR="004C127E" w:rsidRPr="000E5786" w:rsidRDefault="004C127E" w:rsidP="00DD60F0">
            <w:pPr>
              <w:rPr>
                <w:rFonts w:cs="Arial"/>
                <w:szCs w:val="20"/>
              </w:rPr>
            </w:pPr>
            <w:r w:rsidRPr="000E5786">
              <w:rPr>
                <w:rFonts w:cs="Arial"/>
                <w:szCs w:val="20"/>
              </w:rPr>
              <w:t xml:space="preserve">1,274 </w:t>
            </w:r>
          </w:p>
        </w:tc>
        <w:tc>
          <w:tcPr>
            <w:tcW w:w="709" w:type="dxa"/>
            <w:tcBorders>
              <w:top w:val="nil"/>
              <w:left w:val="nil"/>
              <w:bottom w:val="single" w:sz="8" w:space="0" w:color="auto"/>
              <w:right w:val="single" w:sz="8" w:space="0" w:color="auto"/>
            </w:tcBorders>
            <w:shd w:val="clear" w:color="000000" w:fill="FFFF00"/>
            <w:noWrap/>
            <w:vAlign w:val="bottom"/>
            <w:hideMark/>
          </w:tcPr>
          <w:p w14:paraId="26BBE8F9" w14:textId="1349D662"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8" w:space="0" w:color="auto"/>
              <w:right w:val="single" w:sz="4" w:space="0" w:color="auto"/>
            </w:tcBorders>
            <w:shd w:val="clear" w:color="000000" w:fill="FFFF00"/>
            <w:noWrap/>
            <w:vAlign w:val="bottom"/>
            <w:hideMark/>
          </w:tcPr>
          <w:p w14:paraId="11E56BC8" w14:textId="12B219F6" w:rsidR="004C127E" w:rsidRPr="000E5786" w:rsidRDefault="004C127E" w:rsidP="00DD60F0">
            <w:pPr>
              <w:rPr>
                <w:rFonts w:cs="Arial"/>
                <w:szCs w:val="20"/>
              </w:rPr>
            </w:pPr>
            <w:r w:rsidRPr="000E5786">
              <w:rPr>
                <w:rFonts w:cs="Arial"/>
                <w:szCs w:val="20"/>
              </w:rPr>
              <w:t xml:space="preserve">1,498 </w:t>
            </w:r>
          </w:p>
        </w:tc>
        <w:tc>
          <w:tcPr>
            <w:tcW w:w="709" w:type="dxa"/>
            <w:tcBorders>
              <w:top w:val="nil"/>
              <w:left w:val="nil"/>
              <w:bottom w:val="single" w:sz="8" w:space="0" w:color="auto"/>
              <w:right w:val="single" w:sz="8" w:space="0" w:color="auto"/>
            </w:tcBorders>
            <w:shd w:val="clear" w:color="000000" w:fill="FFFF00"/>
            <w:noWrap/>
            <w:vAlign w:val="bottom"/>
            <w:hideMark/>
          </w:tcPr>
          <w:p w14:paraId="29648A89" w14:textId="559ABA39" w:rsidR="004C127E" w:rsidRPr="000E5786" w:rsidRDefault="004C127E" w:rsidP="00DD60F0">
            <w:pPr>
              <w:rPr>
                <w:rFonts w:cs="Arial"/>
                <w:szCs w:val="20"/>
              </w:rPr>
            </w:pPr>
            <w:r w:rsidRPr="000E5786">
              <w:rPr>
                <w:rFonts w:cs="Arial"/>
                <w:szCs w:val="20"/>
              </w:rPr>
              <w:t xml:space="preserve">414 </w:t>
            </w:r>
          </w:p>
        </w:tc>
      </w:tr>
      <w:tr w:rsidR="00A72177" w:rsidRPr="000E5786" w14:paraId="23AF51D9" w14:textId="77777777" w:rsidTr="00613818">
        <w:trPr>
          <w:trHeight w:val="240"/>
        </w:trPr>
        <w:tc>
          <w:tcPr>
            <w:tcW w:w="1134" w:type="dxa"/>
            <w:vMerge/>
            <w:tcBorders>
              <w:top w:val="nil"/>
              <w:left w:val="single" w:sz="8" w:space="0" w:color="auto"/>
              <w:bottom w:val="single" w:sz="8" w:space="0" w:color="000000"/>
              <w:right w:val="single" w:sz="8" w:space="0" w:color="auto"/>
            </w:tcBorders>
            <w:vAlign w:val="center"/>
            <w:hideMark/>
          </w:tcPr>
          <w:p w14:paraId="16A89572" w14:textId="77777777" w:rsidR="004C127E" w:rsidRPr="000E5786" w:rsidRDefault="004C127E" w:rsidP="00DD60F0">
            <w:pPr>
              <w:rPr>
                <w:rFonts w:cs="Arial"/>
                <w:b/>
                <w:bCs/>
                <w:szCs w:val="20"/>
              </w:rPr>
            </w:pPr>
          </w:p>
        </w:tc>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14:paraId="5C7A01A4" w14:textId="77777777" w:rsidR="004C127E" w:rsidRPr="000E5786" w:rsidRDefault="004C127E" w:rsidP="00380763">
            <w:pPr>
              <w:ind w:left="0" w:firstLine="0"/>
              <w:jc w:val="center"/>
              <w:rPr>
                <w:rFonts w:cs="Arial"/>
                <w:b/>
                <w:bCs/>
                <w:szCs w:val="20"/>
              </w:rPr>
            </w:pPr>
            <w:r w:rsidRPr="000E5786">
              <w:rPr>
                <w:rFonts w:cs="Arial"/>
                <w:b/>
                <w:bCs/>
                <w:szCs w:val="20"/>
              </w:rPr>
              <w:t>User experience</w:t>
            </w:r>
          </w:p>
        </w:tc>
        <w:tc>
          <w:tcPr>
            <w:tcW w:w="1560" w:type="dxa"/>
            <w:tcBorders>
              <w:top w:val="nil"/>
              <w:left w:val="nil"/>
              <w:bottom w:val="single" w:sz="4" w:space="0" w:color="auto"/>
              <w:right w:val="single" w:sz="4" w:space="0" w:color="auto"/>
            </w:tcBorders>
            <w:shd w:val="clear" w:color="auto" w:fill="auto"/>
            <w:noWrap/>
            <w:vAlign w:val="bottom"/>
            <w:hideMark/>
          </w:tcPr>
          <w:p w14:paraId="4F9DD881" w14:textId="77777777" w:rsidR="004C127E" w:rsidRPr="000E5786" w:rsidRDefault="004C127E" w:rsidP="00AC4874">
            <w:pPr>
              <w:ind w:left="0" w:right="32" w:firstLine="0"/>
              <w:jc w:val="left"/>
              <w:rPr>
                <w:rFonts w:cs="Arial"/>
                <w:szCs w:val="20"/>
              </w:rPr>
            </w:pPr>
            <w:r w:rsidRPr="000E5786">
              <w:rPr>
                <w:rFonts w:cs="Arial"/>
                <w:szCs w:val="20"/>
              </w:rPr>
              <w:t>User experience analysis</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587A43A" w14:textId="77777777" w:rsidR="004C127E" w:rsidRPr="000E5786" w:rsidRDefault="004C127E" w:rsidP="00DD60F0">
            <w:pPr>
              <w:jc w:val="center"/>
              <w:rPr>
                <w:rFonts w:cs="Arial"/>
                <w:szCs w:val="20"/>
              </w:rPr>
            </w:pPr>
            <w:r w:rsidRPr="000E5786">
              <w:rPr>
                <w:rFonts w:cs="Arial"/>
                <w:szCs w:val="20"/>
              </w:rPr>
              <w:t>UNAN</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6FB43D54" w14:textId="2BE6FDF7" w:rsidR="004C127E" w:rsidRPr="000E5786" w:rsidRDefault="004C127E" w:rsidP="00DD60F0">
            <w:pPr>
              <w:rPr>
                <w:rFonts w:cs="Arial"/>
                <w:szCs w:val="20"/>
              </w:rPr>
            </w:pPr>
            <w:r w:rsidRPr="000E5786">
              <w:rPr>
                <w:rFonts w:cs="Arial"/>
                <w:szCs w:val="20"/>
              </w:rPr>
              <w:t xml:space="preserve">420 </w:t>
            </w:r>
          </w:p>
        </w:tc>
        <w:tc>
          <w:tcPr>
            <w:tcW w:w="565" w:type="dxa"/>
            <w:tcBorders>
              <w:top w:val="nil"/>
              <w:left w:val="nil"/>
              <w:bottom w:val="single" w:sz="4" w:space="0" w:color="auto"/>
              <w:right w:val="single" w:sz="8" w:space="0" w:color="auto"/>
            </w:tcBorders>
            <w:shd w:val="clear" w:color="000000" w:fill="FFFF00"/>
            <w:noWrap/>
            <w:vAlign w:val="bottom"/>
            <w:hideMark/>
          </w:tcPr>
          <w:p w14:paraId="70A1ADE2" w14:textId="57A9BDBA"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0598A660" w14:textId="25E06FF9" w:rsidR="004C127E" w:rsidRPr="000E5786" w:rsidRDefault="004C127E" w:rsidP="00DD60F0">
            <w:pPr>
              <w:rPr>
                <w:rFonts w:cs="Arial"/>
                <w:szCs w:val="20"/>
              </w:rPr>
            </w:pPr>
            <w:r w:rsidRPr="000E5786">
              <w:rPr>
                <w:rFonts w:cs="Arial"/>
                <w:szCs w:val="20"/>
              </w:rPr>
              <w:t xml:space="preserve">530 </w:t>
            </w:r>
          </w:p>
        </w:tc>
        <w:tc>
          <w:tcPr>
            <w:tcW w:w="709" w:type="dxa"/>
            <w:tcBorders>
              <w:top w:val="nil"/>
              <w:left w:val="nil"/>
              <w:bottom w:val="single" w:sz="4" w:space="0" w:color="auto"/>
              <w:right w:val="single" w:sz="8" w:space="0" w:color="auto"/>
            </w:tcBorders>
            <w:shd w:val="clear" w:color="000000" w:fill="FFFF00"/>
            <w:noWrap/>
            <w:vAlign w:val="bottom"/>
            <w:hideMark/>
          </w:tcPr>
          <w:p w14:paraId="4C335A4F" w14:textId="2E347069"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691C73B2" w14:textId="2CC93487" w:rsidR="004C127E" w:rsidRPr="000E5786" w:rsidRDefault="004C127E" w:rsidP="00DD60F0">
            <w:pPr>
              <w:rPr>
                <w:rFonts w:cs="Arial"/>
                <w:szCs w:val="20"/>
              </w:rPr>
            </w:pPr>
            <w:r w:rsidRPr="000E5786">
              <w:rPr>
                <w:rFonts w:cs="Arial"/>
                <w:szCs w:val="20"/>
              </w:rPr>
              <w:t xml:space="preserve">632 </w:t>
            </w:r>
          </w:p>
        </w:tc>
        <w:tc>
          <w:tcPr>
            <w:tcW w:w="709" w:type="dxa"/>
            <w:tcBorders>
              <w:top w:val="nil"/>
              <w:left w:val="nil"/>
              <w:bottom w:val="single" w:sz="4" w:space="0" w:color="auto"/>
              <w:right w:val="single" w:sz="8" w:space="0" w:color="auto"/>
            </w:tcBorders>
            <w:shd w:val="clear" w:color="000000" w:fill="FFFF00"/>
            <w:noWrap/>
            <w:vAlign w:val="bottom"/>
            <w:hideMark/>
          </w:tcPr>
          <w:p w14:paraId="038F5C31" w14:textId="3DF0E45A"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2DD08630" w14:textId="73077A46" w:rsidR="004C127E" w:rsidRPr="000E5786" w:rsidRDefault="004C127E" w:rsidP="00DD60F0">
            <w:pPr>
              <w:rPr>
                <w:rFonts w:cs="Arial"/>
                <w:szCs w:val="20"/>
              </w:rPr>
            </w:pPr>
            <w:r w:rsidRPr="000E5786">
              <w:rPr>
                <w:rFonts w:cs="Arial"/>
                <w:szCs w:val="20"/>
              </w:rPr>
              <w:t xml:space="preserve">876 </w:t>
            </w:r>
          </w:p>
        </w:tc>
        <w:tc>
          <w:tcPr>
            <w:tcW w:w="709" w:type="dxa"/>
            <w:tcBorders>
              <w:top w:val="nil"/>
              <w:left w:val="nil"/>
              <w:bottom w:val="single" w:sz="4" w:space="0" w:color="auto"/>
              <w:right w:val="single" w:sz="8" w:space="0" w:color="auto"/>
            </w:tcBorders>
            <w:shd w:val="clear" w:color="000000" w:fill="FFFF00"/>
            <w:noWrap/>
            <w:vAlign w:val="bottom"/>
            <w:hideMark/>
          </w:tcPr>
          <w:p w14:paraId="33B8B6BB" w14:textId="00EAD076"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5046EEDC" w14:textId="4B4BEA40" w:rsidR="004C127E" w:rsidRPr="000E5786" w:rsidRDefault="004C127E" w:rsidP="00DD60F0">
            <w:pPr>
              <w:rPr>
                <w:rFonts w:cs="Arial"/>
                <w:szCs w:val="20"/>
              </w:rPr>
            </w:pPr>
            <w:r w:rsidRPr="000E5786">
              <w:rPr>
                <w:rFonts w:cs="Arial"/>
                <w:szCs w:val="20"/>
              </w:rPr>
              <w:t xml:space="preserve">1,003 </w:t>
            </w:r>
          </w:p>
        </w:tc>
        <w:tc>
          <w:tcPr>
            <w:tcW w:w="708" w:type="dxa"/>
            <w:tcBorders>
              <w:top w:val="nil"/>
              <w:left w:val="nil"/>
              <w:bottom w:val="single" w:sz="4" w:space="0" w:color="auto"/>
              <w:right w:val="single" w:sz="8" w:space="0" w:color="auto"/>
            </w:tcBorders>
            <w:shd w:val="clear" w:color="000000" w:fill="FFFF00"/>
            <w:noWrap/>
            <w:vAlign w:val="bottom"/>
            <w:hideMark/>
          </w:tcPr>
          <w:p w14:paraId="4C466056" w14:textId="3A66799C"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42EAAB18" w14:textId="08542B3E" w:rsidR="004C127E" w:rsidRPr="000E5786" w:rsidRDefault="004C127E" w:rsidP="00DD60F0">
            <w:pPr>
              <w:rPr>
                <w:rFonts w:cs="Arial"/>
                <w:szCs w:val="20"/>
              </w:rPr>
            </w:pPr>
            <w:r w:rsidRPr="000E5786">
              <w:rPr>
                <w:rFonts w:cs="Arial"/>
                <w:szCs w:val="20"/>
              </w:rPr>
              <w:t xml:space="preserve">1,274 </w:t>
            </w:r>
          </w:p>
        </w:tc>
        <w:tc>
          <w:tcPr>
            <w:tcW w:w="709" w:type="dxa"/>
            <w:tcBorders>
              <w:top w:val="nil"/>
              <w:left w:val="nil"/>
              <w:bottom w:val="single" w:sz="4" w:space="0" w:color="auto"/>
              <w:right w:val="single" w:sz="8" w:space="0" w:color="auto"/>
            </w:tcBorders>
            <w:shd w:val="clear" w:color="000000" w:fill="FFFF00"/>
            <w:noWrap/>
            <w:vAlign w:val="bottom"/>
            <w:hideMark/>
          </w:tcPr>
          <w:p w14:paraId="3FB2881E" w14:textId="200BADA3"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3F1CBCEB" w14:textId="7B10FDF5" w:rsidR="004C127E" w:rsidRPr="000E5786" w:rsidRDefault="004C127E" w:rsidP="00DD60F0">
            <w:pPr>
              <w:rPr>
                <w:rFonts w:cs="Arial"/>
                <w:szCs w:val="20"/>
              </w:rPr>
            </w:pPr>
            <w:r w:rsidRPr="000E5786">
              <w:rPr>
                <w:rFonts w:cs="Arial"/>
                <w:szCs w:val="20"/>
              </w:rPr>
              <w:t xml:space="preserve">1,498 </w:t>
            </w:r>
          </w:p>
        </w:tc>
        <w:tc>
          <w:tcPr>
            <w:tcW w:w="709" w:type="dxa"/>
            <w:tcBorders>
              <w:top w:val="nil"/>
              <w:left w:val="nil"/>
              <w:bottom w:val="single" w:sz="4" w:space="0" w:color="auto"/>
              <w:right w:val="single" w:sz="8" w:space="0" w:color="auto"/>
            </w:tcBorders>
            <w:shd w:val="clear" w:color="000000" w:fill="FFFF00"/>
            <w:noWrap/>
            <w:vAlign w:val="bottom"/>
            <w:hideMark/>
          </w:tcPr>
          <w:p w14:paraId="4C884AED" w14:textId="55EBA59A" w:rsidR="004C127E" w:rsidRPr="000E5786" w:rsidRDefault="004C127E" w:rsidP="00DD60F0">
            <w:pPr>
              <w:rPr>
                <w:rFonts w:cs="Arial"/>
                <w:szCs w:val="20"/>
              </w:rPr>
            </w:pPr>
            <w:r w:rsidRPr="000E5786">
              <w:rPr>
                <w:rFonts w:cs="Arial"/>
                <w:szCs w:val="20"/>
              </w:rPr>
              <w:t xml:space="preserve">414 </w:t>
            </w:r>
          </w:p>
        </w:tc>
      </w:tr>
      <w:tr w:rsidR="00A72177" w:rsidRPr="000E5786" w14:paraId="77B037DE" w14:textId="77777777" w:rsidTr="00613818">
        <w:trPr>
          <w:trHeight w:val="225"/>
        </w:trPr>
        <w:tc>
          <w:tcPr>
            <w:tcW w:w="1134" w:type="dxa"/>
            <w:vMerge/>
            <w:tcBorders>
              <w:top w:val="nil"/>
              <w:left w:val="single" w:sz="8" w:space="0" w:color="auto"/>
              <w:bottom w:val="single" w:sz="8" w:space="0" w:color="000000"/>
              <w:right w:val="single" w:sz="8" w:space="0" w:color="auto"/>
            </w:tcBorders>
            <w:vAlign w:val="center"/>
            <w:hideMark/>
          </w:tcPr>
          <w:p w14:paraId="17E3ACF4"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146ECC2F" w14:textId="77777777" w:rsidR="004C127E" w:rsidRPr="000E5786" w:rsidRDefault="004C127E" w:rsidP="00380763">
            <w:pPr>
              <w:ind w:left="0" w:firstLine="0"/>
              <w:jc w:val="cente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799BDBBF" w14:textId="77777777" w:rsidR="004C127E" w:rsidRPr="000E5786" w:rsidRDefault="004C127E" w:rsidP="00AC4874">
            <w:pPr>
              <w:ind w:left="0" w:right="32" w:firstLine="0"/>
              <w:jc w:val="left"/>
              <w:rPr>
                <w:rFonts w:cs="Arial"/>
                <w:szCs w:val="20"/>
              </w:rPr>
            </w:pPr>
            <w:r w:rsidRPr="000E5786">
              <w:rPr>
                <w:rFonts w:cs="Arial"/>
                <w:szCs w:val="20"/>
              </w:rPr>
              <w:t>User experience design</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6B4A22D3" w14:textId="77777777" w:rsidR="004C127E" w:rsidRPr="000E5786" w:rsidRDefault="004C127E" w:rsidP="00DD60F0">
            <w:pPr>
              <w:jc w:val="center"/>
              <w:rPr>
                <w:rFonts w:cs="Arial"/>
                <w:szCs w:val="20"/>
              </w:rPr>
            </w:pPr>
            <w:r w:rsidRPr="000E5786">
              <w:rPr>
                <w:rFonts w:cs="Arial"/>
                <w:szCs w:val="20"/>
              </w:rPr>
              <w:t>HCEV</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1626DCFC" w14:textId="4C3CD9B0" w:rsidR="004C127E" w:rsidRPr="000E5786" w:rsidRDefault="004C127E" w:rsidP="00DD60F0">
            <w:pPr>
              <w:rPr>
                <w:rFonts w:cs="Arial"/>
                <w:szCs w:val="20"/>
              </w:rPr>
            </w:pPr>
            <w:r w:rsidRPr="000E5786">
              <w:rPr>
                <w:rFonts w:cs="Arial"/>
                <w:szCs w:val="20"/>
              </w:rPr>
              <w:t xml:space="preserve">420 </w:t>
            </w:r>
          </w:p>
        </w:tc>
        <w:tc>
          <w:tcPr>
            <w:tcW w:w="565" w:type="dxa"/>
            <w:tcBorders>
              <w:top w:val="nil"/>
              <w:left w:val="nil"/>
              <w:bottom w:val="single" w:sz="4" w:space="0" w:color="auto"/>
              <w:right w:val="single" w:sz="8" w:space="0" w:color="auto"/>
            </w:tcBorders>
            <w:shd w:val="clear" w:color="000000" w:fill="FFFF00"/>
            <w:noWrap/>
            <w:vAlign w:val="bottom"/>
            <w:hideMark/>
          </w:tcPr>
          <w:p w14:paraId="6BF86B6A" w14:textId="55781F7C"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343DA05E" w14:textId="7C5CBD1F" w:rsidR="004C127E" w:rsidRPr="000E5786" w:rsidRDefault="004C127E" w:rsidP="00DD60F0">
            <w:pPr>
              <w:rPr>
                <w:rFonts w:cs="Arial"/>
                <w:szCs w:val="20"/>
              </w:rPr>
            </w:pPr>
            <w:r w:rsidRPr="000E5786">
              <w:rPr>
                <w:rFonts w:cs="Arial"/>
                <w:szCs w:val="20"/>
              </w:rPr>
              <w:t xml:space="preserve">530 </w:t>
            </w:r>
          </w:p>
        </w:tc>
        <w:tc>
          <w:tcPr>
            <w:tcW w:w="709" w:type="dxa"/>
            <w:tcBorders>
              <w:top w:val="nil"/>
              <w:left w:val="nil"/>
              <w:bottom w:val="single" w:sz="4" w:space="0" w:color="auto"/>
              <w:right w:val="single" w:sz="8" w:space="0" w:color="auto"/>
            </w:tcBorders>
            <w:shd w:val="clear" w:color="000000" w:fill="FFFF00"/>
            <w:noWrap/>
            <w:vAlign w:val="bottom"/>
            <w:hideMark/>
          </w:tcPr>
          <w:p w14:paraId="3B3E0E7D" w14:textId="0CD04FBE"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56BEB12B" w14:textId="2E8FDAB5" w:rsidR="004C127E" w:rsidRPr="000E5786" w:rsidRDefault="004C127E" w:rsidP="00DD60F0">
            <w:pPr>
              <w:rPr>
                <w:rFonts w:cs="Arial"/>
                <w:szCs w:val="20"/>
              </w:rPr>
            </w:pPr>
            <w:r w:rsidRPr="000E5786">
              <w:rPr>
                <w:rFonts w:cs="Arial"/>
                <w:szCs w:val="20"/>
              </w:rPr>
              <w:t xml:space="preserve">632 </w:t>
            </w:r>
          </w:p>
        </w:tc>
        <w:tc>
          <w:tcPr>
            <w:tcW w:w="709" w:type="dxa"/>
            <w:tcBorders>
              <w:top w:val="nil"/>
              <w:left w:val="nil"/>
              <w:bottom w:val="single" w:sz="4" w:space="0" w:color="auto"/>
              <w:right w:val="single" w:sz="8" w:space="0" w:color="auto"/>
            </w:tcBorders>
            <w:shd w:val="clear" w:color="000000" w:fill="FFFF00"/>
            <w:noWrap/>
            <w:vAlign w:val="bottom"/>
            <w:hideMark/>
          </w:tcPr>
          <w:p w14:paraId="6C9F9DB4" w14:textId="5FC60B72"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4271EF7D" w14:textId="4BB20F5F" w:rsidR="004C127E" w:rsidRPr="000E5786" w:rsidRDefault="004C127E" w:rsidP="00DD60F0">
            <w:pPr>
              <w:rPr>
                <w:rFonts w:cs="Arial"/>
                <w:szCs w:val="20"/>
              </w:rPr>
            </w:pPr>
            <w:r w:rsidRPr="000E5786">
              <w:rPr>
                <w:rFonts w:cs="Arial"/>
                <w:szCs w:val="20"/>
              </w:rPr>
              <w:t xml:space="preserve">876 </w:t>
            </w:r>
          </w:p>
        </w:tc>
        <w:tc>
          <w:tcPr>
            <w:tcW w:w="709" w:type="dxa"/>
            <w:tcBorders>
              <w:top w:val="nil"/>
              <w:left w:val="nil"/>
              <w:bottom w:val="single" w:sz="4" w:space="0" w:color="auto"/>
              <w:right w:val="single" w:sz="8" w:space="0" w:color="auto"/>
            </w:tcBorders>
            <w:shd w:val="clear" w:color="000000" w:fill="FFFF00"/>
            <w:noWrap/>
            <w:vAlign w:val="bottom"/>
            <w:hideMark/>
          </w:tcPr>
          <w:p w14:paraId="27FD53DF" w14:textId="09048C20"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3C875419" w14:textId="0E806E96" w:rsidR="004C127E" w:rsidRPr="000E5786" w:rsidRDefault="004C127E" w:rsidP="00DD60F0">
            <w:pPr>
              <w:rPr>
                <w:rFonts w:cs="Arial"/>
                <w:szCs w:val="20"/>
              </w:rPr>
            </w:pPr>
            <w:r w:rsidRPr="000E5786">
              <w:rPr>
                <w:rFonts w:cs="Arial"/>
                <w:szCs w:val="20"/>
              </w:rPr>
              <w:t xml:space="preserve">1,003 </w:t>
            </w:r>
          </w:p>
        </w:tc>
        <w:tc>
          <w:tcPr>
            <w:tcW w:w="708" w:type="dxa"/>
            <w:tcBorders>
              <w:top w:val="nil"/>
              <w:left w:val="nil"/>
              <w:bottom w:val="single" w:sz="4" w:space="0" w:color="auto"/>
              <w:right w:val="single" w:sz="8" w:space="0" w:color="auto"/>
            </w:tcBorders>
            <w:shd w:val="clear" w:color="000000" w:fill="FFFF00"/>
            <w:noWrap/>
            <w:vAlign w:val="bottom"/>
            <w:hideMark/>
          </w:tcPr>
          <w:p w14:paraId="2EB224DD" w14:textId="701F247D"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033D0DB4" w14:textId="75C7D1DB" w:rsidR="004C127E" w:rsidRPr="000E5786" w:rsidRDefault="004C127E" w:rsidP="00DD60F0">
            <w:pPr>
              <w:rPr>
                <w:rFonts w:cs="Arial"/>
                <w:szCs w:val="20"/>
              </w:rPr>
            </w:pPr>
            <w:r w:rsidRPr="000E5786">
              <w:rPr>
                <w:rFonts w:cs="Arial"/>
                <w:szCs w:val="20"/>
              </w:rPr>
              <w:t xml:space="preserve">1,274 </w:t>
            </w:r>
          </w:p>
        </w:tc>
        <w:tc>
          <w:tcPr>
            <w:tcW w:w="709" w:type="dxa"/>
            <w:tcBorders>
              <w:top w:val="nil"/>
              <w:left w:val="nil"/>
              <w:bottom w:val="single" w:sz="4" w:space="0" w:color="auto"/>
              <w:right w:val="single" w:sz="8" w:space="0" w:color="auto"/>
            </w:tcBorders>
            <w:shd w:val="clear" w:color="000000" w:fill="FFFF00"/>
            <w:noWrap/>
            <w:vAlign w:val="bottom"/>
            <w:hideMark/>
          </w:tcPr>
          <w:p w14:paraId="58435694" w14:textId="0DCAC7E8"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2A5D61B5" w14:textId="3763C0CF" w:rsidR="004C127E" w:rsidRPr="000E5786" w:rsidRDefault="004C127E" w:rsidP="00DD60F0">
            <w:pPr>
              <w:rPr>
                <w:rFonts w:cs="Arial"/>
                <w:szCs w:val="20"/>
              </w:rPr>
            </w:pPr>
            <w:r w:rsidRPr="000E5786">
              <w:rPr>
                <w:rFonts w:cs="Arial"/>
                <w:szCs w:val="20"/>
              </w:rPr>
              <w:t xml:space="preserve">1,498 </w:t>
            </w:r>
          </w:p>
        </w:tc>
        <w:tc>
          <w:tcPr>
            <w:tcW w:w="709" w:type="dxa"/>
            <w:tcBorders>
              <w:top w:val="nil"/>
              <w:left w:val="nil"/>
              <w:bottom w:val="single" w:sz="4" w:space="0" w:color="auto"/>
              <w:right w:val="single" w:sz="8" w:space="0" w:color="auto"/>
            </w:tcBorders>
            <w:shd w:val="clear" w:color="000000" w:fill="FFFF00"/>
            <w:noWrap/>
            <w:vAlign w:val="bottom"/>
            <w:hideMark/>
          </w:tcPr>
          <w:p w14:paraId="5B7A237C" w14:textId="08E8A184" w:rsidR="004C127E" w:rsidRPr="000E5786" w:rsidRDefault="004C127E" w:rsidP="00DD60F0">
            <w:pPr>
              <w:rPr>
                <w:rFonts w:cs="Arial"/>
                <w:szCs w:val="20"/>
              </w:rPr>
            </w:pPr>
            <w:r w:rsidRPr="000E5786">
              <w:rPr>
                <w:rFonts w:cs="Arial"/>
                <w:szCs w:val="20"/>
              </w:rPr>
              <w:t xml:space="preserve">414 </w:t>
            </w:r>
          </w:p>
        </w:tc>
      </w:tr>
      <w:tr w:rsidR="00A72177" w:rsidRPr="000E5786" w14:paraId="7EB86CE5" w14:textId="77777777" w:rsidTr="00613818">
        <w:trPr>
          <w:trHeight w:val="240"/>
        </w:trPr>
        <w:tc>
          <w:tcPr>
            <w:tcW w:w="1134" w:type="dxa"/>
            <w:vMerge/>
            <w:tcBorders>
              <w:top w:val="nil"/>
              <w:left w:val="single" w:sz="8" w:space="0" w:color="auto"/>
              <w:bottom w:val="single" w:sz="8" w:space="0" w:color="000000"/>
              <w:right w:val="single" w:sz="8" w:space="0" w:color="auto"/>
            </w:tcBorders>
            <w:vAlign w:val="center"/>
            <w:hideMark/>
          </w:tcPr>
          <w:p w14:paraId="3E5C2819"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707B2903" w14:textId="77777777" w:rsidR="004C127E" w:rsidRPr="000E5786" w:rsidRDefault="004C127E" w:rsidP="00380763">
            <w:pPr>
              <w:ind w:left="0" w:firstLine="0"/>
              <w:jc w:val="center"/>
              <w:rPr>
                <w:rFonts w:cs="Arial"/>
                <w:b/>
                <w:bCs/>
                <w:szCs w:val="20"/>
              </w:rPr>
            </w:pPr>
          </w:p>
        </w:tc>
        <w:tc>
          <w:tcPr>
            <w:tcW w:w="1560" w:type="dxa"/>
            <w:tcBorders>
              <w:top w:val="nil"/>
              <w:left w:val="nil"/>
              <w:bottom w:val="single" w:sz="8" w:space="0" w:color="auto"/>
              <w:right w:val="single" w:sz="4" w:space="0" w:color="auto"/>
            </w:tcBorders>
            <w:shd w:val="clear" w:color="auto" w:fill="auto"/>
            <w:noWrap/>
            <w:vAlign w:val="bottom"/>
            <w:hideMark/>
          </w:tcPr>
          <w:p w14:paraId="3FE14170" w14:textId="77777777" w:rsidR="004C127E" w:rsidRPr="000E5786" w:rsidRDefault="004C127E" w:rsidP="00AC4874">
            <w:pPr>
              <w:ind w:left="0" w:right="32" w:firstLine="0"/>
              <w:jc w:val="left"/>
              <w:rPr>
                <w:rFonts w:cs="Arial"/>
                <w:szCs w:val="20"/>
              </w:rPr>
            </w:pPr>
            <w:r w:rsidRPr="000E5786">
              <w:rPr>
                <w:rFonts w:cs="Arial"/>
                <w:szCs w:val="20"/>
              </w:rPr>
              <w:t>User experience evaluation</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F984E83" w14:textId="77777777" w:rsidR="004C127E" w:rsidRPr="000E5786" w:rsidRDefault="004C127E" w:rsidP="00DD60F0">
            <w:pPr>
              <w:jc w:val="center"/>
              <w:rPr>
                <w:rFonts w:cs="Arial"/>
                <w:szCs w:val="20"/>
              </w:rPr>
            </w:pPr>
            <w:r w:rsidRPr="000E5786">
              <w:rPr>
                <w:rFonts w:cs="Arial"/>
                <w:szCs w:val="20"/>
              </w:rPr>
              <w:t>USEV</w:t>
            </w:r>
          </w:p>
        </w:tc>
        <w:tc>
          <w:tcPr>
            <w:tcW w:w="567" w:type="dxa"/>
            <w:tcBorders>
              <w:top w:val="nil"/>
              <w:left w:val="single" w:sz="4" w:space="0" w:color="auto"/>
              <w:bottom w:val="single" w:sz="8" w:space="0" w:color="auto"/>
              <w:right w:val="single" w:sz="4" w:space="0" w:color="auto"/>
            </w:tcBorders>
            <w:shd w:val="clear" w:color="000000" w:fill="FFFF00"/>
            <w:noWrap/>
            <w:vAlign w:val="bottom"/>
            <w:hideMark/>
          </w:tcPr>
          <w:p w14:paraId="5108D5D9" w14:textId="5F88F009" w:rsidR="004C127E" w:rsidRPr="000E5786" w:rsidRDefault="004C127E" w:rsidP="00DD60F0">
            <w:pPr>
              <w:rPr>
                <w:rFonts w:cs="Arial"/>
                <w:szCs w:val="20"/>
              </w:rPr>
            </w:pPr>
            <w:r w:rsidRPr="000E5786">
              <w:rPr>
                <w:rFonts w:cs="Arial"/>
                <w:szCs w:val="20"/>
              </w:rPr>
              <w:t xml:space="preserve">420 </w:t>
            </w:r>
          </w:p>
        </w:tc>
        <w:tc>
          <w:tcPr>
            <w:tcW w:w="565" w:type="dxa"/>
            <w:tcBorders>
              <w:top w:val="nil"/>
              <w:left w:val="nil"/>
              <w:bottom w:val="single" w:sz="8" w:space="0" w:color="auto"/>
              <w:right w:val="single" w:sz="8" w:space="0" w:color="auto"/>
            </w:tcBorders>
            <w:shd w:val="clear" w:color="000000" w:fill="FFFF00"/>
            <w:noWrap/>
            <w:vAlign w:val="bottom"/>
            <w:hideMark/>
          </w:tcPr>
          <w:p w14:paraId="5B00D300" w14:textId="236D741F"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8" w:space="0" w:color="auto"/>
              <w:right w:val="single" w:sz="4" w:space="0" w:color="auto"/>
            </w:tcBorders>
            <w:shd w:val="clear" w:color="000000" w:fill="FFFF00"/>
            <w:noWrap/>
            <w:vAlign w:val="bottom"/>
            <w:hideMark/>
          </w:tcPr>
          <w:p w14:paraId="49AB99CA" w14:textId="390C7D7D" w:rsidR="004C127E" w:rsidRPr="000E5786" w:rsidRDefault="004C127E" w:rsidP="00DD60F0">
            <w:pPr>
              <w:rPr>
                <w:rFonts w:cs="Arial"/>
                <w:szCs w:val="20"/>
              </w:rPr>
            </w:pPr>
            <w:r w:rsidRPr="000E5786">
              <w:rPr>
                <w:rFonts w:cs="Arial"/>
                <w:szCs w:val="20"/>
              </w:rPr>
              <w:t xml:space="preserve">530 </w:t>
            </w:r>
          </w:p>
        </w:tc>
        <w:tc>
          <w:tcPr>
            <w:tcW w:w="709" w:type="dxa"/>
            <w:tcBorders>
              <w:top w:val="nil"/>
              <w:left w:val="nil"/>
              <w:bottom w:val="single" w:sz="8" w:space="0" w:color="auto"/>
              <w:right w:val="single" w:sz="8" w:space="0" w:color="auto"/>
            </w:tcBorders>
            <w:shd w:val="clear" w:color="000000" w:fill="FFFF00"/>
            <w:noWrap/>
            <w:vAlign w:val="bottom"/>
            <w:hideMark/>
          </w:tcPr>
          <w:p w14:paraId="5737BEB6" w14:textId="2F36EF0A"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8" w:space="0" w:color="auto"/>
              <w:right w:val="single" w:sz="4" w:space="0" w:color="auto"/>
            </w:tcBorders>
            <w:shd w:val="clear" w:color="000000" w:fill="FFFF00"/>
            <w:noWrap/>
            <w:vAlign w:val="bottom"/>
            <w:hideMark/>
          </w:tcPr>
          <w:p w14:paraId="109C2E47" w14:textId="697D292C" w:rsidR="004C127E" w:rsidRPr="000E5786" w:rsidRDefault="004C127E" w:rsidP="00DD60F0">
            <w:pPr>
              <w:rPr>
                <w:rFonts w:cs="Arial"/>
                <w:szCs w:val="20"/>
              </w:rPr>
            </w:pPr>
            <w:r w:rsidRPr="000E5786">
              <w:rPr>
                <w:rFonts w:cs="Arial"/>
                <w:szCs w:val="20"/>
              </w:rPr>
              <w:t xml:space="preserve">632 </w:t>
            </w:r>
          </w:p>
        </w:tc>
        <w:tc>
          <w:tcPr>
            <w:tcW w:w="709" w:type="dxa"/>
            <w:tcBorders>
              <w:top w:val="nil"/>
              <w:left w:val="nil"/>
              <w:bottom w:val="single" w:sz="8" w:space="0" w:color="auto"/>
              <w:right w:val="single" w:sz="8" w:space="0" w:color="auto"/>
            </w:tcBorders>
            <w:shd w:val="clear" w:color="000000" w:fill="FFFF00"/>
            <w:noWrap/>
            <w:vAlign w:val="bottom"/>
            <w:hideMark/>
          </w:tcPr>
          <w:p w14:paraId="52A80B52" w14:textId="01A17553"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8" w:space="0" w:color="auto"/>
              <w:right w:val="single" w:sz="4" w:space="0" w:color="auto"/>
            </w:tcBorders>
            <w:shd w:val="clear" w:color="000000" w:fill="FFFF00"/>
            <w:noWrap/>
            <w:vAlign w:val="bottom"/>
            <w:hideMark/>
          </w:tcPr>
          <w:p w14:paraId="13C7251B" w14:textId="2A1E99B1" w:rsidR="004C127E" w:rsidRPr="000E5786" w:rsidRDefault="004C127E" w:rsidP="00DD60F0">
            <w:pPr>
              <w:rPr>
                <w:rFonts w:cs="Arial"/>
                <w:szCs w:val="20"/>
              </w:rPr>
            </w:pPr>
            <w:r w:rsidRPr="000E5786">
              <w:rPr>
                <w:rFonts w:cs="Arial"/>
                <w:szCs w:val="20"/>
              </w:rPr>
              <w:t xml:space="preserve">876 </w:t>
            </w:r>
          </w:p>
        </w:tc>
        <w:tc>
          <w:tcPr>
            <w:tcW w:w="709" w:type="dxa"/>
            <w:tcBorders>
              <w:top w:val="nil"/>
              <w:left w:val="nil"/>
              <w:bottom w:val="single" w:sz="8" w:space="0" w:color="auto"/>
              <w:right w:val="single" w:sz="8" w:space="0" w:color="auto"/>
            </w:tcBorders>
            <w:shd w:val="clear" w:color="000000" w:fill="FFFF00"/>
            <w:noWrap/>
            <w:vAlign w:val="bottom"/>
            <w:hideMark/>
          </w:tcPr>
          <w:p w14:paraId="59E727E4" w14:textId="72FAD90A"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8" w:space="0" w:color="auto"/>
              <w:right w:val="single" w:sz="4" w:space="0" w:color="auto"/>
            </w:tcBorders>
            <w:shd w:val="clear" w:color="000000" w:fill="FFFF00"/>
            <w:noWrap/>
            <w:vAlign w:val="bottom"/>
            <w:hideMark/>
          </w:tcPr>
          <w:p w14:paraId="13F240AE" w14:textId="1C6553C0" w:rsidR="004C127E" w:rsidRPr="000E5786" w:rsidRDefault="004C127E" w:rsidP="00DD60F0">
            <w:pPr>
              <w:rPr>
                <w:rFonts w:cs="Arial"/>
                <w:szCs w:val="20"/>
              </w:rPr>
            </w:pPr>
            <w:r w:rsidRPr="000E5786">
              <w:rPr>
                <w:rFonts w:cs="Arial"/>
                <w:szCs w:val="20"/>
              </w:rPr>
              <w:t xml:space="preserve">1,003 </w:t>
            </w:r>
          </w:p>
        </w:tc>
        <w:tc>
          <w:tcPr>
            <w:tcW w:w="708" w:type="dxa"/>
            <w:tcBorders>
              <w:top w:val="nil"/>
              <w:left w:val="nil"/>
              <w:bottom w:val="single" w:sz="8" w:space="0" w:color="auto"/>
              <w:right w:val="single" w:sz="8" w:space="0" w:color="auto"/>
            </w:tcBorders>
            <w:shd w:val="clear" w:color="000000" w:fill="FFFF00"/>
            <w:noWrap/>
            <w:vAlign w:val="bottom"/>
            <w:hideMark/>
          </w:tcPr>
          <w:p w14:paraId="4FA8076F" w14:textId="764AB966"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8" w:space="0" w:color="auto"/>
              <w:right w:val="single" w:sz="4" w:space="0" w:color="auto"/>
            </w:tcBorders>
            <w:shd w:val="clear" w:color="000000" w:fill="FFFF00"/>
            <w:noWrap/>
            <w:vAlign w:val="bottom"/>
            <w:hideMark/>
          </w:tcPr>
          <w:p w14:paraId="7C321E50" w14:textId="2BB7774A" w:rsidR="004C127E" w:rsidRPr="000E5786" w:rsidRDefault="004C127E" w:rsidP="00DD60F0">
            <w:pPr>
              <w:rPr>
                <w:rFonts w:cs="Arial"/>
                <w:szCs w:val="20"/>
              </w:rPr>
            </w:pPr>
            <w:r w:rsidRPr="000E5786">
              <w:rPr>
                <w:rFonts w:cs="Arial"/>
                <w:szCs w:val="20"/>
              </w:rPr>
              <w:t xml:space="preserve">1,274 </w:t>
            </w:r>
          </w:p>
        </w:tc>
        <w:tc>
          <w:tcPr>
            <w:tcW w:w="709" w:type="dxa"/>
            <w:tcBorders>
              <w:top w:val="nil"/>
              <w:left w:val="nil"/>
              <w:bottom w:val="single" w:sz="8" w:space="0" w:color="auto"/>
              <w:right w:val="single" w:sz="8" w:space="0" w:color="auto"/>
            </w:tcBorders>
            <w:shd w:val="clear" w:color="000000" w:fill="FFFF00"/>
            <w:noWrap/>
            <w:vAlign w:val="bottom"/>
            <w:hideMark/>
          </w:tcPr>
          <w:p w14:paraId="29C1DFF8" w14:textId="386827D4"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8" w:space="0" w:color="auto"/>
              <w:right w:val="single" w:sz="4" w:space="0" w:color="auto"/>
            </w:tcBorders>
            <w:shd w:val="clear" w:color="000000" w:fill="FFFF00"/>
            <w:noWrap/>
            <w:vAlign w:val="bottom"/>
            <w:hideMark/>
          </w:tcPr>
          <w:p w14:paraId="0DB9FF25" w14:textId="0ECCB09B" w:rsidR="004C127E" w:rsidRPr="000E5786" w:rsidRDefault="004C127E" w:rsidP="00DD60F0">
            <w:pPr>
              <w:rPr>
                <w:rFonts w:cs="Arial"/>
                <w:szCs w:val="20"/>
              </w:rPr>
            </w:pPr>
            <w:r w:rsidRPr="000E5786">
              <w:rPr>
                <w:rFonts w:cs="Arial"/>
                <w:szCs w:val="20"/>
              </w:rPr>
              <w:t xml:space="preserve">1,498 </w:t>
            </w:r>
          </w:p>
        </w:tc>
        <w:tc>
          <w:tcPr>
            <w:tcW w:w="709" w:type="dxa"/>
            <w:tcBorders>
              <w:top w:val="nil"/>
              <w:left w:val="nil"/>
              <w:bottom w:val="single" w:sz="8" w:space="0" w:color="auto"/>
              <w:right w:val="single" w:sz="8" w:space="0" w:color="auto"/>
            </w:tcBorders>
            <w:shd w:val="clear" w:color="000000" w:fill="FFFF00"/>
            <w:noWrap/>
            <w:vAlign w:val="bottom"/>
            <w:hideMark/>
          </w:tcPr>
          <w:p w14:paraId="337DDDF2" w14:textId="5D9FF3D0" w:rsidR="004C127E" w:rsidRPr="000E5786" w:rsidRDefault="004C127E" w:rsidP="00DD60F0">
            <w:pPr>
              <w:rPr>
                <w:rFonts w:cs="Arial"/>
                <w:szCs w:val="20"/>
              </w:rPr>
            </w:pPr>
            <w:r w:rsidRPr="000E5786">
              <w:rPr>
                <w:rFonts w:cs="Arial"/>
                <w:szCs w:val="20"/>
              </w:rPr>
              <w:t xml:space="preserve">414 </w:t>
            </w:r>
          </w:p>
        </w:tc>
      </w:tr>
      <w:tr w:rsidR="00A72177" w:rsidRPr="000E5786" w14:paraId="3546C57E" w14:textId="77777777" w:rsidTr="00613818">
        <w:trPr>
          <w:trHeight w:val="225"/>
        </w:trPr>
        <w:tc>
          <w:tcPr>
            <w:tcW w:w="1134" w:type="dxa"/>
            <w:vMerge/>
            <w:tcBorders>
              <w:top w:val="nil"/>
              <w:left w:val="single" w:sz="8" w:space="0" w:color="auto"/>
              <w:bottom w:val="single" w:sz="8" w:space="0" w:color="000000"/>
              <w:right w:val="single" w:sz="8" w:space="0" w:color="auto"/>
            </w:tcBorders>
            <w:vAlign w:val="center"/>
            <w:hideMark/>
          </w:tcPr>
          <w:p w14:paraId="0436812F" w14:textId="77777777" w:rsidR="004C127E" w:rsidRPr="000E5786" w:rsidRDefault="004C127E" w:rsidP="00DD60F0">
            <w:pPr>
              <w:rPr>
                <w:rFonts w:cs="Arial"/>
                <w:b/>
                <w:bCs/>
                <w:szCs w:val="20"/>
              </w:rPr>
            </w:pPr>
          </w:p>
        </w:tc>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14:paraId="3A06A272" w14:textId="77777777" w:rsidR="004C127E" w:rsidRPr="000E5786" w:rsidRDefault="004C127E" w:rsidP="00380763">
            <w:pPr>
              <w:ind w:left="0" w:firstLine="0"/>
              <w:jc w:val="center"/>
              <w:rPr>
                <w:rFonts w:cs="Arial"/>
                <w:b/>
                <w:bCs/>
                <w:szCs w:val="20"/>
              </w:rPr>
            </w:pPr>
            <w:r w:rsidRPr="000E5786">
              <w:rPr>
                <w:rFonts w:cs="Arial"/>
                <w:b/>
                <w:bCs/>
                <w:szCs w:val="20"/>
              </w:rPr>
              <w:t>Installation and integration</w:t>
            </w:r>
          </w:p>
        </w:tc>
        <w:tc>
          <w:tcPr>
            <w:tcW w:w="1560" w:type="dxa"/>
            <w:tcBorders>
              <w:top w:val="nil"/>
              <w:left w:val="nil"/>
              <w:bottom w:val="single" w:sz="4" w:space="0" w:color="auto"/>
              <w:right w:val="single" w:sz="4" w:space="0" w:color="auto"/>
            </w:tcBorders>
            <w:shd w:val="clear" w:color="auto" w:fill="auto"/>
            <w:noWrap/>
            <w:vAlign w:val="bottom"/>
            <w:hideMark/>
          </w:tcPr>
          <w:p w14:paraId="2B92B600" w14:textId="77777777" w:rsidR="004C127E" w:rsidRPr="000E5786" w:rsidRDefault="004C127E" w:rsidP="00AC4874">
            <w:pPr>
              <w:ind w:left="0" w:right="32" w:firstLine="0"/>
              <w:jc w:val="left"/>
              <w:rPr>
                <w:rFonts w:cs="Arial"/>
                <w:szCs w:val="20"/>
              </w:rPr>
            </w:pPr>
            <w:r w:rsidRPr="000E5786">
              <w:rPr>
                <w:rFonts w:cs="Arial"/>
                <w:szCs w:val="20"/>
              </w:rPr>
              <w:t>Systems integration</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65CD586" w14:textId="77777777" w:rsidR="004C127E" w:rsidRPr="000E5786" w:rsidRDefault="004C127E" w:rsidP="00DD60F0">
            <w:pPr>
              <w:jc w:val="center"/>
              <w:rPr>
                <w:rFonts w:cs="Arial"/>
                <w:szCs w:val="20"/>
              </w:rPr>
            </w:pPr>
            <w:r w:rsidRPr="000E5786">
              <w:rPr>
                <w:rFonts w:cs="Arial"/>
                <w:szCs w:val="20"/>
              </w:rPr>
              <w:t>SINT</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22784003" w14:textId="5C5953AB" w:rsidR="004C127E" w:rsidRPr="000E5786" w:rsidRDefault="004C127E" w:rsidP="00DD60F0">
            <w:pPr>
              <w:rPr>
                <w:rFonts w:cs="Arial"/>
                <w:szCs w:val="20"/>
              </w:rPr>
            </w:pPr>
            <w:r w:rsidRPr="000E5786">
              <w:rPr>
                <w:rFonts w:cs="Arial"/>
                <w:szCs w:val="20"/>
              </w:rPr>
              <w:t xml:space="preserve">420 </w:t>
            </w:r>
          </w:p>
        </w:tc>
        <w:tc>
          <w:tcPr>
            <w:tcW w:w="565" w:type="dxa"/>
            <w:tcBorders>
              <w:top w:val="nil"/>
              <w:left w:val="nil"/>
              <w:bottom w:val="single" w:sz="4" w:space="0" w:color="auto"/>
              <w:right w:val="single" w:sz="8" w:space="0" w:color="auto"/>
            </w:tcBorders>
            <w:shd w:val="clear" w:color="000000" w:fill="FFFF00"/>
            <w:noWrap/>
            <w:vAlign w:val="bottom"/>
            <w:hideMark/>
          </w:tcPr>
          <w:p w14:paraId="7A3C6DC1" w14:textId="69EBB08B"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7B4B8DEE" w14:textId="11E0B424" w:rsidR="004C127E" w:rsidRPr="000E5786" w:rsidRDefault="004C127E" w:rsidP="00DD60F0">
            <w:pPr>
              <w:rPr>
                <w:rFonts w:cs="Arial"/>
                <w:szCs w:val="20"/>
              </w:rPr>
            </w:pPr>
            <w:r w:rsidRPr="000E5786">
              <w:rPr>
                <w:rFonts w:cs="Arial"/>
                <w:szCs w:val="20"/>
              </w:rPr>
              <w:t xml:space="preserve">530 </w:t>
            </w:r>
          </w:p>
        </w:tc>
        <w:tc>
          <w:tcPr>
            <w:tcW w:w="709" w:type="dxa"/>
            <w:tcBorders>
              <w:top w:val="nil"/>
              <w:left w:val="nil"/>
              <w:bottom w:val="single" w:sz="4" w:space="0" w:color="auto"/>
              <w:right w:val="single" w:sz="8" w:space="0" w:color="auto"/>
            </w:tcBorders>
            <w:shd w:val="clear" w:color="000000" w:fill="FFFF00"/>
            <w:noWrap/>
            <w:vAlign w:val="bottom"/>
            <w:hideMark/>
          </w:tcPr>
          <w:p w14:paraId="1C90D761" w14:textId="746B9547"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7BA357B6" w14:textId="5E4ABA94" w:rsidR="004C127E" w:rsidRPr="000E5786" w:rsidRDefault="004C127E" w:rsidP="00DD60F0">
            <w:pPr>
              <w:rPr>
                <w:rFonts w:cs="Arial"/>
                <w:szCs w:val="20"/>
              </w:rPr>
            </w:pPr>
            <w:r w:rsidRPr="000E5786">
              <w:rPr>
                <w:rFonts w:cs="Arial"/>
                <w:szCs w:val="20"/>
              </w:rPr>
              <w:t xml:space="preserve">632 </w:t>
            </w:r>
          </w:p>
        </w:tc>
        <w:tc>
          <w:tcPr>
            <w:tcW w:w="709" w:type="dxa"/>
            <w:tcBorders>
              <w:top w:val="nil"/>
              <w:left w:val="nil"/>
              <w:bottom w:val="single" w:sz="4" w:space="0" w:color="auto"/>
              <w:right w:val="single" w:sz="8" w:space="0" w:color="auto"/>
            </w:tcBorders>
            <w:shd w:val="clear" w:color="000000" w:fill="FFFF00"/>
            <w:noWrap/>
            <w:vAlign w:val="bottom"/>
            <w:hideMark/>
          </w:tcPr>
          <w:p w14:paraId="4468D927" w14:textId="73E4AE48"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055F86B6" w14:textId="26FEFD4A" w:rsidR="004C127E" w:rsidRPr="000E5786" w:rsidRDefault="004C127E" w:rsidP="00DD60F0">
            <w:pPr>
              <w:rPr>
                <w:rFonts w:cs="Arial"/>
                <w:szCs w:val="20"/>
              </w:rPr>
            </w:pPr>
            <w:r w:rsidRPr="000E5786">
              <w:rPr>
                <w:rFonts w:cs="Arial"/>
                <w:szCs w:val="20"/>
              </w:rPr>
              <w:t xml:space="preserve">876 </w:t>
            </w:r>
          </w:p>
        </w:tc>
        <w:tc>
          <w:tcPr>
            <w:tcW w:w="709" w:type="dxa"/>
            <w:tcBorders>
              <w:top w:val="nil"/>
              <w:left w:val="nil"/>
              <w:bottom w:val="single" w:sz="4" w:space="0" w:color="auto"/>
              <w:right w:val="single" w:sz="8" w:space="0" w:color="auto"/>
            </w:tcBorders>
            <w:shd w:val="clear" w:color="000000" w:fill="FFFF00"/>
            <w:noWrap/>
            <w:vAlign w:val="bottom"/>
            <w:hideMark/>
          </w:tcPr>
          <w:p w14:paraId="3CBFA9EB" w14:textId="1F47C08C"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1FE65FE2" w14:textId="1EB28B56" w:rsidR="004C127E" w:rsidRPr="000E5786" w:rsidRDefault="004C127E" w:rsidP="00DD60F0">
            <w:pPr>
              <w:rPr>
                <w:rFonts w:cs="Arial"/>
                <w:szCs w:val="20"/>
              </w:rPr>
            </w:pPr>
            <w:r w:rsidRPr="000E5786">
              <w:rPr>
                <w:rFonts w:cs="Arial"/>
                <w:szCs w:val="20"/>
              </w:rPr>
              <w:t xml:space="preserve">1,003 </w:t>
            </w:r>
          </w:p>
        </w:tc>
        <w:tc>
          <w:tcPr>
            <w:tcW w:w="708" w:type="dxa"/>
            <w:tcBorders>
              <w:top w:val="nil"/>
              <w:left w:val="nil"/>
              <w:bottom w:val="single" w:sz="4" w:space="0" w:color="auto"/>
              <w:right w:val="single" w:sz="8" w:space="0" w:color="auto"/>
            </w:tcBorders>
            <w:shd w:val="clear" w:color="000000" w:fill="FFFF00"/>
            <w:noWrap/>
            <w:vAlign w:val="bottom"/>
            <w:hideMark/>
          </w:tcPr>
          <w:p w14:paraId="63F92DD4" w14:textId="429818DD"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695FF7DA" w14:textId="5FFEC015" w:rsidR="004C127E" w:rsidRPr="000E5786" w:rsidRDefault="004C127E" w:rsidP="00DD60F0">
            <w:pPr>
              <w:rPr>
                <w:rFonts w:cs="Arial"/>
                <w:szCs w:val="20"/>
              </w:rPr>
            </w:pPr>
            <w:r w:rsidRPr="000E5786">
              <w:rPr>
                <w:rFonts w:cs="Arial"/>
                <w:szCs w:val="20"/>
              </w:rPr>
              <w:t xml:space="preserve">1,274 </w:t>
            </w:r>
          </w:p>
        </w:tc>
        <w:tc>
          <w:tcPr>
            <w:tcW w:w="709" w:type="dxa"/>
            <w:tcBorders>
              <w:top w:val="nil"/>
              <w:left w:val="nil"/>
              <w:bottom w:val="single" w:sz="4" w:space="0" w:color="auto"/>
              <w:right w:val="single" w:sz="8" w:space="0" w:color="auto"/>
            </w:tcBorders>
            <w:shd w:val="clear" w:color="000000" w:fill="FFFF00"/>
            <w:noWrap/>
            <w:vAlign w:val="bottom"/>
            <w:hideMark/>
          </w:tcPr>
          <w:p w14:paraId="21B45E3C" w14:textId="4B1BD1C0"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1F8FD6D3" w14:textId="054A90B7" w:rsidR="004C127E" w:rsidRPr="000E5786" w:rsidRDefault="004C127E" w:rsidP="00DD60F0">
            <w:pPr>
              <w:rPr>
                <w:rFonts w:cs="Arial"/>
                <w:szCs w:val="20"/>
              </w:rPr>
            </w:pPr>
            <w:r w:rsidRPr="000E5786">
              <w:rPr>
                <w:rFonts w:cs="Arial"/>
                <w:szCs w:val="20"/>
              </w:rPr>
              <w:t xml:space="preserve">1,498 </w:t>
            </w:r>
          </w:p>
        </w:tc>
        <w:tc>
          <w:tcPr>
            <w:tcW w:w="709" w:type="dxa"/>
            <w:tcBorders>
              <w:top w:val="nil"/>
              <w:left w:val="nil"/>
              <w:bottom w:val="single" w:sz="4" w:space="0" w:color="auto"/>
              <w:right w:val="single" w:sz="8" w:space="0" w:color="auto"/>
            </w:tcBorders>
            <w:shd w:val="clear" w:color="000000" w:fill="FFFF00"/>
            <w:noWrap/>
            <w:vAlign w:val="bottom"/>
            <w:hideMark/>
          </w:tcPr>
          <w:p w14:paraId="6C312AE0" w14:textId="189E676B" w:rsidR="004C127E" w:rsidRPr="000E5786" w:rsidRDefault="004C127E" w:rsidP="00DD60F0">
            <w:pPr>
              <w:rPr>
                <w:rFonts w:cs="Arial"/>
                <w:szCs w:val="20"/>
              </w:rPr>
            </w:pPr>
            <w:r w:rsidRPr="000E5786">
              <w:rPr>
                <w:rFonts w:cs="Arial"/>
                <w:szCs w:val="20"/>
              </w:rPr>
              <w:t xml:space="preserve">414 </w:t>
            </w:r>
          </w:p>
        </w:tc>
      </w:tr>
      <w:tr w:rsidR="00A72177" w:rsidRPr="000E5786" w14:paraId="6B7B5C69" w14:textId="77777777" w:rsidTr="00613818">
        <w:trPr>
          <w:trHeight w:val="345"/>
        </w:trPr>
        <w:tc>
          <w:tcPr>
            <w:tcW w:w="1134" w:type="dxa"/>
            <w:vMerge/>
            <w:tcBorders>
              <w:top w:val="nil"/>
              <w:left w:val="single" w:sz="8" w:space="0" w:color="auto"/>
              <w:bottom w:val="single" w:sz="8" w:space="0" w:color="000000"/>
              <w:right w:val="single" w:sz="8" w:space="0" w:color="auto"/>
            </w:tcBorders>
            <w:vAlign w:val="center"/>
            <w:hideMark/>
          </w:tcPr>
          <w:p w14:paraId="77133ED3"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385E0C81" w14:textId="77777777" w:rsidR="004C127E" w:rsidRPr="000E5786" w:rsidRDefault="004C127E" w:rsidP="00DD60F0">
            <w:pP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0B12816A" w14:textId="77777777" w:rsidR="004C127E" w:rsidRPr="000E5786" w:rsidRDefault="004C127E" w:rsidP="00AC4874">
            <w:pPr>
              <w:ind w:left="0" w:right="32" w:firstLine="0"/>
              <w:jc w:val="left"/>
              <w:rPr>
                <w:rFonts w:cs="Arial"/>
                <w:szCs w:val="20"/>
              </w:rPr>
            </w:pPr>
            <w:r w:rsidRPr="000E5786">
              <w:rPr>
                <w:rFonts w:cs="Arial"/>
                <w:szCs w:val="20"/>
              </w:rPr>
              <w:t>Porting/software configuration</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FFB7D19" w14:textId="77777777" w:rsidR="004C127E" w:rsidRPr="000E5786" w:rsidRDefault="004C127E" w:rsidP="00DD60F0">
            <w:pPr>
              <w:jc w:val="center"/>
              <w:rPr>
                <w:rFonts w:cs="Arial"/>
                <w:szCs w:val="20"/>
              </w:rPr>
            </w:pPr>
            <w:r w:rsidRPr="000E5786">
              <w:rPr>
                <w:rFonts w:cs="Arial"/>
                <w:szCs w:val="20"/>
              </w:rPr>
              <w:t>PORT</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4DFB0DC2" w14:textId="0FF22A6C" w:rsidR="004C127E" w:rsidRPr="000E5786" w:rsidRDefault="004C127E" w:rsidP="00DD60F0">
            <w:pPr>
              <w:rPr>
                <w:rFonts w:cs="Arial"/>
                <w:szCs w:val="20"/>
              </w:rPr>
            </w:pPr>
            <w:r w:rsidRPr="000E5786">
              <w:rPr>
                <w:rFonts w:cs="Arial"/>
                <w:szCs w:val="20"/>
              </w:rPr>
              <w:t xml:space="preserve">420 </w:t>
            </w:r>
          </w:p>
        </w:tc>
        <w:tc>
          <w:tcPr>
            <w:tcW w:w="565" w:type="dxa"/>
            <w:tcBorders>
              <w:top w:val="nil"/>
              <w:left w:val="nil"/>
              <w:bottom w:val="single" w:sz="4" w:space="0" w:color="auto"/>
              <w:right w:val="single" w:sz="8" w:space="0" w:color="auto"/>
            </w:tcBorders>
            <w:shd w:val="clear" w:color="000000" w:fill="FFFF00"/>
            <w:noWrap/>
            <w:vAlign w:val="bottom"/>
            <w:hideMark/>
          </w:tcPr>
          <w:p w14:paraId="334BB7F9" w14:textId="58522DB3"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7ADDA5E4" w14:textId="63B01C45" w:rsidR="004C127E" w:rsidRPr="000E5786" w:rsidRDefault="004C127E" w:rsidP="00DD60F0">
            <w:pPr>
              <w:rPr>
                <w:rFonts w:cs="Arial"/>
                <w:szCs w:val="20"/>
              </w:rPr>
            </w:pPr>
            <w:r w:rsidRPr="000E5786">
              <w:rPr>
                <w:rFonts w:cs="Arial"/>
                <w:szCs w:val="20"/>
              </w:rPr>
              <w:t xml:space="preserve">530 </w:t>
            </w:r>
          </w:p>
        </w:tc>
        <w:tc>
          <w:tcPr>
            <w:tcW w:w="709" w:type="dxa"/>
            <w:tcBorders>
              <w:top w:val="nil"/>
              <w:left w:val="nil"/>
              <w:bottom w:val="single" w:sz="4" w:space="0" w:color="auto"/>
              <w:right w:val="single" w:sz="8" w:space="0" w:color="auto"/>
            </w:tcBorders>
            <w:shd w:val="clear" w:color="000000" w:fill="FFFF00"/>
            <w:noWrap/>
            <w:vAlign w:val="bottom"/>
            <w:hideMark/>
          </w:tcPr>
          <w:p w14:paraId="24322540" w14:textId="763960A6"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32CBC0D2" w14:textId="123DBB7D" w:rsidR="004C127E" w:rsidRPr="000E5786" w:rsidRDefault="004C127E" w:rsidP="00DD60F0">
            <w:pPr>
              <w:rPr>
                <w:rFonts w:cs="Arial"/>
                <w:szCs w:val="20"/>
              </w:rPr>
            </w:pPr>
            <w:r w:rsidRPr="000E5786">
              <w:rPr>
                <w:rFonts w:cs="Arial"/>
                <w:szCs w:val="20"/>
              </w:rPr>
              <w:t xml:space="preserve">632 </w:t>
            </w:r>
          </w:p>
        </w:tc>
        <w:tc>
          <w:tcPr>
            <w:tcW w:w="709" w:type="dxa"/>
            <w:tcBorders>
              <w:top w:val="nil"/>
              <w:left w:val="nil"/>
              <w:bottom w:val="single" w:sz="4" w:space="0" w:color="auto"/>
              <w:right w:val="single" w:sz="8" w:space="0" w:color="auto"/>
            </w:tcBorders>
            <w:shd w:val="clear" w:color="000000" w:fill="FFFF00"/>
            <w:noWrap/>
            <w:vAlign w:val="bottom"/>
            <w:hideMark/>
          </w:tcPr>
          <w:p w14:paraId="4DB11773" w14:textId="0E00F646"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1DDD647B" w14:textId="55F4908E" w:rsidR="004C127E" w:rsidRPr="000E5786" w:rsidRDefault="004C127E" w:rsidP="00DD60F0">
            <w:pPr>
              <w:rPr>
                <w:rFonts w:cs="Arial"/>
                <w:szCs w:val="20"/>
              </w:rPr>
            </w:pPr>
            <w:r w:rsidRPr="000E5786">
              <w:rPr>
                <w:rFonts w:cs="Arial"/>
                <w:szCs w:val="20"/>
              </w:rPr>
              <w:t xml:space="preserve">876 </w:t>
            </w:r>
          </w:p>
        </w:tc>
        <w:tc>
          <w:tcPr>
            <w:tcW w:w="709" w:type="dxa"/>
            <w:tcBorders>
              <w:top w:val="nil"/>
              <w:left w:val="nil"/>
              <w:bottom w:val="single" w:sz="4" w:space="0" w:color="auto"/>
              <w:right w:val="single" w:sz="8" w:space="0" w:color="auto"/>
            </w:tcBorders>
            <w:shd w:val="clear" w:color="000000" w:fill="FFFF00"/>
            <w:noWrap/>
            <w:vAlign w:val="bottom"/>
            <w:hideMark/>
          </w:tcPr>
          <w:p w14:paraId="51648405" w14:textId="225A691C"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18299CA5" w14:textId="017F22A1" w:rsidR="004C127E" w:rsidRPr="000E5786" w:rsidRDefault="004C127E" w:rsidP="00DD60F0">
            <w:pPr>
              <w:rPr>
                <w:rFonts w:cs="Arial"/>
                <w:szCs w:val="20"/>
              </w:rPr>
            </w:pPr>
            <w:r w:rsidRPr="000E5786">
              <w:rPr>
                <w:rFonts w:cs="Arial"/>
                <w:szCs w:val="20"/>
              </w:rPr>
              <w:t xml:space="preserve">1,003 </w:t>
            </w:r>
          </w:p>
        </w:tc>
        <w:tc>
          <w:tcPr>
            <w:tcW w:w="708" w:type="dxa"/>
            <w:tcBorders>
              <w:top w:val="nil"/>
              <w:left w:val="nil"/>
              <w:bottom w:val="single" w:sz="4" w:space="0" w:color="auto"/>
              <w:right w:val="single" w:sz="8" w:space="0" w:color="auto"/>
            </w:tcBorders>
            <w:shd w:val="clear" w:color="000000" w:fill="FFFF00"/>
            <w:noWrap/>
            <w:vAlign w:val="bottom"/>
            <w:hideMark/>
          </w:tcPr>
          <w:p w14:paraId="0F6B1DD7" w14:textId="05602A99"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1B6487EA" w14:textId="554ED439" w:rsidR="004C127E" w:rsidRPr="000E5786" w:rsidRDefault="004C127E" w:rsidP="00DD60F0">
            <w:pPr>
              <w:rPr>
                <w:rFonts w:cs="Arial"/>
                <w:szCs w:val="20"/>
              </w:rPr>
            </w:pPr>
            <w:r w:rsidRPr="000E5786">
              <w:rPr>
                <w:rFonts w:cs="Arial"/>
                <w:szCs w:val="20"/>
              </w:rPr>
              <w:t xml:space="preserve">1,274 </w:t>
            </w:r>
          </w:p>
        </w:tc>
        <w:tc>
          <w:tcPr>
            <w:tcW w:w="709" w:type="dxa"/>
            <w:tcBorders>
              <w:top w:val="nil"/>
              <w:left w:val="nil"/>
              <w:bottom w:val="single" w:sz="4" w:space="0" w:color="auto"/>
              <w:right w:val="single" w:sz="8" w:space="0" w:color="auto"/>
            </w:tcBorders>
            <w:shd w:val="clear" w:color="000000" w:fill="FFFF00"/>
            <w:noWrap/>
            <w:vAlign w:val="bottom"/>
            <w:hideMark/>
          </w:tcPr>
          <w:p w14:paraId="7ABEE86E" w14:textId="4C306D39"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08E7CEA8" w14:textId="78DB0E7A" w:rsidR="004C127E" w:rsidRPr="000E5786" w:rsidRDefault="004C127E" w:rsidP="00DD60F0">
            <w:pPr>
              <w:rPr>
                <w:rFonts w:cs="Arial"/>
                <w:szCs w:val="20"/>
              </w:rPr>
            </w:pPr>
            <w:r w:rsidRPr="000E5786">
              <w:rPr>
                <w:rFonts w:cs="Arial"/>
                <w:szCs w:val="20"/>
              </w:rPr>
              <w:t xml:space="preserve">1,498 </w:t>
            </w:r>
          </w:p>
        </w:tc>
        <w:tc>
          <w:tcPr>
            <w:tcW w:w="709" w:type="dxa"/>
            <w:tcBorders>
              <w:top w:val="nil"/>
              <w:left w:val="nil"/>
              <w:bottom w:val="single" w:sz="4" w:space="0" w:color="auto"/>
              <w:right w:val="single" w:sz="8" w:space="0" w:color="auto"/>
            </w:tcBorders>
            <w:shd w:val="clear" w:color="000000" w:fill="FFFF00"/>
            <w:noWrap/>
            <w:vAlign w:val="bottom"/>
            <w:hideMark/>
          </w:tcPr>
          <w:p w14:paraId="3FEFBEE6" w14:textId="06C7584F" w:rsidR="004C127E" w:rsidRPr="000E5786" w:rsidRDefault="004C127E" w:rsidP="00DD60F0">
            <w:pPr>
              <w:rPr>
                <w:rFonts w:cs="Arial"/>
                <w:szCs w:val="20"/>
              </w:rPr>
            </w:pPr>
            <w:r w:rsidRPr="000E5786">
              <w:rPr>
                <w:rFonts w:cs="Arial"/>
                <w:szCs w:val="20"/>
              </w:rPr>
              <w:t xml:space="preserve">414 </w:t>
            </w:r>
          </w:p>
        </w:tc>
      </w:tr>
      <w:tr w:rsidR="00A72177" w:rsidRPr="000E5786" w14:paraId="6ED73AF2" w14:textId="77777777" w:rsidTr="00613818">
        <w:trPr>
          <w:trHeight w:val="225"/>
        </w:trPr>
        <w:tc>
          <w:tcPr>
            <w:tcW w:w="1134" w:type="dxa"/>
            <w:vMerge/>
            <w:tcBorders>
              <w:top w:val="nil"/>
              <w:left w:val="single" w:sz="8" w:space="0" w:color="auto"/>
              <w:bottom w:val="single" w:sz="8" w:space="0" w:color="000000"/>
              <w:right w:val="single" w:sz="8" w:space="0" w:color="auto"/>
            </w:tcBorders>
            <w:vAlign w:val="center"/>
            <w:hideMark/>
          </w:tcPr>
          <w:p w14:paraId="769526B2"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52FA72EC" w14:textId="77777777" w:rsidR="004C127E" w:rsidRPr="000E5786" w:rsidRDefault="004C127E" w:rsidP="00DD60F0">
            <w:pPr>
              <w:rPr>
                <w:rFonts w:cs="Arial"/>
                <w:b/>
                <w:bCs/>
                <w:szCs w:val="20"/>
              </w:rPr>
            </w:pPr>
          </w:p>
        </w:tc>
        <w:tc>
          <w:tcPr>
            <w:tcW w:w="1560" w:type="dxa"/>
            <w:tcBorders>
              <w:top w:val="nil"/>
              <w:left w:val="nil"/>
              <w:bottom w:val="single" w:sz="4" w:space="0" w:color="auto"/>
              <w:right w:val="single" w:sz="4" w:space="0" w:color="auto"/>
            </w:tcBorders>
            <w:shd w:val="clear" w:color="auto" w:fill="auto"/>
            <w:noWrap/>
            <w:vAlign w:val="bottom"/>
            <w:hideMark/>
          </w:tcPr>
          <w:p w14:paraId="6D17B61A" w14:textId="77777777" w:rsidR="004C127E" w:rsidRPr="000E5786" w:rsidRDefault="004C127E" w:rsidP="00AC4874">
            <w:pPr>
              <w:ind w:left="0" w:right="32" w:firstLine="0"/>
              <w:jc w:val="left"/>
              <w:rPr>
                <w:rFonts w:cs="Arial"/>
                <w:szCs w:val="20"/>
              </w:rPr>
            </w:pPr>
            <w:r w:rsidRPr="000E5786">
              <w:rPr>
                <w:rFonts w:cs="Arial"/>
                <w:szCs w:val="20"/>
              </w:rPr>
              <w:t>Hardware design</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1B1F2A4" w14:textId="77777777" w:rsidR="004C127E" w:rsidRPr="000E5786" w:rsidRDefault="004C127E" w:rsidP="00DD60F0">
            <w:pPr>
              <w:jc w:val="center"/>
              <w:rPr>
                <w:rFonts w:cs="Arial"/>
                <w:szCs w:val="20"/>
              </w:rPr>
            </w:pPr>
            <w:r w:rsidRPr="000E5786">
              <w:rPr>
                <w:rFonts w:cs="Arial"/>
                <w:szCs w:val="20"/>
              </w:rPr>
              <w:t>HWDE</w:t>
            </w:r>
          </w:p>
        </w:tc>
        <w:tc>
          <w:tcPr>
            <w:tcW w:w="567" w:type="dxa"/>
            <w:tcBorders>
              <w:top w:val="nil"/>
              <w:left w:val="single" w:sz="4" w:space="0" w:color="auto"/>
              <w:bottom w:val="single" w:sz="4" w:space="0" w:color="auto"/>
              <w:right w:val="single" w:sz="4" w:space="0" w:color="auto"/>
            </w:tcBorders>
            <w:shd w:val="clear" w:color="000000" w:fill="FFFF00"/>
            <w:noWrap/>
            <w:vAlign w:val="bottom"/>
            <w:hideMark/>
          </w:tcPr>
          <w:p w14:paraId="62B64655" w14:textId="28937716" w:rsidR="004C127E" w:rsidRPr="000E5786" w:rsidRDefault="004C127E" w:rsidP="00DD60F0">
            <w:pPr>
              <w:rPr>
                <w:rFonts w:cs="Arial"/>
                <w:szCs w:val="20"/>
              </w:rPr>
            </w:pPr>
            <w:r w:rsidRPr="000E5786">
              <w:rPr>
                <w:rFonts w:cs="Arial"/>
                <w:szCs w:val="20"/>
              </w:rPr>
              <w:t xml:space="preserve">420 </w:t>
            </w:r>
          </w:p>
        </w:tc>
        <w:tc>
          <w:tcPr>
            <w:tcW w:w="565" w:type="dxa"/>
            <w:tcBorders>
              <w:top w:val="nil"/>
              <w:left w:val="nil"/>
              <w:bottom w:val="single" w:sz="4" w:space="0" w:color="auto"/>
              <w:right w:val="single" w:sz="8" w:space="0" w:color="auto"/>
            </w:tcBorders>
            <w:shd w:val="clear" w:color="000000" w:fill="FFFF00"/>
            <w:noWrap/>
            <w:vAlign w:val="bottom"/>
            <w:hideMark/>
          </w:tcPr>
          <w:p w14:paraId="05B51308" w14:textId="3C4C5D29"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0EA7DFD1" w14:textId="589EC363" w:rsidR="004C127E" w:rsidRPr="000E5786" w:rsidRDefault="004C127E" w:rsidP="00DD60F0">
            <w:pPr>
              <w:rPr>
                <w:rFonts w:cs="Arial"/>
                <w:szCs w:val="20"/>
              </w:rPr>
            </w:pPr>
            <w:r w:rsidRPr="000E5786">
              <w:rPr>
                <w:rFonts w:cs="Arial"/>
                <w:szCs w:val="20"/>
              </w:rPr>
              <w:t xml:space="preserve">530 </w:t>
            </w:r>
          </w:p>
        </w:tc>
        <w:tc>
          <w:tcPr>
            <w:tcW w:w="709" w:type="dxa"/>
            <w:tcBorders>
              <w:top w:val="nil"/>
              <w:left w:val="nil"/>
              <w:bottom w:val="single" w:sz="4" w:space="0" w:color="auto"/>
              <w:right w:val="single" w:sz="8" w:space="0" w:color="auto"/>
            </w:tcBorders>
            <w:shd w:val="clear" w:color="000000" w:fill="FFFF00"/>
            <w:noWrap/>
            <w:vAlign w:val="bottom"/>
            <w:hideMark/>
          </w:tcPr>
          <w:p w14:paraId="59421A75" w14:textId="5DBA9078"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57FDE9EC" w14:textId="59452DD3" w:rsidR="004C127E" w:rsidRPr="000E5786" w:rsidRDefault="004C127E" w:rsidP="00DD60F0">
            <w:pPr>
              <w:rPr>
                <w:rFonts w:cs="Arial"/>
                <w:szCs w:val="20"/>
              </w:rPr>
            </w:pPr>
            <w:r w:rsidRPr="000E5786">
              <w:rPr>
                <w:rFonts w:cs="Arial"/>
                <w:szCs w:val="20"/>
              </w:rPr>
              <w:t xml:space="preserve">632 </w:t>
            </w:r>
          </w:p>
        </w:tc>
        <w:tc>
          <w:tcPr>
            <w:tcW w:w="709" w:type="dxa"/>
            <w:tcBorders>
              <w:top w:val="nil"/>
              <w:left w:val="nil"/>
              <w:bottom w:val="single" w:sz="4" w:space="0" w:color="auto"/>
              <w:right w:val="single" w:sz="8" w:space="0" w:color="auto"/>
            </w:tcBorders>
            <w:shd w:val="clear" w:color="000000" w:fill="FFFF00"/>
            <w:noWrap/>
            <w:vAlign w:val="bottom"/>
            <w:hideMark/>
          </w:tcPr>
          <w:p w14:paraId="4303E065" w14:textId="4DFBD683"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06C45E7B" w14:textId="516137C8" w:rsidR="004C127E" w:rsidRPr="000E5786" w:rsidRDefault="004C127E" w:rsidP="00DD60F0">
            <w:pPr>
              <w:rPr>
                <w:rFonts w:cs="Arial"/>
                <w:szCs w:val="20"/>
              </w:rPr>
            </w:pPr>
            <w:r w:rsidRPr="000E5786">
              <w:rPr>
                <w:rFonts w:cs="Arial"/>
                <w:szCs w:val="20"/>
              </w:rPr>
              <w:t xml:space="preserve">876 </w:t>
            </w:r>
          </w:p>
        </w:tc>
        <w:tc>
          <w:tcPr>
            <w:tcW w:w="709" w:type="dxa"/>
            <w:tcBorders>
              <w:top w:val="nil"/>
              <w:left w:val="nil"/>
              <w:bottom w:val="single" w:sz="4" w:space="0" w:color="auto"/>
              <w:right w:val="single" w:sz="8" w:space="0" w:color="auto"/>
            </w:tcBorders>
            <w:shd w:val="clear" w:color="000000" w:fill="FFFF00"/>
            <w:noWrap/>
            <w:vAlign w:val="bottom"/>
            <w:hideMark/>
          </w:tcPr>
          <w:p w14:paraId="36695BB7" w14:textId="19A5C57B"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02F05CD1" w14:textId="0795C0A6" w:rsidR="004C127E" w:rsidRPr="000E5786" w:rsidRDefault="004C127E" w:rsidP="00DD60F0">
            <w:pPr>
              <w:rPr>
                <w:rFonts w:cs="Arial"/>
                <w:szCs w:val="20"/>
              </w:rPr>
            </w:pPr>
            <w:r w:rsidRPr="000E5786">
              <w:rPr>
                <w:rFonts w:cs="Arial"/>
                <w:szCs w:val="20"/>
              </w:rPr>
              <w:t xml:space="preserve">1,003 </w:t>
            </w:r>
          </w:p>
        </w:tc>
        <w:tc>
          <w:tcPr>
            <w:tcW w:w="708" w:type="dxa"/>
            <w:tcBorders>
              <w:top w:val="nil"/>
              <w:left w:val="nil"/>
              <w:bottom w:val="single" w:sz="4" w:space="0" w:color="auto"/>
              <w:right w:val="single" w:sz="8" w:space="0" w:color="auto"/>
            </w:tcBorders>
            <w:shd w:val="clear" w:color="000000" w:fill="FFFF00"/>
            <w:noWrap/>
            <w:vAlign w:val="bottom"/>
            <w:hideMark/>
          </w:tcPr>
          <w:p w14:paraId="5A256F87" w14:textId="170C664A"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69347153" w14:textId="51BCF162" w:rsidR="004C127E" w:rsidRPr="000E5786" w:rsidRDefault="004C127E" w:rsidP="00DD60F0">
            <w:pPr>
              <w:rPr>
                <w:rFonts w:cs="Arial"/>
                <w:szCs w:val="20"/>
              </w:rPr>
            </w:pPr>
            <w:r w:rsidRPr="000E5786">
              <w:rPr>
                <w:rFonts w:cs="Arial"/>
                <w:szCs w:val="20"/>
              </w:rPr>
              <w:t xml:space="preserve">1,274 </w:t>
            </w:r>
          </w:p>
        </w:tc>
        <w:tc>
          <w:tcPr>
            <w:tcW w:w="709" w:type="dxa"/>
            <w:tcBorders>
              <w:top w:val="nil"/>
              <w:left w:val="nil"/>
              <w:bottom w:val="single" w:sz="4" w:space="0" w:color="auto"/>
              <w:right w:val="single" w:sz="8" w:space="0" w:color="auto"/>
            </w:tcBorders>
            <w:shd w:val="clear" w:color="000000" w:fill="FFFF00"/>
            <w:noWrap/>
            <w:vAlign w:val="bottom"/>
            <w:hideMark/>
          </w:tcPr>
          <w:p w14:paraId="1BEC617C" w14:textId="588527E6"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4" w:space="0" w:color="auto"/>
              <w:right w:val="single" w:sz="4" w:space="0" w:color="auto"/>
            </w:tcBorders>
            <w:shd w:val="clear" w:color="000000" w:fill="FFFF00"/>
            <w:noWrap/>
            <w:vAlign w:val="bottom"/>
            <w:hideMark/>
          </w:tcPr>
          <w:p w14:paraId="56648DD7" w14:textId="07588098" w:rsidR="004C127E" w:rsidRPr="000E5786" w:rsidRDefault="004C127E" w:rsidP="00DD60F0">
            <w:pPr>
              <w:rPr>
                <w:rFonts w:cs="Arial"/>
                <w:szCs w:val="20"/>
              </w:rPr>
            </w:pPr>
            <w:r w:rsidRPr="000E5786">
              <w:rPr>
                <w:rFonts w:cs="Arial"/>
                <w:szCs w:val="20"/>
              </w:rPr>
              <w:t xml:space="preserve">1,498 </w:t>
            </w:r>
          </w:p>
        </w:tc>
        <w:tc>
          <w:tcPr>
            <w:tcW w:w="709" w:type="dxa"/>
            <w:tcBorders>
              <w:top w:val="nil"/>
              <w:left w:val="nil"/>
              <w:bottom w:val="single" w:sz="4" w:space="0" w:color="auto"/>
              <w:right w:val="single" w:sz="8" w:space="0" w:color="auto"/>
            </w:tcBorders>
            <w:shd w:val="clear" w:color="000000" w:fill="FFFF00"/>
            <w:noWrap/>
            <w:vAlign w:val="bottom"/>
            <w:hideMark/>
          </w:tcPr>
          <w:p w14:paraId="6AA248FE" w14:textId="6949F91E" w:rsidR="004C127E" w:rsidRPr="000E5786" w:rsidRDefault="004C127E" w:rsidP="00DD60F0">
            <w:pPr>
              <w:rPr>
                <w:rFonts w:cs="Arial"/>
                <w:szCs w:val="20"/>
              </w:rPr>
            </w:pPr>
            <w:r w:rsidRPr="000E5786">
              <w:rPr>
                <w:rFonts w:cs="Arial"/>
                <w:szCs w:val="20"/>
              </w:rPr>
              <w:t xml:space="preserve">414 </w:t>
            </w:r>
          </w:p>
        </w:tc>
      </w:tr>
      <w:tr w:rsidR="00A72177" w:rsidRPr="000E5786" w14:paraId="642795ED" w14:textId="77777777" w:rsidTr="00613818">
        <w:trPr>
          <w:trHeight w:val="225"/>
        </w:trPr>
        <w:tc>
          <w:tcPr>
            <w:tcW w:w="1134" w:type="dxa"/>
            <w:vMerge/>
            <w:tcBorders>
              <w:top w:val="nil"/>
              <w:left w:val="single" w:sz="8" w:space="0" w:color="auto"/>
              <w:bottom w:val="single" w:sz="8" w:space="0" w:color="000000"/>
              <w:right w:val="single" w:sz="8" w:space="0" w:color="auto"/>
            </w:tcBorders>
            <w:vAlign w:val="center"/>
            <w:hideMark/>
          </w:tcPr>
          <w:p w14:paraId="51FD4DB9" w14:textId="77777777" w:rsidR="004C127E" w:rsidRPr="000E5786" w:rsidRDefault="004C127E" w:rsidP="00DD60F0">
            <w:pPr>
              <w:rPr>
                <w:rFonts w:cs="Arial"/>
                <w:b/>
                <w:bCs/>
                <w:szCs w:val="20"/>
              </w:rPr>
            </w:pPr>
          </w:p>
        </w:tc>
        <w:tc>
          <w:tcPr>
            <w:tcW w:w="1700" w:type="dxa"/>
            <w:vMerge/>
            <w:tcBorders>
              <w:top w:val="nil"/>
              <w:left w:val="single" w:sz="8" w:space="0" w:color="auto"/>
              <w:bottom w:val="single" w:sz="8" w:space="0" w:color="000000"/>
              <w:right w:val="single" w:sz="4" w:space="0" w:color="auto"/>
            </w:tcBorders>
            <w:vAlign w:val="center"/>
            <w:hideMark/>
          </w:tcPr>
          <w:p w14:paraId="7D9B9D20" w14:textId="77777777" w:rsidR="004C127E" w:rsidRPr="000E5786" w:rsidRDefault="004C127E" w:rsidP="00DD60F0">
            <w:pPr>
              <w:rPr>
                <w:rFonts w:cs="Arial"/>
                <w:b/>
                <w:bCs/>
                <w:szCs w:val="20"/>
              </w:rPr>
            </w:pPr>
          </w:p>
        </w:tc>
        <w:tc>
          <w:tcPr>
            <w:tcW w:w="1560" w:type="dxa"/>
            <w:tcBorders>
              <w:top w:val="nil"/>
              <w:left w:val="nil"/>
              <w:bottom w:val="single" w:sz="8" w:space="0" w:color="auto"/>
              <w:right w:val="single" w:sz="4" w:space="0" w:color="auto"/>
            </w:tcBorders>
            <w:shd w:val="clear" w:color="auto" w:fill="auto"/>
            <w:noWrap/>
            <w:vAlign w:val="bottom"/>
            <w:hideMark/>
          </w:tcPr>
          <w:p w14:paraId="55E7DC8B" w14:textId="55E6F30D" w:rsidR="004C127E" w:rsidRPr="000E5786" w:rsidRDefault="004C127E" w:rsidP="00AC4874">
            <w:pPr>
              <w:ind w:left="0" w:right="32" w:firstLine="0"/>
              <w:jc w:val="left"/>
              <w:rPr>
                <w:rFonts w:cs="Arial"/>
                <w:szCs w:val="20"/>
              </w:rPr>
            </w:pPr>
            <w:r w:rsidRPr="000E5786">
              <w:rPr>
                <w:rFonts w:cs="Arial"/>
                <w:szCs w:val="20"/>
              </w:rPr>
              <w:t>Systems installation/</w:t>
            </w:r>
            <w:r w:rsidR="0019481B" w:rsidRPr="000E5786">
              <w:rPr>
                <w:rFonts w:cs="Arial"/>
                <w:szCs w:val="20"/>
              </w:rPr>
              <w:t>decommissioning</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3B04AD84" w14:textId="77777777" w:rsidR="004C127E" w:rsidRPr="000E5786" w:rsidRDefault="004C127E" w:rsidP="00DD60F0">
            <w:pPr>
              <w:jc w:val="center"/>
              <w:rPr>
                <w:rFonts w:cs="Arial"/>
                <w:szCs w:val="20"/>
              </w:rPr>
            </w:pPr>
            <w:r w:rsidRPr="000E5786">
              <w:rPr>
                <w:rFonts w:cs="Arial"/>
                <w:szCs w:val="20"/>
              </w:rPr>
              <w:t>HSIN</w:t>
            </w:r>
          </w:p>
        </w:tc>
        <w:tc>
          <w:tcPr>
            <w:tcW w:w="567" w:type="dxa"/>
            <w:tcBorders>
              <w:top w:val="nil"/>
              <w:left w:val="single" w:sz="4" w:space="0" w:color="auto"/>
              <w:bottom w:val="single" w:sz="8" w:space="0" w:color="auto"/>
              <w:right w:val="single" w:sz="4" w:space="0" w:color="auto"/>
            </w:tcBorders>
            <w:shd w:val="clear" w:color="000000" w:fill="FFFF00"/>
            <w:noWrap/>
            <w:vAlign w:val="bottom"/>
            <w:hideMark/>
          </w:tcPr>
          <w:p w14:paraId="3D8185CF" w14:textId="18071CEE" w:rsidR="004C127E" w:rsidRPr="000E5786" w:rsidRDefault="004C127E" w:rsidP="00DD60F0">
            <w:pPr>
              <w:rPr>
                <w:rFonts w:cs="Arial"/>
                <w:szCs w:val="20"/>
              </w:rPr>
            </w:pPr>
            <w:r w:rsidRPr="000E5786">
              <w:rPr>
                <w:rFonts w:cs="Arial"/>
                <w:szCs w:val="20"/>
              </w:rPr>
              <w:t xml:space="preserve">420 </w:t>
            </w:r>
          </w:p>
        </w:tc>
        <w:tc>
          <w:tcPr>
            <w:tcW w:w="565" w:type="dxa"/>
            <w:tcBorders>
              <w:top w:val="nil"/>
              <w:left w:val="nil"/>
              <w:bottom w:val="single" w:sz="8" w:space="0" w:color="auto"/>
              <w:right w:val="single" w:sz="8" w:space="0" w:color="auto"/>
            </w:tcBorders>
            <w:shd w:val="clear" w:color="000000" w:fill="FFFF00"/>
            <w:noWrap/>
            <w:vAlign w:val="bottom"/>
            <w:hideMark/>
          </w:tcPr>
          <w:p w14:paraId="2CF71C69" w14:textId="63ED9CD1"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8" w:space="0" w:color="auto"/>
              <w:right w:val="single" w:sz="4" w:space="0" w:color="auto"/>
            </w:tcBorders>
            <w:shd w:val="clear" w:color="000000" w:fill="FFFF00"/>
            <w:noWrap/>
            <w:vAlign w:val="bottom"/>
            <w:hideMark/>
          </w:tcPr>
          <w:p w14:paraId="1F09A331" w14:textId="2DA5ED45" w:rsidR="004C127E" w:rsidRPr="000E5786" w:rsidRDefault="004C127E" w:rsidP="00DD60F0">
            <w:pPr>
              <w:rPr>
                <w:rFonts w:cs="Arial"/>
                <w:szCs w:val="20"/>
              </w:rPr>
            </w:pPr>
            <w:r w:rsidRPr="000E5786">
              <w:rPr>
                <w:rFonts w:cs="Arial"/>
                <w:szCs w:val="20"/>
              </w:rPr>
              <w:t xml:space="preserve">530 </w:t>
            </w:r>
          </w:p>
        </w:tc>
        <w:tc>
          <w:tcPr>
            <w:tcW w:w="709" w:type="dxa"/>
            <w:tcBorders>
              <w:top w:val="nil"/>
              <w:left w:val="nil"/>
              <w:bottom w:val="single" w:sz="8" w:space="0" w:color="auto"/>
              <w:right w:val="single" w:sz="8" w:space="0" w:color="auto"/>
            </w:tcBorders>
            <w:shd w:val="clear" w:color="000000" w:fill="FFFF00"/>
            <w:noWrap/>
            <w:vAlign w:val="bottom"/>
            <w:hideMark/>
          </w:tcPr>
          <w:p w14:paraId="4FC6475F" w14:textId="518C46C2"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8" w:space="0" w:color="auto"/>
              <w:right w:val="single" w:sz="4" w:space="0" w:color="auto"/>
            </w:tcBorders>
            <w:shd w:val="clear" w:color="000000" w:fill="FFFF00"/>
            <w:noWrap/>
            <w:vAlign w:val="bottom"/>
            <w:hideMark/>
          </w:tcPr>
          <w:p w14:paraId="04ACE6AD" w14:textId="0D836063" w:rsidR="004C127E" w:rsidRPr="000E5786" w:rsidRDefault="004C127E" w:rsidP="00DD60F0">
            <w:pPr>
              <w:rPr>
                <w:rFonts w:cs="Arial"/>
                <w:szCs w:val="20"/>
              </w:rPr>
            </w:pPr>
            <w:r w:rsidRPr="000E5786">
              <w:rPr>
                <w:rFonts w:cs="Arial"/>
                <w:szCs w:val="20"/>
              </w:rPr>
              <w:t xml:space="preserve">632 </w:t>
            </w:r>
          </w:p>
        </w:tc>
        <w:tc>
          <w:tcPr>
            <w:tcW w:w="709" w:type="dxa"/>
            <w:tcBorders>
              <w:top w:val="nil"/>
              <w:left w:val="nil"/>
              <w:bottom w:val="single" w:sz="8" w:space="0" w:color="auto"/>
              <w:right w:val="single" w:sz="8" w:space="0" w:color="auto"/>
            </w:tcBorders>
            <w:shd w:val="clear" w:color="000000" w:fill="FFFF00"/>
            <w:noWrap/>
            <w:vAlign w:val="bottom"/>
            <w:hideMark/>
          </w:tcPr>
          <w:p w14:paraId="781A222F" w14:textId="04157CA0"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8" w:space="0" w:color="auto"/>
              <w:right w:val="single" w:sz="4" w:space="0" w:color="auto"/>
            </w:tcBorders>
            <w:shd w:val="clear" w:color="000000" w:fill="FFFF00"/>
            <w:noWrap/>
            <w:vAlign w:val="bottom"/>
            <w:hideMark/>
          </w:tcPr>
          <w:p w14:paraId="1D9E4CC7" w14:textId="475AC49D" w:rsidR="004C127E" w:rsidRPr="000E5786" w:rsidRDefault="004C127E" w:rsidP="00DD60F0">
            <w:pPr>
              <w:rPr>
                <w:rFonts w:cs="Arial"/>
                <w:szCs w:val="20"/>
              </w:rPr>
            </w:pPr>
            <w:r w:rsidRPr="000E5786">
              <w:rPr>
                <w:rFonts w:cs="Arial"/>
                <w:szCs w:val="20"/>
              </w:rPr>
              <w:t xml:space="preserve">876 </w:t>
            </w:r>
          </w:p>
        </w:tc>
        <w:tc>
          <w:tcPr>
            <w:tcW w:w="709" w:type="dxa"/>
            <w:tcBorders>
              <w:top w:val="nil"/>
              <w:left w:val="nil"/>
              <w:bottom w:val="single" w:sz="8" w:space="0" w:color="auto"/>
              <w:right w:val="single" w:sz="8" w:space="0" w:color="auto"/>
            </w:tcBorders>
            <w:shd w:val="clear" w:color="000000" w:fill="FFFF00"/>
            <w:noWrap/>
            <w:vAlign w:val="bottom"/>
            <w:hideMark/>
          </w:tcPr>
          <w:p w14:paraId="5CF430C1" w14:textId="0035A79C"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8" w:space="0" w:color="auto"/>
              <w:right w:val="single" w:sz="4" w:space="0" w:color="auto"/>
            </w:tcBorders>
            <w:shd w:val="clear" w:color="000000" w:fill="FFFF00"/>
            <w:noWrap/>
            <w:vAlign w:val="bottom"/>
            <w:hideMark/>
          </w:tcPr>
          <w:p w14:paraId="1EFF3A60" w14:textId="256BC6B8" w:rsidR="004C127E" w:rsidRPr="000E5786" w:rsidRDefault="004C127E" w:rsidP="00DD60F0">
            <w:pPr>
              <w:rPr>
                <w:rFonts w:cs="Arial"/>
                <w:szCs w:val="20"/>
              </w:rPr>
            </w:pPr>
            <w:r w:rsidRPr="000E5786">
              <w:rPr>
                <w:rFonts w:cs="Arial"/>
                <w:szCs w:val="20"/>
              </w:rPr>
              <w:t xml:space="preserve">1,003 </w:t>
            </w:r>
          </w:p>
        </w:tc>
        <w:tc>
          <w:tcPr>
            <w:tcW w:w="708" w:type="dxa"/>
            <w:tcBorders>
              <w:top w:val="nil"/>
              <w:left w:val="nil"/>
              <w:bottom w:val="single" w:sz="8" w:space="0" w:color="auto"/>
              <w:right w:val="single" w:sz="8" w:space="0" w:color="auto"/>
            </w:tcBorders>
            <w:shd w:val="clear" w:color="000000" w:fill="FFFF00"/>
            <w:noWrap/>
            <w:vAlign w:val="bottom"/>
            <w:hideMark/>
          </w:tcPr>
          <w:p w14:paraId="406F3BAF" w14:textId="32B3396B"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8" w:space="0" w:color="auto"/>
              <w:right w:val="single" w:sz="4" w:space="0" w:color="auto"/>
            </w:tcBorders>
            <w:shd w:val="clear" w:color="000000" w:fill="FFFF00"/>
            <w:noWrap/>
            <w:vAlign w:val="bottom"/>
            <w:hideMark/>
          </w:tcPr>
          <w:p w14:paraId="06517501" w14:textId="20AE850E" w:rsidR="004C127E" w:rsidRPr="000E5786" w:rsidRDefault="004C127E" w:rsidP="00DD60F0">
            <w:pPr>
              <w:rPr>
                <w:rFonts w:cs="Arial"/>
                <w:szCs w:val="20"/>
              </w:rPr>
            </w:pPr>
            <w:r w:rsidRPr="000E5786">
              <w:rPr>
                <w:rFonts w:cs="Arial"/>
                <w:szCs w:val="20"/>
              </w:rPr>
              <w:t xml:space="preserve">1,274 </w:t>
            </w:r>
          </w:p>
        </w:tc>
        <w:tc>
          <w:tcPr>
            <w:tcW w:w="709" w:type="dxa"/>
            <w:tcBorders>
              <w:top w:val="nil"/>
              <w:left w:val="nil"/>
              <w:bottom w:val="single" w:sz="8" w:space="0" w:color="auto"/>
              <w:right w:val="single" w:sz="8" w:space="0" w:color="auto"/>
            </w:tcBorders>
            <w:shd w:val="clear" w:color="000000" w:fill="FFFF00"/>
            <w:noWrap/>
            <w:vAlign w:val="bottom"/>
            <w:hideMark/>
          </w:tcPr>
          <w:p w14:paraId="7E026553" w14:textId="623332FD" w:rsidR="004C127E" w:rsidRPr="000E5786" w:rsidRDefault="004C127E" w:rsidP="00DD60F0">
            <w:pPr>
              <w:rPr>
                <w:rFonts w:cs="Arial"/>
                <w:szCs w:val="20"/>
              </w:rPr>
            </w:pPr>
            <w:r w:rsidRPr="000E5786">
              <w:rPr>
                <w:rFonts w:cs="Arial"/>
                <w:szCs w:val="20"/>
              </w:rPr>
              <w:t xml:space="preserve">414 </w:t>
            </w:r>
          </w:p>
        </w:tc>
        <w:tc>
          <w:tcPr>
            <w:tcW w:w="850" w:type="dxa"/>
            <w:tcBorders>
              <w:top w:val="nil"/>
              <w:left w:val="nil"/>
              <w:bottom w:val="single" w:sz="8" w:space="0" w:color="auto"/>
              <w:right w:val="single" w:sz="4" w:space="0" w:color="auto"/>
            </w:tcBorders>
            <w:shd w:val="clear" w:color="000000" w:fill="FFFF00"/>
            <w:noWrap/>
            <w:vAlign w:val="bottom"/>
            <w:hideMark/>
          </w:tcPr>
          <w:p w14:paraId="3CF629AC" w14:textId="613809FF" w:rsidR="004C127E" w:rsidRPr="000E5786" w:rsidRDefault="004C127E" w:rsidP="00DD60F0">
            <w:pPr>
              <w:rPr>
                <w:rFonts w:cs="Arial"/>
                <w:szCs w:val="20"/>
              </w:rPr>
            </w:pPr>
            <w:r w:rsidRPr="000E5786">
              <w:rPr>
                <w:rFonts w:cs="Arial"/>
                <w:szCs w:val="20"/>
              </w:rPr>
              <w:t xml:space="preserve">1,498 </w:t>
            </w:r>
          </w:p>
        </w:tc>
        <w:tc>
          <w:tcPr>
            <w:tcW w:w="709" w:type="dxa"/>
            <w:tcBorders>
              <w:top w:val="nil"/>
              <w:left w:val="nil"/>
              <w:bottom w:val="single" w:sz="8" w:space="0" w:color="auto"/>
              <w:right w:val="single" w:sz="8" w:space="0" w:color="auto"/>
            </w:tcBorders>
            <w:shd w:val="clear" w:color="000000" w:fill="FFFF00"/>
            <w:noWrap/>
            <w:vAlign w:val="bottom"/>
            <w:hideMark/>
          </w:tcPr>
          <w:p w14:paraId="4AA98386" w14:textId="3DE45FAB" w:rsidR="004C127E" w:rsidRPr="000E5786" w:rsidRDefault="004C127E" w:rsidP="00DD60F0">
            <w:pPr>
              <w:rPr>
                <w:rFonts w:cs="Arial"/>
                <w:szCs w:val="20"/>
              </w:rPr>
            </w:pPr>
            <w:r w:rsidRPr="000E5786">
              <w:rPr>
                <w:rFonts w:cs="Arial"/>
                <w:szCs w:val="20"/>
              </w:rPr>
              <w:t xml:space="preserve">414 </w:t>
            </w:r>
          </w:p>
        </w:tc>
      </w:tr>
    </w:tbl>
    <w:p w14:paraId="5DAF94AA" w14:textId="6171516C" w:rsidR="00380763" w:rsidRDefault="00380763" w:rsidP="00DD60F0">
      <w:pPr>
        <w:rPr>
          <w:rFonts w:cs="Arial"/>
          <w:bCs/>
          <w:szCs w:val="20"/>
        </w:rPr>
      </w:pPr>
    </w:p>
    <w:p w14:paraId="534D953E" w14:textId="77777777" w:rsidR="00380763" w:rsidRDefault="00380763">
      <w:pPr>
        <w:rPr>
          <w:rFonts w:cs="Arial"/>
          <w:bCs/>
          <w:szCs w:val="20"/>
        </w:rPr>
      </w:pPr>
      <w:r>
        <w:rPr>
          <w:rFonts w:cs="Arial"/>
          <w:bCs/>
          <w:szCs w:val="20"/>
        </w:rPr>
        <w:br w:type="page"/>
      </w:r>
    </w:p>
    <w:p w14:paraId="1F5A2CB1" w14:textId="77777777" w:rsidR="004C127E" w:rsidRPr="000E5786" w:rsidRDefault="004C127E" w:rsidP="00DD60F0">
      <w:pPr>
        <w:rPr>
          <w:rFonts w:cs="Arial"/>
          <w:bCs/>
          <w:szCs w:val="20"/>
        </w:rPr>
      </w:pPr>
    </w:p>
    <w:tbl>
      <w:tblPr>
        <w:tblW w:w="14884" w:type="dxa"/>
        <w:tblInd w:w="-426" w:type="dxa"/>
        <w:tblLayout w:type="fixed"/>
        <w:tblLook w:val="04A0" w:firstRow="1" w:lastRow="0" w:firstColumn="1" w:lastColumn="0" w:noHBand="0" w:noVBand="1"/>
      </w:tblPr>
      <w:tblGrid>
        <w:gridCol w:w="710"/>
        <w:gridCol w:w="1559"/>
        <w:gridCol w:w="1559"/>
        <w:gridCol w:w="992"/>
        <w:gridCol w:w="567"/>
        <w:gridCol w:w="708"/>
        <w:gridCol w:w="567"/>
        <w:gridCol w:w="709"/>
        <w:gridCol w:w="567"/>
        <w:gridCol w:w="709"/>
        <w:gridCol w:w="850"/>
        <w:gridCol w:w="709"/>
        <w:gridCol w:w="851"/>
        <w:gridCol w:w="708"/>
        <w:gridCol w:w="851"/>
        <w:gridCol w:w="709"/>
        <w:gridCol w:w="850"/>
        <w:gridCol w:w="709"/>
      </w:tblGrid>
      <w:tr w:rsidR="000549F2" w:rsidRPr="000E5786" w14:paraId="0CA98FA9" w14:textId="77777777" w:rsidTr="006E7B8A">
        <w:trPr>
          <w:trHeight w:val="225"/>
        </w:trPr>
        <w:tc>
          <w:tcPr>
            <w:tcW w:w="710" w:type="dxa"/>
            <w:tcBorders>
              <w:top w:val="nil"/>
              <w:left w:val="nil"/>
              <w:bottom w:val="nil"/>
              <w:right w:val="nil"/>
            </w:tcBorders>
            <w:shd w:val="clear" w:color="000000" w:fill="FFFFFF"/>
            <w:noWrap/>
            <w:vAlign w:val="bottom"/>
            <w:hideMark/>
          </w:tcPr>
          <w:p w14:paraId="33E7295B" w14:textId="77777777" w:rsidR="004C127E" w:rsidRPr="000E5786" w:rsidRDefault="004C127E" w:rsidP="00DD60F0">
            <w:pPr>
              <w:rPr>
                <w:rFonts w:cs="Arial"/>
                <w:szCs w:val="20"/>
              </w:rPr>
            </w:pPr>
            <w:r w:rsidRPr="000E5786">
              <w:rPr>
                <w:rFonts w:cs="Arial"/>
                <w:szCs w:val="20"/>
              </w:rPr>
              <w:t> </w:t>
            </w:r>
          </w:p>
        </w:tc>
        <w:tc>
          <w:tcPr>
            <w:tcW w:w="1559" w:type="dxa"/>
            <w:tcBorders>
              <w:top w:val="nil"/>
              <w:left w:val="nil"/>
              <w:bottom w:val="nil"/>
              <w:right w:val="nil"/>
            </w:tcBorders>
            <w:shd w:val="clear" w:color="000000" w:fill="FFFFFF"/>
            <w:noWrap/>
            <w:vAlign w:val="bottom"/>
            <w:hideMark/>
          </w:tcPr>
          <w:p w14:paraId="462A5B9B" w14:textId="77777777" w:rsidR="004C127E" w:rsidRPr="000E5786" w:rsidRDefault="004C127E" w:rsidP="00DD60F0">
            <w:pPr>
              <w:rPr>
                <w:rFonts w:cs="Arial"/>
                <w:szCs w:val="20"/>
              </w:rPr>
            </w:pPr>
            <w:r w:rsidRPr="000E5786">
              <w:rPr>
                <w:rFonts w:cs="Arial"/>
                <w:szCs w:val="20"/>
              </w:rPr>
              <w:t> </w:t>
            </w:r>
          </w:p>
        </w:tc>
        <w:tc>
          <w:tcPr>
            <w:tcW w:w="1559" w:type="dxa"/>
            <w:tcBorders>
              <w:top w:val="nil"/>
              <w:left w:val="nil"/>
              <w:bottom w:val="nil"/>
              <w:right w:val="nil"/>
            </w:tcBorders>
            <w:shd w:val="clear" w:color="000000" w:fill="FFFFFF"/>
            <w:noWrap/>
            <w:vAlign w:val="bottom"/>
            <w:hideMark/>
          </w:tcPr>
          <w:p w14:paraId="62091117" w14:textId="77777777" w:rsidR="004C127E" w:rsidRPr="000E5786" w:rsidRDefault="004C127E" w:rsidP="00DD60F0">
            <w:pPr>
              <w:rPr>
                <w:rFonts w:cs="Arial"/>
                <w:szCs w:val="20"/>
              </w:rPr>
            </w:pPr>
            <w:r w:rsidRPr="000E5786">
              <w:rPr>
                <w:rFonts w:cs="Arial"/>
                <w:szCs w:val="20"/>
              </w:rPr>
              <w:t> </w:t>
            </w:r>
          </w:p>
        </w:tc>
        <w:tc>
          <w:tcPr>
            <w:tcW w:w="992"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14:paraId="10E179A6" w14:textId="77777777" w:rsidR="004C127E" w:rsidRPr="000E5786" w:rsidRDefault="004C127E" w:rsidP="006E7B8A">
            <w:pPr>
              <w:ind w:left="0" w:firstLine="0"/>
              <w:jc w:val="center"/>
              <w:rPr>
                <w:rFonts w:cs="Arial"/>
                <w:b/>
                <w:bCs/>
                <w:szCs w:val="20"/>
              </w:rPr>
            </w:pPr>
            <w:r w:rsidRPr="000E5786">
              <w:rPr>
                <w:rFonts w:cs="Arial"/>
                <w:b/>
                <w:bCs/>
                <w:szCs w:val="20"/>
              </w:rPr>
              <w:t xml:space="preserve">SFIA </w:t>
            </w:r>
            <w:r w:rsidRPr="006E7B8A">
              <w:rPr>
                <w:rFonts w:cs="Arial"/>
                <w:b/>
                <w:bCs/>
                <w:szCs w:val="20"/>
              </w:rPr>
              <w:t>CODE</w:t>
            </w:r>
          </w:p>
        </w:tc>
        <w:tc>
          <w:tcPr>
            <w:tcW w:w="1275" w:type="dxa"/>
            <w:gridSpan w:val="2"/>
            <w:tcBorders>
              <w:top w:val="single" w:sz="8" w:space="0" w:color="auto"/>
              <w:left w:val="nil"/>
              <w:bottom w:val="single" w:sz="4" w:space="0" w:color="auto"/>
              <w:right w:val="single" w:sz="8" w:space="0" w:color="000000"/>
            </w:tcBorders>
            <w:shd w:val="clear" w:color="000000" w:fill="FFFFFF"/>
            <w:noWrap/>
            <w:vAlign w:val="center"/>
            <w:hideMark/>
          </w:tcPr>
          <w:p w14:paraId="35048410" w14:textId="77777777" w:rsidR="004C127E" w:rsidRPr="000E5786" w:rsidRDefault="004C127E" w:rsidP="00DD60F0">
            <w:pPr>
              <w:jc w:val="center"/>
              <w:rPr>
                <w:rFonts w:cs="Arial"/>
                <w:b/>
                <w:bCs/>
                <w:szCs w:val="20"/>
              </w:rPr>
            </w:pPr>
            <w:r w:rsidRPr="000E5786">
              <w:rPr>
                <w:rFonts w:cs="Arial"/>
                <w:b/>
                <w:bCs/>
                <w:szCs w:val="20"/>
              </w:rPr>
              <w:t>1</w:t>
            </w:r>
          </w:p>
        </w:tc>
        <w:tc>
          <w:tcPr>
            <w:tcW w:w="1276" w:type="dxa"/>
            <w:gridSpan w:val="2"/>
            <w:tcBorders>
              <w:top w:val="single" w:sz="8" w:space="0" w:color="auto"/>
              <w:left w:val="nil"/>
              <w:bottom w:val="single" w:sz="4" w:space="0" w:color="auto"/>
              <w:right w:val="single" w:sz="8" w:space="0" w:color="000000"/>
            </w:tcBorders>
            <w:shd w:val="clear" w:color="000000" w:fill="FFFFFF"/>
            <w:noWrap/>
            <w:vAlign w:val="center"/>
            <w:hideMark/>
          </w:tcPr>
          <w:p w14:paraId="094B1A7B" w14:textId="77777777" w:rsidR="004C127E" w:rsidRPr="000E5786" w:rsidRDefault="004C127E" w:rsidP="00DD60F0">
            <w:pPr>
              <w:jc w:val="center"/>
              <w:rPr>
                <w:rFonts w:cs="Arial"/>
                <w:b/>
                <w:bCs/>
                <w:szCs w:val="20"/>
              </w:rPr>
            </w:pPr>
            <w:r w:rsidRPr="000E5786">
              <w:rPr>
                <w:rFonts w:cs="Arial"/>
                <w:b/>
                <w:bCs/>
                <w:szCs w:val="20"/>
              </w:rPr>
              <w:t>2</w:t>
            </w:r>
          </w:p>
        </w:tc>
        <w:tc>
          <w:tcPr>
            <w:tcW w:w="1276" w:type="dxa"/>
            <w:gridSpan w:val="2"/>
            <w:tcBorders>
              <w:top w:val="single" w:sz="8" w:space="0" w:color="auto"/>
              <w:left w:val="nil"/>
              <w:bottom w:val="single" w:sz="4" w:space="0" w:color="auto"/>
              <w:right w:val="single" w:sz="8" w:space="0" w:color="000000"/>
            </w:tcBorders>
            <w:shd w:val="clear" w:color="000000" w:fill="FFFFFF"/>
            <w:noWrap/>
            <w:vAlign w:val="center"/>
            <w:hideMark/>
          </w:tcPr>
          <w:p w14:paraId="21438ACC" w14:textId="77777777" w:rsidR="004C127E" w:rsidRPr="000E5786" w:rsidRDefault="004C127E" w:rsidP="00DD60F0">
            <w:pPr>
              <w:jc w:val="center"/>
              <w:rPr>
                <w:rFonts w:cs="Arial"/>
                <w:b/>
                <w:bCs/>
                <w:szCs w:val="20"/>
              </w:rPr>
            </w:pPr>
            <w:r w:rsidRPr="000E5786">
              <w:rPr>
                <w:rFonts w:cs="Arial"/>
                <w:b/>
                <w:bCs/>
                <w:szCs w:val="20"/>
              </w:rPr>
              <w:t>3</w:t>
            </w:r>
          </w:p>
        </w:tc>
        <w:tc>
          <w:tcPr>
            <w:tcW w:w="1559" w:type="dxa"/>
            <w:gridSpan w:val="2"/>
            <w:tcBorders>
              <w:top w:val="single" w:sz="8" w:space="0" w:color="auto"/>
              <w:left w:val="nil"/>
              <w:bottom w:val="single" w:sz="4" w:space="0" w:color="auto"/>
              <w:right w:val="single" w:sz="8" w:space="0" w:color="000000"/>
            </w:tcBorders>
            <w:shd w:val="clear" w:color="000000" w:fill="FFFFFF"/>
            <w:noWrap/>
            <w:vAlign w:val="center"/>
            <w:hideMark/>
          </w:tcPr>
          <w:p w14:paraId="37306ABC" w14:textId="77777777" w:rsidR="004C127E" w:rsidRPr="000E5786" w:rsidRDefault="004C127E" w:rsidP="00DD60F0">
            <w:pPr>
              <w:jc w:val="center"/>
              <w:rPr>
                <w:rFonts w:cs="Arial"/>
                <w:b/>
                <w:bCs/>
                <w:szCs w:val="20"/>
              </w:rPr>
            </w:pPr>
            <w:r w:rsidRPr="000E5786">
              <w:rPr>
                <w:rFonts w:cs="Arial"/>
                <w:b/>
                <w:bCs/>
                <w:szCs w:val="20"/>
              </w:rPr>
              <w:t>4</w:t>
            </w:r>
          </w:p>
        </w:tc>
        <w:tc>
          <w:tcPr>
            <w:tcW w:w="1559" w:type="dxa"/>
            <w:gridSpan w:val="2"/>
            <w:tcBorders>
              <w:top w:val="single" w:sz="8" w:space="0" w:color="auto"/>
              <w:left w:val="nil"/>
              <w:bottom w:val="single" w:sz="4" w:space="0" w:color="auto"/>
              <w:right w:val="single" w:sz="8" w:space="0" w:color="000000"/>
            </w:tcBorders>
            <w:shd w:val="clear" w:color="000000" w:fill="FFFFFF"/>
            <w:noWrap/>
            <w:vAlign w:val="center"/>
            <w:hideMark/>
          </w:tcPr>
          <w:p w14:paraId="577B71BB" w14:textId="77777777" w:rsidR="004C127E" w:rsidRPr="000E5786" w:rsidRDefault="004C127E" w:rsidP="00DD60F0">
            <w:pPr>
              <w:jc w:val="center"/>
              <w:rPr>
                <w:rFonts w:cs="Arial"/>
                <w:b/>
                <w:bCs/>
                <w:szCs w:val="20"/>
              </w:rPr>
            </w:pPr>
            <w:r w:rsidRPr="000E5786">
              <w:rPr>
                <w:rFonts w:cs="Arial"/>
                <w:b/>
                <w:bCs/>
                <w:szCs w:val="20"/>
              </w:rPr>
              <w:t>5</w:t>
            </w:r>
          </w:p>
        </w:tc>
        <w:tc>
          <w:tcPr>
            <w:tcW w:w="1560" w:type="dxa"/>
            <w:gridSpan w:val="2"/>
            <w:tcBorders>
              <w:top w:val="single" w:sz="8" w:space="0" w:color="auto"/>
              <w:left w:val="nil"/>
              <w:bottom w:val="single" w:sz="4" w:space="0" w:color="auto"/>
              <w:right w:val="single" w:sz="8" w:space="0" w:color="000000"/>
            </w:tcBorders>
            <w:shd w:val="clear" w:color="000000" w:fill="FFFFFF"/>
            <w:noWrap/>
            <w:vAlign w:val="center"/>
            <w:hideMark/>
          </w:tcPr>
          <w:p w14:paraId="35C6FF0E" w14:textId="77777777" w:rsidR="004C127E" w:rsidRPr="000E5786" w:rsidRDefault="004C127E" w:rsidP="00DD60F0">
            <w:pPr>
              <w:jc w:val="center"/>
              <w:rPr>
                <w:rFonts w:cs="Arial"/>
                <w:b/>
                <w:bCs/>
                <w:szCs w:val="20"/>
              </w:rPr>
            </w:pPr>
            <w:r w:rsidRPr="000E5786">
              <w:rPr>
                <w:rFonts w:cs="Arial"/>
                <w:b/>
                <w:bCs/>
                <w:szCs w:val="20"/>
              </w:rPr>
              <w:t>6</w:t>
            </w:r>
          </w:p>
        </w:tc>
        <w:tc>
          <w:tcPr>
            <w:tcW w:w="1559" w:type="dxa"/>
            <w:gridSpan w:val="2"/>
            <w:tcBorders>
              <w:top w:val="single" w:sz="8" w:space="0" w:color="auto"/>
              <w:left w:val="nil"/>
              <w:bottom w:val="single" w:sz="4" w:space="0" w:color="auto"/>
              <w:right w:val="single" w:sz="8" w:space="0" w:color="000000"/>
            </w:tcBorders>
            <w:shd w:val="clear" w:color="000000" w:fill="FFFFFF"/>
            <w:noWrap/>
            <w:vAlign w:val="center"/>
            <w:hideMark/>
          </w:tcPr>
          <w:p w14:paraId="2E339A0C" w14:textId="77777777" w:rsidR="004C127E" w:rsidRPr="000E5786" w:rsidRDefault="004C127E" w:rsidP="00DD60F0">
            <w:pPr>
              <w:jc w:val="center"/>
              <w:rPr>
                <w:rFonts w:cs="Arial"/>
                <w:b/>
                <w:bCs/>
                <w:szCs w:val="20"/>
              </w:rPr>
            </w:pPr>
            <w:r w:rsidRPr="000E5786">
              <w:rPr>
                <w:rFonts w:cs="Arial"/>
                <w:b/>
                <w:bCs/>
                <w:szCs w:val="20"/>
              </w:rPr>
              <w:t>7</w:t>
            </w:r>
          </w:p>
        </w:tc>
      </w:tr>
      <w:tr w:rsidR="000549F2" w:rsidRPr="000E5786" w14:paraId="4259237A" w14:textId="77777777" w:rsidTr="006E7B8A">
        <w:trPr>
          <w:trHeight w:val="225"/>
        </w:trPr>
        <w:tc>
          <w:tcPr>
            <w:tcW w:w="710" w:type="dxa"/>
            <w:tcBorders>
              <w:top w:val="nil"/>
              <w:left w:val="nil"/>
              <w:bottom w:val="nil"/>
              <w:right w:val="nil"/>
            </w:tcBorders>
            <w:shd w:val="clear" w:color="000000" w:fill="FFFFFF"/>
            <w:noWrap/>
            <w:vAlign w:val="bottom"/>
            <w:hideMark/>
          </w:tcPr>
          <w:p w14:paraId="5FF8FCF1" w14:textId="77777777" w:rsidR="004C127E" w:rsidRPr="000E5786" w:rsidRDefault="004C127E" w:rsidP="00DD60F0">
            <w:pPr>
              <w:rPr>
                <w:rFonts w:cs="Arial"/>
                <w:szCs w:val="20"/>
              </w:rPr>
            </w:pPr>
            <w:r w:rsidRPr="000E5786">
              <w:rPr>
                <w:rFonts w:cs="Arial"/>
                <w:szCs w:val="20"/>
              </w:rPr>
              <w:t> </w:t>
            </w:r>
          </w:p>
        </w:tc>
        <w:tc>
          <w:tcPr>
            <w:tcW w:w="1559" w:type="dxa"/>
            <w:tcBorders>
              <w:top w:val="nil"/>
              <w:left w:val="nil"/>
              <w:bottom w:val="nil"/>
              <w:right w:val="nil"/>
            </w:tcBorders>
            <w:shd w:val="clear" w:color="000000" w:fill="FFFFFF"/>
            <w:noWrap/>
            <w:vAlign w:val="bottom"/>
            <w:hideMark/>
          </w:tcPr>
          <w:p w14:paraId="6E0C8C61" w14:textId="77777777" w:rsidR="004C127E" w:rsidRPr="000E5786" w:rsidRDefault="004C127E" w:rsidP="00DD60F0">
            <w:pPr>
              <w:rPr>
                <w:rFonts w:cs="Arial"/>
                <w:szCs w:val="20"/>
              </w:rPr>
            </w:pPr>
            <w:r w:rsidRPr="000E5786">
              <w:rPr>
                <w:rFonts w:cs="Arial"/>
                <w:szCs w:val="20"/>
              </w:rPr>
              <w:t> </w:t>
            </w:r>
          </w:p>
        </w:tc>
        <w:tc>
          <w:tcPr>
            <w:tcW w:w="1559" w:type="dxa"/>
            <w:tcBorders>
              <w:top w:val="nil"/>
              <w:left w:val="nil"/>
              <w:bottom w:val="nil"/>
              <w:right w:val="nil"/>
            </w:tcBorders>
            <w:shd w:val="clear" w:color="000000" w:fill="FFFFFF"/>
            <w:noWrap/>
            <w:vAlign w:val="bottom"/>
            <w:hideMark/>
          </w:tcPr>
          <w:p w14:paraId="7272557A" w14:textId="77777777" w:rsidR="004C127E" w:rsidRPr="000E5786" w:rsidRDefault="004C127E" w:rsidP="00DD60F0">
            <w:pPr>
              <w:rPr>
                <w:rFonts w:cs="Arial"/>
                <w:szCs w:val="20"/>
              </w:rPr>
            </w:pPr>
            <w:r w:rsidRPr="000E5786">
              <w:rPr>
                <w:rFonts w:cs="Arial"/>
                <w:szCs w:val="20"/>
              </w:rPr>
              <w:t> </w:t>
            </w:r>
          </w:p>
        </w:tc>
        <w:tc>
          <w:tcPr>
            <w:tcW w:w="992" w:type="dxa"/>
            <w:vMerge/>
            <w:tcBorders>
              <w:top w:val="single" w:sz="8" w:space="0" w:color="auto"/>
              <w:left w:val="single" w:sz="8" w:space="0" w:color="auto"/>
              <w:bottom w:val="single" w:sz="8" w:space="0" w:color="000000"/>
              <w:right w:val="single" w:sz="8" w:space="0" w:color="auto"/>
            </w:tcBorders>
            <w:vAlign w:val="center"/>
            <w:hideMark/>
          </w:tcPr>
          <w:p w14:paraId="27462D6C" w14:textId="77777777" w:rsidR="004C127E" w:rsidRPr="000E5786" w:rsidRDefault="004C127E" w:rsidP="00DD60F0">
            <w:pPr>
              <w:rPr>
                <w:rFonts w:cs="Arial"/>
                <w:b/>
                <w:bCs/>
                <w:szCs w:val="20"/>
              </w:rPr>
            </w:pPr>
          </w:p>
        </w:tc>
        <w:tc>
          <w:tcPr>
            <w:tcW w:w="1275" w:type="dxa"/>
            <w:gridSpan w:val="2"/>
            <w:tcBorders>
              <w:top w:val="single" w:sz="4" w:space="0" w:color="auto"/>
              <w:left w:val="nil"/>
              <w:bottom w:val="single" w:sz="4" w:space="0" w:color="auto"/>
              <w:right w:val="single" w:sz="8" w:space="0" w:color="000000"/>
            </w:tcBorders>
            <w:shd w:val="clear" w:color="000000" w:fill="FFFFFF"/>
            <w:vAlign w:val="center"/>
            <w:hideMark/>
          </w:tcPr>
          <w:p w14:paraId="4A4944B4" w14:textId="77777777" w:rsidR="004C127E" w:rsidRPr="000E5786" w:rsidRDefault="004C127E" w:rsidP="00DD60F0">
            <w:pPr>
              <w:jc w:val="center"/>
              <w:rPr>
                <w:rFonts w:cs="Arial"/>
                <w:b/>
                <w:bCs/>
                <w:szCs w:val="20"/>
              </w:rPr>
            </w:pPr>
            <w:r w:rsidRPr="000E5786">
              <w:rPr>
                <w:rFonts w:cs="Arial"/>
                <w:b/>
                <w:bCs/>
                <w:szCs w:val="20"/>
              </w:rPr>
              <w:t>Follow</w:t>
            </w:r>
          </w:p>
        </w:tc>
        <w:tc>
          <w:tcPr>
            <w:tcW w:w="1276" w:type="dxa"/>
            <w:gridSpan w:val="2"/>
            <w:tcBorders>
              <w:top w:val="single" w:sz="4" w:space="0" w:color="auto"/>
              <w:left w:val="nil"/>
              <w:bottom w:val="single" w:sz="4" w:space="0" w:color="auto"/>
              <w:right w:val="single" w:sz="8" w:space="0" w:color="000000"/>
            </w:tcBorders>
            <w:shd w:val="clear" w:color="000000" w:fill="FFFFFF"/>
            <w:vAlign w:val="center"/>
            <w:hideMark/>
          </w:tcPr>
          <w:p w14:paraId="77DD7744" w14:textId="77777777" w:rsidR="004C127E" w:rsidRPr="000E5786" w:rsidRDefault="004C127E" w:rsidP="00DD60F0">
            <w:pPr>
              <w:jc w:val="center"/>
              <w:rPr>
                <w:rFonts w:cs="Arial"/>
                <w:b/>
                <w:bCs/>
                <w:szCs w:val="20"/>
              </w:rPr>
            </w:pPr>
            <w:r w:rsidRPr="000E5786">
              <w:rPr>
                <w:rFonts w:cs="Arial"/>
                <w:b/>
                <w:bCs/>
                <w:szCs w:val="20"/>
              </w:rPr>
              <w:t>Assist</w:t>
            </w:r>
          </w:p>
        </w:tc>
        <w:tc>
          <w:tcPr>
            <w:tcW w:w="1276" w:type="dxa"/>
            <w:gridSpan w:val="2"/>
            <w:tcBorders>
              <w:top w:val="single" w:sz="4" w:space="0" w:color="auto"/>
              <w:left w:val="nil"/>
              <w:bottom w:val="single" w:sz="4" w:space="0" w:color="auto"/>
              <w:right w:val="single" w:sz="8" w:space="0" w:color="000000"/>
            </w:tcBorders>
            <w:shd w:val="clear" w:color="000000" w:fill="FFFFFF"/>
            <w:vAlign w:val="center"/>
            <w:hideMark/>
          </w:tcPr>
          <w:p w14:paraId="06356FA8" w14:textId="77777777" w:rsidR="004C127E" w:rsidRPr="000E5786" w:rsidRDefault="004C127E" w:rsidP="00DD60F0">
            <w:pPr>
              <w:jc w:val="center"/>
              <w:rPr>
                <w:rFonts w:cs="Arial"/>
                <w:b/>
                <w:bCs/>
                <w:szCs w:val="20"/>
              </w:rPr>
            </w:pPr>
            <w:r w:rsidRPr="000E5786">
              <w:rPr>
                <w:rFonts w:cs="Arial"/>
                <w:b/>
                <w:bCs/>
                <w:szCs w:val="20"/>
              </w:rPr>
              <w:t>Apply</w:t>
            </w:r>
          </w:p>
        </w:tc>
        <w:tc>
          <w:tcPr>
            <w:tcW w:w="1559" w:type="dxa"/>
            <w:gridSpan w:val="2"/>
            <w:tcBorders>
              <w:top w:val="single" w:sz="4" w:space="0" w:color="auto"/>
              <w:left w:val="nil"/>
              <w:bottom w:val="single" w:sz="4" w:space="0" w:color="auto"/>
              <w:right w:val="single" w:sz="8" w:space="0" w:color="000000"/>
            </w:tcBorders>
            <w:shd w:val="clear" w:color="000000" w:fill="FFFFFF"/>
            <w:vAlign w:val="center"/>
            <w:hideMark/>
          </w:tcPr>
          <w:p w14:paraId="4B092E90" w14:textId="77777777" w:rsidR="004C127E" w:rsidRPr="000E5786" w:rsidRDefault="004C127E" w:rsidP="00DD60F0">
            <w:pPr>
              <w:jc w:val="center"/>
              <w:rPr>
                <w:rFonts w:cs="Arial"/>
                <w:b/>
                <w:bCs/>
                <w:szCs w:val="20"/>
              </w:rPr>
            </w:pPr>
            <w:r w:rsidRPr="000E5786">
              <w:rPr>
                <w:rFonts w:cs="Arial"/>
                <w:b/>
                <w:bCs/>
                <w:szCs w:val="20"/>
              </w:rPr>
              <w:t>Enable</w:t>
            </w:r>
          </w:p>
        </w:tc>
        <w:tc>
          <w:tcPr>
            <w:tcW w:w="1559" w:type="dxa"/>
            <w:gridSpan w:val="2"/>
            <w:tcBorders>
              <w:top w:val="single" w:sz="4" w:space="0" w:color="auto"/>
              <w:left w:val="nil"/>
              <w:bottom w:val="single" w:sz="4" w:space="0" w:color="auto"/>
              <w:right w:val="single" w:sz="8" w:space="0" w:color="000000"/>
            </w:tcBorders>
            <w:shd w:val="clear" w:color="000000" w:fill="FFFFFF"/>
            <w:vAlign w:val="center"/>
            <w:hideMark/>
          </w:tcPr>
          <w:p w14:paraId="3A4C1C6F" w14:textId="77777777" w:rsidR="004C127E" w:rsidRPr="000E5786" w:rsidRDefault="004C127E" w:rsidP="00DD60F0">
            <w:pPr>
              <w:jc w:val="center"/>
              <w:rPr>
                <w:rFonts w:cs="Arial"/>
                <w:b/>
                <w:bCs/>
                <w:szCs w:val="20"/>
              </w:rPr>
            </w:pPr>
            <w:r w:rsidRPr="000E5786">
              <w:rPr>
                <w:rFonts w:cs="Arial"/>
                <w:b/>
                <w:bCs/>
                <w:szCs w:val="20"/>
              </w:rPr>
              <w:t>Ensure, advise</w:t>
            </w:r>
          </w:p>
        </w:tc>
        <w:tc>
          <w:tcPr>
            <w:tcW w:w="1560" w:type="dxa"/>
            <w:gridSpan w:val="2"/>
            <w:tcBorders>
              <w:top w:val="single" w:sz="4" w:space="0" w:color="auto"/>
              <w:left w:val="nil"/>
              <w:bottom w:val="single" w:sz="4" w:space="0" w:color="auto"/>
              <w:right w:val="single" w:sz="8" w:space="0" w:color="000000"/>
            </w:tcBorders>
            <w:shd w:val="clear" w:color="000000" w:fill="FFFFFF"/>
            <w:vAlign w:val="center"/>
            <w:hideMark/>
          </w:tcPr>
          <w:p w14:paraId="14EBAB2A" w14:textId="77777777" w:rsidR="004C127E" w:rsidRPr="000E5786" w:rsidRDefault="004C127E" w:rsidP="00DD60F0">
            <w:pPr>
              <w:jc w:val="center"/>
              <w:rPr>
                <w:rFonts w:cs="Arial"/>
                <w:b/>
                <w:bCs/>
                <w:szCs w:val="20"/>
              </w:rPr>
            </w:pPr>
            <w:r w:rsidRPr="000E5786">
              <w:rPr>
                <w:rFonts w:cs="Arial"/>
                <w:b/>
                <w:bCs/>
                <w:szCs w:val="20"/>
              </w:rPr>
              <w:t>Initiate</w:t>
            </w:r>
          </w:p>
        </w:tc>
        <w:tc>
          <w:tcPr>
            <w:tcW w:w="1559" w:type="dxa"/>
            <w:gridSpan w:val="2"/>
            <w:tcBorders>
              <w:top w:val="single" w:sz="4" w:space="0" w:color="auto"/>
              <w:left w:val="nil"/>
              <w:bottom w:val="single" w:sz="4" w:space="0" w:color="auto"/>
              <w:right w:val="single" w:sz="8" w:space="0" w:color="000000"/>
            </w:tcBorders>
            <w:shd w:val="clear" w:color="000000" w:fill="FFFFFF"/>
            <w:vAlign w:val="center"/>
            <w:hideMark/>
          </w:tcPr>
          <w:p w14:paraId="30121FC2" w14:textId="77777777" w:rsidR="004C127E" w:rsidRPr="000E5786" w:rsidRDefault="004C127E" w:rsidP="00DD60F0">
            <w:pPr>
              <w:jc w:val="center"/>
              <w:rPr>
                <w:rFonts w:cs="Arial"/>
                <w:b/>
                <w:bCs/>
                <w:szCs w:val="20"/>
              </w:rPr>
            </w:pPr>
            <w:r w:rsidRPr="000E5786">
              <w:rPr>
                <w:rFonts w:cs="Arial"/>
                <w:b/>
                <w:bCs/>
                <w:szCs w:val="20"/>
              </w:rPr>
              <w:t>Set strategy</w:t>
            </w:r>
          </w:p>
        </w:tc>
      </w:tr>
      <w:tr w:rsidR="000549F2" w:rsidRPr="000E5786" w14:paraId="3F925909" w14:textId="77777777" w:rsidTr="006E7B8A">
        <w:trPr>
          <w:trHeight w:val="240"/>
        </w:trPr>
        <w:tc>
          <w:tcPr>
            <w:tcW w:w="710" w:type="dxa"/>
            <w:tcBorders>
              <w:top w:val="nil"/>
              <w:left w:val="nil"/>
              <w:bottom w:val="nil"/>
              <w:right w:val="nil"/>
            </w:tcBorders>
            <w:shd w:val="clear" w:color="000000" w:fill="FFFFFF"/>
            <w:noWrap/>
            <w:vAlign w:val="bottom"/>
            <w:hideMark/>
          </w:tcPr>
          <w:p w14:paraId="70B2DC87" w14:textId="77777777" w:rsidR="004C127E" w:rsidRPr="000E5786" w:rsidRDefault="004C127E" w:rsidP="00DD60F0">
            <w:pPr>
              <w:rPr>
                <w:rFonts w:cs="Arial"/>
                <w:szCs w:val="20"/>
              </w:rPr>
            </w:pPr>
            <w:r w:rsidRPr="000E5786">
              <w:rPr>
                <w:rFonts w:cs="Arial"/>
                <w:szCs w:val="20"/>
              </w:rPr>
              <w:t> </w:t>
            </w:r>
          </w:p>
        </w:tc>
        <w:tc>
          <w:tcPr>
            <w:tcW w:w="1559" w:type="dxa"/>
            <w:tcBorders>
              <w:top w:val="nil"/>
              <w:left w:val="nil"/>
              <w:bottom w:val="nil"/>
              <w:right w:val="nil"/>
            </w:tcBorders>
            <w:shd w:val="clear" w:color="000000" w:fill="FFFFFF"/>
            <w:noWrap/>
            <w:vAlign w:val="bottom"/>
            <w:hideMark/>
          </w:tcPr>
          <w:p w14:paraId="18C325C0" w14:textId="77777777" w:rsidR="004C127E" w:rsidRPr="000E5786" w:rsidRDefault="004C127E" w:rsidP="00DD60F0">
            <w:pPr>
              <w:rPr>
                <w:rFonts w:cs="Arial"/>
                <w:szCs w:val="20"/>
              </w:rPr>
            </w:pPr>
            <w:r w:rsidRPr="000E5786">
              <w:rPr>
                <w:rFonts w:cs="Arial"/>
                <w:szCs w:val="20"/>
              </w:rPr>
              <w:t> </w:t>
            </w:r>
          </w:p>
        </w:tc>
        <w:tc>
          <w:tcPr>
            <w:tcW w:w="1559" w:type="dxa"/>
            <w:tcBorders>
              <w:top w:val="nil"/>
              <w:left w:val="nil"/>
              <w:bottom w:val="nil"/>
              <w:right w:val="nil"/>
            </w:tcBorders>
            <w:shd w:val="clear" w:color="000000" w:fill="FFFFFF"/>
            <w:noWrap/>
            <w:vAlign w:val="bottom"/>
            <w:hideMark/>
          </w:tcPr>
          <w:p w14:paraId="118BF039" w14:textId="77777777" w:rsidR="004C127E" w:rsidRPr="000E5786" w:rsidRDefault="004C127E" w:rsidP="00DD60F0">
            <w:pPr>
              <w:rPr>
                <w:rFonts w:cs="Arial"/>
                <w:szCs w:val="20"/>
              </w:rPr>
            </w:pPr>
            <w:r w:rsidRPr="000E5786">
              <w:rPr>
                <w:rFonts w:cs="Arial"/>
                <w:szCs w:val="20"/>
              </w:rPr>
              <w:t> </w:t>
            </w:r>
          </w:p>
        </w:tc>
        <w:tc>
          <w:tcPr>
            <w:tcW w:w="992" w:type="dxa"/>
            <w:vMerge/>
            <w:tcBorders>
              <w:top w:val="single" w:sz="8" w:space="0" w:color="auto"/>
              <w:left w:val="single" w:sz="8" w:space="0" w:color="auto"/>
              <w:bottom w:val="single" w:sz="8" w:space="0" w:color="000000"/>
              <w:right w:val="single" w:sz="8" w:space="0" w:color="auto"/>
            </w:tcBorders>
            <w:vAlign w:val="center"/>
            <w:hideMark/>
          </w:tcPr>
          <w:p w14:paraId="408B7A65" w14:textId="77777777" w:rsidR="004C127E" w:rsidRPr="000E5786" w:rsidRDefault="004C127E" w:rsidP="00DD60F0">
            <w:pPr>
              <w:rPr>
                <w:rFonts w:cs="Arial"/>
                <w:b/>
                <w:bCs/>
                <w:szCs w:val="20"/>
              </w:rPr>
            </w:pPr>
          </w:p>
        </w:tc>
        <w:tc>
          <w:tcPr>
            <w:tcW w:w="567" w:type="dxa"/>
            <w:tcBorders>
              <w:top w:val="nil"/>
              <w:left w:val="nil"/>
              <w:bottom w:val="nil"/>
              <w:right w:val="single" w:sz="4" w:space="0" w:color="auto"/>
            </w:tcBorders>
            <w:shd w:val="clear" w:color="000000" w:fill="FFFFFF"/>
            <w:vAlign w:val="center"/>
            <w:hideMark/>
          </w:tcPr>
          <w:p w14:paraId="41E35DAB" w14:textId="77777777" w:rsidR="004C127E" w:rsidRPr="000E5786" w:rsidRDefault="004C127E" w:rsidP="00DD60F0">
            <w:pPr>
              <w:jc w:val="center"/>
              <w:rPr>
                <w:rFonts w:cs="Arial"/>
                <w:b/>
                <w:bCs/>
                <w:szCs w:val="20"/>
              </w:rPr>
            </w:pPr>
            <w:r w:rsidRPr="000E5786">
              <w:rPr>
                <w:rFonts w:cs="Arial"/>
                <w:b/>
                <w:bCs/>
                <w:szCs w:val="20"/>
              </w:rPr>
              <w:t>ON</w:t>
            </w:r>
          </w:p>
        </w:tc>
        <w:tc>
          <w:tcPr>
            <w:tcW w:w="708" w:type="dxa"/>
            <w:tcBorders>
              <w:top w:val="nil"/>
              <w:left w:val="nil"/>
              <w:bottom w:val="nil"/>
              <w:right w:val="single" w:sz="8" w:space="0" w:color="auto"/>
            </w:tcBorders>
            <w:shd w:val="clear" w:color="000000" w:fill="FFFFFF"/>
            <w:vAlign w:val="center"/>
            <w:hideMark/>
          </w:tcPr>
          <w:p w14:paraId="4A8D2EF4" w14:textId="77777777" w:rsidR="004C127E" w:rsidRPr="000E5786" w:rsidRDefault="004C127E" w:rsidP="00DD60F0">
            <w:pPr>
              <w:jc w:val="center"/>
              <w:rPr>
                <w:rFonts w:cs="Arial"/>
                <w:b/>
                <w:bCs/>
                <w:szCs w:val="20"/>
              </w:rPr>
            </w:pPr>
            <w:r w:rsidRPr="000E5786">
              <w:rPr>
                <w:rFonts w:cs="Arial"/>
                <w:b/>
                <w:bCs/>
                <w:szCs w:val="20"/>
              </w:rPr>
              <w:t>OFF</w:t>
            </w:r>
          </w:p>
        </w:tc>
        <w:tc>
          <w:tcPr>
            <w:tcW w:w="567" w:type="dxa"/>
            <w:tcBorders>
              <w:top w:val="nil"/>
              <w:left w:val="nil"/>
              <w:bottom w:val="nil"/>
              <w:right w:val="single" w:sz="4" w:space="0" w:color="auto"/>
            </w:tcBorders>
            <w:shd w:val="clear" w:color="000000" w:fill="FFFFFF"/>
            <w:vAlign w:val="center"/>
            <w:hideMark/>
          </w:tcPr>
          <w:p w14:paraId="254F2B92" w14:textId="77777777" w:rsidR="004C127E" w:rsidRPr="000E5786" w:rsidRDefault="004C127E" w:rsidP="00DD60F0">
            <w:pPr>
              <w:jc w:val="center"/>
              <w:rPr>
                <w:rFonts w:cs="Arial"/>
                <w:b/>
                <w:bCs/>
                <w:szCs w:val="20"/>
              </w:rPr>
            </w:pPr>
            <w:r w:rsidRPr="000E5786">
              <w:rPr>
                <w:rFonts w:cs="Arial"/>
                <w:b/>
                <w:bCs/>
                <w:szCs w:val="20"/>
              </w:rPr>
              <w:t>ON</w:t>
            </w:r>
          </w:p>
        </w:tc>
        <w:tc>
          <w:tcPr>
            <w:tcW w:w="709" w:type="dxa"/>
            <w:tcBorders>
              <w:top w:val="nil"/>
              <w:left w:val="nil"/>
              <w:bottom w:val="nil"/>
              <w:right w:val="single" w:sz="8" w:space="0" w:color="auto"/>
            </w:tcBorders>
            <w:shd w:val="clear" w:color="000000" w:fill="FFFFFF"/>
            <w:vAlign w:val="center"/>
            <w:hideMark/>
          </w:tcPr>
          <w:p w14:paraId="69474D37" w14:textId="77777777" w:rsidR="004C127E" w:rsidRPr="000E5786" w:rsidRDefault="004C127E" w:rsidP="00DD60F0">
            <w:pPr>
              <w:jc w:val="center"/>
              <w:rPr>
                <w:rFonts w:cs="Arial"/>
                <w:b/>
                <w:bCs/>
                <w:szCs w:val="20"/>
              </w:rPr>
            </w:pPr>
            <w:r w:rsidRPr="000E5786">
              <w:rPr>
                <w:rFonts w:cs="Arial"/>
                <w:b/>
                <w:bCs/>
                <w:szCs w:val="20"/>
              </w:rPr>
              <w:t>OFF</w:t>
            </w:r>
          </w:p>
        </w:tc>
        <w:tc>
          <w:tcPr>
            <w:tcW w:w="567" w:type="dxa"/>
            <w:tcBorders>
              <w:top w:val="nil"/>
              <w:left w:val="nil"/>
              <w:bottom w:val="nil"/>
              <w:right w:val="single" w:sz="4" w:space="0" w:color="auto"/>
            </w:tcBorders>
            <w:shd w:val="clear" w:color="000000" w:fill="FFFFFF"/>
            <w:vAlign w:val="center"/>
            <w:hideMark/>
          </w:tcPr>
          <w:p w14:paraId="6F6A1443" w14:textId="77777777" w:rsidR="004C127E" w:rsidRPr="000E5786" w:rsidRDefault="004C127E" w:rsidP="00DD60F0">
            <w:pPr>
              <w:jc w:val="center"/>
              <w:rPr>
                <w:rFonts w:cs="Arial"/>
                <w:b/>
                <w:bCs/>
                <w:szCs w:val="20"/>
              </w:rPr>
            </w:pPr>
            <w:r w:rsidRPr="000E5786">
              <w:rPr>
                <w:rFonts w:cs="Arial"/>
                <w:b/>
                <w:bCs/>
                <w:szCs w:val="20"/>
              </w:rPr>
              <w:t>ON</w:t>
            </w:r>
          </w:p>
        </w:tc>
        <w:tc>
          <w:tcPr>
            <w:tcW w:w="709" w:type="dxa"/>
            <w:tcBorders>
              <w:top w:val="nil"/>
              <w:left w:val="nil"/>
              <w:bottom w:val="nil"/>
              <w:right w:val="single" w:sz="8" w:space="0" w:color="auto"/>
            </w:tcBorders>
            <w:shd w:val="clear" w:color="000000" w:fill="FFFFFF"/>
            <w:vAlign w:val="center"/>
            <w:hideMark/>
          </w:tcPr>
          <w:p w14:paraId="53985403" w14:textId="77777777" w:rsidR="004C127E" w:rsidRPr="000E5786" w:rsidRDefault="004C127E" w:rsidP="00DD60F0">
            <w:pPr>
              <w:jc w:val="center"/>
              <w:rPr>
                <w:rFonts w:cs="Arial"/>
                <w:b/>
                <w:bCs/>
                <w:szCs w:val="20"/>
              </w:rPr>
            </w:pPr>
            <w:r w:rsidRPr="000E5786">
              <w:rPr>
                <w:rFonts w:cs="Arial"/>
                <w:b/>
                <w:bCs/>
                <w:szCs w:val="20"/>
              </w:rPr>
              <w:t>OFF</w:t>
            </w:r>
          </w:p>
        </w:tc>
        <w:tc>
          <w:tcPr>
            <w:tcW w:w="850" w:type="dxa"/>
            <w:tcBorders>
              <w:top w:val="nil"/>
              <w:left w:val="nil"/>
              <w:bottom w:val="nil"/>
              <w:right w:val="single" w:sz="4" w:space="0" w:color="auto"/>
            </w:tcBorders>
            <w:shd w:val="clear" w:color="000000" w:fill="FFFFFF"/>
            <w:vAlign w:val="center"/>
            <w:hideMark/>
          </w:tcPr>
          <w:p w14:paraId="15DBD2BB" w14:textId="77777777" w:rsidR="004C127E" w:rsidRPr="000E5786" w:rsidRDefault="004C127E" w:rsidP="00DD60F0">
            <w:pPr>
              <w:jc w:val="center"/>
              <w:rPr>
                <w:rFonts w:cs="Arial"/>
                <w:b/>
                <w:bCs/>
                <w:szCs w:val="20"/>
              </w:rPr>
            </w:pPr>
            <w:r w:rsidRPr="000E5786">
              <w:rPr>
                <w:rFonts w:cs="Arial"/>
                <w:b/>
                <w:bCs/>
                <w:szCs w:val="20"/>
              </w:rPr>
              <w:t>ON</w:t>
            </w:r>
          </w:p>
        </w:tc>
        <w:tc>
          <w:tcPr>
            <w:tcW w:w="709" w:type="dxa"/>
            <w:tcBorders>
              <w:top w:val="nil"/>
              <w:left w:val="nil"/>
              <w:bottom w:val="nil"/>
              <w:right w:val="single" w:sz="8" w:space="0" w:color="auto"/>
            </w:tcBorders>
            <w:shd w:val="clear" w:color="000000" w:fill="FFFFFF"/>
            <w:vAlign w:val="center"/>
            <w:hideMark/>
          </w:tcPr>
          <w:p w14:paraId="2D300908" w14:textId="77777777" w:rsidR="004C127E" w:rsidRPr="000E5786" w:rsidRDefault="004C127E" w:rsidP="00DD60F0">
            <w:pPr>
              <w:jc w:val="center"/>
              <w:rPr>
                <w:rFonts w:cs="Arial"/>
                <w:b/>
                <w:bCs/>
                <w:szCs w:val="20"/>
              </w:rPr>
            </w:pPr>
            <w:r w:rsidRPr="000E5786">
              <w:rPr>
                <w:rFonts w:cs="Arial"/>
                <w:b/>
                <w:bCs/>
                <w:szCs w:val="20"/>
              </w:rPr>
              <w:t>OFF</w:t>
            </w:r>
          </w:p>
        </w:tc>
        <w:tc>
          <w:tcPr>
            <w:tcW w:w="851" w:type="dxa"/>
            <w:tcBorders>
              <w:top w:val="nil"/>
              <w:left w:val="nil"/>
              <w:bottom w:val="nil"/>
              <w:right w:val="single" w:sz="4" w:space="0" w:color="auto"/>
            </w:tcBorders>
            <w:shd w:val="clear" w:color="000000" w:fill="FFFFFF"/>
            <w:vAlign w:val="center"/>
            <w:hideMark/>
          </w:tcPr>
          <w:p w14:paraId="26D73B1E" w14:textId="77777777" w:rsidR="004C127E" w:rsidRPr="000E5786" w:rsidRDefault="004C127E" w:rsidP="00DD60F0">
            <w:pPr>
              <w:jc w:val="center"/>
              <w:rPr>
                <w:rFonts w:cs="Arial"/>
                <w:b/>
                <w:bCs/>
                <w:szCs w:val="20"/>
              </w:rPr>
            </w:pPr>
            <w:r w:rsidRPr="000E5786">
              <w:rPr>
                <w:rFonts w:cs="Arial"/>
                <w:b/>
                <w:bCs/>
                <w:szCs w:val="20"/>
              </w:rPr>
              <w:t>ON</w:t>
            </w:r>
          </w:p>
        </w:tc>
        <w:tc>
          <w:tcPr>
            <w:tcW w:w="708" w:type="dxa"/>
            <w:tcBorders>
              <w:top w:val="nil"/>
              <w:left w:val="nil"/>
              <w:bottom w:val="nil"/>
              <w:right w:val="single" w:sz="8" w:space="0" w:color="auto"/>
            </w:tcBorders>
            <w:shd w:val="clear" w:color="000000" w:fill="FFFFFF"/>
            <w:vAlign w:val="center"/>
            <w:hideMark/>
          </w:tcPr>
          <w:p w14:paraId="2A03C51E" w14:textId="77777777" w:rsidR="004C127E" w:rsidRPr="000E5786" w:rsidRDefault="004C127E" w:rsidP="00DD60F0">
            <w:pPr>
              <w:jc w:val="center"/>
              <w:rPr>
                <w:rFonts w:cs="Arial"/>
                <w:b/>
                <w:bCs/>
                <w:szCs w:val="20"/>
              </w:rPr>
            </w:pPr>
            <w:r w:rsidRPr="000E5786">
              <w:rPr>
                <w:rFonts w:cs="Arial"/>
                <w:b/>
                <w:bCs/>
                <w:szCs w:val="20"/>
              </w:rPr>
              <w:t>OFF</w:t>
            </w:r>
          </w:p>
        </w:tc>
        <w:tc>
          <w:tcPr>
            <w:tcW w:w="851" w:type="dxa"/>
            <w:tcBorders>
              <w:top w:val="nil"/>
              <w:left w:val="nil"/>
              <w:bottom w:val="nil"/>
              <w:right w:val="single" w:sz="4" w:space="0" w:color="auto"/>
            </w:tcBorders>
            <w:shd w:val="clear" w:color="000000" w:fill="FFFFFF"/>
            <w:vAlign w:val="center"/>
            <w:hideMark/>
          </w:tcPr>
          <w:p w14:paraId="6DADD3DB" w14:textId="77777777" w:rsidR="004C127E" w:rsidRPr="000E5786" w:rsidRDefault="004C127E" w:rsidP="00DD60F0">
            <w:pPr>
              <w:jc w:val="center"/>
              <w:rPr>
                <w:rFonts w:cs="Arial"/>
                <w:b/>
                <w:bCs/>
                <w:szCs w:val="20"/>
              </w:rPr>
            </w:pPr>
            <w:r w:rsidRPr="000E5786">
              <w:rPr>
                <w:rFonts w:cs="Arial"/>
                <w:b/>
                <w:bCs/>
                <w:szCs w:val="20"/>
              </w:rPr>
              <w:t>ON</w:t>
            </w:r>
          </w:p>
        </w:tc>
        <w:tc>
          <w:tcPr>
            <w:tcW w:w="709" w:type="dxa"/>
            <w:tcBorders>
              <w:top w:val="nil"/>
              <w:left w:val="nil"/>
              <w:bottom w:val="nil"/>
              <w:right w:val="single" w:sz="8" w:space="0" w:color="auto"/>
            </w:tcBorders>
            <w:shd w:val="clear" w:color="000000" w:fill="FFFFFF"/>
            <w:vAlign w:val="center"/>
            <w:hideMark/>
          </w:tcPr>
          <w:p w14:paraId="40A56F18" w14:textId="77777777" w:rsidR="004C127E" w:rsidRPr="000E5786" w:rsidRDefault="004C127E" w:rsidP="00DD60F0">
            <w:pPr>
              <w:jc w:val="center"/>
              <w:rPr>
                <w:rFonts w:cs="Arial"/>
                <w:b/>
                <w:bCs/>
                <w:szCs w:val="20"/>
              </w:rPr>
            </w:pPr>
            <w:r w:rsidRPr="000E5786">
              <w:rPr>
                <w:rFonts w:cs="Arial"/>
                <w:b/>
                <w:bCs/>
                <w:szCs w:val="20"/>
              </w:rPr>
              <w:t>OFF</w:t>
            </w:r>
          </w:p>
        </w:tc>
        <w:tc>
          <w:tcPr>
            <w:tcW w:w="850" w:type="dxa"/>
            <w:tcBorders>
              <w:top w:val="nil"/>
              <w:left w:val="nil"/>
              <w:bottom w:val="nil"/>
              <w:right w:val="single" w:sz="4" w:space="0" w:color="auto"/>
            </w:tcBorders>
            <w:shd w:val="clear" w:color="000000" w:fill="FFFFFF"/>
            <w:vAlign w:val="center"/>
            <w:hideMark/>
          </w:tcPr>
          <w:p w14:paraId="25A3D359" w14:textId="77777777" w:rsidR="004C127E" w:rsidRPr="000E5786" w:rsidRDefault="004C127E" w:rsidP="00DD60F0">
            <w:pPr>
              <w:jc w:val="center"/>
              <w:rPr>
                <w:rFonts w:cs="Arial"/>
                <w:b/>
                <w:bCs/>
                <w:szCs w:val="20"/>
              </w:rPr>
            </w:pPr>
            <w:r w:rsidRPr="000E5786">
              <w:rPr>
                <w:rFonts w:cs="Arial"/>
                <w:b/>
                <w:bCs/>
                <w:szCs w:val="20"/>
              </w:rPr>
              <w:t>ON</w:t>
            </w:r>
          </w:p>
        </w:tc>
        <w:tc>
          <w:tcPr>
            <w:tcW w:w="709" w:type="dxa"/>
            <w:tcBorders>
              <w:top w:val="nil"/>
              <w:left w:val="nil"/>
              <w:bottom w:val="nil"/>
              <w:right w:val="single" w:sz="8" w:space="0" w:color="auto"/>
            </w:tcBorders>
            <w:shd w:val="clear" w:color="000000" w:fill="FFFFFF"/>
            <w:vAlign w:val="center"/>
            <w:hideMark/>
          </w:tcPr>
          <w:p w14:paraId="18EFB8D4" w14:textId="77777777" w:rsidR="004C127E" w:rsidRPr="000E5786" w:rsidRDefault="004C127E" w:rsidP="00DD60F0">
            <w:pPr>
              <w:jc w:val="center"/>
              <w:rPr>
                <w:rFonts w:cs="Arial"/>
                <w:b/>
                <w:bCs/>
                <w:szCs w:val="20"/>
              </w:rPr>
            </w:pPr>
            <w:r w:rsidRPr="000E5786">
              <w:rPr>
                <w:rFonts w:cs="Arial"/>
                <w:b/>
                <w:bCs/>
                <w:szCs w:val="20"/>
              </w:rPr>
              <w:t>OFF</w:t>
            </w:r>
          </w:p>
        </w:tc>
      </w:tr>
      <w:tr w:rsidR="000549F2" w:rsidRPr="000E5786" w14:paraId="4BA0A605" w14:textId="77777777" w:rsidTr="006E7B8A">
        <w:trPr>
          <w:trHeight w:val="225"/>
        </w:trPr>
        <w:tc>
          <w:tcPr>
            <w:tcW w:w="710" w:type="dxa"/>
            <w:vMerge w:val="restart"/>
            <w:tcBorders>
              <w:top w:val="single" w:sz="8" w:space="0" w:color="auto"/>
              <w:left w:val="single" w:sz="8" w:space="0" w:color="auto"/>
              <w:bottom w:val="single" w:sz="4" w:space="0" w:color="auto"/>
              <w:right w:val="single" w:sz="8" w:space="0" w:color="auto"/>
            </w:tcBorders>
            <w:shd w:val="clear" w:color="auto" w:fill="auto"/>
            <w:textDirection w:val="btLr"/>
            <w:vAlign w:val="center"/>
            <w:hideMark/>
          </w:tcPr>
          <w:p w14:paraId="6C6E74B3" w14:textId="7D36E967" w:rsidR="004C127E" w:rsidRPr="000E5786" w:rsidRDefault="004C127E" w:rsidP="006E7B8A">
            <w:pPr>
              <w:ind w:left="113" w:right="113" w:firstLine="0"/>
              <w:jc w:val="center"/>
              <w:rPr>
                <w:rFonts w:cs="Arial"/>
                <w:b/>
                <w:bCs/>
                <w:szCs w:val="20"/>
              </w:rPr>
            </w:pPr>
            <w:r w:rsidRPr="000E5786">
              <w:rPr>
                <w:rFonts w:cs="Arial"/>
                <w:b/>
                <w:bCs/>
                <w:szCs w:val="20"/>
              </w:rPr>
              <w:t xml:space="preserve">Delivery and operation </w:t>
            </w:r>
          </w:p>
        </w:tc>
        <w:tc>
          <w:tcPr>
            <w:tcW w:w="1559"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647FED56" w14:textId="77777777" w:rsidR="004C127E" w:rsidRPr="000E5786" w:rsidRDefault="004C127E" w:rsidP="006E7B8A">
            <w:pPr>
              <w:ind w:left="0" w:firstLine="0"/>
              <w:jc w:val="center"/>
              <w:rPr>
                <w:rFonts w:cs="Arial"/>
                <w:b/>
                <w:bCs/>
                <w:szCs w:val="20"/>
              </w:rPr>
            </w:pPr>
            <w:r w:rsidRPr="000E5786">
              <w:rPr>
                <w:rFonts w:cs="Arial"/>
                <w:b/>
                <w:bCs/>
                <w:szCs w:val="20"/>
              </w:rPr>
              <w:t>Service design</w:t>
            </w:r>
          </w:p>
        </w:tc>
        <w:tc>
          <w:tcPr>
            <w:tcW w:w="1559" w:type="dxa"/>
            <w:tcBorders>
              <w:top w:val="single" w:sz="8" w:space="0" w:color="auto"/>
              <w:left w:val="nil"/>
              <w:bottom w:val="single" w:sz="4" w:space="0" w:color="auto"/>
              <w:right w:val="single" w:sz="4" w:space="0" w:color="auto"/>
            </w:tcBorders>
            <w:shd w:val="clear" w:color="auto" w:fill="auto"/>
            <w:noWrap/>
            <w:vAlign w:val="bottom"/>
            <w:hideMark/>
          </w:tcPr>
          <w:p w14:paraId="1AC0F541" w14:textId="77777777" w:rsidR="004C127E" w:rsidRPr="000E5786" w:rsidRDefault="004C127E" w:rsidP="006E7B8A">
            <w:pPr>
              <w:ind w:left="0" w:firstLine="0"/>
              <w:jc w:val="left"/>
              <w:rPr>
                <w:rFonts w:cs="Arial"/>
                <w:szCs w:val="20"/>
              </w:rPr>
            </w:pPr>
            <w:r w:rsidRPr="000E5786">
              <w:rPr>
                <w:rFonts w:cs="Arial"/>
                <w:szCs w:val="20"/>
              </w:rPr>
              <w:t>Availability management</w:t>
            </w:r>
          </w:p>
        </w:tc>
        <w:tc>
          <w:tcPr>
            <w:tcW w:w="992" w:type="dxa"/>
            <w:tcBorders>
              <w:top w:val="nil"/>
              <w:left w:val="nil"/>
              <w:bottom w:val="single" w:sz="4" w:space="0" w:color="auto"/>
              <w:right w:val="single" w:sz="4" w:space="0" w:color="auto"/>
            </w:tcBorders>
            <w:shd w:val="clear" w:color="auto" w:fill="auto"/>
            <w:noWrap/>
            <w:vAlign w:val="bottom"/>
            <w:hideMark/>
          </w:tcPr>
          <w:p w14:paraId="778D7F80" w14:textId="77777777" w:rsidR="004C127E" w:rsidRPr="000E5786" w:rsidRDefault="004C127E" w:rsidP="00DD60F0">
            <w:pPr>
              <w:jc w:val="center"/>
              <w:rPr>
                <w:rFonts w:cs="Arial"/>
                <w:szCs w:val="20"/>
              </w:rPr>
            </w:pPr>
            <w:r w:rsidRPr="000E5786">
              <w:rPr>
                <w:rFonts w:cs="Arial"/>
                <w:szCs w:val="20"/>
              </w:rPr>
              <w:t>AVMT</w:t>
            </w:r>
          </w:p>
        </w:tc>
        <w:tc>
          <w:tcPr>
            <w:tcW w:w="567" w:type="dxa"/>
            <w:tcBorders>
              <w:top w:val="single" w:sz="8" w:space="0" w:color="auto"/>
              <w:left w:val="nil"/>
              <w:bottom w:val="single" w:sz="4" w:space="0" w:color="auto"/>
              <w:right w:val="single" w:sz="4" w:space="0" w:color="auto"/>
            </w:tcBorders>
            <w:shd w:val="clear" w:color="000000" w:fill="FFFF00"/>
            <w:noWrap/>
            <w:vAlign w:val="bottom"/>
            <w:hideMark/>
          </w:tcPr>
          <w:p w14:paraId="0A6136E2" w14:textId="3EA4FCCB" w:rsidR="004C127E" w:rsidRPr="000E5786" w:rsidRDefault="004C127E" w:rsidP="00DD60F0">
            <w:pPr>
              <w:rPr>
                <w:rFonts w:cs="Arial"/>
                <w:szCs w:val="20"/>
              </w:rPr>
            </w:pPr>
            <w:r w:rsidRPr="000E5786">
              <w:rPr>
                <w:rFonts w:cs="Arial"/>
                <w:szCs w:val="20"/>
              </w:rPr>
              <w:t xml:space="preserve">495 </w:t>
            </w:r>
          </w:p>
        </w:tc>
        <w:tc>
          <w:tcPr>
            <w:tcW w:w="708" w:type="dxa"/>
            <w:tcBorders>
              <w:top w:val="single" w:sz="8" w:space="0" w:color="auto"/>
              <w:left w:val="nil"/>
              <w:bottom w:val="single" w:sz="4" w:space="0" w:color="auto"/>
              <w:right w:val="single" w:sz="8" w:space="0" w:color="auto"/>
            </w:tcBorders>
            <w:shd w:val="clear" w:color="000000" w:fill="FFFF00"/>
            <w:noWrap/>
            <w:vAlign w:val="bottom"/>
            <w:hideMark/>
          </w:tcPr>
          <w:p w14:paraId="4E83266F" w14:textId="5A82D2A2" w:rsidR="004C127E" w:rsidRPr="000E5786" w:rsidRDefault="004C127E" w:rsidP="00DD60F0">
            <w:pPr>
              <w:rPr>
                <w:rFonts w:cs="Arial"/>
                <w:szCs w:val="20"/>
              </w:rPr>
            </w:pPr>
            <w:r w:rsidRPr="000E5786">
              <w:rPr>
                <w:rFonts w:cs="Arial"/>
                <w:szCs w:val="20"/>
              </w:rPr>
              <w:t xml:space="preserve">91 </w:t>
            </w:r>
          </w:p>
        </w:tc>
        <w:tc>
          <w:tcPr>
            <w:tcW w:w="567" w:type="dxa"/>
            <w:tcBorders>
              <w:top w:val="single" w:sz="8" w:space="0" w:color="auto"/>
              <w:left w:val="nil"/>
              <w:bottom w:val="single" w:sz="4" w:space="0" w:color="auto"/>
              <w:right w:val="single" w:sz="4" w:space="0" w:color="auto"/>
            </w:tcBorders>
            <w:shd w:val="clear" w:color="000000" w:fill="FFFF00"/>
            <w:noWrap/>
            <w:vAlign w:val="bottom"/>
            <w:hideMark/>
          </w:tcPr>
          <w:p w14:paraId="18666238" w14:textId="67D7775A" w:rsidR="004C127E" w:rsidRPr="000E5786" w:rsidRDefault="004C127E" w:rsidP="00DD60F0">
            <w:pPr>
              <w:rPr>
                <w:rFonts w:cs="Arial"/>
                <w:szCs w:val="20"/>
              </w:rPr>
            </w:pPr>
            <w:r w:rsidRPr="000E5786">
              <w:rPr>
                <w:rFonts w:cs="Arial"/>
                <w:szCs w:val="20"/>
              </w:rPr>
              <w:t xml:space="preserve">795 </w:t>
            </w:r>
          </w:p>
        </w:tc>
        <w:tc>
          <w:tcPr>
            <w:tcW w:w="709" w:type="dxa"/>
            <w:tcBorders>
              <w:top w:val="single" w:sz="8" w:space="0" w:color="auto"/>
              <w:left w:val="nil"/>
              <w:bottom w:val="single" w:sz="4" w:space="0" w:color="auto"/>
              <w:right w:val="single" w:sz="8" w:space="0" w:color="auto"/>
            </w:tcBorders>
            <w:shd w:val="clear" w:color="000000" w:fill="FFFF00"/>
            <w:noWrap/>
            <w:vAlign w:val="bottom"/>
            <w:hideMark/>
          </w:tcPr>
          <w:p w14:paraId="2AD2B56B" w14:textId="500AA41E" w:rsidR="004C127E" w:rsidRPr="000E5786" w:rsidRDefault="004C127E" w:rsidP="00DD60F0">
            <w:pPr>
              <w:rPr>
                <w:rFonts w:cs="Arial"/>
                <w:szCs w:val="20"/>
              </w:rPr>
            </w:pPr>
            <w:r w:rsidRPr="000E5786">
              <w:rPr>
                <w:rFonts w:cs="Arial"/>
                <w:szCs w:val="20"/>
              </w:rPr>
              <w:t xml:space="preserve">155 </w:t>
            </w:r>
          </w:p>
        </w:tc>
        <w:tc>
          <w:tcPr>
            <w:tcW w:w="567" w:type="dxa"/>
            <w:tcBorders>
              <w:top w:val="single" w:sz="8" w:space="0" w:color="auto"/>
              <w:left w:val="nil"/>
              <w:bottom w:val="single" w:sz="4" w:space="0" w:color="auto"/>
              <w:right w:val="single" w:sz="4" w:space="0" w:color="auto"/>
            </w:tcBorders>
            <w:shd w:val="clear" w:color="000000" w:fill="FFFF00"/>
            <w:noWrap/>
            <w:vAlign w:val="bottom"/>
            <w:hideMark/>
          </w:tcPr>
          <w:p w14:paraId="708690C0" w14:textId="4346E65E" w:rsidR="004C127E" w:rsidRPr="000E5786" w:rsidRDefault="004C127E" w:rsidP="00DD60F0">
            <w:pPr>
              <w:rPr>
                <w:rFonts w:cs="Arial"/>
                <w:szCs w:val="20"/>
              </w:rPr>
            </w:pPr>
            <w:r w:rsidRPr="000E5786">
              <w:rPr>
                <w:rFonts w:cs="Arial"/>
                <w:szCs w:val="20"/>
              </w:rPr>
              <w:t xml:space="preserve">995 </w:t>
            </w:r>
          </w:p>
        </w:tc>
        <w:tc>
          <w:tcPr>
            <w:tcW w:w="709" w:type="dxa"/>
            <w:tcBorders>
              <w:top w:val="single" w:sz="8" w:space="0" w:color="auto"/>
              <w:left w:val="nil"/>
              <w:bottom w:val="single" w:sz="4" w:space="0" w:color="auto"/>
              <w:right w:val="single" w:sz="8" w:space="0" w:color="auto"/>
            </w:tcBorders>
            <w:shd w:val="clear" w:color="000000" w:fill="FFFF00"/>
            <w:noWrap/>
            <w:vAlign w:val="bottom"/>
            <w:hideMark/>
          </w:tcPr>
          <w:p w14:paraId="756C0F81" w14:textId="12008B54" w:rsidR="004C127E" w:rsidRPr="000E5786" w:rsidRDefault="004C127E" w:rsidP="00DD60F0">
            <w:pPr>
              <w:rPr>
                <w:rFonts w:cs="Arial"/>
                <w:szCs w:val="20"/>
              </w:rPr>
            </w:pPr>
            <w:r w:rsidRPr="000E5786">
              <w:rPr>
                <w:rFonts w:cs="Arial"/>
                <w:szCs w:val="20"/>
              </w:rPr>
              <w:t xml:space="preserve">226 </w:t>
            </w:r>
          </w:p>
        </w:tc>
        <w:tc>
          <w:tcPr>
            <w:tcW w:w="850" w:type="dxa"/>
            <w:tcBorders>
              <w:top w:val="single" w:sz="8" w:space="0" w:color="auto"/>
              <w:left w:val="nil"/>
              <w:bottom w:val="single" w:sz="4" w:space="0" w:color="auto"/>
              <w:right w:val="single" w:sz="4" w:space="0" w:color="auto"/>
            </w:tcBorders>
            <w:shd w:val="clear" w:color="000000" w:fill="FFFF00"/>
            <w:noWrap/>
            <w:vAlign w:val="bottom"/>
            <w:hideMark/>
          </w:tcPr>
          <w:p w14:paraId="4D9BCE82" w14:textId="39EDCD90" w:rsidR="004C127E" w:rsidRPr="000E5786" w:rsidRDefault="004C127E" w:rsidP="00DD60F0">
            <w:pPr>
              <w:rPr>
                <w:rFonts w:cs="Arial"/>
                <w:szCs w:val="20"/>
              </w:rPr>
            </w:pPr>
            <w:r w:rsidRPr="000E5786">
              <w:rPr>
                <w:rFonts w:cs="Arial"/>
                <w:szCs w:val="20"/>
              </w:rPr>
              <w:t xml:space="preserve">1,195 </w:t>
            </w:r>
          </w:p>
        </w:tc>
        <w:tc>
          <w:tcPr>
            <w:tcW w:w="709" w:type="dxa"/>
            <w:tcBorders>
              <w:top w:val="single" w:sz="8" w:space="0" w:color="auto"/>
              <w:left w:val="nil"/>
              <w:bottom w:val="single" w:sz="4" w:space="0" w:color="auto"/>
              <w:right w:val="single" w:sz="8" w:space="0" w:color="auto"/>
            </w:tcBorders>
            <w:shd w:val="clear" w:color="000000" w:fill="FFFF00"/>
            <w:noWrap/>
            <w:vAlign w:val="bottom"/>
            <w:hideMark/>
          </w:tcPr>
          <w:p w14:paraId="6D4E3ACC" w14:textId="72F3E20E" w:rsidR="004C127E" w:rsidRPr="000E5786" w:rsidRDefault="004C127E" w:rsidP="00DD60F0">
            <w:pPr>
              <w:rPr>
                <w:rFonts w:cs="Arial"/>
                <w:szCs w:val="20"/>
              </w:rPr>
            </w:pPr>
            <w:r w:rsidRPr="000E5786">
              <w:rPr>
                <w:rFonts w:cs="Arial"/>
                <w:szCs w:val="20"/>
              </w:rPr>
              <w:t xml:space="preserve">321 </w:t>
            </w:r>
          </w:p>
        </w:tc>
        <w:tc>
          <w:tcPr>
            <w:tcW w:w="851" w:type="dxa"/>
            <w:tcBorders>
              <w:top w:val="single" w:sz="8" w:space="0" w:color="auto"/>
              <w:left w:val="nil"/>
              <w:bottom w:val="single" w:sz="4" w:space="0" w:color="auto"/>
              <w:right w:val="single" w:sz="4" w:space="0" w:color="auto"/>
            </w:tcBorders>
            <w:shd w:val="clear" w:color="000000" w:fill="FFFF00"/>
            <w:noWrap/>
            <w:vAlign w:val="bottom"/>
            <w:hideMark/>
          </w:tcPr>
          <w:p w14:paraId="6D32A1B0" w14:textId="11341DA3" w:rsidR="004C127E" w:rsidRPr="000E5786" w:rsidRDefault="004C127E" w:rsidP="00DD60F0">
            <w:pPr>
              <w:rPr>
                <w:rFonts w:cs="Arial"/>
                <w:szCs w:val="20"/>
              </w:rPr>
            </w:pPr>
            <w:r w:rsidRPr="000E5786">
              <w:rPr>
                <w:rFonts w:cs="Arial"/>
                <w:szCs w:val="20"/>
              </w:rPr>
              <w:t xml:space="preserve">1,495 </w:t>
            </w:r>
          </w:p>
        </w:tc>
        <w:tc>
          <w:tcPr>
            <w:tcW w:w="708" w:type="dxa"/>
            <w:tcBorders>
              <w:top w:val="single" w:sz="8" w:space="0" w:color="auto"/>
              <w:left w:val="nil"/>
              <w:bottom w:val="single" w:sz="4" w:space="0" w:color="auto"/>
              <w:right w:val="single" w:sz="8" w:space="0" w:color="auto"/>
            </w:tcBorders>
            <w:shd w:val="clear" w:color="000000" w:fill="FFFF00"/>
            <w:noWrap/>
            <w:vAlign w:val="bottom"/>
            <w:hideMark/>
          </w:tcPr>
          <w:p w14:paraId="4A71C743" w14:textId="1761B515" w:rsidR="004C127E" w:rsidRPr="000E5786" w:rsidRDefault="004C127E" w:rsidP="00DD60F0">
            <w:pPr>
              <w:rPr>
                <w:rFonts w:cs="Arial"/>
                <w:szCs w:val="20"/>
              </w:rPr>
            </w:pPr>
            <w:r w:rsidRPr="000E5786">
              <w:rPr>
                <w:rFonts w:cs="Arial"/>
                <w:szCs w:val="20"/>
              </w:rPr>
              <w:t xml:space="preserve">414 </w:t>
            </w:r>
          </w:p>
        </w:tc>
        <w:tc>
          <w:tcPr>
            <w:tcW w:w="851" w:type="dxa"/>
            <w:tcBorders>
              <w:top w:val="single" w:sz="8" w:space="0" w:color="auto"/>
              <w:left w:val="nil"/>
              <w:bottom w:val="single" w:sz="4" w:space="0" w:color="auto"/>
              <w:right w:val="single" w:sz="4" w:space="0" w:color="auto"/>
            </w:tcBorders>
            <w:shd w:val="clear" w:color="000000" w:fill="FFFF00"/>
            <w:noWrap/>
            <w:vAlign w:val="bottom"/>
            <w:hideMark/>
          </w:tcPr>
          <w:p w14:paraId="09F62597" w14:textId="77777777" w:rsidR="004C127E" w:rsidRPr="000E5786" w:rsidRDefault="004C127E" w:rsidP="00DD60F0">
            <w:pPr>
              <w:rPr>
                <w:rFonts w:cs="Arial"/>
                <w:szCs w:val="20"/>
              </w:rPr>
            </w:pPr>
            <w:r w:rsidRPr="000E5786">
              <w:rPr>
                <w:rFonts w:cs="Arial"/>
                <w:szCs w:val="20"/>
              </w:rPr>
              <w:t xml:space="preserve"> 1,699 </w:t>
            </w:r>
          </w:p>
        </w:tc>
        <w:tc>
          <w:tcPr>
            <w:tcW w:w="709" w:type="dxa"/>
            <w:tcBorders>
              <w:top w:val="single" w:sz="8" w:space="0" w:color="auto"/>
              <w:left w:val="nil"/>
              <w:bottom w:val="single" w:sz="4" w:space="0" w:color="auto"/>
              <w:right w:val="single" w:sz="8" w:space="0" w:color="auto"/>
            </w:tcBorders>
            <w:shd w:val="clear" w:color="000000" w:fill="FFFF00"/>
            <w:noWrap/>
            <w:vAlign w:val="bottom"/>
            <w:hideMark/>
          </w:tcPr>
          <w:p w14:paraId="430CD9F0" w14:textId="1A6CA951" w:rsidR="004C127E" w:rsidRPr="000E5786" w:rsidRDefault="004C127E" w:rsidP="00DD60F0">
            <w:pPr>
              <w:rPr>
                <w:rFonts w:cs="Arial"/>
                <w:szCs w:val="20"/>
              </w:rPr>
            </w:pPr>
            <w:r w:rsidRPr="000E5786">
              <w:rPr>
                <w:rFonts w:cs="Arial"/>
                <w:szCs w:val="20"/>
              </w:rPr>
              <w:t xml:space="preserve">600 </w:t>
            </w:r>
          </w:p>
        </w:tc>
        <w:tc>
          <w:tcPr>
            <w:tcW w:w="850" w:type="dxa"/>
            <w:tcBorders>
              <w:top w:val="single" w:sz="8" w:space="0" w:color="auto"/>
              <w:left w:val="nil"/>
              <w:bottom w:val="single" w:sz="4" w:space="0" w:color="auto"/>
              <w:right w:val="single" w:sz="4" w:space="0" w:color="auto"/>
            </w:tcBorders>
            <w:shd w:val="clear" w:color="000000" w:fill="FFFF00"/>
            <w:noWrap/>
            <w:vAlign w:val="bottom"/>
            <w:hideMark/>
          </w:tcPr>
          <w:p w14:paraId="5F119BFC" w14:textId="77777777" w:rsidR="004C127E" w:rsidRPr="000E5786" w:rsidRDefault="004C127E" w:rsidP="00DD60F0">
            <w:pPr>
              <w:rPr>
                <w:rFonts w:cs="Arial"/>
                <w:szCs w:val="20"/>
              </w:rPr>
            </w:pPr>
            <w:r w:rsidRPr="000E5786">
              <w:rPr>
                <w:rFonts w:cs="Arial"/>
                <w:szCs w:val="20"/>
              </w:rPr>
              <w:t xml:space="preserve">  1,995 </w:t>
            </w:r>
          </w:p>
        </w:tc>
        <w:tc>
          <w:tcPr>
            <w:tcW w:w="709" w:type="dxa"/>
            <w:tcBorders>
              <w:top w:val="single" w:sz="8" w:space="0" w:color="auto"/>
              <w:left w:val="nil"/>
              <w:bottom w:val="single" w:sz="4" w:space="0" w:color="auto"/>
              <w:right w:val="single" w:sz="8" w:space="0" w:color="auto"/>
            </w:tcBorders>
            <w:shd w:val="clear" w:color="000000" w:fill="FFFF00"/>
            <w:noWrap/>
            <w:vAlign w:val="bottom"/>
            <w:hideMark/>
          </w:tcPr>
          <w:p w14:paraId="4199FD8B" w14:textId="55A8553A" w:rsidR="004C127E" w:rsidRPr="000E5786" w:rsidRDefault="004C127E" w:rsidP="00DD60F0">
            <w:pPr>
              <w:rPr>
                <w:rFonts w:cs="Arial"/>
                <w:szCs w:val="20"/>
              </w:rPr>
            </w:pPr>
            <w:r w:rsidRPr="000E5786">
              <w:rPr>
                <w:rFonts w:cs="Arial"/>
                <w:szCs w:val="20"/>
              </w:rPr>
              <w:t xml:space="preserve">755 </w:t>
            </w:r>
          </w:p>
        </w:tc>
      </w:tr>
      <w:tr w:rsidR="000549F2" w:rsidRPr="000E5786" w14:paraId="48377E2B" w14:textId="77777777" w:rsidTr="006E7B8A">
        <w:trPr>
          <w:trHeight w:val="240"/>
        </w:trPr>
        <w:tc>
          <w:tcPr>
            <w:tcW w:w="710" w:type="dxa"/>
            <w:vMerge/>
            <w:tcBorders>
              <w:top w:val="single" w:sz="8" w:space="0" w:color="auto"/>
              <w:left w:val="single" w:sz="8" w:space="0" w:color="auto"/>
              <w:bottom w:val="single" w:sz="4" w:space="0" w:color="auto"/>
              <w:right w:val="single" w:sz="8" w:space="0" w:color="auto"/>
            </w:tcBorders>
            <w:vAlign w:val="center"/>
            <w:hideMark/>
          </w:tcPr>
          <w:p w14:paraId="6D0DF690" w14:textId="77777777" w:rsidR="004C127E" w:rsidRPr="000E5786" w:rsidRDefault="004C127E" w:rsidP="00DD60F0">
            <w:pPr>
              <w:rPr>
                <w:rFonts w:cs="Arial"/>
                <w:b/>
                <w:bCs/>
                <w:szCs w:val="20"/>
              </w:rPr>
            </w:pPr>
          </w:p>
        </w:tc>
        <w:tc>
          <w:tcPr>
            <w:tcW w:w="1559" w:type="dxa"/>
            <w:vMerge/>
            <w:tcBorders>
              <w:top w:val="single" w:sz="8" w:space="0" w:color="auto"/>
              <w:left w:val="single" w:sz="8" w:space="0" w:color="auto"/>
              <w:bottom w:val="single" w:sz="8" w:space="0" w:color="000000"/>
              <w:right w:val="single" w:sz="4" w:space="0" w:color="auto"/>
            </w:tcBorders>
            <w:vAlign w:val="center"/>
            <w:hideMark/>
          </w:tcPr>
          <w:p w14:paraId="4BB8EFF8" w14:textId="77777777" w:rsidR="004C127E" w:rsidRPr="000E5786" w:rsidRDefault="004C127E" w:rsidP="00DD60F0">
            <w:pPr>
              <w:rPr>
                <w:rFonts w:cs="Arial"/>
                <w:b/>
                <w:bCs/>
                <w:szCs w:val="20"/>
              </w:rPr>
            </w:pPr>
          </w:p>
        </w:tc>
        <w:tc>
          <w:tcPr>
            <w:tcW w:w="1559" w:type="dxa"/>
            <w:tcBorders>
              <w:top w:val="nil"/>
              <w:left w:val="nil"/>
              <w:bottom w:val="single" w:sz="8" w:space="0" w:color="auto"/>
              <w:right w:val="single" w:sz="4" w:space="0" w:color="auto"/>
            </w:tcBorders>
            <w:shd w:val="clear" w:color="auto" w:fill="auto"/>
            <w:noWrap/>
            <w:vAlign w:val="bottom"/>
            <w:hideMark/>
          </w:tcPr>
          <w:p w14:paraId="10DAC81A" w14:textId="77777777" w:rsidR="004C127E" w:rsidRPr="000E5786" w:rsidRDefault="004C127E" w:rsidP="006E7B8A">
            <w:pPr>
              <w:ind w:left="0" w:firstLine="0"/>
              <w:jc w:val="left"/>
              <w:rPr>
                <w:rFonts w:cs="Arial"/>
                <w:szCs w:val="20"/>
              </w:rPr>
            </w:pPr>
            <w:r w:rsidRPr="000E5786">
              <w:rPr>
                <w:rFonts w:cs="Arial"/>
                <w:szCs w:val="20"/>
              </w:rPr>
              <w:t>Service level management</w:t>
            </w:r>
          </w:p>
        </w:tc>
        <w:tc>
          <w:tcPr>
            <w:tcW w:w="992" w:type="dxa"/>
            <w:tcBorders>
              <w:top w:val="nil"/>
              <w:left w:val="nil"/>
              <w:bottom w:val="single" w:sz="8" w:space="0" w:color="auto"/>
              <w:right w:val="single" w:sz="4" w:space="0" w:color="auto"/>
            </w:tcBorders>
            <w:shd w:val="clear" w:color="auto" w:fill="auto"/>
            <w:noWrap/>
            <w:vAlign w:val="bottom"/>
            <w:hideMark/>
          </w:tcPr>
          <w:p w14:paraId="343B3A1B" w14:textId="77777777" w:rsidR="004C127E" w:rsidRPr="000E5786" w:rsidRDefault="004C127E" w:rsidP="00DD60F0">
            <w:pPr>
              <w:jc w:val="center"/>
              <w:rPr>
                <w:rFonts w:cs="Arial"/>
                <w:szCs w:val="20"/>
              </w:rPr>
            </w:pPr>
            <w:r w:rsidRPr="000E5786">
              <w:rPr>
                <w:rFonts w:cs="Arial"/>
                <w:szCs w:val="20"/>
              </w:rPr>
              <w:t>SLMO</w:t>
            </w:r>
          </w:p>
        </w:tc>
        <w:tc>
          <w:tcPr>
            <w:tcW w:w="567" w:type="dxa"/>
            <w:tcBorders>
              <w:top w:val="nil"/>
              <w:left w:val="nil"/>
              <w:bottom w:val="single" w:sz="8" w:space="0" w:color="auto"/>
              <w:right w:val="single" w:sz="4" w:space="0" w:color="auto"/>
            </w:tcBorders>
            <w:shd w:val="clear" w:color="000000" w:fill="FFFF00"/>
            <w:noWrap/>
            <w:vAlign w:val="bottom"/>
            <w:hideMark/>
          </w:tcPr>
          <w:p w14:paraId="5F30DB2C" w14:textId="35DA72E1"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8" w:space="0" w:color="auto"/>
              <w:right w:val="single" w:sz="8" w:space="0" w:color="auto"/>
            </w:tcBorders>
            <w:shd w:val="clear" w:color="000000" w:fill="FFFF00"/>
            <w:noWrap/>
            <w:vAlign w:val="bottom"/>
            <w:hideMark/>
          </w:tcPr>
          <w:p w14:paraId="70551E1E" w14:textId="1875EF4B"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8" w:space="0" w:color="auto"/>
              <w:right w:val="single" w:sz="4" w:space="0" w:color="auto"/>
            </w:tcBorders>
            <w:shd w:val="clear" w:color="000000" w:fill="FFFF00"/>
            <w:noWrap/>
            <w:vAlign w:val="bottom"/>
            <w:hideMark/>
          </w:tcPr>
          <w:p w14:paraId="0C715DC3" w14:textId="7F69C3A5"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8" w:space="0" w:color="auto"/>
              <w:right w:val="single" w:sz="8" w:space="0" w:color="auto"/>
            </w:tcBorders>
            <w:shd w:val="clear" w:color="000000" w:fill="FFFF00"/>
            <w:noWrap/>
            <w:vAlign w:val="bottom"/>
            <w:hideMark/>
          </w:tcPr>
          <w:p w14:paraId="7426B4DD" w14:textId="17838203"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8" w:space="0" w:color="auto"/>
              <w:right w:val="single" w:sz="4" w:space="0" w:color="auto"/>
            </w:tcBorders>
            <w:shd w:val="clear" w:color="000000" w:fill="FFFF00"/>
            <w:noWrap/>
            <w:vAlign w:val="bottom"/>
            <w:hideMark/>
          </w:tcPr>
          <w:p w14:paraId="0BF576E1" w14:textId="2B1F6450"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8" w:space="0" w:color="auto"/>
              <w:right w:val="single" w:sz="8" w:space="0" w:color="auto"/>
            </w:tcBorders>
            <w:shd w:val="clear" w:color="000000" w:fill="FFFF00"/>
            <w:noWrap/>
            <w:vAlign w:val="bottom"/>
            <w:hideMark/>
          </w:tcPr>
          <w:p w14:paraId="62DE3B20" w14:textId="6E5825E1"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8" w:space="0" w:color="auto"/>
              <w:right w:val="single" w:sz="4" w:space="0" w:color="auto"/>
            </w:tcBorders>
            <w:shd w:val="clear" w:color="000000" w:fill="FFFF00"/>
            <w:noWrap/>
            <w:vAlign w:val="bottom"/>
            <w:hideMark/>
          </w:tcPr>
          <w:p w14:paraId="028F2CF8" w14:textId="46B21A41"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8" w:space="0" w:color="auto"/>
              <w:right w:val="single" w:sz="8" w:space="0" w:color="auto"/>
            </w:tcBorders>
            <w:shd w:val="clear" w:color="000000" w:fill="FFFF00"/>
            <w:noWrap/>
            <w:vAlign w:val="bottom"/>
            <w:hideMark/>
          </w:tcPr>
          <w:p w14:paraId="49BCE09D" w14:textId="39A610A5"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8" w:space="0" w:color="auto"/>
              <w:right w:val="single" w:sz="4" w:space="0" w:color="auto"/>
            </w:tcBorders>
            <w:shd w:val="clear" w:color="000000" w:fill="FFFF00"/>
            <w:noWrap/>
            <w:vAlign w:val="bottom"/>
            <w:hideMark/>
          </w:tcPr>
          <w:p w14:paraId="6E01BB8E" w14:textId="32D96C66"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8" w:space="0" w:color="auto"/>
              <w:right w:val="single" w:sz="8" w:space="0" w:color="auto"/>
            </w:tcBorders>
            <w:shd w:val="clear" w:color="000000" w:fill="FFFF00"/>
            <w:noWrap/>
            <w:vAlign w:val="bottom"/>
            <w:hideMark/>
          </w:tcPr>
          <w:p w14:paraId="5385233B" w14:textId="5A205274"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8" w:space="0" w:color="auto"/>
              <w:right w:val="single" w:sz="4" w:space="0" w:color="auto"/>
            </w:tcBorders>
            <w:shd w:val="clear" w:color="000000" w:fill="FFFF00"/>
            <w:noWrap/>
            <w:vAlign w:val="bottom"/>
            <w:hideMark/>
          </w:tcPr>
          <w:p w14:paraId="35A576F6" w14:textId="77777777" w:rsidR="004C127E" w:rsidRPr="000E5786" w:rsidRDefault="004C127E" w:rsidP="00DD60F0">
            <w:pPr>
              <w:rPr>
                <w:rFonts w:cs="Arial"/>
                <w:szCs w:val="20"/>
              </w:rPr>
            </w:pPr>
            <w:r w:rsidRPr="000E5786">
              <w:rPr>
                <w:rFonts w:cs="Arial"/>
                <w:szCs w:val="20"/>
              </w:rPr>
              <w:t xml:space="preserve"> 1,699 </w:t>
            </w:r>
          </w:p>
        </w:tc>
        <w:tc>
          <w:tcPr>
            <w:tcW w:w="709" w:type="dxa"/>
            <w:tcBorders>
              <w:top w:val="nil"/>
              <w:left w:val="nil"/>
              <w:bottom w:val="single" w:sz="8" w:space="0" w:color="auto"/>
              <w:right w:val="single" w:sz="8" w:space="0" w:color="auto"/>
            </w:tcBorders>
            <w:shd w:val="clear" w:color="000000" w:fill="FFFF00"/>
            <w:noWrap/>
            <w:vAlign w:val="bottom"/>
            <w:hideMark/>
          </w:tcPr>
          <w:p w14:paraId="27D17DC1" w14:textId="25081E55"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8" w:space="0" w:color="auto"/>
              <w:right w:val="single" w:sz="4" w:space="0" w:color="auto"/>
            </w:tcBorders>
            <w:shd w:val="clear" w:color="000000" w:fill="FFFF00"/>
            <w:noWrap/>
            <w:vAlign w:val="bottom"/>
            <w:hideMark/>
          </w:tcPr>
          <w:p w14:paraId="2AD22C68" w14:textId="77777777" w:rsidR="004C127E" w:rsidRPr="000E5786" w:rsidRDefault="004C127E" w:rsidP="00DD60F0">
            <w:pPr>
              <w:rPr>
                <w:rFonts w:cs="Arial"/>
                <w:szCs w:val="20"/>
              </w:rPr>
            </w:pPr>
            <w:r w:rsidRPr="000E5786">
              <w:rPr>
                <w:rFonts w:cs="Arial"/>
                <w:szCs w:val="20"/>
              </w:rPr>
              <w:t xml:space="preserve">  1,995 </w:t>
            </w:r>
          </w:p>
        </w:tc>
        <w:tc>
          <w:tcPr>
            <w:tcW w:w="709" w:type="dxa"/>
            <w:tcBorders>
              <w:top w:val="nil"/>
              <w:left w:val="nil"/>
              <w:bottom w:val="single" w:sz="8" w:space="0" w:color="auto"/>
              <w:right w:val="single" w:sz="8" w:space="0" w:color="auto"/>
            </w:tcBorders>
            <w:shd w:val="clear" w:color="000000" w:fill="FFFF00"/>
            <w:noWrap/>
            <w:vAlign w:val="bottom"/>
            <w:hideMark/>
          </w:tcPr>
          <w:p w14:paraId="5BFE5CB5" w14:textId="438075D3" w:rsidR="004C127E" w:rsidRPr="000E5786" w:rsidRDefault="004C127E" w:rsidP="00DD60F0">
            <w:pPr>
              <w:rPr>
                <w:rFonts w:cs="Arial"/>
                <w:szCs w:val="20"/>
              </w:rPr>
            </w:pPr>
            <w:r w:rsidRPr="000E5786">
              <w:rPr>
                <w:rFonts w:cs="Arial"/>
                <w:szCs w:val="20"/>
              </w:rPr>
              <w:t xml:space="preserve">755 </w:t>
            </w:r>
          </w:p>
        </w:tc>
      </w:tr>
      <w:tr w:rsidR="000549F2" w:rsidRPr="000E5786" w14:paraId="0B1CCA38" w14:textId="77777777" w:rsidTr="006E7B8A">
        <w:trPr>
          <w:trHeight w:val="225"/>
        </w:trPr>
        <w:tc>
          <w:tcPr>
            <w:tcW w:w="710" w:type="dxa"/>
            <w:vMerge/>
            <w:tcBorders>
              <w:top w:val="single" w:sz="8" w:space="0" w:color="auto"/>
              <w:left w:val="single" w:sz="8" w:space="0" w:color="auto"/>
              <w:bottom w:val="single" w:sz="4" w:space="0" w:color="auto"/>
              <w:right w:val="single" w:sz="8" w:space="0" w:color="auto"/>
            </w:tcBorders>
            <w:vAlign w:val="center"/>
            <w:hideMark/>
          </w:tcPr>
          <w:p w14:paraId="13F01F7A" w14:textId="77777777" w:rsidR="004C127E" w:rsidRPr="000E5786" w:rsidRDefault="004C127E" w:rsidP="00DD60F0">
            <w:pPr>
              <w:rPr>
                <w:rFonts w:cs="Arial"/>
                <w:b/>
                <w:bCs/>
                <w:szCs w:val="20"/>
              </w:rPr>
            </w:pPr>
          </w:p>
        </w:tc>
        <w:tc>
          <w:tcPr>
            <w:tcW w:w="1559" w:type="dxa"/>
            <w:vMerge w:val="restart"/>
            <w:tcBorders>
              <w:top w:val="nil"/>
              <w:left w:val="single" w:sz="8" w:space="0" w:color="auto"/>
              <w:bottom w:val="single" w:sz="8" w:space="0" w:color="000000"/>
              <w:right w:val="single" w:sz="4" w:space="0" w:color="auto"/>
            </w:tcBorders>
            <w:shd w:val="clear" w:color="auto" w:fill="auto"/>
            <w:vAlign w:val="center"/>
            <w:hideMark/>
          </w:tcPr>
          <w:p w14:paraId="7DF4355A" w14:textId="77777777" w:rsidR="004C127E" w:rsidRPr="000E5786" w:rsidRDefault="004C127E" w:rsidP="006E7B8A">
            <w:pPr>
              <w:ind w:left="0" w:firstLine="0"/>
              <w:jc w:val="center"/>
              <w:rPr>
                <w:rFonts w:cs="Arial"/>
                <w:b/>
                <w:bCs/>
                <w:szCs w:val="20"/>
              </w:rPr>
            </w:pPr>
            <w:r w:rsidRPr="000E5786">
              <w:rPr>
                <w:rFonts w:cs="Arial"/>
                <w:b/>
                <w:bCs/>
                <w:szCs w:val="20"/>
              </w:rPr>
              <w:t>Service transition</w:t>
            </w:r>
          </w:p>
        </w:tc>
        <w:tc>
          <w:tcPr>
            <w:tcW w:w="1559" w:type="dxa"/>
            <w:tcBorders>
              <w:top w:val="nil"/>
              <w:left w:val="nil"/>
              <w:bottom w:val="single" w:sz="4" w:space="0" w:color="auto"/>
              <w:right w:val="single" w:sz="4" w:space="0" w:color="auto"/>
            </w:tcBorders>
            <w:shd w:val="clear" w:color="auto" w:fill="auto"/>
            <w:noWrap/>
            <w:vAlign w:val="bottom"/>
            <w:hideMark/>
          </w:tcPr>
          <w:p w14:paraId="1CAFBA14" w14:textId="77777777" w:rsidR="004C127E" w:rsidRPr="000E5786" w:rsidRDefault="004C127E" w:rsidP="006E7B8A">
            <w:pPr>
              <w:ind w:left="0" w:firstLine="0"/>
              <w:jc w:val="left"/>
              <w:rPr>
                <w:rFonts w:cs="Arial"/>
                <w:szCs w:val="20"/>
              </w:rPr>
            </w:pPr>
            <w:r w:rsidRPr="000E5786">
              <w:rPr>
                <w:rFonts w:cs="Arial"/>
                <w:szCs w:val="20"/>
              </w:rPr>
              <w:t>Service acceptance</w:t>
            </w:r>
          </w:p>
        </w:tc>
        <w:tc>
          <w:tcPr>
            <w:tcW w:w="992" w:type="dxa"/>
            <w:tcBorders>
              <w:top w:val="nil"/>
              <w:left w:val="nil"/>
              <w:bottom w:val="single" w:sz="4" w:space="0" w:color="auto"/>
              <w:right w:val="single" w:sz="4" w:space="0" w:color="auto"/>
            </w:tcBorders>
            <w:shd w:val="clear" w:color="auto" w:fill="auto"/>
            <w:noWrap/>
            <w:vAlign w:val="bottom"/>
            <w:hideMark/>
          </w:tcPr>
          <w:p w14:paraId="1C8258D3" w14:textId="77777777" w:rsidR="004C127E" w:rsidRPr="000E5786" w:rsidRDefault="004C127E" w:rsidP="00DD60F0">
            <w:pPr>
              <w:jc w:val="center"/>
              <w:rPr>
                <w:rFonts w:cs="Arial"/>
                <w:szCs w:val="20"/>
              </w:rPr>
            </w:pPr>
            <w:r w:rsidRPr="000E5786">
              <w:rPr>
                <w:rFonts w:cs="Arial"/>
                <w:szCs w:val="20"/>
              </w:rPr>
              <w:t>SEAC</w:t>
            </w:r>
          </w:p>
        </w:tc>
        <w:tc>
          <w:tcPr>
            <w:tcW w:w="567" w:type="dxa"/>
            <w:tcBorders>
              <w:top w:val="nil"/>
              <w:left w:val="nil"/>
              <w:bottom w:val="single" w:sz="4" w:space="0" w:color="auto"/>
              <w:right w:val="single" w:sz="4" w:space="0" w:color="auto"/>
            </w:tcBorders>
            <w:shd w:val="clear" w:color="000000" w:fill="FFFF00"/>
            <w:noWrap/>
            <w:vAlign w:val="bottom"/>
            <w:hideMark/>
          </w:tcPr>
          <w:p w14:paraId="4F965C09" w14:textId="35C44367"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8" w:space="0" w:color="auto"/>
            </w:tcBorders>
            <w:shd w:val="clear" w:color="000000" w:fill="FFFF00"/>
            <w:noWrap/>
            <w:vAlign w:val="bottom"/>
            <w:hideMark/>
          </w:tcPr>
          <w:p w14:paraId="5655A6C0" w14:textId="455A988A"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2EEAF9A7" w14:textId="3F9AC2F8"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077856B6" w14:textId="2F367FF5"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2EA32BD5" w14:textId="58D7A801"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44D54832" w14:textId="64550B92"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453F7A62" w14:textId="2DA9DEBF"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2F46E1BC" w14:textId="68D2FEC8"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4D4EC4DC" w14:textId="01851DBF"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61E30469" w14:textId="6AD2C8C1"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5D2D1DD7" w14:textId="77777777" w:rsidR="004C127E" w:rsidRPr="000E5786" w:rsidRDefault="004C127E" w:rsidP="00DD60F0">
            <w:pPr>
              <w:rPr>
                <w:rFonts w:cs="Arial"/>
                <w:szCs w:val="20"/>
              </w:rPr>
            </w:pPr>
            <w:r w:rsidRPr="000E5786">
              <w:rPr>
                <w:rFonts w:cs="Arial"/>
                <w:szCs w:val="20"/>
              </w:rPr>
              <w:t xml:space="preserve"> 1,699 </w:t>
            </w:r>
          </w:p>
        </w:tc>
        <w:tc>
          <w:tcPr>
            <w:tcW w:w="709" w:type="dxa"/>
            <w:tcBorders>
              <w:top w:val="nil"/>
              <w:left w:val="nil"/>
              <w:bottom w:val="single" w:sz="4" w:space="0" w:color="auto"/>
              <w:right w:val="single" w:sz="8" w:space="0" w:color="auto"/>
            </w:tcBorders>
            <w:shd w:val="clear" w:color="000000" w:fill="FFFF00"/>
            <w:noWrap/>
            <w:vAlign w:val="bottom"/>
            <w:hideMark/>
          </w:tcPr>
          <w:p w14:paraId="26DE97F3" w14:textId="336C7FF0"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44780CC2" w14:textId="6474E7E3"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4C8E5341" w14:textId="73F0D72A" w:rsidR="004C127E" w:rsidRPr="000E5786" w:rsidRDefault="004C127E" w:rsidP="00DD60F0">
            <w:pPr>
              <w:rPr>
                <w:rFonts w:cs="Arial"/>
                <w:szCs w:val="20"/>
              </w:rPr>
            </w:pPr>
            <w:r w:rsidRPr="000E5786">
              <w:rPr>
                <w:rFonts w:cs="Arial"/>
                <w:szCs w:val="20"/>
              </w:rPr>
              <w:t xml:space="preserve">755 </w:t>
            </w:r>
          </w:p>
        </w:tc>
      </w:tr>
      <w:tr w:rsidR="000549F2" w:rsidRPr="000E5786" w14:paraId="0C943F5C" w14:textId="77777777" w:rsidTr="006E7B8A">
        <w:trPr>
          <w:trHeight w:val="240"/>
        </w:trPr>
        <w:tc>
          <w:tcPr>
            <w:tcW w:w="710" w:type="dxa"/>
            <w:vMerge/>
            <w:tcBorders>
              <w:top w:val="single" w:sz="8" w:space="0" w:color="auto"/>
              <w:left w:val="single" w:sz="8" w:space="0" w:color="auto"/>
              <w:bottom w:val="single" w:sz="4" w:space="0" w:color="auto"/>
              <w:right w:val="single" w:sz="8" w:space="0" w:color="auto"/>
            </w:tcBorders>
            <w:vAlign w:val="center"/>
            <w:hideMark/>
          </w:tcPr>
          <w:p w14:paraId="6A868582" w14:textId="77777777" w:rsidR="004C127E" w:rsidRPr="000E5786" w:rsidRDefault="004C127E" w:rsidP="00DD60F0">
            <w:pPr>
              <w:rPr>
                <w:rFonts w:cs="Arial"/>
                <w:b/>
                <w:bCs/>
                <w:szCs w:val="20"/>
              </w:rPr>
            </w:pPr>
          </w:p>
        </w:tc>
        <w:tc>
          <w:tcPr>
            <w:tcW w:w="1559" w:type="dxa"/>
            <w:vMerge/>
            <w:tcBorders>
              <w:top w:val="nil"/>
              <w:left w:val="single" w:sz="8" w:space="0" w:color="auto"/>
              <w:bottom w:val="single" w:sz="8" w:space="0" w:color="000000"/>
              <w:right w:val="single" w:sz="4" w:space="0" w:color="auto"/>
            </w:tcBorders>
            <w:vAlign w:val="center"/>
            <w:hideMark/>
          </w:tcPr>
          <w:p w14:paraId="45BCAAC9"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71F0C3B3" w14:textId="77777777" w:rsidR="004C127E" w:rsidRPr="000E5786" w:rsidRDefault="004C127E" w:rsidP="006E7B8A">
            <w:pPr>
              <w:ind w:left="0" w:firstLine="0"/>
              <w:jc w:val="left"/>
              <w:rPr>
                <w:rFonts w:cs="Arial"/>
                <w:szCs w:val="20"/>
              </w:rPr>
            </w:pPr>
            <w:r w:rsidRPr="000E5786">
              <w:rPr>
                <w:rFonts w:cs="Arial"/>
                <w:szCs w:val="20"/>
              </w:rPr>
              <w:t>Configuration management</w:t>
            </w:r>
          </w:p>
        </w:tc>
        <w:tc>
          <w:tcPr>
            <w:tcW w:w="992" w:type="dxa"/>
            <w:tcBorders>
              <w:top w:val="nil"/>
              <w:left w:val="nil"/>
              <w:bottom w:val="single" w:sz="4" w:space="0" w:color="auto"/>
              <w:right w:val="single" w:sz="4" w:space="0" w:color="auto"/>
            </w:tcBorders>
            <w:shd w:val="clear" w:color="auto" w:fill="auto"/>
            <w:noWrap/>
            <w:vAlign w:val="bottom"/>
            <w:hideMark/>
          </w:tcPr>
          <w:p w14:paraId="3C908C55" w14:textId="77777777" w:rsidR="004C127E" w:rsidRPr="000E5786" w:rsidRDefault="004C127E" w:rsidP="00DD60F0">
            <w:pPr>
              <w:jc w:val="center"/>
              <w:rPr>
                <w:rFonts w:cs="Arial"/>
                <w:szCs w:val="20"/>
              </w:rPr>
            </w:pPr>
            <w:r w:rsidRPr="000E5786">
              <w:rPr>
                <w:rFonts w:cs="Arial"/>
                <w:szCs w:val="20"/>
              </w:rPr>
              <w:t>CFMG</w:t>
            </w:r>
          </w:p>
        </w:tc>
        <w:tc>
          <w:tcPr>
            <w:tcW w:w="567" w:type="dxa"/>
            <w:tcBorders>
              <w:top w:val="nil"/>
              <w:left w:val="nil"/>
              <w:bottom w:val="single" w:sz="4" w:space="0" w:color="auto"/>
              <w:right w:val="single" w:sz="4" w:space="0" w:color="auto"/>
            </w:tcBorders>
            <w:shd w:val="clear" w:color="000000" w:fill="FFFF00"/>
            <w:noWrap/>
            <w:vAlign w:val="bottom"/>
            <w:hideMark/>
          </w:tcPr>
          <w:p w14:paraId="10647EB6" w14:textId="797B4F14"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8" w:space="0" w:color="auto"/>
            </w:tcBorders>
            <w:shd w:val="clear" w:color="000000" w:fill="FFFF00"/>
            <w:noWrap/>
            <w:vAlign w:val="bottom"/>
            <w:hideMark/>
          </w:tcPr>
          <w:p w14:paraId="7A5DB9D2" w14:textId="0A95B6F8"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78AEA5D8" w14:textId="022BF668"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5F1D59B6" w14:textId="6B98AE00"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040779E8" w14:textId="5B581503"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2DDC6424" w14:textId="5D2AEAEE"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7AFA8F05" w14:textId="52839A4E"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794D99C4" w14:textId="1DC3871E"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3110E439" w14:textId="71234923"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70102776" w14:textId="71B9A93D"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36C6C205" w14:textId="77777777" w:rsidR="004C127E" w:rsidRPr="000E5786" w:rsidRDefault="004C127E" w:rsidP="00DD60F0">
            <w:pPr>
              <w:rPr>
                <w:rFonts w:cs="Arial"/>
                <w:szCs w:val="20"/>
              </w:rPr>
            </w:pPr>
            <w:r w:rsidRPr="000E5786">
              <w:rPr>
                <w:rFonts w:cs="Arial"/>
                <w:szCs w:val="20"/>
              </w:rPr>
              <w:t xml:space="preserve"> 1,699 </w:t>
            </w:r>
          </w:p>
        </w:tc>
        <w:tc>
          <w:tcPr>
            <w:tcW w:w="709" w:type="dxa"/>
            <w:tcBorders>
              <w:top w:val="nil"/>
              <w:left w:val="nil"/>
              <w:bottom w:val="single" w:sz="4" w:space="0" w:color="auto"/>
              <w:right w:val="single" w:sz="8" w:space="0" w:color="auto"/>
            </w:tcBorders>
            <w:shd w:val="clear" w:color="000000" w:fill="FFFF00"/>
            <w:noWrap/>
            <w:vAlign w:val="bottom"/>
            <w:hideMark/>
          </w:tcPr>
          <w:p w14:paraId="020DFFE1" w14:textId="7A9E8E28"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6E1E07D8" w14:textId="77777777" w:rsidR="004C127E" w:rsidRPr="000E5786" w:rsidRDefault="004C127E" w:rsidP="00DD60F0">
            <w:pPr>
              <w:rPr>
                <w:rFonts w:cs="Arial"/>
                <w:szCs w:val="20"/>
              </w:rPr>
            </w:pPr>
            <w:r w:rsidRPr="000E5786">
              <w:rPr>
                <w:rFonts w:cs="Arial"/>
                <w:szCs w:val="20"/>
              </w:rPr>
              <w:t xml:space="preserve">  1,995 </w:t>
            </w:r>
          </w:p>
        </w:tc>
        <w:tc>
          <w:tcPr>
            <w:tcW w:w="709" w:type="dxa"/>
            <w:tcBorders>
              <w:top w:val="nil"/>
              <w:left w:val="nil"/>
              <w:bottom w:val="single" w:sz="4" w:space="0" w:color="auto"/>
              <w:right w:val="single" w:sz="8" w:space="0" w:color="auto"/>
            </w:tcBorders>
            <w:shd w:val="clear" w:color="000000" w:fill="FFFF00"/>
            <w:noWrap/>
            <w:vAlign w:val="bottom"/>
            <w:hideMark/>
          </w:tcPr>
          <w:p w14:paraId="111FD0A7" w14:textId="2FC07E42" w:rsidR="004C127E" w:rsidRPr="000E5786" w:rsidRDefault="004C127E" w:rsidP="00DD60F0">
            <w:pPr>
              <w:rPr>
                <w:rFonts w:cs="Arial"/>
                <w:szCs w:val="20"/>
              </w:rPr>
            </w:pPr>
            <w:r w:rsidRPr="000E5786">
              <w:rPr>
                <w:rFonts w:cs="Arial"/>
                <w:szCs w:val="20"/>
              </w:rPr>
              <w:t xml:space="preserve">755 </w:t>
            </w:r>
          </w:p>
        </w:tc>
      </w:tr>
      <w:tr w:rsidR="000549F2" w:rsidRPr="000E5786" w14:paraId="5681CC09" w14:textId="77777777" w:rsidTr="006E7B8A">
        <w:trPr>
          <w:trHeight w:val="225"/>
        </w:trPr>
        <w:tc>
          <w:tcPr>
            <w:tcW w:w="710" w:type="dxa"/>
            <w:vMerge/>
            <w:tcBorders>
              <w:top w:val="single" w:sz="8" w:space="0" w:color="auto"/>
              <w:left w:val="single" w:sz="8" w:space="0" w:color="auto"/>
              <w:bottom w:val="single" w:sz="4" w:space="0" w:color="auto"/>
              <w:right w:val="single" w:sz="8" w:space="0" w:color="auto"/>
            </w:tcBorders>
            <w:vAlign w:val="center"/>
            <w:hideMark/>
          </w:tcPr>
          <w:p w14:paraId="2E4F51BD" w14:textId="77777777" w:rsidR="004C127E" w:rsidRPr="000E5786" w:rsidRDefault="004C127E" w:rsidP="00DD60F0">
            <w:pPr>
              <w:rPr>
                <w:rFonts w:cs="Arial"/>
                <w:b/>
                <w:bCs/>
                <w:szCs w:val="20"/>
              </w:rPr>
            </w:pPr>
          </w:p>
        </w:tc>
        <w:tc>
          <w:tcPr>
            <w:tcW w:w="1559" w:type="dxa"/>
            <w:vMerge/>
            <w:tcBorders>
              <w:top w:val="nil"/>
              <w:left w:val="single" w:sz="8" w:space="0" w:color="auto"/>
              <w:bottom w:val="single" w:sz="8" w:space="0" w:color="000000"/>
              <w:right w:val="single" w:sz="4" w:space="0" w:color="auto"/>
            </w:tcBorders>
            <w:vAlign w:val="center"/>
            <w:hideMark/>
          </w:tcPr>
          <w:p w14:paraId="33FF84AC"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6C91791F" w14:textId="77777777" w:rsidR="004C127E" w:rsidRPr="000E5786" w:rsidRDefault="004C127E" w:rsidP="006E7B8A">
            <w:pPr>
              <w:ind w:left="0" w:firstLine="0"/>
              <w:jc w:val="left"/>
              <w:rPr>
                <w:rFonts w:cs="Arial"/>
                <w:szCs w:val="20"/>
              </w:rPr>
            </w:pPr>
            <w:r w:rsidRPr="000E5786">
              <w:rPr>
                <w:rFonts w:cs="Arial"/>
                <w:szCs w:val="20"/>
              </w:rPr>
              <w:t>Asset management</w:t>
            </w:r>
          </w:p>
        </w:tc>
        <w:tc>
          <w:tcPr>
            <w:tcW w:w="992" w:type="dxa"/>
            <w:tcBorders>
              <w:top w:val="nil"/>
              <w:left w:val="nil"/>
              <w:bottom w:val="single" w:sz="4" w:space="0" w:color="auto"/>
              <w:right w:val="single" w:sz="4" w:space="0" w:color="auto"/>
            </w:tcBorders>
            <w:shd w:val="clear" w:color="auto" w:fill="auto"/>
            <w:noWrap/>
            <w:vAlign w:val="bottom"/>
            <w:hideMark/>
          </w:tcPr>
          <w:p w14:paraId="23E094C6" w14:textId="77777777" w:rsidR="004C127E" w:rsidRPr="000E5786" w:rsidRDefault="004C127E" w:rsidP="00DD60F0">
            <w:pPr>
              <w:jc w:val="center"/>
              <w:rPr>
                <w:rFonts w:cs="Arial"/>
                <w:szCs w:val="20"/>
              </w:rPr>
            </w:pPr>
            <w:r w:rsidRPr="000E5786">
              <w:rPr>
                <w:rFonts w:cs="Arial"/>
                <w:szCs w:val="20"/>
              </w:rPr>
              <w:t>ASMG</w:t>
            </w:r>
          </w:p>
        </w:tc>
        <w:tc>
          <w:tcPr>
            <w:tcW w:w="567" w:type="dxa"/>
            <w:tcBorders>
              <w:top w:val="nil"/>
              <w:left w:val="nil"/>
              <w:bottom w:val="single" w:sz="4" w:space="0" w:color="auto"/>
              <w:right w:val="single" w:sz="4" w:space="0" w:color="auto"/>
            </w:tcBorders>
            <w:shd w:val="clear" w:color="000000" w:fill="FFFF00"/>
            <w:noWrap/>
            <w:vAlign w:val="bottom"/>
            <w:hideMark/>
          </w:tcPr>
          <w:p w14:paraId="79B822CE" w14:textId="06B868D8"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8" w:space="0" w:color="auto"/>
            </w:tcBorders>
            <w:shd w:val="clear" w:color="000000" w:fill="FFFF00"/>
            <w:noWrap/>
            <w:vAlign w:val="bottom"/>
            <w:hideMark/>
          </w:tcPr>
          <w:p w14:paraId="281C1F7D" w14:textId="6B9AE927"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59F0D28E" w14:textId="30EF7056"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06CA6AC1" w14:textId="6CB54DC2"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1E6E2770" w14:textId="0275065D"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02EBA572" w14:textId="5E81CD10"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2536AAE8" w14:textId="34A4D042"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3D474B5E" w14:textId="31D63E9B"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732331C2" w14:textId="032C96DB"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2838CCCC" w14:textId="60A3FB2A"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2615888D" w14:textId="77777777" w:rsidR="004C127E" w:rsidRPr="000E5786" w:rsidRDefault="004C127E" w:rsidP="00DD60F0">
            <w:pPr>
              <w:rPr>
                <w:rFonts w:cs="Arial"/>
                <w:szCs w:val="20"/>
              </w:rPr>
            </w:pPr>
            <w:r w:rsidRPr="000E5786">
              <w:rPr>
                <w:rFonts w:cs="Arial"/>
                <w:szCs w:val="20"/>
              </w:rPr>
              <w:t xml:space="preserve"> 1,699 </w:t>
            </w:r>
          </w:p>
        </w:tc>
        <w:tc>
          <w:tcPr>
            <w:tcW w:w="709" w:type="dxa"/>
            <w:tcBorders>
              <w:top w:val="nil"/>
              <w:left w:val="nil"/>
              <w:bottom w:val="single" w:sz="4" w:space="0" w:color="auto"/>
              <w:right w:val="single" w:sz="8" w:space="0" w:color="auto"/>
            </w:tcBorders>
            <w:shd w:val="clear" w:color="000000" w:fill="FFFF00"/>
            <w:noWrap/>
            <w:vAlign w:val="bottom"/>
            <w:hideMark/>
          </w:tcPr>
          <w:p w14:paraId="232445EB" w14:textId="0DE76F87"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419B00CB" w14:textId="77777777" w:rsidR="004C127E" w:rsidRPr="000E5786" w:rsidRDefault="004C127E" w:rsidP="00DD60F0">
            <w:pPr>
              <w:rPr>
                <w:rFonts w:cs="Arial"/>
                <w:szCs w:val="20"/>
              </w:rPr>
            </w:pPr>
            <w:r w:rsidRPr="000E5786">
              <w:rPr>
                <w:rFonts w:cs="Arial"/>
                <w:szCs w:val="20"/>
              </w:rPr>
              <w:t xml:space="preserve">  1,995 </w:t>
            </w:r>
          </w:p>
        </w:tc>
        <w:tc>
          <w:tcPr>
            <w:tcW w:w="709" w:type="dxa"/>
            <w:tcBorders>
              <w:top w:val="nil"/>
              <w:left w:val="nil"/>
              <w:bottom w:val="single" w:sz="4" w:space="0" w:color="auto"/>
              <w:right w:val="single" w:sz="8" w:space="0" w:color="auto"/>
            </w:tcBorders>
            <w:shd w:val="clear" w:color="000000" w:fill="FFFF00"/>
            <w:noWrap/>
            <w:vAlign w:val="bottom"/>
            <w:hideMark/>
          </w:tcPr>
          <w:p w14:paraId="727A3CF7" w14:textId="02AE3C6D" w:rsidR="004C127E" w:rsidRPr="000E5786" w:rsidRDefault="004C127E" w:rsidP="00DD60F0">
            <w:pPr>
              <w:rPr>
                <w:rFonts w:cs="Arial"/>
                <w:szCs w:val="20"/>
              </w:rPr>
            </w:pPr>
            <w:r w:rsidRPr="000E5786">
              <w:rPr>
                <w:rFonts w:cs="Arial"/>
                <w:szCs w:val="20"/>
              </w:rPr>
              <w:t xml:space="preserve">755 </w:t>
            </w:r>
          </w:p>
        </w:tc>
      </w:tr>
      <w:tr w:rsidR="000549F2" w:rsidRPr="000E5786" w14:paraId="0DB232D6" w14:textId="77777777" w:rsidTr="006E7B8A">
        <w:trPr>
          <w:trHeight w:val="225"/>
        </w:trPr>
        <w:tc>
          <w:tcPr>
            <w:tcW w:w="710" w:type="dxa"/>
            <w:vMerge/>
            <w:tcBorders>
              <w:top w:val="single" w:sz="8" w:space="0" w:color="auto"/>
              <w:left w:val="single" w:sz="8" w:space="0" w:color="auto"/>
              <w:bottom w:val="single" w:sz="4" w:space="0" w:color="auto"/>
              <w:right w:val="single" w:sz="8" w:space="0" w:color="auto"/>
            </w:tcBorders>
            <w:vAlign w:val="center"/>
            <w:hideMark/>
          </w:tcPr>
          <w:p w14:paraId="4C7D5C4C" w14:textId="77777777" w:rsidR="004C127E" w:rsidRPr="000E5786" w:rsidRDefault="004C127E" w:rsidP="00DD60F0">
            <w:pPr>
              <w:rPr>
                <w:rFonts w:cs="Arial"/>
                <w:b/>
                <w:bCs/>
                <w:szCs w:val="20"/>
              </w:rPr>
            </w:pPr>
          </w:p>
        </w:tc>
        <w:tc>
          <w:tcPr>
            <w:tcW w:w="1559" w:type="dxa"/>
            <w:vMerge/>
            <w:tcBorders>
              <w:top w:val="nil"/>
              <w:left w:val="single" w:sz="8" w:space="0" w:color="auto"/>
              <w:bottom w:val="single" w:sz="8" w:space="0" w:color="000000"/>
              <w:right w:val="single" w:sz="4" w:space="0" w:color="auto"/>
            </w:tcBorders>
            <w:vAlign w:val="center"/>
            <w:hideMark/>
          </w:tcPr>
          <w:p w14:paraId="004AA016"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49EC229D" w14:textId="77777777" w:rsidR="004C127E" w:rsidRPr="000E5786" w:rsidRDefault="004C127E" w:rsidP="006E7B8A">
            <w:pPr>
              <w:ind w:left="0" w:firstLine="0"/>
              <w:jc w:val="left"/>
              <w:rPr>
                <w:rFonts w:cs="Arial"/>
                <w:szCs w:val="20"/>
              </w:rPr>
            </w:pPr>
            <w:r w:rsidRPr="000E5786">
              <w:rPr>
                <w:rFonts w:cs="Arial"/>
                <w:szCs w:val="20"/>
              </w:rPr>
              <w:t>Change management</w:t>
            </w:r>
          </w:p>
        </w:tc>
        <w:tc>
          <w:tcPr>
            <w:tcW w:w="992" w:type="dxa"/>
            <w:tcBorders>
              <w:top w:val="nil"/>
              <w:left w:val="nil"/>
              <w:bottom w:val="single" w:sz="4" w:space="0" w:color="auto"/>
              <w:right w:val="single" w:sz="4" w:space="0" w:color="auto"/>
            </w:tcBorders>
            <w:shd w:val="clear" w:color="auto" w:fill="auto"/>
            <w:noWrap/>
            <w:vAlign w:val="bottom"/>
            <w:hideMark/>
          </w:tcPr>
          <w:p w14:paraId="02F8CAD7" w14:textId="77777777" w:rsidR="004C127E" w:rsidRPr="000E5786" w:rsidRDefault="004C127E" w:rsidP="00DD60F0">
            <w:pPr>
              <w:jc w:val="center"/>
              <w:rPr>
                <w:rFonts w:cs="Arial"/>
                <w:szCs w:val="20"/>
              </w:rPr>
            </w:pPr>
            <w:r w:rsidRPr="000E5786">
              <w:rPr>
                <w:rFonts w:cs="Arial"/>
                <w:szCs w:val="20"/>
              </w:rPr>
              <w:t>CHMG</w:t>
            </w:r>
          </w:p>
        </w:tc>
        <w:tc>
          <w:tcPr>
            <w:tcW w:w="567" w:type="dxa"/>
            <w:tcBorders>
              <w:top w:val="nil"/>
              <w:left w:val="nil"/>
              <w:bottom w:val="single" w:sz="4" w:space="0" w:color="auto"/>
              <w:right w:val="single" w:sz="4" w:space="0" w:color="auto"/>
            </w:tcBorders>
            <w:shd w:val="clear" w:color="000000" w:fill="FFFF00"/>
            <w:noWrap/>
            <w:vAlign w:val="bottom"/>
            <w:hideMark/>
          </w:tcPr>
          <w:p w14:paraId="1D8A47E4" w14:textId="7150E5C8"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8" w:space="0" w:color="auto"/>
            </w:tcBorders>
            <w:shd w:val="clear" w:color="000000" w:fill="FFFF00"/>
            <w:noWrap/>
            <w:vAlign w:val="bottom"/>
            <w:hideMark/>
          </w:tcPr>
          <w:p w14:paraId="5CF4A8A1" w14:textId="478C0EBD"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30F61F2D" w14:textId="631E3469"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6D16D065" w14:textId="18CD927D"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1F45A4BC" w14:textId="21797FEE"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4DCD8575" w14:textId="4D2DA1FB"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6085A614" w14:textId="6AABEFD3"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02413F89" w14:textId="611C6318"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1C2F1E53" w14:textId="191269B6"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56AB086E" w14:textId="726E245C"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7A6F503B" w14:textId="77777777" w:rsidR="004C127E" w:rsidRPr="000E5786" w:rsidRDefault="004C127E" w:rsidP="00DD60F0">
            <w:pPr>
              <w:rPr>
                <w:rFonts w:cs="Arial"/>
                <w:szCs w:val="20"/>
              </w:rPr>
            </w:pPr>
            <w:r w:rsidRPr="000E5786">
              <w:rPr>
                <w:rFonts w:cs="Arial"/>
                <w:szCs w:val="20"/>
              </w:rPr>
              <w:t xml:space="preserve"> 1,699 </w:t>
            </w:r>
          </w:p>
        </w:tc>
        <w:tc>
          <w:tcPr>
            <w:tcW w:w="709" w:type="dxa"/>
            <w:tcBorders>
              <w:top w:val="nil"/>
              <w:left w:val="nil"/>
              <w:bottom w:val="single" w:sz="4" w:space="0" w:color="auto"/>
              <w:right w:val="single" w:sz="8" w:space="0" w:color="auto"/>
            </w:tcBorders>
            <w:shd w:val="clear" w:color="000000" w:fill="FFFF00"/>
            <w:noWrap/>
            <w:vAlign w:val="bottom"/>
            <w:hideMark/>
          </w:tcPr>
          <w:p w14:paraId="1B65D355" w14:textId="0675D4F0"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2C692CEF" w14:textId="7176A3DF"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59EDAA7C" w14:textId="6F79940D" w:rsidR="004C127E" w:rsidRPr="000E5786" w:rsidRDefault="004C127E" w:rsidP="00DD60F0">
            <w:pPr>
              <w:rPr>
                <w:rFonts w:cs="Arial"/>
                <w:szCs w:val="20"/>
              </w:rPr>
            </w:pPr>
            <w:r w:rsidRPr="000E5786">
              <w:rPr>
                <w:rFonts w:cs="Arial"/>
                <w:szCs w:val="20"/>
              </w:rPr>
              <w:t xml:space="preserve">755 </w:t>
            </w:r>
          </w:p>
        </w:tc>
      </w:tr>
      <w:tr w:rsidR="000549F2" w:rsidRPr="000E5786" w14:paraId="3D62295B" w14:textId="77777777" w:rsidTr="006E7B8A">
        <w:trPr>
          <w:trHeight w:val="240"/>
        </w:trPr>
        <w:tc>
          <w:tcPr>
            <w:tcW w:w="710" w:type="dxa"/>
            <w:vMerge/>
            <w:tcBorders>
              <w:top w:val="single" w:sz="8" w:space="0" w:color="auto"/>
              <w:left w:val="single" w:sz="8" w:space="0" w:color="auto"/>
              <w:bottom w:val="single" w:sz="4" w:space="0" w:color="auto"/>
              <w:right w:val="single" w:sz="8" w:space="0" w:color="auto"/>
            </w:tcBorders>
            <w:vAlign w:val="center"/>
            <w:hideMark/>
          </w:tcPr>
          <w:p w14:paraId="085502C7" w14:textId="77777777" w:rsidR="004C127E" w:rsidRPr="000E5786" w:rsidRDefault="004C127E" w:rsidP="00DD60F0">
            <w:pPr>
              <w:rPr>
                <w:rFonts w:cs="Arial"/>
                <w:b/>
                <w:bCs/>
                <w:szCs w:val="20"/>
              </w:rPr>
            </w:pPr>
          </w:p>
        </w:tc>
        <w:tc>
          <w:tcPr>
            <w:tcW w:w="1559" w:type="dxa"/>
            <w:vMerge/>
            <w:tcBorders>
              <w:top w:val="nil"/>
              <w:left w:val="single" w:sz="8" w:space="0" w:color="auto"/>
              <w:bottom w:val="single" w:sz="8" w:space="0" w:color="000000"/>
              <w:right w:val="single" w:sz="4" w:space="0" w:color="auto"/>
            </w:tcBorders>
            <w:vAlign w:val="center"/>
            <w:hideMark/>
          </w:tcPr>
          <w:p w14:paraId="40584743" w14:textId="77777777" w:rsidR="004C127E" w:rsidRPr="000E5786" w:rsidRDefault="004C127E" w:rsidP="00DD60F0">
            <w:pPr>
              <w:rPr>
                <w:rFonts w:cs="Arial"/>
                <w:b/>
                <w:bCs/>
                <w:szCs w:val="20"/>
              </w:rPr>
            </w:pPr>
          </w:p>
        </w:tc>
        <w:tc>
          <w:tcPr>
            <w:tcW w:w="1559" w:type="dxa"/>
            <w:tcBorders>
              <w:top w:val="nil"/>
              <w:left w:val="nil"/>
              <w:bottom w:val="single" w:sz="8" w:space="0" w:color="auto"/>
              <w:right w:val="single" w:sz="4" w:space="0" w:color="auto"/>
            </w:tcBorders>
            <w:shd w:val="clear" w:color="auto" w:fill="auto"/>
            <w:noWrap/>
            <w:vAlign w:val="bottom"/>
            <w:hideMark/>
          </w:tcPr>
          <w:p w14:paraId="15B2AD4F" w14:textId="77777777" w:rsidR="004C127E" w:rsidRPr="000E5786" w:rsidRDefault="004C127E" w:rsidP="006E7B8A">
            <w:pPr>
              <w:ind w:left="0" w:firstLine="0"/>
              <w:jc w:val="left"/>
              <w:rPr>
                <w:rFonts w:cs="Arial"/>
                <w:szCs w:val="20"/>
              </w:rPr>
            </w:pPr>
            <w:r w:rsidRPr="000E5786">
              <w:rPr>
                <w:rFonts w:cs="Arial"/>
                <w:szCs w:val="20"/>
              </w:rPr>
              <w:t>Release and deployment</w:t>
            </w:r>
          </w:p>
        </w:tc>
        <w:tc>
          <w:tcPr>
            <w:tcW w:w="992" w:type="dxa"/>
            <w:tcBorders>
              <w:top w:val="nil"/>
              <w:left w:val="nil"/>
              <w:bottom w:val="single" w:sz="8" w:space="0" w:color="auto"/>
              <w:right w:val="single" w:sz="4" w:space="0" w:color="auto"/>
            </w:tcBorders>
            <w:shd w:val="clear" w:color="auto" w:fill="auto"/>
            <w:noWrap/>
            <w:vAlign w:val="bottom"/>
            <w:hideMark/>
          </w:tcPr>
          <w:p w14:paraId="02AF6C9F" w14:textId="77777777" w:rsidR="004C127E" w:rsidRPr="000E5786" w:rsidRDefault="004C127E" w:rsidP="00DD60F0">
            <w:pPr>
              <w:jc w:val="center"/>
              <w:rPr>
                <w:rFonts w:cs="Arial"/>
                <w:szCs w:val="20"/>
              </w:rPr>
            </w:pPr>
            <w:r w:rsidRPr="000E5786">
              <w:rPr>
                <w:rFonts w:cs="Arial"/>
                <w:szCs w:val="20"/>
              </w:rPr>
              <w:t>RELM</w:t>
            </w:r>
          </w:p>
        </w:tc>
        <w:tc>
          <w:tcPr>
            <w:tcW w:w="567" w:type="dxa"/>
            <w:tcBorders>
              <w:top w:val="nil"/>
              <w:left w:val="nil"/>
              <w:bottom w:val="single" w:sz="8" w:space="0" w:color="auto"/>
              <w:right w:val="single" w:sz="4" w:space="0" w:color="auto"/>
            </w:tcBorders>
            <w:shd w:val="clear" w:color="000000" w:fill="FFFF00"/>
            <w:noWrap/>
            <w:vAlign w:val="bottom"/>
            <w:hideMark/>
          </w:tcPr>
          <w:p w14:paraId="1EE6B6BA" w14:textId="2631A23F"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8" w:space="0" w:color="auto"/>
              <w:right w:val="single" w:sz="8" w:space="0" w:color="auto"/>
            </w:tcBorders>
            <w:shd w:val="clear" w:color="000000" w:fill="FFFF00"/>
            <w:noWrap/>
            <w:vAlign w:val="bottom"/>
            <w:hideMark/>
          </w:tcPr>
          <w:p w14:paraId="13FCC26F" w14:textId="592A178A"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8" w:space="0" w:color="auto"/>
              <w:right w:val="single" w:sz="4" w:space="0" w:color="auto"/>
            </w:tcBorders>
            <w:shd w:val="clear" w:color="000000" w:fill="FFFF00"/>
            <w:noWrap/>
            <w:vAlign w:val="bottom"/>
            <w:hideMark/>
          </w:tcPr>
          <w:p w14:paraId="62BBE407" w14:textId="2D65E828"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8" w:space="0" w:color="auto"/>
              <w:right w:val="single" w:sz="8" w:space="0" w:color="auto"/>
            </w:tcBorders>
            <w:shd w:val="clear" w:color="000000" w:fill="FFFF00"/>
            <w:noWrap/>
            <w:vAlign w:val="bottom"/>
            <w:hideMark/>
          </w:tcPr>
          <w:p w14:paraId="5D27DA3A" w14:textId="39881F8C"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8" w:space="0" w:color="auto"/>
              <w:right w:val="single" w:sz="4" w:space="0" w:color="auto"/>
            </w:tcBorders>
            <w:shd w:val="clear" w:color="000000" w:fill="FFFF00"/>
            <w:noWrap/>
            <w:vAlign w:val="bottom"/>
            <w:hideMark/>
          </w:tcPr>
          <w:p w14:paraId="5CEBBC4F" w14:textId="362F0F9B"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8" w:space="0" w:color="auto"/>
              <w:right w:val="single" w:sz="8" w:space="0" w:color="auto"/>
            </w:tcBorders>
            <w:shd w:val="clear" w:color="000000" w:fill="FFFF00"/>
            <w:noWrap/>
            <w:vAlign w:val="bottom"/>
            <w:hideMark/>
          </w:tcPr>
          <w:p w14:paraId="5AA4095A" w14:textId="46768DAB"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8" w:space="0" w:color="auto"/>
              <w:right w:val="single" w:sz="4" w:space="0" w:color="auto"/>
            </w:tcBorders>
            <w:shd w:val="clear" w:color="000000" w:fill="FFFF00"/>
            <w:noWrap/>
            <w:vAlign w:val="bottom"/>
            <w:hideMark/>
          </w:tcPr>
          <w:p w14:paraId="620795B0" w14:textId="4D25A33A"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8" w:space="0" w:color="auto"/>
              <w:right w:val="single" w:sz="8" w:space="0" w:color="auto"/>
            </w:tcBorders>
            <w:shd w:val="clear" w:color="000000" w:fill="FFFF00"/>
            <w:noWrap/>
            <w:vAlign w:val="bottom"/>
            <w:hideMark/>
          </w:tcPr>
          <w:p w14:paraId="58067287" w14:textId="37F3B433"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8" w:space="0" w:color="auto"/>
              <w:right w:val="single" w:sz="4" w:space="0" w:color="auto"/>
            </w:tcBorders>
            <w:shd w:val="clear" w:color="000000" w:fill="FFFF00"/>
            <w:noWrap/>
            <w:vAlign w:val="bottom"/>
            <w:hideMark/>
          </w:tcPr>
          <w:p w14:paraId="0A648CF9" w14:textId="1B54D0FC"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8" w:space="0" w:color="auto"/>
              <w:right w:val="single" w:sz="8" w:space="0" w:color="auto"/>
            </w:tcBorders>
            <w:shd w:val="clear" w:color="000000" w:fill="FFFF00"/>
            <w:noWrap/>
            <w:vAlign w:val="bottom"/>
            <w:hideMark/>
          </w:tcPr>
          <w:p w14:paraId="4E80DD76" w14:textId="1FE21FD3"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8" w:space="0" w:color="auto"/>
              <w:right w:val="single" w:sz="4" w:space="0" w:color="auto"/>
            </w:tcBorders>
            <w:shd w:val="clear" w:color="000000" w:fill="FFFF00"/>
            <w:noWrap/>
            <w:vAlign w:val="bottom"/>
            <w:hideMark/>
          </w:tcPr>
          <w:p w14:paraId="40BCC9C4" w14:textId="77777777" w:rsidR="004C127E" w:rsidRPr="000E5786" w:rsidRDefault="004C127E" w:rsidP="00DD60F0">
            <w:pPr>
              <w:rPr>
                <w:rFonts w:cs="Arial"/>
                <w:szCs w:val="20"/>
              </w:rPr>
            </w:pPr>
            <w:r w:rsidRPr="000E5786">
              <w:rPr>
                <w:rFonts w:cs="Arial"/>
                <w:szCs w:val="20"/>
              </w:rPr>
              <w:t xml:space="preserve"> 1,699 </w:t>
            </w:r>
          </w:p>
        </w:tc>
        <w:tc>
          <w:tcPr>
            <w:tcW w:w="709" w:type="dxa"/>
            <w:tcBorders>
              <w:top w:val="nil"/>
              <w:left w:val="nil"/>
              <w:bottom w:val="single" w:sz="8" w:space="0" w:color="auto"/>
              <w:right w:val="single" w:sz="8" w:space="0" w:color="auto"/>
            </w:tcBorders>
            <w:shd w:val="clear" w:color="000000" w:fill="FFFF00"/>
            <w:noWrap/>
            <w:vAlign w:val="bottom"/>
            <w:hideMark/>
          </w:tcPr>
          <w:p w14:paraId="25952C23" w14:textId="40EBB80C"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8" w:space="0" w:color="auto"/>
              <w:right w:val="single" w:sz="4" w:space="0" w:color="auto"/>
            </w:tcBorders>
            <w:shd w:val="clear" w:color="000000" w:fill="FFFF00"/>
            <w:noWrap/>
            <w:vAlign w:val="bottom"/>
            <w:hideMark/>
          </w:tcPr>
          <w:p w14:paraId="66CAFC93" w14:textId="77777777" w:rsidR="004C127E" w:rsidRPr="000E5786" w:rsidRDefault="004C127E" w:rsidP="00DD60F0">
            <w:pPr>
              <w:rPr>
                <w:rFonts w:cs="Arial"/>
                <w:szCs w:val="20"/>
              </w:rPr>
            </w:pPr>
            <w:r w:rsidRPr="000E5786">
              <w:rPr>
                <w:rFonts w:cs="Arial"/>
                <w:szCs w:val="20"/>
              </w:rPr>
              <w:t xml:space="preserve">  1,995 </w:t>
            </w:r>
          </w:p>
        </w:tc>
        <w:tc>
          <w:tcPr>
            <w:tcW w:w="709" w:type="dxa"/>
            <w:tcBorders>
              <w:top w:val="nil"/>
              <w:left w:val="nil"/>
              <w:bottom w:val="single" w:sz="8" w:space="0" w:color="auto"/>
              <w:right w:val="single" w:sz="8" w:space="0" w:color="auto"/>
            </w:tcBorders>
            <w:shd w:val="clear" w:color="000000" w:fill="FFFF00"/>
            <w:noWrap/>
            <w:vAlign w:val="bottom"/>
            <w:hideMark/>
          </w:tcPr>
          <w:p w14:paraId="144886A5" w14:textId="2E006865" w:rsidR="004C127E" w:rsidRPr="000E5786" w:rsidRDefault="004C127E" w:rsidP="00DD60F0">
            <w:pPr>
              <w:rPr>
                <w:rFonts w:cs="Arial"/>
                <w:szCs w:val="20"/>
              </w:rPr>
            </w:pPr>
            <w:r w:rsidRPr="000E5786">
              <w:rPr>
                <w:rFonts w:cs="Arial"/>
                <w:szCs w:val="20"/>
              </w:rPr>
              <w:t xml:space="preserve">755 </w:t>
            </w:r>
          </w:p>
        </w:tc>
      </w:tr>
      <w:tr w:rsidR="000549F2" w:rsidRPr="000E5786" w14:paraId="4BDC8300" w14:textId="77777777" w:rsidTr="006E7B8A">
        <w:trPr>
          <w:trHeight w:val="240"/>
        </w:trPr>
        <w:tc>
          <w:tcPr>
            <w:tcW w:w="710" w:type="dxa"/>
            <w:vMerge/>
            <w:tcBorders>
              <w:top w:val="single" w:sz="8" w:space="0" w:color="auto"/>
              <w:left w:val="single" w:sz="8" w:space="0" w:color="auto"/>
              <w:bottom w:val="single" w:sz="4" w:space="0" w:color="auto"/>
              <w:right w:val="single" w:sz="8" w:space="0" w:color="auto"/>
            </w:tcBorders>
            <w:vAlign w:val="center"/>
            <w:hideMark/>
          </w:tcPr>
          <w:p w14:paraId="79D9517C" w14:textId="77777777" w:rsidR="004C127E" w:rsidRPr="000E5786" w:rsidRDefault="004C127E" w:rsidP="00DD60F0">
            <w:pPr>
              <w:rPr>
                <w:rFonts w:cs="Arial"/>
                <w:b/>
                <w:bCs/>
                <w:szCs w:val="20"/>
              </w:rPr>
            </w:pPr>
          </w:p>
        </w:tc>
        <w:tc>
          <w:tcPr>
            <w:tcW w:w="1559" w:type="dxa"/>
            <w:vMerge w:val="restart"/>
            <w:tcBorders>
              <w:top w:val="nil"/>
              <w:left w:val="single" w:sz="8" w:space="0" w:color="auto"/>
              <w:bottom w:val="single" w:sz="4" w:space="0" w:color="auto"/>
              <w:right w:val="single" w:sz="4" w:space="0" w:color="auto"/>
            </w:tcBorders>
            <w:shd w:val="clear" w:color="auto" w:fill="auto"/>
            <w:vAlign w:val="center"/>
            <w:hideMark/>
          </w:tcPr>
          <w:p w14:paraId="2118028D" w14:textId="77777777" w:rsidR="004C127E" w:rsidRPr="000E5786" w:rsidRDefault="004C127E" w:rsidP="006E7B8A">
            <w:pPr>
              <w:ind w:left="0" w:firstLine="0"/>
              <w:jc w:val="center"/>
              <w:rPr>
                <w:rFonts w:cs="Arial"/>
                <w:b/>
                <w:bCs/>
                <w:szCs w:val="20"/>
              </w:rPr>
            </w:pPr>
            <w:r w:rsidRPr="000E5786">
              <w:rPr>
                <w:rFonts w:cs="Arial"/>
                <w:b/>
                <w:bCs/>
                <w:szCs w:val="20"/>
              </w:rPr>
              <w:t>Service operation</w:t>
            </w:r>
          </w:p>
        </w:tc>
        <w:tc>
          <w:tcPr>
            <w:tcW w:w="1559" w:type="dxa"/>
            <w:tcBorders>
              <w:top w:val="nil"/>
              <w:left w:val="nil"/>
              <w:bottom w:val="single" w:sz="4" w:space="0" w:color="auto"/>
              <w:right w:val="single" w:sz="4" w:space="0" w:color="auto"/>
            </w:tcBorders>
            <w:shd w:val="clear" w:color="auto" w:fill="auto"/>
            <w:noWrap/>
            <w:vAlign w:val="bottom"/>
            <w:hideMark/>
          </w:tcPr>
          <w:p w14:paraId="3126A27B" w14:textId="77777777" w:rsidR="004C127E" w:rsidRPr="000E5786" w:rsidRDefault="004C127E" w:rsidP="006E7B8A">
            <w:pPr>
              <w:ind w:left="0" w:firstLine="0"/>
              <w:jc w:val="left"/>
              <w:rPr>
                <w:rFonts w:cs="Arial"/>
                <w:szCs w:val="20"/>
              </w:rPr>
            </w:pPr>
            <w:r w:rsidRPr="000E5786">
              <w:rPr>
                <w:rFonts w:cs="Arial"/>
                <w:szCs w:val="20"/>
              </w:rPr>
              <w:t>System software</w:t>
            </w:r>
          </w:p>
        </w:tc>
        <w:tc>
          <w:tcPr>
            <w:tcW w:w="992" w:type="dxa"/>
            <w:tcBorders>
              <w:top w:val="nil"/>
              <w:left w:val="nil"/>
              <w:bottom w:val="single" w:sz="4" w:space="0" w:color="auto"/>
              <w:right w:val="single" w:sz="4" w:space="0" w:color="auto"/>
            </w:tcBorders>
            <w:shd w:val="clear" w:color="auto" w:fill="auto"/>
            <w:noWrap/>
            <w:vAlign w:val="bottom"/>
            <w:hideMark/>
          </w:tcPr>
          <w:p w14:paraId="3234188F" w14:textId="77777777" w:rsidR="004C127E" w:rsidRPr="000E5786" w:rsidRDefault="004C127E" w:rsidP="00DD60F0">
            <w:pPr>
              <w:jc w:val="center"/>
              <w:rPr>
                <w:rFonts w:cs="Arial"/>
                <w:szCs w:val="20"/>
              </w:rPr>
            </w:pPr>
            <w:r w:rsidRPr="000E5786">
              <w:rPr>
                <w:rFonts w:cs="Arial"/>
                <w:szCs w:val="20"/>
              </w:rPr>
              <w:t>SYSP</w:t>
            </w:r>
          </w:p>
        </w:tc>
        <w:tc>
          <w:tcPr>
            <w:tcW w:w="567" w:type="dxa"/>
            <w:tcBorders>
              <w:top w:val="nil"/>
              <w:left w:val="nil"/>
              <w:bottom w:val="single" w:sz="4" w:space="0" w:color="auto"/>
              <w:right w:val="single" w:sz="4" w:space="0" w:color="auto"/>
            </w:tcBorders>
            <w:shd w:val="clear" w:color="000000" w:fill="FFFF00"/>
            <w:noWrap/>
            <w:vAlign w:val="bottom"/>
            <w:hideMark/>
          </w:tcPr>
          <w:p w14:paraId="139EF18E" w14:textId="60B1C1D5"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8" w:space="0" w:color="auto"/>
            </w:tcBorders>
            <w:shd w:val="clear" w:color="000000" w:fill="FFFF00"/>
            <w:noWrap/>
            <w:vAlign w:val="bottom"/>
            <w:hideMark/>
          </w:tcPr>
          <w:p w14:paraId="53A592A0" w14:textId="1E65EBBC"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11F6ED41" w14:textId="008D0AF6"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48F88405" w14:textId="3DEA3072"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00ED9082" w14:textId="5C515E47"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34CD72CA" w14:textId="389ABF6E"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48B985A0" w14:textId="23AEBF8C"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10483317" w14:textId="01F71682"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3CDCC0FD" w14:textId="7F2738FD"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7BE47642" w14:textId="1EC231DC"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0699C5B4" w14:textId="77777777" w:rsidR="004C127E" w:rsidRPr="000E5786" w:rsidRDefault="004C127E" w:rsidP="00DD60F0">
            <w:pPr>
              <w:rPr>
                <w:rFonts w:cs="Arial"/>
                <w:szCs w:val="20"/>
              </w:rPr>
            </w:pPr>
            <w:r w:rsidRPr="000E5786">
              <w:rPr>
                <w:rFonts w:cs="Arial"/>
                <w:szCs w:val="20"/>
              </w:rPr>
              <w:t xml:space="preserve"> 1,699 </w:t>
            </w:r>
          </w:p>
        </w:tc>
        <w:tc>
          <w:tcPr>
            <w:tcW w:w="709" w:type="dxa"/>
            <w:tcBorders>
              <w:top w:val="nil"/>
              <w:left w:val="nil"/>
              <w:bottom w:val="single" w:sz="4" w:space="0" w:color="auto"/>
              <w:right w:val="single" w:sz="8" w:space="0" w:color="auto"/>
            </w:tcBorders>
            <w:shd w:val="clear" w:color="000000" w:fill="FFFF00"/>
            <w:noWrap/>
            <w:vAlign w:val="bottom"/>
            <w:hideMark/>
          </w:tcPr>
          <w:p w14:paraId="54424A74" w14:textId="1AFF775A"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0E2F2999" w14:textId="55927489"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425B83CF" w14:textId="6E8D987D" w:rsidR="004C127E" w:rsidRPr="000E5786" w:rsidRDefault="004C127E" w:rsidP="00DD60F0">
            <w:pPr>
              <w:rPr>
                <w:rFonts w:cs="Arial"/>
                <w:szCs w:val="20"/>
              </w:rPr>
            </w:pPr>
            <w:r w:rsidRPr="000E5786">
              <w:rPr>
                <w:rFonts w:cs="Arial"/>
                <w:szCs w:val="20"/>
              </w:rPr>
              <w:t xml:space="preserve">755 </w:t>
            </w:r>
          </w:p>
        </w:tc>
      </w:tr>
      <w:tr w:rsidR="000549F2" w:rsidRPr="000E5786" w14:paraId="58522435" w14:textId="77777777" w:rsidTr="006E7B8A">
        <w:trPr>
          <w:trHeight w:val="225"/>
        </w:trPr>
        <w:tc>
          <w:tcPr>
            <w:tcW w:w="710" w:type="dxa"/>
            <w:vMerge/>
            <w:tcBorders>
              <w:top w:val="single" w:sz="8" w:space="0" w:color="auto"/>
              <w:left w:val="single" w:sz="8" w:space="0" w:color="auto"/>
              <w:bottom w:val="single" w:sz="4" w:space="0" w:color="auto"/>
              <w:right w:val="single" w:sz="8" w:space="0" w:color="auto"/>
            </w:tcBorders>
            <w:vAlign w:val="center"/>
            <w:hideMark/>
          </w:tcPr>
          <w:p w14:paraId="659A78EE" w14:textId="77777777" w:rsidR="004C127E" w:rsidRPr="000E5786" w:rsidRDefault="004C127E" w:rsidP="00DD60F0">
            <w:pPr>
              <w:rPr>
                <w:rFonts w:cs="Arial"/>
                <w:b/>
                <w:bCs/>
                <w:szCs w:val="20"/>
              </w:rPr>
            </w:pPr>
          </w:p>
        </w:tc>
        <w:tc>
          <w:tcPr>
            <w:tcW w:w="1559" w:type="dxa"/>
            <w:vMerge/>
            <w:tcBorders>
              <w:top w:val="nil"/>
              <w:left w:val="single" w:sz="8" w:space="0" w:color="auto"/>
              <w:bottom w:val="single" w:sz="4" w:space="0" w:color="auto"/>
              <w:right w:val="single" w:sz="4" w:space="0" w:color="auto"/>
            </w:tcBorders>
            <w:vAlign w:val="center"/>
            <w:hideMark/>
          </w:tcPr>
          <w:p w14:paraId="721E2BCF"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0A838CE1" w14:textId="77777777" w:rsidR="004C127E" w:rsidRPr="000E5786" w:rsidRDefault="004C127E" w:rsidP="006E7B8A">
            <w:pPr>
              <w:ind w:left="0" w:firstLine="0"/>
              <w:jc w:val="left"/>
              <w:rPr>
                <w:rFonts w:cs="Arial"/>
                <w:szCs w:val="20"/>
              </w:rPr>
            </w:pPr>
            <w:r w:rsidRPr="000E5786">
              <w:rPr>
                <w:rFonts w:cs="Arial"/>
                <w:szCs w:val="20"/>
              </w:rPr>
              <w:t>Capacity management</w:t>
            </w:r>
          </w:p>
        </w:tc>
        <w:tc>
          <w:tcPr>
            <w:tcW w:w="992" w:type="dxa"/>
            <w:tcBorders>
              <w:top w:val="nil"/>
              <w:left w:val="nil"/>
              <w:bottom w:val="single" w:sz="4" w:space="0" w:color="auto"/>
              <w:right w:val="single" w:sz="4" w:space="0" w:color="auto"/>
            </w:tcBorders>
            <w:shd w:val="clear" w:color="auto" w:fill="auto"/>
            <w:noWrap/>
            <w:vAlign w:val="bottom"/>
            <w:hideMark/>
          </w:tcPr>
          <w:p w14:paraId="73C03DC5" w14:textId="77777777" w:rsidR="004C127E" w:rsidRPr="000E5786" w:rsidRDefault="004C127E" w:rsidP="00DD60F0">
            <w:pPr>
              <w:jc w:val="center"/>
              <w:rPr>
                <w:rFonts w:cs="Arial"/>
                <w:szCs w:val="20"/>
              </w:rPr>
            </w:pPr>
            <w:r w:rsidRPr="000E5786">
              <w:rPr>
                <w:rFonts w:cs="Arial"/>
                <w:szCs w:val="20"/>
              </w:rPr>
              <w:t>CPMG</w:t>
            </w:r>
          </w:p>
        </w:tc>
        <w:tc>
          <w:tcPr>
            <w:tcW w:w="567" w:type="dxa"/>
            <w:tcBorders>
              <w:top w:val="nil"/>
              <w:left w:val="nil"/>
              <w:bottom w:val="single" w:sz="4" w:space="0" w:color="auto"/>
              <w:right w:val="single" w:sz="4" w:space="0" w:color="auto"/>
            </w:tcBorders>
            <w:shd w:val="clear" w:color="000000" w:fill="FFFF00"/>
            <w:noWrap/>
            <w:vAlign w:val="bottom"/>
            <w:hideMark/>
          </w:tcPr>
          <w:p w14:paraId="310EAAF3" w14:textId="491FE2C1"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8" w:space="0" w:color="auto"/>
            </w:tcBorders>
            <w:shd w:val="clear" w:color="000000" w:fill="FFFF00"/>
            <w:noWrap/>
            <w:vAlign w:val="bottom"/>
            <w:hideMark/>
          </w:tcPr>
          <w:p w14:paraId="1AC0F3D6" w14:textId="674ADCF4"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77571E1F" w14:textId="3E0B6A7C"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642B931B" w14:textId="5700FBD3"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76B758C8" w14:textId="63EEAA24"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72D5F906" w14:textId="560205A3"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15BF4B80" w14:textId="269F20E6"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66C02BC3" w14:textId="41BDD37F"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755BD5DE" w14:textId="2A6794F7"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5F28936B" w14:textId="62CA9BCC"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32AC4DC2" w14:textId="11C7D9AC"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172FD5CF" w14:textId="3AF658ED"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212A20DF" w14:textId="17BE53D7"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683BC71A" w14:textId="7BA32D7A" w:rsidR="004C127E" w:rsidRPr="000E5786" w:rsidRDefault="004C127E" w:rsidP="00DD60F0">
            <w:pPr>
              <w:rPr>
                <w:rFonts w:cs="Arial"/>
                <w:szCs w:val="20"/>
              </w:rPr>
            </w:pPr>
            <w:r w:rsidRPr="000E5786">
              <w:rPr>
                <w:rFonts w:cs="Arial"/>
                <w:szCs w:val="20"/>
              </w:rPr>
              <w:t xml:space="preserve">755 </w:t>
            </w:r>
          </w:p>
        </w:tc>
      </w:tr>
      <w:tr w:rsidR="000549F2" w:rsidRPr="000E5786" w14:paraId="46490B8E" w14:textId="77777777" w:rsidTr="006E7B8A">
        <w:trPr>
          <w:trHeight w:val="240"/>
        </w:trPr>
        <w:tc>
          <w:tcPr>
            <w:tcW w:w="710" w:type="dxa"/>
            <w:vMerge/>
            <w:tcBorders>
              <w:top w:val="single" w:sz="8" w:space="0" w:color="auto"/>
              <w:left w:val="single" w:sz="8" w:space="0" w:color="auto"/>
              <w:bottom w:val="single" w:sz="4" w:space="0" w:color="auto"/>
              <w:right w:val="single" w:sz="8" w:space="0" w:color="auto"/>
            </w:tcBorders>
            <w:vAlign w:val="center"/>
            <w:hideMark/>
          </w:tcPr>
          <w:p w14:paraId="6243F771" w14:textId="77777777" w:rsidR="004C127E" w:rsidRPr="000E5786" w:rsidRDefault="004C127E" w:rsidP="00DD60F0">
            <w:pPr>
              <w:rPr>
                <w:rFonts w:cs="Arial"/>
                <w:b/>
                <w:bCs/>
                <w:szCs w:val="20"/>
              </w:rPr>
            </w:pPr>
          </w:p>
        </w:tc>
        <w:tc>
          <w:tcPr>
            <w:tcW w:w="1559" w:type="dxa"/>
            <w:vMerge/>
            <w:tcBorders>
              <w:top w:val="nil"/>
              <w:left w:val="single" w:sz="8" w:space="0" w:color="auto"/>
              <w:bottom w:val="single" w:sz="4" w:space="0" w:color="auto"/>
              <w:right w:val="single" w:sz="4" w:space="0" w:color="auto"/>
            </w:tcBorders>
            <w:vAlign w:val="center"/>
            <w:hideMark/>
          </w:tcPr>
          <w:p w14:paraId="6478A35C"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031FDD30" w14:textId="77777777" w:rsidR="004C127E" w:rsidRPr="000E5786" w:rsidRDefault="004C127E" w:rsidP="006E7B8A">
            <w:pPr>
              <w:ind w:left="0" w:firstLine="0"/>
              <w:jc w:val="left"/>
              <w:rPr>
                <w:rFonts w:cs="Arial"/>
                <w:szCs w:val="20"/>
              </w:rPr>
            </w:pPr>
            <w:r w:rsidRPr="000E5786">
              <w:rPr>
                <w:rFonts w:cs="Arial"/>
                <w:szCs w:val="20"/>
              </w:rPr>
              <w:t>Security administration</w:t>
            </w:r>
          </w:p>
        </w:tc>
        <w:tc>
          <w:tcPr>
            <w:tcW w:w="992" w:type="dxa"/>
            <w:tcBorders>
              <w:top w:val="nil"/>
              <w:left w:val="nil"/>
              <w:bottom w:val="single" w:sz="4" w:space="0" w:color="auto"/>
              <w:right w:val="single" w:sz="4" w:space="0" w:color="auto"/>
            </w:tcBorders>
            <w:shd w:val="clear" w:color="auto" w:fill="auto"/>
            <w:noWrap/>
            <w:vAlign w:val="bottom"/>
            <w:hideMark/>
          </w:tcPr>
          <w:p w14:paraId="787528F7" w14:textId="77777777" w:rsidR="004C127E" w:rsidRPr="000E5786" w:rsidRDefault="004C127E" w:rsidP="00DD60F0">
            <w:pPr>
              <w:jc w:val="center"/>
              <w:rPr>
                <w:rFonts w:cs="Arial"/>
                <w:szCs w:val="20"/>
              </w:rPr>
            </w:pPr>
            <w:r w:rsidRPr="000E5786">
              <w:rPr>
                <w:rFonts w:cs="Arial"/>
                <w:szCs w:val="20"/>
              </w:rPr>
              <w:t>SCAD</w:t>
            </w:r>
          </w:p>
        </w:tc>
        <w:tc>
          <w:tcPr>
            <w:tcW w:w="567" w:type="dxa"/>
            <w:tcBorders>
              <w:top w:val="nil"/>
              <w:left w:val="nil"/>
              <w:bottom w:val="single" w:sz="4" w:space="0" w:color="auto"/>
              <w:right w:val="single" w:sz="4" w:space="0" w:color="auto"/>
            </w:tcBorders>
            <w:shd w:val="clear" w:color="000000" w:fill="FFFF00"/>
            <w:noWrap/>
            <w:vAlign w:val="bottom"/>
            <w:hideMark/>
          </w:tcPr>
          <w:p w14:paraId="41B18438" w14:textId="3E14A160"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8" w:space="0" w:color="auto"/>
            </w:tcBorders>
            <w:shd w:val="clear" w:color="000000" w:fill="FFFF00"/>
            <w:noWrap/>
            <w:vAlign w:val="bottom"/>
            <w:hideMark/>
          </w:tcPr>
          <w:p w14:paraId="522A25E5" w14:textId="387FA3B0"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35FC9BF5" w14:textId="13B7592D"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36F7D0B5" w14:textId="7BE4DCB3"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5C0E8D43" w14:textId="15F3B890"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354E378E" w14:textId="41FC37C4"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14B611DD" w14:textId="03F430AD"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27D80582" w14:textId="49FC017D"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255804E0" w14:textId="63D1EB6E"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3CBFC524" w14:textId="0741BEB2"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23FABFA9" w14:textId="003D5D14"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6597781B" w14:textId="4D287466"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7EE7891C" w14:textId="2406465F"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1383E731" w14:textId="1FC68028" w:rsidR="004C127E" w:rsidRPr="000E5786" w:rsidRDefault="004C127E" w:rsidP="00DD60F0">
            <w:pPr>
              <w:rPr>
                <w:rFonts w:cs="Arial"/>
                <w:szCs w:val="20"/>
              </w:rPr>
            </w:pPr>
            <w:r w:rsidRPr="000E5786">
              <w:rPr>
                <w:rFonts w:cs="Arial"/>
                <w:szCs w:val="20"/>
              </w:rPr>
              <w:t xml:space="preserve">755 </w:t>
            </w:r>
          </w:p>
        </w:tc>
      </w:tr>
      <w:tr w:rsidR="000549F2" w:rsidRPr="000E5786" w14:paraId="2C784121" w14:textId="77777777" w:rsidTr="006E7B8A">
        <w:trPr>
          <w:trHeight w:val="225"/>
        </w:trPr>
        <w:tc>
          <w:tcPr>
            <w:tcW w:w="710" w:type="dxa"/>
            <w:vMerge/>
            <w:tcBorders>
              <w:top w:val="single" w:sz="8" w:space="0" w:color="auto"/>
              <w:left w:val="single" w:sz="8" w:space="0" w:color="auto"/>
              <w:bottom w:val="single" w:sz="4" w:space="0" w:color="auto"/>
              <w:right w:val="single" w:sz="8" w:space="0" w:color="auto"/>
            </w:tcBorders>
            <w:vAlign w:val="center"/>
            <w:hideMark/>
          </w:tcPr>
          <w:p w14:paraId="7B4D2EBC" w14:textId="77777777" w:rsidR="004C127E" w:rsidRPr="000E5786" w:rsidRDefault="004C127E" w:rsidP="00DD60F0">
            <w:pPr>
              <w:rPr>
                <w:rFonts w:cs="Arial"/>
                <w:b/>
                <w:bCs/>
                <w:szCs w:val="20"/>
              </w:rPr>
            </w:pPr>
          </w:p>
        </w:tc>
        <w:tc>
          <w:tcPr>
            <w:tcW w:w="1559" w:type="dxa"/>
            <w:vMerge/>
            <w:tcBorders>
              <w:top w:val="nil"/>
              <w:left w:val="single" w:sz="8" w:space="0" w:color="auto"/>
              <w:bottom w:val="single" w:sz="4" w:space="0" w:color="auto"/>
              <w:right w:val="single" w:sz="4" w:space="0" w:color="auto"/>
            </w:tcBorders>
            <w:vAlign w:val="center"/>
            <w:hideMark/>
          </w:tcPr>
          <w:p w14:paraId="5B06CE91"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2F2F7CA6" w14:textId="77777777" w:rsidR="004C127E" w:rsidRPr="000E5786" w:rsidRDefault="004C127E" w:rsidP="006E7B8A">
            <w:pPr>
              <w:ind w:left="0" w:firstLine="0"/>
              <w:jc w:val="left"/>
              <w:rPr>
                <w:rFonts w:cs="Arial"/>
                <w:szCs w:val="20"/>
              </w:rPr>
            </w:pPr>
            <w:r w:rsidRPr="000E5786">
              <w:rPr>
                <w:rFonts w:cs="Arial"/>
                <w:szCs w:val="20"/>
              </w:rPr>
              <w:t>Penetration testing</w:t>
            </w:r>
          </w:p>
        </w:tc>
        <w:tc>
          <w:tcPr>
            <w:tcW w:w="992" w:type="dxa"/>
            <w:tcBorders>
              <w:top w:val="nil"/>
              <w:left w:val="nil"/>
              <w:bottom w:val="single" w:sz="4" w:space="0" w:color="auto"/>
              <w:right w:val="single" w:sz="4" w:space="0" w:color="auto"/>
            </w:tcBorders>
            <w:shd w:val="clear" w:color="auto" w:fill="auto"/>
            <w:noWrap/>
            <w:vAlign w:val="bottom"/>
            <w:hideMark/>
          </w:tcPr>
          <w:p w14:paraId="4BCDBC54" w14:textId="77777777" w:rsidR="004C127E" w:rsidRPr="000E5786" w:rsidRDefault="004C127E" w:rsidP="00DD60F0">
            <w:pPr>
              <w:jc w:val="center"/>
              <w:rPr>
                <w:rFonts w:cs="Arial"/>
                <w:szCs w:val="20"/>
              </w:rPr>
            </w:pPr>
            <w:r w:rsidRPr="000E5786">
              <w:rPr>
                <w:rFonts w:cs="Arial"/>
                <w:szCs w:val="20"/>
              </w:rPr>
              <w:t>PENT</w:t>
            </w:r>
          </w:p>
        </w:tc>
        <w:tc>
          <w:tcPr>
            <w:tcW w:w="567" w:type="dxa"/>
            <w:tcBorders>
              <w:top w:val="nil"/>
              <w:left w:val="nil"/>
              <w:bottom w:val="single" w:sz="4" w:space="0" w:color="auto"/>
              <w:right w:val="single" w:sz="4" w:space="0" w:color="auto"/>
            </w:tcBorders>
            <w:shd w:val="clear" w:color="000000" w:fill="FFFF00"/>
            <w:noWrap/>
            <w:vAlign w:val="bottom"/>
            <w:hideMark/>
          </w:tcPr>
          <w:p w14:paraId="2EBEBC0E" w14:textId="1D2F499D"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8" w:space="0" w:color="auto"/>
            </w:tcBorders>
            <w:shd w:val="clear" w:color="000000" w:fill="FFFF00"/>
            <w:noWrap/>
            <w:vAlign w:val="bottom"/>
            <w:hideMark/>
          </w:tcPr>
          <w:p w14:paraId="6641413F" w14:textId="3A27BFA9"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7070F7C2" w14:textId="21F09601"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38DDC091" w14:textId="25B77583"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2E315484" w14:textId="0A23F191"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35841DA0" w14:textId="1FF70C63"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28715C84" w14:textId="63A2FB18"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1FF7022E" w14:textId="7E87AC58"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621B6A76" w14:textId="35EBAA00"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50D02335" w14:textId="2CE5898F"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5BE38923" w14:textId="77777777" w:rsidR="004C127E" w:rsidRPr="000E5786" w:rsidRDefault="004C127E" w:rsidP="00DD60F0">
            <w:pPr>
              <w:rPr>
                <w:rFonts w:cs="Arial"/>
                <w:szCs w:val="20"/>
              </w:rPr>
            </w:pPr>
            <w:r w:rsidRPr="000E5786">
              <w:rPr>
                <w:rFonts w:cs="Arial"/>
                <w:szCs w:val="20"/>
              </w:rPr>
              <w:t xml:space="preserve"> 1,699 </w:t>
            </w:r>
          </w:p>
        </w:tc>
        <w:tc>
          <w:tcPr>
            <w:tcW w:w="709" w:type="dxa"/>
            <w:tcBorders>
              <w:top w:val="nil"/>
              <w:left w:val="nil"/>
              <w:bottom w:val="single" w:sz="4" w:space="0" w:color="auto"/>
              <w:right w:val="single" w:sz="8" w:space="0" w:color="auto"/>
            </w:tcBorders>
            <w:shd w:val="clear" w:color="000000" w:fill="FFFF00"/>
            <w:noWrap/>
            <w:vAlign w:val="bottom"/>
            <w:hideMark/>
          </w:tcPr>
          <w:p w14:paraId="4310D83C" w14:textId="7CDAF854"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78444B70" w14:textId="77777777" w:rsidR="004C127E" w:rsidRPr="000E5786" w:rsidRDefault="004C127E" w:rsidP="00DD60F0">
            <w:pPr>
              <w:rPr>
                <w:rFonts w:cs="Arial"/>
                <w:szCs w:val="20"/>
              </w:rPr>
            </w:pPr>
            <w:r w:rsidRPr="000E5786">
              <w:rPr>
                <w:rFonts w:cs="Arial"/>
                <w:szCs w:val="20"/>
              </w:rPr>
              <w:t xml:space="preserve">  1,995 </w:t>
            </w:r>
          </w:p>
        </w:tc>
        <w:tc>
          <w:tcPr>
            <w:tcW w:w="709" w:type="dxa"/>
            <w:tcBorders>
              <w:top w:val="nil"/>
              <w:left w:val="nil"/>
              <w:bottom w:val="single" w:sz="4" w:space="0" w:color="auto"/>
              <w:right w:val="single" w:sz="8" w:space="0" w:color="auto"/>
            </w:tcBorders>
            <w:shd w:val="clear" w:color="000000" w:fill="FFFF00"/>
            <w:noWrap/>
            <w:vAlign w:val="bottom"/>
            <w:hideMark/>
          </w:tcPr>
          <w:p w14:paraId="6F0EF920" w14:textId="7775B65C" w:rsidR="004C127E" w:rsidRPr="000E5786" w:rsidRDefault="004C127E" w:rsidP="00DD60F0">
            <w:pPr>
              <w:rPr>
                <w:rFonts w:cs="Arial"/>
                <w:szCs w:val="20"/>
              </w:rPr>
            </w:pPr>
            <w:r w:rsidRPr="000E5786">
              <w:rPr>
                <w:rFonts w:cs="Arial"/>
                <w:szCs w:val="20"/>
              </w:rPr>
              <w:t xml:space="preserve">755 </w:t>
            </w:r>
          </w:p>
        </w:tc>
      </w:tr>
      <w:tr w:rsidR="000549F2" w:rsidRPr="000E5786" w14:paraId="4A8FDE66" w14:textId="77777777" w:rsidTr="006E7B8A">
        <w:trPr>
          <w:trHeight w:val="240"/>
        </w:trPr>
        <w:tc>
          <w:tcPr>
            <w:tcW w:w="710" w:type="dxa"/>
            <w:vMerge/>
            <w:tcBorders>
              <w:top w:val="single" w:sz="8" w:space="0" w:color="auto"/>
              <w:left w:val="single" w:sz="8" w:space="0" w:color="auto"/>
              <w:bottom w:val="single" w:sz="4" w:space="0" w:color="auto"/>
              <w:right w:val="single" w:sz="8" w:space="0" w:color="auto"/>
            </w:tcBorders>
            <w:vAlign w:val="center"/>
            <w:hideMark/>
          </w:tcPr>
          <w:p w14:paraId="1C67563F" w14:textId="77777777" w:rsidR="004C127E" w:rsidRPr="000E5786" w:rsidRDefault="004C127E" w:rsidP="00DD60F0">
            <w:pPr>
              <w:rPr>
                <w:rFonts w:cs="Arial"/>
                <w:b/>
                <w:bCs/>
                <w:szCs w:val="20"/>
              </w:rPr>
            </w:pPr>
          </w:p>
        </w:tc>
        <w:tc>
          <w:tcPr>
            <w:tcW w:w="1559" w:type="dxa"/>
            <w:vMerge/>
            <w:tcBorders>
              <w:top w:val="nil"/>
              <w:left w:val="single" w:sz="8" w:space="0" w:color="auto"/>
              <w:bottom w:val="single" w:sz="4" w:space="0" w:color="auto"/>
              <w:right w:val="single" w:sz="4" w:space="0" w:color="auto"/>
            </w:tcBorders>
            <w:vAlign w:val="center"/>
            <w:hideMark/>
          </w:tcPr>
          <w:p w14:paraId="43647EC3"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015FCA72" w14:textId="77777777" w:rsidR="004C127E" w:rsidRPr="000E5786" w:rsidRDefault="004C127E" w:rsidP="006E7B8A">
            <w:pPr>
              <w:ind w:left="0" w:firstLine="0"/>
              <w:jc w:val="left"/>
              <w:rPr>
                <w:rFonts w:cs="Arial"/>
                <w:szCs w:val="20"/>
              </w:rPr>
            </w:pPr>
            <w:r w:rsidRPr="000E5786">
              <w:rPr>
                <w:rFonts w:cs="Arial"/>
                <w:szCs w:val="20"/>
              </w:rPr>
              <w:t xml:space="preserve">Radio frequency engineering </w:t>
            </w:r>
          </w:p>
        </w:tc>
        <w:tc>
          <w:tcPr>
            <w:tcW w:w="992" w:type="dxa"/>
            <w:tcBorders>
              <w:top w:val="nil"/>
              <w:left w:val="nil"/>
              <w:bottom w:val="single" w:sz="4" w:space="0" w:color="auto"/>
              <w:right w:val="single" w:sz="4" w:space="0" w:color="auto"/>
            </w:tcBorders>
            <w:shd w:val="clear" w:color="auto" w:fill="auto"/>
            <w:noWrap/>
            <w:vAlign w:val="bottom"/>
            <w:hideMark/>
          </w:tcPr>
          <w:p w14:paraId="52E63574" w14:textId="77777777" w:rsidR="004C127E" w:rsidRPr="000E5786" w:rsidRDefault="004C127E" w:rsidP="00DD60F0">
            <w:pPr>
              <w:jc w:val="center"/>
              <w:rPr>
                <w:rFonts w:cs="Arial"/>
                <w:szCs w:val="20"/>
              </w:rPr>
            </w:pPr>
            <w:r w:rsidRPr="000E5786">
              <w:rPr>
                <w:rFonts w:cs="Arial"/>
                <w:szCs w:val="20"/>
              </w:rPr>
              <w:t>RFEN</w:t>
            </w:r>
          </w:p>
        </w:tc>
        <w:tc>
          <w:tcPr>
            <w:tcW w:w="567" w:type="dxa"/>
            <w:tcBorders>
              <w:top w:val="nil"/>
              <w:left w:val="nil"/>
              <w:bottom w:val="single" w:sz="4" w:space="0" w:color="auto"/>
              <w:right w:val="single" w:sz="4" w:space="0" w:color="auto"/>
            </w:tcBorders>
            <w:shd w:val="clear" w:color="000000" w:fill="FFFF00"/>
            <w:noWrap/>
            <w:vAlign w:val="bottom"/>
            <w:hideMark/>
          </w:tcPr>
          <w:p w14:paraId="649D8C44" w14:textId="79E1CD65"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8" w:space="0" w:color="auto"/>
            </w:tcBorders>
            <w:shd w:val="clear" w:color="000000" w:fill="FFFF00"/>
            <w:noWrap/>
            <w:vAlign w:val="bottom"/>
            <w:hideMark/>
          </w:tcPr>
          <w:p w14:paraId="0B1AEBF1" w14:textId="6691A422"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22DA2ADC" w14:textId="7C52A3B5"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26AAF724" w14:textId="095F6486"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07D7E2EB" w14:textId="2BA00F45"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002905C0" w14:textId="36769273"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40CE48F4" w14:textId="7DDD0B15"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44D186F1" w14:textId="23FF2582"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3532ACA9" w14:textId="0E4EAFE4"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74169274" w14:textId="7BBE7220"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20FD5BC9" w14:textId="542D2D96"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32B6FA5F" w14:textId="643AA5FD"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30AFEBE0" w14:textId="38FEB43A"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67F8B049" w14:textId="1E54DC54" w:rsidR="004C127E" w:rsidRPr="000E5786" w:rsidRDefault="004C127E" w:rsidP="00DD60F0">
            <w:pPr>
              <w:rPr>
                <w:rFonts w:cs="Arial"/>
                <w:szCs w:val="20"/>
              </w:rPr>
            </w:pPr>
            <w:r w:rsidRPr="000E5786">
              <w:rPr>
                <w:rFonts w:cs="Arial"/>
                <w:szCs w:val="20"/>
              </w:rPr>
              <w:t xml:space="preserve">755 </w:t>
            </w:r>
          </w:p>
        </w:tc>
      </w:tr>
      <w:tr w:rsidR="000549F2" w:rsidRPr="000E5786" w14:paraId="35F40052" w14:textId="77777777" w:rsidTr="006E7B8A">
        <w:trPr>
          <w:trHeight w:val="225"/>
        </w:trPr>
        <w:tc>
          <w:tcPr>
            <w:tcW w:w="710" w:type="dxa"/>
            <w:vMerge/>
            <w:tcBorders>
              <w:top w:val="single" w:sz="8" w:space="0" w:color="auto"/>
              <w:left w:val="single" w:sz="8" w:space="0" w:color="auto"/>
              <w:bottom w:val="single" w:sz="4" w:space="0" w:color="auto"/>
              <w:right w:val="single" w:sz="8" w:space="0" w:color="auto"/>
            </w:tcBorders>
            <w:vAlign w:val="center"/>
            <w:hideMark/>
          </w:tcPr>
          <w:p w14:paraId="0C53CEE4" w14:textId="77777777" w:rsidR="004C127E" w:rsidRPr="000E5786" w:rsidRDefault="004C127E" w:rsidP="00DD60F0">
            <w:pPr>
              <w:rPr>
                <w:rFonts w:cs="Arial"/>
                <w:b/>
                <w:bCs/>
                <w:szCs w:val="20"/>
              </w:rPr>
            </w:pPr>
          </w:p>
        </w:tc>
        <w:tc>
          <w:tcPr>
            <w:tcW w:w="1559" w:type="dxa"/>
            <w:vMerge/>
            <w:tcBorders>
              <w:top w:val="nil"/>
              <w:left w:val="single" w:sz="8" w:space="0" w:color="auto"/>
              <w:bottom w:val="single" w:sz="4" w:space="0" w:color="auto"/>
              <w:right w:val="single" w:sz="4" w:space="0" w:color="auto"/>
            </w:tcBorders>
            <w:vAlign w:val="center"/>
            <w:hideMark/>
          </w:tcPr>
          <w:p w14:paraId="0634C085"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30CA70EE" w14:textId="77777777" w:rsidR="004C127E" w:rsidRPr="000E5786" w:rsidRDefault="004C127E" w:rsidP="006E7B8A">
            <w:pPr>
              <w:ind w:left="0" w:firstLine="0"/>
              <w:jc w:val="left"/>
              <w:rPr>
                <w:rFonts w:cs="Arial"/>
                <w:szCs w:val="20"/>
              </w:rPr>
            </w:pPr>
            <w:r w:rsidRPr="000E5786">
              <w:rPr>
                <w:rFonts w:cs="Arial"/>
                <w:szCs w:val="20"/>
              </w:rPr>
              <w:t>Application support</w:t>
            </w:r>
          </w:p>
        </w:tc>
        <w:tc>
          <w:tcPr>
            <w:tcW w:w="992" w:type="dxa"/>
            <w:tcBorders>
              <w:top w:val="nil"/>
              <w:left w:val="nil"/>
              <w:bottom w:val="single" w:sz="4" w:space="0" w:color="auto"/>
              <w:right w:val="single" w:sz="4" w:space="0" w:color="auto"/>
            </w:tcBorders>
            <w:shd w:val="clear" w:color="auto" w:fill="auto"/>
            <w:noWrap/>
            <w:vAlign w:val="bottom"/>
            <w:hideMark/>
          </w:tcPr>
          <w:p w14:paraId="615B204B" w14:textId="77777777" w:rsidR="004C127E" w:rsidRPr="000E5786" w:rsidRDefault="004C127E" w:rsidP="00DD60F0">
            <w:pPr>
              <w:jc w:val="center"/>
              <w:rPr>
                <w:rFonts w:cs="Arial"/>
                <w:szCs w:val="20"/>
              </w:rPr>
            </w:pPr>
            <w:r w:rsidRPr="000E5786">
              <w:rPr>
                <w:rFonts w:cs="Arial"/>
                <w:szCs w:val="20"/>
              </w:rPr>
              <w:t>ASUP</w:t>
            </w:r>
          </w:p>
        </w:tc>
        <w:tc>
          <w:tcPr>
            <w:tcW w:w="567" w:type="dxa"/>
            <w:tcBorders>
              <w:top w:val="nil"/>
              <w:left w:val="nil"/>
              <w:bottom w:val="single" w:sz="4" w:space="0" w:color="auto"/>
              <w:right w:val="single" w:sz="4" w:space="0" w:color="auto"/>
            </w:tcBorders>
            <w:shd w:val="clear" w:color="000000" w:fill="FFFF00"/>
            <w:noWrap/>
            <w:vAlign w:val="bottom"/>
            <w:hideMark/>
          </w:tcPr>
          <w:p w14:paraId="7FF2C22C" w14:textId="38955264"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8" w:space="0" w:color="auto"/>
            </w:tcBorders>
            <w:shd w:val="clear" w:color="000000" w:fill="FFFF00"/>
            <w:noWrap/>
            <w:vAlign w:val="bottom"/>
            <w:hideMark/>
          </w:tcPr>
          <w:p w14:paraId="1F100587" w14:textId="538691EE"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44B0C31E" w14:textId="6C993BDD"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4C3A1CC8" w14:textId="4D9A7669"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6C6EF80D" w14:textId="33316691"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782EEAED" w14:textId="0938927C"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3AF78EFE" w14:textId="5A584F4D"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46357AB8" w14:textId="08E715EB"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0CB1B386" w14:textId="24407CCA"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1840C485" w14:textId="59000F7F"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07BFD592" w14:textId="725F6B3A"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6570FECE" w14:textId="51A18615"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3AEC0A97" w14:textId="3CA1B0C4"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0C5F0FF6" w14:textId="22072094" w:rsidR="004C127E" w:rsidRPr="000E5786" w:rsidRDefault="004C127E" w:rsidP="00DD60F0">
            <w:pPr>
              <w:rPr>
                <w:rFonts w:cs="Arial"/>
                <w:szCs w:val="20"/>
              </w:rPr>
            </w:pPr>
            <w:r w:rsidRPr="000E5786">
              <w:rPr>
                <w:rFonts w:cs="Arial"/>
                <w:szCs w:val="20"/>
              </w:rPr>
              <w:t xml:space="preserve">755 </w:t>
            </w:r>
          </w:p>
        </w:tc>
      </w:tr>
      <w:tr w:rsidR="000549F2" w:rsidRPr="000E5786" w14:paraId="00E17AA2" w14:textId="77777777" w:rsidTr="006E7B8A">
        <w:trPr>
          <w:trHeight w:val="225"/>
        </w:trPr>
        <w:tc>
          <w:tcPr>
            <w:tcW w:w="710" w:type="dxa"/>
            <w:vMerge/>
            <w:tcBorders>
              <w:top w:val="single" w:sz="8" w:space="0" w:color="auto"/>
              <w:left w:val="single" w:sz="8" w:space="0" w:color="auto"/>
              <w:bottom w:val="single" w:sz="4" w:space="0" w:color="auto"/>
              <w:right w:val="single" w:sz="8" w:space="0" w:color="auto"/>
            </w:tcBorders>
            <w:vAlign w:val="center"/>
            <w:hideMark/>
          </w:tcPr>
          <w:p w14:paraId="6CBD2D37" w14:textId="77777777" w:rsidR="004C127E" w:rsidRPr="000E5786" w:rsidRDefault="004C127E" w:rsidP="00DD60F0">
            <w:pPr>
              <w:rPr>
                <w:rFonts w:cs="Arial"/>
                <w:b/>
                <w:bCs/>
                <w:szCs w:val="20"/>
              </w:rPr>
            </w:pPr>
          </w:p>
        </w:tc>
        <w:tc>
          <w:tcPr>
            <w:tcW w:w="1559" w:type="dxa"/>
            <w:vMerge/>
            <w:tcBorders>
              <w:top w:val="nil"/>
              <w:left w:val="single" w:sz="8" w:space="0" w:color="auto"/>
              <w:bottom w:val="single" w:sz="4" w:space="0" w:color="auto"/>
              <w:right w:val="single" w:sz="4" w:space="0" w:color="auto"/>
            </w:tcBorders>
            <w:vAlign w:val="center"/>
            <w:hideMark/>
          </w:tcPr>
          <w:p w14:paraId="307C989C"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36F75571" w14:textId="77777777" w:rsidR="004C127E" w:rsidRPr="000E5786" w:rsidRDefault="004C127E" w:rsidP="006E7B8A">
            <w:pPr>
              <w:ind w:left="0" w:firstLine="0"/>
              <w:jc w:val="left"/>
              <w:rPr>
                <w:rFonts w:cs="Arial"/>
                <w:szCs w:val="20"/>
              </w:rPr>
            </w:pPr>
            <w:r w:rsidRPr="000E5786">
              <w:rPr>
                <w:rFonts w:cs="Arial"/>
                <w:szCs w:val="20"/>
              </w:rPr>
              <w:t>IT infrastructure</w:t>
            </w:r>
          </w:p>
        </w:tc>
        <w:tc>
          <w:tcPr>
            <w:tcW w:w="992" w:type="dxa"/>
            <w:tcBorders>
              <w:top w:val="nil"/>
              <w:left w:val="nil"/>
              <w:bottom w:val="single" w:sz="4" w:space="0" w:color="auto"/>
              <w:right w:val="single" w:sz="4" w:space="0" w:color="auto"/>
            </w:tcBorders>
            <w:shd w:val="clear" w:color="auto" w:fill="auto"/>
            <w:noWrap/>
            <w:vAlign w:val="bottom"/>
            <w:hideMark/>
          </w:tcPr>
          <w:p w14:paraId="49958F71" w14:textId="77777777" w:rsidR="004C127E" w:rsidRPr="000E5786" w:rsidRDefault="004C127E" w:rsidP="00DD60F0">
            <w:pPr>
              <w:jc w:val="center"/>
              <w:rPr>
                <w:rFonts w:cs="Arial"/>
                <w:szCs w:val="20"/>
              </w:rPr>
            </w:pPr>
            <w:r w:rsidRPr="000E5786">
              <w:rPr>
                <w:rFonts w:cs="Arial"/>
                <w:szCs w:val="20"/>
              </w:rPr>
              <w:t>ITOP</w:t>
            </w:r>
          </w:p>
        </w:tc>
        <w:tc>
          <w:tcPr>
            <w:tcW w:w="567" w:type="dxa"/>
            <w:tcBorders>
              <w:top w:val="nil"/>
              <w:left w:val="nil"/>
              <w:bottom w:val="single" w:sz="4" w:space="0" w:color="auto"/>
              <w:right w:val="single" w:sz="4" w:space="0" w:color="auto"/>
            </w:tcBorders>
            <w:shd w:val="clear" w:color="000000" w:fill="FFFF00"/>
            <w:noWrap/>
            <w:vAlign w:val="bottom"/>
            <w:hideMark/>
          </w:tcPr>
          <w:p w14:paraId="09ACAF28" w14:textId="06798B49"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8" w:space="0" w:color="auto"/>
            </w:tcBorders>
            <w:shd w:val="clear" w:color="000000" w:fill="FFFF00"/>
            <w:noWrap/>
            <w:vAlign w:val="bottom"/>
            <w:hideMark/>
          </w:tcPr>
          <w:p w14:paraId="40C8417C" w14:textId="7FE127DD"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5D85157A" w14:textId="7BC339E6"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5595C495" w14:textId="0B912D0F"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6DA36B1B" w14:textId="00B672A2"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3150E8FD" w14:textId="72585617"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08070742" w14:textId="41EB94C3"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10AE1E2F" w14:textId="05B6CB25"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02C8B530" w14:textId="509BF6CC"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68DBAA2F" w14:textId="0A57DE55"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4E1CAC4F" w14:textId="67F91DC5"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3D0B3E5F" w14:textId="5AF805ED"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73649D06" w14:textId="78083C7F"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75E8D933" w14:textId="6F05C773" w:rsidR="004C127E" w:rsidRPr="000E5786" w:rsidRDefault="004C127E" w:rsidP="00DD60F0">
            <w:pPr>
              <w:rPr>
                <w:rFonts w:cs="Arial"/>
                <w:szCs w:val="20"/>
              </w:rPr>
            </w:pPr>
            <w:r w:rsidRPr="000E5786">
              <w:rPr>
                <w:rFonts w:cs="Arial"/>
                <w:szCs w:val="20"/>
              </w:rPr>
              <w:t xml:space="preserve">755 </w:t>
            </w:r>
          </w:p>
        </w:tc>
      </w:tr>
      <w:tr w:rsidR="000549F2" w:rsidRPr="000E5786" w14:paraId="763E9DFD" w14:textId="77777777" w:rsidTr="006E7B8A">
        <w:trPr>
          <w:trHeight w:val="225"/>
        </w:trPr>
        <w:tc>
          <w:tcPr>
            <w:tcW w:w="710" w:type="dxa"/>
            <w:vMerge/>
            <w:tcBorders>
              <w:top w:val="single" w:sz="8" w:space="0" w:color="auto"/>
              <w:left w:val="single" w:sz="8" w:space="0" w:color="auto"/>
              <w:bottom w:val="single" w:sz="4" w:space="0" w:color="auto"/>
              <w:right w:val="single" w:sz="8" w:space="0" w:color="auto"/>
            </w:tcBorders>
            <w:vAlign w:val="center"/>
            <w:hideMark/>
          </w:tcPr>
          <w:p w14:paraId="652A4B20" w14:textId="77777777" w:rsidR="004C127E" w:rsidRPr="000E5786" w:rsidRDefault="004C127E" w:rsidP="00DD60F0">
            <w:pPr>
              <w:rPr>
                <w:rFonts w:cs="Arial"/>
                <w:b/>
                <w:bCs/>
                <w:szCs w:val="20"/>
              </w:rPr>
            </w:pPr>
          </w:p>
        </w:tc>
        <w:tc>
          <w:tcPr>
            <w:tcW w:w="1559" w:type="dxa"/>
            <w:vMerge/>
            <w:tcBorders>
              <w:top w:val="nil"/>
              <w:left w:val="single" w:sz="8" w:space="0" w:color="auto"/>
              <w:bottom w:val="single" w:sz="4" w:space="0" w:color="auto"/>
              <w:right w:val="single" w:sz="4" w:space="0" w:color="auto"/>
            </w:tcBorders>
            <w:vAlign w:val="center"/>
            <w:hideMark/>
          </w:tcPr>
          <w:p w14:paraId="22910643"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30A9EC0B" w14:textId="77777777" w:rsidR="004C127E" w:rsidRPr="000E5786" w:rsidRDefault="004C127E" w:rsidP="006E7B8A">
            <w:pPr>
              <w:ind w:left="0" w:firstLine="0"/>
              <w:jc w:val="left"/>
              <w:rPr>
                <w:rFonts w:cs="Arial"/>
                <w:szCs w:val="20"/>
              </w:rPr>
            </w:pPr>
            <w:r w:rsidRPr="000E5786">
              <w:rPr>
                <w:rFonts w:cs="Arial"/>
                <w:szCs w:val="20"/>
              </w:rPr>
              <w:t>Database administration</w:t>
            </w:r>
          </w:p>
        </w:tc>
        <w:tc>
          <w:tcPr>
            <w:tcW w:w="992" w:type="dxa"/>
            <w:tcBorders>
              <w:top w:val="nil"/>
              <w:left w:val="nil"/>
              <w:bottom w:val="single" w:sz="4" w:space="0" w:color="auto"/>
              <w:right w:val="single" w:sz="4" w:space="0" w:color="auto"/>
            </w:tcBorders>
            <w:shd w:val="clear" w:color="auto" w:fill="auto"/>
            <w:noWrap/>
            <w:vAlign w:val="bottom"/>
            <w:hideMark/>
          </w:tcPr>
          <w:p w14:paraId="01D12237" w14:textId="77777777" w:rsidR="004C127E" w:rsidRPr="000E5786" w:rsidRDefault="004C127E" w:rsidP="00DD60F0">
            <w:pPr>
              <w:jc w:val="center"/>
              <w:rPr>
                <w:rFonts w:cs="Arial"/>
                <w:szCs w:val="20"/>
              </w:rPr>
            </w:pPr>
            <w:r w:rsidRPr="000E5786">
              <w:rPr>
                <w:rFonts w:cs="Arial"/>
                <w:szCs w:val="20"/>
              </w:rPr>
              <w:t>DBAD</w:t>
            </w:r>
          </w:p>
        </w:tc>
        <w:tc>
          <w:tcPr>
            <w:tcW w:w="567" w:type="dxa"/>
            <w:tcBorders>
              <w:top w:val="nil"/>
              <w:left w:val="nil"/>
              <w:bottom w:val="single" w:sz="4" w:space="0" w:color="auto"/>
              <w:right w:val="single" w:sz="4" w:space="0" w:color="auto"/>
            </w:tcBorders>
            <w:shd w:val="clear" w:color="000000" w:fill="FFFF00"/>
            <w:noWrap/>
            <w:vAlign w:val="bottom"/>
            <w:hideMark/>
          </w:tcPr>
          <w:p w14:paraId="4F1A3EA5" w14:textId="4BC17599"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8" w:space="0" w:color="auto"/>
            </w:tcBorders>
            <w:shd w:val="clear" w:color="000000" w:fill="FFFF00"/>
            <w:noWrap/>
            <w:vAlign w:val="bottom"/>
            <w:hideMark/>
          </w:tcPr>
          <w:p w14:paraId="3CE20F4B" w14:textId="57C93AEF"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47718870" w14:textId="5DE6C02F"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698C0282" w14:textId="7867B159"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3B491C8E" w14:textId="3D0BA136"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7ED93991" w14:textId="02347474"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6E82628A" w14:textId="316445D5"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1B0B3382" w14:textId="6ED7BEFD"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17C3C0F2" w14:textId="65C6F31C"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4BCDB8AA" w14:textId="1C69551D"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2E3226CE" w14:textId="0FF2E825"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55076688" w14:textId="74C0862A"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17F54401" w14:textId="18E7F857"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373E909D" w14:textId="162ED77B" w:rsidR="004C127E" w:rsidRPr="000E5786" w:rsidRDefault="004C127E" w:rsidP="00DD60F0">
            <w:pPr>
              <w:rPr>
                <w:rFonts w:cs="Arial"/>
                <w:szCs w:val="20"/>
              </w:rPr>
            </w:pPr>
            <w:r w:rsidRPr="000E5786">
              <w:rPr>
                <w:rFonts w:cs="Arial"/>
                <w:szCs w:val="20"/>
              </w:rPr>
              <w:t xml:space="preserve">755 </w:t>
            </w:r>
          </w:p>
        </w:tc>
      </w:tr>
      <w:tr w:rsidR="000549F2" w:rsidRPr="000E5786" w14:paraId="1A108ACA" w14:textId="77777777" w:rsidTr="006E7B8A">
        <w:trPr>
          <w:trHeight w:val="225"/>
        </w:trPr>
        <w:tc>
          <w:tcPr>
            <w:tcW w:w="710" w:type="dxa"/>
            <w:vMerge/>
            <w:tcBorders>
              <w:top w:val="single" w:sz="8" w:space="0" w:color="auto"/>
              <w:left w:val="single" w:sz="8" w:space="0" w:color="auto"/>
              <w:bottom w:val="single" w:sz="4" w:space="0" w:color="auto"/>
              <w:right w:val="single" w:sz="8" w:space="0" w:color="auto"/>
            </w:tcBorders>
            <w:vAlign w:val="center"/>
            <w:hideMark/>
          </w:tcPr>
          <w:p w14:paraId="5B3FF3A3" w14:textId="77777777" w:rsidR="004C127E" w:rsidRPr="000E5786" w:rsidRDefault="004C127E" w:rsidP="00DD60F0">
            <w:pPr>
              <w:rPr>
                <w:rFonts w:cs="Arial"/>
                <w:b/>
                <w:bCs/>
                <w:szCs w:val="20"/>
              </w:rPr>
            </w:pPr>
          </w:p>
        </w:tc>
        <w:tc>
          <w:tcPr>
            <w:tcW w:w="1559" w:type="dxa"/>
            <w:vMerge/>
            <w:tcBorders>
              <w:top w:val="nil"/>
              <w:left w:val="single" w:sz="8" w:space="0" w:color="auto"/>
              <w:bottom w:val="single" w:sz="4" w:space="0" w:color="auto"/>
              <w:right w:val="single" w:sz="4" w:space="0" w:color="auto"/>
            </w:tcBorders>
            <w:vAlign w:val="center"/>
            <w:hideMark/>
          </w:tcPr>
          <w:p w14:paraId="3F729074"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291C7C9F" w14:textId="77777777" w:rsidR="004C127E" w:rsidRPr="000E5786" w:rsidRDefault="004C127E" w:rsidP="006E7B8A">
            <w:pPr>
              <w:ind w:left="0" w:firstLine="0"/>
              <w:jc w:val="left"/>
              <w:rPr>
                <w:rFonts w:cs="Arial"/>
                <w:szCs w:val="20"/>
              </w:rPr>
            </w:pPr>
            <w:r w:rsidRPr="000E5786">
              <w:rPr>
                <w:rFonts w:cs="Arial"/>
                <w:szCs w:val="20"/>
              </w:rPr>
              <w:t>Storage management</w:t>
            </w:r>
          </w:p>
        </w:tc>
        <w:tc>
          <w:tcPr>
            <w:tcW w:w="992" w:type="dxa"/>
            <w:tcBorders>
              <w:top w:val="nil"/>
              <w:left w:val="nil"/>
              <w:bottom w:val="single" w:sz="4" w:space="0" w:color="auto"/>
              <w:right w:val="single" w:sz="4" w:space="0" w:color="auto"/>
            </w:tcBorders>
            <w:shd w:val="clear" w:color="auto" w:fill="auto"/>
            <w:noWrap/>
            <w:vAlign w:val="bottom"/>
            <w:hideMark/>
          </w:tcPr>
          <w:p w14:paraId="44E5A85E" w14:textId="77777777" w:rsidR="004C127E" w:rsidRPr="000E5786" w:rsidRDefault="004C127E" w:rsidP="00DD60F0">
            <w:pPr>
              <w:jc w:val="center"/>
              <w:rPr>
                <w:rFonts w:cs="Arial"/>
                <w:szCs w:val="20"/>
              </w:rPr>
            </w:pPr>
            <w:r w:rsidRPr="000E5786">
              <w:rPr>
                <w:rFonts w:cs="Arial"/>
                <w:szCs w:val="20"/>
              </w:rPr>
              <w:t>STMG</w:t>
            </w:r>
          </w:p>
        </w:tc>
        <w:tc>
          <w:tcPr>
            <w:tcW w:w="567" w:type="dxa"/>
            <w:tcBorders>
              <w:top w:val="nil"/>
              <w:left w:val="nil"/>
              <w:bottom w:val="single" w:sz="4" w:space="0" w:color="auto"/>
              <w:right w:val="single" w:sz="4" w:space="0" w:color="auto"/>
            </w:tcBorders>
            <w:shd w:val="clear" w:color="000000" w:fill="FFFF00"/>
            <w:noWrap/>
            <w:vAlign w:val="bottom"/>
            <w:hideMark/>
          </w:tcPr>
          <w:p w14:paraId="3978F85D" w14:textId="1E0D542A"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8" w:space="0" w:color="auto"/>
            </w:tcBorders>
            <w:shd w:val="clear" w:color="000000" w:fill="FFFF00"/>
            <w:noWrap/>
            <w:vAlign w:val="bottom"/>
            <w:hideMark/>
          </w:tcPr>
          <w:p w14:paraId="70DCD5EF" w14:textId="006297DE"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63081CF8" w14:textId="6168D37F"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494C4CB4" w14:textId="0D86A3A8"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0F2783D7" w14:textId="382FD369"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79F9788A" w14:textId="1DCE2BAE"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72923121" w14:textId="096E6A90"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6D73A783" w14:textId="6BFABA33"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08EE356B" w14:textId="0CC636F5"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358401D8" w14:textId="2B37155E"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2447893F" w14:textId="7B3B921C"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6768FE31" w14:textId="376129A5"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41EC8281" w14:textId="258760F5"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29576D80" w14:textId="559F4B74" w:rsidR="004C127E" w:rsidRPr="000E5786" w:rsidRDefault="004C127E" w:rsidP="00DD60F0">
            <w:pPr>
              <w:rPr>
                <w:rFonts w:cs="Arial"/>
                <w:szCs w:val="20"/>
              </w:rPr>
            </w:pPr>
            <w:r w:rsidRPr="000E5786">
              <w:rPr>
                <w:rFonts w:cs="Arial"/>
                <w:szCs w:val="20"/>
              </w:rPr>
              <w:t xml:space="preserve">755 </w:t>
            </w:r>
          </w:p>
        </w:tc>
      </w:tr>
      <w:tr w:rsidR="000549F2" w:rsidRPr="000E5786" w14:paraId="45763E2F" w14:textId="77777777" w:rsidTr="006E7B8A">
        <w:trPr>
          <w:trHeight w:val="225"/>
        </w:trPr>
        <w:tc>
          <w:tcPr>
            <w:tcW w:w="710" w:type="dxa"/>
            <w:vMerge/>
            <w:tcBorders>
              <w:top w:val="single" w:sz="8" w:space="0" w:color="auto"/>
              <w:left w:val="single" w:sz="8" w:space="0" w:color="auto"/>
              <w:bottom w:val="single" w:sz="4" w:space="0" w:color="auto"/>
              <w:right w:val="single" w:sz="8" w:space="0" w:color="auto"/>
            </w:tcBorders>
            <w:vAlign w:val="center"/>
            <w:hideMark/>
          </w:tcPr>
          <w:p w14:paraId="07A91F35" w14:textId="77777777" w:rsidR="004C127E" w:rsidRPr="000E5786" w:rsidRDefault="004C127E" w:rsidP="00DD60F0">
            <w:pPr>
              <w:rPr>
                <w:rFonts w:cs="Arial"/>
                <w:b/>
                <w:bCs/>
                <w:szCs w:val="20"/>
              </w:rPr>
            </w:pPr>
          </w:p>
        </w:tc>
        <w:tc>
          <w:tcPr>
            <w:tcW w:w="1559" w:type="dxa"/>
            <w:vMerge/>
            <w:tcBorders>
              <w:top w:val="nil"/>
              <w:left w:val="single" w:sz="8" w:space="0" w:color="auto"/>
              <w:bottom w:val="single" w:sz="4" w:space="0" w:color="auto"/>
              <w:right w:val="single" w:sz="4" w:space="0" w:color="auto"/>
            </w:tcBorders>
            <w:vAlign w:val="center"/>
            <w:hideMark/>
          </w:tcPr>
          <w:p w14:paraId="7E1EF417"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04870D45" w14:textId="77777777" w:rsidR="004C127E" w:rsidRPr="000E5786" w:rsidRDefault="004C127E" w:rsidP="006E7B8A">
            <w:pPr>
              <w:ind w:left="0" w:firstLine="0"/>
              <w:jc w:val="left"/>
              <w:rPr>
                <w:rFonts w:cs="Arial"/>
                <w:szCs w:val="20"/>
              </w:rPr>
            </w:pPr>
            <w:r w:rsidRPr="000E5786">
              <w:rPr>
                <w:rFonts w:cs="Arial"/>
                <w:szCs w:val="20"/>
              </w:rPr>
              <w:t>Network support</w:t>
            </w:r>
          </w:p>
        </w:tc>
        <w:tc>
          <w:tcPr>
            <w:tcW w:w="992" w:type="dxa"/>
            <w:tcBorders>
              <w:top w:val="nil"/>
              <w:left w:val="nil"/>
              <w:bottom w:val="single" w:sz="4" w:space="0" w:color="auto"/>
              <w:right w:val="single" w:sz="4" w:space="0" w:color="auto"/>
            </w:tcBorders>
            <w:shd w:val="clear" w:color="auto" w:fill="auto"/>
            <w:noWrap/>
            <w:vAlign w:val="bottom"/>
            <w:hideMark/>
          </w:tcPr>
          <w:p w14:paraId="4C14CDBB" w14:textId="77777777" w:rsidR="004C127E" w:rsidRPr="000E5786" w:rsidRDefault="004C127E" w:rsidP="00DD60F0">
            <w:pPr>
              <w:jc w:val="center"/>
              <w:rPr>
                <w:rFonts w:cs="Arial"/>
                <w:szCs w:val="20"/>
              </w:rPr>
            </w:pPr>
            <w:r w:rsidRPr="000E5786">
              <w:rPr>
                <w:rFonts w:cs="Arial"/>
                <w:szCs w:val="20"/>
              </w:rPr>
              <w:t>NTAS</w:t>
            </w:r>
          </w:p>
        </w:tc>
        <w:tc>
          <w:tcPr>
            <w:tcW w:w="567" w:type="dxa"/>
            <w:tcBorders>
              <w:top w:val="nil"/>
              <w:left w:val="nil"/>
              <w:bottom w:val="single" w:sz="4" w:space="0" w:color="auto"/>
              <w:right w:val="single" w:sz="4" w:space="0" w:color="auto"/>
            </w:tcBorders>
            <w:shd w:val="clear" w:color="000000" w:fill="FFFF00"/>
            <w:noWrap/>
            <w:vAlign w:val="bottom"/>
            <w:hideMark/>
          </w:tcPr>
          <w:p w14:paraId="55256B94" w14:textId="5B1E80AC"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8" w:space="0" w:color="auto"/>
            </w:tcBorders>
            <w:shd w:val="clear" w:color="000000" w:fill="FFFF00"/>
            <w:noWrap/>
            <w:vAlign w:val="bottom"/>
            <w:hideMark/>
          </w:tcPr>
          <w:p w14:paraId="179CF525" w14:textId="3C3B3707"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7B7540E3" w14:textId="46BADAA3"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5C474A5C" w14:textId="096289EB"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35FC9C0A" w14:textId="2451A2A9"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36FB05B3" w14:textId="6ADA0043"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5716643D" w14:textId="4849067F"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11106B8E" w14:textId="348B0F3A"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3DFACF92" w14:textId="55D3FCC9"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59F9FB97" w14:textId="40958742"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6635AABE" w14:textId="4372B975"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33E42187" w14:textId="2341861D"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51E6FE1A" w14:textId="23C2BA63"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25AEFEEB" w14:textId="0075361F" w:rsidR="004C127E" w:rsidRPr="000E5786" w:rsidRDefault="004C127E" w:rsidP="00DD60F0">
            <w:pPr>
              <w:rPr>
                <w:rFonts w:cs="Arial"/>
                <w:szCs w:val="20"/>
              </w:rPr>
            </w:pPr>
            <w:r w:rsidRPr="000E5786">
              <w:rPr>
                <w:rFonts w:cs="Arial"/>
                <w:szCs w:val="20"/>
              </w:rPr>
              <w:t xml:space="preserve">755 </w:t>
            </w:r>
          </w:p>
        </w:tc>
      </w:tr>
      <w:tr w:rsidR="000549F2" w:rsidRPr="000E5786" w14:paraId="218B1F26" w14:textId="77777777" w:rsidTr="006E7B8A">
        <w:trPr>
          <w:trHeight w:val="240"/>
        </w:trPr>
        <w:tc>
          <w:tcPr>
            <w:tcW w:w="710" w:type="dxa"/>
            <w:vMerge/>
            <w:tcBorders>
              <w:top w:val="single" w:sz="8" w:space="0" w:color="auto"/>
              <w:left w:val="single" w:sz="8" w:space="0" w:color="auto"/>
              <w:bottom w:val="single" w:sz="4" w:space="0" w:color="auto"/>
              <w:right w:val="single" w:sz="8" w:space="0" w:color="auto"/>
            </w:tcBorders>
            <w:vAlign w:val="center"/>
            <w:hideMark/>
          </w:tcPr>
          <w:p w14:paraId="643C6F7B" w14:textId="77777777" w:rsidR="004C127E" w:rsidRPr="000E5786" w:rsidRDefault="004C127E" w:rsidP="00DD60F0">
            <w:pPr>
              <w:rPr>
                <w:rFonts w:cs="Arial"/>
                <w:b/>
                <w:bCs/>
                <w:szCs w:val="20"/>
              </w:rPr>
            </w:pPr>
          </w:p>
        </w:tc>
        <w:tc>
          <w:tcPr>
            <w:tcW w:w="1559" w:type="dxa"/>
            <w:vMerge/>
            <w:tcBorders>
              <w:top w:val="nil"/>
              <w:left w:val="single" w:sz="8" w:space="0" w:color="auto"/>
              <w:bottom w:val="single" w:sz="4" w:space="0" w:color="auto"/>
              <w:right w:val="single" w:sz="4" w:space="0" w:color="auto"/>
            </w:tcBorders>
            <w:vAlign w:val="center"/>
            <w:hideMark/>
          </w:tcPr>
          <w:p w14:paraId="7D8DBCCA"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41907BEE" w14:textId="77777777" w:rsidR="004C127E" w:rsidRPr="000E5786" w:rsidRDefault="004C127E" w:rsidP="006E7B8A">
            <w:pPr>
              <w:ind w:left="0" w:firstLine="0"/>
              <w:jc w:val="left"/>
              <w:rPr>
                <w:rFonts w:cs="Arial"/>
                <w:szCs w:val="20"/>
              </w:rPr>
            </w:pPr>
            <w:r w:rsidRPr="000E5786">
              <w:rPr>
                <w:rFonts w:cs="Arial"/>
                <w:szCs w:val="20"/>
              </w:rPr>
              <w:t>Problem management</w:t>
            </w:r>
          </w:p>
        </w:tc>
        <w:tc>
          <w:tcPr>
            <w:tcW w:w="992" w:type="dxa"/>
            <w:tcBorders>
              <w:top w:val="nil"/>
              <w:left w:val="nil"/>
              <w:bottom w:val="single" w:sz="4" w:space="0" w:color="auto"/>
              <w:right w:val="single" w:sz="4" w:space="0" w:color="auto"/>
            </w:tcBorders>
            <w:shd w:val="clear" w:color="auto" w:fill="auto"/>
            <w:noWrap/>
            <w:vAlign w:val="bottom"/>
            <w:hideMark/>
          </w:tcPr>
          <w:p w14:paraId="5EEF3EB0" w14:textId="77777777" w:rsidR="004C127E" w:rsidRPr="000E5786" w:rsidRDefault="004C127E" w:rsidP="00DD60F0">
            <w:pPr>
              <w:jc w:val="center"/>
              <w:rPr>
                <w:rFonts w:cs="Arial"/>
                <w:szCs w:val="20"/>
              </w:rPr>
            </w:pPr>
            <w:r w:rsidRPr="000E5786">
              <w:rPr>
                <w:rFonts w:cs="Arial"/>
                <w:szCs w:val="20"/>
              </w:rPr>
              <w:t>PBMG</w:t>
            </w:r>
          </w:p>
        </w:tc>
        <w:tc>
          <w:tcPr>
            <w:tcW w:w="567" w:type="dxa"/>
            <w:tcBorders>
              <w:top w:val="nil"/>
              <w:left w:val="nil"/>
              <w:bottom w:val="single" w:sz="4" w:space="0" w:color="auto"/>
              <w:right w:val="single" w:sz="4" w:space="0" w:color="auto"/>
            </w:tcBorders>
            <w:shd w:val="clear" w:color="000000" w:fill="FFFF00"/>
            <w:noWrap/>
            <w:vAlign w:val="bottom"/>
            <w:hideMark/>
          </w:tcPr>
          <w:p w14:paraId="1B44CEFD" w14:textId="2BA9E1AF"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8" w:space="0" w:color="auto"/>
            </w:tcBorders>
            <w:shd w:val="clear" w:color="000000" w:fill="FFFF00"/>
            <w:noWrap/>
            <w:vAlign w:val="bottom"/>
            <w:hideMark/>
          </w:tcPr>
          <w:p w14:paraId="39C58CB6" w14:textId="2F43C6AD"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6AB402EC" w14:textId="5629A07E"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16E10BA7" w14:textId="15FEE877"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5288B911" w14:textId="6F28E190"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6230B23E" w14:textId="0E624455"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0132D20A" w14:textId="6AE41D75"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15B0711F" w14:textId="4C4B14A1"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2CF0818A" w14:textId="77633987"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21A650DB" w14:textId="34A2F677"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0478A8DB" w14:textId="6AD607F9"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23F299BD" w14:textId="2FFCC602"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2D009E06" w14:textId="0F44F998"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0BBB0A69" w14:textId="6427FEE7" w:rsidR="004C127E" w:rsidRPr="000E5786" w:rsidRDefault="004C127E" w:rsidP="00DD60F0">
            <w:pPr>
              <w:rPr>
                <w:rFonts w:cs="Arial"/>
                <w:szCs w:val="20"/>
              </w:rPr>
            </w:pPr>
            <w:r w:rsidRPr="000E5786">
              <w:rPr>
                <w:rFonts w:cs="Arial"/>
                <w:szCs w:val="20"/>
              </w:rPr>
              <w:t xml:space="preserve">755 </w:t>
            </w:r>
          </w:p>
        </w:tc>
      </w:tr>
      <w:tr w:rsidR="000549F2" w:rsidRPr="000E5786" w14:paraId="4E6D1403" w14:textId="77777777" w:rsidTr="006E7B8A">
        <w:trPr>
          <w:trHeight w:val="240"/>
        </w:trPr>
        <w:tc>
          <w:tcPr>
            <w:tcW w:w="710" w:type="dxa"/>
            <w:vMerge/>
            <w:tcBorders>
              <w:top w:val="single" w:sz="8" w:space="0" w:color="auto"/>
              <w:left w:val="single" w:sz="8" w:space="0" w:color="auto"/>
              <w:bottom w:val="single" w:sz="4" w:space="0" w:color="auto"/>
              <w:right w:val="single" w:sz="8" w:space="0" w:color="auto"/>
            </w:tcBorders>
            <w:vAlign w:val="center"/>
            <w:hideMark/>
          </w:tcPr>
          <w:p w14:paraId="7136AB16" w14:textId="77777777" w:rsidR="004C127E" w:rsidRPr="000E5786" w:rsidRDefault="004C127E" w:rsidP="00DD60F0">
            <w:pPr>
              <w:rPr>
                <w:rFonts w:cs="Arial"/>
                <w:b/>
                <w:bCs/>
                <w:szCs w:val="20"/>
              </w:rPr>
            </w:pPr>
          </w:p>
        </w:tc>
        <w:tc>
          <w:tcPr>
            <w:tcW w:w="1559" w:type="dxa"/>
            <w:vMerge/>
            <w:tcBorders>
              <w:top w:val="nil"/>
              <w:left w:val="single" w:sz="8" w:space="0" w:color="auto"/>
              <w:bottom w:val="single" w:sz="4" w:space="0" w:color="auto"/>
              <w:right w:val="single" w:sz="4" w:space="0" w:color="auto"/>
            </w:tcBorders>
            <w:vAlign w:val="center"/>
            <w:hideMark/>
          </w:tcPr>
          <w:p w14:paraId="594E6EFA"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31045858" w14:textId="77777777" w:rsidR="004C127E" w:rsidRPr="000E5786" w:rsidRDefault="004C127E" w:rsidP="006E7B8A">
            <w:pPr>
              <w:ind w:left="0" w:firstLine="0"/>
              <w:jc w:val="left"/>
              <w:rPr>
                <w:rFonts w:cs="Arial"/>
                <w:szCs w:val="20"/>
              </w:rPr>
            </w:pPr>
            <w:r w:rsidRPr="000E5786">
              <w:rPr>
                <w:rFonts w:cs="Arial"/>
                <w:szCs w:val="20"/>
              </w:rPr>
              <w:t>Incident management</w:t>
            </w:r>
          </w:p>
        </w:tc>
        <w:tc>
          <w:tcPr>
            <w:tcW w:w="992" w:type="dxa"/>
            <w:tcBorders>
              <w:top w:val="nil"/>
              <w:left w:val="nil"/>
              <w:bottom w:val="single" w:sz="4" w:space="0" w:color="auto"/>
              <w:right w:val="single" w:sz="4" w:space="0" w:color="auto"/>
            </w:tcBorders>
            <w:shd w:val="clear" w:color="auto" w:fill="auto"/>
            <w:noWrap/>
            <w:vAlign w:val="bottom"/>
            <w:hideMark/>
          </w:tcPr>
          <w:p w14:paraId="0EBDF48C" w14:textId="77777777" w:rsidR="004C127E" w:rsidRPr="000E5786" w:rsidRDefault="004C127E" w:rsidP="00DD60F0">
            <w:pPr>
              <w:jc w:val="center"/>
              <w:rPr>
                <w:rFonts w:cs="Arial"/>
                <w:szCs w:val="20"/>
              </w:rPr>
            </w:pPr>
            <w:r w:rsidRPr="000E5786">
              <w:rPr>
                <w:rFonts w:cs="Arial"/>
                <w:szCs w:val="20"/>
              </w:rPr>
              <w:t>USUP</w:t>
            </w:r>
          </w:p>
        </w:tc>
        <w:tc>
          <w:tcPr>
            <w:tcW w:w="567" w:type="dxa"/>
            <w:tcBorders>
              <w:top w:val="nil"/>
              <w:left w:val="nil"/>
              <w:bottom w:val="single" w:sz="4" w:space="0" w:color="auto"/>
              <w:right w:val="single" w:sz="4" w:space="0" w:color="auto"/>
            </w:tcBorders>
            <w:shd w:val="clear" w:color="000000" w:fill="FFFF00"/>
            <w:noWrap/>
            <w:vAlign w:val="bottom"/>
            <w:hideMark/>
          </w:tcPr>
          <w:p w14:paraId="285B6AC3" w14:textId="6D6AD715"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8" w:space="0" w:color="auto"/>
            </w:tcBorders>
            <w:shd w:val="clear" w:color="000000" w:fill="FFFF00"/>
            <w:noWrap/>
            <w:vAlign w:val="bottom"/>
            <w:hideMark/>
          </w:tcPr>
          <w:p w14:paraId="561B94C1" w14:textId="36CA2170"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7B2688C0" w14:textId="0371933E"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10592963" w14:textId="372A64ED"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4795635A" w14:textId="706EA2CC"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491149DD" w14:textId="5F686FFB"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374B78C7" w14:textId="449CE466"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65654DCC" w14:textId="51F2EC54"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7A666D56" w14:textId="6F613318"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467D8177" w14:textId="7EF22516"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57DC8A92" w14:textId="2A85C97C"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42BCE2CC" w14:textId="698F63B3"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63558B31" w14:textId="3CF0B912"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63C9C3E5" w14:textId="79F8C8B8" w:rsidR="004C127E" w:rsidRPr="000E5786" w:rsidRDefault="004C127E" w:rsidP="00DD60F0">
            <w:pPr>
              <w:rPr>
                <w:rFonts w:cs="Arial"/>
                <w:szCs w:val="20"/>
              </w:rPr>
            </w:pPr>
            <w:r w:rsidRPr="000E5786">
              <w:rPr>
                <w:rFonts w:cs="Arial"/>
                <w:szCs w:val="20"/>
              </w:rPr>
              <w:t xml:space="preserve">755 </w:t>
            </w:r>
          </w:p>
        </w:tc>
      </w:tr>
      <w:tr w:rsidR="000549F2" w:rsidRPr="000E5786" w14:paraId="68ED9B66" w14:textId="77777777" w:rsidTr="006E7B8A">
        <w:trPr>
          <w:trHeight w:val="315"/>
        </w:trPr>
        <w:tc>
          <w:tcPr>
            <w:tcW w:w="710" w:type="dxa"/>
            <w:vMerge/>
            <w:tcBorders>
              <w:top w:val="single" w:sz="8" w:space="0" w:color="auto"/>
              <w:left w:val="single" w:sz="8" w:space="0" w:color="auto"/>
              <w:bottom w:val="single" w:sz="4" w:space="0" w:color="auto"/>
              <w:right w:val="single" w:sz="8" w:space="0" w:color="auto"/>
            </w:tcBorders>
            <w:vAlign w:val="center"/>
            <w:hideMark/>
          </w:tcPr>
          <w:p w14:paraId="49A59F8A" w14:textId="77777777" w:rsidR="004C127E" w:rsidRPr="000E5786" w:rsidRDefault="004C127E" w:rsidP="00DD60F0">
            <w:pPr>
              <w:rPr>
                <w:rFonts w:cs="Arial"/>
                <w:b/>
                <w:bCs/>
                <w:szCs w:val="20"/>
              </w:rPr>
            </w:pPr>
          </w:p>
        </w:tc>
        <w:tc>
          <w:tcPr>
            <w:tcW w:w="1559" w:type="dxa"/>
            <w:vMerge/>
            <w:tcBorders>
              <w:top w:val="nil"/>
              <w:left w:val="single" w:sz="8" w:space="0" w:color="auto"/>
              <w:bottom w:val="single" w:sz="4" w:space="0" w:color="auto"/>
              <w:right w:val="single" w:sz="4" w:space="0" w:color="auto"/>
            </w:tcBorders>
            <w:vAlign w:val="center"/>
            <w:hideMark/>
          </w:tcPr>
          <w:p w14:paraId="71E652E9" w14:textId="77777777" w:rsidR="004C127E" w:rsidRPr="000E5786" w:rsidRDefault="004C127E" w:rsidP="00DD60F0">
            <w:pPr>
              <w:rPr>
                <w:rFonts w:cs="Arial"/>
                <w:b/>
                <w:bCs/>
                <w:szCs w:val="20"/>
              </w:rPr>
            </w:pPr>
          </w:p>
        </w:tc>
        <w:tc>
          <w:tcPr>
            <w:tcW w:w="1559" w:type="dxa"/>
            <w:tcBorders>
              <w:top w:val="nil"/>
              <w:left w:val="nil"/>
              <w:bottom w:val="nil"/>
              <w:right w:val="single" w:sz="4" w:space="0" w:color="auto"/>
            </w:tcBorders>
            <w:shd w:val="clear" w:color="auto" w:fill="auto"/>
            <w:noWrap/>
            <w:vAlign w:val="bottom"/>
            <w:hideMark/>
          </w:tcPr>
          <w:p w14:paraId="2C07B66C" w14:textId="77777777" w:rsidR="004C127E" w:rsidRPr="000E5786" w:rsidRDefault="004C127E" w:rsidP="006E7B8A">
            <w:pPr>
              <w:ind w:left="0" w:firstLine="0"/>
              <w:jc w:val="left"/>
              <w:rPr>
                <w:rFonts w:cs="Arial"/>
                <w:szCs w:val="20"/>
              </w:rPr>
            </w:pPr>
            <w:r w:rsidRPr="000E5786">
              <w:rPr>
                <w:rFonts w:cs="Arial"/>
                <w:szCs w:val="20"/>
              </w:rPr>
              <w:t>Facilities management</w:t>
            </w:r>
          </w:p>
        </w:tc>
        <w:tc>
          <w:tcPr>
            <w:tcW w:w="992" w:type="dxa"/>
            <w:tcBorders>
              <w:top w:val="nil"/>
              <w:left w:val="nil"/>
              <w:bottom w:val="nil"/>
              <w:right w:val="single" w:sz="4" w:space="0" w:color="auto"/>
            </w:tcBorders>
            <w:shd w:val="clear" w:color="auto" w:fill="auto"/>
            <w:noWrap/>
            <w:vAlign w:val="bottom"/>
            <w:hideMark/>
          </w:tcPr>
          <w:p w14:paraId="3EEE17CA" w14:textId="77777777" w:rsidR="004C127E" w:rsidRPr="000E5786" w:rsidRDefault="004C127E" w:rsidP="00DD60F0">
            <w:pPr>
              <w:jc w:val="center"/>
              <w:rPr>
                <w:rFonts w:cs="Arial"/>
                <w:szCs w:val="20"/>
              </w:rPr>
            </w:pPr>
            <w:r w:rsidRPr="000E5786">
              <w:rPr>
                <w:rFonts w:cs="Arial"/>
                <w:szCs w:val="20"/>
              </w:rPr>
              <w:t>DCMA</w:t>
            </w:r>
          </w:p>
        </w:tc>
        <w:tc>
          <w:tcPr>
            <w:tcW w:w="567" w:type="dxa"/>
            <w:tcBorders>
              <w:top w:val="nil"/>
              <w:left w:val="nil"/>
              <w:bottom w:val="nil"/>
              <w:right w:val="single" w:sz="4" w:space="0" w:color="auto"/>
            </w:tcBorders>
            <w:shd w:val="clear" w:color="000000" w:fill="FFFF00"/>
            <w:noWrap/>
            <w:vAlign w:val="bottom"/>
            <w:hideMark/>
          </w:tcPr>
          <w:p w14:paraId="4F136FF5" w14:textId="58392B3C"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nil"/>
              <w:right w:val="single" w:sz="8" w:space="0" w:color="auto"/>
            </w:tcBorders>
            <w:shd w:val="clear" w:color="000000" w:fill="FFFF00"/>
            <w:noWrap/>
            <w:vAlign w:val="bottom"/>
            <w:hideMark/>
          </w:tcPr>
          <w:p w14:paraId="37BAE019" w14:textId="243C8852"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nil"/>
              <w:right w:val="single" w:sz="4" w:space="0" w:color="auto"/>
            </w:tcBorders>
            <w:shd w:val="clear" w:color="000000" w:fill="FFFF00"/>
            <w:noWrap/>
            <w:vAlign w:val="bottom"/>
            <w:hideMark/>
          </w:tcPr>
          <w:p w14:paraId="1733ED9C" w14:textId="41467E5E"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nil"/>
              <w:right w:val="single" w:sz="8" w:space="0" w:color="auto"/>
            </w:tcBorders>
            <w:shd w:val="clear" w:color="000000" w:fill="FFFF00"/>
            <w:noWrap/>
            <w:vAlign w:val="bottom"/>
            <w:hideMark/>
          </w:tcPr>
          <w:p w14:paraId="3E2F3AEF" w14:textId="486AA80D"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nil"/>
              <w:right w:val="single" w:sz="4" w:space="0" w:color="auto"/>
            </w:tcBorders>
            <w:shd w:val="clear" w:color="000000" w:fill="FFFF00"/>
            <w:noWrap/>
            <w:vAlign w:val="bottom"/>
            <w:hideMark/>
          </w:tcPr>
          <w:p w14:paraId="34F4C4AE" w14:textId="3EBDD4A3"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nil"/>
              <w:right w:val="single" w:sz="8" w:space="0" w:color="auto"/>
            </w:tcBorders>
            <w:shd w:val="clear" w:color="000000" w:fill="FFFF00"/>
            <w:noWrap/>
            <w:vAlign w:val="bottom"/>
            <w:hideMark/>
          </w:tcPr>
          <w:p w14:paraId="2D2A2998" w14:textId="139349DC"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nil"/>
              <w:right w:val="single" w:sz="4" w:space="0" w:color="auto"/>
            </w:tcBorders>
            <w:shd w:val="clear" w:color="000000" w:fill="FFFF00"/>
            <w:noWrap/>
            <w:vAlign w:val="bottom"/>
            <w:hideMark/>
          </w:tcPr>
          <w:p w14:paraId="458A72A7" w14:textId="14852BD4"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nil"/>
              <w:right w:val="single" w:sz="8" w:space="0" w:color="auto"/>
            </w:tcBorders>
            <w:shd w:val="clear" w:color="000000" w:fill="FFFF00"/>
            <w:noWrap/>
            <w:vAlign w:val="bottom"/>
            <w:hideMark/>
          </w:tcPr>
          <w:p w14:paraId="6B5D409D" w14:textId="53EF329D"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nil"/>
              <w:right w:val="single" w:sz="4" w:space="0" w:color="auto"/>
            </w:tcBorders>
            <w:shd w:val="clear" w:color="000000" w:fill="FFFF00"/>
            <w:noWrap/>
            <w:vAlign w:val="bottom"/>
            <w:hideMark/>
          </w:tcPr>
          <w:p w14:paraId="7384BFF7" w14:textId="1A759FA2"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nil"/>
              <w:right w:val="single" w:sz="8" w:space="0" w:color="auto"/>
            </w:tcBorders>
            <w:shd w:val="clear" w:color="000000" w:fill="FFFF00"/>
            <w:noWrap/>
            <w:vAlign w:val="bottom"/>
            <w:hideMark/>
          </w:tcPr>
          <w:p w14:paraId="46C56D87" w14:textId="2D79C13A"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nil"/>
              <w:right w:val="single" w:sz="4" w:space="0" w:color="auto"/>
            </w:tcBorders>
            <w:shd w:val="clear" w:color="000000" w:fill="FFFF00"/>
            <w:noWrap/>
            <w:vAlign w:val="bottom"/>
            <w:hideMark/>
          </w:tcPr>
          <w:p w14:paraId="1F07A531" w14:textId="32F68A77"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nil"/>
              <w:right w:val="single" w:sz="8" w:space="0" w:color="auto"/>
            </w:tcBorders>
            <w:shd w:val="clear" w:color="000000" w:fill="FFFF00"/>
            <w:noWrap/>
            <w:vAlign w:val="bottom"/>
            <w:hideMark/>
          </w:tcPr>
          <w:p w14:paraId="035917C7" w14:textId="372ABA24"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nil"/>
              <w:right w:val="single" w:sz="4" w:space="0" w:color="auto"/>
            </w:tcBorders>
            <w:shd w:val="clear" w:color="000000" w:fill="FFFF00"/>
            <w:noWrap/>
            <w:vAlign w:val="bottom"/>
            <w:hideMark/>
          </w:tcPr>
          <w:p w14:paraId="0BF1F201" w14:textId="77777777" w:rsidR="004C127E" w:rsidRPr="000E5786" w:rsidRDefault="004C127E" w:rsidP="00DD60F0">
            <w:pPr>
              <w:rPr>
                <w:rFonts w:cs="Arial"/>
                <w:szCs w:val="20"/>
              </w:rPr>
            </w:pPr>
            <w:r w:rsidRPr="000E5786">
              <w:rPr>
                <w:rFonts w:cs="Arial"/>
                <w:szCs w:val="20"/>
              </w:rPr>
              <w:t xml:space="preserve">  1,995 </w:t>
            </w:r>
          </w:p>
        </w:tc>
        <w:tc>
          <w:tcPr>
            <w:tcW w:w="709" w:type="dxa"/>
            <w:tcBorders>
              <w:top w:val="nil"/>
              <w:left w:val="nil"/>
              <w:bottom w:val="nil"/>
              <w:right w:val="single" w:sz="8" w:space="0" w:color="auto"/>
            </w:tcBorders>
            <w:shd w:val="clear" w:color="000000" w:fill="FFFF00"/>
            <w:noWrap/>
            <w:vAlign w:val="bottom"/>
            <w:hideMark/>
          </w:tcPr>
          <w:p w14:paraId="5BDDD97E" w14:textId="7D33D8C8" w:rsidR="004C127E" w:rsidRPr="000E5786" w:rsidRDefault="004C127E" w:rsidP="00DD60F0">
            <w:pPr>
              <w:rPr>
                <w:rFonts w:cs="Arial"/>
                <w:szCs w:val="20"/>
              </w:rPr>
            </w:pPr>
            <w:r w:rsidRPr="000E5786">
              <w:rPr>
                <w:rFonts w:cs="Arial"/>
                <w:szCs w:val="20"/>
              </w:rPr>
              <w:t xml:space="preserve">755 </w:t>
            </w:r>
          </w:p>
        </w:tc>
      </w:tr>
      <w:tr w:rsidR="000549F2" w:rsidRPr="000E5786" w14:paraId="55B8BD22" w14:textId="77777777" w:rsidTr="006E7B8A">
        <w:trPr>
          <w:trHeight w:val="210"/>
        </w:trPr>
        <w:tc>
          <w:tcPr>
            <w:tcW w:w="710" w:type="dxa"/>
            <w:vMerge w:val="restart"/>
            <w:tcBorders>
              <w:top w:val="nil"/>
              <w:left w:val="single" w:sz="8" w:space="0" w:color="auto"/>
              <w:bottom w:val="single" w:sz="4" w:space="0" w:color="auto"/>
              <w:right w:val="single" w:sz="8" w:space="0" w:color="auto"/>
            </w:tcBorders>
            <w:shd w:val="clear" w:color="auto" w:fill="auto"/>
            <w:textDirection w:val="btLr"/>
            <w:vAlign w:val="center"/>
            <w:hideMark/>
          </w:tcPr>
          <w:p w14:paraId="7E6F9615" w14:textId="49106B77" w:rsidR="004C127E" w:rsidRPr="000E5786" w:rsidRDefault="004C127E" w:rsidP="006E7B8A">
            <w:pPr>
              <w:ind w:left="113" w:right="113" w:firstLine="0"/>
              <w:jc w:val="center"/>
              <w:rPr>
                <w:rFonts w:cs="Arial"/>
                <w:b/>
                <w:bCs/>
                <w:szCs w:val="20"/>
              </w:rPr>
            </w:pPr>
            <w:r w:rsidRPr="000E5786">
              <w:rPr>
                <w:rFonts w:cs="Arial"/>
                <w:b/>
                <w:bCs/>
                <w:szCs w:val="20"/>
              </w:rPr>
              <w:t xml:space="preserve">Skills and quality </w:t>
            </w:r>
          </w:p>
        </w:tc>
        <w:tc>
          <w:tcPr>
            <w:tcW w:w="1559"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19DD9167" w14:textId="77777777" w:rsidR="004C127E" w:rsidRPr="000E5786" w:rsidRDefault="004C127E" w:rsidP="006E7B8A">
            <w:pPr>
              <w:ind w:left="0" w:firstLine="0"/>
              <w:jc w:val="center"/>
              <w:rPr>
                <w:rFonts w:cs="Arial"/>
                <w:b/>
                <w:bCs/>
                <w:szCs w:val="20"/>
              </w:rPr>
            </w:pPr>
            <w:r w:rsidRPr="000E5786">
              <w:rPr>
                <w:rFonts w:cs="Arial"/>
                <w:b/>
                <w:bCs/>
                <w:szCs w:val="20"/>
              </w:rPr>
              <w:t>Skill management</w:t>
            </w:r>
          </w:p>
        </w:tc>
        <w:tc>
          <w:tcPr>
            <w:tcW w:w="1559" w:type="dxa"/>
            <w:tcBorders>
              <w:top w:val="single" w:sz="8" w:space="0" w:color="auto"/>
              <w:left w:val="nil"/>
              <w:bottom w:val="single" w:sz="4" w:space="0" w:color="auto"/>
              <w:right w:val="single" w:sz="4" w:space="0" w:color="auto"/>
            </w:tcBorders>
            <w:shd w:val="clear" w:color="auto" w:fill="auto"/>
            <w:noWrap/>
            <w:vAlign w:val="bottom"/>
            <w:hideMark/>
          </w:tcPr>
          <w:p w14:paraId="641FD3F0" w14:textId="77777777" w:rsidR="004C127E" w:rsidRPr="000E5786" w:rsidRDefault="004C127E" w:rsidP="006E7B8A">
            <w:pPr>
              <w:ind w:left="0" w:firstLine="0"/>
              <w:jc w:val="left"/>
              <w:rPr>
                <w:rFonts w:cs="Arial"/>
                <w:szCs w:val="20"/>
              </w:rPr>
            </w:pPr>
            <w:r w:rsidRPr="000E5786">
              <w:rPr>
                <w:rFonts w:cs="Arial"/>
                <w:szCs w:val="20"/>
              </w:rPr>
              <w:t>Learning and development management</w:t>
            </w:r>
          </w:p>
        </w:tc>
        <w:tc>
          <w:tcPr>
            <w:tcW w:w="992" w:type="dxa"/>
            <w:tcBorders>
              <w:top w:val="single" w:sz="8" w:space="0" w:color="auto"/>
              <w:left w:val="nil"/>
              <w:bottom w:val="single" w:sz="4" w:space="0" w:color="auto"/>
              <w:right w:val="single" w:sz="4" w:space="0" w:color="auto"/>
            </w:tcBorders>
            <w:shd w:val="clear" w:color="auto" w:fill="auto"/>
            <w:noWrap/>
            <w:vAlign w:val="bottom"/>
            <w:hideMark/>
          </w:tcPr>
          <w:p w14:paraId="34128EE1" w14:textId="77777777" w:rsidR="004C127E" w:rsidRPr="000E5786" w:rsidRDefault="004C127E" w:rsidP="00DD60F0">
            <w:pPr>
              <w:jc w:val="center"/>
              <w:rPr>
                <w:rFonts w:cs="Arial"/>
                <w:szCs w:val="20"/>
              </w:rPr>
            </w:pPr>
            <w:r w:rsidRPr="000E5786">
              <w:rPr>
                <w:rFonts w:cs="Arial"/>
                <w:szCs w:val="20"/>
              </w:rPr>
              <w:t>ETMG</w:t>
            </w:r>
          </w:p>
        </w:tc>
        <w:tc>
          <w:tcPr>
            <w:tcW w:w="567" w:type="dxa"/>
            <w:tcBorders>
              <w:top w:val="single" w:sz="8" w:space="0" w:color="auto"/>
              <w:left w:val="nil"/>
              <w:bottom w:val="single" w:sz="4" w:space="0" w:color="auto"/>
              <w:right w:val="single" w:sz="4" w:space="0" w:color="auto"/>
            </w:tcBorders>
            <w:shd w:val="clear" w:color="000000" w:fill="FFFF00"/>
            <w:noWrap/>
            <w:vAlign w:val="bottom"/>
            <w:hideMark/>
          </w:tcPr>
          <w:p w14:paraId="47002EC5" w14:textId="15F782FC" w:rsidR="004C127E" w:rsidRPr="000E5786" w:rsidRDefault="004C127E" w:rsidP="00DD60F0">
            <w:pPr>
              <w:rPr>
                <w:rFonts w:cs="Arial"/>
                <w:szCs w:val="20"/>
              </w:rPr>
            </w:pPr>
            <w:r w:rsidRPr="000E5786">
              <w:rPr>
                <w:rFonts w:cs="Arial"/>
                <w:szCs w:val="20"/>
              </w:rPr>
              <w:t xml:space="preserve">495 </w:t>
            </w:r>
          </w:p>
        </w:tc>
        <w:tc>
          <w:tcPr>
            <w:tcW w:w="708" w:type="dxa"/>
            <w:tcBorders>
              <w:top w:val="single" w:sz="8" w:space="0" w:color="auto"/>
              <w:left w:val="nil"/>
              <w:bottom w:val="single" w:sz="4" w:space="0" w:color="auto"/>
              <w:right w:val="single" w:sz="4" w:space="0" w:color="auto"/>
            </w:tcBorders>
            <w:shd w:val="clear" w:color="000000" w:fill="FFFF00"/>
            <w:noWrap/>
            <w:vAlign w:val="bottom"/>
            <w:hideMark/>
          </w:tcPr>
          <w:p w14:paraId="6D0F1E05" w14:textId="5368AD5A" w:rsidR="004C127E" w:rsidRPr="000E5786" w:rsidRDefault="004C127E" w:rsidP="00DD60F0">
            <w:pPr>
              <w:rPr>
                <w:rFonts w:cs="Arial"/>
                <w:szCs w:val="20"/>
              </w:rPr>
            </w:pPr>
            <w:r w:rsidRPr="000E5786">
              <w:rPr>
                <w:rFonts w:cs="Arial"/>
                <w:szCs w:val="20"/>
              </w:rPr>
              <w:t xml:space="preserve">91 </w:t>
            </w:r>
          </w:p>
        </w:tc>
        <w:tc>
          <w:tcPr>
            <w:tcW w:w="567" w:type="dxa"/>
            <w:tcBorders>
              <w:top w:val="single" w:sz="8" w:space="0" w:color="auto"/>
              <w:left w:val="nil"/>
              <w:bottom w:val="single" w:sz="4" w:space="0" w:color="auto"/>
              <w:right w:val="single" w:sz="4" w:space="0" w:color="auto"/>
            </w:tcBorders>
            <w:shd w:val="clear" w:color="000000" w:fill="FFFF00"/>
            <w:noWrap/>
            <w:vAlign w:val="bottom"/>
            <w:hideMark/>
          </w:tcPr>
          <w:p w14:paraId="77FF9994" w14:textId="71CF2B30" w:rsidR="004C127E" w:rsidRPr="000E5786" w:rsidRDefault="004C127E" w:rsidP="00DD60F0">
            <w:pPr>
              <w:rPr>
                <w:rFonts w:cs="Arial"/>
                <w:szCs w:val="20"/>
              </w:rPr>
            </w:pPr>
            <w:r w:rsidRPr="000E5786">
              <w:rPr>
                <w:rFonts w:cs="Arial"/>
                <w:szCs w:val="20"/>
              </w:rPr>
              <w:t xml:space="preserve">795 </w:t>
            </w:r>
          </w:p>
        </w:tc>
        <w:tc>
          <w:tcPr>
            <w:tcW w:w="709" w:type="dxa"/>
            <w:tcBorders>
              <w:top w:val="single" w:sz="8" w:space="0" w:color="auto"/>
              <w:left w:val="nil"/>
              <w:bottom w:val="single" w:sz="4" w:space="0" w:color="auto"/>
              <w:right w:val="single" w:sz="4" w:space="0" w:color="auto"/>
            </w:tcBorders>
            <w:shd w:val="clear" w:color="000000" w:fill="FFFF00"/>
            <w:noWrap/>
            <w:vAlign w:val="bottom"/>
            <w:hideMark/>
          </w:tcPr>
          <w:p w14:paraId="23B3B509" w14:textId="33B8B3F1" w:rsidR="004C127E" w:rsidRPr="000E5786" w:rsidRDefault="004C127E" w:rsidP="00DD60F0">
            <w:pPr>
              <w:rPr>
                <w:rFonts w:cs="Arial"/>
                <w:szCs w:val="20"/>
              </w:rPr>
            </w:pPr>
            <w:r w:rsidRPr="000E5786">
              <w:rPr>
                <w:rFonts w:cs="Arial"/>
                <w:szCs w:val="20"/>
              </w:rPr>
              <w:t xml:space="preserve">155 </w:t>
            </w:r>
          </w:p>
        </w:tc>
        <w:tc>
          <w:tcPr>
            <w:tcW w:w="567" w:type="dxa"/>
            <w:tcBorders>
              <w:top w:val="single" w:sz="8" w:space="0" w:color="auto"/>
              <w:left w:val="nil"/>
              <w:bottom w:val="single" w:sz="4" w:space="0" w:color="auto"/>
              <w:right w:val="single" w:sz="4" w:space="0" w:color="auto"/>
            </w:tcBorders>
            <w:shd w:val="clear" w:color="000000" w:fill="FFFF00"/>
            <w:noWrap/>
            <w:vAlign w:val="bottom"/>
            <w:hideMark/>
          </w:tcPr>
          <w:p w14:paraId="4034CDE5" w14:textId="4FDC06C8" w:rsidR="004C127E" w:rsidRPr="000E5786" w:rsidRDefault="004C127E" w:rsidP="00DD60F0">
            <w:pPr>
              <w:rPr>
                <w:rFonts w:cs="Arial"/>
                <w:szCs w:val="20"/>
              </w:rPr>
            </w:pPr>
            <w:r w:rsidRPr="000E5786">
              <w:rPr>
                <w:rFonts w:cs="Arial"/>
                <w:szCs w:val="20"/>
              </w:rPr>
              <w:t xml:space="preserve">995 </w:t>
            </w:r>
          </w:p>
        </w:tc>
        <w:tc>
          <w:tcPr>
            <w:tcW w:w="709" w:type="dxa"/>
            <w:tcBorders>
              <w:top w:val="single" w:sz="8" w:space="0" w:color="auto"/>
              <w:left w:val="nil"/>
              <w:bottom w:val="single" w:sz="4" w:space="0" w:color="auto"/>
              <w:right w:val="single" w:sz="4" w:space="0" w:color="auto"/>
            </w:tcBorders>
            <w:shd w:val="clear" w:color="000000" w:fill="FFFF00"/>
            <w:noWrap/>
            <w:vAlign w:val="bottom"/>
            <w:hideMark/>
          </w:tcPr>
          <w:p w14:paraId="44CBA9CD" w14:textId="46FD0584" w:rsidR="004C127E" w:rsidRPr="000E5786" w:rsidRDefault="004C127E" w:rsidP="00DD60F0">
            <w:pPr>
              <w:rPr>
                <w:rFonts w:cs="Arial"/>
                <w:szCs w:val="20"/>
              </w:rPr>
            </w:pPr>
            <w:r w:rsidRPr="000E5786">
              <w:rPr>
                <w:rFonts w:cs="Arial"/>
                <w:szCs w:val="20"/>
              </w:rPr>
              <w:t xml:space="preserve">226 </w:t>
            </w:r>
          </w:p>
        </w:tc>
        <w:tc>
          <w:tcPr>
            <w:tcW w:w="850" w:type="dxa"/>
            <w:tcBorders>
              <w:top w:val="single" w:sz="8" w:space="0" w:color="auto"/>
              <w:left w:val="nil"/>
              <w:bottom w:val="single" w:sz="4" w:space="0" w:color="auto"/>
              <w:right w:val="single" w:sz="4" w:space="0" w:color="auto"/>
            </w:tcBorders>
            <w:shd w:val="clear" w:color="000000" w:fill="FFFF00"/>
            <w:noWrap/>
            <w:vAlign w:val="bottom"/>
            <w:hideMark/>
          </w:tcPr>
          <w:p w14:paraId="543DEE9E" w14:textId="73C97124" w:rsidR="004C127E" w:rsidRPr="000E5786" w:rsidRDefault="004C127E" w:rsidP="00DD60F0">
            <w:pPr>
              <w:rPr>
                <w:rFonts w:cs="Arial"/>
                <w:szCs w:val="20"/>
              </w:rPr>
            </w:pPr>
            <w:r w:rsidRPr="000E5786">
              <w:rPr>
                <w:rFonts w:cs="Arial"/>
                <w:szCs w:val="20"/>
              </w:rPr>
              <w:t xml:space="preserve">1,195 </w:t>
            </w:r>
          </w:p>
        </w:tc>
        <w:tc>
          <w:tcPr>
            <w:tcW w:w="709" w:type="dxa"/>
            <w:tcBorders>
              <w:top w:val="single" w:sz="8" w:space="0" w:color="auto"/>
              <w:left w:val="nil"/>
              <w:bottom w:val="single" w:sz="4" w:space="0" w:color="auto"/>
              <w:right w:val="single" w:sz="4" w:space="0" w:color="auto"/>
            </w:tcBorders>
            <w:shd w:val="clear" w:color="000000" w:fill="FFFF00"/>
            <w:noWrap/>
            <w:vAlign w:val="bottom"/>
            <w:hideMark/>
          </w:tcPr>
          <w:p w14:paraId="66F818BC" w14:textId="12066A44" w:rsidR="004C127E" w:rsidRPr="000E5786" w:rsidRDefault="004C127E" w:rsidP="00DD60F0">
            <w:pPr>
              <w:rPr>
                <w:rFonts w:cs="Arial"/>
                <w:szCs w:val="20"/>
              </w:rPr>
            </w:pPr>
            <w:r w:rsidRPr="000E5786">
              <w:rPr>
                <w:rFonts w:cs="Arial"/>
                <w:szCs w:val="20"/>
              </w:rPr>
              <w:t xml:space="preserve">321 </w:t>
            </w:r>
          </w:p>
        </w:tc>
        <w:tc>
          <w:tcPr>
            <w:tcW w:w="851" w:type="dxa"/>
            <w:tcBorders>
              <w:top w:val="single" w:sz="8" w:space="0" w:color="auto"/>
              <w:left w:val="nil"/>
              <w:bottom w:val="single" w:sz="4" w:space="0" w:color="auto"/>
              <w:right w:val="single" w:sz="4" w:space="0" w:color="auto"/>
            </w:tcBorders>
            <w:shd w:val="clear" w:color="000000" w:fill="FFFF00"/>
            <w:noWrap/>
            <w:vAlign w:val="bottom"/>
            <w:hideMark/>
          </w:tcPr>
          <w:p w14:paraId="56D9CF5E" w14:textId="1B2773AB" w:rsidR="004C127E" w:rsidRPr="000E5786" w:rsidRDefault="004C127E" w:rsidP="00DD60F0">
            <w:pPr>
              <w:rPr>
                <w:rFonts w:cs="Arial"/>
                <w:szCs w:val="20"/>
              </w:rPr>
            </w:pPr>
            <w:r w:rsidRPr="000E5786">
              <w:rPr>
                <w:rFonts w:cs="Arial"/>
                <w:szCs w:val="20"/>
              </w:rPr>
              <w:t xml:space="preserve">1,495 </w:t>
            </w:r>
          </w:p>
        </w:tc>
        <w:tc>
          <w:tcPr>
            <w:tcW w:w="708" w:type="dxa"/>
            <w:tcBorders>
              <w:top w:val="single" w:sz="8" w:space="0" w:color="auto"/>
              <w:left w:val="nil"/>
              <w:bottom w:val="single" w:sz="4" w:space="0" w:color="auto"/>
              <w:right w:val="single" w:sz="4" w:space="0" w:color="auto"/>
            </w:tcBorders>
            <w:shd w:val="clear" w:color="000000" w:fill="FFFF00"/>
            <w:noWrap/>
            <w:vAlign w:val="bottom"/>
            <w:hideMark/>
          </w:tcPr>
          <w:p w14:paraId="7CF538A3" w14:textId="538D2D1A" w:rsidR="004C127E" w:rsidRPr="000E5786" w:rsidRDefault="004C127E" w:rsidP="00DD60F0">
            <w:pPr>
              <w:rPr>
                <w:rFonts w:cs="Arial"/>
                <w:szCs w:val="20"/>
              </w:rPr>
            </w:pPr>
            <w:r w:rsidRPr="000E5786">
              <w:rPr>
                <w:rFonts w:cs="Arial"/>
                <w:szCs w:val="20"/>
              </w:rPr>
              <w:t xml:space="preserve">414 </w:t>
            </w:r>
          </w:p>
        </w:tc>
        <w:tc>
          <w:tcPr>
            <w:tcW w:w="851" w:type="dxa"/>
            <w:tcBorders>
              <w:top w:val="single" w:sz="8" w:space="0" w:color="auto"/>
              <w:left w:val="nil"/>
              <w:bottom w:val="single" w:sz="4" w:space="0" w:color="auto"/>
              <w:right w:val="single" w:sz="4" w:space="0" w:color="auto"/>
            </w:tcBorders>
            <w:shd w:val="clear" w:color="000000" w:fill="FFFF00"/>
            <w:noWrap/>
            <w:vAlign w:val="bottom"/>
            <w:hideMark/>
          </w:tcPr>
          <w:p w14:paraId="668AD034" w14:textId="6A08314F" w:rsidR="004C127E" w:rsidRPr="000E5786" w:rsidRDefault="004C127E" w:rsidP="00DD60F0">
            <w:pPr>
              <w:rPr>
                <w:rFonts w:cs="Arial"/>
                <w:szCs w:val="20"/>
              </w:rPr>
            </w:pPr>
            <w:r w:rsidRPr="000E5786">
              <w:rPr>
                <w:rFonts w:cs="Arial"/>
                <w:szCs w:val="20"/>
              </w:rPr>
              <w:t xml:space="preserve">1,699 </w:t>
            </w:r>
          </w:p>
        </w:tc>
        <w:tc>
          <w:tcPr>
            <w:tcW w:w="709" w:type="dxa"/>
            <w:tcBorders>
              <w:top w:val="single" w:sz="8" w:space="0" w:color="auto"/>
              <w:left w:val="nil"/>
              <w:bottom w:val="single" w:sz="4" w:space="0" w:color="auto"/>
              <w:right w:val="single" w:sz="4" w:space="0" w:color="auto"/>
            </w:tcBorders>
            <w:shd w:val="clear" w:color="000000" w:fill="FFFF00"/>
            <w:noWrap/>
            <w:vAlign w:val="bottom"/>
            <w:hideMark/>
          </w:tcPr>
          <w:p w14:paraId="766258FE" w14:textId="57588EFF" w:rsidR="004C127E" w:rsidRPr="000E5786" w:rsidRDefault="004C127E" w:rsidP="00DD60F0">
            <w:pPr>
              <w:rPr>
                <w:rFonts w:cs="Arial"/>
                <w:szCs w:val="20"/>
              </w:rPr>
            </w:pPr>
            <w:r w:rsidRPr="000E5786">
              <w:rPr>
                <w:rFonts w:cs="Arial"/>
                <w:szCs w:val="20"/>
              </w:rPr>
              <w:t xml:space="preserve">600 </w:t>
            </w:r>
          </w:p>
        </w:tc>
        <w:tc>
          <w:tcPr>
            <w:tcW w:w="850" w:type="dxa"/>
            <w:tcBorders>
              <w:top w:val="single" w:sz="8" w:space="0" w:color="auto"/>
              <w:left w:val="nil"/>
              <w:bottom w:val="single" w:sz="4" w:space="0" w:color="auto"/>
              <w:right w:val="single" w:sz="4" w:space="0" w:color="auto"/>
            </w:tcBorders>
            <w:shd w:val="clear" w:color="000000" w:fill="FFFF00"/>
            <w:noWrap/>
            <w:vAlign w:val="bottom"/>
            <w:hideMark/>
          </w:tcPr>
          <w:p w14:paraId="35FCFD03" w14:textId="7B72AAAB" w:rsidR="004C127E" w:rsidRPr="000E5786" w:rsidRDefault="004C127E" w:rsidP="00DD60F0">
            <w:pPr>
              <w:rPr>
                <w:rFonts w:cs="Arial"/>
                <w:szCs w:val="20"/>
              </w:rPr>
            </w:pPr>
            <w:r w:rsidRPr="000E5786">
              <w:rPr>
                <w:rFonts w:cs="Arial"/>
                <w:szCs w:val="20"/>
              </w:rPr>
              <w:t xml:space="preserve">  ,995 </w:t>
            </w:r>
          </w:p>
        </w:tc>
        <w:tc>
          <w:tcPr>
            <w:tcW w:w="709" w:type="dxa"/>
            <w:tcBorders>
              <w:top w:val="single" w:sz="8" w:space="0" w:color="auto"/>
              <w:left w:val="nil"/>
              <w:bottom w:val="single" w:sz="4" w:space="0" w:color="auto"/>
              <w:right w:val="single" w:sz="8" w:space="0" w:color="auto"/>
            </w:tcBorders>
            <w:shd w:val="clear" w:color="000000" w:fill="FFFF00"/>
            <w:noWrap/>
            <w:vAlign w:val="bottom"/>
            <w:hideMark/>
          </w:tcPr>
          <w:p w14:paraId="458335EE" w14:textId="790A60BF" w:rsidR="004C127E" w:rsidRPr="000E5786" w:rsidRDefault="004C127E" w:rsidP="00DD60F0">
            <w:pPr>
              <w:rPr>
                <w:rFonts w:cs="Arial"/>
                <w:szCs w:val="20"/>
              </w:rPr>
            </w:pPr>
            <w:r w:rsidRPr="000E5786">
              <w:rPr>
                <w:rFonts w:cs="Arial"/>
                <w:szCs w:val="20"/>
              </w:rPr>
              <w:t xml:space="preserve">755 </w:t>
            </w:r>
          </w:p>
        </w:tc>
      </w:tr>
      <w:tr w:rsidR="000549F2" w:rsidRPr="000E5786" w14:paraId="5675C3B9" w14:textId="77777777" w:rsidTr="006E7B8A">
        <w:trPr>
          <w:trHeight w:val="210"/>
        </w:trPr>
        <w:tc>
          <w:tcPr>
            <w:tcW w:w="710" w:type="dxa"/>
            <w:vMerge/>
            <w:tcBorders>
              <w:top w:val="nil"/>
              <w:left w:val="single" w:sz="8" w:space="0" w:color="auto"/>
              <w:bottom w:val="single" w:sz="4" w:space="0" w:color="auto"/>
              <w:right w:val="single" w:sz="8" w:space="0" w:color="auto"/>
            </w:tcBorders>
            <w:vAlign w:val="center"/>
            <w:hideMark/>
          </w:tcPr>
          <w:p w14:paraId="2B3C9ABE" w14:textId="77777777" w:rsidR="004C127E" w:rsidRPr="000E5786" w:rsidRDefault="004C127E" w:rsidP="00DD60F0">
            <w:pPr>
              <w:rPr>
                <w:rFonts w:cs="Arial"/>
                <w:b/>
                <w:bCs/>
                <w:szCs w:val="20"/>
              </w:rPr>
            </w:pPr>
          </w:p>
        </w:tc>
        <w:tc>
          <w:tcPr>
            <w:tcW w:w="1559" w:type="dxa"/>
            <w:vMerge/>
            <w:tcBorders>
              <w:top w:val="single" w:sz="8" w:space="0" w:color="auto"/>
              <w:left w:val="single" w:sz="8" w:space="0" w:color="auto"/>
              <w:bottom w:val="single" w:sz="4" w:space="0" w:color="auto"/>
              <w:right w:val="single" w:sz="4" w:space="0" w:color="auto"/>
            </w:tcBorders>
            <w:vAlign w:val="center"/>
            <w:hideMark/>
          </w:tcPr>
          <w:p w14:paraId="4F09393F"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2FE61801" w14:textId="77777777" w:rsidR="004C127E" w:rsidRPr="000E5786" w:rsidRDefault="004C127E" w:rsidP="006E7B8A">
            <w:pPr>
              <w:ind w:left="0" w:firstLine="0"/>
              <w:jc w:val="left"/>
              <w:rPr>
                <w:rFonts w:cs="Arial"/>
                <w:szCs w:val="20"/>
              </w:rPr>
            </w:pPr>
            <w:r w:rsidRPr="000E5786">
              <w:rPr>
                <w:rFonts w:cs="Arial"/>
                <w:szCs w:val="20"/>
              </w:rPr>
              <w:t>Learning assessment and evaluation</w:t>
            </w:r>
          </w:p>
        </w:tc>
        <w:tc>
          <w:tcPr>
            <w:tcW w:w="992" w:type="dxa"/>
            <w:tcBorders>
              <w:top w:val="nil"/>
              <w:left w:val="nil"/>
              <w:bottom w:val="single" w:sz="4" w:space="0" w:color="auto"/>
              <w:right w:val="single" w:sz="4" w:space="0" w:color="auto"/>
            </w:tcBorders>
            <w:shd w:val="clear" w:color="auto" w:fill="auto"/>
            <w:noWrap/>
            <w:vAlign w:val="bottom"/>
            <w:hideMark/>
          </w:tcPr>
          <w:p w14:paraId="2933AA58" w14:textId="77777777" w:rsidR="004C127E" w:rsidRPr="000E5786" w:rsidRDefault="004C127E" w:rsidP="00DD60F0">
            <w:pPr>
              <w:jc w:val="center"/>
              <w:rPr>
                <w:rFonts w:cs="Arial"/>
                <w:szCs w:val="20"/>
              </w:rPr>
            </w:pPr>
            <w:r w:rsidRPr="000E5786">
              <w:rPr>
                <w:rFonts w:cs="Arial"/>
                <w:szCs w:val="20"/>
              </w:rPr>
              <w:t>LEDA</w:t>
            </w:r>
          </w:p>
        </w:tc>
        <w:tc>
          <w:tcPr>
            <w:tcW w:w="567" w:type="dxa"/>
            <w:tcBorders>
              <w:top w:val="nil"/>
              <w:left w:val="nil"/>
              <w:bottom w:val="single" w:sz="4" w:space="0" w:color="auto"/>
              <w:right w:val="single" w:sz="4" w:space="0" w:color="auto"/>
            </w:tcBorders>
            <w:shd w:val="clear" w:color="000000" w:fill="FFFF00"/>
            <w:noWrap/>
            <w:vAlign w:val="bottom"/>
            <w:hideMark/>
          </w:tcPr>
          <w:p w14:paraId="3E1AAC7D" w14:textId="1E2E7EB1"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4" w:space="0" w:color="auto"/>
            </w:tcBorders>
            <w:shd w:val="clear" w:color="000000" w:fill="FFFF00"/>
            <w:noWrap/>
            <w:vAlign w:val="bottom"/>
            <w:hideMark/>
          </w:tcPr>
          <w:p w14:paraId="20580BEE" w14:textId="78BF1727"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6CCE7F1A" w14:textId="55E81E9D"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4" w:space="0" w:color="auto"/>
            </w:tcBorders>
            <w:shd w:val="clear" w:color="000000" w:fill="FFFF00"/>
            <w:noWrap/>
            <w:vAlign w:val="bottom"/>
            <w:hideMark/>
          </w:tcPr>
          <w:p w14:paraId="48EEF9E3" w14:textId="44EB5928"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12F5539B" w14:textId="13C8317F"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4" w:space="0" w:color="auto"/>
            </w:tcBorders>
            <w:shd w:val="clear" w:color="000000" w:fill="FFFF00"/>
            <w:noWrap/>
            <w:vAlign w:val="bottom"/>
            <w:hideMark/>
          </w:tcPr>
          <w:p w14:paraId="6895287D" w14:textId="021F8013"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3D3F32AE" w14:textId="0D810F74"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4" w:space="0" w:color="auto"/>
            </w:tcBorders>
            <w:shd w:val="clear" w:color="000000" w:fill="FFFF00"/>
            <w:noWrap/>
            <w:vAlign w:val="bottom"/>
            <w:hideMark/>
          </w:tcPr>
          <w:p w14:paraId="3C880CEF" w14:textId="2B3A919D"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4A6510DA" w14:textId="00F0EE8F"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4" w:space="0" w:color="auto"/>
            </w:tcBorders>
            <w:shd w:val="clear" w:color="000000" w:fill="FFFF00"/>
            <w:noWrap/>
            <w:vAlign w:val="bottom"/>
            <w:hideMark/>
          </w:tcPr>
          <w:p w14:paraId="224467D8" w14:textId="35FC921B"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35508B7B" w14:textId="357DEB74"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4" w:space="0" w:color="auto"/>
            </w:tcBorders>
            <w:shd w:val="clear" w:color="000000" w:fill="FFFF00"/>
            <w:noWrap/>
            <w:vAlign w:val="bottom"/>
            <w:hideMark/>
          </w:tcPr>
          <w:p w14:paraId="6E03C87F" w14:textId="3ABE97AF"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222F8FAC" w14:textId="3CCDE68C"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15A783BE" w14:textId="421257C2" w:rsidR="004C127E" w:rsidRPr="000E5786" w:rsidRDefault="004C127E" w:rsidP="00DD60F0">
            <w:pPr>
              <w:rPr>
                <w:rFonts w:cs="Arial"/>
                <w:szCs w:val="20"/>
              </w:rPr>
            </w:pPr>
            <w:r w:rsidRPr="000E5786">
              <w:rPr>
                <w:rFonts w:cs="Arial"/>
                <w:szCs w:val="20"/>
              </w:rPr>
              <w:t xml:space="preserve">755 </w:t>
            </w:r>
          </w:p>
        </w:tc>
      </w:tr>
      <w:tr w:rsidR="000549F2" w:rsidRPr="000E5786" w14:paraId="155D944C" w14:textId="77777777" w:rsidTr="006E7B8A">
        <w:trPr>
          <w:trHeight w:val="222"/>
        </w:trPr>
        <w:tc>
          <w:tcPr>
            <w:tcW w:w="710" w:type="dxa"/>
            <w:vMerge/>
            <w:tcBorders>
              <w:top w:val="nil"/>
              <w:left w:val="single" w:sz="8" w:space="0" w:color="auto"/>
              <w:bottom w:val="single" w:sz="4" w:space="0" w:color="auto"/>
              <w:right w:val="single" w:sz="8" w:space="0" w:color="auto"/>
            </w:tcBorders>
            <w:vAlign w:val="center"/>
            <w:hideMark/>
          </w:tcPr>
          <w:p w14:paraId="7EE276C8" w14:textId="77777777" w:rsidR="004C127E" w:rsidRPr="000E5786" w:rsidRDefault="004C127E" w:rsidP="00DD60F0">
            <w:pPr>
              <w:rPr>
                <w:rFonts w:cs="Arial"/>
                <w:b/>
                <w:bCs/>
                <w:szCs w:val="20"/>
              </w:rPr>
            </w:pPr>
          </w:p>
        </w:tc>
        <w:tc>
          <w:tcPr>
            <w:tcW w:w="1559" w:type="dxa"/>
            <w:vMerge/>
            <w:tcBorders>
              <w:top w:val="single" w:sz="8" w:space="0" w:color="auto"/>
              <w:left w:val="single" w:sz="8" w:space="0" w:color="auto"/>
              <w:bottom w:val="single" w:sz="4" w:space="0" w:color="auto"/>
              <w:right w:val="single" w:sz="4" w:space="0" w:color="auto"/>
            </w:tcBorders>
            <w:vAlign w:val="center"/>
            <w:hideMark/>
          </w:tcPr>
          <w:p w14:paraId="50F3CA0C"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339AFDB6" w14:textId="77777777" w:rsidR="004C127E" w:rsidRPr="000E5786" w:rsidRDefault="004C127E" w:rsidP="006E7B8A">
            <w:pPr>
              <w:ind w:left="0" w:firstLine="0"/>
              <w:jc w:val="left"/>
              <w:rPr>
                <w:rFonts w:cs="Arial"/>
                <w:szCs w:val="20"/>
              </w:rPr>
            </w:pPr>
            <w:r w:rsidRPr="000E5786">
              <w:rPr>
                <w:rFonts w:cs="Arial"/>
                <w:szCs w:val="20"/>
              </w:rPr>
              <w:t>Learning design and development</w:t>
            </w:r>
          </w:p>
        </w:tc>
        <w:tc>
          <w:tcPr>
            <w:tcW w:w="992" w:type="dxa"/>
            <w:tcBorders>
              <w:top w:val="nil"/>
              <w:left w:val="nil"/>
              <w:bottom w:val="single" w:sz="4" w:space="0" w:color="auto"/>
              <w:right w:val="single" w:sz="4" w:space="0" w:color="auto"/>
            </w:tcBorders>
            <w:shd w:val="clear" w:color="auto" w:fill="auto"/>
            <w:noWrap/>
            <w:vAlign w:val="bottom"/>
            <w:hideMark/>
          </w:tcPr>
          <w:p w14:paraId="5C03F04E" w14:textId="77777777" w:rsidR="004C127E" w:rsidRPr="000E5786" w:rsidRDefault="004C127E" w:rsidP="00DD60F0">
            <w:pPr>
              <w:jc w:val="center"/>
              <w:rPr>
                <w:rFonts w:cs="Arial"/>
                <w:szCs w:val="20"/>
              </w:rPr>
            </w:pPr>
            <w:r w:rsidRPr="000E5786">
              <w:rPr>
                <w:rFonts w:cs="Arial"/>
                <w:szCs w:val="20"/>
              </w:rPr>
              <w:t>TMCR</w:t>
            </w:r>
          </w:p>
        </w:tc>
        <w:tc>
          <w:tcPr>
            <w:tcW w:w="567" w:type="dxa"/>
            <w:tcBorders>
              <w:top w:val="nil"/>
              <w:left w:val="nil"/>
              <w:bottom w:val="single" w:sz="4" w:space="0" w:color="auto"/>
              <w:right w:val="single" w:sz="4" w:space="0" w:color="auto"/>
            </w:tcBorders>
            <w:shd w:val="clear" w:color="000000" w:fill="FFFF00"/>
            <w:noWrap/>
            <w:vAlign w:val="bottom"/>
            <w:hideMark/>
          </w:tcPr>
          <w:p w14:paraId="1E26BB3A" w14:textId="54BD9194"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4" w:space="0" w:color="auto"/>
            </w:tcBorders>
            <w:shd w:val="clear" w:color="000000" w:fill="FFFF00"/>
            <w:noWrap/>
            <w:vAlign w:val="bottom"/>
            <w:hideMark/>
          </w:tcPr>
          <w:p w14:paraId="4EE96035" w14:textId="0786CE62"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6A1CBDAC" w14:textId="59A8437E"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4" w:space="0" w:color="auto"/>
            </w:tcBorders>
            <w:shd w:val="clear" w:color="000000" w:fill="FFFF00"/>
            <w:noWrap/>
            <w:vAlign w:val="bottom"/>
            <w:hideMark/>
          </w:tcPr>
          <w:p w14:paraId="6BA56951" w14:textId="273213F7"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43C62F9A" w14:textId="4734A061"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4" w:space="0" w:color="auto"/>
            </w:tcBorders>
            <w:shd w:val="clear" w:color="000000" w:fill="FFFF00"/>
            <w:noWrap/>
            <w:vAlign w:val="bottom"/>
            <w:hideMark/>
          </w:tcPr>
          <w:p w14:paraId="251D056F" w14:textId="48F9852D"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656628AC" w14:textId="2776E451"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4" w:space="0" w:color="auto"/>
            </w:tcBorders>
            <w:shd w:val="clear" w:color="000000" w:fill="FFFF00"/>
            <w:noWrap/>
            <w:vAlign w:val="bottom"/>
            <w:hideMark/>
          </w:tcPr>
          <w:p w14:paraId="1B3334EA" w14:textId="1721D085"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1681B41A" w14:textId="074930AC"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4" w:space="0" w:color="auto"/>
            </w:tcBorders>
            <w:shd w:val="clear" w:color="000000" w:fill="FFFF00"/>
            <w:noWrap/>
            <w:vAlign w:val="bottom"/>
            <w:hideMark/>
          </w:tcPr>
          <w:p w14:paraId="08E6FAAD" w14:textId="1DDCEC5C"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202B7F4A" w14:textId="3F644FE7"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4" w:space="0" w:color="auto"/>
            </w:tcBorders>
            <w:shd w:val="clear" w:color="000000" w:fill="FFFF00"/>
            <w:noWrap/>
            <w:vAlign w:val="bottom"/>
            <w:hideMark/>
          </w:tcPr>
          <w:p w14:paraId="3FBEF573" w14:textId="065A1987"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1BDB2621" w14:textId="499203E5"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4152824D" w14:textId="01AC3659" w:rsidR="004C127E" w:rsidRPr="000E5786" w:rsidRDefault="004C127E" w:rsidP="00DD60F0">
            <w:pPr>
              <w:rPr>
                <w:rFonts w:cs="Arial"/>
                <w:szCs w:val="20"/>
              </w:rPr>
            </w:pPr>
            <w:r w:rsidRPr="000E5786">
              <w:rPr>
                <w:rFonts w:cs="Arial"/>
                <w:szCs w:val="20"/>
              </w:rPr>
              <w:t xml:space="preserve">755 </w:t>
            </w:r>
          </w:p>
        </w:tc>
      </w:tr>
      <w:tr w:rsidR="000549F2" w:rsidRPr="000E5786" w14:paraId="5399E8EF" w14:textId="77777777" w:rsidTr="006E7B8A">
        <w:trPr>
          <w:trHeight w:val="240"/>
        </w:trPr>
        <w:tc>
          <w:tcPr>
            <w:tcW w:w="710" w:type="dxa"/>
            <w:vMerge/>
            <w:tcBorders>
              <w:top w:val="nil"/>
              <w:left w:val="single" w:sz="8" w:space="0" w:color="auto"/>
              <w:bottom w:val="single" w:sz="4" w:space="0" w:color="auto"/>
              <w:right w:val="single" w:sz="8" w:space="0" w:color="auto"/>
            </w:tcBorders>
            <w:vAlign w:val="center"/>
            <w:hideMark/>
          </w:tcPr>
          <w:p w14:paraId="420EF6A9" w14:textId="77777777" w:rsidR="004C127E" w:rsidRPr="000E5786" w:rsidRDefault="004C127E" w:rsidP="00DD60F0">
            <w:pPr>
              <w:rPr>
                <w:rFonts w:cs="Arial"/>
                <w:b/>
                <w:bCs/>
                <w:szCs w:val="20"/>
              </w:rPr>
            </w:pPr>
          </w:p>
        </w:tc>
        <w:tc>
          <w:tcPr>
            <w:tcW w:w="1559" w:type="dxa"/>
            <w:vMerge/>
            <w:tcBorders>
              <w:top w:val="single" w:sz="8" w:space="0" w:color="auto"/>
              <w:left w:val="single" w:sz="8" w:space="0" w:color="auto"/>
              <w:bottom w:val="single" w:sz="4" w:space="0" w:color="auto"/>
              <w:right w:val="single" w:sz="4" w:space="0" w:color="auto"/>
            </w:tcBorders>
            <w:vAlign w:val="center"/>
            <w:hideMark/>
          </w:tcPr>
          <w:p w14:paraId="53197D12"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13E006EA" w14:textId="77777777" w:rsidR="004C127E" w:rsidRPr="000E5786" w:rsidRDefault="004C127E" w:rsidP="006E7B8A">
            <w:pPr>
              <w:ind w:left="0" w:firstLine="0"/>
              <w:jc w:val="left"/>
              <w:rPr>
                <w:rFonts w:cs="Arial"/>
                <w:szCs w:val="20"/>
              </w:rPr>
            </w:pPr>
            <w:r w:rsidRPr="000E5786">
              <w:rPr>
                <w:rFonts w:cs="Arial"/>
                <w:szCs w:val="20"/>
              </w:rPr>
              <w:t>Learning delivery</w:t>
            </w:r>
          </w:p>
        </w:tc>
        <w:tc>
          <w:tcPr>
            <w:tcW w:w="992" w:type="dxa"/>
            <w:tcBorders>
              <w:top w:val="nil"/>
              <w:left w:val="nil"/>
              <w:bottom w:val="single" w:sz="4" w:space="0" w:color="auto"/>
              <w:right w:val="single" w:sz="4" w:space="0" w:color="auto"/>
            </w:tcBorders>
            <w:shd w:val="clear" w:color="auto" w:fill="auto"/>
            <w:noWrap/>
            <w:vAlign w:val="bottom"/>
            <w:hideMark/>
          </w:tcPr>
          <w:p w14:paraId="1475FDA7" w14:textId="77777777" w:rsidR="004C127E" w:rsidRPr="000E5786" w:rsidRDefault="004C127E" w:rsidP="00DD60F0">
            <w:pPr>
              <w:jc w:val="center"/>
              <w:rPr>
                <w:rFonts w:cs="Arial"/>
                <w:szCs w:val="20"/>
              </w:rPr>
            </w:pPr>
            <w:r w:rsidRPr="000E5786">
              <w:rPr>
                <w:rFonts w:cs="Arial"/>
                <w:szCs w:val="20"/>
              </w:rPr>
              <w:t>ETDL</w:t>
            </w:r>
          </w:p>
        </w:tc>
        <w:tc>
          <w:tcPr>
            <w:tcW w:w="567" w:type="dxa"/>
            <w:tcBorders>
              <w:top w:val="nil"/>
              <w:left w:val="nil"/>
              <w:bottom w:val="single" w:sz="4" w:space="0" w:color="auto"/>
              <w:right w:val="single" w:sz="4" w:space="0" w:color="auto"/>
            </w:tcBorders>
            <w:shd w:val="clear" w:color="000000" w:fill="FFFF00"/>
            <w:noWrap/>
            <w:vAlign w:val="bottom"/>
            <w:hideMark/>
          </w:tcPr>
          <w:p w14:paraId="0D909D74" w14:textId="46AD92C1"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4" w:space="0" w:color="auto"/>
            </w:tcBorders>
            <w:shd w:val="clear" w:color="000000" w:fill="FFFF00"/>
            <w:noWrap/>
            <w:vAlign w:val="bottom"/>
            <w:hideMark/>
          </w:tcPr>
          <w:p w14:paraId="7FF51DF0" w14:textId="0BE3C638"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798A863B" w14:textId="3C37FD21"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4" w:space="0" w:color="auto"/>
            </w:tcBorders>
            <w:shd w:val="clear" w:color="000000" w:fill="FFFF00"/>
            <w:noWrap/>
            <w:vAlign w:val="bottom"/>
            <w:hideMark/>
          </w:tcPr>
          <w:p w14:paraId="524C83FD" w14:textId="4AF6A9F6"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5C7052CE" w14:textId="73E32D70"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4" w:space="0" w:color="auto"/>
            </w:tcBorders>
            <w:shd w:val="clear" w:color="000000" w:fill="FFFF00"/>
            <w:noWrap/>
            <w:vAlign w:val="bottom"/>
            <w:hideMark/>
          </w:tcPr>
          <w:p w14:paraId="5C259721" w14:textId="6D53112E"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2923B537" w14:textId="26C6F657"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4" w:space="0" w:color="auto"/>
            </w:tcBorders>
            <w:shd w:val="clear" w:color="000000" w:fill="FFFF00"/>
            <w:noWrap/>
            <w:vAlign w:val="bottom"/>
            <w:hideMark/>
          </w:tcPr>
          <w:p w14:paraId="59EBCBDB" w14:textId="39E53F59"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45F87856" w14:textId="0A808472"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4" w:space="0" w:color="auto"/>
            </w:tcBorders>
            <w:shd w:val="clear" w:color="000000" w:fill="FFFF00"/>
            <w:noWrap/>
            <w:vAlign w:val="bottom"/>
            <w:hideMark/>
          </w:tcPr>
          <w:p w14:paraId="682D44AB" w14:textId="7F65CD25"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2BB054A0" w14:textId="7F7C0C6F"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4" w:space="0" w:color="auto"/>
            </w:tcBorders>
            <w:shd w:val="clear" w:color="000000" w:fill="FFFF00"/>
            <w:noWrap/>
            <w:vAlign w:val="bottom"/>
            <w:hideMark/>
          </w:tcPr>
          <w:p w14:paraId="26AB454F" w14:textId="54F5F23D"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138EB09C" w14:textId="7A5AE7FF"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6419FA08" w14:textId="0C8319AD" w:rsidR="004C127E" w:rsidRPr="000E5786" w:rsidRDefault="004C127E" w:rsidP="00DD60F0">
            <w:pPr>
              <w:rPr>
                <w:rFonts w:cs="Arial"/>
                <w:szCs w:val="20"/>
              </w:rPr>
            </w:pPr>
            <w:r w:rsidRPr="000E5786">
              <w:rPr>
                <w:rFonts w:cs="Arial"/>
                <w:szCs w:val="20"/>
              </w:rPr>
              <w:t xml:space="preserve">755 </w:t>
            </w:r>
          </w:p>
        </w:tc>
      </w:tr>
      <w:tr w:rsidR="000549F2" w:rsidRPr="000E5786" w14:paraId="48A9AB6A" w14:textId="77777777" w:rsidTr="006E7B8A">
        <w:trPr>
          <w:trHeight w:val="222"/>
        </w:trPr>
        <w:tc>
          <w:tcPr>
            <w:tcW w:w="710" w:type="dxa"/>
            <w:vMerge/>
            <w:tcBorders>
              <w:top w:val="nil"/>
              <w:left w:val="single" w:sz="8" w:space="0" w:color="auto"/>
              <w:bottom w:val="single" w:sz="4" w:space="0" w:color="auto"/>
              <w:right w:val="single" w:sz="8" w:space="0" w:color="auto"/>
            </w:tcBorders>
            <w:vAlign w:val="center"/>
            <w:hideMark/>
          </w:tcPr>
          <w:p w14:paraId="528A0578" w14:textId="77777777" w:rsidR="004C127E" w:rsidRPr="000E5786" w:rsidRDefault="004C127E" w:rsidP="00DD60F0">
            <w:pPr>
              <w:rPr>
                <w:rFonts w:cs="Arial"/>
                <w:b/>
                <w:bCs/>
                <w:szCs w:val="20"/>
              </w:rPr>
            </w:pPr>
          </w:p>
        </w:tc>
        <w:tc>
          <w:tcPr>
            <w:tcW w:w="1559" w:type="dxa"/>
            <w:vMerge/>
            <w:tcBorders>
              <w:top w:val="single" w:sz="8" w:space="0" w:color="auto"/>
              <w:left w:val="single" w:sz="8" w:space="0" w:color="auto"/>
              <w:bottom w:val="single" w:sz="4" w:space="0" w:color="auto"/>
              <w:right w:val="single" w:sz="4" w:space="0" w:color="auto"/>
            </w:tcBorders>
            <w:vAlign w:val="center"/>
            <w:hideMark/>
          </w:tcPr>
          <w:p w14:paraId="1400B4F9"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7A2B68E7" w14:textId="77777777" w:rsidR="004C127E" w:rsidRPr="000E5786" w:rsidRDefault="004C127E" w:rsidP="006E7B8A">
            <w:pPr>
              <w:ind w:left="0" w:firstLine="0"/>
              <w:jc w:val="left"/>
              <w:rPr>
                <w:rFonts w:cs="Arial"/>
                <w:szCs w:val="20"/>
              </w:rPr>
            </w:pPr>
            <w:r w:rsidRPr="000E5786">
              <w:rPr>
                <w:rFonts w:cs="Arial"/>
                <w:szCs w:val="20"/>
              </w:rPr>
              <w:t>Teaching and subject formation</w:t>
            </w:r>
          </w:p>
        </w:tc>
        <w:tc>
          <w:tcPr>
            <w:tcW w:w="992" w:type="dxa"/>
            <w:tcBorders>
              <w:top w:val="nil"/>
              <w:left w:val="nil"/>
              <w:bottom w:val="single" w:sz="4" w:space="0" w:color="auto"/>
              <w:right w:val="single" w:sz="4" w:space="0" w:color="auto"/>
            </w:tcBorders>
            <w:shd w:val="clear" w:color="auto" w:fill="auto"/>
            <w:noWrap/>
            <w:vAlign w:val="bottom"/>
            <w:hideMark/>
          </w:tcPr>
          <w:p w14:paraId="6E646BD0" w14:textId="77777777" w:rsidR="004C127E" w:rsidRPr="000E5786" w:rsidRDefault="004C127E" w:rsidP="00DD60F0">
            <w:pPr>
              <w:jc w:val="center"/>
              <w:rPr>
                <w:rFonts w:cs="Arial"/>
                <w:szCs w:val="20"/>
              </w:rPr>
            </w:pPr>
            <w:r w:rsidRPr="000E5786">
              <w:rPr>
                <w:rFonts w:cs="Arial"/>
                <w:szCs w:val="20"/>
              </w:rPr>
              <w:t>TEAC</w:t>
            </w:r>
          </w:p>
        </w:tc>
        <w:tc>
          <w:tcPr>
            <w:tcW w:w="567" w:type="dxa"/>
            <w:tcBorders>
              <w:top w:val="nil"/>
              <w:left w:val="nil"/>
              <w:bottom w:val="single" w:sz="4" w:space="0" w:color="auto"/>
              <w:right w:val="single" w:sz="4" w:space="0" w:color="auto"/>
            </w:tcBorders>
            <w:shd w:val="clear" w:color="000000" w:fill="FFFF00"/>
            <w:noWrap/>
            <w:vAlign w:val="bottom"/>
            <w:hideMark/>
          </w:tcPr>
          <w:p w14:paraId="1D88FB2F" w14:textId="1C7CB507"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4" w:space="0" w:color="auto"/>
            </w:tcBorders>
            <w:shd w:val="clear" w:color="000000" w:fill="FFFF00"/>
            <w:noWrap/>
            <w:vAlign w:val="bottom"/>
            <w:hideMark/>
          </w:tcPr>
          <w:p w14:paraId="2B18EDDA" w14:textId="77398357"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76698B60" w14:textId="74708A7A"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4" w:space="0" w:color="auto"/>
            </w:tcBorders>
            <w:shd w:val="clear" w:color="000000" w:fill="FFFF00"/>
            <w:noWrap/>
            <w:vAlign w:val="bottom"/>
            <w:hideMark/>
          </w:tcPr>
          <w:p w14:paraId="4A14D125" w14:textId="1C7D5D7D"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1BA8483E" w14:textId="10783EEF"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4" w:space="0" w:color="auto"/>
            </w:tcBorders>
            <w:shd w:val="clear" w:color="000000" w:fill="FFFF00"/>
            <w:noWrap/>
            <w:vAlign w:val="bottom"/>
            <w:hideMark/>
          </w:tcPr>
          <w:p w14:paraId="21E83729" w14:textId="701304FA"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6498E20E" w14:textId="24B2E6D4"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4" w:space="0" w:color="auto"/>
            </w:tcBorders>
            <w:shd w:val="clear" w:color="000000" w:fill="FFFF00"/>
            <w:noWrap/>
            <w:vAlign w:val="bottom"/>
            <w:hideMark/>
          </w:tcPr>
          <w:p w14:paraId="58251BD6" w14:textId="7E4E1E2A"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22A9B809" w14:textId="15E83895"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4" w:space="0" w:color="auto"/>
            </w:tcBorders>
            <w:shd w:val="clear" w:color="000000" w:fill="FFFF00"/>
            <w:noWrap/>
            <w:vAlign w:val="bottom"/>
            <w:hideMark/>
          </w:tcPr>
          <w:p w14:paraId="6405FC32" w14:textId="08CF6168"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54A8FC94" w14:textId="16D88BE1"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4" w:space="0" w:color="auto"/>
            </w:tcBorders>
            <w:shd w:val="clear" w:color="000000" w:fill="FFFF00"/>
            <w:noWrap/>
            <w:vAlign w:val="bottom"/>
            <w:hideMark/>
          </w:tcPr>
          <w:p w14:paraId="71EEA19D" w14:textId="0C7AF9F4"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6ABAFACB" w14:textId="64D3B67E"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22343A34" w14:textId="290CEA19" w:rsidR="004C127E" w:rsidRPr="000E5786" w:rsidRDefault="004C127E" w:rsidP="00DD60F0">
            <w:pPr>
              <w:rPr>
                <w:rFonts w:cs="Arial"/>
                <w:szCs w:val="20"/>
              </w:rPr>
            </w:pPr>
            <w:r w:rsidRPr="000E5786">
              <w:rPr>
                <w:rFonts w:cs="Arial"/>
                <w:szCs w:val="20"/>
              </w:rPr>
              <w:t xml:space="preserve">755 </w:t>
            </w:r>
          </w:p>
        </w:tc>
      </w:tr>
      <w:tr w:rsidR="000549F2" w:rsidRPr="000E5786" w14:paraId="3F6CAA28" w14:textId="77777777" w:rsidTr="006E7B8A">
        <w:trPr>
          <w:trHeight w:val="300"/>
        </w:trPr>
        <w:tc>
          <w:tcPr>
            <w:tcW w:w="710" w:type="dxa"/>
            <w:vMerge/>
            <w:tcBorders>
              <w:top w:val="nil"/>
              <w:left w:val="single" w:sz="8" w:space="0" w:color="auto"/>
              <w:bottom w:val="single" w:sz="4" w:space="0" w:color="auto"/>
              <w:right w:val="single" w:sz="8" w:space="0" w:color="auto"/>
            </w:tcBorders>
            <w:vAlign w:val="center"/>
            <w:hideMark/>
          </w:tcPr>
          <w:p w14:paraId="3021E923" w14:textId="77777777" w:rsidR="004C127E" w:rsidRPr="000E5786" w:rsidRDefault="004C127E" w:rsidP="00DD60F0">
            <w:pPr>
              <w:rPr>
                <w:rFonts w:cs="Arial"/>
                <w:b/>
                <w:bCs/>
                <w:szCs w:val="20"/>
              </w:rPr>
            </w:pPr>
          </w:p>
        </w:tc>
        <w:tc>
          <w:tcPr>
            <w:tcW w:w="1559" w:type="dxa"/>
            <w:vMerge/>
            <w:tcBorders>
              <w:top w:val="single" w:sz="8" w:space="0" w:color="auto"/>
              <w:left w:val="single" w:sz="8" w:space="0" w:color="auto"/>
              <w:bottom w:val="single" w:sz="4" w:space="0" w:color="auto"/>
              <w:right w:val="single" w:sz="4" w:space="0" w:color="auto"/>
            </w:tcBorders>
            <w:vAlign w:val="center"/>
            <w:hideMark/>
          </w:tcPr>
          <w:p w14:paraId="1FF99F36"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465D96A2" w14:textId="77777777" w:rsidR="004C127E" w:rsidRPr="000E5786" w:rsidRDefault="004C127E" w:rsidP="006E7B8A">
            <w:pPr>
              <w:ind w:left="0" w:firstLine="0"/>
              <w:jc w:val="left"/>
              <w:rPr>
                <w:rFonts w:cs="Arial"/>
                <w:szCs w:val="20"/>
              </w:rPr>
            </w:pPr>
            <w:r w:rsidRPr="000E5786">
              <w:rPr>
                <w:rFonts w:cs="Arial"/>
                <w:szCs w:val="20"/>
              </w:rPr>
              <w:t>Performance management</w:t>
            </w:r>
          </w:p>
        </w:tc>
        <w:tc>
          <w:tcPr>
            <w:tcW w:w="992" w:type="dxa"/>
            <w:tcBorders>
              <w:top w:val="nil"/>
              <w:left w:val="nil"/>
              <w:bottom w:val="single" w:sz="4" w:space="0" w:color="auto"/>
              <w:right w:val="single" w:sz="4" w:space="0" w:color="auto"/>
            </w:tcBorders>
            <w:shd w:val="clear" w:color="auto" w:fill="auto"/>
            <w:noWrap/>
            <w:vAlign w:val="bottom"/>
            <w:hideMark/>
          </w:tcPr>
          <w:p w14:paraId="0F68B1A7" w14:textId="77777777" w:rsidR="004C127E" w:rsidRPr="000E5786" w:rsidRDefault="004C127E" w:rsidP="00DD60F0">
            <w:pPr>
              <w:jc w:val="center"/>
              <w:rPr>
                <w:rFonts w:cs="Arial"/>
                <w:szCs w:val="20"/>
              </w:rPr>
            </w:pPr>
            <w:r w:rsidRPr="000E5786">
              <w:rPr>
                <w:rFonts w:cs="Arial"/>
                <w:szCs w:val="20"/>
              </w:rPr>
              <w:t>PEMT</w:t>
            </w:r>
          </w:p>
        </w:tc>
        <w:tc>
          <w:tcPr>
            <w:tcW w:w="567" w:type="dxa"/>
            <w:tcBorders>
              <w:top w:val="nil"/>
              <w:left w:val="nil"/>
              <w:bottom w:val="single" w:sz="4" w:space="0" w:color="auto"/>
              <w:right w:val="single" w:sz="4" w:space="0" w:color="auto"/>
            </w:tcBorders>
            <w:shd w:val="clear" w:color="000000" w:fill="FFFF00"/>
            <w:noWrap/>
            <w:vAlign w:val="bottom"/>
            <w:hideMark/>
          </w:tcPr>
          <w:p w14:paraId="3E73FD41" w14:textId="6F7D9141"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4" w:space="0" w:color="auto"/>
            </w:tcBorders>
            <w:shd w:val="clear" w:color="000000" w:fill="FFFF00"/>
            <w:noWrap/>
            <w:vAlign w:val="bottom"/>
            <w:hideMark/>
          </w:tcPr>
          <w:p w14:paraId="02C77930" w14:textId="3F3A5217"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3980E05C" w14:textId="3B6C105A"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4" w:space="0" w:color="auto"/>
            </w:tcBorders>
            <w:shd w:val="clear" w:color="000000" w:fill="FFFF00"/>
            <w:noWrap/>
            <w:vAlign w:val="bottom"/>
            <w:hideMark/>
          </w:tcPr>
          <w:p w14:paraId="202BEC90" w14:textId="3BBC17ED"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501F1133" w14:textId="39EEA0A9"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4" w:space="0" w:color="auto"/>
            </w:tcBorders>
            <w:shd w:val="clear" w:color="000000" w:fill="FFFF00"/>
            <w:noWrap/>
            <w:vAlign w:val="bottom"/>
            <w:hideMark/>
          </w:tcPr>
          <w:p w14:paraId="52E3B6E8" w14:textId="12964AC4"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04ECB2E8" w14:textId="2ABEECBD"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4" w:space="0" w:color="auto"/>
            </w:tcBorders>
            <w:shd w:val="clear" w:color="000000" w:fill="FFFF00"/>
            <w:noWrap/>
            <w:vAlign w:val="bottom"/>
            <w:hideMark/>
          </w:tcPr>
          <w:p w14:paraId="079832D8" w14:textId="798CD697"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74E343A9" w14:textId="2B114715"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4" w:space="0" w:color="auto"/>
            </w:tcBorders>
            <w:shd w:val="clear" w:color="000000" w:fill="FFFF00"/>
            <w:noWrap/>
            <w:vAlign w:val="bottom"/>
            <w:hideMark/>
          </w:tcPr>
          <w:p w14:paraId="4DA79744" w14:textId="50E0BD94"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3162E2B2" w14:textId="58D5C582"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4" w:space="0" w:color="auto"/>
            </w:tcBorders>
            <w:shd w:val="clear" w:color="000000" w:fill="FFFF00"/>
            <w:noWrap/>
            <w:vAlign w:val="bottom"/>
            <w:hideMark/>
          </w:tcPr>
          <w:p w14:paraId="399F9C15" w14:textId="1C06F7E7"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3B33AE2A" w14:textId="52610D11"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48AD679C" w14:textId="703F2F32" w:rsidR="004C127E" w:rsidRPr="000E5786" w:rsidRDefault="004C127E" w:rsidP="00DD60F0">
            <w:pPr>
              <w:rPr>
                <w:rFonts w:cs="Arial"/>
                <w:szCs w:val="20"/>
              </w:rPr>
            </w:pPr>
            <w:r w:rsidRPr="000E5786">
              <w:rPr>
                <w:rFonts w:cs="Arial"/>
                <w:szCs w:val="20"/>
              </w:rPr>
              <w:t xml:space="preserve">755 </w:t>
            </w:r>
          </w:p>
        </w:tc>
      </w:tr>
      <w:tr w:rsidR="000549F2" w:rsidRPr="000E5786" w14:paraId="0FE36083" w14:textId="77777777" w:rsidTr="006E7B8A">
        <w:trPr>
          <w:trHeight w:val="225"/>
        </w:trPr>
        <w:tc>
          <w:tcPr>
            <w:tcW w:w="710" w:type="dxa"/>
            <w:vMerge/>
            <w:tcBorders>
              <w:top w:val="nil"/>
              <w:left w:val="single" w:sz="8" w:space="0" w:color="auto"/>
              <w:bottom w:val="single" w:sz="4" w:space="0" w:color="auto"/>
              <w:right w:val="single" w:sz="8" w:space="0" w:color="auto"/>
            </w:tcBorders>
            <w:vAlign w:val="center"/>
            <w:hideMark/>
          </w:tcPr>
          <w:p w14:paraId="46C89C3E" w14:textId="77777777" w:rsidR="004C127E" w:rsidRPr="000E5786" w:rsidRDefault="004C127E" w:rsidP="00DD60F0">
            <w:pPr>
              <w:rPr>
                <w:rFonts w:cs="Arial"/>
                <w:b/>
                <w:bCs/>
                <w:szCs w:val="20"/>
              </w:rPr>
            </w:pPr>
          </w:p>
        </w:tc>
        <w:tc>
          <w:tcPr>
            <w:tcW w:w="1559" w:type="dxa"/>
            <w:vMerge/>
            <w:tcBorders>
              <w:top w:val="single" w:sz="8" w:space="0" w:color="auto"/>
              <w:left w:val="single" w:sz="8" w:space="0" w:color="auto"/>
              <w:bottom w:val="single" w:sz="4" w:space="0" w:color="auto"/>
              <w:right w:val="single" w:sz="4" w:space="0" w:color="auto"/>
            </w:tcBorders>
            <w:vAlign w:val="center"/>
            <w:hideMark/>
          </w:tcPr>
          <w:p w14:paraId="191EDCF4"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500F3BBB" w14:textId="77777777" w:rsidR="004C127E" w:rsidRPr="000E5786" w:rsidRDefault="004C127E" w:rsidP="006E7B8A">
            <w:pPr>
              <w:ind w:left="0" w:firstLine="0"/>
              <w:jc w:val="left"/>
              <w:rPr>
                <w:rFonts w:cs="Arial"/>
                <w:szCs w:val="20"/>
              </w:rPr>
            </w:pPr>
            <w:r w:rsidRPr="000E5786">
              <w:rPr>
                <w:rFonts w:cs="Arial"/>
                <w:szCs w:val="20"/>
              </w:rPr>
              <w:t>Resourcing</w:t>
            </w:r>
          </w:p>
        </w:tc>
        <w:tc>
          <w:tcPr>
            <w:tcW w:w="992" w:type="dxa"/>
            <w:tcBorders>
              <w:top w:val="nil"/>
              <w:left w:val="nil"/>
              <w:bottom w:val="single" w:sz="4" w:space="0" w:color="auto"/>
              <w:right w:val="single" w:sz="4" w:space="0" w:color="auto"/>
            </w:tcBorders>
            <w:shd w:val="clear" w:color="auto" w:fill="auto"/>
            <w:noWrap/>
            <w:vAlign w:val="bottom"/>
            <w:hideMark/>
          </w:tcPr>
          <w:p w14:paraId="73734C86" w14:textId="77777777" w:rsidR="004C127E" w:rsidRPr="000E5786" w:rsidRDefault="004C127E" w:rsidP="00DD60F0">
            <w:pPr>
              <w:jc w:val="center"/>
              <w:rPr>
                <w:rFonts w:cs="Arial"/>
                <w:szCs w:val="20"/>
              </w:rPr>
            </w:pPr>
            <w:r w:rsidRPr="000E5786">
              <w:rPr>
                <w:rFonts w:cs="Arial"/>
                <w:szCs w:val="20"/>
              </w:rPr>
              <w:t>RESC</w:t>
            </w:r>
          </w:p>
        </w:tc>
        <w:tc>
          <w:tcPr>
            <w:tcW w:w="567" w:type="dxa"/>
            <w:tcBorders>
              <w:top w:val="nil"/>
              <w:left w:val="nil"/>
              <w:bottom w:val="single" w:sz="4" w:space="0" w:color="auto"/>
              <w:right w:val="single" w:sz="4" w:space="0" w:color="auto"/>
            </w:tcBorders>
            <w:shd w:val="clear" w:color="000000" w:fill="FFFF00"/>
            <w:noWrap/>
            <w:vAlign w:val="bottom"/>
            <w:hideMark/>
          </w:tcPr>
          <w:p w14:paraId="294B977C" w14:textId="43029231"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4" w:space="0" w:color="auto"/>
            </w:tcBorders>
            <w:shd w:val="clear" w:color="000000" w:fill="FFFF00"/>
            <w:noWrap/>
            <w:vAlign w:val="bottom"/>
            <w:hideMark/>
          </w:tcPr>
          <w:p w14:paraId="53FF2B9D" w14:textId="54AF338C"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7F390F61" w14:textId="60596237"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4" w:space="0" w:color="auto"/>
            </w:tcBorders>
            <w:shd w:val="clear" w:color="000000" w:fill="FFFF00"/>
            <w:noWrap/>
            <w:vAlign w:val="bottom"/>
            <w:hideMark/>
          </w:tcPr>
          <w:p w14:paraId="4B100B47" w14:textId="6019C872"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418D7331" w14:textId="582BAFE7"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4" w:space="0" w:color="auto"/>
            </w:tcBorders>
            <w:shd w:val="clear" w:color="000000" w:fill="FFFF00"/>
            <w:noWrap/>
            <w:vAlign w:val="bottom"/>
            <w:hideMark/>
          </w:tcPr>
          <w:p w14:paraId="6A88F4D1" w14:textId="1F081FBD"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2324E3D9" w14:textId="15B661F1"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4" w:space="0" w:color="auto"/>
            </w:tcBorders>
            <w:shd w:val="clear" w:color="000000" w:fill="FFFF00"/>
            <w:noWrap/>
            <w:vAlign w:val="bottom"/>
            <w:hideMark/>
          </w:tcPr>
          <w:p w14:paraId="5945C137" w14:textId="10D80A95"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64123C76" w14:textId="4B1ABA2A"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4" w:space="0" w:color="auto"/>
            </w:tcBorders>
            <w:shd w:val="clear" w:color="000000" w:fill="FFFF00"/>
            <w:noWrap/>
            <w:vAlign w:val="bottom"/>
            <w:hideMark/>
          </w:tcPr>
          <w:p w14:paraId="2AA660C5" w14:textId="5B64B466"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4BDB409B" w14:textId="41699069"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4" w:space="0" w:color="auto"/>
            </w:tcBorders>
            <w:shd w:val="clear" w:color="000000" w:fill="FFFF00"/>
            <w:noWrap/>
            <w:vAlign w:val="bottom"/>
            <w:hideMark/>
          </w:tcPr>
          <w:p w14:paraId="354A4863" w14:textId="09D5E071"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7DC7BBC7" w14:textId="6D100FC9"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727BBBDF" w14:textId="1C3A8FD4" w:rsidR="004C127E" w:rsidRPr="000E5786" w:rsidRDefault="004C127E" w:rsidP="00DD60F0">
            <w:pPr>
              <w:rPr>
                <w:rFonts w:cs="Arial"/>
                <w:szCs w:val="20"/>
              </w:rPr>
            </w:pPr>
            <w:r w:rsidRPr="000E5786">
              <w:rPr>
                <w:rFonts w:cs="Arial"/>
                <w:szCs w:val="20"/>
              </w:rPr>
              <w:t xml:space="preserve">755 </w:t>
            </w:r>
          </w:p>
        </w:tc>
      </w:tr>
      <w:tr w:rsidR="000549F2" w:rsidRPr="000E5786" w14:paraId="415333E9" w14:textId="77777777" w:rsidTr="006E7B8A">
        <w:trPr>
          <w:trHeight w:val="225"/>
        </w:trPr>
        <w:tc>
          <w:tcPr>
            <w:tcW w:w="710" w:type="dxa"/>
            <w:vMerge/>
            <w:tcBorders>
              <w:top w:val="nil"/>
              <w:left w:val="single" w:sz="8" w:space="0" w:color="auto"/>
              <w:bottom w:val="single" w:sz="4" w:space="0" w:color="auto"/>
              <w:right w:val="single" w:sz="8" w:space="0" w:color="auto"/>
            </w:tcBorders>
            <w:vAlign w:val="center"/>
            <w:hideMark/>
          </w:tcPr>
          <w:p w14:paraId="20FA36DE" w14:textId="77777777" w:rsidR="004C127E" w:rsidRPr="000E5786" w:rsidRDefault="004C127E" w:rsidP="00DD60F0">
            <w:pPr>
              <w:rPr>
                <w:rFonts w:cs="Arial"/>
                <w:b/>
                <w:bCs/>
                <w:szCs w:val="20"/>
              </w:rPr>
            </w:pPr>
          </w:p>
        </w:tc>
        <w:tc>
          <w:tcPr>
            <w:tcW w:w="1559" w:type="dxa"/>
            <w:vMerge/>
            <w:tcBorders>
              <w:top w:val="single" w:sz="8" w:space="0" w:color="auto"/>
              <w:left w:val="single" w:sz="8" w:space="0" w:color="auto"/>
              <w:bottom w:val="single" w:sz="4" w:space="0" w:color="auto"/>
              <w:right w:val="single" w:sz="4" w:space="0" w:color="auto"/>
            </w:tcBorders>
            <w:vAlign w:val="center"/>
            <w:hideMark/>
          </w:tcPr>
          <w:p w14:paraId="3A179BBF"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36BEB199" w14:textId="77777777" w:rsidR="004C127E" w:rsidRPr="000E5786" w:rsidRDefault="004C127E" w:rsidP="006E7B8A">
            <w:pPr>
              <w:ind w:left="0" w:firstLine="0"/>
              <w:jc w:val="left"/>
              <w:rPr>
                <w:rFonts w:cs="Arial"/>
                <w:szCs w:val="20"/>
              </w:rPr>
            </w:pPr>
            <w:r w:rsidRPr="000E5786">
              <w:rPr>
                <w:rFonts w:cs="Arial"/>
                <w:szCs w:val="20"/>
              </w:rPr>
              <w:t>Professional development</w:t>
            </w:r>
          </w:p>
        </w:tc>
        <w:tc>
          <w:tcPr>
            <w:tcW w:w="992" w:type="dxa"/>
            <w:tcBorders>
              <w:top w:val="nil"/>
              <w:left w:val="nil"/>
              <w:bottom w:val="single" w:sz="4" w:space="0" w:color="auto"/>
              <w:right w:val="single" w:sz="4" w:space="0" w:color="auto"/>
            </w:tcBorders>
            <w:shd w:val="clear" w:color="auto" w:fill="auto"/>
            <w:noWrap/>
            <w:vAlign w:val="bottom"/>
            <w:hideMark/>
          </w:tcPr>
          <w:p w14:paraId="4CB011CC" w14:textId="77777777" w:rsidR="004C127E" w:rsidRPr="000E5786" w:rsidRDefault="004C127E" w:rsidP="00DD60F0">
            <w:pPr>
              <w:jc w:val="center"/>
              <w:rPr>
                <w:rFonts w:cs="Arial"/>
                <w:szCs w:val="20"/>
              </w:rPr>
            </w:pPr>
            <w:r w:rsidRPr="000E5786">
              <w:rPr>
                <w:rFonts w:cs="Arial"/>
                <w:szCs w:val="20"/>
              </w:rPr>
              <w:t>PDSV</w:t>
            </w:r>
          </w:p>
        </w:tc>
        <w:tc>
          <w:tcPr>
            <w:tcW w:w="567" w:type="dxa"/>
            <w:tcBorders>
              <w:top w:val="nil"/>
              <w:left w:val="nil"/>
              <w:bottom w:val="single" w:sz="4" w:space="0" w:color="auto"/>
              <w:right w:val="single" w:sz="4" w:space="0" w:color="auto"/>
            </w:tcBorders>
            <w:shd w:val="clear" w:color="000000" w:fill="FFFF00"/>
            <w:noWrap/>
            <w:vAlign w:val="bottom"/>
            <w:hideMark/>
          </w:tcPr>
          <w:p w14:paraId="19A7A96F" w14:textId="0DAC6A98"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4" w:space="0" w:color="auto"/>
            </w:tcBorders>
            <w:shd w:val="clear" w:color="000000" w:fill="FFFF00"/>
            <w:noWrap/>
            <w:vAlign w:val="bottom"/>
            <w:hideMark/>
          </w:tcPr>
          <w:p w14:paraId="501BD77F" w14:textId="2A821400"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57270A9D" w14:textId="4C19E964"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4" w:space="0" w:color="auto"/>
            </w:tcBorders>
            <w:shd w:val="clear" w:color="000000" w:fill="FFFF00"/>
            <w:noWrap/>
            <w:vAlign w:val="bottom"/>
            <w:hideMark/>
          </w:tcPr>
          <w:p w14:paraId="0FCEFCF5" w14:textId="5B46021D"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12CB0744" w14:textId="27CC02A1"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4" w:space="0" w:color="auto"/>
            </w:tcBorders>
            <w:shd w:val="clear" w:color="000000" w:fill="FFFF00"/>
            <w:noWrap/>
            <w:vAlign w:val="bottom"/>
            <w:hideMark/>
          </w:tcPr>
          <w:p w14:paraId="11E28164" w14:textId="588DAA23"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398A89F5" w14:textId="4DC4DDC6"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4" w:space="0" w:color="auto"/>
            </w:tcBorders>
            <w:shd w:val="clear" w:color="000000" w:fill="FFFF00"/>
            <w:noWrap/>
            <w:vAlign w:val="bottom"/>
            <w:hideMark/>
          </w:tcPr>
          <w:p w14:paraId="12DB516D" w14:textId="147CE5B3"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02CF78C6" w14:textId="1684C5AB"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4" w:space="0" w:color="auto"/>
            </w:tcBorders>
            <w:shd w:val="clear" w:color="000000" w:fill="FFFF00"/>
            <w:noWrap/>
            <w:vAlign w:val="bottom"/>
            <w:hideMark/>
          </w:tcPr>
          <w:p w14:paraId="6C5903EB" w14:textId="7E9FE917"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2DF82CDC" w14:textId="57BE0B7E"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4" w:space="0" w:color="auto"/>
            </w:tcBorders>
            <w:shd w:val="clear" w:color="000000" w:fill="FFFF00"/>
            <w:noWrap/>
            <w:vAlign w:val="bottom"/>
            <w:hideMark/>
          </w:tcPr>
          <w:p w14:paraId="24DDC047" w14:textId="30CBCF98"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6A261ACA" w14:textId="15E7C680"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52DE9DA9" w14:textId="77B6CC87" w:rsidR="004C127E" w:rsidRPr="000E5786" w:rsidRDefault="004C127E" w:rsidP="00DD60F0">
            <w:pPr>
              <w:rPr>
                <w:rFonts w:cs="Arial"/>
                <w:szCs w:val="20"/>
              </w:rPr>
            </w:pPr>
            <w:r w:rsidRPr="000E5786">
              <w:rPr>
                <w:rFonts w:cs="Arial"/>
                <w:szCs w:val="20"/>
              </w:rPr>
              <w:t xml:space="preserve">755 </w:t>
            </w:r>
          </w:p>
        </w:tc>
      </w:tr>
      <w:tr w:rsidR="000549F2" w:rsidRPr="000E5786" w14:paraId="04F37AD6" w14:textId="77777777" w:rsidTr="006E7B8A">
        <w:trPr>
          <w:trHeight w:val="222"/>
        </w:trPr>
        <w:tc>
          <w:tcPr>
            <w:tcW w:w="710" w:type="dxa"/>
            <w:vMerge/>
            <w:tcBorders>
              <w:top w:val="nil"/>
              <w:left w:val="single" w:sz="8" w:space="0" w:color="auto"/>
              <w:bottom w:val="single" w:sz="4" w:space="0" w:color="auto"/>
              <w:right w:val="single" w:sz="8" w:space="0" w:color="auto"/>
            </w:tcBorders>
            <w:vAlign w:val="center"/>
            <w:hideMark/>
          </w:tcPr>
          <w:p w14:paraId="2FFB517B" w14:textId="77777777" w:rsidR="004C127E" w:rsidRPr="000E5786" w:rsidRDefault="004C127E" w:rsidP="00DD60F0">
            <w:pPr>
              <w:rPr>
                <w:rFonts w:cs="Arial"/>
                <w:b/>
                <w:bCs/>
                <w:szCs w:val="20"/>
              </w:rPr>
            </w:pPr>
          </w:p>
        </w:tc>
        <w:tc>
          <w:tcPr>
            <w:tcW w:w="1559" w:type="dxa"/>
            <w:vMerge/>
            <w:tcBorders>
              <w:top w:val="single" w:sz="8" w:space="0" w:color="auto"/>
              <w:left w:val="single" w:sz="8" w:space="0" w:color="auto"/>
              <w:bottom w:val="single" w:sz="4" w:space="0" w:color="auto"/>
              <w:right w:val="single" w:sz="4" w:space="0" w:color="auto"/>
            </w:tcBorders>
            <w:vAlign w:val="center"/>
            <w:hideMark/>
          </w:tcPr>
          <w:p w14:paraId="57719B5F"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3C62747D" w14:textId="77777777" w:rsidR="004C127E" w:rsidRPr="000E5786" w:rsidRDefault="004C127E" w:rsidP="006E7B8A">
            <w:pPr>
              <w:ind w:left="0" w:firstLine="0"/>
              <w:jc w:val="left"/>
              <w:rPr>
                <w:rFonts w:cs="Arial"/>
                <w:szCs w:val="20"/>
              </w:rPr>
            </w:pPr>
            <w:r w:rsidRPr="000E5786">
              <w:rPr>
                <w:rFonts w:cs="Arial"/>
                <w:szCs w:val="20"/>
              </w:rPr>
              <w:t>Quality management</w:t>
            </w:r>
          </w:p>
        </w:tc>
        <w:tc>
          <w:tcPr>
            <w:tcW w:w="992" w:type="dxa"/>
            <w:tcBorders>
              <w:top w:val="nil"/>
              <w:left w:val="nil"/>
              <w:bottom w:val="single" w:sz="4" w:space="0" w:color="auto"/>
              <w:right w:val="single" w:sz="4" w:space="0" w:color="auto"/>
            </w:tcBorders>
            <w:shd w:val="clear" w:color="auto" w:fill="auto"/>
            <w:noWrap/>
            <w:vAlign w:val="bottom"/>
            <w:hideMark/>
          </w:tcPr>
          <w:p w14:paraId="281BA53F" w14:textId="77777777" w:rsidR="004C127E" w:rsidRPr="000E5786" w:rsidRDefault="004C127E" w:rsidP="00DD60F0">
            <w:pPr>
              <w:jc w:val="center"/>
              <w:rPr>
                <w:rFonts w:cs="Arial"/>
                <w:szCs w:val="20"/>
              </w:rPr>
            </w:pPr>
            <w:r w:rsidRPr="000E5786">
              <w:rPr>
                <w:rFonts w:cs="Arial"/>
                <w:szCs w:val="20"/>
              </w:rPr>
              <w:t>QUMG</w:t>
            </w:r>
          </w:p>
        </w:tc>
        <w:tc>
          <w:tcPr>
            <w:tcW w:w="567" w:type="dxa"/>
            <w:tcBorders>
              <w:top w:val="nil"/>
              <w:left w:val="nil"/>
              <w:bottom w:val="single" w:sz="4" w:space="0" w:color="auto"/>
              <w:right w:val="single" w:sz="4" w:space="0" w:color="auto"/>
            </w:tcBorders>
            <w:shd w:val="clear" w:color="000000" w:fill="FFFF00"/>
            <w:noWrap/>
            <w:vAlign w:val="bottom"/>
            <w:hideMark/>
          </w:tcPr>
          <w:p w14:paraId="479F2074" w14:textId="3AD14171"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4" w:space="0" w:color="auto"/>
            </w:tcBorders>
            <w:shd w:val="clear" w:color="000000" w:fill="FFFF00"/>
            <w:noWrap/>
            <w:vAlign w:val="bottom"/>
            <w:hideMark/>
          </w:tcPr>
          <w:p w14:paraId="3EACCF51" w14:textId="08C86332"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069A33B7" w14:textId="0A923229"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4" w:space="0" w:color="auto"/>
            </w:tcBorders>
            <w:shd w:val="clear" w:color="000000" w:fill="FFFF00"/>
            <w:noWrap/>
            <w:vAlign w:val="bottom"/>
            <w:hideMark/>
          </w:tcPr>
          <w:p w14:paraId="64BEAC6D" w14:textId="259AFCD4"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01E9AD3D" w14:textId="45E211C1"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4" w:space="0" w:color="auto"/>
            </w:tcBorders>
            <w:shd w:val="clear" w:color="000000" w:fill="FFFF00"/>
            <w:noWrap/>
            <w:vAlign w:val="bottom"/>
            <w:hideMark/>
          </w:tcPr>
          <w:p w14:paraId="7CA7B641" w14:textId="0CCFF08F"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4907C530" w14:textId="204C5074"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4" w:space="0" w:color="auto"/>
            </w:tcBorders>
            <w:shd w:val="clear" w:color="000000" w:fill="FFFF00"/>
            <w:noWrap/>
            <w:vAlign w:val="bottom"/>
            <w:hideMark/>
          </w:tcPr>
          <w:p w14:paraId="4A24B0A8" w14:textId="2AB735F4"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7C99FE49" w14:textId="519D93E0"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4" w:space="0" w:color="auto"/>
            </w:tcBorders>
            <w:shd w:val="clear" w:color="000000" w:fill="FFFF00"/>
            <w:noWrap/>
            <w:vAlign w:val="bottom"/>
            <w:hideMark/>
          </w:tcPr>
          <w:p w14:paraId="3ABD2DE2" w14:textId="253EE818"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0695F838" w14:textId="795AB3E3"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4" w:space="0" w:color="auto"/>
            </w:tcBorders>
            <w:shd w:val="clear" w:color="000000" w:fill="FFFF00"/>
            <w:noWrap/>
            <w:vAlign w:val="bottom"/>
            <w:hideMark/>
          </w:tcPr>
          <w:p w14:paraId="426029E6" w14:textId="27B3FD22"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7E34472D" w14:textId="3F02C9F5"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369B7565" w14:textId="690A9637" w:rsidR="004C127E" w:rsidRPr="000E5786" w:rsidRDefault="004C127E" w:rsidP="00DD60F0">
            <w:pPr>
              <w:rPr>
                <w:rFonts w:cs="Arial"/>
                <w:szCs w:val="20"/>
              </w:rPr>
            </w:pPr>
            <w:r w:rsidRPr="000E5786">
              <w:rPr>
                <w:rFonts w:cs="Arial"/>
                <w:szCs w:val="20"/>
              </w:rPr>
              <w:t xml:space="preserve">755 </w:t>
            </w:r>
          </w:p>
        </w:tc>
      </w:tr>
      <w:tr w:rsidR="000549F2" w:rsidRPr="000E5786" w14:paraId="68298D7D" w14:textId="77777777" w:rsidTr="006E7B8A">
        <w:trPr>
          <w:trHeight w:val="210"/>
        </w:trPr>
        <w:tc>
          <w:tcPr>
            <w:tcW w:w="710" w:type="dxa"/>
            <w:vMerge/>
            <w:tcBorders>
              <w:top w:val="nil"/>
              <w:left w:val="single" w:sz="8" w:space="0" w:color="auto"/>
              <w:bottom w:val="single" w:sz="4" w:space="0" w:color="auto"/>
              <w:right w:val="single" w:sz="8" w:space="0" w:color="auto"/>
            </w:tcBorders>
            <w:vAlign w:val="center"/>
            <w:hideMark/>
          </w:tcPr>
          <w:p w14:paraId="0BBC20BD" w14:textId="77777777" w:rsidR="004C127E" w:rsidRPr="000E5786" w:rsidRDefault="004C127E" w:rsidP="00DD60F0">
            <w:pPr>
              <w:rPr>
                <w:rFonts w:cs="Arial"/>
                <w:b/>
                <w:bCs/>
                <w:szCs w:val="20"/>
              </w:rPr>
            </w:pPr>
          </w:p>
        </w:tc>
        <w:tc>
          <w:tcPr>
            <w:tcW w:w="1559" w:type="dxa"/>
            <w:vMerge/>
            <w:tcBorders>
              <w:top w:val="single" w:sz="8" w:space="0" w:color="auto"/>
              <w:left w:val="single" w:sz="8" w:space="0" w:color="auto"/>
              <w:bottom w:val="single" w:sz="4" w:space="0" w:color="auto"/>
              <w:right w:val="single" w:sz="4" w:space="0" w:color="auto"/>
            </w:tcBorders>
            <w:vAlign w:val="center"/>
            <w:hideMark/>
          </w:tcPr>
          <w:p w14:paraId="4B40A097"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095DA7F6" w14:textId="77777777" w:rsidR="004C127E" w:rsidRPr="000E5786" w:rsidRDefault="004C127E" w:rsidP="006E7B8A">
            <w:pPr>
              <w:ind w:left="0" w:firstLine="0"/>
              <w:jc w:val="left"/>
              <w:rPr>
                <w:rFonts w:cs="Arial"/>
                <w:szCs w:val="20"/>
              </w:rPr>
            </w:pPr>
            <w:r w:rsidRPr="000E5786">
              <w:rPr>
                <w:rFonts w:cs="Arial"/>
                <w:szCs w:val="20"/>
              </w:rPr>
              <w:t>Quality assurance</w:t>
            </w:r>
          </w:p>
        </w:tc>
        <w:tc>
          <w:tcPr>
            <w:tcW w:w="992" w:type="dxa"/>
            <w:tcBorders>
              <w:top w:val="nil"/>
              <w:left w:val="nil"/>
              <w:bottom w:val="single" w:sz="4" w:space="0" w:color="auto"/>
              <w:right w:val="single" w:sz="4" w:space="0" w:color="auto"/>
            </w:tcBorders>
            <w:shd w:val="clear" w:color="auto" w:fill="auto"/>
            <w:noWrap/>
            <w:vAlign w:val="bottom"/>
            <w:hideMark/>
          </w:tcPr>
          <w:p w14:paraId="69013971" w14:textId="77777777" w:rsidR="004C127E" w:rsidRPr="000E5786" w:rsidRDefault="004C127E" w:rsidP="00DD60F0">
            <w:pPr>
              <w:jc w:val="center"/>
              <w:rPr>
                <w:rFonts w:cs="Arial"/>
                <w:szCs w:val="20"/>
              </w:rPr>
            </w:pPr>
            <w:r w:rsidRPr="000E5786">
              <w:rPr>
                <w:rFonts w:cs="Arial"/>
                <w:szCs w:val="20"/>
              </w:rPr>
              <w:t>QUAS</w:t>
            </w:r>
          </w:p>
        </w:tc>
        <w:tc>
          <w:tcPr>
            <w:tcW w:w="567" w:type="dxa"/>
            <w:tcBorders>
              <w:top w:val="nil"/>
              <w:left w:val="nil"/>
              <w:bottom w:val="single" w:sz="4" w:space="0" w:color="auto"/>
              <w:right w:val="single" w:sz="4" w:space="0" w:color="auto"/>
            </w:tcBorders>
            <w:shd w:val="clear" w:color="000000" w:fill="FFFF00"/>
            <w:noWrap/>
            <w:vAlign w:val="bottom"/>
            <w:hideMark/>
          </w:tcPr>
          <w:p w14:paraId="6F05A347" w14:textId="5631B07E"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4" w:space="0" w:color="auto"/>
            </w:tcBorders>
            <w:shd w:val="clear" w:color="000000" w:fill="FFFF00"/>
            <w:noWrap/>
            <w:vAlign w:val="bottom"/>
            <w:hideMark/>
          </w:tcPr>
          <w:p w14:paraId="4655C4F7" w14:textId="4B4CBCEC"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63722067" w14:textId="59F879D5"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4" w:space="0" w:color="auto"/>
            </w:tcBorders>
            <w:shd w:val="clear" w:color="000000" w:fill="FFFF00"/>
            <w:noWrap/>
            <w:vAlign w:val="bottom"/>
            <w:hideMark/>
          </w:tcPr>
          <w:p w14:paraId="2C52061B" w14:textId="2C66C0E3"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61C108DB" w14:textId="7D029C81"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4" w:space="0" w:color="auto"/>
            </w:tcBorders>
            <w:shd w:val="clear" w:color="000000" w:fill="FFFF00"/>
            <w:noWrap/>
            <w:vAlign w:val="bottom"/>
            <w:hideMark/>
          </w:tcPr>
          <w:p w14:paraId="457DAB99" w14:textId="683AEB1C"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012CF7F5" w14:textId="375A80E4"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4" w:space="0" w:color="auto"/>
            </w:tcBorders>
            <w:shd w:val="clear" w:color="000000" w:fill="FFFF00"/>
            <w:noWrap/>
            <w:vAlign w:val="bottom"/>
            <w:hideMark/>
          </w:tcPr>
          <w:p w14:paraId="353130A5" w14:textId="260F7E00"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3B23FE16" w14:textId="3B61914E"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4" w:space="0" w:color="auto"/>
            </w:tcBorders>
            <w:shd w:val="clear" w:color="000000" w:fill="FFFF00"/>
            <w:noWrap/>
            <w:vAlign w:val="bottom"/>
            <w:hideMark/>
          </w:tcPr>
          <w:p w14:paraId="6ED776A8" w14:textId="291025DE"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5AEFF953" w14:textId="6B8988E4"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4" w:space="0" w:color="auto"/>
            </w:tcBorders>
            <w:shd w:val="clear" w:color="000000" w:fill="FFFF00"/>
            <w:noWrap/>
            <w:vAlign w:val="bottom"/>
            <w:hideMark/>
          </w:tcPr>
          <w:p w14:paraId="433CCD61" w14:textId="16558B77"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0E9FCF1E" w14:textId="6AD418CA"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23D97350" w14:textId="65C7DEF0" w:rsidR="004C127E" w:rsidRPr="000E5786" w:rsidRDefault="004C127E" w:rsidP="00DD60F0">
            <w:pPr>
              <w:rPr>
                <w:rFonts w:cs="Arial"/>
                <w:szCs w:val="20"/>
              </w:rPr>
            </w:pPr>
            <w:r w:rsidRPr="000E5786">
              <w:rPr>
                <w:rFonts w:cs="Arial"/>
                <w:szCs w:val="20"/>
              </w:rPr>
              <w:t xml:space="preserve">755 </w:t>
            </w:r>
          </w:p>
        </w:tc>
      </w:tr>
      <w:tr w:rsidR="000549F2" w:rsidRPr="000E5786" w14:paraId="712095F1" w14:textId="77777777" w:rsidTr="006E7B8A">
        <w:trPr>
          <w:trHeight w:val="222"/>
        </w:trPr>
        <w:tc>
          <w:tcPr>
            <w:tcW w:w="710" w:type="dxa"/>
            <w:vMerge/>
            <w:tcBorders>
              <w:top w:val="nil"/>
              <w:left w:val="single" w:sz="8" w:space="0" w:color="auto"/>
              <w:bottom w:val="single" w:sz="4" w:space="0" w:color="auto"/>
              <w:right w:val="single" w:sz="8" w:space="0" w:color="auto"/>
            </w:tcBorders>
            <w:vAlign w:val="center"/>
            <w:hideMark/>
          </w:tcPr>
          <w:p w14:paraId="1D25F4EA" w14:textId="77777777" w:rsidR="004C127E" w:rsidRPr="000E5786" w:rsidRDefault="004C127E" w:rsidP="00DD60F0">
            <w:pPr>
              <w:rPr>
                <w:rFonts w:cs="Arial"/>
                <w:b/>
                <w:bCs/>
                <w:szCs w:val="20"/>
              </w:rPr>
            </w:pPr>
          </w:p>
        </w:tc>
        <w:tc>
          <w:tcPr>
            <w:tcW w:w="1559" w:type="dxa"/>
            <w:vMerge/>
            <w:tcBorders>
              <w:top w:val="single" w:sz="8" w:space="0" w:color="auto"/>
              <w:left w:val="single" w:sz="8" w:space="0" w:color="auto"/>
              <w:bottom w:val="single" w:sz="4" w:space="0" w:color="auto"/>
              <w:right w:val="single" w:sz="4" w:space="0" w:color="auto"/>
            </w:tcBorders>
            <w:vAlign w:val="center"/>
            <w:hideMark/>
          </w:tcPr>
          <w:p w14:paraId="54317C30"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09762CB6" w14:textId="77777777" w:rsidR="004C127E" w:rsidRPr="000E5786" w:rsidRDefault="004C127E" w:rsidP="006E7B8A">
            <w:pPr>
              <w:ind w:left="0" w:firstLine="0"/>
              <w:jc w:val="left"/>
              <w:rPr>
                <w:rFonts w:cs="Arial"/>
                <w:szCs w:val="20"/>
              </w:rPr>
            </w:pPr>
            <w:r w:rsidRPr="000E5786">
              <w:rPr>
                <w:rFonts w:cs="Arial"/>
                <w:szCs w:val="20"/>
              </w:rPr>
              <w:t>Quality standards</w:t>
            </w:r>
          </w:p>
        </w:tc>
        <w:tc>
          <w:tcPr>
            <w:tcW w:w="992" w:type="dxa"/>
            <w:tcBorders>
              <w:top w:val="nil"/>
              <w:left w:val="nil"/>
              <w:bottom w:val="single" w:sz="4" w:space="0" w:color="auto"/>
              <w:right w:val="single" w:sz="4" w:space="0" w:color="auto"/>
            </w:tcBorders>
            <w:shd w:val="clear" w:color="auto" w:fill="auto"/>
            <w:noWrap/>
            <w:vAlign w:val="bottom"/>
            <w:hideMark/>
          </w:tcPr>
          <w:p w14:paraId="159DEB7B" w14:textId="77777777" w:rsidR="004C127E" w:rsidRPr="000E5786" w:rsidRDefault="004C127E" w:rsidP="00DD60F0">
            <w:pPr>
              <w:jc w:val="center"/>
              <w:rPr>
                <w:rFonts w:cs="Arial"/>
                <w:szCs w:val="20"/>
              </w:rPr>
            </w:pPr>
            <w:r w:rsidRPr="000E5786">
              <w:rPr>
                <w:rFonts w:cs="Arial"/>
                <w:szCs w:val="20"/>
              </w:rPr>
              <w:t>QUST</w:t>
            </w:r>
          </w:p>
        </w:tc>
        <w:tc>
          <w:tcPr>
            <w:tcW w:w="567" w:type="dxa"/>
            <w:tcBorders>
              <w:top w:val="nil"/>
              <w:left w:val="nil"/>
              <w:bottom w:val="single" w:sz="4" w:space="0" w:color="auto"/>
              <w:right w:val="single" w:sz="4" w:space="0" w:color="auto"/>
            </w:tcBorders>
            <w:shd w:val="clear" w:color="000000" w:fill="FFFF00"/>
            <w:noWrap/>
            <w:vAlign w:val="bottom"/>
            <w:hideMark/>
          </w:tcPr>
          <w:p w14:paraId="665F8B59" w14:textId="3FC08A35"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4" w:space="0" w:color="auto"/>
            </w:tcBorders>
            <w:shd w:val="clear" w:color="000000" w:fill="FFFF00"/>
            <w:noWrap/>
            <w:vAlign w:val="bottom"/>
            <w:hideMark/>
          </w:tcPr>
          <w:p w14:paraId="7A71C1FA" w14:textId="5882F81B"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792B7C31" w14:textId="33751061"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4" w:space="0" w:color="auto"/>
            </w:tcBorders>
            <w:shd w:val="clear" w:color="000000" w:fill="FFFF00"/>
            <w:noWrap/>
            <w:vAlign w:val="bottom"/>
            <w:hideMark/>
          </w:tcPr>
          <w:p w14:paraId="1448650E" w14:textId="2D023AA6"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38598A4D" w14:textId="4990AAE0"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4" w:space="0" w:color="auto"/>
            </w:tcBorders>
            <w:shd w:val="clear" w:color="000000" w:fill="FFFF00"/>
            <w:noWrap/>
            <w:vAlign w:val="bottom"/>
            <w:hideMark/>
          </w:tcPr>
          <w:p w14:paraId="5E1B78FF" w14:textId="4DF83289"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5EFDC459" w14:textId="45B77F78"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4" w:space="0" w:color="auto"/>
            </w:tcBorders>
            <w:shd w:val="clear" w:color="000000" w:fill="FFFF00"/>
            <w:noWrap/>
            <w:vAlign w:val="bottom"/>
            <w:hideMark/>
          </w:tcPr>
          <w:p w14:paraId="486271E2" w14:textId="2BA2064C"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03B7C5FE" w14:textId="01D85413"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4" w:space="0" w:color="auto"/>
            </w:tcBorders>
            <w:shd w:val="clear" w:color="000000" w:fill="FFFF00"/>
            <w:noWrap/>
            <w:vAlign w:val="bottom"/>
            <w:hideMark/>
          </w:tcPr>
          <w:p w14:paraId="3C33616A" w14:textId="631E14CC"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1A2CE592" w14:textId="1410C349"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4" w:space="0" w:color="auto"/>
            </w:tcBorders>
            <w:shd w:val="clear" w:color="000000" w:fill="FFFF00"/>
            <w:noWrap/>
            <w:vAlign w:val="bottom"/>
            <w:hideMark/>
          </w:tcPr>
          <w:p w14:paraId="476FBF25" w14:textId="62208496"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2504D59F" w14:textId="148B49C2"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4583ECCF" w14:textId="3E995418" w:rsidR="004C127E" w:rsidRPr="000E5786" w:rsidRDefault="004C127E" w:rsidP="00DD60F0">
            <w:pPr>
              <w:rPr>
                <w:rFonts w:cs="Arial"/>
                <w:szCs w:val="20"/>
              </w:rPr>
            </w:pPr>
            <w:r w:rsidRPr="000E5786">
              <w:rPr>
                <w:rFonts w:cs="Arial"/>
                <w:szCs w:val="20"/>
              </w:rPr>
              <w:t xml:space="preserve">755 </w:t>
            </w:r>
          </w:p>
        </w:tc>
      </w:tr>
      <w:tr w:rsidR="000549F2" w:rsidRPr="000E5786" w14:paraId="3EAE1D31" w14:textId="77777777" w:rsidTr="006E7B8A">
        <w:trPr>
          <w:trHeight w:val="210"/>
        </w:trPr>
        <w:tc>
          <w:tcPr>
            <w:tcW w:w="710" w:type="dxa"/>
            <w:vMerge/>
            <w:tcBorders>
              <w:top w:val="nil"/>
              <w:left w:val="single" w:sz="8" w:space="0" w:color="auto"/>
              <w:bottom w:val="single" w:sz="4" w:space="0" w:color="auto"/>
              <w:right w:val="single" w:sz="8" w:space="0" w:color="auto"/>
            </w:tcBorders>
            <w:vAlign w:val="center"/>
            <w:hideMark/>
          </w:tcPr>
          <w:p w14:paraId="0A25291A" w14:textId="77777777" w:rsidR="004C127E" w:rsidRPr="000E5786" w:rsidRDefault="004C127E" w:rsidP="00DD60F0">
            <w:pPr>
              <w:rPr>
                <w:rFonts w:cs="Arial"/>
                <w:b/>
                <w:bCs/>
                <w:szCs w:val="20"/>
              </w:rPr>
            </w:pPr>
          </w:p>
        </w:tc>
        <w:tc>
          <w:tcPr>
            <w:tcW w:w="1559" w:type="dxa"/>
            <w:vMerge/>
            <w:tcBorders>
              <w:top w:val="single" w:sz="8" w:space="0" w:color="auto"/>
              <w:left w:val="single" w:sz="8" w:space="0" w:color="auto"/>
              <w:bottom w:val="single" w:sz="4" w:space="0" w:color="auto"/>
              <w:right w:val="single" w:sz="4" w:space="0" w:color="auto"/>
            </w:tcBorders>
            <w:vAlign w:val="center"/>
            <w:hideMark/>
          </w:tcPr>
          <w:p w14:paraId="4EA6894F"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65EE84BF" w14:textId="77777777" w:rsidR="004C127E" w:rsidRPr="000E5786" w:rsidRDefault="004C127E" w:rsidP="006E7B8A">
            <w:pPr>
              <w:ind w:left="0" w:firstLine="0"/>
              <w:jc w:val="left"/>
              <w:rPr>
                <w:rFonts w:cs="Arial"/>
                <w:szCs w:val="20"/>
              </w:rPr>
            </w:pPr>
            <w:r w:rsidRPr="000E5786">
              <w:rPr>
                <w:rFonts w:cs="Arial"/>
                <w:szCs w:val="20"/>
              </w:rPr>
              <w:t>Conformance review</w:t>
            </w:r>
          </w:p>
        </w:tc>
        <w:tc>
          <w:tcPr>
            <w:tcW w:w="992" w:type="dxa"/>
            <w:tcBorders>
              <w:top w:val="nil"/>
              <w:left w:val="nil"/>
              <w:bottom w:val="single" w:sz="4" w:space="0" w:color="auto"/>
              <w:right w:val="single" w:sz="4" w:space="0" w:color="auto"/>
            </w:tcBorders>
            <w:shd w:val="clear" w:color="auto" w:fill="auto"/>
            <w:noWrap/>
            <w:vAlign w:val="bottom"/>
            <w:hideMark/>
          </w:tcPr>
          <w:p w14:paraId="0A67868E" w14:textId="77777777" w:rsidR="004C127E" w:rsidRPr="000E5786" w:rsidRDefault="004C127E" w:rsidP="00DD60F0">
            <w:pPr>
              <w:jc w:val="center"/>
              <w:rPr>
                <w:rFonts w:cs="Arial"/>
                <w:szCs w:val="20"/>
              </w:rPr>
            </w:pPr>
            <w:r w:rsidRPr="000E5786">
              <w:rPr>
                <w:rFonts w:cs="Arial"/>
                <w:szCs w:val="20"/>
              </w:rPr>
              <w:t>CORE</w:t>
            </w:r>
          </w:p>
        </w:tc>
        <w:tc>
          <w:tcPr>
            <w:tcW w:w="567" w:type="dxa"/>
            <w:tcBorders>
              <w:top w:val="nil"/>
              <w:left w:val="nil"/>
              <w:bottom w:val="single" w:sz="4" w:space="0" w:color="auto"/>
              <w:right w:val="single" w:sz="4" w:space="0" w:color="auto"/>
            </w:tcBorders>
            <w:shd w:val="clear" w:color="000000" w:fill="FFFF00"/>
            <w:noWrap/>
            <w:vAlign w:val="bottom"/>
            <w:hideMark/>
          </w:tcPr>
          <w:p w14:paraId="40A1B008" w14:textId="1B3BF48A"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4" w:space="0" w:color="auto"/>
            </w:tcBorders>
            <w:shd w:val="clear" w:color="000000" w:fill="FFFF00"/>
            <w:noWrap/>
            <w:vAlign w:val="bottom"/>
            <w:hideMark/>
          </w:tcPr>
          <w:p w14:paraId="15EAF076" w14:textId="6621011C"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71179244" w14:textId="1B348B1B"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4" w:space="0" w:color="auto"/>
            </w:tcBorders>
            <w:shd w:val="clear" w:color="000000" w:fill="FFFF00"/>
            <w:noWrap/>
            <w:vAlign w:val="bottom"/>
            <w:hideMark/>
          </w:tcPr>
          <w:p w14:paraId="30532BC5" w14:textId="49C94EEB"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01C30228" w14:textId="4AE56B7B"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4" w:space="0" w:color="auto"/>
            </w:tcBorders>
            <w:shd w:val="clear" w:color="000000" w:fill="FFFF00"/>
            <w:noWrap/>
            <w:vAlign w:val="bottom"/>
            <w:hideMark/>
          </w:tcPr>
          <w:p w14:paraId="313666FD" w14:textId="5E592CEA"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0F19C312" w14:textId="1E1D080B"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4" w:space="0" w:color="auto"/>
            </w:tcBorders>
            <w:shd w:val="clear" w:color="000000" w:fill="FFFF00"/>
            <w:noWrap/>
            <w:vAlign w:val="bottom"/>
            <w:hideMark/>
          </w:tcPr>
          <w:p w14:paraId="6A5D34C5" w14:textId="5ACA4B36"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14BE625B" w14:textId="1DB43FD2"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4" w:space="0" w:color="auto"/>
            </w:tcBorders>
            <w:shd w:val="clear" w:color="000000" w:fill="FFFF00"/>
            <w:noWrap/>
            <w:vAlign w:val="bottom"/>
            <w:hideMark/>
          </w:tcPr>
          <w:p w14:paraId="66CFE90A" w14:textId="27010FAA"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512C1660" w14:textId="6EC2C552"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4" w:space="0" w:color="auto"/>
            </w:tcBorders>
            <w:shd w:val="clear" w:color="000000" w:fill="FFFF00"/>
            <w:noWrap/>
            <w:vAlign w:val="bottom"/>
            <w:hideMark/>
          </w:tcPr>
          <w:p w14:paraId="23633060" w14:textId="4118CF74"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2F43A200" w14:textId="6FDB67EF"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50AAACA5" w14:textId="4F2F3103" w:rsidR="004C127E" w:rsidRPr="000E5786" w:rsidRDefault="004C127E" w:rsidP="00DD60F0">
            <w:pPr>
              <w:rPr>
                <w:rFonts w:cs="Arial"/>
                <w:szCs w:val="20"/>
              </w:rPr>
            </w:pPr>
            <w:r w:rsidRPr="000E5786">
              <w:rPr>
                <w:rFonts w:cs="Arial"/>
                <w:szCs w:val="20"/>
              </w:rPr>
              <w:t xml:space="preserve">755 </w:t>
            </w:r>
          </w:p>
        </w:tc>
      </w:tr>
      <w:tr w:rsidR="000549F2" w:rsidRPr="000E5786" w14:paraId="59352003" w14:textId="77777777" w:rsidTr="006E7B8A">
        <w:trPr>
          <w:trHeight w:val="210"/>
        </w:trPr>
        <w:tc>
          <w:tcPr>
            <w:tcW w:w="710" w:type="dxa"/>
            <w:vMerge/>
            <w:tcBorders>
              <w:top w:val="nil"/>
              <w:left w:val="single" w:sz="8" w:space="0" w:color="auto"/>
              <w:bottom w:val="single" w:sz="4" w:space="0" w:color="auto"/>
              <w:right w:val="single" w:sz="8" w:space="0" w:color="auto"/>
            </w:tcBorders>
            <w:vAlign w:val="center"/>
            <w:hideMark/>
          </w:tcPr>
          <w:p w14:paraId="38A2C62E" w14:textId="77777777" w:rsidR="004C127E" w:rsidRPr="000E5786" w:rsidRDefault="004C127E" w:rsidP="00DD60F0">
            <w:pPr>
              <w:rPr>
                <w:rFonts w:cs="Arial"/>
                <w:b/>
                <w:bCs/>
                <w:szCs w:val="20"/>
              </w:rPr>
            </w:pPr>
          </w:p>
        </w:tc>
        <w:tc>
          <w:tcPr>
            <w:tcW w:w="1559" w:type="dxa"/>
            <w:vMerge/>
            <w:tcBorders>
              <w:top w:val="single" w:sz="8" w:space="0" w:color="auto"/>
              <w:left w:val="single" w:sz="8" w:space="0" w:color="auto"/>
              <w:bottom w:val="single" w:sz="4" w:space="0" w:color="auto"/>
              <w:right w:val="single" w:sz="4" w:space="0" w:color="auto"/>
            </w:tcBorders>
            <w:vAlign w:val="center"/>
            <w:hideMark/>
          </w:tcPr>
          <w:p w14:paraId="5799A355"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3C1BDECD" w14:textId="77777777" w:rsidR="004C127E" w:rsidRPr="000E5786" w:rsidRDefault="004C127E" w:rsidP="006E7B8A">
            <w:pPr>
              <w:ind w:left="0" w:firstLine="0"/>
              <w:jc w:val="left"/>
              <w:rPr>
                <w:rFonts w:cs="Arial"/>
                <w:szCs w:val="20"/>
              </w:rPr>
            </w:pPr>
            <w:r w:rsidRPr="000E5786">
              <w:rPr>
                <w:rFonts w:cs="Arial"/>
                <w:szCs w:val="20"/>
              </w:rPr>
              <w:t>Safety assessment</w:t>
            </w:r>
          </w:p>
        </w:tc>
        <w:tc>
          <w:tcPr>
            <w:tcW w:w="992" w:type="dxa"/>
            <w:tcBorders>
              <w:top w:val="nil"/>
              <w:left w:val="nil"/>
              <w:bottom w:val="single" w:sz="4" w:space="0" w:color="auto"/>
              <w:right w:val="single" w:sz="4" w:space="0" w:color="auto"/>
            </w:tcBorders>
            <w:shd w:val="clear" w:color="auto" w:fill="auto"/>
            <w:noWrap/>
            <w:vAlign w:val="bottom"/>
            <w:hideMark/>
          </w:tcPr>
          <w:p w14:paraId="143F4008" w14:textId="77777777" w:rsidR="004C127E" w:rsidRPr="000E5786" w:rsidRDefault="004C127E" w:rsidP="00DD60F0">
            <w:pPr>
              <w:jc w:val="center"/>
              <w:rPr>
                <w:rFonts w:cs="Arial"/>
                <w:szCs w:val="20"/>
              </w:rPr>
            </w:pPr>
            <w:r w:rsidRPr="000E5786">
              <w:rPr>
                <w:rFonts w:cs="Arial"/>
                <w:szCs w:val="20"/>
              </w:rPr>
              <w:t>SFAS</w:t>
            </w:r>
          </w:p>
        </w:tc>
        <w:tc>
          <w:tcPr>
            <w:tcW w:w="567" w:type="dxa"/>
            <w:tcBorders>
              <w:top w:val="nil"/>
              <w:left w:val="nil"/>
              <w:bottom w:val="single" w:sz="4" w:space="0" w:color="auto"/>
              <w:right w:val="single" w:sz="4" w:space="0" w:color="auto"/>
            </w:tcBorders>
            <w:shd w:val="clear" w:color="000000" w:fill="FFFF00"/>
            <w:noWrap/>
            <w:vAlign w:val="bottom"/>
            <w:hideMark/>
          </w:tcPr>
          <w:p w14:paraId="5988396A" w14:textId="60781D39"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4" w:space="0" w:color="auto"/>
            </w:tcBorders>
            <w:shd w:val="clear" w:color="000000" w:fill="FFFF00"/>
            <w:noWrap/>
            <w:vAlign w:val="bottom"/>
            <w:hideMark/>
          </w:tcPr>
          <w:p w14:paraId="5A0F6E6C" w14:textId="7B060B70"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1D0C1A0D" w14:textId="31F1D1EE"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4" w:space="0" w:color="auto"/>
            </w:tcBorders>
            <w:shd w:val="clear" w:color="000000" w:fill="FFFF00"/>
            <w:noWrap/>
            <w:vAlign w:val="bottom"/>
            <w:hideMark/>
          </w:tcPr>
          <w:p w14:paraId="74501F04" w14:textId="250F763F"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40C2C26E" w14:textId="5D38201C"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4" w:space="0" w:color="auto"/>
            </w:tcBorders>
            <w:shd w:val="clear" w:color="000000" w:fill="FFFF00"/>
            <w:noWrap/>
            <w:vAlign w:val="bottom"/>
            <w:hideMark/>
          </w:tcPr>
          <w:p w14:paraId="0AA9D80C" w14:textId="4D34A81D"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30D1EEEB" w14:textId="7822477C"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4" w:space="0" w:color="auto"/>
            </w:tcBorders>
            <w:shd w:val="clear" w:color="000000" w:fill="FFFF00"/>
            <w:noWrap/>
            <w:vAlign w:val="bottom"/>
            <w:hideMark/>
          </w:tcPr>
          <w:p w14:paraId="00C78DCF" w14:textId="561D4FEA"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0297E8EA" w14:textId="3D8FA531"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4" w:space="0" w:color="auto"/>
            </w:tcBorders>
            <w:shd w:val="clear" w:color="000000" w:fill="FFFF00"/>
            <w:noWrap/>
            <w:vAlign w:val="bottom"/>
            <w:hideMark/>
          </w:tcPr>
          <w:p w14:paraId="18CEFAA8" w14:textId="4AC112D4"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5772ACFF" w14:textId="6BFC3A89"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4" w:space="0" w:color="auto"/>
            </w:tcBorders>
            <w:shd w:val="clear" w:color="000000" w:fill="FFFF00"/>
            <w:noWrap/>
            <w:vAlign w:val="bottom"/>
            <w:hideMark/>
          </w:tcPr>
          <w:p w14:paraId="65639966" w14:textId="465E8CB6"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3900CFA6" w14:textId="3448EE2C"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6F2AD4DD" w14:textId="6CE5CF78" w:rsidR="004C127E" w:rsidRPr="000E5786" w:rsidRDefault="004C127E" w:rsidP="00DD60F0">
            <w:pPr>
              <w:rPr>
                <w:rFonts w:cs="Arial"/>
                <w:szCs w:val="20"/>
              </w:rPr>
            </w:pPr>
            <w:r w:rsidRPr="000E5786">
              <w:rPr>
                <w:rFonts w:cs="Arial"/>
                <w:szCs w:val="20"/>
              </w:rPr>
              <w:t xml:space="preserve">755 </w:t>
            </w:r>
          </w:p>
        </w:tc>
      </w:tr>
      <w:tr w:rsidR="000549F2" w:rsidRPr="000E5786" w14:paraId="654C2174" w14:textId="77777777" w:rsidTr="006E7B8A">
        <w:trPr>
          <w:trHeight w:val="225"/>
        </w:trPr>
        <w:tc>
          <w:tcPr>
            <w:tcW w:w="710" w:type="dxa"/>
            <w:vMerge/>
            <w:tcBorders>
              <w:top w:val="nil"/>
              <w:left w:val="single" w:sz="8" w:space="0" w:color="auto"/>
              <w:bottom w:val="single" w:sz="4" w:space="0" w:color="auto"/>
              <w:right w:val="single" w:sz="8" w:space="0" w:color="auto"/>
            </w:tcBorders>
            <w:vAlign w:val="center"/>
            <w:hideMark/>
          </w:tcPr>
          <w:p w14:paraId="661A0B7F" w14:textId="77777777" w:rsidR="004C127E" w:rsidRPr="000E5786" w:rsidRDefault="004C127E" w:rsidP="00DD60F0">
            <w:pPr>
              <w:rPr>
                <w:rFonts w:cs="Arial"/>
                <w:b/>
                <w:bCs/>
                <w:szCs w:val="20"/>
              </w:rPr>
            </w:pPr>
          </w:p>
        </w:tc>
        <w:tc>
          <w:tcPr>
            <w:tcW w:w="1559" w:type="dxa"/>
            <w:tcBorders>
              <w:top w:val="nil"/>
              <w:left w:val="nil"/>
              <w:bottom w:val="single" w:sz="8" w:space="0" w:color="auto"/>
              <w:right w:val="single" w:sz="4" w:space="0" w:color="auto"/>
            </w:tcBorders>
            <w:shd w:val="clear" w:color="auto" w:fill="auto"/>
            <w:vAlign w:val="center"/>
            <w:hideMark/>
          </w:tcPr>
          <w:p w14:paraId="1038035F" w14:textId="77777777" w:rsidR="004C127E" w:rsidRPr="000E5786" w:rsidRDefault="004C127E" w:rsidP="00DD60F0">
            <w:pPr>
              <w:jc w:val="center"/>
              <w:rPr>
                <w:rFonts w:cs="Arial"/>
                <w:b/>
                <w:bCs/>
                <w:szCs w:val="20"/>
              </w:rPr>
            </w:pPr>
            <w:r w:rsidRPr="000E5786">
              <w:rPr>
                <w:rFonts w:cs="Arial"/>
                <w:b/>
                <w:bCs/>
                <w:szCs w:val="20"/>
              </w:rPr>
              <w:t> </w:t>
            </w:r>
          </w:p>
        </w:tc>
        <w:tc>
          <w:tcPr>
            <w:tcW w:w="1559" w:type="dxa"/>
            <w:tcBorders>
              <w:top w:val="nil"/>
              <w:left w:val="nil"/>
              <w:bottom w:val="single" w:sz="8" w:space="0" w:color="auto"/>
              <w:right w:val="single" w:sz="4" w:space="0" w:color="auto"/>
            </w:tcBorders>
            <w:shd w:val="clear" w:color="auto" w:fill="auto"/>
            <w:noWrap/>
            <w:vAlign w:val="bottom"/>
            <w:hideMark/>
          </w:tcPr>
          <w:p w14:paraId="4FE60D22" w14:textId="77777777" w:rsidR="004C127E" w:rsidRPr="000E5786" w:rsidRDefault="004C127E" w:rsidP="006E7B8A">
            <w:pPr>
              <w:ind w:left="0" w:firstLine="0"/>
              <w:jc w:val="left"/>
              <w:rPr>
                <w:rFonts w:cs="Arial"/>
                <w:szCs w:val="20"/>
              </w:rPr>
            </w:pPr>
            <w:r w:rsidRPr="000E5786">
              <w:rPr>
                <w:rFonts w:cs="Arial"/>
                <w:szCs w:val="20"/>
              </w:rPr>
              <w:t>Digital forensics</w:t>
            </w:r>
          </w:p>
        </w:tc>
        <w:tc>
          <w:tcPr>
            <w:tcW w:w="992" w:type="dxa"/>
            <w:tcBorders>
              <w:top w:val="nil"/>
              <w:left w:val="nil"/>
              <w:bottom w:val="single" w:sz="8" w:space="0" w:color="auto"/>
              <w:right w:val="single" w:sz="4" w:space="0" w:color="auto"/>
            </w:tcBorders>
            <w:shd w:val="clear" w:color="auto" w:fill="auto"/>
            <w:noWrap/>
            <w:vAlign w:val="bottom"/>
            <w:hideMark/>
          </w:tcPr>
          <w:p w14:paraId="47929EFA" w14:textId="77777777" w:rsidR="004C127E" w:rsidRPr="000E5786" w:rsidRDefault="004C127E" w:rsidP="00DD60F0">
            <w:pPr>
              <w:jc w:val="center"/>
              <w:rPr>
                <w:rFonts w:cs="Arial"/>
                <w:szCs w:val="20"/>
              </w:rPr>
            </w:pPr>
            <w:r w:rsidRPr="000E5786">
              <w:rPr>
                <w:rFonts w:cs="Arial"/>
                <w:szCs w:val="20"/>
              </w:rPr>
              <w:t>DGFS</w:t>
            </w:r>
          </w:p>
        </w:tc>
        <w:tc>
          <w:tcPr>
            <w:tcW w:w="567" w:type="dxa"/>
            <w:tcBorders>
              <w:top w:val="nil"/>
              <w:left w:val="nil"/>
              <w:bottom w:val="single" w:sz="8" w:space="0" w:color="auto"/>
              <w:right w:val="single" w:sz="4" w:space="0" w:color="auto"/>
            </w:tcBorders>
            <w:shd w:val="clear" w:color="000000" w:fill="FFFF00"/>
            <w:noWrap/>
            <w:vAlign w:val="bottom"/>
            <w:hideMark/>
          </w:tcPr>
          <w:p w14:paraId="5EE9BD8D" w14:textId="4755255B"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8" w:space="0" w:color="auto"/>
              <w:right w:val="single" w:sz="4" w:space="0" w:color="auto"/>
            </w:tcBorders>
            <w:shd w:val="clear" w:color="000000" w:fill="FFFF00"/>
            <w:noWrap/>
            <w:vAlign w:val="bottom"/>
            <w:hideMark/>
          </w:tcPr>
          <w:p w14:paraId="4819B72B" w14:textId="2886EA27"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8" w:space="0" w:color="auto"/>
              <w:right w:val="single" w:sz="4" w:space="0" w:color="auto"/>
            </w:tcBorders>
            <w:shd w:val="clear" w:color="000000" w:fill="FFFF00"/>
            <w:noWrap/>
            <w:vAlign w:val="bottom"/>
            <w:hideMark/>
          </w:tcPr>
          <w:p w14:paraId="1D94CA82" w14:textId="5AD1A8B1"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8" w:space="0" w:color="auto"/>
              <w:right w:val="single" w:sz="4" w:space="0" w:color="auto"/>
            </w:tcBorders>
            <w:shd w:val="clear" w:color="000000" w:fill="FFFF00"/>
            <w:noWrap/>
            <w:vAlign w:val="bottom"/>
            <w:hideMark/>
          </w:tcPr>
          <w:p w14:paraId="7029A78E" w14:textId="384175ED"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8" w:space="0" w:color="auto"/>
              <w:right w:val="single" w:sz="4" w:space="0" w:color="auto"/>
            </w:tcBorders>
            <w:shd w:val="clear" w:color="000000" w:fill="FFFF00"/>
            <w:noWrap/>
            <w:vAlign w:val="bottom"/>
            <w:hideMark/>
          </w:tcPr>
          <w:p w14:paraId="090DD39F" w14:textId="4255E6F4"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8" w:space="0" w:color="auto"/>
              <w:right w:val="single" w:sz="4" w:space="0" w:color="auto"/>
            </w:tcBorders>
            <w:shd w:val="clear" w:color="000000" w:fill="FFFF00"/>
            <w:noWrap/>
            <w:vAlign w:val="bottom"/>
            <w:hideMark/>
          </w:tcPr>
          <w:p w14:paraId="727C36ED" w14:textId="748A0105"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8" w:space="0" w:color="auto"/>
              <w:right w:val="single" w:sz="4" w:space="0" w:color="auto"/>
            </w:tcBorders>
            <w:shd w:val="clear" w:color="000000" w:fill="FFFF00"/>
            <w:noWrap/>
            <w:vAlign w:val="bottom"/>
            <w:hideMark/>
          </w:tcPr>
          <w:p w14:paraId="22541CD5" w14:textId="6D56099C"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8" w:space="0" w:color="auto"/>
              <w:right w:val="single" w:sz="4" w:space="0" w:color="auto"/>
            </w:tcBorders>
            <w:shd w:val="clear" w:color="000000" w:fill="FFFF00"/>
            <w:noWrap/>
            <w:vAlign w:val="bottom"/>
            <w:hideMark/>
          </w:tcPr>
          <w:p w14:paraId="0FE2DF3D" w14:textId="18BB9BFD"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8" w:space="0" w:color="auto"/>
              <w:right w:val="single" w:sz="4" w:space="0" w:color="auto"/>
            </w:tcBorders>
            <w:shd w:val="clear" w:color="000000" w:fill="FFFF00"/>
            <w:noWrap/>
            <w:vAlign w:val="bottom"/>
            <w:hideMark/>
          </w:tcPr>
          <w:p w14:paraId="0D9AE20F" w14:textId="705BE531"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8" w:space="0" w:color="auto"/>
              <w:right w:val="single" w:sz="4" w:space="0" w:color="auto"/>
            </w:tcBorders>
            <w:shd w:val="clear" w:color="000000" w:fill="FFFF00"/>
            <w:noWrap/>
            <w:vAlign w:val="bottom"/>
            <w:hideMark/>
          </w:tcPr>
          <w:p w14:paraId="09DF0416" w14:textId="1074700E"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8" w:space="0" w:color="auto"/>
              <w:right w:val="single" w:sz="4" w:space="0" w:color="auto"/>
            </w:tcBorders>
            <w:shd w:val="clear" w:color="000000" w:fill="FFFF00"/>
            <w:noWrap/>
            <w:vAlign w:val="bottom"/>
            <w:hideMark/>
          </w:tcPr>
          <w:p w14:paraId="4BAC8108" w14:textId="5DFB8840"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8" w:space="0" w:color="auto"/>
              <w:right w:val="single" w:sz="4" w:space="0" w:color="auto"/>
            </w:tcBorders>
            <w:shd w:val="clear" w:color="000000" w:fill="FFFF00"/>
            <w:noWrap/>
            <w:vAlign w:val="bottom"/>
            <w:hideMark/>
          </w:tcPr>
          <w:p w14:paraId="33DEDCDC" w14:textId="15A6DDD0"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8" w:space="0" w:color="auto"/>
              <w:right w:val="single" w:sz="4" w:space="0" w:color="auto"/>
            </w:tcBorders>
            <w:shd w:val="clear" w:color="000000" w:fill="FFFF00"/>
            <w:noWrap/>
            <w:vAlign w:val="bottom"/>
            <w:hideMark/>
          </w:tcPr>
          <w:p w14:paraId="07CBAC4E" w14:textId="3D9830E1"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8" w:space="0" w:color="auto"/>
              <w:right w:val="single" w:sz="8" w:space="0" w:color="auto"/>
            </w:tcBorders>
            <w:shd w:val="clear" w:color="000000" w:fill="FFFF00"/>
            <w:noWrap/>
            <w:vAlign w:val="bottom"/>
            <w:hideMark/>
          </w:tcPr>
          <w:p w14:paraId="2B9DF1A5" w14:textId="12980A0C" w:rsidR="004C127E" w:rsidRPr="000E5786" w:rsidRDefault="004C127E" w:rsidP="00DD60F0">
            <w:pPr>
              <w:rPr>
                <w:rFonts w:cs="Arial"/>
                <w:szCs w:val="20"/>
              </w:rPr>
            </w:pPr>
            <w:r w:rsidRPr="000E5786">
              <w:rPr>
                <w:rFonts w:cs="Arial"/>
                <w:szCs w:val="20"/>
              </w:rPr>
              <w:t xml:space="preserve">755 </w:t>
            </w:r>
          </w:p>
        </w:tc>
      </w:tr>
      <w:tr w:rsidR="000549F2" w:rsidRPr="000E5786" w14:paraId="1B4D8425" w14:textId="77777777" w:rsidTr="006E7B8A">
        <w:trPr>
          <w:trHeight w:val="225"/>
        </w:trPr>
        <w:tc>
          <w:tcPr>
            <w:tcW w:w="710"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34AC492A" w14:textId="6DC62DD2" w:rsidR="004C127E" w:rsidRPr="000E5786" w:rsidRDefault="004C127E" w:rsidP="006E7B8A">
            <w:pPr>
              <w:ind w:left="113" w:right="113" w:firstLine="0"/>
              <w:jc w:val="center"/>
              <w:rPr>
                <w:rFonts w:cs="Arial"/>
                <w:b/>
                <w:bCs/>
                <w:szCs w:val="20"/>
              </w:rPr>
            </w:pPr>
            <w:r w:rsidRPr="000E5786">
              <w:rPr>
                <w:rFonts w:cs="Arial"/>
                <w:b/>
                <w:bCs/>
                <w:szCs w:val="20"/>
              </w:rPr>
              <w:t xml:space="preserve">Relationships and engagement </w:t>
            </w:r>
          </w:p>
        </w:tc>
        <w:tc>
          <w:tcPr>
            <w:tcW w:w="1559" w:type="dxa"/>
            <w:vMerge w:val="restart"/>
            <w:tcBorders>
              <w:top w:val="nil"/>
              <w:left w:val="single" w:sz="8" w:space="0" w:color="auto"/>
              <w:bottom w:val="single" w:sz="8" w:space="0" w:color="000000"/>
              <w:right w:val="single" w:sz="4" w:space="0" w:color="auto"/>
            </w:tcBorders>
            <w:shd w:val="clear" w:color="auto" w:fill="auto"/>
            <w:vAlign w:val="center"/>
            <w:hideMark/>
          </w:tcPr>
          <w:p w14:paraId="507FAAEC" w14:textId="77777777" w:rsidR="004C127E" w:rsidRPr="000E5786" w:rsidRDefault="004C127E" w:rsidP="006E7B8A">
            <w:pPr>
              <w:ind w:left="0" w:firstLine="0"/>
              <w:jc w:val="center"/>
              <w:rPr>
                <w:rFonts w:cs="Arial"/>
                <w:b/>
                <w:bCs/>
                <w:szCs w:val="20"/>
              </w:rPr>
            </w:pPr>
            <w:r w:rsidRPr="000E5786">
              <w:rPr>
                <w:rFonts w:cs="Arial"/>
                <w:b/>
                <w:bCs/>
                <w:szCs w:val="20"/>
              </w:rPr>
              <w:t xml:space="preserve">Stakeholder </w:t>
            </w:r>
            <w:r w:rsidRPr="006E7B8A">
              <w:rPr>
                <w:rFonts w:cs="Arial"/>
                <w:b/>
                <w:bCs/>
                <w:szCs w:val="20"/>
              </w:rPr>
              <w:t>management</w:t>
            </w:r>
          </w:p>
        </w:tc>
        <w:tc>
          <w:tcPr>
            <w:tcW w:w="1559" w:type="dxa"/>
            <w:tcBorders>
              <w:top w:val="nil"/>
              <w:left w:val="nil"/>
              <w:bottom w:val="single" w:sz="4" w:space="0" w:color="auto"/>
              <w:right w:val="single" w:sz="4" w:space="0" w:color="auto"/>
            </w:tcBorders>
            <w:shd w:val="clear" w:color="auto" w:fill="auto"/>
            <w:noWrap/>
            <w:vAlign w:val="bottom"/>
            <w:hideMark/>
          </w:tcPr>
          <w:p w14:paraId="4CCCF155" w14:textId="77777777" w:rsidR="004C127E" w:rsidRPr="000E5786" w:rsidRDefault="004C127E" w:rsidP="006E7B8A">
            <w:pPr>
              <w:ind w:left="0" w:firstLine="0"/>
              <w:jc w:val="left"/>
              <w:rPr>
                <w:rFonts w:cs="Arial"/>
                <w:szCs w:val="20"/>
              </w:rPr>
            </w:pPr>
            <w:r w:rsidRPr="000E5786">
              <w:rPr>
                <w:rFonts w:cs="Arial"/>
                <w:szCs w:val="20"/>
              </w:rPr>
              <w:t>Sourcing</w:t>
            </w:r>
          </w:p>
        </w:tc>
        <w:tc>
          <w:tcPr>
            <w:tcW w:w="992" w:type="dxa"/>
            <w:tcBorders>
              <w:top w:val="nil"/>
              <w:left w:val="nil"/>
              <w:bottom w:val="single" w:sz="4" w:space="0" w:color="auto"/>
              <w:right w:val="single" w:sz="4" w:space="0" w:color="auto"/>
            </w:tcBorders>
            <w:shd w:val="clear" w:color="auto" w:fill="auto"/>
            <w:noWrap/>
            <w:vAlign w:val="bottom"/>
            <w:hideMark/>
          </w:tcPr>
          <w:p w14:paraId="6D531C4C" w14:textId="77777777" w:rsidR="004C127E" w:rsidRPr="000E5786" w:rsidRDefault="004C127E" w:rsidP="00DD60F0">
            <w:pPr>
              <w:jc w:val="center"/>
              <w:rPr>
                <w:rFonts w:cs="Arial"/>
                <w:szCs w:val="20"/>
              </w:rPr>
            </w:pPr>
            <w:r w:rsidRPr="000E5786">
              <w:rPr>
                <w:rFonts w:cs="Arial"/>
                <w:szCs w:val="20"/>
              </w:rPr>
              <w:t>SORC</w:t>
            </w:r>
          </w:p>
        </w:tc>
        <w:tc>
          <w:tcPr>
            <w:tcW w:w="567" w:type="dxa"/>
            <w:tcBorders>
              <w:top w:val="nil"/>
              <w:left w:val="nil"/>
              <w:bottom w:val="single" w:sz="4" w:space="0" w:color="auto"/>
              <w:right w:val="single" w:sz="4" w:space="0" w:color="auto"/>
            </w:tcBorders>
            <w:shd w:val="clear" w:color="000000" w:fill="FFFF00"/>
            <w:noWrap/>
            <w:vAlign w:val="bottom"/>
            <w:hideMark/>
          </w:tcPr>
          <w:p w14:paraId="28718852" w14:textId="66D8CBB8"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8" w:space="0" w:color="auto"/>
            </w:tcBorders>
            <w:shd w:val="clear" w:color="000000" w:fill="FFFF00"/>
            <w:noWrap/>
            <w:vAlign w:val="bottom"/>
            <w:hideMark/>
          </w:tcPr>
          <w:p w14:paraId="26877D3E" w14:textId="260C4A8E"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36DC89FE" w14:textId="4094F4F7"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45A6A047" w14:textId="2D86773B"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245F96D1" w14:textId="1A98E18F"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02298D4C" w14:textId="7611FD98"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0F1E4706" w14:textId="2B3A9779"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17975D51" w14:textId="01D1BC20"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24E3B662" w14:textId="662ACFD2"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4ED88BCB" w14:textId="13738DFA"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6477BB71" w14:textId="531A5C67"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605ECFF1" w14:textId="3557B82E"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305C2DFD" w14:textId="0141919C"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5B5D09CA" w14:textId="4B7BB96E" w:rsidR="004C127E" w:rsidRPr="000E5786" w:rsidRDefault="004C127E" w:rsidP="00DD60F0">
            <w:pPr>
              <w:rPr>
                <w:rFonts w:cs="Arial"/>
                <w:szCs w:val="20"/>
              </w:rPr>
            </w:pPr>
            <w:r w:rsidRPr="000E5786">
              <w:rPr>
                <w:rFonts w:cs="Arial"/>
                <w:szCs w:val="20"/>
              </w:rPr>
              <w:t xml:space="preserve">755 </w:t>
            </w:r>
          </w:p>
        </w:tc>
      </w:tr>
      <w:tr w:rsidR="000549F2" w:rsidRPr="000E5786" w14:paraId="5E97691E" w14:textId="77777777" w:rsidTr="006E7B8A">
        <w:trPr>
          <w:trHeight w:val="225"/>
        </w:trPr>
        <w:tc>
          <w:tcPr>
            <w:tcW w:w="710" w:type="dxa"/>
            <w:vMerge/>
            <w:tcBorders>
              <w:top w:val="nil"/>
              <w:left w:val="single" w:sz="8" w:space="0" w:color="auto"/>
              <w:bottom w:val="single" w:sz="8" w:space="0" w:color="000000"/>
              <w:right w:val="single" w:sz="8" w:space="0" w:color="auto"/>
            </w:tcBorders>
            <w:vAlign w:val="center"/>
            <w:hideMark/>
          </w:tcPr>
          <w:p w14:paraId="07D3394A" w14:textId="77777777" w:rsidR="004C127E" w:rsidRPr="000E5786" w:rsidRDefault="004C127E" w:rsidP="00DD60F0">
            <w:pPr>
              <w:rPr>
                <w:rFonts w:cs="Arial"/>
                <w:b/>
                <w:bCs/>
                <w:szCs w:val="20"/>
              </w:rPr>
            </w:pPr>
          </w:p>
        </w:tc>
        <w:tc>
          <w:tcPr>
            <w:tcW w:w="1559" w:type="dxa"/>
            <w:vMerge/>
            <w:tcBorders>
              <w:top w:val="nil"/>
              <w:left w:val="single" w:sz="8" w:space="0" w:color="auto"/>
              <w:bottom w:val="single" w:sz="8" w:space="0" w:color="000000"/>
              <w:right w:val="single" w:sz="4" w:space="0" w:color="auto"/>
            </w:tcBorders>
            <w:vAlign w:val="center"/>
            <w:hideMark/>
          </w:tcPr>
          <w:p w14:paraId="4D49880D"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18F52F18" w14:textId="77777777" w:rsidR="004C127E" w:rsidRPr="000E5786" w:rsidRDefault="004C127E" w:rsidP="006E7B8A">
            <w:pPr>
              <w:ind w:left="0" w:firstLine="0"/>
              <w:jc w:val="left"/>
              <w:rPr>
                <w:rFonts w:cs="Arial"/>
                <w:szCs w:val="20"/>
              </w:rPr>
            </w:pPr>
            <w:r w:rsidRPr="000E5786">
              <w:rPr>
                <w:rFonts w:cs="Arial"/>
                <w:szCs w:val="20"/>
              </w:rPr>
              <w:t>Contract management</w:t>
            </w:r>
          </w:p>
        </w:tc>
        <w:tc>
          <w:tcPr>
            <w:tcW w:w="992" w:type="dxa"/>
            <w:tcBorders>
              <w:top w:val="nil"/>
              <w:left w:val="nil"/>
              <w:bottom w:val="single" w:sz="4" w:space="0" w:color="auto"/>
              <w:right w:val="single" w:sz="4" w:space="0" w:color="auto"/>
            </w:tcBorders>
            <w:shd w:val="clear" w:color="auto" w:fill="auto"/>
            <w:noWrap/>
            <w:vAlign w:val="bottom"/>
            <w:hideMark/>
          </w:tcPr>
          <w:p w14:paraId="111C736E" w14:textId="77777777" w:rsidR="004C127E" w:rsidRPr="000E5786" w:rsidRDefault="004C127E" w:rsidP="00DD60F0">
            <w:pPr>
              <w:jc w:val="center"/>
              <w:rPr>
                <w:rFonts w:cs="Arial"/>
                <w:szCs w:val="20"/>
              </w:rPr>
            </w:pPr>
            <w:r w:rsidRPr="000E5786">
              <w:rPr>
                <w:rFonts w:cs="Arial"/>
                <w:szCs w:val="20"/>
              </w:rPr>
              <w:t>ITCM</w:t>
            </w:r>
          </w:p>
        </w:tc>
        <w:tc>
          <w:tcPr>
            <w:tcW w:w="567" w:type="dxa"/>
            <w:tcBorders>
              <w:top w:val="nil"/>
              <w:left w:val="nil"/>
              <w:bottom w:val="single" w:sz="4" w:space="0" w:color="auto"/>
              <w:right w:val="single" w:sz="4" w:space="0" w:color="auto"/>
            </w:tcBorders>
            <w:shd w:val="clear" w:color="000000" w:fill="FFFF00"/>
            <w:noWrap/>
            <w:vAlign w:val="bottom"/>
            <w:hideMark/>
          </w:tcPr>
          <w:p w14:paraId="0B84EFEC" w14:textId="64858DCC"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8" w:space="0" w:color="auto"/>
            </w:tcBorders>
            <w:shd w:val="clear" w:color="000000" w:fill="FFFF00"/>
            <w:noWrap/>
            <w:vAlign w:val="bottom"/>
            <w:hideMark/>
          </w:tcPr>
          <w:p w14:paraId="05F4E39D" w14:textId="729DB26F"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1ECCBE53" w14:textId="1031EB24"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2FAE4A26" w14:textId="66167095"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4C5F5F08" w14:textId="05EA004A"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01CD9DD6" w14:textId="7D19C988"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482CCBBF" w14:textId="61555E84"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79913048" w14:textId="2317CE63"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51F63F74" w14:textId="63557D09"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6EED245F" w14:textId="61AAB0A3"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1A994B8C" w14:textId="6C474C68"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05F3F73B" w14:textId="064B20E7"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7B603CD7" w14:textId="0B39FFC9"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360AFCF7" w14:textId="4B166888" w:rsidR="004C127E" w:rsidRPr="000E5786" w:rsidRDefault="004C127E" w:rsidP="00DD60F0">
            <w:pPr>
              <w:rPr>
                <w:rFonts w:cs="Arial"/>
                <w:szCs w:val="20"/>
              </w:rPr>
            </w:pPr>
            <w:r w:rsidRPr="000E5786">
              <w:rPr>
                <w:rFonts w:cs="Arial"/>
                <w:szCs w:val="20"/>
              </w:rPr>
              <w:t xml:space="preserve">755 </w:t>
            </w:r>
          </w:p>
        </w:tc>
      </w:tr>
      <w:tr w:rsidR="000549F2" w:rsidRPr="000E5786" w14:paraId="6BB5F1DE" w14:textId="77777777" w:rsidTr="006E7B8A">
        <w:trPr>
          <w:trHeight w:val="240"/>
        </w:trPr>
        <w:tc>
          <w:tcPr>
            <w:tcW w:w="710" w:type="dxa"/>
            <w:vMerge/>
            <w:tcBorders>
              <w:top w:val="nil"/>
              <w:left w:val="single" w:sz="8" w:space="0" w:color="auto"/>
              <w:bottom w:val="single" w:sz="8" w:space="0" w:color="000000"/>
              <w:right w:val="single" w:sz="8" w:space="0" w:color="auto"/>
            </w:tcBorders>
            <w:vAlign w:val="center"/>
            <w:hideMark/>
          </w:tcPr>
          <w:p w14:paraId="71A8987C" w14:textId="77777777" w:rsidR="004C127E" w:rsidRPr="000E5786" w:rsidRDefault="004C127E" w:rsidP="00DD60F0">
            <w:pPr>
              <w:rPr>
                <w:rFonts w:cs="Arial"/>
                <w:b/>
                <w:bCs/>
                <w:szCs w:val="20"/>
              </w:rPr>
            </w:pPr>
          </w:p>
        </w:tc>
        <w:tc>
          <w:tcPr>
            <w:tcW w:w="1559" w:type="dxa"/>
            <w:vMerge/>
            <w:tcBorders>
              <w:top w:val="nil"/>
              <w:left w:val="single" w:sz="8" w:space="0" w:color="auto"/>
              <w:bottom w:val="single" w:sz="8" w:space="0" w:color="000000"/>
              <w:right w:val="single" w:sz="4" w:space="0" w:color="auto"/>
            </w:tcBorders>
            <w:vAlign w:val="center"/>
            <w:hideMark/>
          </w:tcPr>
          <w:p w14:paraId="6BEEBF29"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41287A4F" w14:textId="77777777" w:rsidR="004C127E" w:rsidRPr="000E5786" w:rsidRDefault="004C127E" w:rsidP="006E7B8A">
            <w:pPr>
              <w:ind w:left="0" w:firstLine="0"/>
              <w:jc w:val="left"/>
              <w:rPr>
                <w:rFonts w:cs="Arial"/>
                <w:szCs w:val="20"/>
              </w:rPr>
            </w:pPr>
            <w:r w:rsidRPr="000E5786">
              <w:rPr>
                <w:rFonts w:cs="Arial"/>
                <w:szCs w:val="20"/>
              </w:rPr>
              <w:t>Relationship management</w:t>
            </w:r>
          </w:p>
        </w:tc>
        <w:tc>
          <w:tcPr>
            <w:tcW w:w="992" w:type="dxa"/>
            <w:tcBorders>
              <w:top w:val="nil"/>
              <w:left w:val="nil"/>
              <w:bottom w:val="single" w:sz="4" w:space="0" w:color="auto"/>
              <w:right w:val="single" w:sz="4" w:space="0" w:color="auto"/>
            </w:tcBorders>
            <w:shd w:val="clear" w:color="auto" w:fill="auto"/>
            <w:noWrap/>
            <w:vAlign w:val="bottom"/>
            <w:hideMark/>
          </w:tcPr>
          <w:p w14:paraId="48E910A0" w14:textId="77777777" w:rsidR="004C127E" w:rsidRPr="000E5786" w:rsidRDefault="004C127E" w:rsidP="00DD60F0">
            <w:pPr>
              <w:jc w:val="center"/>
              <w:rPr>
                <w:rFonts w:cs="Arial"/>
                <w:szCs w:val="20"/>
              </w:rPr>
            </w:pPr>
            <w:r w:rsidRPr="000E5786">
              <w:rPr>
                <w:rFonts w:cs="Arial"/>
                <w:szCs w:val="20"/>
              </w:rPr>
              <w:t>RLMT</w:t>
            </w:r>
          </w:p>
        </w:tc>
        <w:tc>
          <w:tcPr>
            <w:tcW w:w="567" w:type="dxa"/>
            <w:tcBorders>
              <w:top w:val="nil"/>
              <w:left w:val="nil"/>
              <w:bottom w:val="single" w:sz="4" w:space="0" w:color="auto"/>
              <w:right w:val="single" w:sz="4" w:space="0" w:color="auto"/>
            </w:tcBorders>
            <w:shd w:val="clear" w:color="000000" w:fill="FFFF00"/>
            <w:noWrap/>
            <w:vAlign w:val="bottom"/>
            <w:hideMark/>
          </w:tcPr>
          <w:p w14:paraId="302FA17E" w14:textId="35B5112F"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8" w:space="0" w:color="auto"/>
            </w:tcBorders>
            <w:shd w:val="clear" w:color="000000" w:fill="FFFF00"/>
            <w:noWrap/>
            <w:vAlign w:val="bottom"/>
            <w:hideMark/>
          </w:tcPr>
          <w:p w14:paraId="2E5330AC" w14:textId="7E610180"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487EFE6A" w14:textId="6A838C00"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4AF310BC" w14:textId="539EC99F"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69D5C92C" w14:textId="0DA9A8A4"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499384C3" w14:textId="40B740D1"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3B58F645" w14:textId="513E7654"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5EEC8F34" w14:textId="644E5DA3"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343EAB70" w14:textId="2D6B3059"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6343B097" w14:textId="042AA306"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36DA86F1" w14:textId="72BCC4BD"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7877AF94" w14:textId="4ED48344"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2297AD6A" w14:textId="49BCA43D"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2FE47DAC" w14:textId="64F59E83" w:rsidR="004C127E" w:rsidRPr="000E5786" w:rsidRDefault="004C127E" w:rsidP="00DD60F0">
            <w:pPr>
              <w:rPr>
                <w:rFonts w:cs="Arial"/>
                <w:szCs w:val="20"/>
              </w:rPr>
            </w:pPr>
            <w:r w:rsidRPr="000E5786">
              <w:rPr>
                <w:rFonts w:cs="Arial"/>
                <w:szCs w:val="20"/>
              </w:rPr>
              <w:t xml:space="preserve">755 </w:t>
            </w:r>
          </w:p>
        </w:tc>
      </w:tr>
      <w:tr w:rsidR="000549F2" w:rsidRPr="000E5786" w14:paraId="421D495F" w14:textId="77777777" w:rsidTr="006E7B8A">
        <w:trPr>
          <w:trHeight w:val="240"/>
        </w:trPr>
        <w:tc>
          <w:tcPr>
            <w:tcW w:w="710" w:type="dxa"/>
            <w:vMerge/>
            <w:tcBorders>
              <w:top w:val="nil"/>
              <w:left w:val="single" w:sz="8" w:space="0" w:color="auto"/>
              <w:bottom w:val="single" w:sz="8" w:space="0" w:color="000000"/>
              <w:right w:val="single" w:sz="8" w:space="0" w:color="auto"/>
            </w:tcBorders>
            <w:vAlign w:val="center"/>
            <w:hideMark/>
          </w:tcPr>
          <w:p w14:paraId="3E0CCF4E" w14:textId="77777777" w:rsidR="004C127E" w:rsidRPr="000E5786" w:rsidRDefault="004C127E" w:rsidP="00DD60F0">
            <w:pPr>
              <w:rPr>
                <w:rFonts w:cs="Arial"/>
                <w:b/>
                <w:bCs/>
                <w:szCs w:val="20"/>
              </w:rPr>
            </w:pPr>
          </w:p>
        </w:tc>
        <w:tc>
          <w:tcPr>
            <w:tcW w:w="1559" w:type="dxa"/>
            <w:vMerge/>
            <w:tcBorders>
              <w:top w:val="nil"/>
              <w:left w:val="single" w:sz="8" w:space="0" w:color="auto"/>
              <w:bottom w:val="single" w:sz="8" w:space="0" w:color="000000"/>
              <w:right w:val="single" w:sz="4" w:space="0" w:color="auto"/>
            </w:tcBorders>
            <w:vAlign w:val="center"/>
            <w:hideMark/>
          </w:tcPr>
          <w:p w14:paraId="0C79AE58" w14:textId="77777777" w:rsidR="004C127E" w:rsidRPr="000E5786" w:rsidRDefault="004C127E" w:rsidP="00DD60F0">
            <w:pPr>
              <w:rPr>
                <w:rFonts w:cs="Arial"/>
                <w:b/>
                <w:bCs/>
                <w:szCs w:val="20"/>
              </w:rPr>
            </w:pPr>
          </w:p>
        </w:tc>
        <w:tc>
          <w:tcPr>
            <w:tcW w:w="1559" w:type="dxa"/>
            <w:tcBorders>
              <w:top w:val="nil"/>
              <w:left w:val="nil"/>
              <w:bottom w:val="single" w:sz="8" w:space="0" w:color="auto"/>
              <w:right w:val="single" w:sz="4" w:space="0" w:color="auto"/>
            </w:tcBorders>
            <w:shd w:val="clear" w:color="auto" w:fill="auto"/>
            <w:noWrap/>
            <w:vAlign w:val="bottom"/>
            <w:hideMark/>
          </w:tcPr>
          <w:p w14:paraId="332212A1" w14:textId="77777777" w:rsidR="004C127E" w:rsidRPr="000E5786" w:rsidRDefault="004C127E" w:rsidP="006E7B8A">
            <w:pPr>
              <w:ind w:left="0" w:firstLine="0"/>
              <w:jc w:val="left"/>
              <w:rPr>
                <w:rFonts w:cs="Arial"/>
                <w:szCs w:val="20"/>
              </w:rPr>
            </w:pPr>
            <w:r w:rsidRPr="000E5786">
              <w:rPr>
                <w:rFonts w:cs="Arial"/>
                <w:szCs w:val="20"/>
              </w:rPr>
              <w:t>Customer service support</w:t>
            </w:r>
          </w:p>
        </w:tc>
        <w:tc>
          <w:tcPr>
            <w:tcW w:w="992" w:type="dxa"/>
            <w:tcBorders>
              <w:top w:val="nil"/>
              <w:left w:val="nil"/>
              <w:bottom w:val="single" w:sz="8" w:space="0" w:color="auto"/>
              <w:right w:val="single" w:sz="4" w:space="0" w:color="auto"/>
            </w:tcBorders>
            <w:shd w:val="clear" w:color="auto" w:fill="auto"/>
            <w:noWrap/>
            <w:vAlign w:val="bottom"/>
            <w:hideMark/>
          </w:tcPr>
          <w:p w14:paraId="3D3167DB" w14:textId="77777777" w:rsidR="004C127E" w:rsidRPr="000E5786" w:rsidRDefault="004C127E" w:rsidP="00DD60F0">
            <w:pPr>
              <w:jc w:val="center"/>
              <w:rPr>
                <w:rFonts w:cs="Arial"/>
                <w:szCs w:val="20"/>
              </w:rPr>
            </w:pPr>
            <w:r w:rsidRPr="000E5786">
              <w:rPr>
                <w:rFonts w:cs="Arial"/>
                <w:szCs w:val="20"/>
              </w:rPr>
              <w:t>CSMG</w:t>
            </w:r>
          </w:p>
        </w:tc>
        <w:tc>
          <w:tcPr>
            <w:tcW w:w="567" w:type="dxa"/>
            <w:tcBorders>
              <w:top w:val="nil"/>
              <w:left w:val="nil"/>
              <w:bottom w:val="single" w:sz="8" w:space="0" w:color="auto"/>
              <w:right w:val="single" w:sz="4" w:space="0" w:color="auto"/>
            </w:tcBorders>
            <w:shd w:val="clear" w:color="000000" w:fill="FFFF00"/>
            <w:noWrap/>
            <w:vAlign w:val="bottom"/>
            <w:hideMark/>
          </w:tcPr>
          <w:p w14:paraId="2B6A0D55" w14:textId="3DCEE613"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8" w:space="0" w:color="auto"/>
              <w:right w:val="single" w:sz="8" w:space="0" w:color="auto"/>
            </w:tcBorders>
            <w:shd w:val="clear" w:color="000000" w:fill="FFFF00"/>
            <w:noWrap/>
            <w:vAlign w:val="bottom"/>
            <w:hideMark/>
          </w:tcPr>
          <w:p w14:paraId="1E8E4861" w14:textId="455D429D"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8" w:space="0" w:color="auto"/>
              <w:right w:val="single" w:sz="4" w:space="0" w:color="auto"/>
            </w:tcBorders>
            <w:shd w:val="clear" w:color="000000" w:fill="FFFF00"/>
            <w:noWrap/>
            <w:vAlign w:val="bottom"/>
            <w:hideMark/>
          </w:tcPr>
          <w:p w14:paraId="537B6430" w14:textId="25D16777"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8" w:space="0" w:color="auto"/>
              <w:right w:val="single" w:sz="8" w:space="0" w:color="auto"/>
            </w:tcBorders>
            <w:shd w:val="clear" w:color="000000" w:fill="FFFF00"/>
            <w:noWrap/>
            <w:vAlign w:val="bottom"/>
            <w:hideMark/>
          </w:tcPr>
          <w:p w14:paraId="3FBF730F" w14:textId="6D7AFF51"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8" w:space="0" w:color="auto"/>
              <w:right w:val="single" w:sz="4" w:space="0" w:color="auto"/>
            </w:tcBorders>
            <w:shd w:val="clear" w:color="000000" w:fill="FFFF00"/>
            <w:noWrap/>
            <w:vAlign w:val="bottom"/>
            <w:hideMark/>
          </w:tcPr>
          <w:p w14:paraId="2EADD653" w14:textId="22A1C462"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8" w:space="0" w:color="auto"/>
              <w:right w:val="single" w:sz="8" w:space="0" w:color="auto"/>
            </w:tcBorders>
            <w:shd w:val="clear" w:color="000000" w:fill="FFFF00"/>
            <w:noWrap/>
            <w:vAlign w:val="bottom"/>
            <w:hideMark/>
          </w:tcPr>
          <w:p w14:paraId="5E03F9C1" w14:textId="32F7A41E"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8" w:space="0" w:color="auto"/>
              <w:right w:val="single" w:sz="4" w:space="0" w:color="auto"/>
            </w:tcBorders>
            <w:shd w:val="clear" w:color="000000" w:fill="FFFF00"/>
            <w:noWrap/>
            <w:vAlign w:val="bottom"/>
            <w:hideMark/>
          </w:tcPr>
          <w:p w14:paraId="59914584" w14:textId="615FD56F"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8" w:space="0" w:color="auto"/>
              <w:right w:val="single" w:sz="8" w:space="0" w:color="auto"/>
            </w:tcBorders>
            <w:shd w:val="clear" w:color="000000" w:fill="FFFF00"/>
            <w:noWrap/>
            <w:vAlign w:val="bottom"/>
            <w:hideMark/>
          </w:tcPr>
          <w:p w14:paraId="3524C214" w14:textId="348BE88E"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8" w:space="0" w:color="auto"/>
              <w:right w:val="single" w:sz="4" w:space="0" w:color="auto"/>
            </w:tcBorders>
            <w:shd w:val="clear" w:color="000000" w:fill="FFFF00"/>
            <w:noWrap/>
            <w:vAlign w:val="bottom"/>
            <w:hideMark/>
          </w:tcPr>
          <w:p w14:paraId="5E364D09" w14:textId="76655245"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8" w:space="0" w:color="auto"/>
              <w:right w:val="single" w:sz="8" w:space="0" w:color="auto"/>
            </w:tcBorders>
            <w:shd w:val="clear" w:color="000000" w:fill="FFFF00"/>
            <w:noWrap/>
            <w:vAlign w:val="bottom"/>
            <w:hideMark/>
          </w:tcPr>
          <w:p w14:paraId="64362EF4" w14:textId="2812143C"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8" w:space="0" w:color="auto"/>
              <w:right w:val="single" w:sz="4" w:space="0" w:color="auto"/>
            </w:tcBorders>
            <w:shd w:val="clear" w:color="000000" w:fill="FFFF00"/>
            <w:noWrap/>
            <w:vAlign w:val="bottom"/>
            <w:hideMark/>
          </w:tcPr>
          <w:p w14:paraId="0DB43AEF" w14:textId="589EFC51"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8" w:space="0" w:color="auto"/>
              <w:right w:val="single" w:sz="8" w:space="0" w:color="auto"/>
            </w:tcBorders>
            <w:shd w:val="clear" w:color="000000" w:fill="FFFF00"/>
            <w:noWrap/>
            <w:vAlign w:val="bottom"/>
            <w:hideMark/>
          </w:tcPr>
          <w:p w14:paraId="564592B4" w14:textId="664283F1"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8" w:space="0" w:color="auto"/>
              <w:right w:val="single" w:sz="4" w:space="0" w:color="auto"/>
            </w:tcBorders>
            <w:shd w:val="clear" w:color="000000" w:fill="FFFF00"/>
            <w:noWrap/>
            <w:vAlign w:val="bottom"/>
            <w:hideMark/>
          </w:tcPr>
          <w:p w14:paraId="4619DFDA" w14:textId="20CCB08F"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8" w:space="0" w:color="auto"/>
              <w:right w:val="single" w:sz="8" w:space="0" w:color="auto"/>
            </w:tcBorders>
            <w:shd w:val="clear" w:color="000000" w:fill="FFFF00"/>
            <w:noWrap/>
            <w:vAlign w:val="bottom"/>
            <w:hideMark/>
          </w:tcPr>
          <w:p w14:paraId="69AD8D94" w14:textId="679E2906" w:rsidR="004C127E" w:rsidRPr="000E5786" w:rsidRDefault="004C127E" w:rsidP="00DD60F0">
            <w:pPr>
              <w:rPr>
                <w:rFonts w:cs="Arial"/>
                <w:szCs w:val="20"/>
              </w:rPr>
            </w:pPr>
            <w:r w:rsidRPr="000E5786">
              <w:rPr>
                <w:rFonts w:cs="Arial"/>
                <w:szCs w:val="20"/>
              </w:rPr>
              <w:t xml:space="preserve">755 </w:t>
            </w:r>
          </w:p>
        </w:tc>
      </w:tr>
      <w:tr w:rsidR="000549F2" w:rsidRPr="000E5786" w14:paraId="41E229EC" w14:textId="77777777" w:rsidTr="006E7B8A">
        <w:trPr>
          <w:trHeight w:val="225"/>
        </w:trPr>
        <w:tc>
          <w:tcPr>
            <w:tcW w:w="710" w:type="dxa"/>
            <w:vMerge/>
            <w:tcBorders>
              <w:top w:val="nil"/>
              <w:left w:val="single" w:sz="8" w:space="0" w:color="auto"/>
              <w:bottom w:val="single" w:sz="8" w:space="0" w:color="000000"/>
              <w:right w:val="single" w:sz="8" w:space="0" w:color="auto"/>
            </w:tcBorders>
            <w:vAlign w:val="center"/>
            <w:hideMark/>
          </w:tcPr>
          <w:p w14:paraId="78949CD9" w14:textId="77777777" w:rsidR="004C127E" w:rsidRPr="000E5786" w:rsidRDefault="004C127E" w:rsidP="00DD60F0">
            <w:pPr>
              <w:rPr>
                <w:rFonts w:cs="Arial"/>
                <w:b/>
                <w:bCs/>
                <w:szCs w:val="20"/>
              </w:rPr>
            </w:pPr>
          </w:p>
        </w:tc>
        <w:tc>
          <w:tcPr>
            <w:tcW w:w="1559" w:type="dxa"/>
            <w:vMerge w:val="restart"/>
            <w:tcBorders>
              <w:top w:val="nil"/>
              <w:left w:val="single" w:sz="8" w:space="0" w:color="auto"/>
              <w:bottom w:val="single" w:sz="8" w:space="0" w:color="000000"/>
              <w:right w:val="single" w:sz="4" w:space="0" w:color="auto"/>
            </w:tcBorders>
            <w:shd w:val="clear" w:color="auto" w:fill="auto"/>
            <w:vAlign w:val="center"/>
            <w:hideMark/>
          </w:tcPr>
          <w:p w14:paraId="78521AC7" w14:textId="77777777" w:rsidR="004C127E" w:rsidRPr="000E5786" w:rsidRDefault="004C127E" w:rsidP="006E7B8A">
            <w:pPr>
              <w:ind w:left="0" w:firstLine="0"/>
              <w:jc w:val="center"/>
              <w:rPr>
                <w:rFonts w:cs="Arial"/>
                <w:b/>
                <w:bCs/>
                <w:szCs w:val="20"/>
              </w:rPr>
            </w:pPr>
            <w:r w:rsidRPr="000E5786">
              <w:rPr>
                <w:rFonts w:cs="Arial"/>
                <w:b/>
                <w:bCs/>
                <w:szCs w:val="20"/>
              </w:rPr>
              <w:t>Sales and Marketing</w:t>
            </w:r>
          </w:p>
        </w:tc>
        <w:tc>
          <w:tcPr>
            <w:tcW w:w="1559" w:type="dxa"/>
            <w:tcBorders>
              <w:top w:val="nil"/>
              <w:left w:val="nil"/>
              <w:bottom w:val="single" w:sz="4" w:space="0" w:color="auto"/>
              <w:right w:val="single" w:sz="4" w:space="0" w:color="auto"/>
            </w:tcBorders>
            <w:shd w:val="clear" w:color="auto" w:fill="auto"/>
            <w:noWrap/>
            <w:vAlign w:val="bottom"/>
            <w:hideMark/>
          </w:tcPr>
          <w:p w14:paraId="00DA3E81" w14:textId="77777777" w:rsidR="004C127E" w:rsidRPr="000E5786" w:rsidRDefault="004C127E" w:rsidP="006E7B8A">
            <w:pPr>
              <w:ind w:left="0" w:firstLine="0"/>
              <w:jc w:val="left"/>
              <w:rPr>
                <w:rFonts w:cs="Arial"/>
                <w:szCs w:val="20"/>
              </w:rPr>
            </w:pPr>
            <w:r w:rsidRPr="000E5786">
              <w:rPr>
                <w:rFonts w:cs="Arial"/>
                <w:szCs w:val="20"/>
              </w:rPr>
              <w:t>Digital marketing</w:t>
            </w:r>
          </w:p>
        </w:tc>
        <w:tc>
          <w:tcPr>
            <w:tcW w:w="992" w:type="dxa"/>
            <w:tcBorders>
              <w:top w:val="nil"/>
              <w:left w:val="nil"/>
              <w:bottom w:val="single" w:sz="4" w:space="0" w:color="auto"/>
              <w:right w:val="single" w:sz="4" w:space="0" w:color="auto"/>
            </w:tcBorders>
            <w:shd w:val="clear" w:color="auto" w:fill="auto"/>
            <w:noWrap/>
            <w:vAlign w:val="bottom"/>
            <w:hideMark/>
          </w:tcPr>
          <w:p w14:paraId="4F9C983B" w14:textId="77777777" w:rsidR="004C127E" w:rsidRPr="000E5786" w:rsidRDefault="004C127E" w:rsidP="00DD60F0">
            <w:pPr>
              <w:jc w:val="center"/>
              <w:rPr>
                <w:rFonts w:cs="Arial"/>
                <w:szCs w:val="20"/>
              </w:rPr>
            </w:pPr>
            <w:r w:rsidRPr="000E5786">
              <w:rPr>
                <w:rFonts w:cs="Arial"/>
                <w:szCs w:val="20"/>
              </w:rPr>
              <w:t>MKTG</w:t>
            </w:r>
          </w:p>
        </w:tc>
        <w:tc>
          <w:tcPr>
            <w:tcW w:w="567" w:type="dxa"/>
            <w:tcBorders>
              <w:top w:val="nil"/>
              <w:left w:val="nil"/>
              <w:bottom w:val="single" w:sz="4" w:space="0" w:color="auto"/>
              <w:right w:val="single" w:sz="4" w:space="0" w:color="auto"/>
            </w:tcBorders>
            <w:shd w:val="clear" w:color="000000" w:fill="FFFF00"/>
            <w:noWrap/>
            <w:vAlign w:val="bottom"/>
            <w:hideMark/>
          </w:tcPr>
          <w:p w14:paraId="4588E035" w14:textId="3998CB88"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8" w:space="0" w:color="auto"/>
            </w:tcBorders>
            <w:shd w:val="clear" w:color="000000" w:fill="FFFF00"/>
            <w:noWrap/>
            <w:vAlign w:val="bottom"/>
            <w:hideMark/>
          </w:tcPr>
          <w:p w14:paraId="2F0E2F37" w14:textId="619E6A99"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4E362247" w14:textId="156C64EC"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0DCDDAB5" w14:textId="7A687671"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2D4C0E39" w14:textId="1494BC8C"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59CA6A96" w14:textId="29120520"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4567DA14" w14:textId="335B744B"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3C260616" w14:textId="568928A7"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19C44526" w14:textId="66E96C7A"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199D7D67" w14:textId="23F36E0C"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49E08D8B" w14:textId="4CD18126"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46A2DF05" w14:textId="1C5470E3"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71528E44" w14:textId="6E7B8563"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0728C38A" w14:textId="13B90767" w:rsidR="004C127E" w:rsidRPr="000E5786" w:rsidRDefault="004C127E" w:rsidP="00DD60F0">
            <w:pPr>
              <w:rPr>
                <w:rFonts w:cs="Arial"/>
                <w:szCs w:val="20"/>
              </w:rPr>
            </w:pPr>
            <w:r w:rsidRPr="000E5786">
              <w:rPr>
                <w:rFonts w:cs="Arial"/>
                <w:szCs w:val="20"/>
              </w:rPr>
              <w:t xml:space="preserve">755 </w:t>
            </w:r>
          </w:p>
        </w:tc>
      </w:tr>
      <w:tr w:rsidR="000549F2" w:rsidRPr="000E5786" w14:paraId="36B12E34" w14:textId="77777777" w:rsidTr="006E7B8A">
        <w:trPr>
          <w:trHeight w:val="225"/>
        </w:trPr>
        <w:tc>
          <w:tcPr>
            <w:tcW w:w="710" w:type="dxa"/>
            <w:vMerge/>
            <w:tcBorders>
              <w:top w:val="nil"/>
              <w:left w:val="single" w:sz="8" w:space="0" w:color="auto"/>
              <w:bottom w:val="single" w:sz="8" w:space="0" w:color="000000"/>
              <w:right w:val="single" w:sz="8" w:space="0" w:color="auto"/>
            </w:tcBorders>
            <w:vAlign w:val="center"/>
            <w:hideMark/>
          </w:tcPr>
          <w:p w14:paraId="1C6F23B2" w14:textId="77777777" w:rsidR="004C127E" w:rsidRPr="000E5786" w:rsidRDefault="004C127E" w:rsidP="00DD60F0">
            <w:pPr>
              <w:rPr>
                <w:rFonts w:cs="Arial"/>
                <w:b/>
                <w:bCs/>
                <w:szCs w:val="20"/>
              </w:rPr>
            </w:pPr>
          </w:p>
        </w:tc>
        <w:tc>
          <w:tcPr>
            <w:tcW w:w="1559" w:type="dxa"/>
            <w:vMerge/>
            <w:tcBorders>
              <w:top w:val="nil"/>
              <w:left w:val="single" w:sz="8" w:space="0" w:color="auto"/>
              <w:bottom w:val="single" w:sz="8" w:space="0" w:color="000000"/>
              <w:right w:val="single" w:sz="4" w:space="0" w:color="auto"/>
            </w:tcBorders>
            <w:vAlign w:val="center"/>
            <w:hideMark/>
          </w:tcPr>
          <w:p w14:paraId="6EB918C9"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4DF8CEE7" w14:textId="77777777" w:rsidR="004C127E" w:rsidRPr="000E5786" w:rsidRDefault="004C127E" w:rsidP="006E7B8A">
            <w:pPr>
              <w:ind w:left="0" w:firstLine="0"/>
              <w:jc w:val="left"/>
              <w:rPr>
                <w:rFonts w:cs="Arial"/>
                <w:szCs w:val="20"/>
              </w:rPr>
            </w:pPr>
            <w:r w:rsidRPr="000E5786">
              <w:rPr>
                <w:rFonts w:cs="Arial"/>
                <w:szCs w:val="20"/>
              </w:rPr>
              <w:t>Selling</w:t>
            </w:r>
          </w:p>
        </w:tc>
        <w:tc>
          <w:tcPr>
            <w:tcW w:w="992" w:type="dxa"/>
            <w:tcBorders>
              <w:top w:val="nil"/>
              <w:left w:val="nil"/>
              <w:bottom w:val="single" w:sz="4" w:space="0" w:color="auto"/>
              <w:right w:val="single" w:sz="4" w:space="0" w:color="auto"/>
            </w:tcBorders>
            <w:shd w:val="clear" w:color="auto" w:fill="auto"/>
            <w:noWrap/>
            <w:vAlign w:val="bottom"/>
            <w:hideMark/>
          </w:tcPr>
          <w:p w14:paraId="5D2665BC" w14:textId="77777777" w:rsidR="004C127E" w:rsidRPr="000E5786" w:rsidRDefault="004C127E" w:rsidP="00DD60F0">
            <w:pPr>
              <w:jc w:val="center"/>
              <w:rPr>
                <w:rFonts w:cs="Arial"/>
                <w:szCs w:val="20"/>
              </w:rPr>
            </w:pPr>
            <w:r w:rsidRPr="000E5786">
              <w:rPr>
                <w:rFonts w:cs="Arial"/>
                <w:szCs w:val="20"/>
              </w:rPr>
              <w:t>SALE</w:t>
            </w:r>
          </w:p>
        </w:tc>
        <w:tc>
          <w:tcPr>
            <w:tcW w:w="567" w:type="dxa"/>
            <w:tcBorders>
              <w:top w:val="nil"/>
              <w:left w:val="nil"/>
              <w:bottom w:val="single" w:sz="4" w:space="0" w:color="auto"/>
              <w:right w:val="single" w:sz="4" w:space="0" w:color="auto"/>
            </w:tcBorders>
            <w:shd w:val="clear" w:color="000000" w:fill="FFFF00"/>
            <w:noWrap/>
            <w:vAlign w:val="bottom"/>
            <w:hideMark/>
          </w:tcPr>
          <w:p w14:paraId="2519B3C4" w14:textId="3C5DA534"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8" w:space="0" w:color="auto"/>
            </w:tcBorders>
            <w:shd w:val="clear" w:color="000000" w:fill="FFFF00"/>
            <w:noWrap/>
            <w:vAlign w:val="bottom"/>
            <w:hideMark/>
          </w:tcPr>
          <w:p w14:paraId="66123134" w14:textId="6F978ADD"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62F69146" w14:textId="23B72B5C"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28300E29" w14:textId="450731A0"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569C0BAB" w14:textId="4007B2B9"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3B78719E" w14:textId="026036C2"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16AB93B7" w14:textId="402151E5"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4F4E9ABD" w14:textId="594F987B"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15931489" w14:textId="5D9992CE"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4687975F" w14:textId="67A1C6CB"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5AC6FBEA" w14:textId="44545168"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1EBB2922" w14:textId="71C3DFB1"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0D25D120" w14:textId="02696C23"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7ED46EF2" w14:textId="21661E4F" w:rsidR="004C127E" w:rsidRPr="000E5786" w:rsidRDefault="004C127E" w:rsidP="00DD60F0">
            <w:pPr>
              <w:rPr>
                <w:rFonts w:cs="Arial"/>
                <w:szCs w:val="20"/>
              </w:rPr>
            </w:pPr>
            <w:r w:rsidRPr="000E5786">
              <w:rPr>
                <w:rFonts w:cs="Arial"/>
                <w:szCs w:val="20"/>
              </w:rPr>
              <w:t xml:space="preserve">755 </w:t>
            </w:r>
          </w:p>
        </w:tc>
      </w:tr>
      <w:tr w:rsidR="000549F2" w:rsidRPr="000E5786" w14:paraId="1D0A3384" w14:textId="77777777" w:rsidTr="006E7B8A">
        <w:trPr>
          <w:trHeight w:val="225"/>
        </w:trPr>
        <w:tc>
          <w:tcPr>
            <w:tcW w:w="710" w:type="dxa"/>
            <w:vMerge/>
            <w:tcBorders>
              <w:top w:val="nil"/>
              <w:left w:val="single" w:sz="8" w:space="0" w:color="auto"/>
              <w:bottom w:val="single" w:sz="8" w:space="0" w:color="000000"/>
              <w:right w:val="single" w:sz="8" w:space="0" w:color="auto"/>
            </w:tcBorders>
            <w:vAlign w:val="center"/>
            <w:hideMark/>
          </w:tcPr>
          <w:p w14:paraId="46465722" w14:textId="77777777" w:rsidR="004C127E" w:rsidRPr="000E5786" w:rsidRDefault="004C127E" w:rsidP="00DD60F0">
            <w:pPr>
              <w:rPr>
                <w:rFonts w:cs="Arial"/>
                <w:b/>
                <w:bCs/>
                <w:szCs w:val="20"/>
              </w:rPr>
            </w:pPr>
          </w:p>
        </w:tc>
        <w:tc>
          <w:tcPr>
            <w:tcW w:w="1559" w:type="dxa"/>
            <w:vMerge/>
            <w:tcBorders>
              <w:top w:val="nil"/>
              <w:left w:val="single" w:sz="8" w:space="0" w:color="auto"/>
              <w:bottom w:val="single" w:sz="8" w:space="0" w:color="000000"/>
              <w:right w:val="single" w:sz="4" w:space="0" w:color="auto"/>
            </w:tcBorders>
            <w:vAlign w:val="center"/>
            <w:hideMark/>
          </w:tcPr>
          <w:p w14:paraId="13898FD1" w14:textId="77777777" w:rsidR="004C127E" w:rsidRPr="000E5786" w:rsidRDefault="004C127E" w:rsidP="00DD60F0">
            <w:pPr>
              <w:rPr>
                <w:rFonts w:cs="Arial"/>
                <w:b/>
                <w:bCs/>
                <w:szCs w:val="20"/>
              </w:rPr>
            </w:pPr>
          </w:p>
        </w:tc>
        <w:tc>
          <w:tcPr>
            <w:tcW w:w="1559" w:type="dxa"/>
            <w:tcBorders>
              <w:top w:val="nil"/>
              <w:left w:val="nil"/>
              <w:bottom w:val="single" w:sz="4" w:space="0" w:color="auto"/>
              <w:right w:val="single" w:sz="4" w:space="0" w:color="auto"/>
            </w:tcBorders>
            <w:shd w:val="clear" w:color="auto" w:fill="auto"/>
            <w:noWrap/>
            <w:vAlign w:val="bottom"/>
            <w:hideMark/>
          </w:tcPr>
          <w:p w14:paraId="1F5EFDF3" w14:textId="77777777" w:rsidR="004C127E" w:rsidRPr="000E5786" w:rsidRDefault="004C127E" w:rsidP="006E7B8A">
            <w:pPr>
              <w:ind w:left="0" w:firstLine="0"/>
              <w:jc w:val="left"/>
              <w:rPr>
                <w:rFonts w:cs="Arial"/>
                <w:szCs w:val="20"/>
              </w:rPr>
            </w:pPr>
            <w:r w:rsidRPr="000E5786">
              <w:rPr>
                <w:rFonts w:cs="Arial"/>
                <w:szCs w:val="20"/>
              </w:rPr>
              <w:t>Sales support</w:t>
            </w:r>
          </w:p>
        </w:tc>
        <w:tc>
          <w:tcPr>
            <w:tcW w:w="992" w:type="dxa"/>
            <w:tcBorders>
              <w:top w:val="nil"/>
              <w:left w:val="nil"/>
              <w:bottom w:val="single" w:sz="4" w:space="0" w:color="auto"/>
              <w:right w:val="single" w:sz="4" w:space="0" w:color="auto"/>
            </w:tcBorders>
            <w:shd w:val="clear" w:color="auto" w:fill="auto"/>
            <w:noWrap/>
            <w:vAlign w:val="bottom"/>
            <w:hideMark/>
          </w:tcPr>
          <w:p w14:paraId="1A410F86" w14:textId="77777777" w:rsidR="004C127E" w:rsidRPr="000E5786" w:rsidRDefault="004C127E" w:rsidP="00DD60F0">
            <w:pPr>
              <w:jc w:val="center"/>
              <w:rPr>
                <w:rFonts w:cs="Arial"/>
                <w:szCs w:val="20"/>
              </w:rPr>
            </w:pPr>
            <w:r w:rsidRPr="000E5786">
              <w:rPr>
                <w:rFonts w:cs="Arial"/>
                <w:szCs w:val="20"/>
              </w:rPr>
              <w:t>SSUP</w:t>
            </w:r>
          </w:p>
        </w:tc>
        <w:tc>
          <w:tcPr>
            <w:tcW w:w="567" w:type="dxa"/>
            <w:tcBorders>
              <w:top w:val="nil"/>
              <w:left w:val="nil"/>
              <w:bottom w:val="single" w:sz="4" w:space="0" w:color="auto"/>
              <w:right w:val="single" w:sz="4" w:space="0" w:color="auto"/>
            </w:tcBorders>
            <w:shd w:val="clear" w:color="000000" w:fill="FFFF00"/>
            <w:noWrap/>
            <w:vAlign w:val="bottom"/>
            <w:hideMark/>
          </w:tcPr>
          <w:p w14:paraId="4CFD3CA7" w14:textId="65A57AE4"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4" w:space="0" w:color="auto"/>
              <w:right w:val="single" w:sz="8" w:space="0" w:color="auto"/>
            </w:tcBorders>
            <w:shd w:val="clear" w:color="000000" w:fill="FFFF00"/>
            <w:noWrap/>
            <w:vAlign w:val="bottom"/>
            <w:hideMark/>
          </w:tcPr>
          <w:p w14:paraId="2A0CBC9E" w14:textId="18686488"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4" w:space="0" w:color="auto"/>
              <w:right w:val="single" w:sz="4" w:space="0" w:color="auto"/>
            </w:tcBorders>
            <w:shd w:val="clear" w:color="000000" w:fill="FFFF00"/>
            <w:noWrap/>
            <w:vAlign w:val="bottom"/>
            <w:hideMark/>
          </w:tcPr>
          <w:p w14:paraId="45ACCD18" w14:textId="77E577DD"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4" w:space="0" w:color="auto"/>
              <w:right w:val="single" w:sz="8" w:space="0" w:color="auto"/>
            </w:tcBorders>
            <w:shd w:val="clear" w:color="000000" w:fill="FFFF00"/>
            <w:noWrap/>
            <w:vAlign w:val="bottom"/>
            <w:hideMark/>
          </w:tcPr>
          <w:p w14:paraId="1144E771" w14:textId="39345DE9"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4" w:space="0" w:color="auto"/>
              <w:right w:val="single" w:sz="4" w:space="0" w:color="auto"/>
            </w:tcBorders>
            <w:shd w:val="clear" w:color="000000" w:fill="FFFF00"/>
            <w:noWrap/>
            <w:vAlign w:val="bottom"/>
            <w:hideMark/>
          </w:tcPr>
          <w:p w14:paraId="1B6F85BD" w14:textId="29037A9A"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4" w:space="0" w:color="auto"/>
              <w:right w:val="single" w:sz="8" w:space="0" w:color="auto"/>
            </w:tcBorders>
            <w:shd w:val="clear" w:color="000000" w:fill="FFFF00"/>
            <w:noWrap/>
            <w:vAlign w:val="bottom"/>
            <w:hideMark/>
          </w:tcPr>
          <w:p w14:paraId="206A532B" w14:textId="05834050"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4" w:space="0" w:color="auto"/>
              <w:right w:val="single" w:sz="4" w:space="0" w:color="auto"/>
            </w:tcBorders>
            <w:shd w:val="clear" w:color="000000" w:fill="FFFF00"/>
            <w:noWrap/>
            <w:vAlign w:val="bottom"/>
            <w:hideMark/>
          </w:tcPr>
          <w:p w14:paraId="2A05523E" w14:textId="1746F2CA"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4" w:space="0" w:color="auto"/>
              <w:right w:val="single" w:sz="8" w:space="0" w:color="auto"/>
            </w:tcBorders>
            <w:shd w:val="clear" w:color="000000" w:fill="FFFF00"/>
            <w:noWrap/>
            <w:vAlign w:val="bottom"/>
            <w:hideMark/>
          </w:tcPr>
          <w:p w14:paraId="2930E227" w14:textId="17DCEBED"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4" w:space="0" w:color="auto"/>
              <w:right w:val="single" w:sz="4" w:space="0" w:color="auto"/>
            </w:tcBorders>
            <w:shd w:val="clear" w:color="000000" w:fill="FFFF00"/>
            <w:noWrap/>
            <w:vAlign w:val="bottom"/>
            <w:hideMark/>
          </w:tcPr>
          <w:p w14:paraId="5360AC89" w14:textId="1153B3F3"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4" w:space="0" w:color="auto"/>
              <w:right w:val="single" w:sz="8" w:space="0" w:color="auto"/>
            </w:tcBorders>
            <w:shd w:val="clear" w:color="000000" w:fill="FFFF00"/>
            <w:noWrap/>
            <w:vAlign w:val="bottom"/>
            <w:hideMark/>
          </w:tcPr>
          <w:p w14:paraId="3EC7F0B7" w14:textId="532B2461"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4" w:space="0" w:color="auto"/>
              <w:right w:val="single" w:sz="4" w:space="0" w:color="auto"/>
            </w:tcBorders>
            <w:shd w:val="clear" w:color="000000" w:fill="FFFF00"/>
            <w:noWrap/>
            <w:vAlign w:val="bottom"/>
            <w:hideMark/>
          </w:tcPr>
          <w:p w14:paraId="176A7A5E" w14:textId="391F726F"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4" w:space="0" w:color="auto"/>
              <w:right w:val="single" w:sz="8" w:space="0" w:color="auto"/>
            </w:tcBorders>
            <w:shd w:val="clear" w:color="000000" w:fill="FFFF00"/>
            <w:noWrap/>
            <w:vAlign w:val="bottom"/>
            <w:hideMark/>
          </w:tcPr>
          <w:p w14:paraId="6AE5327A" w14:textId="0675D3F6"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4" w:space="0" w:color="auto"/>
              <w:right w:val="single" w:sz="4" w:space="0" w:color="auto"/>
            </w:tcBorders>
            <w:shd w:val="clear" w:color="000000" w:fill="FFFF00"/>
            <w:noWrap/>
            <w:vAlign w:val="bottom"/>
            <w:hideMark/>
          </w:tcPr>
          <w:p w14:paraId="75CE5359" w14:textId="71512A5A"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4" w:space="0" w:color="auto"/>
              <w:right w:val="single" w:sz="8" w:space="0" w:color="auto"/>
            </w:tcBorders>
            <w:shd w:val="clear" w:color="000000" w:fill="FFFF00"/>
            <w:noWrap/>
            <w:vAlign w:val="bottom"/>
            <w:hideMark/>
          </w:tcPr>
          <w:p w14:paraId="0760863B" w14:textId="51D2C26B" w:rsidR="004C127E" w:rsidRPr="000E5786" w:rsidRDefault="004C127E" w:rsidP="00DD60F0">
            <w:pPr>
              <w:rPr>
                <w:rFonts w:cs="Arial"/>
                <w:szCs w:val="20"/>
              </w:rPr>
            </w:pPr>
            <w:r w:rsidRPr="000E5786">
              <w:rPr>
                <w:rFonts w:cs="Arial"/>
                <w:szCs w:val="20"/>
              </w:rPr>
              <w:t xml:space="preserve">755 </w:t>
            </w:r>
          </w:p>
        </w:tc>
      </w:tr>
      <w:tr w:rsidR="000549F2" w:rsidRPr="000E5786" w14:paraId="19A6BCE5" w14:textId="77777777" w:rsidTr="006E7B8A">
        <w:trPr>
          <w:trHeight w:val="225"/>
        </w:trPr>
        <w:tc>
          <w:tcPr>
            <w:tcW w:w="710" w:type="dxa"/>
            <w:vMerge/>
            <w:tcBorders>
              <w:top w:val="nil"/>
              <w:left w:val="single" w:sz="8" w:space="0" w:color="auto"/>
              <w:bottom w:val="single" w:sz="8" w:space="0" w:color="000000"/>
              <w:right w:val="single" w:sz="8" w:space="0" w:color="auto"/>
            </w:tcBorders>
            <w:vAlign w:val="center"/>
            <w:hideMark/>
          </w:tcPr>
          <w:p w14:paraId="2B671DA1" w14:textId="77777777" w:rsidR="004C127E" w:rsidRPr="000E5786" w:rsidRDefault="004C127E" w:rsidP="00DD60F0">
            <w:pPr>
              <w:rPr>
                <w:rFonts w:cs="Arial"/>
                <w:b/>
                <w:bCs/>
                <w:szCs w:val="20"/>
              </w:rPr>
            </w:pPr>
          </w:p>
        </w:tc>
        <w:tc>
          <w:tcPr>
            <w:tcW w:w="1559" w:type="dxa"/>
            <w:vMerge/>
            <w:tcBorders>
              <w:top w:val="nil"/>
              <w:left w:val="single" w:sz="8" w:space="0" w:color="auto"/>
              <w:bottom w:val="single" w:sz="8" w:space="0" w:color="000000"/>
              <w:right w:val="single" w:sz="4" w:space="0" w:color="auto"/>
            </w:tcBorders>
            <w:vAlign w:val="center"/>
            <w:hideMark/>
          </w:tcPr>
          <w:p w14:paraId="2DE878B0" w14:textId="77777777" w:rsidR="004C127E" w:rsidRPr="000E5786" w:rsidRDefault="004C127E" w:rsidP="00DD60F0">
            <w:pPr>
              <w:rPr>
                <w:rFonts w:cs="Arial"/>
                <w:b/>
                <w:bCs/>
                <w:szCs w:val="20"/>
              </w:rPr>
            </w:pPr>
          </w:p>
        </w:tc>
        <w:tc>
          <w:tcPr>
            <w:tcW w:w="1559" w:type="dxa"/>
            <w:tcBorders>
              <w:top w:val="nil"/>
              <w:left w:val="nil"/>
              <w:bottom w:val="single" w:sz="8" w:space="0" w:color="auto"/>
              <w:right w:val="single" w:sz="4" w:space="0" w:color="auto"/>
            </w:tcBorders>
            <w:shd w:val="clear" w:color="auto" w:fill="auto"/>
            <w:noWrap/>
            <w:vAlign w:val="bottom"/>
            <w:hideMark/>
          </w:tcPr>
          <w:p w14:paraId="4A6AD18D" w14:textId="77777777" w:rsidR="004C127E" w:rsidRPr="000E5786" w:rsidRDefault="004C127E" w:rsidP="006E7B8A">
            <w:pPr>
              <w:ind w:left="0" w:firstLine="0"/>
              <w:jc w:val="left"/>
              <w:rPr>
                <w:rFonts w:cs="Arial"/>
                <w:szCs w:val="20"/>
              </w:rPr>
            </w:pPr>
            <w:r w:rsidRPr="000E5786">
              <w:rPr>
                <w:rFonts w:cs="Arial"/>
                <w:szCs w:val="20"/>
              </w:rPr>
              <w:t>Product management</w:t>
            </w:r>
          </w:p>
        </w:tc>
        <w:tc>
          <w:tcPr>
            <w:tcW w:w="992" w:type="dxa"/>
            <w:tcBorders>
              <w:top w:val="nil"/>
              <w:left w:val="nil"/>
              <w:bottom w:val="single" w:sz="8" w:space="0" w:color="auto"/>
              <w:right w:val="single" w:sz="4" w:space="0" w:color="auto"/>
            </w:tcBorders>
            <w:shd w:val="clear" w:color="auto" w:fill="auto"/>
            <w:noWrap/>
            <w:vAlign w:val="bottom"/>
            <w:hideMark/>
          </w:tcPr>
          <w:p w14:paraId="7EF5F159" w14:textId="77777777" w:rsidR="004C127E" w:rsidRPr="000E5786" w:rsidRDefault="004C127E" w:rsidP="00DD60F0">
            <w:pPr>
              <w:jc w:val="center"/>
              <w:rPr>
                <w:rFonts w:cs="Arial"/>
                <w:szCs w:val="20"/>
              </w:rPr>
            </w:pPr>
            <w:r w:rsidRPr="000E5786">
              <w:rPr>
                <w:rFonts w:cs="Arial"/>
                <w:szCs w:val="20"/>
              </w:rPr>
              <w:t>PROD</w:t>
            </w:r>
          </w:p>
        </w:tc>
        <w:tc>
          <w:tcPr>
            <w:tcW w:w="567" w:type="dxa"/>
            <w:tcBorders>
              <w:top w:val="nil"/>
              <w:left w:val="nil"/>
              <w:bottom w:val="single" w:sz="8" w:space="0" w:color="auto"/>
              <w:right w:val="single" w:sz="4" w:space="0" w:color="auto"/>
            </w:tcBorders>
            <w:shd w:val="clear" w:color="000000" w:fill="FFFF00"/>
            <w:noWrap/>
            <w:vAlign w:val="bottom"/>
            <w:hideMark/>
          </w:tcPr>
          <w:p w14:paraId="3C38EF73" w14:textId="1D79694D" w:rsidR="004C127E" w:rsidRPr="000E5786" w:rsidRDefault="004C127E" w:rsidP="00DD60F0">
            <w:pPr>
              <w:rPr>
                <w:rFonts w:cs="Arial"/>
                <w:szCs w:val="20"/>
              </w:rPr>
            </w:pPr>
            <w:r w:rsidRPr="000E5786">
              <w:rPr>
                <w:rFonts w:cs="Arial"/>
                <w:szCs w:val="20"/>
              </w:rPr>
              <w:t xml:space="preserve">495 </w:t>
            </w:r>
          </w:p>
        </w:tc>
        <w:tc>
          <w:tcPr>
            <w:tcW w:w="708" w:type="dxa"/>
            <w:tcBorders>
              <w:top w:val="nil"/>
              <w:left w:val="nil"/>
              <w:bottom w:val="single" w:sz="8" w:space="0" w:color="auto"/>
              <w:right w:val="single" w:sz="8" w:space="0" w:color="auto"/>
            </w:tcBorders>
            <w:shd w:val="clear" w:color="000000" w:fill="FFFF00"/>
            <w:noWrap/>
            <w:vAlign w:val="bottom"/>
            <w:hideMark/>
          </w:tcPr>
          <w:p w14:paraId="6F46DC07" w14:textId="55C96E10" w:rsidR="004C127E" w:rsidRPr="000E5786" w:rsidRDefault="004C127E" w:rsidP="00DD60F0">
            <w:pPr>
              <w:rPr>
                <w:rFonts w:cs="Arial"/>
                <w:szCs w:val="20"/>
              </w:rPr>
            </w:pPr>
            <w:r w:rsidRPr="000E5786">
              <w:rPr>
                <w:rFonts w:cs="Arial"/>
                <w:szCs w:val="20"/>
              </w:rPr>
              <w:t xml:space="preserve">91 </w:t>
            </w:r>
          </w:p>
        </w:tc>
        <w:tc>
          <w:tcPr>
            <w:tcW w:w="567" w:type="dxa"/>
            <w:tcBorders>
              <w:top w:val="nil"/>
              <w:left w:val="nil"/>
              <w:bottom w:val="single" w:sz="8" w:space="0" w:color="auto"/>
              <w:right w:val="single" w:sz="4" w:space="0" w:color="auto"/>
            </w:tcBorders>
            <w:shd w:val="clear" w:color="000000" w:fill="FFFF00"/>
            <w:noWrap/>
            <w:vAlign w:val="bottom"/>
            <w:hideMark/>
          </w:tcPr>
          <w:p w14:paraId="0C73DCCD" w14:textId="2B903368" w:rsidR="004C127E" w:rsidRPr="000E5786" w:rsidRDefault="004C127E" w:rsidP="00DD60F0">
            <w:pPr>
              <w:rPr>
                <w:rFonts w:cs="Arial"/>
                <w:szCs w:val="20"/>
              </w:rPr>
            </w:pPr>
            <w:r w:rsidRPr="000E5786">
              <w:rPr>
                <w:rFonts w:cs="Arial"/>
                <w:szCs w:val="20"/>
              </w:rPr>
              <w:t xml:space="preserve">795 </w:t>
            </w:r>
          </w:p>
        </w:tc>
        <w:tc>
          <w:tcPr>
            <w:tcW w:w="709" w:type="dxa"/>
            <w:tcBorders>
              <w:top w:val="nil"/>
              <w:left w:val="nil"/>
              <w:bottom w:val="single" w:sz="8" w:space="0" w:color="auto"/>
              <w:right w:val="single" w:sz="8" w:space="0" w:color="auto"/>
            </w:tcBorders>
            <w:shd w:val="clear" w:color="000000" w:fill="FFFF00"/>
            <w:noWrap/>
            <w:vAlign w:val="bottom"/>
            <w:hideMark/>
          </w:tcPr>
          <w:p w14:paraId="53EA5972" w14:textId="5610DD38" w:rsidR="004C127E" w:rsidRPr="000E5786" w:rsidRDefault="004C127E" w:rsidP="00DD60F0">
            <w:pPr>
              <w:rPr>
                <w:rFonts w:cs="Arial"/>
                <w:szCs w:val="20"/>
              </w:rPr>
            </w:pPr>
            <w:r w:rsidRPr="000E5786">
              <w:rPr>
                <w:rFonts w:cs="Arial"/>
                <w:szCs w:val="20"/>
              </w:rPr>
              <w:t xml:space="preserve">155 </w:t>
            </w:r>
          </w:p>
        </w:tc>
        <w:tc>
          <w:tcPr>
            <w:tcW w:w="567" w:type="dxa"/>
            <w:tcBorders>
              <w:top w:val="nil"/>
              <w:left w:val="nil"/>
              <w:bottom w:val="single" w:sz="8" w:space="0" w:color="auto"/>
              <w:right w:val="single" w:sz="4" w:space="0" w:color="auto"/>
            </w:tcBorders>
            <w:shd w:val="clear" w:color="000000" w:fill="FFFF00"/>
            <w:noWrap/>
            <w:vAlign w:val="bottom"/>
            <w:hideMark/>
          </w:tcPr>
          <w:p w14:paraId="6076545C" w14:textId="60038F46" w:rsidR="004C127E" w:rsidRPr="000E5786" w:rsidRDefault="004C127E" w:rsidP="00DD60F0">
            <w:pPr>
              <w:rPr>
                <w:rFonts w:cs="Arial"/>
                <w:szCs w:val="20"/>
              </w:rPr>
            </w:pPr>
            <w:r w:rsidRPr="000E5786">
              <w:rPr>
                <w:rFonts w:cs="Arial"/>
                <w:szCs w:val="20"/>
              </w:rPr>
              <w:t xml:space="preserve">995 </w:t>
            </w:r>
          </w:p>
        </w:tc>
        <w:tc>
          <w:tcPr>
            <w:tcW w:w="709" w:type="dxa"/>
            <w:tcBorders>
              <w:top w:val="nil"/>
              <w:left w:val="nil"/>
              <w:bottom w:val="single" w:sz="8" w:space="0" w:color="auto"/>
              <w:right w:val="single" w:sz="8" w:space="0" w:color="auto"/>
            </w:tcBorders>
            <w:shd w:val="clear" w:color="000000" w:fill="FFFF00"/>
            <w:noWrap/>
            <w:vAlign w:val="bottom"/>
            <w:hideMark/>
          </w:tcPr>
          <w:p w14:paraId="368F477B" w14:textId="039C59C8" w:rsidR="004C127E" w:rsidRPr="000E5786" w:rsidRDefault="004C127E" w:rsidP="00DD60F0">
            <w:pPr>
              <w:rPr>
                <w:rFonts w:cs="Arial"/>
                <w:szCs w:val="20"/>
              </w:rPr>
            </w:pPr>
            <w:r w:rsidRPr="000E5786">
              <w:rPr>
                <w:rFonts w:cs="Arial"/>
                <w:szCs w:val="20"/>
              </w:rPr>
              <w:t xml:space="preserve">226 </w:t>
            </w:r>
          </w:p>
        </w:tc>
        <w:tc>
          <w:tcPr>
            <w:tcW w:w="850" w:type="dxa"/>
            <w:tcBorders>
              <w:top w:val="nil"/>
              <w:left w:val="nil"/>
              <w:bottom w:val="single" w:sz="8" w:space="0" w:color="auto"/>
              <w:right w:val="single" w:sz="4" w:space="0" w:color="auto"/>
            </w:tcBorders>
            <w:shd w:val="clear" w:color="000000" w:fill="FFFF00"/>
            <w:noWrap/>
            <w:vAlign w:val="bottom"/>
            <w:hideMark/>
          </w:tcPr>
          <w:p w14:paraId="31B60F67" w14:textId="202D0FF8" w:rsidR="004C127E" w:rsidRPr="000E5786" w:rsidRDefault="004C127E" w:rsidP="00DD60F0">
            <w:pPr>
              <w:rPr>
                <w:rFonts w:cs="Arial"/>
                <w:szCs w:val="20"/>
              </w:rPr>
            </w:pPr>
            <w:r w:rsidRPr="000E5786">
              <w:rPr>
                <w:rFonts w:cs="Arial"/>
                <w:szCs w:val="20"/>
              </w:rPr>
              <w:t xml:space="preserve">1,195 </w:t>
            </w:r>
          </w:p>
        </w:tc>
        <w:tc>
          <w:tcPr>
            <w:tcW w:w="709" w:type="dxa"/>
            <w:tcBorders>
              <w:top w:val="nil"/>
              <w:left w:val="nil"/>
              <w:bottom w:val="single" w:sz="8" w:space="0" w:color="auto"/>
              <w:right w:val="single" w:sz="8" w:space="0" w:color="auto"/>
            </w:tcBorders>
            <w:shd w:val="clear" w:color="000000" w:fill="FFFF00"/>
            <w:noWrap/>
            <w:vAlign w:val="bottom"/>
            <w:hideMark/>
          </w:tcPr>
          <w:p w14:paraId="3079B477" w14:textId="7BCA6D6A" w:rsidR="004C127E" w:rsidRPr="000E5786" w:rsidRDefault="004C127E" w:rsidP="00DD60F0">
            <w:pPr>
              <w:rPr>
                <w:rFonts w:cs="Arial"/>
                <w:szCs w:val="20"/>
              </w:rPr>
            </w:pPr>
            <w:r w:rsidRPr="000E5786">
              <w:rPr>
                <w:rFonts w:cs="Arial"/>
                <w:szCs w:val="20"/>
              </w:rPr>
              <w:t xml:space="preserve">321 </w:t>
            </w:r>
          </w:p>
        </w:tc>
        <w:tc>
          <w:tcPr>
            <w:tcW w:w="851" w:type="dxa"/>
            <w:tcBorders>
              <w:top w:val="nil"/>
              <w:left w:val="nil"/>
              <w:bottom w:val="single" w:sz="8" w:space="0" w:color="auto"/>
              <w:right w:val="single" w:sz="4" w:space="0" w:color="auto"/>
            </w:tcBorders>
            <w:shd w:val="clear" w:color="000000" w:fill="FFFF00"/>
            <w:noWrap/>
            <w:vAlign w:val="bottom"/>
            <w:hideMark/>
          </w:tcPr>
          <w:p w14:paraId="480D0F19" w14:textId="1FD470EC" w:rsidR="004C127E" w:rsidRPr="000E5786" w:rsidRDefault="004C127E" w:rsidP="00DD60F0">
            <w:pPr>
              <w:rPr>
                <w:rFonts w:cs="Arial"/>
                <w:szCs w:val="20"/>
              </w:rPr>
            </w:pPr>
            <w:r w:rsidRPr="000E5786">
              <w:rPr>
                <w:rFonts w:cs="Arial"/>
                <w:szCs w:val="20"/>
              </w:rPr>
              <w:t xml:space="preserve">1,495 </w:t>
            </w:r>
          </w:p>
        </w:tc>
        <w:tc>
          <w:tcPr>
            <w:tcW w:w="708" w:type="dxa"/>
            <w:tcBorders>
              <w:top w:val="nil"/>
              <w:left w:val="nil"/>
              <w:bottom w:val="single" w:sz="8" w:space="0" w:color="auto"/>
              <w:right w:val="single" w:sz="8" w:space="0" w:color="auto"/>
            </w:tcBorders>
            <w:shd w:val="clear" w:color="000000" w:fill="FFFF00"/>
            <w:noWrap/>
            <w:vAlign w:val="bottom"/>
            <w:hideMark/>
          </w:tcPr>
          <w:p w14:paraId="38091211" w14:textId="33FCD97D" w:rsidR="004C127E" w:rsidRPr="000E5786" w:rsidRDefault="004C127E" w:rsidP="00DD60F0">
            <w:pPr>
              <w:rPr>
                <w:rFonts w:cs="Arial"/>
                <w:szCs w:val="20"/>
              </w:rPr>
            </w:pPr>
            <w:r w:rsidRPr="000E5786">
              <w:rPr>
                <w:rFonts w:cs="Arial"/>
                <w:szCs w:val="20"/>
              </w:rPr>
              <w:t xml:space="preserve">414 </w:t>
            </w:r>
          </w:p>
        </w:tc>
        <w:tc>
          <w:tcPr>
            <w:tcW w:w="851" w:type="dxa"/>
            <w:tcBorders>
              <w:top w:val="nil"/>
              <w:left w:val="nil"/>
              <w:bottom w:val="single" w:sz="8" w:space="0" w:color="auto"/>
              <w:right w:val="single" w:sz="4" w:space="0" w:color="auto"/>
            </w:tcBorders>
            <w:shd w:val="clear" w:color="000000" w:fill="FFFF00"/>
            <w:noWrap/>
            <w:vAlign w:val="bottom"/>
            <w:hideMark/>
          </w:tcPr>
          <w:p w14:paraId="4F06E3CD" w14:textId="06305C64" w:rsidR="004C127E" w:rsidRPr="000E5786" w:rsidRDefault="004C127E" w:rsidP="00DD60F0">
            <w:pPr>
              <w:rPr>
                <w:rFonts w:cs="Arial"/>
                <w:szCs w:val="20"/>
              </w:rPr>
            </w:pPr>
            <w:r w:rsidRPr="000E5786">
              <w:rPr>
                <w:rFonts w:cs="Arial"/>
                <w:szCs w:val="20"/>
              </w:rPr>
              <w:t xml:space="preserve">1,699 </w:t>
            </w:r>
          </w:p>
        </w:tc>
        <w:tc>
          <w:tcPr>
            <w:tcW w:w="709" w:type="dxa"/>
            <w:tcBorders>
              <w:top w:val="nil"/>
              <w:left w:val="nil"/>
              <w:bottom w:val="single" w:sz="8" w:space="0" w:color="auto"/>
              <w:right w:val="single" w:sz="8" w:space="0" w:color="auto"/>
            </w:tcBorders>
            <w:shd w:val="clear" w:color="000000" w:fill="FFFF00"/>
            <w:noWrap/>
            <w:vAlign w:val="bottom"/>
            <w:hideMark/>
          </w:tcPr>
          <w:p w14:paraId="565E1034" w14:textId="085522DA" w:rsidR="004C127E" w:rsidRPr="000E5786" w:rsidRDefault="004C127E" w:rsidP="00DD60F0">
            <w:pPr>
              <w:rPr>
                <w:rFonts w:cs="Arial"/>
                <w:szCs w:val="20"/>
              </w:rPr>
            </w:pPr>
            <w:r w:rsidRPr="000E5786">
              <w:rPr>
                <w:rFonts w:cs="Arial"/>
                <w:szCs w:val="20"/>
              </w:rPr>
              <w:t xml:space="preserve">600 </w:t>
            </w:r>
          </w:p>
        </w:tc>
        <w:tc>
          <w:tcPr>
            <w:tcW w:w="850" w:type="dxa"/>
            <w:tcBorders>
              <w:top w:val="nil"/>
              <w:left w:val="nil"/>
              <w:bottom w:val="single" w:sz="8" w:space="0" w:color="auto"/>
              <w:right w:val="single" w:sz="4" w:space="0" w:color="auto"/>
            </w:tcBorders>
            <w:shd w:val="clear" w:color="000000" w:fill="FFFF00"/>
            <w:noWrap/>
            <w:vAlign w:val="bottom"/>
            <w:hideMark/>
          </w:tcPr>
          <w:p w14:paraId="71A087D5" w14:textId="4526B35A" w:rsidR="004C127E" w:rsidRPr="000E5786" w:rsidRDefault="004C127E" w:rsidP="00DD60F0">
            <w:pPr>
              <w:rPr>
                <w:rFonts w:cs="Arial"/>
                <w:szCs w:val="20"/>
              </w:rPr>
            </w:pPr>
            <w:r w:rsidRPr="000E5786">
              <w:rPr>
                <w:rFonts w:cs="Arial"/>
                <w:szCs w:val="20"/>
              </w:rPr>
              <w:t xml:space="preserve">1,995 </w:t>
            </w:r>
          </w:p>
        </w:tc>
        <w:tc>
          <w:tcPr>
            <w:tcW w:w="709" w:type="dxa"/>
            <w:tcBorders>
              <w:top w:val="nil"/>
              <w:left w:val="nil"/>
              <w:bottom w:val="single" w:sz="8" w:space="0" w:color="auto"/>
              <w:right w:val="single" w:sz="8" w:space="0" w:color="auto"/>
            </w:tcBorders>
            <w:shd w:val="clear" w:color="000000" w:fill="FFFF00"/>
            <w:noWrap/>
            <w:vAlign w:val="bottom"/>
            <w:hideMark/>
          </w:tcPr>
          <w:p w14:paraId="3687FAA1" w14:textId="78BB5956" w:rsidR="004C127E" w:rsidRPr="000E5786" w:rsidRDefault="004C127E" w:rsidP="00DD60F0">
            <w:pPr>
              <w:rPr>
                <w:rFonts w:cs="Arial"/>
                <w:szCs w:val="20"/>
              </w:rPr>
            </w:pPr>
            <w:r w:rsidRPr="000E5786">
              <w:rPr>
                <w:rFonts w:cs="Arial"/>
                <w:szCs w:val="20"/>
              </w:rPr>
              <w:t xml:space="preserve">755 </w:t>
            </w:r>
          </w:p>
        </w:tc>
      </w:tr>
    </w:tbl>
    <w:p w14:paraId="2CA95ED5" w14:textId="77777777" w:rsidR="004C127E" w:rsidRPr="000E5786" w:rsidRDefault="004C127E" w:rsidP="00DD60F0">
      <w:pPr>
        <w:rPr>
          <w:rFonts w:cs="Arial"/>
          <w:bCs/>
          <w:szCs w:val="20"/>
        </w:rPr>
      </w:pPr>
    </w:p>
    <w:p w14:paraId="4C4D8995" w14:textId="77777777" w:rsidR="00A962C1" w:rsidRDefault="008473E5" w:rsidP="00DD60F0">
      <w:pPr>
        <w:rPr>
          <w:rFonts w:cs="Arial"/>
          <w:bCs/>
          <w:szCs w:val="20"/>
        </w:rPr>
        <w:sectPr w:rsidR="00A962C1" w:rsidSect="00DF5C20">
          <w:headerReference w:type="even" r:id="rId58"/>
          <w:headerReference w:type="default" r:id="rId59"/>
          <w:footerReference w:type="even" r:id="rId60"/>
          <w:footerReference w:type="default" r:id="rId61"/>
          <w:headerReference w:type="first" r:id="rId62"/>
          <w:footerReference w:type="first" r:id="rId63"/>
          <w:pgSz w:w="16840" w:h="11907" w:orient="landscape" w:code="9"/>
          <w:pgMar w:top="1418" w:right="1418" w:bottom="1418" w:left="1134" w:header="709" w:footer="709" w:gutter="0"/>
          <w:cols w:space="708"/>
          <w:titlePg/>
          <w:docGrid w:linePitch="360"/>
        </w:sectPr>
      </w:pPr>
      <w:r w:rsidRPr="000E5786">
        <w:rPr>
          <w:rFonts w:cs="Arial"/>
          <w:bCs/>
          <w:szCs w:val="20"/>
        </w:rPr>
        <w:br w:type="page"/>
      </w:r>
    </w:p>
    <w:p w14:paraId="095EB221" w14:textId="7E048725" w:rsidR="009560EA" w:rsidRPr="000E5786" w:rsidRDefault="004C127E" w:rsidP="00DD60F0">
      <w:pPr>
        <w:jc w:val="center"/>
        <w:rPr>
          <w:rFonts w:cs="Arial"/>
          <w:b/>
          <w:szCs w:val="20"/>
        </w:rPr>
      </w:pPr>
      <w:r w:rsidRPr="000E5786">
        <w:rPr>
          <w:rFonts w:cs="Arial"/>
          <w:b/>
          <w:szCs w:val="20"/>
        </w:rPr>
        <w:lastRenderedPageBreak/>
        <w:t xml:space="preserve">ANNEX </w:t>
      </w:r>
      <w:r w:rsidR="00A962C1">
        <w:rPr>
          <w:rFonts w:cs="Arial"/>
          <w:b/>
          <w:szCs w:val="20"/>
        </w:rPr>
        <w:t>7.4</w:t>
      </w:r>
      <w:r w:rsidRPr="000E5786">
        <w:rPr>
          <w:rFonts w:cs="Arial"/>
          <w:b/>
          <w:szCs w:val="20"/>
        </w:rPr>
        <w:t xml:space="preserve">D </w:t>
      </w:r>
    </w:p>
    <w:p w14:paraId="2B13D9D6" w14:textId="789588FB" w:rsidR="004C127E" w:rsidRPr="009A0E18" w:rsidRDefault="009A0E18" w:rsidP="00DD60F0">
      <w:pPr>
        <w:jc w:val="center"/>
        <w:rPr>
          <w:rFonts w:cs="Arial"/>
          <w:b/>
          <w:szCs w:val="20"/>
        </w:rPr>
      </w:pPr>
      <w:r w:rsidRPr="009A0E18">
        <w:rPr>
          <w:rFonts w:cs="Arial"/>
          <w:b/>
          <w:szCs w:val="20"/>
        </w:rPr>
        <w:t>COMMERCIAL MODEL</w:t>
      </w:r>
      <w:r w:rsidR="00163F08">
        <w:rPr>
          <w:rFonts w:cs="Arial"/>
          <w:b/>
          <w:szCs w:val="20"/>
        </w:rPr>
        <w:t xml:space="preserve"> – BASE OVERHEAD CHARGE</w:t>
      </w:r>
    </w:p>
    <w:tbl>
      <w:tblPr>
        <w:tblStyle w:val="TableGrid0"/>
        <w:tblW w:w="15452" w:type="dxa"/>
        <w:tblInd w:w="-431" w:type="dxa"/>
        <w:tblLayout w:type="fixed"/>
        <w:tblLook w:val="04A0" w:firstRow="1" w:lastRow="0" w:firstColumn="1" w:lastColumn="0" w:noHBand="0" w:noVBand="1"/>
      </w:tblPr>
      <w:tblGrid>
        <w:gridCol w:w="1702"/>
        <w:gridCol w:w="851"/>
        <w:gridCol w:w="850"/>
        <w:gridCol w:w="851"/>
        <w:gridCol w:w="850"/>
        <w:gridCol w:w="851"/>
        <w:gridCol w:w="885"/>
        <w:gridCol w:w="966"/>
        <w:gridCol w:w="966"/>
        <w:gridCol w:w="966"/>
        <w:gridCol w:w="966"/>
        <w:gridCol w:w="966"/>
        <w:gridCol w:w="966"/>
        <w:gridCol w:w="2816"/>
      </w:tblGrid>
      <w:tr w:rsidR="009D5D75" w:rsidRPr="009D5D75" w14:paraId="671D6984" w14:textId="77777777" w:rsidTr="007A24E8">
        <w:tc>
          <w:tcPr>
            <w:tcW w:w="15452" w:type="dxa"/>
            <w:gridSpan w:val="14"/>
            <w:shd w:val="clear" w:color="auto" w:fill="D9D9D9" w:themeFill="background1" w:themeFillShade="D9"/>
          </w:tcPr>
          <w:p w14:paraId="3ECA048D" w14:textId="7EDC8666" w:rsidR="009D5D75" w:rsidRPr="009D5D75" w:rsidRDefault="009D5D75" w:rsidP="00A962C1">
            <w:pPr>
              <w:ind w:left="0" w:firstLine="0"/>
              <w:jc w:val="center"/>
              <w:rPr>
                <w:rFonts w:ascii="Arial" w:hAnsi="Arial" w:cs="Arial"/>
                <w:b/>
                <w:sz w:val="20"/>
                <w:szCs w:val="20"/>
              </w:rPr>
            </w:pPr>
            <w:r w:rsidRPr="009D5D75">
              <w:rPr>
                <w:rFonts w:ascii="Arial" w:hAnsi="Arial" w:cs="Arial"/>
                <w:b/>
                <w:sz w:val="20"/>
                <w:szCs w:val="20"/>
              </w:rPr>
              <w:t>Contract Year 1</w:t>
            </w:r>
          </w:p>
        </w:tc>
      </w:tr>
      <w:tr w:rsidR="007A24E8" w:rsidRPr="009D5D75" w14:paraId="42C2BA17" w14:textId="77777777" w:rsidTr="007A24E8">
        <w:trPr>
          <w:trHeight w:val="226"/>
        </w:trPr>
        <w:tc>
          <w:tcPr>
            <w:tcW w:w="1702" w:type="dxa"/>
          </w:tcPr>
          <w:p w14:paraId="6E65D40D" w14:textId="154CB800" w:rsidR="007A24E8" w:rsidRPr="009D5D75" w:rsidRDefault="007A24E8" w:rsidP="007A24E8">
            <w:pPr>
              <w:ind w:left="0" w:firstLine="0"/>
              <w:jc w:val="center"/>
              <w:rPr>
                <w:rFonts w:ascii="Arial" w:hAnsi="Arial" w:cs="Arial"/>
                <w:b/>
                <w:sz w:val="20"/>
                <w:szCs w:val="20"/>
              </w:rPr>
            </w:pPr>
            <w:r w:rsidRPr="009D5D75">
              <w:rPr>
                <w:rFonts w:ascii="Arial" w:hAnsi="Arial" w:cs="Arial"/>
                <w:b/>
                <w:sz w:val="20"/>
                <w:szCs w:val="20"/>
              </w:rPr>
              <w:t>Contract Month</w:t>
            </w:r>
          </w:p>
        </w:tc>
        <w:tc>
          <w:tcPr>
            <w:tcW w:w="851" w:type="dxa"/>
          </w:tcPr>
          <w:p w14:paraId="5384F487" w14:textId="3F0C9C8A"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1</w:t>
            </w:r>
          </w:p>
        </w:tc>
        <w:tc>
          <w:tcPr>
            <w:tcW w:w="850" w:type="dxa"/>
          </w:tcPr>
          <w:p w14:paraId="2EA5B7FC" w14:textId="61DE200A"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2</w:t>
            </w:r>
          </w:p>
        </w:tc>
        <w:tc>
          <w:tcPr>
            <w:tcW w:w="851" w:type="dxa"/>
          </w:tcPr>
          <w:p w14:paraId="26900954" w14:textId="21800B88"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3</w:t>
            </w:r>
          </w:p>
        </w:tc>
        <w:tc>
          <w:tcPr>
            <w:tcW w:w="850" w:type="dxa"/>
          </w:tcPr>
          <w:p w14:paraId="7EC299A1" w14:textId="48472976"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4</w:t>
            </w:r>
          </w:p>
        </w:tc>
        <w:tc>
          <w:tcPr>
            <w:tcW w:w="851" w:type="dxa"/>
          </w:tcPr>
          <w:p w14:paraId="0A8CA596" w14:textId="6D0E7186"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5</w:t>
            </w:r>
          </w:p>
        </w:tc>
        <w:tc>
          <w:tcPr>
            <w:tcW w:w="885" w:type="dxa"/>
          </w:tcPr>
          <w:p w14:paraId="50B914C7" w14:textId="5E2623D4"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6</w:t>
            </w:r>
          </w:p>
        </w:tc>
        <w:tc>
          <w:tcPr>
            <w:tcW w:w="966" w:type="dxa"/>
          </w:tcPr>
          <w:p w14:paraId="675EF35A" w14:textId="7839697C"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7</w:t>
            </w:r>
          </w:p>
        </w:tc>
        <w:tc>
          <w:tcPr>
            <w:tcW w:w="966" w:type="dxa"/>
          </w:tcPr>
          <w:p w14:paraId="40AAB476" w14:textId="4D90A259"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8</w:t>
            </w:r>
          </w:p>
        </w:tc>
        <w:tc>
          <w:tcPr>
            <w:tcW w:w="966" w:type="dxa"/>
          </w:tcPr>
          <w:p w14:paraId="6FD9FADD" w14:textId="40B1042D"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9</w:t>
            </w:r>
          </w:p>
        </w:tc>
        <w:tc>
          <w:tcPr>
            <w:tcW w:w="966" w:type="dxa"/>
          </w:tcPr>
          <w:p w14:paraId="1879F4FC" w14:textId="61FA1600"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10</w:t>
            </w:r>
          </w:p>
        </w:tc>
        <w:tc>
          <w:tcPr>
            <w:tcW w:w="966" w:type="dxa"/>
          </w:tcPr>
          <w:p w14:paraId="19B83566" w14:textId="522AEE2B"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11</w:t>
            </w:r>
          </w:p>
        </w:tc>
        <w:tc>
          <w:tcPr>
            <w:tcW w:w="966" w:type="dxa"/>
          </w:tcPr>
          <w:p w14:paraId="4AE55954" w14:textId="53FFBE3D"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12</w:t>
            </w:r>
          </w:p>
        </w:tc>
        <w:tc>
          <w:tcPr>
            <w:tcW w:w="2816" w:type="dxa"/>
          </w:tcPr>
          <w:p w14:paraId="5BA0CC19" w14:textId="7037E8F3" w:rsidR="007A24E8" w:rsidRPr="007A24E8" w:rsidRDefault="007A24E8" w:rsidP="007A24E8">
            <w:pPr>
              <w:ind w:left="0" w:firstLine="0"/>
              <w:jc w:val="center"/>
              <w:rPr>
                <w:rFonts w:ascii="Arial" w:hAnsi="Arial" w:cs="Arial"/>
                <w:b/>
                <w:sz w:val="20"/>
                <w:szCs w:val="20"/>
              </w:rPr>
            </w:pPr>
            <w:r w:rsidRPr="007A24E8">
              <w:rPr>
                <w:rFonts w:ascii="Arial" w:hAnsi="Arial" w:cs="Arial"/>
                <w:b/>
                <w:sz w:val="20"/>
                <w:szCs w:val="20"/>
              </w:rPr>
              <w:t>TOTAL</w:t>
            </w:r>
          </w:p>
        </w:tc>
      </w:tr>
      <w:tr w:rsidR="007A24E8" w:rsidRPr="009D5D75" w14:paraId="7C9178F3" w14:textId="77777777" w:rsidTr="007A24E8">
        <w:tc>
          <w:tcPr>
            <w:tcW w:w="1702" w:type="dxa"/>
          </w:tcPr>
          <w:p w14:paraId="4369EA7C" w14:textId="2896578F" w:rsidR="007A24E8" w:rsidRPr="009D5D75" w:rsidRDefault="007A24E8" w:rsidP="007A24E8">
            <w:pPr>
              <w:ind w:left="0" w:firstLine="0"/>
              <w:jc w:val="center"/>
              <w:rPr>
                <w:rFonts w:ascii="Arial" w:hAnsi="Arial" w:cs="Arial"/>
                <w:b/>
                <w:sz w:val="20"/>
                <w:szCs w:val="20"/>
              </w:rPr>
            </w:pPr>
            <w:r w:rsidRPr="009D5D75">
              <w:rPr>
                <w:rFonts w:ascii="Arial" w:hAnsi="Arial" w:cs="Arial"/>
                <w:b/>
                <w:sz w:val="20"/>
                <w:szCs w:val="20"/>
              </w:rPr>
              <w:t>Monthly Cost</w:t>
            </w:r>
          </w:p>
        </w:tc>
        <w:tc>
          <w:tcPr>
            <w:tcW w:w="851" w:type="dxa"/>
            <w:shd w:val="clear" w:color="auto" w:fill="FFFF00"/>
          </w:tcPr>
          <w:p w14:paraId="515560A0" w14:textId="77777777" w:rsidR="007A24E8" w:rsidRPr="007A24E8" w:rsidRDefault="007A24E8" w:rsidP="007A24E8">
            <w:pPr>
              <w:ind w:left="0" w:firstLine="0"/>
              <w:jc w:val="center"/>
              <w:rPr>
                <w:rFonts w:ascii="Arial" w:hAnsi="Arial" w:cs="Arial"/>
                <w:bCs/>
                <w:sz w:val="20"/>
                <w:szCs w:val="20"/>
              </w:rPr>
            </w:pPr>
          </w:p>
        </w:tc>
        <w:tc>
          <w:tcPr>
            <w:tcW w:w="850" w:type="dxa"/>
            <w:shd w:val="clear" w:color="auto" w:fill="FFFF00"/>
          </w:tcPr>
          <w:p w14:paraId="5368C233" w14:textId="77777777" w:rsidR="007A24E8" w:rsidRPr="007A24E8" w:rsidRDefault="007A24E8" w:rsidP="007A24E8">
            <w:pPr>
              <w:ind w:left="0" w:firstLine="0"/>
              <w:jc w:val="center"/>
              <w:rPr>
                <w:rFonts w:ascii="Arial" w:hAnsi="Arial" w:cs="Arial"/>
                <w:bCs/>
                <w:sz w:val="20"/>
                <w:szCs w:val="20"/>
              </w:rPr>
            </w:pPr>
          </w:p>
        </w:tc>
        <w:tc>
          <w:tcPr>
            <w:tcW w:w="851" w:type="dxa"/>
            <w:shd w:val="clear" w:color="auto" w:fill="FFFF00"/>
          </w:tcPr>
          <w:p w14:paraId="74EF03D4" w14:textId="77777777" w:rsidR="007A24E8" w:rsidRPr="007A24E8" w:rsidRDefault="007A24E8" w:rsidP="007A24E8">
            <w:pPr>
              <w:ind w:left="0" w:firstLine="0"/>
              <w:jc w:val="center"/>
              <w:rPr>
                <w:rFonts w:ascii="Arial" w:hAnsi="Arial" w:cs="Arial"/>
                <w:bCs/>
                <w:sz w:val="20"/>
                <w:szCs w:val="20"/>
              </w:rPr>
            </w:pPr>
          </w:p>
        </w:tc>
        <w:tc>
          <w:tcPr>
            <w:tcW w:w="850" w:type="dxa"/>
            <w:shd w:val="clear" w:color="auto" w:fill="FFFF00"/>
          </w:tcPr>
          <w:p w14:paraId="1072CC09" w14:textId="77777777" w:rsidR="007A24E8" w:rsidRPr="007A24E8" w:rsidRDefault="007A24E8" w:rsidP="007A24E8">
            <w:pPr>
              <w:ind w:left="0" w:firstLine="0"/>
              <w:jc w:val="center"/>
              <w:rPr>
                <w:rFonts w:ascii="Arial" w:hAnsi="Arial" w:cs="Arial"/>
                <w:bCs/>
                <w:sz w:val="20"/>
                <w:szCs w:val="20"/>
              </w:rPr>
            </w:pPr>
          </w:p>
        </w:tc>
        <w:tc>
          <w:tcPr>
            <w:tcW w:w="851" w:type="dxa"/>
            <w:shd w:val="clear" w:color="auto" w:fill="FFFF00"/>
          </w:tcPr>
          <w:p w14:paraId="1F0A3E07" w14:textId="7B795855"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48,625 </w:t>
            </w:r>
          </w:p>
        </w:tc>
        <w:tc>
          <w:tcPr>
            <w:tcW w:w="885" w:type="dxa"/>
            <w:shd w:val="clear" w:color="auto" w:fill="FFFF00"/>
          </w:tcPr>
          <w:p w14:paraId="66FA5454" w14:textId="793EA09F"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48,625 </w:t>
            </w:r>
          </w:p>
        </w:tc>
        <w:tc>
          <w:tcPr>
            <w:tcW w:w="966" w:type="dxa"/>
            <w:shd w:val="clear" w:color="auto" w:fill="FFFF00"/>
          </w:tcPr>
          <w:p w14:paraId="2C8206CA" w14:textId="72A4FBC1"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42,073 </w:t>
            </w:r>
          </w:p>
        </w:tc>
        <w:tc>
          <w:tcPr>
            <w:tcW w:w="966" w:type="dxa"/>
            <w:shd w:val="clear" w:color="auto" w:fill="FFFF00"/>
          </w:tcPr>
          <w:p w14:paraId="134B38EB" w14:textId="3E5B0F07"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42,073 </w:t>
            </w:r>
          </w:p>
        </w:tc>
        <w:tc>
          <w:tcPr>
            <w:tcW w:w="966" w:type="dxa"/>
            <w:shd w:val="clear" w:color="auto" w:fill="FFFF00"/>
          </w:tcPr>
          <w:p w14:paraId="47D3586D" w14:textId="465C5962"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42,073 </w:t>
            </w:r>
          </w:p>
        </w:tc>
        <w:tc>
          <w:tcPr>
            <w:tcW w:w="966" w:type="dxa"/>
            <w:shd w:val="clear" w:color="auto" w:fill="FFFF00"/>
          </w:tcPr>
          <w:p w14:paraId="11F42B43" w14:textId="5FDDD646"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42,073 </w:t>
            </w:r>
          </w:p>
        </w:tc>
        <w:tc>
          <w:tcPr>
            <w:tcW w:w="966" w:type="dxa"/>
            <w:shd w:val="clear" w:color="auto" w:fill="FFFF00"/>
          </w:tcPr>
          <w:p w14:paraId="5F2C5EC3" w14:textId="5C7214D1"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42,070 </w:t>
            </w:r>
          </w:p>
        </w:tc>
        <w:tc>
          <w:tcPr>
            <w:tcW w:w="966" w:type="dxa"/>
            <w:shd w:val="clear" w:color="auto" w:fill="FFFF00"/>
          </w:tcPr>
          <w:p w14:paraId="443C4C3C" w14:textId="1F958A84"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42,070 </w:t>
            </w:r>
          </w:p>
        </w:tc>
        <w:tc>
          <w:tcPr>
            <w:tcW w:w="2816" w:type="dxa"/>
            <w:shd w:val="clear" w:color="auto" w:fill="9CC2E5" w:themeFill="accent1" w:themeFillTint="99"/>
          </w:tcPr>
          <w:p w14:paraId="58457B21" w14:textId="2B7C014A" w:rsidR="007A24E8" w:rsidRPr="007A24E8" w:rsidRDefault="007A24E8" w:rsidP="007A24E8">
            <w:pPr>
              <w:ind w:left="0" w:firstLine="0"/>
              <w:jc w:val="center"/>
              <w:rPr>
                <w:rFonts w:ascii="Arial" w:hAnsi="Arial" w:cs="Arial"/>
                <w:b/>
                <w:sz w:val="20"/>
                <w:szCs w:val="20"/>
              </w:rPr>
            </w:pPr>
            <w:r w:rsidRPr="007A24E8">
              <w:rPr>
                <w:rFonts w:ascii="Arial" w:hAnsi="Arial" w:cs="Arial"/>
                <w:b/>
                <w:sz w:val="20"/>
                <w:szCs w:val="20"/>
              </w:rPr>
              <w:t>349,683</w:t>
            </w:r>
          </w:p>
        </w:tc>
      </w:tr>
      <w:tr w:rsidR="009D5D75" w:rsidRPr="009D5D75" w14:paraId="744E337B" w14:textId="77777777" w:rsidTr="007A24E8">
        <w:trPr>
          <w:trHeight w:val="207"/>
        </w:trPr>
        <w:tc>
          <w:tcPr>
            <w:tcW w:w="15452" w:type="dxa"/>
            <w:gridSpan w:val="14"/>
          </w:tcPr>
          <w:p w14:paraId="2E50FEDD" w14:textId="77777777" w:rsidR="009D5D75" w:rsidRPr="007A24E8" w:rsidRDefault="009D5D75" w:rsidP="00A962C1">
            <w:pPr>
              <w:ind w:left="0" w:firstLine="0"/>
              <w:jc w:val="center"/>
              <w:rPr>
                <w:rFonts w:ascii="Arial" w:hAnsi="Arial" w:cs="Arial"/>
                <w:bCs/>
                <w:sz w:val="20"/>
                <w:szCs w:val="20"/>
              </w:rPr>
            </w:pPr>
          </w:p>
        </w:tc>
      </w:tr>
      <w:tr w:rsidR="009D5D75" w:rsidRPr="009D5D75" w14:paraId="7A94A13F" w14:textId="77777777" w:rsidTr="007A24E8">
        <w:tc>
          <w:tcPr>
            <w:tcW w:w="15452" w:type="dxa"/>
            <w:gridSpan w:val="14"/>
            <w:shd w:val="clear" w:color="auto" w:fill="D9D9D9" w:themeFill="background1" w:themeFillShade="D9"/>
          </w:tcPr>
          <w:p w14:paraId="57B5F569" w14:textId="01F065DC" w:rsidR="009D5D75" w:rsidRPr="007A24E8" w:rsidRDefault="009D5D75" w:rsidP="00A962C1">
            <w:pPr>
              <w:ind w:left="0" w:firstLine="0"/>
              <w:jc w:val="center"/>
              <w:rPr>
                <w:rFonts w:ascii="Arial" w:hAnsi="Arial" w:cs="Arial"/>
                <w:b/>
                <w:sz w:val="20"/>
                <w:szCs w:val="20"/>
              </w:rPr>
            </w:pPr>
            <w:r w:rsidRPr="007A24E8">
              <w:rPr>
                <w:rFonts w:ascii="Arial" w:hAnsi="Arial" w:cs="Arial"/>
                <w:b/>
                <w:sz w:val="20"/>
                <w:szCs w:val="20"/>
              </w:rPr>
              <w:t>Contract Year 2</w:t>
            </w:r>
          </w:p>
        </w:tc>
      </w:tr>
      <w:tr w:rsidR="007A24E8" w:rsidRPr="009D5D75" w14:paraId="0E5F379A" w14:textId="77777777" w:rsidTr="007A24E8">
        <w:tc>
          <w:tcPr>
            <w:tcW w:w="1702" w:type="dxa"/>
          </w:tcPr>
          <w:p w14:paraId="32FAE181" w14:textId="0A81B387" w:rsidR="007A24E8" w:rsidRPr="009D5D75" w:rsidRDefault="007A24E8" w:rsidP="007A24E8">
            <w:pPr>
              <w:ind w:left="0" w:firstLine="0"/>
              <w:jc w:val="center"/>
              <w:rPr>
                <w:rFonts w:ascii="Arial" w:hAnsi="Arial" w:cs="Arial"/>
                <w:b/>
                <w:sz w:val="20"/>
                <w:szCs w:val="20"/>
              </w:rPr>
            </w:pPr>
            <w:r w:rsidRPr="009D5D75">
              <w:rPr>
                <w:rFonts w:ascii="Arial" w:hAnsi="Arial" w:cs="Arial"/>
                <w:b/>
                <w:sz w:val="20"/>
                <w:szCs w:val="20"/>
              </w:rPr>
              <w:t>Contract Month</w:t>
            </w:r>
          </w:p>
        </w:tc>
        <w:tc>
          <w:tcPr>
            <w:tcW w:w="851" w:type="dxa"/>
          </w:tcPr>
          <w:p w14:paraId="5DA9CFD4" w14:textId="428BB5FF"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1</w:t>
            </w:r>
          </w:p>
        </w:tc>
        <w:tc>
          <w:tcPr>
            <w:tcW w:w="850" w:type="dxa"/>
          </w:tcPr>
          <w:p w14:paraId="5696DA2C" w14:textId="04D1C976"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2</w:t>
            </w:r>
          </w:p>
        </w:tc>
        <w:tc>
          <w:tcPr>
            <w:tcW w:w="851" w:type="dxa"/>
          </w:tcPr>
          <w:p w14:paraId="743CA1DF" w14:textId="7F2A74D4"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3</w:t>
            </w:r>
          </w:p>
        </w:tc>
        <w:tc>
          <w:tcPr>
            <w:tcW w:w="850" w:type="dxa"/>
          </w:tcPr>
          <w:p w14:paraId="551AEAB0" w14:textId="1AD0D55D"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4</w:t>
            </w:r>
          </w:p>
        </w:tc>
        <w:tc>
          <w:tcPr>
            <w:tcW w:w="851" w:type="dxa"/>
          </w:tcPr>
          <w:p w14:paraId="04AA3363" w14:textId="58961D70"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5</w:t>
            </w:r>
          </w:p>
        </w:tc>
        <w:tc>
          <w:tcPr>
            <w:tcW w:w="885" w:type="dxa"/>
          </w:tcPr>
          <w:p w14:paraId="10822174" w14:textId="11F42490"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6</w:t>
            </w:r>
          </w:p>
        </w:tc>
        <w:tc>
          <w:tcPr>
            <w:tcW w:w="966" w:type="dxa"/>
          </w:tcPr>
          <w:p w14:paraId="6B4A135D" w14:textId="5E2B57BE"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7</w:t>
            </w:r>
          </w:p>
        </w:tc>
        <w:tc>
          <w:tcPr>
            <w:tcW w:w="966" w:type="dxa"/>
          </w:tcPr>
          <w:p w14:paraId="13D5C7C8" w14:textId="3FD1ED0A"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8</w:t>
            </w:r>
          </w:p>
        </w:tc>
        <w:tc>
          <w:tcPr>
            <w:tcW w:w="966" w:type="dxa"/>
          </w:tcPr>
          <w:p w14:paraId="0B5DF3D7" w14:textId="737F6A60"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9</w:t>
            </w:r>
          </w:p>
        </w:tc>
        <w:tc>
          <w:tcPr>
            <w:tcW w:w="966" w:type="dxa"/>
          </w:tcPr>
          <w:p w14:paraId="2E602AB7" w14:textId="7A20EB98"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10</w:t>
            </w:r>
          </w:p>
        </w:tc>
        <w:tc>
          <w:tcPr>
            <w:tcW w:w="966" w:type="dxa"/>
          </w:tcPr>
          <w:p w14:paraId="3A537D61" w14:textId="5BFB16D6"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11</w:t>
            </w:r>
          </w:p>
        </w:tc>
        <w:tc>
          <w:tcPr>
            <w:tcW w:w="966" w:type="dxa"/>
          </w:tcPr>
          <w:p w14:paraId="2FFDD658" w14:textId="4AA7E9E1"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12</w:t>
            </w:r>
          </w:p>
        </w:tc>
        <w:tc>
          <w:tcPr>
            <w:tcW w:w="2816" w:type="dxa"/>
          </w:tcPr>
          <w:p w14:paraId="3814BB38" w14:textId="75BDFCAD" w:rsidR="007A24E8" w:rsidRPr="007A24E8" w:rsidRDefault="007A24E8" w:rsidP="007A24E8">
            <w:pPr>
              <w:ind w:left="0" w:firstLine="0"/>
              <w:jc w:val="center"/>
              <w:rPr>
                <w:rFonts w:ascii="Arial" w:hAnsi="Arial" w:cs="Arial"/>
                <w:b/>
                <w:sz w:val="20"/>
                <w:szCs w:val="20"/>
              </w:rPr>
            </w:pPr>
            <w:r w:rsidRPr="007A24E8">
              <w:rPr>
                <w:rFonts w:ascii="Arial" w:hAnsi="Arial" w:cs="Arial"/>
                <w:b/>
                <w:sz w:val="20"/>
                <w:szCs w:val="20"/>
              </w:rPr>
              <w:t>TOTAL</w:t>
            </w:r>
          </w:p>
        </w:tc>
      </w:tr>
      <w:tr w:rsidR="007A24E8" w:rsidRPr="009D5D75" w14:paraId="326BD721" w14:textId="77777777" w:rsidTr="007A24E8">
        <w:tc>
          <w:tcPr>
            <w:tcW w:w="1702" w:type="dxa"/>
          </w:tcPr>
          <w:p w14:paraId="75E4C3C4" w14:textId="2CD0EA22" w:rsidR="007A24E8" w:rsidRPr="009D5D75" w:rsidRDefault="007A24E8" w:rsidP="007A24E8">
            <w:pPr>
              <w:ind w:left="0" w:firstLine="0"/>
              <w:jc w:val="center"/>
              <w:rPr>
                <w:rFonts w:ascii="Arial" w:hAnsi="Arial" w:cs="Arial"/>
                <w:b/>
                <w:sz w:val="20"/>
                <w:szCs w:val="20"/>
              </w:rPr>
            </w:pPr>
            <w:r w:rsidRPr="009D5D75">
              <w:rPr>
                <w:rFonts w:ascii="Arial" w:hAnsi="Arial" w:cs="Arial"/>
                <w:b/>
                <w:sz w:val="20"/>
                <w:szCs w:val="20"/>
              </w:rPr>
              <w:t>Monthly Cost</w:t>
            </w:r>
          </w:p>
        </w:tc>
        <w:tc>
          <w:tcPr>
            <w:tcW w:w="851" w:type="dxa"/>
            <w:shd w:val="clear" w:color="auto" w:fill="FFFF00"/>
          </w:tcPr>
          <w:p w14:paraId="64373894" w14:textId="6E813A39"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36,928 </w:t>
            </w:r>
          </w:p>
        </w:tc>
        <w:tc>
          <w:tcPr>
            <w:tcW w:w="850" w:type="dxa"/>
            <w:shd w:val="clear" w:color="auto" w:fill="FFFF00"/>
          </w:tcPr>
          <w:p w14:paraId="358261B4" w14:textId="6EA389F3"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36,928 </w:t>
            </w:r>
          </w:p>
        </w:tc>
        <w:tc>
          <w:tcPr>
            <w:tcW w:w="851" w:type="dxa"/>
            <w:shd w:val="clear" w:color="auto" w:fill="FFFF00"/>
          </w:tcPr>
          <w:p w14:paraId="65EB0B5B" w14:textId="12F02930"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36,928 </w:t>
            </w:r>
          </w:p>
        </w:tc>
        <w:tc>
          <w:tcPr>
            <w:tcW w:w="850" w:type="dxa"/>
            <w:shd w:val="clear" w:color="auto" w:fill="FFFF00"/>
          </w:tcPr>
          <w:p w14:paraId="051FA184" w14:textId="2268DE4C"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36,928 </w:t>
            </w:r>
          </w:p>
        </w:tc>
        <w:tc>
          <w:tcPr>
            <w:tcW w:w="851" w:type="dxa"/>
            <w:shd w:val="clear" w:color="auto" w:fill="FFFF00"/>
          </w:tcPr>
          <w:p w14:paraId="2983F74E" w14:textId="2C24C481"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36,259 </w:t>
            </w:r>
          </w:p>
        </w:tc>
        <w:tc>
          <w:tcPr>
            <w:tcW w:w="885" w:type="dxa"/>
            <w:shd w:val="clear" w:color="auto" w:fill="FFFF00"/>
          </w:tcPr>
          <w:p w14:paraId="46B34793" w14:textId="199359DD"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36,259 </w:t>
            </w:r>
          </w:p>
        </w:tc>
        <w:tc>
          <w:tcPr>
            <w:tcW w:w="966" w:type="dxa"/>
            <w:shd w:val="clear" w:color="auto" w:fill="FFFF00"/>
          </w:tcPr>
          <w:p w14:paraId="66CD9CE1" w14:textId="44EB3453"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36,441 </w:t>
            </w:r>
          </w:p>
        </w:tc>
        <w:tc>
          <w:tcPr>
            <w:tcW w:w="966" w:type="dxa"/>
            <w:shd w:val="clear" w:color="auto" w:fill="FFFF00"/>
          </w:tcPr>
          <w:p w14:paraId="790852B4" w14:textId="0E43211B"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36,441 </w:t>
            </w:r>
          </w:p>
        </w:tc>
        <w:tc>
          <w:tcPr>
            <w:tcW w:w="966" w:type="dxa"/>
            <w:shd w:val="clear" w:color="auto" w:fill="FFFF00"/>
          </w:tcPr>
          <w:p w14:paraId="4F59C3F8" w14:textId="4059D131"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36,441 </w:t>
            </w:r>
          </w:p>
        </w:tc>
        <w:tc>
          <w:tcPr>
            <w:tcW w:w="966" w:type="dxa"/>
            <w:shd w:val="clear" w:color="auto" w:fill="FFFF00"/>
          </w:tcPr>
          <w:p w14:paraId="41BFCF3F" w14:textId="50BB0A1C"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36,441 </w:t>
            </w:r>
          </w:p>
        </w:tc>
        <w:tc>
          <w:tcPr>
            <w:tcW w:w="966" w:type="dxa"/>
            <w:shd w:val="clear" w:color="auto" w:fill="FFFF00"/>
          </w:tcPr>
          <w:p w14:paraId="767E68AB" w14:textId="327FAEB0"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36,434 </w:t>
            </w:r>
          </w:p>
        </w:tc>
        <w:tc>
          <w:tcPr>
            <w:tcW w:w="966" w:type="dxa"/>
            <w:shd w:val="clear" w:color="auto" w:fill="FFFF00"/>
          </w:tcPr>
          <w:p w14:paraId="6A825E95" w14:textId="675D5998"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36,434 </w:t>
            </w:r>
          </w:p>
        </w:tc>
        <w:tc>
          <w:tcPr>
            <w:tcW w:w="2816" w:type="dxa"/>
            <w:shd w:val="clear" w:color="auto" w:fill="9CC2E5" w:themeFill="accent1" w:themeFillTint="99"/>
          </w:tcPr>
          <w:p w14:paraId="26735AB7" w14:textId="03431D40" w:rsidR="007A24E8" w:rsidRPr="007A24E8" w:rsidRDefault="007A24E8" w:rsidP="007A24E8">
            <w:pPr>
              <w:ind w:left="0" w:firstLine="0"/>
              <w:jc w:val="center"/>
              <w:rPr>
                <w:rFonts w:ascii="Arial" w:hAnsi="Arial" w:cs="Arial"/>
                <w:b/>
                <w:bCs/>
                <w:sz w:val="20"/>
                <w:szCs w:val="20"/>
              </w:rPr>
            </w:pPr>
            <w:r w:rsidRPr="007A24E8">
              <w:rPr>
                <w:rFonts w:ascii="Arial" w:hAnsi="Arial" w:cs="Arial"/>
                <w:b/>
                <w:bCs/>
                <w:sz w:val="20"/>
                <w:szCs w:val="20"/>
              </w:rPr>
              <w:t xml:space="preserve">438,860 </w:t>
            </w:r>
          </w:p>
        </w:tc>
      </w:tr>
      <w:tr w:rsidR="009D5D75" w:rsidRPr="009D5D75" w14:paraId="26780C6C" w14:textId="77777777" w:rsidTr="007A24E8">
        <w:tc>
          <w:tcPr>
            <w:tcW w:w="15452" w:type="dxa"/>
            <w:gridSpan w:val="14"/>
          </w:tcPr>
          <w:p w14:paraId="408E1994" w14:textId="77777777" w:rsidR="009D5D75" w:rsidRPr="007A24E8" w:rsidRDefault="009D5D75" w:rsidP="00A962C1">
            <w:pPr>
              <w:ind w:left="0" w:firstLine="0"/>
              <w:jc w:val="center"/>
              <w:rPr>
                <w:rFonts w:ascii="Arial" w:hAnsi="Arial" w:cs="Arial"/>
                <w:bCs/>
                <w:sz w:val="20"/>
                <w:szCs w:val="20"/>
              </w:rPr>
            </w:pPr>
          </w:p>
        </w:tc>
      </w:tr>
      <w:tr w:rsidR="009D5D75" w:rsidRPr="009D5D75" w14:paraId="0945800A" w14:textId="77777777" w:rsidTr="007A24E8">
        <w:tc>
          <w:tcPr>
            <w:tcW w:w="15452" w:type="dxa"/>
            <w:gridSpan w:val="14"/>
            <w:shd w:val="clear" w:color="auto" w:fill="D9D9D9" w:themeFill="background1" w:themeFillShade="D9"/>
          </w:tcPr>
          <w:p w14:paraId="3849FB96" w14:textId="2361921F" w:rsidR="009D5D75" w:rsidRPr="007A24E8" w:rsidRDefault="009D5D75" w:rsidP="00A962C1">
            <w:pPr>
              <w:ind w:left="0" w:firstLine="0"/>
              <w:jc w:val="center"/>
              <w:rPr>
                <w:rFonts w:ascii="Arial" w:hAnsi="Arial" w:cs="Arial"/>
                <w:b/>
                <w:sz w:val="20"/>
                <w:szCs w:val="20"/>
              </w:rPr>
            </w:pPr>
            <w:r w:rsidRPr="007A24E8">
              <w:rPr>
                <w:rFonts w:ascii="Arial" w:hAnsi="Arial" w:cs="Arial"/>
                <w:b/>
                <w:sz w:val="20"/>
                <w:szCs w:val="20"/>
              </w:rPr>
              <w:t>Contract Year 3</w:t>
            </w:r>
          </w:p>
        </w:tc>
      </w:tr>
      <w:tr w:rsidR="007A24E8" w:rsidRPr="009D5D75" w14:paraId="59F88FBC" w14:textId="77777777" w:rsidTr="007A24E8">
        <w:tc>
          <w:tcPr>
            <w:tcW w:w="1702" w:type="dxa"/>
          </w:tcPr>
          <w:p w14:paraId="4A4DAB3E" w14:textId="515B8161" w:rsidR="007A24E8" w:rsidRPr="009D5D75" w:rsidRDefault="007A24E8" w:rsidP="007A24E8">
            <w:pPr>
              <w:ind w:left="0" w:firstLine="0"/>
              <w:jc w:val="center"/>
              <w:rPr>
                <w:rFonts w:ascii="Arial" w:hAnsi="Arial" w:cs="Arial"/>
                <w:b/>
                <w:sz w:val="20"/>
                <w:szCs w:val="20"/>
              </w:rPr>
            </w:pPr>
            <w:r w:rsidRPr="009D5D75">
              <w:rPr>
                <w:rFonts w:ascii="Arial" w:hAnsi="Arial" w:cs="Arial"/>
                <w:b/>
                <w:sz w:val="20"/>
                <w:szCs w:val="20"/>
              </w:rPr>
              <w:t>Contract Month</w:t>
            </w:r>
          </w:p>
        </w:tc>
        <w:tc>
          <w:tcPr>
            <w:tcW w:w="851" w:type="dxa"/>
          </w:tcPr>
          <w:p w14:paraId="20AF386D" w14:textId="6BC92AE2"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1</w:t>
            </w:r>
          </w:p>
        </w:tc>
        <w:tc>
          <w:tcPr>
            <w:tcW w:w="850" w:type="dxa"/>
          </w:tcPr>
          <w:p w14:paraId="7D146B56" w14:textId="1F7F1F55"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2</w:t>
            </w:r>
          </w:p>
        </w:tc>
        <w:tc>
          <w:tcPr>
            <w:tcW w:w="851" w:type="dxa"/>
          </w:tcPr>
          <w:p w14:paraId="1366B5DC" w14:textId="6AE1C3D6"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3</w:t>
            </w:r>
          </w:p>
        </w:tc>
        <w:tc>
          <w:tcPr>
            <w:tcW w:w="850" w:type="dxa"/>
          </w:tcPr>
          <w:p w14:paraId="665B76E3" w14:textId="7222DF47"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4</w:t>
            </w:r>
          </w:p>
        </w:tc>
        <w:tc>
          <w:tcPr>
            <w:tcW w:w="851" w:type="dxa"/>
          </w:tcPr>
          <w:p w14:paraId="5DECC49F" w14:textId="3EDC8E6B"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5</w:t>
            </w:r>
          </w:p>
        </w:tc>
        <w:tc>
          <w:tcPr>
            <w:tcW w:w="885" w:type="dxa"/>
          </w:tcPr>
          <w:p w14:paraId="5F3FDFA7" w14:textId="2E5080CE"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6</w:t>
            </w:r>
          </w:p>
        </w:tc>
        <w:tc>
          <w:tcPr>
            <w:tcW w:w="966" w:type="dxa"/>
          </w:tcPr>
          <w:p w14:paraId="3073E5FB" w14:textId="616A21D2"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7</w:t>
            </w:r>
          </w:p>
        </w:tc>
        <w:tc>
          <w:tcPr>
            <w:tcW w:w="966" w:type="dxa"/>
          </w:tcPr>
          <w:p w14:paraId="694A9FA1" w14:textId="3FA05DF7"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8</w:t>
            </w:r>
          </w:p>
        </w:tc>
        <w:tc>
          <w:tcPr>
            <w:tcW w:w="966" w:type="dxa"/>
          </w:tcPr>
          <w:p w14:paraId="6EDACE55" w14:textId="06419D0F"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9</w:t>
            </w:r>
          </w:p>
        </w:tc>
        <w:tc>
          <w:tcPr>
            <w:tcW w:w="966" w:type="dxa"/>
          </w:tcPr>
          <w:p w14:paraId="5B2A93D4" w14:textId="1E32F123"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10</w:t>
            </w:r>
          </w:p>
        </w:tc>
        <w:tc>
          <w:tcPr>
            <w:tcW w:w="966" w:type="dxa"/>
          </w:tcPr>
          <w:p w14:paraId="0B761D16" w14:textId="23599765"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11</w:t>
            </w:r>
          </w:p>
        </w:tc>
        <w:tc>
          <w:tcPr>
            <w:tcW w:w="966" w:type="dxa"/>
          </w:tcPr>
          <w:p w14:paraId="4D468C24" w14:textId="3F11C2B3"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12</w:t>
            </w:r>
          </w:p>
        </w:tc>
        <w:tc>
          <w:tcPr>
            <w:tcW w:w="2816" w:type="dxa"/>
          </w:tcPr>
          <w:p w14:paraId="267B0EEE" w14:textId="149363EC" w:rsidR="007A24E8" w:rsidRPr="007A24E8" w:rsidRDefault="007A24E8" w:rsidP="007A24E8">
            <w:pPr>
              <w:ind w:left="0" w:firstLine="0"/>
              <w:jc w:val="center"/>
              <w:rPr>
                <w:rFonts w:ascii="Arial" w:hAnsi="Arial" w:cs="Arial"/>
                <w:b/>
                <w:sz w:val="20"/>
                <w:szCs w:val="20"/>
              </w:rPr>
            </w:pPr>
            <w:r w:rsidRPr="007A24E8">
              <w:rPr>
                <w:rFonts w:ascii="Arial" w:hAnsi="Arial" w:cs="Arial"/>
                <w:b/>
                <w:sz w:val="20"/>
                <w:szCs w:val="20"/>
              </w:rPr>
              <w:t>TOTAL</w:t>
            </w:r>
          </w:p>
        </w:tc>
      </w:tr>
      <w:tr w:rsidR="007A24E8" w:rsidRPr="009D5D75" w14:paraId="6F8E02D7" w14:textId="77777777" w:rsidTr="007A24E8">
        <w:tc>
          <w:tcPr>
            <w:tcW w:w="1702" w:type="dxa"/>
          </w:tcPr>
          <w:p w14:paraId="2FAEFFE1" w14:textId="3E7F3F2E" w:rsidR="007A24E8" w:rsidRPr="009D5D75" w:rsidRDefault="007A24E8" w:rsidP="007A24E8">
            <w:pPr>
              <w:ind w:left="0" w:firstLine="0"/>
              <w:jc w:val="center"/>
              <w:rPr>
                <w:rFonts w:ascii="Arial" w:hAnsi="Arial" w:cs="Arial"/>
                <w:b/>
                <w:sz w:val="20"/>
                <w:szCs w:val="20"/>
              </w:rPr>
            </w:pPr>
            <w:r w:rsidRPr="009D5D75">
              <w:rPr>
                <w:rFonts w:ascii="Arial" w:hAnsi="Arial" w:cs="Arial"/>
                <w:b/>
                <w:sz w:val="20"/>
                <w:szCs w:val="20"/>
              </w:rPr>
              <w:t>Monthly Cost</w:t>
            </w:r>
          </w:p>
        </w:tc>
        <w:tc>
          <w:tcPr>
            <w:tcW w:w="851" w:type="dxa"/>
            <w:shd w:val="clear" w:color="auto" w:fill="FFFF00"/>
          </w:tcPr>
          <w:p w14:paraId="679B39BF" w14:textId="429BC577"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36,107 </w:t>
            </w:r>
          </w:p>
        </w:tc>
        <w:tc>
          <w:tcPr>
            <w:tcW w:w="850" w:type="dxa"/>
            <w:shd w:val="clear" w:color="auto" w:fill="FFFF00"/>
          </w:tcPr>
          <w:p w14:paraId="49033A84" w14:textId="6CF32E89"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36,107 </w:t>
            </w:r>
          </w:p>
        </w:tc>
        <w:tc>
          <w:tcPr>
            <w:tcW w:w="851" w:type="dxa"/>
            <w:shd w:val="clear" w:color="auto" w:fill="FFFF00"/>
          </w:tcPr>
          <w:p w14:paraId="1BE8A389" w14:textId="484D2279"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36,107 </w:t>
            </w:r>
          </w:p>
        </w:tc>
        <w:tc>
          <w:tcPr>
            <w:tcW w:w="850" w:type="dxa"/>
            <w:shd w:val="clear" w:color="auto" w:fill="FFFF00"/>
          </w:tcPr>
          <w:p w14:paraId="46D6807B" w14:textId="52305A97"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36,107 </w:t>
            </w:r>
          </w:p>
        </w:tc>
        <w:tc>
          <w:tcPr>
            <w:tcW w:w="851" w:type="dxa"/>
            <w:shd w:val="clear" w:color="auto" w:fill="FFFF00"/>
          </w:tcPr>
          <w:p w14:paraId="2E0BD3FD" w14:textId="24103C82"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35,662 </w:t>
            </w:r>
          </w:p>
        </w:tc>
        <w:tc>
          <w:tcPr>
            <w:tcW w:w="885" w:type="dxa"/>
            <w:shd w:val="clear" w:color="auto" w:fill="FFFF00"/>
          </w:tcPr>
          <w:p w14:paraId="16D05A91" w14:textId="1DEDFF0D"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35,662 </w:t>
            </w:r>
          </w:p>
        </w:tc>
        <w:tc>
          <w:tcPr>
            <w:tcW w:w="966" w:type="dxa"/>
            <w:shd w:val="clear" w:color="auto" w:fill="FFFF00"/>
          </w:tcPr>
          <w:p w14:paraId="522F355B" w14:textId="4E5E5590"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35,841 </w:t>
            </w:r>
          </w:p>
        </w:tc>
        <w:tc>
          <w:tcPr>
            <w:tcW w:w="966" w:type="dxa"/>
            <w:shd w:val="clear" w:color="auto" w:fill="FFFF00"/>
          </w:tcPr>
          <w:p w14:paraId="781EC53D" w14:textId="140545DD"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35,841 </w:t>
            </w:r>
          </w:p>
        </w:tc>
        <w:tc>
          <w:tcPr>
            <w:tcW w:w="966" w:type="dxa"/>
            <w:shd w:val="clear" w:color="auto" w:fill="FFFF00"/>
          </w:tcPr>
          <w:p w14:paraId="4F81A58D" w14:textId="2955ECE1"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35,841 </w:t>
            </w:r>
          </w:p>
        </w:tc>
        <w:tc>
          <w:tcPr>
            <w:tcW w:w="966" w:type="dxa"/>
            <w:shd w:val="clear" w:color="auto" w:fill="FFFF00"/>
          </w:tcPr>
          <w:p w14:paraId="3BB8FDBF" w14:textId="606D330D"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35,841 </w:t>
            </w:r>
          </w:p>
        </w:tc>
        <w:tc>
          <w:tcPr>
            <w:tcW w:w="966" w:type="dxa"/>
            <w:shd w:val="clear" w:color="auto" w:fill="FFFF00"/>
          </w:tcPr>
          <w:p w14:paraId="42EB54F7" w14:textId="584C6638"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35,837 </w:t>
            </w:r>
          </w:p>
        </w:tc>
        <w:tc>
          <w:tcPr>
            <w:tcW w:w="966" w:type="dxa"/>
            <w:shd w:val="clear" w:color="auto" w:fill="FFFF00"/>
          </w:tcPr>
          <w:p w14:paraId="592753A2" w14:textId="05FA4CC9"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35,837 </w:t>
            </w:r>
          </w:p>
        </w:tc>
        <w:tc>
          <w:tcPr>
            <w:tcW w:w="2816" w:type="dxa"/>
            <w:shd w:val="clear" w:color="auto" w:fill="9CC2E5" w:themeFill="accent1" w:themeFillTint="99"/>
          </w:tcPr>
          <w:p w14:paraId="54C047C4" w14:textId="6E6077B5" w:rsidR="007A24E8" w:rsidRPr="007A24E8" w:rsidRDefault="007A24E8" w:rsidP="007A24E8">
            <w:pPr>
              <w:ind w:left="0" w:firstLine="0"/>
              <w:jc w:val="center"/>
              <w:rPr>
                <w:rFonts w:ascii="Arial" w:hAnsi="Arial" w:cs="Arial"/>
                <w:b/>
                <w:bCs/>
                <w:sz w:val="20"/>
                <w:szCs w:val="20"/>
              </w:rPr>
            </w:pPr>
            <w:r w:rsidRPr="007A24E8">
              <w:rPr>
                <w:rFonts w:ascii="Arial" w:hAnsi="Arial" w:cs="Arial"/>
                <w:b/>
                <w:bCs/>
                <w:sz w:val="20"/>
                <w:szCs w:val="20"/>
              </w:rPr>
              <w:t xml:space="preserve">430,785 </w:t>
            </w:r>
          </w:p>
        </w:tc>
      </w:tr>
      <w:tr w:rsidR="009D5D75" w:rsidRPr="009D5D75" w14:paraId="7801C5A4" w14:textId="77777777" w:rsidTr="007A24E8">
        <w:tc>
          <w:tcPr>
            <w:tcW w:w="15452" w:type="dxa"/>
            <w:gridSpan w:val="14"/>
          </w:tcPr>
          <w:p w14:paraId="783DDADA" w14:textId="77777777" w:rsidR="009D5D75" w:rsidRPr="007A24E8" w:rsidRDefault="009D5D75" w:rsidP="00A962C1">
            <w:pPr>
              <w:ind w:left="0" w:firstLine="0"/>
              <w:jc w:val="center"/>
              <w:rPr>
                <w:rFonts w:ascii="Arial" w:hAnsi="Arial" w:cs="Arial"/>
                <w:bCs/>
                <w:sz w:val="20"/>
                <w:szCs w:val="20"/>
              </w:rPr>
            </w:pPr>
          </w:p>
        </w:tc>
      </w:tr>
      <w:tr w:rsidR="009D5D75" w:rsidRPr="009D5D75" w14:paraId="33A258B6" w14:textId="77777777" w:rsidTr="007A24E8">
        <w:tc>
          <w:tcPr>
            <w:tcW w:w="15452" w:type="dxa"/>
            <w:gridSpan w:val="14"/>
            <w:shd w:val="clear" w:color="auto" w:fill="D9D9D9" w:themeFill="background1" w:themeFillShade="D9"/>
          </w:tcPr>
          <w:p w14:paraId="22550B61" w14:textId="0AC759D5" w:rsidR="009D5D75" w:rsidRPr="007A24E8" w:rsidRDefault="009D5D75" w:rsidP="00A962C1">
            <w:pPr>
              <w:ind w:left="0" w:firstLine="0"/>
              <w:jc w:val="center"/>
              <w:rPr>
                <w:rFonts w:ascii="Arial" w:hAnsi="Arial" w:cs="Arial"/>
                <w:b/>
                <w:sz w:val="20"/>
                <w:szCs w:val="20"/>
              </w:rPr>
            </w:pPr>
            <w:r w:rsidRPr="007A24E8">
              <w:rPr>
                <w:rFonts w:ascii="Arial" w:hAnsi="Arial" w:cs="Arial"/>
                <w:b/>
                <w:sz w:val="20"/>
                <w:szCs w:val="20"/>
              </w:rPr>
              <w:t>Contract Year 4</w:t>
            </w:r>
          </w:p>
        </w:tc>
      </w:tr>
      <w:tr w:rsidR="007A24E8" w:rsidRPr="009D5D75" w14:paraId="2E1096EB" w14:textId="77777777" w:rsidTr="007A24E8">
        <w:tc>
          <w:tcPr>
            <w:tcW w:w="1702" w:type="dxa"/>
          </w:tcPr>
          <w:p w14:paraId="76321B1A" w14:textId="7A4D63DD" w:rsidR="007A24E8" w:rsidRPr="009D5D75" w:rsidRDefault="007A24E8" w:rsidP="007A24E8">
            <w:pPr>
              <w:ind w:left="0" w:firstLine="0"/>
              <w:jc w:val="center"/>
              <w:rPr>
                <w:rFonts w:ascii="Arial" w:hAnsi="Arial" w:cs="Arial"/>
                <w:b/>
                <w:sz w:val="20"/>
                <w:szCs w:val="20"/>
              </w:rPr>
            </w:pPr>
            <w:r w:rsidRPr="009D5D75">
              <w:rPr>
                <w:rFonts w:ascii="Arial" w:hAnsi="Arial" w:cs="Arial"/>
                <w:b/>
                <w:sz w:val="20"/>
                <w:szCs w:val="20"/>
              </w:rPr>
              <w:t>Contract Month</w:t>
            </w:r>
          </w:p>
        </w:tc>
        <w:tc>
          <w:tcPr>
            <w:tcW w:w="851" w:type="dxa"/>
          </w:tcPr>
          <w:p w14:paraId="7B469E3E" w14:textId="0437AB93"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1</w:t>
            </w:r>
          </w:p>
        </w:tc>
        <w:tc>
          <w:tcPr>
            <w:tcW w:w="850" w:type="dxa"/>
          </w:tcPr>
          <w:p w14:paraId="5F319CA5" w14:textId="66BDE86A"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2</w:t>
            </w:r>
          </w:p>
        </w:tc>
        <w:tc>
          <w:tcPr>
            <w:tcW w:w="851" w:type="dxa"/>
          </w:tcPr>
          <w:p w14:paraId="0D5343FB" w14:textId="1E8A0553"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3</w:t>
            </w:r>
          </w:p>
        </w:tc>
        <w:tc>
          <w:tcPr>
            <w:tcW w:w="850" w:type="dxa"/>
          </w:tcPr>
          <w:p w14:paraId="4E63A616" w14:textId="2FFAFA53"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4</w:t>
            </w:r>
          </w:p>
        </w:tc>
        <w:tc>
          <w:tcPr>
            <w:tcW w:w="851" w:type="dxa"/>
          </w:tcPr>
          <w:p w14:paraId="5FE772C8" w14:textId="4A620C55"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5</w:t>
            </w:r>
          </w:p>
        </w:tc>
        <w:tc>
          <w:tcPr>
            <w:tcW w:w="885" w:type="dxa"/>
          </w:tcPr>
          <w:p w14:paraId="4D2B45DC" w14:textId="2E7FEBFA"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6</w:t>
            </w:r>
          </w:p>
        </w:tc>
        <w:tc>
          <w:tcPr>
            <w:tcW w:w="966" w:type="dxa"/>
          </w:tcPr>
          <w:p w14:paraId="1023F5A5" w14:textId="7C8C9A27"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7</w:t>
            </w:r>
          </w:p>
        </w:tc>
        <w:tc>
          <w:tcPr>
            <w:tcW w:w="966" w:type="dxa"/>
          </w:tcPr>
          <w:p w14:paraId="4E9383EC" w14:textId="3902BD2F"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8</w:t>
            </w:r>
          </w:p>
        </w:tc>
        <w:tc>
          <w:tcPr>
            <w:tcW w:w="966" w:type="dxa"/>
          </w:tcPr>
          <w:p w14:paraId="0C38CB6E" w14:textId="39208705"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9</w:t>
            </w:r>
          </w:p>
        </w:tc>
        <w:tc>
          <w:tcPr>
            <w:tcW w:w="966" w:type="dxa"/>
          </w:tcPr>
          <w:p w14:paraId="79E0F481" w14:textId="2FE8A794"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10</w:t>
            </w:r>
          </w:p>
        </w:tc>
        <w:tc>
          <w:tcPr>
            <w:tcW w:w="966" w:type="dxa"/>
          </w:tcPr>
          <w:p w14:paraId="4610E5E2" w14:textId="0B71ADAA"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11</w:t>
            </w:r>
          </w:p>
        </w:tc>
        <w:tc>
          <w:tcPr>
            <w:tcW w:w="966" w:type="dxa"/>
          </w:tcPr>
          <w:p w14:paraId="114FF408" w14:textId="231FFE85"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12</w:t>
            </w:r>
          </w:p>
        </w:tc>
        <w:tc>
          <w:tcPr>
            <w:tcW w:w="2816" w:type="dxa"/>
          </w:tcPr>
          <w:p w14:paraId="4351A415" w14:textId="756D1DF0" w:rsidR="007A24E8" w:rsidRPr="007A24E8" w:rsidRDefault="007A24E8" w:rsidP="007A24E8">
            <w:pPr>
              <w:ind w:left="0" w:firstLine="0"/>
              <w:jc w:val="center"/>
              <w:rPr>
                <w:rFonts w:ascii="Arial" w:hAnsi="Arial" w:cs="Arial"/>
                <w:b/>
                <w:sz w:val="20"/>
                <w:szCs w:val="20"/>
              </w:rPr>
            </w:pPr>
            <w:r w:rsidRPr="007A24E8">
              <w:rPr>
                <w:rFonts w:ascii="Arial" w:hAnsi="Arial" w:cs="Arial"/>
                <w:b/>
                <w:sz w:val="20"/>
                <w:szCs w:val="20"/>
              </w:rPr>
              <w:t>TOTAL</w:t>
            </w:r>
          </w:p>
        </w:tc>
      </w:tr>
      <w:tr w:rsidR="007A24E8" w:rsidRPr="009D5D75" w14:paraId="75EE9E73" w14:textId="77777777" w:rsidTr="007A24E8">
        <w:tc>
          <w:tcPr>
            <w:tcW w:w="1702" w:type="dxa"/>
          </w:tcPr>
          <w:p w14:paraId="4D7A6E51" w14:textId="05FD1D5C" w:rsidR="007A24E8" w:rsidRPr="009D5D75" w:rsidRDefault="007A24E8" w:rsidP="007A24E8">
            <w:pPr>
              <w:ind w:left="0" w:firstLine="0"/>
              <w:jc w:val="center"/>
              <w:rPr>
                <w:rFonts w:ascii="Arial" w:hAnsi="Arial" w:cs="Arial"/>
                <w:b/>
                <w:sz w:val="20"/>
                <w:szCs w:val="20"/>
              </w:rPr>
            </w:pPr>
            <w:r w:rsidRPr="009D5D75">
              <w:rPr>
                <w:rFonts w:ascii="Arial" w:hAnsi="Arial" w:cs="Arial"/>
                <w:b/>
                <w:sz w:val="20"/>
                <w:szCs w:val="20"/>
              </w:rPr>
              <w:t>Monthly Cost</w:t>
            </w:r>
          </w:p>
        </w:tc>
        <w:tc>
          <w:tcPr>
            <w:tcW w:w="851" w:type="dxa"/>
            <w:shd w:val="clear" w:color="auto" w:fill="FFFF00"/>
          </w:tcPr>
          <w:p w14:paraId="6CE6F510" w14:textId="36750280"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35,510 </w:t>
            </w:r>
          </w:p>
        </w:tc>
        <w:tc>
          <w:tcPr>
            <w:tcW w:w="850" w:type="dxa"/>
            <w:shd w:val="clear" w:color="auto" w:fill="FFFF00"/>
          </w:tcPr>
          <w:p w14:paraId="73544645" w14:textId="41EDCB08"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35,510 </w:t>
            </w:r>
          </w:p>
        </w:tc>
        <w:tc>
          <w:tcPr>
            <w:tcW w:w="851" w:type="dxa"/>
            <w:shd w:val="clear" w:color="auto" w:fill="FFFF00"/>
          </w:tcPr>
          <w:p w14:paraId="0318AECB" w14:textId="5A92C646"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35,510 </w:t>
            </w:r>
          </w:p>
        </w:tc>
        <w:tc>
          <w:tcPr>
            <w:tcW w:w="850" w:type="dxa"/>
            <w:shd w:val="clear" w:color="auto" w:fill="FFFF00"/>
          </w:tcPr>
          <w:p w14:paraId="64F6609C" w14:textId="4BCD5980"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35,510 </w:t>
            </w:r>
          </w:p>
        </w:tc>
        <w:tc>
          <w:tcPr>
            <w:tcW w:w="851" w:type="dxa"/>
            <w:shd w:val="clear" w:color="auto" w:fill="FFFF00"/>
          </w:tcPr>
          <w:p w14:paraId="5AE529B9" w14:textId="1FEF56D3"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35,141 </w:t>
            </w:r>
          </w:p>
        </w:tc>
        <w:tc>
          <w:tcPr>
            <w:tcW w:w="885" w:type="dxa"/>
            <w:shd w:val="clear" w:color="auto" w:fill="FFFF00"/>
          </w:tcPr>
          <w:p w14:paraId="247E8203" w14:textId="3BE28F87"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35,141 </w:t>
            </w:r>
          </w:p>
        </w:tc>
        <w:tc>
          <w:tcPr>
            <w:tcW w:w="966" w:type="dxa"/>
            <w:shd w:val="clear" w:color="auto" w:fill="FFFF00"/>
          </w:tcPr>
          <w:p w14:paraId="244E84D5" w14:textId="7DA914B1"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35,318 </w:t>
            </w:r>
          </w:p>
        </w:tc>
        <w:tc>
          <w:tcPr>
            <w:tcW w:w="966" w:type="dxa"/>
            <w:shd w:val="clear" w:color="auto" w:fill="FFFF00"/>
          </w:tcPr>
          <w:p w14:paraId="734AADC0" w14:textId="5A8BC4A8"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35,318 </w:t>
            </w:r>
          </w:p>
        </w:tc>
        <w:tc>
          <w:tcPr>
            <w:tcW w:w="966" w:type="dxa"/>
            <w:shd w:val="clear" w:color="auto" w:fill="FFFF00"/>
          </w:tcPr>
          <w:p w14:paraId="12F89ECE" w14:textId="3F0452B3"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35,318 </w:t>
            </w:r>
          </w:p>
        </w:tc>
        <w:tc>
          <w:tcPr>
            <w:tcW w:w="966" w:type="dxa"/>
            <w:shd w:val="clear" w:color="auto" w:fill="FFFF00"/>
          </w:tcPr>
          <w:p w14:paraId="66F108A5" w14:textId="23E5658F"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35,318 </w:t>
            </w:r>
          </w:p>
        </w:tc>
        <w:tc>
          <w:tcPr>
            <w:tcW w:w="966" w:type="dxa"/>
            <w:shd w:val="clear" w:color="auto" w:fill="FFFF00"/>
          </w:tcPr>
          <w:p w14:paraId="47E58A8B" w14:textId="3275F232"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35,315 </w:t>
            </w:r>
          </w:p>
        </w:tc>
        <w:tc>
          <w:tcPr>
            <w:tcW w:w="966" w:type="dxa"/>
            <w:shd w:val="clear" w:color="auto" w:fill="FFFF00"/>
          </w:tcPr>
          <w:p w14:paraId="4C00BFDA" w14:textId="71D93A6F"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35,315 </w:t>
            </w:r>
          </w:p>
        </w:tc>
        <w:tc>
          <w:tcPr>
            <w:tcW w:w="2816" w:type="dxa"/>
            <w:shd w:val="clear" w:color="auto" w:fill="9CC2E5" w:themeFill="accent1" w:themeFillTint="99"/>
          </w:tcPr>
          <w:p w14:paraId="53CCE15D" w14:textId="35A39F19" w:rsidR="007A24E8" w:rsidRPr="007A24E8" w:rsidRDefault="007A24E8" w:rsidP="007A24E8">
            <w:pPr>
              <w:ind w:left="0" w:firstLine="0"/>
              <w:jc w:val="center"/>
              <w:rPr>
                <w:rFonts w:ascii="Arial" w:hAnsi="Arial" w:cs="Arial"/>
                <w:b/>
                <w:bCs/>
                <w:sz w:val="20"/>
                <w:szCs w:val="20"/>
              </w:rPr>
            </w:pPr>
            <w:r w:rsidRPr="007A24E8">
              <w:rPr>
                <w:rFonts w:ascii="Arial" w:hAnsi="Arial" w:cs="Arial"/>
                <w:b/>
                <w:bCs/>
                <w:sz w:val="20"/>
                <w:szCs w:val="20"/>
              </w:rPr>
              <w:t xml:space="preserve">424,228 </w:t>
            </w:r>
          </w:p>
        </w:tc>
      </w:tr>
      <w:tr w:rsidR="009D5D75" w:rsidRPr="009D5D75" w14:paraId="5C244A14" w14:textId="77777777" w:rsidTr="007A24E8">
        <w:tc>
          <w:tcPr>
            <w:tcW w:w="15452" w:type="dxa"/>
            <w:gridSpan w:val="14"/>
          </w:tcPr>
          <w:p w14:paraId="4D8400EC" w14:textId="77777777" w:rsidR="009D5D75" w:rsidRPr="007A24E8" w:rsidRDefault="009D5D75" w:rsidP="00A962C1">
            <w:pPr>
              <w:ind w:left="0" w:firstLine="0"/>
              <w:jc w:val="center"/>
              <w:rPr>
                <w:rFonts w:ascii="Arial" w:hAnsi="Arial" w:cs="Arial"/>
                <w:bCs/>
                <w:sz w:val="20"/>
                <w:szCs w:val="20"/>
              </w:rPr>
            </w:pPr>
          </w:p>
        </w:tc>
      </w:tr>
      <w:tr w:rsidR="009D5D75" w:rsidRPr="009D5D75" w14:paraId="28176E63" w14:textId="77777777" w:rsidTr="007A24E8">
        <w:tc>
          <w:tcPr>
            <w:tcW w:w="15452" w:type="dxa"/>
            <w:gridSpan w:val="14"/>
            <w:shd w:val="clear" w:color="auto" w:fill="D9D9D9" w:themeFill="background1" w:themeFillShade="D9"/>
          </w:tcPr>
          <w:p w14:paraId="392DAB75" w14:textId="4D09C0BE" w:rsidR="009D5D75" w:rsidRPr="007A24E8" w:rsidRDefault="009D5D75" w:rsidP="00A962C1">
            <w:pPr>
              <w:ind w:left="0" w:firstLine="0"/>
              <w:jc w:val="center"/>
              <w:rPr>
                <w:rFonts w:ascii="Arial" w:hAnsi="Arial" w:cs="Arial"/>
                <w:b/>
                <w:sz w:val="20"/>
                <w:szCs w:val="20"/>
              </w:rPr>
            </w:pPr>
            <w:r w:rsidRPr="007A24E8">
              <w:rPr>
                <w:rFonts w:ascii="Arial" w:hAnsi="Arial" w:cs="Arial"/>
                <w:b/>
                <w:sz w:val="20"/>
                <w:szCs w:val="20"/>
              </w:rPr>
              <w:t>Contract Year 5</w:t>
            </w:r>
          </w:p>
        </w:tc>
      </w:tr>
      <w:tr w:rsidR="007A24E8" w:rsidRPr="009D5D75" w14:paraId="0806DD15" w14:textId="77777777" w:rsidTr="007A24E8">
        <w:tc>
          <w:tcPr>
            <w:tcW w:w="1702" w:type="dxa"/>
          </w:tcPr>
          <w:p w14:paraId="25F29F5D" w14:textId="6708EEDF" w:rsidR="007A24E8" w:rsidRPr="009D5D75" w:rsidRDefault="007A24E8" w:rsidP="007A24E8">
            <w:pPr>
              <w:ind w:left="0" w:firstLine="0"/>
              <w:jc w:val="center"/>
              <w:rPr>
                <w:rFonts w:ascii="Arial" w:hAnsi="Arial" w:cs="Arial"/>
                <w:b/>
                <w:sz w:val="20"/>
                <w:szCs w:val="20"/>
              </w:rPr>
            </w:pPr>
            <w:r w:rsidRPr="009D5D75">
              <w:rPr>
                <w:rFonts w:ascii="Arial" w:hAnsi="Arial" w:cs="Arial"/>
                <w:b/>
                <w:sz w:val="20"/>
                <w:szCs w:val="20"/>
              </w:rPr>
              <w:t>Contract Month</w:t>
            </w:r>
          </w:p>
        </w:tc>
        <w:tc>
          <w:tcPr>
            <w:tcW w:w="851" w:type="dxa"/>
          </w:tcPr>
          <w:p w14:paraId="67D86CA1" w14:textId="3445B587"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1</w:t>
            </w:r>
          </w:p>
        </w:tc>
        <w:tc>
          <w:tcPr>
            <w:tcW w:w="850" w:type="dxa"/>
          </w:tcPr>
          <w:p w14:paraId="74CC3F04" w14:textId="7151D189"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2</w:t>
            </w:r>
          </w:p>
        </w:tc>
        <w:tc>
          <w:tcPr>
            <w:tcW w:w="851" w:type="dxa"/>
          </w:tcPr>
          <w:p w14:paraId="5A9A772F" w14:textId="6AE05846"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3</w:t>
            </w:r>
          </w:p>
        </w:tc>
        <w:tc>
          <w:tcPr>
            <w:tcW w:w="850" w:type="dxa"/>
          </w:tcPr>
          <w:p w14:paraId="72DB344A" w14:textId="3BA757A9"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4</w:t>
            </w:r>
          </w:p>
        </w:tc>
        <w:tc>
          <w:tcPr>
            <w:tcW w:w="851" w:type="dxa"/>
          </w:tcPr>
          <w:p w14:paraId="5E720280" w14:textId="1DDACD55"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5</w:t>
            </w:r>
          </w:p>
        </w:tc>
        <w:tc>
          <w:tcPr>
            <w:tcW w:w="885" w:type="dxa"/>
          </w:tcPr>
          <w:p w14:paraId="56D6E002" w14:textId="6E03EEAC"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6</w:t>
            </w:r>
          </w:p>
        </w:tc>
        <w:tc>
          <w:tcPr>
            <w:tcW w:w="966" w:type="dxa"/>
          </w:tcPr>
          <w:p w14:paraId="0C5CA211" w14:textId="27E8308D"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7</w:t>
            </w:r>
          </w:p>
        </w:tc>
        <w:tc>
          <w:tcPr>
            <w:tcW w:w="966" w:type="dxa"/>
          </w:tcPr>
          <w:p w14:paraId="58C22AE2" w14:textId="119B52A3"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8</w:t>
            </w:r>
          </w:p>
        </w:tc>
        <w:tc>
          <w:tcPr>
            <w:tcW w:w="966" w:type="dxa"/>
          </w:tcPr>
          <w:p w14:paraId="2BF40F99" w14:textId="0EBE00A6"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9</w:t>
            </w:r>
          </w:p>
        </w:tc>
        <w:tc>
          <w:tcPr>
            <w:tcW w:w="966" w:type="dxa"/>
          </w:tcPr>
          <w:p w14:paraId="4D071ED9" w14:textId="2A2B9415"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10</w:t>
            </w:r>
          </w:p>
        </w:tc>
        <w:tc>
          <w:tcPr>
            <w:tcW w:w="966" w:type="dxa"/>
          </w:tcPr>
          <w:p w14:paraId="25374280" w14:textId="64DCB0CF"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11</w:t>
            </w:r>
          </w:p>
        </w:tc>
        <w:tc>
          <w:tcPr>
            <w:tcW w:w="966" w:type="dxa"/>
          </w:tcPr>
          <w:p w14:paraId="53FEEFE8" w14:textId="0177E479"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12</w:t>
            </w:r>
          </w:p>
        </w:tc>
        <w:tc>
          <w:tcPr>
            <w:tcW w:w="2816" w:type="dxa"/>
          </w:tcPr>
          <w:p w14:paraId="76467517" w14:textId="76226BC8" w:rsidR="007A24E8" w:rsidRPr="007A24E8" w:rsidRDefault="007A24E8" w:rsidP="007A24E8">
            <w:pPr>
              <w:ind w:left="0" w:firstLine="0"/>
              <w:jc w:val="center"/>
              <w:rPr>
                <w:rFonts w:ascii="Arial" w:hAnsi="Arial" w:cs="Arial"/>
                <w:b/>
                <w:sz w:val="20"/>
                <w:szCs w:val="20"/>
              </w:rPr>
            </w:pPr>
            <w:r w:rsidRPr="007A24E8">
              <w:rPr>
                <w:rFonts w:ascii="Arial" w:hAnsi="Arial" w:cs="Arial"/>
                <w:b/>
                <w:sz w:val="20"/>
                <w:szCs w:val="20"/>
              </w:rPr>
              <w:t>TOTAL</w:t>
            </w:r>
          </w:p>
        </w:tc>
      </w:tr>
      <w:tr w:rsidR="007A24E8" w:rsidRPr="009D5D75" w14:paraId="2B67DB83" w14:textId="77777777" w:rsidTr="007A24E8">
        <w:tc>
          <w:tcPr>
            <w:tcW w:w="1702" w:type="dxa"/>
          </w:tcPr>
          <w:p w14:paraId="0A5C2D7F" w14:textId="5CC0DDB1" w:rsidR="007A24E8" w:rsidRPr="009D5D75" w:rsidRDefault="007A24E8" w:rsidP="007A24E8">
            <w:pPr>
              <w:ind w:left="0" w:firstLine="0"/>
              <w:jc w:val="center"/>
              <w:rPr>
                <w:rFonts w:ascii="Arial" w:hAnsi="Arial" w:cs="Arial"/>
                <w:b/>
                <w:sz w:val="20"/>
                <w:szCs w:val="20"/>
              </w:rPr>
            </w:pPr>
            <w:r w:rsidRPr="009D5D75">
              <w:rPr>
                <w:rFonts w:ascii="Arial" w:hAnsi="Arial" w:cs="Arial"/>
                <w:b/>
                <w:sz w:val="20"/>
                <w:szCs w:val="20"/>
              </w:rPr>
              <w:t>Monthly Cost</w:t>
            </w:r>
          </w:p>
        </w:tc>
        <w:tc>
          <w:tcPr>
            <w:tcW w:w="851" w:type="dxa"/>
            <w:shd w:val="clear" w:color="auto" w:fill="FFFF00"/>
          </w:tcPr>
          <w:p w14:paraId="0D4A23D4" w14:textId="0611C7B3"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35,315 </w:t>
            </w:r>
          </w:p>
        </w:tc>
        <w:tc>
          <w:tcPr>
            <w:tcW w:w="850" w:type="dxa"/>
            <w:shd w:val="clear" w:color="auto" w:fill="FFFF00"/>
          </w:tcPr>
          <w:p w14:paraId="704D2274" w14:textId="7326C237"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35,315 </w:t>
            </w:r>
          </w:p>
        </w:tc>
        <w:tc>
          <w:tcPr>
            <w:tcW w:w="851" w:type="dxa"/>
            <w:shd w:val="clear" w:color="auto" w:fill="FFFF00"/>
          </w:tcPr>
          <w:p w14:paraId="5A2F9CF2" w14:textId="30F5ADEB"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35,315 </w:t>
            </w:r>
          </w:p>
        </w:tc>
        <w:tc>
          <w:tcPr>
            <w:tcW w:w="850" w:type="dxa"/>
            <w:shd w:val="clear" w:color="auto" w:fill="FFFF00"/>
          </w:tcPr>
          <w:p w14:paraId="6FA4E3D3" w14:textId="5C1DE69D"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35,315 </w:t>
            </w:r>
          </w:p>
        </w:tc>
        <w:tc>
          <w:tcPr>
            <w:tcW w:w="851" w:type="dxa"/>
            <w:shd w:val="clear" w:color="auto" w:fill="FFFF00"/>
          </w:tcPr>
          <w:p w14:paraId="23C515C8" w14:textId="0224F180"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35,033 </w:t>
            </w:r>
          </w:p>
        </w:tc>
        <w:tc>
          <w:tcPr>
            <w:tcW w:w="885" w:type="dxa"/>
            <w:shd w:val="clear" w:color="auto" w:fill="FFFF00"/>
          </w:tcPr>
          <w:p w14:paraId="5AE16482" w14:textId="5E517485"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35,020 </w:t>
            </w:r>
          </w:p>
        </w:tc>
        <w:tc>
          <w:tcPr>
            <w:tcW w:w="966" w:type="dxa"/>
            <w:shd w:val="clear" w:color="auto" w:fill="FFFF00"/>
          </w:tcPr>
          <w:p w14:paraId="13D9BAAD" w14:textId="75EFF4EC"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35,197 </w:t>
            </w:r>
          </w:p>
        </w:tc>
        <w:tc>
          <w:tcPr>
            <w:tcW w:w="966" w:type="dxa"/>
            <w:shd w:val="clear" w:color="auto" w:fill="FFFF00"/>
          </w:tcPr>
          <w:p w14:paraId="22DB4475" w14:textId="79543084"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35,197 </w:t>
            </w:r>
          </w:p>
        </w:tc>
        <w:tc>
          <w:tcPr>
            <w:tcW w:w="966" w:type="dxa"/>
            <w:shd w:val="clear" w:color="auto" w:fill="FFFF00"/>
          </w:tcPr>
          <w:p w14:paraId="50DE0C87" w14:textId="2DD62905"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35,197 </w:t>
            </w:r>
          </w:p>
        </w:tc>
        <w:tc>
          <w:tcPr>
            <w:tcW w:w="966" w:type="dxa"/>
            <w:shd w:val="clear" w:color="auto" w:fill="FFFF00"/>
          </w:tcPr>
          <w:p w14:paraId="71937094" w14:textId="0BF08268"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35,197 </w:t>
            </w:r>
          </w:p>
        </w:tc>
        <w:tc>
          <w:tcPr>
            <w:tcW w:w="966" w:type="dxa"/>
            <w:shd w:val="clear" w:color="auto" w:fill="FFFF00"/>
          </w:tcPr>
          <w:p w14:paraId="4052E04B" w14:textId="24C77E3D"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35,195 </w:t>
            </w:r>
          </w:p>
        </w:tc>
        <w:tc>
          <w:tcPr>
            <w:tcW w:w="966" w:type="dxa"/>
            <w:shd w:val="clear" w:color="auto" w:fill="FFFF00"/>
          </w:tcPr>
          <w:p w14:paraId="467360E8" w14:textId="1442B551" w:rsidR="007A24E8" w:rsidRPr="007A24E8" w:rsidRDefault="007A24E8" w:rsidP="007A24E8">
            <w:pPr>
              <w:ind w:left="0" w:firstLine="0"/>
              <w:jc w:val="center"/>
              <w:rPr>
                <w:rFonts w:ascii="Arial" w:hAnsi="Arial" w:cs="Arial"/>
                <w:bCs/>
                <w:sz w:val="20"/>
                <w:szCs w:val="20"/>
              </w:rPr>
            </w:pPr>
            <w:r w:rsidRPr="007A24E8">
              <w:rPr>
                <w:rFonts w:ascii="Arial" w:hAnsi="Arial" w:cs="Arial"/>
                <w:sz w:val="20"/>
                <w:szCs w:val="20"/>
              </w:rPr>
              <w:t xml:space="preserve">35,195 </w:t>
            </w:r>
          </w:p>
        </w:tc>
        <w:tc>
          <w:tcPr>
            <w:tcW w:w="2816" w:type="dxa"/>
            <w:shd w:val="clear" w:color="auto" w:fill="9CC2E5" w:themeFill="accent1" w:themeFillTint="99"/>
          </w:tcPr>
          <w:p w14:paraId="53597EF2" w14:textId="54A80FEA" w:rsidR="007A24E8" w:rsidRPr="007A24E8" w:rsidRDefault="007A24E8" w:rsidP="007A24E8">
            <w:pPr>
              <w:ind w:left="0" w:firstLine="0"/>
              <w:jc w:val="center"/>
              <w:rPr>
                <w:rFonts w:ascii="Arial" w:hAnsi="Arial" w:cs="Arial"/>
                <w:b/>
                <w:bCs/>
                <w:sz w:val="20"/>
                <w:szCs w:val="20"/>
              </w:rPr>
            </w:pPr>
            <w:r w:rsidRPr="007A24E8">
              <w:rPr>
                <w:rFonts w:ascii="Arial" w:hAnsi="Arial" w:cs="Arial"/>
                <w:b/>
                <w:bCs/>
                <w:sz w:val="20"/>
                <w:szCs w:val="20"/>
              </w:rPr>
              <w:t xml:space="preserve">422,490 </w:t>
            </w:r>
          </w:p>
        </w:tc>
      </w:tr>
      <w:tr w:rsidR="007A24E8" w:rsidRPr="009D5D75" w14:paraId="67085E63" w14:textId="77777777" w:rsidTr="007A24E8">
        <w:trPr>
          <w:trHeight w:val="165"/>
        </w:trPr>
        <w:tc>
          <w:tcPr>
            <w:tcW w:w="15452" w:type="dxa"/>
            <w:gridSpan w:val="14"/>
          </w:tcPr>
          <w:p w14:paraId="0AA49582" w14:textId="77777777" w:rsidR="007A24E8" w:rsidRPr="007A24E8" w:rsidRDefault="007A24E8" w:rsidP="007A24E8">
            <w:pPr>
              <w:ind w:left="0" w:firstLine="0"/>
              <w:jc w:val="center"/>
              <w:rPr>
                <w:rFonts w:cs="Arial"/>
                <w:szCs w:val="20"/>
              </w:rPr>
            </w:pPr>
          </w:p>
        </w:tc>
      </w:tr>
      <w:tr w:rsidR="007A24E8" w:rsidRPr="009D5D75" w14:paraId="60B1BD4C" w14:textId="77777777" w:rsidTr="00CB3B25">
        <w:tc>
          <w:tcPr>
            <w:tcW w:w="1702" w:type="dxa"/>
          </w:tcPr>
          <w:p w14:paraId="33DA952A" w14:textId="77777777" w:rsidR="007A24E8" w:rsidRPr="009D5D75" w:rsidRDefault="007A24E8" w:rsidP="007A24E8">
            <w:pPr>
              <w:ind w:left="0" w:firstLine="0"/>
              <w:jc w:val="center"/>
              <w:rPr>
                <w:rFonts w:cs="Arial"/>
                <w:b/>
                <w:szCs w:val="20"/>
              </w:rPr>
            </w:pPr>
          </w:p>
        </w:tc>
        <w:tc>
          <w:tcPr>
            <w:tcW w:w="10934" w:type="dxa"/>
            <w:gridSpan w:val="12"/>
            <w:shd w:val="clear" w:color="auto" w:fill="D9D9D9" w:themeFill="background1" w:themeFillShade="D9"/>
            <w:vAlign w:val="bottom"/>
          </w:tcPr>
          <w:p w14:paraId="78432CD0" w14:textId="09F73D0E" w:rsidR="007A24E8" w:rsidRPr="007A24E8" w:rsidRDefault="007A24E8" w:rsidP="007A24E8">
            <w:pPr>
              <w:ind w:left="0" w:firstLine="0"/>
              <w:jc w:val="center"/>
              <w:rPr>
                <w:rFonts w:ascii="Arial" w:hAnsi="Arial" w:cs="Arial"/>
                <w:b/>
                <w:bCs/>
                <w:sz w:val="20"/>
                <w:szCs w:val="20"/>
              </w:rPr>
            </w:pPr>
            <w:r w:rsidRPr="007A24E8">
              <w:rPr>
                <w:rFonts w:ascii="Arial" w:hAnsi="Arial" w:cs="Arial"/>
                <w:b/>
                <w:bCs/>
                <w:color w:val="000000"/>
                <w:sz w:val="20"/>
                <w:szCs w:val="20"/>
                <w:lang w:eastAsia="en-GB"/>
              </w:rPr>
              <w:t>TOTAL BASE OVERHEAD CHARGES (5 YEARS)</w:t>
            </w:r>
          </w:p>
        </w:tc>
        <w:tc>
          <w:tcPr>
            <w:tcW w:w="2816" w:type="dxa"/>
            <w:shd w:val="clear" w:color="auto" w:fill="9CC2E5" w:themeFill="accent1" w:themeFillTint="99"/>
            <w:vAlign w:val="bottom"/>
          </w:tcPr>
          <w:p w14:paraId="441B26F1" w14:textId="6CEDF064" w:rsidR="007A24E8" w:rsidRPr="007A24E8" w:rsidRDefault="007A24E8" w:rsidP="007A24E8">
            <w:pPr>
              <w:ind w:left="0" w:firstLine="0"/>
              <w:jc w:val="center"/>
              <w:rPr>
                <w:rFonts w:ascii="Arial" w:hAnsi="Arial" w:cs="Arial"/>
                <w:b/>
                <w:bCs/>
                <w:sz w:val="20"/>
                <w:szCs w:val="20"/>
              </w:rPr>
            </w:pPr>
            <w:r w:rsidRPr="007A24E8">
              <w:rPr>
                <w:rFonts w:ascii="Arial" w:hAnsi="Arial" w:cs="Arial"/>
                <w:b/>
                <w:bCs/>
                <w:color w:val="000000"/>
                <w:sz w:val="20"/>
                <w:szCs w:val="20"/>
                <w:lang w:eastAsia="en-GB"/>
              </w:rPr>
              <w:t xml:space="preserve">  2,066,046 </w:t>
            </w:r>
          </w:p>
        </w:tc>
      </w:tr>
    </w:tbl>
    <w:p w14:paraId="3398C2AE" w14:textId="2A2FF0E9" w:rsidR="004C127E" w:rsidRDefault="004C127E" w:rsidP="00A962C1">
      <w:pPr>
        <w:jc w:val="center"/>
        <w:rPr>
          <w:rFonts w:cs="Arial"/>
          <w:bCs/>
          <w:szCs w:val="20"/>
        </w:rPr>
      </w:pPr>
    </w:p>
    <w:p w14:paraId="10BA0F7C" w14:textId="77777777" w:rsidR="00623990" w:rsidRPr="000E5786" w:rsidRDefault="00623990" w:rsidP="00A962C1">
      <w:pPr>
        <w:jc w:val="center"/>
        <w:rPr>
          <w:rFonts w:eastAsia="Arial" w:cs="Arial"/>
          <w:spacing w:val="-1"/>
          <w:szCs w:val="20"/>
        </w:rPr>
        <w:sectPr w:rsidR="00623990" w:rsidRPr="000E5786" w:rsidSect="007A24E8">
          <w:pgSz w:w="16840" w:h="11907" w:orient="landscape" w:code="9"/>
          <w:pgMar w:top="1418" w:right="1418" w:bottom="993" w:left="1134" w:header="709" w:footer="709" w:gutter="0"/>
          <w:cols w:space="708"/>
          <w:titlePg/>
          <w:docGrid w:linePitch="360"/>
        </w:sectPr>
      </w:pPr>
    </w:p>
    <w:p w14:paraId="5DFB7776" w14:textId="30ED5692" w:rsidR="00A962C1" w:rsidRPr="000E5786" w:rsidRDefault="00A962C1" w:rsidP="00A962C1">
      <w:pPr>
        <w:pStyle w:val="Heading1"/>
        <w:numPr>
          <w:ilvl w:val="0"/>
          <w:numId w:val="0"/>
        </w:numPr>
        <w:spacing w:before="90"/>
        <w:ind w:left="709" w:right="1438" w:hanging="709"/>
        <w:jc w:val="center"/>
        <w:rPr>
          <w:rFonts w:cs="Arial"/>
          <w:szCs w:val="20"/>
        </w:rPr>
      </w:pPr>
      <w:r w:rsidRPr="000E5786">
        <w:rPr>
          <w:rFonts w:cs="Arial"/>
          <w:szCs w:val="20"/>
        </w:rPr>
        <w:lastRenderedPageBreak/>
        <w:t>SCHEDULE 7.</w:t>
      </w:r>
      <w:r>
        <w:rPr>
          <w:rFonts w:cs="Arial"/>
          <w:szCs w:val="20"/>
        </w:rPr>
        <w:t>5</w:t>
      </w:r>
    </w:p>
    <w:p w14:paraId="1322DDA2" w14:textId="71AFE9EA" w:rsidR="00A962C1" w:rsidRDefault="00A962C1" w:rsidP="00A962C1">
      <w:pPr>
        <w:pStyle w:val="Heading1"/>
        <w:numPr>
          <w:ilvl w:val="0"/>
          <w:numId w:val="0"/>
        </w:numPr>
        <w:spacing w:before="90"/>
        <w:ind w:left="709" w:right="1438" w:hanging="709"/>
        <w:jc w:val="center"/>
        <w:rPr>
          <w:rFonts w:cs="Arial"/>
          <w:szCs w:val="20"/>
        </w:rPr>
      </w:pPr>
      <w:r>
        <w:rPr>
          <w:rFonts w:cs="Arial"/>
          <w:szCs w:val="20"/>
        </w:rPr>
        <w:t>NOT USED</w:t>
      </w:r>
    </w:p>
    <w:p w14:paraId="04AD9DF0" w14:textId="77777777" w:rsidR="00A962C1" w:rsidRDefault="00A962C1">
      <w:pPr>
        <w:rPr>
          <w:rFonts w:cs="Arial"/>
          <w:b/>
          <w:bCs/>
          <w:caps/>
          <w:szCs w:val="20"/>
        </w:rPr>
      </w:pPr>
      <w:r>
        <w:rPr>
          <w:rFonts w:cs="Arial"/>
          <w:szCs w:val="20"/>
        </w:rPr>
        <w:br w:type="page"/>
      </w:r>
    </w:p>
    <w:p w14:paraId="1C1EE2DA" w14:textId="519D3D55" w:rsidR="00A962C1" w:rsidRDefault="00A962C1" w:rsidP="00F2428A">
      <w:pPr>
        <w:pStyle w:val="Heading1"/>
        <w:numPr>
          <w:ilvl w:val="0"/>
          <w:numId w:val="0"/>
        </w:numPr>
        <w:spacing w:before="90"/>
        <w:ind w:left="1134" w:right="1438"/>
        <w:jc w:val="center"/>
        <w:rPr>
          <w:rFonts w:cs="Arial"/>
          <w:szCs w:val="20"/>
        </w:rPr>
      </w:pPr>
      <w:r w:rsidRPr="000E5786">
        <w:rPr>
          <w:rFonts w:cs="Arial"/>
          <w:szCs w:val="20"/>
        </w:rPr>
        <w:lastRenderedPageBreak/>
        <w:t>SCHEDULE 7.</w:t>
      </w:r>
      <w:r>
        <w:rPr>
          <w:rFonts w:cs="Arial"/>
          <w:szCs w:val="20"/>
        </w:rPr>
        <w:t>6</w:t>
      </w:r>
    </w:p>
    <w:p w14:paraId="0767D3BA" w14:textId="688D9CB9" w:rsidR="003E2FE6" w:rsidRPr="004D3090" w:rsidRDefault="00F2428A" w:rsidP="003E2FE6">
      <w:pPr>
        <w:pStyle w:val="BodyText"/>
        <w:ind w:left="0" w:firstLine="0"/>
        <w:jc w:val="center"/>
        <w:rPr>
          <w:rFonts w:cs="Arial"/>
          <w:szCs w:val="20"/>
        </w:rPr>
      </w:pPr>
      <w:r w:rsidRPr="00F2428A">
        <w:rPr>
          <w:b/>
          <w:bCs/>
        </w:rPr>
        <w:t>FINANCIAL REPORTS AND AUDIT RIGHTS</w:t>
      </w:r>
      <w:r w:rsidR="003E2FE6" w:rsidRPr="004D3090">
        <w:rPr>
          <w:rFonts w:eastAsia="Verdana" w:cs="Arial"/>
          <w:b/>
          <w:szCs w:val="20"/>
        </w:rPr>
        <w:t xml:space="preserve"> </w:t>
      </w:r>
    </w:p>
    <w:p w14:paraId="634B6BA2" w14:textId="77777777" w:rsidR="003E2FE6" w:rsidRPr="00C9221F" w:rsidRDefault="003E2FE6" w:rsidP="009D675B">
      <w:pPr>
        <w:pStyle w:val="Heading1"/>
        <w:keepNext w:val="0"/>
        <w:numPr>
          <w:ilvl w:val="0"/>
          <w:numId w:val="86"/>
        </w:numPr>
        <w:spacing w:after="234" w:line="249" w:lineRule="auto"/>
        <w:ind w:right="47"/>
        <w:rPr>
          <w:rFonts w:cs="Arial"/>
          <w:szCs w:val="20"/>
        </w:rPr>
      </w:pPr>
      <w:r w:rsidRPr="00C9221F">
        <w:rPr>
          <w:rFonts w:cs="Arial"/>
          <w:szCs w:val="20"/>
        </w:rPr>
        <w:t xml:space="preserve">DEFINITIONS </w:t>
      </w:r>
    </w:p>
    <w:p w14:paraId="5F6D0C94" w14:textId="77777777" w:rsidR="003E2FE6" w:rsidRPr="004D3090" w:rsidRDefault="003E2FE6" w:rsidP="003E2FE6">
      <w:pPr>
        <w:spacing w:after="100" w:afterAutospacing="1" w:line="249" w:lineRule="auto"/>
        <w:ind w:left="709" w:right="47" w:firstLine="0"/>
        <w:rPr>
          <w:rFonts w:cs="Arial"/>
          <w:szCs w:val="20"/>
        </w:rPr>
      </w:pPr>
      <w:r w:rsidRPr="004D3090">
        <w:rPr>
          <w:rFonts w:eastAsia="Verdana" w:cs="Arial"/>
          <w:szCs w:val="20"/>
        </w:rPr>
        <w:t xml:space="preserve">In this Schedule, the following definitions shall apply: </w:t>
      </w:r>
    </w:p>
    <w:tbl>
      <w:tblPr>
        <w:tblStyle w:val="TableGrid1"/>
        <w:tblW w:w="8482" w:type="dxa"/>
        <w:tblInd w:w="709" w:type="dxa"/>
        <w:tblLook w:val="04A0" w:firstRow="1" w:lastRow="0" w:firstColumn="1" w:lastColumn="0" w:noHBand="0" w:noVBand="1"/>
      </w:tblPr>
      <w:tblGrid>
        <w:gridCol w:w="3119"/>
        <w:gridCol w:w="5363"/>
      </w:tblGrid>
      <w:tr w:rsidR="003E2FE6" w:rsidRPr="004D3090" w14:paraId="1D396503" w14:textId="77777777" w:rsidTr="003E2FE6">
        <w:trPr>
          <w:trHeight w:val="1011"/>
        </w:trPr>
        <w:tc>
          <w:tcPr>
            <w:tcW w:w="3119" w:type="dxa"/>
            <w:tcBorders>
              <w:top w:val="nil"/>
              <w:left w:val="nil"/>
              <w:bottom w:val="nil"/>
              <w:right w:val="nil"/>
            </w:tcBorders>
          </w:tcPr>
          <w:p w14:paraId="758864BA" w14:textId="77777777" w:rsidR="003E2FE6" w:rsidRPr="004D3090" w:rsidRDefault="003E2FE6" w:rsidP="009402CF">
            <w:pPr>
              <w:rPr>
                <w:rFonts w:ascii="Arial" w:hAnsi="Arial" w:cs="Arial"/>
                <w:sz w:val="20"/>
                <w:szCs w:val="20"/>
              </w:rPr>
            </w:pPr>
            <w:r w:rsidRPr="004D3090">
              <w:rPr>
                <w:rFonts w:ascii="Arial" w:eastAsia="Verdana" w:hAnsi="Arial" w:cs="Arial"/>
                <w:b/>
                <w:sz w:val="20"/>
                <w:szCs w:val="20"/>
              </w:rPr>
              <w:t xml:space="preserve">“Annual Contract Report” </w:t>
            </w:r>
          </w:p>
        </w:tc>
        <w:tc>
          <w:tcPr>
            <w:tcW w:w="5363" w:type="dxa"/>
            <w:tcBorders>
              <w:top w:val="nil"/>
              <w:left w:val="nil"/>
              <w:bottom w:val="nil"/>
              <w:right w:val="nil"/>
            </w:tcBorders>
          </w:tcPr>
          <w:p w14:paraId="0C8D210B" w14:textId="2BA7FA5C" w:rsidR="003E2FE6" w:rsidRPr="004D3090" w:rsidRDefault="003E2FE6" w:rsidP="009402CF">
            <w:pPr>
              <w:ind w:right="61"/>
              <w:jc w:val="both"/>
              <w:rPr>
                <w:rFonts w:ascii="Arial" w:hAnsi="Arial" w:cs="Arial"/>
                <w:sz w:val="20"/>
                <w:szCs w:val="20"/>
              </w:rPr>
            </w:pPr>
            <w:r w:rsidRPr="004D3090">
              <w:rPr>
                <w:rFonts w:ascii="Arial" w:eastAsia="Verdana" w:hAnsi="Arial" w:cs="Arial"/>
                <w:sz w:val="20"/>
                <w:szCs w:val="20"/>
              </w:rPr>
              <w:t xml:space="preserve">the annual contract report to be provided by the Supplier to </w:t>
            </w:r>
            <w:proofErr w:type="spellStart"/>
            <w:r w:rsidR="001F1C19">
              <w:rPr>
                <w:rFonts w:ascii="Arial" w:eastAsia="Verdana" w:hAnsi="Arial" w:cs="Arial"/>
                <w:sz w:val="20"/>
                <w:szCs w:val="20"/>
              </w:rPr>
              <w:t>Netlink</w:t>
            </w:r>
            <w:proofErr w:type="spellEnd"/>
            <w:r w:rsidR="001F1C19">
              <w:rPr>
                <w:rFonts w:ascii="Arial" w:eastAsia="Verdana" w:hAnsi="Arial" w:cs="Arial"/>
                <w:sz w:val="20"/>
                <w:szCs w:val="20"/>
              </w:rPr>
              <w:t xml:space="preserve"> Star</w:t>
            </w:r>
            <w:r w:rsidRPr="004D3090">
              <w:rPr>
                <w:rFonts w:ascii="Arial" w:eastAsia="Verdana" w:hAnsi="Arial" w:cs="Arial"/>
                <w:sz w:val="20"/>
                <w:szCs w:val="20"/>
              </w:rPr>
              <w:t xml:space="preserve"> pursuant to Paragraph 1 of Part B of Schedule 7.6 (Financial Reports and Audit Rights); </w:t>
            </w:r>
          </w:p>
        </w:tc>
      </w:tr>
      <w:tr w:rsidR="003E2FE6" w:rsidRPr="004D3090" w14:paraId="5D87634D" w14:textId="77777777" w:rsidTr="003E2FE6">
        <w:trPr>
          <w:trHeight w:val="4068"/>
        </w:trPr>
        <w:tc>
          <w:tcPr>
            <w:tcW w:w="3119" w:type="dxa"/>
            <w:tcBorders>
              <w:top w:val="nil"/>
              <w:left w:val="nil"/>
              <w:bottom w:val="nil"/>
              <w:right w:val="nil"/>
            </w:tcBorders>
          </w:tcPr>
          <w:p w14:paraId="3DE4D88A" w14:textId="77777777" w:rsidR="003E2FE6" w:rsidRPr="004D3090" w:rsidRDefault="003E2FE6" w:rsidP="009402CF">
            <w:pPr>
              <w:rPr>
                <w:rFonts w:ascii="Arial" w:hAnsi="Arial" w:cs="Arial"/>
                <w:sz w:val="20"/>
                <w:szCs w:val="20"/>
              </w:rPr>
            </w:pPr>
            <w:r w:rsidRPr="004D3090">
              <w:rPr>
                <w:rFonts w:ascii="Arial" w:eastAsia="Verdana" w:hAnsi="Arial" w:cs="Arial"/>
                <w:b/>
                <w:sz w:val="20"/>
                <w:szCs w:val="20"/>
              </w:rPr>
              <w:t xml:space="preserve">“Audit Agents” </w:t>
            </w:r>
          </w:p>
        </w:tc>
        <w:tc>
          <w:tcPr>
            <w:tcW w:w="5363" w:type="dxa"/>
            <w:tcBorders>
              <w:top w:val="nil"/>
              <w:left w:val="nil"/>
              <w:bottom w:val="nil"/>
              <w:right w:val="nil"/>
            </w:tcBorders>
            <w:vAlign w:val="center"/>
          </w:tcPr>
          <w:p w14:paraId="0F5405AB" w14:textId="663C752F" w:rsidR="003E2FE6" w:rsidRPr="004D3090" w:rsidRDefault="001F1C19" w:rsidP="009D675B">
            <w:pPr>
              <w:numPr>
                <w:ilvl w:val="0"/>
                <w:numId w:val="81"/>
              </w:numPr>
              <w:spacing w:after="236" w:line="244" w:lineRule="auto"/>
              <w:ind w:hanging="852"/>
              <w:rPr>
                <w:rFonts w:ascii="Arial" w:hAnsi="Arial" w:cs="Arial"/>
                <w:sz w:val="20"/>
                <w:szCs w:val="20"/>
              </w:rPr>
            </w:pPr>
            <w:proofErr w:type="spellStart"/>
            <w:r>
              <w:rPr>
                <w:rFonts w:ascii="Arial" w:eastAsia="Verdana" w:hAnsi="Arial" w:cs="Arial"/>
                <w:sz w:val="20"/>
                <w:szCs w:val="20"/>
              </w:rPr>
              <w:t>Netlink</w:t>
            </w:r>
            <w:proofErr w:type="spellEnd"/>
            <w:r>
              <w:rPr>
                <w:rFonts w:ascii="Arial" w:eastAsia="Verdana" w:hAnsi="Arial" w:cs="Arial"/>
                <w:sz w:val="20"/>
                <w:szCs w:val="20"/>
              </w:rPr>
              <w:t xml:space="preserve"> Star</w:t>
            </w:r>
            <w:r w:rsidR="003E2FE6" w:rsidRPr="004D3090">
              <w:rPr>
                <w:rFonts w:ascii="Arial" w:eastAsia="Verdana" w:hAnsi="Arial" w:cs="Arial"/>
                <w:sz w:val="20"/>
                <w:szCs w:val="20"/>
              </w:rPr>
              <w:t xml:space="preserve">’s internal and external </w:t>
            </w:r>
            <w:proofErr w:type="gramStart"/>
            <w:r w:rsidR="003E2FE6" w:rsidRPr="004D3090">
              <w:rPr>
                <w:rFonts w:ascii="Arial" w:eastAsia="Verdana" w:hAnsi="Arial" w:cs="Arial"/>
                <w:sz w:val="20"/>
                <w:szCs w:val="20"/>
              </w:rPr>
              <w:t>auditors;</w:t>
            </w:r>
            <w:proofErr w:type="gramEnd"/>
            <w:r w:rsidR="003E2FE6" w:rsidRPr="004D3090">
              <w:rPr>
                <w:rFonts w:ascii="Arial" w:eastAsia="Verdana" w:hAnsi="Arial" w:cs="Arial"/>
                <w:sz w:val="20"/>
                <w:szCs w:val="20"/>
              </w:rPr>
              <w:t xml:space="preserve"> </w:t>
            </w:r>
          </w:p>
          <w:p w14:paraId="256A3B4D" w14:textId="38687D24" w:rsidR="003E2FE6" w:rsidRPr="004D3090" w:rsidRDefault="001F1C19" w:rsidP="009D675B">
            <w:pPr>
              <w:numPr>
                <w:ilvl w:val="0"/>
                <w:numId w:val="81"/>
              </w:numPr>
              <w:spacing w:after="236" w:line="244" w:lineRule="auto"/>
              <w:ind w:hanging="852"/>
              <w:rPr>
                <w:rFonts w:ascii="Arial" w:hAnsi="Arial" w:cs="Arial"/>
                <w:sz w:val="20"/>
                <w:szCs w:val="20"/>
              </w:rPr>
            </w:pPr>
            <w:proofErr w:type="spellStart"/>
            <w:r>
              <w:rPr>
                <w:rFonts w:ascii="Arial" w:eastAsia="Verdana" w:hAnsi="Arial" w:cs="Arial"/>
                <w:sz w:val="20"/>
                <w:szCs w:val="20"/>
              </w:rPr>
              <w:t>Netlink</w:t>
            </w:r>
            <w:proofErr w:type="spellEnd"/>
            <w:r>
              <w:rPr>
                <w:rFonts w:ascii="Arial" w:eastAsia="Verdana" w:hAnsi="Arial" w:cs="Arial"/>
                <w:sz w:val="20"/>
                <w:szCs w:val="20"/>
              </w:rPr>
              <w:t xml:space="preserve"> Star</w:t>
            </w:r>
            <w:r w:rsidR="003E2FE6" w:rsidRPr="004D3090">
              <w:rPr>
                <w:rFonts w:ascii="Arial" w:eastAsia="Verdana" w:hAnsi="Arial" w:cs="Arial"/>
                <w:sz w:val="20"/>
                <w:szCs w:val="20"/>
              </w:rPr>
              <w:t xml:space="preserve">’s statutory or regulatory </w:t>
            </w:r>
            <w:proofErr w:type="gramStart"/>
            <w:r w:rsidR="003E2FE6" w:rsidRPr="004D3090">
              <w:rPr>
                <w:rFonts w:ascii="Arial" w:eastAsia="Verdana" w:hAnsi="Arial" w:cs="Arial"/>
                <w:sz w:val="20"/>
                <w:szCs w:val="20"/>
              </w:rPr>
              <w:t>auditors;</w:t>
            </w:r>
            <w:proofErr w:type="gramEnd"/>
            <w:r w:rsidR="003E2FE6" w:rsidRPr="004D3090">
              <w:rPr>
                <w:rFonts w:ascii="Arial" w:eastAsia="Verdana" w:hAnsi="Arial" w:cs="Arial"/>
                <w:sz w:val="20"/>
                <w:szCs w:val="20"/>
              </w:rPr>
              <w:t xml:space="preserve"> </w:t>
            </w:r>
          </w:p>
          <w:p w14:paraId="7771CC11" w14:textId="77777777" w:rsidR="003E2FE6" w:rsidRPr="004D3090" w:rsidRDefault="003E2FE6" w:rsidP="009D675B">
            <w:pPr>
              <w:numPr>
                <w:ilvl w:val="0"/>
                <w:numId w:val="81"/>
              </w:numPr>
              <w:spacing w:after="237" w:line="243" w:lineRule="auto"/>
              <w:ind w:hanging="852"/>
              <w:rPr>
                <w:rFonts w:ascii="Arial" w:hAnsi="Arial" w:cs="Arial"/>
                <w:sz w:val="20"/>
                <w:szCs w:val="20"/>
              </w:rPr>
            </w:pPr>
            <w:r w:rsidRPr="004D3090">
              <w:rPr>
                <w:rFonts w:ascii="Arial" w:eastAsia="Verdana" w:hAnsi="Arial" w:cs="Arial"/>
                <w:sz w:val="20"/>
                <w:szCs w:val="20"/>
              </w:rPr>
              <w:t xml:space="preserve">the Controller and Auditor General, their staff and/or any appointed representatives of the National Audit </w:t>
            </w:r>
            <w:proofErr w:type="gramStart"/>
            <w:r w:rsidRPr="004D3090">
              <w:rPr>
                <w:rFonts w:ascii="Arial" w:eastAsia="Verdana" w:hAnsi="Arial" w:cs="Arial"/>
                <w:sz w:val="20"/>
                <w:szCs w:val="20"/>
              </w:rPr>
              <w:t>Office;</w:t>
            </w:r>
            <w:proofErr w:type="gramEnd"/>
            <w:r w:rsidRPr="004D3090">
              <w:rPr>
                <w:rFonts w:ascii="Arial" w:eastAsia="Verdana" w:hAnsi="Arial" w:cs="Arial"/>
                <w:sz w:val="20"/>
                <w:szCs w:val="20"/>
              </w:rPr>
              <w:t xml:space="preserve"> </w:t>
            </w:r>
          </w:p>
          <w:p w14:paraId="63AE92DF" w14:textId="77777777" w:rsidR="003E2FE6" w:rsidRPr="004D3090" w:rsidRDefault="003E2FE6" w:rsidP="009D675B">
            <w:pPr>
              <w:numPr>
                <w:ilvl w:val="0"/>
                <w:numId w:val="81"/>
              </w:numPr>
              <w:spacing w:after="226"/>
              <w:ind w:hanging="852"/>
              <w:rPr>
                <w:rFonts w:ascii="Arial" w:hAnsi="Arial" w:cs="Arial"/>
                <w:sz w:val="20"/>
                <w:szCs w:val="20"/>
              </w:rPr>
            </w:pPr>
            <w:r w:rsidRPr="004D3090">
              <w:rPr>
                <w:rFonts w:ascii="Arial" w:eastAsia="Verdana" w:hAnsi="Arial" w:cs="Arial"/>
                <w:sz w:val="20"/>
                <w:szCs w:val="20"/>
              </w:rPr>
              <w:t xml:space="preserve">HM Treasury or the Cabinet </w:t>
            </w:r>
            <w:proofErr w:type="gramStart"/>
            <w:r w:rsidRPr="004D3090">
              <w:rPr>
                <w:rFonts w:ascii="Arial" w:eastAsia="Verdana" w:hAnsi="Arial" w:cs="Arial"/>
                <w:sz w:val="20"/>
                <w:szCs w:val="20"/>
              </w:rPr>
              <w:t>Office;</w:t>
            </w:r>
            <w:proofErr w:type="gramEnd"/>
            <w:r w:rsidRPr="004D3090">
              <w:rPr>
                <w:rFonts w:ascii="Arial" w:eastAsia="Verdana" w:hAnsi="Arial" w:cs="Arial"/>
                <w:sz w:val="20"/>
                <w:szCs w:val="20"/>
              </w:rPr>
              <w:t xml:space="preserve"> </w:t>
            </w:r>
          </w:p>
          <w:p w14:paraId="3B456807" w14:textId="1B95AB97" w:rsidR="003E2FE6" w:rsidRPr="004D3090" w:rsidRDefault="003E2FE6" w:rsidP="009D675B">
            <w:pPr>
              <w:numPr>
                <w:ilvl w:val="0"/>
                <w:numId w:val="81"/>
              </w:numPr>
              <w:spacing w:after="241" w:line="241" w:lineRule="auto"/>
              <w:ind w:hanging="852"/>
              <w:rPr>
                <w:rFonts w:ascii="Arial" w:hAnsi="Arial" w:cs="Arial"/>
                <w:sz w:val="20"/>
                <w:szCs w:val="20"/>
              </w:rPr>
            </w:pPr>
            <w:r w:rsidRPr="004D3090">
              <w:rPr>
                <w:rFonts w:ascii="Arial" w:eastAsia="Verdana" w:hAnsi="Arial" w:cs="Arial"/>
                <w:sz w:val="20"/>
                <w:szCs w:val="20"/>
              </w:rPr>
              <w:t xml:space="preserve">any party formally appointed by </w:t>
            </w:r>
            <w:proofErr w:type="spellStart"/>
            <w:r w:rsidR="001F1C19">
              <w:rPr>
                <w:rFonts w:ascii="Arial" w:eastAsia="Verdana" w:hAnsi="Arial" w:cs="Arial"/>
                <w:sz w:val="20"/>
                <w:szCs w:val="20"/>
              </w:rPr>
              <w:t>Netlink</w:t>
            </w:r>
            <w:proofErr w:type="spellEnd"/>
            <w:r w:rsidR="001F1C19">
              <w:rPr>
                <w:rFonts w:ascii="Arial" w:eastAsia="Verdana" w:hAnsi="Arial" w:cs="Arial"/>
                <w:sz w:val="20"/>
                <w:szCs w:val="20"/>
              </w:rPr>
              <w:t xml:space="preserve"> Star</w:t>
            </w:r>
            <w:r w:rsidRPr="004D3090">
              <w:rPr>
                <w:rFonts w:ascii="Arial" w:eastAsia="Verdana" w:hAnsi="Arial" w:cs="Arial"/>
                <w:sz w:val="20"/>
                <w:szCs w:val="20"/>
              </w:rPr>
              <w:t xml:space="preserve"> to carry out audit or similar review functions; and </w:t>
            </w:r>
          </w:p>
          <w:p w14:paraId="70B4A769" w14:textId="77777777" w:rsidR="003E2FE6" w:rsidRPr="004D3090" w:rsidRDefault="003E2FE6" w:rsidP="009D675B">
            <w:pPr>
              <w:numPr>
                <w:ilvl w:val="0"/>
                <w:numId w:val="81"/>
              </w:numPr>
              <w:ind w:hanging="852"/>
              <w:rPr>
                <w:rFonts w:ascii="Arial" w:hAnsi="Arial" w:cs="Arial"/>
                <w:sz w:val="20"/>
                <w:szCs w:val="20"/>
              </w:rPr>
            </w:pPr>
            <w:r w:rsidRPr="004D3090">
              <w:rPr>
                <w:rFonts w:ascii="Arial" w:eastAsia="Verdana" w:hAnsi="Arial" w:cs="Arial"/>
                <w:sz w:val="20"/>
                <w:szCs w:val="20"/>
              </w:rPr>
              <w:t xml:space="preserve">successors or assigns of any of the above; </w:t>
            </w:r>
          </w:p>
        </w:tc>
      </w:tr>
      <w:tr w:rsidR="003E2FE6" w:rsidRPr="004D3090" w14:paraId="03735FA4" w14:textId="77777777" w:rsidTr="003E2FE6">
        <w:trPr>
          <w:trHeight w:val="1112"/>
        </w:trPr>
        <w:tc>
          <w:tcPr>
            <w:tcW w:w="3119" w:type="dxa"/>
            <w:tcBorders>
              <w:top w:val="nil"/>
              <w:left w:val="nil"/>
              <w:bottom w:val="nil"/>
              <w:right w:val="nil"/>
            </w:tcBorders>
          </w:tcPr>
          <w:p w14:paraId="2DF95A10" w14:textId="77777777" w:rsidR="003E2FE6" w:rsidRPr="004D3090" w:rsidRDefault="003E2FE6" w:rsidP="009402CF">
            <w:pPr>
              <w:rPr>
                <w:rFonts w:ascii="Arial" w:eastAsia="Verdana" w:hAnsi="Arial" w:cs="Arial"/>
                <w:b/>
                <w:sz w:val="20"/>
                <w:szCs w:val="20"/>
              </w:rPr>
            </w:pPr>
          </w:p>
          <w:p w14:paraId="5200F087" w14:textId="77777777" w:rsidR="003E2FE6" w:rsidRPr="004D3090" w:rsidRDefault="003E2FE6" w:rsidP="009402CF">
            <w:pPr>
              <w:rPr>
                <w:rFonts w:ascii="Arial" w:hAnsi="Arial" w:cs="Arial"/>
                <w:sz w:val="20"/>
                <w:szCs w:val="20"/>
              </w:rPr>
            </w:pPr>
            <w:r w:rsidRPr="004D3090">
              <w:rPr>
                <w:rFonts w:ascii="Arial" w:eastAsia="Verdana" w:hAnsi="Arial" w:cs="Arial"/>
                <w:b/>
                <w:sz w:val="20"/>
                <w:szCs w:val="20"/>
              </w:rPr>
              <w:t xml:space="preserve">“Contract Amendment Report” </w:t>
            </w:r>
          </w:p>
        </w:tc>
        <w:tc>
          <w:tcPr>
            <w:tcW w:w="5363" w:type="dxa"/>
            <w:tcBorders>
              <w:top w:val="nil"/>
              <w:left w:val="nil"/>
              <w:bottom w:val="nil"/>
              <w:right w:val="nil"/>
            </w:tcBorders>
            <w:vAlign w:val="center"/>
          </w:tcPr>
          <w:p w14:paraId="09184749" w14:textId="57E48DB4" w:rsidR="003E2FE6" w:rsidRPr="004D3090" w:rsidRDefault="003E2FE6" w:rsidP="009402CF">
            <w:pPr>
              <w:ind w:right="61"/>
              <w:jc w:val="both"/>
              <w:rPr>
                <w:rFonts w:ascii="Arial" w:hAnsi="Arial" w:cs="Arial"/>
                <w:sz w:val="20"/>
                <w:szCs w:val="20"/>
              </w:rPr>
            </w:pPr>
            <w:r w:rsidRPr="004D3090">
              <w:rPr>
                <w:rFonts w:ascii="Arial" w:eastAsia="Verdana" w:hAnsi="Arial" w:cs="Arial"/>
                <w:sz w:val="20"/>
                <w:szCs w:val="20"/>
              </w:rPr>
              <w:t xml:space="preserve">the contract amendment report to be provided by the Supplier to </w:t>
            </w:r>
            <w:proofErr w:type="spellStart"/>
            <w:r w:rsidR="001F1C19">
              <w:rPr>
                <w:rFonts w:ascii="Arial" w:eastAsia="Verdana" w:hAnsi="Arial" w:cs="Arial"/>
                <w:sz w:val="20"/>
                <w:szCs w:val="20"/>
              </w:rPr>
              <w:t>Netlink</w:t>
            </w:r>
            <w:proofErr w:type="spellEnd"/>
            <w:r w:rsidR="001F1C19">
              <w:rPr>
                <w:rFonts w:ascii="Arial" w:eastAsia="Verdana" w:hAnsi="Arial" w:cs="Arial"/>
                <w:sz w:val="20"/>
                <w:szCs w:val="20"/>
              </w:rPr>
              <w:t xml:space="preserve"> Star</w:t>
            </w:r>
            <w:r w:rsidRPr="004D3090">
              <w:rPr>
                <w:rFonts w:ascii="Arial" w:eastAsia="Verdana" w:hAnsi="Arial" w:cs="Arial"/>
                <w:sz w:val="20"/>
                <w:szCs w:val="20"/>
              </w:rPr>
              <w:t xml:space="preserve"> pursuant to Paragraph 1 of Part B of Schedule 7.6 (Financial Reports and Audit Rights); </w:t>
            </w:r>
          </w:p>
        </w:tc>
      </w:tr>
      <w:tr w:rsidR="003E2FE6" w:rsidRPr="004D3090" w14:paraId="5BCE0F3C" w14:textId="77777777" w:rsidTr="003E2FE6">
        <w:trPr>
          <w:trHeight w:val="1116"/>
        </w:trPr>
        <w:tc>
          <w:tcPr>
            <w:tcW w:w="3119" w:type="dxa"/>
            <w:tcBorders>
              <w:top w:val="nil"/>
              <w:left w:val="nil"/>
              <w:bottom w:val="nil"/>
              <w:right w:val="nil"/>
            </w:tcBorders>
          </w:tcPr>
          <w:p w14:paraId="7C28B8D1" w14:textId="77777777" w:rsidR="003E2FE6" w:rsidRPr="004D3090" w:rsidRDefault="003E2FE6" w:rsidP="009402CF">
            <w:pPr>
              <w:rPr>
                <w:rFonts w:ascii="Arial" w:eastAsia="Verdana" w:hAnsi="Arial" w:cs="Arial"/>
                <w:b/>
                <w:sz w:val="20"/>
                <w:szCs w:val="20"/>
              </w:rPr>
            </w:pPr>
          </w:p>
          <w:p w14:paraId="41472A81" w14:textId="77777777" w:rsidR="003E2FE6" w:rsidRPr="004D3090" w:rsidRDefault="003E2FE6" w:rsidP="009402CF">
            <w:pPr>
              <w:rPr>
                <w:rFonts w:ascii="Arial" w:hAnsi="Arial" w:cs="Arial"/>
                <w:sz w:val="20"/>
                <w:szCs w:val="20"/>
              </w:rPr>
            </w:pPr>
            <w:r w:rsidRPr="004D3090">
              <w:rPr>
                <w:rFonts w:ascii="Arial" w:eastAsia="Verdana" w:hAnsi="Arial" w:cs="Arial"/>
                <w:b/>
                <w:sz w:val="20"/>
                <w:szCs w:val="20"/>
              </w:rPr>
              <w:t xml:space="preserve">“Final Reconciliation Report” </w:t>
            </w:r>
          </w:p>
        </w:tc>
        <w:tc>
          <w:tcPr>
            <w:tcW w:w="5363" w:type="dxa"/>
            <w:tcBorders>
              <w:top w:val="nil"/>
              <w:left w:val="nil"/>
              <w:bottom w:val="nil"/>
              <w:right w:val="nil"/>
            </w:tcBorders>
            <w:vAlign w:val="center"/>
          </w:tcPr>
          <w:p w14:paraId="62366503" w14:textId="761D2806" w:rsidR="003E2FE6" w:rsidRPr="004D3090" w:rsidRDefault="003E2FE6" w:rsidP="009402CF">
            <w:pPr>
              <w:ind w:right="61"/>
              <w:jc w:val="both"/>
              <w:rPr>
                <w:rFonts w:ascii="Arial" w:hAnsi="Arial" w:cs="Arial"/>
                <w:sz w:val="20"/>
                <w:szCs w:val="20"/>
              </w:rPr>
            </w:pPr>
            <w:r w:rsidRPr="004D3090">
              <w:rPr>
                <w:rFonts w:ascii="Arial" w:eastAsia="Verdana" w:hAnsi="Arial" w:cs="Arial"/>
                <w:sz w:val="20"/>
                <w:szCs w:val="20"/>
              </w:rPr>
              <w:t xml:space="preserve">the final reconciliation report to be provided by the Supplier to </w:t>
            </w:r>
            <w:proofErr w:type="spellStart"/>
            <w:r w:rsidR="001F1C19">
              <w:rPr>
                <w:rFonts w:ascii="Arial" w:eastAsia="Verdana" w:hAnsi="Arial" w:cs="Arial"/>
                <w:sz w:val="20"/>
                <w:szCs w:val="20"/>
              </w:rPr>
              <w:t>Netlink</w:t>
            </w:r>
            <w:proofErr w:type="spellEnd"/>
            <w:r w:rsidR="001F1C19">
              <w:rPr>
                <w:rFonts w:ascii="Arial" w:eastAsia="Verdana" w:hAnsi="Arial" w:cs="Arial"/>
                <w:sz w:val="20"/>
                <w:szCs w:val="20"/>
              </w:rPr>
              <w:t xml:space="preserve"> Star</w:t>
            </w:r>
            <w:r w:rsidRPr="004D3090">
              <w:rPr>
                <w:rFonts w:ascii="Arial" w:eastAsia="Verdana" w:hAnsi="Arial" w:cs="Arial"/>
                <w:sz w:val="20"/>
                <w:szCs w:val="20"/>
              </w:rPr>
              <w:t xml:space="preserve"> pursuant to Paragraph 1 of Part B of Schedule 7.6 (Financial Reports and Audit Rights); </w:t>
            </w:r>
          </w:p>
        </w:tc>
      </w:tr>
      <w:tr w:rsidR="003E2FE6" w:rsidRPr="004D3090" w14:paraId="748DB63D" w14:textId="77777777" w:rsidTr="003E2FE6">
        <w:trPr>
          <w:trHeight w:val="1553"/>
        </w:trPr>
        <w:tc>
          <w:tcPr>
            <w:tcW w:w="3119" w:type="dxa"/>
            <w:tcBorders>
              <w:top w:val="nil"/>
              <w:left w:val="nil"/>
              <w:bottom w:val="nil"/>
              <w:right w:val="nil"/>
            </w:tcBorders>
          </w:tcPr>
          <w:p w14:paraId="0B2B6743" w14:textId="77777777" w:rsidR="003E2FE6" w:rsidRPr="004D3090" w:rsidRDefault="003E2FE6" w:rsidP="009402CF">
            <w:pPr>
              <w:rPr>
                <w:rFonts w:ascii="Arial" w:eastAsia="Verdana" w:hAnsi="Arial" w:cs="Arial"/>
                <w:b/>
                <w:sz w:val="20"/>
                <w:szCs w:val="20"/>
              </w:rPr>
            </w:pPr>
          </w:p>
          <w:p w14:paraId="1B252F7D" w14:textId="77777777" w:rsidR="003E2FE6" w:rsidRPr="004D3090" w:rsidRDefault="003E2FE6" w:rsidP="009402CF">
            <w:pPr>
              <w:rPr>
                <w:rFonts w:ascii="Arial" w:hAnsi="Arial" w:cs="Arial"/>
                <w:sz w:val="20"/>
                <w:szCs w:val="20"/>
              </w:rPr>
            </w:pPr>
            <w:r w:rsidRPr="004D3090">
              <w:rPr>
                <w:rFonts w:ascii="Arial" w:eastAsia="Verdana" w:hAnsi="Arial" w:cs="Arial"/>
                <w:b/>
                <w:sz w:val="20"/>
                <w:szCs w:val="20"/>
              </w:rPr>
              <w:t xml:space="preserve">“Financial Model” </w:t>
            </w:r>
          </w:p>
        </w:tc>
        <w:tc>
          <w:tcPr>
            <w:tcW w:w="5363" w:type="dxa"/>
            <w:tcBorders>
              <w:top w:val="nil"/>
              <w:left w:val="nil"/>
              <w:bottom w:val="nil"/>
              <w:right w:val="nil"/>
            </w:tcBorders>
            <w:vAlign w:val="center"/>
          </w:tcPr>
          <w:p w14:paraId="7C9B8016" w14:textId="57957520" w:rsidR="003E2FE6" w:rsidRPr="004D3090" w:rsidRDefault="003E2FE6" w:rsidP="009402CF">
            <w:pPr>
              <w:ind w:right="62"/>
              <w:jc w:val="both"/>
              <w:rPr>
                <w:rFonts w:ascii="Arial" w:hAnsi="Arial" w:cs="Arial"/>
                <w:sz w:val="20"/>
                <w:szCs w:val="20"/>
              </w:rPr>
            </w:pPr>
            <w:r w:rsidRPr="004D3090">
              <w:rPr>
                <w:rFonts w:ascii="Arial" w:eastAsia="Verdana" w:hAnsi="Arial" w:cs="Arial"/>
                <w:sz w:val="20"/>
                <w:szCs w:val="20"/>
              </w:rPr>
              <w:t xml:space="preserve">the Contract Inception Report, the latest Annual Contract </w:t>
            </w:r>
            <w:proofErr w:type="gramStart"/>
            <w:r w:rsidRPr="004D3090">
              <w:rPr>
                <w:rFonts w:ascii="Arial" w:eastAsia="Verdana" w:hAnsi="Arial" w:cs="Arial"/>
                <w:sz w:val="20"/>
                <w:szCs w:val="20"/>
              </w:rPr>
              <w:t>Report</w:t>
            </w:r>
            <w:proofErr w:type="gramEnd"/>
            <w:r w:rsidRPr="004D3090">
              <w:rPr>
                <w:rFonts w:ascii="Arial" w:eastAsia="Verdana" w:hAnsi="Arial" w:cs="Arial"/>
                <w:sz w:val="20"/>
                <w:szCs w:val="20"/>
              </w:rPr>
              <w:t xml:space="preserve"> or the latest Contract Amendment Report, whichever has been most recently approved by </w:t>
            </w:r>
            <w:proofErr w:type="spellStart"/>
            <w:r w:rsidR="001F1C19">
              <w:rPr>
                <w:rFonts w:ascii="Arial" w:eastAsia="Verdana" w:hAnsi="Arial" w:cs="Arial"/>
                <w:sz w:val="20"/>
                <w:szCs w:val="20"/>
              </w:rPr>
              <w:t>Netlink</w:t>
            </w:r>
            <w:proofErr w:type="spellEnd"/>
            <w:r w:rsidR="001F1C19">
              <w:rPr>
                <w:rFonts w:ascii="Arial" w:eastAsia="Verdana" w:hAnsi="Arial" w:cs="Arial"/>
                <w:sz w:val="20"/>
                <w:szCs w:val="20"/>
              </w:rPr>
              <w:t xml:space="preserve"> Star</w:t>
            </w:r>
            <w:r w:rsidRPr="004D3090">
              <w:rPr>
                <w:rFonts w:ascii="Arial" w:eastAsia="Verdana" w:hAnsi="Arial" w:cs="Arial"/>
                <w:sz w:val="20"/>
                <w:szCs w:val="20"/>
              </w:rPr>
              <w:t xml:space="preserve"> in accordance with Paragraph 2 of Part B of Schedule 7.6 (Financial Reports and Audit Rights); </w:t>
            </w:r>
          </w:p>
        </w:tc>
      </w:tr>
      <w:tr w:rsidR="003E2FE6" w:rsidRPr="004D3090" w14:paraId="034B8C93" w14:textId="77777777" w:rsidTr="003E2FE6">
        <w:trPr>
          <w:trHeight w:val="895"/>
        </w:trPr>
        <w:tc>
          <w:tcPr>
            <w:tcW w:w="3119" w:type="dxa"/>
            <w:tcBorders>
              <w:top w:val="nil"/>
              <w:left w:val="nil"/>
              <w:bottom w:val="nil"/>
              <w:right w:val="nil"/>
            </w:tcBorders>
          </w:tcPr>
          <w:p w14:paraId="7B9531E0" w14:textId="77777777" w:rsidR="003E2FE6" w:rsidRPr="004D3090" w:rsidRDefault="003E2FE6" w:rsidP="009402CF">
            <w:pPr>
              <w:rPr>
                <w:rFonts w:ascii="Arial" w:eastAsia="Verdana" w:hAnsi="Arial" w:cs="Arial"/>
                <w:b/>
                <w:sz w:val="20"/>
                <w:szCs w:val="20"/>
              </w:rPr>
            </w:pPr>
          </w:p>
          <w:p w14:paraId="25A757FC" w14:textId="77777777" w:rsidR="003E2FE6" w:rsidRPr="004D3090" w:rsidRDefault="003E2FE6" w:rsidP="009402CF">
            <w:pPr>
              <w:rPr>
                <w:rFonts w:ascii="Arial" w:hAnsi="Arial" w:cs="Arial"/>
                <w:sz w:val="20"/>
                <w:szCs w:val="20"/>
              </w:rPr>
            </w:pPr>
            <w:r w:rsidRPr="004D3090">
              <w:rPr>
                <w:rFonts w:ascii="Arial" w:eastAsia="Verdana" w:hAnsi="Arial" w:cs="Arial"/>
                <w:b/>
                <w:sz w:val="20"/>
                <w:szCs w:val="20"/>
              </w:rPr>
              <w:t xml:space="preserve">“Financial Reports” </w:t>
            </w:r>
          </w:p>
        </w:tc>
        <w:tc>
          <w:tcPr>
            <w:tcW w:w="5363" w:type="dxa"/>
            <w:tcBorders>
              <w:top w:val="nil"/>
              <w:left w:val="nil"/>
              <w:bottom w:val="nil"/>
              <w:right w:val="nil"/>
            </w:tcBorders>
            <w:vAlign w:val="center"/>
          </w:tcPr>
          <w:p w14:paraId="1FE730E5" w14:textId="77777777" w:rsidR="003E2FE6" w:rsidRPr="004D3090" w:rsidRDefault="003E2FE6" w:rsidP="009402CF">
            <w:pPr>
              <w:ind w:right="62"/>
              <w:jc w:val="both"/>
              <w:rPr>
                <w:rFonts w:ascii="Arial" w:hAnsi="Arial" w:cs="Arial"/>
                <w:sz w:val="20"/>
                <w:szCs w:val="20"/>
              </w:rPr>
            </w:pPr>
            <w:r w:rsidRPr="004D3090">
              <w:rPr>
                <w:rFonts w:ascii="Arial" w:eastAsia="Verdana" w:hAnsi="Arial" w:cs="Arial"/>
                <w:sz w:val="20"/>
                <w:szCs w:val="20"/>
              </w:rPr>
              <w:t xml:space="preserve">the contract Inception Report and the Reports listed in the table in Paragraph 1.1 of Part B of Schedule 7.6 (Financial Reports and Audit Rights); </w:t>
            </w:r>
          </w:p>
        </w:tc>
      </w:tr>
      <w:tr w:rsidR="003E2FE6" w:rsidRPr="004D3090" w14:paraId="659DD672" w14:textId="77777777" w:rsidTr="003E2FE6">
        <w:trPr>
          <w:trHeight w:val="1334"/>
        </w:trPr>
        <w:tc>
          <w:tcPr>
            <w:tcW w:w="3119" w:type="dxa"/>
            <w:tcBorders>
              <w:top w:val="nil"/>
              <w:left w:val="nil"/>
              <w:bottom w:val="nil"/>
              <w:right w:val="nil"/>
            </w:tcBorders>
          </w:tcPr>
          <w:p w14:paraId="045C8C8B" w14:textId="77777777" w:rsidR="003E2FE6" w:rsidRPr="004D3090" w:rsidRDefault="003E2FE6" w:rsidP="009402CF">
            <w:pPr>
              <w:rPr>
                <w:rFonts w:ascii="Arial" w:eastAsia="Verdana" w:hAnsi="Arial" w:cs="Arial"/>
                <w:b/>
                <w:sz w:val="20"/>
                <w:szCs w:val="20"/>
              </w:rPr>
            </w:pPr>
          </w:p>
          <w:p w14:paraId="6D885942" w14:textId="77777777" w:rsidR="003E2FE6" w:rsidRPr="004D3090" w:rsidRDefault="003E2FE6" w:rsidP="009402CF">
            <w:pPr>
              <w:rPr>
                <w:rFonts w:ascii="Arial" w:hAnsi="Arial" w:cs="Arial"/>
                <w:sz w:val="20"/>
                <w:szCs w:val="20"/>
              </w:rPr>
            </w:pPr>
            <w:r w:rsidRPr="004D3090">
              <w:rPr>
                <w:rFonts w:ascii="Arial" w:eastAsia="Verdana" w:hAnsi="Arial" w:cs="Arial"/>
                <w:b/>
                <w:sz w:val="20"/>
                <w:szCs w:val="20"/>
              </w:rPr>
              <w:t xml:space="preserve">“Financial Representative” </w:t>
            </w:r>
          </w:p>
        </w:tc>
        <w:tc>
          <w:tcPr>
            <w:tcW w:w="5363" w:type="dxa"/>
            <w:tcBorders>
              <w:top w:val="nil"/>
              <w:left w:val="nil"/>
              <w:bottom w:val="nil"/>
              <w:right w:val="nil"/>
            </w:tcBorders>
            <w:vAlign w:val="center"/>
          </w:tcPr>
          <w:p w14:paraId="22D5229E" w14:textId="77777777" w:rsidR="003E2FE6" w:rsidRPr="004D3090" w:rsidRDefault="003E2FE6" w:rsidP="009402CF">
            <w:pPr>
              <w:ind w:right="62"/>
              <w:jc w:val="both"/>
              <w:rPr>
                <w:rFonts w:ascii="Arial" w:hAnsi="Arial" w:cs="Arial"/>
                <w:sz w:val="20"/>
                <w:szCs w:val="20"/>
              </w:rPr>
            </w:pPr>
            <w:r w:rsidRPr="004D3090">
              <w:rPr>
                <w:rFonts w:ascii="Arial" w:eastAsia="Verdana" w:hAnsi="Arial" w:cs="Arial"/>
                <w:sz w:val="20"/>
                <w:szCs w:val="20"/>
              </w:rPr>
              <w:t xml:space="preserve">a reasonably skilled and experienced member of the Supplier’s staff who has specific responsibility for preparing, maintaining, facilitating access to, </w:t>
            </w:r>
            <w:proofErr w:type="gramStart"/>
            <w:r w:rsidRPr="004D3090">
              <w:rPr>
                <w:rFonts w:ascii="Arial" w:eastAsia="Verdana" w:hAnsi="Arial" w:cs="Arial"/>
                <w:sz w:val="20"/>
                <w:szCs w:val="20"/>
              </w:rPr>
              <w:t>discussing</w:t>
            </w:r>
            <w:proofErr w:type="gramEnd"/>
            <w:r w:rsidRPr="004D3090">
              <w:rPr>
                <w:rFonts w:ascii="Arial" w:eastAsia="Verdana" w:hAnsi="Arial" w:cs="Arial"/>
                <w:sz w:val="20"/>
                <w:szCs w:val="20"/>
              </w:rPr>
              <w:t xml:space="preserve"> and explaining the Financial Reports; </w:t>
            </w:r>
          </w:p>
        </w:tc>
      </w:tr>
      <w:tr w:rsidR="003E2FE6" w:rsidRPr="004D3090" w14:paraId="5F82773B" w14:textId="77777777" w:rsidTr="003E2FE6">
        <w:trPr>
          <w:trHeight w:val="677"/>
        </w:trPr>
        <w:tc>
          <w:tcPr>
            <w:tcW w:w="3119" w:type="dxa"/>
            <w:tcBorders>
              <w:top w:val="nil"/>
              <w:left w:val="nil"/>
              <w:bottom w:val="nil"/>
              <w:right w:val="nil"/>
            </w:tcBorders>
            <w:vAlign w:val="center"/>
          </w:tcPr>
          <w:p w14:paraId="7338C574" w14:textId="77777777" w:rsidR="003E2FE6" w:rsidRPr="004D3090" w:rsidRDefault="003E2FE6" w:rsidP="009402CF">
            <w:pPr>
              <w:rPr>
                <w:rFonts w:ascii="Arial" w:hAnsi="Arial" w:cs="Arial"/>
                <w:sz w:val="20"/>
                <w:szCs w:val="20"/>
              </w:rPr>
            </w:pPr>
            <w:r w:rsidRPr="004D3090">
              <w:rPr>
                <w:rFonts w:ascii="Arial" w:eastAsia="Verdana" w:hAnsi="Arial" w:cs="Arial"/>
                <w:b/>
                <w:sz w:val="20"/>
                <w:szCs w:val="20"/>
              </w:rPr>
              <w:t xml:space="preserve">“Financial Transparency </w:t>
            </w:r>
          </w:p>
          <w:p w14:paraId="63FBDE83" w14:textId="77777777" w:rsidR="003E2FE6" w:rsidRPr="004D3090" w:rsidRDefault="003E2FE6" w:rsidP="009402CF">
            <w:pPr>
              <w:rPr>
                <w:rFonts w:ascii="Arial" w:hAnsi="Arial" w:cs="Arial"/>
                <w:sz w:val="20"/>
                <w:szCs w:val="20"/>
              </w:rPr>
            </w:pPr>
            <w:r w:rsidRPr="004D3090">
              <w:rPr>
                <w:rFonts w:ascii="Arial" w:eastAsia="Verdana" w:hAnsi="Arial" w:cs="Arial"/>
                <w:b/>
                <w:sz w:val="20"/>
                <w:szCs w:val="20"/>
              </w:rPr>
              <w:t xml:space="preserve">Objectives” </w:t>
            </w:r>
          </w:p>
        </w:tc>
        <w:tc>
          <w:tcPr>
            <w:tcW w:w="5363" w:type="dxa"/>
            <w:tcBorders>
              <w:top w:val="nil"/>
              <w:left w:val="nil"/>
              <w:bottom w:val="nil"/>
              <w:right w:val="nil"/>
            </w:tcBorders>
            <w:vAlign w:val="center"/>
          </w:tcPr>
          <w:p w14:paraId="50942CAB" w14:textId="77777777" w:rsidR="003E2FE6" w:rsidRPr="004D3090" w:rsidRDefault="003E2FE6" w:rsidP="009402CF">
            <w:pPr>
              <w:jc w:val="both"/>
              <w:rPr>
                <w:rFonts w:ascii="Arial" w:hAnsi="Arial" w:cs="Arial"/>
                <w:sz w:val="20"/>
                <w:szCs w:val="20"/>
              </w:rPr>
            </w:pPr>
            <w:r w:rsidRPr="004D3090">
              <w:rPr>
                <w:rFonts w:ascii="Arial" w:eastAsia="Verdana" w:hAnsi="Arial" w:cs="Arial"/>
                <w:sz w:val="20"/>
                <w:szCs w:val="20"/>
              </w:rPr>
              <w:t xml:space="preserve">has the meaning given in Paragraph 1 of Part A of Schedule 7.6 (Financial Reports and Audit Rights); </w:t>
            </w:r>
          </w:p>
        </w:tc>
      </w:tr>
      <w:tr w:rsidR="003E2FE6" w:rsidRPr="004D3090" w14:paraId="19B50CDB" w14:textId="77777777" w:rsidTr="003E2FE6">
        <w:trPr>
          <w:trHeight w:val="353"/>
        </w:trPr>
        <w:tc>
          <w:tcPr>
            <w:tcW w:w="3119" w:type="dxa"/>
            <w:tcBorders>
              <w:top w:val="nil"/>
              <w:left w:val="nil"/>
              <w:bottom w:val="nil"/>
              <w:right w:val="nil"/>
            </w:tcBorders>
          </w:tcPr>
          <w:p w14:paraId="2B250DD8" w14:textId="77777777" w:rsidR="003E2FE6" w:rsidRPr="004D3090" w:rsidRDefault="003E2FE6" w:rsidP="003E2FE6">
            <w:pPr>
              <w:spacing w:before="240"/>
              <w:rPr>
                <w:rFonts w:ascii="Arial" w:hAnsi="Arial" w:cs="Arial"/>
                <w:sz w:val="20"/>
                <w:szCs w:val="20"/>
              </w:rPr>
            </w:pPr>
            <w:r w:rsidRPr="004D3090">
              <w:rPr>
                <w:rFonts w:ascii="Arial" w:eastAsia="Verdana" w:hAnsi="Arial" w:cs="Arial"/>
                <w:b/>
                <w:sz w:val="20"/>
                <w:szCs w:val="20"/>
              </w:rPr>
              <w:lastRenderedPageBreak/>
              <w:t xml:space="preserve">“Material Change” </w:t>
            </w:r>
          </w:p>
        </w:tc>
        <w:tc>
          <w:tcPr>
            <w:tcW w:w="5363" w:type="dxa"/>
            <w:tcBorders>
              <w:top w:val="nil"/>
              <w:left w:val="nil"/>
              <w:bottom w:val="nil"/>
              <w:right w:val="nil"/>
            </w:tcBorders>
            <w:vAlign w:val="bottom"/>
          </w:tcPr>
          <w:p w14:paraId="37C3FAEC" w14:textId="4391F02B" w:rsidR="003E2FE6" w:rsidRDefault="003E2FE6" w:rsidP="003E2FE6">
            <w:pPr>
              <w:spacing w:before="240"/>
              <w:rPr>
                <w:rFonts w:ascii="Arial" w:eastAsia="Verdana" w:hAnsi="Arial" w:cs="Arial"/>
                <w:sz w:val="20"/>
                <w:szCs w:val="20"/>
              </w:rPr>
            </w:pPr>
            <w:r w:rsidRPr="003E2FE6">
              <w:rPr>
                <w:rFonts w:ascii="Arial" w:eastAsia="Verdana" w:hAnsi="Arial" w:cs="Arial"/>
                <w:sz w:val="20"/>
                <w:szCs w:val="20"/>
              </w:rPr>
              <w:t xml:space="preserve">a Change which: </w:t>
            </w:r>
          </w:p>
          <w:p w14:paraId="50B77072" w14:textId="77777777" w:rsidR="003E2FE6" w:rsidRPr="003E2FE6" w:rsidRDefault="003E2FE6" w:rsidP="009402CF">
            <w:pPr>
              <w:rPr>
                <w:rFonts w:ascii="Arial" w:eastAsia="Verdana" w:hAnsi="Arial" w:cs="Arial"/>
                <w:sz w:val="20"/>
                <w:szCs w:val="20"/>
              </w:rPr>
            </w:pPr>
          </w:p>
          <w:p w14:paraId="52536EF5" w14:textId="57F87970" w:rsidR="003E2FE6" w:rsidRPr="003E2FE6" w:rsidRDefault="003E2FE6" w:rsidP="009D675B">
            <w:pPr>
              <w:pStyle w:val="Heading4"/>
              <w:numPr>
                <w:ilvl w:val="0"/>
                <w:numId w:val="82"/>
              </w:numPr>
              <w:ind w:left="542" w:hanging="426"/>
              <w:rPr>
                <w:rFonts w:ascii="Arial" w:hAnsi="Arial" w:cs="Arial"/>
                <w:sz w:val="20"/>
                <w:szCs w:val="20"/>
              </w:rPr>
            </w:pPr>
            <w:r w:rsidRPr="003E2FE6">
              <w:rPr>
                <w:rFonts w:ascii="Arial" w:hAnsi="Arial" w:cs="Arial"/>
                <w:sz w:val="20"/>
                <w:szCs w:val="20"/>
              </w:rPr>
              <w:t xml:space="preserve">materially changes the profile of the Charges; or </w:t>
            </w:r>
          </w:p>
          <w:p w14:paraId="65D49CA5" w14:textId="7B51CB0D" w:rsidR="003E2FE6" w:rsidRPr="003E2FE6" w:rsidRDefault="003E2FE6" w:rsidP="009D675B">
            <w:pPr>
              <w:pStyle w:val="Heading4"/>
              <w:numPr>
                <w:ilvl w:val="0"/>
                <w:numId w:val="82"/>
              </w:numPr>
              <w:ind w:left="542" w:hanging="426"/>
              <w:rPr>
                <w:rFonts w:ascii="Arial" w:hAnsi="Arial" w:cs="Arial"/>
                <w:sz w:val="20"/>
                <w:szCs w:val="20"/>
              </w:rPr>
            </w:pPr>
            <w:r w:rsidRPr="003E2FE6">
              <w:rPr>
                <w:rFonts w:ascii="Arial" w:hAnsi="Arial" w:cs="Arial"/>
                <w:sz w:val="20"/>
                <w:szCs w:val="20"/>
              </w:rPr>
              <w:t xml:space="preserve">varies the total Charges payable during the Term (as forecast in the latest Financial Model) by: </w:t>
            </w:r>
          </w:p>
          <w:p w14:paraId="288A5882" w14:textId="08437F77" w:rsidR="003E2FE6" w:rsidRPr="003E2FE6" w:rsidRDefault="003E2FE6" w:rsidP="009D675B">
            <w:pPr>
              <w:pStyle w:val="Heading5"/>
              <w:numPr>
                <w:ilvl w:val="2"/>
                <w:numId w:val="82"/>
              </w:numPr>
              <w:ind w:left="1109" w:hanging="284"/>
              <w:rPr>
                <w:rFonts w:ascii="Arial" w:hAnsi="Arial" w:cs="Arial"/>
                <w:sz w:val="20"/>
                <w:szCs w:val="20"/>
              </w:rPr>
            </w:pPr>
            <w:r w:rsidRPr="003E2FE6">
              <w:rPr>
                <w:rFonts w:ascii="Arial" w:hAnsi="Arial" w:cs="Arial"/>
                <w:sz w:val="20"/>
                <w:szCs w:val="20"/>
              </w:rPr>
              <w:t xml:space="preserve">5% or more; or </w:t>
            </w:r>
          </w:p>
          <w:p w14:paraId="4790D12A" w14:textId="5FE47152" w:rsidR="003E2FE6" w:rsidRPr="003E2FE6" w:rsidRDefault="003E2FE6" w:rsidP="009D675B">
            <w:pPr>
              <w:pStyle w:val="Heading5"/>
              <w:numPr>
                <w:ilvl w:val="2"/>
                <w:numId w:val="82"/>
              </w:numPr>
              <w:ind w:left="1109" w:hanging="284"/>
              <w:rPr>
                <w:rFonts w:cs="Arial"/>
                <w:szCs w:val="20"/>
              </w:rPr>
            </w:pPr>
            <w:r w:rsidRPr="003E2FE6">
              <w:rPr>
                <w:rFonts w:ascii="Arial" w:hAnsi="Arial" w:cs="Arial"/>
                <w:sz w:val="20"/>
                <w:szCs w:val="20"/>
              </w:rPr>
              <w:t>£0.5m or more</w:t>
            </w:r>
            <w:r>
              <w:rPr>
                <w:rFonts w:ascii="Arial" w:hAnsi="Arial" w:cs="Arial"/>
                <w:sz w:val="20"/>
                <w:szCs w:val="20"/>
              </w:rPr>
              <w:t>.</w:t>
            </w:r>
          </w:p>
        </w:tc>
      </w:tr>
    </w:tbl>
    <w:p w14:paraId="7D4FC6C5" w14:textId="77777777" w:rsidR="003E2FE6" w:rsidRPr="004D3090" w:rsidRDefault="003E2FE6">
      <w:pPr>
        <w:rPr>
          <w:rFonts w:eastAsia="Verdana" w:cs="Arial"/>
          <w:b/>
          <w:szCs w:val="20"/>
        </w:rPr>
      </w:pPr>
      <w:r w:rsidRPr="004D3090">
        <w:rPr>
          <w:rFonts w:eastAsia="Verdana" w:cs="Arial"/>
          <w:b/>
          <w:szCs w:val="20"/>
        </w:rPr>
        <w:br w:type="page"/>
      </w:r>
    </w:p>
    <w:p w14:paraId="788971BE" w14:textId="77777777" w:rsidR="003E2FE6" w:rsidRPr="004D3090" w:rsidRDefault="003E2FE6" w:rsidP="009402CF">
      <w:pPr>
        <w:spacing w:after="223"/>
        <w:ind w:left="800" w:right="850" w:hanging="10"/>
        <w:jc w:val="center"/>
        <w:rPr>
          <w:rFonts w:cs="Arial"/>
          <w:szCs w:val="20"/>
        </w:rPr>
      </w:pPr>
      <w:r w:rsidRPr="004D3090">
        <w:rPr>
          <w:rFonts w:eastAsia="Verdana" w:cs="Arial"/>
          <w:b/>
          <w:szCs w:val="20"/>
        </w:rPr>
        <w:lastRenderedPageBreak/>
        <w:t xml:space="preserve">PART A </w:t>
      </w:r>
    </w:p>
    <w:p w14:paraId="4BDD81BB" w14:textId="77777777" w:rsidR="003E2FE6" w:rsidRPr="004D3090" w:rsidRDefault="003E2FE6" w:rsidP="009402CF">
      <w:pPr>
        <w:spacing w:after="223"/>
        <w:ind w:left="800" w:right="853" w:hanging="10"/>
        <w:jc w:val="center"/>
        <w:rPr>
          <w:rFonts w:cs="Arial"/>
          <w:szCs w:val="20"/>
        </w:rPr>
      </w:pPr>
      <w:r w:rsidRPr="004D3090">
        <w:rPr>
          <w:rFonts w:eastAsia="Verdana" w:cs="Arial"/>
          <w:b/>
          <w:szCs w:val="20"/>
        </w:rPr>
        <w:t xml:space="preserve">FINANCIAL TRANSPARENCY OBJECTIVES </w:t>
      </w:r>
    </w:p>
    <w:p w14:paraId="0BC6B895" w14:textId="77777777" w:rsidR="003E2FE6" w:rsidRPr="003E2FE6" w:rsidRDefault="003E2FE6" w:rsidP="009D675B">
      <w:pPr>
        <w:pStyle w:val="Heading1"/>
        <w:keepNext w:val="0"/>
        <w:numPr>
          <w:ilvl w:val="0"/>
          <w:numId w:val="83"/>
        </w:numPr>
        <w:spacing w:after="234" w:line="249" w:lineRule="auto"/>
        <w:ind w:right="47"/>
        <w:rPr>
          <w:rFonts w:cs="Arial"/>
          <w:szCs w:val="20"/>
        </w:rPr>
      </w:pPr>
      <w:r w:rsidRPr="003E2FE6">
        <w:rPr>
          <w:rFonts w:cs="Arial"/>
          <w:szCs w:val="20"/>
        </w:rPr>
        <w:t xml:space="preserve">FINANCIAL TRANSPARENCY OBJECTIVES </w:t>
      </w:r>
    </w:p>
    <w:p w14:paraId="61A3D0D8" w14:textId="1BBB2BB6" w:rsidR="003E2FE6" w:rsidRPr="004D3090" w:rsidRDefault="003E2FE6" w:rsidP="009402CF">
      <w:pPr>
        <w:spacing w:after="234" w:line="249" w:lineRule="auto"/>
        <w:ind w:left="849" w:right="47" w:hanging="9"/>
        <w:rPr>
          <w:rFonts w:cs="Arial"/>
          <w:szCs w:val="20"/>
        </w:rPr>
      </w:pPr>
      <w:r w:rsidRPr="004D3090">
        <w:rPr>
          <w:rFonts w:eastAsia="Verdana" w:cs="Arial"/>
          <w:szCs w:val="20"/>
        </w:rPr>
        <w:t xml:space="preserve">The Supplier acknowledges that the provisions of this Schedule are designed (inter alia) to facilitate, and the Supplier shall co-operate with </w:t>
      </w:r>
      <w:proofErr w:type="spellStart"/>
      <w:r w:rsidR="001F1C19">
        <w:rPr>
          <w:rFonts w:eastAsia="Verdana" w:cs="Arial"/>
          <w:szCs w:val="20"/>
        </w:rPr>
        <w:t>Netlink</w:t>
      </w:r>
      <w:proofErr w:type="spellEnd"/>
      <w:r w:rsidR="001F1C19">
        <w:rPr>
          <w:rFonts w:eastAsia="Verdana" w:cs="Arial"/>
          <w:szCs w:val="20"/>
        </w:rPr>
        <w:t xml:space="preserve"> Star</w:t>
      </w:r>
      <w:r w:rsidRPr="004D3090">
        <w:rPr>
          <w:rFonts w:eastAsia="Verdana" w:cs="Arial"/>
          <w:szCs w:val="20"/>
        </w:rPr>
        <w:t xml:space="preserve"> </w:t>
      </w:r>
      <w:proofErr w:type="gramStart"/>
      <w:r w:rsidRPr="004D3090">
        <w:rPr>
          <w:rFonts w:eastAsia="Verdana" w:cs="Arial"/>
          <w:szCs w:val="20"/>
        </w:rPr>
        <w:t>in order to</w:t>
      </w:r>
      <w:proofErr w:type="gramEnd"/>
      <w:r w:rsidRPr="004D3090">
        <w:rPr>
          <w:rFonts w:eastAsia="Verdana" w:cs="Arial"/>
          <w:szCs w:val="20"/>
        </w:rPr>
        <w:t xml:space="preserve"> achieve, the following objectives: </w:t>
      </w:r>
    </w:p>
    <w:p w14:paraId="648FC875" w14:textId="77777777" w:rsidR="003E2FE6" w:rsidRPr="004D3090" w:rsidRDefault="003E2FE6" w:rsidP="009D675B">
      <w:pPr>
        <w:pStyle w:val="Heading2"/>
        <w:numPr>
          <w:ilvl w:val="1"/>
          <w:numId w:val="140"/>
        </w:numPr>
        <w:spacing w:after="234" w:line="249" w:lineRule="auto"/>
        <w:ind w:right="47"/>
        <w:rPr>
          <w:rFonts w:cs="Arial"/>
          <w:b/>
          <w:bCs w:val="0"/>
          <w:szCs w:val="20"/>
        </w:rPr>
      </w:pPr>
      <w:r w:rsidRPr="004D3090">
        <w:rPr>
          <w:rFonts w:cs="Arial"/>
          <w:b/>
          <w:bCs w:val="0"/>
          <w:szCs w:val="20"/>
        </w:rPr>
        <w:t xml:space="preserve">Understanding the Charges </w:t>
      </w:r>
    </w:p>
    <w:p w14:paraId="7B0A101C" w14:textId="7688ABD9" w:rsidR="003E2FE6" w:rsidRPr="004D3090" w:rsidRDefault="003E2FE6" w:rsidP="009D675B">
      <w:pPr>
        <w:pStyle w:val="Heading3"/>
        <w:numPr>
          <w:ilvl w:val="2"/>
          <w:numId w:val="140"/>
        </w:numPr>
      </w:pPr>
      <w:r w:rsidRPr="004D3090">
        <w:t xml:space="preserve">for </w:t>
      </w:r>
      <w:proofErr w:type="spellStart"/>
      <w:r w:rsidR="001F1C19">
        <w:t>Netlink</w:t>
      </w:r>
      <w:proofErr w:type="spellEnd"/>
      <w:r w:rsidR="001F1C19">
        <w:t xml:space="preserve"> Star</w:t>
      </w:r>
      <w:r w:rsidRPr="004D3090">
        <w:t xml:space="preserve"> to understand any payment sought from it by the Supplier including time spent by Supplier Personnel in providing the Services and ability to automate and continuously improve the </w:t>
      </w:r>
      <w:proofErr w:type="gramStart"/>
      <w:r w:rsidRPr="004D3090">
        <w:t>Services;</w:t>
      </w:r>
      <w:proofErr w:type="gramEnd"/>
      <w:r w:rsidRPr="004D3090">
        <w:t xml:space="preserve"> </w:t>
      </w:r>
    </w:p>
    <w:p w14:paraId="4C18F9AF" w14:textId="77777777" w:rsidR="003E2FE6" w:rsidRPr="004D3090" w:rsidRDefault="003E2FE6" w:rsidP="009D675B">
      <w:pPr>
        <w:pStyle w:val="Heading3"/>
        <w:numPr>
          <w:ilvl w:val="2"/>
          <w:numId w:val="140"/>
        </w:numPr>
      </w:pPr>
      <w:r w:rsidRPr="004D3090">
        <w:t xml:space="preserve">for both Parties to be able to understand the forecasts and to have confidence that these are based on justifiable numbers and appropriate forecasting </w:t>
      </w:r>
      <w:proofErr w:type="gramStart"/>
      <w:r w:rsidRPr="004D3090">
        <w:t>techniques;</w:t>
      </w:r>
      <w:proofErr w:type="gramEnd"/>
      <w:r w:rsidRPr="004D3090">
        <w:t xml:space="preserve"> </w:t>
      </w:r>
    </w:p>
    <w:p w14:paraId="752F7D9F" w14:textId="77777777" w:rsidR="003E2FE6" w:rsidRPr="004D3090" w:rsidRDefault="003E2FE6" w:rsidP="009D675B">
      <w:pPr>
        <w:pStyle w:val="Heading2"/>
        <w:numPr>
          <w:ilvl w:val="1"/>
          <w:numId w:val="140"/>
        </w:numPr>
        <w:spacing w:after="234" w:line="249" w:lineRule="auto"/>
        <w:ind w:right="47"/>
        <w:rPr>
          <w:rFonts w:cs="Arial"/>
          <w:b/>
          <w:bCs w:val="0"/>
          <w:szCs w:val="20"/>
        </w:rPr>
      </w:pPr>
      <w:r w:rsidRPr="004D3090">
        <w:rPr>
          <w:rFonts w:cs="Arial"/>
          <w:b/>
          <w:bCs w:val="0"/>
          <w:szCs w:val="20"/>
        </w:rPr>
        <w:t xml:space="preserve">Agreeing the impact of Change </w:t>
      </w:r>
    </w:p>
    <w:p w14:paraId="39F32ECE" w14:textId="77777777" w:rsidR="003E2FE6" w:rsidRPr="004D3090" w:rsidRDefault="003E2FE6" w:rsidP="009D675B">
      <w:pPr>
        <w:pStyle w:val="Heading3"/>
        <w:numPr>
          <w:ilvl w:val="2"/>
          <w:numId w:val="140"/>
        </w:numPr>
      </w:pPr>
      <w:r w:rsidRPr="004D3090">
        <w:t xml:space="preserve">for both Parties to agree the quantitative impact of any Changes that affect ongoing costs and to identify how these could be mitigated and/or reflected in the Supplier’s </w:t>
      </w:r>
      <w:proofErr w:type="gramStart"/>
      <w:r w:rsidRPr="004D3090">
        <w:t>Charges;</w:t>
      </w:r>
      <w:proofErr w:type="gramEnd"/>
      <w:r w:rsidRPr="004D3090">
        <w:t xml:space="preserve"> </w:t>
      </w:r>
    </w:p>
    <w:p w14:paraId="415759FF" w14:textId="77777777" w:rsidR="003E2FE6" w:rsidRPr="004D3090" w:rsidRDefault="003E2FE6" w:rsidP="009D675B">
      <w:pPr>
        <w:pStyle w:val="Heading3"/>
        <w:numPr>
          <w:ilvl w:val="2"/>
          <w:numId w:val="140"/>
        </w:numPr>
      </w:pPr>
      <w:r w:rsidRPr="004D3090">
        <w:t xml:space="preserve">for both Parties to be able to review, address issues with and re-forecast progress in relation to the provision of the </w:t>
      </w:r>
      <w:proofErr w:type="gramStart"/>
      <w:r w:rsidRPr="004D3090">
        <w:t>Services;</w:t>
      </w:r>
      <w:proofErr w:type="gramEnd"/>
      <w:r w:rsidRPr="004D3090">
        <w:t xml:space="preserve"> </w:t>
      </w:r>
    </w:p>
    <w:p w14:paraId="4F245836" w14:textId="77777777" w:rsidR="003E2FE6" w:rsidRPr="004D3090" w:rsidRDefault="003E2FE6" w:rsidP="009D675B">
      <w:pPr>
        <w:pStyle w:val="Heading2"/>
        <w:numPr>
          <w:ilvl w:val="1"/>
          <w:numId w:val="140"/>
        </w:numPr>
        <w:spacing w:after="234" w:line="249" w:lineRule="auto"/>
        <w:ind w:right="47"/>
        <w:rPr>
          <w:rFonts w:cs="Arial"/>
          <w:b/>
          <w:bCs w:val="0"/>
          <w:szCs w:val="20"/>
        </w:rPr>
      </w:pPr>
      <w:r w:rsidRPr="004D3090">
        <w:rPr>
          <w:rFonts w:cs="Arial"/>
          <w:b/>
          <w:bCs w:val="0"/>
          <w:szCs w:val="20"/>
        </w:rPr>
        <w:t xml:space="preserve">Continuous improvement </w:t>
      </w:r>
    </w:p>
    <w:p w14:paraId="405901E2" w14:textId="77777777" w:rsidR="003E2FE6" w:rsidRPr="004D3090" w:rsidRDefault="003E2FE6" w:rsidP="009D675B">
      <w:pPr>
        <w:pStyle w:val="Heading3"/>
        <w:numPr>
          <w:ilvl w:val="2"/>
          <w:numId w:val="140"/>
        </w:numPr>
      </w:pPr>
      <w:r w:rsidRPr="004D3090">
        <w:t xml:space="preserve">for the Parties to challenge each other with ideas for efficiency and improvements; and </w:t>
      </w:r>
    </w:p>
    <w:p w14:paraId="31AA1504" w14:textId="74358FA7" w:rsidR="003E2FE6" w:rsidRPr="004D3090" w:rsidRDefault="003E2FE6" w:rsidP="009D675B">
      <w:pPr>
        <w:pStyle w:val="Heading3"/>
        <w:numPr>
          <w:ilvl w:val="2"/>
          <w:numId w:val="140"/>
        </w:numPr>
      </w:pPr>
      <w:r w:rsidRPr="004D3090">
        <w:t xml:space="preserve">to enable </w:t>
      </w:r>
      <w:proofErr w:type="spellStart"/>
      <w:r w:rsidR="001F1C19">
        <w:t>Netlink</w:t>
      </w:r>
      <w:proofErr w:type="spellEnd"/>
      <w:r w:rsidR="001F1C19">
        <w:t xml:space="preserve"> Star</w:t>
      </w:r>
      <w:r w:rsidRPr="004D3090">
        <w:t xml:space="preserve"> to demonstrate that it is achieving value for money for the </w:t>
      </w:r>
      <w:proofErr w:type="gramStart"/>
      <w:r w:rsidRPr="004D3090">
        <w:t>tax payer</w:t>
      </w:r>
      <w:proofErr w:type="gramEnd"/>
      <w:r w:rsidRPr="004D3090">
        <w:t xml:space="preserve"> relative to current market prices, </w:t>
      </w:r>
    </w:p>
    <w:p w14:paraId="64F51317" w14:textId="77777777" w:rsidR="003E2FE6" w:rsidRPr="004D3090" w:rsidRDefault="003E2FE6" w:rsidP="009402CF">
      <w:pPr>
        <w:spacing w:after="118" w:line="374" w:lineRule="auto"/>
        <w:ind w:left="709" w:right="47"/>
        <w:rPr>
          <w:rFonts w:cs="Arial"/>
          <w:szCs w:val="20"/>
        </w:rPr>
      </w:pPr>
      <w:r w:rsidRPr="004D3090">
        <w:rPr>
          <w:rFonts w:eastAsia="Verdana" w:cs="Arial"/>
          <w:szCs w:val="20"/>
        </w:rPr>
        <w:t>(</w:t>
      </w:r>
      <w:proofErr w:type="gramStart"/>
      <w:r w:rsidRPr="004D3090">
        <w:rPr>
          <w:rFonts w:eastAsia="Verdana" w:cs="Arial"/>
          <w:szCs w:val="20"/>
        </w:rPr>
        <w:t>together</w:t>
      </w:r>
      <w:proofErr w:type="gramEnd"/>
      <w:r w:rsidRPr="004D3090">
        <w:rPr>
          <w:rFonts w:eastAsia="Verdana" w:cs="Arial"/>
          <w:szCs w:val="20"/>
        </w:rPr>
        <w:t xml:space="preserve"> the “</w:t>
      </w:r>
      <w:r w:rsidRPr="004D3090">
        <w:rPr>
          <w:rFonts w:eastAsia="Verdana" w:cs="Arial"/>
          <w:b/>
          <w:szCs w:val="20"/>
        </w:rPr>
        <w:t>Financial Transparency Objectives</w:t>
      </w:r>
      <w:r w:rsidRPr="004D3090">
        <w:rPr>
          <w:rFonts w:eastAsia="Verdana" w:cs="Arial"/>
          <w:szCs w:val="20"/>
        </w:rPr>
        <w:t xml:space="preserve">”). </w:t>
      </w:r>
      <w:r w:rsidRPr="004D3090">
        <w:rPr>
          <w:rFonts w:eastAsia="Arial" w:cs="Arial"/>
          <w:b/>
          <w:szCs w:val="20"/>
        </w:rPr>
        <w:tab/>
      </w:r>
      <w:r w:rsidRPr="004D3090">
        <w:rPr>
          <w:rFonts w:eastAsia="Verdana" w:cs="Arial"/>
          <w:b/>
          <w:szCs w:val="20"/>
        </w:rPr>
        <w:t xml:space="preserve"> </w:t>
      </w:r>
    </w:p>
    <w:p w14:paraId="28EA54FD" w14:textId="77777777" w:rsidR="003E2FE6" w:rsidRPr="004D3090" w:rsidRDefault="003E2FE6" w:rsidP="009D675B">
      <w:pPr>
        <w:pStyle w:val="Heading2"/>
        <w:numPr>
          <w:ilvl w:val="1"/>
          <w:numId w:val="140"/>
        </w:numPr>
        <w:spacing w:after="234" w:line="249" w:lineRule="auto"/>
        <w:ind w:right="47"/>
        <w:rPr>
          <w:rFonts w:cs="Arial"/>
          <w:szCs w:val="20"/>
        </w:rPr>
      </w:pPr>
      <w:r w:rsidRPr="004D3090">
        <w:rPr>
          <w:rFonts w:cs="Arial"/>
          <w:szCs w:val="20"/>
        </w:rPr>
        <w:t xml:space="preserve">The Parties acknowledge and agree that the Supplier’s non-compliance with the Financial Transparency Objectives will not itself constitute a breach of this Agreement. If either Party believes that the other is not complying with the spirit of the Financial Transparency </w:t>
      </w:r>
      <w:proofErr w:type="gramStart"/>
      <w:r w:rsidRPr="004D3090">
        <w:rPr>
          <w:rFonts w:cs="Arial"/>
          <w:szCs w:val="20"/>
        </w:rPr>
        <w:t>Objectives</w:t>
      </w:r>
      <w:proofErr w:type="gramEnd"/>
      <w:r w:rsidRPr="004D3090">
        <w:rPr>
          <w:rFonts w:cs="Arial"/>
          <w:szCs w:val="20"/>
        </w:rPr>
        <w:t xml:space="preserve"> it shall notify the other and the Parties shall in good faith discuss and agree any necessary remedial action at the relevant governance forum.</w:t>
      </w:r>
    </w:p>
    <w:p w14:paraId="40CB3C83" w14:textId="77777777" w:rsidR="003E2FE6" w:rsidRPr="004D3090" w:rsidRDefault="003E2FE6">
      <w:pPr>
        <w:rPr>
          <w:rFonts w:eastAsia="Verdana" w:cs="Arial"/>
          <w:b/>
          <w:szCs w:val="20"/>
        </w:rPr>
      </w:pPr>
      <w:r w:rsidRPr="004D3090">
        <w:rPr>
          <w:rFonts w:eastAsia="Verdana" w:cs="Arial"/>
          <w:b/>
          <w:szCs w:val="20"/>
        </w:rPr>
        <w:br w:type="page"/>
      </w:r>
    </w:p>
    <w:p w14:paraId="4FDD35D2" w14:textId="77777777" w:rsidR="003E2FE6" w:rsidRPr="004D3090" w:rsidRDefault="003E2FE6" w:rsidP="009402CF">
      <w:pPr>
        <w:spacing w:after="223"/>
        <w:ind w:left="800" w:right="848" w:hanging="10"/>
        <w:jc w:val="center"/>
        <w:rPr>
          <w:rFonts w:cs="Arial"/>
          <w:szCs w:val="20"/>
        </w:rPr>
      </w:pPr>
      <w:r w:rsidRPr="004D3090">
        <w:rPr>
          <w:rFonts w:eastAsia="Verdana" w:cs="Arial"/>
          <w:b/>
          <w:szCs w:val="20"/>
        </w:rPr>
        <w:lastRenderedPageBreak/>
        <w:t xml:space="preserve">PART B </w:t>
      </w:r>
    </w:p>
    <w:p w14:paraId="74669705" w14:textId="77777777" w:rsidR="003E2FE6" w:rsidRPr="004D3090" w:rsidRDefault="003E2FE6" w:rsidP="009402CF">
      <w:pPr>
        <w:spacing w:after="223"/>
        <w:ind w:left="800" w:right="852" w:hanging="10"/>
        <w:jc w:val="center"/>
        <w:rPr>
          <w:rFonts w:cs="Arial"/>
          <w:szCs w:val="20"/>
        </w:rPr>
      </w:pPr>
      <w:r w:rsidRPr="004D3090">
        <w:rPr>
          <w:rFonts w:eastAsia="Verdana" w:cs="Arial"/>
          <w:b/>
          <w:szCs w:val="20"/>
        </w:rPr>
        <w:t xml:space="preserve">FINANCIAL REPORTS </w:t>
      </w:r>
    </w:p>
    <w:p w14:paraId="1EBCA3F0" w14:textId="77777777" w:rsidR="003E2FE6" w:rsidRPr="003E2FE6" w:rsidRDefault="003E2FE6" w:rsidP="009D675B">
      <w:pPr>
        <w:pStyle w:val="Heading1"/>
        <w:keepNext w:val="0"/>
        <w:numPr>
          <w:ilvl w:val="0"/>
          <w:numId w:val="84"/>
        </w:numPr>
        <w:spacing w:after="234" w:line="249" w:lineRule="auto"/>
        <w:ind w:right="47"/>
        <w:rPr>
          <w:rFonts w:cs="Arial"/>
          <w:szCs w:val="20"/>
        </w:rPr>
      </w:pPr>
      <w:r w:rsidRPr="003E2FE6">
        <w:rPr>
          <w:rFonts w:cs="Arial"/>
          <w:szCs w:val="20"/>
        </w:rPr>
        <w:t xml:space="preserve">PROVISION OF THE FINANCIAL REPORTS </w:t>
      </w:r>
    </w:p>
    <w:p w14:paraId="45E9F140" w14:textId="77777777" w:rsidR="003E2FE6" w:rsidRPr="004D3090" w:rsidRDefault="003E2FE6" w:rsidP="009D675B">
      <w:pPr>
        <w:pStyle w:val="Heading2"/>
        <w:numPr>
          <w:ilvl w:val="1"/>
          <w:numId w:val="140"/>
        </w:numPr>
        <w:spacing w:after="234" w:line="249" w:lineRule="auto"/>
        <w:ind w:right="47"/>
        <w:rPr>
          <w:rFonts w:cs="Arial"/>
          <w:szCs w:val="20"/>
        </w:rPr>
      </w:pPr>
      <w:r w:rsidRPr="004D3090">
        <w:rPr>
          <w:rFonts w:cs="Arial"/>
          <w:szCs w:val="20"/>
        </w:rPr>
        <w:t xml:space="preserve">The Supplier shall provide: </w:t>
      </w:r>
    </w:p>
    <w:p w14:paraId="3AD8ED88" w14:textId="77777777" w:rsidR="003E2FE6" w:rsidRPr="004D3090" w:rsidRDefault="003E2FE6" w:rsidP="009D675B">
      <w:pPr>
        <w:pStyle w:val="Heading3"/>
        <w:numPr>
          <w:ilvl w:val="2"/>
          <w:numId w:val="140"/>
        </w:numPr>
      </w:pPr>
      <w:r w:rsidRPr="004D3090">
        <w:t xml:space="preserve">the Contract Inception Report on or before the Effective Date; and </w:t>
      </w:r>
    </w:p>
    <w:p w14:paraId="2F1D469C" w14:textId="45D4E231" w:rsidR="003E2FE6" w:rsidRPr="004D3090" w:rsidRDefault="003E2FE6" w:rsidP="009D675B">
      <w:pPr>
        <w:pStyle w:val="Heading3"/>
        <w:numPr>
          <w:ilvl w:val="2"/>
          <w:numId w:val="140"/>
        </w:numPr>
      </w:pPr>
      <w:r w:rsidRPr="004D3090">
        <w:t xml:space="preserve">during the Term the following financial reports to </w:t>
      </w:r>
      <w:proofErr w:type="spellStart"/>
      <w:r w:rsidR="001F1C19">
        <w:t>Netlink</w:t>
      </w:r>
      <w:proofErr w:type="spellEnd"/>
      <w:r w:rsidR="001F1C19">
        <w:t xml:space="preserve"> Star</w:t>
      </w:r>
      <w:r w:rsidRPr="004D3090">
        <w:t xml:space="preserve">, in the frequency specified below: </w:t>
      </w:r>
    </w:p>
    <w:tbl>
      <w:tblPr>
        <w:tblStyle w:val="TableGrid1"/>
        <w:tblW w:w="8207" w:type="dxa"/>
        <w:tblInd w:w="859" w:type="dxa"/>
        <w:tblCellMar>
          <w:left w:w="104" w:type="dxa"/>
          <w:right w:w="42" w:type="dxa"/>
        </w:tblCellMar>
        <w:tblLook w:val="04A0" w:firstRow="1" w:lastRow="0" w:firstColumn="1" w:lastColumn="0" w:noHBand="0" w:noVBand="1"/>
      </w:tblPr>
      <w:tblGrid>
        <w:gridCol w:w="2822"/>
        <w:gridCol w:w="5385"/>
      </w:tblGrid>
      <w:tr w:rsidR="003E2FE6" w:rsidRPr="004D3090" w14:paraId="373D13EE" w14:textId="77777777" w:rsidTr="009402CF">
        <w:trPr>
          <w:trHeight w:val="466"/>
        </w:trPr>
        <w:tc>
          <w:tcPr>
            <w:tcW w:w="2822" w:type="dxa"/>
            <w:tcBorders>
              <w:top w:val="single" w:sz="4" w:space="0" w:color="000000"/>
              <w:left w:val="single" w:sz="4" w:space="0" w:color="000000"/>
              <w:bottom w:val="single" w:sz="4" w:space="0" w:color="000000"/>
              <w:right w:val="single" w:sz="4" w:space="0" w:color="000000"/>
            </w:tcBorders>
            <w:shd w:val="clear" w:color="auto" w:fill="E0E0E1"/>
          </w:tcPr>
          <w:p w14:paraId="112A9E19" w14:textId="77777777" w:rsidR="003E2FE6" w:rsidRPr="004D3090" w:rsidRDefault="003E2FE6" w:rsidP="009402CF">
            <w:pPr>
              <w:rPr>
                <w:rFonts w:ascii="Arial" w:hAnsi="Arial" w:cs="Arial"/>
                <w:sz w:val="20"/>
                <w:szCs w:val="20"/>
              </w:rPr>
            </w:pPr>
            <w:r w:rsidRPr="004D3090">
              <w:rPr>
                <w:rFonts w:ascii="Arial" w:eastAsia="Verdana" w:hAnsi="Arial" w:cs="Arial"/>
                <w:b/>
                <w:sz w:val="20"/>
                <w:szCs w:val="20"/>
              </w:rPr>
              <w:t xml:space="preserve">Financial Report </w:t>
            </w:r>
          </w:p>
        </w:tc>
        <w:tc>
          <w:tcPr>
            <w:tcW w:w="5385" w:type="dxa"/>
            <w:tcBorders>
              <w:top w:val="single" w:sz="4" w:space="0" w:color="000000"/>
              <w:left w:val="single" w:sz="4" w:space="0" w:color="000000"/>
              <w:bottom w:val="single" w:sz="4" w:space="0" w:color="000000"/>
              <w:right w:val="single" w:sz="4" w:space="0" w:color="000000"/>
            </w:tcBorders>
            <w:shd w:val="clear" w:color="auto" w:fill="E0E0E1"/>
          </w:tcPr>
          <w:p w14:paraId="2AFFED3D" w14:textId="77777777" w:rsidR="003E2FE6" w:rsidRPr="004D3090" w:rsidRDefault="003E2FE6" w:rsidP="009402CF">
            <w:pPr>
              <w:ind w:left="5"/>
              <w:rPr>
                <w:rFonts w:ascii="Arial" w:hAnsi="Arial" w:cs="Arial"/>
                <w:sz w:val="20"/>
                <w:szCs w:val="20"/>
              </w:rPr>
            </w:pPr>
            <w:r w:rsidRPr="004D3090">
              <w:rPr>
                <w:rFonts w:ascii="Arial" w:eastAsia="Verdana" w:hAnsi="Arial" w:cs="Arial"/>
                <w:b/>
                <w:sz w:val="20"/>
                <w:szCs w:val="20"/>
              </w:rPr>
              <w:t xml:space="preserve">When to be provided </w:t>
            </w:r>
          </w:p>
        </w:tc>
      </w:tr>
      <w:tr w:rsidR="003E2FE6" w:rsidRPr="004D3090" w14:paraId="121DD64A" w14:textId="77777777" w:rsidTr="009402CF">
        <w:trPr>
          <w:trHeight w:val="562"/>
        </w:trPr>
        <w:tc>
          <w:tcPr>
            <w:tcW w:w="2822" w:type="dxa"/>
            <w:tcBorders>
              <w:top w:val="single" w:sz="4" w:space="0" w:color="000000"/>
              <w:left w:val="single" w:sz="4" w:space="0" w:color="000000"/>
              <w:bottom w:val="single" w:sz="4" w:space="0" w:color="000000"/>
              <w:right w:val="single" w:sz="4" w:space="0" w:color="000000"/>
            </w:tcBorders>
          </w:tcPr>
          <w:p w14:paraId="3D3251FA" w14:textId="77777777" w:rsidR="003E2FE6" w:rsidRPr="004D3090" w:rsidRDefault="003E2FE6" w:rsidP="009402CF">
            <w:pPr>
              <w:rPr>
                <w:rFonts w:ascii="Arial" w:hAnsi="Arial" w:cs="Arial"/>
                <w:sz w:val="20"/>
                <w:szCs w:val="20"/>
              </w:rPr>
            </w:pPr>
            <w:r w:rsidRPr="004D3090">
              <w:rPr>
                <w:rFonts w:ascii="Arial" w:eastAsia="Verdana" w:hAnsi="Arial" w:cs="Arial"/>
                <w:sz w:val="20"/>
                <w:szCs w:val="20"/>
              </w:rPr>
              <w:t xml:space="preserve">Contract Amendment Report </w:t>
            </w:r>
          </w:p>
        </w:tc>
        <w:tc>
          <w:tcPr>
            <w:tcW w:w="5385" w:type="dxa"/>
            <w:tcBorders>
              <w:top w:val="single" w:sz="4" w:space="0" w:color="000000"/>
              <w:left w:val="single" w:sz="4" w:space="0" w:color="000000"/>
              <w:bottom w:val="single" w:sz="4" w:space="0" w:color="000000"/>
              <w:right w:val="single" w:sz="4" w:space="0" w:color="000000"/>
            </w:tcBorders>
          </w:tcPr>
          <w:p w14:paraId="4E7FA65B" w14:textId="12F65AA1" w:rsidR="003E2FE6" w:rsidRPr="004D3090" w:rsidRDefault="003E2FE6" w:rsidP="009402CF">
            <w:pPr>
              <w:ind w:left="5" w:right="64"/>
              <w:jc w:val="both"/>
              <w:rPr>
                <w:rFonts w:ascii="Arial" w:hAnsi="Arial" w:cs="Arial"/>
                <w:sz w:val="20"/>
                <w:szCs w:val="20"/>
              </w:rPr>
            </w:pPr>
            <w:r w:rsidRPr="004D3090">
              <w:rPr>
                <w:rFonts w:ascii="Arial" w:eastAsia="Verdana" w:hAnsi="Arial" w:cs="Arial"/>
                <w:sz w:val="20"/>
                <w:szCs w:val="20"/>
              </w:rPr>
              <w:t xml:space="preserve">Within one (1) month of a Material Change being agreed between the Supplier and </w:t>
            </w:r>
            <w:proofErr w:type="spellStart"/>
            <w:r w:rsidR="001F1C19">
              <w:rPr>
                <w:rFonts w:ascii="Arial" w:eastAsia="Verdana" w:hAnsi="Arial" w:cs="Arial"/>
                <w:sz w:val="20"/>
                <w:szCs w:val="20"/>
              </w:rPr>
              <w:t>Netlink</w:t>
            </w:r>
            <w:proofErr w:type="spellEnd"/>
            <w:r w:rsidR="001F1C19">
              <w:rPr>
                <w:rFonts w:ascii="Arial" w:eastAsia="Verdana" w:hAnsi="Arial" w:cs="Arial"/>
                <w:sz w:val="20"/>
                <w:szCs w:val="20"/>
              </w:rPr>
              <w:t xml:space="preserve"> Star</w:t>
            </w:r>
            <w:r w:rsidRPr="004D3090">
              <w:rPr>
                <w:rFonts w:ascii="Arial" w:eastAsia="Verdana" w:hAnsi="Arial" w:cs="Arial"/>
                <w:sz w:val="20"/>
                <w:szCs w:val="20"/>
              </w:rPr>
              <w:t xml:space="preserve"> </w:t>
            </w:r>
          </w:p>
        </w:tc>
      </w:tr>
      <w:tr w:rsidR="003E2FE6" w:rsidRPr="004D3090" w14:paraId="702780E9" w14:textId="77777777" w:rsidTr="009402CF">
        <w:trPr>
          <w:trHeight w:val="401"/>
        </w:trPr>
        <w:tc>
          <w:tcPr>
            <w:tcW w:w="2822" w:type="dxa"/>
            <w:tcBorders>
              <w:top w:val="single" w:sz="4" w:space="0" w:color="000000"/>
              <w:left w:val="single" w:sz="4" w:space="0" w:color="000000"/>
              <w:bottom w:val="single" w:sz="4" w:space="0" w:color="000000"/>
              <w:right w:val="single" w:sz="4" w:space="0" w:color="000000"/>
            </w:tcBorders>
          </w:tcPr>
          <w:p w14:paraId="1DB29792" w14:textId="77777777" w:rsidR="003E2FE6" w:rsidRPr="004D3090" w:rsidRDefault="003E2FE6" w:rsidP="009402CF">
            <w:pPr>
              <w:rPr>
                <w:rFonts w:ascii="Arial" w:hAnsi="Arial" w:cs="Arial"/>
                <w:sz w:val="20"/>
                <w:szCs w:val="20"/>
              </w:rPr>
            </w:pPr>
            <w:r w:rsidRPr="004D3090">
              <w:rPr>
                <w:rFonts w:ascii="Arial" w:eastAsia="Verdana" w:hAnsi="Arial" w:cs="Arial"/>
                <w:sz w:val="20"/>
                <w:szCs w:val="20"/>
              </w:rPr>
              <w:t xml:space="preserve">Quarterly Contract Report </w:t>
            </w:r>
          </w:p>
        </w:tc>
        <w:tc>
          <w:tcPr>
            <w:tcW w:w="5385" w:type="dxa"/>
            <w:tcBorders>
              <w:top w:val="single" w:sz="4" w:space="0" w:color="000000"/>
              <w:left w:val="single" w:sz="4" w:space="0" w:color="000000"/>
              <w:bottom w:val="single" w:sz="4" w:space="0" w:color="000000"/>
              <w:right w:val="single" w:sz="4" w:space="0" w:color="000000"/>
            </w:tcBorders>
          </w:tcPr>
          <w:p w14:paraId="676D88D7" w14:textId="77777777" w:rsidR="003E2FE6" w:rsidRPr="004D3090" w:rsidRDefault="003E2FE6" w:rsidP="009402CF">
            <w:pPr>
              <w:ind w:left="5"/>
              <w:rPr>
                <w:rFonts w:ascii="Arial" w:hAnsi="Arial" w:cs="Arial"/>
                <w:sz w:val="20"/>
                <w:szCs w:val="20"/>
              </w:rPr>
            </w:pPr>
            <w:r w:rsidRPr="004D3090">
              <w:rPr>
                <w:rFonts w:ascii="Arial" w:eastAsia="Verdana" w:hAnsi="Arial" w:cs="Arial"/>
                <w:sz w:val="20"/>
                <w:szCs w:val="20"/>
              </w:rPr>
              <w:t xml:space="preserve">Within one (1) month of the end of each Quarter </w:t>
            </w:r>
          </w:p>
        </w:tc>
      </w:tr>
      <w:tr w:rsidR="003E2FE6" w:rsidRPr="004D3090" w14:paraId="6B69B00D" w14:textId="77777777" w:rsidTr="009402CF">
        <w:trPr>
          <w:trHeight w:val="561"/>
        </w:trPr>
        <w:tc>
          <w:tcPr>
            <w:tcW w:w="2822" w:type="dxa"/>
            <w:tcBorders>
              <w:top w:val="single" w:sz="4" w:space="0" w:color="000000"/>
              <w:left w:val="single" w:sz="4" w:space="0" w:color="000000"/>
              <w:bottom w:val="single" w:sz="4" w:space="0" w:color="000000"/>
              <w:right w:val="single" w:sz="4" w:space="0" w:color="000000"/>
            </w:tcBorders>
          </w:tcPr>
          <w:p w14:paraId="36895E8F" w14:textId="77777777" w:rsidR="003E2FE6" w:rsidRPr="004D3090" w:rsidRDefault="003E2FE6" w:rsidP="009402CF">
            <w:pPr>
              <w:rPr>
                <w:rFonts w:ascii="Arial" w:hAnsi="Arial" w:cs="Arial"/>
                <w:sz w:val="20"/>
                <w:szCs w:val="20"/>
              </w:rPr>
            </w:pPr>
            <w:r w:rsidRPr="004D3090">
              <w:rPr>
                <w:rFonts w:ascii="Arial" w:eastAsia="Verdana" w:hAnsi="Arial" w:cs="Arial"/>
                <w:sz w:val="20"/>
                <w:szCs w:val="20"/>
              </w:rPr>
              <w:t xml:space="preserve">Annual Contract Report </w:t>
            </w:r>
          </w:p>
        </w:tc>
        <w:tc>
          <w:tcPr>
            <w:tcW w:w="5385" w:type="dxa"/>
            <w:tcBorders>
              <w:top w:val="single" w:sz="4" w:space="0" w:color="000000"/>
              <w:left w:val="single" w:sz="4" w:space="0" w:color="000000"/>
              <w:bottom w:val="single" w:sz="4" w:space="0" w:color="000000"/>
              <w:right w:val="single" w:sz="4" w:space="0" w:color="000000"/>
            </w:tcBorders>
          </w:tcPr>
          <w:p w14:paraId="4EFD6DCA" w14:textId="77777777" w:rsidR="003E2FE6" w:rsidRPr="004D3090" w:rsidRDefault="003E2FE6" w:rsidP="009402CF">
            <w:pPr>
              <w:ind w:left="5"/>
              <w:jc w:val="both"/>
              <w:rPr>
                <w:rFonts w:ascii="Arial" w:hAnsi="Arial" w:cs="Arial"/>
                <w:sz w:val="20"/>
                <w:szCs w:val="20"/>
              </w:rPr>
            </w:pPr>
            <w:r w:rsidRPr="004D3090">
              <w:rPr>
                <w:rFonts w:ascii="Arial" w:eastAsia="Verdana" w:hAnsi="Arial" w:cs="Arial"/>
                <w:sz w:val="20"/>
                <w:szCs w:val="20"/>
              </w:rPr>
              <w:t xml:space="preserve">Within one (1) month of the end of the Contract Year to which that report relates </w:t>
            </w:r>
          </w:p>
        </w:tc>
      </w:tr>
      <w:tr w:rsidR="003E2FE6" w:rsidRPr="004D3090" w14:paraId="22AA167C" w14:textId="77777777" w:rsidTr="009402CF">
        <w:trPr>
          <w:trHeight w:val="401"/>
        </w:trPr>
        <w:tc>
          <w:tcPr>
            <w:tcW w:w="2822" w:type="dxa"/>
            <w:tcBorders>
              <w:top w:val="single" w:sz="4" w:space="0" w:color="000000"/>
              <w:left w:val="single" w:sz="4" w:space="0" w:color="000000"/>
              <w:bottom w:val="single" w:sz="4" w:space="0" w:color="000000"/>
              <w:right w:val="single" w:sz="4" w:space="0" w:color="000000"/>
            </w:tcBorders>
          </w:tcPr>
          <w:p w14:paraId="5093E27A" w14:textId="77777777" w:rsidR="003E2FE6" w:rsidRPr="004D3090" w:rsidRDefault="003E2FE6" w:rsidP="009402CF">
            <w:pPr>
              <w:rPr>
                <w:rFonts w:ascii="Arial" w:hAnsi="Arial" w:cs="Arial"/>
                <w:sz w:val="20"/>
                <w:szCs w:val="20"/>
              </w:rPr>
            </w:pPr>
            <w:r w:rsidRPr="004D3090">
              <w:rPr>
                <w:rFonts w:ascii="Arial" w:eastAsia="Verdana" w:hAnsi="Arial" w:cs="Arial"/>
                <w:sz w:val="20"/>
                <w:szCs w:val="20"/>
              </w:rPr>
              <w:t xml:space="preserve">Final Reconciliation Report </w:t>
            </w:r>
          </w:p>
        </w:tc>
        <w:tc>
          <w:tcPr>
            <w:tcW w:w="5385" w:type="dxa"/>
            <w:tcBorders>
              <w:top w:val="single" w:sz="4" w:space="0" w:color="000000"/>
              <w:left w:val="single" w:sz="4" w:space="0" w:color="000000"/>
              <w:bottom w:val="single" w:sz="4" w:space="0" w:color="000000"/>
              <w:right w:val="single" w:sz="4" w:space="0" w:color="000000"/>
            </w:tcBorders>
          </w:tcPr>
          <w:p w14:paraId="5464309F" w14:textId="77777777" w:rsidR="003E2FE6" w:rsidRPr="004D3090" w:rsidRDefault="003E2FE6" w:rsidP="009402CF">
            <w:pPr>
              <w:ind w:left="5"/>
              <w:rPr>
                <w:rFonts w:ascii="Arial" w:hAnsi="Arial" w:cs="Arial"/>
                <w:sz w:val="20"/>
                <w:szCs w:val="20"/>
              </w:rPr>
            </w:pPr>
            <w:r w:rsidRPr="004D3090">
              <w:rPr>
                <w:rFonts w:ascii="Arial" w:eastAsia="Verdana" w:hAnsi="Arial" w:cs="Arial"/>
                <w:sz w:val="20"/>
                <w:szCs w:val="20"/>
              </w:rPr>
              <w:t xml:space="preserve">Within six (6) months after the end of the Term </w:t>
            </w:r>
          </w:p>
        </w:tc>
      </w:tr>
    </w:tbl>
    <w:p w14:paraId="722D5AE6" w14:textId="77777777" w:rsidR="003E2FE6" w:rsidRPr="004D3090" w:rsidRDefault="003E2FE6" w:rsidP="009402CF">
      <w:pPr>
        <w:spacing w:line="249" w:lineRule="auto"/>
        <w:ind w:left="853" w:right="47" w:hanging="852"/>
        <w:rPr>
          <w:rFonts w:eastAsia="Verdana" w:cs="Arial"/>
          <w:szCs w:val="20"/>
        </w:rPr>
      </w:pPr>
    </w:p>
    <w:p w14:paraId="5105312D" w14:textId="3BDF7E5B" w:rsidR="003E2FE6" w:rsidRPr="004D3090" w:rsidRDefault="003E2FE6" w:rsidP="009D675B">
      <w:pPr>
        <w:pStyle w:val="Heading2"/>
        <w:numPr>
          <w:ilvl w:val="1"/>
          <w:numId w:val="140"/>
        </w:numPr>
        <w:spacing w:after="234" w:line="249" w:lineRule="auto"/>
        <w:ind w:right="47"/>
        <w:rPr>
          <w:rFonts w:cs="Arial"/>
          <w:szCs w:val="20"/>
        </w:rPr>
      </w:pPr>
      <w:r w:rsidRPr="004D3090">
        <w:rPr>
          <w:rFonts w:cs="Arial"/>
          <w:szCs w:val="20"/>
        </w:rPr>
        <w:t xml:space="preserve">The Supplier shall provide to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the Financial Reports in the same software package (Microsoft Excel or Microsoft Word), layout and format as the blank templates which are issued by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to the Supplier from time to time.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shall be entitled to modify the template for any Financial Report by giving written notice to the Supplier, including a copy of the updated template. </w:t>
      </w:r>
    </w:p>
    <w:p w14:paraId="4F3C5C7F" w14:textId="07FF4D64" w:rsidR="003E2FE6" w:rsidRPr="004D3090" w:rsidRDefault="003E2FE6" w:rsidP="009D675B">
      <w:pPr>
        <w:pStyle w:val="Heading2"/>
        <w:numPr>
          <w:ilvl w:val="1"/>
          <w:numId w:val="140"/>
        </w:numPr>
        <w:spacing w:after="234" w:line="249" w:lineRule="auto"/>
        <w:ind w:right="47"/>
        <w:rPr>
          <w:rFonts w:cs="Arial"/>
          <w:szCs w:val="20"/>
        </w:rPr>
      </w:pPr>
      <w:r w:rsidRPr="004D3090">
        <w:rPr>
          <w:rFonts w:cs="Arial"/>
          <w:szCs w:val="20"/>
        </w:rPr>
        <w:t xml:space="preserve">A copy of each Financial Report shall be held by both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and the Supplier.  If there is a Dispute regarding a Financial Report, such Dispute shall be escalated via the Dispute Resolution Procedure. </w:t>
      </w:r>
    </w:p>
    <w:p w14:paraId="59B5431C" w14:textId="77777777" w:rsidR="003E2FE6" w:rsidRPr="004D3090" w:rsidRDefault="003E2FE6" w:rsidP="009D675B">
      <w:pPr>
        <w:pStyle w:val="Heading2"/>
        <w:numPr>
          <w:ilvl w:val="1"/>
          <w:numId w:val="140"/>
        </w:numPr>
        <w:spacing w:after="234" w:line="249" w:lineRule="auto"/>
        <w:ind w:right="47"/>
        <w:rPr>
          <w:rFonts w:cs="Arial"/>
          <w:szCs w:val="20"/>
        </w:rPr>
      </w:pPr>
      <w:r w:rsidRPr="004D3090">
        <w:rPr>
          <w:rFonts w:cs="Arial"/>
          <w:szCs w:val="20"/>
        </w:rPr>
        <w:t xml:space="preserve">Each Financial Report shall: </w:t>
      </w:r>
    </w:p>
    <w:p w14:paraId="19DC743F" w14:textId="77777777" w:rsidR="003E2FE6" w:rsidRPr="004D3090" w:rsidRDefault="003E2FE6" w:rsidP="009D675B">
      <w:pPr>
        <w:pStyle w:val="Heading3"/>
        <w:numPr>
          <w:ilvl w:val="2"/>
          <w:numId w:val="140"/>
        </w:numPr>
      </w:pPr>
      <w:r w:rsidRPr="004D3090">
        <w:t xml:space="preserve">be completed by the Supplier using reasonable skill and </w:t>
      </w:r>
      <w:proofErr w:type="gramStart"/>
      <w:r w:rsidRPr="004D3090">
        <w:t>care;</w:t>
      </w:r>
      <w:proofErr w:type="gramEnd"/>
      <w:r w:rsidRPr="004D3090">
        <w:t xml:space="preserve"> </w:t>
      </w:r>
    </w:p>
    <w:p w14:paraId="39645E04" w14:textId="77777777" w:rsidR="003E2FE6" w:rsidRPr="004D3090" w:rsidRDefault="003E2FE6" w:rsidP="009D675B">
      <w:pPr>
        <w:pStyle w:val="Heading3"/>
        <w:numPr>
          <w:ilvl w:val="2"/>
          <w:numId w:val="140"/>
        </w:numPr>
      </w:pPr>
      <w:r w:rsidRPr="004D3090">
        <w:t xml:space="preserve">incorporate and use the same defined terms as are used in this </w:t>
      </w:r>
      <w:proofErr w:type="gramStart"/>
      <w:r w:rsidRPr="004D3090">
        <w:t>Agreement;</w:t>
      </w:r>
      <w:proofErr w:type="gramEnd"/>
      <w:r w:rsidRPr="004D3090">
        <w:t xml:space="preserve"> </w:t>
      </w:r>
    </w:p>
    <w:p w14:paraId="5A77A415" w14:textId="77777777" w:rsidR="003E2FE6" w:rsidRPr="004D3090" w:rsidRDefault="003E2FE6" w:rsidP="009D675B">
      <w:pPr>
        <w:pStyle w:val="Heading3"/>
        <w:numPr>
          <w:ilvl w:val="2"/>
          <w:numId w:val="140"/>
        </w:numPr>
      </w:pPr>
      <w:r w:rsidRPr="004D3090">
        <w:t xml:space="preserve">quote all monetary values in pounds </w:t>
      </w:r>
      <w:proofErr w:type="gramStart"/>
      <w:r w:rsidRPr="004D3090">
        <w:t>sterling;</w:t>
      </w:r>
      <w:proofErr w:type="gramEnd"/>
      <w:r w:rsidRPr="004D3090">
        <w:t xml:space="preserve"> </w:t>
      </w:r>
    </w:p>
    <w:p w14:paraId="3ADE914C" w14:textId="77777777" w:rsidR="003E2FE6" w:rsidRPr="004D3090" w:rsidRDefault="003E2FE6" w:rsidP="009D675B">
      <w:pPr>
        <w:pStyle w:val="Heading3"/>
        <w:numPr>
          <w:ilvl w:val="2"/>
          <w:numId w:val="140"/>
        </w:numPr>
      </w:pPr>
      <w:r w:rsidRPr="004D3090">
        <w:t xml:space="preserve">quote all Charges as exclusive of any VAT; and </w:t>
      </w:r>
    </w:p>
    <w:p w14:paraId="0778D805" w14:textId="77777777" w:rsidR="003E2FE6" w:rsidRPr="004D3090" w:rsidRDefault="003E2FE6" w:rsidP="009D675B">
      <w:pPr>
        <w:pStyle w:val="Heading3"/>
        <w:numPr>
          <w:ilvl w:val="2"/>
          <w:numId w:val="140"/>
        </w:numPr>
      </w:pPr>
      <w:r w:rsidRPr="004D3090">
        <w:t xml:space="preserve">quote all Charges based on current prices. </w:t>
      </w:r>
    </w:p>
    <w:p w14:paraId="4203EF43" w14:textId="6848B11E" w:rsidR="003E2FE6" w:rsidRPr="004D3090" w:rsidRDefault="003E2FE6" w:rsidP="009D675B">
      <w:pPr>
        <w:pStyle w:val="Heading2"/>
        <w:numPr>
          <w:ilvl w:val="1"/>
          <w:numId w:val="140"/>
        </w:numPr>
        <w:spacing w:after="234" w:line="249" w:lineRule="auto"/>
        <w:ind w:right="47"/>
        <w:rPr>
          <w:rFonts w:cs="Arial"/>
          <w:szCs w:val="20"/>
        </w:rPr>
      </w:pPr>
      <w:r w:rsidRPr="004D3090">
        <w:rPr>
          <w:rFonts w:cs="Arial"/>
          <w:szCs w:val="20"/>
        </w:rPr>
        <w:t xml:space="preserve">Each Annual Contract Report and the Final Reconciliation Report shall be certified by the Supplier’s Chief Financial Officer or Director of Finance (or equivalent as agreed in writing by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in advance of issue of the relevant Financial Report), acting with express authority, as: </w:t>
      </w:r>
    </w:p>
    <w:p w14:paraId="2BFEC711" w14:textId="77777777" w:rsidR="003E2FE6" w:rsidRPr="004D3090" w:rsidRDefault="003E2FE6" w:rsidP="009D675B">
      <w:pPr>
        <w:pStyle w:val="Heading3"/>
        <w:numPr>
          <w:ilvl w:val="2"/>
          <w:numId w:val="140"/>
        </w:numPr>
      </w:pPr>
      <w:r w:rsidRPr="004D3090">
        <w:t xml:space="preserve">being accurate and not </w:t>
      </w:r>
      <w:proofErr w:type="gramStart"/>
      <w:r w:rsidRPr="004D3090">
        <w:t>misleading;</w:t>
      </w:r>
      <w:proofErr w:type="gramEnd"/>
      <w:r w:rsidRPr="004D3090">
        <w:t xml:space="preserve"> </w:t>
      </w:r>
    </w:p>
    <w:p w14:paraId="682795F7" w14:textId="77777777" w:rsidR="003E2FE6" w:rsidRPr="004D3090" w:rsidRDefault="003E2FE6" w:rsidP="009D675B">
      <w:pPr>
        <w:pStyle w:val="Heading3"/>
        <w:numPr>
          <w:ilvl w:val="2"/>
          <w:numId w:val="140"/>
        </w:numPr>
      </w:pPr>
      <w:r w:rsidRPr="004D3090">
        <w:t xml:space="preserve">having been prepared in conformity with generally accepted accounting principles within the United </w:t>
      </w:r>
      <w:proofErr w:type="gramStart"/>
      <w:r w:rsidRPr="004D3090">
        <w:t>Kingdom;</w:t>
      </w:r>
      <w:proofErr w:type="gramEnd"/>
      <w:r w:rsidRPr="004D3090">
        <w:t xml:space="preserve"> </w:t>
      </w:r>
    </w:p>
    <w:p w14:paraId="51B106D0" w14:textId="77777777" w:rsidR="003E2FE6" w:rsidRPr="004D3090" w:rsidRDefault="003E2FE6" w:rsidP="009D675B">
      <w:pPr>
        <w:pStyle w:val="Heading3"/>
        <w:numPr>
          <w:ilvl w:val="2"/>
          <w:numId w:val="140"/>
        </w:numPr>
      </w:pPr>
      <w:r w:rsidRPr="004D3090">
        <w:t xml:space="preserve">being a true and fair reflection of the information included within the Supplier’s management and statutory accounts; and </w:t>
      </w:r>
    </w:p>
    <w:p w14:paraId="0F5F2A7D" w14:textId="77777777" w:rsidR="003E2FE6" w:rsidRPr="004D3090" w:rsidRDefault="003E2FE6" w:rsidP="009D675B">
      <w:pPr>
        <w:pStyle w:val="Heading3"/>
        <w:numPr>
          <w:ilvl w:val="2"/>
          <w:numId w:val="140"/>
        </w:numPr>
      </w:pPr>
      <w:r w:rsidRPr="004D3090">
        <w:t xml:space="preserve">compliant with the requirements of Paragraph 1.6. </w:t>
      </w:r>
    </w:p>
    <w:p w14:paraId="50EDB77B" w14:textId="77777777" w:rsidR="003E2FE6" w:rsidRPr="004D3090" w:rsidRDefault="003E2FE6" w:rsidP="009D675B">
      <w:pPr>
        <w:pStyle w:val="Heading2"/>
        <w:keepNext/>
        <w:numPr>
          <w:ilvl w:val="1"/>
          <w:numId w:val="140"/>
        </w:numPr>
        <w:spacing w:after="234" w:line="250" w:lineRule="auto"/>
        <w:ind w:right="45"/>
        <w:rPr>
          <w:rFonts w:cs="Arial"/>
          <w:szCs w:val="20"/>
        </w:rPr>
      </w:pPr>
      <w:r w:rsidRPr="004D3090">
        <w:rPr>
          <w:rFonts w:cs="Arial"/>
          <w:szCs w:val="20"/>
        </w:rPr>
        <w:lastRenderedPageBreak/>
        <w:t xml:space="preserve">The Supplier shall: </w:t>
      </w:r>
    </w:p>
    <w:p w14:paraId="4AA4BAC1" w14:textId="77777777" w:rsidR="003E2FE6" w:rsidRPr="004D3090" w:rsidRDefault="003E2FE6" w:rsidP="009D675B">
      <w:pPr>
        <w:pStyle w:val="Heading3"/>
        <w:numPr>
          <w:ilvl w:val="2"/>
          <w:numId w:val="140"/>
        </w:numPr>
      </w:pPr>
      <w:r w:rsidRPr="004D3090">
        <w:t xml:space="preserve">prepare each Financial Report using the same methodology as that used for the Contract Inception </w:t>
      </w:r>
      <w:proofErr w:type="gramStart"/>
      <w:r w:rsidRPr="004D3090">
        <w:t>Report;</w:t>
      </w:r>
      <w:proofErr w:type="gramEnd"/>
      <w:r w:rsidRPr="004D3090">
        <w:t xml:space="preserve"> </w:t>
      </w:r>
    </w:p>
    <w:p w14:paraId="2C9D6C7C" w14:textId="77777777" w:rsidR="003E2FE6" w:rsidRPr="004D3090" w:rsidRDefault="003E2FE6" w:rsidP="009D675B">
      <w:pPr>
        <w:pStyle w:val="Heading3"/>
        <w:numPr>
          <w:ilvl w:val="2"/>
          <w:numId w:val="140"/>
        </w:numPr>
      </w:pPr>
      <w:r w:rsidRPr="004D3090">
        <w:t xml:space="preserve">ensure that each Annual Contract Report and each Contract Amendment Report (if any) is a true and fair reflection of the costs forecast by the </w:t>
      </w:r>
      <w:proofErr w:type="gramStart"/>
      <w:r w:rsidRPr="004D3090">
        <w:t>Supplier;</w:t>
      </w:r>
      <w:proofErr w:type="gramEnd"/>
      <w:r w:rsidRPr="004D3090">
        <w:t xml:space="preserve"> </w:t>
      </w:r>
    </w:p>
    <w:p w14:paraId="2E5799E1" w14:textId="77777777" w:rsidR="003E2FE6" w:rsidRPr="004D3090" w:rsidRDefault="003E2FE6" w:rsidP="009D675B">
      <w:pPr>
        <w:pStyle w:val="Heading3"/>
        <w:numPr>
          <w:ilvl w:val="2"/>
          <w:numId w:val="140"/>
        </w:numPr>
      </w:pPr>
      <w:r w:rsidRPr="004D3090">
        <w:t xml:space="preserve">the Final Reconciliation Report is a true and fair reflection of the costs; and </w:t>
      </w:r>
    </w:p>
    <w:p w14:paraId="71B7157E" w14:textId="77777777" w:rsidR="003E2FE6" w:rsidRPr="004D3090" w:rsidRDefault="003E2FE6" w:rsidP="009D675B">
      <w:pPr>
        <w:pStyle w:val="Heading3"/>
        <w:numPr>
          <w:ilvl w:val="2"/>
          <w:numId w:val="140"/>
        </w:numPr>
      </w:pPr>
      <w:r w:rsidRPr="004D3090">
        <w:t xml:space="preserve">not have any other internal financial model in relation to the Services inconsistent with the Financial Model. </w:t>
      </w:r>
    </w:p>
    <w:p w14:paraId="17C06AED" w14:textId="47BFCA27" w:rsidR="003E2FE6" w:rsidRPr="004D3090" w:rsidRDefault="003E2FE6" w:rsidP="009D675B">
      <w:pPr>
        <w:pStyle w:val="Heading2"/>
        <w:numPr>
          <w:ilvl w:val="1"/>
          <w:numId w:val="140"/>
        </w:numPr>
        <w:spacing w:after="234" w:line="249" w:lineRule="auto"/>
        <w:ind w:right="47"/>
        <w:rPr>
          <w:rFonts w:cs="Arial"/>
          <w:szCs w:val="20"/>
        </w:rPr>
      </w:pPr>
      <w:r w:rsidRPr="004D3090">
        <w:rPr>
          <w:rFonts w:cs="Arial"/>
          <w:szCs w:val="20"/>
        </w:rPr>
        <w:t xml:space="preserve">During the Term, and for a period of </w:t>
      </w:r>
      <w:r>
        <w:rPr>
          <w:rFonts w:cs="Arial"/>
          <w:szCs w:val="20"/>
        </w:rPr>
        <w:t xml:space="preserve">12 </w:t>
      </w:r>
      <w:r w:rsidRPr="004D3090">
        <w:rPr>
          <w:rFonts w:cs="Arial"/>
          <w:szCs w:val="20"/>
        </w:rPr>
        <w:t xml:space="preserve">months following the end of the Term, the Supplier shall make available a Financial Representative at reasonable times and on reasonable notice to answer any reasonable queries that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may have on any of the Financial Reports.</w:t>
      </w:r>
    </w:p>
    <w:p w14:paraId="4BD2CC28" w14:textId="77777777" w:rsidR="003E2FE6" w:rsidRPr="004D3090" w:rsidRDefault="003E2FE6" w:rsidP="009D675B">
      <w:pPr>
        <w:pStyle w:val="Heading2"/>
        <w:numPr>
          <w:ilvl w:val="1"/>
          <w:numId w:val="140"/>
        </w:numPr>
        <w:spacing w:after="234" w:line="249" w:lineRule="auto"/>
        <w:ind w:right="47"/>
        <w:rPr>
          <w:rFonts w:cs="Arial"/>
          <w:szCs w:val="20"/>
        </w:rPr>
      </w:pPr>
      <w:r w:rsidRPr="004D3090">
        <w:rPr>
          <w:rFonts w:cs="Arial"/>
          <w:szCs w:val="20"/>
        </w:rPr>
        <w:t xml:space="preserve">If the Supplier becomes aware of the occurrence, or the likelihood of the future occurrence, of an event which will or may have a material effect on the following: </w:t>
      </w:r>
    </w:p>
    <w:p w14:paraId="70EEEE00" w14:textId="77777777" w:rsidR="003E2FE6" w:rsidRPr="004D3090" w:rsidRDefault="003E2FE6" w:rsidP="009D675B">
      <w:pPr>
        <w:pStyle w:val="Heading3"/>
        <w:numPr>
          <w:ilvl w:val="2"/>
          <w:numId w:val="140"/>
        </w:numPr>
      </w:pPr>
      <w:r w:rsidRPr="004D3090">
        <w:t xml:space="preserve">the costs incurred (or those forecast to be incurred) by the Supplier; and/or </w:t>
      </w:r>
    </w:p>
    <w:p w14:paraId="192D5D2E" w14:textId="23BB167B" w:rsidR="003E2FE6" w:rsidRPr="004D3090" w:rsidRDefault="003E2FE6" w:rsidP="009D675B">
      <w:pPr>
        <w:pStyle w:val="Heading3"/>
        <w:numPr>
          <w:ilvl w:val="2"/>
          <w:numId w:val="140"/>
        </w:numPr>
      </w:pPr>
      <w:r w:rsidRPr="004D3090">
        <w:t xml:space="preserve">the forecast Charges for the remainder of the Term, the Supplier shall, as soon as practicable, notify </w:t>
      </w:r>
      <w:proofErr w:type="spellStart"/>
      <w:r w:rsidR="001F1C19">
        <w:t>Netlink</w:t>
      </w:r>
      <w:proofErr w:type="spellEnd"/>
      <w:r w:rsidR="001F1C19">
        <w:t xml:space="preserve"> Star</w:t>
      </w:r>
      <w:r w:rsidRPr="004D3090">
        <w:t xml:space="preserve"> in writing of the event in question detailing the actual or anticipated effect. For the avoidance of doubt, notifications provided in accordance with this Paragraph 1.8 shall not have the effect of amending any provisions of this Agreement. </w:t>
      </w:r>
    </w:p>
    <w:p w14:paraId="7C5C65D4" w14:textId="77777777" w:rsidR="003E2FE6" w:rsidRPr="004D3090" w:rsidRDefault="003E2FE6" w:rsidP="009D675B">
      <w:pPr>
        <w:pStyle w:val="Heading1"/>
        <w:keepNext w:val="0"/>
        <w:numPr>
          <w:ilvl w:val="0"/>
          <w:numId w:val="140"/>
        </w:numPr>
        <w:spacing w:after="234" w:line="249" w:lineRule="auto"/>
        <w:ind w:right="47"/>
        <w:rPr>
          <w:rFonts w:cs="Arial"/>
          <w:szCs w:val="20"/>
        </w:rPr>
      </w:pPr>
      <w:r w:rsidRPr="004D3090">
        <w:rPr>
          <w:rFonts w:cs="Arial"/>
          <w:szCs w:val="20"/>
        </w:rPr>
        <w:t xml:space="preserve">FINANCIAL MODEL </w:t>
      </w:r>
    </w:p>
    <w:p w14:paraId="7FBB7816" w14:textId="77777777" w:rsidR="003E2FE6" w:rsidRPr="004D3090" w:rsidRDefault="003E2FE6" w:rsidP="009D675B">
      <w:pPr>
        <w:pStyle w:val="Heading2"/>
        <w:numPr>
          <w:ilvl w:val="1"/>
          <w:numId w:val="140"/>
        </w:numPr>
        <w:spacing w:after="234" w:line="249" w:lineRule="auto"/>
        <w:ind w:right="47"/>
        <w:rPr>
          <w:rFonts w:cs="Arial"/>
          <w:szCs w:val="20"/>
        </w:rPr>
      </w:pPr>
      <w:r w:rsidRPr="004D3090">
        <w:rPr>
          <w:rFonts w:cs="Arial"/>
          <w:szCs w:val="20"/>
        </w:rPr>
        <w:t xml:space="preserve">Following the delivery by the Supplier of each Annual Contract Report and any Contract Amendment Report: </w:t>
      </w:r>
    </w:p>
    <w:p w14:paraId="55FAF0C8" w14:textId="77777777" w:rsidR="003E2FE6" w:rsidRPr="004D3090" w:rsidRDefault="003E2FE6" w:rsidP="009D675B">
      <w:pPr>
        <w:pStyle w:val="Heading3"/>
        <w:numPr>
          <w:ilvl w:val="2"/>
          <w:numId w:val="140"/>
        </w:numPr>
      </w:pPr>
      <w:r w:rsidRPr="004D3090">
        <w:t xml:space="preserve">the Parties shall meet to discuss its contents within ten (10) Working Days of receipt (or such other period as the Parties shall agree). A Financial Representative shall attend the </w:t>
      </w:r>
      <w:proofErr w:type="gramStart"/>
      <w:r w:rsidRPr="004D3090">
        <w:t>meeting;</w:t>
      </w:r>
      <w:proofErr w:type="gramEnd"/>
      <w:r w:rsidRPr="004D3090">
        <w:t xml:space="preserve"> </w:t>
      </w:r>
    </w:p>
    <w:p w14:paraId="16F40E30" w14:textId="5B5A3E21" w:rsidR="003E2FE6" w:rsidRPr="004D3090" w:rsidRDefault="003E2FE6" w:rsidP="009D675B">
      <w:pPr>
        <w:pStyle w:val="Heading3"/>
        <w:numPr>
          <w:ilvl w:val="2"/>
          <w:numId w:val="140"/>
        </w:numPr>
      </w:pPr>
      <w:r w:rsidRPr="004D3090">
        <w:t xml:space="preserve">the Supplier shall make appropriate Supplier Personnel and advisers available to discuss any variations between the relevant Financial Report and the Contract Inception Report or immediately preceding Annual Contract Report or Contract Amendment Report (as the case may be) and to explain such variations (with reference to supporting evidence) to the reasonable satisfaction of </w:t>
      </w:r>
      <w:proofErr w:type="spellStart"/>
      <w:r w:rsidR="001F1C19">
        <w:t>Netlink</w:t>
      </w:r>
      <w:proofErr w:type="spellEnd"/>
      <w:r w:rsidR="001F1C19">
        <w:t xml:space="preserve"> Star</w:t>
      </w:r>
      <w:r w:rsidRPr="004D3090">
        <w:t xml:space="preserve">; and </w:t>
      </w:r>
    </w:p>
    <w:p w14:paraId="2BD0FFA3" w14:textId="300E62D6" w:rsidR="003E2FE6" w:rsidRPr="004D3090" w:rsidRDefault="001F1C19" w:rsidP="009D675B">
      <w:pPr>
        <w:pStyle w:val="Heading3"/>
        <w:numPr>
          <w:ilvl w:val="2"/>
          <w:numId w:val="140"/>
        </w:numPr>
      </w:pPr>
      <w:proofErr w:type="spellStart"/>
      <w:r>
        <w:t>Netlink</w:t>
      </w:r>
      <w:proofErr w:type="spellEnd"/>
      <w:r>
        <w:t xml:space="preserve"> Star</w:t>
      </w:r>
      <w:r w:rsidR="003E2FE6" w:rsidRPr="004D3090">
        <w:t xml:space="preserve">, acting reasonably and in good faith, shall within ten (10) Working Days of the meeting referred to in Paragraph 2.1.1 notify the Supplier that: </w:t>
      </w:r>
    </w:p>
    <w:p w14:paraId="0BEBCC89" w14:textId="44C992C5" w:rsidR="003E2FE6" w:rsidRPr="004D3090" w:rsidRDefault="003E2FE6" w:rsidP="009D675B">
      <w:pPr>
        <w:pStyle w:val="Heading4"/>
        <w:numPr>
          <w:ilvl w:val="3"/>
          <w:numId w:val="140"/>
        </w:numPr>
        <w:ind w:left="2410"/>
        <w:rPr>
          <w:rFonts w:cs="Arial"/>
          <w:szCs w:val="20"/>
        </w:rPr>
      </w:pPr>
      <w:r w:rsidRPr="004D3090">
        <w:rPr>
          <w:rFonts w:cs="Arial"/>
          <w:szCs w:val="20"/>
        </w:rPr>
        <w:t xml:space="preserve">the relevant Financial Report contains errors or omissions or that further explanations or supporting information is required, in which event the Supplier shall make any reasonably necessary modifications to the Financial Report and/or supply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with such supporting evidence as is reasonably required to address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’s concerns within ten (10) Working Days of such notification and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shall, following receipt of such amended Financial Report and/or supporting information, promptly approve or reject such Financial Report; or </w:t>
      </w:r>
    </w:p>
    <w:p w14:paraId="70125FB6" w14:textId="0410618B" w:rsidR="003E2FE6" w:rsidRPr="004D3090" w:rsidRDefault="001F1C19" w:rsidP="009D675B">
      <w:pPr>
        <w:pStyle w:val="Heading4"/>
        <w:numPr>
          <w:ilvl w:val="3"/>
          <w:numId w:val="140"/>
        </w:numPr>
        <w:ind w:left="2410"/>
        <w:rPr>
          <w:rFonts w:cs="Arial"/>
          <w:szCs w:val="20"/>
        </w:rPr>
      </w:pPr>
      <w:proofErr w:type="spellStart"/>
      <w:r>
        <w:rPr>
          <w:rFonts w:cs="Arial"/>
          <w:szCs w:val="20"/>
        </w:rPr>
        <w:t>Netlink</w:t>
      </w:r>
      <w:proofErr w:type="spellEnd"/>
      <w:r>
        <w:rPr>
          <w:rFonts w:cs="Arial"/>
          <w:szCs w:val="20"/>
        </w:rPr>
        <w:t xml:space="preserve"> Star</w:t>
      </w:r>
      <w:r w:rsidR="003E2FE6" w:rsidRPr="004D3090">
        <w:rPr>
          <w:rFonts w:cs="Arial"/>
          <w:szCs w:val="20"/>
        </w:rPr>
        <w:t xml:space="preserve"> has approved the relevant Financial Report. </w:t>
      </w:r>
    </w:p>
    <w:p w14:paraId="0BEEAEF3" w14:textId="752ADEDB" w:rsidR="003E2FE6" w:rsidRPr="004D3090" w:rsidRDefault="003E2FE6" w:rsidP="009D675B">
      <w:pPr>
        <w:pStyle w:val="Heading2"/>
        <w:numPr>
          <w:ilvl w:val="1"/>
          <w:numId w:val="140"/>
        </w:numPr>
        <w:spacing w:after="234" w:line="249" w:lineRule="auto"/>
        <w:ind w:right="47"/>
        <w:rPr>
          <w:rFonts w:cs="Arial"/>
          <w:szCs w:val="20"/>
        </w:rPr>
      </w:pPr>
      <w:r w:rsidRPr="004D3090">
        <w:rPr>
          <w:rFonts w:cs="Arial"/>
          <w:szCs w:val="20"/>
        </w:rPr>
        <w:t xml:space="preserve">Following approval by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of the relevant Financial Report in accordance with Paragraph 2.1.3, that version shall become, with effect from the date of such approval, the current approved version of the Financial Model for the purposes of this Agreement, a version of which shall be held by both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and the Supplier.  If there is a Dispute regarding a Financial Report,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’s copy of the relevant Financial Report shall be authoritative. If the Parties are unable to reach agreement on any Financial Report within 30 Working Days of its receipt by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w:t>
      </w:r>
      <w:r w:rsidRPr="004D3090">
        <w:rPr>
          <w:rFonts w:cs="Arial"/>
          <w:szCs w:val="20"/>
        </w:rPr>
        <w:lastRenderedPageBreak/>
        <w:t xml:space="preserve">the matter shall be referred for determination in accordance with the Dispute Resolution Procedure. </w:t>
      </w:r>
    </w:p>
    <w:p w14:paraId="5EBA4E0F" w14:textId="77777777" w:rsidR="003E2FE6" w:rsidRPr="004D3090" w:rsidRDefault="003E2FE6" w:rsidP="009D675B">
      <w:pPr>
        <w:pStyle w:val="Heading1"/>
        <w:keepNext w:val="0"/>
        <w:numPr>
          <w:ilvl w:val="0"/>
          <w:numId w:val="140"/>
        </w:numPr>
        <w:spacing w:after="234" w:line="249" w:lineRule="auto"/>
        <w:ind w:right="47"/>
        <w:rPr>
          <w:rFonts w:cs="Arial"/>
          <w:szCs w:val="20"/>
        </w:rPr>
      </w:pPr>
      <w:r w:rsidRPr="004D3090">
        <w:rPr>
          <w:rFonts w:cs="Arial"/>
          <w:szCs w:val="20"/>
        </w:rPr>
        <w:t xml:space="preserve">DISCUSSION OF QUARTERLY CONTRACT REPORTS AND FINAL RECONCILIATION REPORT </w:t>
      </w:r>
    </w:p>
    <w:p w14:paraId="2C516E9E" w14:textId="77777777" w:rsidR="003E2FE6" w:rsidRPr="004D3090" w:rsidRDefault="003E2FE6" w:rsidP="009D675B">
      <w:pPr>
        <w:pStyle w:val="Heading2"/>
        <w:numPr>
          <w:ilvl w:val="1"/>
          <w:numId w:val="140"/>
        </w:numPr>
        <w:spacing w:after="234" w:line="249" w:lineRule="auto"/>
        <w:ind w:right="47"/>
        <w:rPr>
          <w:rFonts w:cs="Arial"/>
          <w:szCs w:val="20"/>
        </w:rPr>
      </w:pPr>
      <w:r w:rsidRPr="004D3090">
        <w:rPr>
          <w:rFonts w:cs="Arial"/>
          <w:szCs w:val="20"/>
        </w:rPr>
        <w:t xml:space="preserve">Following the delivery by the Supplier of: </w:t>
      </w:r>
    </w:p>
    <w:p w14:paraId="4B0D5CB8" w14:textId="77777777" w:rsidR="003E2FE6" w:rsidRPr="004D3090" w:rsidRDefault="003E2FE6" w:rsidP="009D675B">
      <w:pPr>
        <w:pStyle w:val="Heading3"/>
        <w:numPr>
          <w:ilvl w:val="2"/>
          <w:numId w:val="140"/>
        </w:numPr>
      </w:pPr>
      <w:r w:rsidRPr="004D3090">
        <w:t>each Quarterly Contract Report, the Parties shall meet to discuss its contents within ten (10) Working Days of receipt (or such other period as the Parties shall agree</w:t>
      </w:r>
      <w:proofErr w:type="gramStart"/>
      <w:r w:rsidRPr="004D3090">
        <w:t>);</w:t>
      </w:r>
      <w:proofErr w:type="gramEnd"/>
      <w:r w:rsidRPr="004D3090">
        <w:t xml:space="preserve"> </w:t>
      </w:r>
    </w:p>
    <w:p w14:paraId="5AAAD6F5" w14:textId="77777777" w:rsidR="003E2FE6" w:rsidRPr="004D3090" w:rsidRDefault="003E2FE6" w:rsidP="009D675B">
      <w:pPr>
        <w:pStyle w:val="Heading3"/>
        <w:numPr>
          <w:ilvl w:val="2"/>
          <w:numId w:val="140"/>
        </w:numPr>
      </w:pPr>
      <w:r w:rsidRPr="004D3090">
        <w:t xml:space="preserve">the Final Reconciliation Report, the Parties shall meet to discuss its contents within ten (10) Working Days of receipt (or such other period as the Parties shall agree),  </w:t>
      </w:r>
    </w:p>
    <w:p w14:paraId="67056638" w14:textId="77777777" w:rsidR="003E2FE6" w:rsidRPr="004D3090" w:rsidRDefault="003E2FE6" w:rsidP="009402CF">
      <w:pPr>
        <w:spacing w:after="234" w:line="249" w:lineRule="auto"/>
        <w:ind w:right="47" w:firstLine="851"/>
        <w:rPr>
          <w:rFonts w:cs="Arial"/>
          <w:szCs w:val="20"/>
        </w:rPr>
      </w:pPr>
      <w:r w:rsidRPr="004D3090">
        <w:rPr>
          <w:rFonts w:eastAsia="Verdana" w:cs="Arial"/>
          <w:szCs w:val="20"/>
        </w:rPr>
        <w:t xml:space="preserve">and, in each case, a Financial Representative shall attend the relevant meeting. </w:t>
      </w:r>
    </w:p>
    <w:p w14:paraId="552F5DCA" w14:textId="77777777" w:rsidR="003E2FE6" w:rsidRPr="004D3090" w:rsidRDefault="003E2FE6" w:rsidP="009D675B">
      <w:pPr>
        <w:pStyle w:val="Heading1"/>
        <w:keepNext w:val="0"/>
        <w:numPr>
          <w:ilvl w:val="0"/>
          <w:numId w:val="140"/>
        </w:numPr>
        <w:spacing w:after="234" w:line="249" w:lineRule="auto"/>
        <w:ind w:right="47"/>
        <w:rPr>
          <w:rFonts w:cs="Arial"/>
          <w:szCs w:val="20"/>
        </w:rPr>
      </w:pPr>
      <w:r w:rsidRPr="004D3090">
        <w:rPr>
          <w:rFonts w:cs="Arial"/>
          <w:szCs w:val="20"/>
        </w:rPr>
        <w:t xml:space="preserve">KEY SUB-CONTRACTORS </w:t>
      </w:r>
    </w:p>
    <w:p w14:paraId="152DFA5B" w14:textId="08B4791D" w:rsidR="003E2FE6" w:rsidRPr="004D3090" w:rsidRDefault="003E2FE6" w:rsidP="009D675B">
      <w:pPr>
        <w:pStyle w:val="Heading2"/>
        <w:numPr>
          <w:ilvl w:val="1"/>
          <w:numId w:val="140"/>
        </w:numPr>
        <w:spacing w:after="234" w:line="249" w:lineRule="auto"/>
        <w:ind w:right="47"/>
        <w:rPr>
          <w:rFonts w:cs="Arial"/>
          <w:szCs w:val="20"/>
        </w:rPr>
      </w:pPr>
      <w:r w:rsidRPr="004D3090">
        <w:rPr>
          <w:rFonts w:cs="Arial"/>
          <w:szCs w:val="20"/>
        </w:rPr>
        <w:t xml:space="preserve">The Supplier shall, if requested by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provide (or procure the provision of) a report or reports including the level of information set out in the Financial Reports in relation to the charges and expenses to be incurred by any of its Key Sub-contractors. </w:t>
      </w:r>
    </w:p>
    <w:p w14:paraId="1FEA4516" w14:textId="77777777" w:rsidR="003E2FE6" w:rsidRPr="004D3090" w:rsidRDefault="003E2FE6" w:rsidP="009D675B">
      <w:pPr>
        <w:pStyle w:val="Heading2"/>
        <w:numPr>
          <w:ilvl w:val="1"/>
          <w:numId w:val="140"/>
        </w:numPr>
        <w:spacing w:after="234" w:line="249" w:lineRule="auto"/>
        <w:ind w:right="47"/>
        <w:rPr>
          <w:rFonts w:cs="Arial"/>
          <w:szCs w:val="20"/>
        </w:rPr>
      </w:pPr>
      <w:r w:rsidRPr="004D3090">
        <w:rPr>
          <w:rFonts w:cs="Arial"/>
          <w:szCs w:val="20"/>
        </w:rPr>
        <w:t xml:space="preserve">Without prejudice to Paragraph 1.1 of Part C, the Supplier shall: </w:t>
      </w:r>
    </w:p>
    <w:p w14:paraId="7969102A" w14:textId="77777777" w:rsidR="003E2FE6" w:rsidRPr="004D3090" w:rsidRDefault="003E2FE6" w:rsidP="009D675B">
      <w:pPr>
        <w:pStyle w:val="Heading3"/>
        <w:numPr>
          <w:ilvl w:val="2"/>
          <w:numId w:val="140"/>
        </w:numPr>
      </w:pPr>
      <w:r w:rsidRPr="004D3090">
        <w:t xml:space="preserve">be responsible for auditing the financial models/reports of its Key Subcontractors and for any associated charges and expenses incurred or forecast to be incurred; and </w:t>
      </w:r>
    </w:p>
    <w:p w14:paraId="4E9E1DC8" w14:textId="02A0F7F4" w:rsidR="003E2FE6" w:rsidRPr="004D3090" w:rsidRDefault="003E2FE6" w:rsidP="009D675B">
      <w:pPr>
        <w:pStyle w:val="Heading3"/>
        <w:numPr>
          <w:ilvl w:val="2"/>
          <w:numId w:val="140"/>
        </w:numPr>
      </w:pPr>
      <w:r w:rsidRPr="004D3090">
        <w:t xml:space="preserve">on written request by </w:t>
      </w:r>
      <w:proofErr w:type="spellStart"/>
      <w:r w:rsidR="001F1C19">
        <w:t>Netlink</w:t>
      </w:r>
      <w:proofErr w:type="spellEnd"/>
      <w:r w:rsidR="001F1C19">
        <w:t xml:space="preserve"> Star</w:t>
      </w:r>
      <w:r w:rsidRPr="004D3090">
        <w:t xml:space="preserve">, provide </w:t>
      </w:r>
      <w:proofErr w:type="spellStart"/>
      <w:r w:rsidR="001F1C19">
        <w:t>Netlink</w:t>
      </w:r>
      <w:proofErr w:type="spellEnd"/>
      <w:r w:rsidR="001F1C19">
        <w:t xml:space="preserve"> Star</w:t>
      </w:r>
      <w:r w:rsidRPr="004D3090">
        <w:t xml:space="preserve"> or procure that </w:t>
      </w:r>
      <w:proofErr w:type="spellStart"/>
      <w:r w:rsidR="001F1C19">
        <w:t>Netlink</w:t>
      </w:r>
      <w:proofErr w:type="spellEnd"/>
      <w:r w:rsidR="001F1C19">
        <w:t xml:space="preserve"> Star</w:t>
      </w:r>
      <w:r w:rsidRPr="004D3090">
        <w:t xml:space="preserve"> is provided with: </w:t>
      </w:r>
    </w:p>
    <w:p w14:paraId="22E96BAF" w14:textId="7454FEBD" w:rsidR="003E2FE6" w:rsidRPr="004D3090" w:rsidRDefault="003E2FE6" w:rsidP="009D675B">
      <w:pPr>
        <w:pStyle w:val="Heading4"/>
        <w:numPr>
          <w:ilvl w:val="3"/>
          <w:numId w:val="140"/>
        </w:numPr>
        <w:ind w:left="2410"/>
        <w:rPr>
          <w:rFonts w:cs="Arial"/>
          <w:szCs w:val="20"/>
        </w:rPr>
      </w:pPr>
      <w:r w:rsidRPr="004D3090">
        <w:rPr>
          <w:rFonts w:cs="Arial"/>
          <w:szCs w:val="20"/>
        </w:rPr>
        <w:t xml:space="preserve">full copies of audit reports for the Key Sub-contractors.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shall be entitled to rely on such audit reports; and </w:t>
      </w:r>
    </w:p>
    <w:p w14:paraId="6FD4CCDF" w14:textId="77777777" w:rsidR="003E2FE6" w:rsidRPr="004D3090" w:rsidRDefault="003E2FE6" w:rsidP="009D675B">
      <w:pPr>
        <w:pStyle w:val="Heading4"/>
        <w:numPr>
          <w:ilvl w:val="3"/>
          <w:numId w:val="140"/>
        </w:numPr>
        <w:ind w:left="2410"/>
        <w:rPr>
          <w:rFonts w:cs="Arial"/>
          <w:szCs w:val="20"/>
        </w:rPr>
      </w:pPr>
      <w:r w:rsidRPr="004D3090">
        <w:rPr>
          <w:rFonts w:cs="Arial"/>
          <w:szCs w:val="20"/>
        </w:rPr>
        <w:t xml:space="preserve">further explanation of, and reasonable supporting information in relation to, any audit reports provided. </w:t>
      </w:r>
    </w:p>
    <w:p w14:paraId="51C47EF9" w14:textId="77777777" w:rsidR="003E2FE6" w:rsidRPr="004D3090" w:rsidRDefault="003E2FE6" w:rsidP="009402CF">
      <w:pPr>
        <w:spacing w:after="226"/>
        <w:ind w:left="1"/>
        <w:rPr>
          <w:rFonts w:cs="Arial"/>
          <w:szCs w:val="20"/>
        </w:rPr>
      </w:pPr>
      <w:r w:rsidRPr="004D3090">
        <w:rPr>
          <w:rFonts w:eastAsia="Verdana" w:cs="Arial"/>
          <w:szCs w:val="20"/>
        </w:rPr>
        <w:t xml:space="preserve"> </w:t>
      </w:r>
    </w:p>
    <w:p w14:paraId="7A47E8F3" w14:textId="77777777" w:rsidR="003E2FE6" w:rsidRPr="004D3090" w:rsidRDefault="003E2FE6" w:rsidP="009402CF">
      <w:pPr>
        <w:spacing w:after="0"/>
        <w:ind w:left="1"/>
        <w:rPr>
          <w:rFonts w:cs="Arial"/>
          <w:szCs w:val="20"/>
        </w:rPr>
      </w:pPr>
      <w:r w:rsidRPr="004D3090">
        <w:rPr>
          <w:rFonts w:eastAsia="Arial" w:cs="Arial"/>
          <w:b/>
          <w:szCs w:val="20"/>
        </w:rPr>
        <w:t xml:space="preserve"> </w:t>
      </w:r>
      <w:r w:rsidRPr="004D3090">
        <w:rPr>
          <w:rFonts w:eastAsia="Arial" w:cs="Arial"/>
          <w:b/>
          <w:szCs w:val="20"/>
        </w:rPr>
        <w:tab/>
      </w:r>
      <w:r w:rsidRPr="004D3090">
        <w:rPr>
          <w:rFonts w:eastAsia="Verdana" w:cs="Arial"/>
          <w:b/>
          <w:szCs w:val="20"/>
        </w:rPr>
        <w:t xml:space="preserve"> </w:t>
      </w:r>
    </w:p>
    <w:p w14:paraId="33C0B1F5" w14:textId="77777777" w:rsidR="003E2FE6" w:rsidRPr="004D3090" w:rsidRDefault="003E2FE6">
      <w:pPr>
        <w:rPr>
          <w:rFonts w:eastAsia="Verdana" w:cs="Arial"/>
          <w:b/>
          <w:szCs w:val="20"/>
        </w:rPr>
      </w:pPr>
      <w:r w:rsidRPr="004D3090">
        <w:rPr>
          <w:rFonts w:eastAsia="Verdana" w:cs="Arial"/>
          <w:b/>
          <w:szCs w:val="20"/>
        </w:rPr>
        <w:br w:type="page"/>
      </w:r>
    </w:p>
    <w:p w14:paraId="0277CB44" w14:textId="77777777" w:rsidR="003E2FE6" w:rsidRPr="004D3090" w:rsidRDefault="003E2FE6" w:rsidP="009402CF">
      <w:pPr>
        <w:spacing w:after="223"/>
        <w:ind w:left="800" w:right="850" w:hanging="10"/>
        <w:jc w:val="center"/>
        <w:rPr>
          <w:rFonts w:cs="Arial"/>
          <w:szCs w:val="20"/>
        </w:rPr>
      </w:pPr>
      <w:r w:rsidRPr="004D3090">
        <w:rPr>
          <w:rFonts w:eastAsia="Verdana" w:cs="Arial"/>
          <w:b/>
          <w:szCs w:val="20"/>
        </w:rPr>
        <w:lastRenderedPageBreak/>
        <w:t xml:space="preserve">PART C </w:t>
      </w:r>
    </w:p>
    <w:p w14:paraId="48BD9937" w14:textId="77777777" w:rsidR="003E2FE6" w:rsidRPr="004D3090" w:rsidRDefault="003E2FE6" w:rsidP="009402CF">
      <w:pPr>
        <w:spacing w:after="223"/>
        <w:ind w:left="800" w:right="850" w:hanging="10"/>
        <w:jc w:val="center"/>
        <w:rPr>
          <w:rFonts w:cs="Arial"/>
          <w:szCs w:val="20"/>
        </w:rPr>
      </w:pPr>
      <w:r w:rsidRPr="004D3090">
        <w:rPr>
          <w:rFonts w:eastAsia="Verdana" w:cs="Arial"/>
          <w:b/>
          <w:szCs w:val="20"/>
        </w:rPr>
        <w:t xml:space="preserve">AUDIT RIGHTS </w:t>
      </w:r>
    </w:p>
    <w:p w14:paraId="2CAB9E96" w14:textId="77777777" w:rsidR="003E2FE6" w:rsidRPr="003E2FE6" w:rsidRDefault="003E2FE6" w:rsidP="009D675B">
      <w:pPr>
        <w:pStyle w:val="Heading1"/>
        <w:keepNext w:val="0"/>
        <w:numPr>
          <w:ilvl w:val="0"/>
          <w:numId w:val="85"/>
        </w:numPr>
        <w:spacing w:after="234" w:line="249" w:lineRule="auto"/>
        <w:ind w:right="47"/>
        <w:rPr>
          <w:rFonts w:cs="Arial"/>
          <w:szCs w:val="20"/>
        </w:rPr>
      </w:pPr>
      <w:r w:rsidRPr="003E2FE6">
        <w:rPr>
          <w:rFonts w:cs="Arial"/>
          <w:szCs w:val="20"/>
        </w:rPr>
        <w:t xml:space="preserve">AUDIT RIGHTS </w:t>
      </w:r>
    </w:p>
    <w:p w14:paraId="4EEFB589" w14:textId="7BBD9437" w:rsidR="003E2FE6" w:rsidRPr="004D3090" w:rsidRDefault="003E2FE6" w:rsidP="00F966FF">
      <w:pPr>
        <w:pStyle w:val="Heading2"/>
        <w:numPr>
          <w:ilvl w:val="1"/>
          <w:numId w:val="150"/>
        </w:numPr>
        <w:spacing w:after="234" w:line="249" w:lineRule="auto"/>
        <w:ind w:right="47"/>
        <w:rPr>
          <w:rFonts w:cs="Arial"/>
          <w:szCs w:val="20"/>
        </w:rPr>
      </w:pPr>
      <w:r w:rsidRPr="004D3090">
        <w:rPr>
          <w:rFonts w:eastAsia="Arial" w:cs="Arial"/>
          <w:szCs w:val="20"/>
        </w:rPr>
        <w:t xml:space="preserve">Subject to the other provisions in this Paragraph 1,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acting by itself or through its Audit Agents, shall have the right during the Term and for a period of 12 months thereafter, to assess compliance by the Supplier and/or its Key Sub-contractors of the Supplier’s obligations under this Agreement, including for the following purposes: </w:t>
      </w:r>
    </w:p>
    <w:p w14:paraId="5D1428D3" w14:textId="32EC06FB" w:rsidR="003E2FE6" w:rsidRPr="004D3090" w:rsidRDefault="003E2FE6" w:rsidP="00F966FF">
      <w:pPr>
        <w:pStyle w:val="Heading3"/>
        <w:numPr>
          <w:ilvl w:val="2"/>
          <w:numId w:val="150"/>
        </w:numPr>
      </w:pPr>
      <w:r w:rsidRPr="004D3090">
        <w:rPr>
          <w:rFonts w:eastAsia="Verdana"/>
        </w:rPr>
        <w:t xml:space="preserve">to verify the accuracy of the Charges and any other amounts payable by </w:t>
      </w:r>
      <w:proofErr w:type="spellStart"/>
      <w:r w:rsidR="001F1C19">
        <w:rPr>
          <w:rFonts w:eastAsia="Verdana"/>
        </w:rPr>
        <w:t>Netlink</w:t>
      </w:r>
      <w:proofErr w:type="spellEnd"/>
      <w:r w:rsidR="001F1C19">
        <w:rPr>
          <w:rFonts w:eastAsia="Verdana"/>
        </w:rPr>
        <w:t xml:space="preserve"> Star</w:t>
      </w:r>
      <w:r w:rsidRPr="004D3090">
        <w:rPr>
          <w:rFonts w:eastAsia="Verdana"/>
        </w:rPr>
        <w:t xml:space="preserve"> under this Agreement (and proposed or actual variations to such Charges and payments</w:t>
      </w:r>
      <w:proofErr w:type="gramStart"/>
      <w:r w:rsidRPr="004D3090">
        <w:rPr>
          <w:rFonts w:eastAsia="Verdana"/>
        </w:rPr>
        <w:t>);</w:t>
      </w:r>
      <w:proofErr w:type="gramEnd"/>
      <w:r w:rsidRPr="004D3090">
        <w:rPr>
          <w:rFonts w:eastAsia="Verdana"/>
        </w:rPr>
        <w:t xml:space="preserve"> </w:t>
      </w:r>
    </w:p>
    <w:p w14:paraId="696F219C" w14:textId="77777777" w:rsidR="003E2FE6" w:rsidRPr="004D3090" w:rsidRDefault="003E2FE6" w:rsidP="00F966FF">
      <w:pPr>
        <w:pStyle w:val="Heading3"/>
        <w:numPr>
          <w:ilvl w:val="2"/>
          <w:numId w:val="150"/>
        </w:numPr>
      </w:pPr>
      <w:r w:rsidRPr="004D3090">
        <w:rPr>
          <w:rFonts w:eastAsia="Verdana"/>
        </w:rPr>
        <w:t xml:space="preserve">to verify the Supplier’s and each Key Sub-contractor’s compliance with this Agreement and applicable </w:t>
      </w:r>
      <w:proofErr w:type="gramStart"/>
      <w:r w:rsidRPr="004D3090">
        <w:rPr>
          <w:rFonts w:eastAsia="Verdana"/>
        </w:rPr>
        <w:t>Law;</w:t>
      </w:r>
      <w:proofErr w:type="gramEnd"/>
      <w:r w:rsidRPr="004D3090">
        <w:rPr>
          <w:rFonts w:eastAsia="Verdana"/>
        </w:rPr>
        <w:t xml:space="preserve"> </w:t>
      </w:r>
    </w:p>
    <w:p w14:paraId="67693A48" w14:textId="23D48E8C" w:rsidR="003E2FE6" w:rsidRPr="004D3090" w:rsidRDefault="003E2FE6" w:rsidP="00F966FF">
      <w:pPr>
        <w:pStyle w:val="Heading3"/>
        <w:numPr>
          <w:ilvl w:val="2"/>
          <w:numId w:val="150"/>
        </w:numPr>
        <w:rPr>
          <w:rFonts w:eastAsia="Verdana"/>
        </w:rPr>
      </w:pPr>
      <w:r w:rsidRPr="004D3090">
        <w:rPr>
          <w:rFonts w:eastAsia="Verdana"/>
        </w:rPr>
        <w:t xml:space="preserve">to identify or investigate actual or suspected fraud, impropriety or accounting mistakes or any breach or reasonably suspected breach of security and in these circumstances </w:t>
      </w:r>
      <w:proofErr w:type="spellStart"/>
      <w:r w:rsidR="001F1C19">
        <w:rPr>
          <w:rFonts w:eastAsia="Verdana"/>
        </w:rPr>
        <w:t>Netlink</w:t>
      </w:r>
      <w:proofErr w:type="spellEnd"/>
      <w:r w:rsidR="001F1C19">
        <w:rPr>
          <w:rFonts w:eastAsia="Verdana"/>
        </w:rPr>
        <w:t xml:space="preserve"> Star</w:t>
      </w:r>
      <w:r w:rsidRPr="004D3090">
        <w:rPr>
          <w:rFonts w:eastAsia="Verdana"/>
        </w:rPr>
        <w:t xml:space="preserve"> shall provide as much notice and information about the purpose or objective of its investigations as is reasonably possible and/or appropriate in the </w:t>
      </w:r>
      <w:proofErr w:type="gramStart"/>
      <w:r w:rsidRPr="004D3090">
        <w:rPr>
          <w:rFonts w:eastAsia="Verdana"/>
        </w:rPr>
        <w:t>circumstances;</w:t>
      </w:r>
      <w:proofErr w:type="gramEnd"/>
      <w:r w:rsidRPr="004D3090">
        <w:rPr>
          <w:rFonts w:eastAsia="Verdana"/>
        </w:rPr>
        <w:t xml:space="preserve"> </w:t>
      </w:r>
    </w:p>
    <w:p w14:paraId="4AEDC97A" w14:textId="77777777" w:rsidR="003E2FE6" w:rsidRPr="004D3090" w:rsidRDefault="003E2FE6" w:rsidP="00F966FF">
      <w:pPr>
        <w:pStyle w:val="Heading3"/>
        <w:numPr>
          <w:ilvl w:val="2"/>
          <w:numId w:val="150"/>
        </w:numPr>
      </w:pPr>
      <w:r w:rsidRPr="004D3090">
        <w:rPr>
          <w:rFonts w:eastAsia="Verdana"/>
        </w:rPr>
        <w:t xml:space="preserve">to identify or investigate any circumstances which may materially or significantly impact upon the financial stability of the Supplier and thereby affecting the Supplier’s ability to perform the </w:t>
      </w:r>
      <w:proofErr w:type="gramStart"/>
      <w:r w:rsidRPr="004D3090">
        <w:rPr>
          <w:rFonts w:eastAsia="Verdana"/>
        </w:rPr>
        <w:t>Services;</w:t>
      </w:r>
      <w:proofErr w:type="gramEnd"/>
    </w:p>
    <w:p w14:paraId="1F5727B0" w14:textId="2C6D4FA7" w:rsidR="003E2FE6" w:rsidRPr="004D3090" w:rsidRDefault="003E2FE6" w:rsidP="00F966FF">
      <w:pPr>
        <w:pStyle w:val="Heading3"/>
        <w:numPr>
          <w:ilvl w:val="2"/>
          <w:numId w:val="150"/>
        </w:numPr>
        <w:rPr>
          <w:rFonts w:eastAsia="Verdana"/>
        </w:rPr>
      </w:pPr>
      <w:r w:rsidRPr="004D3090">
        <w:rPr>
          <w:rFonts w:eastAsia="Verdana"/>
        </w:rPr>
        <w:t xml:space="preserve">to obtain such information as is necessary to fulfil </w:t>
      </w:r>
      <w:proofErr w:type="spellStart"/>
      <w:r w:rsidR="001F1C19">
        <w:rPr>
          <w:rFonts w:eastAsia="Verdana"/>
        </w:rPr>
        <w:t>Netlink</w:t>
      </w:r>
      <w:proofErr w:type="spellEnd"/>
      <w:r w:rsidR="001F1C19">
        <w:rPr>
          <w:rFonts w:eastAsia="Verdana"/>
        </w:rPr>
        <w:t xml:space="preserve"> Star</w:t>
      </w:r>
      <w:r w:rsidRPr="004D3090">
        <w:rPr>
          <w:rFonts w:eastAsia="Verdana"/>
        </w:rPr>
        <w:t xml:space="preserve">’s obligations to supply information for parliamentary, ministerial, judicial or administrative purposes including the supply of information to the Comptroller and Auditor </w:t>
      </w:r>
      <w:proofErr w:type="gramStart"/>
      <w:r w:rsidRPr="004D3090">
        <w:rPr>
          <w:rFonts w:eastAsia="Verdana"/>
        </w:rPr>
        <w:t>General;</w:t>
      </w:r>
      <w:proofErr w:type="gramEnd"/>
      <w:r w:rsidRPr="004D3090">
        <w:rPr>
          <w:rFonts w:eastAsia="Verdana"/>
        </w:rPr>
        <w:t xml:space="preserve"> </w:t>
      </w:r>
    </w:p>
    <w:p w14:paraId="6D9A40A9" w14:textId="18C527E4" w:rsidR="003E2FE6" w:rsidRPr="004D3090" w:rsidRDefault="003E2FE6" w:rsidP="00F966FF">
      <w:pPr>
        <w:pStyle w:val="Heading3"/>
        <w:numPr>
          <w:ilvl w:val="2"/>
          <w:numId w:val="150"/>
        </w:numPr>
      </w:pPr>
      <w:r w:rsidRPr="004D3090">
        <w:t xml:space="preserve">to verify/request information for the purposes of </w:t>
      </w:r>
      <w:proofErr w:type="spellStart"/>
      <w:r w:rsidR="001F1C19">
        <w:t>Netlink</w:t>
      </w:r>
      <w:proofErr w:type="spellEnd"/>
      <w:r w:rsidR="001F1C19">
        <w:t xml:space="preserve"> Star</w:t>
      </w:r>
      <w:r w:rsidRPr="004D3090">
        <w:t xml:space="preserve">’s internal and statutory audits and to prepare, examine and/or certify </w:t>
      </w:r>
      <w:proofErr w:type="spellStart"/>
      <w:r w:rsidR="001F1C19">
        <w:t>Netlink</w:t>
      </w:r>
      <w:proofErr w:type="spellEnd"/>
      <w:r w:rsidR="001F1C19">
        <w:t xml:space="preserve"> Star</w:t>
      </w:r>
      <w:r w:rsidRPr="004D3090">
        <w:t xml:space="preserve">’s annual and interim reports and </w:t>
      </w:r>
      <w:proofErr w:type="gramStart"/>
      <w:r w:rsidRPr="004D3090">
        <w:t>accounts;</w:t>
      </w:r>
      <w:proofErr w:type="gramEnd"/>
    </w:p>
    <w:p w14:paraId="51AF764D" w14:textId="5E980FE5" w:rsidR="003E2FE6" w:rsidRPr="004D3090" w:rsidRDefault="003E2FE6" w:rsidP="00F966FF">
      <w:pPr>
        <w:pStyle w:val="Heading3"/>
        <w:numPr>
          <w:ilvl w:val="2"/>
          <w:numId w:val="150"/>
        </w:numPr>
      </w:pPr>
      <w:r w:rsidRPr="004D3090">
        <w:rPr>
          <w:rFonts w:eastAsia="Verdana"/>
        </w:rPr>
        <w:t xml:space="preserve">to enable the National Audit Office to carry out an examination pursuant to Section 6(1) of the National Audit Act 1983 of the economy, efficiency and effectiveness with which </w:t>
      </w:r>
      <w:proofErr w:type="spellStart"/>
      <w:r w:rsidR="001F1C19">
        <w:rPr>
          <w:rFonts w:eastAsia="Verdana"/>
        </w:rPr>
        <w:t>Netlink</w:t>
      </w:r>
      <w:proofErr w:type="spellEnd"/>
      <w:r w:rsidR="001F1C19">
        <w:rPr>
          <w:rFonts w:eastAsia="Verdana"/>
        </w:rPr>
        <w:t xml:space="preserve"> Star</w:t>
      </w:r>
      <w:r w:rsidRPr="004D3090">
        <w:rPr>
          <w:rFonts w:eastAsia="Verdana"/>
        </w:rPr>
        <w:t xml:space="preserve"> has used its </w:t>
      </w:r>
      <w:proofErr w:type="gramStart"/>
      <w:r w:rsidRPr="004D3090">
        <w:rPr>
          <w:rFonts w:eastAsia="Verdana"/>
        </w:rPr>
        <w:t>resources;</w:t>
      </w:r>
      <w:proofErr w:type="gramEnd"/>
      <w:r w:rsidRPr="004D3090">
        <w:rPr>
          <w:rFonts w:eastAsia="Verdana"/>
        </w:rPr>
        <w:t xml:space="preserve"> </w:t>
      </w:r>
    </w:p>
    <w:p w14:paraId="535A38D2" w14:textId="0AA6BBA1" w:rsidR="003E2FE6" w:rsidRPr="004D3090" w:rsidRDefault="003E2FE6" w:rsidP="00F966FF">
      <w:pPr>
        <w:pStyle w:val="Heading3"/>
        <w:numPr>
          <w:ilvl w:val="2"/>
          <w:numId w:val="150"/>
        </w:numPr>
      </w:pPr>
      <w:r w:rsidRPr="004D3090">
        <w:rPr>
          <w:rFonts w:eastAsia="Verdana"/>
        </w:rPr>
        <w:t xml:space="preserve">to verify the accuracy and completeness of any Management Information delivered or required by this Agreement; to review any Service Level Reports and/or other records relating to the Supplier’s performance of the Services and any other information reasonably required to enable </w:t>
      </w:r>
      <w:proofErr w:type="spellStart"/>
      <w:r w:rsidR="001F1C19">
        <w:rPr>
          <w:rFonts w:eastAsia="Verdana"/>
        </w:rPr>
        <w:t>Netlink</w:t>
      </w:r>
      <w:proofErr w:type="spellEnd"/>
      <w:r w:rsidR="001F1C19">
        <w:rPr>
          <w:rFonts w:eastAsia="Verdana"/>
        </w:rPr>
        <w:t xml:space="preserve"> Star</w:t>
      </w:r>
      <w:r w:rsidRPr="004D3090">
        <w:rPr>
          <w:rFonts w:eastAsia="Verdana"/>
        </w:rPr>
        <w:t xml:space="preserve"> to verify the detail contained in the Service Level </w:t>
      </w:r>
      <w:proofErr w:type="gramStart"/>
      <w:r w:rsidRPr="004D3090">
        <w:rPr>
          <w:rFonts w:eastAsia="Verdana"/>
        </w:rPr>
        <w:t>Reports;</w:t>
      </w:r>
      <w:proofErr w:type="gramEnd"/>
      <w:r w:rsidRPr="004D3090">
        <w:rPr>
          <w:rFonts w:eastAsia="Verdana"/>
        </w:rPr>
        <w:t xml:space="preserve"> </w:t>
      </w:r>
    </w:p>
    <w:p w14:paraId="4742A9C1" w14:textId="77777777" w:rsidR="003E2FE6" w:rsidRPr="004D3090" w:rsidRDefault="003E2FE6" w:rsidP="00F966FF">
      <w:pPr>
        <w:pStyle w:val="Heading3"/>
        <w:numPr>
          <w:ilvl w:val="2"/>
          <w:numId w:val="150"/>
        </w:numPr>
      </w:pPr>
      <w:r w:rsidRPr="004D3090">
        <w:rPr>
          <w:rFonts w:eastAsia="Verdana"/>
        </w:rPr>
        <w:t>to allow reasonable access to any Sites or other premises controlled by the Supplier and to the Supplier Equipment used in the performance of the Services</w:t>
      </w:r>
      <w:proofErr w:type="gramStart"/>
      <w:r w:rsidRPr="004D3090">
        <w:rPr>
          <w:rFonts w:eastAsia="Verdana"/>
        </w:rPr>
        <w:t>);</w:t>
      </w:r>
      <w:proofErr w:type="gramEnd"/>
    </w:p>
    <w:p w14:paraId="6377264E" w14:textId="77777777" w:rsidR="003E2FE6" w:rsidRPr="004D3090" w:rsidRDefault="003E2FE6" w:rsidP="00F966FF">
      <w:pPr>
        <w:pStyle w:val="Heading3"/>
        <w:numPr>
          <w:ilvl w:val="2"/>
          <w:numId w:val="150"/>
        </w:numPr>
      </w:pPr>
      <w:r w:rsidRPr="004D3090">
        <w:rPr>
          <w:rFonts w:eastAsia="Verdana"/>
        </w:rPr>
        <w:t xml:space="preserve">to review the accuracy and completeness of the </w:t>
      </w:r>
      <w:proofErr w:type="gramStart"/>
      <w:r w:rsidRPr="004D3090">
        <w:rPr>
          <w:rFonts w:eastAsia="Verdana"/>
        </w:rPr>
        <w:t>Records;</w:t>
      </w:r>
      <w:proofErr w:type="gramEnd"/>
    </w:p>
    <w:p w14:paraId="6D056C54" w14:textId="465F29AF" w:rsidR="003E2FE6" w:rsidRPr="004D3090" w:rsidRDefault="003E2FE6" w:rsidP="00F966FF">
      <w:pPr>
        <w:pStyle w:val="Heading3"/>
        <w:numPr>
          <w:ilvl w:val="2"/>
          <w:numId w:val="150"/>
        </w:numPr>
      </w:pPr>
      <w:r w:rsidRPr="004D3090">
        <w:rPr>
          <w:rFonts w:eastAsia="Verdana"/>
        </w:rPr>
        <w:t xml:space="preserve">to review any records created during the design and development of the Services and information relating to </w:t>
      </w:r>
      <w:proofErr w:type="gramStart"/>
      <w:r>
        <w:rPr>
          <w:rFonts w:eastAsia="Verdana"/>
        </w:rPr>
        <w:t>T</w:t>
      </w:r>
      <w:r w:rsidRPr="004D3090">
        <w:rPr>
          <w:rFonts w:eastAsia="Verdana"/>
        </w:rPr>
        <w:t>esting;</w:t>
      </w:r>
      <w:proofErr w:type="gramEnd"/>
    </w:p>
    <w:p w14:paraId="0419C53C" w14:textId="77777777" w:rsidR="003E2FE6" w:rsidRPr="004D3090" w:rsidRDefault="003E2FE6" w:rsidP="00F966FF">
      <w:pPr>
        <w:pStyle w:val="Heading3"/>
        <w:numPr>
          <w:ilvl w:val="2"/>
          <w:numId w:val="150"/>
        </w:numPr>
      </w:pPr>
      <w:r w:rsidRPr="004D3090">
        <w:rPr>
          <w:rFonts w:eastAsia="Verdana"/>
        </w:rPr>
        <w:t>to review the Supplier’s quality management systems (including all relevant Quality Plans and any quality manuals and procedures); to review the Supplier’s compliance with the Standards; and/or</w:t>
      </w:r>
    </w:p>
    <w:p w14:paraId="6BB045DE" w14:textId="3978D77F" w:rsidR="003E2FE6" w:rsidRPr="004D3090" w:rsidRDefault="003E2FE6" w:rsidP="00F966FF">
      <w:pPr>
        <w:pStyle w:val="Heading3"/>
        <w:numPr>
          <w:ilvl w:val="2"/>
          <w:numId w:val="150"/>
        </w:numPr>
      </w:pPr>
      <w:r w:rsidRPr="004D3090">
        <w:rPr>
          <w:rFonts w:eastAsia="Verdana"/>
        </w:rPr>
        <w:t xml:space="preserve">to review the integrity, </w:t>
      </w:r>
      <w:proofErr w:type="gramStart"/>
      <w:r w:rsidRPr="004D3090">
        <w:rPr>
          <w:rFonts w:eastAsia="Verdana"/>
        </w:rPr>
        <w:t>confidentiality</w:t>
      </w:r>
      <w:proofErr w:type="gramEnd"/>
      <w:r w:rsidRPr="004D3090">
        <w:rPr>
          <w:rFonts w:eastAsia="Verdana"/>
        </w:rPr>
        <w:t xml:space="preserve"> and security of </w:t>
      </w:r>
      <w:proofErr w:type="spellStart"/>
      <w:r w:rsidR="001F1C19">
        <w:rPr>
          <w:rFonts w:eastAsia="Verdana"/>
        </w:rPr>
        <w:t>Netlink</w:t>
      </w:r>
      <w:proofErr w:type="spellEnd"/>
      <w:r w:rsidR="001F1C19">
        <w:rPr>
          <w:rFonts w:eastAsia="Verdana"/>
        </w:rPr>
        <w:t xml:space="preserve"> Star</w:t>
      </w:r>
      <w:r w:rsidRPr="004D3090">
        <w:rPr>
          <w:rFonts w:eastAsia="Verdana"/>
        </w:rPr>
        <w:t xml:space="preserve"> Data. </w:t>
      </w:r>
    </w:p>
    <w:p w14:paraId="647542E4" w14:textId="6E3C51D9" w:rsidR="003E2FE6" w:rsidRPr="004D3090" w:rsidRDefault="001F1C19" w:rsidP="00F966FF">
      <w:pPr>
        <w:pStyle w:val="Heading2"/>
        <w:numPr>
          <w:ilvl w:val="1"/>
          <w:numId w:val="150"/>
        </w:numPr>
        <w:spacing w:after="234" w:line="249" w:lineRule="auto"/>
        <w:ind w:right="47"/>
        <w:rPr>
          <w:rFonts w:eastAsia="Arial" w:cs="Arial"/>
          <w:szCs w:val="20"/>
        </w:rPr>
      </w:pPr>
      <w:proofErr w:type="spellStart"/>
      <w:r>
        <w:rPr>
          <w:rFonts w:cs="Arial"/>
          <w:szCs w:val="20"/>
        </w:rPr>
        <w:t>Netlink</w:t>
      </w:r>
      <w:proofErr w:type="spellEnd"/>
      <w:r>
        <w:rPr>
          <w:rFonts w:cs="Arial"/>
          <w:szCs w:val="20"/>
        </w:rPr>
        <w:t xml:space="preserve"> Star</w:t>
      </w:r>
      <w:r w:rsidR="003E2FE6" w:rsidRPr="004D3090">
        <w:rPr>
          <w:rFonts w:cs="Arial"/>
          <w:szCs w:val="20"/>
        </w:rPr>
        <w:t xml:space="preserve"> shall not be entitled to use an Audit Agent that is a competitor of the Supplier unless </w:t>
      </w:r>
      <w:proofErr w:type="spellStart"/>
      <w:r>
        <w:rPr>
          <w:rFonts w:cs="Arial"/>
          <w:szCs w:val="20"/>
        </w:rPr>
        <w:t>Netlink</w:t>
      </w:r>
      <w:proofErr w:type="spellEnd"/>
      <w:r>
        <w:rPr>
          <w:rFonts w:cs="Arial"/>
          <w:szCs w:val="20"/>
        </w:rPr>
        <w:t xml:space="preserve"> Star</w:t>
      </w:r>
      <w:r w:rsidR="003E2FE6" w:rsidRPr="004D3090">
        <w:rPr>
          <w:rFonts w:cs="Arial"/>
          <w:szCs w:val="20"/>
        </w:rPr>
        <w:t xml:space="preserve"> has first obtained the Supplier’s written consent and such Audit Agent agrees to be bound by the Supplier’s confidentiality terms.</w:t>
      </w:r>
    </w:p>
    <w:p w14:paraId="01941EBE" w14:textId="67F4BDCC" w:rsidR="003E2FE6" w:rsidRPr="004D3090" w:rsidRDefault="003E2FE6" w:rsidP="00F966FF">
      <w:pPr>
        <w:pStyle w:val="Heading2"/>
        <w:numPr>
          <w:ilvl w:val="1"/>
          <w:numId w:val="150"/>
        </w:numPr>
        <w:spacing w:after="234" w:line="249" w:lineRule="auto"/>
        <w:ind w:right="47"/>
        <w:rPr>
          <w:rFonts w:cs="Arial"/>
          <w:szCs w:val="20"/>
        </w:rPr>
      </w:pPr>
      <w:r w:rsidRPr="004D3090">
        <w:rPr>
          <w:rFonts w:eastAsia="Verdana" w:cs="Arial"/>
          <w:szCs w:val="20"/>
        </w:rPr>
        <w:t xml:space="preserve">Except where an audit is imposed on </w:t>
      </w:r>
      <w:proofErr w:type="spellStart"/>
      <w:r w:rsidR="001F1C19">
        <w:rPr>
          <w:rFonts w:eastAsia="Verdana" w:cs="Arial"/>
          <w:szCs w:val="20"/>
        </w:rPr>
        <w:t>Netlink</w:t>
      </w:r>
      <w:proofErr w:type="spellEnd"/>
      <w:r w:rsidR="001F1C19">
        <w:rPr>
          <w:rFonts w:eastAsia="Verdana" w:cs="Arial"/>
          <w:szCs w:val="20"/>
        </w:rPr>
        <w:t xml:space="preserve"> Star</w:t>
      </w:r>
      <w:r w:rsidRPr="004D3090">
        <w:rPr>
          <w:rFonts w:eastAsia="Verdana" w:cs="Arial"/>
          <w:szCs w:val="20"/>
        </w:rPr>
        <w:t xml:space="preserve"> by a regulatory body or where </w:t>
      </w:r>
      <w:proofErr w:type="spellStart"/>
      <w:r w:rsidR="001F1C19">
        <w:rPr>
          <w:rFonts w:eastAsia="Verdana" w:cs="Arial"/>
          <w:szCs w:val="20"/>
        </w:rPr>
        <w:t>Netlink</w:t>
      </w:r>
      <w:proofErr w:type="spellEnd"/>
      <w:r w:rsidR="001F1C19">
        <w:rPr>
          <w:rFonts w:eastAsia="Verdana" w:cs="Arial"/>
          <w:szCs w:val="20"/>
        </w:rPr>
        <w:t xml:space="preserve"> Star</w:t>
      </w:r>
      <w:r w:rsidRPr="004D3090">
        <w:rPr>
          <w:rFonts w:eastAsia="Verdana" w:cs="Arial"/>
          <w:szCs w:val="20"/>
        </w:rPr>
        <w:t xml:space="preserve"> has reasonable grounds for believing that the Supplier has not complied with its obligations under </w:t>
      </w:r>
      <w:r w:rsidRPr="004D3090">
        <w:rPr>
          <w:rFonts w:eastAsia="Verdana" w:cs="Arial"/>
          <w:szCs w:val="20"/>
        </w:rPr>
        <w:lastRenderedPageBreak/>
        <w:t xml:space="preserve">this Agreement, </w:t>
      </w:r>
      <w:proofErr w:type="spellStart"/>
      <w:r w:rsidR="001F1C19">
        <w:rPr>
          <w:rFonts w:eastAsia="Verdana" w:cs="Arial"/>
          <w:szCs w:val="20"/>
        </w:rPr>
        <w:t>Netlink</w:t>
      </w:r>
      <w:proofErr w:type="spellEnd"/>
      <w:r w:rsidR="001F1C19">
        <w:rPr>
          <w:rFonts w:eastAsia="Verdana" w:cs="Arial"/>
          <w:szCs w:val="20"/>
        </w:rPr>
        <w:t xml:space="preserve"> Star</w:t>
      </w:r>
      <w:r w:rsidRPr="004D3090">
        <w:rPr>
          <w:rFonts w:eastAsia="Verdana" w:cs="Arial"/>
          <w:szCs w:val="20"/>
        </w:rPr>
        <w:t xml:space="preserve"> may not conduct an audit of the Supplier more than once in any Contract Year. </w:t>
      </w:r>
    </w:p>
    <w:p w14:paraId="2A6C0071" w14:textId="77777777" w:rsidR="003E2FE6" w:rsidRPr="004D3090" w:rsidRDefault="003E2FE6" w:rsidP="00F966FF">
      <w:pPr>
        <w:pStyle w:val="Heading2"/>
        <w:numPr>
          <w:ilvl w:val="1"/>
          <w:numId w:val="150"/>
        </w:numPr>
        <w:spacing w:after="234" w:line="249" w:lineRule="auto"/>
        <w:ind w:right="47"/>
        <w:rPr>
          <w:rFonts w:cs="Arial"/>
          <w:szCs w:val="20"/>
        </w:rPr>
      </w:pPr>
      <w:r w:rsidRPr="004D3090">
        <w:rPr>
          <w:rFonts w:cs="Arial"/>
          <w:szCs w:val="20"/>
        </w:rPr>
        <w:t xml:space="preserve">Nothing in this Agreement shall prevent or restrict the rights of the Comptroller and/or Auditor General and/or their representatives from carrying out an audit, </w:t>
      </w:r>
      <w:proofErr w:type="gramStart"/>
      <w:r w:rsidRPr="004D3090">
        <w:rPr>
          <w:rFonts w:cs="Arial"/>
          <w:szCs w:val="20"/>
        </w:rPr>
        <w:t>examination</w:t>
      </w:r>
      <w:proofErr w:type="gramEnd"/>
      <w:r w:rsidRPr="004D3090">
        <w:rPr>
          <w:rFonts w:cs="Arial"/>
          <w:szCs w:val="20"/>
        </w:rPr>
        <w:t xml:space="preserve"> or investigation of the Supplier and/or any of the Key Sub-contractors for the purposes of and pursuant to applicable Law. </w:t>
      </w:r>
    </w:p>
    <w:p w14:paraId="0C59C958" w14:textId="332226C8" w:rsidR="003E2FE6" w:rsidRPr="004D3090" w:rsidRDefault="003E2FE6" w:rsidP="00F966FF">
      <w:pPr>
        <w:pStyle w:val="Heading2"/>
        <w:numPr>
          <w:ilvl w:val="1"/>
          <w:numId w:val="150"/>
        </w:numPr>
        <w:spacing w:after="234" w:line="249" w:lineRule="auto"/>
        <w:ind w:right="47"/>
        <w:rPr>
          <w:rFonts w:cs="Arial"/>
          <w:szCs w:val="20"/>
        </w:rPr>
      </w:pPr>
      <w:r w:rsidRPr="004D3090">
        <w:rPr>
          <w:rFonts w:cs="Arial"/>
          <w:szCs w:val="20"/>
        </w:rPr>
        <w:t xml:space="preserve">Under no circumstances shall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or its Audit Agents be given access to: (</w:t>
      </w:r>
      <w:proofErr w:type="spellStart"/>
      <w:r w:rsidRPr="004D3090">
        <w:rPr>
          <w:rFonts w:cs="Arial"/>
          <w:szCs w:val="20"/>
        </w:rPr>
        <w:t>i</w:t>
      </w:r>
      <w:proofErr w:type="spellEnd"/>
      <w:r w:rsidRPr="004D3090">
        <w:rPr>
          <w:rFonts w:cs="Arial"/>
          <w:szCs w:val="20"/>
        </w:rPr>
        <w:t>) the Supplier’s internal pricing; (ii) non-public external reports; or (iii) internal reports prepared by the Supplier’s internal audit functions.</w:t>
      </w:r>
    </w:p>
    <w:p w14:paraId="6B8DEF39" w14:textId="77777777" w:rsidR="003E2FE6" w:rsidRPr="004D3090" w:rsidRDefault="003E2FE6" w:rsidP="00F966FF">
      <w:pPr>
        <w:pStyle w:val="Heading1"/>
        <w:keepNext w:val="0"/>
        <w:numPr>
          <w:ilvl w:val="0"/>
          <w:numId w:val="150"/>
        </w:numPr>
        <w:spacing w:after="234" w:line="249" w:lineRule="auto"/>
        <w:ind w:right="47"/>
        <w:rPr>
          <w:rFonts w:cs="Arial"/>
          <w:szCs w:val="20"/>
        </w:rPr>
      </w:pPr>
      <w:r w:rsidRPr="004D3090">
        <w:rPr>
          <w:rFonts w:cs="Arial"/>
          <w:szCs w:val="20"/>
        </w:rPr>
        <w:t xml:space="preserve">CONDUCT OF AUDITS </w:t>
      </w:r>
    </w:p>
    <w:p w14:paraId="3F1F5362" w14:textId="4036A12C" w:rsidR="003E2FE6" w:rsidRPr="004D3090" w:rsidRDefault="001F1C19" w:rsidP="00F966FF">
      <w:pPr>
        <w:pStyle w:val="Heading2"/>
        <w:numPr>
          <w:ilvl w:val="1"/>
          <w:numId w:val="150"/>
        </w:numPr>
        <w:spacing w:after="234" w:line="249" w:lineRule="auto"/>
        <w:ind w:right="47"/>
        <w:rPr>
          <w:rFonts w:cs="Arial"/>
          <w:szCs w:val="20"/>
        </w:rPr>
      </w:pPr>
      <w:proofErr w:type="spellStart"/>
      <w:r>
        <w:rPr>
          <w:rFonts w:cs="Arial"/>
          <w:szCs w:val="20"/>
        </w:rPr>
        <w:t>Netlink</w:t>
      </w:r>
      <w:proofErr w:type="spellEnd"/>
      <w:r>
        <w:rPr>
          <w:rFonts w:cs="Arial"/>
          <w:szCs w:val="20"/>
        </w:rPr>
        <w:t xml:space="preserve"> Star</w:t>
      </w:r>
      <w:r w:rsidR="003E2FE6" w:rsidRPr="004D3090">
        <w:rPr>
          <w:rFonts w:cs="Arial"/>
          <w:szCs w:val="20"/>
        </w:rPr>
        <w:t xml:space="preserve"> shall during each audit comply with those confidentiality, security, sites, </w:t>
      </w:r>
      <w:proofErr w:type="gramStart"/>
      <w:r w:rsidR="003E2FE6" w:rsidRPr="004D3090">
        <w:rPr>
          <w:rFonts w:cs="Arial"/>
          <w:szCs w:val="20"/>
        </w:rPr>
        <w:t>systems</w:t>
      </w:r>
      <w:proofErr w:type="gramEnd"/>
      <w:r w:rsidR="003E2FE6" w:rsidRPr="004D3090">
        <w:rPr>
          <w:rFonts w:cs="Arial"/>
          <w:szCs w:val="20"/>
        </w:rPr>
        <w:t xml:space="preserve"> and facilities operating procedures of the Supplier and use all reasonable endeavours to ensure that the conduct of each audit causes minimal disruption to the Supplier’s business and the performance of the Services as well as the provision of services to the Supplier’s other client</w:t>
      </w:r>
      <w:r w:rsidR="00A20CD5">
        <w:rPr>
          <w:rFonts w:cs="Arial"/>
          <w:szCs w:val="20"/>
        </w:rPr>
        <w:t>’</w:t>
      </w:r>
      <w:r w:rsidR="003E2FE6" w:rsidRPr="004D3090">
        <w:rPr>
          <w:rFonts w:cs="Arial"/>
          <w:szCs w:val="20"/>
        </w:rPr>
        <w:t xml:space="preserve">. </w:t>
      </w:r>
    </w:p>
    <w:p w14:paraId="2FCEA79A" w14:textId="2F710C9B" w:rsidR="003E2FE6" w:rsidRPr="004D3090" w:rsidRDefault="003E2FE6" w:rsidP="00F966FF">
      <w:pPr>
        <w:pStyle w:val="Heading2"/>
        <w:numPr>
          <w:ilvl w:val="1"/>
          <w:numId w:val="150"/>
        </w:numPr>
        <w:spacing w:after="234" w:line="249" w:lineRule="auto"/>
        <w:ind w:right="47"/>
        <w:rPr>
          <w:rFonts w:cs="Arial"/>
          <w:szCs w:val="20"/>
        </w:rPr>
      </w:pPr>
      <w:r w:rsidRPr="004D3090">
        <w:rPr>
          <w:rFonts w:cs="Arial"/>
          <w:szCs w:val="20"/>
        </w:rPr>
        <w:t xml:space="preserve">Subject to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's obligations of confidentiality, the Supplier shall provide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and the Audit Agents with all reasonable cooperation and assistance (and shall procure such co-operation and assistance from its Sub-contractors) in relation to each audit, including: </w:t>
      </w:r>
    </w:p>
    <w:p w14:paraId="26007FFC" w14:textId="1EFD67E8" w:rsidR="003E2FE6" w:rsidRPr="004D3090" w:rsidRDefault="003E2FE6" w:rsidP="00F966FF">
      <w:pPr>
        <w:pStyle w:val="Heading3"/>
        <w:numPr>
          <w:ilvl w:val="2"/>
          <w:numId w:val="150"/>
        </w:numPr>
      </w:pPr>
      <w:r w:rsidRPr="004D3090">
        <w:t xml:space="preserve">all information requested by </w:t>
      </w:r>
      <w:proofErr w:type="spellStart"/>
      <w:r w:rsidR="001F1C19">
        <w:t>Netlink</w:t>
      </w:r>
      <w:proofErr w:type="spellEnd"/>
      <w:r w:rsidR="001F1C19">
        <w:t xml:space="preserve"> Star</w:t>
      </w:r>
      <w:r w:rsidRPr="004D3090">
        <w:t xml:space="preserve"> within the permitted scope of the </w:t>
      </w:r>
      <w:proofErr w:type="gramStart"/>
      <w:r w:rsidRPr="004D3090">
        <w:t>audit;</w:t>
      </w:r>
      <w:proofErr w:type="gramEnd"/>
      <w:r w:rsidRPr="004D3090">
        <w:t xml:space="preserve"> </w:t>
      </w:r>
    </w:p>
    <w:p w14:paraId="7C3AB37F" w14:textId="77777777" w:rsidR="003E2FE6" w:rsidRPr="004D3090" w:rsidRDefault="003E2FE6" w:rsidP="00F966FF">
      <w:pPr>
        <w:pStyle w:val="Heading3"/>
        <w:numPr>
          <w:ilvl w:val="2"/>
          <w:numId w:val="150"/>
        </w:numPr>
      </w:pPr>
      <w:r w:rsidRPr="004D3090">
        <w:t xml:space="preserve">reasonable access to any Sites and to any equipment used (whether exclusively or non-exclusively) in the performance of the </w:t>
      </w:r>
      <w:proofErr w:type="gramStart"/>
      <w:r w:rsidRPr="004D3090">
        <w:t>Services;</w:t>
      </w:r>
      <w:proofErr w:type="gramEnd"/>
      <w:r w:rsidRPr="004D3090">
        <w:t xml:space="preserve"> </w:t>
      </w:r>
    </w:p>
    <w:p w14:paraId="7304FDE1" w14:textId="77777777" w:rsidR="003E2FE6" w:rsidRPr="004D3090" w:rsidRDefault="003E2FE6" w:rsidP="00F966FF">
      <w:pPr>
        <w:pStyle w:val="Heading3"/>
        <w:numPr>
          <w:ilvl w:val="2"/>
          <w:numId w:val="150"/>
        </w:numPr>
      </w:pPr>
      <w:r w:rsidRPr="004D3090">
        <w:t xml:space="preserve">access to the Supplier System; and </w:t>
      </w:r>
    </w:p>
    <w:p w14:paraId="218C8C90" w14:textId="77777777" w:rsidR="003E2FE6" w:rsidRPr="004D3090" w:rsidRDefault="003E2FE6" w:rsidP="00F966FF">
      <w:pPr>
        <w:pStyle w:val="Heading3"/>
        <w:numPr>
          <w:ilvl w:val="2"/>
          <w:numId w:val="150"/>
        </w:numPr>
      </w:pPr>
      <w:r w:rsidRPr="004D3090">
        <w:t>access to Supplier Personnel,</w:t>
      </w:r>
    </w:p>
    <w:p w14:paraId="27F9327A" w14:textId="7A8801B3" w:rsidR="003E2FE6" w:rsidRPr="004D3090" w:rsidRDefault="003E2FE6" w:rsidP="009402CF">
      <w:pPr>
        <w:pStyle w:val="Heading2"/>
        <w:numPr>
          <w:ilvl w:val="0"/>
          <w:numId w:val="0"/>
        </w:numPr>
        <w:ind w:left="709"/>
        <w:rPr>
          <w:rFonts w:cs="Arial"/>
          <w:szCs w:val="20"/>
        </w:rPr>
      </w:pPr>
      <w:r w:rsidRPr="004D3090">
        <w:rPr>
          <w:rFonts w:cs="Arial"/>
          <w:szCs w:val="20"/>
        </w:rPr>
        <w:t xml:space="preserve">provided that the Supplier shall not be obliged to </w:t>
      </w:r>
      <w:bookmarkStart w:id="2346" w:name="_Hlk86150350"/>
      <w:r w:rsidRPr="004D3090">
        <w:rPr>
          <w:rFonts w:cs="Arial"/>
          <w:szCs w:val="20"/>
        </w:rPr>
        <w:t xml:space="preserve">release any information that relates to other customers </w:t>
      </w:r>
      <w:bookmarkEnd w:id="2346"/>
      <w:r w:rsidRPr="004D3090">
        <w:rPr>
          <w:rFonts w:cs="Arial"/>
          <w:szCs w:val="20"/>
        </w:rPr>
        <w:t xml:space="preserve">or its underlying costs, margins or overheads or internal reports and confidential working papers or allow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any unsupervised access to its shared computing environment.</w:t>
      </w:r>
    </w:p>
    <w:p w14:paraId="1E1234B6" w14:textId="47DA267B" w:rsidR="003E2FE6" w:rsidRPr="004D3090" w:rsidRDefault="003E2FE6" w:rsidP="00F966FF">
      <w:pPr>
        <w:pStyle w:val="Heading2"/>
        <w:numPr>
          <w:ilvl w:val="1"/>
          <w:numId w:val="150"/>
        </w:numPr>
        <w:spacing w:after="234" w:line="249" w:lineRule="auto"/>
        <w:ind w:right="47"/>
        <w:rPr>
          <w:rFonts w:cs="Arial"/>
          <w:szCs w:val="20"/>
        </w:rPr>
      </w:pPr>
      <w:r w:rsidRPr="004D3090">
        <w:rPr>
          <w:rFonts w:cs="Arial"/>
          <w:szCs w:val="20"/>
        </w:rPr>
        <w:t>The Supplier shall implement all measurement and monitoring tools and procedures necessary to measure</w:t>
      </w:r>
      <w:r w:rsidR="00FD4D0F">
        <w:rPr>
          <w:rFonts w:cs="Arial"/>
          <w:szCs w:val="20"/>
        </w:rPr>
        <w:t xml:space="preserve"> </w:t>
      </w:r>
      <w:r w:rsidRPr="004D3090">
        <w:rPr>
          <w:rFonts w:cs="Arial"/>
          <w:szCs w:val="20"/>
        </w:rPr>
        <w:t xml:space="preserve">and report on the Supplier's performance of the Services against the applicable Performance Indicators at a level of detail sufficient to verify compliance with the Performance Indicators. </w:t>
      </w:r>
    </w:p>
    <w:p w14:paraId="3B7CDB0C" w14:textId="5E825A5D" w:rsidR="003E2FE6" w:rsidRPr="004D3090" w:rsidRDefault="001F1C19" w:rsidP="00F966FF">
      <w:pPr>
        <w:pStyle w:val="Heading2"/>
        <w:numPr>
          <w:ilvl w:val="1"/>
          <w:numId w:val="150"/>
        </w:numPr>
        <w:spacing w:after="234" w:line="249" w:lineRule="auto"/>
        <w:ind w:right="47"/>
        <w:rPr>
          <w:rFonts w:cs="Arial"/>
          <w:szCs w:val="20"/>
        </w:rPr>
      </w:pPr>
      <w:proofErr w:type="spellStart"/>
      <w:r>
        <w:rPr>
          <w:rFonts w:cs="Arial"/>
          <w:szCs w:val="20"/>
        </w:rPr>
        <w:t>Netlink</w:t>
      </w:r>
      <w:proofErr w:type="spellEnd"/>
      <w:r>
        <w:rPr>
          <w:rFonts w:cs="Arial"/>
          <w:szCs w:val="20"/>
        </w:rPr>
        <w:t xml:space="preserve"> Star</w:t>
      </w:r>
      <w:r w:rsidR="003E2FE6" w:rsidRPr="004D3090">
        <w:rPr>
          <w:rFonts w:cs="Arial"/>
          <w:szCs w:val="20"/>
        </w:rPr>
        <w:t xml:space="preserve"> shall provide at least 15 Working Days’ notice of its intention to conduct an audit unless </w:t>
      </w:r>
      <w:proofErr w:type="spellStart"/>
      <w:r>
        <w:rPr>
          <w:rFonts w:cs="Arial"/>
          <w:szCs w:val="20"/>
        </w:rPr>
        <w:t>Netlink</w:t>
      </w:r>
      <w:proofErr w:type="spellEnd"/>
      <w:r>
        <w:rPr>
          <w:rFonts w:cs="Arial"/>
          <w:szCs w:val="20"/>
        </w:rPr>
        <w:t xml:space="preserve"> Star</w:t>
      </w:r>
      <w:r w:rsidR="003E2FE6" w:rsidRPr="004D3090">
        <w:rPr>
          <w:rFonts w:cs="Arial"/>
          <w:szCs w:val="20"/>
        </w:rPr>
        <w:t xml:space="preserve"> has reasonable grounds for believing that the Supplier is in material breach of its obligations under this Agreement in which case </w:t>
      </w:r>
      <w:proofErr w:type="spellStart"/>
      <w:r>
        <w:rPr>
          <w:rFonts w:cs="Arial"/>
          <w:szCs w:val="20"/>
        </w:rPr>
        <w:t>Netlink</w:t>
      </w:r>
      <w:proofErr w:type="spellEnd"/>
      <w:r>
        <w:rPr>
          <w:rFonts w:cs="Arial"/>
          <w:szCs w:val="20"/>
        </w:rPr>
        <w:t xml:space="preserve"> Star</w:t>
      </w:r>
      <w:r w:rsidR="003E2FE6" w:rsidRPr="004D3090">
        <w:rPr>
          <w:rFonts w:cs="Arial"/>
          <w:szCs w:val="20"/>
        </w:rPr>
        <w:t xml:space="preserve"> shall only be required to give as much notice as is reasonably possible in the circumstances. </w:t>
      </w:r>
      <w:proofErr w:type="spellStart"/>
      <w:r>
        <w:rPr>
          <w:rFonts w:cs="Arial"/>
          <w:szCs w:val="20"/>
        </w:rPr>
        <w:t>Netlink</w:t>
      </w:r>
      <w:proofErr w:type="spellEnd"/>
      <w:r>
        <w:rPr>
          <w:rFonts w:cs="Arial"/>
          <w:szCs w:val="20"/>
        </w:rPr>
        <w:t xml:space="preserve"> Star</w:t>
      </w:r>
      <w:r w:rsidR="003E2FE6" w:rsidRPr="004D3090">
        <w:rPr>
          <w:rFonts w:cs="Arial"/>
          <w:szCs w:val="20"/>
        </w:rPr>
        <w:t xml:space="preserve"> will ensure that audits are conducted during normal business hours (8am to 6pm).</w:t>
      </w:r>
    </w:p>
    <w:p w14:paraId="3FEC264A" w14:textId="41398B17" w:rsidR="003E2FE6" w:rsidRPr="004D3090" w:rsidRDefault="003E2FE6" w:rsidP="00F966FF">
      <w:pPr>
        <w:pStyle w:val="Heading2"/>
        <w:numPr>
          <w:ilvl w:val="1"/>
          <w:numId w:val="150"/>
        </w:numPr>
        <w:spacing w:after="234" w:line="249" w:lineRule="auto"/>
        <w:ind w:right="47"/>
        <w:rPr>
          <w:rFonts w:cs="Arial"/>
          <w:szCs w:val="20"/>
        </w:rPr>
      </w:pPr>
      <w:r w:rsidRPr="004D3090">
        <w:rPr>
          <w:rFonts w:cs="Arial"/>
          <w:szCs w:val="20"/>
        </w:rPr>
        <w:t xml:space="preserve">The Parties agree that they shall bear their own respective costs and expenses incurred in respect of compliance with their obligations under this Paragraph 2, unless the audit identifies a material Default by the Supplier in which case the Supplier shall reimburse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for all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's reasonable costs incurred in connection with the audit. </w:t>
      </w:r>
    </w:p>
    <w:p w14:paraId="6185B0EF" w14:textId="77777777" w:rsidR="003E2FE6" w:rsidRPr="004D3090" w:rsidRDefault="003E2FE6" w:rsidP="00F966FF">
      <w:pPr>
        <w:pStyle w:val="Heading1"/>
        <w:numPr>
          <w:ilvl w:val="0"/>
          <w:numId w:val="150"/>
        </w:numPr>
        <w:spacing w:after="234" w:line="250" w:lineRule="auto"/>
        <w:ind w:right="45"/>
        <w:rPr>
          <w:rFonts w:cs="Arial"/>
          <w:szCs w:val="20"/>
        </w:rPr>
      </w:pPr>
      <w:r w:rsidRPr="004D3090">
        <w:rPr>
          <w:rFonts w:cs="Arial"/>
          <w:szCs w:val="20"/>
        </w:rPr>
        <w:t xml:space="preserve">USE OF SUPPLIER’S INTERNAL AUDIT TEAM </w:t>
      </w:r>
    </w:p>
    <w:p w14:paraId="60E1A8AC" w14:textId="4200EFBE" w:rsidR="003E2FE6" w:rsidRPr="004D3090" w:rsidRDefault="003E2FE6" w:rsidP="00F966FF">
      <w:pPr>
        <w:pStyle w:val="Heading2"/>
        <w:numPr>
          <w:ilvl w:val="1"/>
          <w:numId w:val="150"/>
        </w:numPr>
        <w:spacing w:after="234" w:line="249" w:lineRule="auto"/>
        <w:ind w:right="47"/>
        <w:rPr>
          <w:rFonts w:cs="Arial"/>
          <w:szCs w:val="20"/>
        </w:rPr>
      </w:pPr>
      <w:r w:rsidRPr="004D3090">
        <w:rPr>
          <w:rFonts w:cs="Arial"/>
          <w:szCs w:val="20"/>
        </w:rPr>
        <w:t xml:space="preserve">As an alternative to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’s right pursuant to Paragraph 1.1 to exercise an audit either itself or through its Audit Agents,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may require in writing that an audit is undertaken by the Supplier’s own internal audit function for any of the purposes set out in Paragraph 1.1. </w:t>
      </w:r>
    </w:p>
    <w:p w14:paraId="4C10C53F" w14:textId="6E0D1228" w:rsidR="003E2FE6" w:rsidRPr="004D3090" w:rsidRDefault="003E2FE6" w:rsidP="00F966FF">
      <w:pPr>
        <w:pStyle w:val="Heading2"/>
        <w:numPr>
          <w:ilvl w:val="1"/>
          <w:numId w:val="150"/>
        </w:numPr>
        <w:spacing w:after="234" w:line="249" w:lineRule="auto"/>
        <w:ind w:right="47"/>
        <w:rPr>
          <w:rFonts w:cs="Arial"/>
          <w:szCs w:val="20"/>
        </w:rPr>
      </w:pPr>
      <w:r w:rsidRPr="004D3090">
        <w:rPr>
          <w:rFonts w:cs="Arial"/>
          <w:szCs w:val="20"/>
        </w:rPr>
        <w:lastRenderedPageBreak/>
        <w:t xml:space="preserve">Following the receipt of a request from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under Paragraph 3.1 above, the Supplier shall procure that the relevant audit is undertaken as soon as reasonably </w:t>
      </w:r>
      <w:proofErr w:type="gramStart"/>
      <w:r w:rsidRPr="004D3090">
        <w:rPr>
          <w:rFonts w:cs="Arial"/>
          <w:szCs w:val="20"/>
        </w:rPr>
        <w:t>practicable</w:t>
      </w:r>
      <w:proofErr w:type="gramEnd"/>
      <w:r w:rsidRPr="004D3090">
        <w:rPr>
          <w:rFonts w:cs="Arial"/>
          <w:szCs w:val="20"/>
        </w:rPr>
        <w:t xml:space="preserve"> and that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has access to: </w:t>
      </w:r>
    </w:p>
    <w:p w14:paraId="3A6BD7E8" w14:textId="77777777" w:rsidR="003E2FE6" w:rsidRPr="004D3090" w:rsidRDefault="003E2FE6" w:rsidP="00F966FF">
      <w:pPr>
        <w:pStyle w:val="Heading3"/>
        <w:numPr>
          <w:ilvl w:val="2"/>
          <w:numId w:val="150"/>
        </w:numPr>
      </w:pPr>
      <w:r w:rsidRPr="004D3090">
        <w:t xml:space="preserve">the resultant audit reports; and </w:t>
      </w:r>
    </w:p>
    <w:p w14:paraId="5646A6D6" w14:textId="77777777" w:rsidR="003E2FE6" w:rsidRPr="004D3090" w:rsidRDefault="003E2FE6" w:rsidP="00F966FF">
      <w:pPr>
        <w:pStyle w:val="Heading3"/>
        <w:numPr>
          <w:ilvl w:val="2"/>
          <w:numId w:val="150"/>
        </w:numPr>
      </w:pPr>
      <w:r w:rsidRPr="004D3090">
        <w:t xml:space="preserve">all relevant members of the Supplier’s internal audit team for the purpose of understanding such audit reports. </w:t>
      </w:r>
    </w:p>
    <w:p w14:paraId="6F7B4B7D" w14:textId="77777777" w:rsidR="003E2FE6" w:rsidRPr="004D3090" w:rsidRDefault="003E2FE6" w:rsidP="00F966FF">
      <w:pPr>
        <w:pStyle w:val="Heading1"/>
        <w:keepNext w:val="0"/>
        <w:numPr>
          <w:ilvl w:val="0"/>
          <w:numId w:val="150"/>
        </w:numPr>
        <w:spacing w:after="234" w:line="249" w:lineRule="auto"/>
        <w:ind w:right="47"/>
        <w:rPr>
          <w:rFonts w:cs="Arial"/>
          <w:szCs w:val="20"/>
        </w:rPr>
      </w:pPr>
      <w:r w:rsidRPr="004D3090">
        <w:rPr>
          <w:rFonts w:cs="Arial"/>
          <w:szCs w:val="20"/>
        </w:rPr>
        <w:t xml:space="preserve">RESPONSE TO AUDITS </w:t>
      </w:r>
    </w:p>
    <w:p w14:paraId="680BDBE4" w14:textId="77777777" w:rsidR="003E2FE6" w:rsidRPr="004D3090" w:rsidRDefault="003E2FE6" w:rsidP="00F966FF">
      <w:pPr>
        <w:pStyle w:val="Heading2"/>
        <w:numPr>
          <w:ilvl w:val="1"/>
          <w:numId w:val="150"/>
        </w:numPr>
        <w:spacing w:after="234" w:line="249" w:lineRule="auto"/>
        <w:ind w:right="47"/>
        <w:rPr>
          <w:rFonts w:cs="Arial"/>
          <w:szCs w:val="20"/>
        </w:rPr>
      </w:pPr>
      <w:r w:rsidRPr="004D3090">
        <w:rPr>
          <w:rFonts w:cs="Arial"/>
          <w:szCs w:val="20"/>
        </w:rPr>
        <w:t xml:space="preserve">If an audit undertaken pursuant to Paragraphs 1 or 3 identifies that: </w:t>
      </w:r>
    </w:p>
    <w:p w14:paraId="29FF9FCF" w14:textId="3B25F5F3" w:rsidR="003E2FE6" w:rsidRPr="004D3090" w:rsidRDefault="003E2FE6" w:rsidP="00F966FF">
      <w:pPr>
        <w:pStyle w:val="Heading3"/>
        <w:numPr>
          <w:ilvl w:val="2"/>
          <w:numId w:val="150"/>
        </w:numPr>
      </w:pPr>
      <w:r w:rsidRPr="004D3090">
        <w:t xml:space="preserve">the Supplier has committed a Default, </w:t>
      </w:r>
      <w:proofErr w:type="spellStart"/>
      <w:r w:rsidR="001F1C19">
        <w:t>Netlink</w:t>
      </w:r>
      <w:proofErr w:type="spellEnd"/>
      <w:r w:rsidR="001F1C19">
        <w:t xml:space="preserve"> Star</w:t>
      </w:r>
      <w:r w:rsidRPr="004D3090">
        <w:t xml:space="preserve"> may (without prejudice to any rights and remedies </w:t>
      </w:r>
      <w:proofErr w:type="spellStart"/>
      <w:r w:rsidR="001F1C19">
        <w:t>Netlink</w:t>
      </w:r>
      <w:proofErr w:type="spellEnd"/>
      <w:r w:rsidR="001F1C19">
        <w:t xml:space="preserve"> Star</w:t>
      </w:r>
      <w:r w:rsidRPr="004D3090">
        <w:t xml:space="preserve"> may have) require the Supplier to correct such Default as soon as reasonably practicable and, if such Default constitutes a Notifiable Default, to comply with the Rectification Plan </w:t>
      </w:r>
      <w:proofErr w:type="gramStart"/>
      <w:r w:rsidRPr="004D3090">
        <w:t>Process;</w:t>
      </w:r>
      <w:proofErr w:type="gramEnd"/>
      <w:r w:rsidRPr="004D3090">
        <w:t xml:space="preserve"> </w:t>
      </w:r>
    </w:p>
    <w:p w14:paraId="4EA283D7" w14:textId="77777777" w:rsidR="003E2FE6" w:rsidRPr="004D3090" w:rsidRDefault="003E2FE6" w:rsidP="00F966FF">
      <w:pPr>
        <w:pStyle w:val="Heading3"/>
        <w:numPr>
          <w:ilvl w:val="2"/>
          <w:numId w:val="150"/>
        </w:numPr>
      </w:pPr>
      <w:r w:rsidRPr="004D3090">
        <w:t xml:space="preserve">there is an error in a Financial Report, the Supplier shall promptly rectify the </w:t>
      </w:r>
      <w:proofErr w:type="gramStart"/>
      <w:r w:rsidRPr="004D3090">
        <w:t>error;</w:t>
      </w:r>
      <w:proofErr w:type="gramEnd"/>
      <w:r w:rsidRPr="004D3090">
        <w:t xml:space="preserve"> </w:t>
      </w:r>
    </w:p>
    <w:p w14:paraId="4BA8BF6C" w14:textId="0CD48C0D" w:rsidR="003E2FE6" w:rsidRPr="004D3090" w:rsidRDefault="001F1C19" w:rsidP="00F966FF">
      <w:pPr>
        <w:pStyle w:val="Heading3"/>
        <w:numPr>
          <w:ilvl w:val="2"/>
          <w:numId w:val="150"/>
        </w:numPr>
      </w:pPr>
      <w:proofErr w:type="spellStart"/>
      <w:r>
        <w:t>Netlink</w:t>
      </w:r>
      <w:proofErr w:type="spellEnd"/>
      <w:r>
        <w:t xml:space="preserve"> Star</w:t>
      </w:r>
      <w:r w:rsidR="003E2FE6" w:rsidRPr="004D3090">
        <w:t xml:space="preserve"> has overpaid any Charges, the Supplier shall pay to </w:t>
      </w:r>
      <w:proofErr w:type="spellStart"/>
      <w:r>
        <w:t>Netlink</w:t>
      </w:r>
      <w:proofErr w:type="spellEnd"/>
      <w:r>
        <w:t xml:space="preserve"> Star</w:t>
      </w:r>
      <w:r w:rsidR="003E2FE6" w:rsidRPr="004D3090">
        <w:t xml:space="preserve">: </w:t>
      </w:r>
    </w:p>
    <w:p w14:paraId="23C476CA" w14:textId="77777777" w:rsidR="003E2FE6" w:rsidRPr="004D3090" w:rsidRDefault="003E2FE6" w:rsidP="00F966FF">
      <w:pPr>
        <w:pStyle w:val="Heading4"/>
        <w:numPr>
          <w:ilvl w:val="3"/>
          <w:numId w:val="150"/>
        </w:numPr>
        <w:ind w:left="2410"/>
        <w:rPr>
          <w:rFonts w:cs="Arial"/>
          <w:szCs w:val="20"/>
        </w:rPr>
      </w:pPr>
      <w:r w:rsidRPr="004D3090">
        <w:rPr>
          <w:rFonts w:cs="Arial"/>
          <w:szCs w:val="20"/>
        </w:rPr>
        <w:t xml:space="preserve">the amount </w:t>
      </w:r>
      <w:proofErr w:type="gramStart"/>
      <w:r w:rsidRPr="004D3090">
        <w:rPr>
          <w:rFonts w:cs="Arial"/>
          <w:szCs w:val="20"/>
        </w:rPr>
        <w:t>overpaid;</w:t>
      </w:r>
      <w:proofErr w:type="gramEnd"/>
      <w:r w:rsidRPr="004D3090">
        <w:rPr>
          <w:rFonts w:cs="Arial"/>
          <w:szCs w:val="20"/>
        </w:rPr>
        <w:t xml:space="preserve"> </w:t>
      </w:r>
    </w:p>
    <w:p w14:paraId="430DF415" w14:textId="510D7649" w:rsidR="003E2FE6" w:rsidRPr="004D3090" w:rsidRDefault="003E2FE6" w:rsidP="00F966FF">
      <w:pPr>
        <w:pStyle w:val="Heading4"/>
        <w:numPr>
          <w:ilvl w:val="3"/>
          <w:numId w:val="150"/>
        </w:numPr>
        <w:ind w:left="2410"/>
        <w:rPr>
          <w:rFonts w:cs="Arial"/>
          <w:szCs w:val="20"/>
        </w:rPr>
      </w:pPr>
      <w:r w:rsidRPr="004D3090">
        <w:rPr>
          <w:rFonts w:cs="Arial"/>
          <w:szCs w:val="20"/>
        </w:rPr>
        <w:t xml:space="preserve">interest on the amount overpaid at the applicable rate under the Late Payment of Commercial Debts (Interest) Act 1998, accruing </w:t>
      </w:r>
      <w:proofErr w:type="gramStart"/>
      <w:r w:rsidRPr="004D3090">
        <w:rPr>
          <w:rFonts w:cs="Arial"/>
          <w:szCs w:val="20"/>
        </w:rPr>
        <w:t>on a daily basis</w:t>
      </w:r>
      <w:proofErr w:type="gramEnd"/>
      <w:r w:rsidRPr="004D3090">
        <w:rPr>
          <w:rFonts w:cs="Arial"/>
          <w:szCs w:val="20"/>
        </w:rPr>
        <w:t xml:space="preserve"> from the date of overpayment by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up to the date of repayment by the Supplier; and </w:t>
      </w:r>
    </w:p>
    <w:p w14:paraId="09599529" w14:textId="17E0A94E" w:rsidR="003E2FE6" w:rsidRPr="004D3090" w:rsidRDefault="003E2FE6" w:rsidP="00F966FF">
      <w:pPr>
        <w:pStyle w:val="Heading4"/>
        <w:numPr>
          <w:ilvl w:val="3"/>
          <w:numId w:val="150"/>
        </w:numPr>
        <w:ind w:left="2410"/>
        <w:rPr>
          <w:rFonts w:cs="Arial"/>
          <w:szCs w:val="20"/>
        </w:rPr>
      </w:pPr>
      <w:r w:rsidRPr="004D3090">
        <w:rPr>
          <w:rFonts w:eastAsia="Arial" w:cs="Arial"/>
          <w:szCs w:val="20"/>
        </w:rPr>
        <w:t xml:space="preserve">only where the amount of overpayment exceeds an amount equivalent to two per cent (2%) of the annual Charges in the Contract Year in which the audit takes place, </w:t>
      </w:r>
      <w:r w:rsidRPr="004D3090">
        <w:rPr>
          <w:rFonts w:cs="Arial"/>
          <w:szCs w:val="20"/>
        </w:rPr>
        <w:t xml:space="preserve">the reasonable costs incurred by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in undertaking the audit (</w:t>
      </w:r>
      <w:proofErr w:type="spellStart"/>
      <w:r w:rsidR="001F1C19">
        <w:rPr>
          <w:rFonts w:cs="Arial"/>
          <w:szCs w:val="20"/>
        </w:rPr>
        <w:t>Netlink</w:t>
      </w:r>
      <w:proofErr w:type="spellEnd"/>
      <w:r w:rsidR="001F1C19">
        <w:rPr>
          <w:rFonts w:cs="Arial"/>
          <w:szCs w:val="20"/>
        </w:rPr>
        <w:t xml:space="preserve"> Star</w:t>
      </w:r>
      <w:r w:rsidRPr="004D3090">
        <w:rPr>
          <w:rFonts w:cs="Arial"/>
          <w:szCs w:val="20"/>
        </w:rPr>
        <w:t xml:space="preserve"> may exercise its right to deduct such amount from the Charges if it prefers); and </w:t>
      </w:r>
    </w:p>
    <w:p w14:paraId="4CBBFCF7" w14:textId="45B85BAA" w:rsidR="003E2FE6" w:rsidRPr="004D3090" w:rsidRDefault="001F1C19" w:rsidP="00F966FF">
      <w:pPr>
        <w:pStyle w:val="Heading3"/>
        <w:numPr>
          <w:ilvl w:val="2"/>
          <w:numId w:val="150"/>
        </w:numPr>
      </w:pPr>
      <w:proofErr w:type="spellStart"/>
      <w:r>
        <w:t>Netlink</w:t>
      </w:r>
      <w:proofErr w:type="spellEnd"/>
      <w:r>
        <w:t xml:space="preserve"> Star</w:t>
      </w:r>
      <w:r w:rsidR="003E2FE6" w:rsidRPr="004D3090">
        <w:t xml:space="preserve"> has underpaid any Charges, the Supplier shall not be entitled to increase the Charges paid or payable by </w:t>
      </w:r>
      <w:proofErr w:type="spellStart"/>
      <w:r>
        <w:t>Netlink</w:t>
      </w:r>
      <w:proofErr w:type="spellEnd"/>
      <w:r>
        <w:t xml:space="preserve"> Star</w:t>
      </w:r>
      <w:r w:rsidR="003E2FE6" w:rsidRPr="004D3090">
        <w:t xml:space="preserve">. </w:t>
      </w:r>
      <w:bookmarkStart w:id="2347" w:name="_Ref16867923"/>
      <w:bookmarkStart w:id="2348" w:name="_Ref32245658"/>
    </w:p>
    <w:bookmarkEnd w:id="2347"/>
    <w:bookmarkEnd w:id="2348"/>
    <w:p w14:paraId="62E47CF9" w14:textId="77777777" w:rsidR="003E2FE6" w:rsidRPr="004D3090" w:rsidRDefault="003E2FE6" w:rsidP="009402CF">
      <w:pPr>
        <w:spacing w:after="234" w:line="249" w:lineRule="auto"/>
        <w:ind w:left="1831" w:right="47" w:hanging="991"/>
        <w:rPr>
          <w:rFonts w:cs="Arial"/>
          <w:szCs w:val="20"/>
        </w:rPr>
      </w:pPr>
    </w:p>
    <w:p w14:paraId="729B5636" w14:textId="77777777" w:rsidR="003E2FE6" w:rsidRPr="004D3090" w:rsidRDefault="003E2FE6" w:rsidP="009402CF">
      <w:pPr>
        <w:rPr>
          <w:rFonts w:cs="Arial"/>
          <w:szCs w:val="20"/>
        </w:rPr>
      </w:pPr>
    </w:p>
    <w:p w14:paraId="7E8F63FA" w14:textId="4C475C30" w:rsidR="00A962C1" w:rsidRDefault="00A962C1">
      <w:pPr>
        <w:rPr>
          <w:rFonts w:cs="Arial"/>
          <w:b/>
          <w:bCs/>
          <w:caps/>
          <w:szCs w:val="20"/>
        </w:rPr>
      </w:pPr>
    </w:p>
    <w:p w14:paraId="143B2375" w14:textId="77777777" w:rsidR="002529F3" w:rsidRDefault="002529F3">
      <w:pPr>
        <w:rPr>
          <w:rFonts w:cs="Arial"/>
          <w:b/>
          <w:bCs/>
          <w:caps/>
          <w:szCs w:val="20"/>
        </w:rPr>
      </w:pPr>
      <w:r>
        <w:rPr>
          <w:rFonts w:cs="Arial"/>
          <w:szCs w:val="20"/>
        </w:rPr>
        <w:br w:type="page"/>
      </w:r>
    </w:p>
    <w:p w14:paraId="5A866797" w14:textId="3F860A04" w:rsidR="00623990" w:rsidRPr="000E5786" w:rsidRDefault="00623990" w:rsidP="002529F3">
      <w:pPr>
        <w:pStyle w:val="Heading1"/>
        <w:numPr>
          <w:ilvl w:val="0"/>
          <w:numId w:val="0"/>
        </w:numPr>
        <w:spacing w:before="90"/>
        <w:ind w:left="1560" w:right="1438" w:hanging="709"/>
        <w:jc w:val="center"/>
        <w:rPr>
          <w:rFonts w:cs="Arial"/>
          <w:szCs w:val="20"/>
        </w:rPr>
      </w:pPr>
      <w:r w:rsidRPr="000E5786">
        <w:rPr>
          <w:rFonts w:cs="Arial"/>
          <w:szCs w:val="20"/>
        </w:rPr>
        <w:lastRenderedPageBreak/>
        <w:t>SCHEDULE 7.7</w:t>
      </w:r>
    </w:p>
    <w:p w14:paraId="62D82267" w14:textId="77777777" w:rsidR="00623990" w:rsidRPr="000E5786" w:rsidRDefault="00623990" w:rsidP="002529F3">
      <w:pPr>
        <w:pStyle w:val="Heading1"/>
        <w:numPr>
          <w:ilvl w:val="0"/>
          <w:numId w:val="0"/>
        </w:numPr>
        <w:spacing w:before="90"/>
        <w:ind w:left="1560" w:right="1438" w:hanging="709"/>
        <w:jc w:val="center"/>
        <w:rPr>
          <w:rFonts w:cs="Arial"/>
          <w:szCs w:val="20"/>
        </w:rPr>
      </w:pPr>
      <w:r w:rsidRPr="000E5786">
        <w:rPr>
          <w:rFonts w:cs="Arial"/>
          <w:szCs w:val="20"/>
        </w:rPr>
        <w:t>ANTICIPATED SAVINGS</w:t>
      </w:r>
    </w:p>
    <w:p w14:paraId="69110534" w14:textId="77777777" w:rsidR="00623990" w:rsidRPr="000E5786" w:rsidRDefault="00623990" w:rsidP="009D675B">
      <w:pPr>
        <w:pStyle w:val="Heading1"/>
        <w:numPr>
          <w:ilvl w:val="0"/>
          <w:numId w:val="44"/>
        </w:numPr>
        <w:spacing w:after="120"/>
        <w:rPr>
          <w:rFonts w:cs="Arial"/>
          <w:szCs w:val="20"/>
        </w:rPr>
      </w:pPr>
      <w:bookmarkStart w:id="2349" w:name="_Ref414221399"/>
      <w:bookmarkStart w:id="2350" w:name="_Ref357421022"/>
      <w:r w:rsidRPr="000E5786">
        <w:rPr>
          <w:rFonts w:cs="Arial"/>
          <w:szCs w:val="20"/>
        </w:rPr>
        <w:t>GAIN SHARE</w:t>
      </w:r>
      <w:bookmarkEnd w:id="2349"/>
      <w:bookmarkEnd w:id="2350"/>
    </w:p>
    <w:p w14:paraId="4D018D55" w14:textId="77777777" w:rsidR="00623990" w:rsidRPr="000E5786" w:rsidRDefault="00623990" w:rsidP="009D675B">
      <w:pPr>
        <w:pStyle w:val="Heading2"/>
        <w:numPr>
          <w:ilvl w:val="1"/>
          <w:numId w:val="145"/>
        </w:numPr>
        <w:spacing w:after="120"/>
        <w:rPr>
          <w:rFonts w:cs="Arial"/>
          <w:szCs w:val="20"/>
        </w:rPr>
      </w:pPr>
      <w:r w:rsidRPr="000E5786">
        <w:rPr>
          <w:rFonts w:cs="Arial"/>
          <w:szCs w:val="20"/>
        </w:rPr>
        <w:t xml:space="preserve">If the implementation of any Service Request, or Change does or may result in, a reduction to the costs incurred by the Supplier in providing the </w:t>
      </w:r>
      <w:proofErr w:type="gramStart"/>
      <w:r w:rsidRPr="000E5786">
        <w:rPr>
          <w:rFonts w:cs="Arial"/>
          <w:szCs w:val="20"/>
        </w:rPr>
        <w:t>Services:-</w:t>
      </w:r>
      <w:proofErr w:type="gramEnd"/>
    </w:p>
    <w:p w14:paraId="4F97CFDE" w14:textId="6689D6AA" w:rsidR="00623990" w:rsidRPr="000E5786" w:rsidRDefault="00623990" w:rsidP="009D675B">
      <w:pPr>
        <w:pStyle w:val="Heading3"/>
        <w:numPr>
          <w:ilvl w:val="2"/>
          <w:numId w:val="145"/>
        </w:numPr>
      </w:pPr>
      <w:r w:rsidRPr="000E5786">
        <w:t xml:space="preserve">the Supplier shall notify </w:t>
      </w:r>
      <w:proofErr w:type="spellStart"/>
      <w:r w:rsidR="001F1C19">
        <w:t>Netlink</w:t>
      </w:r>
      <w:proofErr w:type="spellEnd"/>
      <w:r w:rsidR="001F1C19">
        <w:t xml:space="preserve"> Star</w:t>
      </w:r>
      <w:r w:rsidRPr="000E5786">
        <w:t xml:space="preserve"> promptly upon identifying such actual or potential cost saving, and provide </w:t>
      </w:r>
      <w:proofErr w:type="spellStart"/>
      <w:r w:rsidR="001F1C19">
        <w:t>Netlink</w:t>
      </w:r>
      <w:proofErr w:type="spellEnd"/>
      <w:r w:rsidR="001F1C19">
        <w:t xml:space="preserve"> Star</w:t>
      </w:r>
      <w:r w:rsidRPr="000E5786">
        <w:t xml:space="preserve"> </w:t>
      </w:r>
      <w:r w:rsidR="00FD4D0F" w:rsidRPr="000E5786">
        <w:t>w</w:t>
      </w:r>
      <w:r w:rsidR="00FD4D0F">
        <w:t>i</w:t>
      </w:r>
      <w:r w:rsidR="00FD4D0F" w:rsidRPr="000E5786">
        <w:t>th</w:t>
      </w:r>
      <w:r w:rsidRPr="000E5786">
        <w:t xml:space="preserve"> details of the Supplier's cost saving; and </w:t>
      </w:r>
    </w:p>
    <w:p w14:paraId="0E0E5743" w14:textId="72B8DD22" w:rsidR="00623990" w:rsidRPr="000E5786" w:rsidRDefault="00623990" w:rsidP="009D675B">
      <w:pPr>
        <w:pStyle w:val="Heading3"/>
        <w:numPr>
          <w:ilvl w:val="2"/>
          <w:numId w:val="145"/>
        </w:numPr>
      </w:pPr>
      <w:bookmarkStart w:id="2351" w:name="_Ref357421045"/>
      <w:r w:rsidRPr="000E5786">
        <w:t xml:space="preserve">the Parties shall use their respective reasonable endeavours to agree the </w:t>
      </w:r>
      <w:r w:rsidR="00FD4D0F" w:rsidRPr="000E5786">
        <w:t>ap</w:t>
      </w:r>
      <w:r w:rsidR="00FD4D0F">
        <w:t>p</w:t>
      </w:r>
      <w:r w:rsidR="00FD4D0F" w:rsidRPr="000E5786">
        <w:t>ortionment</w:t>
      </w:r>
      <w:r w:rsidRPr="000E5786">
        <w:t xml:space="preserve"> of the Supplier's cost saving in accordance with the principles set out in this paragraph, with consequential reductions to the relevant Charges.</w:t>
      </w:r>
      <w:bookmarkEnd w:id="2351"/>
    </w:p>
    <w:p w14:paraId="5736501F" w14:textId="6F16A5D6" w:rsidR="00623990" w:rsidRPr="000E5786" w:rsidRDefault="00623990" w:rsidP="009D675B">
      <w:pPr>
        <w:pStyle w:val="Heading2"/>
        <w:numPr>
          <w:ilvl w:val="1"/>
          <w:numId w:val="145"/>
        </w:numPr>
        <w:spacing w:after="120"/>
        <w:rPr>
          <w:rFonts w:cs="Arial"/>
          <w:szCs w:val="20"/>
        </w:rPr>
      </w:pPr>
      <w:r w:rsidRPr="000E5786">
        <w:rPr>
          <w:rFonts w:cs="Arial"/>
          <w:szCs w:val="20"/>
        </w:rPr>
        <w:t xml:space="preserve">The principles for the purposes of this paragraph </w:t>
      </w:r>
      <w:r w:rsidR="00FD4D0F" w:rsidRPr="000E5786">
        <w:rPr>
          <w:rFonts w:cs="Arial"/>
          <w:szCs w:val="20"/>
        </w:rPr>
        <w:t>shall</w:t>
      </w:r>
      <w:r w:rsidR="00A20CD5">
        <w:rPr>
          <w:rFonts w:cs="Arial"/>
          <w:szCs w:val="20"/>
        </w:rPr>
        <w:t>’</w:t>
      </w:r>
      <w:r w:rsidRPr="000E5786">
        <w:rPr>
          <w:rFonts w:cs="Arial"/>
          <w:szCs w:val="20"/>
        </w:rPr>
        <w:t xml:space="preserve"> be </w:t>
      </w:r>
      <w:proofErr w:type="gramStart"/>
      <w:r w:rsidRPr="000E5786">
        <w:rPr>
          <w:rFonts w:cs="Arial"/>
          <w:szCs w:val="20"/>
        </w:rPr>
        <w:t>that:-</w:t>
      </w:r>
      <w:proofErr w:type="gramEnd"/>
    </w:p>
    <w:p w14:paraId="59ACAA99" w14:textId="1C6CF4A5" w:rsidR="00623990" w:rsidRPr="000E5786" w:rsidRDefault="00623990" w:rsidP="009D675B">
      <w:pPr>
        <w:pStyle w:val="Heading3"/>
        <w:numPr>
          <w:ilvl w:val="2"/>
          <w:numId w:val="145"/>
        </w:numPr>
      </w:pPr>
      <w:bookmarkStart w:id="2352" w:name="_Ref357421079"/>
      <w:r w:rsidRPr="000E5786">
        <w:t xml:space="preserve">if the Supplier's cost savings do not result from a Change arising from </w:t>
      </w:r>
      <w:proofErr w:type="gramStart"/>
      <w:r w:rsidRPr="000E5786">
        <w:t>the a</w:t>
      </w:r>
      <w:proofErr w:type="gramEnd"/>
      <w:r w:rsidRPr="000E5786">
        <w:t xml:space="preserve"> Supplier request, those savings are to be exclusively for the benefit of </w:t>
      </w:r>
      <w:proofErr w:type="spellStart"/>
      <w:r w:rsidR="001F1C19">
        <w:t>Netlink</w:t>
      </w:r>
      <w:proofErr w:type="spellEnd"/>
      <w:r w:rsidR="001F1C19">
        <w:t xml:space="preserve"> Star</w:t>
      </w:r>
      <w:r w:rsidRPr="000E5786">
        <w:t xml:space="preserve"> and shall result in a reduction to the relevant Charges (or such alternative Charge as is agreed by </w:t>
      </w:r>
      <w:proofErr w:type="spellStart"/>
      <w:r w:rsidR="001F1C19">
        <w:t>Netlink</w:t>
      </w:r>
      <w:proofErr w:type="spellEnd"/>
      <w:r w:rsidR="001F1C19">
        <w:t xml:space="preserve"> Star</w:t>
      </w:r>
      <w:r w:rsidRPr="000E5786">
        <w:t xml:space="preserve"> to be subject to the reduction) equal to the cost s</w:t>
      </w:r>
      <w:r w:rsidR="00FD4D0F">
        <w:t>a</w:t>
      </w:r>
      <w:r w:rsidRPr="000E5786">
        <w:t>vings; and</w:t>
      </w:r>
      <w:bookmarkEnd w:id="2352"/>
    </w:p>
    <w:p w14:paraId="25C70382" w14:textId="066FCB92" w:rsidR="00623990" w:rsidRPr="00C6649F" w:rsidRDefault="00623990" w:rsidP="009D675B">
      <w:pPr>
        <w:pStyle w:val="Heading3"/>
        <w:numPr>
          <w:ilvl w:val="2"/>
          <w:numId w:val="145"/>
        </w:numPr>
        <w:rPr>
          <w:rFonts w:eastAsiaTheme="minorEastAsia"/>
        </w:rPr>
      </w:pPr>
      <w:r w:rsidRPr="000E5786">
        <w:t xml:space="preserve">if the Supplier's cost savings result from a Change requested by the Supplier, and the Supplier has agreed to contribute to the costs of the development of the Change, the Supplier and </w:t>
      </w:r>
      <w:proofErr w:type="spellStart"/>
      <w:r w:rsidR="001F1C19">
        <w:t>Netlink</w:t>
      </w:r>
      <w:proofErr w:type="spellEnd"/>
      <w:r w:rsidR="001F1C19">
        <w:t xml:space="preserve"> Star</w:t>
      </w:r>
      <w:r w:rsidRPr="000E5786">
        <w:t xml:space="preserve"> shall share the benefit of the savings on an equal basis so that the parties each receive a financial benefit from innovations in which the parties have both invested during the Term</w:t>
      </w:r>
      <w:r w:rsidR="00C6649F">
        <w:t>.</w:t>
      </w:r>
    </w:p>
    <w:p w14:paraId="5B4F6A57" w14:textId="09E14F3F" w:rsidR="00623990" w:rsidRPr="00C6649F" w:rsidRDefault="00623990" w:rsidP="009D675B">
      <w:pPr>
        <w:pStyle w:val="Heading2"/>
        <w:numPr>
          <w:ilvl w:val="1"/>
          <w:numId w:val="145"/>
        </w:numPr>
        <w:spacing w:after="120"/>
        <w:rPr>
          <w:rFonts w:cs="Arial"/>
          <w:szCs w:val="20"/>
        </w:rPr>
      </w:pPr>
      <w:r w:rsidRPr="000E5786">
        <w:rPr>
          <w:rFonts w:cs="Arial"/>
          <w:szCs w:val="20"/>
        </w:rPr>
        <w:t xml:space="preserve">The parties acknowledge and agree that the Supplier has committed to making </w:t>
      </w:r>
      <w:proofErr w:type="gramStart"/>
      <w:r w:rsidRPr="000E5786">
        <w:rPr>
          <w:rFonts w:cs="Arial"/>
          <w:szCs w:val="20"/>
        </w:rPr>
        <w:t>a number of</w:t>
      </w:r>
      <w:proofErr w:type="gramEnd"/>
      <w:r w:rsidRPr="000E5786">
        <w:rPr>
          <w:rFonts w:cs="Arial"/>
          <w:szCs w:val="20"/>
        </w:rPr>
        <w:t xml:space="preserve"> cost savings for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through the provision of the Services in the manner (including using the tooling and processes) specified in Schedule 4.1 </w:t>
      </w:r>
      <w:r w:rsidR="00795263">
        <w:rPr>
          <w:rFonts w:cs="Arial"/>
          <w:szCs w:val="20"/>
        </w:rPr>
        <w:t xml:space="preserve">(Supplier Solution) </w:t>
      </w:r>
      <w:r w:rsidRPr="000E5786">
        <w:rPr>
          <w:rFonts w:cs="Arial"/>
          <w:szCs w:val="20"/>
        </w:rPr>
        <w:t xml:space="preserve">and these cost savings are reflected in the Base Charges. Therefore, and for the avoidance of doubt, any costs savings achieved through the provision of the Services in the manner (including using the tooling and processes) specified in Schedule 4.1 </w:t>
      </w:r>
      <w:r w:rsidR="00795263">
        <w:rPr>
          <w:rFonts w:cs="Arial"/>
          <w:szCs w:val="20"/>
        </w:rPr>
        <w:t xml:space="preserve">(Supplier Solution) </w:t>
      </w:r>
      <w:r w:rsidRPr="000E5786">
        <w:rPr>
          <w:rFonts w:cs="Arial"/>
          <w:szCs w:val="20"/>
        </w:rPr>
        <w:t>(“</w:t>
      </w:r>
      <w:r w:rsidRPr="000E5786">
        <w:rPr>
          <w:rFonts w:cs="Arial"/>
          <w:b/>
          <w:szCs w:val="20"/>
        </w:rPr>
        <w:t>Excluded Savings</w:t>
      </w:r>
      <w:r w:rsidRPr="000E5786">
        <w:rPr>
          <w:rFonts w:cs="Arial"/>
          <w:szCs w:val="20"/>
        </w:rPr>
        <w:t xml:space="preserve">”) are out of scope of, and excluded from, this Schedule and not recoverable pursuant to </w:t>
      </w:r>
      <w:r w:rsidR="00795263" w:rsidRPr="000E5786">
        <w:rPr>
          <w:rFonts w:cs="Arial"/>
          <w:szCs w:val="20"/>
        </w:rPr>
        <w:t xml:space="preserve">clause </w:t>
      </w:r>
      <w:r w:rsidRPr="000E5786">
        <w:rPr>
          <w:rFonts w:cs="Arial"/>
          <w:szCs w:val="20"/>
        </w:rPr>
        <w:t>28.9.6 of the Agreement.</w:t>
      </w:r>
    </w:p>
    <w:p w14:paraId="4B2D5186" w14:textId="23A9E800" w:rsidR="00623990" w:rsidRPr="000E5786" w:rsidRDefault="00623990" w:rsidP="009D675B">
      <w:pPr>
        <w:pStyle w:val="Heading2"/>
        <w:numPr>
          <w:ilvl w:val="1"/>
          <w:numId w:val="145"/>
        </w:numPr>
        <w:spacing w:after="120"/>
        <w:rPr>
          <w:rFonts w:cs="Arial"/>
          <w:szCs w:val="20"/>
        </w:rPr>
      </w:pPr>
      <w:r w:rsidRPr="000E5786">
        <w:rPr>
          <w:rFonts w:cs="Arial"/>
          <w:szCs w:val="20"/>
        </w:rPr>
        <w:t xml:space="preserve">If the Supplier identifies any cost reduction opportunities in addition to the Excluded Savings, these will be tracked as part of the improvement process set out at </w:t>
      </w:r>
      <w:r w:rsidR="00795263" w:rsidRPr="000E5786">
        <w:rPr>
          <w:rFonts w:cs="Arial"/>
          <w:szCs w:val="20"/>
        </w:rPr>
        <w:t xml:space="preserve">clause </w:t>
      </w:r>
      <w:r w:rsidRPr="000E5786">
        <w:rPr>
          <w:rFonts w:cs="Arial"/>
          <w:szCs w:val="20"/>
        </w:rPr>
        <w:t xml:space="preserve">9 of the Agreement and reported at the Service Management Review Meeting. It is during these meetings that any additional investment required from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will be communicated and agreed.</w:t>
      </w:r>
    </w:p>
    <w:p w14:paraId="758062E4" w14:textId="77777777" w:rsidR="00623990" w:rsidRPr="000E5786" w:rsidRDefault="00623990" w:rsidP="00623990">
      <w:pPr>
        <w:ind w:left="0" w:firstLine="0"/>
        <w:rPr>
          <w:rFonts w:eastAsia="Arial" w:cs="Arial"/>
          <w:spacing w:val="-1"/>
          <w:szCs w:val="20"/>
        </w:rPr>
      </w:pPr>
    </w:p>
    <w:p w14:paraId="72B6C319" w14:textId="2E2FA958" w:rsidR="00623990" w:rsidRPr="000E5786" w:rsidRDefault="00623990" w:rsidP="00623990">
      <w:pPr>
        <w:ind w:left="0" w:firstLine="0"/>
        <w:rPr>
          <w:rFonts w:eastAsia="Arial" w:cs="Arial"/>
          <w:spacing w:val="-1"/>
          <w:szCs w:val="20"/>
        </w:rPr>
        <w:sectPr w:rsidR="00623990" w:rsidRPr="000E5786" w:rsidSect="00623990">
          <w:pgSz w:w="11907" w:h="16840" w:code="9"/>
          <w:pgMar w:top="1418" w:right="1418" w:bottom="1134" w:left="1418" w:header="709" w:footer="709" w:gutter="0"/>
          <w:cols w:space="708"/>
          <w:titlePg/>
          <w:docGrid w:linePitch="360"/>
        </w:sectPr>
      </w:pPr>
    </w:p>
    <w:p w14:paraId="507E1F87" w14:textId="5A822048" w:rsidR="00A962C1" w:rsidRPr="000E5786" w:rsidRDefault="00A962C1" w:rsidP="00A962C1">
      <w:pPr>
        <w:pStyle w:val="Heading1"/>
        <w:numPr>
          <w:ilvl w:val="0"/>
          <w:numId w:val="0"/>
        </w:numPr>
        <w:spacing w:before="90"/>
        <w:ind w:left="709" w:right="1438" w:hanging="709"/>
        <w:jc w:val="center"/>
        <w:rPr>
          <w:rFonts w:cs="Arial"/>
          <w:szCs w:val="20"/>
        </w:rPr>
      </w:pPr>
      <w:bookmarkStart w:id="2353" w:name="_Ref259741008"/>
      <w:bookmarkStart w:id="2354" w:name="_Ref259741009"/>
      <w:r w:rsidRPr="000E5786">
        <w:rPr>
          <w:rFonts w:cs="Arial"/>
          <w:szCs w:val="20"/>
        </w:rPr>
        <w:lastRenderedPageBreak/>
        <w:t>SCHEDULE 7.</w:t>
      </w:r>
      <w:r>
        <w:rPr>
          <w:rFonts w:cs="Arial"/>
          <w:szCs w:val="20"/>
        </w:rPr>
        <w:t>8</w:t>
      </w:r>
    </w:p>
    <w:p w14:paraId="118C690B" w14:textId="639C5486" w:rsidR="00A962C1" w:rsidRPr="000E5786" w:rsidRDefault="00A962C1" w:rsidP="00A962C1">
      <w:pPr>
        <w:pStyle w:val="Heading1"/>
        <w:numPr>
          <w:ilvl w:val="0"/>
          <w:numId w:val="0"/>
        </w:numPr>
        <w:spacing w:before="90"/>
        <w:ind w:left="709" w:right="1438" w:hanging="709"/>
        <w:jc w:val="center"/>
        <w:rPr>
          <w:rFonts w:cs="Arial"/>
          <w:szCs w:val="20"/>
        </w:rPr>
      </w:pPr>
      <w:r>
        <w:rPr>
          <w:rFonts w:cs="Arial"/>
          <w:szCs w:val="20"/>
        </w:rPr>
        <w:t>NOT USED</w:t>
      </w:r>
    </w:p>
    <w:p w14:paraId="542358AD" w14:textId="77777777" w:rsidR="00A962C1" w:rsidRDefault="00A962C1">
      <w:pPr>
        <w:rPr>
          <w:rFonts w:cs="Arial"/>
          <w:b/>
          <w:szCs w:val="20"/>
        </w:rPr>
      </w:pPr>
      <w:r>
        <w:rPr>
          <w:rFonts w:cs="Arial"/>
          <w:szCs w:val="20"/>
        </w:rPr>
        <w:br w:type="page"/>
      </w:r>
    </w:p>
    <w:p w14:paraId="1433C9D1" w14:textId="494AC2E3" w:rsidR="0095745D" w:rsidRPr="000E5786" w:rsidRDefault="0095745D" w:rsidP="0095745D">
      <w:pPr>
        <w:pStyle w:val="ScheduleSubheading"/>
        <w:numPr>
          <w:ilvl w:val="0"/>
          <w:numId w:val="0"/>
        </w:numPr>
        <w:rPr>
          <w:rFonts w:cs="Arial"/>
          <w:szCs w:val="20"/>
        </w:rPr>
      </w:pPr>
      <w:r w:rsidRPr="000E5786">
        <w:rPr>
          <w:rFonts w:cs="Arial"/>
          <w:szCs w:val="20"/>
        </w:rPr>
        <w:lastRenderedPageBreak/>
        <w:t>SCHEDULE 8.1</w:t>
      </w:r>
    </w:p>
    <w:p w14:paraId="641B78E2" w14:textId="2C127CEE" w:rsidR="0095745D" w:rsidRPr="000E5786" w:rsidRDefault="0095745D" w:rsidP="0095745D">
      <w:pPr>
        <w:pStyle w:val="Sch1"/>
        <w:numPr>
          <w:ilvl w:val="0"/>
          <w:numId w:val="0"/>
        </w:numPr>
        <w:jc w:val="center"/>
        <w:rPr>
          <w:rFonts w:cs="Arial"/>
          <w:b/>
          <w:bCs/>
          <w:szCs w:val="20"/>
        </w:rPr>
      </w:pPr>
      <w:r w:rsidRPr="000E5786">
        <w:rPr>
          <w:rFonts w:cs="Arial"/>
          <w:b/>
          <w:bCs/>
          <w:szCs w:val="20"/>
        </w:rPr>
        <w:t>GOVERNANCE PROCEDURES</w:t>
      </w:r>
    </w:p>
    <w:p w14:paraId="745413B3" w14:textId="5B42105D" w:rsidR="0095745D" w:rsidRPr="000E5786" w:rsidRDefault="0095745D" w:rsidP="009D675B">
      <w:pPr>
        <w:pStyle w:val="Heading1"/>
        <w:numPr>
          <w:ilvl w:val="0"/>
          <w:numId w:val="43"/>
        </w:numPr>
        <w:spacing w:after="120"/>
        <w:rPr>
          <w:rFonts w:cs="Arial"/>
          <w:szCs w:val="20"/>
        </w:rPr>
      </w:pPr>
      <w:r w:rsidRPr="000E5786">
        <w:rPr>
          <w:rFonts w:cs="Arial"/>
          <w:szCs w:val="20"/>
        </w:rPr>
        <w:t>Governance Structure and Principles</w:t>
      </w:r>
    </w:p>
    <w:p w14:paraId="5884A373" w14:textId="5CAB9738" w:rsidR="0095745D" w:rsidRPr="000E5786" w:rsidRDefault="0095745D" w:rsidP="009D675B">
      <w:pPr>
        <w:pStyle w:val="Heading2"/>
        <w:numPr>
          <w:ilvl w:val="1"/>
          <w:numId w:val="146"/>
        </w:numPr>
        <w:spacing w:after="120"/>
        <w:rPr>
          <w:rFonts w:cs="Arial"/>
          <w:szCs w:val="20"/>
        </w:rPr>
      </w:pPr>
      <w:r w:rsidRPr="000E5786">
        <w:rPr>
          <w:rFonts w:cs="Arial"/>
          <w:noProof/>
          <w:szCs w:val="20"/>
        </w:rPr>
        <w:drawing>
          <wp:anchor distT="215900" distB="215900" distL="114300" distR="114300" simplePos="0" relativeHeight="251661312" behindDoc="0" locked="0" layoutInCell="1" allowOverlap="1" wp14:anchorId="040DD241" wp14:editId="6C49BA5E">
            <wp:simplePos x="0" y="0"/>
            <wp:positionH relativeFrom="margin">
              <wp:align>center</wp:align>
            </wp:positionH>
            <wp:positionV relativeFrom="page">
              <wp:posOffset>2475230</wp:posOffset>
            </wp:positionV>
            <wp:extent cx="5353050" cy="3143250"/>
            <wp:effectExtent l="0" t="0" r="0" b="0"/>
            <wp:wrapTopAndBottom/>
            <wp:docPr id="56" name="Diagram 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14:sizeRelH relativeFrom="margin">
              <wp14:pctWidth>0</wp14:pctWidth>
            </wp14:sizeRelH>
            <wp14:sizeRelV relativeFrom="margin">
              <wp14:pctHeight>0</wp14:pctHeight>
            </wp14:sizeRelV>
          </wp:anchor>
        </w:drawing>
      </w:r>
      <w:r w:rsidRPr="000E5786">
        <w:rPr>
          <w:rFonts w:cs="Arial"/>
          <w:szCs w:val="20"/>
        </w:rPr>
        <w:t>Governance bodies will be formed as illustrated below with named participants meeting at agreed intervals to review progress, resolve issues and to pro-actively capture and mitigate risks.</w:t>
      </w:r>
    </w:p>
    <w:p w14:paraId="791E0CC5" w14:textId="347A7B46" w:rsidR="0095745D" w:rsidRPr="000E5786" w:rsidRDefault="0095745D" w:rsidP="009D675B">
      <w:pPr>
        <w:pStyle w:val="Heading2"/>
        <w:numPr>
          <w:ilvl w:val="1"/>
          <w:numId w:val="146"/>
        </w:numPr>
        <w:spacing w:after="120"/>
        <w:rPr>
          <w:rFonts w:cs="Arial"/>
          <w:szCs w:val="20"/>
        </w:rPr>
      </w:pPr>
      <w:r w:rsidRPr="000E5786">
        <w:rPr>
          <w:rFonts w:cs="Arial"/>
          <w:szCs w:val="20"/>
        </w:rPr>
        <w:t xml:space="preserve">These governance bodies are not hierarchical; some are </w:t>
      </w:r>
      <w:proofErr w:type="gramStart"/>
      <w:r w:rsidRPr="000E5786">
        <w:rPr>
          <w:rFonts w:cs="Arial"/>
          <w:szCs w:val="20"/>
        </w:rPr>
        <w:t>technical</w:t>
      </w:r>
      <w:proofErr w:type="gramEnd"/>
      <w:r w:rsidRPr="000E5786">
        <w:rPr>
          <w:rFonts w:cs="Arial"/>
          <w:szCs w:val="20"/>
        </w:rPr>
        <w:t xml:space="preserve"> and some are commercial, so not all decisions will be required to flow through all levels, although some governance bodies will necessarily feed into others.</w:t>
      </w:r>
    </w:p>
    <w:p w14:paraId="78F2754E" w14:textId="0E3A9976" w:rsidR="0095745D" w:rsidRPr="000E5786" w:rsidRDefault="0095745D" w:rsidP="009D675B">
      <w:pPr>
        <w:pStyle w:val="Heading2"/>
        <w:numPr>
          <w:ilvl w:val="1"/>
          <w:numId w:val="146"/>
        </w:numPr>
        <w:spacing w:after="120"/>
        <w:rPr>
          <w:rFonts w:cs="Arial"/>
          <w:szCs w:val="20"/>
        </w:rPr>
      </w:pPr>
      <w:r w:rsidRPr="000E5786">
        <w:rPr>
          <w:rFonts w:cs="Arial"/>
          <w:szCs w:val="20"/>
        </w:rPr>
        <w:t xml:space="preserve">These governance bodies are strategic (shown in the diagram in blue), operational (shown in yellow), and Project-based (shown in grey). </w:t>
      </w:r>
    </w:p>
    <w:p w14:paraId="088B2328" w14:textId="280D581F" w:rsidR="0095745D" w:rsidRPr="000E5786" w:rsidRDefault="0095745D" w:rsidP="009D675B">
      <w:pPr>
        <w:pStyle w:val="Heading2"/>
        <w:numPr>
          <w:ilvl w:val="1"/>
          <w:numId w:val="146"/>
        </w:numPr>
        <w:spacing w:after="120"/>
        <w:rPr>
          <w:rFonts w:cs="Arial"/>
          <w:szCs w:val="20"/>
        </w:rPr>
      </w:pPr>
      <w:r w:rsidRPr="000E5786">
        <w:rPr>
          <w:rFonts w:cs="Arial"/>
          <w:szCs w:val="20"/>
        </w:rPr>
        <w:t xml:space="preserve">The Supplier shall support all levels of the governance structure and be responsible for providing transparency through the provision of accurate, clear, timely and relevant information to enable informed decisions to be taken by the relevant governance body within this Schedule. </w:t>
      </w:r>
    </w:p>
    <w:p w14:paraId="5CD065B5" w14:textId="426FD624" w:rsidR="0095745D" w:rsidRPr="000E5786" w:rsidRDefault="0095745D" w:rsidP="009D675B">
      <w:pPr>
        <w:pStyle w:val="Heading2"/>
        <w:numPr>
          <w:ilvl w:val="1"/>
          <w:numId w:val="146"/>
        </w:numPr>
        <w:spacing w:after="120"/>
        <w:rPr>
          <w:rFonts w:cs="Arial"/>
          <w:szCs w:val="20"/>
        </w:rPr>
      </w:pPr>
      <w:r w:rsidRPr="000E5786">
        <w:rPr>
          <w:rFonts w:cs="Arial"/>
          <w:szCs w:val="20"/>
        </w:rPr>
        <w:t>The Parties shall establish the strategic governance bodies as set out in this Schedule. With respect to each strategic governance body, the Party not responsible for (</w:t>
      </w:r>
      <w:proofErr w:type="spellStart"/>
      <w:r w:rsidRPr="000E5786">
        <w:rPr>
          <w:rFonts w:cs="Arial"/>
          <w:szCs w:val="20"/>
        </w:rPr>
        <w:t>i</w:t>
      </w:r>
      <w:proofErr w:type="spellEnd"/>
      <w:r w:rsidRPr="000E5786">
        <w:rPr>
          <w:rFonts w:cs="Arial"/>
          <w:szCs w:val="20"/>
        </w:rPr>
        <w:t>) setting up the body in question and (ii) the related charter shall provide reasonable support to the responsible Party to assist with the creation of the body and maintenance of the charter.</w:t>
      </w:r>
    </w:p>
    <w:p w14:paraId="41DAC917" w14:textId="77777777" w:rsidR="0095745D" w:rsidRPr="000E5786" w:rsidRDefault="0095745D" w:rsidP="009D675B">
      <w:pPr>
        <w:pStyle w:val="Heading2"/>
        <w:numPr>
          <w:ilvl w:val="1"/>
          <w:numId w:val="146"/>
        </w:numPr>
        <w:spacing w:after="120"/>
        <w:rPr>
          <w:rFonts w:cs="Arial"/>
          <w:szCs w:val="20"/>
        </w:rPr>
      </w:pPr>
      <w:r w:rsidRPr="000E5786">
        <w:rPr>
          <w:rFonts w:cs="Arial"/>
          <w:szCs w:val="20"/>
        </w:rPr>
        <w:t>The Parties shall comply with the requirements of the charters.</w:t>
      </w:r>
    </w:p>
    <w:p w14:paraId="01614642" w14:textId="77777777" w:rsidR="0095745D" w:rsidRPr="000E5786" w:rsidRDefault="0095745D" w:rsidP="009D675B">
      <w:pPr>
        <w:pStyle w:val="Heading2"/>
        <w:numPr>
          <w:ilvl w:val="1"/>
          <w:numId w:val="146"/>
        </w:numPr>
        <w:spacing w:after="120"/>
        <w:rPr>
          <w:rFonts w:cs="Arial"/>
          <w:szCs w:val="20"/>
        </w:rPr>
      </w:pPr>
      <w:r w:rsidRPr="000E5786">
        <w:rPr>
          <w:rFonts w:cs="Arial"/>
          <w:szCs w:val="20"/>
        </w:rPr>
        <w:t xml:space="preserve">The Parties shall co-operate to ensure that all governance bodies shall resolve the issues and achieve the objectives placed before them in a timely and efficient manner. </w:t>
      </w:r>
    </w:p>
    <w:p w14:paraId="0BD10FB9" w14:textId="77777777" w:rsidR="0095745D" w:rsidRPr="000E5786" w:rsidRDefault="0095745D" w:rsidP="009D675B">
      <w:pPr>
        <w:pStyle w:val="Heading2"/>
        <w:numPr>
          <w:ilvl w:val="1"/>
          <w:numId w:val="146"/>
        </w:numPr>
        <w:spacing w:after="120"/>
        <w:rPr>
          <w:rFonts w:cs="Arial"/>
          <w:szCs w:val="20"/>
        </w:rPr>
      </w:pPr>
      <w:r w:rsidRPr="000E5786">
        <w:rPr>
          <w:rFonts w:cs="Arial"/>
          <w:szCs w:val="20"/>
        </w:rPr>
        <w:t>The Parties shall ensure that the attendees at each governance body include individuals who are authorised and empowered to make relevant decisions and have access to information for such decisions to be made.</w:t>
      </w:r>
    </w:p>
    <w:p w14:paraId="6E54D318" w14:textId="77777777" w:rsidR="0095745D" w:rsidRPr="000E5786" w:rsidRDefault="0095745D" w:rsidP="009D675B">
      <w:pPr>
        <w:pStyle w:val="Heading2"/>
        <w:numPr>
          <w:ilvl w:val="1"/>
          <w:numId w:val="146"/>
        </w:numPr>
        <w:spacing w:after="120"/>
        <w:rPr>
          <w:rFonts w:cs="Arial"/>
          <w:szCs w:val="20"/>
        </w:rPr>
      </w:pPr>
      <w:r w:rsidRPr="000E5786">
        <w:rPr>
          <w:rFonts w:cs="Arial"/>
          <w:szCs w:val="20"/>
        </w:rPr>
        <w:t>Each Party is responsible for ensuring appropriate attendance at all governance meetings including making all reasonable efforts to ensure (</w:t>
      </w:r>
      <w:proofErr w:type="spellStart"/>
      <w:r w:rsidRPr="000E5786">
        <w:rPr>
          <w:rFonts w:cs="Arial"/>
          <w:szCs w:val="20"/>
        </w:rPr>
        <w:t>i</w:t>
      </w:r>
      <w:proofErr w:type="spellEnd"/>
      <w:r w:rsidRPr="000E5786">
        <w:rPr>
          <w:rFonts w:cs="Arial"/>
          <w:szCs w:val="20"/>
        </w:rPr>
        <w:t>) all personnel identified in the “Membership” section of the applicable charter attend all applicable governance meetings and (ii) if any such personnel are unable to attend, that a delegate attends in their place, that such delegate is properly briefed and prepared and debriefs the member after the meeting.</w:t>
      </w:r>
    </w:p>
    <w:p w14:paraId="47332F79" w14:textId="77777777" w:rsidR="0095745D" w:rsidRPr="000E5786" w:rsidRDefault="0095745D" w:rsidP="009D675B">
      <w:pPr>
        <w:pStyle w:val="Heading2"/>
        <w:numPr>
          <w:ilvl w:val="1"/>
          <w:numId w:val="146"/>
        </w:numPr>
        <w:spacing w:after="120"/>
        <w:rPr>
          <w:rFonts w:cs="Arial"/>
          <w:szCs w:val="20"/>
        </w:rPr>
      </w:pPr>
      <w:bookmarkStart w:id="2355" w:name="_Ref79750090"/>
      <w:r w:rsidRPr="000E5786">
        <w:rPr>
          <w:rFonts w:cs="Arial"/>
          <w:szCs w:val="20"/>
        </w:rPr>
        <w:lastRenderedPageBreak/>
        <w:t>The Supplier shall be responsible for the creation and upkeep of a document repository for the safekeeping of all meeting minutes of the governance bodies (the “</w:t>
      </w:r>
      <w:r w:rsidRPr="000E5786">
        <w:rPr>
          <w:rFonts w:cs="Arial"/>
          <w:b/>
          <w:szCs w:val="20"/>
        </w:rPr>
        <w:t>Governance Document Repository</w:t>
      </w:r>
      <w:r w:rsidRPr="000E5786">
        <w:rPr>
          <w:rFonts w:cs="Arial"/>
          <w:szCs w:val="20"/>
        </w:rPr>
        <w:t xml:space="preserve">”). </w:t>
      </w:r>
    </w:p>
    <w:p w14:paraId="11B11ED5" w14:textId="77777777" w:rsidR="0095745D" w:rsidRPr="000E5786" w:rsidRDefault="0095745D" w:rsidP="009D675B">
      <w:pPr>
        <w:pStyle w:val="Heading2"/>
        <w:numPr>
          <w:ilvl w:val="1"/>
          <w:numId w:val="146"/>
        </w:numPr>
        <w:spacing w:after="120"/>
        <w:rPr>
          <w:rFonts w:cs="Arial"/>
          <w:szCs w:val="20"/>
        </w:rPr>
      </w:pPr>
      <w:bookmarkStart w:id="2356" w:name="_Ref80182308"/>
      <w:r w:rsidRPr="000E5786">
        <w:rPr>
          <w:rFonts w:cs="Arial"/>
          <w:szCs w:val="20"/>
        </w:rPr>
        <w:t>The Chair of each governing body shall be responsible for chairing all meetings for which it is designated as Chair in the applicable charter and with respect to the same, ensuring:</w:t>
      </w:r>
      <w:bookmarkEnd w:id="2356"/>
    </w:p>
    <w:p w14:paraId="52F89E1B" w14:textId="77777777" w:rsidR="0095745D" w:rsidRPr="000E5786" w:rsidRDefault="0095745D" w:rsidP="009D675B">
      <w:pPr>
        <w:pStyle w:val="Heading3"/>
        <w:numPr>
          <w:ilvl w:val="2"/>
          <w:numId w:val="146"/>
        </w:numPr>
      </w:pPr>
      <w:r w:rsidRPr="000E5786">
        <w:t xml:space="preserve">the prompt inclusion in the Governance Document Repository of detailed and accurate minutes of each meeting held by the applicable governing body (such minutes to include note of any issues including of resourcing and attendance) and maintenance of the </w:t>
      </w:r>
      <w:proofErr w:type="gramStart"/>
      <w:r w:rsidRPr="000E5786">
        <w:t>same;</w:t>
      </w:r>
      <w:proofErr w:type="gramEnd"/>
    </w:p>
    <w:p w14:paraId="26D64BA6" w14:textId="77777777" w:rsidR="0095745D" w:rsidRPr="000E5786" w:rsidRDefault="0095745D" w:rsidP="009D675B">
      <w:pPr>
        <w:pStyle w:val="Heading3"/>
        <w:numPr>
          <w:ilvl w:val="2"/>
          <w:numId w:val="146"/>
        </w:numPr>
      </w:pPr>
      <w:r w:rsidRPr="000E5786">
        <w:t>the prompt inclusion of records of progress of follow up tasks and activities in the Governance Document Repository including unresolved issues and their escalation and maintenance of the same;]</w:t>
      </w:r>
      <w:bookmarkEnd w:id="2355"/>
    </w:p>
    <w:p w14:paraId="0620F0FB" w14:textId="77777777" w:rsidR="0095745D" w:rsidRPr="000E5786" w:rsidRDefault="0095745D" w:rsidP="009D675B">
      <w:pPr>
        <w:pStyle w:val="Heading3"/>
        <w:numPr>
          <w:ilvl w:val="2"/>
          <w:numId w:val="146"/>
        </w:numPr>
      </w:pPr>
      <w:r w:rsidRPr="000E5786">
        <w:t xml:space="preserve">that meetings only take place if they are </w:t>
      </w:r>
      <w:proofErr w:type="gramStart"/>
      <w:r w:rsidRPr="000E5786">
        <w:t>quorate;</w:t>
      </w:r>
      <w:proofErr w:type="gramEnd"/>
    </w:p>
    <w:p w14:paraId="38C98036" w14:textId="77777777" w:rsidR="0095745D" w:rsidRPr="000E5786" w:rsidRDefault="0095745D" w:rsidP="009D675B">
      <w:pPr>
        <w:pStyle w:val="Heading3"/>
        <w:numPr>
          <w:ilvl w:val="2"/>
          <w:numId w:val="146"/>
        </w:numPr>
      </w:pPr>
      <w:r w:rsidRPr="000E5786">
        <w:t xml:space="preserve">the prompt circulation of meeting minutes to all the appropriate persons within seven (7) Working Days of each </w:t>
      </w:r>
      <w:proofErr w:type="gramStart"/>
      <w:r w:rsidRPr="000E5786">
        <w:t>meeting;</w:t>
      </w:r>
      <w:proofErr w:type="gramEnd"/>
    </w:p>
    <w:p w14:paraId="254865D8" w14:textId="77777777" w:rsidR="0095745D" w:rsidRPr="000E5786" w:rsidRDefault="0095745D" w:rsidP="009D675B">
      <w:pPr>
        <w:pStyle w:val="Heading3"/>
        <w:numPr>
          <w:ilvl w:val="2"/>
          <w:numId w:val="146"/>
        </w:numPr>
      </w:pPr>
      <w:r w:rsidRPr="000E5786">
        <w:t xml:space="preserve">that each such meeting is </w:t>
      </w:r>
      <w:proofErr w:type="gramStart"/>
      <w:r w:rsidRPr="000E5786">
        <w:t>scheduled;</w:t>
      </w:r>
      <w:proofErr w:type="gramEnd"/>
    </w:p>
    <w:p w14:paraId="6577DB38" w14:textId="77777777" w:rsidR="0095745D" w:rsidRPr="000E5786" w:rsidRDefault="0095745D" w:rsidP="009D675B">
      <w:pPr>
        <w:pStyle w:val="Heading3"/>
        <w:numPr>
          <w:ilvl w:val="2"/>
          <w:numId w:val="146"/>
        </w:numPr>
      </w:pPr>
      <w:r w:rsidRPr="000E5786">
        <w:t xml:space="preserve">that the agenda is set for each such meeting and circulated to all attendees in </w:t>
      </w:r>
      <w:proofErr w:type="gramStart"/>
      <w:r w:rsidRPr="000E5786">
        <w:t>advance;</w:t>
      </w:r>
      <w:proofErr w:type="gramEnd"/>
    </w:p>
    <w:p w14:paraId="4221E5AF" w14:textId="77777777" w:rsidR="0095745D" w:rsidRPr="000E5786" w:rsidRDefault="0095745D" w:rsidP="009D675B">
      <w:pPr>
        <w:pStyle w:val="Heading3"/>
        <w:numPr>
          <w:ilvl w:val="2"/>
          <w:numId w:val="146"/>
        </w:numPr>
      </w:pPr>
      <w:r w:rsidRPr="000E5786">
        <w:t xml:space="preserve">that progress of any follow up tasks and activities is </w:t>
      </w:r>
      <w:proofErr w:type="gramStart"/>
      <w:r w:rsidRPr="000E5786">
        <w:t>monitored;</w:t>
      </w:r>
      <w:proofErr w:type="gramEnd"/>
    </w:p>
    <w:p w14:paraId="29754B75" w14:textId="77777777" w:rsidR="0095745D" w:rsidRPr="000E5786" w:rsidRDefault="0095745D" w:rsidP="009D675B">
      <w:pPr>
        <w:pStyle w:val="Heading3"/>
        <w:numPr>
          <w:ilvl w:val="2"/>
          <w:numId w:val="146"/>
        </w:numPr>
      </w:pPr>
      <w:r w:rsidRPr="000E5786">
        <w:t xml:space="preserve">that an administrator is appointed, if </w:t>
      </w:r>
      <w:proofErr w:type="gramStart"/>
      <w:r w:rsidRPr="000E5786">
        <w:t>appropriate;</w:t>
      </w:r>
      <w:proofErr w:type="gramEnd"/>
    </w:p>
    <w:p w14:paraId="13DC9C07" w14:textId="77777777" w:rsidR="0095745D" w:rsidRPr="000E5786" w:rsidRDefault="0095745D" w:rsidP="009D675B">
      <w:pPr>
        <w:pStyle w:val="Heading3"/>
        <w:numPr>
          <w:ilvl w:val="2"/>
          <w:numId w:val="146"/>
        </w:numPr>
      </w:pPr>
      <w:r w:rsidRPr="000E5786">
        <w:t>escalating unresolved issues after every effort is made to resolve them with all necessary information and documentation to support the issue including remedies tried; and</w:t>
      </w:r>
    </w:p>
    <w:p w14:paraId="115A67D3" w14:textId="77777777" w:rsidR="0095745D" w:rsidRPr="000E5786" w:rsidRDefault="0095745D" w:rsidP="009D675B">
      <w:pPr>
        <w:pStyle w:val="Heading3"/>
        <w:numPr>
          <w:ilvl w:val="2"/>
          <w:numId w:val="146"/>
        </w:numPr>
      </w:pPr>
      <w:r w:rsidRPr="000E5786">
        <w:t>facilitating the process or procedure by which any decision agreed at any meeting is given effect in the appropriate manner.</w:t>
      </w:r>
    </w:p>
    <w:p w14:paraId="544DD4BB" w14:textId="2CB962B4" w:rsidR="0095745D" w:rsidRPr="000E5786" w:rsidRDefault="0095745D" w:rsidP="009D675B">
      <w:pPr>
        <w:pStyle w:val="Heading2"/>
        <w:numPr>
          <w:ilvl w:val="1"/>
          <w:numId w:val="146"/>
        </w:numPr>
        <w:spacing w:after="120"/>
        <w:rPr>
          <w:rFonts w:cs="Arial"/>
          <w:szCs w:val="20"/>
        </w:rPr>
      </w:pPr>
      <w:r w:rsidRPr="000E5786">
        <w:rPr>
          <w:rFonts w:cs="Arial"/>
          <w:szCs w:val="20"/>
        </w:rPr>
        <w:t xml:space="preserve">The Chair may delegate any of the responsibilities set out in </w:t>
      </w:r>
      <w:r w:rsidR="00795263" w:rsidRPr="000E5786">
        <w:rPr>
          <w:rFonts w:cs="Arial"/>
          <w:szCs w:val="20"/>
        </w:rPr>
        <w:t xml:space="preserve">Paragraph </w:t>
      </w:r>
      <w:r w:rsidRPr="000E5786">
        <w:rPr>
          <w:rFonts w:cs="Arial"/>
          <w:szCs w:val="20"/>
        </w:rPr>
        <w:fldChar w:fldCharType="begin"/>
      </w:r>
      <w:r w:rsidRPr="000E5786">
        <w:rPr>
          <w:rFonts w:cs="Arial"/>
          <w:szCs w:val="20"/>
        </w:rPr>
        <w:instrText xml:space="preserve"> REF _Ref80182308 \r \h </w:instrText>
      </w:r>
      <w:r w:rsidR="00182C80" w:rsidRPr="000E5786">
        <w:rPr>
          <w:rFonts w:cs="Arial"/>
          <w:szCs w:val="20"/>
        </w:rPr>
        <w:instrText xml:space="preserve"> \* MERGEFORMAT </w:instrText>
      </w:r>
      <w:r w:rsidRPr="000E5786">
        <w:rPr>
          <w:rFonts w:cs="Arial"/>
          <w:szCs w:val="20"/>
        </w:rPr>
      </w:r>
      <w:r w:rsidRPr="000E5786">
        <w:rPr>
          <w:rFonts w:cs="Arial"/>
          <w:szCs w:val="20"/>
        </w:rPr>
        <w:fldChar w:fldCharType="separate"/>
      </w:r>
      <w:r w:rsidRPr="000E5786">
        <w:rPr>
          <w:rFonts w:cs="Arial"/>
          <w:szCs w:val="20"/>
        </w:rPr>
        <w:t>1.11</w:t>
      </w:r>
      <w:r w:rsidRPr="000E5786">
        <w:rPr>
          <w:rFonts w:cs="Arial"/>
          <w:szCs w:val="20"/>
        </w:rPr>
        <w:fldChar w:fldCharType="end"/>
      </w:r>
      <w:r w:rsidRPr="000E5786">
        <w:rPr>
          <w:rFonts w:cs="Arial"/>
          <w:szCs w:val="20"/>
        </w:rPr>
        <w:t xml:space="preserve"> above but shall retain overall accountability for ensuring any delegated responsibilities are carried out.</w:t>
      </w:r>
    </w:p>
    <w:p w14:paraId="48E6E3EC" w14:textId="62A4A768" w:rsidR="0095745D" w:rsidRPr="000E5786" w:rsidRDefault="0095745D" w:rsidP="009D675B">
      <w:pPr>
        <w:pStyle w:val="Heading2"/>
        <w:numPr>
          <w:ilvl w:val="1"/>
          <w:numId w:val="146"/>
        </w:numPr>
        <w:spacing w:after="120"/>
        <w:rPr>
          <w:rFonts w:cs="Arial"/>
          <w:szCs w:val="20"/>
        </w:rPr>
      </w:pPr>
      <w:r w:rsidRPr="000E5786">
        <w:rPr>
          <w:rFonts w:cs="Arial"/>
          <w:szCs w:val="20"/>
        </w:rPr>
        <w:t xml:space="preserve">It is expected that the governance structure will evolve over time based on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needs and subject to agreement of both Parties. Such evolution of the governance structure (including amendments to this Governance Schedule and the charters set out in Annex </w:t>
      </w:r>
      <w:r w:rsidR="004E711C">
        <w:rPr>
          <w:rFonts w:cs="Arial"/>
          <w:szCs w:val="20"/>
        </w:rPr>
        <w:t>8.1A</w:t>
      </w:r>
      <w:r w:rsidRPr="000E5786">
        <w:rPr>
          <w:rFonts w:cs="Arial"/>
          <w:szCs w:val="20"/>
        </w:rPr>
        <w:t>) shall not constitute Changes for the purposes of Schedule 8.2 (Change Control Procedure),</w:t>
      </w:r>
    </w:p>
    <w:p w14:paraId="5CC2B457" w14:textId="61B7227C" w:rsidR="0095745D" w:rsidRPr="000E5786" w:rsidRDefault="0095745D" w:rsidP="009D675B">
      <w:pPr>
        <w:pStyle w:val="Heading2"/>
        <w:numPr>
          <w:ilvl w:val="1"/>
          <w:numId w:val="146"/>
        </w:numPr>
        <w:spacing w:after="120"/>
        <w:rPr>
          <w:rFonts w:cs="Arial"/>
          <w:szCs w:val="20"/>
        </w:rPr>
      </w:pPr>
      <w:r w:rsidRPr="000E5786">
        <w:rPr>
          <w:rFonts w:cs="Arial"/>
          <w:szCs w:val="20"/>
        </w:rPr>
        <w:t xml:space="preserve">Notwithstanding the meeting frequency set out in the relevant charter,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at its discretion call a meeting of any governance body at any time on reasonable notice to the Supplier. </w:t>
      </w:r>
    </w:p>
    <w:p w14:paraId="1E61B9DC" w14:textId="77777777" w:rsidR="00B372F0" w:rsidRDefault="0095745D" w:rsidP="00B372F0">
      <w:pPr>
        <w:pStyle w:val="Heading1"/>
        <w:numPr>
          <w:ilvl w:val="0"/>
          <w:numId w:val="43"/>
        </w:numPr>
        <w:spacing w:after="120"/>
        <w:rPr>
          <w:rFonts w:cs="Arial"/>
          <w:szCs w:val="20"/>
        </w:rPr>
      </w:pPr>
      <w:bookmarkStart w:id="2357" w:name="_Ref79755578"/>
      <w:r w:rsidRPr="00C6649F">
        <w:rPr>
          <w:rFonts w:cs="Arial"/>
          <w:szCs w:val="20"/>
        </w:rPr>
        <w:t>Joint Governance</w:t>
      </w:r>
      <w:bookmarkEnd w:id="2357"/>
    </w:p>
    <w:p w14:paraId="58C60AEF" w14:textId="49B2E9DB" w:rsidR="00B372F0" w:rsidRDefault="0095745D" w:rsidP="00B372F0">
      <w:pPr>
        <w:pStyle w:val="Heading2"/>
        <w:numPr>
          <w:ilvl w:val="1"/>
          <w:numId w:val="43"/>
        </w:numPr>
        <w:spacing w:after="120"/>
        <w:rPr>
          <w:rFonts w:cs="Arial"/>
          <w:szCs w:val="20"/>
        </w:rPr>
      </w:pPr>
      <w:r w:rsidRPr="00B372F0">
        <w:rPr>
          <w:rFonts w:cs="Arial"/>
          <w:szCs w:val="20"/>
        </w:rPr>
        <w:t xml:space="preserve">The governance groups shall provide a mechanism for enabling co-operative working between the Supplier, </w:t>
      </w:r>
      <w:proofErr w:type="spellStart"/>
      <w:r w:rsidR="001F1C19">
        <w:rPr>
          <w:rFonts w:cs="Arial"/>
          <w:szCs w:val="20"/>
        </w:rPr>
        <w:t>Netlink</w:t>
      </w:r>
      <w:proofErr w:type="spellEnd"/>
      <w:r w:rsidR="001F1C19">
        <w:rPr>
          <w:rFonts w:cs="Arial"/>
          <w:szCs w:val="20"/>
        </w:rPr>
        <w:t xml:space="preserve"> Star</w:t>
      </w:r>
      <w:r w:rsidRPr="00B372F0">
        <w:rPr>
          <w:rFonts w:cs="Arial"/>
          <w:szCs w:val="20"/>
        </w:rPr>
        <w:t xml:space="preserve"> and any relevant </w:t>
      </w:r>
      <w:proofErr w:type="gramStart"/>
      <w:r w:rsidRPr="00B372F0">
        <w:rPr>
          <w:rFonts w:cs="Arial"/>
          <w:szCs w:val="20"/>
        </w:rPr>
        <w:t>third party</w:t>
      </w:r>
      <w:proofErr w:type="gramEnd"/>
      <w:r w:rsidRPr="00B372F0">
        <w:rPr>
          <w:rFonts w:cs="Arial"/>
          <w:szCs w:val="20"/>
        </w:rPr>
        <w:t xml:space="preserve"> suppliers involved in the delivery of the Services.</w:t>
      </w:r>
    </w:p>
    <w:p w14:paraId="45E94934" w14:textId="77777777" w:rsidR="00B372F0" w:rsidRDefault="0095745D" w:rsidP="00B372F0">
      <w:pPr>
        <w:pStyle w:val="Heading2"/>
        <w:numPr>
          <w:ilvl w:val="1"/>
          <w:numId w:val="43"/>
        </w:numPr>
        <w:spacing w:after="120"/>
        <w:rPr>
          <w:rFonts w:cs="Arial"/>
          <w:szCs w:val="20"/>
        </w:rPr>
      </w:pPr>
      <w:proofErr w:type="gramStart"/>
      <w:r w:rsidRPr="00B372F0">
        <w:rPr>
          <w:rFonts w:cs="Arial"/>
          <w:szCs w:val="20"/>
        </w:rPr>
        <w:t>In order to</w:t>
      </w:r>
      <w:proofErr w:type="gramEnd"/>
      <w:r w:rsidRPr="00B372F0">
        <w:rPr>
          <w:rFonts w:cs="Arial"/>
          <w:szCs w:val="20"/>
        </w:rPr>
        <w:t xml:space="preserve"> ensure the effective delivery of the Services, Supplier shall co-operate with all relevant Other Suppliers involved in the delivery of the Services as may be reasonably necessary in connection with the performance of the Services, to ensure the Services (and the services to be provided by all relevant Other Suppliers) can be provided in a co-ordinated, effective and timely manner.</w:t>
      </w:r>
    </w:p>
    <w:p w14:paraId="11C2C120" w14:textId="6FC2453B" w:rsidR="0095745D" w:rsidRPr="00B372F0" w:rsidRDefault="0095745D" w:rsidP="00B372F0">
      <w:pPr>
        <w:pStyle w:val="Heading2"/>
        <w:numPr>
          <w:ilvl w:val="1"/>
          <w:numId w:val="43"/>
        </w:numPr>
        <w:spacing w:after="120"/>
        <w:rPr>
          <w:rFonts w:cs="Arial"/>
          <w:szCs w:val="20"/>
        </w:rPr>
      </w:pPr>
      <w:r w:rsidRPr="00B372F0">
        <w:rPr>
          <w:rFonts w:cs="Arial"/>
          <w:szCs w:val="20"/>
        </w:rPr>
        <w:t xml:space="preserve">The Supplier shall use every effort to resolve any issues involving Other Suppliers with such Other Supplier(s) before escalating to </w:t>
      </w:r>
      <w:proofErr w:type="spellStart"/>
      <w:r w:rsidR="001F1C19">
        <w:rPr>
          <w:rFonts w:cs="Arial"/>
          <w:szCs w:val="20"/>
        </w:rPr>
        <w:t>Netlink</w:t>
      </w:r>
      <w:proofErr w:type="spellEnd"/>
      <w:r w:rsidR="001F1C19">
        <w:rPr>
          <w:rFonts w:cs="Arial"/>
          <w:szCs w:val="20"/>
        </w:rPr>
        <w:t xml:space="preserve"> Star</w:t>
      </w:r>
      <w:r w:rsidRPr="00B372F0">
        <w:rPr>
          <w:rFonts w:cs="Arial"/>
          <w:szCs w:val="20"/>
        </w:rPr>
        <w:t xml:space="preserve">. </w:t>
      </w:r>
    </w:p>
    <w:p w14:paraId="63BBF303" w14:textId="77777777" w:rsidR="00B372F0" w:rsidRDefault="0095745D" w:rsidP="00B372F0">
      <w:pPr>
        <w:pStyle w:val="Heading1"/>
        <w:numPr>
          <w:ilvl w:val="0"/>
          <w:numId w:val="43"/>
        </w:numPr>
        <w:spacing w:after="120"/>
        <w:rPr>
          <w:rFonts w:cs="Arial"/>
          <w:szCs w:val="20"/>
        </w:rPr>
      </w:pPr>
      <w:r w:rsidRPr="00C6649F">
        <w:rPr>
          <w:rFonts w:cs="Arial"/>
          <w:szCs w:val="20"/>
        </w:rPr>
        <w:t>Strategic Governance: Executive Board Meeting</w:t>
      </w:r>
    </w:p>
    <w:p w14:paraId="3ABC7419" w14:textId="77777777" w:rsidR="00B372F0" w:rsidRDefault="0095745D" w:rsidP="00B372F0">
      <w:pPr>
        <w:pStyle w:val="Heading2"/>
        <w:numPr>
          <w:ilvl w:val="1"/>
          <w:numId w:val="43"/>
        </w:numPr>
        <w:spacing w:after="120"/>
        <w:rPr>
          <w:rFonts w:cs="Arial"/>
          <w:szCs w:val="20"/>
        </w:rPr>
      </w:pPr>
      <w:r w:rsidRPr="00B372F0">
        <w:rPr>
          <w:rFonts w:cs="Arial"/>
          <w:szCs w:val="20"/>
        </w:rPr>
        <w:t xml:space="preserve">There shall be a single Executive Board Meeting to provide governance for the Services at a strategic leadership level. </w:t>
      </w:r>
    </w:p>
    <w:p w14:paraId="6DF7AAB0" w14:textId="77777777" w:rsidR="00B372F0" w:rsidRDefault="0095745D" w:rsidP="00B372F0">
      <w:pPr>
        <w:pStyle w:val="Heading2"/>
        <w:numPr>
          <w:ilvl w:val="1"/>
          <w:numId w:val="43"/>
        </w:numPr>
        <w:spacing w:after="120"/>
        <w:rPr>
          <w:rFonts w:cs="Arial"/>
          <w:szCs w:val="20"/>
        </w:rPr>
      </w:pPr>
      <w:r w:rsidRPr="00B372F0">
        <w:rPr>
          <w:rFonts w:cs="Arial"/>
          <w:szCs w:val="20"/>
        </w:rPr>
        <w:t>The Executive Board Meeting shall:</w:t>
      </w:r>
    </w:p>
    <w:p w14:paraId="59D8750C" w14:textId="1553A60B" w:rsidR="0095745D" w:rsidRDefault="0095745D" w:rsidP="00B372F0">
      <w:pPr>
        <w:pStyle w:val="Heading3"/>
        <w:numPr>
          <w:ilvl w:val="2"/>
          <w:numId w:val="43"/>
        </w:numPr>
      </w:pPr>
      <w:r w:rsidRPr="000E5786">
        <w:t xml:space="preserve">be the highest decision-making body in the governance </w:t>
      </w:r>
      <w:proofErr w:type="gramStart"/>
      <w:r w:rsidRPr="000E5786">
        <w:t>structure;</w:t>
      </w:r>
      <w:proofErr w:type="gramEnd"/>
    </w:p>
    <w:p w14:paraId="4F6C3A58" w14:textId="0AE6DE00" w:rsidR="00B372F0" w:rsidRDefault="00B372F0" w:rsidP="00B372F0">
      <w:pPr>
        <w:pStyle w:val="Heading3"/>
        <w:numPr>
          <w:ilvl w:val="2"/>
          <w:numId w:val="43"/>
        </w:numPr>
      </w:pPr>
      <w:r>
        <w:lastRenderedPageBreak/>
        <w:t xml:space="preserve">ensure </w:t>
      </w:r>
      <w:r w:rsidRPr="000E5786">
        <w:t xml:space="preserve">that the relationship between </w:t>
      </w:r>
      <w:proofErr w:type="spellStart"/>
      <w:r w:rsidR="001F1C19">
        <w:t>Netlink</w:t>
      </w:r>
      <w:proofErr w:type="spellEnd"/>
      <w:r w:rsidR="001F1C19">
        <w:t xml:space="preserve"> Star</w:t>
      </w:r>
      <w:r w:rsidRPr="000E5786">
        <w:t xml:space="preserve"> and the Supplier continues to be successful throughout the term of the </w:t>
      </w:r>
      <w:proofErr w:type="gramStart"/>
      <w:r w:rsidRPr="000E5786">
        <w:t>Agreement</w:t>
      </w:r>
      <w:proofErr w:type="gramEnd"/>
    </w:p>
    <w:p w14:paraId="418A93C0" w14:textId="03F8ACD2" w:rsidR="0095745D" w:rsidRDefault="0095745D" w:rsidP="00B372F0">
      <w:pPr>
        <w:pStyle w:val="Heading3"/>
        <w:numPr>
          <w:ilvl w:val="2"/>
          <w:numId w:val="43"/>
        </w:numPr>
      </w:pPr>
      <w:r w:rsidRPr="000E5786">
        <w:t xml:space="preserve">meet </w:t>
      </w:r>
      <w:proofErr w:type="gramStart"/>
      <w:r w:rsidRPr="000E5786">
        <w:t>quarterly;</w:t>
      </w:r>
      <w:proofErr w:type="gramEnd"/>
    </w:p>
    <w:p w14:paraId="7C52FF8B" w14:textId="3BB3B326" w:rsidR="0095745D" w:rsidRDefault="00B372F0" w:rsidP="00B372F0">
      <w:pPr>
        <w:pStyle w:val="Heading3"/>
        <w:numPr>
          <w:ilvl w:val="2"/>
          <w:numId w:val="43"/>
        </w:numPr>
      </w:pPr>
      <w:r>
        <w:t xml:space="preserve">provide </w:t>
      </w:r>
      <w:r w:rsidRPr="000E5786">
        <w:t xml:space="preserve">leadership at a strategic level and ensure a healthy productive relationship exists and grows for both </w:t>
      </w:r>
      <w:proofErr w:type="gramStart"/>
      <w:r w:rsidRPr="000E5786">
        <w:t>Parties</w:t>
      </w:r>
      <w:proofErr w:type="gramEnd"/>
    </w:p>
    <w:p w14:paraId="2EF26861" w14:textId="77777777" w:rsidR="00B372F0" w:rsidRDefault="00B372F0" w:rsidP="00B372F0">
      <w:pPr>
        <w:pStyle w:val="Heading3"/>
        <w:numPr>
          <w:ilvl w:val="2"/>
          <w:numId w:val="43"/>
        </w:numPr>
      </w:pPr>
      <w:r>
        <w:t xml:space="preserve">Discuss the overall relationship between the parties and future direction of the relationship and </w:t>
      </w:r>
      <w:proofErr w:type="gramStart"/>
      <w:r>
        <w:t>agreement</w:t>
      </w:r>
      <w:proofErr w:type="gramEnd"/>
    </w:p>
    <w:p w14:paraId="5E8A58C6" w14:textId="77777777" w:rsidR="00B372F0" w:rsidRDefault="0095745D" w:rsidP="00B372F0">
      <w:pPr>
        <w:pStyle w:val="Heading3"/>
        <w:numPr>
          <w:ilvl w:val="2"/>
          <w:numId w:val="43"/>
        </w:numPr>
      </w:pPr>
      <w:r w:rsidRPr="000E5786">
        <w:t xml:space="preserve">review strategic level achievements and manage and mitigate concerns raised by either </w:t>
      </w:r>
      <w:proofErr w:type="gramStart"/>
      <w:r w:rsidRPr="000E5786">
        <w:t>Party;</w:t>
      </w:r>
      <w:proofErr w:type="gramEnd"/>
    </w:p>
    <w:p w14:paraId="6D61E17D" w14:textId="7C7C8149" w:rsidR="0095745D" w:rsidRDefault="0095745D" w:rsidP="00B372F0">
      <w:pPr>
        <w:pStyle w:val="Heading3"/>
        <w:numPr>
          <w:ilvl w:val="2"/>
          <w:numId w:val="43"/>
        </w:numPr>
      </w:pPr>
      <w:r w:rsidRPr="000E5786">
        <w:t>allow the Supplier to present a strategic business update; and</w:t>
      </w:r>
    </w:p>
    <w:p w14:paraId="77651FBF" w14:textId="55DF5953" w:rsidR="00B372F0" w:rsidRDefault="00B372F0" w:rsidP="00B372F0">
      <w:pPr>
        <w:pStyle w:val="Heading3"/>
        <w:numPr>
          <w:ilvl w:val="2"/>
          <w:numId w:val="43"/>
        </w:numPr>
      </w:pPr>
      <w:r>
        <w:t xml:space="preserve">allow </w:t>
      </w:r>
      <w:proofErr w:type="spellStart"/>
      <w:r w:rsidR="001F1C19">
        <w:t>Netlink</w:t>
      </w:r>
      <w:proofErr w:type="spellEnd"/>
      <w:r w:rsidR="001F1C19">
        <w:t xml:space="preserve"> Star</w:t>
      </w:r>
      <w:r w:rsidRPr="000E5786">
        <w:t xml:space="preserve"> to explain any potential future changes in business strategy and to provide guidance on policy matters that may have an impact on the implementation of the </w:t>
      </w:r>
      <w:proofErr w:type="gramStart"/>
      <w:r w:rsidRPr="000E5786">
        <w:t>Se</w:t>
      </w:r>
      <w:r>
        <w:t>rvices</w:t>
      </w:r>
      <w:proofErr w:type="gramEnd"/>
    </w:p>
    <w:p w14:paraId="32D2C73D" w14:textId="77777777" w:rsidR="00B372F0" w:rsidRDefault="0095745D" w:rsidP="00B372F0">
      <w:pPr>
        <w:pStyle w:val="Heading3"/>
        <w:numPr>
          <w:ilvl w:val="2"/>
          <w:numId w:val="43"/>
        </w:numPr>
      </w:pPr>
      <w:r w:rsidRPr="000E5786">
        <w:t xml:space="preserve">allow </w:t>
      </w:r>
      <w:proofErr w:type="gramStart"/>
      <w:r w:rsidRPr="000E5786">
        <w:t>The</w:t>
      </w:r>
      <w:proofErr w:type="gramEnd"/>
      <w:r w:rsidRPr="000E5786">
        <w:t xml:space="preserve"> charter for the Executive Board Meeting is in Annex </w:t>
      </w:r>
      <w:r w:rsidR="00B62F1A">
        <w:t>8.</w:t>
      </w:r>
      <w:r w:rsidRPr="000E5786">
        <w:t>1</w:t>
      </w:r>
      <w:r w:rsidR="00B62F1A">
        <w:t>A</w:t>
      </w:r>
      <w:r w:rsidRPr="000E5786">
        <w:t>.</w:t>
      </w:r>
    </w:p>
    <w:p w14:paraId="6CB711D2" w14:textId="7472AF3F" w:rsidR="001478FD" w:rsidRDefault="001F1C19" w:rsidP="001478FD">
      <w:pPr>
        <w:pStyle w:val="Heading2"/>
        <w:numPr>
          <w:ilvl w:val="1"/>
          <w:numId w:val="43"/>
        </w:numPr>
      </w:pPr>
      <w:proofErr w:type="spellStart"/>
      <w:r>
        <w:t>Netlink</w:t>
      </w:r>
      <w:proofErr w:type="spellEnd"/>
      <w:r>
        <w:t xml:space="preserve"> Star</w:t>
      </w:r>
      <w:r w:rsidR="0095745D" w:rsidRPr="00B372F0">
        <w:t xml:space="preserve"> shall be responsible for setting up Executive Board Meetings, maintaining and finalising the charter with the Supplier and agreeing the participants.</w:t>
      </w:r>
    </w:p>
    <w:p w14:paraId="04CD3BEA" w14:textId="0CA9E4B1" w:rsidR="0095745D" w:rsidRPr="001478FD" w:rsidRDefault="0095745D" w:rsidP="001478FD">
      <w:pPr>
        <w:pStyle w:val="Heading2"/>
        <w:numPr>
          <w:ilvl w:val="1"/>
          <w:numId w:val="43"/>
        </w:numPr>
      </w:pPr>
      <w:r w:rsidRPr="001478FD">
        <w:rPr>
          <w:rFonts w:cs="Arial"/>
          <w:szCs w:val="20"/>
        </w:rPr>
        <w:t>Executive Board Meetings shall be quorate providing that at least two</w:t>
      </w:r>
      <w:r w:rsidR="00B62F1A" w:rsidRPr="001478FD">
        <w:rPr>
          <w:rFonts w:cs="Arial"/>
          <w:szCs w:val="20"/>
        </w:rPr>
        <w:t xml:space="preserve"> (2)</w:t>
      </w:r>
      <w:r w:rsidRPr="001478FD">
        <w:rPr>
          <w:rFonts w:cs="Arial"/>
          <w:szCs w:val="20"/>
        </w:rPr>
        <w:t xml:space="preserve"> representatives from each Party are present.</w:t>
      </w:r>
    </w:p>
    <w:p w14:paraId="697C5CAC" w14:textId="77777777" w:rsidR="001478FD" w:rsidRDefault="0095745D" w:rsidP="001478FD">
      <w:pPr>
        <w:pStyle w:val="Heading1"/>
        <w:numPr>
          <w:ilvl w:val="0"/>
          <w:numId w:val="43"/>
        </w:numPr>
        <w:spacing w:after="120"/>
        <w:rPr>
          <w:rFonts w:cs="Arial"/>
          <w:szCs w:val="20"/>
        </w:rPr>
      </w:pPr>
      <w:r w:rsidRPr="00C6649F">
        <w:rPr>
          <w:rFonts w:cs="Arial"/>
          <w:szCs w:val="20"/>
        </w:rPr>
        <w:t>Strategic Governance: Services Steering Board</w:t>
      </w:r>
    </w:p>
    <w:p w14:paraId="5D6F8F3A" w14:textId="77777777" w:rsidR="001478FD" w:rsidRDefault="0095745D" w:rsidP="001478FD">
      <w:pPr>
        <w:pStyle w:val="Heading2"/>
        <w:numPr>
          <w:ilvl w:val="1"/>
          <w:numId w:val="43"/>
        </w:numPr>
        <w:spacing w:after="120"/>
        <w:rPr>
          <w:rFonts w:cs="Arial"/>
          <w:szCs w:val="20"/>
        </w:rPr>
      </w:pPr>
      <w:r w:rsidRPr="001478FD">
        <w:rPr>
          <w:rFonts w:cs="Arial"/>
          <w:szCs w:val="20"/>
        </w:rPr>
        <w:t xml:space="preserve">There shall be a Services Steering Board to provide governance for Service at a strategic level. </w:t>
      </w:r>
    </w:p>
    <w:p w14:paraId="41F32EAD" w14:textId="77777777" w:rsidR="001478FD" w:rsidRDefault="0095745D" w:rsidP="001478FD">
      <w:pPr>
        <w:pStyle w:val="Heading2"/>
        <w:numPr>
          <w:ilvl w:val="1"/>
          <w:numId w:val="43"/>
        </w:numPr>
        <w:spacing w:after="120"/>
        <w:rPr>
          <w:rFonts w:cs="Arial"/>
          <w:szCs w:val="20"/>
        </w:rPr>
      </w:pPr>
      <w:r w:rsidRPr="001478FD">
        <w:rPr>
          <w:rFonts w:cs="Arial"/>
          <w:szCs w:val="20"/>
        </w:rPr>
        <w:t xml:space="preserve">The Services Steering Board shall: </w:t>
      </w:r>
    </w:p>
    <w:p w14:paraId="1145F082" w14:textId="22D2E478" w:rsidR="0095745D" w:rsidRDefault="0095745D" w:rsidP="001478FD">
      <w:pPr>
        <w:pStyle w:val="Heading3"/>
        <w:numPr>
          <w:ilvl w:val="2"/>
          <w:numId w:val="43"/>
        </w:numPr>
      </w:pPr>
      <w:r w:rsidRPr="000E5786">
        <w:t xml:space="preserve">meet </w:t>
      </w:r>
      <w:proofErr w:type="gramStart"/>
      <w:r w:rsidRPr="000E5786">
        <w:t>quarterly;</w:t>
      </w:r>
      <w:proofErr w:type="gramEnd"/>
    </w:p>
    <w:p w14:paraId="43287482" w14:textId="6FF7BE90" w:rsidR="0095745D" w:rsidRDefault="001478FD" w:rsidP="001478FD">
      <w:pPr>
        <w:pStyle w:val="Heading3"/>
        <w:numPr>
          <w:ilvl w:val="2"/>
          <w:numId w:val="43"/>
        </w:numPr>
      </w:pPr>
      <w:r>
        <w:t xml:space="preserve">ensure </w:t>
      </w:r>
      <w:r w:rsidRPr="000E5786">
        <w:t xml:space="preserve">the strategic direction of the Services and the Financial Model are always aligned and remain fit-for-purpose for the </w:t>
      </w:r>
      <w:proofErr w:type="gramStart"/>
      <w:r w:rsidRPr="000E5786">
        <w:t>Term;</w:t>
      </w:r>
      <w:proofErr w:type="gramEnd"/>
    </w:p>
    <w:p w14:paraId="6AAFEB01" w14:textId="6EBA0BE1" w:rsidR="001478FD" w:rsidRDefault="001478FD" w:rsidP="001478FD">
      <w:pPr>
        <w:pStyle w:val="Heading3"/>
        <w:numPr>
          <w:ilvl w:val="2"/>
          <w:numId w:val="43"/>
        </w:numPr>
      </w:pPr>
      <w:r>
        <w:t xml:space="preserve">ensure </w:t>
      </w:r>
      <w:r w:rsidRPr="000E5786">
        <w:t xml:space="preserve">that this Agreement is operated throughout the Term in a manner which optimises the value for money and operational benefit derived by </w:t>
      </w:r>
      <w:proofErr w:type="spellStart"/>
      <w:r w:rsidR="001F1C19">
        <w:t>Netlink</w:t>
      </w:r>
      <w:proofErr w:type="spellEnd"/>
      <w:r w:rsidR="001F1C19">
        <w:t xml:space="preserve"> Star</w:t>
      </w:r>
      <w:r w:rsidRPr="000E5786">
        <w:t xml:space="preserve"> and the commercial benefit derived by the </w:t>
      </w:r>
      <w:proofErr w:type="gramStart"/>
      <w:r w:rsidRPr="000E5786">
        <w:t>Supplier</w:t>
      </w:r>
      <w:proofErr w:type="gramEnd"/>
    </w:p>
    <w:p w14:paraId="7F2530A5" w14:textId="77777777" w:rsidR="001478FD" w:rsidRDefault="0095745D" w:rsidP="001478FD">
      <w:pPr>
        <w:pStyle w:val="Heading3"/>
        <w:numPr>
          <w:ilvl w:val="2"/>
          <w:numId w:val="43"/>
        </w:numPr>
      </w:pPr>
      <w:r w:rsidRPr="000E5786">
        <w:t>review and approve the Continuous Improvement Plan from the Supplier</w:t>
      </w:r>
    </w:p>
    <w:p w14:paraId="71BA72B1" w14:textId="7266AAA6" w:rsidR="001478FD" w:rsidRDefault="001478FD" w:rsidP="001478FD">
      <w:pPr>
        <w:pStyle w:val="Heading3"/>
        <w:numPr>
          <w:ilvl w:val="2"/>
          <w:numId w:val="43"/>
        </w:numPr>
      </w:pPr>
      <w:r>
        <w:t xml:space="preserve">share </w:t>
      </w:r>
      <w:proofErr w:type="spellStart"/>
      <w:r w:rsidR="001F1C19">
        <w:t>Netlink</w:t>
      </w:r>
      <w:proofErr w:type="spellEnd"/>
      <w:r w:rsidR="001F1C19">
        <w:t xml:space="preserve"> Star</w:t>
      </w:r>
      <w:r w:rsidRPr="000E5786">
        <w:t xml:space="preserve">’s business strategy and provide guidance on safety matters which may impact on the implementation of the </w:t>
      </w:r>
      <w:proofErr w:type="gramStart"/>
      <w:r w:rsidRPr="000E5786">
        <w:t>Services</w:t>
      </w:r>
      <w:r w:rsidR="0095745D" w:rsidRPr="000E5786">
        <w:t>;</w:t>
      </w:r>
      <w:proofErr w:type="gramEnd"/>
      <w:r w:rsidR="0095745D" w:rsidRPr="000E5786">
        <w:t xml:space="preserve">   </w:t>
      </w:r>
    </w:p>
    <w:p w14:paraId="340C2E65" w14:textId="5E269016" w:rsidR="001478FD" w:rsidRDefault="001478FD" w:rsidP="001478FD">
      <w:pPr>
        <w:pStyle w:val="Heading3"/>
        <w:numPr>
          <w:ilvl w:val="2"/>
          <w:numId w:val="43"/>
        </w:numPr>
      </w:pPr>
      <w:r>
        <w:t>provide guidance and authorisation for any change referred to it by the Service Management Review Meeting or the Change Approval Board; and</w:t>
      </w:r>
    </w:p>
    <w:p w14:paraId="780B8D94" w14:textId="67ADA281" w:rsidR="001478FD" w:rsidRDefault="001478FD" w:rsidP="001478FD">
      <w:pPr>
        <w:pStyle w:val="Heading3"/>
        <w:numPr>
          <w:ilvl w:val="2"/>
          <w:numId w:val="43"/>
        </w:numPr>
      </w:pPr>
      <w:r>
        <w:t xml:space="preserve">provide and </w:t>
      </w:r>
      <w:r w:rsidRPr="000E5786">
        <w:t xml:space="preserve">be responsible for ensuring that the Projects achieve their planned objectives by ensuring the governance bodies in </w:t>
      </w:r>
      <w:r>
        <w:t xml:space="preserve">this </w:t>
      </w:r>
      <w:r w:rsidRPr="000E5786">
        <w:t xml:space="preserve">Schedule all have agreed charters with </w:t>
      </w:r>
      <w:proofErr w:type="spellStart"/>
      <w:r w:rsidR="001F1C19">
        <w:t>Netlink</w:t>
      </w:r>
      <w:proofErr w:type="spellEnd"/>
      <w:r w:rsidR="001F1C19">
        <w:t xml:space="preserve"> Star</w:t>
      </w:r>
      <w:r w:rsidRPr="000E5786">
        <w:t>’s approval and that all governance body meetings take place and are functioning as described in their respective charters</w:t>
      </w:r>
      <w:r w:rsidR="0095745D" w:rsidRPr="000E5786">
        <w:t xml:space="preserve">                                                                                                                                                                                                                                                                                                                                                                                                                                                                                                                                                                                                                                                                                                                                                                                                                                                                                                                                                                                                                                                                                                                                                                                                                                                                                                                                                                                                                                                                                                                                                                                                                                                                                                                                                                                                                                                                                                                                                                                                                                                                                                                                                                                                                                                                                                                                                                                                                                                                                                                                                                                                                                                                                                                                                                                                                                                                                                                                                                                                                                                                                                                                                                                                                                                                                                                                                                                                                                                                                                                                                                                                                                                                                                                                                                                                                                                                                                                                                                                                                                                                                                                                                                                                                                                                                                                                                                                                                                                                                                                                                                                                                                                                                                                                                                                                                                                                                                                                                                                                                                                                                                                                                                                                                                                                                                                                                                                                                                                                                                                                                                                                                                                                                                                                                                                                                                                                                                                                                                                                                                                                                                                                                                                                                                                                                                                                                                                                                                                                                                                                                                                                                                                                                                                                                                                                                                                                                                                                                                                                                                                                                                                                                                                                                                                                                                                                                                                                                                                                                                                                                                                                                                                                                                                                                                                                                                                                                                                                                                                                                                                                                                                                                                                                                                                                                                                                                                                                                                                                                                                                                                                                                                                                                                                                                                                                                                                                                                                                                                                                                                                                                                                                                                                                                                                                                                                                                                                                                                                                                                                                                                                                                                                                                                                                                                                                                                                                                                                                                                                                                                                                                                                                                                                                                                                                                                                                                                                                                                                                                                                                                                                                                                                                                                                                                                                                                                                                                                                                                                                                                                                                                                                                                                                                                                                                                                                                                                                                                                                                                                                                                                                                                                                                                                                                                                                                                                                                                                                                                                                                                                                                                                                                                                                                                                                                                                                                                                                                                                                                                                                                                                                                                                                                                                                                                                                                                                                                                                                                                                                                                                                                                                                                                                                                                                                                                                                                                                                                                                                                                                                                                                                                                                                                                                                                                                                                                                                                                                                                                                                                                                                                                                                                                                                                                                                                                                                                                                                                                                                                                                                                                                                                                                                                                                                                                                                                                                                                                                                                                                                                                                                                                                                                                                                                                                                                                                                                                                                                                                                                                                                                                                                                                                                                                                                                                                                                                                                                                                                                                                                                                                                                                                                                                                                                                                                                                                                                                                                                                                                                                                                                                                                                                                                                                                                                                                                                                                                                                                                                                                                                                                                                                                                                                                                                                                                                                                                                                                                                                                                                                                                                                                                                                                                                                                                                                                                                                                                                                                                                                                                                                                                                                                                                                                                                                                                                                                                                                                                                                                                                                                                                                                                                                                                                                                                                                                                                                                                                                                                                                                                                                                                                                                                                                                                                                                                                                                                                                                                                                                                                                                                                                                                                                                                                                                                                                                                                                                                                                                                                                                                                                                                                                                                                                                                                                                                                                                                                                                                                                                                                                                                                                                                                                                                                                                                                                                                                                                                                                                                                                                                                                                                                                                                                                                                                                                                                                                                                                                                                                                                                                            </w:t>
      </w:r>
    </w:p>
    <w:p w14:paraId="01877856" w14:textId="77777777" w:rsidR="001478FD" w:rsidRDefault="0095745D" w:rsidP="001478FD">
      <w:pPr>
        <w:pStyle w:val="Heading2"/>
        <w:numPr>
          <w:ilvl w:val="1"/>
          <w:numId w:val="43"/>
        </w:numPr>
      </w:pPr>
      <w:r w:rsidRPr="001478FD">
        <w:t xml:space="preserve">The charter for the Services Steering Board is in Annex </w:t>
      </w:r>
      <w:r w:rsidR="00B62F1A" w:rsidRPr="001478FD">
        <w:t>8.</w:t>
      </w:r>
      <w:r w:rsidRPr="001478FD">
        <w:t>1</w:t>
      </w:r>
      <w:r w:rsidR="00B62F1A" w:rsidRPr="001478FD">
        <w:t>A</w:t>
      </w:r>
      <w:r w:rsidRPr="001478FD">
        <w:t>.</w:t>
      </w:r>
      <w:bookmarkStart w:id="2358" w:name="_Hlk79749261"/>
    </w:p>
    <w:p w14:paraId="1AB20148" w14:textId="0B4026FA" w:rsidR="0095745D" w:rsidRPr="001478FD" w:rsidRDefault="001F1C19" w:rsidP="001478FD">
      <w:pPr>
        <w:pStyle w:val="Heading2"/>
        <w:numPr>
          <w:ilvl w:val="1"/>
          <w:numId w:val="43"/>
        </w:numPr>
      </w:pPr>
      <w:proofErr w:type="spellStart"/>
      <w:r>
        <w:rPr>
          <w:rFonts w:cs="Arial"/>
          <w:szCs w:val="20"/>
        </w:rPr>
        <w:t>Netlink</w:t>
      </w:r>
      <w:proofErr w:type="spellEnd"/>
      <w:r>
        <w:rPr>
          <w:rFonts w:cs="Arial"/>
          <w:szCs w:val="20"/>
        </w:rPr>
        <w:t xml:space="preserve"> Star</w:t>
      </w:r>
      <w:r w:rsidR="0095745D" w:rsidRPr="001478FD">
        <w:rPr>
          <w:rFonts w:cs="Arial"/>
          <w:szCs w:val="20"/>
        </w:rPr>
        <w:t xml:space="preserve"> shall be responsible for setting up Service Steering Board meetings, maintaining and finalising the charter with the Supplier and agreeing the participants.</w:t>
      </w:r>
    </w:p>
    <w:bookmarkEnd w:id="2358"/>
    <w:p w14:paraId="4477DFDA" w14:textId="77777777" w:rsidR="001478FD" w:rsidRDefault="0095745D" w:rsidP="001478FD">
      <w:pPr>
        <w:pStyle w:val="Heading1"/>
        <w:numPr>
          <w:ilvl w:val="0"/>
          <w:numId w:val="43"/>
        </w:numPr>
        <w:spacing w:after="120"/>
        <w:rPr>
          <w:rFonts w:cs="Arial"/>
          <w:szCs w:val="20"/>
        </w:rPr>
      </w:pPr>
      <w:r w:rsidRPr="00C6649F">
        <w:rPr>
          <w:rFonts w:cs="Arial"/>
          <w:szCs w:val="20"/>
        </w:rPr>
        <w:t xml:space="preserve">Operational Governance: </w:t>
      </w:r>
      <w:bookmarkStart w:id="2359" w:name="_Hlk80371831"/>
      <w:r w:rsidRPr="00C6649F">
        <w:rPr>
          <w:rFonts w:cs="Arial"/>
          <w:szCs w:val="20"/>
        </w:rPr>
        <w:t>Service Management Review Meeting</w:t>
      </w:r>
      <w:bookmarkEnd w:id="2359"/>
    </w:p>
    <w:p w14:paraId="2D5CC98B" w14:textId="77777777" w:rsidR="001478FD" w:rsidRDefault="0095745D" w:rsidP="001478FD">
      <w:pPr>
        <w:pStyle w:val="Heading2"/>
        <w:numPr>
          <w:ilvl w:val="1"/>
          <w:numId w:val="43"/>
        </w:numPr>
        <w:spacing w:after="120"/>
        <w:rPr>
          <w:rFonts w:cs="Arial"/>
          <w:szCs w:val="20"/>
        </w:rPr>
      </w:pPr>
      <w:r w:rsidRPr="001478FD">
        <w:rPr>
          <w:rFonts w:cs="Arial"/>
          <w:szCs w:val="20"/>
        </w:rPr>
        <w:t xml:space="preserve">There shall be a Service Management Review Meeting to provide governance for Services at operational level. The Service Management Review Meeting shall be the highest operational day-to-day decision-making body for the Operate Services. </w:t>
      </w:r>
    </w:p>
    <w:p w14:paraId="3D72543B" w14:textId="77777777" w:rsidR="001478FD" w:rsidRDefault="0095745D" w:rsidP="001478FD">
      <w:pPr>
        <w:pStyle w:val="Heading2"/>
        <w:numPr>
          <w:ilvl w:val="1"/>
          <w:numId w:val="43"/>
        </w:numPr>
        <w:spacing w:after="120"/>
        <w:rPr>
          <w:rFonts w:cs="Arial"/>
          <w:szCs w:val="20"/>
        </w:rPr>
      </w:pPr>
      <w:r w:rsidRPr="001478FD">
        <w:rPr>
          <w:rFonts w:cs="Arial"/>
          <w:szCs w:val="20"/>
        </w:rPr>
        <w:t>The Service Management Review Meeting shall:</w:t>
      </w:r>
    </w:p>
    <w:p w14:paraId="5E9859D8" w14:textId="77777777" w:rsidR="001478FD" w:rsidRDefault="0095745D" w:rsidP="001478FD">
      <w:pPr>
        <w:pStyle w:val="Heading3"/>
        <w:numPr>
          <w:ilvl w:val="2"/>
          <w:numId w:val="43"/>
        </w:numPr>
      </w:pPr>
      <w:r w:rsidRPr="000E5786">
        <w:t xml:space="preserve">meet </w:t>
      </w:r>
      <w:proofErr w:type="gramStart"/>
      <w:r w:rsidRPr="000E5786">
        <w:t>monthly;</w:t>
      </w:r>
      <w:proofErr w:type="gramEnd"/>
    </w:p>
    <w:p w14:paraId="7082A9F3" w14:textId="77777777" w:rsidR="001478FD" w:rsidRDefault="0095745D" w:rsidP="001478FD">
      <w:pPr>
        <w:pStyle w:val="Heading3"/>
        <w:numPr>
          <w:ilvl w:val="2"/>
          <w:numId w:val="43"/>
        </w:numPr>
      </w:pPr>
      <w:r w:rsidRPr="000E5786" w:rsidDel="008D7198">
        <w:lastRenderedPageBreak/>
        <w:t xml:space="preserve">provide day-to-day decision-making and operational governance between </w:t>
      </w:r>
      <w:r w:rsidRPr="000E5786">
        <w:t>the</w:t>
      </w:r>
      <w:r w:rsidRPr="000E5786" w:rsidDel="008D7198">
        <w:t xml:space="preserve"> </w:t>
      </w:r>
      <w:proofErr w:type="gramStart"/>
      <w:r w:rsidRPr="000E5786" w:rsidDel="008D7198">
        <w:t>Parties</w:t>
      </w:r>
      <w:r w:rsidRPr="000E5786">
        <w:t>;</w:t>
      </w:r>
      <w:proofErr w:type="gramEnd"/>
    </w:p>
    <w:p w14:paraId="53E2C29C" w14:textId="5FBEC0B8" w:rsidR="0095745D" w:rsidRDefault="0095745D" w:rsidP="001478FD">
      <w:pPr>
        <w:pStyle w:val="Heading3"/>
        <w:numPr>
          <w:ilvl w:val="2"/>
          <w:numId w:val="43"/>
        </w:numPr>
      </w:pPr>
      <w:r w:rsidRPr="000E5786">
        <w:t xml:space="preserve">monitor safety and track and ensure compliance of the Supplier with the </w:t>
      </w:r>
      <w:proofErr w:type="gramStart"/>
      <w:r w:rsidRPr="000E5786">
        <w:t>Standards;</w:t>
      </w:r>
      <w:proofErr w:type="gramEnd"/>
    </w:p>
    <w:p w14:paraId="5E4DF903" w14:textId="3723FED1" w:rsidR="001478FD" w:rsidRDefault="001478FD" w:rsidP="001478FD">
      <w:pPr>
        <w:pStyle w:val="Heading3"/>
        <w:numPr>
          <w:ilvl w:val="2"/>
          <w:numId w:val="43"/>
        </w:numPr>
      </w:pPr>
      <w:r>
        <w:t xml:space="preserve">assure </w:t>
      </w:r>
      <w:r w:rsidRPr="000E5786">
        <w:t xml:space="preserve">the coherence and consistency of the systems architecture for the Supplier Solution and its compliance with </w:t>
      </w:r>
      <w:proofErr w:type="spellStart"/>
      <w:r w:rsidR="001F1C19">
        <w:t>Netlink</w:t>
      </w:r>
      <w:proofErr w:type="spellEnd"/>
      <w:r w:rsidR="001F1C19">
        <w:t xml:space="preserve"> Star</w:t>
      </w:r>
      <w:r w:rsidRPr="000E5786">
        <w:t xml:space="preserve"> Requirements by ensuring technical</w:t>
      </w:r>
      <w:r>
        <w:t xml:space="preserve"> </w:t>
      </w:r>
      <w:r w:rsidRPr="000E5786">
        <w:t>change approval is gained by the Technical Design Authority</w:t>
      </w:r>
    </w:p>
    <w:p w14:paraId="5C9CD216" w14:textId="7056DA34" w:rsidR="0095745D" w:rsidRDefault="0095745D" w:rsidP="001478FD">
      <w:pPr>
        <w:pStyle w:val="Heading3"/>
        <w:numPr>
          <w:ilvl w:val="2"/>
          <w:numId w:val="43"/>
        </w:numPr>
      </w:pPr>
      <w:r w:rsidRPr="000E5786">
        <w:t xml:space="preserve">monitor developments in new technology and report on their potential benefit to the </w:t>
      </w:r>
      <w:proofErr w:type="gramStart"/>
      <w:r w:rsidRPr="000E5786">
        <w:t>Services;</w:t>
      </w:r>
      <w:proofErr w:type="gramEnd"/>
    </w:p>
    <w:p w14:paraId="282ECD2C" w14:textId="77777777" w:rsidR="001478FD" w:rsidRDefault="001478FD" w:rsidP="001478FD">
      <w:pPr>
        <w:pStyle w:val="Heading3"/>
        <w:numPr>
          <w:ilvl w:val="2"/>
          <w:numId w:val="43"/>
        </w:numPr>
      </w:pPr>
      <w:r>
        <w:t xml:space="preserve">review </w:t>
      </w:r>
      <w:r w:rsidRPr="000E5786">
        <w:t xml:space="preserve">performance of the Services against Service Levels using the Service Level management information provided by the </w:t>
      </w:r>
      <w:proofErr w:type="gramStart"/>
      <w:r w:rsidRPr="000E5786">
        <w:t>Supplier</w:t>
      </w:r>
      <w:proofErr w:type="gramEnd"/>
    </w:p>
    <w:p w14:paraId="3E07782C" w14:textId="77777777" w:rsidR="001478FD" w:rsidRDefault="0095745D" w:rsidP="001478FD">
      <w:pPr>
        <w:pStyle w:val="Heading3"/>
        <w:numPr>
          <w:ilvl w:val="2"/>
          <w:numId w:val="43"/>
        </w:numPr>
      </w:pPr>
      <w:r w:rsidRPr="000E5786">
        <w:t xml:space="preserve">monitor, report and mitigate </w:t>
      </w:r>
      <w:proofErr w:type="gramStart"/>
      <w:r w:rsidRPr="000E5786">
        <w:t>risks;</w:t>
      </w:r>
      <w:proofErr w:type="gramEnd"/>
      <w:r w:rsidRPr="000E5786">
        <w:t xml:space="preserve"> </w:t>
      </w:r>
    </w:p>
    <w:p w14:paraId="4ADA0968" w14:textId="3F9A1211" w:rsidR="0095745D" w:rsidRDefault="0095745D" w:rsidP="001478FD">
      <w:pPr>
        <w:pStyle w:val="Heading3"/>
        <w:numPr>
          <w:ilvl w:val="2"/>
          <w:numId w:val="43"/>
        </w:numPr>
      </w:pPr>
      <w:r w:rsidRPr="000E5786">
        <w:t xml:space="preserve">ensure post incident reviews are held and lessons are </w:t>
      </w:r>
      <w:proofErr w:type="gramStart"/>
      <w:r w:rsidRPr="000E5786">
        <w:t>learned;</w:t>
      </w:r>
      <w:proofErr w:type="gramEnd"/>
    </w:p>
    <w:p w14:paraId="49B6BD2A" w14:textId="77777777" w:rsidR="001478FD" w:rsidRDefault="001478FD" w:rsidP="001478FD">
      <w:pPr>
        <w:pStyle w:val="Heading3"/>
        <w:numPr>
          <w:ilvl w:val="2"/>
          <w:numId w:val="43"/>
        </w:numPr>
      </w:pPr>
      <w:r>
        <w:t xml:space="preserve">review </w:t>
      </w:r>
      <w:r w:rsidRPr="000E5786">
        <w:t>the commercial relationship to ensure the financial situation is in accordance with the Financial Model</w:t>
      </w:r>
    </w:p>
    <w:p w14:paraId="22AC1F38" w14:textId="0283D0A6" w:rsidR="0095745D" w:rsidRDefault="0095745D" w:rsidP="001478FD">
      <w:pPr>
        <w:pStyle w:val="Heading3"/>
        <w:numPr>
          <w:ilvl w:val="2"/>
          <w:numId w:val="43"/>
        </w:numPr>
      </w:pPr>
      <w:r w:rsidRPr="000E5786">
        <w:t>prioritise implementation activities and Changes;</w:t>
      </w:r>
      <w:r w:rsidR="00C6649F">
        <w:t xml:space="preserve"> and</w:t>
      </w:r>
    </w:p>
    <w:p w14:paraId="15E8225C" w14:textId="357003FE" w:rsidR="001478FD" w:rsidRDefault="001478FD" w:rsidP="001478FD">
      <w:pPr>
        <w:pStyle w:val="Heading3"/>
        <w:numPr>
          <w:ilvl w:val="2"/>
          <w:numId w:val="43"/>
        </w:numPr>
      </w:pPr>
      <w:r>
        <w:t xml:space="preserve">oversee </w:t>
      </w:r>
      <w:r w:rsidRPr="000E5786">
        <w:t xml:space="preserve">the impact of all Changes set out in the Change Log, including (as appropriate) whether the proposed </w:t>
      </w:r>
      <w:proofErr w:type="gramStart"/>
      <w:r w:rsidRPr="000E5786">
        <w:t>Change</w:t>
      </w:r>
      <w:proofErr w:type="gramEnd"/>
    </w:p>
    <w:p w14:paraId="2556059C" w14:textId="59D18A8E" w:rsidR="001478FD" w:rsidRPr="001478FD" w:rsidRDefault="001478FD" w:rsidP="001478FD">
      <w:pPr>
        <w:pStyle w:val="Heading4"/>
        <w:numPr>
          <w:ilvl w:val="3"/>
          <w:numId w:val="43"/>
        </w:numPr>
      </w:pPr>
      <w:r>
        <w:t xml:space="preserve">has </w:t>
      </w:r>
      <w:r w:rsidRPr="000E5786">
        <w:rPr>
          <w:rFonts w:cs="Arial"/>
          <w:szCs w:val="20"/>
        </w:rPr>
        <w:t xml:space="preserve">an impact on other areas or aspects of this Agreement and/or other documentation relating to the </w:t>
      </w:r>
      <w:proofErr w:type="gramStart"/>
      <w:r w:rsidRPr="000E5786">
        <w:rPr>
          <w:rFonts w:cs="Arial"/>
          <w:szCs w:val="20"/>
        </w:rPr>
        <w:t>Services</w:t>
      </w:r>
      <w:r>
        <w:rPr>
          <w:rFonts w:cs="Arial"/>
          <w:szCs w:val="20"/>
        </w:rPr>
        <w:t>;</w:t>
      </w:r>
      <w:proofErr w:type="gramEnd"/>
    </w:p>
    <w:p w14:paraId="28D201C0" w14:textId="7AF36207" w:rsidR="001478FD" w:rsidRDefault="001478FD" w:rsidP="001478FD">
      <w:pPr>
        <w:pStyle w:val="Heading4"/>
        <w:numPr>
          <w:ilvl w:val="3"/>
          <w:numId w:val="43"/>
        </w:numPr>
      </w:pPr>
      <w:r>
        <w:t xml:space="preserve">has </w:t>
      </w:r>
      <w:r w:rsidRPr="000E5786">
        <w:rPr>
          <w:rFonts w:cs="Arial"/>
          <w:szCs w:val="20"/>
        </w:rPr>
        <w:t xml:space="preserve">an impact on the ability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to meet its agreed business needs within agreed </w:t>
      </w:r>
      <w:proofErr w:type="gramStart"/>
      <w:r w:rsidRPr="000E5786">
        <w:rPr>
          <w:rFonts w:cs="Arial"/>
          <w:szCs w:val="20"/>
        </w:rPr>
        <w:t>timescales</w:t>
      </w:r>
      <w:proofErr w:type="gramEnd"/>
    </w:p>
    <w:p w14:paraId="10E395D1" w14:textId="1B99E2BE" w:rsidR="0095745D" w:rsidRPr="001478FD" w:rsidRDefault="0095745D" w:rsidP="001478FD">
      <w:pPr>
        <w:pStyle w:val="Heading4"/>
        <w:numPr>
          <w:ilvl w:val="3"/>
          <w:numId w:val="43"/>
        </w:numPr>
      </w:pPr>
      <w:r w:rsidRPr="001478FD">
        <w:rPr>
          <w:rFonts w:cs="Arial"/>
          <w:szCs w:val="20"/>
        </w:rPr>
        <w:t xml:space="preserve">will raise any risks or issues relating to the proposed </w:t>
      </w:r>
      <w:proofErr w:type="gramStart"/>
      <w:r w:rsidRPr="001478FD">
        <w:rPr>
          <w:rFonts w:cs="Arial"/>
          <w:szCs w:val="20"/>
        </w:rPr>
        <w:t>Change;</w:t>
      </w:r>
      <w:proofErr w:type="gramEnd"/>
      <w:r w:rsidRPr="001478FD">
        <w:rPr>
          <w:rFonts w:cs="Arial"/>
          <w:szCs w:val="20"/>
        </w:rPr>
        <w:t xml:space="preserve"> </w:t>
      </w:r>
    </w:p>
    <w:p w14:paraId="4DAE1E9E" w14:textId="77777777" w:rsidR="001478FD" w:rsidRDefault="001478FD" w:rsidP="001478FD">
      <w:pPr>
        <w:pStyle w:val="Heading4"/>
        <w:numPr>
          <w:ilvl w:val="3"/>
          <w:numId w:val="43"/>
        </w:numPr>
      </w:pPr>
      <w:r>
        <w:t xml:space="preserve">will provide </w:t>
      </w:r>
      <w:r w:rsidRPr="000E5786">
        <w:rPr>
          <w:rFonts w:cs="Arial"/>
          <w:szCs w:val="20"/>
        </w:rPr>
        <w:t>value for money in consideration of any changes to the Financial Model, future Charges and/or Performance Indicators and Target Performance Levels;</w:t>
      </w:r>
      <w:r>
        <w:rPr>
          <w:rFonts w:cs="Arial"/>
          <w:szCs w:val="20"/>
        </w:rPr>
        <w:t xml:space="preserve"> and</w:t>
      </w:r>
    </w:p>
    <w:p w14:paraId="54BD7B5F" w14:textId="77777777" w:rsidR="001478FD" w:rsidRPr="001478FD" w:rsidRDefault="0095745D" w:rsidP="001478FD">
      <w:pPr>
        <w:pStyle w:val="Heading4"/>
        <w:numPr>
          <w:ilvl w:val="3"/>
          <w:numId w:val="43"/>
        </w:numPr>
      </w:pPr>
      <w:r w:rsidRPr="001478FD">
        <w:rPr>
          <w:rFonts w:cs="Arial"/>
          <w:szCs w:val="20"/>
        </w:rPr>
        <w:t>reject/revoke approved Changes where necessary.</w:t>
      </w:r>
    </w:p>
    <w:p w14:paraId="43E7A009" w14:textId="77777777" w:rsidR="001478FD" w:rsidRDefault="0095745D" w:rsidP="001478FD">
      <w:pPr>
        <w:pStyle w:val="Heading2"/>
        <w:numPr>
          <w:ilvl w:val="1"/>
          <w:numId w:val="43"/>
        </w:numPr>
      </w:pPr>
      <w:r w:rsidRPr="001478FD">
        <w:t xml:space="preserve">The charter for the Service Management Review Meeting is in Annex </w:t>
      </w:r>
      <w:r w:rsidR="00B62F1A" w:rsidRPr="001478FD">
        <w:t>8.</w:t>
      </w:r>
      <w:r w:rsidRPr="001478FD">
        <w:t>1</w:t>
      </w:r>
      <w:r w:rsidR="00B62F1A" w:rsidRPr="001478FD">
        <w:t>A</w:t>
      </w:r>
      <w:r w:rsidRPr="001478FD">
        <w:t>.</w:t>
      </w:r>
    </w:p>
    <w:p w14:paraId="3EAD3632" w14:textId="66049908" w:rsidR="0095745D" w:rsidRPr="001478FD" w:rsidRDefault="0095745D" w:rsidP="001478FD">
      <w:pPr>
        <w:pStyle w:val="Heading2"/>
        <w:numPr>
          <w:ilvl w:val="1"/>
          <w:numId w:val="43"/>
        </w:numPr>
      </w:pPr>
      <w:r w:rsidRPr="001478FD">
        <w:rPr>
          <w:rFonts w:cs="Arial"/>
          <w:szCs w:val="20"/>
        </w:rPr>
        <w:t xml:space="preserve">Supplier shall be responsible for setting up Service Management Review meetings, maintaining and finalising the charter with </w:t>
      </w:r>
      <w:proofErr w:type="spellStart"/>
      <w:r w:rsidR="001F1C19">
        <w:rPr>
          <w:rFonts w:cs="Arial"/>
          <w:szCs w:val="20"/>
        </w:rPr>
        <w:t>Netlink</w:t>
      </w:r>
      <w:proofErr w:type="spellEnd"/>
      <w:r w:rsidR="001F1C19">
        <w:rPr>
          <w:rFonts w:cs="Arial"/>
          <w:szCs w:val="20"/>
        </w:rPr>
        <w:t xml:space="preserve"> Star</w:t>
      </w:r>
      <w:r w:rsidRPr="001478FD">
        <w:rPr>
          <w:rFonts w:cs="Arial"/>
          <w:szCs w:val="20"/>
        </w:rPr>
        <w:t xml:space="preserve"> and agreeing the participants.</w:t>
      </w:r>
    </w:p>
    <w:p w14:paraId="6986B3AD" w14:textId="77777777" w:rsidR="00D445A7" w:rsidRDefault="0095745D" w:rsidP="00D445A7">
      <w:pPr>
        <w:pStyle w:val="Heading1"/>
        <w:numPr>
          <w:ilvl w:val="0"/>
          <w:numId w:val="43"/>
        </w:numPr>
        <w:spacing w:after="120"/>
        <w:rPr>
          <w:rFonts w:cs="Arial"/>
          <w:szCs w:val="20"/>
        </w:rPr>
      </w:pPr>
      <w:r w:rsidRPr="00C6649F">
        <w:rPr>
          <w:rFonts w:cs="Arial"/>
          <w:szCs w:val="20"/>
        </w:rPr>
        <w:t xml:space="preserve">Operational Governance: Technical Design Authority </w:t>
      </w:r>
      <w:bookmarkStart w:id="2360" w:name="_Ref79749240"/>
    </w:p>
    <w:p w14:paraId="55AF296F" w14:textId="1E387721" w:rsidR="0095745D" w:rsidRDefault="0095745D" w:rsidP="00D445A7">
      <w:pPr>
        <w:pStyle w:val="Heading2"/>
        <w:numPr>
          <w:ilvl w:val="1"/>
          <w:numId w:val="43"/>
        </w:numPr>
        <w:spacing w:after="120"/>
        <w:rPr>
          <w:rFonts w:cs="Arial"/>
          <w:szCs w:val="20"/>
        </w:rPr>
      </w:pPr>
      <w:r w:rsidRPr="00D445A7">
        <w:rPr>
          <w:rFonts w:cs="Arial"/>
          <w:szCs w:val="20"/>
        </w:rPr>
        <w:t>The Technical Design Authority shall:</w:t>
      </w:r>
      <w:bookmarkEnd w:id="2360"/>
    </w:p>
    <w:p w14:paraId="1E0042B3" w14:textId="596FB6B9" w:rsidR="009D0525" w:rsidRDefault="009D0525" w:rsidP="009D0525">
      <w:pPr>
        <w:pStyle w:val="Heading3"/>
        <w:numPr>
          <w:ilvl w:val="2"/>
          <w:numId w:val="43"/>
        </w:numPr>
      </w:pPr>
      <w:r>
        <w:t xml:space="preserve">Provide </w:t>
      </w:r>
      <w:r w:rsidRPr="000E5786">
        <w:t xml:space="preserve">governance for the Technical Designs to ensure compliance with </w:t>
      </w:r>
      <w:proofErr w:type="spellStart"/>
      <w:r w:rsidR="001F1C19">
        <w:t>Netlink</w:t>
      </w:r>
      <w:proofErr w:type="spellEnd"/>
      <w:r w:rsidR="001F1C19">
        <w:t xml:space="preserve"> Star</w:t>
      </w:r>
      <w:r w:rsidRPr="000E5786">
        <w:t xml:space="preserve">’s strategic technical roadmap and </w:t>
      </w:r>
      <w:proofErr w:type="gramStart"/>
      <w:r w:rsidRPr="000E5786">
        <w:t>designs</w:t>
      </w:r>
      <w:r>
        <w:t>;</w:t>
      </w:r>
      <w:proofErr w:type="gramEnd"/>
    </w:p>
    <w:p w14:paraId="0492D335" w14:textId="2DC1C9D9" w:rsidR="0095745D" w:rsidRDefault="0095745D" w:rsidP="009D0525">
      <w:pPr>
        <w:pStyle w:val="Heading3"/>
        <w:numPr>
          <w:ilvl w:val="2"/>
          <w:numId w:val="43"/>
        </w:numPr>
      </w:pPr>
      <w:r w:rsidRPr="000E5786">
        <w:t xml:space="preserve">shall meet monthly or as needed by the Supplier and as agreed with </w:t>
      </w:r>
      <w:proofErr w:type="spellStart"/>
      <w:r w:rsidR="001F1C19">
        <w:t>Netlink</w:t>
      </w:r>
      <w:proofErr w:type="spellEnd"/>
      <w:r w:rsidR="001F1C19">
        <w:t xml:space="preserve"> </w:t>
      </w:r>
      <w:proofErr w:type="gramStart"/>
      <w:r w:rsidR="001F1C19">
        <w:t>Star</w:t>
      </w:r>
      <w:r w:rsidRPr="000E5786">
        <w:t>;</w:t>
      </w:r>
      <w:proofErr w:type="gramEnd"/>
    </w:p>
    <w:p w14:paraId="5475B937" w14:textId="2B9D551B" w:rsidR="009D0525" w:rsidRDefault="009D0525" w:rsidP="009D0525">
      <w:pPr>
        <w:pStyle w:val="Heading3"/>
        <w:numPr>
          <w:ilvl w:val="2"/>
          <w:numId w:val="43"/>
        </w:numPr>
      </w:pPr>
      <w:r>
        <w:t xml:space="preserve">ensure </w:t>
      </w:r>
      <w:r w:rsidRPr="000E5786">
        <w:t xml:space="preserve">technical compliance to </w:t>
      </w:r>
      <w:proofErr w:type="spellStart"/>
      <w:r w:rsidR="001F1C19">
        <w:t>Netlink</w:t>
      </w:r>
      <w:proofErr w:type="spellEnd"/>
      <w:r w:rsidR="001F1C19">
        <w:t xml:space="preserve"> Star</w:t>
      </w:r>
      <w:r w:rsidRPr="000E5786">
        <w:t xml:space="preserve">’s Technical Design standards and technology roadmap across </w:t>
      </w:r>
      <w:proofErr w:type="spellStart"/>
      <w:r w:rsidR="001F1C19">
        <w:t>Netlink</w:t>
      </w:r>
      <w:proofErr w:type="spellEnd"/>
      <w:r w:rsidR="001F1C19">
        <w:t xml:space="preserve"> Star</w:t>
      </w:r>
      <w:r w:rsidRPr="000E5786">
        <w:t>; and</w:t>
      </w:r>
    </w:p>
    <w:p w14:paraId="6CD32E8F" w14:textId="77777777" w:rsidR="009D0525" w:rsidRDefault="009D0525" w:rsidP="009D0525">
      <w:pPr>
        <w:pStyle w:val="Heading3"/>
        <w:numPr>
          <w:ilvl w:val="2"/>
          <w:numId w:val="43"/>
        </w:numPr>
      </w:pPr>
      <w:r>
        <w:t xml:space="preserve">listen </w:t>
      </w:r>
      <w:r w:rsidRPr="000E5786">
        <w:t xml:space="preserve">to proposals from the Supplier for new technology/tools and review and approve/reject systems architecture </w:t>
      </w:r>
      <w:proofErr w:type="gramStart"/>
      <w:r w:rsidRPr="000E5786">
        <w:t>designs</w:t>
      </w:r>
      <w:proofErr w:type="gramEnd"/>
    </w:p>
    <w:p w14:paraId="08A99B06" w14:textId="4DD6C3F3" w:rsidR="009D0525" w:rsidRDefault="0095745D" w:rsidP="009D0525">
      <w:pPr>
        <w:pStyle w:val="Heading2"/>
        <w:numPr>
          <w:ilvl w:val="1"/>
          <w:numId w:val="43"/>
        </w:numPr>
      </w:pPr>
      <w:r w:rsidRPr="009D0525">
        <w:t xml:space="preserve">The charter for the Technical Design Authority shall be set by </w:t>
      </w:r>
      <w:proofErr w:type="spellStart"/>
      <w:r w:rsidR="001F1C19">
        <w:t>Netlink</w:t>
      </w:r>
      <w:proofErr w:type="spellEnd"/>
      <w:r w:rsidR="001F1C19">
        <w:t xml:space="preserve"> Star</w:t>
      </w:r>
      <w:r w:rsidRPr="009D0525">
        <w:t xml:space="preserve"> and agreed with the Supplier and will contain at a minimum those items listed in Paragraph </w:t>
      </w:r>
      <w:r w:rsidRPr="009D0525">
        <w:fldChar w:fldCharType="begin"/>
      </w:r>
      <w:r w:rsidRPr="009D0525">
        <w:instrText xml:space="preserve"> REF _Ref79749240 \r \h  \* MERGEFORMAT </w:instrText>
      </w:r>
      <w:r w:rsidRPr="009D0525">
        <w:fldChar w:fldCharType="separate"/>
      </w:r>
      <w:r w:rsidR="00B62F1A" w:rsidRPr="009D0525">
        <w:t>6.1</w:t>
      </w:r>
      <w:r w:rsidRPr="009D0525">
        <w:fldChar w:fldCharType="end"/>
      </w:r>
      <w:r w:rsidRPr="009D0525">
        <w:t xml:space="preserve"> and with the Charter in Annex </w:t>
      </w:r>
      <w:r w:rsidR="00B62F1A" w:rsidRPr="009D0525">
        <w:t>8.</w:t>
      </w:r>
      <w:r w:rsidRPr="009D0525">
        <w:t>1</w:t>
      </w:r>
      <w:r w:rsidR="00B62F1A" w:rsidRPr="009D0525">
        <w:t>A</w:t>
      </w:r>
      <w:r w:rsidRPr="009D0525">
        <w:t>.</w:t>
      </w:r>
    </w:p>
    <w:p w14:paraId="5E935819" w14:textId="432824A2" w:rsidR="0095745D" w:rsidRPr="009D0525" w:rsidRDefault="001F1C19" w:rsidP="009D0525">
      <w:pPr>
        <w:pStyle w:val="Heading2"/>
        <w:numPr>
          <w:ilvl w:val="1"/>
          <w:numId w:val="43"/>
        </w:numPr>
      </w:pPr>
      <w:proofErr w:type="spellStart"/>
      <w:r>
        <w:rPr>
          <w:rFonts w:cs="Arial"/>
          <w:szCs w:val="20"/>
        </w:rPr>
        <w:t>Netlink</w:t>
      </w:r>
      <w:proofErr w:type="spellEnd"/>
      <w:r>
        <w:rPr>
          <w:rFonts w:cs="Arial"/>
          <w:szCs w:val="20"/>
        </w:rPr>
        <w:t xml:space="preserve"> Star</w:t>
      </w:r>
      <w:r w:rsidR="0095745D" w:rsidRPr="009D0525">
        <w:rPr>
          <w:rFonts w:cs="Arial"/>
          <w:szCs w:val="20"/>
        </w:rPr>
        <w:t xml:space="preserve"> shall be responsible for setting up Technical Design Authority meetings, maintaining and finalising the charter with the Supplier and agreeing the participants.</w:t>
      </w:r>
    </w:p>
    <w:p w14:paraId="078FF8A2" w14:textId="77777777" w:rsidR="009D0525" w:rsidRDefault="0095745D" w:rsidP="009D0525">
      <w:pPr>
        <w:pStyle w:val="Heading1"/>
        <w:numPr>
          <w:ilvl w:val="0"/>
          <w:numId w:val="43"/>
        </w:numPr>
        <w:spacing w:after="120"/>
        <w:rPr>
          <w:rFonts w:cs="Arial"/>
          <w:szCs w:val="20"/>
        </w:rPr>
      </w:pPr>
      <w:r w:rsidRPr="00C6649F">
        <w:rPr>
          <w:rFonts w:cs="Arial"/>
          <w:szCs w:val="20"/>
        </w:rPr>
        <w:lastRenderedPageBreak/>
        <w:t>Project Governance: Data Centre Portfolio Board</w:t>
      </w:r>
    </w:p>
    <w:p w14:paraId="17E2A5BF" w14:textId="10E83E76" w:rsidR="0095745D" w:rsidRDefault="0095745D" w:rsidP="009D0525">
      <w:pPr>
        <w:pStyle w:val="Heading2"/>
        <w:numPr>
          <w:ilvl w:val="1"/>
          <w:numId w:val="43"/>
        </w:numPr>
        <w:spacing w:after="120"/>
        <w:rPr>
          <w:rFonts w:cs="Arial"/>
          <w:szCs w:val="20"/>
        </w:rPr>
      </w:pPr>
      <w:r w:rsidRPr="009D0525">
        <w:rPr>
          <w:rFonts w:cs="Arial"/>
          <w:szCs w:val="20"/>
        </w:rPr>
        <w:t>The Data Centre Portfolio Board shall:</w:t>
      </w:r>
    </w:p>
    <w:p w14:paraId="0845B899" w14:textId="76122F25" w:rsidR="009D0525" w:rsidRDefault="009D0525" w:rsidP="009D0525">
      <w:pPr>
        <w:pStyle w:val="Heading3"/>
        <w:numPr>
          <w:ilvl w:val="2"/>
          <w:numId w:val="43"/>
        </w:numPr>
      </w:pPr>
      <w:r>
        <w:t>be t</w:t>
      </w:r>
      <w:r w:rsidRPr="000E5786">
        <w:t xml:space="preserve">he single contract and operational group to provide governance of Projects and shall ensure the effective implementation and coordination of, and between Projects, and for the delivery of all new Projects requests in accordance with Schedule 6 by </w:t>
      </w:r>
      <w:proofErr w:type="spellStart"/>
      <w:r w:rsidR="001F1C19">
        <w:t>Netlink</w:t>
      </w:r>
      <w:proofErr w:type="spellEnd"/>
      <w:r w:rsidR="001F1C19">
        <w:t xml:space="preserve"> </w:t>
      </w:r>
      <w:proofErr w:type="gramStart"/>
      <w:r w:rsidR="001F1C19">
        <w:t>Star</w:t>
      </w:r>
      <w:r w:rsidRPr="000E5786">
        <w:t>;</w:t>
      </w:r>
      <w:proofErr w:type="gramEnd"/>
      <w:r w:rsidRPr="000E5786">
        <w:t xml:space="preserve">  </w:t>
      </w:r>
    </w:p>
    <w:p w14:paraId="4C941646" w14:textId="75C76952" w:rsidR="0095745D" w:rsidRDefault="0095745D" w:rsidP="009D0525">
      <w:pPr>
        <w:pStyle w:val="Heading3"/>
        <w:numPr>
          <w:ilvl w:val="2"/>
          <w:numId w:val="43"/>
        </w:numPr>
      </w:pPr>
      <w:r w:rsidRPr="000E5786">
        <w:t xml:space="preserve">meet </w:t>
      </w:r>
      <w:proofErr w:type="gramStart"/>
      <w:r w:rsidRPr="000E5786">
        <w:t>monthly;</w:t>
      </w:r>
      <w:proofErr w:type="gramEnd"/>
    </w:p>
    <w:p w14:paraId="7E206147" w14:textId="5FBAFCF0" w:rsidR="009D0525" w:rsidRDefault="009D0525" w:rsidP="009D0525">
      <w:pPr>
        <w:pStyle w:val="Heading3"/>
        <w:numPr>
          <w:ilvl w:val="2"/>
          <w:numId w:val="43"/>
        </w:numPr>
      </w:pPr>
      <w:r>
        <w:t xml:space="preserve">give </w:t>
      </w:r>
      <w:proofErr w:type="spellStart"/>
      <w:r w:rsidR="001F1C19">
        <w:t>Netlink</w:t>
      </w:r>
      <w:proofErr w:type="spellEnd"/>
      <w:r w:rsidR="001F1C19">
        <w:t xml:space="preserve"> Star</w:t>
      </w:r>
      <w:r w:rsidRPr="000E5786">
        <w:t xml:space="preserve">, and </w:t>
      </w:r>
      <w:proofErr w:type="gramStart"/>
      <w:r w:rsidRPr="000E5786">
        <w:t xml:space="preserve">in particular </w:t>
      </w:r>
      <w:proofErr w:type="spellStart"/>
      <w:r w:rsidR="001F1C19">
        <w:t>Netlink</w:t>
      </w:r>
      <w:proofErr w:type="spellEnd"/>
      <w:proofErr w:type="gramEnd"/>
      <w:r w:rsidR="001F1C19">
        <w:t xml:space="preserve"> Star</w:t>
      </w:r>
      <w:r w:rsidRPr="000E5786">
        <w:t>’s stakeholders, senior level guidance, leadership, and confidence in the overall delivery of the Projects in accordance with Schedule 6 and to ensure that all Projects achieve their planned objectives;</w:t>
      </w:r>
      <w:r>
        <w:t xml:space="preserve"> and</w:t>
      </w:r>
    </w:p>
    <w:p w14:paraId="519E0C22" w14:textId="77777777" w:rsidR="009D0525" w:rsidRDefault="009D0525" w:rsidP="009D0525">
      <w:pPr>
        <w:pStyle w:val="Heading3"/>
        <w:numPr>
          <w:ilvl w:val="2"/>
          <w:numId w:val="43"/>
        </w:numPr>
      </w:pPr>
      <w:r>
        <w:t xml:space="preserve">be </w:t>
      </w:r>
      <w:r w:rsidRPr="000E5786">
        <w:t xml:space="preserve">responsible for the ensuring that the Projects achieve their planned objectives by carrying out the </w:t>
      </w:r>
      <w:proofErr w:type="gramStart"/>
      <w:r w:rsidRPr="000E5786">
        <w:t>following</w:t>
      </w:r>
      <w:proofErr w:type="gramEnd"/>
    </w:p>
    <w:p w14:paraId="1A2F03B0" w14:textId="77777777" w:rsidR="009D0525" w:rsidRDefault="0095745D" w:rsidP="009D0525">
      <w:pPr>
        <w:pStyle w:val="Heading4"/>
        <w:numPr>
          <w:ilvl w:val="3"/>
          <w:numId w:val="43"/>
        </w:numPr>
      </w:pPr>
      <w:r w:rsidRPr="009D0525">
        <w:t xml:space="preserve">monitoring </w:t>
      </w:r>
      <w:r w:rsidR="009D0525">
        <w:t>a</w:t>
      </w:r>
      <w:r w:rsidRPr="009D0525">
        <w:t xml:space="preserve">nd reporting on </w:t>
      </w:r>
      <w:proofErr w:type="gramStart"/>
      <w:r w:rsidRPr="009D0525">
        <w:t>achievements;</w:t>
      </w:r>
      <w:proofErr w:type="gramEnd"/>
    </w:p>
    <w:p w14:paraId="0636AB2F" w14:textId="77777777" w:rsidR="009D0525" w:rsidRDefault="0095745D" w:rsidP="009D0525">
      <w:pPr>
        <w:pStyle w:val="Heading4"/>
        <w:numPr>
          <w:ilvl w:val="3"/>
          <w:numId w:val="43"/>
        </w:numPr>
      </w:pPr>
      <w:r w:rsidRPr="009D0525">
        <w:rPr>
          <w:rFonts w:cs="Arial"/>
          <w:szCs w:val="20"/>
        </w:rPr>
        <w:t xml:space="preserve">managing and mitigating concerns raised by either </w:t>
      </w:r>
      <w:proofErr w:type="gramStart"/>
      <w:r w:rsidRPr="009D0525">
        <w:rPr>
          <w:rFonts w:cs="Arial"/>
          <w:szCs w:val="20"/>
        </w:rPr>
        <w:t>Party;</w:t>
      </w:r>
      <w:proofErr w:type="gramEnd"/>
      <w:r w:rsidRPr="009D0525">
        <w:rPr>
          <w:rFonts w:cs="Arial"/>
          <w:szCs w:val="20"/>
        </w:rPr>
        <w:t xml:space="preserve"> </w:t>
      </w:r>
    </w:p>
    <w:p w14:paraId="0198E420" w14:textId="7A51EA0F" w:rsidR="0095745D" w:rsidRPr="009D0525" w:rsidRDefault="0095745D" w:rsidP="009D0525">
      <w:pPr>
        <w:pStyle w:val="Heading4"/>
        <w:numPr>
          <w:ilvl w:val="3"/>
          <w:numId w:val="43"/>
        </w:numPr>
      </w:pPr>
      <w:r w:rsidRPr="009D0525">
        <w:rPr>
          <w:rFonts w:cs="Arial"/>
          <w:szCs w:val="20"/>
        </w:rPr>
        <w:t xml:space="preserve">managing, monitoring and guiding the delivery of the Initial Transition </w:t>
      </w:r>
      <w:proofErr w:type="gramStart"/>
      <w:r w:rsidRPr="009D0525">
        <w:rPr>
          <w:rFonts w:cs="Arial"/>
          <w:szCs w:val="20"/>
        </w:rPr>
        <w:t>Project;</w:t>
      </w:r>
      <w:proofErr w:type="gramEnd"/>
      <w:r w:rsidRPr="009D0525">
        <w:rPr>
          <w:rFonts w:cs="Arial"/>
          <w:szCs w:val="20"/>
        </w:rPr>
        <w:t xml:space="preserve"> </w:t>
      </w:r>
    </w:p>
    <w:p w14:paraId="338D464C" w14:textId="7AB0619C" w:rsidR="009D0525" w:rsidRPr="009D0525" w:rsidRDefault="009D0525" w:rsidP="009D0525">
      <w:pPr>
        <w:pStyle w:val="Heading4"/>
        <w:numPr>
          <w:ilvl w:val="3"/>
          <w:numId w:val="43"/>
        </w:numPr>
      </w:pPr>
      <w:r>
        <w:t xml:space="preserve">managing, </w:t>
      </w:r>
      <w:proofErr w:type="gramStart"/>
      <w:r w:rsidRPr="000E5786">
        <w:rPr>
          <w:rFonts w:cs="Arial"/>
          <w:szCs w:val="20"/>
        </w:rPr>
        <w:t>monitoring</w:t>
      </w:r>
      <w:proofErr w:type="gramEnd"/>
      <w:r w:rsidRPr="000E5786">
        <w:rPr>
          <w:rFonts w:cs="Arial"/>
          <w:szCs w:val="20"/>
        </w:rPr>
        <w:t xml:space="preserve"> and guiding the delivery of the Migration Project and any interdependencies with the Initial Transition Project</w:t>
      </w:r>
      <w:r>
        <w:rPr>
          <w:rFonts w:cs="Arial"/>
          <w:szCs w:val="20"/>
        </w:rPr>
        <w:t>; and</w:t>
      </w:r>
    </w:p>
    <w:p w14:paraId="58DE5494" w14:textId="77777777" w:rsidR="009D0525" w:rsidRPr="009D0525" w:rsidRDefault="009D0525" w:rsidP="009D0525">
      <w:pPr>
        <w:pStyle w:val="Heading4"/>
        <w:numPr>
          <w:ilvl w:val="3"/>
          <w:numId w:val="43"/>
        </w:numPr>
      </w:pPr>
      <w:r>
        <w:t xml:space="preserve">managing, </w:t>
      </w:r>
      <w:proofErr w:type="gramStart"/>
      <w:r w:rsidRPr="000E5786">
        <w:rPr>
          <w:rFonts w:cs="Arial"/>
          <w:szCs w:val="20"/>
        </w:rPr>
        <w:t>monitoring</w:t>
      </w:r>
      <w:proofErr w:type="gramEnd"/>
      <w:r w:rsidRPr="000E5786">
        <w:rPr>
          <w:rFonts w:cs="Arial"/>
          <w:szCs w:val="20"/>
        </w:rPr>
        <w:t xml:space="preserve"> and guiding the delivery of new Project Add-on Requests using Schedule </w:t>
      </w:r>
      <w:r>
        <w:rPr>
          <w:rFonts w:cs="Arial"/>
          <w:szCs w:val="20"/>
        </w:rPr>
        <w:t>8.</w:t>
      </w:r>
      <w:r w:rsidRPr="000E5786">
        <w:rPr>
          <w:rFonts w:cs="Arial"/>
          <w:szCs w:val="20"/>
        </w:rPr>
        <w:t>2</w:t>
      </w:r>
      <w:r>
        <w:rPr>
          <w:rFonts w:cs="Arial"/>
          <w:szCs w:val="20"/>
        </w:rPr>
        <w:t xml:space="preserve"> (Change Control Procedure)</w:t>
      </w:r>
      <w:r w:rsidRPr="000E5786">
        <w:rPr>
          <w:rFonts w:cs="Arial"/>
          <w:szCs w:val="20"/>
        </w:rPr>
        <w:t xml:space="preserve"> and in accordance with Schedule 6</w:t>
      </w:r>
    </w:p>
    <w:p w14:paraId="393F106D" w14:textId="77777777" w:rsidR="009D0525" w:rsidRDefault="0095745D" w:rsidP="009D0525">
      <w:pPr>
        <w:pStyle w:val="Heading2"/>
        <w:numPr>
          <w:ilvl w:val="1"/>
          <w:numId w:val="43"/>
        </w:numPr>
      </w:pPr>
      <w:r w:rsidRPr="009D0525">
        <w:t xml:space="preserve">The charter for the Data Centre Portfolio Board shall be agreed with the Supplier and will contain at a minimum those items listed the Programme and Project Delivery charter in Annex </w:t>
      </w:r>
      <w:r w:rsidR="00B27F59" w:rsidRPr="009D0525">
        <w:t>8.</w:t>
      </w:r>
      <w:r w:rsidRPr="009D0525">
        <w:t>1</w:t>
      </w:r>
      <w:r w:rsidR="00B27F59" w:rsidRPr="009D0525">
        <w:t>A</w:t>
      </w:r>
      <w:r w:rsidRPr="009D0525">
        <w:t>.</w:t>
      </w:r>
    </w:p>
    <w:p w14:paraId="1C67C37D" w14:textId="23865C0E" w:rsidR="0095745D" w:rsidRPr="009D0525" w:rsidRDefault="0095745D" w:rsidP="009D0525">
      <w:pPr>
        <w:pStyle w:val="Heading2"/>
        <w:numPr>
          <w:ilvl w:val="1"/>
          <w:numId w:val="43"/>
        </w:numPr>
      </w:pPr>
      <w:r w:rsidRPr="009D0525">
        <w:rPr>
          <w:rFonts w:cs="Arial"/>
          <w:szCs w:val="20"/>
        </w:rPr>
        <w:t xml:space="preserve">Supplier shall be responsible for setting up Data Centre Portfolio Board meetings, maintaining and finalising the charter with </w:t>
      </w:r>
      <w:proofErr w:type="spellStart"/>
      <w:r w:rsidR="001F1C19">
        <w:rPr>
          <w:rFonts w:cs="Arial"/>
          <w:szCs w:val="20"/>
        </w:rPr>
        <w:t>Netlink</w:t>
      </w:r>
      <w:proofErr w:type="spellEnd"/>
      <w:r w:rsidR="001F1C19">
        <w:rPr>
          <w:rFonts w:cs="Arial"/>
          <w:szCs w:val="20"/>
        </w:rPr>
        <w:t xml:space="preserve"> Star</w:t>
      </w:r>
      <w:r w:rsidRPr="009D0525">
        <w:rPr>
          <w:rFonts w:cs="Arial"/>
          <w:szCs w:val="20"/>
        </w:rPr>
        <w:t xml:space="preserve"> and agreeing the participants.</w:t>
      </w:r>
    </w:p>
    <w:p w14:paraId="726A850F" w14:textId="77777777" w:rsidR="00547D8A" w:rsidRDefault="0095745D" w:rsidP="00547D8A">
      <w:pPr>
        <w:pStyle w:val="Heading1"/>
        <w:numPr>
          <w:ilvl w:val="0"/>
          <w:numId w:val="43"/>
        </w:numPr>
        <w:spacing w:after="120"/>
        <w:rPr>
          <w:rFonts w:cs="Arial"/>
          <w:szCs w:val="20"/>
        </w:rPr>
      </w:pPr>
      <w:r w:rsidRPr="00C6649F">
        <w:rPr>
          <w:rFonts w:cs="Arial"/>
          <w:szCs w:val="20"/>
        </w:rPr>
        <w:t>Project Governance: Project Delivery Meeting</w:t>
      </w:r>
      <w:bookmarkStart w:id="2361" w:name="_Ref79749938"/>
    </w:p>
    <w:p w14:paraId="7FC59423" w14:textId="77777777" w:rsidR="00547D8A" w:rsidRDefault="0095745D" w:rsidP="00547D8A">
      <w:pPr>
        <w:pStyle w:val="Heading2"/>
        <w:numPr>
          <w:ilvl w:val="1"/>
          <w:numId w:val="43"/>
        </w:numPr>
        <w:spacing w:after="120"/>
        <w:rPr>
          <w:rFonts w:cs="Arial"/>
          <w:szCs w:val="20"/>
        </w:rPr>
      </w:pPr>
      <w:r w:rsidRPr="00547D8A">
        <w:rPr>
          <w:rFonts w:cs="Arial"/>
          <w:szCs w:val="20"/>
        </w:rPr>
        <w:t>The Project Delivery Meeting</w:t>
      </w:r>
      <w:r w:rsidRPr="00547D8A">
        <w:rPr>
          <w:rFonts w:cs="Arial"/>
          <w:b/>
          <w:bCs w:val="0"/>
          <w:szCs w:val="20"/>
        </w:rPr>
        <w:t xml:space="preserve"> </w:t>
      </w:r>
      <w:r w:rsidRPr="00547D8A">
        <w:rPr>
          <w:rFonts w:cs="Arial"/>
          <w:szCs w:val="20"/>
        </w:rPr>
        <w:t>shall:</w:t>
      </w:r>
      <w:bookmarkEnd w:id="2361"/>
    </w:p>
    <w:p w14:paraId="0B1D7A61" w14:textId="77777777" w:rsidR="00547D8A" w:rsidRDefault="0095745D" w:rsidP="00547D8A">
      <w:pPr>
        <w:pStyle w:val="Heading3"/>
        <w:numPr>
          <w:ilvl w:val="2"/>
          <w:numId w:val="43"/>
        </w:numPr>
      </w:pPr>
      <w:r w:rsidRPr="000E5786">
        <w:t xml:space="preserve">provide project team review governance in accordance with Schedule 6 for each Project: </w:t>
      </w:r>
    </w:p>
    <w:p w14:paraId="314631A8" w14:textId="748648E5" w:rsidR="00547D8A" w:rsidRDefault="0095745D" w:rsidP="00547D8A">
      <w:pPr>
        <w:pStyle w:val="Heading3"/>
        <w:numPr>
          <w:ilvl w:val="2"/>
          <w:numId w:val="43"/>
        </w:numPr>
      </w:pPr>
      <w:r w:rsidRPr="000E5786">
        <w:t xml:space="preserve">meet weekly or as needed by the Supplier and agreed with </w:t>
      </w:r>
      <w:proofErr w:type="spellStart"/>
      <w:r w:rsidR="001F1C19">
        <w:t>Netlink</w:t>
      </w:r>
      <w:proofErr w:type="spellEnd"/>
      <w:r w:rsidR="001F1C19">
        <w:t xml:space="preserve"> Star</w:t>
      </w:r>
      <w:r w:rsidRPr="000E5786">
        <w:t>.</w:t>
      </w:r>
    </w:p>
    <w:p w14:paraId="7CA68847" w14:textId="77777777" w:rsidR="00547D8A" w:rsidRDefault="0095745D" w:rsidP="00547D8A">
      <w:pPr>
        <w:pStyle w:val="Heading3"/>
        <w:numPr>
          <w:ilvl w:val="2"/>
          <w:numId w:val="43"/>
        </w:numPr>
      </w:pPr>
      <w:r w:rsidRPr="000E5786">
        <w:t>manage the project delivery team and feed progress into the Data Centre Portfolio Board; and</w:t>
      </w:r>
    </w:p>
    <w:p w14:paraId="78C64F67" w14:textId="77777777" w:rsidR="00547D8A" w:rsidRDefault="0095745D" w:rsidP="00547D8A">
      <w:pPr>
        <w:pStyle w:val="Heading3"/>
        <w:numPr>
          <w:ilvl w:val="2"/>
          <w:numId w:val="43"/>
        </w:numPr>
      </w:pPr>
      <w:r w:rsidRPr="000E5786">
        <w:t>track and report on:</w:t>
      </w:r>
    </w:p>
    <w:p w14:paraId="3BB48B1A" w14:textId="77777777" w:rsidR="00547D8A" w:rsidRDefault="0095745D" w:rsidP="00547D8A">
      <w:pPr>
        <w:pStyle w:val="Heading4"/>
        <w:numPr>
          <w:ilvl w:val="3"/>
          <w:numId w:val="43"/>
        </w:numPr>
      </w:pPr>
      <w:r w:rsidRPr="00547D8A">
        <w:t>milestone delivery; including contract performance point (CPP) Milestones</w:t>
      </w:r>
    </w:p>
    <w:p w14:paraId="08671DF0" w14:textId="77777777" w:rsidR="00547D8A" w:rsidRDefault="0095745D" w:rsidP="00547D8A">
      <w:pPr>
        <w:pStyle w:val="Heading4"/>
        <w:numPr>
          <w:ilvl w:val="3"/>
          <w:numId w:val="43"/>
        </w:numPr>
      </w:pPr>
      <w:r w:rsidRPr="00547D8A">
        <w:rPr>
          <w:rFonts w:cs="Arial"/>
          <w:szCs w:val="20"/>
        </w:rPr>
        <w:t xml:space="preserve">safety matters and monitoring compliance with all </w:t>
      </w:r>
      <w:proofErr w:type="gramStart"/>
      <w:r w:rsidRPr="00547D8A">
        <w:rPr>
          <w:rFonts w:cs="Arial"/>
          <w:szCs w:val="20"/>
        </w:rPr>
        <w:t>Standards;</w:t>
      </w:r>
      <w:proofErr w:type="gramEnd"/>
    </w:p>
    <w:p w14:paraId="4EE5F68F" w14:textId="77777777" w:rsidR="00547D8A" w:rsidRDefault="0095745D" w:rsidP="00547D8A">
      <w:pPr>
        <w:pStyle w:val="Heading4"/>
        <w:numPr>
          <w:ilvl w:val="3"/>
          <w:numId w:val="43"/>
        </w:numPr>
      </w:pPr>
      <w:r w:rsidRPr="00547D8A">
        <w:rPr>
          <w:rFonts w:cs="Arial"/>
          <w:szCs w:val="20"/>
        </w:rPr>
        <w:t xml:space="preserve">risks, issues, assumptions, dependencies and </w:t>
      </w:r>
      <w:proofErr w:type="gramStart"/>
      <w:r w:rsidRPr="00547D8A">
        <w:rPr>
          <w:rFonts w:cs="Arial"/>
          <w:szCs w:val="20"/>
        </w:rPr>
        <w:t>opportunities;</w:t>
      </w:r>
      <w:proofErr w:type="gramEnd"/>
    </w:p>
    <w:p w14:paraId="18AE6149" w14:textId="77777777" w:rsidR="00547D8A" w:rsidRDefault="0095745D" w:rsidP="00547D8A">
      <w:pPr>
        <w:pStyle w:val="Heading4"/>
        <w:numPr>
          <w:ilvl w:val="3"/>
          <w:numId w:val="43"/>
        </w:numPr>
      </w:pPr>
      <w:r w:rsidRPr="00547D8A">
        <w:rPr>
          <w:rFonts w:cs="Arial"/>
          <w:szCs w:val="20"/>
        </w:rPr>
        <w:t>progress and providing guidance on progress of the Project delivery and changes; and</w:t>
      </w:r>
    </w:p>
    <w:p w14:paraId="2490B6D4" w14:textId="77777777" w:rsidR="00547D8A" w:rsidRPr="00547D8A" w:rsidRDefault="0095745D" w:rsidP="00547D8A">
      <w:pPr>
        <w:pStyle w:val="Heading4"/>
        <w:numPr>
          <w:ilvl w:val="3"/>
          <w:numId w:val="43"/>
        </w:numPr>
      </w:pPr>
      <w:r w:rsidRPr="00547D8A">
        <w:rPr>
          <w:rFonts w:cs="Arial"/>
          <w:szCs w:val="20"/>
        </w:rPr>
        <w:t xml:space="preserve">budget, charges, </w:t>
      </w:r>
      <w:proofErr w:type="gramStart"/>
      <w:r w:rsidRPr="00547D8A">
        <w:rPr>
          <w:rFonts w:cs="Arial"/>
          <w:szCs w:val="20"/>
        </w:rPr>
        <w:t>payments</w:t>
      </w:r>
      <w:proofErr w:type="gramEnd"/>
      <w:r w:rsidRPr="00547D8A">
        <w:rPr>
          <w:rFonts w:cs="Arial"/>
          <w:szCs w:val="20"/>
        </w:rPr>
        <w:t xml:space="preserve"> and commercial elements of the Project.</w:t>
      </w:r>
    </w:p>
    <w:p w14:paraId="285EA70A" w14:textId="77777777" w:rsidR="00547D8A" w:rsidRDefault="0095745D" w:rsidP="00547D8A">
      <w:pPr>
        <w:pStyle w:val="Heading2"/>
        <w:numPr>
          <w:ilvl w:val="1"/>
          <w:numId w:val="43"/>
        </w:numPr>
      </w:pPr>
      <w:r w:rsidRPr="00547D8A">
        <w:t xml:space="preserve">The charter for the Project Delivery Meeting shall be agreed with the Supplier and will contain at a minimum those items listed in Paragraph </w:t>
      </w:r>
      <w:r w:rsidRPr="00547D8A">
        <w:fldChar w:fldCharType="begin"/>
      </w:r>
      <w:r w:rsidRPr="00547D8A">
        <w:instrText xml:space="preserve"> REF _Ref79749938 \r \h  \* MERGEFORMAT </w:instrText>
      </w:r>
      <w:r w:rsidRPr="00547D8A">
        <w:fldChar w:fldCharType="separate"/>
      </w:r>
      <w:r w:rsidR="00B27F59" w:rsidRPr="00547D8A">
        <w:t>8.1</w:t>
      </w:r>
      <w:r w:rsidRPr="00547D8A">
        <w:fldChar w:fldCharType="end"/>
      </w:r>
      <w:r w:rsidRPr="00547D8A">
        <w:t xml:space="preserve"> and with the </w:t>
      </w:r>
      <w:r w:rsidR="00B27F59" w:rsidRPr="00547D8A">
        <w:t xml:space="preserve">charter </w:t>
      </w:r>
      <w:r w:rsidRPr="00547D8A">
        <w:t xml:space="preserve">in Annex </w:t>
      </w:r>
      <w:r w:rsidR="00B27F59" w:rsidRPr="00547D8A">
        <w:t>8.</w:t>
      </w:r>
      <w:r w:rsidRPr="00547D8A">
        <w:t>1</w:t>
      </w:r>
      <w:r w:rsidR="00B27F59" w:rsidRPr="00547D8A">
        <w:t>A</w:t>
      </w:r>
      <w:r w:rsidRPr="00547D8A">
        <w:t>.</w:t>
      </w:r>
    </w:p>
    <w:p w14:paraId="1A0D7B5A" w14:textId="5EA761CA" w:rsidR="00547D8A" w:rsidRPr="00547D8A" w:rsidRDefault="0095745D" w:rsidP="00547D8A">
      <w:pPr>
        <w:pStyle w:val="Heading2"/>
        <w:numPr>
          <w:ilvl w:val="1"/>
          <w:numId w:val="43"/>
        </w:numPr>
      </w:pPr>
      <w:r w:rsidRPr="00547D8A">
        <w:rPr>
          <w:rFonts w:cs="Arial"/>
          <w:szCs w:val="20"/>
        </w:rPr>
        <w:t xml:space="preserve">Supplier shall be responsible for setting up Project Delivery meetings, maintaining and finalising the charter with </w:t>
      </w:r>
      <w:proofErr w:type="spellStart"/>
      <w:r w:rsidR="001F1C19">
        <w:rPr>
          <w:rFonts w:cs="Arial"/>
          <w:szCs w:val="20"/>
        </w:rPr>
        <w:t>Netlink</w:t>
      </w:r>
      <w:proofErr w:type="spellEnd"/>
      <w:r w:rsidR="001F1C19">
        <w:rPr>
          <w:rFonts w:cs="Arial"/>
          <w:szCs w:val="20"/>
        </w:rPr>
        <w:t xml:space="preserve"> Star</w:t>
      </w:r>
      <w:r w:rsidRPr="00547D8A">
        <w:rPr>
          <w:rFonts w:cs="Arial"/>
          <w:szCs w:val="20"/>
        </w:rPr>
        <w:t xml:space="preserve"> and agreeing the participants.</w:t>
      </w:r>
    </w:p>
    <w:p w14:paraId="2110EE60" w14:textId="77777777" w:rsidR="00547D8A" w:rsidRPr="00547D8A" w:rsidRDefault="0095745D" w:rsidP="00547D8A">
      <w:pPr>
        <w:pStyle w:val="Heading1"/>
        <w:numPr>
          <w:ilvl w:val="0"/>
          <w:numId w:val="43"/>
        </w:numPr>
        <w:rPr>
          <w:rFonts w:cs="Times New Roman"/>
          <w:szCs w:val="28"/>
        </w:rPr>
      </w:pPr>
      <w:r w:rsidRPr="00547D8A">
        <w:lastRenderedPageBreak/>
        <w:t>Escalation process</w:t>
      </w:r>
      <w:r w:rsidR="00547D8A" w:rsidRPr="00547D8A">
        <w:rPr>
          <w:rFonts w:cs="Arial"/>
          <w:szCs w:val="20"/>
        </w:rPr>
        <w:t xml:space="preserve"> </w:t>
      </w:r>
      <w:bookmarkStart w:id="2362" w:name="_Ref80179619"/>
    </w:p>
    <w:p w14:paraId="28961267" w14:textId="77777777" w:rsidR="00547D8A" w:rsidRDefault="0095745D" w:rsidP="00547D8A">
      <w:pPr>
        <w:pStyle w:val="Heading2"/>
        <w:numPr>
          <w:ilvl w:val="1"/>
          <w:numId w:val="43"/>
        </w:numPr>
      </w:pPr>
      <w:r w:rsidRPr="00547D8A">
        <w:rPr>
          <w:rFonts w:cs="Arial"/>
          <w:szCs w:val="20"/>
        </w:rPr>
        <w:t xml:space="preserve">Subject to </w:t>
      </w:r>
      <w:r w:rsidR="00B27F59" w:rsidRPr="00547D8A">
        <w:rPr>
          <w:rFonts w:cs="Arial"/>
          <w:szCs w:val="20"/>
        </w:rPr>
        <w:t xml:space="preserve">Paragraph </w:t>
      </w:r>
      <w:r w:rsidRPr="00547D8A">
        <w:rPr>
          <w:rFonts w:cs="Arial"/>
          <w:szCs w:val="20"/>
        </w:rPr>
        <w:fldChar w:fldCharType="begin"/>
      </w:r>
      <w:r w:rsidRPr="00547D8A">
        <w:rPr>
          <w:rFonts w:cs="Arial"/>
          <w:szCs w:val="20"/>
        </w:rPr>
        <w:instrText xml:space="preserve"> REF _Ref80179620 \r \h </w:instrText>
      </w:r>
      <w:r w:rsidR="00182C80" w:rsidRPr="00547D8A">
        <w:rPr>
          <w:rFonts w:cs="Arial"/>
          <w:szCs w:val="20"/>
        </w:rPr>
        <w:instrText xml:space="preserve"> \* MERGEFORMAT </w:instrText>
      </w:r>
      <w:r w:rsidRPr="00547D8A">
        <w:rPr>
          <w:rFonts w:cs="Arial"/>
          <w:szCs w:val="20"/>
        </w:rPr>
      </w:r>
      <w:r w:rsidRPr="00547D8A">
        <w:rPr>
          <w:rFonts w:cs="Arial"/>
          <w:szCs w:val="20"/>
        </w:rPr>
        <w:fldChar w:fldCharType="separate"/>
      </w:r>
      <w:r w:rsidR="00B27F59" w:rsidRPr="00547D8A">
        <w:rPr>
          <w:rFonts w:cs="Arial"/>
          <w:szCs w:val="20"/>
        </w:rPr>
        <w:t>9.2</w:t>
      </w:r>
      <w:r w:rsidRPr="00547D8A">
        <w:rPr>
          <w:rFonts w:cs="Arial"/>
          <w:szCs w:val="20"/>
        </w:rPr>
        <w:fldChar w:fldCharType="end"/>
      </w:r>
      <w:r w:rsidRPr="00547D8A">
        <w:rPr>
          <w:rFonts w:cs="Arial"/>
          <w:szCs w:val="20"/>
        </w:rPr>
        <w:t>, issues occurring within the Services shall be raised and resolved in the first instance within the relevant governance group where possible.</w:t>
      </w:r>
      <w:bookmarkStart w:id="2363" w:name="_Ref80179620"/>
      <w:bookmarkEnd w:id="2362"/>
    </w:p>
    <w:p w14:paraId="6B68E487" w14:textId="26A9229E" w:rsidR="006B164D" w:rsidRDefault="0095745D" w:rsidP="006B164D">
      <w:pPr>
        <w:pStyle w:val="Heading2"/>
        <w:numPr>
          <w:ilvl w:val="1"/>
          <w:numId w:val="43"/>
        </w:numPr>
      </w:pPr>
      <w:r w:rsidRPr="00547D8A">
        <w:rPr>
          <w:rFonts w:cs="Arial"/>
          <w:szCs w:val="20"/>
        </w:rPr>
        <w:t xml:space="preserve">Issues occurring with Other Suppliers shall in the first instance be addressed by Supplier and the applicable Other Supplier(s) (minimising </w:t>
      </w:r>
      <w:proofErr w:type="spellStart"/>
      <w:r w:rsidR="001F1C19">
        <w:rPr>
          <w:rFonts w:cs="Arial"/>
          <w:szCs w:val="20"/>
        </w:rPr>
        <w:t>Netlink</w:t>
      </w:r>
      <w:proofErr w:type="spellEnd"/>
      <w:r w:rsidR="001F1C19">
        <w:rPr>
          <w:rFonts w:cs="Arial"/>
          <w:szCs w:val="20"/>
        </w:rPr>
        <w:t xml:space="preserve"> Star</w:t>
      </w:r>
      <w:r w:rsidRPr="00547D8A">
        <w:rPr>
          <w:rFonts w:cs="Arial"/>
          <w:szCs w:val="20"/>
        </w:rPr>
        <w:t xml:space="preserve">’s involvement to the extent deemed appropriate by </w:t>
      </w:r>
      <w:proofErr w:type="spellStart"/>
      <w:r w:rsidR="001F1C19">
        <w:rPr>
          <w:rFonts w:cs="Arial"/>
          <w:szCs w:val="20"/>
        </w:rPr>
        <w:t>Netlink</w:t>
      </w:r>
      <w:proofErr w:type="spellEnd"/>
      <w:r w:rsidR="001F1C19">
        <w:rPr>
          <w:rFonts w:cs="Arial"/>
          <w:szCs w:val="20"/>
        </w:rPr>
        <w:t xml:space="preserve"> Star</w:t>
      </w:r>
      <w:r w:rsidRPr="00547D8A">
        <w:rPr>
          <w:rFonts w:cs="Arial"/>
          <w:szCs w:val="20"/>
        </w:rPr>
        <w:t xml:space="preserve">) in accordance with Paragraph </w:t>
      </w:r>
      <w:r w:rsidRPr="00547D8A">
        <w:rPr>
          <w:rFonts w:cs="Arial"/>
          <w:szCs w:val="20"/>
        </w:rPr>
        <w:fldChar w:fldCharType="begin"/>
      </w:r>
      <w:r w:rsidRPr="00547D8A">
        <w:rPr>
          <w:rFonts w:cs="Arial"/>
          <w:szCs w:val="20"/>
        </w:rPr>
        <w:instrText xml:space="preserve"> REF _Ref79755578 \r \h  \* MERGEFORMAT </w:instrText>
      </w:r>
      <w:r w:rsidRPr="00547D8A">
        <w:rPr>
          <w:rFonts w:cs="Arial"/>
          <w:szCs w:val="20"/>
        </w:rPr>
      </w:r>
      <w:r w:rsidRPr="00547D8A">
        <w:rPr>
          <w:rFonts w:cs="Arial"/>
          <w:szCs w:val="20"/>
        </w:rPr>
        <w:fldChar w:fldCharType="separate"/>
      </w:r>
      <w:r w:rsidR="00B27F59" w:rsidRPr="00547D8A">
        <w:rPr>
          <w:rFonts w:cs="Arial"/>
          <w:szCs w:val="20"/>
        </w:rPr>
        <w:t>2</w:t>
      </w:r>
      <w:r w:rsidRPr="00547D8A">
        <w:rPr>
          <w:rFonts w:cs="Arial"/>
          <w:szCs w:val="20"/>
        </w:rPr>
        <w:fldChar w:fldCharType="end"/>
      </w:r>
      <w:r w:rsidRPr="00547D8A">
        <w:rPr>
          <w:rFonts w:cs="Arial"/>
          <w:szCs w:val="20"/>
        </w:rPr>
        <w:t>.</w:t>
      </w:r>
      <w:bookmarkEnd w:id="2363"/>
    </w:p>
    <w:p w14:paraId="73F58DE0" w14:textId="77777777" w:rsidR="008C2F11" w:rsidRPr="006B164D" w:rsidRDefault="0095745D" w:rsidP="006B164D">
      <w:pPr>
        <w:pStyle w:val="Heading2"/>
        <w:numPr>
          <w:ilvl w:val="1"/>
          <w:numId w:val="43"/>
        </w:numPr>
      </w:pPr>
      <w:r w:rsidRPr="006B164D">
        <w:rPr>
          <w:rFonts w:cs="Arial"/>
          <w:szCs w:val="20"/>
        </w:rPr>
        <w:t xml:space="preserve">Failing satisfactory resolution of any issue by the relevant Parties pursuant to </w:t>
      </w:r>
      <w:r w:rsidR="00B27F59" w:rsidRPr="006B164D">
        <w:rPr>
          <w:rFonts w:cs="Arial"/>
          <w:szCs w:val="20"/>
        </w:rPr>
        <w:t xml:space="preserve">Paragraph </w:t>
      </w:r>
      <w:r w:rsidRPr="006B164D">
        <w:rPr>
          <w:rFonts w:cs="Arial"/>
          <w:szCs w:val="20"/>
        </w:rPr>
        <w:fldChar w:fldCharType="begin"/>
      </w:r>
      <w:r w:rsidRPr="006B164D">
        <w:rPr>
          <w:rFonts w:cs="Arial"/>
          <w:szCs w:val="20"/>
        </w:rPr>
        <w:instrText xml:space="preserve"> REF _Ref80179619 \r \h </w:instrText>
      </w:r>
      <w:r w:rsidR="00182C80" w:rsidRPr="006B164D">
        <w:rPr>
          <w:rFonts w:cs="Arial"/>
          <w:szCs w:val="20"/>
        </w:rPr>
        <w:instrText xml:space="preserve"> \* MERGEFORMAT </w:instrText>
      </w:r>
      <w:r w:rsidRPr="006B164D">
        <w:rPr>
          <w:rFonts w:cs="Arial"/>
          <w:szCs w:val="20"/>
        </w:rPr>
      </w:r>
      <w:r w:rsidRPr="006B164D">
        <w:rPr>
          <w:rFonts w:cs="Arial"/>
          <w:szCs w:val="20"/>
        </w:rPr>
        <w:fldChar w:fldCharType="separate"/>
      </w:r>
      <w:r w:rsidR="00B27F59" w:rsidRPr="006B164D">
        <w:rPr>
          <w:rFonts w:cs="Arial"/>
          <w:szCs w:val="20"/>
        </w:rPr>
        <w:t>9.1</w:t>
      </w:r>
      <w:r w:rsidRPr="006B164D">
        <w:rPr>
          <w:rFonts w:cs="Arial"/>
          <w:szCs w:val="20"/>
        </w:rPr>
        <w:fldChar w:fldCharType="end"/>
      </w:r>
      <w:r w:rsidRPr="006B164D">
        <w:rPr>
          <w:rFonts w:cs="Arial"/>
          <w:szCs w:val="20"/>
        </w:rPr>
        <w:t xml:space="preserve"> or </w:t>
      </w:r>
      <w:r w:rsidRPr="006B164D">
        <w:rPr>
          <w:rFonts w:cs="Arial"/>
          <w:szCs w:val="20"/>
        </w:rPr>
        <w:fldChar w:fldCharType="begin"/>
      </w:r>
      <w:r w:rsidRPr="006B164D">
        <w:rPr>
          <w:rFonts w:cs="Arial"/>
          <w:szCs w:val="20"/>
        </w:rPr>
        <w:instrText xml:space="preserve"> REF _Ref80179620 \r \h </w:instrText>
      </w:r>
      <w:r w:rsidR="00182C80" w:rsidRPr="006B164D">
        <w:rPr>
          <w:rFonts w:cs="Arial"/>
          <w:szCs w:val="20"/>
        </w:rPr>
        <w:instrText xml:space="preserve"> \* MERGEFORMAT </w:instrText>
      </w:r>
      <w:r w:rsidRPr="006B164D">
        <w:rPr>
          <w:rFonts w:cs="Arial"/>
          <w:szCs w:val="20"/>
        </w:rPr>
      </w:r>
      <w:r w:rsidRPr="006B164D">
        <w:rPr>
          <w:rFonts w:cs="Arial"/>
          <w:szCs w:val="20"/>
        </w:rPr>
        <w:fldChar w:fldCharType="separate"/>
      </w:r>
      <w:r w:rsidR="00B27F59" w:rsidRPr="006B164D">
        <w:rPr>
          <w:rFonts w:cs="Arial"/>
          <w:szCs w:val="20"/>
        </w:rPr>
        <w:t>9.2</w:t>
      </w:r>
      <w:r w:rsidRPr="006B164D">
        <w:rPr>
          <w:rFonts w:cs="Arial"/>
          <w:szCs w:val="20"/>
        </w:rPr>
        <w:fldChar w:fldCharType="end"/>
      </w:r>
      <w:r w:rsidRPr="006B164D">
        <w:rPr>
          <w:rFonts w:cs="Arial"/>
          <w:szCs w:val="20"/>
        </w:rPr>
        <w:t xml:space="preserve"> , or if either Party notifies the other that the issue has become a Dispute, the issue or Dispute shall follow the procedure in Schedule 8.3</w:t>
      </w:r>
      <w:r w:rsidR="00C6649F" w:rsidRPr="006B164D">
        <w:rPr>
          <w:rFonts w:cs="Arial"/>
          <w:szCs w:val="20"/>
        </w:rPr>
        <w:t xml:space="preserve"> (Dispute Resolution Procedure). </w:t>
      </w:r>
    </w:p>
    <w:p w14:paraId="476F7776" w14:textId="77777777" w:rsidR="006B164D" w:rsidRDefault="006B164D" w:rsidP="006B164D">
      <w:pPr>
        <w:pStyle w:val="Heading1"/>
        <w:numPr>
          <w:ilvl w:val="0"/>
          <w:numId w:val="0"/>
        </w:numPr>
      </w:pPr>
    </w:p>
    <w:p w14:paraId="68C08038" w14:textId="2811A18D" w:rsidR="006B164D" w:rsidRPr="006B164D" w:rsidRDefault="006B164D" w:rsidP="006B164D">
      <w:pPr>
        <w:pStyle w:val="BodyText"/>
        <w:sectPr w:rsidR="006B164D" w:rsidRPr="006B164D" w:rsidSect="0095745D">
          <w:headerReference w:type="even" r:id="rId69"/>
          <w:headerReference w:type="default" r:id="rId70"/>
          <w:footerReference w:type="even" r:id="rId71"/>
          <w:footerReference w:type="default" r:id="rId72"/>
          <w:headerReference w:type="first" r:id="rId73"/>
          <w:footerReference w:type="first" r:id="rId74"/>
          <w:pgSz w:w="11907" w:h="16840" w:code="9"/>
          <w:pgMar w:top="1418" w:right="1418" w:bottom="1134" w:left="1418" w:header="709" w:footer="709" w:gutter="0"/>
          <w:cols w:space="708"/>
          <w:titlePg/>
          <w:docGrid w:linePitch="360"/>
        </w:sectPr>
      </w:pPr>
    </w:p>
    <w:tbl>
      <w:tblPr>
        <w:tblStyle w:val="TableGrid0"/>
        <w:tblW w:w="5288" w:type="pct"/>
        <w:tblLook w:val="0000" w:firstRow="0" w:lastRow="0" w:firstColumn="0" w:lastColumn="0" w:noHBand="0" w:noVBand="0"/>
      </w:tblPr>
      <w:tblGrid>
        <w:gridCol w:w="2206"/>
        <w:gridCol w:w="10253"/>
        <w:gridCol w:w="2641"/>
      </w:tblGrid>
      <w:tr w:rsidR="006B164D" w:rsidRPr="000E5786" w14:paraId="59DBCC9C" w14:textId="77777777" w:rsidTr="002B7E7A">
        <w:trPr>
          <w:trHeight w:val="521"/>
        </w:trPr>
        <w:tc>
          <w:tcPr>
            <w:tcW w:w="15100" w:type="dxa"/>
            <w:gridSpan w:val="3"/>
            <w:shd w:val="clear" w:color="auto" w:fill="BFBFBF" w:themeFill="background1" w:themeFillShade="BF"/>
          </w:tcPr>
          <w:p w14:paraId="0E57D039" w14:textId="064F1B26" w:rsidR="006B164D" w:rsidRPr="006B164D" w:rsidRDefault="006B164D" w:rsidP="006B164D">
            <w:pPr>
              <w:pStyle w:val="Purpose"/>
              <w:jc w:val="center"/>
              <w:rPr>
                <w:b/>
                <w:bCs w:val="0"/>
                <w:sz w:val="28"/>
                <w:szCs w:val="28"/>
              </w:rPr>
            </w:pPr>
            <w:r w:rsidRPr="006B164D">
              <w:rPr>
                <w:b/>
                <w:bCs w:val="0"/>
                <w:sz w:val="28"/>
                <w:szCs w:val="28"/>
              </w:rPr>
              <w:lastRenderedPageBreak/>
              <w:t>ANNEX 8.1A CHARTER</w:t>
            </w:r>
            <w:r w:rsidR="00735DBE">
              <w:rPr>
                <w:b/>
                <w:bCs w:val="0"/>
                <w:sz w:val="28"/>
                <w:szCs w:val="28"/>
              </w:rPr>
              <w:t>S FOR GOVERNANCE</w:t>
            </w:r>
          </w:p>
        </w:tc>
      </w:tr>
      <w:tr w:rsidR="00182C80" w:rsidRPr="000E5786" w14:paraId="7667A3BA" w14:textId="77777777" w:rsidTr="000B403F">
        <w:trPr>
          <w:trHeight w:val="521"/>
        </w:trPr>
        <w:tc>
          <w:tcPr>
            <w:tcW w:w="2206" w:type="dxa"/>
            <w:shd w:val="clear" w:color="auto" w:fill="BFBFBF" w:themeFill="background1" w:themeFillShade="BF"/>
          </w:tcPr>
          <w:p w14:paraId="751E2EF7" w14:textId="69B90061" w:rsidR="00182C80" w:rsidRPr="000E5786" w:rsidRDefault="00C443FE" w:rsidP="00182C80">
            <w:pPr>
              <w:pStyle w:val="ScheduleTitle"/>
              <w:numPr>
                <w:ilvl w:val="0"/>
                <w:numId w:val="0"/>
              </w:numPr>
              <w:jc w:val="both"/>
              <w:rPr>
                <w:rFonts w:ascii="Arial" w:hAnsi="Arial" w:cs="Arial"/>
                <w:sz w:val="20"/>
                <w:szCs w:val="20"/>
              </w:rPr>
            </w:pPr>
            <w:r w:rsidRPr="000E5786">
              <w:rPr>
                <w:rFonts w:ascii="Arial" w:hAnsi="Arial" w:cs="Arial"/>
                <w:caps w:val="0"/>
                <w:sz w:val="20"/>
                <w:szCs w:val="20"/>
              </w:rPr>
              <w:t>Charter</w:t>
            </w:r>
          </w:p>
        </w:tc>
        <w:tc>
          <w:tcPr>
            <w:tcW w:w="12894" w:type="dxa"/>
            <w:gridSpan w:val="2"/>
            <w:shd w:val="clear" w:color="auto" w:fill="BFBFBF" w:themeFill="background1" w:themeFillShade="BF"/>
          </w:tcPr>
          <w:p w14:paraId="439FF7FB" w14:textId="4B7D40E6" w:rsidR="00182C80" w:rsidRDefault="00C443FE" w:rsidP="0023281D">
            <w:pPr>
              <w:pStyle w:val="Purpose"/>
              <w:rPr>
                <w:rFonts w:ascii="Arial" w:hAnsi="Arial"/>
                <w:b/>
                <w:bCs w:val="0"/>
                <w:sz w:val="20"/>
              </w:rPr>
            </w:pPr>
            <w:r w:rsidRPr="000E5786">
              <w:rPr>
                <w:rFonts w:ascii="Arial" w:hAnsi="Arial"/>
                <w:b/>
                <w:bCs w:val="0"/>
                <w:sz w:val="20"/>
              </w:rPr>
              <w:t xml:space="preserve">Executive Board </w:t>
            </w:r>
          </w:p>
          <w:p w14:paraId="21FCB2E4" w14:textId="3213FB64" w:rsidR="006B164D" w:rsidRPr="000E5786" w:rsidRDefault="006B164D" w:rsidP="0023281D">
            <w:pPr>
              <w:pStyle w:val="Purpose"/>
              <w:rPr>
                <w:rFonts w:ascii="Arial" w:hAnsi="Arial"/>
                <w:b/>
                <w:bCs w:val="0"/>
                <w:sz w:val="20"/>
              </w:rPr>
            </w:pPr>
          </w:p>
        </w:tc>
      </w:tr>
      <w:tr w:rsidR="00182C80" w:rsidRPr="000E5786" w14:paraId="308A0848" w14:textId="77777777" w:rsidTr="000B403F">
        <w:trPr>
          <w:trHeight w:val="778"/>
        </w:trPr>
        <w:tc>
          <w:tcPr>
            <w:tcW w:w="2206" w:type="dxa"/>
          </w:tcPr>
          <w:p w14:paraId="758F710D" w14:textId="77777777" w:rsidR="00182C80" w:rsidRPr="000E5786" w:rsidRDefault="00182C80" w:rsidP="00182C80">
            <w:pPr>
              <w:pStyle w:val="ScheduleTitle"/>
              <w:numPr>
                <w:ilvl w:val="0"/>
                <w:numId w:val="0"/>
              </w:numPr>
              <w:jc w:val="both"/>
              <w:rPr>
                <w:rFonts w:ascii="Arial" w:hAnsi="Arial" w:cs="Arial"/>
                <w:sz w:val="20"/>
                <w:szCs w:val="20"/>
              </w:rPr>
            </w:pPr>
            <w:r w:rsidRPr="000E5786">
              <w:rPr>
                <w:rFonts w:ascii="Arial" w:hAnsi="Arial" w:cs="Arial"/>
                <w:sz w:val="20"/>
                <w:szCs w:val="20"/>
              </w:rPr>
              <w:t>Purpose / Role / Agenda</w:t>
            </w:r>
          </w:p>
        </w:tc>
        <w:tc>
          <w:tcPr>
            <w:tcW w:w="12894" w:type="dxa"/>
            <w:gridSpan w:val="2"/>
          </w:tcPr>
          <w:p w14:paraId="1AF1021A" w14:textId="5935FF83" w:rsidR="00182C80" w:rsidRPr="000E5786" w:rsidRDefault="00182C80" w:rsidP="0023281D">
            <w:pPr>
              <w:pStyle w:val="Purpose"/>
              <w:rPr>
                <w:rFonts w:ascii="Arial" w:hAnsi="Arial"/>
                <w:sz w:val="20"/>
              </w:rPr>
            </w:pPr>
            <w:r w:rsidRPr="000E5786">
              <w:rPr>
                <w:rFonts w:ascii="Arial" w:hAnsi="Arial"/>
                <w:b/>
                <w:bCs w:val="0"/>
                <w:sz w:val="20"/>
              </w:rPr>
              <w:t>Purpose:</w:t>
            </w:r>
            <w:r w:rsidRPr="000E5786">
              <w:rPr>
                <w:rFonts w:ascii="Arial" w:hAnsi="Arial"/>
                <w:sz w:val="20"/>
              </w:rPr>
              <w:t xml:space="preserve"> To provide leadership at a strategic level and to ensure a healthy productive relationship exists and grows for both Parties</w:t>
            </w:r>
          </w:p>
          <w:p w14:paraId="2AEA5505" w14:textId="77777777" w:rsidR="00182C80" w:rsidRPr="000E5786" w:rsidRDefault="00182C80" w:rsidP="0023281D">
            <w:pPr>
              <w:rPr>
                <w:rFonts w:ascii="Arial" w:hAnsi="Arial" w:cs="Arial"/>
                <w:sz w:val="20"/>
                <w:szCs w:val="20"/>
              </w:rPr>
            </w:pPr>
            <w:r w:rsidRPr="000E5786">
              <w:rPr>
                <w:rFonts w:ascii="Arial" w:hAnsi="Arial" w:cs="Arial"/>
                <w:sz w:val="20"/>
                <w:szCs w:val="20"/>
              </w:rPr>
              <w:t>Role:</w:t>
            </w:r>
          </w:p>
          <w:p w14:paraId="7ACC75C8"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Discussing the overall relationship between the Parties and future direction</w:t>
            </w:r>
          </w:p>
          <w:p w14:paraId="10CF791D"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Reviews strategic level achievements and manages and mitigates concerns raised by either </w:t>
            </w:r>
            <w:proofErr w:type="gramStart"/>
            <w:r w:rsidRPr="000E5786">
              <w:rPr>
                <w:rFonts w:ascii="Arial" w:hAnsi="Arial" w:cs="Arial"/>
                <w:sz w:val="20"/>
                <w:szCs w:val="20"/>
              </w:rPr>
              <w:t>Party</w:t>
            </w:r>
            <w:proofErr w:type="gramEnd"/>
          </w:p>
          <w:p w14:paraId="0265FFF7"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For the Supplier to present a strategic business update</w:t>
            </w:r>
          </w:p>
          <w:p w14:paraId="1E196393" w14:textId="41A1D2B4"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For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sidRPr="000E5786">
              <w:rPr>
                <w:rFonts w:ascii="Arial" w:hAnsi="Arial" w:cs="Arial"/>
                <w:sz w:val="20"/>
                <w:szCs w:val="20"/>
              </w:rPr>
              <w:t xml:space="preserve"> to explain any potential future changes to the business strategy and provide guidance on policy matters which may have an impact on the implementation of the Services.</w:t>
            </w:r>
          </w:p>
          <w:p w14:paraId="4F0DC4C3" w14:textId="77777777" w:rsidR="00182C80" w:rsidRPr="000E5786" w:rsidRDefault="00182C80" w:rsidP="0023281D">
            <w:pPr>
              <w:rPr>
                <w:rFonts w:ascii="Arial" w:hAnsi="Arial" w:cs="Arial"/>
                <w:bCs/>
                <w:sz w:val="20"/>
                <w:szCs w:val="20"/>
              </w:rPr>
            </w:pPr>
          </w:p>
          <w:p w14:paraId="5E424CD2" w14:textId="77777777" w:rsidR="00182C80" w:rsidRPr="000E5786" w:rsidRDefault="00182C80" w:rsidP="0023281D">
            <w:pPr>
              <w:rPr>
                <w:rFonts w:ascii="Arial" w:hAnsi="Arial" w:cs="Arial"/>
                <w:bCs/>
                <w:sz w:val="20"/>
                <w:szCs w:val="20"/>
              </w:rPr>
            </w:pPr>
            <w:r w:rsidRPr="000E5786">
              <w:rPr>
                <w:rFonts w:ascii="Arial" w:hAnsi="Arial" w:cs="Arial"/>
                <w:bCs/>
                <w:sz w:val="20"/>
                <w:szCs w:val="20"/>
              </w:rPr>
              <w:t>Agenda shall be determined by the Chair</w:t>
            </w:r>
          </w:p>
        </w:tc>
      </w:tr>
      <w:tr w:rsidR="00182C80" w:rsidRPr="000E5786" w14:paraId="06C7BBC7" w14:textId="77777777" w:rsidTr="000B403F">
        <w:trPr>
          <w:trHeight w:val="778"/>
        </w:trPr>
        <w:tc>
          <w:tcPr>
            <w:tcW w:w="2206" w:type="dxa"/>
          </w:tcPr>
          <w:p w14:paraId="3A6C6C87" w14:textId="77777777" w:rsidR="00182C80" w:rsidRPr="000E5786" w:rsidRDefault="00182C80" w:rsidP="0023281D">
            <w:pPr>
              <w:rPr>
                <w:rFonts w:ascii="Arial" w:hAnsi="Arial" w:cs="Arial"/>
                <w:b/>
                <w:sz w:val="20"/>
                <w:szCs w:val="20"/>
              </w:rPr>
            </w:pPr>
            <w:r w:rsidRPr="000E5786">
              <w:rPr>
                <w:rFonts w:ascii="Arial" w:hAnsi="Arial" w:cs="Arial"/>
                <w:b/>
                <w:sz w:val="20"/>
                <w:szCs w:val="20"/>
              </w:rPr>
              <w:t>Scope of Authority</w:t>
            </w:r>
          </w:p>
        </w:tc>
        <w:tc>
          <w:tcPr>
            <w:tcW w:w="12894" w:type="dxa"/>
            <w:gridSpan w:val="2"/>
          </w:tcPr>
          <w:p w14:paraId="6C8C3D9F" w14:textId="77777777" w:rsidR="00182C80" w:rsidRPr="000E5786" w:rsidRDefault="00182C80" w:rsidP="0023281D">
            <w:pPr>
              <w:spacing w:line="260" w:lineRule="atLeast"/>
              <w:jc w:val="left"/>
              <w:rPr>
                <w:rFonts w:ascii="Arial" w:hAnsi="Arial" w:cs="Arial"/>
                <w:sz w:val="20"/>
                <w:szCs w:val="20"/>
              </w:rPr>
            </w:pPr>
            <w:r w:rsidRPr="000E5786">
              <w:rPr>
                <w:rFonts w:ascii="Arial" w:hAnsi="Arial" w:cs="Arial"/>
                <w:bCs/>
                <w:sz w:val="20"/>
                <w:szCs w:val="20"/>
              </w:rPr>
              <w:t xml:space="preserve">The Executive Board Meeting </w:t>
            </w:r>
            <w:r w:rsidRPr="000E5786">
              <w:rPr>
                <w:rFonts w:ascii="Arial" w:hAnsi="Arial" w:cs="Arial"/>
                <w:sz w:val="20"/>
                <w:szCs w:val="20"/>
              </w:rPr>
              <w:t>shall act as the highest-level executive body, with the authority to:</w:t>
            </w:r>
          </w:p>
          <w:p w14:paraId="5B250102"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Review any escalations from other governance bodies that relate to issues in the relationship (positive or negative) initiated from either </w:t>
            </w:r>
            <w:proofErr w:type="gramStart"/>
            <w:r w:rsidRPr="000E5786">
              <w:rPr>
                <w:rFonts w:ascii="Arial" w:hAnsi="Arial" w:cs="Arial"/>
                <w:sz w:val="20"/>
                <w:szCs w:val="20"/>
              </w:rPr>
              <w:t>Party</w:t>
            </w:r>
            <w:proofErr w:type="gramEnd"/>
          </w:p>
          <w:p w14:paraId="35A49A7F"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Decide the future direction of the relationship</w:t>
            </w:r>
          </w:p>
        </w:tc>
      </w:tr>
      <w:tr w:rsidR="00182C80" w:rsidRPr="000E5786" w14:paraId="3E7CE666" w14:textId="77777777" w:rsidTr="006B164D">
        <w:trPr>
          <w:trHeight w:val="618"/>
        </w:trPr>
        <w:tc>
          <w:tcPr>
            <w:tcW w:w="2206" w:type="dxa"/>
          </w:tcPr>
          <w:p w14:paraId="377B7944" w14:textId="77777777" w:rsidR="00182C80" w:rsidRPr="000E5786" w:rsidRDefault="00182C80" w:rsidP="00C6649F">
            <w:pPr>
              <w:ind w:left="22" w:firstLine="0"/>
              <w:rPr>
                <w:rFonts w:ascii="Arial" w:hAnsi="Arial" w:cs="Arial"/>
                <w:b/>
                <w:sz w:val="20"/>
                <w:szCs w:val="20"/>
              </w:rPr>
            </w:pPr>
            <w:r w:rsidRPr="000E5786">
              <w:rPr>
                <w:rFonts w:ascii="Arial" w:hAnsi="Arial" w:cs="Arial"/>
                <w:b/>
                <w:sz w:val="20"/>
                <w:szCs w:val="20"/>
              </w:rPr>
              <w:t>Membership / Minimum Attendance Level (if relevant)</w:t>
            </w:r>
          </w:p>
        </w:tc>
        <w:tc>
          <w:tcPr>
            <w:tcW w:w="10253" w:type="dxa"/>
          </w:tcPr>
          <w:p w14:paraId="16E7F37B" w14:textId="781D0BEB" w:rsidR="00182C80" w:rsidRPr="000E5786" w:rsidRDefault="00182C80" w:rsidP="0023281D">
            <w:pPr>
              <w:spacing w:before="120"/>
              <w:rPr>
                <w:rFonts w:ascii="Arial" w:hAnsi="Arial" w:cs="Arial"/>
                <w:bCs/>
                <w:sz w:val="20"/>
                <w:szCs w:val="20"/>
              </w:rPr>
            </w:pPr>
            <w:r w:rsidRPr="000E5786">
              <w:rPr>
                <w:rFonts w:ascii="Arial" w:hAnsi="Arial" w:cs="Arial"/>
                <w:bCs/>
                <w:sz w:val="20"/>
                <w:szCs w:val="20"/>
              </w:rPr>
              <w:t xml:space="preserve">Chair:  Head of Operations,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r w:rsidRPr="000E5786">
              <w:rPr>
                <w:rFonts w:ascii="Arial" w:hAnsi="Arial" w:cs="Arial"/>
                <w:bCs/>
                <w:sz w:val="20"/>
                <w:szCs w:val="20"/>
              </w:rPr>
              <w:t xml:space="preserve"> </w:t>
            </w:r>
          </w:p>
          <w:p w14:paraId="5B747DFD" w14:textId="77777777" w:rsidR="00182C80" w:rsidRPr="000E5786" w:rsidRDefault="00182C80" w:rsidP="0023281D">
            <w:pPr>
              <w:spacing w:before="120"/>
              <w:rPr>
                <w:rFonts w:ascii="Arial" w:hAnsi="Arial" w:cs="Arial"/>
                <w:bCs/>
                <w:sz w:val="20"/>
                <w:szCs w:val="20"/>
              </w:rPr>
            </w:pPr>
          </w:p>
          <w:p w14:paraId="1F12379E" w14:textId="0D5F2FFC" w:rsidR="00182C80" w:rsidRPr="000E5786" w:rsidRDefault="00182C80" w:rsidP="0023281D">
            <w:pPr>
              <w:spacing w:before="120"/>
              <w:rPr>
                <w:rFonts w:ascii="Arial" w:hAnsi="Arial" w:cs="Arial"/>
                <w:bCs/>
                <w:sz w:val="20"/>
                <w:szCs w:val="20"/>
              </w:rPr>
            </w:pPr>
            <w:r w:rsidRPr="000E5786">
              <w:rPr>
                <w:rFonts w:ascii="Arial" w:hAnsi="Arial" w:cs="Arial"/>
                <w:bCs/>
                <w:sz w:val="20"/>
                <w:szCs w:val="20"/>
              </w:rPr>
              <w:t xml:space="preserve">Administrator: Supplier Contract Manager,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p>
          <w:p w14:paraId="18EC60AC" w14:textId="77777777" w:rsidR="00182C80" w:rsidRPr="000E5786" w:rsidRDefault="00182C80" w:rsidP="0023281D">
            <w:pPr>
              <w:spacing w:before="120"/>
              <w:rPr>
                <w:rFonts w:ascii="Arial" w:hAnsi="Arial" w:cs="Arial"/>
                <w:bCs/>
                <w:sz w:val="20"/>
                <w:szCs w:val="20"/>
              </w:rPr>
            </w:pPr>
            <w:r w:rsidRPr="000E5786">
              <w:rPr>
                <w:rFonts w:ascii="Arial" w:hAnsi="Arial" w:cs="Arial"/>
                <w:bCs/>
                <w:sz w:val="20"/>
                <w:szCs w:val="20"/>
              </w:rPr>
              <w:t xml:space="preserve">Members: </w:t>
            </w:r>
          </w:p>
          <w:p w14:paraId="3F4569C5" w14:textId="77777777" w:rsidR="00182C80" w:rsidRPr="000E5786" w:rsidRDefault="00182C80" w:rsidP="009D675B">
            <w:pPr>
              <w:pStyle w:val="ListParagraph"/>
              <w:keepNext/>
              <w:numPr>
                <w:ilvl w:val="0"/>
                <w:numId w:val="42"/>
              </w:numPr>
              <w:spacing w:before="60" w:after="60" w:line="240" w:lineRule="auto"/>
              <w:contextualSpacing w:val="0"/>
              <w:jc w:val="left"/>
              <w:rPr>
                <w:rFonts w:ascii="Arial" w:hAnsi="Arial" w:cs="Arial"/>
                <w:sz w:val="20"/>
                <w:szCs w:val="20"/>
              </w:rPr>
            </w:pPr>
            <w:r w:rsidRPr="000E5786">
              <w:rPr>
                <w:rFonts w:ascii="Arial" w:hAnsi="Arial" w:cs="Arial"/>
                <w:sz w:val="20"/>
                <w:szCs w:val="20"/>
              </w:rPr>
              <w:t>Executive Sponsor, Supplier</w:t>
            </w:r>
          </w:p>
          <w:p w14:paraId="64F788C0" w14:textId="77777777" w:rsidR="00182C80" w:rsidRPr="000E5786" w:rsidRDefault="00182C80" w:rsidP="009D675B">
            <w:pPr>
              <w:pStyle w:val="ListParagraph"/>
              <w:keepNext/>
              <w:numPr>
                <w:ilvl w:val="0"/>
                <w:numId w:val="42"/>
              </w:numPr>
              <w:spacing w:before="60" w:after="60" w:line="240" w:lineRule="auto"/>
              <w:contextualSpacing w:val="0"/>
              <w:jc w:val="left"/>
              <w:rPr>
                <w:rFonts w:ascii="Arial" w:hAnsi="Arial" w:cs="Arial"/>
                <w:sz w:val="20"/>
                <w:szCs w:val="20"/>
              </w:rPr>
            </w:pPr>
            <w:r w:rsidRPr="000E5786">
              <w:rPr>
                <w:rFonts w:ascii="Arial" w:hAnsi="Arial" w:cs="Arial"/>
                <w:sz w:val="20"/>
                <w:szCs w:val="20"/>
              </w:rPr>
              <w:t>VP, TMTS Market Unit Head, Supplier</w:t>
            </w:r>
          </w:p>
          <w:p w14:paraId="074613F5" w14:textId="77777777" w:rsidR="00182C80" w:rsidRPr="000E5786" w:rsidRDefault="00182C80" w:rsidP="009D675B">
            <w:pPr>
              <w:pStyle w:val="ListParagraph"/>
              <w:keepNext/>
              <w:numPr>
                <w:ilvl w:val="0"/>
                <w:numId w:val="42"/>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Account Executive, Supplier </w:t>
            </w:r>
          </w:p>
          <w:p w14:paraId="26784831" w14:textId="17C08288" w:rsidR="00182C80" w:rsidRPr="000E5786" w:rsidRDefault="00182C80" w:rsidP="009D675B">
            <w:pPr>
              <w:pStyle w:val="ListParagraph"/>
              <w:keepNext/>
              <w:numPr>
                <w:ilvl w:val="0"/>
                <w:numId w:val="42"/>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Commercial Director,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sidRPr="000E5786">
              <w:rPr>
                <w:rFonts w:ascii="Arial" w:hAnsi="Arial" w:cs="Arial"/>
                <w:sz w:val="20"/>
                <w:szCs w:val="20"/>
              </w:rPr>
              <w:t xml:space="preserve"> </w:t>
            </w:r>
          </w:p>
          <w:p w14:paraId="6F763D64" w14:textId="26DFFC85" w:rsidR="00182C80" w:rsidRPr="000E5786" w:rsidRDefault="001F1C19" w:rsidP="009D675B">
            <w:pPr>
              <w:pStyle w:val="ListParagraph"/>
              <w:keepNext/>
              <w:numPr>
                <w:ilvl w:val="0"/>
                <w:numId w:val="42"/>
              </w:numPr>
              <w:spacing w:before="60" w:after="60" w:line="240" w:lineRule="auto"/>
              <w:contextualSpacing w:val="0"/>
              <w:jc w:val="left"/>
              <w:rPr>
                <w:rFonts w:ascii="Arial" w:hAnsi="Arial" w:cs="Arial"/>
                <w:sz w:val="20"/>
                <w:szCs w:val="20"/>
              </w:rPr>
            </w:pPr>
            <w:proofErr w:type="spellStart"/>
            <w:r>
              <w:rPr>
                <w:rFonts w:ascii="Arial" w:hAnsi="Arial" w:cs="Arial"/>
                <w:bCs/>
                <w:sz w:val="20"/>
                <w:szCs w:val="20"/>
              </w:rPr>
              <w:t>Netlink</w:t>
            </w:r>
            <w:proofErr w:type="spellEnd"/>
            <w:r>
              <w:rPr>
                <w:rFonts w:ascii="Arial" w:hAnsi="Arial" w:cs="Arial"/>
                <w:bCs/>
                <w:sz w:val="20"/>
                <w:szCs w:val="20"/>
              </w:rPr>
              <w:t xml:space="preserve"> Star</w:t>
            </w:r>
            <w:r w:rsidR="00182C80" w:rsidRPr="000E5786">
              <w:rPr>
                <w:rFonts w:ascii="Arial" w:hAnsi="Arial" w:cs="Arial"/>
                <w:bCs/>
                <w:sz w:val="20"/>
                <w:szCs w:val="20"/>
              </w:rPr>
              <w:t xml:space="preserve"> Telecoms Director, </w:t>
            </w:r>
            <w:proofErr w:type="spellStart"/>
            <w:r>
              <w:rPr>
                <w:rFonts w:ascii="Arial" w:hAnsi="Arial" w:cs="Arial"/>
                <w:bCs/>
                <w:sz w:val="20"/>
                <w:szCs w:val="20"/>
              </w:rPr>
              <w:t>Netlink</w:t>
            </w:r>
            <w:proofErr w:type="spellEnd"/>
            <w:r>
              <w:rPr>
                <w:rFonts w:ascii="Arial" w:hAnsi="Arial" w:cs="Arial"/>
                <w:bCs/>
                <w:sz w:val="20"/>
                <w:szCs w:val="20"/>
              </w:rPr>
              <w:t xml:space="preserve"> Star</w:t>
            </w:r>
            <w:r w:rsidR="00182C80" w:rsidRPr="000E5786">
              <w:rPr>
                <w:rFonts w:ascii="Arial" w:hAnsi="Arial" w:cs="Arial"/>
                <w:bCs/>
                <w:sz w:val="20"/>
                <w:szCs w:val="20"/>
              </w:rPr>
              <w:t xml:space="preserve"> </w:t>
            </w:r>
          </w:p>
          <w:p w14:paraId="261E0B02" w14:textId="79E74970" w:rsidR="00182C80" w:rsidRPr="000E5786" w:rsidRDefault="00182C80" w:rsidP="009D675B">
            <w:pPr>
              <w:pStyle w:val="ListParagraph"/>
              <w:keepNext/>
              <w:numPr>
                <w:ilvl w:val="0"/>
                <w:numId w:val="42"/>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Chair of the Strategic Account Meeting,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p>
          <w:p w14:paraId="699911EF" w14:textId="38F946B3" w:rsidR="00182C80" w:rsidRPr="000E5786" w:rsidRDefault="00182C80" w:rsidP="009D675B">
            <w:pPr>
              <w:pStyle w:val="ListParagraph"/>
              <w:keepNext/>
              <w:numPr>
                <w:ilvl w:val="0"/>
                <w:numId w:val="42"/>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CISO,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sidRPr="000E5786">
              <w:rPr>
                <w:rFonts w:ascii="Arial" w:hAnsi="Arial" w:cs="Arial"/>
                <w:sz w:val="20"/>
                <w:szCs w:val="20"/>
              </w:rPr>
              <w:t xml:space="preserve"> (optional)</w:t>
            </w:r>
          </w:p>
        </w:tc>
        <w:tc>
          <w:tcPr>
            <w:tcW w:w="2641" w:type="dxa"/>
          </w:tcPr>
          <w:p w14:paraId="3051DF3B" w14:textId="77777777" w:rsidR="00182C80" w:rsidRPr="000E5786" w:rsidRDefault="00182C80" w:rsidP="00C6649F">
            <w:pPr>
              <w:ind w:left="0" w:firstLine="0"/>
              <w:contextualSpacing/>
              <w:rPr>
                <w:rFonts w:ascii="Arial" w:hAnsi="Arial" w:cs="Arial"/>
                <w:b/>
                <w:sz w:val="20"/>
                <w:szCs w:val="20"/>
              </w:rPr>
            </w:pPr>
            <w:r w:rsidRPr="000E5786">
              <w:rPr>
                <w:rFonts w:ascii="Arial" w:hAnsi="Arial" w:cs="Arial"/>
                <w:b/>
                <w:sz w:val="20"/>
                <w:szCs w:val="20"/>
              </w:rPr>
              <w:t xml:space="preserve">Minimum Level of attendance: </w:t>
            </w:r>
          </w:p>
          <w:p w14:paraId="4FEDB95E" w14:textId="77777777" w:rsidR="00182C80" w:rsidRPr="000E5786" w:rsidRDefault="00182C80" w:rsidP="0023281D">
            <w:pPr>
              <w:contextualSpacing/>
              <w:rPr>
                <w:rFonts w:ascii="Arial" w:hAnsi="Arial" w:cs="Arial"/>
                <w:bCs/>
                <w:sz w:val="20"/>
                <w:szCs w:val="20"/>
              </w:rPr>
            </w:pPr>
          </w:p>
          <w:p w14:paraId="6DED2A4E" w14:textId="77777777" w:rsidR="00182C80" w:rsidRPr="00C6649F" w:rsidRDefault="00182C80" w:rsidP="00C6649F">
            <w:pPr>
              <w:keepNext/>
              <w:spacing w:before="60" w:after="60"/>
              <w:ind w:left="0" w:firstLine="0"/>
              <w:jc w:val="left"/>
              <w:rPr>
                <w:rFonts w:ascii="Arial" w:hAnsi="Arial" w:cs="Arial"/>
                <w:bCs/>
                <w:sz w:val="20"/>
                <w:szCs w:val="20"/>
              </w:rPr>
            </w:pPr>
            <w:r w:rsidRPr="00C6649F">
              <w:rPr>
                <w:rFonts w:ascii="Arial" w:hAnsi="Arial" w:cs="Arial"/>
                <w:bCs/>
                <w:sz w:val="20"/>
                <w:szCs w:val="20"/>
              </w:rPr>
              <w:t xml:space="preserve">At </w:t>
            </w:r>
            <w:r w:rsidRPr="00C6649F">
              <w:rPr>
                <w:rFonts w:ascii="Arial" w:hAnsi="Arial" w:cs="Arial"/>
                <w:sz w:val="20"/>
                <w:szCs w:val="20"/>
              </w:rPr>
              <w:t>least two representatives from each Party to be present</w:t>
            </w:r>
          </w:p>
        </w:tc>
      </w:tr>
      <w:tr w:rsidR="00182C80" w:rsidRPr="000E5786" w14:paraId="63D37156" w14:textId="77777777" w:rsidTr="000B403F">
        <w:trPr>
          <w:trHeight w:val="679"/>
        </w:trPr>
        <w:tc>
          <w:tcPr>
            <w:tcW w:w="2206" w:type="dxa"/>
          </w:tcPr>
          <w:p w14:paraId="589FBED4" w14:textId="77777777" w:rsidR="00182C80" w:rsidRPr="000E5786" w:rsidRDefault="00182C80" w:rsidP="0023281D">
            <w:pPr>
              <w:rPr>
                <w:rFonts w:ascii="Arial" w:hAnsi="Arial" w:cs="Arial"/>
                <w:b/>
                <w:sz w:val="20"/>
                <w:szCs w:val="20"/>
              </w:rPr>
            </w:pPr>
            <w:r w:rsidRPr="000E5786">
              <w:rPr>
                <w:rFonts w:ascii="Arial" w:hAnsi="Arial" w:cs="Arial"/>
                <w:b/>
                <w:sz w:val="20"/>
                <w:szCs w:val="20"/>
              </w:rPr>
              <w:lastRenderedPageBreak/>
              <w:t>Frequency</w:t>
            </w:r>
          </w:p>
        </w:tc>
        <w:tc>
          <w:tcPr>
            <w:tcW w:w="12894" w:type="dxa"/>
            <w:gridSpan w:val="2"/>
          </w:tcPr>
          <w:p w14:paraId="0368BAD0" w14:textId="77777777" w:rsidR="00182C80" w:rsidRPr="000E5786" w:rsidRDefault="00182C80" w:rsidP="0023281D">
            <w:pPr>
              <w:rPr>
                <w:rFonts w:ascii="Arial" w:hAnsi="Arial" w:cs="Arial"/>
                <w:sz w:val="20"/>
                <w:szCs w:val="20"/>
              </w:rPr>
            </w:pPr>
            <w:r w:rsidRPr="000E5786">
              <w:rPr>
                <w:rFonts w:ascii="Arial" w:hAnsi="Arial" w:cs="Arial"/>
                <w:sz w:val="20"/>
                <w:szCs w:val="20"/>
              </w:rPr>
              <w:t>Quarterly</w:t>
            </w:r>
          </w:p>
        </w:tc>
      </w:tr>
      <w:tr w:rsidR="00182C80" w:rsidRPr="000E5786" w14:paraId="0F83FEE4" w14:textId="77777777" w:rsidTr="000B403F">
        <w:trPr>
          <w:trHeight w:val="731"/>
        </w:trPr>
        <w:tc>
          <w:tcPr>
            <w:tcW w:w="2206" w:type="dxa"/>
          </w:tcPr>
          <w:p w14:paraId="41AFDDCA" w14:textId="77777777" w:rsidR="00182C80" w:rsidRPr="000E5786" w:rsidRDefault="00182C80" w:rsidP="0023281D">
            <w:pPr>
              <w:rPr>
                <w:rFonts w:ascii="Arial" w:hAnsi="Arial" w:cs="Arial"/>
                <w:b/>
                <w:sz w:val="20"/>
                <w:szCs w:val="20"/>
              </w:rPr>
            </w:pPr>
            <w:r w:rsidRPr="000E5786">
              <w:rPr>
                <w:rFonts w:ascii="Arial" w:hAnsi="Arial" w:cs="Arial"/>
                <w:b/>
                <w:sz w:val="20"/>
                <w:szCs w:val="20"/>
              </w:rPr>
              <w:t>Areas for review</w:t>
            </w:r>
          </w:p>
        </w:tc>
        <w:tc>
          <w:tcPr>
            <w:tcW w:w="12894" w:type="dxa"/>
            <w:gridSpan w:val="2"/>
          </w:tcPr>
          <w:p w14:paraId="12DC574B"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Supplier’s strategic business update</w:t>
            </w:r>
          </w:p>
          <w:p w14:paraId="2A0D819C" w14:textId="4E1A01FD"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High level issues and risks related to the Services and/or the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sidRPr="000E5786">
              <w:rPr>
                <w:rFonts w:ascii="Arial" w:hAnsi="Arial" w:cs="Arial"/>
                <w:sz w:val="20"/>
                <w:szCs w:val="20"/>
              </w:rPr>
              <w:t xml:space="preserve"> and the Supplier’s </w:t>
            </w:r>
            <w:proofErr w:type="gramStart"/>
            <w:r w:rsidRPr="000E5786">
              <w:rPr>
                <w:rFonts w:ascii="Arial" w:hAnsi="Arial" w:cs="Arial"/>
                <w:sz w:val="20"/>
                <w:szCs w:val="20"/>
              </w:rPr>
              <w:t>relationship</w:t>
            </w:r>
            <w:proofErr w:type="gramEnd"/>
          </w:p>
          <w:p w14:paraId="6331FB56" w14:textId="56CB3341"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Any changes to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sidRPr="000E5786">
              <w:rPr>
                <w:rFonts w:ascii="Arial" w:hAnsi="Arial" w:cs="Arial"/>
                <w:sz w:val="20"/>
                <w:szCs w:val="20"/>
              </w:rPr>
              <w:t>’s business strategy that may impact the Supplier</w:t>
            </w:r>
          </w:p>
        </w:tc>
      </w:tr>
      <w:tr w:rsidR="00182C80" w:rsidRPr="000E5786" w14:paraId="0152E2E9" w14:textId="77777777" w:rsidTr="000B403F">
        <w:trPr>
          <w:trHeight w:val="731"/>
        </w:trPr>
        <w:tc>
          <w:tcPr>
            <w:tcW w:w="2206" w:type="dxa"/>
          </w:tcPr>
          <w:p w14:paraId="55D632D7" w14:textId="77777777" w:rsidR="00182C80" w:rsidRPr="000E5786" w:rsidRDefault="00182C80" w:rsidP="0023281D">
            <w:pPr>
              <w:rPr>
                <w:rFonts w:ascii="Arial" w:hAnsi="Arial" w:cs="Arial"/>
                <w:b/>
                <w:sz w:val="20"/>
                <w:szCs w:val="20"/>
              </w:rPr>
            </w:pPr>
            <w:r w:rsidRPr="000E5786">
              <w:rPr>
                <w:rFonts w:ascii="Arial" w:hAnsi="Arial" w:cs="Arial"/>
                <w:b/>
                <w:sz w:val="20"/>
                <w:szCs w:val="20"/>
              </w:rPr>
              <w:t>Inputs</w:t>
            </w:r>
          </w:p>
        </w:tc>
        <w:tc>
          <w:tcPr>
            <w:tcW w:w="12894" w:type="dxa"/>
            <w:gridSpan w:val="2"/>
          </w:tcPr>
          <w:p w14:paraId="15693CEC" w14:textId="77777777" w:rsidR="00182C80" w:rsidRPr="000E5786" w:rsidRDefault="00182C80" w:rsidP="0023281D">
            <w:pPr>
              <w:pStyle w:val="BulletLast"/>
              <w:tabs>
                <w:tab w:val="clear" w:pos="360"/>
              </w:tabs>
              <w:ind w:left="0" w:firstLine="0"/>
              <w:jc w:val="left"/>
              <w:rPr>
                <w:rFonts w:ascii="Arial" w:hAnsi="Arial" w:cs="Arial"/>
                <w:sz w:val="20"/>
                <w:szCs w:val="20"/>
              </w:rPr>
            </w:pPr>
            <w:r w:rsidRPr="000E5786">
              <w:rPr>
                <w:rFonts w:ascii="Arial" w:hAnsi="Arial" w:cs="Arial"/>
                <w:sz w:val="20"/>
                <w:szCs w:val="20"/>
              </w:rPr>
              <w:t>Dashboards, Performance Reports, list of achievements, high level issues and risks, escalations from other governance bodies</w:t>
            </w:r>
          </w:p>
        </w:tc>
      </w:tr>
      <w:tr w:rsidR="00182C80" w:rsidRPr="000E5786" w14:paraId="6FC79887" w14:textId="77777777" w:rsidTr="000B403F">
        <w:trPr>
          <w:trHeight w:val="683"/>
        </w:trPr>
        <w:tc>
          <w:tcPr>
            <w:tcW w:w="2206" w:type="dxa"/>
          </w:tcPr>
          <w:p w14:paraId="63D7A875" w14:textId="77777777" w:rsidR="00182C80" w:rsidRPr="000E5786" w:rsidRDefault="00182C80" w:rsidP="0023281D">
            <w:pPr>
              <w:rPr>
                <w:rFonts w:ascii="Arial" w:hAnsi="Arial" w:cs="Arial"/>
                <w:b/>
                <w:sz w:val="20"/>
                <w:szCs w:val="20"/>
              </w:rPr>
            </w:pPr>
            <w:r w:rsidRPr="000E5786">
              <w:rPr>
                <w:rFonts w:ascii="Arial" w:hAnsi="Arial" w:cs="Arial"/>
                <w:b/>
                <w:sz w:val="20"/>
                <w:szCs w:val="20"/>
              </w:rPr>
              <w:t>Outputs</w:t>
            </w:r>
          </w:p>
        </w:tc>
        <w:tc>
          <w:tcPr>
            <w:tcW w:w="12894" w:type="dxa"/>
            <w:gridSpan w:val="2"/>
          </w:tcPr>
          <w:p w14:paraId="636689F6" w14:textId="77777777" w:rsidR="00182C80" w:rsidRPr="000E5786" w:rsidRDefault="00182C80" w:rsidP="0023281D">
            <w:pPr>
              <w:pStyle w:val="BulletLast"/>
              <w:ind w:left="0" w:hanging="1"/>
              <w:rPr>
                <w:rFonts w:ascii="Arial" w:hAnsi="Arial" w:cs="Arial"/>
                <w:sz w:val="20"/>
                <w:szCs w:val="20"/>
              </w:rPr>
            </w:pPr>
            <w:r w:rsidRPr="000E5786">
              <w:rPr>
                <w:rFonts w:ascii="Arial" w:hAnsi="Arial" w:cs="Arial"/>
                <w:sz w:val="20"/>
                <w:szCs w:val="20"/>
              </w:rPr>
              <w:t>Board Minutes, Recommendations, strategic decisions made</w:t>
            </w:r>
          </w:p>
        </w:tc>
      </w:tr>
      <w:tr w:rsidR="00182C80" w:rsidRPr="000E5786" w14:paraId="18797D49" w14:textId="77777777" w:rsidTr="000B403F">
        <w:trPr>
          <w:trHeight w:val="731"/>
        </w:trPr>
        <w:tc>
          <w:tcPr>
            <w:tcW w:w="2206" w:type="dxa"/>
          </w:tcPr>
          <w:p w14:paraId="57335E0A" w14:textId="77777777" w:rsidR="00182C80" w:rsidRPr="000E5786" w:rsidRDefault="00182C80" w:rsidP="0023281D">
            <w:pPr>
              <w:rPr>
                <w:rFonts w:ascii="Arial" w:hAnsi="Arial" w:cs="Arial"/>
                <w:b/>
                <w:sz w:val="20"/>
                <w:szCs w:val="20"/>
              </w:rPr>
            </w:pPr>
            <w:r w:rsidRPr="000E5786">
              <w:rPr>
                <w:rFonts w:ascii="Arial" w:hAnsi="Arial" w:cs="Arial"/>
                <w:b/>
                <w:sz w:val="20"/>
                <w:szCs w:val="20"/>
              </w:rPr>
              <w:t>Escalation</w:t>
            </w:r>
          </w:p>
        </w:tc>
        <w:tc>
          <w:tcPr>
            <w:tcW w:w="12894" w:type="dxa"/>
            <w:gridSpan w:val="2"/>
          </w:tcPr>
          <w:p w14:paraId="68AB8E28" w14:textId="77777777" w:rsidR="00182C80" w:rsidRPr="000E5786" w:rsidRDefault="00182C80" w:rsidP="0023281D">
            <w:pPr>
              <w:rPr>
                <w:rFonts w:ascii="Arial" w:hAnsi="Arial" w:cs="Arial"/>
                <w:sz w:val="20"/>
                <w:szCs w:val="20"/>
              </w:rPr>
            </w:pPr>
          </w:p>
        </w:tc>
      </w:tr>
      <w:tr w:rsidR="00182C80" w:rsidRPr="000E5786" w14:paraId="2B65F3CF" w14:textId="77777777" w:rsidTr="000B403F">
        <w:trPr>
          <w:trHeight w:val="731"/>
        </w:trPr>
        <w:tc>
          <w:tcPr>
            <w:tcW w:w="2206" w:type="dxa"/>
          </w:tcPr>
          <w:p w14:paraId="07C80A74" w14:textId="77777777" w:rsidR="00182C80" w:rsidRPr="000E5786" w:rsidRDefault="00182C80" w:rsidP="0023281D">
            <w:pPr>
              <w:rPr>
                <w:rFonts w:ascii="Arial" w:hAnsi="Arial" w:cs="Arial"/>
                <w:b/>
                <w:sz w:val="20"/>
                <w:szCs w:val="20"/>
              </w:rPr>
            </w:pPr>
            <w:r w:rsidRPr="000E5786">
              <w:rPr>
                <w:rFonts w:ascii="Arial" w:hAnsi="Arial" w:cs="Arial"/>
                <w:b/>
                <w:sz w:val="20"/>
                <w:szCs w:val="20"/>
              </w:rPr>
              <w:t>Related Meetings</w:t>
            </w:r>
          </w:p>
        </w:tc>
        <w:tc>
          <w:tcPr>
            <w:tcW w:w="12894" w:type="dxa"/>
            <w:gridSpan w:val="2"/>
          </w:tcPr>
          <w:p w14:paraId="2045A8B5" w14:textId="77777777" w:rsidR="00182C80" w:rsidRPr="000E5786" w:rsidRDefault="00182C80" w:rsidP="0023281D">
            <w:pPr>
              <w:rPr>
                <w:rFonts w:ascii="Arial" w:hAnsi="Arial" w:cs="Arial"/>
                <w:sz w:val="20"/>
                <w:szCs w:val="20"/>
              </w:rPr>
            </w:pPr>
            <w:r w:rsidRPr="000E5786">
              <w:rPr>
                <w:rFonts w:ascii="Arial" w:hAnsi="Arial" w:cs="Arial"/>
                <w:sz w:val="20"/>
                <w:szCs w:val="20"/>
              </w:rPr>
              <w:t>Services Steering Board</w:t>
            </w:r>
          </w:p>
        </w:tc>
      </w:tr>
    </w:tbl>
    <w:p w14:paraId="44D19095" w14:textId="1629B9FC" w:rsidR="00182C80" w:rsidRPr="000E5786" w:rsidRDefault="00182C80" w:rsidP="00182C80">
      <w:pPr>
        <w:pStyle w:val="ScheduleSubheading"/>
        <w:numPr>
          <w:ilvl w:val="0"/>
          <w:numId w:val="0"/>
        </w:numPr>
        <w:jc w:val="both"/>
        <w:rPr>
          <w:rFonts w:cs="Arial"/>
          <w:szCs w:val="20"/>
        </w:rPr>
      </w:pPr>
    </w:p>
    <w:p w14:paraId="59D0B098" w14:textId="77777777" w:rsidR="00182C80" w:rsidRPr="000E5786" w:rsidRDefault="00182C80">
      <w:pPr>
        <w:rPr>
          <w:rFonts w:cs="Arial"/>
          <w:b/>
          <w:szCs w:val="20"/>
        </w:rPr>
      </w:pPr>
      <w:r w:rsidRPr="000E5786">
        <w:rPr>
          <w:rFonts w:cs="Arial"/>
          <w:szCs w:val="20"/>
        </w:rPr>
        <w:br w:type="page"/>
      </w:r>
    </w:p>
    <w:tbl>
      <w:tblPr>
        <w:tblStyle w:val="TableGrid0"/>
        <w:tblW w:w="5000" w:type="pct"/>
        <w:tblLook w:val="04A0" w:firstRow="1" w:lastRow="0" w:firstColumn="1" w:lastColumn="0" w:noHBand="0" w:noVBand="1"/>
      </w:tblPr>
      <w:tblGrid>
        <w:gridCol w:w="2687"/>
        <w:gridCol w:w="9257"/>
        <w:gridCol w:w="2334"/>
      </w:tblGrid>
      <w:tr w:rsidR="00182C80" w:rsidRPr="000E5786" w14:paraId="20A63D52" w14:textId="77777777" w:rsidTr="00C6649F">
        <w:trPr>
          <w:trHeight w:val="397"/>
        </w:trPr>
        <w:tc>
          <w:tcPr>
            <w:tcW w:w="2687" w:type="dxa"/>
            <w:shd w:val="clear" w:color="auto" w:fill="BFBFBF" w:themeFill="background1" w:themeFillShade="BF"/>
          </w:tcPr>
          <w:p w14:paraId="56DAA424" w14:textId="77777777" w:rsidR="00182C80" w:rsidRPr="000E5786" w:rsidRDefault="00182C80" w:rsidP="0023281D">
            <w:pPr>
              <w:keepNext/>
              <w:rPr>
                <w:rFonts w:ascii="Arial" w:hAnsi="Arial" w:cs="Arial"/>
                <w:b/>
                <w:bCs/>
                <w:sz w:val="20"/>
                <w:szCs w:val="20"/>
              </w:rPr>
            </w:pPr>
            <w:r w:rsidRPr="000E5786">
              <w:rPr>
                <w:rFonts w:ascii="Arial" w:hAnsi="Arial" w:cs="Arial"/>
                <w:sz w:val="20"/>
                <w:szCs w:val="20"/>
              </w:rPr>
              <w:lastRenderedPageBreak/>
              <w:br w:type="page"/>
            </w:r>
            <w:r w:rsidRPr="000E5786">
              <w:rPr>
                <w:rFonts w:ascii="Arial" w:hAnsi="Arial" w:cs="Arial"/>
                <w:sz w:val="20"/>
                <w:szCs w:val="20"/>
              </w:rPr>
              <w:br w:type="page"/>
            </w:r>
            <w:r w:rsidRPr="000E5786">
              <w:rPr>
                <w:rFonts w:ascii="Arial" w:hAnsi="Arial" w:cs="Arial"/>
                <w:sz w:val="20"/>
                <w:szCs w:val="20"/>
              </w:rPr>
              <w:br w:type="page"/>
            </w:r>
            <w:r w:rsidRPr="000E5786">
              <w:rPr>
                <w:rFonts w:ascii="Arial" w:hAnsi="Arial" w:cs="Arial"/>
                <w:b/>
                <w:bCs/>
                <w:sz w:val="20"/>
                <w:szCs w:val="20"/>
              </w:rPr>
              <w:t>Charter</w:t>
            </w:r>
          </w:p>
        </w:tc>
        <w:tc>
          <w:tcPr>
            <w:tcW w:w="11591" w:type="dxa"/>
            <w:gridSpan w:val="2"/>
            <w:shd w:val="clear" w:color="auto" w:fill="BFBFBF" w:themeFill="background1" w:themeFillShade="BF"/>
          </w:tcPr>
          <w:p w14:paraId="1CD7DF82" w14:textId="77777777" w:rsidR="00182C80" w:rsidRPr="000E5786" w:rsidRDefault="00182C80" w:rsidP="0023281D">
            <w:pPr>
              <w:keepNext/>
              <w:rPr>
                <w:rFonts w:ascii="Arial" w:hAnsi="Arial" w:cs="Arial"/>
                <w:bCs/>
                <w:i/>
                <w:sz w:val="20"/>
                <w:szCs w:val="20"/>
              </w:rPr>
            </w:pPr>
            <w:r w:rsidRPr="000E5786">
              <w:rPr>
                <w:rFonts w:ascii="Arial" w:hAnsi="Arial" w:cs="Arial"/>
                <w:b/>
                <w:bCs/>
                <w:sz w:val="20"/>
                <w:szCs w:val="20"/>
              </w:rPr>
              <w:t>Services Steering Board</w:t>
            </w:r>
          </w:p>
        </w:tc>
      </w:tr>
      <w:tr w:rsidR="00182C80" w:rsidRPr="000E5786" w14:paraId="4B3EDBA1" w14:textId="77777777" w:rsidTr="00C6649F">
        <w:trPr>
          <w:trHeight w:val="423"/>
        </w:trPr>
        <w:tc>
          <w:tcPr>
            <w:tcW w:w="2687" w:type="dxa"/>
          </w:tcPr>
          <w:p w14:paraId="248B2405" w14:textId="77777777" w:rsidR="00182C80" w:rsidRPr="000E5786" w:rsidRDefault="00182C80" w:rsidP="00182C80">
            <w:pPr>
              <w:pStyle w:val="ScheduleTitle"/>
              <w:numPr>
                <w:ilvl w:val="0"/>
                <w:numId w:val="0"/>
              </w:numPr>
              <w:jc w:val="both"/>
              <w:rPr>
                <w:rFonts w:ascii="Arial" w:hAnsi="Arial" w:cs="Arial"/>
                <w:sz w:val="20"/>
                <w:szCs w:val="20"/>
              </w:rPr>
            </w:pPr>
            <w:r w:rsidRPr="000E5786">
              <w:rPr>
                <w:rFonts w:ascii="Arial" w:hAnsi="Arial" w:cs="Arial"/>
                <w:sz w:val="20"/>
                <w:szCs w:val="20"/>
              </w:rPr>
              <w:t>Purpose / Role / Agenda</w:t>
            </w:r>
          </w:p>
        </w:tc>
        <w:tc>
          <w:tcPr>
            <w:tcW w:w="11591" w:type="dxa"/>
            <w:gridSpan w:val="2"/>
          </w:tcPr>
          <w:p w14:paraId="08F19442" w14:textId="77777777" w:rsidR="00182C80" w:rsidRPr="000E5786" w:rsidRDefault="00182C80" w:rsidP="0023281D">
            <w:pPr>
              <w:pStyle w:val="Purpose"/>
              <w:rPr>
                <w:rFonts w:ascii="Arial" w:hAnsi="Arial"/>
                <w:sz w:val="20"/>
              </w:rPr>
            </w:pPr>
            <w:r w:rsidRPr="000E5786">
              <w:rPr>
                <w:rFonts w:ascii="Arial" w:hAnsi="Arial"/>
                <w:sz w:val="20"/>
              </w:rPr>
              <w:t>Purpose: To ensure the strategic direction and the financial model are always aligned and remain fit-for-purpose for the Term.</w:t>
            </w:r>
          </w:p>
          <w:p w14:paraId="36D1638C" w14:textId="77777777" w:rsidR="00182C80" w:rsidRPr="000E5786" w:rsidRDefault="00182C80" w:rsidP="0023281D">
            <w:pPr>
              <w:keepNext/>
              <w:rPr>
                <w:rFonts w:ascii="Arial" w:hAnsi="Arial" w:cs="Arial"/>
                <w:bCs/>
                <w:sz w:val="20"/>
                <w:szCs w:val="20"/>
              </w:rPr>
            </w:pPr>
            <w:r w:rsidRPr="000E5786">
              <w:rPr>
                <w:rFonts w:ascii="Arial" w:hAnsi="Arial" w:cs="Arial"/>
                <w:bCs/>
                <w:sz w:val="20"/>
                <w:szCs w:val="20"/>
              </w:rPr>
              <w:t>Role:</w:t>
            </w:r>
          </w:p>
          <w:p w14:paraId="19E4B4D9" w14:textId="4C7A377A"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Ensures that this Agreement is operated throughout the Term in a manner which optimises the value for money and operational benefit derived by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sidRPr="000E5786">
              <w:rPr>
                <w:rFonts w:ascii="Arial" w:hAnsi="Arial" w:cs="Arial"/>
                <w:sz w:val="20"/>
                <w:szCs w:val="20"/>
              </w:rPr>
              <w:t xml:space="preserve"> and the commercial benefit derived by the </w:t>
            </w:r>
            <w:proofErr w:type="gramStart"/>
            <w:r w:rsidRPr="000E5786">
              <w:rPr>
                <w:rFonts w:ascii="Arial" w:hAnsi="Arial" w:cs="Arial"/>
                <w:sz w:val="20"/>
                <w:szCs w:val="20"/>
              </w:rPr>
              <w:t>Supplier</w:t>
            </w:r>
            <w:proofErr w:type="gramEnd"/>
          </w:p>
          <w:p w14:paraId="75FAAB24" w14:textId="07AF2E9F" w:rsidR="00182C80" w:rsidRPr="000E5786" w:rsidRDefault="001F1C19" w:rsidP="00E538A1">
            <w:pPr>
              <w:pStyle w:val="ListParagraph"/>
              <w:keepNext/>
              <w:numPr>
                <w:ilvl w:val="0"/>
                <w:numId w:val="24"/>
              </w:numPr>
              <w:spacing w:before="60" w:after="60" w:line="240" w:lineRule="auto"/>
              <w:contextualSpacing w:val="0"/>
              <w:jc w:val="left"/>
              <w:rPr>
                <w:rFonts w:ascii="Arial" w:hAnsi="Arial" w:cs="Arial"/>
                <w:sz w:val="20"/>
                <w:szCs w:val="20"/>
              </w:rPr>
            </w:pPr>
            <w:proofErr w:type="spellStart"/>
            <w:r>
              <w:rPr>
                <w:rFonts w:ascii="Arial" w:hAnsi="Arial" w:cs="Arial"/>
                <w:sz w:val="20"/>
                <w:szCs w:val="20"/>
              </w:rPr>
              <w:t>Netlink</w:t>
            </w:r>
            <w:proofErr w:type="spellEnd"/>
            <w:r>
              <w:rPr>
                <w:rFonts w:ascii="Arial" w:hAnsi="Arial" w:cs="Arial"/>
                <w:sz w:val="20"/>
                <w:szCs w:val="20"/>
              </w:rPr>
              <w:t xml:space="preserve"> Star</w:t>
            </w:r>
            <w:r w:rsidR="00182C80" w:rsidRPr="000E5786">
              <w:rPr>
                <w:rFonts w:ascii="Arial" w:hAnsi="Arial" w:cs="Arial"/>
                <w:sz w:val="20"/>
                <w:szCs w:val="20"/>
              </w:rPr>
              <w:t xml:space="preserve"> shares the business strategy and provides guidance on safety matters which may impact on the implementation of the </w:t>
            </w:r>
            <w:proofErr w:type="gramStart"/>
            <w:r w:rsidR="00182C80" w:rsidRPr="000E5786">
              <w:rPr>
                <w:rFonts w:ascii="Arial" w:hAnsi="Arial" w:cs="Arial"/>
                <w:sz w:val="20"/>
                <w:szCs w:val="20"/>
              </w:rPr>
              <w:t>Services</w:t>
            </w:r>
            <w:proofErr w:type="gramEnd"/>
          </w:p>
          <w:p w14:paraId="2C847AC4" w14:textId="669C416E" w:rsidR="00182C80" w:rsidRPr="000E5786" w:rsidRDefault="001F1C19" w:rsidP="00E538A1">
            <w:pPr>
              <w:pStyle w:val="ListParagraph"/>
              <w:keepNext/>
              <w:numPr>
                <w:ilvl w:val="0"/>
                <w:numId w:val="24"/>
              </w:numPr>
              <w:spacing w:before="60" w:after="60" w:line="240" w:lineRule="auto"/>
              <w:contextualSpacing w:val="0"/>
              <w:jc w:val="left"/>
              <w:rPr>
                <w:rFonts w:ascii="Arial" w:hAnsi="Arial" w:cs="Arial"/>
                <w:sz w:val="20"/>
                <w:szCs w:val="20"/>
              </w:rPr>
            </w:pPr>
            <w:proofErr w:type="spellStart"/>
            <w:r>
              <w:rPr>
                <w:rFonts w:ascii="Arial" w:hAnsi="Arial" w:cs="Arial"/>
                <w:sz w:val="20"/>
                <w:szCs w:val="20"/>
              </w:rPr>
              <w:t>Netlink</w:t>
            </w:r>
            <w:proofErr w:type="spellEnd"/>
            <w:r>
              <w:rPr>
                <w:rFonts w:ascii="Arial" w:hAnsi="Arial" w:cs="Arial"/>
                <w:sz w:val="20"/>
                <w:szCs w:val="20"/>
              </w:rPr>
              <w:t xml:space="preserve"> Star</w:t>
            </w:r>
            <w:r w:rsidR="00182C80" w:rsidRPr="000E5786">
              <w:rPr>
                <w:rFonts w:ascii="Arial" w:hAnsi="Arial" w:cs="Arial"/>
                <w:sz w:val="20"/>
                <w:szCs w:val="20"/>
              </w:rPr>
              <w:t xml:space="preserve"> provides guidance and authorisation for any Change referred to it by the Change Approval Board.</w:t>
            </w:r>
          </w:p>
          <w:p w14:paraId="71668040"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Reviews the Supplier’s service performance at a strategic level and ensures alignment with Schedule 7.8 Suppliers Financial Model</w:t>
            </w:r>
          </w:p>
          <w:p w14:paraId="0453094B"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Validates and certifies open book and/or Supplier accounts against the Supplier’s Financial Model</w:t>
            </w:r>
          </w:p>
          <w:p w14:paraId="00984769"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Monitors strategic level achievements and manages and mitigates concerns raised by either </w:t>
            </w:r>
            <w:proofErr w:type="gramStart"/>
            <w:r w:rsidRPr="000E5786">
              <w:rPr>
                <w:rFonts w:ascii="Arial" w:hAnsi="Arial" w:cs="Arial"/>
                <w:sz w:val="20"/>
                <w:szCs w:val="20"/>
              </w:rPr>
              <w:t>Party</w:t>
            </w:r>
            <w:proofErr w:type="gramEnd"/>
          </w:p>
          <w:p w14:paraId="6CF82D5B"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Reviews and approves the Continuous Improvement Plan from the Supplier</w:t>
            </w:r>
          </w:p>
          <w:p w14:paraId="07F0EE54"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Receives and reviews reports from the Service Management Review Team on technology, Service and other developments that may offer potential for improving the benefit that either Party is receiving.</w:t>
            </w:r>
          </w:p>
          <w:p w14:paraId="40F3CBAE"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bCs/>
                <w:sz w:val="20"/>
                <w:szCs w:val="20"/>
              </w:rPr>
            </w:pPr>
            <w:r w:rsidRPr="000E5786">
              <w:rPr>
                <w:rFonts w:ascii="Arial" w:hAnsi="Arial" w:cs="Arial"/>
                <w:bCs/>
                <w:sz w:val="20"/>
                <w:szCs w:val="20"/>
              </w:rPr>
              <w:t>Responds to issues escalated from other governance bodies with regards to the financial model</w:t>
            </w:r>
          </w:p>
          <w:p w14:paraId="63D9B0C5"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Hears and manages any issues escalated from other governance bodies before they turn into a </w:t>
            </w:r>
            <w:proofErr w:type="gramStart"/>
            <w:r w:rsidRPr="000E5786">
              <w:rPr>
                <w:rFonts w:ascii="Arial" w:hAnsi="Arial" w:cs="Arial"/>
                <w:sz w:val="20"/>
                <w:szCs w:val="20"/>
              </w:rPr>
              <w:t>Dispute</w:t>
            </w:r>
            <w:proofErr w:type="gramEnd"/>
          </w:p>
          <w:p w14:paraId="315F5840"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Monitors high-level Milestone delivery from current Project implementations, service delivery and any other services delivered under this Agreement.</w:t>
            </w:r>
          </w:p>
          <w:p w14:paraId="31C94B32"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Monitors resourcing for governance bodies to ensure they are </w:t>
            </w:r>
            <w:proofErr w:type="gramStart"/>
            <w:r w:rsidRPr="000E5786">
              <w:rPr>
                <w:rFonts w:ascii="Arial" w:hAnsi="Arial" w:cs="Arial"/>
                <w:sz w:val="20"/>
                <w:szCs w:val="20"/>
              </w:rPr>
              <w:t>effective</w:t>
            </w:r>
            <w:proofErr w:type="gramEnd"/>
          </w:p>
          <w:p w14:paraId="12567CA2"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Implements decisions made by the Executive Board Meeting</w:t>
            </w:r>
          </w:p>
          <w:p w14:paraId="1AF8008F"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Review status of Exit Plan obligations</w:t>
            </w:r>
          </w:p>
          <w:p w14:paraId="373A4025" w14:textId="77777777" w:rsidR="00182C80" w:rsidRPr="000E5786" w:rsidRDefault="00182C80" w:rsidP="0023281D">
            <w:pPr>
              <w:ind w:left="360"/>
              <w:rPr>
                <w:rFonts w:ascii="Arial" w:hAnsi="Arial" w:cs="Arial"/>
                <w:sz w:val="20"/>
                <w:szCs w:val="20"/>
              </w:rPr>
            </w:pPr>
          </w:p>
          <w:p w14:paraId="50BBAF3F" w14:textId="77777777" w:rsidR="00182C80" w:rsidRPr="000E5786" w:rsidRDefault="00182C80" w:rsidP="0023281D">
            <w:pPr>
              <w:keepNext/>
              <w:spacing w:after="60"/>
              <w:rPr>
                <w:rFonts w:ascii="Arial" w:hAnsi="Arial" w:cs="Arial"/>
                <w:bCs/>
                <w:sz w:val="20"/>
                <w:szCs w:val="20"/>
              </w:rPr>
            </w:pPr>
            <w:r w:rsidRPr="000E5786">
              <w:rPr>
                <w:rFonts w:ascii="Arial" w:hAnsi="Arial" w:cs="Arial"/>
                <w:bCs/>
                <w:sz w:val="20"/>
                <w:szCs w:val="20"/>
              </w:rPr>
              <w:t>Agenda shall be determined by the Chair.</w:t>
            </w:r>
          </w:p>
        </w:tc>
      </w:tr>
      <w:tr w:rsidR="00182C80" w:rsidRPr="000E5786" w14:paraId="3D2A0410" w14:textId="77777777" w:rsidTr="00C6649F">
        <w:trPr>
          <w:trHeight w:val="423"/>
        </w:trPr>
        <w:tc>
          <w:tcPr>
            <w:tcW w:w="2687" w:type="dxa"/>
          </w:tcPr>
          <w:p w14:paraId="457C7DDD" w14:textId="77777777" w:rsidR="00182C80" w:rsidRPr="000E5786" w:rsidRDefault="00182C80" w:rsidP="0023281D">
            <w:pPr>
              <w:rPr>
                <w:rFonts w:ascii="Arial" w:hAnsi="Arial" w:cs="Arial"/>
                <w:b/>
                <w:sz w:val="20"/>
                <w:szCs w:val="20"/>
              </w:rPr>
            </w:pPr>
            <w:r w:rsidRPr="000E5786">
              <w:rPr>
                <w:rFonts w:ascii="Arial" w:hAnsi="Arial" w:cs="Arial"/>
                <w:b/>
                <w:sz w:val="20"/>
                <w:szCs w:val="20"/>
              </w:rPr>
              <w:t>Scope of Authority</w:t>
            </w:r>
          </w:p>
        </w:tc>
        <w:tc>
          <w:tcPr>
            <w:tcW w:w="11591" w:type="dxa"/>
            <w:gridSpan w:val="2"/>
          </w:tcPr>
          <w:p w14:paraId="53F560F9" w14:textId="77777777" w:rsidR="00182C80" w:rsidRPr="000E5786" w:rsidRDefault="00182C80" w:rsidP="0023281D">
            <w:pPr>
              <w:contextualSpacing/>
              <w:rPr>
                <w:rFonts w:ascii="Arial" w:hAnsi="Arial" w:cs="Arial"/>
                <w:bCs/>
                <w:sz w:val="20"/>
                <w:szCs w:val="20"/>
              </w:rPr>
            </w:pPr>
            <w:r w:rsidRPr="000E5786">
              <w:rPr>
                <w:rFonts w:ascii="Arial" w:hAnsi="Arial" w:cs="Arial"/>
                <w:bCs/>
                <w:sz w:val="20"/>
                <w:szCs w:val="20"/>
              </w:rPr>
              <w:t>The Services Steering Board has authority to:</w:t>
            </w:r>
          </w:p>
          <w:p w14:paraId="07961A8F" w14:textId="13871798"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bCs/>
                <w:sz w:val="20"/>
                <w:szCs w:val="20"/>
              </w:rPr>
              <w:t xml:space="preserve">Re-set/change direction of the Service </w:t>
            </w:r>
            <w:r w:rsidRPr="000E5786">
              <w:rPr>
                <w:rFonts w:ascii="Arial" w:hAnsi="Arial" w:cs="Arial"/>
                <w:sz w:val="20"/>
                <w:szCs w:val="20"/>
              </w:rPr>
              <w:t xml:space="preserve">where closer alignment is required to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sidRPr="000E5786">
              <w:rPr>
                <w:rFonts w:ascii="Arial" w:hAnsi="Arial" w:cs="Arial"/>
                <w:sz w:val="20"/>
                <w:szCs w:val="20"/>
              </w:rPr>
              <w:t xml:space="preserve">’s strategic business needs and future direction with agreement from both </w:t>
            </w:r>
            <w:proofErr w:type="gramStart"/>
            <w:r w:rsidRPr="000E5786">
              <w:rPr>
                <w:rFonts w:ascii="Arial" w:hAnsi="Arial" w:cs="Arial"/>
                <w:sz w:val="20"/>
                <w:szCs w:val="20"/>
              </w:rPr>
              <w:t>Parties</w:t>
            </w:r>
            <w:proofErr w:type="gramEnd"/>
          </w:p>
          <w:p w14:paraId="24859B38"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Change the Service Governance </w:t>
            </w:r>
            <w:proofErr w:type="gramStart"/>
            <w:r w:rsidRPr="000E5786">
              <w:rPr>
                <w:rFonts w:ascii="Arial" w:hAnsi="Arial" w:cs="Arial"/>
                <w:sz w:val="20"/>
                <w:szCs w:val="20"/>
              </w:rPr>
              <w:t>arrangements</w:t>
            </w:r>
            <w:proofErr w:type="gramEnd"/>
          </w:p>
          <w:p w14:paraId="34A080D2"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Approve/reject project, contract and service delivery Changes including changes to the Supplier Personnel</w:t>
            </w:r>
          </w:p>
          <w:p w14:paraId="0C7ACB17"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Make decisions on any changes proposed by either Party to the Supplier’s Financial Model</w:t>
            </w:r>
          </w:p>
          <w:p w14:paraId="5DCDD9D1"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Alter commercial agreements with the Supplier</w:t>
            </w:r>
          </w:p>
        </w:tc>
      </w:tr>
      <w:tr w:rsidR="00C6649F" w:rsidRPr="000E5786" w14:paraId="5039E0B6" w14:textId="77777777" w:rsidTr="00C6649F">
        <w:trPr>
          <w:trHeight w:val="337"/>
        </w:trPr>
        <w:tc>
          <w:tcPr>
            <w:tcW w:w="2687" w:type="dxa"/>
          </w:tcPr>
          <w:p w14:paraId="0FEAAB30" w14:textId="77777777" w:rsidR="00C6649F" w:rsidRPr="000E5786" w:rsidRDefault="00C6649F" w:rsidP="0023281D">
            <w:pPr>
              <w:rPr>
                <w:rFonts w:ascii="Arial" w:hAnsi="Arial" w:cs="Arial"/>
                <w:b/>
                <w:sz w:val="20"/>
                <w:szCs w:val="20"/>
              </w:rPr>
            </w:pPr>
            <w:r w:rsidRPr="000E5786">
              <w:rPr>
                <w:rFonts w:ascii="Arial" w:hAnsi="Arial" w:cs="Arial"/>
                <w:b/>
                <w:sz w:val="20"/>
                <w:szCs w:val="20"/>
              </w:rPr>
              <w:lastRenderedPageBreak/>
              <w:t>Membership / Minimum Attendance Level (if relevant)</w:t>
            </w:r>
          </w:p>
        </w:tc>
        <w:tc>
          <w:tcPr>
            <w:tcW w:w="9257" w:type="dxa"/>
          </w:tcPr>
          <w:p w14:paraId="43B60919" w14:textId="40A0D4A5" w:rsidR="00C6649F" w:rsidRPr="000E5786" w:rsidRDefault="00C6649F" w:rsidP="0023281D">
            <w:pPr>
              <w:spacing w:before="120"/>
              <w:rPr>
                <w:rFonts w:ascii="Arial" w:hAnsi="Arial" w:cs="Arial"/>
                <w:bCs/>
                <w:sz w:val="20"/>
                <w:szCs w:val="20"/>
              </w:rPr>
            </w:pPr>
            <w:r w:rsidRPr="000E5786">
              <w:rPr>
                <w:rFonts w:ascii="Arial" w:hAnsi="Arial" w:cs="Arial"/>
                <w:bCs/>
                <w:sz w:val="20"/>
                <w:szCs w:val="20"/>
              </w:rPr>
              <w:t xml:space="preserve">Chair:  Service Assurance Manager,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p>
          <w:p w14:paraId="3987DA7A" w14:textId="750AA125" w:rsidR="00C6649F" w:rsidRPr="000E5786" w:rsidRDefault="00C6649F" w:rsidP="0023281D">
            <w:pPr>
              <w:spacing w:before="120"/>
              <w:rPr>
                <w:rFonts w:ascii="Arial" w:hAnsi="Arial" w:cs="Arial"/>
                <w:bCs/>
                <w:sz w:val="20"/>
                <w:szCs w:val="20"/>
              </w:rPr>
            </w:pPr>
            <w:r w:rsidRPr="000E5786">
              <w:rPr>
                <w:rFonts w:ascii="Arial" w:hAnsi="Arial" w:cs="Arial"/>
                <w:bCs/>
                <w:sz w:val="20"/>
                <w:szCs w:val="20"/>
              </w:rPr>
              <w:t xml:space="preserve">Administrator:  </w:t>
            </w:r>
            <w:r w:rsidRPr="000E5786">
              <w:rPr>
                <w:rFonts w:ascii="Arial" w:hAnsi="Arial" w:cs="Arial"/>
                <w:sz w:val="20"/>
                <w:szCs w:val="20"/>
              </w:rPr>
              <w:t xml:space="preserve">Supplier Manager/Contract </w:t>
            </w:r>
            <w:proofErr w:type="gramStart"/>
            <w:r w:rsidRPr="000E5786">
              <w:rPr>
                <w:rFonts w:ascii="Arial" w:hAnsi="Arial" w:cs="Arial"/>
                <w:sz w:val="20"/>
                <w:szCs w:val="20"/>
              </w:rPr>
              <w:t>Manager</w:t>
            </w:r>
            <w:r w:rsidRPr="000E5786">
              <w:rPr>
                <w:rFonts w:ascii="Arial" w:hAnsi="Arial" w:cs="Arial"/>
                <w:bCs/>
                <w:sz w:val="20"/>
                <w:szCs w:val="20"/>
              </w:rPr>
              <w:t xml:space="preserve">,  </w:t>
            </w:r>
            <w:proofErr w:type="spellStart"/>
            <w:r w:rsidR="001F1C19">
              <w:rPr>
                <w:rFonts w:ascii="Arial" w:hAnsi="Arial" w:cs="Arial"/>
                <w:bCs/>
                <w:sz w:val="20"/>
                <w:szCs w:val="20"/>
              </w:rPr>
              <w:t>Netlink</w:t>
            </w:r>
            <w:proofErr w:type="spellEnd"/>
            <w:proofErr w:type="gramEnd"/>
            <w:r w:rsidR="001F1C19">
              <w:rPr>
                <w:rFonts w:ascii="Arial" w:hAnsi="Arial" w:cs="Arial"/>
                <w:bCs/>
                <w:sz w:val="20"/>
                <w:szCs w:val="20"/>
              </w:rPr>
              <w:t xml:space="preserve"> Star</w:t>
            </w:r>
          </w:p>
          <w:p w14:paraId="2BD53E5B" w14:textId="77777777" w:rsidR="00C6649F" w:rsidRPr="000E5786" w:rsidRDefault="00C6649F" w:rsidP="0023281D">
            <w:pPr>
              <w:spacing w:before="120"/>
              <w:rPr>
                <w:rFonts w:ascii="Arial" w:hAnsi="Arial" w:cs="Arial"/>
                <w:bCs/>
                <w:sz w:val="20"/>
                <w:szCs w:val="20"/>
              </w:rPr>
            </w:pPr>
            <w:r w:rsidRPr="000E5786">
              <w:rPr>
                <w:rFonts w:ascii="Arial" w:hAnsi="Arial" w:cs="Arial"/>
                <w:bCs/>
                <w:sz w:val="20"/>
                <w:szCs w:val="20"/>
              </w:rPr>
              <w:t xml:space="preserve">Members: </w:t>
            </w:r>
          </w:p>
          <w:p w14:paraId="2EC60034" w14:textId="33D4F52A" w:rsidR="00C6649F" w:rsidRPr="000E5786" w:rsidRDefault="00C6649F"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Service Owner,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p>
          <w:p w14:paraId="7D0287E1" w14:textId="0BCE1551" w:rsidR="00C6649F" w:rsidRPr="000E5786" w:rsidRDefault="00C6649F"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Service Manager,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p>
          <w:p w14:paraId="6523BD65" w14:textId="7C147BB8" w:rsidR="00C6649F" w:rsidRPr="000E5786" w:rsidRDefault="00C6649F"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Programme Director,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sidRPr="000E5786">
              <w:rPr>
                <w:rFonts w:ascii="Arial" w:hAnsi="Arial" w:cs="Arial"/>
                <w:sz w:val="20"/>
                <w:szCs w:val="20"/>
              </w:rPr>
              <w:t xml:space="preserve">  </w:t>
            </w:r>
          </w:p>
          <w:p w14:paraId="2725B2DF" w14:textId="38DB43FF" w:rsidR="00C6649F" w:rsidRPr="000E5786" w:rsidRDefault="00C6649F" w:rsidP="00E538A1">
            <w:pPr>
              <w:pStyle w:val="ListParagraph"/>
              <w:keepNext/>
              <w:numPr>
                <w:ilvl w:val="0"/>
                <w:numId w:val="24"/>
              </w:numPr>
              <w:spacing w:before="60" w:after="60" w:line="240" w:lineRule="auto"/>
              <w:contextualSpacing w:val="0"/>
              <w:jc w:val="left"/>
              <w:rPr>
                <w:rFonts w:ascii="Arial" w:hAnsi="Arial" w:cs="Arial"/>
                <w:bCs/>
                <w:sz w:val="20"/>
                <w:szCs w:val="20"/>
              </w:rPr>
            </w:pPr>
            <w:r w:rsidRPr="000E5786">
              <w:rPr>
                <w:rFonts w:ascii="Arial" w:hAnsi="Arial" w:cs="Arial"/>
                <w:bCs/>
                <w:sz w:val="20"/>
                <w:szCs w:val="20"/>
              </w:rPr>
              <w:t xml:space="preserve">Finance Business Partner,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p>
          <w:p w14:paraId="6C4BCD0E" w14:textId="4ECC54BE" w:rsidR="00C6649F" w:rsidRPr="000E5786" w:rsidRDefault="00C6649F" w:rsidP="00E538A1">
            <w:pPr>
              <w:pStyle w:val="ListParagraph"/>
              <w:keepNext/>
              <w:numPr>
                <w:ilvl w:val="0"/>
                <w:numId w:val="24"/>
              </w:numPr>
              <w:spacing w:before="60" w:after="60" w:line="240" w:lineRule="auto"/>
              <w:contextualSpacing w:val="0"/>
              <w:jc w:val="left"/>
              <w:rPr>
                <w:rFonts w:ascii="Arial" w:hAnsi="Arial" w:cs="Arial"/>
                <w:bCs/>
                <w:sz w:val="20"/>
                <w:szCs w:val="20"/>
              </w:rPr>
            </w:pPr>
            <w:r w:rsidRPr="000E5786">
              <w:rPr>
                <w:rFonts w:ascii="Arial" w:hAnsi="Arial" w:cs="Arial"/>
                <w:bCs/>
                <w:sz w:val="20"/>
                <w:szCs w:val="20"/>
              </w:rPr>
              <w:t xml:space="preserve">Project Manager(s),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p>
          <w:p w14:paraId="33068D32" w14:textId="0FDBE554" w:rsidR="00C6649F" w:rsidRPr="00C6649F" w:rsidRDefault="00C6649F" w:rsidP="00E538A1">
            <w:pPr>
              <w:pStyle w:val="ListParagraph"/>
              <w:keepNext/>
              <w:numPr>
                <w:ilvl w:val="0"/>
                <w:numId w:val="24"/>
              </w:numPr>
              <w:spacing w:before="60" w:after="60" w:line="240" w:lineRule="auto"/>
              <w:contextualSpacing w:val="0"/>
              <w:jc w:val="left"/>
              <w:rPr>
                <w:rFonts w:ascii="Arial" w:hAnsi="Arial" w:cs="Arial"/>
                <w:bCs/>
                <w:sz w:val="20"/>
                <w:szCs w:val="20"/>
              </w:rPr>
            </w:pPr>
            <w:r w:rsidRPr="000E5786">
              <w:rPr>
                <w:rFonts w:ascii="Arial" w:hAnsi="Arial" w:cs="Arial"/>
                <w:sz w:val="20"/>
                <w:szCs w:val="20"/>
              </w:rPr>
              <w:t xml:space="preserve">Security representative,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sidRPr="000E5786">
              <w:rPr>
                <w:rFonts w:ascii="Arial" w:hAnsi="Arial" w:cs="Arial"/>
                <w:sz w:val="20"/>
                <w:szCs w:val="20"/>
              </w:rPr>
              <w:t xml:space="preserve"> (optional)</w:t>
            </w:r>
          </w:p>
          <w:p w14:paraId="1D637B6D" w14:textId="77777777" w:rsidR="00C6649F" w:rsidRPr="000E5786" w:rsidRDefault="00C6649F" w:rsidP="00E538A1">
            <w:pPr>
              <w:pStyle w:val="ListParagraph"/>
              <w:keepNext/>
              <w:numPr>
                <w:ilvl w:val="0"/>
                <w:numId w:val="24"/>
              </w:numPr>
              <w:spacing w:before="60" w:after="60" w:line="240" w:lineRule="auto"/>
              <w:contextualSpacing w:val="0"/>
              <w:jc w:val="left"/>
              <w:rPr>
                <w:rFonts w:ascii="Arial" w:hAnsi="Arial" w:cs="Arial"/>
                <w:bCs/>
                <w:sz w:val="20"/>
                <w:szCs w:val="20"/>
              </w:rPr>
            </w:pPr>
            <w:r w:rsidRPr="000E5786">
              <w:rPr>
                <w:rFonts w:ascii="Arial" w:hAnsi="Arial" w:cs="Arial"/>
                <w:bCs/>
                <w:sz w:val="20"/>
                <w:szCs w:val="20"/>
              </w:rPr>
              <w:t>Account Executive, Supplier</w:t>
            </w:r>
          </w:p>
          <w:p w14:paraId="0C82CA49" w14:textId="77777777" w:rsidR="00C6649F" w:rsidRPr="000E5786" w:rsidRDefault="00C6649F" w:rsidP="00E538A1">
            <w:pPr>
              <w:pStyle w:val="ListParagraph"/>
              <w:keepNext/>
              <w:numPr>
                <w:ilvl w:val="0"/>
                <w:numId w:val="24"/>
              </w:numPr>
              <w:spacing w:before="60" w:after="60" w:line="240" w:lineRule="auto"/>
              <w:contextualSpacing w:val="0"/>
              <w:jc w:val="left"/>
              <w:rPr>
                <w:rFonts w:ascii="Arial" w:hAnsi="Arial" w:cs="Arial"/>
                <w:bCs/>
                <w:sz w:val="20"/>
                <w:szCs w:val="20"/>
              </w:rPr>
            </w:pPr>
            <w:r w:rsidRPr="000E5786">
              <w:rPr>
                <w:rFonts w:ascii="Arial" w:hAnsi="Arial" w:cs="Arial"/>
                <w:bCs/>
                <w:sz w:val="20"/>
                <w:szCs w:val="20"/>
              </w:rPr>
              <w:t>Service Owner, Supplier</w:t>
            </w:r>
          </w:p>
          <w:p w14:paraId="10970327" w14:textId="77777777" w:rsidR="00C6649F" w:rsidRPr="000E5786" w:rsidRDefault="00C6649F" w:rsidP="00E538A1">
            <w:pPr>
              <w:pStyle w:val="ListParagraph"/>
              <w:keepNext/>
              <w:numPr>
                <w:ilvl w:val="0"/>
                <w:numId w:val="24"/>
              </w:numPr>
              <w:spacing w:before="60" w:after="60" w:line="240" w:lineRule="auto"/>
              <w:contextualSpacing w:val="0"/>
              <w:jc w:val="left"/>
              <w:rPr>
                <w:rFonts w:ascii="Arial" w:hAnsi="Arial" w:cs="Arial"/>
                <w:bCs/>
                <w:sz w:val="20"/>
                <w:szCs w:val="20"/>
              </w:rPr>
            </w:pPr>
            <w:r w:rsidRPr="000E5786">
              <w:rPr>
                <w:rFonts w:ascii="Arial" w:hAnsi="Arial" w:cs="Arial"/>
                <w:bCs/>
                <w:sz w:val="20"/>
                <w:szCs w:val="20"/>
              </w:rPr>
              <w:t>Service Delivery Manager, Supplier</w:t>
            </w:r>
          </w:p>
          <w:p w14:paraId="59E4F0A8" w14:textId="3E506769" w:rsidR="00C6649F" w:rsidRPr="000E5786" w:rsidRDefault="00C6649F" w:rsidP="00E538A1">
            <w:pPr>
              <w:pStyle w:val="ListParagraph"/>
              <w:keepNext/>
              <w:numPr>
                <w:ilvl w:val="0"/>
                <w:numId w:val="24"/>
              </w:numPr>
              <w:spacing w:before="60" w:after="60" w:line="240" w:lineRule="auto"/>
              <w:contextualSpacing w:val="0"/>
              <w:jc w:val="left"/>
            </w:pPr>
            <w:r w:rsidRPr="000E5786">
              <w:rPr>
                <w:rFonts w:ascii="Arial" w:hAnsi="Arial" w:cs="Arial"/>
                <w:sz w:val="20"/>
                <w:szCs w:val="20"/>
              </w:rPr>
              <w:t xml:space="preserve">Project Manager, </w:t>
            </w:r>
            <w:r w:rsidRPr="005A2A09">
              <w:rPr>
                <w:rFonts w:ascii="Arial" w:hAnsi="Arial" w:cs="Arial"/>
                <w:bCs/>
                <w:sz w:val="20"/>
                <w:szCs w:val="20"/>
              </w:rPr>
              <w:t>Supplier</w:t>
            </w:r>
          </w:p>
        </w:tc>
        <w:tc>
          <w:tcPr>
            <w:tcW w:w="2334" w:type="dxa"/>
          </w:tcPr>
          <w:p w14:paraId="3EF1457B" w14:textId="77777777" w:rsidR="00C6649F" w:rsidRPr="000E5786" w:rsidRDefault="00C6649F" w:rsidP="0023281D">
            <w:pPr>
              <w:contextualSpacing/>
              <w:rPr>
                <w:rFonts w:ascii="Arial" w:hAnsi="Arial" w:cs="Arial"/>
                <w:sz w:val="20"/>
                <w:szCs w:val="20"/>
              </w:rPr>
            </w:pPr>
          </w:p>
          <w:p w14:paraId="49036177" w14:textId="77777777" w:rsidR="00C6649F" w:rsidRPr="000E5786" w:rsidRDefault="00C6649F" w:rsidP="00C6649F">
            <w:pPr>
              <w:ind w:left="0" w:firstLine="0"/>
              <w:contextualSpacing/>
              <w:rPr>
                <w:rFonts w:ascii="Arial" w:hAnsi="Arial" w:cs="Arial"/>
                <w:b/>
                <w:sz w:val="20"/>
                <w:szCs w:val="20"/>
              </w:rPr>
            </w:pPr>
            <w:r w:rsidRPr="000E5786">
              <w:rPr>
                <w:rFonts w:ascii="Arial" w:hAnsi="Arial" w:cs="Arial"/>
                <w:b/>
                <w:sz w:val="20"/>
                <w:szCs w:val="20"/>
              </w:rPr>
              <w:t xml:space="preserve">Minimum Level of attendance: </w:t>
            </w:r>
          </w:p>
          <w:p w14:paraId="21BEEDA5" w14:textId="77777777" w:rsidR="00C6649F" w:rsidRPr="000E5786" w:rsidRDefault="00C6649F" w:rsidP="0023281D">
            <w:pPr>
              <w:contextualSpacing/>
              <w:rPr>
                <w:rFonts w:ascii="Arial" w:hAnsi="Arial" w:cs="Arial"/>
                <w:bCs/>
                <w:sz w:val="20"/>
                <w:szCs w:val="20"/>
              </w:rPr>
            </w:pPr>
          </w:p>
          <w:p w14:paraId="34AF9D7F" w14:textId="77777777" w:rsidR="00C6649F" w:rsidRPr="000E5786" w:rsidRDefault="00C6649F" w:rsidP="00C6649F">
            <w:pPr>
              <w:pStyle w:val="ListParagraph"/>
              <w:keepNext/>
              <w:spacing w:before="60" w:after="60" w:line="240" w:lineRule="auto"/>
              <w:ind w:left="0" w:firstLine="0"/>
              <w:contextualSpacing w:val="0"/>
              <w:jc w:val="left"/>
              <w:rPr>
                <w:rFonts w:ascii="Arial" w:hAnsi="Arial" w:cs="Arial"/>
                <w:sz w:val="20"/>
                <w:szCs w:val="20"/>
              </w:rPr>
            </w:pPr>
            <w:r w:rsidRPr="000E5786">
              <w:rPr>
                <w:rFonts w:ascii="Arial" w:hAnsi="Arial" w:cs="Arial"/>
                <w:sz w:val="20"/>
                <w:szCs w:val="20"/>
              </w:rPr>
              <w:t>At least two representatives for each Party to be present</w:t>
            </w:r>
          </w:p>
        </w:tc>
      </w:tr>
      <w:tr w:rsidR="00182C80" w:rsidRPr="000E5786" w14:paraId="471936B4" w14:textId="77777777" w:rsidTr="00C6649F">
        <w:trPr>
          <w:trHeight w:val="369"/>
        </w:trPr>
        <w:tc>
          <w:tcPr>
            <w:tcW w:w="2687" w:type="dxa"/>
          </w:tcPr>
          <w:p w14:paraId="576E7C35" w14:textId="77777777" w:rsidR="00182C80" w:rsidRPr="000E5786" w:rsidRDefault="00182C80" w:rsidP="0023281D">
            <w:pPr>
              <w:rPr>
                <w:rFonts w:ascii="Arial" w:hAnsi="Arial" w:cs="Arial"/>
                <w:b/>
                <w:sz w:val="20"/>
                <w:szCs w:val="20"/>
              </w:rPr>
            </w:pPr>
            <w:r w:rsidRPr="000E5786">
              <w:rPr>
                <w:rFonts w:ascii="Arial" w:hAnsi="Arial" w:cs="Arial"/>
                <w:b/>
                <w:sz w:val="20"/>
                <w:szCs w:val="20"/>
              </w:rPr>
              <w:t>Frequency</w:t>
            </w:r>
          </w:p>
        </w:tc>
        <w:tc>
          <w:tcPr>
            <w:tcW w:w="11591" w:type="dxa"/>
            <w:gridSpan w:val="2"/>
          </w:tcPr>
          <w:p w14:paraId="449FF224" w14:textId="77777777" w:rsidR="00182C80" w:rsidRPr="000E5786" w:rsidRDefault="00182C80" w:rsidP="0023281D">
            <w:pPr>
              <w:rPr>
                <w:rFonts w:ascii="Arial" w:hAnsi="Arial" w:cs="Arial"/>
                <w:sz w:val="20"/>
                <w:szCs w:val="20"/>
              </w:rPr>
            </w:pPr>
            <w:r w:rsidRPr="000E5786">
              <w:rPr>
                <w:rFonts w:ascii="Arial" w:hAnsi="Arial" w:cs="Arial"/>
                <w:sz w:val="20"/>
                <w:szCs w:val="20"/>
              </w:rPr>
              <w:t>Quarterly</w:t>
            </w:r>
          </w:p>
        </w:tc>
      </w:tr>
      <w:tr w:rsidR="00182C80" w:rsidRPr="000E5786" w14:paraId="29D00F73" w14:textId="77777777" w:rsidTr="00C6649F">
        <w:trPr>
          <w:trHeight w:val="397"/>
        </w:trPr>
        <w:tc>
          <w:tcPr>
            <w:tcW w:w="2687" w:type="dxa"/>
          </w:tcPr>
          <w:p w14:paraId="2D547940" w14:textId="77777777" w:rsidR="00182C80" w:rsidRPr="000E5786" w:rsidRDefault="00182C80" w:rsidP="0023281D">
            <w:pPr>
              <w:rPr>
                <w:rFonts w:ascii="Arial" w:hAnsi="Arial" w:cs="Arial"/>
                <w:b/>
                <w:sz w:val="20"/>
                <w:szCs w:val="20"/>
              </w:rPr>
            </w:pPr>
            <w:r w:rsidRPr="000E5786">
              <w:rPr>
                <w:rFonts w:ascii="Arial" w:hAnsi="Arial" w:cs="Arial"/>
                <w:b/>
                <w:sz w:val="20"/>
                <w:szCs w:val="20"/>
              </w:rPr>
              <w:t>Areas for review</w:t>
            </w:r>
          </w:p>
        </w:tc>
        <w:tc>
          <w:tcPr>
            <w:tcW w:w="11591" w:type="dxa"/>
            <w:gridSpan w:val="2"/>
          </w:tcPr>
          <w:p w14:paraId="1CBC4845" w14:textId="77777777" w:rsidR="00182C80" w:rsidRPr="000E5786" w:rsidRDefault="00182C80" w:rsidP="00E538A1">
            <w:pPr>
              <w:pStyle w:val="ListParagraph"/>
              <w:keepNext/>
              <w:numPr>
                <w:ilvl w:val="0"/>
                <w:numId w:val="24"/>
              </w:numPr>
              <w:spacing w:before="60" w:after="60" w:line="240" w:lineRule="auto"/>
              <w:ind w:left="714" w:hanging="357"/>
              <w:contextualSpacing w:val="0"/>
              <w:jc w:val="left"/>
              <w:rPr>
                <w:rFonts w:ascii="Arial" w:hAnsi="Arial" w:cs="Arial"/>
                <w:sz w:val="20"/>
                <w:szCs w:val="20"/>
              </w:rPr>
            </w:pPr>
            <w:r w:rsidRPr="000E5786">
              <w:rPr>
                <w:rFonts w:ascii="Arial" w:hAnsi="Arial" w:cs="Arial"/>
                <w:sz w:val="20"/>
                <w:szCs w:val="20"/>
              </w:rPr>
              <w:t>Service Performance, Projects, Improvement Opportunities, Business Strategy Alignment, Escalations</w:t>
            </w:r>
          </w:p>
          <w:p w14:paraId="7E2D457F" w14:textId="77777777" w:rsidR="00182C80" w:rsidRPr="000E5786" w:rsidRDefault="00182C80" w:rsidP="00E538A1">
            <w:pPr>
              <w:pStyle w:val="ListParagraph"/>
              <w:keepNext/>
              <w:numPr>
                <w:ilvl w:val="0"/>
                <w:numId w:val="24"/>
              </w:numPr>
              <w:spacing w:before="60" w:after="60" w:line="240" w:lineRule="auto"/>
              <w:ind w:left="714" w:hanging="357"/>
              <w:contextualSpacing w:val="0"/>
              <w:jc w:val="left"/>
              <w:rPr>
                <w:rFonts w:ascii="Arial" w:hAnsi="Arial" w:cs="Arial"/>
                <w:sz w:val="20"/>
                <w:szCs w:val="20"/>
              </w:rPr>
            </w:pPr>
            <w:r w:rsidRPr="000E5786">
              <w:rPr>
                <w:rFonts w:ascii="Arial" w:hAnsi="Arial" w:cs="Arial"/>
                <w:sz w:val="20"/>
                <w:szCs w:val="20"/>
              </w:rPr>
              <w:t>Financial position, Costs, Savings, Opportunities, Total Cost of Ownership</w:t>
            </w:r>
          </w:p>
        </w:tc>
      </w:tr>
      <w:tr w:rsidR="00182C80" w:rsidRPr="000E5786" w14:paraId="25A26043" w14:textId="77777777" w:rsidTr="00C6649F">
        <w:trPr>
          <w:trHeight w:val="397"/>
        </w:trPr>
        <w:tc>
          <w:tcPr>
            <w:tcW w:w="2687" w:type="dxa"/>
          </w:tcPr>
          <w:p w14:paraId="2DED816D" w14:textId="77777777" w:rsidR="00182C80" w:rsidRPr="000E5786" w:rsidRDefault="00182C80" w:rsidP="0023281D">
            <w:pPr>
              <w:rPr>
                <w:rFonts w:ascii="Arial" w:hAnsi="Arial" w:cs="Arial"/>
                <w:b/>
                <w:sz w:val="20"/>
                <w:szCs w:val="20"/>
              </w:rPr>
            </w:pPr>
            <w:r w:rsidRPr="000E5786">
              <w:rPr>
                <w:rFonts w:ascii="Arial" w:hAnsi="Arial" w:cs="Arial"/>
                <w:b/>
                <w:sz w:val="20"/>
                <w:szCs w:val="20"/>
              </w:rPr>
              <w:t>Inputs</w:t>
            </w:r>
          </w:p>
        </w:tc>
        <w:tc>
          <w:tcPr>
            <w:tcW w:w="11591" w:type="dxa"/>
            <w:gridSpan w:val="2"/>
          </w:tcPr>
          <w:p w14:paraId="0B8AF37D" w14:textId="77777777" w:rsidR="00182C80" w:rsidRPr="000E5786" w:rsidRDefault="00182C80" w:rsidP="00E538A1">
            <w:pPr>
              <w:pStyle w:val="ListParagraph"/>
              <w:keepNext/>
              <w:numPr>
                <w:ilvl w:val="0"/>
                <w:numId w:val="24"/>
              </w:numPr>
              <w:spacing w:before="60" w:after="60" w:line="240" w:lineRule="auto"/>
              <w:ind w:left="714" w:hanging="357"/>
              <w:contextualSpacing w:val="0"/>
              <w:jc w:val="left"/>
              <w:rPr>
                <w:rFonts w:ascii="Arial" w:hAnsi="Arial" w:cs="Arial"/>
                <w:sz w:val="20"/>
                <w:szCs w:val="20"/>
              </w:rPr>
            </w:pPr>
            <w:r w:rsidRPr="000E5786">
              <w:rPr>
                <w:rFonts w:ascii="Arial" w:hAnsi="Arial" w:cs="Arial"/>
                <w:sz w:val="20"/>
                <w:szCs w:val="20"/>
              </w:rPr>
              <w:t>High level Service Management Reports, Dashboard Reports, KPI Reports, Service Improvement suggestions with benefits</w:t>
            </w:r>
          </w:p>
          <w:p w14:paraId="6CABC16C" w14:textId="77777777" w:rsidR="00182C80" w:rsidRPr="000E5786" w:rsidRDefault="00182C80" w:rsidP="00E538A1">
            <w:pPr>
              <w:pStyle w:val="ListParagraph"/>
              <w:keepNext/>
              <w:numPr>
                <w:ilvl w:val="0"/>
                <w:numId w:val="24"/>
              </w:numPr>
              <w:spacing w:before="60" w:after="60" w:line="240" w:lineRule="auto"/>
              <w:ind w:left="714" w:hanging="357"/>
              <w:contextualSpacing w:val="0"/>
              <w:jc w:val="left"/>
              <w:rPr>
                <w:rFonts w:ascii="Arial" w:hAnsi="Arial" w:cs="Arial"/>
                <w:sz w:val="20"/>
                <w:szCs w:val="20"/>
              </w:rPr>
            </w:pPr>
            <w:r w:rsidRPr="000E5786">
              <w:rPr>
                <w:rFonts w:ascii="Arial" w:hAnsi="Arial" w:cs="Arial"/>
                <w:sz w:val="20"/>
                <w:szCs w:val="20"/>
              </w:rPr>
              <w:t>Schedule 7.4 Supplier’s Financial Model</w:t>
            </w:r>
          </w:p>
          <w:p w14:paraId="14284339" w14:textId="77777777" w:rsidR="00182C80" w:rsidRPr="000E5786" w:rsidRDefault="00182C80" w:rsidP="00E538A1">
            <w:pPr>
              <w:pStyle w:val="ListParagraph"/>
              <w:keepNext/>
              <w:numPr>
                <w:ilvl w:val="0"/>
                <w:numId w:val="24"/>
              </w:numPr>
              <w:spacing w:before="60" w:after="60" w:line="240" w:lineRule="auto"/>
              <w:ind w:left="714" w:hanging="357"/>
              <w:contextualSpacing w:val="0"/>
              <w:jc w:val="left"/>
              <w:rPr>
                <w:rFonts w:ascii="Arial" w:hAnsi="Arial" w:cs="Arial"/>
                <w:sz w:val="20"/>
                <w:szCs w:val="20"/>
              </w:rPr>
            </w:pPr>
            <w:r w:rsidRPr="000E5786">
              <w:rPr>
                <w:rFonts w:ascii="Arial" w:hAnsi="Arial" w:cs="Arial"/>
                <w:sz w:val="20"/>
                <w:szCs w:val="20"/>
              </w:rPr>
              <w:t xml:space="preserve">Current </w:t>
            </w:r>
            <w:proofErr w:type="gramStart"/>
            <w:r w:rsidRPr="000E5786">
              <w:rPr>
                <w:rFonts w:ascii="Arial" w:hAnsi="Arial" w:cs="Arial"/>
                <w:sz w:val="20"/>
                <w:szCs w:val="20"/>
              </w:rPr>
              <w:t>spend</w:t>
            </w:r>
            <w:proofErr w:type="gramEnd"/>
            <w:r w:rsidRPr="000E5786">
              <w:rPr>
                <w:rFonts w:ascii="Arial" w:hAnsi="Arial" w:cs="Arial"/>
                <w:sz w:val="20"/>
                <w:szCs w:val="20"/>
              </w:rPr>
              <w:t xml:space="preserve"> versus forecasted spend</w:t>
            </w:r>
          </w:p>
          <w:p w14:paraId="67A7A644" w14:textId="01F97500" w:rsidR="00182C80" w:rsidRPr="000E5786" w:rsidRDefault="00182C80" w:rsidP="00E538A1">
            <w:pPr>
              <w:pStyle w:val="ListParagraph"/>
              <w:keepNext/>
              <w:numPr>
                <w:ilvl w:val="0"/>
                <w:numId w:val="24"/>
              </w:numPr>
              <w:spacing w:before="60" w:after="60" w:line="240" w:lineRule="auto"/>
              <w:ind w:left="714" w:hanging="357"/>
              <w:contextualSpacing w:val="0"/>
              <w:jc w:val="left"/>
              <w:rPr>
                <w:rFonts w:ascii="Arial" w:hAnsi="Arial" w:cs="Arial"/>
                <w:sz w:val="20"/>
                <w:szCs w:val="20"/>
              </w:rPr>
            </w:pPr>
            <w:r w:rsidRPr="000E5786">
              <w:rPr>
                <w:rFonts w:ascii="Arial" w:hAnsi="Arial" w:cs="Arial"/>
                <w:sz w:val="20"/>
                <w:szCs w:val="20"/>
              </w:rPr>
              <w:t xml:space="preserve">List of continuous improvement initiatives to reduce costs (for the Supplier and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sidRPr="000E5786">
              <w:rPr>
                <w:rFonts w:ascii="Arial" w:hAnsi="Arial" w:cs="Arial"/>
                <w:sz w:val="20"/>
                <w:szCs w:val="20"/>
              </w:rPr>
              <w:t>) – TCO KPIs.</w:t>
            </w:r>
          </w:p>
        </w:tc>
      </w:tr>
      <w:tr w:rsidR="00182C80" w:rsidRPr="000E5786" w14:paraId="0A2EEDBC" w14:textId="77777777" w:rsidTr="00C6649F">
        <w:trPr>
          <w:trHeight w:val="377"/>
        </w:trPr>
        <w:tc>
          <w:tcPr>
            <w:tcW w:w="2687" w:type="dxa"/>
          </w:tcPr>
          <w:p w14:paraId="6153B0D8" w14:textId="77777777" w:rsidR="00182C80" w:rsidRPr="000E5786" w:rsidRDefault="00182C80" w:rsidP="0023281D">
            <w:pPr>
              <w:rPr>
                <w:rFonts w:ascii="Arial" w:hAnsi="Arial" w:cs="Arial"/>
                <w:b/>
                <w:sz w:val="20"/>
                <w:szCs w:val="20"/>
              </w:rPr>
            </w:pPr>
            <w:r w:rsidRPr="000E5786">
              <w:rPr>
                <w:rFonts w:ascii="Arial" w:hAnsi="Arial" w:cs="Arial"/>
                <w:b/>
                <w:sz w:val="20"/>
                <w:szCs w:val="20"/>
              </w:rPr>
              <w:t>Outputs</w:t>
            </w:r>
          </w:p>
        </w:tc>
        <w:tc>
          <w:tcPr>
            <w:tcW w:w="11591" w:type="dxa"/>
            <w:gridSpan w:val="2"/>
          </w:tcPr>
          <w:p w14:paraId="62B44BBF"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Minutes, Resolutions to Escalations/Items for Escalation</w:t>
            </w:r>
          </w:p>
          <w:p w14:paraId="39CAD333"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Schedule 7.4 Supplier’s Financial Model (if any changes)</w:t>
            </w:r>
          </w:p>
          <w:p w14:paraId="35152C30" w14:textId="77777777"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 xml:space="preserve">Acceptance and detail of any Changes including Change </w:t>
            </w:r>
            <w:proofErr w:type="gramStart"/>
            <w:r w:rsidRPr="000E5786">
              <w:rPr>
                <w:rFonts w:ascii="Arial" w:hAnsi="Arial" w:cs="Arial"/>
                <w:sz w:val="20"/>
                <w:szCs w:val="20"/>
                <w:lang w:eastAsia="ja-JP"/>
              </w:rPr>
              <w:t>owner</w:t>
            </w:r>
            <w:proofErr w:type="gramEnd"/>
          </w:p>
          <w:p w14:paraId="084CED0E" w14:textId="5A0A3E4A" w:rsidR="00182C80" w:rsidRPr="000E5786" w:rsidRDefault="00182C80"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 xml:space="preserve">Agreement/acceptance that </w:t>
            </w:r>
            <w:proofErr w:type="spellStart"/>
            <w:r w:rsidR="001F1C19">
              <w:rPr>
                <w:rFonts w:ascii="Arial" w:hAnsi="Arial" w:cs="Arial"/>
                <w:sz w:val="20"/>
                <w:szCs w:val="20"/>
                <w:lang w:eastAsia="ja-JP"/>
              </w:rPr>
              <w:t>Netlink</w:t>
            </w:r>
            <w:proofErr w:type="spellEnd"/>
            <w:r w:rsidR="001F1C19">
              <w:rPr>
                <w:rFonts w:ascii="Arial" w:hAnsi="Arial" w:cs="Arial"/>
                <w:sz w:val="20"/>
                <w:szCs w:val="20"/>
                <w:lang w:eastAsia="ja-JP"/>
              </w:rPr>
              <w:t xml:space="preserve"> Star</w:t>
            </w:r>
            <w:r w:rsidRPr="000E5786">
              <w:rPr>
                <w:rFonts w:ascii="Arial" w:hAnsi="Arial" w:cs="Arial"/>
                <w:sz w:val="20"/>
                <w:szCs w:val="20"/>
                <w:lang w:eastAsia="ja-JP"/>
              </w:rPr>
              <w:t xml:space="preserve"> security standards are being met</w:t>
            </w:r>
          </w:p>
        </w:tc>
      </w:tr>
      <w:tr w:rsidR="00182C80" w:rsidRPr="000E5786" w14:paraId="099E5D85" w14:textId="77777777" w:rsidTr="00C6649F">
        <w:trPr>
          <w:trHeight w:val="397"/>
        </w:trPr>
        <w:tc>
          <w:tcPr>
            <w:tcW w:w="2687" w:type="dxa"/>
          </w:tcPr>
          <w:p w14:paraId="4562E8E3" w14:textId="77777777" w:rsidR="00182C80" w:rsidRPr="000E5786" w:rsidRDefault="00182C80" w:rsidP="0023281D">
            <w:pPr>
              <w:rPr>
                <w:rFonts w:ascii="Arial" w:hAnsi="Arial" w:cs="Arial"/>
                <w:b/>
                <w:sz w:val="20"/>
                <w:szCs w:val="20"/>
              </w:rPr>
            </w:pPr>
            <w:r w:rsidRPr="000E5786">
              <w:rPr>
                <w:rFonts w:ascii="Arial" w:hAnsi="Arial" w:cs="Arial"/>
                <w:b/>
                <w:sz w:val="20"/>
                <w:szCs w:val="20"/>
              </w:rPr>
              <w:t>Escalation</w:t>
            </w:r>
          </w:p>
        </w:tc>
        <w:tc>
          <w:tcPr>
            <w:tcW w:w="11591" w:type="dxa"/>
            <w:gridSpan w:val="2"/>
          </w:tcPr>
          <w:p w14:paraId="7E8D3104" w14:textId="77777777" w:rsidR="00182C80" w:rsidRPr="000E5786" w:rsidRDefault="00182C80" w:rsidP="0023281D">
            <w:pPr>
              <w:keepNext/>
              <w:rPr>
                <w:rFonts w:ascii="Arial" w:hAnsi="Arial" w:cs="Arial"/>
                <w:sz w:val="20"/>
                <w:szCs w:val="20"/>
              </w:rPr>
            </w:pPr>
            <w:r w:rsidRPr="000E5786">
              <w:rPr>
                <w:rFonts w:ascii="Arial" w:hAnsi="Arial" w:cs="Arial"/>
                <w:sz w:val="20"/>
                <w:szCs w:val="20"/>
              </w:rPr>
              <w:t>Executive Board Meeting</w:t>
            </w:r>
          </w:p>
        </w:tc>
      </w:tr>
      <w:tr w:rsidR="00182C80" w:rsidRPr="000E5786" w14:paraId="1ED8AE09" w14:textId="77777777" w:rsidTr="00C6649F">
        <w:trPr>
          <w:trHeight w:val="397"/>
        </w:trPr>
        <w:tc>
          <w:tcPr>
            <w:tcW w:w="2687" w:type="dxa"/>
          </w:tcPr>
          <w:p w14:paraId="1B765C8F" w14:textId="77777777" w:rsidR="00182C80" w:rsidRPr="000E5786" w:rsidRDefault="00182C80" w:rsidP="0023281D">
            <w:pPr>
              <w:rPr>
                <w:rFonts w:ascii="Arial" w:hAnsi="Arial" w:cs="Arial"/>
                <w:b/>
                <w:sz w:val="20"/>
                <w:szCs w:val="20"/>
              </w:rPr>
            </w:pPr>
            <w:r w:rsidRPr="000E5786">
              <w:rPr>
                <w:rFonts w:ascii="Arial" w:hAnsi="Arial" w:cs="Arial"/>
                <w:b/>
                <w:sz w:val="20"/>
                <w:szCs w:val="20"/>
              </w:rPr>
              <w:t>Related Meetings</w:t>
            </w:r>
          </w:p>
        </w:tc>
        <w:tc>
          <w:tcPr>
            <w:tcW w:w="11591" w:type="dxa"/>
            <w:gridSpan w:val="2"/>
          </w:tcPr>
          <w:p w14:paraId="26C997FE" w14:textId="77777777" w:rsidR="00182C80" w:rsidRPr="000E5786" w:rsidRDefault="00182C80" w:rsidP="0023281D">
            <w:pPr>
              <w:rPr>
                <w:rFonts w:ascii="Arial" w:hAnsi="Arial" w:cs="Arial"/>
                <w:sz w:val="20"/>
                <w:szCs w:val="20"/>
              </w:rPr>
            </w:pPr>
            <w:r w:rsidRPr="000E5786">
              <w:rPr>
                <w:rFonts w:ascii="Arial" w:hAnsi="Arial" w:cs="Arial"/>
                <w:sz w:val="20"/>
                <w:szCs w:val="20"/>
              </w:rPr>
              <w:t>Service Management Review Meeting, Data Centre Portfolio Board</w:t>
            </w:r>
          </w:p>
        </w:tc>
      </w:tr>
    </w:tbl>
    <w:p w14:paraId="0813F1D1" w14:textId="77777777" w:rsidR="001678A2" w:rsidRDefault="001678A2" w:rsidP="001678A2">
      <w:pPr>
        <w:ind w:left="0" w:firstLine="0"/>
        <w:rPr>
          <w:rFonts w:cs="Arial"/>
          <w:szCs w:val="20"/>
        </w:rPr>
      </w:pPr>
      <w:r>
        <w:rPr>
          <w:rFonts w:cs="Arial"/>
          <w:szCs w:val="20"/>
        </w:rPr>
        <w:br w:type="page"/>
      </w:r>
    </w:p>
    <w:tbl>
      <w:tblPr>
        <w:tblStyle w:val="TableGrid0"/>
        <w:tblW w:w="5310" w:type="pct"/>
        <w:tblLook w:val="04A0" w:firstRow="1" w:lastRow="0" w:firstColumn="1" w:lastColumn="0" w:noHBand="0" w:noVBand="1"/>
      </w:tblPr>
      <w:tblGrid>
        <w:gridCol w:w="1395"/>
        <w:gridCol w:w="5284"/>
        <w:gridCol w:w="1600"/>
        <w:gridCol w:w="3685"/>
        <w:gridCol w:w="3199"/>
      </w:tblGrid>
      <w:tr w:rsidR="001678A2" w:rsidRPr="000E5786" w14:paraId="63F38A24" w14:textId="77777777" w:rsidTr="001678A2">
        <w:trPr>
          <w:trHeight w:val="397"/>
        </w:trPr>
        <w:tc>
          <w:tcPr>
            <w:tcW w:w="1395" w:type="dxa"/>
            <w:shd w:val="clear" w:color="auto" w:fill="BFBFBF" w:themeFill="background1" w:themeFillShade="BF"/>
          </w:tcPr>
          <w:p w14:paraId="637894B2" w14:textId="77777777" w:rsidR="001678A2" w:rsidRPr="000E5786" w:rsidRDefault="001678A2" w:rsidP="008B6AF5">
            <w:pPr>
              <w:keepNext/>
              <w:rPr>
                <w:rFonts w:ascii="Arial" w:hAnsi="Arial" w:cs="Arial"/>
                <w:b/>
                <w:bCs/>
                <w:sz w:val="20"/>
                <w:szCs w:val="20"/>
              </w:rPr>
            </w:pPr>
            <w:r w:rsidRPr="000E5786">
              <w:rPr>
                <w:rFonts w:ascii="Arial" w:hAnsi="Arial" w:cs="Arial"/>
                <w:sz w:val="20"/>
                <w:szCs w:val="20"/>
              </w:rPr>
              <w:lastRenderedPageBreak/>
              <w:br w:type="page"/>
            </w:r>
            <w:r w:rsidRPr="000E5786">
              <w:rPr>
                <w:rFonts w:ascii="Arial" w:hAnsi="Arial" w:cs="Arial"/>
                <w:sz w:val="20"/>
                <w:szCs w:val="20"/>
              </w:rPr>
              <w:br w:type="page"/>
            </w:r>
            <w:r w:rsidRPr="000E5786">
              <w:rPr>
                <w:rFonts w:ascii="Arial" w:hAnsi="Arial" w:cs="Arial"/>
                <w:sz w:val="20"/>
                <w:szCs w:val="20"/>
              </w:rPr>
              <w:br w:type="page"/>
            </w:r>
            <w:r w:rsidRPr="000E5786">
              <w:rPr>
                <w:rFonts w:ascii="Arial" w:hAnsi="Arial" w:cs="Arial"/>
                <w:b/>
                <w:bCs/>
                <w:sz w:val="20"/>
                <w:szCs w:val="20"/>
              </w:rPr>
              <w:t>Charter</w:t>
            </w:r>
          </w:p>
        </w:tc>
        <w:tc>
          <w:tcPr>
            <w:tcW w:w="13768" w:type="dxa"/>
            <w:gridSpan w:val="4"/>
            <w:shd w:val="clear" w:color="auto" w:fill="BFBFBF" w:themeFill="background1" w:themeFillShade="BF"/>
          </w:tcPr>
          <w:p w14:paraId="23ED5C1D" w14:textId="09124966" w:rsidR="001678A2" w:rsidRPr="000706DD" w:rsidRDefault="000706DD" w:rsidP="008B6AF5">
            <w:pPr>
              <w:keepNext/>
              <w:rPr>
                <w:rFonts w:ascii="Arial" w:hAnsi="Arial" w:cs="Arial"/>
                <w:b/>
                <w:sz w:val="20"/>
                <w:szCs w:val="20"/>
              </w:rPr>
            </w:pPr>
            <w:r w:rsidRPr="000706DD">
              <w:rPr>
                <w:rFonts w:ascii="Arial" w:hAnsi="Arial" w:cs="Arial"/>
                <w:b/>
                <w:sz w:val="20"/>
                <w:szCs w:val="20"/>
              </w:rPr>
              <w:t>Service Management Review Meeting</w:t>
            </w:r>
          </w:p>
        </w:tc>
      </w:tr>
      <w:tr w:rsidR="001678A2" w:rsidRPr="000E5786" w14:paraId="20E78B83" w14:textId="77777777" w:rsidTr="001678A2">
        <w:trPr>
          <w:trHeight w:val="423"/>
        </w:trPr>
        <w:tc>
          <w:tcPr>
            <w:tcW w:w="1395" w:type="dxa"/>
          </w:tcPr>
          <w:p w14:paraId="11077D78" w14:textId="77777777" w:rsidR="001678A2" w:rsidRPr="000E5786" w:rsidRDefault="001678A2" w:rsidP="008B6AF5">
            <w:pPr>
              <w:pStyle w:val="ScheduleTitle"/>
              <w:numPr>
                <w:ilvl w:val="0"/>
                <w:numId w:val="0"/>
              </w:numPr>
              <w:jc w:val="both"/>
              <w:rPr>
                <w:rFonts w:ascii="Arial" w:hAnsi="Arial" w:cs="Arial"/>
                <w:sz w:val="20"/>
                <w:szCs w:val="20"/>
              </w:rPr>
            </w:pPr>
            <w:r w:rsidRPr="000E5786">
              <w:rPr>
                <w:rFonts w:ascii="Arial" w:hAnsi="Arial" w:cs="Arial"/>
                <w:sz w:val="20"/>
                <w:szCs w:val="20"/>
              </w:rPr>
              <w:t>Purpose / Role / Agenda</w:t>
            </w:r>
          </w:p>
        </w:tc>
        <w:tc>
          <w:tcPr>
            <w:tcW w:w="13768" w:type="dxa"/>
            <w:gridSpan w:val="4"/>
          </w:tcPr>
          <w:p w14:paraId="72DADEBA" w14:textId="77777777" w:rsidR="001678A2" w:rsidRPr="000E5786" w:rsidRDefault="001678A2" w:rsidP="001678A2">
            <w:pPr>
              <w:pStyle w:val="Purpose"/>
              <w:keepNext w:val="0"/>
              <w:rPr>
                <w:rFonts w:ascii="Arial" w:hAnsi="Arial"/>
                <w:sz w:val="20"/>
              </w:rPr>
            </w:pPr>
            <w:r w:rsidRPr="000E5786">
              <w:rPr>
                <w:rFonts w:ascii="Arial" w:hAnsi="Arial"/>
                <w:b/>
                <w:bCs w:val="0"/>
                <w:sz w:val="20"/>
              </w:rPr>
              <w:t>Purpose:</w:t>
            </w:r>
            <w:r w:rsidRPr="000E5786">
              <w:rPr>
                <w:rFonts w:ascii="Arial" w:hAnsi="Arial"/>
                <w:sz w:val="20"/>
              </w:rPr>
              <w:t xml:space="preserve">  to provide day-to-day decision-making and business-as-usual operational governance between all Parties</w:t>
            </w:r>
          </w:p>
          <w:p w14:paraId="519F8C11" w14:textId="77777777" w:rsidR="001678A2" w:rsidRPr="000E5786" w:rsidRDefault="001678A2" w:rsidP="001678A2">
            <w:pPr>
              <w:rPr>
                <w:rFonts w:ascii="Arial" w:hAnsi="Arial" w:cs="Arial"/>
                <w:b/>
                <w:sz w:val="20"/>
                <w:szCs w:val="20"/>
              </w:rPr>
            </w:pPr>
            <w:r w:rsidRPr="000E5786">
              <w:rPr>
                <w:rFonts w:ascii="Arial" w:hAnsi="Arial" w:cs="Arial"/>
                <w:b/>
                <w:sz w:val="20"/>
                <w:szCs w:val="20"/>
              </w:rPr>
              <w:t>Role:</w:t>
            </w:r>
          </w:p>
          <w:p w14:paraId="70CD43CF" w14:textId="77777777" w:rsidR="001678A2" w:rsidRPr="000E5786" w:rsidRDefault="001678A2" w:rsidP="00E538A1">
            <w:pPr>
              <w:pStyle w:val="ListParagraph"/>
              <w:numPr>
                <w:ilvl w:val="0"/>
                <w:numId w:val="24"/>
              </w:numPr>
              <w:spacing w:before="60" w:after="60" w:line="240" w:lineRule="auto"/>
              <w:ind w:left="457"/>
              <w:contextualSpacing w:val="0"/>
              <w:jc w:val="left"/>
              <w:rPr>
                <w:rFonts w:ascii="Arial" w:hAnsi="Arial" w:cs="Arial"/>
                <w:sz w:val="20"/>
                <w:szCs w:val="20"/>
              </w:rPr>
            </w:pPr>
            <w:r w:rsidRPr="000E5786">
              <w:rPr>
                <w:rFonts w:ascii="Arial" w:hAnsi="Arial" w:cs="Arial"/>
                <w:sz w:val="20"/>
                <w:szCs w:val="20"/>
              </w:rPr>
              <w:t xml:space="preserve">Manages and assesses the general operational performance of Supplier, </w:t>
            </w:r>
            <w:proofErr w:type="gramStart"/>
            <w:r w:rsidRPr="000E5786">
              <w:rPr>
                <w:rFonts w:ascii="Arial" w:hAnsi="Arial" w:cs="Arial"/>
                <w:sz w:val="20"/>
                <w:szCs w:val="20"/>
              </w:rPr>
              <w:t>e.g.</w:t>
            </w:r>
            <w:proofErr w:type="gramEnd"/>
            <w:r w:rsidRPr="000E5786">
              <w:rPr>
                <w:rFonts w:ascii="Arial" w:hAnsi="Arial" w:cs="Arial"/>
                <w:sz w:val="20"/>
                <w:szCs w:val="20"/>
              </w:rPr>
              <w:t xml:space="preserve"> against SLAs and that the Supplier’s reporting is sufficient for this purpose</w:t>
            </w:r>
          </w:p>
          <w:p w14:paraId="0DAF6206" w14:textId="77777777" w:rsidR="001678A2" w:rsidRPr="000E5786" w:rsidRDefault="001678A2" w:rsidP="00E538A1">
            <w:pPr>
              <w:pStyle w:val="ListParagraph"/>
              <w:numPr>
                <w:ilvl w:val="0"/>
                <w:numId w:val="24"/>
              </w:numPr>
              <w:spacing w:before="60" w:after="60" w:line="240" w:lineRule="auto"/>
              <w:ind w:left="457"/>
              <w:contextualSpacing w:val="0"/>
              <w:jc w:val="left"/>
              <w:rPr>
                <w:rFonts w:ascii="Arial" w:hAnsi="Arial" w:cs="Arial"/>
                <w:sz w:val="20"/>
                <w:szCs w:val="20"/>
              </w:rPr>
            </w:pPr>
            <w:r w:rsidRPr="000E5786">
              <w:rPr>
                <w:rFonts w:ascii="Arial" w:hAnsi="Arial" w:cs="Arial"/>
                <w:sz w:val="20"/>
                <w:szCs w:val="20"/>
              </w:rPr>
              <w:t xml:space="preserve">Ensures that daily Service management decisions are made to deliver and enable the successful ongoing operation of the Service, </w:t>
            </w:r>
            <w:proofErr w:type="gramStart"/>
            <w:r w:rsidRPr="000E5786">
              <w:rPr>
                <w:rFonts w:ascii="Arial" w:hAnsi="Arial" w:cs="Arial"/>
                <w:sz w:val="20"/>
                <w:szCs w:val="20"/>
              </w:rPr>
              <w:t>e.g.</w:t>
            </w:r>
            <w:proofErr w:type="gramEnd"/>
            <w:r w:rsidRPr="000E5786">
              <w:rPr>
                <w:rFonts w:ascii="Arial" w:hAnsi="Arial" w:cs="Arial"/>
                <w:sz w:val="20"/>
                <w:szCs w:val="20"/>
              </w:rPr>
              <w:t xml:space="preserve"> monitors: safety, compliance to standards, technical/architectural changes</w:t>
            </w:r>
          </w:p>
          <w:p w14:paraId="1C50438B" w14:textId="77777777" w:rsidR="001678A2" w:rsidRPr="000E5786" w:rsidRDefault="001678A2" w:rsidP="00E538A1">
            <w:pPr>
              <w:pStyle w:val="ListParagraph"/>
              <w:numPr>
                <w:ilvl w:val="0"/>
                <w:numId w:val="24"/>
              </w:numPr>
              <w:spacing w:before="60" w:after="60" w:line="240" w:lineRule="auto"/>
              <w:ind w:left="457"/>
              <w:contextualSpacing w:val="0"/>
              <w:jc w:val="left"/>
              <w:rPr>
                <w:rFonts w:ascii="Arial" w:hAnsi="Arial" w:cs="Arial"/>
                <w:sz w:val="20"/>
                <w:szCs w:val="20"/>
              </w:rPr>
            </w:pPr>
            <w:r w:rsidRPr="000E5786">
              <w:rPr>
                <w:rFonts w:ascii="Arial" w:hAnsi="Arial" w:cs="Arial"/>
                <w:sz w:val="20"/>
                <w:szCs w:val="20"/>
              </w:rPr>
              <w:t>Reviews and reports on Service Credits, KPIs, Risks and ensures Post Incident Reviews are held.</w:t>
            </w:r>
          </w:p>
          <w:p w14:paraId="4E3BEA49" w14:textId="77777777" w:rsidR="001678A2" w:rsidRPr="001678A2" w:rsidRDefault="001678A2" w:rsidP="00E538A1">
            <w:pPr>
              <w:pStyle w:val="ListParagraph"/>
              <w:numPr>
                <w:ilvl w:val="0"/>
                <w:numId w:val="24"/>
              </w:numPr>
              <w:spacing w:before="60" w:after="60" w:line="240" w:lineRule="auto"/>
              <w:ind w:left="457"/>
              <w:contextualSpacing w:val="0"/>
              <w:jc w:val="left"/>
              <w:rPr>
                <w:rFonts w:ascii="Arial" w:hAnsi="Arial" w:cs="Arial"/>
                <w:sz w:val="20"/>
                <w:szCs w:val="20"/>
              </w:rPr>
            </w:pPr>
            <w:r w:rsidRPr="001678A2">
              <w:rPr>
                <w:rFonts w:ascii="Arial" w:hAnsi="Arial" w:cs="Arial"/>
                <w:sz w:val="20"/>
                <w:szCs w:val="20"/>
              </w:rPr>
              <w:t xml:space="preserve">Reviews the financial situation with regards to Schedule 7.8, and provides commercial recommendations to the Strategic Account Review Board as </w:t>
            </w:r>
            <w:proofErr w:type="gramStart"/>
            <w:r w:rsidRPr="001678A2">
              <w:rPr>
                <w:rFonts w:ascii="Arial" w:hAnsi="Arial" w:cs="Arial"/>
                <w:sz w:val="20"/>
                <w:szCs w:val="20"/>
              </w:rPr>
              <w:t>required</w:t>
            </w:r>
            <w:proofErr w:type="gramEnd"/>
          </w:p>
          <w:p w14:paraId="6B97D499" w14:textId="77777777" w:rsidR="001678A2" w:rsidRPr="001678A2" w:rsidRDefault="001678A2" w:rsidP="00E538A1">
            <w:pPr>
              <w:pStyle w:val="ListParagraph"/>
              <w:numPr>
                <w:ilvl w:val="0"/>
                <w:numId w:val="24"/>
              </w:numPr>
              <w:spacing w:before="60" w:after="60" w:line="240" w:lineRule="auto"/>
              <w:ind w:left="457"/>
              <w:contextualSpacing w:val="0"/>
              <w:jc w:val="left"/>
              <w:rPr>
                <w:rFonts w:ascii="Arial" w:hAnsi="Arial" w:cs="Arial"/>
                <w:sz w:val="20"/>
                <w:szCs w:val="20"/>
              </w:rPr>
            </w:pPr>
            <w:r w:rsidRPr="001678A2">
              <w:rPr>
                <w:rFonts w:ascii="Arial" w:hAnsi="Arial" w:cs="Arial"/>
                <w:sz w:val="20"/>
                <w:szCs w:val="20"/>
              </w:rPr>
              <w:t xml:space="preserve">Reviews the effectiveness, resourcing, attendance with the governance bodies and makes recommendations to the Strategic Account Review Board as </w:t>
            </w:r>
            <w:proofErr w:type="gramStart"/>
            <w:r w:rsidRPr="001678A2">
              <w:rPr>
                <w:rFonts w:ascii="Arial" w:hAnsi="Arial" w:cs="Arial"/>
                <w:sz w:val="20"/>
                <w:szCs w:val="20"/>
              </w:rPr>
              <w:t>required</w:t>
            </w:r>
            <w:proofErr w:type="gramEnd"/>
          </w:p>
          <w:p w14:paraId="3AC3E8DE" w14:textId="56048D0D" w:rsidR="001678A2" w:rsidRPr="000E5786" w:rsidRDefault="001678A2" w:rsidP="00E538A1">
            <w:pPr>
              <w:pStyle w:val="ListParagraph"/>
              <w:numPr>
                <w:ilvl w:val="0"/>
                <w:numId w:val="24"/>
              </w:numPr>
              <w:spacing w:before="60" w:after="60" w:line="240" w:lineRule="auto"/>
              <w:ind w:left="457"/>
              <w:contextualSpacing w:val="0"/>
              <w:jc w:val="left"/>
              <w:rPr>
                <w:rFonts w:ascii="Arial" w:hAnsi="Arial" w:cs="Arial"/>
                <w:sz w:val="20"/>
                <w:szCs w:val="20"/>
              </w:rPr>
            </w:pPr>
            <w:r w:rsidRPr="000E5786">
              <w:rPr>
                <w:rFonts w:ascii="Arial" w:hAnsi="Arial" w:cs="Arial"/>
                <w:sz w:val="20"/>
                <w:szCs w:val="20"/>
              </w:rPr>
              <w:t xml:space="preserve">Monitors safety and ensures compliance with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sidRPr="000E5786">
              <w:rPr>
                <w:rFonts w:ascii="Arial" w:hAnsi="Arial" w:cs="Arial"/>
                <w:sz w:val="20"/>
                <w:szCs w:val="20"/>
              </w:rPr>
              <w:t xml:space="preserve"> Standards</w:t>
            </w:r>
          </w:p>
          <w:p w14:paraId="08C96D16" w14:textId="77777777" w:rsidR="001678A2" w:rsidRPr="000E5786" w:rsidRDefault="001678A2" w:rsidP="00E538A1">
            <w:pPr>
              <w:pStyle w:val="ListParagraph"/>
              <w:numPr>
                <w:ilvl w:val="0"/>
                <w:numId w:val="24"/>
              </w:numPr>
              <w:spacing w:before="60" w:after="60" w:line="240" w:lineRule="auto"/>
              <w:ind w:left="457"/>
              <w:contextualSpacing w:val="0"/>
              <w:jc w:val="left"/>
              <w:rPr>
                <w:rFonts w:ascii="Arial" w:hAnsi="Arial" w:cs="Arial"/>
                <w:sz w:val="20"/>
                <w:szCs w:val="20"/>
              </w:rPr>
            </w:pPr>
            <w:r w:rsidRPr="000E5786">
              <w:rPr>
                <w:rFonts w:ascii="Arial" w:hAnsi="Arial" w:cs="Arial"/>
                <w:sz w:val="20"/>
                <w:szCs w:val="20"/>
              </w:rPr>
              <w:t>Assures compliance of systems architecture of the Supplier Solution with the Technical Design Authority</w:t>
            </w:r>
          </w:p>
          <w:p w14:paraId="326A8FB4" w14:textId="77777777" w:rsidR="001678A2" w:rsidRPr="000E5786" w:rsidRDefault="001678A2" w:rsidP="00E538A1">
            <w:pPr>
              <w:pStyle w:val="ListParagraph"/>
              <w:numPr>
                <w:ilvl w:val="0"/>
                <w:numId w:val="24"/>
              </w:numPr>
              <w:spacing w:before="60" w:after="60" w:line="240" w:lineRule="auto"/>
              <w:ind w:left="457"/>
              <w:contextualSpacing w:val="0"/>
              <w:jc w:val="left"/>
              <w:rPr>
                <w:rFonts w:ascii="Arial" w:hAnsi="Arial" w:cs="Arial"/>
                <w:sz w:val="20"/>
                <w:szCs w:val="20"/>
              </w:rPr>
            </w:pPr>
            <w:r w:rsidRPr="000E5786">
              <w:rPr>
                <w:rFonts w:ascii="Arial" w:hAnsi="Arial" w:cs="Arial"/>
                <w:sz w:val="20"/>
                <w:szCs w:val="20"/>
              </w:rPr>
              <w:t>Takes input from the Security Group on risks, issues, opportunities, and security assurance in relation to the Operate Service</w:t>
            </w:r>
          </w:p>
          <w:p w14:paraId="3D17B466" w14:textId="07A41959" w:rsidR="001678A2" w:rsidRPr="000E5786" w:rsidRDefault="001678A2" w:rsidP="00E538A1">
            <w:pPr>
              <w:pStyle w:val="ListParagraph"/>
              <w:numPr>
                <w:ilvl w:val="0"/>
                <w:numId w:val="24"/>
              </w:numPr>
              <w:spacing w:before="60" w:after="60" w:line="240" w:lineRule="auto"/>
              <w:ind w:left="457"/>
              <w:contextualSpacing w:val="0"/>
              <w:jc w:val="left"/>
              <w:rPr>
                <w:rFonts w:ascii="Arial" w:hAnsi="Arial" w:cs="Arial"/>
                <w:sz w:val="20"/>
                <w:szCs w:val="20"/>
              </w:rPr>
            </w:pPr>
            <w:r w:rsidRPr="000E5786">
              <w:rPr>
                <w:rFonts w:ascii="Arial" w:hAnsi="Arial" w:cs="Arial"/>
                <w:sz w:val="20"/>
                <w:szCs w:val="20"/>
              </w:rPr>
              <w:t xml:space="preserve">Ensures the effective cooperation between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sidRPr="000E5786">
              <w:rPr>
                <w:rFonts w:ascii="Arial" w:hAnsi="Arial" w:cs="Arial"/>
                <w:sz w:val="20"/>
                <w:szCs w:val="20"/>
              </w:rPr>
              <w:t xml:space="preserve">’s subject matter experts and stakeholders and the Supplier teams involved in delivering the </w:t>
            </w:r>
            <w:proofErr w:type="gramStart"/>
            <w:r w:rsidRPr="000E5786">
              <w:rPr>
                <w:rFonts w:ascii="Arial" w:hAnsi="Arial" w:cs="Arial"/>
                <w:sz w:val="20"/>
                <w:szCs w:val="20"/>
              </w:rPr>
              <w:t>Services</w:t>
            </w:r>
            <w:proofErr w:type="gramEnd"/>
          </w:p>
          <w:p w14:paraId="517075E2" w14:textId="77777777" w:rsidR="001678A2" w:rsidRPr="000E5786" w:rsidRDefault="001678A2" w:rsidP="00E538A1">
            <w:pPr>
              <w:pStyle w:val="ListParagraph"/>
              <w:numPr>
                <w:ilvl w:val="0"/>
                <w:numId w:val="24"/>
              </w:numPr>
              <w:spacing w:before="60" w:after="60" w:line="240" w:lineRule="auto"/>
              <w:ind w:left="457"/>
              <w:contextualSpacing w:val="0"/>
              <w:jc w:val="left"/>
              <w:rPr>
                <w:rFonts w:ascii="Arial" w:hAnsi="Arial" w:cs="Arial"/>
                <w:sz w:val="20"/>
                <w:szCs w:val="20"/>
              </w:rPr>
            </w:pPr>
            <w:r w:rsidRPr="000E5786">
              <w:rPr>
                <w:rFonts w:ascii="Arial" w:hAnsi="Arial" w:cs="Arial"/>
                <w:sz w:val="20"/>
                <w:szCs w:val="20"/>
              </w:rPr>
              <w:t xml:space="preserve">Responds to issues raised by either Party, discusses, and decides on resolution </w:t>
            </w:r>
            <w:proofErr w:type="gramStart"/>
            <w:r w:rsidRPr="000E5786">
              <w:rPr>
                <w:rFonts w:ascii="Arial" w:hAnsi="Arial" w:cs="Arial"/>
                <w:sz w:val="20"/>
                <w:szCs w:val="20"/>
              </w:rPr>
              <w:t>actions</w:t>
            </w:r>
            <w:proofErr w:type="gramEnd"/>
          </w:p>
          <w:p w14:paraId="62674E38" w14:textId="77777777" w:rsidR="001678A2" w:rsidRPr="000E5786" w:rsidRDefault="001678A2" w:rsidP="00E538A1">
            <w:pPr>
              <w:pStyle w:val="ListParagraph"/>
              <w:numPr>
                <w:ilvl w:val="0"/>
                <w:numId w:val="24"/>
              </w:numPr>
              <w:spacing w:before="60" w:after="60" w:line="240" w:lineRule="auto"/>
              <w:ind w:left="457"/>
              <w:contextualSpacing w:val="0"/>
              <w:jc w:val="left"/>
              <w:rPr>
                <w:rFonts w:ascii="Arial" w:hAnsi="Arial" w:cs="Arial"/>
                <w:sz w:val="20"/>
                <w:szCs w:val="20"/>
              </w:rPr>
            </w:pPr>
            <w:r w:rsidRPr="000E5786">
              <w:rPr>
                <w:rFonts w:ascii="Arial" w:hAnsi="Arial" w:cs="Arial"/>
                <w:sz w:val="20"/>
                <w:szCs w:val="20"/>
              </w:rPr>
              <w:t xml:space="preserve">Monitors, reports and mitigate </w:t>
            </w:r>
            <w:proofErr w:type="gramStart"/>
            <w:r w:rsidRPr="000E5786">
              <w:rPr>
                <w:rFonts w:ascii="Arial" w:hAnsi="Arial" w:cs="Arial"/>
                <w:sz w:val="20"/>
                <w:szCs w:val="20"/>
              </w:rPr>
              <w:t>risks</w:t>
            </w:r>
            <w:proofErr w:type="gramEnd"/>
          </w:p>
          <w:p w14:paraId="3030A27F" w14:textId="77777777" w:rsidR="001678A2" w:rsidRPr="000E5786" w:rsidRDefault="001678A2" w:rsidP="00E538A1">
            <w:pPr>
              <w:pStyle w:val="ListParagraph"/>
              <w:numPr>
                <w:ilvl w:val="0"/>
                <w:numId w:val="24"/>
              </w:numPr>
              <w:spacing w:before="60" w:after="60" w:line="240" w:lineRule="auto"/>
              <w:ind w:left="457"/>
              <w:contextualSpacing w:val="0"/>
              <w:jc w:val="left"/>
              <w:rPr>
                <w:rFonts w:ascii="Arial" w:hAnsi="Arial" w:cs="Arial"/>
                <w:sz w:val="20"/>
                <w:szCs w:val="20"/>
              </w:rPr>
            </w:pPr>
            <w:r w:rsidRPr="000E5786">
              <w:rPr>
                <w:rFonts w:ascii="Arial" w:hAnsi="Arial" w:cs="Arial"/>
                <w:sz w:val="20"/>
                <w:szCs w:val="20"/>
              </w:rPr>
              <w:t xml:space="preserve">Ensures post incident reviews are held and lessons are </w:t>
            </w:r>
            <w:proofErr w:type="gramStart"/>
            <w:r w:rsidRPr="000E5786">
              <w:rPr>
                <w:rFonts w:ascii="Arial" w:hAnsi="Arial" w:cs="Arial"/>
                <w:sz w:val="20"/>
                <w:szCs w:val="20"/>
              </w:rPr>
              <w:t>learned</w:t>
            </w:r>
            <w:proofErr w:type="gramEnd"/>
          </w:p>
          <w:p w14:paraId="54D6A80B" w14:textId="77777777" w:rsidR="001678A2" w:rsidRPr="000E5786" w:rsidRDefault="001678A2" w:rsidP="00E538A1">
            <w:pPr>
              <w:pStyle w:val="ListParagraph"/>
              <w:numPr>
                <w:ilvl w:val="0"/>
                <w:numId w:val="24"/>
              </w:numPr>
              <w:spacing w:before="60" w:after="60" w:line="240" w:lineRule="auto"/>
              <w:ind w:left="457"/>
              <w:contextualSpacing w:val="0"/>
              <w:jc w:val="left"/>
              <w:rPr>
                <w:rFonts w:ascii="Arial" w:hAnsi="Arial" w:cs="Arial"/>
                <w:sz w:val="20"/>
                <w:szCs w:val="20"/>
              </w:rPr>
            </w:pPr>
            <w:r w:rsidRPr="000E5786">
              <w:rPr>
                <w:rFonts w:ascii="Arial" w:hAnsi="Arial" w:cs="Arial"/>
                <w:sz w:val="20"/>
                <w:szCs w:val="20"/>
              </w:rPr>
              <w:t>Prioritises activities including investment priorities in agreement with the Services Steering Board</w:t>
            </w:r>
          </w:p>
          <w:p w14:paraId="49F999E4" w14:textId="3D6D14D8" w:rsidR="001678A2" w:rsidRPr="000E5786" w:rsidRDefault="001678A2" w:rsidP="00E538A1">
            <w:pPr>
              <w:pStyle w:val="ListParagraph"/>
              <w:numPr>
                <w:ilvl w:val="0"/>
                <w:numId w:val="24"/>
              </w:numPr>
              <w:spacing w:before="60" w:after="60" w:line="240" w:lineRule="auto"/>
              <w:ind w:left="457"/>
              <w:contextualSpacing w:val="0"/>
              <w:jc w:val="left"/>
              <w:rPr>
                <w:rFonts w:ascii="Arial" w:hAnsi="Arial" w:cs="Arial"/>
                <w:sz w:val="20"/>
                <w:szCs w:val="20"/>
              </w:rPr>
            </w:pPr>
            <w:r w:rsidRPr="000E5786">
              <w:rPr>
                <w:rFonts w:ascii="Arial" w:hAnsi="Arial" w:cs="Arial"/>
                <w:sz w:val="20"/>
                <w:szCs w:val="20"/>
              </w:rPr>
              <w:t xml:space="preserve">Ensures correct level of resourcing is maintained throughout the Term, flexing the Supplier’s or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sidRPr="000E5786">
              <w:rPr>
                <w:rFonts w:ascii="Arial" w:hAnsi="Arial" w:cs="Arial"/>
                <w:sz w:val="20"/>
                <w:szCs w:val="20"/>
              </w:rPr>
              <w:t xml:space="preserve">’s team size where </w:t>
            </w:r>
            <w:proofErr w:type="gramStart"/>
            <w:r w:rsidRPr="000E5786">
              <w:rPr>
                <w:rFonts w:ascii="Arial" w:hAnsi="Arial" w:cs="Arial"/>
                <w:sz w:val="20"/>
                <w:szCs w:val="20"/>
              </w:rPr>
              <w:t>needed</w:t>
            </w:r>
            <w:proofErr w:type="gramEnd"/>
          </w:p>
          <w:p w14:paraId="0791AF40" w14:textId="77777777" w:rsidR="001678A2" w:rsidRPr="001678A2" w:rsidRDefault="001678A2" w:rsidP="00E538A1">
            <w:pPr>
              <w:pStyle w:val="ListParagraph"/>
              <w:numPr>
                <w:ilvl w:val="0"/>
                <w:numId w:val="24"/>
              </w:numPr>
              <w:spacing w:before="60" w:after="60" w:line="240" w:lineRule="auto"/>
              <w:ind w:left="457"/>
              <w:contextualSpacing w:val="0"/>
              <w:jc w:val="left"/>
              <w:rPr>
                <w:rFonts w:ascii="Arial" w:hAnsi="Arial" w:cs="Arial"/>
                <w:sz w:val="20"/>
                <w:szCs w:val="20"/>
              </w:rPr>
            </w:pPr>
            <w:r w:rsidRPr="001678A2">
              <w:rPr>
                <w:rFonts w:ascii="Arial" w:hAnsi="Arial" w:cs="Arial"/>
                <w:sz w:val="20"/>
                <w:szCs w:val="20"/>
              </w:rPr>
              <w:t>Review success and efficacy of Change Control Procedure and Change Approval Board</w:t>
            </w:r>
          </w:p>
          <w:p w14:paraId="7AFCE18B" w14:textId="77777777" w:rsidR="001678A2" w:rsidRPr="001678A2" w:rsidRDefault="001678A2" w:rsidP="00E538A1">
            <w:pPr>
              <w:pStyle w:val="ListParagraph"/>
              <w:numPr>
                <w:ilvl w:val="0"/>
                <w:numId w:val="24"/>
              </w:numPr>
              <w:spacing w:before="60" w:after="60" w:line="240" w:lineRule="auto"/>
              <w:ind w:left="457"/>
              <w:contextualSpacing w:val="0"/>
              <w:jc w:val="left"/>
              <w:rPr>
                <w:rFonts w:ascii="Arial" w:hAnsi="Arial" w:cs="Arial"/>
                <w:sz w:val="20"/>
                <w:szCs w:val="20"/>
              </w:rPr>
            </w:pPr>
            <w:r w:rsidRPr="001678A2">
              <w:rPr>
                <w:rFonts w:ascii="Arial" w:hAnsi="Arial" w:cs="Arial"/>
                <w:sz w:val="20"/>
                <w:szCs w:val="20"/>
              </w:rPr>
              <w:t>Approves/denies Non-Technical Changes from submitted Minor Change Notices or Significant Change Control Notices that affect the Operate Service.</w:t>
            </w:r>
          </w:p>
          <w:p w14:paraId="526593A5" w14:textId="77777777" w:rsidR="001678A2" w:rsidRPr="001678A2" w:rsidRDefault="001678A2" w:rsidP="00E538A1">
            <w:pPr>
              <w:pStyle w:val="ListParagraph"/>
              <w:numPr>
                <w:ilvl w:val="0"/>
                <w:numId w:val="24"/>
              </w:numPr>
              <w:spacing w:before="60" w:after="60" w:line="240" w:lineRule="auto"/>
              <w:ind w:left="457"/>
              <w:contextualSpacing w:val="0"/>
              <w:jc w:val="left"/>
              <w:rPr>
                <w:rFonts w:ascii="Arial" w:hAnsi="Arial" w:cs="Arial"/>
                <w:sz w:val="20"/>
                <w:szCs w:val="20"/>
              </w:rPr>
            </w:pPr>
            <w:r w:rsidRPr="001678A2">
              <w:rPr>
                <w:rFonts w:ascii="Arial" w:hAnsi="Arial" w:cs="Arial"/>
                <w:sz w:val="20"/>
                <w:szCs w:val="20"/>
              </w:rPr>
              <w:t xml:space="preserve">Monitors the impact of all Changes that are set out in the Change Log in terms of </w:t>
            </w:r>
            <w:proofErr w:type="gramStart"/>
            <w:r w:rsidRPr="001678A2">
              <w:rPr>
                <w:rFonts w:ascii="Arial" w:hAnsi="Arial" w:cs="Arial"/>
                <w:sz w:val="20"/>
                <w:szCs w:val="20"/>
              </w:rPr>
              <w:t>e.g.</w:t>
            </w:r>
            <w:proofErr w:type="gramEnd"/>
            <w:r w:rsidRPr="001678A2">
              <w:rPr>
                <w:rFonts w:ascii="Arial" w:hAnsi="Arial" w:cs="Arial"/>
                <w:sz w:val="20"/>
                <w:szCs w:val="20"/>
              </w:rPr>
              <w:t xml:space="preserve"> cost, risk, benefit and ensures the analysis of the impact of those Changes is accurate and circulated and communicated where needed </w:t>
            </w:r>
          </w:p>
          <w:p w14:paraId="1DDE0E6A" w14:textId="77777777" w:rsidR="001678A2" w:rsidRPr="000E5786" w:rsidRDefault="001678A2" w:rsidP="00E538A1">
            <w:pPr>
              <w:pStyle w:val="ListParagraph"/>
              <w:numPr>
                <w:ilvl w:val="0"/>
                <w:numId w:val="24"/>
              </w:numPr>
              <w:spacing w:before="60" w:after="60" w:line="240" w:lineRule="auto"/>
              <w:ind w:left="457"/>
              <w:contextualSpacing w:val="0"/>
              <w:jc w:val="left"/>
              <w:rPr>
                <w:rFonts w:ascii="Arial" w:hAnsi="Arial" w:cs="Arial"/>
                <w:sz w:val="20"/>
                <w:szCs w:val="20"/>
              </w:rPr>
            </w:pPr>
            <w:r w:rsidRPr="000E5786">
              <w:rPr>
                <w:rFonts w:ascii="Arial" w:hAnsi="Arial" w:cs="Arial"/>
                <w:sz w:val="20"/>
                <w:szCs w:val="20"/>
              </w:rPr>
              <w:t xml:space="preserve">Reviews new Project requests submitted by the Supplier, </w:t>
            </w:r>
            <w:proofErr w:type="gramStart"/>
            <w:r w:rsidRPr="000E5786">
              <w:rPr>
                <w:rFonts w:ascii="Arial" w:hAnsi="Arial" w:cs="Arial"/>
                <w:sz w:val="20"/>
                <w:szCs w:val="20"/>
              </w:rPr>
              <w:t>i.e.</w:t>
            </w:r>
            <w:proofErr w:type="gramEnd"/>
            <w:r w:rsidRPr="000E5786">
              <w:rPr>
                <w:rFonts w:ascii="Arial" w:hAnsi="Arial" w:cs="Arial"/>
                <w:sz w:val="20"/>
                <w:szCs w:val="20"/>
              </w:rPr>
              <w:t xml:space="preserve"> using the Project Template Sheet, before raising them at the Services Steering Board, ensuring they are raised in accordance with Schedule 6 including the proper use of the project template including fully comprehensive content.</w:t>
            </w:r>
          </w:p>
          <w:p w14:paraId="6ADBBA71" w14:textId="77777777" w:rsidR="001678A2" w:rsidRPr="000E5786" w:rsidRDefault="001678A2" w:rsidP="00E538A1">
            <w:pPr>
              <w:pStyle w:val="ListParagraph"/>
              <w:numPr>
                <w:ilvl w:val="0"/>
                <w:numId w:val="24"/>
              </w:numPr>
              <w:spacing w:before="60" w:after="60" w:line="240" w:lineRule="auto"/>
              <w:ind w:left="457"/>
              <w:contextualSpacing w:val="0"/>
              <w:jc w:val="left"/>
              <w:rPr>
                <w:rFonts w:ascii="Arial" w:hAnsi="Arial" w:cs="Arial"/>
                <w:sz w:val="20"/>
                <w:szCs w:val="20"/>
              </w:rPr>
            </w:pPr>
            <w:r w:rsidRPr="000E5786">
              <w:rPr>
                <w:rFonts w:ascii="Arial" w:hAnsi="Arial" w:cs="Arial"/>
                <w:sz w:val="20"/>
                <w:szCs w:val="20"/>
              </w:rPr>
              <w:t>Implements decisions made by the Services Steering Board</w:t>
            </w:r>
          </w:p>
          <w:p w14:paraId="73A876EE" w14:textId="77777777" w:rsidR="001678A2" w:rsidRPr="000E5786" w:rsidRDefault="001678A2" w:rsidP="008B6AF5">
            <w:pPr>
              <w:keepNext/>
              <w:spacing w:after="60"/>
              <w:rPr>
                <w:rFonts w:ascii="Arial" w:hAnsi="Arial" w:cs="Arial"/>
                <w:bCs/>
                <w:sz w:val="20"/>
                <w:szCs w:val="20"/>
              </w:rPr>
            </w:pPr>
            <w:r w:rsidRPr="000E5786">
              <w:rPr>
                <w:rFonts w:ascii="Arial" w:hAnsi="Arial" w:cs="Arial"/>
                <w:bCs/>
                <w:sz w:val="20"/>
                <w:szCs w:val="20"/>
              </w:rPr>
              <w:t>Agenda shall be determined by the Chair.</w:t>
            </w:r>
          </w:p>
        </w:tc>
      </w:tr>
      <w:tr w:rsidR="001678A2" w:rsidRPr="000E5786" w14:paraId="6B315A78" w14:textId="77777777" w:rsidTr="001678A2">
        <w:trPr>
          <w:trHeight w:val="423"/>
        </w:trPr>
        <w:tc>
          <w:tcPr>
            <w:tcW w:w="1395" w:type="dxa"/>
          </w:tcPr>
          <w:p w14:paraId="6DDFEE96" w14:textId="77777777" w:rsidR="001678A2" w:rsidRPr="000E5786" w:rsidRDefault="001678A2" w:rsidP="001678A2">
            <w:pPr>
              <w:ind w:left="0" w:firstLine="0"/>
              <w:rPr>
                <w:rFonts w:ascii="Arial" w:hAnsi="Arial" w:cs="Arial"/>
                <w:b/>
                <w:sz w:val="20"/>
                <w:szCs w:val="20"/>
              </w:rPr>
            </w:pPr>
            <w:r w:rsidRPr="000E5786">
              <w:rPr>
                <w:rFonts w:ascii="Arial" w:hAnsi="Arial" w:cs="Arial"/>
                <w:b/>
                <w:sz w:val="20"/>
                <w:szCs w:val="20"/>
              </w:rPr>
              <w:lastRenderedPageBreak/>
              <w:t>Scope of Authority</w:t>
            </w:r>
          </w:p>
        </w:tc>
        <w:tc>
          <w:tcPr>
            <w:tcW w:w="13768" w:type="dxa"/>
            <w:gridSpan w:val="4"/>
          </w:tcPr>
          <w:p w14:paraId="19843150" w14:textId="77777777" w:rsidR="001678A2" w:rsidRPr="000E5786" w:rsidRDefault="001678A2" w:rsidP="001678A2">
            <w:pPr>
              <w:keepNext/>
              <w:contextualSpacing/>
              <w:rPr>
                <w:rFonts w:ascii="Arial" w:hAnsi="Arial" w:cs="Arial"/>
                <w:bCs/>
                <w:sz w:val="20"/>
                <w:szCs w:val="20"/>
              </w:rPr>
            </w:pPr>
            <w:r w:rsidRPr="000E5786">
              <w:rPr>
                <w:rFonts w:ascii="Arial" w:hAnsi="Arial" w:cs="Arial"/>
                <w:sz w:val="20"/>
                <w:szCs w:val="20"/>
              </w:rPr>
              <w:t xml:space="preserve">The Service Management </w:t>
            </w:r>
            <w:r w:rsidRPr="000E5786">
              <w:rPr>
                <w:rFonts w:ascii="Arial" w:hAnsi="Arial" w:cs="Arial"/>
                <w:bCs/>
                <w:sz w:val="20"/>
                <w:szCs w:val="20"/>
              </w:rPr>
              <w:t>Review Meeting has authority to:</w:t>
            </w:r>
          </w:p>
          <w:p w14:paraId="7F647A8A"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Action changes, </w:t>
            </w:r>
            <w:proofErr w:type="gramStart"/>
            <w:r w:rsidRPr="000E5786">
              <w:rPr>
                <w:rFonts w:ascii="Arial" w:hAnsi="Arial" w:cs="Arial"/>
                <w:sz w:val="20"/>
                <w:szCs w:val="20"/>
              </w:rPr>
              <w:t>e.g.</w:t>
            </w:r>
            <w:proofErr w:type="gramEnd"/>
            <w:r w:rsidRPr="000E5786">
              <w:rPr>
                <w:rFonts w:ascii="Arial" w:hAnsi="Arial" w:cs="Arial"/>
                <w:sz w:val="20"/>
                <w:szCs w:val="20"/>
              </w:rPr>
              <w:t xml:space="preserve"> performance improvement plans, service improvement plans, in relation to the performance of the Services against Service Levels </w:t>
            </w:r>
          </w:p>
          <w:p w14:paraId="4CBDEDFA"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Initiate and approve change to the </w:t>
            </w:r>
            <w:proofErr w:type="gramStart"/>
            <w:r w:rsidRPr="000E5786">
              <w:rPr>
                <w:rFonts w:ascii="Arial" w:hAnsi="Arial" w:cs="Arial"/>
                <w:sz w:val="20"/>
                <w:szCs w:val="20"/>
              </w:rPr>
              <w:t>Business as Usual</w:t>
            </w:r>
            <w:proofErr w:type="gramEnd"/>
            <w:r w:rsidRPr="000E5786">
              <w:rPr>
                <w:rFonts w:ascii="Arial" w:hAnsi="Arial" w:cs="Arial"/>
                <w:sz w:val="20"/>
                <w:szCs w:val="20"/>
              </w:rPr>
              <w:t xml:space="preserve"> Services, where there are no costs involved, otherwise the Change must go through the Change Approval Board in compliance with Schedule 8.2</w:t>
            </w:r>
          </w:p>
          <w:p w14:paraId="2E862475" w14:textId="2D5F74C0"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Prioritise implementation activities</w:t>
            </w:r>
          </w:p>
        </w:tc>
      </w:tr>
      <w:tr w:rsidR="001678A2" w:rsidRPr="000E5786" w14:paraId="7022DAC3" w14:textId="77777777" w:rsidTr="001678A2">
        <w:trPr>
          <w:trHeight w:val="337"/>
        </w:trPr>
        <w:tc>
          <w:tcPr>
            <w:tcW w:w="1395" w:type="dxa"/>
          </w:tcPr>
          <w:p w14:paraId="5F688FC0" w14:textId="77777777" w:rsidR="001678A2" w:rsidRPr="000E5786" w:rsidRDefault="001678A2" w:rsidP="001678A2">
            <w:pPr>
              <w:ind w:left="0" w:firstLine="0"/>
              <w:rPr>
                <w:rFonts w:ascii="Arial" w:hAnsi="Arial" w:cs="Arial"/>
                <w:b/>
                <w:sz w:val="20"/>
                <w:szCs w:val="20"/>
              </w:rPr>
            </w:pPr>
            <w:r w:rsidRPr="000E5786">
              <w:rPr>
                <w:rFonts w:ascii="Arial" w:hAnsi="Arial" w:cs="Arial"/>
                <w:b/>
                <w:sz w:val="20"/>
                <w:szCs w:val="20"/>
              </w:rPr>
              <w:t>Membership / Minimum Attendance Level (if relevant)</w:t>
            </w:r>
          </w:p>
        </w:tc>
        <w:tc>
          <w:tcPr>
            <w:tcW w:w="5284" w:type="dxa"/>
          </w:tcPr>
          <w:p w14:paraId="2E44A23F" w14:textId="1CC56E13" w:rsidR="001678A2" w:rsidRPr="000E5786" w:rsidRDefault="001678A2" w:rsidP="001678A2">
            <w:pPr>
              <w:spacing w:before="120"/>
              <w:rPr>
                <w:rFonts w:ascii="Arial" w:hAnsi="Arial" w:cs="Arial"/>
                <w:bCs/>
                <w:sz w:val="20"/>
                <w:szCs w:val="20"/>
              </w:rPr>
            </w:pPr>
            <w:r w:rsidRPr="000E5786">
              <w:rPr>
                <w:rFonts w:ascii="Arial" w:hAnsi="Arial" w:cs="Arial"/>
                <w:bCs/>
                <w:sz w:val="20"/>
                <w:szCs w:val="20"/>
              </w:rPr>
              <w:t xml:space="preserve">Chair:  Service Owner(s),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p>
          <w:p w14:paraId="1A1124A7" w14:textId="2B57E2AD" w:rsidR="001678A2" w:rsidRPr="000E5786" w:rsidRDefault="001678A2" w:rsidP="001678A2">
            <w:pPr>
              <w:spacing w:before="120"/>
              <w:rPr>
                <w:rFonts w:ascii="Arial" w:hAnsi="Arial" w:cs="Arial"/>
                <w:bCs/>
                <w:sz w:val="20"/>
                <w:szCs w:val="20"/>
              </w:rPr>
            </w:pPr>
            <w:r w:rsidRPr="000E5786">
              <w:rPr>
                <w:rFonts w:ascii="Arial" w:hAnsi="Arial" w:cs="Arial"/>
                <w:bCs/>
                <w:sz w:val="20"/>
                <w:szCs w:val="20"/>
              </w:rPr>
              <w:t xml:space="preserve">Administrator: Service Manager,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p>
          <w:p w14:paraId="1EB7E560" w14:textId="77777777" w:rsidR="001678A2" w:rsidRPr="000E5786" w:rsidRDefault="001678A2" w:rsidP="001678A2">
            <w:pPr>
              <w:spacing w:before="120"/>
              <w:rPr>
                <w:rFonts w:ascii="Arial" w:hAnsi="Arial" w:cs="Arial"/>
                <w:bCs/>
                <w:sz w:val="20"/>
                <w:szCs w:val="20"/>
              </w:rPr>
            </w:pPr>
            <w:r w:rsidRPr="000E5786">
              <w:rPr>
                <w:rFonts w:ascii="Arial" w:hAnsi="Arial" w:cs="Arial"/>
                <w:bCs/>
                <w:sz w:val="20"/>
                <w:szCs w:val="20"/>
              </w:rPr>
              <w:t xml:space="preserve">Members: </w:t>
            </w:r>
          </w:p>
          <w:p w14:paraId="0FE74B07" w14:textId="659FDA9E" w:rsidR="001678A2" w:rsidRPr="000E5786" w:rsidRDefault="001678A2" w:rsidP="009D675B">
            <w:pPr>
              <w:pStyle w:val="ListParagraph"/>
              <w:keepNext/>
              <w:numPr>
                <w:ilvl w:val="0"/>
                <w:numId w:val="42"/>
              </w:numPr>
              <w:spacing w:before="60" w:after="60" w:line="240" w:lineRule="auto"/>
              <w:contextualSpacing w:val="0"/>
              <w:jc w:val="left"/>
              <w:rPr>
                <w:rFonts w:ascii="Arial" w:hAnsi="Arial" w:cs="Arial"/>
                <w:bCs/>
                <w:sz w:val="20"/>
                <w:szCs w:val="20"/>
              </w:rPr>
            </w:pPr>
            <w:r w:rsidRPr="000E5786">
              <w:rPr>
                <w:rFonts w:ascii="Arial" w:hAnsi="Arial" w:cs="Arial"/>
                <w:bCs/>
                <w:sz w:val="20"/>
                <w:szCs w:val="20"/>
              </w:rPr>
              <w:t xml:space="preserve">Service Owner(s),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p>
          <w:p w14:paraId="3735F308" w14:textId="4092BC16" w:rsidR="001678A2" w:rsidRPr="000E5786" w:rsidRDefault="001678A2" w:rsidP="009D675B">
            <w:pPr>
              <w:pStyle w:val="ListParagraph"/>
              <w:keepNext/>
              <w:numPr>
                <w:ilvl w:val="0"/>
                <w:numId w:val="42"/>
              </w:numPr>
              <w:spacing w:before="60" w:after="60" w:line="240" w:lineRule="auto"/>
              <w:contextualSpacing w:val="0"/>
              <w:jc w:val="left"/>
              <w:rPr>
                <w:rFonts w:ascii="Arial" w:hAnsi="Arial" w:cs="Arial"/>
                <w:bCs/>
                <w:sz w:val="20"/>
                <w:szCs w:val="20"/>
              </w:rPr>
            </w:pPr>
            <w:r w:rsidRPr="000E5786">
              <w:rPr>
                <w:rFonts w:ascii="Arial" w:hAnsi="Arial" w:cs="Arial"/>
                <w:bCs/>
                <w:sz w:val="20"/>
                <w:szCs w:val="20"/>
              </w:rPr>
              <w:t xml:space="preserve">Service Manager,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p>
          <w:p w14:paraId="2BB9492F" w14:textId="584665EB" w:rsidR="001678A2" w:rsidRPr="000E5786" w:rsidRDefault="001678A2" w:rsidP="009D675B">
            <w:pPr>
              <w:pStyle w:val="ListParagraph"/>
              <w:keepNext/>
              <w:numPr>
                <w:ilvl w:val="0"/>
                <w:numId w:val="42"/>
              </w:numPr>
              <w:spacing w:before="60" w:after="60" w:line="240" w:lineRule="auto"/>
              <w:contextualSpacing w:val="0"/>
              <w:jc w:val="left"/>
              <w:rPr>
                <w:rFonts w:ascii="Arial" w:hAnsi="Arial" w:cs="Arial"/>
                <w:bCs/>
                <w:sz w:val="20"/>
                <w:szCs w:val="20"/>
              </w:rPr>
            </w:pPr>
            <w:r w:rsidRPr="000E5786">
              <w:rPr>
                <w:rFonts w:ascii="Arial" w:hAnsi="Arial" w:cs="Arial"/>
                <w:bCs/>
                <w:sz w:val="20"/>
                <w:szCs w:val="20"/>
              </w:rPr>
              <w:t xml:space="preserve">Programme Manager,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r w:rsidRPr="000E5786">
              <w:rPr>
                <w:rFonts w:ascii="Arial" w:hAnsi="Arial" w:cs="Arial"/>
                <w:bCs/>
                <w:sz w:val="20"/>
                <w:szCs w:val="20"/>
              </w:rPr>
              <w:t xml:space="preserve">  </w:t>
            </w:r>
          </w:p>
          <w:p w14:paraId="58C9C09C" w14:textId="1FC0BE9E" w:rsidR="001678A2" w:rsidRPr="001678A2" w:rsidRDefault="001678A2" w:rsidP="009D675B">
            <w:pPr>
              <w:pStyle w:val="ListParagraph"/>
              <w:keepNext/>
              <w:numPr>
                <w:ilvl w:val="0"/>
                <w:numId w:val="42"/>
              </w:numPr>
              <w:spacing w:before="60" w:after="60" w:line="240" w:lineRule="auto"/>
              <w:contextualSpacing w:val="0"/>
              <w:jc w:val="left"/>
              <w:rPr>
                <w:rFonts w:ascii="Arial" w:hAnsi="Arial" w:cs="Arial"/>
                <w:bCs/>
                <w:sz w:val="20"/>
                <w:szCs w:val="20"/>
              </w:rPr>
            </w:pPr>
            <w:r w:rsidRPr="000E5786">
              <w:rPr>
                <w:rFonts w:ascii="Arial" w:hAnsi="Arial" w:cs="Arial"/>
                <w:bCs/>
                <w:sz w:val="20"/>
                <w:szCs w:val="20"/>
              </w:rPr>
              <w:t xml:space="preserve">*Security (Soc) Engineer,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p>
        </w:tc>
        <w:tc>
          <w:tcPr>
            <w:tcW w:w="5285" w:type="dxa"/>
            <w:gridSpan w:val="2"/>
          </w:tcPr>
          <w:p w14:paraId="76E3FE41" w14:textId="77777777" w:rsidR="001678A2" w:rsidRPr="000E5786" w:rsidRDefault="001678A2" w:rsidP="009D675B">
            <w:pPr>
              <w:pStyle w:val="ListParagraph"/>
              <w:keepNext/>
              <w:numPr>
                <w:ilvl w:val="0"/>
                <w:numId w:val="42"/>
              </w:numPr>
              <w:spacing w:before="60" w:after="60" w:line="240" w:lineRule="auto"/>
              <w:contextualSpacing w:val="0"/>
              <w:jc w:val="left"/>
              <w:rPr>
                <w:rFonts w:ascii="Arial" w:hAnsi="Arial" w:cs="Arial"/>
                <w:sz w:val="20"/>
                <w:szCs w:val="20"/>
              </w:rPr>
            </w:pPr>
            <w:r w:rsidRPr="000E5786">
              <w:rPr>
                <w:rFonts w:ascii="Arial" w:hAnsi="Arial" w:cs="Arial"/>
                <w:bCs/>
                <w:sz w:val="20"/>
                <w:szCs w:val="20"/>
              </w:rPr>
              <w:t xml:space="preserve">Service Delivery Manager, </w:t>
            </w:r>
            <w:r w:rsidRPr="000E5786">
              <w:rPr>
                <w:rFonts w:ascii="Arial" w:hAnsi="Arial" w:cs="Arial"/>
                <w:sz w:val="20"/>
                <w:szCs w:val="20"/>
              </w:rPr>
              <w:t>Supplier</w:t>
            </w:r>
          </w:p>
          <w:p w14:paraId="239DE9BE" w14:textId="77777777" w:rsidR="001678A2" w:rsidRPr="000E5786" w:rsidRDefault="001678A2" w:rsidP="009D675B">
            <w:pPr>
              <w:pStyle w:val="ListParagraph"/>
              <w:keepNext/>
              <w:numPr>
                <w:ilvl w:val="0"/>
                <w:numId w:val="42"/>
              </w:numPr>
              <w:spacing w:before="60" w:after="60" w:line="240" w:lineRule="auto"/>
              <w:contextualSpacing w:val="0"/>
              <w:jc w:val="left"/>
              <w:rPr>
                <w:rFonts w:ascii="Arial" w:hAnsi="Arial" w:cs="Arial"/>
                <w:sz w:val="20"/>
                <w:szCs w:val="20"/>
              </w:rPr>
            </w:pPr>
            <w:r w:rsidRPr="000E5786">
              <w:rPr>
                <w:rFonts w:ascii="Arial" w:hAnsi="Arial" w:cs="Arial"/>
                <w:sz w:val="20"/>
                <w:szCs w:val="20"/>
              </w:rPr>
              <w:t>Operations Lead, Supplier</w:t>
            </w:r>
          </w:p>
          <w:p w14:paraId="7C1CE7AD" w14:textId="77777777" w:rsidR="001678A2" w:rsidRPr="000E5786" w:rsidRDefault="001678A2" w:rsidP="009D675B">
            <w:pPr>
              <w:pStyle w:val="ListParagraph"/>
              <w:keepNext/>
              <w:numPr>
                <w:ilvl w:val="0"/>
                <w:numId w:val="42"/>
              </w:numPr>
              <w:spacing w:before="60" w:after="60" w:line="240" w:lineRule="auto"/>
              <w:contextualSpacing w:val="0"/>
              <w:jc w:val="left"/>
              <w:rPr>
                <w:rFonts w:ascii="Arial" w:hAnsi="Arial" w:cs="Arial"/>
                <w:sz w:val="20"/>
                <w:szCs w:val="20"/>
              </w:rPr>
            </w:pPr>
            <w:r w:rsidRPr="000E5786">
              <w:rPr>
                <w:rFonts w:ascii="Arial" w:hAnsi="Arial" w:cs="Arial"/>
                <w:bCs/>
                <w:sz w:val="20"/>
                <w:szCs w:val="20"/>
              </w:rPr>
              <w:t>Programme Manager (s), Supplier</w:t>
            </w:r>
          </w:p>
          <w:p w14:paraId="03C89459" w14:textId="65384806" w:rsidR="001678A2" w:rsidRPr="000E5786" w:rsidRDefault="001678A2" w:rsidP="009D675B">
            <w:pPr>
              <w:pStyle w:val="ListParagraph"/>
              <w:keepNext/>
              <w:numPr>
                <w:ilvl w:val="0"/>
                <w:numId w:val="42"/>
              </w:numPr>
              <w:spacing w:before="60" w:after="60" w:line="240" w:lineRule="auto"/>
              <w:contextualSpacing w:val="0"/>
              <w:jc w:val="left"/>
            </w:pPr>
            <w:r w:rsidRPr="000E5786">
              <w:rPr>
                <w:rFonts w:ascii="Arial" w:eastAsia="Times New Roman" w:hAnsi="Arial" w:cs="Arial"/>
                <w:sz w:val="20"/>
                <w:szCs w:val="20"/>
              </w:rPr>
              <w:t xml:space="preserve">Project </w:t>
            </w:r>
            <w:r w:rsidR="003B3007" w:rsidRPr="001678A2">
              <w:rPr>
                <w:rFonts w:ascii="Arial" w:hAnsi="Arial" w:cs="Arial"/>
                <w:bCs/>
                <w:sz w:val="20"/>
                <w:szCs w:val="20"/>
              </w:rPr>
              <w:t>Management</w:t>
            </w:r>
            <w:r w:rsidRPr="000E5786">
              <w:rPr>
                <w:rFonts w:ascii="Arial" w:eastAsia="Times New Roman" w:hAnsi="Arial" w:cs="Arial"/>
                <w:sz w:val="20"/>
                <w:szCs w:val="20"/>
              </w:rPr>
              <w:t xml:space="preserve"> Office (PMO) Analyst - Supplier</w:t>
            </w:r>
          </w:p>
        </w:tc>
        <w:tc>
          <w:tcPr>
            <w:tcW w:w="3199" w:type="dxa"/>
          </w:tcPr>
          <w:p w14:paraId="40EFD00E" w14:textId="77777777" w:rsidR="001678A2" w:rsidRPr="000E5786" w:rsidRDefault="001678A2" w:rsidP="001678A2">
            <w:pPr>
              <w:contextualSpacing/>
              <w:rPr>
                <w:rFonts w:ascii="Arial" w:hAnsi="Arial" w:cs="Arial"/>
                <w:sz w:val="20"/>
                <w:szCs w:val="20"/>
              </w:rPr>
            </w:pPr>
          </w:p>
          <w:p w14:paraId="4B0D8BFE" w14:textId="77777777" w:rsidR="001678A2" w:rsidRPr="000E5786" w:rsidRDefault="001678A2" w:rsidP="001678A2">
            <w:pPr>
              <w:ind w:left="0" w:firstLine="0"/>
              <w:contextualSpacing/>
              <w:rPr>
                <w:rFonts w:ascii="Arial" w:hAnsi="Arial" w:cs="Arial"/>
                <w:b/>
                <w:sz w:val="20"/>
                <w:szCs w:val="20"/>
              </w:rPr>
            </w:pPr>
            <w:r w:rsidRPr="000E5786">
              <w:rPr>
                <w:rFonts w:ascii="Arial" w:hAnsi="Arial" w:cs="Arial"/>
                <w:b/>
                <w:sz w:val="20"/>
                <w:szCs w:val="20"/>
              </w:rPr>
              <w:t xml:space="preserve">Minimum Level of attendance: </w:t>
            </w:r>
          </w:p>
          <w:p w14:paraId="61C0601F" w14:textId="77777777" w:rsidR="001678A2" w:rsidRPr="000E5786" w:rsidRDefault="001678A2" w:rsidP="001678A2">
            <w:pPr>
              <w:contextualSpacing/>
              <w:rPr>
                <w:rFonts w:ascii="Arial" w:hAnsi="Arial" w:cs="Arial"/>
                <w:bCs/>
                <w:sz w:val="20"/>
                <w:szCs w:val="20"/>
              </w:rPr>
            </w:pPr>
          </w:p>
          <w:p w14:paraId="2C345EBA" w14:textId="77777777" w:rsidR="001678A2" w:rsidRPr="000E5786" w:rsidRDefault="001678A2" w:rsidP="001678A2">
            <w:pPr>
              <w:pStyle w:val="ListParagraph"/>
              <w:keepNext/>
              <w:spacing w:before="60" w:after="60" w:line="240" w:lineRule="auto"/>
              <w:ind w:left="0" w:firstLine="0"/>
              <w:contextualSpacing w:val="0"/>
              <w:jc w:val="left"/>
              <w:rPr>
                <w:rFonts w:ascii="Arial" w:hAnsi="Arial" w:cs="Arial"/>
                <w:sz w:val="20"/>
                <w:szCs w:val="20"/>
              </w:rPr>
            </w:pPr>
            <w:r w:rsidRPr="000E5786">
              <w:rPr>
                <w:rFonts w:ascii="Arial" w:hAnsi="Arial" w:cs="Arial"/>
                <w:sz w:val="20"/>
                <w:szCs w:val="20"/>
              </w:rPr>
              <w:t>At least two representatives for each Party to be present</w:t>
            </w:r>
          </w:p>
        </w:tc>
      </w:tr>
      <w:tr w:rsidR="001678A2" w:rsidRPr="000E5786" w14:paraId="08753415" w14:textId="77777777" w:rsidTr="001678A2">
        <w:trPr>
          <w:trHeight w:val="369"/>
        </w:trPr>
        <w:tc>
          <w:tcPr>
            <w:tcW w:w="1395" w:type="dxa"/>
          </w:tcPr>
          <w:p w14:paraId="042F58D7" w14:textId="77777777" w:rsidR="001678A2" w:rsidRPr="000E5786" w:rsidRDefault="001678A2" w:rsidP="001678A2">
            <w:pPr>
              <w:ind w:left="0" w:firstLine="0"/>
              <w:rPr>
                <w:rFonts w:ascii="Arial" w:hAnsi="Arial" w:cs="Arial"/>
                <w:b/>
                <w:sz w:val="20"/>
                <w:szCs w:val="20"/>
              </w:rPr>
            </w:pPr>
            <w:r w:rsidRPr="000E5786">
              <w:rPr>
                <w:rFonts w:ascii="Arial" w:hAnsi="Arial" w:cs="Arial"/>
                <w:b/>
                <w:sz w:val="20"/>
                <w:szCs w:val="20"/>
              </w:rPr>
              <w:t>Frequency</w:t>
            </w:r>
          </w:p>
        </w:tc>
        <w:tc>
          <w:tcPr>
            <w:tcW w:w="13768" w:type="dxa"/>
            <w:gridSpan w:val="4"/>
          </w:tcPr>
          <w:p w14:paraId="276FD619" w14:textId="574EAF61" w:rsidR="001678A2" w:rsidRPr="000E5786" w:rsidRDefault="001678A2" w:rsidP="008B6AF5">
            <w:pPr>
              <w:rPr>
                <w:rFonts w:ascii="Arial" w:hAnsi="Arial" w:cs="Arial"/>
                <w:sz w:val="20"/>
                <w:szCs w:val="20"/>
              </w:rPr>
            </w:pPr>
            <w:r>
              <w:rPr>
                <w:rFonts w:ascii="Arial" w:hAnsi="Arial" w:cs="Arial"/>
                <w:sz w:val="20"/>
                <w:szCs w:val="20"/>
              </w:rPr>
              <w:t>Monthly</w:t>
            </w:r>
          </w:p>
        </w:tc>
      </w:tr>
      <w:tr w:rsidR="001678A2" w:rsidRPr="000E5786" w14:paraId="277206CA" w14:textId="77777777" w:rsidTr="008B6AF5">
        <w:trPr>
          <w:trHeight w:val="397"/>
        </w:trPr>
        <w:tc>
          <w:tcPr>
            <w:tcW w:w="1395" w:type="dxa"/>
          </w:tcPr>
          <w:p w14:paraId="135BC98C" w14:textId="77777777" w:rsidR="001678A2" w:rsidRPr="000E5786" w:rsidRDefault="001678A2" w:rsidP="001678A2">
            <w:pPr>
              <w:ind w:left="0" w:firstLine="0"/>
              <w:rPr>
                <w:rFonts w:ascii="Arial" w:hAnsi="Arial" w:cs="Arial"/>
                <w:b/>
                <w:sz w:val="20"/>
                <w:szCs w:val="20"/>
              </w:rPr>
            </w:pPr>
            <w:r w:rsidRPr="000E5786">
              <w:rPr>
                <w:rFonts w:ascii="Arial" w:hAnsi="Arial" w:cs="Arial"/>
                <w:b/>
                <w:sz w:val="20"/>
                <w:szCs w:val="20"/>
              </w:rPr>
              <w:t>Areas for review</w:t>
            </w:r>
          </w:p>
        </w:tc>
        <w:tc>
          <w:tcPr>
            <w:tcW w:w="6884" w:type="dxa"/>
            <w:gridSpan w:val="2"/>
          </w:tcPr>
          <w:p w14:paraId="76ADD373"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 xml:space="preserve">General ticket performance, </w:t>
            </w:r>
            <w:proofErr w:type="gramStart"/>
            <w:r w:rsidRPr="000E5786">
              <w:rPr>
                <w:rFonts w:ascii="Arial" w:hAnsi="Arial" w:cs="Arial"/>
                <w:sz w:val="20"/>
                <w:szCs w:val="20"/>
                <w:lang w:eastAsia="ja-JP"/>
              </w:rPr>
              <w:t>e.g.</w:t>
            </w:r>
            <w:proofErr w:type="gramEnd"/>
            <w:r w:rsidRPr="000E5786">
              <w:rPr>
                <w:rFonts w:ascii="Arial" w:hAnsi="Arial" w:cs="Arial"/>
                <w:sz w:val="20"/>
                <w:szCs w:val="20"/>
                <w:lang w:eastAsia="ja-JP"/>
              </w:rPr>
              <w:t xml:space="preserve"> Number, type, trending</w:t>
            </w:r>
          </w:p>
          <w:p w14:paraId="0595E754"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 xml:space="preserve">Spares and Repair </w:t>
            </w:r>
            <w:proofErr w:type="gramStart"/>
            <w:r w:rsidRPr="000E5786">
              <w:rPr>
                <w:rFonts w:ascii="Arial" w:hAnsi="Arial" w:cs="Arial"/>
                <w:sz w:val="20"/>
                <w:szCs w:val="20"/>
                <w:lang w:eastAsia="ja-JP"/>
              </w:rPr>
              <w:t>performance</w:t>
            </w:r>
            <w:proofErr w:type="gramEnd"/>
          </w:p>
          <w:p w14:paraId="62D8416D"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Software performance</w:t>
            </w:r>
          </w:p>
          <w:p w14:paraId="1D52F07B"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Hardware performance</w:t>
            </w:r>
          </w:p>
          <w:p w14:paraId="11E05828"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Deployed Assets Status (Hardware and Software)</w:t>
            </w:r>
          </w:p>
          <w:p w14:paraId="66A2B638"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Incident Restoration Reports and Resolution Status</w:t>
            </w:r>
          </w:p>
          <w:p w14:paraId="0B356B52"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Incident Best Practise and Shared Learning</w:t>
            </w:r>
          </w:p>
          <w:p w14:paraId="34BB346D" w14:textId="1B62EEA0" w:rsidR="001678A2" w:rsidRPr="001678A2" w:rsidRDefault="001678A2" w:rsidP="00E538A1">
            <w:pPr>
              <w:pStyle w:val="ListParagraph"/>
              <w:keepNext/>
              <w:numPr>
                <w:ilvl w:val="0"/>
                <w:numId w:val="24"/>
              </w:numPr>
              <w:spacing w:before="60" w:after="60" w:line="240" w:lineRule="auto"/>
              <w:contextualSpacing w:val="0"/>
              <w:jc w:val="left"/>
              <w:rPr>
                <w:rFonts w:cs="Arial"/>
                <w:szCs w:val="20"/>
              </w:rPr>
            </w:pPr>
            <w:r w:rsidRPr="000E5786">
              <w:rPr>
                <w:rFonts w:ascii="Arial" w:hAnsi="Arial" w:cs="Arial"/>
                <w:sz w:val="20"/>
                <w:szCs w:val="20"/>
                <w:lang w:eastAsia="ja-JP"/>
              </w:rPr>
              <w:t>Changes to Playbook and Fault Library</w:t>
            </w:r>
          </w:p>
        </w:tc>
        <w:tc>
          <w:tcPr>
            <w:tcW w:w="6884" w:type="dxa"/>
            <w:gridSpan w:val="2"/>
          </w:tcPr>
          <w:p w14:paraId="3D692EB1"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Software Licensing Overview including Patch Currency</w:t>
            </w:r>
          </w:p>
          <w:p w14:paraId="0731097B"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Changes to Supplier third party software</w:t>
            </w:r>
          </w:p>
          <w:p w14:paraId="7F456A9A"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Security Requirements</w:t>
            </w:r>
          </w:p>
          <w:p w14:paraId="25179B9F"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Review of planned works for future 6 months overview</w:t>
            </w:r>
          </w:p>
          <w:p w14:paraId="15B9D80A"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Risks</w:t>
            </w:r>
          </w:p>
          <w:p w14:paraId="15A1B0BB"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SLAs</w:t>
            </w:r>
          </w:p>
          <w:p w14:paraId="7705B924"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Changes from the Change Approval Board (including Change Log)</w:t>
            </w:r>
          </w:p>
          <w:p w14:paraId="63469FEC" w14:textId="319C97A9" w:rsidR="001678A2" w:rsidRPr="001678A2" w:rsidRDefault="001678A2"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lang w:eastAsia="ja-JP"/>
              </w:rPr>
              <w:t>Actions arising</w:t>
            </w:r>
          </w:p>
        </w:tc>
      </w:tr>
      <w:tr w:rsidR="001678A2" w:rsidRPr="000E5786" w14:paraId="4067B3AB" w14:textId="77777777" w:rsidTr="008B6AF5">
        <w:trPr>
          <w:trHeight w:val="397"/>
        </w:trPr>
        <w:tc>
          <w:tcPr>
            <w:tcW w:w="1395" w:type="dxa"/>
          </w:tcPr>
          <w:p w14:paraId="5C7B35FE" w14:textId="77777777" w:rsidR="001678A2" w:rsidRPr="000E5786" w:rsidRDefault="001678A2" w:rsidP="001678A2">
            <w:pPr>
              <w:ind w:left="0" w:firstLine="0"/>
              <w:rPr>
                <w:rFonts w:ascii="Arial" w:hAnsi="Arial" w:cs="Arial"/>
                <w:b/>
                <w:sz w:val="20"/>
                <w:szCs w:val="20"/>
              </w:rPr>
            </w:pPr>
            <w:r w:rsidRPr="000E5786">
              <w:rPr>
                <w:rFonts w:ascii="Arial" w:hAnsi="Arial" w:cs="Arial"/>
                <w:b/>
                <w:sz w:val="20"/>
                <w:szCs w:val="20"/>
              </w:rPr>
              <w:t>Inputs</w:t>
            </w:r>
          </w:p>
        </w:tc>
        <w:tc>
          <w:tcPr>
            <w:tcW w:w="6884" w:type="dxa"/>
            <w:gridSpan w:val="2"/>
          </w:tcPr>
          <w:p w14:paraId="58C1E476"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 xml:space="preserve">Balanced Scorecards, Dashboard Reports </w:t>
            </w:r>
          </w:p>
          <w:p w14:paraId="216666C0"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Ticket review logs</w:t>
            </w:r>
          </w:p>
          <w:p w14:paraId="70808C18"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Incident Reports</w:t>
            </w:r>
          </w:p>
          <w:p w14:paraId="0E8B6557"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Monitoring Reports</w:t>
            </w:r>
          </w:p>
          <w:p w14:paraId="14BB6E62"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Obsolescence Reports</w:t>
            </w:r>
          </w:p>
          <w:p w14:paraId="0AFD02D0" w14:textId="75866CC8" w:rsidR="001678A2" w:rsidRPr="001678A2" w:rsidRDefault="001678A2" w:rsidP="00E538A1">
            <w:pPr>
              <w:pStyle w:val="ListParagraph"/>
              <w:keepNext/>
              <w:numPr>
                <w:ilvl w:val="0"/>
                <w:numId w:val="24"/>
              </w:numPr>
              <w:spacing w:before="60" w:after="60" w:line="240" w:lineRule="auto"/>
              <w:contextualSpacing w:val="0"/>
              <w:jc w:val="left"/>
              <w:rPr>
                <w:rFonts w:cs="Arial"/>
                <w:szCs w:val="20"/>
              </w:rPr>
            </w:pPr>
            <w:r w:rsidRPr="000E5786">
              <w:rPr>
                <w:rFonts w:ascii="Arial" w:hAnsi="Arial" w:cs="Arial"/>
                <w:sz w:val="20"/>
                <w:szCs w:val="20"/>
                <w:lang w:eastAsia="ja-JP"/>
              </w:rPr>
              <w:t>Asset Lists (Software and Hardware)</w:t>
            </w:r>
          </w:p>
        </w:tc>
        <w:tc>
          <w:tcPr>
            <w:tcW w:w="6884" w:type="dxa"/>
            <w:gridSpan w:val="2"/>
          </w:tcPr>
          <w:p w14:paraId="410823ED"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Software Licensing Reports</w:t>
            </w:r>
          </w:p>
          <w:p w14:paraId="70570AE5"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Product Strategy Report</w:t>
            </w:r>
          </w:p>
          <w:p w14:paraId="5649DE30"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Continuous Improvement Report</w:t>
            </w:r>
          </w:p>
          <w:p w14:paraId="6ADDBFF6"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Spares report</w:t>
            </w:r>
          </w:p>
          <w:p w14:paraId="581A291E"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lang w:eastAsia="ja-JP"/>
              </w:rPr>
              <w:t>Software / hardware requirements</w:t>
            </w:r>
          </w:p>
          <w:p w14:paraId="51EE5CB7" w14:textId="7EA83B56" w:rsidR="001678A2" w:rsidRPr="001678A2" w:rsidRDefault="001678A2"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lang w:eastAsia="ja-JP"/>
              </w:rPr>
              <w:t>Change Log</w:t>
            </w:r>
          </w:p>
        </w:tc>
      </w:tr>
      <w:tr w:rsidR="001678A2" w:rsidRPr="000E5786" w14:paraId="5AE59508" w14:textId="77777777" w:rsidTr="001678A2">
        <w:trPr>
          <w:trHeight w:val="377"/>
        </w:trPr>
        <w:tc>
          <w:tcPr>
            <w:tcW w:w="1395" w:type="dxa"/>
          </w:tcPr>
          <w:p w14:paraId="65648322" w14:textId="77777777" w:rsidR="001678A2" w:rsidRPr="000E5786" w:rsidRDefault="001678A2" w:rsidP="001678A2">
            <w:pPr>
              <w:ind w:left="0" w:firstLine="0"/>
              <w:rPr>
                <w:rFonts w:ascii="Arial" w:hAnsi="Arial" w:cs="Arial"/>
                <w:b/>
                <w:sz w:val="20"/>
                <w:szCs w:val="20"/>
              </w:rPr>
            </w:pPr>
            <w:r w:rsidRPr="000E5786">
              <w:rPr>
                <w:rFonts w:ascii="Arial" w:hAnsi="Arial" w:cs="Arial"/>
                <w:b/>
                <w:sz w:val="20"/>
                <w:szCs w:val="20"/>
              </w:rPr>
              <w:lastRenderedPageBreak/>
              <w:t>Outputs</w:t>
            </w:r>
          </w:p>
        </w:tc>
        <w:tc>
          <w:tcPr>
            <w:tcW w:w="13768" w:type="dxa"/>
            <w:gridSpan w:val="4"/>
          </w:tcPr>
          <w:p w14:paraId="206D83E2"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Joint Risk Report</w:t>
            </w:r>
          </w:p>
          <w:p w14:paraId="2469359E"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 xml:space="preserve">Agreed Future Works Log with </w:t>
            </w:r>
            <w:proofErr w:type="gramStart"/>
            <w:r w:rsidRPr="000E5786">
              <w:rPr>
                <w:rFonts w:ascii="Arial" w:hAnsi="Arial" w:cs="Arial"/>
                <w:sz w:val="20"/>
                <w:szCs w:val="20"/>
                <w:lang w:eastAsia="ja-JP"/>
              </w:rPr>
              <w:t>prioritisation</w:t>
            </w:r>
            <w:proofErr w:type="gramEnd"/>
          </w:p>
          <w:p w14:paraId="733AB0EF"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Minutes for cascade to the team and Operational Management team</w:t>
            </w:r>
          </w:p>
          <w:p w14:paraId="2DA2A60E" w14:textId="77777777" w:rsidR="001678A2" w:rsidRPr="000E5786"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Updated Playbook / Fault Library</w:t>
            </w:r>
          </w:p>
          <w:p w14:paraId="413CF73C" w14:textId="53C929D9" w:rsidR="001678A2" w:rsidRPr="001678A2" w:rsidRDefault="001678A2" w:rsidP="00E538A1">
            <w:pPr>
              <w:pStyle w:val="ListParagraph"/>
              <w:keepNext/>
              <w:numPr>
                <w:ilvl w:val="0"/>
                <w:numId w:val="24"/>
              </w:numPr>
              <w:spacing w:before="60" w:after="60" w:line="240" w:lineRule="auto"/>
              <w:contextualSpacing w:val="0"/>
              <w:jc w:val="left"/>
              <w:rPr>
                <w:rFonts w:ascii="Arial" w:hAnsi="Arial" w:cs="Arial"/>
                <w:sz w:val="20"/>
                <w:szCs w:val="20"/>
                <w:lang w:eastAsia="ja-JP"/>
              </w:rPr>
            </w:pPr>
            <w:r w:rsidRPr="000E5786">
              <w:rPr>
                <w:rFonts w:ascii="Arial" w:hAnsi="Arial" w:cs="Arial"/>
                <w:sz w:val="20"/>
                <w:szCs w:val="20"/>
                <w:lang w:eastAsia="ja-JP"/>
              </w:rPr>
              <w:t>SLA overview and Incident details and Change Requirements for the Agreement</w:t>
            </w:r>
          </w:p>
        </w:tc>
      </w:tr>
      <w:tr w:rsidR="001678A2" w:rsidRPr="000E5786" w14:paraId="611B7745" w14:textId="77777777" w:rsidTr="001678A2">
        <w:trPr>
          <w:trHeight w:val="397"/>
        </w:trPr>
        <w:tc>
          <w:tcPr>
            <w:tcW w:w="1395" w:type="dxa"/>
          </w:tcPr>
          <w:p w14:paraId="349344C0" w14:textId="77777777" w:rsidR="001678A2" w:rsidRPr="000E5786" w:rsidRDefault="001678A2" w:rsidP="001678A2">
            <w:pPr>
              <w:ind w:left="0" w:firstLine="0"/>
              <w:rPr>
                <w:rFonts w:ascii="Arial" w:hAnsi="Arial" w:cs="Arial"/>
                <w:b/>
                <w:sz w:val="20"/>
                <w:szCs w:val="20"/>
              </w:rPr>
            </w:pPr>
            <w:r w:rsidRPr="000E5786">
              <w:rPr>
                <w:rFonts w:ascii="Arial" w:hAnsi="Arial" w:cs="Arial"/>
                <w:b/>
                <w:sz w:val="20"/>
                <w:szCs w:val="20"/>
              </w:rPr>
              <w:t>Escalation</w:t>
            </w:r>
          </w:p>
        </w:tc>
        <w:tc>
          <w:tcPr>
            <w:tcW w:w="13768" w:type="dxa"/>
            <w:gridSpan w:val="4"/>
          </w:tcPr>
          <w:p w14:paraId="10C1425C" w14:textId="67573D9A" w:rsidR="001678A2" w:rsidRPr="000E5786" w:rsidRDefault="001678A2" w:rsidP="001678A2">
            <w:pPr>
              <w:keepNext/>
              <w:rPr>
                <w:rFonts w:ascii="Arial" w:hAnsi="Arial" w:cs="Arial"/>
                <w:sz w:val="20"/>
                <w:szCs w:val="20"/>
              </w:rPr>
            </w:pPr>
            <w:r w:rsidRPr="000E5786">
              <w:rPr>
                <w:rFonts w:ascii="Arial" w:hAnsi="Arial" w:cs="Arial"/>
                <w:sz w:val="20"/>
                <w:szCs w:val="20"/>
              </w:rPr>
              <w:t>Services Steering Board</w:t>
            </w:r>
          </w:p>
        </w:tc>
      </w:tr>
      <w:tr w:rsidR="001678A2" w:rsidRPr="000E5786" w14:paraId="08A9CF42" w14:textId="77777777" w:rsidTr="001678A2">
        <w:trPr>
          <w:trHeight w:val="397"/>
        </w:trPr>
        <w:tc>
          <w:tcPr>
            <w:tcW w:w="1395" w:type="dxa"/>
          </w:tcPr>
          <w:p w14:paraId="75BB8694" w14:textId="77777777" w:rsidR="001678A2" w:rsidRPr="000E5786" w:rsidRDefault="001678A2" w:rsidP="001678A2">
            <w:pPr>
              <w:ind w:left="0" w:firstLine="0"/>
              <w:rPr>
                <w:rFonts w:ascii="Arial" w:hAnsi="Arial" w:cs="Arial"/>
                <w:b/>
                <w:sz w:val="20"/>
                <w:szCs w:val="20"/>
              </w:rPr>
            </w:pPr>
            <w:r w:rsidRPr="000E5786">
              <w:rPr>
                <w:rFonts w:ascii="Arial" w:hAnsi="Arial" w:cs="Arial"/>
                <w:b/>
                <w:sz w:val="20"/>
                <w:szCs w:val="20"/>
              </w:rPr>
              <w:t>Related Meetings</w:t>
            </w:r>
          </w:p>
        </w:tc>
        <w:tc>
          <w:tcPr>
            <w:tcW w:w="13768" w:type="dxa"/>
            <w:gridSpan w:val="4"/>
          </w:tcPr>
          <w:p w14:paraId="3626C6EA" w14:textId="18E319A2" w:rsidR="001678A2" w:rsidRPr="000E5786" w:rsidRDefault="001678A2" w:rsidP="001678A2">
            <w:pPr>
              <w:rPr>
                <w:rFonts w:ascii="Arial" w:hAnsi="Arial" w:cs="Arial"/>
                <w:sz w:val="20"/>
                <w:szCs w:val="20"/>
              </w:rPr>
            </w:pPr>
            <w:r w:rsidRPr="000E5786">
              <w:rPr>
                <w:rFonts w:ascii="Arial" w:hAnsi="Arial" w:cs="Arial"/>
                <w:sz w:val="20"/>
                <w:szCs w:val="20"/>
              </w:rPr>
              <w:t>Programme and Project Delivery Review Meeting, Change Approval Board</w:t>
            </w:r>
          </w:p>
        </w:tc>
      </w:tr>
    </w:tbl>
    <w:p w14:paraId="28854FE6" w14:textId="4E2F4FC4" w:rsidR="001678A2" w:rsidRDefault="001678A2" w:rsidP="001678A2">
      <w:pPr>
        <w:ind w:left="0" w:firstLine="0"/>
        <w:rPr>
          <w:rFonts w:cs="Arial"/>
          <w:b/>
          <w:szCs w:val="20"/>
        </w:rPr>
      </w:pPr>
      <w:r>
        <w:rPr>
          <w:rFonts w:cs="Arial"/>
          <w:szCs w:val="20"/>
        </w:rPr>
        <w:br w:type="page"/>
      </w:r>
    </w:p>
    <w:p w14:paraId="2D7F9991" w14:textId="77777777" w:rsidR="008407F7" w:rsidRPr="000E5786" w:rsidRDefault="008407F7" w:rsidP="00182C80">
      <w:pPr>
        <w:pStyle w:val="ScheduleSubheading"/>
        <w:numPr>
          <w:ilvl w:val="0"/>
          <w:numId w:val="0"/>
        </w:numPr>
        <w:jc w:val="both"/>
        <w:rPr>
          <w:rFonts w:cs="Arial"/>
          <w:szCs w:val="20"/>
        </w:rPr>
        <w:sectPr w:rsidR="008407F7" w:rsidRPr="000E5786" w:rsidSect="00182C80">
          <w:pgSz w:w="16840" w:h="11907" w:orient="landscape" w:code="9"/>
          <w:pgMar w:top="1418" w:right="1418" w:bottom="1418" w:left="1134" w:header="709" w:footer="709" w:gutter="0"/>
          <w:cols w:space="708"/>
          <w:titlePg/>
          <w:docGrid w:linePitch="360"/>
        </w:sectPr>
      </w:pPr>
    </w:p>
    <w:tbl>
      <w:tblPr>
        <w:tblStyle w:val="TableGrid0"/>
        <w:tblW w:w="5000" w:type="pct"/>
        <w:tblLook w:val="04A0" w:firstRow="1" w:lastRow="0" w:firstColumn="1" w:lastColumn="0" w:noHBand="0" w:noVBand="1"/>
      </w:tblPr>
      <w:tblGrid>
        <w:gridCol w:w="2547"/>
        <w:gridCol w:w="6161"/>
        <w:gridCol w:w="5570"/>
      </w:tblGrid>
      <w:tr w:rsidR="008407F7" w:rsidRPr="000E5786" w14:paraId="1382E693" w14:textId="77777777" w:rsidTr="00C6649F">
        <w:trPr>
          <w:trHeight w:val="397"/>
        </w:trPr>
        <w:tc>
          <w:tcPr>
            <w:tcW w:w="2547" w:type="dxa"/>
            <w:shd w:val="clear" w:color="auto" w:fill="BFBFBF" w:themeFill="background1" w:themeFillShade="BF"/>
          </w:tcPr>
          <w:p w14:paraId="0D48CD75" w14:textId="77777777" w:rsidR="008407F7" w:rsidRPr="000E5786" w:rsidRDefault="008407F7" w:rsidP="0023281D">
            <w:pPr>
              <w:keepNext/>
              <w:rPr>
                <w:rFonts w:ascii="Arial" w:hAnsi="Arial" w:cs="Arial"/>
                <w:b/>
                <w:bCs/>
                <w:sz w:val="20"/>
                <w:szCs w:val="20"/>
              </w:rPr>
            </w:pPr>
            <w:r w:rsidRPr="000E5786">
              <w:rPr>
                <w:rFonts w:ascii="Arial" w:hAnsi="Arial" w:cs="Arial"/>
                <w:sz w:val="20"/>
                <w:szCs w:val="20"/>
              </w:rPr>
              <w:lastRenderedPageBreak/>
              <w:br w:type="page"/>
            </w:r>
            <w:r w:rsidRPr="000E5786">
              <w:rPr>
                <w:rFonts w:ascii="Arial" w:hAnsi="Arial" w:cs="Arial"/>
                <w:sz w:val="20"/>
                <w:szCs w:val="20"/>
              </w:rPr>
              <w:br w:type="page"/>
            </w:r>
            <w:r w:rsidRPr="000E5786">
              <w:rPr>
                <w:rFonts w:ascii="Arial" w:hAnsi="Arial" w:cs="Arial"/>
                <w:sz w:val="20"/>
                <w:szCs w:val="20"/>
              </w:rPr>
              <w:br w:type="page"/>
            </w:r>
            <w:r w:rsidRPr="000E5786">
              <w:rPr>
                <w:rFonts w:ascii="Arial" w:hAnsi="Arial" w:cs="Arial"/>
                <w:b/>
                <w:bCs/>
                <w:sz w:val="20"/>
                <w:szCs w:val="20"/>
              </w:rPr>
              <w:t>Charter</w:t>
            </w:r>
          </w:p>
        </w:tc>
        <w:tc>
          <w:tcPr>
            <w:tcW w:w="11731" w:type="dxa"/>
            <w:gridSpan w:val="2"/>
            <w:shd w:val="clear" w:color="auto" w:fill="BFBFBF" w:themeFill="background1" w:themeFillShade="BF"/>
          </w:tcPr>
          <w:p w14:paraId="3CFEBC19" w14:textId="77777777" w:rsidR="008407F7" w:rsidRPr="000E5786" w:rsidRDefault="008407F7" w:rsidP="0023281D">
            <w:pPr>
              <w:keepNext/>
              <w:rPr>
                <w:rFonts w:ascii="Arial" w:hAnsi="Arial" w:cs="Arial"/>
                <w:bCs/>
                <w:i/>
                <w:sz w:val="20"/>
                <w:szCs w:val="20"/>
              </w:rPr>
            </w:pPr>
            <w:r w:rsidRPr="000E5786">
              <w:rPr>
                <w:rFonts w:ascii="Arial" w:hAnsi="Arial" w:cs="Arial"/>
                <w:b/>
                <w:bCs/>
                <w:sz w:val="20"/>
                <w:szCs w:val="20"/>
              </w:rPr>
              <w:t>Technical Design Authority (TDA) Meeting</w:t>
            </w:r>
          </w:p>
        </w:tc>
      </w:tr>
      <w:tr w:rsidR="008407F7" w:rsidRPr="000E5786" w14:paraId="7FFFB23A" w14:textId="77777777" w:rsidTr="00C443FE">
        <w:trPr>
          <w:trHeight w:val="423"/>
        </w:trPr>
        <w:tc>
          <w:tcPr>
            <w:tcW w:w="2547" w:type="dxa"/>
          </w:tcPr>
          <w:p w14:paraId="1FD44090" w14:textId="77777777" w:rsidR="008407F7" w:rsidRPr="000E5786" w:rsidRDefault="008407F7" w:rsidP="008407F7">
            <w:pPr>
              <w:pStyle w:val="ScheduleTitle"/>
              <w:numPr>
                <w:ilvl w:val="0"/>
                <w:numId w:val="0"/>
              </w:numPr>
              <w:jc w:val="both"/>
              <w:rPr>
                <w:rFonts w:ascii="Arial" w:hAnsi="Arial" w:cs="Arial"/>
                <w:sz w:val="20"/>
                <w:szCs w:val="20"/>
              </w:rPr>
            </w:pPr>
            <w:r w:rsidRPr="000E5786">
              <w:rPr>
                <w:rFonts w:ascii="Arial" w:hAnsi="Arial" w:cs="Arial"/>
                <w:sz w:val="20"/>
                <w:szCs w:val="20"/>
              </w:rPr>
              <w:t>Purpose / Role / Agenda</w:t>
            </w:r>
          </w:p>
        </w:tc>
        <w:tc>
          <w:tcPr>
            <w:tcW w:w="11731" w:type="dxa"/>
            <w:gridSpan w:val="2"/>
          </w:tcPr>
          <w:p w14:paraId="2CBD9FC4" w14:textId="405D697F" w:rsidR="008407F7" w:rsidRPr="000E5786" w:rsidRDefault="008407F7" w:rsidP="0023281D">
            <w:pPr>
              <w:pStyle w:val="Purpose"/>
              <w:rPr>
                <w:rFonts w:ascii="Arial" w:hAnsi="Arial"/>
                <w:sz w:val="20"/>
              </w:rPr>
            </w:pPr>
            <w:r w:rsidRPr="000E5786">
              <w:rPr>
                <w:rFonts w:ascii="Arial" w:hAnsi="Arial"/>
                <w:sz w:val="20"/>
              </w:rPr>
              <w:t xml:space="preserve">Purpose: to provide governance for the Technical Designs to ensure compliance with </w:t>
            </w:r>
            <w:proofErr w:type="spellStart"/>
            <w:r w:rsidR="001F1C19">
              <w:rPr>
                <w:rFonts w:ascii="Arial" w:hAnsi="Arial"/>
                <w:sz w:val="20"/>
              </w:rPr>
              <w:t>Netlink</w:t>
            </w:r>
            <w:proofErr w:type="spellEnd"/>
            <w:r w:rsidR="001F1C19">
              <w:rPr>
                <w:rFonts w:ascii="Arial" w:hAnsi="Arial"/>
                <w:sz w:val="20"/>
              </w:rPr>
              <w:t xml:space="preserve"> Star</w:t>
            </w:r>
            <w:r w:rsidRPr="000E5786">
              <w:rPr>
                <w:rFonts w:ascii="Arial" w:hAnsi="Arial"/>
                <w:sz w:val="20"/>
              </w:rPr>
              <w:t>’s strategic technical roadmap and designs.</w:t>
            </w:r>
          </w:p>
          <w:p w14:paraId="7D9EA97C" w14:textId="3B2FE9BE" w:rsidR="008407F7" w:rsidRPr="000E5786" w:rsidRDefault="008407F7" w:rsidP="00C6649F">
            <w:pPr>
              <w:keepNext/>
              <w:rPr>
                <w:rFonts w:ascii="Arial" w:hAnsi="Arial" w:cs="Arial"/>
                <w:sz w:val="20"/>
                <w:szCs w:val="20"/>
              </w:rPr>
            </w:pPr>
            <w:r w:rsidRPr="000E5786">
              <w:rPr>
                <w:rFonts w:ascii="Arial" w:hAnsi="Arial" w:cs="Arial"/>
                <w:sz w:val="20"/>
                <w:szCs w:val="20"/>
              </w:rPr>
              <w:t>Role:</w:t>
            </w:r>
            <w:r w:rsidR="00C6649F">
              <w:rPr>
                <w:rFonts w:ascii="Arial" w:hAnsi="Arial" w:cs="Arial"/>
                <w:sz w:val="20"/>
                <w:szCs w:val="20"/>
              </w:rPr>
              <w:t xml:space="preserve"> </w:t>
            </w:r>
            <w:r w:rsidRPr="000E5786">
              <w:rPr>
                <w:rFonts w:ascii="Arial" w:hAnsi="Arial" w:cs="Arial"/>
                <w:sz w:val="20"/>
                <w:szCs w:val="20"/>
              </w:rPr>
              <w:t>Reviews and approves/denies Systems Architecture designs or suggests alternative and/or new technical solutions</w:t>
            </w:r>
          </w:p>
          <w:p w14:paraId="4AD8F36E" w14:textId="77777777" w:rsidR="008407F7" w:rsidRPr="000E5786" w:rsidRDefault="008407F7" w:rsidP="0023281D">
            <w:pPr>
              <w:keepNext/>
              <w:spacing w:before="120"/>
              <w:rPr>
                <w:rFonts w:ascii="Arial" w:hAnsi="Arial" w:cs="Arial"/>
                <w:bCs/>
                <w:sz w:val="20"/>
                <w:szCs w:val="20"/>
              </w:rPr>
            </w:pPr>
            <w:r w:rsidRPr="000E5786">
              <w:rPr>
                <w:rFonts w:ascii="Arial" w:hAnsi="Arial" w:cs="Arial"/>
                <w:bCs/>
                <w:sz w:val="20"/>
                <w:szCs w:val="20"/>
              </w:rPr>
              <w:t>Agenda shall be determined by the Chair.</w:t>
            </w:r>
          </w:p>
        </w:tc>
      </w:tr>
      <w:tr w:rsidR="008407F7" w:rsidRPr="000E5786" w14:paraId="10E40D99" w14:textId="77777777" w:rsidTr="00C443FE">
        <w:trPr>
          <w:trHeight w:val="423"/>
        </w:trPr>
        <w:tc>
          <w:tcPr>
            <w:tcW w:w="2547" w:type="dxa"/>
          </w:tcPr>
          <w:p w14:paraId="0F655129" w14:textId="77777777" w:rsidR="008407F7" w:rsidRPr="000E5786" w:rsidRDefault="008407F7" w:rsidP="0023281D">
            <w:pPr>
              <w:rPr>
                <w:rFonts w:ascii="Arial" w:hAnsi="Arial" w:cs="Arial"/>
                <w:b/>
                <w:sz w:val="20"/>
                <w:szCs w:val="20"/>
              </w:rPr>
            </w:pPr>
            <w:r w:rsidRPr="000E5786">
              <w:rPr>
                <w:rFonts w:ascii="Arial" w:hAnsi="Arial" w:cs="Arial"/>
                <w:b/>
                <w:sz w:val="20"/>
                <w:szCs w:val="20"/>
              </w:rPr>
              <w:t>Scope of Authority</w:t>
            </w:r>
          </w:p>
        </w:tc>
        <w:tc>
          <w:tcPr>
            <w:tcW w:w="11731" w:type="dxa"/>
            <w:gridSpan w:val="2"/>
          </w:tcPr>
          <w:p w14:paraId="3CE74F90" w14:textId="77777777" w:rsidR="008407F7" w:rsidRPr="000E5786" w:rsidRDefault="008407F7" w:rsidP="0023281D">
            <w:pPr>
              <w:spacing w:before="120"/>
              <w:contextualSpacing/>
              <w:rPr>
                <w:rFonts w:ascii="Arial" w:hAnsi="Arial" w:cs="Arial"/>
                <w:bCs/>
                <w:sz w:val="20"/>
                <w:szCs w:val="20"/>
              </w:rPr>
            </w:pPr>
            <w:r w:rsidRPr="000E5786">
              <w:rPr>
                <w:rFonts w:ascii="Arial" w:hAnsi="Arial" w:cs="Arial"/>
                <w:bCs/>
                <w:sz w:val="20"/>
                <w:szCs w:val="20"/>
              </w:rPr>
              <w:t>The decision to approve or deny new technology/tools or systems architecture designs</w:t>
            </w:r>
          </w:p>
        </w:tc>
      </w:tr>
      <w:tr w:rsidR="008407F7" w:rsidRPr="000E5786" w14:paraId="1C7C583D" w14:textId="77777777" w:rsidTr="00C443FE">
        <w:trPr>
          <w:trHeight w:val="337"/>
        </w:trPr>
        <w:tc>
          <w:tcPr>
            <w:tcW w:w="2547" w:type="dxa"/>
          </w:tcPr>
          <w:p w14:paraId="17EA6899" w14:textId="77777777" w:rsidR="008407F7" w:rsidRPr="000E5786" w:rsidRDefault="008407F7" w:rsidP="00C6649F">
            <w:pPr>
              <w:ind w:left="22" w:hanging="22"/>
              <w:rPr>
                <w:rFonts w:ascii="Arial" w:hAnsi="Arial" w:cs="Arial"/>
                <w:b/>
                <w:sz w:val="20"/>
                <w:szCs w:val="20"/>
              </w:rPr>
            </w:pPr>
            <w:r w:rsidRPr="000E5786">
              <w:rPr>
                <w:rFonts w:ascii="Arial" w:hAnsi="Arial" w:cs="Arial"/>
                <w:b/>
                <w:sz w:val="20"/>
                <w:szCs w:val="20"/>
              </w:rPr>
              <w:t>Membership / Minimum Attendance Level (if relevant)</w:t>
            </w:r>
          </w:p>
        </w:tc>
        <w:tc>
          <w:tcPr>
            <w:tcW w:w="6161" w:type="dxa"/>
          </w:tcPr>
          <w:p w14:paraId="16BB6A09" w14:textId="5AA50C85" w:rsidR="008407F7" w:rsidRPr="000E5786" w:rsidRDefault="008407F7" w:rsidP="0023281D">
            <w:pPr>
              <w:spacing w:before="120"/>
              <w:rPr>
                <w:rFonts w:ascii="Arial" w:hAnsi="Arial" w:cs="Arial"/>
                <w:bCs/>
                <w:sz w:val="20"/>
                <w:szCs w:val="20"/>
              </w:rPr>
            </w:pPr>
            <w:r w:rsidRPr="000E5786">
              <w:rPr>
                <w:rFonts w:ascii="Arial" w:hAnsi="Arial" w:cs="Arial"/>
                <w:bCs/>
                <w:sz w:val="20"/>
                <w:szCs w:val="20"/>
              </w:rPr>
              <w:t xml:space="preserve">Chair:  Head of the TDA,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p>
          <w:p w14:paraId="2EDF9471" w14:textId="08DE2CED" w:rsidR="008407F7" w:rsidRPr="000E5786" w:rsidRDefault="008407F7" w:rsidP="0023281D">
            <w:pPr>
              <w:spacing w:before="120"/>
              <w:rPr>
                <w:rFonts w:ascii="Arial" w:hAnsi="Arial" w:cs="Arial"/>
                <w:bCs/>
                <w:sz w:val="20"/>
                <w:szCs w:val="20"/>
              </w:rPr>
            </w:pPr>
            <w:r w:rsidRPr="000E5786">
              <w:rPr>
                <w:rFonts w:ascii="Arial" w:hAnsi="Arial" w:cs="Arial"/>
                <w:bCs/>
                <w:sz w:val="20"/>
                <w:szCs w:val="20"/>
              </w:rPr>
              <w:t xml:space="preserve">Administrator:  Senior Architect,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p>
          <w:p w14:paraId="524E7D3B" w14:textId="77777777" w:rsidR="008407F7" w:rsidRPr="000E5786" w:rsidRDefault="008407F7" w:rsidP="0023281D">
            <w:pPr>
              <w:spacing w:before="120"/>
              <w:rPr>
                <w:rFonts w:ascii="Arial" w:hAnsi="Arial" w:cs="Arial"/>
                <w:bCs/>
                <w:sz w:val="20"/>
                <w:szCs w:val="20"/>
              </w:rPr>
            </w:pPr>
            <w:r w:rsidRPr="000E5786">
              <w:rPr>
                <w:rFonts w:ascii="Arial" w:hAnsi="Arial" w:cs="Arial"/>
                <w:bCs/>
                <w:sz w:val="20"/>
                <w:szCs w:val="20"/>
              </w:rPr>
              <w:t xml:space="preserve">Members: </w:t>
            </w:r>
          </w:p>
          <w:p w14:paraId="28271388" w14:textId="4E6E3512"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Head of the TDA,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p>
          <w:p w14:paraId="7E250CBD" w14:textId="74F6DD7C"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Principle Architect (s),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p>
          <w:p w14:paraId="6E66A1AC" w14:textId="3D9BD81B"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Senior Architect (s),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p>
          <w:p w14:paraId="72553CCA" w14:textId="1EBE599B"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Senior Network Support Engineer,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p>
          <w:p w14:paraId="4B0A1495" w14:textId="078041F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Security Architect,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sidRPr="000E5786">
              <w:rPr>
                <w:rFonts w:ascii="Arial" w:hAnsi="Arial" w:cs="Arial"/>
                <w:sz w:val="20"/>
                <w:szCs w:val="20"/>
              </w:rPr>
              <w:t xml:space="preserve"> (optional)</w:t>
            </w:r>
          </w:p>
          <w:p w14:paraId="5CC47411"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Architect, Supplier</w:t>
            </w:r>
          </w:p>
          <w:p w14:paraId="77A58524"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Project Manager (s), Supplier</w:t>
            </w:r>
          </w:p>
          <w:p w14:paraId="23F1B588"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Service Delivery Manager, Supplier</w:t>
            </w:r>
          </w:p>
          <w:p w14:paraId="0ACDFB33"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eastAsiaTheme="minorEastAsia" w:hAnsi="Arial" w:cs="Arial"/>
                <w:sz w:val="20"/>
                <w:szCs w:val="20"/>
              </w:rPr>
            </w:pPr>
            <w:r w:rsidRPr="000E5786">
              <w:rPr>
                <w:rFonts w:ascii="Arial" w:hAnsi="Arial" w:cs="Arial"/>
                <w:sz w:val="20"/>
                <w:szCs w:val="20"/>
              </w:rPr>
              <w:t xml:space="preserve"> Project Lead Architect, Supplier</w:t>
            </w:r>
          </w:p>
          <w:p w14:paraId="1B2A905F"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Operations Lead, Supplier </w:t>
            </w:r>
          </w:p>
          <w:p w14:paraId="4AF152DE"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During the transition and migration Phases the following are to roles are to attend:</w:t>
            </w:r>
          </w:p>
          <w:p w14:paraId="2704FDFE"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Transition Manager, Supplier</w:t>
            </w:r>
          </w:p>
          <w:p w14:paraId="0590CFF8"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Migration Manager, Supplier</w:t>
            </w:r>
          </w:p>
        </w:tc>
        <w:tc>
          <w:tcPr>
            <w:tcW w:w="5570" w:type="dxa"/>
          </w:tcPr>
          <w:p w14:paraId="1F8716A4" w14:textId="77777777" w:rsidR="008407F7" w:rsidRPr="000E5786" w:rsidRDefault="008407F7" w:rsidP="00C6649F">
            <w:pPr>
              <w:ind w:left="112" w:firstLine="0"/>
              <w:rPr>
                <w:rFonts w:ascii="Arial" w:hAnsi="Arial" w:cs="Arial"/>
                <w:sz w:val="20"/>
                <w:szCs w:val="20"/>
              </w:rPr>
            </w:pPr>
            <w:r w:rsidRPr="000E5786">
              <w:rPr>
                <w:rFonts w:ascii="Arial" w:hAnsi="Arial" w:cs="Arial"/>
                <w:b/>
                <w:bCs/>
                <w:sz w:val="20"/>
                <w:szCs w:val="20"/>
              </w:rPr>
              <w:t>Minimum Level of Attendance</w:t>
            </w:r>
            <w:r w:rsidRPr="000E5786">
              <w:rPr>
                <w:rFonts w:ascii="Arial" w:hAnsi="Arial" w:cs="Arial"/>
                <w:sz w:val="20"/>
                <w:szCs w:val="20"/>
              </w:rPr>
              <w:t>:  At least two representatives for each Party to be present</w:t>
            </w:r>
          </w:p>
        </w:tc>
      </w:tr>
      <w:tr w:rsidR="008407F7" w:rsidRPr="000E5786" w14:paraId="5967B8C8" w14:textId="77777777" w:rsidTr="00C443FE">
        <w:trPr>
          <w:trHeight w:val="369"/>
        </w:trPr>
        <w:tc>
          <w:tcPr>
            <w:tcW w:w="2547" w:type="dxa"/>
          </w:tcPr>
          <w:p w14:paraId="6951DAA6" w14:textId="77777777" w:rsidR="008407F7" w:rsidRPr="000E5786" w:rsidRDefault="008407F7" w:rsidP="0023281D">
            <w:pPr>
              <w:rPr>
                <w:rFonts w:ascii="Arial" w:hAnsi="Arial" w:cs="Arial"/>
                <w:b/>
                <w:sz w:val="20"/>
                <w:szCs w:val="20"/>
              </w:rPr>
            </w:pPr>
            <w:r w:rsidRPr="000E5786">
              <w:rPr>
                <w:rFonts w:ascii="Arial" w:hAnsi="Arial" w:cs="Arial"/>
                <w:b/>
                <w:sz w:val="20"/>
                <w:szCs w:val="20"/>
              </w:rPr>
              <w:t>Frequency</w:t>
            </w:r>
          </w:p>
        </w:tc>
        <w:tc>
          <w:tcPr>
            <w:tcW w:w="11731" w:type="dxa"/>
            <w:gridSpan w:val="2"/>
          </w:tcPr>
          <w:p w14:paraId="043DFEE1" w14:textId="77777777" w:rsidR="008407F7" w:rsidRPr="000E5786" w:rsidRDefault="008407F7" w:rsidP="0023281D">
            <w:pPr>
              <w:rPr>
                <w:rFonts w:ascii="Arial" w:hAnsi="Arial" w:cs="Arial"/>
                <w:sz w:val="20"/>
                <w:szCs w:val="20"/>
              </w:rPr>
            </w:pPr>
            <w:r w:rsidRPr="000E5786">
              <w:rPr>
                <w:rFonts w:ascii="Arial" w:hAnsi="Arial" w:cs="Arial"/>
                <w:sz w:val="20"/>
                <w:szCs w:val="20"/>
              </w:rPr>
              <w:t xml:space="preserve">Monthly </w:t>
            </w:r>
          </w:p>
        </w:tc>
      </w:tr>
      <w:tr w:rsidR="008407F7" w:rsidRPr="000E5786" w14:paraId="09174E4F" w14:textId="77777777" w:rsidTr="00C443FE">
        <w:trPr>
          <w:trHeight w:val="397"/>
        </w:trPr>
        <w:tc>
          <w:tcPr>
            <w:tcW w:w="2547" w:type="dxa"/>
          </w:tcPr>
          <w:p w14:paraId="7B28AF96" w14:textId="77777777" w:rsidR="008407F7" w:rsidRPr="000E5786" w:rsidRDefault="008407F7" w:rsidP="0023281D">
            <w:pPr>
              <w:rPr>
                <w:rFonts w:ascii="Arial" w:hAnsi="Arial" w:cs="Arial"/>
                <w:b/>
                <w:sz w:val="20"/>
                <w:szCs w:val="20"/>
              </w:rPr>
            </w:pPr>
            <w:r w:rsidRPr="000E5786">
              <w:rPr>
                <w:rFonts w:ascii="Arial" w:hAnsi="Arial" w:cs="Arial"/>
                <w:b/>
                <w:sz w:val="20"/>
                <w:szCs w:val="20"/>
              </w:rPr>
              <w:t>Areas for review</w:t>
            </w:r>
          </w:p>
        </w:tc>
        <w:tc>
          <w:tcPr>
            <w:tcW w:w="11731" w:type="dxa"/>
            <w:gridSpan w:val="2"/>
          </w:tcPr>
          <w:p w14:paraId="62E51303" w14:textId="77777777" w:rsidR="008407F7" w:rsidRPr="000E5786" w:rsidRDefault="008407F7" w:rsidP="0023281D">
            <w:pPr>
              <w:pStyle w:val="BulletLast"/>
              <w:tabs>
                <w:tab w:val="clear" w:pos="360"/>
              </w:tabs>
              <w:ind w:left="0" w:firstLine="0"/>
              <w:jc w:val="left"/>
              <w:rPr>
                <w:rFonts w:ascii="Arial" w:eastAsia="MS Mincho" w:hAnsi="Arial" w:cs="Arial"/>
                <w:spacing w:val="0"/>
                <w:sz w:val="20"/>
                <w:szCs w:val="20"/>
                <w:lang w:eastAsia="ja-JP"/>
              </w:rPr>
            </w:pPr>
            <w:r w:rsidRPr="000E5786">
              <w:rPr>
                <w:rFonts w:ascii="Arial" w:eastAsia="MS Mincho" w:hAnsi="Arial" w:cs="Arial"/>
                <w:spacing w:val="0"/>
                <w:sz w:val="20"/>
                <w:szCs w:val="20"/>
                <w:lang w:eastAsia="ja-JP"/>
              </w:rPr>
              <w:t>Technical Architecture Changes / Tool selection</w:t>
            </w:r>
          </w:p>
        </w:tc>
      </w:tr>
      <w:tr w:rsidR="008407F7" w:rsidRPr="000E5786" w14:paraId="1859CF69" w14:textId="77777777" w:rsidTr="00C443FE">
        <w:trPr>
          <w:trHeight w:val="397"/>
        </w:trPr>
        <w:tc>
          <w:tcPr>
            <w:tcW w:w="2547" w:type="dxa"/>
          </w:tcPr>
          <w:p w14:paraId="5E23D59C" w14:textId="77777777" w:rsidR="008407F7" w:rsidRPr="000E5786" w:rsidRDefault="008407F7" w:rsidP="0023281D">
            <w:pPr>
              <w:rPr>
                <w:rFonts w:ascii="Arial" w:hAnsi="Arial" w:cs="Arial"/>
                <w:b/>
                <w:sz w:val="20"/>
                <w:szCs w:val="20"/>
              </w:rPr>
            </w:pPr>
            <w:r w:rsidRPr="000E5786">
              <w:rPr>
                <w:rFonts w:ascii="Arial" w:hAnsi="Arial" w:cs="Arial"/>
                <w:b/>
                <w:sz w:val="20"/>
                <w:szCs w:val="20"/>
              </w:rPr>
              <w:t>Inputs</w:t>
            </w:r>
          </w:p>
        </w:tc>
        <w:tc>
          <w:tcPr>
            <w:tcW w:w="11731" w:type="dxa"/>
            <w:gridSpan w:val="2"/>
          </w:tcPr>
          <w:p w14:paraId="1FC6A242" w14:textId="77777777" w:rsidR="008407F7" w:rsidRPr="000E5786" w:rsidRDefault="008407F7" w:rsidP="0023281D">
            <w:pPr>
              <w:pStyle w:val="BulletLast"/>
              <w:tabs>
                <w:tab w:val="clear" w:pos="360"/>
              </w:tabs>
              <w:ind w:left="0" w:firstLine="0"/>
              <w:jc w:val="left"/>
              <w:rPr>
                <w:rFonts w:ascii="Arial" w:eastAsia="MS Mincho" w:hAnsi="Arial" w:cs="Arial"/>
                <w:spacing w:val="0"/>
                <w:sz w:val="20"/>
                <w:szCs w:val="20"/>
                <w:lang w:eastAsia="ja-JP"/>
              </w:rPr>
            </w:pPr>
            <w:r w:rsidRPr="000E5786">
              <w:rPr>
                <w:rFonts w:ascii="Arial" w:eastAsia="MS Mincho" w:hAnsi="Arial" w:cs="Arial"/>
                <w:spacing w:val="0"/>
                <w:sz w:val="20"/>
                <w:szCs w:val="20"/>
                <w:lang w:eastAsia="ja-JP"/>
              </w:rPr>
              <w:t>Technical Proposals or Option Reports</w:t>
            </w:r>
          </w:p>
          <w:p w14:paraId="224B76A0" w14:textId="77777777" w:rsidR="008407F7" w:rsidRPr="000E5786" w:rsidRDefault="008407F7" w:rsidP="0023281D">
            <w:pPr>
              <w:pStyle w:val="BulletLast"/>
              <w:tabs>
                <w:tab w:val="clear" w:pos="360"/>
              </w:tabs>
              <w:ind w:left="0" w:firstLine="0"/>
              <w:jc w:val="left"/>
              <w:rPr>
                <w:rFonts w:ascii="Arial" w:eastAsia="MS Mincho" w:hAnsi="Arial" w:cs="Arial"/>
                <w:spacing w:val="0"/>
                <w:sz w:val="20"/>
                <w:szCs w:val="20"/>
                <w:lang w:eastAsia="ja-JP"/>
              </w:rPr>
            </w:pPr>
            <w:r w:rsidRPr="000E5786">
              <w:rPr>
                <w:rFonts w:ascii="Arial" w:eastAsia="MS Mincho" w:hAnsi="Arial" w:cs="Arial"/>
                <w:spacing w:val="0"/>
                <w:sz w:val="20"/>
                <w:szCs w:val="20"/>
                <w:lang w:eastAsia="ja-JP"/>
              </w:rPr>
              <w:t>Tool selection proposals</w:t>
            </w:r>
          </w:p>
          <w:p w14:paraId="441297E4" w14:textId="5E6F4C1D" w:rsidR="008407F7" w:rsidRPr="000E5786" w:rsidRDefault="008407F7" w:rsidP="0023281D">
            <w:pPr>
              <w:pStyle w:val="BulletLast"/>
              <w:tabs>
                <w:tab w:val="clear" w:pos="360"/>
              </w:tabs>
              <w:ind w:left="0" w:firstLine="0"/>
              <w:jc w:val="left"/>
              <w:rPr>
                <w:rFonts w:ascii="Arial" w:eastAsia="MS Mincho" w:hAnsi="Arial" w:cs="Arial"/>
                <w:spacing w:val="0"/>
                <w:sz w:val="20"/>
                <w:szCs w:val="20"/>
                <w:lang w:eastAsia="ja-JP"/>
              </w:rPr>
            </w:pPr>
            <w:r w:rsidRPr="000E5786">
              <w:rPr>
                <w:rFonts w:ascii="Arial" w:eastAsia="MS Mincho" w:hAnsi="Arial" w:cs="Arial"/>
                <w:spacing w:val="0"/>
                <w:sz w:val="20"/>
                <w:szCs w:val="20"/>
                <w:lang w:eastAsia="ja-JP"/>
              </w:rPr>
              <w:lastRenderedPageBreak/>
              <w:t>[</w:t>
            </w:r>
            <w:proofErr w:type="spellStart"/>
            <w:r w:rsidR="001F1C19">
              <w:rPr>
                <w:rFonts w:ascii="Arial" w:eastAsia="MS Mincho" w:hAnsi="Arial" w:cs="Arial"/>
                <w:spacing w:val="0"/>
                <w:sz w:val="20"/>
                <w:szCs w:val="20"/>
                <w:lang w:eastAsia="ja-JP"/>
              </w:rPr>
              <w:t>Netlink</w:t>
            </w:r>
            <w:proofErr w:type="spellEnd"/>
            <w:r w:rsidR="001F1C19">
              <w:rPr>
                <w:rFonts w:ascii="Arial" w:eastAsia="MS Mincho" w:hAnsi="Arial" w:cs="Arial"/>
                <w:spacing w:val="0"/>
                <w:sz w:val="20"/>
                <w:szCs w:val="20"/>
                <w:lang w:eastAsia="ja-JP"/>
              </w:rPr>
              <w:t xml:space="preserve"> Star</w:t>
            </w:r>
            <w:r w:rsidRPr="000E5786">
              <w:rPr>
                <w:rFonts w:ascii="Arial" w:eastAsia="MS Mincho" w:hAnsi="Arial" w:cs="Arial"/>
                <w:spacing w:val="0"/>
                <w:sz w:val="20"/>
                <w:szCs w:val="20"/>
                <w:lang w:eastAsia="ja-JP"/>
              </w:rPr>
              <w:t xml:space="preserve"> technical architecture principals]</w:t>
            </w:r>
          </w:p>
        </w:tc>
      </w:tr>
      <w:tr w:rsidR="008407F7" w:rsidRPr="000E5786" w14:paraId="18ED35F1" w14:textId="77777777" w:rsidTr="00C443FE">
        <w:trPr>
          <w:trHeight w:val="435"/>
        </w:trPr>
        <w:tc>
          <w:tcPr>
            <w:tcW w:w="2547" w:type="dxa"/>
          </w:tcPr>
          <w:p w14:paraId="4876B0DB" w14:textId="77777777" w:rsidR="008407F7" w:rsidRPr="000E5786" w:rsidRDefault="008407F7" w:rsidP="0023281D">
            <w:pPr>
              <w:rPr>
                <w:rFonts w:ascii="Arial" w:hAnsi="Arial" w:cs="Arial"/>
                <w:b/>
                <w:sz w:val="20"/>
                <w:szCs w:val="20"/>
              </w:rPr>
            </w:pPr>
            <w:r w:rsidRPr="000E5786">
              <w:rPr>
                <w:rFonts w:ascii="Arial" w:hAnsi="Arial" w:cs="Arial"/>
                <w:b/>
                <w:sz w:val="20"/>
                <w:szCs w:val="20"/>
              </w:rPr>
              <w:lastRenderedPageBreak/>
              <w:t>Outputs</w:t>
            </w:r>
          </w:p>
        </w:tc>
        <w:tc>
          <w:tcPr>
            <w:tcW w:w="11731" w:type="dxa"/>
            <w:gridSpan w:val="2"/>
          </w:tcPr>
          <w:p w14:paraId="0C6BA6DD" w14:textId="77777777" w:rsidR="008407F7" w:rsidRPr="000E5786" w:rsidRDefault="008407F7" w:rsidP="0023281D">
            <w:pPr>
              <w:pStyle w:val="BulletLast"/>
              <w:ind w:left="0" w:firstLine="0"/>
              <w:rPr>
                <w:rFonts w:ascii="Arial" w:hAnsi="Arial" w:cs="Arial"/>
                <w:sz w:val="20"/>
                <w:szCs w:val="20"/>
              </w:rPr>
            </w:pPr>
            <w:r w:rsidRPr="000E5786">
              <w:rPr>
                <w:rFonts w:ascii="Arial" w:hAnsi="Arial" w:cs="Arial"/>
                <w:sz w:val="20"/>
                <w:szCs w:val="20"/>
              </w:rPr>
              <w:t>Decisions and justifications, proposed alternatives</w:t>
            </w:r>
          </w:p>
        </w:tc>
      </w:tr>
      <w:tr w:rsidR="008407F7" w:rsidRPr="000E5786" w14:paraId="3594EE6E" w14:textId="77777777" w:rsidTr="00C443FE">
        <w:trPr>
          <w:trHeight w:val="397"/>
        </w:trPr>
        <w:tc>
          <w:tcPr>
            <w:tcW w:w="2547" w:type="dxa"/>
          </w:tcPr>
          <w:p w14:paraId="5F3B273B" w14:textId="77777777" w:rsidR="008407F7" w:rsidRPr="000E5786" w:rsidRDefault="008407F7" w:rsidP="0023281D">
            <w:pPr>
              <w:rPr>
                <w:rFonts w:ascii="Arial" w:hAnsi="Arial" w:cs="Arial"/>
                <w:b/>
                <w:sz w:val="20"/>
                <w:szCs w:val="20"/>
              </w:rPr>
            </w:pPr>
            <w:r w:rsidRPr="000E5786">
              <w:rPr>
                <w:rFonts w:ascii="Arial" w:hAnsi="Arial" w:cs="Arial"/>
                <w:b/>
                <w:sz w:val="20"/>
                <w:szCs w:val="20"/>
              </w:rPr>
              <w:t>Escalation</w:t>
            </w:r>
          </w:p>
        </w:tc>
        <w:tc>
          <w:tcPr>
            <w:tcW w:w="11731" w:type="dxa"/>
            <w:gridSpan w:val="2"/>
          </w:tcPr>
          <w:p w14:paraId="7B5CE39D" w14:textId="77777777" w:rsidR="008407F7" w:rsidRPr="000E5786" w:rsidRDefault="008407F7" w:rsidP="0023281D">
            <w:pPr>
              <w:keepNext/>
              <w:rPr>
                <w:rFonts w:ascii="Arial" w:hAnsi="Arial" w:cs="Arial"/>
                <w:sz w:val="20"/>
                <w:szCs w:val="20"/>
              </w:rPr>
            </w:pPr>
            <w:r w:rsidRPr="000E5786">
              <w:rPr>
                <w:rFonts w:ascii="Arial" w:hAnsi="Arial" w:cs="Arial"/>
                <w:sz w:val="20"/>
                <w:szCs w:val="20"/>
              </w:rPr>
              <w:t>Service Management Review Meeting</w:t>
            </w:r>
          </w:p>
        </w:tc>
      </w:tr>
      <w:tr w:rsidR="008407F7" w:rsidRPr="000E5786" w14:paraId="78D0E6A3" w14:textId="77777777" w:rsidTr="00C443FE">
        <w:trPr>
          <w:trHeight w:val="397"/>
        </w:trPr>
        <w:tc>
          <w:tcPr>
            <w:tcW w:w="2547" w:type="dxa"/>
          </w:tcPr>
          <w:p w14:paraId="2D8BB71F" w14:textId="77777777" w:rsidR="008407F7" w:rsidRPr="000E5786" w:rsidRDefault="008407F7" w:rsidP="0023281D">
            <w:pPr>
              <w:rPr>
                <w:rFonts w:ascii="Arial" w:hAnsi="Arial" w:cs="Arial"/>
                <w:b/>
                <w:sz w:val="20"/>
                <w:szCs w:val="20"/>
              </w:rPr>
            </w:pPr>
            <w:r w:rsidRPr="000E5786">
              <w:rPr>
                <w:rFonts w:ascii="Arial" w:hAnsi="Arial" w:cs="Arial"/>
                <w:b/>
                <w:sz w:val="20"/>
                <w:szCs w:val="20"/>
              </w:rPr>
              <w:t>Related Meetings</w:t>
            </w:r>
          </w:p>
        </w:tc>
        <w:tc>
          <w:tcPr>
            <w:tcW w:w="11731" w:type="dxa"/>
            <w:gridSpan w:val="2"/>
          </w:tcPr>
          <w:p w14:paraId="63FCECD6" w14:textId="77777777" w:rsidR="008407F7" w:rsidRPr="000E5786" w:rsidRDefault="008407F7" w:rsidP="0023281D">
            <w:pPr>
              <w:rPr>
                <w:rFonts w:ascii="Arial" w:hAnsi="Arial" w:cs="Arial"/>
                <w:sz w:val="20"/>
                <w:szCs w:val="20"/>
              </w:rPr>
            </w:pPr>
            <w:r w:rsidRPr="000E5786">
              <w:rPr>
                <w:rFonts w:ascii="Arial" w:hAnsi="Arial" w:cs="Arial"/>
                <w:sz w:val="20"/>
                <w:szCs w:val="20"/>
              </w:rPr>
              <w:t>Data Centre Portfolio Board</w:t>
            </w:r>
          </w:p>
          <w:p w14:paraId="7916C001" w14:textId="77777777" w:rsidR="008407F7" w:rsidRPr="000E5786" w:rsidRDefault="008407F7" w:rsidP="0023281D">
            <w:pPr>
              <w:rPr>
                <w:rFonts w:ascii="Arial" w:hAnsi="Arial" w:cs="Arial"/>
                <w:sz w:val="20"/>
                <w:szCs w:val="20"/>
              </w:rPr>
            </w:pPr>
            <w:r w:rsidRPr="000E5786">
              <w:rPr>
                <w:rFonts w:ascii="Arial" w:hAnsi="Arial" w:cs="Arial"/>
                <w:sz w:val="20"/>
                <w:szCs w:val="20"/>
              </w:rPr>
              <w:t>Project Review Meeting</w:t>
            </w:r>
          </w:p>
        </w:tc>
      </w:tr>
    </w:tbl>
    <w:p w14:paraId="2D9F60F7" w14:textId="77777777" w:rsidR="008407F7" w:rsidRPr="000E5786" w:rsidRDefault="008407F7" w:rsidP="00182C80">
      <w:pPr>
        <w:pStyle w:val="ScheduleSubheading"/>
        <w:numPr>
          <w:ilvl w:val="0"/>
          <w:numId w:val="0"/>
        </w:numPr>
        <w:jc w:val="both"/>
        <w:rPr>
          <w:rFonts w:cs="Arial"/>
          <w:szCs w:val="20"/>
        </w:rPr>
        <w:sectPr w:rsidR="008407F7" w:rsidRPr="000E5786" w:rsidSect="00182C80">
          <w:headerReference w:type="first" r:id="rId75"/>
          <w:pgSz w:w="16840" w:h="11907" w:orient="landscape" w:code="9"/>
          <w:pgMar w:top="1418" w:right="1418" w:bottom="1418" w:left="1134" w:header="709" w:footer="709" w:gutter="0"/>
          <w:cols w:space="708"/>
          <w:titlePg/>
          <w:docGrid w:linePitch="360"/>
        </w:sectPr>
      </w:pPr>
    </w:p>
    <w:tbl>
      <w:tblPr>
        <w:tblStyle w:val="TableGrid0"/>
        <w:tblW w:w="5000" w:type="pct"/>
        <w:tblLook w:val="04A0" w:firstRow="1" w:lastRow="0" w:firstColumn="1" w:lastColumn="0" w:noHBand="0" w:noVBand="1"/>
      </w:tblPr>
      <w:tblGrid>
        <w:gridCol w:w="3099"/>
        <w:gridCol w:w="4560"/>
        <w:gridCol w:w="3860"/>
        <w:gridCol w:w="2759"/>
      </w:tblGrid>
      <w:tr w:rsidR="008407F7" w:rsidRPr="000E5786" w14:paraId="43D1390B" w14:textId="77777777" w:rsidTr="00C6649F">
        <w:trPr>
          <w:trHeight w:val="397"/>
        </w:trPr>
        <w:tc>
          <w:tcPr>
            <w:tcW w:w="3256" w:type="dxa"/>
            <w:shd w:val="clear" w:color="auto" w:fill="BFBFBF" w:themeFill="background1" w:themeFillShade="BF"/>
          </w:tcPr>
          <w:p w14:paraId="5657AA03" w14:textId="77777777" w:rsidR="008407F7" w:rsidRPr="000E5786" w:rsidRDefault="008407F7" w:rsidP="0023281D">
            <w:pPr>
              <w:keepNext/>
              <w:rPr>
                <w:rFonts w:ascii="Arial" w:hAnsi="Arial" w:cs="Arial"/>
                <w:b/>
                <w:bCs/>
                <w:sz w:val="20"/>
                <w:szCs w:val="20"/>
              </w:rPr>
            </w:pPr>
            <w:r w:rsidRPr="000E5786">
              <w:rPr>
                <w:rFonts w:ascii="Arial" w:hAnsi="Arial" w:cs="Arial"/>
                <w:sz w:val="20"/>
                <w:szCs w:val="20"/>
              </w:rPr>
              <w:lastRenderedPageBreak/>
              <w:br w:type="page"/>
            </w:r>
            <w:r w:rsidRPr="000E5786">
              <w:rPr>
                <w:rFonts w:ascii="Arial" w:hAnsi="Arial" w:cs="Arial"/>
                <w:sz w:val="20"/>
                <w:szCs w:val="20"/>
              </w:rPr>
              <w:br w:type="page"/>
            </w:r>
            <w:r w:rsidRPr="000E5786">
              <w:rPr>
                <w:rFonts w:ascii="Arial" w:hAnsi="Arial" w:cs="Arial"/>
                <w:sz w:val="20"/>
                <w:szCs w:val="20"/>
              </w:rPr>
              <w:br w:type="page"/>
            </w:r>
            <w:r w:rsidRPr="000E5786">
              <w:rPr>
                <w:rFonts w:ascii="Arial" w:hAnsi="Arial" w:cs="Arial"/>
                <w:sz w:val="20"/>
                <w:szCs w:val="20"/>
              </w:rPr>
              <w:br w:type="page"/>
            </w:r>
            <w:r w:rsidRPr="000E5786">
              <w:rPr>
                <w:rFonts w:ascii="Arial" w:hAnsi="Arial" w:cs="Arial"/>
                <w:b/>
                <w:bCs/>
                <w:sz w:val="20"/>
                <w:szCs w:val="20"/>
              </w:rPr>
              <w:t>Charter</w:t>
            </w:r>
          </w:p>
        </w:tc>
        <w:tc>
          <w:tcPr>
            <w:tcW w:w="11758" w:type="dxa"/>
            <w:gridSpan w:val="3"/>
            <w:shd w:val="clear" w:color="auto" w:fill="BFBFBF" w:themeFill="background1" w:themeFillShade="BF"/>
          </w:tcPr>
          <w:p w14:paraId="7C221D76" w14:textId="77777777" w:rsidR="008407F7" w:rsidRPr="000E5786" w:rsidRDefault="008407F7" w:rsidP="0023281D">
            <w:pPr>
              <w:keepNext/>
              <w:rPr>
                <w:rFonts w:ascii="Arial" w:hAnsi="Arial" w:cs="Arial"/>
                <w:bCs/>
                <w:i/>
                <w:sz w:val="20"/>
                <w:szCs w:val="20"/>
              </w:rPr>
            </w:pPr>
            <w:r w:rsidRPr="000E5786">
              <w:rPr>
                <w:rFonts w:ascii="Arial" w:hAnsi="Arial" w:cs="Arial"/>
                <w:sz w:val="20"/>
                <w:szCs w:val="20"/>
              </w:rPr>
              <w:t xml:space="preserve">Data Centre Portfolio Board </w:t>
            </w:r>
          </w:p>
        </w:tc>
      </w:tr>
      <w:tr w:rsidR="008407F7" w:rsidRPr="000E5786" w14:paraId="58C0840E" w14:textId="77777777" w:rsidTr="0023281D">
        <w:trPr>
          <w:trHeight w:val="423"/>
        </w:trPr>
        <w:tc>
          <w:tcPr>
            <w:tcW w:w="3256" w:type="dxa"/>
          </w:tcPr>
          <w:p w14:paraId="4C863A87" w14:textId="77777777" w:rsidR="008407F7" w:rsidRPr="000E5786" w:rsidRDefault="008407F7" w:rsidP="008407F7">
            <w:pPr>
              <w:pStyle w:val="ScheduleTitle"/>
              <w:numPr>
                <w:ilvl w:val="0"/>
                <w:numId w:val="0"/>
              </w:numPr>
              <w:jc w:val="both"/>
              <w:rPr>
                <w:rFonts w:ascii="Arial" w:hAnsi="Arial" w:cs="Arial"/>
                <w:sz w:val="20"/>
                <w:szCs w:val="20"/>
              </w:rPr>
            </w:pPr>
            <w:r w:rsidRPr="000E5786">
              <w:rPr>
                <w:rFonts w:ascii="Arial" w:hAnsi="Arial" w:cs="Arial"/>
                <w:sz w:val="20"/>
                <w:szCs w:val="20"/>
              </w:rPr>
              <w:t>Purpose / Role / Agenda</w:t>
            </w:r>
          </w:p>
        </w:tc>
        <w:tc>
          <w:tcPr>
            <w:tcW w:w="11758" w:type="dxa"/>
            <w:gridSpan w:val="3"/>
          </w:tcPr>
          <w:p w14:paraId="54803D96" w14:textId="033F1F4D" w:rsidR="008407F7" w:rsidRPr="000E5786" w:rsidRDefault="008407F7" w:rsidP="0023281D">
            <w:pPr>
              <w:keepNext/>
              <w:ind w:left="851" w:hanging="851"/>
              <w:rPr>
                <w:rFonts w:ascii="Arial" w:hAnsi="Arial" w:cs="Arial"/>
                <w:sz w:val="20"/>
                <w:szCs w:val="20"/>
              </w:rPr>
            </w:pPr>
            <w:r w:rsidRPr="000E5786">
              <w:rPr>
                <w:rStyle w:val="PurposeChar"/>
                <w:rFonts w:ascii="Arial" w:hAnsi="Arial"/>
                <w:b/>
                <w:sz w:val="20"/>
              </w:rPr>
              <w:t>Purpose:</w:t>
            </w:r>
            <w:r w:rsidRPr="000E5786">
              <w:rPr>
                <w:rStyle w:val="PurposeChar"/>
                <w:rFonts w:ascii="Arial" w:hAnsi="Arial"/>
                <w:sz w:val="20"/>
              </w:rPr>
              <w:t xml:space="preserve"> </w:t>
            </w:r>
            <w:r w:rsidRPr="000E5786">
              <w:rPr>
                <w:rFonts w:ascii="Arial" w:hAnsi="Arial" w:cs="Arial"/>
                <w:sz w:val="20"/>
                <w:szCs w:val="20"/>
              </w:rPr>
              <w:t xml:space="preserve">to give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sidRPr="000E5786">
              <w:rPr>
                <w:rFonts w:ascii="Arial" w:hAnsi="Arial" w:cs="Arial"/>
                <w:sz w:val="20"/>
                <w:szCs w:val="20"/>
              </w:rPr>
              <w:t xml:space="preserve">, and </w:t>
            </w:r>
            <w:proofErr w:type="gramStart"/>
            <w:r w:rsidRPr="000E5786">
              <w:rPr>
                <w:rFonts w:ascii="Arial" w:hAnsi="Arial" w:cs="Arial"/>
                <w:sz w:val="20"/>
                <w:szCs w:val="20"/>
              </w:rPr>
              <w:t xml:space="preserve">in particular </w:t>
            </w:r>
            <w:proofErr w:type="spellStart"/>
            <w:r w:rsidR="001F1C19">
              <w:rPr>
                <w:rFonts w:ascii="Arial" w:hAnsi="Arial" w:cs="Arial"/>
                <w:sz w:val="20"/>
                <w:szCs w:val="20"/>
              </w:rPr>
              <w:t>Netlink</w:t>
            </w:r>
            <w:proofErr w:type="spellEnd"/>
            <w:proofErr w:type="gramEnd"/>
            <w:r w:rsidR="001F1C19">
              <w:rPr>
                <w:rFonts w:ascii="Arial" w:hAnsi="Arial" w:cs="Arial"/>
                <w:sz w:val="20"/>
                <w:szCs w:val="20"/>
              </w:rPr>
              <w:t xml:space="preserve"> Star</w:t>
            </w:r>
            <w:r w:rsidRPr="000E5786">
              <w:rPr>
                <w:rFonts w:ascii="Arial" w:hAnsi="Arial" w:cs="Arial"/>
                <w:sz w:val="20"/>
                <w:szCs w:val="20"/>
              </w:rPr>
              <w:t xml:space="preserve">’s stakeholders, senior level guidance, leadership, and confidence in the overall delivery of the projects in accordance with Schedule 6 </w:t>
            </w:r>
            <w:bookmarkStart w:id="2364" w:name="_Hlk79398813"/>
            <w:r w:rsidRPr="000E5786">
              <w:rPr>
                <w:rFonts w:ascii="Arial" w:hAnsi="Arial" w:cs="Arial"/>
                <w:sz w:val="20"/>
                <w:szCs w:val="20"/>
              </w:rPr>
              <w:t>and to ensure that all Projects achieve their planned objectives.</w:t>
            </w:r>
          </w:p>
          <w:bookmarkEnd w:id="2364"/>
          <w:p w14:paraId="56C77696" w14:textId="77777777" w:rsidR="008407F7" w:rsidRPr="000E5786" w:rsidRDefault="008407F7" w:rsidP="0023281D">
            <w:pPr>
              <w:keepNext/>
              <w:rPr>
                <w:rFonts w:ascii="Arial" w:hAnsi="Arial" w:cs="Arial"/>
                <w:b/>
                <w:sz w:val="20"/>
                <w:szCs w:val="20"/>
              </w:rPr>
            </w:pPr>
            <w:r w:rsidRPr="000E5786">
              <w:rPr>
                <w:rFonts w:ascii="Arial" w:hAnsi="Arial" w:cs="Arial"/>
                <w:b/>
                <w:sz w:val="20"/>
                <w:szCs w:val="20"/>
              </w:rPr>
              <w:t>Role:</w:t>
            </w:r>
          </w:p>
          <w:p w14:paraId="3D1D4331"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Tracks, reports and drives achievement in line with projected Project milestones, deliverables and their acceptance </w:t>
            </w:r>
            <w:proofErr w:type="gramStart"/>
            <w:r w:rsidRPr="000E5786">
              <w:rPr>
                <w:rFonts w:ascii="Arial" w:hAnsi="Arial" w:cs="Arial"/>
                <w:sz w:val="20"/>
                <w:szCs w:val="20"/>
              </w:rPr>
              <w:t>criteria</w:t>
            </w:r>
            <w:proofErr w:type="gramEnd"/>
          </w:p>
          <w:p w14:paraId="26A77B74"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Resolves issues raised by all Parties</w:t>
            </w:r>
            <w:proofErr w:type="gramStart"/>
            <w:r w:rsidRPr="000E5786">
              <w:rPr>
                <w:rFonts w:ascii="Arial" w:hAnsi="Arial" w:cs="Arial"/>
                <w:sz w:val="20"/>
                <w:szCs w:val="20"/>
              </w:rPr>
              <w:t>, in particular, from</w:t>
            </w:r>
            <w:proofErr w:type="gramEnd"/>
            <w:r w:rsidRPr="000E5786">
              <w:rPr>
                <w:rFonts w:ascii="Arial" w:hAnsi="Arial" w:cs="Arial"/>
                <w:sz w:val="20"/>
                <w:szCs w:val="20"/>
              </w:rPr>
              <w:t xml:space="preserve"> Project Teams</w:t>
            </w:r>
          </w:p>
          <w:p w14:paraId="0237E404"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Monitors Supplier’s performance in Project delivery in accordance with Schedule 6, and ensures that Projects achieve their planned </w:t>
            </w:r>
            <w:proofErr w:type="gramStart"/>
            <w:r w:rsidRPr="000E5786">
              <w:rPr>
                <w:rFonts w:ascii="Arial" w:hAnsi="Arial" w:cs="Arial"/>
                <w:sz w:val="20"/>
                <w:szCs w:val="20"/>
              </w:rPr>
              <w:t>benefits</w:t>
            </w:r>
            <w:proofErr w:type="gramEnd"/>
          </w:p>
          <w:p w14:paraId="35331CE2"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Provides guidance and support to project teams and acts as an escalation route for </w:t>
            </w:r>
            <w:proofErr w:type="gramStart"/>
            <w:r w:rsidRPr="000E5786">
              <w:rPr>
                <w:rFonts w:ascii="Arial" w:hAnsi="Arial" w:cs="Arial"/>
                <w:sz w:val="20"/>
                <w:szCs w:val="20"/>
              </w:rPr>
              <w:t>decisions</w:t>
            </w:r>
            <w:proofErr w:type="gramEnd"/>
          </w:p>
          <w:p w14:paraId="04E7E31F"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bCs/>
                <w:sz w:val="20"/>
                <w:szCs w:val="20"/>
              </w:rPr>
            </w:pPr>
            <w:r w:rsidRPr="000E5786">
              <w:rPr>
                <w:rFonts w:ascii="Arial" w:hAnsi="Arial" w:cs="Arial"/>
                <w:bCs/>
                <w:sz w:val="20"/>
                <w:szCs w:val="20"/>
              </w:rPr>
              <w:t xml:space="preserve">Monitors the impact of all Changes that are raised at the Change Approval Board in terms of </w:t>
            </w:r>
            <w:proofErr w:type="gramStart"/>
            <w:r w:rsidRPr="000E5786">
              <w:rPr>
                <w:rFonts w:ascii="Arial" w:hAnsi="Arial" w:cs="Arial"/>
                <w:bCs/>
                <w:sz w:val="20"/>
                <w:szCs w:val="20"/>
              </w:rPr>
              <w:t>e.g.</w:t>
            </w:r>
            <w:proofErr w:type="gramEnd"/>
            <w:r w:rsidRPr="000E5786">
              <w:rPr>
                <w:rFonts w:ascii="Arial" w:hAnsi="Arial" w:cs="Arial"/>
                <w:bCs/>
                <w:sz w:val="20"/>
                <w:szCs w:val="20"/>
              </w:rPr>
              <w:t xml:space="preserve"> cost, risk, benefit and ensures the analysis of the impact of those Changes is accurate and circulated and communicated where needed in relation to Project Changes</w:t>
            </w:r>
          </w:p>
          <w:p w14:paraId="4F00DEA6" w14:textId="77777777" w:rsidR="008407F7" w:rsidRPr="000E5786" w:rsidRDefault="008407F7" w:rsidP="00E538A1">
            <w:pPr>
              <w:pStyle w:val="ListParagraph"/>
              <w:numPr>
                <w:ilvl w:val="0"/>
                <w:numId w:val="24"/>
              </w:numPr>
              <w:spacing w:before="60" w:after="60" w:line="240" w:lineRule="auto"/>
              <w:ind w:left="714" w:hanging="357"/>
              <w:contextualSpacing w:val="0"/>
              <w:jc w:val="left"/>
              <w:rPr>
                <w:rFonts w:ascii="Arial" w:hAnsi="Arial" w:cs="Arial"/>
                <w:sz w:val="20"/>
                <w:szCs w:val="20"/>
              </w:rPr>
            </w:pPr>
            <w:r w:rsidRPr="000E5786">
              <w:rPr>
                <w:rStyle w:val="PurposeChar"/>
                <w:rFonts w:ascii="Arial" w:eastAsia="Calibri" w:hAnsi="Arial"/>
                <w:sz w:val="20"/>
              </w:rPr>
              <w:t>Approves/denies Non-Technical Changes from submitted Minor Change Notices or Significant Change Control Notices that affect any in-flight Projects.</w:t>
            </w:r>
          </w:p>
          <w:p w14:paraId="6F6A5D98"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bCs/>
                <w:sz w:val="20"/>
                <w:szCs w:val="20"/>
              </w:rPr>
            </w:pPr>
            <w:r w:rsidRPr="000E5786">
              <w:rPr>
                <w:rFonts w:ascii="Arial" w:hAnsi="Arial" w:cs="Arial"/>
                <w:bCs/>
                <w:sz w:val="20"/>
                <w:szCs w:val="20"/>
              </w:rPr>
              <w:t xml:space="preserve">Provides commercial recommendations to the Service Management Review Meeting as </w:t>
            </w:r>
            <w:proofErr w:type="gramStart"/>
            <w:r w:rsidRPr="000E5786">
              <w:rPr>
                <w:rFonts w:ascii="Arial" w:hAnsi="Arial" w:cs="Arial"/>
                <w:bCs/>
                <w:sz w:val="20"/>
                <w:szCs w:val="20"/>
              </w:rPr>
              <w:t>required</w:t>
            </w:r>
            <w:proofErr w:type="gramEnd"/>
          </w:p>
          <w:p w14:paraId="5E958182"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bCs/>
                <w:sz w:val="20"/>
                <w:szCs w:val="20"/>
              </w:rPr>
            </w:pPr>
            <w:r w:rsidRPr="000E5786">
              <w:rPr>
                <w:rFonts w:ascii="Arial" w:hAnsi="Arial" w:cs="Arial"/>
                <w:bCs/>
                <w:sz w:val="20"/>
                <w:szCs w:val="20"/>
              </w:rPr>
              <w:t>Ensures that all governance bodies are functioning as intended or recommends changes as appropriate to the Services Steering Board</w:t>
            </w:r>
          </w:p>
          <w:p w14:paraId="28964AA5" w14:textId="77777777" w:rsidR="008407F7" w:rsidRPr="000E5786" w:rsidRDefault="008407F7" w:rsidP="00E538A1">
            <w:pPr>
              <w:pStyle w:val="ListParagraph"/>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Takes input from the Security Group on risks, issues, opportunities, and security assurance in relation to </w:t>
            </w:r>
            <w:proofErr w:type="gramStart"/>
            <w:r w:rsidRPr="000E5786">
              <w:rPr>
                <w:rFonts w:ascii="Arial" w:hAnsi="Arial" w:cs="Arial"/>
                <w:sz w:val="20"/>
                <w:szCs w:val="20"/>
              </w:rPr>
              <w:t>Projects</w:t>
            </w:r>
            <w:proofErr w:type="gramEnd"/>
          </w:p>
          <w:p w14:paraId="28BA5D6E" w14:textId="27A072D0"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bCs/>
                <w:sz w:val="20"/>
                <w:szCs w:val="20"/>
              </w:rPr>
            </w:pPr>
            <w:r w:rsidRPr="000E5786">
              <w:rPr>
                <w:rFonts w:ascii="Arial" w:hAnsi="Arial" w:cs="Arial"/>
                <w:bCs/>
                <w:sz w:val="20"/>
                <w:szCs w:val="20"/>
              </w:rPr>
              <w:t xml:space="preserve">Integrates the Projects with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r w:rsidRPr="000E5786">
              <w:rPr>
                <w:rFonts w:ascii="Arial" w:hAnsi="Arial" w:cs="Arial"/>
                <w:bCs/>
                <w:sz w:val="20"/>
                <w:szCs w:val="20"/>
              </w:rPr>
              <w:t xml:space="preserve">’s BAU teams as necessary, including managing </w:t>
            </w:r>
            <w:proofErr w:type="gramStart"/>
            <w:r w:rsidRPr="000E5786">
              <w:rPr>
                <w:rFonts w:ascii="Arial" w:hAnsi="Arial" w:cs="Arial"/>
                <w:bCs/>
                <w:sz w:val="20"/>
                <w:szCs w:val="20"/>
              </w:rPr>
              <w:t>dependencies</w:t>
            </w:r>
            <w:proofErr w:type="gramEnd"/>
          </w:p>
          <w:p w14:paraId="109F155D"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bCs/>
                <w:sz w:val="20"/>
                <w:szCs w:val="20"/>
              </w:rPr>
            </w:pPr>
            <w:r w:rsidRPr="000E5786">
              <w:rPr>
                <w:rFonts w:ascii="Arial" w:hAnsi="Arial" w:cs="Arial"/>
                <w:bCs/>
                <w:sz w:val="20"/>
                <w:szCs w:val="20"/>
              </w:rPr>
              <w:t xml:space="preserve">Risk Reporting and Mitigation as required, including ensuring integration of risk mitigation plans into Project Plans as </w:t>
            </w:r>
            <w:proofErr w:type="gramStart"/>
            <w:r w:rsidRPr="000E5786">
              <w:rPr>
                <w:rFonts w:ascii="Arial" w:hAnsi="Arial" w:cs="Arial"/>
                <w:bCs/>
                <w:sz w:val="20"/>
                <w:szCs w:val="20"/>
              </w:rPr>
              <w:t>needed</w:t>
            </w:r>
            <w:proofErr w:type="gramEnd"/>
          </w:p>
          <w:p w14:paraId="42034071"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bCs/>
                <w:sz w:val="20"/>
                <w:szCs w:val="20"/>
              </w:rPr>
            </w:pPr>
            <w:r w:rsidRPr="000E5786">
              <w:rPr>
                <w:rFonts w:ascii="Arial" w:hAnsi="Arial" w:cs="Arial"/>
                <w:bCs/>
                <w:sz w:val="20"/>
                <w:szCs w:val="20"/>
              </w:rPr>
              <w:t xml:space="preserve">Holds Project Budgets and approves/denies any changes to those </w:t>
            </w:r>
            <w:proofErr w:type="gramStart"/>
            <w:r w:rsidRPr="000E5786">
              <w:rPr>
                <w:rFonts w:ascii="Arial" w:hAnsi="Arial" w:cs="Arial"/>
                <w:bCs/>
                <w:sz w:val="20"/>
                <w:szCs w:val="20"/>
              </w:rPr>
              <w:t>budgets</w:t>
            </w:r>
            <w:proofErr w:type="gramEnd"/>
          </w:p>
          <w:p w14:paraId="11CBF69C" w14:textId="77777777" w:rsidR="008407F7" w:rsidRPr="000E5786" w:rsidRDefault="008407F7" w:rsidP="0023281D">
            <w:pPr>
              <w:keepNext/>
              <w:spacing w:before="120"/>
              <w:rPr>
                <w:rFonts w:ascii="Arial" w:hAnsi="Arial" w:cs="Arial"/>
                <w:bCs/>
                <w:sz w:val="20"/>
                <w:szCs w:val="20"/>
              </w:rPr>
            </w:pPr>
            <w:r w:rsidRPr="000E5786">
              <w:rPr>
                <w:rFonts w:ascii="Arial" w:hAnsi="Arial" w:cs="Arial"/>
                <w:b/>
                <w:sz w:val="20"/>
                <w:szCs w:val="20"/>
              </w:rPr>
              <w:t>Agenda</w:t>
            </w:r>
            <w:r w:rsidRPr="000E5786">
              <w:rPr>
                <w:rFonts w:ascii="Arial" w:hAnsi="Arial" w:cs="Arial"/>
                <w:bCs/>
                <w:sz w:val="20"/>
                <w:szCs w:val="20"/>
              </w:rPr>
              <w:t xml:space="preserve"> shall be determined by the Chair.</w:t>
            </w:r>
          </w:p>
        </w:tc>
      </w:tr>
      <w:tr w:rsidR="008407F7" w:rsidRPr="000E5786" w14:paraId="2EA8E0B2" w14:textId="77777777" w:rsidTr="0023281D">
        <w:trPr>
          <w:trHeight w:val="423"/>
        </w:trPr>
        <w:tc>
          <w:tcPr>
            <w:tcW w:w="3256" w:type="dxa"/>
          </w:tcPr>
          <w:p w14:paraId="6C96EE91" w14:textId="77777777" w:rsidR="008407F7" w:rsidRPr="000E5786" w:rsidRDefault="008407F7" w:rsidP="0023281D">
            <w:pPr>
              <w:rPr>
                <w:rFonts w:ascii="Arial" w:hAnsi="Arial" w:cs="Arial"/>
                <w:b/>
                <w:sz w:val="20"/>
                <w:szCs w:val="20"/>
              </w:rPr>
            </w:pPr>
            <w:r w:rsidRPr="000E5786">
              <w:rPr>
                <w:rFonts w:ascii="Arial" w:hAnsi="Arial" w:cs="Arial"/>
                <w:b/>
                <w:sz w:val="20"/>
                <w:szCs w:val="20"/>
              </w:rPr>
              <w:t>Scope of Authority</w:t>
            </w:r>
          </w:p>
        </w:tc>
        <w:tc>
          <w:tcPr>
            <w:tcW w:w="11758" w:type="dxa"/>
            <w:gridSpan w:val="3"/>
          </w:tcPr>
          <w:p w14:paraId="754B1693" w14:textId="77777777" w:rsidR="008407F7" w:rsidRPr="000E5786" w:rsidRDefault="008407F7" w:rsidP="0023281D">
            <w:pPr>
              <w:contextualSpacing/>
              <w:rPr>
                <w:rFonts w:ascii="Arial" w:hAnsi="Arial" w:cs="Arial"/>
                <w:bCs/>
                <w:sz w:val="20"/>
                <w:szCs w:val="20"/>
              </w:rPr>
            </w:pPr>
            <w:r w:rsidRPr="000E5786">
              <w:rPr>
                <w:rFonts w:ascii="Arial" w:hAnsi="Arial" w:cs="Arial"/>
                <w:bCs/>
                <w:sz w:val="20"/>
                <w:szCs w:val="20"/>
              </w:rPr>
              <w:t xml:space="preserve">The </w:t>
            </w:r>
            <w:r w:rsidRPr="000E5786">
              <w:rPr>
                <w:rFonts w:ascii="Arial" w:hAnsi="Arial" w:cs="Arial"/>
                <w:sz w:val="20"/>
                <w:szCs w:val="20"/>
              </w:rPr>
              <w:t>Data Centre Portfolio Board</w:t>
            </w:r>
            <w:r w:rsidRPr="000E5786">
              <w:rPr>
                <w:rFonts w:ascii="Arial" w:hAnsi="Arial" w:cs="Arial"/>
                <w:bCs/>
                <w:sz w:val="20"/>
                <w:szCs w:val="20"/>
              </w:rPr>
              <w:t xml:space="preserve"> has the authority to:</w:t>
            </w:r>
          </w:p>
          <w:p w14:paraId="5CAE06CD"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make decisions regarding programmes and project changes within thresholds set for the project (scope, cost, time, quality, benefits, resourcing)</w:t>
            </w:r>
          </w:p>
          <w:p w14:paraId="1B47DAFD"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make changes to Project Budgets within thresholds set, escalating to the Services Steering Board where needed</w:t>
            </w:r>
          </w:p>
        </w:tc>
      </w:tr>
      <w:tr w:rsidR="008407F7" w:rsidRPr="000E5786" w14:paraId="4A3F4860" w14:textId="77777777" w:rsidTr="0023281D">
        <w:trPr>
          <w:trHeight w:val="337"/>
        </w:trPr>
        <w:tc>
          <w:tcPr>
            <w:tcW w:w="3256" w:type="dxa"/>
          </w:tcPr>
          <w:p w14:paraId="1FC0DCC4" w14:textId="77777777" w:rsidR="008407F7" w:rsidRPr="000E5786" w:rsidRDefault="008407F7" w:rsidP="0023281D">
            <w:pPr>
              <w:ind w:left="0" w:firstLine="0"/>
              <w:rPr>
                <w:rFonts w:ascii="Arial" w:hAnsi="Arial" w:cs="Arial"/>
                <w:b/>
                <w:sz w:val="20"/>
                <w:szCs w:val="20"/>
              </w:rPr>
            </w:pPr>
            <w:r w:rsidRPr="000E5786">
              <w:rPr>
                <w:rFonts w:ascii="Arial" w:hAnsi="Arial" w:cs="Arial"/>
                <w:b/>
                <w:sz w:val="20"/>
                <w:szCs w:val="20"/>
              </w:rPr>
              <w:lastRenderedPageBreak/>
              <w:t>Membership / Minimum Attendance Level (if relevant)</w:t>
            </w:r>
          </w:p>
        </w:tc>
        <w:tc>
          <w:tcPr>
            <w:tcW w:w="4819" w:type="dxa"/>
          </w:tcPr>
          <w:p w14:paraId="44E20559" w14:textId="516164FD" w:rsidR="008407F7" w:rsidRPr="000E5786" w:rsidRDefault="008407F7" w:rsidP="0023281D">
            <w:pPr>
              <w:spacing w:before="120"/>
              <w:rPr>
                <w:rFonts w:ascii="Arial" w:hAnsi="Arial" w:cs="Arial"/>
                <w:bCs/>
                <w:sz w:val="20"/>
                <w:szCs w:val="20"/>
              </w:rPr>
            </w:pPr>
            <w:r w:rsidRPr="000E5786">
              <w:rPr>
                <w:rFonts w:ascii="Arial" w:hAnsi="Arial" w:cs="Arial"/>
                <w:bCs/>
                <w:sz w:val="20"/>
                <w:szCs w:val="20"/>
              </w:rPr>
              <w:t xml:space="preserve">Chair:  Programme Manager or Service Owner,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p>
          <w:p w14:paraId="2DF3FF60" w14:textId="77777777" w:rsidR="008407F7" w:rsidRPr="000E5786" w:rsidRDefault="008407F7" w:rsidP="0023281D">
            <w:pPr>
              <w:spacing w:before="120"/>
              <w:rPr>
                <w:rFonts w:ascii="Arial" w:hAnsi="Arial" w:cs="Arial"/>
                <w:bCs/>
                <w:sz w:val="20"/>
                <w:szCs w:val="20"/>
              </w:rPr>
            </w:pPr>
            <w:r w:rsidRPr="000E5786">
              <w:rPr>
                <w:rFonts w:ascii="Arial" w:hAnsi="Arial" w:cs="Arial"/>
                <w:bCs/>
                <w:sz w:val="20"/>
                <w:szCs w:val="20"/>
              </w:rPr>
              <w:t>Administrator:  Programme Manager or Service Delivery Manager (Supplier)</w:t>
            </w:r>
          </w:p>
          <w:p w14:paraId="0498C9C4" w14:textId="77777777" w:rsidR="008407F7" w:rsidRPr="000E5786" w:rsidRDefault="008407F7" w:rsidP="0023281D">
            <w:pPr>
              <w:spacing w:before="120"/>
              <w:rPr>
                <w:rFonts w:ascii="Arial" w:hAnsi="Arial" w:cs="Arial"/>
                <w:bCs/>
                <w:sz w:val="20"/>
                <w:szCs w:val="20"/>
              </w:rPr>
            </w:pPr>
            <w:r w:rsidRPr="000E5786">
              <w:rPr>
                <w:rFonts w:ascii="Arial" w:hAnsi="Arial" w:cs="Arial"/>
                <w:bCs/>
                <w:sz w:val="20"/>
                <w:szCs w:val="20"/>
              </w:rPr>
              <w:t xml:space="preserve">Members: </w:t>
            </w:r>
          </w:p>
          <w:p w14:paraId="7481070B" w14:textId="206C1D12"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Programme Manager,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p>
          <w:p w14:paraId="14F81C99" w14:textId="6EA4093D"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Service Owner,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p>
          <w:p w14:paraId="0D6DC6C4" w14:textId="260350DD"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Senior Architect,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p>
          <w:p w14:paraId="476F14FC" w14:textId="6841F0BF"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Test Manager,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p>
          <w:p w14:paraId="0B84E1D7" w14:textId="44BDADA6"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Security (SOC) Engineer,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p>
          <w:p w14:paraId="03D8A3DD" w14:textId="77777777" w:rsidR="008407F7" w:rsidRPr="000E5786" w:rsidRDefault="008407F7" w:rsidP="0023281D">
            <w:pPr>
              <w:pStyle w:val="ListParagraph"/>
              <w:ind w:firstLine="0"/>
              <w:rPr>
                <w:rFonts w:ascii="Arial" w:hAnsi="Arial" w:cs="Arial"/>
                <w:bCs/>
                <w:sz w:val="20"/>
                <w:szCs w:val="20"/>
              </w:rPr>
            </w:pPr>
          </w:p>
        </w:tc>
        <w:tc>
          <w:tcPr>
            <w:tcW w:w="4036" w:type="dxa"/>
          </w:tcPr>
          <w:p w14:paraId="291315F3"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Service Owner, Supplier</w:t>
            </w:r>
          </w:p>
          <w:p w14:paraId="5C3DDBC0"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Service Delivery Manager, Supplier</w:t>
            </w:r>
          </w:p>
          <w:p w14:paraId="4C2431BC"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Programme Manager, Supplier</w:t>
            </w:r>
          </w:p>
          <w:p w14:paraId="2394E319"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Project Manager(s), Supplier</w:t>
            </w:r>
          </w:p>
          <w:p w14:paraId="21D8FBD8" w14:textId="77777777" w:rsidR="008407F7" w:rsidRPr="000E5786" w:rsidRDefault="008407F7" w:rsidP="0023281D">
            <w:pPr>
              <w:pStyle w:val="ListParagraph"/>
              <w:ind w:firstLine="0"/>
              <w:rPr>
                <w:rFonts w:ascii="Arial" w:hAnsi="Arial" w:cs="Arial"/>
                <w:sz w:val="20"/>
                <w:szCs w:val="20"/>
              </w:rPr>
            </w:pPr>
            <w:r w:rsidRPr="000E5786">
              <w:rPr>
                <w:rFonts w:ascii="Arial" w:hAnsi="Arial" w:cs="Arial"/>
                <w:sz w:val="20"/>
                <w:szCs w:val="20"/>
              </w:rPr>
              <w:t>During the transition and migration Phases the following are to roles are to attend:</w:t>
            </w:r>
          </w:p>
          <w:p w14:paraId="1C424511"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Transition Manager, Supplier</w:t>
            </w:r>
          </w:p>
          <w:p w14:paraId="35606E79"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Migration Manager, Supplier</w:t>
            </w:r>
          </w:p>
          <w:p w14:paraId="4F7AF4DE"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Migration Lead Architect, Supplier</w:t>
            </w:r>
          </w:p>
          <w:p w14:paraId="3B10CB7B" w14:textId="4C5E1744"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Project </w:t>
            </w:r>
            <w:r w:rsidR="003B3007" w:rsidRPr="000E5786">
              <w:rPr>
                <w:rFonts w:ascii="Arial" w:hAnsi="Arial" w:cs="Arial"/>
                <w:sz w:val="20"/>
                <w:szCs w:val="20"/>
              </w:rPr>
              <w:t>Management</w:t>
            </w:r>
            <w:r w:rsidRPr="000E5786">
              <w:rPr>
                <w:rFonts w:ascii="Arial" w:hAnsi="Arial" w:cs="Arial"/>
                <w:sz w:val="20"/>
                <w:szCs w:val="20"/>
              </w:rPr>
              <w:t xml:space="preserve"> Office (PMO) Analyst - Supplier </w:t>
            </w:r>
          </w:p>
        </w:tc>
        <w:tc>
          <w:tcPr>
            <w:tcW w:w="2903" w:type="dxa"/>
          </w:tcPr>
          <w:p w14:paraId="0E5AF791" w14:textId="77777777" w:rsidR="008407F7" w:rsidRPr="000E5786" w:rsidRDefault="008407F7" w:rsidP="0023281D">
            <w:pPr>
              <w:pStyle w:val="Purpose"/>
              <w:ind w:left="0" w:firstLine="0"/>
              <w:jc w:val="left"/>
              <w:rPr>
                <w:rFonts w:ascii="Arial" w:hAnsi="Arial"/>
                <w:sz w:val="20"/>
              </w:rPr>
            </w:pPr>
            <w:r w:rsidRPr="000E5786">
              <w:rPr>
                <w:rFonts w:ascii="Arial" w:hAnsi="Arial"/>
                <w:b/>
                <w:bCs w:val="0"/>
                <w:sz w:val="20"/>
              </w:rPr>
              <w:t>Minimum Level of attendance</w:t>
            </w:r>
            <w:r w:rsidRPr="000E5786">
              <w:rPr>
                <w:rFonts w:ascii="Arial" w:hAnsi="Arial"/>
                <w:sz w:val="20"/>
              </w:rPr>
              <w:t xml:space="preserve">:  </w:t>
            </w:r>
          </w:p>
          <w:p w14:paraId="52D82CE6" w14:textId="77777777" w:rsidR="008407F7" w:rsidRPr="000E5786" w:rsidRDefault="008407F7" w:rsidP="0023281D">
            <w:pPr>
              <w:pStyle w:val="Purpose"/>
              <w:ind w:left="0" w:firstLine="0"/>
              <w:jc w:val="left"/>
              <w:rPr>
                <w:rFonts w:ascii="Arial" w:hAnsi="Arial"/>
                <w:sz w:val="20"/>
              </w:rPr>
            </w:pPr>
            <w:r w:rsidRPr="000E5786">
              <w:rPr>
                <w:rFonts w:ascii="Arial" w:hAnsi="Arial"/>
                <w:bCs w:val="0"/>
                <w:sz w:val="20"/>
              </w:rPr>
              <w:t>Supplier’s Programme Manager, and the Project Managers of each in-flight Project</w:t>
            </w:r>
          </w:p>
        </w:tc>
      </w:tr>
      <w:tr w:rsidR="008407F7" w:rsidRPr="000E5786" w14:paraId="6726A923" w14:textId="77777777" w:rsidTr="0023281D">
        <w:trPr>
          <w:trHeight w:val="369"/>
        </w:trPr>
        <w:tc>
          <w:tcPr>
            <w:tcW w:w="3256" w:type="dxa"/>
          </w:tcPr>
          <w:p w14:paraId="78C85606" w14:textId="77777777" w:rsidR="008407F7" w:rsidRPr="000E5786" w:rsidRDefault="008407F7" w:rsidP="0023281D">
            <w:pPr>
              <w:rPr>
                <w:rFonts w:ascii="Arial" w:hAnsi="Arial" w:cs="Arial"/>
                <w:b/>
                <w:sz w:val="20"/>
                <w:szCs w:val="20"/>
              </w:rPr>
            </w:pPr>
            <w:r w:rsidRPr="000E5786">
              <w:rPr>
                <w:rFonts w:ascii="Arial" w:hAnsi="Arial" w:cs="Arial"/>
                <w:b/>
                <w:sz w:val="20"/>
                <w:szCs w:val="20"/>
              </w:rPr>
              <w:t>Frequency</w:t>
            </w:r>
          </w:p>
        </w:tc>
        <w:tc>
          <w:tcPr>
            <w:tcW w:w="11758" w:type="dxa"/>
            <w:gridSpan w:val="3"/>
          </w:tcPr>
          <w:p w14:paraId="38992B80" w14:textId="3BBB801D" w:rsidR="008407F7" w:rsidRPr="000E5786" w:rsidRDefault="008407F7" w:rsidP="0023281D">
            <w:pPr>
              <w:rPr>
                <w:rFonts w:ascii="Arial" w:hAnsi="Arial" w:cs="Arial"/>
                <w:sz w:val="20"/>
                <w:szCs w:val="20"/>
              </w:rPr>
            </w:pPr>
            <w:r w:rsidRPr="000E5786">
              <w:rPr>
                <w:rFonts w:ascii="Arial" w:hAnsi="Arial" w:cs="Arial"/>
                <w:sz w:val="20"/>
                <w:szCs w:val="20"/>
              </w:rPr>
              <w:t xml:space="preserve">Monthly (or as agreed with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sidRPr="000E5786">
              <w:rPr>
                <w:rFonts w:ascii="Arial" w:hAnsi="Arial" w:cs="Arial"/>
                <w:sz w:val="20"/>
                <w:szCs w:val="20"/>
              </w:rPr>
              <w:t xml:space="preserve"> as may be dependent on the number of Projects)</w:t>
            </w:r>
          </w:p>
        </w:tc>
      </w:tr>
      <w:tr w:rsidR="008407F7" w:rsidRPr="000E5786" w14:paraId="5C86FD2A" w14:textId="77777777" w:rsidTr="0023281D">
        <w:trPr>
          <w:trHeight w:val="397"/>
        </w:trPr>
        <w:tc>
          <w:tcPr>
            <w:tcW w:w="3256" w:type="dxa"/>
          </w:tcPr>
          <w:p w14:paraId="5133832C" w14:textId="77777777" w:rsidR="008407F7" w:rsidRPr="000E5786" w:rsidRDefault="008407F7" w:rsidP="0023281D">
            <w:pPr>
              <w:rPr>
                <w:rFonts w:ascii="Arial" w:hAnsi="Arial" w:cs="Arial"/>
                <w:b/>
                <w:sz w:val="20"/>
                <w:szCs w:val="20"/>
              </w:rPr>
            </w:pPr>
            <w:r w:rsidRPr="000E5786">
              <w:rPr>
                <w:rFonts w:ascii="Arial" w:hAnsi="Arial" w:cs="Arial"/>
                <w:b/>
                <w:sz w:val="20"/>
                <w:szCs w:val="20"/>
              </w:rPr>
              <w:t>Areas for review</w:t>
            </w:r>
          </w:p>
        </w:tc>
        <w:tc>
          <w:tcPr>
            <w:tcW w:w="11758" w:type="dxa"/>
            <w:gridSpan w:val="3"/>
          </w:tcPr>
          <w:p w14:paraId="403C188F" w14:textId="77777777" w:rsidR="008407F7" w:rsidRPr="000E5786" w:rsidRDefault="008407F7" w:rsidP="0023281D">
            <w:pPr>
              <w:pStyle w:val="BulletLast"/>
              <w:tabs>
                <w:tab w:val="clear" w:pos="360"/>
              </w:tabs>
              <w:ind w:left="0" w:firstLine="0"/>
              <w:jc w:val="left"/>
              <w:rPr>
                <w:rFonts w:ascii="Arial" w:eastAsia="MS Mincho" w:hAnsi="Arial" w:cs="Arial"/>
                <w:spacing w:val="0"/>
                <w:sz w:val="20"/>
                <w:szCs w:val="20"/>
                <w:lang w:eastAsia="ja-JP"/>
              </w:rPr>
            </w:pPr>
            <w:r w:rsidRPr="000E5786">
              <w:rPr>
                <w:rFonts w:ascii="Arial" w:eastAsia="MS Mincho" w:hAnsi="Arial" w:cs="Arial"/>
                <w:spacing w:val="0"/>
                <w:sz w:val="20"/>
                <w:szCs w:val="20"/>
                <w:lang w:eastAsia="ja-JP"/>
              </w:rPr>
              <w:t>Project Milestones Delivery Dates, Project Changes, Benefits Realisation, Project Financial Situation</w:t>
            </w:r>
          </w:p>
        </w:tc>
      </w:tr>
      <w:tr w:rsidR="008407F7" w:rsidRPr="000E5786" w14:paraId="74B51372" w14:textId="77777777" w:rsidTr="0023281D">
        <w:trPr>
          <w:trHeight w:val="397"/>
        </w:trPr>
        <w:tc>
          <w:tcPr>
            <w:tcW w:w="3256" w:type="dxa"/>
          </w:tcPr>
          <w:p w14:paraId="41AB1E95" w14:textId="77777777" w:rsidR="008407F7" w:rsidRPr="000E5786" w:rsidRDefault="008407F7" w:rsidP="0023281D">
            <w:pPr>
              <w:rPr>
                <w:rFonts w:ascii="Arial" w:hAnsi="Arial" w:cs="Arial"/>
                <w:b/>
                <w:sz w:val="20"/>
                <w:szCs w:val="20"/>
              </w:rPr>
            </w:pPr>
            <w:r w:rsidRPr="000E5786">
              <w:rPr>
                <w:rFonts w:ascii="Arial" w:hAnsi="Arial" w:cs="Arial"/>
                <w:b/>
                <w:sz w:val="20"/>
                <w:szCs w:val="20"/>
              </w:rPr>
              <w:t>Inputs</w:t>
            </w:r>
          </w:p>
        </w:tc>
        <w:tc>
          <w:tcPr>
            <w:tcW w:w="11758" w:type="dxa"/>
            <w:gridSpan w:val="3"/>
          </w:tcPr>
          <w:p w14:paraId="5CC10A4D" w14:textId="77777777" w:rsidR="008407F7" w:rsidRPr="000E5786" w:rsidRDefault="008407F7" w:rsidP="0023281D">
            <w:pPr>
              <w:pStyle w:val="BulletLast"/>
              <w:tabs>
                <w:tab w:val="clear" w:pos="360"/>
              </w:tabs>
              <w:ind w:left="0" w:firstLine="0"/>
              <w:jc w:val="left"/>
              <w:rPr>
                <w:rFonts w:ascii="Arial" w:eastAsia="MS Mincho" w:hAnsi="Arial" w:cs="Arial"/>
                <w:spacing w:val="0"/>
                <w:sz w:val="20"/>
                <w:szCs w:val="20"/>
                <w:lang w:eastAsia="ja-JP"/>
              </w:rPr>
            </w:pPr>
            <w:r w:rsidRPr="000E5786">
              <w:rPr>
                <w:rFonts w:ascii="Arial" w:eastAsia="MS Mincho" w:hAnsi="Arial" w:cs="Arial"/>
                <w:spacing w:val="0"/>
                <w:sz w:val="20"/>
                <w:szCs w:val="20"/>
                <w:lang w:eastAsia="ja-JP"/>
              </w:rPr>
              <w:t xml:space="preserve">Progress Reports, Milestone Chart, RAID, Project Financial Statement, List of Change Requests </w:t>
            </w:r>
          </w:p>
        </w:tc>
      </w:tr>
      <w:tr w:rsidR="008407F7" w:rsidRPr="000E5786" w14:paraId="6CF1DD90" w14:textId="77777777" w:rsidTr="0023281D">
        <w:trPr>
          <w:trHeight w:val="343"/>
        </w:trPr>
        <w:tc>
          <w:tcPr>
            <w:tcW w:w="3256" w:type="dxa"/>
          </w:tcPr>
          <w:p w14:paraId="61B7F6B2" w14:textId="77777777" w:rsidR="008407F7" w:rsidRPr="000E5786" w:rsidRDefault="008407F7" w:rsidP="0023281D">
            <w:pPr>
              <w:rPr>
                <w:rFonts w:ascii="Arial" w:hAnsi="Arial" w:cs="Arial"/>
                <w:b/>
                <w:sz w:val="20"/>
                <w:szCs w:val="20"/>
              </w:rPr>
            </w:pPr>
            <w:r w:rsidRPr="000E5786">
              <w:rPr>
                <w:rFonts w:ascii="Arial" w:hAnsi="Arial" w:cs="Arial"/>
                <w:b/>
                <w:sz w:val="20"/>
                <w:szCs w:val="20"/>
              </w:rPr>
              <w:t>Outputs</w:t>
            </w:r>
          </w:p>
        </w:tc>
        <w:tc>
          <w:tcPr>
            <w:tcW w:w="11758" w:type="dxa"/>
            <w:gridSpan w:val="3"/>
          </w:tcPr>
          <w:p w14:paraId="697FF549" w14:textId="77777777" w:rsidR="008407F7" w:rsidRPr="000E5786" w:rsidRDefault="008407F7" w:rsidP="0023281D">
            <w:pPr>
              <w:pStyle w:val="BulletLast"/>
              <w:ind w:left="0" w:hanging="1"/>
              <w:rPr>
                <w:rFonts w:ascii="Arial" w:hAnsi="Arial" w:cs="Arial"/>
                <w:sz w:val="20"/>
                <w:szCs w:val="20"/>
              </w:rPr>
            </w:pPr>
            <w:r w:rsidRPr="000E5786">
              <w:rPr>
                <w:rFonts w:ascii="Arial" w:hAnsi="Arial" w:cs="Arial"/>
                <w:sz w:val="20"/>
                <w:szCs w:val="20"/>
              </w:rPr>
              <w:t>Minutes, Decisions, Programme status report</w:t>
            </w:r>
          </w:p>
        </w:tc>
      </w:tr>
      <w:tr w:rsidR="008407F7" w:rsidRPr="000E5786" w14:paraId="6C0D158A" w14:textId="77777777" w:rsidTr="0023281D">
        <w:trPr>
          <w:trHeight w:val="397"/>
        </w:trPr>
        <w:tc>
          <w:tcPr>
            <w:tcW w:w="3256" w:type="dxa"/>
          </w:tcPr>
          <w:p w14:paraId="15CDDAAC" w14:textId="77777777" w:rsidR="008407F7" w:rsidRPr="000E5786" w:rsidRDefault="008407F7" w:rsidP="0023281D">
            <w:pPr>
              <w:rPr>
                <w:rFonts w:ascii="Arial" w:hAnsi="Arial" w:cs="Arial"/>
                <w:b/>
                <w:sz w:val="20"/>
                <w:szCs w:val="20"/>
              </w:rPr>
            </w:pPr>
            <w:r w:rsidRPr="000E5786">
              <w:rPr>
                <w:rFonts w:ascii="Arial" w:hAnsi="Arial" w:cs="Arial"/>
                <w:b/>
                <w:sz w:val="20"/>
                <w:szCs w:val="20"/>
              </w:rPr>
              <w:t>Escalation</w:t>
            </w:r>
          </w:p>
        </w:tc>
        <w:tc>
          <w:tcPr>
            <w:tcW w:w="11758" w:type="dxa"/>
            <w:gridSpan w:val="3"/>
          </w:tcPr>
          <w:p w14:paraId="154AA79E" w14:textId="77777777" w:rsidR="008407F7" w:rsidRPr="000E5786" w:rsidRDefault="008407F7" w:rsidP="0023281D">
            <w:pPr>
              <w:keepNext/>
              <w:rPr>
                <w:rFonts w:ascii="Arial" w:hAnsi="Arial" w:cs="Arial"/>
                <w:sz w:val="20"/>
                <w:szCs w:val="20"/>
              </w:rPr>
            </w:pPr>
            <w:r w:rsidRPr="000E5786">
              <w:rPr>
                <w:rFonts w:ascii="Arial" w:hAnsi="Arial" w:cs="Arial"/>
                <w:sz w:val="20"/>
                <w:szCs w:val="20"/>
              </w:rPr>
              <w:t>Service Management Review Meeting if it impacts the service</w:t>
            </w:r>
          </w:p>
        </w:tc>
      </w:tr>
      <w:tr w:rsidR="008407F7" w:rsidRPr="000E5786" w14:paraId="16CCC101" w14:textId="77777777" w:rsidTr="0023281D">
        <w:trPr>
          <w:trHeight w:val="397"/>
        </w:trPr>
        <w:tc>
          <w:tcPr>
            <w:tcW w:w="3256" w:type="dxa"/>
          </w:tcPr>
          <w:p w14:paraId="4D00315D" w14:textId="77777777" w:rsidR="008407F7" w:rsidRPr="000E5786" w:rsidRDefault="008407F7" w:rsidP="0023281D">
            <w:pPr>
              <w:rPr>
                <w:rFonts w:ascii="Arial" w:hAnsi="Arial" w:cs="Arial"/>
                <w:b/>
                <w:sz w:val="20"/>
                <w:szCs w:val="20"/>
              </w:rPr>
            </w:pPr>
            <w:r w:rsidRPr="000E5786">
              <w:rPr>
                <w:rFonts w:ascii="Arial" w:hAnsi="Arial" w:cs="Arial"/>
                <w:b/>
                <w:sz w:val="20"/>
                <w:szCs w:val="20"/>
              </w:rPr>
              <w:t>Related Meetings</w:t>
            </w:r>
          </w:p>
        </w:tc>
        <w:tc>
          <w:tcPr>
            <w:tcW w:w="11758" w:type="dxa"/>
            <w:gridSpan w:val="3"/>
          </w:tcPr>
          <w:p w14:paraId="1B729BB9" w14:textId="757B0449" w:rsidR="008407F7" w:rsidRPr="000E5786" w:rsidRDefault="008407F7" w:rsidP="00DF4908">
            <w:pPr>
              <w:ind w:left="0" w:firstLine="0"/>
              <w:rPr>
                <w:rFonts w:ascii="Arial" w:hAnsi="Arial" w:cs="Arial"/>
                <w:sz w:val="20"/>
                <w:szCs w:val="20"/>
              </w:rPr>
            </w:pPr>
            <w:r w:rsidRPr="000E5786">
              <w:rPr>
                <w:rFonts w:ascii="Arial" w:hAnsi="Arial" w:cs="Arial"/>
                <w:sz w:val="20"/>
                <w:szCs w:val="20"/>
              </w:rPr>
              <w:t xml:space="preserve">Technical Design Authority, Change Approval Board, Project Delivery Meeting(s), </w:t>
            </w:r>
            <w:r w:rsidR="00DF4908" w:rsidRPr="00DF4908">
              <w:rPr>
                <w:rFonts w:ascii="Arial" w:hAnsi="Arial" w:cs="Arial"/>
                <w:sz w:val="20"/>
                <w:szCs w:val="20"/>
              </w:rPr>
              <w:t>Services Steering Board</w:t>
            </w:r>
          </w:p>
        </w:tc>
      </w:tr>
    </w:tbl>
    <w:p w14:paraId="64A6D9C9" w14:textId="77777777" w:rsidR="008407F7" w:rsidRPr="000E5786" w:rsidRDefault="008407F7" w:rsidP="00182C80">
      <w:pPr>
        <w:pStyle w:val="ScheduleSubheading"/>
        <w:numPr>
          <w:ilvl w:val="0"/>
          <w:numId w:val="0"/>
        </w:numPr>
        <w:jc w:val="both"/>
        <w:rPr>
          <w:rFonts w:cs="Arial"/>
          <w:szCs w:val="20"/>
        </w:rPr>
        <w:sectPr w:rsidR="008407F7" w:rsidRPr="000E5786" w:rsidSect="00182C80">
          <w:headerReference w:type="first" r:id="rId76"/>
          <w:pgSz w:w="16840" w:h="11907" w:orient="landscape" w:code="9"/>
          <w:pgMar w:top="1418" w:right="1418" w:bottom="1418" w:left="1134" w:header="709" w:footer="709" w:gutter="0"/>
          <w:cols w:space="708"/>
          <w:titlePg/>
          <w:docGrid w:linePitch="360"/>
        </w:sectPr>
      </w:pPr>
    </w:p>
    <w:tbl>
      <w:tblPr>
        <w:tblStyle w:val="TableGrid0"/>
        <w:tblW w:w="5000" w:type="pct"/>
        <w:tblLook w:val="04A0" w:firstRow="1" w:lastRow="0" w:firstColumn="1" w:lastColumn="0" w:noHBand="0" w:noVBand="1"/>
      </w:tblPr>
      <w:tblGrid>
        <w:gridCol w:w="3127"/>
        <w:gridCol w:w="7485"/>
        <w:gridCol w:w="3666"/>
      </w:tblGrid>
      <w:tr w:rsidR="008407F7" w:rsidRPr="000E5786" w14:paraId="5F964CDC" w14:textId="77777777" w:rsidTr="00CC3A43">
        <w:trPr>
          <w:trHeight w:val="416"/>
        </w:trPr>
        <w:tc>
          <w:tcPr>
            <w:tcW w:w="3256" w:type="dxa"/>
            <w:shd w:val="clear" w:color="auto" w:fill="BFBFBF" w:themeFill="background1" w:themeFillShade="BF"/>
          </w:tcPr>
          <w:p w14:paraId="21512996" w14:textId="77777777" w:rsidR="008407F7" w:rsidRPr="000E5786" w:rsidRDefault="008407F7" w:rsidP="0023281D">
            <w:pPr>
              <w:keepNext/>
              <w:rPr>
                <w:rFonts w:ascii="Arial" w:hAnsi="Arial" w:cs="Arial"/>
                <w:b/>
                <w:bCs/>
                <w:sz w:val="20"/>
                <w:szCs w:val="20"/>
              </w:rPr>
            </w:pPr>
            <w:r w:rsidRPr="000E5786">
              <w:rPr>
                <w:rFonts w:ascii="Arial" w:hAnsi="Arial" w:cs="Arial"/>
                <w:sz w:val="20"/>
                <w:szCs w:val="20"/>
              </w:rPr>
              <w:lastRenderedPageBreak/>
              <w:br w:type="page"/>
            </w:r>
            <w:r w:rsidRPr="000E5786">
              <w:rPr>
                <w:rFonts w:ascii="Arial" w:hAnsi="Arial" w:cs="Arial"/>
                <w:sz w:val="20"/>
                <w:szCs w:val="20"/>
              </w:rPr>
              <w:br w:type="page"/>
            </w:r>
            <w:r w:rsidRPr="000E5786">
              <w:rPr>
                <w:rFonts w:ascii="Arial" w:hAnsi="Arial" w:cs="Arial"/>
                <w:sz w:val="20"/>
                <w:szCs w:val="20"/>
              </w:rPr>
              <w:br w:type="page"/>
            </w:r>
            <w:r w:rsidRPr="000E5786">
              <w:rPr>
                <w:rFonts w:ascii="Arial" w:hAnsi="Arial" w:cs="Arial"/>
                <w:sz w:val="20"/>
                <w:szCs w:val="20"/>
              </w:rPr>
              <w:br w:type="page"/>
            </w:r>
            <w:r w:rsidRPr="000E5786">
              <w:rPr>
                <w:rFonts w:ascii="Arial" w:hAnsi="Arial" w:cs="Arial"/>
                <w:b/>
                <w:bCs/>
                <w:sz w:val="20"/>
                <w:szCs w:val="20"/>
              </w:rPr>
              <w:t>Charter</w:t>
            </w:r>
          </w:p>
        </w:tc>
        <w:tc>
          <w:tcPr>
            <w:tcW w:w="11758" w:type="dxa"/>
            <w:gridSpan w:val="2"/>
            <w:shd w:val="clear" w:color="auto" w:fill="BFBFBF" w:themeFill="background1" w:themeFillShade="BF"/>
          </w:tcPr>
          <w:p w14:paraId="41B533F0" w14:textId="77777777" w:rsidR="008407F7" w:rsidRPr="000E5786" w:rsidRDefault="008407F7" w:rsidP="0023281D">
            <w:pPr>
              <w:keepNext/>
              <w:rPr>
                <w:rFonts w:ascii="Arial" w:hAnsi="Arial" w:cs="Arial"/>
                <w:bCs/>
                <w:i/>
                <w:sz w:val="20"/>
                <w:szCs w:val="20"/>
              </w:rPr>
            </w:pPr>
            <w:r w:rsidRPr="000E5786">
              <w:rPr>
                <w:rFonts w:ascii="Arial" w:hAnsi="Arial" w:cs="Arial"/>
                <w:b/>
                <w:bCs/>
                <w:sz w:val="20"/>
                <w:szCs w:val="20"/>
              </w:rPr>
              <w:t>Project Review Meeting</w:t>
            </w:r>
          </w:p>
        </w:tc>
      </w:tr>
      <w:tr w:rsidR="008407F7" w:rsidRPr="000E5786" w14:paraId="6784DC24" w14:textId="77777777" w:rsidTr="0023281D">
        <w:trPr>
          <w:trHeight w:val="423"/>
        </w:trPr>
        <w:tc>
          <w:tcPr>
            <w:tcW w:w="3256" w:type="dxa"/>
          </w:tcPr>
          <w:p w14:paraId="240F897D" w14:textId="77777777" w:rsidR="008407F7" w:rsidRPr="000E5786" w:rsidRDefault="008407F7" w:rsidP="008407F7">
            <w:pPr>
              <w:pStyle w:val="ScheduleTitle"/>
              <w:numPr>
                <w:ilvl w:val="0"/>
                <w:numId w:val="0"/>
              </w:numPr>
              <w:jc w:val="both"/>
              <w:rPr>
                <w:rFonts w:ascii="Arial" w:hAnsi="Arial" w:cs="Arial"/>
                <w:sz w:val="20"/>
                <w:szCs w:val="20"/>
              </w:rPr>
            </w:pPr>
            <w:r w:rsidRPr="000E5786">
              <w:rPr>
                <w:rFonts w:ascii="Arial" w:hAnsi="Arial" w:cs="Arial"/>
                <w:sz w:val="20"/>
                <w:szCs w:val="20"/>
              </w:rPr>
              <w:t>Purpose / Role / Agenda</w:t>
            </w:r>
          </w:p>
        </w:tc>
        <w:tc>
          <w:tcPr>
            <w:tcW w:w="11758" w:type="dxa"/>
            <w:gridSpan w:val="2"/>
          </w:tcPr>
          <w:p w14:paraId="031A33AA" w14:textId="77777777" w:rsidR="008407F7" w:rsidRPr="000E5786" w:rsidRDefault="008407F7" w:rsidP="00CC3A43">
            <w:pPr>
              <w:pStyle w:val="ListNumber"/>
            </w:pPr>
            <w:r w:rsidRPr="000E5786">
              <w:rPr>
                <w:b/>
                <w:bCs/>
              </w:rPr>
              <w:t>Purpose:</w:t>
            </w:r>
            <w:r w:rsidRPr="000E5786">
              <w:t xml:space="preserve"> to manage the project delivery team and to feed progress into the Data Centre Portfolio Board in accordance with Schedule 6.</w:t>
            </w:r>
          </w:p>
          <w:p w14:paraId="1F3CBD87" w14:textId="77777777" w:rsidR="008407F7" w:rsidRPr="000E5786" w:rsidRDefault="008407F7" w:rsidP="0023281D">
            <w:pPr>
              <w:pStyle w:val="Purpose"/>
              <w:rPr>
                <w:rFonts w:ascii="Arial" w:hAnsi="Arial"/>
                <w:sz w:val="20"/>
              </w:rPr>
            </w:pPr>
            <w:r w:rsidRPr="000E5786">
              <w:rPr>
                <w:rFonts w:ascii="Arial" w:hAnsi="Arial"/>
                <w:sz w:val="20"/>
              </w:rPr>
              <w:t>Role:</w:t>
            </w:r>
          </w:p>
          <w:p w14:paraId="783FA36E"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Provides Team management for overall project </w:t>
            </w:r>
            <w:proofErr w:type="gramStart"/>
            <w:r w:rsidRPr="000E5786">
              <w:rPr>
                <w:rFonts w:ascii="Arial" w:hAnsi="Arial" w:cs="Arial"/>
                <w:sz w:val="20"/>
                <w:szCs w:val="20"/>
              </w:rPr>
              <w:t>delivery</w:t>
            </w:r>
            <w:proofErr w:type="gramEnd"/>
          </w:p>
          <w:p w14:paraId="3C6DBD6E"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Tracking, reporting, and providing support for milestone delivery including contract performance point (CPP) Milestones</w:t>
            </w:r>
          </w:p>
          <w:p w14:paraId="5908F236"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Tracking performance against the Project Plan</w:t>
            </w:r>
          </w:p>
          <w:p w14:paraId="4740E5DF"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Tracking benefits realisation</w:t>
            </w:r>
          </w:p>
          <w:p w14:paraId="1FBF7734"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Managing RAID including reporting, </w:t>
            </w:r>
            <w:proofErr w:type="gramStart"/>
            <w:r w:rsidRPr="000E5786">
              <w:rPr>
                <w:rFonts w:ascii="Arial" w:hAnsi="Arial" w:cs="Arial"/>
                <w:sz w:val="20"/>
                <w:szCs w:val="20"/>
              </w:rPr>
              <w:t>reviewing</w:t>
            </w:r>
            <w:proofErr w:type="gramEnd"/>
            <w:r w:rsidRPr="000E5786">
              <w:rPr>
                <w:rFonts w:ascii="Arial" w:hAnsi="Arial" w:cs="Arial"/>
                <w:sz w:val="20"/>
                <w:szCs w:val="20"/>
              </w:rPr>
              <w:t xml:space="preserve"> and approving mitigation plans</w:t>
            </w:r>
          </w:p>
          <w:p w14:paraId="0F4CBB8B"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Reviewing Project created Change Requests due to be put forward to the Change Approval Board ensuring there is a sufficient level of detail in the impact </w:t>
            </w:r>
            <w:proofErr w:type="gramStart"/>
            <w:r w:rsidRPr="000E5786">
              <w:rPr>
                <w:rFonts w:ascii="Arial" w:hAnsi="Arial" w:cs="Arial"/>
                <w:sz w:val="20"/>
                <w:szCs w:val="20"/>
              </w:rPr>
              <w:t>analysis</w:t>
            </w:r>
            <w:proofErr w:type="gramEnd"/>
          </w:p>
          <w:p w14:paraId="0DC37913" w14:textId="77777777" w:rsidR="008407F7" w:rsidRPr="000E5786"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Reports on progress into the Data Centre Portfolio Board: milestone delivery, safety matters, compliance to standards, RAID including Opportunities, project finance, </w:t>
            </w:r>
            <w:proofErr w:type="gramStart"/>
            <w:r w:rsidRPr="000E5786">
              <w:rPr>
                <w:rFonts w:ascii="Arial" w:hAnsi="Arial" w:cs="Arial"/>
                <w:sz w:val="20"/>
                <w:szCs w:val="20"/>
              </w:rPr>
              <w:t>e.g.</w:t>
            </w:r>
            <w:proofErr w:type="gramEnd"/>
            <w:r w:rsidRPr="000E5786">
              <w:rPr>
                <w:rFonts w:ascii="Arial" w:hAnsi="Arial" w:cs="Arial"/>
                <w:sz w:val="20"/>
                <w:szCs w:val="20"/>
              </w:rPr>
              <w:t xml:space="preserve"> forecasted and actual spend, resourcing in a Project dashboard format agreed with the Programme and Project Delivery Review Chair</w:t>
            </w:r>
          </w:p>
          <w:p w14:paraId="1F087C83" w14:textId="092B93D8" w:rsidR="008407F7" w:rsidRDefault="008407F7" w:rsidP="00E538A1">
            <w:pPr>
              <w:pStyle w:val="ListParagraph"/>
              <w:keepNext/>
              <w:numPr>
                <w:ilvl w:val="0"/>
                <w:numId w:val="24"/>
              </w:numPr>
              <w:spacing w:before="60" w:after="60" w:line="240" w:lineRule="auto"/>
              <w:contextualSpacing w:val="0"/>
              <w:jc w:val="left"/>
              <w:rPr>
                <w:rFonts w:ascii="Arial" w:hAnsi="Arial" w:cs="Arial"/>
                <w:sz w:val="20"/>
                <w:szCs w:val="20"/>
              </w:rPr>
            </w:pPr>
            <w:r w:rsidRPr="000E5786">
              <w:rPr>
                <w:rFonts w:ascii="Arial" w:hAnsi="Arial" w:cs="Arial"/>
                <w:sz w:val="20"/>
                <w:szCs w:val="20"/>
              </w:rPr>
              <w:t xml:space="preserve">Tracks and reports on the Project budget, charges, payments and any other commercial elements of the Project, also in the Project dashboard </w:t>
            </w:r>
            <w:proofErr w:type="gramStart"/>
            <w:r w:rsidRPr="000E5786">
              <w:rPr>
                <w:rFonts w:ascii="Arial" w:hAnsi="Arial" w:cs="Arial"/>
                <w:sz w:val="20"/>
                <w:szCs w:val="20"/>
              </w:rPr>
              <w:t>format</w:t>
            </w:r>
            <w:proofErr w:type="gramEnd"/>
          </w:p>
          <w:p w14:paraId="67D37858" w14:textId="37DC0E06" w:rsidR="005E7BF0" w:rsidRPr="004E415B" w:rsidRDefault="005E7BF0" w:rsidP="00E538A1">
            <w:pPr>
              <w:pStyle w:val="ListParagraph"/>
              <w:keepNext/>
              <w:numPr>
                <w:ilvl w:val="0"/>
                <w:numId w:val="24"/>
              </w:numPr>
              <w:spacing w:before="60" w:after="60" w:line="240" w:lineRule="auto"/>
              <w:contextualSpacing w:val="0"/>
              <w:jc w:val="left"/>
              <w:rPr>
                <w:rFonts w:ascii="Arial" w:hAnsi="Arial" w:cs="Arial"/>
              </w:rPr>
            </w:pPr>
            <w:r w:rsidRPr="004E415B">
              <w:rPr>
                <w:rFonts w:ascii="Arial" w:hAnsi="Arial" w:cs="Arial"/>
              </w:rPr>
              <w:t xml:space="preserve">Reports on progress of </w:t>
            </w:r>
            <w:r w:rsidRPr="004E415B">
              <w:rPr>
                <w:rFonts w:ascii="Arial" w:hAnsi="Arial" w:cs="Arial"/>
                <w:sz w:val="20"/>
                <w:szCs w:val="20"/>
              </w:rPr>
              <w:t>testing</w:t>
            </w:r>
            <w:r w:rsidRPr="004E415B">
              <w:rPr>
                <w:rFonts w:ascii="Arial" w:hAnsi="Arial" w:cs="Arial"/>
              </w:rPr>
              <w:t xml:space="preserve"> and </w:t>
            </w:r>
            <w:proofErr w:type="gramStart"/>
            <w:r w:rsidRPr="004E415B">
              <w:rPr>
                <w:rFonts w:ascii="Arial" w:hAnsi="Arial" w:cs="Arial"/>
              </w:rPr>
              <w:t>acceptance</w:t>
            </w:r>
            <w:proofErr w:type="gramEnd"/>
            <w:r w:rsidRPr="004E415B">
              <w:rPr>
                <w:rFonts w:ascii="Arial" w:hAnsi="Arial" w:cs="Arial"/>
              </w:rPr>
              <w:t xml:space="preserve"> </w:t>
            </w:r>
          </w:p>
          <w:p w14:paraId="239D6052" w14:textId="77777777" w:rsidR="008407F7" w:rsidRPr="000E5786" w:rsidRDefault="008407F7" w:rsidP="0023281D">
            <w:pPr>
              <w:keepNext/>
              <w:rPr>
                <w:rFonts w:ascii="Arial" w:hAnsi="Arial" w:cs="Arial"/>
                <w:bCs/>
                <w:sz w:val="20"/>
                <w:szCs w:val="20"/>
              </w:rPr>
            </w:pPr>
            <w:r w:rsidRPr="000E5786">
              <w:rPr>
                <w:rFonts w:ascii="Arial" w:hAnsi="Arial" w:cs="Arial"/>
                <w:bCs/>
                <w:sz w:val="20"/>
                <w:szCs w:val="20"/>
              </w:rPr>
              <w:t>Agenda shall be determined by the Chair.</w:t>
            </w:r>
          </w:p>
        </w:tc>
      </w:tr>
      <w:tr w:rsidR="008407F7" w:rsidRPr="000E5786" w14:paraId="0635FB0A" w14:textId="77777777" w:rsidTr="0023281D">
        <w:trPr>
          <w:trHeight w:val="423"/>
        </w:trPr>
        <w:tc>
          <w:tcPr>
            <w:tcW w:w="3256" w:type="dxa"/>
          </w:tcPr>
          <w:p w14:paraId="6EFE2D50" w14:textId="77777777" w:rsidR="008407F7" w:rsidRPr="000E5786" w:rsidRDefault="008407F7" w:rsidP="0023281D">
            <w:pPr>
              <w:rPr>
                <w:rFonts w:ascii="Arial" w:hAnsi="Arial" w:cs="Arial"/>
                <w:b/>
                <w:sz w:val="20"/>
                <w:szCs w:val="20"/>
              </w:rPr>
            </w:pPr>
            <w:r w:rsidRPr="000E5786">
              <w:rPr>
                <w:rFonts w:ascii="Arial" w:hAnsi="Arial" w:cs="Arial"/>
                <w:b/>
                <w:sz w:val="20"/>
                <w:szCs w:val="20"/>
              </w:rPr>
              <w:t>Scope of Authority</w:t>
            </w:r>
          </w:p>
        </w:tc>
        <w:tc>
          <w:tcPr>
            <w:tcW w:w="11758" w:type="dxa"/>
            <w:gridSpan w:val="2"/>
          </w:tcPr>
          <w:p w14:paraId="281D46E8" w14:textId="77777777" w:rsidR="008407F7" w:rsidRPr="000E5786" w:rsidRDefault="008407F7" w:rsidP="0023281D">
            <w:pPr>
              <w:contextualSpacing/>
              <w:rPr>
                <w:rFonts w:ascii="Arial" w:hAnsi="Arial" w:cs="Arial"/>
                <w:bCs/>
                <w:sz w:val="20"/>
                <w:szCs w:val="20"/>
              </w:rPr>
            </w:pPr>
            <w:r w:rsidRPr="000E5786">
              <w:rPr>
                <w:rFonts w:ascii="Arial" w:hAnsi="Arial" w:cs="Arial"/>
                <w:bCs/>
                <w:sz w:val="20"/>
                <w:szCs w:val="20"/>
              </w:rPr>
              <w:t>Management of the project providing it is within scope, quality, time, and cost.</w:t>
            </w:r>
          </w:p>
        </w:tc>
      </w:tr>
      <w:tr w:rsidR="008407F7" w:rsidRPr="000E5786" w14:paraId="20485BDD" w14:textId="77777777" w:rsidTr="0023281D">
        <w:trPr>
          <w:trHeight w:val="337"/>
        </w:trPr>
        <w:tc>
          <w:tcPr>
            <w:tcW w:w="3256" w:type="dxa"/>
          </w:tcPr>
          <w:p w14:paraId="5FEC706B" w14:textId="77777777" w:rsidR="008407F7" w:rsidRPr="000E5786" w:rsidRDefault="008407F7" w:rsidP="0023281D">
            <w:pPr>
              <w:ind w:left="0" w:firstLine="0"/>
              <w:rPr>
                <w:rFonts w:ascii="Arial" w:hAnsi="Arial" w:cs="Arial"/>
                <w:b/>
                <w:sz w:val="20"/>
                <w:szCs w:val="20"/>
              </w:rPr>
            </w:pPr>
            <w:r w:rsidRPr="000E5786">
              <w:rPr>
                <w:rFonts w:ascii="Arial" w:hAnsi="Arial" w:cs="Arial"/>
                <w:b/>
                <w:sz w:val="20"/>
                <w:szCs w:val="20"/>
              </w:rPr>
              <w:t>Membership / Minimum Attendance Level (if relevant)</w:t>
            </w:r>
          </w:p>
        </w:tc>
        <w:tc>
          <w:tcPr>
            <w:tcW w:w="7971" w:type="dxa"/>
          </w:tcPr>
          <w:p w14:paraId="0CA1A525" w14:textId="232EA4F7" w:rsidR="008407F7" w:rsidRPr="000E5786" w:rsidRDefault="008407F7" w:rsidP="0023281D">
            <w:pPr>
              <w:spacing w:before="120"/>
              <w:rPr>
                <w:rFonts w:ascii="Arial" w:hAnsi="Arial" w:cs="Arial"/>
                <w:bCs/>
                <w:sz w:val="20"/>
                <w:szCs w:val="20"/>
              </w:rPr>
            </w:pPr>
            <w:r w:rsidRPr="000E5786">
              <w:rPr>
                <w:rFonts w:ascii="Arial" w:hAnsi="Arial" w:cs="Arial"/>
                <w:bCs/>
                <w:sz w:val="20"/>
                <w:szCs w:val="20"/>
              </w:rPr>
              <w:t xml:space="preserve">Chair:  Project Manager,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p>
          <w:p w14:paraId="304941FA" w14:textId="4F7B55B2" w:rsidR="008407F7" w:rsidRPr="000E5786" w:rsidRDefault="008407F7" w:rsidP="0023281D">
            <w:pPr>
              <w:spacing w:before="120"/>
              <w:rPr>
                <w:rFonts w:ascii="Arial" w:hAnsi="Arial" w:cs="Arial"/>
                <w:bCs/>
                <w:sz w:val="20"/>
                <w:szCs w:val="20"/>
              </w:rPr>
            </w:pPr>
            <w:r w:rsidRPr="000E5786">
              <w:rPr>
                <w:rFonts w:ascii="Arial" w:hAnsi="Arial" w:cs="Arial"/>
                <w:bCs/>
                <w:sz w:val="20"/>
                <w:szCs w:val="20"/>
              </w:rPr>
              <w:t xml:space="preserve">Administrator:  Project Manager,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p>
          <w:p w14:paraId="6F4A5B08" w14:textId="08058CFF" w:rsidR="008407F7" w:rsidRPr="00C6649F" w:rsidRDefault="008407F7" w:rsidP="00C6649F">
            <w:pPr>
              <w:spacing w:before="120"/>
              <w:rPr>
                <w:rFonts w:ascii="Arial" w:hAnsi="Arial" w:cs="Arial"/>
                <w:sz w:val="20"/>
                <w:szCs w:val="20"/>
              </w:rPr>
            </w:pPr>
            <w:r w:rsidRPr="000E5786">
              <w:rPr>
                <w:rFonts w:ascii="Arial" w:hAnsi="Arial" w:cs="Arial"/>
                <w:bCs/>
                <w:sz w:val="20"/>
                <w:szCs w:val="20"/>
              </w:rPr>
              <w:t xml:space="preserve">Members: </w:t>
            </w:r>
            <w:r w:rsidRPr="00C6649F">
              <w:rPr>
                <w:rFonts w:ascii="Arial" w:hAnsi="Arial" w:cs="Arial"/>
                <w:sz w:val="20"/>
                <w:szCs w:val="20"/>
              </w:rPr>
              <w:t>To be agreed during individual Project initiation.</w:t>
            </w:r>
          </w:p>
        </w:tc>
        <w:tc>
          <w:tcPr>
            <w:tcW w:w="3787" w:type="dxa"/>
          </w:tcPr>
          <w:p w14:paraId="1293440F" w14:textId="77777777" w:rsidR="008407F7" w:rsidRPr="000E5786" w:rsidRDefault="008407F7" w:rsidP="0023281D">
            <w:pPr>
              <w:pStyle w:val="Purpose"/>
              <w:rPr>
                <w:rFonts w:ascii="Arial" w:hAnsi="Arial"/>
                <w:sz w:val="20"/>
              </w:rPr>
            </w:pPr>
            <w:r w:rsidRPr="000E5786">
              <w:rPr>
                <w:rFonts w:ascii="Arial" w:hAnsi="Arial"/>
                <w:b/>
                <w:bCs w:val="0"/>
                <w:sz w:val="20"/>
              </w:rPr>
              <w:t>Minimum Level of attendance</w:t>
            </w:r>
            <w:r w:rsidRPr="000E5786">
              <w:rPr>
                <w:rFonts w:ascii="Arial" w:hAnsi="Arial"/>
                <w:sz w:val="20"/>
              </w:rPr>
              <w:t xml:space="preserve">:  </w:t>
            </w:r>
          </w:p>
          <w:p w14:paraId="36A6BA8F" w14:textId="77777777" w:rsidR="008407F7" w:rsidRPr="00C6649F" w:rsidRDefault="008407F7" w:rsidP="00C6649F">
            <w:pPr>
              <w:keepNext/>
              <w:spacing w:before="60" w:after="60"/>
              <w:ind w:left="0" w:firstLine="0"/>
              <w:jc w:val="left"/>
              <w:rPr>
                <w:rFonts w:ascii="Arial" w:hAnsi="Arial" w:cs="Arial"/>
                <w:bCs/>
                <w:sz w:val="20"/>
                <w:szCs w:val="20"/>
              </w:rPr>
            </w:pPr>
            <w:r w:rsidRPr="00C6649F">
              <w:rPr>
                <w:rFonts w:ascii="Arial" w:hAnsi="Arial" w:cs="Arial"/>
                <w:sz w:val="20"/>
                <w:szCs w:val="20"/>
              </w:rPr>
              <w:t>Project Manager, at least 50% of the total number of team members</w:t>
            </w:r>
          </w:p>
          <w:p w14:paraId="354FC1E3" w14:textId="77777777" w:rsidR="008407F7" w:rsidRPr="000E5786" w:rsidRDefault="008407F7" w:rsidP="0023281D">
            <w:pPr>
              <w:contextualSpacing/>
              <w:rPr>
                <w:rFonts w:ascii="Arial" w:hAnsi="Arial" w:cs="Arial"/>
                <w:bCs/>
                <w:sz w:val="20"/>
                <w:szCs w:val="20"/>
              </w:rPr>
            </w:pPr>
          </w:p>
          <w:p w14:paraId="4FCDF54F" w14:textId="77777777" w:rsidR="008407F7" w:rsidRPr="000E5786" w:rsidRDefault="008407F7" w:rsidP="0023281D">
            <w:pPr>
              <w:contextualSpacing/>
              <w:rPr>
                <w:rFonts w:ascii="Arial" w:hAnsi="Arial" w:cs="Arial"/>
                <w:bCs/>
                <w:sz w:val="20"/>
                <w:szCs w:val="20"/>
              </w:rPr>
            </w:pPr>
          </w:p>
          <w:p w14:paraId="2B48BB5B" w14:textId="77777777" w:rsidR="008407F7" w:rsidRPr="000E5786" w:rsidRDefault="008407F7" w:rsidP="0023281D">
            <w:pPr>
              <w:rPr>
                <w:rFonts w:ascii="Arial" w:hAnsi="Arial" w:cs="Arial"/>
                <w:sz w:val="20"/>
                <w:szCs w:val="20"/>
              </w:rPr>
            </w:pPr>
          </w:p>
        </w:tc>
      </w:tr>
      <w:tr w:rsidR="008407F7" w:rsidRPr="000E5786" w14:paraId="00A9FBB4" w14:textId="77777777" w:rsidTr="0023281D">
        <w:trPr>
          <w:trHeight w:val="369"/>
        </w:trPr>
        <w:tc>
          <w:tcPr>
            <w:tcW w:w="3256" w:type="dxa"/>
          </w:tcPr>
          <w:p w14:paraId="12F903E8" w14:textId="77777777" w:rsidR="008407F7" w:rsidRPr="000E5786" w:rsidRDefault="008407F7" w:rsidP="0023281D">
            <w:pPr>
              <w:rPr>
                <w:rFonts w:ascii="Arial" w:hAnsi="Arial" w:cs="Arial"/>
                <w:b/>
                <w:sz w:val="20"/>
                <w:szCs w:val="20"/>
              </w:rPr>
            </w:pPr>
            <w:r w:rsidRPr="000E5786">
              <w:rPr>
                <w:rFonts w:ascii="Arial" w:hAnsi="Arial" w:cs="Arial"/>
                <w:b/>
                <w:sz w:val="20"/>
                <w:szCs w:val="20"/>
              </w:rPr>
              <w:t>Frequency</w:t>
            </w:r>
          </w:p>
        </w:tc>
        <w:tc>
          <w:tcPr>
            <w:tcW w:w="11758" w:type="dxa"/>
            <w:gridSpan w:val="2"/>
          </w:tcPr>
          <w:p w14:paraId="76178DDB" w14:textId="77777777" w:rsidR="008407F7" w:rsidRPr="000E5786" w:rsidRDefault="008407F7" w:rsidP="0023281D">
            <w:pPr>
              <w:rPr>
                <w:rFonts w:ascii="Arial" w:hAnsi="Arial" w:cs="Arial"/>
                <w:sz w:val="20"/>
                <w:szCs w:val="20"/>
              </w:rPr>
            </w:pPr>
            <w:r w:rsidRPr="000E5786">
              <w:rPr>
                <w:rFonts w:ascii="Arial" w:hAnsi="Arial" w:cs="Arial"/>
                <w:sz w:val="20"/>
                <w:szCs w:val="20"/>
              </w:rPr>
              <w:t>Weekly (or as agreed with the Data Centre Portfolio Board)</w:t>
            </w:r>
          </w:p>
        </w:tc>
      </w:tr>
      <w:tr w:rsidR="008407F7" w:rsidRPr="000E5786" w14:paraId="7A42AFEF" w14:textId="77777777" w:rsidTr="0023281D">
        <w:trPr>
          <w:trHeight w:val="397"/>
        </w:trPr>
        <w:tc>
          <w:tcPr>
            <w:tcW w:w="3256" w:type="dxa"/>
          </w:tcPr>
          <w:p w14:paraId="1429E6A9" w14:textId="77777777" w:rsidR="008407F7" w:rsidRPr="000E5786" w:rsidRDefault="008407F7" w:rsidP="0023281D">
            <w:pPr>
              <w:rPr>
                <w:rFonts w:ascii="Arial" w:hAnsi="Arial" w:cs="Arial"/>
                <w:b/>
                <w:sz w:val="20"/>
                <w:szCs w:val="20"/>
              </w:rPr>
            </w:pPr>
            <w:r w:rsidRPr="000E5786">
              <w:rPr>
                <w:rFonts w:ascii="Arial" w:hAnsi="Arial" w:cs="Arial"/>
                <w:b/>
                <w:sz w:val="20"/>
                <w:szCs w:val="20"/>
              </w:rPr>
              <w:t>Areas for review</w:t>
            </w:r>
          </w:p>
        </w:tc>
        <w:tc>
          <w:tcPr>
            <w:tcW w:w="11758" w:type="dxa"/>
            <w:gridSpan w:val="2"/>
          </w:tcPr>
          <w:p w14:paraId="268292B3" w14:textId="77777777" w:rsidR="008407F7" w:rsidRPr="000E5786" w:rsidRDefault="008407F7" w:rsidP="0023281D">
            <w:pPr>
              <w:pStyle w:val="BulletLast"/>
              <w:tabs>
                <w:tab w:val="clear" w:pos="360"/>
              </w:tabs>
              <w:ind w:left="0" w:firstLine="0"/>
              <w:jc w:val="left"/>
              <w:rPr>
                <w:rFonts w:ascii="Arial" w:eastAsia="MS Mincho" w:hAnsi="Arial" w:cs="Arial"/>
                <w:spacing w:val="0"/>
                <w:sz w:val="20"/>
                <w:szCs w:val="20"/>
                <w:lang w:eastAsia="ja-JP"/>
              </w:rPr>
            </w:pPr>
            <w:r w:rsidRPr="000E5786">
              <w:rPr>
                <w:rFonts w:ascii="Arial" w:eastAsia="MS Mincho" w:hAnsi="Arial" w:cs="Arial"/>
                <w:spacing w:val="0"/>
                <w:sz w:val="20"/>
                <w:szCs w:val="20"/>
                <w:lang w:eastAsia="ja-JP"/>
              </w:rPr>
              <w:t>Project Plans and Milestone Delivery, RAID log, Change Requests, Resource Management / Team Management, Budget Tracking, Safety and Compliance</w:t>
            </w:r>
          </w:p>
        </w:tc>
      </w:tr>
      <w:tr w:rsidR="008407F7" w:rsidRPr="000E5786" w14:paraId="0840B332" w14:textId="77777777" w:rsidTr="0023281D">
        <w:trPr>
          <w:trHeight w:val="397"/>
        </w:trPr>
        <w:tc>
          <w:tcPr>
            <w:tcW w:w="3256" w:type="dxa"/>
          </w:tcPr>
          <w:p w14:paraId="6B645048" w14:textId="77777777" w:rsidR="008407F7" w:rsidRPr="000E5786" w:rsidRDefault="008407F7" w:rsidP="0023281D">
            <w:pPr>
              <w:rPr>
                <w:rFonts w:ascii="Arial" w:hAnsi="Arial" w:cs="Arial"/>
                <w:b/>
                <w:sz w:val="20"/>
                <w:szCs w:val="20"/>
              </w:rPr>
            </w:pPr>
            <w:r w:rsidRPr="000E5786">
              <w:rPr>
                <w:rFonts w:ascii="Arial" w:hAnsi="Arial" w:cs="Arial"/>
                <w:b/>
                <w:sz w:val="20"/>
                <w:szCs w:val="20"/>
              </w:rPr>
              <w:lastRenderedPageBreak/>
              <w:t>Inputs</w:t>
            </w:r>
          </w:p>
        </w:tc>
        <w:tc>
          <w:tcPr>
            <w:tcW w:w="11758" w:type="dxa"/>
            <w:gridSpan w:val="2"/>
          </w:tcPr>
          <w:p w14:paraId="0268C455" w14:textId="77777777" w:rsidR="008407F7" w:rsidRPr="000E5786" w:rsidRDefault="008407F7" w:rsidP="0023281D">
            <w:pPr>
              <w:pStyle w:val="BulletLast"/>
              <w:tabs>
                <w:tab w:val="clear" w:pos="360"/>
              </w:tabs>
              <w:ind w:left="0" w:firstLine="0"/>
              <w:jc w:val="left"/>
              <w:rPr>
                <w:rFonts w:ascii="Arial" w:eastAsia="MS Mincho" w:hAnsi="Arial" w:cs="Arial"/>
                <w:spacing w:val="0"/>
                <w:sz w:val="20"/>
                <w:szCs w:val="20"/>
                <w:lang w:eastAsia="ja-JP"/>
              </w:rPr>
            </w:pPr>
            <w:r w:rsidRPr="000E5786">
              <w:rPr>
                <w:rFonts w:ascii="Arial" w:eastAsia="MS Mincho" w:hAnsi="Arial" w:cs="Arial"/>
                <w:spacing w:val="0"/>
                <w:sz w:val="20"/>
                <w:szCs w:val="20"/>
                <w:lang w:eastAsia="ja-JP"/>
              </w:rPr>
              <w:t>Timesheets, Expenses, completed and estimated completion dates for activities</w:t>
            </w:r>
          </w:p>
        </w:tc>
      </w:tr>
      <w:tr w:rsidR="008407F7" w:rsidRPr="000E5786" w14:paraId="4B50ADD9" w14:textId="77777777" w:rsidTr="0023281D">
        <w:trPr>
          <w:trHeight w:val="435"/>
        </w:trPr>
        <w:tc>
          <w:tcPr>
            <w:tcW w:w="3256" w:type="dxa"/>
          </w:tcPr>
          <w:p w14:paraId="35272F21" w14:textId="77777777" w:rsidR="008407F7" w:rsidRPr="000E5786" w:rsidRDefault="008407F7" w:rsidP="0023281D">
            <w:pPr>
              <w:rPr>
                <w:rFonts w:ascii="Arial" w:hAnsi="Arial" w:cs="Arial"/>
                <w:b/>
                <w:sz w:val="20"/>
                <w:szCs w:val="20"/>
              </w:rPr>
            </w:pPr>
            <w:r w:rsidRPr="000E5786">
              <w:rPr>
                <w:rFonts w:ascii="Arial" w:hAnsi="Arial" w:cs="Arial"/>
                <w:b/>
                <w:sz w:val="20"/>
                <w:szCs w:val="20"/>
              </w:rPr>
              <w:t>Outputs</w:t>
            </w:r>
          </w:p>
        </w:tc>
        <w:tc>
          <w:tcPr>
            <w:tcW w:w="11758" w:type="dxa"/>
            <w:gridSpan w:val="2"/>
          </w:tcPr>
          <w:p w14:paraId="3B47C4AB" w14:textId="77777777" w:rsidR="008407F7" w:rsidRPr="000E5786" w:rsidRDefault="008407F7" w:rsidP="0023281D">
            <w:pPr>
              <w:pStyle w:val="BulletLast"/>
              <w:ind w:left="0" w:hanging="1"/>
              <w:rPr>
                <w:rFonts w:ascii="Arial" w:hAnsi="Arial" w:cs="Arial"/>
                <w:sz w:val="20"/>
                <w:szCs w:val="20"/>
              </w:rPr>
            </w:pPr>
            <w:r w:rsidRPr="000E5786">
              <w:rPr>
                <w:rFonts w:ascii="Arial" w:hAnsi="Arial" w:cs="Arial"/>
                <w:sz w:val="20"/>
                <w:szCs w:val="20"/>
              </w:rPr>
              <w:t>Progress Report/Project Dashboard, RAG Status, Project Plan &amp; High-Level Plan on a Page, RAID, minutes</w:t>
            </w:r>
          </w:p>
        </w:tc>
      </w:tr>
      <w:tr w:rsidR="008407F7" w:rsidRPr="000E5786" w14:paraId="4455243B" w14:textId="77777777" w:rsidTr="0023281D">
        <w:trPr>
          <w:trHeight w:val="397"/>
        </w:trPr>
        <w:tc>
          <w:tcPr>
            <w:tcW w:w="3256" w:type="dxa"/>
          </w:tcPr>
          <w:p w14:paraId="712A3831" w14:textId="77777777" w:rsidR="008407F7" w:rsidRPr="000E5786" w:rsidRDefault="008407F7" w:rsidP="0023281D">
            <w:pPr>
              <w:rPr>
                <w:rFonts w:ascii="Arial" w:hAnsi="Arial" w:cs="Arial"/>
                <w:b/>
                <w:sz w:val="20"/>
                <w:szCs w:val="20"/>
              </w:rPr>
            </w:pPr>
            <w:r w:rsidRPr="000E5786">
              <w:rPr>
                <w:rFonts w:ascii="Arial" w:hAnsi="Arial" w:cs="Arial"/>
                <w:b/>
                <w:sz w:val="20"/>
                <w:szCs w:val="20"/>
              </w:rPr>
              <w:t>Escalation</w:t>
            </w:r>
          </w:p>
        </w:tc>
        <w:tc>
          <w:tcPr>
            <w:tcW w:w="11758" w:type="dxa"/>
            <w:gridSpan w:val="2"/>
          </w:tcPr>
          <w:p w14:paraId="7BBAB23F" w14:textId="77777777" w:rsidR="008407F7" w:rsidRPr="000E5786" w:rsidRDefault="008407F7" w:rsidP="0023281D">
            <w:pPr>
              <w:keepNext/>
              <w:rPr>
                <w:rFonts w:ascii="Arial" w:hAnsi="Arial" w:cs="Arial"/>
                <w:sz w:val="20"/>
                <w:szCs w:val="20"/>
              </w:rPr>
            </w:pPr>
            <w:r w:rsidRPr="000E5786">
              <w:rPr>
                <w:rFonts w:ascii="Arial" w:hAnsi="Arial" w:cs="Arial"/>
                <w:sz w:val="20"/>
                <w:szCs w:val="20"/>
              </w:rPr>
              <w:t>Data Centre Portfolio Board</w:t>
            </w:r>
          </w:p>
        </w:tc>
      </w:tr>
      <w:tr w:rsidR="008407F7" w:rsidRPr="000E5786" w14:paraId="119A5DAE" w14:textId="77777777" w:rsidTr="0023281D">
        <w:trPr>
          <w:trHeight w:val="397"/>
        </w:trPr>
        <w:tc>
          <w:tcPr>
            <w:tcW w:w="3256" w:type="dxa"/>
          </w:tcPr>
          <w:p w14:paraId="115BC354" w14:textId="77777777" w:rsidR="008407F7" w:rsidRPr="000E5786" w:rsidRDefault="008407F7" w:rsidP="0023281D">
            <w:pPr>
              <w:rPr>
                <w:rFonts w:ascii="Arial" w:hAnsi="Arial" w:cs="Arial"/>
                <w:b/>
                <w:sz w:val="20"/>
                <w:szCs w:val="20"/>
              </w:rPr>
            </w:pPr>
            <w:r w:rsidRPr="000E5786">
              <w:rPr>
                <w:rFonts w:ascii="Arial" w:hAnsi="Arial" w:cs="Arial"/>
                <w:b/>
                <w:sz w:val="20"/>
                <w:szCs w:val="20"/>
              </w:rPr>
              <w:t>Related Meetings</w:t>
            </w:r>
          </w:p>
        </w:tc>
        <w:tc>
          <w:tcPr>
            <w:tcW w:w="11758" w:type="dxa"/>
            <w:gridSpan w:val="2"/>
          </w:tcPr>
          <w:p w14:paraId="08612378" w14:textId="77777777" w:rsidR="008407F7" w:rsidRPr="000E5786" w:rsidRDefault="008407F7" w:rsidP="0023281D">
            <w:pPr>
              <w:rPr>
                <w:rFonts w:ascii="Arial" w:hAnsi="Arial" w:cs="Arial"/>
                <w:sz w:val="20"/>
                <w:szCs w:val="20"/>
              </w:rPr>
            </w:pPr>
            <w:r w:rsidRPr="000E5786">
              <w:rPr>
                <w:rFonts w:ascii="Arial" w:hAnsi="Arial" w:cs="Arial"/>
                <w:sz w:val="20"/>
                <w:szCs w:val="20"/>
              </w:rPr>
              <w:t>Technical Design Authority, Change Approval Board, Data Centre Portfolio Board</w:t>
            </w:r>
          </w:p>
        </w:tc>
      </w:tr>
    </w:tbl>
    <w:p w14:paraId="227BD7AD" w14:textId="77777777" w:rsidR="0095745D" w:rsidRPr="000E5786" w:rsidRDefault="0095745D" w:rsidP="0095745D">
      <w:pPr>
        <w:pStyle w:val="Level1"/>
        <w:numPr>
          <w:ilvl w:val="0"/>
          <w:numId w:val="0"/>
        </w:numPr>
        <w:rPr>
          <w:rFonts w:ascii="Arial" w:hAnsi="Arial" w:cs="Arial"/>
        </w:rPr>
      </w:pPr>
    </w:p>
    <w:p w14:paraId="5E62F2AC" w14:textId="77777777" w:rsidR="00182C80" w:rsidRDefault="00182C80" w:rsidP="00182C80">
      <w:pPr>
        <w:ind w:left="0" w:firstLine="0"/>
        <w:rPr>
          <w:rStyle w:val="CommentReference"/>
          <w:rFonts w:eastAsia="Calibri" w:cs="Arial"/>
          <w:b/>
          <w:bCs/>
          <w:sz w:val="20"/>
          <w:szCs w:val="20"/>
        </w:rPr>
      </w:pPr>
    </w:p>
    <w:p w14:paraId="6A5262CA" w14:textId="77777777" w:rsidR="008422C1" w:rsidRPr="008422C1" w:rsidRDefault="008422C1" w:rsidP="008422C1">
      <w:pPr>
        <w:rPr>
          <w:rFonts w:eastAsia="Calibri" w:cs="Arial"/>
          <w:szCs w:val="20"/>
        </w:rPr>
      </w:pPr>
    </w:p>
    <w:p w14:paraId="4C2048D8" w14:textId="77777777" w:rsidR="008422C1" w:rsidRPr="008422C1" w:rsidRDefault="008422C1" w:rsidP="008422C1">
      <w:pPr>
        <w:rPr>
          <w:rFonts w:eastAsia="Calibri" w:cs="Arial"/>
          <w:szCs w:val="20"/>
        </w:rPr>
      </w:pPr>
    </w:p>
    <w:p w14:paraId="02C10F1A" w14:textId="77777777" w:rsidR="008422C1" w:rsidRPr="008422C1" w:rsidRDefault="008422C1" w:rsidP="008422C1">
      <w:pPr>
        <w:rPr>
          <w:rFonts w:eastAsia="Calibri" w:cs="Arial"/>
          <w:szCs w:val="20"/>
        </w:rPr>
      </w:pPr>
    </w:p>
    <w:p w14:paraId="46FC8A9A" w14:textId="77777777" w:rsidR="008422C1" w:rsidRPr="008422C1" w:rsidRDefault="008422C1" w:rsidP="008422C1">
      <w:pPr>
        <w:rPr>
          <w:rFonts w:eastAsia="Calibri" w:cs="Arial"/>
          <w:szCs w:val="20"/>
        </w:rPr>
      </w:pPr>
    </w:p>
    <w:p w14:paraId="7099034D" w14:textId="77777777" w:rsidR="008422C1" w:rsidRPr="008422C1" w:rsidRDefault="008422C1" w:rsidP="008422C1">
      <w:pPr>
        <w:rPr>
          <w:rFonts w:eastAsia="Calibri" w:cs="Arial"/>
          <w:szCs w:val="20"/>
        </w:rPr>
      </w:pPr>
    </w:p>
    <w:p w14:paraId="31E88323" w14:textId="77777777" w:rsidR="008422C1" w:rsidRPr="008422C1" w:rsidRDefault="008422C1" w:rsidP="008422C1">
      <w:pPr>
        <w:rPr>
          <w:rFonts w:eastAsia="Calibri" w:cs="Arial"/>
          <w:szCs w:val="20"/>
        </w:rPr>
      </w:pPr>
    </w:p>
    <w:p w14:paraId="31D8F6CF" w14:textId="77777777" w:rsidR="008422C1" w:rsidRPr="008422C1" w:rsidRDefault="008422C1" w:rsidP="008422C1">
      <w:pPr>
        <w:rPr>
          <w:rFonts w:eastAsia="Calibri" w:cs="Arial"/>
          <w:szCs w:val="20"/>
        </w:rPr>
      </w:pPr>
    </w:p>
    <w:p w14:paraId="543586AA" w14:textId="77777777" w:rsidR="008422C1" w:rsidRPr="008422C1" w:rsidRDefault="008422C1" w:rsidP="008422C1">
      <w:pPr>
        <w:rPr>
          <w:rFonts w:eastAsia="Calibri" w:cs="Arial"/>
          <w:szCs w:val="20"/>
        </w:rPr>
      </w:pPr>
    </w:p>
    <w:p w14:paraId="4364A71E" w14:textId="77777777" w:rsidR="008422C1" w:rsidRPr="008422C1" w:rsidRDefault="008422C1" w:rsidP="008422C1">
      <w:pPr>
        <w:rPr>
          <w:rFonts w:eastAsia="Calibri" w:cs="Arial"/>
          <w:szCs w:val="20"/>
        </w:rPr>
      </w:pPr>
    </w:p>
    <w:p w14:paraId="55E97A8E" w14:textId="77777777" w:rsidR="008422C1" w:rsidRPr="008422C1" w:rsidRDefault="008422C1" w:rsidP="008422C1">
      <w:pPr>
        <w:rPr>
          <w:rFonts w:eastAsia="Calibri" w:cs="Arial"/>
          <w:szCs w:val="20"/>
        </w:rPr>
      </w:pPr>
    </w:p>
    <w:p w14:paraId="62C5D782" w14:textId="77777777" w:rsidR="008422C1" w:rsidRPr="008422C1" w:rsidRDefault="008422C1" w:rsidP="008422C1">
      <w:pPr>
        <w:rPr>
          <w:rFonts w:eastAsia="Calibri" w:cs="Arial"/>
          <w:szCs w:val="20"/>
        </w:rPr>
      </w:pPr>
    </w:p>
    <w:p w14:paraId="48FB8828" w14:textId="77777777" w:rsidR="008422C1" w:rsidRPr="008422C1" w:rsidRDefault="008422C1" w:rsidP="008422C1">
      <w:pPr>
        <w:rPr>
          <w:rFonts w:eastAsia="Calibri" w:cs="Arial"/>
          <w:szCs w:val="20"/>
        </w:rPr>
      </w:pPr>
    </w:p>
    <w:p w14:paraId="376A7CDB" w14:textId="77777777" w:rsidR="008422C1" w:rsidRPr="008422C1" w:rsidRDefault="008422C1" w:rsidP="008422C1">
      <w:pPr>
        <w:rPr>
          <w:rFonts w:eastAsia="Calibri" w:cs="Arial"/>
          <w:szCs w:val="20"/>
        </w:rPr>
      </w:pPr>
    </w:p>
    <w:p w14:paraId="63E6B0A0" w14:textId="77777777" w:rsidR="008422C1" w:rsidRPr="008422C1" w:rsidRDefault="008422C1" w:rsidP="008422C1">
      <w:pPr>
        <w:rPr>
          <w:rFonts w:eastAsia="Calibri" w:cs="Arial"/>
          <w:szCs w:val="20"/>
        </w:rPr>
      </w:pPr>
    </w:p>
    <w:p w14:paraId="00DD566C" w14:textId="77777777" w:rsidR="008422C1" w:rsidRPr="008422C1" w:rsidRDefault="008422C1" w:rsidP="008422C1">
      <w:pPr>
        <w:rPr>
          <w:rFonts w:eastAsia="Calibri" w:cs="Arial"/>
          <w:szCs w:val="20"/>
        </w:rPr>
      </w:pPr>
    </w:p>
    <w:p w14:paraId="7CE649E4" w14:textId="77777777" w:rsidR="008422C1" w:rsidRPr="008422C1" w:rsidRDefault="008422C1" w:rsidP="008422C1">
      <w:pPr>
        <w:rPr>
          <w:rFonts w:eastAsia="Calibri" w:cs="Arial"/>
          <w:szCs w:val="20"/>
        </w:rPr>
      </w:pPr>
    </w:p>
    <w:p w14:paraId="0926FF22" w14:textId="77777777" w:rsidR="008422C1" w:rsidRDefault="008422C1" w:rsidP="008422C1">
      <w:pPr>
        <w:rPr>
          <w:rStyle w:val="CommentReference"/>
          <w:rFonts w:eastAsia="Calibri" w:cs="Arial"/>
          <w:b/>
          <w:bCs/>
          <w:sz w:val="20"/>
          <w:szCs w:val="20"/>
        </w:rPr>
      </w:pPr>
    </w:p>
    <w:p w14:paraId="52051166" w14:textId="77777777" w:rsidR="008422C1" w:rsidRPr="008422C1" w:rsidRDefault="008422C1" w:rsidP="008422C1">
      <w:pPr>
        <w:rPr>
          <w:rFonts w:eastAsia="Calibri" w:cs="Arial"/>
          <w:szCs w:val="20"/>
        </w:rPr>
      </w:pPr>
    </w:p>
    <w:p w14:paraId="0E4FC380" w14:textId="27795C42" w:rsidR="008422C1" w:rsidRPr="008422C1" w:rsidRDefault="008422C1" w:rsidP="008422C1">
      <w:pPr>
        <w:tabs>
          <w:tab w:val="center" w:pos="7144"/>
        </w:tabs>
        <w:rPr>
          <w:rFonts w:eastAsia="Calibri" w:cs="Arial"/>
          <w:szCs w:val="20"/>
        </w:rPr>
        <w:sectPr w:rsidR="008422C1" w:rsidRPr="008422C1" w:rsidSect="00182C80">
          <w:pgSz w:w="16840" w:h="11907" w:orient="landscape" w:code="9"/>
          <w:pgMar w:top="1418" w:right="1418" w:bottom="1418" w:left="1134" w:header="709" w:footer="709" w:gutter="0"/>
          <w:cols w:space="708"/>
          <w:titlePg/>
          <w:docGrid w:linePitch="360"/>
        </w:sectPr>
      </w:pPr>
      <w:r>
        <w:rPr>
          <w:rFonts w:eastAsia="Calibri" w:cs="Arial"/>
          <w:szCs w:val="20"/>
        </w:rPr>
        <w:lastRenderedPageBreak/>
        <w:tab/>
      </w:r>
    </w:p>
    <w:p w14:paraId="022084A6" w14:textId="25FE7FE8" w:rsidR="00FF00A1" w:rsidRPr="000E5786" w:rsidRDefault="00DF5C20" w:rsidP="00DD60F0">
      <w:pPr>
        <w:jc w:val="center"/>
        <w:rPr>
          <w:rFonts w:eastAsia="SimSun" w:cs="Arial"/>
          <w:b/>
          <w:bCs/>
          <w:szCs w:val="20"/>
        </w:rPr>
      </w:pPr>
      <w:r w:rsidRPr="000E5786">
        <w:rPr>
          <w:rStyle w:val="CommentReference"/>
          <w:rFonts w:eastAsia="Calibri" w:cs="Arial"/>
          <w:b/>
          <w:bCs/>
          <w:sz w:val="20"/>
          <w:szCs w:val="20"/>
        </w:rPr>
        <w:lastRenderedPageBreak/>
        <w:t>S</w:t>
      </w:r>
      <w:r w:rsidR="004C127E" w:rsidRPr="000E5786">
        <w:rPr>
          <w:rFonts w:eastAsia="SimSun" w:cs="Arial"/>
          <w:b/>
          <w:bCs/>
          <w:szCs w:val="20"/>
        </w:rPr>
        <w:t>CHEDULE</w:t>
      </w:r>
      <w:bookmarkEnd w:id="2353"/>
      <w:r w:rsidR="004C127E" w:rsidRPr="000E5786">
        <w:rPr>
          <w:rFonts w:eastAsia="SimSun" w:cs="Arial"/>
          <w:b/>
          <w:bCs/>
          <w:szCs w:val="20"/>
        </w:rPr>
        <w:t xml:space="preserve"> </w:t>
      </w:r>
      <w:bookmarkStart w:id="2365" w:name="_NN111"/>
      <w:bookmarkEnd w:id="2354"/>
      <w:bookmarkEnd w:id="2365"/>
      <w:r w:rsidR="004C127E" w:rsidRPr="000E5786">
        <w:rPr>
          <w:rFonts w:eastAsia="SimSun" w:cs="Arial"/>
          <w:b/>
          <w:bCs/>
          <w:szCs w:val="20"/>
        </w:rPr>
        <w:t xml:space="preserve">8.2 </w:t>
      </w:r>
    </w:p>
    <w:p w14:paraId="373F2345" w14:textId="50855F11" w:rsidR="004C127E" w:rsidRPr="000E5786" w:rsidRDefault="00F2428A" w:rsidP="00DD60F0">
      <w:pPr>
        <w:jc w:val="center"/>
        <w:rPr>
          <w:rFonts w:cs="Arial"/>
          <w:b/>
          <w:bCs/>
          <w:szCs w:val="20"/>
        </w:rPr>
      </w:pPr>
      <w:r w:rsidRPr="000E5786">
        <w:rPr>
          <w:rFonts w:cs="Arial"/>
          <w:b/>
          <w:bCs/>
          <w:szCs w:val="20"/>
        </w:rPr>
        <w:t>CHANGE CONTROL PROCEDURE</w:t>
      </w:r>
    </w:p>
    <w:p w14:paraId="0C38D121" w14:textId="77777777" w:rsidR="004C127E" w:rsidRPr="000E5786" w:rsidRDefault="004C127E" w:rsidP="009D675B">
      <w:pPr>
        <w:pStyle w:val="Heading1"/>
        <w:numPr>
          <w:ilvl w:val="0"/>
          <w:numId w:val="45"/>
        </w:numPr>
        <w:spacing w:after="120"/>
        <w:rPr>
          <w:rFonts w:cs="Arial"/>
          <w:szCs w:val="20"/>
        </w:rPr>
      </w:pPr>
      <w:r w:rsidRPr="000E5786">
        <w:rPr>
          <w:rFonts w:cs="Arial"/>
          <w:szCs w:val="20"/>
        </w:rPr>
        <w:t>Changes</w:t>
      </w:r>
    </w:p>
    <w:p w14:paraId="7ABBA844" w14:textId="77777777" w:rsidR="004C127E" w:rsidRPr="000E5786" w:rsidRDefault="004C127E" w:rsidP="009D675B">
      <w:pPr>
        <w:pStyle w:val="Heading2"/>
        <w:numPr>
          <w:ilvl w:val="1"/>
          <w:numId w:val="141"/>
        </w:numPr>
        <w:spacing w:after="120"/>
        <w:rPr>
          <w:rFonts w:cs="Arial"/>
          <w:szCs w:val="20"/>
        </w:rPr>
      </w:pPr>
      <w:r w:rsidRPr="000E5786">
        <w:rPr>
          <w:rFonts w:cs="Arial"/>
          <w:szCs w:val="20"/>
        </w:rPr>
        <w:t xml:space="preserve">Changes shall be categorised as either Significant or Minor and either Technical or Non-Technical. </w:t>
      </w:r>
    </w:p>
    <w:p w14:paraId="0C332B46" w14:textId="77777777" w:rsidR="004C127E" w:rsidRPr="000E5786" w:rsidRDefault="004C127E" w:rsidP="009D675B">
      <w:pPr>
        <w:pStyle w:val="Heading2"/>
        <w:numPr>
          <w:ilvl w:val="1"/>
          <w:numId w:val="141"/>
        </w:numPr>
        <w:spacing w:after="120"/>
        <w:rPr>
          <w:rFonts w:cs="Arial"/>
          <w:szCs w:val="20"/>
        </w:rPr>
      </w:pPr>
      <w:r w:rsidRPr="000E5786">
        <w:rPr>
          <w:rFonts w:cs="Arial"/>
          <w:szCs w:val="20"/>
        </w:rPr>
        <w:t>The Supplier shall:</w:t>
      </w:r>
    </w:p>
    <w:p w14:paraId="220FC591" w14:textId="32E67B02" w:rsidR="004C127E" w:rsidRPr="000E5786" w:rsidRDefault="004C127E" w:rsidP="009D675B">
      <w:pPr>
        <w:pStyle w:val="Heading3"/>
        <w:numPr>
          <w:ilvl w:val="2"/>
          <w:numId w:val="141"/>
        </w:numPr>
      </w:pPr>
      <w:r w:rsidRPr="000E5786">
        <w:t xml:space="preserve">ensure that Technical Changes shall require </w:t>
      </w:r>
      <w:proofErr w:type="spellStart"/>
      <w:r w:rsidR="001F1C19">
        <w:t>Netlink</w:t>
      </w:r>
      <w:proofErr w:type="spellEnd"/>
      <w:r w:rsidR="001F1C19">
        <w:t xml:space="preserve"> Star</w:t>
      </w:r>
      <w:r w:rsidRPr="000E5786">
        <w:t xml:space="preserve"> Technical Design Authority (TDA) approval if the change involves the introduction of new or modification of existing technology and/or technical </w:t>
      </w:r>
      <w:proofErr w:type="gramStart"/>
      <w:r w:rsidRPr="000E5786">
        <w:t>solutions;</w:t>
      </w:r>
      <w:proofErr w:type="gramEnd"/>
    </w:p>
    <w:p w14:paraId="521B1ACD" w14:textId="57FED5EC" w:rsidR="004C127E" w:rsidRPr="000E5786" w:rsidRDefault="004C127E" w:rsidP="009D675B">
      <w:pPr>
        <w:pStyle w:val="Heading3"/>
        <w:numPr>
          <w:ilvl w:val="2"/>
          <w:numId w:val="141"/>
        </w:numPr>
      </w:pPr>
      <w:r w:rsidRPr="000E5786">
        <w:t xml:space="preserve">shall keep a </w:t>
      </w:r>
      <w:r w:rsidR="00A970BD">
        <w:t>l</w:t>
      </w:r>
      <w:r w:rsidRPr="000E5786">
        <w:t>og of all Changes</w:t>
      </w:r>
      <w:r w:rsidR="00A970BD">
        <w:t xml:space="preserve"> (“</w:t>
      </w:r>
      <w:r w:rsidR="00A970BD" w:rsidRPr="00A970BD">
        <w:rPr>
          <w:b/>
        </w:rPr>
        <w:t>Change Log</w:t>
      </w:r>
      <w:r w:rsidR="00A970BD">
        <w:t>”)</w:t>
      </w:r>
      <w:r w:rsidRPr="000E5786">
        <w:t xml:space="preserve"> and ensure this is kept up to date with the associated documentation </w:t>
      </w:r>
      <w:proofErr w:type="gramStart"/>
      <w:r w:rsidRPr="000E5786">
        <w:t>e.g.</w:t>
      </w:r>
      <w:proofErr w:type="gramEnd"/>
      <w:r w:rsidRPr="000E5786">
        <w:t xml:space="preserve"> Minor Change Control Notice, Form of Significant Change Control Notice, Form of Significant Change Control Analysis, Form of Change Approval Notice. The Change Log shall contain, at a minimum, the following key information: date requested, date approved by TDA if required, date approved by the Change Approval Board </w:t>
      </w:r>
      <w:r w:rsidR="00C6649F">
        <w:t>(</w:t>
      </w:r>
      <w:r w:rsidRPr="000E5786">
        <w:t>CAB</w:t>
      </w:r>
      <w:r w:rsidR="00C6649F">
        <w:t>)</w:t>
      </w:r>
      <w:r w:rsidRPr="000E5786">
        <w:t xml:space="preserve">, date implemented, cost of the change, impact overview, and current </w:t>
      </w:r>
      <w:proofErr w:type="gramStart"/>
      <w:r w:rsidRPr="000E5786">
        <w:t>status;</w:t>
      </w:r>
      <w:proofErr w:type="gramEnd"/>
    </w:p>
    <w:p w14:paraId="74DFFD1E" w14:textId="4F09B918" w:rsidR="004C127E" w:rsidRPr="000E5786" w:rsidRDefault="004C127E" w:rsidP="009D675B">
      <w:pPr>
        <w:pStyle w:val="Heading3"/>
        <w:numPr>
          <w:ilvl w:val="2"/>
          <w:numId w:val="141"/>
        </w:numPr>
      </w:pPr>
      <w:r w:rsidRPr="000E5786">
        <w:t xml:space="preserve">flag any compatibility issues that will or may arise in relation to any Change to </w:t>
      </w:r>
      <w:proofErr w:type="spellStart"/>
      <w:r w:rsidR="001F1C19">
        <w:t>Netlink</w:t>
      </w:r>
      <w:proofErr w:type="spellEnd"/>
      <w:r w:rsidR="001F1C19">
        <w:t xml:space="preserve"> Star</w:t>
      </w:r>
      <w:r w:rsidRPr="000E5786">
        <w:t xml:space="preserve"> as soon as the Supplier becomes aware of them (or ought reasonably to have become aware of them</w:t>
      </w:r>
      <w:proofErr w:type="gramStart"/>
      <w:r w:rsidRPr="000E5786">
        <w:t>);</w:t>
      </w:r>
      <w:proofErr w:type="gramEnd"/>
    </w:p>
    <w:p w14:paraId="4FFE4F26" w14:textId="43EFF398" w:rsidR="004C127E" w:rsidRPr="000E5786" w:rsidRDefault="004C127E" w:rsidP="009D675B">
      <w:pPr>
        <w:pStyle w:val="Heading3"/>
        <w:numPr>
          <w:ilvl w:val="2"/>
          <w:numId w:val="141"/>
        </w:numPr>
      </w:pPr>
      <w:r w:rsidRPr="000E5786">
        <w:t xml:space="preserve">use all reasonable endeavours to ensure when implementing Changes that the Services are not materially adversely impacted and noting that Supplier shall not be responsible for such adverse impact where documented the potential impact was documented by the Supplier in the applicable Change Control Analysis and the adverse impact occurs due to </w:t>
      </w:r>
      <w:proofErr w:type="spellStart"/>
      <w:r w:rsidR="001F1C19">
        <w:t>Netlink</w:t>
      </w:r>
      <w:proofErr w:type="spellEnd"/>
      <w:r w:rsidR="001F1C19">
        <w:t xml:space="preserve"> Star</w:t>
      </w:r>
      <w:r w:rsidRPr="000E5786">
        <w:t xml:space="preserve"> failing to address such potential impact prior to implementation. </w:t>
      </w:r>
    </w:p>
    <w:p w14:paraId="6A2F4A55" w14:textId="77777777" w:rsidR="004C127E" w:rsidRPr="00C6649F" w:rsidRDefault="004C127E" w:rsidP="009D675B">
      <w:pPr>
        <w:pStyle w:val="Heading2"/>
        <w:numPr>
          <w:ilvl w:val="1"/>
          <w:numId w:val="141"/>
        </w:numPr>
        <w:spacing w:after="120"/>
        <w:rPr>
          <w:rFonts w:cs="Arial"/>
          <w:b/>
          <w:bCs w:val="0"/>
          <w:szCs w:val="20"/>
        </w:rPr>
      </w:pPr>
      <w:r w:rsidRPr="00C6649F">
        <w:rPr>
          <w:rFonts w:cs="Arial"/>
          <w:b/>
          <w:bCs w:val="0"/>
          <w:szCs w:val="20"/>
        </w:rPr>
        <w:t>Change Approval Board (CAB)</w:t>
      </w:r>
    </w:p>
    <w:p w14:paraId="33437D71" w14:textId="77777777" w:rsidR="004C127E" w:rsidRPr="000E5786" w:rsidRDefault="004C127E" w:rsidP="009D675B">
      <w:pPr>
        <w:pStyle w:val="Heading3"/>
        <w:numPr>
          <w:ilvl w:val="2"/>
          <w:numId w:val="141"/>
        </w:numPr>
      </w:pPr>
      <w:r w:rsidRPr="000E5786">
        <w:t>There shall be a single CAB to provide governance for any Technical Changes, both Minor Changes and Significant Changes.</w:t>
      </w:r>
    </w:p>
    <w:p w14:paraId="3F30145E" w14:textId="77777777" w:rsidR="004C127E" w:rsidRPr="000E5786" w:rsidRDefault="004C127E" w:rsidP="009D675B">
      <w:pPr>
        <w:pStyle w:val="Heading3"/>
        <w:numPr>
          <w:ilvl w:val="2"/>
          <w:numId w:val="141"/>
        </w:numPr>
      </w:pPr>
      <w:r w:rsidRPr="000E5786">
        <w:t>The CAB shall:</w:t>
      </w:r>
    </w:p>
    <w:p w14:paraId="328A3C75" w14:textId="26BA280E" w:rsidR="004C127E" w:rsidRPr="000E5786" w:rsidRDefault="00C6649F" w:rsidP="009D675B">
      <w:pPr>
        <w:pStyle w:val="Heading4"/>
        <w:numPr>
          <w:ilvl w:val="3"/>
          <w:numId w:val="141"/>
        </w:numPr>
        <w:spacing w:after="120"/>
        <w:ind w:left="2410"/>
        <w:rPr>
          <w:rFonts w:cs="Arial"/>
          <w:szCs w:val="20"/>
        </w:rPr>
      </w:pPr>
      <w:r w:rsidRPr="000E5786">
        <w:rPr>
          <w:rFonts w:cs="Arial"/>
          <w:szCs w:val="20"/>
        </w:rPr>
        <w:t xml:space="preserve">be </w:t>
      </w:r>
      <w:r w:rsidR="004C127E" w:rsidRPr="000E5786">
        <w:rPr>
          <w:rFonts w:cs="Arial"/>
          <w:szCs w:val="20"/>
        </w:rPr>
        <w:t xml:space="preserve">responsible for recommending or making decisions on requested </w:t>
      </w:r>
      <w:proofErr w:type="gramStart"/>
      <w:r w:rsidR="004C127E" w:rsidRPr="000E5786">
        <w:rPr>
          <w:rFonts w:cs="Arial"/>
          <w:szCs w:val="20"/>
        </w:rPr>
        <w:t>Changes;</w:t>
      </w:r>
      <w:proofErr w:type="gramEnd"/>
    </w:p>
    <w:p w14:paraId="7C3E13F7" w14:textId="7D6D16EF" w:rsidR="004C127E" w:rsidRPr="000E5786" w:rsidRDefault="00C6649F" w:rsidP="009D675B">
      <w:pPr>
        <w:pStyle w:val="Heading4"/>
        <w:numPr>
          <w:ilvl w:val="3"/>
          <w:numId w:val="141"/>
        </w:numPr>
        <w:spacing w:after="120"/>
        <w:ind w:left="2410"/>
        <w:rPr>
          <w:rFonts w:cs="Arial"/>
          <w:szCs w:val="20"/>
        </w:rPr>
      </w:pPr>
      <w:r w:rsidRPr="000E5786">
        <w:rPr>
          <w:rFonts w:cs="Arial"/>
          <w:szCs w:val="20"/>
        </w:rPr>
        <w:t xml:space="preserve">meet </w:t>
      </w:r>
      <w:r w:rsidR="004C127E" w:rsidRPr="000E5786">
        <w:rPr>
          <w:rFonts w:cs="Arial"/>
          <w:szCs w:val="20"/>
        </w:rPr>
        <w:t>weekly; and</w:t>
      </w:r>
    </w:p>
    <w:p w14:paraId="7490E529" w14:textId="4BD566DD" w:rsidR="004C127E" w:rsidRPr="000E5786" w:rsidRDefault="00C6649F" w:rsidP="009D675B">
      <w:pPr>
        <w:pStyle w:val="Heading4"/>
        <w:numPr>
          <w:ilvl w:val="3"/>
          <w:numId w:val="141"/>
        </w:numPr>
        <w:spacing w:after="120"/>
        <w:ind w:left="2410"/>
        <w:rPr>
          <w:rFonts w:cs="Arial"/>
          <w:szCs w:val="20"/>
        </w:rPr>
      </w:pPr>
      <w:r w:rsidRPr="000E5786">
        <w:rPr>
          <w:rFonts w:cs="Arial"/>
          <w:szCs w:val="20"/>
        </w:rPr>
        <w:t xml:space="preserve">allow </w:t>
      </w:r>
      <w:r w:rsidR="004C127E" w:rsidRPr="000E5786">
        <w:rPr>
          <w:rFonts w:cs="Arial"/>
          <w:szCs w:val="20"/>
        </w:rPr>
        <w:t>the Supplier and the Customer to raise Change Requests.</w:t>
      </w:r>
    </w:p>
    <w:p w14:paraId="75B44E9A" w14:textId="6760E369" w:rsidR="004C127E" w:rsidRPr="000E5786" w:rsidRDefault="001F1C19" w:rsidP="009D675B">
      <w:pPr>
        <w:pStyle w:val="Heading3"/>
        <w:numPr>
          <w:ilvl w:val="2"/>
          <w:numId w:val="141"/>
        </w:numPr>
      </w:pPr>
      <w:proofErr w:type="spellStart"/>
      <w:r>
        <w:t>Netlink</w:t>
      </w:r>
      <w:proofErr w:type="spellEnd"/>
      <w:r>
        <w:t xml:space="preserve"> Star</w:t>
      </w:r>
      <w:r w:rsidR="004C127E" w:rsidRPr="000E5786">
        <w:t xml:space="preserve"> shall be responsible for setting up the CAB.</w:t>
      </w:r>
    </w:p>
    <w:p w14:paraId="21385BC3" w14:textId="40C70CC5" w:rsidR="004C127E" w:rsidRPr="000E5786" w:rsidRDefault="004C127E" w:rsidP="009D675B">
      <w:pPr>
        <w:pStyle w:val="Heading3"/>
        <w:numPr>
          <w:ilvl w:val="2"/>
          <w:numId w:val="141"/>
        </w:numPr>
      </w:pPr>
      <w:r w:rsidRPr="000E5786">
        <w:t>The Supplier shall be responsible for maintaining the Change Log and all Change related documentation electronically in a document repository.</w:t>
      </w:r>
    </w:p>
    <w:p w14:paraId="2F41B21E" w14:textId="77777777" w:rsidR="00321E69" w:rsidRPr="000E5786" w:rsidRDefault="00321E69" w:rsidP="009D675B">
      <w:pPr>
        <w:pStyle w:val="Heading3"/>
        <w:numPr>
          <w:ilvl w:val="2"/>
          <w:numId w:val="141"/>
        </w:numPr>
      </w:pPr>
    </w:p>
    <w:p w14:paraId="0A251E63" w14:textId="77777777" w:rsidR="004C127E" w:rsidRPr="000E5786" w:rsidRDefault="004C127E" w:rsidP="009D675B">
      <w:pPr>
        <w:pStyle w:val="Heading1"/>
        <w:numPr>
          <w:ilvl w:val="0"/>
          <w:numId w:val="141"/>
        </w:numPr>
        <w:spacing w:after="120"/>
        <w:rPr>
          <w:rFonts w:cs="Arial"/>
          <w:szCs w:val="20"/>
        </w:rPr>
      </w:pPr>
      <w:r w:rsidRPr="000E5786">
        <w:rPr>
          <w:rFonts w:cs="Arial"/>
          <w:szCs w:val="20"/>
        </w:rPr>
        <w:t>Technical Minor Changes</w:t>
      </w:r>
    </w:p>
    <w:p w14:paraId="4D0B6793" w14:textId="0B012125" w:rsidR="004C127E" w:rsidRPr="000E5786" w:rsidRDefault="004C127E" w:rsidP="009D675B">
      <w:pPr>
        <w:pStyle w:val="Heading2"/>
        <w:numPr>
          <w:ilvl w:val="1"/>
          <w:numId w:val="141"/>
        </w:numPr>
        <w:spacing w:after="120"/>
        <w:rPr>
          <w:rFonts w:cs="Arial"/>
          <w:szCs w:val="20"/>
        </w:rPr>
      </w:pPr>
      <w:r w:rsidRPr="000E5786">
        <w:rPr>
          <w:rFonts w:cs="Arial"/>
          <w:szCs w:val="20"/>
        </w:rPr>
        <w:t xml:space="preserve">Either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or the Supplier may propose a Minor Change by serving a Minor Change Control Notice on the other.  A Minor Change Control Notice shall be in electronic form.  The Supplier shall acknowledge receipt of all Minor Change Control Notices by responding via email within three (3) </w:t>
      </w:r>
      <w:r w:rsidR="00536324">
        <w:rPr>
          <w:rFonts w:cs="Arial"/>
          <w:szCs w:val="20"/>
        </w:rPr>
        <w:t>Working</w:t>
      </w:r>
      <w:r w:rsidR="00536324" w:rsidRPr="000E5786">
        <w:rPr>
          <w:rFonts w:cs="Arial"/>
          <w:szCs w:val="20"/>
        </w:rPr>
        <w:t xml:space="preserve"> </w:t>
      </w:r>
      <w:r w:rsidRPr="000E5786">
        <w:rPr>
          <w:rFonts w:cs="Arial"/>
          <w:szCs w:val="20"/>
        </w:rPr>
        <w:t>Days unless otherwise agreed in writing by the parties. Where applicable, the Minor Change Control Notice will include the cost estimate for implementing the proposed Minor Change. An example of a Minor Change could be the addition of a new Catalogue item.</w:t>
      </w:r>
    </w:p>
    <w:p w14:paraId="4991414D" w14:textId="3CEB9AB1" w:rsidR="004C127E" w:rsidRPr="000E5786" w:rsidRDefault="001F1C19" w:rsidP="009D675B">
      <w:pPr>
        <w:pStyle w:val="Heading2"/>
        <w:numPr>
          <w:ilvl w:val="1"/>
          <w:numId w:val="141"/>
        </w:numPr>
        <w:spacing w:after="120"/>
        <w:rPr>
          <w:rFonts w:cs="Arial"/>
          <w:szCs w:val="20"/>
        </w:rPr>
      </w:pPr>
      <w:bookmarkStart w:id="2366" w:name="_Ref260247984"/>
      <w:proofErr w:type="spellStart"/>
      <w:r>
        <w:rPr>
          <w:rFonts w:cs="Arial"/>
          <w:szCs w:val="20"/>
        </w:rPr>
        <w:t>Netlink</w:t>
      </w:r>
      <w:proofErr w:type="spellEnd"/>
      <w:r>
        <w:rPr>
          <w:rFonts w:cs="Arial"/>
          <w:szCs w:val="20"/>
        </w:rPr>
        <w:t xml:space="preserve"> Star</w:t>
      </w:r>
      <w:r w:rsidR="004C127E" w:rsidRPr="000E5786">
        <w:rPr>
          <w:rFonts w:cs="Arial"/>
          <w:szCs w:val="20"/>
        </w:rPr>
        <w:t xml:space="preserve">’s representative being </w:t>
      </w:r>
      <w:proofErr w:type="spellStart"/>
      <w:r>
        <w:rPr>
          <w:rFonts w:cs="Arial"/>
          <w:szCs w:val="20"/>
        </w:rPr>
        <w:t>Netlink</w:t>
      </w:r>
      <w:proofErr w:type="spellEnd"/>
      <w:r>
        <w:rPr>
          <w:rFonts w:cs="Arial"/>
          <w:szCs w:val="20"/>
        </w:rPr>
        <w:t xml:space="preserve"> Star</w:t>
      </w:r>
      <w:r w:rsidR="004C127E" w:rsidRPr="000E5786">
        <w:rPr>
          <w:rFonts w:cs="Arial"/>
          <w:szCs w:val="20"/>
        </w:rPr>
        <w:t>’s Service Owner who is also a member of the Service Management Review Meeting and the Supplier’s Service Delivery Manager</w:t>
      </w:r>
      <w:r w:rsidR="004C127E" w:rsidRPr="000E5786">
        <w:rPr>
          <w:rStyle w:val="FootnoteReference"/>
          <w:rFonts w:cs="Arial"/>
          <w:szCs w:val="20"/>
        </w:rPr>
        <w:t xml:space="preserve">  </w:t>
      </w:r>
      <w:r w:rsidR="004C127E" w:rsidRPr="000E5786">
        <w:rPr>
          <w:rFonts w:cs="Arial"/>
          <w:szCs w:val="20"/>
        </w:rPr>
        <w:t>(together referred to here as the “</w:t>
      </w:r>
      <w:r w:rsidR="004C127E" w:rsidRPr="000E5786">
        <w:rPr>
          <w:rFonts w:cs="Arial"/>
          <w:b/>
          <w:bCs w:val="0"/>
          <w:szCs w:val="20"/>
        </w:rPr>
        <w:t>Key Representatives</w:t>
      </w:r>
      <w:r w:rsidR="004C127E" w:rsidRPr="000E5786">
        <w:rPr>
          <w:rFonts w:cs="Arial"/>
          <w:szCs w:val="20"/>
        </w:rPr>
        <w:t xml:space="preserve">”) shall be responsible for reviewing and agreeing Minor Changes.  If either Key Representative, acting reasonably, believes that a Change has been wrongly categorised as a Minor Change it shall notify the other in writing and the Minor Change shall, subject to </w:t>
      </w:r>
      <w:proofErr w:type="spellStart"/>
      <w:r>
        <w:rPr>
          <w:rFonts w:cs="Arial"/>
          <w:szCs w:val="20"/>
        </w:rPr>
        <w:t>Netlink</w:t>
      </w:r>
      <w:proofErr w:type="spellEnd"/>
      <w:r>
        <w:rPr>
          <w:rFonts w:cs="Arial"/>
          <w:szCs w:val="20"/>
        </w:rPr>
        <w:t xml:space="preserve"> Star</w:t>
      </w:r>
      <w:r w:rsidR="004C127E" w:rsidRPr="000E5786">
        <w:rPr>
          <w:rFonts w:cs="Arial"/>
          <w:szCs w:val="20"/>
        </w:rPr>
        <w:t xml:space="preserve">’s written approval, be re-classified as a Significant Change.  </w:t>
      </w:r>
      <w:r w:rsidR="004C127E" w:rsidRPr="000E5786">
        <w:rPr>
          <w:rFonts w:cs="Arial"/>
          <w:szCs w:val="20"/>
        </w:rPr>
        <w:lastRenderedPageBreak/>
        <w:t xml:space="preserve">Either Party may issue a Significant Change Control Notice in respect of a Change that has been reclassified as a Significant Change, following which the provisions of </w:t>
      </w:r>
      <w:r w:rsidR="00A80BE8" w:rsidRPr="000E5786">
        <w:rPr>
          <w:rStyle w:val="CrossReference"/>
          <w:rFonts w:cs="Arial"/>
          <w:b w:val="0"/>
          <w:bCs w:val="0"/>
          <w:szCs w:val="20"/>
        </w:rPr>
        <w:t xml:space="preserve">Paragraph </w:t>
      </w:r>
      <w:r w:rsidR="004C127E" w:rsidRPr="000E5786">
        <w:rPr>
          <w:rStyle w:val="CrossReference"/>
          <w:rFonts w:cs="Arial"/>
          <w:b w:val="0"/>
          <w:bCs w:val="0"/>
          <w:szCs w:val="20"/>
        </w:rPr>
        <w:fldChar w:fldCharType="begin"/>
      </w:r>
      <w:r w:rsidR="004C127E" w:rsidRPr="000E5786">
        <w:rPr>
          <w:rStyle w:val="CrossReference"/>
          <w:rFonts w:cs="Arial"/>
          <w:b w:val="0"/>
          <w:bCs w:val="0"/>
          <w:szCs w:val="20"/>
        </w:rPr>
        <w:instrText xml:space="preserve"> REF _Ref80104795 \r \h  \* MERGEFORMAT </w:instrText>
      </w:r>
      <w:r w:rsidR="004C127E" w:rsidRPr="000E5786">
        <w:rPr>
          <w:rStyle w:val="CrossReference"/>
          <w:rFonts w:cs="Arial"/>
          <w:b w:val="0"/>
          <w:bCs w:val="0"/>
          <w:szCs w:val="20"/>
        </w:rPr>
      </w:r>
      <w:r w:rsidR="004C127E" w:rsidRPr="000E5786">
        <w:rPr>
          <w:rStyle w:val="CrossReference"/>
          <w:rFonts w:cs="Arial"/>
          <w:b w:val="0"/>
          <w:bCs w:val="0"/>
          <w:szCs w:val="20"/>
        </w:rPr>
        <w:fldChar w:fldCharType="separate"/>
      </w:r>
      <w:r w:rsidR="004C127E" w:rsidRPr="000E5786">
        <w:rPr>
          <w:rStyle w:val="CrossReference"/>
          <w:rFonts w:cs="Arial"/>
          <w:b w:val="0"/>
          <w:bCs w:val="0"/>
          <w:szCs w:val="20"/>
        </w:rPr>
        <w:t>3</w:t>
      </w:r>
      <w:r w:rsidR="004C127E" w:rsidRPr="000E5786">
        <w:rPr>
          <w:rStyle w:val="CrossReference"/>
          <w:rFonts w:cs="Arial"/>
          <w:b w:val="0"/>
          <w:bCs w:val="0"/>
          <w:szCs w:val="20"/>
        </w:rPr>
        <w:fldChar w:fldCharType="end"/>
      </w:r>
      <w:r w:rsidR="004C127E" w:rsidRPr="000E5786">
        <w:rPr>
          <w:rFonts w:cs="Arial"/>
          <w:szCs w:val="20"/>
        </w:rPr>
        <w:t xml:space="preserve"> will apply.</w:t>
      </w:r>
      <w:bookmarkEnd w:id="2366"/>
    </w:p>
    <w:p w14:paraId="64830B13" w14:textId="77777777" w:rsidR="004C127E" w:rsidRPr="000E5786" w:rsidRDefault="004C127E" w:rsidP="009D675B">
      <w:pPr>
        <w:pStyle w:val="Heading2"/>
        <w:numPr>
          <w:ilvl w:val="1"/>
          <w:numId w:val="141"/>
        </w:numPr>
        <w:spacing w:after="120"/>
        <w:rPr>
          <w:rFonts w:cs="Arial"/>
          <w:szCs w:val="20"/>
        </w:rPr>
      </w:pPr>
      <w:r w:rsidRPr="000E5786">
        <w:rPr>
          <w:rFonts w:cs="Arial"/>
          <w:szCs w:val="20"/>
        </w:rPr>
        <w:t xml:space="preserve">A Minor Change will </w:t>
      </w:r>
      <w:proofErr w:type="gramStart"/>
      <w:r w:rsidRPr="000E5786">
        <w:rPr>
          <w:rFonts w:cs="Arial"/>
          <w:szCs w:val="20"/>
        </w:rPr>
        <w:t>be considered to be</w:t>
      </w:r>
      <w:proofErr w:type="gramEnd"/>
      <w:r w:rsidRPr="000E5786">
        <w:rPr>
          <w:rFonts w:cs="Arial"/>
          <w:szCs w:val="20"/>
        </w:rPr>
        <w:t xml:space="preserve"> agreed by both Parties once the Minor Change Control Notice requesting it has been signed by or on behalf of both Key Representatives.  </w:t>
      </w:r>
    </w:p>
    <w:p w14:paraId="124CCB85" w14:textId="486D9F6C" w:rsidR="004C127E" w:rsidRPr="000E5786" w:rsidRDefault="004C127E" w:rsidP="009D675B">
      <w:pPr>
        <w:pStyle w:val="Heading2"/>
        <w:numPr>
          <w:ilvl w:val="1"/>
          <w:numId w:val="141"/>
        </w:numPr>
        <w:spacing w:after="120"/>
        <w:rPr>
          <w:rFonts w:cs="Arial"/>
          <w:szCs w:val="20"/>
        </w:rPr>
      </w:pPr>
      <w:bookmarkStart w:id="2367" w:name="_Ref260248612"/>
      <w:r w:rsidRPr="000E5786">
        <w:rPr>
          <w:rFonts w:cs="Arial"/>
          <w:szCs w:val="20"/>
        </w:rPr>
        <w:t xml:space="preserve">Each Party shall procure that its Key Representative Supplier’s Service Delivery Manager and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Service Owner (or its delegate) expedites the review and agreement of Minor Changes.  The Supplier will not unreasonably withhold or delay its consent to a Minor Change requested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will not unreasonably withhold or delay its consent to a Minor Change requested by the Supplier.</w:t>
      </w:r>
      <w:bookmarkEnd w:id="2367"/>
    </w:p>
    <w:p w14:paraId="27286B36" w14:textId="77777777" w:rsidR="004C127E" w:rsidRPr="000E5786" w:rsidRDefault="004C127E" w:rsidP="009D675B">
      <w:pPr>
        <w:pStyle w:val="Heading2"/>
        <w:numPr>
          <w:ilvl w:val="1"/>
          <w:numId w:val="141"/>
        </w:numPr>
        <w:spacing w:after="120"/>
        <w:rPr>
          <w:rFonts w:cs="Arial"/>
          <w:szCs w:val="20"/>
        </w:rPr>
      </w:pPr>
      <w:r w:rsidRPr="000E5786">
        <w:rPr>
          <w:rFonts w:cs="Arial"/>
          <w:szCs w:val="20"/>
        </w:rPr>
        <w:t xml:space="preserve">If the Parties fail to agree a Minor Change this shall be escalated in accordance with Schedule 8.3 (Governance). If following such </w:t>
      </w:r>
      <w:proofErr w:type="gramStart"/>
      <w:r w:rsidRPr="000E5786">
        <w:rPr>
          <w:rFonts w:cs="Arial"/>
          <w:szCs w:val="20"/>
        </w:rPr>
        <w:t>escalation</w:t>
      </w:r>
      <w:proofErr w:type="gramEnd"/>
      <w:r w:rsidRPr="000E5786">
        <w:rPr>
          <w:rFonts w:cs="Arial"/>
          <w:szCs w:val="20"/>
        </w:rPr>
        <w:t xml:space="preserve"> the Parties agree that the Change should be a Significant Change, either Party may serve a Significant Change Control Notice in respect of that Minor Change and the relevant Minor Change shall be re</w:t>
      </w:r>
      <w:r w:rsidRPr="000E5786">
        <w:rPr>
          <w:rFonts w:cs="Arial"/>
          <w:szCs w:val="20"/>
        </w:rPr>
        <w:noBreakHyphen/>
        <w:t>classified as a Significant Change for that purpose.</w:t>
      </w:r>
    </w:p>
    <w:p w14:paraId="54A5AB71" w14:textId="7E9AC48D" w:rsidR="004C127E" w:rsidRPr="000E5786" w:rsidRDefault="004C127E" w:rsidP="009D675B">
      <w:pPr>
        <w:pStyle w:val="Heading2"/>
        <w:numPr>
          <w:ilvl w:val="1"/>
          <w:numId w:val="141"/>
        </w:numPr>
        <w:spacing w:after="120"/>
        <w:rPr>
          <w:rFonts w:cs="Arial"/>
          <w:szCs w:val="20"/>
        </w:rPr>
      </w:pPr>
      <w:bookmarkStart w:id="2368" w:name="_Ref260173431"/>
      <w:bookmarkStart w:id="2369" w:name="_Ref80104795"/>
      <w:r w:rsidRPr="000E5786">
        <w:rPr>
          <w:rFonts w:cs="Arial"/>
          <w:szCs w:val="20"/>
        </w:rPr>
        <w:t xml:space="preserve">The Supplier shall complete Minor Changes (anything other than a Significant Change) with notification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of the change. </w:t>
      </w:r>
    </w:p>
    <w:p w14:paraId="68492F16" w14:textId="77777777" w:rsidR="00321E69" w:rsidRPr="000E5786" w:rsidRDefault="00321E69" w:rsidP="00321E69">
      <w:pPr>
        <w:pStyle w:val="Heading2"/>
        <w:numPr>
          <w:ilvl w:val="0"/>
          <w:numId w:val="0"/>
        </w:numPr>
        <w:spacing w:after="120"/>
        <w:ind w:left="709"/>
        <w:rPr>
          <w:rFonts w:cs="Arial"/>
          <w:szCs w:val="20"/>
        </w:rPr>
      </w:pPr>
    </w:p>
    <w:p w14:paraId="72AEEA0F" w14:textId="4F5FC505" w:rsidR="004C127E" w:rsidRPr="006031F8" w:rsidRDefault="004C127E" w:rsidP="009D675B">
      <w:pPr>
        <w:pStyle w:val="Heading1"/>
        <w:numPr>
          <w:ilvl w:val="0"/>
          <w:numId w:val="141"/>
        </w:numPr>
        <w:spacing w:after="120"/>
        <w:rPr>
          <w:rFonts w:cs="Arial"/>
          <w:szCs w:val="20"/>
        </w:rPr>
      </w:pPr>
      <w:r w:rsidRPr="006031F8">
        <w:rPr>
          <w:rFonts w:cs="Arial"/>
          <w:szCs w:val="20"/>
        </w:rPr>
        <w:t>Technical Significant Changes</w:t>
      </w:r>
      <w:bookmarkEnd w:id="2368"/>
      <w:bookmarkEnd w:id="2369"/>
    </w:p>
    <w:p w14:paraId="3B5643C0" w14:textId="529D9767" w:rsidR="004C127E" w:rsidRPr="000E5786" w:rsidRDefault="004C127E" w:rsidP="009D675B">
      <w:pPr>
        <w:pStyle w:val="Heading2"/>
        <w:numPr>
          <w:ilvl w:val="1"/>
          <w:numId w:val="141"/>
        </w:numPr>
        <w:spacing w:after="120"/>
        <w:rPr>
          <w:rFonts w:cs="Arial"/>
          <w:szCs w:val="20"/>
        </w:rPr>
      </w:pPr>
      <w:r w:rsidRPr="000E5786">
        <w:rPr>
          <w:rFonts w:cs="Arial"/>
          <w:szCs w:val="20"/>
        </w:rPr>
        <w:t xml:space="preserve">Either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or the Supplier may propose a Significant Change by serving a Significant Change Control Notice on the other. </w:t>
      </w:r>
    </w:p>
    <w:p w14:paraId="7771F1CA" w14:textId="02C61A5F" w:rsidR="004C127E" w:rsidRPr="000E5786" w:rsidRDefault="004C127E" w:rsidP="009D675B">
      <w:pPr>
        <w:pStyle w:val="Heading2"/>
        <w:numPr>
          <w:ilvl w:val="1"/>
          <w:numId w:val="141"/>
        </w:numPr>
        <w:spacing w:after="120"/>
        <w:rPr>
          <w:rFonts w:cs="Arial"/>
          <w:szCs w:val="20"/>
        </w:rPr>
      </w:pPr>
      <w:r w:rsidRPr="000E5786">
        <w:rPr>
          <w:rFonts w:cs="Arial"/>
          <w:szCs w:val="20"/>
        </w:rPr>
        <w:t xml:space="preserve">Where the Supplier serves a Significant Change Control Notice it shall be accompanied by a Change Control Analysis and an Estimate in respect of the proposed Significant Change. If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acting reasonably, requests that the Change be reclassified to a Minor Change, the Parties shall meet to discuss the request in good faith and use all reasonable endeavours to agree such reclassification. </w:t>
      </w:r>
    </w:p>
    <w:p w14:paraId="6955D8CD" w14:textId="0E718629" w:rsidR="004C127E" w:rsidRPr="000E5786" w:rsidRDefault="004C127E" w:rsidP="009D675B">
      <w:pPr>
        <w:pStyle w:val="Heading2"/>
        <w:numPr>
          <w:ilvl w:val="1"/>
          <w:numId w:val="141"/>
        </w:numPr>
        <w:spacing w:after="120"/>
        <w:rPr>
          <w:rFonts w:cs="Arial"/>
          <w:szCs w:val="20"/>
        </w:rPr>
      </w:pPr>
      <w:r w:rsidRPr="000E5786">
        <w:rPr>
          <w:rFonts w:cs="Arial"/>
          <w:szCs w:val="20"/>
        </w:rPr>
        <w:t xml:space="preserve">If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serves a Significant Change Control Notice the Supplier shall produce a Change Control Analysis and an Estimate in respect of the relevant Significant Change and serve both on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within ten (10) </w:t>
      </w:r>
      <w:r w:rsidR="00536324">
        <w:rPr>
          <w:rFonts w:cs="Arial"/>
          <w:szCs w:val="20"/>
        </w:rPr>
        <w:t>Working</w:t>
      </w:r>
      <w:r w:rsidR="00536324" w:rsidRPr="000E5786">
        <w:rPr>
          <w:rFonts w:cs="Arial"/>
          <w:szCs w:val="20"/>
        </w:rPr>
        <w:t xml:space="preserve"> </w:t>
      </w:r>
      <w:r w:rsidRPr="000E5786">
        <w:rPr>
          <w:rFonts w:cs="Arial"/>
          <w:szCs w:val="20"/>
        </w:rPr>
        <w:t xml:space="preserve">Days of service of the relevant Significant Change Control Notice (unless the Parties agree a different period in writing).  The Supplier shall provide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with any information reasonably requested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relation to any Change Control Analysis or Estimate. </w:t>
      </w:r>
    </w:p>
    <w:p w14:paraId="1D6B2B95" w14:textId="60FF1A8F" w:rsidR="004C127E" w:rsidRPr="000E5786" w:rsidRDefault="001F1C19" w:rsidP="009D675B">
      <w:pPr>
        <w:pStyle w:val="Heading2"/>
        <w:numPr>
          <w:ilvl w:val="1"/>
          <w:numId w:val="141"/>
        </w:numPr>
        <w:spacing w:after="120"/>
        <w:rPr>
          <w:rFonts w:cs="Arial"/>
          <w:szCs w:val="20"/>
        </w:rPr>
      </w:pPr>
      <w:bookmarkStart w:id="2370" w:name="_Ref260248931"/>
      <w:proofErr w:type="spellStart"/>
      <w:r>
        <w:rPr>
          <w:rFonts w:cs="Arial"/>
          <w:szCs w:val="20"/>
        </w:rPr>
        <w:t>Netlink</w:t>
      </w:r>
      <w:proofErr w:type="spellEnd"/>
      <w:r>
        <w:rPr>
          <w:rFonts w:cs="Arial"/>
          <w:szCs w:val="20"/>
        </w:rPr>
        <w:t xml:space="preserve"> Star</w:t>
      </w:r>
      <w:r w:rsidR="004C127E" w:rsidRPr="000E5786">
        <w:rPr>
          <w:rFonts w:cs="Arial"/>
          <w:szCs w:val="20"/>
        </w:rPr>
        <w:t xml:space="preserve"> may notify the Supplier in writing that it agrees with a Change Control Analysis and Estimate in which case the relevant Significant Change shall be documented and implemented in accordance with the provisions of </w:t>
      </w:r>
      <w:r w:rsidR="00A80BE8" w:rsidRPr="000E5786">
        <w:rPr>
          <w:rStyle w:val="CrossReference"/>
          <w:rFonts w:cs="Arial"/>
          <w:b w:val="0"/>
          <w:bCs w:val="0"/>
          <w:szCs w:val="20"/>
        </w:rPr>
        <w:t xml:space="preserve">Paragraph </w:t>
      </w:r>
      <w:r w:rsidR="004C127E" w:rsidRPr="000E5786">
        <w:rPr>
          <w:rStyle w:val="CrossReference"/>
          <w:rFonts w:cs="Arial"/>
          <w:b w:val="0"/>
          <w:bCs w:val="0"/>
          <w:szCs w:val="20"/>
        </w:rPr>
        <w:t>4.5</w:t>
      </w:r>
      <w:r w:rsidR="004C127E" w:rsidRPr="000E5786">
        <w:rPr>
          <w:rFonts w:cs="Arial"/>
          <w:szCs w:val="20"/>
        </w:rPr>
        <w:t xml:space="preserve">.  If </w:t>
      </w:r>
      <w:proofErr w:type="spellStart"/>
      <w:r>
        <w:rPr>
          <w:rFonts w:cs="Arial"/>
          <w:szCs w:val="20"/>
        </w:rPr>
        <w:t>Netlink</w:t>
      </w:r>
      <w:proofErr w:type="spellEnd"/>
      <w:r>
        <w:rPr>
          <w:rFonts w:cs="Arial"/>
          <w:szCs w:val="20"/>
        </w:rPr>
        <w:t xml:space="preserve"> Star</w:t>
      </w:r>
      <w:r w:rsidR="004C127E" w:rsidRPr="000E5786">
        <w:rPr>
          <w:rFonts w:cs="Arial"/>
          <w:szCs w:val="20"/>
        </w:rPr>
        <w:t xml:space="preserve"> does not notify the Supplier that it agrees with the Change Control Analysis and Estimate within five (5) </w:t>
      </w:r>
      <w:r w:rsidR="00536324">
        <w:rPr>
          <w:rFonts w:cs="Arial"/>
          <w:szCs w:val="20"/>
        </w:rPr>
        <w:t>Working</w:t>
      </w:r>
      <w:r w:rsidR="00536324" w:rsidRPr="000E5786">
        <w:rPr>
          <w:rFonts w:cs="Arial"/>
          <w:szCs w:val="20"/>
        </w:rPr>
        <w:t xml:space="preserve"> </w:t>
      </w:r>
      <w:r w:rsidR="004C127E" w:rsidRPr="000E5786">
        <w:rPr>
          <w:rFonts w:cs="Arial"/>
          <w:szCs w:val="20"/>
        </w:rPr>
        <w:t xml:space="preserve">Days of receipt of them the Parties shall meet as soon as reasonably practical after expiry of such period and at that meeting shall seek to agree the contents of both.  </w:t>
      </w:r>
    </w:p>
    <w:p w14:paraId="3373B751" w14:textId="401812B4" w:rsidR="004C127E" w:rsidRPr="000E5786" w:rsidRDefault="004C127E" w:rsidP="009D675B">
      <w:pPr>
        <w:pStyle w:val="Heading2"/>
        <w:numPr>
          <w:ilvl w:val="1"/>
          <w:numId w:val="141"/>
        </w:numPr>
        <w:spacing w:after="120"/>
        <w:rPr>
          <w:rFonts w:cs="Arial"/>
          <w:szCs w:val="20"/>
        </w:rPr>
      </w:pPr>
      <w:r w:rsidRPr="000E5786">
        <w:rPr>
          <w:rFonts w:cs="Arial"/>
          <w:szCs w:val="20"/>
        </w:rPr>
        <w:t xml:space="preserve">If the Parties have not agreed the contents of the relevant Change Control Analysis and Estimate within ten (10) </w:t>
      </w:r>
      <w:r w:rsidR="00536324">
        <w:rPr>
          <w:rFonts w:cs="Arial"/>
          <w:szCs w:val="20"/>
        </w:rPr>
        <w:t>Working</w:t>
      </w:r>
      <w:r w:rsidR="00536324" w:rsidRPr="000E5786">
        <w:rPr>
          <w:rFonts w:cs="Arial"/>
          <w:szCs w:val="20"/>
        </w:rPr>
        <w:t xml:space="preserve"> </w:t>
      </w:r>
      <w:r w:rsidRPr="000E5786">
        <w:rPr>
          <w:rFonts w:cs="Arial"/>
          <w:szCs w:val="20"/>
        </w:rPr>
        <w:t xml:space="preserve">Days of service of them on </w:t>
      </w:r>
      <w:proofErr w:type="spellStart"/>
      <w:r w:rsidR="001F1C19">
        <w:rPr>
          <w:rFonts w:cs="Arial"/>
          <w:szCs w:val="20"/>
        </w:rPr>
        <w:t>Netlink</w:t>
      </w:r>
      <w:proofErr w:type="spellEnd"/>
      <w:r w:rsidR="001F1C19">
        <w:rPr>
          <w:rFonts w:cs="Arial"/>
          <w:szCs w:val="20"/>
        </w:rPr>
        <w:t xml:space="preserve"> </w:t>
      </w:r>
      <w:proofErr w:type="gramStart"/>
      <w:r w:rsidR="001F1C19">
        <w:rPr>
          <w:rFonts w:cs="Arial"/>
          <w:szCs w:val="20"/>
        </w:rPr>
        <w:t>Star</w:t>
      </w:r>
      <w:proofErr w:type="gramEnd"/>
      <w:r w:rsidRPr="000E5786">
        <w:rPr>
          <w:rFonts w:cs="Arial"/>
          <w:szCs w:val="20"/>
        </w:rPr>
        <w:t xml:space="preserve"> then</w:t>
      </w:r>
      <w:bookmarkStart w:id="2371" w:name="_Ref260169800"/>
      <w:bookmarkEnd w:id="2370"/>
      <w:r w:rsidRPr="000E5786">
        <w:rPr>
          <w:rFonts w:cs="Arial"/>
          <w:szCs w:val="20"/>
        </w:rPr>
        <w:t xml:space="preserve"> the Change Control Analysis and Estimate shall be amended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so as to incorporate all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requirements and comments and a copy of the revised Change Control Analysis and Estimate will be delivered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to the Supplier.  The Parties will meet within ten (10) </w:t>
      </w:r>
      <w:r w:rsidR="00536324">
        <w:rPr>
          <w:rFonts w:cs="Arial"/>
          <w:szCs w:val="20"/>
        </w:rPr>
        <w:t>Working</w:t>
      </w:r>
      <w:r w:rsidR="00536324" w:rsidRPr="000E5786">
        <w:rPr>
          <w:rFonts w:cs="Arial"/>
          <w:szCs w:val="20"/>
        </w:rPr>
        <w:t xml:space="preserve"> </w:t>
      </w:r>
      <w:r w:rsidRPr="000E5786">
        <w:rPr>
          <w:rFonts w:cs="Arial"/>
          <w:szCs w:val="20"/>
        </w:rPr>
        <w:t xml:space="preserve">Days of service of the revised Change Control Analysis and Estimate on the Supplier and at that meeting shall seek to agree the revised Change Control Analysis and Estimate in relation to the relevant Significant Change.  If, following that further meeting, the Parties agree the contents of the Change Control Analysis and Estimate the relevant Significant Change shall be documented and implemented in accordance with the provisions of </w:t>
      </w:r>
      <w:r w:rsidR="00A80BE8" w:rsidRPr="000E5786">
        <w:rPr>
          <w:rStyle w:val="CrossReference"/>
          <w:rFonts w:cs="Arial"/>
          <w:b w:val="0"/>
          <w:bCs w:val="0"/>
          <w:szCs w:val="20"/>
        </w:rPr>
        <w:t xml:space="preserve">Paragraph </w:t>
      </w:r>
      <w:r w:rsidRPr="000E5786">
        <w:rPr>
          <w:rStyle w:val="CrossReference"/>
          <w:rFonts w:cs="Arial"/>
          <w:b w:val="0"/>
          <w:bCs w:val="0"/>
          <w:szCs w:val="20"/>
        </w:rPr>
        <w:fldChar w:fldCharType="begin"/>
      </w:r>
      <w:r w:rsidRPr="000E5786">
        <w:rPr>
          <w:rStyle w:val="CrossReference"/>
          <w:rFonts w:cs="Arial"/>
          <w:b w:val="0"/>
          <w:bCs w:val="0"/>
          <w:szCs w:val="20"/>
        </w:rPr>
        <w:instrText xml:space="preserve"> REF _Ref80117808 \r \h  \* MERGEFORMAT </w:instrText>
      </w:r>
      <w:r w:rsidRPr="000E5786">
        <w:rPr>
          <w:rStyle w:val="CrossReference"/>
          <w:rFonts w:cs="Arial"/>
          <w:b w:val="0"/>
          <w:bCs w:val="0"/>
          <w:szCs w:val="20"/>
        </w:rPr>
      </w:r>
      <w:r w:rsidRPr="000E5786">
        <w:rPr>
          <w:rStyle w:val="CrossReference"/>
          <w:rFonts w:cs="Arial"/>
          <w:b w:val="0"/>
          <w:bCs w:val="0"/>
          <w:szCs w:val="20"/>
        </w:rPr>
        <w:fldChar w:fldCharType="separate"/>
      </w:r>
      <w:r w:rsidRPr="000E5786">
        <w:rPr>
          <w:rStyle w:val="CrossReference"/>
          <w:rFonts w:cs="Arial"/>
          <w:b w:val="0"/>
          <w:bCs w:val="0"/>
          <w:szCs w:val="20"/>
        </w:rPr>
        <w:t>6.6</w:t>
      </w:r>
      <w:r w:rsidRPr="000E5786">
        <w:rPr>
          <w:rStyle w:val="CrossReference"/>
          <w:rFonts w:cs="Arial"/>
          <w:b w:val="0"/>
          <w:bCs w:val="0"/>
          <w:szCs w:val="20"/>
        </w:rPr>
        <w:fldChar w:fldCharType="end"/>
      </w:r>
      <w:r w:rsidRPr="000E5786">
        <w:rPr>
          <w:rFonts w:cs="Arial"/>
          <w:szCs w:val="20"/>
        </w:rPr>
        <w:t xml:space="preserve">.  </w:t>
      </w:r>
    </w:p>
    <w:p w14:paraId="794C5D23" w14:textId="34CAEFFE" w:rsidR="004C127E" w:rsidRPr="000E5786" w:rsidRDefault="004C127E" w:rsidP="009D675B">
      <w:pPr>
        <w:pStyle w:val="Heading2"/>
        <w:numPr>
          <w:ilvl w:val="1"/>
          <w:numId w:val="141"/>
        </w:numPr>
        <w:spacing w:after="120"/>
        <w:rPr>
          <w:rFonts w:cs="Arial"/>
          <w:szCs w:val="20"/>
        </w:rPr>
      </w:pPr>
      <w:r w:rsidRPr="000E5786">
        <w:rPr>
          <w:rFonts w:cs="Arial"/>
          <w:szCs w:val="20"/>
        </w:rPr>
        <w:t xml:space="preserve">If the Parties have not agreed the contents of the relevant Change Control Analysis and Estimate within twenty (20) </w:t>
      </w:r>
      <w:r w:rsidR="00536324">
        <w:rPr>
          <w:rFonts w:cs="Arial"/>
          <w:szCs w:val="20"/>
        </w:rPr>
        <w:t>Working</w:t>
      </w:r>
      <w:r w:rsidR="00536324" w:rsidRPr="000E5786">
        <w:rPr>
          <w:rFonts w:cs="Arial"/>
          <w:szCs w:val="20"/>
        </w:rPr>
        <w:t xml:space="preserve"> </w:t>
      </w:r>
      <w:r w:rsidRPr="000E5786">
        <w:rPr>
          <w:rFonts w:cs="Arial"/>
          <w:szCs w:val="20"/>
        </w:rPr>
        <w:t xml:space="preserve">Days of service of the revised Change Control Analysis and Estimate on the Supplier or such other timeframe agreed by the </w:t>
      </w:r>
      <w:proofErr w:type="gramStart"/>
      <w:r w:rsidRPr="000E5786">
        <w:rPr>
          <w:rFonts w:cs="Arial"/>
          <w:szCs w:val="20"/>
        </w:rPr>
        <w:t>Parties</w:t>
      </w:r>
      <w:proofErr w:type="gramEnd"/>
      <w:r w:rsidRPr="000E5786">
        <w:rPr>
          <w:rFonts w:cs="Arial"/>
          <w:szCs w:val="20"/>
        </w:rPr>
        <w:t xml:space="preserve"> then (unless otherwise agreed in writing)</w:t>
      </w:r>
      <w:bookmarkEnd w:id="2371"/>
      <w:r w:rsidRPr="000E5786">
        <w:rPr>
          <w:rFonts w:cs="Arial"/>
          <w:szCs w:val="20"/>
        </w:rPr>
        <w:t>:</w:t>
      </w:r>
    </w:p>
    <w:p w14:paraId="019E0932" w14:textId="2ACAB247" w:rsidR="004C127E" w:rsidRPr="000E5786" w:rsidRDefault="004C127E" w:rsidP="009D675B">
      <w:pPr>
        <w:pStyle w:val="Heading3"/>
        <w:numPr>
          <w:ilvl w:val="2"/>
          <w:numId w:val="141"/>
        </w:numPr>
      </w:pPr>
      <w:bookmarkStart w:id="2372" w:name="_Ref80118397"/>
      <w:r w:rsidRPr="000E5786">
        <w:t xml:space="preserve">either Party may refer the Change Control Analysis (as amended by </w:t>
      </w:r>
      <w:proofErr w:type="spellStart"/>
      <w:r w:rsidR="001F1C19">
        <w:t>Netlink</w:t>
      </w:r>
      <w:proofErr w:type="spellEnd"/>
      <w:r w:rsidR="001F1C19">
        <w:t xml:space="preserve"> Star</w:t>
      </w:r>
      <w:r w:rsidRPr="000E5786">
        <w:t xml:space="preserve"> pursuant to </w:t>
      </w:r>
      <w:r w:rsidR="00A80BE8" w:rsidRPr="000E5786">
        <w:rPr>
          <w:rStyle w:val="CrossReference"/>
          <w:b w:val="0"/>
          <w:bCs w:val="0"/>
        </w:rPr>
        <w:t>Paragraph </w:t>
      </w:r>
      <w:r w:rsidRPr="000E5786">
        <w:rPr>
          <w:rStyle w:val="CrossReference"/>
          <w:b w:val="0"/>
          <w:bCs w:val="0"/>
        </w:rPr>
        <w:t>2.5)</w:t>
      </w:r>
      <w:r w:rsidRPr="000E5786">
        <w:t xml:space="preserve"> (unless otherwise agreed in writing) to the Dispute Resolution Procedure in Schedule 8.3; and</w:t>
      </w:r>
      <w:bookmarkEnd w:id="2372"/>
    </w:p>
    <w:p w14:paraId="26D371D9" w14:textId="77777777" w:rsidR="004C127E" w:rsidRPr="000E5786" w:rsidRDefault="004C127E" w:rsidP="009D675B">
      <w:pPr>
        <w:pStyle w:val="Heading3"/>
        <w:numPr>
          <w:ilvl w:val="2"/>
          <w:numId w:val="141"/>
        </w:numPr>
      </w:pPr>
      <w:r w:rsidRPr="000E5786">
        <w:lastRenderedPageBreak/>
        <w:t>either Party may refer the Estimate to the Dispute Resolution Procedure in Schedule 8.3.</w:t>
      </w:r>
    </w:p>
    <w:p w14:paraId="18C34B88" w14:textId="51438CF2" w:rsidR="004C127E" w:rsidRPr="000E5786" w:rsidRDefault="004C127E" w:rsidP="009D675B">
      <w:pPr>
        <w:pStyle w:val="Heading2"/>
        <w:numPr>
          <w:ilvl w:val="1"/>
          <w:numId w:val="141"/>
        </w:numPr>
        <w:spacing w:after="120"/>
        <w:rPr>
          <w:rFonts w:cs="Arial"/>
          <w:szCs w:val="20"/>
        </w:rPr>
      </w:pPr>
      <w:r w:rsidRPr="000E5786">
        <w:rPr>
          <w:rFonts w:cs="Arial"/>
          <w:szCs w:val="20"/>
        </w:rPr>
        <w:t xml:space="preserve">Notwithstanding </w:t>
      </w:r>
      <w:r w:rsidR="00A80BE8" w:rsidRPr="000E5786">
        <w:rPr>
          <w:rFonts w:cs="Arial"/>
          <w:szCs w:val="20"/>
        </w:rPr>
        <w:t xml:space="preserve">Paragraph </w:t>
      </w:r>
      <w:r w:rsidRPr="000E5786">
        <w:rPr>
          <w:rFonts w:cs="Arial"/>
          <w:szCs w:val="20"/>
        </w:rPr>
        <w:fldChar w:fldCharType="begin"/>
      </w:r>
      <w:r w:rsidRPr="000E5786">
        <w:rPr>
          <w:rFonts w:cs="Arial"/>
          <w:szCs w:val="20"/>
        </w:rPr>
        <w:instrText xml:space="preserve"> REF _Ref80118397 \r \h  \* MERGEFORMAT </w:instrText>
      </w:r>
      <w:r w:rsidRPr="000E5786">
        <w:rPr>
          <w:rFonts w:cs="Arial"/>
          <w:szCs w:val="20"/>
        </w:rPr>
      </w:r>
      <w:r w:rsidRPr="000E5786">
        <w:rPr>
          <w:rFonts w:cs="Arial"/>
          <w:szCs w:val="20"/>
        </w:rPr>
        <w:fldChar w:fldCharType="separate"/>
      </w:r>
      <w:r w:rsidRPr="000E5786">
        <w:rPr>
          <w:rFonts w:cs="Arial"/>
          <w:szCs w:val="20"/>
        </w:rPr>
        <w:t>3.6.1</w:t>
      </w:r>
      <w:r w:rsidRPr="000E5786">
        <w:rPr>
          <w:rFonts w:cs="Arial"/>
          <w:szCs w:val="20"/>
        </w:rPr>
        <w:fldChar w:fldCharType="end"/>
      </w:r>
      <w:r w:rsidRPr="000E5786">
        <w:rPr>
          <w:rFonts w:cs="Arial"/>
          <w:szCs w:val="20"/>
        </w:rPr>
        <w:t xml:space="preserv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at its discretion and at any time escalate any Significant Change to the relevant governance boards in accordance with Schedule 8.3 (Governance).</w:t>
      </w:r>
    </w:p>
    <w:p w14:paraId="17355A24" w14:textId="2C5E3D7B" w:rsidR="004C127E" w:rsidRPr="000E5786" w:rsidRDefault="004C127E" w:rsidP="009D675B">
      <w:pPr>
        <w:pStyle w:val="Heading2"/>
        <w:numPr>
          <w:ilvl w:val="1"/>
          <w:numId w:val="141"/>
        </w:numPr>
        <w:spacing w:after="120"/>
        <w:rPr>
          <w:rFonts w:cs="Arial"/>
          <w:szCs w:val="20"/>
        </w:rPr>
      </w:pPr>
      <w:r w:rsidRPr="000E5786">
        <w:rPr>
          <w:rFonts w:cs="Arial"/>
          <w:szCs w:val="20"/>
        </w:rPr>
        <w:t xml:space="preserve">Either Party may request at any time that a Significant Change be downgraded to a Minor Change. The Parties shall meet in good faith to discuss such request and shall, if appropriate, use all reasonable endeavours to agree to the reclassification. </w:t>
      </w:r>
    </w:p>
    <w:p w14:paraId="74CFDBF9" w14:textId="1E717D1C" w:rsidR="004C127E" w:rsidRPr="000E5786" w:rsidRDefault="004C127E" w:rsidP="009D675B">
      <w:pPr>
        <w:pStyle w:val="Heading2"/>
        <w:numPr>
          <w:ilvl w:val="1"/>
          <w:numId w:val="141"/>
        </w:numPr>
        <w:spacing w:after="120"/>
        <w:rPr>
          <w:rFonts w:cs="Arial"/>
          <w:szCs w:val="20"/>
        </w:rPr>
      </w:pPr>
      <w:r w:rsidRPr="000E5786">
        <w:rPr>
          <w:rFonts w:cs="Arial"/>
          <w:szCs w:val="20"/>
        </w:rPr>
        <w:t xml:space="preserve">Once a Significant Change has been approved, the target for implementation of that Significant Change shall be 15 </w:t>
      </w:r>
      <w:r w:rsidR="00536324">
        <w:rPr>
          <w:rFonts w:cs="Arial"/>
          <w:szCs w:val="20"/>
        </w:rPr>
        <w:t>Working</w:t>
      </w:r>
      <w:r w:rsidR="00536324" w:rsidRPr="000E5786">
        <w:rPr>
          <w:rFonts w:cs="Arial"/>
          <w:szCs w:val="20"/>
        </w:rPr>
        <w:t xml:space="preserve"> </w:t>
      </w:r>
      <w:r w:rsidRPr="000E5786">
        <w:rPr>
          <w:rFonts w:cs="Arial"/>
          <w:szCs w:val="20"/>
        </w:rPr>
        <w:t xml:space="preserve">Days from the date of approval unless otherwise agreed by the Parties. </w:t>
      </w:r>
    </w:p>
    <w:p w14:paraId="527CD4D9" w14:textId="77777777" w:rsidR="00321E69" w:rsidRPr="000E5786" w:rsidRDefault="00321E69" w:rsidP="00321E69">
      <w:pPr>
        <w:pStyle w:val="Heading2"/>
        <w:numPr>
          <w:ilvl w:val="0"/>
          <w:numId w:val="0"/>
        </w:numPr>
        <w:spacing w:after="120"/>
        <w:ind w:left="709"/>
        <w:rPr>
          <w:rFonts w:cs="Arial"/>
          <w:szCs w:val="20"/>
        </w:rPr>
      </w:pPr>
    </w:p>
    <w:p w14:paraId="6536CD30" w14:textId="77777777" w:rsidR="004C127E" w:rsidRPr="000E5786" w:rsidRDefault="004C127E" w:rsidP="009D675B">
      <w:pPr>
        <w:pStyle w:val="Heading1"/>
        <w:numPr>
          <w:ilvl w:val="0"/>
          <w:numId w:val="141"/>
        </w:numPr>
        <w:spacing w:after="120"/>
        <w:rPr>
          <w:rFonts w:cs="Arial"/>
          <w:szCs w:val="20"/>
        </w:rPr>
      </w:pPr>
      <w:bookmarkStart w:id="2373" w:name="_Ref260248986"/>
      <w:r w:rsidRPr="000E5786">
        <w:rPr>
          <w:rFonts w:cs="Arial"/>
          <w:szCs w:val="20"/>
        </w:rPr>
        <w:t>Non-Technical Changes</w:t>
      </w:r>
    </w:p>
    <w:p w14:paraId="026A9810" w14:textId="77777777" w:rsidR="004C127E" w:rsidRPr="000E5786" w:rsidRDefault="004C127E" w:rsidP="009D675B">
      <w:pPr>
        <w:pStyle w:val="Heading2"/>
        <w:numPr>
          <w:ilvl w:val="1"/>
          <w:numId w:val="141"/>
        </w:numPr>
        <w:spacing w:after="120"/>
        <w:rPr>
          <w:rFonts w:cs="Arial"/>
          <w:szCs w:val="20"/>
        </w:rPr>
      </w:pPr>
      <w:r w:rsidRPr="000E5786">
        <w:rPr>
          <w:rFonts w:cs="Arial"/>
          <w:szCs w:val="20"/>
        </w:rPr>
        <w:t>Non-Technical Changes shall be any Change not classified as a Technical Change.</w:t>
      </w:r>
    </w:p>
    <w:p w14:paraId="7CB598DD" w14:textId="6A3A1378" w:rsidR="00EB717E" w:rsidRDefault="004C127E" w:rsidP="009D675B">
      <w:pPr>
        <w:pStyle w:val="Heading2"/>
        <w:numPr>
          <w:ilvl w:val="1"/>
          <w:numId w:val="141"/>
        </w:numPr>
        <w:spacing w:after="120"/>
        <w:rPr>
          <w:rFonts w:cs="Arial"/>
          <w:szCs w:val="20"/>
        </w:rPr>
      </w:pPr>
      <w:r w:rsidRPr="000E5786">
        <w:rPr>
          <w:rFonts w:cs="Arial"/>
          <w:szCs w:val="20"/>
        </w:rPr>
        <w:t>These Changes use either the Significant Change Control Notice or Minor Change Notice served by either Party and follow paras 2 and 3 respectively. The differences being</w:t>
      </w:r>
      <w:r w:rsidR="00EB717E">
        <w:rPr>
          <w:rFonts w:cs="Arial"/>
          <w:szCs w:val="20"/>
        </w:rPr>
        <w:t xml:space="preserve"> </w:t>
      </w:r>
      <w:r w:rsidRPr="00EB717E">
        <w:rPr>
          <w:rFonts w:cs="Arial"/>
          <w:szCs w:val="20"/>
        </w:rPr>
        <w:t>Non-Technical Changes</w:t>
      </w:r>
      <w:r w:rsidR="00EB717E">
        <w:rPr>
          <w:rFonts w:cs="Arial"/>
          <w:szCs w:val="20"/>
        </w:rPr>
        <w:t>:</w:t>
      </w:r>
    </w:p>
    <w:p w14:paraId="2BB506C2" w14:textId="5109CAD2" w:rsidR="004C127E" w:rsidRPr="00EB717E" w:rsidRDefault="004C127E" w:rsidP="009D675B">
      <w:pPr>
        <w:pStyle w:val="Heading3"/>
        <w:numPr>
          <w:ilvl w:val="2"/>
          <w:numId w:val="141"/>
        </w:numPr>
      </w:pPr>
      <w:r w:rsidRPr="00EB717E">
        <w:t xml:space="preserve">do not go through the Technical Design Authority; and </w:t>
      </w:r>
    </w:p>
    <w:p w14:paraId="507DC240" w14:textId="41BEC522" w:rsidR="00321E69" w:rsidRPr="000E5786" w:rsidRDefault="004C127E" w:rsidP="009D675B">
      <w:pPr>
        <w:pStyle w:val="Heading3"/>
        <w:numPr>
          <w:ilvl w:val="2"/>
          <w:numId w:val="141"/>
        </w:numPr>
      </w:pPr>
      <w:r w:rsidRPr="000E5786">
        <w:t xml:space="preserve">shall be approved at either the Service Management Review Meeting if related to Services in </w:t>
      </w:r>
      <w:proofErr w:type="gramStart"/>
      <w:r w:rsidRPr="000E5786">
        <w:t>operation,</w:t>
      </w:r>
      <w:r w:rsidR="006B1280">
        <w:t xml:space="preserve"> </w:t>
      </w:r>
      <w:r w:rsidRPr="000E5786">
        <w:t>or</w:t>
      </w:r>
      <w:proofErr w:type="gramEnd"/>
      <w:r w:rsidRPr="000E5786">
        <w:t xml:space="preserve"> approved at the </w:t>
      </w:r>
      <w:r w:rsidR="00DF4908">
        <w:t>Data Centre Portfolio</w:t>
      </w:r>
      <w:r w:rsidR="00DF4908" w:rsidRPr="000E5786">
        <w:t xml:space="preserve"> </w:t>
      </w:r>
      <w:r w:rsidRPr="000E5786">
        <w:t xml:space="preserve">Board for in-flight Projects. </w:t>
      </w:r>
    </w:p>
    <w:p w14:paraId="22336F60" w14:textId="789C1533" w:rsidR="004C127E" w:rsidRPr="000E5786" w:rsidRDefault="004C127E" w:rsidP="009D675B">
      <w:pPr>
        <w:pStyle w:val="Heading1"/>
        <w:numPr>
          <w:ilvl w:val="0"/>
          <w:numId w:val="141"/>
        </w:numPr>
        <w:spacing w:after="120"/>
        <w:rPr>
          <w:rFonts w:cs="Arial"/>
          <w:szCs w:val="20"/>
        </w:rPr>
      </w:pPr>
      <w:bookmarkStart w:id="2374" w:name="_Ref80118694"/>
      <w:r w:rsidRPr="000E5786">
        <w:rPr>
          <w:rFonts w:cs="Arial"/>
          <w:szCs w:val="20"/>
        </w:rPr>
        <w:t>Urgent Changes</w:t>
      </w:r>
      <w:bookmarkEnd w:id="2373"/>
      <w:bookmarkEnd w:id="2374"/>
    </w:p>
    <w:p w14:paraId="2A448A78" w14:textId="06E9E1AC" w:rsidR="004C127E" w:rsidRPr="000E5786" w:rsidRDefault="004C127E" w:rsidP="009D675B">
      <w:pPr>
        <w:pStyle w:val="Heading2"/>
        <w:numPr>
          <w:ilvl w:val="1"/>
          <w:numId w:val="141"/>
        </w:numPr>
        <w:spacing w:after="120"/>
        <w:rPr>
          <w:rFonts w:cs="Arial"/>
          <w:szCs w:val="20"/>
        </w:rPr>
      </w:pPr>
      <w:r w:rsidRPr="000E5786">
        <w:rPr>
          <w:rFonts w:cs="Arial"/>
          <w:szCs w:val="20"/>
        </w:rPr>
        <w:t xml:space="preserve">A Significant Change Control Notice or Minor Change Notice served by either Party may specify that the requested Change is an Urgent Change in which case the provisions of this </w:t>
      </w:r>
      <w:r w:rsidR="00A80BE8" w:rsidRPr="000E5786">
        <w:rPr>
          <w:rStyle w:val="CrossReference"/>
          <w:rFonts w:cs="Arial"/>
          <w:b w:val="0"/>
          <w:bCs w:val="0"/>
          <w:szCs w:val="20"/>
        </w:rPr>
        <w:t xml:space="preserve">Paragraph </w:t>
      </w:r>
      <w:r w:rsidRPr="000E5786">
        <w:rPr>
          <w:rStyle w:val="CrossReference"/>
          <w:rFonts w:cs="Arial"/>
          <w:b w:val="0"/>
          <w:bCs w:val="0"/>
          <w:szCs w:val="20"/>
        </w:rPr>
        <w:fldChar w:fldCharType="begin"/>
      </w:r>
      <w:r w:rsidRPr="000E5786">
        <w:rPr>
          <w:rStyle w:val="CrossReference"/>
          <w:rFonts w:cs="Arial"/>
          <w:b w:val="0"/>
          <w:bCs w:val="0"/>
          <w:szCs w:val="20"/>
        </w:rPr>
        <w:instrText xml:space="preserve"> REF _Ref80118694 \r \h  \* MERGEFORMAT </w:instrText>
      </w:r>
      <w:r w:rsidRPr="000E5786">
        <w:rPr>
          <w:rStyle w:val="CrossReference"/>
          <w:rFonts w:cs="Arial"/>
          <w:b w:val="0"/>
          <w:bCs w:val="0"/>
          <w:szCs w:val="20"/>
        </w:rPr>
      </w:r>
      <w:r w:rsidRPr="000E5786">
        <w:rPr>
          <w:rStyle w:val="CrossReference"/>
          <w:rFonts w:cs="Arial"/>
          <w:b w:val="0"/>
          <w:bCs w:val="0"/>
          <w:szCs w:val="20"/>
        </w:rPr>
        <w:fldChar w:fldCharType="separate"/>
      </w:r>
      <w:r w:rsidRPr="000E5786">
        <w:rPr>
          <w:rStyle w:val="CrossReference"/>
          <w:rFonts w:cs="Arial"/>
          <w:b w:val="0"/>
          <w:bCs w:val="0"/>
          <w:szCs w:val="20"/>
        </w:rPr>
        <w:t>5</w:t>
      </w:r>
      <w:r w:rsidRPr="000E5786">
        <w:rPr>
          <w:rStyle w:val="CrossReference"/>
          <w:rFonts w:cs="Arial"/>
          <w:b w:val="0"/>
          <w:bCs w:val="0"/>
          <w:szCs w:val="20"/>
        </w:rPr>
        <w:fldChar w:fldCharType="end"/>
      </w:r>
      <w:r w:rsidRPr="000E5786">
        <w:rPr>
          <w:rFonts w:cs="Arial"/>
          <w:szCs w:val="20"/>
        </w:rPr>
        <w:t xml:space="preserve"> will apply.</w:t>
      </w:r>
    </w:p>
    <w:p w14:paraId="2280FA35" w14:textId="020B1937" w:rsidR="004C127E" w:rsidRPr="000E5786" w:rsidRDefault="004C127E" w:rsidP="009D675B">
      <w:pPr>
        <w:pStyle w:val="Heading2"/>
        <w:numPr>
          <w:ilvl w:val="1"/>
          <w:numId w:val="141"/>
        </w:numPr>
        <w:spacing w:after="120"/>
        <w:rPr>
          <w:rFonts w:cs="Arial"/>
          <w:szCs w:val="20"/>
        </w:rPr>
      </w:pPr>
      <w:bookmarkStart w:id="2375" w:name="_Ref260249624"/>
      <w:r w:rsidRPr="000E5786">
        <w:rPr>
          <w:rFonts w:cs="Arial"/>
          <w:szCs w:val="20"/>
        </w:rPr>
        <w:t xml:space="preserve">If the Supplier serves a Significant Change Control Notice or Minor Change Notice in respect of an Urgent Change it shall, if applicable, simultaneously serve a Change Control Analysis and Estimate on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The Supplier will amend such Change Control Analysis and Estimate to incorporate any comments made by or on behalf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within one (1) </w:t>
      </w:r>
      <w:r w:rsidR="00536324">
        <w:rPr>
          <w:rFonts w:cs="Arial"/>
          <w:szCs w:val="20"/>
        </w:rPr>
        <w:t>Working</w:t>
      </w:r>
      <w:r w:rsidR="00536324" w:rsidRPr="000E5786">
        <w:rPr>
          <w:rFonts w:cs="Arial"/>
          <w:szCs w:val="20"/>
        </w:rPr>
        <w:t xml:space="preserve"> </w:t>
      </w:r>
      <w:r w:rsidRPr="000E5786">
        <w:rPr>
          <w:rFonts w:cs="Arial"/>
          <w:szCs w:val="20"/>
        </w:rPr>
        <w:t xml:space="preserve">Day of receipt of such comments and will, if requested to do so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commence implementation of such Urgent Change in accordance with the Change Control Analysis and Estimate (as revised) immediately and shall endeavour to complete such Urgent Change within one (1) </w:t>
      </w:r>
      <w:r w:rsidR="00536324">
        <w:rPr>
          <w:rFonts w:cs="Arial"/>
          <w:szCs w:val="20"/>
        </w:rPr>
        <w:t>Working</w:t>
      </w:r>
      <w:r w:rsidR="00536324" w:rsidRPr="000E5786">
        <w:rPr>
          <w:rFonts w:cs="Arial"/>
          <w:szCs w:val="20"/>
        </w:rPr>
        <w:t xml:space="preserve"> </w:t>
      </w:r>
      <w:r w:rsidRPr="000E5786">
        <w:rPr>
          <w:rFonts w:cs="Arial"/>
          <w:szCs w:val="20"/>
        </w:rPr>
        <w:t xml:space="preserve">Day (or such longer period as is reasonable in all the circumstances), but if the Supplier cannot implement the Urgent Change within two (2) </w:t>
      </w:r>
      <w:r w:rsidR="00536324">
        <w:rPr>
          <w:rFonts w:cs="Arial"/>
          <w:szCs w:val="20"/>
        </w:rPr>
        <w:t>Working</w:t>
      </w:r>
      <w:r w:rsidR="00536324" w:rsidRPr="000E5786">
        <w:rPr>
          <w:rFonts w:cs="Arial"/>
          <w:szCs w:val="20"/>
        </w:rPr>
        <w:t xml:space="preserve"> </w:t>
      </w:r>
      <w:r w:rsidRPr="000E5786">
        <w:rPr>
          <w:rFonts w:cs="Arial"/>
          <w:szCs w:val="20"/>
        </w:rPr>
        <w:t xml:space="preserve">Days, the Supplier shall notify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as soon as practicable and shall promptly provide a time and materials estimate for implementation of the Urgent Change as soon as possible without unreasonable delay. Upon consent from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the Supplier will immediately commence implementation of the Urgent Change on such time and materials basis, provided that where the time and materials charges are likely to exceed the estimate, the Supplier shall notify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as soon as reasonably practicable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consent will be required to proceed. Where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elects not to proceed, the Supplier shall not be responsible for any consequences resulting from failure to implement the Urgent Change save where the Urgent Ch</w:t>
      </w:r>
      <w:r w:rsidR="003B3007">
        <w:rPr>
          <w:rFonts w:cs="Arial"/>
          <w:szCs w:val="20"/>
        </w:rPr>
        <w:t>a</w:t>
      </w:r>
      <w:r w:rsidRPr="000E5786">
        <w:rPr>
          <w:rFonts w:cs="Arial"/>
          <w:szCs w:val="20"/>
        </w:rPr>
        <w:t xml:space="preserve">nge is due to the Supplier's default. Subject to </w:t>
      </w:r>
      <w:r w:rsidR="00A80BE8" w:rsidRPr="000E5786">
        <w:rPr>
          <w:rStyle w:val="CrossReference"/>
          <w:rFonts w:cs="Arial"/>
          <w:b w:val="0"/>
          <w:bCs w:val="0"/>
          <w:szCs w:val="20"/>
        </w:rPr>
        <w:t xml:space="preserve">Paragraph </w:t>
      </w:r>
      <w:r w:rsidRPr="000E5786">
        <w:rPr>
          <w:rStyle w:val="CrossReference"/>
          <w:rFonts w:cs="Arial"/>
          <w:b w:val="0"/>
          <w:bCs w:val="0"/>
          <w:szCs w:val="20"/>
        </w:rPr>
        <w:fldChar w:fldCharType="begin"/>
      </w:r>
      <w:r w:rsidRPr="000E5786">
        <w:rPr>
          <w:rStyle w:val="CrossReference"/>
          <w:rFonts w:cs="Arial"/>
          <w:b w:val="0"/>
          <w:bCs w:val="0"/>
          <w:szCs w:val="20"/>
        </w:rPr>
        <w:instrText xml:space="preserve"> REF _Ref260248995 \r \h  \* MERGEFORMAT </w:instrText>
      </w:r>
      <w:r w:rsidRPr="000E5786">
        <w:rPr>
          <w:rStyle w:val="CrossReference"/>
          <w:rFonts w:cs="Arial"/>
          <w:b w:val="0"/>
          <w:bCs w:val="0"/>
          <w:szCs w:val="20"/>
        </w:rPr>
      </w:r>
      <w:r w:rsidRPr="000E5786">
        <w:rPr>
          <w:rStyle w:val="CrossReference"/>
          <w:rFonts w:cs="Arial"/>
          <w:b w:val="0"/>
          <w:bCs w:val="0"/>
          <w:szCs w:val="20"/>
        </w:rPr>
        <w:fldChar w:fldCharType="separate"/>
      </w:r>
      <w:r w:rsidRPr="000E5786">
        <w:rPr>
          <w:rStyle w:val="CrossReference"/>
          <w:rFonts w:cs="Arial"/>
          <w:b w:val="0"/>
          <w:bCs w:val="0"/>
          <w:szCs w:val="20"/>
        </w:rPr>
        <w:t>5.4</w:t>
      </w:r>
      <w:r w:rsidRPr="000E5786">
        <w:rPr>
          <w:rStyle w:val="CrossReference"/>
          <w:rFonts w:cs="Arial"/>
          <w:b w:val="0"/>
          <w:bCs w:val="0"/>
          <w:szCs w:val="20"/>
        </w:rPr>
        <w:fldChar w:fldCharType="end"/>
      </w:r>
      <w:r w:rsidRPr="000E5786">
        <w:rPr>
          <w:rFonts w:cs="Arial"/>
          <w:szCs w:val="20"/>
        </w:rPr>
        <w:t xml:space="preserve">, no Urgent Change requested by the Supplier shall be implemented unless and until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has given its written consent (such consent to be given 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’s sole discretion).</w:t>
      </w:r>
      <w:bookmarkEnd w:id="2375"/>
      <w:r w:rsidRPr="000E5786">
        <w:rPr>
          <w:rFonts w:cs="Arial"/>
          <w:szCs w:val="20"/>
        </w:rPr>
        <w:t xml:space="preserve"> </w:t>
      </w:r>
    </w:p>
    <w:p w14:paraId="490B8A36" w14:textId="175D7306" w:rsidR="004C127E" w:rsidRPr="000E5786" w:rsidRDefault="004C127E" w:rsidP="009D675B">
      <w:pPr>
        <w:pStyle w:val="Heading2"/>
        <w:numPr>
          <w:ilvl w:val="1"/>
          <w:numId w:val="141"/>
        </w:numPr>
        <w:spacing w:after="120"/>
        <w:rPr>
          <w:rFonts w:cs="Arial"/>
          <w:szCs w:val="20"/>
        </w:rPr>
      </w:pPr>
      <w:bookmarkStart w:id="2376" w:name="_Ref260248996"/>
      <w:r w:rsidRPr="000E5786">
        <w:rPr>
          <w:rFonts w:cs="Arial"/>
          <w:szCs w:val="20"/>
        </w:rPr>
        <w:t xml:space="preserve">If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serves a Significant Change Control Notice or Minor Change Notice in respect of an Urgent Change, if requested the Supplier shall prepare a Change Control Analysis and Estimate within one (1) </w:t>
      </w:r>
      <w:r w:rsidR="00536324">
        <w:rPr>
          <w:rFonts w:cs="Arial"/>
          <w:szCs w:val="20"/>
        </w:rPr>
        <w:t>Working</w:t>
      </w:r>
      <w:r w:rsidR="00536324" w:rsidRPr="000E5786">
        <w:rPr>
          <w:rFonts w:cs="Arial"/>
          <w:szCs w:val="20"/>
        </w:rPr>
        <w:t xml:space="preserve"> </w:t>
      </w:r>
      <w:r w:rsidRPr="000E5786">
        <w:rPr>
          <w:rFonts w:cs="Arial"/>
          <w:szCs w:val="20"/>
        </w:rPr>
        <w:t xml:space="preserve">Day (or such longer period as is reasonable in all the circumstances, but in any event not more than two (2) </w:t>
      </w:r>
      <w:r w:rsidR="00536324">
        <w:rPr>
          <w:rFonts w:cs="Arial"/>
          <w:szCs w:val="20"/>
        </w:rPr>
        <w:t>Working</w:t>
      </w:r>
      <w:r w:rsidR="00536324" w:rsidRPr="000E5786">
        <w:rPr>
          <w:rFonts w:cs="Arial"/>
          <w:szCs w:val="20"/>
        </w:rPr>
        <w:t xml:space="preserve"> </w:t>
      </w:r>
      <w:r w:rsidRPr="000E5786">
        <w:rPr>
          <w:rFonts w:cs="Arial"/>
          <w:szCs w:val="20"/>
        </w:rPr>
        <w:t xml:space="preserve">Days) after service of the Significant Change Control Notice in respect of that Urgent Change.  The Supplier will amend the Change Control Analysis and Estimate to incorporate any comments made by or on behalf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within one (1) </w:t>
      </w:r>
      <w:r w:rsidR="00536324">
        <w:rPr>
          <w:rFonts w:cs="Arial"/>
          <w:szCs w:val="20"/>
        </w:rPr>
        <w:t>Working</w:t>
      </w:r>
      <w:r w:rsidR="00536324" w:rsidRPr="000E5786">
        <w:rPr>
          <w:rFonts w:cs="Arial"/>
          <w:szCs w:val="20"/>
        </w:rPr>
        <w:t xml:space="preserve"> </w:t>
      </w:r>
      <w:r w:rsidRPr="000E5786">
        <w:rPr>
          <w:rFonts w:cs="Arial"/>
          <w:szCs w:val="20"/>
        </w:rPr>
        <w:t xml:space="preserve">Day of receipt of them.  The Supplier shall commence implementation of any such Urgent Change in accordance with the relevant Change Control Analysis and Estimate (as amended in accordance with this </w:t>
      </w:r>
      <w:r w:rsidR="00A80BE8" w:rsidRPr="000E5786">
        <w:rPr>
          <w:rStyle w:val="CrossReference"/>
          <w:rFonts w:cs="Arial"/>
          <w:b w:val="0"/>
          <w:bCs w:val="0"/>
          <w:szCs w:val="20"/>
        </w:rPr>
        <w:t xml:space="preserve">Paragraph </w:t>
      </w:r>
      <w:r w:rsidRPr="000E5786">
        <w:rPr>
          <w:rStyle w:val="CrossReference"/>
          <w:rFonts w:cs="Arial"/>
          <w:b w:val="0"/>
          <w:bCs w:val="0"/>
          <w:szCs w:val="20"/>
        </w:rPr>
        <w:t>3.3</w:t>
      </w:r>
      <w:r w:rsidRPr="000E5786">
        <w:rPr>
          <w:rFonts w:cs="Arial"/>
          <w:szCs w:val="20"/>
        </w:rPr>
        <w:t xml:space="preserve">) immediately and shall </w:t>
      </w:r>
      <w:r w:rsidRPr="000E5786">
        <w:rPr>
          <w:rFonts w:cs="Arial"/>
          <w:szCs w:val="20"/>
        </w:rPr>
        <w:lastRenderedPageBreak/>
        <w:t xml:space="preserve">endeavour to complete such Urgent Change within one (1) </w:t>
      </w:r>
      <w:r w:rsidR="00536324">
        <w:rPr>
          <w:rFonts w:cs="Arial"/>
          <w:szCs w:val="20"/>
        </w:rPr>
        <w:t>Working</w:t>
      </w:r>
      <w:r w:rsidR="00536324" w:rsidRPr="000E5786">
        <w:rPr>
          <w:rFonts w:cs="Arial"/>
          <w:szCs w:val="20"/>
        </w:rPr>
        <w:t xml:space="preserve"> </w:t>
      </w:r>
      <w:r w:rsidRPr="000E5786">
        <w:rPr>
          <w:rFonts w:cs="Arial"/>
          <w:szCs w:val="20"/>
        </w:rPr>
        <w:t xml:space="preserve">Day (or such longer period as is reasonable in all the circumstances) after receipt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comments upon them but if the Supplier cannot implement the Urgent Change within two (2) </w:t>
      </w:r>
      <w:r w:rsidR="00536324">
        <w:rPr>
          <w:rFonts w:cs="Arial"/>
          <w:szCs w:val="20"/>
        </w:rPr>
        <w:t>Working</w:t>
      </w:r>
      <w:r w:rsidR="00536324" w:rsidRPr="000E5786">
        <w:rPr>
          <w:rFonts w:cs="Arial"/>
          <w:szCs w:val="20"/>
        </w:rPr>
        <w:t xml:space="preserve"> </w:t>
      </w:r>
      <w:r w:rsidRPr="000E5786">
        <w:rPr>
          <w:rFonts w:cs="Arial"/>
          <w:szCs w:val="20"/>
        </w:rPr>
        <w:t xml:space="preserve">Days, the Supplier shall notify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as soon as practicable and shall promptly provide a time and materials estimate for implementation of the Urgent Change as soon as possible without unreasonable delay. Upon consent from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the Supplier will immediately commence implementation of the Urgent Change on such time and materials basis, provided that where the time and materials charges are likely to exceed the estimate, the Supplier shall notify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as soon as reasonably practicable and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consent will be required to proceed. Where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consents to the Supplier proceeding, Supplier shall not be responsible for any adverse consequences resulting from the implementation of the Urgent Change save where (a) such consequences are due to the Supplier’s breach; or (b) Supplier should reasonably have foreseen the adverse consequences </w:t>
      </w:r>
      <w:proofErr w:type="gramStart"/>
      <w:r w:rsidRPr="000E5786">
        <w:rPr>
          <w:rFonts w:cs="Arial"/>
          <w:szCs w:val="20"/>
        </w:rPr>
        <w:t>taking into account</w:t>
      </w:r>
      <w:proofErr w:type="gramEnd"/>
      <w:r w:rsidRPr="000E5786">
        <w:rPr>
          <w:rFonts w:cs="Arial"/>
          <w:szCs w:val="20"/>
        </w:rPr>
        <w:t xml:space="preserve"> the information available at the time. Where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elects not to proceed, the Supplier shall not be responsible for any consequences resulting from failure to implement the Urgent Change save where the Urgent Ch</w:t>
      </w:r>
      <w:r w:rsidR="006B1280">
        <w:rPr>
          <w:rFonts w:cs="Arial"/>
          <w:szCs w:val="20"/>
        </w:rPr>
        <w:t>a</w:t>
      </w:r>
      <w:r w:rsidRPr="000E5786">
        <w:rPr>
          <w:rFonts w:cs="Arial"/>
          <w:szCs w:val="20"/>
        </w:rPr>
        <w:t xml:space="preserve">nge is due to the Supplier's default </w:t>
      </w:r>
      <w:proofErr w:type="gramStart"/>
      <w:r w:rsidRPr="000E5786">
        <w:rPr>
          <w:rFonts w:cs="Arial"/>
          <w:szCs w:val="20"/>
        </w:rPr>
        <w:t>i.e.</w:t>
      </w:r>
      <w:proofErr w:type="gramEnd"/>
      <w:r w:rsidRPr="000E5786">
        <w:rPr>
          <w:rFonts w:cs="Arial"/>
          <w:szCs w:val="20"/>
        </w:rPr>
        <w:t xml:space="preserve"> breach.  The Supplier’s consent is required for the implementation of an Urgent Change requested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(such consent not to be unreasonably withheld or delayed).</w:t>
      </w:r>
      <w:bookmarkEnd w:id="2376"/>
      <w:r w:rsidRPr="000E5786">
        <w:rPr>
          <w:rFonts w:cs="Arial"/>
          <w:szCs w:val="20"/>
        </w:rPr>
        <w:t xml:space="preserve"> </w:t>
      </w:r>
    </w:p>
    <w:p w14:paraId="5AC213FB" w14:textId="0C5C325C" w:rsidR="004C127E" w:rsidRPr="000E5786" w:rsidRDefault="004C127E" w:rsidP="009D675B">
      <w:pPr>
        <w:pStyle w:val="Heading2"/>
        <w:numPr>
          <w:ilvl w:val="1"/>
          <w:numId w:val="141"/>
        </w:numPr>
        <w:spacing w:after="120"/>
        <w:rPr>
          <w:rFonts w:cs="Arial"/>
          <w:szCs w:val="20"/>
        </w:rPr>
      </w:pPr>
      <w:bookmarkStart w:id="2377" w:name="_Ref260248995"/>
      <w:r w:rsidRPr="000E5786">
        <w:rPr>
          <w:rFonts w:cs="Arial"/>
          <w:szCs w:val="20"/>
        </w:rPr>
        <w:t xml:space="preserve">Without prejudice to </w:t>
      </w:r>
      <w:r w:rsidRPr="000E5786">
        <w:rPr>
          <w:rStyle w:val="CrossReference"/>
          <w:rFonts w:cs="Arial"/>
          <w:b w:val="0"/>
          <w:bCs w:val="0"/>
          <w:szCs w:val="20"/>
        </w:rPr>
        <w:t>clause 38,</w:t>
      </w:r>
      <w:r w:rsidRPr="000E5786">
        <w:rPr>
          <w:rFonts w:cs="Arial"/>
          <w:b/>
          <w:bCs w:val="0"/>
          <w:szCs w:val="20"/>
        </w:rPr>
        <w:t xml:space="preserve"> </w:t>
      </w:r>
      <w:r w:rsidRPr="000E5786">
        <w:rPr>
          <w:rFonts w:cs="Arial"/>
          <w:szCs w:val="20"/>
        </w:rPr>
        <w:t xml:space="preserve">if the Supplier requests an Urgent Change to address a change in Applicable Law then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consent pursuant to </w:t>
      </w:r>
      <w:r w:rsidR="00A80BE8" w:rsidRPr="000E5786">
        <w:rPr>
          <w:rStyle w:val="CrossReference"/>
          <w:rFonts w:cs="Arial"/>
          <w:b w:val="0"/>
          <w:bCs w:val="0"/>
          <w:szCs w:val="20"/>
        </w:rPr>
        <w:t xml:space="preserve">Paragraph </w:t>
      </w:r>
      <w:r w:rsidRPr="000E5786">
        <w:rPr>
          <w:rStyle w:val="CrossReference"/>
          <w:rFonts w:cs="Arial"/>
          <w:b w:val="0"/>
          <w:bCs w:val="0"/>
          <w:szCs w:val="20"/>
        </w:rPr>
        <w:fldChar w:fldCharType="begin"/>
      </w:r>
      <w:r w:rsidRPr="000E5786">
        <w:rPr>
          <w:rStyle w:val="CrossReference"/>
          <w:rFonts w:cs="Arial"/>
          <w:b w:val="0"/>
          <w:bCs w:val="0"/>
          <w:szCs w:val="20"/>
        </w:rPr>
        <w:instrText xml:space="preserve"> REF _Ref260249624 \r \h  \* MERGEFORMAT </w:instrText>
      </w:r>
      <w:r w:rsidRPr="000E5786">
        <w:rPr>
          <w:rStyle w:val="CrossReference"/>
          <w:rFonts w:cs="Arial"/>
          <w:b w:val="0"/>
          <w:bCs w:val="0"/>
          <w:szCs w:val="20"/>
        </w:rPr>
      </w:r>
      <w:r w:rsidRPr="000E5786">
        <w:rPr>
          <w:rStyle w:val="CrossReference"/>
          <w:rFonts w:cs="Arial"/>
          <w:b w:val="0"/>
          <w:bCs w:val="0"/>
          <w:szCs w:val="20"/>
        </w:rPr>
        <w:fldChar w:fldCharType="separate"/>
      </w:r>
      <w:r w:rsidRPr="000E5786">
        <w:rPr>
          <w:rStyle w:val="CrossReference"/>
          <w:rFonts w:cs="Arial"/>
          <w:b w:val="0"/>
          <w:bCs w:val="0"/>
          <w:szCs w:val="20"/>
        </w:rPr>
        <w:t>5.2</w:t>
      </w:r>
      <w:r w:rsidRPr="000E5786">
        <w:rPr>
          <w:rStyle w:val="CrossReference"/>
          <w:rFonts w:cs="Arial"/>
          <w:b w:val="0"/>
          <w:bCs w:val="0"/>
          <w:szCs w:val="20"/>
        </w:rPr>
        <w:fldChar w:fldCharType="end"/>
      </w:r>
      <w:r w:rsidRPr="000E5786">
        <w:rPr>
          <w:rStyle w:val="CrossReference"/>
          <w:rFonts w:cs="Arial"/>
          <w:szCs w:val="20"/>
        </w:rPr>
        <w:t xml:space="preserve"> </w:t>
      </w:r>
      <w:r w:rsidRPr="000E5786">
        <w:rPr>
          <w:rFonts w:cs="Arial"/>
          <w:szCs w:val="20"/>
        </w:rPr>
        <w:t xml:space="preserve">shall not be unreasonably withheld or delayed but shall be required prior to implementation of that Urgent Change.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notify the Supplier in writing as to whether or not it consents to the relevant Urgent Change within two (2) </w:t>
      </w:r>
      <w:r w:rsidR="00536324">
        <w:rPr>
          <w:rFonts w:cs="Arial"/>
          <w:szCs w:val="20"/>
        </w:rPr>
        <w:t>Working</w:t>
      </w:r>
      <w:r w:rsidR="00536324" w:rsidRPr="000E5786">
        <w:rPr>
          <w:rFonts w:cs="Arial"/>
          <w:szCs w:val="20"/>
        </w:rPr>
        <w:t xml:space="preserve"> </w:t>
      </w:r>
      <w:r w:rsidRPr="000E5786">
        <w:rPr>
          <w:rFonts w:cs="Arial"/>
          <w:szCs w:val="20"/>
        </w:rPr>
        <w:t xml:space="preserve">Days of service of the relevant Change Control Analysis and Estimate and the Supplier shall implement such Urgent Change in accordance with the relevant Change Control Analysis and Estimate (as amended to reflect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’s comments under </w:t>
      </w:r>
      <w:r w:rsidR="00A80BE8" w:rsidRPr="000E5786">
        <w:rPr>
          <w:rStyle w:val="CrossReference"/>
          <w:rFonts w:cs="Arial"/>
          <w:b w:val="0"/>
          <w:bCs w:val="0"/>
          <w:szCs w:val="20"/>
        </w:rPr>
        <w:t xml:space="preserve">Paragraph </w:t>
      </w:r>
      <w:r w:rsidRPr="000E5786">
        <w:rPr>
          <w:rStyle w:val="CrossReference"/>
          <w:rFonts w:cs="Arial"/>
          <w:b w:val="0"/>
          <w:bCs w:val="0"/>
          <w:szCs w:val="20"/>
        </w:rPr>
        <w:fldChar w:fldCharType="begin"/>
      </w:r>
      <w:r w:rsidRPr="000E5786">
        <w:rPr>
          <w:rStyle w:val="CrossReference"/>
          <w:rFonts w:cs="Arial"/>
          <w:b w:val="0"/>
          <w:bCs w:val="0"/>
          <w:szCs w:val="20"/>
        </w:rPr>
        <w:instrText xml:space="preserve"> REF _Ref260249624 \r \h  \* MERGEFORMAT </w:instrText>
      </w:r>
      <w:r w:rsidRPr="000E5786">
        <w:rPr>
          <w:rStyle w:val="CrossReference"/>
          <w:rFonts w:cs="Arial"/>
          <w:b w:val="0"/>
          <w:bCs w:val="0"/>
          <w:szCs w:val="20"/>
        </w:rPr>
      </w:r>
      <w:r w:rsidRPr="000E5786">
        <w:rPr>
          <w:rStyle w:val="CrossReference"/>
          <w:rFonts w:cs="Arial"/>
          <w:b w:val="0"/>
          <w:bCs w:val="0"/>
          <w:szCs w:val="20"/>
        </w:rPr>
        <w:fldChar w:fldCharType="separate"/>
      </w:r>
      <w:r w:rsidRPr="000E5786">
        <w:rPr>
          <w:rStyle w:val="CrossReference"/>
          <w:rFonts w:cs="Arial"/>
          <w:b w:val="0"/>
          <w:bCs w:val="0"/>
          <w:szCs w:val="20"/>
        </w:rPr>
        <w:t>5.2</w:t>
      </w:r>
      <w:r w:rsidRPr="000E5786">
        <w:rPr>
          <w:rStyle w:val="CrossReference"/>
          <w:rFonts w:cs="Arial"/>
          <w:b w:val="0"/>
          <w:bCs w:val="0"/>
          <w:szCs w:val="20"/>
        </w:rPr>
        <w:fldChar w:fldCharType="end"/>
      </w:r>
      <w:r w:rsidRPr="000E5786">
        <w:rPr>
          <w:rFonts w:cs="Arial"/>
          <w:b/>
          <w:bCs w:val="0"/>
          <w:szCs w:val="20"/>
        </w:rPr>
        <w:t>),</w:t>
      </w:r>
      <w:r w:rsidRPr="000E5786">
        <w:rPr>
          <w:rFonts w:cs="Arial"/>
          <w:szCs w:val="20"/>
        </w:rPr>
        <w:t xml:space="preserve"> within two (2) </w:t>
      </w:r>
      <w:r w:rsidR="00536324">
        <w:rPr>
          <w:rFonts w:cs="Arial"/>
          <w:szCs w:val="20"/>
        </w:rPr>
        <w:t>Working</w:t>
      </w:r>
      <w:r w:rsidR="00536324" w:rsidRPr="000E5786">
        <w:rPr>
          <w:rFonts w:cs="Arial"/>
          <w:szCs w:val="20"/>
        </w:rPr>
        <w:t xml:space="preserve"> </w:t>
      </w:r>
      <w:r w:rsidRPr="000E5786">
        <w:rPr>
          <w:rFonts w:cs="Arial"/>
          <w:szCs w:val="20"/>
        </w:rPr>
        <w:t xml:space="preserve">Days (or such longer period as is reasonable in all the circumstances, but in any event not longer than 3 </w:t>
      </w:r>
      <w:r w:rsidR="00536324">
        <w:rPr>
          <w:rFonts w:cs="Arial"/>
          <w:szCs w:val="20"/>
        </w:rPr>
        <w:t>Working</w:t>
      </w:r>
      <w:r w:rsidR="00536324" w:rsidRPr="000E5786">
        <w:rPr>
          <w:rFonts w:cs="Arial"/>
          <w:szCs w:val="20"/>
        </w:rPr>
        <w:t xml:space="preserve"> </w:t>
      </w:r>
      <w:r w:rsidRPr="000E5786">
        <w:rPr>
          <w:rFonts w:cs="Arial"/>
          <w:szCs w:val="20"/>
        </w:rPr>
        <w:t xml:space="preserve">Days) after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gives such consent.</w:t>
      </w:r>
      <w:bookmarkEnd w:id="2377"/>
    </w:p>
    <w:p w14:paraId="5C2ABE0A" w14:textId="77777777" w:rsidR="00321E69" w:rsidRPr="000E5786" w:rsidRDefault="00321E69" w:rsidP="00321E69">
      <w:pPr>
        <w:pStyle w:val="Heading2"/>
        <w:numPr>
          <w:ilvl w:val="0"/>
          <w:numId w:val="0"/>
        </w:numPr>
        <w:spacing w:after="120"/>
        <w:ind w:left="709"/>
        <w:rPr>
          <w:rFonts w:cs="Arial"/>
          <w:szCs w:val="20"/>
        </w:rPr>
      </w:pPr>
    </w:p>
    <w:p w14:paraId="62856045" w14:textId="4CC5E5BC" w:rsidR="004C127E" w:rsidRPr="000E5786" w:rsidRDefault="004C127E" w:rsidP="009D675B">
      <w:pPr>
        <w:pStyle w:val="Heading1"/>
        <w:numPr>
          <w:ilvl w:val="0"/>
          <w:numId w:val="141"/>
        </w:numPr>
        <w:spacing w:after="120"/>
        <w:rPr>
          <w:rFonts w:cs="Arial"/>
          <w:b w:val="0"/>
          <w:szCs w:val="20"/>
        </w:rPr>
      </w:pPr>
      <w:bookmarkStart w:id="2378" w:name="_Ref260248796"/>
      <w:r w:rsidRPr="000E5786">
        <w:rPr>
          <w:rFonts w:cs="Arial"/>
          <w:szCs w:val="20"/>
        </w:rPr>
        <w:t>General</w:t>
      </w:r>
      <w:bookmarkEnd w:id="2378"/>
    </w:p>
    <w:p w14:paraId="31CB19F9" w14:textId="6F65DF72" w:rsidR="004C127E" w:rsidRPr="000E5786" w:rsidRDefault="004C127E" w:rsidP="009D675B">
      <w:pPr>
        <w:pStyle w:val="Heading2"/>
        <w:numPr>
          <w:ilvl w:val="1"/>
          <w:numId w:val="141"/>
        </w:numPr>
        <w:spacing w:after="120"/>
        <w:rPr>
          <w:rFonts w:cs="Arial"/>
          <w:szCs w:val="20"/>
        </w:rPr>
      </w:pPr>
      <w:bookmarkStart w:id="2379" w:name="_Ref80119290"/>
      <w:bookmarkStart w:id="2380" w:name="_Ref260250397"/>
      <w:r w:rsidRPr="000E5786">
        <w:rPr>
          <w:rFonts w:cs="Arial"/>
          <w:szCs w:val="20"/>
        </w:rPr>
        <w:t xml:space="preserve">Subject to </w:t>
      </w:r>
      <w:r w:rsidR="00A80BE8" w:rsidRPr="000E5786">
        <w:rPr>
          <w:rFonts w:cs="Arial"/>
          <w:bCs w:val="0"/>
          <w:szCs w:val="20"/>
        </w:rPr>
        <w:t xml:space="preserve">Paragraph </w:t>
      </w:r>
      <w:r w:rsidRPr="000E5786">
        <w:rPr>
          <w:rFonts w:cs="Arial"/>
          <w:bCs w:val="0"/>
          <w:szCs w:val="20"/>
        </w:rPr>
        <w:fldChar w:fldCharType="begin"/>
      </w:r>
      <w:r w:rsidRPr="000E5786">
        <w:rPr>
          <w:rFonts w:cs="Arial"/>
          <w:bCs w:val="0"/>
          <w:szCs w:val="20"/>
        </w:rPr>
        <w:instrText xml:space="preserve"> REF _Ref80119284 \r \h  \* MERGEFORMAT </w:instrText>
      </w:r>
      <w:r w:rsidRPr="000E5786">
        <w:rPr>
          <w:rFonts w:cs="Arial"/>
          <w:bCs w:val="0"/>
          <w:szCs w:val="20"/>
        </w:rPr>
      </w:r>
      <w:r w:rsidRPr="000E5786">
        <w:rPr>
          <w:rFonts w:cs="Arial"/>
          <w:bCs w:val="0"/>
          <w:szCs w:val="20"/>
        </w:rPr>
        <w:fldChar w:fldCharType="separate"/>
      </w:r>
      <w:r w:rsidRPr="000E5786">
        <w:rPr>
          <w:rFonts w:cs="Arial"/>
          <w:bCs w:val="0"/>
          <w:szCs w:val="20"/>
        </w:rPr>
        <w:t>6.2</w:t>
      </w:r>
      <w:r w:rsidRPr="000E5786">
        <w:rPr>
          <w:rFonts w:cs="Arial"/>
          <w:bCs w:val="0"/>
          <w:szCs w:val="20"/>
        </w:rPr>
        <w:fldChar w:fldCharType="end"/>
      </w:r>
      <w:r w:rsidRPr="000E5786">
        <w:rPr>
          <w:rFonts w:cs="Arial"/>
          <w:szCs w:val="20"/>
        </w:rPr>
        <w:t xml:space="preserve">, the Parties may both propose Changes, and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may require a Change.</w:t>
      </w:r>
      <w:bookmarkEnd w:id="2379"/>
      <w:r w:rsidRPr="000E5786">
        <w:rPr>
          <w:rFonts w:cs="Arial"/>
          <w:szCs w:val="20"/>
        </w:rPr>
        <w:t xml:space="preserve"> </w:t>
      </w:r>
    </w:p>
    <w:p w14:paraId="57B0364E" w14:textId="323A1459" w:rsidR="004C127E" w:rsidRPr="000E5786" w:rsidRDefault="004C127E" w:rsidP="009D675B">
      <w:pPr>
        <w:pStyle w:val="Heading2"/>
        <w:numPr>
          <w:ilvl w:val="1"/>
          <w:numId w:val="141"/>
        </w:numPr>
        <w:spacing w:after="120"/>
        <w:rPr>
          <w:rFonts w:cs="Arial"/>
          <w:szCs w:val="20"/>
        </w:rPr>
      </w:pPr>
      <w:bookmarkStart w:id="2381" w:name="_Ref80119284"/>
      <w:r w:rsidRPr="000E5786">
        <w:rPr>
          <w:rFonts w:cs="Arial"/>
          <w:szCs w:val="20"/>
        </w:rPr>
        <w:t xml:space="preserve">If the Supplier, acting reasonably, objects to a Change required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under </w:t>
      </w:r>
      <w:r w:rsidR="00A80BE8" w:rsidRPr="000E5786">
        <w:rPr>
          <w:rFonts w:cs="Arial"/>
          <w:bCs w:val="0"/>
          <w:szCs w:val="20"/>
        </w:rPr>
        <w:t xml:space="preserve">Paragraph </w:t>
      </w:r>
      <w:r w:rsidRPr="000E5786">
        <w:rPr>
          <w:rFonts w:cs="Arial"/>
          <w:bCs w:val="0"/>
          <w:szCs w:val="20"/>
        </w:rPr>
        <w:fldChar w:fldCharType="begin"/>
      </w:r>
      <w:r w:rsidRPr="000E5786">
        <w:rPr>
          <w:rFonts w:cs="Arial"/>
          <w:bCs w:val="0"/>
          <w:szCs w:val="20"/>
        </w:rPr>
        <w:instrText xml:space="preserve"> REF _Ref80119290 \r \h  \* MERGEFORMAT </w:instrText>
      </w:r>
      <w:r w:rsidRPr="000E5786">
        <w:rPr>
          <w:rFonts w:cs="Arial"/>
          <w:bCs w:val="0"/>
          <w:szCs w:val="20"/>
        </w:rPr>
      </w:r>
      <w:r w:rsidRPr="000E5786">
        <w:rPr>
          <w:rFonts w:cs="Arial"/>
          <w:bCs w:val="0"/>
          <w:szCs w:val="20"/>
        </w:rPr>
        <w:fldChar w:fldCharType="separate"/>
      </w:r>
      <w:r w:rsidRPr="000E5786">
        <w:rPr>
          <w:rFonts w:cs="Arial"/>
          <w:bCs w:val="0"/>
          <w:szCs w:val="20"/>
        </w:rPr>
        <w:t>6.1</w:t>
      </w:r>
      <w:r w:rsidRPr="000E5786">
        <w:rPr>
          <w:rFonts w:cs="Arial"/>
          <w:bCs w:val="0"/>
          <w:szCs w:val="20"/>
        </w:rPr>
        <w:fldChar w:fldCharType="end"/>
      </w:r>
      <w:r w:rsidRPr="000E5786">
        <w:rPr>
          <w:rFonts w:cs="Arial"/>
          <w:szCs w:val="20"/>
        </w:rPr>
        <w:t xml:space="preserve">, the matter shall be escalated directly to the Service Management Review Meeting in accordance with </w:t>
      </w:r>
      <w:r w:rsidRPr="000E5786">
        <w:rPr>
          <w:rFonts w:cs="Arial"/>
          <w:bCs w:val="0"/>
          <w:szCs w:val="20"/>
        </w:rPr>
        <w:t>clause 13.</w:t>
      </w:r>
      <w:bookmarkEnd w:id="2381"/>
    </w:p>
    <w:bookmarkEnd w:id="2380"/>
    <w:p w14:paraId="1E2027CD" w14:textId="77777777" w:rsidR="004C127E" w:rsidRPr="000E5786" w:rsidRDefault="004C127E" w:rsidP="009D675B">
      <w:pPr>
        <w:pStyle w:val="Heading2"/>
        <w:numPr>
          <w:ilvl w:val="1"/>
          <w:numId w:val="141"/>
        </w:numPr>
        <w:spacing w:after="120"/>
        <w:rPr>
          <w:rFonts w:cs="Arial"/>
          <w:szCs w:val="20"/>
        </w:rPr>
      </w:pPr>
      <w:r w:rsidRPr="000E5786">
        <w:rPr>
          <w:rFonts w:cs="Arial"/>
          <w:szCs w:val="20"/>
        </w:rPr>
        <w:t xml:space="preserve">Each Party shall bear its own costs and expenses (and those of any third party retained by it) incurred in relation to the investigation, discussion, agreement and for other resolution of any Change for up to fifteen (15) Working Days of effort per month, or the equivalent thereof. Beyond this Supplier shall be entitled to be paid its reasonable costs and expenses. </w:t>
      </w:r>
    </w:p>
    <w:p w14:paraId="52A3B8AA" w14:textId="4768BB00" w:rsidR="004C127E" w:rsidRPr="000E5786" w:rsidRDefault="004C127E" w:rsidP="009D675B">
      <w:pPr>
        <w:pStyle w:val="Heading2"/>
        <w:numPr>
          <w:ilvl w:val="1"/>
          <w:numId w:val="141"/>
        </w:numPr>
        <w:spacing w:after="120"/>
        <w:rPr>
          <w:rFonts w:cs="Arial"/>
          <w:szCs w:val="20"/>
        </w:rPr>
      </w:pPr>
      <w:r w:rsidRPr="000E5786">
        <w:rPr>
          <w:rFonts w:cs="Arial"/>
          <w:szCs w:val="20"/>
        </w:rPr>
        <w:t xml:space="preserve">The Supplier will promptly provide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without undue delay any information at hand or that they can reasonably acquire that is reasonably required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order that it may evaluate any Change. Where such information is not at hand or readily available the Supplier shall discuss with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the most appropriate means of obtaining said information.</w:t>
      </w:r>
    </w:p>
    <w:p w14:paraId="6DF03FC0" w14:textId="17DACB2A" w:rsidR="004C127E" w:rsidRPr="000E5786" w:rsidRDefault="004C127E" w:rsidP="009D675B">
      <w:pPr>
        <w:pStyle w:val="Heading2"/>
        <w:numPr>
          <w:ilvl w:val="1"/>
          <w:numId w:val="141"/>
        </w:numPr>
        <w:spacing w:after="120"/>
        <w:rPr>
          <w:rFonts w:cs="Arial"/>
          <w:szCs w:val="20"/>
        </w:rPr>
      </w:pPr>
      <w:bookmarkStart w:id="2382" w:name="_Ref260248793"/>
      <w:r w:rsidRPr="000E5786">
        <w:rPr>
          <w:rFonts w:cs="Arial"/>
          <w:szCs w:val="20"/>
        </w:rPr>
        <w:t xml:space="preserve">The Supplier shall at all times act reasonably and properly in relation to all Changes and the preparation of all Change Control Documents and shall also take reasonable steps to minimise the costs of each Change, the time taken to implement each Change and disruption to the Services and </w:t>
      </w:r>
      <w:proofErr w:type="spellStart"/>
      <w:r w:rsidR="001F1C19">
        <w:rPr>
          <w:rFonts w:cs="Arial"/>
          <w:szCs w:val="20"/>
        </w:rPr>
        <w:t>Netlink</w:t>
      </w:r>
      <w:proofErr w:type="spellEnd"/>
      <w:r w:rsidR="001F1C19">
        <w:rPr>
          <w:rFonts w:cs="Arial"/>
          <w:szCs w:val="20"/>
        </w:rPr>
        <w:t xml:space="preserve"> </w:t>
      </w:r>
      <w:proofErr w:type="gramStart"/>
      <w:r w:rsidR="001F1C19">
        <w:rPr>
          <w:rFonts w:cs="Arial"/>
          <w:szCs w:val="20"/>
        </w:rPr>
        <w:t>Star</w:t>
      </w:r>
      <w:proofErr w:type="gramEnd"/>
      <w:r w:rsidRPr="000E5786">
        <w:rPr>
          <w:rFonts w:cs="Arial"/>
          <w:szCs w:val="20"/>
        </w:rPr>
        <w:t xml:space="preserve"> or other </w:t>
      </w:r>
      <w:r w:rsidR="00012FAB" w:rsidRPr="000E5786">
        <w:rPr>
          <w:rFonts w:cs="Arial"/>
          <w:szCs w:val="20"/>
        </w:rPr>
        <w:t>service recipient</w:t>
      </w:r>
      <w:r w:rsidRPr="000E5786">
        <w:rPr>
          <w:rFonts w:cs="Arial"/>
          <w:szCs w:val="20"/>
        </w:rPr>
        <w:t>s associated with making each Change, including by using reasonable endeavours to:</w:t>
      </w:r>
      <w:bookmarkEnd w:id="2382"/>
    </w:p>
    <w:p w14:paraId="34CA9B77" w14:textId="77777777" w:rsidR="004C127E" w:rsidRPr="000E5786" w:rsidRDefault="004C127E" w:rsidP="009D675B">
      <w:pPr>
        <w:pStyle w:val="Heading3"/>
        <w:numPr>
          <w:ilvl w:val="2"/>
          <w:numId w:val="141"/>
        </w:numPr>
      </w:pPr>
      <w:r w:rsidRPr="000E5786">
        <w:t xml:space="preserve">propose ways to reduce the charges associated with implementing the Change, </w:t>
      </w:r>
      <w:proofErr w:type="gramStart"/>
      <w:r w:rsidRPr="000E5786">
        <w:t>e.g.</w:t>
      </w:r>
      <w:proofErr w:type="gramEnd"/>
      <w:r w:rsidRPr="000E5786">
        <w:t xml:space="preserve"> if the Change has been carried out before;</w:t>
      </w:r>
    </w:p>
    <w:p w14:paraId="5BBB01AA" w14:textId="77777777" w:rsidR="004C127E" w:rsidRPr="000E5786" w:rsidRDefault="004C127E" w:rsidP="009D675B">
      <w:pPr>
        <w:pStyle w:val="Heading3"/>
        <w:numPr>
          <w:ilvl w:val="2"/>
          <w:numId w:val="141"/>
        </w:numPr>
      </w:pPr>
      <w:r w:rsidRPr="000E5786">
        <w:t xml:space="preserve">minimise any increase in the ongoing charges, if an increase is required as a result of the </w:t>
      </w:r>
      <w:proofErr w:type="gramStart"/>
      <w:r w:rsidRPr="000E5786">
        <w:t>Change;</w:t>
      </w:r>
      <w:proofErr w:type="gramEnd"/>
    </w:p>
    <w:p w14:paraId="303BC401" w14:textId="77777777" w:rsidR="004C127E" w:rsidRPr="000E5786" w:rsidRDefault="004C127E" w:rsidP="009D675B">
      <w:pPr>
        <w:pStyle w:val="Heading3"/>
        <w:numPr>
          <w:ilvl w:val="2"/>
          <w:numId w:val="141"/>
        </w:numPr>
      </w:pPr>
      <w:r w:rsidRPr="000E5786">
        <w:t xml:space="preserve">maximise any reduction in the ongoing charges that can be achieved as a result of the </w:t>
      </w:r>
      <w:proofErr w:type="gramStart"/>
      <w:r w:rsidRPr="000E5786">
        <w:t>Change;</w:t>
      </w:r>
      <w:proofErr w:type="gramEnd"/>
    </w:p>
    <w:p w14:paraId="7FDB2DC1" w14:textId="378A4411" w:rsidR="004C127E" w:rsidRPr="000E5786" w:rsidRDefault="004C127E" w:rsidP="009D675B">
      <w:pPr>
        <w:pStyle w:val="Heading3"/>
        <w:numPr>
          <w:ilvl w:val="2"/>
          <w:numId w:val="141"/>
        </w:numPr>
      </w:pPr>
      <w:r w:rsidRPr="000E5786">
        <w:lastRenderedPageBreak/>
        <w:t xml:space="preserve">minimise the internal costs of </w:t>
      </w:r>
      <w:proofErr w:type="spellStart"/>
      <w:r w:rsidR="001F1C19">
        <w:t>Netlink</w:t>
      </w:r>
      <w:proofErr w:type="spellEnd"/>
      <w:r w:rsidR="001F1C19">
        <w:t xml:space="preserve"> Star</w:t>
      </w:r>
      <w:r w:rsidRPr="000E5786">
        <w:t xml:space="preserve"> and other </w:t>
      </w:r>
      <w:r w:rsidR="00012FAB" w:rsidRPr="000E5786">
        <w:t>service recipient</w:t>
      </w:r>
      <w:r w:rsidRPr="000E5786">
        <w:t xml:space="preserve">s associated with, or arising from, each </w:t>
      </w:r>
      <w:proofErr w:type="gramStart"/>
      <w:r w:rsidRPr="000E5786">
        <w:t>Change;</w:t>
      </w:r>
      <w:proofErr w:type="gramEnd"/>
    </w:p>
    <w:p w14:paraId="16774BB0" w14:textId="77777777" w:rsidR="004C127E" w:rsidRPr="000E5786" w:rsidRDefault="004C127E" w:rsidP="009D675B">
      <w:pPr>
        <w:pStyle w:val="Heading3"/>
        <w:numPr>
          <w:ilvl w:val="2"/>
          <w:numId w:val="141"/>
        </w:numPr>
      </w:pPr>
      <w:r w:rsidRPr="000E5786">
        <w:t xml:space="preserve">ensure that there is a viable “back out plan” to minimise the impact of any Change that does not occur as </w:t>
      </w:r>
      <w:proofErr w:type="gramStart"/>
      <w:r w:rsidRPr="000E5786">
        <w:t>planned;</w:t>
      </w:r>
      <w:proofErr w:type="gramEnd"/>
    </w:p>
    <w:p w14:paraId="799F5B1A" w14:textId="77777777" w:rsidR="004C127E" w:rsidRPr="000E5786" w:rsidRDefault="004C127E" w:rsidP="009D675B">
      <w:pPr>
        <w:pStyle w:val="Heading3"/>
        <w:numPr>
          <w:ilvl w:val="2"/>
          <w:numId w:val="141"/>
        </w:numPr>
      </w:pPr>
      <w:r w:rsidRPr="000E5786">
        <w:t>continue to provide the Services in accordance with the terms of this Agreement (</w:t>
      </w:r>
      <w:proofErr w:type="gramStart"/>
      <w:r w:rsidRPr="000E5786">
        <w:t>including the Service Levels) at all times</w:t>
      </w:r>
      <w:proofErr w:type="gramEnd"/>
      <w:r w:rsidRPr="000E5786">
        <w:t>; and</w:t>
      </w:r>
    </w:p>
    <w:p w14:paraId="7176EF2D" w14:textId="77777777" w:rsidR="004C127E" w:rsidRPr="000E5786" w:rsidRDefault="004C127E" w:rsidP="009D675B">
      <w:pPr>
        <w:pStyle w:val="Heading3"/>
        <w:numPr>
          <w:ilvl w:val="2"/>
          <w:numId w:val="141"/>
        </w:numPr>
      </w:pPr>
      <w:r w:rsidRPr="000E5786">
        <w:t>calculate the cost of implementation any Change by reference to Schedule 7</w:t>
      </w:r>
      <w:r w:rsidRPr="000E5786">
        <w:rPr>
          <w:i/>
        </w:rPr>
        <w:t>.</w:t>
      </w:r>
    </w:p>
    <w:p w14:paraId="7AC27F90" w14:textId="4E62210F" w:rsidR="004C127E" w:rsidRPr="000E5786" w:rsidRDefault="004C127E" w:rsidP="009D675B">
      <w:pPr>
        <w:pStyle w:val="Heading2"/>
        <w:numPr>
          <w:ilvl w:val="1"/>
          <w:numId w:val="141"/>
        </w:numPr>
        <w:spacing w:after="120"/>
        <w:rPr>
          <w:rFonts w:cs="Arial"/>
          <w:szCs w:val="20"/>
        </w:rPr>
      </w:pPr>
      <w:bookmarkStart w:id="2383" w:name="_Ref260248643"/>
      <w:bookmarkStart w:id="2384" w:name="_Ref80117808"/>
      <w:r w:rsidRPr="000E5786">
        <w:rPr>
          <w:rFonts w:cs="Arial"/>
          <w:szCs w:val="20"/>
        </w:rPr>
        <w:t xml:space="preserve">Whenever a Significant Change is agreed or deemed to be agreed pursuant to </w:t>
      </w:r>
      <w:r w:rsidR="00A80BE8" w:rsidRPr="000E5786">
        <w:rPr>
          <w:rStyle w:val="CrossReference"/>
          <w:rFonts w:cs="Arial"/>
          <w:b w:val="0"/>
          <w:bCs w:val="0"/>
          <w:szCs w:val="20"/>
        </w:rPr>
        <w:t xml:space="preserve">Paragraph </w:t>
      </w:r>
      <w:r w:rsidRPr="000E5786">
        <w:rPr>
          <w:rStyle w:val="CrossReference"/>
          <w:rFonts w:cs="Arial"/>
          <w:b w:val="0"/>
          <w:bCs w:val="0"/>
          <w:szCs w:val="20"/>
        </w:rPr>
        <w:t>2.4</w:t>
      </w:r>
      <w:r w:rsidRPr="000E5786">
        <w:rPr>
          <w:rFonts w:cs="Arial"/>
          <w:szCs w:val="20"/>
        </w:rPr>
        <w:t xml:space="preserve"> the Supplier shall prepare two copies of a Change Approval Notice to be signed by the Supplier and then returned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(who shall sign both copies and return one to the Supplier). </w:t>
      </w:r>
    </w:p>
    <w:p w14:paraId="12A4BF03" w14:textId="77777777" w:rsidR="004C127E" w:rsidRPr="000E5786" w:rsidRDefault="004C127E" w:rsidP="009D675B">
      <w:pPr>
        <w:pStyle w:val="Heading2"/>
        <w:numPr>
          <w:ilvl w:val="1"/>
          <w:numId w:val="141"/>
        </w:numPr>
        <w:spacing w:after="120"/>
        <w:rPr>
          <w:rFonts w:cs="Arial"/>
          <w:szCs w:val="20"/>
        </w:rPr>
      </w:pPr>
      <w:r w:rsidRPr="000E5786">
        <w:rPr>
          <w:rFonts w:cs="Arial"/>
          <w:szCs w:val="20"/>
        </w:rPr>
        <w:t>Each Party:</w:t>
      </w:r>
    </w:p>
    <w:p w14:paraId="554087C4" w14:textId="77777777" w:rsidR="004C127E" w:rsidRPr="000E5786" w:rsidRDefault="004C127E" w:rsidP="009D675B">
      <w:pPr>
        <w:pStyle w:val="Heading3"/>
        <w:numPr>
          <w:ilvl w:val="2"/>
          <w:numId w:val="141"/>
        </w:numPr>
      </w:pPr>
      <w:r w:rsidRPr="000E5786">
        <w:t>shall ensure the Change Approval Notice is signed by someone with the appropriate level of authority; and</w:t>
      </w:r>
    </w:p>
    <w:p w14:paraId="27A55474" w14:textId="14C1D646" w:rsidR="004C127E" w:rsidRPr="000E5786" w:rsidRDefault="004C127E" w:rsidP="009D675B">
      <w:pPr>
        <w:pStyle w:val="Heading3"/>
        <w:numPr>
          <w:ilvl w:val="2"/>
          <w:numId w:val="141"/>
        </w:numPr>
      </w:pPr>
      <w:r w:rsidRPr="000E5786">
        <w:t xml:space="preserve">acknowledges and agrees that any Change Approval Notice not signed by someone with the appropriate level of authority shall be void. </w:t>
      </w:r>
      <w:bookmarkEnd w:id="2383"/>
      <w:bookmarkEnd w:id="2384"/>
    </w:p>
    <w:p w14:paraId="0CA5AF59" w14:textId="48C85595" w:rsidR="004C127E" w:rsidRPr="000E5786" w:rsidRDefault="004C127E" w:rsidP="009D675B">
      <w:pPr>
        <w:pStyle w:val="Heading2"/>
        <w:numPr>
          <w:ilvl w:val="1"/>
          <w:numId w:val="141"/>
        </w:numPr>
        <w:spacing w:after="120"/>
        <w:rPr>
          <w:rFonts w:cs="Arial"/>
          <w:szCs w:val="20"/>
        </w:rPr>
      </w:pPr>
      <w:bookmarkStart w:id="2385" w:name="_Ref260248547"/>
      <w:r w:rsidRPr="000E5786">
        <w:rPr>
          <w:rFonts w:cs="Arial"/>
          <w:szCs w:val="20"/>
        </w:rPr>
        <w:t xml:space="preserve">Upon Changes being approved or deemed approved pursuant to this </w:t>
      </w:r>
      <w:r w:rsidRPr="000E5786">
        <w:rPr>
          <w:rStyle w:val="CrossReference"/>
          <w:rFonts w:cs="Arial"/>
          <w:b w:val="0"/>
          <w:bCs w:val="0"/>
          <w:szCs w:val="20"/>
        </w:rPr>
        <w:t>Schedule 8.2</w:t>
      </w:r>
      <w:r w:rsidRPr="000E5786">
        <w:rPr>
          <w:rFonts w:cs="Arial"/>
          <w:szCs w:val="20"/>
        </w:rPr>
        <w:t>:</w:t>
      </w:r>
      <w:bookmarkEnd w:id="2385"/>
    </w:p>
    <w:p w14:paraId="4B44AE91" w14:textId="77777777" w:rsidR="004C127E" w:rsidRPr="000E5786" w:rsidRDefault="004C127E" w:rsidP="009D675B">
      <w:pPr>
        <w:pStyle w:val="Heading3"/>
        <w:numPr>
          <w:ilvl w:val="2"/>
          <w:numId w:val="141"/>
        </w:numPr>
      </w:pPr>
      <w:r w:rsidRPr="000E5786">
        <w:t xml:space="preserve">this Agreement will be taken to have been amended in accordance with the Change Control </w:t>
      </w:r>
      <w:proofErr w:type="gramStart"/>
      <w:r w:rsidRPr="000E5786">
        <w:t>Documents;</w:t>
      </w:r>
      <w:proofErr w:type="gramEnd"/>
    </w:p>
    <w:p w14:paraId="24E9C439" w14:textId="77777777" w:rsidR="004C127E" w:rsidRPr="000E5786" w:rsidRDefault="004C127E" w:rsidP="009D675B">
      <w:pPr>
        <w:pStyle w:val="Heading3"/>
        <w:numPr>
          <w:ilvl w:val="2"/>
          <w:numId w:val="141"/>
        </w:numPr>
      </w:pPr>
      <w:r w:rsidRPr="000E5786">
        <w:t xml:space="preserve">each Party will notify details of the relevant Change to all relevant staff and </w:t>
      </w:r>
      <w:proofErr w:type="gramStart"/>
      <w:r w:rsidRPr="000E5786">
        <w:t>managers;</w:t>
      </w:r>
      <w:proofErr w:type="gramEnd"/>
    </w:p>
    <w:p w14:paraId="3719867D" w14:textId="77777777" w:rsidR="004C127E" w:rsidRPr="000E5786" w:rsidRDefault="004C127E" w:rsidP="009D675B">
      <w:pPr>
        <w:pStyle w:val="Heading3"/>
        <w:numPr>
          <w:ilvl w:val="2"/>
          <w:numId w:val="141"/>
        </w:numPr>
      </w:pPr>
      <w:r w:rsidRPr="000E5786">
        <w:t>each Party must co-operate with the other and provide all reasonable assistance and information to the other that is needed to implement the relevant Change; and</w:t>
      </w:r>
    </w:p>
    <w:p w14:paraId="694943B2" w14:textId="77777777" w:rsidR="004C127E" w:rsidRPr="000E5786" w:rsidRDefault="004C127E" w:rsidP="009D675B">
      <w:pPr>
        <w:pStyle w:val="Heading3"/>
        <w:numPr>
          <w:ilvl w:val="2"/>
          <w:numId w:val="141"/>
        </w:numPr>
      </w:pPr>
      <w:r w:rsidRPr="000E5786">
        <w:t>the Parties must implement the relevant Change in accordance with this Agreement (as amended by the Change Control Documents).</w:t>
      </w:r>
    </w:p>
    <w:p w14:paraId="3AB6FF26" w14:textId="2AA9B3D9" w:rsidR="004C127E" w:rsidRPr="000E5786" w:rsidRDefault="004C127E" w:rsidP="009D675B">
      <w:pPr>
        <w:pStyle w:val="Heading2"/>
        <w:numPr>
          <w:ilvl w:val="1"/>
          <w:numId w:val="141"/>
        </w:numPr>
        <w:spacing w:after="120"/>
        <w:rPr>
          <w:rFonts w:cs="Arial"/>
          <w:szCs w:val="20"/>
        </w:rPr>
      </w:pPr>
      <w:r w:rsidRPr="000E5786">
        <w:rPr>
          <w:rFonts w:cs="Arial"/>
          <w:szCs w:val="20"/>
        </w:rPr>
        <w:t xml:space="preserve">Until such time as a Change Approval Notice is signed by or on behalf of the Parties in respect of a Significant Change, the Key Representatives have both agreed to a Minor Change or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has given its consent to an Urgent Change the Supplier shall, unless otherwise agreed in writing, continue to supply the Services as if the Change Control Notice in respect of the relevant Change had not been issued.  </w:t>
      </w:r>
    </w:p>
    <w:p w14:paraId="19671578" w14:textId="77777777" w:rsidR="004C127E" w:rsidRPr="000E5786" w:rsidRDefault="004C127E" w:rsidP="009D675B">
      <w:pPr>
        <w:pStyle w:val="Heading2"/>
        <w:numPr>
          <w:ilvl w:val="1"/>
          <w:numId w:val="141"/>
        </w:numPr>
        <w:spacing w:after="120"/>
        <w:rPr>
          <w:rFonts w:cs="Arial"/>
          <w:szCs w:val="20"/>
        </w:rPr>
      </w:pPr>
      <w:r w:rsidRPr="000E5786">
        <w:rPr>
          <w:rFonts w:cs="Arial"/>
          <w:szCs w:val="20"/>
        </w:rPr>
        <w:t>All discussions that take place in relation to a Significant Change prior to the signature by both the Parties of a Change Approval Notice (or in respect of a Minor Change prior to both Key Representations agreeing to that Minor Change) shall be without prejudice to the rights of either Party.</w:t>
      </w:r>
    </w:p>
    <w:p w14:paraId="22AF6D12" w14:textId="3D6B33A7" w:rsidR="004C127E" w:rsidRPr="000E5786" w:rsidRDefault="004C127E" w:rsidP="009D675B">
      <w:pPr>
        <w:pStyle w:val="Heading2"/>
        <w:numPr>
          <w:ilvl w:val="1"/>
          <w:numId w:val="141"/>
        </w:numPr>
        <w:spacing w:after="120"/>
        <w:rPr>
          <w:rFonts w:cs="Arial"/>
          <w:szCs w:val="20"/>
        </w:rPr>
      </w:pPr>
      <w:r w:rsidRPr="000E5786">
        <w:rPr>
          <w:rFonts w:cs="Arial"/>
          <w:szCs w:val="20"/>
        </w:rPr>
        <w:t xml:space="preserve">The Supplier acknowledges that engaging in the Change Control Procedure (including preparing Change Control Analyses and Estimates) is an integral part of the Services and will not cause any delay or degradation to the provision of the other Services, noting that engaging in the Change Control Procedure in a reasonable manner and in good faith may be necessary to avoid a delay or degradation of the Services e.g. end of life equipment, nor will such participation in the Change Control Procedure itself entitle it to any additional payment subject to </w:t>
      </w:r>
      <w:r w:rsidR="00A80BE8" w:rsidRPr="000E5786">
        <w:rPr>
          <w:rFonts w:cs="Arial"/>
          <w:szCs w:val="20"/>
        </w:rPr>
        <w:t xml:space="preserve">Paragraph </w:t>
      </w:r>
      <w:r w:rsidRPr="000E5786">
        <w:rPr>
          <w:rFonts w:cs="Arial"/>
          <w:szCs w:val="20"/>
        </w:rPr>
        <w:t>6.3 above.</w:t>
      </w:r>
    </w:p>
    <w:p w14:paraId="3EF8022A" w14:textId="10C1507E" w:rsidR="004C127E" w:rsidRPr="000E5786" w:rsidRDefault="004C127E" w:rsidP="009D675B">
      <w:pPr>
        <w:pStyle w:val="Heading2"/>
        <w:numPr>
          <w:ilvl w:val="1"/>
          <w:numId w:val="141"/>
        </w:numPr>
        <w:spacing w:after="120"/>
        <w:rPr>
          <w:rFonts w:cs="Arial"/>
          <w:szCs w:val="20"/>
        </w:rPr>
      </w:pPr>
      <w:r w:rsidRPr="000E5786">
        <w:rPr>
          <w:rFonts w:cs="Arial"/>
          <w:szCs w:val="20"/>
        </w:rPr>
        <w:t xml:space="preserve">Either Party may withdraw a Significant Change Control Notice submitted by it at any time until the relevant Significant Change has been agreed or deemed to be agreed by both Parties in accordance with </w:t>
      </w:r>
      <w:r w:rsidR="00A80BE8" w:rsidRPr="000E5786">
        <w:rPr>
          <w:rStyle w:val="CrossReference"/>
          <w:rFonts w:cs="Arial"/>
          <w:b w:val="0"/>
          <w:bCs w:val="0"/>
          <w:szCs w:val="20"/>
        </w:rPr>
        <w:t xml:space="preserve">Paragraph </w:t>
      </w:r>
      <w:r w:rsidRPr="000E5786">
        <w:rPr>
          <w:rStyle w:val="CrossReference"/>
          <w:rFonts w:cs="Arial"/>
          <w:b w:val="0"/>
          <w:bCs w:val="0"/>
          <w:szCs w:val="20"/>
        </w:rPr>
        <w:t>2</w:t>
      </w:r>
      <w:r w:rsidRPr="000E5786">
        <w:rPr>
          <w:rFonts w:cs="Arial"/>
          <w:szCs w:val="20"/>
        </w:rPr>
        <w:t>.</w:t>
      </w:r>
    </w:p>
    <w:p w14:paraId="4B77C8B1" w14:textId="77777777" w:rsidR="004C127E" w:rsidRPr="000E5786" w:rsidRDefault="004C127E" w:rsidP="009D675B">
      <w:pPr>
        <w:pStyle w:val="Heading2"/>
        <w:numPr>
          <w:ilvl w:val="1"/>
          <w:numId w:val="141"/>
        </w:numPr>
        <w:spacing w:after="120"/>
        <w:rPr>
          <w:rFonts w:cs="Arial"/>
          <w:szCs w:val="20"/>
        </w:rPr>
      </w:pPr>
      <w:r w:rsidRPr="000E5786">
        <w:rPr>
          <w:rFonts w:cs="Arial"/>
          <w:szCs w:val="20"/>
        </w:rPr>
        <w:t>The following shall not comprise a Change for the purposes of this Agreement:</w:t>
      </w:r>
    </w:p>
    <w:p w14:paraId="4D5B1A6C" w14:textId="4B654886" w:rsidR="004C127E" w:rsidRPr="000E5786" w:rsidRDefault="004C127E" w:rsidP="009D675B">
      <w:pPr>
        <w:pStyle w:val="Heading3"/>
        <w:numPr>
          <w:ilvl w:val="2"/>
          <w:numId w:val="141"/>
        </w:numPr>
      </w:pPr>
      <w:r w:rsidRPr="000E5786">
        <w:t xml:space="preserve">any change to the Services or the outputs from the Services that </w:t>
      </w:r>
      <w:proofErr w:type="spellStart"/>
      <w:r w:rsidR="001F1C19">
        <w:t>Netlink</w:t>
      </w:r>
      <w:proofErr w:type="spellEnd"/>
      <w:r w:rsidR="001F1C19">
        <w:t xml:space="preserve"> Star</w:t>
      </w:r>
      <w:r w:rsidRPr="000E5786">
        <w:t xml:space="preserve"> has a right to require pursuant to </w:t>
      </w:r>
      <w:r w:rsidRPr="000E5786">
        <w:rPr>
          <w:rStyle w:val="CrossReference"/>
          <w:b w:val="0"/>
          <w:bCs w:val="0"/>
        </w:rPr>
        <w:t>Schedule 2</w:t>
      </w:r>
      <w:r w:rsidRPr="000E5786">
        <w:rPr>
          <w:rStyle w:val="CrossReference"/>
        </w:rPr>
        <w:t xml:space="preserve"> </w:t>
      </w:r>
      <w:r w:rsidRPr="000E5786">
        <w:t>or which it is otherwise anticipated in this Agreement that the Supplier may be required to make in the ordinary course of providing the Services; and</w:t>
      </w:r>
    </w:p>
    <w:p w14:paraId="3B117F32" w14:textId="77777777" w:rsidR="004C127E" w:rsidRPr="000E5786" w:rsidRDefault="004C127E" w:rsidP="009D675B">
      <w:pPr>
        <w:pStyle w:val="Heading3"/>
        <w:numPr>
          <w:ilvl w:val="2"/>
          <w:numId w:val="141"/>
        </w:numPr>
      </w:pPr>
      <w:r w:rsidRPr="000E5786">
        <w:t xml:space="preserve">the process for agreeing new Project Services and Project Sheets. </w:t>
      </w:r>
    </w:p>
    <w:p w14:paraId="757B2BD1" w14:textId="1CF31DC8" w:rsidR="00F40826" w:rsidRPr="000E5786" w:rsidRDefault="004C127E" w:rsidP="009D675B">
      <w:pPr>
        <w:pStyle w:val="Heading2"/>
        <w:numPr>
          <w:ilvl w:val="1"/>
          <w:numId w:val="141"/>
        </w:numPr>
        <w:spacing w:after="120"/>
        <w:rPr>
          <w:rFonts w:cs="Arial"/>
          <w:szCs w:val="20"/>
        </w:rPr>
      </w:pPr>
      <w:r w:rsidRPr="000E5786">
        <w:rPr>
          <w:rFonts w:cs="Arial"/>
          <w:szCs w:val="20"/>
        </w:rPr>
        <w:t>Each Party shall keep the other informed in writing of its current authorised representatives from time to time for the purposes of the Change Control Procedure.</w:t>
      </w:r>
    </w:p>
    <w:p w14:paraId="700D66EB" w14:textId="77777777" w:rsidR="00F40826" w:rsidRPr="000E5786" w:rsidRDefault="00F40826" w:rsidP="00DD60F0">
      <w:pPr>
        <w:pStyle w:val="Level1"/>
        <w:numPr>
          <w:ilvl w:val="0"/>
          <w:numId w:val="0"/>
        </w:numPr>
        <w:spacing w:after="120" w:line="240" w:lineRule="auto"/>
        <w:rPr>
          <w:rFonts w:ascii="Arial" w:hAnsi="Arial" w:cs="Arial"/>
        </w:rPr>
        <w:sectPr w:rsidR="00F40826" w:rsidRPr="000E5786" w:rsidSect="007E4240">
          <w:pgSz w:w="11907" w:h="16840" w:code="9"/>
          <w:pgMar w:top="1418" w:right="1418" w:bottom="1134" w:left="1418" w:header="709" w:footer="709" w:gutter="0"/>
          <w:cols w:space="708"/>
          <w:titlePg/>
          <w:docGrid w:linePitch="360"/>
        </w:sectPr>
      </w:pPr>
    </w:p>
    <w:p w14:paraId="4B163A89" w14:textId="244221D8" w:rsidR="004C62F2" w:rsidRPr="000E5786" w:rsidRDefault="004C62F2" w:rsidP="00DD60F0">
      <w:pPr>
        <w:pStyle w:val="ScheduleSubheading"/>
        <w:numPr>
          <w:ilvl w:val="0"/>
          <w:numId w:val="0"/>
        </w:numPr>
        <w:spacing w:after="120"/>
        <w:rPr>
          <w:rFonts w:cs="Arial"/>
          <w:szCs w:val="20"/>
        </w:rPr>
      </w:pPr>
      <w:bookmarkStart w:id="2386" w:name="_Hlk79495734"/>
      <w:r w:rsidRPr="000E5786">
        <w:rPr>
          <w:rFonts w:cs="Arial"/>
          <w:szCs w:val="20"/>
        </w:rPr>
        <w:lastRenderedPageBreak/>
        <w:t>ANNEX 8.2A</w:t>
      </w:r>
    </w:p>
    <w:p w14:paraId="7DEE57B5" w14:textId="24CEE7FB" w:rsidR="004C62F2" w:rsidRPr="000E5786" w:rsidRDefault="004C62F2" w:rsidP="00DD60F0">
      <w:pPr>
        <w:pStyle w:val="Sch1"/>
        <w:numPr>
          <w:ilvl w:val="0"/>
          <w:numId w:val="0"/>
        </w:numPr>
        <w:spacing w:after="120"/>
        <w:ind w:hanging="709"/>
        <w:jc w:val="center"/>
        <w:rPr>
          <w:rFonts w:cs="Arial"/>
          <w:b/>
          <w:szCs w:val="20"/>
        </w:rPr>
      </w:pPr>
      <w:r w:rsidRPr="000E5786">
        <w:rPr>
          <w:rFonts w:cs="Arial"/>
          <w:b/>
          <w:szCs w:val="20"/>
        </w:rPr>
        <w:t>FORM OF SIGNIFICANT CHANGE CONTROL NOTICE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8"/>
        <w:gridCol w:w="6293"/>
      </w:tblGrid>
      <w:tr w:rsidR="00F40826" w:rsidRPr="000E5786" w14:paraId="68730738" w14:textId="77777777" w:rsidTr="001C3B85">
        <w:tc>
          <w:tcPr>
            <w:tcW w:w="2808" w:type="dxa"/>
          </w:tcPr>
          <w:p w14:paraId="393BA27A" w14:textId="77777777" w:rsidR="00F40826" w:rsidRPr="000E5786" w:rsidRDefault="00F40826" w:rsidP="00DD60F0">
            <w:pPr>
              <w:pStyle w:val="Body"/>
              <w:spacing w:after="120" w:line="240" w:lineRule="auto"/>
              <w:rPr>
                <w:rFonts w:ascii="Arial" w:hAnsi="Arial" w:cs="Arial"/>
                <w:b/>
              </w:rPr>
            </w:pPr>
            <w:r w:rsidRPr="000E5786">
              <w:rPr>
                <w:rFonts w:ascii="Arial" w:hAnsi="Arial" w:cs="Arial"/>
                <w:b/>
              </w:rPr>
              <w:t>Change Request Number</w:t>
            </w:r>
          </w:p>
        </w:tc>
        <w:tc>
          <w:tcPr>
            <w:tcW w:w="6479" w:type="dxa"/>
          </w:tcPr>
          <w:p w14:paraId="3FD4F976" w14:textId="77777777" w:rsidR="00F40826" w:rsidRPr="000E5786" w:rsidRDefault="00F40826" w:rsidP="00DD60F0">
            <w:pPr>
              <w:pStyle w:val="Body"/>
              <w:spacing w:after="120" w:line="240" w:lineRule="auto"/>
              <w:rPr>
                <w:rFonts w:ascii="Arial" w:hAnsi="Arial" w:cs="Arial"/>
              </w:rPr>
            </w:pPr>
            <w:r w:rsidRPr="000E5786">
              <w:rPr>
                <w:rFonts w:ascii="Arial" w:hAnsi="Arial" w:cs="Arial"/>
              </w:rPr>
              <w:t>[</w:t>
            </w:r>
            <w:r w:rsidRPr="000712DC">
              <w:rPr>
                <w:rFonts w:ascii="Arial" w:hAnsi="Arial" w:cs="Arial"/>
                <w:i/>
                <w:highlight w:val="yellow"/>
              </w:rPr>
              <w:t>UNIQUE ID NUMBER OF REQUEST</w:t>
            </w:r>
            <w:r w:rsidRPr="000E5786">
              <w:rPr>
                <w:rFonts w:ascii="Arial" w:hAnsi="Arial" w:cs="Arial"/>
              </w:rPr>
              <w:t>]</w:t>
            </w:r>
          </w:p>
        </w:tc>
      </w:tr>
      <w:tr w:rsidR="00F40826" w:rsidRPr="000E5786" w14:paraId="71AC61E2" w14:textId="77777777" w:rsidTr="001C3B85">
        <w:tc>
          <w:tcPr>
            <w:tcW w:w="2808" w:type="dxa"/>
          </w:tcPr>
          <w:p w14:paraId="1FE8EA01" w14:textId="77777777" w:rsidR="00F40826" w:rsidRPr="000E5786" w:rsidRDefault="00F40826" w:rsidP="00DD60F0">
            <w:pPr>
              <w:pStyle w:val="Body"/>
              <w:spacing w:after="120" w:line="240" w:lineRule="auto"/>
              <w:rPr>
                <w:rFonts w:ascii="Arial" w:hAnsi="Arial" w:cs="Arial"/>
                <w:b/>
              </w:rPr>
            </w:pPr>
            <w:r w:rsidRPr="000E5786">
              <w:rPr>
                <w:rFonts w:ascii="Arial" w:hAnsi="Arial" w:cs="Arial"/>
                <w:b/>
              </w:rPr>
              <w:t>Originator:</w:t>
            </w:r>
          </w:p>
        </w:tc>
        <w:tc>
          <w:tcPr>
            <w:tcW w:w="6479" w:type="dxa"/>
          </w:tcPr>
          <w:p w14:paraId="4565E91A" w14:textId="77777777" w:rsidR="00F40826" w:rsidRPr="000E5786" w:rsidRDefault="00F40826" w:rsidP="00DD60F0">
            <w:pPr>
              <w:pStyle w:val="Body"/>
              <w:spacing w:after="120" w:line="240" w:lineRule="auto"/>
              <w:rPr>
                <w:rFonts w:ascii="Arial" w:hAnsi="Arial" w:cs="Arial"/>
              </w:rPr>
            </w:pPr>
            <w:r w:rsidRPr="000E5786">
              <w:rPr>
                <w:rFonts w:ascii="Arial" w:hAnsi="Arial" w:cs="Arial"/>
              </w:rPr>
              <w:t>[</w:t>
            </w:r>
            <w:r w:rsidRPr="000712DC">
              <w:rPr>
                <w:rFonts w:ascii="Arial" w:hAnsi="Arial" w:cs="Arial"/>
                <w:i/>
                <w:highlight w:val="yellow"/>
              </w:rPr>
              <w:t>NAME OF INDIVIDUAL</w:t>
            </w:r>
            <w:r w:rsidRPr="000E5786">
              <w:rPr>
                <w:rFonts w:ascii="Arial" w:hAnsi="Arial" w:cs="Arial"/>
              </w:rPr>
              <w:t>]</w:t>
            </w:r>
          </w:p>
        </w:tc>
      </w:tr>
      <w:tr w:rsidR="00F40826" w:rsidRPr="000E5786" w14:paraId="678AF25A" w14:textId="77777777" w:rsidTr="001C3B85">
        <w:tc>
          <w:tcPr>
            <w:tcW w:w="2808" w:type="dxa"/>
          </w:tcPr>
          <w:p w14:paraId="7D341A54" w14:textId="77777777" w:rsidR="00F40826" w:rsidRPr="000E5786" w:rsidRDefault="00F40826" w:rsidP="00DD60F0">
            <w:pPr>
              <w:pStyle w:val="Body"/>
              <w:spacing w:after="120" w:line="240" w:lineRule="auto"/>
              <w:rPr>
                <w:rFonts w:ascii="Arial" w:hAnsi="Arial" w:cs="Arial"/>
                <w:b/>
              </w:rPr>
            </w:pPr>
            <w:r w:rsidRPr="000E5786">
              <w:rPr>
                <w:rFonts w:ascii="Arial" w:hAnsi="Arial" w:cs="Arial"/>
                <w:b/>
              </w:rPr>
              <w:t>Originator’s Organisation:</w:t>
            </w:r>
          </w:p>
        </w:tc>
        <w:tc>
          <w:tcPr>
            <w:tcW w:w="6479" w:type="dxa"/>
          </w:tcPr>
          <w:p w14:paraId="52E2F2D7" w14:textId="0AD67575" w:rsidR="00F40826" w:rsidRPr="000E5786" w:rsidRDefault="00F40826" w:rsidP="00DD60F0">
            <w:pPr>
              <w:pStyle w:val="Body"/>
              <w:spacing w:after="120" w:line="240" w:lineRule="auto"/>
              <w:rPr>
                <w:rFonts w:ascii="Arial" w:hAnsi="Arial" w:cs="Arial"/>
              </w:rPr>
            </w:pPr>
            <w:r w:rsidRPr="000E5786">
              <w:rPr>
                <w:rFonts w:ascii="Arial" w:hAnsi="Arial" w:cs="Arial"/>
              </w:rPr>
              <w:t>[</w:t>
            </w:r>
            <w:r w:rsidR="001F1C19">
              <w:rPr>
                <w:rFonts w:ascii="Arial" w:hAnsi="Arial" w:cs="Arial"/>
                <w:i/>
                <w:highlight w:val="yellow"/>
              </w:rPr>
              <w:t>NETLINK STAR</w:t>
            </w:r>
            <w:r w:rsidRPr="000712DC">
              <w:rPr>
                <w:rFonts w:ascii="Arial" w:hAnsi="Arial" w:cs="Arial"/>
                <w:i/>
                <w:highlight w:val="yellow"/>
              </w:rPr>
              <w:t>/SUPPLIER</w:t>
            </w:r>
            <w:r w:rsidRPr="000E5786">
              <w:rPr>
                <w:rFonts w:ascii="Arial" w:hAnsi="Arial" w:cs="Arial"/>
              </w:rPr>
              <w:t>]</w:t>
            </w:r>
          </w:p>
        </w:tc>
      </w:tr>
      <w:tr w:rsidR="00F40826" w:rsidRPr="000E5786" w14:paraId="4B071D5F" w14:textId="77777777" w:rsidTr="001C3B85">
        <w:tc>
          <w:tcPr>
            <w:tcW w:w="2808" w:type="dxa"/>
          </w:tcPr>
          <w:p w14:paraId="58805523" w14:textId="77777777" w:rsidR="00F40826" w:rsidRPr="000E5786" w:rsidRDefault="00F40826" w:rsidP="00DD60F0">
            <w:pPr>
              <w:pStyle w:val="Body"/>
              <w:spacing w:after="120" w:line="240" w:lineRule="auto"/>
              <w:rPr>
                <w:rFonts w:ascii="Arial" w:hAnsi="Arial" w:cs="Arial"/>
                <w:b/>
              </w:rPr>
            </w:pPr>
            <w:r w:rsidRPr="000E5786">
              <w:rPr>
                <w:rFonts w:ascii="Arial" w:hAnsi="Arial" w:cs="Arial"/>
                <w:b/>
              </w:rPr>
              <w:t>Date of Notice:</w:t>
            </w:r>
          </w:p>
        </w:tc>
        <w:tc>
          <w:tcPr>
            <w:tcW w:w="6479" w:type="dxa"/>
          </w:tcPr>
          <w:p w14:paraId="4E4F15E0" w14:textId="77777777" w:rsidR="00F40826" w:rsidRPr="000E5786" w:rsidRDefault="00F40826" w:rsidP="00DD60F0">
            <w:pPr>
              <w:pStyle w:val="Body"/>
              <w:spacing w:after="120" w:line="240" w:lineRule="auto"/>
              <w:rPr>
                <w:rFonts w:ascii="Arial" w:hAnsi="Arial" w:cs="Arial"/>
              </w:rPr>
            </w:pPr>
          </w:p>
        </w:tc>
      </w:tr>
      <w:tr w:rsidR="00F40826" w:rsidRPr="000E5786" w14:paraId="67742F41" w14:textId="77777777" w:rsidTr="001C3B85">
        <w:tc>
          <w:tcPr>
            <w:tcW w:w="2808" w:type="dxa"/>
          </w:tcPr>
          <w:p w14:paraId="6AFEAE09" w14:textId="77777777" w:rsidR="00F40826" w:rsidRPr="000E5786" w:rsidRDefault="00F40826" w:rsidP="00E50E80">
            <w:pPr>
              <w:pStyle w:val="Body"/>
              <w:spacing w:after="120" w:line="240" w:lineRule="auto"/>
              <w:ind w:left="30" w:firstLine="0"/>
              <w:rPr>
                <w:rFonts w:ascii="Arial" w:hAnsi="Arial" w:cs="Arial"/>
                <w:b/>
              </w:rPr>
            </w:pPr>
            <w:r w:rsidRPr="000E5786">
              <w:rPr>
                <w:rFonts w:ascii="Arial" w:hAnsi="Arial" w:cs="Arial"/>
                <w:b/>
              </w:rPr>
              <w:t>Proposed Significant Change:</w:t>
            </w:r>
          </w:p>
        </w:tc>
        <w:tc>
          <w:tcPr>
            <w:tcW w:w="6479" w:type="dxa"/>
          </w:tcPr>
          <w:p w14:paraId="47677805" w14:textId="77777777" w:rsidR="00F40826" w:rsidRPr="000E5786" w:rsidRDefault="00F40826" w:rsidP="00DD60F0">
            <w:pPr>
              <w:pStyle w:val="Body"/>
              <w:spacing w:after="120" w:line="240" w:lineRule="auto"/>
              <w:rPr>
                <w:rFonts w:ascii="Arial" w:hAnsi="Arial" w:cs="Arial"/>
              </w:rPr>
            </w:pPr>
            <w:r w:rsidRPr="000E5786">
              <w:rPr>
                <w:rFonts w:ascii="Arial" w:hAnsi="Arial" w:cs="Arial"/>
              </w:rPr>
              <w:t>[</w:t>
            </w:r>
            <w:r w:rsidRPr="000712DC">
              <w:rPr>
                <w:rFonts w:ascii="Arial" w:hAnsi="Arial" w:cs="Arial"/>
                <w:i/>
                <w:highlight w:val="yellow"/>
              </w:rPr>
              <w:t>DESCRIBE CHANGE</w:t>
            </w:r>
            <w:r w:rsidRPr="000E5786">
              <w:rPr>
                <w:rFonts w:ascii="Arial" w:hAnsi="Arial" w:cs="Arial"/>
              </w:rPr>
              <w:t>]</w:t>
            </w:r>
          </w:p>
        </w:tc>
      </w:tr>
      <w:tr w:rsidR="00F40826" w:rsidRPr="000E5786" w14:paraId="062B6D79" w14:textId="77777777" w:rsidTr="001C3B85">
        <w:tc>
          <w:tcPr>
            <w:tcW w:w="2808" w:type="dxa"/>
          </w:tcPr>
          <w:p w14:paraId="6F45CFD7" w14:textId="77777777" w:rsidR="00F40826" w:rsidRPr="000E5786" w:rsidRDefault="00F40826" w:rsidP="00E50E80">
            <w:pPr>
              <w:pStyle w:val="Body"/>
              <w:spacing w:after="120" w:line="240" w:lineRule="auto"/>
              <w:ind w:left="30" w:firstLine="0"/>
              <w:rPr>
                <w:rFonts w:ascii="Arial" w:hAnsi="Arial" w:cs="Arial"/>
                <w:b/>
              </w:rPr>
            </w:pPr>
            <w:r w:rsidRPr="000E5786">
              <w:rPr>
                <w:rFonts w:ascii="Arial" w:hAnsi="Arial" w:cs="Arial"/>
                <w:b/>
              </w:rPr>
              <w:t>Reasons for Significant Change:</w:t>
            </w:r>
          </w:p>
        </w:tc>
        <w:tc>
          <w:tcPr>
            <w:tcW w:w="6479" w:type="dxa"/>
          </w:tcPr>
          <w:p w14:paraId="64435547" w14:textId="77777777" w:rsidR="00F40826" w:rsidRPr="000E5786" w:rsidRDefault="00F40826" w:rsidP="00DD60F0">
            <w:pPr>
              <w:pStyle w:val="Body"/>
              <w:spacing w:after="120" w:line="240" w:lineRule="auto"/>
              <w:rPr>
                <w:rFonts w:ascii="Arial" w:hAnsi="Arial" w:cs="Arial"/>
              </w:rPr>
            </w:pPr>
            <w:r w:rsidRPr="000E5786">
              <w:rPr>
                <w:rFonts w:ascii="Arial" w:hAnsi="Arial" w:cs="Arial"/>
              </w:rPr>
              <w:t>[</w:t>
            </w:r>
            <w:r w:rsidRPr="000712DC">
              <w:rPr>
                <w:rFonts w:ascii="Arial" w:hAnsi="Arial" w:cs="Arial"/>
                <w:i/>
                <w:highlight w:val="yellow"/>
              </w:rPr>
              <w:t>DESCRIBE RATIONALE FOR CHANGE</w:t>
            </w:r>
            <w:r w:rsidRPr="000E5786">
              <w:rPr>
                <w:rFonts w:ascii="Arial" w:hAnsi="Arial" w:cs="Arial"/>
              </w:rPr>
              <w:t>]</w:t>
            </w:r>
          </w:p>
        </w:tc>
      </w:tr>
      <w:tr w:rsidR="00F40826" w:rsidRPr="000E5786" w14:paraId="7B80ACE9" w14:textId="77777777" w:rsidTr="001C3B85">
        <w:tc>
          <w:tcPr>
            <w:tcW w:w="2808" w:type="dxa"/>
          </w:tcPr>
          <w:p w14:paraId="4B1364EB" w14:textId="77777777" w:rsidR="00F40826" w:rsidRPr="000E5786" w:rsidRDefault="00F40826" w:rsidP="00E50E80">
            <w:pPr>
              <w:pStyle w:val="Body"/>
              <w:spacing w:after="120" w:line="240" w:lineRule="auto"/>
              <w:ind w:left="30" w:firstLine="0"/>
              <w:rPr>
                <w:rFonts w:ascii="Arial" w:hAnsi="Arial" w:cs="Arial"/>
                <w:b/>
              </w:rPr>
            </w:pPr>
            <w:r w:rsidRPr="000E5786">
              <w:rPr>
                <w:rFonts w:ascii="Arial" w:hAnsi="Arial" w:cs="Arial"/>
                <w:b/>
              </w:rPr>
              <w:t>Proposed timetable for implementation:</w:t>
            </w:r>
          </w:p>
        </w:tc>
        <w:tc>
          <w:tcPr>
            <w:tcW w:w="6479" w:type="dxa"/>
          </w:tcPr>
          <w:p w14:paraId="42135A6C" w14:textId="77777777" w:rsidR="00F40826" w:rsidRPr="000E5786" w:rsidRDefault="00F40826" w:rsidP="00DD60F0">
            <w:pPr>
              <w:pStyle w:val="Body"/>
              <w:spacing w:after="120" w:line="240" w:lineRule="auto"/>
              <w:rPr>
                <w:rFonts w:ascii="Arial" w:hAnsi="Arial" w:cs="Arial"/>
              </w:rPr>
            </w:pPr>
            <w:r w:rsidRPr="000E5786">
              <w:rPr>
                <w:rFonts w:ascii="Arial" w:hAnsi="Arial" w:cs="Arial"/>
              </w:rPr>
              <w:t>[</w:t>
            </w:r>
            <w:r w:rsidRPr="000712DC">
              <w:rPr>
                <w:rFonts w:ascii="Arial" w:hAnsi="Arial" w:cs="Arial"/>
                <w:i/>
                <w:highlight w:val="yellow"/>
              </w:rPr>
              <w:t>DESIRED IMPLEMENTATION DATE</w:t>
            </w:r>
            <w:r w:rsidRPr="000E5786">
              <w:rPr>
                <w:rFonts w:ascii="Arial" w:hAnsi="Arial" w:cs="Arial"/>
              </w:rPr>
              <w:t>]</w:t>
            </w:r>
          </w:p>
        </w:tc>
      </w:tr>
      <w:tr w:rsidR="00F40826" w:rsidRPr="000E5786" w14:paraId="772C6484" w14:textId="77777777" w:rsidTr="001C3B85">
        <w:tc>
          <w:tcPr>
            <w:tcW w:w="2808" w:type="dxa"/>
          </w:tcPr>
          <w:p w14:paraId="12765205" w14:textId="77777777" w:rsidR="00F40826" w:rsidRPr="000E5786" w:rsidRDefault="00F40826" w:rsidP="00DD60F0">
            <w:pPr>
              <w:pStyle w:val="Body"/>
              <w:spacing w:after="120" w:line="240" w:lineRule="auto"/>
              <w:rPr>
                <w:rFonts w:ascii="Arial" w:hAnsi="Arial" w:cs="Arial"/>
                <w:b/>
              </w:rPr>
            </w:pPr>
            <w:r w:rsidRPr="000E5786">
              <w:rPr>
                <w:rFonts w:ascii="Arial" w:hAnsi="Arial" w:cs="Arial"/>
                <w:b/>
              </w:rPr>
              <w:t>Urgent Change:</w:t>
            </w:r>
          </w:p>
        </w:tc>
        <w:tc>
          <w:tcPr>
            <w:tcW w:w="6479" w:type="dxa"/>
          </w:tcPr>
          <w:p w14:paraId="60354888" w14:textId="77777777" w:rsidR="00F40826" w:rsidRPr="000E5786" w:rsidRDefault="00F40826" w:rsidP="00DD60F0">
            <w:pPr>
              <w:pStyle w:val="Body"/>
              <w:spacing w:after="120" w:line="240" w:lineRule="auto"/>
              <w:rPr>
                <w:rFonts w:ascii="Arial" w:hAnsi="Arial" w:cs="Arial"/>
              </w:rPr>
            </w:pPr>
            <w:r w:rsidRPr="000E5786">
              <w:rPr>
                <w:rFonts w:ascii="Arial" w:hAnsi="Arial" w:cs="Arial"/>
              </w:rPr>
              <w:t>[</w:t>
            </w:r>
            <w:r w:rsidRPr="000712DC">
              <w:rPr>
                <w:rFonts w:ascii="Arial" w:hAnsi="Arial" w:cs="Arial"/>
                <w:i/>
                <w:highlight w:val="yellow"/>
              </w:rPr>
              <w:t>YES*</w:t>
            </w:r>
            <w:r w:rsidRPr="000E5786">
              <w:rPr>
                <w:rFonts w:ascii="Arial" w:hAnsi="Arial" w:cs="Arial"/>
              </w:rPr>
              <w:t>] [</w:t>
            </w:r>
            <w:r w:rsidRPr="000712DC">
              <w:rPr>
                <w:rFonts w:ascii="Arial" w:hAnsi="Arial" w:cs="Arial"/>
                <w:i/>
                <w:highlight w:val="yellow"/>
              </w:rPr>
              <w:t>NO*</w:t>
            </w:r>
            <w:proofErr w:type="gramStart"/>
            <w:r w:rsidRPr="000E5786">
              <w:rPr>
                <w:rFonts w:ascii="Arial" w:hAnsi="Arial" w:cs="Arial"/>
              </w:rPr>
              <w:t>]  *</w:t>
            </w:r>
            <w:proofErr w:type="gramEnd"/>
            <w:r w:rsidRPr="000E5786">
              <w:rPr>
                <w:rFonts w:ascii="Arial" w:hAnsi="Arial" w:cs="Arial"/>
              </w:rPr>
              <w:t>Delete as appropriate</w:t>
            </w:r>
          </w:p>
        </w:tc>
      </w:tr>
    </w:tbl>
    <w:p w14:paraId="1A6AC3C2" w14:textId="7604EE57" w:rsidR="00F40826" w:rsidRPr="000E5786" w:rsidRDefault="00F40826" w:rsidP="00DD60F0">
      <w:pPr>
        <w:rPr>
          <w:rFonts w:cs="Arial"/>
          <w:b/>
          <w:caps/>
          <w:szCs w:val="20"/>
        </w:rPr>
      </w:pPr>
      <w:r w:rsidRPr="000E5786">
        <w:rPr>
          <w:rFonts w:cs="Arial"/>
          <w:szCs w:val="20"/>
        </w:rPr>
        <w:br w:type="page"/>
      </w:r>
    </w:p>
    <w:p w14:paraId="7866F67D" w14:textId="42082E1E" w:rsidR="00EB717E" w:rsidRDefault="00EB717E" w:rsidP="00EB717E">
      <w:pPr>
        <w:pStyle w:val="ScheduleSubheading"/>
        <w:numPr>
          <w:ilvl w:val="0"/>
          <w:numId w:val="0"/>
        </w:numPr>
      </w:pPr>
      <w:r>
        <w:lastRenderedPageBreak/>
        <w:t>ANNEX 8.2B</w:t>
      </w:r>
    </w:p>
    <w:p w14:paraId="569DB5B4" w14:textId="49CB79E4" w:rsidR="00EB717E" w:rsidRPr="00EB717E" w:rsidRDefault="00EB717E" w:rsidP="00EB717E">
      <w:pPr>
        <w:pStyle w:val="Sch1"/>
        <w:numPr>
          <w:ilvl w:val="0"/>
          <w:numId w:val="0"/>
        </w:numPr>
        <w:jc w:val="center"/>
        <w:rPr>
          <w:b/>
          <w:bCs/>
        </w:rPr>
      </w:pPr>
      <w:r w:rsidRPr="00EB717E">
        <w:rPr>
          <w:b/>
          <w:bCs/>
        </w:rPr>
        <w:t>FORM OF SIGNIFICANT CHANGE CONTROL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8"/>
        <w:gridCol w:w="6293"/>
      </w:tblGrid>
      <w:tr w:rsidR="004C127E" w:rsidRPr="000E5786" w14:paraId="3BADD65B" w14:textId="77777777" w:rsidTr="0026522A">
        <w:tc>
          <w:tcPr>
            <w:tcW w:w="2808" w:type="dxa"/>
          </w:tcPr>
          <w:bookmarkEnd w:id="2386"/>
          <w:p w14:paraId="368BFF2B" w14:textId="77777777" w:rsidR="004C127E" w:rsidRPr="000E5786" w:rsidRDefault="004C127E" w:rsidP="00DD60F0">
            <w:pPr>
              <w:pStyle w:val="Body"/>
              <w:spacing w:after="120" w:line="240" w:lineRule="auto"/>
              <w:rPr>
                <w:rFonts w:ascii="Arial" w:hAnsi="Arial" w:cs="Arial"/>
                <w:b/>
              </w:rPr>
            </w:pPr>
            <w:r w:rsidRPr="000E5786">
              <w:rPr>
                <w:rFonts w:ascii="Arial" w:hAnsi="Arial" w:cs="Arial"/>
                <w:b/>
              </w:rPr>
              <w:t>Change Request Number</w:t>
            </w:r>
          </w:p>
        </w:tc>
        <w:tc>
          <w:tcPr>
            <w:tcW w:w="6479" w:type="dxa"/>
          </w:tcPr>
          <w:p w14:paraId="33C8DC07" w14:textId="77777777" w:rsidR="004C127E" w:rsidRPr="000E5786" w:rsidRDefault="004C127E" w:rsidP="00DD60F0">
            <w:pPr>
              <w:pStyle w:val="Body"/>
              <w:spacing w:after="120" w:line="240" w:lineRule="auto"/>
              <w:rPr>
                <w:rFonts w:ascii="Arial" w:hAnsi="Arial" w:cs="Arial"/>
              </w:rPr>
            </w:pPr>
            <w:r w:rsidRPr="000E5786">
              <w:rPr>
                <w:rFonts w:ascii="Arial" w:hAnsi="Arial" w:cs="Arial"/>
              </w:rPr>
              <w:t>[</w:t>
            </w:r>
            <w:r w:rsidRPr="00EB717E">
              <w:rPr>
                <w:rFonts w:ascii="Arial" w:hAnsi="Arial" w:cs="Arial"/>
                <w:i/>
                <w:highlight w:val="yellow"/>
              </w:rPr>
              <w:t>UNIQUE ID NUMBER OF REQUEST</w:t>
            </w:r>
            <w:r w:rsidRPr="000E5786">
              <w:rPr>
                <w:rFonts w:ascii="Arial" w:hAnsi="Arial" w:cs="Arial"/>
              </w:rPr>
              <w:t>]</w:t>
            </w:r>
          </w:p>
        </w:tc>
      </w:tr>
      <w:tr w:rsidR="004C127E" w:rsidRPr="000E5786" w14:paraId="7A818242" w14:textId="77777777" w:rsidTr="0026522A">
        <w:tc>
          <w:tcPr>
            <w:tcW w:w="2808" w:type="dxa"/>
          </w:tcPr>
          <w:p w14:paraId="1705246C" w14:textId="77777777" w:rsidR="004C127E" w:rsidRPr="000E5786" w:rsidRDefault="004C127E" w:rsidP="00EB717E">
            <w:pPr>
              <w:pStyle w:val="Body"/>
              <w:spacing w:after="120" w:line="240" w:lineRule="auto"/>
              <w:ind w:left="0" w:firstLine="0"/>
              <w:rPr>
                <w:rFonts w:ascii="Arial" w:hAnsi="Arial" w:cs="Arial"/>
                <w:b/>
              </w:rPr>
            </w:pPr>
            <w:r w:rsidRPr="000E5786">
              <w:rPr>
                <w:rFonts w:ascii="Arial" w:hAnsi="Arial" w:cs="Arial"/>
                <w:b/>
              </w:rPr>
              <w:t>Proposed Significant Change:</w:t>
            </w:r>
          </w:p>
        </w:tc>
        <w:tc>
          <w:tcPr>
            <w:tcW w:w="6479" w:type="dxa"/>
          </w:tcPr>
          <w:p w14:paraId="3B530206" w14:textId="77777777" w:rsidR="004C127E" w:rsidRPr="000E5786" w:rsidRDefault="004C127E" w:rsidP="00DD60F0">
            <w:pPr>
              <w:pStyle w:val="Body"/>
              <w:spacing w:after="120" w:line="240" w:lineRule="auto"/>
              <w:rPr>
                <w:rFonts w:ascii="Arial" w:hAnsi="Arial" w:cs="Arial"/>
              </w:rPr>
            </w:pPr>
            <w:r w:rsidRPr="000E5786">
              <w:rPr>
                <w:rFonts w:ascii="Arial" w:hAnsi="Arial" w:cs="Arial"/>
              </w:rPr>
              <w:t>[</w:t>
            </w:r>
            <w:r w:rsidRPr="000712DC">
              <w:rPr>
                <w:rFonts w:ascii="Arial" w:hAnsi="Arial" w:cs="Arial"/>
                <w:i/>
                <w:highlight w:val="yellow"/>
              </w:rPr>
              <w:t>DESCRIBE CHANGE</w:t>
            </w:r>
            <w:r w:rsidRPr="000E5786">
              <w:rPr>
                <w:rFonts w:ascii="Arial" w:hAnsi="Arial" w:cs="Arial"/>
              </w:rPr>
              <w:t>]</w:t>
            </w:r>
          </w:p>
        </w:tc>
      </w:tr>
      <w:tr w:rsidR="004C127E" w:rsidRPr="000E5786" w14:paraId="1AF1FC01" w14:textId="77777777" w:rsidTr="0026522A">
        <w:tc>
          <w:tcPr>
            <w:tcW w:w="2808" w:type="dxa"/>
          </w:tcPr>
          <w:p w14:paraId="556F1543" w14:textId="77777777" w:rsidR="004C127E" w:rsidRPr="000E5786" w:rsidRDefault="004C127E" w:rsidP="00EB717E">
            <w:pPr>
              <w:pStyle w:val="Body"/>
              <w:spacing w:after="120" w:line="240" w:lineRule="auto"/>
              <w:ind w:left="0" w:firstLine="0"/>
              <w:rPr>
                <w:rFonts w:ascii="Arial" w:hAnsi="Arial" w:cs="Arial"/>
                <w:b/>
              </w:rPr>
            </w:pPr>
            <w:r w:rsidRPr="000E5786">
              <w:rPr>
                <w:rFonts w:ascii="Arial" w:hAnsi="Arial" w:cs="Arial"/>
                <w:b/>
              </w:rPr>
              <w:t>Date of Significant Change Control Notice:</w:t>
            </w:r>
          </w:p>
        </w:tc>
        <w:tc>
          <w:tcPr>
            <w:tcW w:w="6479" w:type="dxa"/>
          </w:tcPr>
          <w:p w14:paraId="218F8BC6" w14:textId="77777777" w:rsidR="004C127E" w:rsidRPr="000E5786" w:rsidRDefault="004C127E" w:rsidP="00DD60F0">
            <w:pPr>
              <w:pStyle w:val="Body"/>
              <w:spacing w:after="120" w:line="240" w:lineRule="auto"/>
              <w:rPr>
                <w:rFonts w:ascii="Arial" w:hAnsi="Arial" w:cs="Arial"/>
              </w:rPr>
            </w:pPr>
          </w:p>
        </w:tc>
      </w:tr>
      <w:tr w:rsidR="004C127E" w:rsidRPr="000E5786" w14:paraId="191F93BA" w14:textId="77777777" w:rsidTr="0026522A">
        <w:tc>
          <w:tcPr>
            <w:tcW w:w="2808" w:type="dxa"/>
          </w:tcPr>
          <w:p w14:paraId="505D7A5E" w14:textId="77777777" w:rsidR="004C127E" w:rsidRPr="000E5786" w:rsidRDefault="004C127E" w:rsidP="00EB717E">
            <w:pPr>
              <w:pStyle w:val="Body"/>
              <w:spacing w:after="120" w:line="240" w:lineRule="auto"/>
              <w:ind w:left="0" w:firstLine="0"/>
              <w:rPr>
                <w:rFonts w:ascii="Arial" w:hAnsi="Arial" w:cs="Arial"/>
                <w:b/>
              </w:rPr>
            </w:pPr>
            <w:r w:rsidRPr="000E5786">
              <w:rPr>
                <w:rFonts w:ascii="Arial" w:hAnsi="Arial" w:cs="Arial"/>
                <w:b/>
              </w:rPr>
              <w:t>Date of Change Control Analysis:</w:t>
            </w:r>
          </w:p>
        </w:tc>
        <w:tc>
          <w:tcPr>
            <w:tcW w:w="6479" w:type="dxa"/>
          </w:tcPr>
          <w:p w14:paraId="2D2C5758" w14:textId="77777777" w:rsidR="004C127E" w:rsidRPr="000E5786" w:rsidRDefault="004C127E" w:rsidP="00DD60F0">
            <w:pPr>
              <w:pStyle w:val="Body"/>
              <w:spacing w:after="120" w:line="240" w:lineRule="auto"/>
              <w:rPr>
                <w:rFonts w:ascii="Arial" w:hAnsi="Arial" w:cs="Arial"/>
              </w:rPr>
            </w:pPr>
          </w:p>
        </w:tc>
      </w:tr>
      <w:tr w:rsidR="004C127E" w:rsidRPr="000E5786" w14:paraId="2732BD7D" w14:textId="77777777" w:rsidTr="0026522A">
        <w:tc>
          <w:tcPr>
            <w:tcW w:w="2808" w:type="dxa"/>
          </w:tcPr>
          <w:p w14:paraId="6B73085B" w14:textId="77777777" w:rsidR="004C127E" w:rsidRPr="000E5786" w:rsidRDefault="004C127E" w:rsidP="00EB717E">
            <w:pPr>
              <w:pStyle w:val="Body"/>
              <w:spacing w:after="120" w:line="240" w:lineRule="auto"/>
              <w:ind w:left="0" w:firstLine="0"/>
              <w:rPr>
                <w:rFonts w:ascii="Arial" w:hAnsi="Arial" w:cs="Arial"/>
                <w:b/>
              </w:rPr>
            </w:pPr>
            <w:r w:rsidRPr="000E5786">
              <w:rPr>
                <w:rFonts w:ascii="Arial" w:hAnsi="Arial" w:cs="Arial"/>
                <w:b/>
              </w:rPr>
              <w:t>Impact of the implementation of the Change on the Services:</w:t>
            </w:r>
          </w:p>
        </w:tc>
        <w:tc>
          <w:tcPr>
            <w:tcW w:w="6479" w:type="dxa"/>
          </w:tcPr>
          <w:p w14:paraId="37147755" w14:textId="77777777" w:rsidR="004C127E" w:rsidRPr="000E5786" w:rsidRDefault="004C127E" w:rsidP="00EB717E">
            <w:pPr>
              <w:pStyle w:val="Body"/>
              <w:spacing w:after="120" w:line="240" w:lineRule="auto"/>
              <w:ind w:left="0" w:firstLine="0"/>
              <w:rPr>
                <w:rFonts w:ascii="Arial" w:hAnsi="Arial" w:cs="Arial"/>
              </w:rPr>
            </w:pPr>
            <w:r w:rsidRPr="000E5786">
              <w:rPr>
                <w:rFonts w:ascii="Arial" w:hAnsi="Arial" w:cs="Arial"/>
              </w:rPr>
              <w:t>[</w:t>
            </w:r>
            <w:r w:rsidRPr="00EB717E">
              <w:rPr>
                <w:rFonts w:ascii="Arial" w:hAnsi="Arial" w:cs="Arial"/>
                <w:i/>
                <w:highlight w:val="yellow"/>
              </w:rPr>
              <w:t>DESCRIBE IMPACT OF IMPLEMENTATION OF THE CHANGE.  NB: THIS SHOULD INCLUDE ANY CHANGES TO THE SERVICES THAT WOULD RESULT FROM THE CHANGE (OTHER THAN AMENDMENTS TO THE SERVICE LEVELS), THE RISKS ASSOCIATED WITH IMPLEMENTING THE CHANGE AND HOW THESE COULD BE MITIGATED</w:t>
            </w:r>
            <w:r w:rsidRPr="000E5786">
              <w:rPr>
                <w:rFonts w:ascii="Arial" w:hAnsi="Arial" w:cs="Arial"/>
              </w:rPr>
              <w:t>]</w:t>
            </w:r>
          </w:p>
        </w:tc>
      </w:tr>
      <w:tr w:rsidR="004C127E" w:rsidRPr="000E5786" w14:paraId="4E2E7D72" w14:textId="77777777" w:rsidTr="0026522A">
        <w:tc>
          <w:tcPr>
            <w:tcW w:w="2808" w:type="dxa"/>
          </w:tcPr>
          <w:p w14:paraId="609C346F" w14:textId="77777777" w:rsidR="004C127E" w:rsidRPr="000E5786" w:rsidRDefault="004C127E" w:rsidP="00EB717E">
            <w:pPr>
              <w:pStyle w:val="Body"/>
              <w:spacing w:after="120" w:line="240" w:lineRule="auto"/>
              <w:ind w:left="0" w:firstLine="0"/>
              <w:rPr>
                <w:rFonts w:ascii="Arial" w:hAnsi="Arial" w:cs="Arial"/>
                <w:b/>
              </w:rPr>
            </w:pPr>
            <w:r w:rsidRPr="000E5786">
              <w:rPr>
                <w:rFonts w:ascii="Arial" w:hAnsi="Arial" w:cs="Arial"/>
                <w:b/>
              </w:rPr>
              <w:t>Back-out plan to revert to original Services:</w:t>
            </w:r>
          </w:p>
        </w:tc>
        <w:tc>
          <w:tcPr>
            <w:tcW w:w="6479" w:type="dxa"/>
          </w:tcPr>
          <w:p w14:paraId="63945FDD" w14:textId="77777777" w:rsidR="004C127E" w:rsidRPr="000E5786" w:rsidRDefault="004C127E" w:rsidP="00DD60F0">
            <w:pPr>
              <w:pStyle w:val="Body"/>
              <w:spacing w:after="120" w:line="240" w:lineRule="auto"/>
              <w:rPr>
                <w:rFonts w:ascii="Arial" w:hAnsi="Arial" w:cs="Arial"/>
                <w:i/>
              </w:rPr>
            </w:pPr>
          </w:p>
        </w:tc>
      </w:tr>
      <w:tr w:rsidR="004C127E" w:rsidRPr="000E5786" w14:paraId="0EE45984" w14:textId="77777777" w:rsidTr="0026522A">
        <w:tc>
          <w:tcPr>
            <w:tcW w:w="2808" w:type="dxa"/>
          </w:tcPr>
          <w:p w14:paraId="688F6849" w14:textId="77777777" w:rsidR="004C127E" w:rsidRPr="000E5786" w:rsidRDefault="004C127E" w:rsidP="00EB717E">
            <w:pPr>
              <w:pStyle w:val="Body"/>
              <w:spacing w:after="120" w:line="240" w:lineRule="auto"/>
              <w:ind w:left="0" w:firstLine="0"/>
              <w:rPr>
                <w:rFonts w:ascii="Arial" w:hAnsi="Arial" w:cs="Arial"/>
                <w:b/>
              </w:rPr>
            </w:pPr>
            <w:r w:rsidRPr="000E5786">
              <w:rPr>
                <w:rFonts w:ascii="Arial" w:hAnsi="Arial" w:cs="Arial"/>
                <w:b/>
              </w:rPr>
              <w:t>Impact of the implementation of the Change on Supplier’s cost base for the Services:</w:t>
            </w:r>
          </w:p>
        </w:tc>
        <w:tc>
          <w:tcPr>
            <w:tcW w:w="6479" w:type="dxa"/>
          </w:tcPr>
          <w:p w14:paraId="60A0AB9C" w14:textId="77777777" w:rsidR="004C127E" w:rsidRPr="000E5786" w:rsidRDefault="004C127E" w:rsidP="00EB717E">
            <w:pPr>
              <w:pStyle w:val="Body"/>
              <w:spacing w:after="120" w:line="240" w:lineRule="auto"/>
              <w:ind w:left="0" w:firstLine="0"/>
              <w:rPr>
                <w:rFonts w:ascii="Arial" w:hAnsi="Arial" w:cs="Arial"/>
                <w:i/>
              </w:rPr>
            </w:pPr>
            <w:r w:rsidRPr="000E5786">
              <w:rPr>
                <w:rFonts w:ascii="Arial" w:hAnsi="Arial" w:cs="Arial"/>
                <w:i/>
              </w:rPr>
              <w:t>[</w:t>
            </w:r>
            <w:r w:rsidRPr="00EB717E">
              <w:rPr>
                <w:rFonts w:ascii="Arial" w:hAnsi="Arial" w:cs="Arial"/>
                <w:i/>
                <w:highlight w:val="yellow"/>
              </w:rPr>
              <w:t>TO PROVIDE TRANSPARENCY OF IMPACT ON SUPPLIER’S COST BASE</w:t>
            </w:r>
            <w:r w:rsidRPr="000E5786">
              <w:rPr>
                <w:rFonts w:ascii="Arial" w:hAnsi="Arial" w:cs="Arial"/>
                <w:i/>
              </w:rPr>
              <w:t>]</w:t>
            </w:r>
          </w:p>
        </w:tc>
      </w:tr>
      <w:tr w:rsidR="004C127E" w:rsidRPr="000E5786" w14:paraId="718A5328" w14:textId="77777777" w:rsidTr="0026522A">
        <w:tc>
          <w:tcPr>
            <w:tcW w:w="2808" w:type="dxa"/>
          </w:tcPr>
          <w:p w14:paraId="694AC842" w14:textId="77777777" w:rsidR="004C127E" w:rsidRPr="000E5786" w:rsidRDefault="004C127E" w:rsidP="00EB717E">
            <w:pPr>
              <w:pStyle w:val="Body"/>
              <w:spacing w:after="120" w:line="240" w:lineRule="auto"/>
              <w:ind w:left="0" w:firstLine="0"/>
              <w:rPr>
                <w:rFonts w:ascii="Arial" w:hAnsi="Arial" w:cs="Arial"/>
                <w:b/>
              </w:rPr>
            </w:pPr>
            <w:r w:rsidRPr="000E5786">
              <w:rPr>
                <w:rFonts w:ascii="Arial" w:hAnsi="Arial" w:cs="Arial"/>
                <w:b/>
              </w:rPr>
              <w:t>Details of any changes to the Service Levels that would result from implementation of the Change:</w:t>
            </w:r>
          </w:p>
        </w:tc>
        <w:tc>
          <w:tcPr>
            <w:tcW w:w="6479" w:type="dxa"/>
          </w:tcPr>
          <w:p w14:paraId="74F18BBA" w14:textId="77777777" w:rsidR="004C127E" w:rsidRPr="00EB717E" w:rsidRDefault="004C127E" w:rsidP="00EB717E">
            <w:pPr>
              <w:pStyle w:val="Body"/>
              <w:spacing w:after="120" w:line="240" w:lineRule="auto"/>
              <w:ind w:left="0" w:firstLine="0"/>
              <w:rPr>
                <w:rFonts w:ascii="Arial" w:hAnsi="Arial" w:cs="Arial"/>
                <w:i/>
              </w:rPr>
            </w:pPr>
            <w:r w:rsidRPr="00EB717E">
              <w:rPr>
                <w:rFonts w:ascii="Arial" w:hAnsi="Arial" w:cs="Arial"/>
                <w:i/>
              </w:rPr>
              <w:t>[</w:t>
            </w:r>
            <w:r w:rsidRPr="00EB717E">
              <w:rPr>
                <w:rFonts w:ascii="Arial" w:hAnsi="Arial" w:cs="Arial"/>
                <w:i/>
                <w:highlight w:val="yellow"/>
              </w:rPr>
              <w:t>DESCRIBE ALL CHANGES TO THE SERVICE LEVELS THAT WOULD RESULT FROM IMPLEMENTATION OF THE CHANGE</w:t>
            </w:r>
            <w:r w:rsidRPr="00EB717E">
              <w:rPr>
                <w:rFonts w:ascii="Arial" w:hAnsi="Arial" w:cs="Arial"/>
                <w:i/>
              </w:rPr>
              <w:t>]</w:t>
            </w:r>
          </w:p>
        </w:tc>
      </w:tr>
      <w:tr w:rsidR="004C127E" w:rsidRPr="000E5786" w14:paraId="0DEC15EA" w14:textId="77777777" w:rsidTr="0026522A">
        <w:tc>
          <w:tcPr>
            <w:tcW w:w="2808" w:type="dxa"/>
          </w:tcPr>
          <w:p w14:paraId="62A517A5" w14:textId="77777777" w:rsidR="004C127E" w:rsidRPr="000E5786" w:rsidRDefault="004C127E" w:rsidP="00EB717E">
            <w:pPr>
              <w:pStyle w:val="Body"/>
              <w:spacing w:after="120" w:line="240" w:lineRule="auto"/>
              <w:ind w:left="0" w:firstLine="0"/>
              <w:rPr>
                <w:rFonts w:ascii="Arial" w:hAnsi="Arial" w:cs="Arial"/>
                <w:b/>
              </w:rPr>
            </w:pPr>
            <w:r w:rsidRPr="000E5786">
              <w:rPr>
                <w:rFonts w:ascii="Arial" w:hAnsi="Arial" w:cs="Arial"/>
                <w:b/>
              </w:rPr>
              <w:t>Deliverables required from the Change (if any) and testing:</w:t>
            </w:r>
          </w:p>
        </w:tc>
        <w:tc>
          <w:tcPr>
            <w:tcW w:w="6479" w:type="dxa"/>
          </w:tcPr>
          <w:p w14:paraId="7289075B" w14:textId="77777777" w:rsidR="004C127E" w:rsidRPr="00EB717E" w:rsidRDefault="004C127E" w:rsidP="00EB717E">
            <w:pPr>
              <w:pStyle w:val="Body"/>
              <w:spacing w:after="120" w:line="240" w:lineRule="auto"/>
              <w:ind w:left="0" w:firstLine="0"/>
              <w:rPr>
                <w:rFonts w:ascii="Arial" w:hAnsi="Arial" w:cs="Arial"/>
                <w:i/>
              </w:rPr>
            </w:pPr>
            <w:r w:rsidRPr="00EB717E">
              <w:rPr>
                <w:rFonts w:ascii="Arial" w:hAnsi="Arial" w:cs="Arial"/>
                <w:i/>
              </w:rPr>
              <w:t>[</w:t>
            </w:r>
            <w:r w:rsidRPr="00EB717E">
              <w:rPr>
                <w:rFonts w:ascii="Arial" w:hAnsi="Arial" w:cs="Arial"/>
                <w:i/>
                <w:highlight w:val="yellow"/>
              </w:rPr>
              <w:t>SPECIFY ANY REQUIRED DELIVERABLES, INCLUDING FULL SPECIFICATIONS, AND TESTING REQUIREMENTS</w:t>
            </w:r>
            <w:r w:rsidRPr="00EB717E">
              <w:rPr>
                <w:rFonts w:ascii="Arial" w:hAnsi="Arial" w:cs="Arial"/>
                <w:i/>
              </w:rPr>
              <w:t>]</w:t>
            </w:r>
          </w:p>
        </w:tc>
      </w:tr>
      <w:tr w:rsidR="004C127E" w:rsidRPr="000E5786" w14:paraId="11D27CCB" w14:textId="77777777" w:rsidTr="0026522A">
        <w:tc>
          <w:tcPr>
            <w:tcW w:w="2808" w:type="dxa"/>
          </w:tcPr>
          <w:p w14:paraId="35115C32" w14:textId="77777777" w:rsidR="004C127E" w:rsidRPr="000E5786" w:rsidRDefault="004C127E" w:rsidP="00EB717E">
            <w:pPr>
              <w:pStyle w:val="Body"/>
              <w:spacing w:after="120" w:line="240" w:lineRule="auto"/>
              <w:ind w:left="0" w:firstLine="0"/>
              <w:rPr>
                <w:rFonts w:ascii="Arial" w:hAnsi="Arial" w:cs="Arial"/>
                <w:b/>
              </w:rPr>
            </w:pPr>
            <w:r w:rsidRPr="000E5786">
              <w:rPr>
                <w:rFonts w:ascii="Arial" w:hAnsi="Arial" w:cs="Arial"/>
                <w:b/>
              </w:rPr>
              <w:t>Timetable for implementing Changes (including impacts on the timing of performance of any other obligations and payment profile):</w:t>
            </w:r>
          </w:p>
        </w:tc>
        <w:tc>
          <w:tcPr>
            <w:tcW w:w="6479" w:type="dxa"/>
          </w:tcPr>
          <w:p w14:paraId="760AA7C1" w14:textId="77777777" w:rsidR="004C127E" w:rsidRPr="00EB717E" w:rsidRDefault="004C127E" w:rsidP="00EB717E">
            <w:pPr>
              <w:pStyle w:val="Body"/>
              <w:spacing w:after="120" w:line="240" w:lineRule="auto"/>
              <w:ind w:left="0" w:firstLine="0"/>
              <w:rPr>
                <w:rFonts w:ascii="Arial" w:hAnsi="Arial" w:cs="Arial"/>
                <w:i/>
              </w:rPr>
            </w:pPr>
            <w:r w:rsidRPr="00EB717E">
              <w:rPr>
                <w:rFonts w:ascii="Arial" w:hAnsi="Arial" w:cs="Arial"/>
                <w:i/>
              </w:rPr>
              <w:t>[</w:t>
            </w:r>
            <w:r w:rsidRPr="00EB717E">
              <w:rPr>
                <w:rFonts w:ascii="Arial" w:hAnsi="Arial" w:cs="Arial"/>
                <w:i/>
                <w:highlight w:val="yellow"/>
              </w:rPr>
              <w:t>INCLUDE TIMETABLE, SEPARATE DESCRIPTION OF IMPACTS AND PAYMENT PROFILE</w:t>
            </w:r>
            <w:r w:rsidRPr="00EB717E">
              <w:rPr>
                <w:rFonts w:ascii="Arial" w:hAnsi="Arial" w:cs="Arial"/>
                <w:i/>
              </w:rPr>
              <w:t>]</w:t>
            </w:r>
          </w:p>
        </w:tc>
      </w:tr>
      <w:tr w:rsidR="004C127E" w:rsidRPr="000E5786" w14:paraId="1803FA4C" w14:textId="77777777" w:rsidTr="0026522A">
        <w:tc>
          <w:tcPr>
            <w:tcW w:w="2808" w:type="dxa"/>
          </w:tcPr>
          <w:p w14:paraId="530A3DF4" w14:textId="77777777" w:rsidR="004C127E" w:rsidRPr="000E5786" w:rsidRDefault="004C127E" w:rsidP="00EB717E">
            <w:pPr>
              <w:pStyle w:val="Body"/>
              <w:spacing w:after="120" w:line="240" w:lineRule="auto"/>
              <w:ind w:left="0" w:firstLine="0"/>
              <w:rPr>
                <w:rFonts w:ascii="Arial" w:hAnsi="Arial" w:cs="Arial"/>
                <w:b/>
              </w:rPr>
            </w:pPr>
            <w:r w:rsidRPr="000E5786">
              <w:rPr>
                <w:rFonts w:ascii="Arial" w:hAnsi="Arial" w:cs="Arial"/>
                <w:b/>
              </w:rPr>
              <w:t>Proposed Key Supplier Personnel to be involved in implementing Change;</w:t>
            </w:r>
          </w:p>
        </w:tc>
        <w:tc>
          <w:tcPr>
            <w:tcW w:w="6479" w:type="dxa"/>
          </w:tcPr>
          <w:p w14:paraId="4AF79B0C" w14:textId="77777777" w:rsidR="004C127E" w:rsidRPr="00EB717E" w:rsidRDefault="004C127E" w:rsidP="00EB717E">
            <w:pPr>
              <w:pStyle w:val="Body"/>
              <w:spacing w:after="120" w:line="240" w:lineRule="auto"/>
              <w:ind w:left="0" w:firstLine="0"/>
              <w:rPr>
                <w:rFonts w:ascii="Arial" w:hAnsi="Arial" w:cs="Arial"/>
                <w:i/>
              </w:rPr>
            </w:pPr>
            <w:r w:rsidRPr="00EB717E">
              <w:rPr>
                <w:rFonts w:ascii="Arial" w:hAnsi="Arial" w:cs="Arial"/>
                <w:i/>
              </w:rPr>
              <w:t>[</w:t>
            </w:r>
            <w:r w:rsidRPr="00EB717E">
              <w:rPr>
                <w:rFonts w:ascii="Arial" w:hAnsi="Arial" w:cs="Arial"/>
                <w:i/>
                <w:highlight w:val="yellow"/>
              </w:rPr>
              <w:t>SPECIFY THE NUMBER/CATEGORY OF SUPPLIER PERSONNEL TO BE INVOLVED IN IMPLEMENTING CHANGE AND IDENTIFY ANY [KEY SUPPLIER PERSONNEL] INCLUDED IN THE CHANGE</w:t>
            </w:r>
            <w:r w:rsidRPr="00EB717E">
              <w:rPr>
                <w:rFonts w:ascii="Arial" w:hAnsi="Arial" w:cs="Arial"/>
                <w:i/>
              </w:rPr>
              <w:t>] [Only applicable for T&amp;M projects]</w:t>
            </w:r>
          </w:p>
        </w:tc>
      </w:tr>
      <w:tr w:rsidR="004C127E" w:rsidRPr="000E5786" w14:paraId="431F2B76" w14:textId="77777777" w:rsidTr="0026522A">
        <w:tc>
          <w:tcPr>
            <w:tcW w:w="2808" w:type="dxa"/>
          </w:tcPr>
          <w:p w14:paraId="6BA5EE67" w14:textId="2CCED3A4" w:rsidR="004C127E" w:rsidRPr="000E5786" w:rsidRDefault="004C127E" w:rsidP="00EB717E">
            <w:pPr>
              <w:pStyle w:val="Body"/>
              <w:spacing w:after="120" w:line="240" w:lineRule="auto"/>
              <w:ind w:left="0" w:firstLine="0"/>
              <w:rPr>
                <w:rFonts w:ascii="Arial" w:hAnsi="Arial" w:cs="Arial"/>
                <w:b/>
              </w:rPr>
            </w:pPr>
            <w:r w:rsidRPr="000E5786">
              <w:rPr>
                <w:rFonts w:ascii="Arial" w:hAnsi="Arial" w:cs="Arial"/>
                <w:b/>
              </w:rPr>
              <w:t xml:space="preserve">Number/Category of </w:t>
            </w:r>
            <w:proofErr w:type="spellStart"/>
            <w:r w:rsidR="001F1C19">
              <w:rPr>
                <w:rFonts w:ascii="Arial" w:hAnsi="Arial" w:cs="Arial"/>
                <w:b/>
              </w:rPr>
              <w:t>Netlink</w:t>
            </w:r>
            <w:proofErr w:type="spellEnd"/>
            <w:r w:rsidR="001F1C19">
              <w:rPr>
                <w:rFonts w:ascii="Arial" w:hAnsi="Arial" w:cs="Arial"/>
                <w:b/>
              </w:rPr>
              <w:t xml:space="preserve"> Star</w:t>
            </w:r>
            <w:r w:rsidRPr="000E5786">
              <w:rPr>
                <w:rFonts w:ascii="Arial" w:hAnsi="Arial" w:cs="Arial"/>
                <w:b/>
              </w:rPr>
              <w:t xml:space="preserve"> Personnel to be involved in implementing Change:</w:t>
            </w:r>
          </w:p>
        </w:tc>
        <w:tc>
          <w:tcPr>
            <w:tcW w:w="6479" w:type="dxa"/>
          </w:tcPr>
          <w:p w14:paraId="57B7D97B" w14:textId="159A0C1A" w:rsidR="004C127E" w:rsidRPr="00EB717E" w:rsidRDefault="004C127E" w:rsidP="00EB717E">
            <w:pPr>
              <w:pStyle w:val="Body"/>
              <w:spacing w:after="120" w:line="240" w:lineRule="auto"/>
              <w:ind w:left="0" w:firstLine="0"/>
              <w:rPr>
                <w:rFonts w:ascii="Arial" w:hAnsi="Arial" w:cs="Arial"/>
                <w:i/>
              </w:rPr>
            </w:pPr>
            <w:r w:rsidRPr="00EB717E">
              <w:rPr>
                <w:rFonts w:ascii="Arial" w:hAnsi="Arial" w:cs="Arial"/>
                <w:i/>
              </w:rPr>
              <w:t>[</w:t>
            </w:r>
            <w:r w:rsidRPr="00EB717E">
              <w:rPr>
                <w:rFonts w:ascii="Arial" w:hAnsi="Arial" w:cs="Arial"/>
                <w:i/>
                <w:highlight w:val="yellow"/>
              </w:rPr>
              <w:t xml:space="preserve">SPECIFY THE NUMBER/CATEGORY OF </w:t>
            </w:r>
            <w:r w:rsidR="001F1C19">
              <w:rPr>
                <w:rFonts w:ascii="Arial" w:hAnsi="Arial" w:cs="Arial"/>
                <w:i/>
                <w:highlight w:val="yellow"/>
              </w:rPr>
              <w:t>NETLINK STAR</w:t>
            </w:r>
            <w:r w:rsidRPr="00EB717E">
              <w:rPr>
                <w:rFonts w:ascii="Arial" w:hAnsi="Arial" w:cs="Arial"/>
                <w:i/>
                <w:highlight w:val="yellow"/>
              </w:rPr>
              <w:t xml:space="preserve"> PERSONNEL TO BE INVOLVED IN IMPLEMENTING CHANGE</w:t>
            </w:r>
            <w:r w:rsidRPr="00EB717E">
              <w:rPr>
                <w:rFonts w:ascii="Arial" w:hAnsi="Arial" w:cs="Arial"/>
                <w:i/>
              </w:rPr>
              <w:t>] [Only for T&amp;M projects]</w:t>
            </w:r>
          </w:p>
        </w:tc>
      </w:tr>
      <w:tr w:rsidR="004C127E" w:rsidRPr="000E5786" w14:paraId="4638CDBB" w14:textId="77777777" w:rsidTr="0026522A">
        <w:tc>
          <w:tcPr>
            <w:tcW w:w="2808" w:type="dxa"/>
          </w:tcPr>
          <w:p w14:paraId="1DD3174D" w14:textId="51CF0CE6" w:rsidR="004C127E" w:rsidRPr="000E5786" w:rsidRDefault="004C127E" w:rsidP="00EB717E">
            <w:pPr>
              <w:pStyle w:val="Body"/>
              <w:spacing w:after="120" w:line="240" w:lineRule="auto"/>
              <w:ind w:left="0" w:firstLine="0"/>
              <w:rPr>
                <w:rFonts w:ascii="Arial" w:hAnsi="Arial" w:cs="Arial"/>
                <w:b/>
              </w:rPr>
            </w:pPr>
            <w:r w:rsidRPr="000E5786">
              <w:rPr>
                <w:rFonts w:ascii="Arial" w:hAnsi="Arial" w:cs="Arial"/>
                <w:b/>
              </w:rPr>
              <w:t xml:space="preserve">Summary of the likely impact of </w:t>
            </w:r>
            <w:proofErr w:type="spellStart"/>
            <w:r w:rsidR="001F1C19">
              <w:rPr>
                <w:rFonts w:ascii="Arial" w:hAnsi="Arial" w:cs="Arial"/>
                <w:b/>
              </w:rPr>
              <w:t>Netlink</w:t>
            </w:r>
            <w:proofErr w:type="spellEnd"/>
            <w:r w:rsidR="001F1C19">
              <w:rPr>
                <w:rFonts w:ascii="Arial" w:hAnsi="Arial" w:cs="Arial"/>
                <w:b/>
              </w:rPr>
              <w:t xml:space="preserve"> Star</w:t>
            </w:r>
            <w:r w:rsidRPr="000E5786">
              <w:rPr>
                <w:rFonts w:ascii="Arial" w:hAnsi="Arial" w:cs="Arial"/>
                <w:b/>
              </w:rPr>
              <w:t>’s rejection of the Change Control Request:</w:t>
            </w:r>
            <w:r w:rsidRPr="00EB717E">
              <w:rPr>
                <w:b/>
              </w:rPr>
              <w:t xml:space="preserve"> </w:t>
            </w:r>
          </w:p>
          <w:p w14:paraId="463198C0" w14:textId="77777777" w:rsidR="004C127E" w:rsidRPr="000E5786" w:rsidRDefault="004C127E" w:rsidP="00EB717E">
            <w:pPr>
              <w:pStyle w:val="Body"/>
              <w:spacing w:after="120" w:line="240" w:lineRule="auto"/>
              <w:ind w:left="0" w:firstLine="0"/>
              <w:rPr>
                <w:rFonts w:ascii="Arial" w:hAnsi="Arial" w:cs="Arial"/>
                <w:b/>
              </w:rPr>
            </w:pPr>
            <w:r w:rsidRPr="000E5786">
              <w:rPr>
                <w:rFonts w:ascii="Arial" w:hAnsi="Arial" w:cs="Arial"/>
                <w:b/>
              </w:rPr>
              <w:t>[</w:t>
            </w:r>
            <w:r w:rsidRPr="00EB717E">
              <w:rPr>
                <w:rFonts w:ascii="Arial" w:hAnsi="Arial" w:cs="Arial"/>
                <w:b/>
              </w:rPr>
              <w:t>NB only required if the Supplier served the Change Control Notice</w:t>
            </w:r>
            <w:r w:rsidRPr="000E5786">
              <w:rPr>
                <w:rFonts w:ascii="Arial" w:hAnsi="Arial" w:cs="Arial"/>
                <w:b/>
              </w:rPr>
              <w:t>]</w:t>
            </w:r>
          </w:p>
        </w:tc>
        <w:tc>
          <w:tcPr>
            <w:tcW w:w="6479" w:type="dxa"/>
          </w:tcPr>
          <w:p w14:paraId="77BDC4EE" w14:textId="0F2EAA06" w:rsidR="004C127E" w:rsidRPr="00EB717E" w:rsidRDefault="004C127E" w:rsidP="00EB717E">
            <w:pPr>
              <w:pStyle w:val="Body"/>
              <w:spacing w:after="120" w:line="240" w:lineRule="auto"/>
              <w:ind w:left="0" w:firstLine="0"/>
              <w:rPr>
                <w:rFonts w:ascii="Arial" w:hAnsi="Arial" w:cs="Arial"/>
                <w:i/>
              </w:rPr>
            </w:pPr>
            <w:r w:rsidRPr="00EB717E">
              <w:rPr>
                <w:rFonts w:ascii="Arial" w:hAnsi="Arial" w:cs="Arial"/>
                <w:i/>
              </w:rPr>
              <w:t>[</w:t>
            </w:r>
            <w:r w:rsidRPr="00EB717E">
              <w:rPr>
                <w:rFonts w:ascii="Arial" w:hAnsi="Arial" w:cs="Arial"/>
                <w:i/>
                <w:highlight w:val="yellow"/>
              </w:rPr>
              <w:t xml:space="preserve">DESCRIBE THE LIKELY IMPACT OF </w:t>
            </w:r>
            <w:r w:rsidR="001F1C19">
              <w:rPr>
                <w:rFonts w:ascii="Arial" w:hAnsi="Arial" w:cs="Arial"/>
                <w:i/>
                <w:highlight w:val="yellow"/>
              </w:rPr>
              <w:t>NETLINK STAR</w:t>
            </w:r>
            <w:r w:rsidRPr="00EB717E">
              <w:rPr>
                <w:rFonts w:ascii="Arial" w:hAnsi="Arial" w:cs="Arial"/>
                <w:i/>
                <w:highlight w:val="yellow"/>
              </w:rPr>
              <w:t>’S REJECTION OF THE CHANGE CONTROL REQUEST</w:t>
            </w:r>
            <w:r w:rsidRPr="00EB717E">
              <w:rPr>
                <w:rFonts w:ascii="Arial" w:hAnsi="Arial" w:cs="Arial"/>
                <w:i/>
              </w:rPr>
              <w:t>]</w:t>
            </w:r>
          </w:p>
        </w:tc>
      </w:tr>
      <w:tr w:rsidR="004C127E" w:rsidRPr="000E5786" w14:paraId="264400FD" w14:textId="77777777" w:rsidTr="0026522A">
        <w:tc>
          <w:tcPr>
            <w:tcW w:w="2808" w:type="dxa"/>
          </w:tcPr>
          <w:p w14:paraId="0C394EBC" w14:textId="77777777" w:rsidR="004C127E" w:rsidRPr="000E5786" w:rsidRDefault="004C127E" w:rsidP="00EB717E">
            <w:pPr>
              <w:pStyle w:val="Body"/>
              <w:spacing w:after="120" w:line="240" w:lineRule="auto"/>
              <w:ind w:left="0" w:firstLine="0"/>
              <w:rPr>
                <w:rFonts w:ascii="Arial" w:hAnsi="Arial" w:cs="Arial"/>
                <w:b/>
              </w:rPr>
            </w:pPr>
            <w:r w:rsidRPr="000E5786">
              <w:rPr>
                <w:rFonts w:ascii="Arial" w:hAnsi="Arial" w:cs="Arial"/>
                <w:b/>
              </w:rPr>
              <w:t>Acceptance Criteria:</w:t>
            </w:r>
          </w:p>
        </w:tc>
        <w:tc>
          <w:tcPr>
            <w:tcW w:w="6479" w:type="dxa"/>
          </w:tcPr>
          <w:p w14:paraId="0D8E46EF" w14:textId="77777777" w:rsidR="004C127E" w:rsidRPr="00EB717E" w:rsidRDefault="004C127E" w:rsidP="00EB717E">
            <w:pPr>
              <w:pStyle w:val="Body"/>
              <w:spacing w:after="120" w:line="240" w:lineRule="auto"/>
              <w:ind w:left="0" w:firstLine="0"/>
              <w:rPr>
                <w:rFonts w:ascii="Arial" w:hAnsi="Arial" w:cs="Arial"/>
                <w:i/>
              </w:rPr>
            </w:pPr>
          </w:p>
        </w:tc>
      </w:tr>
      <w:tr w:rsidR="004C127E" w:rsidRPr="000E5786" w14:paraId="02B186DA" w14:textId="77777777" w:rsidTr="0026522A">
        <w:tc>
          <w:tcPr>
            <w:tcW w:w="2808" w:type="dxa"/>
          </w:tcPr>
          <w:p w14:paraId="19E6AC4D" w14:textId="0C3D7330" w:rsidR="004C127E" w:rsidRPr="000E5786" w:rsidRDefault="001F1C19" w:rsidP="00EB717E">
            <w:pPr>
              <w:pStyle w:val="Body"/>
              <w:spacing w:after="120" w:line="240" w:lineRule="auto"/>
              <w:ind w:left="0" w:firstLine="0"/>
              <w:rPr>
                <w:rFonts w:ascii="Arial" w:hAnsi="Arial" w:cs="Arial"/>
                <w:b/>
              </w:rPr>
            </w:pPr>
            <w:proofErr w:type="spellStart"/>
            <w:r>
              <w:rPr>
                <w:rFonts w:ascii="Arial" w:hAnsi="Arial" w:cs="Arial"/>
                <w:b/>
              </w:rPr>
              <w:lastRenderedPageBreak/>
              <w:t>Netlink</w:t>
            </w:r>
            <w:proofErr w:type="spellEnd"/>
            <w:r>
              <w:rPr>
                <w:rFonts w:ascii="Arial" w:hAnsi="Arial" w:cs="Arial"/>
                <w:b/>
              </w:rPr>
              <w:t xml:space="preserve"> Star</w:t>
            </w:r>
            <w:r w:rsidR="004C127E" w:rsidRPr="000E5786">
              <w:rPr>
                <w:rFonts w:ascii="Arial" w:hAnsi="Arial" w:cs="Arial"/>
                <w:b/>
              </w:rPr>
              <w:t xml:space="preserve"> Dependencies</w:t>
            </w:r>
          </w:p>
        </w:tc>
        <w:tc>
          <w:tcPr>
            <w:tcW w:w="6479" w:type="dxa"/>
          </w:tcPr>
          <w:p w14:paraId="416CB6E7" w14:textId="2C78A519" w:rsidR="004C127E" w:rsidRPr="00EB717E" w:rsidRDefault="004C127E" w:rsidP="00EB717E">
            <w:pPr>
              <w:pStyle w:val="Body"/>
              <w:spacing w:after="120" w:line="240" w:lineRule="auto"/>
              <w:ind w:left="0" w:firstLine="0"/>
              <w:rPr>
                <w:rFonts w:ascii="Arial" w:hAnsi="Arial" w:cs="Arial"/>
                <w:i/>
              </w:rPr>
            </w:pPr>
            <w:r w:rsidRPr="00EB717E">
              <w:rPr>
                <w:rFonts w:ascii="Arial" w:hAnsi="Arial" w:cs="Arial"/>
                <w:i/>
              </w:rPr>
              <w:t>[</w:t>
            </w:r>
            <w:r w:rsidRPr="00EB717E">
              <w:rPr>
                <w:rFonts w:ascii="Arial" w:hAnsi="Arial" w:cs="Arial"/>
                <w:i/>
                <w:highlight w:val="yellow"/>
              </w:rPr>
              <w:t xml:space="preserve">LIST WHAT IS REQUIRED OF </w:t>
            </w:r>
            <w:r w:rsidR="001F1C19">
              <w:rPr>
                <w:rFonts w:ascii="Arial" w:hAnsi="Arial" w:cs="Arial"/>
                <w:i/>
                <w:highlight w:val="yellow"/>
              </w:rPr>
              <w:t>NETLINK STAR</w:t>
            </w:r>
            <w:r w:rsidRPr="00EB717E">
              <w:rPr>
                <w:rFonts w:ascii="Arial" w:hAnsi="Arial" w:cs="Arial"/>
                <w:i/>
              </w:rPr>
              <w:t>]</w:t>
            </w:r>
          </w:p>
        </w:tc>
      </w:tr>
      <w:tr w:rsidR="004C127E" w:rsidRPr="000E5786" w14:paraId="1738771F" w14:textId="77777777" w:rsidTr="0026522A">
        <w:tc>
          <w:tcPr>
            <w:tcW w:w="2808" w:type="dxa"/>
          </w:tcPr>
          <w:p w14:paraId="6F8EFEE2" w14:textId="77777777" w:rsidR="004C127E" w:rsidRPr="000E5786" w:rsidRDefault="004C127E" w:rsidP="00EB717E">
            <w:pPr>
              <w:pStyle w:val="Body"/>
              <w:spacing w:after="120" w:line="240" w:lineRule="auto"/>
              <w:ind w:left="0" w:firstLine="0"/>
              <w:rPr>
                <w:rFonts w:ascii="Arial" w:hAnsi="Arial" w:cs="Arial"/>
                <w:b/>
              </w:rPr>
            </w:pPr>
            <w:r w:rsidRPr="000E5786">
              <w:rPr>
                <w:rFonts w:ascii="Arial" w:hAnsi="Arial" w:cs="Arial"/>
                <w:b/>
              </w:rPr>
              <w:t>Other Prerequisites</w:t>
            </w:r>
          </w:p>
        </w:tc>
        <w:tc>
          <w:tcPr>
            <w:tcW w:w="6479" w:type="dxa"/>
          </w:tcPr>
          <w:p w14:paraId="5BD50BF4" w14:textId="77777777" w:rsidR="004C127E" w:rsidRPr="00EB717E" w:rsidRDefault="004C127E" w:rsidP="00EB717E">
            <w:pPr>
              <w:pStyle w:val="Body"/>
              <w:spacing w:after="120" w:line="240" w:lineRule="auto"/>
              <w:ind w:left="0" w:firstLine="0"/>
              <w:rPr>
                <w:rFonts w:ascii="Arial" w:hAnsi="Arial" w:cs="Arial"/>
                <w:i/>
              </w:rPr>
            </w:pPr>
            <w:r w:rsidRPr="00EB717E">
              <w:rPr>
                <w:rFonts w:ascii="Arial" w:hAnsi="Arial" w:cs="Arial"/>
                <w:i/>
              </w:rPr>
              <w:t>[</w:t>
            </w:r>
            <w:r w:rsidRPr="00EB717E">
              <w:rPr>
                <w:rFonts w:ascii="Arial" w:hAnsi="Arial" w:cs="Arial"/>
                <w:i/>
                <w:highlight w:val="yellow"/>
              </w:rPr>
              <w:t xml:space="preserve">LIST ANYTHING ELSE NEEDED, </w:t>
            </w:r>
            <w:proofErr w:type="spellStart"/>
            <w:r w:rsidRPr="00EB717E">
              <w:rPr>
                <w:rFonts w:ascii="Arial" w:hAnsi="Arial" w:cs="Arial"/>
                <w:i/>
                <w:highlight w:val="yellow"/>
              </w:rPr>
              <w:t>eg.</w:t>
            </w:r>
            <w:proofErr w:type="spellEnd"/>
            <w:r w:rsidRPr="00EB717E">
              <w:rPr>
                <w:rFonts w:ascii="Arial" w:hAnsi="Arial" w:cs="Arial"/>
                <w:i/>
                <w:highlight w:val="yellow"/>
              </w:rPr>
              <w:t xml:space="preserve"> SOFTWARE LICENCES</w:t>
            </w:r>
            <w:r w:rsidRPr="00EB717E">
              <w:rPr>
                <w:rFonts w:ascii="Arial" w:hAnsi="Arial" w:cs="Arial"/>
                <w:i/>
              </w:rPr>
              <w:t>]</w:t>
            </w:r>
          </w:p>
        </w:tc>
      </w:tr>
      <w:tr w:rsidR="004C127E" w:rsidRPr="000E5786" w14:paraId="695167FB" w14:textId="77777777" w:rsidTr="0026522A">
        <w:tc>
          <w:tcPr>
            <w:tcW w:w="2808" w:type="dxa"/>
          </w:tcPr>
          <w:p w14:paraId="6C3E8DD1" w14:textId="77777777" w:rsidR="004C127E" w:rsidRPr="000E5786" w:rsidRDefault="004C127E" w:rsidP="00EB717E">
            <w:pPr>
              <w:pStyle w:val="Body"/>
              <w:spacing w:after="120" w:line="240" w:lineRule="auto"/>
              <w:ind w:left="0" w:firstLine="0"/>
              <w:rPr>
                <w:rFonts w:ascii="Arial" w:hAnsi="Arial" w:cs="Arial"/>
                <w:b/>
              </w:rPr>
            </w:pPr>
            <w:r w:rsidRPr="000E5786">
              <w:rPr>
                <w:rFonts w:ascii="Arial" w:hAnsi="Arial" w:cs="Arial"/>
                <w:b/>
              </w:rPr>
              <w:t>Any other Relevant Information:</w:t>
            </w:r>
          </w:p>
        </w:tc>
        <w:tc>
          <w:tcPr>
            <w:tcW w:w="6479" w:type="dxa"/>
          </w:tcPr>
          <w:p w14:paraId="36D3758D" w14:textId="77777777" w:rsidR="004C127E" w:rsidRPr="00EB717E" w:rsidRDefault="004C127E" w:rsidP="00EB717E">
            <w:pPr>
              <w:pStyle w:val="Body"/>
              <w:spacing w:after="120" w:line="240" w:lineRule="auto"/>
              <w:ind w:left="0" w:firstLine="0"/>
              <w:rPr>
                <w:rFonts w:ascii="Arial" w:hAnsi="Arial" w:cs="Arial"/>
                <w:i/>
              </w:rPr>
            </w:pPr>
            <w:r w:rsidRPr="00EB717E">
              <w:rPr>
                <w:rFonts w:ascii="Arial" w:hAnsi="Arial" w:cs="Arial"/>
                <w:i/>
              </w:rPr>
              <w:t>[</w:t>
            </w:r>
            <w:r w:rsidRPr="00EB717E">
              <w:rPr>
                <w:rFonts w:ascii="Arial" w:hAnsi="Arial" w:cs="Arial"/>
                <w:i/>
                <w:highlight w:val="yellow"/>
              </w:rPr>
              <w:t>DESCRIBE ANY OTHER FACTORS OR INFORMATION THAT IS RELEVANT TO THE CONSIDERATION OF THE CHANGE</w:t>
            </w:r>
            <w:r w:rsidRPr="00EB717E">
              <w:rPr>
                <w:rFonts w:ascii="Arial" w:hAnsi="Arial" w:cs="Arial"/>
                <w:i/>
              </w:rPr>
              <w:t>]</w:t>
            </w:r>
          </w:p>
        </w:tc>
      </w:tr>
    </w:tbl>
    <w:p w14:paraId="730EE624" w14:textId="77777777" w:rsidR="004C127E" w:rsidRPr="000E5786" w:rsidRDefault="004C127E" w:rsidP="00DD60F0">
      <w:pPr>
        <w:pStyle w:val="Body"/>
        <w:spacing w:after="120" w:line="240" w:lineRule="auto"/>
        <w:rPr>
          <w:rFonts w:ascii="Arial" w:hAnsi="Arial" w:cs="Arial"/>
        </w:rPr>
      </w:pPr>
    </w:p>
    <w:p w14:paraId="1D9FEABE" w14:textId="77777777" w:rsidR="004C127E" w:rsidRPr="000E5786" w:rsidRDefault="004C127E" w:rsidP="00DD60F0">
      <w:pPr>
        <w:pStyle w:val="Body"/>
        <w:spacing w:after="120" w:line="240" w:lineRule="auto"/>
        <w:rPr>
          <w:rFonts w:ascii="Arial" w:hAnsi="Arial" w:cs="Arial"/>
        </w:rPr>
        <w:sectPr w:rsidR="004C127E" w:rsidRPr="000E5786" w:rsidSect="007E4240">
          <w:pgSz w:w="11907" w:h="16840" w:code="9"/>
          <w:pgMar w:top="1418" w:right="1418" w:bottom="1134" w:left="1418" w:header="567" w:footer="340" w:gutter="0"/>
          <w:cols w:space="720"/>
          <w:docGrid w:linePitch="272"/>
        </w:sectPr>
      </w:pPr>
    </w:p>
    <w:p w14:paraId="3895FD98" w14:textId="45B0F982" w:rsidR="00EB717E" w:rsidRDefault="00EB717E" w:rsidP="00EB717E">
      <w:pPr>
        <w:pStyle w:val="ScheduleSubheading"/>
        <w:numPr>
          <w:ilvl w:val="0"/>
          <w:numId w:val="0"/>
        </w:numPr>
      </w:pPr>
      <w:r>
        <w:lastRenderedPageBreak/>
        <w:t>ANNEX 8.2C</w:t>
      </w:r>
    </w:p>
    <w:p w14:paraId="69C6FE4E" w14:textId="0B9CCC92" w:rsidR="00EB717E" w:rsidRPr="00EB717E" w:rsidRDefault="00EB717E" w:rsidP="00EB717E">
      <w:pPr>
        <w:pStyle w:val="Sch1"/>
        <w:numPr>
          <w:ilvl w:val="0"/>
          <w:numId w:val="0"/>
        </w:numPr>
        <w:jc w:val="center"/>
        <w:rPr>
          <w:b/>
          <w:bCs/>
        </w:rPr>
      </w:pPr>
      <w:r w:rsidRPr="00EB717E">
        <w:rPr>
          <w:b/>
          <w:bCs/>
        </w:rPr>
        <w:t>FORM OF CHANGE APPROVAL NOTICE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0"/>
        <w:gridCol w:w="3138"/>
        <w:gridCol w:w="3153"/>
      </w:tblGrid>
      <w:tr w:rsidR="004C127E" w:rsidRPr="000E5786" w14:paraId="2D22FA91" w14:textId="77777777" w:rsidTr="00521DC3">
        <w:tc>
          <w:tcPr>
            <w:tcW w:w="2770" w:type="dxa"/>
          </w:tcPr>
          <w:p w14:paraId="3AFFEEC8" w14:textId="77777777" w:rsidR="004C127E" w:rsidRPr="000E5786" w:rsidRDefault="004C127E" w:rsidP="00DD60F0">
            <w:pPr>
              <w:pStyle w:val="Body"/>
              <w:spacing w:after="120" w:line="240" w:lineRule="auto"/>
              <w:rPr>
                <w:rFonts w:ascii="Arial" w:hAnsi="Arial" w:cs="Arial"/>
                <w:b/>
              </w:rPr>
            </w:pPr>
            <w:r w:rsidRPr="000E5786">
              <w:rPr>
                <w:rFonts w:ascii="Arial" w:hAnsi="Arial" w:cs="Arial"/>
                <w:b/>
              </w:rPr>
              <w:t>Change Request Number:</w:t>
            </w:r>
            <w:r w:rsidRPr="000E5786">
              <w:rPr>
                <w:rStyle w:val="FootnoteReference"/>
                <w:rFonts w:ascii="Arial" w:hAnsi="Arial" w:cs="Arial"/>
              </w:rPr>
              <w:t xml:space="preserve"> </w:t>
            </w:r>
          </w:p>
        </w:tc>
        <w:tc>
          <w:tcPr>
            <w:tcW w:w="6291" w:type="dxa"/>
            <w:gridSpan w:val="2"/>
          </w:tcPr>
          <w:p w14:paraId="07784CB2" w14:textId="77777777" w:rsidR="004C127E" w:rsidRPr="000E5786" w:rsidRDefault="004C127E" w:rsidP="00DD60F0">
            <w:pPr>
              <w:pStyle w:val="Body"/>
              <w:spacing w:after="120" w:line="240" w:lineRule="auto"/>
              <w:rPr>
                <w:rFonts w:ascii="Arial" w:hAnsi="Arial" w:cs="Arial"/>
              </w:rPr>
            </w:pPr>
            <w:r w:rsidRPr="000E5786">
              <w:rPr>
                <w:rFonts w:ascii="Arial" w:hAnsi="Arial" w:cs="Arial"/>
              </w:rPr>
              <w:t>[</w:t>
            </w:r>
            <w:r w:rsidRPr="00EB717E">
              <w:rPr>
                <w:rFonts w:ascii="Arial" w:hAnsi="Arial" w:cs="Arial"/>
                <w:i/>
                <w:highlight w:val="yellow"/>
              </w:rPr>
              <w:t>UNIQUE ID NUMBER OF REQUEST</w:t>
            </w:r>
            <w:r w:rsidRPr="000E5786">
              <w:rPr>
                <w:rFonts w:ascii="Arial" w:hAnsi="Arial" w:cs="Arial"/>
              </w:rPr>
              <w:t>]</w:t>
            </w:r>
          </w:p>
        </w:tc>
      </w:tr>
      <w:tr w:rsidR="004C127E" w:rsidRPr="000E5786" w14:paraId="4941B40C" w14:textId="77777777" w:rsidTr="00521DC3">
        <w:tc>
          <w:tcPr>
            <w:tcW w:w="2770" w:type="dxa"/>
          </w:tcPr>
          <w:p w14:paraId="31F36578" w14:textId="77777777" w:rsidR="004C127E" w:rsidRPr="000E5786" w:rsidRDefault="004C127E" w:rsidP="00EB717E">
            <w:pPr>
              <w:pStyle w:val="Body"/>
              <w:spacing w:after="120" w:line="240" w:lineRule="auto"/>
              <w:ind w:left="22" w:firstLine="0"/>
              <w:rPr>
                <w:rFonts w:ascii="Arial" w:hAnsi="Arial" w:cs="Arial"/>
                <w:b/>
              </w:rPr>
            </w:pPr>
            <w:r w:rsidRPr="000E5786">
              <w:rPr>
                <w:rFonts w:ascii="Arial" w:hAnsi="Arial" w:cs="Arial"/>
                <w:b/>
              </w:rPr>
              <w:t>Proposed Significant Change:</w:t>
            </w:r>
          </w:p>
        </w:tc>
        <w:tc>
          <w:tcPr>
            <w:tcW w:w="6291" w:type="dxa"/>
            <w:gridSpan w:val="2"/>
          </w:tcPr>
          <w:p w14:paraId="6188696F" w14:textId="77777777" w:rsidR="004C127E" w:rsidRPr="000E5786" w:rsidRDefault="004C127E" w:rsidP="00DD60F0">
            <w:pPr>
              <w:pStyle w:val="Body"/>
              <w:spacing w:after="120" w:line="240" w:lineRule="auto"/>
              <w:rPr>
                <w:rFonts w:ascii="Arial" w:hAnsi="Arial" w:cs="Arial"/>
              </w:rPr>
            </w:pPr>
            <w:r w:rsidRPr="000E5786">
              <w:rPr>
                <w:rFonts w:ascii="Arial" w:hAnsi="Arial" w:cs="Arial"/>
              </w:rPr>
              <w:t>[</w:t>
            </w:r>
            <w:r w:rsidRPr="00EB717E">
              <w:rPr>
                <w:rFonts w:ascii="Arial" w:hAnsi="Arial" w:cs="Arial"/>
                <w:i/>
                <w:highlight w:val="yellow"/>
              </w:rPr>
              <w:t>DESCRIBE CHANGE</w:t>
            </w:r>
            <w:r w:rsidRPr="000E5786">
              <w:rPr>
                <w:rFonts w:ascii="Arial" w:hAnsi="Arial" w:cs="Arial"/>
              </w:rPr>
              <w:t>]</w:t>
            </w:r>
          </w:p>
        </w:tc>
      </w:tr>
      <w:tr w:rsidR="004C127E" w:rsidRPr="000E5786" w14:paraId="171B2498" w14:textId="77777777" w:rsidTr="00521DC3">
        <w:tc>
          <w:tcPr>
            <w:tcW w:w="2770" w:type="dxa"/>
          </w:tcPr>
          <w:p w14:paraId="78A4F956" w14:textId="77777777" w:rsidR="004C127E" w:rsidRPr="000E5786" w:rsidRDefault="004C127E" w:rsidP="00EB717E">
            <w:pPr>
              <w:pStyle w:val="Body"/>
              <w:spacing w:after="120" w:line="240" w:lineRule="auto"/>
              <w:ind w:left="22" w:firstLine="0"/>
              <w:rPr>
                <w:rFonts w:ascii="Arial" w:hAnsi="Arial" w:cs="Arial"/>
                <w:b/>
              </w:rPr>
            </w:pPr>
            <w:r w:rsidRPr="000E5786">
              <w:rPr>
                <w:rFonts w:ascii="Arial" w:hAnsi="Arial" w:cs="Arial"/>
                <w:b/>
              </w:rPr>
              <w:t>Date of Significant Change Control Notice:</w:t>
            </w:r>
          </w:p>
        </w:tc>
        <w:tc>
          <w:tcPr>
            <w:tcW w:w="6291" w:type="dxa"/>
            <w:gridSpan w:val="2"/>
          </w:tcPr>
          <w:p w14:paraId="6BFE554C" w14:textId="77777777" w:rsidR="004C127E" w:rsidRPr="000E5786" w:rsidRDefault="004C127E" w:rsidP="00DD60F0">
            <w:pPr>
              <w:pStyle w:val="Body"/>
              <w:spacing w:after="120" w:line="240" w:lineRule="auto"/>
              <w:rPr>
                <w:rFonts w:ascii="Arial" w:hAnsi="Arial" w:cs="Arial"/>
              </w:rPr>
            </w:pPr>
          </w:p>
        </w:tc>
      </w:tr>
      <w:tr w:rsidR="004C127E" w:rsidRPr="000E5786" w14:paraId="72FFC65C" w14:textId="77777777" w:rsidTr="00521DC3">
        <w:tc>
          <w:tcPr>
            <w:tcW w:w="2770" w:type="dxa"/>
          </w:tcPr>
          <w:p w14:paraId="0757A8EC" w14:textId="77777777" w:rsidR="004C127E" w:rsidRPr="000E5786" w:rsidRDefault="004C127E" w:rsidP="00EB717E">
            <w:pPr>
              <w:pStyle w:val="Body"/>
              <w:spacing w:after="120" w:line="240" w:lineRule="auto"/>
              <w:ind w:left="22" w:firstLine="0"/>
              <w:rPr>
                <w:rFonts w:ascii="Arial" w:hAnsi="Arial" w:cs="Arial"/>
                <w:b/>
              </w:rPr>
            </w:pPr>
            <w:r w:rsidRPr="000E5786">
              <w:rPr>
                <w:rFonts w:ascii="Arial" w:hAnsi="Arial" w:cs="Arial"/>
                <w:b/>
              </w:rPr>
              <w:t>Date of Change Control Analysis:</w:t>
            </w:r>
          </w:p>
        </w:tc>
        <w:tc>
          <w:tcPr>
            <w:tcW w:w="6291" w:type="dxa"/>
            <w:gridSpan w:val="2"/>
          </w:tcPr>
          <w:p w14:paraId="48F82712" w14:textId="77777777" w:rsidR="004C127E" w:rsidRPr="000E5786" w:rsidRDefault="004C127E" w:rsidP="00DD60F0">
            <w:pPr>
              <w:pStyle w:val="Body"/>
              <w:spacing w:after="120" w:line="240" w:lineRule="auto"/>
              <w:rPr>
                <w:rFonts w:ascii="Arial" w:hAnsi="Arial" w:cs="Arial"/>
              </w:rPr>
            </w:pPr>
          </w:p>
        </w:tc>
      </w:tr>
      <w:tr w:rsidR="004C127E" w:rsidRPr="000E5786" w14:paraId="210700CB" w14:textId="77777777" w:rsidTr="00521DC3">
        <w:tc>
          <w:tcPr>
            <w:tcW w:w="2770" w:type="dxa"/>
          </w:tcPr>
          <w:p w14:paraId="5969BC0B" w14:textId="77777777" w:rsidR="004C127E" w:rsidRPr="000E5786" w:rsidRDefault="004C127E" w:rsidP="00EB717E">
            <w:pPr>
              <w:pStyle w:val="Body"/>
              <w:spacing w:after="120" w:line="240" w:lineRule="auto"/>
              <w:ind w:left="22" w:firstLine="0"/>
              <w:rPr>
                <w:rFonts w:ascii="Arial" w:hAnsi="Arial" w:cs="Arial"/>
                <w:b/>
              </w:rPr>
            </w:pPr>
            <w:r w:rsidRPr="000E5786">
              <w:rPr>
                <w:rFonts w:ascii="Arial" w:hAnsi="Arial" w:cs="Arial"/>
                <w:b/>
              </w:rPr>
              <w:t>Amendments required to the Agreement:</w:t>
            </w:r>
          </w:p>
        </w:tc>
        <w:tc>
          <w:tcPr>
            <w:tcW w:w="6291" w:type="dxa"/>
            <w:gridSpan w:val="2"/>
          </w:tcPr>
          <w:p w14:paraId="485FDF51" w14:textId="77777777" w:rsidR="004C127E" w:rsidRPr="000E5786" w:rsidRDefault="004C127E" w:rsidP="00DD60F0">
            <w:pPr>
              <w:pStyle w:val="Body"/>
              <w:spacing w:after="120" w:line="240" w:lineRule="auto"/>
              <w:rPr>
                <w:rFonts w:ascii="Arial" w:hAnsi="Arial" w:cs="Arial"/>
              </w:rPr>
            </w:pPr>
            <w:r w:rsidRPr="000E5786">
              <w:rPr>
                <w:rFonts w:ascii="Arial" w:hAnsi="Arial" w:cs="Arial"/>
              </w:rPr>
              <w:t>[</w:t>
            </w:r>
            <w:r w:rsidRPr="00EB717E">
              <w:rPr>
                <w:rFonts w:ascii="Arial" w:hAnsi="Arial" w:cs="Arial"/>
                <w:i/>
                <w:highlight w:val="yellow"/>
              </w:rPr>
              <w:t>DESCRIBE NECESSARY CHANGES</w:t>
            </w:r>
            <w:r w:rsidRPr="000E5786">
              <w:rPr>
                <w:rFonts w:ascii="Arial" w:hAnsi="Arial" w:cs="Arial"/>
              </w:rPr>
              <w:t>]</w:t>
            </w:r>
          </w:p>
        </w:tc>
      </w:tr>
      <w:tr w:rsidR="004C127E" w:rsidRPr="000E5786" w14:paraId="72A78E58" w14:textId="77777777" w:rsidTr="00521DC3">
        <w:tc>
          <w:tcPr>
            <w:tcW w:w="2770" w:type="dxa"/>
          </w:tcPr>
          <w:p w14:paraId="24B62179" w14:textId="77777777" w:rsidR="004C127E" w:rsidRPr="000E5786" w:rsidRDefault="004C127E" w:rsidP="00DD60F0">
            <w:pPr>
              <w:pStyle w:val="Body"/>
              <w:spacing w:after="120" w:line="240" w:lineRule="auto"/>
              <w:rPr>
                <w:rFonts w:ascii="Arial" w:hAnsi="Arial" w:cs="Arial"/>
                <w:b/>
              </w:rPr>
            </w:pPr>
            <w:r w:rsidRPr="000E5786">
              <w:rPr>
                <w:rFonts w:ascii="Arial" w:hAnsi="Arial" w:cs="Arial"/>
                <w:b/>
              </w:rPr>
              <w:t>Additional Comments:</w:t>
            </w:r>
          </w:p>
        </w:tc>
        <w:tc>
          <w:tcPr>
            <w:tcW w:w="6291" w:type="dxa"/>
            <w:gridSpan w:val="2"/>
          </w:tcPr>
          <w:p w14:paraId="7A2EDB7F" w14:textId="77777777" w:rsidR="004C127E" w:rsidRPr="000E5786" w:rsidRDefault="004C127E" w:rsidP="00DD60F0">
            <w:pPr>
              <w:pStyle w:val="Body"/>
              <w:spacing w:after="120" w:line="240" w:lineRule="auto"/>
              <w:rPr>
                <w:rFonts w:ascii="Arial" w:hAnsi="Arial" w:cs="Arial"/>
              </w:rPr>
            </w:pPr>
            <w:r w:rsidRPr="000E5786">
              <w:rPr>
                <w:rFonts w:ascii="Arial" w:hAnsi="Arial" w:cs="Arial"/>
              </w:rPr>
              <w:t>[</w:t>
            </w:r>
            <w:r w:rsidRPr="00EB717E">
              <w:rPr>
                <w:rFonts w:ascii="Arial" w:hAnsi="Arial" w:cs="Arial"/>
                <w:i/>
                <w:highlight w:val="yellow"/>
              </w:rPr>
              <w:t>INSERT ADDITIONAL COMMENTS</w:t>
            </w:r>
            <w:r w:rsidRPr="000E5786">
              <w:rPr>
                <w:rFonts w:ascii="Arial" w:hAnsi="Arial" w:cs="Arial"/>
              </w:rPr>
              <w:t>]</w:t>
            </w:r>
          </w:p>
        </w:tc>
      </w:tr>
      <w:tr w:rsidR="004C127E" w:rsidRPr="000E5786" w14:paraId="3D98A38B" w14:textId="77777777" w:rsidTr="00521DC3">
        <w:tc>
          <w:tcPr>
            <w:tcW w:w="2770" w:type="dxa"/>
          </w:tcPr>
          <w:p w14:paraId="210CC5E0" w14:textId="77777777" w:rsidR="004C127E" w:rsidRPr="000E5786" w:rsidRDefault="004C127E" w:rsidP="00DD60F0">
            <w:pPr>
              <w:pStyle w:val="Body"/>
              <w:spacing w:after="120" w:line="240" w:lineRule="auto"/>
              <w:rPr>
                <w:rFonts w:ascii="Arial" w:hAnsi="Arial" w:cs="Arial"/>
                <w:b/>
              </w:rPr>
            </w:pPr>
            <w:r w:rsidRPr="000E5786">
              <w:rPr>
                <w:rFonts w:ascii="Arial" w:hAnsi="Arial" w:cs="Arial"/>
              </w:rPr>
              <w:t>Signature of Supplier:</w:t>
            </w:r>
          </w:p>
        </w:tc>
        <w:tc>
          <w:tcPr>
            <w:tcW w:w="3138" w:type="dxa"/>
          </w:tcPr>
          <w:p w14:paraId="020FD841" w14:textId="77777777" w:rsidR="004C127E" w:rsidRPr="000E5786" w:rsidRDefault="004C127E" w:rsidP="00DD60F0">
            <w:pPr>
              <w:pStyle w:val="Body"/>
              <w:spacing w:after="120" w:line="240" w:lineRule="auto"/>
              <w:rPr>
                <w:rFonts w:ascii="Arial" w:hAnsi="Arial" w:cs="Arial"/>
              </w:rPr>
            </w:pPr>
          </w:p>
        </w:tc>
        <w:tc>
          <w:tcPr>
            <w:tcW w:w="3153" w:type="dxa"/>
          </w:tcPr>
          <w:p w14:paraId="34E7D9BB" w14:textId="77777777" w:rsidR="004C127E" w:rsidRPr="000E5786" w:rsidRDefault="004C127E" w:rsidP="00DD60F0">
            <w:pPr>
              <w:pStyle w:val="Body"/>
              <w:spacing w:after="120" w:line="240" w:lineRule="auto"/>
              <w:rPr>
                <w:rFonts w:ascii="Arial" w:hAnsi="Arial" w:cs="Arial"/>
              </w:rPr>
            </w:pPr>
            <w:r w:rsidRPr="000E5786">
              <w:rPr>
                <w:rFonts w:ascii="Arial" w:hAnsi="Arial" w:cs="Arial"/>
              </w:rPr>
              <w:t>Date:</w:t>
            </w:r>
          </w:p>
        </w:tc>
      </w:tr>
      <w:tr w:rsidR="004C127E" w:rsidRPr="000E5786" w14:paraId="667E3DB9" w14:textId="77777777" w:rsidTr="00521DC3">
        <w:tc>
          <w:tcPr>
            <w:tcW w:w="2770" w:type="dxa"/>
          </w:tcPr>
          <w:p w14:paraId="23C6D65A" w14:textId="2B626D73" w:rsidR="004C127E" w:rsidRPr="000E5786" w:rsidRDefault="004C127E" w:rsidP="00DD60F0">
            <w:pPr>
              <w:pStyle w:val="Body"/>
              <w:spacing w:after="120" w:line="240" w:lineRule="auto"/>
              <w:rPr>
                <w:rFonts w:ascii="Arial" w:hAnsi="Arial" w:cs="Arial"/>
              </w:rPr>
            </w:pPr>
            <w:r w:rsidRPr="000E5786">
              <w:rPr>
                <w:rFonts w:ascii="Arial" w:hAnsi="Arial" w:cs="Arial"/>
              </w:rPr>
              <w:t xml:space="preserve">Signature of </w:t>
            </w:r>
            <w:proofErr w:type="spellStart"/>
            <w:r w:rsidR="001F1C19">
              <w:rPr>
                <w:rFonts w:ascii="Arial" w:hAnsi="Arial" w:cs="Arial"/>
              </w:rPr>
              <w:t>Netlink</w:t>
            </w:r>
            <w:proofErr w:type="spellEnd"/>
            <w:r w:rsidR="001F1C19">
              <w:rPr>
                <w:rFonts w:ascii="Arial" w:hAnsi="Arial" w:cs="Arial"/>
              </w:rPr>
              <w:t xml:space="preserve"> Star</w:t>
            </w:r>
            <w:r w:rsidRPr="000E5786">
              <w:rPr>
                <w:rFonts w:ascii="Arial" w:hAnsi="Arial" w:cs="Arial"/>
              </w:rPr>
              <w:t>:</w:t>
            </w:r>
          </w:p>
        </w:tc>
        <w:tc>
          <w:tcPr>
            <w:tcW w:w="3138" w:type="dxa"/>
          </w:tcPr>
          <w:p w14:paraId="1E19FFC8" w14:textId="77777777" w:rsidR="004C127E" w:rsidRPr="000E5786" w:rsidRDefault="004C127E" w:rsidP="00DD60F0">
            <w:pPr>
              <w:pStyle w:val="Body"/>
              <w:spacing w:after="120" w:line="240" w:lineRule="auto"/>
              <w:rPr>
                <w:rFonts w:ascii="Arial" w:hAnsi="Arial" w:cs="Arial"/>
              </w:rPr>
            </w:pPr>
          </w:p>
        </w:tc>
        <w:tc>
          <w:tcPr>
            <w:tcW w:w="3153" w:type="dxa"/>
          </w:tcPr>
          <w:p w14:paraId="66766143" w14:textId="77777777" w:rsidR="004C127E" w:rsidRPr="000E5786" w:rsidRDefault="004C127E" w:rsidP="00DD60F0">
            <w:pPr>
              <w:pStyle w:val="Body"/>
              <w:spacing w:after="120" w:line="240" w:lineRule="auto"/>
              <w:rPr>
                <w:rFonts w:ascii="Arial" w:hAnsi="Arial" w:cs="Arial"/>
              </w:rPr>
            </w:pPr>
            <w:r w:rsidRPr="000E5786">
              <w:rPr>
                <w:rFonts w:ascii="Arial" w:hAnsi="Arial" w:cs="Arial"/>
              </w:rPr>
              <w:t>Date:</w:t>
            </w:r>
          </w:p>
        </w:tc>
      </w:tr>
    </w:tbl>
    <w:p w14:paraId="33792856" w14:textId="77777777" w:rsidR="004C127E" w:rsidRPr="000E5786" w:rsidRDefault="004C127E" w:rsidP="00DD60F0">
      <w:pPr>
        <w:pStyle w:val="Body"/>
        <w:spacing w:after="120" w:line="240" w:lineRule="auto"/>
        <w:rPr>
          <w:rFonts w:ascii="Arial" w:hAnsi="Arial" w:cs="Arial"/>
        </w:rPr>
        <w:sectPr w:rsidR="004C127E" w:rsidRPr="000E5786" w:rsidSect="007E4240">
          <w:pgSz w:w="11907" w:h="16840" w:code="9"/>
          <w:pgMar w:top="1418" w:right="1418" w:bottom="1134" w:left="1418" w:header="567" w:footer="340" w:gutter="0"/>
          <w:cols w:space="720"/>
          <w:docGrid w:linePitch="272"/>
        </w:sectPr>
      </w:pPr>
    </w:p>
    <w:p w14:paraId="56EB311A" w14:textId="14137713" w:rsidR="00EB717E" w:rsidRDefault="00EB717E" w:rsidP="00EB717E">
      <w:pPr>
        <w:pStyle w:val="ScheduleSubheading"/>
        <w:numPr>
          <w:ilvl w:val="0"/>
          <w:numId w:val="0"/>
        </w:numPr>
      </w:pPr>
      <w:r>
        <w:lastRenderedPageBreak/>
        <w:t>ANNEX 8.2D</w:t>
      </w:r>
    </w:p>
    <w:p w14:paraId="6E627788" w14:textId="31F5B840" w:rsidR="00EB717E" w:rsidRPr="00EB717E" w:rsidRDefault="00EB717E" w:rsidP="00EB717E">
      <w:pPr>
        <w:pStyle w:val="Sch1"/>
        <w:numPr>
          <w:ilvl w:val="0"/>
          <w:numId w:val="0"/>
        </w:numPr>
        <w:jc w:val="center"/>
        <w:rPr>
          <w:b/>
          <w:bCs/>
        </w:rPr>
      </w:pPr>
      <w:r w:rsidRPr="00EB717E">
        <w:rPr>
          <w:b/>
          <w:bCs/>
        </w:rPr>
        <w:t>MINOR CHANGE CONTROL NOTICE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9"/>
        <w:gridCol w:w="6292"/>
      </w:tblGrid>
      <w:tr w:rsidR="004C127E" w:rsidRPr="000E5786" w14:paraId="59DD53C0" w14:textId="77777777" w:rsidTr="0026522A">
        <w:tc>
          <w:tcPr>
            <w:tcW w:w="2808" w:type="dxa"/>
          </w:tcPr>
          <w:p w14:paraId="5BF407F1" w14:textId="77777777" w:rsidR="004C127E" w:rsidRPr="000E5786" w:rsidRDefault="004C127E" w:rsidP="00DD60F0">
            <w:pPr>
              <w:pStyle w:val="Body"/>
              <w:spacing w:after="120" w:line="240" w:lineRule="auto"/>
              <w:rPr>
                <w:rFonts w:ascii="Arial" w:hAnsi="Arial" w:cs="Arial"/>
                <w:b/>
              </w:rPr>
            </w:pPr>
            <w:r w:rsidRPr="000E5786">
              <w:rPr>
                <w:rFonts w:ascii="Arial" w:hAnsi="Arial" w:cs="Arial"/>
                <w:b/>
              </w:rPr>
              <w:t>Minor Change Number:</w:t>
            </w:r>
            <w:r w:rsidRPr="000E5786">
              <w:rPr>
                <w:rStyle w:val="FootnoteReference"/>
                <w:rFonts w:ascii="Arial" w:hAnsi="Arial" w:cs="Arial"/>
              </w:rPr>
              <w:t xml:space="preserve"> </w:t>
            </w:r>
          </w:p>
        </w:tc>
        <w:tc>
          <w:tcPr>
            <w:tcW w:w="6479" w:type="dxa"/>
          </w:tcPr>
          <w:p w14:paraId="3BE1A0A9" w14:textId="77777777" w:rsidR="004C127E" w:rsidRPr="000E5786" w:rsidRDefault="004C127E" w:rsidP="00DD60F0">
            <w:pPr>
              <w:pStyle w:val="Body"/>
              <w:spacing w:after="120" w:line="240" w:lineRule="auto"/>
              <w:rPr>
                <w:rFonts w:ascii="Arial" w:hAnsi="Arial" w:cs="Arial"/>
              </w:rPr>
            </w:pPr>
            <w:r w:rsidRPr="000E5786">
              <w:rPr>
                <w:rFonts w:ascii="Arial" w:hAnsi="Arial" w:cs="Arial"/>
              </w:rPr>
              <w:t>[</w:t>
            </w:r>
            <w:r w:rsidRPr="00EB717E">
              <w:rPr>
                <w:rFonts w:ascii="Arial" w:hAnsi="Arial" w:cs="Arial"/>
                <w:i/>
                <w:highlight w:val="yellow"/>
              </w:rPr>
              <w:t>UNIQUE ID NUMBER</w:t>
            </w:r>
            <w:r w:rsidRPr="000E5786">
              <w:rPr>
                <w:rFonts w:ascii="Arial" w:hAnsi="Arial" w:cs="Arial"/>
              </w:rPr>
              <w:t>]</w:t>
            </w:r>
          </w:p>
        </w:tc>
      </w:tr>
      <w:tr w:rsidR="004C127E" w:rsidRPr="000E5786" w14:paraId="1339DF6A" w14:textId="77777777" w:rsidTr="0026522A">
        <w:tc>
          <w:tcPr>
            <w:tcW w:w="2808" w:type="dxa"/>
          </w:tcPr>
          <w:p w14:paraId="1AE2DD38" w14:textId="77777777" w:rsidR="004C127E" w:rsidRPr="000E5786" w:rsidRDefault="004C127E" w:rsidP="00DD60F0">
            <w:pPr>
              <w:pStyle w:val="Body"/>
              <w:spacing w:after="120" w:line="240" w:lineRule="auto"/>
              <w:rPr>
                <w:rFonts w:ascii="Arial" w:hAnsi="Arial" w:cs="Arial"/>
                <w:b/>
              </w:rPr>
            </w:pPr>
            <w:r w:rsidRPr="000E5786">
              <w:rPr>
                <w:rFonts w:ascii="Arial" w:hAnsi="Arial" w:cs="Arial"/>
                <w:b/>
              </w:rPr>
              <w:t>Originator:</w:t>
            </w:r>
          </w:p>
        </w:tc>
        <w:tc>
          <w:tcPr>
            <w:tcW w:w="6479" w:type="dxa"/>
          </w:tcPr>
          <w:p w14:paraId="0C4D7979" w14:textId="77777777" w:rsidR="004C127E" w:rsidRPr="000E5786" w:rsidRDefault="004C127E" w:rsidP="00DD60F0">
            <w:pPr>
              <w:pStyle w:val="Body"/>
              <w:spacing w:after="120" w:line="240" w:lineRule="auto"/>
              <w:rPr>
                <w:rFonts w:ascii="Arial" w:hAnsi="Arial" w:cs="Arial"/>
              </w:rPr>
            </w:pPr>
            <w:r w:rsidRPr="000E5786">
              <w:rPr>
                <w:rFonts w:ascii="Arial" w:hAnsi="Arial" w:cs="Arial"/>
              </w:rPr>
              <w:t>[</w:t>
            </w:r>
            <w:r w:rsidRPr="00EB717E">
              <w:rPr>
                <w:rFonts w:ascii="Arial" w:hAnsi="Arial" w:cs="Arial"/>
                <w:i/>
                <w:highlight w:val="yellow"/>
              </w:rPr>
              <w:t>NAME OF INDIVIDUAL</w:t>
            </w:r>
            <w:r w:rsidRPr="000E5786">
              <w:rPr>
                <w:rFonts w:ascii="Arial" w:hAnsi="Arial" w:cs="Arial"/>
              </w:rPr>
              <w:t>]</w:t>
            </w:r>
          </w:p>
        </w:tc>
      </w:tr>
      <w:tr w:rsidR="004C127E" w:rsidRPr="000E5786" w14:paraId="0569A08C" w14:textId="77777777" w:rsidTr="0026522A">
        <w:tc>
          <w:tcPr>
            <w:tcW w:w="2808" w:type="dxa"/>
          </w:tcPr>
          <w:p w14:paraId="2E3CB1C9" w14:textId="77777777" w:rsidR="004C127E" w:rsidRPr="000E5786" w:rsidRDefault="004C127E" w:rsidP="00DD60F0">
            <w:pPr>
              <w:pStyle w:val="Body"/>
              <w:spacing w:after="120" w:line="240" w:lineRule="auto"/>
              <w:rPr>
                <w:rFonts w:ascii="Arial" w:hAnsi="Arial" w:cs="Arial"/>
                <w:b/>
              </w:rPr>
            </w:pPr>
            <w:r w:rsidRPr="000E5786">
              <w:rPr>
                <w:rFonts w:ascii="Arial" w:hAnsi="Arial" w:cs="Arial"/>
                <w:b/>
              </w:rPr>
              <w:t>Originator’s Organisation:</w:t>
            </w:r>
          </w:p>
        </w:tc>
        <w:tc>
          <w:tcPr>
            <w:tcW w:w="6479" w:type="dxa"/>
          </w:tcPr>
          <w:p w14:paraId="697D4269" w14:textId="7A0DA58C" w:rsidR="004C127E" w:rsidRPr="000E5786" w:rsidRDefault="004C127E" w:rsidP="00DD60F0">
            <w:pPr>
              <w:pStyle w:val="Body"/>
              <w:spacing w:after="120" w:line="240" w:lineRule="auto"/>
              <w:rPr>
                <w:rFonts w:ascii="Arial" w:hAnsi="Arial" w:cs="Arial"/>
              </w:rPr>
            </w:pPr>
            <w:r w:rsidRPr="000E5786">
              <w:rPr>
                <w:rFonts w:ascii="Arial" w:hAnsi="Arial" w:cs="Arial"/>
              </w:rPr>
              <w:t>[</w:t>
            </w:r>
            <w:r w:rsidR="001F1C19">
              <w:rPr>
                <w:rFonts w:ascii="Arial" w:hAnsi="Arial" w:cs="Arial"/>
                <w:i/>
                <w:highlight w:val="yellow"/>
              </w:rPr>
              <w:t>NETLINK STAR</w:t>
            </w:r>
            <w:r w:rsidRPr="00EB717E">
              <w:rPr>
                <w:rFonts w:ascii="Arial" w:hAnsi="Arial" w:cs="Arial"/>
                <w:i/>
                <w:highlight w:val="yellow"/>
              </w:rPr>
              <w:t>/SUPPLIER</w:t>
            </w:r>
            <w:r w:rsidRPr="000E5786">
              <w:rPr>
                <w:rFonts w:ascii="Arial" w:hAnsi="Arial" w:cs="Arial"/>
              </w:rPr>
              <w:t>]</w:t>
            </w:r>
          </w:p>
        </w:tc>
      </w:tr>
      <w:tr w:rsidR="004C127E" w:rsidRPr="000E5786" w14:paraId="3F4F2855" w14:textId="77777777" w:rsidTr="0026522A">
        <w:tc>
          <w:tcPr>
            <w:tcW w:w="2808" w:type="dxa"/>
          </w:tcPr>
          <w:p w14:paraId="4040CBA3" w14:textId="77777777" w:rsidR="004C127E" w:rsidRPr="000E5786" w:rsidRDefault="004C127E" w:rsidP="00DD60F0">
            <w:pPr>
              <w:pStyle w:val="Body"/>
              <w:spacing w:after="120" w:line="240" w:lineRule="auto"/>
              <w:rPr>
                <w:rFonts w:ascii="Arial" w:hAnsi="Arial" w:cs="Arial"/>
                <w:b/>
              </w:rPr>
            </w:pPr>
            <w:r w:rsidRPr="000E5786">
              <w:rPr>
                <w:rFonts w:ascii="Arial" w:hAnsi="Arial" w:cs="Arial"/>
                <w:b/>
              </w:rPr>
              <w:t>Date of Notice:</w:t>
            </w:r>
          </w:p>
        </w:tc>
        <w:tc>
          <w:tcPr>
            <w:tcW w:w="6479" w:type="dxa"/>
          </w:tcPr>
          <w:p w14:paraId="10D10F93" w14:textId="77777777" w:rsidR="004C127E" w:rsidRPr="000E5786" w:rsidRDefault="004C127E" w:rsidP="00DD60F0">
            <w:pPr>
              <w:pStyle w:val="Body"/>
              <w:spacing w:after="120" w:line="240" w:lineRule="auto"/>
              <w:rPr>
                <w:rFonts w:ascii="Arial" w:hAnsi="Arial" w:cs="Arial"/>
              </w:rPr>
            </w:pPr>
          </w:p>
        </w:tc>
      </w:tr>
      <w:tr w:rsidR="004C127E" w:rsidRPr="000E5786" w14:paraId="56F4B9FD" w14:textId="77777777" w:rsidTr="0026522A">
        <w:tc>
          <w:tcPr>
            <w:tcW w:w="2808" w:type="dxa"/>
          </w:tcPr>
          <w:p w14:paraId="5ACB2BFB" w14:textId="77777777" w:rsidR="004C127E" w:rsidRPr="000E5786" w:rsidRDefault="004C127E" w:rsidP="00DD60F0">
            <w:pPr>
              <w:pStyle w:val="Body"/>
              <w:spacing w:after="120" w:line="240" w:lineRule="auto"/>
              <w:rPr>
                <w:rFonts w:ascii="Arial" w:hAnsi="Arial" w:cs="Arial"/>
                <w:b/>
              </w:rPr>
            </w:pPr>
            <w:r w:rsidRPr="000E5786">
              <w:rPr>
                <w:rFonts w:ascii="Arial" w:hAnsi="Arial" w:cs="Arial"/>
                <w:b/>
              </w:rPr>
              <w:t>Proposed Minor Change:</w:t>
            </w:r>
          </w:p>
        </w:tc>
        <w:tc>
          <w:tcPr>
            <w:tcW w:w="6479" w:type="dxa"/>
          </w:tcPr>
          <w:p w14:paraId="3F6313A0" w14:textId="77777777" w:rsidR="004C127E" w:rsidRPr="000E5786" w:rsidRDefault="004C127E" w:rsidP="00DD60F0">
            <w:pPr>
              <w:pStyle w:val="Body"/>
              <w:spacing w:after="120" w:line="240" w:lineRule="auto"/>
              <w:rPr>
                <w:rFonts w:ascii="Arial" w:hAnsi="Arial" w:cs="Arial"/>
              </w:rPr>
            </w:pPr>
            <w:r w:rsidRPr="000E5786">
              <w:rPr>
                <w:rFonts w:ascii="Arial" w:hAnsi="Arial" w:cs="Arial"/>
              </w:rPr>
              <w:t>[</w:t>
            </w:r>
            <w:r w:rsidRPr="00EB717E">
              <w:rPr>
                <w:rFonts w:ascii="Arial" w:hAnsi="Arial" w:cs="Arial"/>
                <w:i/>
                <w:highlight w:val="yellow"/>
              </w:rPr>
              <w:t>DESCRIBE CHANGE</w:t>
            </w:r>
            <w:r w:rsidRPr="000E5786">
              <w:rPr>
                <w:rFonts w:ascii="Arial" w:hAnsi="Arial" w:cs="Arial"/>
              </w:rPr>
              <w:t>]</w:t>
            </w:r>
          </w:p>
        </w:tc>
      </w:tr>
      <w:tr w:rsidR="004C127E" w:rsidRPr="000E5786" w14:paraId="3DBAC7CA" w14:textId="77777777" w:rsidTr="0026522A">
        <w:tc>
          <w:tcPr>
            <w:tcW w:w="2808" w:type="dxa"/>
          </w:tcPr>
          <w:p w14:paraId="05900916" w14:textId="77777777" w:rsidR="004C127E" w:rsidRPr="000E5786" w:rsidRDefault="004C127E" w:rsidP="00DD60F0">
            <w:pPr>
              <w:pStyle w:val="Body"/>
              <w:spacing w:after="120" w:line="240" w:lineRule="auto"/>
              <w:rPr>
                <w:rFonts w:ascii="Arial" w:hAnsi="Arial" w:cs="Arial"/>
                <w:b/>
              </w:rPr>
            </w:pPr>
            <w:r w:rsidRPr="000E5786">
              <w:rPr>
                <w:rFonts w:ascii="Arial" w:hAnsi="Arial" w:cs="Arial"/>
                <w:b/>
              </w:rPr>
              <w:t>Proposed Minor Change:</w:t>
            </w:r>
          </w:p>
        </w:tc>
        <w:tc>
          <w:tcPr>
            <w:tcW w:w="6479" w:type="dxa"/>
          </w:tcPr>
          <w:p w14:paraId="01B9533C" w14:textId="77777777" w:rsidR="004C127E" w:rsidRPr="000E5786" w:rsidRDefault="004C127E" w:rsidP="00DD60F0">
            <w:pPr>
              <w:pStyle w:val="Body"/>
              <w:spacing w:after="120" w:line="240" w:lineRule="auto"/>
              <w:rPr>
                <w:rFonts w:ascii="Arial" w:hAnsi="Arial" w:cs="Arial"/>
              </w:rPr>
            </w:pPr>
            <w:r w:rsidRPr="000E5786">
              <w:rPr>
                <w:rFonts w:ascii="Arial" w:hAnsi="Arial" w:cs="Arial"/>
              </w:rPr>
              <w:t>[</w:t>
            </w:r>
            <w:r w:rsidRPr="00EB717E">
              <w:rPr>
                <w:rFonts w:ascii="Arial" w:hAnsi="Arial" w:cs="Arial"/>
                <w:i/>
                <w:highlight w:val="yellow"/>
              </w:rPr>
              <w:t>DESCRIBE CHANGE</w:t>
            </w:r>
            <w:r w:rsidRPr="000E5786">
              <w:rPr>
                <w:rFonts w:ascii="Arial" w:hAnsi="Arial" w:cs="Arial"/>
              </w:rPr>
              <w:t>]</w:t>
            </w:r>
          </w:p>
        </w:tc>
      </w:tr>
      <w:tr w:rsidR="004C127E" w:rsidRPr="000E5786" w14:paraId="3B59B0A8" w14:textId="77777777" w:rsidTr="0026522A">
        <w:tc>
          <w:tcPr>
            <w:tcW w:w="2808" w:type="dxa"/>
          </w:tcPr>
          <w:p w14:paraId="418F638E" w14:textId="77777777" w:rsidR="004C127E" w:rsidRPr="000E5786" w:rsidRDefault="004C127E" w:rsidP="00EB717E">
            <w:pPr>
              <w:pStyle w:val="Body"/>
              <w:spacing w:after="120" w:line="240" w:lineRule="auto"/>
              <w:ind w:left="22" w:firstLine="0"/>
              <w:rPr>
                <w:rFonts w:ascii="Arial" w:hAnsi="Arial" w:cs="Arial"/>
                <w:b/>
              </w:rPr>
            </w:pPr>
            <w:r w:rsidRPr="000E5786">
              <w:rPr>
                <w:rFonts w:ascii="Arial" w:hAnsi="Arial" w:cs="Arial"/>
                <w:b/>
              </w:rPr>
              <w:t>Reasons for Minor Change:</w:t>
            </w:r>
          </w:p>
        </w:tc>
        <w:tc>
          <w:tcPr>
            <w:tcW w:w="6479" w:type="dxa"/>
          </w:tcPr>
          <w:p w14:paraId="34EB20E5" w14:textId="77777777" w:rsidR="004C127E" w:rsidRPr="000E5786" w:rsidRDefault="004C127E" w:rsidP="00DD60F0">
            <w:pPr>
              <w:pStyle w:val="Body"/>
              <w:spacing w:after="120" w:line="240" w:lineRule="auto"/>
              <w:rPr>
                <w:rFonts w:ascii="Arial" w:hAnsi="Arial" w:cs="Arial"/>
              </w:rPr>
            </w:pPr>
            <w:r w:rsidRPr="000E5786">
              <w:rPr>
                <w:rFonts w:ascii="Arial" w:hAnsi="Arial" w:cs="Arial"/>
              </w:rPr>
              <w:t>[</w:t>
            </w:r>
            <w:r w:rsidRPr="00EB717E">
              <w:rPr>
                <w:rFonts w:ascii="Arial" w:hAnsi="Arial" w:cs="Arial"/>
                <w:i/>
                <w:highlight w:val="yellow"/>
              </w:rPr>
              <w:t>DESCRIBE RATIONALE FOR CHANGE</w:t>
            </w:r>
            <w:r w:rsidRPr="000E5786">
              <w:rPr>
                <w:rFonts w:ascii="Arial" w:hAnsi="Arial" w:cs="Arial"/>
              </w:rPr>
              <w:t>]</w:t>
            </w:r>
          </w:p>
        </w:tc>
      </w:tr>
      <w:tr w:rsidR="004C127E" w:rsidRPr="000E5786" w14:paraId="54362B75" w14:textId="77777777" w:rsidTr="0026522A">
        <w:tc>
          <w:tcPr>
            <w:tcW w:w="2808" w:type="dxa"/>
          </w:tcPr>
          <w:p w14:paraId="7ADAF119" w14:textId="77777777" w:rsidR="004C127E" w:rsidRPr="000E5786" w:rsidRDefault="004C127E" w:rsidP="00EB717E">
            <w:pPr>
              <w:pStyle w:val="Body"/>
              <w:spacing w:after="120" w:line="240" w:lineRule="auto"/>
              <w:ind w:left="22" w:firstLine="0"/>
              <w:rPr>
                <w:rFonts w:ascii="Arial" w:hAnsi="Arial" w:cs="Arial"/>
                <w:b/>
              </w:rPr>
            </w:pPr>
            <w:r w:rsidRPr="000E5786">
              <w:rPr>
                <w:rFonts w:ascii="Arial" w:hAnsi="Arial" w:cs="Arial"/>
                <w:b/>
              </w:rPr>
              <w:t xml:space="preserve">Impacts, </w:t>
            </w:r>
            <w:proofErr w:type="gramStart"/>
            <w:r w:rsidRPr="000E5786">
              <w:rPr>
                <w:rFonts w:ascii="Arial" w:hAnsi="Arial" w:cs="Arial"/>
                <w:b/>
              </w:rPr>
              <w:t>risks</w:t>
            </w:r>
            <w:proofErr w:type="gramEnd"/>
            <w:r w:rsidRPr="000E5786">
              <w:rPr>
                <w:rFonts w:ascii="Arial" w:hAnsi="Arial" w:cs="Arial"/>
                <w:b/>
              </w:rPr>
              <w:t xml:space="preserve"> and costs of the Minor Change:</w:t>
            </w:r>
          </w:p>
        </w:tc>
        <w:tc>
          <w:tcPr>
            <w:tcW w:w="6479" w:type="dxa"/>
          </w:tcPr>
          <w:p w14:paraId="3C6044A4" w14:textId="77777777" w:rsidR="004C127E" w:rsidRPr="000E5786" w:rsidRDefault="004C127E" w:rsidP="00EB717E">
            <w:pPr>
              <w:pStyle w:val="Body"/>
              <w:spacing w:after="120" w:line="240" w:lineRule="auto"/>
              <w:ind w:left="0" w:firstLine="0"/>
              <w:rPr>
                <w:rFonts w:ascii="Arial" w:hAnsi="Arial" w:cs="Arial"/>
              </w:rPr>
            </w:pPr>
            <w:r w:rsidRPr="000E5786">
              <w:rPr>
                <w:rFonts w:ascii="Arial" w:hAnsi="Arial" w:cs="Arial"/>
              </w:rPr>
              <w:t>[</w:t>
            </w:r>
            <w:r w:rsidRPr="00EB717E">
              <w:rPr>
                <w:rFonts w:ascii="Arial" w:hAnsi="Arial" w:cs="Arial"/>
                <w:i/>
                <w:highlight w:val="yellow"/>
              </w:rPr>
              <w:t xml:space="preserve">DETAIL ALL RISKS, </w:t>
            </w:r>
            <w:proofErr w:type="gramStart"/>
            <w:r w:rsidRPr="00EB717E">
              <w:rPr>
                <w:rFonts w:ascii="Arial" w:hAnsi="Arial" w:cs="Arial"/>
                <w:i/>
                <w:highlight w:val="yellow"/>
              </w:rPr>
              <w:t>COSTS</w:t>
            </w:r>
            <w:proofErr w:type="gramEnd"/>
            <w:r w:rsidRPr="00EB717E">
              <w:rPr>
                <w:rFonts w:ascii="Arial" w:hAnsi="Arial" w:cs="Arial"/>
                <w:i/>
                <w:highlight w:val="yellow"/>
              </w:rPr>
              <w:t xml:space="preserve"> AND IMPACTS LIKELY TO BE ASSOCIATED WITH THE MINOR CHANGE</w:t>
            </w:r>
            <w:r w:rsidRPr="000E5786">
              <w:rPr>
                <w:rFonts w:ascii="Arial" w:hAnsi="Arial" w:cs="Arial"/>
              </w:rPr>
              <w:t>]</w:t>
            </w:r>
          </w:p>
        </w:tc>
      </w:tr>
      <w:tr w:rsidR="004C127E" w:rsidRPr="000E5786" w14:paraId="0E7A75DD" w14:textId="77777777" w:rsidTr="0026522A">
        <w:tc>
          <w:tcPr>
            <w:tcW w:w="2808" w:type="dxa"/>
          </w:tcPr>
          <w:p w14:paraId="3D2E0637" w14:textId="77777777" w:rsidR="004C127E" w:rsidRPr="000E5786" w:rsidRDefault="004C127E" w:rsidP="00EB717E">
            <w:pPr>
              <w:pStyle w:val="Body"/>
              <w:spacing w:after="120" w:line="240" w:lineRule="auto"/>
              <w:ind w:left="22" w:firstLine="0"/>
              <w:rPr>
                <w:rFonts w:ascii="Arial" w:hAnsi="Arial" w:cs="Arial"/>
                <w:b/>
              </w:rPr>
            </w:pPr>
            <w:r w:rsidRPr="000E5786">
              <w:rPr>
                <w:rFonts w:ascii="Arial" w:hAnsi="Arial" w:cs="Arial"/>
                <w:b/>
              </w:rPr>
              <w:t>Back-out plan to revert to original Services:</w:t>
            </w:r>
          </w:p>
        </w:tc>
        <w:tc>
          <w:tcPr>
            <w:tcW w:w="6479" w:type="dxa"/>
          </w:tcPr>
          <w:p w14:paraId="29B1363C" w14:textId="77777777" w:rsidR="004C127E" w:rsidRPr="000E5786" w:rsidRDefault="004C127E" w:rsidP="00DD60F0">
            <w:pPr>
              <w:pStyle w:val="Body"/>
              <w:spacing w:after="120" w:line="240" w:lineRule="auto"/>
              <w:rPr>
                <w:rFonts w:ascii="Arial" w:hAnsi="Arial" w:cs="Arial"/>
                <w:i/>
              </w:rPr>
            </w:pPr>
          </w:p>
        </w:tc>
      </w:tr>
      <w:tr w:rsidR="004C127E" w:rsidRPr="000E5786" w14:paraId="6DB6D064" w14:textId="77777777" w:rsidTr="0026522A">
        <w:tc>
          <w:tcPr>
            <w:tcW w:w="2808" w:type="dxa"/>
          </w:tcPr>
          <w:p w14:paraId="0B085F81" w14:textId="77777777" w:rsidR="004C127E" w:rsidRPr="000E5786" w:rsidRDefault="004C127E" w:rsidP="00EB717E">
            <w:pPr>
              <w:pStyle w:val="Body"/>
              <w:spacing w:after="120" w:line="240" w:lineRule="auto"/>
              <w:ind w:left="22" w:firstLine="0"/>
              <w:rPr>
                <w:rFonts w:ascii="Arial" w:hAnsi="Arial" w:cs="Arial"/>
                <w:b/>
              </w:rPr>
            </w:pPr>
            <w:r w:rsidRPr="000E5786">
              <w:rPr>
                <w:rFonts w:ascii="Arial" w:hAnsi="Arial" w:cs="Arial"/>
                <w:b/>
              </w:rPr>
              <w:t>Impact of the implementation of the Change on Supplier’s cost base for the Services:</w:t>
            </w:r>
          </w:p>
        </w:tc>
        <w:tc>
          <w:tcPr>
            <w:tcW w:w="6479" w:type="dxa"/>
          </w:tcPr>
          <w:p w14:paraId="5B447E86" w14:textId="77777777" w:rsidR="004C127E" w:rsidRPr="000E5786" w:rsidRDefault="004C127E" w:rsidP="00EB717E">
            <w:pPr>
              <w:pStyle w:val="Body"/>
              <w:spacing w:after="120" w:line="240" w:lineRule="auto"/>
              <w:ind w:left="0" w:firstLine="0"/>
              <w:rPr>
                <w:rFonts w:ascii="Arial" w:hAnsi="Arial" w:cs="Arial"/>
                <w:i/>
              </w:rPr>
            </w:pPr>
            <w:r w:rsidRPr="000E5786">
              <w:rPr>
                <w:rFonts w:ascii="Arial" w:hAnsi="Arial" w:cs="Arial"/>
                <w:i/>
              </w:rPr>
              <w:t>[</w:t>
            </w:r>
            <w:r w:rsidRPr="00EB717E">
              <w:rPr>
                <w:rFonts w:ascii="Arial" w:hAnsi="Arial" w:cs="Arial"/>
                <w:i/>
                <w:highlight w:val="yellow"/>
              </w:rPr>
              <w:t>TO PROVIDE TRANSPARENCY OF IMPACT ON SUPPLIER’S COST BASE</w:t>
            </w:r>
            <w:r w:rsidRPr="000E5786">
              <w:rPr>
                <w:rFonts w:ascii="Arial" w:hAnsi="Arial" w:cs="Arial"/>
                <w:i/>
              </w:rPr>
              <w:t>]</w:t>
            </w:r>
          </w:p>
        </w:tc>
      </w:tr>
      <w:tr w:rsidR="004C127E" w:rsidRPr="000E5786" w14:paraId="084FF55F" w14:textId="77777777" w:rsidTr="0026522A">
        <w:tc>
          <w:tcPr>
            <w:tcW w:w="2808" w:type="dxa"/>
          </w:tcPr>
          <w:p w14:paraId="196573E2" w14:textId="77777777" w:rsidR="004C127E" w:rsidRPr="000E5786" w:rsidRDefault="004C127E" w:rsidP="00EB717E">
            <w:pPr>
              <w:pStyle w:val="Body"/>
              <w:spacing w:after="120" w:line="240" w:lineRule="auto"/>
              <w:ind w:left="22" w:firstLine="0"/>
              <w:rPr>
                <w:rFonts w:ascii="Arial" w:hAnsi="Arial" w:cs="Arial"/>
                <w:b/>
              </w:rPr>
            </w:pPr>
            <w:r w:rsidRPr="000E5786">
              <w:rPr>
                <w:rFonts w:ascii="Arial" w:hAnsi="Arial" w:cs="Arial"/>
                <w:b/>
              </w:rPr>
              <w:t>Proposed Timetable:</w:t>
            </w:r>
          </w:p>
        </w:tc>
        <w:tc>
          <w:tcPr>
            <w:tcW w:w="6479" w:type="dxa"/>
          </w:tcPr>
          <w:p w14:paraId="641B59C6" w14:textId="77777777" w:rsidR="004C127E" w:rsidRPr="000E5786" w:rsidRDefault="004C127E" w:rsidP="00DD60F0">
            <w:pPr>
              <w:pStyle w:val="Body"/>
              <w:spacing w:after="120" w:line="240" w:lineRule="auto"/>
              <w:rPr>
                <w:rFonts w:ascii="Arial" w:hAnsi="Arial" w:cs="Arial"/>
              </w:rPr>
            </w:pPr>
            <w:r w:rsidRPr="000E5786">
              <w:rPr>
                <w:rFonts w:ascii="Arial" w:hAnsi="Arial" w:cs="Arial"/>
              </w:rPr>
              <w:t>[</w:t>
            </w:r>
            <w:r w:rsidRPr="00EB717E">
              <w:rPr>
                <w:rFonts w:ascii="Arial" w:hAnsi="Arial" w:cs="Arial"/>
                <w:i/>
                <w:highlight w:val="yellow"/>
              </w:rPr>
              <w:t>SUGGESTED TIMETABLE</w:t>
            </w:r>
            <w:r w:rsidRPr="000E5786">
              <w:rPr>
                <w:rFonts w:ascii="Arial" w:hAnsi="Arial" w:cs="Arial"/>
              </w:rPr>
              <w:t>]</w:t>
            </w:r>
          </w:p>
        </w:tc>
      </w:tr>
      <w:tr w:rsidR="004C127E" w:rsidRPr="000E5786" w14:paraId="01D8A16F" w14:textId="77777777" w:rsidTr="0026522A">
        <w:tc>
          <w:tcPr>
            <w:tcW w:w="2808" w:type="dxa"/>
          </w:tcPr>
          <w:p w14:paraId="7E84FB53" w14:textId="77777777" w:rsidR="004C127E" w:rsidRPr="000E5786" w:rsidRDefault="004C127E" w:rsidP="00EB717E">
            <w:pPr>
              <w:pStyle w:val="Body"/>
              <w:spacing w:after="120" w:line="240" w:lineRule="auto"/>
              <w:ind w:left="22" w:firstLine="0"/>
              <w:rPr>
                <w:rFonts w:ascii="Arial" w:hAnsi="Arial" w:cs="Arial"/>
                <w:b/>
              </w:rPr>
            </w:pPr>
            <w:r w:rsidRPr="000E5786">
              <w:rPr>
                <w:rFonts w:ascii="Arial" w:hAnsi="Arial" w:cs="Arial"/>
                <w:b/>
              </w:rPr>
              <w:t>Acceptance Criteria and required testing:</w:t>
            </w:r>
          </w:p>
        </w:tc>
        <w:tc>
          <w:tcPr>
            <w:tcW w:w="6479" w:type="dxa"/>
          </w:tcPr>
          <w:p w14:paraId="4EAA99BC" w14:textId="77777777" w:rsidR="004C127E" w:rsidRPr="000E5786" w:rsidRDefault="004C127E" w:rsidP="00DD60F0">
            <w:pPr>
              <w:pStyle w:val="Body"/>
              <w:spacing w:after="120" w:line="240" w:lineRule="auto"/>
              <w:rPr>
                <w:rFonts w:ascii="Arial" w:hAnsi="Arial" w:cs="Arial"/>
              </w:rPr>
            </w:pPr>
            <w:r w:rsidRPr="000E5786">
              <w:rPr>
                <w:rFonts w:ascii="Arial" w:hAnsi="Arial" w:cs="Arial"/>
              </w:rPr>
              <w:t>[</w:t>
            </w:r>
            <w:r w:rsidRPr="00EB717E">
              <w:rPr>
                <w:rFonts w:ascii="Arial" w:hAnsi="Arial" w:cs="Arial"/>
                <w:i/>
                <w:highlight w:val="yellow"/>
              </w:rPr>
              <w:t>DETAIL ANY PROPOSED ACCEPTANCE CRITERIA</w:t>
            </w:r>
            <w:r w:rsidRPr="000E5786">
              <w:rPr>
                <w:rFonts w:ascii="Arial" w:hAnsi="Arial" w:cs="Arial"/>
              </w:rPr>
              <w:t>]</w:t>
            </w:r>
          </w:p>
        </w:tc>
      </w:tr>
    </w:tbl>
    <w:p w14:paraId="6EB5D485" w14:textId="77777777" w:rsidR="004C127E" w:rsidRPr="000E5786" w:rsidRDefault="004C127E" w:rsidP="00DD60F0">
      <w:pPr>
        <w:rPr>
          <w:rFonts w:cs="Arial"/>
          <w:szCs w:val="20"/>
        </w:rPr>
      </w:pPr>
    </w:p>
    <w:p w14:paraId="50A6F12C" w14:textId="77777777" w:rsidR="004C127E" w:rsidRPr="000E5786" w:rsidRDefault="004C127E" w:rsidP="00DD60F0">
      <w:pPr>
        <w:rPr>
          <w:rFonts w:cs="Arial"/>
          <w:szCs w:val="20"/>
        </w:rPr>
        <w:sectPr w:rsidR="004C127E" w:rsidRPr="000E5786" w:rsidSect="007E4240">
          <w:pgSz w:w="11907" w:h="16840" w:code="9"/>
          <w:pgMar w:top="1418" w:right="1418" w:bottom="1134" w:left="1418" w:header="708" w:footer="708" w:gutter="0"/>
          <w:cols w:space="708"/>
          <w:docGrid w:linePitch="360"/>
        </w:sectPr>
      </w:pPr>
    </w:p>
    <w:p w14:paraId="6342D05F" w14:textId="4D374BDF" w:rsidR="000C649C" w:rsidRDefault="000C649C" w:rsidP="000C649C">
      <w:pPr>
        <w:pStyle w:val="ScheduleSubheading"/>
        <w:numPr>
          <w:ilvl w:val="0"/>
          <w:numId w:val="0"/>
        </w:numPr>
      </w:pPr>
      <w:r>
        <w:lastRenderedPageBreak/>
        <w:t>ANNEX 8.2E</w:t>
      </w:r>
    </w:p>
    <w:p w14:paraId="0135159D" w14:textId="22445365" w:rsidR="000C649C" w:rsidRPr="000C649C" w:rsidRDefault="000C649C" w:rsidP="000C649C">
      <w:pPr>
        <w:pStyle w:val="Sch1"/>
        <w:numPr>
          <w:ilvl w:val="0"/>
          <w:numId w:val="0"/>
        </w:numPr>
        <w:ind w:hanging="709"/>
        <w:jc w:val="center"/>
        <w:rPr>
          <w:b/>
          <w:bCs/>
        </w:rPr>
      </w:pPr>
      <w:r w:rsidRPr="000C649C">
        <w:rPr>
          <w:b/>
          <w:bCs/>
        </w:rPr>
        <w:t>CHANGE APPROVAL BOARD (CAB) CHARTER</w:t>
      </w:r>
    </w:p>
    <w:p w14:paraId="32CF5720" w14:textId="77777777" w:rsidR="00FF6A6A" w:rsidRPr="000E5786" w:rsidRDefault="00FF6A6A" w:rsidP="00DD60F0">
      <w:pPr>
        <w:pStyle w:val="ScheduleSubheading"/>
        <w:numPr>
          <w:ilvl w:val="0"/>
          <w:numId w:val="0"/>
        </w:numPr>
        <w:spacing w:after="120"/>
        <w:jc w:val="both"/>
        <w:rPr>
          <w:rFonts w:cs="Arial"/>
          <w:szCs w:val="20"/>
        </w:rPr>
      </w:pPr>
    </w:p>
    <w:tbl>
      <w:tblPr>
        <w:tblStyle w:val="TableGrid0"/>
        <w:tblW w:w="5385" w:type="pct"/>
        <w:tblLook w:val="04A0" w:firstRow="1" w:lastRow="0" w:firstColumn="1" w:lastColumn="0" w:noHBand="0" w:noVBand="1"/>
      </w:tblPr>
      <w:tblGrid>
        <w:gridCol w:w="2830"/>
        <w:gridCol w:w="8779"/>
        <w:gridCol w:w="3768"/>
      </w:tblGrid>
      <w:tr w:rsidR="00FF6A6A" w:rsidRPr="000E5786" w14:paraId="2DE87694" w14:textId="77777777" w:rsidTr="00FF6A6A">
        <w:trPr>
          <w:trHeight w:val="397"/>
        </w:trPr>
        <w:tc>
          <w:tcPr>
            <w:tcW w:w="2830" w:type="dxa"/>
          </w:tcPr>
          <w:p w14:paraId="5BCE22FE" w14:textId="77777777" w:rsidR="00FF6A6A" w:rsidRPr="000E5786" w:rsidRDefault="00FF6A6A" w:rsidP="00DD60F0">
            <w:pPr>
              <w:keepNext/>
              <w:rPr>
                <w:rFonts w:ascii="Arial" w:hAnsi="Arial" w:cs="Arial"/>
                <w:b/>
                <w:bCs/>
                <w:sz w:val="20"/>
                <w:szCs w:val="20"/>
              </w:rPr>
            </w:pPr>
            <w:r w:rsidRPr="000E5786">
              <w:rPr>
                <w:rFonts w:ascii="Arial" w:hAnsi="Arial" w:cs="Arial"/>
                <w:sz w:val="20"/>
                <w:szCs w:val="20"/>
              </w:rPr>
              <w:br w:type="page"/>
            </w:r>
            <w:r w:rsidRPr="000E5786">
              <w:rPr>
                <w:rFonts w:ascii="Arial" w:hAnsi="Arial" w:cs="Arial"/>
                <w:sz w:val="20"/>
                <w:szCs w:val="20"/>
              </w:rPr>
              <w:br w:type="page"/>
            </w:r>
            <w:r w:rsidRPr="000E5786">
              <w:rPr>
                <w:rFonts w:ascii="Arial" w:hAnsi="Arial" w:cs="Arial"/>
                <w:sz w:val="20"/>
                <w:szCs w:val="20"/>
              </w:rPr>
              <w:br w:type="page"/>
            </w:r>
            <w:r w:rsidRPr="000E5786">
              <w:rPr>
                <w:rFonts w:ascii="Arial" w:hAnsi="Arial" w:cs="Arial"/>
                <w:b/>
                <w:bCs/>
                <w:sz w:val="20"/>
                <w:szCs w:val="20"/>
              </w:rPr>
              <w:t>Charter</w:t>
            </w:r>
          </w:p>
        </w:tc>
        <w:tc>
          <w:tcPr>
            <w:tcW w:w="12547" w:type="dxa"/>
            <w:gridSpan w:val="2"/>
          </w:tcPr>
          <w:p w14:paraId="0E214889" w14:textId="77777777" w:rsidR="00FF6A6A" w:rsidRPr="000E5786" w:rsidRDefault="00FF6A6A" w:rsidP="00DD60F0">
            <w:pPr>
              <w:keepNext/>
              <w:rPr>
                <w:rFonts w:ascii="Arial" w:hAnsi="Arial" w:cs="Arial"/>
                <w:bCs/>
                <w:i/>
                <w:sz w:val="20"/>
                <w:szCs w:val="20"/>
              </w:rPr>
            </w:pPr>
            <w:r w:rsidRPr="000E5786">
              <w:rPr>
                <w:rFonts w:ascii="Arial" w:hAnsi="Arial" w:cs="Arial"/>
                <w:b/>
                <w:bCs/>
                <w:sz w:val="20"/>
                <w:szCs w:val="20"/>
              </w:rPr>
              <w:t>Change Approval Board (CAB)</w:t>
            </w:r>
          </w:p>
        </w:tc>
      </w:tr>
      <w:tr w:rsidR="00FF6A6A" w:rsidRPr="000E5786" w14:paraId="44297ADE" w14:textId="77777777" w:rsidTr="00FF6A6A">
        <w:trPr>
          <w:trHeight w:val="423"/>
        </w:trPr>
        <w:tc>
          <w:tcPr>
            <w:tcW w:w="2830" w:type="dxa"/>
          </w:tcPr>
          <w:p w14:paraId="4A19D831" w14:textId="77777777" w:rsidR="00FF6A6A" w:rsidRPr="000E5786" w:rsidRDefault="00FF6A6A" w:rsidP="00DD60F0">
            <w:pPr>
              <w:pStyle w:val="ScheduleTitle"/>
              <w:numPr>
                <w:ilvl w:val="0"/>
                <w:numId w:val="0"/>
              </w:numPr>
              <w:spacing w:after="120"/>
              <w:jc w:val="both"/>
              <w:rPr>
                <w:rFonts w:ascii="Arial" w:hAnsi="Arial" w:cs="Arial"/>
                <w:sz w:val="20"/>
                <w:szCs w:val="20"/>
              </w:rPr>
            </w:pPr>
            <w:r w:rsidRPr="000E5786">
              <w:rPr>
                <w:rFonts w:ascii="Arial" w:hAnsi="Arial" w:cs="Arial"/>
                <w:sz w:val="20"/>
                <w:szCs w:val="20"/>
              </w:rPr>
              <w:t>Purpose / Role / Agenda</w:t>
            </w:r>
          </w:p>
        </w:tc>
        <w:tc>
          <w:tcPr>
            <w:tcW w:w="12547" w:type="dxa"/>
            <w:gridSpan w:val="2"/>
          </w:tcPr>
          <w:p w14:paraId="5C87B421" w14:textId="77777777" w:rsidR="00FF6A6A" w:rsidRPr="000E5786" w:rsidRDefault="00FF6A6A" w:rsidP="00DD60F0">
            <w:pPr>
              <w:pStyle w:val="Purpose"/>
              <w:rPr>
                <w:rFonts w:ascii="Arial" w:hAnsi="Arial"/>
                <w:sz w:val="20"/>
              </w:rPr>
            </w:pPr>
            <w:r w:rsidRPr="000E5786">
              <w:rPr>
                <w:rFonts w:ascii="Arial" w:hAnsi="Arial"/>
                <w:sz w:val="20"/>
              </w:rPr>
              <w:t>Purpose: to review and approve Technical Change Requests in accordance with this Schedule 8.2.</w:t>
            </w:r>
          </w:p>
          <w:p w14:paraId="5D163825" w14:textId="77777777" w:rsidR="00FF6A6A" w:rsidRPr="000E5786" w:rsidRDefault="00FF6A6A" w:rsidP="00DD60F0">
            <w:pPr>
              <w:keepNext/>
              <w:rPr>
                <w:rFonts w:ascii="Arial" w:hAnsi="Arial" w:cs="Arial"/>
                <w:sz w:val="20"/>
                <w:szCs w:val="20"/>
              </w:rPr>
            </w:pPr>
            <w:r w:rsidRPr="000E5786">
              <w:rPr>
                <w:rFonts w:ascii="Arial" w:hAnsi="Arial" w:cs="Arial"/>
                <w:sz w:val="20"/>
                <w:szCs w:val="20"/>
              </w:rPr>
              <w:t>Role:</w:t>
            </w:r>
          </w:p>
          <w:p w14:paraId="3874BB55" w14:textId="77777777" w:rsidR="00FF6A6A" w:rsidRPr="000E5786" w:rsidRDefault="00FF6A6A" w:rsidP="00E538A1">
            <w:pPr>
              <w:pStyle w:val="ListParagraph"/>
              <w:keepNext/>
              <w:numPr>
                <w:ilvl w:val="0"/>
                <w:numId w:val="24"/>
              </w:numPr>
              <w:spacing w:after="120" w:line="240" w:lineRule="auto"/>
              <w:contextualSpacing w:val="0"/>
              <w:rPr>
                <w:rFonts w:ascii="Arial" w:hAnsi="Arial" w:cs="Arial"/>
                <w:sz w:val="20"/>
                <w:szCs w:val="20"/>
              </w:rPr>
            </w:pPr>
            <w:r w:rsidRPr="000E5786">
              <w:rPr>
                <w:rFonts w:ascii="Arial" w:hAnsi="Arial" w:cs="Arial"/>
                <w:sz w:val="20"/>
                <w:szCs w:val="20"/>
              </w:rPr>
              <w:t xml:space="preserve">Reviews Change Requests prior to the </w:t>
            </w:r>
            <w:proofErr w:type="gramStart"/>
            <w:r w:rsidRPr="000E5786">
              <w:rPr>
                <w:rFonts w:ascii="Arial" w:hAnsi="Arial" w:cs="Arial"/>
                <w:sz w:val="20"/>
                <w:szCs w:val="20"/>
              </w:rPr>
              <w:t>meeting</w:t>
            </w:r>
            <w:proofErr w:type="gramEnd"/>
          </w:p>
          <w:p w14:paraId="71438830" w14:textId="77777777" w:rsidR="00FF6A6A" w:rsidRPr="000E5786" w:rsidRDefault="00FF6A6A" w:rsidP="00E538A1">
            <w:pPr>
              <w:pStyle w:val="ListParagraph"/>
              <w:keepNext/>
              <w:numPr>
                <w:ilvl w:val="0"/>
                <w:numId w:val="24"/>
              </w:numPr>
              <w:spacing w:after="120" w:line="240" w:lineRule="auto"/>
              <w:contextualSpacing w:val="0"/>
              <w:rPr>
                <w:rFonts w:ascii="Arial" w:hAnsi="Arial" w:cs="Arial"/>
                <w:sz w:val="20"/>
                <w:szCs w:val="20"/>
              </w:rPr>
            </w:pPr>
            <w:r w:rsidRPr="000E5786">
              <w:rPr>
                <w:rFonts w:ascii="Arial" w:hAnsi="Arial" w:cs="Arial"/>
                <w:sz w:val="20"/>
                <w:szCs w:val="20"/>
              </w:rPr>
              <w:t>Approves Technical Change Requests (both Minor and Significant Change Requests)</w:t>
            </w:r>
          </w:p>
          <w:p w14:paraId="46CC913F" w14:textId="77777777" w:rsidR="00FF6A6A" w:rsidRPr="000E5786" w:rsidRDefault="00FF6A6A" w:rsidP="00E538A1">
            <w:pPr>
              <w:pStyle w:val="ListParagraph"/>
              <w:keepNext/>
              <w:numPr>
                <w:ilvl w:val="0"/>
                <w:numId w:val="24"/>
              </w:numPr>
              <w:spacing w:after="120" w:line="240" w:lineRule="auto"/>
              <w:contextualSpacing w:val="0"/>
              <w:rPr>
                <w:rFonts w:ascii="Arial" w:hAnsi="Arial" w:cs="Arial"/>
                <w:sz w:val="20"/>
                <w:szCs w:val="20"/>
              </w:rPr>
            </w:pPr>
            <w:r w:rsidRPr="000E5786">
              <w:rPr>
                <w:rFonts w:ascii="Arial" w:hAnsi="Arial" w:cs="Arial"/>
                <w:sz w:val="20"/>
                <w:szCs w:val="20"/>
              </w:rPr>
              <w:t xml:space="preserve">Assess the impact of the change, its feasibility, and commercial and business </w:t>
            </w:r>
            <w:proofErr w:type="gramStart"/>
            <w:r w:rsidRPr="000E5786">
              <w:rPr>
                <w:rFonts w:ascii="Arial" w:hAnsi="Arial" w:cs="Arial"/>
                <w:sz w:val="20"/>
                <w:szCs w:val="20"/>
              </w:rPr>
              <w:t>value</w:t>
            </w:r>
            <w:proofErr w:type="gramEnd"/>
          </w:p>
          <w:p w14:paraId="30ED08D0" w14:textId="77777777" w:rsidR="00FF6A6A" w:rsidRPr="000E5786" w:rsidRDefault="00FF6A6A" w:rsidP="00E538A1">
            <w:pPr>
              <w:pStyle w:val="ListParagraph"/>
              <w:keepNext/>
              <w:numPr>
                <w:ilvl w:val="0"/>
                <w:numId w:val="24"/>
              </w:numPr>
              <w:spacing w:after="120" w:line="240" w:lineRule="auto"/>
              <w:contextualSpacing w:val="0"/>
              <w:rPr>
                <w:rFonts w:ascii="Arial" w:hAnsi="Arial" w:cs="Arial"/>
                <w:sz w:val="20"/>
                <w:szCs w:val="20"/>
              </w:rPr>
            </w:pPr>
            <w:r w:rsidRPr="000E5786">
              <w:rPr>
                <w:rFonts w:ascii="Arial" w:hAnsi="Arial" w:cs="Arial"/>
                <w:sz w:val="20"/>
                <w:szCs w:val="20"/>
              </w:rPr>
              <w:t xml:space="preserve">Help determine the prioritisation and timeline for </w:t>
            </w:r>
            <w:proofErr w:type="gramStart"/>
            <w:r w:rsidRPr="000E5786">
              <w:rPr>
                <w:rFonts w:ascii="Arial" w:hAnsi="Arial" w:cs="Arial"/>
                <w:sz w:val="20"/>
                <w:szCs w:val="20"/>
              </w:rPr>
              <w:t>Changes</w:t>
            </w:r>
            <w:proofErr w:type="gramEnd"/>
          </w:p>
          <w:p w14:paraId="1077CEC2" w14:textId="77777777" w:rsidR="00FF6A6A" w:rsidRPr="000E5786" w:rsidRDefault="00FF6A6A" w:rsidP="00E538A1">
            <w:pPr>
              <w:pStyle w:val="ListParagraph"/>
              <w:keepNext/>
              <w:numPr>
                <w:ilvl w:val="0"/>
                <w:numId w:val="24"/>
              </w:numPr>
              <w:spacing w:after="120" w:line="240" w:lineRule="auto"/>
              <w:contextualSpacing w:val="0"/>
              <w:rPr>
                <w:rFonts w:ascii="Arial" w:hAnsi="Arial" w:cs="Arial"/>
                <w:sz w:val="20"/>
                <w:szCs w:val="20"/>
              </w:rPr>
            </w:pPr>
            <w:r w:rsidRPr="000E5786">
              <w:rPr>
                <w:rFonts w:ascii="Arial" w:hAnsi="Arial" w:cs="Arial"/>
                <w:sz w:val="20"/>
                <w:szCs w:val="20"/>
              </w:rPr>
              <w:t xml:space="preserve">Documents and communicates the CAB meeting agenda before CAB meetings and decisions </w:t>
            </w:r>
            <w:proofErr w:type="gramStart"/>
            <w:r w:rsidRPr="000E5786">
              <w:rPr>
                <w:rFonts w:ascii="Arial" w:hAnsi="Arial" w:cs="Arial"/>
                <w:sz w:val="20"/>
                <w:szCs w:val="20"/>
              </w:rPr>
              <w:t>afterwards</w:t>
            </w:r>
            <w:proofErr w:type="gramEnd"/>
          </w:p>
          <w:p w14:paraId="5F43AEFC" w14:textId="77777777" w:rsidR="00FF6A6A" w:rsidRPr="000E5786" w:rsidRDefault="00FF6A6A" w:rsidP="00E538A1">
            <w:pPr>
              <w:pStyle w:val="ListParagraph"/>
              <w:keepNext/>
              <w:numPr>
                <w:ilvl w:val="0"/>
                <w:numId w:val="24"/>
              </w:numPr>
              <w:spacing w:after="120" w:line="240" w:lineRule="auto"/>
              <w:contextualSpacing w:val="0"/>
              <w:rPr>
                <w:rFonts w:ascii="Arial" w:hAnsi="Arial" w:cs="Arial"/>
                <w:sz w:val="20"/>
                <w:szCs w:val="20"/>
              </w:rPr>
            </w:pPr>
            <w:r w:rsidRPr="000E5786">
              <w:rPr>
                <w:rFonts w:ascii="Arial" w:hAnsi="Arial" w:cs="Arial"/>
                <w:sz w:val="20"/>
                <w:szCs w:val="20"/>
              </w:rPr>
              <w:t xml:space="preserve">Contribute by suggesting improvements to the change processes and/or </w:t>
            </w:r>
            <w:proofErr w:type="gramStart"/>
            <w:r w:rsidRPr="000E5786">
              <w:rPr>
                <w:rFonts w:ascii="Arial" w:hAnsi="Arial" w:cs="Arial"/>
                <w:sz w:val="20"/>
                <w:szCs w:val="20"/>
              </w:rPr>
              <w:t>forms</w:t>
            </w:r>
            <w:proofErr w:type="gramEnd"/>
          </w:p>
          <w:p w14:paraId="429CD077" w14:textId="77777777" w:rsidR="00FF6A6A" w:rsidRPr="000E5786" w:rsidRDefault="00FF6A6A" w:rsidP="00E538A1">
            <w:pPr>
              <w:pStyle w:val="ListParagraph"/>
              <w:keepNext/>
              <w:numPr>
                <w:ilvl w:val="0"/>
                <w:numId w:val="24"/>
              </w:numPr>
              <w:spacing w:after="120" w:line="240" w:lineRule="auto"/>
              <w:contextualSpacing w:val="0"/>
              <w:rPr>
                <w:rFonts w:ascii="Arial" w:hAnsi="Arial" w:cs="Arial"/>
                <w:sz w:val="20"/>
                <w:szCs w:val="20"/>
              </w:rPr>
            </w:pPr>
            <w:r w:rsidRPr="000E5786">
              <w:rPr>
                <w:rFonts w:ascii="Arial" w:hAnsi="Arial" w:cs="Arial"/>
                <w:sz w:val="20"/>
                <w:szCs w:val="20"/>
              </w:rPr>
              <w:t>Out-of-scope: Non-Technical Changes, new project requests</w:t>
            </w:r>
          </w:p>
          <w:p w14:paraId="14F633AF" w14:textId="77777777" w:rsidR="00FF6A6A" w:rsidRPr="000E5786" w:rsidRDefault="00FF6A6A" w:rsidP="00DD60F0">
            <w:pPr>
              <w:keepNext/>
              <w:rPr>
                <w:rFonts w:ascii="Arial" w:hAnsi="Arial" w:cs="Arial"/>
                <w:bCs/>
                <w:sz w:val="20"/>
                <w:szCs w:val="20"/>
              </w:rPr>
            </w:pPr>
            <w:r w:rsidRPr="000E5786">
              <w:rPr>
                <w:rFonts w:ascii="Arial" w:hAnsi="Arial" w:cs="Arial"/>
                <w:bCs/>
                <w:sz w:val="20"/>
                <w:szCs w:val="20"/>
              </w:rPr>
              <w:t xml:space="preserve">Agenda shall be determined by the Chair </w:t>
            </w:r>
          </w:p>
        </w:tc>
      </w:tr>
      <w:tr w:rsidR="00FF6A6A" w:rsidRPr="000E5786" w14:paraId="7C7E2A4D" w14:textId="77777777" w:rsidTr="00FF6A6A">
        <w:trPr>
          <w:trHeight w:val="423"/>
        </w:trPr>
        <w:tc>
          <w:tcPr>
            <w:tcW w:w="2830" w:type="dxa"/>
          </w:tcPr>
          <w:p w14:paraId="065B7CA1" w14:textId="77777777" w:rsidR="00FF6A6A" w:rsidRPr="000E5786" w:rsidRDefault="00FF6A6A" w:rsidP="00DD60F0">
            <w:pPr>
              <w:rPr>
                <w:rFonts w:ascii="Arial" w:hAnsi="Arial" w:cs="Arial"/>
                <w:b/>
                <w:sz w:val="20"/>
                <w:szCs w:val="20"/>
              </w:rPr>
            </w:pPr>
            <w:r w:rsidRPr="000E5786">
              <w:rPr>
                <w:rFonts w:ascii="Arial" w:hAnsi="Arial" w:cs="Arial"/>
                <w:b/>
                <w:sz w:val="20"/>
                <w:szCs w:val="20"/>
              </w:rPr>
              <w:t>Scope of Authority</w:t>
            </w:r>
          </w:p>
        </w:tc>
        <w:tc>
          <w:tcPr>
            <w:tcW w:w="12547" w:type="dxa"/>
            <w:gridSpan w:val="2"/>
          </w:tcPr>
          <w:p w14:paraId="7EC8E821" w14:textId="77777777" w:rsidR="00FF6A6A" w:rsidRPr="000E5786" w:rsidRDefault="00FF6A6A" w:rsidP="00DD60F0">
            <w:pPr>
              <w:contextualSpacing/>
              <w:rPr>
                <w:rFonts w:ascii="Arial" w:hAnsi="Arial" w:cs="Arial"/>
                <w:bCs/>
                <w:sz w:val="20"/>
                <w:szCs w:val="20"/>
              </w:rPr>
            </w:pPr>
            <w:r w:rsidRPr="000E5786">
              <w:rPr>
                <w:rFonts w:ascii="Arial" w:hAnsi="Arial" w:cs="Arial"/>
                <w:bCs/>
                <w:sz w:val="20"/>
                <w:szCs w:val="20"/>
              </w:rPr>
              <w:t>The decision to approve or deny new Change Requests</w:t>
            </w:r>
          </w:p>
        </w:tc>
      </w:tr>
      <w:tr w:rsidR="00FF6A6A" w:rsidRPr="000E5786" w14:paraId="103FE1CB" w14:textId="77777777" w:rsidTr="00FF6A6A">
        <w:trPr>
          <w:trHeight w:val="337"/>
        </w:trPr>
        <w:tc>
          <w:tcPr>
            <w:tcW w:w="2830" w:type="dxa"/>
          </w:tcPr>
          <w:p w14:paraId="0F29D6F8" w14:textId="77777777" w:rsidR="00FF6A6A" w:rsidRPr="000E5786" w:rsidRDefault="00FF6A6A" w:rsidP="000C649C">
            <w:pPr>
              <w:ind w:left="0" w:firstLine="0"/>
              <w:rPr>
                <w:rFonts w:ascii="Arial" w:hAnsi="Arial" w:cs="Arial"/>
                <w:b/>
                <w:sz w:val="20"/>
                <w:szCs w:val="20"/>
              </w:rPr>
            </w:pPr>
            <w:r w:rsidRPr="000E5786">
              <w:rPr>
                <w:rFonts w:ascii="Arial" w:hAnsi="Arial" w:cs="Arial"/>
                <w:b/>
                <w:sz w:val="20"/>
                <w:szCs w:val="20"/>
              </w:rPr>
              <w:t>Membership / Minimum Attendance Level (if relevant)</w:t>
            </w:r>
          </w:p>
        </w:tc>
        <w:tc>
          <w:tcPr>
            <w:tcW w:w="8779" w:type="dxa"/>
          </w:tcPr>
          <w:p w14:paraId="39672683" w14:textId="7894E4B7" w:rsidR="00093E9E" w:rsidRPr="00093E9E" w:rsidRDefault="00FF6A6A" w:rsidP="00093E9E">
            <w:pPr>
              <w:rPr>
                <w:rFonts w:ascii="Arial" w:hAnsi="Arial" w:cs="Arial"/>
                <w:sz w:val="20"/>
                <w:szCs w:val="20"/>
              </w:rPr>
            </w:pPr>
            <w:r w:rsidRPr="00093E9E">
              <w:rPr>
                <w:rFonts w:ascii="Arial" w:hAnsi="Arial" w:cs="Arial"/>
                <w:bCs/>
                <w:sz w:val="20"/>
                <w:szCs w:val="20"/>
              </w:rPr>
              <w:t xml:space="preserve">Chair:  </w:t>
            </w:r>
            <w:r w:rsidR="00093E9E" w:rsidRPr="00093E9E">
              <w:rPr>
                <w:rFonts w:ascii="Arial" w:hAnsi="Arial" w:cs="Arial"/>
                <w:sz w:val="20"/>
                <w:szCs w:val="20"/>
              </w:rPr>
              <w:t xml:space="preserve">Service Assurance Manager,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p>
          <w:p w14:paraId="33173457" w14:textId="0317403D" w:rsidR="00093E9E" w:rsidRPr="00093E9E" w:rsidRDefault="00FF6A6A" w:rsidP="00093E9E">
            <w:pPr>
              <w:rPr>
                <w:rFonts w:ascii="Arial" w:hAnsi="Arial" w:cs="Arial"/>
                <w:sz w:val="20"/>
                <w:szCs w:val="20"/>
              </w:rPr>
            </w:pPr>
            <w:r w:rsidRPr="00093E9E">
              <w:rPr>
                <w:rFonts w:ascii="Arial" w:hAnsi="Arial" w:cs="Arial"/>
                <w:bCs/>
                <w:sz w:val="20"/>
                <w:szCs w:val="20"/>
              </w:rPr>
              <w:t xml:space="preserve">Administrator: </w:t>
            </w:r>
            <w:r w:rsidR="00093E9E" w:rsidRPr="00093E9E">
              <w:rPr>
                <w:rFonts w:ascii="Arial" w:hAnsi="Arial" w:cs="Arial"/>
                <w:sz w:val="20"/>
                <w:szCs w:val="20"/>
              </w:rPr>
              <w:t xml:space="preserve">Supplier Manager/Contract Manager,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p>
          <w:p w14:paraId="57948555" w14:textId="39EC7CF1" w:rsidR="00FF6A6A" w:rsidRPr="00093E9E" w:rsidRDefault="00FF6A6A" w:rsidP="00DD60F0">
            <w:pPr>
              <w:rPr>
                <w:rFonts w:ascii="Arial" w:hAnsi="Arial" w:cs="Arial"/>
                <w:bCs/>
                <w:sz w:val="20"/>
                <w:szCs w:val="20"/>
              </w:rPr>
            </w:pPr>
          </w:p>
          <w:p w14:paraId="77CBE791" w14:textId="77777777" w:rsidR="00FF6A6A" w:rsidRPr="00093E9E" w:rsidRDefault="00FF6A6A" w:rsidP="00DD60F0">
            <w:pPr>
              <w:rPr>
                <w:rFonts w:ascii="Arial" w:hAnsi="Arial" w:cs="Arial"/>
                <w:bCs/>
                <w:sz w:val="20"/>
                <w:szCs w:val="20"/>
              </w:rPr>
            </w:pPr>
            <w:r w:rsidRPr="00093E9E">
              <w:rPr>
                <w:rFonts w:ascii="Arial" w:hAnsi="Arial" w:cs="Arial"/>
                <w:bCs/>
                <w:sz w:val="20"/>
                <w:szCs w:val="20"/>
              </w:rPr>
              <w:t xml:space="preserve">Members: </w:t>
            </w:r>
          </w:p>
          <w:p w14:paraId="108CD0B9" w14:textId="2E080C19" w:rsidR="00093E9E" w:rsidRDefault="00093E9E" w:rsidP="00093E9E">
            <w:pPr>
              <w:rPr>
                <w:rFonts w:ascii="Arial" w:hAnsi="Arial" w:cs="Arial"/>
                <w:sz w:val="20"/>
                <w:szCs w:val="20"/>
              </w:rPr>
            </w:pPr>
            <w:r>
              <w:rPr>
                <w:rFonts w:ascii="Arial" w:hAnsi="Arial" w:cs="Arial"/>
                <w:sz w:val="20"/>
                <w:szCs w:val="20"/>
              </w:rPr>
              <w:t xml:space="preserve">-      </w:t>
            </w:r>
            <w:r w:rsidRPr="00093E9E">
              <w:rPr>
                <w:rFonts w:ascii="Arial" w:hAnsi="Arial" w:cs="Arial"/>
                <w:sz w:val="20"/>
                <w:szCs w:val="20"/>
              </w:rPr>
              <w:t>Service Owner</w:t>
            </w:r>
            <w:r>
              <w:rPr>
                <w:rFonts w:ascii="Arial" w:hAnsi="Arial" w:cs="Arial"/>
                <w:sz w:val="20"/>
                <w:szCs w:val="20"/>
              </w:rPr>
              <w:t xml:space="preserve">,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p>
          <w:p w14:paraId="052FF5DE" w14:textId="05C4EDCF" w:rsidR="00093E9E" w:rsidRDefault="00093E9E" w:rsidP="00093E9E">
            <w:pPr>
              <w:rPr>
                <w:rFonts w:ascii="Arial" w:hAnsi="Arial" w:cs="Arial"/>
                <w:sz w:val="20"/>
                <w:szCs w:val="20"/>
              </w:rPr>
            </w:pPr>
            <w:r>
              <w:rPr>
                <w:rFonts w:ascii="Arial" w:hAnsi="Arial" w:cs="Arial"/>
                <w:sz w:val="20"/>
                <w:szCs w:val="20"/>
              </w:rPr>
              <w:t xml:space="preserve">-      Service Manager,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p>
          <w:p w14:paraId="1BF80304" w14:textId="6EE3D6B1" w:rsidR="00093E9E" w:rsidRDefault="00093E9E" w:rsidP="00093E9E">
            <w:pPr>
              <w:rPr>
                <w:rFonts w:ascii="Arial" w:hAnsi="Arial" w:cs="Arial"/>
                <w:sz w:val="20"/>
                <w:szCs w:val="20"/>
              </w:rPr>
            </w:pPr>
            <w:r>
              <w:rPr>
                <w:rFonts w:ascii="Arial" w:hAnsi="Arial" w:cs="Arial"/>
                <w:sz w:val="20"/>
                <w:szCs w:val="20"/>
              </w:rPr>
              <w:t xml:space="preserve">-      Programme Manager,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Pr>
                <w:rFonts w:ascii="Arial" w:hAnsi="Arial" w:cs="Arial"/>
                <w:sz w:val="20"/>
                <w:szCs w:val="20"/>
              </w:rPr>
              <w:t xml:space="preserve">  </w:t>
            </w:r>
          </w:p>
          <w:p w14:paraId="1498813B" w14:textId="46019D75" w:rsidR="00093E9E" w:rsidRDefault="00093E9E" w:rsidP="00093E9E">
            <w:pPr>
              <w:rPr>
                <w:rFonts w:ascii="Arial" w:hAnsi="Arial" w:cs="Arial"/>
                <w:sz w:val="20"/>
                <w:szCs w:val="20"/>
              </w:rPr>
            </w:pPr>
            <w:r>
              <w:rPr>
                <w:rFonts w:ascii="Arial" w:hAnsi="Arial" w:cs="Arial"/>
                <w:sz w:val="20"/>
                <w:szCs w:val="20"/>
              </w:rPr>
              <w:lastRenderedPageBreak/>
              <w:t xml:space="preserve">-      Finance Business Partner,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p>
          <w:p w14:paraId="39A26091" w14:textId="4702596F" w:rsidR="00093E9E" w:rsidRDefault="00093E9E" w:rsidP="00093E9E">
            <w:pPr>
              <w:rPr>
                <w:rFonts w:ascii="Arial" w:hAnsi="Arial" w:cs="Arial"/>
                <w:sz w:val="20"/>
                <w:szCs w:val="20"/>
              </w:rPr>
            </w:pPr>
            <w:r>
              <w:rPr>
                <w:rFonts w:ascii="Arial" w:hAnsi="Arial" w:cs="Arial"/>
                <w:sz w:val="20"/>
                <w:szCs w:val="20"/>
              </w:rPr>
              <w:t xml:space="preserve">-      Project Manager(s),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p>
          <w:p w14:paraId="255F73FE" w14:textId="402DDF8D" w:rsidR="00093E9E" w:rsidRDefault="00093E9E" w:rsidP="00093E9E">
            <w:pPr>
              <w:rPr>
                <w:rFonts w:ascii="Arial" w:hAnsi="Arial" w:cs="Arial"/>
                <w:sz w:val="20"/>
                <w:szCs w:val="20"/>
              </w:rPr>
            </w:pPr>
            <w:r>
              <w:rPr>
                <w:rFonts w:ascii="Arial" w:hAnsi="Arial" w:cs="Arial"/>
                <w:sz w:val="20"/>
                <w:szCs w:val="20"/>
              </w:rPr>
              <w:t xml:space="preserve">-      Security representative,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Pr>
                <w:rFonts w:ascii="Arial" w:hAnsi="Arial" w:cs="Arial"/>
                <w:sz w:val="20"/>
                <w:szCs w:val="20"/>
              </w:rPr>
              <w:t xml:space="preserve"> (optional)</w:t>
            </w:r>
          </w:p>
          <w:p w14:paraId="59F19E87" w14:textId="77777777" w:rsidR="00093E9E" w:rsidRDefault="00093E9E" w:rsidP="00093E9E">
            <w:pPr>
              <w:rPr>
                <w:rFonts w:ascii="Arial" w:hAnsi="Arial" w:cs="Arial"/>
                <w:sz w:val="20"/>
                <w:szCs w:val="20"/>
              </w:rPr>
            </w:pPr>
            <w:r>
              <w:rPr>
                <w:rFonts w:ascii="Arial" w:hAnsi="Arial" w:cs="Arial"/>
                <w:sz w:val="20"/>
                <w:szCs w:val="20"/>
              </w:rPr>
              <w:t>-      Account Executive, Supplier</w:t>
            </w:r>
          </w:p>
          <w:p w14:paraId="255B9748" w14:textId="77777777" w:rsidR="00093E9E" w:rsidRDefault="00093E9E" w:rsidP="00093E9E">
            <w:pPr>
              <w:rPr>
                <w:rFonts w:ascii="Arial" w:hAnsi="Arial" w:cs="Arial"/>
                <w:sz w:val="20"/>
                <w:szCs w:val="20"/>
              </w:rPr>
            </w:pPr>
            <w:r>
              <w:rPr>
                <w:rFonts w:ascii="Arial" w:hAnsi="Arial" w:cs="Arial"/>
                <w:sz w:val="20"/>
                <w:szCs w:val="20"/>
              </w:rPr>
              <w:t>-      Service Owner, Supplier</w:t>
            </w:r>
          </w:p>
          <w:p w14:paraId="45C770C2" w14:textId="77777777" w:rsidR="00093E9E" w:rsidRDefault="00093E9E" w:rsidP="00093E9E">
            <w:pPr>
              <w:rPr>
                <w:rFonts w:ascii="Arial" w:hAnsi="Arial" w:cs="Arial"/>
                <w:sz w:val="20"/>
                <w:szCs w:val="20"/>
              </w:rPr>
            </w:pPr>
            <w:r>
              <w:rPr>
                <w:rFonts w:ascii="Arial" w:hAnsi="Arial" w:cs="Arial"/>
                <w:sz w:val="20"/>
                <w:szCs w:val="20"/>
              </w:rPr>
              <w:t>-      Service Delivery Manager, Supplier</w:t>
            </w:r>
          </w:p>
          <w:p w14:paraId="647F8FC6" w14:textId="7A372B01" w:rsidR="00093E9E" w:rsidRPr="00093E9E" w:rsidRDefault="00093E9E" w:rsidP="00093E9E">
            <w:pPr>
              <w:keepNext/>
              <w:rPr>
                <w:rFonts w:ascii="Arial" w:hAnsi="Arial" w:cs="Arial"/>
                <w:sz w:val="20"/>
                <w:szCs w:val="20"/>
                <w:highlight w:val="yellow"/>
              </w:rPr>
            </w:pPr>
            <w:r>
              <w:rPr>
                <w:rFonts w:ascii="Arial" w:hAnsi="Arial" w:cs="Arial"/>
                <w:color w:val="000000"/>
                <w:sz w:val="20"/>
                <w:szCs w:val="20"/>
              </w:rPr>
              <w:t xml:space="preserve">-      Project Manager, </w:t>
            </w:r>
            <w:r>
              <w:rPr>
                <w:rFonts w:ascii="Arial" w:hAnsi="Arial" w:cs="Arial"/>
                <w:sz w:val="20"/>
                <w:szCs w:val="20"/>
              </w:rPr>
              <w:t>Supplier</w:t>
            </w:r>
          </w:p>
        </w:tc>
        <w:tc>
          <w:tcPr>
            <w:tcW w:w="3768" w:type="dxa"/>
          </w:tcPr>
          <w:p w14:paraId="0CBB8091" w14:textId="3179CDBC" w:rsidR="00FF6A6A" w:rsidRPr="000E5786" w:rsidRDefault="00FF6A6A" w:rsidP="00DD60F0">
            <w:pPr>
              <w:ind w:left="360"/>
              <w:rPr>
                <w:rFonts w:ascii="Arial" w:hAnsi="Arial" w:cs="Arial"/>
                <w:sz w:val="20"/>
                <w:szCs w:val="20"/>
              </w:rPr>
            </w:pPr>
            <w:r w:rsidRPr="000E5786">
              <w:rPr>
                <w:rFonts w:ascii="Arial" w:hAnsi="Arial" w:cs="Arial"/>
                <w:b/>
                <w:bCs/>
                <w:sz w:val="20"/>
                <w:szCs w:val="20"/>
              </w:rPr>
              <w:lastRenderedPageBreak/>
              <w:t>Minimum Level of Attendance</w:t>
            </w:r>
            <w:r w:rsidRPr="000E5786">
              <w:rPr>
                <w:rFonts w:ascii="Arial" w:hAnsi="Arial" w:cs="Arial"/>
                <w:sz w:val="20"/>
                <w:szCs w:val="20"/>
              </w:rPr>
              <w:t xml:space="preserve">:  </w:t>
            </w:r>
            <w:r w:rsidR="00093E9E">
              <w:rPr>
                <w:rFonts w:ascii="Arial" w:hAnsi="Arial" w:cs="Arial"/>
                <w:sz w:val="20"/>
                <w:szCs w:val="20"/>
              </w:rPr>
              <w:t xml:space="preserve">At least two representatives from each Party to be </w:t>
            </w:r>
            <w:r w:rsidR="00093E9E" w:rsidRPr="00093E9E">
              <w:rPr>
                <w:rFonts w:ascii="Arial" w:hAnsi="Arial" w:cs="Arial"/>
                <w:sz w:val="20"/>
                <w:szCs w:val="20"/>
              </w:rPr>
              <w:t>present</w:t>
            </w:r>
          </w:p>
        </w:tc>
      </w:tr>
      <w:tr w:rsidR="00FF6A6A" w:rsidRPr="000E5786" w14:paraId="1770A8E8" w14:textId="77777777" w:rsidTr="00FF6A6A">
        <w:trPr>
          <w:trHeight w:val="369"/>
        </w:trPr>
        <w:tc>
          <w:tcPr>
            <w:tcW w:w="2830" w:type="dxa"/>
          </w:tcPr>
          <w:p w14:paraId="7DC5D52D" w14:textId="77777777" w:rsidR="00FF6A6A" w:rsidRPr="000E5786" w:rsidRDefault="00FF6A6A" w:rsidP="00DD60F0">
            <w:pPr>
              <w:rPr>
                <w:rFonts w:ascii="Arial" w:hAnsi="Arial" w:cs="Arial"/>
                <w:b/>
                <w:sz w:val="20"/>
                <w:szCs w:val="20"/>
              </w:rPr>
            </w:pPr>
            <w:r w:rsidRPr="000E5786">
              <w:rPr>
                <w:rFonts w:ascii="Arial" w:hAnsi="Arial" w:cs="Arial"/>
                <w:b/>
                <w:sz w:val="20"/>
                <w:szCs w:val="20"/>
              </w:rPr>
              <w:t>Frequency</w:t>
            </w:r>
          </w:p>
        </w:tc>
        <w:tc>
          <w:tcPr>
            <w:tcW w:w="12547" w:type="dxa"/>
            <w:gridSpan w:val="2"/>
          </w:tcPr>
          <w:p w14:paraId="2990148A" w14:textId="77777777" w:rsidR="00FF6A6A" w:rsidRPr="000E5786" w:rsidRDefault="00FF6A6A" w:rsidP="00DD60F0">
            <w:pPr>
              <w:rPr>
                <w:rFonts w:ascii="Arial" w:hAnsi="Arial" w:cs="Arial"/>
                <w:sz w:val="20"/>
                <w:szCs w:val="20"/>
              </w:rPr>
            </w:pPr>
            <w:r w:rsidRPr="000E5786">
              <w:rPr>
                <w:rFonts w:ascii="Arial" w:hAnsi="Arial" w:cs="Arial"/>
                <w:sz w:val="20"/>
                <w:szCs w:val="20"/>
              </w:rPr>
              <w:t>Weekly</w:t>
            </w:r>
          </w:p>
        </w:tc>
      </w:tr>
      <w:tr w:rsidR="00FF6A6A" w:rsidRPr="000E5786" w14:paraId="2D742092" w14:textId="77777777" w:rsidTr="00FF6A6A">
        <w:trPr>
          <w:trHeight w:val="397"/>
        </w:trPr>
        <w:tc>
          <w:tcPr>
            <w:tcW w:w="2830" w:type="dxa"/>
          </w:tcPr>
          <w:p w14:paraId="580C9DA7" w14:textId="77777777" w:rsidR="00FF6A6A" w:rsidRPr="000E5786" w:rsidRDefault="00FF6A6A" w:rsidP="00DD60F0">
            <w:pPr>
              <w:rPr>
                <w:rFonts w:ascii="Arial" w:hAnsi="Arial" w:cs="Arial"/>
                <w:b/>
                <w:sz w:val="20"/>
                <w:szCs w:val="20"/>
              </w:rPr>
            </w:pPr>
            <w:r w:rsidRPr="000E5786">
              <w:rPr>
                <w:rFonts w:ascii="Arial" w:hAnsi="Arial" w:cs="Arial"/>
                <w:b/>
                <w:sz w:val="20"/>
                <w:szCs w:val="20"/>
              </w:rPr>
              <w:t>Areas for review</w:t>
            </w:r>
          </w:p>
        </w:tc>
        <w:tc>
          <w:tcPr>
            <w:tcW w:w="12547" w:type="dxa"/>
            <w:gridSpan w:val="2"/>
          </w:tcPr>
          <w:p w14:paraId="7708F38B" w14:textId="77777777" w:rsidR="00FF6A6A" w:rsidRPr="000E5786" w:rsidRDefault="00FF6A6A" w:rsidP="00DD60F0">
            <w:pPr>
              <w:pStyle w:val="BulletLast"/>
              <w:tabs>
                <w:tab w:val="clear" w:pos="360"/>
              </w:tabs>
              <w:ind w:left="0" w:firstLine="0"/>
              <w:rPr>
                <w:rFonts w:ascii="Arial" w:eastAsia="MS Mincho" w:hAnsi="Arial" w:cs="Arial"/>
                <w:spacing w:val="0"/>
                <w:sz w:val="20"/>
                <w:szCs w:val="20"/>
                <w:lang w:eastAsia="ja-JP"/>
              </w:rPr>
            </w:pPr>
            <w:r w:rsidRPr="000E5786">
              <w:rPr>
                <w:rFonts w:ascii="Arial" w:eastAsia="MS Mincho" w:hAnsi="Arial" w:cs="Arial"/>
                <w:spacing w:val="0"/>
                <w:sz w:val="20"/>
                <w:szCs w:val="20"/>
                <w:lang w:eastAsia="ja-JP"/>
              </w:rPr>
              <w:t>Technical Change Requests</w:t>
            </w:r>
          </w:p>
        </w:tc>
      </w:tr>
      <w:tr w:rsidR="00FF6A6A" w:rsidRPr="000E5786" w14:paraId="7DFEFB46" w14:textId="77777777" w:rsidTr="00FF6A6A">
        <w:trPr>
          <w:trHeight w:val="397"/>
        </w:trPr>
        <w:tc>
          <w:tcPr>
            <w:tcW w:w="2830" w:type="dxa"/>
          </w:tcPr>
          <w:p w14:paraId="5B124B4B" w14:textId="77777777" w:rsidR="00FF6A6A" w:rsidRPr="000E5786" w:rsidRDefault="00FF6A6A" w:rsidP="00DD60F0">
            <w:pPr>
              <w:rPr>
                <w:rFonts w:ascii="Arial" w:hAnsi="Arial" w:cs="Arial"/>
                <w:b/>
                <w:sz w:val="20"/>
                <w:szCs w:val="20"/>
              </w:rPr>
            </w:pPr>
            <w:r w:rsidRPr="000E5786">
              <w:rPr>
                <w:rFonts w:ascii="Arial" w:hAnsi="Arial" w:cs="Arial"/>
                <w:b/>
                <w:sz w:val="20"/>
                <w:szCs w:val="20"/>
              </w:rPr>
              <w:t>Inputs</w:t>
            </w:r>
          </w:p>
        </w:tc>
        <w:tc>
          <w:tcPr>
            <w:tcW w:w="12547" w:type="dxa"/>
            <w:gridSpan w:val="2"/>
          </w:tcPr>
          <w:p w14:paraId="67DF564F" w14:textId="77777777" w:rsidR="00FF6A6A" w:rsidRPr="000E5786" w:rsidRDefault="00FF6A6A" w:rsidP="00DD60F0">
            <w:pPr>
              <w:pStyle w:val="BulletLast"/>
              <w:tabs>
                <w:tab w:val="clear" w:pos="360"/>
              </w:tabs>
              <w:ind w:left="0" w:firstLine="0"/>
              <w:rPr>
                <w:rFonts w:ascii="Arial" w:eastAsia="MS Mincho" w:hAnsi="Arial" w:cs="Arial"/>
                <w:spacing w:val="0"/>
                <w:sz w:val="20"/>
                <w:szCs w:val="20"/>
                <w:lang w:eastAsia="ja-JP"/>
              </w:rPr>
            </w:pPr>
            <w:r w:rsidRPr="000E5786">
              <w:rPr>
                <w:rFonts w:ascii="Arial" w:eastAsia="MS Mincho" w:hAnsi="Arial" w:cs="Arial"/>
                <w:spacing w:val="0"/>
                <w:sz w:val="20"/>
                <w:szCs w:val="20"/>
                <w:lang w:eastAsia="ja-JP"/>
              </w:rPr>
              <w:t>Change Forms (Change Notices and Change Analysis)</w:t>
            </w:r>
          </w:p>
        </w:tc>
      </w:tr>
      <w:tr w:rsidR="00FF6A6A" w:rsidRPr="000E5786" w14:paraId="3AEEF6C4" w14:textId="77777777" w:rsidTr="00FF6A6A">
        <w:trPr>
          <w:trHeight w:val="435"/>
        </w:trPr>
        <w:tc>
          <w:tcPr>
            <w:tcW w:w="2830" w:type="dxa"/>
          </w:tcPr>
          <w:p w14:paraId="39FA9FD2" w14:textId="77777777" w:rsidR="00FF6A6A" w:rsidRPr="000E5786" w:rsidRDefault="00FF6A6A" w:rsidP="00DD60F0">
            <w:pPr>
              <w:rPr>
                <w:rFonts w:ascii="Arial" w:hAnsi="Arial" w:cs="Arial"/>
                <w:b/>
                <w:sz w:val="20"/>
                <w:szCs w:val="20"/>
              </w:rPr>
            </w:pPr>
            <w:r w:rsidRPr="000E5786">
              <w:rPr>
                <w:rFonts w:ascii="Arial" w:hAnsi="Arial" w:cs="Arial"/>
                <w:b/>
                <w:sz w:val="20"/>
                <w:szCs w:val="20"/>
              </w:rPr>
              <w:t>Outputs</w:t>
            </w:r>
          </w:p>
        </w:tc>
        <w:tc>
          <w:tcPr>
            <w:tcW w:w="12547" w:type="dxa"/>
            <w:gridSpan w:val="2"/>
          </w:tcPr>
          <w:p w14:paraId="5ED20AA3" w14:textId="77777777" w:rsidR="00FF6A6A" w:rsidRPr="000E5786" w:rsidRDefault="00FF6A6A" w:rsidP="00DD60F0">
            <w:pPr>
              <w:pStyle w:val="BulletLast"/>
              <w:ind w:left="0" w:firstLine="0"/>
              <w:rPr>
                <w:rFonts w:ascii="Arial" w:hAnsi="Arial" w:cs="Arial"/>
                <w:sz w:val="20"/>
                <w:szCs w:val="20"/>
              </w:rPr>
            </w:pPr>
            <w:r w:rsidRPr="000E5786">
              <w:rPr>
                <w:rFonts w:ascii="Arial" w:hAnsi="Arial" w:cs="Arial"/>
                <w:sz w:val="20"/>
                <w:szCs w:val="20"/>
              </w:rPr>
              <w:t>Decisions and justifications, requests for further information, proposed alternatives (if applicable)</w:t>
            </w:r>
          </w:p>
        </w:tc>
      </w:tr>
      <w:tr w:rsidR="00FF6A6A" w:rsidRPr="000E5786" w14:paraId="3D020DFB" w14:textId="77777777" w:rsidTr="00FF6A6A">
        <w:trPr>
          <w:trHeight w:val="397"/>
        </w:trPr>
        <w:tc>
          <w:tcPr>
            <w:tcW w:w="2830" w:type="dxa"/>
          </w:tcPr>
          <w:p w14:paraId="7C7D9816" w14:textId="77777777" w:rsidR="00FF6A6A" w:rsidRPr="000E5786" w:rsidRDefault="00FF6A6A" w:rsidP="00DD60F0">
            <w:pPr>
              <w:rPr>
                <w:rFonts w:ascii="Arial" w:hAnsi="Arial" w:cs="Arial"/>
                <w:b/>
                <w:sz w:val="20"/>
                <w:szCs w:val="20"/>
              </w:rPr>
            </w:pPr>
            <w:r w:rsidRPr="000E5786">
              <w:rPr>
                <w:rFonts w:ascii="Arial" w:hAnsi="Arial" w:cs="Arial"/>
                <w:b/>
                <w:sz w:val="20"/>
                <w:szCs w:val="20"/>
              </w:rPr>
              <w:t>Escalation</w:t>
            </w:r>
          </w:p>
        </w:tc>
        <w:tc>
          <w:tcPr>
            <w:tcW w:w="12547" w:type="dxa"/>
            <w:gridSpan w:val="2"/>
          </w:tcPr>
          <w:p w14:paraId="794090DB" w14:textId="28D66F41" w:rsidR="00FF6A6A" w:rsidRPr="000E5786" w:rsidRDefault="00FF6A6A" w:rsidP="00DD60F0">
            <w:pPr>
              <w:keepNext/>
              <w:rPr>
                <w:rFonts w:ascii="Arial" w:hAnsi="Arial" w:cs="Arial"/>
                <w:sz w:val="20"/>
                <w:szCs w:val="20"/>
              </w:rPr>
            </w:pPr>
            <w:r w:rsidRPr="000E5786">
              <w:rPr>
                <w:rFonts w:ascii="Arial" w:hAnsi="Arial" w:cs="Arial"/>
                <w:sz w:val="20"/>
                <w:szCs w:val="20"/>
              </w:rPr>
              <w:t xml:space="preserve">Service Management Review Meeting, or the </w:t>
            </w:r>
            <w:r w:rsidR="00DF4908">
              <w:rPr>
                <w:rFonts w:ascii="Arial" w:hAnsi="Arial" w:cs="Arial"/>
                <w:sz w:val="20"/>
                <w:szCs w:val="20"/>
              </w:rPr>
              <w:t>Data Centre Portfolio</w:t>
            </w:r>
            <w:r w:rsidR="00DF4908" w:rsidRPr="000E5786">
              <w:rPr>
                <w:rFonts w:ascii="Arial" w:hAnsi="Arial" w:cs="Arial"/>
                <w:sz w:val="20"/>
                <w:szCs w:val="20"/>
              </w:rPr>
              <w:t xml:space="preserve"> </w:t>
            </w:r>
            <w:r w:rsidRPr="000E5786">
              <w:rPr>
                <w:rFonts w:ascii="Arial" w:hAnsi="Arial" w:cs="Arial"/>
                <w:sz w:val="20"/>
                <w:szCs w:val="20"/>
              </w:rPr>
              <w:t>Board, depending on whether the Change is related to the Service or a Project.</w:t>
            </w:r>
          </w:p>
        </w:tc>
      </w:tr>
      <w:tr w:rsidR="00FF6A6A" w:rsidRPr="000E5786" w14:paraId="30E4F0C5" w14:textId="77777777" w:rsidTr="00FF6A6A">
        <w:trPr>
          <w:trHeight w:val="397"/>
        </w:trPr>
        <w:tc>
          <w:tcPr>
            <w:tcW w:w="2830" w:type="dxa"/>
          </w:tcPr>
          <w:p w14:paraId="12DF29BB" w14:textId="77777777" w:rsidR="00FF6A6A" w:rsidRPr="000E5786" w:rsidRDefault="00FF6A6A" w:rsidP="00DD60F0">
            <w:pPr>
              <w:rPr>
                <w:rFonts w:ascii="Arial" w:hAnsi="Arial" w:cs="Arial"/>
                <w:b/>
                <w:sz w:val="20"/>
                <w:szCs w:val="20"/>
              </w:rPr>
            </w:pPr>
            <w:r w:rsidRPr="000E5786">
              <w:rPr>
                <w:rFonts w:ascii="Arial" w:hAnsi="Arial" w:cs="Arial"/>
                <w:b/>
                <w:sz w:val="20"/>
                <w:szCs w:val="20"/>
              </w:rPr>
              <w:t>Related Meetings</w:t>
            </w:r>
          </w:p>
        </w:tc>
        <w:tc>
          <w:tcPr>
            <w:tcW w:w="12547" w:type="dxa"/>
            <w:gridSpan w:val="2"/>
          </w:tcPr>
          <w:p w14:paraId="1650B2B8" w14:textId="4576CECE" w:rsidR="00FF6A6A" w:rsidRPr="000E5786" w:rsidRDefault="00DF4908" w:rsidP="00DD60F0">
            <w:pPr>
              <w:rPr>
                <w:rFonts w:ascii="Arial" w:hAnsi="Arial" w:cs="Arial"/>
                <w:sz w:val="20"/>
                <w:szCs w:val="20"/>
              </w:rPr>
            </w:pPr>
            <w:r>
              <w:rPr>
                <w:rFonts w:ascii="Arial" w:hAnsi="Arial" w:cs="Arial"/>
                <w:sz w:val="20"/>
                <w:szCs w:val="20"/>
              </w:rPr>
              <w:t>Data Centre Portfolio</w:t>
            </w:r>
            <w:r w:rsidRPr="000E5786" w:rsidDel="00DF4908">
              <w:rPr>
                <w:rFonts w:ascii="Arial" w:hAnsi="Arial" w:cs="Arial"/>
                <w:sz w:val="20"/>
                <w:szCs w:val="20"/>
              </w:rPr>
              <w:t xml:space="preserve"> </w:t>
            </w:r>
            <w:r w:rsidR="00FF6A6A" w:rsidRPr="000E5786">
              <w:rPr>
                <w:rFonts w:ascii="Arial" w:hAnsi="Arial" w:cs="Arial"/>
                <w:sz w:val="20"/>
                <w:szCs w:val="20"/>
              </w:rPr>
              <w:t>Board, Project Review Meeting, Service Management Review Meeting.</w:t>
            </w:r>
          </w:p>
        </w:tc>
      </w:tr>
    </w:tbl>
    <w:p w14:paraId="3CAC8B62" w14:textId="4AE79F19" w:rsidR="00FF6A6A" w:rsidRPr="000E5786" w:rsidRDefault="00FF6A6A" w:rsidP="00DD60F0">
      <w:pPr>
        <w:pStyle w:val="Sch1"/>
        <w:spacing w:after="120"/>
        <w:rPr>
          <w:rFonts w:cs="Arial"/>
          <w:szCs w:val="20"/>
        </w:rPr>
        <w:sectPr w:rsidR="00FF6A6A" w:rsidRPr="000E5786" w:rsidSect="00FF6A6A">
          <w:headerReference w:type="even" r:id="rId77"/>
          <w:headerReference w:type="default" r:id="rId78"/>
          <w:footerReference w:type="even" r:id="rId79"/>
          <w:footerReference w:type="default" r:id="rId80"/>
          <w:headerReference w:type="first" r:id="rId81"/>
          <w:footerReference w:type="first" r:id="rId82"/>
          <w:pgSz w:w="16840" w:h="11907" w:orient="landscape" w:code="9"/>
          <w:pgMar w:top="1418" w:right="1418" w:bottom="1418" w:left="1134" w:header="709" w:footer="709" w:gutter="0"/>
          <w:cols w:space="708"/>
          <w:titlePg/>
          <w:docGrid w:linePitch="360"/>
        </w:sectPr>
      </w:pPr>
    </w:p>
    <w:p w14:paraId="58ECF85B" w14:textId="42E6473E" w:rsidR="004C127E" w:rsidRPr="000E5786" w:rsidRDefault="004C127E" w:rsidP="00DD60F0">
      <w:pPr>
        <w:jc w:val="center"/>
        <w:rPr>
          <w:rFonts w:eastAsia="Verdana" w:cs="Arial"/>
          <w:b/>
          <w:bCs/>
          <w:szCs w:val="20"/>
        </w:rPr>
      </w:pPr>
      <w:r w:rsidRPr="000E5786">
        <w:rPr>
          <w:rFonts w:eastAsia="Verdana" w:cs="Arial"/>
          <w:b/>
          <w:bCs/>
          <w:szCs w:val="20"/>
        </w:rPr>
        <w:lastRenderedPageBreak/>
        <w:t>SCHEDULE 8.3</w:t>
      </w:r>
    </w:p>
    <w:p w14:paraId="1600914E" w14:textId="503479CF" w:rsidR="004C127E" w:rsidRPr="00A20CD5" w:rsidRDefault="006031F8" w:rsidP="000C5291">
      <w:pPr>
        <w:pStyle w:val="ListParagraph"/>
        <w:ind w:left="2649" w:right="1373" w:firstLine="187"/>
        <w:rPr>
          <w:rFonts w:cs="Arial"/>
          <w:szCs w:val="20"/>
        </w:rPr>
      </w:pPr>
      <w:r w:rsidRPr="00A20CD5">
        <w:rPr>
          <w:rFonts w:eastAsia="Verdana" w:cs="Arial"/>
          <w:b/>
          <w:bCs/>
          <w:szCs w:val="20"/>
        </w:rPr>
        <w:t>DISPUTE RESOLUTION PROCEDURE</w:t>
      </w:r>
      <w:r w:rsidRPr="00A20CD5">
        <w:rPr>
          <w:rFonts w:eastAsia="Verdana" w:cs="Arial"/>
          <w:szCs w:val="20"/>
        </w:rPr>
        <w:t xml:space="preserve"> </w:t>
      </w:r>
    </w:p>
    <w:p w14:paraId="2ED3136F" w14:textId="1371AC04" w:rsidR="004C127E" w:rsidRPr="000E5786" w:rsidRDefault="004C127E" w:rsidP="00DD60F0">
      <w:pPr>
        <w:pStyle w:val="Heading4"/>
        <w:numPr>
          <w:ilvl w:val="0"/>
          <w:numId w:val="0"/>
        </w:numPr>
        <w:tabs>
          <w:tab w:val="center" w:pos="1549"/>
        </w:tabs>
        <w:spacing w:after="120"/>
        <w:rPr>
          <w:rFonts w:cs="Arial"/>
          <w:b/>
          <w:bCs w:val="0"/>
          <w:szCs w:val="20"/>
        </w:rPr>
      </w:pPr>
      <w:r w:rsidRPr="000E5786">
        <w:rPr>
          <w:rFonts w:cs="Arial"/>
          <w:b/>
          <w:bCs w:val="0"/>
          <w:szCs w:val="20"/>
        </w:rPr>
        <w:t>1.</w:t>
      </w:r>
      <w:r w:rsidRPr="000E5786">
        <w:rPr>
          <w:rFonts w:eastAsia="Arial" w:cs="Arial"/>
          <w:b/>
          <w:bCs w:val="0"/>
          <w:szCs w:val="20"/>
        </w:rPr>
        <w:tab/>
      </w:r>
      <w:r w:rsidRPr="000E5786">
        <w:rPr>
          <w:rFonts w:cs="Arial"/>
          <w:b/>
          <w:bCs w:val="0"/>
          <w:szCs w:val="20"/>
        </w:rPr>
        <w:t xml:space="preserve">DEFINITIONS </w:t>
      </w:r>
    </w:p>
    <w:p w14:paraId="729D68B5" w14:textId="6A11EB3D" w:rsidR="004C127E" w:rsidRDefault="004C127E" w:rsidP="00DD60F0">
      <w:pPr>
        <w:ind w:left="847" w:hanging="10"/>
        <w:rPr>
          <w:rFonts w:eastAsia="Verdana" w:cs="Arial"/>
          <w:szCs w:val="20"/>
        </w:rPr>
      </w:pPr>
      <w:r w:rsidRPr="000E5786">
        <w:rPr>
          <w:rFonts w:eastAsia="Verdana" w:cs="Arial"/>
          <w:szCs w:val="20"/>
        </w:rPr>
        <w:t xml:space="preserve">In this Schedule, the following definitions shall apply: </w:t>
      </w:r>
    </w:p>
    <w:tbl>
      <w:tblPr>
        <w:tblStyle w:val="TableGrid0"/>
        <w:tblW w:w="0" w:type="auto"/>
        <w:tblInd w:w="8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0"/>
        <w:gridCol w:w="5664"/>
      </w:tblGrid>
      <w:tr w:rsidR="000C649C" w:rsidRPr="000C649C" w14:paraId="2B542490" w14:textId="77777777" w:rsidTr="000C649C">
        <w:tc>
          <w:tcPr>
            <w:tcW w:w="2550" w:type="dxa"/>
          </w:tcPr>
          <w:p w14:paraId="3B4BEAE5" w14:textId="3D175CDB" w:rsidR="000C649C" w:rsidRPr="000C649C" w:rsidRDefault="000C649C" w:rsidP="000C649C">
            <w:pPr>
              <w:ind w:left="0" w:firstLine="0"/>
              <w:jc w:val="left"/>
              <w:rPr>
                <w:rFonts w:ascii="Arial" w:eastAsia="Verdana" w:hAnsi="Arial" w:cs="Arial"/>
                <w:b/>
                <w:sz w:val="20"/>
                <w:szCs w:val="20"/>
              </w:rPr>
            </w:pPr>
            <w:r w:rsidRPr="000C649C">
              <w:rPr>
                <w:rFonts w:ascii="Arial" w:eastAsia="Verdana" w:hAnsi="Arial" w:cs="Arial"/>
                <w:b/>
                <w:sz w:val="20"/>
                <w:szCs w:val="20"/>
              </w:rPr>
              <w:t>“CEDR”</w:t>
            </w:r>
          </w:p>
        </w:tc>
        <w:tc>
          <w:tcPr>
            <w:tcW w:w="5664" w:type="dxa"/>
          </w:tcPr>
          <w:p w14:paraId="6A7F28FB" w14:textId="79E88588" w:rsidR="000C649C" w:rsidRPr="000C649C" w:rsidRDefault="000C649C" w:rsidP="000C649C">
            <w:pPr>
              <w:tabs>
                <w:tab w:val="right" w:pos="9131"/>
              </w:tabs>
              <w:ind w:left="35" w:firstLine="0"/>
              <w:jc w:val="left"/>
              <w:rPr>
                <w:rFonts w:ascii="Arial" w:hAnsi="Arial" w:cs="Arial"/>
                <w:sz w:val="20"/>
                <w:szCs w:val="20"/>
              </w:rPr>
            </w:pPr>
            <w:r w:rsidRPr="000C649C">
              <w:rPr>
                <w:rFonts w:ascii="Arial" w:eastAsia="Verdana" w:hAnsi="Arial" w:cs="Arial"/>
                <w:sz w:val="20"/>
                <w:szCs w:val="20"/>
              </w:rPr>
              <w:t xml:space="preserve">the Centre for Effective Dispute Resolution of International Dispute Resolution Centre, 70 Fleet Street, London EC4Y 1EU; </w:t>
            </w:r>
          </w:p>
        </w:tc>
      </w:tr>
      <w:tr w:rsidR="000C649C" w:rsidRPr="000C649C" w14:paraId="3C58DC4E" w14:textId="77777777" w:rsidTr="000C649C">
        <w:tc>
          <w:tcPr>
            <w:tcW w:w="2550" w:type="dxa"/>
          </w:tcPr>
          <w:p w14:paraId="560B7A0F" w14:textId="38C7742A" w:rsidR="000C649C" w:rsidRPr="000C649C" w:rsidRDefault="000C649C" w:rsidP="000C649C">
            <w:pPr>
              <w:ind w:left="0" w:firstLine="0"/>
              <w:jc w:val="left"/>
              <w:rPr>
                <w:rFonts w:ascii="Arial" w:eastAsia="Verdana" w:hAnsi="Arial" w:cs="Arial"/>
                <w:b/>
                <w:sz w:val="20"/>
                <w:szCs w:val="20"/>
              </w:rPr>
            </w:pPr>
            <w:r w:rsidRPr="000C649C">
              <w:rPr>
                <w:rFonts w:ascii="Arial" w:eastAsia="Verdana" w:hAnsi="Arial" w:cs="Arial"/>
                <w:b/>
                <w:sz w:val="20"/>
                <w:szCs w:val="20"/>
              </w:rPr>
              <w:t>“Counter Notice”</w:t>
            </w:r>
          </w:p>
        </w:tc>
        <w:tc>
          <w:tcPr>
            <w:tcW w:w="5664" w:type="dxa"/>
          </w:tcPr>
          <w:p w14:paraId="115671CF" w14:textId="332DAC62" w:rsidR="000C649C" w:rsidRPr="000C649C" w:rsidRDefault="000C649C" w:rsidP="000C649C">
            <w:pPr>
              <w:tabs>
                <w:tab w:val="right" w:pos="9131"/>
              </w:tabs>
              <w:ind w:left="35" w:firstLine="0"/>
              <w:jc w:val="left"/>
              <w:rPr>
                <w:rFonts w:ascii="Arial" w:eastAsia="Verdana" w:hAnsi="Arial" w:cs="Arial"/>
                <w:sz w:val="20"/>
                <w:szCs w:val="20"/>
              </w:rPr>
            </w:pPr>
            <w:r w:rsidRPr="000C649C">
              <w:rPr>
                <w:rFonts w:ascii="Arial" w:eastAsia="Verdana" w:hAnsi="Arial" w:cs="Arial"/>
                <w:sz w:val="20"/>
                <w:szCs w:val="20"/>
              </w:rPr>
              <w:t xml:space="preserve">has the meaning given in Paragraph 7.2 of Schedule 8.3 (Dispute Resolution Procedure); </w:t>
            </w:r>
          </w:p>
        </w:tc>
      </w:tr>
      <w:tr w:rsidR="000C649C" w:rsidRPr="000C649C" w14:paraId="4BF5DD37" w14:textId="77777777" w:rsidTr="000C649C">
        <w:tc>
          <w:tcPr>
            <w:tcW w:w="2550" w:type="dxa"/>
          </w:tcPr>
          <w:p w14:paraId="38086877" w14:textId="6808F497" w:rsidR="000C649C" w:rsidRPr="000C649C" w:rsidRDefault="000C649C" w:rsidP="000C649C">
            <w:pPr>
              <w:ind w:left="0" w:firstLine="0"/>
              <w:jc w:val="left"/>
              <w:rPr>
                <w:rFonts w:ascii="Arial" w:eastAsia="Verdana" w:hAnsi="Arial" w:cs="Arial"/>
                <w:b/>
                <w:sz w:val="20"/>
                <w:szCs w:val="20"/>
              </w:rPr>
            </w:pPr>
            <w:r w:rsidRPr="000C649C">
              <w:rPr>
                <w:rFonts w:ascii="Arial" w:eastAsia="Verdana" w:hAnsi="Arial" w:cs="Arial"/>
                <w:b/>
                <w:sz w:val="20"/>
                <w:szCs w:val="20"/>
              </w:rPr>
              <w:t>“Expert”</w:t>
            </w:r>
          </w:p>
        </w:tc>
        <w:tc>
          <w:tcPr>
            <w:tcW w:w="5664" w:type="dxa"/>
          </w:tcPr>
          <w:p w14:paraId="359C65B0" w14:textId="073E3ACF" w:rsidR="000C649C" w:rsidRPr="000C649C" w:rsidRDefault="000C649C" w:rsidP="000C649C">
            <w:pPr>
              <w:tabs>
                <w:tab w:val="right" w:pos="9131"/>
              </w:tabs>
              <w:ind w:left="35" w:firstLine="0"/>
              <w:jc w:val="left"/>
              <w:rPr>
                <w:rFonts w:ascii="Arial" w:eastAsia="Verdana" w:hAnsi="Arial" w:cs="Arial"/>
                <w:sz w:val="20"/>
                <w:szCs w:val="20"/>
              </w:rPr>
            </w:pPr>
            <w:r w:rsidRPr="000C649C">
              <w:rPr>
                <w:rFonts w:ascii="Arial" w:eastAsia="Verdana" w:hAnsi="Arial" w:cs="Arial"/>
                <w:sz w:val="20"/>
                <w:szCs w:val="20"/>
              </w:rPr>
              <w:t>in relation to a Dispute, a person appointed in accordance with Paragraph 6.2 of Schedule 8.3 (Dispute Resolution Procedure) to act as an expert in relation to that Dispute;</w:t>
            </w:r>
          </w:p>
        </w:tc>
      </w:tr>
      <w:tr w:rsidR="000C649C" w:rsidRPr="000C649C" w14:paraId="727694C9" w14:textId="77777777" w:rsidTr="000C649C">
        <w:tc>
          <w:tcPr>
            <w:tcW w:w="2550" w:type="dxa"/>
          </w:tcPr>
          <w:p w14:paraId="32345D60" w14:textId="4ECE7E2B" w:rsidR="000C649C" w:rsidRPr="000C649C" w:rsidRDefault="000C649C" w:rsidP="000C649C">
            <w:pPr>
              <w:ind w:left="0" w:firstLine="0"/>
              <w:jc w:val="left"/>
              <w:rPr>
                <w:rFonts w:ascii="Arial" w:eastAsia="Verdana" w:hAnsi="Arial" w:cs="Arial"/>
                <w:b/>
                <w:sz w:val="20"/>
                <w:szCs w:val="20"/>
              </w:rPr>
            </w:pPr>
            <w:r w:rsidRPr="000C649C">
              <w:rPr>
                <w:rFonts w:ascii="Arial" w:eastAsia="Verdana" w:hAnsi="Arial" w:cs="Arial"/>
                <w:b/>
                <w:sz w:val="20"/>
                <w:szCs w:val="20"/>
              </w:rPr>
              <w:t>“Expert Determination”</w:t>
            </w:r>
          </w:p>
        </w:tc>
        <w:tc>
          <w:tcPr>
            <w:tcW w:w="5664" w:type="dxa"/>
          </w:tcPr>
          <w:p w14:paraId="1DEEEFEA" w14:textId="6FA6DB4E" w:rsidR="000C649C" w:rsidRPr="000C649C" w:rsidRDefault="000C649C" w:rsidP="000C649C">
            <w:pPr>
              <w:tabs>
                <w:tab w:val="right" w:pos="9131"/>
              </w:tabs>
              <w:ind w:left="35" w:firstLine="0"/>
              <w:jc w:val="left"/>
              <w:rPr>
                <w:rFonts w:ascii="Arial" w:eastAsia="Verdana" w:hAnsi="Arial" w:cs="Arial"/>
                <w:sz w:val="20"/>
                <w:szCs w:val="20"/>
              </w:rPr>
            </w:pPr>
            <w:r w:rsidRPr="000C649C">
              <w:rPr>
                <w:rFonts w:ascii="Arial" w:eastAsia="Verdana" w:hAnsi="Arial" w:cs="Arial"/>
                <w:sz w:val="20"/>
                <w:szCs w:val="20"/>
              </w:rPr>
              <w:t>determination by an Expert in accordance with Paragraph 6 of Schedule 8.3 (Dispute Resolution Procedure);</w:t>
            </w:r>
          </w:p>
        </w:tc>
      </w:tr>
      <w:tr w:rsidR="000C649C" w:rsidRPr="000C649C" w14:paraId="6D558976" w14:textId="77777777" w:rsidTr="000C649C">
        <w:tc>
          <w:tcPr>
            <w:tcW w:w="2550" w:type="dxa"/>
          </w:tcPr>
          <w:p w14:paraId="4A36C660" w14:textId="1B0F8539" w:rsidR="000C649C" w:rsidRPr="000C649C" w:rsidRDefault="000C649C" w:rsidP="000C649C">
            <w:pPr>
              <w:ind w:left="0" w:firstLine="0"/>
              <w:jc w:val="left"/>
              <w:rPr>
                <w:rFonts w:ascii="Arial" w:eastAsia="Verdana" w:hAnsi="Arial" w:cs="Arial"/>
                <w:b/>
                <w:sz w:val="20"/>
                <w:szCs w:val="20"/>
              </w:rPr>
            </w:pPr>
            <w:r w:rsidRPr="000C649C">
              <w:rPr>
                <w:rFonts w:ascii="Arial" w:eastAsia="Verdana" w:hAnsi="Arial" w:cs="Arial"/>
                <w:b/>
                <w:sz w:val="20"/>
                <w:szCs w:val="20"/>
              </w:rPr>
              <w:t>“Mediation Notice”</w:t>
            </w:r>
          </w:p>
        </w:tc>
        <w:tc>
          <w:tcPr>
            <w:tcW w:w="5664" w:type="dxa"/>
          </w:tcPr>
          <w:p w14:paraId="32652552" w14:textId="44EDE8FD" w:rsidR="000C649C" w:rsidRPr="000C649C" w:rsidRDefault="000C649C" w:rsidP="000C649C">
            <w:pPr>
              <w:tabs>
                <w:tab w:val="right" w:pos="9131"/>
              </w:tabs>
              <w:ind w:left="35" w:firstLine="0"/>
              <w:jc w:val="left"/>
              <w:rPr>
                <w:rFonts w:ascii="Arial" w:eastAsia="Verdana" w:hAnsi="Arial" w:cs="Arial"/>
                <w:sz w:val="20"/>
                <w:szCs w:val="20"/>
              </w:rPr>
            </w:pPr>
            <w:r w:rsidRPr="000C649C">
              <w:rPr>
                <w:rFonts w:ascii="Arial" w:eastAsia="Verdana" w:hAnsi="Arial" w:cs="Arial"/>
                <w:sz w:val="20"/>
                <w:szCs w:val="20"/>
              </w:rPr>
              <w:t>has the meaning given in Paragraph 4.2 of Schedule 8.3 (Dispute Resolution Procedure);</w:t>
            </w:r>
          </w:p>
        </w:tc>
      </w:tr>
      <w:tr w:rsidR="000C649C" w:rsidRPr="000C649C" w14:paraId="76421C66" w14:textId="77777777" w:rsidTr="000C649C">
        <w:tc>
          <w:tcPr>
            <w:tcW w:w="2550" w:type="dxa"/>
          </w:tcPr>
          <w:p w14:paraId="0587696F" w14:textId="33BA3585" w:rsidR="000C649C" w:rsidRPr="000C649C" w:rsidRDefault="000C649C" w:rsidP="000C649C">
            <w:pPr>
              <w:ind w:left="0" w:firstLine="0"/>
              <w:jc w:val="left"/>
              <w:rPr>
                <w:rFonts w:ascii="Arial" w:eastAsia="Verdana" w:hAnsi="Arial" w:cs="Arial"/>
                <w:b/>
                <w:sz w:val="20"/>
                <w:szCs w:val="20"/>
              </w:rPr>
            </w:pPr>
            <w:r w:rsidRPr="000C649C">
              <w:rPr>
                <w:rFonts w:ascii="Arial" w:eastAsia="Verdana" w:hAnsi="Arial" w:cs="Arial"/>
                <w:b/>
                <w:sz w:val="20"/>
                <w:szCs w:val="20"/>
              </w:rPr>
              <w:t>“Mediator”</w:t>
            </w:r>
          </w:p>
        </w:tc>
        <w:tc>
          <w:tcPr>
            <w:tcW w:w="5664" w:type="dxa"/>
          </w:tcPr>
          <w:p w14:paraId="36E47AA7" w14:textId="4FC3B112" w:rsidR="000C649C" w:rsidRPr="000C649C" w:rsidRDefault="000C649C" w:rsidP="000C649C">
            <w:pPr>
              <w:tabs>
                <w:tab w:val="right" w:pos="9131"/>
              </w:tabs>
              <w:ind w:left="35" w:firstLine="0"/>
              <w:jc w:val="left"/>
              <w:rPr>
                <w:rFonts w:ascii="Arial" w:eastAsia="Verdana" w:hAnsi="Arial" w:cs="Arial"/>
                <w:sz w:val="20"/>
                <w:szCs w:val="20"/>
              </w:rPr>
            </w:pPr>
            <w:r w:rsidRPr="000C649C">
              <w:rPr>
                <w:rFonts w:ascii="Arial" w:eastAsia="Verdana" w:hAnsi="Arial" w:cs="Arial"/>
                <w:sz w:val="20"/>
                <w:szCs w:val="20"/>
              </w:rPr>
              <w:t>the independent third party appointed in accordance with Paragraph 5.1 of Schedule 8.3 (Dispute Resolution Procedure) to mediate a Dispute;</w:t>
            </w:r>
          </w:p>
        </w:tc>
      </w:tr>
      <w:tr w:rsidR="000C649C" w:rsidRPr="000C649C" w14:paraId="49263C32" w14:textId="77777777" w:rsidTr="000C649C">
        <w:tc>
          <w:tcPr>
            <w:tcW w:w="2550" w:type="dxa"/>
          </w:tcPr>
          <w:p w14:paraId="61487D0C" w14:textId="70EEBC85" w:rsidR="000C649C" w:rsidRPr="000C649C" w:rsidRDefault="000C649C" w:rsidP="000C649C">
            <w:pPr>
              <w:ind w:left="0" w:firstLine="0"/>
              <w:jc w:val="left"/>
              <w:rPr>
                <w:rFonts w:ascii="Arial" w:eastAsia="Verdana" w:hAnsi="Arial" w:cs="Arial"/>
                <w:b/>
                <w:sz w:val="20"/>
                <w:szCs w:val="20"/>
              </w:rPr>
            </w:pPr>
            <w:r w:rsidRPr="000C649C">
              <w:rPr>
                <w:rFonts w:ascii="Arial" w:eastAsia="Verdana" w:hAnsi="Arial" w:cs="Arial"/>
                <w:b/>
                <w:sz w:val="20"/>
                <w:szCs w:val="20"/>
              </w:rPr>
              <w:t>“Multi-Party Dispute”</w:t>
            </w:r>
          </w:p>
        </w:tc>
        <w:tc>
          <w:tcPr>
            <w:tcW w:w="5664" w:type="dxa"/>
          </w:tcPr>
          <w:p w14:paraId="34F22946" w14:textId="28203BF1" w:rsidR="000C649C" w:rsidRPr="000C649C" w:rsidRDefault="000C649C" w:rsidP="000C649C">
            <w:pPr>
              <w:tabs>
                <w:tab w:val="right" w:pos="9131"/>
              </w:tabs>
              <w:ind w:left="35" w:firstLine="0"/>
              <w:jc w:val="left"/>
              <w:rPr>
                <w:rFonts w:ascii="Arial" w:eastAsia="Verdana" w:hAnsi="Arial" w:cs="Arial"/>
                <w:sz w:val="20"/>
                <w:szCs w:val="20"/>
              </w:rPr>
            </w:pPr>
            <w:r w:rsidRPr="000C649C">
              <w:rPr>
                <w:rFonts w:ascii="Arial" w:eastAsia="Verdana" w:hAnsi="Arial" w:cs="Arial"/>
                <w:sz w:val="20"/>
                <w:szCs w:val="20"/>
              </w:rPr>
              <w:t>a Dispute which involves the Parties and one (1) or more Related Third Parties;</w:t>
            </w:r>
          </w:p>
        </w:tc>
      </w:tr>
      <w:tr w:rsidR="000C649C" w:rsidRPr="000C649C" w14:paraId="089500C0" w14:textId="77777777" w:rsidTr="000C649C">
        <w:tc>
          <w:tcPr>
            <w:tcW w:w="2550" w:type="dxa"/>
          </w:tcPr>
          <w:p w14:paraId="5AE014DE" w14:textId="5D4CC51A" w:rsidR="000C649C" w:rsidRPr="000C649C" w:rsidRDefault="000C649C" w:rsidP="000C649C">
            <w:pPr>
              <w:ind w:left="0" w:firstLine="0"/>
              <w:jc w:val="left"/>
              <w:rPr>
                <w:rFonts w:ascii="Arial" w:eastAsia="Verdana" w:hAnsi="Arial" w:cs="Arial"/>
                <w:b/>
                <w:sz w:val="20"/>
                <w:szCs w:val="20"/>
              </w:rPr>
            </w:pPr>
            <w:r w:rsidRPr="000C649C">
              <w:rPr>
                <w:rFonts w:ascii="Arial" w:eastAsia="Verdana" w:hAnsi="Arial" w:cs="Arial"/>
                <w:b/>
                <w:sz w:val="20"/>
                <w:szCs w:val="20"/>
              </w:rPr>
              <w:t>“Multi-Party Dispute Representatives”</w:t>
            </w:r>
          </w:p>
        </w:tc>
        <w:tc>
          <w:tcPr>
            <w:tcW w:w="5664" w:type="dxa"/>
          </w:tcPr>
          <w:p w14:paraId="618D6628" w14:textId="53B3045A" w:rsidR="000C649C" w:rsidRPr="000C649C" w:rsidRDefault="000C649C" w:rsidP="000C649C">
            <w:pPr>
              <w:tabs>
                <w:tab w:val="right" w:pos="9131"/>
              </w:tabs>
              <w:ind w:left="35" w:firstLine="0"/>
              <w:jc w:val="left"/>
              <w:rPr>
                <w:rFonts w:ascii="Arial" w:eastAsia="Verdana" w:hAnsi="Arial" w:cs="Arial"/>
                <w:sz w:val="20"/>
                <w:szCs w:val="20"/>
              </w:rPr>
            </w:pPr>
            <w:r w:rsidRPr="000C649C">
              <w:rPr>
                <w:rFonts w:ascii="Arial" w:eastAsia="Verdana" w:hAnsi="Arial" w:cs="Arial"/>
                <w:sz w:val="20"/>
                <w:szCs w:val="20"/>
              </w:rPr>
              <w:t>has the meaning given in Paragraph 9.6 of Schedule</w:t>
            </w:r>
            <w:r>
              <w:rPr>
                <w:rFonts w:ascii="Arial" w:eastAsia="Verdana" w:hAnsi="Arial" w:cs="Arial"/>
                <w:sz w:val="20"/>
                <w:szCs w:val="20"/>
              </w:rPr>
              <w:t xml:space="preserve"> </w:t>
            </w:r>
            <w:r w:rsidRPr="000C649C">
              <w:rPr>
                <w:rFonts w:ascii="Arial" w:eastAsia="Verdana" w:hAnsi="Arial" w:cs="Arial"/>
                <w:sz w:val="20"/>
                <w:szCs w:val="20"/>
              </w:rPr>
              <w:t>8.3 (Dispute Resolution Procedure);</w:t>
            </w:r>
          </w:p>
        </w:tc>
      </w:tr>
      <w:tr w:rsidR="000C649C" w:rsidRPr="000C649C" w14:paraId="324B3AD5" w14:textId="77777777" w:rsidTr="000C649C">
        <w:tc>
          <w:tcPr>
            <w:tcW w:w="2550" w:type="dxa"/>
          </w:tcPr>
          <w:p w14:paraId="574A6EA9" w14:textId="49FA9A4C" w:rsidR="000C649C" w:rsidRPr="000C649C" w:rsidRDefault="000C649C" w:rsidP="000C649C">
            <w:pPr>
              <w:ind w:left="0" w:firstLine="0"/>
              <w:jc w:val="left"/>
              <w:rPr>
                <w:rFonts w:ascii="Arial" w:eastAsia="Verdana" w:hAnsi="Arial" w:cs="Arial"/>
                <w:b/>
                <w:sz w:val="20"/>
                <w:szCs w:val="20"/>
              </w:rPr>
            </w:pPr>
            <w:r w:rsidRPr="000C649C">
              <w:rPr>
                <w:rFonts w:ascii="Arial" w:eastAsia="Verdana" w:hAnsi="Arial" w:cs="Arial"/>
                <w:b/>
                <w:sz w:val="20"/>
                <w:szCs w:val="20"/>
              </w:rPr>
              <w:t>“Multi-Party Dispute Resolution Board”</w:t>
            </w:r>
          </w:p>
        </w:tc>
        <w:tc>
          <w:tcPr>
            <w:tcW w:w="5664" w:type="dxa"/>
          </w:tcPr>
          <w:p w14:paraId="5D8429FA" w14:textId="24C33BFF" w:rsidR="000C649C" w:rsidRPr="000C649C" w:rsidRDefault="000C649C" w:rsidP="000C649C">
            <w:pPr>
              <w:tabs>
                <w:tab w:val="right" w:pos="9131"/>
              </w:tabs>
              <w:ind w:left="35" w:firstLine="0"/>
              <w:jc w:val="left"/>
              <w:rPr>
                <w:rFonts w:ascii="Arial" w:eastAsia="Verdana" w:hAnsi="Arial" w:cs="Arial"/>
                <w:sz w:val="20"/>
                <w:szCs w:val="20"/>
              </w:rPr>
            </w:pPr>
            <w:r w:rsidRPr="000C649C">
              <w:rPr>
                <w:rFonts w:ascii="Arial" w:eastAsia="Verdana" w:hAnsi="Arial" w:cs="Arial"/>
                <w:sz w:val="20"/>
                <w:szCs w:val="20"/>
              </w:rPr>
              <w:t>has the meaning given in Paragraph 9.6 of Schedule 8.3 (Dispute Resolution Procedure);</w:t>
            </w:r>
          </w:p>
        </w:tc>
      </w:tr>
      <w:tr w:rsidR="000C649C" w:rsidRPr="000C649C" w14:paraId="1D6DEDE5" w14:textId="77777777" w:rsidTr="000C649C">
        <w:tc>
          <w:tcPr>
            <w:tcW w:w="2550" w:type="dxa"/>
          </w:tcPr>
          <w:p w14:paraId="0B1CBD25" w14:textId="4089E1ED" w:rsidR="000C649C" w:rsidRPr="000C649C" w:rsidRDefault="000C649C" w:rsidP="000C649C">
            <w:pPr>
              <w:ind w:left="0" w:firstLine="0"/>
              <w:jc w:val="left"/>
              <w:rPr>
                <w:rFonts w:ascii="Arial" w:eastAsia="Verdana" w:hAnsi="Arial" w:cs="Arial"/>
                <w:b/>
                <w:sz w:val="20"/>
                <w:szCs w:val="20"/>
              </w:rPr>
            </w:pPr>
            <w:r w:rsidRPr="000C649C">
              <w:rPr>
                <w:rFonts w:ascii="Arial" w:eastAsia="Verdana" w:hAnsi="Arial" w:cs="Arial"/>
                <w:b/>
                <w:sz w:val="20"/>
                <w:szCs w:val="20"/>
              </w:rPr>
              <w:t>“Related Third Party”</w:t>
            </w:r>
          </w:p>
        </w:tc>
        <w:tc>
          <w:tcPr>
            <w:tcW w:w="5664" w:type="dxa"/>
          </w:tcPr>
          <w:p w14:paraId="5D907211" w14:textId="77777777" w:rsidR="000C649C" w:rsidRPr="000C649C" w:rsidRDefault="000C649C" w:rsidP="000C649C">
            <w:pPr>
              <w:tabs>
                <w:tab w:val="left" w:pos="3402"/>
              </w:tabs>
              <w:ind w:left="35" w:right="619" w:hanging="10"/>
              <w:rPr>
                <w:rFonts w:ascii="Arial" w:hAnsi="Arial" w:cs="Arial"/>
                <w:sz w:val="20"/>
                <w:szCs w:val="20"/>
              </w:rPr>
            </w:pPr>
            <w:r w:rsidRPr="000C649C">
              <w:rPr>
                <w:rFonts w:ascii="Arial" w:eastAsia="Verdana" w:hAnsi="Arial" w:cs="Arial"/>
                <w:b/>
                <w:sz w:val="20"/>
                <w:szCs w:val="20"/>
              </w:rPr>
              <w:tab/>
            </w:r>
            <w:r w:rsidRPr="000C649C">
              <w:rPr>
                <w:rFonts w:ascii="Arial" w:eastAsia="Verdana" w:hAnsi="Arial" w:cs="Arial"/>
                <w:sz w:val="20"/>
                <w:szCs w:val="20"/>
              </w:rPr>
              <w:t xml:space="preserve">a party to: </w:t>
            </w:r>
          </w:p>
          <w:p w14:paraId="0974D93C" w14:textId="3AE5F11A" w:rsidR="000C649C" w:rsidRPr="000C649C" w:rsidRDefault="000C649C" w:rsidP="00E538A1">
            <w:pPr>
              <w:numPr>
                <w:ilvl w:val="0"/>
                <w:numId w:val="25"/>
              </w:numPr>
              <w:ind w:left="744" w:right="13" w:hanging="709"/>
              <w:rPr>
                <w:rFonts w:ascii="Arial" w:hAnsi="Arial" w:cs="Arial"/>
                <w:sz w:val="20"/>
                <w:szCs w:val="20"/>
              </w:rPr>
            </w:pPr>
            <w:r w:rsidRPr="000C649C">
              <w:rPr>
                <w:rFonts w:ascii="Arial" w:eastAsia="Verdana" w:hAnsi="Arial" w:cs="Arial"/>
                <w:sz w:val="20"/>
                <w:szCs w:val="20"/>
              </w:rPr>
              <w:t xml:space="preserve">another contract with </w:t>
            </w:r>
            <w:proofErr w:type="spellStart"/>
            <w:r w:rsidR="001F1C19">
              <w:rPr>
                <w:rFonts w:ascii="Arial" w:eastAsia="Verdana" w:hAnsi="Arial" w:cs="Arial"/>
                <w:sz w:val="20"/>
                <w:szCs w:val="20"/>
              </w:rPr>
              <w:t>Netlink</w:t>
            </w:r>
            <w:proofErr w:type="spellEnd"/>
            <w:r w:rsidR="001F1C19">
              <w:rPr>
                <w:rFonts w:ascii="Arial" w:eastAsia="Verdana" w:hAnsi="Arial" w:cs="Arial"/>
                <w:sz w:val="20"/>
                <w:szCs w:val="20"/>
              </w:rPr>
              <w:t xml:space="preserve"> Star</w:t>
            </w:r>
            <w:r w:rsidRPr="000C649C">
              <w:rPr>
                <w:rFonts w:ascii="Arial" w:eastAsia="Verdana" w:hAnsi="Arial" w:cs="Arial"/>
                <w:sz w:val="20"/>
                <w:szCs w:val="20"/>
              </w:rPr>
              <w:t xml:space="preserve"> or the Supplier which is relevant to this Agreement; or </w:t>
            </w:r>
          </w:p>
          <w:p w14:paraId="6890FE05" w14:textId="0F789263" w:rsidR="000C649C" w:rsidRPr="000C649C" w:rsidRDefault="000C649C" w:rsidP="00E538A1">
            <w:pPr>
              <w:numPr>
                <w:ilvl w:val="0"/>
                <w:numId w:val="25"/>
              </w:numPr>
              <w:ind w:left="744" w:right="13" w:hanging="709"/>
              <w:rPr>
                <w:rFonts w:ascii="Arial" w:hAnsi="Arial" w:cs="Arial"/>
                <w:sz w:val="20"/>
                <w:szCs w:val="20"/>
              </w:rPr>
            </w:pPr>
            <w:r w:rsidRPr="000C649C">
              <w:rPr>
                <w:rFonts w:ascii="Arial" w:eastAsia="Verdana" w:hAnsi="Arial" w:cs="Arial"/>
                <w:sz w:val="20"/>
                <w:szCs w:val="20"/>
              </w:rPr>
              <w:t xml:space="preserve">a Sub-contract; and </w:t>
            </w:r>
          </w:p>
        </w:tc>
      </w:tr>
      <w:tr w:rsidR="000C649C" w:rsidRPr="000C649C" w14:paraId="6A296068" w14:textId="77777777" w:rsidTr="000C649C">
        <w:tc>
          <w:tcPr>
            <w:tcW w:w="2550" w:type="dxa"/>
          </w:tcPr>
          <w:p w14:paraId="1D4C2922" w14:textId="7FEB78AA" w:rsidR="000C649C" w:rsidRPr="000C649C" w:rsidRDefault="000C649C" w:rsidP="000C649C">
            <w:pPr>
              <w:ind w:left="0" w:firstLine="0"/>
              <w:jc w:val="left"/>
              <w:rPr>
                <w:rFonts w:ascii="Arial" w:eastAsia="Verdana" w:hAnsi="Arial" w:cs="Arial"/>
                <w:b/>
                <w:sz w:val="20"/>
                <w:szCs w:val="20"/>
              </w:rPr>
            </w:pPr>
            <w:r w:rsidRPr="000C649C">
              <w:rPr>
                <w:rFonts w:ascii="Arial" w:eastAsia="Verdana" w:hAnsi="Arial" w:cs="Arial"/>
                <w:b/>
                <w:sz w:val="20"/>
                <w:szCs w:val="20"/>
              </w:rPr>
              <w:t>“Supplier Request”</w:t>
            </w:r>
          </w:p>
        </w:tc>
        <w:tc>
          <w:tcPr>
            <w:tcW w:w="5664" w:type="dxa"/>
          </w:tcPr>
          <w:p w14:paraId="0DD2C702" w14:textId="6857A44C" w:rsidR="000C649C" w:rsidRPr="000C649C" w:rsidRDefault="000C649C" w:rsidP="00DD60F0">
            <w:pPr>
              <w:ind w:left="0" w:firstLine="0"/>
              <w:rPr>
                <w:rFonts w:ascii="Arial" w:hAnsi="Arial" w:cs="Arial"/>
                <w:sz w:val="20"/>
                <w:szCs w:val="20"/>
              </w:rPr>
            </w:pPr>
            <w:r w:rsidRPr="000C649C">
              <w:rPr>
                <w:rFonts w:ascii="Arial" w:eastAsia="Verdana" w:hAnsi="Arial" w:cs="Arial"/>
                <w:sz w:val="20"/>
                <w:szCs w:val="20"/>
              </w:rPr>
              <w:t>a notice served by the Supplier requesting that the Dispute be treated as a Multi-Party Dispute, setting out its grounds for that request and specifying each Related Third Party that it believes should be involved in the Multi-Dispute Resolution Procedure in respect of that Di</w:t>
            </w:r>
            <w:r w:rsidR="006B1280">
              <w:rPr>
                <w:rFonts w:ascii="Arial" w:eastAsia="Verdana" w:hAnsi="Arial" w:cs="Arial"/>
                <w:sz w:val="20"/>
                <w:szCs w:val="20"/>
              </w:rPr>
              <w:t>spute</w:t>
            </w:r>
            <w:r w:rsidRPr="000C649C">
              <w:rPr>
                <w:rFonts w:ascii="Arial" w:eastAsia="Verdana" w:hAnsi="Arial" w:cs="Arial"/>
                <w:sz w:val="20"/>
                <w:szCs w:val="20"/>
              </w:rPr>
              <w:t>.</w:t>
            </w:r>
          </w:p>
        </w:tc>
      </w:tr>
    </w:tbl>
    <w:p w14:paraId="0BCF2287" w14:textId="31B61E1F" w:rsidR="004C127E" w:rsidRPr="000E5786" w:rsidRDefault="004C127E" w:rsidP="000C649C">
      <w:pPr>
        <w:tabs>
          <w:tab w:val="left" w:pos="3402"/>
        </w:tabs>
        <w:ind w:left="847" w:right="619" w:hanging="10"/>
        <w:rPr>
          <w:rFonts w:cs="Arial"/>
          <w:szCs w:val="20"/>
        </w:rPr>
      </w:pPr>
      <w:r w:rsidRPr="000E5786">
        <w:rPr>
          <w:rFonts w:eastAsia="Verdana" w:cs="Arial"/>
          <w:b/>
          <w:szCs w:val="20"/>
        </w:rPr>
        <w:tab/>
      </w:r>
    </w:p>
    <w:p w14:paraId="246C55A2" w14:textId="1C3DC02F" w:rsidR="004C127E" w:rsidRPr="000E5786" w:rsidRDefault="004C127E" w:rsidP="009D675B">
      <w:pPr>
        <w:pStyle w:val="Heading1"/>
        <w:numPr>
          <w:ilvl w:val="0"/>
          <w:numId w:val="48"/>
        </w:numPr>
        <w:rPr>
          <w:rFonts w:cs="Arial"/>
          <w:szCs w:val="20"/>
        </w:rPr>
      </w:pPr>
      <w:r w:rsidRPr="000E5786">
        <w:rPr>
          <w:rFonts w:cs="Arial"/>
          <w:szCs w:val="20"/>
        </w:rPr>
        <w:t xml:space="preserve">DISPUTE NOTICES </w:t>
      </w:r>
    </w:p>
    <w:p w14:paraId="6B1DF15B" w14:textId="6E206784" w:rsidR="004C127E" w:rsidRPr="000E5786" w:rsidRDefault="004C127E" w:rsidP="000C5291">
      <w:pPr>
        <w:pStyle w:val="Heading2"/>
      </w:pPr>
      <w:r w:rsidRPr="000C5291">
        <w:rPr>
          <w:rFonts w:eastAsia="Verdana"/>
        </w:rPr>
        <w:t xml:space="preserve">If a Dispute arises then: </w:t>
      </w:r>
    </w:p>
    <w:p w14:paraId="76C1112A" w14:textId="10BF1ECD" w:rsidR="004C127E" w:rsidRPr="000E5786" w:rsidRDefault="004C127E" w:rsidP="000C5291">
      <w:pPr>
        <w:pStyle w:val="Heading3"/>
      </w:pPr>
      <w:r w:rsidRPr="000E5786">
        <w:rPr>
          <w:rFonts w:eastAsia="Verdana"/>
        </w:rPr>
        <w:t xml:space="preserve">the </w:t>
      </w:r>
      <w:r w:rsidRPr="000E5786">
        <w:t>provisions</w:t>
      </w:r>
      <w:r w:rsidRPr="000E5786">
        <w:rPr>
          <w:rFonts w:eastAsia="Verdana"/>
        </w:rPr>
        <w:t xml:space="preserve"> of Schedule 8.1 (Governance) shall apply to a Dispute relating to: </w:t>
      </w:r>
    </w:p>
    <w:p w14:paraId="67BC61AE" w14:textId="77777777" w:rsidR="004C127E" w:rsidRPr="000E5786" w:rsidRDefault="004C127E" w:rsidP="00DD60F0">
      <w:pPr>
        <w:ind w:left="2410" w:hanging="709"/>
        <w:rPr>
          <w:rFonts w:cs="Arial"/>
          <w:szCs w:val="20"/>
        </w:rPr>
      </w:pPr>
      <w:r w:rsidRPr="000C649C">
        <w:rPr>
          <w:rFonts w:eastAsia="Verdana" w:cs="Arial"/>
          <w:szCs w:val="20"/>
        </w:rPr>
        <w:t>(a)</w:t>
      </w:r>
      <w:r w:rsidRPr="000E5786">
        <w:rPr>
          <w:rFonts w:eastAsia="Verdana" w:cs="Arial"/>
          <w:i/>
          <w:iCs/>
          <w:szCs w:val="20"/>
        </w:rPr>
        <w:tab/>
      </w:r>
      <w:r w:rsidRPr="000E5786">
        <w:rPr>
          <w:rFonts w:eastAsia="Verdana" w:cs="Arial"/>
          <w:szCs w:val="20"/>
        </w:rPr>
        <w:t>Operate Services, such that these are sought to be resolved in accordance with Paragraph 1.7 (Operational Governance) of Schedule 8.1 (Governance</w:t>
      </w:r>
      <w:proofErr w:type="gramStart"/>
      <w:r w:rsidRPr="000E5786">
        <w:rPr>
          <w:rFonts w:eastAsia="Verdana" w:cs="Arial"/>
          <w:szCs w:val="20"/>
        </w:rPr>
        <w:t>);</w:t>
      </w:r>
      <w:proofErr w:type="gramEnd"/>
      <w:r w:rsidRPr="000E5786">
        <w:rPr>
          <w:rFonts w:eastAsia="Verdana" w:cs="Arial"/>
          <w:szCs w:val="20"/>
        </w:rPr>
        <w:t xml:space="preserve"> </w:t>
      </w:r>
    </w:p>
    <w:p w14:paraId="40FC3FEE" w14:textId="7411C1EA" w:rsidR="004C127E" w:rsidRPr="000E5786" w:rsidRDefault="004C127E" w:rsidP="00DD60F0">
      <w:pPr>
        <w:ind w:left="2410" w:hanging="709"/>
        <w:rPr>
          <w:rFonts w:eastAsia="Verdana" w:cs="Arial"/>
          <w:szCs w:val="20"/>
        </w:rPr>
      </w:pPr>
      <w:r w:rsidRPr="000E5786">
        <w:rPr>
          <w:rFonts w:eastAsia="Verdana" w:cs="Arial"/>
          <w:szCs w:val="20"/>
        </w:rPr>
        <w:t>(b)</w:t>
      </w:r>
      <w:r w:rsidRPr="000E5786">
        <w:rPr>
          <w:rFonts w:eastAsia="Verdana" w:cs="Arial"/>
          <w:szCs w:val="20"/>
        </w:rPr>
        <w:tab/>
        <w:t xml:space="preserve">Projects, such that these are sought to be resolved in accordance with Paragraph 1.8 (Project Governance) of </w:t>
      </w:r>
      <w:r w:rsidR="006B1280" w:rsidRPr="000E5786">
        <w:rPr>
          <w:rFonts w:eastAsia="Verdana"/>
        </w:rPr>
        <w:t xml:space="preserve">Schedule </w:t>
      </w:r>
      <w:r w:rsidRPr="000E5786">
        <w:rPr>
          <w:rFonts w:eastAsia="Verdana" w:cs="Arial"/>
          <w:szCs w:val="20"/>
        </w:rPr>
        <w:t>8.1 (Governance); and</w:t>
      </w:r>
    </w:p>
    <w:p w14:paraId="447721E0" w14:textId="77777777" w:rsidR="0023281D" w:rsidRPr="000E5786" w:rsidRDefault="004C127E" w:rsidP="0023281D">
      <w:pPr>
        <w:ind w:left="2410" w:hanging="709"/>
        <w:rPr>
          <w:rFonts w:eastAsia="Verdana" w:cs="Arial"/>
          <w:szCs w:val="20"/>
        </w:rPr>
      </w:pPr>
      <w:r w:rsidRPr="000E5786">
        <w:rPr>
          <w:rFonts w:eastAsia="Verdana" w:cs="Arial"/>
          <w:szCs w:val="20"/>
        </w:rPr>
        <w:t>(c)</w:t>
      </w:r>
      <w:r w:rsidRPr="000E5786">
        <w:rPr>
          <w:rFonts w:eastAsia="Verdana" w:cs="Arial"/>
          <w:szCs w:val="20"/>
        </w:rPr>
        <w:tab/>
        <w:t>Technical Designs, such that these are sought to be resolved in accordance with Paragraph 1.9 (Technical Design Governance) of Schedule 8.1 (Governance</w:t>
      </w:r>
      <w:proofErr w:type="gramStart"/>
      <w:r w:rsidRPr="000E5786">
        <w:rPr>
          <w:rFonts w:eastAsia="Verdana" w:cs="Arial"/>
          <w:szCs w:val="20"/>
        </w:rPr>
        <w:t>);</w:t>
      </w:r>
      <w:proofErr w:type="gramEnd"/>
    </w:p>
    <w:p w14:paraId="6FE0F227" w14:textId="3955485A" w:rsidR="004C127E" w:rsidRPr="000E5786" w:rsidRDefault="004C127E" w:rsidP="000C5291">
      <w:pPr>
        <w:pStyle w:val="Heading3"/>
        <w:rPr>
          <w:rFonts w:eastAsia="Verdana"/>
        </w:rPr>
      </w:pPr>
      <w:r w:rsidRPr="000E5786">
        <w:rPr>
          <w:rFonts w:eastAsia="Verdana"/>
        </w:rPr>
        <w:lastRenderedPageBreak/>
        <w:t xml:space="preserve">for any other </w:t>
      </w:r>
      <w:r w:rsidRPr="000E5786">
        <w:t>Dispute</w:t>
      </w:r>
      <w:r w:rsidRPr="000E5786">
        <w:rPr>
          <w:rFonts w:eastAsia="Verdana"/>
        </w:rPr>
        <w:t xml:space="preserve">, or where a Dispute is </w:t>
      </w:r>
      <w:proofErr w:type="gramStart"/>
      <w:r w:rsidRPr="000E5786">
        <w:rPr>
          <w:rFonts w:eastAsia="Verdana"/>
        </w:rPr>
        <w:t>escalated  in</w:t>
      </w:r>
      <w:proofErr w:type="gramEnd"/>
      <w:r w:rsidRPr="000E5786">
        <w:rPr>
          <w:rFonts w:eastAsia="Verdana"/>
        </w:rPr>
        <w:t xml:space="preserve"> accordance with </w:t>
      </w:r>
      <w:r w:rsidRPr="000C649C">
        <w:rPr>
          <w:rFonts w:eastAsia="Verdana"/>
        </w:rPr>
        <w:t xml:space="preserve">Schedule 8.1 (Governance), the </w:t>
      </w:r>
      <w:proofErr w:type="spellStart"/>
      <w:r w:rsidR="001F1C19">
        <w:rPr>
          <w:rFonts w:eastAsia="Verdana"/>
        </w:rPr>
        <w:t>Netlink</w:t>
      </w:r>
      <w:proofErr w:type="spellEnd"/>
      <w:r w:rsidR="001F1C19">
        <w:rPr>
          <w:rFonts w:eastAsia="Verdana"/>
        </w:rPr>
        <w:t xml:space="preserve"> Star</w:t>
      </w:r>
      <w:r w:rsidRPr="000E5786">
        <w:rPr>
          <w:rFonts w:eastAsia="Verdana"/>
        </w:rPr>
        <w:t xml:space="preserve"> Representative and the Supplier Representative shall attempt in good faith to resolve the Dispute in accordance with Paragraph 1.6 (Strategic Governance) of Schedule 8.1 (Governance); and </w:t>
      </w:r>
    </w:p>
    <w:p w14:paraId="23B6B110" w14:textId="38EBBD7D" w:rsidR="004C127E" w:rsidRPr="000E5786" w:rsidRDefault="004C127E" w:rsidP="000C5291">
      <w:pPr>
        <w:pStyle w:val="Heading3"/>
      </w:pPr>
      <w:r w:rsidRPr="000E5786">
        <w:rPr>
          <w:rFonts w:eastAsia="Verdana"/>
        </w:rPr>
        <w:t xml:space="preserve">if such </w:t>
      </w:r>
      <w:r w:rsidRPr="000E5786">
        <w:t>attempts</w:t>
      </w:r>
      <w:r w:rsidRPr="000E5786">
        <w:rPr>
          <w:rFonts w:eastAsia="Verdana"/>
        </w:rPr>
        <w:t xml:space="preserve"> are not successful within a reasonable period, not being longer than 20 Working Days, either Party may issue to the other a Dispute Notice. </w:t>
      </w:r>
    </w:p>
    <w:p w14:paraId="3F5E128A" w14:textId="06334D01" w:rsidR="000E5786" w:rsidRPr="000E5786" w:rsidRDefault="004C127E" w:rsidP="000C5291">
      <w:pPr>
        <w:pStyle w:val="Heading2"/>
      </w:pPr>
      <w:r w:rsidRPr="000E5786">
        <w:rPr>
          <w:rFonts w:eastAsia="Verdana"/>
        </w:rPr>
        <w:t>A Dispute Notice:</w:t>
      </w:r>
    </w:p>
    <w:p w14:paraId="22A8098C" w14:textId="628C431E" w:rsidR="000E5786" w:rsidRPr="000E5786" w:rsidRDefault="000E5786" w:rsidP="000C5291">
      <w:pPr>
        <w:pStyle w:val="Heading3"/>
      </w:pPr>
      <w:r w:rsidRPr="000E5786">
        <w:rPr>
          <w:rFonts w:eastAsia="Verdana"/>
        </w:rPr>
        <w:t>shall set out:</w:t>
      </w:r>
    </w:p>
    <w:p w14:paraId="2382F1C4" w14:textId="77777777" w:rsidR="000E5786" w:rsidRPr="000E5786" w:rsidRDefault="000E5786" w:rsidP="006C539C">
      <w:pPr>
        <w:ind w:left="2410" w:hanging="709"/>
        <w:rPr>
          <w:rFonts w:eastAsia="Verdana" w:cs="Arial"/>
          <w:szCs w:val="20"/>
        </w:rPr>
      </w:pPr>
      <w:r w:rsidRPr="000E5786">
        <w:rPr>
          <w:rFonts w:eastAsia="Verdana" w:cs="Arial"/>
          <w:szCs w:val="20"/>
        </w:rPr>
        <w:t xml:space="preserve">(a) </w:t>
      </w:r>
      <w:r w:rsidRPr="000E5786">
        <w:rPr>
          <w:rFonts w:eastAsia="Verdana" w:cs="Arial"/>
          <w:szCs w:val="20"/>
        </w:rPr>
        <w:tab/>
        <w:t xml:space="preserve">the material particulars of the </w:t>
      </w:r>
      <w:proofErr w:type="gramStart"/>
      <w:r w:rsidRPr="000E5786">
        <w:rPr>
          <w:rFonts w:eastAsia="Verdana" w:cs="Arial"/>
          <w:szCs w:val="20"/>
        </w:rPr>
        <w:t>Dispute;</w:t>
      </w:r>
      <w:proofErr w:type="gramEnd"/>
      <w:r w:rsidRPr="000E5786">
        <w:rPr>
          <w:rFonts w:eastAsia="Verdana" w:cs="Arial"/>
          <w:szCs w:val="20"/>
        </w:rPr>
        <w:t xml:space="preserve"> </w:t>
      </w:r>
    </w:p>
    <w:p w14:paraId="71819EA1" w14:textId="428DF3E4" w:rsidR="000E5786" w:rsidRPr="000E5786" w:rsidRDefault="000E5786" w:rsidP="006C539C">
      <w:pPr>
        <w:ind w:left="2410" w:hanging="709"/>
        <w:rPr>
          <w:rFonts w:eastAsia="Verdana" w:cs="Arial"/>
          <w:szCs w:val="20"/>
        </w:rPr>
      </w:pPr>
      <w:r w:rsidRPr="000E5786">
        <w:rPr>
          <w:rFonts w:eastAsia="Verdana" w:cs="Arial"/>
          <w:szCs w:val="20"/>
        </w:rPr>
        <w:t>(b)</w:t>
      </w:r>
      <w:r w:rsidRPr="000E5786">
        <w:rPr>
          <w:rFonts w:eastAsia="Verdana" w:cs="Arial"/>
          <w:szCs w:val="20"/>
        </w:rPr>
        <w:tab/>
        <w:t>the reasons why the Party serving the Dispute Notice believes that</w:t>
      </w:r>
      <w:r w:rsidR="004E415B">
        <w:rPr>
          <w:rFonts w:eastAsia="Verdana" w:cs="Arial"/>
          <w:szCs w:val="20"/>
        </w:rPr>
        <w:t xml:space="preserve"> th</w:t>
      </w:r>
      <w:r w:rsidRPr="000E5786">
        <w:rPr>
          <w:rFonts w:eastAsia="Verdana" w:cs="Arial"/>
          <w:szCs w:val="20"/>
        </w:rPr>
        <w:t xml:space="preserve">e Dispute has arisen; and </w:t>
      </w:r>
    </w:p>
    <w:p w14:paraId="14AF69B2" w14:textId="77777777" w:rsidR="000E5786" w:rsidRPr="000E5786" w:rsidRDefault="000E5786" w:rsidP="006C539C">
      <w:pPr>
        <w:ind w:left="2410" w:hanging="709"/>
        <w:rPr>
          <w:rFonts w:eastAsia="Verdana" w:cs="Arial"/>
          <w:szCs w:val="20"/>
        </w:rPr>
      </w:pPr>
      <w:r w:rsidRPr="000E5786">
        <w:rPr>
          <w:rFonts w:eastAsia="Verdana" w:cs="Arial"/>
          <w:szCs w:val="20"/>
        </w:rPr>
        <w:t>(c)</w:t>
      </w:r>
      <w:r w:rsidRPr="000E5786">
        <w:rPr>
          <w:rFonts w:eastAsia="Verdana" w:cs="Arial"/>
          <w:szCs w:val="20"/>
        </w:rPr>
        <w:tab/>
        <w:t xml:space="preserve">if the Party serving the Dispute Notice believes that the Dispute should be dealt with under the Expedited Dispute Timetable, the reason why; and </w:t>
      </w:r>
    </w:p>
    <w:p w14:paraId="463ACFD8" w14:textId="17C57ED6" w:rsidR="004C127E" w:rsidRPr="000E5786" w:rsidRDefault="004C127E" w:rsidP="00E538A1">
      <w:pPr>
        <w:pStyle w:val="ListParagraph"/>
        <w:numPr>
          <w:ilvl w:val="2"/>
          <w:numId w:val="10"/>
        </w:numPr>
        <w:spacing w:after="120" w:line="240" w:lineRule="auto"/>
        <w:rPr>
          <w:rFonts w:ascii="Arial" w:eastAsia="Verdana" w:hAnsi="Arial" w:cs="Arial"/>
          <w:sz w:val="20"/>
          <w:szCs w:val="20"/>
        </w:rPr>
      </w:pPr>
      <w:r w:rsidRPr="000E5786">
        <w:rPr>
          <w:rFonts w:ascii="Arial" w:eastAsia="Verdana" w:hAnsi="Arial" w:cs="Arial"/>
          <w:sz w:val="20"/>
          <w:szCs w:val="20"/>
        </w:rPr>
        <w:t xml:space="preserve">may specify in accordance with the requirements of </w:t>
      </w:r>
      <w:r w:rsidR="00A80BE8" w:rsidRPr="000E5786">
        <w:rPr>
          <w:rFonts w:ascii="Arial" w:eastAsia="Verdana" w:hAnsi="Arial" w:cs="Arial"/>
          <w:sz w:val="20"/>
          <w:szCs w:val="20"/>
        </w:rPr>
        <w:t xml:space="preserve">Paragraphs </w:t>
      </w:r>
      <w:r w:rsidRPr="000E5786">
        <w:rPr>
          <w:rFonts w:ascii="Arial" w:eastAsia="Verdana" w:hAnsi="Arial" w:cs="Arial"/>
          <w:sz w:val="20"/>
          <w:szCs w:val="20"/>
        </w:rPr>
        <w:t xml:space="preserve">9.2 and 9.3 that the Party issuing the Dispute Notice has determined (in the case of </w:t>
      </w:r>
      <w:proofErr w:type="spellStart"/>
      <w:r w:rsidR="001F1C19">
        <w:rPr>
          <w:rFonts w:ascii="Arial" w:eastAsia="Verdana" w:hAnsi="Arial" w:cs="Arial"/>
          <w:sz w:val="20"/>
          <w:szCs w:val="20"/>
        </w:rPr>
        <w:t>Netlink</w:t>
      </w:r>
      <w:proofErr w:type="spellEnd"/>
      <w:r w:rsidR="001F1C19">
        <w:rPr>
          <w:rFonts w:ascii="Arial" w:eastAsia="Verdana" w:hAnsi="Arial" w:cs="Arial"/>
          <w:sz w:val="20"/>
          <w:szCs w:val="20"/>
        </w:rPr>
        <w:t xml:space="preserve"> Star</w:t>
      </w:r>
      <w:r w:rsidRPr="000E5786">
        <w:rPr>
          <w:rFonts w:ascii="Arial" w:eastAsia="Verdana" w:hAnsi="Arial" w:cs="Arial"/>
          <w:sz w:val="20"/>
          <w:szCs w:val="20"/>
        </w:rPr>
        <w:t xml:space="preserve">) or considers (in the case of the Supplier) that the Dispute is a Multi-Party Dispute, in which case </w:t>
      </w:r>
      <w:r w:rsidR="00795CF7" w:rsidRPr="000E5786">
        <w:rPr>
          <w:rFonts w:ascii="Arial" w:eastAsia="Verdana" w:hAnsi="Arial" w:cs="Arial"/>
          <w:sz w:val="20"/>
          <w:szCs w:val="20"/>
        </w:rPr>
        <w:t xml:space="preserve">Paragraph </w:t>
      </w:r>
      <w:r w:rsidRPr="000E5786">
        <w:rPr>
          <w:rFonts w:ascii="Arial" w:eastAsia="Verdana" w:hAnsi="Arial" w:cs="Arial"/>
          <w:sz w:val="20"/>
          <w:szCs w:val="20"/>
        </w:rPr>
        <w:t xml:space="preserve">2.3 shall apply. </w:t>
      </w:r>
    </w:p>
    <w:p w14:paraId="594466F6" w14:textId="5B734583" w:rsidR="004C127E" w:rsidRPr="000E5786" w:rsidRDefault="004C127E" w:rsidP="00DD60F0">
      <w:pPr>
        <w:ind w:left="852" w:hanging="852"/>
        <w:rPr>
          <w:rFonts w:cs="Arial"/>
          <w:szCs w:val="20"/>
        </w:rPr>
      </w:pPr>
      <w:r w:rsidRPr="000E5786">
        <w:rPr>
          <w:rFonts w:eastAsia="Verdana" w:cs="Arial"/>
          <w:szCs w:val="20"/>
        </w:rPr>
        <w:t>2.3</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If a Dispute Notice specifies that the Dispute has been determined or </w:t>
      </w:r>
      <w:proofErr w:type="gramStart"/>
      <w:r w:rsidRPr="000E5786">
        <w:rPr>
          <w:rFonts w:eastAsia="Verdana" w:cs="Arial"/>
          <w:szCs w:val="20"/>
        </w:rPr>
        <w:t>is considered to be</w:t>
      </w:r>
      <w:proofErr w:type="gramEnd"/>
      <w:r w:rsidRPr="000E5786">
        <w:rPr>
          <w:rFonts w:eastAsia="Verdana" w:cs="Arial"/>
          <w:szCs w:val="20"/>
        </w:rPr>
        <w:t xml:space="preserve"> a Multi-Party Dispute pursuant to </w:t>
      </w:r>
      <w:r w:rsidR="00A80BE8" w:rsidRPr="000E5786">
        <w:rPr>
          <w:rFonts w:eastAsia="Verdana" w:cs="Arial"/>
          <w:szCs w:val="20"/>
        </w:rPr>
        <w:t xml:space="preserve">Paragraph </w:t>
      </w:r>
      <w:r w:rsidRPr="000E5786">
        <w:rPr>
          <w:rFonts w:eastAsia="Verdana" w:cs="Arial"/>
          <w:szCs w:val="20"/>
        </w:rPr>
        <w:t xml:space="preserve">2.2.2, then: </w:t>
      </w:r>
    </w:p>
    <w:p w14:paraId="302ECEE0" w14:textId="0E9F9EED"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2.3.1 </w:t>
      </w:r>
      <w:r w:rsidRPr="000E5786">
        <w:rPr>
          <w:rFonts w:eastAsia="Verdana" w:cs="Arial"/>
          <w:szCs w:val="20"/>
        </w:rPr>
        <w:tab/>
      </w:r>
      <w:r w:rsidRPr="000E5786">
        <w:rPr>
          <w:rFonts w:eastAsia="Verdana" w:cs="Arial"/>
          <w:szCs w:val="20"/>
        </w:rPr>
        <w:tab/>
        <w:t xml:space="preserve">if it is served by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it shall be treated as a Multi-Party Procedure Initiation Notice; and </w:t>
      </w:r>
    </w:p>
    <w:p w14:paraId="0EC3233F" w14:textId="5B8125B5"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2.3.2 </w:t>
      </w:r>
      <w:r w:rsidRPr="000E5786">
        <w:rPr>
          <w:rFonts w:eastAsia="Verdana" w:cs="Arial"/>
          <w:szCs w:val="20"/>
        </w:rPr>
        <w:tab/>
        <w:t xml:space="preserve">if it is served by the </w:t>
      </w:r>
      <w:proofErr w:type="gramStart"/>
      <w:r w:rsidRPr="000E5786">
        <w:rPr>
          <w:rFonts w:eastAsia="Verdana" w:cs="Arial"/>
          <w:szCs w:val="20"/>
        </w:rPr>
        <w:t>Supplier</w:t>
      </w:r>
      <w:proofErr w:type="gramEnd"/>
      <w:r w:rsidRPr="000E5786">
        <w:rPr>
          <w:rFonts w:eastAsia="Verdana" w:cs="Arial"/>
          <w:szCs w:val="20"/>
        </w:rPr>
        <w:t xml:space="preserve"> it shall be treated as a Supplier Request, and in each case the provisions of </w:t>
      </w:r>
      <w:r w:rsidR="00795CF7" w:rsidRPr="000E5786">
        <w:rPr>
          <w:rFonts w:eastAsia="Verdana" w:cs="Arial"/>
          <w:szCs w:val="20"/>
        </w:rPr>
        <w:t xml:space="preserve">Paragraph </w:t>
      </w:r>
      <w:r w:rsidRPr="000E5786">
        <w:rPr>
          <w:rFonts w:eastAsia="Verdana" w:cs="Arial"/>
          <w:szCs w:val="20"/>
        </w:rPr>
        <w:t xml:space="preserve">9 shall apply. </w:t>
      </w:r>
    </w:p>
    <w:p w14:paraId="6F2BE061" w14:textId="1CA0B301" w:rsidR="004C127E" w:rsidRPr="000E5786" w:rsidRDefault="004C127E" w:rsidP="00DD60F0">
      <w:pPr>
        <w:ind w:left="852" w:hanging="852"/>
        <w:rPr>
          <w:rFonts w:cs="Arial"/>
          <w:szCs w:val="20"/>
        </w:rPr>
      </w:pPr>
      <w:r w:rsidRPr="000E5786">
        <w:rPr>
          <w:rFonts w:eastAsia="Verdana" w:cs="Arial"/>
          <w:szCs w:val="20"/>
        </w:rPr>
        <w:t>2.4</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Subject to </w:t>
      </w:r>
      <w:r w:rsidR="00A80BE8" w:rsidRPr="000E5786">
        <w:rPr>
          <w:rFonts w:eastAsia="Verdana" w:cs="Arial"/>
          <w:szCs w:val="20"/>
        </w:rPr>
        <w:t xml:space="preserve">Paragraphs </w:t>
      </w:r>
      <w:r w:rsidRPr="000E5786">
        <w:rPr>
          <w:rFonts w:eastAsia="Verdana" w:cs="Arial"/>
          <w:szCs w:val="20"/>
        </w:rPr>
        <w:t xml:space="preserve">2.5 and 3.2 and so long as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has not served a Multi-Party Procedure Initiation Notice in respect of the relevant Dispute, following the issue of a Dispute Notice the Parties shall seek to resolve the Dispute: </w:t>
      </w:r>
    </w:p>
    <w:p w14:paraId="014BE7CC" w14:textId="77777777"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2.4.1 </w:t>
      </w:r>
      <w:r w:rsidRPr="000E5786">
        <w:rPr>
          <w:rFonts w:eastAsia="Verdana" w:cs="Arial"/>
          <w:szCs w:val="20"/>
        </w:rPr>
        <w:tab/>
        <w:t>first by reference to the applicable meeting as identified in Schedule 8.1 (Governance</w:t>
      </w:r>
      <w:proofErr w:type="gramStart"/>
      <w:r w:rsidRPr="000E5786">
        <w:rPr>
          <w:rFonts w:eastAsia="Verdana" w:cs="Arial"/>
          <w:szCs w:val="20"/>
        </w:rPr>
        <w:t>);</w:t>
      </w:r>
      <w:proofErr w:type="gramEnd"/>
      <w:r w:rsidRPr="000E5786">
        <w:rPr>
          <w:rFonts w:eastAsia="Verdana" w:cs="Arial"/>
          <w:szCs w:val="20"/>
        </w:rPr>
        <w:t xml:space="preserve"> </w:t>
      </w:r>
    </w:p>
    <w:p w14:paraId="580828A4" w14:textId="555E87B5"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2.4.2 </w:t>
      </w:r>
      <w:r w:rsidRPr="000E5786">
        <w:rPr>
          <w:rFonts w:eastAsia="Verdana" w:cs="Arial"/>
          <w:szCs w:val="20"/>
        </w:rPr>
        <w:tab/>
        <w:t xml:space="preserve">then by commercial negotiation (as prescribed in </w:t>
      </w:r>
      <w:r w:rsidR="00A80BE8" w:rsidRPr="000E5786">
        <w:rPr>
          <w:rFonts w:eastAsia="Verdana" w:cs="Arial"/>
          <w:szCs w:val="20"/>
        </w:rPr>
        <w:t xml:space="preserve">Paragraph </w:t>
      </w:r>
      <w:r w:rsidRPr="000E5786">
        <w:rPr>
          <w:rFonts w:eastAsia="Verdana" w:cs="Arial"/>
          <w:szCs w:val="20"/>
        </w:rPr>
        <w:t>4</w:t>
      </w:r>
      <w:proofErr w:type="gramStart"/>
      <w:r w:rsidRPr="000E5786">
        <w:rPr>
          <w:rFonts w:eastAsia="Verdana" w:cs="Arial"/>
          <w:szCs w:val="20"/>
        </w:rPr>
        <w:t>);</w:t>
      </w:r>
      <w:proofErr w:type="gramEnd"/>
      <w:r w:rsidRPr="000E5786">
        <w:rPr>
          <w:rFonts w:eastAsia="Verdana" w:cs="Arial"/>
          <w:szCs w:val="20"/>
        </w:rPr>
        <w:t xml:space="preserve"> </w:t>
      </w:r>
    </w:p>
    <w:p w14:paraId="4C0C09E0" w14:textId="739E7493"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2.4.3 </w:t>
      </w:r>
      <w:r w:rsidRPr="000E5786">
        <w:rPr>
          <w:rFonts w:eastAsia="Verdana" w:cs="Arial"/>
          <w:szCs w:val="20"/>
        </w:rPr>
        <w:tab/>
        <w:t xml:space="preserve">then, if either Party serves a Mediation Notice, by mediation (as prescribed in </w:t>
      </w:r>
      <w:r w:rsidR="00A80BE8" w:rsidRPr="000E5786">
        <w:rPr>
          <w:rFonts w:eastAsia="Verdana" w:cs="Arial"/>
          <w:szCs w:val="20"/>
        </w:rPr>
        <w:t xml:space="preserve">Paragraph </w:t>
      </w:r>
      <w:r w:rsidRPr="000E5786">
        <w:rPr>
          <w:rFonts w:eastAsia="Verdana" w:cs="Arial"/>
          <w:szCs w:val="20"/>
        </w:rPr>
        <w:t xml:space="preserve">5); and </w:t>
      </w:r>
    </w:p>
    <w:p w14:paraId="04E3A3B4" w14:textId="7A446206" w:rsidR="004C127E" w:rsidRPr="000E5786" w:rsidRDefault="004C127E" w:rsidP="00DD60F0">
      <w:pPr>
        <w:tabs>
          <w:tab w:val="left" w:pos="854"/>
          <w:tab w:val="left" w:pos="1680"/>
          <w:tab w:val="center" w:pos="2438"/>
        </w:tabs>
        <w:ind w:left="1680" w:hanging="829"/>
        <w:rPr>
          <w:rFonts w:cs="Arial"/>
          <w:szCs w:val="20"/>
        </w:rPr>
      </w:pPr>
      <w:r w:rsidRPr="000E5786">
        <w:rPr>
          <w:rFonts w:eastAsia="Verdana" w:cs="Arial"/>
          <w:szCs w:val="20"/>
        </w:rPr>
        <w:t>2.4.4</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lastly by recourse to arbitration (as prescribed in </w:t>
      </w:r>
      <w:r w:rsidR="00A80BE8" w:rsidRPr="000E5786">
        <w:rPr>
          <w:rFonts w:eastAsia="Verdana" w:cs="Arial"/>
          <w:szCs w:val="20"/>
        </w:rPr>
        <w:t xml:space="preserve">Paragraph </w:t>
      </w:r>
      <w:r w:rsidRPr="000E5786">
        <w:rPr>
          <w:rFonts w:eastAsia="Verdana" w:cs="Arial"/>
          <w:szCs w:val="20"/>
        </w:rPr>
        <w:t xml:space="preserve">7) or litigation (in accordance with clause 50 (Governing Law and Jurisdiction). </w:t>
      </w:r>
    </w:p>
    <w:p w14:paraId="2C0BF540" w14:textId="15BC4AF1" w:rsidR="004C127E" w:rsidRPr="000E5786" w:rsidRDefault="004C127E" w:rsidP="00DD60F0">
      <w:pPr>
        <w:ind w:left="852" w:hanging="852"/>
        <w:rPr>
          <w:rFonts w:eastAsia="Verdana" w:cs="Arial"/>
          <w:szCs w:val="20"/>
        </w:rPr>
      </w:pPr>
      <w:r w:rsidRPr="000E5786">
        <w:rPr>
          <w:rFonts w:eastAsia="Verdana" w:cs="Arial"/>
          <w:szCs w:val="20"/>
        </w:rPr>
        <w:t xml:space="preserve">2.5 </w:t>
      </w:r>
      <w:r w:rsidRPr="000E5786">
        <w:rPr>
          <w:rFonts w:eastAsia="Verdana" w:cs="Arial"/>
          <w:szCs w:val="20"/>
        </w:rPr>
        <w:tab/>
        <w:t xml:space="preserve">Specific issues shall be referred to Expert Determination (as prescribed in </w:t>
      </w:r>
      <w:r w:rsidR="00A80BE8" w:rsidRPr="000E5786">
        <w:rPr>
          <w:rFonts w:eastAsia="Verdana" w:cs="Arial"/>
          <w:szCs w:val="20"/>
        </w:rPr>
        <w:t xml:space="preserve">Paragraph </w:t>
      </w:r>
      <w:r w:rsidRPr="000E5786">
        <w:rPr>
          <w:rFonts w:eastAsia="Verdana" w:cs="Arial"/>
          <w:szCs w:val="20"/>
        </w:rPr>
        <w:t xml:space="preserve">6) where specified under the provisions of this Agreement and may also be referred to Expert Determination where otherwise appropriate as specified in </w:t>
      </w:r>
      <w:r w:rsidR="00A80BE8" w:rsidRPr="000E5786">
        <w:rPr>
          <w:rFonts w:eastAsia="Verdana" w:cs="Arial"/>
          <w:szCs w:val="20"/>
        </w:rPr>
        <w:t xml:space="preserve">Paragraph </w:t>
      </w:r>
      <w:r w:rsidRPr="000E5786">
        <w:rPr>
          <w:rFonts w:eastAsia="Verdana" w:cs="Arial"/>
          <w:szCs w:val="20"/>
        </w:rPr>
        <w:t xml:space="preserve">6.1. </w:t>
      </w:r>
    </w:p>
    <w:p w14:paraId="61CC6F51" w14:textId="35CA477E" w:rsidR="004C127E" w:rsidRPr="000E5786" w:rsidRDefault="004C127E" w:rsidP="00DD60F0">
      <w:pPr>
        <w:ind w:left="852" w:hanging="852"/>
        <w:rPr>
          <w:rFonts w:eastAsia="Verdana" w:cs="Arial"/>
          <w:szCs w:val="20"/>
        </w:rPr>
      </w:pPr>
      <w:r w:rsidRPr="000E5786">
        <w:rPr>
          <w:rFonts w:eastAsia="Verdana" w:cs="Arial"/>
          <w:szCs w:val="20"/>
        </w:rPr>
        <w:t xml:space="preserve">2.6 </w:t>
      </w:r>
      <w:r w:rsidRPr="000E5786">
        <w:rPr>
          <w:rFonts w:eastAsia="Verdana" w:cs="Arial"/>
          <w:szCs w:val="20"/>
        </w:rPr>
        <w:tab/>
        <w:t xml:space="preserve">Unless agreed otherwise in writing, the Parties shall continue to comply with their respective obligations under this Agreement regardless of the nature of the Dispute and notwithstanding any issue of a Dispute Notice or a Multi-Party Procedure Initiation Notice or proceedings under </w:t>
      </w:r>
      <w:r w:rsidR="00A80BE8" w:rsidRPr="000E5786">
        <w:rPr>
          <w:rFonts w:eastAsia="Verdana" w:cs="Arial"/>
          <w:szCs w:val="20"/>
        </w:rPr>
        <w:t xml:space="preserve">Paragraph </w:t>
      </w:r>
      <w:r w:rsidRPr="000E5786">
        <w:rPr>
          <w:rFonts w:eastAsia="Verdana" w:cs="Arial"/>
          <w:szCs w:val="20"/>
        </w:rPr>
        <w:t xml:space="preserve">8. </w:t>
      </w:r>
    </w:p>
    <w:p w14:paraId="2C256B57" w14:textId="77777777" w:rsidR="00321E69" w:rsidRPr="000E5786" w:rsidRDefault="00321E69" w:rsidP="00DD60F0">
      <w:pPr>
        <w:ind w:left="852" w:hanging="852"/>
        <w:rPr>
          <w:rFonts w:eastAsia="Verdana" w:cs="Arial"/>
          <w:szCs w:val="20"/>
        </w:rPr>
      </w:pPr>
    </w:p>
    <w:p w14:paraId="7AD752CF" w14:textId="7E1D5FF8" w:rsidR="004C127E" w:rsidRPr="000E5786" w:rsidRDefault="004C127E" w:rsidP="00EB717E">
      <w:pPr>
        <w:pStyle w:val="Heading4"/>
        <w:keepNext/>
        <w:numPr>
          <w:ilvl w:val="0"/>
          <w:numId w:val="0"/>
        </w:numPr>
        <w:tabs>
          <w:tab w:val="center" w:pos="2518"/>
        </w:tabs>
        <w:spacing w:after="120"/>
        <w:rPr>
          <w:rFonts w:cs="Arial"/>
          <w:b/>
          <w:bCs w:val="0"/>
          <w:szCs w:val="20"/>
        </w:rPr>
      </w:pPr>
      <w:r w:rsidRPr="000E5786">
        <w:rPr>
          <w:rFonts w:cs="Arial"/>
          <w:szCs w:val="20"/>
        </w:rPr>
        <w:t>3.</w:t>
      </w:r>
      <w:r w:rsidRPr="000E5786">
        <w:rPr>
          <w:rFonts w:eastAsia="Arial" w:cs="Arial"/>
          <w:b/>
          <w:bCs w:val="0"/>
          <w:szCs w:val="20"/>
        </w:rPr>
        <w:tab/>
      </w:r>
      <w:r w:rsidRPr="000E5786">
        <w:rPr>
          <w:rFonts w:cs="Arial"/>
          <w:b/>
          <w:bCs w:val="0"/>
          <w:szCs w:val="20"/>
        </w:rPr>
        <w:t xml:space="preserve">EXPEDITED DISPUTE TIMETABLE </w:t>
      </w:r>
    </w:p>
    <w:p w14:paraId="3190CDFB" w14:textId="5BFFFD16" w:rsidR="004C127E" w:rsidRPr="000E5786" w:rsidRDefault="004C127E" w:rsidP="00DD60F0">
      <w:pPr>
        <w:ind w:left="852" w:hanging="852"/>
        <w:rPr>
          <w:rFonts w:eastAsia="Verdana" w:cs="Arial"/>
          <w:szCs w:val="20"/>
        </w:rPr>
      </w:pPr>
      <w:r w:rsidRPr="000E5786">
        <w:rPr>
          <w:rFonts w:eastAsia="Verdana" w:cs="Arial"/>
          <w:szCs w:val="20"/>
        </w:rPr>
        <w:t xml:space="preserve">3.1 </w:t>
      </w:r>
      <w:r w:rsidRPr="000E5786">
        <w:rPr>
          <w:rFonts w:eastAsia="Verdana" w:cs="Arial"/>
          <w:szCs w:val="20"/>
        </w:rPr>
        <w:tab/>
        <w:t xml:space="preserve">In exceptional circumstances where the use of the times in this Schedule would be unreasonable, including (by way of example) where one Party would be materially disadvantaged by a delay in resolving the Dispute, the Parties may agree to use the Expedited Dispute Timetable.  If the Parties are unable to reach agreement on whether to use the Expedited Dispute Timetable within five (5) Working Days of the issue of a Dispute Notice, the use of the Expedited Dispute Timetable shall be at the sole discretion of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w:t>
      </w:r>
    </w:p>
    <w:p w14:paraId="1B3AD68D" w14:textId="351516D2" w:rsidR="004C127E" w:rsidRPr="000E5786" w:rsidRDefault="004C127E" w:rsidP="00DD60F0">
      <w:pPr>
        <w:ind w:left="852" w:hanging="852"/>
        <w:rPr>
          <w:rFonts w:eastAsia="Verdana" w:cs="Arial"/>
          <w:szCs w:val="20"/>
        </w:rPr>
      </w:pPr>
      <w:r w:rsidRPr="000E5786">
        <w:rPr>
          <w:rFonts w:eastAsia="Verdana" w:cs="Arial"/>
          <w:szCs w:val="20"/>
        </w:rPr>
        <w:lastRenderedPageBreak/>
        <w:t xml:space="preserve">3.2 </w:t>
      </w:r>
      <w:r w:rsidRPr="000E5786">
        <w:rPr>
          <w:rFonts w:eastAsia="Verdana" w:cs="Arial"/>
          <w:szCs w:val="20"/>
        </w:rPr>
        <w:tab/>
        <w:t xml:space="preserve">If the Expedited Dispute Timetable is to be used pursuant to the provisions of </w:t>
      </w:r>
      <w:r w:rsidR="00795CF7" w:rsidRPr="000E5786">
        <w:rPr>
          <w:rFonts w:eastAsia="Verdana" w:cs="Arial"/>
          <w:szCs w:val="20"/>
        </w:rPr>
        <w:t xml:space="preserve">Paragraph </w:t>
      </w:r>
      <w:r w:rsidRPr="000E5786">
        <w:rPr>
          <w:rFonts w:eastAsia="Verdana" w:cs="Arial"/>
          <w:szCs w:val="20"/>
        </w:rPr>
        <w:t xml:space="preserve">3.1 or is otherwise specified under the provisions of this Agreement, then the following periods of time shall apply in lieu of the time periods specified in the applicable Paragraphs: </w:t>
      </w:r>
    </w:p>
    <w:p w14:paraId="3B4593D3" w14:textId="465E7160" w:rsidR="004C127E" w:rsidRPr="000E5786" w:rsidRDefault="004C127E" w:rsidP="006C539C">
      <w:pPr>
        <w:tabs>
          <w:tab w:val="left" w:pos="854"/>
          <w:tab w:val="left" w:pos="1680"/>
          <w:tab w:val="center" w:pos="2438"/>
        </w:tabs>
        <w:ind w:left="1680" w:hanging="829"/>
        <w:rPr>
          <w:rFonts w:cs="Arial"/>
          <w:szCs w:val="20"/>
        </w:rPr>
      </w:pPr>
      <w:r w:rsidRPr="000E5786">
        <w:rPr>
          <w:rFonts w:cs="Arial"/>
          <w:szCs w:val="20"/>
        </w:rPr>
        <w:tab/>
      </w:r>
      <w:r w:rsidRPr="000E5786">
        <w:rPr>
          <w:rFonts w:eastAsia="Verdana" w:cs="Arial"/>
          <w:szCs w:val="20"/>
        </w:rPr>
        <w:t>3.2.1</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in </w:t>
      </w:r>
      <w:r w:rsidR="00A80BE8" w:rsidRPr="000E5786">
        <w:rPr>
          <w:rFonts w:eastAsia="Verdana" w:cs="Arial"/>
          <w:szCs w:val="20"/>
        </w:rPr>
        <w:t xml:space="preserve">Paragraph </w:t>
      </w:r>
      <w:r w:rsidRPr="000E5786">
        <w:rPr>
          <w:rFonts w:eastAsia="Verdana" w:cs="Arial"/>
          <w:szCs w:val="20"/>
        </w:rPr>
        <w:t xml:space="preserve">4.2.3, ten (10) Working </w:t>
      </w:r>
      <w:proofErr w:type="gramStart"/>
      <w:r w:rsidRPr="000E5786">
        <w:rPr>
          <w:rFonts w:eastAsia="Verdana" w:cs="Arial"/>
          <w:szCs w:val="20"/>
        </w:rPr>
        <w:t>Days;</w:t>
      </w:r>
      <w:proofErr w:type="gramEnd"/>
      <w:r w:rsidRPr="000E5786">
        <w:rPr>
          <w:rFonts w:eastAsia="Verdana" w:cs="Arial"/>
          <w:szCs w:val="20"/>
        </w:rPr>
        <w:t xml:space="preserve"> </w:t>
      </w:r>
    </w:p>
    <w:p w14:paraId="7744CCC2" w14:textId="471E67F0" w:rsidR="004C127E" w:rsidRPr="000E5786" w:rsidRDefault="004C127E" w:rsidP="006C539C">
      <w:pPr>
        <w:tabs>
          <w:tab w:val="left" w:pos="854"/>
          <w:tab w:val="left" w:pos="1680"/>
          <w:tab w:val="center" w:pos="2438"/>
        </w:tabs>
        <w:ind w:left="1680" w:hanging="829"/>
        <w:rPr>
          <w:rFonts w:cs="Arial"/>
          <w:szCs w:val="20"/>
        </w:rPr>
      </w:pPr>
      <w:r w:rsidRPr="000E5786">
        <w:rPr>
          <w:rFonts w:cs="Arial"/>
          <w:szCs w:val="20"/>
        </w:rPr>
        <w:tab/>
      </w:r>
      <w:r w:rsidRPr="000E5786">
        <w:rPr>
          <w:rFonts w:eastAsia="Verdana" w:cs="Arial"/>
          <w:szCs w:val="20"/>
        </w:rPr>
        <w:t>3.2.2</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in </w:t>
      </w:r>
      <w:r w:rsidR="00A80BE8" w:rsidRPr="000E5786">
        <w:rPr>
          <w:rFonts w:eastAsia="Verdana" w:cs="Arial"/>
          <w:szCs w:val="20"/>
        </w:rPr>
        <w:t xml:space="preserve">Paragraph </w:t>
      </w:r>
      <w:r w:rsidRPr="000E5786">
        <w:rPr>
          <w:rFonts w:eastAsia="Verdana" w:cs="Arial"/>
          <w:szCs w:val="20"/>
        </w:rPr>
        <w:t xml:space="preserve">5.1, ten (10) Working </w:t>
      </w:r>
      <w:proofErr w:type="gramStart"/>
      <w:r w:rsidRPr="000E5786">
        <w:rPr>
          <w:rFonts w:eastAsia="Verdana" w:cs="Arial"/>
          <w:szCs w:val="20"/>
        </w:rPr>
        <w:t>Days;</w:t>
      </w:r>
      <w:proofErr w:type="gramEnd"/>
      <w:r w:rsidRPr="000E5786">
        <w:rPr>
          <w:rFonts w:eastAsia="Verdana" w:cs="Arial"/>
          <w:szCs w:val="20"/>
        </w:rPr>
        <w:t xml:space="preserve"> </w:t>
      </w:r>
    </w:p>
    <w:p w14:paraId="257016C7" w14:textId="5C830CAC" w:rsidR="004C127E" w:rsidRPr="000E5786" w:rsidRDefault="004C127E" w:rsidP="006C539C">
      <w:pPr>
        <w:tabs>
          <w:tab w:val="left" w:pos="854"/>
          <w:tab w:val="left" w:pos="1680"/>
          <w:tab w:val="center" w:pos="2438"/>
        </w:tabs>
        <w:ind w:left="1680" w:hanging="829"/>
        <w:rPr>
          <w:rFonts w:cs="Arial"/>
          <w:szCs w:val="20"/>
        </w:rPr>
      </w:pPr>
      <w:r w:rsidRPr="000E5786">
        <w:rPr>
          <w:rFonts w:cs="Arial"/>
          <w:szCs w:val="20"/>
        </w:rPr>
        <w:tab/>
      </w:r>
      <w:r w:rsidRPr="000E5786">
        <w:rPr>
          <w:rFonts w:eastAsia="Verdana" w:cs="Arial"/>
          <w:szCs w:val="20"/>
        </w:rPr>
        <w:t>3.2.3</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in </w:t>
      </w:r>
      <w:r w:rsidR="00A80BE8" w:rsidRPr="000E5786">
        <w:rPr>
          <w:rFonts w:eastAsia="Verdana" w:cs="Arial"/>
          <w:szCs w:val="20"/>
        </w:rPr>
        <w:t xml:space="preserve">Paragraph </w:t>
      </w:r>
      <w:r w:rsidRPr="000E5786">
        <w:rPr>
          <w:rFonts w:eastAsia="Verdana" w:cs="Arial"/>
          <w:szCs w:val="20"/>
        </w:rPr>
        <w:t xml:space="preserve">6.2, five (5) Working Days; and </w:t>
      </w:r>
    </w:p>
    <w:p w14:paraId="5826A423" w14:textId="0ACFCBC2" w:rsidR="004C127E" w:rsidRPr="000E5786" w:rsidRDefault="004C127E" w:rsidP="006C539C">
      <w:pPr>
        <w:tabs>
          <w:tab w:val="left" w:pos="854"/>
          <w:tab w:val="left" w:pos="1680"/>
          <w:tab w:val="center" w:pos="2438"/>
        </w:tabs>
        <w:ind w:left="1680" w:hanging="829"/>
        <w:rPr>
          <w:rFonts w:cs="Arial"/>
          <w:szCs w:val="20"/>
        </w:rPr>
      </w:pPr>
      <w:r w:rsidRPr="000E5786">
        <w:rPr>
          <w:rFonts w:cs="Arial"/>
          <w:szCs w:val="20"/>
        </w:rPr>
        <w:tab/>
      </w:r>
      <w:r w:rsidRPr="000E5786">
        <w:rPr>
          <w:rFonts w:eastAsia="Verdana" w:cs="Arial"/>
          <w:szCs w:val="20"/>
        </w:rPr>
        <w:t>3.2.4</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in </w:t>
      </w:r>
      <w:r w:rsidR="00A80BE8" w:rsidRPr="000E5786">
        <w:rPr>
          <w:rFonts w:eastAsia="Verdana" w:cs="Arial"/>
          <w:szCs w:val="20"/>
        </w:rPr>
        <w:t xml:space="preserve">Paragraph </w:t>
      </w:r>
      <w:r w:rsidRPr="000E5786">
        <w:rPr>
          <w:rFonts w:eastAsia="Verdana" w:cs="Arial"/>
          <w:szCs w:val="20"/>
        </w:rPr>
        <w:t xml:space="preserve">7.2, ten (10) Working Days. </w:t>
      </w:r>
    </w:p>
    <w:p w14:paraId="5D73B65E" w14:textId="069D1906" w:rsidR="004C127E" w:rsidRPr="000E5786" w:rsidRDefault="004C127E" w:rsidP="00DD60F0">
      <w:pPr>
        <w:ind w:left="852" w:hanging="852"/>
        <w:rPr>
          <w:rFonts w:cs="Arial"/>
          <w:szCs w:val="20"/>
        </w:rPr>
      </w:pPr>
      <w:r w:rsidRPr="000E5786">
        <w:rPr>
          <w:rFonts w:eastAsia="Verdana" w:cs="Arial"/>
          <w:szCs w:val="20"/>
        </w:rPr>
        <w:t>3.3</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If at any point it becomes clear that an applicable deadline cannot be met or has passed, the Parties may (but shall be under no obligation to) agree in writing to extend the deadline. If the Parties fail to agree such an extension within two (2) Working Days after the applicable deadline has passed,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may determine a revised deadline, </w:t>
      </w:r>
      <w:proofErr w:type="gramStart"/>
      <w:r w:rsidRPr="000E5786">
        <w:rPr>
          <w:rFonts w:eastAsia="Verdana" w:cs="Arial"/>
          <w:szCs w:val="20"/>
        </w:rPr>
        <w:t>provided that</w:t>
      </w:r>
      <w:proofErr w:type="gramEnd"/>
      <w:r w:rsidRPr="000E5786">
        <w:rPr>
          <w:rFonts w:eastAsia="Verdana" w:cs="Arial"/>
          <w:szCs w:val="20"/>
        </w:rPr>
        <w:t xml:space="preserve"> it is no less than, as applicable: </w:t>
      </w:r>
    </w:p>
    <w:p w14:paraId="3B282451" w14:textId="7632BB6F"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3.3.1 </w:t>
      </w:r>
      <w:r w:rsidRPr="000E5786">
        <w:rPr>
          <w:rFonts w:eastAsia="Verdana" w:cs="Arial"/>
          <w:szCs w:val="20"/>
        </w:rPr>
        <w:tab/>
        <w:t xml:space="preserve">five (5) Working Days before the end of the applicable </w:t>
      </w:r>
      <w:proofErr w:type="gramStart"/>
      <w:r w:rsidRPr="000E5786">
        <w:rPr>
          <w:rFonts w:eastAsia="Verdana" w:cs="Arial"/>
          <w:szCs w:val="20"/>
        </w:rPr>
        <w:t>period of time</w:t>
      </w:r>
      <w:proofErr w:type="gramEnd"/>
      <w:r w:rsidRPr="000E5786">
        <w:rPr>
          <w:rFonts w:eastAsia="Verdana" w:cs="Arial"/>
          <w:szCs w:val="20"/>
        </w:rPr>
        <w:t xml:space="preserve"> specified in the </w:t>
      </w:r>
      <w:r w:rsidR="00432F00" w:rsidRPr="000E5786">
        <w:rPr>
          <w:rFonts w:eastAsia="Verdana" w:cs="Arial"/>
          <w:szCs w:val="20"/>
        </w:rPr>
        <w:t xml:space="preserve">Paragraphs </w:t>
      </w:r>
      <w:r w:rsidRPr="000E5786">
        <w:rPr>
          <w:rFonts w:eastAsia="Verdana" w:cs="Arial"/>
          <w:szCs w:val="20"/>
        </w:rPr>
        <w:t xml:space="preserve">4.2.3, 5.1 or 7.2; or </w:t>
      </w:r>
    </w:p>
    <w:p w14:paraId="0E060E0C" w14:textId="092E0478"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3.3.2 </w:t>
      </w:r>
      <w:r w:rsidRPr="000E5786">
        <w:rPr>
          <w:rFonts w:eastAsia="Verdana" w:cs="Arial"/>
          <w:szCs w:val="20"/>
        </w:rPr>
        <w:tab/>
        <w:t xml:space="preserve">two (2) Working Days before the end of the </w:t>
      </w:r>
      <w:proofErr w:type="gramStart"/>
      <w:r w:rsidRPr="000E5786">
        <w:rPr>
          <w:rFonts w:eastAsia="Verdana" w:cs="Arial"/>
          <w:szCs w:val="20"/>
        </w:rPr>
        <w:t>period of time</w:t>
      </w:r>
      <w:proofErr w:type="gramEnd"/>
      <w:r w:rsidRPr="000E5786">
        <w:rPr>
          <w:rFonts w:eastAsia="Verdana" w:cs="Arial"/>
          <w:szCs w:val="20"/>
        </w:rPr>
        <w:t xml:space="preserve"> specified in </w:t>
      </w:r>
      <w:r w:rsidR="00A80BE8" w:rsidRPr="000E5786">
        <w:rPr>
          <w:rFonts w:eastAsia="Verdana" w:cs="Arial"/>
          <w:szCs w:val="20"/>
        </w:rPr>
        <w:t xml:space="preserve">Paragraph </w:t>
      </w:r>
      <w:r w:rsidRPr="000E5786">
        <w:rPr>
          <w:rFonts w:eastAsia="Verdana" w:cs="Arial"/>
          <w:szCs w:val="20"/>
        </w:rPr>
        <w:t xml:space="preserve">6.2, </w:t>
      </w:r>
    </w:p>
    <w:p w14:paraId="195594F0" w14:textId="53D5C176" w:rsidR="004C127E" w:rsidRPr="000E5786" w:rsidRDefault="004C127E" w:rsidP="00DD60F0">
      <w:pPr>
        <w:ind w:left="847" w:hanging="10"/>
        <w:rPr>
          <w:rFonts w:eastAsia="Verdana" w:cs="Arial"/>
          <w:szCs w:val="20"/>
        </w:rPr>
      </w:pPr>
      <w:r w:rsidRPr="000E5786">
        <w:rPr>
          <w:rFonts w:eastAsia="Verdana" w:cs="Arial"/>
          <w:szCs w:val="20"/>
        </w:rPr>
        <w:t xml:space="preserve">and any agreed or determined extension shall have the effect of delaying the start of the subsequent stages by the period agreed in the extension. If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fails to set such a revised deadline in accordance with the above, the use of the Expedited Dispute Timetable shall </w:t>
      </w:r>
      <w:proofErr w:type="gramStart"/>
      <w:r w:rsidRPr="000E5786">
        <w:rPr>
          <w:rFonts w:eastAsia="Verdana" w:cs="Arial"/>
          <w:szCs w:val="20"/>
        </w:rPr>
        <w:t>cease</w:t>
      </w:r>
      <w:proofErr w:type="gramEnd"/>
      <w:r w:rsidRPr="000E5786">
        <w:rPr>
          <w:rFonts w:eastAsia="Verdana" w:cs="Arial"/>
          <w:szCs w:val="20"/>
        </w:rPr>
        <w:t xml:space="preserve"> and the normal timescales shall apply from that point onwards. </w:t>
      </w:r>
    </w:p>
    <w:p w14:paraId="67B196F1" w14:textId="77777777" w:rsidR="00321E69" w:rsidRPr="000E5786" w:rsidRDefault="00321E69" w:rsidP="00DD60F0">
      <w:pPr>
        <w:ind w:left="847" w:hanging="10"/>
        <w:rPr>
          <w:rFonts w:cs="Arial"/>
          <w:szCs w:val="20"/>
        </w:rPr>
      </w:pPr>
    </w:p>
    <w:p w14:paraId="033F85F8" w14:textId="77777777" w:rsidR="004C127E" w:rsidRPr="000E5786" w:rsidRDefault="004C127E" w:rsidP="00DD60F0">
      <w:pPr>
        <w:pStyle w:val="Heading4"/>
        <w:numPr>
          <w:ilvl w:val="0"/>
          <w:numId w:val="0"/>
        </w:numPr>
        <w:tabs>
          <w:tab w:val="center" w:pos="2300"/>
        </w:tabs>
        <w:spacing w:after="120"/>
        <w:rPr>
          <w:rFonts w:cs="Arial"/>
          <w:b/>
          <w:bCs w:val="0"/>
          <w:szCs w:val="20"/>
        </w:rPr>
      </w:pPr>
      <w:r w:rsidRPr="000E5786">
        <w:rPr>
          <w:rFonts w:cs="Arial"/>
          <w:b/>
          <w:bCs w:val="0"/>
          <w:szCs w:val="20"/>
        </w:rPr>
        <w:t>4.</w:t>
      </w:r>
      <w:r w:rsidRPr="000E5786">
        <w:rPr>
          <w:rFonts w:eastAsia="Arial" w:cs="Arial"/>
          <w:b/>
          <w:bCs w:val="0"/>
          <w:szCs w:val="20"/>
        </w:rPr>
        <w:t xml:space="preserve"> </w:t>
      </w:r>
      <w:r w:rsidRPr="000E5786">
        <w:rPr>
          <w:rFonts w:eastAsia="Arial" w:cs="Arial"/>
          <w:b/>
          <w:bCs w:val="0"/>
          <w:szCs w:val="20"/>
        </w:rPr>
        <w:tab/>
      </w:r>
      <w:r w:rsidRPr="000E5786">
        <w:rPr>
          <w:rFonts w:cs="Arial"/>
          <w:b/>
          <w:bCs w:val="0"/>
          <w:szCs w:val="20"/>
        </w:rPr>
        <w:t xml:space="preserve">COMMERCIAL NEGOTIATION </w:t>
      </w:r>
    </w:p>
    <w:p w14:paraId="37033936" w14:textId="7A1787C6" w:rsidR="004C127E" w:rsidRPr="000E5786" w:rsidRDefault="004C127E" w:rsidP="00DD60F0">
      <w:pPr>
        <w:ind w:left="852" w:hanging="852"/>
        <w:rPr>
          <w:rFonts w:cs="Arial"/>
          <w:szCs w:val="20"/>
        </w:rPr>
      </w:pPr>
      <w:r w:rsidRPr="000E5786">
        <w:rPr>
          <w:rFonts w:eastAsia="Verdana" w:cs="Arial"/>
          <w:szCs w:val="20"/>
        </w:rPr>
        <w:t>4.1</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Following the service of a Dispute Notice, then, so long as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has not served a Multi-Party Procedure Initiation Notice in respect of the relevant </w:t>
      </w:r>
      <w:proofErr w:type="gramStart"/>
      <w:r w:rsidRPr="000E5786">
        <w:rPr>
          <w:rFonts w:eastAsia="Verdana" w:cs="Arial"/>
          <w:szCs w:val="20"/>
        </w:rPr>
        <w:t>Dispute, and</w:t>
      </w:r>
      <w:proofErr w:type="gramEnd"/>
      <w:r w:rsidRPr="000E5786">
        <w:rPr>
          <w:rFonts w:eastAsia="Verdana" w:cs="Arial"/>
          <w:szCs w:val="20"/>
        </w:rPr>
        <w:t xml:space="preserve"> following consideration by the relevant Governance body or bodies</w:t>
      </w:r>
      <w:r w:rsidRPr="000E5786">
        <w:rPr>
          <w:rFonts w:eastAsia="Verdana" w:cs="Arial"/>
          <w:b/>
          <w:bCs/>
          <w:szCs w:val="20"/>
        </w:rPr>
        <w:t>,</w:t>
      </w:r>
      <w:r w:rsidRPr="000E5786">
        <w:rPr>
          <w:rFonts w:eastAsia="Verdana" w:cs="Arial"/>
          <w:szCs w:val="20"/>
        </w:rPr>
        <w:t xml:space="preserve">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and the Supplier shall make reasonable endeavours to resolve the Dispute as soon as possible by commercial negotiation between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’s Procurement Manager and the Supplier’s Commercial Manager. </w:t>
      </w:r>
    </w:p>
    <w:p w14:paraId="11B6965A" w14:textId="77777777" w:rsidR="004C127E" w:rsidRPr="000E5786" w:rsidRDefault="004C127E" w:rsidP="00EB717E">
      <w:pPr>
        <w:ind w:left="852" w:hanging="852"/>
        <w:rPr>
          <w:rFonts w:cs="Arial"/>
          <w:szCs w:val="20"/>
        </w:rPr>
      </w:pPr>
      <w:r w:rsidRPr="000E5786">
        <w:rPr>
          <w:rFonts w:eastAsia="Verdana" w:cs="Arial"/>
          <w:szCs w:val="20"/>
        </w:rPr>
        <w:t>4.2</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If: </w:t>
      </w:r>
    </w:p>
    <w:p w14:paraId="24B2BAFC" w14:textId="77777777"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4.2.1 </w:t>
      </w:r>
      <w:r w:rsidRPr="000E5786">
        <w:rPr>
          <w:rFonts w:eastAsia="Verdana" w:cs="Arial"/>
          <w:szCs w:val="20"/>
        </w:rPr>
        <w:tab/>
        <w:t xml:space="preserve">either Party is of the reasonable opinion that the resolution of a Dispute by commercial negotiation, or the continuance of commercial negotiation, will not result in an appropriate </w:t>
      </w:r>
      <w:proofErr w:type="gramStart"/>
      <w:r w:rsidRPr="000E5786">
        <w:rPr>
          <w:rFonts w:eastAsia="Verdana" w:cs="Arial"/>
          <w:szCs w:val="20"/>
        </w:rPr>
        <w:t>solution;</w:t>
      </w:r>
      <w:proofErr w:type="gramEnd"/>
      <w:r w:rsidRPr="000E5786">
        <w:rPr>
          <w:rFonts w:eastAsia="Verdana" w:cs="Arial"/>
          <w:szCs w:val="20"/>
        </w:rPr>
        <w:t xml:space="preserve"> </w:t>
      </w:r>
    </w:p>
    <w:p w14:paraId="77BC298A" w14:textId="2E35B059"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4.2.2 </w:t>
      </w:r>
      <w:r w:rsidRPr="000E5786">
        <w:rPr>
          <w:rFonts w:eastAsia="Verdana" w:cs="Arial"/>
          <w:szCs w:val="20"/>
        </w:rPr>
        <w:tab/>
        <w:t xml:space="preserve">the Parties have already held discussions of a nature and intent (or otherwise were conducted in the spirit) that would equate to the conduct of commercial negotiation in accordance with this </w:t>
      </w:r>
      <w:r w:rsidR="00A80BE8" w:rsidRPr="000E5786">
        <w:rPr>
          <w:rFonts w:eastAsia="Verdana" w:cs="Arial"/>
          <w:szCs w:val="20"/>
        </w:rPr>
        <w:t xml:space="preserve">Paragraph </w:t>
      </w:r>
      <w:r w:rsidRPr="000E5786">
        <w:rPr>
          <w:rFonts w:eastAsia="Verdana" w:cs="Arial"/>
          <w:szCs w:val="20"/>
        </w:rPr>
        <w:t xml:space="preserve">4; or </w:t>
      </w:r>
    </w:p>
    <w:p w14:paraId="089284BA" w14:textId="22F87ADD"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4.2.3 </w:t>
      </w:r>
      <w:r w:rsidRPr="000E5786">
        <w:rPr>
          <w:rFonts w:eastAsia="Verdana" w:cs="Arial"/>
          <w:szCs w:val="20"/>
        </w:rPr>
        <w:tab/>
        <w:t xml:space="preserve">the Parties have not settled the Dispute in accordance with </w:t>
      </w:r>
      <w:r w:rsidR="00A80BE8" w:rsidRPr="000E5786">
        <w:rPr>
          <w:rFonts w:eastAsia="Verdana" w:cs="Arial"/>
          <w:szCs w:val="20"/>
        </w:rPr>
        <w:t xml:space="preserve">Paragraph </w:t>
      </w:r>
      <w:r w:rsidRPr="000E5786">
        <w:rPr>
          <w:rFonts w:eastAsia="Verdana" w:cs="Arial"/>
          <w:szCs w:val="20"/>
        </w:rPr>
        <w:t xml:space="preserve">4.1 within thirty (30) Working Days of service of the Dispute Notice, either Party may serve a written notice to proceed to mediation in accordance with </w:t>
      </w:r>
      <w:r w:rsidR="00A80BE8" w:rsidRPr="000E5786">
        <w:rPr>
          <w:rFonts w:eastAsia="Verdana" w:cs="Arial"/>
          <w:szCs w:val="20"/>
        </w:rPr>
        <w:t xml:space="preserve">Paragraph </w:t>
      </w:r>
      <w:r w:rsidRPr="000E5786">
        <w:rPr>
          <w:rFonts w:eastAsia="Verdana" w:cs="Arial"/>
          <w:szCs w:val="20"/>
        </w:rPr>
        <w:t>5 (a “</w:t>
      </w:r>
      <w:r w:rsidRPr="000E5786">
        <w:rPr>
          <w:rFonts w:eastAsia="Verdana" w:cs="Arial"/>
          <w:b/>
          <w:bCs/>
          <w:szCs w:val="20"/>
        </w:rPr>
        <w:t>Mediation Notice</w:t>
      </w:r>
      <w:r w:rsidRPr="000E5786">
        <w:rPr>
          <w:rFonts w:eastAsia="Verdana" w:cs="Arial"/>
          <w:szCs w:val="20"/>
        </w:rPr>
        <w:t xml:space="preserve">”). </w:t>
      </w:r>
    </w:p>
    <w:p w14:paraId="318E258F" w14:textId="77777777" w:rsidR="00321E69" w:rsidRPr="000E5786" w:rsidRDefault="00321E69" w:rsidP="00DD60F0">
      <w:pPr>
        <w:tabs>
          <w:tab w:val="left" w:pos="854"/>
          <w:tab w:val="left" w:pos="1680"/>
          <w:tab w:val="center" w:pos="2438"/>
        </w:tabs>
        <w:ind w:left="1680" w:hanging="829"/>
        <w:rPr>
          <w:rFonts w:eastAsia="Verdana" w:cs="Arial"/>
          <w:szCs w:val="20"/>
        </w:rPr>
      </w:pPr>
    </w:p>
    <w:p w14:paraId="77FA9521" w14:textId="77777777" w:rsidR="004C127E" w:rsidRPr="000E5786" w:rsidRDefault="004C127E" w:rsidP="00DD60F0">
      <w:pPr>
        <w:pStyle w:val="Heading4"/>
        <w:numPr>
          <w:ilvl w:val="0"/>
          <w:numId w:val="0"/>
        </w:numPr>
        <w:tabs>
          <w:tab w:val="center" w:pos="1455"/>
        </w:tabs>
        <w:spacing w:after="120"/>
        <w:rPr>
          <w:rFonts w:cs="Arial"/>
          <w:szCs w:val="20"/>
        </w:rPr>
      </w:pPr>
      <w:r w:rsidRPr="000E5786">
        <w:rPr>
          <w:rFonts w:cs="Arial"/>
          <w:szCs w:val="20"/>
        </w:rPr>
        <w:t>5.</w:t>
      </w:r>
      <w:r w:rsidRPr="000E5786">
        <w:rPr>
          <w:rFonts w:eastAsia="Arial" w:cs="Arial"/>
          <w:szCs w:val="20"/>
        </w:rPr>
        <w:t xml:space="preserve"> </w:t>
      </w:r>
      <w:r w:rsidRPr="000E5786">
        <w:rPr>
          <w:rFonts w:eastAsia="Arial" w:cs="Arial"/>
          <w:szCs w:val="20"/>
        </w:rPr>
        <w:tab/>
      </w:r>
      <w:r w:rsidRPr="000E5786">
        <w:rPr>
          <w:rFonts w:cs="Arial"/>
          <w:b/>
          <w:bCs w:val="0"/>
          <w:szCs w:val="20"/>
        </w:rPr>
        <w:t>MEDIATION</w:t>
      </w:r>
      <w:r w:rsidRPr="000E5786">
        <w:rPr>
          <w:rFonts w:cs="Arial"/>
          <w:szCs w:val="20"/>
        </w:rPr>
        <w:t xml:space="preserve"> </w:t>
      </w:r>
    </w:p>
    <w:p w14:paraId="633810B7" w14:textId="68B942FE" w:rsidR="004C127E" w:rsidRPr="000E5786" w:rsidRDefault="004C127E" w:rsidP="00DD60F0">
      <w:pPr>
        <w:ind w:left="852" w:hanging="852"/>
        <w:rPr>
          <w:rFonts w:cs="Arial"/>
          <w:szCs w:val="20"/>
        </w:rPr>
      </w:pPr>
      <w:r w:rsidRPr="000E5786">
        <w:rPr>
          <w:rFonts w:eastAsia="Verdana" w:cs="Arial"/>
          <w:szCs w:val="20"/>
        </w:rPr>
        <w:t>5.1</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If a Mediation Notice is served, the Parties shall attempt to resolve </w:t>
      </w:r>
      <w:proofErr w:type="spellStart"/>
      <w:r w:rsidRPr="000E5786">
        <w:rPr>
          <w:rFonts w:eastAsia="Verdana" w:cs="Arial"/>
          <w:szCs w:val="20"/>
        </w:rPr>
        <w:t>th</w:t>
      </w:r>
      <w:proofErr w:type="spellEnd"/>
      <w:r w:rsidR="00A20CD5">
        <w:rPr>
          <w:rFonts w:eastAsia="Verdana" w:cs="Arial"/>
          <w:szCs w:val="20"/>
        </w:rPr>
        <w:t>’</w:t>
      </w:r>
      <w:r w:rsidRPr="000E5786">
        <w:rPr>
          <w:rFonts w:eastAsia="Verdana" w:cs="Arial"/>
          <w:szCs w:val="20"/>
        </w:rPr>
        <w:t xml:space="preserve"> dispute in accordance with CEDR's Model Mediation Agreement which is current at the time the Mediation Notice is served (or such other version as the Parties may agree). </w:t>
      </w:r>
    </w:p>
    <w:p w14:paraId="78E634E3" w14:textId="77777777" w:rsidR="004C127E" w:rsidRPr="000E5786" w:rsidRDefault="004C127E" w:rsidP="00DD60F0">
      <w:pPr>
        <w:ind w:left="852" w:hanging="852"/>
        <w:rPr>
          <w:rFonts w:cs="Arial"/>
          <w:szCs w:val="20"/>
        </w:rPr>
      </w:pPr>
      <w:proofErr w:type="gramStart"/>
      <w:r w:rsidRPr="000E5786">
        <w:rPr>
          <w:rFonts w:eastAsia="Verdana" w:cs="Arial"/>
          <w:szCs w:val="20"/>
        </w:rPr>
        <w:t>5.2</w:t>
      </w:r>
      <w:r w:rsidRPr="000E5786">
        <w:rPr>
          <w:rFonts w:eastAsia="Arial" w:cs="Arial"/>
          <w:szCs w:val="20"/>
        </w:rPr>
        <w:t xml:space="preserve"> </w:t>
      </w:r>
      <w:r w:rsidRPr="000E5786">
        <w:rPr>
          <w:rFonts w:eastAsia="Verdana" w:cs="Arial"/>
          <w:szCs w:val="20"/>
        </w:rPr>
        <w:t xml:space="preserve"> </w:t>
      </w:r>
      <w:r w:rsidRPr="000E5786">
        <w:rPr>
          <w:rFonts w:eastAsia="Verdana" w:cs="Arial"/>
          <w:szCs w:val="20"/>
        </w:rPr>
        <w:tab/>
      </w:r>
      <w:proofErr w:type="gramEnd"/>
      <w:r w:rsidRPr="000E5786">
        <w:rPr>
          <w:rFonts w:eastAsia="Verdana" w:cs="Arial"/>
          <w:szCs w:val="20"/>
        </w:rPr>
        <w:t xml:space="preserve">If the Parties are unable to agree on the joint appointment of an independent person to mediate the Dispute within twenty (20) Working Days from (and including) the service of a Mediation Notice then either Party may apply to CEDR to nominate such a person. </w:t>
      </w:r>
    </w:p>
    <w:p w14:paraId="3287E4B2" w14:textId="77777777" w:rsidR="004C127E" w:rsidRPr="000E5786" w:rsidRDefault="004C127E" w:rsidP="00DD60F0">
      <w:pPr>
        <w:ind w:left="852" w:hanging="852"/>
        <w:rPr>
          <w:rFonts w:cs="Arial"/>
          <w:szCs w:val="20"/>
        </w:rPr>
      </w:pPr>
      <w:r w:rsidRPr="000E5786">
        <w:rPr>
          <w:rFonts w:eastAsia="Verdana" w:cs="Arial"/>
          <w:szCs w:val="20"/>
        </w:rPr>
        <w:t>5.3</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If the Parties are unable to reach a settlement in the negotiations at the mediation, and only if both Parties so request and the Mediator agrees, the Mediator shall produce for the Parties a non-binding recommendation on terms of settlement.  This shall not attempt to anticipate what a court might order but shall set out what the Mediator suggests are appropriate settlement terms in </w:t>
      </w:r>
      <w:proofErr w:type="gramStart"/>
      <w:r w:rsidRPr="000E5786">
        <w:rPr>
          <w:rFonts w:eastAsia="Verdana" w:cs="Arial"/>
          <w:szCs w:val="20"/>
        </w:rPr>
        <w:t>all of</w:t>
      </w:r>
      <w:proofErr w:type="gramEnd"/>
      <w:r w:rsidRPr="000E5786">
        <w:rPr>
          <w:rFonts w:eastAsia="Verdana" w:cs="Arial"/>
          <w:szCs w:val="20"/>
        </w:rPr>
        <w:t xml:space="preserve"> the circumstances. </w:t>
      </w:r>
    </w:p>
    <w:p w14:paraId="225D60CD" w14:textId="3543BE69" w:rsidR="004C127E" w:rsidRPr="000E5786" w:rsidRDefault="004C127E" w:rsidP="00DD60F0">
      <w:pPr>
        <w:ind w:left="852" w:hanging="852"/>
        <w:rPr>
          <w:rFonts w:eastAsia="Verdana" w:cs="Arial"/>
          <w:szCs w:val="20"/>
        </w:rPr>
      </w:pPr>
      <w:r w:rsidRPr="000E5786">
        <w:rPr>
          <w:rFonts w:eastAsia="Verdana" w:cs="Arial"/>
          <w:szCs w:val="20"/>
        </w:rPr>
        <w:lastRenderedPageBreak/>
        <w:t>5.4</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Any settlement reached in the mediation shall not be legally binding until it has been reduced to writing and signed by, or on behalf of, the Parties (in accordance with the Change Control Procedure where appropriate). The Mediator shall assist the Parties in recording the outcome of the mediation. </w:t>
      </w:r>
    </w:p>
    <w:p w14:paraId="02EC855C" w14:textId="77777777" w:rsidR="00321E69" w:rsidRPr="000E5786" w:rsidRDefault="00321E69" w:rsidP="00DD60F0">
      <w:pPr>
        <w:ind w:left="852" w:hanging="852"/>
        <w:rPr>
          <w:rFonts w:cs="Arial"/>
          <w:szCs w:val="20"/>
        </w:rPr>
      </w:pPr>
    </w:p>
    <w:p w14:paraId="73574DAB" w14:textId="77777777" w:rsidR="004C127E" w:rsidRPr="000E5786" w:rsidRDefault="004C127E" w:rsidP="00DD60F0">
      <w:pPr>
        <w:pStyle w:val="Heading4"/>
        <w:numPr>
          <w:ilvl w:val="0"/>
          <w:numId w:val="0"/>
        </w:numPr>
        <w:tabs>
          <w:tab w:val="center" w:pos="2145"/>
        </w:tabs>
        <w:spacing w:after="120"/>
        <w:rPr>
          <w:rFonts w:cs="Arial"/>
          <w:b/>
          <w:bCs w:val="0"/>
          <w:szCs w:val="20"/>
        </w:rPr>
      </w:pPr>
      <w:r w:rsidRPr="000E5786">
        <w:rPr>
          <w:rFonts w:cs="Arial"/>
          <w:b/>
          <w:bCs w:val="0"/>
          <w:szCs w:val="20"/>
        </w:rPr>
        <w:t>6.</w:t>
      </w:r>
      <w:r w:rsidRPr="000E5786">
        <w:rPr>
          <w:rFonts w:eastAsia="Arial" w:cs="Arial"/>
          <w:b/>
          <w:bCs w:val="0"/>
          <w:szCs w:val="20"/>
        </w:rPr>
        <w:t xml:space="preserve"> </w:t>
      </w:r>
      <w:r w:rsidRPr="000E5786">
        <w:rPr>
          <w:rFonts w:eastAsia="Arial" w:cs="Arial"/>
          <w:b/>
          <w:bCs w:val="0"/>
          <w:szCs w:val="20"/>
        </w:rPr>
        <w:tab/>
      </w:r>
      <w:r w:rsidRPr="000E5786">
        <w:rPr>
          <w:rFonts w:cs="Arial"/>
          <w:b/>
          <w:bCs w:val="0"/>
          <w:szCs w:val="20"/>
        </w:rPr>
        <w:t xml:space="preserve">EXPERT DETERMINATION </w:t>
      </w:r>
    </w:p>
    <w:p w14:paraId="774B97F9" w14:textId="5A06C99A" w:rsidR="004C127E" w:rsidRPr="000E5786" w:rsidRDefault="004C127E" w:rsidP="00DD60F0">
      <w:pPr>
        <w:ind w:left="852" w:hanging="852"/>
        <w:rPr>
          <w:rFonts w:cs="Arial"/>
          <w:szCs w:val="20"/>
        </w:rPr>
      </w:pPr>
      <w:r w:rsidRPr="000E5786">
        <w:rPr>
          <w:rFonts w:eastAsia="Verdana" w:cs="Arial"/>
          <w:szCs w:val="20"/>
        </w:rPr>
        <w:t>6.1</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If a Dispute relates to any aspect of the technology underlying the provision of the Services or otherwise relates to a matter of an IT, accounting or financing nature and the Dispute has not been resolved by commercial negotiation in accordance with </w:t>
      </w:r>
      <w:r w:rsidR="00A80BE8" w:rsidRPr="000E5786">
        <w:rPr>
          <w:rFonts w:eastAsia="Verdana" w:cs="Arial"/>
          <w:szCs w:val="20"/>
        </w:rPr>
        <w:t xml:space="preserve">Paragraph </w:t>
      </w:r>
      <w:r w:rsidRPr="000E5786">
        <w:rPr>
          <w:rFonts w:eastAsia="Verdana" w:cs="Arial"/>
          <w:szCs w:val="20"/>
        </w:rPr>
        <w:t xml:space="preserve">4 or, if applicable, mediation in accordance with </w:t>
      </w:r>
      <w:r w:rsidR="00A80BE8" w:rsidRPr="000E5786">
        <w:rPr>
          <w:rFonts w:eastAsia="Verdana" w:cs="Arial"/>
          <w:szCs w:val="20"/>
        </w:rPr>
        <w:t xml:space="preserve">Paragraph </w:t>
      </w:r>
      <w:r w:rsidRPr="000E5786">
        <w:rPr>
          <w:rFonts w:eastAsia="Verdana" w:cs="Arial"/>
          <w:szCs w:val="20"/>
        </w:rPr>
        <w:t xml:space="preserve">5, then either Party may by written notice to the other request (agreement to which request shall not be unreasonably withheld or delayed) that the Dispute be referred to an expert for determination. </w:t>
      </w:r>
    </w:p>
    <w:p w14:paraId="2A12193B" w14:textId="76EAC5FF" w:rsidR="004C127E" w:rsidRPr="000E5786" w:rsidRDefault="004C127E" w:rsidP="00DD60F0">
      <w:pPr>
        <w:ind w:left="852" w:hanging="852"/>
        <w:rPr>
          <w:rFonts w:cs="Arial"/>
          <w:szCs w:val="20"/>
        </w:rPr>
      </w:pPr>
      <w:r w:rsidRPr="000E5786">
        <w:rPr>
          <w:rFonts w:eastAsia="Verdana" w:cs="Arial"/>
          <w:szCs w:val="20"/>
        </w:rPr>
        <w:t>6.2</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The expert shall be appointed by agreement in writing between the Parties, but in the event of a failure to agree within ten (10) Working Days of the relevant request made pursuant to </w:t>
      </w:r>
      <w:r w:rsidR="00A80BE8" w:rsidRPr="000E5786">
        <w:rPr>
          <w:rFonts w:eastAsia="Verdana" w:cs="Arial"/>
          <w:szCs w:val="20"/>
        </w:rPr>
        <w:t xml:space="preserve">Paragraph </w:t>
      </w:r>
      <w:r w:rsidRPr="000E5786">
        <w:rPr>
          <w:rFonts w:eastAsia="Verdana" w:cs="Arial"/>
          <w:szCs w:val="20"/>
        </w:rPr>
        <w:t xml:space="preserve">6.1, or if the person appointed is unable or unwilling to act, the expert shall be appointed: </w:t>
      </w:r>
    </w:p>
    <w:p w14:paraId="135EA3F5" w14:textId="77777777"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6.2.1 </w:t>
      </w:r>
      <w:r w:rsidRPr="000E5786">
        <w:rPr>
          <w:rFonts w:eastAsia="Verdana" w:cs="Arial"/>
          <w:szCs w:val="20"/>
        </w:rPr>
        <w:tab/>
        <w:t>if the Dispute relates to any aspect of the technology underlying the provision of the Services or a matter of an IT technical nature, on the instructions of the President of the British Computer Society (or any other association that has replaced the British Computer Society</w:t>
      </w:r>
      <w:proofErr w:type="gramStart"/>
      <w:r w:rsidRPr="000E5786">
        <w:rPr>
          <w:rFonts w:eastAsia="Verdana" w:cs="Arial"/>
          <w:szCs w:val="20"/>
        </w:rPr>
        <w:t>);</w:t>
      </w:r>
      <w:proofErr w:type="gramEnd"/>
      <w:r w:rsidRPr="000E5786">
        <w:rPr>
          <w:rFonts w:eastAsia="Verdana" w:cs="Arial"/>
          <w:szCs w:val="20"/>
        </w:rPr>
        <w:t xml:space="preserve"> </w:t>
      </w:r>
    </w:p>
    <w:p w14:paraId="30C4B856" w14:textId="77777777"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6.2.2 </w:t>
      </w:r>
      <w:r w:rsidRPr="000E5786">
        <w:rPr>
          <w:rFonts w:eastAsia="Verdana" w:cs="Arial"/>
          <w:szCs w:val="20"/>
        </w:rPr>
        <w:tab/>
        <w:t xml:space="preserve">if the Dispute relates to a matter of a financial technical nature, on the instructions of the President of the Institute of Chartered Accountants of England and Wales; or </w:t>
      </w:r>
    </w:p>
    <w:p w14:paraId="05E075EA" w14:textId="2133C109"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6.2.3 </w:t>
      </w:r>
      <w:r w:rsidRPr="000E5786">
        <w:rPr>
          <w:rFonts w:eastAsia="Verdana" w:cs="Arial"/>
          <w:szCs w:val="20"/>
        </w:rPr>
        <w:tab/>
        <w:t xml:space="preserve">if the Dispute relates to a matter of a technical nature not falling within </w:t>
      </w:r>
      <w:r w:rsidR="00432F00" w:rsidRPr="000E5786">
        <w:rPr>
          <w:rFonts w:eastAsia="Verdana" w:cs="Arial"/>
          <w:szCs w:val="20"/>
        </w:rPr>
        <w:t xml:space="preserve">Paragraphs </w:t>
      </w:r>
      <w:r w:rsidRPr="000E5786">
        <w:rPr>
          <w:rFonts w:eastAsia="Verdana" w:cs="Arial"/>
          <w:szCs w:val="20"/>
        </w:rPr>
        <w:t xml:space="preserve">6.2.1 or 6.2.2, on the instructions of the president (or equivalent) of: </w:t>
      </w:r>
    </w:p>
    <w:p w14:paraId="0F184E1B" w14:textId="77777777" w:rsidR="004C127E" w:rsidRPr="000E5786" w:rsidRDefault="004C127E" w:rsidP="00DD60F0">
      <w:pPr>
        <w:ind w:left="2410" w:hanging="709"/>
        <w:rPr>
          <w:rFonts w:eastAsia="Verdana" w:cs="Arial"/>
          <w:szCs w:val="20"/>
        </w:rPr>
      </w:pPr>
      <w:r w:rsidRPr="000E5786">
        <w:rPr>
          <w:rFonts w:eastAsia="Verdana" w:cs="Arial"/>
          <w:szCs w:val="20"/>
        </w:rPr>
        <w:t xml:space="preserve">(a) </w:t>
      </w:r>
      <w:r w:rsidRPr="000E5786">
        <w:rPr>
          <w:rFonts w:eastAsia="Verdana" w:cs="Arial"/>
          <w:szCs w:val="20"/>
        </w:rPr>
        <w:tab/>
        <w:t xml:space="preserve">an appropriate body agreed between the Parties; or </w:t>
      </w:r>
    </w:p>
    <w:p w14:paraId="327908D9" w14:textId="426C220B" w:rsidR="004C127E" w:rsidRPr="000E5786" w:rsidRDefault="004C127E" w:rsidP="00DD60F0">
      <w:pPr>
        <w:ind w:left="2410" w:hanging="709"/>
        <w:rPr>
          <w:rFonts w:eastAsia="Verdana" w:cs="Arial"/>
          <w:szCs w:val="20"/>
        </w:rPr>
      </w:pPr>
      <w:r w:rsidRPr="000E5786">
        <w:rPr>
          <w:rFonts w:eastAsia="Verdana" w:cs="Arial"/>
          <w:szCs w:val="20"/>
        </w:rPr>
        <w:t xml:space="preserve">(b) </w:t>
      </w:r>
      <w:r w:rsidRPr="000E5786">
        <w:rPr>
          <w:rFonts w:eastAsia="Verdana" w:cs="Arial"/>
          <w:szCs w:val="20"/>
        </w:rPr>
        <w:tab/>
        <w:t xml:space="preserve">if the Parties do not reach agreement on the relevant body within fifteen (15) Working Days of the relevant request made pursuant to </w:t>
      </w:r>
      <w:r w:rsidR="00A80BE8" w:rsidRPr="000E5786">
        <w:rPr>
          <w:rFonts w:eastAsia="Verdana" w:cs="Arial"/>
          <w:szCs w:val="20"/>
        </w:rPr>
        <w:t xml:space="preserve">Paragraph </w:t>
      </w:r>
      <w:r w:rsidRPr="000E5786">
        <w:rPr>
          <w:rFonts w:eastAsia="Verdana" w:cs="Arial"/>
          <w:szCs w:val="20"/>
        </w:rPr>
        <w:t xml:space="preserve">6.1, such body as may be specified by the President of the Law Society on application by either Party. </w:t>
      </w:r>
    </w:p>
    <w:p w14:paraId="685538A8" w14:textId="77777777" w:rsidR="004C127E" w:rsidRPr="000E5786" w:rsidRDefault="004C127E" w:rsidP="00EB717E">
      <w:pPr>
        <w:ind w:left="852" w:hanging="852"/>
        <w:rPr>
          <w:rFonts w:cs="Arial"/>
          <w:szCs w:val="20"/>
        </w:rPr>
      </w:pPr>
      <w:r w:rsidRPr="000E5786">
        <w:rPr>
          <w:rFonts w:eastAsia="Verdana" w:cs="Arial"/>
          <w:szCs w:val="20"/>
        </w:rPr>
        <w:t>6.3</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The Expert shall act on the following basis: </w:t>
      </w:r>
    </w:p>
    <w:p w14:paraId="286B7E58" w14:textId="264BF473"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6.3.1</w:t>
      </w:r>
      <w:r w:rsidRPr="000E5786">
        <w:rPr>
          <w:rFonts w:eastAsia="Verdana" w:cs="Arial"/>
          <w:szCs w:val="20"/>
        </w:rPr>
        <w:tab/>
        <w:t>he/she shall act as an expert and not as an arbitrator and shall act fairly an</w:t>
      </w:r>
      <w:r w:rsidR="00A20CD5">
        <w:rPr>
          <w:rFonts w:eastAsia="Verdana" w:cs="Arial"/>
          <w:szCs w:val="20"/>
        </w:rPr>
        <w:t>’</w:t>
      </w:r>
      <w:r w:rsidRPr="000E5786">
        <w:rPr>
          <w:rFonts w:eastAsia="Verdana" w:cs="Arial"/>
          <w:szCs w:val="20"/>
        </w:rPr>
        <w:t xml:space="preserve"> </w:t>
      </w:r>
      <w:proofErr w:type="gramStart"/>
      <w:r w:rsidRPr="000E5786">
        <w:rPr>
          <w:rFonts w:eastAsia="Verdana" w:cs="Arial"/>
          <w:szCs w:val="20"/>
        </w:rPr>
        <w:t>impartially;</w:t>
      </w:r>
      <w:proofErr w:type="gramEnd"/>
      <w:r w:rsidRPr="000E5786">
        <w:rPr>
          <w:rFonts w:eastAsia="Verdana" w:cs="Arial"/>
          <w:szCs w:val="20"/>
        </w:rPr>
        <w:t xml:space="preserve"> </w:t>
      </w:r>
    </w:p>
    <w:p w14:paraId="3EDAAC5E" w14:textId="77777777"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6.3.2 </w:t>
      </w:r>
      <w:r w:rsidRPr="000E5786">
        <w:rPr>
          <w:rFonts w:eastAsia="Verdana" w:cs="Arial"/>
          <w:szCs w:val="20"/>
        </w:rPr>
        <w:tab/>
        <w:t xml:space="preserve">the Expert's determination shall (in the absence of a material failure to follow the agreed procedures) be final and binding on the </w:t>
      </w:r>
      <w:proofErr w:type="gramStart"/>
      <w:r w:rsidRPr="000E5786">
        <w:rPr>
          <w:rFonts w:eastAsia="Verdana" w:cs="Arial"/>
          <w:szCs w:val="20"/>
        </w:rPr>
        <w:t>Parties;</w:t>
      </w:r>
      <w:proofErr w:type="gramEnd"/>
      <w:r w:rsidRPr="000E5786">
        <w:rPr>
          <w:rFonts w:eastAsia="Verdana" w:cs="Arial"/>
          <w:szCs w:val="20"/>
        </w:rPr>
        <w:t xml:space="preserve"> </w:t>
      </w:r>
    </w:p>
    <w:p w14:paraId="6613670A" w14:textId="77777777"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6.3.3 </w:t>
      </w:r>
      <w:r w:rsidRPr="000E5786">
        <w:rPr>
          <w:rFonts w:eastAsia="Verdana" w:cs="Arial"/>
          <w:szCs w:val="20"/>
        </w:rPr>
        <w:tab/>
        <w:t xml:space="preserve">the Expert shall decide the procedure to be followed in the determination and shall be requested to make his/her determination within thirty (30) Working Days of his appointment or as soon as reasonably practicable thereafter and the Parties shall assist and provide the documentation that the Expert requires for the purpose of the </w:t>
      </w:r>
      <w:proofErr w:type="gramStart"/>
      <w:r w:rsidRPr="000E5786">
        <w:rPr>
          <w:rFonts w:eastAsia="Verdana" w:cs="Arial"/>
          <w:szCs w:val="20"/>
        </w:rPr>
        <w:t>determination;</w:t>
      </w:r>
      <w:proofErr w:type="gramEnd"/>
      <w:r w:rsidRPr="000E5786">
        <w:rPr>
          <w:rFonts w:eastAsia="Verdana" w:cs="Arial"/>
          <w:szCs w:val="20"/>
        </w:rPr>
        <w:t xml:space="preserve"> </w:t>
      </w:r>
    </w:p>
    <w:p w14:paraId="1164E31F" w14:textId="5C289BD0"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6.3.4 </w:t>
      </w:r>
      <w:r w:rsidRPr="000E5786">
        <w:rPr>
          <w:rFonts w:eastAsia="Verdana" w:cs="Arial"/>
          <w:szCs w:val="20"/>
        </w:rPr>
        <w:tab/>
        <w:t xml:space="preserve">any amount payable by one Party to </w:t>
      </w:r>
      <w:r w:rsidR="006B1280">
        <w:rPr>
          <w:rFonts w:eastAsia="Verdana" w:cs="Arial"/>
          <w:szCs w:val="20"/>
        </w:rPr>
        <w:t>a</w:t>
      </w:r>
      <w:r w:rsidRPr="000E5786">
        <w:rPr>
          <w:rFonts w:eastAsia="Verdana" w:cs="Arial"/>
          <w:szCs w:val="20"/>
        </w:rPr>
        <w:t>nother as a result of the Expert's determination shall be due and payable within twent</w:t>
      </w:r>
      <w:r w:rsidR="006B1280">
        <w:rPr>
          <w:rFonts w:eastAsia="Verdana" w:cs="Arial"/>
          <w:szCs w:val="20"/>
        </w:rPr>
        <w:t>y</w:t>
      </w:r>
      <w:r w:rsidRPr="000E5786">
        <w:rPr>
          <w:rFonts w:eastAsia="Verdana" w:cs="Arial"/>
          <w:szCs w:val="20"/>
        </w:rPr>
        <w:t xml:space="preserve"> (20) Working Days of the Expert's determination being notified to the </w:t>
      </w:r>
      <w:proofErr w:type="gramStart"/>
      <w:r w:rsidRPr="000E5786">
        <w:rPr>
          <w:rFonts w:eastAsia="Verdana" w:cs="Arial"/>
          <w:szCs w:val="20"/>
        </w:rPr>
        <w:t>Parties;</w:t>
      </w:r>
      <w:proofErr w:type="gramEnd"/>
      <w:r w:rsidRPr="000E5786">
        <w:rPr>
          <w:rFonts w:eastAsia="Verdana" w:cs="Arial"/>
          <w:szCs w:val="20"/>
        </w:rPr>
        <w:t xml:space="preserve"> </w:t>
      </w:r>
    </w:p>
    <w:p w14:paraId="6669D2BC" w14:textId="77777777"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ab/>
        <w:t xml:space="preserve">6.3.5 </w:t>
      </w:r>
      <w:r w:rsidRPr="000E5786">
        <w:rPr>
          <w:rFonts w:eastAsia="Verdana" w:cs="Arial"/>
          <w:szCs w:val="20"/>
        </w:rPr>
        <w:tab/>
        <w:t xml:space="preserve">the process shall be conducted in private and shall be confidential; and </w:t>
      </w:r>
    </w:p>
    <w:p w14:paraId="04C6522A" w14:textId="46C4CB46"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6.3.6 </w:t>
      </w:r>
      <w:r w:rsidRPr="000E5786">
        <w:rPr>
          <w:rFonts w:eastAsia="Verdana" w:cs="Arial"/>
          <w:szCs w:val="20"/>
        </w:rPr>
        <w:tab/>
        <w:t xml:space="preserve">the Expert shall determine how and by whom the costs of the determination, including his/her fees and expenses, are to be paid. </w:t>
      </w:r>
    </w:p>
    <w:p w14:paraId="06B726C2" w14:textId="77777777" w:rsidR="00321E69" w:rsidRPr="000E5786" w:rsidRDefault="00321E69" w:rsidP="00DD60F0">
      <w:pPr>
        <w:tabs>
          <w:tab w:val="left" w:pos="854"/>
          <w:tab w:val="left" w:pos="1680"/>
          <w:tab w:val="center" w:pos="2438"/>
        </w:tabs>
        <w:ind w:left="1680" w:hanging="829"/>
        <w:rPr>
          <w:rFonts w:eastAsia="Verdana" w:cs="Arial"/>
          <w:szCs w:val="20"/>
        </w:rPr>
      </w:pPr>
    </w:p>
    <w:p w14:paraId="474ABCE5" w14:textId="77777777" w:rsidR="004C127E" w:rsidRPr="000E5786" w:rsidRDefault="004C127E" w:rsidP="000C649C">
      <w:pPr>
        <w:pStyle w:val="Heading4"/>
        <w:keepNext/>
        <w:numPr>
          <w:ilvl w:val="0"/>
          <w:numId w:val="0"/>
        </w:numPr>
        <w:tabs>
          <w:tab w:val="center" w:pos="1575"/>
        </w:tabs>
        <w:spacing w:after="120"/>
        <w:rPr>
          <w:rFonts w:cs="Arial"/>
          <w:b/>
          <w:bCs w:val="0"/>
          <w:szCs w:val="20"/>
        </w:rPr>
      </w:pPr>
      <w:r w:rsidRPr="000E5786">
        <w:rPr>
          <w:rFonts w:cs="Arial"/>
          <w:b/>
          <w:bCs w:val="0"/>
          <w:szCs w:val="20"/>
        </w:rPr>
        <w:t>7.</w:t>
      </w:r>
      <w:r w:rsidRPr="000E5786">
        <w:rPr>
          <w:rFonts w:eastAsia="Arial" w:cs="Arial"/>
          <w:b/>
          <w:bCs w:val="0"/>
          <w:szCs w:val="20"/>
        </w:rPr>
        <w:t xml:space="preserve"> </w:t>
      </w:r>
      <w:r w:rsidRPr="000E5786">
        <w:rPr>
          <w:rFonts w:eastAsia="Arial" w:cs="Arial"/>
          <w:b/>
          <w:bCs w:val="0"/>
          <w:szCs w:val="20"/>
        </w:rPr>
        <w:tab/>
      </w:r>
      <w:r w:rsidRPr="000E5786">
        <w:rPr>
          <w:rFonts w:cs="Arial"/>
          <w:b/>
          <w:bCs w:val="0"/>
          <w:szCs w:val="20"/>
        </w:rPr>
        <w:t xml:space="preserve">ARBITRATION </w:t>
      </w:r>
    </w:p>
    <w:p w14:paraId="193D7A68" w14:textId="73C0A778" w:rsidR="004C127E" w:rsidRPr="000E5786" w:rsidRDefault="004C127E" w:rsidP="00DD60F0">
      <w:pPr>
        <w:ind w:left="852" w:hanging="852"/>
        <w:rPr>
          <w:rFonts w:cs="Arial"/>
          <w:szCs w:val="20"/>
        </w:rPr>
      </w:pPr>
      <w:r w:rsidRPr="000E5786">
        <w:rPr>
          <w:rFonts w:eastAsia="Verdana" w:cs="Arial"/>
          <w:szCs w:val="20"/>
        </w:rPr>
        <w:t>7.1</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Subject to compliance with its obligations under </w:t>
      </w:r>
      <w:r w:rsidR="00A80BE8" w:rsidRPr="000E5786">
        <w:rPr>
          <w:rFonts w:eastAsia="Verdana" w:cs="Arial"/>
          <w:szCs w:val="20"/>
        </w:rPr>
        <w:t xml:space="preserve">Paragraph </w:t>
      </w:r>
      <w:r w:rsidRPr="000E5786">
        <w:rPr>
          <w:rFonts w:eastAsia="Verdana" w:cs="Arial"/>
          <w:szCs w:val="20"/>
        </w:rPr>
        <w:t xml:space="preserve">4.1 and to the provisions of </w:t>
      </w:r>
      <w:r w:rsidR="00A80BE8" w:rsidRPr="000E5786">
        <w:rPr>
          <w:rFonts w:eastAsia="Verdana" w:cs="Arial"/>
          <w:szCs w:val="20"/>
        </w:rPr>
        <w:t xml:space="preserve">Paragraph </w:t>
      </w:r>
      <w:r w:rsidRPr="000E5786">
        <w:rPr>
          <w:rFonts w:eastAsia="Verdana" w:cs="Arial"/>
          <w:szCs w:val="20"/>
        </w:rPr>
        <w:t xml:space="preserve">6,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may at any time before court proceedings are commenced refer the Dispute to arbitration in accordance with the provisions of </w:t>
      </w:r>
      <w:r w:rsidR="00A80BE8" w:rsidRPr="000E5786">
        <w:rPr>
          <w:rFonts w:eastAsia="Verdana" w:cs="Arial"/>
          <w:szCs w:val="20"/>
        </w:rPr>
        <w:t xml:space="preserve">Paragraph </w:t>
      </w:r>
      <w:r w:rsidRPr="000E5786">
        <w:rPr>
          <w:rFonts w:eastAsia="Verdana" w:cs="Arial"/>
          <w:szCs w:val="20"/>
        </w:rPr>
        <w:t xml:space="preserve">7.5. </w:t>
      </w:r>
    </w:p>
    <w:p w14:paraId="668D99C2" w14:textId="443FBD3D" w:rsidR="004C127E" w:rsidRPr="000E5786" w:rsidRDefault="004C127E" w:rsidP="00DD60F0">
      <w:pPr>
        <w:ind w:left="852" w:hanging="852"/>
        <w:rPr>
          <w:rFonts w:cs="Arial"/>
          <w:szCs w:val="20"/>
        </w:rPr>
      </w:pPr>
      <w:r w:rsidRPr="000E5786">
        <w:rPr>
          <w:rFonts w:eastAsia="Verdana" w:cs="Arial"/>
          <w:szCs w:val="20"/>
        </w:rPr>
        <w:lastRenderedPageBreak/>
        <w:t>7.2</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Before the Supplier commences court proceedings or arbitration, it shall serve written notice on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of its intentions and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shall have fifteen (15) Working Days following receipt of such notice to serve a reply (a “</w:t>
      </w:r>
      <w:r w:rsidRPr="000E5786">
        <w:rPr>
          <w:rFonts w:eastAsia="Verdana" w:cs="Arial"/>
          <w:b/>
          <w:szCs w:val="20"/>
        </w:rPr>
        <w:t>Counter Notice</w:t>
      </w:r>
      <w:r w:rsidRPr="000E5786">
        <w:rPr>
          <w:rFonts w:eastAsia="Verdana" w:cs="Arial"/>
          <w:szCs w:val="20"/>
        </w:rPr>
        <w:t xml:space="preserve">”) on the Supplier requiring the Dispute to be referred to and resolved by arbitration in accordance with </w:t>
      </w:r>
      <w:r w:rsidR="00A80BE8" w:rsidRPr="000E5786">
        <w:rPr>
          <w:rFonts w:eastAsia="Verdana" w:cs="Arial"/>
          <w:szCs w:val="20"/>
        </w:rPr>
        <w:t xml:space="preserve">Paragraph </w:t>
      </w:r>
      <w:r w:rsidRPr="000E5786">
        <w:rPr>
          <w:rFonts w:eastAsia="Verdana" w:cs="Arial"/>
          <w:szCs w:val="20"/>
        </w:rPr>
        <w:t xml:space="preserve">7.5 or be subject to the exclusive jurisdiction of the courts of England and Wales.  The Supplier shall not commence any court proceedings or arbitration until the expiry of such fifteen (15) Working Day period. </w:t>
      </w:r>
    </w:p>
    <w:p w14:paraId="6150873C" w14:textId="5C4B9889" w:rsidR="004C127E" w:rsidRPr="000E5786" w:rsidRDefault="004C127E" w:rsidP="00DD60F0">
      <w:pPr>
        <w:ind w:left="851" w:hanging="851"/>
        <w:rPr>
          <w:rFonts w:cs="Arial"/>
          <w:szCs w:val="20"/>
        </w:rPr>
      </w:pPr>
      <w:r w:rsidRPr="000E5786">
        <w:rPr>
          <w:rFonts w:eastAsia="Verdana" w:cs="Arial"/>
          <w:szCs w:val="20"/>
        </w:rPr>
        <w:t>7.3</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If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serves a Counter Notice, then if the Counter Notice requires the Dispute to be: </w:t>
      </w:r>
    </w:p>
    <w:p w14:paraId="6960E7E1" w14:textId="43198280"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7.3.1 </w:t>
      </w:r>
      <w:r w:rsidRPr="000E5786">
        <w:rPr>
          <w:rFonts w:eastAsia="Verdana" w:cs="Arial"/>
          <w:szCs w:val="20"/>
        </w:rPr>
        <w:tab/>
        <w:t xml:space="preserve">referred to arbitration, the provisions of </w:t>
      </w:r>
      <w:r w:rsidR="00A80BE8" w:rsidRPr="000E5786">
        <w:rPr>
          <w:rFonts w:eastAsia="Verdana" w:cs="Arial"/>
          <w:szCs w:val="20"/>
        </w:rPr>
        <w:t xml:space="preserve">Paragraph </w:t>
      </w:r>
      <w:r w:rsidRPr="000E5786">
        <w:rPr>
          <w:rFonts w:eastAsia="Verdana" w:cs="Arial"/>
          <w:szCs w:val="20"/>
        </w:rPr>
        <w:t xml:space="preserve">7.5 shall apply; or </w:t>
      </w:r>
    </w:p>
    <w:p w14:paraId="45AC8FD5" w14:textId="77777777"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7.3.2 </w:t>
      </w:r>
      <w:r w:rsidRPr="000E5786">
        <w:rPr>
          <w:rFonts w:eastAsia="Verdana" w:cs="Arial"/>
          <w:szCs w:val="20"/>
        </w:rPr>
        <w:tab/>
        <w:t xml:space="preserve">subject to the exclusive jurisdiction of the courts of England and Wales, the Dispute shall be so referred to those courts and the Supplier shall not commence arbitration proceedings. </w:t>
      </w:r>
    </w:p>
    <w:p w14:paraId="0816CA34" w14:textId="5B27B5A1" w:rsidR="004C127E" w:rsidRPr="000E5786" w:rsidRDefault="004C127E" w:rsidP="00DD60F0">
      <w:pPr>
        <w:ind w:left="851" w:hanging="851"/>
        <w:rPr>
          <w:rFonts w:cs="Arial"/>
          <w:szCs w:val="20"/>
        </w:rPr>
      </w:pPr>
      <w:r w:rsidRPr="000E5786">
        <w:rPr>
          <w:rFonts w:eastAsia="Verdana" w:cs="Arial"/>
          <w:szCs w:val="20"/>
        </w:rPr>
        <w:t>7.4</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If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does not serve a Counter Notice within the fifteen (15) Working Day period referred to in </w:t>
      </w:r>
      <w:r w:rsidR="00A80BE8" w:rsidRPr="000E5786">
        <w:rPr>
          <w:rFonts w:eastAsia="Verdana" w:cs="Arial"/>
          <w:szCs w:val="20"/>
        </w:rPr>
        <w:t xml:space="preserve">Paragraph </w:t>
      </w:r>
      <w:r w:rsidRPr="000E5786">
        <w:rPr>
          <w:rFonts w:eastAsia="Verdana" w:cs="Arial"/>
          <w:szCs w:val="20"/>
        </w:rPr>
        <w:t xml:space="preserve">7.2, the Supplier may either commence arbitration proceedings in accordance with </w:t>
      </w:r>
      <w:r w:rsidR="00A80BE8" w:rsidRPr="000E5786">
        <w:rPr>
          <w:rFonts w:eastAsia="Verdana" w:cs="Arial"/>
          <w:szCs w:val="20"/>
        </w:rPr>
        <w:t xml:space="preserve">Paragraph </w:t>
      </w:r>
      <w:r w:rsidRPr="000E5786">
        <w:rPr>
          <w:rFonts w:eastAsia="Verdana" w:cs="Arial"/>
          <w:szCs w:val="20"/>
        </w:rPr>
        <w:t xml:space="preserve">7.5 or commence court proceedings in the Courts of England and Wales which shall (in those circumstances) have exclusive jurisdiction. </w:t>
      </w:r>
    </w:p>
    <w:p w14:paraId="6D57EEFA" w14:textId="4C3C69C6" w:rsidR="004C127E" w:rsidRPr="000E5786" w:rsidRDefault="004C127E" w:rsidP="00DD60F0">
      <w:pPr>
        <w:ind w:left="852" w:hanging="852"/>
        <w:rPr>
          <w:rFonts w:cs="Arial"/>
          <w:szCs w:val="20"/>
        </w:rPr>
      </w:pPr>
      <w:r w:rsidRPr="000E5786">
        <w:rPr>
          <w:rFonts w:eastAsia="Verdana" w:cs="Arial"/>
          <w:szCs w:val="20"/>
        </w:rPr>
        <w:t>7.5</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The Parties hereby confirm that if any arbitration proceedings are commenced pursuant to </w:t>
      </w:r>
      <w:r w:rsidR="00432F00" w:rsidRPr="000E5786">
        <w:rPr>
          <w:rFonts w:eastAsia="Verdana" w:cs="Arial"/>
          <w:szCs w:val="20"/>
        </w:rPr>
        <w:t xml:space="preserve">Paragraphs </w:t>
      </w:r>
      <w:r w:rsidRPr="000E5786">
        <w:rPr>
          <w:rFonts w:eastAsia="Verdana" w:cs="Arial"/>
          <w:szCs w:val="20"/>
        </w:rPr>
        <w:t xml:space="preserve">7.1 to 7.4: </w:t>
      </w:r>
    </w:p>
    <w:p w14:paraId="6177CE9A" w14:textId="140F0799"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7.5.1 </w:t>
      </w:r>
      <w:r w:rsidRPr="000E5786">
        <w:rPr>
          <w:rFonts w:eastAsia="Verdana" w:cs="Arial"/>
          <w:szCs w:val="20"/>
        </w:rPr>
        <w:tab/>
        <w:t>the Dispute shall be referred to and finally resolved by arbitration under the Rules of the London Court of International Arbitration (“</w:t>
      </w:r>
      <w:r w:rsidRPr="005D227B">
        <w:rPr>
          <w:rFonts w:eastAsia="Verdana" w:cs="Arial"/>
          <w:b/>
          <w:bCs/>
          <w:szCs w:val="20"/>
        </w:rPr>
        <w:t>LCIA</w:t>
      </w:r>
      <w:r w:rsidRPr="000E5786">
        <w:rPr>
          <w:rFonts w:eastAsia="Verdana" w:cs="Arial"/>
          <w:szCs w:val="20"/>
        </w:rPr>
        <w:t xml:space="preserve">”) (subject to </w:t>
      </w:r>
      <w:r w:rsidR="00432F00" w:rsidRPr="000E5786">
        <w:rPr>
          <w:rFonts w:eastAsia="Verdana" w:cs="Arial"/>
          <w:szCs w:val="20"/>
        </w:rPr>
        <w:t xml:space="preserve">Paragraphs </w:t>
      </w:r>
      <w:r w:rsidRPr="000E5786">
        <w:rPr>
          <w:rFonts w:eastAsia="Verdana" w:cs="Arial"/>
          <w:szCs w:val="20"/>
        </w:rPr>
        <w:t>7.5.5, 7.5.6 and 7.5.7</w:t>
      </w:r>
      <w:proofErr w:type="gramStart"/>
      <w:r w:rsidRPr="000E5786">
        <w:rPr>
          <w:rFonts w:eastAsia="Verdana" w:cs="Arial"/>
          <w:szCs w:val="20"/>
        </w:rPr>
        <w:t>);</w:t>
      </w:r>
      <w:proofErr w:type="gramEnd"/>
      <w:r w:rsidRPr="000E5786">
        <w:rPr>
          <w:rFonts w:eastAsia="Verdana" w:cs="Arial"/>
          <w:szCs w:val="20"/>
        </w:rPr>
        <w:t xml:space="preserve"> </w:t>
      </w:r>
    </w:p>
    <w:p w14:paraId="4C3DC56F" w14:textId="77777777"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ab/>
        <w:t xml:space="preserve">7.5.2 </w:t>
      </w:r>
      <w:r w:rsidRPr="000E5786">
        <w:rPr>
          <w:rFonts w:eastAsia="Verdana" w:cs="Arial"/>
          <w:szCs w:val="20"/>
        </w:rPr>
        <w:tab/>
        <w:t xml:space="preserve">the arbitration shall be administered by the </w:t>
      </w:r>
      <w:proofErr w:type="gramStart"/>
      <w:r w:rsidRPr="000E5786">
        <w:rPr>
          <w:rFonts w:eastAsia="Verdana" w:cs="Arial"/>
          <w:szCs w:val="20"/>
        </w:rPr>
        <w:t>LCIA;</w:t>
      </w:r>
      <w:proofErr w:type="gramEnd"/>
      <w:r w:rsidRPr="000E5786">
        <w:rPr>
          <w:rFonts w:eastAsia="Verdana" w:cs="Arial"/>
          <w:szCs w:val="20"/>
        </w:rPr>
        <w:t xml:space="preserve"> </w:t>
      </w:r>
    </w:p>
    <w:p w14:paraId="78CC04D8" w14:textId="77777777"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7.5.3 </w:t>
      </w:r>
      <w:r w:rsidRPr="000E5786">
        <w:rPr>
          <w:rFonts w:eastAsia="Verdana" w:cs="Arial"/>
          <w:szCs w:val="20"/>
        </w:rPr>
        <w:tab/>
        <w:t xml:space="preserve">the LCIA procedural rules in force at the date that the Dispute was referred to arbitration shall be applied and are deemed to be incorporated by reference into this Agreement and the decision of the arbitrator shall be binding on the Parties in the absence of any material failure to comply with such </w:t>
      </w:r>
      <w:proofErr w:type="gramStart"/>
      <w:r w:rsidRPr="000E5786">
        <w:rPr>
          <w:rFonts w:eastAsia="Verdana" w:cs="Arial"/>
          <w:szCs w:val="20"/>
        </w:rPr>
        <w:t>rules;</w:t>
      </w:r>
      <w:proofErr w:type="gramEnd"/>
      <w:r w:rsidRPr="000E5786">
        <w:rPr>
          <w:rFonts w:eastAsia="Verdana" w:cs="Arial"/>
          <w:szCs w:val="20"/>
        </w:rPr>
        <w:t xml:space="preserve"> </w:t>
      </w:r>
    </w:p>
    <w:p w14:paraId="45E2C449" w14:textId="77777777"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7.5.4 </w:t>
      </w:r>
      <w:r w:rsidRPr="000E5786">
        <w:rPr>
          <w:rFonts w:cs="Arial"/>
          <w:szCs w:val="20"/>
        </w:rPr>
        <w:tab/>
      </w:r>
      <w:r w:rsidRPr="000E5786">
        <w:rPr>
          <w:rFonts w:eastAsia="Verdana" w:cs="Arial"/>
          <w:szCs w:val="20"/>
        </w:rPr>
        <w:t xml:space="preserve">if the Parties fail to agree the appointment of three arbitrators within ten (10) Working Days from the date on which arbitration proceedings are commenced or if the persons appointed are unable or unwilling to act, the arbitrators shall be appointed by the </w:t>
      </w:r>
      <w:proofErr w:type="gramStart"/>
      <w:r w:rsidRPr="000E5786">
        <w:rPr>
          <w:rFonts w:eastAsia="Verdana" w:cs="Arial"/>
          <w:szCs w:val="20"/>
        </w:rPr>
        <w:t>LCIA;</w:t>
      </w:r>
      <w:proofErr w:type="gramEnd"/>
      <w:r w:rsidRPr="000E5786">
        <w:rPr>
          <w:rFonts w:eastAsia="Verdana" w:cs="Arial"/>
          <w:szCs w:val="20"/>
        </w:rPr>
        <w:t xml:space="preserve"> </w:t>
      </w:r>
    </w:p>
    <w:p w14:paraId="2790FB10" w14:textId="77777777"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ab/>
        <w:t xml:space="preserve">7.5.5 </w:t>
      </w:r>
      <w:r w:rsidRPr="000E5786">
        <w:rPr>
          <w:rFonts w:eastAsia="Verdana" w:cs="Arial"/>
          <w:szCs w:val="20"/>
        </w:rPr>
        <w:tab/>
      </w:r>
      <w:r w:rsidRPr="000E5786">
        <w:rPr>
          <w:rFonts w:eastAsia="Verdana" w:cs="Arial"/>
          <w:szCs w:val="20"/>
        </w:rPr>
        <w:tab/>
        <w:t xml:space="preserve">the chair of the arbitral tribunal shall be </w:t>
      </w:r>
      <w:proofErr w:type="gramStart"/>
      <w:r w:rsidRPr="000E5786">
        <w:rPr>
          <w:rFonts w:eastAsia="Verdana" w:cs="Arial"/>
          <w:szCs w:val="20"/>
        </w:rPr>
        <w:t>British;</w:t>
      </w:r>
      <w:proofErr w:type="gramEnd"/>
      <w:r w:rsidRPr="000E5786">
        <w:rPr>
          <w:rFonts w:eastAsia="Verdana" w:cs="Arial"/>
          <w:szCs w:val="20"/>
        </w:rPr>
        <w:t xml:space="preserve"> </w:t>
      </w:r>
    </w:p>
    <w:p w14:paraId="7FFC66C8" w14:textId="77777777"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7.5.6 </w:t>
      </w:r>
      <w:r w:rsidRPr="000E5786">
        <w:rPr>
          <w:rFonts w:eastAsia="Verdana" w:cs="Arial"/>
          <w:szCs w:val="20"/>
        </w:rPr>
        <w:tab/>
        <w:t xml:space="preserve">the arbitration proceedings shall take place in London and in the English language; and </w:t>
      </w:r>
    </w:p>
    <w:p w14:paraId="10FFFBEC" w14:textId="3B56A14A"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ab/>
        <w:t xml:space="preserve">7.5.7 </w:t>
      </w:r>
      <w:r w:rsidRPr="000E5786">
        <w:rPr>
          <w:rFonts w:eastAsia="Verdana" w:cs="Arial"/>
          <w:szCs w:val="20"/>
        </w:rPr>
        <w:tab/>
        <w:t xml:space="preserve">the seat of the arbitration shall be London. </w:t>
      </w:r>
    </w:p>
    <w:p w14:paraId="0576724C" w14:textId="77777777" w:rsidR="00321E69" w:rsidRPr="000E5786" w:rsidRDefault="00321E69" w:rsidP="00DD60F0">
      <w:pPr>
        <w:tabs>
          <w:tab w:val="left" w:pos="854"/>
          <w:tab w:val="left" w:pos="1680"/>
          <w:tab w:val="center" w:pos="2438"/>
        </w:tabs>
        <w:ind w:left="1680" w:hanging="829"/>
        <w:rPr>
          <w:rFonts w:eastAsia="Verdana" w:cs="Arial"/>
          <w:szCs w:val="20"/>
        </w:rPr>
      </w:pPr>
    </w:p>
    <w:p w14:paraId="47704A8D" w14:textId="77777777" w:rsidR="004C127E" w:rsidRPr="000E5786" w:rsidRDefault="004C127E" w:rsidP="00DD60F0">
      <w:pPr>
        <w:pStyle w:val="Heading4"/>
        <w:numPr>
          <w:ilvl w:val="0"/>
          <w:numId w:val="0"/>
        </w:numPr>
        <w:tabs>
          <w:tab w:val="center" w:pos="1658"/>
        </w:tabs>
        <w:spacing w:after="120"/>
        <w:rPr>
          <w:rFonts w:cs="Arial"/>
          <w:b/>
          <w:bCs w:val="0"/>
          <w:szCs w:val="20"/>
        </w:rPr>
      </w:pPr>
      <w:r w:rsidRPr="000E5786">
        <w:rPr>
          <w:rFonts w:cs="Arial"/>
          <w:b/>
          <w:bCs w:val="0"/>
          <w:szCs w:val="20"/>
        </w:rPr>
        <w:t>8.</w:t>
      </w:r>
      <w:r w:rsidRPr="000E5786">
        <w:rPr>
          <w:rFonts w:eastAsia="Arial" w:cs="Arial"/>
          <w:b/>
          <w:bCs w:val="0"/>
          <w:szCs w:val="20"/>
        </w:rPr>
        <w:t xml:space="preserve"> </w:t>
      </w:r>
      <w:r w:rsidRPr="000E5786">
        <w:rPr>
          <w:rFonts w:eastAsia="Arial" w:cs="Arial"/>
          <w:b/>
          <w:bCs w:val="0"/>
          <w:szCs w:val="20"/>
        </w:rPr>
        <w:tab/>
      </w:r>
      <w:r w:rsidRPr="000E5786">
        <w:rPr>
          <w:rFonts w:cs="Arial"/>
          <w:b/>
          <w:bCs w:val="0"/>
          <w:szCs w:val="20"/>
        </w:rPr>
        <w:t xml:space="preserve">URGENT RELIEF </w:t>
      </w:r>
    </w:p>
    <w:p w14:paraId="39E8D771" w14:textId="77777777" w:rsidR="004C127E" w:rsidRPr="000E5786" w:rsidRDefault="004C127E" w:rsidP="00DD60F0">
      <w:pPr>
        <w:ind w:left="852" w:hanging="852"/>
        <w:rPr>
          <w:rFonts w:cs="Arial"/>
          <w:szCs w:val="20"/>
        </w:rPr>
      </w:pPr>
      <w:r w:rsidRPr="000E5786">
        <w:rPr>
          <w:rFonts w:eastAsia="Verdana" w:cs="Arial"/>
          <w:szCs w:val="20"/>
        </w:rPr>
        <w:t>8.1</w:t>
      </w:r>
      <w:r w:rsidRPr="000E5786">
        <w:rPr>
          <w:rFonts w:eastAsia="Verdana" w:cs="Arial"/>
          <w:szCs w:val="20"/>
        </w:rPr>
        <w:tab/>
        <w:t xml:space="preserve">Either Party may at any time take proceedings or seek remedies before any court or tribunal of competent jurisdiction: </w:t>
      </w:r>
    </w:p>
    <w:p w14:paraId="349DEA2F" w14:textId="77777777" w:rsidR="004C127E" w:rsidRPr="000E5786" w:rsidRDefault="004C127E" w:rsidP="00DD60F0">
      <w:pPr>
        <w:ind w:left="1701" w:hanging="864"/>
        <w:rPr>
          <w:rFonts w:cs="Arial"/>
          <w:szCs w:val="20"/>
        </w:rPr>
      </w:pPr>
      <w:r w:rsidRPr="000E5786">
        <w:rPr>
          <w:rFonts w:eastAsia="Verdana" w:cs="Arial"/>
          <w:szCs w:val="20"/>
        </w:rPr>
        <w:t>8.1.1</w:t>
      </w:r>
      <w:r w:rsidRPr="000E5786">
        <w:rPr>
          <w:rFonts w:eastAsia="Verdana" w:cs="Arial"/>
          <w:szCs w:val="20"/>
        </w:rPr>
        <w:tab/>
        <w:t xml:space="preserve">for interim or interlocutory remedies in relation to this Agreement or infringement by the other Party of that Party’s Intellectual Property Rights; and/or </w:t>
      </w:r>
    </w:p>
    <w:p w14:paraId="292DE8A3" w14:textId="2C0B7BFE" w:rsidR="004C127E" w:rsidRPr="000E5786" w:rsidRDefault="004C127E" w:rsidP="00DD60F0">
      <w:pPr>
        <w:ind w:left="1701" w:hanging="864"/>
        <w:rPr>
          <w:rFonts w:eastAsia="Verdana" w:cs="Arial"/>
          <w:szCs w:val="20"/>
        </w:rPr>
      </w:pPr>
      <w:r w:rsidRPr="000E5786">
        <w:rPr>
          <w:rFonts w:eastAsia="Verdana" w:cs="Arial"/>
          <w:szCs w:val="20"/>
        </w:rPr>
        <w:t>8.1.2</w:t>
      </w:r>
      <w:r w:rsidRPr="000E5786">
        <w:rPr>
          <w:rFonts w:eastAsia="Verdana" w:cs="Arial"/>
          <w:szCs w:val="20"/>
        </w:rPr>
        <w:tab/>
        <w:t xml:space="preserve">where compliance with </w:t>
      </w:r>
      <w:r w:rsidR="00A80BE8" w:rsidRPr="000E5786">
        <w:rPr>
          <w:rFonts w:eastAsia="Verdana" w:cs="Arial"/>
          <w:szCs w:val="20"/>
        </w:rPr>
        <w:t xml:space="preserve">Paragraph </w:t>
      </w:r>
      <w:r w:rsidRPr="000E5786">
        <w:rPr>
          <w:rFonts w:eastAsia="Verdana" w:cs="Arial"/>
          <w:szCs w:val="20"/>
        </w:rPr>
        <w:t xml:space="preserve">2.1 and/or referring the Dispute to mediation may leave insufficient time for that Party to commence proceedings before the expiry of the limitation period. </w:t>
      </w:r>
    </w:p>
    <w:p w14:paraId="4FA08375" w14:textId="77777777" w:rsidR="00321E69" w:rsidRPr="000E5786" w:rsidRDefault="00321E69" w:rsidP="00DD60F0">
      <w:pPr>
        <w:ind w:left="1701" w:hanging="864"/>
        <w:rPr>
          <w:rFonts w:cs="Arial"/>
          <w:szCs w:val="20"/>
        </w:rPr>
      </w:pPr>
    </w:p>
    <w:p w14:paraId="61428DB4" w14:textId="77777777" w:rsidR="004C127E" w:rsidRPr="000E5786" w:rsidRDefault="004C127E" w:rsidP="00DD60F0">
      <w:pPr>
        <w:pStyle w:val="Heading4"/>
        <w:numPr>
          <w:ilvl w:val="0"/>
          <w:numId w:val="0"/>
        </w:numPr>
        <w:tabs>
          <w:tab w:val="center" w:pos="2100"/>
        </w:tabs>
        <w:spacing w:after="120"/>
        <w:rPr>
          <w:rFonts w:cs="Arial"/>
          <w:b/>
          <w:bCs w:val="0"/>
          <w:szCs w:val="20"/>
        </w:rPr>
      </w:pPr>
      <w:r w:rsidRPr="000E5786">
        <w:rPr>
          <w:rFonts w:cs="Arial"/>
          <w:b/>
          <w:bCs w:val="0"/>
          <w:szCs w:val="20"/>
        </w:rPr>
        <w:t>9.</w:t>
      </w:r>
      <w:r w:rsidRPr="000E5786">
        <w:rPr>
          <w:rFonts w:eastAsia="Arial" w:cs="Arial"/>
          <w:b/>
          <w:bCs w:val="0"/>
          <w:szCs w:val="20"/>
        </w:rPr>
        <w:t xml:space="preserve"> </w:t>
      </w:r>
      <w:r w:rsidRPr="000E5786">
        <w:rPr>
          <w:rFonts w:eastAsia="Arial" w:cs="Arial"/>
          <w:b/>
          <w:bCs w:val="0"/>
          <w:szCs w:val="20"/>
        </w:rPr>
        <w:tab/>
      </w:r>
      <w:r w:rsidRPr="000E5786">
        <w:rPr>
          <w:rFonts w:cs="Arial"/>
          <w:b/>
          <w:bCs w:val="0"/>
          <w:szCs w:val="20"/>
        </w:rPr>
        <w:t xml:space="preserve">MULTI-PARTY DISPUTES </w:t>
      </w:r>
    </w:p>
    <w:p w14:paraId="51432016" w14:textId="3CB7E135" w:rsidR="004C127E" w:rsidRPr="000E5786" w:rsidRDefault="004C127E" w:rsidP="00DD60F0">
      <w:pPr>
        <w:ind w:left="852" w:hanging="852"/>
        <w:rPr>
          <w:rFonts w:cs="Arial"/>
          <w:szCs w:val="20"/>
        </w:rPr>
      </w:pPr>
      <w:r w:rsidRPr="000E5786">
        <w:rPr>
          <w:rFonts w:eastAsia="Verdana" w:cs="Arial"/>
          <w:szCs w:val="20"/>
        </w:rPr>
        <w:t>9.1</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All Multi-Party Disputes shall be resolved in accordance with the procedure set out in this </w:t>
      </w:r>
      <w:r w:rsidR="00A80BE8" w:rsidRPr="000E5786">
        <w:rPr>
          <w:rFonts w:eastAsia="Verdana" w:cs="Arial"/>
          <w:szCs w:val="20"/>
        </w:rPr>
        <w:t xml:space="preserve">Paragraph </w:t>
      </w:r>
      <w:r w:rsidRPr="000E5786">
        <w:rPr>
          <w:rFonts w:eastAsia="Verdana" w:cs="Arial"/>
          <w:szCs w:val="20"/>
        </w:rPr>
        <w:t>9 (the “</w:t>
      </w:r>
      <w:r w:rsidRPr="000E5786">
        <w:rPr>
          <w:rFonts w:eastAsia="Verdana" w:cs="Arial"/>
          <w:b/>
          <w:szCs w:val="20"/>
        </w:rPr>
        <w:t>Multi-Party Dispute Resolution Procedure</w:t>
      </w:r>
      <w:r w:rsidRPr="000E5786">
        <w:rPr>
          <w:rFonts w:eastAsia="Verdana" w:cs="Arial"/>
          <w:szCs w:val="20"/>
        </w:rPr>
        <w:t xml:space="preserve">”). </w:t>
      </w:r>
    </w:p>
    <w:p w14:paraId="1732C2D6" w14:textId="4B06477B" w:rsidR="004C127E" w:rsidRPr="000E5786" w:rsidRDefault="004C127E" w:rsidP="00DD60F0">
      <w:pPr>
        <w:ind w:left="852" w:hanging="852"/>
        <w:rPr>
          <w:rFonts w:cs="Arial"/>
          <w:szCs w:val="20"/>
        </w:rPr>
      </w:pPr>
      <w:r w:rsidRPr="000E5786">
        <w:rPr>
          <w:rFonts w:eastAsia="Verdana" w:cs="Arial"/>
          <w:szCs w:val="20"/>
        </w:rPr>
        <w:t>9.2</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If at any time following the issue of a Dispute Notice,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reasonably considers that the matters giving rise to the Dispute involve one or more Related Third Parties, then </w:t>
      </w:r>
      <w:proofErr w:type="spellStart"/>
      <w:r w:rsidR="001F1C19">
        <w:rPr>
          <w:rFonts w:eastAsia="Verdana" w:cs="Arial"/>
          <w:szCs w:val="20"/>
        </w:rPr>
        <w:t>Netlink</w:t>
      </w:r>
      <w:proofErr w:type="spellEnd"/>
      <w:r w:rsidR="001F1C19">
        <w:rPr>
          <w:rFonts w:eastAsia="Verdana" w:cs="Arial"/>
          <w:szCs w:val="20"/>
        </w:rPr>
        <w:t xml:space="preserve"> </w:t>
      </w:r>
      <w:r w:rsidR="001F1C19">
        <w:rPr>
          <w:rFonts w:eastAsia="Verdana" w:cs="Arial"/>
          <w:szCs w:val="20"/>
        </w:rPr>
        <w:lastRenderedPageBreak/>
        <w:t>Star</w:t>
      </w:r>
      <w:r w:rsidRPr="000E5786">
        <w:rPr>
          <w:rFonts w:eastAsia="Verdana" w:cs="Arial"/>
          <w:szCs w:val="20"/>
        </w:rPr>
        <w:t xml:space="preserve"> shall be entitled to determine that the Dispute is a Multi-Party Dispute and to serve a notice on the Supplier which sets out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’s determination that the Dispute is a Multi-Party Dispute and specifies the Related Third Parties which are to be involved in the Multi-Party Dispute Resolution Procedure, such notice a “</w:t>
      </w:r>
      <w:r w:rsidRPr="000E5786">
        <w:rPr>
          <w:rFonts w:eastAsia="Verdana" w:cs="Arial"/>
          <w:b/>
          <w:szCs w:val="20"/>
        </w:rPr>
        <w:t>Multi-Party Procedure Initiation Notice</w:t>
      </w:r>
      <w:r w:rsidRPr="000E5786">
        <w:rPr>
          <w:rFonts w:eastAsia="Verdana" w:cs="Arial"/>
          <w:szCs w:val="20"/>
        </w:rPr>
        <w:t xml:space="preserve">”. </w:t>
      </w:r>
    </w:p>
    <w:p w14:paraId="1169533A" w14:textId="4AF11F10" w:rsidR="004C127E" w:rsidRPr="000E5786" w:rsidRDefault="004C127E" w:rsidP="00DD60F0">
      <w:pPr>
        <w:ind w:left="852" w:hanging="852"/>
        <w:rPr>
          <w:rFonts w:cs="Arial"/>
          <w:szCs w:val="20"/>
        </w:rPr>
      </w:pPr>
      <w:r w:rsidRPr="000E5786">
        <w:rPr>
          <w:rFonts w:eastAsia="Verdana" w:cs="Arial"/>
          <w:szCs w:val="20"/>
        </w:rPr>
        <w:t>9.3</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If following the issue of a Dispute Notice but before the Dispute has been referred to Expert Determination or to arbitration in accordance with </w:t>
      </w:r>
      <w:r w:rsidR="00A80BE8" w:rsidRPr="000E5786">
        <w:rPr>
          <w:rFonts w:eastAsia="Verdana" w:cs="Arial"/>
          <w:szCs w:val="20"/>
        </w:rPr>
        <w:t xml:space="preserve">Paragraph </w:t>
      </w:r>
      <w:r w:rsidRPr="000E5786">
        <w:rPr>
          <w:rFonts w:eastAsia="Verdana" w:cs="Arial"/>
          <w:szCs w:val="20"/>
        </w:rPr>
        <w:t xml:space="preserve">7, the Supplier has reasonable grounds to believe that the matters giving rise to the Dispute have been contributed to by one or more Related Third Parties, the Supplier may serve a Supplier Request on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w:t>
      </w:r>
    </w:p>
    <w:p w14:paraId="10AA967D" w14:textId="1F417970" w:rsidR="004C127E" w:rsidRPr="000E5786" w:rsidRDefault="004C127E" w:rsidP="00DD60F0">
      <w:pPr>
        <w:ind w:left="852" w:hanging="852"/>
        <w:rPr>
          <w:rFonts w:cs="Arial"/>
          <w:szCs w:val="20"/>
        </w:rPr>
      </w:pPr>
      <w:r w:rsidRPr="000E5786">
        <w:rPr>
          <w:rFonts w:eastAsia="Verdana" w:cs="Arial"/>
          <w:szCs w:val="20"/>
        </w:rPr>
        <w:t>9.4</w:t>
      </w:r>
      <w:r w:rsidRPr="000E5786">
        <w:rPr>
          <w:rFonts w:eastAsia="Arial" w:cs="Arial"/>
          <w:szCs w:val="20"/>
        </w:rPr>
        <w:t xml:space="preserve"> </w:t>
      </w:r>
      <w:r w:rsidRPr="000E5786">
        <w:rPr>
          <w:rFonts w:eastAsia="Arial" w:cs="Arial"/>
          <w:szCs w:val="20"/>
        </w:rPr>
        <w:tab/>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shall (acting reasonably) consider each Supplier Request and shall determine within five (5) Working Days whether the Dispute is: </w:t>
      </w:r>
    </w:p>
    <w:p w14:paraId="7B5BF8A5" w14:textId="2DDC8240"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9.4.1 </w:t>
      </w:r>
      <w:r w:rsidRPr="000E5786">
        <w:rPr>
          <w:rFonts w:eastAsia="Verdana" w:cs="Arial"/>
          <w:szCs w:val="20"/>
        </w:rPr>
        <w:tab/>
        <w:t xml:space="preserve">a Multi-Party Dispute, in which case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shall serve a Multi-Party Procedure Initiation Notice on the Supplier; or </w:t>
      </w:r>
    </w:p>
    <w:p w14:paraId="125EDDD6" w14:textId="7F7D8C71" w:rsidR="004C127E" w:rsidRPr="000E5786" w:rsidRDefault="004C127E" w:rsidP="00DD60F0">
      <w:pPr>
        <w:tabs>
          <w:tab w:val="left" w:pos="854"/>
          <w:tab w:val="left" w:pos="1680"/>
          <w:tab w:val="center" w:pos="2438"/>
        </w:tabs>
        <w:ind w:left="1680" w:hanging="829"/>
        <w:rPr>
          <w:rFonts w:eastAsia="Verdana" w:cs="Arial"/>
          <w:szCs w:val="20"/>
        </w:rPr>
      </w:pPr>
      <w:r w:rsidRPr="000E5786">
        <w:rPr>
          <w:rFonts w:eastAsia="Verdana" w:cs="Arial"/>
          <w:szCs w:val="20"/>
        </w:rPr>
        <w:t xml:space="preserve">9.4.2 </w:t>
      </w:r>
      <w:r w:rsidRPr="000E5786">
        <w:rPr>
          <w:rFonts w:eastAsia="Verdana" w:cs="Arial"/>
          <w:szCs w:val="20"/>
        </w:rPr>
        <w:tab/>
        <w:t xml:space="preserve">not a Multi-Party Dispute, in which case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shall serve written notice of such determination upon the Supplier and the Dispute shall be treated in accordance with </w:t>
      </w:r>
      <w:r w:rsidR="00432F00" w:rsidRPr="000E5786">
        <w:rPr>
          <w:rFonts w:eastAsia="Verdana" w:cs="Arial"/>
          <w:szCs w:val="20"/>
        </w:rPr>
        <w:t>Paragraph</w:t>
      </w:r>
      <w:r w:rsidRPr="000E5786">
        <w:rPr>
          <w:rFonts w:eastAsia="Verdana" w:cs="Arial"/>
          <w:szCs w:val="20"/>
        </w:rPr>
        <w:t xml:space="preserve">s 3 to 8. </w:t>
      </w:r>
    </w:p>
    <w:p w14:paraId="5C711303" w14:textId="0E81B7ED" w:rsidR="004C127E" w:rsidRPr="000E5786" w:rsidRDefault="004C127E" w:rsidP="00DD60F0">
      <w:pPr>
        <w:ind w:left="852" w:hanging="852"/>
        <w:rPr>
          <w:rFonts w:eastAsia="Verdana" w:cs="Arial"/>
          <w:szCs w:val="20"/>
        </w:rPr>
      </w:pPr>
      <w:r w:rsidRPr="000E5786">
        <w:rPr>
          <w:rFonts w:eastAsia="Verdana" w:cs="Arial"/>
          <w:szCs w:val="20"/>
        </w:rPr>
        <w:t xml:space="preserve">9.5 </w:t>
      </w:r>
      <w:r w:rsidRPr="000E5786">
        <w:rPr>
          <w:rFonts w:eastAsia="Verdana" w:cs="Arial"/>
          <w:szCs w:val="20"/>
        </w:rPr>
        <w:tab/>
        <w:t xml:space="preserve">If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has determined, following a Supplier Request, that a Dispute is not a Multi-Party Dispute, the Supplier may not serve another Supplier Request with reference to the same Dispute. </w:t>
      </w:r>
    </w:p>
    <w:p w14:paraId="78F343BC" w14:textId="77777777" w:rsidR="004C127E" w:rsidRPr="000E5786" w:rsidRDefault="004C127E" w:rsidP="00DD60F0">
      <w:pPr>
        <w:ind w:left="852" w:hanging="852"/>
        <w:rPr>
          <w:rFonts w:cs="Arial"/>
          <w:szCs w:val="20"/>
        </w:rPr>
      </w:pPr>
      <w:r w:rsidRPr="000E5786">
        <w:rPr>
          <w:rFonts w:eastAsia="Verdana" w:cs="Arial"/>
          <w:szCs w:val="20"/>
        </w:rPr>
        <w:t xml:space="preserve">9.6 </w:t>
      </w:r>
      <w:r w:rsidRPr="000E5786">
        <w:rPr>
          <w:rFonts w:eastAsia="Verdana" w:cs="Arial"/>
          <w:szCs w:val="20"/>
        </w:rPr>
        <w:tab/>
        <w:t>Following service of a Multi-Party Procedure Initiation Notice a Multi-Party Dispute shall be dealt with by a board (in relation to such Multi-Party Dispute, the “</w:t>
      </w:r>
      <w:r w:rsidRPr="000E5786">
        <w:rPr>
          <w:rFonts w:eastAsia="Verdana" w:cs="Arial"/>
          <w:b/>
          <w:szCs w:val="20"/>
        </w:rPr>
        <w:t>Multi-Party Dispute Resolution Board</w:t>
      </w:r>
      <w:r w:rsidRPr="000E5786">
        <w:rPr>
          <w:rFonts w:eastAsia="Verdana" w:cs="Arial"/>
          <w:szCs w:val="20"/>
        </w:rPr>
        <w:t xml:space="preserve">”) comprising representatives from the following parties to the Multi-Party Dispute, each of whom shall be of a suitable level of seniority to finalise any agreement with the other parties to settle the Multi-Party Dispute: </w:t>
      </w:r>
    </w:p>
    <w:p w14:paraId="277A87D9" w14:textId="2179AFBA" w:rsidR="004C127E" w:rsidRPr="000E5786" w:rsidRDefault="004C127E" w:rsidP="006C539C">
      <w:pPr>
        <w:tabs>
          <w:tab w:val="left" w:pos="854"/>
          <w:tab w:val="left" w:pos="1680"/>
          <w:tab w:val="center" w:pos="2459"/>
        </w:tabs>
        <w:ind w:left="1680" w:hanging="829"/>
        <w:rPr>
          <w:rFonts w:cs="Arial"/>
          <w:szCs w:val="20"/>
        </w:rPr>
      </w:pPr>
      <w:r w:rsidRPr="000E5786">
        <w:rPr>
          <w:rFonts w:cs="Arial"/>
          <w:szCs w:val="20"/>
        </w:rPr>
        <w:tab/>
      </w:r>
      <w:r w:rsidRPr="000E5786">
        <w:rPr>
          <w:rFonts w:eastAsia="Verdana" w:cs="Arial"/>
          <w:szCs w:val="20"/>
        </w:rPr>
        <w:t>9.6.1</w:t>
      </w:r>
      <w:r w:rsidRPr="000E5786">
        <w:rPr>
          <w:rFonts w:eastAsia="Verdana" w:cs="Arial"/>
          <w:szCs w:val="20"/>
        </w:rPr>
        <w:tab/>
      </w:r>
      <w:proofErr w:type="spellStart"/>
      <w:r w:rsidR="001F1C19">
        <w:rPr>
          <w:rFonts w:eastAsia="Verdana" w:cs="Arial"/>
          <w:szCs w:val="20"/>
        </w:rPr>
        <w:t>Netlink</w:t>
      </w:r>
      <w:proofErr w:type="spellEnd"/>
      <w:r w:rsidR="001F1C19">
        <w:rPr>
          <w:rFonts w:eastAsia="Verdana" w:cs="Arial"/>
          <w:szCs w:val="20"/>
        </w:rPr>
        <w:t xml:space="preserve"> </w:t>
      </w:r>
      <w:proofErr w:type="gramStart"/>
      <w:r w:rsidR="001F1C19">
        <w:rPr>
          <w:rFonts w:eastAsia="Verdana" w:cs="Arial"/>
          <w:szCs w:val="20"/>
        </w:rPr>
        <w:t>Star</w:t>
      </w:r>
      <w:r w:rsidRPr="000E5786">
        <w:rPr>
          <w:rFonts w:eastAsia="Verdana" w:cs="Arial"/>
          <w:szCs w:val="20"/>
        </w:rPr>
        <w:t>;</w:t>
      </w:r>
      <w:proofErr w:type="gramEnd"/>
      <w:r w:rsidRPr="000E5786">
        <w:rPr>
          <w:rFonts w:eastAsia="Verdana" w:cs="Arial"/>
          <w:szCs w:val="20"/>
        </w:rPr>
        <w:t xml:space="preserve"> </w:t>
      </w:r>
    </w:p>
    <w:p w14:paraId="22BA4FBF" w14:textId="77777777" w:rsidR="004C127E" w:rsidRPr="000E5786" w:rsidRDefault="004C127E" w:rsidP="006C539C">
      <w:pPr>
        <w:tabs>
          <w:tab w:val="left" w:pos="854"/>
          <w:tab w:val="left" w:pos="1680"/>
          <w:tab w:val="center" w:pos="2434"/>
        </w:tabs>
        <w:ind w:left="1680" w:hanging="829"/>
        <w:rPr>
          <w:rFonts w:cs="Arial"/>
          <w:szCs w:val="20"/>
        </w:rPr>
      </w:pPr>
      <w:r w:rsidRPr="000E5786">
        <w:rPr>
          <w:rFonts w:cs="Arial"/>
          <w:szCs w:val="20"/>
        </w:rPr>
        <w:tab/>
      </w:r>
      <w:r w:rsidRPr="000E5786">
        <w:rPr>
          <w:rFonts w:eastAsia="Verdana" w:cs="Arial"/>
          <w:szCs w:val="20"/>
        </w:rPr>
        <w:t>9.6.2</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the </w:t>
      </w:r>
      <w:proofErr w:type="gramStart"/>
      <w:r w:rsidRPr="000E5786">
        <w:rPr>
          <w:rFonts w:eastAsia="Verdana" w:cs="Arial"/>
          <w:szCs w:val="20"/>
        </w:rPr>
        <w:t>Supplier;</w:t>
      </w:r>
      <w:proofErr w:type="gramEnd"/>
      <w:r w:rsidRPr="000E5786">
        <w:rPr>
          <w:rFonts w:eastAsia="Verdana" w:cs="Arial"/>
          <w:szCs w:val="20"/>
        </w:rPr>
        <w:t xml:space="preserve"> </w:t>
      </w:r>
    </w:p>
    <w:p w14:paraId="609229E7" w14:textId="4B312639" w:rsidR="004C127E" w:rsidRPr="000E5786" w:rsidRDefault="004C127E" w:rsidP="006C539C">
      <w:pPr>
        <w:tabs>
          <w:tab w:val="left" w:pos="854"/>
          <w:tab w:val="left" w:pos="1680"/>
          <w:tab w:val="center" w:pos="2438"/>
        </w:tabs>
        <w:ind w:left="1680" w:hanging="829"/>
        <w:rPr>
          <w:rFonts w:cs="Arial"/>
          <w:szCs w:val="20"/>
        </w:rPr>
      </w:pPr>
      <w:r w:rsidRPr="000E5786">
        <w:rPr>
          <w:rFonts w:cs="Arial"/>
          <w:szCs w:val="20"/>
        </w:rPr>
        <w:tab/>
      </w:r>
      <w:r w:rsidRPr="000E5786">
        <w:rPr>
          <w:rFonts w:eastAsia="Verdana" w:cs="Arial"/>
          <w:szCs w:val="20"/>
        </w:rPr>
        <w:t>9.6.3</w:t>
      </w:r>
      <w:r w:rsidR="008A520E" w:rsidRPr="000E5786">
        <w:rPr>
          <w:rFonts w:eastAsia="Arial" w:cs="Arial"/>
          <w:szCs w:val="20"/>
        </w:rPr>
        <w:tab/>
      </w:r>
      <w:r w:rsidRPr="000E5786">
        <w:rPr>
          <w:rFonts w:eastAsia="Verdana" w:cs="Arial"/>
          <w:szCs w:val="20"/>
        </w:rPr>
        <w:t xml:space="preserve">each Related Third Party involved in the Multi-Party Dispute; and </w:t>
      </w:r>
    </w:p>
    <w:p w14:paraId="625E62C0" w14:textId="545747FD" w:rsidR="004C127E" w:rsidRPr="000E5786" w:rsidRDefault="004C127E" w:rsidP="006C539C">
      <w:pPr>
        <w:tabs>
          <w:tab w:val="left" w:pos="854"/>
          <w:tab w:val="left" w:pos="1680"/>
          <w:tab w:val="center" w:pos="2438"/>
        </w:tabs>
        <w:ind w:left="1680" w:hanging="829"/>
        <w:rPr>
          <w:rFonts w:cs="Arial"/>
          <w:szCs w:val="20"/>
        </w:rPr>
      </w:pPr>
      <w:r w:rsidRPr="000E5786">
        <w:rPr>
          <w:rFonts w:eastAsia="Verdana" w:cs="Arial"/>
          <w:szCs w:val="20"/>
        </w:rPr>
        <w:t>9.6.4</w:t>
      </w:r>
      <w:r w:rsidRPr="000E5786">
        <w:rPr>
          <w:rFonts w:eastAsia="Arial" w:cs="Arial"/>
          <w:szCs w:val="20"/>
        </w:rPr>
        <w:tab/>
      </w:r>
      <w:r w:rsidRPr="000E5786">
        <w:rPr>
          <w:rFonts w:eastAsia="Verdana" w:cs="Arial"/>
          <w:szCs w:val="20"/>
        </w:rPr>
        <w:t xml:space="preserve">any other representatives of any of the Parties and/or any Related Third Parties whom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considers necessary, (together “</w:t>
      </w:r>
      <w:r w:rsidRPr="000E5786">
        <w:rPr>
          <w:rFonts w:eastAsia="Verdana" w:cs="Arial"/>
          <w:b/>
          <w:szCs w:val="20"/>
        </w:rPr>
        <w:t>Multi-Party Dispute Representatives</w:t>
      </w:r>
      <w:r w:rsidRPr="000E5786">
        <w:rPr>
          <w:rFonts w:eastAsia="Verdana" w:cs="Arial"/>
          <w:szCs w:val="20"/>
        </w:rPr>
        <w:t xml:space="preserve">”). </w:t>
      </w:r>
    </w:p>
    <w:p w14:paraId="59FF45CD" w14:textId="77777777" w:rsidR="004C127E" w:rsidRPr="000E5786" w:rsidRDefault="004C127E" w:rsidP="00DD60F0">
      <w:pPr>
        <w:ind w:left="852" w:hanging="852"/>
        <w:rPr>
          <w:rFonts w:cs="Arial"/>
          <w:szCs w:val="20"/>
        </w:rPr>
      </w:pPr>
      <w:r w:rsidRPr="000E5786">
        <w:rPr>
          <w:rFonts w:eastAsia="Verdana" w:cs="Arial"/>
          <w:szCs w:val="20"/>
        </w:rPr>
        <w:t>9.7</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The Parties agree that the Multi-Party Dispute Resolution Board shall seek to resolve the relevant Multi-Party Dispute in accordance with the following principles and procedures: </w:t>
      </w:r>
    </w:p>
    <w:p w14:paraId="3125B273" w14:textId="77777777" w:rsidR="004C127E" w:rsidRPr="000E5786" w:rsidRDefault="004C127E" w:rsidP="00DD60F0">
      <w:pPr>
        <w:ind w:left="1828" w:hanging="991"/>
        <w:rPr>
          <w:rFonts w:cs="Arial"/>
          <w:szCs w:val="20"/>
        </w:rPr>
      </w:pPr>
      <w:r w:rsidRPr="000E5786">
        <w:rPr>
          <w:rFonts w:eastAsia="Verdana" w:cs="Arial"/>
          <w:szCs w:val="20"/>
        </w:rPr>
        <w:t>9.7.1</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the Parties shall procure that their Multi-Party Dispute Representatives attend, and shall use their best endeavours to procure that the Multi-Party Dispute Representatives of each Related </w:t>
      </w:r>
      <w:proofErr w:type="gramStart"/>
      <w:r w:rsidRPr="000E5786">
        <w:rPr>
          <w:rFonts w:eastAsia="Verdana" w:cs="Arial"/>
          <w:szCs w:val="20"/>
        </w:rPr>
        <w:t>Third Party</w:t>
      </w:r>
      <w:proofErr w:type="gramEnd"/>
      <w:r w:rsidRPr="000E5786">
        <w:rPr>
          <w:rFonts w:eastAsia="Verdana" w:cs="Arial"/>
          <w:szCs w:val="20"/>
        </w:rPr>
        <w:t xml:space="preserve"> attend, all meetings of the Multi-</w:t>
      </w:r>
    </w:p>
    <w:p w14:paraId="0E3BAB9D" w14:textId="77777777" w:rsidR="004C127E" w:rsidRPr="000E5786" w:rsidRDefault="004C127E" w:rsidP="00DD60F0">
      <w:pPr>
        <w:ind w:left="1853" w:hanging="10"/>
        <w:rPr>
          <w:rFonts w:cs="Arial"/>
          <w:szCs w:val="20"/>
        </w:rPr>
      </w:pPr>
      <w:r w:rsidRPr="000E5786">
        <w:rPr>
          <w:rFonts w:eastAsia="Verdana" w:cs="Arial"/>
          <w:szCs w:val="20"/>
        </w:rPr>
        <w:t xml:space="preserve">Party Dispute Resolution Board in respect of the Multi-Party </w:t>
      </w:r>
      <w:proofErr w:type="gramStart"/>
      <w:r w:rsidRPr="000E5786">
        <w:rPr>
          <w:rFonts w:eastAsia="Verdana" w:cs="Arial"/>
          <w:szCs w:val="20"/>
        </w:rPr>
        <w:t>Dispute;</w:t>
      </w:r>
      <w:proofErr w:type="gramEnd"/>
      <w:r w:rsidRPr="000E5786">
        <w:rPr>
          <w:rFonts w:eastAsia="Verdana" w:cs="Arial"/>
          <w:szCs w:val="20"/>
        </w:rPr>
        <w:t xml:space="preserve"> </w:t>
      </w:r>
    </w:p>
    <w:p w14:paraId="2233649A" w14:textId="33719173" w:rsidR="004C127E" w:rsidRPr="000E5786" w:rsidRDefault="004C127E" w:rsidP="00DD60F0">
      <w:pPr>
        <w:ind w:left="1828" w:hanging="991"/>
        <w:rPr>
          <w:rFonts w:cs="Arial"/>
          <w:szCs w:val="20"/>
        </w:rPr>
      </w:pPr>
      <w:r w:rsidRPr="000E5786">
        <w:rPr>
          <w:rFonts w:eastAsia="Verdana" w:cs="Arial"/>
          <w:szCs w:val="20"/>
        </w:rPr>
        <w:t>9.7.2</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the Multi-Party Dispute Resolution Board shall first meet within ten (10) Working Days of service of the relevant Multi-Party Procedure Initiation Notice at such time and place as the Parties may agree or, if the Parties do not reach agreement on the time and place within five (5) Working Days of service of the relevant Multi-Party Procedure Initiation Notice, at the time and place specified by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provided such place is at a neutral location within England and that the meeting is to take place between 9.00am and 5.00pm on a Working Day; and </w:t>
      </w:r>
    </w:p>
    <w:p w14:paraId="28A73520" w14:textId="77777777" w:rsidR="004C127E" w:rsidRPr="000E5786" w:rsidRDefault="004C127E" w:rsidP="00DD60F0">
      <w:pPr>
        <w:ind w:left="1828" w:hanging="991"/>
        <w:rPr>
          <w:rFonts w:cs="Arial"/>
          <w:szCs w:val="20"/>
        </w:rPr>
      </w:pPr>
      <w:r w:rsidRPr="000E5786">
        <w:rPr>
          <w:rFonts w:eastAsia="Verdana" w:cs="Arial"/>
          <w:szCs w:val="20"/>
        </w:rPr>
        <w:t>9.7.3</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in seeking to resolve or settle any Multi-Party Dispute, the members of the Multi-Party Dispute Resolution Board shall have regard to the principle that a Multi-Party Dispute should be determined based on the contractual rights and obligations between the Parties and the Related Third Parties and that any apportionment of costs should reflect the separate components of the Multi-Party Dispute. </w:t>
      </w:r>
    </w:p>
    <w:p w14:paraId="31ADC38C" w14:textId="77777777" w:rsidR="004C127E" w:rsidRPr="000E5786" w:rsidRDefault="004C127E" w:rsidP="00DD60F0">
      <w:pPr>
        <w:ind w:left="852" w:hanging="852"/>
        <w:rPr>
          <w:rFonts w:cs="Arial"/>
          <w:szCs w:val="20"/>
        </w:rPr>
      </w:pPr>
      <w:r w:rsidRPr="000E5786">
        <w:rPr>
          <w:rFonts w:eastAsia="Verdana" w:cs="Arial"/>
          <w:szCs w:val="20"/>
        </w:rPr>
        <w:t>9.8</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If a Multi-Party Dispute is not resolved between the Parties and all Related Third Parties within </w:t>
      </w:r>
      <w:proofErr w:type="gramStart"/>
      <w:r w:rsidRPr="000E5786">
        <w:rPr>
          <w:rFonts w:eastAsia="Verdana" w:cs="Arial"/>
          <w:szCs w:val="20"/>
        </w:rPr>
        <w:t>twenty five</w:t>
      </w:r>
      <w:proofErr w:type="gramEnd"/>
      <w:r w:rsidRPr="000E5786">
        <w:rPr>
          <w:rFonts w:eastAsia="Verdana" w:cs="Arial"/>
          <w:szCs w:val="20"/>
        </w:rPr>
        <w:t xml:space="preserve"> (25) Working Days of the issue of the Multi-Party Procedure Initiation Notice (or such longer period as the Parties may agree in writing), then: </w:t>
      </w:r>
    </w:p>
    <w:p w14:paraId="7233B12A" w14:textId="09992859" w:rsidR="004C127E" w:rsidRPr="000E5786" w:rsidRDefault="004C127E" w:rsidP="00DD60F0">
      <w:pPr>
        <w:ind w:left="1828" w:hanging="991"/>
        <w:rPr>
          <w:rFonts w:cs="Arial"/>
          <w:szCs w:val="20"/>
        </w:rPr>
      </w:pPr>
      <w:r w:rsidRPr="000E5786">
        <w:rPr>
          <w:rFonts w:eastAsia="Verdana" w:cs="Arial"/>
          <w:szCs w:val="20"/>
        </w:rPr>
        <w:t>9.8.1</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either Party may serve a Mediation Notice in respect of the Multi-Party Dispute in which case </w:t>
      </w:r>
      <w:r w:rsidR="00A80BE8" w:rsidRPr="000E5786">
        <w:rPr>
          <w:rFonts w:eastAsia="Verdana" w:cs="Arial"/>
          <w:szCs w:val="20"/>
        </w:rPr>
        <w:t xml:space="preserve">Paragraph </w:t>
      </w:r>
      <w:r w:rsidRPr="000E5786">
        <w:rPr>
          <w:rFonts w:eastAsia="Verdana" w:cs="Arial"/>
          <w:szCs w:val="20"/>
        </w:rPr>
        <w:t xml:space="preserve">5 shall </w:t>
      </w:r>
      <w:proofErr w:type="gramStart"/>
      <w:r w:rsidRPr="000E5786">
        <w:rPr>
          <w:rFonts w:eastAsia="Verdana" w:cs="Arial"/>
          <w:szCs w:val="20"/>
        </w:rPr>
        <w:t>apply;</w:t>
      </w:r>
      <w:proofErr w:type="gramEnd"/>
      <w:r w:rsidRPr="000E5786">
        <w:rPr>
          <w:rFonts w:eastAsia="Verdana" w:cs="Arial"/>
          <w:szCs w:val="20"/>
        </w:rPr>
        <w:t xml:space="preserve"> </w:t>
      </w:r>
    </w:p>
    <w:p w14:paraId="44209A42" w14:textId="4640B28B" w:rsidR="004C127E" w:rsidRPr="000E5786" w:rsidRDefault="004C127E" w:rsidP="00DD60F0">
      <w:pPr>
        <w:ind w:left="1828" w:hanging="991"/>
        <w:rPr>
          <w:rFonts w:cs="Arial"/>
          <w:szCs w:val="20"/>
        </w:rPr>
      </w:pPr>
      <w:r w:rsidRPr="000E5786">
        <w:rPr>
          <w:rFonts w:eastAsia="Verdana" w:cs="Arial"/>
          <w:szCs w:val="20"/>
        </w:rPr>
        <w:lastRenderedPageBreak/>
        <w:t>9.8.2</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either Party may request that the Multi-Party Dispute is referred to an expert in which case </w:t>
      </w:r>
      <w:r w:rsidR="00A80BE8" w:rsidRPr="000E5786">
        <w:rPr>
          <w:rFonts w:eastAsia="Verdana" w:cs="Arial"/>
          <w:szCs w:val="20"/>
        </w:rPr>
        <w:t xml:space="preserve">Paragraph </w:t>
      </w:r>
      <w:r w:rsidRPr="000E5786">
        <w:rPr>
          <w:rFonts w:eastAsia="Verdana" w:cs="Arial"/>
          <w:szCs w:val="20"/>
        </w:rPr>
        <w:t xml:space="preserve">6 shall apply; and/or </w:t>
      </w:r>
    </w:p>
    <w:p w14:paraId="31CAB583" w14:textId="58929313" w:rsidR="004C127E" w:rsidRPr="000E5786" w:rsidRDefault="004C127E" w:rsidP="006C539C">
      <w:pPr>
        <w:tabs>
          <w:tab w:val="left" w:pos="854"/>
          <w:tab w:val="left" w:pos="1680"/>
          <w:tab w:val="center" w:pos="2438"/>
        </w:tabs>
        <w:ind w:left="1680" w:hanging="829"/>
        <w:rPr>
          <w:rFonts w:cs="Arial"/>
          <w:szCs w:val="20"/>
        </w:rPr>
      </w:pPr>
      <w:r w:rsidRPr="000E5786">
        <w:rPr>
          <w:rFonts w:cs="Arial"/>
          <w:szCs w:val="20"/>
        </w:rPr>
        <w:tab/>
      </w:r>
      <w:r w:rsidRPr="000E5786">
        <w:rPr>
          <w:rFonts w:eastAsia="Verdana" w:cs="Arial"/>
          <w:szCs w:val="20"/>
        </w:rPr>
        <w:t>9.8.3</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subject to </w:t>
      </w:r>
      <w:r w:rsidR="00A80BE8" w:rsidRPr="000E5786">
        <w:rPr>
          <w:rFonts w:eastAsia="Verdana" w:cs="Arial"/>
          <w:szCs w:val="20"/>
        </w:rPr>
        <w:t xml:space="preserve">Paragraph </w:t>
      </w:r>
      <w:r w:rsidRPr="000E5786">
        <w:rPr>
          <w:rFonts w:eastAsia="Verdana" w:cs="Arial"/>
          <w:szCs w:val="20"/>
        </w:rPr>
        <w:t xml:space="preserve">9.9, </w:t>
      </w:r>
      <w:r w:rsidR="00A80BE8" w:rsidRPr="000E5786">
        <w:rPr>
          <w:rFonts w:eastAsia="Verdana" w:cs="Arial"/>
          <w:szCs w:val="20"/>
        </w:rPr>
        <w:t xml:space="preserve">Paragraph </w:t>
      </w:r>
      <w:r w:rsidRPr="000E5786">
        <w:rPr>
          <w:rFonts w:eastAsia="Verdana" w:cs="Arial"/>
          <w:szCs w:val="20"/>
        </w:rPr>
        <w:t xml:space="preserve">7 shall apply to the Multi-Party Dispute, </w:t>
      </w:r>
    </w:p>
    <w:p w14:paraId="48A22CC5" w14:textId="77777777" w:rsidR="004C127E" w:rsidRPr="000E5786" w:rsidRDefault="004C127E" w:rsidP="00DD60F0">
      <w:pPr>
        <w:ind w:left="847" w:hanging="10"/>
        <w:rPr>
          <w:rFonts w:cs="Arial"/>
          <w:szCs w:val="20"/>
        </w:rPr>
      </w:pPr>
      <w:r w:rsidRPr="000E5786">
        <w:rPr>
          <w:rFonts w:eastAsia="Verdana" w:cs="Arial"/>
          <w:szCs w:val="20"/>
        </w:rPr>
        <w:t>and in each case references to the “</w:t>
      </w:r>
      <w:r w:rsidRPr="000E5786">
        <w:rPr>
          <w:rFonts w:eastAsia="Verdana" w:cs="Arial"/>
          <w:b/>
          <w:szCs w:val="20"/>
        </w:rPr>
        <w:t>Supplier</w:t>
      </w:r>
      <w:r w:rsidRPr="000E5786">
        <w:rPr>
          <w:rFonts w:eastAsia="Verdana" w:cs="Arial"/>
          <w:szCs w:val="20"/>
        </w:rPr>
        <w:t>” or the “</w:t>
      </w:r>
      <w:r w:rsidRPr="000E5786">
        <w:rPr>
          <w:rFonts w:eastAsia="Verdana" w:cs="Arial"/>
          <w:b/>
          <w:szCs w:val="20"/>
        </w:rPr>
        <w:t>Parties</w:t>
      </w:r>
      <w:r w:rsidRPr="000E5786">
        <w:rPr>
          <w:rFonts w:eastAsia="Verdana" w:cs="Arial"/>
          <w:szCs w:val="20"/>
        </w:rPr>
        <w:t xml:space="preserve">” in such provisions shall include a reference to all Related Third Parties. </w:t>
      </w:r>
    </w:p>
    <w:p w14:paraId="109C54AA" w14:textId="538845B0" w:rsidR="004C127E" w:rsidRPr="000E5786" w:rsidRDefault="004C127E" w:rsidP="00DD60F0">
      <w:pPr>
        <w:ind w:left="852" w:hanging="852"/>
        <w:rPr>
          <w:rFonts w:cs="Arial"/>
          <w:szCs w:val="20"/>
        </w:rPr>
      </w:pPr>
      <w:r w:rsidRPr="000E5786">
        <w:rPr>
          <w:rFonts w:eastAsia="Verdana" w:cs="Arial"/>
          <w:szCs w:val="20"/>
        </w:rPr>
        <w:t>9.9</w:t>
      </w:r>
      <w:r w:rsidRPr="000E5786">
        <w:rPr>
          <w:rFonts w:eastAsia="Arial" w:cs="Arial"/>
          <w:szCs w:val="20"/>
        </w:rPr>
        <w:t xml:space="preserve"> </w:t>
      </w:r>
      <w:r w:rsidRPr="000E5786">
        <w:rPr>
          <w:rFonts w:eastAsia="Arial" w:cs="Arial"/>
          <w:szCs w:val="20"/>
        </w:rPr>
        <w:tab/>
      </w:r>
      <w:r w:rsidRPr="000E5786">
        <w:rPr>
          <w:rFonts w:eastAsia="Verdana" w:cs="Arial"/>
          <w:szCs w:val="20"/>
        </w:rPr>
        <w:t xml:space="preserve">If a Multi-Party Dispute is referred to arbitration in accordance with </w:t>
      </w:r>
      <w:r w:rsidR="00A80BE8" w:rsidRPr="000E5786">
        <w:rPr>
          <w:rFonts w:eastAsia="Verdana" w:cs="Arial"/>
          <w:szCs w:val="20"/>
        </w:rPr>
        <w:t xml:space="preserve">Paragraph </w:t>
      </w:r>
      <w:r w:rsidRPr="000E5786">
        <w:rPr>
          <w:rFonts w:eastAsia="Verdana" w:cs="Arial"/>
          <w:szCs w:val="20"/>
        </w:rPr>
        <w:t xml:space="preserve">7 or a Dispute becomes a Multi-Party Dispute </w:t>
      </w:r>
      <w:proofErr w:type="gramStart"/>
      <w:r w:rsidRPr="000E5786">
        <w:rPr>
          <w:rFonts w:eastAsia="Verdana" w:cs="Arial"/>
          <w:szCs w:val="20"/>
        </w:rPr>
        <w:t>during the course of</w:t>
      </w:r>
      <w:proofErr w:type="gramEnd"/>
      <w:r w:rsidRPr="000E5786">
        <w:rPr>
          <w:rFonts w:eastAsia="Verdana" w:cs="Arial"/>
          <w:szCs w:val="20"/>
        </w:rPr>
        <w:t xml:space="preserve"> arbitration proceedings and either Party is unable to compel a Related Third Party to submit to such arbitration proceedings,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or the Supplier may discontinue such arbitration proceedings and instead initiate court proceedings.  The costs of any such discontinued arbitration proceedings shall be borne by the Party which is in a direct contractual relationship with the Related Third Party or, where the Related Third Party is a Sub-</w:t>
      </w:r>
      <w:r w:rsidR="00413170">
        <w:rPr>
          <w:rFonts w:eastAsia="Verdana" w:cs="Arial"/>
          <w:szCs w:val="20"/>
        </w:rPr>
        <w:t>c</w:t>
      </w:r>
      <w:r w:rsidRPr="000E5786">
        <w:rPr>
          <w:rFonts w:eastAsia="Verdana" w:cs="Arial"/>
          <w:szCs w:val="20"/>
        </w:rPr>
        <w:t xml:space="preserve">ontractor, by the Supplier. </w:t>
      </w:r>
    </w:p>
    <w:p w14:paraId="5868C217" w14:textId="79E71682" w:rsidR="00D85F7C" w:rsidRPr="000E5786" w:rsidRDefault="00D85F7C" w:rsidP="00DD60F0">
      <w:pPr>
        <w:rPr>
          <w:rFonts w:cs="Arial"/>
          <w:szCs w:val="20"/>
        </w:rPr>
      </w:pPr>
      <w:r w:rsidRPr="000E5786">
        <w:rPr>
          <w:rFonts w:cs="Arial"/>
          <w:szCs w:val="20"/>
        </w:rPr>
        <w:br w:type="page"/>
      </w:r>
    </w:p>
    <w:p w14:paraId="46144F0C" w14:textId="77777777" w:rsidR="0016730A" w:rsidRPr="005C121A" w:rsidRDefault="0016730A" w:rsidP="009402CF">
      <w:pPr>
        <w:jc w:val="center"/>
        <w:rPr>
          <w:rFonts w:cs="Arial"/>
          <w:b/>
          <w:bCs/>
          <w:szCs w:val="20"/>
        </w:rPr>
      </w:pPr>
      <w:r w:rsidRPr="005C121A">
        <w:rPr>
          <w:rFonts w:cs="Arial"/>
          <w:b/>
          <w:bCs/>
          <w:szCs w:val="20"/>
        </w:rPr>
        <w:lastRenderedPageBreak/>
        <w:t>SCHEDULE 8.4</w:t>
      </w:r>
    </w:p>
    <w:p w14:paraId="14294F89" w14:textId="77777777" w:rsidR="0016730A" w:rsidRPr="005C121A" w:rsidRDefault="0016730A" w:rsidP="009402CF">
      <w:pPr>
        <w:jc w:val="center"/>
        <w:rPr>
          <w:rFonts w:cs="Arial"/>
          <w:b/>
          <w:bCs/>
          <w:szCs w:val="20"/>
        </w:rPr>
      </w:pPr>
      <w:r w:rsidRPr="005C121A">
        <w:rPr>
          <w:rFonts w:cs="Arial"/>
          <w:b/>
          <w:bCs/>
          <w:szCs w:val="20"/>
        </w:rPr>
        <w:t xml:space="preserve">REPORTS AND RECORDS PROVISIONS </w:t>
      </w:r>
    </w:p>
    <w:p w14:paraId="0FDCFBE3" w14:textId="77777777" w:rsidR="0016730A" w:rsidRPr="0016730A" w:rsidRDefault="0016730A" w:rsidP="0016730A">
      <w:pPr>
        <w:pStyle w:val="Heading4"/>
        <w:numPr>
          <w:ilvl w:val="0"/>
          <w:numId w:val="0"/>
        </w:numPr>
        <w:spacing w:before="240" w:after="282" w:line="264" w:lineRule="auto"/>
        <w:ind w:left="851" w:hanging="851"/>
        <w:rPr>
          <w:rFonts w:cs="Arial"/>
          <w:b/>
          <w:bCs w:val="0"/>
          <w:szCs w:val="20"/>
        </w:rPr>
      </w:pPr>
      <w:r w:rsidRPr="0016730A">
        <w:rPr>
          <w:rFonts w:cs="Arial"/>
          <w:b/>
          <w:bCs w:val="0"/>
          <w:szCs w:val="20"/>
        </w:rPr>
        <w:t>1.</w:t>
      </w:r>
      <w:r w:rsidRPr="0016730A">
        <w:rPr>
          <w:rFonts w:eastAsia="Arial" w:cs="Arial"/>
          <w:b/>
          <w:bCs w:val="0"/>
          <w:szCs w:val="20"/>
        </w:rPr>
        <w:t xml:space="preserve"> </w:t>
      </w:r>
      <w:r w:rsidRPr="0016730A">
        <w:rPr>
          <w:rFonts w:eastAsia="Arial" w:cs="Arial"/>
          <w:b/>
          <w:bCs w:val="0"/>
          <w:szCs w:val="20"/>
        </w:rPr>
        <w:tab/>
      </w:r>
      <w:r w:rsidRPr="0016730A">
        <w:rPr>
          <w:rFonts w:cs="Arial"/>
          <w:b/>
          <w:bCs w:val="0"/>
          <w:szCs w:val="20"/>
        </w:rPr>
        <w:t xml:space="preserve">TRANSPARENCY REPORTS </w:t>
      </w:r>
    </w:p>
    <w:p w14:paraId="48406770" w14:textId="191B9146" w:rsidR="0016730A" w:rsidRPr="005C121A" w:rsidRDefault="0016730A" w:rsidP="00A73DED">
      <w:pPr>
        <w:spacing w:after="273" w:line="249" w:lineRule="auto"/>
        <w:ind w:left="851" w:hanging="851"/>
        <w:rPr>
          <w:rFonts w:eastAsia="Verdana" w:cs="Arial"/>
          <w:szCs w:val="20"/>
        </w:rPr>
      </w:pPr>
      <w:r w:rsidRPr="005C121A">
        <w:rPr>
          <w:rFonts w:eastAsia="Verdana" w:cs="Arial"/>
          <w:szCs w:val="20"/>
        </w:rPr>
        <w:t xml:space="preserve">1.1 </w:t>
      </w:r>
      <w:r w:rsidRPr="005C121A">
        <w:rPr>
          <w:rFonts w:eastAsia="Verdana" w:cs="Arial"/>
          <w:szCs w:val="20"/>
        </w:rPr>
        <w:tab/>
        <w:t>No</w:t>
      </w:r>
      <w:r w:rsidR="00A73DED">
        <w:rPr>
          <w:rFonts w:eastAsia="Verdana" w:cs="Arial"/>
          <w:szCs w:val="20"/>
        </w:rPr>
        <w:t xml:space="preserve">t </w:t>
      </w:r>
      <w:proofErr w:type="gramStart"/>
      <w:r w:rsidR="00A73DED">
        <w:rPr>
          <w:rFonts w:eastAsia="Verdana" w:cs="Arial"/>
          <w:szCs w:val="20"/>
        </w:rPr>
        <w:t>used</w:t>
      </w:r>
      <w:proofErr w:type="gramEnd"/>
      <w:r w:rsidRPr="005C121A">
        <w:rPr>
          <w:rFonts w:eastAsia="Verdana" w:cs="Arial"/>
          <w:szCs w:val="20"/>
        </w:rPr>
        <w:t xml:space="preserve"> </w:t>
      </w:r>
    </w:p>
    <w:p w14:paraId="7D474649" w14:textId="77777777" w:rsidR="0016730A" w:rsidRPr="0016730A" w:rsidRDefault="0016730A" w:rsidP="0016730A">
      <w:pPr>
        <w:pStyle w:val="Heading4"/>
        <w:numPr>
          <w:ilvl w:val="0"/>
          <w:numId w:val="0"/>
        </w:numPr>
        <w:spacing w:before="240" w:after="282" w:line="264" w:lineRule="auto"/>
        <w:ind w:left="851" w:hanging="851"/>
        <w:rPr>
          <w:rFonts w:cs="Arial"/>
          <w:b/>
          <w:bCs w:val="0"/>
          <w:szCs w:val="20"/>
        </w:rPr>
      </w:pPr>
      <w:r w:rsidRPr="0016730A">
        <w:rPr>
          <w:rFonts w:cs="Arial"/>
          <w:b/>
          <w:bCs w:val="0"/>
          <w:szCs w:val="20"/>
        </w:rPr>
        <w:t xml:space="preserve">2. </w:t>
      </w:r>
      <w:r w:rsidRPr="0016730A">
        <w:rPr>
          <w:rFonts w:cs="Arial"/>
          <w:b/>
          <w:bCs w:val="0"/>
          <w:szCs w:val="20"/>
        </w:rPr>
        <w:tab/>
        <w:t xml:space="preserve">OTHER REPORTS </w:t>
      </w:r>
    </w:p>
    <w:p w14:paraId="32605A4D" w14:textId="771762BB" w:rsidR="0016730A" w:rsidRPr="005C121A" w:rsidRDefault="0016730A" w:rsidP="009402CF">
      <w:pPr>
        <w:spacing w:after="273" w:line="249" w:lineRule="auto"/>
        <w:ind w:left="851" w:hanging="851"/>
        <w:rPr>
          <w:rFonts w:eastAsia="Verdana" w:cs="Arial"/>
          <w:szCs w:val="20"/>
        </w:rPr>
      </w:pPr>
      <w:r w:rsidRPr="005C121A">
        <w:rPr>
          <w:rFonts w:eastAsia="Verdana" w:cs="Arial"/>
          <w:szCs w:val="20"/>
        </w:rPr>
        <w:t>2.1</w:t>
      </w:r>
      <w:r w:rsidRPr="005C121A">
        <w:rPr>
          <w:rFonts w:eastAsia="Verdana" w:cs="Arial"/>
          <w:szCs w:val="20"/>
        </w:rPr>
        <w:tab/>
      </w:r>
      <w:proofErr w:type="spellStart"/>
      <w:r w:rsidR="001F1C19">
        <w:rPr>
          <w:rFonts w:eastAsia="Verdana" w:cs="Arial"/>
          <w:szCs w:val="20"/>
        </w:rPr>
        <w:t>Netlink</w:t>
      </w:r>
      <w:proofErr w:type="spellEnd"/>
      <w:r w:rsidR="001F1C19">
        <w:rPr>
          <w:rFonts w:eastAsia="Verdana" w:cs="Arial"/>
          <w:szCs w:val="20"/>
        </w:rPr>
        <w:t xml:space="preserve"> Star</w:t>
      </w:r>
      <w:r w:rsidRPr="005C121A">
        <w:rPr>
          <w:rFonts w:eastAsia="Verdana" w:cs="Arial"/>
          <w:szCs w:val="20"/>
        </w:rPr>
        <w:t xml:space="preserve"> may, from time to time, require the Supplier to provide to </w:t>
      </w:r>
      <w:proofErr w:type="spellStart"/>
      <w:r w:rsidR="001F1C19">
        <w:rPr>
          <w:rFonts w:eastAsia="Verdana" w:cs="Arial"/>
          <w:szCs w:val="20"/>
        </w:rPr>
        <w:t>Netlink</w:t>
      </w:r>
      <w:proofErr w:type="spellEnd"/>
      <w:r w:rsidR="001F1C19">
        <w:rPr>
          <w:rFonts w:eastAsia="Verdana" w:cs="Arial"/>
          <w:szCs w:val="20"/>
        </w:rPr>
        <w:t xml:space="preserve"> Star</w:t>
      </w:r>
      <w:r w:rsidRPr="005C121A">
        <w:rPr>
          <w:rFonts w:eastAsia="Verdana" w:cs="Arial"/>
          <w:szCs w:val="20"/>
        </w:rPr>
        <w:t xml:space="preserve"> any or </w:t>
      </w:r>
      <w:proofErr w:type="gramStart"/>
      <w:r w:rsidRPr="005C121A">
        <w:rPr>
          <w:rFonts w:eastAsia="Verdana" w:cs="Arial"/>
          <w:szCs w:val="20"/>
        </w:rPr>
        <w:t>all of</w:t>
      </w:r>
      <w:proofErr w:type="gramEnd"/>
      <w:r w:rsidRPr="005C121A">
        <w:rPr>
          <w:rFonts w:eastAsia="Verdana" w:cs="Arial"/>
          <w:szCs w:val="20"/>
        </w:rPr>
        <w:t xml:space="preserve"> the following reports: </w:t>
      </w:r>
    </w:p>
    <w:p w14:paraId="35751883" w14:textId="77777777" w:rsidR="0016730A" w:rsidRPr="005C121A" w:rsidRDefault="0016730A" w:rsidP="0016730A">
      <w:pPr>
        <w:tabs>
          <w:tab w:val="left" w:pos="854"/>
          <w:tab w:val="left" w:pos="1680"/>
          <w:tab w:val="center" w:pos="2438"/>
        </w:tabs>
        <w:spacing w:after="273" w:line="249" w:lineRule="auto"/>
        <w:ind w:left="1680" w:hanging="1680"/>
        <w:rPr>
          <w:rFonts w:eastAsia="Verdana" w:cs="Arial"/>
          <w:szCs w:val="20"/>
        </w:rPr>
      </w:pPr>
      <w:r w:rsidRPr="005C121A">
        <w:rPr>
          <w:rFonts w:eastAsia="Verdana" w:cs="Arial"/>
          <w:szCs w:val="20"/>
        </w:rPr>
        <w:tab/>
        <w:t>2.1.1</w:t>
      </w:r>
      <w:r w:rsidRPr="005C121A">
        <w:rPr>
          <w:rFonts w:eastAsia="Verdana" w:cs="Arial"/>
          <w:szCs w:val="20"/>
        </w:rPr>
        <w:tab/>
        <w:t xml:space="preserve">delay </w:t>
      </w:r>
      <w:proofErr w:type="gramStart"/>
      <w:r w:rsidRPr="005C121A">
        <w:rPr>
          <w:rFonts w:eastAsia="Verdana" w:cs="Arial"/>
          <w:szCs w:val="20"/>
        </w:rPr>
        <w:t>reports;</w:t>
      </w:r>
      <w:proofErr w:type="gramEnd"/>
      <w:r w:rsidRPr="005C121A">
        <w:rPr>
          <w:rFonts w:eastAsia="Verdana" w:cs="Arial"/>
          <w:szCs w:val="20"/>
        </w:rPr>
        <w:t xml:space="preserve"> </w:t>
      </w:r>
    </w:p>
    <w:p w14:paraId="683A1994" w14:textId="77777777" w:rsidR="0016730A" w:rsidRPr="005C121A" w:rsidRDefault="0016730A" w:rsidP="009402CF">
      <w:pPr>
        <w:tabs>
          <w:tab w:val="left" w:pos="854"/>
          <w:tab w:val="left" w:pos="1680"/>
          <w:tab w:val="center" w:pos="2438"/>
        </w:tabs>
        <w:spacing w:after="273" w:line="249" w:lineRule="auto"/>
        <w:ind w:left="1680" w:hanging="1680"/>
        <w:rPr>
          <w:rFonts w:eastAsia="Verdana" w:cs="Arial"/>
          <w:szCs w:val="20"/>
        </w:rPr>
      </w:pPr>
      <w:r w:rsidRPr="005C121A">
        <w:rPr>
          <w:rFonts w:eastAsia="Verdana" w:cs="Arial"/>
          <w:szCs w:val="20"/>
        </w:rPr>
        <w:tab/>
        <w:t xml:space="preserve">2.1.2 </w:t>
      </w:r>
      <w:r w:rsidRPr="005C121A">
        <w:rPr>
          <w:rFonts w:eastAsia="Verdana" w:cs="Arial"/>
          <w:szCs w:val="20"/>
        </w:rPr>
        <w:tab/>
        <w:t>reports relating to Testing and tests carried out under Schedule 2.6 (Security Management) and Schedule 8.6 (Business Continuity and IT Service Continuity</w:t>
      </w:r>
      <w:proofErr w:type="gramStart"/>
      <w:r w:rsidRPr="005C121A">
        <w:rPr>
          <w:rFonts w:eastAsia="Verdana" w:cs="Arial"/>
          <w:szCs w:val="20"/>
        </w:rPr>
        <w:t>);</w:t>
      </w:r>
      <w:proofErr w:type="gramEnd"/>
      <w:r w:rsidRPr="005C121A">
        <w:rPr>
          <w:rFonts w:eastAsia="Verdana" w:cs="Arial"/>
          <w:szCs w:val="20"/>
        </w:rPr>
        <w:t xml:space="preserve"> </w:t>
      </w:r>
    </w:p>
    <w:p w14:paraId="17F42141" w14:textId="77777777" w:rsidR="0016730A" w:rsidRPr="005C121A" w:rsidRDefault="0016730A" w:rsidP="009402CF">
      <w:pPr>
        <w:tabs>
          <w:tab w:val="left" w:pos="854"/>
          <w:tab w:val="left" w:pos="1680"/>
          <w:tab w:val="center" w:pos="2438"/>
        </w:tabs>
        <w:spacing w:after="273" w:line="249" w:lineRule="auto"/>
        <w:ind w:left="1680" w:hanging="1680"/>
        <w:rPr>
          <w:rFonts w:eastAsia="Verdana" w:cs="Arial"/>
          <w:szCs w:val="20"/>
        </w:rPr>
      </w:pPr>
      <w:r w:rsidRPr="005C121A">
        <w:rPr>
          <w:rFonts w:eastAsia="Verdana" w:cs="Arial"/>
          <w:szCs w:val="20"/>
        </w:rPr>
        <w:tab/>
        <w:t xml:space="preserve">2.1.3 </w:t>
      </w:r>
      <w:r w:rsidRPr="005C121A">
        <w:rPr>
          <w:rFonts w:eastAsia="Verdana" w:cs="Arial"/>
          <w:szCs w:val="20"/>
        </w:rPr>
        <w:tab/>
        <w:t xml:space="preserve">reports which the Supplier is required to supply as part of the Management </w:t>
      </w:r>
      <w:proofErr w:type="gramStart"/>
      <w:r w:rsidRPr="005C121A">
        <w:rPr>
          <w:rFonts w:eastAsia="Verdana" w:cs="Arial"/>
          <w:szCs w:val="20"/>
        </w:rPr>
        <w:t>Information;</w:t>
      </w:r>
      <w:proofErr w:type="gramEnd"/>
      <w:r w:rsidRPr="005C121A">
        <w:rPr>
          <w:rFonts w:eastAsia="Verdana" w:cs="Arial"/>
          <w:szCs w:val="20"/>
        </w:rPr>
        <w:t xml:space="preserve"> </w:t>
      </w:r>
    </w:p>
    <w:p w14:paraId="0BAC6FF7" w14:textId="77777777" w:rsidR="0016730A" w:rsidRPr="005C121A" w:rsidRDefault="0016730A" w:rsidP="0016730A">
      <w:pPr>
        <w:tabs>
          <w:tab w:val="left" w:pos="854"/>
          <w:tab w:val="left" w:pos="1680"/>
          <w:tab w:val="center" w:pos="2438"/>
        </w:tabs>
        <w:spacing w:after="273" w:line="249" w:lineRule="auto"/>
        <w:ind w:left="1680" w:hanging="1680"/>
        <w:rPr>
          <w:rFonts w:eastAsia="Verdana" w:cs="Arial"/>
          <w:szCs w:val="20"/>
        </w:rPr>
      </w:pPr>
      <w:r w:rsidRPr="005C121A">
        <w:rPr>
          <w:rFonts w:eastAsia="Verdana" w:cs="Arial"/>
          <w:szCs w:val="20"/>
        </w:rPr>
        <w:tab/>
        <w:t xml:space="preserve">2.1.4 </w:t>
      </w:r>
      <w:r w:rsidRPr="005C121A">
        <w:rPr>
          <w:rFonts w:eastAsia="Verdana" w:cs="Arial"/>
          <w:szCs w:val="20"/>
        </w:rPr>
        <w:tab/>
        <w:t xml:space="preserve">annual reports on the </w:t>
      </w:r>
      <w:proofErr w:type="gramStart"/>
      <w:r w:rsidRPr="005C121A">
        <w:rPr>
          <w:rFonts w:eastAsia="Verdana" w:cs="Arial"/>
          <w:szCs w:val="20"/>
        </w:rPr>
        <w:t>Insurances;</w:t>
      </w:r>
      <w:proofErr w:type="gramEnd"/>
      <w:r w:rsidRPr="005C121A">
        <w:rPr>
          <w:rFonts w:eastAsia="Verdana" w:cs="Arial"/>
          <w:szCs w:val="20"/>
        </w:rPr>
        <w:t xml:space="preserve"> </w:t>
      </w:r>
    </w:p>
    <w:p w14:paraId="715016CB" w14:textId="77777777" w:rsidR="0016730A" w:rsidRPr="005C121A" w:rsidRDefault="0016730A" w:rsidP="0016730A">
      <w:pPr>
        <w:tabs>
          <w:tab w:val="left" w:pos="854"/>
          <w:tab w:val="left" w:pos="1680"/>
          <w:tab w:val="center" w:pos="2438"/>
        </w:tabs>
        <w:spacing w:after="273" w:line="249" w:lineRule="auto"/>
        <w:ind w:left="1680" w:hanging="1680"/>
        <w:rPr>
          <w:rFonts w:eastAsia="Verdana" w:cs="Arial"/>
          <w:szCs w:val="20"/>
        </w:rPr>
      </w:pPr>
      <w:r w:rsidRPr="005C121A">
        <w:rPr>
          <w:rFonts w:eastAsia="Verdana" w:cs="Arial"/>
          <w:szCs w:val="20"/>
        </w:rPr>
        <w:tab/>
        <w:t xml:space="preserve">2.1.5 </w:t>
      </w:r>
      <w:r w:rsidRPr="005C121A">
        <w:rPr>
          <w:rFonts w:eastAsia="Verdana" w:cs="Arial"/>
          <w:szCs w:val="20"/>
        </w:rPr>
        <w:tab/>
        <w:t xml:space="preserve">security reports; and </w:t>
      </w:r>
    </w:p>
    <w:p w14:paraId="28874F33" w14:textId="77777777" w:rsidR="0016730A" w:rsidRPr="005C121A" w:rsidRDefault="0016730A" w:rsidP="0016730A">
      <w:pPr>
        <w:tabs>
          <w:tab w:val="left" w:pos="854"/>
          <w:tab w:val="left" w:pos="1680"/>
          <w:tab w:val="center" w:pos="2438"/>
        </w:tabs>
        <w:spacing w:after="273" w:line="249" w:lineRule="auto"/>
        <w:ind w:left="1680" w:hanging="1680"/>
        <w:rPr>
          <w:rFonts w:eastAsia="Verdana" w:cs="Arial"/>
          <w:szCs w:val="20"/>
        </w:rPr>
      </w:pPr>
      <w:r w:rsidRPr="005C121A">
        <w:rPr>
          <w:rFonts w:eastAsia="Verdana" w:cs="Arial"/>
          <w:szCs w:val="20"/>
        </w:rPr>
        <w:tab/>
        <w:t xml:space="preserve">2.1.6 </w:t>
      </w:r>
      <w:r w:rsidRPr="005C121A">
        <w:rPr>
          <w:rFonts w:eastAsia="Verdana" w:cs="Arial"/>
          <w:szCs w:val="20"/>
        </w:rPr>
        <w:tab/>
        <w:t xml:space="preserve">Force Majeure Event reports. </w:t>
      </w:r>
    </w:p>
    <w:p w14:paraId="69F62F44" w14:textId="77777777" w:rsidR="0016730A" w:rsidRPr="0016730A" w:rsidRDefault="0016730A" w:rsidP="0016730A">
      <w:pPr>
        <w:pStyle w:val="Heading4"/>
        <w:numPr>
          <w:ilvl w:val="0"/>
          <w:numId w:val="0"/>
        </w:numPr>
        <w:spacing w:before="240" w:after="282" w:line="264" w:lineRule="auto"/>
        <w:ind w:left="851" w:hanging="851"/>
        <w:rPr>
          <w:rFonts w:cs="Arial"/>
          <w:b/>
          <w:bCs w:val="0"/>
          <w:szCs w:val="20"/>
        </w:rPr>
      </w:pPr>
      <w:r w:rsidRPr="0016730A">
        <w:rPr>
          <w:rFonts w:cs="Arial"/>
          <w:b/>
          <w:bCs w:val="0"/>
          <w:szCs w:val="20"/>
        </w:rPr>
        <w:t xml:space="preserve">3. </w:t>
      </w:r>
      <w:r w:rsidRPr="0016730A">
        <w:rPr>
          <w:rFonts w:cs="Arial"/>
          <w:b/>
          <w:bCs w:val="0"/>
          <w:szCs w:val="20"/>
        </w:rPr>
        <w:tab/>
        <w:t xml:space="preserve">RECORDS </w:t>
      </w:r>
    </w:p>
    <w:p w14:paraId="24803872" w14:textId="77777777" w:rsidR="0016730A" w:rsidRPr="005C121A" w:rsidRDefault="0016730A" w:rsidP="009402CF">
      <w:pPr>
        <w:spacing w:after="273" w:line="249" w:lineRule="auto"/>
        <w:ind w:left="851" w:hanging="851"/>
        <w:rPr>
          <w:rFonts w:eastAsia="Verdana" w:cs="Arial"/>
          <w:szCs w:val="20"/>
        </w:rPr>
      </w:pPr>
      <w:r w:rsidRPr="005C121A">
        <w:rPr>
          <w:rFonts w:eastAsia="Verdana" w:cs="Arial"/>
          <w:szCs w:val="20"/>
        </w:rPr>
        <w:t xml:space="preserve">3.1 </w:t>
      </w:r>
      <w:r w:rsidRPr="005C121A">
        <w:rPr>
          <w:rFonts w:eastAsia="Verdana" w:cs="Arial"/>
          <w:szCs w:val="20"/>
        </w:rPr>
        <w:tab/>
        <w:t xml:space="preserve">The Supplier shall retain and maintain all the records (including superseded records) referred to in Paragraph 1 and Annex </w:t>
      </w:r>
      <w:r>
        <w:rPr>
          <w:rFonts w:eastAsia="Verdana" w:cs="Arial"/>
          <w:szCs w:val="20"/>
        </w:rPr>
        <w:t>8.4B</w:t>
      </w:r>
      <w:r w:rsidRPr="005C121A">
        <w:rPr>
          <w:rFonts w:eastAsia="Verdana" w:cs="Arial"/>
          <w:szCs w:val="20"/>
        </w:rPr>
        <w:t xml:space="preserve"> (together “</w:t>
      </w:r>
      <w:r w:rsidRPr="005C121A">
        <w:rPr>
          <w:rFonts w:eastAsia="Verdana" w:cs="Arial"/>
          <w:b/>
          <w:bCs/>
          <w:szCs w:val="20"/>
        </w:rPr>
        <w:t>Records</w:t>
      </w:r>
      <w:r w:rsidRPr="005C121A">
        <w:rPr>
          <w:rFonts w:eastAsia="Verdana" w:cs="Arial"/>
          <w:szCs w:val="20"/>
        </w:rPr>
        <w:t xml:space="preserve">”): </w:t>
      </w:r>
    </w:p>
    <w:p w14:paraId="660220BD" w14:textId="77777777" w:rsidR="0016730A" w:rsidRPr="005C121A" w:rsidRDefault="0016730A" w:rsidP="0016730A">
      <w:pPr>
        <w:tabs>
          <w:tab w:val="left" w:pos="854"/>
          <w:tab w:val="left" w:pos="1680"/>
          <w:tab w:val="center" w:pos="2438"/>
        </w:tabs>
        <w:spacing w:after="273" w:line="249" w:lineRule="auto"/>
        <w:ind w:left="1680" w:hanging="1680"/>
        <w:rPr>
          <w:rFonts w:eastAsia="Verdana" w:cs="Arial"/>
          <w:szCs w:val="20"/>
        </w:rPr>
      </w:pPr>
      <w:r w:rsidRPr="005C121A">
        <w:rPr>
          <w:rFonts w:eastAsia="Verdana" w:cs="Arial"/>
          <w:szCs w:val="20"/>
        </w:rPr>
        <w:tab/>
        <w:t xml:space="preserve">3.1.1 </w:t>
      </w:r>
      <w:r w:rsidRPr="005C121A">
        <w:rPr>
          <w:rFonts w:eastAsia="Verdana" w:cs="Arial"/>
          <w:szCs w:val="20"/>
        </w:rPr>
        <w:tab/>
        <w:t xml:space="preserve">in accordance with the requirements of The National Archives and Good Industry </w:t>
      </w:r>
      <w:proofErr w:type="gramStart"/>
      <w:r w:rsidRPr="005C121A">
        <w:rPr>
          <w:rFonts w:eastAsia="Verdana" w:cs="Arial"/>
          <w:szCs w:val="20"/>
        </w:rPr>
        <w:t>Practice;</w:t>
      </w:r>
      <w:proofErr w:type="gramEnd"/>
      <w:r w:rsidRPr="005C121A">
        <w:rPr>
          <w:rFonts w:eastAsia="Verdana" w:cs="Arial"/>
          <w:szCs w:val="20"/>
        </w:rPr>
        <w:t xml:space="preserve"> </w:t>
      </w:r>
    </w:p>
    <w:p w14:paraId="7AAEDCC1" w14:textId="77777777" w:rsidR="0016730A" w:rsidRPr="005C121A" w:rsidRDefault="0016730A" w:rsidP="0016730A">
      <w:pPr>
        <w:tabs>
          <w:tab w:val="left" w:pos="854"/>
          <w:tab w:val="left" w:pos="1680"/>
          <w:tab w:val="center" w:pos="2438"/>
        </w:tabs>
        <w:spacing w:after="273" w:line="249" w:lineRule="auto"/>
        <w:ind w:left="1680" w:hanging="1680"/>
        <w:rPr>
          <w:rFonts w:eastAsia="Verdana" w:cs="Arial"/>
          <w:szCs w:val="20"/>
        </w:rPr>
      </w:pPr>
      <w:r w:rsidRPr="005C121A">
        <w:rPr>
          <w:rFonts w:eastAsia="Verdana" w:cs="Arial"/>
          <w:szCs w:val="20"/>
        </w:rPr>
        <w:tab/>
        <w:t xml:space="preserve">3.1.2 </w:t>
      </w:r>
      <w:r w:rsidRPr="005C121A">
        <w:rPr>
          <w:rFonts w:eastAsia="Verdana" w:cs="Arial"/>
          <w:szCs w:val="20"/>
        </w:rPr>
        <w:tab/>
        <w:t xml:space="preserve">in chronological </w:t>
      </w:r>
      <w:proofErr w:type="gramStart"/>
      <w:r w:rsidRPr="005C121A">
        <w:rPr>
          <w:rFonts w:eastAsia="Verdana" w:cs="Arial"/>
          <w:szCs w:val="20"/>
        </w:rPr>
        <w:t>order;</w:t>
      </w:r>
      <w:proofErr w:type="gramEnd"/>
      <w:r w:rsidRPr="005C121A">
        <w:rPr>
          <w:rFonts w:eastAsia="Verdana" w:cs="Arial"/>
          <w:szCs w:val="20"/>
        </w:rPr>
        <w:t xml:space="preserve"> </w:t>
      </w:r>
    </w:p>
    <w:p w14:paraId="2157E01C" w14:textId="77777777" w:rsidR="0016730A" w:rsidRPr="005C121A" w:rsidRDefault="0016730A" w:rsidP="0016730A">
      <w:pPr>
        <w:tabs>
          <w:tab w:val="left" w:pos="854"/>
          <w:tab w:val="left" w:pos="1680"/>
          <w:tab w:val="center" w:pos="2438"/>
        </w:tabs>
        <w:spacing w:after="273" w:line="249" w:lineRule="auto"/>
        <w:ind w:left="1680" w:hanging="1680"/>
        <w:rPr>
          <w:rFonts w:eastAsia="Verdana" w:cs="Arial"/>
          <w:szCs w:val="20"/>
        </w:rPr>
      </w:pPr>
      <w:r w:rsidRPr="005C121A">
        <w:rPr>
          <w:rFonts w:eastAsia="Verdana" w:cs="Arial"/>
          <w:szCs w:val="20"/>
        </w:rPr>
        <w:tab/>
        <w:t xml:space="preserve">3.1.3 </w:t>
      </w:r>
      <w:r w:rsidRPr="005C121A">
        <w:rPr>
          <w:rFonts w:eastAsia="Verdana" w:cs="Arial"/>
          <w:szCs w:val="20"/>
        </w:rPr>
        <w:tab/>
        <w:t xml:space="preserve">in a form that is capable of audit; and </w:t>
      </w:r>
    </w:p>
    <w:p w14:paraId="433D5FB9" w14:textId="77777777" w:rsidR="0016730A" w:rsidRPr="005C121A" w:rsidRDefault="0016730A" w:rsidP="0016730A">
      <w:pPr>
        <w:tabs>
          <w:tab w:val="left" w:pos="854"/>
          <w:tab w:val="left" w:pos="1680"/>
          <w:tab w:val="center" w:pos="2438"/>
        </w:tabs>
        <w:spacing w:after="273" w:line="249" w:lineRule="auto"/>
        <w:ind w:left="1680" w:hanging="1680"/>
        <w:rPr>
          <w:rFonts w:eastAsia="Verdana" w:cs="Arial"/>
          <w:szCs w:val="20"/>
        </w:rPr>
      </w:pPr>
      <w:r w:rsidRPr="005C121A">
        <w:rPr>
          <w:rFonts w:eastAsia="Verdana" w:cs="Arial"/>
          <w:szCs w:val="20"/>
        </w:rPr>
        <w:tab/>
        <w:t xml:space="preserve">3.1.4 </w:t>
      </w:r>
      <w:r w:rsidRPr="005C121A">
        <w:rPr>
          <w:rFonts w:eastAsia="Verdana" w:cs="Arial"/>
          <w:szCs w:val="20"/>
        </w:rPr>
        <w:tab/>
        <w:t xml:space="preserve">at its own expense. </w:t>
      </w:r>
    </w:p>
    <w:p w14:paraId="248E15F9" w14:textId="6E90FEB4" w:rsidR="0016730A" w:rsidRPr="005C121A" w:rsidRDefault="0016730A" w:rsidP="009402CF">
      <w:pPr>
        <w:spacing w:after="273" w:line="251" w:lineRule="auto"/>
        <w:ind w:left="852" w:hanging="852"/>
        <w:rPr>
          <w:rFonts w:cs="Arial"/>
          <w:szCs w:val="20"/>
        </w:rPr>
      </w:pPr>
      <w:r w:rsidRPr="005C121A">
        <w:rPr>
          <w:rFonts w:eastAsia="Verdana" w:cs="Arial"/>
          <w:szCs w:val="20"/>
        </w:rPr>
        <w:t>3.2</w:t>
      </w:r>
      <w:r w:rsidRPr="005C121A">
        <w:rPr>
          <w:rFonts w:eastAsia="Arial" w:cs="Arial"/>
          <w:szCs w:val="20"/>
        </w:rPr>
        <w:t xml:space="preserve"> </w:t>
      </w:r>
      <w:r w:rsidRPr="005C121A">
        <w:rPr>
          <w:rFonts w:eastAsia="Arial" w:cs="Arial"/>
          <w:szCs w:val="20"/>
        </w:rPr>
        <w:tab/>
      </w:r>
      <w:r w:rsidRPr="005C121A">
        <w:rPr>
          <w:rFonts w:eastAsia="Verdana" w:cs="Arial"/>
          <w:szCs w:val="20"/>
        </w:rPr>
        <w:t xml:space="preserve">The Supplier shall make the Records available for inspection to </w:t>
      </w:r>
      <w:proofErr w:type="spellStart"/>
      <w:r w:rsidR="001F1C19">
        <w:rPr>
          <w:rFonts w:eastAsia="Verdana" w:cs="Arial"/>
          <w:szCs w:val="20"/>
        </w:rPr>
        <w:t>Netlink</w:t>
      </w:r>
      <w:proofErr w:type="spellEnd"/>
      <w:r w:rsidR="001F1C19">
        <w:rPr>
          <w:rFonts w:eastAsia="Verdana" w:cs="Arial"/>
          <w:szCs w:val="20"/>
        </w:rPr>
        <w:t xml:space="preserve"> Star</w:t>
      </w:r>
      <w:r w:rsidRPr="005C121A">
        <w:rPr>
          <w:rFonts w:eastAsia="Verdana" w:cs="Arial"/>
          <w:szCs w:val="20"/>
        </w:rPr>
        <w:t xml:space="preserve"> on request, subject to </w:t>
      </w:r>
      <w:proofErr w:type="spellStart"/>
      <w:r w:rsidR="001F1C19">
        <w:rPr>
          <w:rFonts w:eastAsia="Verdana" w:cs="Arial"/>
          <w:szCs w:val="20"/>
        </w:rPr>
        <w:t>Netlink</w:t>
      </w:r>
      <w:proofErr w:type="spellEnd"/>
      <w:r w:rsidR="001F1C19">
        <w:rPr>
          <w:rFonts w:eastAsia="Verdana" w:cs="Arial"/>
          <w:szCs w:val="20"/>
        </w:rPr>
        <w:t xml:space="preserve"> Star</w:t>
      </w:r>
      <w:r w:rsidRPr="005C121A">
        <w:rPr>
          <w:rFonts w:eastAsia="Verdana" w:cs="Arial"/>
          <w:szCs w:val="20"/>
        </w:rPr>
        <w:t xml:space="preserve"> giving reasonable notice. </w:t>
      </w:r>
    </w:p>
    <w:p w14:paraId="79EDBC28" w14:textId="4B883421" w:rsidR="0016730A" w:rsidRPr="005C121A" w:rsidRDefault="0016730A" w:rsidP="009402CF">
      <w:pPr>
        <w:spacing w:after="273" w:line="249" w:lineRule="auto"/>
        <w:ind w:left="851" w:hanging="851"/>
        <w:rPr>
          <w:rFonts w:eastAsia="Verdana" w:cs="Arial"/>
          <w:szCs w:val="20"/>
        </w:rPr>
      </w:pPr>
      <w:r w:rsidRPr="005C121A">
        <w:rPr>
          <w:rFonts w:eastAsia="Verdana" w:cs="Arial"/>
          <w:szCs w:val="20"/>
        </w:rPr>
        <w:t xml:space="preserve">3.3 </w:t>
      </w:r>
      <w:r w:rsidRPr="005C121A">
        <w:rPr>
          <w:rFonts w:eastAsia="Verdana" w:cs="Arial"/>
          <w:szCs w:val="20"/>
        </w:rPr>
        <w:tab/>
        <w:t xml:space="preserve">Where Records are retained in electronic form, the original metadata shall be preserved together with all subsequent metadata in a format reasonably accessible to </w:t>
      </w:r>
      <w:proofErr w:type="spellStart"/>
      <w:r w:rsidR="001F1C19">
        <w:rPr>
          <w:rFonts w:eastAsia="Verdana" w:cs="Arial"/>
          <w:szCs w:val="20"/>
        </w:rPr>
        <w:t>Netlink</w:t>
      </w:r>
      <w:proofErr w:type="spellEnd"/>
      <w:r w:rsidR="001F1C19">
        <w:rPr>
          <w:rFonts w:eastAsia="Verdana" w:cs="Arial"/>
          <w:szCs w:val="20"/>
        </w:rPr>
        <w:t xml:space="preserve"> Star</w:t>
      </w:r>
      <w:r w:rsidRPr="005C121A">
        <w:rPr>
          <w:rFonts w:eastAsia="Verdana" w:cs="Arial"/>
          <w:szCs w:val="20"/>
        </w:rPr>
        <w:t xml:space="preserve">. </w:t>
      </w:r>
    </w:p>
    <w:p w14:paraId="30584E68" w14:textId="77777777" w:rsidR="0016730A" w:rsidRPr="005C121A" w:rsidRDefault="0016730A" w:rsidP="009402CF">
      <w:pPr>
        <w:spacing w:after="273" w:line="249" w:lineRule="auto"/>
        <w:ind w:left="851" w:hanging="851"/>
        <w:rPr>
          <w:rFonts w:eastAsia="Verdana" w:cs="Arial"/>
          <w:szCs w:val="20"/>
        </w:rPr>
      </w:pPr>
      <w:r w:rsidRPr="005C121A">
        <w:rPr>
          <w:rFonts w:eastAsia="Verdana" w:cs="Arial"/>
          <w:szCs w:val="20"/>
        </w:rPr>
        <w:t xml:space="preserve">3.4 </w:t>
      </w:r>
      <w:r w:rsidRPr="005C121A">
        <w:rPr>
          <w:rFonts w:cs="Arial"/>
          <w:szCs w:val="20"/>
        </w:rPr>
        <w:tab/>
      </w:r>
      <w:r w:rsidRPr="005C121A">
        <w:rPr>
          <w:rFonts w:eastAsia="Verdana" w:cs="Arial"/>
          <w:szCs w:val="20"/>
        </w:rPr>
        <w:t xml:space="preserve">The Supplier shall, during the Term and a period of at least seven (7) years following the expiry or termination of this Agreement, maintain or cause to be maintained complete and accurate documents and records in relation to the provision of the Services including but not limited to all Records. </w:t>
      </w:r>
    </w:p>
    <w:p w14:paraId="46C4B9A2" w14:textId="77777777" w:rsidR="0016730A" w:rsidRPr="005C121A" w:rsidRDefault="0016730A" w:rsidP="009402CF">
      <w:pPr>
        <w:spacing w:after="273" w:line="249" w:lineRule="auto"/>
        <w:ind w:left="851" w:hanging="851"/>
        <w:rPr>
          <w:rFonts w:eastAsia="Verdana" w:cs="Arial"/>
          <w:szCs w:val="20"/>
        </w:rPr>
      </w:pPr>
      <w:r w:rsidRPr="005C121A">
        <w:rPr>
          <w:rFonts w:eastAsia="Verdana" w:cs="Arial"/>
          <w:szCs w:val="20"/>
        </w:rPr>
        <w:t xml:space="preserve">3.5 </w:t>
      </w:r>
      <w:r w:rsidRPr="005C121A">
        <w:rPr>
          <w:rFonts w:eastAsia="Verdana" w:cs="Arial"/>
          <w:szCs w:val="20"/>
        </w:rPr>
        <w:tab/>
        <w:t xml:space="preserve">Records that contain financial information shall be retained and maintained in safe storage by the Supplier for a period of at least seven (7) years after the expiry or termination of this Agreement. </w:t>
      </w:r>
    </w:p>
    <w:p w14:paraId="04124B21" w14:textId="4344AFD4" w:rsidR="0016730A" w:rsidRPr="005C121A" w:rsidRDefault="0016730A" w:rsidP="009402CF">
      <w:pPr>
        <w:spacing w:after="273" w:line="249" w:lineRule="auto"/>
        <w:ind w:left="851" w:hanging="851"/>
        <w:rPr>
          <w:rFonts w:eastAsia="Verdana" w:cs="Arial"/>
          <w:szCs w:val="20"/>
        </w:rPr>
      </w:pPr>
      <w:r w:rsidRPr="005C121A">
        <w:rPr>
          <w:rFonts w:eastAsia="Verdana" w:cs="Arial"/>
          <w:szCs w:val="20"/>
        </w:rPr>
        <w:lastRenderedPageBreak/>
        <w:t xml:space="preserve">3.6 </w:t>
      </w:r>
      <w:r w:rsidRPr="005C121A">
        <w:rPr>
          <w:rFonts w:cs="Arial"/>
          <w:szCs w:val="20"/>
        </w:rPr>
        <w:tab/>
      </w:r>
      <w:r w:rsidRPr="005C121A">
        <w:rPr>
          <w:rFonts w:eastAsia="Verdana" w:cs="Arial"/>
          <w:szCs w:val="20"/>
        </w:rPr>
        <w:t xml:space="preserve">Without prejudice to the foregoing, the Supplier shall provide </w:t>
      </w:r>
      <w:proofErr w:type="spellStart"/>
      <w:r w:rsidR="001F1C19">
        <w:rPr>
          <w:rFonts w:eastAsia="Verdana" w:cs="Arial"/>
          <w:szCs w:val="20"/>
        </w:rPr>
        <w:t>Netlink</w:t>
      </w:r>
      <w:proofErr w:type="spellEnd"/>
      <w:r w:rsidR="001F1C19">
        <w:rPr>
          <w:rFonts w:eastAsia="Verdana" w:cs="Arial"/>
          <w:szCs w:val="20"/>
        </w:rPr>
        <w:t xml:space="preserve"> Star</w:t>
      </w:r>
      <w:r w:rsidRPr="005C121A">
        <w:rPr>
          <w:rFonts w:eastAsia="Verdana" w:cs="Arial"/>
          <w:szCs w:val="20"/>
        </w:rPr>
        <w:t xml:space="preserve">: </w:t>
      </w:r>
    </w:p>
    <w:p w14:paraId="38C42F44" w14:textId="2DE5AA6B" w:rsidR="0016730A" w:rsidRPr="00A73DED" w:rsidRDefault="0016730A" w:rsidP="00A73DED">
      <w:pPr>
        <w:tabs>
          <w:tab w:val="left" w:pos="854"/>
          <w:tab w:val="left" w:pos="1680"/>
          <w:tab w:val="center" w:pos="2438"/>
        </w:tabs>
        <w:spacing w:after="273" w:line="249" w:lineRule="auto"/>
        <w:ind w:left="1680" w:hanging="1680"/>
        <w:rPr>
          <w:rFonts w:eastAsia="Verdana" w:cs="Arial"/>
          <w:szCs w:val="20"/>
        </w:rPr>
        <w:sectPr w:rsidR="0016730A" w:rsidRPr="00A73DED" w:rsidSect="009402CF">
          <w:headerReference w:type="even" r:id="rId83"/>
          <w:headerReference w:type="default" r:id="rId84"/>
          <w:footerReference w:type="even" r:id="rId85"/>
          <w:footerReference w:type="default" r:id="rId86"/>
          <w:headerReference w:type="first" r:id="rId87"/>
          <w:footerReference w:type="first" r:id="rId88"/>
          <w:pgSz w:w="11907" w:h="16840" w:code="9"/>
          <w:pgMar w:top="1418" w:right="1418" w:bottom="1134" w:left="1418" w:header="709" w:footer="709" w:gutter="0"/>
          <w:cols w:space="708"/>
          <w:titlePg/>
          <w:docGrid w:linePitch="360"/>
        </w:sectPr>
      </w:pPr>
      <w:r w:rsidRPr="005C121A">
        <w:rPr>
          <w:rFonts w:eastAsia="Verdana" w:cs="Arial"/>
          <w:szCs w:val="20"/>
        </w:rPr>
        <w:tab/>
        <w:t xml:space="preserve">3.6.1 </w:t>
      </w:r>
      <w:r w:rsidRPr="005C121A">
        <w:rPr>
          <w:rFonts w:eastAsia="Verdana" w:cs="Arial"/>
          <w:szCs w:val="20"/>
        </w:rPr>
        <w:tab/>
        <w:t>no later than 150 Working Days after the end of each accounting reference period of the Supplier part or all of which fa</w:t>
      </w:r>
      <w:r w:rsidR="006B1280">
        <w:rPr>
          <w:rFonts w:eastAsia="Verdana" w:cs="Arial"/>
          <w:szCs w:val="20"/>
        </w:rPr>
        <w:t>l</w:t>
      </w:r>
      <w:r w:rsidRPr="005C121A">
        <w:rPr>
          <w:rFonts w:eastAsia="Verdana" w:cs="Arial"/>
          <w:szCs w:val="20"/>
        </w:rPr>
        <w:t>ls during the Term, the Supplier's audited accounts and if applicable, of the consolidated audited accounts of the Supplier and its Affiliates in respect of that period together wit</w:t>
      </w:r>
      <w:r w:rsidR="006B1280">
        <w:rPr>
          <w:rFonts w:eastAsia="Verdana" w:cs="Arial"/>
          <w:szCs w:val="20"/>
        </w:rPr>
        <w:t>h</w:t>
      </w:r>
      <w:r w:rsidRPr="005C121A">
        <w:rPr>
          <w:rFonts w:eastAsia="Verdana" w:cs="Arial"/>
          <w:szCs w:val="20"/>
        </w:rPr>
        <w:t xml:space="preserve"> copies of al</w:t>
      </w:r>
      <w:r w:rsidR="00A20CD5">
        <w:rPr>
          <w:rFonts w:eastAsia="Verdana" w:cs="Arial"/>
          <w:szCs w:val="20"/>
        </w:rPr>
        <w:t>’</w:t>
      </w:r>
      <w:r w:rsidRPr="005C121A">
        <w:rPr>
          <w:rFonts w:eastAsia="Verdana" w:cs="Arial"/>
          <w:szCs w:val="20"/>
        </w:rPr>
        <w:t xml:space="preserve"> related directors' and auditors' reports and all other notices/circulars to shareholders</w:t>
      </w:r>
      <w:r w:rsidR="00A73DED">
        <w:rPr>
          <w:rFonts w:eastAsia="Verdana" w:cs="Arial"/>
          <w:szCs w:val="20"/>
        </w:rPr>
        <w:t>.</w:t>
      </w:r>
    </w:p>
    <w:p w14:paraId="280A0D2D" w14:textId="77777777" w:rsidR="0016730A" w:rsidRPr="005C121A" w:rsidRDefault="0016730A" w:rsidP="00A73DED">
      <w:pPr>
        <w:ind w:left="0" w:firstLine="0"/>
        <w:rPr>
          <w:rFonts w:cs="Arial"/>
          <w:szCs w:val="20"/>
        </w:rPr>
        <w:sectPr w:rsidR="0016730A" w:rsidRPr="005C121A" w:rsidSect="009402CF">
          <w:pgSz w:w="16838" w:h="11906" w:orient="landscape"/>
          <w:pgMar w:top="1440" w:right="1440" w:bottom="1440" w:left="1440" w:header="708" w:footer="708" w:gutter="0"/>
          <w:cols w:space="708"/>
          <w:docGrid w:linePitch="360"/>
        </w:sectPr>
      </w:pPr>
    </w:p>
    <w:p w14:paraId="24A84FB1" w14:textId="1681394F" w:rsidR="0016730A" w:rsidRPr="005C121A" w:rsidRDefault="0016730A" w:rsidP="009402CF">
      <w:pPr>
        <w:jc w:val="center"/>
        <w:rPr>
          <w:rFonts w:cs="Arial"/>
          <w:b/>
          <w:bCs/>
          <w:szCs w:val="20"/>
        </w:rPr>
      </w:pPr>
      <w:r w:rsidRPr="005C121A">
        <w:rPr>
          <w:rFonts w:cs="Arial"/>
          <w:b/>
          <w:bCs/>
          <w:szCs w:val="20"/>
        </w:rPr>
        <w:lastRenderedPageBreak/>
        <w:t xml:space="preserve">ANNEX </w:t>
      </w:r>
      <w:r>
        <w:rPr>
          <w:rFonts w:cs="Arial"/>
          <w:b/>
          <w:bCs/>
          <w:szCs w:val="20"/>
        </w:rPr>
        <w:t>8.</w:t>
      </w:r>
      <w:r w:rsidR="00FA7122">
        <w:rPr>
          <w:rFonts w:cs="Arial"/>
          <w:b/>
          <w:bCs/>
          <w:szCs w:val="20"/>
        </w:rPr>
        <w:t>4</w:t>
      </w:r>
      <w:r>
        <w:rPr>
          <w:rFonts w:cs="Arial"/>
          <w:b/>
          <w:bCs/>
          <w:szCs w:val="20"/>
        </w:rPr>
        <w:t>B</w:t>
      </w:r>
    </w:p>
    <w:p w14:paraId="6805F2B2" w14:textId="77777777" w:rsidR="0016730A" w:rsidRPr="005C121A" w:rsidRDefault="0016730A" w:rsidP="009402CF">
      <w:pPr>
        <w:jc w:val="center"/>
        <w:rPr>
          <w:rFonts w:cs="Arial"/>
          <w:b/>
          <w:bCs/>
          <w:szCs w:val="20"/>
        </w:rPr>
      </w:pPr>
      <w:r w:rsidRPr="005C121A">
        <w:rPr>
          <w:rFonts w:cs="Arial"/>
          <w:b/>
          <w:bCs/>
          <w:szCs w:val="20"/>
        </w:rPr>
        <w:t>RECORDS TO BE KEPT BY THE SUPPLIER</w:t>
      </w:r>
    </w:p>
    <w:p w14:paraId="473C75BF" w14:textId="77777777" w:rsidR="0016730A" w:rsidRPr="005C121A" w:rsidRDefault="0016730A">
      <w:pPr>
        <w:rPr>
          <w:rFonts w:cs="Arial"/>
          <w:szCs w:val="20"/>
        </w:rPr>
      </w:pPr>
      <w:r w:rsidRPr="005C121A">
        <w:rPr>
          <w:rFonts w:cs="Arial"/>
          <w:szCs w:val="20"/>
        </w:rPr>
        <w:t xml:space="preserve">The records to be kept by the Supplier are as follows: </w:t>
      </w:r>
    </w:p>
    <w:p w14:paraId="757E0D7B" w14:textId="77777777" w:rsidR="0016730A" w:rsidRPr="005C121A" w:rsidRDefault="0016730A" w:rsidP="009D675B">
      <w:pPr>
        <w:numPr>
          <w:ilvl w:val="0"/>
          <w:numId w:val="87"/>
        </w:numPr>
        <w:spacing w:line="251" w:lineRule="auto"/>
        <w:ind w:hanging="709"/>
        <w:rPr>
          <w:rFonts w:cs="Arial"/>
          <w:szCs w:val="20"/>
        </w:rPr>
      </w:pPr>
      <w:r w:rsidRPr="005C121A">
        <w:rPr>
          <w:rFonts w:eastAsia="Verdana" w:cs="Arial"/>
          <w:szCs w:val="20"/>
        </w:rPr>
        <w:t xml:space="preserve">This Agreement, its </w:t>
      </w:r>
      <w:proofErr w:type="gramStart"/>
      <w:r w:rsidRPr="005C121A">
        <w:rPr>
          <w:rFonts w:eastAsia="Verdana" w:cs="Arial"/>
          <w:szCs w:val="20"/>
        </w:rPr>
        <w:t>Schedules</w:t>
      </w:r>
      <w:proofErr w:type="gramEnd"/>
      <w:r w:rsidRPr="005C121A">
        <w:rPr>
          <w:rFonts w:eastAsia="Verdana" w:cs="Arial"/>
          <w:szCs w:val="20"/>
        </w:rPr>
        <w:t xml:space="preserve"> and all amendments to such documents. </w:t>
      </w:r>
    </w:p>
    <w:p w14:paraId="7FD81380" w14:textId="77777777" w:rsidR="0016730A" w:rsidRPr="005C121A" w:rsidRDefault="0016730A" w:rsidP="009D675B">
      <w:pPr>
        <w:numPr>
          <w:ilvl w:val="0"/>
          <w:numId w:val="87"/>
        </w:numPr>
        <w:spacing w:line="251" w:lineRule="auto"/>
        <w:ind w:hanging="709"/>
        <w:rPr>
          <w:rFonts w:cs="Arial"/>
          <w:szCs w:val="20"/>
        </w:rPr>
      </w:pPr>
      <w:r w:rsidRPr="005C121A">
        <w:rPr>
          <w:rFonts w:eastAsia="Verdana" w:cs="Arial"/>
          <w:szCs w:val="20"/>
        </w:rPr>
        <w:t xml:space="preserve">All other documents which this Agreement expressly requires to be prepared. </w:t>
      </w:r>
    </w:p>
    <w:p w14:paraId="1F712464" w14:textId="77777777" w:rsidR="0016730A" w:rsidRPr="005C121A" w:rsidRDefault="0016730A" w:rsidP="009D675B">
      <w:pPr>
        <w:numPr>
          <w:ilvl w:val="0"/>
          <w:numId w:val="87"/>
        </w:numPr>
        <w:spacing w:line="251" w:lineRule="auto"/>
        <w:ind w:hanging="709"/>
        <w:rPr>
          <w:rFonts w:cs="Arial"/>
          <w:szCs w:val="20"/>
        </w:rPr>
      </w:pPr>
      <w:r w:rsidRPr="005C121A">
        <w:rPr>
          <w:rFonts w:eastAsia="Verdana" w:cs="Arial"/>
          <w:szCs w:val="20"/>
        </w:rPr>
        <w:t xml:space="preserve">Records relating to the appointment and succession of the Supplier Representative and each member of the Key Personnel. </w:t>
      </w:r>
    </w:p>
    <w:p w14:paraId="528DD2CA" w14:textId="77777777" w:rsidR="0016730A" w:rsidRPr="005C121A" w:rsidRDefault="0016730A" w:rsidP="009D675B">
      <w:pPr>
        <w:numPr>
          <w:ilvl w:val="0"/>
          <w:numId w:val="87"/>
        </w:numPr>
        <w:spacing w:line="251" w:lineRule="auto"/>
        <w:ind w:hanging="709"/>
        <w:rPr>
          <w:rFonts w:cs="Arial"/>
          <w:szCs w:val="20"/>
        </w:rPr>
      </w:pPr>
      <w:r w:rsidRPr="005C121A">
        <w:rPr>
          <w:rFonts w:eastAsia="Verdana" w:cs="Arial"/>
          <w:szCs w:val="20"/>
        </w:rPr>
        <w:t xml:space="preserve">Notices, reports and other documentation submitted by any Expert. </w:t>
      </w:r>
    </w:p>
    <w:p w14:paraId="25DC6DA5" w14:textId="77777777" w:rsidR="0016730A" w:rsidRPr="005C121A" w:rsidRDefault="0016730A" w:rsidP="009D675B">
      <w:pPr>
        <w:numPr>
          <w:ilvl w:val="0"/>
          <w:numId w:val="87"/>
        </w:numPr>
        <w:spacing w:line="251" w:lineRule="auto"/>
        <w:ind w:hanging="709"/>
        <w:rPr>
          <w:rFonts w:eastAsia="Verdana" w:cs="Arial"/>
          <w:szCs w:val="20"/>
        </w:rPr>
      </w:pPr>
      <w:r w:rsidRPr="005C121A">
        <w:rPr>
          <w:rFonts w:eastAsia="Verdana" w:cs="Arial"/>
          <w:szCs w:val="20"/>
        </w:rPr>
        <w:t>All operation and maintenance manuals and/ or Run Books prepared by the Supplier for the purpose of maintaining the provision of the Services and the underlying IT Environment and Supplier Equipment.</w:t>
      </w:r>
    </w:p>
    <w:p w14:paraId="146719C0" w14:textId="77777777" w:rsidR="0016730A" w:rsidRPr="005C121A" w:rsidRDefault="0016730A" w:rsidP="009D675B">
      <w:pPr>
        <w:numPr>
          <w:ilvl w:val="0"/>
          <w:numId w:val="87"/>
        </w:numPr>
        <w:spacing w:line="251" w:lineRule="auto"/>
        <w:ind w:hanging="709"/>
        <w:rPr>
          <w:rFonts w:eastAsia="Verdana" w:cs="Arial"/>
          <w:szCs w:val="20"/>
        </w:rPr>
      </w:pPr>
      <w:r w:rsidRPr="005C121A">
        <w:rPr>
          <w:rFonts w:eastAsia="Verdana" w:cs="Arial"/>
          <w:szCs w:val="20"/>
        </w:rPr>
        <w:t xml:space="preserve">Documents prepared by the Supplier or received by the Supplier from a third party relating to a Force Majeure Event. </w:t>
      </w:r>
    </w:p>
    <w:p w14:paraId="5253A72D" w14:textId="6B2A6C45" w:rsidR="0016730A" w:rsidRPr="005C121A" w:rsidRDefault="0016730A" w:rsidP="009D675B">
      <w:pPr>
        <w:numPr>
          <w:ilvl w:val="0"/>
          <w:numId w:val="87"/>
        </w:numPr>
        <w:spacing w:line="251" w:lineRule="auto"/>
        <w:ind w:hanging="709"/>
        <w:rPr>
          <w:rFonts w:eastAsia="Verdana" w:cs="Arial"/>
          <w:szCs w:val="20"/>
        </w:rPr>
      </w:pPr>
      <w:r w:rsidRPr="005C121A">
        <w:rPr>
          <w:rFonts w:eastAsia="Verdana" w:cs="Arial"/>
          <w:szCs w:val="20"/>
        </w:rPr>
        <w:t xml:space="preserve">All formal notices, reports or submissions made by the Supplier to the </w:t>
      </w:r>
      <w:proofErr w:type="spellStart"/>
      <w:r w:rsidR="001F1C19">
        <w:rPr>
          <w:rFonts w:eastAsia="Verdana" w:cs="Arial"/>
          <w:szCs w:val="20"/>
        </w:rPr>
        <w:t>Netlink</w:t>
      </w:r>
      <w:proofErr w:type="spellEnd"/>
      <w:r w:rsidR="001F1C19">
        <w:rPr>
          <w:rFonts w:eastAsia="Verdana" w:cs="Arial"/>
          <w:szCs w:val="20"/>
        </w:rPr>
        <w:t xml:space="preserve"> Star</w:t>
      </w:r>
      <w:r w:rsidRPr="005C121A">
        <w:rPr>
          <w:rFonts w:eastAsia="Verdana" w:cs="Arial"/>
          <w:szCs w:val="20"/>
        </w:rPr>
        <w:t xml:space="preserve"> Representative in connection with the provision of the Services. </w:t>
      </w:r>
    </w:p>
    <w:p w14:paraId="6E414DAD" w14:textId="77777777" w:rsidR="0016730A" w:rsidRPr="005C121A" w:rsidRDefault="0016730A" w:rsidP="009D675B">
      <w:pPr>
        <w:numPr>
          <w:ilvl w:val="0"/>
          <w:numId w:val="87"/>
        </w:numPr>
        <w:spacing w:line="251" w:lineRule="auto"/>
        <w:ind w:hanging="709"/>
        <w:rPr>
          <w:rFonts w:eastAsia="Verdana" w:cs="Arial"/>
          <w:szCs w:val="20"/>
        </w:rPr>
      </w:pPr>
      <w:r w:rsidRPr="005C121A">
        <w:rPr>
          <w:rFonts w:eastAsia="Verdana" w:cs="Arial"/>
          <w:szCs w:val="20"/>
        </w:rPr>
        <w:t xml:space="preserve">All certificates, licences, </w:t>
      </w:r>
      <w:proofErr w:type="gramStart"/>
      <w:r w:rsidRPr="005C121A">
        <w:rPr>
          <w:rFonts w:eastAsia="Verdana" w:cs="Arial"/>
          <w:szCs w:val="20"/>
        </w:rPr>
        <w:t>registrations</w:t>
      </w:r>
      <w:proofErr w:type="gramEnd"/>
      <w:r w:rsidRPr="005C121A">
        <w:rPr>
          <w:rFonts w:eastAsia="Verdana" w:cs="Arial"/>
          <w:szCs w:val="20"/>
        </w:rPr>
        <w:t xml:space="preserve"> or warranties in each case obtained by the Supplier in relation to the provision of the Services. </w:t>
      </w:r>
    </w:p>
    <w:p w14:paraId="5A4DC801" w14:textId="77777777" w:rsidR="0016730A" w:rsidRPr="005C121A" w:rsidRDefault="0016730A" w:rsidP="009D675B">
      <w:pPr>
        <w:numPr>
          <w:ilvl w:val="0"/>
          <w:numId w:val="87"/>
        </w:numPr>
        <w:spacing w:line="251" w:lineRule="auto"/>
        <w:ind w:hanging="709"/>
        <w:rPr>
          <w:rFonts w:eastAsia="Verdana" w:cs="Arial"/>
          <w:szCs w:val="20"/>
        </w:rPr>
      </w:pPr>
      <w:r w:rsidRPr="005C121A">
        <w:rPr>
          <w:rFonts w:eastAsia="Verdana" w:cs="Arial"/>
          <w:szCs w:val="20"/>
        </w:rPr>
        <w:t xml:space="preserve">Documents prepared by the Supplier in support of claims for the Charges. </w:t>
      </w:r>
    </w:p>
    <w:p w14:paraId="74FEA667" w14:textId="77777777" w:rsidR="0016730A" w:rsidRPr="005C121A" w:rsidRDefault="0016730A" w:rsidP="009D675B">
      <w:pPr>
        <w:numPr>
          <w:ilvl w:val="0"/>
          <w:numId w:val="87"/>
        </w:numPr>
        <w:spacing w:line="251" w:lineRule="auto"/>
        <w:ind w:hanging="709"/>
        <w:rPr>
          <w:rFonts w:eastAsia="Verdana" w:cs="Arial"/>
          <w:szCs w:val="20"/>
        </w:rPr>
      </w:pPr>
      <w:r w:rsidRPr="005C121A">
        <w:rPr>
          <w:rFonts w:eastAsia="Verdana" w:cs="Arial"/>
          <w:szCs w:val="20"/>
        </w:rPr>
        <w:t xml:space="preserve">Documents submitted by the Supplier pursuant to the Change Control Procedure. </w:t>
      </w:r>
    </w:p>
    <w:p w14:paraId="6842A7AA" w14:textId="55887419" w:rsidR="0016730A" w:rsidRPr="005C121A" w:rsidRDefault="0016730A" w:rsidP="009D675B">
      <w:pPr>
        <w:numPr>
          <w:ilvl w:val="0"/>
          <w:numId w:val="87"/>
        </w:numPr>
        <w:spacing w:line="251" w:lineRule="auto"/>
        <w:ind w:hanging="709"/>
        <w:rPr>
          <w:rFonts w:eastAsia="Verdana" w:cs="Arial"/>
          <w:szCs w:val="20"/>
        </w:rPr>
      </w:pPr>
      <w:r w:rsidRPr="005C121A">
        <w:rPr>
          <w:rFonts w:eastAsia="Verdana" w:cs="Arial"/>
          <w:szCs w:val="20"/>
        </w:rPr>
        <w:t xml:space="preserve">Documents submitted by the Supplier pursuant to invocation by it or </w:t>
      </w:r>
      <w:proofErr w:type="spellStart"/>
      <w:r w:rsidR="001F1C19">
        <w:rPr>
          <w:rFonts w:eastAsia="Verdana" w:cs="Arial"/>
          <w:szCs w:val="20"/>
        </w:rPr>
        <w:t>Netlink</w:t>
      </w:r>
      <w:proofErr w:type="spellEnd"/>
      <w:r w:rsidR="001F1C19">
        <w:rPr>
          <w:rFonts w:eastAsia="Verdana" w:cs="Arial"/>
          <w:szCs w:val="20"/>
        </w:rPr>
        <w:t xml:space="preserve"> Star</w:t>
      </w:r>
      <w:r w:rsidRPr="005C121A">
        <w:rPr>
          <w:rFonts w:eastAsia="Verdana" w:cs="Arial"/>
          <w:szCs w:val="20"/>
        </w:rPr>
        <w:t xml:space="preserve"> of the Dispute Resolution Procedure. </w:t>
      </w:r>
    </w:p>
    <w:p w14:paraId="60271479" w14:textId="77777777" w:rsidR="0016730A" w:rsidRPr="005C121A" w:rsidRDefault="0016730A" w:rsidP="009D675B">
      <w:pPr>
        <w:numPr>
          <w:ilvl w:val="0"/>
          <w:numId w:val="87"/>
        </w:numPr>
        <w:spacing w:line="251" w:lineRule="auto"/>
        <w:ind w:hanging="709"/>
        <w:rPr>
          <w:rFonts w:eastAsia="Verdana" w:cs="Arial"/>
          <w:szCs w:val="20"/>
        </w:rPr>
      </w:pPr>
      <w:r w:rsidRPr="005C121A">
        <w:rPr>
          <w:rFonts w:eastAsia="Verdana" w:cs="Arial"/>
          <w:szCs w:val="20"/>
        </w:rPr>
        <w:t xml:space="preserve">Documents evidencing any change in ownership or any interest in any or </w:t>
      </w:r>
      <w:proofErr w:type="gramStart"/>
      <w:r w:rsidRPr="005C121A">
        <w:rPr>
          <w:rFonts w:eastAsia="Verdana" w:cs="Arial"/>
          <w:szCs w:val="20"/>
        </w:rPr>
        <w:t>all of</w:t>
      </w:r>
      <w:proofErr w:type="gramEnd"/>
      <w:r w:rsidRPr="005C121A">
        <w:rPr>
          <w:rFonts w:eastAsia="Verdana" w:cs="Arial"/>
          <w:szCs w:val="20"/>
        </w:rPr>
        <w:t xml:space="preserve"> the shares in the Supplier, a Key Subcontractor, where such change may cause a change of Control; and including documents detailing the identity of the persons changing such ownership or interest. </w:t>
      </w:r>
    </w:p>
    <w:p w14:paraId="56495F7D" w14:textId="77777777" w:rsidR="0016730A" w:rsidRPr="005C121A" w:rsidRDefault="0016730A" w:rsidP="009D675B">
      <w:pPr>
        <w:numPr>
          <w:ilvl w:val="0"/>
          <w:numId w:val="87"/>
        </w:numPr>
        <w:spacing w:line="251" w:lineRule="auto"/>
        <w:ind w:hanging="709"/>
        <w:rPr>
          <w:rFonts w:eastAsia="Verdana" w:cs="Arial"/>
          <w:szCs w:val="20"/>
        </w:rPr>
      </w:pPr>
      <w:r w:rsidRPr="005C121A">
        <w:rPr>
          <w:rFonts w:eastAsia="Verdana" w:cs="Arial"/>
          <w:szCs w:val="20"/>
        </w:rPr>
        <w:t xml:space="preserve">Invoices and records related to VAT sought to be recovered by the Supplier. </w:t>
      </w:r>
    </w:p>
    <w:p w14:paraId="57E13013" w14:textId="77777777" w:rsidR="0016730A" w:rsidRPr="005C121A" w:rsidRDefault="0016730A" w:rsidP="009D675B">
      <w:pPr>
        <w:numPr>
          <w:ilvl w:val="0"/>
          <w:numId w:val="87"/>
        </w:numPr>
        <w:spacing w:line="251" w:lineRule="auto"/>
        <w:ind w:hanging="709"/>
        <w:rPr>
          <w:rFonts w:eastAsia="Verdana" w:cs="Arial"/>
          <w:szCs w:val="20"/>
        </w:rPr>
      </w:pPr>
      <w:r w:rsidRPr="005C121A">
        <w:rPr>
          <w:rFonts w:eastAsia="Verdana" w:cs="Arial"/>
          <w:szCs w:val="20"/>
        </w:rPr>
        <w:t xml:space="preserve">Records required to be retained by the Supplier by Law, including in relation to health and safety matters and health and safety files and all consents. </w:t>
      </w:r>
    </w:p>
    <w:p w14:paraId="74FE37CB" w14:textId="77777777" w:rsidR="0016730A" w:rsidRPr="005C121A" w:rsidRDefault="0016730A" w:rsidP="009D675B">
      <w:pPr>
        <w:numPr>
          <w:ilvl w:val="0"/>
          <w:numId w:val="87"/>
        </w:numPr>
        <w:spacing w:line="251" w:lineRule="auto"/>
        <w:ind w:hanging="709"/>
        <w:rPr>
          <w:rFonts w:eastAsia="Verdana" w:cs="Arial"/>
          <w:szCs w:val="20"/>
        </w:rPr>
      </w:pPr>
      <w:r w:rsidRPr="005C121A">
        <w:rPr>
          <w:rFonts w:eastAsia="Verdana" w:cs="Arial"/>
          <w:szCs w:val="20"/>
        </w:rPr>
        <w:t xml:space="preserve">All documents relating to the insurances to be maintained under this Agreement and any claims made in respect of them. </w:t>
      </w:r>
    </w:p>
    <w:p w14:paraId="57AF605B" w14:textId="77777777" w:rsidR="0016730A" w:rsidRPr="005C121A" w:rsidRDefault="0016730A" w:rsidP="009D675B">
      <w:pPr>
        <w:numPr>
          <w:ilvl w:val="0"/>
          <w:numId w:val="87"/>
        </w:numPr>
        <w:spacing w:line="251" w:lineRule="auto"/>
        <w:ind w:hanging="709"/>
        <w:rPr>
          <w:rFonts w:eastAsia="Verdana" w:cs="Arial"/>
          <w:szCs w:val="20"/>
        </w:rPr>
      </w:pPr>
      <w:r w:rsidRPr="005C121A">
        <w:rPr>
          <w:rFonts w:eastAsia="Verdana" w:cs="Arial"/>
          <w:szCs w:val="20"/>
        </w:rPr>
        <w:t xml:space="preserve">All journals and audit trail data referred to in Schedule 2.6 (Security Management). </w:t>
      </w:r>
    </w:p>
    <w:p w14:paraId="7E105567" w14:textId="77777777" w:rsidR="0016730A" w:rsidRPr="005C121A" w:rsidRDefault="0016730A" w:rsidP="009D675B">
      <w:pPr>
        <w:numPr>
          <w:ilvl w:val="0"/>
          <w:numId w:val="87"/>
        </w:numPr>
        <w:spacing w:line="251" w:lineRule="auto"/>
        <w:ind w:hanging="709"/>
        <w:rPr>
          <w:rFonts w:eastAsia="Verdana" w:cs="Arial"/>
          <w:szCs w:val="20"/>
        </w:rPr>
      </w:pPr>
      <w:r w:rsidRPr="005C121A">
        <w:rPr>
          <w:rFonts w:eastAsia="Verdana" w:cs="Arial"/>
          <w:szCs w:val="20"/>
        </w:rPr>
        <w:t xml:space="preserve">All other records, notices or certificates required to be produced and/or maintained by the Supplier pursuant to this Agreement. </w:t>
      </w:r>
    </w:p>
    <w:p w14:paraId="53A94229" w14:textId="77777777" w:rsidR="0016730A" w:rsidRPr="005C121A" w:rsidRDefault="0016730A">
      <w:pPr>
        <w:rPr>
          <w:rFonts w:cs="Arial"/>
          <w:szCs w:val="20"/>
        </w:rPr>
      </w:pPr>
    </w:p>
    <w:p w14:paraId="1F5BEE8C" w14:textId="77777777" w:rsidR="0016730A" w:rsidRPr="005C121A" w:rsidRDefault="0016730A">
      <w:pPr>
        <w:rPr>
          <w:rFonts w:cs="Arial"/>
          <w:szCs w:val="20"/>
        </w:rPr>
      </w:pPr>
    </w:p>
    <w:p w14:paraId="24DB278F" w14:textId="77777777" w:rsidR="0016730A" w:rsidRPr="005C121A" w:rsidRDefault="0016730A">
      <w:pPr>
        <w:rPr>
          <w:rFonts w:cs="Arial"/>
          <w:szCs w:val="20"/>
        </w:rPr>
      </w:pPr>
    </w:p>
    <w:p w14:paraId="0689635B" w14:textId="77777777" w:rsidR="0016730A" w:rsidRPr="005C121A" w:rsidRDefault="0016730A">
      <w:pPr>
        <w:rPr>
          <w:rFonts w:cs="Arial"/>
          <w:szCs w:val="20"/>
        </w:rPr>
      </w:pPr>
    </w:p>
    <w:p w14:paraId="49B0FF81" w14:textId="77777777" w:rsidR="00F2428A" w:rsidRDefault="00F2428A">
      <w:pPr>
        <w:rPr>
          <w:rFonts w:cs="Arial"/>
          <w:b/>
          <w:bCs/>
          <w:iCs/>
          <w:szCs w:val="20"/>
        </w:rPr>
      </w:pPr>
      <w:r>
        <w:rPr>
          <w:rFonts w:cs="Arial"/>
          <w:b/>
          <w:bCs/>
          <w:iCs/>
          <w:szCs w:val="20"/>
        </w:rPr>
        <w:br w:type="page"/>
      </w:r>
    </w:p>
    <w:p w14:paraId="61160F61" w14:textId="279CE95B" w:rsidR="00561B57" w:rsidRPr="000E5786" w:rsidRDefault="00561B57" w:rsidP="00DD60F0">
      <w:pPr>
        <w:jc w:val="center"/>
        <w:rPr>
          <w:rFonts w:cs="Arial"/>
          <w:b/>
          <w:bCs/>
          <w:iCs/>
          <w:szCs w:val="20"/>
        </w:rPr>
      </w:pPr>
      <w:r w:rsidRPr="000E5786">
        <w:rPr>
          <w:rFonts w:cs="Arial"/>
          <w:b/>
          <w:bCs/>
          <w:iCs/>
          <w:szCs w:val="20"/>
        </w:rPr>
        <w:lastRenderedPageBreak/>
        <w:t>SCHEDULE 8.5</w:t>
      </w:r>
    </w:p>
    <w:p w14:paraId="1A499755" w14:textId="7EF5A42A" w:rsidR="00561B57" w:rsidRPr="000E5786" w:rsidRDefault="00561B57" w:rsidP="00DD60F0">
      <w:pPr>
        <w:jc w:val="center"/>
        <w:rPr>
          <w:rFonts w:cs="Arial"/>
          <w:b/>
          <w:bCs/>
          <w:iCs/>
          <w:szCs w:val="20"/>
        </w:rPr>
      </w:pPr>
      <w:r w:rsidRPr="000E5786">
        <w:rPr>
          <w:rFonts w:cs="Arial"/>
          <w:b/>
          <w:bCs/>
          <w:iCs/>
          <w:szCs w:val="20"/>
        </w:rPr>
        <w:t>EXIT MANAGEMENT</w:t>
      </w:r>
    </w:p>
    <w:p w14:paraId="4F98A855" w14:textId="77777777" w:rsidR="00D85F7C" w:rsidRPr="000E5786" w:rsidRDefault="00D85F7C" w:rsidP="009D675B">
      <w:pPr>
        <w:pStyle w:val="Heading1"/>
        <w:numPr>
          <w:ilvl w:val="0"/>
          <w:numId w:val="46"/>
        </w:numPr>
        <w:spacing w:after="120"/>
        <w:rPr>
          <w:rFonts w:cs="Arial"/>
          <w:b w:val="0"/>
          <w:szCs w:val="20"/>
        </w:rPr>
      </w:pPr>
      <w:bookmarkStart w:id="2387" w:name="_Toc23113675"/>
      <w:r w:rsidRPr="000E5786">
        <w:rPr>
          <w:rFonts w:cs="Arial"/>
          <w:szCs w:val="20"/>
        </w:rPr>
        <w:t>Objectives</w:t>
      </w:r>
      <w:bookmarkEnd w:id="2387"/>
    </w:p>
    <w:p w14:paraId="2E7EACA8" w14:textId="59DBEC67" w:rsidR="00D85F7C" w:rsidRPr="000E5786" w:rsidRDefault="00D85F7C" w:rsidP="000C5291">
      <w:pPr>
        <w:pStyle w:val="Heading2"/>
        <w:spacing w:after="120"/>
        <w:rPr>
          <w:rFonts w:cs="Arial"/>
          <w:szCs w:val="20"/>
        </w:rPr>
      </w:pPr>
      <w:r w:rsidRPr="000E5786">
        <w:rPr>
          <w:rFonts w:cs="Arial"/>
          <w:szCs w:val="20"/>
        </w:rPr>
        <w:t xml:space="preserve">The primary objective of the Exit Plan is to ensure business continuity upon expiry or termination (including Partial Termination) of the Agreement. The Exit Plan will set out the process for transfer from the Supplier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and/or a Replacement Supplier of the responsibilities, Services, staff (solely by application of law), and any other items or information which the Parties agree is necessary to ensure that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and/or Replacement Supplier is able to operate the Replacement Services with effect from the Termination Date or Partial Termination Date (as applicable) (“</w:t>
      </w:r>
      <w:r w:rsidRPr="000E5786">
        <w:rPr>
          <w:rFonts w:cs="Arial"/>
          <w:b/>
          <w:bCs w:val="0"/>
          <w:szCs w:val="20"/>
        </w:rPr>
        <w:t>Exit Date</w:t>
      </w:r>
      <w:r w:rsidRPr="000E5786">
        <w:rPr>
          <w:rFonts w:cs="Arial"/>
          <w:szCs w:val="20"/>
        </w:rPr>
        <w:t>”) of the Agreement for any reason. T</w:t>
      </w:r>
      <w:r w:rsidRPr="000E5786">
        <w:rPr>
          <w:rFonts w:cs="Arial"/>
          <w:color w:val="000000" w:themeColor="text1"/>
          <w:szCs w:val="20"/>
        </w:rPr>
        <w:t xml:space="preserve">o the extent that specific Confidential Information is set out and/or agreed as being required to be disclosed under the Exit Plan and/or this Schedule, that requirement shall override </w:t>
      </w:r>
      <w:r w:rsidR="00CA6145" w:rsidRPr="000E5786">
        <w:rPr>
          <w:rFonts w:cs="Arial"/>
          <w:color w:val="000000" w:themeColor="text1"/>
          <w:szCs w:val="20"/>
        </w:rPr>
        <w:t xml:space="preserve">clauses </w:t>
      </w:r>
      <w:r w:rsidRPr="000E5786">
        <w:rPr>
          <w:rFonts w:cs="Arial"/>
          <w:color w:val="000000" w:themeColor="text1"/>
          <w:szCs w:val="20"/>
        </w:rPr>
        <w:t>14 and 24 to the extent of any inconsistency</w:t>
      </w:r>
      <w:r w:rsidRPr="000E5786">
        <w:rPr>
          <w:rFonts w:cs="Arial"/>
          <w:szCs w:val="20"/>
        </w:rPr>
        <w:t>. During the Exit Assistance Period, the Services will be provided at no detriment to the Service Levels, save to the extent that the Parties have agreed otherwise.</w:t>
      </w:r>
      <w:r w:rsidRPr="000E5786">
        <w:rPr>
          <w:rFonts w:cs="Arial"/>
          <w:color w:val="000000" w:themeColor="text1"/>
          <w:szCs w:val="20"/>
        </w:rPr>
        <w:t xml:space="preserve"> </w:t>
      </w:r>
    </w:p>
    <w:p w14:paraId="4CB27276" w14:textId="29296379" w:rsidR="00D85F7C" w:rsidRPr="000E5786" w:rsidRDefault="00D85F7C" w:rsidP="000C5291">
      <w:pPr>
        <w:pStyle w:val="Heading2"/>
        <w:spacing w:after="120"/>
        <w:rPr>
          <w:rFonts w:cs="Arial"/>
          <w:szCs w:val="20"/>
        </w:rPr>
      </w:pPr>
      <w:bookmarkStart w:id="2388" w:name="_Toc23113676"/>
      <w:r w:rsidRPr="000E5786">
        <w:rPr>
          <w:rFonts w:cs="Arial"/>
          <w:szCs w:val="20"/>
        </w:rPr>
        <w:t xml:space="preserve">The Parties acknowledge that the migration of the Services from the Supplier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or the Replacement Supplier may be phased, as reasonably required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such that certain of the Services are handed over before others. </w:t>
      </w:r>
    </w:p>
    <w:p w14:paraId="518DD93D" w14:textId="77777777" w:rsidR="0079550C" w:rsidRPr="000E5786" w:rsidRDefault="0079550C" w:rsidP="0079550C">
      <w:pPr>
        <w:pStyle w:val="Heading2"/>
        <w:numPr>
          <w:ilvl w:val="0"/>
          <w:numId w:val="0"/>
        </w:numPr>
        <w:spacing w:after="120"/>
        <w:ind w:left="709"/>
        <w:rPr>
          <w:rFonts w:cs="Arial"/>
          <w:szCs w:val="20"/>
        </w:rPr>
      </w:pPr>
    </w:p>
    <w:bookmarkEnd w:id="2388"/>
    <w:p w14:paraId="74DDF301" w14:textId="77777777" w:rsidR="00D85F7C" w:rsidRPr="000E5786" w:rsidRDefault="00D85F7C" w:rsidP="000C5291">
      <w:pPr>
        <w:pStyle w:val="Heading1"/>
        <w:spacing w:after="120"/>
        <w:rPr>
          <w:rFonts w:cs="Arial"/>
          <w:szCs w:val="20"/>
        </w:rPr>
      </w:pPr>
      <w:r w:rsidRPr="000E5786">
        <w:rPr>
          <w:rFonts w:cs="Arial"/>
          <w:szCs w:val="20"/>
        </w:rPr>
        <w:t>Exit Plan</w:t>
      </w:r>
    </w:p>
    <w:p w14:paraId="01C05AEA" w14:textId="3EA68263" w:rsidR="00D85F7C" w:rsidRPr="000E5786" w:rsidRDefault="001F1C19" w:rsidP="000C5291">
      <w:pPr>
        <w:pStyle w:val="Heading2"/>
        <w:spacing w:after="120"/>
        <w:rPr>
          <w:rFonts w:cs="Arial"/>
          <w:szCs w:val="20"/>
        </w:rPr>
      </w:pPr>
      <w:proofErr w:type="spellStart"/>
      <w:r>
        <w:rPr>
          <w:rFonts w:cs="Arial"/>
          <w:szCs w:val="20"/>
        </w:rPr>
        <w:t>Netlink</w:t>
      </w:r>
      <w:proofErr w:type="spellEnd"/>
      <w:r>
        <w:rPr>
          <w:rFonts w:cs="Arial"/>
          <w:szCs w:val="20"/>
        </w:rPr>
        <w:t xml:space="preserve"> Star</w:t>
      </w:r>
      <w:r w:rsidR="00D85F7C" w:rsidRPr="000E5786">
        <w:rPr>
          <w:rFonts w:cs="Arial"/>
          <w:szCs w:val="20"/>
        </w:rPr>
        <w:t xml:space="preserve"> and the Supplier shall designate a representative from their respective organisations to act as the primary point of contact for all disengagement and exit related matters. At the Effective Date, the following individuals are nominated by the Supplier and </w:t>
      </w:r>
      <w:proofErr w:type="spellStart"/>
      <w:r>
        <w:rPr>
          <w:rFonts w:cs="Arial"/>
          <w:szCs w:val="20"/>
        </w:rPr>
        <w:t>Netlink</w:t>
      </w:r>
      <w:proofErr w:type="spellEnd"/>
      <w:r>
        <w:rPr>
          <w:rFonts w:cs="Arial"/>
          <w:szCs w:val="20"/>
        </w:rPr>
        <w:t xml:space="preserve"> Star</w:t>
      </w:r>
      <w:r w:rsidR="00D85F7C" w:rsidRPr="000E5786">
        <w:rPr>
          <w:rFonts w:cs="Arial"/>
          <w:szCs w:val="20"/>
        </w:rPr>
        <w:t xml:space="preserve"> as having exit related responsibility:</w:t>
      </w:r>
    </w:p>
    <w:p w14:paraId="4B6C65B3" w14:textId="77777777" w:rsidR="00D85F7C" w:rsidRPr="000E5786" w:rsidRDefault="00D85F7C" w:rsidP="000C5291">
      <w:pPr>
        <w:pStyle w:val="Heading3"/>
      </w:pPr>
      <w:r w:rsidRPr="000E5786">
        <w:t>Supplier Client Partner.</w:t>
      </w:r>
    </w:p>
    <w:p w14:paraId="188661B1" w14:textId="14E4E5E9" w:rsidR="00D85F7C" w:rsidRPr="000E5786" w:rsidRDefault="001F1C19" w:rsidP="000C5291">
      <w:pPr>
        <w:pStyle w:val="Heading3"/>
      </w:pPr>
      <w:proofErr w:type="spellStart"/>
      <w:r>
        <w:t>Netlink</w:t>
      </w:r>
      <w:proofErr w:type="spellEnd"/>
      <w:r>
        <w:t xml:space="preserve"> Star</w:t>
      </w:r>
      <w:r w:rsidR="00D85F7C" w:rsidRPr="000E5786">
        <w:t xml:space="preserve"> Telecom Head of Operations</w:t>
      </w:r>
    </w:p>
    <w:p w14:paraId="765E8FBA" w14:textId="2C54DC3C" w:rsidR="00D85F7C" w:rsidRPr="000E5786" w:rsidRDefault="001F1C19" w:rsidP="000C5291">
      <w:pPr>
        <w:pStyle w:val="Heading2"/>
        <w:spacing w:after="120"/>
        <w:rPr>
          <w:rFonts w:cs="Arial"/>
          <w:szCs w:val="20"/>
        </w:rPr>
      </w:pPr>
      <w:proofErr w:type="spellStart"/>
      <w:r>
        <w:rPr>
          <w:rFonts w:cs="Arial"/>
          <w:szCs w:val="20"/>
        </w:rPr>
        <w:t>Netlink</w:t>
      </w:r>
      <w:proofErr w:type="spellEnd"/>
      <w:r>
        <w:rPr>
          <w:rFonts w:cs="Arial"/>
          <w:szCs w:val="20"/>
        </w:rPr>
        <w:t xml:space="preserve"> Star</w:t>
      </w:r>
      <w:r w:rsidR="00D85F7C" w:rsidRPr="000E5786">
        <w:rPr>
          <w:rFonts w:cs="Arial"/>
          <w:szCs w:val="20"/>
        </w:rPr>
        <w:t>’s Head of Operations (or their delegate) and the Supplier’s Client Partner shall be responsible overall for the project to carry out the Exit Plan.</w:t>
      </w:r>
    </w:p>
    <w:p w14:paraId="24BCB6E7" w14:textId="34826ACD" w:rsidR="00D85F7C" w:rsidRPr="000E5786" w:rsidRDefault="00D85F7C" w:rsidP="000C5291">
      <w:pPr>
        <w:pStyle w:val="Heading2"/>
        <w:spacing w:after="120"/>
        <w:rPr>
          <w:rFonts w:cs="Arial"/>
          <w:szCs w:val="20"/>
        </w:rPr>
      </w:pPr>
      <w:r w:rsidRPr="000E5786">
        <w:rPr>
          <w:rFonts w:cs="Arial"/>
          <w:szCs w:val="20"/>
        </w:rPr>
        <w:t>The Exit Plan shall as at the date of this Agreement be</w:t>
      </w:r>
      <w:r w:rsidRPr="000E5786">
        <w:rPr>
          <w:rFonts w:cs="Arial"/>
          <w:b/>
          <w:bCs w:val="0"/>
          <w:szCs w:val="20"/>
        </w:rPr>
        <w:t xml:space="preserve"> </w:t>
      </w:r>
      <w:r w:rsidRPr="000E5786">
        <w:rPr>
          <w:rFonts w:cs="Arial"/>
          <w:szCs w:val="20"/>
        </w:rPr>
        <w:t>based on this Schedule as may be varied by the Parties from time to time in accordance with the provisions of this Schedule.</w:t>
      </w:r>
    </w:p>
    <w:p w14:paraId="76C177C8" w14:textId="77777777" w:rsidR="00D85F7C" w:rsidRPr="000E5786" w:rsidRDefault="00D85F7C" w:rsidP="000C5291">
      <w:pPr>
        <w:pStyle w:val="Heading2"/>
        <w:spacing w:after="120"/>
        <w:rPr>
          <w:rFonts w:cs="Arial"/>
          <w:szCs w:val="20"/>
        </w:rPr>
      </w:pPr>
      <w:r w:rsidRPr="000E5786">
        <w:rPr>
          <w:rFonts w:cs="Arial"/>
          <w:szCs w:val="20"/>
        </w:rPr>
        <w:t>The Supplier shall review and (if an update is required) update the Exit Plan on a basis consistent with the principles set out in this Schedule to</w:t>
      </w:r>
      <w:r w:rsidRPr="000E5786">
        <w:rPr>
          <w:rFonts w:cs="Arial"/>
          <w:spacing w:val="-12"/>
          <w:szCs w:val="20"/>
        </w:rPr>
        <w:t xml:space="preserve"> </w:t>
      </w:r>
      <w:r w:rsidRPr="000E5786">
        <w:rPr>
          <w:rFonts w:cs="Arial"/>
          <w:szCs w:val="20"/>
        </w:rPr>
        <w:t>reflect</w:t>
      </w:r>
      <w:r w:rsidRPr="000E5786">
        <w:rPr>
          <w:rFonts w:cs="Arial"/>
          <w:spacing w:val="-10"/>
          <w:szCs w:val="20"/>
        </w:rPr>
        <w:t xml:space="preserve"> </w:t>
      </w:r>
      <w:r w:rsidRPr="000E5786">
        <w:rPr>
          <w:rFonts w:cs="Arial"/>
          <w:szCs w:val="20"/>
        </w:rPr>
        <w:t>any</w:t>
      </w:r>
      <w:r w:rsidRPr="000E5786">
        <w:rPr>
          <w:rFonts w:cs="Arial"/>
          <w:spacing w:val="-10"/>
          <w:szCs w:val="20"/>
        </w:rPr>
        <w:t xml:space="preserve"> </w:t>
      </w:r>
      <w:r w:rsidRPr="000E5786">
        <w:rPr>
          <w:rFonts w:cs="Arial"/>
          <w:szCs w:val="20"/>
        </w:rPr>
        <w:t>changes</w:t>
      </w:r>
      <w:r w:rsidRPr="000E5786">
        <w:rPr>
          <w:rFonts w:cs="Arial"/>
          <w:spacing w:val="-11"/>
          <w:szCs w:val="20"/>
        </w:rPr>
        <w:t xml:space="preserve"> </w:t>
      </w:r>
      <w:r w:rsidRPr="000E5786">
        <w:rPr>
          <w:rFonts w:cs="Arial"/>
          <w:szCs w:val="20"/>
        </w:rPr>
        <w:t>in</w:t>
      </w:r>
      <w:r w:rsidRPr="000E5786">
        <w:rPr>
          <w:rFonts w:cs="Arial"/>
          <w:spacing w:val="-12"/>
          <w:szCs w:val="20"/>
        </w:rPr>
        <w:t xml:space="preserve"> </w:t>
      </w:r>
      <w:r w:rsidRPr="000E5786">
        <w:rPr>
          <w:rFonts w:cs="Arial"/>
          <w:szCs w:val="20"/>
        </w:rPr>
        <w:t>the</w:t>
      </w:r>
      <w:r w:rsidRPr="000E5786">
        <w:rPr>
          <w:rFonts w:cs="Arial"/>
          <w:spacing w:val="-13"/>
          <w:szCs w:val="20"/>
        </w:rPr>
        <w:t xml:space="preserve"> </w:t>
      </w:r>
      <w:r w:rsidRPr="000E5786">
        <w:rPr>
          <w:rFonts w:cs="Arial"/>
          <w:szCs w:val="20"/>
        </w:rPr>
        <w:t>Services</w:t>
      </w:r>
      <w:r w:rsidRPr="000E5786">
        <w:rPr>
          <w:rFonts w:cs="Arial"/>
          <w:spacing w:val="-11"/>
          <w:szCs w:val="20"/>
        </w:rPr>
        <w:t xml:space="preserve"> </w:t>
      </w:r>
      <w:r w:rsidRPr="000E5786">
        <w:rPr>
          <w:rFonts w:cs="Arial"/>
          <w:szCs w:val="20"/>
        </w:rPr>
        <w:t>that</w:t>
      </w:r>
      <w:r w:rsidRPr="000E5786">
        <w:rPr>
          <w:rFonts w:cs="Arial"/>
          <w:spacing w:val="-12"/>
          <w:szCs w:val="20"/>
        </w:rPr>
        <w:t xml:space="preserve"> </w:t>
      </w:r>
      <w:r w:rsidRPr="000E5786">
        <w:rPr>
          <w:rFonts w:cs="Arial"/>
          <w:szCs w:val="20"/>
        </w:rPr>
        <w:t>have</w:t>
      </w:r>
      <w:r w:rsidRPr="000E5786">
        <w:rPr>
          <w:rFonts w:cs="Arial"/>
          <w:spacing w:val="-12"/>
          <w:szCs w:val="20"/>
        </w:rPr>
        <w:t xml:space="preserve"> </w:t>
      </w:r>
      <w:r w:rsidRPr="000E5786">
        <w:rPr>
          <w:rFonts w:cs="Arial"/>
          <w:szCs w:val="20"/>
        </w:rPr>
        <w:t>occurred</w:t>
      </w:r>
      <w:r w:rsidRPr="000E5786">
        <w:rPr>
          <w:rFonts w:cs="Arial"/>
          <w:spacing w:val="-13"/>
          <w:szCs w:val="20"/>
        </w:rPr>
        <w:t xml:space="preserve"> </w:t>
      </w:r>
      <w:r w:rsidRPr="000E5786">
        <w:rPr>
          <w:rFonts w:cs="Arial"/>
          <w:szCs w:val="20"/>
        </w:rPr>
        <w:t>since the Exit Plan was last agreed:</w:t>
      </w:r>
    </w:p>
    <w:p w14:paraId="771D38E0" w14:textId="77777777" w:rsidR="00D85F7C" w:rsidRPr="000E5786" w:rsidRDefault="00D85F7C" w:rsidP="000C5291">
      <w:pPr>
        <w:pStyle w:val="Heading3"/>
      </w:pPr>
      <w:bookmarkStart w:id="2389" w:name="_Ref85552681"/>
      <w:r w:rsidRPr="000E5786">
        <w:t>in accordance with Schedule 8.1 (Governance</w:t>
      </w:r>
      <w:proofErr w:type="gramStart"/>
      <w:r w:rsidRPr="000E5786">
        <w:t>);</w:t>
      </w:r>
      <w:proofErr w:type="gramEnd"/>
    </w:p>
    <w:p w14:paraId="371BE814" w14:textId="1633D50F" w:rsidR="00D85F7C" w:rsidRPr="000E5786" w:rsidRDefault="00D85F7C" w:rsidP="000C5291">
      <w:pPr>
        <w:pStyle w:val="Heading3"/>
      </w:pPr>
      <w:r w:rsidRPr="000E5786">
        <w:t>in the first month of each Contract Year (commencing with</w:t>
      </w:r>
      <w:r w:rsidRPr="000E5786">
        <w:rPr>
          <w:spacing w:val="-11"/>
        </w:rPr>
        <w:t xml:space="preserve"> </w:t>
      </w:r>
      <w:r w:rsidRPr="000E5786">
        <w:t>the</w:t>
      </w:r>
      <w:r w:rsidRPr="000E5786">
        <w:rPr>
          <w:spacing w:val="-10"/>
        </w:rPr>
        <w:t xml:space="preserve"> </w:t>
      </w:r>
      <w:r w:rsidRPr="000E5786">
        <w:t>second</w:t>
      </w:r>
      <w:r w:rsidRPr="000E5786">
        <w:rPr>
          <w:spacing w:val="-10"/>
        </w:rPr>
        <w:t xml:space="preserve"> </w:t>
      </w:r>
      <w:r w:rsidRPr="000E5786">
        <w:t>Contract</w:t>
      </w:r>
      <w:r w:rsidRPr="000E5786">
        <w:rPr>
          <w:spacing w:val="-10"/>
        </w:rPr>
        <w:t xml:space="preserve"> </w:t>
      </w:r>
      <w:r w:rsidRPr="000E5786">
        <w:t>Year); and</w:t>
      </w:r>
      <w:bookmarkEnd w:id="2389"/>
    </w:p>
    <w:p w14:paraId="44A32719" w14:textId="63E107AC" w:rsidR="00D85F7C" w:rsidRPr="000E5786" w:rsidRDefault="00D85F7C" w:rsidP="000C5291">
      <w:pPr>
        <w:pStyle w:val="Heading3"/>
      </w:pPr>
      <w:bookmarkStart w:id="2390" w:name="_Ref85552688"/>
      <w:r w:rsidRPr="000E5786">
        <w:t xml:space="preserve">in the case that there is a Significant Change to the </w:t>
      </w:r>
      <w:proofErr w:type="gramStart"/>
      <w:r w:rsidRPr="000E5786">
        <w:t>Services</w:t>
      </w:r>
      <w:proofErr w:type="gramEnd"/>
      <w:r w:rsidRPr="000E5786">
        <w:t xml:space="preserve"> or any new technology is implemented (that is not a Significant Change), within 20 Working Days of such change.</w:t>
      </w:r>
      <w:bookmarkEnd w:id="2390"/>
      <w:r w:rsidRPr="000E5786">
        <w:t xml:space="preserve"> </w:t>
      </w:r>
    </w:p>
    <w:p w14:paraId="421FD022" w14:textId="4E91B34D" w:rsidR="00D85F7C" w:rsidRPr="000E5786" w:rsidRDefault="00D85F7C" w:rsidP="000C5291">
      <w:pPr>
        <w:pStyle w:val="Heading2"/>
        <w:spacing w:after="120"/>
        <w:rPr>
          <w:rFonts w:cs="Arial"/>
          <w:szCs w:val="20"/>
        </w:rPr>
      </w:pPr>
      <w:r w:rsidRPr="000E5786">
        <w:rPr>
          <w:rFonts w:cs="Arial"/>
          <w:szCs w:val="20"/>
        </w:rPr>
        <w:t xml:space="preserve">If, after a review pursuant to </w:t>
      </w:r>
      <w:r w:rsidR="00CA6145" w:rsidRPr="000E5786">
        <w:rPr>
          <w:rFonts w:cs="Arial"/>
          <w:szCs w:val="20"/>
        </w:rPr>
        <w:t xml:space="preserve">Paragraphs </w:t>
      </w:r>
      <w:r w:rsidRPr="000E5786">
        <w:rPr>
          <w:rFonts w:cs="Arial"/>
          <w:szCs w:val="20"/>
        </w:rPr>
        <w:fldChar w:fldCharType="begin"/>
      </w:r>
      <w:r w:rsidRPr="000E5786">
        <w:rPr>
          <w:rFonts w:cs="Arial"/>
          <w:szCs w:val="20"/>
        </w:rPr>
        <w:instrText xml:space="preserve"> REF _Ref85552681 \r \h </w:instrText>
      </w:r>
      <w:r w:rsidR="006E0235" w:rsidRPr="000E5786">
        <w:rPr>
          <w:rFonts w:cs="Arial"/>
          <w:szCs w:val="20"/>
        </w:rPr>
        <w:instrText xml:space="preserve"> \* MERGEFORMAT </w:instrText>
      </w:r>
      <w:r w:rsidRPr="000E5786">
        <w:rPr>
          <w:rFonts w:cs="Arial"/>
          <w:szCs w:val="20"/>
        </w:rPr>
      </w:r>
      <w:r w:rsidRPr="000E5786">
        <w:rPr>
          <w:rFonts w:cs="Arial"/>
          <w:szCs w:val="20"/>
        </w:rPr>
        <w:fldChar w:fldCharType="separate"/>
      </w:r>
      <w:r w:rsidRPr="000E5786">
        <w:rPr>
          <w:rFonts w:cs="Arial"/>
          <w:szCs w:val="20"/>
        </w:rPr>
        <w:t>2.4.1</w:t>
      </w:r>
      <w:r w:rsidRPr="000E5786">
        <w:rPr>
          <w:rFonts w:cs="Arial"/>
          <w:szCs w:val="20"/>
        </w:rPr>
        <w:fldChar w:fldCharType="end"/>
      </w:r>
      <w:r w:rsidRPr="000E5786">
        <w:rPr>
          <w:rFonts w:cs="Arial"/>
          <w:szCs w:val="20"/>
        </w:rPr>
        <w:t xml:space="preserve"> or </w:t>
      </w:r>
      <w:r w:rsidRPr="000E5786">
        <w:rPr>
          <w:rFonts w:cs="Arial"/>
          <w:szCs w:val="20"/>
        </w:rPr>
        <w:fldChar w:fldCharType="begin"/>
      </w:r>
      <w:r w:rsidRPr="000E5786">
        <w:rPr>
          <w:rFonts w:cs="Arial"/>
          <w:szCs w:val="20"/>
        </w:rPr>
        <w:instrText xml:space="preserve"> REF _Ref85552688 \r \h </w:instrText>
      </w:r>
      <w:r w:rsidR="006E0235" w:rsidRPr="000E5786">
        <w:rPr>
          <w:rFonts w:cs="Arial"/>
          <w:szCs w:val="20"/>
        </w:rPr>
        <w:instrText xml:space="preserve"> \* MERGEFORMAT </w:instrText>
      </w:r>
      <w:r w:rsidRPr="000E5786">
        <w:rPr>
          <w:rFonts w:cs="Arial"/>
          <w:szCs w:val="20"/>
        </w:rPr>
      </w:r>
      <w:r w:rsidRPr="000E5786">
        <w:rPr>
          <w:rFonts w:cs="Arial"/>
          <w:szCs w:val="20"/>
        </w:rPr>
        <w:fldChar w:fldCharType="separate"/>
      </w:r>
      <w:r w:rsidRPr="000E5786">
        <w:rPr>
          <w:rFonts w:cs="Arial"/>
          <w:szCs w:val="20"/>
        </w:rPr>
        <w:t>2.4.2</w:t>
      </w:r>
      <w:r w:rsidRPr="000E5786">
        <w:rPr>
          <w:rFonts w:cs="Arial"/>
          <w:szCs w:val="20"/>
        </w:rPr>
        <w:fldChar w:fldCharType="end"/>
      </w:r>
      <w:r w:rsidRPr="000E5786">
        <w:rPr>
          <w:rFonts w:cs="Arial"/>
          <w:szCs w:val="20"/>
        </w:rPr>
        <w:t xml:space="preserve">, the Supplier considers that no update is required, the Supplier shall notify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of this in writing within five (5) Working Days of completion of such review.</w:t>
      </w:r>
    </w:p>
    <w:p w14:paraId="59809153" w14:textId="46987214" w:rsidR="00D85F7C" w:rsidRPr="000E5786" w:rsidRDefault="00D85F7C" w:rsidP="000C5291">
      <w:pPr>
        <w:pStyle w:val="Heading2"/>
        <w:spacing w:after="120"/>
        <w:rPr>
          <w:rFonts w:cs="Arial"/>
          <w:szCs w:val="20"/>
        </w:rPr>
      </w:pPr>
      <w:r w:rsidRPr="000E5786">
        <w:rPr>
          <w:rFonts w:cs="Arial"/>
          <w:szCs w:val="20"/>
        </w:rPr>
        <w:t xml:space="preserve">If, after a review pursuant to </w:t>
      </w:r>
      <w:r w:rsidR="00CA6145" w:rsidRPr="000E5786">
        <w:rPr>
          <w:rFonts w:cs="Arial"/>
          <w:szCs w:val="20"/>
        </w:rPr>
        <w:t xml:space="preserve">Paragraphs </w:t>
      </w:r>
      <w:r w:rsidRPr="000E5786">
        <w:rPr>
          <w:rFonts w:cs="Arial"/>
          <w:szCs w:val="20"/>
        </w:rPr>
        <w:fldChar w:fldCharType="begin"/>
      </w:r>
      <w:r w:rsidRPr="000E5786">
        <w:rPr>
          <w:rFonts w:cs="Arial"/>
          <w:szCs w:val="20"/>
        </w:rPr>
        <w:instrText xml:space="preserve"> REF _Ref85552681 \r \h </w:instrText>
      </w:r>
      <w:r w:rsidR="006E0235" w:rsidRPr="000E5786">
        <w:rPr>
          <w:rFonts w:cs="Arial"/>
          <w:szCs w:val="20"/>
        </w:rPr>
        <w:instrText xml:space="preserve"> \* MERGEFORMAT </w:instrText>
      </w:r>
      <w:r w:rsidRPr="000E5786">
        <w:rPr>
          <w:rFonts w:cs="Arial"/>
          <w:szCs w:val="20"/>
        </w:rPr>
      </w:r>
      <w:r w:rsidRPr="000E5786">
        <w:rPr>
          <w:rFonts w:cs="Arial"/>
          <w:szCs w:val="20"/>
        </w:rPr>
        <w:fldChar w:fldCharType="separate"/>
      </w:r>
      <w:r w:rsidRPr="000E5786">
        <w:rPr>
          <w:rFonts w:cs="Arial"/>
          <w:szCs w:val="20"/>
        </w:rPr>
        <w:t>2.4.1</w:t>
      </w:r>
      <w:r w:rsidRPr="000E5786">
        <w:rPr>
          <w:rFonts w:cs="Arial"/>
          <w:szCs w:val="20"/>
        </w:rPr>
        <w:fldChar w:fldCharType="end"/>
      </w:r>
      <w:r w:rsidRPr="000E5786">
        <w:rPr>
          <w:rFonts w:cs="Arial"/>
          <w:szCs w:val="20"/>
        </w:rPr>
        <w:t xml:space="preserve"> or </w:t>
      </w:r>
      <w:r w:rsidRPr="000E5786">
        <w:rPr>
          <w:rFonts w:cs="Arial"/>
          <w:szCs w:val="20"/>
        </w:rPr>
        <w:fldChar w:fldCharType="begin"/>
      </w:r>
      <w:r w:rsidRPr="000E5786">
        <w:rPr>
          <w:rFonts w:cs="Arial"/>
          <w:szCs w:val="20"/>
        </w:rPr>
        <w:instrText xml:space="preserve"> REF _Ref85552688 \r \h </w:instrText>
      </w:r>
      <w:r w:rsidR="006E0235" w:rsidRPr="000E5786">
        <w:rPr>
          <w:rFonts w:cs="Arial"/>
          <w:szCs w:val="20"/>
        </w:rPr>
        <w:instrText xml:space="preserve"> \* MERGEFORMAT </w:instrText>
      </w:r>
      <w:r w:rsidRPr="000E5786">
        <w:rPr>
          <w:rFonts w:cs="Arial"/>
          <w:szCs w:val="20"/>
        </w:rPr>
      </w:r>
      <w:r w:rsidRPr="000E5786">
        <w:rPr>
          <w:rFonts w:cs="Arial"/>
          <w:szCs w:val="20"/>
        </w:rPr>
        <w:fldChar w:fldCharType="separate"/>
      </w:r>
      <w:r w:rsidRPr="000E5786">
        <w:rPr>
          <w:rFonts w:cs="Arial"/>
          <w:szCs w:val="20"/>
        </w:rPr>
        <w:t>2.4.2</w:t>
      </w:r>
      <w:r w:rsidRPr="000E5786">
        <w:rPr>
          <w:rFonts w:cs="Arial"/>
          <w:szCs w:val="20"/>
        </w:rPr>
        <w:fldChar w:fldCharType="end"/>
      </w:r>
      <w:r w:rsidRPr="000E5786">
        <w:rPr>
          <w:rFonts w:cs="Arial"/>
          <w:szCs w:val="20"/>
        </w:rPr>
        <w:t xml:space="preserve">, the Supplier considers that an update is required, the Supplier shall draft such update and submit the revised Exit Plan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for review. </w:t>
      </w:r>
    </w:p>
    <w:p w14:paraId="3454095A" w14:textId="543A1994" w:rsidR="00D85F7C" w:rsidRPr="000E5786" w:rsidRDefault="00D85F7C" w:rsidP="000C5291">
      <w:pPr>
        <w:pStyle w:val="Heading2"/>
        <w:spacing w:after="120"/>
        <w:rPr>
          <w:rFonts w:cs="Arial"/>
          <w:szCs w:val="20"/>
        </w:rPr>
      </w:pPr>
      <w:bookmarkStart w:id="2391" w:name="_Ref85553290"/>
      <w:r w:rsidRPr="000E5786">
        <w:rPr>
          <w:rFonts w:cs="Arial"/>
          <w:szCs w:val="20"/>
        </w:rPr>
        <w:t xml:space="preserve">Within 20 Working Days following submission of the revised Exit Plan,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confirm if it accepts the revised Exit Plan. If so, the revised Exit Plan shall automatically become the new Exit Plan. If not, the Parties shall meet and use reasonable endeavours to agree the contents</w:t>
      </w:r>
      <w:r w:rsidRPr="000E5786">
        <w:rPr>
          <w:rFonts w:cs="Arial"/>
          <w:spacing w:val="-7"/>
          <w:szCs w:val="20"/>
        </w:rPr>
        <w:t xml:space="preserve"> </w:t>
      </w:r>
      <w:r w:rsidRPr="000E5786">
        <w:rPr>
          <w:rFonts w:cs="Arial"/>
          <w:szCs w:val="20"/>
        </w:rPr>
        <w:t>of</w:t>
      </w:r>
      <w:r w:rsidRPr="000E5786">
        <w:rPr>
          <w:rFonts w:cs="Arial"/>
          <w:spacing w:val="-7"/>
          <w:szCs w:val="20"/>
        </w:rPr>
        <w:t xml:space="preserve"> </w:t>
      </w:r>
      <w:r w:rsidRPr="000E5786">
        <w:rPr>
          <w:rFonts w:cs="Arial"/>
          <w:szCs w:val="20"/>
        </w:rPr>
        <w:t>the</w:t>
      </w:r>
      <w:r w:rsidRPr="000E5786">
        <w:rPr>
          <w:rFonts w:cs="Arial"/>
          <w:spacing w:val="-8"/>
          <w:szCs w:val="20"/>
        </w:rPr>
        <w:t xml:space="preserve"> </w:t>
      </w:r>
      <w:r w:rsidRPr="000E5786">
        <w:rPr>
          <w:rFonts w:cs="Arial"/>
          <w:szCs w:val="20"/>
        </w:rPr>
        <w:t>revised</w:t>
      </w:r>
      <w:r w:rsidRPr="000E5786">
        <w:rPr>
          <w:rFonts w:cs="Arial"/>
          <w:spacing w:val="-9"/>
          <w:szCs w:val="20"/>
        </w:rPr>
        <w:t xml:space="preserve"> </w:t>
      </w:r>
      <w:r w:rsidRPr="000E5786">
        <w:rPr>
          <w:rFonts w:cs="Arial"/>
          <w:szCs w:val="20"/>
        </w:rPr>
        <w:t>Exit</w:t>
      </w:r>
      <w:r w:rsidRPr="000E5786">
        <w:rPr>
          <w:rFonts w:cs="Arial"/>
          <w:spacing w:val="-7"/>
          <w:szCs w:val="20"/>
        </w:rPr>
        <w:t xml:space="preserve"> </w:t>
      </w:r>
      <w:r w:rsidRPr="000E5786">
        <w:rPr>
          <w:rFonts w:cs="Arial"/>
          <w:szCs w:val="20"/>
        </w:rPr>
        <w:t>Plan.</w:t>
      </w:r>
      <w:r w:rsidRPr="000E5786">
        <w:rPr>
          <w:rFonts w:cs="Arial"/>
          <w:spacing w:val="39"/>
          <w:szCs w:val="20"/>
        </w:rPr>
        <w:t xml:space="preserve"> </w:t>
      </w:r>
      <w:r w:rsidRPr="000E5786">
        <w:rPr>
          <w:rFonts w:cs="Arial"/>
          <w:szCs w:val="20"/>
        </w:rPr>
        <w:t>If</w:t>
      </w:r>
      <w:r w:rsidRPr="000E5786">
        <w:rPr>
          <w:rFonts w:cs="Arial"/>
          <w:spacing w:val="-7"/>
          <w:szCs w:val="20"/>
        </w:rPr>
        <w:t xml:space="preserve"> </w:t>
      </w:r>
      <w:r w:rsidRPr="000E5786">
        <w:rPr>
          <w:rFonts w:cs="Arial"/>
          <w:szCs w:val="20"/>
        </w:rPr>
        <w:t>the</w:t>
      </w:r>
      <w:r w:rsidRPr="000E5786">
        <w:rPr>
          <w:rFonts w:cs="Arial"/>
          <w:spacing w:val="-8"/>
          <w:szCs w:val="20"/>
        </w:rPr>
        <w:t xml:space="preserve"> </w:t>
      </w:r>
      <w:r w:rsidRPr="000E5786">
        <w:rPr>
          <w:rFonts w:cs="Arial"/>
          <w:szCs w:val="20"/>
        </w:rPr>
        <w:t>Parties</w:t>
      </w:r>
      <w:r w:rsidRPr="000E5786">
        <w:rPr>
          <w:rFonts w:cs="Arial"/>
          <w:spacing w:val="-8"/>
          <w:szCs w:val="20"/>
        </w:rPr>
        <w:t xml:space="preserve"> </w:t>
      </w:r>
      <w:r w:rsidRPr="000E5786">
        <w:rPr>
          <w:rFonts w:cs="Arial"/>
          <w:szCs w:val="20"/>
        </w:rPr>
        <w:t>are</w:t>
      </w:r>
      <w:r w:rsidRPr="000E5786">
        <w:rPr>
          <w:rFonts w:cs="Arial"/>
          <w:spacing w:val="-7"/>
          <w:szCs w:val="20"/>
        </w:rPr>
        <w:t xml:space="preserve"> </w:t>
      </w:r>
      <w:r w:rsidRPr="000E5786">
        <w:rPr>
          <w:rFonts w:cs="Arial"/>
          <w:szCs w:val="20"/>
        </w:rPr>
        <w:t>unable</w:t>
      </w:r>
      <w:r w:rsidRPr="000E5786">
        <w:rPr>
          <w:rFonts w:cs="Arial"/>
          <w:spacing w:val="-8"/>
          <w:szCs w:val="20"/>
        </w:rPr>
        <w:t xml:space="preserve"> </w:t>
      </w:r>
      <w:r w:rsidRPr="000E5786">
        <w:rPr>
          <w:rFonts w:cs="Arial"/>
          <w:szCs w:val="20"/>
        </w:rPr>
        <w:t>to</w:t>
      </w:r>
      <w:r w:rsidRPr="000E5786">
        <w:rPr>
          <w:rFonts w:cs="Arial"/>
          <w:spacing w:val="-7"/>
          <w:szCs w:val="20"/>
        </w:rPr>
        <w:t xml:space="preserve"> </w:t>
      </w:r>
      <w:r w:rsidRPr="000E5786">
        <w:rPr>
          <w:rFonts w:cs="Arial"/>
          <w:szCs w:val="20"/>
        </w:rPr>
        <w:t>agree</w:t>
      </w:r>
      <w:r w:rsidRPr="000E5786">
        <w:rPr>
          <w:rFonts w:cs="Arial"/>
          <w:spacing w:val="-9"/>
          <w:szCs w:val="20"/>
        </w:rPr>
        <w:t xml:space="preserve"> </w:t>
      </w:r>
      <w:r w:rsidRPr="000E5786">
        <w:rPr>
          <w:rFonts w:cs="Arial"/>
          <w:szCs w:val="20"/>
        </w:rPr>
        <w:t>the</w:t>
      </w:r>
      <w:r w:rsidRPr="000E5786">
        <w:rPr>
          <w:rFonts w:cs="Arial"/>
          <w:spacing w:val="-9"/>
          <w:szCs w:val="20"/>
        </w:rPr>
        <w:t xml:space="preserve"> </w:t>
      </w:r>
      <w:r w:rsidRPr="000E5786">
        <w:rPr>
          <w:rFonts w:cs="Arial"/>
          <w:szCs w:val="20"/>
        </w:rPr>
        <w:t>contents</w:t>
      </w:r>
      <w:r w:rsidRPr="000E5786">
        <w:rPr>
          <w:rFonts w:cs="Arial"/>
          <w:spacing w:val="-9"/>
          <w:szCs w:val="20"/>
        </w:rPr>
        <w:t xml:space="preserve"> </w:t>
      </w:r>
      <w:r w:rsidRPr="000E5786">
        <w:rPr>
          <w:rFonts w:cs="Arial"/>
          <w:szCs w:val="20"/>
        </w:rPr>
        <w:t>of</w:t>
      </w:r>
      <w:r w:rsidRPr="000E5786">
        <w:rPr>
          <w:rFonts w:cs="Arial"/>
          <w:spacing w:val="-7"/>
          <w:szCs w:val="20"/>
        </w:rPr>
        <w:t xml:space="preserve"> </w:t>
      </w:r>
      <w:r w:rsidRPr="000E5786">
        <w:rPr>
          <w:rFonts w:cs="Arial"/>
          <w:szCs w:val="20"/>
        </w:rPr>
        <w:t>the</w:t>
      </w:r>
      <w:r w:rsidRPr="000E5786">
        <w:rPr>
          <w:rFonts w:cs="Arial"/>
          <w:spacing w:val="-10"/>
          <w:szCs w:val="20"/>
        </w:rPr>
        <w:t xml:space="preserve"> </w:t>
      </w:r>
      <w:r w:rsidRPr="000E5786">
        <w:rPr>
          <w:rFonts w:cs="Arial"/>
          <w:szCs w:val="20"/>
        </w:rPr>
        <w:t xml:space="preserve">revised Exit Plan within a 20 Working Days of notification that the revisions are not acceptable,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either (a) confirm that the then current Exit Plan shall not be revised or (b) escalate such dispute for resolution in accordance with the Dispute Resolution</w:t>
      </w:r>
      <w:r w:rsidRPr="000E5786">
        <w:rPr>
          <w:rFonts w:cs="Arial"/>
          <w:spacing w:val="-1"/>
          <w:szCs w:val="20"/>
        </w:rPr>
        <w:t xml:space="preserve"> </w:t>
      </w:r>
      <w:r w:rsidRPr="000E5786">
        <w:rPr>
          <w:rFonts w:cs="Arial"/>
          <w:szCs w:val="20"/>
        </w:rPr>
        <w:t>Procedure.</w:t>
      </w:r>
      <w:bookmarkEnd w:id="2391"/>
    </w:p>
    <w:p w14:paraId="16F78043" w14:textId="72BD4506" w:rsidR="00D85F7C" w:rsidRPr="000E5786" w:rsidRDefault="00D85F7C" w:rsidP="000C5291">
      <w:pPr>
        <w:pStyle w:val="Heading2"/>
        <w:spacing w:after="120"/>
        <w:rPr>
          <w:rFonts w:cs="Arial"/>
          <w:szCs w:val="20"/>
        </w:rPr>
      </w:pPr>
      <w:r w:rsidRPr="000E5786">
        <w:rPr>
          <w:rFonts w:cs="Arial"/>
          <w:szCs w:val="20"/>
        </w:rPr>
        <w:lastRenderedPageBreak/>
        <w:t>Within</w:t>
      </w:r>
      <w:r w:rsidRPr="000E5786">
        <w:rPr>
          <w:rFonts w:cs="Arial"/>
          <w:spacing w:val="10"/>
          <w:szCs w:val="20"/>
        </w:rPr>
        <w:t xml:space="preserve"> </w:t>
      </w:r>
      <w:r w:rsidRPr="000E5786">
        <w:rPr>
          <w:rFonts w:cs="Arial"/>
          <w:szCs w:val="20"/>
        </w:rPr>
        <w:t>20</w:t>
      </w:r>
      <w:r w:rsidRPr="000E5786">
        <w:rPr>
          <w:rFonts w:cs="Arial"/>
          <w:spacing w:val="10"/>
          <w:szCs w:val="20"/>
        </w:rPr>
        <w:t xml:space="preserve"> </w:t>
      </w:r>
      <w:r w:rsidRPr="000E5786">
        <w:rPr>
          <w:rFonts w:cs="Arial"/>
          <w:szCs w:val="20"/>
        </w:rPr>
        <w:t>Working</w:t>
      </w:r>
      <w:r w:rsidRPr="000E5786">
        <w:rPr>
          <w:rFonts w:cs="Arial"/>
          <w:spacing w:val="11"/>
          <w:szCs w:val="20"/>
        </w:rPr>
        <w:t xml:space="preserve"> </w:t>
      </w:r>
      <w:r w:rsidRPr="000E5786">
        <w:rPr>
          <w:rFonts w:cs="Arial"/>
          <w:szCs w:val="20"/>
        </w:rPr>
        <w:t>Days</w:t>
      </w:r>
      <w:r w:rsidRPr="000E5786">
        <w:rPr>
          <w:rFonts w:cs="Arial"/>
          <w:spacing w:val="11"/>
          <w:szCs w:val="20"/>
        </w:rPr>
        <w:t xml:space="preserve"> </w:t>
      </w:r>
      <w:r w:rsidRPr="000E5786">
        <w:rPr>
          <w:rFonts w:cs="Arial"/>
          <w:szCs w:val="20"/>
        </w:rPr>
        <w:t>after</w:t>
      </w:r>
      <w:r w:rsidRPr="000E5786">
        <w:rPr>
          <w:rFonts w:cs="Arial"/>
          <w:spacing w:val="10"/>
          <w:szCs w:val="20"/>
        </w:rPr>
        <w:t xml:space="preserve"> </w:t>
      </w:r>
      <w:r w:rsidRPr="000E5786">
        <w:rPr>
          <w:rFonts w:cs="Arial"/>
          <w:szCs w:val="20"/>
        </w:rPr>
        <w:t>service</w:t>
      </w:r>
      <w:r w:rsidRPr="000E5786">
        <w:rPr>
          <w:rFonts w:cs="Arial"/>
          <w:spacing w:val="10"/>
          <w:szCs w:val="20"/>
        </w:rPr>
        <w:t xml:space="preserve"> </w:t>
      </w:r>
      <w:r w:rsidRPr="000E5786">
        <w:rPr>
          <w:rFonts w:cs="Arial"/>
          <w:szCs w:val="20"/>
        </w:rPr>
        <w:t>of</w:t>
      </w:r>
      <w:r w:rsidRPr="000E5786">
        <w:rPr>
          <w:rFonts w:cs="Arial"/>
          <w:spacing w:val="12"/>
          <w:szCs w:val="20"/>
        </w:rPr>
        <w:t xml:space="preserve"> </w:t>
      </w:r>
      <w:r w:rsidRPr="000E5786">
        <w:rPr>
          <w:rFonts w:cs="Arial"/>
          <w:szCs w:val="20"/>
        </w:rPr>
        <w:t>a</w:t>
      </w:r>
      <w:r w:rsidRPr="000E5786">
        <w:rPr>
          <w:rFonts w:cs="Arial"/>
          <w:spacing w:val="10"/>
          <w:szCs w:val="20"/>
        </w:rPr>
        <w:t xml:space="preserve"> </w:t>
      </w:r>
      <w:r w:rsidRPr="000E5786">
        <w:rPr>
          <w:rFonts w:cs="Arial"/>
          <w:szCs w:val="20"/>
        </w:rPr>
        <w:t>Termination</w:t>
      </w:r>
      <w:r w:rsidRPr="000E5786">
        <w:rPr>
          <w:rFonts w:cs="Arial"/>
          <w:spacing w:val="11"/>
          <w:szCs w:val="20"/>
        </w:rPr>
        <w:t xml:space="preserve"> </w:t>
      </w:r>
      <w:r w:rsidRPr="000E5786">
        <w:rPr>
          <w:rFonts w:cs="Arial"/>
          <w:szCs w:val="20"/>
        </w:rPr>
        <w:t>Notice</w:t>
      </w:r>
      <w:r w:rsidRPr="000E5786">
        <w:rPr>
          <w:rFonts w:cs="Arial"/>
          <w:spacing w:val="10"/>
          <w:szCs w:val="20"/>
        </w:rPr>
        <w:t xml:space="preserve"> </w:t>
      </w:r>
      <w:r w:rsidRPr="000E5786">
        <w:rPr>
          <w:rFonts w:cs="Arial"/>
          <w:szCs w:val="20"/>
        </w:rPr>
        <w:t>by</w:t>
      </w:r>
      <w:r w:rsidRPr="000E5786">
        <w:rPr>
          <w:rFonts w:cs="Arial"/>
          <w:spacing w:val="10"/>
          <w:szCs w:val="20"/>
        </w:rPr>
        <w:t xml:space="preserve"> </w:t>
      </w:r>
      <w:r w:rsidRPr="000E5786">
        <w:rPr>
          <w:rFonts w:cs="Arial"/>
          <w:szCs w:val="20"/>
        </w:rPr>
        <w:t>either</w:t>
      </w:r>
      <w:r w:rsidRPr="000E5786">
        <w:rPr>
          <w:rFonts w:cs="Arial"/>
          <w:spacing w:val="13"/>
          <w:szCs w:val="20"/>
        </w:rPr>
        <w:t xml:space="preserve"> </w:t>
      </w:r>
      <w:r w:rsidRPr="000E5786">
        <w:rPr>
          <w:rFonts w:cs="Arial"/>
          <w:szCs w:val="20"/>
        </w:rPr>
        <w:t>Party</w:t>
      </w:r>
      <w:r w:rsidRPr="000E5786">
        <w:rPr>
          <w:rFonts w:cs="Arial"/>
          <w:spacing w:val="11"/>
          <w:szCs w:val="20"/>
        </w:rPr>
        <w:t xml:space="preserve"> </w:t>
      </w:r>
      <w:r w:rsidRPr="000E5786">
        <w:rPr>
          <w:rFonts w:cs="Arial"/>
          <w:szCs w:val="20"/>
        </w:rPr>
        <w:t>or</w:t>
      </w:r>
      <w:r w:rsidRPr="000E5786">
        <w:rPr>
          <w:rFonts w:cs="Arial"/>
          <w:spacing w:val="10"/>
          <w:szCs w:val="20"/>
        </w:rPr>
        <w:t xml:space="preserve"> </w:t>
      </w:r>
      <w:r w:rsidRPr="000E5786">
        <w:rPr>
          <w:rFonts w:cs="Arial"/>
          <w:szCs w:val="20"/>
        </w:rPr>
        <w:t>six (6) months prior to the expiry of this Agreement (whichever the sooner), the Supp</w:t>
      </w:r>
      <w:r w:rsidR="006F3D60">
        <w:rPr>
          <w:rFonts w:cs="Arial"/>
          <w:szCs w:val="20"/>
        </w:rPr>
        <w:t>l</w:t>
      </w:r>
      <w:r w:rsidRPr="000E5786">
        <w:rPr>
          <w:rFonts w:cs="Arial"/>
          <w:szCs w:val="20"/>
        </w:rPr>
        <w:t xml:space="preserve">ier will submit for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's approval the Exit Plan in a final form that could be implemented immediately. The final form of the Exit Plan shall be prepared on a basis consistent with the principles set out in this Schedule and the then current Exit Plan</w:t>
      </w:r>
      <w:r w:rsidRPr="000E5786">
        <w:rPr>
          <w:rFonts w:cs="Arial"/>
          <w:spacing w:val="-6"/>
          <w:szCs w:val="20"/>
        </w:rPr>
        <w:t xml:space="preserve"> </w:t>
      </w:r>
      <w:r w:rsidRPr="000E5786">
        <w:rPr>
          <w:rFonts w:cs="Arial"/>
          <w:szCs w:val="20"/>
        </w:rPr>
        <w:t>and</w:t>
      </w:r>
      <w:r w:rsidRPr="000E5786">
        <w:rPr>
          <w:rFonts w:cs="Arial"/>
          <w:spacing w:val="-5"/>
          <w:szCs w:val="20"/>
        </w:rPr>
        <w:t xml:space="preserve"> </w:t>
      </w:r>
      <w:r w:rsidRPr="000E5786">
        <w:rPr>
          <w:rFonts w:cs="Arial"/>
          <w:szCs w:val="20"/>
        </w:rPr>
        <w:t>shall</w:t>
      </w:r>
      <w:r w:rsidRPr="000E5786">
        <w:rPr>
          <w:rFonts w:cs="Arial"/>
          <w:spacing w:val="-5"/>
          <w:szCs w:val="20"/>
        </w:rPr>
        <w:t xml:space="preserve"> </w:t>
      </w:r>
      <w:r w:rsidRPr="000E5786">
        <w:rPr>
          <w:rFonts w:cs="Arial"/>
          <w:szCs w:val="20"/>
        </w:rPr>
        <w:t>reflect</w:t>
      </w:r>
      <w:r w:rsidRPr="000E5786">
        <w:rPr>
          <w:rFonts w:cs="Arial"/>
          <w:spacing w:val="-3"/>
          <w:szCs w:val="20"/>
        </w:rPr>
        <w:t xml:space="preserve"> </w:t>
      </w:r>
      <w:r w:rsidRPr="000E5786">
        <w:rPr>
          <w:rFonts w:cs="Arial"/>
          <w:szCs w:val="20"/>
        </w:rPr>
        <w:t>any</w:t>
      </w:r>
      <w:r w:rsidRPr="000E5786">
        <w:rPr>
          <w:rFonts w:cs="Arial"/>
          <w:spacing w:val="-4"/>
          <w:szCs w:val="20"/>
        </w:rPr>
        <w:t xml:space="preserve"> </w:t>
      </w:r>
      <w:r w:rsidRPr="000E5786">
        <w:rPr>
          <w:rFonts w:cs="Arial"/>
          <w:szCs w:val="20"/>
        </w:rPr>
        <w:t>changes</w:t>
      </w:r>
      <w:r w:rsidRPr="000E5786">
        <w:rPr>
          <w:rFonts w:cs="Arial"/>
          <w:spacing w:val="-5"/>
          <w:szCs w:val="20"/>
        </w:rPr>
        <w:t xml:space="preserve"> </w:t>
      </w:r>
      <w:r w:rsidRPr="000E5786">
        <w:rPr>
          <w:rFonts w:cs="Arial"/>
          <w:szCs w:val="20"/>
        </w:rPr>
        <w:t>in</w:t>
      </w:r>
      <w:r w:rsidRPr="000E5786">
        <w:rPr>
          <w:rFonts w:cs="Arial"/>
          <w:spacing w:val="-5"/>
          <w:szCs w:val="20"/>
        </w:rPr>
        <w:t xml:space="preserve"> </w:t>
      </w:r>
      <w:r w:rsidRPr="000E5786">
        <w:rPr>
          <w:rFonts w:cs="Arial"/>
          <w:szCs w:val="20"/>
        </w:rPr>
        <w:t>the</w:t>
      </w:r>
      <w:r w:rsidRPr="000E5786">
        <w:rPr>
          <w:rFonts w:cs="Arial"/>
          <w:spacing w:val="-2"/>
          <w:szCs w:val="20"/>
        </w:rPr>
        <w:t xml:space="preserve"> </w:t>
      </w:r>
      <w:r w:rsidRPr="000E5786">
        <w:rPr>
          <w:rFonts w:cs="Arial"/>
          <w:szCs w:val="20"/>
        </w:rPr>
        <w:t>Services</w:t>
      </w:r>
      <w:r w:rsidRPr="000E5786">
        <w:rPr>
          <w:rFonts w:cs="Arial"/>
          <w:spacing w:val="-2"/>
          <w:szCs w:val="20"/>
        </w:rPr>
        <w:t xml:space="preserve"> </w:t>
      </w:r>
      <w:r w:rsidRPr="000E5786">
        <w:rPr>
          <w:rFonts w:cs="Arial"/>
          <w:szCs w:val="20"/>
        </w:rPr>
        <w:t>that</w:t>
      </w:r>
      <w:r w:rsidRPr="000E5786">
        <w:rPr>
          <w:rFonts w:cs="Arial"/>
          <w:spacing w:val="-5"/>
          <w:szCs w:val="20"/>
        </w:rPr>
        <w:t xml:space="preserve"> </w:t>
      </w:r>
      <w:r w:rsidRPr="000E5786">
        <w:rPr>
          <w:rFonts w:cs="Arial"/>
          <w:szCs w:val="20"/>
        </w:rPr>
        <w:t>have</w:t>
      </w:r>
      <w:r w:rsidRPr="000E5786">
        <w:rPr>
          <w:rFonts w:cs="Arial"/>
          <w:spacing w:val="-5"/>
          <w:szCs w:val="20"/>
        </w:rPr>
        <w:t xml:space="preserve"> </w:t>
      </w:r>
      <w:r w:rsidRPr="000E5786">
        <w:rPr>
          <w:rFonts w:cs="Arial"/>
          <w:szCs w:val="20"/>
        </w:rPr>
        <w:t>occurred</w:t>
      </w:r>
      <w:r w:rsidRPr="000E5786">
        <w:rPr>
          <w:rFonts w:cs="Arial"/>
          <w:spacing w:val="-6"/>
          <w:szCs w:val="20"/>
        </w:rPr>
        <w:t xml:space="preserve"> </w:t>
      </w:r>
      <w:r w:rsidRPr="000E5786">
        <w:rPr>
          <w:rFonts w:cs="Arial"/>
          <w:szCs w:val="20"/>
        </w:rPr>
        <w:t>since</w:t>
      </w:r>
      <w:r w:rsidRPr="000E5786">
        <w:rPr>
          <w:rFonts w:cs="Arial"/>
          <w:spacing w:val="-5"/>
          <w:szCs w:val="20"/>
        </w:rPr>
        <w:t xml:space="preserve"> </w:t>
      </w:r>
      <w:r w:rsidRPr="000E5786">
        <w:rPr>
          <w:rFonts w:cs="Arial"/>
          <w:szCs w:val="20"/>
        </w:rPr>
        <w:t>the</w:t>
      </w:r>
      <w:r w:rsidRPr="000E5786">
        <w:rPr>
          <w:rFonts w:cs="Arial"/>
          <w:spacing w:val="-5"/>
          <w:szCs w:val="20"/>
        </w:rPr>
        <w:t xml:space="preserve"> </w:t>
      </w:r>
      <w:r w:rsidRPr="000E5786">
        <w:rPr>
          <w:rFonts w:cs="Arial"/>
          <w:szCs w:val="20"/>
        </w:rPr>
        <w:t>Exit</w:t>
      </w:r>
      <w:r w:rsidRPr="000E5786">
        <w:rPr>
          <w:rFonts w:cs="Arial"/>
          <w:spacing w:val="-3"/>
          <w:szCs w:val="20"/>
        </w:rPr>
        <w:t xml:space="preserve"> </w:t>
      </w:r>
      <w:r w:rsidRPr="000E5786">
        <w:rPr>
          <w:rFonts w:cs="Arial"/>
          <w:szCs w:val="20"/>
        </w:rPr>
        <w:t xml:space="preserve">Plan was last agreed. </w:t>
      </w:r>
    </w:p>
    <w:p w14:paraId="30005784" w14:textId="265E523B" w:rsidR="00D85F7C" w:rsidRPr="000E5786" w:rsidRDefault="00D85F7C" w:rsidP="000C5291">
      <w:pPr>
        <w:pStyle w:val="Heading2"/>
        <w:spacing w:after="120"/>
        <w:rPr>
          <w:rFonts w:cs="Arial"/>
          <w:szCs w:val="20"/>
        </w:rPr>
      </w:pPr>
      <w:r w:rsidRPr="000E5786">
        <w:rPr>
          <w:rFonts w:cs="Arial"/>
          <w:szCs w:val="20"/>
        </w:rPr>
        <w:t xml:space="preserve">The process set out in </w:t>
      </w:r>
      <w:r w:rsidR="00CA6145" w:rsidRPr="000E5786">
        <w:rPr>
          <w:rFonts w:cs="Arial"/>
          <w:szCs w:val="20"/>
        </w:rPr>
        <w:t xml:space="preserve">Paragraph </w:t>
      </w:r>
      <w:r w:rsidRPr="000E5786">
        <w:rPr>
          <w:rFonts w:cs="Arial"/>
          <w:szCs w:val="20"/>
        </w:rPr>
        <w:fldChar w:fldCharType="begin"/>
      </w:r>
      <w:r w:rsidRPr="000E5786">
        <w:rPr>
          <w:rFonts w:cs="Arial"/>
          <w:szCs w:val="20"/>
        </w:rPr>
        <w:instrText xml:space="preserve"> REF _Ref85553290 \r \h </w:instrText>
      </w:r>
      <w:r w:rsidR="006E0235" w:rsidRPr="000E5786">
        <w:rPr>
          <w:rFonts w:cs="Arial"/>
          <w:szCs w:val="20"/>
        </w:rPr>
        <w:instrText xml:space="preserve"> \* MERGEFORMAT </w:instrText>
      </w:r>
      <w:r w:rsidRPr="000E5786">
        <w:rPr>
          <w:rFonts w:cs="Arial"/>
          <w:szCs w:val="20"/>
        </w:rPr>
      </w:r>
      <w:r w:rsidRPr="000E5786">
        <w:rPr>
          <w:rFonts w:cs="Arial"/>
          <w:szCs w:val="20"/>
        </w:rPr>
        <w:fldChar w:fldCharType="separate"/>
      </w:r>
      <w:r w:rsidRPr="000E5786">
        <w:rPr>
          <w:rFonts w:cs="Arial"/>
          <w:szCs w:val="20"/>
        </w:rPr>
        <w:t>2.7</w:t>
      </w:r>
      <w:r w:rsidRPr="000E5786">
        <w:rPr>
          <w:rFonts w:cs="Arial"/>
          <w:szCs w:val="20"/>
        </w:rPr>
        <w:fldChar w:fldCharType="end"/>
      </w:r>
      <w:r w:rsidRPr="000E5786">
        <w:rPr>
          <w:rFonts w:cs="Arial"/>
          <w:szCs w:val="20"/>
        </w:rPr>
        <w:t>, shall be the process for agreement of the final Exit Plan. Until the agreement of the final form of the Exit Plan, the Supplier shall provide the Termination Services in accordance with the principles set out in this Schedule and the last approved version of the Exit Plan (insofar as</w:t>
      </w:r>
      <w:r w:rsidRPr="000E5786">
        <w:rPr>
          <w:rFonts w:cs="Arial"/>
          <w:spacing w:val="-1"/>
          <w:szCs w:val="20"/>
        </w:rPr>
        <w:t xml:space="preserve"> is </w:t>
      </w:r>
      <w:r w:rsidRPr="000E5786">
        <w:rPr>
          <w:rFonts w:cs="Arial"/>
          <w:szCs w:val="20"/>
        </w:rPr>
        <w:t>relevant)</w:t>
      </w:r>
    </w:p>
    <w:p w14:paraId="182A403E" w14:textId="52DB754F" w:rsidR="00D85F7C" w:rsidRPr="000E5786" w:rsidRDefault="00D85F7C" w:rsidP="000C5291">
      <w:pPr>
        <w:pStyle w:val="Heading2"/>
        <w:spacing w:after="120"/>
        <w:rPr>
          <w:rFonts w:cs="Arial"/>
          <w:szCs w:val="20"/>
        </w:rPr>
      </w:pPr>
      <w:r w:rsidRPr="000E5786">
        <w:rPr>
          <w:rFonts w:cs="Arial"/>
          <w:szCs w:val="20"/>
        </w:rPr>
        <w:t xml:space="preserve">The Supplier shall comply with </w:t>
      </w:r>
      <w:proofErr w:type="gramStart"/>
      <w:r w:rsidRPr="000E5786">
        <w:rPr>
          <w:rFonts w:cs="Arial"/>
          <w:szCs w:val="20"/>
        </w:rPr>
        <w:t>all of</w:t>
      </w:r>
      <w:proofErr w:type="gramEnd"/>
      <w:r w:rsidRPr="000E5786">
        <w:rPr>
          <w:rFonts w:cs="Arial"/>
          <w:szCs w:val="20"/>
        </w:rPr>
        <w:t xml:space="preserve"> its obligations contained in the Exit Plan and this Schedule.</w:t>
      </w:r>
    </w:p>
    <w:p w14:paraId="48303BF4" w14:textId="77777777" w:rsidR="0079550C" w:rsidRPr="000E5786" w:rsidRDefault="0079550C" w:rsidP="0079550C">
      <w:pPr>
        <w:pStyle w:val="Heading2"/>
        <w:numPr>
          <w:ilvl w:val="0"/>
          <w:numId w:val="0"/>
        </w:numPr>
        <w:spacing w:after="120"/>
        <w:ind w:left="709"/>
        <w:rPr>
          <w:rFonts w:cs="Arial"/>
          <w:szCs w:val="20"/>
        </w:rPr>
      </w:pPr>
    </w:p>
    <w:p w14:paraId="27EF4379" w14:textId="77777777" w:rsidR="00D85F7C" w:rsidRPr="000E5786" w:rsidRDefault="00D85F7C" w:rsidP="000C5291">
      <w:pPr>
        <w:pStyle w:val="Heading1"/>
        <w:spacing w:after="120"/>
        <w:rPr>
          <w:rFonts w:cs="Arial"/>
          <w:szCs w:val="20"/>
        </w:rPr>
      </w:pPr>
      <w:bookmarkStart w:id="2392" w:name="_Toc23113677"/>
      <w:r w:rsidRPr="000E5786">
        <w:rPr>
          <w:rFonts w:cs="Arial"/>
          <w:szCs w:val="20"/>
        </w:rPr>
        <w:t>Principles of the Exit Plan</w:t>
      </w:r>
    </w:p>
    <w:p w14:paraId="20FC2E3C" w14:textId="49CA5F86" w:rsidR="00D85F7C" w:rsidRPr="000E5786" w:rsidRDefault="00D85F7C" w:rsidP="000C5291">
      <w:pPr>
        <w:pStyle w:val="Heading2"/>
        <w:spacing w:after="120"/>
        <w:rPr>
          <w:rFonts w:cs="Arial"/>
          <w:szCs w:val="20"/>
        </w:rPr>
      </w:pPr>
      <w:r w:rsidRPr="000E5786">
        <w:rPr>
          <w:rFonts w:cs="Arial"/>
          <w:szCs w:val="20"/>
        </w:rPr>
        <w:t xml:space="preserve">The Exit Plan shall contain a detailed description of how the transition and migration of the Services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and/or a Replacement Supplier should be undertaken and managed in accordance with the Supplier’s obligations and the principles under this Schedule. The Exit Plan will contain, as a minimum:</w:t>
      </w:r>
    </w:p>
    <w:p w14:paraId="05866CE5" w14:textId="73BF806D" w:rsidR="00D85F7C" w:rsidRPr="000E5786" w:rsidRDefault="00D85F7C" w:rsidP="000C5291">
      <w:pPr>
        <w:pStyle w:val="Heading3"/>
      </w:pPr>
      <w:r w:rsidRPr="000E5786">
        <w:t xml:space="preserve">mechanisms for dealing with exit including which and how the Services will transfer and the scope of any exit assistance that may be required by </w:t>
      </w:r>
      <w:proofErr w:type="spellStart"/>
      <w:r w:rsidR="001F1C19">
        <w:t>Netlink</w:t>
      </w:r>
      <w:proofErr w:type="spellEnd"/>
      <w:r w:rsidR="001F1C19">
        <w:t xml:space="preserve"> </w:t>
      </w:r>
      <w:proofErr w:type="gramStart"/>
      <w:r w:rsidR="001F1C19">
        <w:t>Star</w:t>
      </w:r>
      <w:r w:rsidRPr="000E5786">
        <w:t>;</w:t>
      </w:r>
      <w:proofErr w:type="gramEnd"/>
    </w:p>
    <w:p w14:paraId="110C5068" w14:textId="77777777" w:rsidR="00D85F7C" w:rsidRPr="000E5786" w:rsidRDefault="00D85F7C" w:rsidP="000C5291">
      <w:pPr>
        <w:pStyle w:val="Heading3"/>
      </w:pPr>
      <w:r w:rsidRPr="000E5786">
        <w:t xml:space="preserve">the management structure to be employed during the transfer and migration of the </w:t>
      </w:r>
      <w:proofErr w:type="gramStart"/>
      <w:r w:rsidRPr="000E5786">
        <w:t>Services;</w:t>
      </w:r>
      <w:proofErr w:type="gramEnd"/>
      <w:r w:rsidRPr="000E5786">
        <w:t xml:space="preserve"> </w:t>
      </w:r>
    </w:p>
    <w:p w14:paraId="207556A3" w14:textId="77777777" w:rsidR="00D85F7C" w:rsidRPr="000E5786" w:rsidRDefault="00D85F7C" w:rsidP="000C5291">
      <w:pPr>
        <w:pStyle w:val="Heading3"/>
      </w:pPr>
      <w:r w:rsidRPr="000E5786">
        <w:t>a detailed description of the transfer and migration processes, including a timetable and any critical issues; and</w:t>
      </w:r>
    </w:p>
    <w:p w14:paraId="50896F2D" w14:textId="77777777" w:rsidR="00D85F7C" w:rsidRPr="000E5786" w:rsidRDefault="00D85F7C" w:rsidP="000C5291">
      <w:pPr>
        <w:pStyle w:val="Heading3"/>
      </w:pPr>
      <w:r w:rsidRPr="000E5786">
        <w:t>all necessary documentation and operational processes (</w:t>
      </w:r>
      <w:proofErr w:type="gramStart"/>
      <w:r w:rsidRPr="000E5786">
        <w:t>e.g.</w:t>
      </w:r>
      <w:proofErr w:type="gramEnd"/>
      <w:r w:rsidRPr="000E5786">
        <w:t xml:space="preserve"> Run Books) required for the continued provision of the Services (by a party other than the Supplier) post-termination of this Agreement,</w:t>
      </w:r>
    </w:p>
    <w:p w14:paraId="437AE185" w14:textId="156A9C92" w:rsidR="00D85F7C" w:rsidRPr="000E5786" w:rsidRDefault="00D85F7C" w:rsidP="00EB717E">
      <w:pPr>
        <w:pStyle w:val="Body2"/>
        <w:spacing w:after="120" w:line="240" w:lineRule="auto"/>
        <w:ind w:hanging="142"/>
        <w:rPr>
          <w:rFonts w:ascii="Arial" w:hAnsi="Arial" w:cs="Arial"/>
        </w:rPr>
      </w:pPr>
      <w:r w:rsidRPr="000E5786">
        <w:rPr>
          <w:rFonts w:ascii="Arial" w:hAnsi="Arial" w:cs="Arial"/>
        </w:rPr>
        <w:t>along with further details in relation to</w:t>
      </w:r>
      <w:r w:rsidRPr="000E5786">
        <w:rPr>
          <w:rFonts w:ascii="Arial" w:hAnsi="Arial" w:cs="Arial"/>
          <w:b/>
        </w:rPr>
        <w:t xml:space="preserve"> </w:t>
      </w:r>
      <w:r w:rsidR="00CA6145" w:rsidRPr="000E5786">
        <w:rPr>
          <w:rFonts w:ascii="Arial" w:hAnsi="Arial" w:cs="Arial"/>
          <w:bCs/>
        </w:rPr>
        <w:t xml:space="preserve">Paragraphs </w:t>
      </w:r>
      <w:r w:rsidRPr="000E5786">
        <w:rPr>
          <w:rFonts w:ascii="Arial" w:hAnsi="Arial" w:cs="Arial"/>
          <w:bCs/>
        </w:rPr>
        <w:t>4 to 13</w:t>
      </w:r>
      <w:r w:rsidRPr="000E5786">
        <w:rPr>
          <w:rFonts w:ascii="Arial" w:hAnsi="Arial" w:cs="Arial"/>
        </w:rPr>
        <w:t xml:space="preserve"> (inclusive) below.</w:t>
      </w:r>
    </w:p>
    <w:p w14:paraId="733036A6" w14:textId="77777777" w:rsidR="0079550C" w:rsidRPr="000E5786" w:rsidRDefault="0079550C" w:rsidP="0079550C">
      <w:pPr>
        <w:pStyle w:val="Body2"/>
        <w:spacing w:after="120" w:line="240" w:lineRule="auto"/>
        <w:ind w:left="0" w:firstLine="0"/>
        <w:rPr>
          <w:rFonts w:ascii="Arial" w:hAnsi="Arial" w:cs="Arial"/>
        </w:rPr>
      </w:pPr>
    </w:p>
    <w:bookmarkEnd w:id="2392"/>
    <w:p w14:paraId="5C2A92CA" w14:textId="77777777" w:rsidR="00D85F7C" w:rsidRPr="000E5786" w:rsidRDefault="00D85F7C" w:rsidP="000C5291">
      <w:pPr>
        <w:pStyle w:val="Heading1"/>
        <w:spacing w:after="120"/>
        <w:rPr>
          <w:rFonts w:cs="Arial"/>
          <w:szCs w:val="20"/>
        </w:rPr>
      </w:pPr>
      <w:r w:rsidRPr="000E5786">
        <w:rPr>
          <w:rFonts w:cs="Arial"/>
          <w:szCs w:val="20"/>
        </w:rPr>
        <w:t>Knowledge Transfer</w:t>
      </w:r>
    </w:p>
    <w:p w14:paraId="684E49AA" w14:textId="283F0B16" w:rsidR="00D85F7C" w:rsidRPr="000E5786" w:rsidRDefault="00D85F7C" w:rsidP="000C5291">
      <w:pPr>
        <w:pStyle w:val="Heading2"/>
        <w:spacing w:after="120"/>
        <w:rPr>
          <w:rFonts w:cs="Arial"/>
          <w:szCs w:val="20"/>
        </w:rPr>
      </w:pPr>
      <w:r w:rsidRPr="000E5786">
        <w:rPr>
          <w:rFonts w:cs="Arial"/>
          <w:szCs w:val="20"/>
        </w:rPr>
        <w:t>The Exit Plan shall contain a section giving a detailed plan of the knowledge transfer requirements and their method of achievement. The plan shall contain, but not be limited to, all Key Supplier Personnel listed in Schedule 9 (</w:t>
      </w:r>
      <w:r w:rsidRPr="000C649C">
        <w:rPr>
          <w:rFonts w:cs="Arial"/>
          <w:szCs w:val="20"/>
        </w:rPr>
        <w:t>Key Personnel).</w:t>
      </w:r>
    </w:p>
    <w:p w14:paraId="16647A16" w14:textId="77777777" w:rsidR="0079550C" w:rsidRPr="000E5786" w:rsidRDefault="0079550C" w:rsidP="0079550C">
      <w:pPr>
        <w:pStyle w:val="Heading2"/>
        <w:numPr>
          <w:ilvl w:val="0"/>
          <w:numId w:val="0"/>
        </w:numPr>
        <w:spacing w:after="120"/>
        <w:ind w:left="709"/>
        <w:rPr>
          <w:rFonts w:cs="Arial"/>
          <w:szCs w:val="20"/>
        </w:rPr>
      </w:pPr>
    </w:p>
    <w:p w14:paraId="1E6CE962" w14:textId="77777777" w:rsidR="00D85F7C" w:rsidRPr="000E5786" w:rsidRDefault="00D85F7C" w:rsidP="000C5291">
      <w:pPr>
        <w:pStyle w:val="Heading1"/>
        <w:spacing w:after="120"/>
        <w:rPr>
          <w:rFonts w:cs="Arial"/>
          <w:bCs w:val="0"/>
          <w:szCs w:val="20"/>
        </w:rPr>
      </w:pPr>
      <w:r w:rsidRPr="000E5786">
        <w:rPr>
          <w:rFonts w:cs="Arial"/>
          <w:bCs w:val="0"/>
          <w:szCs w:val="20"/>
        </w:rPr>
        <w:t>Exit Assistance</w:t>
      </w:r>
    </w:p>
    <w:p w14:paraId="53421A49" w14:textId="35F2622C" w:rsidR="00D85F7C" w:rsidRPr="000E5786" w:rsidRDefault="00D85F7C" w:rsidP="000C5291">
      <w:pPr>
        <w:pStyle w:val="Heading2"/>
        <w:spacing w:after="120"/>
        <w:rPr>
          <w:rFonts w:cs="Arial"/>
          <w:szCs w:val="20"/>
        </w:rPr>
      </w:pPr>
      <w:r w:rsidRPr="000E5786">
        <w:rPr>
          <w:rFonts w:cs="Arial"/>
          <w:szCs w:val="20"/>
        </w:rPr>
        <w:t xml:space="preserve">The Supplier shall provide such aspects of exit assistance as required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for up to 12 (twelve) months from the Exit Date (“</w:t>
      </w:r>
      <w:r w:rsidRPr="000E5786">
        <w:rPr>
          <w:rFonts w:cs="Arial"/>
          <w:b/>
          <w:bCs w:val="0"/>
          <w:szCs w:val="20"/>
        </w:rPr>
        <w:t>Exit Assistance Period</w:t>
      </w:r>
      <w:r w:rsidRPr="000E5786">
        <w:rPr>
          <w:rFonts w:cs="Arial"/>
          <w:szCs w:val="20"/>
        </w:rPr>
        <w:t>”).</w:t>
      </w:r>
    </w:p>
    <w:p w14:paraId="29F73983" w14:textId="39DC68AD" w:rsidR="00D85F7C" w:rsidRPr="000E5786" w:rsidRDefault="00D85F7C" w:rsidP="000C5291">
      <w:pPr>
        <w:pStyle w:val="Heading2"/>
        <w:spacing w:after="120"/>
        <w:rPr>
          <w:rFonts w:cs="Arial"/>
          <w:szCs w:val="20"/>
        </w:rPr>
      </w:pPr>
      <w:r w:rsidRPr="000E5786">
        <w:rPr>
          <w:rFonts w:cs="Arial"/>
          <w:szCs w:val="20"/>
        </w:rPr>
        <w:t xml:space="preserve">The Exit Plan shall contain a section setting out any dependencies the Supplier may have on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to properly carry out the Exit Plan. During the Exit Assistance Period, the Supplier shall provide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with any reasonable assistance requested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to allow the Services to continue without interruption following the termination or expiry of the Agreement and to facilitate the orderly transfer of responsibility for any conduct of the Services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or the Replacement Supplier. The Exit assistance shall include, but not be limited to, any activities defined in this </w:t>
      </w:r>
      <w:r w:rsidRPr="000C649C">
        <w:rPr>
          <w:rFonts w:cs="Arial"/>
          <w:szCs w:val="20"/>
        </w:rPr>
        <w:t>Schedule</w:t>
      </w:r>
      <w:r w:rsidRPr="000E5786">
        <w:rPr>
          <w:rFonts w:cs="Arial"/>
          <w:szCs w:val="20"/>
        </w:rPr>
        <w:t>.</w:t>
      </w:r>
    </w:p>
    <w:p w14:paraId="17D8449D" w14:textId="77777777" w:rsidR="0079550C" w:rsidRPr="000E5786" w:rsidRDefault="0079550C" w:rsidP="0079550C">
      <w:pPr>
        <w:pStyle w:val="Heading2"/>
        <w:numPr>
          <w:ilvl w:val="0"/>
          <w:numId w:val="0"/>
        </w:numPr>
        <w:spacing w:after="120"/>
        <w:ind w:left="709"/>
        <w:rPr>
          <w:rFonts w:cs="Arial"/>
          <w:szCs w:val="20"/>
        </w:rPr>
      </w:pPr>
    </w:p>
    <w:p w14:paraId="46B32543" w14:textId="77777777" w:rsidR="00D85F7C" w:rsidRPr="000E5786" w:rsidRDefault="00D85F7C" w:rsidP="000C5291">
      <w:pPr>
        <w:pStyle w:val="Heading1"/>
        <w:spacing w:after="120"/>
        <w:rPr>
          <w:rFonts w:cs="Arial"/>
          <w:szCs w:val="20"/>
        </w:rPr>
      </w:pPr>
      <w:bookmarkStart w:id="2393" w:name="_Toc23113679"/>
      <w:r w:rsidRPr="000E5786">
        <w:rPr>
          <w:rFonts w:cs="Arial"/>
          <w:szCs w:val="20"/>
        </w:rPr>
        <w:t>Assets (including hardware and equipment)</w:t>
      </w:r>
      <w:bookmarkEnd w:id="2393"/>
      <w:r w:rsidRPr="000E5786">
        <w:rPr>
          <w:rFonts w:cs="Arial"/>
          <w:szCs w:val="20"/>
        </w:rPr>
        <w:t xml:space="preserve"> and sub-contracts</w:t>
      </w:r>
    </w:p>
    <w:p w14:paraId="61A961B1" w14:textId="454727E4" w:rsidR="00D85F7C" w:rsidRPr="000E5786" w:rsidRDefault="00D85F7C" w:rsidP="000C5291">
      <w:pPr>
        <w:pStyle w:val="Heading2"/>
        <w:spacing w:after="120"/>
        <w:rPr>
          <w:rFonts w:cs="Arial"/>
          <w:szCs w:val="20"/>
        </w:rPr>
      </w:pPr>
      <w:r w:rsidRPr="000E5786">
        <w:rPr>
          <w:rFonts w:cs="Arial"/>
          <w:szCs w:val="20"/>
        </w:rPr>
        <w:t xml:space="preserve">The Supplier shall (unless otherwise agreed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writing) procure that all Authorised sub-contracts and other transferrable agreements (where such agreements are not transferrable but are key to the delivery of the Service then the Supplier shall have notified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prior to entering into such arrangements and shall only enter once approved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between the Supplier and third parties, which are necessary to enable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t>
      </w:r>
      <w:r w:rsidRPr="000E5786">
        <w:rPr>
          <w:rFonts w:cs="Arial"/>
          <w:szCs w:val="20"/>
        </w:rPr>
        <w:lastRenderedPageBreak/>
        <w:t xml:space="preserve">and/or the Replacement Supplier to perform the Services in accordance with this Agreement or the Replacement Services, shall be assignable and/or capable of novation at the request of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or the Replacement Supplier upon the Supplier ceasing to provide the Services (or part of them) subject to the terms of such third party sub-contracts and agreements without payment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Where the Supplier is unable to comply with the above obligation of this </w:t>
      </w:r>
      <w:r w:rsidR="00CA6145" w:rsidRPr="000E5786">
        <w:rPr>
          <w:rFonts w:cs="Arial"/>
          <w:szCs w:val="20"/>
        </w:rPr>
        <w:t xml:space="preserve">Paragraph </w:t>
      </w:r>
      <w:r w:rsidRPr="000E5786">
        <w:rPr>
          <w:rFonts w:cs="Arial"/>
          <w:szCs w:val="20"/>
        </w:rPr>
        <w:t xml:space="preserve">6.1, the Supplier shall promptly notify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of </w:t>
      </w:r>
      <w:proofErr w:type="gramStart"/>
      <w:r w:rsidRPr="000E5786">
        <w:rPr>
          <w:rFonts w:cs="Arial"/>
          <w:szCs w:val="20"/>
        </w:rPr>
        <w:t>this</w:t>
      </w:r>
      <w:proofErr w:type="gramEnd"/>
      <w:r w:rsidRPr="000E5786">
        <w:rPr>
          <w:rFonts w:cs="Arial"/>
          <w:szCs w:val="20"/>
        </w:rPr>
        <w:t xml:space="preserve"> and the Parties shall (acting reasonably and without undue delay) discuss the appropriate action to be taken which may include the Supplier seeking an alternative subcontractor</w:t>
      </w:r>
      <w:r w:rsidR="00CA6145">
        <w:rPr>
          <w:rFonts w:cs="Arial"/>
          <w:szCs w:val="20"/>
        </w:rPr>
        <w:t xml:space="preserve"> </w:t>
      </w:r>
      <w:r w:rsidRPr="000E5786">
        <w:rPr>
          <w:rFonts w:cs="Arial"/>
          <w:szCs w:val="20"/>
        </w:rPr>
        <w:t xml:space="preserve">if agreed with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w:t>
      </w:r>
    </w:p>
    <w:p w14:paraId="3A15A1C9" w14:textId="55D22806" w:rsidR="00D85F7C" w:rsidRPr="000E5786" w:rsidRDefault="00D85F7C" w:rsidP="000C5291">
      <w:pPr>
        <w:pStyle w:val="Heading2"/>
        <w:spacing w:after="120"/>
        <w:rPr>
          <w:rFonts w:cs="Arial"/>
          <w:szCs w:val="20"/>
        </w:rPr>
      </w:pPr>
      <w:r w:rsidRPr="000E5786">
        <w:rPr>
          <w:rFonts w:cs="Arial"/>
          <w:szCs w:val="20"/>
        </w:rPr>
        <w:t xml:space="preserve">On receipt of the Exit Plan,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will provide the Supplier with notice setting out:</w:t>
      </w:r>
    </w:p>
    <w:p w14:paraId="6AEC77BB" w14:textId="360ECD55" w:rsidR="00D85F7C" w:rsidRPr="000E5786" w:rsidRDefault="00D85F7C" w:rsidP="000C5291">
      <w:pPr>
        <w:pStyle w:val="Heading3"/>
      </w:pPr>
      <w:r w:rsidRPr="000E5786">
        <w:t xml:space="preserve">such Supplier Equipment (used exclusively for the provision of the Services to </w:t>
      </w:r>
      <w:proofErr w:type="spellStart"/>
      <w:r w:rsidR="001F1C19">
        <w:t>Netlink</w:t>
      </w:r>
      <w:proofErr w:type="spellEnd"/>
      <w:r w:rsidR="001F1C19">
        <w:t xml:space="preserve"> Star</w:t>
      </w:r>
      <w:r w:rsidRPr="000E5786">
        <w:t xml:space="preserve">) as exists that </w:t>
      </w:r>
      <w:proofErr w:type="spellStart"/>
      <w:r w:rsidR="001F1C19">
        <w:t>Netlink</w:t>
      </w:r>
      <w:proofErr w:type="spellEnd"/>
      <w:r w:rsidR="001F1C19">
        <w:t xml:space="preserve"> Star</w:t>
      </w:r>
      <w:r w:rsidRPr="000E5786">
        <w:t xml:space="preserve"> requires and which it would like transferred to </w:t>
      </w:r>
      <w:proofErr w:type="spellStart"/>
      <w:r w:rsidR="001F1C19">
        <w:t>Netlink</w:t>
      </w:r>
      <w:proofErr w:type="spellEnd"/>
      <w:r w:rsidR="001F1C19">
        <w:t xml:space="preserve"> Star</w:t>
      </w:r>
      <w:r w:rsidRPr="000E5786">
        <w:t xml:space="preserve"> and/or its Replacement Supplier and which the Supplier agrees to sell; and</w:t>
      </w:r>
    </w:p>
    <w:p w14:paraId="0CBA275D" w14:textId="12B56BC0" w:rsidR="00D85F7C" w:rsidRPr="000E5786" w:rsidRDefault="00D85F7C" w:rsidP="000C5291">
      <w:pPr>
        <w:pStyle w:val="Heading3"/>
      </w:pPr>
      <w:r w:rsidRPr="000E5786">
        <w:t xml:space="preserve">which sub-contracts and other agreements specified in </w:t>
      </w:r>
      <w:r w:rsidR="00CA6145" w:rsidRPr="000E5786">
        <w:t xml:space="preserve">Paragraph </w:t>
      </w:r>
      <w:r w:rsidRPr="000E5786">
        <w:t xml:space="preserve">6.1 above </w:t>
      </w:r>
      <w:proofErr w:type="spellStart"/>
      <w:r w:rsidR="001F1C19">
        <w:t>Netlink</w:t>
      </w:r>
      <w:proofErr w:type="spellEnd"/>
      <w:r w:rsidR="001F1C19">
        <w:t xml:space="preserve"> Star</w:t>
      </w:r>
      <w:r w:rsidRPr="000E5786">
        <w:t xml:space="preserve"> requires to be assigned or novated to </w:t>
      </w:r>
      <w:proofErr w:type="spellStart"/>
      <w:r w:rsidR="001F1C19">
        <w:t>Netlink</w:t>
      </w:r>
      <w:proofErr w:type="spellEnd"/>
      <w:r w:rsidR="001F1C19">
        <w:t xml:space="preserve"> Star</w:t>
      </w:r>
      <w:r w:rsidRPr="000E5786">
        <w:t xml:space="preserve"> and/or its Replacement Supplier,</w:t>
      </w:r>
    </w:p>
    <w:p w14:paraId="5C84D9F3" w14:textId="088F2464" w:rsidR="00D85F7C" w:rsidRPr="000E5786" w:rsidRDefault="00D85F7C" w:rsidP="000C649C">
      <w:pPr>
        <w:pStyle w:val="Body1"/>
        <w:spacing w:after="120" w:line="240" w:lineRule="auto"/>
        <w:ind w:left="709" w:firstLine="0"/>
        <w:rPr>
          <w:rFonts w:ascii="Arial" w:hAnsi="Arial" w:cs="Arial"/>
        </w:rPr>
      </w:pPr>
      <w:proofErr w:type="gramStart"/>
      <w:r w:rsidRPr="000E5786">
        <w:rPr>
          <w:rFonts w:ascii="Arial" w:hAnsi="Arial" w:cs="Arial"/>
        </w:rPr>
        <w:t>in order for</w:t>
      </w:r>
      <w:proofErr w:type="gramEnd"/>
      <w:r w:rsidRPr="000E5786">
        <w:rPr>
          <w:rFonts w:ascii="Arial" w:hAnsi="Arial" w:cs="Arial"/>
        </w:rPr>
        <w:t xml:space="preserve"> </w:t>
      </w:r>
      <w:proofErr w:type="spellStart"/>
      <w:r w:rsidR="001F1C19">
        <w:rPr>
          <w:rFonts w:ascii="Arial" w:hAnsi="Arial" w:cs="Arial"/>
        </w:rPr>
        <w:t>Netlink</w:t>
      </w:r>
      <w:proofErr w:type="spellEnd"/>
      <w:r w:rsidR="001F1C19">
        <w:rPr>
          <w:rFonts w:ascii="Arial" w:hAnsi="Arial" w:cs="Arial"/>
        </w:rPr>
        <w:t xml:space="preserve"> Star</w:t>
      </w:r>
      <w:r w:rsidRPr="000E5786">
        <w:rPr>
          <w:rFonts w:ascii="Arial" w:hAnsi="Arial" w:cs="Arial"/>
        </w:rPr>
        <w:t xml:space="preserve"> and/or the Replacement Supplier to continue to provide the Services. The Supplier, where requested by </w:t>
      </w:r>
      <w:proofErr w:type="spellStart"/>
      <w:r w:rsidR="001F1C19">
        <w:rPr>
          <w:rFonts w:ascii="Arial" w:hAnsi="Arial" w:cs="Arial"/>
        </w:rPr>
        <w:t>Netlink</w:t>
      </w:r>
      <w:proofErr w:type="spellEnd"/>
      <w:r w:rsidR="001F1C19">
        <w:rPr>
          <w:rFonts w:ascii="Arial" w:hAnsi="Arial" w:cs="Arial"/>
        </w:rPr>
        <w:t xml:space="preserve"> Star</w:t>
      </w:r>
      <w:r w:rsidRPr="000E5786">
        <w:rPr>
          <w:rFonts w:ascii="Arial" w:hAnsi="Arial" w:cs="Arial"/>
        </w:rPr>
        <w:t xml:space="preserve">, shall provide all reasonable assistance to </w:t>
      </w:r>
      <w:proofErr w:type="spellStart"/>
      <w:r w:rsidR="001F1C19">
        <w:rPr>
          <w:rFonts w:ascii="Arial" w:hAnsi="Arial" w:cs="Arial"/>
        </w:rPr>
        <w:t>Netlink</w:t>
      </w:r>
      <w:proofErr w:type="spellEnd"/>
      <w:r w:rsidR="001F1C19">
        <w:rPr>
          <w:rFonts w:ascii="Arial" w:hAnsi="Arial" w:cs="Arial"/>
        </w:rPr>
        <w:t xml:space="preserve"> Star</w:t>
      </w:r>
      <w:r w:rsidRPr="000E5786">
        <w:rPr>
          <w:rFonts w:ascii="Arial" w:hAnsi="Arial" w:cs="Arial"/>
        </w:rPr>
        <w:t xml:space="preserve"> and /or the Replacement Supplier to enable it to determine which Hardware, Software and Applications and sub-contracts and other agreements are required </w:t>
      </w:r>
      <w:proofErr w:type="gramStart"/>
      <w:r w:rsidRPr="000E5786">
        <w:rPr>
          <w:rFonts w:ascii="Arial" w:hAnsi="Arial" w:cs="Arial"/>
        </w:rPr>
        <w:t>in order to</w:t>
      </w:r>
      <w:proofErr w:type="gramEnd"/>
      <w:r w:rsidRPr="000E5786">
        <w:rPr>
          <w:rFonts w:ascii="Arial" w:hAnsi="Arial" w:cs="Arial"/>
        </w:rPr>
        <w:t xml:space="preserve"> provide the Services.</w:t>
      </w:r>
    </w:p>
    <w:p w14:paraId="6FAA1DD6" w14:textId="04CBFA7D" w:rsidR="00D85F7C" w:rsidRPr="000E5786" w:rsidRDefault="00D85F7C" w:rsidP="000C5291">
      <w:pPr>
        <w:pStyle w:val="Heading2"/>
        <w:spacing w:after="120"/>
        <w:rPr>
          <w:rFonts w:cs="Arial"/>
          <w:szCs w:val="20"/>
        </w:rPr>
      </w:pPr>
      <w:r w:rsidRPr="000E5786">
        <w:rPr>
          <w:rFonts w:cs="Arial"/>
          <w:szCs w:val="20"/>
        </w:rPr>
        <w:t xml:space="preserve">If requested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the Supplier shall assign, or procure the novation,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such sub-contracts and other agreements as specified in the notice provided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under </w:t>
      </w:r>
      <w:r w:rsidR="00CA6145" w:rsidRPr="000E5786">
        <w:rPr>
          <w:rFonts w:cs="Arial"/>
          <w:bCs w:val="0"/>
          <w:szCs w:val="20"/>
        </w:rPr>
        <w:t xml:space="preserve">Paragraph </w:t>
      </w:r>
      <w:r w:rsidRPr="000E5786">
        <w:rPr>
          <w:rFonts w:cs="Arial"/>
          <w:bCs w:val="0"/>
          <w:szCs w:val="20"/>
        </w:rPr>
        <w:t>6.1</w:t>
      </w:r>
      <w:r w:rsidRPr="000E5786">
        <w:rPr>
          <w:rFonts w:cs="Arial"/>
          <w:szCs w:val="20"/>
        </w:rPr>
        <w:t xml:space="preserve"> above.</w:t>
      </w:r>
    </w:p>
    <w:p w14:paraId="7A3F82B8" w14:textId="77777777" w:rsidR="0079550C" w:rsidRPr="000E5786" w:rsidRDefault="0079550C" w:rsidP="0079550C">
      <w:pPr>
        <w:pStyle w:val="Heading2"/>
        <w:numPr>
          <w:ilvl w:val="0"/>
          <w:numId w:val="0"/>
        </w:numPr>
        <w:spacing w:after="120"/>
        <w:ind w:left="709"/>
        <w:rPr>
          <w:rFonts w:cs="Arial"/>
          <w:szCs w:val="20"/>
        </w:rPr>
      </w:pPr>
    </w:p>
    <w:p w14:paraId="6C477D6C" w14:textId="77777777" w:rsidR="00D85F7C" w:rsidRPr="000E5786" w:rsidRDefault="00D85F7C" w:rsidP="000C5291">
      <w:pPr>
        <w:pStyle w:val="Heading1"/>
        <w:spacing w:after="120"/>
        <w:rPr>
          <w:rFonts w:cs="Arial"/>
          <w:szCs w:val="20"/>
        </w:rPr>
      </w:pPr>
      <w:bookmarkStart w:id="2394" w:name="_Toc23113680"/>
      <w:r w:rsidRPr="000E5786">
        <w:rPr>
          <w:rFonts w:cs="Arial"/>
          <w:szCs w:val="20"/>
        </w:rPr>
        <w:t>Software (including Licences)</w:t>
      </w:r>
      <w:bookmarkEnd w:id="2394"/>
    </w:p>
    <w:p w14:paraId="0DA37A9E" w14:textId="77777777" w:rsidR="00D85F7C" w:rsidRPr="000E5786" w:rsidRDefault="00D85F7C" w:rsidP="000C5291">
      <w:pPr>
        <w:pStyle w:val="Heading2"/>
        <w:spacing w:after="120"/>
        <w:rPr>
          <w:rFonts w:cs="Arial"/>
          <w:szCs w:val="20"/>
        </w:rPr>
      </w:pPr>
      <w:r w:rsidRPr="000E5786">
        <w:rPr>
          <w:rFonts w:cs="Arial"/>
          <w:szCs w:val="20"/>
        </w:rPr>
        <w:t>A list of all the Software used in the operation and delivery of the Services will be maintained as part of normal operation of the Agreement in Schedule 5 (</w:t>
      </w:r>
      <w:r w:rsidRPr="000C649C">
        <w:rPr>
          <w:rFonts w:cs="Arial"/>
          <w:szCs w:val="20"/>
        </w:rPr>
        <w:t>Software</w:t>
      </w:r>
      <w:r w:rsidRPr="000E5786">
        <w:rPr>
          <w:rFonts w:cs="Arial"/>
          <w:szCs w:val="20"/>
        </w:rPr>
        <w:t>). Additional information shall be maintained as part of this section the Exit Plan showing whether each item of software is:</w:t>
      </w:r>
    </w:p>
    <w:p w14:paraId="53A3C5E8" w14:textId="0023079A" w:rsidR="00D85F7C" w:rsidRPr="000E5786" w:rsidRDefault="001F1C19" w:rsidP="000C5291">
      <w:pPr>
        <w:pStyle w:val="Heading3"/>
      </w:pPr>
      <w:proofErr w:type="spellStart"/>
      <w:r>
        <w:t>Netlink</w:t>
      </w:r>
      <w:proofErr w:type="spellEnd"/>
      <w:r>
        <w:t xml:space="preserve"> Star</w:t>
      </w:r>
      <w:r w:rsidR="00D85F7C" w:rsidRPr="000E5786">
        <w:t xml:space="preserve"> proprietary (</w:t>
      </w:r>
      <w:proofErr w:type="gramStart"/>
      <w:r w:rsidR="00D85F7C" w:rsidRPr="000E5786">
        <w:t>i.e.</w:t>
      </w:r>
      <w:proofErr w:type="gramEnd"/>
      <w:r w:rsidR="00D85F7C" w:rsidRPr="000E5786">
        <w:t xml:space="preserve"> </w:t>
      </w:r>
      <w:proofErr w:type="spellStart"/>
      <w:r>
        <w:t>Netlink</w:t>
      </w:r>
      <w:proofErr w:type="spellEnd"/>
      <w:r>
        <w:t xml:space="preserve"> Star</w:t>
      </w:r>
      <w:r w:rsidR="00D85F7C" w:rsidRPr="000E5786">
        <w:t xml:space="preserve"> owns the IPR);</w:t>
      </w:r>
    </w:p>
    <w:p w14:paraId="4CEC2C33" w14:textId="5AE73EDD" w:rsidR="00D85F7C" w:rsidRPr="000E5786" w:rsidRDefault="001F1C19" w:rsidP="000C5291">
      <w:pPr>
        <w:pStyle w:val="Heading3"/>
      </w:pPr>
      <w:proofErr w:type="spellStart"/>
      <w:r>
        <w:t>Netlink</w:t>
      </w:r>
      <w:proofErr w:type="spellEnd"/>
      <w:r>
        <w:t xml:space="preserve"> Star</w:t>
      </w:r>
      <w:r w:rsidR="00D85F7C" w:rsidRPr="000E5786">
        <w:t xml:space="preserve"> licensed (</w:t>
      </w:r>
      <w:proofErr w:type="gramStart"/>
      <w:r w:rsidR="00D85F7C" w:rsidRPr="000E5786">
        <w:t>i.e.</w:t>
      </w:r>
      <w:proofErr w:type="gramEnd"/>
      <w:r w:rsidR="00D85F7C" w:rsidRPr="000E5786">
        <w:t xml:space="preserve"> IPR owned by a third party);</w:t>
      </w:r>
    </w:p>
    <w:p w14:paraId="1B686EFB" w14:textId="77777777" w:rsidR="00D85F7C" w:rsidRPr="000E5786" w:rsidRDefault="00D85F7C" w:rsidP="000C5291">
      <w:pPr>
        <w:pStyle w:val="Heading3"/>
      </w:pPr>
      <w:r w:rsidRPr="000E5786">
        <w:t>Supplier proprietary (</w:t>
      </w:r>
      <w:proofErr w:type="gramStart"/>
      <w:r w:rsidRPr="000E5786">
        <w:t>i.e.</w:t>
      </w:r>
      <w:proofErr w:type="gramEnd"/>
      <w:r w:rsidRPr="000E5786">
        <w:t xml:space="preserve"> used/supplied by the Supplier in connection with delivery of the Services and owned by the Supplier); or</w:t>
      </w:r>
    </w:p>
    <w:p w14:paraId="10764D7B" w14:textId="7186CC25" w:rsidR="00D85F7C" w:rsidRPr="000E5786" w:rsidRDefault="00D85F7C" w:rsidP="000C5291">
      <w:pPr>
        <w:pStyle w:val="Heading3"/>
      </w:pPr>
      <w:r w:rsidRPr="000E5786">
        <w:t>Supplier licensed (</w:t>
      </w:r>
      <w:proofErr w:type="gramStart"/>
      <w:r w:rsidRPr="000E5786">
        <w:t>i.e.</w:t>
      </w:r>
      <w:proofErr w:type="gramEnd"/>
      <w:r w:rsidRPr="000E5786">
        <w:t xml:space="preserve"> used/supplied by the Supplier and IPR owned by a third party).</w:t>
      </w:r>
    </w:p>
    <w:p w14:paraId="5B5298A8" w14:textId="77777777" w:rsidR="0079550C" w:rsidRPr="000E5786" w:rsidRDefault="0079550C" w:rsidP="000C5291">
      <w:pPr>
        <w:pStyle w:val="Heading3"/>
      </w:pPr>
    </w:p>
    <w:p w14:paraId="2587274D" w14:textId="05D9E845" w:rsidR="00D85F7C" w:rsidRPr="000E5786" w:rsidRDefault="00D85F7C" w:rsidP="000C5291">
      <w:pPr>
        <w:pStyle w:val="Heading1"/>
        <w:spacing w:after="120"/>
        <w:rPr>
          <w:rFonts w:cs="Arial"/>
          <w:bCs w:val="0"/>
          <w:szCs w:val="20"/>
        </w:rPr>
      </w:pPr>
      <w:bookmarkStart w:id="2395" w:name="_Toc23113681"/>
      <w:r w:rsidRPr="000E5786">
        <w:rPr>
          <w:rFonts w:cs="Arial"/>
          <w:bCs w:val="0"/>
          <w:szCs w:val="20"/>
        </w:rPr>
        <w:t>IPR (including methodologies)</w:t>
      </w:r>
      <w:bookmarkEnd w:id="2395"/>
    </w:p>
    <w:p w14:paraId="4CFB709D" w14:textId="0AB7508F" w:rsidR="00D85F7C" w:rsidRPr="000E5786" w:rsidRDefault="00D85F7C" w:rsidP="0079550C">
      <w:pPr>
        <w:pStyle w:val="Heading2"/>
        <w:numPr>
          <w:ilvl w:val="0"/>
          <w:numId w:val="0"/>
        </w:numPr>
        <w:spacing w:after="120"/>
        <w:ind w:left="709"/>
        <w:rPr>
          <w:rFonts w:cs="Arial"/>
          <w:szCs w:val="20"/>
        </w:rPr>
      </w:pPr>
      <w:r w:rsidRPr="000E5786">
        <w:rPr>
          <w:rFonts w:cs="Arial"/>
          <w:szCs w:val="20"/>
        </w:rPr>
        <w:t>This section of the Exit Plan shall contain a list of all the IPR (including methodologies) used in the operation and delivery of the Services. The Supplier shall identify those that are transferable and shall only be required to provide necessary details on those that are transferable.</w:t>
      </w:r>
    </w:p>
    <w:p w14:paraId="359A242A" w14:textId="77777777" w:rsidR="0079550C" w:rsidRPr="000E5786" w:rsidRDefault="0079550C" w:rsidP="0079550C">
      <w:pPr>
        <w:pStyle w:val="Heading2"/>
        <w:numPr>
          <w:ilvl w:val="0"/>
          <w:numId w:val="0"/>
        </w:numPr>
        <w:spacing w:after="120"/>
        <w:ind w:left="709"/>
        <w:rPr>
          <w:rFonts w:cs="Arial"/>
          <w:szCs w:val="20"/>
        </w:rPr>
      </w:pPr>
    </w:p>
    <w:p w14:paraId="651C275A" w14:textId="77777777" w:rsidR="00D85F7C" w:rsidRPr="000E5786" w:rsidRDefault="00D85F7C" w:rsidP="000C5291">
      <w:pPr>
        <w:pStyle w:val="Heading1"/>
        <w:spacing w:after="120"/>
        <w:rPr>
          <w:rFonts w:cs="Arial"/>
          <w:szCs w:val="20"/>
        </w:rPr>
      </w:pPr>
      <w:bookmarkStart w:id="2396" w:name="_Toc23113682"/>
      <w:r w:rsidRPr="000E5786">
        <w:rPr>
          <w:rFonts w:cs="Arial"/>
          <w:szCs w:val="20"/>
        </w:rPr>
        <w:t>Infrastructure</w:t>
      </w:r>
      <w:bookmarkEnd w:id="2396"/>
    </w:p>
    <w:p w14:paraId="041E8C41" w14:textId="74638CA9" w:rsidR="00D85F7C" w:rsidRPr="000E5786" w:rsidRDefault="00D85F7C" w:rsidP="0079550C">
      <w:pPr>
        <w:pStyle w:val="Heading2"/>
        <w:numPr>
          <w:ilvl w:val="0"/>
          <w:numId w:val="0"/>
        </w:numPr>
        <w:spacing w:after="120"/>
        <w:ind w:left="709"/>
        <w:rPr>
          <w:rFonts w:cs="Arial"/>
          <w:szCs w:val="20"/>
        </w:rPr>
      </w:pPr>
      <w:r w:rsidRPr="000E5786">
        <w:rPr>
          <w:rFonts w:cs="Arial"/>
          <w:szCs w:val="20"/>
        </w:rPr>
        <w:t xml:space="preserve">In this section of the Exit Plan, the Supplier shall insert a detailed description of the infrastructure used to provide the Services and a detailed process explaining how it will be decommissioned if required by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w:t>
      </w:r>
    </w:p>
    <w:p w14:paraId="05069DD0" w14:textId="77777777" w:rsidR="0079550C" w:rsidRPr="000E5786" w:rsidRDefault="0079550C" w:rsidP="0079550C">
      <w:pPr>
        <w:pStyle w:val="Heading2"/>
        <w:numPr>
          <w:ilvl w:val="0"/>
          <w:numId w:val="0"/>
        </w:numPr>
        <w:spacing w:after="120"/>
        <w:ind w:left="709"/>
        <w:rPr>
          <w:rFonts w:cs="Arial"/>
          <w:szCs w:val="20"/>
        </w:rPr>
      </w:pPr>
    </w:p>
    <w:p w14:paraId="22F743F3" w14:textId="77777777" w:rsidR="00D85F7C" w:rsidRPr="000E5786" w:rsidRDefault="00D85F7C" w:rsidP="000C5291">
      <w:pPr>
        <w:pStyle w:val="Heading1"/>
        <w:spacing w:after="120"/>
        <w:rPr>
          <w:rFonts w:cs="Arial"/>
          <w:bCs w:val="0"/>
          <w:szCs w:val="20"/>
        </w:rPr>
      </w:pPr>
      <w:bookmarkStart w:id="2397" w:name="_Toc23113686"/>
      <w:r w:rsidRPr="000E5786">
        <w:rPr>
          <w:rFonts w:cs="Arial"/>
          <w:bCs w:val="0"/>
          <w:szCs w:val="20"/>
        </w:rPr>
        <w:t>Normal Service Documentation</w:t>
      </w:r>
      <w:bookmarkEnd w:id="2397"/>
    </w:p>
    <w:p w14:paraId="02F68CCF" w14:textId="2A181898" w:rsidR="00D85F7C" w:rsidRPr="000E5786" w:rsidRDefault="00D85F7C" w:rsidP="000C5291">
      <w:pPr>
        <w:pStyle w:val="Heading2"/>
        <w:spacing w:after="120"/>
        <w:rPr>
          <w:rFonts w:cs="Arial"/>
          <w:szCs w:val="20"/>
        </w:rPr>
      </w:pPr>
      <w:r w:rsidRPr="000E5786">
        <w:rPr>
          <w:rFonts w:cs="Arial"/>
          <w:szCs w:val="20"/>
        </w:rPr>
        <w:t xml:space="preserve">The Supplier will maintain the Documentation up to date as part of normal operation of the Agreement and the detail must be sufficient to provide all the information reasonably required </w:t>
      </w:r>
      <w:r w:rsidRPr="000E5786">
        <w:rPr>
          <w:rFonts w:cs="Arial"/>
          <w:szCs w:val="20"/>
        </w:rPr>
        <w:lastRenderedPageBreak/>
        <w:t xml:space="preserve">to enable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or the Replacement Supplier, to re-create, operate and manage the equivalent Hardware and Software environments. This Documentation shall include:</w:t>
      </w:r>
    </w:p>
    <w:p w14:paraId="47849845" w14:textId="77777777" w:rsidR="00D85F7C" w:rsidRPr="000E5786" w:rsidRDefault="00D85F7C" w:rsidP="000C5291">
      <w:pPr>
        <w:pStyle w:val="Heading3"/>
      </w:pPr>
      <w:r w:rsidRPr="000E5786">
        <w:t xml:space="preserve">Services descriptions and Service Levels </w:t>
      </w:r>
      <w:proofErr w:type="gramStart"/>
      <w:r w:rsidRPr="000E5786">
        <w:t>descriptions;</w:t>
      </w:r>
      <w:proofErr w:type="gramEnd"/>
    </w:p>
    <w:p w14:paraId="44D27C50" w14:textId="5EB7CDB6" w:rsidR="00D85F7C" w:rsidRPr="000E5786" w:rsidRDefault="000C649C" w:rsidP="000C5291">
      <w:pPr>
        <w:pStyle w:val="Heading3"/>
      </w:pPr>
      <w:r w:rsidRPr="000E5786">
        <w:t xml:space="preserve">all </w:t>
      </w:r>
      <w:r w:rsidR="00D85F7C" w:rsidRPr="000E5786">
        <w:t xml:space="preserve">operational procedures, standards documentation and forms used in the provision of Services including configuration, installation scripts and Run </w:t>
      </w:r>
      <w:proofErr w:type="gramStart"/>
      <w:r w:rsidR="00D85F7C" w:rsidRPr="000E5786">
        <w:t>Books;</w:t>
      </w:r>
      <w:proofErr w:type="gramEnd"/>
    </w:p>
    <w:p w14:paraId="59F7F376" w14:textId="19A2B9A7" w:rsidR="00D85F7C" w:rsidRPr="000E5786" w:rsidRDefault="000C649C" w:rsidP="000C5291">
      <w:pPr>
        <w:pStyle w:val="Heading3"/>
      </w:pPr>
      <w:r w:rsidRPr="000E5786">
        <w:t xml:space="preserve">a </w:t>
      </w:r>
      <w:r w:rsidR="00D85F7C" w:rsidRPr="000E5786">
        <w:t xml:space="preserve">list of all tools and proprietary systems used to provide the </w:t>
      </w:r>
      <w:proofErr w:type="gramStart"/>
      <w:r w:rsidR="00D85F7C" w:rsidRPr="000E5786">
        <w:t>Services;</w:t>
      </w:r>
      <w:proofErr w:type="gramEnd"/>
    </w:p>
    <w:p w14:paraId="1843CD03" w14:textId="2F8D5508" w:rsidR="00D85F7C" w:rsidRPr="000E5786" w:rsidRDefault="000C649C" w:rsidP="000C5291">
      <w:pPr>
        <w:pStyle w:val="Heading3"/>
      </w:pPr>
      <w:r w:rsidRPr="000E5786">
        <w:t xml:space="preserve">schedule </w:t>
      </w:r>
      <w:r w:rsidR="00D85F7C" w:rsidRPr="000E5786">
        <w:t xml:space="preserve">of locations from where the Services are provided and </w:t>
      </w:r>
      <w:proofErr w:type="gramStart"/>
      <w:r w:rsidR="00D85F7C" w:rsidRPr="000E5786">
        <w:t>supported;</w:t>
      </w:r>
      <w:proofErr w:type="gramEnd"/>
    </w:p>
    <w:p w14:paraId="7C1CA914" w14:textId="797459F4" w:rsidR="00D85F7C" w:rsidRPr="000E5786" w:rsidRDefault="00D85F7C" w:rsidP="000C5291">
      <w:pPr>
        <w:pStyle w:val="Heading3"/>
      </w:pPr>
      <w:r w:rsidRPr="000E5786">
        <w:t xml:space="preserve">Business Continuity Plan, with necessary inputs from </w:t>
      </w:r>
      <w:proofErr w:type="spellStart"/>
      <w:r w:rsidR="001F1C19">
        <w:t>Netlink</w:t>
      </w:r>
      <w:proofErr w:type="spellEnd"/>
      <w:r w:rsidR="001F1C19">
        <w:t xml:space="preserve"> </w:t>
      </w:r>
      <w:proofErr w:type="gramStart"/>
      <w:r w:rsidR="001F1C19">
        <w:t>Star</w:t>
      </w:r>
      <w:r w:rsidRPr="000E5786">
        <w:t>;</w:t>
      </w:r>
      <w:proofErr w:type="gramEnd"/>
    </w:p>
    <w:p w14:paraId="728F5EEC" w14:textId="6216C787" w:rsidR="00D85F7C" w:rsidRPr="000E5786" w:rsidRDefault="000C649C" w:rsidP="000C5291">
      <w:pPr>
        <w:pStyle w:val="Heading3"/>
      </w:pPr>
      <w:r w:rsidRPr="000E5786">
        <w:t xml:space="preserve">copies </w:t>
      </w:r>
      <w:r w:rsidR="00D85F7C" w:rsidRPr="000E5786">
        <w:t xml:space="preserve">of Change Approval Notices or equivalent forms, both agreed and </w:t>
      </w:r>
      <w:proofErr w:type="gramStart"/>
      <w:r w:rsidR="00D85F7C" w:rsidRPr="000E5786">
        <w:t>pending;</w:t>
      </w:r>
      <w:proofErr w:type="gramEnd"/>
    </w:p>
    <w:p w14:paraId="01396AEA" w14:textId="4D0D6BC0" w:rsidR="00D85F7C" w:rsidRPr="000E5786" w:rsidRDefault="000C649C" w:rsidP="000C5291">
      <w:pPr>
        <w:pStyle w:val="Heading3"/>
      </w:pPr>
      <w:r w:rsidRPr="000E5786">
        <w:t xml:space="preserve">copies </w:t>
      </w:r>
      <w:r w:rsidR="00D85F7C" w:rsidRPr="000E5786">
        <w:t xml:space="preserve">of requests including Catalogue Items, both agreed and </w:t>
      </w:r>
      <w:proofErr w:type="gramStart"/>
      <w:r w:rsidR="00D85F7C" w:rsidRPr="000E5786">
        <w:t>pending;</w:t>
      </w:r>
      <w:proofErr w:type="gramEnd"/>
    </w:p>
    <w:p w14:paraId="12C74B22" w14:textId="414264E3" w:rsidR="00D85F7C" w:rsidRPr="000E5786" w:rsidRDefault="000C649C" w:rsidP="000C5291">
      <w:pPr>
        <w:pStyle w:val="Heading3"/>
      </w:pPr>
      <w:r w:rsidRPr="000E5786">
        <w:t xml:space="preserve">list </w:t>
      </w:r>
      <w:r w:rsidR="00D85F7C" w:rsidRPr="000E5786">
        <w:t xml:space="preserve">of all outstanding Incidents and </w:t>
      </w:r>
      <w:proofErr w:type="gramStart"/>
      <w:r w:rsidR="00D85F7C" w:rsidRPr="000E5786">
        <w:t>Problems;</w:t>
      </w:r>
      <w:proofErr w:type="gramEnd"/>
    </w:p>
    <w:p w14:paraId="029A0CB5" w14:textId="44699EEE" w:rsidR="00D85F7C" w:rsidRPr="000E5786" w:rsidRDefault="000C649C" w:rsidP="000C5291">
      <w:pPr>
        <w:pStyle w:val="Heading3"/>
      </w:pPr>
      <w:r w:rsidRPr="000E5786">
        <w:t xml:space="preserve">details </w:t>
      </w:r>
      <w:r w:rsidR="00D85F7C" w:rsidRPr="000E5786">
        <w:t xml:space="preserve">of all incomplete Services or unaccepted Services as at the Exit </w:t>
      </w:r>
      <w:proofErr w:type="gramStart"/>
      <w:r w:rsidR="00D85F7C" w:rsidRPr="000E5786">
        <w:t>Date;</w:t>
      </w:r>
      <w:proofErr w:type="gramEnd"/>
    </w:p>
    <w:p w14:paraId="6AE620F4" w14:textId="3EA297E1" w:rsidR="00D85F7C" w:rsidRPr="000E5786" w:rsidRDefault="000C649C" w:rsidP="000C5291">
      <w:pPr>
        <w:pStyle w:val="Heading3"/>
      </w:pPr>
      <w:r w:rsidRPr="000E5786">
        <w:t xml:space="preserve">all </w:t>
      </w:r>
      <w:r w:rsidR="00D85F7C" w:rsidRPr="000E5786">
        <w:t>Service history records; and</w:t>
      </w:r>
    </w:p>
    <w:p w14:paraId="198B24BF" w14:textId="7FABE491" w:rsidR="00D85F7C" w:rsidRPr="000E5786" w:rsidRDefault="000C649C" w:rsidP="000C5291">
      <w:pPr>
        <w:pStyle w:val="Heading3"/>
      </w:pPr>
      <w:r w:rsidRPr="000E5786">
        <w:t xml:space="preserve">information </w:t>
      </w:r>
      <w:r w:rsidR="00D85F7C" w:rsidRPr="000E5786">
        <w:t xml:space="preserve">about partially completed Projects, Deliverables, </w:t>
      </w:r>
      <w:proofErr w:type="gramStart"/>
      <w:r w:rsidR="00D85F7C" w:rsidRPr="000E5786">
        <w:t>work</w:t>
      </w:r>
      <w:proofErr w:type="gramEnd"/>
      <w:r w:rsidR="00D85F7C" w:rsidRPr="000E5786">
        <w:t xml:space="preserve"> or Services. Such information shall be sufficiently detailed in accordance with Best Industry Practice to enable </w:t>
      </w:r>
      <w:proofErr w:type="spellStart"/>
      <w:r w:rsidR="001F1C19">
        <w:t>Netlink</w:t>
      </w:r>
      <w:proofErr w:type="spellEnd"/>
      <w:r w:rsidR="001F1C19">
        <w:t xml:space="preserve"> Star</w:t>
      </w:r>
      <w:r w:rsidR="00D85F7C" w:rsidRPr="000E5786">
        <w:t xml:space="preserve"> or the Replacement Supplier to be able to complete the relevant Projects, Deliverables, </w:t>
      </w:r>
      <w:proofErr w:type="gramStart"/>
      <w:r w:rsidR="00D85F7C" w:rsidRPr="000E5786">
        <w:t>work</w:t>
      </w:r>
      <w:proofErr w:type="gramEnd"/>
      <w:r w:rsidR="00D85F7C" w:rsidRPr="000E5786">
        <w:t xml:space="preserve"> or Services.</w:t>
      </w:r>
    </w:p>
    <w:p w14:paraId="74049B5F" w14:textId="77777777" w:rsidR="0079550C" w:rsidRPr="000E5786" w:rsidRDefault="0079550C" w:rsidP="000C5291">
      <w:pPr>
        <w:pStyle w:val="Heading3"/>
      </w:pPr>
    </w:p>
    <w:p w14:paraId="0A0D7C25" w14:textId="53E22287" w:rsidR="00D85F7C" w:rsidRPr="000E5786" w:rsidRDefault="00D85F7C" w:rsidP="000C5291">
      <w:pPr>
        <w:pStyle w:val="Heading1"/>
        <w:spacing w:after="120"/>
        <w:rPr>
          <w:rFonts w:cs="Arial"/>
          <w:szCs w:val="20"/>
        </w:rPr>
      </w:pPr>
      <w:bookmarkStart w:id="2398" w:name="_Toc23113687"/>
      <w:r w:rsidRPr="000E5786">
        <w:rPr>
          <w:rFonts w:cs="Arial"/>
          <w:szCs w:val="20"/>
        </w:rPr>
        <w:t>Training</w:t>
      </w:r>
      <w:bookmarkEnd w:id="2398"/>
    </w:p>
    <w:p w14:paraId="4260593B" w14:textId="77777777" w:rsidR="00D85F7C" w:rsidRPr="000E5786" w:rsidRDefault="00D85F7C" w:rsidP="000C5291">
      <w:pPr>
        <w:pStyle w:val="Heading2"/>
        <w:spacing w:after="120"/>
        <w:rPr>
          <w:rFonts w:cs="Arial"/>
          <w:szCs w:val="20"/>
        </w:rPr>
      </w:pPr>
      <w:r w:rsidRPr="000E5786">
        <w:rPr>
          <w:rFonts w:cs="Arial"/>
          <w:szCs w:val="20"/>
        </w:rPr>
        <w:t>The training to be provided by the Supplier shall be detailed in this section of the Exit Plan. As a minimum, the Supplier will provide:</w:t>
      </w:r>
    </w:p>
    <w:p w14:paraId="054BF258" w14:textId="5DFD3324" w:rsidR="00D85F7C" w:rsidRPr="000E5786" w:rsidRDefault="00D85F7C" w:rsidP="000C5291">
      <w:pPr>
        <w:pStyle w:val="Heading3"/>
      </w:pPr>
      <w:r w:rsidRPr="000E5786">
        <w:t xml:space="preserve">Agreed training to the staff of either </w:t>
      </w:r>
      <w:proofErr w:type="spellStart"/>
      <w:r w:rsidR="001F1C19">
        <w:t>Netlink</w:t>
      </w:r>
      <w:proofErr w:type="spellEnd"/>
      <w:r w:rsidR="001F1C19">
        <w:t xml:space="preserve"> Star</w:t>
      </w:r>
      <w:r w:rsidRPr="000E5786">
        <w:t xml:space="preserve"> or, at </w:t>
      </w:r>
      <w:proofErr w:type="spellStart"/>
      <w:r w:rsidR="001F1C19">
        <w:t>Netlink</w:t>
      </w:r>
      <w:proofErr w:type="spellEnd"/>
      <w:r w:rsidR="001F1C19">
        <w:t xml:space="preserve"> Star</w:t>
      </w:r>
      <w:r w:rsidRPr="000E5786">
        <w:t xml:space="preserve">’s request, staff of the Replacement Supplier; and </w:t>
      </w:r>
    </w:p>
    <w:p w14:paraId="4D9CDF80" w14:textId="559FD906" w:rsidR="00D85F7C" w:rsidRPr="000E5786" w:rsidRDefault="00D85F7C" w:rsidP="000C5291">
      <w:pPr>
        <w:pStyle w:val="Heading3"/>
      </w:pPr>
      <w:r w:rsidRPr="000E5786">
        <w:t xml:space="preserve">Training plans and materials specifically developed for </w:t>
      </w:r>
      <w:proofErr w:type="spellStart"/>
      <w:r w:rsidR="001F1C19">
        <w:t>Netlink</w:t>
      </w:r>
      <w:proofErr w:type="spellEnd"/>
      <w:r w:rsidR="001F1C19">
        <w:t xml:space="preserve"> Star</w:t>
      </w:r>
      <w:r w:rsidRPr="000E5786">
        <w:t xml:space="preserve"> and used by the Supplier for the induction of new staff members.</w:t>
      </w:r>
    </w:p>
    <w:p w14:paraId="163720EC" w14:textId="6FC98079" w:rsidR="00D85F7C" w:rsidRPr="000E5786" w:rsidRDefault="00D85F7C" w:rsidP="000C5291">
      <w:pPr>
        <w:pStyle w:val="Heading3"/>
      </w:pPr>
      <w:r w:rsidRPr="000E5786">
        <w:t>Costs for proposed training courses and a breakdown of the same.</w:t>
      </w:r>
    </w:p>
    <w:p w14:paraId="205290A1" w14:textId="77777777" w:rsidR="0079550C" w:rsidRPr="000E5786" w:rsidRDefault="0079550C" w:rsidP="000C5291">
      <w:pPr>
        <w:pStyle w:val="Heading3"/>
      </w:pPr>
    </w:p>
    <w:p w14:paraId="5BF6B508" w14:textId="673A896A" w:rsidR="00D85F7C" w:rsidRPr="000E5786" w:rsidRDefault="00D85F7C" w:rsidP="000C5291">
      <w:pPr>
        <w:pStyle w:val="Heading1"/>
        <w:spacing w:after="120"/>
        <w:rPr>
          <w:rFonts w:cs="Arial"/>
          <w:szCs w:val="20"/>
        </w:rPr>
      </w:pPr>
      <w:bookmarkStart w:id="2399" w:name="_Toc23113688"/>
      <w:r w:rsidRPr="000E5786">
        <w:rPr>
          <w:rFonts w:cs="Arial"/>
          <w:bCs w:val="0"/>
          <w:szCs w:val="20"/>
        </w:rPr>
        <w:t>Work</w:t>
      </w:r>
      <w:r w:rsidRPr="000E5786">
        <w:rPr>
          <w:rFonts w:cs="Arial"/>
          <w:b w:val="0"/>
          <w:szCs w:val="20"/>
        </w:rPr>
        <w:t xml:space="preserve"> </w:t>
      </w:r>
      <w:r w:rsidRPr="000E5786">
        <w:rPr>
          <w:rFonts w:cs="Arial"/>
          <w:szCs w:val="20"/>
        </w:rPr>
        <w:t>Shadowing</w:t>
      </w:r>
      <w:bookmarkEnd w:id="2399"/>
    </w:p>
    <w:p w14:paraId="228BCFB2" w14:textId="2A9C8A0E" w:rsidR="00D85F7C" w:rsidRPr="000E5786" w:rsidRDefault="00D85F7C" w:rsidP="000C5291">
      <w:pPr>
        <w:pStyle w:val="Heading2"/>
        <w:spacing w:after="120"/>
        <w:rPr>
          <w:rFonts w:cs="Arial"/>
          <w:szCs w:val="20"/>
        </w:rPr>
      </w:pPr>
      <w:r w:rsidRPr="000E5786">
        <w:rPr>
          <w:rFonts w:cs="Arial"/>
          <w:szCs w:val="20"/>
        </w:rPr>
        <w:t xml:space="preserve">Subject always to the relevant parties entering into confidentiality agreements on terms no less onerous than those set out in </w:t>
      </w:r>
      <w:r w:rsidR="00CA6145" w:rsidRPr="000E5786">
        <w:rPr>
          <w:rFonts w:cs="Arial"/>
          <w:szCs w:val="20"/>
        </w:rPr>
        <w:t xml:space="preserve">clause </w:t>
      </w:r>
      <w:r w:rsidRPr="000E5786">
        <w:rPr>
          <w:rFonts w:cs="Arial"/>
          <w:szCs w:val="20"/>
        </w:rPr>
        <w:t xml:space="preserve">24 of the Agreement, the Supplier shall permit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and/or a Replacement Supplier to observe (remotely, if necessary) the operation and delivery of the Services at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Premises as part of Work Shadowing during the Exit Period provided that such activities do not interfere with the delivery of the Services. Further detail of Work Shadowing shall be included in the Exit Plan. If the Services are interfered with because of the Work Shadowing, then Supplier shall notify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and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shall have the option to require the Work Shadowing to continue, subject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agreeing to reduce or suspend the applicable Service Levels and Service Credits or pay an additional charge so that the Service can continue to be supplied in accordance with the requirements of Schedule 2.</w:t>
      </w:r>
    </w:p>
    <w:p w14:paraId="68F0A507" w14:textId="77777777" w:rsidR="0079550C" w:rsidRPr="000E5786" w:rsidRDefault="0079550C" w:rsidP="0079550C">
      <w:pPr>
        <w:pStyle w:val="Heading2"/>
        <w:numPr>
          <w:ilvl w:val="0"/>
          <w:numId w:val="0"/>
        </w:numPr>
        <w:spacing w:after="120"/>
        <w:ind w:left="709"/>
        <w:rPr>
          <w:rFonts w:cs="Arial"/>
          <w:szCs w:val="20"/>
        </w:rPr>
      </w:pPr>
    </w:p>
    <w:p w14:paraId="68ABA6B2" w14:textId="52690078" w:rsidR="00D85F7C" w:rsidRPr="000E5786" w:rsidRDefault="001F1C19" w:rsidP="000C5291">
      <w:pPr>
        <w:pStyle w:val="Heading1"/>
        <w:spacing w:after="120"/>
        <w:rPr>
          <w:rFonts w:cs="Arial"/>
          <w:b w:val="0"/>
          <w:szCs w:val="20"/>
        </w:rPr>
      </w:pPr>
      <w:bookmarkStart w:id="2400" w:name="_Toc23113690"/>
      <w:r>
        <w:rPr>
          <w:rFonts w:cs="Arial"/>
          <w:bCs w:val="0"/>
          <w:szCs w:val="20"/>
        </w:rPr>
        <w:t>Netlink Star</w:t>
      </w:r>
      <w:r w:rsidR="00D85F7C" w:rsidRPr="000E5786">
        <w:rPr>
          <w:rFonts w:cs="Arial"/>
          <w:b w:val="0"/>
          <w:szCs w:val="20"/>
        </w:rPr>
        <w:t xml:space="preserve"> </w:t>
      </w:r>
      <w:r w:rsidR="00D85F7C" w:rsidRPr="000E5786">
        <w:rPr>
          <w:rFonts w:cs="Arial"/>
          <w:szCs w:val="20"/>
        </w:rPr>
        <w:t>Premises</w:t>
      </w:r>
      <w:bookmarkEnd w:id="2400"/>
    </w:p>
    <w:p w14:paraId="1C26DC00" w14:textId="0CA212B2" w:rsidR="00D85F7C" w:rsidRPr="000E5786" w:rsidRDefault="00D85F7C" w:rsidP="000C5291">
      <w:pPr>
        <w:pStyle w:val="Heading2"/>
        <w:spacing w:after="120"/>
        <w:rPr>
          <w:rFonts w:cs="Arial"/>
          <w:szCs w:val="20"/>
        </w:rPr>
      </w:pPr>
      <w:r w:rsidRPr="000E5786">
        <w:rPr>
          <w:rFonts w:cs="Arial"/>
          <w:szCs w:val="20"/>
        </w:rPr>
        <w:t xml:space="preserve">Except as required to carry out the obligations under </w:t>
      </w:r>
      <w:r w:rsidR="00CA6145" w:rsidRPr="00CA6145">
        <w:rPr>
          <w:rFonts w:cs="Arial"/>
          <w:bCs w:val="0"/>
          <w:szCs w:val="20"/>
        </w:rPr>
        <w:t xml:space="preserve">Paragraph </w:t>
      </w:r>
      <w:r w:rsidRPr="00CA6145">
        <w:rPr>
          <w:rFonts w:cs="Arial"/>
          <w:bCs w:val="0"/>
          <w:szCs w:val="20"/>
        </w:rPr>
        <w:t>5</w:t>
      </w:r>
      <w:r w:rsidRPr="000E5786">
        <w:rPr>
          <w:rFonts w:cs="Arial"/>
          <w:szCs w:val="20"/>
        </w:rPr>
        <w:t xml:space="preserve"> in relation to exit assistance, upon the Exit Date, the Supplier shall:</w:t>
      </w:r>
    </w:p>
    <w:p w14:paraId="19D29D9B" w14:textId="69EB972D" w:rsidR="00D85F7C" w:rsidRPr="000E5786" w:rsidRDefault="00D85F7C" w:rsidP="000C5291">
      <w:pPr>
        <w:pStyle w:val="Heading3"/>
      </w:pPr>
      <w:r w:rsidRPr="000E5786">
        <w:t xml:space="preserve">vacate </w:t>
      </w:r>
      <w:proofErr w:type="spellStart"/>
      <w:r w:rsidR="001F1C19">
        <w:t>Netlink</w:t>
      </w:r>
      <w:proofErr w:type="spellEnd"/>
      <w:r w:rsidR="001F1C19">
        <w:t xml:space="preserve"> Star</w:t>
      </w:r>
      <w:r w:rsidRPr="000E5786">
        <w:t xml:space="preserve"> </w:t>
      </w:r>
      <w:proofErr w:type="gramStart"/>
      <w:r w:rsidRPr="000E5786">
        <w:t>Premises;</w:t>
      </w:r>
      <w:proofErr w:type="gramEnd"/>
    </w:p>
    <w:p w14:paraId="3FF5003A" w14:textId="0E139B94" w:rsidR="00D85F7C" w:rsidRPr="000E5786" w:rsidRDefault="00D85F7C" w:rsidP="000C5291">
      <w:pPr>
        <w:pStyle w:val="Heading3"/>
      </w:pPr>
      <w:r w:rsidRPr="000E5786">
        <w:t xml:space="preserve">leave all agreed items on </w:t>
      </w:r>
      <w:proofErr w:type="spellStart"/>
      <w:r w:rsidR="001F1C19">
        <w:t>Netlink</w:t>
      </w:r>
      <w:proofErr w:type="spellEnd"/>
      <w:r w:rsidR="001F1C19">
        <w:t xml:space="preserve"> Star</w:t>
      </w:r>
      <w:r w:rsidRPr="000E5786">
        <w:t xml:space="preserve"> </w:t>
      </w:r>
      <w:proofErr w:type="gramStart"/>
      <w:r w:rsidRPr="000E5786">
        <w:t>Premises;</w:t>
      </w:r>
      <w:proofErr w:type="gramEnd"/>
    </w:p>
    <w:p w14:paraId="35167E66" w14:textId="70C8D8D3" w:rsidR="00D85F7C" w:rsidRPr="000E5786" w:rsidRDefault="00D85F7C" w:rsidP="000C5291">
      <w:pPr>
        <w:pStyle w:val="Heading3"/>
      </w:pPr>
      <w:r w:rsidRPr="000E5786">
        <w:t xml:space="preserve">return all items on loan (if any) from </w:t>
      </w:r>
      <w:proofErr w:type="spellStart"/>
      <w:r w:rsidR="001F1C19">
        <w:t>Netlink</w:t>
      </w:r>
      <w:proofErr w:type="spellEnd"/>
      <w:r w:rsidR="001F1C19">
        <w:t xml:space="preserve"> Star</w:t>
      </w:r>
      <w:r w:rsidRPr="000E5786">
        <w:t xml:space="preserve"> to </w:t>
      </w:r>
      <w:proofErr w:type="spellStart"/>
      <w:r w:rsidR="001F1C19">
        <w:t>Netlink</w:t>
      </w:r>
      <w:proofErr w:type="spellEnd"/>
      <w:r w:rsidR="001F1C19">
        <w:t xml:space="preserve"> Star</w:t>
      </w:r>
      <w:r w:rsidRPr="000E5786">
        <w:t xml:space="preserve"> Premises, or transfer to the Replacement Supplier Premises, as directed by </w:t>
      </w:r>
      <w:proofErr w:type="spellStart"/>
      <w:r w:rsidR="001F1C19">
        <w:t>Netlink</w:t>
      </w:r>
      <w:proofErr w:type="spellEnd"/>
      <w:r w:rsidR="001F1C19">
        <w:t xml:space="preserve"> </w:t>
      </w:r>
      <w:proofErr w:type="gramStart"/>
      <w:r w:rsidR="001F1C19">
        <w:t>Star</w:t>
      </w:r>
      <w:r w:rsidRPr="000E5786">
        <w:t>;</w:t>
      </w:r>
      <w:proofErr w:type="gramEnd"/>
    </w:p>
    <w:p w14:paraId="3AFBD3EA" w14:textId="15F69AEE" w:rsidR="00D85F7C" w:rsidRPr="000E5786" w:rsidRDefault="00D85F7C" w:rsidP="000C5291">
      <w:pPr>
        <w:pStyle w:val="Heading3"/>
      </w:pPr>
      <w:r w:rsidRPr="000E5786">
        <w:lastRenderedPageBreak/>
        <w:t xml:space="preserve">return all items belonging to </w:t>
      </w:r>
      <w:proofErr w:type="spellStart"/>
      <w:r w:rsidR="001F1C19">
        <w:t>Netlink</w:t>
      </w:r>
      <w:proofErr w:type="spellEnd"/>
      <w:r w:rsidR="001F1C19">
        <w:t xml:space="preserve"> Star</w:t>
      </w:r>
      <w:r w:rsidRPr="000E5786">
        <w:t xml:space="preserve"> to </w:t>
      </w:r>
      <w:proofErr w:type="spellStart"/>
      <w:r w:rsidR="001F1C19">
        <w:t>Netlink</w:t>
      </w:r>
      <w:proofErr w:type="spellEnd"/>
      <w:r w:rsidR="001F1C19">
        <w:t xml:space="preserve"> Star</w:t>
      </w:r>
      <w:r w:rsidRPr="000E5786">
        <w:t xml:space="preserve"> Premises, or transfer to the Replacement Supplier Premises as directed by </w:t>
      </w:r>
      <w:proofErr w:type="spellStart"/>
      <w:r w:rsidR="001F1C19">
        <w:t>Netlink</w:t>
      </w:r>
      <w:proofErr w:type="spellEnd"/>
      <w:r w:rsidR="001F1C19">
        <w:t xml:space="preserve"> </w:t>
      </w:r>
      <w:proofErr w:type="gramStart"/>
      <w:r w:rsidR="001F1C19">
        <w:t>Star</w:t>
      </w:r>
      <w:r w:rsidRPr="000E5786">
        <w:t>;</w:t>
      </w:r>
      <w:proofErr w:type="gramEnd"/>
      <w:r w:rsidRPr="000E5786">
        <w:t xml:space="preserve"> </w:t>
      </w:r>
    </w:p>
    <w:p w14:paraId="69FD8F12" w14:textId="5F572B0C" w:rsidR="00D85F7C" w:rsidRPr="000E5786" w:rsidRDefault="00D85F7C" w:rsidP="000C5291">
      <w:pPr>
        <w:pStyle w:val="Heading3"/>
      </w:pPr>
      <w:r w:rsidRPr="000E5786">
        <w:t xml:space="preserve">redirect future physical deliveries to </w:t>
      </w:r>
      <w:proofErr w:type="spellStart"/>
      <w:r w:rsidR="001F1C19">
        <w:t>Netlink</w:t>
      </w:r>
      <w:proofErr w:type="spellEnd"/>
      <w:r w:rsidR="001F1C19">
        <w:t xml:space="preserve"> Star</w:t>
      </w:r>
      <w:r w:rsidRPr="000E5786">
        <w:t xml:space="preserve"> Premises, or to the Replacement Supplier Premises, as directed by </w:t>
      </w:r>
      <w:proofErr w:type="spellStart"/>
      <w:r w:rsidR="001F1C19">
        <w:t>Netlink</w:t>
      </w:r>
      <w:proofErr w:type="spellEnd"/>
      <w:r w:rsidR="001F1C19">
        <w:t xml:space="preserve"> </w:t>
      </w:r>
      <w:proofErr w:type="gramStart"/>
      <w:r w:rsidR="001F1C19">
        <w:t>Star</w:t>
      </w:r>
      <w:r w:rsidRPr="000E5786">
        <w:t>;</w:t>
      </w:r>
      <w:proofErr w:type="gramEnd"/>
    </w:p>
    <w:p w14:paraId="3F66A84A" w14:textId="2E1B4619" w:rsidR="00D85F7C" w:rsidRPr="000E5786" w:rsidRDefault="00D85F7C" w:rsidP="000C5291">
      <w:pPr>
        <w:pStyle w:val="Heading3"/>
      </w:pPr>
      <w:r w:rsidRPr="000E5786" w:rsidDel="00F22898">
        <w:t xml:space="preserve">subject to </w:t>
      </w:r>
      <w:r w:rsidR="00CA6145" w:rsidRPr="000E5786" w:rsidDel="00F22898">
        <w:t xml:space="preserve">clause </w:t>
      </w:r>
      <w:r w:rsidRPr="000E5786" w:rsidDel="00F22898">
        <w:t xml:space="preserve">26, </w:t>
      </w:r>
      <w:r w:rsidRPr="000E5786">
        <w:t xml:space="preserve">securely delete from its systems and/or destroy all </w:t>
      </w:r>
      <w:proofErr w:type="spellStart"/>
      <w:r w:rsidR="001F1C19">
        <w:t>Netlink</w:t>
      </w:r>
      <w:proofErr w:type="spellEnd"/>
      <w:r w:rsidR="001F1C19">
        <w:t xml:space="preserve"> Star</w:t>
      </w:r>
      <w:r w:rsidRPr="000E5786">
        <w:t xml:space="preserve"> data, databases, documentation, Confidential </w:t>
      </w:r>
      <w:proofErr w:type="gramStart"/>
      <w:r w:rsidRPr="000E5786">
        <w:t>Information</w:t>
      </w:r>
      <w:proofErr w:type="gramEnd"/>
      <w:r w:rsidRPr="000E5786">
        <w:t xml:space="preserve"> and connectivity except to the extent that retention is required under applicable law or regulation; and</w:t>
      </w:r>
    </w:p>
    <w:p w14:paraId="6052F74C" w14:textId="675D05A5" w:rsidR="00D85F7C" w:rsidRPr="000E5786" w:rsidRDefault="00D85F7C" w:rsidP="000C5291">
      <w:pPr>
        <w:pStyle w:val="Heading3"/>
      </w:pPr>
      <w:r w:rsidRPr="000E5786">
        <w:t xml:space="preserve">securely destroy or delete (as appropriate) all </w:t>
      </w:r>
      <w:proofErr w:type="spellStart"/>
      <w:r w:rsidR="001F1C19">
        <w:t>Netlink</w:t>
      </w:r>
      <w:proofErr w:type="spellEnd"/>
      <w:r w:rsidR="001F1C19">
        <w:t xml:space="preserve"> Star</w:t>
      </w:r>
      <w:r w:rsidRPr="000E5786">
        <w:t xml:space="preserve"> Data from Supplier premises and Supplier System.</w:t>
      </w:r>
    </w:p>
    <w:p w14:paraId="32B23F11" w14:textId="45EADF5F" w:rsidR="004C127E" w:rsidRPr="000E5786" w:rsidRDefault="004C127E" w:rsidP="00DD60F0">
      <w:pPr>
        <w:rPr>
          <w:rFonts w:eastAsia="Arial" w:cs="Arial"/>
          <w:spacing w:val="-1"/>
          <w:szCs w:val="20"/>
        </w:rPr>
      </w:pPr>
      <w:bookmarkStart w:id="2401" w:name="_Toc161733984"/>
      <w:bookmarkStart w:id="2402" w:name="_Toc162253202"/>
      <w:bookmarkStart w:id="2403" w:name="_Ref162777380"/>
      <w:bookmarkStart w:id="2404" w:name="_Toc169069121"/>
      <w:bookmarkStart w:id="2405" w:name="_Toc178757804"/>
      <w:bookmarkStart w:id="2406" w:name="_Toc228700554"/>
      <w:bookmarkStart w:id="2407" w:name="_Toc287446761"/>
      <w:bookmarkEnd w:id="2401"/>
      <w:bookmarkEnd w:id="2402"/>
      <w:bookmarkEnd w:id="2403"/>
      <w:bookmarkEnd w:id="2404"/>
      <w:bookmarkEnd w:id="2405"/>
      <w:bookmarkEnd w:id="2406"/>
      <w:bookmarkEnd w:id="2407"/>
      <w:r w:rsidRPr="000E5786">
        <w:rPr>
          <w:rFonts w:eastAsia="Arial" w:cs="Arial"/>
          <w:spacing w:val="-1"/>
          <w:szCs w:val="20"/>
        </w:rPr>
        <w:br w:type="page"/>
      </w:r>
    </w:p>
    <w:p w14:paraId="165B716B" w14:textId="591951F2" w:rsidR="00F2428A" w:rsidRPr="000E5786" w:rsidRDefault="00F2428A" w:rsidP="00F2428A">
      <w:pPr>
        <w:pStyle w:val="Level1"/>
        <w:keepNext/>
        <w:numPr>
          <w:ilvl w:val="0"/>
          <w:numId w:val="0"/>
        </w:numPr>
        <w:spacing w:after="120" w:line="240" w:lineRule="auto"/>
        <w:ind w:left="851"/>
        <w:jc w:val="center"/>
        <w:rPr>
          <w:rFonts w:ascii="Arial" w:hAnsi="Arial" w:cs="Arial"/>
          <w:b/>
          <w:bCs/>
        </w:rPr>
      </w:pPr>
      <w:r w:rsidRPr="000E5786">
        <w:rPr>
          <w:rFonts w:ascii="Arial" w:hAnsi="Arial" w:cs="Arial"/>
          <w:b/>
          <w:bCs/>
        </w:rPr>
        <w:lastRenderedPageBreak/>
        <w:t xml:space="preserve">SCHEDULE </w:t>
      </w:r>
      <w:r>
        <w:rPr>
          <w:rFonts w:ascii="Arial" w:hAnsi="Arial" w:cs="Arial"/>
          <w:b/>
          <w:bCs/>
        </w:rPr>
        <w:t>8.6</w:t>
      </w:r>
    </w:p>
    <w:p w14:paraId="4D1ADE8D" w14:textId="289118FD" w:rsidR="00F2428A" w:rsidRDefault="00F2428A" w:rsidP="00F2428A">
      <w:pPr>
        <w:pStyle w:val="Level1"/>
        <w:keepNext/>
        <w:numPr>
          <w:ilvl w:val="0"/>
          <w:numId w:val="0"/>
        </w:numPr>
        <w:spacing w:after="120" w:line="240" w:lineRule="auto"/>
        <w:ind w:left="851"/>
        <w:jc w:val="center"/>
        <w:rPr>
          <w:rFonts w:ascii="Arial" w:hAnsi="Arial" w:cs="Arial"/>
          <w:b/>
          <w:bCs/>
        </w:rPr>
      </w:pPr>
      <w:r>
        <w:rPr>
          <w:rFonts w:ascii="Arial" w:hAnsi="Arial" w:cs="Arial"/>
          <w:b/>
          <w:bCs/>
        </w:rPr>
        <w:t>BUSINESS CONTINUITY AND IT SERVICE CONTINUITY</w:t>
      </w:r>
    </w:p>
    <w:p w14:paraId="4A721688" w14:textId="77777777" w:rsidR="00C75C57" w:rsidRPr="00C75C57" w:rsidRDefault="00C75C57" w:rsidP="009D675B">
      <w:pPr>
        <w:pStyle w:val="Level1"/>
        <w:keepNext/>
        <w:numPr>
          <w:ilvl w:val="0"/>
          <w:numId w:val="137"/>
        </w:numPr>
        <w:tabs>
          <w:tab w:val="clear" w:pos="2411"/>
          <w:tab w:val="num" w:pos="851"/>
        </w:tabs>
        <w:spacing w:after="120" w:line="240" w:lineRule="auto"/>
        <w:ind w:left="851"/>
        <w:rPr>
          <w:rFonts w:ascii="Arial" w:hAnsi="Arial" w:cs="Arial"/>
          <w:b/>
          <w:bCs/>
        </w:rPr>
      </w:pPr>
      <w:r w:rsidRPr="00C75C57">
        <w:rPr>
          <w:rFonts w:ascii="Arial" w:hAnsi="Arial" w:cs="Arial"/>
          <w:b/>
          <w:bCs/>
        </w:rPr>
        <w:t>BCDR Policies</w:t>
      </w:r>
    </w:p>
    <w:p w14:paraId="15D734D4" w14:textId="76AE7F9A" w:rsidR="00C75C57" w:rsidRPr="00DE3216" w:rsidRDefault="00C75C57" w:rsidP="009D675B">
      <w:pPr>
        <w:pStyle w:val="Level2"/>
        <w:keepNext/>
        <w:numPr>
          <w:ilvl w:val="1"/>
          <w:numId w:val="76"/>
        </w:numPr>
        <w:tabs>
          <w:tab w:val="clear" w:pos="1135"/>
          <w:tab w:val="num" w:pos="851"/>
        </w:tabs>
        <w:spacing w:after="120" w:line="240" w:lineRule="auto"/>
        <w:ind w:left="851"/>
        <w:rPr>
          <w:rFonts w:ascii="Arial" w:hAnsi="Arial" w:cs="Arial"/>
        </w:rPr>
      </w:pPr>
      <w:r w:rsidRPr="00DE3216">
        <w:rPr>
          <w:rFonts w:ascii="Arial" w:hAnsi="Arial" w:cs="Arial"/>
        </w:rPr>
        <w:t xml:space="preserve">The Supplier shall </w:t>
      </w:r>
      <w:r>
        <w:rPr>
          <w:rFonts w:ascii="Arial" w:hAnsi="Arial" w:cs="Arial"/>
        </w:rPr>
        <w:t xml:space="preserve">provide documentary evidence that they </w:t>
      </w:r>
      <w:r w:rsidRPr="00DE3216">
        <w:rPr>
          <w:rFonts w:ascii="Arial" w:hAnsi="Arial" w:cs="Arial"/>
        </w:rPr>
        <w:t>comply with the following business continuity and disaster recovery</w:t>
      </w:r>
      <w:r>
        <w:rPr>
          <w:rFonts w:ascii="Arial" w:hAnsi="Arial" w:cs="Arial"/>
        </w:rPr>
        <w:t xml:space="preserve"> standards (also known within </w:t>
      </w:r>
      <w:proofErr w:type="spellStart"/>
      <w:r w:rsidR="001F1C19">
        <w:rPr>
          <w:rFonts w:ascii="Arial" w:hAnsi="Arial" w:cs="Arial"/>
        </w:rPr>
        <w:t>Netlink</w:t>
      </w:r>
      <w:proofErr w:type="spellEnd"/>
      <w:r w:rsidR="001F1C19">
        <w:rPr>
          <w:rFonts w:ascii="Arial" w:hAnsi="Arial" w:cs="Arial"/>
        </w:rPr>
        <w:t xml:space="preserve"> Star</w:t>
      </w:r>
      <w:r>
        <w:rPr>
          <w:rFonts w:ascii="Arial" w:hAnsi="Arial" w:cs="Arial"/>
        </w:rPr>
        <w:t xml:space="preserve"> as </w:t>
      </w:r>
      <w:r w:rsidRPr="00D27C1B">
        <w:rPr>
          <w:rFonts w:ascii="Arial" w:hAnsi="Arial" w:cs="Arial"/>
        </w:rPr>
        <w:t>IT Service Continuity Management</w:t>
      </w:r>
      <w:r>
        <w:rPr>
          <w:rFonts w:ascii="Arial" w:hAnsi="Arial" w:cs="Arial"/>
        </w:rPr>
        <w:t>)</w:t>
      </w:r>
      <w:r w:rsidRPr="00DE3216">
        <w:rPr>
          <w:rFonts w:ascii="Arial" w:hAnsi="Arial" w:cs="Arial"/>
        </w:rPr>
        <w:t xml:space="preserve"> (as updated from time to time, updated versions effective from the date such versions are uploaded to the Standards Portal</w:t>
      </w:r>
      <w:r>
        <w:rPr>
          <w:rFonts w:ascii="Arial" w:hAnsi="Arial" w:cs="Arial"/>
        </w:rPr>
        <w:t xml:space="preserve"> subject to paragraph 1.2 of Schedule 2.4</w:t>
      </w:r>
      <w:r w:rsidRPr="00DE3216">
        <w:rPr>
          <w:rFonts w:ascii="Arial" w:hAnsi="Arial" w:cs="Arial"/>
        </w:rPr>
        <w:t xml:space="preserve">) relevant to the provision of the Services: </w:t>
      </w:r>
    </w:p>
    <w:p w14:paraId="7C125F2F" w14:textId="77777777" w:rsidR="00C75C57" w:rsidRPr="00DE3216" w:rsidRDefault="00C75C57" w:rsidP="009D675B">
      <w:pPr>
        <w:pStyle w:val="Level3"/>
        <w:numPr>
          <w:ilvl w:val="2"/>
          <w:numId w:val="76"/>
        </w:numPr>
        <w:spacing w:line="240" w:lineRule="auto"/>
        <w:rPr>
          <w:rFonts w:ascii="Arial" w:hAnsi="Arial" w:cs="Arial"/>
        </w:rPr>
      </w:pPr>
      <w:r w:rsidRPr="638FA902">
        <w:rPr>
          <w:rFonts w:ascii="Arial" w:hAnsi="Arial" w:cs="Arial"/>
        </w:rPr>
        <w:t xml:space="preserve">NR_L2_RSK_290 – Business Continuity </w:t>
      </w:r>
      <w:proofErr w:type="gramStart"/>
      <w:r w:rsidRPr="638FA902">
        <w:rPr>
          <w:rFonts w:ascii="Arial" w:hAnsi="Arial" w:cs="Arial"/>
        </w:rPr>
        <w:t>Management;</w:t>
      </w:r>
      <w:proofErr w:type="gramEnd"/>
    </w:p>
    <w:p w14:paraId="67DA9ACA" w14:textId="77777777" w:rsidR="00C75C57" w:rsidRPr="00DE3216" w:rsidRDefault="00C75C57" w:rsidP="009D675B">
      <w:pPr>
        <w:pStyle w:val="Level3"/>
        <w:numPr>
          <w:ilvl w:val="2"/>
          <w:numId w:val="76"/>
        </w:numPr>
        <w:spacing w:line="240" w:lineRule="auto"/>
        <w:rPr>
          <w:rFonts w:ascii="Arial" w:hAnsi="Arial" w:cs="Arial"/>
        </w:rPr>
      </w:pPr>
      <w:bookmarkStart w:id="2408" w:name="_Ref86312071"/>
      <w:r w:rsidRPr="00DE3216">
        <w:rPr>
          <w:rFonts w:ascii="Arial" w:hAnsi="Arial" w:cs="Arial"/>
        </w:rPr>
        <w:t xml:space="preserve">RSIT-SCM-FRA-001- IT Service Continuity Management </w:t>
      </w:r>
      <w:proofErr w:type="gramStart"/>
      <w:r w:rsidRPr="00DE3216">
        <w:rPr>
          <w:rFonts w:ascii="Arial" w:hAnsi="Arial" w:cs="Arial"/>
        </w:rPr>
        <w:t>Policy;</w:t>
      </w:r>
      <w:bookmarkEnd w:id="2408"/>
      <w:proofErr w:type="gramEnd"/>
      <w:r w:rsidRPr="00DE3216">
        <w:rPr>
          <w:rFonts w:ascii="Arial" w:hAnsi="Arial" w:cs="Arial"/>
        </w:rPr>
        <w:t xml:space="preserve"> </w:t>
      </w:r>
    </w:p>
    <w:p w14:paraId="48711604" w14:textId="77777777" w:rsidR="00C75C57" w:rsidRPr="00DE3216" w:rsidRDefault="00C75C57" w:rsidP="009D675B">
      <w:pPr>
        <w:pStyle w:val="Level3"/>
        <w:numPr>
          <w:ilvl w:val="2"/>
          <w:numId w:val="76"/>
        </w:numPr>
        <w:spacing w:line="240" w:lineRule="auto"/>
        <w:rPr>
          <w:rFonts w:ascii="Arial" w:hAnsi="Arial" w:cs="Arial"/>
        </w:rPr>
      </w:pPr>
      <w:bookmarkStart w:id="2409" w:name="_Ref86312075"/>
      <w:r w:rsidRPr="638FA902">
        <w:rPr>
          <w:rFonts w:ascii="Arial" w:hAnsi="Arial" w:cs="Arial"/>
        </w:rPr>
        <w:t xml:space="preserve">RSIT-SCM-FRA-002 - IT Service Continuity Management </w:t>
      </w:r>
      <w:proofErr w:type="gramStart"/>
      <w:r w:rsidRPr="638FA902">
        <w:rPr>
          <w:rFonts w:ascii="Arial" w:hAnsi="Arial" w:cs="Arial"/>
        </w:rPr>
        <w:t>Standards;</w:t>
      </w:r>
      <w:bookmarkEnd w:id="2409"/>
      <w:proofErr w:type="gramEnd"/>
    </w:p>
    <w:p w14:paraId="3566811A" w14:textId="77777777" w:rsidR="00C75C57" w:rsidRPr="00DE3216" w:rsidRDefault="00C75C57" w:rsidP="009D675B">
      <w:pPr>
        <w:pStyle w:val="Level3"/>
        <w:numPr>
          <w:ilvl w:val="2"/>
          <w:numId w:val="76"/>
        </w:numPr>
        <w:spacing w:line="240" w:lineRule="auto"/>
        <w:rPr>
          <w:rFonts w:ascii="Arial" w:hAnsi="Arial" w:cs="Arial"/>
        </w:rPr>
      </w:pPr>
      <w:r w:rsidRPr="00DE3216">
        <w:rPr>
          <w:rFonts w:ascii="Arial" w:hAnsi="Arial" w:cs="Arial"/>
        </w:rPr>
        <w:t xml:space="preserve">ISO 22301:2012 - Societal security -- Business continuity management systems -- </w:t>
      </w:r>
      <w:proofErr w:type="gramStart"/>
      <w:r w:rsidRPr="00DE3216">
        <w:rPr>
          <w:rFonts w:ascii="Arial" w:hAnsi="Arial" w:cs="Arial"/>
        </w:rPr>
        <w:t>Requirements;</w:t>
      </w:r>
      <w:proofErr w:type="gramEnd"/>
      <w:r w:rsidRPr="00DE3216">
        <w:rPr>
          <w:rFonts w:ascii="Arial" w:hAnsi="Arial" w:cs="Arial"/>
        </w:rPr>
        <w:t xml:space="preserve"> </w:t>
      </w:r>
    </w:p>
    <w:p w14:paraId="3873A0A2" w14:textId="77777777" w:rsidR="00C75C57" w:rsidRPr="00DE3216" w:rsidRDefault="00C75C57" w:rsidP="009D675B">
      <w:pPr>
        <w:pStyle w:val="Level3"/>
        <w:numPr>
          <w:ilvl w:val="2"/>
          <w:numId w:val="76"/>
        </w:numPr>
        <w:spacing w:line="240" w:lineRule="auto"/>
        <w:rPr>
          <w:rFonts w:ascii="Arial" w:hAnsi="Arial" w:cs="Arial"/>
        </w:rPr>
      </w:pPr>
      <w:r w:rsidRPr="00DE3216">
        <w:rPr>
          <w:rFonts w:ascii="Arial" w:hAnsi="Arial" w:cs="Arial"/>
        </w:rPr>
        <w:t xml:space="preserve">ISO/IEC 27031:2011 - Information technology -- Security techniques -- Guidelines for information and communications technology readiness for business </w:t>
      </w:r>
      <w:proofErr w:type="gramStart"/>
      <w:r w:rsidRPr="00DE3216">
        <w:rPr>
          <w:rFonts w:ascii="Arial" w:hAnsi="Arial" w:cs="Arial"/>
        </w:rPr>
        <w:t>continuity;</w:t>
      </w:r>
      <w:proofErr w:type="gramEnd"/>
      <w:r w:rsidRPr="00DE3216">
        <w:rPr>
          <w:rFonts w:ascii="Arial" w:hAnsi="Arial" w:cs="Arial"/>
        </w:rPr>
        <w:t xml:space="preserve"> </w:t>
      </w:r>
    </w:p>
    <w:p w14:paraId="46E626B1" w14:textId="77777777" w:rsidR="00C75C57" w:rsidRDefault="00C75C57" w:rsidP="009D675B">
      <w:pPr>
        <w:pStyle w:val="Level3"/>
        <w:numPr>
          <w:ilvl w:val="2"/>
          <w:numId w:val="76"/>
        </w:numPr>
        <w:spacing w:line="240" w:lineRule="auto"/>
        <w:rPr>
          <w:rFonts w:ascii="Arial" w:hAnsi="Arial" w:cs="Arial"/>
        </w:rPr>
      </w:pPr>
      <w:r w:rsidRPr="638FA902">
        <w:rPr>
          <w:rFonts w:ascii="Arial" w:hAnsi="Arial" w:cs="Arial"/>
        </w:rPr>
        <w:t xml:space="preserve">Major Incident </w:t>
      </w:r>
      <w:proofErr w:type="gramStart"/>
      <w:r w:rsidRPr="638FA902">
        <w:rPr>
          <w:rFonts w:ascii="Arial" w:hAnsi="Arial" w:cs="Arial"/>
        </w:rPr>
        <w:t>Policy;</w:t>
      </w:r>
      <w:proofErr w:type="gramEnd"/>
      <w:r w:rsidRPr="638FA902">
        <w:rPr>
          <w:rFonts w:ascii="Arial" w:hAnsi="Arial" w:cs="Arial"/>
        </w:rPr>
        <w:t xml:space="preserve"> </w:t>
      </w:r>
    </w:p>
    <w:p w14:paraId="066724DA" w14:textId="77777777" w:rsidR="00C75C57" w:rsidRPr="00DE3216" w:rsidRDefault="00C75C57" w:rsidP="009D675B">
      <w:pPr>
        <w:pStyle w:val="Level3"/>
        <w:numPr>
          <w:ilvl w:val="2"/>
          <w:numId w:val="76"/>
        </w:numPr>
        <w:spacing w:line="240" w:lineRule="auto"/>
        <w:rPr>
          <w:rFonts w:ascii="Arial" w:hAnsi="Arial" w:cs="Arial"/>
        </w:rPr>
      </w:pPr>
      <w:r w:rsidRPr="638FA902">
        <w:rPr>
          <w:rFonts w:ascii="Arial" w:hAnsi="Arial" w:cs="Arial"/>
        </w:rPr>
        <w:t xml:space="preserve">Major Incident </w:t>
      </w:r>
      <w:proofErr w:type="gramStart"/>
      <w:r w:rsidRPr="638FA902">
        <w:rPr>
          <w:rFonts w:ascii="Arial" w:hAnsi="Arial" w:cs="Arial"/>
        </w:rPr>
        <w:t>Process;</w:t>
      </w:r>
      <w:proofErr w:type="gramEnd"/>
    </w:p>
    <w:p w14:paraId="3DFD7CC9" w14:textId="77777777" w:rsidR="00C75C57" w:rsidRPr="00DE3216" w:rsidRDefault="00C75C57" w:rsidP="009D675B">
      <w:pPr>
        <w:pStyle w:val="Level3"/>
        <w:numPr>
          <w:ilvl w:val="2"/>
          <w:numId w:val="76"/>
        </w:numPr>
        <w:spacing w:line="240" w:lineRule="auto"/>
        <w:rPr>
          <w:rFonts w:ascii="Arial" w:hAnsi="Arial" w:cs="Arial"/>
        </w:rPr>
      </w:pPr>
      <w:r w:rsidRPr="00DE3216">
        <w:rPr>
          <w:rFonts w:ascii="Arial" w:hAnsi="Arial" w:cs="Arial"/>
        </w:rPr>
        <w:t>the Business Continuity Institute ("</w:t>
      </w:r>
      <w:r w:rsidRPr="00DE3216">
        <w:rPr>
          <w:rFonts w:ascii="Arial" w:hAnsi="Arial" w:cs="Arial"/>
          <w:b/>
          <w:bCs/>
        </w:rPr>
        <w:t>BCI</w:t>
      </w:r>
      <w:r w:rsidRPr="00DE3216">
        <w:rPr>
          <w:rFonts w:ascii="Arial" w:hAnsi="Arial" w:cs="Arial"/>
        </w:rPr>
        <w:t xml:space="preserve">") Good Practice Guidelines; and </w:t>
      </w:r>
    </w:p>
    <w:p w14:paraId="40A910B3" w14:textId="77777777" w:rsidR="00C75C57" w:rsidRPr="00DE3216" w:rsidRDefault="00C75C57" w:rsidP="009D675B">
      <w:pPr>
        <w:pStyle w:val="Level3"/>
        <w:numPr>
          <w:ilvl w:val="2"/>
          <w:numId w:val="76"/>
        </w:numPr>
        <w:spacing w:line="240" w:lineRule="auto"/>
        <w:rPr>
          <w:rFonts w:ascii="Arial" w:hAnsi="Arial" w:cs="Arial"/>
        </w:rPr>
      </w:pPr>
      <w:r w:rsidRPr="00DE3216">
        <w:rPr>
          <w:rFonts w:ascii="Arial" w:hAnsi="Arial" w:cs="Arial"/>
        </w:rPr>
        <w:t>ISO 22313:2014 Societal security - Business continuity management systems - Guidance, and ISO 24762:2008 Guidelines for information and communications technology disaster recovery services, in the provision of "IT Service Continuity Strategy" or "Disaster Recovery" plans (as such terms are defined with the relevant ISO standards).</w:t>
      </w:r>
    </w:p>
    <w:p w14:paraId="30F26929" w14:textId="77777777" w:rsidR="00C75C57" w:rsidRPr="00DE3216" w:rsidRDefault="00C75C57" w:rsidP="009D675B">
      <w:pPr>
        <w:pStyle w:val="Level1"/>
        <w:numPr>
          <w:ilvl w:val="0"/>
          <w:numId w:val="76"/>
        </w:numPr>
        <w:tabs>
          <w:tab w:val="clear" w:pos="2411"/>
          <w:tab w:val="num" w:pos="851"/>
        </w:tabs>
        <w:spacing w:after="120" w:line="240" w:lineRule="auto"/>
        <w:ind w:left="851"/>
        <w:rPr>
          <w:rFonts w:ascii="Arial" w:hAnsi="Arial" w:cs="Arial"/>
          <w:b/>
          <w:bCs/>
        </w:rPr>
      </w:pPr>
      <w:r w:rsidRPr="00DE3216">
        <w:rPr>
          <w:rFonts w:ascii="Arial" w:hAnsi="Arial" w:cs="Arial"/>
          <w:b/>
          <w:bCs/>
        </w:rPr>
        <w:t>Key BCDR obligations</w:t>
      </w:r>
    </w:p>
    <w:p w14:paraId="5EB92455" w14:textId="77777777" w:rsidR="00C75C57" w:rsidRPr="00DE3216" w:rsidRDefault="00C75C57" w:rsidP="009D675B">
      <w:pPr>
        <w:pStyle w:val="Level2"/>
        <w:keepNext/>
        <w:numPr>
          <w:ilvl w:val="1"/>
          <w:numId w:val="76"/>
        </w:numPr>
        <w:tabs>
          <w:tab w:val="clear" w:pos="1135"/>
          <w:tab w:val="num" w:pos="851"/>
        </w:tabs>
        <w:spacing w:after="120" w:line="240" w:lineRule="auto"/>
        <w:ind w:left="851"/>
        <w:rPr>
          <w:rFonts w:ascii="Arial" w:hAnsi="Arial" w:cs="Arial"/>
          <w:b/>
          <w:bCs/>
        </w:rPr>
      </w:pPr>
      <w:r w:rsidRPr="00DE3216">
        <w:rPr>
          <w:rFonts w:ascii="Arial" w:hAnsi="Arial" w:cs="Arial"/>
          <w:b/>
          <w:bCs/>
        </w:rPr>
        <w:t xml:space="preserve">Business </w:t>
      </w:r>
      <w:r w:rsidRPr="0072347B">
        <w:rPr>
          <w:rFonts w:ascii="Arial" w:hAnsi="Arial" w:cs="Arial"/>
          <w:b/>
          <w:bCs/>
        </w:rPr>
        <w:t>Continuity</w:t>
      </w:r>
      <w:r w:rsidRPr="00DE3216">
        <w:rPr>
          <w:rFonts w:ascii="Arial" w:hAnsi="Arial" w:cs="Arial"/>
          <w:b/>
          <w:bCs/>
        </w:rPr>
        <w:t xml:space="preserve"> Plan</w:t>
      </w:r>
    </w:p>
    <w:p w14:paraId="7FB3B3EE" w14:textId="1F623008" w:rsidR="00C75C57" w:rsidRDefault="00C75C57" w:rsidP="009D675B">
      <w:pPr>
        <w:pStyle w:val="Level3"/>
        <w:numPr>
          <w:ilvl w:val="2"/>
          <w:numId w:val="76"/>
        </w:numPr>
        <w:spacing w:line="240" w:lineRule="auto"/>
        <w:rPr>
          <w:rFonts w:ascii="Arial" w:hAnsi="Arial" w:cs="Arial"/>
        </w:rPr>
      </w:pPr>
      <w:r>
        <w:rPr>
          <w:rFonts w:ascii="Arial" w:hAnsi="Arial" w:cs="Arial"/>
        </w:rPr>
        <w:t xml:space="preserve">Within 30 days of the Effective Date, Supplier shall provide to </w:t>
      </w:r>
      <w:proofErr w:type="spellStart"/>
      <w:r w:rsidR="001F1C19">
        <w:rPr>
          <w:rFonts w:ascii="Arial" w:hAnsi="Arial" w:cs="Arial"/>
        </w:rPr>
        <w:t>Netlink</w:t>
      </w:r>
      <w:proofErr w:type="spellEnd"/>
      <w:r w:rsidR="001F1C19">
        <w:rPr>
          <w:rFonts w:ascii="Arial" w:hAnsi="Arial" w:cs="Arial"/>
        </w:rPr>
        <w:t xml:space="preserve"> Star</w:t>
      </w:r>
      <w:r>
        <w:rPr>
          <w:rFonts w:ascii="Arial" w:hAnsi="Arial" w:cs="Arial"/>
        </w:rPr>
        <w:t xml:space="preserve"> all Supplier’s business continuity plans applicable to the Services.</w:t>
      </w:r>
    </w:p>
    <w:p w14:paraId="2C0AB69C" w14:textId="14D96AC4" w:rsidR="00C75C57" w:rsidRDefault="00C75C57" w:rsidP="009D675B">
      <w:pPr>
        <w:pStyle w:val="Level3"/>
        <w:numPr>
          <w:ilvl w:val="2"/>
          <w:numId w:val="76"/>
        </w:numPr>
        <w:spacing w:line="240" w:lineRule="auto"/>
        <w:rPr>
          <w:rFonts w:ascii="Arial" w:hAnsi="Arial" w:cs="Arial"/>
        </w:rPr>
      </w:pPr>
      <w:r>
        <w:rPr>
          <w:rFonts w:ascii="Arial" w:hAnsi="Arial" w:cs="Arial"/>
        </w:rPr>
        <w:t xml:space="preserve">Within 30 Days of the Effective Date, Supplier shall provide to </w:t>
      </w:r>
      <w:proofErr w:type="spellStart"/>
      <w:r w:rsidR="001F1C19">
        <w:rPr>
          <w:rFonts w:ascii="Arial" w:hAnsi="Arial" w:cs="Arial"/>
        </w:rPr>
        <w:t>Netlink</w:t>
      </w:r>
      <w:proofErr w:type="spellEnd"/>
      <w:r w:rsidR="001F1C19">
        <w:rPr>
          <w:rFonts w:ascii="Arial" w:hAnsi="Arial" w:cs="Arial"/>
        </w:rPr>
        <w:t xml:space="preserve"> Star</w:t>
      </w:r>
      <w:r>
        <w:rPr>
          <w:rFonts w:ascii="Arial" w:hAnsi="Arial" w:cs="Arial"/>
        </w:rPr>
        <w:t xml:space="preserve"> documented evidence of the ongoing governance and management structure for the Supplier’s business continuity planning including training, </w:t>
      </w:r>
      <w:proofErr w:type="gramStart"/>
      <w:r>
        <w:rPr>
          <w:rFonts w:ascii="Arial" w:hAnsi="Arial" w:cs="Arial"/>
        </w:rPr>
        <w:t>exercise</w:t>
      </w:r>
      <w:proofErr w:type="gramEnd"/>
      <w:r>
        <w:rPr>
          <w:rFonts w:ascii="Arial" w:hAnsi="Arial" w:cs="Arial"/>
        </w:rPr>
        <w:t xml:space="preserve"> and update schedules.</w:t>
      </w:r>
    </w:p>
    <w:p w14:paraId="320C4FF8" w14:textId="73E19C18" w:rsidR="00C75C57" w:rsidRDefault="00C75C57" w:rsidP="009D675B">
      <w:pPr>
        <w:pStyle w:val="Level3"/>
        <w:numPr>
          <w:ilvl w:val="2"/>
          <w:numId w:val="76"/>
        </w:numPr>
        <w:spacing w:line="240" w:lineRule="auto"/>
        <w:rPr>
          <w:rFonts w:ascii="Arial" w:hAnsi="Arial" w:cs="Arial"/>
        </w:rPr>
      </w:pPr>
      <w:bookmarkStart w:id="2410" w:name="_Ref86309209"/>
      <w:r>
        <w:rPr>
          <w:rFonts w:ascii="Arial" w:hAnsi="Arial" w:cs="Arial"/>
        </w:rPr>
        <w:t xml:space="preserve">Within 30 days of an update to its business continuity plans, the Supplier shall provide to </w:t>
      </w:r>
      <w:proofErr w:type="spellStart"/>
      <w:r w:rsidR="001F1C19">
        <w:rPr>
          <w:rFonts w:ascii="Arial" w:hAnsi="Arial" w:cs="Arial"/>
        </w:rPr>
        <w:t>Netlink</w:t>
      </w:r>
      <w:proofErr w:type="spellEnd"/>
      <w:r w:rsidR="001F1C19">
        <w:rPr>
          <w:rFonts w:ascii="Arial" w:hAnsi="Arial" w:cs="Arial"/>
        </w:rPr>
        <w:t xml:space="preserve"> Star</w:t>
      </w:r>
      <w:r>
        <w:rPr>
          <w:rFonts w:ascii="Arial" w:hAnsi="Arial" w:cs="Arial"/>
        </w:rPr>
        <w:t xml:space="preserve"> a copy of such updated plan.</w:t>
      </w:r>
      <w:bookmarkEnd w:id="2410"/>
    </w:p>
    <w:p w14:paraId="1D64BA02" w14:textId="3FB68EB6" w:rsidR="00C75C57" w:rsidRDefault="00C75C57" w:rsidP="009D675B">
      <w:pPr>
        <w:pStyle w:val="Level3"/>
        <w:numPr>
          <w:ilvl w:val="2"/>
          <w:numId w:val="76"/>
        </w:numPr>
        <w:spacing w:line="240" w:lineRule="auto"/>
        <w:rPr>
          <w:rFonts w:ascii="Arial" w:hAnsi="Arial" w:cs="Arial"/>
        </w:rPr>
      </w:pPr>
      <w:r w:rsidRPr="638FA902">
        <w:rPr>
          <w:rFonts w:ascii="Arial" w:hAnsi="Arial" w:cs="Arial"/>
        </w:rPr>
        <w:t xml:space="preserve">The Supplier will participate in all </w:t>
      </w:r>
      <w:proofErr w:type="spellStart"/>
      <w:r w:rsidR="001F1C19">
        <w:rPr>
          <w:rFonts w:ascii="Arial" w:hAnsi="Arial" w:cs="Arial"/>
        </w:rPr>
        <w:t>Netlink</w:t>
      </w:r>
      <w:proofErr w:type="spellEnd"/>
      <w:r w:rsidR="001F1C19">
        <w:rPr>
          <w:rFonts w:ascii="Arial" w:hAnsi="Arial" w:cs="Arial"/>
        </w:rPr>
        <w:t xml:space="preserve"> Star</w:t>
      </w:r>
      <w:r>
        <w:rPr>
          <w:rFonts w:ascii="Arial" w:hAnsi="Arial" w:cs="Arial"/>
        </w:rPr>
        <w:t xml:space="preserve"> </w:t>
      </w:r>
      <w:r w:rsidRPr="638FA902">
        <w:rPr>
          <w:rFonts w:ascii="Arial" w:hAnsi="Arial" w:cs="Arial"/>
        </w:rPr>
        <w:t xml:space="preserve">business continuity training and exercising as reasonably requested by </w:t>
      </w:r>
      <w:proofErr w:type="spellStart"/>
      <w:r w:rsidR="001F1C19">
        <w:rPr>
          <w:rFonts w:ascii="Arial" w:hAnsi="Arial" w:cs="Arial"/>
        </w:rPr>
        <w:t>Netlink</w:t>
      </w:r>
      <w:proofErr w:type="spellEnd"/>
      <w:r w:rsidR="001F1C19">
        <w:rPr>
          <w:rFonts w:ascii="Arial" w:hAnsi="Arial" w:cs="Arial"/>
        </w:rPr>
        <w:t xml:space="preserve"> Star</w:t>
      </w:r>
      <w:r w:rsidRPr="638FA902">
        <w:rPr>
          <w:rFonts w:ascii="Arial" w:hAnsi="Arial" w:cs="Arial"/>
        </w:rPr>
        <w:t>.</w:t>
      </w:r>
      <w:r>
        <w:rPr>
          <w:rStyle w:val="CommentReference"/>
        </w:rPr>
        <w:t xml:space="preserve"> </w:t>
      </w:r>
    </w:p>
    <w:p w14:paraId="3C409B32" w14:textId="2B3CD8AE" w:rsidR="00C75C57" w:rsidRDefault="00C75C57" w:rsidP="009D675B">
      <w:pPr>
        <w:pStyle w:val="Level3"/>
        <w:numPr>
          <w:ilvl w:val="2"/>
          <w:numId w:val="76"/>
        </w:numPr>
        <w:spacing w:line="240" w:lineRule="auto"/>
        <w:rPr>
          <w:rFonts w:ascii="Arial" w:hAnsi="Arial" w:cs="Arial"/>
        </w:rPr>
      </w:pPr>
      <w:bookmarkStart w:id="2411" w:name="_Ref86309217"/>
      <w:r>
        <w:rPr>
          <w:rFonts w:ascii="Arial" w:hAnsi="Arial" w:cs="Arial"/>
        </w:rPr>
        <w:t xml:space="preserve">If </w:t>
      </w:r>
      <w:proofErr w:type="spellStart"/>
      <w:r w:rsidR="001F1C19">
        <w:rPr>
          <w:rFonts w:ascii="Arial" w:hAnsi="Arial" w:cs="Arial"/>
        </w:rPr>
        <w:t>Netlink</w:t>
      </w:r>
      <w:proofErr w:type="spellEnd"/>
      <w:r w:rsidR="001F1C19">
        <w:rPr>
          <w:rFonts w:ascii="Arial" w:hAnsi="Arial" w:cs="Arial"/>
        </w:rPr>
        <w:t xml:space="preserve"> Star</w:t>
      </w:r>
      <w:r>
        <w:rPr>
          <w:rFonts w:ascii="Arial" w:hAnsi="Arial" w:cs="Arial"/>
        </w:rPr>
        <w:t xml:space="preserve"> has reasonable cause for concern as to the content of Supplier’s business continuity plan with regards to the Services, </w:t>
      </w:r>
      <w:proofErr w:type="spellStart"/>
      <w:r w:rsidR="001F1C19">
        <w:rPr>
          <w:rFonts w:ascii="Arial" w:hAnsi="Arial" w:cs="Arial"/>
        </w:rPr>
        <w:t>Netlink</w:t>
      </w:r>
      <w:proofErr w:type="spellEnd"/>
      <w:r w:rsidR="001F1C19">
        <w:rPr>
          <w:rFonts w:ascii="Arial" w:hAnsi="Arial" w:cs="Arial"/>
        </w:rPr>
        <w:t xml:space="preserve"> Star</w:t>
      </w:r>
      <w:r>
        <w:rPr>
          <w:rFonts w:ascii="Arial" w:hAnsi="Arial" w:cs="Arial"/>
        </w:rPr>
        <w:t xml:space="preserve"> shall reasonably request changes to such plans and Supplier shall:</w:t>
      </w:r>
    </w:p>
    <w:p w14:paraId="158E970C" w14:textId="77777777" w:rsidR="00C75C57" w:rsidRDefault="00C75C57" w:rsidP="009D675B">
      <w:pPr>
        <w:pStyle w:val="Level4"/>
        <w:numPr>
          <w:ilvl w:val="3"/>
          <w:numId w:val="76"/>
        </w:numPr>
        <w:spacing w:after="120" w:line="240" w:lineRule="auto"/>
        <w:rPr>
          <w:rFonts w:ascii="Arial" w:hAnsi="Arial" w:cs="Arial"/>
        </w:rPr>
      </w:pPr>
      <w:r>
        <w:rPr>
          <w:rFonts w:ascii="Arial" w:hAnsi="Arial" w:cs="Arial"/>
        </w:rPr>
        <w:t xml:space="preserve">Provide an action plan for improvement </w:t>
      </w:r>
      <w:proofErr w:type="gramStart"/>
      <w:r>
        <w:rPr>
          <w:rFonts w:ascii="Arial" w:hAnsi="Arial" w:cs="Arial"/>
        </w:rPr>
        <w:t>and;</w:t>
      </w:r>
      <w:proofErr w:type="gramEnd"/>
    </w:p>
    <w:p w14:paraId="1A455E96" w14:textId="4273D9DD" w:rsidR="00C75C57" w:rsidRPr="00B61F89" w:rsidRDefault="00C75C57" w:rsidP="009D675B">
      <w:pPr>
        <w:pStyle w:val="Level4"/>
        <w:numPr>
          <w:ilvl w:val="3"/>
          <w:numId w:val="76"/>
        </w:numPr>
        <w:spacing w:after="120" w:line="240" w:lineRule="auto"/>
        <w:rPr>
          <w:rFonts w:ascii="Arial" w:hAnsi="Arial" w:cs="Arial"/>
        </w:rPr>
      </w:pPr>
      <w:r w:rsidRPr="00B61F89">
        <w:rPr>
          <w:rFonts w:ascii="Arial" w:hAnsi="Arial" w:cs="Arial"/>
        </w:rPr>
        <w:t xml:space="preserve"> </w:t>
      </w:r>
      <w:r>
        <w:rPr>
          <w:rFonts w:ascii="Arial" w:hAnsi="Arial" w:cs="Arial"/>
        </w:rPr>
        <w:t>W</w:t>
      </w:r>
      <w:r w:rsidRPr="00B61F89">
        <w:rPr>
          <w:rFonts w:ascii="Arial" w:hAnsi="Arial" w:cs="Arial"/>
        </w:rPr>
        <w:t xml:space="preserve">ork with </w:t>
      </w:r>
      <w:proofErr w:type="spellStart"/>
      <w:r w:rsidR="001F1C19">
        <w:rPr>
          <w:rFonts w:ascii="Arial" w:hAnsi="Arial" w:cs="Arial"/>
        </w:rPr>
        <w:t>Netlink</w:t>
      </w:r>
      <w:proofErr w:type="spellEnd"/>
      <w:r w:rsidR="001F1C19">
        <w:rPr>
          <w:rFonts w:ascii="Arial" w:hAnsi="Arial" w:cs="Arial"/>
        </w:rPr>
        <w:t xml:space="preserve"> Star</w:t>
      </w:r>
      <w:r w:rsidRPr="00B61F89">
        <w:rPr>
          <w:rFonts w:ascii="Arial" w:hAnsi="Arial" w:cs="Arial"/>
        </w:rPr>
        <w:t xml:space="preserve"> to update its plans </w:t>
      </w:r>
      <w:r>
        <w:rPr>
          <w:rFonts w:ascii="Arial" w:hAnsi="Arial" w:cs="Arial"/>
        </w:rPr>
        <w:t xml:space="preserve">to the satisfaction of </w:t>
      </w:r>
      <w:proofErr w:type="spellStart"/>
      <w:r w:rsidR="001F1C19">
        <w:rPr>
          <w:rFonts w:ascii="Arial" w:hAnsi="Arial" w:cs="Arial"/>
        </w:rPr>
        <w:t>Netlink</w:t>
      </w:r>
      <w:proofErr w:type="spellEnd"/>
      <w:r w:rsidR="001F1C19">
        <w:rPr>
          <w:rFonts w:ascii="Arial" w:hAnsi="Arial" w:cs="Arial"/>
        </w:rPr>
        <w:t xml:space="preserve"> Star</w:t>
      </w:r>
      <w:r w:rsidRPr="00B61F89">
        <w:rPr>
          <w:rFonts w:ascii="Arial" w:hAnsi="Arial" w:cs="Arial"/>
        </w:rPr>
        <w:t>.</w:t>
      </w:r>
      <w:bookmarkEnd w:id="2411"/>
    </w:p>
    <w:p w14:paraId="724A4EF2" w14:textId="77777777" w:rsidR="00C75C57" w:rsidRDefault="00C75C57" w:rsidP="009D675B">
      <w:pPr>
        <w:pStyle w:val="Level3"/>
        <w:numPr>
          <w:ilvl w:val="2"/>
          <w:numId w:val="76"/>
        </w:numPr>
        <w:spacing w:line="240" w:lineRule="auto"/>
        <w:rPr>
          <w:rFonts w:ascii="Arial" w:hAnsi="Arial" w:cs="Arial"/>
        </w:rPr>
      </w:pPr>
      <w:r>
        <w:rPr>
          <w:rFonts w:ascii="Arial" w:hAnsi="Arial" w:cs="Arial"/>
        </w:rPr>
        <w:t>“</w:t>
      </w:r>
      <w:r w:rsidRPr="00215FB8">
        <w:rPr>
          <w:rFonts w:ascii="Arial" w:hAnsi="Arial" w:cs="Arial"/>
          <w:b/>
          <w:bCs/>
        </w:rPr>
        <w:t>Business Continuity Plan</w:t>
      </w:r>
      <w:r>
        <w:rPr>
          <w:rFonts w:ascii="Arial" w:hAnsi="Arial" w:cs="Arial"/>
        </w:rPr>
        <w:t xml:space="preserve">” means </w:t>
      </w:r>
      <w:proofErr w:type="gramStart"/>
      <w:r>
        <w:rPr>
          <w:rFonts w:ascii="Arial" w:hAnsi="Arial" w:cs="Arial"/>
        </w:rPr>
        <w:t>all of</w:t>
      </w:r>
      <w:proofErr w:type="gramEnd"/>
      <w:r>
        <w:rPr>
          <w:rFonts w:ascii="Arial" w:hAnsi="Arial" w:cs="Arial"/>
        </w:rPr>
        <w:t xml:space="preserve"> the Supplier’s business continuity plans applicable to the Services as updated from time to time per Paragraphs </w:t>
      </w:r>
      <w:r>
        <w:rPr>
          <w:rFonts w:ascii="Arial" w:hAnsi="Arial" w:cs="Arial"/>
        </w:rPr>
        <w:fldChar w:fldCharType="begin"/>
      </w:r>
      <w:r>
        <w:rPr>
          <w:rFonts w:ascii="Arial" w:hAnsi="Arial" w:cs="Arial"/>
        </w:rPr>
        <w:instrText xml:space="preserve"> REF _Ref86309209 \r \h </w:instrText>
      </w:r>
      <w:r>
        <w:rPr>
          <w:rFonts w:ascii="Arial" w:hAnsi="Arial" w:cs="Arial"/>
        </w:rPr>
      </w:r>
      <w:r>
        <w:rPr>
          <w:rFonts w:ascii="Arial" w:hAnsi="Arial" w:cs="Arial"/>
        </w:rPr>
        <w:fldChar w:fldCharType="separate"/>
      </w:r>
      <w:r>
        <w:rPr>
          <w:rFonts w:ascii="Arial" w:hAnsi="Arial" w:cs="Arial"/>
        </w:rPr>
        <w:t>2.1.2</w:t>
      </w:r>
      <w:r>
        <w:rPr>
          <w:rFonts w:ascii="Arial" w:hAnsi="Arial" w:cs="Arial"/>
        </w:rPr>
        <w:fldChar w:fldCharType="end"/>
      </w:r>
      <w:r>
        <w:rPr>
          <w:rFonts w:ascii="Arial" w:hAnsi="Arial" w:cs="Arial"/>
        </w:rPr>
        <w:t xml:space="preserve"> and </w:t>
      </w:r>
      <w:r>
        <w:rPr>
          <w:rFonts w:ascii="Arial" w:hAnsi="Arial" w:cs="Arial"/>
        </w:rPr>
        <w:fldChar w:fldCharType="begin"/>
      </w:r>
      <w:r>
        <w:rPr>
          <w:rFonts w:ascii="Arial" w:hAnsi="Arial" w:cs="Arial"/>
        </w:rPr>
        <w:instrText xml:space="preserve"> REF _Ref86309217 \r \h </w:instrText>
      </w:r>
      <w:r>
        <w:rPr>
          <w:rFonts w:ascii="Arial" w:hAnsi="Arial" w:cs="Arial"/>
        </w:rPr>
      </w:r>
      <w:r>
        <w:rPr>
          <w:rFonts w:ascii="Arial" w:hAnsi="Arial" w:cs="Arial"/>
        </w:rPr>
        <w:fldChar w:fldCharType="separate"/>
      </w:r>
      <w:r>
        <w:rPr>
          <w:rFonts w:ascii="Arial" w:hAnsi="Arial" w:cs="Arial"/>
        </w:rPr>
        <w:t>2.1.3</w:t>
      </w:r>
      <w:r>
        <w:rPr>
          <w:rFonts w:ascii="Arial" w:hAnsi="Arial" w:cs="Arial"/>
        </w:rPr>
        <w:fldChar w:fldCharType="end"/>
      </w:r>
      <w:r>
        <w:rPr>
          <w:rFonts w:ascii="Arial" w:hAnsi="Arial" w:cs="Arial"/>
        </w:rPr>
        <w:t>.</w:t>
      </w:r>
    </w:p>
    <w:p w14:paraId="27C38B6F" w14:textId="77777777" w:rsidR="00C75C57" w:rsidRDefault="00C75C57" w:rsidP="009D675B">
      <w:pPr>
        <w:pStyle w:val="Level3"/>
        <w:numPr>
          <w:ilvl w:val="2"/>
          <w:numId w:val="76"/>
        </w:numPr>
        <w:spacing w:line="240" w:lineRule="auto"/>
        <w:rPr>
          <w:rFonts w:ascii="Arial" w:hAnsi="Arial" w:cs="Arial"/>
        </w:rPr>
      </w:pPr>
      <w:r>
        <w:rPr>
          <w:rFonts w:ascii="Arial" w:hAnsi="Arial" w:cs="Arial"/>
        </w:rPr>
        <w:t xml:space="preserve">The Business Continuity Plan shall also be updated in accordance with Paragraph </w:t>
      </w:r>
      <w:r>
        <w:rPr>
          <w:rFonts w:ascii="Arial" w:hAnsi="Arial" w:cs="Arial"/>
        </w:rPr>
        <w:fldChar w:fldCharType="begin"/>
      </w:r>
      <w:r>
        <w:rPr>
          <w:rFonts w:ascii="Arial" w:hAnsi="Arial" w:cs="Arial"/>
        </w:rPr>
        <w:instrText xml:space="preserve"> REF _Ref86314388 \r \h </w:instrText>
      </w:r>
      <w:r>
        <w:rPr>
          <w:rFonts w:ascii="Arial" w:hAnsi="Arial" w:cs="Arial"/>
        </w:rPr>
      </w:r>
      <w:r>
        <w:rPr>
          <w:rFonts w:ascii="Arial" w:hAnsi="Arial" w:cs="Arial"/>
        </w:rPr>
        <w:fldChar w:fldCharType="separate"/>
      </w:r>
      <w:r>
        <w:rPr>
          <w:rFonts w:ascii="Arial" w:hAnsi="Arial" w:cs="Arial"/>
        </w:rPr>
        <w:t>2.7</w:t>
      </w:r>
      <w:r>
        <w:rPr>
          <w:rFonts w:ascii="Arial" w:hAnsi="Arial" w:cs="Arial"/>
        </w:rPr>
        <w:fldChar w:fldCharType="end"/>
      </w:r>
      <w:r>
        <w:rPr>
          <w:rFonts w:ascii="Arial" w:hAnsi="Arial" w:cs="Arial"/>
        </w:rPr>
        <w:t>.</w:t>
      </w:r>
    </w:p>
    <w:p w14:paraId="13C8DBFF" w14:textId="77777777" w:rsidR="00C75C57" w:rsidRPr="00DE3216" w:rsidRDefault="00C75C57" w:rsidP="009D675B">
      <w:pPr>
        <w:pStyle w:val="Level2"/>
        <w:keepNext/>
        <w:numPr>
          <w:ilvl w:val="1"/>
          <w:numId w:val="76"/>
        </w:numPr>
        <w:tabs>
          <w:tab w:val="clear" w:pos="1135"/>
          <w:tab w:val="num" w:pos="851"/>
        </w:tabs>
        <w:spacing w:after="120" w:line="240" w:lineRule="auto"/>
        <w:ind w:left="851"/>
        <w:rPr>
          <w:rFonts w:ascii="Arial" w:hAnsi="Arial" w:cs="Arial"/>
          <w:b/>
          <w:bCs/>
        </w:rPr>
      </w:pPr>
      <w:r>
        <w:rPr>
          <w:rFonts w:ascii="Arial" w:hAnsi="Arial" w:cs="Arial"/>
          <w:b/>
          <w:bCs/>
        </w:rPr>
        <w:lastRenderedPageBreak/>
        <w:t>Disaster Recovery Plan</w:t>
      </w:r>
    </w:p>
    <w:p w14:paraId="1BAC81BB" w14:textId="0299F957" w:rsidR="00C75C57" w:rsidRDefault="00C75C57" w:rsidP="009D675B">
      <w:pPr>
        <w:pStyle w:val="Level3"/>
        <w:numPr>
          <w:ilvl w:val="2"/>
          <w:numId w:val="76"/>
        </w:numPr>
        <w:spacing w:line="240" w:lineRule="auto"/>
        <w:rPr>
          <w:rFonts w:ascii="Arial" w:hAnsi="Arial" w:cs="Arial"/>
        </w:rPr>
      </w:pPr>
      <w:r w:rsidRPr="638FA902">
        <w:rPr>
          <w:rFonts w:ascii="Arial" w:hAnsi="Arial" w:cs="Arial"/>
        </w:rPr>
        <w:t xml:space="preserve">No less than 30 days before the Migration </w:t>
      </w:r>
      <w:r>
        <w:rPr>
          <w:rFonts w:ascii="Arial" w:hAnsi="Arial" w:cs="Arial"/>
        </w:rPr>
        <w:t xml:space="preserve">Operate </w:t>
      </w:r>
      <w:r w:rsidRPr="638FA902">
        <w:rPr>
          <w:rFonts w:ascii="Arial" w:hAnsi="Arial" w:cs="Arial"/>
        </w:rPr>
        <w:t xml:space="preserve">Services Commencement Date, the Supplier shall provide to </w:t>
      </w:r>
      <w:proofErr w:type="spellStart"/>
      <w:r w:rsidR="001F1C19">
        <w:rPr>
          <w:rFonts w:ascii="Arial" w:hAnsi="Arial" w:cs="Arial"/>
        </w:rPr>
        <w:t>Netlink</w:t>
      </w:r>
      <w:proofErr w:type="spellEnd"/>
      <w:r w:rsidR="001F1C19">
        <w:rPr>
          <w:rFonts w:ascii="Arial" w:hAnsi="Arial" w:cs="Arial"/>
        </w:rPr>
        <w:t xml:space="preserve"> Star</w:t>
      </w:r>
      <w:r w:rsidRPr="638FA902">
        <w:rPr>
          <w:rFonts w:ascii="Arial" w:hAnsi="Arial" w:cs="Arial"/>
        </w:rPr>
        <w:t xml:space="preserve"> a draft disaster recovery plan (the “</w:t>
      </w:r>
      <w:r w:rsidRPr="638FA902">
        <w:rPr>
          <w:rFonts w:ascii="Arial" w:hAnsi="Arial" w:cs="Arial"/>
          <w:b/>
          <w:bCs/>
        </w:rPr>
        <w:t>Draft DR Plan</w:t>
      </w:r>
      <w:r w:rsidRPr="638FA902">
        <w:rPr>
          <w:rFonts w:ascii="Arial" w:hAnsi="Arial" w:cs="Arial"/>
        </w:rPr>
        <w:t>”).</w:t>
      </w:r>
    </w:p>
    <w:p w14:paraId="43F9B056" w14:textId="45EEAD42" w:rsidR="00C75C57" w:rsidRPr="00A541BB" w:rsidRDefault="00C75C57" w:rsidP="009D675B">
      <w:pPr>
        <w:pStyle w:val="Level3"/>
        <w:numPr>
          <w:ilvl w:val="2"/>
          <w:numId w:val="76"/>
        </w:numPr>
        <w:spacing w:line="240" w:lineRule="auto"/>
        <w:rPr>
          <w:rFonts w:ascii="Arial" w:hAnsi="Arial" w:cs="Arial"/>
        </w:rPr>
      </w:pPr>
      <w:r w:rsidRPr="00A541BB">
        <w:rPr>
          <w:rFonts w:ascii="Arial" w:hAnsi="Arial" w:cs="Arial"/>
        </w:rPr>
        <w:t xml:space="preserve">If, after a review </w:t>
      </w:r>
      <w:r>
        <w:rPr>
          <w:rFonts w:ascii="Arial" w:hAnsi="Arial" w:cs="Arial"/>
        </w:rPr>
        <w:t>of the Draft DR Plan</w:t>
      </w:r>
      <w:r w:rsidRPr="00A541BB">
        <w:rPr>
          <w:rFonts w:ascii="Arial" w:hAnsi="Arial" w:cs="Arial"/>
        </w:rPr>
        <w:t xml:space="preserve">, </w:t>
      </w:r>
      <w:proofErr w:type="spellStart"/>
      <w:r w:rsidR="001F1C19">
        <w:rPr>
          <w:rFonts w:ascii="Arial" w:hAnsi="Arial" w:cs="Arial"/>
        </w:rPr>
        <w:t>Netlink</w:t>
      </w:r>
      <w:proofErr w:type="spellEnd"/>
      <w:r w:rsidR="001F1C19">
        <w:rPr>
          <w:rFonts w:ascii="Arial" w:hAnsi="Arial" w:cs="Arial"/>
        </w:rPr>
        <w:t xml:space="preserve"> Star</w:t>
      </w:r>
      <w:r w:rsidRPr="00A541BB">
        <w:rPr>
          <w:rFonts w:ascii="Arial" w:hAnsi="Arial" w:cs="Arial"/>
        </w:rPr>
        <w:t xml:space="preserve"> considers </w:t>
      </w:r>
      <w:r>
        <w:rPr>
          <w:rFonts w:ascii="Arial" w:hAnsi="Arial" w:cs="Arial"/>
        </w:rPr>
        <w:t xml:space="preserve">(acting reasonably) </w:t>
      </w:r>
      <w:r w:rsidRPr="00A541BB">
        <w:rPr>
          <w:rFonts w:ascii="Arial" w:hAnsi="Arial" w:cs="Arial"/>
        </w:rPr>
        <w:t xml:space="preserve">that no update is required, </w:t>
      </w:r>
      <w:proofErr w:type="spellStart"/>
      <w:r w:rsidR="001F1C19">
        <w:rPr>
          <w:rFonts w:ascii="Arial" w:hAnsi="Arial" w:cs="Arial"/>
        </w:rPr>
        <w:t>Netlink</w:t>
      </w:r>
      <w:proofErr w:type="spellEnd"/>
      <w:r w:rsidR="001F1C19">
        <w:rPr>
          <w:rFonts w:ascii="Arial" w:hAnsi="Arial" w:cs="Arial"/>
        </w:rPr>
        <w:t xml:space="preserve"> Star</w:t>
      </w:r>
      <w:r>
        <w:rPr>
          <w:rFonts w:ascii="Arial" w:hAnsi="Arial" w:cs="Arial"/>
        </w:rPr>
        <w:t xml:space="preserve"> </w:t>
      </w:r>
      <w:r w:rsidRPr="00A541BB">
        <w:rPr>
          <w:rFonts w:ascii="Arial" w:hAnsi="Arial" w:cs="Arial"/>
        </w:rPr>
        <w:t>shall notify the Supplier of this in writing within five (5) Working Days of completion of such review.</w:t>
      </w:r>
    </w:p>
    <w:p w14:paraId="5CEE9F11" w14:textId="033FA5BD" w:rsidR="00C75C57" w:rsidRPr="00A541BB" w:rsidRDefault="00C75C57" w:rsidP="009D675B">
      <w:pPr>
        <w:pStyle w:val="Level3"/>
        <w:numPr>
          <w:ilvl w:val="2"/>
          <w:numId w:val="76"/>
        </w:numPr>
        <w:spacing w:line="240" w:lineRule="auto"/>
        <w:rPr>
          <w:rFonts w:ascii="Arial" w:hAnsi="Arial" w:cs="Arial"/>
        </w:rPr>
      </w:pPr>
      <w:r w:rsidRPr="638FA902">
        <w:rPr>
          <w:rFonts w:ascii="Arial" w:hAnsi="Arial" w:cs="Arial"/>
        </w:rPr>
        <w:t xml:space="preserve">If, after a review of the Draft DR Plan, </w:t>
      </w:r>
      <w:proofErr w:type="spellStart"/>
      <w:r w:rsidR="001F1C19">
        <w:rPr>
          <w:rFonts w:ascii="Arial" w:hAnsi="Arial" w:cs="Arial"/>
        </w:rPr>
        <w:t>Netlink</w:t>
      </w:r>
      <w:proofErr w:type="spellEnd"/>
      <w:r w:rsidR="001F1C19">
        <w:rPr>
          <w:rFonts w:ascii="Arial" w:hAnsi="Arial" w:cs="Arial"/>
        </w:rPr>
        <w:t xml:space="preserve"> Star</w:t>
      </w:r>
      <w:r w:rsidRPr="638FA902">
        <w:rPr>
          <w:rFonts w:ascii="Arial" w:hAnsi="Arial" w:cs="Arial"/>
        </w:rPr>
        <w:t xml:space="preserve"> considers (acting reasonably) that an update is required, the Supplier shall draft such update and submit the revised Draft DR Plan to </w:t>
      </w:r>
      <w:proofErr w:type="spellStart"/>
      <w:r w:rsidR="001F1C19">
        <w:rPr>
          <w:rFonts w:ascii="Arial" w:hAnsi="Arial" w:cs="Arial"/>
        </w:rPr>
        <w:t>Netlink</w:t>
      </w:r>
      <w:proofErr w:type="spellEnd"/>
      <w:r w:rsidR="001F1C19">
        <w:rPr>
          <w:rFonts w:ascii="Arial" w:hAnsi="Arial" w:cs="Arial"/>
        </w:rPr>
        <w:t xml:space="preserve"> Star</w:t>
      </w:r>
      <w:r w:rsidRPr="638FA902">
        <w:rPr>
          <w:rFonts w:ascii="Arial" w:hAnsi="Arial" w:cs="Arial"/>
        </w:rPr>
        <w:t xml:space="preserve"> for review. </w:t>
      </w:r>
    </w:p>
    <w:p w14:paraId="4959487C" w14:textId="4258854E" w:rsidR="00C75C57" w:rsidRPr="00A541BB" w:rsidRDefault="00C75C57" w:rsidP="009D675B">
      <w:pPr>
        <w:pStyle w:val="Level3"/>
        <w:numPr>
          <w:ilvl w:val="2"/>
          <w:numId w:val="76"/>
        </w:numPr>
        <w:spacing w:line="240" w:lineRule="auto"/>
        <w:rPr>
          <w:rFonts w:ascii="Arial" w:hAnsi="Arial" w:cs="Arial"/>
        </w:rPr>
      </w:pPr>
      <w:r w:rsidRPr="638FA902">
        <w:rPr>
          <w:rFonts w:ascii="Arial" w:hAnsi="Arial" w:cs="Arial"/>
        </w:rPr>
        <w:t xml:space="preserve">Within 20 Working Days following submission of the Draft DR Plan, </w:t>
      </w:r>
      <w:proofErr w:type="spellStart"/>
      <w:r w:rsidR="001F1C19">
        <w:rPr>
          <w:rFonts w:ascii="Arial" w:hAnsi="Arial" w:cs="Arial"/>
        </w:rPr>
        <w:t>Netlink</w:t>
      </w:r>
      <w:proofErr w:type="spellEnd"/>
      <w:r w:rsidR="001F1C19">
        <w:rPr>
          <w:rFonts w:ascii="Arial" w:hAnsi="Arial" w:cs="Arial"/>
        </w:rPr>
        <w:t xml:space="preserve"> Star</w:t>
      </w:r>
      <w:r w:rsidRPr="638FA902">
        <w:rPr>
          <w:rFonts w:ascii="Arial" w:hAnsi="Arial" w:cs="Arial"/>
        </w:rPr>
        <w:t xml:space="preserve"> shall (acting reasonably) confirm if it accepts the revised Draft DR Plan. If so, the revised Draft DR Plan shall automatically become the Disaster Recovery Plan. If not, the Parties shall meet and use reasonable endeavours to agree the contents of such revised plan. If the Parties are unable to agree the contents of such revised plan or </w:t>
      </w:r>
      <w:proofErr w:type="spellStart"/>
      <w:r w:rsidR="001F1C19">
        <w:rPr>
          <w:rFonts w:ascii="Arial" w:hAnsi="Arial" w:cs="Arial"/>
        </w:rPr>
        <w:t>Netlink</w:t>
      </w:r>
      <w:proofErr w:type="spellEnd"/>
      <w:r w:rsidR="001F1C19">
        <w:rPr>
          <w:rFonts w:ascii="Arial" w:hAnsi="Arial" w:cs="Arial"/>
        </w:rPr>
        <w:t xml:space="preserve"> Star</w:t>
      </w:r>
      <w:r w:rsidRPr="638FA902">
        <w:rPr>
          <w:rFonts w:ascii="Arial" w:hAnsi="Arial" w:cs="Arial"/>
        </w:rPr>
        <w:t xml:space="preserve"> is not reasonably satisfied that the Supplier has an action plan to achieve the requirements within 20 Working Days of notification that the revisions are not acceptable, </w:t>
      </w:r>
      <w:proofErr w:type="spellStart"/>
      <w:r w:rsidR="001F1C19">
        <w:rPr>
          <w:rFonts w:ascii="Arial" w:hAnsi="Arial" w:cs="Arial"/>
        </w:rPr>
        <w:t>Netlink</w:t>
      </w:r>
      <w:proofErr w:type="spellEnd"/>
      <w:r w:rsidR="001F1C19">
        <w:rPr>
          <w:rFonts w:ascii="Arial" w:hAnsi="Arial" w:cs="Arial"/>
        </w:rPr>
        <w:t xml:space="preserve"> Star</w:t>
      </w:r>
      <w:r w:rsidRPr="638FA902">
        <w:rPr>
          <w:rFonts w:ascii="Arial" w:hAnsi="Arial" w:cs="Arial"/>
        </w:rPr>
        <w:t xml:space="preserve"> shall escalate such dispute for resolution in accordance with the Dispute Resolution Procedure.</w:t>
      </w:r>
    </w:p>
    <w:p w14:paraId="013E99D0" w14:textId="77777777" w:rsidR="00C75C57" w:rsidRDefault="00C75C57" w:rsidP="009D675B">
      <w:pPr>
        <w:pStyle w:val="Level3"/>
        <w:numPr>
          <w:ilvl w:val="2"/>
          <w:numId w:val="76"/>
        </w:numPr>
        <w:spacing w:line="240" w:lineRule="auto"/>
        <w:rPr>
          <w:rFonts w:ascii="Arial" w:hAnsi="Arial" w:cs="Arial"/>
        </w:rPr>
      </w:pPr>
      <w:r>
        <w:rPr>
          <w:rFonts w:ascii="Arial" w:hAnsi="Arial" w:cs="Arial"/>
        </w:rPr>
        <w:t xml:space="preserve">Once agreed, the Draft DR Plan shall automatically </w:t>
      </w:r>
      <w:r w:rsidRPr="00A541BB">
        <w:rPr>
          <w:rFonts w:ascii="Arial" w:hAnsi="Arial" w:cs="Arial"/>
        </w:rPr>
        <w:t xml:space="preserve">become the </w:t>
      </w:r>
      <w:r>
        <w:rPr>
          <w:rFonts w:ascii="Arial" w:hAnsi="Arial" w:cs="Arial"/>
        </w:rPr>
        <w:t xml:space="preserve">Disaster Recovery Plan. The Disaster Recovery Plan shall be updated in accordance with Paragraph </w:t>
      </w:r>
      <w:r>
        <w:rPr>
          <w:rFonts w:ascii="Arial" w:hAnsi="Arial" w:cs="Arial"/>
        </w:rPr>
        <w:fldChar w:fldCharType="begin"/>
      </w:r>
      <w:r>
        <w:rPr>
          <w:rFonts w:ascii="Arial" w:hAnsi="Arial" w:cs="Arial"/>
        </w:rPr>
        <w:instrText xml:space="preserve"> REF _Ref86314388 \r \h </w:instrText>
      </w:r>
      <w:r>
        <w:rPr>
          <w:rFonts w:ascii="Arial" w:hAnsi="Arial" w:cs="Arial"/>
        </w:rPr>
      </w:r>
      <w:r>
        <w:rPr>
          <w:rFonts w:ascii="Arial" w:hAnsi="Arial" w:cs="Arial"/>
        </w:rPr>
        <w:fldChar w:fldCharType="separate"/>
      </w:r>
      <w:r>
        <w:rPr>
          <w:rFonts w:ascii="Arial" w:hAnsi="Arial" w:cs="Arial"/>
        </w:rPr>
        <w:t>2.7</w:t>
      </w:r>
      <w:r>
        <w:rPr>
          <w:rFonts w:ascii="Arial" w:hAnsi="Arial" w:cs="Arial"/>
        </w:rPr>
        <w:fldChar w:fldCharType="end"/>
      </w:r>
      <w:r>
        <w:rPr>
          <w:rFonts w:ascii="Arial" w:hAnsi="Arial" w:cs="Arial"/>
        </w:rPr>
        <w:t>.</w:t>
      </w:r>
    </w:p>
    <w:p w14:paraId="599F6F17" w14:textId="58FECC30" w:rsidR="00C75C57" w:rsidRPr="00A71CF5" w:rsidRDefault="00C75C57" w:rsidP="009D675B">
      <w:pPr>
        <w:pStyle w:val="Level3"/>
        <w:numPr>
          <w:ilvl w:val="2"/>
          <w:numId w:val="76"/>
        </w:numPr>
        <w:spacing w:line="240" w:lineRule="auto"/>
        <w:rPr>
          <w:rFonts w:ascii="Arial" w:hAnsi="Arial" w:cs="Arial"/>
        </w:rPr>
      </w:pPr>
      <w:r>
        <w:rPr>
          <w:rFonts w:ascii="Arial" w:hAnsi="Arial" w:cs="Arial"/>
        </w:rPr>
        <w:t xml:space="preserve">The Supplier will be required to undertake mutual testing and exercising of DR plans as reasonably required and requested by </w:t>
      </w:r>
      <w:proofErr w:type="spellStart"/>
      <w:r w:rsidR="001F1C19">
        <w:rPr>
          <w:rFonts w:ascii="Arial" w:hAnsi="Arial" w:cs="Arial"/>
        </w:rPr>
        <w:t>Netlink</w:t>
      </w:r>
      <w:proofErr w:type="spellEnd"/>
      <w:r w:rsidR="001F1C19">
        <w:rPr>
          <w:rFonts w:ascii="Arial" w:hAnsi="Arial" w:cs="Arial"/>
        </w:rPr>
        <w:t xml:space="preserve"> Star</w:t>
      </w:r>
    </w:p>
    <w:p w14:paraId="5475BDD7" w14:textId="41EC38E3" w:rsidR="00C75C57" w:rsidRPr="00E03BE0" w:rsidRDefault="001F1C19" w:rsidP="009D675B">
      <w:pPr>
        <w:pStyle w:val="Level2"/>
        <w:keepNext/>
        <w:numPr>
          <w:ilvl w:val="1"/>
          <w:numId w:val="76"/>
        </w:numPr>
        <w:tabs>
          <w:tab w:val="clear" w:pos="1135"/>
          <w:tab w:val="num" w:pos="851"/>
        </w:tabs>
        <w:spacing w:after="120" w:line="240" w:lineRule="auto"/>
        <w:ind w:left="851"/>
        <w:rPr>
          <w:rFonts w:ascii="Arial" w:hAnsi="Arial" w:cs="Arial"/>
          <w:b/>
          <w:bCs/>
        </w:rPr>
      </w:pPr>
      <w:proofErr w:type="spellStart"/>
      <w:r>
        <w:rPr>
          <w:rFonts w:ascii="Arial" w:hAnsi="Arial" w:cs="Arial"/>
          <w:b/>
          <w:bCs/>
        </w:rPr>
        <w:t>Netlink</w:t>
      </w:r>
      <w:proofErr w:type="spellEnd"/>
      <w:r>
        <w:rPr>
          <w:rFonts w:ascii="Arial" w:hAnsi="Arial" w:cs="Arial"/>
          <w:b/>
          <w:bCs/>
        </w:rPr>
        <w:t xml:space="preserve"> Star</w:t>
      </w:r>
      <w:r w:rsidR="00C75C57" w:rsidRPr="00E03BE0">
        <w:rPr>
          <w:rFonts w:ascii="Arial" w:hAnsi="Arial" w:cs="Arial"/>
          <w:b/>
          <w:bCs/>
        </w:rPr>
        <w:t xml:space="preserve"> plans</w:t>
      </w:r>
    </w:p>
    <w:p w14:paraId="4400C968" w14:textId="590C17A3" w:rsidR="00C75C57" w:rsidRDefault="001F1C19" w:rsidP="009D675B">
      <w:pPr>
        <w:pStyle w:val="Level3"/>
        <w:numPr>
          <w:ilvl w:val="2"/>
          <w:numId w:val="76"/>
        </w:numPr>
        <w:spacing w:line="240" w:lineRule="auto"/>
        <w:rPr>
          <w:rFonts w:ascii="Arial" w:hAnsi="Arial" w:cs="Arial"/>
        </w:rPr>
      </w:pPr>
      <w:proofErr w:type="spellStart"/>
      <w:r>
        <w:rPr>
          <w:rFonts w:ascii="Arial" w:hAnsi="Arial" w:cs="Arial"/>
        </w:rPr>
        <w:t>Netlink</w:t>
      </w:r>
      <w:proofErr w:type="spellEnd"/>
      <w:r>
        <w:rPr>
          <w:rFonts w:ascii="Arial" w:hAnsi="Arial" w:cs="Arial"/>
        </w:rPr>
        <w:t xml:space="preserve"> Star</w:t>
      </w:r>
      <w:r w:rsidR="00C75C57" w:rsidRPr="638FA902">
        <w:rPr>
          <w:rFonts w:ascii="Arial" w:hAnsi="Arial" w:cs="Arial"/>
        </w:rPr>
        <w:t xml:space="preserve"> </w:t>
      </w:r>
      <w:r w:rsidR="00C75C57">
        <w:t xml:space="preserve">these will develop and provide to Cap Gemini </w:t>
      </w:r>
      <w:r w:rsidR="00C75C57" w:rsidRPr="638FA902">
        <w:rPr>
          <w:rFonts w:ascii="Arial" w:hAnsi="Arial" w:cs="Arial"/>
        </w:rPr>
        <w:t>recovery (and equivalent) plans for each of the services it utilises (“</w:t>
      </w:r>
      <w:r w:rsidR="00C75C57" w:rsidRPr="638FA902">
        <w:rPr>
          <w:rFonts w:ascii="Arial" w:hAnsi="Arial" w:cs="Arial"/>
          <w:b/>
          <w:bCs/>
        </w:rPr>
        <w:t>NR Recovery Plans</w:t>
      </w:r>
      <w:r w:rsidR="00C75C57" w:rsidRPr="638FA902">
        <w:rPr>
          <w:rFonts w:ascii="Arial" w:hAnsi="Arial" w:cs="Arial"/>
        </w:rPr>
        <w:t>”)</w:t>
      </w:r>
      <w:r w:rsidR="00C75C57">
        <w:rPr>
          <w:rFonts w:ascii="Arial" w:hAnsi="Arial" w:cs="Arial"/>
        </w:rPr>
        <w:t xml:space="preserve"> as these become available</w:t>
      </w:r>
      <w:r w:rsidR="00C75C57" w:rsidRPr="638FA902">
        <w:rPr>
          <w:rFonts w:ascii="Arial" w:hAnsi="Arial" w:cs="Arial"/>
        </w:rPr>
        <w:t xml:space="preserve">. Supplier shall reasonably co-operate with </w:t>
      </w:r>
      <w:proofErr w:type="spellStart"/>
      <w:r>
        <w:rPr>
          <w:rFonts w:ascii="Arial" w:hAnsi="Arial" w:cs="Arial"/>
        </w:rPr>
        <w:t>Netlink</w:t>
      </w:r>
      <w:proofErr w:type="spellEnd"/>
      <w:r>
        <w:rPr>
          <w:rFonts w:ascii="Arial" w:hAnsi="Arial" w:cs="Arial"/>
        </w:rPr>
        <w:t xml:space="preserve"> Star</w:t>
      </w:r>
      <w:r w:rsidR="00C75C57" w:rsidRPr="638FA902">
        <w:rPr>
          <w:rFonts w:ascii="Arial" w:hAnsi="Arial" w:cs="Arial"/>
        </w:rPr>
        <w:t xml:space="preserve"> as and when </w:t>
      </w:r>
      <w:proofErr w:type="spellStart"/>
      <w:r>
        <w:rPr>
          <w:rFonts w:ascii="Arial" w:hAnsi="Arial" w:cs="Arial"/>
        </w:rPr>
        <w:t>Netlink</w:t>
      </w:r>
      <w:proofErr w:type="spellEnd"/>
      <w:r>
        <w:rPr>
          <w:rFonts w:ascii="Arial" w:hAnsi="Arial" w:cs="Arial"/>
        </w:rPr>
        <w:t xml:space="preserve"> Star</w:t>
      </w:r>
      <w:r w:rsidR="00C75C57" w:rsidRPr="638FA902">
        <w:rPr>
          <w:rFonts w:ascii="Arial" w:hAnsi="Arial" w:cs="Arial"/>
        </w:rPr>
        <w:t xml:space="preserve"> requires input in and review of the NR Recovery Plans (primarily when such plans are initially developed and updated).</w:t>
      </w:r>
    </w:p>
    <w:p w14:paraId="6D3B6EA0" w14:textId="73BBF279" w:rsidR="00C75C57" w:rsidRDefault="00C75C57" w:rsidP="009D675B">
      <w:pPr>
        <w:pStyle w:val="Level3"/>
        <w:numPr>
          <w:ilvl w:val="2"/>
          <w:numId w:val="76"/>
        </w:numPr>
        <w:spacing w:line="240" w:lineRule="auto"/>
        <w:rPr>
          <w:rFonts w:ascii="Arial" w:hAnsi="Arial" w:cs="Arial"/>
        </w:rPr>
      </w:pPr>
      <w:r>
        <w:rPr>
          <w:rFonts w:ascii="Arial" w:hAnsi="Arial" w:cs="Arial"/>
        </w:rPr>
        <w:t xml:space="preserve">To the extent that </w:t>
      </w:r>
      <w:proofErr w:type="spellStart"/>
      <w:r w:rsidR="001F1C19">
        <w:rPr>
          <w:rFonts w:ascii="Arial" w:hAnsi="Arial" w:cs="Arial"/>
        </w:rPr>
        <w:t>Netlink</w:t>
      </w:r>
      <w:proofErr w:type="spellEnd"/>
      <w:r w:rsidR="001F1C19">
        <w:rPr>
          <w:rFonts w:ascii="Arial" w:hAnsi="Arial" w:cs="Arial"/>
        </w:rPr>
        <w:t xml:space="preserve"> Star</w:t>
      </w:r>
      <w:r>
        <w:rPr>
          <w:rFonts w:ascii="Arial" w:hAnsi="Arial" w:cs="Arial"/>
        </w:rPr>
        <w:t xml:space="preserve"> identifies an incident, </w:t>
      </w:r>
      <w:proofErr w:type="spellStart"/>
      <w:r w:rsidR="001F1C19">
        <w:rPr>
          <w:rFonts w:ascii="Arial" w:hAnsi="Arial" w:cs="Arial"/>
        </w:rPr>
        <w:t>Netlink</w:t>
      </w:r>
      <w:proofErr w:type="spellEnd"/>
      <w:r w:rsidR="001F1C19">
        <w:rPr>
          <w:rFonts w:ascii="Arial" w:hAnsi="Arial" w:cs="Arial"/>
        </w:rPr>
        <w:t xml:space="preserve"> Star</w:t>
      </w:r>
      <w:r>
        <w:rPr>
          <w:rFonts w:ascii="Arial" w:hAnsi="Arial" w:cs="Arial"/>
        </w:rPr>
        <w:t xml:space="preserve"> shall notify the Supplier and the Supplier shall reasonably support </w:t>
      </w:r>
      <w:proofErr w:type="spellStart"/>
      <w:r w:rsidR="001F1C19">
        <w:rPr>
          <w:rFonts w:ascii="Arial" w:hAnsi="Arial" w:cs="Arial"/>
        </w:rPr>
        <w:t>Netlink</w:t>
      </w:r>
      <w:proofErr w:type="spellEnd"/>
      <w:r w:rsidR="001F1C19">
        <w:rPr>
          <w:rFonts w:ascii="Arial" w:hAnsi="Arial" w:cs="Arial"/>
        </w:rPr>
        <w:t xml:space="preserve"> Star</w:t>
      </w:r>
      <w:r>
        <w:rPr>
          <w:rFonts w:ascii="Arial" w:hAnsi="Arial" w:cs="Arial"/>
        </w:rPr>
        <w:t xml:space="preserve"> to identify (</w:t>
      </w:r>
      <w:proofErr w:type="spellStart"/>
      <w:r>
        <w:rPr>
          <w:rFonts w:ascii="Arial" w:hAnsi="Arial" w:cs="Arial"/>
        </w:rPr>
        <w:t>i</w:t>
      </w:r>
      <w:proofErr w:type="spellEnd"/>
      <w:r>
        <w:rPr>
          <w:rFonts w:ascii="Arial" w:hAnsi="Arial" w:cs="Arial"/>
        </w:rPr>
        <w:t>) the cause of such incident, (ii) how such incident may be resolved and (iii) implement such resolution</w:t>
      </w:r>
      <w:r w:rsidRPr="002F6242">
        <w:rPr>
          <w:rFonts w:ascii="Arial" w:hAnsi="Arial" w:cs="Arial"/>
        </w:rPr>
        <w:t>.</w:t>
      </w:r>
    </w:p>
    <w:p w14:paraId="1C0FD3C8" w14:textId="77777777" w:rsidR="00C75C57" w:rsidRPr="00215FB8" w:rsidRDefault="00C75C57" w:rsidP="009D675B">
      <w:pPr>
        <w:pStyle w:val="Level2"/>
        <w:keepNext/>
        <w:numPr>
          <w:ilvl w:val="1"/>
          <w:numId w:val="76"/>
        </w:numPr>
        <w:tabs>
          <w:tab w:val="clear" w:pos="1135"/>
          <w:tab w:val="num" w:pos="851"/>
        </w:tabs>
        <w:spacing w:after="120" w:line="240" w:lineRule="auto"/>
        <w:ind w:left="851"/>
        <w:rPr>
          <w:rFonts w:ascii="Arial" w:hAnsi="Arial" w:cs="Arial"/>
          <w:b/>
          <w:bCs/>
        </w:rPr>
      </w:pPr>
      <w:r w:rsidRPr="00215FB8">
        <w:rPr>
          <w:rFonts w:ascii="Arial" w:hAnsi="Arial" w:cs="Arial"/>
          <w:b/>
          <w:bCs/>
        </w:rPr>
        <w:t>Back-up</w:t>
      </w:r>
    </w:p>
    <w:p w14:paraId="263C699D" w14:textId="77777777" w:rsidR="00C75C57" w:rsidRPr="00DE3216" w:rsidRDefault="00C75C57" w:rsidP="009D675B">
      <w:pPr>
        <w:pStyle w:val="Level3"/>
        <w:numPr>
          <w:ilvl w:val="2"/>
          <w:numId w:val="76"/>
        </w:numPr>
        <w:spacing w:line="240" w:lineRule="auto"/>
        <w:rPr>
          <w:rFonts w:ascii="Arial" w:hAnsi="Arial" w:cs="Arial"/>
        </w:rPr>
      </w:pPr>
      <w:r w:rsidRPr="00DE3216">
        <w:rPr>
          <w:rFonts w:ascii="Arial" w:hAnsi="Arial" w:cs="Arial"/>
        </w:rPr>
        <w:t xml:space="preserve">Supplier shall </w:t>
      </w:r>
      <w:r>
        <w:rPr>
          <w:rFonts w:ascii="Arial" w:hAnsi="Arial" w:cs="Arial"/>
        </w:rPr>
        <w:t xml:space="preserve">conduct all back-ups as required in Schedule 2.1 (Services) </w:t>
      </w:r>
      <w:r w:rsidRPr="00DE3216">
        <w:rPr>
          <w:rFonts w:ascii="Arial" w:hAnsi="Arial" w:cs="Arial"/>
        </w:rPr>
        <w:t>in accordance with the principles set out in (</w:t>
      </w:r>
      <w:proofErr w:type="spellStart"/>
      <w:r w:rsidRPr="00DE3216">
        <w:rPr>
          <w:rFonts w:ascii="Arial" w:hAnsi="Arial" w:cs="Arial"/>
        </w:rPr>
        <w:t>i</w:t>
      </w:r>
      <w:proofErr w:type="spellEnd"/>
      <w:r w:rsidRPr="00DE3216">
        <w:rPr>
          <w:rFonts w:ascii="Arial" w:hAnsi="Arial" w:cs="Arial"/>
        </w:rPr>
        <w:t>) NR_L2_RSK_290 – Business Continuity Management, (ii) RSIT-SCM-FRA-001 and (iii) RSIT-SCM-FRA-002.</w:t>
      </w:r>
    </w:p>
    <w:p w14:paraId="76AC6A39" w14:textId="77777777" w:rsidR="00C75C57" w:rsidRPr="00C92D91" w:rsidRDefault="00C75C57" w:rsidP="009D675B">
      <w:pPr>
        <w:pStyle w:val="Level2"/>
        <w:keepNext/>
        <w:numPr>
          <w:ilvl w:val="1"/>
          <w:numId w:val="76"/>
        </w:numPr>
        <w:tabs>
          <w:tab w:val="clear" w:pos="1135"/>
          <w:tab w:val="num" w:pos="851"/>
        </w:tabs>
        <w:spacing w:after="120" w:line="240" w:lineRule="auto"/>
        <w:ind w:left="851"/>
        <w:rPr>
          <w:rFonts w:ascii="Arial" w:hAnsi="Arial" w:cs="Arial"/>
          <w:b/>
          <w:bCs/>
        </w:rPr>
      </w:pPr>
      <w:bookmarkStart w:id="2412" w:name="_Ref86314658"/>
      <w:r w:rsidRPr="00C92D91">
        <w:rPr>
          <w:rFonts w:ascii="Arial" w:hAnsi="Arial" w:cs="Arial"/>
          <w:b/>
          <w:bCs/>
        </w:rPr>
        <w:t>Testing</w:t>
      </w:r>
      <w:bookmarkEnd w:id="2412"/>
      <w:r w:rsidRPr="00C92D91">
        <w:rPr>
          <w:rFonts w:ascii="Arial" w:hAnsi="Arial" w:cs="Arial"/>
          <w:b/>
          <w:bCs/>
        </w:rPr>
        <w:t xml:space="preserve"> </w:t>
      </w:r>
    </w:p>
    <w:p w14:paraId="4F7403C4" w14:textId="42A95E2E" w:rsidR="00C75C57" w:rsidRDefault="001F1C19" w:rsidP="009D675B">
      <w:pPr>
        <w:pStyle w:val="Level3"/>
        <w:numPr>
          <w:ilvl w:val="2"/>
          <w:numId w:val="76"/>
        </w:numPr>
        <w:spacing w:line="240" w:lineRule="auto"/>
        <w:rPr>
          <w:rFonts w:ascii="Arial" w:hAnsi="Arial" w:cs="Arial"/>
        </w:rPr>
      </w:pPr>
      <w:proofErr w:type="spellStart"/>
      <w:r>
        <w:rPr>
          <w:rFonts w:ascii="Arial" w:hAnsi="Arial" w:cs="Arial"/>
        </w:rPr>
        <w:t>Netlink</w:t>
      </w:r>
      <w:proofErr w:type="spellEnd"/>
      <w:r>
        <w:rPr>
          <w:rFonts w:ascii="Arial" w:hAnsi="Arial" w:cs="Arial"/>
        </w:rPr>
        <w:t xml:space="preserve"> Star</w:t>
      </w:r>
      <w:r w:rsidR="00C75C57">
        <w:rPr>
          <w:rFonts w:ascii="Arial" w:hAnsi="Arial" w:cs="Arial"/>
        </w:rPr>
        <w:t xml:space="preserve"> tests service continuity periodically in accordance with its service continuity test schedule which it shall provide to the Supplier annually and the Supplier shall reasonably support </w:t>
      </w:r>
      <w:proofErr w:type="spellStart"/>
      <w:r>
        <w:rPr>
          <w:rFonts w:ascii="Arial" w:hAnsi="Arial" w:cs="Arial"/>
        </w:rPr>
        <w:t>Netlink</w:t>
      </w:r>
      <w:proofErr w:type="spellEnd"/>
      <w:r>
        <w:rPr>
          <w:rFonts w:ascii="Arial" w:hAnsi="Arial" w:cs="Arial"/>
        </w:rPr>
        <w:t xml:space="preserve"> Star</w:t>
      </w:r>
      <w:r w:rsidR="00C75C57">
        <w:rPr>
          <w:rFonts w:ascii="Arial" w:hAnsi="Arial" w:cs="Arial"/>
        </w:rPr>
        <w:t xml:space="preserve"> with the</w:t>
      </w:r>
      <w:r w:rsidR="00C75C57" w:rsidRPr="00DE3216">
        <w:rPr>
          <w:rFonts w:ascii="Arial" w:hAnsi="Arial" w:cs="Arial"/>
        </w:rPr>
        <w:t xml:space="preserve"> planning, execution and reporting of any </w:t>
      </w:r>
      <w:r w:rsidR="00C75C57">
        <w:rPr>
          <w:rFonts w:ascii="Arial" w:hAnsi="Arial" w:cs="Arial"/>
        </w:rPr>
        <w:t xml:space="preserve">such </w:t>
      </w:r>
      <w:r w:rsidR="00C75C57" w:rsidRPr="00DE3216">
        <w:rPr>
          <w:rFonts w:ascii="Arial" w:hAnsi="Arial" w:cs="Arial"/>
        </w:rPr>
        <w:t>planned test and exercises</w:t>
      </w:r>
      <w:r w:rsidR="00C75C57">
        <w:rPr>
          <w:rFonts w:ascii="Arial" w:hAnsi="Arial" w:cs="Arial"/>
        </w:rPr>
        <w:t xml:space="preserve">. </w:t>
      </w:r>
    </w:p>
    <w:p w14:paraId="30C1682C" w14:textId="77777777" w:rsidR="00C75C57" w:rsidRDefault="00C75C57" w:rsidP="009D675B">
      <w:pPr>
        <w:pStyle w:val="Level3"/>
        <w:numPr>
          <w:ilvl w:val="2"/>
          <w:numId w:val="76"/>
        </w:numPr>
        <w:spacing w:line="240" w:lineRule="auto"/>
        <w:rPr>
          <w:rFonts w:ascii="Arial" w:hAnsi="Arial" w:cs="Arial"/>
        </w:rPr>
      </w:pPr>
      <w:r>
        <w:rPr>
          <w:rFonts w:ascii="Arial" w:hAnsi="Arial" w:cs="Arial"/>
        </w:rPr>
        <w:t xml:space="preserve">All testing shall be supported by the Supplier in accordance with the RSIT ITSCM standards identified in Paragraphs </w:t>
      </w:r>
      <w:r>
        <w:rPr>
          <w:rFonts w:ascii="Arial" w:hAnsi="Arial" w:cs="Arial"/>
        </w:rPr>
        <w:fldChar w:fldCharType="begin"/>
      </w:r>
      <w:r>
        <w:rPr>
          <w:rFonts w:ascii="Arial" w:hAnsi="Arial" w:cs="Arial"/>
        </w:rPr>
        <w:instrText xml:space="preserve"> REF _Ref86312071 \r \h </w:instrText>
      </w:r>
      <w:r>
        <w:rPr>
          <w:rFonts w:ascii="Arial" w:hAnsi="Arial" w:cs="Arial"/>
        </w:rPr>
      </w:r>
      <w:r>
        <w:rPr>
          <w:rFonts w:ascii="Arial" w:hAnsi="Arial" w:cs="Arial"/>
        </w:rPr>
        <w:fldChar w:fldCharType="separate"/>
      </w:r>
      <w:r>
        <w:rPr>
          <w:rFonts w:ascii="Arial" w:hAnsi="Arial" w:cs="Arial"/>
        </w:rPr>
        <w:t>1.1.2</w:t>
      </w:r>
      <w:r>
        <w:rPr>
          <w:rFonts w:ascii="Arial" w:hAnsi="Arial" w:cs="Arial"/>
        </w:rPr>
        <w:fldChar w:fldCharType="end"/>
      </w:r>
      <w:r>
        <w:rPr>
          <w:rFonts w:ascii="Arial" w:hAnsi="Arial" w:cs="Arial"/>
        </w:rPr>
        <w:t xml:space="preserve"> and </w:t>
      </w:r>
      <w:r>
        <w:rPr>
          <w:rFonts w:ascii="Arial" w:hAnsi="Arial" w:cs="Arial"/>
        </w:rPr>
        <w:fldChar w:fldCharType="begin"/>
      </w:r>
      <w:r>
        <w:rPr>
          <w:rFonts w:ascii="Arial" w:hAnsi="Arial" w:cs="Arial"/>
        </w:rPr>
        <w:instrText xml:space="preserve"> REF _Ref86312075 \r \h </w:instrText>
      </w:r>
      <w:r>
        <w:rPr>
          <w:rFonts w:ascii="Arial" w:hAnsi="Arial" w:cs="Arial"/>
        </w:rPr>
      </w:r>
      <w:r>
        <w:rPr>
          <w:rFonts w:ascii="Arial" w:hAnsi="Arial" w:cs="Arial"/>
        </w:rPr>
        <w:fldChar w:fldCharType="separate"/>
      </w:r>
      <w:r>
        <w:rPr>
          <w:rFonts w:ascii="Arial" w:hAnsi="Arial" w:cs="Arial"/>
        </w:rPr>
        <w:t>1.1.3</w:t>
      </w:r>
      <w:r>
        <w:rPr>
          <w:rFonts w:ascii="Arial" w:hAnsi="Arial" w:cs="Arial"/>
        </w:rPr>
        <w:fldChar w:fldCharType="end"/>
      </w:r>
      <w:r>
        <w:rPr>
          <w:rFonts w:ascii="Arial" w:hAnsi="Arial" w:cs="Arial"/>
        </w:rPr>
        <w:t xml:space="preserve"> (as updated or replaced from time to time subject to paragraph 1.2 of Schedule 2.4).</w:t>
      </w:r>
    </w:p>
    <w:p w14:paraId="06C61E07" w14:textId="77777777" w:rsidR="00C75C57" w:rsidRDefault="00C75C57" w:rsidP="009D675B">
      <w:pPr>
        <w:pStyle w:val="Level3"/>
        <w:numPr>
          <w:ilvl w:val="2"/>
          <w:numId w:val="76"/>
        </w:numPr>
        <w:spacing w:line="240" w:lineRule="auto"/>
        <w:rPr>
          <w:rFonts w:ascii="Arial" w:hAnsi="Arial" w:cs="Arial"/>
        </w:rPr>
      </w:pPr>
      <w:r>
        <w:rPr>
          <w:rFonts w:ascii="Arial" w:hAnsi="Arial" w:cs="Arial"/>
        </w:rPr>
        <w:t>Subject to updates to the BCDR Policies in accordance with paragraph 1.1 above, the recovery time objectives shall be tested as a minimum as follows:</w:t>
      </w:r>
    </w:p>
    <w:p w14:paraId="797AB54D" w14:textId="77777777" w:rsidR="00C75C57" w:rsidRPr="00DE3216" w:rsidRDefault="00C75C57" w:rsidP="00C75C57">
      <w:pPr>
        <w:pStyle w:val="Level3"/>
        <w:numPr>
          <w:ilvl w:val="0"/>
          <w:numId w:val="0"/>
        </w:numPr>
        <w:spacing w:line="240" w:lineRule="auto"/>
        <w:ind w:left="1843"/>
        <w:rPr>
          <w:rFonts w:ascii="Arial" w:hAnsi="Arial" w:cs="Arial"/>
        </w:rPr>
      </w:pPr>
      <w:r w:rsidRPr="00DE3216">
        <w:rPr>
          <w:rFonts w:ascii="Arial" w:hAnsi="Arial" w:cs="Arial"/>
        </w:rPr>
        <w:t></w:t>
      </w:r>
      <w:r w:rsidRPr="00DE3216">
        <w:rPr>
          <w:rFonts w:ascii="Arial" w:hAnsi="Arial" w:cs="Arial"/>
        </w:rPr>
        <w:tab/>
        <w:t>15min RTO – Annually</w:t>
      </w:r>
    </w:p>
    <w:p w14:paraId="738A451A" w14:textId="77777777" w:rsidR="00C75C57" w:rsidRPr="00DE3216" w:rsidRDefault="00C75C57" w:rsidP="00C75C57">
      <w:pPr>
        <w:pStyle w:val="Level3"/>
        <w:numPr>
          <w:ilvl w:val="0"/>
          <w:numId w:val="0"/>
        </w:numPr>
        <w:spacing w:line="240" w:lineRule="auto"/>
        <w:ind w:left="1843"/>
        <w:rPr>
          <w:rFonts w:ascii="Arial" w:hAnsi="Arial" w:cs="Arial"/>
        </w:rPr>
      </w:pPr>
      <w:r w:rsidRPr="00DE3216">
        <w:rPr>
          <w:rFonts w:ascii="Arial" w:hAnsi="Arial" w:cs="Arial"/>
        </w:rPr>
        <w:t></w:t>
      </w:r>
      <w:r w:rsidRPr="00DE3216">
        <w:rPr>
          <w:rFonts w:ascii="Arial" w:hAnsi="Arial" w:cs="Arial"/>
        </w:rPr>
        <w:tab/>
        <w:t>2hours RTO – Annually</w:t>
      </w:r>
    </w:p>
    <w:p w14:paraId="1A89F9A6" w14:textId="77777777" w:rsidR="00C75C57" w:rsidRPr="00DE3216" w:rsidRDefault="00C75C57" w:rsidP="00C75C57">
      <w:pPr>
        <w:pStyle w:val="Level3"/>
        <w:numPr>
          <w:ilvl w:val="0"/>
          <w:numId w:val="0"/>
        </w:numPr>
        <w:spacing w:line="240" w:lineRule="auto"/>
        <w:ind w:left="1843"/>
        <w:rPr>
          <w:rFonts w:ascii="Arial" w:hAnsi="Arial" w:cs="Arial"/>
        </w:rPr>
      </w:pPr>
      <w:r w:rsidRPr="00DE3216">
        <w:rPr>
          <w:rFonts w:ascii="Arial" w:hAnsi="Arial" w:cs="Arial"/>
        </w:rPr>
        <w:t></w:t>
      </w:r>
      <w:r w:rsidRPr="00DE3216">
        <w:rPr>
          <w:rFonts w:ascii="Arial" w:hAnsi="Arial" w:cs="Arial"/>
        </w:rPr>
        <w:tab/>
        <w:t>8hours RTO – Biennially</w:t>
      </w:r>
    </w:p>
    <w:p w14:paraId="3A3B0AE1" w14:textId="738E7EDC" w:rsidR="00C75C57" w:rsidRDefault="00C75C57" w:rsidP="00C75C57">
      <w:pPr>
        <w:pStyle w:val="Level3"/>
        <w:numPr>
          <w:ilvl w:val="0"/>
          <w:numId w:val="0"/>
        </w:numPr>
        <w:spacing w:line="240" w:lineRule="auto"/>
        <w:ind w:left="1843"/>
        <w:rPr>
          <w:rFonts w:ascii="Arial" w:hAnsi="Arial" w:cs="Arial"/>
        </w:rPr>
      </w:pPr>
      <w:r w:rsidRPr="00DE3216">
        <w:rPr>
          <w:rFonts w:ascii="Arial" w:hAnsi="Arial" w:cs="Arial"/>
        </w:rPr>
        <w:lastRenderedPageBreak/>
        <w:t></w:t>
      </w:r>
      <w:r w:rsidRPr="00DE3216">
        <w:rPr>
          <w:rFonts w:ascii="Arial" w:hAnsi="Arial" w:cs="Arial"/>
        </w:rPr>
        <w:tab/>
        <w:t>24hours or greater RTO – Triennially</w:t>
      </w:r>
    </w:p>
    <w:p w14:paraId="3DE31EB7" w14:textId="768EEA04" w:rsidR="009C77E2" w:rsidRPr="00944ECA" w:rsidRDefault="009C77E2" w:rsidP="009D675B">
      <w:pPr>
        <w:pStyle w:val="Level3"/>
        <w:numPr>
          <w:ilvl w:val="2"/>
          <w:numId w:val="76"/>
        </w:numPr>
        <w:spacing w:line="240" w:lineRule="auto"/>
        <w:rPr>
          <w:rFonts w:ascii="Arial" w:hAnsi="Arial" w:cs="Arial"/>
        </w:rPr>
      </w:pPr>
      <w:r w:rsidRPr="00944ECA">
        <w:rPr>
          <w:rFonts w:ascii="Arial" w:hAnsi="Arial" w:cs="Arial"/>
        </w:rPr>
        <w:t xml:space="preserve">In the event the Supplier fails to meet any of the RTOs set out in Paragraphs 2.5.3 in relation to the Services when </w:t>
      </w:r>
      <w:proofErr w:type="spellStart"/>
      <w:r w:rsidR="001F1C19">
        <w:rPr>
          <w:rFonts w:ascii="Arial" w:hAnsi="Arial" w:cs="Arial"/>
        </w:rPr>
        <w:t>Netlink</w:t>
      </w:r>
      <w:proofErr w:type="spellEnd"/>
      <w:r w:rsidR="001F1C19">
        <w:rPr>
          <w:rFonts w:ascii="Arial" w:hAnsi="Arial" w:cs="Arial"/>
        </w:rPr>
        <w:t xml:space="preserve"> Star</w:t>
      </w:r>
      <w:r w:rsidRPr="00944ECA">
        <w:rPr>
          <w:rFonts w:ascii="Arial" w:hAnsi="Arial" w:cs="Arial"/>
        </w:rPr>
        <w:t xml:space="preserve"> carries out any of its service continuity testing then the Supplier shall repeat the testing within a reasonable timeframe.   In the event any of the RTOs are failed for a second time then this shall be a Notifiable Default.</w:t>
      </w:r>
    </w:p>
    <w:p w14:paraId="4D1E37EF" w14:textId="77777777" w:rsidR="009C77E2" w:rsidRPr="00944ECA" w:rsidRDefault="009C77E2" w:rsidP="009D675B">
      <w:pPr>
        <w:pStyle w:val="Level3"/>
        <w:numPr>
          <w:ilvl w:val="2"/>
          <w:numId w:val="76"/>
        </w:numPr>
        <w:spacing w:line="240" w:lineRule="auto"/>
        <w:rPr>
          <w:rFonts w:ascii="Arial" w:hAnsi="Arial" w:cs="Arial"/>
        </w:rPr>
      </w:pPr>
      <w:r w:rsidRPr="00944ECA">
        <w:rPr>
          <w:rFonts w:ascii="Arial" w:hAnsi="Arial" w:cs="Arial"/>
        </w:rPr>
        <w:t>In the event the Supplier fails to meet any of the RTOs set out in Paragraph 3.15 of Schedule 2.2 (Service Levels) In the event of a loss of any critical part of the Service or a Disaster (each a “B</w:t>
      </w:r>
      <w:r w:rsidRPr="00944ECA">
        <w:rPr>
          <w:rFonts w:ascii="Arial" w:hAnsi="Arial" w:cs="Arial"/>
          <w:b/>
          <w:bCs/>
        </w:rPr>
        <w:t>CDR Event</w:t>
      </w:r>
      <w:r w:rsidRPr="00944ECA">
        <w:rPr>
          <w:rFonts w:ascii="Arial" w:hAnsi="Arial" w:cs="Arial"/>
        </w:rPr>
        <w:t>”) then this shall be a Material KPI Failure.</w:t>
      </w:r>
    </w:p>
    <w:p w14:paraId="3CA5C0D2" w14:textId="77777777" w:rsidR="009C77E2" w:rsidRPr="00DE3216" w:rsidRDefault="009C77E2" w:rsidP="00C75C57">
      <w:pPr>
        <w:pStyle w:val="Level3"/>
        <w:numPr>
          <w:ilvl w:val="0"/>
          <w:numId w:val="0"/>
        </w:numPr>
        <w:spacing w:line="240" w:lineRule="auto"/>
        <w:ind w:left="1843"/>
        <w:rPr>
          <w:rFonts w:ascii="Arial" w:hAnsi="Arial" w:cs="Arial"/>
        </w:rPr>
      </w:pPr>
    </w:p>
    <w:p w14:paraId="061D2EB6" w14:textId="77777777" w:rsidR="00C75C57" w:rsidRPr="00C92D91" w:rsidRDefault="00C75C57" w:rsidP="009D675B">
      <w:pPr>
        <w:pStyle w:val="Level2"/>
        <w:keepNext/>
        <w:numPr>
          <w:ilvl w:val="1"/>
          <w:numId w:val="76"/>
        </w:numPr>
        <w:tabs>
          <w:tab w:val="clear" w:pos="1135"/>
          <w:tab w:val="num" w:pos="851"/>
        </w:tabs>
        <w:spacing w:after="120" w:line="240" w:lineRule="auto"/>
        <w:ind w:left="851"/>
        <w:rPr>
          <w:rFonts w:ascii="Arial" w:hAnsi="Arial" w:cs="Arial"/>
          <w:b/>
          <w:bCs/>
        </w:rPr>
      </w:pPr>
      <w:r>
        <w:rPr>
          <w:rFonts w:ascii="Arial" w:hAnsi="Arial" w:cs="Arial"/>
          <w:b/>
          <w:bCs/>
        </w:rPr>
        <w:t>U</w:t>
      </w:r>
      <w:r w:rsidRPr="00C92D91">
        <w:rPr>
          <w:rFonts w:ascii="Arial" w:hAnsi="Arial" w:cs="Arial"/>
          <w:b/>
          <w:bCs/>
        </w:rPr>
        <w:t>se of the Business Continuity Plan or Disaster Recovery Plan</w:t>
      </w:r>
    </w:p>
    <w:p w14:paraId="2895AED8" w14:textId="4B3574A3" w:rsidR="00C75C57" w:rsidRPr="00051BEC" w:rsidRDefault="00C75C57" w:rsidP="009D675B">
      <w:pPr>
        <w:pStyle w:val="Level3"/>
        <w:numPr>
          <w:ilvl w:val="2"/>
          <w:numId w:val="76"/>
        </w:numPr>
        <w:spacing w:line="240" w:lineRule="auto"/>
        <w:rPr>
          <w:rFonts w:ascii="Arial" w:hAnsi="Arial" w:cs="Arial"/>
        </w:rPr>
      </w:pPr>
      <w:r w:rsidRPr="0BFAC72A">
        <w:rPr>
          <w:rFonts w:ascii="Arial" w:hAnsi="Arial" w:cs="Arial"/>
        </w:rPr>
        <w:t>In the event of a loss of any critical part of the Service or a Disaster (each a “</w:t>
      </w:r>
      <w:r w:rsidRPr="00F64770">
        <w:rPr>
          <w:rFonts w:ascii="Arial" w:hAnsi="Arial" w:cs="Arial"/>
          <w:b/>
          <w:bCs/>
        </w:rPr>
        <w:t>B</w:t>
      </w:r>
      <w:r w:rsidRPr="0BFAC72A">
        <w:rPr>
          <w:rFonts w:ascii="Arial" w:hAnsi="Arial" w:cs="Arial"/>
          <w:b/>
          <w:bCs/>
        </w:rPr>
        <w:t>CDR Event</w:t>
      </w:r>
      <w:r w:rsidRPr="0BFAC72A">
        <w:rPr>
          <w:rFonts w:ascii="Arial" w:hAnsi="Arial" w:cs="Arial"/>
        </w:rPr>
        <w:t xml:space="preserve">”), the Supplier shall immediately notify </w:t>
      </w:r>
      <w:proofErr w:type="spellStart"/>
      <w:r w:rsidR="001F1C19">
        <w:rPr>
          <w:rFonts w:ascii="Arial" w:hAnsi="Arial" w:cs="Arial"/>
        </w:rPr>
        <w:t>Netlink</w:t>
      </w:r>
      <w:proofErr w:type="spellEnd"/>
      <w:r w:rsidR="001F1C19">
        <w:rPr>
          <w:rFonts w:ascii="Arial" w:hAnsi="Arial" w:cs="Arial"/>
        </w:rPr>
        <w:t xml:space="preserve"> Star</w:t>
      </w:r>
      <w:r w:rsidRPr="0BFAC72A">
        <w:rPr>
          <w:rFonts w:ascii="Arial" w:hAnsi="Arial" w:cs="Arial"/>
        </w:rPr>
        <w:t xml:space="preserve"> and keep </w:t>
      </w:r>
      <w:proofErr w:type="spellStart"/>
      <w:r w:rsidR="001F1C19">
        <w:rPr>
          <w:rFonts w:ascii="Arial" w:hAnsi="Arial" w:cs="Arial"/>
        </w:rPr>
        <w:t>Netlink</w:t>
      </w:r>
      <w:proofErr w:type="spellEnd"/>
      <w:r w:rsidR="001F1C19">
        <w:rPr>
          <w:rFonts w:ascii="Arial" w:hAnsi="Arial" w:cs="Arial"/>
        </w:rPr>
        <w:t xml:space="preserve"> Star</w:t>
      </w:r>
      <w:r w:rsidRPr="0BFAC72A">
        <w:rPr>
          <w:rFonts w:ascii="Arial" w:hAnsi="Arial" w:cs="Arial"/>
        </w:rPr>
        <w:t xml:space="preserve"> updated regarding any developments to such BCDR Event. Subject to written approval from </w:t>
      </w:r>
      <w:proofErr w:type="spellStart"/>
      <w:r w:rsidR="001F1C19">
        <w:rPr>
          <w:rFonts w:ascii="Arial" w:hAnsi="Arial" w:cs="Arial"/>
        </w:rPr>
        <w:t>Netlink</w:t>
      </w:r>
      <w:proofErr w:type="spellEnd"/>
      <w:r w:rsidR="001F1C19">
        <w:rPr>
          <w:rFonts w:ascii="Arial" w:hAnsi="Arial" w:cs="Arial"/>
        </w:rPr>
        <w:t xml:space="preserve"> Star</w:t>
      </w:r>
      <w:r w:rsidRPr="0BFAC72A">
        <w:rPr>
          <w:rFonts w:ascii="Arial" w:hAnsi="Arial" w:cs="Arial"/>
        </w:rPr>
        <w:t xml:space="preserve">, the Supplier shall invoke Disaster Recovery Plan as applicable and shall promptly confirm such invocation to </w:t>
      </w:r>
      <w:proofErr w:type="spellStart"/>
      <w:r w:rsidR="001F1C19">
        <w:rPr>
          <w:rFonts w:ascii="Arial" w:hAnsi="Arial" w:cs="Arial"/>
        </w:rPr>
        <w:t>Netlink</w:t>
      </w:r>
      <w:proofErr w:type="spellEnd"/>
      <w:r w:rsidR="001F1C19">
        <w:rPr>
          <w:rFonts w:ascii="Arial" w:hAnsi="Arial" w:cs="Arial"/>
        </w:rPr>
        <w:t xml:space="preserve"> Star</w:t>
      </w:r>
      <w:r w:rsidRPr="0BFAC72A">
        <w:rPr>
          <w:rFonts w:ascii="Arial" w:hAnsi="Arial" w:cs="Arial"/>
        </w:rPr>
        <w:t>.</w:t>
      </w:r>
    </w:p>
    <w:p w14:paraId="11616D30" w14:textId="77777777" w:rsidR="00C75C57" w:rsidRDefault="00C75C57" w:rsidP="009D675B">
      <w:pPr>
        <w:pStyle w:val="Level3"/>
        <w:numPr>
          <w:ilvl w:val="2"/>
          <w:numId w:val="76"/>
        </w:numPr>
        <w:spacing w:line="240" w:lineRule="auto"/>
        <w:rPr>
          <w:rFonts w:ascii="Arial" w:hAnsi="Arial" w:cs="Arial"/>
        </w:rPr>
      </w:pPr>
      <w:r>
        <w:rPr>
          <w:rFonts w:ascii="Arial" w:hAnsi="Arial" w:cs="Arial"/>
        </w:rPr>
        <w:t>“</w:t>
      </w:r>
      <w:r w:rsidRPr="00EE1D54">
        <w:rPr>
          <w:rFonts w:ascii="Arial" w:hAnsi="Arial" w:cs="Arial"/>
          <w:b/>
          <w:bCs/>
        </w:rPr>
        <w:t>Disaster</w:t>
      </w:r>
      <w:r>
        <w:rPr>
          <w:rFonts w:ascii="Arial" w:hAnsi="Arial" w:cs="Arial"/>
        </w:rPr>
        <w:t xml:space="preserve">” means </w:t>
      </w:r>
      <w:r w:rsidRPr="00EE1D54">
        <w:rPr>
          <w:rFonts w:ascii="Arial" w:hAnsi="Arial" w:cs="Arial"/>
        </w:rPr>
        <w:t>the occurrence of one or more events which, either separately or cumulatively, mean</w:t>
      </w:r>
      <w:r>
        <w:rPr>
          <w:rFonts w:ascii="Arial" w:hAnsi="Arial" w:cs="Arial"/>
        </w:rPr>
        <w:t xml:space="preserve"> the unplanned impairment or interruption of any element of the Services, systems, </w:t>
      </w:r>
      <w:proofErr w:type="gramStart"/>
      <w:r>
        <w:rPr>
          <w:rFonts w:ascii="Arial" w:hAnsi="Arial" w:cs="Arial"/>
        </w:rPr>
        <w:t>resources</w:t>
      </w:r>
      <w:proofErr w:type="gramEnd"/>
      <w:r>
        <w:rPr>
          <w:rFonts w:ascii="Arial" w:hAnsi="Arial" w:cs="Arial"/>
        </w:rPr>
        <w:t xml:space="preserve"> or processes that enable the standard performance or delivery of the Services. </w:t>
      </w:r>
      <w:r w:rsidRPr="00EE1D54">
        <w:rPr>
          <w:rFonts w:ascii="Arial" w:hAnsi="Arial" w:cs="Arial"/>
        </w:rPr>
        <w:t xml:space="preserve"> </w:t>
      </w:r>
    </w:p>
    <w:p w14:paraId="61A6804F" w14:textId="77777777" w:rsidR="00C75C57" w:rsidRPr="00DE3216" w:rsidRDefault="00C75C57" w:rsidP="009D675B">
      <w:pPr>
        <w:pStyle w:val="Level3"/>
        <w:numPr>
          <w:ilvl w:val="2"/>
          <w:numId w:val="76"/>
        </w:numPr>
        <w:spacing w:line="240" w:lineRule="auto"/>
        <w:rPr>
          <w:rFonts w:ascii="Arial" w:hAnsi="Arial" w:cs="Arial"/>
        </w:rPr>
      </w:pPr>
      <w:r w:rsidRPr="0BFAC72A">
        <w:rPr>
          <w:rFonts w:ascii="Arial" w:hAnsi="Arial" w:cs="Arial"/>
        </w:rPr>
        <w:t>When a BCDR Event occurs and until it is resolved, Supplier shall be available 24 x 7 x 365 to support on any issues impacting the Services caused by the applicable BCDR Event.</w:t>
      </w:r>
    </w:p>
    <w:p w14:paraId="4B95478A" w14:textId="7DB1CD18" w:rsidR="00C75C57" w:rsidRDefault="00C75C57" w:rsidP="009D675B">
      <w:pPr>
        <w:pStyle w:val="Level3"/>
        <w:numPr>
          <w:ilvl w:val="2"/>
          <w:numId w:val="76"/>
        </w:numPr>
        <w:spacing w:line="240" w:lineRule="auto"/>
        <w:rPr>
          <w:rFonts w:ascii="Arial" w:hAnsi="Arial" w:cs="Arial"/>
        </w:rPr>
      </w:pPr>
      <w:r>
        <w:rPr>
          <w:rFonts w:ascii="Arial" w:hAnsi="Arial" w:cs="Arial"/>
        </w:rPr>
        <w:t xml:space="preserve">The Supplier shall provide the Business Continuity Services and Disaster Recovery Services in accordance with the service levels in Schedule 2.2 (Service Levels). </w:t>
      </w:r>
    </w:p>
    <w:p w14:paraId="38E6681A" w14:textId="5CC87BE9" w:rsidR="00C75C57" w:rsidRDefault="00C75C57" w:rsidP="009D675B">
      <w:pPr>
        <w:pStyle w:val="Level3"/>
        <w:numPr>
          <w:ilvl w:val="2"/>
          <w:numId w:val="76"/>
        </w:numPr>
        <w:spacing w:line="240" w:lineRule="auto"/>
        <w:rPr>
          <w:rFonts w:ascii="Arial" w:hAnsi="Arial" w:cs="Arial"/>
        </w:rPr>
      </w:pPr>
      <w:r>
        <w:rPr>
          <w:rFonts w:ascii="Arial" w:hAnsi="Arial" w:cs="Arial"/>
        </w:rPr>
        <w:t xml:space="preserve">Supplier will follow the process set out in the Major Incident Process in accordance with the Major Incident Policy and shall in all instances be required to notify </w:t>
      </w:r>
      <w:proofErr w:type="spellStart"/>
      <w:r w:rsidR="001F1C19">
        <w:rPr>
          <w:rFonts w:ascii="Arial" w:hAnsi="Arial" w:cs="Arial"/>
        </w:rPr>
        <w:t>Netlink</w:t>
      </w:r>
      <w:proofErr w:type="spellEnd"/>
      <w:r w:rsidR="001F1C19">
        <w:rPr>
          <w:rFonts w:ascii="Arial" w:hAnsi="Arial" w:cs="Arial"/>
        </w:rPr>
        <w:t xml:space="preserve"> Star</w:t>
      </w:r>
      <w:r>
        <w:rPr>
          <w:rFonts w:ascii="Arial" w:hAnsi="Arial" w:cs="Arial"/>
        </w:rPr>
        <w:t xml:space="preserve"> and seek approval for use of such </w:t>
      </w:r>
      <w:r w:rsidRPr="00743978">
        <w:rPr>
          <w:rFonts w:ascii="Arial" w:hAnsi="Arial" w:cs="Arial"/>
        </w:rPr>
        <w:t>Business Continuity or Disaster Recovery</w:t>
      </w:r>
      <w:r>
        <w:rPr>
          <w:rFonts w:ascii="Arial" w:hAnsi="Arial" w:cs="Arial"/>
        </w:rPr>
        <w:t xml:space="preserve"> Plans. The Business Continuity Plan and Disaster Recovery Plan shall not conflict with the Major Incident Process and Major Incident Policy.</w:t>
      </w:r>
    </w:p>
    <w:p w14:paraId="7A3487A8" w14:textId="378F0244" w:rsidR="00C75C57" w:rsidRPr="00DE3216" w:rsidRDefault="00C75C57" w:rsidP="009D675B">
      <w:pPr>
        <w:pStyle w:val="Level3"/>
        <w:numPr>
          <w:ilvl w:val="2"/>
          <w:numId w:val="76"/>
        </w:numPr>
        <w:spacing w:line="240" w:lineRule="auto"/>
        <w:rPr>
          <w:rFonts w:ascii="Arial" w:hAnsi="Arial" w:cs="Arial"/>
        </w:rPr>
      </w:pPr>
      <w:r>
        <w:rPr>
          <w:rFonts w:ascii="Arial" w:hAnsi="Arial" w:cs="Arial"/>
        </w:rPr>
        <w:t xml:space="preserve">Following resolution of a Disaster the Supplier will carry out debriefs within 30 days of declared stand down to identify planning improvements and provide </w:t>
      </w:r>
      <w:proofErr w:type="spellStart"/>
      <w:r w:rsidR="001F1C19">
        <w:rPr>
          <w:rFonts w:ascii="Arial" w:hAnsi="Arial" w:cs="Arial"/>
        </w:rPr>
        <w:t>Netlink</w:t>
      </w:r>
      <w:proofErr w:type="spellEnd"/>
      <w:r w:rsidR="001F1C19">
        <w:rPr>
          <w:rFonts w:ascii="Arial" w:hAnsi="Arial" w:cs="Arial"/>
        </w:rPr>
        <w:t xml:space="preserve"> Star</w:t>
      </w:r>
      <w:r>
        <w:rPr>
          <w:rFonts w:ascii="Arial" w:hAnsi="Arial" w:cs="Arial"/>
        </w:rPr>
        <w:t xml:space="preserve"> with its action plan for improvement. These may be joint debriefs if </w:t>
      </w:r>
      <w:proofErr w:type="spellStart"/>
      <w:r w:rsidR="001F1C19">
        <w:rPr>
          <w:rFonts w:ascii="Arial" w:hAnsi="Arial" w:cs="Arial"/>
        </w:rPr>
        <w:t>Netlink</w:t>
      </w:r>
      <w:proofErr w:type="spellEnd"/>
      <w:r w:rsidR="001F1C19">
        <w:rPr>
          <w:rFonts w:ascii="Arial" w:hAnsi="Arial" w:cs="Arial"/>
        </w:rPr>
        <w:t xml:space="preserve"> Star</w:t>
      </w:r>
      <w:r>
        <w:rPr>
          <w:rFonts w:ascii="Arial" w:hAnsi="Arial" w:cs="Arial"/>
        </w:rPr>
        <w:t xml:space="preserve"> deem this necessary.   </w:t>
      </w:r>
    </w:p>
    <w:p w14:paraId="4C452C8B" w14:textId="77777777" w:rsidR="00C75C57" w:rsidRPr="002F6242" w:rsidRDefault="00C75C57" w:rsidP="009D675B">
      <w:pPr>
        <w:pStyle w:val="Level2"/>
        <w:keepNext/>
        <w:numPr>
          <w:ilvl w:val="1"/>
          <w:numId w:val="76"/>
        </w:numPr>
        <w:tabs>
          <w:tab w:val="clear" w:pos="1135"/>
          <w:tab w:val="num" w:pos="851"/>
        </w:tabs>
        <w:spacing w:after="120" w:line="240" w:lineRule="auto"/>
        <w:ind w:left="851"/>
        <w:rPr>
          <w:rFonts w:ascii="Arial" w:hAnsi="Arial" w:cs="Arial"/>
          <w:b/>
          <w:bCs/>
        </w:rPr>
      </w:pPr>
      <w:bookmarkStart w:id="2413" w:name="_Ref86314388"/>
      <w:r w:rsidRPr="002F6242">
        <w:rPr>
          <w:rFonts w:ascii="Arial" w:hAnsi="Arial" w:cs="Arial"/>
          <w:b/>
          <w:bCs/>
        </w:rPr>
        <w:t>Updating the plans</w:t>
      </w:r>
      <w:bookmarkEnd w:id="2413"/>
    </w:p>
    <w:p w14:paraId="14CABBB9" w14:textId="77777777" w:rsidR="00C75C57" w:rsidRPr="00A541BB" w:rsidRDefault="00C75C57" w:rsidP="009D675B">
      <w:pPr>
        <w:pStyle w:val="Level3"/>
        <w:numPr>
          <w:ilvl w:val="2"/>
          <w:numId w:val="76"/>
        </w:numPr>
        <w:spacing w:line="240" w:lineRule="auto"/>
        <w:rPr>
          <w:rFonts w:ascii="Arial" w:hAnsi="Arial" w:cs="Arial"/>
        </w:rPr>
      </w:pPr>
      <w:bookmarkStart w:id="2414" w:name="_Ref86314878"/>
      <w:r w:rsidRPr="00A541BB">
        <w:rPr>
          <w:rFonts w:ascii="Arial" w:hAnsi="Arial" w:cs="Arial"/>
        </w:rPr>
        <w:t>The Supplier shall review and update</w:t>
      </w:r>
      <w:r>
        <w:rPr>
          <w:rFonts w:ascii="Arial" w:hAnsi="Arial" w:cs="Arial"/>
        </w:rPr>
        <w:t xml:space="preserve"> as required</w:t>
      </w:r>
      <w:r w:rsidRPr="00A541BB">
        <w:rPr>
          <w:rFonts w:ascii="Arial" w:hAnsi="Arial" w:cs="Arial"/>
        </w:rPr>
        <w:t xml:space="preserve"> the Business Continuity Plan and Disaster Recovery Plan on a basis consistent with the principles set out in this Schedule to reflect changes that have occurred since the version of such plan was last agreed:</w:t>
      </w:r>
      <w:bookmarkEnd w:id="2414"/>
    </w:p>
    <w:p w14:paraId="409058E9" w14:textId="0456C080" w:rsidR="00C75C57" w:rsidRPr="00A541BB" w:rsidRDefault="00C75C57" w:rsidP="009D675B">
      <w:pPr>
        <w:pStyle w:val="Level4"/>
        <w:numPr>
          <w:ilvl w:val="3"/>
          <w:numId w:val="76"/>
        </w:numPr>
        <w:spacing w:after="120" w:line="240" w:lineRule="auto"/>
        <w:rPr>
          <w:rFonts w:ascii="Arial" w:hAnsi="Arial" w:cs="Arial"/>
        </w:rPr>
      </w:pPr>
      <w:r>
        <w:rPr>
          <w:rFonts w:ascii="Arial" w:hAnsi="Arial" w:cs="Arial"/>
        </w:rPr>
        <w:t xml:space="preserve">where reasonably required by </w:t>
      </w:r>
      <w:proofErr w:type="spellStart"/>
      <w:r w:rsidR="001F1C19">
        <w:rPr>
          <w:rFonts w:ascii="Arial" w:hAnsi="Arial" w:cs="Arial"/>
        </w:rPr>
        <w:t>Netlink</w:t>
      </w:r>
      <w:proofErr w:type="spellEnd"/>
      <w:r w:rsidR="001F1C19">
        <w:rPr>
          <w:rFonts w:ascii="Arial" w:hAnsi="Arial" w:cs="Arial"/>
        </w:rPr>
        <w:t xml:space="preserve"> Star</w:t>
      </w:r>
      <w:r>
        <w:rPr>
          <w:rFonts w:ascii="Arial" w:hAnsi="Arial" w:cs="Arial"/>
        </w:rPr>
        <w:t xml:space="preserve">, </w:t>
      </w:r>
      <w:r w:rsidRPr="00A541BB">
        <w:rPr>
          <w:rFonts w:ascii="Arial" w:hAnsi="Arial" w:cs="Arial"/>
        </w:rPr>
        <w:t>within 30 days of</w:t>
      </w:r>
      <w:r>
        <w:rPr>
          <w:rFonts w:ascii="Arial" w:hAnsi="Arial" w:cs="Arial"/>
        </w:rPr>
        <w:t>:</w:t>
      </w:r>
      <w:r w:rsidRPr="00A541BB">
        <w:rPr>
          <w:rFonts w:ascii="Arial" w:hAnsi="Arial" w:cs="Arial"/>
        </w:rPr>
        <w:t xml:space="preserve"> an update to any BCDR Policy</w:t>
      </w:r>
      <w:r>
        <w:rPr>
          <w:rFonts w:ascii="Arial" w:hAnsi="Arial" w:cs="Arial"/>
        </w:rPr>
        <w:t xml:space="preserve"> or, NR Recovery Plan; a Change or </w:t>
      </w:r>
      <w:r w:rsidRPr="00A541BB">
        <w:rPr>
          <w:rFonts w:ascii="Arial" w:hAnsi="Arial" w:cs="Arial"/>
        </w:rPr>
        <w:t xml:space="preserve">any testing pursuant to Paragraph </w:t>
      </w:r>
      <w:r w:rsidRPr="00A541BB">
        <w:rPr>
          <w:rFonts w:ascii="Arial" w:hAnsi="Arial" w:cs="Arial"/>
        </w:rPr>
        <w:fldChar w:fldCharType="begin"/>
      </w:r>
      <w:r w:rsidRPr="00A541BB">
        <w:rPr>
          <w:rFonts w:ascii="Arial" w:hAnsi="Arial" w:cs="Arial"/>
        </w:rPr>
        <w:instrText xml:space="preserve"> REF _Ref86314658 \r \h </w:instrText>
      </w:r>
      <w:r>
        <w:rPr>
          <w:rFonts w:ascii="Arial" w:hAnsi="Arial" w:cs="Arial"/>
        </w:rPr>
        <w:instrText xml:space="preserve"> \* MERGEFORMAT </w:instrText>
      </w:r>
      <w:r w:rsidRPr="00A541BB">
        <w:rPr>
          <w:rFonts w:ascii="Arial" w:hAnsi="Arial" w:cs="Arial"/>
        </w:rPr>
      </w:r>
      <w:r w:rsidRPr="00A541BB">
        <w:rPr>
          <w:rFonts w:ascii="Arial" w:hAnsi="Arial" w:cs="Arial"/>
        </w:rPr>
        <w:fldChar w:fldCharType="separate"/>
      </w:r>
      <w:r>
        <w:rPr>
          <w:rFonts w:ascii="Arial" w:hAnsi="Arial" w:cs="Arial"/>
        </w:rPr>
        <w:t>2.5</w:t>
      </w:r>
      <w:r w:rsidRPr="00A541BB">
        <w:rPr>
          <w:rFonts w:ascii="Arial" w:hAnsi="Arial" w:cs="Arial"/>
        </w:rPr>
        <w:fldChar w:fldCharType="end"/>
      </w:r>
      <w:r w:rsidRPr="00A541BB">
        <w:rPr>
          <w:rFonts w:ascii="Arial" w:hAnsi="Arial" w:cs="Arial"/>
        </w:rPr>
        <w:t xml:space="preserve">; </w:t>
      </w:r>
    </w:p>
    <w:p w14:paraId="7CAFBF07" w14:textId="77777777" w:rsidR="00C75C57" w:rsidRPr="00A541BB" w:rsidRDefault="00C75C57" w:rsidP="009D675B">
      <w:pPr>
        <w:pStyle w:val="Level4"/>
        <w:numPr>
          <w:ilvl w:val="3"/>
          <w:numId w:val="76"/>
        </w:numPr>
        <w:spacing w:after="120" w:line="240" w:lineRule="auto"/>
        <w:rPr>
          <w:rFonts w:ascii="Arial" w:hAnsi="Arial" w:cs="Arial"/>
        </w:rPr>
      </w:pPr>
      <w:r w:rsidRPr="00A541BB">
        <w:rPr>
          <w:rFonts w:ascii="Arial" w:hAnsi="Arial" w:cs="Arial"/>
        </w:rPr>
        <w:t>within two (2) Working Days when changes relating to the Services are made to the Incident Management Process;</w:t>
      </w:r>
      <w:r>
        <w:rPr>
          <w:rFonts w:ascii="Arial" w:hAnsi="Arial" w:cs="Arial"/>
        </w:rPr>
        <w:t xml:space="preserve"> and</w:t>
      </w:r>
    </w:p>
    <w:p w14:paraId="7D406E51" w14:textId="77777777" w:rsidR="00C75C57" w:rsidRPr="00A541BB" w:rsidRDefault="00C75C57" w:rsidP="009D675B">
      <w:pPr>
        <w:pStyle w:val="Level4"/>
        <w:numPr>
          <w:ilvl w:val="3"/>
          <w:numId w:val="76"/>
        </w:numPr>
        <w:spacing w:after="120" w:line="240" w:lineRule="auto"/>
        <w:rPr>
          <w:rFonts w:ascii="Arial" w:hAnsi="Arial" w:cs="Arial"/>
        </w:rPr>
      </w:pPr>
      <w:r w:rsidRPr="00A541BB">
        <w:rPr>
          <w:rFonts w:ascii="Arial" w:hAnsi="Arial" w:cs="Arial"/>
        </w:rPr>
        <w:t xml:space="preserve">in the first month of each Contract Year (commencing with the second Contract Year). </w:t>
      </w:r>
    </w:p>
    <w:p w14:paraId="2BD52684" w14:textId="0F23A128" w:rsidR="00C75C57" w:rsidRPr="00A541BB" w:rsidRDefault="00C75C57" w:rsidP="009D675B">
      <w:pPr>
        <w:pStyle w:val="Level3"/>
        <w:numPr>
          <w:ilvl w:val="2"/>
          <w:numId w:val="76"/>
        </w:numPr>
        <w:spacing w:line="240" w:lineRule="auto"/>
        <w:rPr>
          <w:rFonts w:ascii="Arial" w:hAnsi="Arial" w:cs="Arial"/>
        </w:rPr>
      </w:pPr>
      <w:r w:rsidRPr="00A541BB">
        <w:rPr>
          <w:rFonts w:ascii="Arial" w:hAnsi="Arial" w:cs="Arial"/>
        </w:rPr>
        <w:t xml:space="preserve">If, after a review pursuant to Paragraph </w:t>
      </w:r>
      <w:r>
        <w:rPr>
          <w:rFonts w:ascii="Arial" w:hAnsi="Arial" w:cs="Arial"/>
        </w:rPr>
        <w:fldChar w:fldCharType="begin"/>
      </w:r>
      <w:r>
        <w:rPr>
          <w:rFonts w:ascii="Arial" w:hAnsi="Arial" w:cs="Arial"/>
        </w:rPr>
        <w:instrText xml:space="preserve"> REF _Ref86314878 \r \h </w:instrText>
      </w:r>
      <w:r>
        <w:rPr>
          <w:rFonts w:ascii="Arial" w:hAnsi="Arial" w:cs="Arial"/>
        </w:rPr>
      </w:r>
      <w:r>
        <w:rPr>
          <w:rFonts w:ascii="Arial" w:hAnsi="Arial" w:cs="Arial"/>
        </w:rPr>
        <w:fldChar w:fldCharType="separate"/>
      </w:r>
      <w:r>
        <w:rPr>
          <w:rFonts w:ascii="Arial" w:hAnsi="Arial" w:cs="Arial"/>
        </w:rPr>
        <w:t>2.7.1</w:t>
      </w:r>
      <w:r>
        <w:rPr>
          <w:rFonts w:ascii="Arial" w:hAnsi="Arial" w:cs="Arial"/>
        </w:rPr>
        <w:fldChar w:fldCharType="end"/>
      </w:r>
      <w:r w:rsidRPr="00A541BB">
        <w:rPr>
          <w:rFonts w:ascii="Arial" w:hAnsi="Arial" w:cs="Arial"/>
        </w:rPr>
        <w:t xml:space="preserve">, the Supplier considers that no update is required, the Supplier shall notify </w:t>
      </w:r>
      <w:proofErr w:type="spellStart"/>
      <w:r w:rsidR="001F1C19">
        <w:rPr>
          <w:rFonts w:ascii="Arial" w:hAnsi="Arial" w:cs="Arial"/>
        </w:rPr>
        <w:t>Netlink</w:t>
      </w:r>
      <w:proofErr w:type="spellEnd"/>
      <w:r w:rsidR="001F1C19">
        <w:rPr>
          <w:rFonts w:ascii="Arial" w:hAnsi="Arial" w:cs="Arial"/>
        </w:rPr>
        <w:t xml:space="preserve"> Star</w:t>
      </w:r>
      <w:r w:rsidRPr="00A541BB">
        <w:rPr>
          <w:rFonts w:ascii="Arial" w:hAnsi="Arial" w:cs="Arial"/>
        </w:rPr>
        <w:t xml:space="preserve"> of this in writing within five (5) Working Days of completion of such review.</w:t>
      </w:r>
    </w:p>
    <w:p w14:paraId="2B3370FE" w14:textId="64EA26EA" w:rsidR="00C75C57" w:rsidRPr="00A541BB" w:rsidRDefault="00C75C57" w:rsidP="009D675B">
      <w:pPr>
        <w:pStyle w:val="Level3"/>
        <w:numPr>
          <w:ilvl w:val="2"/>
          <w:numId w:val="76"/>
        </w:numPr>
        <w:spacing w:line="240" w:lineRule="auto"/>
        <w:rPr>
          <w:rFonts w:ascii="Arial" w:hAnsi="Arial" w:cs="Arial"/>
        </w:rPr>
      </w:pPr>
      <w:r w:rsidRPr="00A541BB">
        <w:rPr>
          <w:rFonts w:ascii="Arial" w:hAnsi="Arial" w:cs="Arial"/>
        </w:rPr>
        <w:lastRenderedPageBreak/>
        <w:t xml:space="preserve">If, after a review pursuant to Paragraph </w:t>
      </w:r>
      <w:r>
        <w:rPr>
          <w:rFonts w:ascii="Arial" w:hAnsi="Arial" w:cs="Arial"/>
        </w:rPr>
        <w:fldChar w:fldCharType="begin"/>
      </w:r>
      <w:r>
        <w:rPr>
          <w:rFonts w:ascii="Arial" w:hAnsi="Arial" w:cs="Arial"/>
        </w:rPr>
        <w:instrText xml:space="preserve"> REF _Ref86314878 \r \h </w:instrText>
      </w:r>
      <w:r>
        <w:rPr>
          <w:rFonts w:ascii="Arial" w:hAnsi="Arial" w:cs="Arial"/>
        </w:rPr>
      </w:r>
      <w:r>
        <w:rPr>
          <w:rFonts w:ascii="Arial" w:hAnsi="Arial" w:cs="Arial"/>
        </w:rPr>
        <w:fldChar w:fldCharType="separate"/>
      </w:r>
      <w:r>
        <w:rPr>
          <w:rFonts w:ascii="Arial" w:hAnsi="Arial" w:cs="Arial"/>
        </w:rPr>
        <w:t>2.7.1</w:t>
      </w:r>
      <w:r>
        <w:rPr>
          <w:rFonts w:ascii="Arial" w:hAnsi="Arial" w:cs="Arial"/>
        </w:rPr>
        <w:fldChar w:fldCharType="end"/>
      </w:r>
      <w:r w:rsidRPr="00A541BB">
        <w:rPr>
          <w:rFonts w:ascii="Arial" w:hAnsi="Arial" w:cs="Arial"/>
        </w:rPr>
        <w:t xml:space="preserve">,the Supplier considers that an update is required, the Supplier shall draft such update and submit the revised Business Continuity Plan or Disaster Recovery Plan or both (as applicable) to </w:t>
      </w:r>
      <w:proofErr w:type="spellStart"/>
      <w:r w:rsidR="001F1C19">
        <w:rPr>
          <w:rFonts w:ascii="Arial" w:hAnsi="Arial" w:cs="Arial"/>
        </w:rPr>
        <w:t>Netlink</w:t>
      </w:r>
      <w:proofErr w:type="spellEnd"/>
      <w:r w:rsidR="001F1C19">
        <w:rPr>
          <w:rFonts w:ascii="Arial" w:hAnsi="Arial" w:cs="Arial"/>
        </w:rPr>
        <w:t xml:space="preserve"> Star</w:t>
      </w:r>
      <w:r w:rsidRPr="00A541BB">
        <w:rPr>
          <w:rFonts w:ascii="Arial" w:hAnsi="Arial" w:cs="Arial"/>
        </w:rPr>
        <w:t xml:space="preserve"> for review. </w:t>
      </w:r>
    </w:p>
    <w:p w14:paraId="6F828E59" w14:textId="0D314342" w:rsidR="00C75C57" w:rsidRPr="00A541BB" w:rsidRDefault="00C75C57" w:rsidP="009D675B">
      <w:pPr>
        <w:pStyle w:val="Level3"/>
        <w:numPr>
          <w:ilvl w:val="2"/>
          <w:numId w:val="76"/>
        </w:numPr>
        <w:spacing w:line="240" w:lineRule="auto"/>
        <w:rPr>
          <w:rFonts w:ascii="Arial" w:hAnsi="Arial" w:cs="Arial"/>
        </w:rPr>
      </w:pPr>
      <w:r w:rsidRPr="00A541BB">
        <w:rPr>
          <w:rFonts w:ascii="Arial" w:hAnsi="Arial" w:cs="Arial"/>
        </w:rPr>
        <w:t xml:space="preserve">Within 20 Working Days following submission of such revised plan, </w:t>
      </w:r>
      <w:proofErr w:type="spellStart"/>
      <w:r w:rsidR="001F1C19">
        <w:rPr>
          <w:rFonts w:ascii="Arial" w:hAnsi="Arial" w:cs="Arial"/>
        </w:rPr>
        <w:t>Netlink</w:t>
      </w:r>
      <w:proofErr w:type="spellEnd"/>
      <w:r w:rsidR="001F1C19">
        <w:rPr>
          <w:rFonts w:ascii="Arial" w:hAnsi="Arial" w:cs="Arial"/>
        </w:rPr>
        <w:t xml:space="preserve"> Star</w:t>
      </w:r>
      <w:r w:rsidRPr="00A541BB">
        <w:rPr>
          <w:rFonts w:ascii="Arial" w:hAnsi="Arial" w:cs="Arial"/>
        </w:rPr>
        <w:t xml:space="preserve"> shall </w:t>
      </w:r>
      <w:r>
        <w:rPr>
          <w:rFonts w:ascii="Arial" w:hAnsi="Arial" w:cs="Arial"/>
        </w:rPr>
        <w:t xml:space="preserve">(acting reasonably) </w:t>
      </w:r>
      <w:r w:rsidRPr="00A541BB">
        <w:rPr>
          <w:rFonts w:ascii="Arial" w:hAnsi="Arial" w:cs="Arial"/>
        </w:rPr>
        <w:t xml:space="preserve">confirm if it accepts such revised plan. If so, such revised plan shall automatically become the new version of such plan. If not, the Parties shall meet and use reasonable endeavours to agree the contents of such revised plan. If the Parties are unable to agree the contents of such revised plan within 20 Working Days of notification that the revisions are not acceptable, </w:t>
      </w:r>
      <w:proofErr w:type="spellStart"/>
      <w:r w:rsidR="001F1C19">
        <w:rPr>
          <w:rFonts w:ascii="Arial" w:hAnsi="Arial" w:cs="Arial"/>
        </w:rPr>
        <w:t>Netlink</w:t>
      </w:r>
      <w:proofErr w:type="spellEnd"/>
      <w:r w:rsidR="001F1C19">
        <w:rPr>
          <w:rFonts w:ascii="Arial" w:hAnsi="Arial" w:cs="Arial"/>
        </w:rPr>
        <w:t xml:space="preserve"> Star</w:t>
      </w:r>
      <w:r w:rsidRPr="00A541BB">
        <w:rPr>
          <w:rFonts w:ascii="Arial" w:hAnsi="Arial" w:cs="Arial"/>
        </w:rPr>
        <w:t xml:space="preserve"> shall either (a) confirm that the then current version of the plan shall not be revised or (b) escalate such dispute for resolution in accordance with the Dispute Resolution Procedure.</w:t>
      </w:r>
    </w:p>
    <w:p w14:paraId="7E9BD082" w14:textId="77777777" w:rsidR="00C75C57" w:rsidRPr="00DE3216" w:rsidRDefault="00C75C57" w:rsidP="009D675B">
      <w:pPr>
        <w:pStyle w:val="Level1"/>
        <w:keepNext/>
        <w:numPr>
          <w:ilvl w:val="0"/>
          <w:numId w:val="76"/>
        </w:numPr>
        <w:tabs>
          <w:tab w:val="clear" w:pos="2411"/>
          <w:tab w:val="num" w:pos="851"/>
        </w:tabs>
        <w:spacing w:after="120" w:line="240" w:lineRule="auto"/>
        <w:ind w:left="851"/>
        <w:rPr>
          <w:rFonts w:ascii="Arial" w:hAnsi="Arial" w:cs="Arial"/>
          <w:b/>
          <w:bCs/>
        </w:rPr>
      </w:pPr>
      <w:r w:rsidRPr="00DE3216">
        <w:rPr>
          <w:rFonts w:ascii="Arial" w:hAnsi="Arial" w:cs="Arial"/>
          <w:b/>
          <w:bCs/>
        </w:rPr>
        <w:t>NOTIFIABLE DEFAULT</w:t>
      </w:r>
    </w:p>
    <w:p w14:paraId="3A9B05E3" w14:textId="77777777" w:rsidR="00C75C57" w:rsidRPr="00DE3216" w:rsidRDefault="00C75C57" w:rsidP="009D675B">
      <w:pPr>
        <w:pStyle w:val="Level2"/>
        <w:keepNext/>
        <w:numPr>
          <w:ilvl w:val="1"/>
          <w:numId w:val="76"/>
        </w:numPr>
        <w:tabs>
          <w:tab w:val="clear" w:pos="1135"/>
          <w:tab w:val="num" w:pos="851"/>
        </w:tabs>
        <w:spacing w:after="120" w:line="240" w:lineRule="auto"/>
        <w:ind w:left="851"/>
        <w:rPr>
          <w:rFonts w:ascii="Arial" w:hAnsi="Arial" w:cs="Arial"/>
        </w:rPr>
      </w:pPr>
      <w:r>
        <w:rPr>
          <w:rFonts w:ascii="Arial" w:hAnsi="Arial" w:cs="Arial"/>
        </w:rPr>
        <w:t>A material breach of the obligations in this Schedule shall be a Notifiable Default.</w:t>
      </w:r>
    </w:p>
    <w:p w14:paraId="147CE49F" w14:textId="77777777" w:rsidR="00F2428A" w:rsidRDefault="00F2428A">
      <w:pPr>
        <w:rPr>
          <w:rFonts w:eastAsia="Verdana" w:cs="Arial"/>
          <w:b/>
          <w:szCs w:val="20"/>
        </w:rPr>
      </w:pPr>
      <w:r>
        <w:rPr>
          <w:rFonts w:eastAsia="Verdana" w:cs="Arial"/>
          <w:b/>
          <w:szCs w:val="20"/>
        </w:rPr>
        <w:br w:type="page"/>
      </w:r>
    </w:p>
    <w:p w14:paraId="781BF283" w14:textId="6D9F5496" w:rsidR="004C127E" w:rsidRPr="000E5786" w:rsidRDefault="004C127E" w:rsidP="00DD60F0">
      <w:pPr>
        <w:ind w:left="800" w:right="797" w:hanging="10"/>
        <w:jc w:val="center"/>
        <w:rPr>
          <w:rFonts w:cs="Arial"/>
          <w:szCs w:val="20"/>
        </w:rPr>
      </w:pPr>
      <w:r w:rsidRPr="000E5786">
        <w:rPr>
          <w:rFonts w:eastAsia="Verdana" w:cs="Arial"/>
          <w:b/>
          <w:szCs w:val="20"/>
        </w:rPr>
        <w:lastRenderedPageBreak/>
        <w:t xml:space="preserve">SCHEDULE 8.7 </w:t>
      </w:r>
    </w:p>
    <w:p w14:paraId="622958B4" w14:textId="77777777" w:rsidR="00C33D68" w:rsidRPr="000E5786" w:rsidRDefault="004C127E" w:rsidP="00C33D68">
      <w:pPr>
        <w:ind w:left="800" w:right="792" w:hanging="10"/>
        <w:jc w:val="center"/>
        <w:rPr>
          <w:rFonts w:eastAsia="Verdana" w:cs="Arial"/>
          <w:b/>
          <w:szCs w:val="20"/>
        </w:rPr>
      </w:pPr>
      <w:r w:rsidRPr="000E5786">
        <w:rPr>
          <w:rFonts w:eastAsia="Verdana" w:cs="Arial"/>
          <w:b/>
          <w:szCs w:val="20"/>
        </w:rPr>
        <w:t xml:space="preserve">CONDUCT OF CLAIMS </w:t>
      </w:r>
    </w:p>
    <w:p w14:paraId="488A1EE5" w14:textId="6ADE0316" w:rsidR="004C127E" w:rsidRPr="000E5786" w:rsidRDefault="004C127E" w:rsidP="009D675B">
      <w:pPr>
        <w:pStyle w:val="Heading1"/>
        <w:numPr>
          <w:ilvl w:val="0"/>
          <w:numId w:val="47"/>
        </w:numPr>
        <w:spacing w:after="120"/>
        <w:rPr>
          <w:rFonts w:cs="Arial"/>
          <w:szCs w:val="20"/>
        </w:rPr>
      </w:pPr>
      <w:r w:rsidRPr="000E5786">
        <w:rPr>
          <w:rFonts w:cs="Arial"/>
          <w:szCs w:val="20"/>
        </w:rPr>
        <w:t xml:space="preserve">INDEMNITIES </w:t>
      </w:r>
    </w:p>
    <w:p w14:paraId="75D00736" w14:textId="77777777" w:rsidR="004C127E" w:rsidRPr="000E5786" w:rsidRDefault="004C127E" w:rsidP="003E5D7E">
      <w:pPr>
        <w:pStyle w:val="Heading2"/>
        <w:numPr>
          <w:ilvl w:val="0"/>
          <w:numId w:val="0"/>
        </w:numPr>
        <w:spacing w:after="120"/>
        <w:ind w:left="709" w:hanging="709"/>
        <w:rPr>
          <w:rFonts w:cs="Arial"/>
          <w:szCs w:val="20"/>
        </w:rPr>
      </w:pPr>
      <w:r w:rsidRPr="000E5786">
        <w:rPr>
          <w:rFonts w:eastAsia="Verdana" w:cs="Arial"/>
          <w:szCs w:val="20"/>
        </w:rPr>
        <w:t>1.1</w:t>
      </w:r>
      <w:r w:rsidRPr="000E5786">
        <w:rPr>
          <w:rFonts w:eastAsia="Arial" w:cs="Arial"/>
          <w:szCs w:val="20"/>
        </w:rPr>
        <w:t xml:space="preserve"> </w:t>
      </w:r>
      <w:r w:rsidRPr="000E5786">
        <w:rPr>
          <w:rFonts w:eastAsia="Arial" w:cs="Arial"/>
          <w:szCs w:val="20"/>
        </w:rPr>
        <w:tab/>
      </w:r>
      <w:r w:rsidRPr="000E5786">
        <w:rPr>
          <w:rFonts w:eastAsia="Verdana" w:cs="Arial"/>
          <w:szCs w:val="20"/>
        </w:rPr>
        <w:t>This Schedule shall apply to the conduct, by a Party from whom an indemnity is sought under this Agreement (the “</w:t>
      </w:r>
      <w:r w:rsidRPr="000E5786">
        <w:rPr>
          <w:rFonts w:eastAsia="Verdana" w:cs="Arial"/>
          <w:b/>
          <w:szCs w:val="20"/>
        </w:rPr>
        <w:t>Indemnifier</w:t>
      </w:r>
      <w:r w:rsidRPr="000E5786">
        <w:rPr>
          <w:rFonts w:eastAsia="Verdana" w:cs="Arial"/>
          <w:szCs w:val="20"/>
        </w:rPr>
        <w:t>”), of claims made by a third person against a party having (or claiming to have) the benefit of the indemnity (the “</w:t>
      </w:r>
      <w:r w:rsidRPr="000E5786">
        <w:rPr>
          <w:rFonts w:eastAsia="Verdana" w:cs="Arial"/>
          <w:b/>
          <w:szCs w:val="20"/>
        </w:rPr>
        <w:t>Beneficiary</w:t>
      </w:r>
      <w:r w:rsidRPr="000E5786">
        <w:rPr>
          <w:rFonts w:eastAsia="Verdana" w:cs="Arial"/>
          <w:szCs w:val="20"/>
        </w:rPr>
        <w:t xml:space="preserve">”). </w:t>
      </w:r>
    </w:p>
    <w:p w14:paraId="48B1A285" w14:textId="77777777" w:rsidR="004C127E" w:rsidRPr="000E5786" w:rsidRDefault="004C127E" w:rsidP="003E5D7E">
      <w:pPr>
        <w:pStyle w:val="Heading2"/>
        <w:numPr>
          <w:ilvl w:val="0"/>
          <w:numId w:val="0"/>
        </w:numPr>
        <w:spacing w:after="120"/>
        <w:ind w:left="709" w:hanging="709"/>
        <w:rPr>
          <w:rFonts w:cs="Arial"/>
          <w:szCs w:val="20"/>
        </w:rPr>
      </w:pPr>
      <w:r w:rsidRPr="000E5786">
        <w:rPr>
          <w:rFonts w:eastAsia="Verdana" w:cs="Arial"/>
          <w:szCs w:val="20"/>
        </w:rPr>
        <w:t>1.2</w:t>
      </w:r>
      <w:r w:rsidRPr="000E5786">
        <w:rPr>
          <w:rFonts w:eastAsia="Arial" w:cs="Arial"/>
          <w:szCs w:val="20"/>
        </w:rPr>
        <w:t xml:space="preserve"> </w:t>
      </w:r>
      <w:r w:rsidRPr="000E5786">
        <w:rPr>
          <w:rFonts w:cs="Arial"/>
          <w:szCs w:val="20"/>
        </w:rPr>
        <w:tab/>
      </w:r>
      <w:r w:rsidRPr="000E5786">
        <w:rPr>
          <w:rFonts w:eastAsia="Verdana" w:cs="Arial"/>
          <w:szCs w:val="20"/>
        </w:rPr>
        <w:t xml:space="preserve">If the Beneficiary receives any notice of any claim for which it appears that the Beneficiary is, or may </w:t>
      </w:r>
      <w:r w:rsidRPr="000E5786">
        <w:rPr>
          <w:rFonts w:cs="Arial"/>
          <w:szCs w:val="20"/>
        </w:rPr>
        <w:t>become</w:t>
      </w:r>
      <w:r w:rsidRPr="000E5786">
        <w:rPr>
          <w:rFonts w:eastAsia="Verdana" w:cs="Arial"/>
          <w:szCs w:val="20"/>
        </w:rPr>
        <w:t>, entitled to indemnification under this Agreement (a “</w:t>
      </w:r>
      <w:r w:rsidRPr="000E5786">
        <w:rPr>
          <w:rFonts w:eastAsia="Verdana" w:cs="Arial"/>
          <w:b/>
          <w:bCs w:val="0"/>
          <w:szCs w:val="20"/>
        </w:rPr>
        <w:t>Claim</w:t>
      </w:r>
      <w:r w:rsidRPr="000E5786">
        <w:rPr>
          <w:rFonts w:eastAsia="Verdana" w:cs="Arial"/>
          <w:szCs w:val="20"/>
        </w:rPr>
        <w:t xml:space="preserve">”), the Beneficiary shall give notice in writing to the Indemnifier as soon as reasonably practicable and in any event within ten (10) Working Days of receipt of the same. </w:t>
      </w:r>
    </w:p>
    <w:p w14:paraId="61B4A48D" w14:textId="3E73F7BF" w:rsidR="004C127E" w:rsidRPr="000E5786" w:rsidRDefault="004C127E" w:rsidP="003E5D7E">
      <w:pPr>
        <w:pStyle w:val="Heading2"/>
        <w:numPr>
          <w:ilvl w:val="0"/>
          <w:numId w:val="0"/>
        </w:numPr>
        <w:spacing w:after="120"/>
        <w:ind w:left="709" w:hanging="709"/>
        <w:rPr>
          <w:rFonts w:cs="Arial"/>
          <w:szCs w:val="20"/>
        </w:rPr>
      </w:pPr>
      <w:r w:rsidRPr="000E5786">
        <w:rPr>
          <w:rFonts w:eastAsia="Verdana" w:cs="Arial"/>
          <w:szCs w:val="20"/>
        </w:rPr>
        <w:t>1.3</w:t>
      </w:r>
      <w:r w:rsidRPr="000E5786">
        <w:rPr>
          <w:rFonts w:eastAsia="Arial" w:cs="Arial"/>
          <w:szCs w:val="20"/>
        </w:rPr>
        <w:t xml:space="preserve"> </w:t>
      </w:r>
      <w:r w:rsidRPr="000E5786">
        <w:rPr>
          <w:rFonts w:eastAsia="Verdana" w:cs="Arial"/>
          <w:szCs w:val="20"/>
        </w:rPr>
        <w:tab/>
        <w:t xml:space="preserve">Subject to </w:t>
      </w:r>
      <w:r w:rsidR="00A80BE8" w:rsidRPr="000E5786">
        <w:rPr>
          <w:rFonts w:eastAsia="Verdana" w:cs="Arial"/>
          <w:szCs w:val="20"/>
        </w:rPr>
        <w:t xml:space="preserve">Paragraph </w:t>
      </w:r>
      <w:r w:rsidRPr="000E5786">
        <w:rPr>
          <w:rFonts w:eastAsia="Verdana" w:cs="Arial"/>
          <w:szCs w:val="20"/>
        </w:rPr>
        <w:t xml:space="preserve">2, on the giving of a notice by the Beneficiary, where it appears that </w:t>
      </w:r>
      <w:r w:rsidRPr="000E5786">
        <w:rPr>
          <w:rFonts w:cs="Arial"/>
          <w:szCs w:val="20"/>
        </w:rPr>
        <w:t>the</w:t>
      </w:r>
      <w:r w:rsidRPr="000E5786">
        <w:rPr>
          <w:rFonts w:eastAsia="Verdana" w:cs="Arial"/>
          <w:szCs w:val="20"/>
        </w:rPr>
        <w:t xml:space="preserve"> </w:t>
      </w:r>
      <w:r w:rsidRPr="000E5786">
        <w:rPr>
          <w:rFonts w:cs="Arial"/>
          <w:szCs w:val="20"/>
        </w:rPr>
        <w:t>Beneficiary</w:t>
      </w:r>
      <w:r w:rsidRPr="000E5786">
        <w:rPr>
          <w:rFonts w:eastAsia="Verdana" w:cs="Arial"/>
          <w:szCs w:val="20"/>
        </w:rPr>
        <w:t xml:space="preserve"> is or may be entitled to indemnification from the Indemnifier in respect of all (but not part only) of the liability arising out of the Claim, the Indemnifier shall (subject to providing the Beneficiary with a secured </w:t>
      </w:r>
      <w:r w:rsidRPr="000E5786">
        <w:rPr>
          <w:rFonts w:cs="Arial"/>
          <w:szCs w:val="20"/>
        </w:rPr>
        <w:t>indemnity</w:t>
      </w:r>
      <w:r w:rsidRPr="000E5786">
        <w:rPr>
          <w:rFonts w:eastAsia="Verdana" w:cs="Arial"/>
          <w:szCs w:val="20"/>
        </w:rPr>
        <w:t xml:space="preserve"> to its reasonable satisfaction against all reasonable costs and expenses that it may incur by reason of such action) be entitled to dispute the Claim in the name of the Beneficiary at the Indemnifier’s own expense and take conduct of any defence, dispute, compromise or appeal of the Claim and of any incidental negotiations relating to the Claim.  If the Indemnifier does elect to conduct the Claim, the Beneficiary shall give the Indemnifier all reasonable cooperation, </w:t>
      </w:r>
      <w:proofErr w:type="gramStart"/>
      <w:r w:rsidRPr="000E5786">
        <w:rPr>
          <w:rFonts w:eastAsia="Verdana" w:cs="Arial"/>
          <w:szCs w:val="20"/>
        </w:rPr>
        <w:t>access</w:t>
      </w:r>
      <w:proofErr w:type="gramEnd"/>
      <w:r w:rsidRPr="000E5786">
        <w:rPr>
          <w:rFonts w:eastAsia="Verdana" w:cs="Arial"/>
          <w:szCs w:val="20"/>
        </w:rPr>
        <w:t xml:space="preserve"> and assistance for the purposes of such Claim and, subject to </w:t>
      </w:r>
      <w:r w:rsidR="00A80BE8" w:rsidRPr="000E5786">
        <w:rPr>
          <w:rFonts w:eastAsia="Verdana" w:cs="Arial"/>
          <w:szCs w:val="20"/>
        </w:rPr>
        <w:t xml:space="preserve">Paragraph </w:t>
      </w:r>
      <w:r w:rsidRPr="000E5786">
        <w:rPr>
          <w:rFonts w:eastAsia="Verdana" w:cs="Arial"/>
          <w:szCs w:val="20"/>
        </w:rPr>
        <w:t xml:space="preserve">2.2, the Beneficiary shall not make any admission which could be prejudicial to the defence or settlement of the Claim without the prior written consent of the Indemnifier. </w:t>
      </w:r>
    </w:p>
    <w:p w14:paraId="6A19A610" w14:textId="53417178" w:rsidR="004C127E" w:rsidRPr="008422C1" w:rsidRDefault="004C127E" w:rsidP="009D675B">
      <w:pPr>
        <w:pStyle w:val="Heading2"/>
        <w:numPr>
          <w:ilvl w:val="1"/>
          <w:numId w:val="142"/>
        </w:numPr>
        <w:spacing w:after="120"/>
        <w:rPr>
          <w:rFonts w:eastAsia="Arial" w:cs="Arial"/>
          <w:szCs w:val="20"/>
        </w:rPr>
      </w:pPr>
      <w:r w:rsidRPr="008422C1">
        <w:rPr>
          <w:rFonts w:eastAsia="Verdana" w:cs="Arial"/>
          <w:szCs w:val="20"/>
        </w:rPr>
        <w:t xml:space="preserve">With </w:t>
      </w:r>
      <w:r w:rsidRPr="008422C1">
        <w:rPr>
          <w:rFonts w:cs="Arial"/>
          <w:szCs w:val="20"/>
        </w:rPr>
        <w:t>respect</w:t>
      </w:r>
      <w:r w:rsidRPr="008422C1">
        <w:rPr>
          <w:rFonts w:eastAsia="Verdana" w:cs="Arial"/>
          <w:szCs w:val="20"/>
        </w:rPr>
        <w:t xml:space="preserve"> to any Claim conducted by the Indemnifier pursuant to </w:t>
      </w:r>
      <w:r w:rsidR="00A80BE8" w:rsidRPr="008422C1">
        <w:rPr>
          <w:rFonts w:eastAsia="Verdana" w:cs="Arial"/>
          <w:szCs w:val="20"/>
        </w:rPr>
        <w:t xml:space="preserve">Paragraph </w:t>
      </w:r>
      <w:r w:rsidRPr="008422C1">
        <w:rPr>
          <w:rFonts w:eastAsia="Verdana" w:cs="Arial"/>
          <w:szCs w:val="20"/>
        </w:rPr>
        <w:t xml:space="preserve">1.3: </w:t>
      </w:r>
    </w:p>
    <w:p w14:paraId="7504A2C7" w14:textId="32489B8F" w:rsidR="004C127E" w:rsidRPr="000E5786" w:rsidRDefault="004C127E" w:rsidP="008422C1">
      <w:pPr>
        <w:pStyle w:val="Heading3"/>
      </w:pPr>
      <w:r w:rsidRPr="008422C1">
        <w:rPr>
          <w:rFonts w:eastAsia="Verdana"/>
        </w:rPr>
        <w:t xml:space="preserve">the </w:t>
      </w:r>
      <w:r w:rsidRPr="000E5786">
        <w:t>Indemnifier</w:t>
      </w:r>
      <w:r w:rsidRPr="008422C1">
        <w:rPr>
          <w:rFonts w:eastAsia="Verdana"/>
        </w:rPr>
        <w:t xml:space="preserve"> shall keep the Beneficiary fully informed and consult with it about material elements of the conduct of the </w:t>
      </w:r>
      <w:proofErr w:type="gramStart"/>
      <w:r w:rsidRPr="008422C1">
        <w:rPr>
          <w:rFonts w:eastAsia="Verdana"/>
        </w:rPr>
        <w:t>Claim;</w:t>
      </w:r>
      <w:proofErr w:type="gramEnd"/>
      <w:r w:rsidRPr="008422C1">
        <w:rPr>
          <w:rFonts w:eastAsia="Verdana"/>
        </w:rPr>
        <w:t xml:space="preserve"> </w:t>
      </w:r>
    </w:p>
    <w:p w14:paraId="4DE5ACDF" w14:textId="43218887" w:rsidR="004C127E" w:rsidRPr="000E5786" w:rsidRDefault="004C127E" w:rsidP="008422C1">
      <w:pPr>
        <w:pStyle w:val="Heading3"/>
      </w:pPr>
      <w:r w:rsidRPr="000E5786">
        <w:rPr>
          <w:rFonts w:eastAsia="Verdana"/>
        </w:rPr>
        <w:t xml:space="preserve">the </w:t>
      </w:r>
      <w:r w:rsidRPr="000E5786">
        <w:t>Indemnifier</w:t>
      </w:r>
      <w:r w:rsidRPr="000E5786">
        <w:rPr>
          <w:rFonts w:eastAsia="Verdana"/>
        </w:rPr>
        <w:t xml:space="preserve"> shall not bring the name of the Beneficiary into </w:t>
      </w:r>
      <w:proofErr w:type="gramStart"/>
      <w:r w:rsidRPr="000E5786">
        <w:rPr>
          <w:rFonts w:eastAsia="Verdana"/>
        </w:rPr>
        <w:t>disrepute;</w:t>
      </w:r>
      <w:proofErr w:type="gramEnd"/>
      <w:r w:rsidRPr="000E5786">
        <w:rPr>
          <w:rFonts w:eastAsia="Verdana"/>
        </w:rPr>
        <w:t xml:space="preserve"> </w:t>
      </w:r>
    </w:p>
    <w:p w14:paraId="7F25B529" w14:textId="4C6B4CD8" w:rsidR="004C127E" w:rsidRPr="000E5786" w:rsidRDefault="004C127E" w:rsidP="008422C1">
      <w:pPr>
        <w:pStyle w:val="Heading3"/>
      </w:pPr>
      <w:r w:rsidRPr="000E5786">
        <w:rPr>
          <w:rFonts w:eastAsia="Verdana"/>
        </w:rPr>
        <w:t xml:space="preserve">the </w:t>
      </w:r>
      <w:r w:rsidRPr="000E5786">
        <w:t>Indemnifier</w:t>
      </w:r>
      <w:r w:rsidRPr="000E5786">
        <w:rPr>
          <w:rFonts w:eastAsia="Verdana"/>
        </w:rPr>
        <w:t xml:space="preserve"> shall not pay or settle such Claim without the prior written consent of the Beneficiary, such consent not to be unreasonably withheld or delayed; and </w:t>
      </w:r>
    </w:p>
    <w:p w14:paraId="64A3D10A" w14:textId="1D2DA0FE" w:rsidR="004C127E" w:rsidRPr="000E5786" w:rsidRDefault="004C127E" w:rsidP="008422C1">
      <w:pPr>
        <w:pStyle w:val="Heading2"/>
      </w:pPr>
      <w:r w:rsidRPr="000E5786">
        <w:rPr>
          <w:rFonts w:eastAsia="Verdana"/>
        </w:rPr>
        <w:t xml:space="preserve">the Indemnifier shall conduct the Claim with all due diligence. </w:t>
      </w:r>
    </w:p>
    <w:p w14:paraId="7B97633E" w14:textId="193939F3" w:rsidR="004C127E" w:rsidRPr="000E5786" w:rsidRDefault="004C127E" w:rsidP="00726B13">
      <w:pPr>
        <w:pStyle w:val="Heading2"/>
      </w:pPr>
      <w:r w:rsidRPr="000E5786">
        <w:rPr>
          <w:rFonts w:eastAsia="Verdana"/>
        </w:rPr>
        <w:t xml:space="preserve">The Beneficiary shall be entitled to have conduct of the Claim and shall be free to pay or settle any Claim on </w:t>
      </w:r>
      <w:r w:rsidRPr="000E5786">
        <w:t>such</w:t>
      </w:r>
      <w:r w:rsidRPr="000E5786">
        <w:rPr>
          <w:rFonts w:eastAsia="Verdana"/>
        </w:rPr>
        <w:t xml:space="preserve"> terms as it thinks fit and without prejudice to its rights and remedies under this Agreement if: </w:t>
      </w:r>
    </w:p>
    <w:p w14:paraId="79C72FF7" w14:textId="0092AAFE" w:rsidR="004C127E" w:rsidRPr="000E5786" w:rsidRDefault="004C127E" w:rsidP="008422C1">
      <w:pPr>
        <w:pStyle w:val="Heading3"/>
      </w:pPr>
      <w:r w:rsidRPr="000E5786">
        <w:rPr>
          <w:rFonts w:eastAsia="Verdana"/>
        </w:rPr>
        <w:t xml:space="preserve">the Indemnifier is not entitled to take conduct of the Claim in accordance with </w:t>
      </w:r>
      <w:r w:rsidR="00A80BE8" w:rsidRPr="000E5786">
        <w:rPr>
          <w:rFonts w:eastAsia="Verdana"/>
        </w:rPr>
        <w:t xml:space="preserve">Paragraph </w:t>
      </w:r>
      <w:proofErr w:type="gramStart"/>
      <w:r w:rsidRPr="000E5786">
        <w:rPr>
          <w:rFonts w:eastAsia="Verdana"/>
        </w:rPr>
        <w:t>1.3;</w:t>
      </w:r>
      <w:proofErr w:type="gramEnd"/>
      <w:r w:rsidRPr="000E5786">
        <w:rPr>
          <w:rFonts w:eastAsia="Verdana"/>
        </w:rPr>
        <w:t xml:space="preserve"> </w:t>
      </w:r>
    </w:p>
    <w:p w14:paraId="69880D0A" w14:textId="766C0D0D" w:rsidR="004C127E" w:rsidRPr="000E5786" w:rsidRDefault="004C127E" w:rsidP="00F72C6F">
      <w:pPr>
        <w:pStyle w:val="Heading3"/>
      </w:pPr>
      <w:r w:rsidRPr="000E5786">
        <w:rPr>
          <w:rFonts w:eastAsia="Verdana"/>
        </w:rPr>
        <w:t xml:space="preserve">the Indemnifier fails to notify the Beneficiary in writing of its intention to take conduct of the relevant Claim within ten (10) Working Days of the notice from the Beneficiary or if the Indemnifier notifies the Beneficiary in writing that it does not intend to take conduct of the Claim; or </w:t>
      </w:r>
    </w:p>
    <w:p w14:paraId="236931A5" w14:textId="1A206E93" w:rsidR="004C127E" w:rsidRPr="000E5786" w:rsidRDefault="004C127E" w:rsidP="00F72C6F">
      <w:pPr>
        <w:pStyle w:val="Heading3"/>
        <w:rPr>
          <w:rFonts w:eastAsia="Verdana"/>
        </w:rPr>
      </w:pPr>
      <w:r w:rsidRPr="000E5786">
        <w:rPr>
          <w:rFonts w:eastAsia="Verdana"/>
        </w:rPr>
        <w:t xml:space="preserve">the Indemnifier fails to comply in any material respect with the provisions of </w:t>
      </w:r>
      <w:r w:rsidR="00A80BE8" w:rsidRPr="000E5786">
        <w:rPr>
          <w:rFonts w:eastAsia="Verdana"/>
        </w:rPr>
        <w:t xml:space="preserve">Paragraph </w:t>
      </w:r>
      <w:r w:rsidRPr="000E5786">
        <w:rPr>
          <w:rFonts w:eastAsia="Verdana"/>
        </w:rPr>
        <w:t xml:space="preserve">1.4. </w:t>
      </w:r>
    </w:p>
    <w:p w14:paraId="19871D9B" w14:textId="77777777" w:rsidR="003E5D7E" w:rsidRPr="000E5786" w:rsidRDefault="003E5D7E" w:rsidP="003E5D7E">
      <w:pPr>
        <w:ind w:right="47"/>
        <w:rPr>
          <w:rFonts w:cs="Arial"/>
          <w:szCs w:val="20"/>
        </w:rPr>
      </w:pPr>
    </w:p>
    <w:p w14:paraId="15A247D5" w14:textId="23D30725" w:rsidR="004C127E" w:rsidRPr="000E5786" w:rsidRDefault="004C127E" w:rsidP="000C5291">
      <w:pPr>
        <w:pStyle w:val="Heading1"/>
        <w:spacing w:after="120"/>
        <w:rPr>
          <w:rFonts w:cs="Arial"/>
          <w:b w:val="0"/>
          <w:bCs w:val="0"/>
          <w:szCs w:val="20"/>
        </w:rPr>
      </w:pPr>
      <w:r w:rsidRPr="000E5786">
        <w:rPr>
          <w:rFonts w:cs="Arial"/>
          <w:szCs w:val="20"/>
        </w:rPr>
        <w:t>SENSITI</w:t>
      </w:r>
      <w:r w:rsidRPr="00E766BF">
        <w:rPr>
          <w:rFonts w:cs="Arial"/>
          <w:szCs w:val="20"/>
        </w:rPr>
        <w:t>VE CLAIMS</w:t>
      </w:r>
      <w:r w:rsidRPr="000E5786">
        <w:rPr>
          <w:rFonts w:cs="Arial"/>
          <w:b w:val="0"/>
          <w:bCs w:val="0"/>
          <w:szCs w:val="20"/>
        </w:rPr>
        <w:t xml:space="preserve"> </w:t>
      </w:r>
    </w:p>
    <w:p w14:paraId="0DAA7566" w14:textId="73F3DBA9" w:rsidR="004C127E" w:rsidRPr="000E5786" w:rsidRDefault="004C127E" w:rsidP="000C5291">
      <w:pPr>
        <w:pStyle w:val="Heading2"/>
        <w:spacing w:after="120"/>
        <w:rPr>
          <w:rFonts w:cs="Arial"/>
          <w:szCs w:val="20"/>
        </w:rPr>
      </w:pPr>
      <w:r w:rsidRPr="000E5786">
        <w:rPr>
          <w:rFonts w:eastAsia="Verdana" w:cs="Arial"/>
          <w:szCs w:val="20"/>
        </w:rPr>
        <w:t>With respect to any Claim which the Beneficiary, acting reasonably, considers is likely to have an adv</w:t>
      </w:r>
      <w:r w:rsidR="006B1280">
        <w:rPr>
          <w:rFonts w:eastAsia="Verdana" w:cs="Arial"/>
          <w:szCs w:val="20"/>
        </w:rPr>
        <w:t>e</w:t>
      </w:r>
      <w:r w:rsidRPr="000E5786">
        <w:rPr>
          <w:rFonts w:eastAsia="Verdana" w:cs="Arial"/>
          <w:szCs w:val="20"/>
        </w:rPr>
        <w:t>rse impact on the general public's perception of the Beneficiary (a “</w:t>
      </w:r>
      <w:r w:rsidRPr="000E5786">
        <w:rPr>
          <w:rFonts w:eastAsia="Verdana" w:cs="Arial"/>
          <w:b/>
          <w:szCs w:val="20"/>
        </w:rPr>
        <w:t>Sensitive Claim</w:t>
      </w:r>
      <w:r w:rsidRPr="000E5786">
        <w:rPr>
          <w:rFonts w:eastAsia="Verdana" w:cs="Arial"/>
          <w:szCs w:val="20"/>
        </w:rPr>
        <w:t xml:space="preserve">”), the </w:t>
      </w:r>
      <w:r w:rsidRPr="000E5786">
        <w:rPr>
          <w:rFonts w:cs="Arial"/>
          <w:szCs w:val="20"/>
        </w:rPr>
        <w:t>Indemnifier</w:t>
      </w:r>
      <w:r w:rsidRPr="000E5786">
        <w:rPr>
          <w:rFonts w:eastAsia="Verdana" w:cs="Arial"/>
          <w:szCs w:val="20"/>
        </w:rPr>
        <w:t xml:space="preserve"> shall be entitled to take conduct of any defence, dispute, </w:t>
      </w:r>
      <w:proofErr w:type="gramStart"/>
      <w:r w:rsidRPr="000E5786">
        <w:rPr>
          <w:rFonts w:eastAsia="Verdana" w:cs="Arial"/>
          <w:szCs w:val="20"/>
        </w:rPr>
        <w:t>compromise</w:t>
      </w:r>
      <w:proofErr w:type="gramEnd"/>
      <w:r w:rsidRPr="000E5786">
        <w:rPr>
          <w:rFonts w:eastAsia="Verdana" w:cs="Arial"/>
          <w:szCs w:val="20"/>
        </w:rPr>
        <w:t xml:space="preserve"> or appeal of the Sensitiv</w:t>
      </w:r>
      <w:r w:rsidR="006B1280">
        <w:rPr>
          <w:rFonts w:eastAsia="Verdana" w:cs="Arial"/>
          <w:szCs w:val="20"/>
        </w:rPr>
        <w:t>e</w:t>
      </w:r>
      <w:r w:rsidRPr="000E5786">
        <w:rPr>
          <w:rFonts w:eastAsia="Verdana" w:cs="Arial"/>
          <w:szCs w:val="20"/>
        </w:rPr>
        <w:t xml:space="preserve"> Claim only with the Beneficiary's prior written consent. If the Beneficiary withholds such consent and elects to conduct the defence, dispute, compromise or appeal of the Sensitive Claim itself, it shall conduct the Sensitive Claim with all due diligence and if it fails to do so, the Indemnifier shall only be liable to indemnify the Beneficiary in respect of that amount which would have been recoverable by the Beneficiary had it conducted the Sensitive Claim with all due diligence. </w:t>
      </w:r>
    </w:p>
    <w:p w14:paraId="5F667450" w14:textId="1BA42333" w:rsidR="004C127E" w:rsidRPr="000E5786" w:rsidRDefault="004C127E" w:rsidP="000C5291">
      <w:pPr>
        <w:pStyle w:val="Heading2"/>
        <w:spacing w:after="120"/>
        <w:rPr>
          <w:rFonts w:eastAsia="Verdana" w:cs="Arial"/>
          <w:szCs w:val="20"/>
        </w:rPr>
      </w:pPr>
      <w:r w:rsidRPr="000E5786">
        <w:rPr>
          <w:rFonts w:eastAsia="Verdana" w:cs="Arial"/>
          <w:szCs w:val="20"/>
        </w:rPr>
        <w:lastRenderedPageBreak/>
        <w:t xml:space="preserve">The Beneficiary shall be free at any time to give written notice to the Indemnifier that it is retaining or </w:t>
      </w:r>
      <w:r w:rsidRPr="000E5786">
        <w:rPr>
          <w:rFonts w:cs="Arial"/>
          <w:szCs w:val="20"/>
        </w:rPr>
        <w:t>taking</w:t>
      </w:r>
      <w:r w:rsidRPr="000E5786">
        <w:rPr>
          <w:rFonts w:eastAsia="Verdana" w:cs="Arial"/>
          <w:szCs w:val="20"/>
        </w:rPr>
        <w:t xml:space="preserve"> over (as the case may be) the conduct of any Claim, to which </w:t>
      </w:r>
      <w:r w:rsidR="00A80BE8" w:rsidRPr="000E5786">
        <w:rPr>
          <w:rFonts w:eastAsia="Verdana" w:cs="Arial"/>
          <w:szCs w:val="20"/>
        </w:rPr>
        <w:t xml:space="preserve">Paragraph </w:t>
      </w:r>
      <w:r w:rsidRPr="000E5786">
        <w:rPr>
          <w:rFonts w:eastAsia="Verdana" w:cs="Arial"/>
          <w:szCs w:val="20"/>
        </w:rPr>
        <w:t xml:space="preserve">1.3 applies if, in the reasonable opinion of the Beneficiary, the Claim is, or has become, a Sensitive Claim. </w:t>
      </w:r>
    </w:p>
    <w:p w14:paraId="3A6C1420" w14:textId="77777777" w:rsidR="003E5D7E" w:rsidRPr="000E5786" w:rsidRDefault="003E5D7E" w:rsidP="003E5D7E">
      <w:pPr>
        <w:ind w:right="47"/>
        <w:rPr>
          <w:rFonts w:cs="Arial"/>
          <w:szCs w:val="20"/>
        </w:rPr>
      </w:pPr>
    </w:p>
    <w:p w14:paraId="78890BFB" w14:textId="56ADFEAD" w:rsidR="004C127E" w:rsidRPr="000E5786" w:rsidRDefault="004C127E" w:rsidP="00726B13">
      <w:pPr>
        <w:pStyle w:val="Heading1"/>
      </w:pPr>
      <w:r w:rsidRPr="000E5786">
        <w:t xml:space="preserve">RECOVERY OF SUMS </w:t>
      </w:r>
    </w:p>
    <w:p w14:paraId="3C9DA41B" w14:textId="4D19EC7A" w:rsidR="004C127E" w:rsidRPr="000E5786" w:rsidRDefault="004C127E" w:rsidP="00726B13">
      <w:pPr>
        <w:pStyle w:val="Heading2"/>
      </w:pPr>
      <w:r w:rsidRPr="000E5786">
        <w:rPr>
          <w:rFonts w:eastAsia="Verdana"/>
        </w:rPr>
        <w:t xml:space="preserve">If the Indemnifier pays to the Beneficiary an amount in respect of an indemnity and the Beneficiary subsequently recovers (whether by payment, discount, credit, saving, </w:t>
      </w:r>
      <w:proofErr w:type="gramStart"/>
      <w:r w:rsidRPr="000E5786">
        <w:rPr>
          <w:rFonts w:eastAsia="Verdana"/>
        </w:rPr>
        <w:t>relief</w:t>
      </w:r>
      <w:proofErr w:type="gramEnd"/>
      <w:r w:rsidRPr="000E5786">
        <w:rPr>
          <w:rFonts w:eastAsia="Verdana"/>
        </w:rPr>
        <w:t xml:space="preserve"> or other benefit or </w:t>
      </w:r>
      <w:r w:rsidRPr="000E5786">
        <w:t>otherwise</w:t>
      </w:r>
      <w:r w:rsidRPr="000E5786">
        <w:rPr>
          <w:rFonts w:eastAsia="Verdana"/>
        </w:rPr>
        <w:t xml:space="preserve">) a sum which is directly referable to the fact, matter, event or circumstances giving rise to the Claim, the Beneficiary shall forthwith repay to the Indemnifier whichever is the lesser of: </w:t>
      </w:r>
    </w:p>
    <w:p w14:paraId="06AD6678" w14:textId="72718478" w:rsidR="004C127E" w:rsidRPr="000E5786" w:rsidRDefault="004C127E" w:rsidP="003E156C">
      <w:pPr>
        <w:pStyle w:val="Heading3"/>
        <w:rPr>
          <w:rFonts w:eastAsia="Verdana"/>
        </w:rPr>
      </w:pPr>
      <w:r w:rsidRPr="000E5786">
        <w:rPr>
          <w:rFonts w:eastAsia="Verdana"/>
        </w:rPr>
        <w:t xml:space="preserve">an amount equal to the sum recovered (or the value of the discount, credit, saving, relief, other benefit or amount otherwise obtained) less any out-of-pocket costs and expenses properly incurred by the Beneficiary in recovering or obtaining the same; and </w:t>
      </w:r>
    </w:p>
    <w:p w14:paraId="4540C815" w14:textId="71E05BAC" w:rsidR="004C127E" w:rsidRPr="000E5786" w:rsidRDefault="004C127E" w:rsidP="003E156C">
      <w:pPr>
        <w:pStyle w:val="Heading3"/>
        <w:rPr>
          <w:rFonts w:eastAsia="Verdana"/>
        </w:rPr>
      </w:pPr>
      <w:r w:rsidRPr="000E5786">
        <w:rPr>
          <w:rFonts w:eastAsia="Verdana"/>
        </w:rPr>
        <w:t xml:space="preserve">the amount paid to the Beneficiary by the Indemnifier in respect of the Claimer the relevant indemnity. </w:t>
      </w:r>
    </w:p>
    <w:p w14:paraId="21C56D03" w14:textId="77777777" w:rsidR="003E5D7E" w:rsidRPr="000E5786" w:rsidRDefault="003E5D7E" w:rsidP="003E5D7E">
      <w:pPr>
        <w:ind w:right="47"/>
        <w:rPr>
          <w:rFonts w:eastAsia="Verdana" w:cs="Arial"/>
          <w:szCs w:val="20"/>
        </w:rPr>
      </w:pPr>
    </w:p>
    <w:p w14:paraId="6148BA33" w14:textId="1EF84B3C" w:rsidR="004C127E" w:rsidRPr="000E5786" w:rsidRDefault="004C127E" w:rsidP="00AB6180">
      <w:pPr>
        <w:pStyle w:val="Heading1"/>
        <w:numPr>
          <w:ilvl w:val="0"/>
          <w:numId w:val="0"/>
        </w:numPr>
        <w:spacing w:after="120"/>
        <w:ind w:left="709" w:hanging="709"/>
        <w:rPr>
          <w:rFonts w:cs="Arial"/>
          <w:szCs w:val="20"/>
        </w:rPr>
      </w:pPr>
      <w:r w:rsidRPr="000E5786">
        <w:rPr>
          <w:rFonts w:cs="Arial"/>
          <w:szCs w:val="20"/>
        </w:rPr>
        <w:t>4.</w:t>
      </w:r>
      <w:r w:rsidRPr="000E5786">
        <w:rPr>
          <w:rFonts w:eastAsia="Arial" w:cs="Arial"/>
          <w:szCs w:val="20"/>
        </w:rPr>
        <w:tab/>
      </w:r>
      <w:r w:rsidRPr="000E5786">
        <w:rPr>
          <w:rFonts w:cs="Arial"/>
          <w:szCs w:val="20"/>
        </w:rPr>
        <w:t xml:space="preserve">MITIGATION </w:t>
      </w:r>
    </w:p>
    <w:p w14:paraId="3E1C17EF" w14:textId="35EDE0BE" w:rsidR="004C127E" w:rsidRPr="000E5786" w:rsidRDefault="004C127E" w:rsidP="00AB6180">
      <w:pPr>
        <w:pStyle w:val="Heading2"/>
        <w:numPr>
          <w:ilvl w:val="0"/>
          <w:numId w:val="0"/>
        </w:numPr>
        <w:spacing w:after="120"/>
        <w:ind w:left="709"/>
        <w:rPr>
          <w:rFonts w:cs="Arial"/>
          <w:szCs w:val="20"/>
        </w:rPr>
      </w:pPr>
      <w:r w:rsidRPr="000E5786">
        <w:rPr>
          <w:rFonts w:eastAsia="Verdana" w:cs="Arial"/>
          <w:szCs w:val="20"/>
        </w:rPr>
        <w:t xml:space="preserve">Each of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and the Supplier shall </w:t>
      </w:r>
      <w:proofErr w:type="gramStart"/>
      <w:r w:rsidRPr="000E5786">
        <w:rPr>
          <w:rFonts w:eastAsia="Verdana" w:cs="Arial"/>
          <w:szCs w:val="20"/>
        </w:rPr>
        <w:t>at all times</w:t>
      </w:r>
      <w:proofErr w:type="gramEnd"/>
      <w:r w:rsidRPr="000E5786">
        <w:rPr>
          <w:rFonts w:eastAsia="Verdana" w:cs="Arial"/>
          <w:szCs w:val="20"/>
        </w:rPr>
        <w:t xml:space="preserve"> take all reasonable steps to minimise and mitigate any loss or damage, including any Losses, for which the relevant Party is entitled to bring a claim against the other Party pursuant to the indemnities in this Agreement. </w:t>
      </w:r>
    </w:p>
    <w:p w14:paraId="56CF0AC2" w14:textId="77777777" w:rsidR="004C127E" w:rsidRPr="000E5786" w:rsidRDefault="004C127E" w:rsidP="00DD60F0">
      <w:pPr>
        <w:rPr>
          <w:rFonts w:cs="Arial"/>
          <w:szCs w:val="20"/>
        </w:rPr>
      </w:pPr>
      <w:r w:rsidRPr="000E5786">
        <w:rPr>
          <w:rFonts w:eastAsia="Verdana" w:cs="Arial"/>
          <w:szCs w:val="20"/>
        </w:rPr>
        <w:t xml:space="preserve"> </w:t>
      </w:r>
    </w:p>
    <w:p w14:paraId="5FDC93A2" w14:textId="098AAF97" w:rsidR="00D85F7C" w:rsidRPr="000E5786" w:rsidRDefault="00D85F7C" w:rsidP="00DD60F0">
      <w:pPr>
        <w:rPr>
          <w:rFonts w:cs="Arial"/>
          <w:szCs w:val="20"/>
        </w:rPr>
      </w:pPr>
      <w:r w:rsidRPr="000E5786">
        <w:rPr>
          <w:rFonts w:cs="Arial"/>
          <w:szCs w:val="20"/>
        </w:rPr>
        <w:br w:type="page"/>
      </w:r>
    </w:p>
    <w:p w14:paraId="3088D7F9" w14:textId="39DD4405" w:rsidR="0001172D" w:rsidRDefault="0001172D" w:rsidP="0001172D">
      <w:pPr>
        <w:pStyle w:val="ScheduleSubheading"/>
        <w:numPr>
          <w:ilvl w:val="0"/>
          <w:numId w:val="0"/>
        </w:numPr>
      </w:pPr>
      <w:r>
        <w:lastRenderedPageBreak/>
        <w:t>SCHEDULE 9</w:t>
      </w:r>
    </w:p>
    <w:p w14:paraId="78874C87" w14:textId="3E8F1F72" w:rsidR="0001172D" w:rsidRPr="0001172D" w:rsidRDefault="0001172D" w:rsidP="0001172D">
      <w:pPr>
        <w:pStyle w:val="ScheduleSubheading"/>
        <w:numPr>
          <w:ilvl w:val="0"/>
          <w:numId w:val="0"/>
        </w:numPr>
      </w:pPr>
      <w:r>
        <w:t>KEY PERSONNEL</w:t>
      </w:r>
    </w:p>
    <w:p w14:paraId="6A0BACBE" w14:textId="77777777" w:rsidR="0001172D" w:rsidRPr="00511807" w:rsidRDefault="0001172D" w:rsidP="008B6AF5">
      <w:pPr>
        <w:jc w:val="left"/>
        <w:rPr>
          <w:b/>
        </w:rPr>
      </w:pPr>
    </w:p>
    <w:p w14:paraId="5CEEE57D" w14:textId="2C7A3612" w:rsidR="0001172D" w:rsidRPr="009F5CC2" w:rsidRDefault="0001172D" w:rsidP="009D675B">
      <w:pPr>
        <w:pStyle w:val="Level1"/>
        <w:numPr>
          <w:ilvl w:val="0"/>
          <w:numId w:val="77"/>
        </w:numPr>
        <w:tabs>
          <w:tab w:val="clear" w:pos="2411"/>
          <w:tab w:val="num" w:pos="851"/>
        </w:tabs>
        <w:ind w:left="-993" w:firstLine="993"/>
        <w:rPr>
          <w:rFonts w:ascii="Arial" w:hAnsi="Arial" w:cs="Arial"/>
          <w:b/>
          <w:bCs/>
        </w:rPr>
      </w:pPr>
      <w:r w:rsidRPr="009F5CC2">
        <w:rPr>
          <w:rFonts w:ascii="Arial" w:hAnsi="Arial" w:cs="Arial"/>
          <w:b/>
          <w:bCs/>
        </w:rPr>
        <w:t>KEY SUPPLIER PERSONNEL FOR ONGOING SERVICE DELIVERY</w:t>
      </w:r>
    </w:p>
    <w:p w14:paraId="53E6DEE6" w14:textId="372B5420" w:rsidR="0001172D" w:rsidRPr="0001172D" w:rsidRDefault="0001172D" w:rsidP="009D675B">
      <w:pPr>
        <w:pStyle w:val="ListParagraph"/>
        <w:numPr>
          <w:ilvl w:val="0"/>
          <w:numId w:val="75"/>
        </w:numPr>
        <w:spacing w:after="0" w:line="240" w:lineRule="auto"/>
        <w:rPr>
          <w:rFonts w:ascii="Arial" w:eastAsiaTheme="minorEastAsia" w:hAnsi="Arial" w:cs="Arial"/>
          <w:sz w:val="20"/>
          <w:szCs w:val="20"/>
        </w:rPr>
      </w:pPr>
      <w:r w:rsidRPr="0001172D">
        <w:rPr>
          <w:rFonts w:ascii="Arial" w:hAnsi="Arial" w:cs="Arial"/>
          <w:sz w:val="20"/>
          <w:szCs w:val="20"/>
        </w:rPr>
        <w:t>C (UK Service Owner)</w:t>
      </w:r>
    </w:p>
    <w:p w14:paraId="5B020C5F" w14:textId="4728ACCB" w:rsidR="0001172D" w:rsidRPr="0001172D" w:rsidRDefault="0001172D" w:rsidP="009D675B">
      <w:pPr>
        <w:pStyle w:val="ListParagraph"/>
        <w:numPr>
          <w:ilvl w:val="0"/>
          <w:numId w:val="75"/>
        </w:numPr>
        <w:spacing w:after="0" w:line="240" w:lineRule="auto"/>
        <w:rPr>
          <w:rFonts w:ascii="Arial" w:hAnsi="Arial" w:cs="Arial"/>
          <w:sz w:val="20"/>
          <w:szCs w:val="20"/>
        </w:rPr>
      </w:pPr>
      <w:r w:rsidRPr="0001172D">
        <w:rPr>
          <w:rFonts w:ascii="Arial" w:hAnsi="Arial" w:cs="Arial"/>
          <w:sz w:val="20"/>
          <w:szCs w:val="20"/>
        </w:rPr>
        <w:t>B (Service Delivery Manager)</w:t>
      </w:r>
    </w:p>
    <w:p w14:paraId="78A18B26" w14:textId="7CC559A5" w:rsidR="0001172D" w:rsidRPr="0001172D" w:rsidRDefault="0001172D" w:rsidP="009D675B">
      <w:pPr>
        <w:pStyle w:val="ListParagraph"/>
        <w:numPr>
          <w:ilvl w:val="0"/>
          <w:numId w:val="75"/>
        </w:numPr>
        <w:spacing w:after="0" w:line="240" w:lineRule="auto"/>
        <w:rPr>
          <w:rFonts w:ascii="Arial" w:hAnsi="Arial" w:cs="Arial"/>
          <w:sz w:val="20"/>
          <w:szCs w:val="20"/>
        </w:rPr>
      </w:pPr>
      <w:proofErr w:type="gramStart"/>
      <w:r w:rsidRPr="0001172D">
        <w:rPr>
          <w:rFonts w:ascii="Arial" w:hAnsi="Arial" w:cs="Arial"/>
          <w:sz w:val="20"/>
          <w:szCs w:val="20"/>
        </w:rPr>
        <w:t>A(</w:t>
      </w:r>
      <w:proofErr w:type="gramEnd"/>
      <w:r w:rsidRPr="0001172D">
        <w:rPr>
          <w:rFonts w:ascii="Arial" w:hAnsi="Arial" w:cs="Arial"/>
          <w:sz w:val="20"/>
          <w:szCs w:val="20"/>
        </w:rPr>
        <w:t>Security Manager)</w:t>
      </w:r>
    </w:p>
    <w:p w14:paraId="68642D8F" w14:textId="21C6EF47" w:rsidR="0001172D" w:rsidRPr="0001172D" w:rsidRDefault="0001172D" w:rsidP="009D675B">
      <w:pPr>
        <w:pStyle w:val="ListParagraph"/>
        <w:numPr>
          <w:ilvl w:val="0"/>
          <w:numId w:val="75"/>
        </w:numPr>
        <w:spacing w:after="0" w:line="240" w:lineRule="auto"/>
        <w:rPr>
          <w:rFonts w:ascii="Arial" w:hAnsi="Arial" w:cs="Arial"/>
          <w:sz w:val="20"/>
          <w:szCs w:val="20"/>
        </w:rPr>
      </w:pPr>
      <w:r>
        <w:rPr>
          <w:rFonts w:ascii="Arial" w:hAnsi="Arial" w:cs="Arial"/>
          <w:sz w:val="20"/>
          <w:szCs w:val="20"/>
        </w:rPr>
        <w:t>[</w:t>
      </w:r>
      <w:r w:rsidRPr="009429AB">
        <w:rPr>
          <w:rFonts w:ascii="Arial" w:hAnsi="Arial" w:cs="Arial"/>
          <w:sz w:val="20"/>
          <w:szCs w:val="20"/>
        </w:rPr>
        <w:t>TBC</w:t>
      </w:r>
      <w:r>
        <w:rPr>
          <w:rFonts w:ascii="Arial" w:hAnsi="Arial" w:cs="Arial"/>
          <w:sz w:val="20"/>
          <w:szCs w:val="20"/>
        </w:rPr>
        <w:t>]</w:t>
      </w:r>
      <w:r w:rsidRPr="0001172D">
        <w:rPr>
          <w:rFonts w:ascii="Arial" w:hAnsi="Arial" w:cs="Arial"/>
          <w:sz w:val="20"/>
          <w:szCs w:val="20"/>
        </w:rPr>
        <w:t xml:space="preserve"> (Architect) – Name to be confirmed by 1 Feb 2022</w:t>
      </w:r>
    </w:p>
    <w:p w14:paraId="0E875A59" w14:textId="77777777" w:rsidR="0001172D" w:rsidRPr="0001172D" w:rsidRDefault="0001172D" w:rsidP="008B6AF5">
      <w:pPr>
        <w:ind w:left="851"/>
        <w:rPr>
          <w:rFonts w:cs="Arial"/>
          <w:szCs w:val="20"/>
        </w:rPr>
      </w:pPr>
    </w:p>
    <w:p w14:paraId="79A1C133" w14:textId="366AED47" w:rsidR="0001172D" w:rsidRPr="0001172D" w:rsidRDefault="0001172D" w:rsidP="0001172D">
      <w:pPr>
        <w:pStyle w:val="Level1"/>
        <w:tabs>
          <w:tab w:val="clear" w:pos="2411"/>
          <w:tab w:val="num" w:pos="851"/>
        </w:tabs>
        <w:ind w:left="851"/>
        <w:rPr>
          <w:rFonts w:ascii="Arial" w:hAnsi="Arial" w:cs="Arial"/>
          <w:b/>
          <w:bCs/>
        </w:rPr>
      </w:pPr>
      <w:r w:rsidRPr="0001172D">
        <w:rPr>
          <w:rFonts w:ascii="Arial" w:hAnsi="Arial" w:cs="Arial"/>
          <w:b/>
          <w:bCs/>
        </w:rPr>
        <w:t>KEY SUPPLIER PERSONNEL FOR TRANSITION &amp; MIGRATION</w:t>
      </w:r>
      <w:r w:rsidR="00A20CD5">
        <w:rPr>
          <w:rFonts w:ascii="Arial" w:hAnsi="Arial" w:cs="Arial"/>
        </w:rPr>
        <w:t>–</w:t>
      </w:r>
    </w:p>
    <w:p w14:paraId="4D7DBC8F" w14:textId="43AEE0ED" w:rsidR="0001172D" w:rsidRPr="0001172D" w:rsidRDefault="0001172D" w:rsidP="009D675B">
      <w:pPr>
        <w:pStyle w:val="ListParagraph"/>
        <w:numPr>
          <w:ilvl w:val="0"/>
          <w:numId w:val="75"/>
        </w:numPr>
        <w:spacing w:after="0" w:line="240" w:lineRule="auto"/>
        <w:rPr>
          <w:rFonts w:ascii="Arial" w:eastAsiaTheme="minorEastAsia" w:hAnsi="Arial" w:cs="Arial"/>
          <w:sz w:val="20"/>
          <w:szCs w:val="20"/>
        </w:rPr>
      </w:pPr>
      <w:proofErr w:type="gramStart"/>
      <w:r w:rsidRPr="0001172D">
        <w:rPr>
          <w:rFonts w:ascii="Arial" w:hAnsi="Arial" w:cs="Arial"/>
          <w:sz w:val="20"/>
          <w:szCs w:val="20"/>
        </w:rPr>
        <w:t>R(</w:t>
      </w:r>
      <w:proofErr w:type="gramEnd"/>
      <w:r w:rsidRPr="0001172D">
        <w:rPr>
          <w:rFonts w:ascii="Arial" w:hAnsi="Arial" w:cs="Arial"/>
          <w:sz w:val="20"/>
          <w:szCs w:val="20"/>
        </w:rPr>
        <w:t xml:space="preserve">Transition Manager) - UK </w:t>
      </w:r>
    </w:p>
    <w:p w14:paraId="6BB79DAD" w14:textId="0AB2C8C7" w:rsidR="0001172D" w:rsidRPr="0001172D" w:rsidRDefault="0001172D" w:rsidP="009D675B">
      <w:pPr>
        <w:pStyle w:val="ListParagraph"/>
        <w:numPr>
          <w:ilvl w:val="0"/>
          <w:numId w:val="75"/>
        </w:numPr>
        <w:spacing w:after="0" w:line="240" w:lineRule="auto"/>
        <w:rPr>
          <w:rFonts w:ascii="Arial" w:hAnsi="Arial" w:cs="Arial"/>
          <w:sz w:val="20"/>
          <w:szCs w:val="20"/>
        </w:rPr>
      </w:pPr>
      <w:r w:rsidRPr="0001172D">
        <w:rPr>
          <w:rFonts w:ascii="Arial" w:hAnsi="Arial" w:cs="Arial"/>
          <w:sz w:val="20"/>
          <w:szCs w:val="20"/>
        </w:rPr>
        <w:t xml:space="preserve">M (Transition Manager) – India </w:t>
      </w:r>
    </w:p>
    <w:p w14:paraId="7E28ECFB" w14:textId="5A0B3A07" w:rsidR="0001172D" w:rsidRPr="0001172D" w:rsidRDefault="0001172D" w:rsidP="009D675B">
      <w:pPr>
        <w:pStyle w:val="ListParagraph"/>
        <w:numPr>
          <w:ilvl w:val="0"/>
          <w:numId w:val="75"/>
        </w:numPr>
        <w:spacing w:after="0" w:line="240" w:lineRule="auto"/>
        <w:rPr>
          <w:rFonts w:ascii="Arial" w:hAnsi="Arial" w:cs="Arial"/>
          <w:sz w:val="20"/>
          <w:szCs w:val="20"/>
        </w:rPr>
      </w:pPr>
      <w:r w:rsidRPr="0001172D">
        <w:rPr>
          <w:rFonts w:ascii="Arial" w:hAnsi="Arial" w:cs="Arial"/>
          <w:sz w:val="20"/>
          <w:szCs w:val="20"/>
        </w:rPr>
        <w:t>G (Migration Lead Architect)</w:t>
      </w:r>
    </w:p>
    <w:p w14:paraId="03185232" w14:textId="681C4C34" w:rsidR="0001172D" w:rsidRPr="0001172D" w:rsidRDefault="0001172D" w:rsidP="009D675B">
      <w:pPr>
        <w:pStyle w:val="ListParagraph"/>
        <w:numPr>
          <w:ilvl w:val="0"/>
          <w:numId w:val="75"/>
        </w:numPr>
        <w:spacing w:after="0" w:line="240" w:lineRule="auto"/>
        <w:rPr>
          <w:rFonts w:ascii="Arial" w:hAnsi="Arial" w:cs="Arial"/>
          <w:sz w:val="20"/>
          <w:szCs w:val="20"/>
        </w:rPr>
      </w:pPr>
      <w:r w:rsidRPr="0001172D">
        <w:rPr>
          <w:rFonts w:ascii="Arial" w:hAnsi="Arial" w:cs="Arial"/>
          <w:sz w:val="20"/>
          <w:szCs w:val="20"/>
        </w:rPr>
        <w:t>D (Network Technical Lead Architect)</w:t>
      </w:r>
    </w:p>
    <w:p w14:paraId="57160920" w14:textId="77777777" w:rsidR="0001172D" w:rsidRPr="0001172D" w:rsidRDefault="0001172D" w:rsidP="008B6AF5">
      <w:pPr>
        <w:rPr>
          <w:rFonts w:cs="Arial"/>
          <w:szCs w:val="20"/>
        </w:rPr>
      </w:pPr>
    </w:p>
    <w:p w14:paraId="237A229A" w14:textId="05181682" w:rsidR="0001172D" w:rsidRPr="0001172D" w:rsidRDefault="0001172D" w:rsidP="0001172D">
      <w:pPr>
        <w:pStyle w:val="Level1"/>
        <w:tabs>
          <w:tab w:val="clear" w:pos="2411"/>
          <w:tab w:val="num" w:pos="851"/>
        </w:tabs>
        <w:ind w:left="851"/>
        <w:rPr>
          <w:rFonts w:ascii="Arial" w:hAnsi="Arial" w:cs="Arial"/>
          <w:b/>
        </w:rPr>
      </w:pPr>
      <w:r w:rsidRPr="0001172D">
        <w:rPr>
          <w:rFonts w:ascii="Arial" w:hAnsi="Arial" w:cs="Arial"/>
          <w:b/>
        </w:rPr>
        <w:t>KEY SUPPLIER EXECUTIVE SPONSORS</w:t>
      </w:r>
    </w:p>
    <w:p w14:paraId="1F8E2685" w14:textId="286399BF" w:rsidR="0001172D" w:rsidRPr="0001172D" w:rsidRDefault="0001172D" w:rsidP="0001172D">
      <w:pPr>
        <w:pStyle w:val="Level1"/>
        <w:numPr>
          <w:ilvl w:val="0"/>
          <w:numId w:val="0"/>
        </w:numPr>
        <w:ind w:left="851"/>
        <w:rPr>
          <w:rFonts w:ascii="Arial" w:hAnsi="Arial" w:cs="Arial"/>
        </w:rPr>
      </w:pPr>
      <w:r w:rsidRPr="0001172D">
        <w:rPr>
          <w:rFonts w:ascii="Arial" w:hAnsi="Arial" w:cs="Arial"/>
        </w:rPr>
        <w:t>The following are executive sponsors from the Supplier that will take part the in governance of this agreement but are not subject to the provisions of clause 10 of the Agreement. However, the Key Supplier Executive Sponsors’ commitment shall be required until the achievement of the CPP Milestone in the Initial Transition Project. The Supplier in any event shall notify the Customer of any changes to this list:</w:t>
      </w:r>
    </w:p>
    <w:p w14:paraId="2B68751D" w14:textId="7CA9DC96" w:rsidR="0001172D" w:rsidRPr="0001172D" w:rsidRDefault="0001172D" w:rsidP="009D675B">
      <w:pPr>
        <w:pStyle w:val="ListParagraph"/>
        <w:numPr>
          <w:ilvl w:val="0"/>
          <w:numId w:val="75"/>
        </w:numPr>
        <w:tabs>
          <w:tab w:val="clear" w:pos="1211"/>
        </w:tabs>
        <w:spacing w:after="0" w:line="240" w:lineRule="auto"/>
        <w:ind w:left="1276"/>
        <w:rPr>
          <w:rFonts w:ascii="Arial" w:eastAsiaTheme="minorEastAsia" w:hAnsi="Arial" w:cs="Arial"/>
          <w:sz w:val="20"/>
          <w:szCs w:val="20"/>
        </w:rPr>
      </w:pPr>
      <w:r w:rsidRPr="0001172D">
        <w:rPr>
          <w:rFonts w:ascii="Arial" w:hAnsi="Arial" w:cs="Arial"/>
          <w:sz w:val="20"/>
          <w:szCs w:val="20"/>
        </w:rPr>
        <w:t>T – Group Account Executive</w:t>
      </w:r>
    </w:p>
    <w:p w14:paraId="6161A73C" w14:textId="231FB62B" w:rsidR="0001172D" w:rsidRPr="0001172D" w:rsidRDefault="0001172D" w:rsidP="009D675B">
      <w:pPr>
        <w:pStyle w:val="ListParagraph"/>
        <w:numPr>
          <w:ilvl w:val="0"/>
          <w:numId w:val="75"/>
        </w:numPr>
        <w:tabs>
          <w:tab w:val="clear" w:pos="1211"/>
        </w:tabs>
        <w:spacing w:after="0" w:line="240" w:lineRule="auto"/>
        <w:ind w:left="1276"/>
        <w:rPr>
          <w:rFonts w:ascii="Arial" w:hAnsi="Arial" w:cs="Arial"/>
          <w:sz w:val="20"/>
          <w:szCs w:val="20"/>
        </w:rPr>
      </w:pPr>
      <w:r w:rsidRPr="0001172D">
        <w:rPr>
          <w:rFonts w:ascii="Arial" w:hAnsi="Arial" w:cs="Arial"/>
          <w:sz w:val="20"/>
          <w:szCs w:val="20"/>
        </w:rPr>
        <w:t>J – Vice President, Managed Services. Executive Sponsor</w:t>
      </w:r>
    </w:p>
    <w:p w14:paraId="7A59907F" w14:textId="1AA95636" w:rsidR="0001172D" w:rsidRPr="0001172D" w:rsidRDefault="0001172D" w:rsidP="009D675B">
      <w:pPr>
        <w:pStyle w:val="ListParagraph"/>
        <w:numPr>
          <w:ilvl w:val="0"/>
          <w:numId w:val="75"/>
        </w:numPr>
        <w:tabs>
          <w:tab w:val="clear" w:pos="1211"/>
        </w:tabs>
        <w:spacing w:after="0" w:line="240" w:lineRule="auto"/>
        <w:ind w:left="1276"/>
        <w:rPr>
          <w:rFonts w:ascii="Arial" w:hAnsi="Arial" w:cs="Arial"/>
          <w:sz w:val="20"/>
          <w:szCs w:val="20"/>
        </w:rPr>
      </w:pPr>
      <w:r w:rsidRPr="0001172D">
        <w:rPr>
          <w:rFonts w:ascii="Arial" w:hAnsi="Arial" w:cs="Arial"/>
          <w:sz w:val="20"/>
          <w:szCs w:val="20"/>
        </w:rPr>
        <w:t>M</w:t>
      </w:r>
      <w:r w:rsidR="008E57EE">
        <w:rPr>
          <w:rFonts w:ascii="Arial" w:hAnsi="Arial" w:cs="Arial"/>
          <w:sz w:val="20"/>
          <w:szCs w:val="20"/>
        </w:rPr>
        <w:t xml:space="preserve"> </w:t>
      </w:r>
      <w:r w:rsidRPr="0001172D">
        <w:rPr>
          <w:rFonts w:ascii="Arial" w:hAnsi="Arial" w:cs="Arial"/>
          <w:sz w:val="20"/>
          <w:szCs w:val="20"/>
        </w:rPr>
        <w:t>– Vice President, TMTS Market Unit.</w:t>
      </w:r>
    </w:p>
    <w:p w14:paraId="590940F6" w14:textId="77777777" w:rsidR="0001172D" w:rsidRDefault="0001172D" w:rsidP="008B6AF5">
      <w:pPr>
        <w:spacing w:before="100" w:beforeAutospacing="1" w:after="100" w:afterAutospacing="1"/>
        <w:ind w:left="491"/>
        <w:jc w:val="left"/>
      </w:pPr>
    </w:p>
    <w:p w14:paraId="6127F571" w14:textId="77777777" w:rsidR="0001172D" w:rsidRDefault="0001172D">
      <w:pPr>
        <w:rPr>
          <w:rFonts w:eastAsia="Verdana" w:cs="Arial"/>
          <w:b/>
          <w:szCs w:val="20"/>
        </w:rPr>
      </w:pPr>
      <w:r>
        <w:rPr>
          <w:rFonts w:eastAsia="Verdana" w:cs="Arial"/>
          <w:b/>
          <w:szCs w:val="20"/>
        </w:rPr>
        <w:br w:type="page"/>
      </w:r>
    </w:p>
    <w:p w14:paraId="0BEA5714" w14:textId="6856B343" w:rsidR="008B38E6" w:rsidRPr="000E5786" w:rsidRDefault="008B38E6" w:rsidP="008B38E6">
      <w:pPr>
        <w:ind w:left="1319" w:right="1311" w:hanging="10"/>
        <w:jc w:val="center"/>
        <w:rPr>
          <w:rFonts w:cs="Arial"/>
          <w:szCs w:val="20"/>
        </w:rPr>
      </w:pPr>
      <w:r w:rsidRPr="000E5786">
        <w:rPr>
          <w:rFonts w:eastAsia="Verdana" w:cs="Arial"/>
          <w:b/>
          <w:szCs w:val="20"/>
        </w:rPr>
        <w:lastRenderedPageBreak/>
        <w:t>SCHEDULE 1</w:t>
      </w:r>
      <w:r>
        <w:rPr>
          <w:rFonts w:eastAsia="Verdana" w:cs="Arial"/>
          <w:b/>
          <w:szCs w:val="20"/>
        </w:rPr>
        <w:t>0</w:t>
      </w:r>
      <w:r w:rsidRPr="000E5786">
        <w:rPr>
          <w:rFonts w:eastAsia="Verdana" w:cs="Arial"/>
          <w:b/>
          <w:szCs w:val="20"/>
        </w:rPr>
        <w:t xml:space="preserve"> </w:t>
      </w:r>
    </w:p>
    <w:p w14:paraId="381B5F80" w14:textId="309E7BAF" w:rsidR="008B38E6" w:rsidRPr="000E5786" w:rsidRDefault="008B38E6" w:rsidP="0001172D">
      <w:pPr>
        <w:ind w:left="1319" w:right="1311" w:hanging="10"/>
        <w:jc w:val="center"/>
        <w:rPr>
          <w:rFonts w:cs="Arial"/>
          <w:b/>
          <w:bCs/>
          <w:szCs w:val="20"/>
        </w:rPr>
      </w:pPr>
      <w:r>
        <w:rPr>
          <w:rFonts w:eastAsia="Verdana" w:cs="Arial"/>
          <w:b/>
          <w:bCs/>
          <w:szCs w:val="20"/>
        </w:rPr>
        <w:t xml:space="preserve">NOT </w:t>
      </w:r>
      <w:r w:rsidRPr="0001172D">
        <w:rPr>
          <w:rFonts w:eastAsia="Verdana" w:cs="Arial"/>
          <w:b/>
          <w:szCs w:val="20"/>
        </w:rPr>
        <w:t>USED</w:t>
      </w:r>
    </w:p>
    <w:p w14:paraId="4679D074" w14:textId="77777777" w:rsidR="008B38E6" w:rsidRDefault="008B38E6" w:rsidP="00DD60F0">
      <w:pPr>
        <w:ind w:left="1319" w:right="1311" w:hanging="10"/>
        <w:jc w:val="center"/>
        <w:rPr>
          <w:rFonts w:eastAsia="Verdana" w:cs="Arial"/>
          <w:b/>
          <w:szCs w:val="20"/>
        </w:rPr>
      </w:pPr>
    </w:p>
    <w:p w14:paraId="4581496B" w14:textId="4AFBACFC" w:rsidR="008B38E6" w:rsidRDefault="008B38E6">
      <w:pPr>
        <w:rPr>
          <w:rFonts w:eastAsia="Verdana" w:cs="Arial"/>
          <w:b/>
          <w:szCs w:val="20"/>
        </w:rPr>
      </w:pPr>
      <w:r>
        <w:rPr>
          <w:rFonts w:eastAsia="Verdana" w:cs="Arial"/>
          <w:b/>
          <w:szCs w:val="20"/>
        </w:rPr>
        <w:br w:type="page"/>
      </w:r>
    </w:p>
    <w:p w14:paraId="583AF68F" w14:textId="77777777" w:rsidR="002053FB" w:rsidRPr="00956EA3" w:rsidRDefault="002053FB" w:rsidP="009402CF">
      <w:pPr>
        <w:spacing w:after="223" w:line="259" w:lineRule="auto"/>
        <w:ind w:left="800" w:right="852" w:hanging="10"/>
        <w:jc w:val="center"/>
        <w:rPr>
          <w:rFonts w:eastAsia="Calibri" w:cs="Arial"/>
          <w:szCs w:val="20"/>
        </w:rPr>
      </w:pPr>
      <w:r w:rsidRPr="00956EA3">
        <w:rPr>
          <w:rFonts w:eastAsia="Verdana" w:cs="Arial"/>
          <w:b/>
          <w:szCs w:val="20"/>
        </w:rPr>
        <w:lastRenderedPageBreak/>
        <w:t xml:space="preserve">SCHEDULE 11 </w:t>
      </w:r>
    </w:p>
    <w:p w14:paraId="6911A4F6" w14:textId="77777777" w:rsidR="002053FB" w:rsidRPr="00956EA3" w:rsidRDefault="002053FB" w:rsidP="009402CF">
      <w:pPr>
        <w:spacing w:after="223" w:line="259" w:lineRule="auto"/>
        <w:ind w:left="800" w:right="849" w:hanging="10"/>
        <w:jc w:val="center"/>
        <w:rPr>
          <w:rFonts w:eastAsia="Calibri" w:cs="Arial"/>
          <w:szCs w:val="20"/>
        </w:rPr>
      </w:pPr>
      <w:r w:rsidRPr="00956EA3">
        <w:rPr>
          <w:rFonts w:eastAsia="Verdana" w:cs="Arial"/>
          <w:b/>
          <w:szCs w:val="20"/>
        </w:rPr>
        <w:t xml:space="preserve">STAFF TRANSFER </w:t>
      </w:r>
    </w:p>
    <w:p w14:paraId="64F2697A" w14:textId="77777777" w:rsidR="002053FB" w:rsidRPr="00956EA3" w:rsidRDefault="002053FB" w:rsidP="009402CF">
      <w:pPr>
        <w:spacing w:line="259" w:lineRule="auto"/>
        <w:jc w:val="left"/>
        <w:rPr>
          <w:rFonts w:eastAsia="Calibri" w:cs="Arial"/>
          <w:szCs w:val="20"/>
        </w:rPr>
      </w:pPr>
    </w:p>
    <w:p w14:paraId="42C54DAE" w14:textId="77777777" w:rsidR="002053FB" w:rsidRPr="002053FB" w:rsidRDefault="002053FB" w:rsidP="009D675B">
      <w:pPr>
        <w:pStyle w:val="Heading1"/>
        <w:numPr>
          <w:ilvl w:val="0"/>
          <w:numId w:val="93"/>
        </w:numPr>
        <w:rPr>
          <w:rFonts w:eastAsia="Verdana" w:cs="Arial"/>
          <w:szCs w:val="20"/>
        </w:rPr>
      </w:pPr>
      <w:r w:rsidRPr="002053FB">
        <w:rPr>
          <w:rFonts w:eastAsia="Verdana" w:cs="Arial"/>
          <w:szCs w:val="20"/>
        </w:rPr>
        <w:t xml:space="preserve">DEFINITIONS </w:t>
      </w:r>
    </w:p>
    <w:p w14:paraId="2641D651" w14:textId="77777777" w:rsidR="002053FB" w:rsidRPr="00956EA3" w:rsidRDefault="002053FB" w:rsidP="002053FB">
      <w:pPr>
        <w:spacing w:after="8" w:line="249" w:lineRule="auto"/>
        <w:ind w:left="709" w:right="47" w:hanging="9"/>
        <w:rPr>
          <w:rFonts w:eastAsia="Verdana" w:cs="Arial"/>
          <w:szCs w:val="20"/>
        </w:rPr>
      </w:pPr>
      <w:r w:rsidRPr="00956EA3">
        <w:rPr>
          <w:rFonts w:eastAsia="Verdana" w:cs="Arial"/>
          <w:szCs w:val="20"/>
        </w:rPr>
        <w:t xml:space="preserve">In this Schedule, the following definitions shall apply: </w:t>
      </w:r>
    </w:p>
    <w:p w14:paraId="46C7AD8E" w14:textId="77777777" w:rsidR="002053FB" w:rsidRPr="00956EA3" w:rsidRDefault="002053FB" w:rsidP="009402CF">
      <w:pPr>
        <w:spacing w:after="8" w:line="249" w:lineRule="auto"/>
        <w:ind w:left="849" w:right="47" w:hanging="9"/>
        <w:rPr>
          <w:rFonts w:eastAsia="Calibri" w:cs="Arial"/>
          <w:szCs w:val="20"/>
        </w:rPr>
      </w:pPr>
    </w:p>
    <w:tbl>
      <w:tblPr>
        <w:tblStyle w:val="TableGrid"/>
        <w:tblW w:w="8483" w:type="dxa"/>
        <w:tblInd w:w="709" w:type="dxa"/>
        <w:tblLook w:val="04A0" w:firstRow="1" w:lastRow="0" w:firstColumn="1" w:lastColumn="0" w:noHBand="0" w:noVBand="1"/>
      </w:tblPr>
      <w:tblGrid>
        <w:gridCol w:w="2977"/>
        <w:gridCol w:w="5506"/>
      </w:tblGrid>
      <w:tr w:rsidR="002053FB" w:rsidRPr="00956EA3" w14:paraId="6FDFAEF8" w14:textId="77777777" w:rsidTr="002053FB">
        <w:trPr>
          <w:trHeight w:val="1447"/>
        </w:trPr>
        <w:tc>
          <w:tcPr>
            <w:tcW w:w="2977" w:type="dxa"/>
            <w:tcBorders>
              <w:top w:val="nil"/>
              <w:left w:val="nil"/>
              <w:bottom w:val="nil"/>
              <w:right w:val="nil"/>
            </w:tcBorders>
          </w:tcPr>
          <w:p w14:paraId="7559E90A" w14:textId="77777777" w:rsidR="002053FB" w:rsidRPr="00956EA3" w:rsidRDefault="002053FB" w:rsidP="002053FB">
            <w:pPr>
              <w:jc w:val="left"/>
              <w:rPr>
                <w:rFonts w:ascii="Arial" w:eastAsia="Calibri" w:hAnsi="Arial" w:cs="Arial"/>
                <w:color w:val="000000"/>
                <w:sz w:val="20"/>
                <w:szCs w:val="20"/>
              </w:rPr>
            </w:pPr>
            <w:r w:rsidRPr="00956EA3">
              <w:rPr>
                <w:rFonts w:ascii="Arial" w:eastAsia="Verdana" w:hAnsi="Arial" w:cs="Arial"/>
                <w:b/>
                <w:color w:val="000000"/>
                <w:sz w:val="20"/>
                <w:szCs w:val="20"/>
              </w:rPr>
              <w:t xml:space="preserve">“Former Supplier” </w:t>
            </w:r>
          </w:p>
        </w:tc>
        <w:tc>
          <w:tcPr>
            <w:tcW w:w="5506" w:type="dxa"/>
            <w:tcBorders>
              <w:top w:val="nil"/>
              <w:left w:val="nil"/>
              <w:bottom w:val="nil"/>
              <w:right w:val="nil"/>
            </w:tcBorders>
          </w:tcPr>
          <w:p w14:paraId="154E1747" w14:textId="01D3A17C" w:rsidR="002053FB" w:rsidRPr="00956EA3" w:rsidRDefault="002053FB" w:rsidP="002053FB">
            <w:pPr>
              <w:ind w:right="61" w:hanging="6"/>
              <w:rPr>
                <w:rFonts w:ascii="Arial" w:eastAsia="Calibri" w:hAnsi="Arial" w:cs="Arial"/>
                <w:color w:val="000000"/>
                <w:sz w:val="20"/>
                <w:szCs w:val="20"/>
              </w:rPr>
            </w:pPr>
            <w:r w:rsidRPr="00956EA3">
              <w:rPr>
                <w:rFonts w:ascii="Arial" w:eastAsia="Verdana" w:hAnsi="Arial" w:cs="Arial"/>
                <w:color w:val="000000"/>
                <w:sz w:val="20"/>
                <w:szCs w:val="20"/>
              </w:rPr>
              <w:t xml:space="preserve">a supplier supplying services to </w:t>
            </w:r>
            <w:proofErr w:type="spellStart"/>
            <w:r w:rsidR="001F1C19">
              <w:rPr>
                <w:rFonts w:ascii="Arial" w:eastAsia="Verdana" w:hAnsi="Arial" w:cs="Arial"/>
                <w:color w:val="000000"/>
                <w:sz w:val="20"/>
                <w:szCs w:val="20"/>
              </w:rPr>
              <w:t>Netlink</w:t>
            </w:r>
            <w:proofErr w:type="spellEnd"/>
            <w:r w:rsidR="001F1C19">
              <w:rPr>
                <w:rFonts w:ascii="Arial" w:eastAsia="Verdana" w:hAnsi="Arial" w:cs="Arial"/>
                <w:color w:val="000000"/>
                <w:sz w:val="20"/>
                <w:szCs w:val="20"/>
              </w:rPr>
              <w:t xml:space="preserve"> Star</w:t>
            </w:r>
            <w:r w:rsidRPr="00956EA3">
              <w:rPr>
                <w:rFonts w:ascii="Arial" w:eastAsia="Verdana" w:hAnsi="Arial" w:cs="Arial"/>
                <w:color w:val="000000"/>
                <w:sz w:val="20"/>
                <w:szCs w:val="20"/>
              </w:rPr>
              <w:t xml:space="preserve"> before the Relevant Transfer Date that are the same as or substantially </w:t>
            </w:r>
            <w:proofErr w:type="gramStart"/>
            <w:r w:rsidRPr="00956EA3">
              <w:rPr>
                <w:rFonts w:ascii="Arial" w:eastAsia="Verdana" w:hAnsi="Arial" w:cs="Arial"/>
                <w:color w:val="000000"/>
                <w:sz w:val="20"/>
                <w:szCs w:val="20"/>
              </w:rPr>
              <w:t>similar to</w:t>
            </w:r>
            <w:proofErr w:type="gramEnd"/>
            <w:r w:rsidRPr="00956EA3">
              <w:rPr>
                <w:rFonts w:ascii="Arial" w:eastAsia="Verdana" w:hAnsi="Arial" w:cs="Arial"/>
                <w:color w:val="000000"/>
                <w:sz w:val="20"/>
                <w:szCs w:val="20"/>
              </w:rPr>
              <w:t xml:space="preserve"> the Services (or any part of the Services) and shall include any sub-contractor of such supplier (or any sub-contractor of any such subcontractor); </w:t>
            </w:r>
          </w:p>
        </w:tc>
      </w:tr>
      <w:tr w:rsidR="002053FB" w:rsidRPr="00956EA3" w14:paraId="12B94B73" w14:textId="77777777" w:rsidTr="002053FB">
        <w:trPr>
          <w:trHeight w:val="896"/>
        </w:trPr>
        <w:tc>
          <w:tcPr>
            <w:tcW w:w="2977" w:type="dxa"/>
            <w:tcBorders>
              <w:top w:val="nil"/>
              <w:left w:val="nil"/>
              <w:bottom w:val="nil"/>
              <w:right w:val="nil"/>
            </w:tcBorders>
          </w:tcPr>
          <w:p w14:paraId="7348586D" w14:textId="77777777" w:rsidR="002053FB" w:rsidRPr="008D3C77" w:rsidRDefault="002053FB" w:rsidP="008D3C77">
            <w:pPr>
              <w:ind w:left="0" w:firstLine="0"/>
              <w:jc w:val="left"/>
              <w:rPr>
                <w:rFonts w:ascii="Arial" w:eastAsia="Verdana" w:hAnsi="Arial" w:cs="Arial"/>
                <w:b/>
                <w:color w:val="000000"/>
                <w:sz w:val="20"/>
                <w:szCs w:val="20"/>
              </w:rPr>
            </w:pPr>
            <w:r w:rsidRPr="00956EA3">
              <w:rPr>
                <w:rFonts w:ascii="Arial" w:eastAsia="Verdana" w:hAnsi="Arial" w:cs="Arial"/>
                <w:b/>
                <w:color w:val="000000"/>
                <w:sz w:val="20"/>
                <w:szCs w:val="20"/>
              </w:rPr>
              <w:t xml:space="preserve">“Notified Sub-contractor” </w:t>
            </w:r>
          </w:p>
        </w:tc>
        <w:tc>
          <w:tcPr>
            <w:tcW w:w="5506" w:type="dxa"/>
            <w:tcBorders>
              <w:top w:val="nil"/>
              <w:left w:val="nil"/>
              <w:bottom w:val="nil"/>
              <w:right w:val="nil"/>
            </w:tcBorders>
            <w:vAlign w:val="center"/>
          </w:tcPr>
          <w:p w14:paraId="39754303" w14:textId="77777777" w:rsidR="002053FB" w:rsidRPr="00956EA3" w:rsidRDefault="002053FB" w:rsidP="002053FB">
            <w:pPr>
              <w:spacing w:line="239" w:lineRule="auto"/>
              <w:ind w:hanging="6"/>
              <w:rPr>
                <w:rFonts w:ascii="Arial" w:eastAsia="Calibri" w:hAnsi="Arial" w:cs="Arial"/>
                <w:color w:val="000000"/>
                <w:sz w:val="20"/>
                <w:szCs w:val="20"/>
              </w:rPr>
            </w:pPr>
            <w:r w:rsidRPr="00956EA3">
              <w:rPr>
                <w:rFonts w:ascii="Arial" w:eastAsia="Verdana" w:hAnsi="Arial" w:cs="Arial"/>
                <w:color w:val="000000"/>
                <w:sz w:val="20"/>
                <w:szCs w:val="20"/>
              </w:rPr>
              <w:t xml:space="preserve">a Sub-contractor identified in the Annex to this Schedule to whom Transferring Former Supplier </w:t>
            </w:r>
          </w:p>
          <w:p w14:paraId="629895D7" w14:textId="77777777" w:rsidR="002053FB" w:rsidRPr="00956EA3" w:rsidRDefault="002053FB" w:rsidP="002053FB">
            <w:pPr>
              <w:ind w:hanging="6"/>
              <w:rPr>
                <w:rFonts w:ascii="Arial" w:eastAsia="Calibri" w:hAnsi="Arial" w:cs="Arial"/>
                <w:color w:val="000000"/>
                <w:sz w:val="20"/>
                <w:szCs w:val="20"/>
              </w:rPr>
            </w:pPr>
            <w:r w:rsidRPr="00956EA3">
              <w:rPr>
                <w:rFonts w:ascii="Arial" w:eastAsia="Verdana" w:hAnsi="Arial" w:cs="Arial"/>
                <w:color w:val="000000"/>
                <w:sz w:val="20"/>
                <w:szCs w:val="20"/>
              </w:rPr>
              <w:t xml:space="preserve">Employees will transfer on a Relevant Transfer Date; </w:t>
            </w:r>
          </w:p>
        </w:tc>
      </w:tr>
      <w:tr w:rsidR="002053FB" w:rsidRPr="00956EA3" w14:paraId="008ED435" w14:textId="77777777" w:rsidTr="002053FB">
        <w:trPr>
          <w:trHeight w:val="678"/>
        </w:trPr>
        <w:tc>
          <w:tcPr>
            <w:tcW w:w="2977" w:type="dxa"/>
            <w:tcBorders>
              <w:top w:val="nil"/>
              <w:left w:val="nil"/>
              <w:bottom w:val="nil"/>
              <w:right w:val="nil"/>
            </w:tcBorders>
          </w:tcPr>
          <w:p w14:paraId="6BB95DED" w14:textId="77777777" w:rsidR="002053FB" w:rsidRPr="008D3C77" w:rsidRDefault="002053FB" w:rsidP="008D3C77">
            <w:pPr>
              <w:ind w:left="0" w:firstLine="0"/>
              <w:jc w:val="left"/>
              <w:rPr>
                <w:rFonts w:ascii="Arial" w:eastAsia="Verdana" w:hAnsi="Arial" w:cs="Arial"/>
                <w:b/>
                <w:color w:val="000000"/>
                <w:sz w:val="20"/>
                <w:szCs w:val="20"/>
              </w:rPr>
            </w:pPr>
            <w:r w:rsidRPr="00956EA3">
              <w:rPr>
                <w:rFonts w:ascii="Arial" w:eastAsia="Verdana" w:hAnsi="Arial" w:cs="Arial"/>
                <w:b/>
                <w:color w:val="000000"/>
                <w:sz w:val="20"/>
                <w:szCs w:val="20"/>
              </w:rPr>
              <w:t xml:space="preserve">“Relevant Transfer” </w:t>
            </w:r>
          </w:p>
        </w:tc>
        <w:tc>
          <w:tcPr>
            <w:tcW w:w="5506" w:type="dxa"/>
            <w:tcBorders>
              <w:top w:val="nil"/>
              <w:left w:val="nil"/>
              <w:bottom w:val="nil"/>
              <w:right w:val="nil"/>
            </w:tcBorders>
            <w:vAlign w:val="center"/>
          </w:tcPr>
          <w:p w14:paraId="41554D9A" w14:textId="77777777" w:rsidR="002053FB" w:rsidRPr="00956EA3" w:rsidRDefault="002053FB" w:rsidP="002053FB">
            <w:pPr>
              <w:ind w:hanging="6"/>
              <w:rPr>
                <w:rFonts w:ascii="Arial" w:eastAsia="Calibri" w:hAnsi="Arial" w:cs="Arial"/>
                <w:color w:val="000000"/>
                <w:sz w:val="20"/>
                <w:szCs w:val="20"/>
              </w:rPr>
            </w:pPr>
            <w:r w:rsidRPr="00956EA3">
              <w:rPr>
                <w:rFonts w:ascii="Arial" w:eastAsia="Verdana" w:hAnsi="Arial" w:cs="Arial"/>
                <w:color w:val="000000"/>
                <w:sz w:val="20"/>
                <w:szCs w:val="20"/>
              </w:rPr>
              <w:t xml:space="preserve">a transfer of employment to which the Employment Regulations applies; </w:t>
            </w:r>
          </w:p>
        </w:tc>
      </w:tr>
      <w:tr w:rsidR="002053FB" w:rsidRPr="00956EA3" w14:paraId="6F021EBD" w14:textId="77777777" w:rsidTr="002053FB">
        <w:trPr>
          <w:trHeight w:val="678"/>
        </w:trPr>
        <w:tc>
          <w:tcPr>
            <w:tcW w:w="2977" w:type="dxa"/>
            <w:tcBorders>
              <w:top w:val="nil"/>
              <w:left w:val="nil"/>
              <w:bottom w:val="nil"/>
              <w:right w:val="nil"/>
            </w:tcBorders>
          </w:tcPr>
          <w:p w14:paraId="026F9EC5" w14:textId="77777777" w:rsidR="002053FB" w:rsidRPr="008D3C77" w:rsidRDefault="002053FB" w:rsidP="008D3C77">
            <w:pPr>
              <w:ind w:left="0" w:firstLine="0"/>
              <w:jc w:val="left"/>
              <w:rPr>
                <w:rFonts w:ascii="Arial" w:eastAsia="Verdana" w:hAnsi="Arial" w:cs="Arial"/>
                <w:b/>
                <w:color w:val="000000"/>
                <w:sz w:val="20"/>
                <w:szCs w:val="20"/>
              </w:rPr>
            </w:pPr>
            <w:r w:rsidRPr="00956EA3">
              <w:rPr>
                <w:rFonts w:ascii="Arial" w:eastAsia="Verdana" w:hAnsi="Arial" w:cs="Arial"/>
                <w:b/>
                <w:color w:val="000000"/>
                <w:sz w:val="20"/>
                <w:szCs w:val="20"/>
              </w:rPr>
              <w:t xml:space="preserve">“Relevant Transfer Date” </w:t>
            </w:r>
          </w:p>
        </w:tc>
        <w:tc>
          <w:tcPr>
            <w:tcW w:w="5506" w:type="dxa"/>
            <w:tcBorders>
              <w:top w:val="nil"/>
              <w:left w:val="nil"/>
              <w:bottom w:val="nil"/>
              <w:right w:val="nil"/>
            </w:tcBorders>
            <w:vAlign w:val="center"/>
          </w:tcPr>
          <w:p w14:paraId="0F2A90CF" w14:textId="77777777" w:rsidR="002053FB" w:rsidRPr="00956EA3" w:rsidRDefault="002053FB" w:rsidP="002053FB">
            <w:pPr>
              <w:ind w:hanging="6"/>
              <w:rPr>
                <w:rFonts w:ascii="Arial" w:eastAsia="Calibri" w:hAnsi="Arial" w:cs="Arial"/>
                <w:color w:val="000000"/>
                <w:sz w:val="20"/>
                <w:szCs w:val="20"/>
              </w:rPr>
            </w:pPr>
            <w:r w:rsidRPr="00956EA3">
              <w:rPr>
                <w:rFonts w:ascii="Arial" w:eastAsia="Verdana" w:hAnsi="Arial" w:cs="Arial"/>
                <w:color w:val="000000"/>
                <w:sz w:val="20"/>
                <w:szCs w:val="20"/>
              </w:rPr>
              <w:t xml:space="preserve">in relation to a Relevant Transfer, the date upon which the Relevant Transfer takes place; </w:t>
            </w:r>
          </w:p>
        </w:tc>
      </w:tr>
      <w:tr w:rsidR="008D3C77" w:rsidRPr="00956EA3" w14:paraId="5FEF5511" w14:textId="77777777" w:rsidTr="002053FB">
        <w:trPr>
          <w:trHeight w:val="1115"/>
        </w:trPr>
        <w:tc>
          <w:tcPr>
            <w:tcW w:w="2977" w:type="dxa"/>
            <w:tcBorders>
              <w:top w:val="nil"/>
              <w:left w:val="nil"/>
              <w:bottom w:val="nil"/>
              <w:right w:val="nil"/>
            </w:tcBorders>
          </w:tcPr>
          <w:p w14:paraId="36673104" w14:textId="77777777" w:rsidR="008D3C77" w:rsidRPr="008D3C77" w:rsidRDefault="008D3C77" w:rsidP="008D3C77">
            <w:pPr>
              <w:ind w:left="0" w:firstLine="0"/>
              <w:jc w:val="left"/>
              <w:rPr>
                <w:rFonts w:ascii="Arial" w:eastAsia="Verdana" w:hAnsi="Arial" w:cs="Arial"/>
                <w:b/>
                <w:color w:val="000000"/>
                <w:sz w:val="20"/>
                <w:szCs w:val="20"/>
              </w:rPr>
            </w:pPr>
            <w:r w:rsidRPr="00956EA3">
              <w:rPr>
                <w:rFonts w:ascii="Arial" w:eastAsia="Verdana" w:hAnsi="Arial" w:cs="Arial"/>
                <w:b/>
                <w:color w:val="000000"/>
                <w:sz w:val="20"/>
                <w:szCs w:val="20"/>
              </w:rPr>
              <w:t xml:space="preserve">“Replacement Sub-contractor” </w:t>
            </w:r>
          </w:p>
        </w:tc>
        <w:tc>
          <w:tcPr>
            <w:tcW w:w="5506" w:type="dxa"/>
            <w:tcBorders>
              <w:top w:val="nil"/>
              <w:left w:val="nil"/>
              <w:bottom w:val="nil"/>
              <w:right w:val="nil"/>
            </w:tcBorders>
            <w:vAlign w:val="center"/>
          </w:tcPr>
          <w:p w14:paraId="2FD02A31" w14:textId="77777777" w:rsidR="008D3C77" w:rsidRPr="00956EA3" w:rsidRDefault="008D3C77" w:rsidP="002053FB">
            <w:pPr>
              <w:ind w:right="61" w:hanging="6"/>
              <w:rPr>
                <w:rFonts w:ascii="Arial" w:eastAsia="Calibri" w:hAnsi="Arial" w:cs="Arial"/>
                <w:color w:val="000000"/>
                <w:sz w:val="20"/>
                <w:szCs w:val="20"/>
              </w:rPr>
            </w:pPr>
            <w:r w:rsidRPr="00956EA3">
              <w:rPr>
                <w:rFonts w:ascii="Arial" w:eastAsia="Verdana" w:hAnsi="Arial" w:cs="Arial"/>
                <w:color w:val="000000"/>
                <w:sz w:val="20"/>
                <w:szCs w:val="20"/>
              </w:rPr>
              <w:t xml:space="preserve">a sub-contractor of the Replacement Supplier to whom Transferring Supplier Employees will transfer on a Service Transfer Date (or any sub-contractor of any such subcontractor); </w:t>
            </w:r>
          </w:p>
        </w:tc>
      </w:tr>
      <w:tr w:rsidR="002053FB" w:rsidRPr="00956EA3" w14:paraId="27704633" w14:textId="77777777" w:rsidTr="002053FB">
        <w:trPr>
          <w:trHeight w:val="1114"/>
        </w:trPr>
        <w:tc>
          <w:tcPr>
            <w:tcW w:w="2977" w:type="dxa"/>
            <w:tcBorders>
              <w:top w:val="nil"/>
              <w:left w:val="nil"/>
              <w:bottom w:val="nil"/>
              <w:right w:val="nil"/>
            </w:tcBorders>
          </w:tcPr>
          <w:p w14:paraId="3F62196E" w14:textId="77777777" w:rsidR="002053FB" w:rsidRPr="008D3C77" w:rsidRDefault="002053FB" w:rsidP="008D3C77">
            <w:pPr>
              <w:ind w:left="0" w:firstLine="0"/>
              <w:jc w:val="left"/>
              <w:rPr>
                <w:rFonts w:ascii="Arial" w:eastAsia="Verdana" w:hAnsi="Arial" w:cs="Arial"/>
                <w:b/>
                <w:color w:val="000000"/>
                <w:sz w:val="20"/>
                <w:szCs w:val="20"/>
              </w:rPr>
            </w:pPr>
            <w:r w:rsidRPr="00956EA3">
              <w:rPr>
                <w:rFonts w:ascii="Arial" w:eastAsia="Verdana" w:hAnsi="Arial" w:cs="Arial"/>
                <w:b/>
                <w:color w:val="000000"/>
                <w:sz w:val="20"/>
                <w:szCs w:val="20"/>
              </w:rPr>
              <w:t xml:space="preserve">“Service Transfer” </w:t>
            </w:r>
          </w:p>
        </w:tc>
        <w:tc>
          <w:tcPr>
            <w:tcW w:w="5506" w:type="dxa"/>
            <w:tcBorders>
              <w:top w:val="nil"/>
              <w:left w:val="nil"/>
              <w:bottom w:val="nil"/>
              <w:right w:val="nil"/>
            </w:tcBorders>
            <w:vAlign w:val="center"/>
          </w:tcPr>
          <w:p w14:paraId="31766E3F" w14:textId="77777777" w:rsidR="002053FB" w:rsidRPr="00956EA3" w:rsidRDefault="002053FB" w:rsidP="002053FB">
            <w:pPr>
              <w:ind w:right="61" w:hanging="6"/>
              <w:rPr>
                <w:rFonts w:ascii="Arial" w:eastAsia="Calibri" w:hAnsi="Arial" w:cs="Arial"/>
                <w:color w:val="000000"/>
                <w:sz w:val="20"/>
                <w:szCs w:val="20"/>
              </w:rPr>
            </w:pPr>
            <w:r w:rsidRPr="00956EA3">
              <w:rPr>
                <w:rFonts w:ascii="Arial" w:eastAsia="Verdana" w:hAnsi="Arial" w:cs="Arial"/>
                <w:color w:val="000000"/>
                <w:sz w:val="20"/>
                <w:szCs w:val="20"/>
              </w:rPr>
              <w:t xml:space="preserve">any transfer of the Services (or any part of the Services), for whatever reason, from the Supplier or any Subcontractor to a Replacement Supplier or a Replacement Sub-contractor; </w:t>
            </w:r>
          </w:p>
        </w:tc>
      </w:tr>
      <w:tr w:rsidR="002053FB" w:rsidRPr="00956EA3" w14:paraId="5000AE09" w14:textId="77777777" w:rsidTr="002053FB">
        <w:trPr>
          <w:trHeight w:val="898"/>
        </w:trPr>
        <w:tc>
          <w:tcPr>
            <w:tcW w:w="2977" w:type="dxa"/>
            <w:tcBorders>
              <w:top w:val="nil"/>
              <w:left w:val="nil"/>
              <w:bottom w:val="nil"/>
              <w:right w:val="nil"/>
            </w:tcBorders>
          </w:tcPr>
          <w:p w14:paraId="1941C7CE" w14:textId="77777777" w:rsidR="002053FB" w:rsidRPr="008D3C77" w:rsidRDefault="002053FB" w:rsidP="008D3C77">
            <w:pPr>
              <w:ind w:left="0" w:firstLine="0"/>
              <w:jc w:val="left"/>
              <w:rPr>
                <w:rFonts w:ascii="Arial" w:eastAsia="Verdana" w:hAnsi="Arial" w:cs="Arial"/>
                <w:b/>
                <w:color w:val="000000"/>
                <w:sz w:val="20"/>
                <w:szCs w:val="20"/>
              </w:rPr>
            </w:pPr>
            <w:r w:rsidRPr="00956EA3">
              <w:rPr>
                <w:rFonts w:ascii="Arial" w:eastAsia="Verdana" w:hAnsi="Arial" w:cs="Arial"/>
                <w:b/>
                <w:color w:val="000000"/>
                <w:sz w:val="20"/>
                <w:szCs w:val="20"/>
              </w:rPr>
              <w:t xml:space="preserve">“Service Transfer Date” </w:t>
            </w:r>
          </w:p>
        </w:tc>
        <w:tc>
          <w:tcPr>
            <w:tcW w:w="5506" w:type="dxa"/>
            <w:tcBorders>
              <w:top w:val="nil"/>
              <w:left w:val="nil"/>
              <w:bottom w:val="nil"/>
              <w:right w:val="nil"/>
            </w:tcBorders>
            <w:vAlign w:val="center"/>
          </w:tcPr>
          <w:p w14:paraId="0B9AE2EF" w14:textId="77777777" w:rsidR="002053FB" w:rsidRPr="00956EA3" w:rsidRDefault="002053FB" w:rsidP="002053FB">
            <w:pPr>
              <w:ind w:right="63" w:hanging="6"/>
              <w:rPr>
                <w:rFonts w:ascii="Arial" w:eastAsia="Calibri" w:hAnsi="Arial" w:cs="Arial"/>
                <w:color w:val="000000"/>
                <w:sz w:val="20"/>
                <w:szCs w:val="20"/>
              </w:rPr>
            </w:pPr>
            <w:r w:rsidRPr="00956EA3">
              <w:rPr>
                <w:rFonts w:ascii="Arial" w:eastAsia="Verdana" w:hAnsi="Arial" w:cs="Arial"/>
                <w:color w:val="000000"/>
                <w:sz w:val="20"/>
                <w:szCs w:val="20"/>
              </w:rPr>
              <w:t xml:space="preserve">the date of a Service Transfer or, if more than one, the date of the relevant Service Transfer as the context requires; </w:t>
            </w:r>
          </w:p>
        </w:tc>
      </w:tr>
      <w:tr w:rsidR="002053FB" w:rsidRPr="00956EA3" w14:paraId="16F9363F" w14:textId="77777777" w:rsidTr="002053FB">
        <w:trPr>
          <w:trHeight w:val="1553"/>
        </w:trPr>
        <w:tc>
          <w:tcPr>
            <w:tcW w:w="2977" w:type="dxa"/>
            <w:tcBorders>
              <w:top w:val="nil"/>
              <w:left w:val="nil"/>
              <w:bottom w:val="nil"/>
              <w:right w:val="nil"/>
            </w:tcBorders>
          </w:tcPr>
          <w:p w14:paraId="4521667C" w14:textId="77777777" w:rsidR="002053FB" w:rsidRPr="008D3C77" w:rsidRDefault="002053FB" w:rsidP="008D3C77">
            <w:pPr>
              <w:ind w:left="0" w:firstLine="0"/>
              <w:jc w:val="left"/>
              <w:rPr>
                <w:rFonts w:ascii="Arial" w:eastAsia="Verdana" w:hAnsi="Arial" w:cs="Arial"/>
                <w:b/>
                <w:color w:val="000000"/>
                <w:sz w:val="20"/>
                <w:szCs w:val="20"/>
              </w:rPr>
            </w:pPr>
            <w:r w:rsidRPr="00956EA3">
              <w:rPr>
                <w:rFonts w:ascii="Arial" w:eastAsia="Verdana" w:hAnsi="Arial" w:cs="Arial"/>
                <w:b/>
                <w:color w:val="000000"/>
                <w:sz w:val="20"/>
                <w:szCs w:val="20"/>
              </w:rPr>
              <w:t xml:space="preserve">“Staffing Information” </w:t>
            </w:r>
          </w:p>
        </w:tc>
        <w:tc>
          <w:tcPr>
            <w:tcW w:w="5506" w:type="dxa"/>
            <w:tcBorders>
              <w:top w:val="nil"/>
              <w:left w:val="nil"/>
              <w:bottom w:val="nil"/>
              <w:right w:val="nil"/>
            </w:tcBorders>
            <w:vAlign w:val="center"/>
          </w:tcPr>
          <w:p w14:paraId="2D658D5F" w14:textId="2EE6B7F6" w:rsidR="002053FB" w:rsidRPr="00956EA3" w:rsidRDefault="002053FB" w:rsidP="002053FB">
            <w:pPr>
              <w:ind w:right="60" w:hanging="6"/>
              <w:rPr>
                <w:rFonts w:ascii="Arial" w:eastAsia="Verdana" w:hAnsi="Arial" w:cs="Arial"/>
                <w:color w:val="000000"/>
                <w:sz w:val="20"/>
                <w:szCs w:val="20"/>
              </w:rPr>
            </w:pPr>
            <w:r w:rsidRPr="00956EA3">
              <w:rPr>
                <w:rFonts w:ascii="Arial" w:eastAsia="Verdana" w:hAnsi="Arial" w:cs="Arial"/>
                <w:color w:val="000000"/>
                <w:sz w:val="20"/>
                <w:szCs w:val="20"/>
              </w:rPr>
              <w:t>in relation to all p</w:t>
            </w:r>
            <w:r w:rsidR="003B3007">
              <w:rPr>
                <w:rFonts w:ascii="Arial" w:eastAsia="Verdana" w:hAnsi="Arial" w:cs="Arial"/>
                <w:color w:val="000000"/>
                <w:sz w:val="20"/>
                <w:szCs w:val="20"/>
              </w:rPr>
              <w:t>e</w:t>
            </w:r>
            <w:r w:rsidRPr="00956EA3">
              <w:rPr>
                <w:rFonts w:ascii="Arial" w:eastAsia="Verdana" w:hAnsi="Arial" w:cs="Arial"/>
                <w:color w:val="000000"/>
                <w:sz w:val="20"/>
                <w:szCs w:val="20"/>
              </w:rPr>
              <w:t>rsons identified on the Supplier's Provisional Su</w:t>
            </w:r>
            <w:r w:rsidR="003B3007">
              <w:rPr>
                <w:rFonts w:ascii="Arial" w:eastAsia="Verdana" w:hAnsi="Arial" w:cs="Arial"/>
                <w:color w:val="000000"/>
                <w:sz w:val="20"/>
                <w:szCs w:val="20"/>
              </w:rPr>
              <w:t>p</w:t>
            </w:r>
            <w:r w:rsidRPr="00956EA3">
              <w:rPr>
                <w:rFonts w:ascii="Arial" w:eastAsia="Verdana" w:hAnsi="Arial" w:cs="Arial"/>
                <w:color w:val="000000"/>
                <w:sz w:val="20"/>
                <w:szCs w:val="20"/>
              </w:rPr>
              <w:t>plier Personnel List or Supplier's Final Supplier Personnel List</w:t>
            </w:r>
            <w:proofErr w:type="gramStart"/>
            <w:r w:rsidRPr="00956EA3">
              <w:rPr>
                <w:rFonts w:ascii="Arial" w:eastAsia="Verdana" w:hAnsi="Arial" w:cs="Arial"/>
                <w:color w:val="000000"/>
                <w:sz w:val="20"/>
                <w:szCs w:val="20"/>
              </w:rPr>
              <w:t>, as the case may be, such</w:t>
            </w:r>
            <w:proofErr w:type="gramEnd"/>
            <w:r w:rsidRPr="00956EA3">
              <w:rPr>
                <w:rFonts w:ascii="Arial" w:eastAsia="Verdana" w:hAnsi="Arial" w:cs="Arial"/>
                <w:color w:val="000000"/>
                <w:sz w:val="20"/>
                <w:szCs w:val="20"/>
              </w:rPr>
              <w:t xml:space="preserve"> information as </w:t>
            </w:r>
            <w:proofErr w:type="spellStart"/>
            <w:r w:rsidR="001F1C19">
              <w:rPr>
                <w:rFonts w:ascii="Arial" w:eastAsia="Verdana" w:hAnsi="Arial" w:cs="Arial"/>
                <w:color w:val="000000"/>
                <w:sz w:val="20"/>
                <w:szCs w:val="20"/>
              </w:rPr>
              <w:t>Netlink</w:t>
            </w:r>
            <w:proofErr w:type="spellEnd"/>
            <w:r w:rsidR="001F1C19">
              <w:rPr>
                <w:rFonts w:ascii="Arial" w:eastAsia="Verdana" w:hAnsi="Arial" w:cs="Arial"/>
                <w:color w:val="000000"/>
                <w:sz w:val="20"/>
                <w:szCs w:val="20"/>
              </w:rPr>
              <w:t xml:space="preserve"> Star</w:t>
            </w:r>
            <w:r w:rsidRPr="00956EA3">
              <w:rPr>
                <w:rFonts w:ascii="Arial" w:eastAsia="Verdana" w:hAnsi="Arial" w:cs="Arial"/>
                <w:color w:val="000000"/>
                <w:sz w:val="20"/>
                <w:szCs w:val="20"/>
              </w:rPr>
              <w:t xml:space="preserve"> may reasonably request (subject to all applicable provisions of Data Protection Legislation), but including in an anonymised format: </w:t>
            </w:r>
          </w:p>
          <w:p w14:paraId="2BED45B0" w14:textId="77777777" w:rsidR="002053FB" w:rsidRPr="00956EA3" w:rsidRDefault="002053FB" w:rsidP="002053FB">
            <w:pPr>
              <w:ind w:right="60" w:hanging="6"/>
              <w:rPr>
                <w:rFonts w:ascii="Arial" w:eastAsia="Verdana" w:hAnsi="Arial" w:cs="Arial"/>
                <w:color w:val="000000"/>
                <w:sz w:val="20"/>
                <w:szCs w:val="20"/>
              </w:rPr>
            </w:pPr>
          </w:p>
          <w:p w14:paraId="4897320D" w14:textId="77777777" w:rsidR="002053FB" w:rsidRPr="008D3C77" w:rsidRDefault="002053FB" w:rsidP="009D675B">
            <w:pPr>
              <w:pStyle w:val="ListParagraph"/>
              <w:numPr>
                <w:ilvl w:val="0"/>
                <w:numId w:val="92"/>
              </w:numPr>
              <w:spacing w:line="252" w:lineRule="auto"/>
              <w:ind w:left="1278" w:right="60" w:hanging="564"/>
              <w:jc w:val="left"/>
              <w:rPr>
                <w:rFonts w:ascii="Arial" w:eastAsia="Calibri" w:hAnsi="Arial" w:cs="Arial"/>
                <w:color w:val="000000"/>
                <w:sz w:val="20"/>
                <w:szCs w:val="20"/>
              </w:rPr>
            </w:pPr>
            <w:r w:rsidRPr="00956EA3">
              <w:rPr>
                <w:rFonts w:ascii="Arial" w:hAnsi="Arial" w:cs="Arial"/>
                <w:sz w:val="20"/>
                <w:szCs w:val="20"/>
              </w:rPr>
              <w:t xml:space="preserve">their ages, dates of commencement of employment </w:t>
            </w:r>
            <w:r w:rsidRPr="008D3C77">
              <w:rPr>
                <w:rFonts w:ascii="Arial" w:eastAsia="Calibri" w:hAnsi="Arial" w:cs="Arial"/>
                <w:color w:val="000000"/>
                <w:sz w:val="20"/>
                <w:szCs w:val="20"/>
              </w:rPr>
              <w:t xml:space="preserve">or engagement, gender and place of </w:t>
            </w:r>
            <w:proofErr w:type="gramStart"/>
            <w:r w:rsidRPr="008D3C77">
              <w:rPr>
                <w:rFonts w:ascii="Arial" w:eastAsia="Calibri" w:hAnsi="Arial" w:cs="Arial"/>
                <w:color w:val="000000"/>
                <w:sz w:val="20"/>
                <w:szCs w:val="20"/>
              </w:rPr>
              <w:t>work;</w:t>
            </w:r>
            <w:proofErr w:type="gramEnd"/>
            <w:r w:rsidRPr="008D3C77">
              <w:rPr>
                <w:rFonts w:ascii="Arial" w:eastAsia="Calibri" w:hAnsi="Arial" w:cs="Arial"/>
                <w:color w:val="000000"/>
                <w:sz w:val="20"/>
                <w:szCs w:val="20"/>
              </w:rPr>
              <w:t xml:space="preserve"> </w:t>
            </w:r>
          </w:p>
          <w:p w14:paraId="6B67F0A4" w14:textId="0B36904B" w:rsidR="002053FB" w:rsidRPr="00956EA3" w:rsidRDefault="002053FB" w:rsidP="009D675B">
            <w:pPr>
              <w:pStyle w:val="ListParagraph"/>
              <w:numPr>
                <w:ilvl w:val="0"/>
                <w:numId w:val="92"/>
              </w:numPr>
              <w:spacing w:line="252" w:lineRule="auto"/>
              <w:ind w:left="1278" w:right="60" w:hanging="564"/>
              <w:jc w:val="left"/>
              <w:rPr>
                <w:rFonts w:ascii="Arial" w:eastAsia="Calibri" w:hAnsi="Arial" w:cs="Arial"/>
                <w:color w:val="000000"/>
                <w:sz w:val="20"/>
                <w:szCs w:val="20"/>
              </w:rPr>
            </w:pPr>
            <w:r w:rsidRPr="00956EA3">
              <w:rPr>
                <w:rFonts w:ascii="Arial" w:eastAsia="Calibri" w:hAnsi="Arial" w:cs="Arial"/>
                <w:color w:val="000000"/>
                <w:sz w:val="20"/>
                <w:szCs w:val="20"/>
              </w:rPr>
              <w:t xml:space="preserve">details of whether they are employed, self-employed contractors or consultants, agency workers or </w:t>
            </w:r>
            <w:proofErr w:type="gramStart"/>
            <w:r w:rsidRPr="00956EA3">
              <w:rPr>
                <w:rFonts w:ascii="Arial" w:eastAsia="Calibri" w:hAnsi="Arial" w:cs="Arial"/>
                <w:color w:val="000000"/>
                <w:sz w:val="20"/>
                <w:szCs w:val="20"/>
              </w:rPr>
              <w:t>otherwise;</w:t>
            </w:r>
            <w:proofErr w:type="gramEnd"/>
            <w:r w:rsidRPr="00956EA3">
              <w:rPr>
                <w:rFonts w:ascii="Arial" w:eastAsia="Calibri" w:hAnsi="Arial" w:cs="Arial"/>
                <w:color w:val="000000"/>
                <w:sz w:val="20"/>
                <w:szCs w:val="20"/>
              </w:rPr>
              <w:t xml:space="preserve"> </w:t>
            </w:r>
          </w:p>
          <w:p w14:paraId="0D87AE34" w14:textId="77777777" w:rsidR="002053FB" w:rsidRPr="00956EA3" w:rsidRDefault="002053FB" w:rsidP="009D675B">
            <w:pPr>
              <w:pStyle w:val="ListParagraph"/>
              <w:numPr>
                <w:ilvl w:val="0"/>
                <w:numId w:val="92"/>
              </w:numPr>
              <w:spacing w:line="252" w:lineRule="auto"/>
              <w:ind w:left="1278" w:right="60" w:hanging="564"/>
              <w:jc w:val="left"/>
              <w:rPr>
                <w:rFonts w:ascii="Arial" w:eastAsia="Calibri" w:hAnsi="Arial" w:cs="Arial"/>
                <w:color w:val="000000"/>
                <w:sz w:val="20"/>
                <w:szCs w:val="20"/>
              </w:rPr>
            </w:pPr>
            <w:r w:rsidRPr="00956EA3">
              <w:rPr>
                <w:rFonts w:ascii="Arial" w:eastAsia="Calibri" w:hAnsi="Arial" w:cs="Arial"/>
                <w:color w:val="000000"/>
                <w:sz w:val="20"/>
                <w:szCs w:val="20"/>
              </w:rPr>
              <w:t xml:space="preserve">the identity of the employer or relevant contracting </w:t>
            </w:r>
            <w:proofErr w:type="gramStart"/>
            <w:r w:rsidRPr="00956EA3">
              <w:rPr>
                <w:rFonts w:ascii="Arial" w:eastAsia="Calibri" w:hAnsi="Arial" w:cs="Arial"/>
                <w:color w:val="000000"/>
                <w:sz w:val="20"/>
                <w:szCs w:val="20"/>
              </w:rPr>
              <w:t>Party;</w:t>
            </w:r>
            <w:proofErr w:type="gramEnd"/>
            <w:r w:rsidRPr="00956EA3">
              <w:rPr>
                <w:rFonts w:ascii="Arial" w:eastAsia="Calibri" w:hAnsi="Arial" w:cs="Arial"/>
                <w:color w:val="000000"/>
                <w:sz w:val="20"/>
                <w:szCs w:val="20"/>
              </w:rPr>
              <w:t xml:space="preserve"> </w:t>
            </w:r>
          </w:p>
          <w:p w14:paraId="2932C6A7" w14:textId="77777777" w:rsidR="002053FB" w:rsidRPr="00956EA3" w:rsidRDefault="002053FB" w:rsidP="009D675B">
            <w:pPr>
              <w:pStyle w:val="ListParagraph"/>
              <w:numPr>
                <w:ilvl w:val="0"/>
                <w:numId w:val="92"/>
              </w:numPr>
              <w:spacing w:line="252" w:lineRule="auto"/>
              <w:ind w:left="1278" w:right="60" w:hanging="564"/>
              <w:jc w:val="left"/>
              <w:rPr>
                <w:rFonts w:ascii="Arial" w:eastAsia="Calibri" w:hAnsi="Arial" w:cs="Arial"/>
                <w:color w:val="000000"/>
                <w:sz w:val="20"/>
                <w:szCs w:val="20"/>
              </w:rPr>
            </w:pPr>
            <w:r w:rsidRPr="00956EA3">
              <w:rPr>
                <w:rFonts w:ascii="Arial" w:eastAsia="Calibri" w:hAnsi="Arial" w:cs="Arial"/>
                <w:color w:val="000000"/>
                <w:sz w:val="20"/>
                <w:szCs w:val="20"/>
              </w:rPr>
              <w:t xml:space="preserve">their relevant contractual notice periods and any other terms relating to termination of employment, </w:t>
            </w:r>
            <w:r w:rsidRPr="00956EA3">
              <w:rPr>
                <w:rFonts w:ascii="Arial" w:eastAsia="Calibri" w:hAnsi="Arial" w:cs="Arial"/>
                <w:color w:val="000000"/>
                <w:sz w:val="20"/>
                <w:szCs w:val="20"/>
              </w:rPr>
              <w:tab/>
              <w:t xml:space="preserve">including redundancy procedures, and redundancy </w:t>
            </w:r>
            <w:proofErr w:type="gramStart"/>
            <w:r w:rsidRPr="00956EA3">
              <w:rPr>
                <w:rFonts w:ascii="Arial" w:eastAsia="Calibri" w:hAnsi="Arial" w:cs="Arial"/>
                <w:color w:val="000000"/>
                <w:sz w:val="20"/>
                <w:szCs w:val="20"/>
              </w:rPr>
              <w:t>payments;</w:t>
            </w:r>
            <w:proofErr w:type="gramEnd"/>
            <w:r w:rsidRPr="00956EA3">
              <w:rPr>
                <w:rFonts w:ascii="Arial" w:eastAsia="Calibri" w:hAnsi="Arial" w:cs="Arial"/>
                <w:color w:val="000000"/>
                <w:sz w:val="20"/>
                <w:szCs w:val="20"/>
              </w:rPr>
              <w:t xml:space="preserve"> </w:t>
            </w:r>
          </w:p>
          <w:p w14:paraId="1BFBAC44" w14:textId="77777777" w:rsidR="002053FB" w:rsidRPr="00956EA3" w:rsidRDefault="002053FB" w:rsidP="009D675B">
            <w:pPr>
              <w:pStyle w:val="ListParagraph"/>
              <w:numPr>
                <w:ilvl w:val="0"/>
                <w:numId w:val="92"/>
              </w:numPr>
              <w:spacing w:line="252" w:lineRule="auto"/>
              <w:ind w:left="1278" w:right="60" w:hanging="564"/>
              <w:jc w:val="left"/>
              <w:rPr>
                <w:rFonts w:ascii="Arial" w:eastAsia="Calibri" w:hAnsi="Arial" w:cs="Arial"/>
                <w:color w:val="000000"/>
                <w:sz w:val="20"/>
                <w:szCs w:val="20"/>
              </w:rPr>
            </w:pPr>
            <w:r w:rsidRPr="00956EA3">
              <w:rPr>
                <w:rFonts w:ascii="Arial" w:eastAsia="Calibri" w:hAnsi="Arial" w:cs="Arial"/>
                <w:color w:val="000000"/>
                <w:sz w:val="20"/>
                <w:szCs w:val="20"/>
              </w:rPr>
              <w:lastRenderedPageBreak/>
              <w:t xml:space="preserve">their wages, salaries, bonuses and </w:t>
            </w:r>
            <w:proofErr w:type="gramStart"/>
            <w:r w:rsidRPr="00956EA3">
              <w:rPr>
                <w:rFonts w:ascii="Arial" w:eastAsia="Calibri" w:hAnsi="Arial" w:cs="Arial"/>
                <w:color w:val="000000"/>
                <w:sz w:val="20"/>
                <w:szCs w:val="20"/>
              </w:rPr>
              <w:t>profit sharing</w:t>
            </w:r>
            <w:proofErr w:type="gramEnd"/>
            <w:r w:rsidRPr="00956EA3">
              <w:rPr>
                <w:rFonts w:ascii="Arial" w:eastAsia="Calibri" w:hAnsi="Arial" w:cs="Arial"/>
                <w:color w:val="000000"/>
                <w:sz w:val="20"/>
                <w:szCs w:val="20"/>
              </w:rPr>
              <w:t xml:space="preserve"> arrangements as applicable; </w:t>
            </w:r>
          </w:p>
          <w:p w14:paraId="210C7E01" w14:textId="77777777" w:rsidR="002053FB" w:rsidRPr="00956EA3" w:rsidRDefault="002053FB" w:rsidP="009D675B">
            <w:pPr>
              <w:pStyle w:val="ListParagraph"/>
              <w:numPr>
                <w:ilvl w:val="0"/>
                <w:numId w:val="92"/>
              </w:numPr>
              <w:spacing w:line="252" w:lineRule="auto"/>
              <w:ind w:left="1278" w:right="60" w:hanging="564"/>
              <w:jc w:val="left"/>
              <w:rPr>
                <w:rFonts w:ascii="Arial" w:eastAsia="Calibri" w:hAnsi="Arial" w:cs="Arial"/>
                <w:color w:val="000000"/>
                <w:sz w:val="20"/>
                <w:szCs w:val="20"/>
              </w:rPr>
            </w:pPr>
            <w:r w:rsidRPr="00956EA3">
              <w:rPr>
                <w:rFonts w:ascii="Arial" w:eastAsia="Calibri" w:hAnsi="Arial" w:cs="Arial"/>
                <w:color w:val="000000"/>
                <w:sz w:val="20"/>
                <w:szCs w:val="20"/>
              </w:rPr>
              <w:t xml:space="preserve">details of other employment-related benefits, including (without limitation) medical insurance, life assurance, pension or other retirement benefit schemes, share option schemes and company car schedules applicable to </w:t>
            </w:r>
            <w:proofErr w:type="gramStart"/>
            <w:r w:rsidRPr="00956EA3">
              <w:rPr>
                <w:rFonts w:ascii="Arial" w:eastAsia="Calibri" w:hAnsi="Arial" w:cs="Arial"/>
                <w:color w:val="000000"/>
                <w:sz w:val="20"/>
                <w:szCs w:val="20"/>
              </w:rPr>
              <w:t>them;</w:t>
            </w:r>
            <w:proofErr w:type="gramEnd"/>
            <w:r w:rsidRPr="00956EA3">
              <w:rPr>
                <w:rFonts w:ascii="Arial" w:eastAsia="Calibri" w:hAnsi="Arial" w:cs="Arial"/>
                <w:color w:val="000000"/>
                <w:sz w:val="20"/>
                <w:szCs w:val="20"/>
              </w:rPr>
              <w:t xml:space="preserve"> </w:t>
            </w:r>
          </w:p>
          <w:p w14:paraId="774AA2E8" w14:textId="77777777" w:rsidR="002053FB" w:rsidRPr="00956EA3" w:rsidRDefault="002053FB" w:rsidP="009D675B">
            <w:pPr>
              <w:pStyle w:val="ListParagraph"/>
              <w:numPr>
                <w:ilvl w:val="0"/>
                <w:numId w:val="92"/>
              </w:numPr>
              <w:spacing w:line="252" w:lineRule="auto"/>
              <w:ind w:left="1278" w:right="60" w:hanging="564"/>
              <w:jc w:val="left"/>
              <w:rPr>
                <w:rFonts w:ascii="Arial" w:eastAsia="Calibri" w:hAnsi="Arial" w:cs="Arial"/>
                <w:color w:val="000000"/>
                <w:sz w:val="20"/>
                <w:szCs w:val="20"/>
              </w:rPr>
            </w:pPr>
            <w:r w:rsidRPr="00956EA3">
              <w:rPr>
                <w:rFonts w:ascii="Arial" w:eastAsia="Calibri" w:hAnsi="Arial" w:cs="Arial"/>
                <w:color w:val="000000"/>
                <w:sz w:val="20"/>
                <w:szCs w:val="20"/>
              </w:rPr>
              <w:t>any outstanding or potential contractual, statutory or other liabilities in respect of such individuals (including in respect of personal injury claims</w:t>
            </w:r>
            <w:proofErr w:type="gramStart"/>
            <w:r w:rsidRPr="00956EA3">
              <w:rPr>
                <w:rFonts w:ascii="Arial" w:eastAsia="Calibri" w:hAnsi="Arial" w:cs="Arial"/>
                <w:color w:val="000000"/>
                <w:sz w:val="20"/>
                <w:szCs w:val="20"/>
              </w:rPr>
              <w:t>);</w:t>
            </w:r>
            <w:proofErr w:type="gramEnd"/>
            <w:r w:rsidRPr="00956EA3">
              <w:rPr>
                <w:rFonts w:ascii="Arial" w:eastAsia="Calibri" w:hAnsi="Arial" w:cs="Arial"/>
                <w:color w:val="000000"/>
                <w:sz w:val="20"/>
                <w:szCs w:val="20"/>
              </w:rPr>
              <w:t xml:space="preserve"> </w:t>
            </w:r>
          </w:p>
          <w:p w14:paraId="0558A77B" w14:textId="77777777" w:rsidR="002053FB" w:rsidRPr="00956EA3" w:rsidRDefault="002053FB" w:rsidP="009D675B">
            <w:pPr>
              <w:pStyle w:val="ListParagraph"/>
              <w:numPr>
                <w:ilvl w:val="0"/>
                <w:numId w:val="92"/>
              </w:numPr>
              <w:spacing w:line="252" w:lineRule="auto"/>
              <w:ind w:left="1278" w:right="60" w:hanging="564"/>
              <w:jc w:val="left"/>
              <w:rPr>
                <w:rFonts w:ascii="Arial" w:eastAsia="Calibri" w:hAnsi="Arial" w:cs="Arial"/>
                <w:color w:val="000000"/>
                <w:sz w:val="20"/>
                <w:szCs w:val="20"/>
              </w:rPr>
            </w:pPr>
            <w:r w:rsidRPr="00956EA3">
              <w:rPr>
                <w:rFonts w:ascii="Arial" w:eastAsia="Calibri" w:hAnsi="Arial" w:cs="Arial"/>
                <w:color w:val="000000"/>
                <w:sz w:val="20"/>
                <w:szCs w:val="20"/>
              </w:rPr>
              <w:t xml:space="preserve">details of any such individuals on long term sickness absence, parental leave, maternity leave or other authorised long term </w:t>
            </w:r>
            <w:proofErr w:type="gramStart"/>
            <w:r w:rsidRPr="00956EA3">
              <w:rPr>
                <w:rFonts w:ascii="Arial" w:eastAsia="Calibri" w:hAnsi="Arial" w:cs="Arial"/>
                <w:color w:val="000000"/>
                <w:sz w:val="20"/>
                <w:szCs w:val="20"/>
              </w:rPr>
              <w:t>absence;</w:t>
            </w:r>
            <w:proofErr w:type="gramEnd"/>
            <w:r w:rsidRPr="00956EA3">
              <w:rPr>
                <w:rFonts w:ascii="Arial" w:eastAsia="Calibri" w:hAnsi="Arial" w:cs="Arial"/>
                <w:color w:val="000000"/>
                <w:sz w:val="20"/>
                <w:szCs w:val="20"/>
              </w:rPr>
              <w:t xml:space="preserve"> </w:t>
            </w:r>
          </w:p>
          <w:p w14:paraId="351DBD47" w14:textId="77777777" w:rsidR="002053FB" w:rsidRPr="00956EA3" w:rsidRDefault="002053FB" w:rsidP="009D675B">
            <w:pPr>
              <w:pStyle w:val="ListParagraph"/>
              <w:numPr>
                <w:ilvl w:val="0"/>
                <w:numId w:val="92"/>
              </w:numPr>
              <w:spacing w:line="252" w:lineRule="auto"/>
              <w:ind w:left="1278" w:right="60" w:hanging="564"/>
              <w:jc w:val="left"/>
              <w:rPr>
                <w:rFonts w:ascii="Arial" w:eastAsia="Calibri" w:hAnsi="Arial" w:cs="Arial"/>
                <w:color w:val="000000"/>
                <w:sz w:val="20"/>
                <w:szCs w:val="20"/>
              </w:rPr>
            </w:pPr>
            <w:r w:rsidRPr="00956EA3">
              <w:rPr>
                <w:rFonts w:ascii="Arial" w:eastAsia="Calibri" w:hAnsi="Arial" w:cs="Arial"/>
                <w:color w:val="000000"/>
                <w:sz w:val="20"/>
                <w:szCs w:val="20"/>
              </w:rPr>
              <w:t xml:space="preserve">copies of all relevant documents and materials relating to such information, including copies of relevant contracts of employment (or relevant standard contracts if applied generally in respect of such employees); and </w:t>
            </w:r>
          </w:p>
          <w:p w14:paraId="50F30AFC" w14:textId="77777777" w:rsidR="002053FB" w:rsidRPr="00956EA3" w:rsidRDefault="002053FB" w:rsidP="009D675B">
            <w:pPr>
              <w:pStyle w:val="ListParagraph"/>
              <w:numPr>
                <w:ilvl w:val="0"/>
                <w:numId w:val="92"/>
              </w:numPr>
              <w:spacing w:line="252" w:lineRule="auto"/>
              <w:ind w:left="1278" w:right="60" w:hanging="564"/>
              <w:jc w:val="left"/>
              <w:rPr>
                <w:rFonts w:ascii="Arial" w:eastAsia="Calibri" w:hAnsi="Arial" w:cs="Arial"/>
                <w:color w:val="000000"/>
                <w:sz w:val="20"/>
                <w:szCs w:val="20"/>
              </w:rPr>
            </w:pPr>
            <w:r w:rsidRPr="00956EA3">
              <w:rPr>
                <w:rFonts w:ascii="Arial" w:eastAsia="Calibri" w:hAnsi="Arial" w:cs="Arial"/>
                <w:color w:val="000000"/>
                <w:sz w:val="20"/>
                <w:szCs w:val="20"/>
              </w:rPr>
              <w:t>any other “employee liability information” as such term is defined in regulation 11 of the Employment Regulations;</w:t>
            </w:r>
          </w:p>
        </w:tc>
      </w:tr>
      <w:tr w:rsidR="002053FB" w:rsidRPr="00956EA3" w14:paraId="678E2060" w14:textId="77777777" w:rsidTr="002053FB">
        <w:trPr>
          <w:trHeight w:val="790"/>
        </w:trPr>
        <w:tc>
          <w:tcPr>
            <w:tcW w:w="2977" w:type="dxa"/>
            <w:tcBorders>
              <w:top w:val="nil"/>
              <w:left w:val="nil"/>
              <w:bottom w:val="nil"/>
              <w:right w:val="nil"/>
            </w:tcBorders>
          </w:tcPr>
          <w:p w14:paraId="0FA1F1F2" w14:textId="7E74E7DB" w:rsidR="002053FB" w:rsidRPr="00956EA3" w:rsidRDefault="002053FB" w:rsidP="008D3C77">
            <w:pPr>
              <w:ind w:left="0" w:firstLine="0"/>
              <w:jc w:val="left"/>
              <w:rPr>
                <w:rFonts w:ascii="Arial" w:eastAsia="Calibri" w:hAnsi="Arial" w:cs="Arial"/>
                <w:color w:val="000000"/>
                <w:sz w:val="20"/>
                <w:szCs w:val="20"/>
              </w:rPr>
            </w:pPr>
            <w:r w:rsidRPr="00956EA3">
              <w:rPr>
                <w:rFonts w:ascii="Arial" w:eastAsia="Verdana" w:hAnsi="Arial" w:cs="Arial"/>
                <w:b/>
                <w:color w:val="000000"/>
                <w:sz w:val="20"/>
                <w:szCs w:val="20"/>
              </w:rPr>
              <w:lastRenderedPageBreak/>
              <w:t xml:space="preserve">“Supplier’s Final Supplier Personnel List” </w:t>
            </w:r>
          </w:p>
        </w:tc>
        <w:tc>
          <w:tcPr>
            <w:tcW w:w="5506" w:type="dxa"/>
            <w:tcBorders>
              <w:top w:val="nil"/>
              <w:left w:val="nil"/>
              <w:bottom w:val="nil"/>
              <w:right w:val="nil"/>
            </w:tcBorders>
          </w:tcPr>
          <w:p w14:paraId="52CB97DF" w14:textId="77777777" w:rsidR="002053FB" w:rsidRPr="00956EA3" w:rsidRDefault="002053FB" w:rsidP="002053FB">
            <w:pPr>
              <w:ind w:right="62" w:hanging="6"/>
              <w:rPr>
                <w:rFonts w:ascii="Arial" w:eastAsia="Calibri" w:hAnsi="Arial" w:cs="Arial"/>
                <w:color w:val="000000"/>
                <w:sz w:val="20"/>
                <w:szCs w:val="20"/>
              </w:rPr>
            </w:pPr>
            <w:r w:rsidRPr="00956EA3">
              <w:rPr>
                <w:rFonts w:ascii="Arial" w:eastAsia="Verdana" w:hAnsi="Arial" w:cs="Arial"/>
                <w:color w:val="000000"/>
                <w:sz w:val="20"/>
                <w:szCs w:val="20"/>
              </w:rPr>
              <w:t xml:space="preserve">a list provided by the Supplier of all Supplier Personnel who will transfer under the Employment Regulations on the Service Transfer Date; </w:t>
            </w:r>
          </w:p>
        </w:tc>
      </w:tr>
      <w:tr w:rsidR="002053FB" w:rsidRPr="00956EA3" w14:paraId="60D2E941" w14:textId="77777777" w:rsidTr="002053FB">
        <w:trPr>
          <w:trHeight w:val="1553"/>
        </w:trPr>
        <w:tc>
          <w:tcPr>
            <w:tcW w:w="2977" w:type="dxa"/>
            <w:tcBorders>
              <w:top w:val="nil"/>
              <w:left w:val="nil"/>
              <w:bottom w:val="nil"/>
              <w:right w:val="nil"/>
            </w:tcBorders>
          </w:tcPr>
          <w:p w14:paraId="1B826646" w14:textId="48A942AD" w:rsidR="002053FB" w:rsidRPr="00956EA3" w:rsidRDefault="002053FB" w:rsidP="008D3C77">
            <w:pPr>
              <w:ind w:left="0" w:firstLine="0"/>
              <w:jc w:val="left"/>
              <w:rPr>
                <w:rFonts w:ascii="Arial" w:eastAsia="Calibri" w:hAnsi="Arial" w:cs="Arial"/>
                <w:color w:val="000000"/>
                <w:sz w:val="20"/>
                <w:szCs w:val="20"/>
              </w:rPr>
            </w:pPr>
            <w:r w:rsidRPr="00956EA3">
              <w:rPr>
                <w:rFonts w:ascii="Arial" w:eastAsia="Verdana" w:hAnsi="Arial" w:cs="Arial"/>
                <w:b/>
                <w:color w:val="000000"/>
                <w:sz w:val="20"/>
                <w:szCs w:val="20"/>
              </w:rPr>
              <w:t>“Supplier’s Provisional</w:t>
            </w:r>
            <w:r w:rsidR="008D3C77">
              <w:rPr>
                <w:rFonts w:ascii="Arial" w:eastAsia="Verdana" w:hAnsi="Arial" w:cs="Arial"/>
                <w:b/>
                <w:color w:val="000000"/>
                <w:sz w:val="20"/>
                <w:szCs w:val="20"/>
              </w:rPr>
              <w:t xml:space="preserve"> </w:t>
            </w:r>
            <w:r w:rsidRPr="00956EA3">
              <w:rPr>
                <w:rFonts w:ascii="Arial" w:eastAsia="Verdana" w:hAnsi="Arial" w:cs="Arial"/>
                <w:b/>
                <w:color w:val="000000"/>
                <w:sz w:val="20"/>
                <w:szCs w:val="20"/>
              </w:rPr>
              <w:t xml:space="preserve">Supplier Personnel List” </w:t>
            </w:r>
          </w:p>
        </w:tc>
        <w:tc>
          <w:tcPr>
            <w:tcW w:w="5506" w:type="dxa"/>
            <w:tcBorders>
              <w:top w:val="nil"/>
              <w:left w:val="nil"/>
              <w:bottom w:val="nil"/>
              <w:right w:val="nil"/>
            </w:tcBorders>
            <w:vAlign w:val="center"/>
          </w:tcPr>
          <w:p w14:paraId="749A5C46" w14:textId="77777777" w:rsidR="002053FB" w:rsidRPr="00956EA3" w:rsidRDefault="002053FB" w:rsidP="002053FB">
            <w:pPr>
              <w:ind w:right="62" w:hanging="6"/>
              <w:rPr>
                <w:rFonts w:ascii="Arial" w:eastAsia="Calibri" w:hAnsi="Arial" w:cs="Arial"/>
                <w:color w:val="000000"/>
                <w:sz w:val="20"/>
                <w:szCs w:val="20"/>
              </w:rPr>
            </w:pPr>
            <w:r w:rsidRPr="00956EA3">
              <w:rPr>
                <w:rFonts w:ascii="Arial" w:eastAsia="Verdana" w:hAnsi="Arial" w:cs="Arial"/>
                <w:color w:val="000000"/>
                <w:sz w:val="20"/>
                <w:szCs w:val="20"/>
              </w:rPr>
              <w:t xml:space="preserve">a list prepared and updated by the Supplier of all Supplier Personnel who are at the date of the list wholly or mainly engaged in or assigned to the provision of the Services or any relevant part of the Services which it is envisaged as at the date of such list will no longer be provided by the Supplier; </w:t>
            </w:r>
          </w:p>
        </w:tc>
      </w:tr>
      <w:tr w:rsidR="002053FB" w:rsidRPr="00956EA3" w14:paraId="758F982F" w14:textId="77777777" w:rsidTr="002053FB">
        <w:trPr>
          <w:trHeight w:val="895"/>
        </w:trPr>
        <w:tc>
          <w:tcPr>
            <w:tcW w:w="2977" w:type="dxa"/>
            <w:tcBorders>
              <w:top w:val="nil"/>
              <w:left w:val="nil"/>
              <w:bottom w:val="nil"/>
              <w:right w:val="nil"/>
            </w:tcBorders>
          </w:tcPr>
          <w:p w14:paraId="646E455B" w14:textId="7B767778" w:rsidR="002053FB" w:rsidRPr="00956EA3" w:rsidRDefault="002053FB" w:rsidP="008D3C77">
            <w:pPr>
              <w:ind w:left="0" w:firstLine="0"/>
              <w:jc w:val="left"/>
              <w:rPr>
                <w:rFonts w:ascii="Arial" w:eastAsia="Calibri" w:hAnsi="Arial" w:cs="Arial"/>
                <w:color w:val="000000"/>
                <w:sz w:val="20"/>
                <w:szCs w:val="20"/>
              </w:rPr>
            </w:pPr>
            <w:r w:rsidRPr="00956EA3">
              <w:rPr>
                <w:rFonts w:ascii="Arial" w:eastAsia="Verdana" w:hAnsi="Arial" w:cs="Arial"/>
                <w:b/>
                <w:color w:val="000000"/>
                <w:sz w:val="20"/>
                <w:szCs w:val="20"/>
              </w:rPr>
              <w:t>“Transferring Former Supplier</w:t>
            </w:r>
            <w:r w:rsidR="008D3C77">
              <w:rPr>
                <w:rFonts w:ascii="Arial" w:eastAsia="Verdana" w:hAnsi="Arial" w:cs="Arial"/>
                <w:b/>
                <w:color w:val="000000"/>
                <w:sz w:val="20"/>
                <w:szCs w:val="20"/>
              </w:rPr>
              <w:t xml:space="preserve"> </w:t>
            </w:r>
            <w:r w:rsidRPr="00956EA3">
              <w:rPr>
                <w:rFonts w:ascii="Arial" w:eastAsia="Verdana" w:hAnsi="Arial" w:cs="Arial"/>
                <w:b/>
                <w:color w:val="000000"/>
                <w:sz w:val="20"/>
                <w:szCs w:val="20"/>
              </w:rPr>
              <w:t xml:space="preserve">Employees” </w:t>
            </w:r>
          </w:p>
        </w:tc>
        <w:tc>
          <w:tcPr>
            <w:tcW w:w="5506" w:type="dxa"/>
            <w:tcBorders>
              <w:top w:val="nil"/>
              <w:left w:val="nil"/>
              <w:bottom w:val="nil"/>
              <w:right w:val="nil"/>
            </w:tcBorders>
            <w:vAlign w:val="center"/>
          </w:tcPr>
          <w:p w14:paraId="75679E87" w14:textId="77777777" w:rsidR="002053FB" w:rsidRPr="00956EA3" w:rsidRDefault="002053FB" w:rsidP="002053FB">
            <w:pPr>
              <w:spacing w:line="239" w:lineRule="auto"/>
              <w:ind w:hanging="6"/>
              <w:rPr>
                <w:rFonts w:ascii="Arial" w:eastAsia="Calibri" w:hAnsi="Arial" w:cs="Arial"/>
                <w:color w:val="000000"/>
                <w:sz w:val="20"/>
                <w:szCs w:val="20"/>
              </w:rPr>
            </w:pPr>
            <w:r w:rsidRPr="00956EA3">
              <w:rPr>
                <w:rFonts w:ascii="Arial" w:eastAsia="Verdana" w:hAnsi="Arial" w:cs="Arial"/>
                <w:color w:val="000000"/>
                <w:sz w:val="20"/>
                <w:szCs w:val="20"/>
              </w:rPr>
              <w:t xml:space="preserve">in relation to a Former Supplier, those employees of the Former Supplier to whom the Employment </w:t>
            </w:r>
          </w:p>
          <w:p w14:paraId="2339A585" w14:textId="77777777" w:rsidR="002053FB" w:rsidRPr="00956EA3" w:rsidRDefault="002053FB" w:rsidP="002053FB">
            <w:pPr>
              <w:ind w:hanging="6"/>
              <w:rPr>
                <w:rFonts w:ascii="Arial" w:eastAsia="Calibri" w:hAnsi="Arial" w:cs="Arial"/>
                <w:color w:val="000000"/>
                <w:sz w:val="20"/>
                <w:szCs w:val="20"/>
              </w:rPr>
            </w:pPr>
            <w:r w:rsidRPr="00956EA3">
              <w:rPr>
                <w:rFonts w:ascii="Arial" w:eastAsia="Verdana" w:hAnsi="Arial" w:cs="Arial"/>
                <w:color w:val="000000"/>
                <w:sz w:val="20"/>
                <w:szCs w:val="20"/>
              </w:rPr>
              <w:t xml:space="preserve">Regulations will apply on the Relevant Transfer Date; </w:t>
            </w:r>
          </w:p>
        </w:tc>
      </w:tr>
      <w:tr w:rsidR="002053FB" w:rsidRPr="00956EA3" w14:paraId="5F4439C7" w14:textId="77777777" w:rsidTr="002053FB">
        <w:trPr>
          <w:trHeight w:val="792"/>
        </w:trPr>
        <w:tc>
          <w:tcPr>
            <w:tcW w:w="2977" w:type="dxa"/>
            <w:tcBorders>
              <w:top w:val="nil"/>
              <w:left w:val="nil"/>
              <w:bottom w:val="nil"/>
              <w:right w:val="nil"/>
            </w:tcBorders>
          </w:tcPr>
          <w:p w14:paraId="2331758A" w14:textId="65CB4921" w:rsidR="002053FB" w:rsidRPr="00956EA3" w:rsidRDefault="002053FB" w:rsidP="008D3C77">
            <w:pPr>
              <w:ind w:left="0" w:firstLine="0"/>
              <w:jc w:val="left"/>
              <w:rPr>
                <w:rFonts w:ascii="Arial" w:eastAsia="Calibri" w:hAnsi="Arial" w:cs="Arial"/>
                <w:color w:val="000000"/>
                <w:sz w:val="20"/>
                <w:szCs w:val="20"/>
              </w:rPr>
            </w:pPr>
            <w:r w:rsidRPr="00956EA3">
              <w:rPr>
                <w:rFonts w:ascii="Arial" w:eastAsia="Verdana" w:hAnsi="Arial" w:cs="Arial"/>
                <w:b/>
                <w:color w:val="000000"/>
                <w:sz w:val="20"/>
                <w:szCs w:val="20"/>
              </w:rPr>
              <w:t>“Transferring Supplier</w:t>
            </w:r>
            <w:r w:rsidR="008D3C77">
              <w:rPr>
                <w:rFonts w:ascii="Arial" w:eastAsia="Verdana" w:hAnsi="Arial" w:cs="Arial"/>
                <w:b/>
                <w:color w:val="000000"/>
                <w:sz w:val="20"/>
                <w:szCs w:val="20"/>
              </w:rPr>
              <w:t xml:space="preserve"> </w:t>
            </w:r>
            <w:r w:rsidRPr="00956EA3">
              <w:rPr>
                <w:rFonts w:ascii="Arial" w:eastAsia="Verdana" w:hAnsi="Arial" w:cs="Arial"/>
                <w:b/>
                <w:color w:val="000000"/>
                <w:sz w:val="20"/>
                <w:szCs w:val="20"/>
              </w:rPr>
              <w:t xml:space="preserve">Employees” </w:t>
            </w:r>
          </w:p>
        </w:tc>
        <w:tc>
          <w:tcPr>
            <w:tcW w:w="5506" w:type="dxa"/>
            <w:tcBorders>
              <w:top w:val="nil"/>
              <w:left w:val="nil"/>
              <w:bottom w:val="nil"/>
              <w:right w:val="nil"/>
            </w:tcBorders>
            <w:vAlign w:val="bottom"/>
          </w:tcPr>
          <w:p w14:paraId="3B76FFE8" w14:textId="6D5575D2" w:rsidR="002053FB" w:rsidRPr="00956EA3" w:rsidRDefault="002053FB" w:rsidP="002053FB">
            <w:pPr>
              <w:ind w:right="59" w:hanging="6"/>
              <w:rPr>
                <w:rFonts w:ascii="Arial" w:eastAsia="Calibri" w:hAnsi="Arial" w:cs="Arial"/>
                <w:color w:val="000000"/>
                <w:sz w:val="20"/>
                <w:szCs w:val="20"/>
              </w:rPr>
            </w:pPr>
            <w:r w:rsidRPr="00956EA3">
              <w:rPr>
                <w:rFonts w:ascii="Arial" w:eastAsia="Verdana" w:hAnsi="Arial" w:cs="Arial"/>
                <w:color w:val="000000"/>
                <w:sz w:val="20"/>
                <w:szCs w:val="20"/>
              </w:rPr>
              <w:t>those employees of the Supplier and/or the Supplier’s Sub</w:t>
            </w:r>
            <w:r w:rsidR="006F3D60">
              <w:rPr>
                <w:rFonts w:ascii="Arial" w:eastAsia="Verdana" w:hAnsi="Arial" w:cs="Arial"/>
                <w:color w:val="000000"/>
                <w:sz w:val="20"/>
                <w:szCs w:val="20"/>
              </w:rPr>
              <w:t>-</w:t>
            </w:r>
            <w:r w:rsidRPr="00956EA3">
              <w:rPr>
                <w:rFonts w:ascii="Arial" w:eastAsia="Verdana" w:hAnsi="Arial" w:cs="Arial"/>
                <w:color w:val="000000"/>
                <w:sz w:val="20"/>
                <w:szCs w:val="20"/>
              </w:rPr>
              <w:t xml:space="preserve">contractors to whom the Employment Regulations will apply on the Service Transfer Date. </w:t>
            </w:r>
          </w:p>
        </w:tc>
      </w:tr>
    </w:tbl>
    <w:p w14:paraId="5769609B" w14:textId="77777777" w:rsidR="002053FB" w:rsidRPr="00956EA3" w:rsidRDefault="002053FB" w:rsidP="000C5291">
      <w:pPr>
        <w:pStyle w:val="Heading1"/>
        <w:spacing w:before="240"/>
        <w:rPr>
          <w:rFonts w:eastAsia="Verdana" w:cs="Arial"/>
          <w:szCs w:val="20"/>
        </w:rPr>
      </w:pPr>
      <w:r w:rsidRPr="00956EA3">
        <w:rPr>
          <w:rFonts w:eastAsia="Verdana" w:cs="Arial"/>
          <w:szCs w:val="20"/>
        </w:rPr>
        <w:t xml:space="preserve">INTERPRETATION </w:t>
      </w:r>
    </w:p>
    <w:p w14:paraId="00AC07EF" w14:textId="642C2EC3" w:rsidR="002053FB" w:rsidRPr="00956EA3" w:rsidRDefault="002053FB" w:rsidP="002053FB">
      <w:pPr>
        <w:spacing w:after="234" w:line="249" w:lineRule="auto"/>
        <w:ind w:left="709" w:right="47" w:firstLine="0"/>
        <w:rPr>
          <w:rFonts w:eastAsia="Calibri" w:cs="Arial"/>
          <w:szCs w:val="20"/>
        </w:rPr>
      </w:pPr>
      <w:r w:rsidRPr="00956EA3">
        <w:rPr>
          <w:rFonts w:eastAsia="Verdana" w:cs="Arial"/>
          <w:szCs w:val="20"/>
        </w:rPr>
        <w:t xml:space="preserve">Where a provision in this Schedule imposes an obligation on the Supplier to provide an indemnity, undertaking or warranty, the Supplier shall procure that each of its Subcontractors shall comply with such obligation and provide such indemnity, undertaking or warranty to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Former Supplier, Replacement Supplier or Replacement Subcontractor, as the case may be. </w:t>
      </w:r>
    </w:p>
    <w:p w14:paraId="62B90555" w14:textId="77777777" w:rsidR="002053FB" w:rsidRPr="00956EA3" w:rsidRDefault="002053FB" w:rsidP="009402CF">
      <w:pPr>
        <w:spacing w:line="259" w:lineRule="auto"/>
        <w:jc w:val="left"/>
        <w:rPr>
          <w:rFonts w:eastAsia="Calibri" w:cs="Arial"/>
          <w:szCs w:val="20"/>
        </w:rPr>
      </w:pPr>
    </w:p>
    <w:p w14:paraId="6F0E7FD8" w14:textId="77777777" w:rsidR="002053FB" w:rsidRPr="00956EA3" w:rsidRDefault="002053FB">
      <w:pPr>
        <w:rPr>
          <w:rFonts w:eastAsia="Verdana" w:cs="Arial"/>
          <w:b/>
          <w:szCs w:val="20"/>
        </w:rPr>
      </w:pPr>
      <w:r w:rsidRPr="00956EA3">
        <w:rPr>
          <w:rFonts w:eastAsia="Verdana" w:cs="Arial"/>
          <w:b/>
          <w:szCs w:val="20"/>
        </w:rPr>
        <w:br w:type="page"/>
      </w:r>
    </w:p>
    <w:p w14:paraId="1A4B7157" w14:textId="62D4EE14" w:rsidR="002053FB" w:rsidRPr="00956EA3" w:rsidRDefault="009429AB" w:rsidP="009402CF">
      <w:pPr>
        <w:spacing w:after="225" w:line="259" w:lineRule="auto"/>
        <w:ind w:left="10" w:right="4227" w:hanging="10"/>
        <w:jc w:val="right"/>
        <w:rPr>
          <w:rFonts w:eastAsia="Calibri" w:cs="Arial"/>
          <w:szCs w:val="20"/>
        </w:rPr>
      </w:pPr>
      <w:r w:rsidRPr="00956EA3">
        <w:rPr>
          <w:rFonts w:eastAsia="Verdana" w:cs="Arial"/>
          <w:b/>
          <w:szCs w:val="20"/>
        </w:rPr>
        <w:lastRenderedPageBreak/>
        <w:t xml:space="preserve">PART A </w:t>
      </w:r>
    </w:p>
    <w:p w14:paraId="5B47D16C" w14:textId="245CF841" w:rsidR="002053FB" w:rsidRPr="00956EA3" w:rsidRDefault="009429AB" w:rsidP="009402CF">
      <w:pPr>
        <w:spacing w:after="225" w:line="259" w:lineRule="auto"/>
        <w:ind w:left="10" w:right="4135" w:hanging="10"/>
        <w:jc w:val="right"/>
        <w:rPr>
          <w:rFonts w:eastAsia="Verdana" w:cs="Arial"/>
          <w:szCs w:val="20"/>
        </w:rPr>
      </w:pPr>
      <w:r w:rsidRPr="00956EA3">
        <w:rPr>
          <w:rFonts w:eastAsia="Verdana" w:cs="Arial"/>
          <w:b/>
          <w:szCs w:val="20"/>
        </w:rPr>
        <w:t>NOT USED</w:t>
      </w:r>
      <w:r w:rsidRPr="00956EA3">
        <w:rPr>
          <w:rFonts w:eastAsia="Verdana" w:cs="Arial"/>
          <w:szCs w:val="20"/>
        </w:rPr>
        <w:t xml:space="preserve"> </w:t>
      </w:r>
    </w:p>
    <w:p w14:paraId="6D3A0CA0" w14:textId="77777777" w:rsidR="002053FB" w:rsidRPr="00956EA3" w:rsidRDefault="002053FB">
      <w:pPr>
        <w:rPr>
          <w:rFonts w:eastAsia="Verdana" w:cs="Arial"/>
          <w:szCs w:val="20"/>
        </w:rPr>
      </w:pPr>
      <w:r w:rsidRPr="00956EA3">
        <w:rPr>
          <w:rFonts w:eastAsia="Verdana" w:cs="Arial"/>
          <w:szCs w:val="20"/>
        </w:rPr>
        <w:br w:type="page"/>
      </w:r>
    </w:p>
    <w:p w14:paraId="670341A5" w14:textId="77777777" w:rsidR="002053FB" w:rsidRPr="00956EA3" w:rsidRDefault="002053FB" w:rsidP="009402CF">
      <w:pPr>
        <w:spacing w:after="225" w:line="259" w:lineRule="auto"/>
        <w:ind w:left="10" w:right="4227" w:hanging="10"/>
        <w:jc w:val="right"/>
        <w:rPr>
          <w:rFonts w:eastAsia="Verdana" w:cs="Arial"/>
          <w:b/>
          <w:szCs w:val="20"/>
        </w:rPr>
      </w:pPr>
      <w:r w:rsidRPr="00956EA3">
        <w:rPr>
          <w:rFonts w:eastAsia="Verdana" w:cs="Arial"/>
          <w:b/>
          <w:szCs w:val="20"/>
        </w:rPr>
        <w:lastRenderedPageBreak/>
        <w:t>PART B</w:t>
      </w:r>
    </w:p>
    <w:p w14:paraId="02FA49F6" w14:textId="1737652A" w:rsidR="002053FB" w:rsidRPr="00956EA3" w:rsidRDefault="009429AB" w:rsidP="009402CF">
      <w:pPr>
        <w:spacing w:after="223" w:line="259" w:lineRule="auto"/>
        <w:ind w:left="800" w:right="848" w:hanging="10"/>
        <w:jc w:val="center"/>
        <w:rPr>
          <w:rFonts w:eastAsia="Calibri" w:cs="Arial"/>
          <w:szCs w:val="20"/>
        </w:rPr>
      </w:pPr>
      <w:r w:rsidRPr="00956EA3">
        <w:rPr>
          <w:rFonts w:eastAsia="Verdana" w:cs="Arial"/>
          <w:b/>
          <w:szCs w:val="20"/>
        </w:rPr>
        <w:t>TRANSFERRING FORMER SUPPLIER EMPLOYEES AT COMMENCEMENT OF SERVICES</w:t>
      </w:r>
      <w:r w:rsidRPr="00956EA3">
        <w:rPr>
          <w:rFonts w:eastAsia="Verdana" w:cs="Arial"/>
          <w:szCs w:val="20"/>
        </w:rPr>
        <w:t xml:space="preserve"> </w:t>
      </w:r>
    </w:p>
    <w:p w14:paraId="56F40EE0" w14:textId="77777777" w:rsidR="002053FB" w:rsidRPr="002053FB" w:rsidRDefault="002053FB" w:rsidP="009D675B">
      <w:pPr>
        <w:pStyle w:val="Heading1"/>
        <w:numPr>
          <w:ilvl w:val="0"/>
          <w:numId w:val="94"/>
        </w:numPr>
        <w:rPr>
          <w:rFonts w:eastAsia="Verdana" w:cs="Arial"/>
          <w:szCs w:val="20"/>
        </w:rPr>
      </w:pPr>
      <w:r w:rsidRPr="002053FB">
        <w:rPr>
          <w:rFonts w:eastAsia="Verdana" w:cs="Arial"/>
          <w:szCs w:val="20"/>
        </w:rPr>
        <w:t xml:space="preserve">RELEVANT TRANSFERS </w:t>
      </w:r>
    </w:p>
    <w:p w14:paraId="6BEB7D2B" w14:textId="0E0AC9E2" w:rsidR="002053FB" w:rsidRPr="00956EA3" w:rsidRDefault="001F1C19" w:rsidP="000C5291">
      <w:pPr>
        <w:pStyle w:val="Heading2"/>
        <w:rPr>
          <w:rFonts w:eastAsia="Calibri" w:cs="Arial"/>
          <w:szCs w:val="20"/>
        </w:rPr>
      </w:pPr>
      <w:proofErr w:type="spellStart"/>
      <w:r>
        <w:rPr>
          <w:rFonts w:eastAsia="Verdana" w:cs="Arial"/>
          <w:szCs w:val="20"/>
        </w:rPr>
        <w:t>Netlink</w:t>
      </w:r>
      <w:proofErr w:type="spellEnd"/>
      <w:r>
        <w:rPr>
          <w:rFonts w:eastAsia="Verdana" w:cs="Arial"/>
          <w:szCs w:val="20"/>
        </w:rPr>
        <w:t xml:space="preserve"> Star</w:t>
      </w:r>
      <w:r w:rsidR="002053FB" w:rsidRPr="00956EA3">
        <w:rPr>
          <w:rFonts w:eastAsia="Verdana" w:cs="Arial"/>
          <w:szCs w:val="20"/>
        </w:rPr>
        <w:t xml:space="preserve"> and the Supplier agree that: </w:t>
      </w:r>
    </w:p>
    <w:p w14:paraId="442DCAA4" w14:textId="77777777" w:rsidR="002053FB" w:rsidRPr="00956EA3" w:rsidRDefault="002053FB" w:rsidP="000C5291">
      <w:pPr>
        <w:pStyle w:val="Heading3"/>
        <w:rPr>
          <w:rFonts w:eastAsia="Calibri"/>
        </w:rPr>
      </w:pPr>
      <w:r w:rsidRPr="00956EA3">
        <w:rPr>
          <w:rFonts w:eastAsia="Verdana"/>
        </w:rPr>
        <w:t xml:space="preserve">the commencement of the provision of the Services or of any relevant part of the Services will be a Relevant Transfer in relation to the Transferring Former Supplier Employees; and </w:t>
      </w:r>
    </w:p>
    <w:p w14:paraId="2BC3BE56" w14:textId="77777777" w:rsidR="002053FB" w:rsidRPr="00956EA3" w:rsidRDefault="002053FB" w:rsidP="000C5291">
      <w:pPr>
        <w:pStyle w:val="Heading3"/>
        <w:rPr>
          <w:rFonts w:eastAsia="Calibri"/>
        </w:rPr>
      </w:pPr>
      <w:proofErr w:type="gramStart"/>
      <w:r w:rsidRPr="00956EA3">
        <w:rPr>
          <w:rFonts w:eastAsia="Verdana"/>
        </w:rPr>
        <w:t>as a result of</w:t>
      </w:r>
      <w:proofErr w:type="gramEnd"/>
      <w:r w:rsidRPr="00956EA3">
        <w:rPr>
          <w:rFonts w:eastAsia="Verdana"/>
        </w:rPr>
        <w:t xml:space="preserve"> the operation of the Employment Regulations, the contracts of employment between each Former Supplier and the Transferring Former Supplier Employees (except in relation to any terms dis-applied through the operation of Regulation 10(2) of the Employment Regulations) shall have effect on and from the Relevant Transfer Date as if originally made between the Supplier and/or Notified Sub-contractor and each such Transferring Former Supplier Employee. </w:t>
      </w:r>
    </w:p>
    <w:p w14:paraId="0F69AB08" w14:textId="56AD31BE" w:rsidR="002053FB" w:rsidRPr="00956EA3" w:rsidRDefault="001F1C19" w:rsidP="000C5291">
      <w:pPr>
        <w:pStyle w:val="Heading2"/>
        <w:rPr>
          <w:rFonts w:eastAsia="Calibri" w:cs="Arial"/>
          <w:szCs w:val="20"/>
        </w:rPr>
      </w:pPr>
      <w:proofErr w:type="spellStart"/>
      <w:r>
        <w:rPr>
          <w:rFonts w:eastAsia="Verdana" w:cs="Arial"/>
          <w:szCs w:val="20"/>
        </w:rPr>
        <w:t>Netlink</w:t>
      </w:r>
      <w:proofErr w:type="spellEnd"/>
      <w:r>
        <w:rPr>
          <w:rFonts w:eastAsia="Verdana" w:cs="Arial"/>
          <w:szCs w:val="20"/>
        </w:rPr>
        <w:t xml:space="preserve"> Star</w:t>
      </w:r>
      <w:r w:rsidR="002053FB" w:rsidRPr="00956EA3">
        <w:rPr>
          <w:rFonts w:eastAsia="Verdana" w:cs="Arial"/>
          <w:szCs w:val="20"/>
        </w:rPr>
        <w:t xml:space="preserve"> shall use reasonable endeavours to procure that each Former Supplier shall comply with all its obligations under the Employment Regulations and shall perform and discharge all its obligations in respect of all the Transferring Former Supplier Employees in respect of the period up to (but not including) the Relevant Transfer Date and the Supplier shall make, and </w:t>
      </w:r>
      <w:proofErr w:type="spellStart"/>
      <w:r>
        <w:rPr>
          <w:rFonts w:eastAsia="Verdana" w:cs="Arial"/>
          <w:szCs w:val="20"/>
        </w:rPr>
        <w:t>Netlink</w:t>
      </w:r>
      <w:proofErr w:type="spellEnd"/>
      <w:r>
        <w:rPr>
          <w:rFonts w:eastAsia="Verdana" w:cs="Arial"/>
          <w:szCs w:val="20"/>
        </w:rPr>
        <w:t xml:space="preserve"> Star</w:t>
      </w:r>
      <w:r w:rsidR="002053FB" w:rsidRPr="00956EA3">
        <w:rPr>
          <w:rFonts w:eastAsia="Verdana" w:cs="Arial"/>
          <w:szCs w:val="20"/>
        </w:rPr>
        <w:t xml:space="preserve"> shall use reasonable endeavours to procure that each Former Supplier makes, any necessary apportionments in respect of any periodic payments. </w:t>
      </w:r>
    </w:p>
    <w:p w14:paraId="63D317D0" w14:textId="77777777" w:rsidR="002053FB" w:rsidRPr="00956EA3" w:rsidRDefault="002053FB" w:rsidP="000C5291">
      <w:pPr>
        <w:pStyle w:val="Heading1"/>
        <w:rPr>
          <w:rFonts w:eastAsia="Verdana" w:cs="Arial"/>
          <w:szCs w:val="20"/>
        </w:rPr>
      </w:pPr>
      <w:r w:rsidRPr="00956EA3">
        <w:rPr>
          <w:rFonts w:eastAsia="Verdana" w:cs="Arial"/>
          <w:szCs w:val="20"/>
        </w:rPr>
        <w:t xml:space="preserve">FORMER SUPPLIER INDEMNITIES </w:t>
      </w:r>
    </w:p>
    <w:p w14:paraId="34457276" w14:textId="4D5A1A3E" w:rsidR="002053FB" w:rsidRPr="00956EA3" w:rsidRDefault="002053FB" w:rsidP="000C5291">
      <w:pPr>
        <w:pStyle w:val="Heading2"/>
        <w:rPr>
          <w:rFonts w:eastAsia="Calibri" w:cs="Arial"/>
          <w:szCs w:val="20"/>
        </w:rPr>
      </w:pPr>
      <w:r w:rsidRPr="00956EA3">
        <w:rPr>
          <w:rFonts w:eastAsia="Verdana" w:cs="Arial"/>
          <w:szCs w:val="20"/>
        </w:rPr>
        <w:t xml:space="preserve">Subject to paragraph 2.2,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shall use reasonable endeavours to procure that each Former Supplier shall indemnify the Supplier and any Notified Sub-contractor against any Employee Liabilities arising from or </w:t>
      </w:r>
      <w:proofErr w:type="gramStart"/>
      <w:r w:rsidRPr="00956EA3">
        <w:rPr>
          <w:rFonts w:eastAsia="Verdana" w:cs="Arial"/>
          <w:szCs w:val="20"/>
        </w:rPr>
        <w:t>as a result of</w:t>
      </w:r>
      <w:proofErr w:type="gramEnd"/>
      <w:r w:rsidRPr="00956EA3">
        <w:rPr>
          <w:rFonts w:eastAsia="Verdana" w:cs="Arial"/>
          <w:szCs w:val="20"/>
        </w:rPr>
        <w:t xml:space="preserve">: </w:t>
      </w:r>
    </w:p>
    <w:p w14:paraId="6744E1EC" w14:textId="77777777" w:rsidR="002053FB" w:rsidRPr="00956EA3" w:rsidRDefault="002053FB" w:rsidP="000C5291">
      <w:pPr>
        <w:pStyle w:val="Heading3"/>
        <w:rPr>
          <w:rFonts w:eastAsia="Calibri"/>
        </w:rPr>
      </w:pPr>
      <w:r w:rsidRPr="00956EA3">
        <w:rPr>
          <w:rFonts w:eastAsia="Verdana"/>
        </w:rPr>
        <w:t xml:space="preserve">any act or omission by the Former Supplier in respect of any Transferring Former Supplier Employee or any appropriate employee representative (as defined in the Employment Regulations) of any Transferring Former Supplier Employee arising before the Relevant Transfer </w:t>
      </w:r>
      <w:proofErr w:type="gramStart"/>
      <w:r w:rsidRPr="00956EA3">
        <w:rPr>
          <w:rFonts w:eastAsia="Verdana"/>
        </w:rPr>
        <w:t>Date;</w:t>
      </w:r>
      <w:proofErr w:type="gramEnd"/>
      <w:r w:rsidRPr="00956EA3">
        <w:rPr>
          <w:rFonts w:eastAsia="Verdana"/>
        </w:rPr>
        <w:t xml:space="preserve"> </w:t>
      </w:r>
    </w:p>
    <w:p w14:paraId="589BF865" w14:textId="77777777" w:rsidR="002053FB" w:rsidRPr="00956EA3" w:rsidRDefault="002053FB" w:rsidP="000C5291">
      <w:pPr>
        <w:pStyle w:val="Heading3"/>
        <w:rPr>
          <w:rFonts w:eastAsia="Calibri"/>
        </w:rPr>
      </w:pPr>
      <w:r w:rsidRPr="00956EA3">
        <w:rPr>
          <w:rFonts w:eastAsia="Verdana"/>
        </w:rPr>
        <w:t xml:space="preserve">the breach or non-observance by the Former Supplier arising before the Relevant Transfer Date of: </w:t>
      </w:r>
    </w:p>
    <w:p w14:paraId="7295167A" w14:textId="77777777" w:rsidR="002053FB" w:rsidRPr="00956EA3" w:rsidRDefault="002053FB" w:rsidP="009402CF">
      <w:pPr>
        <w:tabs>
          <w:tab w:val="left" w:pos="2410"/>
          <w:tab w:val="left" w:pos="2552"/>
        </w:tabs>
        <w:spacing w:after="234" w:line="249" w:lineRule="auto"/>
        <w:ind w:left="3119" w:right="47" w:hanging="1418"/>
        <w:rPr>
          <w:rFonts w:eastAsia="Calibri" w:cs="Arial"/>
          <w:szCs w:val="20"/>
        </w:rPr>
      </w:pPr>
      <w:r w:rsidRPr="00956EA3">
        <w:rPr>
          <w:rFonts w:eastAsia="Verdana" w:cs="Arial"/>
          <w:szCs w:val="20"/>
        </w:rPr>
        <w:t>2.1.2.1</w:t>
      </w:r>
      <w:r w:rsidRPr="00956EA3">
        <w:rPr>
          <w:rFonts w:eastAsia="Arial" w:cs="Arial"/>
          <w:szCs w:val="20"/>
        </w:rPr>
        <w:t xml:space="preserve">        </w:t>
      </w:r>
      <w:r w:rsidRPr="00956EA3">
        <w:rPr>
          <w:rFonts w:eastAsia="Arial" w:cs="Arial"/>
          <w:szCs w:val="20"/>
        </w:rPr>
        <w:tab/>
      </w:r>
      <w:r w:rsidRPr="00956EA3">
        <w:rPr>
          <w:rFonts w:eastAsia="Verdana" w:cs="Arial"/>
          <w:szCs w:val="20"/>
        </w:rPr>
        <w:t xml:space="preserve">any collective agreement applicable to the Transferring Former Supplier Employees; and/or </w:t>
      </w:r>
    </w:p>
    <w:p w14:paraId="5C8C33B7" w14:textId="77777777" w:rsidR="002053FB" w:rsidRPr="00956EA3" w:rsidRDefault="002053FB" w:rsidP="009402CF">
      <w:pPr>
        <w:spacing w:after="234" w:line="249" w:lineRule="auto"/>
        <w:ind w:left="3119" w:right="47" w:hanging="1418"/>
        <w:rPr>
          <w:rFonts w:eastAsia="Calibri" w:cs="Arial"/>
          <w:szCs w:val="20"/>
        </w:rPr>
      </w:pPr>
      <w:r w:rsidRPr="00956EA3">
        <w:rPr>
          <w:rFonts w:eastAsia="Verdana" w:cs="Arial"/>
          <w:szCs w:val="20"/>
        </w:rPr>
        <w:t>2.1.2.2</w:t>
      </w:r>
      <w:r w:rsidRPr="00956EA3">
        <w:rPr>
          <w:rFonts w:eastAsia="Arial" w:cs="Arial"/>
          <w:szCs w:val="20"/>
        </w:rPr>
        <w:t xml:space="preserve">             </w:t>
      </w:r>
      <w:r w:rsidRPr="00956EA3">
        <w:rPr>
          <w:rFonts w:eastAsia="Arial" w:cs="Arial"/>
          <w:szCs w:val="20"/>
        </w:rPr>
        <w:tab/>
      </w:r>
      <w:r w:rsidRPr="00956EA3">
        <w:rPr>
          <w:rFonts w:eastAsia="Verdana" w:cs="Arial"/>
          <w:szCs w:val="20"/>
        </w:rPr>
        <w:t xml:space="preserve">any custom or practice in respect of any Transferring Former Supplier Employees which the Former Supplier is contractually bound to </w:t>
      </w:r>
      <w:proofErr w:type="gramStart"/>
      <w:r w:rsidRPr="00956EA3">
        <w:rPr>
          <w:rFonts w:eastAsia="Verdana" w:cs="Arial"/>
          <w:szCs w:val="20"/>
        </w:rPr>
        <w:t>honour;</w:t>
      </w:r>
      <w:proofErr w:type="gramEnd"/>
      <w:r w:rsidRPr="00956EA3">
        <w:rPr>
          <w:rFonts w:eastAsia="Verdana" w:cs="Arial"/>
          <w:szCs w:val="20"/>
        </w:rPr>
        <w:t xml:space="preserve"> </w:t>
      </w:r>
    </w:p>
    <w:p w14:paraId="09A8D4D1" w14:textId="77777777" w:rsidR="002053FB" w:rsidRPr="00956EA3" w:rsidRDefault="002053FB" w:rsidP="000C5291">
      <w:pPr>
        <w:pStyle w:val="Heading3"/>
        <w:rPr>
          <w:rFonts w:eastAsia="Calibri"/>
        </w:rPr>
      </w:pPr>
      <w:r w:rsidRPr="00956EA3">
        <w:rPr>
          <w:rFonts w:eastAsia="Verdana"/>
        </w:rPr>
        <w:t xml:space="preserve">any proceeding, claim or demand by HMRC or other statutory authority in respect of any financial obligation including, but not limited to, PAYE and primary and secondary national insurance contributions: </w:t>
      </w:r>
    </w:p>
    <w:p w14:paraId="2CF90788" w14:textId="77777777" w:rsidR="002053FB" w:rsidRPr="00956EA3" w:rsidRDefault="002053FB" w:rsidP="009402CF">
      <w:pPr>
        <w:spacing w:after="234" w:line="249" w:lineRule="auto"/>
        <w:ind w:left="3119" w:right="47" w:hanging="1418"/>
        <w:rPr>
          <w:rFonts w:eastAsia="Verdana" w:cs="Arial"/>
          <w:szCs w:val="20"/>
        </w:rPr>
      </w:pPr>
      <w:proofErr w:type="gramStart"/>
      <w:r w:rsidRPr="00956EA3">
        <w:rPr>
          <w:rFonts w:eastAsia="Verdana" w:cs="Arial"/>
          <w:szCs w:val="20"/>
        </w:rPr>
        <w:t xml:space="preserve">2.1.3.1  </w:t>
      </w:r>
      <w:r w:rsidRPr="00956EA3">
        <w:rPr>
          <w:rFonts w:eastAsia="Verdana" w:cs="Arial"/>
          <w:szCs w:val="20"/>
        </w:rPr>
        <w:tab/>
      </w:r>
      <w:proofErr w:type="gramEnd"/>
      <w:r w:rsidRPr="00956EA3">
        <w:rPr>
          <w:rFonts w:eastAsia="Verdana" w:cs="Arial"/>
          <w:szCs w:val="20"/>
        </w:rPr>
        <w:t xml:space="preserve">in relation to any Transferring Former Supplier Employee, to the extent that the proceeding, claim or demand by HMRC or other statutory authority relates to financial obligations arising before the Relevant Transfer Date; and </w:t>
      </w:r>
    </w:p>
    <w:p w14:paraId="68A2A952" w14:textId="77777777" w:rsidR="002053FB" w:rsidRPr="00956EA3" w:rsidRDefault="002053FB" w:rsidP="009402CF">
      <w:pPr>
        <w:spacing w:after="234" w:line="249" w:lineRule="auto"/>
        <w:ind w:left="3121" w:right="47" w:hanging="1420"/>
        <w:rPr>
          <w:rFonts w:eastAsia="Calibri" w:cs="Arial"/>
          <w:szCs w:val="20"/>
        </w:rPr>
      </w:pPr>
      <w:r w:rsidRPr="00956EA3">
        <w:rPr>
          <w:rFonts w:eastAsia="Verdana" w:cs="Arial"/>
          <w:szCs w:val="20"/>
        </w:rPr>
        <w:t>2.1.3.2</w:t>
      </w:r>
      <w:r w:rsidRPr="00956EA3">
        <w:rPr>
          <w:rFonts w:eastAsia="Arial" w:cs="Arial"/>
          <w:szCs w:val="20"/>
        </w:rPr>
        <w:t xml:space="preserve"> </w:t>
      </w:r>
      <w:r w:rsidRPr="00956EA3">
        <w:rPr>
          <w:rFonts w:eastAsia="Arial" w:cs="Arial"/>
          <w:szCs w:val="20"/>
        </w:rPr>
        <w:tab/>
      </w:r>
      <w:r w:rsidRPr="00956EA3">
        <w:rPr>
          <w:rFonts w:eastAsia="Verdana" w:cs="Arial"/>
          <w:szCs w:val="20"/>
        </w:rPr>
        <w:t xml:space="preserve">in relation to any employee who is not a Transferring Former Supplier Employee and in respect of whom it is later alleged or determined that the Employment Regulations applied </w:t>
      </w:r>
      <w:proofErr w:type="gramStart"/>
      <w:r w:rsidRPr="00956EA3">
        <w:rPr>
          <w:rFonts w:eastAsia="Verdana" w:cs="Arial"/>
          <w:szCs w:val="20"/>
        </w:rPr>
        <w:t>so as to</w:t>
      </w:r>
      <w:proofErr w:type="gramEnd"/>
      <w:r w:rsidRPr="00956EA3">
        <w:rPr>
          <w:rFonts w:eastAsia="Verdana" w:cs="Arial"/>
          <w:szCs w:val="20"/>
        </w:rPr>
        <w:t xml:space="preserve"> transfer his/her employment from the Former Supplier to the Supplier and/or any Notified Sub-contractor as appropriate, to the </w:t>
      </w:r>
    </w:p>
    <w:p w14:paraId="4346A27A" w14:textId="77777777" w:rsidR="002053FB" w:rsidRPr="00956EA3" w:rsidRDefault="002053FB" w:rsidP="009402CF">
      <w:pPr>
        <w:spacing w:after="234" w:line="249" w:lineRule="auto"/>
        <w:ind w:left="3130" w:right="47" w:hanging="9"/>
        <w:rPr>
          <w:rFonts w:eastAsia="Calibri" w:cs="Arial"/>
          <w:szCs w:val="20"/>
        </w:rPr>
      </w:pPr>
      <w:r w:rsidRPr="00956EA3">
        <w:rPr>
          <w:rFonts w:eastAsia="Verdana" w:cs="Arial"/>
          <w:szCs w:val="20"/>
        </w:rPr>
        <w:lastRenderedPageBreak/>
        <w:t xml:space="preserve">extent that the proceeding, claim or demand by HMRC or other statutory authority relates to financial obligations in respect of the period to (but excluding) the Relevant Transfer </w:t>
      </w:r>
      <w:proofErr w:type="gramStart"/>
      <w:r w:rsidRPr="00956EA3">
        <w:rPr>
          <w:rFonts w:eastAsia="Verdana" w:cs="Arial"/>
          <w:szCs w:val="20"/>
        </w:rPr>
        <w:t>Date;</w:t>
      </w:r>
      <w:proofErr w:type="gramEnd"/>
      <w:r w:rsidRPr="00956EA3">
        <w:rPr>
          <w:rFonts w:eastAsia="Verdana" w:cs="Arial"/>
          <w:szCs w:val="20"/>
        </w:rPr>
        <w:t xml:space="preserve"> </w:t>
      </w:r>
    </w:p>
    <w:p w14:paraId="07D40D8C" w14:textId="77777777" w:rsidR="002053FB" w:rsidRPr="00956EA3" w:rsidRDefault="002053FB" w:rsidP="000C5291">
      <w:pPr>
        <w:pStyle w:val="Heading3"/>
        <w:rPr>
          <w:rFonts w:eastAsia="Calibri"/>
        </w:rPr>
      </w:pPr>
      <w:r w:rsidRPr="00956EA3">
        <w:rPr>
          <w:rFonts w:eastAsia="Verdana"/>
        </w:rPr>
        <w:t xml:space="preserve">a failure of the Former Supplier to discharge or procure the discharge of all wages, salaries and all other benefits and all PAYE tax deductions and national insurance contributions relating to the Transferring Former Supplier Employees in respect of the period to (but excluding) the Relevant Transfer </w:t>
      </w:r>
      <w:proofErr w:type="gramStart"/>
      <w:r w:rsidRPr="00956EA3">
        <w:rPr>
          <w:rFonts w:eastAsia="Verdana"/>
        </w:rPr>
        <w:t>Date;</w:t>
      </w:r>
      <w:proofErr w:type="gramEnd"/>
      <w:r w:rsidRPr="00956EA3">
        <w:rPr>
          <w:rFonts w:eastAsia="Verdana"/>
        </w:rPr>
        <w:t xml:space="preserve"> </w:t>
      </w:r>
    </w:p>
    <w:p w14:paraId="6D18648F" w14:textId="77777777" w:rsidR="002053FB" w:rsidRPr="00956EA3" w:rsidRDefault="002053FB" w:rsidP="000C5291">
      <w:pPr>
        <w:pStyle w:val="Heading3"/>
        <w:rPr>
          <w:rFonts w:eastAsia="Calibri"/>
        </w:rPr>
      </w:pPr>
      <w:r w:rsidRPr="00956EA3">
        <w:rPr>
          <w:rFonts w:eastAsia="Verdana"/>
        </w:rPr>
        <w:t xml:space="preserve">any claim made by or in respect of any person employed or formerly employed by the Former Supplier other than a Transferring Former Supplier Employee for whom it is alleged the Supplier and/or any Notified Subcontractor as appropriate may be liable by virtue of this Agreement and/or the Employment Regulations and/or the Acquired Rights Directive; and </w:t>
      </w:r>
    </w:p>
    <w:p w14:paraId="5BD6C4B3" w14:textId="77777777" w:rsidR="002053FB" w:rsidRPr="00956EA3" w:rsidRDefault="002053FB" w:rsidP="000C5291">
      <w:pPr>
        <w:pStyle w:val="Heading3"/>
        <w:rPr>
          <w:rFonts w:eastAsia="Calibri"/>
        </w:rPr>
      </w:pPr>
      <w:r w:rsidRPr="00956EA3">
        <w:rPr>
          <w:rFonts w:eastAsia="Verdana"/>
        </w:rPr>
        <w:t xml:space="preserve">any claim made by or in respect of a Transferring Former Supplier Employee or any appropriate employee representative (as defined in the Employment Regulations) of any Transferring Former Supplier Employee relating to any act or omission of the Former Supplier in relation to its obligations under Regulation 13 of the Employment Regulations, except to the extent that the liability arises from the failure by the Supplier or any Sub-contractor to comply with Regulation 13(4) of the Employment Regulations. </w:t>
      </w:r>
    </w:p>
    <w:p w14:paraId="5944DF84" w14:textId="77777777" w:rsidR="002053FB" w:rsidRPr="00956EA3" w:rsidRDefault="002053FB" w:rsidP="000C5291">
      <w:pPr>
        <w:pStyle w:val="Heading2"/>
        <w:rPr>
          <w:rFonts w:eastAsia="Calibri" w:cs="Arial"/>
          <w:szCs w:val="20"/>
        </w:rPr>
      </w:pPr>
      <w:r w:rsidRPr="00956EA3">
        <w:rPr>
          <w:rFonts w:eastAsia="Verdana" w:cs="Arial"/>
          <w:szCs w:val="20"/>
        </w:rPr>
        <w:t xml:space="preserve">The indemnities in paragraph 2.1 shall not apply to the extent that the Employee Liabilities arise or are attributable to an act or omission of the Supplier or any Subcontractor whether occurring or having its origin before, on or after the Relevant Transfer Date including, without limitation, any Employee Liabilities: </w:t>
      </w:r>
    </w:p>
    <w:p w14:paraId="423FB8A6" w14:textId="77777777" w:rsidR="002053FB" w:rsidRPr="00956EA3" w:rsidRDefault="002053FB" w:rsidP="000C5291">
      <w:pPr>
        <w:pStyle w:val="Heading3"/>
        <w:rPr>
          <w:rFonts w:eastAsia="Verdana"/>
        </w:rPr>
      </w:pPr>
      <w:r w:rsidRPr="00956EA3">
        <w:rPr>
          <w:rFonts w:eastAsia="Verdana"/>
        </w:rPr>
        <w:t xml:space="preserve">arising out of the resignation of any Transferring Former Supplier Employee before the Relevant Transfer Date on account of substantial detrimental changes to his/her working conditions proposed by the Supplier or any Subcontractor to occur in the period from (and including) the Relevant Transfer Date; or </w:t>
      </w:r>
    </w:p>
    <w:p w14:paraId="219B8F26" w14:textId="77777777" w:rsidR="002053FB" w:rsidRPr="00956EA3" w:rsidRDefault="002053FB" w:rsidP="000C5291">
      <w:pPr>
        <w:pStyle w:val="Heading3"/>
        <w:rPr>
          <w:rFonts w:eastAsia="Verdana"/>
        </w:rPr>
      </w:pPr>
      <w:r w:rsidRPr="00956EA3">
        <w:rPr>
          <w:rFonts w:eastAsia="Verdana"/>
        </w:rPr>
        <w:t xml:space="preserve">arising from the failure by the Supplier and/or any Sub-contractor to comply with its obligations under the Employment Regulations. </w:t>
      </w:r>
    </w:p>
    <w:p w14:paraId="67CF6C49" w14:textId="635FB497" w:rsidR="002053FB" w:rsidRPr="00956EA3" w:rsidRDefault="002053FB" w:rsidP="000C5291">
      <w:pPr>
        <w:pStyle w:val="Heading2"/>
        <w:rPr>
          <w:rFonts w:eastAsia="Calibri" w:cs="Arial"/>
          <w:szCs w:val="20"/>
        </w:rPr>
      </w:pPr>
      <w:r w:rsidRPr="00956EA3">
        <w:rPr>
          <w:rFonts w:eastAsia="Verdana" w:cs="Arial"/>
          <w:szCs w:val="20"/>
        </w:rPr>
        <w:t xml:space="preserve">If any person who is not identified by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as a Transferring Former Supplier Employee claims, or it is determined in relation to any person who is not identified by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as a Transferring Former Supplier Employee, that his/her contract of employment has been transferred from a Former Supplier to the Supplier and/or any Notified Sub-contractor pursuant to the Employment Regulations or the Acquired Rights Directive then: </w:t>
      </w:r>
    </w:p>
    <w:p w14:paraId="1B7A114D" w14:textId="3ABB2473" w:rsidR="002053FB" w:rsidRPr="00956EA3" w:rsidRDefault="002053FB" w:rsidP="000C5291">
      <w:pPr>
        <w:pStyle w:val="Heading3"/>
        <w:rPr>
          <w:rFonts w:eastAsia="Calibri"/>
        </w:rPr>
      </w:pPr>
      <w:r w:rsidRPr="00956EA3">
        <w:rPr>
          <w:rFonts w:eastAsia="Verdana"/>
        </w:rPr>
        <w:t xml:space="preserve">the Supplier shall, or shall procure that the Notified Sub-contractor shall, within five (5) Working Days of becoming aware of that fact, give notice in writing to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 and, where required by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 to the Former Supplier; and </w:t>
      </w:r>
    </w:p>
    <w:p w14:paraId="34F67637" w14:textId="77777777" w:rsidR="002053FB" w:rsidRPr="00956EA3" w:rsidRDefault="002053FB" w:rsidP="000C5291">
      <w:pPr>
        <w:pStyle w:val="Heading3"/>
        <w:rPr>
          <w:rFonts w:eastAsia="Calibri"/>
        </w:rPr>
      </w:pPr>
      <w:r w:rsidRPr="00956EA3">
        <w:rPr>
          <w:rFonts w:eastAsia="Verdana"/>
        </w:rPr>
        <w:t xml:space="preserve">the Former Supplier may offer (or may procure that a third party may offer) employment to such person within fifteen (15) Working Days of the notification by the Supplier and/or the Notified Sub-contractor or take such other reasonable steps as the Former Supplier considers appropriate to deal with the matter provided always that such steps </w:t>
      </w:r>
      <w:proofErr w:type="gramStart"/>
      <w:r w:rsidRPr="00956EA3">
        <w:rPr>
          <w:rFonts w:eastAsia="Verdana"/>
        </w:rPr>
        <w:t>are in compliance with</w:t>
      </w:r>
      <w:proofErr w:type="gramEnd"/>
      <w:r w:rsidRPr="00956EA3">
        <w:rPr>
          <w:rFonts w:eastAsia="Verdana"/>
        </w:rPr>
        <w:t xml:space="preserve"> applicable Law. </w:t>
      </w:r>
    </w:p>
    <w:p w14:paraId="6E21DB24" w14:textId="3872269F" w:rsidR="002053FB" w:rsidRPr="00956EA3" w:rsidRDefault="002053FB" w:rsidP="000C5291">
      <w:pPr>
        <w:pStyle w:val="Heading2"/>
        <w:rPr>
          <w:rFonts w:eastAsia="Calibri" w:cs="Arial"/>
          <w:szCs w:val="20"/>
        </w:rPr>
      </w:pPr>
      <w:r w:rsidRPr="00956EA3">
        <w:rPr>
          <w:rFonts w:eastAsia="Verdana" w:cs="Arial"/>
          <w:szCs w:val="20"/>
        </w:rPr>
        <w:t xml:space="preserve">If an offer referred to in paragraph 2.3.2 is accepted, or if the situation has otherwise been resolved by the Former Supplier and/or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the Supplier shall, or shall procure that the Notified Sub-contractor shall, immediately release the person from his/her employment or alleged employment. </w:t>
      </w:r>
    </w:p>
    <w:p w14:paraId="23E0F901" w14:textId="77777777" w:rsidR="002053FB" w:rsidRPr="00956EA3" w:rsidRDefault="002053FB" w:rsidP="000C5291">
      <w:pPr>
        <w:pStyle w:val="Heading2"/>
        <w:rPr>
          <w:rFonts w:eastAsia="Calibri" w:cs="Arial"/>
          <w:szCs w:val="20"/>
        </w:rPr>
      </w:pPr>
      <w:r w:rsidRPr="00956EA3">
        <w:rPr>
          <w:rFonts w:eastAsia="Verdana" w:cs="Arial"/>
          <w:szCs w:val="20"/>
        </w:rPr>
        <w:t xml:space="preserve">If by the end of the fifteen (15) Working Day period specified in paragraph 2.3.2: </w:t>
      </w:r>
    </w:p>
    <w:p w14:paraId="08BD57D6" w14:textId="77777777" w:rsidR="002053FB" w:rsidRPr="00956EA3" w:rsidRDefault="002053FB" w:rsidP="000C5291">
      <w:pPr>
        <w:pStyle w:val="Heading3"/>
        <w:rPr>
          <w:rFonts w:eastAsia="Calibri"/>
        </w:rPr>
      </w:pPr>
      <w:r w:rsidRPr="00956EA3">
        <w:rPr>
          <w:rFonts w:eastAsia="Verdana"/>
        </w:rPr>
        <w:t xml:space="preserve">no such offer of employment has been </w:t>
      </w:r>
      <w:proofErr w:type="gramStart"/>
      <w:r w:rsidRPr="00956EA3">
        <w:rPr>
          <w:rFonts w:eastAsia="Verdana"/>
        </w:rPr>
        <w:t>made;</w:t>
      </w:r>
      <w:proofErr w:type="gramEnd"/>
      <w:r w:rsidRPr="00956EA3">
        <w:rPr>
          <w:rFonts w:eastAsia="Verdana"/>
        </w:rPr>
        <w:t xml:space="preserve"> </w:t>
      </w:r>
    </w:p>
    <w:p w14:paraId="62DF5042" w14:textId="77777777" w:rsidR="002053FB" w:rsidRPr="00956EA3" w:rsidRDefault="002053FB" w:rsidP="000C5291">
      <w:pPr>
        <w:pStyle w:val="Heading3"/>
        <w:rPr>
          <w:rFonts w:eastAsia="Verdana"/>
        </w:rPr>
      </w:pPr>
      <w:r w:rsidRPr="00956EA3">
        <w:rPr>
          <w:rFonts w:eastAsia="Verdana"/>
        </w:rPr>
        <w:t xml:space="preserve">such offer has been made but not accepted; or </w:t>
      </w:r>
    </w:p>
    <w:p w14:paraId="2C16D190" w14:textId="77777777" w:rsidR="002053FB" w:rsidRPr="00956EA3" w:rsidRDefault="002053FB" w:rsidP="000C5291">
      <w:pPr>
        <w:pStyle w:val="Heading3"/>
        <w:rPr>
          <w:rFonts w:eastAsia="Calibri"/>
        </w:rPr>
      </w:pPr>
      <w:r w:rsidRPr="00956EA3">
        <w:rPr>
          <w:rFonts w:eastAsia="Verdana"/>
        </w:rPr>
        <w:lastRenderedPageBreak/>
        <w:t xml:space="preserve">the situation has not otherwise been resolved, the Supplier and/or any Notified Sub-contractor may within five (5) Working Days give notice to terminate the employment or alleged employment of such person. </w:t>
      </w:r>
    </w:p>
    <w:p w14:paraId="02725623" w14:textId="0E40693F" w:rsidR="002053FB" w:rsidRPr="00956EA3" w:rsidRDefault="002053FB" w:rsidP="000C5291">
      <w:pPr>
        <w:pStyle w:val="Heading2"/>
        <w:rPr>
          <w:rFonts w:eastAsia="Calibri" w:cs="Arial"/>
          <w:szCs w:val="20"/>
        </w:rPr>
      </w:pPr>
      <w:r w:rsidRPr="00956EA3">
        <w:rPr>
          <w:rFonts w:eastAsia="Verdana" w:cs="Arial"/>
          <w:szCs w:val="20"/>
        </w:rPr>
        <w:t xml:space="preserve">Subject to the Supplier and/or any Notified Sub-contractor acting in accordance with the provisions of paragraphs 2.3 to 2.5 and in accordance with all applicable proper employment procedures set out in Law,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shall use reasonable endeavours to procure that the Former Supplier indemnifies the Supplier and/or any Notified Subcontractor (as appropriate) against all Employee Liabilities arising out of the termination of employment pursuant to the provisions of paragraph 2.5 provided that the Supplier takes, or shall procure that the Notified Sub-contractor takes, all reasonable steps to minimise any such Employee Liabilities. </w:t>
      </w:r>
    </w:p>
    <w:p w14:paraId="775F2180" w14:textId="77777777" w:rsidR="002053FB" w:rsidRPr="00956EA3" w:rsidRDefault="002053FB" w:rsidP="000C5291">
      <w:pPr>
        <w:pStyle w:val="Heading2"/>
        <w:rPr>
          <w:rFonts w:eastAsia="Calibri" w:cs="Arial"/>
          <w:szCs w:val="20"/>
        </w:rPr>
      </w:pPr>
      <w:r w:rsidRPr="00956EA3">
        <w:rPr>
          <w:rFonts w:eastAsia="Verdana" w:cs="Arial"/>
          <w:szCs w:val="20"/>
        </w:rPr>
        <w:t xml:space="preserve">The indemnity in paragraph 2.6: </w:t>
      </w:r>
    </w:p>
    <w:p w14:paraId="179532D3" w14:textId="0DB93EF8" w:rsidR="002053FB" w:rsidRPr="00956EA3" w:rsidRDefault="002053FB" w:rsidP="000C5291">
      <w:pPr>
        <w:pStyle w:val="Heading3"/>
        <w:rPr>
          <w:rFonts w:eastAsia="Calibri"/>
        </w:rPr>
      </w:pPr>
      <w:r w:rsidRPr="00956EA3">
        <w:rPr>
          <w:rFonts w:eastAsia="Verdana"/>
        </w:rPr>
        <w:t xml:space="preserve">shall not apply to: </w:t>
      </w:r>
    </w:p>
    <w:p w14:paraId="51CB94DB" w14:textId="77777777" w:rsidR="002053FB" w:rsidRPr="00956EA3" w:rsidRDefault="002053FB" w:rsidP="002053FB">
      <w:pPr>
        <w:spacing w:after="234" w:line="249" w:lineRule="auto"/>
        <w:ind w:left="2835" w:right="47" w:hanging="1134"/>
        <w:rPr>
          <w:rFonts w:eastAsia="Calibri" w:cs="Arial"/>
          <w:szCs w:val="20"/>
        </w:rPr>
      </w:pPr>
      <w:r w:rsidRPr="00956EA3">
        <w:rPr>
          <w:rFonts w:eastAsia="Verdana" w:cs="Arial"/>
          <w:szCs w:val="20"/>
        </w:rPr>
        <w:t xml:space="preserve">2.7.1.1 </w:t>
      </w:r>
      <w:r w:rsidRPr="00956EA3">
        <w:rPr>
          <w:rFonts w:eastAsia="Verdana" w:cs="Arial"/>
          <w:szCs w:val="20"/>
        </w:rPr>
        <w:tab/>
        <w:t xml:space="preserve">any claim for: </w:t>
      </w:r>
    </w:p>
    <w:p w14:paraId="0A1A64FC" w14:textId="77777777" w:rsidR="002053FB" w:rsidRPr="00956EA3" w:rsidRDefault="002053FB" w:rsidP="009D675B">
      <w:pPr>
        <w:numPr>
          <w:ilvl w:val="0"/>
          <w:numId w:val="89"/>
        </w:numPr>
        <w:spacing w:after="232" w:line="250" w:lineRule="auto"/>
        <w:ind w:left="3402" w:right="47" w:hanging="567"/>
        <w:jc w:val="left"/>
        <w:rPr>
          <w:rFonts w:eastAsia="Verdana" w:cs="Arial"/>
          <w:szCs w:val="20"/>
        </w:rPr>
      </w:pPr>
      <w:r w:rsidRPr="00956EA3">
        <w:rPr>
          <w:rFonts w:eastAsia="Verdana" w:cs="Arial"/>
          <w:szCs w:val="20"/>
        </w:rPr>
        <w:t xml:space="preserve">discrimination, including on the grounds of sex, race, disability, age, gender reassignment, marriage or civil partnership, pregnancy and maternity or sexual orientation, </w:t>
      </w:r>
      <w:proofErr w:type="gramStart"/>
      <w:r w:rsidRPr="00956EA3">
        <w:rPr>
          <w:rFonts w:eastAsia="Verdana" w:cs="Arial"/>
          <w:szCs w:val="20"/>
        </w:rPr>
        <w:t>religion</w:t>
      </w:r>
      <w:proofErr w:type="gramEnd"/>
      <w:r w:rsidRPr="00956EA3">
        <w:rPr>
          <w:rFonts w:eastAsia="Verdana" w:cs="Arial"/>
          <w:szCs w:val="20"/>
        </w:rPr>
        <w:t xml:space="preserve"> or belief; or </w:t>
      </w:r>
    </w:p>
    <w:p w14:paraId="31A0DFB4" w14:textId="77777777" w:rsidR="002053FB" w:rsidRPr="00956EA3" w:rsidRDefault="002053FB" w:rsidP="009D675B">
      <w:pPr>
        <w:numPr>
          <w:ilvl w:val="0"/>
          <w:numId w:val="89"/>
        </w:numPr>
        <w:spacing w:after="232" w:line="250" w:lineRule="auto"/>
        <w:ind w:left="3402" w:right="47" w:hanging="567"/>
        <w:jc w:val="left"/>
        <w:rPr>
          <w:rFonts w:eastAsia="Verdana" w:cs="Arial"/>
          <w:szCs w:val="20"/>
        </w:rPr>
      </w:pPr>
      <w:r w:rsidRPr="00956EA3">
        <w:rPr>
          <w:rFonts w:eastAsia="Verdana" w:cs="Arial"/>
          <w:szCs w:val="20"/>
        </w:rPr>
        <w:t xml:space="preserve">equal pay or compensation for less favourable treatment of parttime workers or fixed-term employees, in any case in relation to any alleged act or omission of the Supplier and/or any Sub-contractor; or </w:t>
      </w:r>
    </w:p>
    <w:p w14:paraId="7E5B8C68" w14:textId="2635681D" w:rsidR="002053FB" w:rsidRDefault="002053FB" w:rsidP="002053FB">
      <w:pPr>
        <w:spacing w:after="234" w:line="249" w:lineRule="auto"/>
        <w:ind w:left="2835" w:right="47" w:hanging="1134"/>
        <w:rPr>
          <w:rFonts w:eastAsia="Verdana" w:cs="Arial"/>
          <w:szCs w:val="20"/>
        </w:rPr>
      </w:pPr>
      <w:r w:rsidRPr="00956EA3">
        <w:rPr>
          <w:rFonts w:eastAsia="Verdana" w:cs="Arial"/>
          <w:szCs w:val="20"/>
        </w:rPr>
        <w:t>2.7.1.2</w:t>
      </w:r>
      <w:r w:rsidRPr="00956EA3">
        <w:rPr>
          <w:rFonts w:eastAsia="Arial" w:cs="Arial"/>
          <w:szCs w:val="20"/>
        </w:rPr>
        <w:t xml:space="preserve"> </w:t>
      </w:r>
      <w:r>
        <w:rPr>
          <w:rFonts w:eastAsia="Arial" w:cs="Arial"/>
          <w:szCs w:val="20"/>
        </w:rPr>
        <w:tab/>
      </w:r>
      <w:r w:rsidRPr="00956EA3">
        <w:rPr>
          <w:rFonts w:eastAsia="Verdana" w:cs="Arial"/>
          <w:szCs w:val="20"/>
        </w:rPr>
        <w:t xml:space="preserve">any claim that the termination of employment was unfair because the Supplier and/or Notified Sub-contractor neglected to follow a fair dismissal procedure; and </w:t>
      </w:r>
    </w:p>
    <w:p w14:paraId="0B2A0B13" w14:textId="77777777" w:rsidR="002053FB" w:rsidRPr="00956EA3" w:rsidRDefault="002053FB" w:rsidP="002053FB">
      <w:pPr>
        <w:tabs>
          <w:tab w:val="right" w:pos="9132"/>
        </w:tabs>
        <w:spacing w:after="7" w:line="250" w:lineRule="auto"/>
        <w:ind w:left="0" w:firstLine="0"/>
        <w:jc w:val="left"/>
        <w:rPr>
          <w:rFonts w:eastAsia="Calibri" w:cs="Arial"/>
          <w:szCs w:val="20"/>
        </w:rPr>
      </w:pPr>
    </w:p>
    <w:p w14:paraId="19265AAF" w14:textId="5812544D" w:rsidR="002053FB" w:rsidRPr="00956EA3" w:rsidRDefault="002053FB" w:rsidP="000C5291">
      <w:pPr>
        <w:pStyle w:val="Heading3"/>
        <w:rPr>
          <w:rFonts w:eastAsia="Calibri"/>
        </w:rPr>
      </w:pPr>
      <w:r w:rsidRPr="00956EA3">
        <w:rPr>
          <w:rFonts w:eastAsia="Verdana"/>
        </w:rPr>
        <w:t xml:space="preserve">shall apply only where the notification referred to in paragraph 2.3.1 is made by the Supplier and/or any Notified Sub-contractor (as appropriate) to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 and, if applicable, the Former Supplier, within six (6) months of the Effective Date. </w:t>
      </w:r>
    </w:p>
    <w:p w14:paraId="6F71AA70" w14:textId="77777777" w:rsidR="002053FB" w:rsidRPr="00956EA3" w:rsidRDefault="002053FB" w:rsidP="000C5291">
      <w:pPr>
        <w:pStyle w:val="Heading2"/>
        <w:rPr>
          <w:rFonts w:eastAsia="Calibri" w:cs="Arial"/>
          <w:szCs w:val="20"/>
        </w:rPr>
      </w:pPr>
      <w:r w:rsidRPr="00956EA3">
        <w:rPr>
          <w:rFonts w:eastAsia="Verdana" w:cs="Arial"/>
          <w:szCs w:val="20"/>
        </w:rPr>
        <w:t xml:space="preserve">If any such person as is described in paragraph 2.3 is neither re-employed by the Former Supplier nor dismissed by the Supplier and/or any Notified Sub-contractor within the time scales set out in paragraph 2.5, such person shall be treated as having transferred to the Supplier or Notified Sub-contractor and the Supplier shall, or shall procure that the Notified Sub-contractor shall, comply with such obligations as may be imposed upon it under the Law. </w:t>
      </w:r>
    </w:p>
    <w:p w14:paraId="76A473BC" w14:textId="77777777" w:rsidR="002053FB" w:rsidRPr="00956EA3" w:rsidRDefault="002053FB" w:rsidP="000C5291">
      <w:pPr>
        <w:pStyle w:val="Heading1"/>
        <w:rPr>
          <w:rFonts w:eastAsia="Verdana" w:cs="Arial"/>
          <w:szCs w:val="20"/>
        </w:rPr>
      </w:pPr>
      <w:r w:rsidRPr="00956EA3">
        <w:rPr>
          <w:rFonts w:eastAsia="Verdana" w:cs="Arial"/>
          <w:szCs w:val="20"/>
        </w:rPr>
        <w:t xml:space="preserve">SUPPLIER INDEMNITIES AND OBLIGATIONS </w:t>
      </w:r>
    </w:p>
    <w:p w14:paraId="1DF8E69D" w14:textId="5238F393" w:rsidR="002053FB" w:rsidRPr="00956EA3" w:rsidRDefault="002053FB" w:rsidP="000C5291">
      <w:pPr>
        <w:pStyle w:val="Heading2"/>
        <w:rPr>
          <w:rFonts w:eastAsia="Calibri" w:cs="Arial"/>
          <w:szCs w:val="20"/>
        </w:rPr>
      </w:pPr>
      <w:r w:rsidRPr="00956EA3">
        <w:rPr>
          <w:rFonts w:eastAsia="Verdana" w:cs="Arial"/>
          <w:szCs w:val="20"/>
        </w:rPr>
        <w:t xml:space="preserve">Subject to paragraph 3.2, the Supplier shall indemnify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and/or the Former Supplier against any Employee Liabilities arising from or </w:t>
      </w:r>
      <w:proofErr w:type="gramStart"/>
      <w:r w:rsidRPr="00956EA3">
        <w:rPr>
          <w:rFonts w:eastAsia="Verdana" w:cs="Arial"/>
          <w:szCs w:val="20"/>
        </w:rPr>
        <w:t>as a result of</w:t>
      </w:r>
      <w:proofErr w:type="gramEnd"/>
      <w:r w:rsidRPr="00956EA3">
        <w:rPr>
          <w:rFonts w:eastAsia="Verdana" w:cs="Arial"/>
          <w:szCs w:val="20"/>
        </w:rPr>
        <w:t xml:space="preserve">: </w:t>
      </w:r>
    </w:p>
    <w:p w14:paraId="70B3DD7D" w14:textId="77777777" w:rsidR="002053FB" w:rsidRPr="00956EA3" w:rsidRDefault="002053FB" w:rsidP="000C5291">
      <w:pPr>
        <w:pStyle w:val="Heading3"/>
        <w:rPr>
          <w:rFonts w:eastAsia="Calibri"/>
        </w:rPr>
      </w:pPr>
      <w:r w:rsidRPr="00956EA3">
        <w:rPr>
          <w:rFonts w:eastAsia="Verdana"/>
        </w:rPr>
        <w:t xml:space="preserve">any act or omission by the Supplier or any Sub-contractor in respect of any Transferring Former Supplier Employee or any employee representative (as defined in the Employment Regulations) of any Transferring Former Supplier Employee whether occurring before, on or after the Relevant Transfer </w:t>
      </w:r>
      <w:proofErr w:type="gramStart"/>
      <w:r w:rsidRPr="00956EA3">
        <w:rPr>
          <w:rFonts w:eastAsia="Verdana"/>
        </w:rPr>
        <w:t>Date;</w:t>
      </w:r>
      <w:proofErr w:type="gramEnd"/>
      <w:r w:rsidRPr="00956EA3">
        <w:rPr>
          <w:rFonts w:eastAsia="Verdana"/>
        </w:rPr>
        <w:t xml:space="preserve"> </w:t>
      </w:r>
    </w:p>
    <w:p w14:paraId="3F44F70D" w14:textId="77777777" w:rsidR="002053FB" w:rsidRPr="00956EA3" w:rsidRDefault="002053FB" w:rsidP="000C5291">
      <w:pPr>
        <w:pStyle w:val="Heading3"/>
        <w:rPr>
          <w:rFonts w:eastAsia="Calibri"/>
        </w:rPr>
      </w:pPr>
      <w:r w:rsidRPr="00956EA3">
        <w:rPr>
          <w:rFonts w:eastAsia="Verdana"/>
        </w:rPr>
        <w:t xml:space="preserve">the breach or non-observance by the Supplier or any Sub-contractor on or after the Relevant Transfer Date of: </w:t>
      </w:r>
    </w:p>
    <w:p w14:paraId="53C68444" w14:textId="77777777" w:rsidR="002053FB" w:rsidRPr="00956EA3" w:rsidRDefault="002053FB" w:rsidP="002053FB">
      <w:pPr>
        <w:spacing w:after="234" w:line="249" w:lineRule="auto"/>
        <w:ind w:left="2835" w:right="47" w:hanging="1134"/>
        <w:rPr>
          <w:rFonts w:eastAsia="Calibri" w:cs="Arial"/>
          <w:szCs w:val="20"/>
        </w:rPr>
      </w:pPr>
      <w:r w:rsidRPr="00956EA3">
        <w:rPr>
          <w:rFonts w:eastAsia="Verdana" w:cs="Arial"/>
          <w:szCs w:val="20"/>
        </w:rPr>
        <w:t>3.1.2.1</w:t>
      </w:r>
      <w:r w:rsidRPr="00956EA3">
        <w:rPr>
          <w:rFonts w:eastAsia="Arial" w:cs="Arial"/>
          <w:szCs w:val="20"/>
        </w:rPr>
        <w:t xml:space="preserve"> </w:t>
      </w:r>
      <w:r w:rsidRPr="00956EA3">
        <w:rPr>
          <w:rFonts w:eastAsia="Arial" w:cs="Arial"/>
          <w:szCs w:val="20"/>
        </w:rPr>
        <w:tab/>
      </w:r>
      <w:r w:rsidRPr="00956EA3">
        <w:rPr>
          <w:rFonts w:eastAsia="Verdana" w:cs="Arial"/>
          <w:szCs w:val="20"/>
        </w:rPr>
        <w:t xml:space="preserve">any collective agreement applicable to the Transferring Former Supplier Employee; and/or </w:t>
      </w:r>
    </w:p>
    <w:p w14:paraId="01CCF6AE" w14:textId="77777777" w:rsidR="002053FB" w:rsidRPr="00956EA3" w:rsidRDefault="002053FB" w:rsidP="002053FB">
      <w:pPr>
        <w:spacing w:after="234" w:line="249" w:lineRule="auto"/>
        <w:ind w:left="2835" w:right="47" w:hanging="1134"/>
        <w:rPr>
          <w:rFonts w:eastAsia="Calibri" w:cs="Arial"/>
          <w:szCs w:val="20"/>
        </w:rPr>
      </w:pPr>
      <w:r w:rsidRPr="00956EA3">
        <w:rPr>
          <w:rFonts w:eastAsia="Verdana" w:cs="Arial"/>
          <w:szCs w:val="20"/>
        </w:rPr>
        <w:t>3.1.2.2</w:t>
      </w:r>
      <w:r w:rsidRPr="00956EA3">
        <w:rPr>
          <w:rFonts w:eastAsia="Arial" w:cs="Arial"/>
          <w:szCs w:val="20"/>
        </w:rPr>
        <w:t xml:space="preserve"> </w:t>
      </w:r>
      <w:r w:rsidRPr="00956EA3">
        <w:rPr>
          <w:rFonts w:eastAsia="Arial" w:cs="Arial"/>
          <w:szCs w:val="20"/>
        </w:rPr>
        <w:tab/>
      </w:r>
      <w:r w:rsidRPr="00956EA3">
        <w:rPr>
          <w:rFonts w:eastAsia="Verdana" w:cs="Arial"/>
          <w:szCs w:val="20"/>
        </w:rPr>
        <w:t xml:space="preserve">any custom or practice in respect of any Transferring Former Supplier Employees which the Supplier or any Sub-contractor is contractually bound to </w:t>
      </w:r>
      <w:proofErr w:type="gramStart"/>
      <w:r w:rsidRPr="00956EA3">
        <w:rPr>
          <w:rFonts w:eastAsia="Verdana" w:cs="Arial"/>
          <w:szCs w:val="20"/>
        </w:rPr>
        <w:t>honour;</w:t>
      </w:r>
      <w:proofErr w:type="gramEnd"/>
      <w:r w:rsidRPr="00956EA3">
        <w:rPr>
          <w:rFonts w:eastAsia="Verdana" w:cs="Arial"/>
          <w:szCs w:val="20"/>
        </w:rPr>
        <w:t xml:space="preserve"> </w:t>
      </w:r>
    </w:p>
    <w:p w14:paraId="2F2019C0" w14:textId="77777777" w:rsidR="002053FB" w:rsidRPr="00956EA3" w:rsidRDefault="002053FB" w:rsidP="000C5291">
      <w:pPr>
        <w:pStyle w:val="Heading3"/>
        <w:rPr>
          <w:rFonts w:eastAsia="Calibri"/>
        </w:rPr>
      </w:pPr>
      <w:r w:rsidRPr="00956EA3">
        <w:rPr>
          <w:rFonts w:eastAsia="Verdana"/>
        </w:rPr>
        <w:lastRenderedPageBreak/>
        <w:t xml:space="preserve">any claim by any trade union or other body or person representing any Transferring Former Supplier Employees arising from or connected with any failure by the Supplier or a Sub-contractor to comply with any legal obligation to such trade union, body or person arising on or after the Relevant Transfer </w:t>
      </w:r>
      <w:proofErr w:type="gramStart"/>
      <w:r w:rsidRPr="00956EA3">
        <w:rPr>
          <w:rFonts w:eastAsia="Verdana"/>
        </w:rPr>
        <w:t>Date;</w:t>
      </w:r>
      <w:proofErr w:type="gramEnd"/>
      <w:r w:rsidRPr="00956EA3">
        <w:rPr>
          <w:rFonts w:eastAsia="Verdana"/>
        </w:rPr>
        <w:t xml:space="preserve"> </w:t>
      </w:r>
    </w:p>
    <w:p w14:paraId="7D88987D" w14:textId="77777777" w:rsidR="002053FB" w:rsidRPr="00956EA3" w:rsidRDefault="002053FB" w:rsidP="000C5291">
      <w:pPr>
        <w:pStyle w:val="Heading3"/>
        <w:rPr>
          <w:rFonts w:eastAsia="Calibri"/>
        </w:rPr>
      </w:pPr>
      <w:r w:rsidRPr="00956EA3">
        <w:rPr>
          <w:rFonts w:eastAsia="Verdana"/>
        </w:rPr>
        <w:t xml:space="preserve">any proposal by the Supplier or a Sub-contractor prior to the Relevant Transfer Date to make changes to the terms and conditions of employment or working conditions of any Transferring Former Supplier Employees to their material detriment on or after their transfer to the Supplier or a Subcontractor (as the case may be) on the Relevant Transfer Date, or to change the terms and conditions of employment or working conditions of any person who would have been a Transferring Former Supplier Employee but for their resignation (or decision to treat their employment as terminated under Regulation 4(9) of the Employment Regulations) before the Relevant Transfer Date as a result of or for a reason connected to such proposed changes; </w:t>
      </w:r>
    </w:p>
    <w:p w14:paraId="7C4EFE06" w14:textId="6DE533ED" w:rsidR="002053FB" w:rsidRPr="00956EA3" w:rsidRDefault="002053FB" w:rsidP="000C5291">
      <w:pPr>
        <w:pStyle w:val="Heading3"/>
        <w:rPr>
          <w:rFonts w:eastAsia="Calibri"/>
        </w:rPr>
      </w:pPr>
      <w:r w:rsidRPr="00956EA3">
        <w:rPr>
          <w:rFonts w:eastAsia="Verdana"/>
        </w:rPr>
        <w:t xml:space="preserve">any statement communicated </w:t>
      </w:r>
      <w:proofErr w:type="gramStart"/>
      <w:r w:rsidRPr="00956EA3">
        <w:rPr>
          <w:rFonts w:eastAsia="Verdana"/>
        </w:rPr>
        <w:t>to</w:t>
      </w:r>
      <w:proofErr w:type="gramEnd"/>
      <w:r w:rsidRPr="00956EA3">
        <w:rPr>
          <w:rFonts w:eastAsia="Verdana"/>
        </w:rPr>
        <w:t xml:space="preserve"> or action undertaken by the Supplier or a Subcontractor to, or in respect of, any Transferring Former Supplier Employee before the Relevant Transfer Date regarding the Relevant Transfer which has not been agreed in advance with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 and/or the Former Supplier in writing; </w:t>
      </w:r>
    </w:p>
    <w:p w14:paraId="7D742DE1" w14:textId="77777777" w:rsidR="002053FB" w:rsidRPr="00956EA3" w:rsidRDefault="002053FB" w:rsidP="000C5291">
      <w:pPr>
        <w:pStyle w:val="Heading3"/>
        <w:rPr>
          <w:rFonts w:eastAsia="Calibri"/>
        </w:rPr>
      </w:pPr>
      <w:r w:rsidRPr="00956EA3">
        <w:rPr>
          <w:rFonts w:eastAsia="Verdana"/>
        </w:rPr>
        <w:t xml:space="preserve">any proceeding, claim or demand by HMRC or other statutory authority in respect of any financial obligation including, but not limited to, PAYE and primary and secondary national insurance contributions: </w:t>
      </w:r>
    </w:p>
    <w:p w14:paraId="6D10FAC2" w14:textId="77777777" w:rsidR="002053FB" w:rsidRPr="002053FB" w:rsidRDefault="002053FB" w:rsidP="002053FB">
      <w:pPr>
        <w:spacing w:after="234" w:line="249" w:lineRule="auto"/>
        <w:ind w:left="2835" w:right="47" w:hanging="1134"/>
        <w:rPr>
          <w:rFonts w:eastAsia="Verdana" w:cs="Arial"/>
          <w:szCs w:val="20"/>
        </w:rPr>
      </w:pPr>
      <w:r w:rsidRPr="00956EA3">
        <w:rPr>
          <w:rFonts w:eastAsia="Verdana" w:cs="Arial"/>
          <w:szCs w:val="20"/>
        </w:rPr>
        <w:t>3.1.6.1</w:t>
      </w:r>
      <w:r w:rsidRPr="00956EA3">
        <w:rPr>
          <w:rFonts w:eastAsia="Arial" w:cs="Arial"/>
          <w:szCs w:val="20"/>
        </w:rPr>
        <w:t xml:space="preserve"> </w:t>
      </w:r>
      <w:r w:rsidRPr="00956EA3">
        <w:rPr>
          <w:rFonts w:eastAsia="Arial" w:cs="Arial"/>
          <w:szCs w:val="20"/>
        </w:rPr>
        <w:tab/>
      </w:r>
      <w:r w:rsidRPr="00956EA3">
        <w:rPr>
          <w:rFonts w:eastAsia="Verdana" w:cs="Arial"/>
          <w:szCs w:val="20"/>
        </w:rPr>
        <w:t xml:space="preserve">in relation to any Transferring Former Supplier Employee, to the extent that the proceeding, claim or demand by HMRC or other statutory authority relates to financial obligations arising on or after the Relevant Transfer Date; and </w:t>
      </w:r>
    </w:p>
    <w:p w14:paraId="3F70E594" w14:textId="77777777" w:rsidR="002053FB" w:rsidRPr="00956EA3" w:rsidRDefault="002053FB" w:rsidP="002053FB">
      <w:pPr>
        <w:spacing w:after="234" w:line="249" w:lineRule="auto"/>
        <w:ind w:left="2835" w:right="47" w:hanging="1134"/>
        <w:rPr>
          <w:rFonts w:eastAsia="Calibri" w:cs="Arial"/>
          <w:szCs w:val="20"/>
        </w:rPr>
      </w:pPr>
      <w:r w:rsidRPr="00956EA3">
        <w:rPr>
          <w:rFonts w:eastAsia="Verdana" w:cs="Arial"/>
          <w:szCs w:val="20"/>
        </w:rPr>
        <w:t>3.1.6.2</w:t>
      </w:r>
      <w:r w:rsidRPr="002053FB">
        <w:rPr>
          <w:rFonts w:eastAsia="Verdana" w:cs="Arial"/>
          <w:szCs w:val="20"/>
        </w:rPr>
        <w:t xml:space="preserve"> </w:t>
      </w:r>
      <w:r w:rsidRPr="002053FB">
        <w:rPr>
          <w:rFonts w:eastAsia="Verdana" w:cs="Arial"/>
          <w:szCs w:val="20"/>
        </w:rPr>
        <w:tab/>
      </w:r>
      <w:r w:rsidRPr="00956EA3">
        <w:rPr>
          <w:rFonts w:eastAsia="Verdana" w:cs="Arial"/>
          <w:szCs w:val="20"/>
        </w:rPr>
        <w:t xml:space="preserve">in relation to any employee who is not a Transferring Former Supplier Employee, and in respect of whom it is later alleged or determined that the Employment Regulations applied so as to transfer his/her employment from the Former Supplier to the Supplier or a Subcontractor, to the extent that the proceeding, claim or demand by the HMRC or other statutory authority relates to financial obligations arising on or after the Relevant Transfer Date; </w:t>
      </w:r>
    </w:p>
    <w:p w14:paraId="69243767" w14:textId="77777777" w:rsidR="002053FB" w:rsidRPr="00956EA3" w:rsidRDefault="002053FB" w:rsidP="000C5291">
      <w:pPr>
        <w:pStyle w:val="Heading3"/>
        <w:rPr>
          <w:rFonts w:eastAsia="Calibri"/>
        </w:rPr>
      </w:pPr>
      <w:r w:rsidRPr="00956EA3">
        <w:rPr>
          <w:rFonts w:eastAsia="Verdana"/>
        </w:rPr>
        <w:t xml:space="preserve">a failure of the Supplier or any Sub-contractor to discharge or procure the discharge of all wages, salaries and all other benefits and all PAYE tax deductions and national insurance contributions relating to the Transferring Former Supplier Employees in respect of the period from (and including) the Relevant Transfer </w:t>
      </w:r>
      <w:proofErr w:type="gramStart"/>
      <w:r w:rsidRPr="00956EA3">
        <w:rPr>
          <w:rFonts w:eastAsia="Verdana"/>
        </w:rPr>
        <w:t>Date;</w:t>
      </w:r>
      <w:proofErr w:type="gramEnd"/>
      <w:r w:rsidRPr="00956EA3">
        <w:rPr>
          <w:rFonts w:eastAsia="Verdana"/>
        </w:rPr>
        <w:t xml:space="preserve">  </w:t>
      </w:r>
    </w:p>
    <w:p w14:paraId="2D6E660D" w14:textId="77777777" w:rsidR="002053FB" w:rsidRPr="00956EA3" w:rsidRDefault="002053FB" w:rsidP="000C5291">
      <w:pPr>
        <w:pStyle w:val="Heading3"/>
        <w:rPr>
          <w:rFonts w:eastAsia="Calibri"/>
        </w:rPr>
      </w:pPr>
      <w:r w:rsidRPr="00956EA3">
        <w:rPr>
          <w:rFonts w:eastAsia="Verdana"/>
        </w:rPr>
        <w:t xml:space="preserve">any claim made by or in respect of a Transferring Former Supplier Employee or any appropriate employee representative (as defined in the Employment Regulations) of any Transferring Former Supplier Employee relating to any act or omission of the Supplier or any Sub-contractor in relation to obligations under Regulation 13 of the Employment Regulations, except to the extent that the liability arises from the Former Supplier’s failure to comply with its obligations under Regulation 13 of the Employment Regulations; and </w:t>
      </w:r>
    </w:p>
    <w:p w14:paraId="7F4DCF52" w14:textId="77777777" w:rsidR="002053FB" w:rsidRPr="00956EA3" w:rsidRDefault="002053FB" w:rsidP="000C5291">
      <w:pPr>
        <w:pStyle w:val="Heading3"/>
        <w:rPr>
          <w:rFonts w:eastAsia="Calibri"/>
        </w:rPr>
      </w:pPr>
      <w:r w:rsidRPr="00956EA3">
        <w:rPr>
          <w:rFonts w:eastAsia="Verdana"/>
        </w:rPr>
        <w:t xml:space="preserve">a failure by the Supplier or any Sub-contractor to comply with its obligations under paragraph 2.8 above. </w:t>
      </w:r>
    </w:p>
    <w:p w14:paraId="67176B62" w14:textId="77777777" w:rsidR="002053FB" w:rsidRPr="00956EA3" w:rsidRDefault="002053FB" w:rsidP="000C5291">
      <w:pPr>
        <w:pStyle w:val="Heading2"/>
        <w:rPr>
          <w:rFonts w:eastAsia="Calibri" w:cs="Arial"/>
          <w:szCs w:val="20"/>
        </w:rPr>
      </w:pPr>
      <w:r w:rsidRPr="00956EA3">
        <w:rPr>
          <w:rFonts w:eastAsia="Verdana" w:cs="Arial"/>
          <w:szCs w:val="20"/>
        </w:rPr>
        <w:t xml:space="preserve">The indemnities in paragraph 3.1 shall not apply to the extent that the Employee Liabilities arise or are attributable to an act or omission of the Former Supplier whether occurring or having its origin before, on or after the Relevant Transfer Date including, without limitation, any Employee Liabilities arising from the Former Supplier’s failure to comply with its obligations under the Employment Regulations. </w:t>
      </w:r>
    </w:p>
    <w:p w14:paraId="087F6C57" w14:textId="77777777" w:rsidR="002053FB" w:rsidRPr="00956EA3" w:rsidRDefault="002053FB" w:rsidP="000C5291">
      <w:pPr>
        <w:pStyle w:val="Heading2"/>
        <w:rPr>
          <w:rFonts w:eastAsia="Calibri" w:cs="Arial"/>
          <w:szCs w:val="20"/>
        </w:rPr>
      </w:pPr>
      <w:r w:rsidRPr="00956EA3">
        <w:rPr>
          <w:rFonts w:eastAsia="Verdana" w:cs="Arial"/>
          <w:szCs w:val="20"/>
        </w:rPr>
        <w:t xml:space="preserve">The Supplier shall comply, and shall procure that each Sub-contractor shall comply, with all its obligations under the Employment Regulations (including without limitation its obligation to inform and consult in accordance with Regulation 13 of the Employment Regulations) and shall </w:t>
      </w:r>
      <w:r w:rsidRPr="00956EA3">
        <w:rPr>
          <w:rFonts w:eastAsia="Verdana" w:cs="Arial"/>
          <w:szCs w:val="20"/>
        </w:rPr>
        <w:lastRenderedPageBreak/>
        <w:t xml:space="preserve">perform and discharge, and shall procure that each Sub-contractor shall perform and discharge, all its obligations in respect of all the Transferring Former Supplier Employees, on and from the Relevant Transfer Date and any necessary apportionments in respect of any periodic payments shall be made between the Supplier and the Former Supplier. </w:t>
      </w:r>
    </w:p>
    <w:p w14:paraId="1B6C0200" w14:textId="77777777" w:rsidR="002053FB" w:rsidRPr="00956EA3" w:rsidRDefault="002053FB" w:rsidP="000C5291">
      <w:pPr>
        <w:pStyle w:val="Heading1"/>
        <w:rPr>
          <w:rFonts w:eastAsia="Verdana" w:cs="Arial"/>
          <w:szCs w:val="20"/>
        </w:rPr>
      </w:pPr>
      <w:r w:rsidRPr="00956EA3">
        <w:rPr>
          <w:rFonts w:eastAsia="Verdana" w:cs="Arial"/>
          <w:szCs w:val="20"/>
        </w:rPr>
        <w:t xml:space="preserve">INFORMATION </w:t>
      </w:r>
    </w:p>
    <w:p w14:paraId="19957CEA" w14:textId="68EB2CA8" w:rsidR="002053FB" w:rsidRPr="00956EA3" w:rsidRDefault="002053FB" w:rsidP="00D176EF">
      <w:pPr>
        <w:pStyle w:val="Heading2"/>
        <w:numPr>
          <w:ilvl w:val="0"/>
          <w:numId w:val="0"/>
        </w:numPr>
        <w:ind w:left="709"/>
        <w:rPr>
          <w:rFonts w:eastAsia="Calibri" w:cs="Arial"/>
          <w:szCs w:val="20"/>
        </w:rPr>
      </w:pPr>
      <w:r w:rsidRPr="00956EA3">
        <w:rPr>
          <w:rFonts w:eastAsia="Verdana" w:cs="Arial"/>
          <w:szCs w:val="20"/>
        </w:rPr>
        <w:t xml:space="preserve">The Supplier shall, and shall procure that each Sub-contractor shall, promptly provide to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and/or at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’s direction, the Former Supplier, in writing such information as is necessary to enable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and/or the Former Supplier to carry out their respective duties under Regulation 13 of the Employment Regulations.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shall use reasonable endeavours to procure that the Former Supplier shall promptly provide to the Supplier and each Notified Subcontractor in writing such information as is necessary to enable the Supplier and each Notified Subcontractor to carry out their respective duties under Regulation 13 of the Employment Regulations. </w:t>
      </w:r>
    </w:p>
    <w:p w14:paraId="16E5D85B" w14:textId="77777777" w:rsidR="002053FB" w:rsidRPr="00956EA3" w:rsidRDefault="002053FB" w:rsidP="000C5291">
      <w:pPr>
        <w:pStyle w:val="Heading1"/>
        <w:rPr>
          <w:rFonts w:eastAsia="Verdana" w:cs="Arial"/>
          <w:szCs w:val="20"/>
        </w:rPr>
      </w:pPr>
      <w:r w:rsidRPr="00956EA3">
        <w:rPr>
          <w:rFonts w:eastAsia="Verdana" w:cs="Arial"/>
          <w:szCs w:val="20"/>
        </w:rPr>
        <w:t xml:space="preserve">PROCUREMENT OBLIGATIONS </w:t>
      </w:r>
    </w:p>
    <w:p w14:paraId="0AA9C925" w14:textId="3370EC56" w:rsidR="002053FB" w:rsidRPr="00956EA3" w:rsidRDefault="002053FB" w:rsidP="00D176EF">
      <w:pPr>
        <w:pStyle w:val="Heading2"/>
        <w:numPr>
          <w:ilvl w:val="0"/>
          <w:numId w:val="0"/>
        </w:numPr>
        <w:ind w:left="709"/>
        <w:rPr>
          <w:rFonts w:eastAsia="Verdana" w:cs="Arial"/>
          <w:szCs w:val="20"/>
        </w:rPr>
        <w:sectPr w:rsidR="002053FB" w:rsidRPr="00956EA3" w:rsidSect="009402CF">
          <w:headerReference w:type="even" r:id="rId89"/>
          <w:headerReference w:type="default" r:id="rId90"/>
          <w:footerReference w:type="even" r:id="rId91"/>
          <w:footerReference w:type="default" r:id="rId92"/>
          <w:headerReference w:type="first" r:id="rId93"/>
          <w:footerReference w:type="first" r:id="rId94"/>
          <w:pgSz w:w="11907" w:h="16840" w:code="9"/>
          <w:pgMar w:top="1418" w:right="1418" w:bottom="1134" w:left="1418" w:header="709" w:footer="709" w:gutter="0"/>
          <w:cols w:space="708"/>
          <w:titlePg/>
          <w:docGrid w:linePitch="360"/>
        </w:sectPr>
      </w:pPr>
      <w:r w:rsidRPr="00956EA3">
        <w:rPr>
          <w:rFonts w:eastAsia="Verdana" w:cs="Arial"/>
          <w:szCs w:val="20"/>
        </w:rPr>
        <w:t xml:space="preserve">Notwithstanding any other provisions of this Part B, where in this Part B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accepts an obligation to use reasonable endeavours to procure that a Former Supplier does or does not do something, such obligation shall be limited so that it extends only to the extent that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’s contract with the Former Supplier contains a contractual right in that regard which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may enforce.  The obligation to use reasonable endeavours to procure that a Former Supplier does or does not do something shall not apply where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has no such contractual right. </w:t>
      </w:r>
    </w:p>
    <w:p w14:paraId="2E9638C1" w14:textId="77777777" w:rsidR="002053FB" w:rsidRPr="00956EA3" w:rsidRDefault="002053FB" w:rsidP="009402CF">
      <w:pPr>
        <w:spacing w:after="226" w:line="259" w:lineRule="auto"/>
        <w:jc w:val="center"/>
        <w:rPr>
          <w:rFonts w:eastAsia="Calibri" w:cs="Arial"/>
          <w:b/>
          <w:bCs/>
          <w:szCs w:val="20"/>
        </w:rPr>
      </w:pPr>
      <w:r w:rsidRPr="00956EA3">
        <w:rPr>
          <w:rFonts w:eastAsia="Calibri" w:cs="Arial"/>
          <w:b/>
          <w:bCs/>
          <w:szCs w:val="20"/>
        </w:rPr>
        <w:lastRenderedPageBreak/>
        <w:t>PART C</w:t>
      </w:r>
    </w:p>
    <w:p w14:paraId="540C1350" w14:textId="11264CC8" w:rsidR="002053FB" w:rsidRPr="00956EA3" w:rsidRDefault="009429AB" w:rsidP="009402CF">
      <w:pPr>
        <w:spacing w:after="223" w:line="259" w:lineRule="auto"/>
        <w:ind w:left="800" w:right="849" w:hanging="10"/>
        <w:jc w:val="center"/>
        <w:rPr>
          <w:rFonts w:eastAsia="Calibri" w:cs="Arial"/>
          <w:szCs w:val="20"/>
        </w:rPr>
      </w:pPr>
      <w:r w:rsidRPr="00956EA3">
        <w:rPr>
          <w:rFonts w:eastAsia="Verdana" w:cs="Arial"/>
          <w:b/>
          <w:szCs w:val="20"/>
        </w:rPr>
        <w:t>NO TRANSFER OF EMPLOYEES AT COMMENCEMENT OF SERVICES</w:t>
      </w:r>
      <w:r w:rsidRPr="00956EA3">
        <w:rPr>
          <w:rFonts w:eastAsia="Verdana" w:cs="Arial"/>
          <w:szCs w:val="20"/>
        </w:rPr>
        <w:t xml:space="preserve"> </w:t>
      </w:r>
    </w:p>
    <w:p w14:paraId="6E4DBDAD" w14:textId="77777777" w:rsidR="002053FB" w:rsidRPr="002053FB" w:rsidRDefault="002053FB" w:rsidP="009D675B">
      <w:pPr>
        <w:pStyle w:val="Heading1"/>
        <w:numPr>
          <w:ilvl w:val="0"/>
          <w:numId w:val="95"/>
        </w:numPr>
        <w:rPr>
          <w:rFonts w:eastAsia="Verdana" w:cs="Arial"/>
          <w:b w:val="0"/>
          <w:szCs w:val="20"/>
        </w:rPr>
      </w:pPr>
      <w:r w:rsidRPr="002053FB">
        <w:rPr>
          <w:rFonts w:eastAsia="Verdana" w:cs="Arial"/>
          <w:szCs w:val="20"/>
        </w:rPr>
        <w:t xml:space="preserve">PROCEDURE IN THE EVENT OF TRANSFER </w:t>
      </w:r>
    </w:p>
    <w:p w14:paraId="377278FB" w14:textId="14745657" w:rsidR="002053FB" w:rsidRPr="00956EA3" w:rsidRDefault="001F1C19" w:rsidP="000C5291">
      <w:pPr>
        <w:pStyle w:val="Heading2"/>
        <w:rPr>
          <w:rFonts w:eastAsia="Calibri" w:cs="Arial"/>
          <w:szCs w:val="20"/>
        </w:rPr>
      </w:pPr>
      <w:proofErr w:type="spellStart"/>
      <w:r>
        <w:rPr>
          <w:rFonts w:eastAsia="Verdana" w:cs="Arial"/>
          <w:szCs w:val="20"/>
        </w:rPr>
        <w:t>Netlink</w:t>
      </w:r>
      <w:proofErr w:type="spellEnd"/>
      <w:r>
        <w:rPr>
          <w:rFonts w:eastAsia="Verdana" w:cs="Arial"/>
          <w:szCs w:val="20"/>
        </w:rPr>
        <w:t xml:space="preserve"> Star</w:t>
      </w:r>
      <w:r w:rsidR="002053FB" w:rsidRPr="00956EA3">
        <w:rPr>
          <w:rFonts w:eastAsia="Verdana" w:cs="Arial"/>
          <w:szCs w:val="20"/>
        </w:rPr>
        <w:t xml:space="preserve"> and the Supplier agree that the commencement of the provision of the Services or of any part of the Services will not be a Relevant Transfer in relation to any employees of </w:t>
      </w:r>
      <w:proofErr w:type="spellStart"/>
      <w:r>
        <w:rPr>
          <w:rFonts w:eastAsia="Verdana" w:cs="Arial"/>
          <w:szCs w:val="20"/>
        </w:rPr>
        <w:t>Netlink</w:t>
      </w:r>
      <w:proofErr w:type="spellEnd"/>
      <w:r>
        <w:rPr>
          <w:rFonts w:eastAsia="Verdana" w:cs="Arial"/>
          <w:szCs w:val="20"/>
        </w:rPr>
        <w:t xml:space="preserve"> Star</w:t>
      </w:r>
      <w:r w:rsidR="002053FB" w:rsidRPr="00956EA3">
        <w:rPr>
          <w:rFonts w:eastAsia="Verdana" w:cs="Arial"/>
          <w:szCs w:val="20"/>
        </w:rPr>
        <w:t xml:space="preserve"> and/or any Former Supplier. </w:t>
      </w:r>
    </w:p>
    <w:p w14:paraId="3D97F4A6" w14:textId="5D30A00F" w:rsidR="002053FB" w:rsidRPr="00956EA3" w:rsidRDefault="002053FB" w:rsidP="000C5291">
      <w:pPr>
        <w:pStyle w:val="Heading2"/>
        <w:rPr>
          <w:rFonts w:eastAsia="Calibri" w:cs="Arial"/>
          <w:szCs w:val="20"/>
        </w:rPr>
      </w:pPr>
      <w:r w:rsidRPr="00956EA3">
        <w:rPr>
          <w:rFonts w:eastAsia="Verdana" w:cs="Arial"/>
          <w:szCs w:val="20"/>
        </w:rPr>
        <w:t xml:space="preserve">If any employee of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and/or any Former Supplier claims, or it is determined in relation to any employee of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and/or any Former Supplier, that his/her contract of employment has been transferred from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and/or any Former Supplier to the Supplier and/or any Sub-contractor pursuant to the Employment Regulations or the Acquired Rights Directive then: </w:t>
      </w:r>
    </w:p>
    <w:p w14:paraId="09915861" w14:textId="21FBCD81" w:rsidR="002053FB" w:rsidRPr="00956EA3" w:rsidRDefault="002053FB" w:rsidP="000C5291">
      <w:pPr>
        <w:pStyle w:val="Heading3"/>
        <w:rPr>
          <w:rFonts w:eastAsia="Calibri"/>
        </w:rPr>
      </w:pPr>
      <w:r w:rsidRPr="00956EA3">
        <w:rPr>
          <w:rFonts w:eastAsia="Verdana"/>
        </w:rPr>
        <w:t xml:space="preserve">the Supplier shall, and shall procure that the relevant Sub-contractor shall, within five (5) Working Days of becoming aware of that fact, give notice in writing to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 and, where required by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 given notice to the Former Supplier; and </w:t>
      </w:r>
    </w:p>
    <w:p w14:paraId="27F82D13" w14:textId="40C2C3B7" w:rsidR="002053FB" w:rsidRPr="00956EA3" w:rsidRDefault="001F1C19" w:rsidP="000C5291">
      <w:pPr>
        <w:pStyle w:val="Heading3"/>
        <w:rPr>
          <w:rFonts w:eastAsia="Calibri"/>
        </w:rPr>
      </w:pPr>
      <w:proofErr w:type="spellStart"/>
      <w:r>
        <w:rPr>
          <w:rFonts w:eastAsia="Verdana"/>
        </w:rPr>
        <w:t>Netlink</w:t>
      </w:r>
      <w:proofErr w:type="spellEnd"/>
      <w:r>
        <w:rPr>
          <w:rFonts w:eastAsia="Verdana"/>
        </w:rPr>
        <w:t xml:space="preserve"> Star</w:t>
      </w:r>
      <w:r w:rsidR="002053FB" w:rsidRPr="00956EA3">
        <w:rPr>
          <w:rFonts w:eastAsia="Verdana"/>
        </w:rPr>
        <w:t xml:space="preserve"> and/or any Former Supplier may offer (or may procure that a third party may offer) employment to such person within fifteen (15) Working Days of the notification by the Supplier or the Sub-contractor (as appropriate) or take such other reasonable steps as </w:t>
      </w:r>
      <w:proofErr w:type="spellStart"/>
      <w:r>
        <w:rPr>
          <w:rFonts w:eastAsia="Verdana"/>
        </w:rPr>
        <w:t>Netlink</w:t>
      </w:r>
      <w:proofErr w:type="spellEnd"/>
      <w:r>
        <w:rPr>
          <w:rFonts w:eastAsia="Verdana"/>
        </w:rPr>
        <w:t xml:space="preserve"> Star</w:t>
      </w:r>
      <w:r w:rsidR="002053FB" w:rsidRPr="00956EA3">
        <w:rPr>
          <w:rFonts w:eastAsia="Verdana"/>
        </w:rPr>
        <w:t xml:space="preserve"> or Former Supplier (as the case may be) considers appropriate to deal with the matter provided always that such steps are in compliance with applicable Law. </w:t>
      </w:r>
    </w:p>
    <w:p w14:paraId="76E5EF57" w14:textId="0ADB19CD" w:rsidR="002053FB" w:rsidRPr="00956EA3" w:rsidRDefault="002053FB" w:rsidP="000C5291">
      <w:pPr>
        <w:pStyle w:val="Heading2"/>
        <w:rPr>
          <w:rFonts w:eastAsia="Calibri" w:cs="Arial"/>
          <w:szCs w:val="20"/>
        </w:rPr>
      </w:pPr>
      <w:r w:rsidRPr="00956EA3">
        <w:rPr>
          <w:rFonts w:eastAsia="Verdana" w:cs="Arial"/>
          <w:szCs w:val="20"/>
        </w:rPr>
        <w:t xml:space="preserve">If an offer referred to in paragraph 1.2.2 is accepted (or if the situation has otherwise been resolved by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and/or the Former Supplier), the Supplier shall, or shall procure that the Sub-contractor shall, immediately release the person from his/her employment or alleged employment. </w:t>
      </w:r>
    </w:p>
    <w:p w14:paraId="6E1BDAB5" w14:textId="77777777" w:rsidR="002053FB" w:rsidRPr="00956EA3" w:rsidRDefault="002053FB" w:rsidP="000C5291">
      <w:pPr>
        <w:pStyle w:val="Heading2"/>
        <w:rPr>
          <w:rFonts w:eastAsia="Calibri" w:cs="Arial"/>
          <w:szCs w:val="20"/>
        </w:rPr>
      </w:pPr>
      <w:r w:rsidRPr="00956EA3">
        <w:rPr>
          <w:rFonts w:eastAsia="Verdana" w:cs="Arial"/>
          <w:szCs w:val="20"/>
        </w:rPr>
        <w:t xml:space="preserve">If by the end of the fifteen (15) Working Day period specified in paragraph 1.2.2: </w:t>
      </w:r>
    </w:p>
    <w:p w14:paraId="3DA24691" w14:textId="77777777" w:rsidR="002053FB" w:rsidRPr="00956EA3" w:rsidRDefault="002053FB" w:rsidP="000C5291">
      <w:pPr>
        <w:pStyle w:val="Heading3"/>
        <w:rPr>
          <w:rFonts w:eastAsia="Calibri"/>
        </w:rPr>
      </w:pPr>
      <w:r w:rsidRPr="00956EA3">
        <w:rPr>
          <w:rFonts w:eastAsia="Verdana"/>
        </w:rPr>
        <w:t xml:space="preserve">no such offer of employment has been </w:t>
      </w:r>
      <w:proofErr w:type="gramStart"/>
      <w:r w:rsidRPr="00956EA3">
        <w:rPr>
          <w:rFonts w:eastAsia="Verdana"/>
        </w:rPr>
        <w:t>made;</w:t>
      </w:r>
      <w:proofErr w:type="gramEnd"/>
      <w:r w:rsidRPr="00956EA3">
        <w:rPr>
          <w:rFonts w:eastAsia="Verdana"/>
        </w:rPr>
        <w:t xml:space="preserve"> </w:t>
      </w:r>
    </w:p>
    <w:p w14:paraId="157A0969" w14:textId="77777777" w:rsidR="002053FB" w:rsidRPr="00956EA3" w:rsidRDefault="002053FB" w:rsidP="000C5291">
      <w:pPr>
        <w:pStyle w:val="Heading3"/>
        <w:rPr>
          <w:rFonts w:eastAsia="Verdana"/>
        </w:rPr>
      </w:pPr>
      <w:r w:rsidRPr="00956EA3">
        <w:rPr>
          <w:rFonts w:eastAsia="Verdana"/>
        </w:rPr>
        <w:t>such offer has been made but not accepted; or</w:t>
      </w:r>
    </w:p>
    <w:p w14:paraId="05C7C7BB" w14:textId="12798A8B" w:rsidR="002053FB" w:rsidRPr="00956EA3" w:rsidRDefault="002053FB" w:rsidP="000C5291">
      <w:pPr>
        <w:pStyle w:val="Heading3"/>
        <w:rPr>
          <w:rFonts w:eastAsia="Verdana"/>
        </w:rPr>
      </w:pPr>
      <w:r w:rsidRPr="00956EA3">
        <w:rPr>
          <w:rFonts w:eastAsia="Verdana"/>
        </w:rPr>
        <w:t xml:space="preserve">the situation has not otherwise been resolved to the satisfaction of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 and the Supplier,</w:t>
      </w:r>
    </w:p>
    <w:p w14:paraId="5C460874" w14:textId="77777777" w:rsidR="002053FB" w:rsidRPr="00956EA3" w:rsidRDefault="002053FB" w:rsidP="000C5291">
      <w:pPr>
        <w:pStyle w:val="Heading3"/>
        <w:rPr>
          <w:rFonts w:eastAsia="Calibri"/>
        </w:rPr>
      </w:pPr>
      <w:r w:rsidRPr="00956EA3">
        <w:rPr>
          <w:rFonts w:eastAsia="Verdana"/>
        </w:rPr>
        <w:t xml:space="preserve">the Supplier and/or the Sub-contractor may within five (5) Working Days give notice to terminate the employment or alleged employment of such person. </w:t>
      </w:r>
    </w:p>
    <w:p w14:paraId="05BF3AD6" w14:textId="77777777" w:rsidR="002053FB" w:rsidRPr="00956EA3" w:rsidRDefault="002053FB" w:rsidP="000C5291">
      <w:pPr>
        <w:pStyle w:val="Heading1"/>
        <w:rPr>
          <w:rFonts w:eastAsia="Verdana" w:cs="Arial"/>
          <w:szCs w:val="20"/>
        </w:rPr>
      </w:pPr>
      <w:r w:rsidRPr="00956EA3">
        <w:rPr>
          <w:rFonts w:eastAsia="Verdana" w:cs="Arial"/>
          <w:szCs w:val="20"/>
        </w:rPr>
        <w:t xml:space="preserve">INDEMNITIES </w:t>
      </w:r>
    </w:p>
    <w:p w14:paraId="1440DE6A" w14:textId="5BC4AB65" w:rsidR="002053FB" w:rsidRPr="00956EA3" w:rsidRDefault="002053FB" w:rsidP="000C5291">
      <w:pPr>
        <w:pStyle w:val="Heading2"/>
        <w:rPr>
          <w:rFonts w:eastAsia="Calibri" w:cs="Arial"/>
          <w:szCs w:val="20"/>
        </w:rPr>
      </w:pPr>
      <w:r w:rsidRPr="00956EA3">
        <w:rPr>
          <w:rFonts w:eastAsia="Verdana" w:cs="Arial"/>
          <w:szCs w:val="20"/>
        </w:rPr>
        <w:t xml:space="preserve">Subject to the Supplier and/or the relevant Sub-contractor acting in accordance with the provisions of paragraphs 1.2 to 1.4 and subject also to paragraph 2.4,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shall:</w:t>
      </w:r>
    </w:p>
    <w:p w14:paraId="17A1449A" w14:textId="48B40951" w:rsidR="002053FB" w:rsidRPr="00956EA3" w:rsidRDefault="002053FB" w:rsidP="000C5291">
      <w:pPr>
        <w:pStyle w:val="Heading3"/>
        <w:rPr>
          <w:rFonts w:eastAsia="Calibri"/>
        </w:rPr>
      </w:pPr>
      <w:r w:rsidRPr="00956EA3">
        <w:rPr>
          <w:rFonts w:eastAsia="Verdana"/>
        </w:rPr>
        <w:t xml:space="preserve">indemnify the Supplier and/or the relevant Sub-contractor against all Employee Liabilities arising out of the termination of the employment of any employees of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 referred to in paragraph 1.2 made pursuant to the provisions of paragraph 1.4  and the costs of employment up to the date of such termination or the date on which the person is re-employed by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/the Former Supplier (or the date on which the situation is otherwise resolved by </w:t>
      </w:r>
      <w:proofErr w:type="spellStart"/>
      <w:r w:rsidR="001F1C19">
        <w:rPr>
          <w:rFonts w:eastAsia="Verdana"/>
        </w:rPr>
        <w:t>Netlink</w:t>
      </w:r>
      <w:proofErr w:type="spellEnd"/>
      <w:r w:rsidR="001F1C19">
        <w:rPr>
          <w:rFonts w:eastAsia="Verdana"/>
        </w:rPr>
        <w:t xml:space="preserve"> Star</w:t>
      </w:r>
      <w:r w:rsidRPr="00956EA3">
        <w:rPr>
          <w:rFonts w:eastAsia="Verdana"/>
        </w:rPr>
        <w:t>/the Former Supplier) provided that the Supplier takes, or shall procure that the relevant Sub-contractor takes, all reasonable steps to minimise any such Employee Liabilities; and</w:t>
      </w:r>
    </w:p>
    <w:p w14:paraId="20D19559" w14:textId="5F18039E" w:rsidR="002053FB" w:rsidRPr="00956EA3" w:rsidRDefault="002053FB" w:rsidP="000C5291">
      <w:pPr>
        <w:pStyle w:val="Heading3"/>
        <w:rPr>
          <w:rFonts w:eastAsia="Calibri"/>
        </w:rPr>
      </w:pPr>
      <w:r w:rsidRPr="00956EA3">
        <w:rPr>
          <w:rFonts w:eastAsia="Verdana"/>
        </w:rPr>
        <w:t xml:space="preserve">use reasonable endeavours to procure that the Former Supplier indemnifies the Supplier and/or any relevant Sub-contractor against all Employee Liabilities arising out of termination of the employment of the employees of the Former Supplier made pursuant to the provisions of paragraph 1.4 and the costs of employment up to the date of such termination or the date on which the person is re-employed by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/the Former Supplier (or the date on which the situation is otherwise resolved by </w:t>
      </w:r>
      <w:proofErr w:type="spellStart"/>
      <w:r w:rsidR="001F1C19">
        <w:rPr>
          <w:rFonts w:eastAsia="Verdana"/>
        </w:rPr>
        <w:lastRenderedPageBreak/>
        <w:t>Netlink</w:t>
      </w:r>
      <w:proofErr w:type="spellEnd"/>
      <w:r w:rsidR="001F1C19">
        <w:rPr>
          <w:rFonts w:eastAsia="Verdana"/>
        </w:rPr>
        <w:t xml:space="preserve"> Star</w:t>
      </w:r>
      <w:r w:rsidRPr="00956EA3">
        <w:rPr>
          <w:rFonts w:eastAsia="Verdana"/>
        </w:rPr>
        <w:t>/the Former Supplier) provided that the Supplier takes, or shall procure that the relevant Sub-contractor takes, all reasonable steps to minimise any such Employee Liabilities.</w:t>
      </w:r>
    </w:p>
    <w:p w14:paraId="235B4329" w14:textId="374F9E63" w:rsidR="002053FB" w:rsidRPr="00956EA3" w:rsidRDefault="002053FB" w:rsidP="000C5291">
      <w:pPr>
        <w:pStyle w:val="Heading2"/>
        <w:rPr>
          <w:rFonts w:eastAsia="Calibri" w:cs="Arial"/>
          <w:szCs w:val="20"/>
        </w:rPr>
      </w:pPr>
      <w:r w:rsidRPr="00956EA3">
        <w:rPr>
          <w:rFonts w:eastAsia="Verdana" w:cs="Arial"/>
          <w:szCs w:val="20"/>
        </w:rPr>
        <w:t xml:space="preserve">If any such person as is described in paragraph 1.2 is neither re employed by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and/or the Former Supplier as appropriate nor dismissed by the Supplier and/or any Subcontractor within the timescales referred to in paragraph 1.4 such person shall be treated as having transferred to the Supplier and/or the Sub-contractor (as appropriate) and the Supplier shall, or shall procure that the Sub-contractor shall, comply with such obligations as may be imposed upon it under Law. </w:t>
      </w:r>
    </w:p>
    <w:p w14:paraId="7F2C4ED6" w14:textId="283AA78D" w:rsidR="002053FB" w:rsidRPr="00956EA3" w:rsidRDefault="002053FB" w:rsidP="000C5291">
      <w:pPr>
        <w:pStyle w:val="Heading2"/>
        <w:rPr>
          <w:rFonts w:eastAsia="Calibri" w:cs="Arial"/>
          <w:szCs w:val="20"/>
        </w:rPr>
      </w:pPr>
      <w:r w:rsidRPr="00956EA3">
        <w:rPr>
          <w:rFonts w:eastAsia="Verdana" w:cs="Arial"/>
          <w:szCs w:val="20"/>
        </w:rPr>
        <w:t xml:space="preserve">Where any person remains employed by the Supplier and/or any Sub-contractor pursuant to paragraph 2.2, all Employee Liabilities in relation to such employee shall remain with the Supplier and/or the Sub-contractor and the Supplier shall indemnify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and any Former Supplier, and shall procure that the Subcontractor shall indemnify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and any Former Supplier, against any Employee Liabilities that either of them may incur in respect of any such employees of the Supplier and/or employees of the Sub-contractor. </w:t>
      </w:r>
    </w:p>
    <w:p w14:paraId="61D96ADD" w14:textId="77777777" w:rsidR="002053FB" w:rsidRPr="00956EA3" w:rsidRDefault="002053FB" w:rsidP="000C5291">
      <w:pPr>
        <w:pStyle w:val="Heading2"/>
        <w:rPr>
          <w:rFonts w:eastAsia="Calibri" w:cs="Arial"/>
          <w:szCs w:val="20"/>
        </w:rPr>
      </w:pPr>
      <w:r w:rsidRPr="00956EA3">
        <w:rPr>
          <w:rFonts w:eastAsia="Verdana" w:cs="Arial"/>
          <w:szCs w:val="20"/>
        </w:rPr>
        <w:t xml:space="preserve">The indemnities in paragraph 2.1: </w:t>
      </w:r>
    </w:p>
    <w:p w14:paraId="6CE59BB1" w14:textId="77777777" w:rsidR="002053FB" w:rsidRPr="00956EA3" w:rsidRDefault="002053FB" w:rsidP="000C5291">
      <w:pPr>
        <w:pStyle w:val="Heading3"/>
        <w:rPr>
          <w:rFonts w:eastAsia="Calibri"/>
        </w:rPr>
      </w:pPr>
      <w:r w:rsidRPr="00956EA3">
        <w:rPr>
          <w:rFonts w:eastAsia="Verdana"/>
        </w:rPr>
        <w:t xml:space="preserve">shall not apply to: </w:t>
      </w:r>
    </w:p>
    <w:p w14:paraId="3F92B55C" w14:textId="4A4C0125" w:rsidR="002053FB" w:rsidRPr="00956EA3" w:rsidRDefault="002053FB" w:rsidP="00D176EF">
      <w:pPr>
        <w:spacing w:after="234" w:line="249" w:lineRule="auto"/>
        <w:ind w:left="2268" w:right="47" w:hanging="567"/>
        <w:rPr>
          <w:rFonts w:eastAsia="Calibri" w:cs="Arial"/>
          <w:szCs w:val="20"/>
        </w:rPr>
      </w:pPr>
      <w:r w:rsidRPr="00956EA3">
        <w:rPr>
          <w:rFonts w:eastAsia="Verdana" w:cs="Arial"/>
          <w:szCs w:val="20"/>
        </w:rPr>
        <w:t>2.4.1.1</w:t>
      </w:r>
      <w:r w:rsidRPr="00956EA3">
        <w:rPr>
          <w:rFonts w:eastAsia="Arial" w:cs="Arial"/>
          <w:szCs w:val="20"/>
        </w:rPr>
        <w:t xml:space="preserve"> </w:t>
      </w:r>
      <w:r w:rsidR="00D176EF">
        <w:rPr>
          <w:rFonts w:eastAsia="Arial" w:cs="Arial"/>
          <w:szCs w:val="20"/>
        </w:rPr>
        <w:tab/>
      </w:r>
      <w:r w:rsidRPr="00956EA3">
        <w:rPr>
          <w:rFonts w:eastAsia="Verdana" w:cs="Arial"/>
          <w:szCs w:val="20"/>
        </w:rPr>
        <w:t xml:space="preserve">any claim for: </w:t>
      </w:r>
    </w:p>
    <w:p w14:paraId="7A445F2A" w14:textId="77777777" w:rsidR="002053FB" w:rsidRPr="00956EA3" w:rsidRDefault="002053FB" w:rsidP="009D675B">
      <w:pPr>
        <w:numPr>
          <w:ilvl w:val="0"/>
          <w:numId w:val="90"/>
        </w:numPr>
        <w:spacing w:after="232" w:line="250" w:lineRule="auto"/>
        <w:ind w:left="3828" w:right="47" w:hanging="709"/>
        <w:jc w:val="left"/>
        <w:rPr>
          <w:rFonts w:eastAsia="Verdana" w:cs="Arial"/>
          <w:szCs w:val="20"/>
        </w:rPr>
      </w:pPr>
      <w:r w:rsidRPr="00956EA3">
        <w:rPr>
          <w:rFonts w:eastAsia="Verdana" w:cs="Arial"/>
          <w:szCs w:val="20"/>
        </w:rPr>
        <w:t xml:space="preserve">discrimination, including on the grounds of sex, race, disability, age, gender reassignment, marriage or civil partnership, pregnancy and maternity or sexual orientation, </w:t>
      </w:r>
      <w:proofErr w:type="gramStart"/>
      <w:r w:rsidRPr="00956EA3">
        <w:rPr>
          <w:rFonts w:eastAsia="Verdana" w:cs="Arial"/>
          <w:szCs w:val="20"/>
        </w:rPr>
        <w:t>religion</w:t>
      </w:r>
      <w:proofErr w:type="gramEnd"/>
      <w:r w:rsidRPr="00956EA3">
        <w:rPr>
          <w:rFonts w:eastAsia="Verdana" w:cs="Arial"/>
          <w:szCs w:val="20"/>
        </w:rPr>
        <w:t xml:space="preserve"> or belief; or </w:t>
      </w:r>
    </w:p>
    <w:p w14:paraId="2C03B8CF" w14:textId="77777777" w:rsidR="002053FB" w:rsidRPr="00956EA3" w:rsidRDefault="002053FB" w:rsidP="009D675B">
      <w:pPr>
        <w:numPr>
          <w:ilvl w:val="0"/>
          <w:numId w:val="90"/>
        </w:numPr>
        <w:spacing w:after="232" w:line="250" w:lineRule="auto"/>
        <w:ind w:left="3828" w:right="47" w:hanging="709"/>
        <w:jc w:val="left"/>
        <w:rPr>
          <w:rFonts w:eastAsia="Verdana" w:cs="Arial"/>
          <w:szCs w:val="20"/>
        </w:rPr>
      </w:pPr>
      <w:r w:rsidRPr="00956EA3">
        <w:rPr>
          <w:rFonts w:eastAsia="Verdana" w:cs="Arial"/>
          <w:szCs w:val="20"/>
        </w:rPr>
        <w:t xml:space="preserve">equal pay or compensation for less favourable treatment of parttime workers or fixed-term employees, in any case in relation to any alleged act or omission of the Supplier and/or any Sub-contractor; or </w:t>
      </w:r>
    </w:p>
    <w:p w14:paraId="25D59C11" w14:textId="77777777" w:rsidR="002053FB" w:rsidRPr="00956EA3" w:rsidRDefault="002053FB" w:rsidP="00D176EF">
      <w:pPr>
        <w:spacing w:after="234" w:line="249" w:lineRule="auto"/>
        <w:ind w:left="2268" w:right="47" w:hanging="567"/>
        <w:rPr>
          <w:rFonts w:eastAsia="Calibri" w:cs="Arial"/>
          <w:szCs w:val="20"/>
        </w:rPr>
      </w:pPr>
      <w:r w:rsidRPr="00956EA3">
        <w:rPr>
          <w:rFonts w:eastAsia="Verdana" w:cs="Arial"/>
          <w:szCs w:val="20"/>
        </w:rPr>
        <w:t>2.4.1.2</w:t>
      </w:r>
      <w:r w:rsidRPr="00956EA3">
        <w:rPr>
          <w:rFonts w:eastAsia="Arial" w:cs="Arial"/>
          <w:szCs w:val="20"/>
        </w:rPr>
        <w:t xml:space="preserve"> </w:t>
      </w:r>
      <w:r w:rsidRPr="00956EA3">
        <w:rPr>
          <w:rFonts w:eastAsia="Arial" w:cs="Arial"/>
          <w:szCs w:val="20"/>
        </w:rPr>
        <w:tab/>
      </w:r>
      <w:r w:rsidRPr="00956EA3">
        <w:rPr>
          <w:rFonts w:eastAsia="Verdana" w:cs="Arial"/>
          <w:szCs w:val="20"/>
        </w:rPr>
        <w:t xml:space="preserve">any claim that the termination of employment was unfair because the Supplier and/or any Sub-contractor neglected to follow a fair dismissal procedure save where such claim arises from the relevant party complying with the timescales set out in paragraph 1.4 </w:t>
      </w:r>
      <w:proofErr w:type="gramStart"/>
      <w:r w:rsidRPr="00956EA3">
        <w:rPr>
          <w:rFonts w:eastAsia="Verdana" w:cs="Arial"/>
          <w:szCs w:val="20"/>
        </w:rPr>
        <w:t>above;</w:t>
      </w:r>
      <w:proofErr w:type="gramEnd"/>
      <w:r w:rsidRPr="00956EA3">
        <w:rPr>
          <w:rFonts w:eastAsia="Verdana" w:cs="Arial"/>
          <w:szCs w:val="20"/>
        </w:rPr>
        <w:t xml:space="preserve"> </w:t>
      </w:r>
    </w:p>
    <w:p w14:paraId="0ED0FADE" w14:textId="6D3A9B32" w:rsidR="002053FB" w:rsidRPr="00956EA3" w:rsidRDefault="002053FB" w:rsidP="000C5291">
      <w:pPr>
        <w:pStyle w:val="Heading3"/>
        <w:rPr>
          <w:rFonts w:eastAsia="Verdana"/>
        </w:rPr>
      </w:pPr>
      <w:r w:rsidRPr="00956EA3">
        <w:rPr>
          <w:rFonts w:eastAsia="Verdana"/>
        </w:rPr>
        <w:t xml:space="preserve">shall apply only where the notification referred to in paragraph 1.2.1 is made by the Supplier and/or any Sub-contractor to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 and, if applicable, Former Supplier within six (6) months of the Effective Date.</w:t>
      </w:r>
    </w:p>
    <w:p w14:paraId="0234BD17" w14:textId="7C60B83C" w:rsidR="002053FB" w:rsidRPr="00956EA3" w:rsidRDefault="002053FB" w:rsidP="000C5291">
      <w:pPr>
        <w:pStyle w:val="Heading2"/>
        <w:rPr>
          <w:rFonts w:eastAsia="Verdana" w:cs="Arial"/>
          <w:szCs w:val="20"/>
        </w:rPr>
      </w:pPr>
      <w:r w:rsidRPr="00956EA3">
        <w:rPr>
          <w:rFonts w:eastAsia="Verdana" w:cs="Arial"/>
          <w:szCs w:val="20"/>
        </w:rPr>
        <w:t xml:space="preserve">Subject to paragraph 2.6,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w:t>
      </w:r>
    </w:p>
    <w:p w14:paraId="3C46D5CD" w14:textId="2588C55E" w:rsidR="002053FB" w:rsidRPr="00956EA3" w:rsidRDefault="002053FB" w:rsidP="000C5291">
      <w:pPr>
        <w:pStyle w:val="Heading4"/>
        <w:ind w:left="2410"/>
        <w:rPr>
          <w:rFonts w:eastAsia="Verdana" w:cs="Arial"/>
          <w:szCs w:val="20"/>
        </w:rPr>
      </w:pPr>
      <w:r w:rsidRPr="00956EA3">
        <w:rPr>
          <w:rFonts w:eastAsia="Verdana" w:cs="Arial"/>
          <w:szCs w:val="20"/>
        </w:rPr>
        <w:t xml:space="preserve">in respect of any employees of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referred to in paragraph 1.2, shall; or</w:t>
      </w:r>
    </w:p>
    <w:p w14:paraId="0484E708" w14:textId="77777777" w:rsidR="002053FB" w:rsidRPr="00956EA3" w:rsidRDefault="002053FB" w:rsidP="000C5291">
      <w:pPr>
        <w:pStyle w:val="Heading4"/>
        <w:ind w:left="2410"/>
        <w:rPr>
          <w:rFonts w:eastAsia="Verdana" w:cs="Arial"/>
          <w:szCs w:val="20"/>
        </w:rPr>
      </w:pPr>
      <w:r w:rsidRPr="00956EA3">
        <w:rPr>
          <w:rFonts w:eastAsia="Verdana" w:cs="Arial"/>
          <w:szCs w:val="20"/>
        </w:rPr>
        <w:t xml:space="preserve">in respect of any employees of the Former Supplier referred to in paragraph 1.2, use reasonable endeavours to procure that each Former Supplier shall, </w:t>
      </w:r>
    </w:p>
    <w:p w14:paraId="799FC1F2" w14:textId="77777777" w:rsidR="002053FB" w:rsidRPr="00956EA3" w:rsidRDefault="002053FB" w:rsidP="000C5291">
      <w:pPr>
        <w:pStyle w:val="Heading3"/>
        <w:rPr>
          <w:rFonts w:eastAsia="Verdana"/>
        </w:rPr>
      </w:pPr>
      <w:r w:rsidRPr="00956EA3">
        <w:rPr>
          <w:rFonts w:eastAsia="Verdana"/>
        </w:rPr>
        <w:t xml:space="preserve">indemnify the Supplier and any Sub-contractor against any Employee Liabilities arising from or </w:t>
      </w:r>
      <w:proofErr w:type="gramStart"/>
      <w:r w:rsidRPr="00956EA3">
        <w:rPr>
          <w:rFonts w:eastAsia="Verdana"/>
        </w:rPr>
        <w:t>as a result of</w:t>
      </w:r>
      <w:proofErr w:type="gramEnd"/>
      <w:r w:rsidRPr="00956EA3">
        <w:rPr>
          <w:rFonts w:eastAsia="Verdana"/>
        </w:rPr>
        <w:t>:</w:t>
      </w:r>
    </w:p>
    <w:p w14:paraId="00E048EB" w14:textId="0B086C76" w:rsidR="002053FB" w:rsidRPr="00346A37" w:rsidRDefault="002053FB" w:rsidP="009D675B">
      <w:pPr>
        <w:pStyle w:val="Heading3"/>
        <w:numPr>
          <w:ilvl w:val="2"/>
          <w:numId w:val="96"/>
        </w:numPr>
        <w:rPr>
          <w:rFonts w:eastAsia="Verdana"/>
        </w:rPr>
      </w:pPr>
      <w:r w:rsidRPr="00346A37">
        <w:rPr>
          <w:rFonts w:eastAsia="Verdana"/>
        </w:rPr>
        <w:t xml:space="preserve">any act or omission by </w:t>
      </w:r>
      <w:proofErr w:type="spellStart"/>
      <w:r w:rsidR="001F1C19">
        <w:rPr>
          <w:rFonts w:eastAsia="Verdana"/>
        </w:rPr>
        <w:t>Netlink</w:t>
      </w:r>
      <w:proofErr w:type="spellEnd"/>
      <w:r w:rsidR="001F1C19">
        <w:rPr>
          <w:rFonts w:eastAsia="Verdana"/>
        </w:rPr>
        <w:t xml:space="preserve"> Star</w:t>
      </w:r>
      <w:r w:rsidRPr="00346A37">
        <w:rPr>
          <w:rFonts w:eastAsia="Verdana"/>
        </w:rPr>
        <w:t xml:space="preserve"> or the Former Supplier arising before the Relevant Transfer </w:t>
      </w:r>
      <w:proofErr w:type="gramStart"/>
      <w:r w:rsidRPr="00346A37">
        <w:rPr>
          <w:rFonts w:eastAsia="Verdana"/>
        </w:rPr>
        <w:t>Date;</w:t>
      </w:r>
      <w:proofErr w:type="gramEnd"/>
    </w:p>
    <w:p w14:paraId="375A1758" w14:textId="5D359F04" w:rsidR="002053FB" w:rsidRPr="00346A37" w:rsidRDefault="002053FB" w:rsidP="009D675B">
      <w:pPr>
        <w:pStyle w:val="Heading3"/>
        <w:numPr>
          <w:ilvl w:val="2"/>
          <w:numId w:val="96"/>
        </w:numPr>
        <w:rPr>
          <w:rFonts w:eastAsia="Verdana"/>
        </w:rPr>
      </w:pPr>
      <w:r w:rsidRPr="00346A37">
        <w:rPr>
          <w:rFonts w:eastAsia="Verdana"/>
        </w:rPr>
        <w:t xml:space="preserve">the breach or non-observance by </w:t>
      </w:r>
      <w:proofErr w:type="spellStart"/>
      <w:r w:rsidR="001F1C19">
        <w:rPr>
          <w:rFonts w:eastAsia="Verdana"/>
        </w:rPr>
        <w:t>Netlink</w:t>
      </w:r>
      <w:proofErr w:type="spellEnd"/>
      <w:r w:rsidR="001F1C19">
        <w:rPr>
          <w:rFonts w:eastAsia="Verdana"/>
        </w:rPr>
        <w:t xml:space="preserve"> Star</w:t>
      </w:r>
      <w:r w:rsidRPr="00346A37">
        <w:rPr>
          <w:rFonts w:eastAsia="Verdana"/>
        </w:rPr>
        <w:t xml:space="preserve"> or the Former Supplier arising before the Relevant Transfer Date of: </w:t>
      </w:r>
    </w:p>
    <w:p w14:paraId="163E58C0" w14:textId="6D224679" w:rsidR="002053FB" w:rsidRPr="00956EA3" w:rsidRDefault="002053FB" w:rsidP="000C5291">
      <w:pPr>
        <w:pStyle w:val="Heading4"/>
        <w:ind w:left="2410"/>
        <w:rPr>
          <w:rFonts w:eastAsia="Verdana" w:cs="Arial"/>
          <w:szCs w:val="20"/>
        </w:rPr>
      </w:pPr>
      <w:r w:rsidRPr="00956EA3">
        <w:rPr>
          <w:rFonts w:eastAsia="Verdana" w:cs="Arial"/>
          <w:szCs w:val="20"/>
        </w:rPr>
        <w:t xml:space="preserve">any collective agreement applicable to the employees of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or the Former Supplier referred to in Paragraph 1.2; and/or </w:t>
      </w:r>
    </w:p>
    <w:p w14:paraId="70DF6B27" w14:textId="4C24E54B" w:rsidR="002053FB" w:rsidRPr="00956EA3" w:rsidRDefault="002053FB" w:rsidP="000C5291">
      <w:pPr>
        <w:pStyle w:val="Heading4"/>
        <w:ind w:left="2410"/>
        <w:rPr>
          <w:rFonts w:eastAsia="Verdana" w:cs="Arial"/>
          <w:szCs w:val="20"/>
        </w:rPr>
      </w:pPr>
      <w:r w:rsidRPr="00956EA3">
        <w:rPr>
          <w:rFonts w:eastAsia="Verdana" w:cs="Arial"/>
          <w:szCs w:val="20"/>
        </w:rPr>
        <w:lastRenderedPageBreak/>
        <w:t xml:space="preserve">any custom or practice in respect of employees of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or the Former Supplier referred to in Paragraph 1.2 which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of the Former Supplier is contractually bound to </w:t>
      </w:r>
      <w:proofErr w:type="gramStart"/>
      <w:r w:rsidRPr="00956EA3">
        <w:rPr>
          <w:rFonts w:eastAsia="Verdana" w:cs="Arial"/>
          <w:szCs w:val="20"/>
        </w:rPr>
        <w:t>honour;</w:t>
      </w:r>
      <w:proofErr w:type="gramEnd"/>
      <w:r w:rsidRPr="00956EA3">
        <w:rPr>
          <w:rFonts w:eastAsia="Verdana" w:cs="Arial"/>
          <w:szCs w:val="20"/>
        </w:rPr>
        <w:t xml:space="preserve"> </w:t>
      </w:r>
    </w:p>
    <w:p w14:paraId="461EBA38" w14:textId="683D5A69" w:rsidR="002053FB" w:rsidRPr="00956EA3" w:rsidRDefault="002053FB" w:rsidP="000C5291">
      <w:pPr>
        <w:pStyle w:val="Heading3"/>
        <w:rPr>
          <w:rFonts w:eastAsia="Verdana"/>
        </w:rPr>
      </w:pPr>
      <w:r w:rsidRPr="00956EA3">
        <w:rPr>
          <w:rFonts w:eastAsia="Verdana"/>
        </w:rPr>
        <w:t xml:space="preserve">any claim by any trade union or other body or person representing any employee of </w:t>
      </w:r>
      <w:proofErr w:type="spellStart"/>
      <w:r w:rsidR="001F1C19">
        <w:rPr>
          <w:rFonts w:eastAsia="Verdana"/>
        </w:rPr>
        <w:t>Netlink</w:t>
      </w:r>
      <w:proofErr w:type="spellEnd"/>
      <w:r w:rsidR="001F1C19">
        <w:rPr>
          <w:rFonts w:eastAsia="Verdana"/>
        </w:rPr>
        <w:t xml:space="preserve"> </w:t>
      </w:r>
      <w:proofErr w:type="gramStart"/>
      <w:r w:rsidR="001F1C19">
        <w:rPr>
          <w:rFonts w:eastAsia="Verdana"/>
        </w:rPr>
        <w:t>Star</w:t>
      </w:r>
      <w:proofErr w:type="gramEnd"/>
      <w:r w:rsidRPr="00956EA3">
        <w:rPr>
          <w:rFonts w:eastAsia="Verdana"/>
        </w:rPr>
        <w:t xml:space="preserve"> or the Former Supplier referred to </w:t>
      </w:r>
      <w:proofErr w:type="spellStart"/>
      <w:r w:rsidRPr="00956EA3">
        <w:rPr>
          <w:rFonts w:eastAsia="Verdana"/>
        </w:rPr>
        <w:t>at</w:t>
      </w:r>
      <w:proofErr w:type="spellEnd"/>
      <w:r w:rsidRPr="00956EA3">
        <w:rPr>
          <w:rFonts w:eastAsia="Verdana"/>
        </w:rPr>
        <w:t xml:space="preserve"> paragraph 1.2 arising from or connected with any failure by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 or the Former Supplier to comply with any legal obligation to such trade union, body or person arising before the Relevant Transfer Date;</w:t>
      </w:r>
    </w:p>
    <w:p w14:paraId="23DAC459" w14:textId="14C260A3" w:rsidR="002053FB" w:rsidRPr="00956EA3" w:rsidRDefault="002053FB" w:rsidP="000C5291">
      <w:pPr>
        <w:pStyle w:val="Heading3"/>
        <w:rPr>
          <w:rFonts w:eastAsia="Verdana"/>
        </w:rPr>
      </w:pPr>
      <w:r w:rsidRPr="00956EA3">
        <w:rPr>
          <w:rFonts w:eastAsia="Verdana"/>
        </w:rPr>
        <w:t xml:space="preserve">any proceeding, claim or demand by HMRC or other statutory authority in respect of any financial obligation including, but not limited to, PAYE and primary and secondary national insurance contributions in relation to any employee of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 or the Former Supplier referred to </w:t>
      </w:r>
      <w:proofErr w:type="spellStart"/>
      <w:r w:rsidRPr="00956EA3">
        <w:rPr>
          <w:rFonts w:eastAsia="Verdana"/>
        </w:rPr>
        <w:t>at</w:t>
      </w:r>
      <w:proofErr w:type="spellEnd"/>
      <w:r w:rsidRPr="00956EA3">
        <w:rPr>
          <w:rFonts w:eastAsia="Verdana"/>
        </w:rPr>
        <w:t xml:space="preserve"> paragraph 1.2, to the extent that the proceeding, claim or demand by HMRC or other statutory authority relates to financial obligations arising before the Relevant Transfer </w:t>
      </w:r>
      <w:proofErr w:type="gramStart"/>
      <w:r w:rsidRPr="00956EA3">
        <w:rPr>
          <w:rFonts w:eastAsia="Verdana"/>
        </w:rPr>
        <w:t>Date;</w:t>
      </w:r>
      <w:proofErr w:type="gramEnd"/>
    </w:p>
    <w:p w14:paraId="1AAB412F" w14:textId="6B0633C2" w:rsidR="002053FB" w:rsidRPr="00956EA3" w:rsidRDefault="002053FB" w:rsidP="000C5291">
      <w:pPr>
        <w:pStyle w:val="Heading3"/>
        <w:rPr>
          <w:rFonts w:eastAsia="Verdana"/>
        </w:rPr>
      </w:pPr>
      <w:r w:rsidRPr="00956EA3">
        <w:rPr>
          <w:rFonts w:eastAsia="Verdana"/>
        </w:rPr>
        <w:t xml:space="preserve">a failure of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 or the Former Supplier to discharge or procure the discharge of all wages, salaries and all other benefits and all PAYE tax deductions and national insurance contributions relating to any employee of </w:t>
      </w:r>
      <w:proofErr w:type="spellStart"/>
      <w:r w:rsidR="001F1C19">
        <w:rPr>
          <w:rFonts w:eastAsia="Verdana"/>
        </w:rPr>
        <w:t>Netlink</w:t>
      </w:r>
      <w:proofErr w:type="spellEnd"/>
      <w:r w:rsidR="001F1C19">
        <w:rPr>
          <w:rFonts w:eastAsia="Verdana"/>
        </w:rPr>
        <w:t xml:space="preserve"> </w:t>
      </w:r>
      <w:proofErr w:type="gramStart"/>
      <w:r w:rsidR="001F1C19">
        <w:rPr>
          <w:rFonts w:eastAsia="Verdana"/>
        </w:rPr>
        <w:t>Star</w:t>
      </w:r>
      <w:proofErr w:type="gramEnd"/>
      <w:r w:rsidRPr="00956EA3">
        <w:rPr>
          <w:rFonts w:eastAsia="Verdana"/>
        </w:rPr>
        <w:t xml:space="preserve"> or the Former Supplier referred to </w:t>
      </w:r>
      <w:proofErr w:type="spellStart"/>
      <w:r w:rsidRPr="00956EA3">
        <w:rPr>
          <w:rFonts w:eastAsia="Verdana"/>
        </w:rPr>
        <w:t>at</w:t>
      </w:r>
      <w:proofErr w:type="spellEnd"/>
      <w:r w:rsidRPr="00956EA3">
        <w:rPr>
          <w:rFonts w:eastAsia="Verdana"/>
        </w:rPr>
        <w:t xml:space="preserve"> paragraph 1.2 in respect of the period up to (and including) the Relevant Transfer Date;</w:t>
      </w:r>
    </w:p>
    <w:p w14:paraId="36F05A0D" w14:textId="601C4DB1" w:rsidR="002053FB" w:rsidRPr="00956EA3" w:rsidRDefault="002053FB" w:rsidP="000C5291">
      <w:pPr>
        <w:pStyle w:val="Heading3"/>
        <w:rPr>
          <w:rFonts w:eastAsia="Verdana"/>
        </w:rPr>
      </w:pPr>
      <w:r w:rsidRPr="00956EA3">
        <w:rPr>
          <w:rFonts w:eastAsia="Verdana"/>
        </w:rPr>
        <w:t xml:space="preserve">any claim made by or in respect of any employee of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 or the Former Supplier referred to </w:t>
      </w:r>
      <w:proofErr w:type="spellStart"/>
      <w:r w:rsidRPr="00956EA3">
        <w:rPr>
          <w:rFonts w:eastAsia="Verdana"/>
        </w:rPr>
        <w:t>at</w:t>
      </w:r>
      <w:proofErr w:type="spellEnd"/>
      <w:r w:rsidRPr="00956EA3">
        <w:rPr>
          <w:rFonts w:eastAsia="Verdana"/>
        </w:rPr>
        <w:t xml:space="preserve"> paragraph 1.2 relating to any act or omission of the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 or the Former Supplier in relation to its obligations under Regulation 13 of the Employment Regulations, except to the extent that the liability arises from the failure of the Supplier or any Sub-contractor to comply with regulation 13(4) of the Employment Regulations.</w:t>
      </w:r>
    </w:p>
    <w:p w14:paraId="3DBB847B" w14:textId="77777777" w:rsidR="002053FB" w:rsidRPr="00956EA3" w:rsidRDefault="002053FB" w:rsidP="000C5291">
      <w:pPr>
        <w:pStyle w:val="Heading2"/>
        <w:rPr>
          <w:rFonts w:eastAsia="Verdana" w:cs="Arial"/>
          <w:szCs w:val="20"/>
        </w:rPr>
      </w:pPr>
      <w:r w:rsidRPr="00956EA3">
        <w:rPr>
          <w:rFonts w:eastAsia="Verdana" w:cs="Arial"/>
          <w:szCs w:val="20"/>
        </w:rPr>
        <w:t>The indemnities in paragraph 2.5 shall not apply to the extent that the Employee Liabilities arise or are attributable to an act or omission of the Supplier and/or any Sub-contractor (as applicable) whether occurring or having its origin before, on or after the Relevant Transfer Date, including any Employee Liabilities arising from the failure by the Supplier and/or any Sub-contractor (as applicable) to comply with its obligations under the Employment Regulations.</w:t>
      </w:r>
    </w:p>
    <w:p w14:paraId="5DD641C4" w14:textId="21C24872" w:rsidR="002053FB" w:rsidRPr="00956EA3" w:rsidRDefault="002053FB" w:rsidP="000C5291">
      <w:pPr>
        <w:pStyle w:val="Heading2"/>
        <w:rPr>
          <w:rFonts w:eastAsia="Verdana" w:cs="Arial"/>
          <w:szCs w:val="20"/>
        </w:rPr>
      </w:pPr>
      <w:r w:rsidRPr="00956EA3">
        <w:rPr>
          <w:rFonts w:eastAsia="Verdana" w:cs="Arial"/>
          <w:szCs w:val="20"/>
          <w:lang w:val="en-IE"/>
        </w:rPr>
        <w:t xml:space="preserve">Supplier shall indemnify and keep indemnified </w:t>
      </w:r>
      <w:proofErr w:type="spellStart"/>
      <w:r w:rsidR="001F1C19">
        <w:rPr>
          <w:rFonts w:eastAsia="Verdana" w:cs="Arial"/>
          <w:szCs w:val="20"/>
          <w:lang w:val="en-IE"/>
        </w:rPr>
        <w:t>Netlink</w:t>
      </w:r>
      <w:proofErr w:type="spellEnd"/>
      <w:r w:rsidR="001F1C19">
        <w:rPr>
          <w:rFonts w:eastAsia="Verdana" w:cs="Arial"/>
          <w:szCs w:val="20"/>
          <w:lang w:val="en-IE"/>
        </w:rPr>
        <w:t xml:space="preserve"> Star</w:t>
      </w:r>
      <w:r w:rsidRPr="00956EA3">
        <w:rPr>
          <w:rFonts w:eastAsia="Verdana" w:cs="Arial"/>
          <w:szCs w:val="20"/>
          <w:lang w:val="en-IE"/>
        </w:rPr>
        <w:t xml:space="preserve"> and its relevant subcontractors against any Employment Liabilities arising from, or in connection with, any act or omission in relation to any of the Supplier Personnel which arise during the term of this Agreement, including any claim that they have become an employee of </w:t>
      </w:r>
      <w:proofErr w:type="spellStart"/>
      <w:r w:rsidR="001F1C19">
        <w:rPr>
          <w:rFonts w:eastAsia="Verdana" w:cs="Arial"/>
          <w:szCs w:val="20"/>
          <w:lang w:val="en-IE"/>
        </w:rPr>
        <w:t>Netlink</w:t>
      </w:r>
      <w:proofErr w:type="spellEnd"/>
      <w:r w:rsidR="001F1C19">
        <w:rPr>
          <w:rFonts w:eastAsia="Verdana" w:cs="Arial"/>
          <w:szCs w:val="20"/>
          <w:lang w:val="en-IE"/>
        </w:rPr>
        <w:t xml:space="preserve"> Star</w:t>
      </w:r>
      <w:r w:rsidRPr="00956EA3">
        <w:rPr>
          <w:rFonts w:eastAsia="Verdana" w:cs="Arial"/>
          <w:szCs w:val="20"/>
          <w:lang w:val="en-IE"/>
        </w:rPr>
        <w:t xml:space="preserve"> or any of its subcontractors, whether in accordance with TUPE or otherwise.</w:t>
      </w:r>
    </w:p>
    <w:p w14:paraId="7FA5E94C" w14:textId="77777777" w:rsidR="002053FB" w:rsidRPr="00956EA3" w:rsidRDefault="002053FB" w:rsidP="009402CF">
      <w:pPr>
        <w:pStyle w:val="Heading2"/>
        <w:numPr>
          <w:ilvl w:val="0"/>
          <w:numId w:val="0"/>
        </w:numPr>
        <w:ind w:left="709"/>
        <w:rPr>
          <w:rFonts w:eastAsia="Verdana" w:cs="Arial"/>
          <w:szCs w:val="20"/>
        </w:rPr>
      </w:pPr>
    </w:p>
    <w:p w14:paraId="1AF3F46F" w14:textId="77777777" w:rsidR="002053FB" w:rsidRPr="00956EA3" w:rsidRDefault="002053FB" w:rsidP="009402CF">
      <w:pPr>
        <w:pStyle w:val="ListParagraph"/>
        <w:ind w:left="1440"/>
        <w:rPr>
          <w:rFonts w:ascii="Arial" w:eastAsia="Times New Roman" w:hAnsi="Arial" w:cs="Arial"/>
          <w:color w:val="000000"/>
          <w:sz w:val="20"/>
          <w:szCs w:val="20"/>
        </w:rPr>
      </w:pPr>
    </w:p>
    <w:p w14:paraId="2FD9226C" w14:textId="77777777" w:rsidR="002053FB" w:rsidRDefault="002053FB">
      <w:pPr>
        <w:rPr>
          <w:rFonts w:eastAsia="Verdana" w:cs="Arial"/>
          <w:b/>
          <w:szCs w:val="20"/>
        </w:rPr>
      </w:pPr>
      <w:r>
        <w:rPr>
          <w:rFonts w:eastAsia="Verdana" w:cs="Arial"/>
          <w:b/>
          <w:szCs w:val="20"/>
        </w:rPr>
        <w:br w:type="page"/>
      </w:r>
    </w:p>
    <w:p w14:paraId="1BF5087D" w14:textId="7F8F19AE" w:rsidR="002053FB" w:rsidRPr="00956EA3" w:rsidRDefault="002053FB" w:rsidP="009402CF">
      <w:pPr>
        <w:spacing w:after="223" w:line="259" w:lineRule="auto"/>
        <w:ind w:left="800" w:right="850" w:hanging="10"/>
        <w:jc w:val="center"/>
        <w:rPr>
          <w:rFonts w:eastAsia="Verdana" w:cs="Arial"/>
          <w:b/>
          <w:szCs w:val="20"/>
        </w:rPr>
      </w:pPr>
      <w:r w:rsidRPr="00956EA3">
        <w:rPr>
          <w:rFonts w:eastAsia="Verdana" w:cs="Arial"/>
          <w:b/>
          <w:szCs w:val="20"/>
        </w:rPr>
        <w:lastRenderedPageBreak/>
        <w:t>PART D</w:t>
      </w:r>
    </w:p>
    <w:p w14:paraId="225365CC" w14:textId="77777777" w:rsidR="002053FB" w:rsidRPr="00956EA3" w:rsidRDefault="002053FB" w:rsidP="009402CF">
      <w:pPr>
        <w:spacing w:after="223" w:line="259" w:lineRule="auto"/>
        <w:ind w:left="800" w:right="850" w:hanging="10"/>
        <w:jc w:val="center"/>
        <w:rPr>
          <w:rFonts w:eastAsia="Calibri" w:cs="Arial"/>
          <w:szCs w:val="20"/>
        </w:rPr>
      </w:pPr>
      <w:r w:rsidRPr="00956EA3">
        <w:rPr>
          <w:rFonts w:eastAsia="Verdana" w:cs="Arial"/>
          <w:b/>
          <w:szCs w:val="20"/>
        </w:rPr>
        <w:t>EMPLOYMENT EXIT PROVISIONS</w:t>
      </w:r>
      <w:r w:rsidRPr="00956EA3">
        <w:rPr>
          <w:rFonts w:eastAsia="Verdana" w:cs="Arial"/>
          <w:szCs w:val="20"/>
        </w:rPr>
        <w:t xml:space="preserve"> </w:t>
      </w:r>
    </w:p>
    <w:p w14:paraId="74751A66" w14:textId="77777777" w:rsidR="002053FB" w:rsidRPr="00D176EF" w:rsidRDefault="002053FB" w:rsidP="009D675B">
      <w:pPr>
        <w:pStyle w:val="Heading1"/>
        <w:numPr>
          <w:ilvl w:val="0"/>
          <w:numId w:val="97"/>
        </w:numPr>
        <w:rPr>
          <w:rFonts w:eastAsia="Verdana" w:cs="Arial"/>
          <w:b w:val="0"/>
          <w:szCs w:val="20"/>
        </w:rPr>
      </w:pPr>
      <w:r w:rsidRPr="00D176EF">
        <w:rPr>
          <w:rFonts w:eastAsia="Verdana" w:cs="Arial"/>
          <w:szCs w:val="20"/>
        </w:rPr>
        <w:t xml:space="preserve">PRE-SERVICE TRANSFER OBLIGATIONS </w:t>
      </w:r>
    </w:p>
    <w:p w14:paraId="4B82AC59" w14:textId="77777777" w:rsidR="002053FB" w:rsidRPr="00956EA3" w:rsidRDefault="002053FB" w:rsidP="000C5291">
      <w:pPr>
        <w:pStyle w:val="Heading2"/>
        <w:rPr>
          <w:rFonts w:eastAsia="Calibri" w:cs="Arial"/>
          <w:szCs w:val="20"/>
        </w:rPr>
      </w:pPr>
      <w:r w:rsidRPr="00956EA3">
        <w:rPr>
          <w:rFonts w:eastAsia="Verdana" w:cs="Arial"/>
          <w:szCs w:val="20"/>
        </w:rPr>
        <w:t xml:space="preserve">The Supplier agrees that within twenty (20) Working Days of the earliest of: </w:t>
      </w:r>
    </w:p>
    <w:p w14:paraId="6F1A9E62" w14:textId="77777777" w:rsidR="002053FB" w:rsidRPr="00956EA3" w:rsidRDefault="002053FB" w:rsidP="000C5291">
      <w:pPr>
        <w:pStyle w:val="Heading3"/>
        <w:rPr>
          <w:rFonts w:eastAsia="Calibri"/>
        </w:rPr>
      </w:pPr>
      <w:r w:rsidRPr="00956EA3">
        <w:rPr>
          <w:rFonts w:eastAsia="Verdana"/>
        </w:rPr>
        <w:t xml:space="preserve">receipt of the giving of notice of early termination or any Partial Termination of this </w:t>
      </w:r>
      <w:proofErr w:type="gramStart"/>
      <w:r w:rsidRPr="00956EA3">
        <w:rPr>
          <w:rFonts w:eastAsia="Verdana"/>
        </w:rPr>
        <w:t>Agreement;</w:t>
      </w:r>
      <w:proofErr w:type="gramEnd"/>
      <w:r w:rsidRPr="00956EA3">
        <w:rPr>
          <w:rFonts w:eastAsia="Verdana"/>
        </w:rPr>
        <w:t xml:space="preserve"> </w:t>
      </w:r>
    </w:p>
    <w:p w14:paraId="6B3AFD73" w14:textId="77777777" w:rsidR="002053FB" w:rsidRPr="00956EA3" w:rsidRDefault="002053FB" w:rsidP="000C5291">
      <w:pPr>
        <w:pStyle w:val="Heading3"/>
        <w:rPr>
          <w:rFonts w:eastAsia="Calibri"/>
        </w:rPr>
      </w:pPr>
      <w:r w:rsidRPr="00956EA3">
        <w:rPr>
          <w:rFonts w:eastAsia="Verdana"/>
        </w:rPr>
        <w:t xml:space="preserve">the date which is twelve (12) months before the end of the Term; and </w:t>
      </w:r>
    </w:p>
    <w:p w14:paraId="511A1BB0" w14:textId="0D31A0A9" w:rsidR="002053FB" w:rsidRPr="00956EA3" w:rsidRDefault="002053FB" w:rsidP="000C5291">
      <w:pPr>
        <w:pStyle w:val="Heading3"/>
        <w:rPr>
          <w:rFonts w:eastAsia="Calibri"/>
        </w:rPr>
      </w:pPr>
      <w:r w:rsidRPr="00956EA3">
        <w:rPr>
          <w:rFonts w:eastAsia="Verdana"/>
        </w:rPr>
        <w:t xml:space="preserve">receipt of a written request of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 at any time (provided that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 shall only be entitled to make one such request itself in any six (6) month period), </w:t>
      </w:r>
    </w:p>
    <w:p w14:paraId="71A512F7" w14:textId="43ED3CD3" w:rsidR="002053FB" w:rsidRPr="00956EA3" w:rsidRDefault="002053FB" w:rsidP="000C5291">
      <w:pPr>
        <w:pStyle w:val="Heading3"/>
        <w:rPr>
          <w:rFonts w:eastAsia="Calibri"/>
        </w:rPr>
      </w:pPr>
      <w:r w:rsidRPr="00956EA3">
        <w:rPr>
          <w:rFonts w:eastAsia="Verdana"/>
        </w:rPr>
        <w:t xml:space="preserve">it shall provide in a suitably anonymised format </w:t>
      </w:r>
      <w:proofErr w:type="gramStart"/>
      <w:r w:rsidRPr="00956EA3">
        <w:rPr>
          <w:rFonts w:eastAsia="Verdana"/>
        </w:rPr>
        <w:t>so as to</w:t>
      </w:r>
      <w:proofErr w:type="gramEnd"/>
      <w:r w:rsidRPr="00956EA3">
        <w:rPr>
          <w:rFonts w:eastAsia="Verdana"/>
        </w:rPr>
        <w:t xml:space="preserve"> comply with Data Pro</w:t>
      </w:r>
      <w:r w:rsidR="006F3D60">
        <w:rPr>
          <w:rFonts w:eastAsia="Verdana"/>
        </w:rPr>
        <w:t>t</w:t>
      </w:r>
      <w:r w:rsidRPr="00956EA3">
        <w:rPr>
          <w:rFonts w:eastAsia="Verdana"/>
        </w:rPr>
        <w:t>ection Legislation, the Supplier's Provisional Supplier Personnel List, together with the Staffing Inform</w:t>
      </w:r>
      <w:r w:rsidR="006F3D60">
        <w:rPr>
          <w:rFonts w:eastAsia="Verdana"/>
        </w:rPr>
        <w:t>a</w:t>
      </w:r>
      <w:r w:rsidRPr="00956EA3">
        <w:rPr>
          <w:rFonts w:eastAsia="Verdana"/>
        </w:rPr>
        <w:t xml:space="preserve">tion in relation to the Supplier's Provisional Supplier Personnel List and it </w:t>
      </w:r>
      <w:r w:rsidR="00A20CD5">
        <w:rPr>
          <w:rFonts w:eastAsia="Verdana"/>
        </w:rPr>
        <w:t>’</w:t>
      </w:r>
      <w:r w:rsidRPr="00956EA3">
        <w:rPr>
          <w:rFonts w:eastAsia="Verdana"/>
        </w:rPr>
        <w:t xml:space="preserve">hall provide an updated Supplier's Provisional Supplier Personnel List at such intervals as are reasonably requested by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  </w:t>
      </w:r>
    </w:p>
    <w:p w14:paraId="64D57A60" w14:textId="52B2E6ED" w:rsidR="002053FB" w:rsidRPr="00956EA3" w:rsidRDefault="002053FB" w:rsidP="000C5291">
      <w:pPr>
        <w:pStyle w:val="Heading2"/>
        <w:rPr>
          <w:rFonts w:eastAsia="Calibri" w:cs="Arial"/>
          <w:szCs w:val="20"/>
        </w:rPr>
      </w:pPr>
      <w:r w:rsidRPr="00956EA3">
        <w:rPr>
          <w:rFonts w:eastAsia="Verdana" w:cs="Arial"/>
          <w:szCs w:val="20"/>
        </w:rPr>
        <w:t xml:space="preserve">At least twenty (20) Working Days prior to the Service Transfer Date, the Supplier shall provide to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or at the direction of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to any Replacement Supplier and/or any Replacem</w:t>
      </w:r>
      <w:r w:rsidR="006F3D60">
        <w:rPr>
          <w:rFonts w:eastAsia="Verdana" w:cs="Arial"/>
          <w:szCs w:val="20"/>
        </w:rPr>
        <w:t>e</w:t>
      </w:r>
      <w:r w:rsidRPr="00956EA3">
        <w:rPr>
          <w:rFonts w:eastAsia="Verdana" w:cs="Arial"/>
          <w:szCs w:val="20"/>
        </w:rPr>
        <w:t xml:space="preserve">nt Sub-contractor: </w:t>
      </w:r>
    </w:p>
    <w:p w14:paraId="6CC49D66" w14:textId="77777777" w:rsidR="002053FB" w:rsidRPr="00956EA3" w:rsidRDefault="002053FB" w:rsidP="000C5291">
      <w:pPr>
        <w:pStyle w:val="Heading3"/>
        <w:rPr>
          <w:rFonts w:eastAsia="Calibri"/>
        </w:rPr>
      </w:pPr>
      <w:r w:rsidRPr="00956EA3">
        <w:rPr>
          <w:rFonts w:eastAsia="Verdana"/>
        </w:rPr>
        <w:t xml:space="preserve">the Supplier's Final Supplier Personnel List, which shall identify which of the Supplier Personnel are Transferring Supplier Employees; and </w:t>
      </w:r>
    </w:p>
    <w:p w14:paraId="4DD73ACE" w14:textId="77777777" w:rsidR="002053FB" w:rsidRPr="00956EA3" w:rsidRDefault="002053FB" w:rsidP="000C5291">
      <w:pPr>
        <w:pStyle w:val="Heading3"/>
        <w:rPr>
          <w:rFonts w:eastAsia="Calibri"/>
        </w:rPr>
      </w:pPr>
      <w:r w:rsidRPr="00956EA3">
        <w:rPr>
          <w:rFonts w:eastAsia="Verdana"/>
        </w:rPr>
        <w:t xml:space="preserve">the Staffing Information in relation to the Supplier’s Final Supplier Personnel List (insofar as such information has not previously been provided). </w:t>
      </w:r>
    </w:p>
    <w:p w14:paraId="54F7C847" w14:textId="36A2E73F" w:rsidR="002053FB" w:rsidRPr="00956EA3" w:rsidRDefault="001F1C19" w:rsidP="000C5291">
      <w:pPr>
        <w:pStyle w:val="Heading2"/>
        <w:rPr>
          <w:rFonts w:eastAsia="Calibri" w:cs="Arial"/>
          <w:szCs w:val="20"/>
        </w:rPr>
      </w:pPr>
      <w:proofErr w:type="spellStart"/>
      <w:r>
        <w:rPr>
          <w:rFonts w:eastAsia="Verdana" w:cs="Arial"/>
          <w:szCs w:val="20"/>
        </w:rPr>
        <w:t>Netlink</w:t>
      </w:r>
      <w:proofErr w:type="spellEnd"/>
      <w:r>
        <w:rPr>
          <w:rFonts w:eastAsia="Verdana" w:cs="Arial"/>
          <w:szCs w:val="20"/>
        </w:rPr>
        <w:t xml:space="preserve"> Star</w:t>
      </w:r>
      <w:r w:rsidR="002053FB" w:rsidRPr="00956EA3">
        <w:rPr>
          <w:rFonts w:eastAsia="Verdana" w:cs="Arial"/>
          <w:szCs w:val="20"/>
        </w:rPr>
        <w:t xml:space="preserve"> shall be permitted to use and disclose information provided by the Supplier under paragraphs 1.1 and 1.2 for the purpose of informing any prospective Replacement Supplier and/or Replacement Sub-contractor (including those parties who are invited to take part in a tender exercise for the provision of the Services). Where directed by </w:t>
      </w:r>
      <w:proofErr w:type="spellStart"/>
      <w:r>
        <w:rPr>
          <w:rFonts w:eastAsia="Verdana" w:cs="Arial"/>
          <w:szCs w:val="20"/>
        </w:rPr>
        <w:t>Netlink</w:t>
      </w:r>
      <w:proofErr w:type="spellEnd"/>
      <w:r>
        <w:rPr>
          <w:rFonts w:eastAsia="Verdana" w:cs="Arial"/>
          <w:szCs w:val="20"/>
        </w:rPr>
        <w:t xml:space="preserve"> Star</w:t>
      </w:r>
      <w:r w:rsidR="002053FB" w:rsidRPr="00956EA3">
        <w:rPr>
          <w:rFonts w:eastAsia="Verdana" w:cs="Arial"/>
          <w:szCs w:val="20"/>
        </w:rPr>
        <w:t xml:space="preserve">, the Supplier shall provide the information referred to in paragraphs 1.1 and 1.2 direct to such prospective Replacement Suppliers, Replacement Sub-contractors and tenderers as request the same following such direction by </w:t>
      </w:r>
      <w:proofErr w:type="spellStart"/>
      <w:r>
        <w:rPr>
          <w:rFonts w:eastAsia="Verdana" w:cs="Arial"/>
          <w:szCs w:val="20"/>
        </w:rPr>
        <w:t>Netlink</w:t>
      </w:r>
      <w:proofErr w:type="spellEnd"/>
      <w:r>
        <w:rPr>
          <w:rFonts w:eastAsia="Verdana" w:cs="Arial"/>
          <w:szCs w:val="20"/>
        </w:rPr>
        <w:t xml:space="preserve"> Star</w:t>
      </w:r>
      <w:r w:rsidR="002053FB" w:rsidRPr="00956EA3">
        <w:rPr>
          <w:rFonts w:eastAsia="Verdana" w:cs="Arial"/>
          <w:szCs w:val="20"/>
        </w:rPr>
        <w:t xml:space="preserve">, and the Supplier shall provide a contact name and details for such requests to be received.  For the purposes of the restriction referred to paragraph 1.1.3, any one request by </w:t>
      </w:r>
      <w:proofErr w:type="spellStart"/>
      <w:r>
        <w:rPr>
          <w:rFonts w:eastAsia="Verdana" w:cs="Arial"/>
          <w:szCs w:val="20"/>
        </w:rPr>
        <w:t>Netlink</w:t>
      </w:r>
      <w:proofErr w:type="spellEnd"/>
      <w:r>
        <w:rPr>
          <w:rFonts w:eastAsia="Verdana" w:cs="Arial"/>
          <w:szCs w:val="20"/>
        </w:rPr>
        <w:t xml:space="preserve"> Star</w:t>
      </w:r>
      <w:r w:rsidR="002053FB" w:rsidRPr="00956EA3">
        <w:rPr>
          <w:rFonts w:eastAsia="Verdana" w:cs="Arial"/>
          <w:szCs w:val="20"/>
        </w:rPr>
        <w:t xml:space="preserve"> and each request by a prospective Replacement Supplier, Replacement Sub-contractor or tenderer related to the same procurement exercise shall be treated as a single request. For clarification, </w:t>
      </w:r>
      <w:proofErr w:type="spellStart"/>
      <w:r>
        <w:rPr>
          <w:rFonts w:eastAsia="Verdana" w:cs="Arial"/>
          <w:szCs w:val="20"/>
        </w:rPr>
        <w:t>Netlink</w:t>
      </w:r>
      <w:proofErr w:type="spellEnd"/>
      <w:r>
        <w:rPr>
          <w:rFonts w:eastAsia="Verdana" w:cs="Arial"/>
          <w:szCs w:val="20"/>
        </w:rPr>
        <w:t xml:space="preserve"> Star</w:t>
      </w:r>
      <w:r w:rsidR="002053FB" w:rsidRPr="00956EA3">
        <w:rPr>
          <w:rFonts w:eastAsia="Verdana" w:cs="Arial"/>
          <w:szCs w:val="20"/>
        </w:rPr>
        <w:t xml:space="preserve">’s ability to share information disclosed by Supplier or directed to be disclosed by </w:t>
      </w:r>
      <w:proofErr w:type="spellStart"/>
      <w:r>
        <w:rPr>
          <w:rFonts w:eastAsia="Verdana" w:cs="Arial"/>
          <w:szCs w:val="20"/>
        </w:rPr>
        <w:t>Netlink</w:t>
      </w:r>
      <w:proofErr w:type="spellEnd"/>
      <w:r>
        <w:rPr>
          <w:rFonts w:eastAsia="Verdana" w:cs="Arial"/>
          <w:szCs w:val="20"/>
        </w:rPr>
        <w:t xml:space="preserve"> Star</w:t>
      </w:r>
      <w:r w:rsidR="002053FB" w:rsidRPr="00956EA3">
        <w:rPr>
          <w:rFonts w:eastAsia="Verdana" w:cs="Arial"/>
          <w:szCs w:val="20"/>
        </w:rPr>
        <w:t xml:space="preserve"> is subject to any third parties agreeing to treat the information confidentially and to use such information strictly for the purpose of bidding for and/or providing replacement services.</w:t>
      </w:r>
    </w:p>
    <w:p w14:paraId="40CB24A8" w14:textId="228E3F2B" w:rsidR="002053FB" w:rsidRPr="00956EA3" w:rsidRDefault="002053FB" w:rsidP="000C5291">
      <w:pPr>
        <w:pStyle w:val="Heading2"/>
        <w:rPr>
          <w:rFonts w:eastAsia="Calibri" w:cs="Arial"/>
          <w:szCs w:val="20"/>
        </w:rPr>
      </w:pPr>
      <w:r w:rsidRPr="00956EA3">
        <w:rPr>
          <w:rFonts w:eastAsia="Verdana" w:cs="Arial"/>
          <w:szCs w:val="20"/>
        </w:rPr>
        <w:t>The Supplier warrants</w:t>
      </w:r>
      <w:r w:rsidRPr="00956EA3">
        <w:rPr>
          <w:rFonts w:cs="Arial"/>
          <w:szCs w:val="20"/>
        </w:rPr>
        <w:t xml:space="preserve"> </w:t>
      </w:r>
      <w:r w:rsidRPr="00956EA3">
        <w:rPr>
          <w:rFonts w:eastAsia="Verdana" w:cs="Arial"/>
          <w:szCs w:val="20"/>
        </w:rPr>
        <w:t xml:space="preserve">to the best of the Supplier’s knowledge, for the benefit of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any Replacement Supplier, and any Replacement Sub-contractor that all information provided pursuant to paragraphs 1.1 and 1.2 shall be true and accurate in all material respects at the time of providing the information. </w:t>
      </w:r>
    </w:p>
    <w:p w14:paraId="4C4A2B34" w14:textId="461A21F2" w:rsidR="002053FB" w:rsidRPr="00956EA3" w:rsidRDefault="002053FB" w:rsidP="000C5291">
      <w:pPr>
        <w:pStyle w:val="Heading2"/>
        <w:rPr>
          <w:rFonts w:eastAsia="Calibri" w:cs="Arial"/>
          <w:szCs w:val="20"/>
        </w:rPr>
      </w:pPr>
      <w:r w:rsidRPr="00956EA3">
        <w:rPr>
          <w:rFonts w:eastAsia="Verdana" w:cs="Arial"/>
          <w:szCs w:val="20"/>
        </w:rPr>
        <w:t xml:space="preserve">From the date of the earliest event referred to in paragraph, 1.1.1 and 1.1.2, the Supplier agrees, that it shall not, and agrees to procure that each Sub-contractor shall not, assign any person to the provision of the Services who is not listed on the Supplier’s Provisional Supplier Personnel List and shall not without the approval of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(not to be unreasonably withheld or delayed): </w:t>
      </w:r>
    </w:p>
    <w:p w14:paraId="5468527D" w14:textId="77777777" w:rsidR="002053FB" w:rsidRPr="00956EA3" w:rsidRDefault="002053FB" w:rsidP="000C5291">
      <w:pPr>
        <w:pStyle w:val="Heading3"/>
        <w:rPr>
          <w:rFonts w:eastAsia="Calibri"/>
        </w:rPr>
      </w:pPr>
      <w:r w:rsidRPr="00956EA3">
        <w:rPr>
          <w:rFonts w:eastAsia="Verdana"/>
        </w:rPr>
        <w:t xml:space="preserve">replace or re-deploy any Supplier Personnel listed on the Supplier Provisional Supplier Personnel List other than where any replacement is of equivalent grade, skills, experience and expertise and is employed on the same or materially and substantially similar terms and conditions of employment as the person he/she </w:t>
      </w:r>
      <w:proofErr w:type="gramStart"/>
      <w:r w:rsidRPr="00956EA3">
        <w:rPr>
          <w:rFonts w:eastAsia="Verdana"/>
        </w:rPr>
        <w:t>replaces;</w:t>
      </w:r>
      <w:proofErr w:type="gramEnd"/>
      <w:r w:rsidRPr="00956EA3">
        <w:rPr>
          <w:rFonts w:eastAsia="Verdana"/>
        </w:rPr>
        <w:t xml:space="preserve"> </w:t>
      </w:r>
    </w:p>
    <w:p w14:paraId="41317521" w14:textId="77777777" w:rsidR="002053FB" w:rsidRPr="00956EA3" w:rsidRDefault="002053FB" w:rsidP="000C5291">
      <w:pPr>
        <w:pStyle w:val="Heading3"/>
        <w:rPr>
          <w:rFonts w:eastAsia="Verdana"/>
        </w:rPr>
      </w:pPr>
      <w:r w:rsidRPr="00956EA3">
        <w:rPr>
          <w:rFonts w:eastAsia="Verdana"/>
        </w:rPr>
        <w:lastRenderedPageBreak/>
        <w:t>make, promise, propose or permit any material changes to the terms and conditions of employment of the Supplier Personnel (including any payments connected with the termination of employment</w:t>
      </w:r>
      <w:proofErr w:type="gramStart"/>
      <w:r w:rsidRPr="00956EA3">
        <w:rPr>
          <w:rFonts w:eastAsia="Verdana"/>
        </w:rPr>
        <w:t>);</w:t>
      </w:r>
      <w:proofErr w:type="gramEnd"/>
      <w:r w:rsidRPr="00956EA3">
        <w:rPr>
          <w:rFonts w:eastAsia="Verdana"/>
        </w:rPr>
        <w:t xml:space="preserve"> </w:t>
      </w:r>
    </w:p>
    <w:p w14:paraId="21674629" w14:textId="77777777" w:rsidR="002053FB" w:rsidRPr="00956EA3" w:rsidRDefault="002053FB" w:rsidP="000C5291">
      <w:pPr>
        <w:pStyle w:val="Heading3"/>
        <w:rPr>
          <w:rFonts w:eastAsia="Verdana"/>
        </w:rPr>
      </w:pPr>
      <w:r w:rsidRPr="00956EA3">
        <w:rPr>
          <w:rFonts w:eastAsia="Verdana"/>
        </w:rPr>
        <w:t xml:space="preserve">increase the proportion of working time spent on the Services (or the relevant part of the Services) by any of the Supplier Personnel save for fulfilling assignments and projects previously scheduled and </w:t>
      </w:r>
      <w:proofErr w:type="gramStart"/>
      <w:r w:rsidRPr="00956EA3">
        <w:rPr>
          <w:rFonts w:eastAsia="Verdana"/>
        </w:rPr>
        <w:t>agreed;</w:t>
      </w:r>
      <w:proofErr w:type="gramEnd"/>
      <w:r w:rsidRPr="00956EA3">
        <w:rPr>
          <w:rFonts w:eastAsia="Verdana"/>
        </w:rPr>
        <w:t xml:space="preserve"> </w:t>
      </w:r>
    </w:p>
    <w:p w14:paraId="11FB5E33" w14:textId="318CECBE" w:rsidR="002053FB" w:rsidRPr="00956EA3" w:rsidRDefault="002053FB" w:rsidP="000C5291">
      <w:pPr>
        <w:pStyle w:val="Heading3"/>
        <w:rPr>
          <w:rFonts w:eastAsia="Verdana"/>
        </w:rPr>
      </w:pPr>
      <w:r w:rsidRPr="00956EA3">
        <w:rPr>
          <w:rFonts w:eastAsia="Verdana"/>
        </w:rPr>
        <w:t>introduce any new contractual or customary practice concerning the making of any lump sum payment on the termination of employment of any</w:t>
      </w:r>
      <w:r w:rsidR="006F3D60">
        <w:rPr>
          <w:rFonts w:eastAsia="Verdana"/>
        </w:rPr>
        <w:t xml:space="preserve"> </w:t>
      </w:r>
      <w:r w:rsidRPr="00956EA3">
        <w:rPr>
          <w:rFonts w:eastAsia="Verdana"/>
        </w:rPr>
        <w:t xml:space="preserve">employees listed on the Supplier's Provisional Supplier Personnel </w:t>
      </w:r>
      <w:proofErr w:type="gramStart"/>
      <w:r w:rsidRPr="00956EA3">
        <w:rPr>
          <w:rFonts w:eastAsia="Verdana"/>
        </w:rPr>
        <w:t>List;</w:t>
      </w:r>
      <w:proofErr w:type="gramEnd"/>
    </w:p>
    <w:p w14:paraId="7359930E" w14:textId="77777777" w:rsidR="002053FB" w:rsidRPr="00956EA3" w:rsidRDefault="002053FB" w:rsidP="000C5291">
      <w:pPr>
        <w:pStyle w:val="Heading3"/>
        <w:rPr>
          <w:rFonts w:eastAsia="Verdana"/>
        </w:rPr>
      </w:pPr>
      <w:r w:rsidRPr="00956EA3">
        <w:rPr>
          <w:rFonts w:eastAsia="Verdana"/>
        </w:rPr>
        <w:t xml:space="preserve">increase or reduce the total number of employees so engaged, or deploy any other person to perform the Services (or the relevant part of the Services); or </w:t>
      </w:r>
    </w:p>
    <w:p w14:paraId="4E6B79B2" w14:textId="1FC576E7" w:rsidR="002053FB" w:rsidRPr="00956EA3" w:rsidRDefault="002053FB" w:rsidP="000C5291">
      <w:pPr>
        <w:pStyle w:val="Heading3"/>
        <w:rPr>
          <w:rFonts w:eastAsia="Verdana"/>
        </w:rPr>
      </w:pPr>
      <w:r w:rsidRPr="00956EA3">
        <w:rPr>
          <w:rFonts w:eastAsia="Verdana"/>
        </w:rPr>
        <w:t>terminate or give notice to terminate the employment or contrac</w:t>
      </w:r>
      <w:r w:rsidR="006F3D60">
        <w:rPr>
          <w:rFonts w:eastAsia="Verdana"/>
        </w:rPr>
        <w:t>t</w:t>
      </w:r>
      <w:r w:rsidRPr="00956EA3">
        <w:rPr>
          <w:rFonts w:eastAsia="Verdana"/>
        </w:rPr>
        <w:t xml:space="preserve">s of any persons on the Supplier's Provisional Supplier Personnel List save by due disciplinary process, </w:t>
      </w:r>
    </w:p>
    <w:p w14:paraId="0C287404" w14:textId="3CCB11C8" w:rsidR="002053FB" w:rsidRPr="00956EA3" w:rsidRDefault="002053FB" w:rsidP="000C5291">
      <w:pPr>
        <w:pStyle w:val="Heading3"/>
        <w:rPr>
          <w:rFonts w:eastAsia="Calibri"/>
        </w:rPr>
      </w:pPr>
      <w:r w:rsidRPr="00956EA3">
        <w:rPr>
          <w:rFonts w:eastAsia="Verdana"/>
        </w:rPr>
        <w:t xml:space="preserve">and shall promptly notify, and procure that each Sub-contractor shall promptly notify,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 or, at the direction of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 any Replacement </w:t>
      </w:r>
      <w:proofErr w:type="gramStart"/>
      <w:r w:rsidRPr="00956EA3">
        <w:rPr>
          <w:rFonts w:eastAsia="Verdana"/>
        </w:rPr>
        <w:t>Supplier</w:t>
      </w:r>
      <w:proofErr w:type="gramEnd"/>
      <w:r w:rsidRPr="00956EA3">
        <w:rPr>
          <w:rFonts w:eastAsia="Verdana"/>
        </w:rPr>
        <w:t xml:space="preserve"> and any Replacement Sub-contractor of any notice to terminate employment given by the Supplier or relevant Sub-contractor or received from a</w:t>
      </w:r>
      <w:r w:rsidR="006F3D60">
        <w:rPr>
          <w:rFonts w:eastAsia="Verdana"/>
        </w:rPr>
        <w:t>n</w:t>
      </w:r>
      <w:r w:rsidRPr="00956EA3">
        <w:rPr>
          <w:rFonts w:eastAsia="Verdana"/>
        </w:rPr>
        <w:t xml:space="preserve">y persons listed on the Supplier's Provisional Supplier Personnel List regardless of when such notice takes effect. </w:t>
      </w:r>
    </w:p>
    <w:p w14:paraId="06F76279" w14:textId="2B3EF828" w:rsidR="002053FB" w:rsidRPr="00956EA3" w:rsidRDefault="002053FB" w:rsidP="000C5291">
      <w:pPr>
        <w:pStyle w:val="Heading2"/>
        <w:rPr>
          <w:rFonts w:eastAsia="Calibri" w:cs="Arial"/>
          <w:szCs w:val="20"/>
        </w:rPr>
      </w:pPr>
      <w:r w:rsidRPr="00956EA3">
        <w:rPr>
          <w:rFonts w:eastAsia="Verdana" w:cs="Arial"/>
          <w:szCs w:val="20"/>
        </w:rPr>
        <w:t xml:space="preserve">During the Term, the Supplier shall provide, and shall procure that each Sub-contractor shall provide, to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any information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may reasonably require relating to the </w:t>
      </w:r>
      <w:proofErr w:type="gramStart"/>
      <w:r w:rsidRPr="00956EA3">
        <w:rPr>
          <w:rFonts w:eastAsia="Verdana" w:cs="Arial"/>
          <w:szCs w:val="20"/>
        </w:rPr>
        <w:t>manner in which</w:t>
      </w:r>
      <w:proofErr w:type="gramEnd"/>
      <w:r w:rsidRPr="00956EA3">
        <w:rPr>
          <w:rFonts w:eastAsia="Verdana" w:cs="Arial"/>
          <w:szCs w:val="20"/>
        </w:rPr>
        <w:t xml:space="preserve"> the Services are organised, which shall include: </w:t>
      </w:r>
    </w:p>
    <w:p w14:paraId="5B896517" w14:textId="77777777" w:rsidR="002053FB" w:rsidRPr="00956EA3" w:rsidRDefault="002053FB" w:rsidP="000C5291">
      <w:pPr>
        <w:pStyle w:val="Heading3"/>
        <w:rPr>
          <w:rFonts w:eastAsia="Verdana"/>
        </w:rPr>
      </w:pPr>
      <w:r w:rsidRPr="00956EA3">
        <w:rPr>
          <w:rFonts w:eastAsia="Verdana"/>
        </w:rPr>
        <w:t xml:space="preserve">the numbers of employees engaged in providing the </w:t>
      </w:r>
      <w:proofErr w:type="gramStart"/>
      <w:r w:rsidRPr="00956EA3">
        <w:rPr>
          <w:rFonts w:eastAsia="Verdana"/>
        </w:rPr>
        <w:t>Services;</w:t>
      </w:r>
      <w:proofErr w:type="gramEnd"/>
      <w:r w:rsidRPr="00956EA3">
        <w:rPr>
          <w:rFonts w:eastAsia="Verdana"/>
        </w:rPr>
        <w:t xml:space="preserve"> </w:t>
      </w:r>
    </w:p>
    <w:p w14:paraId="40F818D8" w14:textId="77777777" w:rsidR="002053FB" w:rsidRPr="00956EA3" w:rsidRDefault="002053FB" w:rsidP="000C5291">
      <w:pPr>
        <w:pStyle w:val="Heading3"/>
        <w:rPr>
          <w:rFonts w:eastAsia="Verdana"/>
        </w:rPr>
      </w:pPr>
      <w:r w:rsidRPr="00956EA3">
        <w:rPr>
          <w:rFonts w:eastAsia="Verdana"/>
        </w:rPr>
        <w:t xml:space="preserve">the percentage of time spent by each employee engaged in providing the Services; and </w:t>
      </w:r>
    </w:p>
    <w:p w14:paraId="08DDE91E" w14:textId="77777777" w:rsidR="002053FB" w:rsidRPr="00956EA3" w:rsidRDefault="002053FB" w:rsidP="000C5291">
      <w:pPr>
        <w:pStyle w:val="Heading3"/>
        <w:rPr>
          <w:rFonts w:eastAsia="Verdana"/>
        </w:rPr>
      </w:pPr>
      <w:r w:rsidRPr="00956EA3">
        <w:rPr>
          <w:rFonts w:eastAsia="Verdana"/>
        </w:rPr>
        <w:t xml:space="preserve">a description of the nature of the work undertaken by each employee by location. </w:t>
      </w:r>
    </w:p>
    <w:p w14:paraId="4444E4C9" w14:textId="657447AA" w:rsidR="002053FB" w:rsidRPr="00956EA3" w:rsidRDefault="002053FB" w:rsidP="000C5291">
      <w:pPr>
        <w:pStyle w:val="Heading2"/>
        <w:rPr>
          <w:rFonts w:eastAsia="Calibri" w:cs="Arial"/>
          <w:szCs w:val="20"/>
        </w:rPr>
      </w:pPr>
      <w:r w:rsidRPr="00956EA3">
        <w:rPr>
          <w:rFonts w:eastAsia="Verdana" w:cs="Arial"/>
          <w:szCs w:val="20"/>
        </w:rPr>
        <w:t xml:space="preserve">The Supplier shall provide, and shall procure that each Sub-contractor shall provide, all reasonable cooperation and assistance to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any Replacement Supplier and/or any Replacement Sub-contractor to ensure the smooth transfer of the Transferring Supplier Employees on the Service Transfer Date including providing sufficient information in advance of the Service Transfer Date to ensure that all necessary payroll arrangements can be made to enable the Transferring Supplier Employees to be paid as appropriate.  Without prejudice to the generality of the foregoing, within five (5) Working Days following the Service Transfer Date, the Supplier shall provide, and shall procure that each Subcontractor shall provide, to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or, at the direction of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to any Replacement Supplier and/or any Replacement Sub-contractor (as appropriate), in respe</w:t>
      </w:r>
      <w:r w:rsidR="006F3D60">
        <w:rPr>
          <w:rFonts w:eastAsia="Verdana" w:cs="Arial"/>
          <w:szCs w:val="20"/>
        </w:rPr>
        <w:t>c</w:t>
      </w:r>
      <w:r w:rsidRPr="00956EA3">
        <w:rPr>
          <w:rFonts w:eastAsia="Verdana" w:cs="Arial"/>
          <w:szCs w:val="20"/>
        </w:rPr>
        <w:t xml:space="preserve">t of each person on the Supplier's Final Supplier Personnel List who is a Transferring Supplier </w:t>
      </w:r>
      <w:r w:rsidR="006F3D60">
        <w:rPr>
          <w:rFonts w:eastAsia="Verdana" w:cs="Arial"/>
          <w:szCs w:val="20"/>
        </w:rPr>
        <w:t>e</w:t>
      </w:r>
      <w:r w:rsidRPr="00956EA3">
        <w:rPr>
          <w:rFonts w:eastAsia="Verdana" w:cs="Arial"/>
          <w:szCs w:val="20"/>
        </w:rPr>
        <w:t xml:space="preserve">mployee: </w:t>
      </w:r>
    </w:p>
    <w:p w14:paraId="2209D866" w14:textId="77777777" w:rsidR="002053FB" w:rsidRPr="00956EA3" w:rsidRDefault="002053FB" w:rsidP="000C5291">
      <w:pPr>
        <w:pStyle w:val="Heading3"/>
        <w:rPr>
          <w:rFonts w:eastAsia="Verdana"/>
        </w:rPr>
      </w:pPr>
      <w:r w:rsidRPr="00956EA3">
        <w:rPr>
          <w:rFonts w:eastAsia="Verdana"/>
        </w:rPr>
        <w:tab/>
        <w:t xml:space="preserve">the most recent month's copy pay slip </w:t>
      </w:r>
      <w:proofErr w:type="gramStart"/>
      <w:r w:rsidRPr="00956EA3">
        <w:rPr>
          <w:rFonts w:eastAsia="Verdana"/>
        </w:rPr>
        <w:t>data;</w:t>
      </w:r>
      <w:proofErr w:type="gramEnd"/>
      <w:r w:rsidRPr="00956EA3">
        <w:rPr>
          <w:rFonts w:eastAsia="Verdana"/>
        </w:rPr>
        <w:t xml:space="preserve"> </w:t>
      </w:r>
    </w:p>
    <w:p w14:paraId="6EBF91AD" w14:textId="77777777" w:rsidR="002053FB" w:rsidRPr="00956EA3" w:rsidRDefault="002053FB" w:rsidP="000C5291">
      <w:pPr>
        <w:pStyle w:val="Heading3"/>
        <w:rPr>
          <w:rFonts w:eastAsia="Verdana"/>
        </w:rPr>
      </w:pPr>
      <w:r w:rsidRPr="00956EA3">
        <w:rPr>
          <w:rFonts w:eastAsia="Verdana"/>
        </w:rPr>
        <w:tab/>
        <w:t xml:space="preserve">details of cumulative pay for tax and pension </w:t>
      </w:r>
      <w:proofErr w:type="gramStart"/>
      <w:r w:rsidRPr="00956EA3">
        <w:rPr>
          <w:rFonts w:eastAsia="Verdana"/>
        </w:rPr>
        <w:t>purposes;</w:t>
      </w:r>
      <w:proofErr w:type="gramEnd"/>
      <w:r w:rsidRPr="00956EA3">
        <w:rPr>
          <w:rFonts w:eastAsia="Verdana"/>
        </w:rPr>
        <w:t xml:space="preserve"> </w:t>
      </w:r>
    </w:p>
    <w:p w14:paraId="464484C5" w14:textId="77777777" w:rsidR="002053FB" w:rsidRPr="00956EA3" w:rsidRDefault="002053FB" w:rsidP="000C5291">
      <w:pPr>
        <w:pStyle w:val="Heading3"/>
        <w:rPr>
          <w:rFonts w:eastAsia="Verdana"/>
        </w:rPr>
      </w:pPr>
      <w:r w:rsidRPr="00956EA3">
        <w:rPr>
          <w:rFonts w:eastAsia="Verdana"/>
        </w:rPr>
        <w:tab/>
        <w:t xml:space="preserve">details of cumulative tax </w:t>
      </w:r>
      <w:proofErr w:type="gramStart"/>
      <w:r w:rsidRPr="00956EA3">
        <w:rPr>
          <w:rFonts w:eastAsia="Verdana"/>
        </w:rPr>
        <w:t>paid;</w:t>
      </w:r>
      <w:proofErr w:type="gramEnd"/>
      <w:r w:rsidRPr="00956EA3">
        <w:rPr>
          <w:rFonts w:eastAsia="Verdana"/>
        </w:rPr>
        <w:t xml:space="preserve"> </w:t>
      </w:r>
    </w:p>
    <w:p w14:paraId="4DA65B33" w14:textId="77777777" w:rsidR="002053FB" w:rsidRPr="00956EA3" w:rsidRDefault="002053FB" w:rsidP="000C5291">
      <w:pPr>
        <w:pStyle w:val="Heading3"/>
        <w:rPr>
          <w:rFonts w:eastAsia="Verdana"/>
        </w:rPr>
      </w:pPr>
      <w:r w:rsidRPr="00956EA3">
        <w:rPr>
          <w:rFonts w:eastAsia="Verdana"/>
        </w:rPr>
        <w:tab/>
        <w:t xml:space="preserve">tax </w:t>
      </w:r>
      <w:proofErr w:type="gramStart"/>
      <w:r w:rsidRPr="00956EA3">
        <w:rPr>
          <w:rFonts w:eastAsia="Verdana"/>
        </w:rPr>
        <w:t>code;</w:t>
      </w:r>
      <w:proofErr w:type="gramEnd"/>
      <w:r w:rsidRPr="00956EA3">
        <w:rPr>
          <w:rFonts w:eastAsia="Verdana"/>
        </w:rPr>
        <w:t xml:space="preserve"> </w:t>
      </w:r>
    </w:p>
    <w:p w14:paraId="02058102" w14:textId="77777777" w:rsidR="002053FB" w:rsidRPr="00956EA3" w:rsidRDefault="002053FB" w:rsidP="000C5291">
      <w:pPr>
        <w:pStyle w:val="Heading3"/>
        <w:rPr>
          <w:rFonts w:eastAsia="Verdana"/>
        </w:rPr>
      </w:pPr>
      <w:r w:rsidRPr="00956EA3">
        <w:rPr>
          <w:rFonts w:eastAsia="Verdana"/>
        </w:rPr>
        <w:tab/>
        <w:t xml:space="preserve">details of any voluntary deductions from pay; and </w:t>
      </w:r>
    </w:p>
    <w:p w14:paraId="2832D629" w14:textId="77777777" w:rsidR="002053FB" w:rsidRPr="00956EA3" w:rsidRDefault="002053FB" w:rsidP="000C5291">
      <w:pPr>
        <w:pStyle w:val="Heading3"/>
        <w:rPr>
          <w:rFonts w:eastAsia="Verdana"/>
        </w:rPr>
      </w:pPr>
      <w:r w:rsidRPr="00956EA3">
        <w:rPr>
          <w:rFonts w:eastAsia="Verdana"/>
        </w:rPr>
        <w:tab/>
        <w:t xml:space="preserve">bank/building society account details for payroll purposes. </w:t>
      </w:r>
    </w:p>
    <w:p w14:paraId="414EB1B9" w14:textId="77777777" w:rsidR="002053FB" w:rsidRPr="00956EA3" w:rsidRDefault="002053FB" w:rsidP="000C5291">
      <w:pPr>
        <w:pStyle w:val="Heading1"/>
        <w:rPr>
          <w:rFonts w:eastAsia="Verdana" w:cs="Arial"/>
          <w:szCs w:val="20"/>
        </w:rPr>
      </w:pPr>
      <w:r w:rsidRPr="00956EA3">
        <w:rPr>
          <w:rFonts w:eastAsia="Verdana" w:cs="Arial"/>
          <w:szCs w:val="20"/>
        </w:rPr>
        <w:t xml:space="preserve">EMPLOYMENT REGULATIONS EXIT PROVISIONS </w:t>
      </w:r>
    </w:p>
    <w:p w14:paraId="0304D3FD" w14:textId="23D63136" w:rsidR="002053FB" w:rsidRPr="00956EA3" w:rsidRDefault="001F1C19" w:rsidP="000C5291">
      <w:pPr>
        <w:pStyle w:val="Heading2"/>
        <w:rPr>
          <w:rFonts w:eastAsia="Calibri" w:cs="Arial"/>
          <w:szCs w:val="20"/>
        </w:rPr>
      </w:pPr>
      <w:proofErr w:type="spellStart"/>
      <w:r>
        <w:rPr>
          <w:rFonts w:eastAsia="Verdana" w:cs="Arial"/>
          <w:szCs w:val="20"/>
        </w:rPr>
        <w:t>Netlink</w:t>
      </w:r>
      <w:proofErr w:type="spellEnd"/>
      <w:r>
        <w:rPr>
          <w:rFonts w:eastAsia="Verdana" w:cs="Arial"/>
          <w:szCs w:val="20"/>
        </w:rPr>
        <w:t xml:space="preserve"> Star</w:t>
      </w:r>
      <w:r w:rsidR="002053FB" w:rsidRPr="00956EA3">
        <w:rPr>
          <w:rFonts w:eastAsia="Verdana" w:cs="Arial"/>
          <w:szCs w:val="20"/>
        </w:rPr>
        <w:t xml:space="preserve"> and the Supplier acknowledge that </w:t>
      </w:r>
      <w:proofErr w:type="gramStart"/>
      <w:r w:rsidR="002053FB" w:rsidRPr="00956EA3">
        <w:rPr>
          <w:rFonts w:eastAsia="Verdana" w:cs="Arial"/>
          <w:szCs w:val="20"/>
        </w:rPr>
        <w:t>subsequent to</w:t>
      </w:r>
      <w:proofErr w:type="gramEnd"/>
      <w:r w:rsidR="002053FB" w:rsidRPr="00956EA3">
        <w:rPr>
          <w:rFonts w:eastAsia="Verdana" w:cs="Arial"/>
          <w:szCs w:val="20"/>
        </w:rPr>
        <w:t xml:space="preserve"> the commencement of the provision of the Services, the identity of the provider of the Services (or any part of the Services) may change (whether as a result of termination or Partial Termination of this Agreement or otherwise) resulting in the Services being undertaken by a Replacement Supplier and/or a Replacement Subcontractor.  Such change in the identity of the supplier of such services may constitute a Relevant Transfer to which the Employment Regulations and/or the Acquired Rights </w:t>
      </w:r>
      <w:r w:rsidR="002053FB" w:rsidRPr="00956EA3">
        <w:rPr>
          <w:rFonts w:eastAsia="Verdana" w:cs="Arial"/>
          <w:szCs w:val="20"/>
        </w:rPr>
        <w:lastRenderedPageBreak/>
        <w:t xml:space="preserve">Directive will apply.  </w:t>
      </w:r>
      <w:proofErr w:type="spellStart"/>
      <w:r>
        <w:rPr>
          <w:rFonts w:eastAsia="Verdana" w:cs="Arial"/>
          <w:szCs w:val="20"/>
        </w:rPr>
        <w:t>Netlink</w:t>
      </w:r>
      <w:proofErr w:type="spellEnd"/>
      <w:r>
        <w:rPr>
          <w:rFonts w:eastAsia="Verdana" w:cs="Arial"/>
          <w:szCs w:val="20"/>
        </w:rPr>
        <w:t xml:space="preserve"> Star</w:t>
      </w:r>
      <w:r w:rsidR="002053FB" w:rsidRPr="00956EA3">
        <w:rPr>
          <w:rFonts w:eastAsia="Verdana" w:cs="Arial"/>
          <w:szCs w:val="20"/>
        </w:rPr>
        <w:t xml:space="preserve"> and the Supplier further agree that, as a result of the operation of the Employment Regulations, where a Relevant Transfer occurs, the contracts of employment between the Supplier and the Transferring Supplier Employees (except in relation to any contract terms dis-applied through operation of Regulation 10(2) of the Employment Regulations) will have effect on and from the Service Transfer Date as if originally made between the Replacement Supplier and/or a Replacement Sub-contractor (as the case may be) and each such Transferring Supplier Employee. </w:t>
      </w:r>
    </w:p>
    <w:p w14:paraId="6B4532DA" w14:textId="77777777" w:rsidR="002053FB" w:rsidRPr="00956EA3" w:rsidRDefault="002053FB" w:rsidP="000C5291">
      <w:pPr>
        <w:pStyle w:val="Heading2"/>
        <w:rPr>
          <w:rFonts w:eastAsia="Calibri" w:cs="Arial"/>
          <w:szCs w:val="20"/>
        </w:rPr>
      </w:pPr>
      <w:r w:rsidRPr="00956EA3">
        <w:rPr>
          <w:rFonts w:eastAsia="Verdana" w:cs="Arial"/>
          <w:szCs w:val="20"/>
        </w:rPr>
        <w:t>The Supplier shall, and shall procure that each Sub-contractor shall, comply with all its obligations in respect of the Transferring Supplier Employees arising under the Employment Regulations in respect of the period up to (and including) the Service Transfer Date and shall perform and discharge, and procure that each Subcontractor shall perform and discharge, all its obligations in respect of all the Transferring Supplier Employees arising in respect of the period up to (and including) the Service Transfer Date and any necessary apportionments in respect of any periodic payments shall be made between: (</w:t>
      </w:r>
      <w:proofErr w:type="spellStart"/>
      <w:r w:rsidRPr="00956EA3">
        <w:rPr>
          <w:rFonts w:eastAsia="Verdana" w:cs="Arial"/>
          <w:szCs w:val="20"/>
        </w:rPr>
        <w:t>i</w:t>
      </w:r>
      <w:proofErr w:type="spellEnd"/>
      <w:r w:rsidRPr="00956EA3">
        <w:rPr>
          <w:rFonts w:eastAsia="Verdana" w:cs="Arial"/>
          <w:szCs w:val="20"/>
        </w:rPr>
        <w:t xml:space="preserve">) the Supplier and/or the Sub-contractor (as appropriate); and (ii) the Replacement Supplier and/or Replacement Sub-contractor. </w:t>
      </w:r>
    </w:p>
    <w:p w14:paraId="58BCB9E6" w14:textId="6B2AA50E" w:rsidR="002053FB" w:rsidRPr="00956EA3" w:rsidRDefault="002053FB" w:rsidP="000C5291">
      <w:pPr>
        <w:pStyle w:val="Heading2"/>
        <w:rPr>
          <w:rFonts w:eastAsia="Calibri" w:cs="Arial"/>
          <w:szCs w:val="20"/>
        </w:rPr>
      </w:pPr>
      <w:r w:rsidRPr="00956EA3">
        <w:rPr>
          <w:rFonts w:eastAsia="Verdana" w:cs="Arial"/>
          <w:szCs w:val="20"/>
        </w:rPr>
        <w:t xml:space="preserve">Subject to paragraph 2.4, the Supplier shall indemnify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and/or the Replacement Supplier and/or any Replacement Sub-contractor against any Employee Liabilities arising from or </w:t>
      </w:r>
      <w:proofErr w:type="gramStart"/>
      <w:r w:rsidRPr="00956EA3">
        <w:rPr>
          <w:rFonts w:eastAsia="Verdana" w:cs="Arial"/>
          <w:szCs w:val="20"/>
        </w:rPr>
        <w:t>as a result of</w:t>
      </w:r>
      <w:proofErr w:type="gramEnd"/>
      <w:r w:rsidRPr="00956EA3">
        <w:rPr>
          <w:rFonts w:eastAsia="Verdana" w:cs="Arial"/>
          <w:szCs w:val="20"/>
        </w:rPr>
        <w:t xml:space="preserve">: </w:t>
      </w:r>
    </w:p>
    <w:p w14:paraId="5B34A244" w14:textId="77777777" w:rsidR="002053FB" w:rsidRPr="00956EA3" w:rsidRDefault="002053FB" w:rsidP="000C5291">
      <w:pPr>
        <w:pStyle w:val="Heading3"/>
        <w:rPr>
          <w:rFonts w:eastAsia="Calibri"/>
        </w:rPr>
      </w:pPr>
      <w:r w:rsidRPr="00956EA3">
        <w:rPr>
          <w:rFonts w:eastAsia="Verdana"/>
        </w:rPr>
        <w:t xml:space="preserve">any act or omission of the Supplier or any Sub-contractor in respect of any Transferring Supplier Employee or any appropriate employee representative (as defined in the Employment Regulations) of any Transferring Supplier Employee whether occurring before, on or after the Service Transfer </w:t>
      </w:r>
      <w:proofErr w:type="gramStart"/>
      <w:r w:rsidRPr="00956EA3">
        <w:rPr>
          <w:rFonts w:eastAsia="Verdana"/>
        </w:rPr>
        <w:t>Date;</w:t>
      </w:r>
      <w:proofErr w:type="gramEnd"/>
      <w:r w:rsidRPr="00956EA3">
        <w:rPr>
          <w:rFonts w:eastAsia="Verdana"/>
        </w:rPr>
        <w:t xml:space="preserve"> </w:t>
      </w:r>
    </w:p>
    <w:p w14:paraId="0D41F242" w14:textId="77777777" w:rsidR="002053FB" w:rsidRPr="00956EA3" w:rsidRDefault="002053FB" w:rsidP="000C5291">
      <w:pPr>
        <w:pStyle w:val="Heading3"/>
        <w:rPr>
          <w:rFonts w:eastAsia="Calibri"/>
        </w:rPr>
      </w:pPr>
      <w:r w:rsidRPr="00956EA3">
        <w:rPr>
          <w:rFonts w:eastAsia="Verdana"/>
        </w:rPr>
        <w:t xml:space="preserve">the breach or non-observance by the Supplier or any Sub-contractor occurring on or before the Service Transfer Date of: </w:t>
      </w:r>
    </w:p>
    <w:p w14:paraId="35F78281" w14:textId="77777777" w:rsidR="002053FB" w:rsidRPr="00956EA3" w:rsidRDefault="002053FB" w:rsidP="009402CF">
      <w:pPr>
        <w:spacing w:after="234" w:line="249" w:lineRule="auto"/>
        <w:ind w:left="3121" w:right="47" w:hanging="1420"/>
        <w:rPr>
          <w:rFonts w:eastAsia="Calibri" w:cs="Arial"/>
          <w:szCs w:val="20"/>
        </w:rPr>
      </w:pPr>
      <w:r w:rsidRPr="00956EA3">
        <w:rPr>
          <w:rFonts w:eastAsia="Verdana" w:cs="Arial"/>
          <w:szCs w:val="20"/>
        </w:rPr>
        <w:t>2.3.2.1</w:t>
      </w:r>
      <w:r w:rsidRPr="00956EA3">
        <w:rPr>
          <w:rFonts w:eastAsia="Arial" w:cs="Arial"/>
          <w:szCs w:val="20"/>
        </w:rPr>
        <w:t xml:space="preserve"> </w:t>
      </w:r>
      <w:r w:rsidRPr="00956EA3">
        <w:rPr>
          <w:rFonts w:eastAsia="Arial" w:cs="Arial"/>
          <w:szCs w:val="20"/>
        </w:rPr>
        <w:tab/>
      </w:r>
      <w:r w:rsidRPr="00956EA3">
        <w:rPr>
          <w:rFonts w:eastAsia="Verdana" w:cs="Arial"/>
          <w:szCs w:val="20"/>
        </w:rPr>
        <w:t xml:space="preserve">any collective agreement applicable to the Transferring Supplier Employees; and/or </w:t>
      </w:r>
    </w:p>
    <w:p w14:paraId="73564F00" w14:textId="77777777" w:rsidR="002053FB" w:rsidRPr="00956EA3" w:rsidRDefault="002053FB" w:rsidP="009402CF">
      <w:pPr>
        <w:spacing w:after="234" w:line="249" w:lineRule="auto"/>
        <w:ind w:left="3121" w:right="47" w:hanging="1420"/>
        <w:rPr>
          <w:rFonts w:eastAsia="Calibri" w:cs="Arial"/>
          <w:szCs w:val="20"/>
        </w:rPr>
      </w:pPr>
      <w:r w:rsidRPr="00956EA3">
        <w:rPr>
          <w:rFonts w:eastAsia="Verdana" w:cs="Arial"/>
          <w:szCs w:val="20"/>
        </w:rPr>
        <w:t>2.3.2.2</w:t>
      </w:r>
      <w:r w:rsidRPr="00956EA3">
        <w:rPr>
          <w:rFonts w:eastAsia="Arial" w:cs="Arial"/>
          <w:szCs w:val="20"/>
        </w:rPr>
        <w:t xml:space="preserve"> </w:t>
      </w:r>
      <w:r w:rsidRPr="00956EA3">
        <w:rPr>
          <w:rFonts w:eastAsia="Arial" w:cs="Arial"/>
          <w:szCs w:val="20"/>
        </w:rPr>
        <w:tab/>
      </w:r>
      <w:r w:rsidRPr="00956EA3">
        <w:rPr>
          <w:rFonts w:eastAsia="Verdana" w:cs="Arial"/>
          <w:szCs w:val="20"/>
        </w:rPr>
        <w:t xml:space="preserve">any other custom or practice with a trade union or staff association in respect of any Transferring Supplier Employees which the Supplier or any Sub-contractor is contractually bound to </w:t>
      </w:r>
      <w:proofErr w:type="gramStart"/>
      <w:r w:rsidRPr="00956EA3">
        <w:rPr>
          <w:rFonts w:eastAsia="Verdana" w:cs="Arial"/>
          <w:szCs w:val="20"/>
        </w:rPr>
        <w:t>honour;</w:t>
      </w:r>
      <w:proofErr w:type="gramEnd"/>
      <w:r w:rsidRPr="00956EA3">
        <w:rPr>
          <w:rFonts w:eastAsia="Verdana" w:cs="Arial"/>
          <w:szCs w:val="20"/>
        </w:rPr>
        <w:t xml:space="preserve"> </w:t>
      </w:r>
    </w:p>
    <w:p w14:paraId="51219F6C" w14:textId="77777777" w:rsidR="002053FB" w:rsidRPr="00956EA3" w:rsidRDefault="002053FB" w:rsidP="000C5291">
      <w:pPr>
        <w:pStyle w:val="Heading3"/>
        <w:rPr>
          <w:rFonts w:eastAsia="Calibri"/>
        </w:rPr>
      </w:pPr>
      <w:r w:rsidRPr="00956EA3">
        <w:rPr>
          <w:rFonts w:eastAsia="Verdana"/>
        </w:rPr>
        <w:t xml:space="preserve">any claim by any trade union or other body or person representing any Transferring Supplier Employees arising from or connected with any failure by the Supplier or a Sub-contractor to comply with any legal obligation to such trade union, body or person arising on or before the Service Transfer </w:t>
      </w:r>
      <w:proofErr w:type="gramStart"/>
      <w:r w:rsidRPr="00956EA3">
        <w:rPr>
          <w:rFonts w:eastAsia="Verdana"/>
        </w:rPr>
        <w:t>Date;</w:t>
      </w:r>
      <w:proofErr w:type="gramEnd"/>
      <w:r w:rsidRPr="00956EA3">
        <w:rPr>
          <w:rFonts w:eastAsia="Verdana"/>
        </w:rPr>
        <w:t xml:space="preserve"> </w:t>
      </w:r>
    </w:p>
    <w:p w14:paraId="11EDC5C8" w14:textId="77777777" w:rsidR="002053FB" w:rsidRPr="00956EA3" w:rsidRDefault="002053FB" w:rsidP="000C5291">
      <w:pPr>
        <w:pStyle w:val="Heading3"/>
        <w:rPr>
          <w:rFonts w:eastAsia="Calibri"/>
        </w:rPr>
      </w:pPr>
      <w:r w:rsidRPr="00956EA3">
        <w:rPr>
          <w:rFonts w:eastAsia="Verdana"/>
        </w:rPr>
        <w:t xml:space="preserve">any proceeding, claim or demand by HMRC or other statutory authority in respect of any financial obligation including, but not limited to, PAYE and primary and secondary national insurance contributions: </w:t>
      </w:r>
    </w:p>
    <w:p w14:paraId="69C9516F" w14:textId="77777777" w:rsidR="002053FB" w:rsidRPr="00956EA3" w:rsidRDefault="002053FB" w:rsidP="009402CF">
      <w:pPr>
        <w:spacing w:after="234" w:line="249" w:lineRule="auto"/>
        <w:ind w:left="3121" w:right="47" w:hanging="1420"/>
        <w:rPr>
          <w:rFonts w:eastAsia="Calibri" w:cs="Arial"/>
          <w:szCs w:val="20"/>
        </w:rPr>
      </w:pPr>
      <w:r w:rsidRPr="00956EA3">
        <w:rPr>
          <w:rFonts w:eastAsia="Verdana" w:cs="Arial"/>
          <w:szCs w:val="20"/>
        </w:rPr>
        <w:t>2.3.4.1</w:t>
      </w:r>
      <w:r w:rsidRPr="00956EA3">
        <w:rPr>
          <w:rFonts w:eastAsia="Arial" w:cs="Arial"/>
          <w:szCs w:val="20"/>
        </w:rPr>
        <w:t xml:space="preserve"> </w:t>
      </w:r>
      <w:r w:rsidRPr="00956EA3">
        <w:rPr>
          <w:rFonts w:eastAsia="Arial" w:cs="Arial"/>
          <w:szCs w:val="20"/>
        </w:rPr>
        <w:tab/>
      </w:r>
      <w:r w:rsidRPr="00956EA3">
        <w:rPr>
          <w:rFonts w:eastAsia="Verdana" w:cs="Arial"/>
          <w:szCs w:val="20"/>
        </w:rPr>
        <w:t xml:space="preserve">in relation to any Transferring Supplier Employee, to the extent that the proceeding, claim or demand by HMRC or other statutory authority relates to financial obligations arising on and before the Service Transfer Date; and </w:t>
      </w:r>
    </w:p>
    <w:p w14:paraId="6B460FF9" w14:textId="5E0AEC04" w:rsidR="002053FB" w:rsidRPr="00956EA3" w:rsidRDefault="002053FB" w:rsidP="009402CF">
      <w:pPr>
        <w:spacing w:after="234" w:line="249" w:lineRule="auto"/>
        <w:ind w:left="3121" w:right="47" w:hanging="1420"/>
        <w:rPr>
          <w:rFonts w:eastAsia="Calibri" w:cs="Arial"/>
          <w:szCs w:val="20"/>
        </w:rPr>
      </w:pPr>
      <w:r w:rsidRPr="00956EA3">
        <w:rPr>
          <w:rFonts w:eastAsia="Verdana" w:cs="Arial"/>
          <w:szCs w:val="20"/>
        </w:rPr>
        <w:t>2.3.4.2</w:t>
      </w:r>
      <w:r w:rsidRPr="00956EA3">
        <w:rPr>
          <w:rFonts w:eastAsia="Arial" w:cs="Arial"/>
          <w:szCs w:val="20"/>
        </w:rPr>
        <w:t xml:space="preserve"> </w:t>
      </w:r>
      <w:r w:rsidRPr="00956EA3">
        <w:rPr>
          <w:rFonts w:eastAsia="Arial" w:cs="Arial"/>
          <w:szCs w:val="20"/>
        </w:rPr>
        <w:tab/>
      </w:r>
      <w:r w:rsidRPr="00956EA3">
        <w:rPr>
          <w:rFonts w:eastAsia="Verdana" w:cs="Arial"/>
          <w:szCs w:val="20"/>
        </w:rPr>
        <w:t xml:space="preserve">in relation to any employee who is not identified in the Supplier’s Final Suppler Personnel list and in respect of whom it is later alleged or determined that the Employment Regulations applied so as to transfer his/her employment from the Supplier to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and/or Replacement Supplier and/or any Replacement Sub-contractor, to the extent that the proceeding, claim or demand by HMRC or other statutory authority relates to financial obligations arising on or before the Service Transfer Date; </w:t>
      </w:r>
    </w:p>
    <w:p w14:paraId="79DFBEF0" w14:textId="77777777" w:rsidR="002053FB" w:rsidRPr="00956EA3" w:rsidRDefault="002053FB" w:rsidP="000C5291">
      <w:pPr>
        <w:pStyle w:val="Heading3"/>
        <w:rPr>
          <w:rFonts w:eastAsia="Calibri"/>
        </w:rPr>
      </w:pPr>
      <w:r w:rsidRPr="00956EA3">
        <w:rPr>
          <w:rFonts w:eastAsia="Verdana"/>
        </w:rPr>
        <w:t xml:space="preserve">a failure of the Supplier or any Sub-contractor to discharge or procure the discharge of all wages, salaries and all other benefits and all PAYE tax deductions and national </w:t>
      </w:r>
      <w:r w:rsidRPr="00956EA3">
        <w:rPr>
          <w:rFonts w:eastAsia="Verdana"/>
        </w:rPr>
        <w:lastRenderedPageBreak/>
        <w:t>insurance contributions relating to the Transferring Supplier Employees in respect of the period up to (and including) the Service Transfer Date</w:t>
      </w:r>
      <w:proofErr w:type="gramStart"/>
      <w:r w:rsidRPr="00956EA3">
        <w:rPr>
          <w:rFonts w:eastAsia="Verdana"/>
        </w:rPr>
        <w:t>);</w:t>
      </w:r>
      <w:proofErr w:type="gramEnd"/>
      <w:r w:rsidRPr="00956EA3">
        <w:rPr>
          <w:rFonts w:eastAsia="Verdana"/>
        </w:rPr>
        <w:t xml:space="preserve"> </w:t>
      </w:r>
    </w:p>
    <w:p w14:paraId="17ACE437" w14:textId="640D3EE0" w:rsidR="002053FB" w:rsidRPr="00956EA3" w:rsidRDefault="002053FB" w:rsidP="000C5291">
      <w:pPr>
        <w:pStyle w:val="Heading3"/>
        <w:rPr>
          <w:rFonts w:eastAsia="Calibri"/>
        </w:rPr>
      </w:pPr>
      <w:r w:rsidRPr="00956EA3">
        <w:rPr>
          <w:rFonts w:eastAsia="Verdana"/>
        </w:rPr>
        <w:t xml:space="preserve">any claim made by or in respect of any person employed or formerly employed by the Supplier or any Sub-contractor other than a Transferring Supplier Employee identified in the Supplier’s Final Supplier Personnel List for whom it is alleged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 and/or the Replacement Supplier and/or any Replacement Sub-contractor may be liable by virtue of this Agreement and/or the Employment Regulations and/or the Acquired Rights Directive; and </w:t>
      </w:r>
    </w:p>
    <w:p w14:paraId="5EBBE287" w14:textId="458E2582" w:rsidR="002053FB" w:rsidRPr="00956EA3" w:rsidRDefault="002053FB" w:rsidP="000C5291">
      <w:pPr>
        <w:pStyle w:val="Heading3"/>
        <w:rPr>
          <w:rFonts w:eastAsia="Calibri"/>
        </w:rPr>
      </w:pPr>
      <w:r w:rsidRPr="00956EA3">
        <w:rPr>
          <w:rFonts w:eastAsia="Verdana"/>
        </w:rPr>
        <w:t xml:space="preserve">any claim made by or in respect of a Transferring Supplier Employee or any appropriate employee representative (as defined in the Employment Regulations) of any Transferring Supplier Employee relating to any act or omission of the Supplier or any Sub-contractor in relation to its obligations under Regulation 13 of the Employment Regulations, except to the extent that the liability arises from the failure of any Replacement Sub-contractor and/or failures by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 and/or Replacement Supplier to comply with regulation 13(4) of the Employment Regulations. </w:t>
      </w:r>
    </w:p>
    <w:p w14:paraId="68EE38FF" w14:textId="77777777" w:rsidR="002053FB" w:rsidRPr="00956EA3" w:rsidRDefault="002053FB" w:rsidP="000C5291">
      <w:pPr>
        <w:pStyle w:val="Heading2"/>
        <w:rPr>
          <w:rFonts w:eastAsia="Calibri" w:cs="Arial"/>
          <w:szCs w:val="20"/>
        </w:rPr>
      </w:pPr>
      <w:r w:rsidRPr="00956EA3">
        <w:rPr>
          <w:rFonts w:eastAsia="Verdana" w:cs="Arial"/>
          <w:szCs w:val="20"/>
        </w:rPr>
        <w:t xml:space="preserve">The indemnities in paragraph 2.3 shall not apply to the extent that the Employee Liabilities arise or are attributable to an act or omission of the Replacement Supplier and/or any Replacement Sub-contractor whether occurring or having its origin before, on or after the Service Transfer Date, including any Employee Liabilities: </w:t>
      </w:r>
    </w:p>
    <w:p w14:paraId="160D7451" w14:textId="77777777" w:rsidR="002053FB" w:rsidRPr="00956EA3" w:rsidRDefault="002053FB" w:rsidP="000C5291">
      <w:pPr>
        <w:pStyle w:val="Heading3"/>
        <w:rPr>
          <w:rFonts w:eastAsia="Calibri"/>
        </w:rPr>
      </w:pPr>
      <w:r w:rsidRPr="00956EA3">
        <w:rPr>
          <w:rFonts w:eastAsia="Verdana"/>
        </w:rPr>
        <w:t xml:space="preserve">arising out of the resignation of any Transferring Supplier Employee before the Service Transfer Date on account of substantial detrimental changes to his/her working conditions proposed by the Replacement Supplier and/or any Replacement Sub-contractor to occur in the period on or after the Service Transfer Date); or </w:t>
      </w:r>
    </w:p>
    <w:p w14:paraId="1D340D90" w14:textId="77777777" w:rsidR="002053FB" w:rsidRPr="00956EA3" w:rsidRDefault="002053FB" w:rsidP="000C5291">
      <w:pPr>
        <w:pStyle w:val="Heading3"/>
        <w:rPr>
          <w:rFonts w:eastAsia="Calibri"/>
        </w:rPr>
      </w:pPr>
      <w:r w:rsidRPr="00956EA3">
        <w:rPr>
          <w:rFonts w:eastAsia="Verdana"/>
        </w:rPr>
        <w:t xml:space="preserve">arising from the Replacement Supplier’s failure, and/or Replacement Subcontractor’s failure, to comply with its obligations under the Employment Regulations. </w:t>
      </w:r>
    </w:p>
    <w:p w14:paraId="70F90163" w14:textId="77777777" w:rsidR="002053FB" w:rsidRPr="00956EA3" w:rsidRDefault="002053FB" w:rsidP="000C5291">
      <w:pPr>
        <w:pStyle w:val="Heading2"/>
        <w:rPr>
          <w:rFonts w:eastAsia="Calibri" w:cs="Arial"/>
          <w:szCs w:val="20"/>
        </w:rPr>
      </w:pPr>
      <w:r w:rsidRPr="00956EA3">
        <w:rPr>
          <w:rFonts w:eastAsia="Verdana" w:cs="Arial"/>
          <w:szCs w:val="20"/>
        </w:rPr>
        <w:t xml:space="preserve">If any person who is not identified in the Supplier’s Final Supplier Personnel List claims, or it is determined in relation to any person who is not identified in the Supplier’s Final Supplier Personnel List a Transferring Supplier Employee, that his/her contract of employment has been transferred from the Supplier or any Sub-contractor to the Replacement Supplier and/or Replacement Sub-contractor pursuant to the Employment Regulations or the Acquired Rights Directive, then: </w:t>
      </w:r>
    </w:p>
    <w:p w14:paraId="1BB71606" w14:textId="7941D366" w:rsidR="002053FB" w:rsidRPr="00956EA3" w:rsidRDefault="001F1C19" w:rsidP="000C5291">
      <w:pPr>
        <w:pStyle w:val="Heading3"/>
        <w:rPr>
          <w:rFonts w:eastAsia="Calibri"/>
        </w:rPr>
      </w:pPr>
      <w:proofErr w:type="spellStart"/>
      <w:r>
        <w:rPr>
          <w:rFonts w:eastAsia="Verdana"/>
        </w:rPr>
        <w:t>Netlink</w:t>
      </w:r>
      <w:proofErr w:type="spellEnd"/>
      <w:r>
        <w:rPr>
          <w:rFonts w:eastAsia="Verdana"/>
        </w:rPr>
        <w:t xml:space="preserve"> Star</w:t>
      </w:r>
      <w:r w:rsidR="002053FB" w:rsidRPr="00956EA3">
        <w:rPr>
          <w:rFonts w:eastAsia="Verdana"/>
        </w:rPr>
        <w:t xml:space="preserve"> shall procure that the Replacement Supplier shall, or any Replacement Sub-contractor shall, within five (5) Working Days of becoming aware of that fact, give notice in writing to the Supplier; and </w:t>
      </w:r>
    </w:p>
    <w:p w14:paraId="59D49CC0" w14:textId="77777777" w:rsidR="002053FB" w:rsidRPr="00956EA3" w:rsidRDefault="002053FB" w:rsidP="000C5291">
      <w:pPr>
        <w:pStyle w:val="Heading3"/>
        <w:rPr>
          <w:rFonts w:eastAsia="Calibri"/>
        </w:rPr>
      </w:pPr>
      <w:r w:rsidRPr="00956EA3">
        <w:rPr>
          <w:rFonts w:eastAsia="Verdana"/>
        </w:rPr>
        <w:t xml:space="preserve">the Supplier may offer (or may procure that a Sub-contractor may offer) employment to such person within fifteen (15) Working Days of the notification by the Replacement Supplier and/or any and/or Replacement Sub-contractor or take such other reasonable steps as it considers appropriate to deal with the matter provided always that such steps </w:t>
      </w:r>
      <w:proofErr w:type="gramStart"/>
      <w:r w:rsidRPr="00956EA3">
        <w:rPr>
          <w:rFonts w:eastAsia="Verdana"/>
        </w:rPr>
        <w:t>are in compliance with</w:t>
      </w:r>
      <w:proofErr w:type="gramEnd"/>
      <w:r w:rsidRPr="00956EA3">
        <w:rPr>
          <w:rFonts w:eastAsia="Verdana"/>
        </w:rPr>
        <w:t xml:space="preserve"> Law. </w:t>
      </w:r>
    </w:p>
    <w:p w14:paraId="4C8E50E9" w14:textId="62583DC2" w:rsidR="002053FB" w:rsidRPr="00956EA3" w:rsidRDefault="002053FB" w:rsidP="000C5291">
      <w:pPr>
        <w:pStyle w:val="Heading2"/>
        <w:rPr>
          <w:rFonts w:eastAsia="Calibri" w:cs="Arial"/>
          <w:szCs w:val="20"/>
        </w:rPr>
      </w:pPr>
      <w:r w:rsidRPr="00956EA3">
        <w:rPr>
          <w:rFonts w:eastAsia="Verdana" w:cs="Arial"/>
          <w:szCs w:val="20"/>
        </w:rPr>
        <w:t xml:space="preserve">If such offer is accepted, or if the situation has otherwise been resolved by the Supplier or a Sub-contractor,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shall procure that the Replacement Supplier shall, or procure that the Replacement Sub-contractor shall, immediately release or procure the release of the person from his/her employment or alleged employment. </w:t>
      </w:r>
    </w:p>
    <w:p w14:paraId="0AC2C859" w14:textId="77777777" w:rsidR="002053FB" w:rsidRPr="00956EA3" w:rsidRDefault="002053FB" w:rsidP="000C5291">
      <w:pPr>
        <w:pStyle w:val="Heading2"/>
        <w:rPr>
          <w:rFonts w:eastAsia="Calibri" w:cs="Arial"/>
          <w:szCs w:val="20"/>
        </w:rPr>
      </w:pPr>
      <w:r w:rsidRPr="00956EA3">
        <w:rPr>
          <w:rFonts w:eastAsia="Verdana" w:cs="Arial"/>
          <w:szCs w:val="20"/>
        </w:rPr>
        <w:t xml:space="preserve">If after the fifteen (15) Working Day period specified in paragraph 2.5.2 has elapsed: </w:t>
      </w:r>
    </w:p>
    <w:p w14:paraId="6D8CBFAB" w14:textId="65CD134A" w:rsidR="002053FB" w:rsidRPr="00956EA3" w:rsidRDefault="002053FB" w:rsidP="000C5291">
      <w:pPr>
        <w:pStyle w:val="Heading3"/>
        <w:rPr>
          <w:rFonts w:eastAsia="Calibri"/>
        </w:rPr>
      </w:pPr>
      <w:r w:rsidRPr="00956EA3">
        <w:rPr>
          <w:rFonts w:eastAsia="Verdana"/>
        </w:rPr>
        <w:t xml:space="preserve">no such offer of employment has been </w:t>
      </w:r>
      <w:proofErr w:type="gramStart"/>
      <w:r w:rsidRPr="00956EA3">
        <w:rPr>
          <w:rFonts w:eastAsia="Verdana"/>
        </w:rPr>
        <w:t>made;</w:t>
      </w:r>
      <w:proofErr w:type="gramEnd"/>
      <w:r w:rsidRPr="00956EA3">
        <w:rPr>
          <w:rFonts w:eastAsia="Verdana"/>
        </w:rPr>
        <w:t xml:space="preserve"> </w:t>
      </w:r>
    </w:p>
    <w:p w14:paraId="4BA1EBF2" w14:textId="0769F6F9" w:rsidR="002053FB" w:rsidRPr="00956EA3" w:rsidRDefault="002053FB" w:rsidP="000C5291">
      <w:pPr>
        <w:pStyle w:val="Heading3"/>
        <w:rPr>
          <w:rFonts w:eastAsia="Calibri"/>
        </w:rPr>
      </w:pPr>
      <w:r w:rsidRPr="00956EA3">
        <w:rPr>
          <w:rFonts w:eastAsia="Verdana"/>
        </w:rPr>
        <w:t xml:space="preserve">such offer has been made but not accepted; or </w:t>
      </w:r>
    </w:p>
    <w:p w14:paraId="1DE58140" w14:textId="6E462619" w:rsidR="002053FB" w:rsidRPr="00956EA3" w:rsidRDefault="002053FB" w:rsidP="000C5291">
      <w:pPr>
        <w:pStyle w:val="Heading3"/>
        <w:rPr>
          <w:rFonts w:eastAsia="Calibri"/>
        </w:rPr>
      </w:pPr>
      <w:r w:rsidRPr="00956EA3">
        <w:rPr>
          <w:rFonts w:eastAsia="Verdana"/>
        </w:rPr>
        <w:t xml:space="preserve">the situation has not otherwise been resolved, </w:t>
      </w:r>
      <w:proofErr w:type="spellStart"/>
      <w:r w:rsidR="001F1C19">
        <w:rPr>
          <w:rFonts w:eastAsia="Verdana"/>
        </w:rPr>
        <w:t>Netlink</w:t>
      </w:r>
      <w:proofErr w:type="spellEnd"/>
      <w:r w:rsidR="001F1C19">
        <w:rPr>
          <w:rFonts w:eastAsia="Verdana"/>
        </w:rPr>
        <w:t xml:space="preserve"> Star</w:t>
      </w:r>
      <w:r w:rsidRPr="00956EA3">
        <w:rPr>
          <w:rFonts w:eastAsia="Verdana"/>
        </w:rPr>
        <w:t xml:space="preserve"> shall advise the Replacement Supplier and/or Replacement Subcontractor, as appropriate that it may within five (5) Working Days give notice to terminate the employment or alleged employment of such person. </w:t>
      </w:r>
    </w:p>
    <w:p w14:paraId="089C4207" w14:textId="77777777" w:rsidR="002053FB" w:rsidRPr="00956EA3" w:rsidRDefault="002053FB" w:rsidP="000C5291">
      <w:pPr>
        <w:pStyle w:val="Heading2"/>
        <w:rPr>
          <w:rFonts w:eastAsia="Calibri" w:cs="Arial"/>
          <w:szCs w:val="20"/>
        </w:rPr>
      </w:pPr>
      <w:r w:rsidRPr="00956EA3">
        <w:rPr>
          <w:rFonts w:eastAsia="Verdana" w:cs="Arial"/>
          <w:szCs w:val="20"/>
        </w:rPr>
        <w:lastRenderedPageBreak/>
        <w:t xml:space="preserve">Subject to the Replacement Supplier and/or Replacement Sub-contractor acting in accordance with the provisions of paragraphs 2.5 to 2.7, and in accordance with all applicable proper employment procedures set out in applicable Law, the Supplier shall (and shall use reasonable endeavours to procure that the relevant Sub-contractor shall) indemnify the Replacement Supplier and/or Replacement Sub-contractor against all Employee Liabilities arising out of the termination of employment pursuant to the provisions of paragraph 2.7 and the costs of employment up to the date of such termination or the date on which the person is re-employed by the Supplier or a Sub-contractor (or the date on which the situation is otherwise resolved by the Supplier or a Sub-Contractor) provided that the Replacement Supplier takes, or shall procure that the Replacement Sub-contractor takes, all reasonable steps to minimise any such Employee Liabilities. </w:t>
      </w:r>
    </w:p>
    <w:p w14:paraId="6D9DCED9" w14:textId="77777777" w:rsidR="002053FB" w:rsidRPr="00956EA3" w:rsidRDefault="002053FB" w:rsidP="000C5291">
      <w:pPr>
        <w:pStyle w:val="Heading2"/>
        <w:rPr>
          <w:rFonts w:eastAsia="Calibri" w:cs="Arial"/>
          <w:szCs w:val="20"/>
        </w:rPr>
      </w:pPr>
      <w:r w:rsidRPr="00956EA3">
        <w:rPr>
          <w:rFonts w:eastAsia="Verdana" w:cs="Arial"/>
          <w:szCs w:val="20"/>
        </w:rPr>
        <w:t xml:space="preserve">The indemnity in paragraph 2.8: </w:t>
      </w:r>
    </w:p>
    <w:p w14:paraId="5A153F89" w14:textId="77777777" w:rsidR="002053FB" w:rsidRPr="00956EA3" w:rsidRDefault="002053FB" w:rsidP="000C5291">
      <w:pPr>
        <w:pStyle w:val="Heading3"/>
        <w:rPr>
          <w:rFonts w:eastAsia="Calibri"/>
        </w:rPr>
      </w:pPr>
      <w:r w:rsidRPr="00956EA3">
        <w:rPr>
          <w:rFonts w:eastAsia="Verdana"/>
        </w:rPr>
        <w:t xml:space="preserve">shall not apply to: </w:t>
      </w:r>
    </w:p>
    <w:p w14:paraId="7C334967" w14:textId="62175EA2" w:rsidR="002053FB" w:rsidRPr="00956EA3" w:rsidRDefault="002053FB" w:rsidP="00D176EF">
      <w:pPr>
        <w:spacing w:after="234" w:line="249" w:lineRule="auto"/>
        <w:ind w:left="3121" w:right="47" w:hanging="1420"/>
        <w:rPr>
          <w:rFonts w:eastAsia="Calibri" w:cs="Arial"/>
          <w:szCs w:val="20"/>
        </w:rPr>
      </w:pPr>
      <w:r w:rsidRPr="00956EA3">
        <w:rPr>
          <w:rFonts w:eastAsia="Verdana" w:cs="Arial"/>
          <w:szCs w:val="20"/>
        </w:rPr>
        <w:t>2.9.1.1</w:t>
      </w:r>
      <w:r w:rsidRPr="00956EA3">
        <w:rPr>
          <w:rFonts w:eastAsia="Arial" w:cs="Arial"/>
          <w:szCs w:val="20"/>
        </w:rPr>
        <w:t xml:space="preserve"> </w:t>
      </w:r>
      <w:r w:rsidRPr="00956EA3">
        <w:rPr>
          <w:rFonts w:eastAsia="Arial" w:cs="Arial"/>
          <w:szCs w:val="20"/>
        </w:rPr>
        <w:tab/>
      </w:r>
      <w:r w:rsidRPr="00956EA3">
        <w:rPr>
          <w:rFonts w:eastAsia="Verdana" w:cs="Arial"/>
          <w:szCs w:val="20"/>
        </w:rPr>
        <w:t xml:space="preserve">any claim for: </w:t>
      </w:r>
    </w:p>
    <w:p w14:paraId="5693DE11" w14:textId="77777777" w:rsidR="002053FB" w:rsidRPr="00956EA3" w:rsidRDefault="002053FB" w:rsidP="009D675B">
      <w:pPr>
        <w:numPr>
          <w:ilvl w:val="0"/>
          <w:numId w:val="91"/>
        </w:numPr>
        <w:spacing w:after="232" w:line="250" w:lineRule="auto"/>
        <w:ind w:left="3828" w:right="47" w:hanging="709"/>
        <w:jc w:val="left"/>
        <w:rPr>
          <w:rFonts w:eastAsia="Verdana" w:cs="Arial"/>
          <w:szCs w:val="20"/>
        </w:rPr>
      </w:pPr>
      <w:r w:rsidRPr="00956EA3">
        <w:rPr>
          <w:rFonts w:eastAsia="Verdana" w:cs="Arial"/>
          <w:szCs w:val="20"/>
        </w:rPr>
        <w:t xml:space="preserve">discrimination, including on the grounds of sex, race, disability, age, gender reassignment, marriage or civil partnership, pregnancy and maternity or sexual orientation, </w:t>
      </w:r>
      <w:proofErr w:type="gramStart"/>
      <w:r w:rsidRPr="00956EA3">
        <w:rPr>
          <w:rFonts w:eastAsia="Verdana" w:cs="Arial"/>
          <w:szCs w:val="20"/>
        </w:rPr>
        <w:t>religion</w:t>
      </w:r>
      <w:proofErr w:type="gramEnd"/>
      <w:r w:rsidRPr="00956EA3">
        <w:rPr>
          <w:rFonts w:eastAsia="Verdana" w:cs="Arial"/>
          <w:szCs w:val="20"/>
        </w:rPr>
        <w:t xml:space="preserve"> or belief; or </w:t>
      </w:r>
    </w:p>
    <w:p w14:paraId="01BB1084" w14:textId="77777777" w:rsidR="002053FB" w:rsidRPr="00956EA3" w:rsidRDefault="002053FB" w:rsidP="009D675B">
      <w:pPr>
        <w:numPr>
          <w:ilvl w:val="0"/>
          <w:numId w:val="91"/>
        </w:numPr>
        <w:spacing w:after="232" w:line="250" w:lineRule="auto"/>
        <w:ind w:left="3828" w:right="47" w:hanging="709"/>
        <w:jc w:val="left"/>
        <w:rPr>
          <w:rFonts w:eastAsia="Verdana" w:cs="Arial"/>
          <w:szCs w:val="20"/>
        </w:rPr>
      </w:pPr>
      <w:r w:rsidRPr="00956EA3">
        <w:rPr>
          <w:rFonts w:eastAsia="Verdana" w:cs="Arial"/>
          <w:szCs w:val="20"/>
        </w:rPr>
        <w:t xml:space="preserve">equal pay or compensation for less favourable treatment of parttime workers or fixed-term employees, </w:t>
      </w:r>
    </w:p>
    <w:p w14:paraId="00753F5F" w14:textId="77777777" w:rsidR="002053FB" w:rsidRPr="00956EA3" w:rsidRDefault="002053FB" w:rsidP="009402CF">
      <w:pPr>
        <w:spacing w:after="234" w:line="249" w:lineRule="auto"/>
        <w:ind w:left="1853" w:right="47" w:hanging="9"/>
        <w:rPr>
          <w:rFonts w:eastAsia="Calibri" w:cs="Arial"/>
          <w:szCs w:val="20"/>
        </w:rPr>
      </w:pPr>
      <w:r w:rsidRPr="00956EA3">
        <w:rPr>
          <w:rFonts w:eastAsia="Verdana" w:cs="Arial"/>
          <w:szCs w:val="20"/>
        </w:rPr>
        <w:t xml:space="preserve">in any case in relation to any alleged act or omission of the Replacement Supplier and/or Replacement Sub-contractor; or </w:t>
      </w:r>
    </w:p>
    <w:p w14:paraId="5D667AD7" w14:textId="0D5EB066" w:rsidR="002053FB" w:rsidRPr="00956EA3" w:rsidRDefault="002053FB" w:rsidP="00D176EF">
      <w:pPr>
        <w:spacing w:after="234" w:line="249" w:lineRule="auto"/>
        <w:ind w:left="3121" w:right="47" w:hanging="1420"/>
        <w:rPr>
          <w:rFonts w:eastAsia="Calibri" w:cs="Arial"/>
          <w:szCs w:val="20"/>
        </w:rPr>
      </w:pPr>
      <w:r w:rsidRPr="00956EA3">
        <w:rPr>
          <w:rFonts w:eastAsia="Verdana" w:cs="Arial"/>
          <w:szCs w:val="20"/>
        </w:rPr>
        <w:t>2.9.1.2</w:t>
      </w:r>
      <w:r w:rsidRPr="00956EA3">
        <w:rPr>
          <w:rFonts w:eastAsia="Arial" w:cs="Arial"/>
          <w:szCs w:val="20"/>
        </w:rPr>
        <w:t xml:space="preserve"> </w:t>
      </w:r>
      <w:r w:rsidRPr="00956EA3">
        <w:rPr>
          <w:rFonts w:eastAsia="Arial" w:cs="Arial"/>
          <w:szCs w:val="20"/>
        </w:rPr>
        <w:tab/>
      </w:r>
      <w:r w:rsidRPr="00956EA3">
        <w:rPr>
          <w:rFonts w:eastAsia="Verdana" w:cs="Arial"/>
          <w:szCs w:val="20"/>
        </w:rPr>
        <w:t xml:space="preserve">any claim that the termination of employment was unfair because the Replacement Supplier and/or Replacement Sub-contractor neglected to follow a fair dismissal procedure save where such claim arises from the relevant party complying with the timescales set out in paragraph 2.7 above; and </w:t>
      </w:r>
    </w:p>
    <w:p w14:paraId="3F8372E5" w14:textId="77777777" w:rsidR="002053FB" w:rsidRPr="00956EA3" w:rsidRDefault="002053FB" w:rsidP="000C5291">
      <w:pPr>
        <w:pStyle w:val="Heading3"/>
        <w:rPr>
          <w:rFonts w:eastAsia="Calibri"/>
        </w:rPr>
      </w:pPr>
      <w:r w:rsidRPr="00956EA3">
        <w:rPr>
          <w:rFonts w:eastAsia="Verdana"/>
        </w:rPr>
        <w:t xml:space="preserve">shall apply only where the notification referred to in paragraph 2.5.1 is made by the Replacement Supplier and/or Replacement Sub-contractor to the Supplier within six (6) months of the Service Transfer Date. </w:t>
      </w:r>
    </w:p>
    <w:p w14:paraId="30DB82D3" w14:textId="77777777" w:rsidR="002053FB" w:rsidRPr="00956EA3" w:rsidRDefault="002053FB" w:rsidP="000C5291">
      <w:pPr>
        <w:pStyle w:val="Heading2"/>
        <w:rPr>
          <w:rFonts w:eastAsia="Calibri" w:cs="Arial"/>
          <w:szCs w:val="20"/>
        </w:rPr>
      </w:pPr>
      <w:r w:rsidRPr="00956EA3">
        <w:rPr>
          <w:rFonts w:eastAsia="Calibri" w:cs="Arial"/>
          <w:szCs w:val="20"/>
        </w:rPr>
        <w:t xml:space="preserve">Subject to paragraph 2.11, Supplier shall in respect of any person referred to in paragraph 2.5 who claims, or it is determined that his/her contract of employment has been transferred from the </w:t>
      </w:r>
      <w:bookmarkStart w:id="2415" w:name="_Hlk84336192"/>
      <w:r w:rsidRPr="00956EA3">
        <w:rPr>
          <w:rFonts w:eastAsia="Calibri" w:cs="Arial"/>
          <w:szCs w:val="20"/>
        </w:rPr>
        <w:t xml:space="preserve">Supplier or a Sub-contractor </w:t>
      </w:r>
      <w:bookmarkEnd w:id="2415"/>
      <w:r w:rsidRPr="00956EA3">
        <w:rPr>
          <w:rFonts w:eastAsia="Calibri" w:cs="Arial"/>
          <w:szCs w:val="20"/>
        </w:rPr>
        <w:t>to the Replacement Supplier and/or Replacement Sub-contractor pursuant to the Employment Regulations or the Acquired Rights Directive, indemnify the Replacement Supplier and any Replacement Sub-contractor against any Employee Liabilities arising from or as a result of:</w:t>
      </w:r>
    </w:p>
    <w:p w14:paraId="7036A500" w14:textId="77777777" w:rsidR="002053FB" w:rsidRPr="00956EA3" w:rsidRDefault="002053FB" w:rsidP="000C5291">
      <w:pPr>
        <w:pStyle w:val="Heading3"/>
        <w:rPr>
          <w:rFonts w:eastAsia="Calibri"/>
        </w:rPr>
      </w:pPr>
      <w:r w:rsidRPr="00956EA3">
        <w:rPr>
          <w:rFonts w:eastAsia="Calibri"/>
        </w:rPr>
        <w:t xml:space="preserve">any act or omission by Supplier or a Sub-contractor arising before the Relevant Transfer </w:t>
      </w:r>
      <w:proofErr w:type="gramStart"/>
      <w:r w:rsidRPr="00956EA3">
        <w:rPr>
          <w:rFonts w:eastAsia="Calibri"/>
        </w:rPr>
        <w:t>Date;</w:t>
      </w:r>
      <w:proofErr w:type="gramEnd"/>
    </w:p>
    <w:p w14:paraId="7B64F4B8" w14:textId="77777777" w:rsidR="002053FB" w:rsidRPr="00956EA3" w:rsidRDefault="002053FB" w:rsidP="000C5291">
      <w:pPr>
        <w:pStyle w:val="Heading3"/>
        <w:rPr>
          <w:rFonts w:eastAsia="Calibri"/>
        </w:rPr>
      </w:pPr>
      <w:r w:rsidRPr="00956EA3">
        <w:rPr>
          <w:rFonts w:eastAsia="Calibri"/>
        </w:rPr>
        <w:t xml:space="preserve">the breach or non-observance by Supplier or a Sub-contractor arising before the Relevant Transfer Date of: </w:t>
      </w:r>
    </w:p>
    <w:p w14:paraId="6B0D43A2" w14:textId="77777777" w:rsidR="002053FB" w:rsidRPr="00956EA3" w:rsidRDefault="002053FB" w:rsidP="000C5291">
      <w:pPr>
        <w:pStyle w:val="Heading3"/>
        <w:rPr>
          <w:rFonts w:eastAsia="Calibri"/>
        </w:rPr>
      </w:pPr>
      <w:r w:rsidRPr="00956EA3">
        <w:rPr>
          <w:rFonts w:eastAsia="Calibri"/>
        </w:rPr>
        <w:t xml:space="preserve">any collective agreement applicable to the persons referred to in paragraph 2.5; and/or </w:t>
      </w:r>
    </w:p>
    <w:p w14:paraId="76E88360" w14:textId="77777777" w:rsidR="002053FB" w:rsidRPr="00956EA3" w:rsidRDefault="002053FB" w:rsidP="000C5291">
      <w:pPr>
        <w:pStyle w:val="Heading3"/>
        <w:rPr>
          <w:rFonts w:eastAsia="Calibri"/>
        </w:rPr>
      </w:pPr>
      <w:r w:rsidRPr="00956EA3">
        <w:rPr>
          <w:rFonts w:eastAsia="Calibri"/>
        </w:rPr>
        <w:t xml:space="preserve">any custom or practice in respect of persons referred to in paragraph 2.5 which </w:t>
      </w:r>
      <w:bookmarkStart w:id="2416" w:name="_Hlk84337029"/>
      <w:r w:rsidRPr="00956EA3">
        <w:rPr>
          <w:rFonts w:eastAsia="Calibri"/>
        </w:rPr>
        <w:t xml:space="preserve">Replacement Supplier or any Replacement Sub-contractor </w:t>
      </w:r>
      <w:bookmarkEnd w:id="2416"/>
      <w:r w:rsidRPr="00956EA3">
        <w:rPr>
          <w:rFonts w:eastAsia="Calibri"/>
        </w:rPr>
        <w:t xml:space="preserve">is contractually bound to </w:t>
      </w:r>
      <w:proofErr w:type="gramStart"/>
      <w:r w:rsidRPr="00956EA3">
        <w:rPr>
          <w:rFonts w:eastAsia="Calibri"/>
        </w:rPr>
        <w:t>honour;</w:t>
      </w:r>
      <w:proofErr w:type="gramEnd"/>
      <w:r w:rsidRPr="00956EA3">
        <w:rPr>
          <w:rFonts w:eastAsia="Calibri"/>
        </w:rPr>
        <w:t xml:space="preserve"> </w:t>
      </w:r>
    </w:p>
    <w:p w14:paraId="5104FEDF" w14:textId="77777777" w:rsidR="002053FB" w:rsidRPr="00956EA3" w:rsidRDefault="002053FB" w:rsidP="000C5291">
      <w:pPr>
        <w:pStyle w:val="Heading3"/>
        <w:rPr>
          <w:rFonts w:eastAsia="Calibri"/>
        </w:rPr>
      </w:pPr>
      <w:r w:rsidRPr="00956EA3">
        <w:rPr>
          <w:rFonts w:eastAsia="Calibri"/>
        </w:rPr>
        <w:t xml:space="preserve">any claim by any trade union or other body or person representing any person referred to </w:t>
      </w:r>
      <w:proofErr w:type="spellStart"/>
      <w:r w:rsidRPr="00956EA3">
        <w:rPr>
          <w:rFonts w:eastAsia="Calibri"/>
        </w:rPr>
        <w:t>at</w:t>
      </w:r>
      <w:proofErr w:type="spellEnd"/>
      <w:r w:rsidRPr="00956EA3">
        <w:rPr>
          <w:rFonts w:eastAsia="Calibri"/>
        </w:rPr>
        <w:t xml:space="preserve"> paragraph 2.5 arising from or connected with any failure by Supplier or a Sub-contractor to comply with any legal obligation to such trade union, body or person arising before the Relevant Transfer </w:t>
      </w:r>
      <w:proofErr w:type="gramStart"/>
      <w:r w:rsidRPr="00956EA3">
        <w:rPr>
          <w:rFonts w:eastAsia="Calibri"/>
        </w:rPr>
        <w:t>Date;</w:t>
      </w:r>
      <w:proofErr w:type="gramEnd"/>
    </w:p>
    <w:p w14:paraId="47B29ABC" w14:textId="77777777" w:rsidR="002053FB" w:rsidRPr="00956EA3" w:rsidRDefault="002053FB" w:rsidP="000C5291">
      <w:pPr>
        <w:pStyle w:val="Heading3"/>
        <w:rPr>
          <w:rFonts w:eastAsia="Calibri"/>
        </w:rPr>
      </w:pPr>
      <w:r w:rsidRPr="00956EA3">
        <w:rPr>
          <w:rFonts w:eastAsia="Calibri"/>
        </w:rPr>
        <w:lastRenderedPageBreak/>
        <w:t xml:space="preserve">any proceeding, claim or demand by HMRC or other statutory authority in respect of any financial obligation including, but not limited to, PAYE and primary and secondary national insurance contributions in relation to any person referred to </w:t>
      </w:r>
      <w:proofErr w:type="spellStart"/>
      <w:r w:rsidRPr="00956EA3">
        <w:rPr>
          <w:rFonts w:eastAsia="Calibri"/>
        </w:rPr>
        <w:t>at</w:t>
      </w:r>
      <w:proofErr w:type="spellEnd"/>
      <w:r w:rsidRPr="00956EA3">
        <w:rPr>
          <w:rFonts w:eastAsia="Calibri"/>
        </w:rPr>
        <w:t xml:space="preserve"> paragraph 2.5, to the extent that the proceeding, claim or demand by HMRC or other statutory authority relates to financial obligations arising before the Relevant Transfer </w:t>
      </w:r>
      <w:proofErr w:type="gramStart"/>
      <w:r w:rsidRPr="00956EA3">
        <w:rPr>
          <w:rFonts w:eastAsia="Calibri"/>
        </w:rPr>
        <w:t>Date;</w:t>
      </w:r>
      <w:proofErr w:type="gramEnd"/>
    </w:p>
    <w:p w14:paraId="29E70374" w14:textId="77777777" w:rsidR="002053FB" w:rsidRPr="00956EA3" w:rsidRDefault="002053FB" w:rsidP="000C5291">
      <w:pPr>
        <w:pStyle w:val="Heading3"/>
        <w:rPr>
          <w:rFonts w:eastAsia="Calibri"/>
        </w:rPr>
      </w:pPr>
      <w:r w:rsidRPr="00956EA3">
        <w:rPr>
          <w:rFonts w:eastAsia="Calibri"/>
        </w:rPr>
        <w:t xml:space="preserve">a failure of Supplier or a Sub-contractor to discharge or procure the discharge of all wages, salaries and all other benefits and all PAYE tax deductions and national insurance contributions relating to any person referred to </w:t>
      </w:r>
      <w:proofErr w:type="spellStart"/>
      <w:r w:rsidRPr="00956EA3">
        <w:rPr>
          <w:rFonts w:eastAsia="Calibri"/>
        </w:rPr>
        <w:t>at</w:t>
      </w:r>
      <w:proofErr w:type="spellEnd"/>
      <w:r w:rsidRPr="00956EA3">
        <w:rPr>
          <w:rFonts w:eastAsia="Calibri"/>
        </w:rPr>
        <w:t xml:space="preserve"> paragraph 2.5 in respect of the period up to (and including) the Relevant Transfer </w:t>
      </w:r>
      <w:proofErr w:type="gramStart"/>
      <w:r w:rsidRPr="00956EA3">
        <w:rPr>
          <w:rFonts w:eastAsia="Calibri"/>
        </w:rPr>
        <w:t>Date;</w:t>
      </w:r>
      <w:proofErr w:type="gramEnd"/>
    </w:p>
    <w:p w14:paraId="1E7C34DC" w14:textId="77777777" w:rsidR="002053FB" w:rsidRPr="00956EA3" w:rsidRDefault="002053FB" w:rsidP="000C5291">
      <w:pPr>
        <w:pStyle w:val="Heading3"/>
        <w:rPr>
          <w:rFonts w:eastAsia="Calibri"/>
        </w:rPr>
      </w:pPr>
      <w:r w:rsidRPr="00956EA3">
        <w:rPr>
          <w:rFonts w:eastAsia="Calibri"/>
        </w:rPr>
        <w:t xml:space="preserve">any claim made by or in respect of any person referred to </w:t>
      </w:r>
      <w:proofErr w:type="spellStart"/>
      <w:r w:rsidRPr="00956EA3">
        <w:rPr>
          <w:rFonts w:eastAsia="Calibri"/>
        </w:rPr>
        <w:t>at</w:t>
      </w:r>
      <w:proofErr w:type="spellEnd"/>
      <w:r w:rsidRPr="00956EA3">
        <w:rPr>
          <w:rFonts w:eastAsia="Calibri"/>
        </w:rPr>
        <w:t xml:space="preserve"> paragraph 2.5 relating to any act or omission of the Supplier or a Sub-contractor in relation to its obligations under Regulation 13 of the Employment Regulations, except to the extent that the liability arises from the failure of the Replacement Supplier or any Replacement Sub-contractor to comply with regulation 13(4) of the Employment Regulations.</w:t>
      </w:r>
    </w:p>
    <w:p w14:paraId="1E04ACD9" w14:textId="77777777" w:rsidR="002053FB" w:rsidRPr="00956EA3" w:rsidRDefault="002053FB" w:rsidP="000C5291">
      <w:pPr>
        <w:pStyle w:val="Heading2"/>
        <w:rPr>
          <w:rFonts w:eastAsia="Calibri" w:cs="Arial"/>
          <w:szCs w:val="20"/>
        </w:rPr>
      </w:pPr>
      <w:r w:rsidRPr="00956EA3">
        <w:rPr>
          <w:rFonts w:eastAsia="Calibri" w:cs="Arial"/>
          <w:szCs w:val="20"/>
        </w:rPr>
        <w:t>The indemnities in paragraph 2.10 shall not apply to the extent that the Employee Liabilities arise or are attributable to an act or omission of the Replacement Supplier and/or Replacement Sub-contractor (as applicable) whether occurring or having its origin before, on or after the Relevant Transfer Date, including any Employee Liabilities arising from the failure by the Replacement Supplier and/or Replacement Sub-contractor (as applicable) to comply with its obligations under the Employment Regulations.</w:t>
      </w:r>
    </w:p>
    <w:p w14:paraId="3467BAE7" w14:textId="77777777" w:rsidR="002053FB" w:rsidRPr="00956EA3" w:rsidRDefault="002053FB" w:rsidP="000C5291">
      <w:pPr>
        <w:pStyle w:val="Heading2"/>
        <w:rPr>
          <w:rFonts w:eastAsia="Calibri" w:cs="Arial"/>
          <w:szCs w:val="20"/>
        </w:rPr>
      </w:pPr>
      <w:r w:rsidRPr="00956EA3">
        <w:rPr>
          <w:rFonts w:eastAsia="Verdana" w:cs="Arial"/>
          <w:szCs w:val="20"/>
        </w:rPr>
        <w:t xml:space="preserve">If any such person as is described in paragraph 2.5 is neither re-employed by the Supplier or any Sub-contractor nor dismissed by the Replacement Supplier and/or Replacement Subcontractor within the time scales set out in paragraphs 2.5 to 2.7, such person shall be treated as a Transferring Supplier Employee. </w:t>
      </w:r>
    </w:p>
    <w:p w14:paraId="0A7A00FE" w14:textId="77777777" w:rsidR="002053FB" w:rsidRPr="00956EA3" w:rsidRDefault="002053FB" w:rsidP="000C5291">
      <w:pPr>
        <w:pStyle w:val="Heading2"/>
        <w:rPr>
          <w:rFonts w:eastAsia="Calibri" w:cs="Arial"/>
          <w:szCs w:val="20"/>
        </w:rPr>
      </w:pPr>
      <w:r w:rsidRPr="00956EA3">
        <w:rPr>
          <w:rFonts w:eastAsia="Verdana" w:cs="Arial"/>
          <w:szCs w:val="20"/>
        </w:rPr>
        <w:t xml:space="preserve">The Supplier shall comply, and shall procure that each Sub-contractor shall comply, with all its obligations under the Employment Regulations and shall perform and discharge, and shall procure that each Sub-contractor shall perform and discharge, all its obligations in respect of any person identified in the Supplier’s Final Supplier Personnel List before and on the Service Transfer Date and any necessary apportionments in respect of any periodic payments shall be made between: </w:t>
      </w:r>
    </w:p>
    <w:p w14:paraId="0584D849" w14:textId="77777777" w:rsidR="002053FB" w:rsidRPr="00956EA3" w:rsidRDefault="002053FB" w:rsidP="000C5291">
      <w:pPr>
        <w:pStyle w:val="Heading3"/>
        <w:rPr>
          <w:rFonts w:eastAsia="Calibri"/>
        </w:rPr>
      </w:pPr>
      <w:r w:rsidRPr="00956EA3">
        <w:rPr>
          <w:rFonts w:eastAsia="Verdana"/>
        </w:rPr>
        <w:t xml:space="preserve">the Supplier and/or any Sub-contractor; and </w:t>
      </w:r>
    </w:p>
    <w:p w14:paraId="546A0AFC" w14:textId="77777777" w:rsidR="002053FB" w:rsidRPr="00956EA3" w:rsidRDefault="002053FB" w:rsidP="000C5291">
      <w:pPr>
        <w:pStyle w:val="Heading3"/>
        <w:rPr>
          <w:rFonts w:eastAsia="Calibri"/>
        </w:rPr>
      </w:pPr>
      <w:r w:rsidRPr="00956EA3">
        <w:rPr>
          <w:rFonts w:eastAsia="Verdana"/>
        </w:rPr>
        <w:t xml:space="preserve">the Replacement Supplier and/or the Replacement Sub-contractor. </w:t>
      </w:r>
    </w:p>
    <w:p w14:paraId="033454AB" w14:textId="7EC1DB57" w:rsidR="002053FB" w:rsidRPr="00956EA3" w:rsidRDefault="002053FB" w:rsidP="000C5291">
      <w:pPr>
        <w:pStyle w:val="Heading2"/>
        <w:rPr>
          <w:rFonts w:eastAsia="Calibri" w:cs="Arial"/>
          <w:szCs w:val="20"/>
        </w:rPr>
      </w:pPr>
      <w:r w:rsidRPr="00956EA3">
        <w:rPr>
          <w:rFonts w:eastAsia="Verdana" w:cs="Arial"/>
          <w:szCs w:val="20"/>
        </w:rPr>
        <w:t xml:space="preserve">The Supplier shall, and shall procure that each Sub-contractor shall, promptly provide to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and any Replacement Supplier and/or Replacement Subcontractor, in writing such information as is necessary to enable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the Replacement Supplier and/or Replacement Sub-contractor to carry out their respective duties under Regulation 13 of the Employment Regulations.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shall procure that the Replacement Supplier and/or Replacement Subcontractor, shall promptly provide to the Supplier and each Sub-contractor in writing such information as is necessary to enable the Supplier and each Subcontractor to carry out their respective duties under regulation 13 of the Employment Regulations. </w:t>
      </w:r>
    </w:p>
    <w:p w14:paraId="09A0E5E9" w14:textId="6E089343" w:rsidR="002053FB" w:rsidRPr="00956EA3" w:rsidRDefault="002053FB" w:rsidP="000C5291">
      <w:pPr>
        <w:pStyle w:val="Heading2"/>
        <w:rPr>
          <w:rFonts w:eastAsia="Calibri" w:cs="Arial"/>
          <w:szCs w:val="20"/>
        </w:rPr>
      </w:pPr>
      <w:r w:rsidRPr="00956EA3">
        <w:rPr>
          <w:rFonts w:eastAsia="Verdana" w:cs="Arial"/>
          <w:szCs w:val="20"/>
        </w:rPr>
        <w:t xml:space="preserve">Subject to paragraph 2.16, </w:t>
      </w:r>
      <w:proofErr w:type="spellStart"/>
      <w:r w:rsidR="001F1C19">
        <w:rPr>
          <w:rFonts w:eastAsia="Verdana" w:cs="Arial"/>
          <w:szCs w:val="20"/>
        </w:rPr>
        <w:t>Netlink</w:t>
      </w:r>
      <w:proofErr w:type="spellEnd"/>
      <w:r w:rsidR="001F1C19">
        <w:rPr>
          <w:rFonts w:eastAsia="Verdana" w:cs="Arial"/>
          <w:szCs w:val="20"/>
        </w:rPr>
        <w:t xml:space="preserve"> Star</w:t>
      </w:r>
      <w:r w:rsidRPr="00956EA3">
        <w:rPr>
          <w:rFonts w:eastAsia="Verdana" w:cs="Arial"/>
          <w:szCs w:val="20"/>
        </w:rPr>
        <w:t xml:space="preserve"> shall procure that the Replacement Supplier indemnifies the Supplier and Sub-contractor on its own behalf and on behalf of any Replacement Sub-contractor and its sub-contractors against any Employee Liabilities arising from or </w:t>
      </w:r>
      <w:proofErr w:type="gramStart"/>
      <w:r w:rsidRPr="00956EA3">
        <w:rPr>
          <w:rFonts w:eastAsia="Verdana" w:cs="Arial"/>
          <w:szCs w:val="20"/>
        </w:rPr>
        <w:t>as a result of</w:t>
      </w:r>
      <w:proofErr w:type="gramEnd"/>
      <w:r w:rsidRPr="00956EA3">
        <w:rPr>
          <w:rFonts w:eastAsia="Verdana" w:cs="Arial"/>
          <w:szCs w:val="20"/>
        </w:rPr>
        <w:t xml:space="preserve">: </w:t>
      </w:r>
    </w:p>
    <w:p w14:paraId="7CA0E18D" w14:textId="77777777" w:rsidR="002053FB" w:rsidRPr="00956EA3" w:rsidRDefault="002053FB" w:rsidP="000C5291">
      <w:pPr>
        <w:pStyle w:val="Heading3"/>
        <w:rPr>
          <w:rFonts w:eastAsia="Calibri"/>
        </w:rPr>
      </w:pPr>
      <w:r w:rsidRPr="00956EA3">
        <w:rPr>
          <w:rFonts w:eastAsia="Verdana"/>
        </w:rPr>
        <w:t xml:space="preserve">any act or omission of the Replacement Supplier and/or Replacement Subcontractor in respect of any Transferring Supplier Employee identified in the Supplier’s Final Supplier Personnel List or any appropriate employee representative (as defined in the Employment Regulations) of any such Transferring Supplier </w:t>
      </w:r>
      <w:proofErr w:type="gramStart"/>
      <w:r w:rsidRPr="00956EA3">
        <w:rPr>
          <w:rFonts w:eastAsia="Verdana"/>
        </w:rPr>
        <w:t>Employee;</w:t>
      </w:r>
      <w:proofErr w:type="gramEnd"/>
      <w:r w:rsidRPr="00956EA3">
        <w:rPr>
          <w:rFonts w:eastAsia="Verdana"/>
        </w:rPr>
        <w:t xml:space="preserve"> </w:t>
      </w:r>
    </w:p>
    <w:p w14:paraId="42F9E11D" w14:textId="77777777" w:rsidR="002053FB" w:rsidRPr="00956EA3" w:rsidRDefault="002053FB" w:rsidP="000C5291">
      <w:pPr>
        <w:pStyle w:val="Heading3"/>
        <w:rPr>
          <w:rFonts w:eastAsia="Calibri"/>
        </w:rPr>
      </w:pPr>
      <w:r w:rsidRPr="00956EA3">
        <w:rPr>
          <w:rFonts w:eastAsia="Verdana"/>
        </w:rPr>
        <w:t xml:space="preserve">the breach or non-observance by the Replacement Supplier and/or Replacement Sub-contractor on or after the Service Transfer Date of: </w:t>
      </w:r>
    </w:p>
    <w:p w14:paraId="073DECAE" w14:textId="45C9FCD2" w:rsidR="002053FB" w:rsidRPr="00956EA3" w:rsidRDefault="002053FB" w:rsidP="009402CF">
      <w:pPr>
        <w:spacing w:after="234" w:line="249" w:lineRule="auto"/>
        <w:ind w:left="3121" w:right="47" w:hanging="1277"/>
        <w:rPr>
          <w:rFonts w:eastAsia="Verdana" w:cs="Arial"/>
          <w:szCs w:val="20"/>
        </w:rPr>
      </w:pPr>
      <w:bookmarkStart w:id="2417" w:name="_Hlk80175380"/>
      <w:r w:rsidRPr="00956EA3">
        <w:rPr>
          <w:rFonts w:eastAsia="Verdana" w:cs="Arial"/>
          <w:szCs w:val="20"/>
        </w:rPr>
        <w:t>2.</w:t>
      </w:r>
      <w:r w:rsidR="00B65030" w:rsidRPr="00956EA3">
        <w:rPr>
          <w:rFonts w:eastAsia="Verdana" w:cs="Arial"/>
          <w:szCs w:val="20"/>
        </w:rPr>
        <w:t>1</w:t>
      </w:r>
      <w:r w:rsidR="00B65030">
        <w:rPr>
          <w:rFonts w:eastAsia="Verdana" w:cs="Arial"/>
          <w:szCs w:val="20"/>
        </w:rPr>
        <w:t>5</w:t>
      </w:r>
      <w:r w:rsidRPr="00956EA3">
        <w:rPr>
          <w:rFonts w:eastAsia="Verdana" w:cs="Arial"/>
          <w:szCs w:val="20"/>
        </w:rPr>
        <w:t>.2.1</w:t>
      </w:r>
      <w:bookmarkEnd w:id="2417"/>
      <w:r w:rsidRPr="00956EA3">
        <w:rPr>
          <w:rFonts w:eastAsia="Verdana" w:cs="Arial"/>
          <w:szCs w:val="20"/>
        </w:rPr>
        <w:tab/>
        <w:t xml:space="preserve">any collective agreement applicable to the Transferring Supplier Employees identified in the Supplier’s Final Supplier Personnel List; and/or </w:t>
      </w:r>
    </w:p>
    <w:p w14:paraId="6DAD8C33" w14:textId="0A7B6F38" w:rsidR="002053FB" w:rsidRPr="00956EA3" w:rsidRDefault="002053FB" w:rsidP="009402CF">
      <w:pPr>
        <w:spacing w:after="234" w:line="249" w:lineRule="auto"/>
        <w:ind w:left="3121" w:right="47" w:hanging="1277"/>
        <w:rPr>
          <w:rFonts w:eastAsia="Verdana" w:cs="Arial"/>
          <w:szCs w:val="20"/>
        </w:rPr>
      </w:pPr>
      <w:r w:rsidRPr="00956EA3">
        <w:rPr>
          <w:rFonts w:eastAsia="Verdana" w:cs="Arial"/>
          <w:szCs w:val="20"/>
        </w:rPr>
        <w:lastRenderedPageBreak/>
        <w:t>2.1</w:t>
      </w:r>
      <w:r w:rsidR="00B65030">
        <w:rPr>
          <w:rFonts w:eastAsia="Verdana" w:cs="Arial"/>
          <w:szCs w:val="20"/>
        </w:rPr>
        <w:t>5</w:t>
      </w:r>
      <w:r w:rsidRPr="00956EA3">
        <w:rPr>
          <w:rFonts w:eastAsia="Verdana" w:cs="Arial"/>
          <w:szCs w:val="20"/>
        </w:rPr>
        <w:t>.2.2</w:t>
      </w:r>
      <w:r w:rsidRPr="00956EA3">
        <w:rPr>
          <w:rFonts w:eastAsia="Verdana" w:cs="Arial"/>
          <w:szCs w:val="20"/>
        </w:rPr>
        <w:tab/>
        <w:t xml:space="preserve">any custom or practice in respect of any Transferring Supplier Employees identified in the Supplier’s Final Supplier Personnel List which the Replacement Supplier and/or Replacement Subcontractor is contractually bound to </w:t>
      </w:r>
      <w:proofErr w:type="gramStart"/>
      <w:r w:rsidRPr="00956EA3">
        <w:rPr>
          <w:rFonts w:eastAsia="Verdana" w:cs="Arial"/>
          <w:szCs w:val="20"/>
        </w:rPr>
        <w:t>honour;</w:t>
      </w:r>
      <w:proofErr w:type="gramEnd"/>
      <w:r w:rsidRPr="00956EA3">
        <w:rPr>
          <w:rFonts w:eastAsia="Verdana" w:cs="Arial"/>
          <w:szCs w:val="20"/>
        </w:rPr>
        <w:t xml:space="preserve"> </w:t>
      </w:r>
    </w:p>
    <w:p w14:paraId="35E87B30" w14:textId="77777777" w:rsidR="002053FB" w:rsidRPr="00956EA3" w:rsidRDefault="002053FB" w:rsidP="000C5291">
      <w:pPr>
        <w:pStyle w:val="Heading3"/>
        <w:rPr>
          <w:rFonts w:eastAsia="Calibri"/>
        </w:rPr>
      </w:pPr>
      <w:r w:rsidRPr="00956EA3">
        <w:rPr>
          <w:rFonts w:eastAsia="Verdana"/>
        </w:rPr>
        <w:t xml:space="preserve">any claim by any trade union or other body or person representing any Transferring Supplier Employees identified in the Supplier’s Final Supplier Personnel List arising from or connected with any failure by the Replacement Supplier and/or Replacement Sub-contractor to comply with any legal obligation to such trade union, body or person arising on or after the Service Transfer </w:t>
      </w:r>
      <w:proofErr w:type="gramStart"/>
      <w:r w:rsidRPr="00956EA3">
        <w:rPr>
          <w:rFonts w:eastAsia="Verdana"/>
        </w:rPr>
        <w:t>Date;</w:t>
      </w:r>
      <w:proofErr w:type="gramEnd"/>
      <w:r w:rsidRPr="00956EA3">
        <w:rPr>
          <w:rFonts w:eastAsia="Verdana"/>
        </w:rPr>
        <w:t xml:space="preserve"> </w:t>
      </w:r>
    </w:p>
    <w:p w14:paraId="32CAA140" w14:textId="77777777" w:rsidR="002053FB" w:rsidRPr="00956EA3" w:rsidRDefault="002053FB" w:rsidP="000C5291">
      <w:pPr>
        <w:pStyle w:val="Heading3"/>
        <w:rPr>
          <w:rFonts w:eastAsia="Calibri"/>
        </w:rPr>
      </w:pPr>
      <w:r w:rsidRPr="00956EA3">
        <w:rPr>
          <w:rFonts w:eastAsia="Verdana"/>
        </w:rPr>
        <w:t xml:space="preserve">any proposal by the Replacement Supplier and/or Replacement Subcontractor to change the terms and conditions of employment or working conditions of any Transferring Supplier Employees identified in the Supplier’s Final Supplier Personnel List on or after their transfer to the Replacement Supplier or Replacement Sub-contractor (as the case may be) on the Service Transfer Date, or to change the terms and conditions of employment or working conditions of any person identified in the Supplier’s Final Supplier Personnel List who would have been a Transferring Supplier Employee but for their resignation (or decision to treat their employment as terminated under Regulation 4(9) of the Employment Regulations) before the Service Transfer Date as a result of or for a reason connected to such proposed changes; </w:t>
      </w:r>
    </w:p>
    <w:p w14:paraId="2298F2A9" w14:textId="77777777" w:rsidR="002053FB" w:rsidRPr="00956EA3" w:rsidRDefault="002053FB" w:rsidP="000C5291">
      <w:pPr>
        <w:pStyle w:val="Heading3"/>
        <w:rPr>
          <w:rFonts w:eastAsia="Calibri"/>
        </w:rPr>
      </w:pPr>
      <w:r w:rsidRPr="00956EA3">
        <w:rPr>
          <w:rFonts w:eastAsia="Verdana"/>
        </w:rPr>
        <w:t xml:space="preserve">any statement communicated </w:t>
      </w:r>
      <w:proofErr w:type="gramStart"/>
      <w:r w:rsidRPr="00956EA3">
        <w:rPr>
          <w:rFonts w:eastAsia="Verdana"/>
        </w:rPr>
        <w:t>to</w:t>
      </w:r>
      <w:proofErr w:type="gramEnd"/>
      <w:r w:rsidRPr="00956EA3">
        <w:rPr>
          <w:rFonts w:eastAsia="Verdana"/>
        </w:rPr>
        <w:t xml:space="preserve"> or action undertaken by the Replacement Supplier or Replacement Sub-contractor to, or in respect of, any Transferring Supplier Employee identified in the Supplier’s Final Supplier Personnel List on or before the Service Transfer Date regarding the Relevant Transfer which has not been agreed in advance with the Supplier in writing; </w:t>
      </w:r>
    </w:p>
    <w:p w14:paraId="60A21223" w14:textId="77777777" w:rsidR="002053FB" w:rsidRPr="00956EA3" w:rsidRDefault="002053FB" w:rsidP="000C5291">
      <w:pPr>
        <w:pStyle w:val="Heading3"/>
        <w:rPr>
          <w:rFonts w:eastAsia="Calibri"/>
        </w:rPr>
      </w:pPr>
      <w:r w:rsidRPr="00956EA3">
        <w:rPr>
          <w:rFonts w:eastAsia="Verdana"/>
        </w:rPr>
        <w:t xml:space="preserve">any proceeding, claim or demand by HMRC or other statutory authority in respect of any financial obligation including, but not limited to, PAYE and primary and secondary national insurance contributions: </w:t>
      </w:r>
    </w:p>
    <w:p w14:paraId="449EB343" w14:textId="79E5B5E2" w:rsidR="002053FB" w:rsidRPr="00956EA3" w:rsidRDefault="002053FB" w:rsidP="009D675B">
      <w:pPr>
        <w:numPr>
          <w:ilvl w:val="3"/>
          <w:numId w:val="88"/>
        </w:numPr>
        <w:spacing w:after="234" w:line="249" w:lineRule="auto"/>
        <w:ind w:right="47" w:hanging="1420"/>
        <w:jc w:val="left"/>
        <w:rPr>
          <w:rFonts w:eastAsia="Calibri" w:cs="Arial"/>
          <w:szCs w:val="20"/>
        </w:rPr>
      </w:pPr>
      <w:r w:rsidRPr="00956EA3">
        <w:rPr>
          <w:rFonts w:eastAsia="Verdana" w:cs="Arial"/>
          <w:szCs w:val="20"/>
        </w:rPr>
        <w:t xml:space="preserve">in relation to any Transferring Supplier Employee identified in the Supplier’s Final Supplier Personnel List, to the extent that the proceeding, claim or demand by HMRC or other statutory authority relates to financial obligations arising after the Service Transfer Date; and </w:t>
      </w:r>
    </w:p>
    <w:p w14:paraId="174FF66C" w14:textId="77777777" w:rsidR="002053FB" w:rsidRPr="00956EA3" w:rsidRDefault="002053FB" w:rsidP="009D675B">
      <w:pPr>
        <w:numPr>
          <w:ilvl w:val="3"/>
          <w:numId w:val="88"/>
        </w:numPr>
        <w:spacing w:after="234" w:line="249" w:lineRule="auto"/>
        <w:ind w:right="47" w:hanging="1420"/>
        <w:jc w:val="left"/>
        <w:rPr>
          <w:rFonts w:eastAsia="Calibri" w:cs="Arial"/>
          <w:szCs w:val="20"/>
        </w:rPr>
      </w:pPr>
      <w:r w:rsidRPr="00956EA3">
        <w:rPr>
          <w:rFonts w:eastAsia="Verdana" w:cs="Arial"/>
          <w:szCs w:val="20"/>
        </w:rPr>
        <w:t xml:space="preserve">in relation to any employee who is not a Transferring Supplier Employee identified in the Supplier’s Final Supplier Personnel List, and in respect of whom it is later alleged or determined that the Employment Regulations applied so as to transfer his/her employment from the Supplier or Sub-contractor, to the Replacement Supplier or Replacement Sub-contractor to the extent that the proceeding, claim or demand by HMRC or other statutory authority relates to financial obligations arising after the Service Transfer Date; </w:t>
      </w:r>
    </w:p>
    <w:p w14:paraId="71AD41FB" w14:textId="77777777" w:rsidR="002053FB" w:rsidRPr="00956EA3" w:rsidRDefault="002053FB" w:rsidP="000C5291">
      <w:pPr>
        <w:pStyle w:val="Heading3"/>
        <w:rPr>
          <w:rFonts w:eastAsia="Calibri"/>
        </w:rPr>
      </w:pPr>
      <w:r w:rsidRPr="00956EA3">
        <w:rPr>
          <w:rFonts w:eastAsia="Verdana"/>
        </w:rPr>
        <w:t xml:space="preserve">a failure of the Replacement Supplier or Replacement Sub-contractor to discharge or procure the discharge of all wages, salaries and all other benefits and all PAYE tax deductions and national insurance contributions relating to the Transferring Supplier Employees identified in the Supplier’s Final Supplier Personnel List in respect of the period from (and including) the Service Transfer Date; and </w:t>
      </w:r>
    </w:p>
    <w:p w14:paraId="1EC93598" w14:textId="77777777" w:rsidR="002053FB" w:rsidRPr="00956EA3" w:rsidRDefault="002053FB" w:rsidP="000C5291">
      <w:pPr>
        <w:pStyle w:val="Heading3"/>
        <w:rPr>
          <w:rFonts w:eastAsia="Calibri"/>
        </w:rPr>
      </w:pPr>
      <w:r w:rsidRPr="00956EA3">
        <w:rPr>
          <w:rFonts w:eastAsia="Verdana"/>
        </w:rPr>
        <w:t xml:space="preserve">any claim made by or in respect of a Transferring Supplier Employee identified in the Supplier’s Final Supplier Personnel List or any appropriate employee representative (as defined in the Employment Regulations) of any such Transferring Supplier Employee relating to any act or omission of the Replacement Supplier or Replacement Sub-contractor in relation to obligations under Regulation 13 of the Employment Regulations. </w:t>
      </w:r>
    </w:p>
    <w:p w14:paraId="2819C1FE" w14:textId="77777777" w:rsidR="002053FB" w:rsidRPr="00956EA3" w:rsidRDefault="002053FB" w:rsidP="000C5291">
      <w:pPr>
        <w:pStyle w:val="Heading2"/>
        <w:rPr>
          <w:rFonts w:eastAsia="Verdana" w:cs="Arial"/>
          <w:szCs w:val="20"/>
        </w:rPr>
        <w:sectPr w:rsidR="002053FB" w:rsidRPr="00956EA3" w:rsidSect="002C7090">
          <w:footnotePr>
            <w:numRestart w:val="eachPage"/>
          </w:footnotePr>
          <w:pgSz w:w="11906" w:h="16841"/>
          <w:pgMar w:top="1405" w:right="1357" w:bottom="1413" w:left="1417" w:header="720" w:footer="270" w:gutter="0"/>
          <w:cols w:space="720"/>
        </w:sectPr>
      </w:pPr>
      <w:r w:rsidRPr="00956EA3">
        <w:rPr>
          <w:rFonts w:eastAsia="Verdana" w:cs="Arial"/>
          <w:szCs w:val="20"/>
        </w:rPr>
        <w:t xml:space="preserve">The indemnities in paragraph 2.15 shall not apply to the extent that the Employee Liabilities arise or are attributable to an act or omission of the Supplier and/or any Sub-contractor (as applicable) </w:t>
      </w:r>
      <w:r w:rsidRPr="00956EA3">
        <w:rPr>
          <w:rFonts w:eastAsia="Verdana" w:cs="Arial"/>
          <w:szCs w:val="20"/>
        </w:rPr>
        <w:lastRenderedPageBreak/>
        <w:t xml:space="preserve">whether occurring or having its origin before, on or after the Service Transfer Date, including any Employee Liabilities arising from the failure by the Supplier and/or any Sub-contractor (as applicable) to comply with its obligations under the Employment Regulations. </w:t>
      </w:r>
    </w:p>
    <w:p w14:paraId="7F33E278" w14:textId="17D4DCF7" w:rsidR="002053FB" w:rsidRPr="00956EA3" w:rsidRDefault="002053FB" w:rsidP="009402CF">
      <w:pPr>
        <w:spacing w:line="259" w:lineRule="auto"/>
        <w:ind w:left="426" w:right="847" w:hanging="10"/>
        <w:jc w:val="center"/>
        <w:rPr>
          <w:rFonts w:eastAsia="Calibri" w:cs="Arial"/>
          <w:szCs w:val="20"/>
        </w:rPr>
      </w:pPr>
      <w:r w:rsidRPr="00956EA3">
        <w:rPr>
          <w:rFonts w:eastAsia="Verdana" w:cs="Arial"/>
          <w:b/>
          <w:szCs w:val="20"/>
        </w:rPr>
        <w:lastRenderedPageBreak/>
        <w:t xml:space="preserve">ANNEX </w:t>
      </w:r>
      <w:r w:rsidR="009429AB">
        <w:rPr>
          <w:rFonts w:eastAsia="Verdana" w:cs="Arial"/>
          <w:b/>
          <w:szCs w:val="20"/>
        </w:rPr>
        <w:t>11A</w:t>
      </w:r>
    </w:p>
    <w:p w14:paraId="5A11472F" w14:textId="093F2A9C" w:rsidR="002053FB" w:rsidRPr="00956EA3" w:rsidRDefault="009429AB" w:rsidP="009402CF">
      <w:pPr>
        <w:spacing w:line="259" w:lineRule="auto"/>
        <w:ind w:left="4"/>
        <w:jc w:val="center"/>
        <w:rPr>
          <w:rFonts w:eastAsia="Verdana" w:cs="Arial"/>
          <w:b/>
          <w:szCs w:val="20"/>
        </w:rPr>
      </w:pPr>
      <w:r w:rsidRPr="00956EA3">
        <w:rPr>
          <w:rFonts w:eastAsia="Verdana" w:cs="Arial"/>
          <w:b/>
          <w:szCs w:val="20"/>
        </w:rPr>
        <w:t xml:space="preserve">LIST OF NOTIFIED SUB-CONTRACTORS </w:t>
      </w:r>
    </w:p>
    <w:p w14:paraId="65A08CE3" w14:textId="63E4B3E2" w:rsidR="00F2428A" w:rsidRDefault="00F2428A">
      <w:pPr>
        <w:rPr>
          <w:rFonts w:eastAsia="Verdana" w:cs="Arial"/>
          <w:b/>
          <w:szCs w:val="20"/>
        </w:rPr>
      </w:pPr>
    </w:p>
    <w:p w14:paraId="425CDCCA" w14:textId="77777777" w:rsidR="002053FB" w:rsidRDefault="002053FB">
      <w:pPr>
        <w:rPr>
          <w:rFonts w:eastAsia="Verdana" w:cs="Arial"/>
          <w:b/>
          <w:szCs w:val="20"/>
        </w:rPr>
      </w:pPr>
      <w:r>
        <w:rPr>
          <w:rFonts w:eastAsia="Verdana" w:cs="Arial"/>
          <w:b/>
          <w:szCs w:val="20"/>
        </w:rPr>
        <w:br w:type="page"/>
      </w:r>
    </w:p>
    <w:p w14:paraId="5C219926" w14:textId="0E2BD37B" w:rsidR="00D85F7C" w:rsidRPr="000E5786" w:rsidRDefault="00D85F7C" w:rsidP="00DD60F0">
      <w:pPr>
        <w:ind w:left="1319" w:right="1311" w:hanging="10"/>
        <w:jc w:val="center"/>
        <w:rPr>
          <w:rFonts w:cs="Arial"/>
          <w:szCs w:val="20"/>
        </w:rPr>
      </w:pPr>
      <w:r w:rsidRPr="000E5786">
        <w:rPr>
          <w:rFonts w:eastAsia="Verdana" w:cs="Arial"/>
          <w:b/>
          <w:szCs w:val="20"/>
        </w:rPr>
        <w:lastRenderedPageBreak/>
        <w:t xml:space="preserve">SCHEDULE 12 </w:t>
      </w:r>
    </w:p>
    <w:p w14:paraId="0FFD357A" w14:textId="1E04023C" w:rsidR="00D85F7C" w:rsidRPr="000E5786" w:rsidRDefault="00D85F7C" w:rsidP="00DD60F0">
      <w:pPr>
        <w:ind w:left="61"/>
        <w:jc w:val="center"/>
        <w:rPr>
          <w:rFonts w:cs="Arial"/>
          <w:b/>
          <w:bCs/>
          <w:szCs w:val="20"/>
        </w:rPr>
      </w:pPr>
      <w:r w:rsidRPr="000E5786">
        <w:rPr>
          <w:rFonts w:cs="Arial"/>
          <w:b/>
          <w:bCs/>
          <w:szCs w:val="20"/>
        </w:rPr>
        <w:t xml:space="preserve">PROTECTION OF PERSONAL DATA </w:t>
      </w:r>
    </w:p>
    <w:p w14:paraId="193EFD08" w14:textId="407E9E70" w:rsidR="00D85F7C" w:rsidRPr="000E5786" w:rsidRDefault="00D85F7C" w:rsidP="009D675B">
      <w:pPr>
        <w:numPr>
          <w:ilvl w:val="0"/>
          <w:numId w:val="26"/>
        </w:numPr>
        <w:ind w:hanging="852"/>
        <w:rPr>
          <w:rFonts w:cs="Arial"/>
          <w:szCs w:val="20"/>
        </w:rPr>
      </w:pPr>
      <w:r w:rsidRPr="000E5786">
        <w:rPr>
          <w:rFonts w:eastAsia="Verdana" w:cs="Arial"/>
          <w:szCs w:val="20"/>
        </w:rPr>
        <w:t xml:space="preserve">The Supplier shall comply with any further written instructions with respect to processing by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noting that </w:t>
      </w:r>
      <w:proofErr w:type="spellStart"/>
      <w:r w:rsidR="001F1C19">
        <w:rPr>
          <w:rFonts w:eastAsia="Verdana" w:cs="Arial"/>
          <w:szCs w:val="20"/>
        </w:rPr>
        <w:t>Netlink</w:t>
      </w:r>
      <w:proofErr w:type="spellEnd"/>
      <w:r w:rsidR="001F1C19">
        <w:rPr>
          <w:rFonts w:eastAsia="Verdana" w:cs="Arial"/>
          <w:szCs w:val="20"/>
        </w:rPr>
        <w:t xml:space="preserve"> Star</w:t>
      </w:r>
      <w:r w:rsidRPr="000E5786">
        <w:rPr>
          <w:rFonts w:eastAsia="Verdana" w:cs="Arial"/>
          <w:szCs w:val="20"/>
        </w:rPr>
        <w:t xml:space="preserve"> confirms it has the authority to provide Personal Data to Supplier for processing in compliance with Data Protection Legislation. </w:t>
      </w:r>
    </w:p>
    <w:p w14:paraId="207DDF45" w14:textId="77777777" w:rsidR="00D85F7C" w:rsidRPr="000E5786" w:rsidRDefault="00D85F7C" w:rsidP="009D675B">
      <w:pPr>
        <w:numPr>
          <w:ilvl w:val="0"/>
          <w:numId w:val="26"/>
        </w:numPr>
        <w:ind w:hanging="852"/>
        <w:rPr>
          <w:rFonts w:cs="Arial"/>
          <w:szCs w:val="20"/>
        </w:rPr>
      </w:pPr>
      <w:r w:rsidRPr="000E5786">
        <w:rPr>
          <w:rFonts w:eastAsia="Verdana" w:cs="Arial"/>
          <w:szCs w:val="20"/>
        </w:rPr>
        <w:t xml:space="preserve">Any such further instructions shall be incorporated into this Schedule. </w:t>
      </w:r>
    </w:p>
    <w:tbl>
      <w:tblPr>
        <w:tblStyle w:val="TableGrid"/>
        <w:tblW w:w="8336" w:type="dxa"/>
        <w:tblInd w:w="855" w:type="dxa"/>
        <w:tblCellMar>
          <w:top w:w="30" w:type="dxa"/>
          <w:left w:w="55" w:type="dxa"/>
        </w:tblCellMar>
        <w:tblLook w:val="04A0" w:firstRow="1" w:lastRow="0" w:firstColumn="1" w:lastColumn="0" w:noHBand="0" w:noVBand="1"/>
      </w:tblPr>
      <w:tblGrid>
        <w:gridCol w:w="3404"/>
        <w:gridCol w:w="4932"/>
      </w:tblGrid>
      <w:tr w:rsidR="00D85F7C" w:rsidRPr="000E5786" w14:paraId="0FED65F0" w14:textId="77777777" w:rsidTr="0022301F">
        <w:trPr>
          <w:trHeight w:val="448"/>
        </w:trPr>
        <w:tc>
          <w:tcPr>
            <w:tcW w:w="3404" w:type="dxa"/>
            <w:tcBorders>
              <w:top w:val="single" w:sz="4" w:space="0" w:color="000000"/>
              <w:left w:val="single" w:sz="4" w:space="0" w:color="000000"/>
              <w:bottom w:val="single" w:sz="7" w:space="0" w:color="000000"/>
              <w:right w:val="single" w:sz="4" w:space="0" w:color="000000"/>
            </w:tcBorders>
            <w:shd w:val="clear" w:color="auto" w:fill="D9D9D9"/>
          </w:tcPr>
          <w:p w14:paraId="17EB18DC" w14:textId="77777777" w:rsidR="00D85F7C" w:rsidRPr="000E5786" w:rsidRDefault="00D85F7C" w:rsidP="00DD60F0">
            <w:pPr>
              <w:rPr>
                <w:rFonts w:ascii="Arial" w:hAnsi="Arial" w:cs="Arial"/>
                <w:sz w:val="20"/>
                <w:szCs w:val="20"/>
              </w:rPr>
            </w:pPr>
            <w:r w:rsidRPr="000E5786">
              <w:rPr>
                <w:rFonts w:ascii="Arial" w:eastAsia="Verdana" w:hAnsi="Arial" w:cs="Arial"/>
                <w:b/>
                <w:sz w:val="20"/>
                <w:szCs w:val="20"/>
              </w:rPr>
              <w:t xml:space="preserve">Description </w:t>
            </w:r>
          </w:p>
          <w:p w14:paraId="31256BA4" w14:textId="77777777" w:rsidR="00D85F7C" w:rsidRPr="000E5786" w:rsidRDefault="00D85F7C" w:rsidP="00DD60F0">
            <w:pPr>
              <w:rPr>
                <w:rFonts w:ascii="Arial" w:hAnsi="Arial" w:cs="Arial"/>
                <w:sz w:val="20"/>
                <w:szCs w:val="20"/>
              </w:rPr>
            </w:pPr>
            <w:r w:rsidRPr="000E5786">
              <w:rPr>
                <w:rFonts w:ascii="Arial" w:eastAsia="Verdana" w:hAnsi="Arial" w:cs="Arial"/>
                <w:b/>
                <w:sz w:val="20"/>
                <w:szCs w:val="20"/>
              </w:rPr>
              <w:t xml:space="preserve"> </w:t>
            </w:r>
          </w:p>
        </w:tc>
        <w:tc>
          <w:tcPr>
            <w:tcW w:w="4932" w:type="dxa"/>
            <w:tcBorders>
              <w:top w:val="single" w:sz="4" w:space="0" w:color="000000"/>
              <w:left w:val="single" w:sz="4" w:space="0" w:color="000000"/>
              <w:bottom w:val="single" w:sz="7" w:space="0" w:color="000000"/>
              <w:right w:val="single" w:sz="4" w:space="0" w:color="000000"/>
            </w:tcBorders>
            <w:shd w:val="clear" w:color="auto" w:fill="D9D9D9"/>
          </w:tcPr>
          <w:p w14:paraId="039F4381" w14:textId="77777777" w:rsidR="00D85F7C" w:rsidRPr="000E5786" w:rsidRDefault="00D85F7C" w:rsidP="00DD60F0">
            <w:pPr>
              <w:rPr>
                <w:rFonts w:ascii="Arial" w:hAnsi="Arial" w:cs="Arial"/>
                <w:sz w:val="20"/>
                <w:szCs w:val="20"/>
              </w:rPr>
            </w:pPr>
            <w:r w:rsidRPr="000E5786">
              <w:rPr>
                <w:rFonts w:ascii="Arial" w:eastAsia="Verdana" w:hAnsi="Arial" w:cs="Arial"/>
                <w:b/>
                <w:sz w:val="20"/>
                <w:szCs w:val="20"/>
              </w:rPr>
              <w:t xml:space="preserve">Details </w:t>
            </w:r>
          </w:p>
        </w:tc>
      </w:tr>
      <w:tr w:rsidR="00D85F7C" w:rsidRPr="000E5786" w14:paraId="42CD1556" w14:textId="77777777" w:rsidTr="000D0C35">
        <w:trPr>
          <w:trHeight w:val="1742"/>
        </w:trPr>
        <w:tc>
          <w:tcPr>
            <w:tcW w:w="3404" w:type="dxa"/>
            <w:tcBorders>
              <w:top w:val="single" w:sz="7" w:space="0" w:color="000000"/>
              <w:left w:val="single" w:sz="7" w:space="0" w:color="000000"/>
              <w:bottom w:val="single" w:sz="7" w:space="0" w:color="000000"/>
              <w:right w:val="single" w:sz="7" w:space="0" w:color="000000"/>
            </w:tcBorders>
          </w:tcPr>
          <w:p w14:paraId="216C52E6" w14:textId="77777777" w:rsidR="00D85F7C" w:rsidRPr="008B38E6" w:rsidRDefault="00D85F7C" w:rsidP="000C649C">
            <w:pPr>
              <w:ind w:left="103" w:hanging="103"/>
              <w:rPr>
                <w:rFonts w:ascii="Arial" w:hAnsi="Arial" w:cs="Arial"/>
                <w:b/>
                <w:bCs/>
                <w:sz w:val="20"/>
                <w:szCs w:val="20"/>
              </w:rPr>
            </w:pPr>
            <w:r w:rsidRPr="008B38E6">
              <w:rPr>
                <w:rFonts w:ascii="Arial" w:eastAsia="Arial" w:hAnsi="Arial" w:cs="Arial"/>
                <w:b/>
                <w:bCs/>
                <w:sz w:val="20"/>
                <w:szCs w:val="20"/>
              </w:rPr>
              <w:t xml:space="preserve">Data Protection Officers </w:t>
            </w:r>
          </w:p>
        </w:tc>
        <w:tc>
          <w:tcPr>
            <w:tcW w:w="4932" w:type="dxa"/>
            <w:tcBorders>
              <w:top w:val="single" w:sz="7" w:space="0" w:color="000000"/>
              <w:left w:val="single" w:sz="7" w:space="0" w:color="000000"/>
              <w:bottom w:val="single" w:sz="7" w:space="0" w:color="000000"/>
              <w:right w:val="single" w:sz="7" w:space="0" w:color="000000"/>
            </w:tcBorders>
          </w:tcPr>
          <w:p w14:paraId="53B5098F" w14:textId="05AF386C" w:rsidR="00D85F7C" w:rsidRPr="000E5786" w:rsidRDefault="001F1C19" w:rsidP="008B38E6">
            <w:pPr>
              <w:ind w:left="75" w:right="124" w:firstLine="0"/>
              <w:rPr>
                <w:rFonts w:ascii="Arial" w:hAnsi="Arial" w:cs="Arial"/>
                <w:sz w:val="20"/>
                <w:szCs w:val="20"/>
              </w:rPr>
            </w:pPr>
            <w:proofErr w:type="spellStart"/>
            <w:r>
              <w:rPr>
                <w:rFonts w:ascii="Arial" w:eastAsia="Arial" w:hAnsi="Arial" w:cs="Arial"/>
                <w:b/>
                <w:sz w:val="20"/>
                <w:szCs w:val="20"/>
              </w:rPr>
              <w:t>Netlink</w:t>
            </w:r>
            <w:proofErr w:type="spellEnd"/>
            <w:r>
              <w:rPr>
                <w:rFonts w:ascii="Arial" w:eastAsia="Arial" w:hAnsi="Arial" w:cs="Arial"/>
                <w:b/>
                <w:sz w:val="20"/>
                <w:szCs w:val="20"/>
              </w:rPr>
              <w:t xml:space="preserve"> Star</w:t>
            </w:r>
            <w:r w:rsidR="00D85F7C" w:rsidRPr="000E5786">
              <w:rPr>
                <w:rFonts w:ascii="Arial" w:eastAsia="Arial" w:hAnsi="Arial" w:cs="Arial"/>
                <w:sz w:val="20"/>
                <w:szCs w:val="20"/>
              </w:rPr>
              <w:t xml:space="preserve">: </w:t>
            </w:r>
            <w:r w:rsidR="00A71E74">
              <w:rPr>
                <w:rFonts w:ascii="Arial" w:eastAsia="Arial" w:hAnsi="Arial" w:cs="Arial"/>
                <w:sz w:val="20"/>
                <w:szCs w:val="20"/>
              </w:rPr>
              <w:t>\f</w:t>
            </w:r>
          </w:p>
          <w:p w14:paraId="633CA224" w14:textId="77777777" w:rsidR="00D85F7C" w:rsidRPr="000E5786" w:rsidRDefault="00D85F7C" w:rsidP="00DD60F0">
            <w:pPr>
              <w:ind w:left="103"/>
              <w:rPr>
                <w:rFonts w:ascii="Arial" w:hAnsi="Arial" w:cs="Arial"/>
                <w:sz w:val="20"/>
                <w:szCs w:val="20"/>
              </w:rPr>
            </w:pPr>
            <w:r w:rsidRPr="000E5786">
              <w:rPr>
                <w:rFonts w:ascii="Arial" w:eastAsia="Arial" w:hAnsi="Arial" w:cs="Arial"/>
                <w:sz w:val="20"/>
                <w:szCs w:val="20"/>
              </w:rPr>
              <w:t xml:space="preserve"> </w:t>
            </w:r>
          </w:p>
          <w:p w14:paraId="28252E33" w14:textId="504F26AF" w:rsidR="00D85F7C" w:rsidRPr="000E5786" w:rsidRDefault="00D85F7C" w:rsidP="008B38E6">
            <w:pPr>
              <w:ind w:left="75" w:right="124" w:firstLine="0"/>
              <w:rPr>
                <w:rFonts w:ascii="Arial" w:hAnsi="Arial" w:cs="Arial"/>
                <w:sz w:val="20"/>
                <w:szCs w:val="20"/>
              </w:rPr>
            </w:pPr>
            <w:r w:rsidRPr="000E5786">
              <w:rPr>
                <w:rFonts w:ascii="Arial" w:eastAsia="Arial" w:hAnsi="Arial" w:cs="Arial"/>
                <w:b/>
                <w:sz w:val="20"/>
                <w:szCs w:val="20"/>
              </w:rPr>
              <w:t>Supplier</w:t>
            </w:r>
            <w:r w:rsidRPr="000E5786">
              <w:rPr>
                <w:rFonts w:ascii="Arial" w:eastAsia="Arial" w:hAnsi="Arial" w:cs="Arial"/>
                <w:sz w:val="20"/>
                <w:szCs w:val="20"/>
              </w:rPr>
              <w:t xml:space="preserve">: </w:t>
            </w:r>
            <w:proofErr w:type="spellStart"/>
            <w:r w:rsidRPr="000E5786">
              <w:rPr>
                <w:rFonts w:ascii="Arial" w:hAnsi="Arial" w:cs="Arial"/>
                <w:sz w:val="20"/>
                <w:szCs w:val="20"/>
              </w:rPr>
              <w:t>Py</w:t>
            </w:r>
            <w:proofErr w:type="spellEnd"/>
            <w:r w:rsidRPr="000E5786">
              <w:rPr>
                <w:rFonts w:ascii="Arial" w:hAnsi="Arial" w:cs="Arial"/>
                <w:sz w:val="20"/>
                <w:szCs w:val="20"/>
              </w:rPr>
              <w:t xml:space="preserve">, 1 </w:t>
            </w:r>
            <w:proofErr w:type="spellStart"/>
            <w:r w:rsidR="00BA32BB">
              <w:rPr>
                <w:rFonts w:ascii="Arial" w:hAnsi="Arial" w:cs="Arial"/>
                <w:sz w:val="20"/>
                <w:szCs w:val="20"/>
              </w:rPr>
              <w:t>Blotten</w:t>
            </w:r>
            <w:proofErr w:type="spellEnd"/>
            <w:r w:rsidR="00BA32BB">
              <w:rPr>
                <w:rFonts w:ascii="Arial" w:hAnsi="Arial" w:cs="Arial"/>
                <w:sz w:val="20"/>
                <w:szCs w:val="20"/>
              </w:rPr>
              <w:t xml:space="preserve"> Vu</w:t>
            </w:r>
            <w:r w:rsidRPr="000E5786">
              <w:rPr>
                <w:rFonts w:ascii="Arial" w:hAnsi="Arial" w:cs="Arial"/>
                <w:sz w:val="20"/>
                <w:szCs w:val="20"/>
              </w:rPr>
              <w:t xml:space="preserve">, Woking, Surrey, </w:t>
            </w:r>
            <w:r w:rsidR="00BA32BB">
              <w:rPr>
                <w:rFonts w:ascii="Arial" w:hAnsi="Arial" w:cs="Arial"/>
                <w:sz w:val="20"/>
                <w:szCs w:val="20"/>
              </w:rPr>
              <w:t>KR98</w:t>
            </w:r>
            <w:r w:rsidRPr="000E5786">
              <w:rPr>
                <w:rFonts w:ascii="Arial" w:hAnsi="Arial" w:cs="Arial"/>
                <w:sz w:val="20"/>
                <w:szCs w:val="20"/>
              </w:rPr>
              <w:t xml:space="preserve"> 6DB</w:t>
            </w:r>
          </w:p>
          <w:p w14:paraId="356A1C51" w14:textId="77777777" w:rsidR="00D85F7C" w:rsidRPr="000E5786" w:rsidRDefault="00D85F7C" w:rsidP="00DD60F0">
            <w:pPr>
              <w:ind w:left="103"/>
              <w:rPr>
                <w:rFonts w:ascii="Arial" w:hAnsi="Arial" w:cs="Arial"/>
                <w:sz w:val="20"/>
                <w:szCs w:val="20"/>
              </w:rPr>
            </w:pPr>
            <w:r w:rsidRPr="000E5786">
              <w:rPr>
                <w:rFonts w:ascii="Arial" w:eastAsia="Arial" w:hAnsi="Arial" w:cs="Arial"/>
                <w:i/>
                <w:sz w:val="20"/>
                <w:szCs w:val="20"/>
              </w:rPr>
              <w:t xml:space="preserve"> </w:t>
            </w:r>
          </w:p>
        </w:tc>
      </w:tr>
      <w:tr w:rsidR="00D85F7C" w:rsidRPr="000E5786" w14:paraId="322CD3FE" w14:textId="77777777" w:rsidTr="0022301F">
        <w:trPr>
          <w:trHeight w:val="668"/>
        </w:trPr>
        <w:tc>
          <w:tcPr>
            <w:tcW w:w="3404" w:type="dxa"/>
            <w:tcBorders>
              <w:top w:val="single" w:sz="7" w:space="0" w:color="000000"/>
              <w:left w:val="single" w:sz="4" w:space="0" w:color="000000"/>
              <w:bottom w:val="single" w:sz="4" w:space="0" w:color="000000"/>
              <w:right w:val="single" w:sz="4" w:space="0" w:color="000000"/>
            </w:tcBorders>
          </w:tcPr>
          <w:p w14:paraId="50B849C6" w14:textId="77777777" w:rsidR="00D85F7C" w:rsidRPr="008B38E6" w:rsidRDefault="00D85F7C" w:rsidP="00DD60F0">
            <w:pPr>
              <w:rPr>
                <w:rFonts w:ascii="Arial" w:hAnsi="Arial" w:cs="Arial"/>
                <w:b/>
                <w:bCs/>
                <w:sz w:val="20"/>
                <w:szCs w:val="20"/>
              </w:rPr>
            </w:pPr>
            <w:r w:rsidRPr="008B38E6">
              <w:rPr>
                <w:rFonts w:ascii="Arial" w:eastAsia="Verdana" w:hAnsi="Arial" w:cs="Arial"/>
                <w:b/>
                <w:bCs/>
                <w:sz w:val="20"/>
                <w:szCs w:val="20"/>
              </w:rPr>
              <w:t xml:space="preserve">Subject matter of the processing </w:t>
            </w:r>
          </w:p>
        </w:tc>
        <w:tc>
          <w:tcPr>
            <w:tcW w:w="4932" w:type="dxa"/>
            <w:tcBorders>
              <w:top w:val="single" w:sz="7" w:space="0" w:color="000000"/>
              <w:left w:val="single" w:sz="4" w:space="0" w:color="000000"/>
              <w:bottom w:val="single" w:sz="4" w:space="0" w:color="000000"/>
              <w:right w:val="single" w:sz="4" w:space="0" w:color="000000"/>
            </w:tcBorders>
          </w:tcPr>
          <w:p w14:paraId="48F32059" w14:textId="5B48D17B" w:rsidR="00D85F7C" w:rsidRPr="000E5786" w:rsidRDefault="00D85F7C" w:rsidP="008B38E6">
            <w:pPr>
              <w:ind w:left="75" w:right="124" w:firstLine="0"/>
              <w:rPr>
                <w:rFonts w:ascii="Arial" w:hAnsi="Arial" w:cs="Arial"/>
                <w:sz w:val="20"/>
                <w:szCs w:val="20"/>
              </w:rPr>
            </w:pPr>
            <w:r w:rsidRPr="000E5786">
              <w:rPr>
                <w:rFonts w:ascii="Arial" w:hAnsi="Arial" w:cs="Arial"/>
                <w:sz w:val="20"/>
                <w:szCs w:val="20"/>
              </w:rPr>
              <w:t xml:space="preserve">Processing limited contact and identity data related to individuals involved in the receipt and provision of the </w:t>
            </w:r>
            <w:r w:rsidRPr="008B38E6">
              <w:rPr>
                <w:rFonts w:ascii="Arial" w:eastAsia="Arial" w:hAnsi="Arial" w:cs="Arial"/>
                <w:sz w:val="20"/>
                <w:szCs w:val="20"/>
              </w:rPr>
              <w:t>Services</w:t>
            </w:r>
            <w:r w:rsidRPr="000E5786">
              <w:rPr>
                <w:rFonts w:ascii="Arial" w:hAnsi="Arial" w:cs="Arial"/>
                <w:sz w:val="20"/>
                <w:szCs w:val="20"/>
              </w:rPr>
              <w:t xml:space="preserve"> </w:t>
            </w:r>
            <w:proofErr w:type="gramStart"/>
            <w:r w:rsidRPr="000E5786">
              <w:rPr>
                <w:rFonts w:ascii="Arial" w:hAnsi="Arial" w:cs="Arial"/>
                <w:sz w:val="20"/>
                <w:szCs w:val="20"/>
              </w:rPr>
              <w:t>in order to</w:t>
            </w:r>
            <w:proofErr w:type="gramEnd"/>
            <w:r w:rsidRPr="000E5786">
              <w:rPr>
                <w:rFonts w:ascii="Arial" w:hAnsi="Arial" w:cs="Arial"/>
                <w:sz w:val="20"/>
                <w:szCs w:val="20"/>
              </w:rPr>
              <w:t xml:space="preserve"> enable communication between the Supplier and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sidRPr="000E5786">
              <w:rPr>
                <w:rFonts w:ascii="Arial" w:hAnsi="Arial" w:cs="Arial"/>
                <w:sz w:val="20"/>
                <w:szCs w:val="20"/>
              </w:rPr>
              <w:t xml:space="preserve"> </w:t>
            </w:r>
          </w:p>
        </w:tc>
      </w:tr>
      <w:tr w:rsidR="00D85F7C" w:rsidRPr="000E5786" w14:paraId="2C36DE84" w14:textId="77777777" w:rsidTr="0022301F">
        <w:trPr>
          <w:trHeight w:val="449"/>
        </w:trPr>
        <w:tc>
          <w:tcPr>
            <w:tcW w:w="3404" w:type="dxa"/>
            <w:tcBorders>
              <w:top w:val="single" w:sz="4" w:space="0" w:color="000000"/>
              <w:left w:val="single" w:sz="4" w:space="0" w:color="000000"/>
              <w:bottom w:val="single" w:sz="4" w:space="0" w:color="000000"/>
              <w:right w:val="single" w:sz="4" w:space="0" w:color="000000"/>
            </w:tcBorders>
          </w:tcPr>
          <w:p w14:paraId="7CCD930F" w14:textId="77777777" w:rsidR="00D85F7C" w:rsidRPr="008B38E6" w:rsidRDefault="00D85F7C" w:rsidP="00DD60F0">
            <w:pPr>
              <w:rPr>
                <w:rFonts w:ascii="Arial" w:hAnsi="Arial" w:cs="Arial"/>
                <w:b/>
                <w:bCs/>
                <w:sz w:val="20"/>
                <w:szCs w:val="20"/>
              </w:rPr>
            </w:pPr>
            <w:r w:rsidRPr="008B38E6">
              <w:rPr>
                <w:rFonts w:ascii="Arial" w:eastAsia="Verdana" w:hAnsi="Arial" w:cs="Arial"/>
                <w:b/>
                <w:bCs/>
                <w:sz w:val="20"/>
                <w:szCs w:val="20"/>
              </w:rPr>
              <w:t xml:space="preserve">Duration of the processing </w:t>
            </w:r>
          </w:p>
        </w:tc>
        <w:tc>
          <w:tcPr>
            <w:tcW w:w="4932" w:type="dxa"/>
            <w:tcBorders>
              <w:top w:val="single" w:sz="4" w:space="0" w:color="000000"/>
              <w:left w:val="single" w:sz="4" w:space="0" w:color="000000"/>
              <w:bottom w:val="single" w:sz="4" w:space="0" w:color="000000"/>
              <w:right w:val="single" w:sz="4" w:space="0" w:color="000000"/>
            </w:tcBorders>
          </w:tcPr>
          <w:p w14:paraId="758F93D7" w14:textId="77777777" w:rsidR="00D85F7C" w:rsidRPr="000E5786" w:rsidRDefault="00D85F7C" w:rsidP="00DD60F0">
            <w:pPr>
              <w:rPr>
                <w:rFonts w:ascii="Arial" w:hAnsi="Arial" w:cs="Arial"/>
                <w:sz w:val="20"/>
                <w:szCs w:val="20"/>
              </w:rPr>
            </w:pPr>
            <w:r w:rsidRPr="000E5786">
              <w:rPr>
                <w:rFonts w:ascii="Arial" w:eastAsia="Verdana" w:hAnsi="Arial" w:cs="Arial"/>
                <w:sz w:val="20"/>
                <w:szCs w:val="20"/>
              </w:rPr>
              <w:t xml:space="preserve">The Term </w:t>
            </w:r>
          </w:p>
          <w:p w14:paraId="2027A6CE" w14:textId="77777777" w:rsidR="00D85F7C" w:rsidRPr="000E5786" w:rsidRDefault="00D85F7C" w:rsidP="00DD60F0">
            <w:pPr>
              <w:rPr>
                <w:rFonts w:ascii="Arial" w:hAnsi="Arial" w:cs="Arial"/>
                <w:sz w:val="20"/>
                <w:szCs w:val="20"/>
              </w:rPr>
            </w:pPr>
            <w:r w:rsidRPr="000E5786">
              <w:rPr>
                <w:rFonts w:ascii="Arial" w:eastAsia="Verdana" w:hAnsi="Arial" w:cs="Arial"/>
                <w:sz w:val="20"/>
                <w:szCs w:val="20"/>
              </w:rPr>
              <w:t xml:space="preserve"> </w:t>
            </w:r>
          </w:p>
        </w:tc>
      </w:tr>
      <w:tr w:rsidR="00D85F7C" w:rsidRPr="000E5786" w14:paraId="604D6F27" w14:textId="77777777" w:rsidTr="0022301F">
        <w:trPr>
          <w:trHeight w:val="1322"/>
        </w:trPr>
        <w:tc>
          <w:tcPr>
            <w:tcW w:w="3404" w:type="dxa"/>
            <w:tcBorders>
              <w:top w:val="single" w:sz="4" w:space="0" w:color="000000"/>
              <w:left w:val="single" w:sz="4" w:space="0" w:color="000000"/>
              <w:bottom w:val="single" w:sz="4" w:space="0" w:color="000000"/>
              <w:right w:val="single" w:sz="4" w:space="0" w:color="000000"/>
            </w:tcBorders>
          </w:tcPr>
          <w:p w14:paraId="500331D6" w14:textId="77777777" w:rsidR="00D85F7C" w:rsidRPr="008B38E6" w:rsidRDefault="00D85F7C" w:rsidP="00DD60F0">
            <w:pPr>
              <w:tabs>
                <w:tab w:val="center" w:pos="1042"/>
                <w:tab w:val="center" w:pos="1883"/>
                <w:tab w:val="center" w:pos="2644"/>
                <w:tab w:val="right" w:pos="3348"/>
              </w:tabs>
              <w:rPr>
                <w:rFonts w:ascii="Arial" w:hAnsi="Arial" w:cs="Arial"/>
                <w:b/>
                <w:bCs/>
                <w:sz w:val="20"/>
                <w:szCs w:val="20"/>
              </w:rPr>
            </w:pPr>
            <w:r w:rsidRPr="008B38E6">
              <w:rPr>
                <w:rFonts w:ascii="Arial" w:eastAsia="Verdana" w:hAnsi="Arial" w:cs="Arial"/>
                <w:b/>
                <w:bCs/>
                <w:sz w:val="20"/>
                <w:szCs w:val="20"/>
              </w:rPr>
              <w:t xml:space="preserve">Nature and purposes of the </w:t>
            </w:r>
          </w:p>
          <w:p w14:paraId="259BCE50" w14:textId="77777777" w:rsidR="00D85F7C" w:rsidRPr="008B38E6" w:rsidRDefault="00D85F7C" w:rsidP="00DD60F0">
            <w:pPr>
              <w:rPr>
                <w:rFonts w:ascii="Arial" w:hAnsi="Arial" w:cs="Arial"/>
                <w:b/>
                <w:bCs/>
                <w:sz w:val="20"/>
                <w:szCs w:val="20"/>
              </w:rPr>
            </w:pPr>
            <w:r w:rsidRPr="008B38E6">
              <w:rPr>
                <w:rFonts w:ascii="Arial" w:eastAsia="Verdana" w:hAnsi="Arial" w:cs="Arial"/>
                <w:b/>
                <w:bCs/>
                <w:sz w:val="20"/>
                <w:szCs w:val="20"/>
              </w:rPr>
              <w:t xml:space="preserve">processing </w:t>
            </w:r>
          </w:p>
        </w:tc>
        <w:tc>
          <w:tcPr>
            <w:tcW w:w="4932" w:type="dxa"/>
            <w:tcBorders>
              <w:top w:val="single" w:sz="4" w:space="0" w:color="000000"/>
              <w:left w:val="single" w:sz="4" w:space="0" w:color="000000"/>
              <w:bottom w:val="single" w:sz="4" w:space="0" w:color="000000"/>
              <w:right w:val="single" w:sz="4" w:space="0" w:color="000000"/>
            </w:tcBorders>
          </w:tcPr>
          <w:p w14:paraId="6546984B" w14:textId="13994124" w:rsidR="00D85F7C" w:rsidRPr="000E5786" w:rsidRDefault="00D85F7C" w:rsidP="008B38E6">
            <w:pPr>
              <w:ind w:left="75" w:right="124" w:firstLine="0"/>
              <w:rPr>
                <w:rFonts w:ascii="Arial" w:hAnsi="Arial" w:cs="Arial"/>
                <w:sz w:val="20"/>
                <w:szCs w:val="20"/>
              </w:rPr>
            </w:pPr>
            <w:r w:rsidRPr="000E5786">
              <w:rPr>
                <w:rFonts w:ascii="Arial" w:hAnsi="Arial" w:cs="Arial"/>
                <w:sz w:val="20"/>
                <w:szCs w:val="20"/>
              </w:rPr>
              <w:t xml:space="preserve">The only processing that will take place is incidental to the provision of the Services and will involve </w:t>
            </w:r>
            <w:r w:rsidRPr="008B38E6">
              <w:rPr>
                <w:rFonts w:ascii="Arial" w:eastAsia="Arial" w:hAnsi="Arial" w:cs="Arial"/>
                <w:sz w:val="20"/>
                <w:szCs w:val="20"/>
              </w:rPr>
              <w:t>access</w:t>
            </w:r>
            <w:r w:rsidRPr="000E5786">
              <w:rPr>
                <w:rFonts w:ascii="Arial" w:hAnsi="Arial" w:cs="Arial"/>
                <w:sz w:val="20"/>
                <w:szCs w:val="20"/>
              </w:rPr>
              <w:t xml:space="preserve"> to the names and contact details of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sidRPr="000E5786">
              <w:rPr>
                <w:rFonts w:ascii="Arial" w:hAnsi="Arial" w:cs="Arial"/>
                <w:sz w:val="20"/>
                <w:szCs w:val="20"/>
              </w:rPr>
              <w:t xml:space="preserve"> personnel with whom the Supplier is required to interact </w:t>
            </w:r>
            <w:proofErr w:type="gramStart"/>
            <w:r w:rsidRPr="000E5786">
              <w:rPr>
                <w:rFonts w:ascii="Arial" w:hAnsi="Arial" w:cs="Arial"/>
                <w:sz w:val="20"/>
                <w:szCs w:val="20"/>
              </w:rPr>
              <w:t>in order to</w:t>
            </w:r>
            <w:proofErr w:type="gramEnd"/>
            <w:r w:rsidRPr="000E5786">
              <w:rPr>
                <w:rFonts w:ascii="Arial" w:hAnsi="Arial" w:cs="Arial"/>
                <w:sz w:val="20"/>
                <w:szCs w:val="20"/>
              </w:rPr>
              <w:t xml:space="preserve"> provide the Services</w:t>
            </w:r>
          </w:p>
        </w:tc>
      </w:tr>
      <w:tr w:rsidR="00D85F7C" w:rsidRPr="000E5786" w14:paraId="58310DD0" w14:textId="77777777" w:rsidTr="0022301F">
        <w:trPr>
          <w:trHeight w:val="446"/>
        </w:trPr>
        <w:tc>
          <w:tcPr>
            <w:tcW w:w="3404" w:type="dxa"/>
            <w:tcBorders>
              <w:top w:val="single" w:sz="4" w:space="0" w:color="000000"/>
              <w:left w:val="single" w:sz="4" w:space="0" w:color="000000"/>
              <w:bottom w:val="single" w:sz="4" w:space="0" w:color="000000"/>
              <w:right w:val="single" w:sz="4" w:space="0" w:color="000000"/>
            </w:tcBorders>
          </w:tcPr>
          <w:p w14:paraId="15AE1951" w14:textId="77777777" w:rsidR="00D85F7C" w:rsidRPr="008B38E6" w:rsidRDefault="00D85F7C" w:rsidP="00DD60F0">
            <w:pPr>
              <w:rPr>
                <w:rFonts w:ascii="Arial" w:hAnsi="Arial" w:cs="Arial"/>
                <w:b/>
                <w:bCs/>
                <w:sz w:val="20"/>
                <w:szCs w:val="20"/>
              </w:rPr>
            </w:pPr>
            <w:r w:rsidRPr="008B38E6">
              <w:rPr>
                <w:rFonts w:ascii="Arial" w:eastAsia="Verdana" w:hAnsi="Arial" w:cs="Arial"/>
                <w:b/>
                <w:bCs/>
                <w:sz w:val="20"/>
                <w:szCs w:val="20"/>
              </w:rPr>
              <w:t xml:space="preserve">Type of Personal Data </w:t>
            </w:r>
          </w:p>
        </w:tc>
        <w:tc>
          <w:tcPr>
            <w:tcW w:w="4932" w:type="dxa"/>
            <w:tcBorders>
              <w:top w:val="single" w:sz="4" w:space="0" w:color="000000"/>
              <w:left w:val="single" w:sz="4" w:space="0" w:color="000000"/>
              <w:bottom w:val="single" w:sz="4" w:space="0" w:color="000000"/>
              <w:right w:val="single" w:sz="4" w:space="0" w:color="000000"/>
            </w:tcBorders>
          </w:tcPr>
          <w:p w14:paraId="530DEC5A" w14:textId="77777777" w:rsidR="00D85F7C" w:rsidRPr="000E5786" w:rsidRDefault="00D85F7C" w:rsidP="008B38E6">
            <w:pPr>
              <w:ind w:left="75" w:right="124" w:firstLine="0"/>
              <w:rPr>
                <w:rFonts w:ascii="Arial" w:hAnsi="Arial" w:cs="Arial"/>
                <w:sz w:val="20"/>
                <w:szCs w:val="20"/>
              </w:rPr>
            </w:pPr>
            <w:r w:rsidRPr="000E5786">
              <w:rPr>
                <w:rFonts w:ascii="Arial" w:hAnsi="Arial" w:cs="Arial"/>
                <w:sz w:val="20"/>
                <w:szCs w:val="20"/>
              </w:rPr>
              <w:t>Name, Telephone Number, Email Address</w:t>
            </w:r>
          </w:p>
        </w:tc>
      </w:tr>
      <w:tr w:rsidR="00D85F7C" w:rsidRPr="000E5786" w14:paraId="48C0E3A7" w14:textId="77777777" w:rsidTr="0022301F">
        <w:trPr>
          <w:trHeight w:val="449"/>
        </w:trPr>
        <w:tc>
          <w:tcPr>
            <w:tcW w:w="3404" w:type="dxa"/>
            <w:tcBorders>
              <w:top w:val="single" w:sz="4" w:space="0" w:color="000000"/>
              <w:left w:val="single" w:sz="4" w:space="0" w:color="000000"/>
              <w:bottom w:val="single" w:sz="4" w:space="0" w:color="000000"/>
              <w:right w:val="single" w:sz="4" w:space="0" w:color="000000"/>
            </w:tcBorders>
          </w:tcPr>
          <w:p w14:paraId="6CEBCB96" w14:textId="77777777" w:rsidR="00D85F7C" w:rsidRPr="008B38E6" w:rsidRDefault="00D85F7C" w:rsidP="00DD60F0">
            <w:pPr>
              <w:rPr>
                <w:rFonts w:ascii="Arial" w:hAnsi="Arial" w:cs="Arial"/>
                <w:b/>
                <w:bCs/>
                <w:sz w:val="20"/>
                <w:szCs w:val="20"/>
              </w:rPr>
            </w:pPr>
            <w:r w:rsidRPr="008B38E6">
              <w:rPr>
                <w:rFonts w:ascii="Arial" w:eastAsia="Verdana" w:hAnsi="Arial" w:cs="Arial"/>
                <w:b/>
                <w:bCs/>
                <w:sz w:val="20"/>
                <w:szCs w:val="20"/>
              </w:rPr>
              <w:t xml:space="preserve">Categories of Data Subject </w:t>
            </w:r>
          </w:p>
        </w:tc>
        <w:tc>
          <w:tcPr>
            <w:tcW w:w="4932" w:type="dxa"/>
            <w:tcBorders>
              <w:top w:val="single" w:sz="4" w:space="0" w:color="000000"/>
              <w:left w:val="single" w:sz="4" w:space="0" w:color="000000"/>
              <w:bottom w:val="single" w:sz="4" w:space="0" w:color="000000"/>
              <w:right w:val="single" w:sz="4" w:space="0" w:color="000000"/>
            </w:tcBorders>
          </w:tcPr>
          <w:p w14:paraId="2CEE3054" w14:textId="7964B34E" w:rsidR="00D85F7C" w:rsidRPr="000E5786" w:rsidRDefault="001F1C19" w:rsidP="008B38E6">
            <w:pPr>
              <w:ind w:left="75" w:right="124" w:firstLine="0"/>
              <w:rPr>
                <w:rFonts w:ascii="Arial" w:hAnsi="Arial" w:cs="Arial"/>
                <w:sz w:val="20"/>
                <w:szCs w:val="20"/>
              </w:rPr>
            </w:pPr>
            <w:proofErr w:type="spellStart"/>
            <w:r>
              <w:rPr>
                <w:rFonts w:ascii="Arial" w:hAnsi="Arial" w:cs="Arial"/>
                <w:sz w:val="20"/>
                <w:szCs w:val="20"/>
              </w:rPr>
              <w:t>Netlink</w:t>
            </w:r>
            <w:proofErr w:type="spellEnd"/>
            <w:r>
              <w:rPr>
                <w:rFonts w:ascii="Arial" w:hAnsi="Arial" w:cs="Arial"/>
                <w:sz w:val="20"/>
                <w:szCs w:val="20"/>
              </w:rPr>
              <w:t xml:space="preserve"> Star</w:t>
            </w:r>
            <w:r w:rsidR="00D85F7C" w:rsidRPr="000E5786">
              <w:rPr>
                <w:rFonts w:ascii="Arial" w:hAnsi="Arial" w:cs="Arial"/>
                <w:sz w:val="20"/>
                <w:szCs w:val="20"/>
              </w:rPr>
              <w:t xml:space="preserve"> personnel</w:t>
            </w:r>
          </w:p>
        </w:tc>
      </w:tr>
    </w:tbl>
    <w:p w14:paraId="2AEA4F0B" w14:textId="753BDEB4" w:rsidR="00846049" w:rsidRDefault="00846049" w:rsidP="003564A5">
      <w:pPr>
        <w:rPr>
          <w:rFonts w:cs="Arial"/>
          <w:szCs w:val="20"/>
        </w:rPr>
      </w:pPr>
    </w:p>
    <w:p w14:paraId="14DB8D04" w14:textId="77777777" w:rsidR="00846049" w:rsidRDefault="00846049">
      <w:pPr>
        <w:rPr>
          <w:rFonts w:cs="Arial"/>
          <w:szCs w:val="20"/>
        </w:rPr>
      </w:pPr>
      <w:r>
        <w:rPr>
          <w:rFonts w:cs="Arial"/>
          <w:szCs w:val="20"/>
        </w:rPr>
        <w:br w:type="page"/>
      </w:r>
    </w:p>
    <w:p w14:paraId="1B536E7C" w14:textId="3E19681A" w:rsidR="00846049" w:rsidRPr="000E5786" w:rsidRDefault="00846049" w:rsidP="00846049">
      <w:pPr>
        <w:ind w:left="1319" w:right="1311" w:hanging="10"/>
        <w:jc w:val="center"/>
        <w:rPr>
          <w:rFonts w:cs="Arial"/>
          <w:szCs w:val="20"/>
        </w:rPr>
      </w:pPr>
      <w:r w:rsidRPr="000E5786">
        <w:rPr>
          <w:rFonts w:eastAsia="Verdana" w:cs="Arial"/>
          <w:b/>
          <w:szCs w:val="20"/>
        </w:rPr>
        <w:lastRenderedPageBreak/>
        <w:t>SCHEDULE 1</w:t>
      </w:r>
      <w:r>
        <w:rPr>
          <w:rFonts w:eastAsia="Verdana" w:cs="Arial"/>
          <w:b/>
          <w:szCs w:val="20"/>
        </w:rPr>
        <w:t>3</w:t>
      </w:r>
      <w:r w:rsidRPr="000E5786">
        <w:rPr>
          <w:rFonts w:eastAsia="Verdana" w:cs="Arial"/>
          <w:b/>
          <w:szCs w:val="20"/>
        </w:rPr>
        <w:t xml:space="preserve"> </w:t>
      </w:r>
    </w:p>
    <w:p w14:paraId="4433C557" w14:textId="77777777" w:rsidR="00846049" w:rsidRPr="00C0214D" w:rsidRDefault="00846049" w:rsidP="008B6AF5">
      <w:pPr>
        <w:ind w:left="58"/>
        <w:jc w:val="center"/>
        <w:rPr>
          <w:rFonts w:cs="Arial"/>
          <w:szCs w:val="20"/>
        </w:rPr>
      </w:pPr>
      <w:r w:rsidRPr="00C0214D">
        <w:rPr>
          <w:rFonts w:eastAsia="Verdana" w:cs="Arial"/>
          <w:b/>
          <w:bCs/>
          <w:szCs w:val="20"/>
        </w:rPr>
        <w:t xml:space="preserve">SCHEDULE OF POST TENDER AMENDMENTS </w:t>
      </w:r>
    </w:p>
    <w:p w14:paraId="0C567F31" w14:textId="77777777" w:rsidR="00846049" w:rsidRPr="00C0214D" w:rsidRDefault="00846049" w:rsidP="008B6AF5">
      <w:pPr>
        <w:contextualSpacing/>
        <w:rPr>
          <w:rFonts w:eastAsia="Verdana" w:cs="Arial"/>
          <w:b/>
          <w:szCs w:val="20"/>
        </w:rPr>
      </w:pPr>
    </w:p>
    <w:tbl>
      <w:tblPr>
        <w:tblStyle w:val="TableGrid1"/>
        <w:tblW w:w="10632" w:type="dxa"/>
        <w:tblInd w:w="-856" w:type="dxa"/>
        <w:tblCellMar>
          <w:left w:w="107" w:type="dxa"/>
          <w:right w:w="115" w:type="dxa"/>
        </w:tblCellMar>
        <w:tblLook w:val="04A0" w:firstRow="1" w:lastRow="0" w:firstColumn="1" w:lastColumn="0" w:noHBand="0" w:noVBand="1"/>
      </w:tblPr>
      <w:tblGrid>
        <w:gridCol w:w="2552"/>
        <w:gridCol w:w="8080"/>
      </w:tblGrid>
      <w:tr w:rsidR="00846049" w:rsidRPr="00C0214D" w14:paraId="72A0A3B7" w14:textId="77777777" w:rsidTr="008B6AF5">
        <w:trPr>
          <w:trHeight w:val="466"/>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tcPr>
          <w:p w14:paraId="6D5A3252" w14:textId="77777777" w:rsidR="00846049" w:rsidRPr="00C0214D" w:rsidRDefault="00846049" w:rsidP="008B6AF5">
            <w:pPr>
              <w:spacing w:after="120"/>
              <w:rPr>
                <w:rFonts w:ascii="Arial" w:hAnsi="Arial" w:cs="Arial"/>
                <w:sz w:val="20"/>
                <w:szCs w:val="20"/>
              </w:rPr>
            </w:pPr>
            <w:r w:rsidRPr="00C0214D">
              <w:rPr>
                <w:rFonts w:ascii="Arial" w:eastAsia="Verdana" w:hAnsi="Arial" w:cs="Arial"/>
                <w:b/>
                <w:sz w:val="20"/>
                <w:szCs w:val="20"/>
              </w:rPr>
              <w:t xml:space="preserve">Reference </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ADADB"/>
          </w:tcPr>
          <w:p w14:paraId="3849647B" w14:textId="77777777" w:rsidR="00846049" w:rsidRPr="00C0214D" w:rsidRDefault="00846049" w:rsidP="008B6AF5">
            <w:pPr>
              <w:spacing w:after="120"/>
              <w:rPr>
                <w:rFonts w:ascii="Arial" w:hAnsi="Arial" w:cs="Arial"/>
                <w:sz w:val="20"/>
                <w:szCs w:val="20"/>
              </w:rPr>
            </w:pPr>
            <w:r w:rsidRPr="00C0214D">
              <w:rPr>
                <w:rFonts w:ascii="Arial" w:eastAsia="Verdana" w:hAnsi="Arial" w:cs="Arial"/>
                <w:b/>
                <w:sz w:val="20"/>
                <w:szCs w:val="20"/>
              </w:rPr>
              <w:t xml:space="preserve">Amendment </w:t>
            </w:r>
          </w:p>
        </w:tc>
      </w:tr>
      <w:tr w:rsidR="00846049" w:rsidRPr="00C0214D" w14:paraId="29E015BD" w14:textId="77777777" w:rsidTr="008B6AF5">
        <w:trPr>
          <w:trHeight w:val="165"/>
        </w:trPr>
        <w:tc>
          <w:tcPr>
            <w:tcW w:w="106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585F0" w14:textId="77777777" w:rsidR="00846049" w:rsidRPr="00C0214D" w:rsidRDefault="00846049" w:rsidP="008B6AF5">
            <w:pPr>
              <w:spacing w:after="120"/>
              <w:jc w:val="center"/>
              <w:rPr>
                <w:rFonts w:ascii="Arial" w:eastAsia="Verdana" w:hAnsi="Arial" w:cs="Arial"/>
                <w:b/>
                <w:bCs/>
                <w:sz w:val="20"/>
                <w:szCs w:val="20"/>
              </w:rPr>
            </w:pPr>
            <w:r w:rsidRPr="00C0214D">
              <w:rPr>
                <w:rFonts w:ascii="Arial" w:eastAsia="Verdana" w:hAnsi="Arial" w:cs="Arial"/>
                <w:b/>
                <w:bCs/>
                <w:sz w:val="20"/>
                <w:szCs w:val="20"/>
              </w:rPr>
              <w:t>Cross-reference updates</w:t>
            </w:r>
          </w:p>
        </w:tc>
      </w:tr>
      <w:tr w:rsidR="00846049" w:rsidRPr="00C0214D" w14:paraId="0504FC7D"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AECD6D" w14:textId="7A1C3DC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Clauses 1.5.2, 5.13.4, 8.1.2 &amp; 17.11.2</w:t>
            </w:r>
            <w:r w:rsidR="00571499">
              <w:rPr>
                <w:rFonts w:ascii="Arial" w:eastAsia="Verdana" w:hAnsi="Arial" w:cs="Arial"/>
                <w:b/>
                <w:sz w:val="20"/>
                <w:szCs w:val="20"/>
              </w:rPr>
              <w:t xml:space="preserve"> and all other references to Schedule 2.2 (Performance Levels)</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B994E"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Each reference to “Schedule 2.2 (Performance Levels)” shall be deleted and replaced with “Schedule 2.2 (Service Levels)”.</w:t>
            </w:r>
          </w:p>
        </w:tc>
      </w:tr>
      <w:tr w:rsidR="00846049" w:rsidRPr="00C0214D" w14:paraId="46B3F199"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56EEE6" w14:textId="688B69A3"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Clauses 5.5.3(b), 16.1.2(b), 16.1.2(d) &amp; 23.9</w:t>
            </w:r>
            <w:r w:rsidR="00571499">
              <w:rPr>
                <w:rFonts w:ascii="Arial" w:eastAsia="Verdana" w:hAnsi="Arial" w:cs="Arial"/>
                <w:b/>
                <w:sz w:val="20"/>
                <w:szCs w:val="20"/>
              </w:rPr>
              <w:t xml:space="preserve"> and all other references to Schedule 2.4</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7BCD4"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Each reference to “Schedule 2.4 (Security Management)” shall be deleted and replaced with a reference to “Schedule 2.6 (Security Management)”.</w:t>
            </w:r>
          </w:p>
        </w:tc>
      </w:tr>
      <w:tr w:rsidR="00A20CD5" w:rsidRPr="00C0214D" w14:paraId="675E55CD"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0DACD" w14:textId="4BCB5613" w:rsidR="00A20CD5" w:rsidRPr="003E7ACB" w:rsidRDefault="00A20CD5" w:rsidP="008B6AF5">
            <w:pPr>
              <w:rPr>
                <w:rFonts w:ascii="Arial" w:eastAsia="Verdana" w:hAnsi="Arial" w:cs="Arial"/>
                <w:b/>
                <w:sz w:val="20"/>
                <w:szCs w:val="18"/>
              </w:rPr>
            </w:pPr>
            <w:r w:rsidRPr="003E7ACB">
              <w:rPr>
                <w:rFonts w:ascii="Arial" w:eastAsia="Verdana" w:hAnsi="Arial" w:cs="Arial"/>
                <w:b/>
                <w:sz w:val="20"/>
                <w:szCs w:val="18"/>
              </w:rPr>
              <w:t>Clause 5.57</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339F1C" w14:textId="77777777" w:rsidR="00A20CD5" w:rsidRPr="003E7ACB" w:rsidRDefault="00A20CD5" w:rsidP="008B6AF5">
            <w:pPr>
              <w:rPr>
                <w:rFonts w:ascii="Arial" w:eastAsia="Verdana" w:hAnsi="Arial" w:cs="Arial"/>
                <w:sz w:val="20"/>
                <w:szCs w:val="18"/>
              </w:rPr>
            </w:pPr>
            <w:r w:rsidRPr="003E7ACB">
              <w:rPr>
                <w:rFonts w:ascii="Arial" w:eastAsia="Verdana" w:hAnsi="Arial" w:cs="Arial"/>
                <w:sz w:val="20"/>
                <w:szCs w:val="18"/>
              </w:rPr>
              <w:t>Clause 5.5.7 shall be deleted and replaced with the following:</w:t>
            </w:r>
          </w:p>
          <w:p w14:paraId="6A6BC904" w14:textId="273F9E24" w:rsidR="00A20CD5" w:rsidRPr="003E7ACB" w:rsidRDefault="00A20CD5" w:rsidP="00A20CD5">
            <w:pPr>
              <w:pStyle w:val="Heading3"/>
              <w:numPr>
                <w:ilvl w:val="0"/>
                <w:numId w:val="0"/>
              </w:numPr>
              <w:rPr>
                <w:rFonts w:ascii="Arial" w:hAnsi="Arial"/>
                <w:sz w:val="20"/>
                <w:szCs w:val="18"/>
              </w:rPr>
            </w:pPr>
            <w:r w:rsidRPr="003E7ACB">
              <w:rPr>
                <w:rFonts w:ascii="Arial" w:hAnsi="Arial"/>
                <w:sz w:val="20"/>
                <w:szCs w:val="18"/>
              </w:rPr>
              <w:t>“</w:t>
            </w:r>
            <w:proofErr w:type="gramStart"/>
            <w:r w:rsidRPr="003E7ACB">
              <w:rPr>
                <w:rFonts w:ascii="Arial" w:hAnsi="Arial"/>
                <w:sz w:val="20"/>
                <w:szCs w:val="18"/>
              </w:rPr>
              <w:t>where</w:t>
            </w:r>
            <w:proofErr w:type="gramEnd"/>
            <w:r w:rsidRPr="003E7ACB">
              <w:rPr>
                <w:rFonts w:ascii="Arial" w:hAnsi="Arial"/>
                <w:sz w:val="20"/>
                <w:szCs w:val="18"/>
              </w:rPr>
              <w:t xml:space="preserve"> requested to do so by </w:t>
            </w:r>
            <w:proofErr w:type="spellStart"/>
            <w:r w:rsidR="001F1C19">
              <w:rPr>
                <w:rFonts w:ascii="Arial" w:hAnsi="Arial"/>
                <w:sz w:val="20"/>
                <w:szCs w:val="18"/>
              </w:rPr>
              <w:t>Netlink</w:t>
            </w:r>
            <w:proofErr w:type="spellEnd"/>
            <w:r w:rsidR="001F1C19">
              <w:rPr>
                <w:rFonts w:ascii="Arial" w:hAnsi="Arial"/>
                <w:sz w:val="20"/>
                <w:szCs w:val="18"/>
              </w:rPr>
              <w:t xml:space="preserve"> Star</w:t>
            </w:r>
            <w:r w:rsidRPr="003E7ACB">
              <w:rPr>
                <w:rFonts w:ascii="Arial" w:hAnsi="Arial"/>
                <w:sz w:val="20"/>
                <w:szCs w:val="18"/>
              </w:rPr>
              <w:t>, enter into and comply with the terms of the Collaboration Agreement or enter into and comply with a collaboration agreement in a substantially similar form to that appended hereto at Appendix 1;”</w:t>
            </w:r>
          </w:p>
          <w:p w14:paraId="6B16DE62" w14:textId="7DCCA71A" w:rsidR="00A20CD5" w:rsidRPr="003E7ACB" w:rsidRDefault="00A20CD5" w:rsidP="008B6AF5">
            <w:pPr>
              <w:rPr>
                <w:rFonts w:ascii="Arial" w:eastAsia="Verdana" w:hAnsi="Arial" w:cs="Arial"/>
                <w:sz w:val="20"/>
                <w:szCs w:val="18"/>
              </w:rPr>
            </w:pPr>
          </w:p>
        </w:tc>
      </w:tr>
      <w:tr w:rsidR="00846049" w:rsidRPr="00C0214D" w14:paraId="6220EE16"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85998"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5.5.16</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A1DBFB"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Clause 5.5.16 shall be deleted and replaced with the following:</w:t>
            </w:r>
          </w:p>
          <w:p w14:paraId="46811C21"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w:t>
            </w:r>
            <w:proofErr w:type="gramStart"/>
            <w:r w:rsidRPr="00C0214D">
              <w:rPr>
                <w:rFonts w:ascii="Arial" w:eastAsia="Verdana" w:hAnsi="Arial" w:cs="Arial"/>
                <w:sz w:val="20"/>
                <w:szCs w:val="20"/>
              </w:rPr>
              <w:t>comply</w:t>
            </w:r>
            <w:proofErr w:type="gramEnd"/>
            <w:r w:rsidRPr="00C0214D">
              <w:rPr>
                <w:rFonts w:ascii="Arial" w:eastAsia="Verdana" w:hAnsi="Arial" w:cs="Arial"/>
                <w:sz w:val="20"/>
                <w:szCs w:val="20"/>
              </w:rPr>
              <w:t xml:space="preserve"> with their respective responsibilities as set out in the RACI Matrix set out in any Project Sheet specific to a Project.”</w:t>
            </w:r>
          </w:p>
        </w:tc>
      </w:tr>
      <w:tr w:rsidR="00846049" w:rsidRPr="00C0214D" w14:paraId="096AF863"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AA280" w14:textId="20F1E82E"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6.4</w:t>
            </w:r>
            <w:r w:rsidR="00571499">
              <w:rPr>
                <w:rFonts w:ascii="Arial" w:eastAsia="Verdana" w:hAnsi="Arial" w:cs="Arial"/>
                <w:b/>
                <w:sz w:val="20"/>
                <w:szCs w:val="20"/>
              </w:rPr>
              <w:t xml:space="preserve"> and all other references to Schedule 6.1</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8E08A"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The reference to “Schedule 6.1 (Integration Plan)” shall be deleted and replaced with a reference to “Schedule 6.4 (Initial Transition Project)”.</w:t>
            </w:r>
          </w:p>
        </w:tc>
      </w:tr>
      <w:tr w:rsidR="00846049" w:rsidRPr="00C0214D" w14:paraId="3B01E7DF"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790CE" w14:textId="01F58F75"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6.7</w:t>
            </w:r>
            <w:r w:rsidR="00571499">
              <w:rPr>
                <w:rFonts w:ascii="Arial" w:eastAsia="Verdana" w:hAnsi="Arial" w:cs="Arial"/>
                <w:b/>
                <w:sz w:val="20"/>
                <w:szCs w:val="20"/>
              </w:rPr>
              <w:t xml:space="preserve"> and all other references to Schedule 6.2</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B1A6E"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The reference to “Schedule 6.2 (Testing Procedures)” shall be deleted and replaced with a reference to “Schedule 6.3 (Testing Procedures)”.</w:t>
            </w:r>
          </w:p>
        </w:tc>
      </w:tr>
      <w:tr w:rsidR="00846049" w:rsidRPr="00C0214D" w14:paraId="1D21CB48"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91DDE" w14:textId="3F021F16"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7.1</w:t>
            </w:r>
            <w:r w:rsidR="00571499">
              <w:rPr>
                <w:rFonts w:ascii="Arial" w:eastAsia="Verdana" w:hAnsi="Arial" w:cs="Arial"/>
                <w:b/>
                <w:sz w:val="20"/>
                <w:szCs w:val="20"/>
              </w:rPr>
              <w:t xml:space="preserve"> and all other references to Schedule 6.3</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BAEE7"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The reference to “Schedule 6.3” shall be deleted and replaced with a reference to “Schedule 6.5 (Migration Project)”.</w:t>
            </w:r>
          </w:p>
        </w:tc>
      </w:tr>
      <w:tr w:rsidR="00846049" w:rsidRPr="00C0214D" w14:paraId="08350A2C"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04A45" w14:textId="0D6ED80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11.7.1</w:t>
            </w:r>
            <w:r w:rsidR="00571499">
              <w:rPr>
                <w:rFonts w:ascii="Arial" w:eastAsia="Verdana" w:hAnsi="Arial" w:cs="Arial"/>
                <w:b/>
                <w:sz w:val="20"/>
                <w:szCs w:val="20"/>
              </w:rPr>
              <w:t xml:space="preserve"> and all other references to Schedule 7.1</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AE0CFD"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The reference to “Schedule 7.1 Charges and Invoicing” shall be deleted and replaced with a reference to “Schedule 7.1 (Charges and Invoicing)”.</w:t>
            </w:r>
          </w:p>
        </w:tc>
      </w:tr>
      <w:tr w:rsidR="00846049" w:rsidRPr="00C0214D" w14:paraId="756AA007"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D3FFAA" w14:textId="581D4CB6"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Clauses 12.3, 14, 37.1 &amp; 43.5</w:t>
            </w:r>
            <w:r w:rsidR="00571499">
              <w:rPr>
                <w:rFonts w:ascii="Arial" w:eastAsia="Verdana" w:hAnsi="Arial" w:cs="Arial"/>
                <w:b/>
                <w:sz w:val="20"/>
                <w:szCs w:val="20"/>
              </w:rPr>
              <w:t xml:space="preserve"> and all other references to clause 14</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41A1C"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Each reference to clause 14 shall be amended from “14 (Records, Reports, Audits and Open Book Data)” to “14 (Records, Reports &amp; Audits)”.</w:t>
            </w:r>
          </w:p>
        </w:tc>
      </w:tr>
      <w:tr w:rsidR="00846049" w:rsidRPr="00C0214D" w14:paraId="2D8345B7"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A100D" w14:textId="2450C5A0"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Clauses 13.3 &amp; 16.3</w:t>
            </w:r>
            <w:r w:rsidR="00571499">
              <w:rPr>
                <w:rFonts w:ascii="Arial" w:eastAsia="Verdana" w:hAnsi="Arial" w:cs="Arial"/>
                <w:b/>
                <w:sz w:val="20"/>
                <w:szCs w:val="20"/>
              </w:rPr>
              <w:t xml:space="preserve"> and all other references to Schedule 9.2</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967E97"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Each reference to “Schedule 9.2 (Key Personnel)” shall be deleted and replaced with “Schedule 9.1 (Key Personnel)”.</w:t>
            </w:r>
          </w:p>
        </w:tc>
      </w:tr>
      <w:tr w:rsidR="00846049" w:rsidRPr="00C0214D" w14:paraId="4BF78CA9"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655AC" w14:textId="69D82B82"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Clauses 16.1.3, 16.9.1, 16.9.2, 16.9.3 &amp; 47.1</w:t>
            </w:r>
            <w:r w:rsidR="00571499">
              <w:rPr>
                <w:rFonts w:ascii="Arial" w:eastAsia="Verdana" w:hAnsi="Arial" w:cs="Arial"/>
                <w:b/>
                <w:sz w:val="20"/>
                <w:szCs w:val="20"/>
              </w:rPr>
              <w:t xml:space="preserve"> and all other references to Schedule 9.1</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1794F"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Each reference to “Schedule 9.1 (Staff Transfer)” shall be deleted and replaced with “Schedule 11 (Staff Transfer)”.</w:t>
            </w:r>
          </w:p>
        </w:tc>
      </w:tr>
      <w:tr w:rsidR="00846049" w:rsidRPr="00C0214D" w14:paraId="6D1D440D"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DC1BBD" w14:textId="252FA3B5"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17.8.5(e)</w:t>
            </w:r>
            <w:r w:rsidR="00571499">
              <w:rPr>
                <w:rFonts w:ascii="Arial" w:eastAsia="Verdana" w:hAnsi="Arial" w:cs="Arial"/>
                <w:b/>
                <w:sz w:val="20"/>
                <w:szCs w:val="20"/>
              </w:rPr>
              <w:t xml:space="preserve"> and all other references to Schedule 7.5</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11488"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The reference to “Schedule 7.5 (Financial Reports)” shall be deleted and replaced with “Schedule 7.6 (Financial Reports)”.</w:t>
            </w:r>
          </w:p>
        </w:tc>
      </w:tr>
      <w:tr w:rsidR="00846049" w:rsidRPr="00C0214D" w14:paraId="64FE9FC9"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C88BBB"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17.8.6</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53E41"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Clause 17.8.6 shall be deleted and replaced with the following:</w:t>
            </w:r>
          </w:p>
          <w:p w14:paraId="2C521BBB" w14:textId="427F6C8F"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lastRenderedPageBreak/>
              <w:t>“</w:t>
            </w:r>
            <w:proofErr w:type="gramStart"/>
            <w:r w:rsidRPr="00C0214D">
              <w:rPr>
                <w:rFonts w:ascii="Arial" w:eastAsia="Verdana" w:hAnsi="Arial" w:cs="Arial"/>
                <w:sz w:val="20"/>
                <w:szCs w:val="20"/>
              </w:rPr>
              <w:t>provisions</w:t>
            </w:r>
            <w:proofErr w:type="gramEnd"/>
            <w:r w:rsidRPr="00C0214D">
              <w:rPr>
                <w:rFonts w:ascii="Arial" w:eastAsia="Verdana" w:hAnsi="Arial" w:cs="Arial"/>
                <w:sz w:val="20"/>
                <w:szCs w:val="20"/>
              </w:rPr>
              <w:t xml:space="preserve"> enabling the Supplier to terminate the Key Sub-contract on notice on terms no more onerous on the Supplier than those imposed on </w:t>
            </w:r>
            <w:proofErr w:type="spellStart"/>
            <w:r w:rsidR="001F1C19">
              <w:rPr>
                <w:rFonts w:ascii="Arial" w:eastAsia="Verdana" w:hAnsi="Arial" w:cs="Arial"/>
                <w:sz w:val="20"/>
                <w:szCs w:val="20"/>
              </w:rPr>
              <w:t>Netlink</w:t>
            </w:r>
            <w:proofErr w:type="spellEnd"/>
            <w:r w:rsidR="001F1C19">
              <w:rPr>
                <w:rFonts w:ascii="Arial" w:eastAsia="Verdana" w:hAnsi="Arial" w:cs="Arial"/>
                <w:sz w:val="20"/>
                <w:szCs w:val="20"/>
              </w:rPr>
              <w:t xml:space="preserve"> Star</w:t>
            </w:r>
            <w:r w:rsidRPr="00C0214D">
              <w:rPr>
                <w:rFonts w:ascii="Arial" w:eastAsia="Verdana" w:hAnsi="Arial" w:cs="Arial"/>
                <w:sz w:val="20"/>
                <w:szCs w:val="20"/>
              </w:rPr>
              <w:t xml:space="preserve"> under clauses 36.1 (Termination by </w:t>
            </w:r>
            <w:proofErr w:type="spellStart"/>
            <w:r w:rsidR="001F1C19">
              <w:rPr>
                <w:rFonts w:ascii="Arial" w:eastAsia="Verdana" w:hAnsi="Arial" w:cs="Arial"/>
                <w:sz w:val="20"/>
                <w:szCs w:val="20"/>
              </w:rPr>
              <w:t>Netlink</w:t>
            </w:r>
            <w:proofErr w:type="spellEnd"/>
            <w:r w:rsidR="001F1C19">
              <w:rPr>
                <w:rFonts w:ascii="Arial" w:eastAsia="Verdana" w:hAnsi="Arial" w:cs="Arial"/>
                <w:sz w:val="20"/>
                <w:szCs w:val="20"/>
              </w:rPr>
              <w:t xml:space="preserve"> Star</w:t>
            </w:r>
            <w:r w:rsidRPr="00C0214D">
              <w:rPr>
                <w:rFonts w:ascii="Arial" w:eastAsia="Verdana" w:hAnsi="Arial" w:cs="Arial"/>
                <w:sz w:val="20"/>
                <w:szCs w:val="20"/>
              </w:rPr>
              <w:t xml:space="preserve">), 37.4 (Payments by </w:t>
            </w:r>
            <w:proofErr w:type="spellStart"/>
            <w:r w:rsidR="001F1C19">
              <w:rPr>
                <w:rFonts w:ascii="Arial" w:eastAsia="Verdana" w:hAnsi="Arial" w:cs="Arial"/>
                <w:sz w:val="20"/>
                <w:szCs w:val="20"/>
              </w:rPr>
              <w:t>Netlink</w:t>
            </w:r>
            <w:proofErr w:type="spellEnd"/>
            <w:r w:rsidR="001F1C19">
              <w:rPr>
                <w:rFonts w:ascii="Arial" w:eastAsia="Verdana" w:hAnsi="Arial" w:cs="Arial"/>
                <w:sz w:val="20"/>
                <w:szCs w:val="20"/>
              </w:rPr>
              <w:t xml:space="preserve"> Star</w:t>
            </w:r>
            <w:r w:rsidRPr="00C0214D">
              <w:rPr>
                <w:rFonts w:ascii="Arial" w:eastAsia="Verdana" w:hAnsi="Arial" w:cs="Arial"/>
                <w:sz w:val="20"/>
                <w:szCs w:val="20"/>
              </w:rPr>
              <w:t>) and 37 (Consequences of Termination) of this Agreement;”</w:t>
            </w:r>
          </w:p>
        </w:tc>
      </w:tr>
      <w:tr w:rsidR="00846049" w:rsidRPr="00C0214D" w14:paraId="0944ACEB"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4CD78" w14:textId="69D3F5F2"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lastRenderedPageBreak/>
              <w:t>Clause 28.9.6</w:t>
            </w:r>
            <w:r w:rsidR="00571499">
              <w:rPr>
                <w:rFonts w:ascii="Arial" w:eastAsia="Verdana" w:hAnsi="Arial" w:cs="Arial"/>
                <w:b/>
                <w:sz w:val="20"/>
                <w:szCs w:val="20"/>
              </w:rPr>
              <w:t xml:space="preserve"> and all other references to Schedule 7.6</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B3A34"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The reference to “Schedule 7.6 (Anticipated Savings)” shall be deleted and replaced with “Schedule 7.7 (Anticipated Savings)”.</w:t>
            </w:r>
          </w:p>
        </w:tc>
      </w:tr>
      <w:tr w:rsidR="00846049" w:rsidRPr="00C0214D" w14:paraId="635ADAB0"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A668C" w14:textId="45C52815"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29 (Insurance)</w:t>
            </w:r>
            <w:r w:rsidR="00571499">
              <w:rPr>
                <w:rFonts w:ascii="Arial" w:eastAsia="Verdana" w:hAnsi="Arial" w:cs="Arial"/>
                <w:b/>
                <w:sz w:val="20"/>
                <w:szCs w:val="20"/>
              </w:rPr>
              <w:t xml:space="preserve"> and all other references to Schedule 2.5</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CE505"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The reference to “Schedule 2.5 (Insurance Requirements)” shall be deleted and replaced with “Schedule 2.7 (Insurance Requirements)”.</w:t>
            </w:r>
          </w:p>
        </w:tc>
      </w:tr>
      <w:tr w:rsidR="00846049" w:rsidRPr="00C0214D" w14:paraId="5F897C46"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48507"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37.3</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F03763" w14:textId="6F50D183"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The reference to “</w:t>
            </w:r>
            <w:r w:rsidR="00AD395C" w:rsidRPr="00C0214D">
              <w:rPr>
                <w:rFonts w:ascii="Arial" w:eastAsia="Verdana" w:hAnsi="Arial" w:cs="Arial"/>
                <w:sz w:val="20"/>
                <w:szCs w:val="20"/>
              </w:rPr>
              <w:t xml:space="preserve">clause </w:t>
            </w:r>
            <w:r w:rsidRPr="00C0214D">
              <w:rPr>
                <w:rFonts w:ascii="Arial" w:eastAsia="Verdana" w:hAnsi="Arial" w:cs="Arial"/>
                <w:sz w:val="20"/>
                <w:szCs w:val="20"/>
              </w:rPr>
              <w:t>36.1” shall be deleted and replaced with “</w:t>
            </w:r>
            <w:r w:rsidR="00AD395C" w:rsidRPr="00C0214D">
              <w:rPr>
                <w:rFonts w:ascii="Arial" w:eastAsia="Verdana" w:hAnsi="Arial" w:cs="Arial"/>
                <w:sz w:val="20"/>
                <w:szCs w:val="20"/>
              </w:rPr>
              <w:t xml:space="preserve">clause </w:t>
            </w:r>
            <w:r w:rsidRPr="00C0214D">
              <w:rPr>
                <w:rFonts w:ascii="Arial" w:eastAsia="Verdana" w:hAnsi="Arial" w:cs="Arial"/>
                <w:sz w:val="20"/>
                <w:szCs w:val="20"/>
              </w:rPr>
              <w:t>36.1.1”</w:t>
            </w:r>
          </w:p>
        </w:tc>
      </w:tr>
      <w:tr w:rsidR="00846049" w:rsidRPr="00C0214D" w14:paraId="30F9F3B5"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162D2"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37.4</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E8E083"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The reference to “clauses 36.1.1, 36.1.3 and/or 36.2” shall be deleted and replaced with “clauses 36.1.2, 36.1.3 and/or 36.2”</w:t>
            </w:r>
          </w:p>
        </w:tc>
      </w:tr>
      <w:tr w:rsidR="00846049" w:rsidRPr="00C0214D" w14:paraId="2F34F0B0" w14:textId="77777777" w:rsidTr="008B6AF5">
        <w:trPr>
          <w:trHeight w:val="90"/>
        </w:trPr>
        <w:tc>
          <w:tcPr>
            <w:tcW w:w="106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0732CF" w14:textId="77777777" w:rsidR="00846049" w:rsidRPr="00C0214D" w:rsidRDefault="00846049" w:rsidP="008B6AF5">
            <w:pPr>
              <w:spacing w:after="120"/>
              <w:jc w:val="center"/>
              <w:rPr>
                <w:rFonts w:ascii="Arial" w:eastAsia="Verdana" w:hAnsi="Arial" w:cs="Arial"/>
                <w:sz w:val="20"/>
                <w:szCs w:val="20"/>
              </w:rPr>
            </w:pPr>
            <w:r w:rsidRPr="00C0214D">
              <w:rPr>
                <w:rFonts w:ascii="Arial" w:eastAsia="Verdana" w:hAnsi="Arial" w:cs="Arial"/>
                <w:b/>
                <w:bCs/>
                <w:sz w:val="20"/>
                <w:szCs w:val="20"/>
              </w:rPr>
              <w:t>Definitions amendments</w:t>
            </w:r>
          </w:p>
        </w:tc>
      </w:tr>
      <w:tr w:rsidR="00846049" w:rsidRPr="00C0214D" w14:paraId="6EAD8F5B"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26057"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Clauses 16.5.3, 17.10.2, 17.13.1(d) &amp; 43.3.5</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6A6E5"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Each reference to “Subcontractor” shall be deleted and replaced with “Sub-contractor”.</w:t>
            </w:r>
          </w:p>
        </w:tc>
      </w:tr>
      <w:tr w:rsidR="00846049" w:rsidRPr="00C0214D" w14:paraId="6CD57EF1"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1931E"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17.13.2</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59F85"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The reference to “Key Subcontractor” shall be deleted and replaced with “Key Sub-contractor”.</w:t>
            </w:r>
          </w:p>
        </w:tc>
      </w:tr>
      <w:tr w:rsidR="00846049" w:rsidRPr="00C0214D" w14:paraId="43740234"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3C448"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17.20</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3DEB2D"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 xml:space="preserve">The reference to “Relevant </w:t>
            </w:r>
            <w:proofErr w:type="spellStart"/>
            <w:r w:rsidRPr="00C0214D">
              <w:rPr>
                <w:rFonts w:ascii="Arial" w:eastAsia="Verdana" w:hAnsi="Arial" w:cs="Arial"/>
                <w:sz w:val="20"/>
                <w:szCs w:val="20"/>
              </w:rPr>
              <w:t>SubContractors</w:t>
            </w:r>
            <w:proofErr w:type="spellEnd"/>
            <w:r w:rsidRPr="00C0214D">
              <w:rPr>
                <w:rFonts w:ascii="Arial" w:eastAsia="Verdana" w:hAnsi="Arial" w:cs="Arial"/>
                <w:sz w:val="20"/>
                <w:szCs w:val="20"/>
              </w:rPr>
              <w:t>” shall be deleted and replaced with “Relevant Sub-contractors”.</w:t>
            </w:r>
          </w:p>
        </w:tc>
      </w:tr>
      <w:tr w:rsidR="00846049" w:rsidRPr="00C0214D" w14:paraId="189EDF7E" w14:textId="77777777" w:rsidTr="008B6AF5">
        <w:trPr>
          <w:trHeight w:val="325"/>
        </w:trPr>
        <w:tc>
          <w:tcPr>
            <w:tcW w:w="1063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854B19" w14:textId="77777777" w:rsidR="00846049" w:rsidRPr="00C0214D" w:rsidRDefault="00846049" w:rsidP="008B6AF5">
            <w:pPr>
              <w:spacing w:after="120"/>
              <w:jc w:val="center"/>
              <w:rPr>
                <w:rFonts w:ascii="Arial" w:eastAsia="Verdana" w:hAnsi="Arial" w:cs="Arial"/>
                <w:sz w:val="20"/>
                <w:szCs w:val="20"/>
              </w:rPr>
            </w:pPr>
            <w:r w:rsidRPr="00C0214D">
              <w:rPr>
                <w:rFonts w:ascii="Arial" w:eastAsia="Verdana" w:hAnsi="Arial" w:cs="Arial"/>
                <w:b/>
                <w:bCs/>
                <w:sz w:val="20"/>
                <w:szCs w:val="20"/>
              </w:rPr>
              <w:t>Substantive</w:t>
            </w:r>
            <w:r w:rsidRPr="00C0214D">
              <w:rPr>
                <w:rFonts w:ascii="Arial" w:eastAsia="Verdana" w:hAnsi="Arial" w:cs="Arial"/>
                <w:sz w:val="20"/>
                <w:szCs w:val="20"/>
              </w:rPr>
              <w:t xml:space="preserve"> </w:t>
            </w:r>
            <w:r w:rsidRPr="00C0214D">
              <w:rPr>
                <w:rFonts w:ascii="Arial" w:eastAsia="Verdana" w:hAnsi="Arial" w:cs="Arial"/>
                <w:b/>
                <w:bCs/>
                <w:sz w:val="20"/>
                <w:szCs w:val="20"/>
              </w:rPr>
              <w:t>amendments</w:t>
            </w:r>
          </w:p>
        </w:tc>
      </w:tr>
      <w:tr w:rsidR="00846049" w:rsidRPr="00C0214D" w14:paraId="53D782A3"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F09D59"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1.2.9</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11821"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Clause 1.2.9 shall be deleted and replaced with the following:</w:t>
            </w:r>
          </w:p>
          <w:p w14:paraId="3E9777B0"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w:t>
            </w:r>
            <w:proofErr w:type="gramStart"/>
            <w:r w:rsidRPr="00C0214D">
              <w:rPr>
                <w:rFonts w:ascii="Arial" w:eastAsia="Verdana" w:hAnsi="Arial" w:cs="Arial"/>
                <w:sz w:val="20"/>
                <w:szCs w:val="20"/>
              </w:rPr>
              <w:t>unless</w:t>
            </w:r>
            <w:proofErr w:type="gramEnd"/>
            <w:r w:rsidRPr="00C0214D">
              <w:rPr>
                <w:rFonts w:ascii="Arial" w:eastAsia="Verdana" w:hAnsi="Arial" w:cs="Arial"/>
                <w:sz w:val="20"/>
                <w:szCs w:val="20"/>
              </w:rPr>
              <w:t xml:space="preserve"> otherwise provided and save for references in Annexes 1 to 3 of Schedule 5 (Software), references to clauses and Schedules are references to the clauses and schedules of this Agreement and references in any Schedule to Paragraphs, Parts and Annexes are, unless otherwise provided, references to the paragraphs, parts and annexes of the Schedule or the Part of the Schedule in which the references appear; and”</w:t>
            </w:r>
          </w:p>
        </w:tc>
      </w:tr>
      <w:tr w:rsidR="00846049" w:rsidRPr="00C0214D" w14:paraId="42C8F100"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B900B"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4.1.2</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1ADE4" w14:textId="222A502A"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 xml:space="preserve">Delete “provided that the aggregate duration of any Extension Periods shall be no longer than 5 years” and replace with “provided that the aggregate duration of the Initial Term and any Extension Periods shall be no longer than </w:t>
            </w:r>
            <w:r w:rsidR="00AD395C">
              <w:rPr>
                <w:rFonts w:ascii="Arial" w:eastAsia="Verdana" w:hAnsi="Arial" w:cs="Arial"/>
                <w:sz w:val="20"/>
                <w:szCs w:val="20"/>
              </w:rPr>
              <w:t>five (</w:t>
            </w:r>
            <w:r w:rsidRPr="00C0214D">
              <w:rPr>
                <w:rFonts w:ascii="Arial" w:eastAsia="Verdana" w:hAnsi="Arial" w:cs="Arial"/>
                <w:sz w:val="20"/>
                <w:szCs w:val="20"/>
              </w:rPr>
              <w:t>5</w:t>
            </w:r>
            <w:r w:rsidR="00AD395C">
              <w:rPr>
                <w:rFonts w:ascii="Arial" w:eastAsia="Verdana" w:hAnsi="Arial" w:cs="Arial"/>
                <w:sz w:val="20"/>
                <w:szCs w:val="20"/>
              </w:rPr>
              <w:t>)</w:t>
            </w:r>
            <w:r w:rsidRPr="00C0214D">
              <w:rPr>
                <w:rFonts w:ascii="Arial" w:eastAsia="Verdana" w:hAnsi="Arial" w:cs="Arial"/>
                <w:sz w:val="20"/>
                <w:szCs w:val="20"/>
              </w:rPr>
              <w:t xml:space="preserve"> years”.</w:t>
            </w:r>
          </w:p>
        </w:tc>
      </w:tr>
      <w:tr w:rsidR="00846049" w:rsidRPr="00C0214D" w14:paraId="3BC671C8"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25981"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4.5</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06ECB"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 xml:space="preserve">A new </w:t>
            </w:r>
            <w:r>
              <w:rPr>
                <w:rFonts w:ascii="Arial" w:eastAsia="Verdana" w:hAnsi="Arial" w:cs="Arial"/>
                <w:sz w:val="20"/>
                <w:szCs w:val="20"/>
              </w:rPr>
              <w:t>c</w:t>
            </w:r>
            <w:r w:rsidRPr="00C0214D">
              <w:rPr>
                <w:rFonts w:ascii="Arial" w:eastAsia="Verdana" w:hAnsi="Arial" w:cs="Arial"/>
                <w:sz w:val="20"/>
                <w:szCs w:val="20"/>
              </w:rPr>
              <w:t>lause 4.5 shall be added as follows:</w:t>
            </w:r>
          </w:p>
          <w:p w14:paraId="0A676626"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 xml:space="preserve">“Notwithstanding anything to the contrary in this Agreement, the Parties acknowledge and agree that the Supplier shall not be required to provide a Guarantee for the purposes of this Agreement.” </w:t>
            </w:r>
          </w:p>
        </w:tc>
      </w:tr>
      <w:tr w:rsidR="006B0412" w:rsidRPr="00C0214D" w14:paraId="2CD6DED8"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A8A01" w14:textId="50D3913F" w:rsidR="006B0412" w:rsidRPr="00C0214D" w:rsidRDefault="006B0412" w:rsidP="006B0412">
            <w:pPr>
              <w:spacing w:after="120"/>
              <w:rPr>
                <w:rFonts w:eastAsia="Verdana" w:cs="Arial"/>
                <w:b/>
                <w:szCs w:val="20"/>
              </w:rPr>
            </w:pPr>
            <w:r w:rsidRPr="006B0412">
              <w:rPr>
                <w:rFonts w:ascii="Arial" w:eastAsia="Verdana" w:hAnsi="Arial" w:cs="Arial"/>
                <w:b/>
                <w:sz w:val="20"/>
                <w:szCs w:val="20"/>
              </w:rPr>
              <w:t>Clause 5.5.16</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CA230A" w14:textId="5773C50B" w:rsidR="006B0412" w:rsidRPr="00C0214D" w:rsidRDefault="006B0412" w:rsidP="006B0412">
            <w:pPr>
              <w:spacing w:after="120"/>
              <w:rPr>
                <w:rFonts w:ascii="Arial" w:eastAsia="Verdana" w:hAnsi="Arial" w:cs="Arial"/>
                <w:sz w:val="20"/>
                <w:szCs w:val="20"/>
              </w:rPr>
            </w:pPr>
            <w:r w:rsidRPr="00C0214D">
              <w:rPr>
                <w:rFonts w:ascii="Arial" w:eastAsia="Verdana" w:hAnsi="Arial" w:cs="Arial"/>
                <w:sz w:val="20"/>
                <w:szCs w:val="20"/>
              </w:rPr>
              <w:t xml:space="preserve">Clause </w:t>
            </w:r>
            <w:r>
              <w:rPr>
                <w:rFonts w:ascii="Arial" w:eastAsia="Verdana" w:hAnsi="Arial" w:cs="Arial"/>
                <w:sz w:val="20"/>
                <w:szCs w:val="20"/>
              </w:rPr>
              <w:t>5.5.16</w:t>
            </w:r>
            <w:r w:rsidRPr="00C0214D">
              <w:rPr>
                <w:rFonts w:ascii="Arial" w:eastAsia="Verdana" w:hAnsi="Arial" w:cs="Arial"/>
                <w:sz w:val="20"/>
                <w:szCs w:val="20"/>
              </w:rPr>
              <w:t xml:space="preserve"> shall be deleted and replaced with the following:</w:t>
            </w:r>
          </w:p>
          <w:p w14:paraId="396D2FFD" w14:textId="46764E6D" w:rsidR="006B0412" w:rsidRPr="006B0412" w:rsidRDefault="006B0412" w:rsidP="008B6AF5">
            <w:pPr>
              <w:rPr>
                <w:rFonts w:ascii="Arial" w:eastAsia="Verdana" w:hAnsi="Arial" w:cs="Arial"/>
                <w:sz w:val="20"/>
                <w:szCs w:val="20"/>
              </w:rPr>
            </w:pPr>
            <w:r w:rsidRPr="006B0412">
              <w:rPr>
                <w:rFonts w:ascii="Arial" w:eastAsia="Verdana" w:hAnsi="Arial" w:cs="Arial"/>
                <w:sz w:val="20"/>
                <w:szCs w:val="20"/>
              </w:rPr>
              <w:t xml:space="preserve">“comply with their respective responsibilities as set out in the RACI Matrix set out </w:t>
            </w:r>
            <w:proofErr w:type="gramStart"/>
            <w:r w:rsidRPr="006B0412">
              <w:rPr>
                <w:rFonts w:ascii="Arial" w:eastAsia="Verdana" w:hAnsi="Arial" w:cs="Arial"/>
                <w:sz w:val="20"/>
                <w:szCs w:val="20"/>
              </w:rPr>
              <w:t>in  any</w:t>
            </w:r>
            <w:proofErr w:type="gramEnd"/>
            <w:r w:rsidRPr="006B0412">
              <w:rPr>
                <w:rFonts w:ascii="Arial" w:eastAsia="Verdana" w:hAnsi="Arial" w:cs="Arial"/>
                <w:sz w:val="20"/>
                <w:szCs w:val="20"/>
              </w:rPr>
              <w:t xml:space="preserve"> Project Sheet specific to a Project.</w:t>
            </w:r>
            <w:r>
              <w:rPr>
                <w:rFonts w:ascii="Arial" w:eastAsia="Verdana" w:hAnsi="Arial" w:cs="Arial"/>
                <w:sz w:val="20"/>
                <w:szCs w:val="20"/>
              </w:rPr>
              <w:t>”</w:t>
            </w:r>
          </w:p>
        </w:tc>
      </w:tr>
      <w:tr w:rsidR="00846049" w:rsidRPr="00C0214D" w14:paraId="2D7F77F4" w14:textId="77777777" w:rsidTr="008B6AF5">
        <w:trPr>
          <w:trHeight w:val="59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7E56A"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12.7</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8F298"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Clause 12.7 shall be deleted and replaced with “Not Used”.</w:t>
            </w:r>
          </w:p>
        </w:tc>
      </w:tr>
      <w:tr w:rsidR="00846049" w:rsidRPr="00C0214D" w14:paraId="66A7C730" w14:textId="77777777" w:rsidTr="008B6AF5">
        <w:trPr>
          <w:trHeight w:val="46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9911A"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12.11 (Financial Distress)</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05488"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Clause 12.11 shall be deleted and replaced with “Not Used”.</w:t>
            </w:r>
          </w:p>
        </w:tc>
      </w:tr>
      <w:tr w:rsidR="00846049" w:rsidRPr="00C0214D" w14:paraId="0655068B" w14:textId="77777777" w:rsidTr="008B6AF5">
        <w:trPr>
          <w:trHeight w:val="47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157ED"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14 (Records, Reports &amp; Audits)</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E6F09E"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Clause 14 shall be deleted and replaced with the following:</w:t>
            </w:r>
          </w:p>
          <w:p w14:paraId="45A9CF37"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w:t>
            </w:r>
            <w:r w:rsidRPr="00C0214D">
              <w:rPr>
                <w:rFonts w:ascii="Arial" w:eastAsia="Verdana" w:hAnsi="Arial" w:cs="Arial"/>
                <w:b/>
                <w:bCs/>
                <w:sz w:val="20"/>
                <w:szCs w:val="20"/>
              </w:rPr>
              <w:t>14. RECORDS, REPORTS &amp; AUDITS</w:t>
            </w:r>
          </w:p>
          <w:p w14:paraId="1E7F4773"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14.1</w:t>
            </w:r>
            <w:r w:rsidRPr="00C0214D">
              <w:rPr>
                <w:rFonts w:ascii="Arial" w:eastAsia="Verdana" w:hAnsi="Arial" w:cs="Arial"/>
                <w:sz w:val="20"/>
                <w:szCs w:val="20"/>
              </w:rPr>
              <w:tab/>
              <w:t>The Supplier shall comply with the provisions of Schedule 8.4 (Reports and Records Provisions) in relation to the maintenance and retention of Records.</w:t>
            </w:r>
          </w:p>
          <w:p w14:paraId="13E4D1C9"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14.2</w:t>
            </w:r>
            <w:r w:rsidRPr="00C0214D">
              <w:rPr>
                <w:rFonts w:ascii="Arial" w:eastAsia="Verdana" w:hAnsi="Arial" w:cs="Arial"/>
                <w:sz w:val="20"/>
                <w:szCs w:val="20"/>
              </w:rPr>
              <w:tab/>
              <w:t>The Parties shall comply with the provisions of:</w:t>
            </w:r>
          </w:p>
          <w:p w14:paraId="4C50B8AD"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lastRenderedPageBreak/>
              <w:t>14.2.1</w:t>
            </w:r>
            <w:r w:rsidRPr="00C0214D">
              <w:rPr>
                <w:rFonts w:ascii="Arial" w:eastAsia="Verdana" w:hAnsi="Arial" w:cs="Arial"/>
                <w:sz w:val="20"/>
                <w:szCs w:val="20"/>
              </w:rPr>
              <w:tab/>
              <w:t>Part B of Schedule 7.6 (Financial Reports and Audit Rights) in relation to the provision of the Financial Reports; and</w:t>
            </w:r>
          </w:p>
          <w:p w14:paraId="4FC9A894" w14:textId="2D747A46"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14.2.2</w:t>
            </w:r>
            <w:r w:rsidRPr="00C0214D">
              <w:rPr>
                <w:rFonts w:ascii="Arial" w:eastAsia="Verdana" w:hAnsi="Arial" w:cs="Arial"/>
                <w:sz w:val="20"/>
                <w:szCs w:val="20"/>
              </w:rPr>
              <w:tab/>
              <w:t xml:space="preserve">Part C of Schedule 7.6 (Financial Reports and Audit Rights) in relation to the exercise of the Audit Rights by </w:t>
            </w:r>
            <w:proofErr w:type="spellStart"/>
            <w:r w:rsidR="001F1C19">
              <w:rPr>
                <w:rFonts w:ascii="Arial" w:eastAsia="Verdana" w:hAnsi="Arial" w:cs="Arial"/>
                <w:sz w:val="20"/>
                <w:szCs w:val="20"/>
              </w:rPr>
              <w:t>Netlink</w:t>
            </w:r>
            <w:proofErr w:type="spellEnd"/>
            <w:r w:rsidR="001F1C19">
              <w:rPr>
                <w:rFonts w:ascii="Arial" w:eastAsia="Verdana" w:hAnsi="Arial" w:cs="Arial"/>
                <w:sz w:val="20"/>
                <w:szCs w:val="20"/>
              </w:rPr>
              <w:t xml:space="preserve"> Star</w:t>
            </w:r>
            <w:r w:rsidRPr="00C0214D">
              <w:rPr>
                <w:rFonts w:ascii="Arial" w:eastAsia="Verdana" w:hAnsi="Arial" w:cs="Arial"/>
                <w:sz w:val="20"/>
                <w:szCs w:val="20"/>
              </w:rPr>
              <w:t xml:space="preserve"> or any Audit Agents.”</w:t>
            </w:r>
          </w:p>
        </w:tc>
      </w:tr>
      <w:tr w:rsidR="00846049" w:rsidRPr="00C0214D" w14:paraId="7BB6B917" w14:textId="77777777" w:rsidTr="008B6AF5">
        <w:trPr>
          <w:trHeight w:val="470"/>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8AEA2"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lastRenderedPageBreak/>
              <w:t>Clause 16.9</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02FCE" w14:textId="77777777" w:rsidR="00846049" w:rsidRPr="00C0214D" w:rsidRDefault="00846049" w:rsidP="008B6AF5">
            <w:pPr>
              <w:spacing w:after="120"/>
              <w:rPr>
                <w:rFonts w:ascii="Arial" w:eastAsia="Verdana" w:hAnsi="Arial" w:cs="Arial"/>
                <w:sz w:val="20"/>
                <w:szCs w:val="20"/>
              </w:rPr>
            </w:pPr>
            <w:bookmarkStart w:id="2418" w:name="_Hlk81997583"/>
            <w:r w:rsidRPr="00C0214D">
              <w:rPr>
                <w:rFonts w:ascii="Arial" w:eastAsia="Verdana" w:hAnsi="Arial" w:cs="Arial"/>
                <w:sz w:val="20"/>
                <w:szCs w:val="20"/>
              </w:rPr>
              <w:t xml:space="preserve">Clause 16.9.1 </w:t>
            </w:r>
            <w:proofErr w:type="gramStart"/>
            <w:r w:rsidRPr="00C0214D">
              <w:rPr>
                <w:rFonts w:ascii="Arial" w:eastAsia="Verdana" w:hAnsi="Arial" w:cs="Arial"/>
                <w:sz w:val="20"/>
                <w:szCs w:val="20"/>
              </w:rPr>
              <w:t>i.e.</w:t>
            </w:r>
            <w:proofErr w:type="gramEnd"/>
            <w:r w:rsidRPr="00C0214D">
              <w:rPr>
                <w:rFonts w:ascii="Arial" w:eastAsia="Verdana" w:hAnsi="Arial" w:cs="Arial"/>
                <w:sz w:val="20"/>
                <w:szCs w:val="20"/>
              </w:rPr>
              <w:t xml:space="preserve"> Part B of Schedule 11 (Staff Transfer) shall not apply.</w:t>
            </w:r>
            <w:bookmarkEnd w:id="2418"/>
          </w:p>
        </w:tc>
      </w:tr>
      <w:tr w:rsidR="00846049" w:rsidRPr="00C0214D" w14:paraId="215F625C" w14:textId="77777777" w:rsidTr="008B6AF5">
        <w:trPr>
          <w:trHeight w:val="46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79D98"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17.1.3</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59BF8"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Clause 17.1.3 shall be deleted and replaced with the following:</w:t>
            </w:r>
          </w:p>
          <w:p w14:paraId="598D6B6F" w14:textId="68839E7A" w:rsidR="00846049" w:rsidRPr="00C0214D" w:rsidRDefault="00846049" w:rsidP="008B6AF5">
            <w:pPr>
              <w:spacing w:after="120"/>
              <w:rPr>
                <w:rFonts w:ascii="Arial" w:hAnsi="Arial" w:cs="Arial"/>
                <w:bCs/>
                <w:sz w:val="20"/>
                <w:szCs w:val="20"/>
              </w:rPr>
            </w:pPr>
            <w:r w:rsidRPr="00C0214D">
              <w:rPr>
                <w:rFonts w:ascii="Arial" w:hAnsi="Arial" w:cs="Arial"/>
                <w:bCs/>
                <w:sz w:val="20"/>
                <w:szCs w:val="20"/>
              </w:rPr>
              <w:t>“</w:t>
            </w:r>
            <w:proofErr w:type="gramStart"/>
            <w:r w:rsidRPr="00C0214D">
              <w:rPr>
                <w:rFonts w:ascii="Arial" w:hAnsi="Arial" w:cs="Arial"/>
                <w:bCs/>
                <w:sz w:val="20"/>
                <w:szCs w:val="20"/>
              </w:rPr>
              <w:t>in</w:t>
            </w:r>
            <w:proofErr w:type="gramEnd"/>
            <w:r w:rsidRPr="00C0214D">
              <w:rPr>
                <w:rFonts w:ascii="Arial" w:hAnsi="Arial" w:cs="Arial"/>
                <w:bCs/>
                <w:sz w:val="20"/>
                <w:szCs w:val="20"/>
              </w:rPr>
              <w:t xml:space="preserve"> the case of the selection and appointment of New Sub-contractors only, assign, novate or otherwise transfer to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r w:rsidRPr="00C0214D">
              <w:rPr>
                <w:rFonts w:ascii="Arial" w:hAnsi="Arial" w:cs="Arial"/>
                <w:bCs/>
                <w:sz w:val="20"/>
                <w:szCs w:val="20"/>
              </w:rPr>
              <w:t xml:space="preserve"> or any Replacement Supplier any of its rights and/or obligations under each Sub-contract that relates exclusively to this Agreement.”</w:t>
            </w:r>
          </w:p>
        </w:tc>
      </w:tr>
      <w:tr w:rsidR="00846049" w:rsidRPr="00C0214D" w14:paraId="78C57677" w14:textId="77777777" w:rsidTr="008B6AF5">
        <w:trPr>
          <w:trHeight w:val="46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4D1F83"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17.3</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BED85B"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Clause 17.3 shall be deleted and replaced with the following:</w:t>
            </w:r>
          </w:p>
          <w:p w14:paraId="547EE6E3" w14:textId="1C63A05D" w:rsidR="00846049" w:rsidRPr="00C0214D" w:rsidRDefault="00846049" w:rsidP="008B6AF5">
            <w:pPr>
              <w:spacing w:after="120"/>
              <w:rPr>
                <w:rFonts w:ascii="Arial" w:hAnsi="Arial" w:cs="Arial"/>
                <w:bCs/>
                <w:sz w:val="20"/>
                <w:szCs w:val="20"/>
              </w:rPr>
            </w:pPr>
            <w:r w:rsidRPr="00C0214D">
              <w:rPr>
                <w:rFonts w:ascii="Arial" w:hAnsi="Arial" w:cs="Arial"/>
                <w:bCs/>
                <w:sz w:val="20"/>
                <w:szCs w:val="20"/>
              </w:rPr>
              <w:t xml:space="preserve">“If requested by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r w:rsidRPr="00C0214D">
              <w:rPr>
                <w:rFonts w:ascii="Arial" w:hAnsi="Arial" w:cs="Arial"/>
                <w:bCs/>
                <w:sz w:val="20"/>
                <w:szCs w:val="20"/>
              </w:rPr>
              <w:t xml:space="preserve"> within ten (10) Working Days of receipt of the Supplier’s notice issued pursuant to clause 17.2, the Supplier shall also provide:</w:t>
            </w:r>
          </w:p>
          <w:p w14:paraId="236C656A" w14:textId="77777777" w:rsidR="00846049" w:rsidRPr="00C0214D" w:rsidRDefault="00846049" w:rsidP="008B6AF5">
            <w:pPr>
              <w:spacing w:after="120"/>
              <w:rPr>
                <w:rFonts w:ascii="Arial" w:hAnsi="Arial" w:cs="Arial"/>
                <w:bCs/>
                <w:sz w:val="20"/>
                <w:szCs w:val="20"/>
              </w:rPr>
            </w:pPr>
            <w:r w:rsidRPr="00C0214D">
              <w:rPr>
                <w:rFonts w:ascii="Arial" w:hAnsi="Arial" w:cs="Arial"/>
                <w:bCs/>
                <w:sz w:val="20"/>
                <w:szCs w:val="20"/>
              </w:rPr>
              <w:t>17.3.1</w:t>
            </w:r>
            <w:r w:rsidRPr="00C0214D">
              <w:rPr>
                <w:rFonts w:ascii="Arial" w:hAnsi="Arial" w:cs="Arial"/>
                <w:bCs/>
                <w:sz w:val="20"/>
                <w:szCs w:val="20"/>
              </w:rPr>
              <w:tab/>
              <w:t>in the case of a Sub-contract with a New Sub-contractor, a copy of the proposed Sub-contract; and</w:t>
            </w:r>
          </w:p>
          <w:p w14:paraId="107B49E9" w14:textId="350BD4CC" w:rsidR="00846049" w:rsidRPr="00C0214D" w:rsidRDefault="00846049" w:rsidP="008B6AF5">
            <w:pPr>
              <w:spacing w:after="120"/>
              <w:rPr>
                <w:rFonts w:ascii="Arial" w:hAnsi="Arial" w:cs="Arial"/>
                <w:bCs/>
                <w:sz w:val="20"/>
                <w:szCs w:val="20"/>
              </w:rPr>
            </w:pPr>
            <w:r w:rsidRPr="00C0214D">
              <w:rPr>
                <w:rFonts w:ascii="Arial" w:hAnsi="Arial" w:cs="Arial"/>
                <w:bCs/>
                <w:sz w:val="20"/>
                <w:szCs w:val="20"/>
              </w:rPr>
              <w:t>17.3.2</w:t>
            </w:r>
            <w:r w:rsidRPr="00C0214D">
              <w:rPr>
                <w:rFonts w:ascii="Arial" w:hAnsi="Arial" w:cs="Arial"/>
                <w:bCs/>
                <w:sz w:val="20"/>
                <w:szCs w:val="20"/>
              </w:rPr>
              <w:tab/>
              <w:t xml:space="preserve">any further information reasonably requested by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r w:rsidRPr="00C0214D">
              <w:rPr>
                <w:rFonts w:ascii="Arial" w:hAnsi="Arial" w:cs="Arial"/>
                <w:bCs/>
                <w:sz w:val="20"/>
                <w:szCs w:val="20"/>
              </w:rPr>
              <w:t>,</w:t>
            </w:r>
          </w:p>
          <w:p w14:paraId="64CF1E2C" w14:textId="77777777" w:rsidR="00846049" w:rsidRPr="00C0214D" w:rsidRDefault="00846049" w:rsidP="008B6AF5">
            <w:pPr>
              <w:spacing w:after="120"/>
              <w:rPr>
                <w:rFonts w:ascii="Arial" w:eastAsia="Verdana" w:hAnsi="Arial" w:cs="Arial"/>
                <w:bCs/>
                <w:sz w:val="20"/>
                <w:szCs w:val="20"/>
              </w:rPr>
            </w:pPr>
            <w:r w:rsidRPr="00C0214D">
              <w:rPr>
                <w:rFonts w:ascii="Arial" w:hAnsi="Arial" w:cs="Arial"/>
                <w:bCs/>
                <w:sz w:val="20"/>
                <w:szCs w:val="20"/>
              </w:rPr>
              <w:t>17.3.3</w:t>
            </w:r>
            <w:r w:rsidRPr="00C0214D">
              <w:rPr>
                <w:rFonts w:ascii="Arial" w:hAnsi="Arial" w:cs="Arial"/>
                <w:bCs/>
                <w:sz w:val="20"/>
                <w:szCs w:val="20"/>
              </w:rPr>
              <w:tab/>
              <w:t>together the “Sub-contractor Information”. The Supplier may redact commercially sensitive information (</w:t>
            </w:r>
            <w:proofErr w:type="gramStart"/>
            <w:r w:rsidRPr="00C0214D">
              <w:rPr>
                <w:rFonts w:ascii="Arial" w:hAnsi="Arial" w:cs="Arial"/>
                <w:bCs/>
                <w:sz w:val="20"/>
                <w:szCs w:val="20"/>
              </w:rPr>
              <w:t>e.g.</w:t>
            </w:r>
            <w:proofErr w:type="gramEnd"/>
            <w:r w:rsidRPr="00C0214D">
              <w:rPr>
                <w:rFonts w:ascii="Arial" w:hAnsi="Arial" w:cs="Arial"/>
                <w:bCs/>
                <w:sz w:val="20"/>
                <w:szCs w:val="20"/>
              </w:rPr>
              <w:t xml:space="preserve"> pricing) in the Sub-contractor Information.”</w:t>
            </w:r>
          </w:p>
        </w:tc>
      </w:tr>
      <w:tr w:rsidR="00846049" w:rsidRPr="00C0214D" w14:paraId="0729DA13" w14:textId="77777777" w:rsidTr="008B6AF5">
        <w:trPr>
          <w:trHeight w:val="46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EB66E"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17.4</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8975E6"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Clause 17.4 shall be deleted and replaced with the following:</w:t>
            </w:r>
          </w:p>
          <w:p w14:paraId="6A7CCD85" w14:textId="21EF54C0" w:rsidR="00846049" w:rsidRPr="00C0214D" w:rsidRDefault="00846049" w:rsidP="008B6AF5">
            <w:pPr>
              <w:spacing w:after="120"/>
              <w:rPr>
                <w:rFonts w:ascii="Arial" w:hAnsi="Arial" w:cs="Arial"/>
                <w:bCs/>
                <w:sz w:val="20"/>
                <w:szCs w:val="20"/>
              </w:rPr>
            </w:pPr>
            <w:r w:rsidRPr="00C0214D">
              <w:rPr>
                <w:rFonts w:ascii="Arial" w:hAnsi="Arial" w:cs="Arial"/>
                <w:bCs/>
                <w:sz w:val="20"/>
                <w:szCs w:val="20"/>
              </w:rPr>
              <w:t>“17.4</w:t>
            </w:r>
            <w:r w:rsidRPr="00C0214D">
              <w:rPr>
                <w:rFonts w:ascii="Arial" w:hAnsi="Arial" w:cs="Arial"/>
                <w:bCs/>
                <w:sz w:val="20"/>
                <w:szCs w:val="20"/>
              </w:rPr>
              <w:tab/>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r w:rsidRPr="00C0214D">
              <w:rPr>
                <w:rFonts w:ascii="Arial" w:hAnsi="Arial" w:cs="Arial"/>
                <w:bCs/>
                <w:sz w:val="20"/>
                <w:szCs w:val="20"/>
              </w:rPr>
              <w:t xml:space="preserve"> may, within ten (10) Working Days of receipt of the Supplier’s notice issued pursuant to clause 17.2 (or, if later, receipt of any further information requested pursuant to clause 17.3), object to the appointment of the relevant Sub-contractor where that Sub-contractor is a New Sub-contractor and if it considers that:</w:t>
            </w:r>
          </w:p>
          <w:p w14:paraId="50E566C5" w14:textId="75931DE4" w:rsidR="00846049" w:rsidRPr="00C0214D" w:rsidRDefault="00846049" w:rsidP="008B6AF5">
            <w:pPr>
              <w:spacing w:after="120"/>
              <w:rPr>
                <w:rFonts w:ascii="Arial" w:hAnsi="Arial" w:cs="Arial"/>
                <w:bCs/>
                <w:sz w:val="20"/>
                <w:szCs w:val="20"/>
              </w:rPr>
            </w:pPr>
            <w:r w:rsidRPr="00C0214D">
              <w:rPr>
                <w:rFonts w:ascii="Arial" w:hAnsi="Arial" w:cs="Arial"/>
                <w:bCs/>
                <w:sz w:val="20"/>
                <w:szCs w:val="20"/>
              </w:rPr>
              <w:t>17.4.1</w:t>
            </w:r>
            <w:r w:rsidRPr="00C0214D">
              <w:rPr>
                <w:rFonts w:ascii="Arial" w:hAnsi="Arial" w:cs="Arial"/>
                <w:bCs/>
                <w:sz w:val="20"/>
                <w:szCs w:val="20"/>
              </w:rPr>
              <w:tab/>
              <w:t xml:space="preserve">the appointment of a proposed New Sub-contractor may prejudice the provision of the Services and/or may be contrary to the interests of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w:t>
            </w:r>
            <w:proofErr w:type="gramStart"/>
            <w:r w:rsidR="001F1C19">
              <w:rPr>
                <w:rFonts w:ascii="Arial" w:hAnsi="Arial" w:cs="Arial"/>
                <w:bCs/>
                <w:sz w:val="20"/>
                <w:szCs w:val="20"/>
              </w:rPr>
              <w:t>Star</w:t>
            </w:r>
            <w:r w:rsidRPr="00C0214D">
              <w:rPr>
                <w:rFonts w:ascii="Arial" w:hAnsi="Arial" w:cs="Arial"/>
                <w:bCs/>
                <w:sz w:val="20"/>
                <w:szCs w:val="20"/>
              </w:rPr>
              <w:t>;</w:t>
            </w:r>
            <w:proofErr w:type="gramEnd"/>
          </w:p>
          <w:p w14:paraId="0BA46C49" w14:textId="77777777" w:rsidR="00846049" w:rsidRPr="00C0214D" w:rsidRDefault="00846049" w:rsidP="008B6AF5">
            <w:pPr>
              <w:spacing w:after="120"/>
              <w:rPr>
                <w:rFonts w:ascii="Arial" w:hAnsi="Arial" w:cs="Arial"/>
                <w:bCs/>
                <w:sz w:val="20"/>
                <w:szCs w:val="20"/>
              </w:rPr>
            </w:pPr>
            <w:r w:rsidRPr="00C0214D">
              <w:rPr>
                <w:rFonts w:ascii="Arial" w:hAnsi="Arial" w:cs="Arial"/>
                <w:bCs/>
                <w:sz w:val="20"/>
                <w:szCs w:val="20"/>
              </w:rPr>
              <w:t>17.4.2</w:t>
            </w:r>
            <w:r w:rsidRPr="00C0214D">
              <w:rPr>
                <w:rFonts w:ascii="Arial" w:hAnsi="Arial" w:cs="Arial"/>
                <w:bCs/>
                <w:sz w:val="20"/>
                <w:szCs w:val="20"/>
              </w:rPr>
              <w:tab/>
              <w:t xml:space="preserve">the proposed New Sub-contractor is unreliable and/or has not provided reasonable services to its other </w:t>
            </w:r>
            <w:proofErr w:type="gramStart"/>
            <w:r w:rsidRPr="00C0214D">
              <w:rPr>
                <w:rFonts w:ascii="Arial" w:hAnsi="Arial" w:cs="Arial"/>
                <w:bCs/>
                <w:sz w:val="20"/>
                <w:szCs w:val="20"/>
              </w:rPr>
              <w:t>customers;</w:t>
            </w:r>
            <w:proofErr w:type="gramEnd"/>
          </w:p>
          <w:p w14:paraId="3DDAE265" w14:textId="77777777" w:rsidR="00846049" w:rsidRPr="00C0214D" w:rsidRDefault="00846049" w:rsidP="008B6AF5">
            <w:pPr>
              <w:spacing w:after="120"/>
              <w:rPr>
                <w:rFonts w:ascii="Arial" w:hAnsi="Arial" w:cs="Arial"/>
                <w:bCs/>
                <w:sz w:val="20"/>
                <w:szCs w:val="20"/>
              </w:rPr>
            </w:pPr>
            <w:r w:rsidRPr="00C0214D">
              <w:rPr>
                <w:rFonts w:ascii="Arial" w:hAnsi="Arial" w:cs="Arial"/>
                <w:bCs/>
                <w:sz w:val="20"/>
                <w:szCs w:val="20"/>
              </w:rPr>
              <w:t>17.4.3</w:t>
            </w:r>
            <w:r w:rsidRPr="00C0214D">
              <w:rPr>
                <w:rFonts w:ascii="Arial" w:hAnsi="Arial" w:cs="Arial"/>
                <w:bCs/>
                <w:sz w:val="20"/>
                <w:szCs w:val="20"/>
              </w:rPr>
              <w:tab/>
              <w:t>the proposed New Sub-contractor employs unfit persons; and/or</w:t>
            </w:r>
          </w:p>
          <w:p w14:paraId="112C072C" w14:textId="77777777" w:rsidR="00846049" w:rsidRPr="00C0214D" w:rsidRDefault="00846049" w:rsidP="008B6AF5">
            <w:pPr>
              <w:spacing w:after="120"/>
              <w:rPr>
                <w:rFonts w:ascii="Arial" w:hAnsi="Arial" w:cs="Arial"/>
                <w:bCs/>
                <w:sz w:val="20"/>
                <w:szCs w:val="20"/>
              </w:rPr>
            </w:pPr>
            <w:r w:rsidRPr="00C0214D">
              <w:rPr>
                <w:rFonts w:ascii="Arial" w:hAnsi="Arial" w:cs="Arial"/>
                <w:bCs/>
                <w:sz w:val="20"/>
                <w:szCs w:val="20"/>
              </w:rPr>
              <w:t>17.4.4</w:t>
            </w:r>
            <w:r w:rsidRPr="00C0214D">
              <w:rPr>
                <w:rFonts w:ascii="Arial" w:hAnsi="Arial" w:cs="Arial"/>
                <w:bCs/>
                <w:sz w:val="20"/>
                <w:szCs w:val="20"/>
              </w:rPr>
              <w:tab/>
              <w:t>the proposed New Sub-contractor should be excluded in accordance with clause 17.18,</w:t>
            </w:r>
          </w:p>
          <w:p w14:paraId="611BEB97" w14:textId="77777777" w:rsidR="00846049" w:rsidRPr="00C0214D" w:rsidRDefault="00846049" w:rsidP="008B6AF5">
            <w:pPr>
              <w:spacing w:after="120"/>
              <w:rPr>
                <w:rFonts w:ascii="Arial" w:eastAsia="Verdana" w:hAnsi="Arial" w:cs="Arial"/>
                <w:bCs/>
                <w:sz w:val="20"/>
                <w:szCs w:val="20"/>
              </w:rPr>
            </w:pPr>
            <w:r w:rsidRPr="00C0214D">
              <w:rPr>
                <w:rFonts w:ascii="Arial" w:hAnsi="Arial" w:cs="Arial"/>
                <w:bCs/>
                <w:sz w:val="20"/>
                <w:szCs w:val="20"/>
              </w:rPr>
              <w:t>in which case, the Supplier shall not proceed with the proposed appointment.”</w:t>
            </w:r>
          </w:p>
        </w:tc>
      </w:tr>
      <w:tr w:rsidR="00846049" w:rsidRPr="00C0214D" w14:paraId="66EDFD86" w14:textId="77777777" w:rsidTr="008B6AF5">
        <w:trPr>
          <w:trHeight w:val="46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9FB2B0"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17.5</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96F515"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Clause 17.5 shall be deleted and replaced with the following:</w:t>
            </w:r>
          </w:p>
          <w:p w14:paraId="02451D3F" w14:textId="77777777" w:rsidR="00846049" w:rsidRPr="00C0214D" w:rsidRDefault="00846049" w:rsidP="008B6AF5">
            <w:pPr>
              <w:spacing w:after="120"/>
              <w:rPr>
                <w:rFonts w:ascii="Arial" w:hAnsi="Arial" w:cs="Arial"/>
                <w:bCs/>
                <w:sz w:val="20"/>
                <w:szCs w:val="20"/>
              </w:rPr>
            </w:pPr>
            <w:r w:rsidRPr="00C0214D">
              <w:rPr>
                <w:rFonts w:ascii="Arial" w:hAnsi="Arial" w:cs="Arial"/>
                <w:bCs/>
                <w:sz w:val="20"/>
                <w:szCs w:val="20"/>
              </w:rPr>
              <w:t>“If:</w:t>
            </w:r>
          </w:p>
          <w:p w14:paraId="307F9B9B" w14:textId="27EEB35C" w:rsidR="00846049" w:rsidRPr="00C0214D" w:rsidRDefault="00846049" w:rsidP="008B6AF5">
            <w:pPr>
              <w:spacing w:after="120"/>
              <w:rPr>
                <w:rFonts w:ascii="Arial" w:hAnsi="Arial" w:cs="Arial"/>
                <w:bCs/>
                <w:sz w:val="20"/>
                <w:szCs w:val="20"/>
              </w:rPr>
            </w:pPr>
            <w:r w:rsidRPr="00C0214D">
              <w:rPr>
                <w:rFonts w:ascii="Arial" w:hAnsi="Arial" w:cs="Arial"/>
                <w:bCs/>
                <w:sz w:val="20"/>
                <w:szCs w:val="20"/>
              </w:rPr>
              <w:t>17.5.1</w:t>
            </w:r>
            <w:r w:rsidRPr="00C0214D">
              <w:rPr>
                <w:rFonts w:ascii="Arial" w:hAnsi="Arial" w:cs="Arial"/>
                <w:bCs/>
                <w:sz w:val="20"/>
                <w:szCs w:val="20"/>
              </w:rPr>
              <w:tab/>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r w:rsidRPr="00C0214D">
              <w:rPr>
                <w:rFonts w:ascii="Arial" w:hAnsi="Arial" w:cs="Arial"/>
                <w:bCs/>
                <w:sz w:val="20"/>
                <w:szCs w:val="20"/>
              </w:rPr>
              <w:t xml:space="preserve"> has not notified the Supplier that it objects to a proposed New Sub-contractor’s appointment by the later of ten (10) Working Days of receipt of: </w:t>
            </w:r>
          </w:p>
          <w:p w14:paraId="2A81591C" w14:textId="77777777" w:rsidR="00846049" w:rsidRPr="00C0214D" w:rsidRDefault="00846049" w:rsidP="008B6AF5">
            <w:pPr>
              <w:spacing w:after="120"/>
              <w:rPr>
                <w:rFonts w:ascii="Arial" w:hAnsi="Arial" w:cs="Arial"/>
                <w:bCs/>
                <w:sz w:val="20"/>
                <w:szCs w:val="20"/>
              </w:rPr>
            </w:pPr>
            <w:r w:rsidRPr="00C0214D">
              <w:rPr>
                <w:rFonts w:ascii="Arial" w:hAnsi="Arial" w:cs="Arial"/>
                <w:bCs/>
                <w:sz w:val="20"/>
                <w:szCs w:val="20"/>
              </w:rPr>
              <w:t>(a)</w:t>
            </w:r>
            <w:r w:rsidRPr="00C0214D">
              <w:rPr>
                <w:rFonts w:ascii="Arial" w:hAnsi="Arial" w:cs="Arial"/>
                <w:bCs/>
                <w:sz w:val="20"/>
                <w:szCs w:val="20"/>
              </w:rPr>
              <w:tab/>
              <w:t>the Supplier’s notice issued pursuant to clause 17.1; and</w:t>
            </w:r>
          </w:p>
          <w:p w14:paraId="3F4462CF" w14:textId="0B6389E5" w:rsidR="00846049" w:rsidRPr="00C0214D" w:rsidRDefault="00846049" w:rsidP="008B6AF5">
            <w:pPr>
              <w:spacing w:after="120"/>
              <w:rPr>
                <w:rFonts w:ascii="Arial" w:hAnsi="Arial" w:cs="Arial"/>
                <w:bCs/>
                <w:sz w:val="20"/>
                <w:szCs w:val="20"/>
              </w:rPr>
            </w:pPr>
            <w:r w:rsidRPr="00C0214D">
              <w:rPr>
                <w:rFonts w:ascii="Arial" w:hAnsi="Arial" w:cs="Arial"/>
                <w:bCs/>
                <w:sz w:val="20"/>
                <w:szCs w:val="20"/>
              </w:rPr>
              <w:t>(b)</w:t>
            </w:r>
            <w:r w:rsidRPr="00C0214D">
              <w:rPr>
                <w:rFonts w:ascii="Arial" w:hAnsi="Arial" w:cs="Arial"/>
                <w:bCs/>
                <w:sz w:val="20"/>
                <w:szCs w:val="20"/>
              </w:rPr>
              <w:tab/>
              <w:t xml:space="preserve">any further information requested by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r w:rsidRPr="00C0214D">
              <w:rPr>
                <w:rFonts w:ascii="Arial" w:hAnsi="Arial" w:cs="Arial"/>
                <w:bCs/>
                <w:sz w:val="20"/>
                <w:szCs w:val="20"/>
              </w:rPr>
              <w:t xml:space="preserve"> pursuant to clause 17.3; and</w:t>
            </w:r>
          </w:p>
          <w:p w14:paraId="3D8F7EA9" w14:textId="04ADD5E2" w:rsidR="00846049" w:rsidRPr="00C0214D" w:rsidRDefault="00846049" w:rsidP="008B6AF5">
            <w:pPr>
              <w:spacing w:after="120"/>
              <w:rPr>
                <w:rFonts w:ascii="Arial" w:hAnsi="Arial" w:cs="Arial"/>
                <w:bCs/>
                <w:sz w:val="20"/>
                <w:szCs w:val="20"/>
              </w:rPr>
            </w:pPr>
            <w:r w:rsidRPr="00C0214D">
              <w:rPr>
                <w:rFonts w:ascii="Arial" w:hAnsi="Arial" w:cs="Arial"/>
                <w:bCs/>
                <w:sz w:val="20"/>
                <w:szCs w:val="20"/>
              </w:rPr>
              <w:t>17.5.2</w:t>
            </w:r>
            <w:r w:rsidRPr="00C0214D">
              <w:rPr>
                <w:rFonts w:ascii="Arial" w:hAnsi="Arial" w:cs="Arial"/>
                <w:bCs/>
                <w:sz w:val="20"/>
                <w:szCs w:val="20"/>
              </w:rPr>
              <w:tab/>
              <w:t xml:space="preserve">the proposed Sub-contract is not a Key Sub-contract (which shall require the written consent of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r w:rsidRPr="00C0214D">
              <w:rPr>
                <w:rFonts w:ascii="Arial" w:hAnsi="Arial" w:cs="Arial"/>
                <w:bCs/>
                <w:sz w:val="20"/>
                <w:szCs w:val="20"/>
              </w:rPr>
              <w:t xml:space="preserve"> in accordance with clause 17.6 (Appointment of Key Sub-contractors),</w:t>
            </w:r>
          </w:p>
          <w:p w14:paraId="44FADC9B" w14:textId="77777777" w:rsidR="00846049" w:rsidRPr="00C0214D" w:rsidRDefault="00846049" w:rsidP="008B6AF5">
            <w:pPr>
              <w:spacing w:after="120"/>
              <w:rPr>
                <w:rFonts w:ascii="Arial" w:eastAsia="Verdana" w:hAnsi="Arial" w:cs="Arial"/>
                <w:bCs/>
                <w:sz w:val="20"/>
                <w:szCs w:val="20"/>
              </w:rPr>
            </w:pPr>
            <w:r w:rsidRPr="00C0214D">
              <w:rPr>
                <w:rFonts w:ascii="Arial" w:hAnsi="Arial" w:cs="Arial"/>
                <w:bCs/>
                <w:sz w:val="20"/>
                <w:szCs w:val="20"/>
              </w:rPr>
              <w:t>the Supplier may proceed with the proposed appointment.”</w:t>
            </w:r>
          </w:p>
        </w:tc>
      </w:tr>
      <w:tr w:rsidR="00846049" w:rsidRPr="00C0214D" w14:paraId="2A7445CF" w14:textId="77777777" w:rsidTr="008B6AF5">
        <w:trPr>
          <w:trHeight w:val="46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3E801"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17.8.4</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83E8A"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Clause 17.8.4 shall be deleted and replaced with the following:</w:t>
            </w:r>
          </w:p>
          <w:p w14:paraId="3CD3F53F" w14:textId="54958F50" w:rsidR="00846049" w:rsidRPr="00C0214D" w:rsidRDefault="00846049" w:rsidP="008B6AF5">
            <w:pPr>
              <w:spacing w:after="120"/>
              <w:rPr>
                <w:rFonts w:ascii="Arial" w:eastAsia="Verdana" w:hAnsi="Arial" w:cs="Arial"/>
                <w:bCs/>
                <w:sz w:val="20"/>
                <w:szCs w:val="20"/>
              </w:rPr>
            </w:pPr>
            <w:r w:rsidRPr="00C0214D">
              <w:rPr>
                <w:rFonts w:ascii="Arial" w:hAnsi="Arial" w:cs="Arial"/>
                <w:bCs/>
                <w:sz w:val="20"/>
                <w:szCs w:val="20"/>
              </w:rPr>
              <w:t>“</w:t>
            </w:r>
            <w:proofErr w:type="gramStart"/>
            <w:r w:rsidRPr="00C0214D">
              <w:rPr>
                <w:rFonts w:ascii="Arial" w:hAnsi="Arial" w:cs="Arial"/>
                <w:bCs/>
                <w:sz w:val="20"/>
                <w:szCs w:val="20"/>
              </w:rPr>
              <w:t>in</w:t>
            </w:r>
            <w:proofErr w:type="gramEnd"/>
            <w:r w:rsidRPr="00C0214D">
              <w:rPr>
                <w:rFonts w:ascii="Arial" w:hAnsi="Arial" w:cs="Arial"/>
                <w:bCs/>
                <w:sz w:val="20"/>
                <w:szCs w:val="20"/>
              </w:rPr>
              <w:t xml:space="preserve"> the case of a Key Sub-contract with a New Sub-contractor, a provision enabling the Supplier to assign, novate or otherwise transfer any of its rights and/or obligations under the Key Sub-contract to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r w:rsidRPr="00C0214D">
              <w:rPr>
                <w:rFonts w:ascii="Arial" w:hAnsi="Arial" w:cs="Arial"/>
                <w:bCs/>
                <w:sz w:val="20"/>
                <w:szCs w:val="20"/>
              </w:rPr>
              <w:t xml:space="preserve"> or any Replacement Supplier without restriction (including any need to obtain any consent or approval) or payment by </w:t>
            </w:r>
            <w:proofErr w:type="spellStart"/>
            <w:r w:rsidR="001F1C19">
              <w:rPr>
                <w:rFonts w:ascii="Arial" w:hAnsi="Arial" w:cs="Arial"/>
                <w:bCs/>
                <w:sz w:val="20"/>
                <w:szCs w:val="20"/>
              </w:rPr>
              <w:t>Netlink</w:t>
            </w:r>
            <w:proofErr w:type="spellEnd"/>
            <w:r w:rsidR="001F1C19">
              <w:rPr>
                <w:rFonts w:ascii="Arial" w:hAnsi="Arial" w:cs="Arial"/>
                <w:bCs/>
                <w:sz w:val="20"/>
                <w:szCs w:val="20"/>
              </w:rPr>
              <w:t xml:space="preserve"> Star</w:t>
            </w:r>
            <w:r w:rsidRPr="00C0214D">
              <w:rPr>
                <w:rFonts w:ascii="Arial" w:hAnsi="Arial" w:cs="Arial"/>
                <w:bCs/>
                <w:sz w:val="20"/>
                <w:szCs w:val="20"/>
              </w:rPr>
              <w:t>;”</w:t>
            </w:r>
          </w:p>
        </w:tc>
      </w:tr>
      <w:tr w:rsidR="00846049" w:rsidRPr="00C0214D" w14:paraId="4C5B8166" w14:textId="77777777" w:rsidTr="008B6AF5">
        <w:trPr>
          <w:trHeight w:val="46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A6DA75"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lastRenderedPageBreak/>
              <w:t>Clause 17.8.5(d)</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7A68D"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Clause 17.8.5(d) shall be deleted and replaced with the following:</w:t>
            </w:r>
          </w:p>
          <w:p w14:paraId="235D4637" w14:textId="77777777" w:rsidR="00846049" w:rsidRPr="00C0214D" w:rsidRDefault="00846049" w:rsidP="008B6AF5">
            <w:pPr>
              <w:spacing w:after="120"/>
              <w:rPr>
                <w:rFonts w:ascii="Arial" w:eastAsia="Verdana" w:hAnsi="Arial" w:cs="Arial"/>
                <w:bCs/>
                <w:sz w:val="20"/>
                <w:szCs w:val="20"/>
              </w:rPr>
            </w:pPr>
            <w:r w:rsidRPr="00C0214D">
              <w:rPr>
                <w:rFonts w:ascii="Arial" w:hAnsi="Arial" w:cs="Arial"/>
                <w:bCs/>
                <w:sz w:val="20"/>
                <w:szCs w:val="20"/>
              </w:rPr>
              <w:t>“</w:t>
            </w:r>
            <w:proofErr w:type="gramStart"/>
            <w:r w:rsidRPr="00C0214D">
              <w:rPr>
                <w:rFonts w:ascii="Arial" w:hAnsi="Arial" w:cs="Arial"/>
                <w:bCs/>
                <w:sz w:val="20"/>
                <w:szCs w:val="20"/>
              </w:rPr>
              <w:t>the</w:t>
            </w:r>
            <w:proofErr w:type="gramEnd"/>
            <w:r w:rsidRPr="00C0214D">
              <w:rPr>
                <w:rFonts w:ascii="Arial" w:hAnsi="Arial" w:cs="Arial"/>
                <w:bCs/>
                <w:sz w:val="20"/>
                <w:szCs w:val="20"/>
              </w:rPr>
              <w:t xml:space="preserve"> keeping of records in respect of the services being provided under the Key Sub-contract; and”</w:t>
            </w:r>
          </w:p>
        </w:tc>
      </w:tr>
      <w:tr w:rsidR="00846049" w:rsidRPr="00C0214D" w14:paraId="36026CE4" w14:textId="77777777" w:rsidTr="008B6AF5">
        <w:trPr>
          <w:trHeight w:val="46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00297"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17.8.11</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04135"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sz w:val="20"/>
                <w:szCs w:val="20"/>
              </w:rPr>
              <w:t>Clause 17.8.11 shall be deleted and replaced with “Not Used”.</w:t>
            </w:r>
          </w:p>
        </w:tc>
      </w:tr>
      <w:tr w:rsidR="00846049" w:rsidRPr="00C0214D" w14:paraId="2762C9E9" w14:textId="77777777" w:rsidTr="008B6AF5">
        <w:trPr>
          <w:trHeight w:val="46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82A1E"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17.10.1</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478B9" w14:textId="77777777" w:rsidR="00846049" w:rsidRPr="00C0214D" w:rsidRDefault="00846049" w:rsidP="008B6AF5">
            <w:pPr>
              <w:keepNext/>
              <w:spacing w:after="120"/>
              <w:rPr>
                <w:rFonts w:ascii="Arial" w:eastAsia="Verdana" w:hAnsi="Arial" w:cs="Arial"/>
                <w:bCs/>
                <w:sz w:val="20"/>
                <w:szCs w:val="20"/>
              </w:rPr>
            </w:pPr>
            <w:r w:rsidRPr="00C0214D">
              <w:rPr>
                <w:rFonts w:ascii="Arial" w:eastAsia="Verdana" w:hAnsi="Arial" w:cs="Arial"/>
                <w:bCs/>
                <w:sz w:val="20"/>
                <w:szCs w:val="20"/>
              </w:rPr>
              <w:t>Clause 17.10.1 shall be deleted and replaced with the following:</w:t>
            </w:r>
          </w:p>
          <w:p w14:paraId="0468110D"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w:t>
            </w:r>
            <w:proofErr w:type="gramStart"/>
            <w:r w:rsidRPr="00C0214D">
              <w:rPr>
                <w:rFonts w:ascii="Arial" w:eastAsia="Verdana" w:hAnsi="Arial" w:cs="Arial"/>
                <w:bCs/>
                <w:sz w:val="20"/>
                <w:szCs w:val="20"/>
              </w:rPr>
              <w:t>in</w:t>
            </w:r>
            <w:proofErr w:type="gramEnd"/>
            <w:r w:rsidRPr="00C0214D">
              <w:rPr>
                <w:rFonts w:ascii="Arial" w:eastAsia="Verdana" w:hAnsi="Arial" w:cs="Arial"/>
                <w:bCs/>
                <w:sz w:val="20"/>
                <w:szCs w:val="20"/>
              </w:rPr>
              <w:t xml:space="preserve"> the case of a Sub-contract with a New Sub-contractor, giving the Supplier a right to terminate the Sub-contract if the Sub-contractor fails to comply in the performance of the Sub-contract with legal obligations in the fields of environmental, social or labour law;”</w:t>
            </w:r>
          </w:p>
        </w:tc>
      </w:tr>
      <w:tr w:rsidR="00846049" w:rsidRPr="00C0214D" w14:paraId="1CF3EE95" w14:textId="77777777" w:rsidTr="008B6AF5">
        <w:trPr>
          <w:trHeight w:val="46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8AD3D"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17.13</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ABC79"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The following language shall be added at the start of clause 17.13:</w:t>
            </w:r>
          </w:p>
          <w:p w14:paraId="2E2D5A74"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“In the case of a Sub-Contract with a New Sub-Contractor,”</w:t>
            </w:r>
          </w:p>
        </w:tc>
      </w:tr>
      <w:tr w:rsidR="00846049" w:rsidRPr="00C0214D" w14:paraId="311116DD" w14:textId="77777777" w:rsidTr="008B6AF5">
        <w:trPr>
          <w:trHeight w:val="46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486D2"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17.14</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50514"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Clause 17.14 shall be deleted and replaced with the following:</w:t>
            </w:r>
          </w:p>
          <w:p w14:paraId="7D207B1F" w14:textId="29A2E174"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 xml:space="preserve">“If </w:t>
            </w:r>
            <w:proofErr w:type="spellStart"/>
            <w:r w:rsidR="001F1C19">
              <w:rPr>
                <w:rFonts w:ascii="Arial" w:eastAsia="Verdana" w:hAnsi="Arial" w:cs="Arial"/>
                <w:bCs/>
                <w:sz w:val="20"/>
                <w:szCs w:val="20"/>
              </w:rPr>
              <w:t>Netlink</w:t>
            </w:r>
            <w:proofErr w:type="spellEnd"/>
            <w:r w:rsidR="001F1C19">
              <w:rPr>
                <w:rFonts w:ascii="Arial" w:eastAsia="Verdana" w:hAnsi="Arial" w:cs="Arial"/>
                <w:bCs/>
                <w:sz w:val="20"/>
                <w:szCs w:val="20"/>
              </w:rPr>
              <w:t xml:space="preserve"> Star</w:t>
            </w:r>
            <w:r w:rsidRPr="00C0214D">
              <w:rPr>
                <w:rFonts w:ascii="Arial" w:eastAsia="Verdana" w:hAnsi="Arial" w:cs="Arial"/>
                <w:bCs/>
                <w:sz w:val="20"/>
                <w:szCs w:val="20"/>
              </w:rPr>
              <w:t xml:space="preserve"> </w:t>
            </w:r>
            <w:proofErr w:type="gramStart"/>
            <w:r w:rsidRPr="00C0214D">
              <w:rPr>
                <w:rFonts w:ascii="Arial" w:eastAsia="Verdana" w:hAnsi="Arial" w:cs="Arial"/>
                <w:bCs/>
                <w:sz w:val="20"/>
                <w:szCs w:val="20"/>
              </w:rPr>
              <w:t>is able to</w:t>
            </w:r>
            <w:proofErr w:type="gramEnd"/>
            <w:r w:rsidRPr="00C0214D">
              <w:rPr>
                <w:rFonts w:ascii="Arial" w:eastAsia="Verdana" w:hAnsi="Arial" w:cs="Arial"/>
                <w:bCs/>
                <w:sz w:val="20"/>
                <w:szCs w:val="20"/>
              </w:rPr>
              <w:t xml:space="preserve"> obtain from any New Sub-contractor or any other third party (on a like-for-like basis) more favourable commercial terms with respect to the supply of any goods, software or services used by the Supplier or the Supplier Personnel in the supply of the Services, then </w:t>
            </w:r>
            <w:proofErr w:type="spellStart"/>
            <w:r w:rsidR="001F1C19">
              <w:rPr>
                <w:rFonts w:ascii="Arial" w:eastAsia="Verdana" w:hAnsi="Arial" w:cs="Arial"/>
                <w:bCs/>
                <w:sz w:val="20"/>
                <w:szCs w:val="20"/>
              </w:rPr>
              <w:t>Netlink</w:t>
            </w:r>
            <w:proofErr w:type="spellEnd"/>
            <w:r w:rsidR="001F1C19">
              <w:rPr>
                <w:rFonts w:ascii="Arial" w:eastAsia="Verdana" w:hAnsi="Arial" w:cs="Arial"/>
                <w:bCs/>
                <w:sz w:val="20"/>
                <w:szCs w:val="20"/>
              </w:rPr>
              <w:t xml:space="preserve"> Star</w:t>
            </w:r>
            <w:r w:rsidRPr="00C0214D">
              <w:rPr>
                <w:rFonts w:ascii="Arial" w:eastAsia="Verdana" w:hAnsi="Arial" w:cs="Arial"/>
                <w:bCs/>
                <w:sz w:val="20"/>
                <w:szCs w:val="20"/>
              </w:rPr>
              <w:t xml:space="preserve"> may:</w:t>
            </w:r>
          </w:p>
          <w:p w14:paraId="62205091" w14:textId="68AFD610"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17.14.1</w:t>
            </w:r>
            <w:r w:rsidRPr="00C0214D">
              <w:rPr>
                <w:rFonts w:ascii="Arial" w:eastAsia="Verdana" w:hAnsi="Arial" w:cs="Arial"/>
                <w:bCs/>
                <w:sz w:val="20"/>
                <w:szCs w:val="20"/>
              </w:rPr>
              <w:tab/>
              <w:t xml:space="preserve">require the Supplier to replace its existing commercial terms with that person with the more favourable commercial terms obtained by </w:t>
            </w:r>
            <w:proofErr w:type="spellStart"/>
            <w:r w:rsidR="001F1C19">
              <w:rPr>
                <w:rFonts w:ascii="Arial" w:eastAsia="Verdana" w:hAnsi="Arial" w:cs="Arial"/>
                <w:bCs/>
                <w:sz w:val="20"/>
                <w:szCs w:val="20"/>
              </w:rPr>
              <w:t>Netlink</w:t>
            </w:r>
            <w:proofErr w:type="spellEnd"/>
            <w:r w:rsidR="001F1C19">
              <w:rPr>
                <w:rFonts w:ascii="Arial" w:eastAsia="Verdana" w:hAnsi="Arial" w:cs="Arial"/>
                <w:bCs/>
                <w:sz w:val="20"/>
                <w:szCs w:val="20"/>
              </w:rPr>
              <w:t xml:space="preserve"> Star</w:t>
            </w:r>
            <w:r w:rsidRPr="00C0214D">
              <w:rPr>
                <w:rFonts w:ascii="Arial" w:eastAsia="Verdana" w:hAnsi="Arial" w:cs="Arial"/>
                <w:bCs/>
                <w:sz w:val="20"/>
                <w:szCs w:val="20"/>
              </w:rPr>
              <w:t xml:space="preserve"> in respect of the relevant item; or</w:t>
            </w:r>
          </w:p>
          <w:p w14:paraId="0CBFB1B5"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17.14.2</w:t>
            </w:r>
            <w:r w:rsidRPr="00C0214D">
              <w:rPr>
                <w:rFonts w:ascii="Arial" w:eastAsia="Verdana" w:hAnsi="Arial" w:cs="Arial"/>
                <w:bCs/>
                <w:sz w:val="20"/>
                <w:szCs w:val="20"/>
              </w:rPr>
              <w:tab/>
              <w:t>subject to clause 17.13, enter into a direct agreement with that New Sub-contractor or third party in respect of the relevant item.”</w:t>
            </w:r>
          </w:p>
        </w:tc>
      </w:tr>
      <w:tr w:rsidR="00571499" w:rsidRPr="00C0214D" w14:paraId="57CA6848" w14:textId="77777777" w:rsidTr="008B6AF5">
        <w:trPr>
          <w:trHeight w:val="46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F8D83E" w14:textId="1579CBBE" w:rsidR="00571499" w:rsidRPr="00C0214D" w:rsidRDefault="00571499" w:rsidP="008B6AF5">
            <w:pPr>
              <w:rPr>
                <w:rFonts w:eastAsia="Verdana" w:cs="Arial"/>
                <w:b/>
                <w:szCs w:val="20"/>
              </w:rPr>
            </w:pPr>
            <w:r>
              <w:rPr>
                <w:rFonts w:eastAsia="Verdana" w:cs="Arial"/>
                <w:b/>
                <w:szCs w:val="20"/>
              </w:rPr>
              <w:t>Clause 19.16.1</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31F96A" w14:textId="77777777" w:rsidR="00571499" w:rsidRDefault="00571499" w:rsidP="008B6AF5">
            <w:pPr>
              <w:rPr>
                <w:rFonts w:eastAsia="Verdana" w:cs="Arial"/>
                <w:bCs/>
                <w:szCs w:val="20"/>
              </w:rPr>
            </w:pPr>
            <w:r>
              <w:rPr>
                <w:rFonts w:eastAsia="Verdana" w:cs="Arial"/>
                <w:bCs/>
                <w:szCs w:val="20"/>
              </w:rPr>
              <w:t>Clause 19.16.1 shall be deleted and replaced with the following:</w:t>
            </w:r>
          </w:p>
          <w:p w14:paraId="328C9F5C" w14:textId="60E897E6" w:rsidR="00571499" w:rsidRPr="00C0214D" w:rsidRDefault="00672F99" w:rsidP="008B6AF5">
            <w:pPr>
              <w:rPr>
                <w:rFonts w:eastAsia="Verdana" w:cs="Arial"/>
                <w:bCs/>
                <w:szCs w:val="20"/>
              </w:rPr>
            </w:pPr>
            <w:r>
              <w:rPr>
                <w:rFonts w:eastAsia="Verdana" w:cs="Arial"/>
                <w:bCs/>
                <w:szCs w:val="20"/>
              </w:rPr>
              <w:t>“</w:t>
            </w:r>
            <w:r w:rsidR="00571499">
              <w:rPr>
                <w:rFonts w:eastAsia="Verdana" w:cs="Arial"/>
                <w:bCs/>
                <w:szCs w:val="20"/>
              </w:rPr>
              <w:t xml:space="preserve">A licence to use </w:t>
            </w:r>
            <w:r w:rsidRPr="000E5786">
              <w:rPr>
                <w:rFonts w:cs="Arial"/>
                <w:szCs w:val="20"/>
              </w:rPr>
              <w:t xml:space="preserve">any Supplier Non-COTS Software, Supplier </w:t>
            </w:r>
            <w:proofErr w:type="spellStart"/>
            <w:r w:rsidRPr="000E5786">
              <w:rPr>
                <w:rFonts w:cs="Arial"/>
                <w:szCs w:val="20"/>
              </w:rPr>
              <w:t>NonCOTS</w:t>
            </w:r>
            <w:proofErr w:type="spellEnd"/>
            <w:r w:rsidRPr="000E5786">
              <w:rPr>
                <w:rFonts w:cs="Arial"/>
                <w:szCs w:val="20"/>
              </w:rPr>
              <w:t xml:space="preserve"> Background IPRs, Third Party Non-COTS IPRs and/or Third Party Non-COTS Software on a royalty-free basis to the Replacement Supplier and on terms no less favourable than those granted to </w:t>
            </w:r>
            <w:proofErr w:type="spellStart"/>
            <w:r w:rsidR="001F1C19">
              <w:rPr>
                <w:rFonts w:cs="Arial"/>
                <w:szCs w:val="20"/>
              </w:rPr>
              <w:t>Netlink</w:t>
            </w:r>
            <w:proofErr w:type="spellEnd"/>
            <w:r w:rsidR="001F1C19">
              <w:rPr>
                <w:rFonts w:cs="Arial"/>
                <w:szCs w:val="20"/>
              </w:rPr>
              <w:t xml:space="preserve"> Star</w:t>
            </w:r>
            <w:r w:rsidRPr="000E5786">
              <w:rPr>
                <w:rFonts w:cs="Arial"/>
                <w:szCs w:val="20"/>
              </w:rPr>
              <w:t xml:space="preserve"> in respect of the relevant Software and/or IPRs pursuant to or as contemplated by this clause </w:t>
            </w:r>
            <w:r w:rsidRPr="000E5786">
              <w:rPr>
                <w:rFonts w:cs="Arial"/>
                <w:szCs w:val="20"/>
              </w:rPr>
              <w:fldChar w:fldCharType="begin"/>
            </w:r>
            <w:r w:rsidRPr="000E5786">
              <w:rPr>
                <w:rFonts w:cs="Arial"/>
                <w:szCs w:val="20"/>
              </w:rPr>
              <w:instrText xml:space="preserve">  REF _Ref53585716 \w \h \* MERGEFORMAT </w:instrText>
            </w:r>
            <w:r w:rsidRPr="000E5786">
              <w:rPr>
                <w:rFonts w:cs="Arial"/>
                <w:szCs w:val="20"/>
              </w:rPr>
            </w:r>
            <w:r w:rsidRPr="000E5786">
              <w:rPr>
                <w:rFonts w:cs="Arial"/>
                <w:szCs w:val="20"/>
              </w:rPr>
              <w:fldChar w:fldCharType="separate"/>
            </w:r>
            <w:r w:rsidRPr="000E5786">
              <w:rPr>
                <w:rFonts w:cs="Arial"/>
                <w:szCs w:val="20"/>
              </w:rPr>
              <w:t>19</w:t>
            </w:r>
            <w:r w:rsidRPr="000E5786">
              <w:rPr>
                <w:rFonts w:cs="Arial"/>
                <w:szCs w:val="20"/>
              </w:rPr>
              <w:fldChar w:fldCharType="end"/>
            </w:r>
            <w:r w:rsidRPr="000E5786">
              <w:rPr>
                <w:rFonts w:cs="Arial"/>
                <w:szCs w:val="20"/>
              </w:rPr>
              <w:t xml:space="preserve"> subject to receipt by the Supplier of a confidentiality undertaking in its favour (Software) duly executed by the Replacement Supplier</w:t>
            </w:r>
            <w:r>
              <w:rPr>
                <w:rFonts w:cs="Arial"/>
                <w:szCs w:val="20"/>
              </w:rPr>
              <w:t>”</w:t>
            </w:r>
          </w:p>
        </w:tc>
      </w:tr>
      <w:tr w:rsidR="00846049" w:rsidRPr="00C0214D" w14:paraId="039E32BF" w14:textId="77777777" w:rsidTr="008B6AF5">
        <w:trPr>
          <w:trHeight w:val="46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A6F945"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23.13</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B5B5DD"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Clause 23.13 shall be deleted and replaced with the following:</w:t>
            </w:r>
          </w:p>
          <w:p w14:paraId="650ECB68"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“The Supplier shall, as an enduring obligation throughout the Term, use the latest versions of anti-virus definitions and currently supported software available from an industry accepted anti-virus software vendor (unless otherwise agreed in writing between the Parties) to check for, contain the spread of, and minimise the impact of Malicious Software in the IT Environment (or as otherwise agreed by the Parties).”</w:t>
            </w:r>
          </w:p>
        </w:tc>
      </w:tr>
      <w:tr w:rsidR="00846049" w:rsidRPr="00C0214D" w14:paraId="31289CCD" w14:textId="77777777" w:rsidTr="008B6AF5">
        <w:trPr>
          <w:trHeight w:val="46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D7452"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23.16 (Cybersecurity)</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44AB4"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Clause 23.16 shall be deleted and replaced with the following:</w:t>
            </w:r>
          </w:p>
          <w:p w14:paraId="132297DC" w14:textId="56183203"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 xml:space="preserve">“The Supplier shall comply with </w:t>
            </w:r>
            <w:proofErr w:type="spellStart"/>
            <w:r w:rsidR="001F1C19">
              <w:rPr>
                <w:rFonts w:ascii="Arial" w:eastAsia="Verdana" w:hAnsi="Arial" w:cs="Arial"/>
                <w:bCs/>
                <w:sz w:val="20"/>
                <w:szCs w:val="20"/>
              </w:rPr>
              <w:t>Netlink</w:t>
            </w:r>
            <w:proofErr w:type="spellEnd"/>
            <w:r w:rsidR="001F1C19">
              <w:rPr>
                <w:rFonts w:ascii="Arial" w:eastAsia="Verdana" w:hAnsi="Arial" w:cs="Arial"/>
                <w:bCs/>
                <w:sz w:val="20"/>
                <w:szCs w:val="20"/>
              </w:rPr>
              <w:t xml:space="preserve"> Star</w:t>
            </w:r>
            <w:r w:rsidRPr="00C0214D">
              <w:rPr>
                <w:rFonts w:ascii="Arial" w:eastAsia="Verdana" w:hAnsi="Arial" w:cs="Arial"/>
                <w:bCs/>
                <w:sz w:val="20"/>
                <w:szCs w:val="20"/>
              </w:rPr>
              <w:t>’s Security Policy - L1 Information Security Policy and L2 Security Manual Standard.”</w:t>
            </w:r>
          </w:p>
        </w:tc>
      </w:tr>
      <w:tr w:rsidR="00846049" w:rsidRPr="00C0214D" w14:paraId="5E189D4D" w14:textId="77777777" w:rsidTr="008B6AF5">
        <w:trPr>
          <w:trHeight w:val="46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14420E"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25.1.3</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70E44"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Clause 25.1.3 shall be deleted and replaced with the following:</w:t>
            </w:r>
          </w:p>
          <w:p w14:paraId="5D2B3838" w14:textId="4C2C48D4"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w:t>
            </w:r>
            <w:proofErr w:type="gramStart"/>
            <w:r w:rsidRPr="00C0214D">
              <w:rPr>
                <w:rFonts w:ascii="Arial" w:eastAsia="Verdana" w:hAnsi="Arial" w:cs="Arial"/>
                <w:bCs/>
                <w:sz w:val="20"/>
                <w:szCs w:val="20"/>
              </w:rPr>
              <w:t>provide</w:t>
            </w:r>
            <w:proofErr w:type="gramEnd"/>
            <w:r w:rsidRPr="00C0214D">
              <w:rPr>
                <w:rFonts w:ascii="Arial" w:eastAsia="Verdana" w:hAnsi="Arial" w:cs="Arial"/>
                <w:bCs/>
                <w:sz w:val="20"/>
                <w:szCs w:val="20"/>
              </w:rPr>
              <w:t xml:space="preserve"> </w:t>
            </w:r>
            <w:proofErr w:type="spellStart"/>
            <w:r w:rsidR="001F1C19">
              <w:rPr>
                <w:rFonts w:ascii="Arial" w:eastAsia="Verdana" w:hAnsi="Arial" w:cs="Arial"/>
                <w:bCs/>
                <w:sz w:val="20"/>
                <w:szCs w:val="20"/>
              </w:rPr>
              <w:t>Netlink</w:t>
            </w:r>
            <w:proofErr w:type="spellEnd"/>
            <w:r w:rsidR="001F1C19">
              <w:rPr>
                <w:rFonts w:ascii="Arial" w:eastAsia="Verdana" w:hAnsi="Arial" w:cs="Arial"/>
                <w:bCs/>
                <w:sz w:val="20"/>
                <w:szCs w:val="20"/>
              </w:rPr>
              <w:t xml:space="preserve"> Star</w:t>
            </w:r>
            <w:r w:rsidRPr="00C0214D">
              <w:rPr>
                <w:rFonts w:ascii="Arial" w:eastAsia="Verdana" w:hAnsi="Arial" w:cs="Arial"/>
                <w:bCs/>
                <w:sz w:val="20"/>
                <w:szCs w:val="20"/>
              </w:rPr>
              <w:t xml:space="preserve"> with a copy of all Information held on behalf of </w:t>
            </w:r>
            <w:proofErr w:type="spellStart"/>
            <w:r w:rsidR="001F1C19">
              <w:rPr>
                <w:rFonts w:ascii="Arial" w:eastAsia="Verdana" w:hAnsi="Arial" w:cs="Arial"/>
                <w:bCs/>
                <w:sz w:val="20"/>
                <w:szCs w:val="20"/>
              </w:rPr>
              <w:t>Netlink</w:t>
            </w:r>
            <w:proofErr w:type="spellEnd"/>
            <w:r w:rsidR="001F1C19">
              <w:rPr>
                <w:rFonts w:ascii="Arial" w:eastAsia="Verdana" w:hAnsi="Arial" w:cs="Arial"/>
                <w:bCs/>
                <w:sz w:val="20"/>
                <w:szCs w:val="20"/>
              </w:rPr>
              <w:t xml:space="preserve"> Star</w:t>
            </w:r>
            <w:r w:rsidRPr="00C0214D">
              <w:rPr>
                <w:rFonts w:ascii="Arial" w:eastAsia="Verdana" w:hAnsi="Arial" w:cs="Arial"/>
                <w:bCs/>
                <w:sz w:val="20"/>
                <w:szCs w:val="20"/>
              </w:rPr>
              <w:t xml:space="preserve"> which is requested in a Request For Information which is in its possession or control in the form held by the Supplier within five (5) Working Days (or such other period as </w:t>
            </w:r>
            <w:proofErr w:type="spellStart"/>
            <w:r w:rsidR="001F1C19">
              <w:rPr>
                <w:rFonts w:ascii="Arial" w:eastAsia="Verdana" w:hAnsi="Arial" w:cs="Arial"/>
                <w:bCs/>
                <w:sz w:val="20"/>
                <w:szCs w:val="20"/>
              </w:rPr>
              <w:t>Netlink</w:t>
            </w:r>
            <w:proofErr w:type="spellEnd"/>
            <w:r w:rsidR="001F1C19">
              <w:rPr>
                <w:rFonts w:ascii="Arial" w:eastAsia="Verdana" w:hAnsi="Arial" w:cs="Arial"/>
                <w:bCs/>
                <w:sz w:val="20"/>
                <w:szCs w:val="20"/>
              </w:rPr>
              <w:t xml:space="preserve"> Star</w:t>
            </w:r>
            <w:r w:rsidRPr="00C0214D">
              <w:rPr>
                <w:rFonts w:ascii="Arial" w:eastAsia="Verdana" w:hAnsi="Arial" w:cs="Arial"/>
                <w:bCs/>
                <w:sz w:val="20"/>
                <w:szCs w:val="20"/>
              </w:rPr>
              <w:t xml:space="preserve"> may reasonably specify) of </w:t>
            </w:r>
            <w:proofErr w:type="spellStart"/>
            <w:r w:rsidR="001F1C19">
              <w:rPr>
                <w:rFonts w:ascii="Arial" w:eastAsia="Verdana" w:hAnsi="Arial" w:cs="Arial"/>
                <w:bCs/>
                <w:sz w:val="20"/>
                <w:szCs w:val="20"/>
              </w:rPr>
              <w:t>Netlink</w:t>
            </w:r>
            <w:proofErr w:type="spellEnd"/>
            <w:r w:rsidR="001F1C19">
              <w:rPr>
                <w:rFonts w:ascii="Arial" w:eastAsia="Verdana" w:hAnsi="Arial" w:cs="Arial"/>
                <w:bCs/>
                <w:sz w:val="20"/>
                <w:szCs w:val="20"/>
              </w:rPr>
              <w:t xml:space="preserve"> Star</w:t>
            </w:r>
            <w:r w:rsidRPr="00C0214D">
              <w:rPr>
                <w:rFonts w:ascii="Arial" w:eastAsia="Verdana" w:hAnsi="Arial" w:cs="Arial"/>
                <w:bCs/>
                <w:sz w:val="20"/>
                <w:szCs w:val="20"/>
              </w:rPr>
              <w:t>’s request for such Information; and”</w:t>
            </w:r>
          </w:p>
        </w:tc>
      </w:tr>
      <w:tr w:rsidR="00846049" w:rsidRPr="00C0214D" w14:paraId="11E3C020" w14:textId="77777777" w:rsidTr="008B6AF5">
        <w:trPr>
          <w:trHeight w:val="46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76E75"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25.3</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357664"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Clause 25.3.1 shall be deleted and replaced with the following:</w:t>
            </w:r>
          </w:p>
          <w:p w14:paraId="180BA5C9"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w:t>
            </w:r>
            <w:proofErr w:type="gramStart"/>
            <w:r w:rsidRPr="00C0214D">
              <w:rPr>
                <w:rFonts w:ascii="Arial" w:eastAsia="Verdana" w:hAnsi="Arial" w:cs="Arial"/>
                <w:bCs/>
                <w:sz w:val="20"/>
                <w:szCs w:val="20"/>
              </w:rPr>
              <w:t>the</w:t>
            </w:r>
            <w:proofErr w:type="gramEnd"/>
            <w:r w:rsidRPr="00C0214D">
              <w:rPr>
                <w:rFonts w:ascii="Arial" w:eastAsia="Verdana" w:hAnsi="Arial" w:cs="Arial"/>
                <w:bCs/>
                <w:sz w:val="20"/>
                <w:szCs w:val="20"/>
              </w:rPr>
              <w:t xml:space="preserve"> Transparency Reports (excluding any Commercially Sensitive Data); and”</w:t>
            </w:r>
          </w:p>
        </w:tc>
      </w:tr>
      <w:tr w:rsidR="00846049" w:rsidRPr="00C0214D" w14:paraId="219E2BF5" w14:textId="77777777" w:rsidTr="008B6AF5">
        <w:trPr>
          <w:trHeight w:val="46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E56A0"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26.5.2</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E3181"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Delete and replace with: “ensure that it has in place protective measures which are agreed between the parties as appropriate to protect against a Data Loss Event;”</w:t>
            </w:r>
          </w:p>
        </w:tc>
      </w:tr>
      <w:tr w:rsidR="00846049" w:rsidRPr="00C0214D" w14:paraId="02FE527E" w14:textId="77777777" w:rsidTr="008B6AF5">
        <w:trPr>
          <w:trHeight w:val="46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0926DA"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26.5.4</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2452AA"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Clause 26.5.4(a) shall be deleted and replaced with the following:</w:t>
            </w:r>
          </w:p>
          <w:p w14:paraId="0A83F297" w14:textId="3CB6A5ED"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lastRenderedPageBreak/>
              <w:t>“</w:t>
            </w:r>
            <w:proofErr w:type="spellStart"/>
            <w:r w:rsidR="001F1C19">
              <w:rPr>
                <w:rFonts w:ascii="Arial" w:eastAsia="Verdana" w:hAnsi="Arial" w:cs="Arial"/>
                <w:bCs/>
                <w:sz w:val="20"/>
                <w:szCs w:val="20"/>
              </w:rPr>
              <w:t>Netlink</w:t>
            </w:r>
            <w:proofErr w:type="spellEnd"/>
            <w:r w:rsidR="001F1C19">
              <w:rPr>
                <w:rFonts w:ascii="Arial" w:eastAsia="Verdana" w:hAnsi="Arial" w:cs="Arial"/>
                <w:bCs/>
                <w:sz w:val="20"/>
                <w:szCs w:val="20"/>
              </w:rPr>
              <w:t xml:space="preserve"> Star</w:t>
            </w:r>
            <w:r w:rsidRPr="00C0214D">
              <w:rPr>
                <w:rFonts w:ascii="Arial" w:eastAsia="Verdana" w:hAnsi="Arial" w:cs="Arial"/>
                <w:bCs/>
                <w:sz w:val="20"/>
                <w:szCs w:val="20"/>
              </w:rPr>
              <w:t xml:space="preserve"> or the Supplier has provided appropriate safeguards in relation to the transfer as determined by </w:t>
            </w:r>
            <w:proofErr w:type="spellStart"/>
            <w:r w:rsidR="001F1C19">
              <w:rPr>
                <w:rFonts w:ascii="Arial" w:eastAsia="Verdana" w:hAnsi="Arial" w:cs="Arial"/>
                <w:bCs/>
                <w:sz w:val="20"/>
                <w:szCs w:val="20"/>
              </w:rPr>
              <w:t>Netlink</w:t>
            </w:r>
            <w:proofErr w:type="spellEnd"/>
            <w:r w:rsidR="001F1C19">
              <w:rPr>
                <w:rFonts w:ascii="Arial" w:eastAsia="Verdana" w:hAnsi="Arial" w:cs="Arial"/>
                <w:bCs/>
                <w:sz w:val="20"/>
                <w:szCs w:val="20"/>
              </w:rPr>
              <w:t xml:space="preserve"> Star</w:t>
            </w:r>
            <w:r w:rsidRPr="00C0214D">
              <w:rPr>
                <w:rFonts w:ascii="Arial" w:eastAsia="Verdana" w:hAnsi="Arial" w:cs="Arial"/>
                <w:bCs/>
                <w:sz w:val="20"/>
                <w:szCs w:val="20"/>
              </w:rPr>
              <w:t xml:space="preserve"> (acting in good faith);”</w:t>
            </w:r>
          </w:p>
        </w:tc>
      </w:tr>
      <w:tr w:rsidR="00846049" w:rsidRPr="00C0214D" w14:paraId="44910B98" w14:textId="77777777" w:rsidTr="008B6AF5">
        <w:trPr>
          <w:trHeight w:val="46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F51C2"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lastRenderedPageBreak/>
              <w:t>Clause 26.9</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08333"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Clause 26.9 shall be deleted and replaced with the following:</w:t>
            </w:r>
          </w:p>
          <w:p w14:paraId="591638E2" w14:textId="44C3E1A6"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 xml:space="preserve">“Save as for any audits required by the Information Commissioner’s Office or any other regulatory authority which the Supplier shall allow </w:t>
            </w:r>
            <w:bookmarkStart w:id="2419" w:name="_Hlk80867592"/>
            <w:r w:rsidRPr="00C0214D">
              <w:rPr>
                <w:rFonts w:ascii="Arial" w:eastAsia="Verdana" w:hAnsi="Arial" w:cs="Arial"/>
                <w:bCs/>
                <w:sz w:val="20"/>
                <w:szCs w:val="20"/>
              </w:rPr>
              <w:t>or due to a Data Loss Event</w:t>
            </w:r>
            <w:bookmarkEnd w:id="2419"/>
            <w:r w:rsidRPr="00C0214D">
              <w:rPr>
                <w:rFonts w:ascii="Arial" w:eastAsia="Verdana" w:hAnsi="Arial" w:cs="Arial"/>
                <w:bCs/>
                <w:sz w:val="20"/>
                <w:szCs w:val="20"/>
              </w:rPr>
              <w:t xml:space="preserve"> the Supplier shall allow for no more than one (1) audit of its Data Processing activity by </w:t>
            </w:r>
            <w:proofErr w:type="spellStart"/>
            <w:r w:rsidR="001F1C19">
              <w:rPr>
                <w:rFonts w:ascii="Arial" w:eastAsia="Verdana" w:hAnsi="Arial" w:cs="Arial"/>
                <w:bCs/>
                <w:sz w:val="20"/>
                <w:szCs w:val="20"/>
              </w:rPr>
              <w:t>Netlink</w:t>
            </w:r>
            <w:proofErr w:type="spellEnd"/>
            <w:r w:rsidR="001F1C19">
              <w:rPr>
                <w:rFonts w:ascii="Arial" w:eastAsia="Verdana" w:hAnsi="Arial" w:cs="Arial"/>
                <w:bCs/>
                <w:sz w:val="20"/>
                <w:szCs w:val="20"/>
              </w:rPr>
              <w:t xml:space="preserve"> Star</w:t>
            </w:r>
            <w:r w:rsidRPr="00C0214D">
              <w:rPr>
                <w:rFonts w:ascii="Arial" w:eastAsia="Verdana" w:hAnsi="Arial" w:cs="Arial"/>
                <w:bCs/>
                <w:sz w:val="20"/>
                <w:szCs w:val="20"/>
              </w:rPr>
              <w:t xml:space="preserve"> or </w:t>
            </w:r>
            <w:proofErr w:type="spellStart"/>
            <w:r w:rsidR="001F1C19">
              <w:rPr>
                <w:rFonts w:ascii="Arial" w:eastAsia="Verdana" w:hAnsi="Arial" w:cs="Arial"/>
                <w:bCs/>
                <w:sz w:val="20"/>
                <w:szCs w:val="20"/>
              </w:rPr>
              <w:t>Netlink</w:t>
            </w:r>
            <w:proofErr w:type="spellEnd"/>
            <w:r w:rsidR="001F1C19">
              <w:rPr>
                <w:rFonts w:ascii="Arial" w:eastAsia="Verdana" w:hAnsi="Arial" w:cs="Arial"/>
                <w:bCs/>
                <w:sz w:val="20"/>
                <w:szCs w:val="20"/>
              </w:rPr>
              <w:t xml:space="preserve"> Star</w:t>
            </w:r>
            <w:r w:rsidRPr="00C0214D">
              <w:rPr>
                <w:rFonts w:ascii="Arial" w:eastAsia="Verdana" w:hAnsi="Arial" w:cs="Arial"/>
                <w:bCs/>
                <w:sz w:val="20"/>
                <w:szCs w:val="20"/>
              </w:rPr>
              <w:t>’s designated auditor per calendar year.”</w:t>
            </w:r>
          </w:p>
        </w:tc>
      </w:tr>
      <w:tr w:rsidR="00846049" w:rsidRPr="00C0214D" w14:paraId="2C72DDD3" w14:textId="77777777" w:rsidTr="008B6AF5">
        <w:trPr>
          <w:trHeight w:val="46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6A9BA"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28.2</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A0070"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Clause 28.2 shall be deleted and replaced with the following:</w:t>
            </w:r>
          </w:p>
          <w:p w14:paraId="31CFA78C"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“The Supplier’s liability in respect of:</w:t>
            </w:r>
          </w:p>
          <w:p w14:paraId="065B7E0E"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28.2.1</w:t>
            </w:r>
            <w:r w:rsidRPr="00C0214D">
              <w:rPr>
                <w:rFonts w:ascii="Arial" w:eastAsia="Verdana" w:hAnsi="Arial" w:cs="Arial"/>
                <w:bCs/>
                <w:sz w:val="20"/>
                <w:szCs w:val="20"/>
              </w:rPr>
              <w:tab/>
              <w:t>the indemnities in clause 12.6 (VAT), clause 16.7 (Employment Indemnity), clause 16.8 (Income Tax and National Insurance Contributions), clause 22 (IPRs Indemnity) and Schedule 11 (Staff Transfer), shall be unlimited; and</w:t>
            </w:r>
          </w:p>
          <w:p w14:paraId="7EFF8A8A"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28.2.2</w:t>
            </w:r>
            <w:r w:rsidRPr="00C0214D">
              <w:rPr>
                <w:rFonts w:ascii="Arial" w:eastAsia="Verdana" w:hAnsi="Arial" w:cs="Arial"/>
                <w:bCs/>
                <w:sz w:val="20"/>
                <w:szCs w:val="20"/>
              </w:rPr>
              <w:tab/>
              <w:t>all breaches of clause 26 (Protection of Personal Data) shall be capped in aggregate at twenty million pounds (£20,000,000.00).”</w:t>
            </w:r>
          </w:p>
        </w:tc>
      </w:tr>
      <w:tr w:rsidR="00D9696C" w:rsidRPr="00C0214D" w14:paraId="20F83140" w14:textId="77777777" w:rsidTr="008B6AF5">
        <w:trPr>
          <w:trHeight w:val="46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8233E" w14:textId="480054D5" w:rsidR="00D9696C" w:rsidRPr="00C0214D" w:rsidRDefault="00D9696C" w:rsidP="008B6AF5">
            <w:pPr>
              <w:rPr>
                <w:rFonts w:eastAsia="Verdana" w:cs="Arial"/>
                <w:b/>
                <w:szCs w:val="20"/>
              </w:rPr>
            </w:pPr>
            <w:r w:rsidRPr="00C0214D">
              <w:rPr>
                <w:rFonts w:ascii="Arial" w:eastAsia="Verdana" w:hAnsi="Arial" w:cs="Arial"/>
                <w:b/>
                <w:sz w:val="20"/>
                <w:szCs w:val="20"/>
              </w:rPr>
              <w:t>Clause 28.6</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889C5D" w14:textId="5426E69D" w:rsidR="009E39CF" w:rsidRPr="009E39CF" w:rsidRDefault="009E39CF" w:rsidP="009E39CF">
            <w:pPr>
              <w:spacing w:after="120"/>
              <w:rPr>
                <w:rFonts w:ascii="Arial" w:eastAsia="Verdana" w:hAnsi="Arial" w:cs="Arial"/>
                <w:bCs/>
                <w:sz w:val="20"/>
                <w:szCs w:val="20"/>
              </w:rPr>
            </w:pPr>
            <w:r w:rsidRPr="009E39CF">
              <w:rPr>
                <w:rFonts w:ascii="Arial" w:eastAsia="Verdana" w:hAnsi="Arial" w:cs="Arial"/>
                <w:bCs/>
                <w:sz w:val="20"/>
                <w:szCs w:val="20"/>
              </w:rPr>
              <w:t>Clause 28.6 shall be deleted and replaced with the following:</w:t>
            </w:r>
          </w:p>
          <w:p w14:paraId="1DA1669F" w14:textId="29B472BA" w:rsidR="009E39CF" w:rsidRPr="009E39CF" w:rsidRDefault="009E39CF" w:rsidP="009E39CF">
            <w:pPr>
              <w:pStyle w:val="Heading2"/>
              <w:numPr>
                <w:ilvl w:val="0"/>
                <w:numId w:val="0"/>
              </w:numPr>
              <w:spacing w:after="120"/>
              <w:rPr>
                <w:rFonts w:ascii="Arial" w:hAnsi="Arial" w:cs="Arial"/>
                <w:sz w:val="20"/>
                <w:szCs w:val="20"/>
              </w:rPr>
            </w:pPr>
            <w:r w:rsidRPr="009E39CF">
              <w:rPr>
                <w:rFonts w:ascii="Arial" w:hAnsi="Arial" w:cs="Arial"/>
                <w:sz w:val="20"/>
                <w:szCs w:val="20"/>
              </w:rPr>
              <w:t xml:space="preserve">“28.6 Subject to clauses </w:t>
            </w:r>
            <w:r w:rsidRPr="009E39CF">
              <w:rPr>
                <w:rFonts w:cs="Arial"/>
                <w:szCs w:val="20"/>
              </w:rPr>
              <w:fldChar w:fldCharType="begin"/>
            </w:r>
            <w:r w:rsidRPr="009E39CF">
              <w:rPr>
                <w:rFonts w:ascii="Arial" w:hAnsi="Arial" w:cs="Arial"/>
                <w:sz w:val="20"/>
                <w:szCs w:val="20"/>
              </w:rPr>
              <w:instrText xml:space="preserve">  REF _Ref53585355 \w \h \* MERGEFORMAT </w:instrText>
            </w:r>
            <w:r w:rsidRPr="009E39CF">
              <w:rPr>
                <w:rFonts w:cs="Arial"/>
                <w:szCs w:val="20"/>
              </w:rPr>
            </w:r>
            <w:r w:rsidRPr="009E39CF">
              <w:rPr>
                <w:rFonts w:cs="Arial"/>
                <w:szCs w:val="20"/>
              </w:rPr>
              <w:fldChar w:fldCharType="separate"/>
            </w:r>
            <w:r w:rsidRPr="009E39CF">
              <w:rPr>
                <w:rFonts w:ascii="Arial" w:hAnsi="Arial" w:cs="Arial"/>
                <w:sz w:val="20"/>
                <w:szCs w:val="20"/>
              </w:rPr>
              <w:t>28.1</w:t>
            </w:r>
            <w:r w:rsidRPr="009E39CF">
              <w:rPr>
                <w:rFonts w:cs="Arial"/>
                <w:szCs w:val="20"/>
              </w:rPr>
              <w:fldChar w:fldCharType="end"/>
            </w:r>
            <w:r w:rsidRPr="009E39CF">
              <w:rPr>
                <w:rFonts w:ascii="Arial" w:hAnsi="Arial" w:cs="Arial"/>
                <w:sz w:val="20"/>
                <w:szCs w:val="20"/>
              </w:rPr>
              <w:t xml:space="preserve"> and </w:t>
            </w:r>
            <w:r w:rsidRPr="009E39CF">
              <w:rPr>
                <w:rFonts w:cs="Arial"/>
                <w:szCs w:val="20"/>
              </w:rPr>
              <w:fldChar w:fldCharType="begin"/>
            </w:r>
            <w:r w:rsidRPr="009E39CF">
              <w:rPr>
                <w:rFonts w:ascii="Arial" w:hAnsi="Arial" w:cs="Arial"/>
                <w:sz w:val="20"/>
                <w:szCs w:val="20"/>
              </w:rPr>
              <w:instrText xml:space="preserve">  REF _Ref53585362 \w \h \* MERGEFORMAT </w:instrText>
            </w:r>
            <w:r w:rsidRPr="009E39CF">
              <w:rPr>
                <w:rFonts w:cs="Arial"/>
                <w:szCs w:val="20"/>
              </w:rPr>
            </w:r>
            <w:r w:rsidRPr="009E39CF">
              <w:rPr>
                <w:rFonts w:cs="Arial"/>
                <w:szCs w:val="20"/>
              </w:rPr>
              <w:fldChar w:fldCharType="separate"/>
            </w:r>
            <w:r w:rsidRPr="009E39CF">
              <w:rPr>
                <w:rFonts w:ascii="Arial" w:hAnsi="Arial" w:cs="Arial"/>
                <w:sz w:val="20"/>
                <w:szCs w:val="20"/>
              </w:rPr>
              <w:t>28.3</w:t>
            </w:r>
            <w:r w:rsidRPr="009E39CF">
              <w:rPr>
                <w:rFonts w:cs="Arial"/>
                <w:szCs w:val="20"/>
              </w:rPr>
              <w:fldChar w:fldCharType="end"/>
            </w:r>
            <w:r w:rsidRPr="009E39CF">
              <w:rPr>
                <w:rFonts w:ascii="Arial" w:hAnsi="Arial" w:cs="Arial"/>
                <w:sz w:val="20"/>
                <w:szCs w:val="20"/>
              </w:rPr>
              <w:t xml:space="preserve"> (Unlimited Liability) and clause </w:t>
            </w:r>
            <w:r w:rsidRPr="009E39CF">
              <w:rPr>
                <w:rFonts w:cs="Arial"/>
                <w:szCs w:val="20"/>
              </w:rPr>
              <w:fldChar w:fldCharType="begin"/>
            </w:r>
            <w:r w:rsidRPr="009E39CF">
              <w:rPr>
                <w:rFonts w:ascii="Arial" w:hAnsi="Arial" w:cs="Arial"/>
                <w:sz w:val="20"/>
                <w:szCs w:val="20"/>
              </w:rPr>
              <w:instrText xml:space="preserve">  REF _Ref53585383 \w \h \* MERGEFORMAT </w:instrText>
            </w:r>
            <w:r w:rsidRPr="009E39CF">
              <w:rPr>
                <w:rFonts w:cs="Arial"/>
                <w:szCs w:val="20"/>
              </w:rPr>
            </w:r>
            <w:r w:rsidRPr="009E39CF">
              <w:rPr>
                <w:rFonts w:cs="Arial"/>
                <w:szCs w:val="20"/>
              </w:rPr>
              <w:fldChar w:fldCharType="separate"/>
            </w:r>
            <w:r w:rsidRPr="009E39CF">
              <w:rPr>
                <w:rFonts w:ascii="Arial" w:hAnsi="Arial" w:cs="Arial"/>
                <w:sz w:val="20"/>
                <w:szCs w:val="20"/>
              </w:rPr>
              <w:t>28.8</w:t>
            </w:r>
            <w:r w:rsidRPr="009E39CF">
              <w:rPr>
                <w:rFonts w:cs="Arial"/>
                <w:szCs w:val="20"/>
              </w:rPr>
              <w:fldChar w:fldCharType="end"/>
            </w:r>
            <w:r w:rsidRPr="009E39CF">
              <w:rPr>
                <w:rFonts w:ascii="Arial" w:hAnsi="Arial" w:cs="Arial"/>
                <w:sz w:val="20"/>
                <w:szCs w:val="20"/>
              </w:rPr>
              <w:t xml:space="preserve"> (Consequential Losses) and without prejudice to </w:t>
            </w:r>
            <w:proofErr w:type="spellStart"/>
            <w:r w:rsidR="001F1C19">
              <w:rPr>
                <w:rFonts w:ascii="Arial" w:hAnsi="Arial" w:cs="Arial"/>
                <w:sz w:val="20"/>
                <w:szCs w:val="20"/>
              </w:rPr>
              <w:t>Netlink</w:t>
            </w:r>
            <w:proofErr w:type="spellEnd"/>
            <w:r w:rsidR="001F1C19">
              <w:rPr>
                <w:rFonts w:ascii="Arial" w:hAnsi="Arial" w:cs="Arial"/>
                <w:sz w:val="20"/>
                <w:szCs w:val="20"/>
              </w:rPr>
              <w:t xml:space="preserve"> Star</w:t>
            </w:r>
            <w:r w:rsidRPr="009E39CF">
              <w:rPr>
                <w:rFonts w:ascii="Arial" w:hAnsi="Arial" w:cs="Arial"/>
                <w:sz w:val="20"/>
                <w:szCs w:val="20"/>
              </w:rPr>
              <w:t>’s obligation to pay the Charges as and when they fall due for payment (including payments in respect of unpaid Charges for Services received up until the Termination Date):</w:t>
            </w:r>
          </w:p>
          <w:p w14:paraId="53EAAB91" w14:textId="50B0FB5C" w:rsidR="009E39CF" w:rsidRPr="009E39CF" w:rsidRDefault="009E39CF" w:rsidP="009E39CF">
            <w:pPr>
              <w:pStyle w:val="Heading3"/>
              <w:numPr>
                <w:ilvl w:val="0"/>
                <w:numId w:val="0"/>
              </w:numPr>
              <w:ind w:left="710"/>
              <w:rPr>
                <w:rFonts w:ascii="Arial" w:hAnsi="Arial"/>
                <w:sz w:val="20"/>
              </w:rPr>
            </w:pPr>
            <w:r w:rsidRPr="009E39CF">
              <w:rPr>
                <w:rFonts w:ascii="Arial" w:hAnsi="Arial"/>
                <w:sz w:val="20"/>
              </w:rPr>
              <w:t xml:space="preserve">28.6.1 </w:t>
            </w:r>
            <w:proofErr w:type="spellStart"/>
            <w:r w:rsidR="001F1C19">
              <w:rPr>
                <w:rFonts w:ascii="Arial" w:hAnsi="Arial"/>
                <w:sz w:val="20"/>
              </w:rPr>
              <w:t>Netlink</w:t>
            </w:r>
            <w:proofErr w:type="spellEnd"/>
            <w:r w:rsidR="001F1C19">
              <w:rPr>
                <w:rFonts w:ascii="Arial" w:hAnsi="Arial"/>
                <w:sz w:val="20"/>
              </w:rPr>
              <w:t xml:space="preserve"> Star</w:t>
            </w:r>
            <w:r w:rsidRPr="009E39CF">
              <w:rPr>
                <w:rFonts w:ascii="Arial" w:hAnsi="Arial"/>
                <w:sz w:val="20"/>
              </w:rPr>
              <w:t xml:space="preserve">’s total aggregate liability in respect of all Losses incurred by the Supplier under or in connection with this Agreement as a result of early termination of this Agreement by </w:t>
            </w:r>
            <w:proofErr w:type="spellStart"/>
            <w:r w:rsidR="001F1C19">
              <w:rPr>
                <w:rFonts w:ascii="Arial" w:hAnsi="Arial"/>
                <w:sz w:val="20"/>
              </w:rPr>
              <w:t>Netlink</w:t>
            </w:r>
            <w:proofErr w:type="spellEnd"/>
            <w:r w:rsidR="001F1C19">
              <w:rPr>
                <w:rFonts w:ascii="Arial" w:hAnsi="Arial"/>
                <w:sz w:val="20"/>
              </w:rPr>
              <w:t xml:space="preserve"> Star</w:t>
            </w:r>
            <w:r w:rsidRPr="009E39CF">
              <w:rPr>
                <w:rFonts w:ascii="Arial" w:hAnsi="Arial"/>
                <w:sz w:val="20"/>
              </w:rPr>
              <w:t xml:space="preserve"> pursuant to clause </w:t>
            </w:r>
            <w:r w:rsidRPr="009E39CF">
              <w:fldChar w:fldCharType="begin"/>
            </w:r>
            <w:r w:rsidRPr="009E39CF">
              <w:rPr>
                <w:rFonts w:ascii="Arial" w:hAnsi="Arial"/>
                <w:sz w:val="20"/>
              </w:rPr>
              <w:instrText xml:space="preserve">  REF _Ref53585546 \w \h \* MERGEFORMAT </w:instrText>
            </w:r>
            <w:r w:rsidRPr="009E39CF">
              <w:fldChar w:fldCharType="separate"/>
            </w:r>
            <w:r w:rsidRPr="009E39CF">
              <w:rPr>
                <w:rFonts w:ascii="Arial" w:hAnsi="Arial"/>
                <w:sz w:val="20"/>
              </w:rPr>
              <w:t>36.1</w:t>
            </w:r>
            <w:r w:rsidRPr="009E39CF">
              <w:fldChar w:fldCharType="end"/>
            </w:r>
            <w:r w:rsidRPr="009E39CF">
              <w:rPr>
                <w:rFonts w:ascii="Arial" w:hAnsi="Arial"/>
                <w:sz w:val="20"/>
              </w:rPr>
              <w:t xml:space="preserve"> (Termination by </w:t>
            </w:r>
            <w:proofErr w:type="spellStart"/>
            <w:r w:rsidR="001F1C19">
              <w:rPr>
                <w:rFonts w:ascii="Arial" w:hAnsi="Arial"/>
                <w:sz w:val="20"/>
              </w:rPr>
              <w:t>Netlink</w:t>
            </w:r>
            <w:proofErr w:type="spellEnd"/>
            <w:r w:rsidR="001F1C19">
              <w:rPr>
                <w:rFonts w:ascii="Arial" w:hAnsi="Arial"/>
                <w:sz w:val="20"/>
              </w:rPr>
              <w:t xml:space="preserve"> Star</w:t>
            </w:r>
            <w:r w:rsidRPr="009E39CF">
              <w:rPr>
                <w:rFonts w:ascii="Arial" w:hAnsi="Arial"/>
                <w:sz w:val="20"/>
              </w:rPr>
              <w:t xml:space="preserve">) or by the Supplier pursuant to clause </w:t>
            </w:r>
            <w:r w:rsidRPr="009E39CF">
              <w:fldChar w:fldCharType="begin"/>
            </w:r>
            <w:r w:rsidRPr="009E39CF">
              <w:rPr>
                <w:rFonts w:ascii="Arial" w:hAnsi="Arial"/>
                <w:sz w:val="20"/>
              </w:rPr>
              <w:instrText xml:space="preserve">  REF _Ref53585556 \w \h \* MERGEFORMAT </w:instrText>
            </w:r>
            <w:r w:rsidRPr="009E39CF">
              <w:fldChar w:fldCharType="separate"/>
            </w:r>
            <w:r w:rsidRPr="009E39CF">
              <w:rPr>
                <w:rFonts w:ascii="Arial" w:hAnsi="Arial"/>
                <w:sz w:val="20"/>
              </w:rPr>
              <w:t>36.3.1</w:t>
            </w:r>
            <w:r w:rsidRPr="009E39CF">
              <w:fldChar w:fldCharType="end"/>
            </w:r>
            <w:r w:rsidRPr="009E39CF">
              <w:rPr>
                <w:rFonts w:ascii="Arial" w:hAnsi="Arial"/>
                <w:sz w:val="20"/>
              </w:rPr>
              <w:t xml:space="preserve"> (Termination by the Supplier) shall in no event exceed </w:t>
            </w:r>
            <w:r w:rsidRPr="009E39CF">
              <w:rPr>
                <w:rFonts w:ascii="Arial" w:eastAsia="Verdana" w:hAnsi="Arial"/>
                <w:bCs w:val="0"/>
                <w:sz w:val="20"/>
              </w:rPr>
              <w:t>five hundred thousand pounds (£500,000)</w:t>
            </w:r>
            <w:r w:rsidRPr="009E39CF">
              <w:rPr>
                <w:rFonts w:ascii="Arial" w:hAnsi="Arial"/>
                <w:sz w:val="20"/>
              </w:rPr>
              <w:t>; and</w:t>
            </w:r>
          </w:p>
          <w:p w14:paraId="6CC4B04A" w14:textId="318202C8" w:rsidR="009E39CF" w:rsidRPr="009E39CF" w:rsidRDefault="009E39CF" w:rsidP="009E39CF">
            <w:pPr>
              <w:pStyle w:val="Heading3"/>
              <w:numPr>
                <w:ilvl w:val="0"/>
                <w:numId w:val="0"/>
              </w:numPr>
              <w:ind w:left="710"/>
              <w:rPr>
                <w:rFonts w:ascii="Arial" w:hAnsi="Arial"/>
                <w:sz w:val="20"/>
              </w:rPr>
            </w:pPr>
            <w:r w:rsidRPr="009E39CF">
              <w:rPr>
                <w:rFonts w:ascii="Arial" w:hAnsi="Arial"/>
                <w:sz w:val="20"/>
              </w:rPr>
              <w:t xml:space="preserve">28.6.2 </w:t>
            </w:r>
            <w:proofErr w:type="spellStart"/>
            <w:r w:rsidR="001F1C19">
              <w:rPr>
                <w:rFonts w:ascii="Arial" w:hAnsi="Arial"/>
                <w:sz w:val="20"/>
              </w:rPr>
              <w:t>Netlink</w:t>
            </w:r>
            <w:proofErr w:type="spellEnd"/>
            <w:r w:rsidR="001F1C19">
              <w:rPr>
                <w:rFonts w:ascii="Arial" w:hAnsi="Arial"/>
                <w:sz w:val="20"/>
              </w:rPr>
              <w:t xml:space="preserve"> Star</w:t>
            </w:r>
            <w:r w:rsidRPr="009E39CF">
              <w:rPr>
                <w:rFonts w:ascii="Arial" w:hAnsi="Arial"/>
                <w:sz w:val="20"/>
              </w:rPr>
              <w:t xml:space="preserve">’s aggregate liability in respect of all Losses incurred by the Supplier under or in connection with this Agreement </w:t>
            </w:r>
            <w:proofErr w:type="gramStart"/>
            <w:r w:rsidRPr="009E39CF">
              <w:rPr>
                <w:rFonts w:ascii="Arial" w:hAnsi="Arial"/>
                <w:sz w:val="20"/>
              </w:rPr>
              <w:t>as a result of</w:t>
            </w:r>
            <w:proofErr w:type="gramEnd"/>
            <w:r w:rsidRPr="009E39CF">
              <w:rPr>
                <w:rFonts w:ascii="Arial" w:hAnsi="Arial"/>
                <w:sz w:val="20"/>
              </w:rPr>
              <w:t xml:space="preserve"> Defaults of </w:t>
            </w:r>
            <w:proofErr w:type="spellStart"/>
            <w:r w:rsidR="001F1C19">
              <w:rPr>
                <w:rFonts w:ascii="Arial" w:hAnsi="Arial"/>
                <w:sz w:val="20"/>
              </w:rPr>
              <w:t>Netlink</w:t>
            </w:r>
            <w:proofErr w:type="spellEnd"/>
            <w:r w:rsidR="001F1C19">
              <w:rPr>
                <w:rFonts w:ascii="Arial" w:hAnsi="Arial"/>
                <w:sz w:val="20"/>
              </w:rPr>
              <w:t xml:space="preserve"> Star</w:t>
            </w:r>
            <w:r w:rsidRPr="009E39CF">
              <w:rPr>
                <w:rFonts w:ascii="Arial" w:hAnsi="Arial"/>
                <w:sz w:val="20"/>
              </w:rPr>
              <w:t xml:space="preserve"> shall in no event exceed an amount equal to fifty per cent (50%) of the total Charges paid, due or which would have been payable during the Term, as set out in the Base Overhead Charge.”</w:t>
            </w:r>
          </w:p>
          <w:p w14:paraId="129CB5D4" w14:textId="6FF9906F" w:rsidR="00D9696C" w:rsidRPr="00C0214D" w:rsidRDefault="00D9696C" w:rsidP="00D9696C">
            <w:pPr>
              <w:spacing w:after="120"/>
              <w:rPr>
                <w:rFonts w:eastAsia="Verdana" w:cs="Arial"/>
                <w:bCs/>
                <w:szCs w:val="20"/>
              </w:rPr>
            </w:pPr>
          </w:p>
        </w:tc>
      </w:tr>
      <w:tr w:rsidR="00D03D0D" w:rsidRPr="00C0214D" w14:paraId="158849BF" w14:textId="77777777" w:rsidTr="008B6AF5">
        <w:trPr>
          <w:trHeight w:val="46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2A99EA" w14:textId="780809AA" w:rsidR="00D03D0D" w:rsidRPr="00C0214D" w:rsidRDefault="00D03D0D" w:rsidP="00D03D0D">
            <w:pPr>
              <w:spacing w:after="120"/>
              <w:rPr>
                <w:rFonts w:eastAsia="Verdana" w:cs="Arial"/>
                <w:b/>
                <w:szCs w:val="20"/>
              </w:rPr>
            </w:pPr>
            <w:r w:rsidRPr="00D03D0D">
              <w:rPr>
                <w:rFonts w:ascii="Arial" w:eastAsia="Verdana" w:hAnsi="Arial" w:cs="Arial"/>
                <w:b/>
                <w:sz w:val="20"/>
                <w:szCs w:val="20"/>
              </w:rPr>
              <w:t>Clause 31.2</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5F63E5" w14:textId="136D1E2E" w:rsidR="00D03D0D" w:rsidRPr="00C0214D" w:rsidRDefault="00D03D0D" w:rsidP="008B6AF5">
            <w:pPr>
              <w:rPr>
                <w:rFonts w:eastAsia="Verdana" w:cs="Arial"/>
                <w:bCs/>
                <w:szCs w:val="20"/>
              </w:rPr>
            </w:pPr>
            <w:r w:rsidRPr="00C0214D">
              <w:rPr>
                <w:rFonts w:ascii="Arial" w:eastAsia="Verdana" w:hAnsi="Arial" w:cs="Arial"/>
                <w:bCs/>
                <w:sz w:val="20"/>
                <w:szCs w:val="20"/>
              </w:rPr>
              <w:t>Clause 28.6.1 shall be deleted and replaced</w:t>
            </w:r>
            <w:r w:rsidRPr="00C0214D">
              <w:rPr>
                <w:rFonts w:ascii="Arial" w:eastAsia="Verdana" w:hAnsi="Arial" w:cs="Arial"/>
                <w:sz w:val="20"/>
                <w:szCs w:val="20"/>
              </w:rPr>
              <w:t xml:space="preserve"> with “Not Used”.</w:t>
            </w:r>
          </w:p>
        </w:tc>
      </w:tr>
      <w:tr w:rsidR="00846049" w:rsidRPr="00C0214D" w14:paraId="064F9B0C" w14:textId="77777777" w:rsidTr="008B6AF5">
        <w:trPr>
          <w:trHeight w:val="468"/>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A1DF27" w14:textId="77777777" w:rsidR="00846049" w:rsidRPr="00C0214D" w:rsidRDefault="00846049" w:rsidP="008B6AF5">
            <w:pPr>
              <w:spacing w:after="120"/>
              <w:rPr>
                <w:rFonts w:ascii="Arial" w:eastAsia="Verdana" w:hAnsi="Arial" w:cs="Arial"/>
                <w:b/>
                <w:sz w:val="20"/>
                <w:szCs w:val="20"/>
              </w:rPr>
            </w:pPr>
            <w:r w:rsidRPr="00C0214D">
              <w:rPr>
                <w:rFonts w:ascii="Arial" w:eastAsia="Verdana" w:hAnsi="Arial" w:cs="Arial"/>
                <w:b/>
                <w:sz w:val="20"/>
                <w:szCs w:val="20"/>
              </w:rPr>
              <w:t>Clause 36.1.1</w:t>
            </w:r>
          </w:p>
        </w:tc>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FA9F5A" w14:textId="77777777" w:rsidR="00846049" w:rsidRPr="00C0214D" w:rsidRDefault="00846049" w:rsidP="008B6AF5">
            <w:pPr>
              <w:spacing w:after="120"/>
              <w:rPr>
                <w:rFonts w:ascii="Arial" w:eastAsia="Verdana" w:hAnsi="Arial" w:cs="Arial"/>
                <w:sz w:val="20"/>
                <w:szCs w:val="20"/>
              </w:rPr>
            </w:pPr>
            <w:r w:rsidRPr="00C0214D">
              <w:rPr>
                <w:rFonts w:ascii="Arial" w:eastAsia="Verdana" w:hAnsi="Arial" w:cs="Arial"/>
                <w:sz w:val="20"/>
                <w:szCs w:val="20"/>
              </w:rPr>
              <w:t>Clause 36.1.1 shall be deleted and replaced with the following:</w:t>
            </w:r>
          </w:p>
          <w:p w14:paraId="20C024C7" w14:textId="77777777" w:rsidR="00846049" w:rsidRPr="00C0214D" w:rsidRDefault="00846049" w:rsidP="008B6AF5">
            <w:pPr>
              <w:spacing w:after="120"/>
              <w:rPr>
                <w:rFonts w:ascii="Arial" w:eastAsia="Verdana" w:hAnsi="Arial" w:cs="Arial"/>
                <w:bCs/>
                <w:sz w:val="20"/>
                <w:szCs w:val="20"/>
              </w:rPr>
            </w:pPr>
            <w:r w:rsidRPr="00C0214D">
              <w:rPr>
                <w:rFonts w:ascii="Arial" w:eastAsia="Verdana" w:hAnsi="Arial" w:cs="Arial"/>
                <w:bCs/>
                <w:sz w:val="20"/>
                <w:szCs w:val="20"/>
              </w:rPr>
              <w:t>“</w:t>
            </w:r>
            <w:proofErr w:type="gramStart"/>
            <w:r w:rsidRPr="00C0214D">
              <w:rPr>
                <w:rFonts w:ascii="Arial" w:eastAsia="Verdana" w:hAnsi="Arial" w:cs="Arial"/>
                <w:bCs/>
                <w:sz w:val="20"/>
                <w:szCs w:val="20"/>
              </w:rPr>
              <w:t>for</w:t>
            </w:r>
            <w:proofErr w:type="gramEnd"/>
            <w:r w:rsidRPr="00C0214D">
              <w:rPr>
                <w:rFonts w:ascii="Arial" w:eastAsia="Verdana" w:hAnsi="Arial" w:cs="Arial"/>
                <w:bCs/>
                <w:sz w:val="20"/>
                <w:szCs w:val="20"/>
              </w:rPr>
              <w:t xml:space="preserve"> convenience at any time effective 90 days from issue of such Termination Notice, except where the Agreement should not have been entered into in view of a serious infringement of obligations under European Law declared by the Court of Justice of the European Union under Article 258 of the Treaty on the Functioning of the EU in which case such notice may be effective immediately. If such termination for convenience occurs prior to final acceptance of the Initial Transition </w:t>
            </w:r>
            <w:proofErr w:type="gramStart"/>
            <w:r w:rsidRPr="00C0214D">
              <w:rPr>
                <w:rFonts w:ascii="Arial" w:eastAsia="Verdana" w:hAnsi="Arial" w:cs="Arial"/>
                <w:bCs/>
                <w:sz w:val="20"/>
                <w:szCs w:val="20"/>
              </w:rPr>
              <w:t>Project</w:t>
            </w:r>
            <w:proofErr w:type="gramEnd"/>
            <w:r w:rsidRPr="00C0214D">
              <w:rPr>
                <w:rFonts w:ascii="Arial" w:eastAsia="Verdana" w:hAnsi="Arial" w:cs="Arial"/>
                <w:bCs/>
                <w:sz w:val="20"/>
                <w:szCs w:val="20"/>
              </w:rPr>
              <w:t xml:space="preserve"> then Supplier shall not be required to pay any amounts it has received</w:t>
            </w:r>
            <w:r>
              <w:rPr>
                <w:rFonts w:ascii="Arial" w:eastAsia="Verdana" w:hAnsi="Arial" w:cs="Arial"/>
                <w:bCs/>
                <w:sz w:val="20"/>
                <w:szCs w:val="20"/>
              </w:rPr>
              <w:t xml:space="preserve"> or due</w:t>
            </w:r>
            <w:r w:rsidRPr="00C0214D">
              <w:rPr>
                <w:rFonts w:ascii="Arial" w:eastAsia="Verdana" w:hAnsi="Arial" w:cs="Arial"/>
                <w:bCs/>
                <w:sz w:val="20"/>
                <w:szCs w:val="20"/>
              </w:rPr>
              <w:t xml:space="preserve"> in respect of Milestones which have been Achieved.”</w:t>
            </w:r>
          </w:p>
        </w:tc>
      </w:tr>
    </w:tbl>
    <w:p w14:paraId="36FBCA0A" w14:textId="77777777" w:rsidR="00846049" w:rsidRPr="00C0214D" w:rsidRDefault="00846049" w:rsidP="008B6AF5">
      <w:pPr>
        <w:rPr>
          <w:rFonts w:eastAsia="Verdana" w:cs="Arial"/>
          <w:b/>
          <w:szCs w:val="20"/>
        </w:rPr>
      </w:pPr>
    </w:p>
    <w:p w14:paraId="7482C1B0" w14:textId="77777777" w:rsidR="00846049" w:rsidRPr="00C0214D" w:rsidRDefault="00846049" w:rsidP="008B6AF5">
      <w:pPr>
        <w:rPr>
          <w:rFonts w:cs="Arial"/>
          <w:szCs w:val="20"/>
        </w:rPr>
      </w:pPr>
    </w:p>
    <w:p w14:paraId="40EC8DCA" w14:textId="77777777" w:rsidR="00846049" w:rsidRPr="000E5786" w:rsidRDefault="00846049" w:rsidP="00846049">
      <w:pPr>
        <w:jc w:val="center"/>
        <w:rPr>
          <w:rFonts w:cs="Arial"/>
          <w:szCs w:val="20"/>
        </w:rPr>
      </w:pPr>
    </w:p>
    <w:sectPr w:rsidR="00846049" w:rsidRPr="000E5786" w:rsidSect="002647B0">
      <w:footerReference w:type="default" r:id="rId95"/>
      <w:pgSz w:w="11907" w:h="16840" w:code="9"/>
      <w:pgMar w:top="1418" w:right="1418" w:bottom="1134" w:left="1418"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s>
  <wne:toolbars>
    <wne:acdManifest>
      <wne:acdEntry wne:acdName="acd0"/>
      <wne:acdEntry wne:acdName="acd1"/>
    </wne:acdManifest>
  </wne:toolbars>
  <wne:acds>
    <wne:acd wne:argValue="AgAoAGEAKQAgAEQAZQBmAGkAbgBpAHQAaQBvAG4A" wne:acdName="acd0" wne:fciIndexBasedOn="0065"/>
    <wne:acd wne:argValue="AgAoAGkAKQAgAEQAZQBmAGkAbgBpAHQAaQBvAG4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9CD87" w14:textId="77777777" w:rsidR="001B524F" w:rsidRDefault="001B524F" w:rsidP="0048699F">
      <w:pPr>
        <w:spacing w:after="288"/>
      </w:pPr>
      <w:r>
        <w:separator/>
      </w:r>
    </w:p>
  </w:endnote>
  <w:endnote w:type="continuationSeparator" w:id="0">
    <w:p w14:paraId="3C969826" w14:textId="77777777" w:rsidR="001B524F" w:rsidRDefault="001B524F" w:rsidP="0048699F">
      <w:pPr>
        <w:spacing w:after="28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rajan">
    <w:panose1 w:val="00000000000000000000"/>
    <w:charset w:val="00"/>
    <w:family w:val="roman"/>
    <w:notTrueType/>
    <w:pitch w:val="default"/>
    <w:sig w:usb0="00000003" w:usb1="00000000" w:usb2="00000000" w:usb3="00000000" w:csb0="00000001" w:csb1="00000000"/>
  </w:font>
  <w:font w:name="Gill Sans">
    <w:altName w:val="Malgun Gothic"/>
    <w:charset w:val="00"/>
    <w:family w:val="swiss"/>
    <w:pitch w:val="variable"/>
    <w:sig w:usb0="00000003" w:usb1="00000000" w:usb2="00000000" w:usb3="00000000" w:csb0="00000001" w:csb1="00000000"/>
  </w:font>
  <w:font w:name="ArialMT">
    <w:altName w:val="Arial"/>
    <w:charset w:val="00"/>
    <w:family w:val="swiss"/>
    <w:pitch w:val="default"/>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B97B" w14:textId="77777777" w:rsidR="008441FB" w:rsidRDefault="008441F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983535"/>
      <w:docPartObj>
        <w:docPartGallery w:val="Page Numbers (Bottom of Page)"/>
        <w:docPartUnique/>
      </w:docPartObj>
    </w:sdtPr>
    <w:sdtEndPr>
      <w:rPr>
        <w:noProof/>
      </w:rPr>
    </w:sdtEndPr>
    <w:sdtContent>
      <w:p w14:paraId="70D50B87" w14:textId="7B0D0C18" w:rsidR="00283998" w:rsidRDefault="00283998" w:rsidP="008422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3C8CF0" w14:textId="77777777" w:rsidR="00283998" w:rsidRDefault="00283998">
    <w:pPr>
      <w:pStyle w:val="Footer"/>
      <w:spacing w:after="288"/>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0D477" w14:textId="77777777" w:rsidR="00283998" w:rsidRDefault="00283998">
    <w:pPr>
      <w:pStyle w:val="Footer"/>
      <w:spacing w:after="288"/>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914794"/>
      <w:docPartObj>
        <w:docPartGallery w:val="Page Numbers (Bottom of Page)"/>
        <w:docPartUnique/>
      </w:docPartObj>
    </w:sdtPr>
    <w:sdtEndPr>
      <w:rPr>
        <w:noProof/>
      </w:rPr>
    </w:sdtEndPr>
    <w:sdtContent>
      <w:p w14:paraId="4B4641EE" w14:textId="27C6A984" w:rsidR="00283998" w:rsidRDefault="00283998" w:rsidP="008422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045428" w14:textId="405BB5AE" w:rsidR="00283998" w:rsidRDefault="00283998">
    <w:pPr>
      <w:pStyle w:val="Footer"/>
      <w:spacing w:after="288"/>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744663"/>
      <w:docPartObj>
        <w:docPartGallery w:val="Page Numbers (Bottom of Page)"/>
        <w:docPartUnique/>
      </w:docPartObj>
    </w:sdtPr>
    <w:sdtEndPr>
      <w:rPr>
        <w:noProof/>
      </w:rPr>
    </w:sdtEndPr>
    <w:sdtContent>
      <w:p w14:paraId="5E789AA1" w14:textId="109FBFD9" w:rsidR="00283998" w:rsidRDefault="00283998">
        <w:pPr>
          <w:pStyle w:val="Footer"/>
        </w:pPr>
        <w:r>
          <w:fldChar w:fldCharType="begin"/>
        </w:r>
        <w:r>
          <w:instrText xml:space="preserve"> PAGE   \* MERGEFORMAT </w:instrText>
        </w:r>
        <w:r>
          <w:fldChar w:fldCharType="separate"/>
        </w:r>
        <w:r>
          <w:rPr>
            <w:noProof/>
          </w:rPr>
          <w:t>2</w:t>
        </w:r>
        <w:r>
          <w:rPr>
            <w:noProof/>
          </w:rPr>
          <w:fldChar w:fldCharType="end"/>
        </w:r>
      </w:p>
    </w:sdtContent>
  </w:sdt>
  <w:p w14:paraId="33DCA499" w14:textId="77777777" w:rsidR="00283998" w:rsidRDefault="00283998">
    <w:pPr>
      <w:pStyle w:val="Footer"/>
      <w:spacing w:after="288"/>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F3DA1" w14:textId="1C2D8B08" w:rsidR="00283998" w:rsidRDefault="00283998">
    <w:pPr>
      <w:pStyle w:val="Footer"/>
      <w:spacing w:after="288"/>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213050"/>
      <w:docPartObj>
        <w:docPartGallery w:val="Page Numbers (Bottom of Page)"/>
        <w:docPartUnique/>
      </w:docPartObj>
    </w:sdtPr>
    <w:sdtEndPr>
      <w:rPr>
        <w:noProof/>
      </w:rPr>
    </w:sdtEndPr>
    <w:sdtContent>
      <w:p w14:paraId="64DF252A" w14:textId="59AE1936" w:rsidR="00283998" w:rsidRDefault="0028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5E84CF" w14:textId="1C28065C" w:rsidR="00283998" w:rsidRDefault="00283998">
    <w:pPr>
      <w:pStyle w:val="Footer"/>
      <w:spacing w:after="288"/>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898677"/>
      <w:docPartObj>
        <w:docPartGallery w:val="Page Numbers (Bottom of Page)"/>
        <w:docPartUnique/>
      </w:docPartObj>
    </w:sdtPr>
    <w:sdtEndPr>
      <w:rPr>
        <w:noProof/>
      </w:rPr>
    </w:sdtEndPr>
    <w:sdtContent>
      <w:p w14:paraId="5CD9C4D8" w14:textId="1B7ECD9D" w:rsidR="00283998" w:rsidRDefault="00283998" w:rsidP="008422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B45BA0" w14:textId="75E10907" w:rsidR="00283998" w:rsidRDefault="00283998">
    <w:pPr>
      <w:pStyle w:val="Footer"/>
      <w:spacing w:after="288"/>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B4C7E" w14:textId="77777777" w:rsidR="00283998" w:rsidRDefault="00283998">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6C629" w14:textId="3C75A177" w:rsidR="00283998" w:rsidRDefault="00283998" w:rsidP="006031F8">
    <w:pPr>
      <w:pStyle w:val="Footer"/>
      <w:ind w:left="0" w:firstLine="0"/>
      <w:jc w:val="center"/>
    </w:pPr>
    <w:r>
      <w:t xml:space="preserve"> </w:t>
    </w:r>
    <w:sdt>
      <w:sdtPr>
        <w:id w:val="173928131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p w14:paraId="28BD6EE2" w14:textId="22EEA904" w:rsidR="00283998" w:rsidRDefault="00283998" w:rsidP="006031F8">
    <w:pPr>
      <w:pStyle w:val="Footer"/>
      <w:jc w:val="cen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58070" w14:textId="68C66D84" w:rsidR="00283998" w:rsidRDefault="00000000">
    <w:pPr>
      <w:pStyle w:val="Footer"/>
      <w:jc w:val="center"/>
    </w:pPr>
    <w:sdt>
      <w:sdtPr>
        <w:id w:val="940873486"/>
        <w:docPartObj>
          <w:docPartGallery w:val="Page Numbers (Bottom of Page)"/>
          <w:docPartUnique/>
        </w:docPartObj>
      </w:sdtPr>
      <w:sdtEndPr>
        <w:rPr>
          <w:noProof/>
        </w:rPr>
      </w:sdtEndPr>
      <w:sdtContent>
        <w:r w:rsidR="00283998">
          <w:fldChar w:fldCharType="begin"/>
        </w:r>
        <w:r w:rsidR="00283998">
          <w:instrText xml:space="preserve"> PAGE   \* MERGEFORMAT </w:instrText>
        </w:r>
        <w:r w:rsidR="00283998">
          <w:fldChar w:fldCharType="separate"/>
        </w:r>
        <w:r w:rsidR="00283998">
          <w:rPr>
            <w:noProof/>
          </w:rPr>
          <w:t>2</w:t>
        </w:r>
        <w:r w:rsidR="00283998">
          <w:rPr>
            <w:noProof/>
          </w:rPr>
          <w:fldChar w:fldCharType="end"/>
        </w:r>
      </w:sdtContent>
    </w:sdt>
    <w:r w:rsidR="00283998">
      <w:rPr>
        <w:noProof/>
      </w:rPr>
      <w:t xml:space="preserve"> </w:t>
    </w:r>
  </w:p>
  <w:p w14:paraId="2B026C84" w14:textId="77777777" w:rsidR="00283998" w:rsidRDefault="00283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9428043"/>
      <w:docPartObj>
        <w:docPartGallery w:val="Page Numbers (Bottom of Page)"/>
        <w:docPartUnique/>
      </w:docPartObj>
    </w:sdtPr>
    <w:sdtEndPr>
      <w:rPr>
        <w:noProof/>
      </w:rPr>
    </w:sdtEndPr>
    <w:sdtContent>
      <w:p w14:paraId="3DD2A800" w14:textId="0125E228" w:rsidR="00283998" w:rsidRDefault="00000000">
        <w:pPr>
          <w:pStyle w:val="Footer"/>
          <w:jc w:val="center"/>
        </w:pPr>
        <w:fldSimple w:instr=" DOCPROPERTY iManageFooter \* MERGEFORMAT ">
          <w:r w:rsidR="00110225">
            <w:t>#13693413v6</w:t>
          </w:r>
        </w:fldSimple>
        <w:r w:rsidR="00283998">
          <w:fldChar w:fldCharType="begin"/>
        </w:r>
        <w:r w:rsidR="00283998">
          <w:instrText xml:space="preserve"> PAGE   \* MERGEFORMAT </w:instrText>
        </w:r>
        <w:r w:rsidR="00283998">
          <w:fldChar w:fldCharType="separate"/>
        </w:r>
        <w:r w:rsidR="00283998">
          <w:rPr>
            <w:noProof/>
          </w:rPr>
          <w:t>2</w:t>
        </w:r>
        <w:r w:rsidR="00283998">
          <w:rPr>
            <w:noProof/>
          </w:rPr>
          <w:fldChar w:fldCharType="end"/>
        </w:r>
      </w:p>
    </w:sdtContent>
  </w:sdt>
  <w:p w14:paraId="6B6653D2" w14:textId="77777777" w:rsidR="00283998" w:rsidRDefault="00283998">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15672" w14:textId="17BCAC96" w:rsidR="00283998" w:rsidRPr="00A87D3D" w:rsidRDefault="00000000" w:rsidP="00DB4A54">
    <w:pPr>
      <w:pStyle w:val="Footer"/>
      <w:spacing w:after="288"/>
    </w:pPr>
    <w:fldSimple w:instr=" FILENAME   \* MERGEFORMAT ">
      <w:r w:rsidR="00283998">
        <w:rPr>
          <w:noProof/>
        </w:rPr>
        <w:t>ANNEX H Data Centre Transition, Operate and Migrate Contract.docx</w:t>
      </w:r>
    </w:fldSimple>
    <w:r w:rsidR="00283998">
      <w:tab/>
      <w:t xml:space="preserve">- </w:t>
    </w:r>
    <w:r w:rsidR="00283998">
      <w:fldChar w:fldCharType="begin"/>
    </w:r>
    <w:r w:rsidR="00283998">
      <w:instrText xml:space="preserve"> PAGE </w:instrText>
    </w:r>
    <w:r w:rsidR="00283998">
      <w:fldChar w:fldCharType="separate"/>
    </w:r>
    <w:r w:rsidR="00283998">
      <w:rPr>
        <w:noProof/>
      </w:rPr>
      <w:t>2</w:t>
    </w:r>
    <w:r w:rsidR="00283998">
      <w:fldChar w:fldCharType="end"/>
    </w:r>
    <w:r w:rsidR="00283998">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82DB" w14:textId="01A509B7" w:rsidR="00283998" w:rsidRPr="00A87D3D" w:rsidRDefault="00283998" w:rsidP="00846D77">
    <w:pPr>
      <w:pStyle w:val="Footer"/>
      <w:spacing w:after="288"/>
      <w:jc w:val="center"/>
    </w:pPr>
    <w:r>
      <w:t xml:space="preserve"> </w:t>
    </w:r>
    <w:r>
      <w:fldChar w:fldCharType="begin"/>
    </w:r>
    <w:r>
      <w:instrText xml:space="preserve"> PAGE </w:instrText>
    </w:r>
    <w:r>
      <w:fldChar w:fldCharType="separate"/>
    </w:r>
    <w:r>
      <w:rPr>
        <w:noProof/>
      </w:rPr>
      <w:t>3</w:t>
    </w:r>
    <w:r>
      <w:fldChar w:fldCharType="end"/>
    </w:r>
    <w: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B1866" w14:textId="3E2B8309" w:rsidR="00283998" w:rsidRPr="008D7824" w:rsidRDefault="00283998">
    <w:pPr>
      <w:pStyle w:val="Footer"/>
      <w:spacing w:after="288"/>
      <w:jc w:val="center"/>
      <w:rPr>
        <w:caps/>
        <w:noProof/>
        <w:color w:val="auto"/>
      </w:rPr>
    </w:pPr>
    <w:r>
      <w:rPr>
        <w:caps/>
        <w:color w:val="auto"/>
      </w:rPr>
      <w:t xml:space="preserve"> </w:t>
    </w:r>
    <w:r w:rsidRPr="008D7824">
      <w:rPr>
        <w:caps/>
        <w:color w:val="auto"/>
      </w:rPr>
      <w:fldChar w:fldCharType="begin"/>
    </w:r>
    <w:r w:rsidRPr="008D7824">
      <w:rPr>
        <w:caps/>
        <w:color w:val="auto"/>
      </w:rPr>
      <w:instrText xml:space="preserve"> PAGE   \* MERGEFORMAT </w:instrText>
    </w:r>
    <w:r w:rsidRPr="008D7824">
      <w:rPr>
        <w:caps/>
        <w:color w:val="auto"/>
      </w:rPr>
      <w:fldChar w:fldCharType="separate"/>
    </w:r>
    <w:r w:rsidRPr="008D7824">
      <w:rPr>
        <w:caps/>
        <w:noProof/>
        <w:color w:val="auto"/>
      </w:rPr>
      <w:t>2</w:t>
    </w:r>
    <w:r w:rsidRPr="008D7824">
      <w:rPr>
        <w:caps/>
        <w:noProof/>
        <w:color w:val="auto"/>
      </w:rPr>
      <w:fldChar w:fldCharType="end"/>
    </w:r>
    <w:r>
      <w:rPr>
        <w:caps/>
        <w:noProof/>
        <w:color w:val="auto"/>
      </w:rPr>
      <w:t xml:space="preserve"> </w:t>
    </w:r>
  </w:p>
  <w:p w14:paraId="5697B4AB" w14:textId="77777777" w:rsidR="00283998" w:rsidRDefault="00283998">
    <w:pPr>
      <w:pStyle w:val="Footer"/>
      <w:spacing w:after="288"/>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9BB49" w14:textId="77777777" w:rsidR="00283998" w:rsidRDefault="00000000">
    <w:pPr>
      <w:pStyle w:val="Footer"/>
    </w:pPr>
    <w:fldSimple w:instr="DOCPROPERTY iManageFooter \* MERGEFORMAT">
      <w:r w:rsidR="003D6A24">
        <w:t>#13693413v4</w:t>
      </w:r>
    </w:fldSimple>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5405130"/>
      <w:docPartObj>
        <w:docPartGallery w:val="Page Numbers (Bottom of Page)"/>
        <w:docPartUnique/>
      </w:docPartObj>
    </w:sdtPr>
    <w:sdtEndPr>
      <w:rPr>
        <w:noProof/>
      </w:rPr>
    </w:sdtEndPr>
    <w:sdtContent>
      <w:p w14:paraId="556FF952" w14:textId="34A870A1" w:rsidR="00283998" w:rsidRDefault="0028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05C7D2" w14:textId="76A5E5DB" w:rsidR="00283998" w:rsidRDefault="00283998">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127472"/>
      <w:docPartObj>
        <w:docPartGallery w:val="Page Numbers (Bottom of Page)"/>
        <w:docPartUnique/>
      </w:docPartObj>
    </w:sdtPr>
    <w:sdtEndPr>
      <w:rPr>
        <w:noProof/>
      </w:rPr>
    </w:sdtEndPr>
    <w:sdtContent>
      <w:p w14:paraId="49B4E8B5" w14:textId="6F7DE40B" w:rsidR="00283998" w:rsidRDefault="0028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D9D931" w14:textId="3441570A" w:rsidR="00283998" w:rsidRDefault="00283998">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82AE" w14:textId="77777777" w:rsidR="00283998" w:rsidRDefault="00283998">
    <w:pPr>
      <w:tabs>
        <w:tab w:val="center" w:pos="4538"/>
      </w:tabs>
    </w:pPr>
    <w:r>
      <w:rPr>
        <w:rFonts w:ascii="Verdana" w:eastAsia="Verdana" w:hAnsi="Verdana" w:cs="Verdana"/>
        <w:sz w:val="14"/>
      </w:rPr>
      <w:t xml:space="preserve"> </w:t>
    </w:r>
    <w:r>
      <w:rPr>
        <w:rFonts w:ascii="Verdana" w:eastAsia="Verdana" w:hAnsi="Verdana" w:cs="Verdana"/>
        <w:sz w:val="14"/>
      </w:rPr>
      <w:tab/>
    </w:r>
    <w:r>
      <w:fldChar w:fldCharType="begin"/>
    </w:r>
    <w:r>
      <w:instrText xml:space="preserve"> PAGE   \* MERGEFORMAT </w:instrText>
    </w:r>
    <w:r>
      <w:fldChar w:fldCharType="separate"/>
    </w:r>
    <w:r>
      <w:rPr>
        <w:rFonts w:ascii="Verdana" w:eastAsia="Verdana" w:hAnsi="Verdana" w:cs="Verdana"/>
        <w:sz w:val="14"/>
      </w:rPr>
      <w:t>1</w:t>
    </w:r>
    <w:r>
      <w:rPr>
        <w:rFonts w:ascii="Verdana" w:eastAsia="Verdana" w:hAnsi="Verdana" w:cs="Verdana"/>
        <w:sz w:val="14"/>
      </w:rPr>
      <w:fldChar w:fldCharType="end"/>
    </w:r>
    <w:r>
      <w:rPr>
        <w:rFonts w:ascii="Verdana" w:eastAsia="Verdana" w:hAnsi="Verdana" w:cs="Verdana"/>
        <w:sz w:val="14"/>
      </w:rPr>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477801"/>
      <w:docPartObj>
        <w:docPartGallery w:val="Page Numbers (Bottom of Page)"/>
        <w:docPartUnique/>
      </w:docPartObj>
    </w:sdtPr>
    <w:sdtEndPr>
      <w:rPr>
        <w:noProof/>
      </w:rPr>
    </w:sdtEndPr>
    <w:sdtContent>
      <w:p w14:paraId="030115DA" w14:textId="0801D168" w:rsidR="00283998" w:rsidRDefault="0028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D7E66" w14:textId="10FADD1B" w:rsidR="00283998" w:rsidRDefault="00283998">
    <w:pPr>
      <w:tabs>
        <w:tab w:val="center" w:pos="4538"/>
      </w:tabs>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038651"/>
      <w:docPartObj>
        <w:docPartGallery w:val="Page Numbers (Bottom of Page)"/>
        <w:docPartUnique/>
      </w:docPartObj>
    </w:sdtPr>
    <w:sdtEndPr>
      <w:rPr>
        <w:noProof/>
      </w:rPr>
    </w:sdtEndPr>
    <w:sdtContent>
      <w:p w14:paraId="0F53095C" w14:textId="719CC8BD" w:rsidR="00283998" w:rsidRDefault="0028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9156E5" w14:textId="7116B60D" w:rsidR="00283998" w:rsidRDefault="00283998">
    <w:pPr>
      <w:tabs>
        <w:tab w:val="center" w:pos="4538"/>
      </w:tabs>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831474"/>
      <w:docPartObj>
        <w:docPartGallery w:val="Page Numbers (Bottom of Page)"/>
        <w:docPartUnique/>
      </w:docPartObj>
    </w:sdtPr>
    <w:sdtEndPr>
      <w:rPr>
        <w:noProof/>
      </w:rPr>
    </w:sdtEndPr>
    <w:sdtContent>
      <w:p w14:paraId="464CFFE6" w14:textId="4DDB6EEC" w:rsidR="00283998" w:rsidRDefault="0028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BF107D" w14:textId="153FA942" w:rsidR="00283998" w:rsidRDefault="00283998">
    <w:pPr>
      <w:tabs>
        <w:tab w:val="center" w:pos="45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2B3A3" w14:textId="77777777" w:rsidR="008441FB" w:rsidRDefault="008441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0604C" w14:textId="77777777" w:rsidR="00283998" w:rsidRDefault="0028399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81332"/>
      <w:docPartObj>
        <w:docPartGallery w:val="Page Numbers (Bottom of Page)"/>
        <w:docPartUnique/>
      </w:docPartObj>
    </w:sdtPr>
    <w:sdtEndPr>
      <w:rPr>
        <w:noProof/>
      </w:rPr>
    </w:sdtEndPr>
    <w:sdtContent>
      <w:p w14:paraId="0499FD47" w14:textId="7757DDD1" w:rsidR="00283998" w:rsidRDefault="0028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DED6AA" w14:textId="125FE9D3" w:rsidR="00283998" w:rsidRDefault="00283998">
    <w:pPr>
      <w:tabs>
        <w:tab w:val="right" w:pos="900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526A" w14:textId="77777777" w:rsidR="00283998" w:rsidRDefault="0028399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777863"/>
      <w:docPartObj>
        <w:docPartGallery w:val="Page Numbers (Bottom of Page)"/>
        <w:docPartUnique/>
      </w:docPartObj>
    </w:sdtPr>
    <w:sdtEndPr>
      <w:rPr>
        <w:noProof/>
      </w:rPr>
    </w:sdtEndPr>
    <w:sdtContent>
      <w:p w14:paraId="1C369EB7" w14:textId="267DAE34" w:rsidR="00283998" w:rsidRDefault="00000000" w:rsidP="008422C1">
        <w:pPr>
          <w:pStyle w:val="Footer"/>
          <w:jc w:val="center"/>
        </w:pPr>
        <w:fldSimple w:instr=" DOCPROPERTY iManageFooter \* MERGEFORMAT ">
          <w:r w:rsidR="00315502">
            <w:t>#13693413v7</w:t>
          </w:r>
        </w:fldSimple>
        <w:r w:rsidR="00283998">
          <w:fldChar w:fldCharType="begin"/>
        </w:r>
        <w:r w:rsidR="00283998">
          <w:instrText xml:space="preserve"> PAGE   \* MERGEFORMAT </w:instrText>
        </w:r>
        <w:r w:rsidR="00283998">
          <w:fldChar w:fldCharType="separate"/>
        </w:r>
        <w:r w:rsidR="00283998">
          <w:rPr>
            <w:noProof/>
          </w:rPr>
          <w:t>2</w:t>
        </w:r>
        <w:r w:rsidR="00283998">
          <w:rPr>
            <w:noProof/>
          </w:rPr>
          <w:fldChar w:fldCharType="end"/>
        </w:r>
      </w:p>
    </w:sdtContent>
  </w:sdt>
  <w:p w14:paraId="6718DF5F" w14:textId="12628DA0" w:rsidR="00283998" w:rsidRDefault="0028399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044680"/>
      <w:docPartObj>
        <w:docPartGallery w:val="Page Numbers (Bottom of Page)"/>
        <w:docPartUnique/>
      </w:docPartObj>
    </w:sdtPr>
    <w:sdtEndPr>
      <w:rPr>
        <w:noProof/>
      </w:rPr>
    </w:sdtEndPr>
    <w:sdtContent>
      <w:p w14:paraId="04545B3D" w14:textId="445CF662" w:rsidR="00283998" w:rsidRDefault="00283998" w:rsidP="008422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4A6E06" w14:textId="77777777" w:rsidR="00283998" w:rsidRDefault="0028399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E1C4A" w14:textId="77777777" w:rsidR="00283998" w:rsidRDefault="00283998">
    <w:pPr>
      <w:pStyle w:val="Footer"/>
      <w:spacing w:after="28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E9185" w14:textId="77777777" w:rsidR="001B524F" w:rsidRDefault="001B524F" w:rsidP="0048699F">
      <w:pPr>
        <w:spacing w:after="288"/>
      </w:pPr>
      <w:r>
        <w:separator/>
      </w:r>
    </w:p>
  </w:footnote>
  <w:footnote w:type="continuationSeparator" w:id="0">
    <w:p w14:paraId="13C17799" w14:textId="77777777" w:rsidR="001B524F" w:rsidRDefault="001B524F" w:rsidP="0048699F">
      <w:pPr>
        <w:spacing w:after="28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BA26" w14:textId="77777777" w:rsidR="008441FB" w:rsidRDefault="008441F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F83E6" w14:textId="3B66ABE6" w:rsidR="00283998" w:rsidRDefault="00283998">
    <w:pPr>
      <w:pStyle w:val="Header"/>
      <w:spacing w:after="288"/>
    </w:pPr>
    <w:r>
      <w:rPr>
        <w:noProof/>
      </w:rPr>
      <mc:AlternateContent>
        <mc:Choice Requires="wps">
          <w:drawing>
            <wp:anchor distT="0" distB="0" distL="114300" distR="114300" simplePos="0" relativeHeight="251665408" behindDoc="0" locked="0" layoutInCell="0" allowOverlap="1" wp14:anchorId="6CDD7A0F" wp14:editId="1D62BF12">
              <wp:simplePos x="0" y="0"/>
              <wp:positionH relativeFrom="page">
                <wp:align>right</wp:align>
              </wp:positionH>
              <wp:positionV relativeFrom="page">
                <wp:posOffset>449580</wp:posOffset>
              </wp:positionV>
              <wp:extent cx="7560945" cy="273050"/>
              <wp:effectExtent l="0" t="0" r="0" b="12700"/>
              <wp:wrapNone/>
              <wp:docPr id="6" name="MSIPCM0dc74eca9a0ead1808b5e7e7" descr="{&quot;HashCode&quot;:-1288984879,&quot;Height&quot;:842.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5B72102" w14:textId="2E25939E" w:rsidR="00283998" w:rsidRPr="002523A8" w:rsidRDefault="00283998" w:rsidP="00CE6710">
                          <w:pPr>
                            <w:spacing w:after="288"/>
                            <w:jc w:val="center"/>
                            <w:rPr>
                              <w:rFonts w:ascii="Calibri" w:hAnsi="Calibri" w:cs="Calibri"/>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CDD7A0F" id="_x0000_t202" coordsize="21600,21600" o:spt="202" path="m,l,21600r21600,l21600,xe">
              <v:stroke joinstyle="miter"/>
              <v:path gradientshapeok="t" o:connecttype="rect"/>
            </v:shapetype>
            <v:shape id="MSIPCM0dc74eca9a0ead1808b5e7e7" o:spid="_x0000_s1028" type="#_x0000_t202" alt="{&quot;HashCode&quot;:-1288984879,&quot;Height&quot;:842.0,&quot;Width&quot;:595.0,&quot;Placement&quot;:&quot;Header&quot;,&quot;Index&quot;:&quot;FirstPage&quot;,&quot;Section&quot;:1,&quot;Top&quot;:0.0,&quot;Left&quot;:0.0}" style="position:absolute;left:0;text-align:left;margin-left:544.15pt;margin-top:35.4pt;width:595.35pt;height:21.5pt;z-index:251665408;visibility:visible;mso-wrap-style:square;mso-wrap-distance-left:9pt;mso-wrap-distance-top:0;mso-wrap-distance-right:9pt;mso-wrap-distance-bottom:0;mso-position-horizontal:right;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" o:allowincell="f" filled="f" stroked="f" strokeweight=".5pt">
              <v:textbox inset=",0,,0">
                <w:txbxContent>
                  <w:p w14:paraId="15B72102" w14:textId="2E25939E" w:rsidR="00283998" w:rsidRPr="002523A8" w:rsidRDefault="00283998" w:rsidP="00CE6710">
                    <w:pPr>
                      <w:spacing w:after="288"/>
                      <w:jc w:val="center"/>
                      <w:rPr>
                        <w:rFonts w:ascii="Calibri" w:hAnsi="Calibri" w:cs="Calibri"/>
                      </w:rPr>
                    </w:pP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4F01B" w14:textId="50D7A931" w:rsidR="00283998" w:rsidRDefault="00283998">
    <w:pPr>
      <w:pStyle w:val="Header"/>
      <w:spacing w:after="288"/>
    </w:pPr>
    <w:r>
      <w:rPr>
        <w:noProof/>
      </w:rPr>
      <mc:AlternateContent>
        <mc:Choice Requires="wps">
          <w:drawing>
            <wp:anchor distT="0" distB="0" distL="114300" distR="114300" simplePos="0" relativeHeight="251663360" behindDoc="0" locked="0" layoutInCell="0" allowOverlap="1" wp14:anchorId="7C828FAB" wp14:editId="781F06BD">
              <wp:simplePos x="0" y="0"/>
              <wp:positionH relativeFrom="page">
                <wp:align>right</wp:align>
              </wp:positionH>
              <wp:positionV relativeFrom="page">
                <wp:posOffset>406448</wp:posOffset>
              </wp:positionV>
              <wp:extent cx="7560945" cy="273050"/>
              <wp:effectExtent l="0" t="0" r="0" b="12700"/>
              <wp:wrapNone/>
              <wp:docPr id="5" name="MSIPCM0dc74eca9a0ead1808b5e7e7" descr="{&quot;HashCode&quot;:-1288984879,&quot;Height&quot;:842.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956F0D" w14:textId="479B5C02" w:rsidR="00283998" w:rsidRPr="002523A8" w:rsidRDefault="00283998" w:rsidP="00CE6710">
                          <w:pPr>
                            <w:spacing w:after="288"/>
                            <w:jc w:val="center"/>
                            <w:rPr>
                              <w:rFonts w:ascii="Calibri" w:hAnsi="Calibri" w:cs="Calibri"/>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C828FAB" id="_x0000_t202" coordsize="21600,21600" o:spt="202" path="m,l,21600r21600,l21600,xe">
              <v:stroke joinstyle="miter"/>
              <v:path gradientshapeok="t" o:connecttype="rect"/>
            </v:shapetype>
            <v:shape id="_x0000_s1029" type="#_x0000_t202" alt="{&quot;HashCode&quot;:-1288984879,&quot;Height&quot;:842.0,&quot;Width&quot;:595.0,&quot;Placement&quot;:&quot;Header&quot;,&quot;Index&quot;:&quot;FirstPage&quot;,&quot;Section&quot;:1,&quot;Top&quot;:0.0,&quot;Left&quot;:0.0}" style="position:absolute;left:0;text-align:left;margin-left:544.15pt;margin-top:32pt;width:595.35pt;height:21.5pt;z-index:251663360;visibility:visible;mso-wrap-style:square;mso-wrap-distance-left:9pt;mso-wrap-distance-top:0;mso-wrap-distance-right:9pt;mso-wrap-distance-bottom:0;mso-position-horizontal:right;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" o:allowincell="f" filled="f" stroked="f" strokeweight=".5pt">
              <v:textbox inset=",0,,0">
                <w:txbxContent>
                  <w:p w14:paraId="7B956F0D" w14:textId="479B5C02" w:rsidR="00283998" w:rsidRPr="002523A8" w:rsidRDefault="00283998" w:rsidP="00CE6710">
                    <w:pPr>
                      <w:spacing w:after="288"/>
                      <w:jc w:val="center"/>
                      <w:rPr>
                        <w:rFonts w:ascii="Calibri" w:hAnsi="Calibri" w:cs="Calibri"/>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4A9EA" w14:textId="77777777" w:rsidR="00283998" w:rsidRDefault="00283998">
    <w:pPr>
      <w:pStyle w:val="Header"/>
      <w:spacing w:after="288"/>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60878" w14:textId="63E8A67D" w:rsidR="00283998" w:rsidRPr="00511807" w:rsidRDefault="00283998" w:rsidP="008D7824">
    <w:pPr>
      <w:pStyle w:val="ScheduleTitle"/>
      <w:numPr>
        <w:ilvl w:val="0"/>
        <w:numId w:val="0"/>
      </w:numPr>
      <w:spacing w:after="288"/>
      <w:jc w:val="both"/>
    </w:pPr>
    <w:r>
      <w:rPr>
        <w:noProof/>
      </w:rPr>
      <mc:AlternateContent>
        <mc:Choice Requires="wps">
          <w:drawing>
            <wp:anchor distT="0" distB="0" distL="114300" distR="114300" simplePos="0" relativeHeight="251669504" behindDoc="0" locked="0" layoutInCell="0" allowOverlap="1" wp14:anchorId="6F47FDB2" wp14:editId="710ACA1C">
              <wp:simplePos x="0" y="0"/>
              <wp:positionH relativeFrom="page">
                <wp:align>right</wp:align>
              </wp:positionH>
              <wp:positionV relativeFrom="page">
                <wp:posOffset>346063</wp:posOffset>
              </wp:positionV>
              <wp:extent cx="7560945" cy="273050"/>
              <wp:effectExtent l="0" t="0" r="0" b="12700"/>
              <wp:wrapNone/>
              <wp:docPr id="8" name="MSIPCM0dc74eca9a0ead1808b5e7e7" descr="{&quot;HashCode&quot;:-1288984879,&quot;Height&quot;:842.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9B8DD5" w14:textId="05927832" w:rsidR="00283998" w:rsidRPr="002523A8" w:rsidRDefault="00283998" w:rsidP="00CE6710">
                          <w:pPr>
                            <w:spacing w:after="288"/>
                            <w:jc w:val="center"/>
                            <w:rPr>
                              <w:rFonts w:ascii="Calibri" w:hAnsi="Calibri" w:cs="Calibri"/>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F47FDB2" id="_x0000_t202" coordsize="21600,21600" o:spt="202" path="m,l,21600r21600,l21600,xe">
              <v:stroke joinstyle="miter"/>
              <v:path gradientshapeok="t" o:connecttype="rect"/>
            </v:shapetype>
            <v:shape id="_x0000_s1030" type="#_x0000_t202" alt="{&quot;HashCode&quot;:-1288984879,&quot;Height&quot;:842.0,&quot;Width&quot;:595.0,&quot;Placement&quot;:&quot;Header&quot;,&quot;Index&quot;:&quot;FirstPage&quot;,&quot;Section&quot;:1,&quot;Top&quot;:0.0,&quot;Left&quot;:0.0}" style="position:absolute;left:0;text-align:left;margin-left:544.15pt;margin-top:27.25pt;width:595.35pt;height:21.5pt;z-index:251669504;visibility:visible;mso-wrap-style:square;mso-wrap-distance-left:9pt;mso-wrap-distance-top:0;mso-wrap-distance-right:9pt;mso-wrap-distance-bottom:0;mso-position-horizontal:right;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" o:allowincell="f" filled="f" stroked="f" strokeweight=".5pt">
              <v:textbox inset=",0,,0">
                <w:txbxContent>
                  <w:p w14:paraId="399B8DD5" w14:textId="05927832" w:rsidR="00283998" w:rsidRPr="002523A8" w:rsidRDefault="00283998" w:rsidP="00CE6710">
                    <w:pPr>
                      <w:spacing w:after="288"/>
                      <w:jc w:val="center"/>
                      <w:rPr>
                        <w:rFonts w:ascii="Calibri" w:hAnsi="Calibri" w:cs="Calibri"/>
                      </w:rPr>
                    </w:pPr>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0" allowOverlap="1" wp14:anchorId="40CBC656" wp14:editId="6484AC94">
              <wp:simplePos x="0" y="0"/>
              <wp:positionH relativeFrom="page">
                <wp:align>center</wp:align>
              </wp:positionH>
              <wp:positionV relativeFrom="page">
                <wp:align>top</wp:align>
              </wp:positionV>
              <wp:extent cx="7772400" cy="463550"/>
              <wp:effectExtent l="0" t="0" r="0" b="12700"/>
              <wp:wrapNone/>
              <wp:docPr id="4" name="MSIPCM3425411c948d3548e28f610d" descr="{&quot;HashCode&quot;:-1288984879,&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88A668" w14:textId="77777777" w:rsidR="00283998" w:rsidRPr="005D1BBF" w:rsidRDefault="00283998" w:rsidP="0026522A">
                          <w:pPr>
                            <w:spacing w:after="288"/>
                            <w:jc w:val="center"/>
                            <w:rPr>
                              <w:rFonts w:ascii="Calibri" w:hAnsi="Calibri" w:cs="Calibri"/>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 w14:anchorId="40CBC656" id="MSIPCM3425411c948d3548e28f610d" o:spid="_x0000_s1031" type="#_x0000_t202" alt="{&quot;HashCode&quot;:-1288984879,&quot;Height&quot;:9999999.0,&quot;Width&quot;:9999999.0,&quot;Placement&quot;:&quot;Header&quot;,&quot;Index&quot;:&quot;Primary&quot;,&quot;Section&quot;:1,&quot;Top&quot;:0.0,&quot;Left&quot;:0.0}" style="position:absolute;left:0;text-align:left;margin-left:0;margin-top:0;width:612pt;height:36.5pt;z-index:251661312;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" o:allowincell="f" filled="f" stroked="f" strokeweight=".5pt">
              <v:textbox inset=",0,,0">
                <w:txbxContent>
                  <w:p w14:paraId="3988A668" w14:textId="77777777" w:rsidR="00283998" w:rsidRPr="005D1BBF" w:rsidRDefault="00283998" w:rsidP="0026522A">
                    <w:pPr>
                      <w:spacing w:after="288"/>
                      <w:jc w:val="center"/>
                      <w:rPr>
                        <w:rFonts w:ascii="Calibri" w:hAnsi="Calibri" w:cs="Calibri"/>
                      </w:rPr>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454BD" w14:textId="0F89FED0" w:rsidR="00283998" w:rsidRDefault="00283998">
    <w:pPr>
      <w:pStyle w:val="Header"/>
      <w:spacing w:after="288"/>
    </w:pPr>
    <w:r>
      <w:rPr>
        <w:noProof/>
      </w:rPr>
      <mc:AlternateContent>
        <mc:Choice Requires="wps">
          <w:drawing>
            <wp:anchor distT="0" distB="0" distL="114300" distR="114300" simplePos="0" relativeHeight="251667456" behindDoc="0" locked="0" layoutInCell="0" allowOverlap="1" wp14:anchorId="3C0136F2" wp14:editId="0ED9BDC7">
              <wp:simplePos x="0" y="0"/>
              <wp:positionH relativeFrom="page">
                <wp:align>right</wp:align>
              </wp:positionH>
              <wp:positionV relativeFrom="page">
                <wp:posOffset>397821</wp:posOffset>
              </wp:positionV>
              <wp:extent cx="7560945" cy="273050"/>
              <wp:effectExtent l="0" t="0" r="0" b="12700"/>
              <wp:wrapNone/>
              <wp:docPr id="7" name="MSIPCM0dc74eca9a0ead1808b5e7e7" descr="{&quot;HashCode&quot;:-1288984879,&quot;Height&quot;:842.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048E5EF" w14:textId="729CD489" w:rsidR="00283998" w:rsidRPr="002523A8" w:rsidRDefault="00283998" w:rsidP="00CE6710">
                          <w:pPr>
                            <w:spacing w:after="288"/>
                            <w:jc w:val="center"/>
                            <w:rPr>
                              <w:rFonts w:ascii="Calibri" w:hAnsi="Calibri" w:cs="Calibri"/>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3C0136F2" id="_x0000_t202" coordsize="21600,21600" o:spt="202" path="m,l,21600r21600,l21600,xe">
              <v:stroke joinstyle="miter"/>
              <v:path gradientshapeok="t" o:connecttype="rect"/>
            </v:shapetype>
            <v:shape id="_x0000_s1032" type="#_x0000_t202" alt="{&quot;HashCode&quot;:-1288984879,&quot;Height&quot;:842.0,&quot;Width&quot;:595.0,&quot;Placement&quot;:&quot;Header&quot;,&quot;Index&quot;:&quot;FirstPage&quot;,&quot;Section&quot;:1,&quot;Top&quot;:0.0,&quot;Left&quot;:0.0}" style="position:absolute;left:0;text-align:left;margin-left:544.15pt;margin-top:31.3pt;width:595.35pt;height:21.5pt;z-index:251667456;visibility:visible;mso-wrap-style:square;mso-wrap-distance-left:9pt;mso-wrap-distance-top:0;mso-wrap-distance-right:9pt;mso-wrap-distance-bottom:0;mso-position-horizontal:right;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" o:allowincell="f" filled="f" stroked="f" strokeweight=".5pt">
              <v:textbox inset=",0,,0">
                <w:txbxContent>
                  <w:p w14:paraId="7048E5EF" w14:textId="729CD489" w:rsidR="00283998" w:rsidRPr="002523A8" w:rsidRDefault="00283998" w:rsidP="00CE6710">
                    <w:pPr>
                      <w:spacing w:after="288"/>
                      <w:jc w:val="center"/>
                      <w:rPr>
                        <w:rFonts w:ascii="Calibri" w:hAnsi="Calibri" w:cs="Calibri"/>
                      </w:rPr>
                    </w:pP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0EBE" w14:textId="2C2C565C" w:rsidR="00283998" w:rsidRDefault="00283998">
    <w:pPr>
      <w:pStyle w:val="Header"/>
      <w:spacing w:after="288"/>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4D807" w14:textId="3A722E8A" w:rsidR="00283998" w:rsidRDefault="00283998">
    <w:pPr>
      <w:pStyle w:val="Header"/>
      <w:spacing w:after="288"/>
    </w:pPr>
    <w:r>
      <w:rPr>
        <w:noProof/>
      </w:rPr>
      <mc:AlternateContent>
        <mc:Choice Requires="wps">
          <w:drawing>
            <wp:anchor distT="0" distB="0" distL="114300" distR="114300" simplePos="0" relativeHeight="251673600" behindDoc="0" locked="0" layoutInCell="0" allowOverlap="1" wp14:anchorId="6FBB663C" wp14:editId="2213C83D">
              <wp:simplePos x="0" y="0"/>
              <wp:positionH relativeFrom="page">
                <wp:align>center</wp:align>
              </wp:positionH>
              <wp:positionV relativeFrom="page">
                <wp:posOffset>406448</wp:posOffset>
              </wp:positionV>
              <wp:extent cx="7560945" cy="273050"/>
              <wp:effectExtent l="0" t="0" r="0" b="12700"/>
              <wp:wrapNone/>
              <wp:docPr id="10" name="MSIPCM0dc74eca9a0ead1808b5e7e7" descr="{&quot;HashCode&quot;:-1288984879,&quot;Height&quot;:842.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6F0DBB4" w14:textId="7A67F51C" w:rsidR="00283998" w:rsidRPr="002523A8" w:rsidRDefault="00283998" w:rsidP="00CE6710">
                          <w:pPr>
                            <w:spacing w:after="288"/>
                            <w:jc w:val="center"/>
                            <w:rPr>
                              <w:rFonts w:ascii="Calibri" w:hAnsi="Calibri" w:cs="Calibri"/>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FBB663C" id="_x0000_t202" coordsize="21600,21600" o:spt="202" path="m,l,21600r21600,l21600,xe">
              <v:stroke joinstyle="miter"/>
              <v:path gradientshapeok="t" o:connecttype="rect"/>
            </v:shapetype>
            <v:shape id="_x0000_s1033" type="#_x0000_t202" alt="{&quot;HashCode&quot;:-1288984879,&quot;Height&quot;:842.0,&quot;Width&quot;:595.0,&quot;Placement&quot;:&quot;Header&quot;,&quot;Index&quot;:&quot;FirstPage&quot;,&quot;Section&quot;:1,&quot;Top&quot;:0.0,&quot;Left&quot;:0.0}" style="position:absolute;left:0;text-align:left;margin-left:0;margin-top:32pt;width:595.35pt;height:21.5pt;z-index:251673600;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" o:allowincell="f" filled="f" stroked="f" strokeweight=".5pt">
              <v:textbox inset=",0,,0">
                <w:txbxContent>
                  <w:p w14:paraId="06F0DBB4" w14:textId="7A67F51C" w:rsidR="00283998" w:rsidRPr="002523A8" w:rsidRDefault="00283998" w:rsidP="00CE6710">
                    <w:pPr>
                      <w:spacing w:after="288"/>
                      <w:jc w:val="center"/>
                      <w:rPr>
                        <w:rFonts w:ascii="Calibri" w:hAnsi="Calibri" w:cs="Calibri"/>
                      </w:rPr>
                    </w:pP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F811C" w14:textId="4BAD6F0E" w:rsidR="00283998" w:rsidRDefault="00283998">
    <w:pPr>
      <w:pStyle w:val="Header"/>
      <w:spacing w:after="288"/>
    </w:pPr>
    <w:r>
      <w:rPr>
        <w:noProof/>
      </w:rPr>
      <mc:AlternateContent>
        <mc:Choice Requires="wps">
          <w:drawing>
            <wp:anchor distT="0" distB="0" distL="114300" distR="114300" simplePos="0" relativeHeight="251671552" behindDoc="0" locked="0" layoutInCell="0" allowOverlap="1" wp14:anchorId="578A373D" wp14:editId="5ABCB24A">
              <wp:simplePos x="0" y="0"/>
              <wp:positionH relativeFrom="page">
                <wp:align>center</wp:align>
              </wp:positionH>
              <wp:positionV relativeFrom="page">
                <wp:posOffset>371942</wp:posOffset>
              </wp:positionV>
              <wp:extent cx="7560945" cy="273050"/>
              <wp:effectExtent l="0" t="0" r="0" b="12700"/>
              <wp:wrapNone/>
              <wp:docPr id="9" name="MSIPCM0dc74eca9a0ead1808b5e7e7" descr="{&quot;HashCode&quot;:-1288984879,&quot;Height&quot;:842.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F88CE2" w14:textId="5F19C358" w:rsidR="00283998" w:rsidRPr="002523A8" w:rsidRDefault="00283998" w:rsidP="00CE6710">
                          <w:pPr>
                            <w:spacing w:after="288"/>
                            <w:jc w:val="center"/>
                            <w:rPr>
                              <w:rFonts w:ascii="Calibri" w:hAnsi="Calibri" w:cs="Calibri"/>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78A373D" id="_x0000_t202" coordsize="21600,21600" o:spt="202" path="m,l,21600r21600,l21600,xe">
              <v:stroke joinstyle="miter"/>
              <v:path gradientshapeok="t" o:connecttype="rect"/>
            </v:shapetype>
            <v:shape id="_x0000_s1034" type="#_x0000_t202" alt="{&quot;HashCode&quot;:-1288984879,&quot;Height&quot;:842.0,&quot;Width&quot;:595.0,&quot;Placement&quot;:&quot;Header&quot;,&quot;Index&quot;:&quot;FirstPage&quot;,&quot;Section&quot;:1,&quot;Top&quot;:0.0,&quot;Left&quot;:0.0}" style="position:absolute;left:0;text-align:left;margin-left:0;margin-top:29.3pt;width:595.35pt;height:21.5pt;z-index:251671552;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" o:allowincell="f" filled="f" stroked="f" strokeweight=".5pt">
              <v:textbox inset=",0,,0">
                <w:txbxContent>
                  <w:p w14:paraId="45F88CE2" w14:textId="5F19C358" w:rsidR="00283998" w:rsidRPr="002523A8" w:rsidRDefault="00283998" w:rsidP="00CE6710">
                    <w:pPr>
                      <w:spacing w:after="288"/>
                      <w:jc w:val="center"/>
                      <w:rPr>
                        <w:rFonts w:ascii="Calibri" w:hAnsi="Calibri" w:cs="Calibri"/>
                      </w:rPr>
                    </w:pP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D4CC1" w14:textId="77777777" w:rsidR="00283998" w:rsidRDefault="00283998">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C6BC9" w14:textId="77777777" w:rsidR="00283998" w:rsidRDefault="002839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B3F26" w14:textId="77777777" w:rsidR="008441FB" w:rsidRDefault="008441FB">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A91D9" w14:textId="0A41C4CA" w:rsidR="00283998" w:rsidRPr="002529F3" w:rsidRDefault="00283998" w:rsidP="002529F3">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781B7" w14:textId="52AE88D5" w:rsidR="00283998" w:rsidRPr="000706DD" w:rsidRDefault="00283998" w:rsidP="000706D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13FCD" w14:textId="5239E84B" w:rsidR="00283998" w:rsidRPr="000706DD" w:rsidRDefault="00283998" w:rsidP="000706D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25C65" w14:textId="663E0F62" w:rsidR="00283998" w:rsidRDefault="00283998">
    <w:pPr>
      <w:pStyle w:val="Header"/>
      <w:spacing w:after="288"/>
    </w:pPr>
  </w:p>
  <w:p w14:paraId="05CF938B" w14:textId="77777777" w:rsidR="00283998" w:rsidRDefault="00283998">
    <w:pPr>
      <w:pStyle w:val="Header"/>
      <w:spacing w:after="288"/>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654C4" w14:textId="25FCBD26" w:rsidR="00283998" w:rsidRDefault="00283998">
    <w:pPr>
      <w:pStyle w:val="Header"/>
      <w:spacing w:after="288"/>
    </w:pPr>
    <w:r>
      <w:rPr>
        <w:noProof/>
      </w:rPr>
      <mc:AlternateContent>
        <mc:Choice Requires="wps">
          <w:drawing>
            <wp:anchor distT="0" distB="0" distL="114300" distR="114300" simplePos="0" relativeHeight="251675648" behindDoc="0" locked="0" layoutInCell="0" allowOverlap="1" wp14:anchorId="6BF1159F" wp14:editId="28AE6C96">
              <wp:simplePos x="0" y="0"/>
              <wp:positionH relativeFrom="page">
                <wp:align>right</wp:align>
              </wp:positionH>
              <wp:positionV relativeFrom="page">
                <wp:posOffset>389195</wp:posOffset>
              </wp:positionV>
              <wp:extent cx="7560945" cy="273050"/>
              <wp:effectExtent l="0" t="0" r="0" b="12700"/>
              <wp:wrapNone/>
              <wp:docPr id="12" name="MSIPCM0dc74eca9a0ead1808b5e7e7" descr="{&quot;HashCode&quot;:-1288984879,&quot;Height&quot;:842.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E33A77" w14:textId="013333D4" w:rsidR="00283998" w:rsidRPr="002523A8" w:rsidRDefault="00283998" w:rsidP="00CE6710">
                          <w:pPr>
                            <w:spacing w:after="288"/>
                            <w:jc w:val="center"/>
                            <w:rPr>
                              <w:rFonts w:ascii="Calibri" w:hAnsi="Calibri" w:cs="Calibri"/>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BF1159F" id="_x0000_t202" coordsize="21600,21600" o:spt="202" path="m,l,21600r21600,l21600,xe">
              <v:stroke joinstyle="miter"/>
              <v:path gradientshapeok="t" o:connecttype="rect"/>
            </v:shapetype>
            <v:shape id="_x0000_s1035" type="#_x0000_t202" alt="{&quot;HashCode&quot;:-1288984879,&quot;Height&quot;:842.0,&quot;Width&quot;:595.0,&quot;Placement&quot;:&quot;Header&quot;,&quot;Index&quot;:&quot;FirstPage&quot;,&quot;Section&quot;:1,&quot;Top&quot;:0.0,&quot;Left&quot;:0.0}" style="position:absolute;left:0;text-align:left;margin-left:544.15pt;margin-top:30.65pt;width:595.35pt;height:21.5pt;z-index:251675648;visibility:visible;mso-wrap-style:square;mso-wrap-distance-left:9pt;mso-wrap-distance-top:0;mso-wrap-distance-right:9pt;mso-wrap-distance-bottom:0;mso-position-horizontal:right;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" o:allowincell="f" filled="f" stroked="f" strokeweight=".5pt">
              <v:textbox inset=",0,,0">
                <w:txbxContent>
                  <w:p w14:paraId="13E33A77" w14:textId="013333D4" w:rsidR="00283998" w:rsidRPr="002523A8" w:rsidRDefault="00283998" w:rsidP="00CE6710">
                    <w:pPr>
                      <w:spacing w:after="288"/>
                      <w:jc w:val="center"/>
                      <w:rPr>
                        <w:rFonts w:ascii="Calibri" w:hAnsi="Calibri" w:cs="Calibri"/>
                      </w:rPr>
                    </w:pPr>
                  </w:p>
                </w:txbxContent>
              </v:textbox>
              <w10:wrap anchorx="page" anchory="page"/>
            </v:shape>
          </w:pict>
        </mc:Fallback>
      </mc:AlternateContent>
    </w:r>
    <w:r>
      <w:rPr>
        <w:noProof/>
      </w:rPr>
      <mc:AlternateContent>
        <mc:Choice Requires="wps">
          <w:drawing>
            <wp:anchor distT="0" distB="0" distL="114300" distR="114300" simplePos="0" relativeHeight="251657216" behindDoc="0" locked="0" layoutInCell="0" allowOverlap="1" wp14:anchorId="3CBF3E5C" wp14:editId="556B4B4C">
              <wp:simplePos x="0" y="0"/>
              <wp:positionH relativeFrom="page">
                <wp:posOffset>0</wp:posOffset>
              </wp:positionH>
              <wp:positionV relativeFrom="page">
                <wp:posOffset>190500</wp:posOffset>
              </wp:positionV>
              <wp:extent cx="7560945" cy="273050"/>
              <wp:effectExtent l="0" t="0" r="0" b="12700"/>
              <wp:wrapNone/>
              <wp:docPr id="1" name="MSIPCM40b442ea9af7f456b2308d27" descr="{&quot;HashCode&quot;:-1288984879,&quot;Height&quot;:842.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C0EB9B" w14:textId="2C18A1EB" w:rsidR="00283998" w:rsidRPr="002523A8" w:rsidRDefault="00283998" w:rsidP="002523A8">
                          <w:pPr>
                            <w:spacing w:after="288"/>
                            <w:jc w:val="center"/>
                            <w:rPr>
                              <w:rFonts w:ascii="Calibri" w:hAnsi="Calibri" w:cs="Calibri"/>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 w14:anchorId="3CBF3E5C" id="MSIPCM40b442ea9af7f456b2308d27" o:spid="_x0000_s1036" type="#_x0000_t202" alt="{&quot;HashCode&quot;:-1288984879,&quot;Height&quot;:842.0,&quot;Width&quot;:595.0,&quot;Placement&quot;:&quot;Header&quot;,&quot;Index&quot;:&quot;Primary&quot;,&quot;Section&quot;:1,&quot;Top&quot;:0.0,&quot;Left&quot;:0.0}" style="position:absolute;left:0;text-align:left;margin-left:0;margin-top:15pt;width:595.35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" o:allowincell="f" filled="f" stroked="f" strokeweight=".5pt">
              <v:textbox inset=",0,,0">
                <w:txbxContent>
                  <w:p w14:paraId="40C0EB9B" w14:textId="2C18A1EB" w:rsidR="00283998" w:rsidRPr="002523A8" w:rsidRDefault="00283998" w:rsidP="002523A8">
                    <w:pPr>
                      <w:spacing w:after="288"/>
                      <w:jc w:val="center"/>
                      <w:rPr>
                        <w:rFonts w:ascii="Calibri" w:hAnsi="Calibri" w:cs="Calibri"/>
                      </w:rPr>
                    </w:pP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B2A91" w14:textId="4209B5A9" w:rsidR="00283998" w:rsidRDefault="00283998">
    <w:pPr>
      <w:pStyle w:val="Header"/>
      <w:spacing w:after="288"/>
    </w:pPr>
    <w:r w:rsidRPr="00CE6710">
      <w:rPr>
        <w:rFonts w:ascii="Calibri" w:hAnsi="Calibri" w:cs="Calibri"/>
        <w:noProof/>
      </w:rPr>
      <w:drawing>
        <wp:anchor distT="0" distB="0" distL="114300" distR="114300" simplePos="0" relativeHeight="251676672" behindDoc="1" locked="0" layoutInCell="1" allowOverlap="1" wp14:anchorId="066EB590" wp14:editId="2B8B7CFC">
          <wp:simplePos x="0" y="0"/>
          <wp:positionH relativeFrom="page">
            <wp:align>center</wp:align>
          </wp:positionH>
          <wp:positionV relativeFrom="paragraph">
            <wp:posOffset>10490</wp:posOffset>
          </wp:positionV>
          <wp:extent cx="5756092" cy="234086"/>
          <wp:effectExtent l="0" t="0" r="0" b="0"/>
          <wp:wrapTight wrapText="bothSides">
            <wp:wrapPolygon edited="0">
              <wp:start x="10009" y="0"/>
              <wp:lineTo x="9937" y="3522"/>
              <wp:lineTo x="9937" y="10565"/>
              <wp:lineTo x="11582" y="10565"/>
              <wp:lineTo x="11653" y="5283"/>
              <wp:lineTo x="11296" y="1761"/>
              <wp:lineTo x="11010" y="0"/>
              <wp:lineTo x="10009"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6092" cy="23408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0CB0F9" w14:textId="77777777" w:rsidR="00283998" w:rsidRDefault="00283998">
    <w:pPr>
      <w:pStyle w:val="Header"/>
      <w:spacing w:after="288"/>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55BB2" w14:textId="77777777" w:rsidR="00283998" w:rsidRDefault="00283998">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FBFC7" w14:textId="77777777" w:rsidR="00283998" w:rsidRDefault="00283998">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2C760" w14:textId="77777777" w:rsidR="00283998" w:rsidRDefault="00283998">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5CED3" w14:textId="77777777" w:rsidR="00283998" w:rsidRDefault="002839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1F53A" w14:textId="77777777" w:rsidR="008441FB" w:rsidRDefault="008441FB">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15EB" w14:textId="77777777" w:rsidR="00283998" w:rsidRDefault="00283998"/>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6CF55" w14:textId="77777777" w:rsidR="00283998" w:rsidRDefault="0028399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026B" w14:textId="77777777" w:rsidR="00283998" w:rsidRDefault="0028399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CE415" w14:textId="77777777" w:rsidR="00283998" w:rsidRDefault="0028399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B6E65" w14:textId="77777777" w:rsidR="00283998" w:rsidRDefault="0028399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A073D" w14:textId="77777777" w:rsidR="00283998" w:rsidRDefault="0028399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636D3" w14:textId="77777777" w:rsidR="00283998" w:rsidRDefault="0028399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1E5DA" w14:textId="77777777" w:rsidR="00283998" w:rsidRDefault="00283998">
    <w:pPr>
      <w:pStyle w:val="Header"/>
      <w:spacing w:after="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523C67"/>
    <w:multiLevelType w:val="multilevel"/>
    <w:tmpl w:val="74E25C0C"/>
    <w:lvl w:ilvl="0">
      <w:start w:val="1"/>
      <w:numFmt w:val="decimal"/>
      <w:lvlText w:val="%1."/>
      <w:lvlJc w:val="left"/>
      <w:pPr>
        <w:tabs>
          <w:tab w:val="num" w:pos="851"/>
        </w:tabs>
        <w:ind w:left="851" w:hanging="851"/>
      </w:pPr>
      <w:rPr>
        <w:rFonts w:cs="Times New Roman"/>
        <w:b/>
        <w:bCs/>
        <w:i w:val="0"/>
        <w:caps w:val="0"/>
        <w:smallCaps w:val="0"/>
        <w:strike w:val="0"/>
        <w:dstrike w:val="0"/>
        <w:vanish w:val="0"/>
        <w:color w:val="000000"/>
        <w:u w:val="none"/>
        <w:effect w:val="none"/>
        <w:vertAlign w:val="baseline"/>
      </w:rPr>
    </w:lvl>
    <w:lvl w:ilvl="1">
      <w:start w:val="1"/>
      <w:numFmt w:val="decimal"/>
      <w:lvlText w:val="%1.%2"/>
      <w:lvlJc w:val="left"/>
      <w:pPr>
        <w:tabs>
          <w:tab w:val="num" w:pos="851"/>
        </w:tabs>
        <w:ind w:left="851" w:hanging="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901"/>
        </w:tabs>
        <w:ind w:left="4901" w:hanging="851"/>
      </w:pPr>
      <w:rPr>
        <w:rFonts w:cs="Times New Roman"/>
        <w:b w:val="0"/>
        <w:i w:val="0"/>
        <w:caps w:val="0"/>
        <w:smallCaps w:val="0"/>
        <w:strike w:val="0"/>
        <w:dstrike w:val="0"/>
        <w:vanish w:val="0"/>
        <w:color w:val="000000"/>
        <w:u w:val="none"/>
        <w:effect w:val="none"/>
        <w:vertAlign w:val="baseline"/>
      </w:rPr>
    </w:lvl>
    <w:lvl w:ilvl="3">
      <w:start w:val="1"/>
      <w:numFmt w:val="lowerLetter"/>
      <w:lvlText w:val="(%4)"/>
      <w:lvlJc w:val="left"/>
      <w:pPr>
        <w:tabs>
          <w:tab w:val="num" w:pos="2553"/>
        </w:tabs>
        <w:ind w:left="2553" w:hanging="851"/>
      </w:pPr>
      <w:rPr>
        <w:rFonts w:cs="Times New Roman"/>
        <w:b w:val="0"/>
        <w:i w:val="0"/>
        <w:caps w:val="0"/>
        <w:smallCaps w:val="0"/>
        <w:strike w:val="0"/>
        <w:dstrike w:val="0"/>
        <w:vanish w:val="0"/>
        <w:color w:val="000000"/>
        <w:u w:val="none"/>
        <w:effect w:val="none"/>
        <w:vertAlign w:val="baseline"/>
      </w:rPr>
    </w:lvl>
    <w:lvl w:ilvl="4">
      <w:start w:val="1"/>
      <w:numFmt w:val="lowerRoman"/>
      <w:lvlText w:val="(%5)"/>
      <w:lvlJc w:val="left"/>
      <w:pPr>
        <w:tabs>
          <w:tab w:val="num" w:pos="3404"/>
        </w:tabs>
        <w:ind w:left="3404" w:hanging="851"/>
      </w:pPr>
      <w:rPr>
        <w:rFonts w:cs="Times New Roman"/>
        <w:b w:val="0"/>
        <w:i w:val="0"/>
        <w:caps w:val="0"/>
        <w:smallCaps w:val="0"/>
        <w:strike w:val="0"/>
        <w:dstrike w:val="0"/>
        <w:vanish w:val="0"/>
        <w:color w:val="000000"/>
        <w:u w:val="none"/>
        <w:effect w:val="none"/>
        <w:vertAlign w:val="baseline"/>
      </w:rPr>
    </w:lvl>
    <w:lvl w:ilvl="5">
      <w:start w:val="1"/>
      <w:numFmt w:val="decimal"/>
      <w:lvlText w:val="(%6)"/>
      <w:lvlJc w:val="left"/>
      <w:pPr>
        <w:tabs>
          <w:tab w:val="num" w:pos="4255"/>
        </w:tabs>
        <w:ind w:left="4255" w:hanging="851"/>
      </w:pPr>
      <w:rPr>
        <w:rFonts w:cs="Times New Roman"/>
        <w:b w:val="0"/>
        <w:i w:val="0"/>
        <w:caps w:val="0"/>
        <w:smallCaps w:val="0"/>
        <w:strike w:val="0"/>
        <w:dstrike w:val="0"/>
        <w:vanish w:val="0"/>
        <w:color w:val="000000"/>
        <w:u w:val="none"/>
        <w:effect w:val="none"/>
        <w:vertAlign w:val="baseline"/>
      </w:rPr>
    </w:lvl>
    <w:lvl w:ilvl="6">
      <w:start w:val="1"/>
      <w:numFmt w:val="none"/>
      <w:suff w:val="nothing"/>
      <w:lvlText w:val="Not Defined"/>
      <w:lvlJc w:val="left"/>
      <w:rPr>
        <w:rFonts w:cs="Times New Roman"/>
        <w:b w:val="0"/>
        <w:i w:val="0"/>
        <w:caps w:val="0"/>
        <w:smallCaps w:val="0"/>
        <w:strike w:val="0"/>
        <w:dstrike w:val="0"/>
        <w:vanish w:val="0"/>
        <w:color w:val="000000"/>
        <w:u w:val="none"/>
        <w:effect w:val="none"/>
        <w:vertAlign w:val="baseline"/>
      </w:rPr>
    </w:lvl>
    <w:lvl w:ilvl="7">
      <w:start w:val="1"/>
      <w:numFmt w:val="none"/>
      <w:suff w:val="nothing"/>
      <w:lvlText w:val="Not Defined"/>
      <w:lvlJc w:val="left"/>
      <w:rPr>
        <w:rFonts w:cs="Times New Roman"/>
        <w:b w:val="0"/>
        <w:i w:val="0"/>
        <w:caps w:val="0"/>
        <w:smallCaps w:val="0"/>
        <w:strike w:val="0"/>
        <w:dstrike w:val="0"/>
        <w:vanish w:val="0"/>
        <w:color w:val="000000"/>
        <w:u w:val="none"/>
        <w:effect w:val="none"/>
        <w:vertAlign w:val="baseline"/>
      </w:rPr>
    </w:lvl>
    <w:lvl w:ilvl="8">
      <w:start w:val="1"/>
      <w:numFmt w:val="none"/>
      <w:suff w:val="nothing"/>
      <w:lvlText w:val="Not Defined"/>
      <w:lvlJc w:val="left"/>
      <w:rPr>
        <w:rFonts w:cs="Times New Roman"/>
        <w:b w:val="0"/>
        <w:i w:val="0"/>
        <w:caps w:val="0"/>
        <w:smallCaps w:val="0"/>
        <w:strike w:val="0"/>
        <w:dstrike w:val="0"/>
        <w:vanish w:val="0"/>
        <w:color w:val="000000"/>
        <w:u w:val="none"/>
        <w:effect w:val="none"/>
        <w:vertAlign w:val="baseline"/>
      </w:rPr>
    </w:lvl>
  </w:abstractNum>
  <w:abstractNum w:abstractNumId="1" w15:restartNumberingAfterBreak="0">
    <w:nsid w:val="FFFFFF88"/>
    <w:multiLevelType w:val="singleLevel"/>
    <w:tmpl w:val="6AD4DAD2"/>
    <w:name w:val="ssNoHeading3"/>
    <w:lvl w:ilvl="0">
      <w:start w:val="1"/>
      <w:numFmt w:val="decimal"/>
      <w:pStyle w:val="ssNoHeading3"/>
      <w:lvlText w:val="%1."/>
      <w:lvlJc w:val="left"/>
      <w:pPr>
        <w:tabs>
          <w:tab w:val="num" w:pos="360"/>
        </w:tabs>
        <w:ind w:left="360" w:hanging="360"/>
      </w:pPr>
      <w:rPr>
        <w:rFonts w:cs="Times New Roman"/>
      </w:rPr>
    </w:lvl>
  </w:abstractNum>
  <w:abstractNum w:abstractNumId="2" w15:restartNumberingAfterBreak="0">
    <w:nsid w:val="FFFFFF89"/>
    <w:multiLevelType w:val="singleLevel"/>
    <w:tmpl w:val="6096F610"/>
    <w:name w:val="List Bullet"/>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680751"/>
    <w:multiLevelType w:val="multilevel"/>
    <w:tmpl w:val="08562AF0"/>
    <w:name w:val="Recitals"/>
    <w:lvl w:ilvl="0">
      <w:start w:val="1"/>
      <w:numFmt w:val="upperLetter"/>
      <w:pStyle w:val="Recitals"/>
      <w:lvlText w:val="(%1)"/>
      <w:lvlJc w:val="left"/>
      <w:pPr>
        <w:tabs>
          <w:tab w:val="num" w:pos="709"/>
        </w:tabs>
        <w:ind w:left="709" w:hanging="709"/>
      </w:pPr>
      <w:rPr>
        <w:rFonts w:hint="default"/>
      </w:rPr>
    </w:lvl>
    <w:lvl w:ilvl="1">
      <w:start w:val="1"/>
      <w:numFmt w:val="none"/>
      <w:lvlText w:val="%2"/>
      <w:lvlJc w:val="left"/>
      <w:pPr>
        <w:tabs>
          <w:tab w:val="num" w:pos="0"/>
        </w:tabs>
        <w:ind w:left="0" w:firstLine="0"/>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4" w15:restartNumberingAfterBreak="0">
    <w:nsid w:val="03087ABF"/>
    <w:multiLevelType w:val="hybridMultilevel"/>
    <w:tmpl w:val="81062C88"/>
    <w:lvl w:ilvl="0" w:tplc="DAF6C9E2">
      <w:start w:val="1"/>
      <w:numFmt w:val="decimal"/>
      <w:lvlText w:val="%1."/>
      <w:lvlJc w:val="left"/>
      <w:pPr>
        <w:ind w:left="85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909069B2">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33B86AB0">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564C24D6">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7C2865DA">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D05A8BB0">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597E9FA0">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6A26A336">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E28A473C">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030F0D20"/>
    <w:multiLevelType w:val="multilevel"/>
    <w:tmpl w:val="9C0C25DA"/>
    <w:name w:val="Simmons&amp;Simmons22"/>
    <w:lvl w:ilvl="0">
      <w:start w:val="1"/>
      <w:numFmt w:val="decimal"/>
      <w:lvlText w:val="%1."/>
      <w:lvlJc w:val="left"/>
      <w:pPr>
        <w:tabs>
          <w:tab w:val="num" w:pos="851"/>
        </w:tabs>
        <w:ind w:left="851" w:hanging="851"/>
      </w:pPr>
      <w:rPr>
        <w:rFonts w:cs="Times New Roman" w:hint="default"/>
        <w:b w:val="0"/>
        <w:bCs w:val="0"/>
        <w:i w:val="0"/>
        <w:iCs w:val="0"/>
        <w:u w:val="none"/>
      </w:rPr>
    </w:lvl>
    <w:lvl w:ilvl="1">
      <w:start w:val="1"/>
      <w:numFmt w:val="decimal"/>
      <w:lvlText w:val="%1.%2"/>
      <w:lvlJc w:val="left"/>
      <w:pPr>
        <w:tabs>
          <w:tab w:val="num" w:pos="851"/>
        </w:tabs>
        <w:ind w:left="851" w:hanging="851"/>
      </w:pPr>
      <w:rPr>
        <w:rFonts w:cs="Times New Roman" w:hint="default"/>
        <w:b w:val="0"/>
        <w:bCs w:val="0"/>
        <w:i w:val="0"/>
        <w:iCs w:val="0"/>
        <w:u w:val="none"/>
      </w:rPr>
    </w:lvl>
    <w:lvl w:ilvl="2">
      <w:start w:val="1"/>
      <w:numFmt w:val="decimal"/>
      <w:lvlText w:val="%1.%2.%3"/>
      <w:lvlJc w:val="left"/>
      <w:pPr>
        <w:tabs>
          <w:tab w:val="num" w:pos="1843"/>
        </w:tabs>
        <w:ind w:left="1843" w:hanging="992"/>
      </w:pPr>
      <w:rPr>
        <w:rFonts w:cs="Times New Roman" w:hint="default"/>
        <w:b w:val="0"/>
        <w:bCs w:val="0"/>
        <w:i w:val="0"/>
        <w:iCs w:val="0"/>
        <w:u w:val="none"/>
      </w:rPr>
    </w:lvl>
    <w:lvl w:ilvl="3">
      <w:start w:val="1"/>
      <w:numFmt w:val="decimal"/>
      <w:lvlText w:val="%1.%2.%3.%4"/>
      <w:lvlJc w:val="left"/>
      <w:pPr>
        <w:tabs>
          <w:tab w:val="num" w:pos="3119"/>
        </w:tabs>
        <w:ind w:left="3119" w:hanging="1276"/>
      </w:pPr>
      <w:rPr>
        <w:rFonts w:cs="Times New Roman" w:hint="default"/>
        <w:b w:val="0"/>
        <w:bCs w:val="0"/>
        <w:i w:val="0"/>
        <w:iCs w:val="0"/>
        <w:u w:val="none"/>
      </w:rPr>
    </w:lvl>
    <w:lvl w:ilvl="4">
      <w:start w:val="1"/>
      <w:numFmt w:val="lowerLetter"/>
      <w:lvlText w:val="(%5)"/>
      <w:lvlJc w:val="left"/>
      <w:pPr>
        <w:tabs>
          <w:tab w:val="num" w:pos="3119"/>
        </w:tabs>
        <w:ind w:left="3119" w:hanging="1276"/>
      </w:pPr>
      <w:rPr>
        <w:rFonts w:cs="Times New Roman" w:hint="default"/>
        <w:b w:val="0"/>
        <w:bCs w:val="0"/>
        <w:i w:val="0"/>
        <w:iCs w:val="0"/>
        <w:u w:val="none"/>
      </w:rPr>
    </w:lvl>
    <w:lvl w:ilvl="5">
      <w:start w:val="1"/>
      <w:numFmt w:val="none"/>
      <w:lvlText w:val="(Not Defined)"/>
      <w:lvlJc w:val="left"/>
      <w:pPr>
        <w:tabs>
          <w:tab w:val="num" w:pos="3240"/>
        </w:tabs>
        <w:ind w:left="2736" w:hanging="936"/>
      </w:pPr>
      <w:rPr>
        <w:rFonts w:cs="Times New Roman" w:hint="default"/>
      </w:rPr>
    </w:lvl>
    <w:lvl w:ilvl="6">
      <w:start w:val="1"/>
      <w:numFmt w:val="none"/>
      <w:lvlText w:val="(Not Defined)"/>
      <w:lvlJc w:val="left"/>
      <w:pPr>
        <w:tabs>
          <w:tab w:val="num" w:pos="3600"/>
        </w:tabs>
        <w:ind w:left="3240" w:hanging="1080"/>
      </w:pPr>
      <w:rPr>
        <w:rFonts w:cs="Times New Roman" w:hint="default"/>
      </w:rPr>
    </w:lvl>
    <w:lvl w:ilvl="7">
      <w:start w:val="1"/>
      <w:numFmt w:val="none"/>
      <w:lvlText w:val="(Not Defined)"/>
      <w:lvlJc w:val="left"/>
      <w:pPr>
        <w:tabs>
          <w:tab w:val="num" w:pos="3960"/>
        </w:tabs>
        <w:ind w:left="3744" w:hanging="1224"/>
      </w:pPr>
      <w:rPr>
        <w:rFonts w:cs="Times New Roman" w:hint="default"/>
      </w:rPr>
    </w:lvl>
    <w:lvl w:ilvl="8">
      <w:start w:val="1"/>
      <w:numFmt w:val="none"/>
      <w:lvlText w:val="(Not Defined)"/>
      <w:lvlJc w:val="left"/>
      <w:pPr>
        <w:tabs>
          <w:tab w:val="num" w:pos="4320"/>
        </w:tabs>
        <w:ind w:left="4320" w:hanging="1440"/>
      </w:pPr>
      <w:rPr>
        <w:rFonts w:cs="Times New Roman" w:hint="default"/>
      </w:rPr>
    </w:lvl>
  </w:abstractNum>
  <w:abstractNum w:abstractNumId="6" w15:restartNumberingAfterBreak="0">
    <w:nsid w:val="047538CE"/>
    <w:multiLevelType w:val="multilevel"/>
    <w:tmpl w:val="62EEBC1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val="0"/>
        <w:i w:val="0"/>
      </w:rPr>
    </w:lvl>
    <w:lvl w:ilvl="3">
      <w:start w:val="1"/>
      <w:numFmt w:val="lowerLetter"/>
      <w:lvlText w:val="(%4)"/>
      <w:lvlJc w:val="left"/>
      <w:pPr>
        <w:tabs>
          <w:tab w:val="num" w:pos="1440"/>
        </w:tabs>
        <w:ind w:left="1440" w:hanging="720"/>
      </w:pPr>
      <w:rPr>
        <w:rFonts w:hint="default"/>
      </w:rPr>
    </w:lvl>
    <w:lvl w:ilvl="4">
      <w:start w:val="1"/>
      <w:numFmt w:val="lowerRoman"/>
      <w:lvlText w:val="(%5)"/>
      <w:lvlJc w:val="left"/>
      <w:pPr>
        <w:tabs>
          <w:tab w:val="num" w:pos="2160"/>
        </w:tabs>
        <w:ind w:left="2160" w:hanging="720"/>
      </w:pPr>
      <w:rPr>
        <w:rFonts w:hint="default"/>
      </w:rPr>
    </w:lvl>
    <w:lvl w:ilvl="5">
      <w:start w:val="27"/>
      <w:numFmt w:val="lowerLetter"/>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04FA0C24"/>
    <w:multiLevelType w:val="hybridMultilevel"/>
    <w:tmpl w:val="003658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059B32AA"/>
    <w:multiLevelType w:val="hybridMultilevel"/>
    <w:tmpl w:val="DE2A7858"/>
    <w:name w:val="Table Bullet1"/>
    <w:lvl w:ilvl="0" w:tplc="5964E378">
      <w:start w:val="1"/>
      <w:numFmt w:val="bullet"/>
      <w:pStyle w:val="TableBullet1"/>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68B31AB"/>
    <w:multiLevelType w:val="hybridMultilevel"/>
    <w:tmpl w:val="467C92C0"/>
    <w:lvl w:ilvl="0" w:tplc="61BA7FAC">
      <w:start w:val="1"/>
      <w:numFmt w:val="bullet"/>
      <w:lvlText w:val=""/>
      <w:lvlJc w:val="left"/>
      <w:pPr>
        <w:tabs>
          <w:tab w:val="num" w:pos="1211"/>
        </w:tabs>
        <w:ind w:left="1211" w:hanging="360"/>
      </w:pPr>
      <w:rPr>
        <w:rFonts w:ascii="Symbol" w:hAnsi="Symbol" w:hint="default"/>
        <w:sz w:val="20"/>
      </w:rPr>
    </w:lvl>
    <w:lvl w:ilvl="1" w:tplc="5D2CD030">
      <w:start w:val="1"/>
      <w:numFmt w:val="decimal"/>
      <w:lvlText w:val="%2."/>
      <w:lvlJc w:val="left"/>
      <w:pPr>
        <w:tabs>
          <w:tab w:val="num" w:pos="1931"/>
        </w:tabs>
        <w:ind w:left="1931" w:hanging="360"/>
      </w:pPr>
    </w:lvl>
    <w:lvl w:ilvl="2" w:tplc="523A12D4">
      <w:start w:val="1"/>
      <w:numFmt w:val="decimal"/>
      <w:lvlText w:val="%3."/>
      <w:lvlJc w:val="left"/>
      <w:pPr>
        <w:tabs>
          <w:tab w:val="num" w:pos="2651"/>
        </w:tabs>
        <w:ind w:left="2651" w:hanging="360"/>
      </w:pPr>
    </w:lvl>
    <w:lvl w:ilvl="3" w:tplc="B9D82854">
      <w:start w:val="1"/>
      <w:numFmt w:val="decimal"/>
      <w:lvlText w:val="%4."/>
      <w:lvlJc w:val="left"/>
      <w:pPr>
        <w:tabs>
          <w:tab w:val="num" w:pos="3371"/>
        </w:tabs>
        <w:ind w:left="3371" w:hanging="360"/>
      </w:pPr>
    </w:lvl>
    <w:lvl w:ilvl="4" w:tplc="AA0E8B70">
      <w:start w:val="1"/>
      <w:numFmt w:val="decimal"/>
      <w:lvlText w:val="%5."/>
      <w:lvlJc w:val="left"/>
      <w:pPr>
        <w:tabs>
          <w:tab w:val="num" w:pos="4091"/>
        </w:tabs>
        <w:ind w:left="4091" w:hanging="360"/>
      </w:pPr>
    </w:lvl>
    <w:lvl w:ilvl="5" w:tplc="F11453B6">
      <w:start w:val="1"/>
      <w:numFmt w:val="decimal"/>
      <w:lvlText w:val="%6."/>
      <w:lvlJc w:val="left"/>
      <w:pPr>
        <w:tabs>
          <w:tab w:val="num" w:pos="4811"/>
        </w:tabs>
        <w:ind w:left="4811" w:hanging="360"/>
      </w:pPr>
    </w:lvl>
    <w:lvl w:ilvl="6" w:tplc="D954ECB8">
      <w:start w:val="1"/>
      <w:numFmt w:val="decimal"/>
      <w:lvlText w:val="%7."/>
      <w:lvlJc w:val="left"/>
      <w:pPr>
        <w:tabs>
          <w:tab w:val="num" w:pos="5531"/>
        </w:tabs>
        <w:ind w:left="5531" w:hanging="360"/>
      </w:pPr>
    </w:lvl>
    <w:lvl w:ilvl="7" w:tplc="DF72D1A8">
      <w:start w:val="1"/>
      <w:numFmt w:val="decimal"/>
      <w:lvlText w:val="%8."/>
      <w:lvlJc w:val="left"/>
      <w:pPr>
        <w:tabs>
          <w:tab w:val="num" w:pos="6251"/>
        </w:tabs>
        <w:ind w:left="6251" w:hanging="360"/>
      </w:pPr>
    </w:lvl>
    <w:lvl w:ilvl="8" w:tplc="D518A7DA">
      <w:start w:val="1"/>
      <w:numFmt w:val="decimal"/>
      <w:lvlText w:val="%9."/>
      <w:lvlJc w:val="left"/>
      <w:pPr>
        <w:tabs>
          <w:tab w:val="num" w:pos="6971"/>
        </w:tabs>
        <w:ind w:left="6971" w:hanging="360"/>
      </w:pPr>
    </w:lvl>
  </w:abstractNum>
  <w:abstractNum w:abstractNumId="10" w15:restartNumberingAfterBreak="0">
    <w:nsid w:val="06F17FFD"/>
    <w:multiLevelType w:val="hybridMultilevel"/>
    <w:tmpl w:val="282A5F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7F020F4"/>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8DA543D"/>
    <w:multiLevelType w:val="multilevel"/>
    <w:tmpl w:val="056EC49E"/>
    <w:lvl w:ilvl="0">
      <w:start w:val="1"/>
      <w:numFmt w:val="lowerLetter"/>
      <w:lvlText w:val="(%1)"/>
      <w:lvlJc w:val="left"/>
      <w:pPr>
        <w:tabs>
          <w:tab w:val="num" w:pos="1932"/>
        </w:tabs>
        <w:ind w:left="0" w:firstLine="0"/>
      </w:pPr>
      <w:rPr>
        <w:rFonts w:ascii="Arial" w:eastAsia="Arial" w:hAnsi="Arial" w:hint="default"/>
        <w:b w:val="0"/>
        <w:bCs/>
        <w:color w:val="000000"/>
        <w:spacing w:val="0"/>
        <w:w w:val="100"/>
        <w:sz w:val="20"/>
        <w:szCs w:val="20"/>
        <w:vertAlign w:val="baseline"/>
        <w:lang w:val="en-US"/>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3" w15:restartNumberingAfterBreak="0">
    <w:nsid w:val="09E41341"/>
    <w:multiLevelType w:val="hybridMultilevel"/>
    <w:tmpl w:val="D58C18E0"/>
    <w:name w:val="Numbering1"/>
    <w:lvl w:ilvl="0" w:tplc="5712B450">
      <w:start w:val="1"/>
      <w:numFmt w:val="decimal"/>
      <w:pStyle w:val="Numbering1"/>
      <w:lvlText w:val="%1."/>
      <w:lvlJc w:val="left"/>
      <w:pPr>
        <w:ind w:left="360" w:hanging="360"/>
      </w:pPr>
      <w:rPr>
        <w:rFonts w:ascii="Arial" w:hAnsi="Arial" w:hint="default"/>
        <w:b w:val="0"/>
        <w:i w:val="0"/>
        <w:color w:val="5B9BD5" w:themeColor="accent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0C461777"/>
    <w:multiLevelType w:val="hybridMultilevel"/>
    <w:tmpl w:val="8C92224A"/>
    <w:name w:val="Bullet2"/>
    <w:lvl w:ilvl="0" w:tplc="36828256">
      <w:start w:val="1"/>
      <w:numFmt w:val="bullet"/>
      <w:pStyle w:val="Bullet2"/>
      <w:lvlText w:val=""/>
      <w:lvlJc w:val="left"/>
      <w:pPr>
        <w:ind w:left="720" w:hanging="360"/>
      </w:pPr>
      <w:rPr>
        <w:rFonts w:ascii="Wingdings" w:hAnsi="Wingdings" w:hint="default"/>
        <w:b w:val="0"/>
        <w:i w:val="0"/>
        <w:color w:val="0070A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C23A3"/>
    <w:multiLevelType w:val="hybridMultilevel"/>
    <w:tmpl w:val="55E6AB3C"/>
    <w:lvl w:ilvl="0" w:tplc="233621AE">
      <w:start w:val="1"/>
      <w:numFmt w:val="decimal"/>
      <w:lvlText w:val="%1."/>
      <w:lvlJc w:val="left"/>
      <w:pPr>
        <w:ind w:left="727" w:hanging="730"/>
      </w:pPr>
      <w:rPr>
        <w:rFonts w:ascii="Verdana" w:eastAsia="Verdana" w:hAnsi="Verdana" w:cs="Verdana" w:hint="default"/>
        <w:sz w:val="18"/>
      </w:rPr>
    </w:lvl>
    <w:lvl w:ilvl="1" w:tplc="08090019" w:tentative="1">
      <w:start w:val="1"/>
      <w:numFmt w:val="lowerLetter"/>
      <w:lvlText w:val="%2."/>
      <w:lvlJc w:val="left"/>
      <w:pPr>
        <w:ind w:left="1077" w:hanging="360"/>
      </w:pPr>
    </w:lvl>
    <w:lvl w:ilvl="2" w:tplc="0809001B" w:tentative="1">
      <w:start w:val="1"/>
      <w:numFmt w:val="lowerRoman"/>
      <w:lvlText w:val="%3."/>
      <w:lvlJc w:val="right"/>
      <w:pPr>
        <w:ind w:left="1797" w:hanging="180"/>
      </w:pPr>
    </w:lvl>
    <w:lvl w:ilvl="3" w:tplc="0809000F" w:tentative="1">
      <w:start w:val="1"/>
      <w:numFmt w:val="decimal"/>
      <w:lvlText w:val="%4."/>
      <w:lvlJc w:val="left"/>
      <w:pPr>
        <w:ind w:left="2517" w:hanging="360"/>
      </w:pPr>
    </w:lvl>
    <w:lvl w:ilvl="4" w:tplc="08090019" w:tentative="1">
      <w:start w:val="1"/>
      <w:numFmt w:val="lowerLetter"/>
      <w:lvlText w:val="%5."/>
      <w:lvlJc w:val="left"/>
      <w:pPr>
        <w:ind w:left="3237" w:hanging="360"/>
      </w:pPr>
    </w:lvl>
    <w:lvl w:ilvl="5" w:tplc="0809001B" w:tentative="1">
      <w:start w:val="1"/>
      <w:numFmt w:val="lowerRoman"/>
      <w:lvlText w:val="%6."/>
      <w:lvlJc w:val="right"/>
      <w:pPr>
        <w:ind w:left="3957" w:hanging="180"/>
      </w:pPr>
    </w:lvl>
    <w:lvl w:ilvl="6" w:tplc="0809000F" w:tentative="1">
      <w:start w:val="1"/>
      <w:numFmt w:val="decimal"/>
      <w:lvlText w:val="%7."/>
      <w:lvlJc w:val="left"/>
      <w:pPr>
        <w:ind w:left="4677" w:hanging="360"/>
      </w:pPr>
    </w:lvl>
    <w:lvl w:ilvl="7" w:tplc="08090019" w:tentative="1">
      <w:start w:val="1"/>
      <w:numFmt w:val="lowerLetter"/>
      <w:lvlText w:val="%8."/>
      <w:lvlJc w:val="left"/>
      <w:pPr>
        <w:ind w:left="5397" w:hanging="360"/>
      </w:pPr>
    </w:lvl>
    <w:lvl w:ilvl="8" w:tplc="0809001B" w:tentative="1">
      <w:start w:val="1"/>
      <w:numFmt w:val="lowerRoman"/>
      <w:lvlText w:val="%9."/>
      <w:lvlJc w:val="right"/>
      <w:pPr>
        <w:ind w:left="6117" w:hanging="180"/>
      </w:pPr>
    </w:lvl>
  </w:abstractNum>
  <w:abstractNum w:abstractNumId="17" w15:restartNumberingAfterBreak="0">
    <w:nsid w:val="0E173C3D"/>
    <w:multiLevelType w:val="singleLevel"/>
    <w:tmpl w:val="300A38CC"/>
    <w:lvl w:ilvl="0">
      <w:start w:val="1"/>
      <w:numFmt w:val="decimal"/>
      <w:lvlText w:val="(%1)"/>
      <w:lvlJc w:val="left"/>
      <w:pPr>
        <w:tabs>
          <w:tab w:val="num" w:pos="720"/>
        </w:tabs>
        <w:ind w:left="720" w:hanging="720"/>
      </w:pPr>
      <w:rPr>
        <w:rFonts w:hint="default"/>
        <w:b w:val="0"/>
        <w:i w:val="0"/>
      </w:rPr>
    </w:lvl>
  </w:abstractNum>
  <w:abstractNum w:abstractNumId="18" w15:restartNumberingAfterBreak="0">
    <w:nsid w:val="0F1A19FD"/>
    <w:multiLevelType w:val="singleLevel"/>
    <w:tmpl w:val="3DB265BC"/>
    <w:name w:val="Recital"/>
    <w:lvl w:ilvl="0">
      <w:start w:val="1"/>
      <w:numFmt w:val="upperLetter"/>
      <w:pStyle w:val="Recital"/>
      <w:lvlText w:val="%1"/>
      <w:lvlJc w:val="left"/>
      <w:pPr>
        <w:tabs>
          <w:tab w:val="num" w:pos="720"/>
        </w:tabs>
        <w:ind w:left="720" w:hanging="720"/>
      </w:pPr>
      <w:rPr>
        <w:rFonts w:hint="default"/>
        <w:b w:val="0"/>
        <w:i w:val="0"/>
      </w:rPr>
    </w:lvl>
  </w:abstractNum>
  <w:abstractNum w:abstractNumId="19" w15:restartNumberingAfterBreak="0">
    <w:nsid w:val="121E32CD"/>
    <w:multiLevelType w:val="multilevel"/>
    <w:tmpl w:val="07C2E26E"/>
    <w:name w:val="Parties"/>
    <w:lvl w:ilvl="0">
      <w:start w:val="1"/>
      <w:numFmt w:val="decimal"/>
      <w:pStyle w:val="Parties"/>
      <w:lvlText w:val="(%1)"/>
      <w:lvlJc w:val="left"/>
      <w:pPr>
        <w:tabs>
          <w:tab w:val="num" w:pos="709"/>
        </w:tabs>
        <w:ind w:left="709" w:hanging="709"/>
      </w:pPr>
      <w:rPr>
        <w:rFonts w:hint="default"/>
      </w:rPr>
    </w:lvl>
    <w:lvl w:ilvl="1">
      <w:start w:val="1"/>
      <w:numFmt w:val="none"/>
      <w:lvlText w:val="%2"/>
      <w:lvlJc w:val="left"/>
      <w:pPr>
        <w:tabs>
          <w:tab w:val="num" w:pos="0"/>
        </w:tabs>
        <w:ind w:left="0" w:firstLine="0"/>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0" w15:restartNumberingAfterBreak="0">
    <w:nsid w:val="13597E1A"/>
    <w:multiLevelType w:val="multilevel"/>
    <w:tmpl w:val="9C82D632"/>
    <w:name w:val="Schedule"/>
    <w:lvl w:ilvl="0">
      <w:start w:val="1"/>
      <w:numFmt w:val="decimal"/>
      <w:pStyle w:val="ScheduleTitle"/>
      <w:suff w:val="nothing"/>
      <w:lvlText w:val="Schedule %1"/>
      <w:lvlJc w:val="left"/>
      <w:pPr>
        <w:ind w:left="9073" w:firstLine="0"/>
      </w:pPr>
      <w:rPr>
        <w:rFonts w:hint="default"/>
      </w:rPr>
    </w:lvl>
    <w:lvl w:ilvl="1">
      <w:start w:val="1"/>
      <w:numFmt w:val="decimal"/>
      <w:pStyle w:val="ScheduleSubheading"/>
      <w:suff w:val="nothing"/>
      <w:lvlText w:val="Part %2"/>
      <w:lvlJc w:val="left"/>
      <w:pPr>
        <w:ind w:left="9073" w:firstLine="0"/>
      </w:pPr>
      <w:rPr>
        <w:rFonts w:hint="default"/>
      </w:rPr>
    </w:lvl>
    <w:lvl w:ilvl="2">
      <w:start w:val="1"/>
      <w:numFmt w:val="decimal"/>
      <w:pStyle w:val="Sch1"/>
      <w:lvlText w:val="%3."/>
      <w:lvlJc w:val="left"/>
      <w:pPr>
        <w:tabs>
          <w:tab w:val="num" w:pos="9782"/>
        </w:tabs>
        <w:ind w:left="9782" w:hanging="709"/>
      </w:pPr>
      <w:rPr>
        <w:rFonts w:hint="default"/>
      </w:rPr>
    </w:lvl>
    <w:lvl w:ilvl="3">
      <w:start w:val="1"/>
      <w:numFmt w:val="decimal"/>
      <w:pStyle w:val="Sch2"/>
      <w:lvlText w:val="%3.%4"/>
      <w:lvlJc w:val="left"/>
      <w:pPr>
        <w:tabs>
          <w:tab w:val="num" w:pos="9782"/>
        </w:tabs>
        <w:ind w:left="9782" w:hanging="709"/>
      </w:pPr>
      <w:rPr>
        <w:rFonts w:hint="default"/>
      </w:rPr>
    </w:lvl>
    <w:lvl w:ilvl="4">
      <w:start w:val="1"/>
      <w:numFmt w:val="decimal"/>
      <w:pStyle w:val="Sch3"/>
      <w:lvlText w:val="%3.%4.%5"/>
      <w:lvlJc w:val="left"/>
      <w:pPr>
        <w:tabs>
          <w:tab w:val="num" w:pos="10774"/>
        </w:tabs>
        <w:ind w:left="10774" w:hanging="992"/>
      </w:pPr>
      <w:rPr>
        <w:rFonts w:hint="default"/>
      </w:rPr>
    </w:lvl>
    <w:lvl w:ilvl="5">
      <w:start w:val="1"/>
      <w:numFmt w:val="lowerLetter"/>
      <w:pStyle w:val="Sch4"/>
      <w:lvlText w:val="(%6)"/>
      <w:lvlJc w:val="left"/>
      <w:pPr>
        <w:tabs>
          <w:tab w:val="num" w:pos="11483"/>
        </w:tabs>
        <w:ind w:left="11483" w:hanging="709"/>
      </w:pPr>
      <w:rPr>
        <w:rFonts w:hint="default"/>
      </w:rPr>
    </w:lvl>
    <w:lvl w:ilvl="6">
      <w:start w:val="1"/>
      <w:numFmt w:val="lowerRoman"/>
      <w:pStyle w:val="Sch5"/>
      <w:lvlText w:val="(%7)"/>
      <w:lvlJc w:val="left"/>
      <w:pPr>
        <w:tabs>
          <w:tab w:val="num" w:pos="12192"/>
        </w:tabs>
        <w:ind w:left="12192" w:hanging="709"/>
      </w:pPr>
      <w:rPr>
        <w:rFonts w:hint="default"/>
      </w:rPr>
    </w:lvl>
    <w:lvl w:ilvl="7">
      <w:start w:val="1"/>
      <w:numFmt w:val="upperLetter"/>
      <w:pStyle w:val="Sch6"/>
      <w:lvlText w:val="(%8)"/>
      <w:lvlJc w:val="left"/>
      <w:pPr>
        <w:tabs>
          <w:tab w:val="num" w:pos="12900"/>
        </w:tabs>
        <w:ind w:left="12900" w:hanging="708"/>
      </w:pPr>
      <w:rPr>
        <w:rFonts w:hint="default"/>
      </w:rPr>
    </w:lvl>
    <w:lvl w:ilvl="8">
      <w:start w:val="1"/>
      <w:numFmt w:val="decimal"/>
      <w:pStyle w:val="Sch7"/>
      <w:lvlText w:val="(%9)"/>
      <w:lvlJc w:val="left"/>
      <w:pPr>
        <w:tabs>
          <w:tab w:val="num" w:pos="13609"/>
        </w:tabs>
        <w:ind w:left="13609" w:hanging="709"/>
      </w:pPr>
      <w:rPr>
        <w:rFonts w:hint="default"/>
      </w:rPr>
    </w:lvl>
  </w:abstractNum>
  <w:abstractNum w:abstractNumId="21" w15:restartNumberingAfterBreak="0">
    <w:nsid w:val="14215BDD"/>
    <w:multiLevelType w:val="multilevel"/>
    <w:tmpl w:val="A3208BB0"/>
    <w:lvl w:ilvl="0">
      <w:start w:val="1"/>
      <w:numFmt w:val="decimal"/>
      <w:lvlText w:val="(%1)"/>
      <w:lvlJc w:val="left"/>
      <w:pPr>
        <w:tabs>
          <w:tab w:val="left" w:pos="792"/>
        </w:tabs>
      </w:pPr>
      <w:rPr>
        <w:rFonts w:ascii="Arial" w:eastAsia="Arial" w:hAnsi="Arial"/>
        <w:b/>
        <w:color w:val="000000"/>
        <w:spacing w:val="0"/>
        <w:w w:val="100"/>
        <w:sz w:val="20"/>
        <w:szCs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54A5C46"/>
    <w:multiLevelType w:val="singleLevel"/>
    <w:tmpl w:val="76B20EBE"/>
    <w:name w:val="Schedule_1"/>
    <w:lvl w:ilvl="0">
      <w:start w:val="1"/>
      <w:numFmt w:val="decimal"/>
      <w:pStyle w:val="Schedule"/>
      <w:lvlText w:val="%1"/>
      <w:lvlJc w:val="center"/>
      <w:pPr>
        <w:tabs>
          <w:tab w:val="num" w:pos="0"/>
        </w:tabs>
        <w:ind w:left="0" w:firstLine="0"/>
      </w:pPr>
      <w:rPr>
        <w:rFonts w:hint="default"/>
        <w:vanish/>
      </w:rPr>
    </w:lvl>
  </w:abstractNum>
  <w:abstractNum w:abstractNumId="23" w15:restartNumberingAfterBreak="0">
    <w:nsid w:val="160619CA"/>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1C341AC8"/>
    <w:multiLevelType w:val="hybridMultilevel"/>
    <w:tmpl w:val="8DA0DF9A"/>
    <w:lvl w:ilvl="0" w:tplc="B84A7024">
      <w:start w:val="7"/>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E45028C"/>
    <w:multiLevelType w:val="hybridMultilevel"/>
    <w:tmpl w:val="B67E936A"/>
    <w:name w:val="paBulletsReport23"/>
    <w:lvl w:ilvl="0" w:tplc="77C43B2A">
      <w:start w:val="1"/>
      <w:numFmt w:val="bullet"/>
      <w:lvlText w:val=""/>
      <w:lvlJc w:val="left"/>
      <w:pPr>
        <w:ind w:left="568" w:hanging="284"/>
      </w:pPr>
      <w:rPr>
        <w:rFonts w:ascii="Symbol" w:hAnsi="Symbol" w:hint="default"/>
        <w:color w:val="auto"/>
      </w:rPr>
    </w:lvl>
    <w:lvl w:ilvl="1" w:tplc="4B0A1DB4">
      <w:start w:val="1"/>
      <w:numFmt w:val="bullet"/>
      <w:pStyle w:val="ListBullet2"/>
      <w:lvlText w:val="-"/>
      <w:lvlJc w:val="left"/>
      <w:pPr>
        <w:ind w:left="851" w:hanging="283"/>
      </w:pPr>
      <w:rPr>
        <w:rFonts w:ascii="Arial" w:hAnsi="Arial" w:hint="default"/>
        <w:color w:val="E7E6E6" w:themeColor="background2"/>
      </w:rPr>
    </w:lvl>
    <w:lvl w:ilvl="2" w:tplc="D08C006C">
      <w:start w:val="1"/>
      <w:numFmt w:val="bullet"/>
      <w:lvlText w:val=""/>
      <w:lvlJc w:val="left"/>
      <w:pPr>
        <w:ind w:left="568" w:firstLine="283"/>
      </w:pPr>
      <w:rPr>
        <w:rFonts w:ascii="Wingdings" w:hAnsi="Wingdings" w:hint="default"/>
        <w:color w:val="E7E6E6" w:themeColor="background2"/>
      </w:rPr>
    </w:lvl>
    <w:lvl w:ilvl="3" w:tplc="A634C37E">
      <w:start w:val="1"/>
      <w:numFmt w:val="none"/>
      <w:lvlRestart w:val="0"/>
      <w:lvlText w:val=""/>
      <w:lvlJc w:val="left"/>
      <w:pPr>
        <w:tabs>
          <w:tab w:val="num" w:pos="851"/>
        </w:tabs>
        <w:ind w:left="568" w:firstLine="283"/>
      </w:pPr>
      <w:rPr>
        <w:rFonts w:hint="default"/>
      </w:rPr>
    </w:lvl>
    <w:lvl w:ilvl="4" w:tplc="2C7AA9AE">
      <w:start w:val="1"/>
      <w:numFmt w:val="none"/>
      <w:lvlRestart w:val="0"/>
      <w:lvlText w:val=""/>
      <w:lvlJc w:val="left"/>
      <w:pPr>
        <w:tabs>
          <w:tab w:val="num" w:pos="851"/>
        </w:tabs>
        <w:ind w:left="568" w:firstLine="283"/>
      </w:pPr>
      <w:rPr>
        <w:rFonts w:hint="default"/>
      </w:rPr>
    </w:lvl>
    <w:lvl w:ilvl="5" w:tplc="2744B5F4">
      <w:start w:val="1"/>
      <w:numFmt w:val="none"/>
      <w:lvlRestart w:val="0"/>
      <w:lvlText w:val=""/>
      <w:lvlJc w:val="left"/>
      <w:pPr>
        <w:tabs>
          <w:tab w:val="num" w:pos="851"/>
        </w:tabs>
        <w:ind w:left="568" w:firstLine="283"/>
      </w:pPr>
      <w:rPr>
        <w:rFonts w:hint="default"/>
      </w:rPr>
    </w:lvl>
    <w:lvl w:ilvl="6" w:tplc="E30A8CE8">
      <w:start w:val="1"/>
      <w:numFmt w:val="none"/>
      <w:lvlRestart w:val="0"/>
      <w:lvlText w:val=""/>
      <w:lvlJc w:val="left"/>
      <w:pPr>
        <w:tabs>
          <w:tab w:val="num" w:pos="851"/>
        </w:tabs>
        <w:ind w:left="568" w:firstLine="283"/>
      </w:pPr>
      <w:rPr>
        <w:rFonts w:hint="default"/>
      </w:rPr>
    </w:lvl>
    <w:lvl w:ilvl="7" w:tplc="470283B8">
      <w:start w:val="1"/>
      <w:numFmt w:val="none"/>
      <w:lvlRestart w:val="0"/>
      <w:lvlText w:val=""/>
      <w:lvlJc w:val="left"/>
      <w:pPr>
        <w:tabs>
          <w:tab w:val="num" w:pos="851"/>
        </w:tabs>
        <w:ind w:left="568" w:firstLine="283"/>
      </w:pPr>
      <w:rPr>
        <w:rFonts w:hint="default"/>
      </w:rPr>
    </w:lvl>
    <w:lvl w:ilvl="8" w:tplc="A8FA0F64">
      <w:start w:val="1"/>
      <w:numFmt w:val="none"/>
      <w:lvlRestart w:val="0"/>
      <w:lvlText w:val=""/>
      <w:lvlJc w:val="left"/>
      <w:pPr>
        <w:tabs>
          <w:tab w:val="num" w:pos="851"/>
        </w:tabs>
        <w:ind w:left="568" w:firstLine="283"/>
      </w:pPr>
      <w:rPr>
        <w:rFonts w:hint="default"/>
      </w:rPr>
    </w:lvl>
  </w:abstractNum>
  <w:abstractNum w:abstractNumId="26" w15:restartNumberingAfterBreak="0">
    <w:nsid w:val="1FF4135A"/>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202557C0"/>
    <w:multiLevelType w:val="multilevel"/>
    <w:tmpl w:val="29BC6B42"/>
    <w:name w:val="BankingDef"/>
    <w:lvl w:ilvl="0">
      <w:start w:val="1"/>
      <w:numFmt w:val="lowerLetter"/>
      <w:pStyle w:val="aBankingDefinition"/>
      <w:lvlText w:val="(%1)"/>
      <w:lvlJc w:val="left"/>
      <w:pPr>
        <w:tabs>
          <w:tab w:val="num" w:pos="1843"/>
        </w:tabs>
        <w:ind w:left="1843" w:hanging="992"/>
      </w:pPr>
      <w:rPr>
        <w:rFonts w:hint="default"/>
      </w:rPr>
    </w:lvl>
    <w:lvl w:ilvl="1">
      <w:start w:val="1"/>
      <w:numFmt w:val="lowerRoman"/>
      <w:pStyle w:val="iBankingDefinition"/>
      <w:lvlText w:val="(%2)"/>
      <w:lvlJc w:val="left"/>
      <w:pPr>
        <w:tabs>
          <w:tab w:val="num" w:pos="3119"/>
        </w:tabs>
        <w:ind w:left="3119" w:hanging="1276"/>
      </w:pPr>
      <w:rPr>
        <w:rFonts w:hint="default"/>
      </w:rPr>
    </w:lvl>
    <w:lvl w:ilvl="2">
      <w:start w:val="1"/>
      <w:numFmt w:val="lowerRoman"/>
      <w:lvlText w:val="(%3)"/>
      <w:lvlJc w:val="left"/>
      <w:pPr>
        <w:tabs>
          <w:tab w:val="num" w:pos="4253"/>
        </w:tabs>
        <w:ind w:left="4253" w:hanging="1134"/>
      </w:pPr>
      <w:rPr>
        <w:rFonts w:hint="default"/>
      </w:rPr>
    </w:lvl>
    <w:lvl w:ilvl="3">
      <w:start w:val="1"/>
      <w:numFmt w:val="lowerLetter"/>
      <w:lvlText w:val="(%4)"/>
      <w:lvlJc w:val="left"/>
      <w:pPr>
        <w:tabs>
          <w:tab w:val="num" w:pos="4253"/>
        </w:tabs>
        <w:ind w:left="4253" w:hanging="1134"/>
      </w:pPr>
      <w:rPr>
        <w:rFonts w:hint="default"/>
      </w:rPr>
    </w:lvl>
    <w:lvl w:ilvl="4">
      <w:start w:val="1"/>
      <w:numFmt w:val="none"/>
      <w:lvlText w:val=""/>
      <w:lvlJc w:val="left"/>
      <w:pPr>
        <w:tabs>
          <w:tab w:val="num" w:pos="288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960"/>
        </w:tabs>
        <w:ind w:left="3240" w:hanging="1080"/>
      </w:pPr>
      <w:rPr>
        <w:rFonts w:hint="default"/>
      </w:rPr>
    </w:lvl>
    <w:lvl w:ilvl="7">
      <w:start w:val="1"/>
      <w:numFmt w:val="none"/>
      <w:lvlText w:val=""/>
      <w:lvlJc w:val="left"/>
      <w:pPr>
        <w:tabs>
          <w:tab w:val="num" w:pos="4680"/>
        </w:tabs>
        <w:ind w:left="3744" w:hanging="1224"/>
      </w:pPr>
      <w:rPr>
        <w:rFonts w:hint="default"/>
      </w:rPr>
    </w:lvl>
    <w:lvl w:ilvl="8">
      <w:start w:val="1"/>
      <w:numFmt w:val="none"/>
      <w:lvlText w:val=""/>
      <w:lvlJc w:val="left"/>
      <w:pPr>
        <w:tabs>
          <w:tab w:val="num" w:pos="5040"/>
        </w:tabs>
        <w:ind w:left="4320" w:hanging="1440"/>
      </w:pPr>
      <w:rPr>
        <w:rFonts w:hint="default"/>
      </w:rPr>
    </w:lvl>
  </w:abstractNum>
  <w:abstractNum w:abstractNumId="28" w15:restartNumberingAfterBreak="0">
    <w:nsid w:val="207B34A5"/>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21242A42"/>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22FE2925"/>
    <w:multiLevelType w:val="hybridMultilevel"/>
    <w:tmpl w:val="61102842"/>
    <w:name w:val="Numbering2_a"/>
    <w:lvl w:ilvl="0" w:tplc="8F6A74E6">
      <w:start w:val="1"/>
      <w:numFmt w:val="lowerLetter"/>
      <w:pStyle w:val="Numbering2a"/>
      <w:lvlText w:val="%1."/>
      <w:lvlJc w:val="left"/>
      <w:pPr>
        <w:ind w:left="720" w:hanging="360"/>
      </w:pPr>
      <w:rPr>
        <w:rFonts w:hint="default"/>
        <w:color w:val="ED7D31" w:themeColor="accent2"/>
      </w:rPr>
    </w:lvl>
    <w:lvl w:ilvl="1" w:tplc="12FA4C5E">
      <w:start w:val="1"/>
      <w:numFmt w:val="lowerLetter"/>
      <w:lvlText w:val="%2."/>
      <w:lvlJc w:val="left"/>
      <w:pPr>
        <w:ind w:left="1872" w:hanging="360"/>
      </w:pPr>
      <w:rPr>
        <w:rFonts w:hint="default"/>
      </w:rPr>
    </w:lvl>
    <w:lvl w:ilvl="2" w:tplc="1504B392">
      <w:start w:val="1"/>
      <w:numFmt w:val="lowerRoman"/>
      <w:lvlText w:val="%3."/>
      <w:lvlJc w:val="right"/>
      <w:pPr>
        <w:ind w:left="2592" w:hanging="180"/>
      </w:pPr>
      <w:rPr>
        <w:rFonts w:hint="default"/>
      </w:rPr>
    </w:lvl>
    <w:lvl w:ilvl="3" w:tplc="89B21958">
      <w:start w:val="1"/>
      <w:numFmt w:val="decimal"/>
      <w:lvlText w:val="%4."/>
      <w:lvlJc w:val="left"/>
      <w:pPr>
        <w:ind w:left="3312" w:hanging="360"/>
      </w:pPr>
      <w:rPr>
        <w:rFonts w:hint="default"/>
      </w:rPr>
    </w:lvl>
    <w:lvl w:ilvl="4" w:tplc="9092C5D2">
      <w:start w:val="1"/>
      <w:numFmt w:val="lowerLetter"/>
      <w:lvlText w:val="%5."/>
      <w:lvlJc w:val="left"/>
      <w:pPr>
        <w:ind w:left="4032" w:hanging="360"/>
      </w:pPr>
      <w:rPr>
        <w:rFonts w:hint="default"/>
      </w:rPr>
    </w:lvl>
    <w:lvl w:ilvl="5" w:tplc="A2A41074">
      <w:start w:val="1"/>
      <w:numFmt w:val="lowerRoman"/>
      <w:lvlText w:val="%6."/>
      <w:lvlJc w:val="right"/>
      <w:pPr>
        <w:ind w:left="4752" w:hanging="180"/>
      </w:pPr>
      <w:rPr>
        <w:rFonts w:hint="default"/>
      </w:rPr>
    </w:lvl>
    <w:lvl w:ilvl="6" w:tplc="97EA52A4">
      <w:start w:val="1"/>
      <w:numFmt w:val="decimal"/>
      <w:lvlText w:val="%7."/>
      <w:lvlJc w:val="left"/>
      <w:pPr>
        <w:ind w:left="5472" w:hanging="360"/>
      </w:pPr>
      <w:rPr>
        <w:rFonts w:hint="default"/>
      </w:rPr>
    </w:lvl>
    <w:lvl w:ilvl="7" w:tplc="CD0846DE">
      <w:start w:val="1"/>
      <w:numFmt w:val="lowerLetter"/>
      <w:lvlText w:val="%8."/>
      <w:lvlJc w:val="left"/>
      <w:pPr>
        <w:ind w:left="6192" w:hanging="360"/>
      </w:pPr>
      <w:rPr>
        <w:rFonts w:hint="default"/>
      </w:rPr>
    </w:lvl>
    <w:lvl w:ilvl="8" w:tplc="271225C6">
      <w:start w:val="1"/>
      <w:numFmt w:val="lowerRoman"/>
      <w:lvlText w:val="%9."/>
      <w:lvlJc w:val="right"/>
      <w:pPr>
        <w:ind w:left="6912" w:hanging="180"/>
      </w:pPr>
      <w:rPr>
        <w:rFonts w:hint="default"/>
      </w:rPr>
    </w:lvl>
  </w:abstractNum>
  <w:abstractNum w:abstractNumId="31" w15:restartNumberingAfterBreak="0">
    <w:nsid w:val="239E0D75"/>
    <w:multiLevelType w:val="hybridMultilevel"/>
    <w:tmpl w:val="3F922D0E"/>
    <w:name w:val="Bullet1"/>
    <w:lvl w:ilvl="0" w:tplc="808054B0">
      <w:start w:val="1"/>
      <w:numFmt w:val="bullet"/>
      <w:pStyle w:val="Bullet1"/>
      <w:lvlText w:val=""/>
      <w:lvlJc w:val="left"/>
      <w:pPr>
        <w:ind w:left="360" w:hanging="360"/>
      </w:pPr>
      <w:rPr>
        <w:rFonts w:ascii="Wingdings" w:hAnsi="Wingdings" w:cs="Times New Roman" w:hint="default"/>
        <w:b w:val="0"/>
        <w:i w:val="0"/>
        <w:color w:val="0070AD"/>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4A16118"/>
    <w:multiLevelType w:val="multilevel"/>
    <w:tmpl w:val="2BD2A2C2"/>
    <w:lvl w:ilvl="0">
      <w:start w:val="1"/>
      <w:numFmt w:val="lowerLetter"/>
      <w:lvlText w:val="(%1)"/>
      <w:lvlJc w:val="left"/>
      <w:pPr>
        <w:tabs>
          <w:tab w:val="num" w:pos="1932"/>
        </w:tabs>
        <w:ind w:left="0" w:firstLine="0"/>
      </w:pPr>
      <w:rPr>
        <w:rFonts w:ascii="Arial" w:eastAsia="Arial" w:hAnsi="Arial" w:hint="default"/>
        <w:color w:val="000000"/>
        <w:spacing w:val="0"/>
        <w:w w:val="100"/>
        <w:sz w:val="20"/>
        <w:szCs w:val="20"/>
        <w:vertAlign w:val="baseline"/>
        <w:lang w:val="en-US"/>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3" w15:restartNumberingAfterBreak="0">
    <w:nsid w:val="252D7511"/>
    <w:multiLevelType w:val="hybridMultilevel"/>
    <w:tmpl w:val="BD005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63868A9"/>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27726DC5"/>
    <w:multiLevelType w:val="hybridMultilevel"/>
    <w:tmpl w:val="F96AF3A8"/>
    <w:lvl w:ilvl="0" w:tplc="CF98B012">
      <w:start w:val="1"/>
      <w:numFmt w:val="lowerLetter"/>
      <w:lvlText w:val="(%1)"/>
      <w:lvlJc w:val="left"/>
      <w:pPr>
        <w:ind w:left="5161" w:firstLine="0"/>
      </w:pPr>
      <w:rPr>
        <w:rFonts w:ascii="Verdana" w:eastAsia="Verdana" w:hAnsi="Verdana" w:cs="Verdana" w:hint="default"/>
        <w:b w:val="0"/>
        <w:i w:val="0"/>
        <w:strike w:val="0"/>
        <w:dstrike w:val="0"/>
        <w:color w:val="000000"/>
        <w:sz w:val="18"/>
        <w:szCs w:val="18"/>
        <w:u w:val="none" w:color="00000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279B0DD6"/>
    <w:multiLevelType w:val="hybridMultilevel"/>
    <w:tmpl w:val="0388E1F0"/>
    <w:lvl w:ilvl="0" w:tplc="DFDCA612">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85866EC"/>
    <w:multiLevelType w:val="multilevel"/>
    <w:tmpl w:val="E89EA7E4"/>
    <w:name w:val="Definitions"/>
    <w:lvl w:ilvl="0">
      <w:start w:val="1"/>
      <w:numFmt w:val="none"/>
      <w:pStyle w:val="Definitions"/>
      <w:suff w:val="nothing"/>
      <w:lvlText w:val=""/>
      <w:lvlJc w:val="left"/>
      <w:pPr>
        <w:ind w:left="0" w:firstLine="0"/>
      </w:pPr>
      <w:rPr>
        <w:rFonts w:hint="default"/>
      </w:rPr>
    </w:lvl>
    <w:lvl w:ilvl="1">
      <w:start w:val="1"/>
      <w:numFmt w:val="lowerLetter"/>
      <w:pStyle w:val="Definitions1"/>
      <w:lvlText w:val="(%2)"/>
      <w:lvlJc w:val="left"/>
      <w:pPr>
        <w:tabs>
          <w:tab w:val="num" w:pos="709"/>
        </w:tabs>
        <w:ind w:left="709" w:hanging="709"/>
      </w:pPr>
      <w:rPr>
        <w:rFonts w:hint="default"/>
      </w:rPr>
    </w:lvl>
    <w:lvl w:ilvl="2">
      <w:start w:val="1"/>
      <w:numFmt w:val="lowerRoman"/>
      <w:pStyle w:val="Definitions2"/>
      <w:lvlText w:val="(%3)"/>
      <w:lvlJc w:val="left"/>
      <w:pPr>
        <w:tabs>
          <w:tab w:val="num" w:pos="1418"/>
        </w:tabs>
        <w:ind w:left="1418" w:hanging="709"/>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8" w15:restartNumberingAfterBreak="0">
    <w:nsid w:val="29A425F6"/>
    <w:multiLevelType w:val="multilevel"/>
    <w:tmpl w:val="E47282EC"/>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ascii="Arial" w:hAnsi="Arial" w:cs="Arial" w:hint="default"/>
        <w:b w:val="0"/>
        <w:sz w:val="20"/>
        <w:szCs w:val="20"/>
      </w:rPr>
    </w:lvl>
    <w:lvl w:ilvl="2">
      <w:start w:val="1"/>
      <w:numFmt w:val="decimal"/>
      <w:lvlText w:val="%1.%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tabs>
          <w:tab w:val="num" w:pos="1440"/>
        </w:tabs>
        <w:ind w:left="1440" w:hanging="720"/>
      </w:pPr>
      <w:rPr>
        <w:rFonts w:hint="default"/>
        <w:b w:val="0"/>
      </w:rPr>
    </w:lvl>
    <w:lvl w:ilvl="4">
      <w:start w:val="1"/>
      <w:numFmt w:val="lowerRoman"/>
      <w:lvlText w:val="(%5)"/>
      <w:lvlJc w:val="left"/>
      <w:pPr>
        <w:tabs>
          <w:tab w:val="num" w:pos="2160"/>
        </w:tabs>
        <w:ind w:left="2160" w:hanging="720"/>
      </w:pPr>
      <w:rPr>
        <w:rFonts w:hint="default"/>
      </w:rPr>
    </w:lvl>
    <w:lvl w:ilvl="5">
      <w:start w:val="27"/>
      <w:numFmt w:val="lowerLetter"/>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9" w15:restartNumberingAfterBreak="0">
    <w:nsid w:val="2A2F10DC"/>
    <w:multiLevelType w:val="multilevel"/>
    <w:tmpl w:val="72C691D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b w:val="0"/>
        <w:bCs w:val="0"/>
        <w:i w:val="0"/>
        <w:iCs w:val="0"/>
      </w:rPr>
    </w:lvl>
    <w:lvl w:ilvl="2">
      <w:start w:val="1"/>
      <w:numFmt w:val="decimal"/>
      <w:lvlText w:val="%1.%2.%3"/>
      <w:lvlJc w:val="left"/>
      <w:pPr>
        <w:tabs>
          <w:tab w:val="num" w:pos="709"/>
        </w:tabs>
        <w:ind w:left="709" w:hanging="709"/>
      </w:pPr>
      <w:rPr>
        <w:rFonts w:hint="default"/>
      </w:rPr>
    </w:lvl>
    <w:lvl w:ilvl="3">
      <w:start w:val="1"/>
      <w:numFmt w:val="lowerLetter"/>
      <w:lvlText w:val="(%4)"/>
      <w:lvlJc w:val="left"/>
      <w:pPr>
        <w:tabs>
          <w:tab w:val="num" w:pos="1418"/>
        </w:tabs>
        <w:ind w:left="1418" w:hanging="709"/>
      </w:pPr>
      <w:rPr>
        <w:rFonts w:hint="default"/>
      </w:rPr>
    </w:lvl>
    <w:lvl w:ilvl="4">
      <w:start w:val="1"/>
      <w:numFmt w:val="lowerRoman"/>
      <w:lvlText w:val="(%5)"/>
      <w:lvlJc w:val="left"/>
      <w:pPr>
        <w:tabs>
          <w:tab w:val="num" w:pos="2126"/>
        </w:tabs>
        <w:ind w:left="2126" w:hanging="708"/>
      </w:pPr>
      <w:rPr>
        <w:rFonts w:hint="default"/>
      </w:rPr>
    </w:lvl>
    <w:lvl w:ilvl="5">
      <w:start w:val="27"/>
      <w:numFmt w:val="lowerLetter"/>
      <w:lvlText w:val="(%6)"/>
      <w:lvlJc w:val="left"/>
      <w:pPr>
        <w:tabs>
          <w:tab w:val="num" w:pos="2835"/>
        </w:tabs>
        <w:ind w:left="2835" w:hanging="709"/>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2ADA3262"/>
    <w:multiLevelType w:val="hybridMultilevel"/>
    <w:tmpl w:val="35BA6CD8"/>
    <w:name w:val="Numbering3_i"/>
    <w:lvl w:ilvl="0" w:tplc="220C969A">
      <w:start w:val="1"/>
      <w:numFmt w:val="lowerRoman"/>
      <w:pStyle w:val="Numbering3i"/>
      <w:lvlText w:val="%1."/>
      <w:lvlJc w:val="left"/>
      <w:pPr>
        <w:ind w:left="1080" w:hanging="360"/>
      </w:pPr>
      <w:rPr>
        <w:rFonts w:hint="default"/>
        <w:b w:val="0"/>
        <w:i w:val="0"/>
        <w:color w:val="ED7D31" w:themeColor="accent2"/>
        <w:sz w:val="20"/>
      </w:rPr>
    </w:lvl>
    <w:lvl w:ilvl="1" w:tplc="214E1CCE">
      <w:start w:val="1"/>
      <w:numFmt w:val="lowerLetter"/>
      <w:lvlText w:val="%2."/>
      <w:lvlJc w:val="left"/>
      <w:pPr>
        <w:ind w:left="2304" w:hanging="360"/>
      </w:pPr>
      <w:rPr>
        <w:rFonts w:hint="default"/>
      </w:rPr>
    </w:lvl>
    <w:lvl w:ilvl="2" w:tplc="63866FE6">
      <w:start w:val="1"/>
      <w:numFmt w:val="lowerRoman"/>
      <w:lvlText w:val="%3."/>
      <w:lvlJc w:val="right"/>
      <w:pPr>
        <w:ind w:left="3024" w:hanging="180"/>
      </w:pPr>
      <w:rPr>
        <w:rFonts w:hint="default"/>
      </w:rPr>
    </w:lvl>
    <w:lvl w:ilvl="3" w:tplc="4B00B960">
      <w:start w:val="1"/>
      <w:numFmt w:val="decimal"/>
      <w:lvlText w:val="%4."/>
      <w:lvlJc w:val="left"/>
      <w:pPr>
        <w:ind w:left="3744" w:hanging="360"/>
      </w:pPr>
      <w:rPr>
        <w:rFonts w:hint="default"/>
      </w:rPr>
    </w:lvl>
    <w:lvl w:ilvl="4" w:tplc="4B100718">
      <w:start w:val="1"/>
      <w:numFmt w:val="lowerLetter"/>
      <w:lvlText w:val="%5."/>
      <w:lvlJc w:val="left"/>
      <w:pPr>
        <w:ind w:left="4464" w:hanging="360"/>
      </w:pPr>
      <w:rPr>
        <w:rFonts w:hint="default"/>
      </w:rPr>
    </w:lvl>
    <w:lvl w:ilvl="5" w:tplc="868AE6DE">
      <w:start w:val="1"/>
      <w:numFmt w:val="lowerRoman"/>
      <w:lvlText w:val="%6."/>
      <w:lvlJc w:val="right"/>
      <w:pPr>
        <w:ind w:left="5184" w:hanging="180"/>
      </w:pPr>
      <w:rPr>
        <w:rFonts w:hint="default"/>
      </w:rPr>
    </w:lvl>
    <w:lvl w:ilvl="6" w:tplc="8DFC6528">
      <w:start w:val="1"/>
      <w:numFmt w:val="decimal"/>
      <w:lvlText w:val="%7."/>
      <w:lvlJc w:val="left"/>
      <w:pPr>
        <w:ind w:left="5904" w:hanging="360"/>
      </w:pPr>
      <w:rPr>
        <w:rFonts w:hint="default"/>
      </w:rPr>
    </w:lvl>
    <w:lvl w:ilvl="7" w:tplc="1D72EB56">
      <w:start w:val="1"/>
      <w:numFmt w:val="lowerLetter"/>
      <w:lvlText w:val="%8."/>
      <w:lvlJc w:val="left"/>
      <w:pPr>
        <w:ind w:left="6624" w:hanging="360"/>
      </w:pPr>
      <w:rPr>
        <w:rFonts w:hint="default"/>
      </w:rPr>
    </w:lvl>
    <w:lvl w:ilvl="8" w:tplc="FBD23F0A">
      <w:start w:val="1"/>
      <w:numFmt w:val="lowerRoman"/>
      <w:lvlText w:val="%9."/>
      <w:lvlJc w:val="right"/>
      <w:pPr>
        <w:ind w:left="7344" w:hanging="180"/>
      </w:pPr>
      <w:rPr>
        <w:rFonts w:hint="default"/>
      </w:rPr>
    </w:lvl>
  </w:abstractNum>
  <w:abstractNum w:abstractNumId="41" w15:restartNumberingAfterBreak="0">
    <w:nsid w:val="2DC22AFF"/>
    <w:multiLevelType w:val="hybridMultilevel"/>
    <w:tmpl w:val="6478D032"/>
    <w:lvl w:ilvl="0" w:tplc="DFDCA612">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2F091FCC"/>
    <w:multiLevelType w:val="multilevel"/>
    <w:tmpl w:val="04BE2968"/>
    <w:lvl w:ilvl="0">
      <w:start w:val="1"/>
      <w:numFmt w:val="lowerLetter"/>
      <w:lvlText w:val="(%1)"/>
      <w:lvlJc w:val="left"/>
      <w:pPr>
        <w:ind w:left="720" w:hanging="57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329B338A"/>
    <w:multiLevelType w:val="hybridMultilevel"/>
    <w:tmpl w:val="D18C7A70"/>
    <w:lvl w:ilvl="0" w:tplc="7DA24F3E">
      <w:start w:val="1"/>
      <w:numFmt w:val="decimal"/>
      <w:lvlText w:val="%1."/>
      <w:lvlJc w:val="left"/>
      <w:pPr>
        <w:ind w:left="853"/>
      </w:pPr>
      <w:rPr>
        <w:rFonts w:ascii="Arial" w:eastAsia="Verdana" w:hAnsi="Arial" w:cs="Arial" w:hint="default"/>
        <w:b w:val="0"/>
        <w:i w:val="0"/>
        <w:strike w:val="0"/>
        <w:dstrike w:val="0"/>
        <w:color w:val="000000"/>
        <w:sz w:val="20"/>
        <w:szCs w:val="20"/>
        <w:u w:val="none" w:color="000000"/>
        <w:bdr w:val="none" w:sz="0" w:space="0" w:color="auto"/>
        <w:shd w:val="clear" w:color="auto" w:fill="auto"/>
        <w:vertAlign w:val="baseline"/>
      </w:rPr>
    </w:lvl>
    <w:lvl w:ilvl="1" w:tplc="C2D4B5C8">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337A1A9C">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5BEA96CC">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7F043348">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C6261556">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0ACA52F8">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60BA536E">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0D56FA02">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44" w15:restartNumberingAfterBreak="0">
    <w:nsid w:val="32A52C4F"/>
    <w:multiLevelType w:val="singleLevel"/>
    <w:tmpl w:val="CEFC5A24"/>
    <w:name w:val="Tiret 0"/>
    <w:lvl w:ilvl="0">
      <w:start w:val="1"/>
      <w:numFmt w:val="bullet"/>
      <w:lvlRestart w:val="0"/>
      <w:pStyle w:val="Tiret0"/>
      <w:lvlText w:val="–"/>
      <w:lvlJc w:val="left"/>
      <w:pPr>
        <w:tabs>
          <w:tab w:val="num" w:pos="850"/>
        </w:tabs>
        <w:ind w:left="850" w:hanging="850"/>
      </w:pPr>
    </w:lvl>
  </w:abstractNum>
  <w:abstractNum w:abstractNumId="45" w15:restartNumberingAfterBreak="0">
    <w:nsid w:val="3339541A"/>
    <w:multiLevelType w:val="multilevel"/>
    <w:tmpl w:val="4008B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33672FAE"/>
    <w:multiLevelType w:val="multilevel"/>
    <w:tmpl w:val="01F43A50"/>
    <w:lvl w:ilvl="0">
      <w:start w:val="1"/>
      <w:numFmt w:val="lowerLetter"/>
      <w:lvlText w:val="(%1)"/>
      <w:lvlJc w:val="left"/>
      <w:pPr>
        <w:tabs>
          <w:tab w:val="left" w:pos="648"/>
        </w:tabs>
      </w:pPr>
      <w:rPr>
        <w:rFonts w:ascii="Arial" w:eastAsia="Arial" w:hAnsi="Arial"/>
        <w:color w:val="000000"/>
        <w:spacing w:val="0"/>
        <w:w w:val="100"/>
        <w:sz w:val="20"/>
        <w:szCs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3757382E"/>
    <w:multiLevelType w:val="multilevel"/>
    <w:tmpl w:val="56AA0988"/>
    <w:name w:val="Rule"/>
    <w:lvl w:ilvl="0">
      <w:start w:val="1"/>
      <w:numFmt w:val="decimal"/>
      <w:pStyle w:val="Rule1"/>
      <w:lvlText w:val="Rule %1"/>
      <w:lvlJc w:val="left"/>
      <w:pPr>
        <w:tabs>
          <w:tab w:val="num" w:pos="1077"/>
        </w:tabs>
        <w:ind w:left="1077" w:hanging="1077"/>
      </w:pPr>
      <w:rPr>
        <w:rFonts w:hint="default"/>
        <w:b/>
        <w:i w:val="0"/>
      </w:rPr>
    </w:lvl>
    <w:lvl w:ilvl="1">
      <w:start w:val="1"/>
      <w:numFmt w:val="decimal"/>
      <w:pStyle w:val="Rule2"/>
      <w:lvlText w:val="%1.%2"/>
      <w:lvlJc w:val="left"/>
      <w:pPr>
        <w:tabs>
          <w:tab w:val="num" w:pos="1077"/>
        </w:tabs>
        <w:ind w:left="1077" w:hanging="1077"/>
      </w:pPr>
      <w:rPr>
        <w:rFonts w:hint="default"/>
      </w:rPr>
    </w:lvl>
    <w:lvl w:ilvl="2">
      <w:start w:val="1"/>
      <w:numFmt w:val="decimal"/>
      <w:pStyle w:val="Rule3"/>
      <w:lvlText w:val="%1.%2.%3"/>
      <w:lvlJc w:val="left"/>
      <w:pPr>
        <w:tabs>
          <w:tab w:val="num" w:pos="2211"/>
        </w:tabs>
        <w:ind w:left="2211" w:hanging="1134"/>
      </w:pPr>
      <w:rPr>
        <w:rFonts w:hint="default"/>
      </w:rPr>
    </w:lvl>
    <w:lvl w:ilvl="3">
      <w:start w:val="1"/>
      <w:numFmt w:val="decimal"/>
      <w:pStyle w:val="Rule4"/>
      <w:lvlText w:val="%1.%2.%3.%4"/>
      <w:lvlJc w:val="left"/>
      <w:pPr>
        <w:tabs>
          <w:tab w:val="num" w:pos="3686"/>
        </w:tabs>
        <w:ind w:left="3686" w:hanging="1475"/>
      </w:pPr>
      <w:rPr>
        <w:rFonts w:hint="default"/>
      </w:rPr>
    </w:lvl>
    <w:lvl w:ilvl="4">
      <w:start w:val="1"/>
      <w:numFmt w:val="decimal"/>
      <w:pStyle w:val="Rule5"/>
      <w:lvlText w:val="%1.%2.%3.%4.%5"/>
      <w:lvlJc w:val="left"/>
      <w:pPr>
        <w:tabs>
          <w:tab w:val="num" w:pos="3686"/>
        </w:tabs>
        <w:ind w:left="3686" w:hanging="1475"/>
      </w:pPr>
      <w:rPr>
        <w:rFonts w:hint="default"/>
      </w:rPr>
    </w:lvl>
    <w:lvl w:ilvl="5">
      <w:start w:val="1"/>
      <w:numFmt w:val="none"/>
      <w:lvlText w:val="(Not Defined)"/>
      <w:lvlJc w:val="left"/>
      <w:pPr>
        <w:tabs>
          <w:tab w:val="num" w:pos="1440"/>
        </w:tabs>
        <w:ind w:left="1152" w:hanging="1152"/>
      </w:pPr>
      <w:rPr>
        <w:rFonts w:hint="default"/>
      </w:rPr>
    </w:lvl>
    <w:lvl w:ilvl="6">
      <w:start w:val="1"/>
      <w:numFmt w:val="none"/>
      <w:lvlText w:val="(Not Defined)"/>
      <w:lvlJc w:val="left"/>
      <w:pPr>
        <w:tabs>
          <w:tab w:val="num" w:pos="1440"/>
        </w:tabs>
        <w:ind w:left="1296" w:hanging="1296"/>
      </w:pPr>
      <w:rPr>
        <w:rFonts w:hint="default"/>
      </w:rPr>
    </w:lvl>
    <w:lvl w:ilvl="7">
      <w:start w:val="1"/>
      <w:numFmt w:val="none"/>
      <w:lvlText w:val="(Not Defined)"/>
      <w:lvlJc w:val="left"/>
      <w:pPr>
        <w:tabs>
          <w:tab w:val="num" w:pos="1440"/>
        </w:tabs>
        <w:ind w:left="1440" w:hanging="1440"/>
      </w:pPr>
      <w:rPr>
        <w:rFonts w:hint="default"/>
      </w:rPr>
    </w:lvl>
    <w:lvl w:ilvl="8">
      <w:start w:val="1"/>
      <w:numFmt w:val="none"/>
      <w:lvlText w:val="(Not Defined)"/>
      <w:lvlJc w:val="left"/>
      <w:pPr>
        <w:tabs>
          <w:tab w:val="num" w:pos="1584"/>
        </w:tabs>
        <w:ind w:left="1584" w:hanging="1584"/>
      </w:pPr>
      <w:rPr>
        <w:rFonts w:hint="default"/>
      </w:rPr>
    </w:lvl>
  </w:abstractNum>
  <w:abstractNum w:abstractNumId="48" w15:restartNumberingAfterBreak="0">
    <w:nsid w:val="37A72DB8"/>
    <w:multiLevelType w:val="hybridMultilevel"/>
    <w:tmpl w:val="D902A638"/>
    <w:name w:val="_Bullet1"/>
    <w:lvl w:ilvl="0" w:tplc="28769616">
      <w:start w:val="1"/>
      <w:numFmt w:val="bullet"/>
      <w:pStyle w:val="Bullet10"/>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9" w15:restartNumberingAfterBreak="0">
    <w:nsid w:val="395128B6"/>
    <w:multiLevelType w:val="singleLevel"/>
    <w:tmpl w:val="4F70CA0A"/>
    <w:name w:val="Tiret 2"/>
    <w:lvl w:ilvl="0">
      <w:start w:val="1"/>
      <w:numFmt w:val="bullet"/>
      <w:lvlRestart w:val="0"/>
      <w:pStyle w:val="Tiret2"/>
      <w:lvlText w:val="–"/>
      <w:lvlJc w:val="left"/>
      <w:pPr>
        <w:tabs>
          <w:tab w:val="num" w:pos="1984"/>
        </w:tabs>
        <w:ind w:left="1984" w:hanging="567"/>
      </w:pPr>
    </w:lvl>
  </w:abstractNum>
  <w:abstractNum w:abstractNumId="50" w15:restartNumberingAfterBreak="0">
    <w:nsid w:val="3B915C6F"/>
    <w:multiLevelType w:val="multilevel"/>
    <w:tmpl w:val="056EC49E"/>
    <w:lvl w:ilvl="0">
      <w:start w:val="1"/>
      <w:numFmt w:val="lowerLetter"/>
      <w:lvlText w:val="(%1)"/>
      <w:lvlJc w:val="left"/>
      <w:pPr>
        <w:tabs>
          <w:tab w:val="num" w:pos="1932"/>
        </w:tabs>
        <w:ind w:left="0" w:firstLine="0"/>
      </w:pPr>
      <w:rPr>
        <w:rFonts w:ascii="Arial" w:eastAsia="Arial" w:hAnsi="Arial" w:hint="default"/>
        <w:b w:val="0"/>
        <w:bCs/>
        <w:color w:val="000000"/>
        <w:spacing w:val="0"/>
        <w:w w:val="100"/>
        <w:sz w:val="20"/>
        <w:szCs w:val="20"/>
        <w:vertAlign w:val="baseline"/>
        <w:lang w:val="en-US"/>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1" w15:restartNumberingAfterBreak="0">
    <w:nsid w:val="3BF27BD7"/>
    <w:multiLevelType w:val="hybridMultilevel"/>
    <w:tmpl w:val="9BA698EA"/>
    <w:name w:val="Numbering3"/>
    <w:lvl w:ilvl="0" w:tplc="5BB0EDF6">
      <w:start w:val="1"/>
      <w:numFmt w:val="lowerLetter"/>
      <w:pStyle w:val="Numbering3"/>
      <w:lvlText w:val="%1."/>
      <w:lvlJc w:val="left"/>
      <w:pPr>
        <w:ind w:left="990" w:hanging="360"/>
      </w:pPr>
      <w:rPr>
        <w:rFonts w:ascii="Arial" w:hAnsi="Arial" w:hint="default"/>
        <w:b w:val="0"/>
        <w:i w:val="0"/>
        <w:color w:val="5B9BD5" w:themeColor="accent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CE567B7"/>
    <w:multiLevelType w:val="multilevel"/>
    <w:tmpl w:val="2BD2A2C2"/>
    <w:lvl w:ilvl="0">
      <w:start w:val="1"/>
      <w:numFmt w:val="lowerLetter"/>
      <w:lvlText w:val="(%1)"/>
      <w:lvlJc w:val="left"/>
      <w:pPr>
        <w:tabs>
          <w:tab w:val="num" w:pos="1932"/>
        </w:tabs>
        <w:ind w:left="0" w:firstLine="0"/>
      </w:pPr>
      <w:rPr>
        <w:rFonts w:ascii="Arial" w:eastAsia="Arial" w:hAnsi="Arial" w:hint="default"/>
        <w:color w:val="000000"/>
        <w:spacing w:val="0"/>
        <w:w w:val="100"/>
        <w:sz w:val="20"/>
        <w:szCs w:val="20"/>
        <w:vertAlign w:val="baseline"/>
        <w:lang w:val="en-US"/>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3" w15:restartNumberingAfterBreak="0">
    <w:nsid w:val="3D745A4A"/>
    <w:multiLevelType w:val="multilevel"/>
    <w:tmpl w:val="4104CA64"/>
    <w:lvl w:ilvl="0">
      <w:start w:val="1"/>
      <w:numFmt w:val="decimal"/>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4" w15:restartNumberingAfterBreak="0">
    <w:nsid w:val="3FAC6E71"/>
    <w:multiLevelType w:val="multilevel"/>
    <w:tmpl w:val="A164F4E2"/>
    <w:lvl w:ilvl="0">
      <w:start w:val="1"/>
      <w:numFmt w:val="lowerLetter"/>
      <w:lvlText w:val="(%1)"/>
      <w:lvlJc w:val="left"/>
      <w:pPr>
        <w:tabs>
          <w:tab w:val="left" w:pos="648"/>
        </w:tabs>
      </w:pPr>
      <w:rPr>
        <w:rFonts w:ascii="Arial" w:eastAsia="Arial" w:hAnsi="Arial"/>
        <w:color w:val="000000"/>
        <w:spacing w:val="0"/>
        <w:w w:val="100"/>
        <w:sz w:val="20"/>
        <w:szCs w:val="16"/>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40315490"/>
    <w:multiLevelType w:val="singleLevel"/>
    <w:tmpl w:val="1F86C700"/>
    <w:name w:val="List Dash"/>
    <w:lvl w:ilvl="0">
      <w:start w:val="1"/>
      <w:numFmt w:val="bullet"/>
      <w:lvlRestart w:val="0"/>
      <w:pStyle w:val="ListDash"/>
      <w:lvlText w:val="–"/>
      <w:lvlJc w:val="left"/>
      <w:pPr>
        <w:tabs>
          <w:tab w:val="num" w:pos="283"/>
        </w:tabs>
        <w:ind w:left="283" w:hanging="283"/>
      </w:pPr>
      <w:rPr>
        <w:rFonts w:ascii="Times New Roman" w:hAnsi="Times New Roman"/>
      </w:rPr>
    </w:lvl>
  </w:abstractNum>
  <w:abstractNum w:abstractNumId="56" w15:restartNumberingAfterBreak="0">
    <w:nsid w:val="4062248E"/>
    <w:multiLevelType w:val="multilevel"/>
    <w:tmpl w:val="A31E1F0C"/>
    <w:lvl w:ilvl="0">
      <w:start w:val="1"/>
      <w:numFmt w:val="lowerRoman"/>
      <w:lvlText w:val="(%1)"/>
      <w:lvlJc w:val="left"/>
      <w:pPr>
        <w:tabs>
          <w:tab w:val="left" w:pos="720"/>
        </w:tabs>
      </w:pPr>
      <w:rPr>
        <w:rFonts w:ascii="Arial" w:eastAsia="Arial" w:hAnsi="Arial"/>
        <w:color w:val="000000"/>
        <w:spacing w:val="0"/>
        <w:w w:val="100"/>
        <w:sz w:val="20"/>
        <w:szCs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40AC3CDF"/>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8" w15:restartNumberingAfterBreak="0">
    <w:nsid w:val="41121C39"/>
    <w:multiLevelType w:val="multilevel"/>
    <w:tmpl w:val="12C809D4"/>
    <w:name w:val="(a)"/>
    <w:lvl w:ilvl="0">
      <w:start w:val="1"/>
      <w:numFmt w:val="lowerLetter"/>
      <w:pStyle w:val="aDefinition"/>
      <w:lvlText w:val="(%1)"/>
      <w:lvlJc w:val="left"/>
      <w:pPr>
        <w:tabs>
          <w:tab w:val="num" w:pos="1702"/>
        </w:tabs>
        <w:ind w:left="1702" w:hanging="851"/>
      </w:pPr>
      <w:rPr>
        <w:rFonts w:hint="default"/>
        <w:b w:val="0"/>
        <w:i w:val="0"/>
      </w:rPr>
    </w:lvl>
    <w:lvl w:ilvl="1">
      <w:start w:val="1"/>
      <w:numFmt w:val="lowerRoman"/>
      <w:pStyle w:val="iDefinition"/>
      <w:lvlText w:val="(%2)"/>
      <w:lvlJc w:val="left"/>
      <w:pPr>
        <w:tabs>
          <w:tab w:val="num" w:pos="2694"/>
        </w:tabs>
        <w:ind w:left="2694" w:hanging="992"/>
      </w:pPr>
      <w:rPr>
        <w:rFonts w:hint="default"/>
      </w:rPr>
    </w:lvl>
    <w:lvl w:ilvl="2">
      <w:start w:val="1"/>
      <w:numFmt w:val="lowerRoman"/>
      <w:lvlText w:val="%3)"/>
      <w:lvlJc w:val="left"/>
      <w:pPr>
        <w:tabs>
          <w:tab w:val="num" w:pos="3970"/>
        </w:tabs>
        <w:ind w:left="3970" w:hanging="1276"/>
      </w:pPr>
      <w:rPr>
        <w:rFonts w:hint="default"/>
      </w:rPr>
    </w:lvl>
    <w:lvl w:ilvl="3">
      <w:start w:val="1"/>
      <w:numFmt w:val="bullet"/>
      <w:lvlText w:val=""/>
      <w:lvlJc w:val="left"/>
      <w:pPr>
        <w:tabs>
          <w:tab w:val="num" w:pos="2291"/>
        </w:tabs>
        <w:ind w:left="2291" w:hanging="360"/>
      </w:pPr>
      <w:rPr>
        <w:rFonts w:ascii="Symbol" w:hAnsi="Symbol"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59" w15:restartNumberingAfterBreak="0">
    <w:nsid w:val="43A97EB3"/>
    <w:multiLevelType w:val="hybridMultilevel"/>
    <w:tmpl w:val="FC8C4E98"/>
    <w:name w:val="Numbering1_a"/>
    <w:lvl w:ilvl="0" w:tplc="841C84C4">
      <w:start w:val="1"/>
      <w:numFmt w:val="lowerLetter"/>
      <w:pStyle w:val="Numbering1a"/>
      <w:lvlText w:val="%1."/>
      <w:lvlJc w:val="left"/>
      <w:pPr>
        <w:ind w:left="432" w:hanging="432"/>
      </w:pPr>
      <w:rPr>
        <w:rFonts w:hint="default"/>
        <w:color w:val="ED7D31" w:themeColor="accent2"/>
      </w:rPr>
    </w:lvl>
    <w:lvl w:ilvl="1" w:tplc="D3B2F1C2">
      <w:start w:val="1"/>
      <w:numFmt w:val="lowerLetter"/>
      <w:lvlText w:val="%2."/>
      <w:lvlJc w:val="left"/>
      <w:pPr>
        <w:ind w:left="1440" w:hanging="360"/>
      </w:pPr>
      <w:rPr>
        <w:rFonts w:hint="default"/>
      </w:rPr>
    </w:lvl>
    <w:lvl w:ilvl="2" w:tplc="33409056">
      <w:start w:val="1"/>
      <w:numFmt w:val="lowerRoman"/>
      <w:lvlText w:val="%3."/>
      <w:lvlJc w:val="right"/>
      <w:pPr>
        <w:ind w:left="2160" w:hanging="180"/>
      </w:pPr>
      <w:rPr>
        <w:rFonts w:hint="default"/>
      </w:rPr>
    </w:lvl>
    <w:lvl w:ilvl="3" w:tplc="C5CC99BA">
      <w:start w:val="1"/>
      <w:numFmt w:val="decimal"/>
      <w:lvlText w:val="%4."/>
      <w:lvlJc w:val="left"/>
      <w:pPr>
        <w:ind w:left="2880" w:hanging="360"/>
      </w:pPr>
      <w:rPr>
        <w:rFonts w:hint="default"/>
      </w:rPr>
    </w:lvl>
    <w:lvl w:ilvl="4" w:tplc="EC7CDC86">
      <w:start w:val="1"/>
      <w:numFmt w:val="lowerLetter"/>
      <w:lvlText w:val="%5."/>
      <w:lvlJc w:val="left"/>
      <w:pPr>
        <w:ind w:left="3600" w:hanging="360"/>
      </w:pPr>
      <w:rPr>
        <w:rFonts w:hint="default"/>
      </w:rPr>
    </w:lvl>
    <w:lvl w:ilvl="5" w:tplc="BF8A8932">
      <w:start w:val="1"/>
      <w:numFmt w:val="lowerRoman"/>
      <w:lvlText w:val="%6."/>
      <w:lvlJc w:val="right"/>
      <w:pPr>
        <w:ind w:left="4320" w:hanging="180"/>
      </w:pPr>
      <w:rPr>
        <w:rFonts w:hint="default"/>
      </w:rPr>
    </w:lvl>
    <w:lvl w:ilvl="6" w:tplc="CC36C35A">
      <w:start w:val="1"/>
      <w:numFmt w:val="decimal"/>
      <w:lvlText w:val="%7."/>
      <w:lvlJc w:val="left"/>
      <w:pPr>
        <w:ind w:left="5040" w:hanging="360"/>
      </w:pPr>
      <w:rPr>
        <w:rFonts w:hint="default"/>
      </w:rPr>
    </w:lvl>
    <w:lvl w:ilvl="7" w:tplc="EFC29FE6">
      <w:start w:val="1"/>
      <w:numFmt w:val="lowerLetter"/>
      <w:lvlText w:val="%8."/>
      <w:lvlJc w:val="left"/>
      <w:pPr>
        <w:ind w:left="5760" w:hanging="360"/>
      </w:pPr>
      <w:rPr>
        <w:rFonts w:hint="default"/>
      </w:rPr>
    </w:lvl>
    <w:lvl w:ilvl="8" w:tplc="C0ECAA20">
      <w:start w:val="1"/>
      <w:numFmt w:val="lowerRoman"/>
      <w:lvlText w:val="%9."/>
      <w:lvlJc w:val="right"/>
      <w:pPr>
        <w:ind w:left="6480" w:hanging="180"/>
      </w:pPr>
      <w:rPr>
        <w:rFonts w:hint="default"/>
      </w:rPr>
    </w:lvl>
  </w:abstractNum>
  <w:abstractNum w:abstractNumId="60" w15:restartNumberingAfterBreak="0">
    <w:nsid w:val="44AD57A1"/>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1" w15:restartNumberingAfterBreak="0">
    <w:nsid w:val="46416817"/>
    <w:multiLevelType w:val="singleLevel"/>
    <w:tmpl w:val="ABE4C590"/>
    <w:name w:val="Tiret 3"/>
    <w:lvl w:ilvl="0">
      <w:start w:val="1"/>
      <w:numFmt w:val="bullet"/>
      <w:lvlRestart w:val="0"/>
      <w:pStyle w:val="Tiret3"/>
      <w:lvlText w:val="–"/>
      <w:lvlJc w:val="left"/>
      <w:pPr>
        <w:tabs>
          <w:tab w:val="num" w:pos="2551"/>
        </w:tabs>
        <w:ind w:left="2551" w:hanging="567"/>
      </w:pPr>
    </w:lvl>
  </w:abstractNum>
  <w:abstractNum w:abstractNumId="62" w15:restartNumberingAfterBreak="0">
    <w:nsid w:val="465439EA"/>
    <w:multiLevelType w:val="hybridMultilevel"/>
    <w:tmpl w:val="F12E3506"/>
    <w:name w:val="Copyright Extra Line"/>
    <w:lvl w:ilvl="0" w:tplc="3CA6244A">
      <w:start w:val="1"/>
      <w:numFmt w:val="bullet"/>
      <w:pStyle w:val="CopyrightExtraLine"/>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7DB608F"/>
    <w:multiLevelType w:val="multilevel"/>
    <w:tmpl w:val="3AFC42B2"/>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940" w:hanging="8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9950B67"/>
    <w:multiLevelType w:val="hybridMultilevel"/>
    <w:tmpl w:val="5EF2C52E"/>
    <w:lvl w:ilvl="0" w:tplc="D6B0D8C0">
      <w:start w:val="7"/>
      <w:numFmt w:val="bullet"/>
      <w:lvlText w:val="-"/>
      <w:lvlJc w:val="left"/>
      <w:pPr>
        <w:ind w:left="720" w:hanging="360"/>
      </w:pPr>
      <w:rPr>
        <w:rFonts w:ascii="Arial" w:eastAsia="MS Mincho"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4B931D73"/>
    <w:multiLevelType w:val="multilevel"/>
    <w:tmpl w:val="3C46D576"/>
    <w:name w:val="Numbers"/>
    <w:lvl w:ilvl="0">
      <w:start w:val="1"/>
      <w:numFmt w:val="decimal"/>
      <w:pStyle w:val="Numbers"/>
      <w:lvlText w:val="%1."/>
      <w:lvlJc w:val="left"/>
      <w:pPr>
        <w:tabs>
          <w:tab w:val="num" w:pos="709"/>
        </w:tabs>
        <w:ind w:left="709" w:hanging="709"/>
      </w:pPr>
      <w:rPr>
        <w:rFonts w:hint="default"/>
      </w:rPr>
    </w:lvl>
    <w:lvl w:ilvl="1">
      <w:start w:val="1"/>
      <w:numFmt w:val="none"/>
      <w:lvlText w:val="%2"/>
      <w:lvlJc w:val="left"/>
      <w:pPr>
        <w:tabs>
          <w:tab w:val="num" w:pos="0"/>
        </w:tabs>
        <w:ind w:left="0" w:firstLine="0"/>
      </w:pPr>
      <w:rPr>
        <w:rFonts w:hint="default"/>
      </w:rPr>
    </w:lvl>
    <w:lvl w:ilvl="2">
      <w:start w:val="1"/>
      <w:numFmt w:val="none"/>
      <w:lvlText w:val=""/>
      <w:lvlJc w:val="left"/>
      <w:pPr>
        <w:tabs>
          <w:tab w:val="num" w:pos="0"/>
        </w:tabs>
        <w:ind w:left="0" w:firstLine="0"/>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66" w15:restartNumberingAfterBreak="0">
    <w:nsid w:val="4BBC3909"/>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7" w15:restartNumberingAfterBreak="0">
    <w:nsid w:val="4C1B7A6F"/>
    <w:multiLevelType w:val="singleLevel"/>
    <w:tmpl w:val="0A7CB49A"/>
    <w:name w:val="Tiret 4"/>
    <w:lvl w:ilvl="0">
      <w:start w:val="1"/>
      <w:numFmt w:val="bullet"/>
      <w:lvlRestart w:val="0"/>
      <w:pStyle w:val="Tiret4"/>
      <w:lvlText w:val="–"/>
      <w:lvlJc w:val="left"/>
      <w:pPr>
        <w:tabs>
          <w:tab w:val="num" w:pos="3118"/>
        </w:tabs>
        <w:ind w:left="3118" w:hanging="567"/>
      </w:pPr>
    </w:lvl>
  </w:abstractNum>
  <w:abstractNum w:abstractNumId="68" w15:restartNumberingAfterBreak="0">
    <w:nsid w:val="4C51749E"/>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9" w15:restartNumberingAfterBreak="0">
    <w:nsid w:val="4C650A89"/>
    <w:multiLevelType w:val="multilevel"/>
    <w:tmpl w:val="EADA494E"/>
    <w:name w:val="Bullet"/>
    <w:lvl w:ilvl="0">
      <w:start w:val="1"/>
      <w:numFmt w:val="bullet"/>
      <w:pStyle w:val="Bullet11"/>
      <w:lvlText w:val=""/>
      <w:lvlJc w:val="left"/>
      <w:pPr>
        <w:tabs>
          <w:tab w:val="num" w:pos="709"/>
        </w:tabs>
        <w:ind w:left="709" w:hanging="709"/>
      </w:pPr>
      <w:rPr>
        <w:rFonts w:ascii="Symbol" w:hAnsi="Symbol" w:hint="default"/>
      </w:rPr>
    </w:lvl>
    <w:lvl w:ilvl="1">
      <w:start w:val="1"/>
      <w:numFmt w:val="bullet"/>
      <w:pStyle w:val="Bullet20"/>
      <w:lvlText w:val=""/>
      <w:lvlJc w:val="left"/>
      <w:pPr>
        <w:tabs>
          <w:tab w:val="num" w:pos="1418"/>
        </w:tabs>
        <w:ind w:left="1418" w:hanging="709"/>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0" w15:restartNumberingAfterBreak="0">
    <w:nsid w:val="4DB30543"/>
    <w:multiLevelType w:val="hybridMultilevel"/>
    <w:tmpl w:val="D328430E"/>
    <w:name w:val="Bullet3"/>
    <w:lvl w:ilvl="0" w:tplc="BC30ECEC">
      <w:start w:val="1"/>
      <w:numFmt w:val="bullet"/>
      <w:pStyle w:val="Bullet3"/>
      <w:lvlText w:val="–"/>
      <w:lvlJc w:val="left"/>
      <w:pPr>
        <w:ind w:left="1080" w:hanging="360"/>
      </w:pPr>
      <w:rPr>
        <w:rFonts w:ascii="Arial" w:hAnsi="Arial" w:hint="default"/>
        <w:b w:val="0"/>
        <w:i w:val="0"/>
        <w:color w:val="5B9BD5" w:themeColor="accent1"/>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1" w15:restartNumberingAfterBreak="0">
    <w:nsid w:val="4F472BAE"/>
    <w:multiLevelType w:val="multilevel"/>
    <w:tmpl w:val="C770A65C"/>
    <w:lvl w:ilvl="0">
      <w:start w:val="1"/>
      <w:numFmt w:val="decimal"/>
      <w:lvlText w:val="%1."/>
      <w:lvlJc w:val="left"/>
      <w:pPr>
        <w:ind w:left="720" w:hanging="360"/>
      </w:pPr>
      <w:rPr>
        <w:rFonts w:hint="default"/>
      </w:rPr>
    </w:lvl>
    <w:lvl w:ilvl="1">
      <w:start w:val="2"/>
      <w:numFmt w:val="decimal"/>
      <w:isLgl/>
      <w:lvlText w:val="%1.%2"/>
      <w:lvlJc w:val="left"/>
      <w:pPr>
        <w:ind w:left="1458" w:hanging="860"/>
      </w:pPr>
      <w:rPr>
        <w:rFonts w:hint="default"/>
      </w:rPr>
    </w:lvl>
    <w:lvl w:ilvl="2">
      <w:start w:val="2"/>
      <w:numFmt w:val="decimal"/>
      <w:isLgl/>
      <w:lvlText w:val="%1.%2.%3"/>
      <w:lvlJc w:val="left"/>
      <w:pPr>
        <w:ind w:left="1696" w:hanging="860"/>
      </w:pPr>
      <w:rPr>
        <w:rFonts w:hint="default"/>
      </w:rPr>
    </w:lvl>
    <w:lvl w:ilvl="3">
      <w:start w:val="1"/>
      <w:numFmt w:val="decimal"/>
      <w:isLgl/>
      <w:lvlText w:val="%1.%2.%3.%4"/>
      <w:lvlJc w:val="left"/>
      <w:pPr>
        <w:ind w:left="1934" w:hanging="860"/>
      </w:pPr>
      <w:rPr>
        <w:rFonts w:hint="default"/>
      </w:rPr>
    </w:lvl>
    <w:lvl w:ilvl="4">
      <w:start w:val="1"/>
      <w:numFmt w:val="decimal"/>
      <w:isLgl/>
      <w:lvlText w:val="%1.%2.%3.%4.%5"/>
      <w:lvlJc w:val="left"/>
      <w:pPr>
        <w:ind w:left="2392" w:hanging="1080"/>
      </w:pPr>
      <w:rPr>
        <w:rFonts w:hint="default"/>
      </w:rPr>
    </w:lvl>
    <w:lvl w:ilvl="5">
      <w:start w:val="1"/>
      <w:numFmt w:val="decimal"/>
      <w:isLgl/>
      <w:lvlText w:val="%1.%2.%3.%4.%5.%6"/>
      <w:lvlJc w:val="left"/>
      <w:pPr>
        <w:ind w:left="2630" w:hanging="1080"/>
      </w:pPr>
      <w:rPr>
        <w:rFonts w:hint="default"/>
      </w:rPr>
    </w:lvl>
    <w:lvl w:ilvl="6">
      <w:start w:val="1"/>
      <w:numFmt w:val="decimal"/>
      <w:isLgl/>
      <w:lvlText w:val="%1.%2.%3.%4.%5.%6.%7"/>
      <w:lvlJc w:val="left"/>
      <w:pPr>
        <w:ind w:left="3228" w:hanging="1440"/>
      </w:pPr>
      <w:rPr>
        <w:rFonts w:hint="default"/>
      </w:rPr>
    </w:lvl>
    <w:lvl w:ilvl="7">
      <w:start w:val="1"/>
      <w:numFmt w:val="decimal"/>
      <w:isLgl/>
      <w:lvlText w:val="%1.%2.%3.%4.%5.%6.%7.%8"/>
      <w:lvlJc w:val="left"/>
      <w:pPr>
        <w:ind w:left="3466" w:hanging="1440"/>
      </w:pPr>
      <w:rPr>
        <w:rFonts w:hint="default"/>
      </w:rPr>
    </w:lvl>
    <w:lvl w:ilvl="8">
      <w:start w:val="1"/>
      <w:numFmt w:val="decimal"/>
      <w:isLgl/>
      <w:lvlText w:val="%1.%2.%3.%4.%5.%6.%7.%8.%9"/>
      <w:lvlJc w:val="left"/>
      <w:pPr>
        <w:ind w:left="4064" w:hanging="1800"/>
      </w:pPr>
      <w:rPr>
        <w:rFonts w:hint="default"/>
      </w:rPr>
    </w:lvl>
  </w:abstractNum>
  <w:abstractNum w:abstractNumId="72" w15:restartNumberingAfterBreak="0">
    <w:nsid w:val="4F4A1701"/>
    <w:multiLevelType w:val="multilevel"/>
    <w:tmpl w:val="0A3A90FC"/>
    <w:name w:val="List"/>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3" w15:restartNumberingAfterBreak="0">
    <w:nsid w:val="52F121DB"/>
    <w:multiLevelType w:val="multilevel"/>
    <w:tmpl w:val="1FC070F8"/>
    <w:lvl w:ilvl="0">
      <w:start w:val="1"/>
      <w:numFmt w:val="lowerLetter"/>
      <w:lvlText w:val="(%1)"/>
      <w:lvlJc w:val="left"/>
      <w:pPr>
        <w:tabs>
          <w:tab w:val="left" w:pos="1152"/>
        </w:tabs>
      </w:pPr>
      <w:rPr>
        <w:rFonts w:ascii="Arial" w:eastAsia="Arial" w:hAnsi="Arial"/>
        <w:color w:val="000000"/>
        <w:spacing w:val="0"/>
        <w:w w:val="100"/>
        <w:sz w:val="20"/>
        <w:szCs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53F47367"/>
    <w:multiLevelType w:val="singleLevel"/>
    <w:tmpl w:val="B4E8C9F0"/>
    <w:name w:val="Tiret 1"/>
    <w:lvl w:ilvl="0">
      <w:start w:val="1"/>
      <w:numFmt w:val="bullet"/>
      <w:lvlRestart w:val="0"/>
      <w:pStyle w:val="Tiret1"/>
      <w:lvlText w:val="–"/>
      <w:lvlJc w:val="left"/>
      <w:pPr>
        <w:tabs>
          <w:tab w:val="num" w:pos="1417"/>
        </w:tabs>
        <w:ind w:left="1417" w:hanging="567"/>
      </w:pPr>
    </w:lvl>
  </w:abstractNum>
  <w:abstractNum w:abstractNumId="75" w15:restartNumberingAfterBreak="0">
    <w:nsid w:val="55E041B9"/>
    <w:multiLevelType w:val="hybridMultilevel"/>
    <w:tmpl w:val="127C7E12"/>
    <w:lvl w:ilvl="0" w:tplc="EE62E50C">
      <w:start w:val="1"/>
      <w:numFmt w:val="lowerLetter"/>
      <w:lvlText w:val="(%1)"/>
      <w:lvlJc w:val="left"/>
      <w:pPr>
        <w:ind w:left="409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B04E1DF6">
      <w:start w:val="1"/>
      <w:numFmt w:val="lowerLetter"/>
      <w:lvlText w:val="%2"/>
      <w:lvlJc w:val="left"/>
      <w:pPr>
        <w:ind w:left="538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CA6AF4BE">
      <w:start w:val="1"/>
      <w:numFmt w:val="lowerRoman"/>
      <w:lvlText w:val="%3"/>
      <w:lvlJc w:val="left"/>
      <w:pPr>
        <w:ind w:left="610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BF70AA02">
      <w:start w:val="1"/>
      <w:numFmt w:val="decimal"/>
      <w:lvlText w:val="%4"/>
      <w:lvlJc w:val="left"/>
      <w:pPr>
        <w:ind w:left="682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C47C7CFE">
      <w:start w:val="1"/>
      <w:numFmt w:val="lowerLetter"/>
      <w:lvlText w:val="%5"/>
      <w:lvlJc w:val="left"/>
      <w:pPr>
        <w:ind w:left="754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83BC3FF8">
      <w:start w:val="1"/>
      <w:numFmt w:val="lowerRoman"/>
      <w:lvlText w:val="%6"/>
      <w:lvlJc w:val="left"/>
      <w:pPr>
        <w:ind w:left="826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6E4CEDE0">
      <w:start w:val="1"/>
      <w:numFmt w:val="decimal"/>
      <w:lvlText w:val="%7"/>
      <w:lvlJc w:val="left"/>
      <w:pPr>
        <w:ind w:left="898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4476F46A">
      <w:start w:val="1"/>
      <w:numFmt w:val="lowerLetter"/>
      <w:lvlText w:val="%8"/>
      <w:lvlJc w:val="left"/>
      <w:pPr>
        <w:ind w:left="970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1444ED38">
      <w:start w:val="1"/>
      <w:numFmt w:val="lowerRoman"/>
      <w:lvlText w:val="%9"/>
      <w:lvlJc w:val="left"/>
      <w:pPr>
        <w:ind w:left="1042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76" w15:restartNumberingAfterBreak="0">
    <w:nsid w:val="568A2260"/>
    <w:multiLevelType w:val="multilevel"/>
    <w:tmpl w:val="05341910"/>
    <w:lvl w:ilvl="0">
      <w:start w:val="1"/>
      <w:numFmt w:val="decimal"/>
      <w:pStyle w:val="Heading1"/>
      <w:lvlText w:val="%1."/>
      <w:lvlJc w:val="left"/>
      <w:pPr>
        <w:tabs>
          <w:tab w:val="num" w:pos="709"/>
        </w:tabs>
        <w:ind w:left="709" w:hanging="709"/>
      </w:pPr>
      <w:rPr>
        <w:rFonts w:ascii="Arial" w:hAnsi="Arial" w:hint="default"/>
        <w:b/>
        <w:i w:val="0"/>
        <w:sz w:val="20"/>
      </w:rPr>
    </w:lvl>
    <w:lvl w:ilvl="1">
      <w:start w:val="1"/>
      <w:numFmt w:val="decimal"/>
      <w:pStyle w:val="Heading2"/>
      <w:lvlText w:val="%1.%2"/>
      <w:lvlJc w:val="left"/>
      <w:pPr>
        <w:tabs>
          <w:tab w:val="num" w:pos="709"/>
        </w:tabs>
        <w:ind w:left="709" w:hanging="709"/>
      </w:pPr>
      <w:rPr>
        <w:rFonts w:ascii="Arial" w:hAnsi="Arial" w:hint="default"/>
        <w:b w:val="0"/>
        <w:i w:val="0"/>
        <w:sz w:val="20"/>
      </w:rPr>
    </w:lvl>
    <w:lvl w:ilvl="2">
      <w:start w:val="1"/>
      <w:numFmt w:val="decimal"/>
      <w:pStyle w:val="Heading3"/>
      <w:lvlText w:val="%1.%2.%3"/>
      <w:lvlJc w:val="left"/>
      <w:pPr>
        <w:tabs>
          <w:tab w:val="num" w:pos="1702"/>
        </w:tabs>
        <w:ind w:left="1702" w:hanging="992"/>
      </w:pPr>
      <w:rPr>
        <w:rFonts w:ascii="Arial" w:hAnsi="Arial" w:hint="default"/>
        <w:b w:val="0"/>
        <w:i w:val="0"/>
        <w:sz w:val="20"/>
      </w:rPr>
    </w:lvl>
    <w:lvl w:ilvl="3">
      <w:start w:val="1"/>
      <w:numFmt w:val="lowerLetter"/>
      <w:pStyle w:val="Heading4"/>
      <w:lvlText w:val="(%4)"/>
      <w:lvlJc w:val="left"/>
      <w:pPr>
        <w:tabs>
          <w:tab w:val="num" w:pos="1702"/>
        </w:tabs>
        <w:ind w:left="1702" w:hanging="709"/>
      </w:pPr>
      <w:rPr>
        <w:rFonts w:hint="default"/>
        <w:b w:val="0"/>
        <w:i w:val="0"/>
        <w:sz w:val="20"/>
      </w:rPr>
    </w:lvl>
    <w:lvl w:ilvl="4">
      <w:start w:val="1"/>
      <w:numFmt w:val="lowerRoman"/>
      <w:pStyle w:val="Heading5"/>
      <w:lvlText w:val="(%5)"/>
      <w:lvlJc w:val="left"/>
      <w:pPr>
        <w:tabs>
          <w:tab w:val="num" w:pos="3119"/>
        </w:tabs>
        <w:ind w:left="3119" w:hanging="709"/>
      </w:pPr>
      <w:rPr>
        <w:rFonts w:hint="default"/>
        <w:b w:val="0"/>
        <w:i w:val="0"/>
        <w:sz w:val="20"/>
      </w:rPr>
    </w:lvl>
    <w:lvl w:ilvl="5">
      <w:start w:val="1"/>
      <w:numFmt w:val="upperLetter"/>
      <w:pStyle w:val="Heading6"/>
      <w:lvlText w:val="(%6)"/>
      <w:lvlJc w:val="left"/>
      <w:pPr>
        <w:tabs>
          <w:tab w:val="num" w:pos="3827"/>
        </w:tabs>
        <w:ind w:left="3827" w:hanging="708"/>
      </w:pPr>
      <w:rPr>
        <w:rFonts w:hint="default"/>
        <w:sz w:val="20"/>
      </w:rPr>
    </w:lvl>
    <w:lvl w:ilvl="6">
      <w:start w:val="1"/>
      <w:numFmt w:val="decimal"/>
      <w:pStyle w:val="Heading7"/>
      <w:lvlText w:val="(%7)"/>
      <w:lvlJc w:val="left"/>
      <w:pPr>
        <w:tabs>
          <w:tab w:val="num" w:pos="4536"/>
        </w:tabs>
        <w:ind w:left="4536" w:hanging="709"/>
      </w:pPr>
      <w:rPr>
        <w:rFonts w:hint="default"/>
        <w:sz w:val="2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7" w15:restartNumberingAfterBreak="0">
    <w:nsid w:val="574D6447"/>
    <w:multiLevelType w:val="multilevel"/>
    <w:tmpl w:val="D856E9B2"/>
    <w:name w:val="Appendix"/>
    <w:lvl w:ilvl="0">
      <w:start w:val="1"/>
      <w:numFmt w:val="decimal"/>
      <w:pStyle w:val="AppendixTitle"/>
      <w:suff w:val="nothing"/>
      <w:lvlText w:val="Appendix %1"/>
      <w:lvlJc w:val="left"/>
      <w:pPr>
        <w:ind w:left="0" w:firstLine="0"/>
      </w:pPr>
      <w:rPr>
        <w:rFonts w:ascii="Arial" w:hAnsi="Arial" w:hint="default"/>
        <w:b/>
        <w:i w:val="0"/>
        <w:sz w:val="20"/>
      </w:rPr>
    </w:lvl>
    <w:lvl w:ilvl="1">
      <w:start w:val="1"/>
      <w:numFmt w:val="none"/>
      <w:pStyle w:val="AppendixSubTitle"/>
      <w:suff w:val="nothing"/>
      <w:lvlText w:val=""/>
      <w:lvlJc w:val="left"/>
      <w:pPr>
        <w:ind w:left="0" w:firstLine="0"/>
      </w:pPr>
      <w:rPr>
        <w:rFonts w:ascii="Arial" w:hAnsi="Arial" w:hint="default"/>
        <w:b w:val="0"/>
        <w:i w:val="0"/>
        <w:sz w:val="20"/>
      </w:rPr>
    </w:lvl>
    <w:lvl w:ilvl="2">
      <w:start w:val="1"/>
      <w:numFmt w:val="decimal"/>
      <w:pStyle w:val="App1"/>
      <w:lvlText w:val="%3."/>
      <w:lvlJc w:val="left"/>
      <w:pPr>
        <w:tabs>
          <w:tab w:val="num" w:pos="709"/>
        </w:tabs>
        <w:ind w:left="709" w:hanging="709"/>
      </w:pPr>
      <w:rPr>
        <w:rFonts w:ascii="Arial" w:hAnsi="Arial" w:hint="default"/>
        <w:b w:val="0"/>
        <w:i w:val="0"/>
        <w:sz w:val="20"/>
      </w:rPr>
    </w:lvl>
    <w:lvl w:ilvl="3">
      <w:start w:val="1"/>
      <w:numFmt w:val="decimal"/>
      <w:pStyle w:val="App2"/>
      <w:lvlText w:val="%3.%4"/>
      <w:lvlJc w:val="left"/>
      <w:pPr>
        <w:tabs>
          <w:tab w:val="num" w:pos="709"/>
        </w:tabs>
        <w:ind w:left="709" w:hanging="709"/>
      </w:pPr>
      <w:rPr>
        <w:rFonts w:hint="default"/>
        <w:b w:val="0"/>
        <w:i w:val="0"/>
        <w:sz w:val="20"/>
      </w:rPr>
    </w:lvl>
    <w:lvl w:ilvl="4">
      <w:start w:val="1"/>
      <w:numFmt w:val="decimal"/>
      <w:pStyle w:val="App3"/>
      <w:lvlText w:val="%3.%4.%5"/>
      <w:lvlJc w:val="left"/>
      <w:pPr>
        <w:tabs>
          <w:tab w:val="num" w:pos="1701"/>
        </w:tabs>
        <w:ind w:left="1701" w:hanging="992"/>
      </w:pPr>
      <w:rPr>
        <w:rFonts w:hint="default"/>
        <w:b w:val="0"/>
        <w:i w:val="0"/>
        <w:sz w:val="20"/>
      </w:rPr>
    </w:lvl>
    <w:lvl w:ilvl="5">
      <w:start w:val="1"/>
      <w:numFmt w:val="lowerLetter"/>
      <w:pStyle w:val="App4"/>
      <w:lvlText w:val="(%6)"/>
      <w:lvlJc w:val="left"/>
      <w:pPr>
        <w:tabs>
          <w:tab w:val="num" w:pos="2410"/>
        </w:tabs>
        <w:ind w:left="2410" w:hanging="709"/>
      </w:pPr>
      <w:rPr>
        <w:rFonts w:hint="default"/>
        <w:sz w:val="20"/>
      </w:rPr>
    </w:lvl>
    <w:lvl w:ilvl="6">
      <w:start w:val="1"/>
      <w:numFmt w:val="lowerRoman"/>
      <w:pStyle w:val="App5"/>
      <w:lvlText w:val="(%7)"/>
      <w:lvlJc w:val="left"/>
      <w:pPr>
        <w:tabs>
          <w:tab w:val="num" w:pos="3119"/>
        </w:tabs>
        <w:ind w:left="3119" w:hanging="709"/>
      </w:pPr>
      <w:rPr>
        <w:rFonts w:hint="default"/>
        <w:sz w:val="20"/>
      </w:rPr>
    </w:lvl>
    <w:lvl w:ilvl="7">
      <w:start w:val="1"/>
      <w:numFmt w:val="upperLetter"/>
      <w:pStyle w:val="App6"/>
      <w:lvlText w:val="(%8)"/>
      <w:lvlJc w:val="left"/>
      <w:pPr>
        <w:tabs>
          <w:tab w:val="num" w:pos="3827"/>
        </w:tabs>
        <w:ind w:left="3827" w:hanging="708"/>
      </w:pPr>
      <w:rPr>
        <w:rFonts w:hint="default"/>
      </w:rPr>
    </w:lvl>
    <w:lvl w:ilvl="8">
      <w:start w:val="1"/>
      <w:numFmt w:val="decimal"/>
      <w:pStyle w:val="App7"/>
      <w:lvlText w:val="(%9)"/>
      <w:lvlJc w:val="left"/>
      <w:pPr>
        <w:tabs>
          <w:tab w:val="num" w:pos="4536"/>
        </w:tabs>
        <w:ind w:left="4536" w:hanging="709"/>
      </w:pPr>
      <w:rPr>
        <w:rFonts w:hint="default"/>
      </w:rPr>
    </w:lvl>
  </w:abstractNum>
  <w:abstractNum w:abstractNumId="78" w15:restartNumberingAfterBreak="0">
    <w:nsid w:val="596D67A1"/>
    <w:multiLevelType w:val="singleLevel"/>
    <w:tmpl w:val="9AC8831A"/>
    <w:name w:val="List Dash 2"/>
    <w:lvl w:ilvl="0">
      <w:start w:val="1"/>
      <w:numFmt w:val="bullet"/>
      <w:lvlRestart w:val="0"/>
      <w:pStyle w:val="ListDash2"/>
      <w:lvlText w:val="–"/>
      <w:lvlJc w:val="left"/>
      <w:pPr>
        <w:tabs>
          <w:tab w:val="num" w:pos="1134"/>
        </w:tabs>
        <w:ind w:left="1134" w:hanging="283"/>
      </w:pPr>
      <w:rPr>
        <w:rFonts w:ascii="Times New Roman" w:hAnsi="Times New Roman"/>
      </w:rPr>
    </w:lvl>
  </w:abstractNum>
  <w:abstractNum w:abstractNumId="79" w15:restartNumberingAfterBreak="0">
    <w:nsid w:val="5B383E54"/>
    <w:multiLevelType w:val="multilevel"/>
    <w:tmpl w:val="BB7E8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5B837B80"/>
    <w:multiLevelType w:val="multilevel"/>
    <w:tmpl w:val="0B344260"/>
    <w:lvl w:ilvl="0">
      <w:start w:val="1"/>
      <w:numFmt w:val="decimal"/>
      <w:suff w:val="nothing"/>
      <w:lvlText w:val="Schedule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Part %2"/>
      <w:lvlJc w:val="left"/>
      <w:pPr>
        <w:ind w:left="0" w:firstLine="0"/>
      </w:pPr>
      <w:rPr>
        <w:rFonts w:hint="default"/>
      </w:rPr>
    </w:lvl>
    <w:lvl w:ilvl="2">
      <w:start w:val="1"/>
      <w:numFmt w:val="decimal"/>
      <w:lvlText w:val="%3."/>
      <w:lvlJc w:val="left"/>
      <w:pPr>
        <w:tabs>
          <w:tab w:val="num" w:pos="709"/>
        </w:tabs>
        <w:ind w:left="709" w:hanging="709"/>
      </w:pPr>
      <w:rPr>
        <w:rFonts w:hint="default"/>
        <w:b/>
        <w:bCs w:val="0"/>
        <w:i w:val="0"/>
      </w:rPr>
    </w:lvl>
    <w:lvl w:ilvl="3">
      <w:start w:val="1"/>
      <w:numFmt w:val="decimal"/>
      <w:lvlText w:val="%3.%4"/>
      <w:lvlJc w:val="left"/>
      <w:pPr>
        <w:tabs>
          <w:tab w:val="num" w:pos="709"/>
        </w:tabs>
        <w:ind w:left="709" w:hanging="709"/>
      </w:pPr>
      <w:rPr>
        <w:rFonts w:hint="default"/>
        <w:b w:val="0"/>
        <w:i w:val="0"/>
      </w:rPr>
    </w:lvl>
    <w:lvl w:ilvl="4">
      <w:start w:val="1"/>
      <w:numFmt w:val="decimal"/>
      <w:lvlText w:val="%3.%4.%5"/>
      <w:lvlJc w:val="left"/>
      <w:pPr>
        <w:tabs>
          <w:tab w:val="num" w:pos="1701"/>
        </w:tabs>
        <w:ind w:left="1701" w:hanging="992"/>
      </w:pPr>
      <w:rPr>
        <w:rFonts w:hint="default"/>
        <w:b w:val="0"/>
        <w:i w:val="0"/>
      </w:rPr>
    </w:lvl>
    <w:lvl w:ilvl="5">
      <w:start w:val="1"/>
      <w:numFmt w:val="lowerLetter"/>
      <w:lvlText w:val="(%6)"/>
      <w:lvlJc w:val="left"/>
      <w:pPr>
        <w:tabs>
          <w:tab w:val="num" w:pos="2410"/>
        </w:tabs>
        <w:ind w:left="2410" w:hanging="709"/>
      </w:pPr>
      <w:rPr>
        <w:rFonts w:hint="default"/>
        <w:b w:val="0"/>
        <w:i w:val="0"/>
      </w:rPr>
    </w:lvl>
    <w:lvl w:ilvl="6">
      <w:start w:val="1"/>
      <w:numFmt w:val="lowerRoman"/>
      <w:lvlText w:val="(%7)"/>
      <w:lvlJc w:val="left"/>
      <w:pPr>
        <w:tabs>
          <w:tab w:val="num" w:pos="3119"/>
        </w:tabs>
        <w:ind w:left="3119" w:hanging="709"/>
      </w:pPr>
      <w:rPr>
        <w:rFonts w:hint="default"/>
        <w:b w:val="0"/>
        <w:i w:val="0"/>
      </w:rPr>
    </w:lvl>
    <w:lvl w:ilvl="7">
      <w:start w:val="1"/>
      <w:numFmt w:val="upperLetter"/>
      <w:lvlText w:val="(%8)"/>
      <w:lvlJc w:val="left"/>
      <w:pPr>
        <w:tabs>
          <w:tab w:val="num" w:pos="3544"/>
        </w:tabs>
        <w:ind w:left="3544" w:hanging="425"/>
      </w:pPr>
      <w:rPr>
        <w:rFonts w:hint="default"/>
      </w:rPr>
    </w:lvl>
    <w:lvl w:ilvl="8">
      <w:start w:val="1"/>
      <w:numFmt w:val="decimal"/>
      <w:lvlText w:val="(%9)"/>
      <w:lvlJc w:val="left"/>
      <w:pPr>
        <w:tabs>
          <w:tab w:val="num" w:pos="4536"/>
        </w:tabs>
        <w:ind w:left="4536" w:hanging="709"/>
      </w:pPr>
      <w:rPr>
        <w:rFonts w:hint="default"/>
      </w:rPr>
    </w:lvl>
  </w:abstractNum>
  <w:abstractNum w:abstractNumId="81" w15:restartNumberingAfterBreak="0">
    <w:nsid w:val="5C6F4939"/>
    <w:multiLevelType w:val="hybridMultilevel"/>
    <w:tmpl w:val="4B08DF2C"/>
    <w:name w:val="Numbering2"/>
    <w:lvl w:ilvl="0" w:tplc="E960877C">
      <w:start w:val="1"/>
      <w:numFmt w:val="lowerRoman"/>
      <w:pStyle w:val="Numbering2"/>
      <w:lvlText w:val="%1."/>
      <w:lvlJc w:val="right"/>
      <w:pPr>
        <w:ind w:left="720" w:hanging="360"/>
      </w:pPr>
      <w:rPr>
        <w:rFonts w:ascii="Arial" w:hAnsi="Arial" w:hint="default"/>
        <w:b w:val="0"/>
        <w:i w:val="0"/>
        <w:color w:val="5B9BD5" w:themeColor="accent1"/>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D043474"/>
    <w:multiLevelType w:val="multilevel"/>
    <w:tmpl w:val="2D28CC9A"/>
    <w:name w:val="H1"/>
    <w:lvl w:ilvl="0">
      <w:start w:val="1"/>
      <w:numFmt w:val="decimal"/>
      <w:pStyle w:val="H1"/>
      <w:lvlText w:val="%1"/>
      <w:lvlJc w:val="left"/>
      <w:pPr>
        <w:ind w:left="432" w:hanging="432"/>
      </w:pPr>
      <w:rPr>
        <w:rFonts w:asciiTheme="minorHAnsi" w:hAnsiTheme="minorHAnsi" w:hint="default"/>
        <w:b w:val="0"/>
        <w:i w:val="0"/>
        <w:color w:val="2E74B5" w:themeColor="accent1" w:themeShade="BF"/>
        <w:sz w:val="40"/>
        <w:szCs w:val="18"/>
      </w:rPr>
    </w:lvl>
    <w:lvl w:ilvl="1">
      <w:start w:val="1"/>
      <w:numFmt w:val="decimal"/>
      <w:pStyle w:val="H2"/>
      <w:lvlText w:val="%1.%2"/>
      <w:lvlJc w:val="left"/>
      <w:pPr>
        <w:ind w:left="648" w:hanging="648"/>
      </w:pPr>
      <w:rPr>
        <w:rFonts w:ascii="Verdana" w:hAnsi="Verdana" w:hint="default"/>
        <w:b w:val="0"/>
        <w:i w:val="0"/>
        <w:color w:val="5B9BD5" w:themeColor="accent1"/>
        <w:sz w:val="28"/>
        <w:szCs w:val="28"/>
      </w:rPr>
    </w:lvl>
    <w:lvl w:ilvl="2">
      <w:start w:val="1"/>
      <w:numFmt w:val="decimal"/>
      <w:pStyle w:val="H3"/>
      <w:lvlText w:val="%1.%2.%3"/>
      <w:lvlJc w:val="left"/>
      <w:pPr>
        <w:ind w:left="288" w:hanging="288"/>
      </w:pPr>
      <w:rPr>
        <w:rFonts w:ascii="Verdana" w:hAnsi="Verdana" w:hint="default"/>
        <w:b w:val="0"/>
        <w:i w:val="0"/>
        <w:color w:val="C45911" w:themeColor="accent2" w:themeShade="BF"/>
        <w:sz w:val="32"/>
        <w:szCs w:val="40"/>
      </w:rPr>
    </w:lvl>
    <w:lvl w:ilvl="3">
      <w:start w:val="1"/>
      <w:numFmt w:val="decimal"/>
      <w:pStyle w:val="H4"/>
      <w:lvlText w:val="%1.%2.%3.%4"/>
      <w:lvlJc w:val="left"/>
      <w:pPr>
        <w:ind w:left="1152" w:hanging="1152"/>
      </w:pPr>
      <w:rPr>
        <w:rFonts w:hint="default"/>
        <w:color w:val="ED7D31" w:themeColor="accent2"/>
        <w:sz w:val="28"/>
      </w:rPr>
    </w:lvl>
    <w:lvl w:ilvl="4">
      <w:start w:val="1"/>
      <w:numFmt w:val="decimal"/>
      <w:pStyle w:val="H5"/>
      <w:lvlText w:val="%1.%2.%3.%4.%5"/>
      <w:lvlJc w:val="left"/>
      <w:pPr>
        <w:ind w:left="1440" w:hanging="1440"/>
      </w:pPr>
      <w:rPr>
        <w:rFonts w:hint="default"/>
        <w:color w:val="ED7D31" w:themeColor="accent2"/>
        <w:sz w:val="24"/>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15:restartNumberingAfterBreak="0">
    <w:nsid w:val="5DB40D3E"/>
    <w:multiLevelType w:val="multilevel"/>
    <w:tmpl w:val="36AE117C"/>
    <w:name w:val="Definition"/>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84" w15:restartNumberingAfterBreak="0">
    <w:nsid w:val="5EF779A6"/>
    <w:multiLevelType w:val="singleLevel"/>
    <w:tmpl w:val="C4347D46"/>
    <w:name w:val="Considérant"/>
    <w:lvl w:ilvl="0">
      <w:start w:val="1"/>
      <w:numFmt w:val="decimal"/>
      <w:lvlRestart w:val="0"/>
      <w:pStyle w:val="Considrant"/>
      <w:lvlText w:val="(%1)"/>
      <w:lvlJc w:val="left"/>
      <w:pPr>
        <w:tabs>
          <w:tab w:val="num" w:pos="709"/>
        </w:tabs>
        <w:ind w:left="709" w:hanging="709"/>
      </w:pPr>
      <w:rPr>
        <w:rFonts w:cs="Times New Roman"/>
      </w:rPr>
    </w:lvl>
  </w:abstractNum>
  <w:abstractNum w:abstractNumId="85" w15:restartNumberingAfterBreak="0">
    <w:nsid w:val="5FE1779B"/>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6" w15:restartNumberingAfterBreak="0">
    <w:nsid w:val="602E1E45"/>
    <w:multiLevelType w:val="multilevel"/>
    <w:tmpl w:val="159A1D9A"/>
    <w:lvl w:ilvl="0">
      <w:start w:val="2"/>
      <w:numFmt w:val="decimal"/>
      <w:lvlText w:val="%1"/>
      <w:lvlJc w:val="left"/>
      <w:pPr>
        <w:ind w:left="3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start w:val="13"/>
      <w:numFmt w:val="decimal"/>
      <w:lvlText w:val="%1.%2"/>
      <w:lvlJc w:val="left"/>
      <w:pPr>
        <w:ind w:left="974"/>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start w:val="6"/>
      <w:numFmt w:val="decimal"/>
      <w:lvlText w:val="%1.%2.%3"/>
      <w:lvlJc w:val="left"/>
      <w:pPr>
        <w:ind w:left="1589"/>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start w:val="1"/>
      <w:numFmt w:val="decimal"/>
      <w:lvlRestart w:val="0"/>
      <w:lvlText w:val="%1.%2.%3.%4"/>
      <w:lvlJc w:val="left"/>
      <w:pPr>
        <w:ind w:left="3121"/>
      </w:pPr>
      <w:rPr>
        <w:rFonts w:ascii="Arial" w:eastAsia="Verdana" w:hAnsi="Arial" w:cs="Arial" w:hint="default"/>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23"/>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643"/>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363"/>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5083"/>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803"/>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87" w15:restartNumberingAfterBreak="0">
    <w:nsid w:val="62787184"/>
    <w:multiLevelType w:val="multilevel"/>
    <w:tmpl w:val="A606AE28"/>
    <w:lvl w:ilvl="0">
      <w:start w:val="1"/>
      <w:numFmt w:val="decimal"/>
      <w:pStyle w:val="Level1"/>
      <w:lvlText w:val="%1."/>
      <w:lvlJc w:val="left"/>
      <w:pPr>
        <w:tabs>
          <w:tab w:val="num" w:pos="2411"/>
        </w:tabs>
        <w:ind w:left="2411" w:hanging="851"/>
      </w:pPr>
      <w:rPr>
        <w:rFonts w:ascii="Arial" w:hAnsi="Arial" w:cs="Arial" w:hint="default"/>
        <w:b w:val="0"/>
        <w:i w:val="0"/>
        <w:u w:val="none"/>
      </w:rPr>
    </w:lvl>
    <w:lvl w:ilvl="1">
      <w:start w:val="1"/>
      <w:numFmt w:val="decimal"/>
      <w:pStyle w:val="Level2"/>
      <w:lvlText w:val="%1.%2"/>
      <w:lvlJc w:val="left"/>
      <w:pPr>
        <w:tabs>
          <w:tab w:val="num" w:pos="1135"/>
        </w:tabs>
        <w:ind w:left="1135" w:hanging="851"/>
      </w:pPr>
      <w:rPr>
        <w:rFonts w:hint="default"/>
        <w:b w:val="0"/>
        <w:i w:val="0"/>
        <w:u w:val="none"/>
      </w:rPr>
    </w:lvl>
    <w:lvl w:ilvl="2">
      <w:start w:val="1"/>
      <w:numFmt w:val="decimal"/>
      <w:pStyle w:val="Level3"/>
      <w:lvlText w:val="%1.%2.%3"/>
      <w:lvlJc w:val="left"/>
      <w:pPr>
        <w:tabs>
          <w:tab w:val="num" w:pos="1985"/>
        </w:tabs>
        <w:ind w:left="1985" w:hanging="992"/>
      </w:pPr>
      <w:rPr>
        <w:rFonts w:ascii="Arial" w:hAnsi="Arial" w:cs="Arial" w:hint="default"/>
        <w:b w:val="0"/>
        <w:i w:val="0"/>
        <w:color w:val="auto"/>
        <w:u w:val="none"/>
      </w:rPr>
    </w:lvl>
    <w:lvl w:ilvl="3">
      <w:start w:val="1"/>
      <w:numFmt w:val="decimal"/>
      <w:pStyle w:val="Level4"/>
      <w:lvlText w:val="%1.%2.%3.%4"/>
      <w:lvlJc w:val="left"/>
      <w:pPr>
        <w:tabs>
          <w:tab w:val="num" w:pos="3119"/>
        </w:tabs>
        <w:ind w:left="3119" w:hanging="1276"/>
      </w:pPr>
      <w:rPr>
        <w:rFonts w:ascii="Arial" w:hAnsi="Arial" w:cs="Arial" w:hint="default"/>
        <w:b w:val="0"/>
        <w:i w:val="0"/>
        <w:u w:val="none"/>
      </w:rPr>
    </w:lvl>
    <w:lvl w:ilvl="4">
      <w:start w:val="1"/>
      <w:numFmt w:val="decimal"/>
      <w:pStyle w:val="Level5"/>
      <w:lvlText w:val="%1.%2.%3.%4.%5"/>
      <w:lvlJc w:val="left"/>
      <w:pPr>
        <w:tabs>
          <w:tab w:val="num" w:pos="3119"/>
        </w:tabs>
        <w:ind w:left="4649" w:hanging="1757"/>
      </w:pPr>
      <w:rPr>
        <w:rFonts w:ascii="Arial" w:hAnsi="Arial" w:cs="Arial" w:hint="default"/>
        <w:b w:val="0"/>
        <w:i w:val="0"/>
        <w:sz w:val="20"/>
        <w:u w:val="none"/>
      </w:rPr>
    </w:lvl>
    <w:lvl w:ilvl="5">
      <w:start w:val="1"/>
      <w:numFmt w:val="none"/>
      <w:lvlText w:val="(Not Defined)"/>
      <w:lvlJc w:val="left"/>
      <w:pPr>
        <w:tabs>
          <w:tab w:val="num" w:pos="3240"/>
        </w:tabs>
        <w:ind w:left="2736" w:hanging="936"/>
      </w:pPr>
      <w:rPr>
        <w:rFonts w:hint="default"/>
      </w:rPr>
    </w:lvl>
    <w:lvl w:ilvl="6">
      <w:start w:val="1"/>
      <w:numFmt w:val="none"/>
      <w:lvlText w:val="(Not Defined)"/>
      <w:lvlJc w:val="left"/>
      <w:pPr>
        <w:tabs>
          <w:tab w:val="num" w:pos="3600"/>
        </w:tabs>
        <w:ind w:left="3240" w:hanging="1080"/>
      </w:pPr>
      <w:rPr>
        <w:rFonts w:hint="default"/>
      </w:rPr>
    </w:lvl>
    <w:lvl w:ilvl="7">
      <w:start w:val="1"/>
      <w:numFmt w:val="none"/>
      <w:lvlText w:val="(Not Defined)"/>
      <w:lvlJc w:val="left"/>
      <w:pPr>
        <w:tabs>
          <w:tab w:val="num" w:pos="3960"/>
        </w:tabs>
        <w:ind w:left="3744" w:hanging="1224"/>
      </w:pPr>
      <w:rPr>
        <w:rFonts w:hint="default"/>
      </w:rPr>
    </w:lvl>
    <w:lvl w:ilvl="8">
      <w:start w:val="1"/>
      <w:numFmt w:val="lowerLetter"/>
      <w:lvlText w:val="%9)"/>
      <w:lvlJc w:val="left"/>
      <w:pPr>
        <w:tabs>
          <w:tab w:val="num" w:pos="4320"/>
        </w:tabs>
        <w:ind w:left="4320" w:hanging="1440"/>
      </w:pPr>
      <w:rPr>
        <w:rFonts w:hint="default"/>
      </w:rPr>
    </w:lvl>
  </w:abstractNum>
  <w:abstractNum w:abstractNumId="88" w15:restartNumberingAfterBreak="0">
    <w:nsid w:val="62A8042C"/>
    <w:multiLevelType w:val="singleLevel"/>
    <w:tmpl w:val="CCF20C06"/>
    <w:name w:val="List Dash 1"/>
    <w:lvl w:ilvl="0">
      <w:start w:val="1"/>
      <w:numFmt w:val="bullet"/>
      <w:lvlRestart w:val="0"/>
      <w:pStyle w:val="ListDash1"/>
      <w:lvlText w:val="–"/>
      <w:lvlJc w:val="left"/>
      <w:pPr>
        <w:tabs>
          <w:tab w:val="num" w:pos="1134"/>
        </w:tabs>
        <w:ind w:left="1134" w:hanging="283"/>
      </w:pPr>
      <w:rPr>
        <w:rFonts w:ascii="Times New Roman" w:hAnsi="Times New Roman"/>
      </w:rPr>
    </w:lvl>
  </w:abstractNum>
  <w:abstractNum w:abstractNumId="89" w15:restartNumberingAfterBreak="0">
    <w:nsid w:val="66535264"/>
    <w:multiLevelType w:val="hybridMultilevel"/>
    <w:tmpl w:val="F96AF3A8"/>
    <w:lvl w:ilvl="0" w:tplc="CF98B012">
      <w:start w:val="1"/>
      <w:numFmt w:val="lowerLetter"/>
      <w:lvlText w:val="(%1)"/>
      <w:lvlJc w:val="left"/>
      <w:pPr>
        <w:ind w:left="5161" w:firstLine="0"/>
      </w:pPr>
      <w:rPr>
        <w:rFonts w:ascii="Verdana" w:eastAsia="Verdana" w:hAnsi="Verdana" w:cs="Verdana" w:hint="default"/>
        <w:b w:val="0"/>
        <w:i w:val="0"/>
        <w:strike w:val="0"/>
        <w:dstrike w:val="0"/>
        <w:color w:val="000000"/>
        <w:sz w:val="18"/>
        <w:szCs w:val="18"/>
        <w:u w:val="none" w:color="00000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67114724"/>
    <w:multiLevelType w:val="multilevel"/>
    <w:tmpl w:val="2F0650D8"/>
    <w:lvl w:ilvl="0">
      <w:start w:val="1"/>
      <w:numFmt w:val="decimal"/>
      <w:lvlText w:val="%1."/>
      <w:lvlJc w:val="left"/>
      <w:pPr>
        <w:ind w:left="1080" w:hanging="720"/>
      </w:pPr>
      <w:rPr>
        <w:sz w:val="20"/>
        <w:szCs w:val="20"/>
      </w:rPr>
    </w:lvl>
    <w:lvl w:ilvl="1">
      <w:start w:val="1"/>
      <w:numFmt w:val="lowerLetter"/>
      <w:lvlText w:val="(%2)"/>
      <w:lvlJc w:val="left"/>
      <w:pPr>
        <w:ind w:left="1440" w:hanging="360"/>
      </w:pPr>
      <w:rPr>
        <w:b w:val="0"/>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693F5B47"/>
    <w:multiLevelType w:val="hybridMultilevel"/>
    <w:tmpl w:val="A50AEEB2"/>
    <w:lvl w:ilvl="0" w:tplc="BF2EDAB4">
      <w:start w:val="1"/>
      <w:numFmt w:val="lowerLetter"/>
      <w:lvlText w:val="(%1)"/>
      <w:lvlJc w:val="left"/>
      <w:pPr>
        <w:ind w:left="852"/>
      </w:pPr>
      <w:rPr>
        <w:rFonts w:ascii="Arial" w:eastAsia="Verdana" w:hAnsi="Arial" w:cs="Arial" w:hint="default"/>
        <w:b w:val="0"/>
        <w:i w:val="0"/>
        <w:strike w:val="0"/>
        <w:dstrike w:val="0"/>
        <w:color w:val="000000"/>
        <w:sz w:val="20"/>
        <w:szCs w:val="20"/>
        <w:u w:val="none" w:color="000000"/>
        <w:bdr w:val="none" w:sz="0" w:space="0" w:color="auto"/>
        <w:shd w:val="clear" w:color="auto" w:fill="auto"/>
        <w:vertAlign w:val="baseline"/>
      </w:rPr>
    </w:lvl>
    <w:lvl w:ilvl="1" w:tplc="C48A78FC">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BF46588A">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245E9E0E">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26F00B04">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130061BA">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78F6DA28">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B9D4787A">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753CF322">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92" w15:restartNumberingAfterBreak="0">
    <w:nsid w:val="6A6901C1"/>
    <w:multiLevelType w:val="singleLevel"/>
    <w:tmpl w:val="208841AE"/>
    <w:name w:val="List Bullet 1"/>
    <w:lvl w:ilvl="0">
      <w:start w:val="1"/>
      <w:numFmt w:val="bullet"/>
      <w:lvlRestart w:val="0"/>
      <w:pStyle w:val="ListBullet1"/>
      <w:lvlText w:val=""/>
      <w:lvlJc w:val="left"/>
      <w:pPr>
        <w:tabs>
          <w:tab w:val="num" w:pos="1134"/>
        </w:tabs>
        <w:ind w:left="1134" w:hanging="283"/>
      </w:pPr>
      <w:rPr>
        <w:rFonts w:ascii="Symbol" w:hAnsi="Symbol" w:hint="default"/>
      </w:rPr>
    </w:lvl>
  </w:abstractNum>
  <w:abstractNum w:abstractNumId="93" w15:restartNumberingAfterBreak="0">
    <w:nsid w:val="6AB2793C"/>
    <w:multiLevelType w:val="multilevel"/>
    <w:tmpl w:val="6EBE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4D2BF2"/>
    <w:multiLevelType w:val="multilevel"/>
    <w:tmpl w:val="2BD2A2C2"/>
    <w:lvl w:ilvl="0">
      <w:start w:val="1"/>
      <w:numFmt w:val="lowerLetter"/>
      <w:lvlText w:val="(%1)"/>
      <w:lvlJc w:val="left"/>
      <w:pPr>
        <w:tabs>
          <w:tab w:val="num" w:pos="1932"/>
        </w:tabs>
        <w:ind w:left="0" w:firstLine="0"/>
      </w:pPr>
      <w:rPr>
        <w:rFonts w:ascii="Arial" w:eastAsia="Arial" w:hAnsi="Arial" w:hint="default"/>
        <w:color w:val="000000"/>
        <w:spacing w:val="0"/>
        <w:w w:val="100"/>
        <w:sz w:val="20"/>
        <w:szCs w:val="20"/>
        <w:vertAlign w:val="baseline"/>
        <w:lang w:val="en-US"/>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95" w15:restartNumberingAfterBreak="0">
    <w:nsid w:val="6D134542"/>
    <w:multiLevelType w:val="hybridMultilevel"/>
    <w:tmpl w:val="F96AF3A8"/>
    <w:lvl w:ilvl="0" w:tplc="CF98B012">
      <w:start w:val="1"/>
      <w:numFmt w:val="lowerLetter"/>
      <w:lvlText w:val="(%1)"/>
      <w:lvlJc w:val="left"/>
      <w:pPr>
        <w:ind w:left="5161" w:firstLine="0"/>
      </w:pPr>
      <w:rPr>
        <w:rFonts w:ascii="Verdana" w:eastAsia="Verdana" w:hAnsi="Verdana" w:cs="Verdana" w:hint="default"/>
        <w:b w:val="0"/>
        <w:i w:val="0"/>
        <w:strike w:val="0"/>
        <w:dstrike w:val="0"/>
        <w:color w:val="000000"/>
        <w:sz w:val="18"/>
        <w:szCs w:val="18"/>
        <w:u w:val="none" w:color="000000"/>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6ED5382D"/>
    <w:multiLevelType w:val="hybridMultilevel"/>
    <w:tmpl w:val="860E47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15:restartNumberingAfterBreak="0">
    <w:nsid w:val="75CB2DAF"/>
    <w:multiLevelType w:val="hybridMultilevel"/>
    <w:tmpl w:val="D8109F76"/>
    <w:name w:val="Bullet9"/>
    <w:lvl w:ilvl="0" w:tplc="D84468C2">
      <w:start w:val="1"/>
      <w:numFmt w:val="decimal"/>
      <w:pStyle w:val="Bullet9"/>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760E5ABA"/>
    <w:multiLevelType w:val="multilevel"/>
    <w:tmpl w:val="AB02000A"/>
    <w:lvl w:ilvl="0">
      <w:start w:val="1"/>
      <w:numFmt w:val="lowerLetter"/>
      <w:lvlText w:val="(%1)"/>
      <w:lvlJc w:val="left"/>
      <w:pPr>
        <w:ind w:left="720" w:hanging="57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787F6022"/>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0" w15:restartNumberingAfterBreak="0">
    <w:nsid w:val="78A241BD"/>
    <w:multiLevelType w:val="singleLevel"/>
    <w:tmpl w:val="53C4DF32"/>
    <w:name w:val="List Dash 3"/>
    <w:lvl w:ilvl="0">
      <w:start w:val="1"/>
      <w:numFmt w:val="bullet"/>
      <w:lvlRestart w:val="0"/>
      <w:pStyle w:val="ListDash3"/>
      <w:lvlText w:val="–"/>
      <w:lvlJc w:val="left"/>
      <w:pPr>
        <w:tabs>
          <w:tab w:val="num" w:pos="1134"/>
        </w:tabs>
        <w:ind w:left="1134" w:hanging="283"/>
      </w:pPr>
      <w:rPr>
        <w:rFonts w:ascii="Times New Roman" w:hAnsi="Times New Roman"/>
      </w:rPr>
    </w:lvl>
  </w:abstractNum>
  <w:abstractNum w:abstractNumId="101" w15:restartNumberingAfterBreak="0">
    <w:nsid w:val="7928411F"/>
    <w:multiLevelType w:val="multilevel"/>
    <w:tmpl w:val="9D4A9A22"/>
    <w:lvl w:ilvl="0">
      <w:start w:val="1"/>
      <w:numFmt w:val="lowerRoman"/>
      <w:lvlText w:val="(%1)"/>
      <w:lvlJc w:val="left"/>
      <w:pPr>
        <w:tabs>
          <w:tab w:val="left" w:pos="720"/>
        </w:tabs>
      </w:pPr>
      <w:rPr>
        <w:rFonts w:ascii="Arial" w:eastAsia="Arial" w:hAnsi="Arial"/>
        <w:color w:val="000000"/>
        <w:spacing w:val="0"/>
        <w:w w:val="100"/>
        <w:sz w:val="20"/>
        <w:szCs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79C96D36"/>
    <w:multiLevelType w:val="multilevel"/>
    <w:tmpl w:val="BE983CE4"/>
    <w:name w:val="List Number 1"/>
    <w:lvl w:ilvl="0">
      <w:start w:val="1"/>
      <w:numFmt w:val="decimal"/>
      <w:lvlRestart w:val="0"/>
      <w:pStyle w:val="ListNumber1"/>
      <w:lvlText w:val="(%1)"/>
      <w:lvlJc w:val="left"/>
      <w:pPr>
        <w:tabs>
          <w:tab w:val="num" w:pos="1560"/>
        </w:tabs>
        <w:ind w:left="1560" w:hanging="709"/>
      </w:pPr>
      <w:rPr>
        <w:rFonts w:cs="Times New Roman"/>
      </w:rPr>
    </w:lvl>
    <w:lvl w:ilvl="1">
      <w:start w:val="1"/>
      <w:numFmt w:val="lowerLetter"/>
      <w:pStyle w:val="ListNumber1Level2"/>
      <w:lvlText w:val="(%2)"/>
      <w:lvlJc w:val="left"/>
      <w:pPr>
        <w:tabs>
          <w:tab w:val="num" w:pos="2268"/>
        </w:tabs>
        <w:ind w:left="2268" w:hanging="708"/>
      </w:pPr>
      <w:rPr>
        <w:rFonts w:cs="Times New Roman"/>
      </w:rPr>
    </w:lvl>
    <w:lvl w:ilvl="2">
      <w:start w:val="1"/>
      <w:numFmt w:val="bullet"/>
      <w:pStyle w:val="ListNumber1Level3"/>
      <w:lvlText w:val="–"/>
      <w:lvlJc w:val="left"/>
      <w:pPr>
        <w:tabs>
          <w:tab w:val="num" w:pos="2977"/>
        </w:tabs>
        <w:ind w:left="2977" w:hanging="709"/>
      </w:pPr>
      <w:rPr>
        <w:rFonts w:ascii="Times New Roman" w:hAnsi="Times New Roman"/>
      </w:rPr>
    </w:lvl>
    <w:lvl w:ilvl="3">
      <w:start w:val="1"/>
      <w:numFmt w:val="bullet"/>
      <w:pStyle w:val="ListNumber1Level4"/>
      <w:lvlText w:val=""/>
      <w:lvlJc w:val="left"/>
      <w:pPr>
        <w:tabs>
          <w:tab w:val="num" w:pos="3686"/>
        </w:tabs>
        <w:ind w:left="3686" w:hanging="709"/>
      </w:pPr>
      <w:rPr>
        <w:rFonts w:ascii="Symbol" w:hAnsi="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03" w15:restartNumberingAfterBreak="0">
    <w:nsid w:val="7A0907F6"/>
    <w:multiLevelType w:val="hybridMultilevel"/>
    <w:tmpl w:val="0D909B12"/>
    <w:name w:val="Numbering1_i"/>
    <w:lvl w:ilvl="0" w:tplc="23C6E49A">
      <w:start w:val="1"/>
      <w:numFmt w:val="lowerRoman"/>
      <w:pStyle w:val="Numbering1i"/>
      <w:lvlText w:val="%1."/>
      <w:lvlJc w:val="left"/>
      <w:pPr>
        <w:ind w:left="360" w:hanging="360"/>
      </w:pPr>
      <w:rPr>
        <w:rFonts w:hint="default"/>
        <w:b w:val="0"/>
        <w:i w:val="0"/>
        <w:color w:val="ED7D31" w:themeColor="accent2"/>
        <w:sz w:val="20"/>
      </w:rPr>
    </w:lvl>
    <w:lvl w:ilvl="1" w:tplc="A50AF53E">
      <w:start w:val="1"/>
      <w:numFmt w:val="lowerLetter"/>
      <w:lvlText w:val="%2."/>
      <w:lvlJc w:val="left"/>
      <w:pPr>
        <w:ind w:left="1440" w:hanging="360"/>
      </w:pPr>
      <w:rPr>
        <w:rFonts w:hint="default"/>
      </w:rPr>
    </w:lvl>
    <w:lvl w:ilvl="2" w:tplc="CE481858">
      <w:start w:val="1"/>
      <w:numFmt w:val="lowerRoman"/>
      <w:lvlText w:val="%3."/>
      <w:lvlJc w:val="right"/>
      <w:pPr>
        <w:ind w:left="2160" w:hanging="180"/>
      </w:pPr>
      <w:rPr>
        <w:rFonts w:hint="default"/>
      </w:rPr>
    </w:lvl>
    <w:lvl w:ilvl="3" w:tplc="5A586994">
      <w:start w:val="1"/>
      <w:numFmt w:val="decimal"/>
      <w:lvlText w:val="%4."/>
      <w:lvlJc w:val="left"/>
      <w:pPr>
        <w:ind w:left="2880" w:hanging="360"/>
      </w:pPr>
      <w:rPr>
        <w:rFonts w:hint="default"/>
      </w:rPr>
    </w:lvl>
    <w:lvl w:ilvl="4" w:tplc="F0744C74">
      <w:start w:val="1"/>
      <w:numFmt w:val="lowerLetter"/>
      <w:lvlText w:val="%5."/>
      <w:lvlJc w:val="left"/>
      <w:pPr>
        <w:ind w:left="3600" w:hanging="360"/>
      </w:pPr>
      <w:rPr>
        <w:rFonts w:hint="default"/>
      </w:rPr>
    </w:lvl>
    <w:lvl w:ilvl="5" w:tplc="84288C1A">
      <w:start w:val="1"/>
      <w:numFmt w:val="lowerRoman"/>
      <w:lvlText w:val="%6."/>
      <w:lvlJc w:val="right"/>
      <w:pPr>
        <w:ind w:left="4320" w:hanging="180"/>
      </w:pPr>
      <w:rPr>
        <w:rFonts w:hint="default"/>
      </w:rPr>
    </w:lvl>
    <w:lvl w:ilvl="6" w:tplc="513CE1F0">
      <w:start w:val="1"/>
      <w:numFmt w:val="decimal"/>
      <w:lvlText w:val="%7."/>
      <w:lvlJc w:val="left"/>
      <w:pPr>
        <w:ind w:left="5040" w:hanging="360"/>
      </w:pPr>
      <w:rPr>
        <w:rFonts w:hint="default"/>
      </w:rPr>
    </w:lvl>
    <w:lvl w:ilvl="7" w:tplc="5B540494">
      <w:start w:val="1"/>
      <w:numFmt w:val="lowerLetter"/>
      <w:lvlText w:val="%8."/>
      <w:lvlJc w:val="left"/>
      <w:pPr>
        <w:ind w:left="5760" w:hanging="360"/>
      </w:pPr>
      <w:rPr>
        <w:rFonts w:hint="default"/>
      </w:rPr>
    </w:lvl>
    <w:lvl w:ilvl="8" w:tplc="12967F84">
      <w:start w:val="1"/>
      <w:numFmt w:val="lowerRoman"/>
      <w:lvlText w:val="%9."/>
      <w:lvlJc w:val="right"/>
      <w:pPr>
        <w:ind w:left="6480" w:hanging="180"/>
      </w:pPr>
      <w:rPr>
        <w:rFonts w:hint="default"/>
      </w:rPr>
    </w:lvl>
  </w:abstractNum>
  <w:abstractNum w:abstractNumId="104" w15:restartNumberingAfterBreak="0">
    <w:nsid w:val="7A223CF4"/>
    <w:multiLevelType w:val="hybridMultilevel"/>
    <w:tmpl w:val="A9CEC8EC"/>
    <w:name w:val="paBulletsCS"/>
    <w:styleLink w:val="Style53"/>
    <w:lvl w:ilvl="0" w:tplc="A9FEF250">
      <w:start w:val="1"/>
      <w:numFmt w:val="bullet"/>
      <w:pStyle w:val="ListBulletCS"/>
      <w:lvlText w:val=""/>
      <w:lvlJc w:val="left"/>
      <w:pPr>
        <w:ind w:left="284" w:hanging="284"/>
      </w:pPr>
      <w:rPr>
        <w:rFonts w:ascii="Symbol" w:hAnsi="Symbol" w:hint="default"/>
        <w:color w:val="E7E6E6" w:themeColor="background2"/>
      </w:rPr>
    </w:lvl>
    <w:lvl w:ilvl="1" w:tplc="A47E0490">
      <w:start w:val="1"/>
      <w:numFmt w:val="bullet"/>
      <w:lvlText w:val=""/>
      <w:lvlJc w:val="left"/>
      <w:pPr>
        <w:ind w:left="568" w:hanging="284"/>
      </w:pPr>
      <w:rPr>
        <w:rFonts w:ascii="Symbol" w:hAnsi="Symbol" w:hint="default"/>
        <w:color w:val="E7E6E6" w:themeColor="background2"/>
      </w:rPr>
    </w:lvl>
    <w:lvl w:ilvl="2" w:tplc="725CC53A">
      <w:start w:val="1"/>
      <w:numFmt w:val="bullet"/>
      <w:lvlText w:val=""/>
      <w:lvlJc w:val="left"/>
      <w:pPr>
        <w:ind w:left="852" w:hanging="284"/>
      </w:pPr>
      <w:rPr>
        <w:rFonts w:ascii="Symbol" w:hAnsi="Symbol" w:hint="default"/>
        <w:color w:val="48BDD7"/>
      </w:rPr>
    </w:lvl>
    <w:lvl w:ilvl="3" w:tplc="DA84B6DE">
      <w:start w:val="1"/>
      <w:numFmt w:val="none"/>
      <w:lvlRestart w:val="0"/>
      <w:lvlText w:val=""/>
      <w:lvlJc w:val="left"/>
      <w:pPr>
        <w:ind w:left="1136" w:hanging="284"/>
      </w:pPr>
      <w:rPr>
        <w:rFonts w:hint="default"/>
      </w:rPr>
    </w:lvl>
    <w:lvl w:ilvl="4" w:tplc="E58CAD86">
      <w:start w:val="1"/>
      <w:numFmt w:val="none"/>
      <w:lvlRestart w:val="0"/>
      <w:lvlText w:val=""/>
      <w:lvlJc w:val="left"/>
      <w:pPr>
        <w:ind w:left="1420" w:hanging="284"/>
      </w:pPr>
      <w:rPr>
        <w:rFonts w:hint="default"/>
      </w:rPr>
    </w:lvl>
    <w:lvl w:ilvl="5" w:tplc="8D929F4E">
      <w:start w:val="1"/>
      <w:numFmt w:val="none"/>
      <w:lvlRestart w:val="0"/>
      <w:lvlText w:val=""/>
      <w:lvlJc w:val="left"/>
      <w:pPr>
        <w:ind w:left="1704" w:hanging="284"/>
      </w:pPr>
      <w:rPr>
        <w:rFonts w:hint="default"/>
      </w:rPr>
    </w:lvl>
    <w:lvl w:ilvl="6" w:tplc="D9B8F57C">
      <w:start w:val="1"/>
      <w:numFmt w:val="none"/>
      <w:lvlRestart w:val="0"/>
      <w:lvlText w:val=""/>
      <w:lvlJc w:val="left"/>
      <w:pPr>
        <w:ind w:left="1988" w:hanging="284"/>
      </w:pPr>
      <w:rPr>
        <w:rFonts w:hint="default"/>
      </w:rPr>
    </w:lvl>
    <w:lvl w:ilvl="7" w:tplc="2B78FC1C">
      <w:start w:val="1"/>
      <w:numFmt w:val="none"/>
      <w:lvlRestart w:val="0"/>
      <w:lvlText w:val=""/>
      <w:lvlJc w:val="left"/>
      <w:pPr>
        <w:ind w:left="2272" w:hanging="284"/>
      </w:pPr>
      <w:rPr>
        <w:rFonts w:hint="default"/>
      </w:rPr>
    </w:lvl>
    <w:lvl w:ilvl="8" w:tplc="7BE0ACAA">
      <w:start w:val="1"/>
      <w:numFmt w:val="none"/>
      <w:lvlRestart w:val="0"/>
      <w:lvlText w:val=""/>
      <w:lvlJc w:val="left"/>
      <w:pPr>
        <w:ind w:left="2556" w:hanging="284"/>
      </w:pPr>
      <w:rPr>
        <w:rFonts w:hint="default"/>
      </w:rPr>
    </w:lvl>
  </w:abstractNum>
  <w:abstractNum w:abstractNumId="105" w15:restartNumberingAfterBreak="0">
    <w:nsid w:val="7AA85F35"/>
    <w:multiLevelType w:val="hybridMultilevel"/>
    <w:tmpl w:val="656EAA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6" w15:restartNumberingAfterBreak="0">
    <w:nsid w:val="7ABF434A"/>
    <w:multiLevelType w:val="multilevel"/>
    <w:tmpl w:val="A31E1F0C"/>
    <w:lvl w:ilvl="0">
      <w:start w:val="1"/>
      <w:numFmt w:val="lowerRoman"/>
      <w:lvlText w:val="(%1)"/>
      <w:lvlJc w:val="left"/>
      <w:pPr>
        <w:tabs>
          <w:tab w:val="left" w:pos="720"/>
        </w:tabs>
      </w:pPr>
      <w:rPr>
        <w:rFonts w:ascii="Arial" w:eastAsia="Arial" w:hAnsi="Arial"/>
        <w:color w:val="000000"/>
        <w:spacing w:val="0"/>
        <w:w w:val="100"/>
        <w:sz w:val="20"/>
        <w:szCs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7B9D102E"/>
    <w:multiLevelType w:val="singleLevel"/>
    <w:tmpl w:val="0DD0592C"/>
    <w:name w:val="Background"/>
    <w:lvl w:ilvl="0">
      <w:start w:val="1"/>
      <w:numFmt w:val="upperLetter"/>
      <w:pStyle w:val="Background"/>
      <w:lvlText w:val="(%1)"/>
      <w:lvlJc w:val="left"/>
      <w:pPr>
        <w:tabs>
          <w:tab w:val="num" w:pos="851"/>
        </w:tabs>
        <w:ind w:left="851" w:hanging="851"/>
      </w:pPr>
    </w:lvl>
  </w:abstractNum>
  <w:abstractNum w:abstractNumId="108" w15:restartNumberingAfterBreak="0">
    <w:nsid w:val="7C384AAA"/>
    <w:multiLevelType w:val="multilevel"/>
    <w:tmpl w:val="BEAC3E98"/>
    <w:lvl w:ilvl="0">
      <w:start w:val="1"/>
      <w:numFmt w:val="decimal"/>
      <w:lvlText w:val="%1."/>
      <w:lvlJc w:val="left"/>
      <w:pPr>
        <w:ind w:left="432" w:hanging="432"/>
      </w:pPr>
      <w:rPr>
        <w:rFonts w:ascii="Arial" w:hAnsi="Arial" w:cs="Arial" w:hint="default"/>
        <w:b w:val="0"/>
        <w:i w:val="0"/>
        <w:sz w:val="20"/>
        <w:szCs w:val="20"/>
      </w:rPr>
    </w:lvl>
    <w:lvl w:ilvl="1">
      <w:start w:val="1"/>
      <w:numFmt w:val="decimal"/>
      <w:lvlText w:val="%1.%2"/>
      <w:lvlJc w:val="left"/>
      <w:pPr>
        <w:ind w:left="576" w:hanging="576"/>
      </w:pPr>
      <w:rPr>
        <w:rFonts w:ascii="Arial" w:hAnsi="Arial" w:cs="Arial" w:hint="default"/>
        <w:b w:val="0"/>
        <w:i w:val="0"/>
        <w:caps w:val="0"/>
        <w:strike w:val="0"/>
        <w:dstrike w:val="0"/>
        <w:vanish w:val="0"/>
        <w:sz w:val="20"/>
        <w:szCs w:val="18"/>
        <w:vertAlign w:val="baseline"/>
      </w:rPr>
    </w:lvl>
    <w:lvl w:ilvl="2">
      <w:start w:val="1"/>
      <w:numFmt w:val="decimal"/>
      <w:lvlText w:val="%1.%2.%3"/>
      <w:lvlJc w:val="left"/>
      <w:pPr>
        <w:ind w:left="1429"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9" w15:restartNumberingAfterBreak="0">
    <w:nsid w:val="7C966381"/>
    <w:multiLevelType w:val="multilevel"/>
    <w:tmpl w:val="DCC88062"/>
    <w:name w:val="NumPar"/>
    <w:lvl w:ilvl="0">
      <w:start w:val="1"/>
      <w:numFmt w:val="decimal"/>
      <w:lvlRestart w:val="0"/>
      <w:pStyle w:val="NumPar1"/>
      <w:lvlText w:val="%1."/>
      <w:lvlJc w:val="left"/>
      <w:pPr>
        <w:tabs>
          <w:tab w:val="num" w:pos="850"/>
        </w:tabs>
        <w:ind w:left="850" w:hanging="850"/>
      </w:pPr>
      <w:rPr>
        <w:rFonts w:cs="Times New Roman"/>
      </w:rPr>
    </w:lvl>
    <w:lvl w:ilvl="1">
      <w:start w:val="1"/>
      <w:numFmt w:val="decimal"/>
      <w:pStyle w:val="NumPar2"/>
      <w:lvlText w:val="%1.%2."/>
      <w:lvlJc w:val="left"/>
      <w:pPr>
        <w:tabs>
          <w:tab w:val="num" w:pos="850"/>
        </w:tabs>
        <w:ind w:left="850" w:hanging="850"/>
      </w:pPr>
      <w:rPr>
        <w:rFonts w:cs="Times New Roman"/>
      </w:rPr>
    </w:lvl>
    <w:lvl w:ilvl="2">
      <w:start w:val="1"/>
      <w:numFmt w:val="decimal"/>
      <w:pStyle w:val="NumPar3"/>
      <w:lvlText w:val="%1.%2.%3."/>
      <w:lvlJc w:val="left"/>
      <w:pPr>
        <w:tabs>
          <w:tab w:val="num" w:pos="850"/>
        </w:tabs>
        <w:ind w:left="850" w:hanging="850"/>
      </w:pPr>
      <w:rPr>
        <w:rFonts w:cs="Times New Roman"/>
      </w:rPr>
    </w:lvl>
    <w:lvl w:ilvl="3">
      <w:start w:val="1"/>
      <w:numFmt w:val="decimal"/>
      <w:pStyle w:val="NumPar4"/>
      <w:lvlText w:val="%1.%2.%3.%4."/>
      <w:lvlJc w:val="left"/>
      <w:pPr>
        <w:tabs>
          <w:tab w:val="num" w:pos="850"/>
        </w:tabs>
        <w:ind w:left="850" w:hanging="85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0" w15:restartNumberingAfterBreak="0">
    <w:nsid w:val="7D8820A0"/>
    <w:multiLevelType w:val="singleLevel"/>
    <w:tmpl w:val="54F6C7B4"/>
    <w:name w:val="List Dash 4"/>
    <w:lvl w:ilvl="0">
      <w:start w:val="1"/>
      <w:numFmt w:val="bullet"/>
      <w:lvlRestart w:val="0"/>
      <w:pStyle w:val="ListDash4"/>
      <w:lvlText w:val="–"/>
      <w:lvlJc w:val="left"/>
      <w:pPr>
        <w:tabs>
          <w:tab w:val="num" w:pos="1134"/>
        </w:tabs>
        <w:ind w:left="1134" w:hanging="283"/>
      </w:pPr>
      <w:rPr>
        <w:rFonts w:ascii="Times New Roman" w:hAnsi="Times New Roman"/>
      </w:rPr>
    </w:lvl>
  </w:abstractNum>
  <w:abstractNum w:abstractNumId="111" w15:restartNumberingAfterBreak="0">
    <w:nsid w:val="7E125375"/>
    <w:multiLevelType w:val="multilevel"/>
    <w:tmpl w:val="49384B64"/>
    <w:lvl w:ilvl="0">
      <w:start w:val="1"/>
      <w:numFmt w:val="upperLetter"/>
      <w:lvlText w:val="(%1)"/>
      <w:lvlJc w:val="left"/>
      <w:pPr>
        <w:tabs>
          <w:tab w:val="left" w:pos="792"/>
        </w:tabs>
      </w:pPr>
      <w:rPr>
        <w:rFonts w:ascii="Arial" w:eastAsia="Arial" w:hAnsi="Arial"/>
        <w:color w:val="000000"/>
        <w:spacing w:val="0"/>
        <w:w w:val="100"/>
        <w:sz w:val="20"/>
        <w:szCs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67277019">
    <w:abstractNumId w:val="77"/>
  </w:num>
  <w:num w:numId="2" w16cid:durableId="674262133">
    <w:abstractNumId w:val="69"/>
  </w:num>
  <w:num w:numId="3" w16cid:durableId="1441561126">
    <w:abstractNumId w:val="3"/>
  </w:num>
  <w:num w:numId="4" w16cid:durableId="429206330">
    <w:abstractNumId w:val="19"/>
  </w:num>
  <w:num w:numId="5" w16cid:durableId="16201616">
    <w:abstractNumId w:val="65"/>
  </w:num>
  <w:num w:numId="6" w16cid:durableId="1057751621">
    <w:abstractNumId w:val="20"/>
  </w:num>
  <w:num w:numId="7" w16cid:durableId="1216698808">
    <w:abstractNumId w:val="37"/>
  </w:num>
  <w:num w:numId="8" w16cid:durableId="9724439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10904358">
    <w:abstractNumId w:val="10"/>
  </w:num>
  <w:num w:numId="10" w16cid:durableId="927154342">
    <w:abstractNumId w:val="71"/>
  </w:num>
  <w:num w:numId="11" w16cid:durableId="1855612154">
    <w:abstractNumId w:val="42"/>
  </w:num>
  <w:num w:numId="12" w16cid:durableId="139469758">
    <w:abstractNumId w:val="90"/>
  </w:num>
  <w:num w:numId="13" w16cid:durableId="1498695300">
    <w:abstractNumId w:val="98"/>
  </w:num>
  <w:num w:numId="14" w16cid:durableId="1738016338">
    <w:abstractNumId w:val="54"/>
  </w:num>
  <w:num w:numId="15" w16cid:durableId="1088233531">
    <w:abstractNumId w:val="21"/>
  </w:num>
  <w:num w:numId="16" w16cid:durableId="1943222250">
    <w:abstractNumId w:val="111"/>
  </w:num>
  <w:num w:numId="17" w16cid:durableId="1780875555">
    <w:abstractNumId w:val="101"/>
  </w:num>
  <w:num w:numId="18" w16cid:durableId="503979914">
    <w:abstractNumId w:val="52"/>
  </w:num>
  <w:num w:numId="19" w16cid:durableId="1736855319">
    <w:abstractNumId w:val="56"/>
  </w:num>
  <w:num w:numId="20" w16cid:durableId="135028396">
    <w:abstractNumId w:val="73"/>
  </w:num>
  <w:num w:numId="21" w16cid:durableId="937908136">
    <w:abstractNumId w:val="46"/>
  </w:num>
  <w:num w:numId="22" w16cid:durableId="1231578314">
    <w:abstractNumId w:val="25"/>
  </w:num>
  <w:num w:numId="23" w16cid:durableId="316032292">
    <w:abstractNumId w:val="2"/>
  </w:num>
  <w:num w:numId="24" w16cid:durableId="1324503357">
    <w:abstractNumId w:val="64"/>
  </w:num>
  <w:num w:numId="25" w16cid:durableId="408696958">
    <w:abstractNumId w:val="75"/>
  </w:num>
  <w:num w:numId="26" w16cid:durableId="1516842484">
    <w:abstractNumId w:val="43"/>
  </w:num>
  <w:num w:numId="27" w16cid:durableId="930159635">
    <w:abstractNumId w:val="58"/>
  </w:num>
  <w:num w:numId="28" w16cid:durableId="1402021938">
    <w:abstractNumId w:val="107"/>
  </w:num>
  <w:num w:numId="29" w16cid:durableId="50858754">
    <w:abstractNumId w:val="47"/>
  </w:num>
  <w:num w:numId="30" w16cid:durableId="318387448">
    <w:abstractNumId w:val="22"/>
  </w:num>
  <w:num w:numId="31" w16cid:durableId="355892843">
    <w:abstractNumId w:val="27"/>
  </w:num>
  <w:num w:numId="32" w16cid:durableId="1236162677">
    <w:abstractNumId w:val="1"/>
  </w:num>
  <w:num w:numId="33" w16cid:durableId="1213611270">
    <w:abstractNumId w:val="72"/>
  </w:num>
  <w:num w:numId="34" w16cid:durableId="1911651546">
    <w:abstractNumId w:val="87"/>
  </w:num>
  <w:num w:numId="35" w16cid:durableId="104517917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6810263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4143411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4906013">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8187831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9911437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76848188">
    <w:abstractNumId w:val="104"/>
  </w:num>
  <w:num w:numId="42" w16cid:durableId="1150486469">
    <w:abstractNumId w:val="24"/>
  </w:num>
  <w:num w:numId="43" w16cid:durableId="115759983">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42076218">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376779240">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7568051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390544549">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93353107">
    <w:abstractNumId w:val="76"/>
  </w:num>
  <w:num w:numId="49" w16cid:durableId="2102868380">
    <w:abstractNumId w:val="32"/>
  </w:num>
  <w:num w:numId="50" w16cid:durableId="42222017">
    <w:abstractNumId w:val="106"/>
  </w:num>
  <w:num w:numId="51" w16cid:durableId="220555970">
    <w:abstractNumId w:val="94"/>
  </w:num>
  <w:num w:numId="52" w16cid:durableId="221647652">
    <w:abstractNumId w:val="12"/>
  </w:num>
  <w:num w:numId="53" w16cid:durableId="28381842">
    <w:abstractNumId w:val="50"/>
  </w:num>
  <w:num w:numId="54" w16cid:durableId="7840774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36139841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73063627">
    <w:abstractNumId w:val="80"/>
  </w:num>
  <w:num w:numId="57" w16cid:durableId="192788633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80060508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1127189">
    <w:abstractNumId w:val="15"/>
  </w:num>
  <w:num w:numId="60" w16cid:durableId="1490487388">
    <w:abstractNumId w:val="31"/>
  </w:num>
  <w:num w:numId="61" w16cid:durableId="2060669777">
    <w:abstractNumId w:val="70"/>
  </w:num>
  <w:num w:numId="62" w16cid:durableId="892228159">
    <w:abstractNumId w:val="13"/>
  </w:num>
  <w:num w:numId="63" w16cid:durableId="1814175123">
    <w:abstractNumId w:val="59"/>
  </w:num>
  <w:num w:numId="64" w16cid:durableId="1013918828">
    <w:abstractNumId w:val="103"/>
  </w:num>
  <w:num w:numId="65" w16cid:durableId="1372920446">
    <w:abstractNumId w:val="81"/>
  </w:num>
  <w:num w:numId="66" w16cid:durableId="1891453029">
    <w:abstractNumId w:val="30"/>
  </w:num>
  <w:num w:numId="67" w16cid:durableId="1635138232">
    <w:abstractNumId w:val="51"/>
  </w:num>
  <w:num w:numId="68" w16cid:durableId="1409695194">
    <w:abstractNumId w:val="40"/>
  </w:num>
  <w:num w:numId="69" w16cid:durableId="1185633499">
    <w:abstractNumId w:val="82"/>
  </w:num>
  <w:num w:numId="70" w16cid:durableId="360595078">
    <w:abstractNumId w:val="48"/>
  </w:num>
  <w:num w:numId="71" w16cid:durableId="1366905336">
    <w:abstractNumId w:val="97"/>
  </w:num>
  <w:num w:numId="72" w16cid:durableId="1984113200">
    <w:abstractNumId w:val="62"/>
  </w:num>
  <w:num w:numId="73" w16cid:durableId="1241990667">
    <w:abstractNumId w:val="8"/>
  </w:num>
  <w:num w:numId="74" w16cid:durableId="1689795444">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52644913">
    <w:abstractNumId w:val="9"/>
  </w:num>
  <w:num w:numId="76" w16cid:durableId="1100493216">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31427113">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283149709">
    <w:abstractNumId w:val="0"/>
  </w:num>
  <w:num w:numId="79" w16cid:durableId="197015862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080643515">
    <w:abstractNumId w:val="16"/>
  </w:num>
  <w:num w:numId="81" w16cid:durableId="415827526">
    <w:abstractNumId w:val="91"/>
  </w:num>
  <w:num w:numId="82" w16cid:durableId="644579257">
    <w:abstractNumId w:val="41"/>
  </w:num>
  <w:num w:numId="83" w16cid:durableId="420953764">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23851643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42496038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746878583">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560675404">
    <w:abstractNumId w:val="4"/>
  </w:num>
  <w:num w:numId="88" w16cid:durableId="1276474923">
    <w:abstractNumId w:val="86"/>
  </w:num>
  <w:num w:numId="89" w16cid:durableId="634527735">
    <w:abstractNumId w:val="35"/>
  </w:num>
  <w:num w:numId="90" w16cid:durableId="309485138">
    <w:abstractNumId w:val="89"/>
  </w:num>
  <w:num w:numId="91" w16cid:durableId="899290651">
    <w:abstractNumId w:val="95"/>
  </w:num>
  <w:num w:numId="92" w16cid:durableId="1532955655">
    <w:abstractNumId w:val="36"/>
  </w:num>
  <w:num w:numId="93" w16cid:durableId="662583280">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90788897">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21399233">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063825727">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518694325">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78376540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686178854">
    <w:abstractNumId w:val="17"/>
  </w:num>
  <w:num w:numId="100" w16cid:durableId="102574548">
    <w:abstractNumId w:val="18"/>
  </w:num>
  <w:num w:numId="101" w16cid:durableId="1682775731">
    <w:abstractNumId w:val="53"/>
  </w:num>
  <w:num w:numId="102" w16cid:durableId="1134904355">
    <w:abstractNumId w:val="38"/>
  </w:num>
  <w:num w:numId="103" w16cid:durableId="1220289477">
    <w:abstractNumId w:val="14"/>
  </w:num>
  <w:num w:numId="104" w16cid:durableId="690030065">
    <w:abstractNumId w:val="83"/>
  </w:num>
  <w:num w:numId="105" w16cid:durableId="1476069828">
    <w:abstractNumId w:val="39"/>
  </w:num>
  <w:num w:numId="106" w16cid:durableId="2761106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107" w16cid:durableId="1613319862">
    <w:abstractNumId w:val="44"/>
  </w:num>
  <w:num w:numId="108" w16cid:durableId="454061137">
    <w:abstractNumId w:val="74"/>
  </w:num>
  <w:num w:numId="109" w16cid:durableId="873730822">
    <w:abstractNumId w:val="49"/>
  </w:num>
  <w:num w:numId="110" w16cid:durableId="2055158224">
    <w:abstractNumId w:val="61"/>
  </w:num>
  <w:num w:numId="111" w16cid:durableId="1781995292">
    <w:abstractNumId w:val="67"/>
  </w:num>
  <w:num w:numId="112" w16cid:durableId="221448334">
    <w:abstractNumId w:val="109"/>
  </w:num>
  <w:num w:numId="113" w16cid:durableId="626155947">
    <w:abstractNumId w:val="92"/>
  </w:num>
  <w:num w:numId="114" w16cid:durableId="1463231979">
    <w:abstractNumId w:val="55"/>
  </w:num>
  <w:num w:numId="115" w16cid:durableId="1934239532">
    <w:abstractNumId w:val="88"/>
  </w:num>
  <w:num w:numId="116" w16cid:durableId="329524277">
    <w:abstractNumId w:val="78"/>
  </w:num>
  <w:num w:numId="117" w16cid:durableId="1009529253">
    <w:abstractNumId w:val="100"/>
  </w:num>
  <w:num w:numId="118" w16cid:durableId="32535146">
    <w:abstractNumId w:val="110"/>
  </w:num>
  <w:num w:numId="119" w16cid:durableId="2127850199">
    <w:abstractNumId w:val="102"/>
  </w:num>
  <w:num w:numId="120" w16cid:durableId="638650874">
    <w:abstractNumId w:val="84"/>
  </w:num>
  <w:num w:numId="121" w16cid:durableId="11054670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122" w16cid:durableId="15367672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123" w16cid:durableId="1153715335">
    <w:abstractNumId w:val="17"/>
    <w:lvlOverride w:ilvl="0">
      <w:startOverride w:val="1"/>
    </w:lvlOverride>
  </w:num>
  <w:num w:numId="124" w16cid:durableId="15958969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125" w16cid:durableId="567226465">
    <w:abstractNumId w:val="79"/>
  </w:num>
  <w:num w:numId="126" w16cid:durableId="1492789933">
    <w:abstractNumId w:val="45"/>
  </w:num>
  <w:num w:numId="127" w16cid:durableId="125640186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128" w16cid:durableId="1845047871">
    <w:abstractNumId w:val="7"/>
  </w:num>
  <w:num w:numId="129" w16cid:durableId="595867571">
    <w:abstractNumId w:val="96"/>
  </w:num>
  <w:num w:numId="130" w16cid:durableId="288703935">
    <w:abstractNumId w:val="105"/>
  </w:num>
  <w:num w:numId="131" w16cid:durableId="1524586699">
    <w:abstractNumId w:val="93"/>
  </w:num>
  <w:num w:numId="132" w16cid:durableId="1730111634">
    <w:abstractNumId w:val="63"/>
  </w:num>
  <w:num w:numId="133" w16cid:durableId="160159691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134" w16cid:durableId="717389773">
    <w:abstractNumId w:val="28"/>
  </w:num>
  <w:num w:numId="135" w16cid:durableId="1784304253">
    <w:abstractNumId w:val="33"/>
  </w:num>
  <w:num w:numId="136" w16cid:durableId="2259907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3583091">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289359581">
    <w:abstractNumId w:val="60"/>
  </w:num>
  <w:num w:numId="139" w16cid:durableId="7677556">
    <w:abstractNumId w:val="11"/>
  </w:num>
  <w:num w:numId="140" w16cid:durableId="1555001107">
    <w:abstractNumId w:val="108"/>
  </w:num>
  <w:num w:numId="141" w16cid:durableId="2033918927">
    <w:abstractNumId w:val="66"/>
  </w:num>
  <w:num w:numId="142" w16cid:durableId="659388574">
    <w:abstractNumId w:val="76"/>
    <w:lvlOverride w:ilvl="0">
      <w:startOverride w:val="1"/>
    </w:lvlOverride>
    <w:lvlOverride w:ilvl="1">
      <w:startOverride w:val="4"/>
    </w:lvlOverride>
  </w:num>
  <w:num w:numId="143" w16cid:durableId="1853958505">
    <w:abstractNumId w:val="23"/>
  </w:num>
  <w:num w:numId="144" w16cid:durableId="1794901369">
    <w:abstractNumId w:val="26"/>
  </w:num>
  <w:num w:numId="145" w16cid:durableId="1617522263">
    <w:abstractNumId w:val="34"/>
  </w:num>
  <w:num w:numId="146" w16cid:durableId="1379937466">
    <w:abstractNumId w:val="99"/>
  </w:num>
  <w:num w:numId="147" w16cid:durableId="485973358">
    <w:abstractNumId w:val="57"/>
  </w:num>
  <w:num w:numId="148" w16cid:durableId="1756323616">
    <w:abstractNumId w:val="76"/>
  </w:num>
  <w:num w:numId="149" w16cid:durableId="886725204">
    <w:abstractNumId w:val="29"/>
  </w:num>
  <w:num w:numId="150" w16cid:durableId="879318499">
    <w:abstractNumId w:val="85"/>
  </w:num>
  <w:num w:numId="151" w16cid:durableId="144972231">
    <w:abstractNumId w:val="68"/>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3_TOC_c_1" w:val="&lt;TOC Type=&quot;0&quot;&gt;&lt;Name&gt;50157452-41ac-4876-8130-e14dc3f60316&lt;/Name&gt;&lt;UseHyperlink&gt;True&lt;/UseHyperlink&gt;&lt;PageAlignment&gt;True&lt;/PageAlignment&gt;&lt;KeepDirectFormatting&gt;True&lt;/KeepDirectFormatting&gt;&lt;KeepTabChars&gt;False&lt;/KeepTabChars&gt;&lt;KeepNewlineChars&gt;False&lt;/KeepNewlineChars&gt;&lt;IncludeLabelAndNumber&gt;True&lt;/IncludeLabelAndNumber&gt;&lt;IncludePageNumber&gt;True&lt;/IncludePageNumber&gt;&lt;Levels&gt;&lt;Level ID=&quot;1&quot; IncludePageNumber=&quot;TRUE&quot;&gt;&lt;Styles&gt;&lt;Style&gt;Appendix Title&lt;/Style&gt;&lt;Style&gt;Heading 1&lt;/Style&gt;&lt;Style&gt;Schedule Title&lt;/Style&gt;&lt;/Styles&gt;&lt;Format Value=&quot;BA&quot; /&gt;&lt;Type Value=&quot;Whole Paragraph&quot; /&gt;&lt;TabLeader&gt;Dots&lt;/TabLeader&gt;&lt;/Level&gt;&lt;Level ID=&quot;2&quot; IncludePageNumber=&quot;TRUE&quot;&gt;&lt;Styles&gt;&lt;Style&gt;Appendix Sub Title&lt;/Style&gt;&lt;Style&gt;Schedule Subheading&lt;/Style&gt;&lt;/Styles&gt;&lt;Format Value=&quot;B&quot; /&gt;&lt;Type Value=&quot;Whole Paragraph&quot; /&gt;&lt;TabLeader&gt;Dots&lt;/TabLeader&gt;&lt;/Level&gt;&lt;/Levels&gt;&lt;SectionProperties xmlns:xsi=&quot;http://www.w3.org/2001/XMLSchema-instance&quot; xmlns:xsd=&quot;http://www.w3.org/2001/XMLSchema&quot;&gt;&lt;MarginTop&gt;2.5399999618530273&lt;/MarginTop&gt;&lt;MarginLeft&gt;2.5399999618530273&lt;/MarginLeft&gt;&lt;MarginRight&gt;2.5399999618530273&lt;/MarginRight&gt;&lt;MarginBottom&gt;2.5399999618530273&lt;/MarginBottom&gt;&lt;IncludeSection&gt;false&lt;/IncludeSection&gt;&lt;DifferentFirstPage&gt;true&lt;/DifferentFirstPage&gt;&lt;PageTitleText&gt;Table of Contents&lt;/PageTitleText&gt;&lt;InheritSectionProperties&gt;false&lt;/InheritSectionProperties&gt;&lt;NumberTitleText&gt;Page&lt;/NumberTitleText&gt;&lt;SecondaryTitleText&gt;Table of Contents (continued)&lt;/SecondaryTitleText&gt;&lt;SecondaryNumberTitleText&gt;Page&lt;/SecondaryNumberTitleText&gt;&lt;ContinuePageNumberFromPrevious&gt;false&lt;/ContinuePageNumberFromPrevious&gt;&lt;TitleStyle&gt;Normal&lt;/TitleStyle&gt;&lt;PageNumberPrefix /&gt;&lt;PageNumberStyle&gt;roman&lt;/PageNumberStyle&gt;&lt;PageNumberSuffix /&gt;&lt;PageNumberAlignment&gt;wdAlignPageNumberCenter&lt;/PageNumberAlignment&gt;&lt;ColumnCount&gt;1&lt;/ColumnCount&gt;&lt;TabLeader&gt;wdTabLeaderDots&lt;/TabLeader&gt;&lt;TabLeaderSelected&gt;false&lt;/TabLeaderSelected&gt;&lt;TabLeaderOverridenByLevels&gt;false&lt;/TabLeaderOverridenByLevels&gt;&lt;TurnOffSameAsPreviousForNextSection&gt;false&lt;/TurnOffSameAsPreviousForNextSection&gt;&lt;/SectionProperties&gt;&lt;/TOC&gt;"/>
  </w:docVars>
  <w:rsids>
    <w:rsidRoot w:val="0048699F"/>
    <w:rsid w:val="000007D8"/>
    <w:rsid w:val="0000666E"/>
    <w:rsid w:val="00006C6D"/>
    <w:rsid w:val="0001172D"/>
    <w:rsid w:val="00012FAB"/>
    <w:rsid w:val="00013915"/>
    <w:rsid w:val="00013CF2"/>
    <w:rsid w:val="000159CE"/>
    <w:rsid w:val="000215EE"/>
    <w:rsid w:val="00022037"/>
    <w:rsid w:val="00023DAA"/>
    <w:rsid w:val="00023EC9"/>
    <w:rsid w:val="000242A2"/>
    <w:rsid w:val="00024B63"/>
    <w:rsid w:val="00030361"/>
    <w:rsid w:val="00033F28"/>
    <w:rsid w:val="00034C32"/>
    <w:rsid w:val="00037297"/>
    <w:rsid w:val="00040981"/>
    <w:rsid w:val="00042406"/>
    <w:rsid w:val="00043505"/>
    <w:rsid w:val="00045104"/>
    <w:rsid w:val="0004552F"/>
    <w:rsid w:val="00047580"/>
    <w:rsid w:val="00047747"/>
    <w:rsid w:val="00054803"/>
    <w:rsid w:val="000549F2"/>
    <w:rsid w:val="00054B03"/>
    <w:rsid w:val="00056E0D"/>
    <w:rsid w:val="000578A4"/>
    <w:rsid w:val="00060253"/>
    <w:rsid w:val="00062264"/>
    <w:rsid w:val="00062DFD"/>
    <w:rsid w:val="00065A77"/>
    <w:rsid w:val="000706DD"/>
    <w:rsid w:val="00070A24"/>
    <w:rsid w:val="000712DC"/>
    <w:rsid w:val="0007130A"/>
    <w:rsid w:val="00073BE5"/>
    <w:rsid w:val="00077747"/>
    <w:rsid w:val="00080D87"/>
    <w:rsid w:val="00081EE9"/>
    <w:rsid w:val="00082347"/>
    <w:rsid w:val="0008251A"/>
    <w:rsid w:val="00085C44"/>
    <w:rsid w:val="00086284"/>
    <w:rsid w:val="000904C0"/>
    <w:rsid w:val="00090815"/>
    <w:rsid w:val="00093B7E"/>
    <w:rsid w:val="00093E9E"/>
    <w:rsid w:val="000946A7"/>
    <w:rsid w:val="00094FBC"/>
    <w:rsid w:val="00095712"/>
    <w:rsid w:val="00095EF3"/>
    <w:rsid w:val="00096AFE"/>
    <w:rsid w:val="000A0D2F"/>
    <w:rsid w:val="000A18F3"/>
    <w:rsid w:val="000A1C2E"/>
    <w:rsid w:val="000A1FAE"/>
    <w:rsid w:val="000A51F6"/>
    <w:rsid w:val="000A5629"/>
    <w:rsid w:val="000A57D3"/>
    <w:rsid w:val="000A6817"/>
    <w:rsid w:val="000B12AA"/>
    <w:rsid w:val="000B403F"/>
    <w:rsid w:val="000B582F"/>
    <w:rsid w:val="000B7A4E"/>
    <w:rsid w:val="000C03E2"/>
    <w:rsid w:val="000C0841"/>
    <w:rsid w:val="000C0C88"/>
    <w:rsid w:val="000C1550"/>
    <w:rsid w:val="000C410F"/>
    <w:rsid w:val="000C4247"/>
    <w:rsid w:val="000C5291"/>
    <w:rsid w:val="000C5771"/>
    <w:rsid w:val="000C649C"/>
    <w:rsid w:val="000C7BE3"/>
    <w:rsid w:val="000D0C35"/>
    <w:rsid w:val="000D1ECD"/>
    <w:rsid w:val="000D3ED2"/>
    <w:rsid w:val="000D476B"/>
    <w:rsid w:val="000D5E09"/>
    <w:rsid w:val="000D5E82"/>
    <w:rsid w:val="000D76A2"/>
    <w:rsid w:val="000E0F00"/>
    <w:rsid w:val="000E144B"/>
    <w:rsid w:val="000E1A80"/>
    <w:rsid w:val="000E3037"/>
    <w:rsid w:val="000E5259"/>
    <w:rsid w:val="000E5786"/>
    <w:rsid w:val="000E6C6F"/>
    <w:rsid w:val="000E6FD9"/>
    <w:rsid w:val="000E7302"/>
    <w:rsid w:val="000F66AC"/>
    <w:rsid w:val="0010109B"/>
    <w:rsid w:val="001030D2"/>
    <w:rsid w:val="00103C07"/>
    <w:rsid w:val="00103CCE"/>
    <w:rsid w:val="00103F01"/>
    <w:rsid w:val="00106610"/>
    <w:rsid w:val="00110225"/>
    <w:rsid w:val="00111933"/>
    <w:rsid w:val="00114BE7"/>
    <w:rsid w:val="001173CC"/>
    <w:rsid w:val="00120E40"/>
    <w:rsid w:val="00122598"/>
    <w:rsid w:val="001225B2"/>
    <w:rsid w:val="001236BB"/>
    <w:rsid w:val="001245A0"/>
    <w:rsid w:val="0012582E"/>
    <w:rsid w:val="00125895"/>
    <w:rsid w:val="00126A1D"/>
    <w:rsid w:val="00127388"/>
    <w:rsid w:val="00127683"/>
    <w:rsid w:val="001278F1"/>
    <w:rsid w:val="00132B65"/>
    <w:rsid w:val="00132E53"/>
    <w:rsid w:val="00133BF6"/>
    <w:rsid w:val="00133CFE"/>
    <w:rsid w:val="001342E2"/>
    <w:rsid w:val="00134EAD"/>
    <w:rsid w:val="0013607D"/>
    <w:rsid w:val="0013640B"/>
    <w:rsid w:val="00137BAA"/>
    <w:rsid w:val="00142750"/>
    <w:rsid w:val="0014616D"/>
    <w:rsid w:val="001478E8"/>
    <w:rsid w:val="001478FD"/>
    <w:rsid w:val="00147DDE"/>
    <w:rsid w:val="00151251"/>
    <w:rsid w:val="00154905"/>
    <w:rsid w:val="00161D0D"/>
    <w:rsid w:val="0016243B"/>
    <w:rsid w:val="00163F08"/>
    <w:rsid w:val="001642E3"/>
    <w:rsid w:val="00164DCB"/>
    <w:rsid w:val="001660DA"/>
    <w:rsid w:val="0016730A"/>
    <w:rsid w:val="001678A2"/>
    <w:rsid w:val="00171678"/>
    <w:rsid w:val="0017430E"/>
    <w:rsid w:val="001804AD"/>
    <w:rsid w:val="00181963"/>
    <w:rsid w:val="00181D0C"/>
    <w:rsid w:val="00182C80"/>
    <w:rsid w:val="00185590"/>
    <w:rsid w:val="0018631C"/>
    <w:rsid w:val="0019388C"/>
    <w:rsid w:val="0019477A"/>
    <w:rsid w:val="0019481B"/>
    <w:rsid w:val="001A7FA6"/>
    <w:rsid w:val="001B00E1"/>
    <w:rsid w:val="001B0207"/>
    <w:rsid w:val="001B4995"/>
    <w:rsid w:val="001B4BB4"/>
    <w:rsid w:val="001B524F"/>
    <w:rsid w:val="001B5F04"/>
    <w:rsid w:val="001B650D"/>
    <w:rsid w:val="001B6F8D"/>
    <w:rsid w:val="001C0364"/>
    <w:rsid w:val="001C09B5"/>
    <w:rsid w:val="001C0C4C"/>
    <w:rsid w:val="001C3271"/>
    <w:rsid w:val="001C3B85"/>
    <w:rsid w:val="001C41A1"/>
    <w:rsid w:val="001C4476"/>
    <w:rsid w:val="001D1EA8"/>
    <w:rsid w:val="001D2593"/>
    <w:rsid w:val="001D2785"/>
    <w:rsid w:val="001D3774"/>
    <w:rsid w:val="001D3857"/>
    <w:rsid w:val="001D3CA7"/>
    <w:rsid w:val="001D6D27"/>
    <w:rsid w:val="001E05F2"/>
    <w:rsid w:val="001E239A"/>
    <w:rsid w:val="001E2798"/>
    <w:rsid w:val="001E296F"/>
    <w:rsid w:val="001E2B48"/>
    <w:rsid w:val="001E2BD3"/>
    <w:rsid w:val="001E4ABE"/>
    <w:rsid w:val="001E6E0A"/>
    <w:rsid w:val="001E7D8A"/>
    <w:rsid w:val="001F0877"/>
    <w:rsid w:val="001F18D8"/>
    <w:rsid w:val="001F1C19"/>
    <w:rsid w:val="001F2919"/>
    <w:rsid w:val="001F57C1"/>
    <w:rsid w:val="001F615B"/>
    <w:rsid w:val="00202BCF"/>
    <w:rsid w:val="0020439C"/>
    <w:rsid w:val="00204407"/>
    <w:rsid w:val="002053FB"/>
    <w:rsid w:val="002056AA"/>
    <w:rsid w:val="002103C3"/>
    <w:rsid w:val="0021120A"/>
    <w:rsid w:val="00213050"/>
    <w:rsid w:val="00213A32"/>
    <w:rsid w:val="0021574B"/>
    <w:rsid w:val="00216E8D"/>
    <w:rsid w:val="00217EEE"/>
    <w:rsid w:val="0022301F"/>
    <w:rsid w:val="002230F2"/>
    <w:rsid w:val="00225A03"/>
    <w:rsid w:val="002264A6"/>
    <w:rsid w:val="0023047C"/>
    <w:rsid w:val="00230D2B"/>
    <w:rsid w:val="002325FC"/>
    <w:rsid w:val="0023281D"/>
    <w:rsid w:val="00232C9A"/>
    <w:rsid w:val="002343A3"/>
    <w:rsid w:val="00236BBC"/>
    <w:rsid w:val="00240CF8"/>
    <w:rsid w:val="00244F65"/>
    <w:rsid w:val="002450CE"/>
    <w:rsid w:val="0025168C"/>
    <w:rsid w:val="002523A8"/>
    <w:rsid w:val="002529F3"/>
    <w:rsid w:val="00252B90"/>
    <w:rsid w:val="002556DB"/>
    <w:rsid w:val="00255B75"/>
    <w:rsid w:val="00257501"/>
    <w:rsid w:val="00257E09"/>
    <w:rsid w:val="00257E5E"/>
    <w:rsid w:val="00261967"/>
    <w:rsid w:val="00263BAD"/>
    <w:rsid w:val="002647B0"/>
    <w:rsid w:val="002650FA"/>
    <w:rsid w:val="0026522A"/>
    <w:rsid w:val="002701EF"/>
    <w:rsid w:val="00270804"/>
    <w:rsid w:val="00271228"/>
    <w:rsid w:val="00271501"/>
    <w:rsid w:val="00271517"/>
    <w:rsid w:val="00274A8F"/>
    <w:rsid w:val="00275E2E"/>
    <w:rsid w:val="0027602E"/>
    <w:rsid w:val="00276500"/>
    <w:rsid w:val="0028050A"/>
    <w:rsid w:val="00280AD8"/>
    <w:rsid w:val="00283998"/>
    <w:rsid w:val="00285241"/>
    <w:rsid w:val="00287A66"/>
    <w:rsid w:val="00291CD4"/>
    <w:rsid w:val="00292AC9"/>
    <w:rsid w:val="002A36D6"/>
    <w:rsid w:val="002A43AB"/>
    <w:rsid w:val="002A4A2C"/>
    <w:rsid w:val="002A5E75"/>
    <w:rsid w:val="002B2490"/>
    <w:rsid w:val="002B25A8"/>
    <w:rsid w:val="002B44C4"/>
    <w:rsid w:val="002B624A"/>
    <w:rsid w:val="002B67C3"/>
    <w:rsid w:val="002B67D0"/>
    <w:rsid w:val="002C0B8D"/>
    <w:rsid w:val="002C0DAE"/>
    <w:rsid w:val="002C0E43"/>
    <w:rsid w:val="002C13FA"/>
    <w:rsid w:val="002C304E"/>
    <w:rsid w:val="002C454F"/>
    <w:rsid w:val="002C45D8"/>
    <w:rsid w:val="002C59F5"/>
    <w:rsid w:val="002C5C17"/>
    <w:rsid w:val="002C7090"/>
    <w:rsid w:val="002C77C7"/>
    <w:rsid w:val="002D0282"/>
    <w:rsid w:val="002D2B9A"/>
    <w:rsid w:val="002D5245"/>
    <w:rsid w:val="002D5FAF"/>
    <w:rsid w:val="002D62FF"/>
    <w:rsid w:val="002D650C"/>
    <w:rsid w:val="002D74B3"/>
    <w:rsid w:val="002E06FF"/>
    <w:rsid w:val="002E09BE"/>
    <w:rsid w:val="002E3BC1"/>
    <w:rsid w:val="002E6184"/>
    <w:rsid w:val="002E618C"/>
    <w:rsid w:val="002F050F"/>
    <w:rsid w:val="002F75A1"/>
    <w:rsid w:val="00300CBA"/>
    <w:rsid w:val="00304D58"/>
    <w:rsid w:val="00306252"/>
    <w:rsid w:val="003116A5"/>
    <w:rsid w:val="0031310D"/>
    <w:rsid w:val="0031398C"/>
    <w:rsid w:val="00315502"/>
    <w:rsid w:val="00315EBA"/>
    <w:rsid w:val="00317823"/>
    <w:rsid w:val="00317C45"/>
    <w:rsid w:val="00320D5E"/>
    <w:rsid w:val="00321E69"/>
    <w:rsid w:val="00323050"/>
    <w:rsid w:val="0032354C"/>
    <w:rsid w:val="003254EB"/>
    <w:rsid w:val="003255AF"/>
    <w:rsid w:val="003259FB"/>
    <w:rsid w:val="00325E3C"/>
    <w:rsid w:val="00327380"/>
    <w:rsid w:val="0033469D"/>
    <w:rsid w:val="00335AF6"/>
    <w:rsid w:val="00336D91"/>
    <w:rsid w:val="003403E0"/>
    <w:rsid w:val="0034189D"/>
    <w:rsid w:val="003436D1"/>
    <w:rsid w:val="00345611"/>
    <w:rsid w:val="003461E4"/>
    <w:rsid w:val="00346A37"/>
    <w:rsid w:val="00350C6E"/>
    <w:rsid w:val="00352C9E"/>
    <w:rsid w:val="0035413B"/>
    <w:rsid w:val="0035470A"/>
    <w:rsid w:val="003550D6"/>
    <w:rsid w:val="003564A5"/>
    <w:rsid w:val="003623C9"/>
    <w:rsid w:val="00363D09"/>
    <w:rsid w:val="003646D7"/>
    <w:rsid w:val="00365ABF"/>
    <w:rsid w:val="003668D4"/>
    <w:rsid w:val="00370CF2"/>
    <w:rsid w:val="0037149A"/>
    <w:rsid w:val="00372EC0"/>
    <w:rsid w:val="00374B18"/>
    <w:rsid w:val="00376892"/>
    <w:rsid w:val="0037736A"/>
    <w:rsid w:val="00377761"/>
    <w:rsid w:val="00380763"/>
    <w:rsid w:val="0038196E"/>
    <w:rsid w:val="00382955"/>
    <w:rsid w:val="00383D75"/>
    <w:rsid w:val="00386875"/>
    <w:rsid w:val="003875EE"/>
    <w:rsid w:val="0039011B"/>
    <w:rsid w:val="003917F1"/>
    <w:rsid w:val="003920AB"/>
    <w:rsid w:val="003962E5"/>
    <w:rsid w:val="003A0664"/>
    <w:rsid w:val="003A1F60"/>
    <w:rsid w:val="003A301E"/>
    <w:rsid w:val="003A30C9"/>
    <w:rsid w:val="003A3B70"/>
    <w:rsid w:val="003A4F52"/>
    <w:rsid w:val="003A7A24"/>
    <w:rsid w:val="003A7E14"/>
    <w:rsid w:val="003B165C"/>
    <w:rsid w:val="003B3007"/>
    <w:rsid w:val="003B453C"/>
    <w:rsid w:val="003B4F7B"/>
    <w:rsid w:val="003B5112"/>
    <w:rsid w:val="003B6EFB"/>
    <w:rsid w:val="003C0665"/>
    <w:rsid w:val="003C1D21"/>
    <w:rsid w:val="003C5CE8"/>
    <w:rsid w:val="003D07D5"/>
    <w:rsid w:val="003D4F57"/>
    <w:rsid w:val="003D6A24"/>
    <w:rsid w:val="003D6B55"/>
    <w:rsid w:val="003E0F08"/>
    <w:rsid w:val="003E156C"/>
    <w:rsid w:val="003E2248"/>
    <w:rsid w:val="003E2FE6"/>
    <w:rsid w:val="003E390C"/>
    <w:rsid w:val="003E5446"/>
    <w:rsid w:val="003E5D7E"/>
    <w:rsid w:val="003E63A5"/>
    <w:rsid w:val="003E73E8"/>
    <w:rsid w:val="003E7ACB"/>
    <w:rsid w:val="003E7F41"/>
    <w:rsid w:val="003F0B4D"/>
    <w:rsid w:val="003F383C"/>
    <w:rsid w:val="003F50A7"/>
    <w:rsid w:val="003F79E0"/>
    <w:rsid w:val="0040674B"/>
    <w:rsid w:val="00406C70"/>
    <w:rsid w:val="00407A01"/>
    <w:rsid w:val="004113D7"/>
    <w:rsid w:val="00413170"/>
    <w:rsid w:val="0041573B"/>
    <w:rsid w:val="004201B9"/>
    <w:rsid w:val="00420208"/>
    <w:rsid w:val="004213A5"/>
    <w:rsid w:val="004242E1"/>
    <w:rsid w:val="00424A67"/>
    <w:rsid w:val="00425163"/>
    <w:rsid w:val="004262CE"/>
    <w:rsid w:val="00431A1D"/>
    <w:rsid w:val="0043209F"/>
    <w:rsid w:val="00432757"/>
    <w:rsid w:val="00432F00"/>
    <w:rsid w:val="004331FF"/>
    <w:rsid w:val="004356D9"/>
    <w:rsid w:val="0043714C"/>
    <w:rsid w:val="0044343F"/>
    <w:rsid w:val="004456D1"/>
    <w:rsid w:val="004467B1"/>
    <w:rsid w:val="0045083D"/>
    <w:rsid w:val="00452A59"/>
    <w:rsid w:val="00452E20"/>
    <w:rsid w:val="004530B6"/>
    <w:rsid w:val="004531F3"/>
    <w:rsid w:val="00454E1A"/>
    <w:rsid w:val="004551A1"/>
    <w:rsid w:val="004554F4"/>
    <w:rsid w:val="00461C10"/>
    <w:rsid w:val="00470602"/>
    <w:rsid w:val="00470766"/>
    <w:rsid w:val="00474565"/>
    <w:rsid w:val="00476A6C"/>
    <w:rsid w:val="00480FAE"/>
    <w:rsid w:val="004813D0"/>
    <w:rsid w:val="00482B6F"/>
    <w:rsid w:val="00484CE8"/>
    <w:rsid w:val="004852EC"/>
    <w:rsid w:val="0048699F"/>
    <w:rsid w:val="0049129B"/>
    <w:rsid w:val="004912BF"/>
    <w:rsid w:val="00491343"/>
    <w:rsid w:val="004921CF"/>
    <w:rsid w:val="00492519"/>
    <w:rsid w:val="0049278A"/>
    <w:rsid w:val="00493D55"/>
    <w:rsid w:val="00494476"/>
    <w:rsid w:val="0049465D"/>
    <w:rsid w:val="00495CFE"/>
    <w:rsid w:val="00495E08"/>
    <w:rsid w:val="0049652E"/>
    <w:rsid w:val="00496676"/>
    <w:rsid w:val="00496FD6"/>
    <w:rsid w:val="0049789B"/>
    <w:rsid w:val="004A0866"/>
    <w:rsid w:val="004A6AE7"/>
    <w:rsid w:val="004B084A"/>
    <w:rsid w:val="004B1777"/>
    <w:rsid w:val="004B3C13"/>
    <w:rsid w:val="004B457B"/>
    <w:rsid w:val="004B5CC1"/>
    <w:rsid w:val="004C05D5"/>
    <w:rsid w:val="004C09DF"/>
    <w:rsid w:val="004C127E"/>
    <w:rsid w:val="004C3F66"/>
    <w:rsid w:val="004C62F2"/>
    <w:rsid w:val="004C70DA"/>
    <w:rsid w:val="004D25D8"/>
    <w:rsid w:val="004D2C1E"/>
    <w:rsid w:val="004D6BBF"/>
    <w:rsid w:val="004D7A2D"/>
    <w:rsid w:val="004E0E6E"/>
    <w:rsid w:val="004E16EB"/>
    <w:rsid w:val="004E4088"/>
    <w:rsid w:val="004E415B"/>
    <w:rsid w:val="004E6F52"/>
    <w:rsid w:val="004E711C"/>
    <w:rsid w:val="004F27F7"/>
    <w:rsid w:val="004F6650"/>
    <w:rsid w:val="004F7838"/>
    <w:rsid w:val="00501185"/>
    <w:rsid w:val="00501F4B"/>
    <w:rsid w:val="00504196"/>
    <w:rsid w:val="00505324"/>
    <w:rsid w:val="005062FD"/>
    <w:rsid w:val="005121F4"/>
    <w:rsid w:val="00514C57"/>
    <w:rsid w:val="0051565F"/>
    <w:rsid w:val="00515950"/>
    <w:rsid w:val="00516009"/>
    <w:rsid w:val="00516C72"/>
    <w:rsid w:val="005207B7"/>
    <w:rsid w:val="00521DC3"/>
    <w:rsid w:val="00523F9E"/>
    <w:rsid w:val="005248A1"/>
    <w:rsid w:val="005271BA"/>
    <w:rsid w:val="005271EA"/>
    <w:rsid w:val="00530CA9"/>
    <w:rsid w:val="00532D64"/>
    <w:rsid w:val="005358B1"/>
    <w:rsid w:val="00536324"/>
    <w:rsid w:val="0053637C"/>
    <w:rsid w:val="005367D2"/>
    <w:rsid w:val="00536ED8"/>
    <w:rsid w:val="00537A4F"/>
    <w:rsid w:val="005404D2"/>
    <w:rsid w:val="00541592"/>
    <w:rsid w:val="00547D8A"/>
    <w:rsid w:val="00551FFC"/>
    <w:rsid w:val="00552EB2"/>
    <w:rsid w:val="00553EE8"/>
    <w:rsid w:val="00556507"/>
    <w:rsid w:val="00557A03"/>
    <w:rsid w:val="00561898"/>
    <w:rsid w:val="00561B57"/>
    <w:rsid w:val="00562600"/>
    <w:rsid w:val="00562923"/>
    <w:rsid w:val="00562FE7"/>
    <w:rsid w:val="0056388A"/>
    <w:rsid w:val="005639D2"/>
    <w:rsid w:val="0056596D"/>
    <w:rsid w:val="00571499"/>
    <w:rsid w:val="00571DEB"/>
    <w:rsid w:val="005725C3"/>
    <w:rsid w:val="005734B9"/>
    <w:rsid w:val="00573BE5"/>
    <w:rsid w:val="00574269"/>
    <w:rsid w:val="005764F9"/>
    <w:rsid w:val="005765B7"/>
    <w:rsid w:val="005770AD"/>
    <w:rsid w:val="00584BD1"/>
    <w:rsid w:val="00585369"/>
    <w:rsid w:val="0058576A"/>
    <w:rsid w:val="005858E2"/>
    <w:rsid w:val="00586CDE"/>
    <w:rsid w:val="00587084"/>
    <w:rsid w:val="00587665"/>
    <w:rsid w:val="00590BCF"/>
    <w:rsid w:val="00592C9C"/>
    <w:rsid w:val="005957A6"/>
    <w:rsid w:val="00596935"/>
    <w:rsid w:val="005A23EB"/>
    <w:rsid w:val="005A2A09"/>
    <w:rsid w:val="005B1411"/>
    <w:rsid w:val="005B1518"/>
    <w:rsid w:val="005B261C"/>
    <w:rsid w:val="005B399B"/>
    <w:rsid w:val="005B3EA7"/>
    <w:rsid w:val="005B41C9"/>
    <w:rsid w:val="005B43B5"/>
    <w:rsid w:val="005B5290"/>
    <w:rsid w:val="005B7DE9"/>
    <w:rsid w:val="005C3E76"/>
    <w:rsid w:val="005C6939"/>
    <w:rsid w:val="005D0A09"/>
    <w:rsid w:val="005D0A86"/>
    <w:rsid w:val="005D1570"/>
    <w:rsid w:val="005D1BFE"/>
    <w:rsid w:val="005D227B"/>
    <w:rsid w:val="005D24EF"/>
    <w:rsid w:val="005D360C"/>
    <w:rsid w:val="005D780F"/>
    <w:rsid w:val="005D7DDC"/>
    <w:rsid w:val="005E554D"/>
    <w:rsid w:val="005E780B"/>
    <w:rsid w:val="005E7BDC"/>
    <w:rsid w:val="005E7BF0"/>
    <w:rsid w:val="005F1FE2"/>
    <w:rsid w:val="005F3147"/>
    <w:rsid w:val="005F5EA7"/>
    <w:rsid w:val="005F62F4"/>
    <w:rsid w:val="005F6B33"/>
    <w:rsid w:val="00600299"/>
    <w:rsid w:val="006019ED"/>
    <w:rsid w:val="00602960"/>
    <w:rsid w:val="00602EB5"/>
    <w:rsid w:val="006031F8"/>
    <w:rsid w:val="00603831"/>
    <w:rsid w:val="006051AE"/>
    <w:rsid w:val="00613818"/>
    <w:rsid w:val="00613A6B"/>
    <w:rsid w:val="00615BF1"/>
    <w:rsid w:val="00615F94"/>
    <w:rsid w:val="00616168"/>
    <w:rsid w:val="00617E9A"/>
    <w:rsid w:val="00621992"/>
    <w:rsid w:val="00622CE0"/>
    <w:rsid w:val="0062332F"/>
    <w:rsid w:val="00623990"/>
    <w:rsid w:val="00623C41"/>
    <w:rsid w:val="006248E4"/>
    <w:rsid w:val="00625639"/>
    <w:rsid w:val="00630483"/>
    <w:rsid w:val="006324C0"/>
    <w:rsid w:val="00633D3E"/>
    <w:rsid w:val="00634E4A"/>
    <w:rsid w:val="006354DF"/>
    <w:rsid w:val="00644582"/>
    <w:rsid w:val="00651176"/>
    <w:rsid w:val="00653330"/>
    <w:rsid w:val="006551AA"/>
    <w:rsid w:val="0065553C"/>
    <w:rsid w:val="006573B2"/>
    <w:rsid w:val="00661C4F"/>
    <w:rsid w:val="00663612"/>
    <w:rsid w:val="0066384D"/>
    <w:rsid w:val="00663A6B"/>
    <w:rsid w:val="00666B85"/>
    <w:rsid w:val="00666E83"/>
    <w:rsid w:val="00667D41"/>
    <w:rsid w:val="006711D8"/>
    <w:rsid w:val="0067137C"/>
    <w:rsid w:val="00671E85"/>
    <w:rsid w:val="00672073"/>
    <w:rsid w:val="00672349"/>
    <w:rsid w:val="00672F99"/>
    <w:rsid w:val="0067499D"/>
    <w:rsid w:val="00674A01"/>
    <w:rsid w:val="0068088B"/>
    <w:rsid w:val="006821D0"/>
    <w:rsid w:val="00683D4B"/>
    <w:rsid w:val="00683EDB"/>
    <w:rsid w:val="006847B1"/>
    <w:rsid w:val="0068732B"/>
    <w:rsid w:val="006907DC"/>
    <w:rsid w:val="00691D07"/>
    <w:rsid w:val="00692947"/>
    <w:rsid w:val="006935D8"/>
    <w:rsid w:val="0069562D"/>
    <w:rsid w:val="00695B64"/>
    <w:rsid w:val="006967FF"/>
    <w:rsid w:val="006A0217"/>
    <w:rsid w:val="006A0602"/>
    <w:rsid w:val="006A1337"/>
    <w:rsid w:val="006A15F3"/>
    <w:rsid w:val="006A1A03"/>
    <w:rsid w:val="006A1FAB"/>
    <w:rsid w:val="006A21AE"/>
    <w:rsid w:val="006A40D8"/>
    <w:rsid w:val="006A429B"/>
    <w:rsid w:val="006A4941"/>
    <w:rsid w:val="006A571A"/>
    <w:rsid w:val="006A6B35"/>
    <w:rsid w:val="006A6B45"/>
    <w:rsid w:val="006B00E1"/>
    <w:rsid w:val="006B02B7"/>
    <w:rsid w:val="006B0412"/>
    <w:rsid w:val="006B0C32"/>
    <w:rsid w:val="006B1280"/>
    <w:rsid w:val="006B164D"/>
    <w:rsid w:val="006B46E4"/>
    <w:rsid w:val="006C2EDC"/>
    <w:rsid w:val="006C3329"/>
    <w:rsid w:val="006C539C"/>
    <w:rsid w:val="006D4540"/>
    <w:rsid w:val="006D526D"/>
    <w:rsid w:val="006D697B"/>
    <w:rsid w:val="006D7687"/>
    <w:rsid w:val="006E0235"/>
    <w:rsid w:val="006E2709"/>
    <w:rsid w:val="006E30EE"/>
    <w:rsid w:val="006E3C56"/>
    <w:rsid w:val="006E53BB"/>
    <w:rsid w:val="006E5C44"/>
    <w:rsid w:val="006E7142"/>
    <w:rsid w:val="006E7B8A"/>
    <w:rsid w:val="006E7CE2"/>
    <w:rsid w:val="006F1DD4"/>
    <w:rsid w:val="006F2D57"/>
    <w:rsid w:val="006F2E7C"/>
    <w:rsid w:val="006F3D60"/>
    <w:rsid w:val="006F547E"/>
    <w:rsid w:val="006F566A"/>
    <w:rsid w:val="00700B7F"/>
    <w:rsid w:val="00700C32"/>
    <w:rsid w:val="00701207"/>
    <w:rsid w:val="00701A9B"/>
    <w:rsid w:val="00706333"/>
    <w:rsid w:val="00710254"/>
    <w:rsid w:val="00710C1E"/>
    <w:rsid w:val="00711DAA"/>
    <w:rsid w:val="00712028"/>
    <w:rsid w:val="00713071"/>
    <w:rsid w:val="007132AF"/>
    <w:rsid w:val="00713C50"/>
    <w:rsid w:val="0071451C"/>
    <w:rsid w:val="007153EE"/>
    <w:rsid w:val="0071553C"/>
    <w:rsid w:val="007206C7"/>
    <w:rsid w:val="00726B13"/>
    <w:rsid w:val="00731F19"/>
    <w:rsid w:val="007341EE"/>
    <w:rsid w:val="00735203"/>
    <w:rsid w:val="0073593B"/>
    <w:rsid w:val="00735DBE"/>
    <w:rsid w:val="0073681F"/>
    <w:rsid w:val="00737BCC"/>
    <w:rsid w:val="00737C38"/>
    <w:rsid w:val="00737DB9"/>
    <w:rsid w:val="0074426B"/>
    <w:rsid w:val="00745B66"/>
    <w:rsid w:val="00751EA1"/>
    <w:rsid w:val="00753FDE"/>
    <w:rsid w:val="00754B5D"/>
    <w:rsid w:val="00755FC5"/>
    <w:rsid w:val="007568F4"/>
    <w:rsid w:val="0076293F"/>
    <w:rsid w:val="00764E8C"/>
    <w:rsid w:val="00765FDA"/>
    <w:rsid w:val="0076718F"/>
    <w:rsid w:val="00767C3E"/>
    <w:rsid w:val="0077029A"/>
    <w:rsid w:val="007720E3"/>
    <w:rsid w:val="0077273D"/>
    <w:rsid w:val="00772A38"/>
    <w:rsid w:val="0079122D"/>
    <w:rsid w:val="007936F2"/>
    <w:rsid w:val="00795263"/>
    <w:rsid w:val="0079550C"/>
    <w:rsid w:val="00795CF7"/>
    <w:rsid w:val="00797FBB"/>
    <w:rsid w:val="007A13EA"/>
    <w:rsid w:val="007A21E7"/>
    <w:rsid w:val="007A24E8"/>
    <w:rsid w:val="007A2555"/>
    <w:rsid w:val="007A2AA0"/>
    <w:rsid w:val="007A377C"/>
    <w:rsid w:val="007A3918"/>
    <w:rsid w:val="007A4BFF"/>
    <w:rsid w:val="007A7CB8"/>
    <w:rsid w:val="007B00B3"/>
    <w:rsid w:val="007B12F8"/>
    <w:rsid w:val="007B2315"/>
    <w:rsid w:val="007B5E2E"/>
    <w:rsid w:val="007C0699"/>
    <w:rsid w:val="007C27DC"/>
    <w:rsid w:val="007C4E72"/>
    <w:rsid w:val="007C5ABE"/>
    <w:rsid w:val="007D05DE"/>
    <w:rsid w:val="007D0A8E"/>
    <w:rsid w:val="007D2B07"/>
    <w:rsid w:val="007D2E63"/>
    <w:rsid w:val="007D30D2"/>
    <w:rsid w:val="007D3436"/>
    <w:rsid w:val="007D39B8"/>
    <w:rsid w:val="007D3C25"/>
    <w:rsid w:val="007D3C91"/>
    <w:rsid w:val="007D5279"/>
    <w:rsid w:val="007D585D"/>
    <w:rsid w:val="007D604F"/>
    <w:rsid w:val="007D6618"/>
    <w:rsid w:val="007D74C7"/>
    <w:rsid w:val="007D7B28"/>
    <w:rsid w:val="007E030A"/>
    <w:rsid w:val="007E0C3D"/>
    <w:rsid w:val="007E4240"/>
    <w:rsid w:val="007E5F40"/>
    <w:rsid w:val="007F046A"/>
    <w:rsid w:val="007F0FEA"/>
    <w:rsid w:val="007F1880"/>
    <w:rsid w:val="007F213D"/>
    <w:rsid w:val="007F294A"/>
    <w:rsid w:val="007F37E4"/>
    <w:rsid w:val="007F39D4"/>
    <w:rsid w:val="007F557E"/>
    <w:rsid w:val="007F6B00"/>
    <w:rsid w:val="00800CB0"/>
    <w:rsid w:val="008040FF"/>
    <w:rsid w:val="0080564D"/>
    <w:rsid w:val="00811148"/>
    <w:rsid w:val="0081293B"/>
    <w:rsid w:val="00815AC2"/>
    <w:rsid w:val="00815F75"/>
    <w:rsid w:val="00822819"/>
    <w:rsid w:val="00826F9B"/>
    <w:rsid w:val="0082754E"/>
    <w:rsid w:val="00831754"/>
    <w:rsid w:val="00833CF5"/>
    <w:rsid w:val="00834935"/>
    <w:rsid w:val="00834B73"/>
    <w:rsid w:val="00834C1A"/>
    <w:rsid w:val="00835B37"/>
    <w:rsid w:val="00836E75"/>
    <w:rsid w:val="008407F7"/>
    <w:rsid w:val="008422C1"/>
    <w:rsid w:val="00843E59"/>
    <w:rsid w:val="008441FB"/>
    <w:rsid w:val="0084440D"/>
    <w:rsid w:val="008446F2"/>
    <w:rsid w:val="0084527E"/>
    <w:rsid w:val="00846049"/>
    <w:rsid w:val="008462B3"/>
    <w:rsid w:val="00846D77"/>
    <w:rsid w:val="008473E5"/>
    <w:rsid w:val="008475F1"/>
    <w:rsid w:val="008477EC"/>
    <w:rsid w:val="00850747"/>
    <w:rsid w:val="008536D3"/>
    <w:rsid w:val="00853F6D"/>
    <w:rsid w:val="0085504C"/>
    <w:rsid w:val="00860EF3"/>
    <w:rsid w:val="00862DFA"/>
    <w:rsid w:val="00862F9A"/>
    <w:rsid w:val="0086389B"/>
    <w:rsid w:val="0086493F"/>
    <w:rsid w:val="00867F59"/>
    <w:rsid w:val="00872CD7"/>
    <w:rsid w:val="00876BC5"/>
    <w:rsid w:val="008834A7"/>
    <w:rsid w:val="00884FAA"/>
    <w:rsid w:val="008865C2"/>
    <w:rsid w:val="008916AA"/>
    <w:rsid w:val="008932E9"/>
    <w:rsid w:val="008949BE"/>
    <w:rsid w:val="008A520E"/>
    <w:rsid w:val="008A57E5"/>
    <w:rsid w:val="008A6938"/>
    <w:rsid w:val="008A7C81"/>
    <w:rsid w:val="008B0B17"/>
    <w:rsid w:val="008B31EB"/>
    <w:rsid w:val="008B38E6"/>
    <w:rsid w:val="008B6AF5"/>
    <w:rsid w:val="008B7C63"/>
    <w:rsid w:val="008C0E40"/>
    <w:rsid w:val="008C1924"/>
    <w:rsid w:val="008C2F11"/>
    <w:rsid w:val="008C57A8"/>
    <w:rsid w:val="008D0A4C"/>
    <w:rsid w:val="008D3984"/>
    <w:rsid w:val="008D3C77"/>
    <w:rsid w:val="008D4F23"/>
    <w:rsid w:val="008D5C76"/>
    <w:rsid w:val="008D5E98"/>
    <w:rsid w:val="008D7824"/>
    <w:rsid w:val="008D7B4D"/>
    <w:rsid w:val="008E014C"/>
    <w:rsid w:val="008E2809"/>
    <w:rsid w:val="008E48C5"/>
    <w:rsid w:val="008E57EE"/>
    <w:rsid w:val="008E71E8"/>
    <w:rsid w:val="008E72B1"/>
    <w:rsid w:val="008F0E11"/>
    <w:rsid w:val="008F11B6"/>
    <w:rsid w:val="008F5171"/>
    <w:rsid w:val="008F7B82"/>
    <w:rsid w:val="009040AD"/>
    <w:rsid w:val="00905B46"/>
    <w:rsid w:val="00906542"/>
    <w:rsid w:val="00906957"/>
    <w:rsid w:val="00906CD3"/>
    <w:rsid w:val="00915921"/>
    <w:rsid w:val="00915D5B"/>
    <w:rsid w:val="00916458"/>
    <w:rsid w:val="0092170C"/>
    <w:rsid w:val="00923975"/>
    <w:rsid w:val="0092438C"/>
    <w:rsid w:val="0092601E"/>
    <w:rsid w:val="0093144C"/>
    <w:rsid w:val="00932673"/>
    <w:rsid w:val="009351F4"/>
    <w:rsid w:val="00935C0C"/>
    <w:rsid w:val="0093601A"/>
    <w:rsid w:val="00937514"/>
    <w:rsid w:val="00937DDA"/>
    <w:rsid w:val="009402CF"/>
    <w:rsid w:val="00941A52"/>
    <w:rsid w:val="009429AB"/>
    <w:rsid w:val="00943674"/>
    <w:rsid w:val="00943D33"/>
    <w:rsid w:val="009451A2"/>
    <w:rsid w:val="009478C1"/>
    <w:rsid w:val="009504CD"/>
    <w:rsid w:val="009559E1"/>
    <w:rsid w:val="009560EA"/>
    <w:rsid w:val="0095745D"/>
    <w:rsid w:val="00960DD2"/>
    <w:rsid w:val="0097199F"/>
    <w:rsid w:val="00972322"/>
    <w:rsid w:val="009726DD"/>
    <w:rsid w:val="0097371F"/>
    <w:rsid w:val="00975ABA"/>
    <w:rsid w:val="009761E7"/>
    <w:rsid w:val="00976AF4"/>
    <w:rsid w:val="00976E29"/>
    <w:rsid w:val="00983054"/>
    <w:rsid w:val="00984608"/>
    <w:rsid w:val="0098655D"/>
    <w:rsid w:val="00986EF5"/>
    <w:rsid w:val="00990FE1"/>
    <w:rsid w:val="009917B5"/>
    <w:rsid w:val="009920AD"/>
    <w:rsid w:val="009920CE"/>
    <w:rsid w:val="009973B4"/>
    <w:rsid w:val="009A0E18"/>
    <w:rsid w:val="009A2964"/>
    <w:rsid w:val="009A45F4"/>
    <w:rsid w:val="009A6330"/>
    <w:rsid w:val="009B1A79"/>
    <w:rsid w:val="009B2669"/>
    <w:rsid w:val="009B40F2"/>
    <w:rsid w:val="009C120E"/>
    <w:rsid w:val="009C14F1"/>
    <w:rsid w:val="009C2E25"/>
    <w:rsid w:val="009C3480"/>
    <w:rsid w:val="009C4051"/>
    <w:rsid w:val="009C77E2"/>
    <w:rsid w:val="009D0525"/>
    <w:rsid w:val="009D1917"/>
    <w:rsid w:val="009D562D"/>
    <w:rsid w:val="009D5659"/>
    <w:rsid w:val="009D5C0B"/>
    <w:rsid w:val="009D5D75"/>
    <w:rsid w:val="009D5E6A"/>
    <w:rsid w:val="009D675B"/>
    <w:rsid w:val="009D6BAC"/>
    <w:rsid w:val="009E32D7"/>
    <w:rsid w:val="009E39CF"/>
    <w:rsid w:val="009E4EC2"/>
    <w:rsid w:val="009E5265"/>
    <w:rsid w:val="009E53E7"/>
    <w:rsid w:val="009E6C1E"/>
    <w:rsid w:val="009F2771"/>
    <w:rsid w:val="009F3579"/>
    <w:rsid w:val="009F4173"/>
    <w:rsid w:val="009F4581"/>
    <w:rsid w:val="009F5CC2"/>
    <w:rsid w:val="009F5E32"/>
    <w:rsid w:val="009F664D"/>
    <w:rsid w:val="009F6FDA"/>
    <w:rsid w:val="009F72B3"/>
    <w:rsid w:val="00A0223D"/>
    <w:rsid w:val="00A04604"/>
    <w:rsid w:val="00A05DA6"/>
    <w:rsid w:val="00A1196A"/>
    <w:rsid w:val="00A13C2E"/>
    <w:rsid w:val="00A16891"/>
    <w:rsid w:val="00A1756D"/>
    <w:rsid w:val="00A20CD5"/>
    <w:rsid w:val="00A21061"/>
    <w:rsid w:val="00A222DD"/>
    <w:rsid w:val="00A22716"/>
    <w:rsid w:val="00A23FF7"/>
    <w:rsid w:val="00A250AA"/>
    <w:rsid w:val="00A25C0A"/>
    <w:rsid w:val="00A2699E"/>
    <w:rsid w:val="00A35FA7"/>
    <w:rsid w:val="00A361BD"/>
    <w:rsid w:val="00A455FF"/>
    <w:rsid w:val="00A46600"/>
    <w:rsid w:val="00A47201"/>
    <w:rsid w:val="00A514E7"/>
    <w:rsid w:val="00A5425E"/>
    <w:rsid w:val="00A55F4E"/>
    <w:rsid w:val="00A60B0B"/>
    <w:rsid w:val="00A635D2"/>
    <w:rsid w:val="00A67920"/>
    <w:rsid w:val="00A70128"/>
    <w:rsid w:val="00A71820"/>
    <w:rsid w:val="00A71C07"/>
    <w:rsid w:val="00A71E74"/>
    <w:rsid w:val="00A72177"/>
    <w:rsid w:val="00A72689"/>
    <w:rsid w:val="00A73770"/>
    <w:rsid w:val="00A73DED"/>
    <w:rsid w:val="00A761A1"/>
    <w:rsid w:val="00A76BB1"/>
    <w:rsid w:val="00A77811"/>
    <w:rsid w:val="00A80A82"/>
    <w:rsid w:val="00A80BE8"/>
    <w:rsid w:val="00A84075"/>
    <w:rsid w:val="00A86742"/>
    <w:rsid w:val="00A86BA0"/>
    <w:rsid w:val="00A86E15"/>
    <w:rsid w:val="00A87D3D"/>
    <w:rsid w:val="00A90D8F"/>
    <w:rsid w:val="00A91E91"/>
    <w:rsid w:val="00A93BFA"/>
    <w:rsid w:val="00A94153"/>
    <w:rsid w:val="00A962C1"/>
    <w:rsid w:val="00A9697F"/>
    <w:rsid w:val="00A970BD"/>
    <w:rsid w:val="00A9780B"/>
    <w:rsid w:val="00AA06C8"/>
    <w:rsid w:val="00AA0CBC"/>
    <w:rsid w:val="00AA28B4"/>
    <w:rsid w:val="00AA5A16"/>
    <w:rsid w:val="00AA6011"/>
    <w:rsid w:val="00AA755C"/>
    <w:rsid w:val="00AA7EF5"/>
    <w:rsid w:val="00AB0CFD"/>
    <w:rsid w:val="00AB2D58"/>
    <w:rsid w:val="00AB3630"/>
    <w:rsid w:val="00AB36C1"/>
    <w:rsid w:val="00AB40FC"/>
    <w:rsid w:val="00AB56E0"/>
    <w:rsid w:val="00AB571D"/>
    <w:rsid w:val="00AB6180"/>
    <w:rsid w:val="00AB7588"/>
    <w:rsid w:val="00AB7A65"/>
    <w:rsid w:val="00AC026F"/>
    <w:rsid w:val="00AC352D"/>
    <w:rsid w:val="00AC4874"/>
    <w:rsid w:val="00AC7FA9"/>
    <w:rsid w:val="00AD1A62"/>
    <w:rsid w:val="00AD395C"/>
    <w:rsid w:val="00AD4BC9"/>
    <w:rsid w:val="00AD5898"/>
    <w:rsid w:val="00AE0334"/>
    <w:rsid w:val="00AE2006"/>
    <w:rsid w:val="00AF02D5"/>
    <w:rsid w:val="00AF28CF"/>
    <w:rsid w:val="00AF2B9F"/>
    <w:rsid w:val="00AF3459"/>
    <w:rsid w:val="00AF3DC1"/>
    <w:rsid w:val="00B005D6"/>
    <w:rsid w:val="00B00D47"/>
    <w:rsid w:val="00B00D77"/>
    <w:rsid w:val="00B11BE8"/>
    <w:rsid w:val="00B11D3F"/>
    <w:rsid w:val="00B12901"/>
    <w:rsid w:val="00B140E3"/>
    <w:rsid w:val="00B15060"/>
    <w:rsid w:val="00B16A46"/>
    <w:rsid w:val="00B22F2A"/>
    <w:rsid w:val="00B26500"/>
    <w:rsid w:val="00B26A5F"/>
    <w:rsid w:val="00B27232"/>
    <w:rsid w:val="00B27F59"/>
    <w:rsid w:val="00B315C9"/>
    <w:rsid w:val="00B363F1"/>
    <w:rsid w:val="00B3689C"/>
    <w:rsid w:val="00B37097"/>
    <w:rsid w:val="00B372F0"/>
    <w:rsid w:val="00B37DD8"/>
    <w:rsid w:val="00B4271A"/>
    <w:rsid w:val="00B42C72"/>
    <w:rsid w:val="00B4387C"/>
    <w:rsid w:val="00B43E65"/>
    <w:rsid w:val="00B45A60"/>
    <w:rsid w:val="00B50254"/>
    <w:rsid w:val="00B5113B"/>
    <w:rsid w:val="00B52796"/>
    <w:rsid w:val="00B52BF5"/>
    <w:rsid w:val="00B55F58"/>
    <w:rsid w:val="00B600FE"/>
    <w:rsid w:val="00B6058C"/>
    <w:rsid w:val="00B60F10"/>
    <w:rsid w:val="00B61ADE"/>
    <w:rsid w:val="00B627B0"/>
    <w:rsid w:val="00B62F1A"/>
    <w:rsid w:val="00B65030"/>
    <w:rsid w:val="00B663FF"/>
    <w:rsid w:val="00B7027F"/>
    <w:rsid w:val="00B70800"/>
    <w:rsid w:val="00B70F0B"/>
    <w:rsid w:val="00B711BA"/>
    <w:rsid w:val="00B728E5"/>
    <w:rsid w:val="00B7355E"/>
    <w:rsid w:val="00B74CA2"/>
    <w:rsid w:val="00B860A3"/>
    <w:rsid w:val="00B90DB6"/>
    <w:rsid w:val="00B91F99"/>
    <w:rsid w:val="00B92CF3"/>
    <w:rsid w:val="00B92D5A"/>
    <w:rsid w:val="00B950CF"/>
    <w:rsid w:val="00B97E74"/>
    <w:rsid w:val="00BA32BB"/>
    <w:rsid w:val="00BA4B8F"/>
    <w:rsid w:val="00BB2C0E"/>
    <w:rsid w:val="00BB34DE"/>
    <w:rsid w:val="00BB3982"/>
    <w:rsid w:val="00BB3F9B"/>
    <w:rsid w:val="00BB73D1"/>
    <w:rsid w:val="00BC4912"/>
    <w:rsid w:val="00BD080F"/>
    <w:rsid w:val="00BD0954"/>
    <w:rsid w:val="00BD2704"/>
    <w:rsid w:val="00BD6064"/>
    <w:rsid w:val="00BE14C9"/>
    <w:rsid w:val="00BE15BC"/>
    <w:rsid w:val="00BE18F2"/>
    <w:rsid w:val="00BE32D9"/>
    <w:rsid w:val="00BE3D26"/>
    <w:rsid w:val="00BE4167"/>
    <w:rsid w:val="00BE4806"/>
    <w:rsid w:val="00BE48F4"/>
    <w:rsid w:val="00BE579C"/>
    <w:rsid w:val="00BE61AF"/>
    <w:rsid w:val="00BE742D"/>
    <w:rsid w:val="00BE79F0"/>
    <w:rsid w:val="00BF5DA0"/>
    <w:rsid w:val="00BF6433"/>
    <w:rsid w:val="00BF6D14"/>
    <w:rsid w:val="00C03B0E"/>
    <w:rsid w:val="00C05D4B"/>
    <w:rsid w:val="00C07592"/>
    <w:rsid w:val="00C10269"/>
    <w:rsid w:val="00C10579"/>
    <w:rsid w:val="00C10638"/>
    <w:rsid w:val="00C1316D"/>
    <w:rsid w:val="00C16010"/>
    <w:rsid w:val="00C1793C"/>
    <w:rsid w:val="00C2056F"/>
    <w:rsid w:val="00C2152D"/>
    <w:rsid w:val="00C21E60"/>
    <w:rsid w:val="00C24B2B"/>
    <w:rsid w:val="00C24CFF"/>
    <w:rsid w:val="00C2529B"/>
    <w:rsid w:val="00C256B7"/>
    <w:rsid w:val="00C26391"/>
    <w:rsid w:val="00C302E0"/>
    <w:rsid w:val="00C3397C"/>
    <w:rsid w:val="00C33D68"/>
    <w:rsid w:val="00C3517B"/>
    <w:rsid w:val="00C356E0"/>
    <w:rsid w:val="00C36540"/>
    <w:rsid w:val="00C40CC2"/>
    <w:rsid w:val="00C42C62"/>
    <w:rsid w:val="00C4324C"/>
    <w:rsid w:val="00C43289"/>
    <w:rsid w:val="00C443FE"/>
    <w:rsid w:val="00C44DBA"/>
    <w:rsid w:val="00C4736B"/>
    <w:rsid w:val="00C51E56"/>
    <w:rsid w:val="00C5268E"/>
    <w:rsid w:val="00C53FD0"/>
    <w:rsid w:val="00C54FBF"/>
    <w:rsid w:val="00C57261"/>
    <w:rsid w:val="00C63B4B"/>
    <w:rsid w:val="00C6649F"/>
    <w:rsid w:val="00C667BB"/>
    <w:rsid w:val="00C71C6F"/>
    <w:rsid w:val="00C732B2"/>
    <w:rsid w:val="00C75C57"/>
    <w:rsid w:val="00C778FB"/>
    <w:rsid w:val="00C813CC"/>
    <w:rsid w:val="00C8255A"/>
    <w:rsid w:val="00C862FA"/>
    <w:rsid w:val="00C863A1"/>
    <w:rsid w:val="00C920C6"/>
    <w:rsid w:val="00C92182"/>
    <w:rsid w:val="00C9221F"/>
    <w:rsid w:val="00C9277C"/>
    <w:rsid w:val="00C92BBF"/>
    <w:rsid w:val="00C94785"/>
    <w:rsid w:val="00C95CBD"/>
    <w:rsid w:val="00C960AA"/>
    <w:rsid w:val="00C9646E"/>
    <w:rsid w:val="00C973E5"/>
    <w:rsid w:val="00CA0FB3"/>
    <w:rsid w:val="00CA11E2"/>
    <w:rsid w:val="00CA2269"/>
    <w:rsid w:val="00CA6145"/>
    <w:rsid w:val="00CA64C4"/>
    <w:rsid w:val="00CA7177"/>
    <w:rsid w:val="00CB0107"/>
    <w:rsid w:val="00CB0D41"/>
    <w:rsid w:val="00CB0EED"/>
    <w:rsid w:val="00CB25C8"/>
    <w:rsid w:val="00CB33A0"/>
    <w:rsid w:val="00CB3B25"/>
    <w:rsid w:val="00CB5CBB"/>
    <w:rsid w:val="00CB5CFC"/>
    <w:rsid w:val="00CC1F08"/>
    <w:rsid w:val="00CC3A43"/>
    <w:rsid w:val="00CC400E"/>
    <w:rsid w:val="00CC5223"/>
    <w:rsid w:val="00CC6FF5"/>
    <w:rsid w:val="00CC7352"/>
    <w:rsid w:val="00CD0D9E"/>
    <w:rsid w:val="00CE022F"/>
    <w:rsid w:val="00CE2BEE"/>
    <w:rsid w:val="00CE41AA"/>
    <w:rsid w:val="00CE5734"/>
    <w:rsid w:val="00CE6710"/>
    <w:rsid w:val="00CE674A"/>
    <w:rsid w:val="00CF0705"/>
    <w:rsid w:val="00CF1E4C"/>
    <w:rsid w:val="00CF645B"/>
    <w:rsid w:val="00D01931"/>
    <w:rsid w:val="00D03D0D"/>
    <w:rsid w:val="00D07A29"/>
    <w:rsid w:val="00D07AAA"/>
    <w:rsid w:val="00D11599"/>
    <w:rsid w:val="00D13598"/>
    <w:rsid w:val="00D143F2"/>
    <w:rsid w:val="00D1527F"/>
    <w:rsid w:val="00D1688F"/>
    <w:rsid w:val="00D17150"/>
    <w:rsid w:val="00D17248"/>
    <w:rsid w:val="00D176EF"/>
    <w:rsid w:val="00D20A1A"/>
    <w:rsid w:val="00D24A5E"/>
    <w:rsid w:val="00D31320"/>
    <w:rsid w:val="00D31347"/>
    <w:rsid w:val="00D31E2D"/>
    <w:rsid w:val="00D33B86"/>
    <w:rsid w:val="00D34A72"/>
    <w:rsid w:val="00D34DCC"/>
    <w:rsid w:val="00D36930"/>
    <w:rsid w:val="00D37EFB"/>
    <w:rsid w:val="00D416A6"/>
    <w:rsid w:val="00D4417D"/>
    <w:rsid w:val="00D445A7"/>
    <w:rsid w:val="00D45F21"/>
    <w:rsid w:val="00D474CE"/>
    <w:rsid w:val="00D47BF4"/>
    <w:rsid w:val="00D52556"/>
    <w:rsid w:val="00D52AC2"/>
    <w:rsid w:val="00D53C50"/>
    <w:rsid w:val="00D54CD6"/>
    <w:rsid w:val="00D55AF1"/>
    <w:rsid w:val="00D57061"/>
    <w:rsid w:val="00D5786E"/>
    <w:rsid w:val="00D57E02"/>
    <w:rsid w:val="00D614DE"/>
    <w:rsid w:val="00D62A39"/>
    <w:rsid w:val="00D6304B"/>
    <w:rsid w:val="00D6479A"/>
    <w:rsid w:val="00D6559C"/>
    <w:rsid w:val="00D65B69"/>
    <w:rsid w:val="00D6764F"/>
    <w:rsid w:val="00D74DED"/>
    <w:rsid w:val="00D7604F"/>
    <w:rsid w:val="00D76C72"/>
    <w:rsid w:val="00D770DE"/>
    <w:rsid w:val="00D81730"/>
    <w:rsid w:val="00D82781"/>
    <w:rsid w:val="00D84616"/>
    <w:rsid w:val="00D849F9"/>
    <w:rsid w:val="00D85F7C"/>
    <w:rsid w:val="00D872E4"/>
    <w:rsid w:val="00D91791"/>
    <w:rsid w:val="00D9188E"/>
    <w:rsid w:val="00D9230A"/>
    <w:rsid w:val="00D928DB"/>
    <w:rsid w:val="00D92DF8"/>
    <w:rsid w:val="00D935FA"/>
    <w:rsid w:val="00D95277"/>
    <w:rsid w:val="00D9696C"/>
    <w:rsid w:val="00D971D1"/>
    <w:rsid w:val="00D97856"/>
    <w:rsid w:val="00D97D5B"/>
    <w:rsid w:val="00DA0639"/>
    <w:rsid w:val="00DA2A55"/>
    <w:rsid w:val="00DA2DF8"/>
    <w:rsid w:val="00DA329F"/>
    <w:rsid w:val="00DA3C89"/>
    <w:rsid w:val="00DA42BF"/>
    <w:rsid w:val="00DA61DA"/>
    <w:rsid w:val="00DB14C1"/>
    <w:rsid w:val="00DB28FF"/>
    <w:rsid w:val="00DB4A54"/>
    <w:rsid w:val="00DB5964"/>
    <w:rsid w:val="00DB6687"/>
    <w:rsid w:val="00DC32D3"/>
    <w:rsid w:val="00DC5414"/>
    <w:rsid w:val="00DC6CD3"/>
    <w:rsid w:val="00DC7E0B"/>
    <w:rsid w:val="00DD097E"/>
    <w:rsid w:val="00DD233B"/>
    <w:rsid w:val="00DD28A4"/>
    <w:rsid w:val="00DD40C3"/>
    <w:rsid w:val="00DD441C"/>
    <w:rsid w:val="00DD60F0"/>
    <w:rsid w:val="00DE7A3D"/>
    <w:rsid w:val="00DF0B99"/>
    <w:rsid w:val="00DF0FA9"/>
    <w:rsid w:val="00DF38EE"/>
    <w:rsid w:val="00DF4908"/>
    <w:rsid w:val="00DF50FE"/>
    <w:rsid w:val="00DF5C20"/>
    <w:rsid w:val="00DF7A4B"/>
    <w:rsid w:val="00E00AA9"/>
    <w:rsid w:val="00E01BC7"/>
    <w:rsid w:val="00E049C8"/>
    <w:rsid w:val="00E05FA8"/>
    <w:rsid w:val="00E074D2"/>
    <w:rsid w:val="00E118CF"/>
    <w:rsid w:val="00E118FF"/>
    <w:rsid w:val="00E1320E"/>
    <w:rsid w:val="00E13C71"/>
    <w:rsid w:val="00E13E05"/>
    <w:rsid w:val="00E15278"/>
    <w:rsid w:val="00E22AB8"/>
    <w:rsid w:val="00E22CA3"/>
    <w:rsid w:val="00E24E7F"/>
    <w:rsid w:val="00E313FF"/>
    <w:rsid w:val="00E34F0D"/>
    <w:rsid w:val="00E3518B"/>
    <w:rsid w:val="00E36335"/>
    <w:rsid w:val="00E365C5"/>
    <w:rsid w:val="00E41B86"/>
    <w:rsid w:val="00E45124"/>
    <w:rsid w:val="00E50E80"/>
    <w:rsid w:val="00E51FBF"/>
    <w:rsid w:val="00E5231F"/>
    <w:rsid w:val="00E5274F"/>
    <w:rsid w:val="00E52EDC"/>
    <w:rsid w:val="00E538A1"/>
    <w:rsid w:val="00E57586"/>
    <w:rsid w:val="00E5767E"/>
    <w:rsid w:val="00E62E91"/>
    <w:rsid w:val="00E63CFF"/>
    <w:rsid w:val="00E6413E"/>
    <w:rsid w:val="00E6707E"/>
    <w:rsid w:val="00E6730A"/>
    <w:rsid w:val="00E7046B"/>
    <w:rsid w:val="00E715A6"/>
    <w:rsid w:val="00E72182"/>
    <w:rsid w:val="00E732B7"/>
    <w:rsid w:val="00E766BF"/>
    <w:rsid w:val="00E76842"/>
    <w:rsid w:val="00E77A7B"/>
    <w:rsid w:val="00E803C5"/>
    <w:rsid w:val="00E80611"/>
    <w:rsid w:val="00E82EAC"/>
    <w:rsid w:val="00E8307D"/>
    <w:rsid w:val="00E846CE"/>
    <w:rsid w:val="00E84860"/>
    <w:rsid w:val="00E8597E"/>
    <w:rsid w:val="00E9552E"/>
    <w:rsid w:val="00EA2B6A"/>
    <w:rsid w:val="00EA3417"/>
    <w:rsid w:val="00EA520B"/>
    <w:rsid w:val="00EA56D2"/>
    <w:rsid w:val="00EA62E9"/>
    <w:rsid w:val="00EA6531"/>
    <w:rsid w:val="00EA7EE8"/>
    <w:rsid w:val="00EB2F61"/>
    <w:rsid w:val="00EB3C80"/>
    <w:rsid w:val="00EB3E77"/>
    <w:rsid w:val="00EB717E"/>
    <w:rsid w:val="00EC1EF1"/>
    <w:rsid w:val="00EC2E16"/>
    <w:rsid w:val="00EC521B"/>
    <w:rsid w:val="00EC5309"/>
    <w:rsid w:val="00EC6AB7"/>
    <w:rsid w:val="00ED54D6"/>
    <w:rsid w:val="00EE03DC"/>
    <w:rsid w:val="00EE10BB"/>
    <w:rsid w:val="00EE5F1D"/>
    <w:rsid w:val="00EF22FC"/>
    <w:rsid w:val="00EF3C52"/>
    <w:rsid w:val="00EF4BAD"/>
    <w:rsid w:val="00EF529E"/>
    <w:rsid w:val="00EF68D3"/>
    <w:rsid w:val="00F046B9"/>
    <w:rsid w:val="00F074F9"/>
    <w:rsid w:val="00F1041F"/>
    <w:rsid w:val="00F10FE3"/>
    <w:rsid w:val="00F10FE7"/>
    <w:rsid w:val="00F11783"/>
    <w:rsid w:val="00F13AA0"/>
    <w:rsid w:val="00F15538"/>
    <w:rsid w:val="00F1799D"/>
    <w:rsid w:val="00F21EDE"/>
    <w:rsid w:val="00F2428A"/>
    <w:rsid w:val="00F258BB"/>
    <w:rsid w:val="00F25EE0"/>
    <w:rsid w:val="00F262CB"/>
    <w:rsid w:val="00F26C3C"/>
    <w:rsid w:val="00F26C3F"/>
    <w:rsid w:val="00F27160"/>
    <w:rsid w:val="00F322E9"/>
    <w:rsid w:val="00F37774"/>
    <w:rsid w:val="00F40826"/>
    <w:rsid w:val="00F419A2"/>
    <w:rsid w:val="00F442DA"/>
    <w:rsid w:val="00F4594C"/>
    <w:rsid w:val="00F460DD"/>
    <w:rsid w:val="00F50288"/>
    <w:rsid w:val="00F524DA"/>
    <w:rsid w:val="00F52CBD"/>
    <w:rsid w:val="00F5335A"/>
    <w:rsid w:val="00F53841"/>
    <w:rsid w:val="00F538D4"/>
    <w:rsid w:val="00F54811"/>
    <w:rsid w:val="00F5732E"/>
    <w:rsid w:val="00F57B9A"/>
    <w:rsid w:val="00F607AE"/>
    <w:rsid w:val="00F61255"/>
    <w:rsid w:val="00F63125"/>
    <w:rsid w:val="00F64770"/>
    <w:rsid w:val="00F65D8D"/>
    <w:rsid w:val="00F6609D"/>
    <w:rsid w:val="00F7068E"/>
    <w:rsid w:val="00F71FEB"/>
    <w:rsid w:val="00F72C6F"/>
    <w:rsid w:val="00F72E0F"/>
    <w:rsid w:val="00F8293A"/>
    <w:rsid w:val="00F84012"/>
    <w:rsid w:val="00F85018"/>
    <w:rsid w:val="00F85A8F"/>
    <w:rsid w:val="00F8677C"/>
    <w:rsid w:val="00F90140"/>
    <w:rsid w:val="00F933B5"/>
    <w:rsid w:val="00F93470"/>
    <w:rsid w:val="00F93D1B"/>
    <w:rsid w:val="00F95B5A"/>
    <w:rsid w:val="00F9637E"/>
    <w:rsid w:val="00F9669F"/>
    <w:rsid w:val="00F966FF"/>
    <w:rsid w:val="00F968F2"/>
    <w:rsid w:val="00F976F0"/>
    <w:rsid w:val="00FA3ED2"/>
    <w:rsid w:val="00FA4034"/>
    <w:rsid w:val="00FA59F9"/>
    <w:rsid w:val="00FA7122"/>
    <w:rsid w:val="00FA7348"/>
    <w:rsid w:val="00FA7EE7"/>
    <w:rsid w:val="00FB0AD2"/>
    <w:rsid w:val="00FB158D"/>
    <w:rsid w:val="00FB1C40"/>
    <w:rsid w:val="00FB3E8D"/>
    <w:rsid w:val="00FC0809"/>
    <w:rsid w:val="00FC1291"/>
    <w:rsid w:val="00FC1527"/>
    <w:rsid w:val="00FC2165"/>
    <w:rsid w:val="00FC3C78"/>
    <w:rsid w:val="00FC611C"/>
    <w:rsid w:val="00FD2116"/>
    <w:rsid w:val="00FD30E3"/>
    <w:rsid w:val="00FD4D0F"/>
    <w:rsid w:val="00FD4E02"/>
    <w:rsid w:val="00FD6BB9"/>
    <w:rsid w:val="00FD7C10"/>
    <w:rsid w:val="00FE3759"/>
    <w:rsid w:val="00FF00A1"/>
    <w:rsid w:val="00FF1384"/>
    <w:rsid w:val="00FF2A36"/>
    <w:rsid w:val="00FF2D6F"/>
    <w:rsid w:val="00FF357E"/>
    <w:rsid w:val="00FF3BC0"/>
    <w:rsid w:val="00FF4C01"/>
    <w:rsid w:val="00FF4F5E"/>
    <w:rsid w:val="00FF6A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9DD323"/>
  <w15:chartTrackingRefBased/>
  <w15:docId w15:val="{1517F15B-3E66-42BE-9E49-4FC7B5EA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color w:val="000000"/>
        <w:szCs w:val="52"/>
        <w:lang w:val="en-GB" w:eastAsia="en-GB" w:bidi="ar-SA"/>
      </w:rPr>
    </w:rPrDefault>
    <w:pPrDefault>
      <w:pPr>
        <w:spacing w:after="120"/>
        <w:ind w:left="425" w:hanging="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qFormat="1"/>
    <w:lsdException w:name="annotation text" w:semiHidden="1" w:qFormat="1"/>
    <w:lsdException w:name="header" w:qFormat="1"/>
    <w:lsdException w:name="footer" w:qFormat="1"/>
    <w:lsdException w:name="index heading" w:semiHidden="1"/>
    <w:lsdException w:name="caption" w:semiHidden="1" w:uiPriority="0" w:qFormat="1"/>
    <w:lsdException w:name="table of figures" w:semiHidden="1"/>
    <w:lsdException w:name="envelope address" w:semiHidden="1"/>
    <w:lsdException w:name="envelope return" w:semiHidden="1"/>
    <w:lsdException w:name="footnote reference" w:semiHidden="1" w:uiPriority="0" w:unhideWhenUsed="1"/>
    <w:lsdException w:name="annotation reference" w:semiHidden="1"/>
    <w:lsdException w:name="line number" w:semiHidden="1" w:uiPriority="0"/>
    <w:lsdException w:name="page number" w:semiHidden="1" w:uiPriority="0" w:unhideWhenUsed="1"/>
    <w:lsdException w:name="endnote reference" w:semiHidden="1" w:uiPriority="0"/>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qFormat="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unhideWhenUsed="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qFormat="1"/>
    <w:lsdException w:name="Body Text 3" w:qFormat="1"/>
    <w:lsdException w:name="Body Text Indent 2" w:semiHidden="1"/>
    <w:lsdException w:name="Body Text Indent 3" w:semiHidden="1"/>
    <w:lsdException w:name="Block Text" w:semiHidden="1"/>
    <w:lsdException w:name="FollowedHyperlink" w:semiHidden="1" w:uiPriority="0" w:unhideWhenUsed="1"/>
    <w:lsdException w:name="Strong" w:semiHidden="1" w:uiPriority="0" w:qFormat="1"/>
    <w:lsdException w:name="Emphasis" w:semiHidden="1" w:uiPriority="0" w:qFormat="1"/>
    <w:lsdException w:name="Document Map" w:semiHidden="1"/>
    <w:lsdException w:name="Plain Text" w:semiHidden="1"/>
    <w:lsdException w:name="E-mail Signature" w:semiHidden="1"/>
    <w:lsdException w:name="HTML Top of Form" w:semiHidden="1" w:uiPriority="0" w:unhideWhenUsed="1"/>
    <w:lsdException w:name="HTML Bottom of Form" w:semiHidden="1" w:uiPriority="0"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iPriority="0" w:unhideWhenUsed="1"/>
    <w:lsdException w:name="annotation subject" w:semiHidden="1"/>
    <w:lsdException w:name="No List" w:semiHidden="1" w:unhideWhenUsed="1"/>
    <w:lsdException w:name="Outline List 1" w:locked="1" w:semiHidden="1" w:uiPriority="0" w:unhideWhenUsed="1"/>
    <w:lsdException w:name="Outline List 2" w:locked="1" w:semiHidden="1" w:uiPriority="0" w:unhideWhenUsed="1"/>
    <w:lsdException w:name="Outline List 3" w:locked="1"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AB8"/>
  </w:style>
  <w:style w:type="paragraph" w:styleId="Heading1">
    <w:name w:val="heading 1"/>
    <w:aliases w:val="Cover-Title,Headering 1,Outline1,Subhead A,Section Heading,h1,Attribute Heading 1,Roman 14 B Heading,Roman 14 B Heading1,Roman 14 B Heading2,Roman 14 B Heading11,new page/chapter,Head1,1st level,(Alt+1),Part,H1 (TOC),Isa 1,PA Chapter,Lev 1,1"/>
    <w:next w:val="BodyText"/>
    <w:link w:val="Heading1Char"/>
    <w:uiPriority w:val="9"/>
    <w:qFormat/>
    <w:rsid w:val="003C5CE8"/>
    <w:pPr>
      <w:keepNext/>
      <w:numPr>
        <w:numId w:val="148"/>
      </w:numPr>
      <w:spacing w:after="240"/>
      <w:outlineLvl w:val="0"/>
    </w:pPr>
    <w:rPr>
      <w:rFonts w:cs="Tahoma"/>
      <w:b/>
      <w:bCs/>
      <w:caps/>
      <w:szCs w:val="32"/>
    </w:rPr>
  </w:style>
  <w:style w:type="paragraph" w:styleId="Heading2">
    <w:name w:val="heading 2"/>
    <w:aliases w:val="Heading Style 01,h2,Level 2 Topic Heading,L2,dd heading 2,dh2,Heading B,(Alt+2),Attribute Heading 2,Level Heading 2,H21,H22,H23,H211,H221,H24,H212,H222,H231,H2111,H2211,h2 (TOC),Chapter Title,Major,PARA2,Heading 2a,Numbered - 2,h 3,h 4,ICL,21"/>
    <w:link w:val="Heading2Char"/>
    <w:uiPriority w:val="9"/>
    <w:qFormat/>
    <w:rsid w:val="00A23FF7"/>
    <w:pPr>
      <w:numPr>
        <w:ilvl w:val="1"/>
        <w:numId w:val="148"/>
      </w:numPr>
      <w:spacing w:after="240"/>
      <w:outlineLvl w:val="1"/>
    </w:pPr>
    <w:rPr>
      <w:bCs/>
      <w:iCs/>
      <w:szCs w:val="28"/>
    </w:rPr>
  </w:style>
  <w:style w:type="paragraph" w:styleId="Heading30">
    <w:name w:val="heading 3"/>
    <w:aliases w:val="Heading Stlye 02,3,h3,Level 3 Topic Heading,h31,h32,L3,l31,3rd level,Head 3,subhead,1.,TF-Overskrift 3,titre 1.1.1,ITT t3,PA Minor Section,l32,CT,l3+toc 3,level3,31,subhead1,1.2,TF-Overskrift 31,text,h33,l33,h311,l311,32,3rd level1,1.3,H31,3m"/>
    <w:basedOn w:val="Heading3"/>
    <w:link w:val="Heading3Char"/>
    <w:uiPriority w:val="9"/>
    <w:qFormat/>
    <w:rsid w:val="00346A37"/>
    <w:pPr>
      <w:outlineLvl w:val="2"/>
    </w:pPr>
  </w:style>
  <w:style w:type="paragraph" w:styleId="Heading4">
    <w:name w:val="heading 4"/>
    <w:aliases w:val="Heading Stle 03,h4,14,l4,4,141,h41,l41,41,142,h42,l42,h43,a.,Map Title,42,parapoint,¶,143,h44,l43,43,1411,h411,l411,411,1421,h421,l421,h431,a.1,Map Title1,421,parapoint1,¶1,H41,Second Level Heading HM,Subhead C,Level 2 - a,Para4,Bullet 11,n"/>
    <w:link w:val="Heading4Char"/>
    <w:uiPriority w:val="9"/>
    <w:qFormat/>
    <w:rsid w:val="00A23FF7"/>
    <w:pPr>
      <w:numPr>
        <w:ilvl w:val="3"/>
        <w:numId w:val="148"/>
      </w:numPr>
      <w:spacing w:after="240"/>
      <w:outlineLvl w:val="3"/>
    </w:pPr>
    <w:rPr>
      <w:bCs/>
      <w:szCs w:val="28"/>
    </w:rPr>
  </w:style>
  <w:style w:type="paragraph" w:styleId="Heading5">
    <w:name w:val="heading 5"/>
    <w:aliases w:val="Heading 5(unused),Level 3 - (i),Third Level Heading,h5,Subheading,Level 3 - i,Lev 5,Response Type,Response Type1,Response Type2,Response Type3,Response Type4,Response Type5,Response Type6,Response Type7,Appendix A to X,Heading 5*,FMH1,T:"/>
    <w:link w:val="Heading5Char"/>
    <w:uiPriority w:val="9"/>
    <w:qFormat/>
    <w:rsid w:val="00A23FF7"/>
    <w:pPr>
      <w:numPr>
        <w:ilvl w:val="4"/>
        <w:numId w:val="148"/>
      </w:numPr>
      <w:spacing w:after="240"/>
      <w:outlineLvl w:val="4"/>
    </w:pPr>
    <w:rPr>
      <w:bCs/>
      <w:iCs/>
      <w:szCs w:val="26"/>
    </w:rPr>
  </w:style>
  <w:style w:type="paragraph" w:styleId="Heading6">
    <w:name w:val="heading 6"/>
    <w:aliases w:val="Heading 6(unused),Legal Level 1.,L1 PIP,Lev 6,Heading 6  Appendix Y &amp; Z,sub-dash,sd,5,H6,Normal diagram,ITT t6,PA Appendix,H6 DO NOT USE,bullet2,Blank 2,h6,H61,H62,H63,H64,H65,H66,H67,H68,H69,H610,H611,H612,H613,H614,H615,H616,H617,H618,H619,("/>
    <w:link w:val="Heading6Char"/>
    <w:uiPriority w:val="9"/>
    <w:qFormat/>
    <w:rsid w:val="00A23FF7"/>
    <w:pPr>
      <w:numPr>
        <w:ilvl w:val="5"/>
        <w:numId w:val="148"/>
      </w:numPr>
      <w:spacing w:after="240"/>
      <w:outlineLvl w:val="5"/>
    </w:pPr>
    <w:rPr>
      <w:bCs/>
      <w:szCs w:val="22"/>
    </w:rPr>
  </w:style>
  <w:style w:type="paragraph" w:styleId="Heading7">
    <w:name w:val="heading 7"/>
    <w:link w:val="Heading7Char"/>
    <w:uiPriority w:val="9"/>
    <w:qFormat/>
    <w:rsid w:val="00A23FF7"/>
    <w:pPr>
      <w:numPr>
        <w:ilvl w:val="6"/>
        <w:numId w:val="148"/>
      </w:numPr>
      <w:spacing w:after="240"/>
      <w:outlineLvl w:val="6"/>
    </w:pPr>
    <w:rPr>
      <w:szCs w:val="22"/>
    </w:rPr>
  </w:style>
  <w:style w:type="paragraph" w:styleId="Heading8">
    <w:name w:val="heading 8"/>
    <w:next w:val="Normal"/>
    <w:link w:val="Heading8Char"/>
    <w:uiPriority w:val="9"/>
    <w:qFormat/>
    <w:rsid w:val="00A23FF7"/>
    <w:pPr>
      <w:spacing w:after="240"/>
      <w:outlineLvl w:val="7"/>
    </w:pPr>
    <w:rPr>
      <w:szCs w:val="22"/>
    </w:rPr>
  </w:style>
  <w:style w:type="paragraph" w:styleId="Heading9">
    <w:name w:val="heading 9"/>
    <w:basedOn w:val="Normal"/>
    <w:next w:val="Normal"/>
    <w:link w:val="Heading9Char"/>
    <w:uiPriority w:val="9"/>
    <w:qFormat/>
    <w:rsid w:val="00A23FF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4">
    <w:name w:val="App 4"/>
    <w:uiPriority w:val="99"/>
    <w:qFormat/>
    <w:rsid w:val="000D5E82"/>
    <w:pPr>
      <w:numPr>
        <w:ilvl w:val="5"/>
        <w:numId w:val="1"/>
      </w:numPr>
      <w:tabs>
        <w:tab w:val="clear" w:pos="2410"/>
        <w:tab w:val="num" w:pos="360"/>
      </w:tabs>
      <w:spacing w:after="240"/>
      <w:ind w:left="0" w:firstLine="0"/>
      <w:outlineLvl w:val="5"/>
    </w:pPr>
    <w:rPr>
      <w:rFonts w:cs="Tahoma"/>
      <w:bCs/>
      <w:szCs w:val="32"/>
    </w:rPr>
  </w:style>
  <w:style w:type="paragraph" w:styleId="BodyText">
    <w:name w:val="Body Text"/>
    <w:link w:val="BodyTextChar"/>
    <w:uiPriority w:val="99"/>
    <w:qFormat/>
    <w:rsid w:val="008E014C"/>
    <w:pPr>
      <w:spacing w:after="240"/>
    </w:pPr>
  </w:style>
  <w:style w:type="character" w:customStyle="1" w:styleId="BodyTextChar">
    <w:name w:val="Body Text Char"/>
    <w:basedOn w:val="DefaultParagraphFont"/>
    <w:link w:val="BodyText"/>
    <w:uiPriority w:val="99"/>
    <w:rsid w:val="008E014C"/>
  </w:style>
  <w:style w:type="paragraph" w:customStyle="1" w:styleId="BodyText1">
    <w:name w:val="Body Text 1"/>
    <w:uiPriority w:val="99"/>
    <w:qFormat/>
    <w:rsid w:val="002C0DAE"/>
    <w:pPr>
      <w:spacing w:after="240"/>
      <w:ind w:left="709"/>
    </w:pPr>
  </w:style>
  <w:style w:type="paragraph" w:styleId="BodyText2">
    <w:name w:val="Body Text 2"/>
    <w:link w:val="BodyText2Char"/>
    <w:uiPriority w:val="99"/>
    <w:qFormat/>
    <w:rsid w:val="002C0DAE"/>
    <w:pPr>
      <w:spacing w:after="240"/>
      <w:ind w:left="709"/>
    </w:pPr>
  </w:style>
  <w:style w:type="character" w:customStyle="1" w:styleId="BodyText2Char">
    <w:name w:val="Body Text 2 Char"/>
    <w:basedOn w:val="DefaultParagraphFont"/>
    <w:link w:val="BodyText2"/>
    <w:uiPriority w:val="99"/>
    <w:rsid w:val="002C0DAE"/>
  </w:style>
  <w:style w:type="paragraph" w:styleId="BodyText3">
    <w:name w:val="Body Text 3"/>
    <w:link w:val="BodyText3Char"/>
    <w:uiPriority w:val="99"/>
    <w:qFormat/>
    <w:rsid w:val="005D0A09"/>
    <w:pPr>
      <w:spacing w:after="240"/>
      <w:ind w:left="1701"/>
    </w:pPr>
    <w:rPr>
      <w:szCs w:val="16"/>
    </w:rPr>
  </w:style>
  <w:style w:type="character" w:customStyle="1" w:styleId="BodyText3Char">
    <w:name w:val="Body Text 3 Char"/>
    <w:basedOn w:val="DefaultParagraphFont"/>
    <w:link w:val="BodyText3"/>
    <w:uiPriority w:val="99"/>
    <w:rsid w:val="005D0A09"/>
    <w:rPr>
      <w:szCs w:val="16"/>
    </w:rPr>
  </w:style>
  <w:style w:type="paragraph" w:customStyle="1" w:styleId="BodyText4">
    <w:name w:val="Body Text 4"/>
    <w:basedOn w:val="BalloonText"/>
    <w:uiPriority w:val="99"/>
    <w:qFormat/>
    <w:rsid w:val="00F1799D"/>
    <w:pPr>
      <w:spacing w:after="240"/>
      <w:ind w:left="2410"/>
    </w:pPr>
    <w:rPr>
      <w:rFonts w:ascii="Arial" w:hAnsi="Arial"/>
      <w:sz w:val="20"/>
    </w:rPr>
  </w:style>
  <w:style w:type="paragraph" w:customStyle="1" w:styleId="BodyText5">
    <w:name w:val="Body Text 5"/>
    <w:uiPriority w:val="99"/>
    <w:qFormat/>
    <w:rsid w:val="00F1799D"/>
    <w:pPr>
      <w:spacing w:after="240"/>
      <w:ind w:left="3119"/>
    </w:pPr>
  </w:style>
  <w:style w:type="paragraph" w:styleId="BalloonText">
    <w:name w:val="Balloon Text"/>
    <w:basedOn w:val="Normal"/>
    <w:link w:val="BalloonTextChar"/>
    <w:uiPriority w:val="99"/>
    <w:semiHidden/>
    <w:rsid w:val="00F179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52D"/>
    <w:rPr>
      <w:rFonts w:ascii="Segoe UI" w:hAnsi="Segoe UI" w:cs="Segoe UI"/>
      <w:sz w:val="18"/>
      <w:szCs w:val="18"/>
    </w:rPr>
  </w:style>
  <w:style w:type="paragraph" w:customStyle="1" w:styleId="BodyText6">
    <w:name w:val="Body Text 6"/>
    <w:uiPriority w:val="99"/>
    <w:qFormat/>
    <w:rsid w:val="00F1799D"/>
    <w:pPr>
      <w:spacing w:after="240"/>
      <w:ind w:left="3827"/>
    </w:pPr>
  </w:style>
  <w:style w:type="paragraph" w:customStyle="1" w:styleId="BodyText7">
    <w:name w:val="Body Text 7"/>
    <w:uiPriority w:val="99"/>
    <w:qFormat/>
    <w:rsid w:val="00F1799D"/>
    <w:pPr>
      <w:spacing w:after="240"/>
      <w:ind w:left="4536"/>
    </w:pPr>
  </w:style>
  <w:style w:type="paragraph" w:customStyle="1" w:styleId="App7">
    <w:name w:val="App 7"/>
    <w:uiPriority w:val="99"/>
    <w:qFormat/>
    <w:rsid w:val="000D5E82"/>
    <w:pPr>
      <w:numPr>
        <w:ilvl w:val="8"/>
        <w:numId w:val="1"/>
      </w:numPr>
      <w:spacing w:after="240"/>
      <w:outlineLvl w:val="8"/>
    </w:pPr>
    <w:rPr>
      <w:rFonts w:cs="Tahoma"/>
      <w:bCs/>
      <w:szCs w:val="32"/>
    </w:rPr>
  </w:style>
  <w:style w:type="paragraph" w:customStyle="1" w:styleId="App6">
    <w:name w:val="App 6"/>
    <w:uiPriority w:val="99"/>
    <w:qFormat/>
    <w:rsid w:val="000D5E82"/>
    <w:pPr>
      <w:numPr>
        <w:ilvl w:val="7"/>
        <w:numId w:val="1"/>
      </w:numPr>
      <w:spacing w:after="240"/>
      <w:outlineLvl w:val="7"/>
    </w:pPr>
    <w:rPr>
      <w:rFonts w:cs="Tahoma"/>
      <w:bCs/>
      <w:szCs w:val="32"/>
    </w:rPr>
  </w:style>
  <w:style w:type="paragraph" w:customStyle="1" w:styleId="App5">
    <w:name w:val="App 5"/>
    <w:uiPriority w:val="99"/>
    <w:qFormat/>
    <w:rsid w:val="000D5E82"/>
    <w:pPr>
      <w:numPr>
        <w:ilvl w:val="6"/>
        <w:numId w:val="1"/>
      </w:numPr>
      <w:spacing w:after="240"/>
      <w:outlineLvl w:val="6"/>
    </w:pPr>
    <w:rPr>
      <w:rFonts w:cs="Tahoma"/>
      <w:bCs/>
      <w:szCs w:val="32"/>
    </w:rPr>
  </w:style>
  <w:style w:type="paragraph" w:customStyle="1" w:styleId="App1">
    <w:name w:val="App 1"/>
    <w:uiPriority w:val="99"/>
    <w:qFormat/>
    <w:rsid w:val="000D5E82"/>
    <w:pPr>
      <w:numPr>
        <w:ilvl w:val="2"/>
        <w:numId w:val="1"/>
      </w:numPr>
      <w:spacing w:after="240"/>
      <w:outlineLvl w:val="2"/>
    </w:pPr>
    <w:rPr>
      <w:rFonts w:cs="Tahoma"/>
      <w:bCs/>
      <w:szCs w:val="32"/>
    </w:rPr>
  </w:style>
  <w:style w:type="paragraph" w:customStyle="1" w:styleId="App3">
    <w:name w:val="App 3"/>
    <w:uiPriority w:val="99"/>
    <w:qFormat/>
    <w:rsid w:val="000D5E82"/>
    <w:pPr>
      <w:numPr>
        <w:ilvl w:val="4"/>
        <w:numId w:val="1"/>
      </w:numPr>
      <w:spacing w:after="240"/>
      <w:outlineLvl w:val="4"/>
    </w:pPr>
    <w:rPr>
      <w:rFonts w:cs="Tahoma"/>
      <w:bCs/>
      <w:szCs w:val="32"/>
    </w:rPr>
  </w:style>
  <w:style w:type="paragraph" w:customStyle="1" w:styleId="App2">
    <w:name w:val="App 2"/>
    <w:uiPriority w:val="99"/>
    <w:qFormat/>
    <w:rsid w:val="000D5E82"/>
    <w:pPr>
      <w:numPr>
        <w:ilvl w:val="3"/>
        <w:numId w:val="1"/>
      </w:numPr>
      <w:spacing w:after="240"/>
      <w:outlineLvl w:val="3"/>
    </w:pPr>
    <w:rPr>
      <w:rFonts w:cs="Tahoma"/>
      <w:bCs/>
      <w:szCs w:val="32"/>
    </w:rPr>
  </w:style>
  <w:style w:type="paragraph" w:customStyle="1" w:styleId="AppendixSubTitle">
    <w:name w:val="Appendix Sub Title"/>
    <w:next w:val="App1"/>
    <w:uiPriority w:val="99"/>
    <w:qFormat/>
    <w:rsid w:val="000D5E82"/>
    <w:pPr>
      <w:numPr>
        <w:ilvl w:val="1"/>
        <w:numId w:val="1"/>
      </w:numPr>
      <w:spacing w:after="240"/>
      <w:jc w:val="center"/>
      <w:outlineLvl w:val="1"/>
    </w:pPr>
    <w:rPr>
      <w:rFonts w:cs="Tahoma"/>
      <w:b/>
      <w:bCs/>
      <w:szCs w:val="32"/>
    </w:rPr>
  </w:style>
  <w:style w:type="paragraph" w:customStyle="1" w:styleId="AppendixTitle">
    <w:name w:val="Appendix Title"/>
    <w:next w:val="AppendixSubTitle"/>
    <w:uiPriority w:val="99"/>
    <w:qFormat/>
    <w:rsid w:val="00FC0809"/>
    <w:pPr>
      <w:pageBreakBefore/>
      <w:numPr>
        <w:numId w:val="1"/>
      </w:numPr>
      <w:spacing w:after="240"/>
      <w:jc w:val="center"/>
      <w:outlineLvl w:val="0"/>
    </w:pPr>
    <w:rPr>
      <w:rFonts w:cs="Tahoma"/>
      <w:b/>
      <w:bCs/>
      <w:caps/>
      <w:szCs w:val="32"/>
    </w:rPr>
  </w:style>
  <w:style w:type="paragraph" w:customStyle="1" w:styleId="Bullet11">
    <w:name w:val="Bullet 1"/>
    <w:aliases w:val="Body Text2,*Body 1,b-heading 1/heading 2,heading1body-heading2body,b-heading,b14,BD,Fax Body,Bod,bo,Letter Body,Memo Body,full cell text,by,Report Body,OpinBody,Proposal Body,memo body,Bullet for no #'s,b-heading 1,B1,bullet,body,bd,2,b,B2"/>
    <w:uiPriority w:val="99"/>
    <w:qFormat/>
    <w:rsid w:val="000A6817"/>
    <w:pPr>
      <w:numPr>
        <w:numId w:val="2"/>
      </w:numPr>
      <w:spacing w:after="240"/>
      <w:outlineLvl w:val="0"/>
    </w:pPr>
  </w:style>
  <w:style w:type="paragraph" w:customStyle="1" w:styleId="Bullet20">
    <w:name w:val="Bullet 2"/>
    <w:uiPriority w:val="99"/>
    <w:qFormat/>
    <w:rsid w:val="000A6817"/>
    <w:pPr>
      <w:numPr>
        <w:ilvl w:val="1"/>
        <w:numId w:val="2"/>
      </w:numPr>
      <w:spacing w:after="240"/>
      <w:outlineLvl w:val="1"/>
    </w:pPr>
  </w:style>
  <w:style w:type="paragraph" w:customStyle="1" w:styleId="Parties">
    <w:name w:val="Parties"/>
    <w:uiPriority w:val="99"/>
    <w:qFormat/>
    <w:rsid w:val="0031310D"/>
    <w:pPr>
      <w:numPr>
        <w:numId w:val="4"/>
      </w:numPr>
      <w:spacing w:after="240"/>
      <w:outlineLvl w:val="0"/>
    </w:pPr>
  </w:style>
  <w:style w:type="paragraph" w:customStyle="1" w:styleId="Recitals">
    <w:name w:val="Recitals"/>
    <w:uiPriority w:val="99"/>
    <w:qFormat/>
    <w:rsid w:val="0031310D"/>
    <w:pPr>
      <w:numPr>
        <w:numId w:val="3"/>
      </w:numPr>
      <w:spacing w:after="240"/>
      <w:outlineLvl w:val="0"/>
    </w:pPr>
  </w:style>
  <w:style w:type="paragraph" w:customStyle="1" w:styleId="Numbers">
    <w:name w:val="Numbers"/>
    <w:uiPriority w:val="99"/>
    <w:qFormat/>
    <w:rsid w:val="00B70800"/>
    <w:pPr>
      <w:numPr>
        <w:numId w:val="5"/>
      </w:numPr>
      <w:spacing w:after="240"/>
      <w:outlineLvl w:val="0"/>
    </w:pPr>
  </w:style>
  <w:style w:type="paragraph" w:customStyle="1" w:styleId="ScheduleTitle">
    <w:name w:val="Schedule Title"/>
    <w:next w:val="ScheduleSubheading"/>
    <w:uiPriority w:val="99"/>
    <w:qFormat/>
    <w:rsid w:val="00AD1A62"/>
    <w:pPr>
      <w:keepNext/>
      <w:pageBreakBefore/>
      <w:numPr>
        <w:numId w:val="6"/>
      </w:numPr>
      <w:spacing w:after="240"/>
      <w:jc w:val="center"/>
    </w:pPr>
    <w:rPr>
      <w:b/>
      <w:caps/>
    </w:rPr>
  </w:style>
  <w:style w:type="paragraph" w:customStyle="1" w:styleId="ScheduleSubheading">
    <w:name w:val="Schedule Subheading"/>
    <w:next w:val="Sch1"/>
    <w:uiPriority w:val="99"/>
    <w:qFormat/>
    <w:rsid w:val="00FF4F5E"/>
    <w:pPr>
      <w:keepNext/>
      <w:numPr>
        <w:ilvl w:val="1"/>
        <w:numId w:val="6"/>
      </w:numPr>
      <w:spacing w:after="240"/>
      <w:jc w:val="center"/>
    </w:pPr>
    <w:rPr>
      <w:b/>
    </w:rPr>
  </w:style>
  <w:style w:type="paragraph" w:customStyle="1" w:styleId="Sch7">
    <w:name w:val="Sch 7"/>
    <w:uiPriority w:val="99"/>
    <w:qFormat/>
    <w:rsid w:val="00FF4F5E"/>
    <w:pPr>
      <w:numPr>
        <w:ilvl w:val="8"/>
        <w:numId w:val="6"/>
      </w:numPr>
      <w:spacing w:after="240"/>
    </w:pPr>
  </w:style>
  <w:style w:type="paragraph" w:customStyle="1" w:styleId="Sch6">
    <w:name w:val="Sch 6"/>
    <w:uiPriority w:val="99"/>
    <w:qFormat/>
    <w:rsid w:val="00FF4F5E"/>
    <w:pPr>
      <w:numPr>
        <w:ilvl w:val="7"/>
        <w:numId w:val="6"/>
      </w:numPr>
      <w:spacing w:after="240"/>
    </w:pPr>
  </w:style>
  <w:style w:type="paragraph" w:customStyle="1" w:styleId="Sch5">
    <w:name w:val="Sch 5"/>
    <w:uiPriority w:val="99"/>
    <w:qFormat/>
    <w:rsid w:val="00FF4F5E"/>
    <w:pPr>
      <w:numPr>
        <w:ilvl w:val="6"/>
        <w:numId w:val="6"/>
      </w:numPr>
      <w:spacing w:after="240"/>
    </w:pPr>
  </w:style>
  <w:style w:type="paragraph" w:customStyle="1" w:styleId="Sch4">
    <w:name w:val="Sch 4"/>
    <w:uiPriority w:val="99"/>
    <w:qFormat/>
    <w:rsid w:val="00FF4F5E"/>
    <w:pPr>
      <w:numPr>
        <w:ilvl w:val="5"/>
        <w:numId w:val="6"/>
      </w:numPr>
      <w:spacing w:after="240"/>
    </w:pPr>
  </w:style>
  <w:style w:type="paragraph" w:customStyle="1" w:styleId="Sch3">
    <w:name w:val="Sch 3"/>
    <w:uiPriority w:val="99"/>
    <w:qFormat/>
    <w:rsid w:val="00FF4F5E"/>
    <w:pPr>
      <w:numPr>
        <w:ilvl w:val="4"/>
        <w:numId w:val="6"/>
      </w:numPr>
      <w:spacing w:after="240"/>
    </w:pPr>
  </w:style>
  <w:style w:type="paragraph" w:customStyle="1" w:styleId="Sch2">
    <w:name w:val="Sch 2"/>
    <w:uiPriority w:val="99"/>
    <w:qFormat/>
    <w:rsid w:val="00FF4F5E"/>
    <w:pPr>
      <w:numPr>
        <w:ilvl w:val="3"/>
        <w:numId w:val="6"/>
      </w:numPr>
      <w:spacing w:after="240"/>
    </w:pPr>
  </w:style>
  <w:style w:type="paragraph" w:customStyle="1" w:styleId="Sch1">
    <w:name w:val="Sch 1"/>
    <w:uiPriority w:val="99"/>
    <w:qFormat/>
    <w:rsid w:val="00FF4F5E"/>
    <w:pPr>
      <w:numPr>
        <w:ilvl w:val="2"/>
        <w:numId w:val="6"/>
      </w:numPr>
      <w:spacing w:after="240"/>
    </w:pPr>
  </w:style>
  <w:style w:type="paragraph" w:styleId="FootnoteText">
    <w:name w:val="footnote text"/>
    <w:basedOn w:val="Normal"/>
    <w:link w:val="FootnoteTextChar"/>
    <w:uiPriority w:val="99"/>
    <w:qFormat/>
    <w:rsid w:val="008475F1"/>
    <w:rPr>
      <w:sz w:val="18"/>
    </w:rPr>
  </w:style>
  <w:style w:type="character" w:customStyle="1" w:styleId="FootnoteTextChar">
    <w:name w:val="Footnote Text Char"/>
    <w:basedOn w:val="DefaultParagraphFont"/>
    <w:link w:val="FootnoteText"/>
    <w:uiPriority w:val="99"/>
    <w:rsid w:val="008475F1"/>
    <w:rPr>
      <w:sz w:val="18"/>
    </w:rPr>
  </w:style>
  <w:style w:type="character" w:styleId="FootnoteReference">
    <w:name w:val="footnote reference"/>
    <w:basedOn w:val="DefaultParagraphFont"/>
    <w:rsid w:val="00C2152D"/>
    <w:rPr>
      <w:vertAlign w:val="superscript"/>
    </w:rPr>
  </w:style>
  <w:style w:type="paragraph" w:customStyle="1" w:styleId="Definitions">
    <w:name w:val="Definitions"/>
    <w:uiPriority w:val="99"/>
    <w:qFormat/>
    <w:rsid w:val="00562923"/>
    <w:pPr>
      <w:numPr>
        <w:numId w:val="7"/>
      </w:numPr>
      <w:spacing w:after="240"/>
      <w:outlineLvl w:val="0"/>
    </w:pPr>
  </w:style>
  <w:style w:type="paragraph" w:customStyle="1" w:styleId="Definitions1">
    <w:name w:val="Definitions 1"/>
    <w:uiPriority w:val="99"/>
    <w:qFormat/>
    <w:rsid w:val="00562923"/>
    <w:pPr>
      <w:numPr>
        <w:ilvl w:val="1"/>
        <w:numId w:val="7"/>
      </w:numPr>
      <w:spacing w:after="240"/>
      <w:outlineLvl w:val="1"/>
    </w:pPr>
  </w:style>
  <w:style w:type="paragraph" w:customStyle="1" w:styleId="Definitions2">
    <w:name w:val="Definitions 2"/>
    <w:uiPriority w:val="99"/>
    <w:qFormat/>
    <w:rsid w:val="00562923"/>
    <w:pPr>
      <w:numPr>
        <w:ilvl w:val="2"/>
        <w:numId w:val="7"/>
      </w:numPr>
      <w:spacing w:after="240"/>
      <w:outlineLvl w:val="2"/>
    </w:pPr>
  </w:style>
  <w:style w:type="paragraph" w:styleId="Header">
    <w:name w:val="header"/>
    <w:basedOn w:val="Normal"/>
    <w:link w:val="HeaderChar"/>
    <w:uiPriority w:val="99"/>
    <w:qFormat/>
    <w:rsid w:val="00574269"/>
    <w:pPr>
      <w:tabs>
        <w:tab w:val="center" w:pos="4513"/>
        <w:tab w:val="right" w:pos="9026"/>
      </w:tabs>
    </w:pPr>
  </w:style>
  <w:style w:type="character" w:customStyle="1" w:styleId="HeaderChar">
    <w:name w:val="Header Char"/>
    <w:basedOn w:val="DefaultParagraphFont"/>
    <w:link w:val="Header"/>
    <w:uiPriority w:val="99"/>
    <w:rsid w:val="00574269"/>
  </w:style>
  <w:style w:type="paragraph" w:styleId="Footer">
    <w:name w:val="footer"/>
    <w:basedOn w:val="Normal"/>
    <w:link w:val="FooterChar"/>
    <w:uiPriority w:val="99"/>
    <w:qFormat/>
    <w:rsid w:val="00574269"/>
    <w:pPr>
      <w:tabs>
        <w:tab w:val="center" w:pos="4513"/>
        <w:tab w:val="right" w:pos="9026"/>
      </w:tabs>
    </w:pPr>
  </w:style>
  <w:style w:type="character" w:customStyle="1" w:styleId="FooterChar">
    <w:name w:val="Footer Char"/>
    <w:basedOn w:val="DefaultParagraphFont"/>
    <w:link w:val="Footer"/>
    <w:uiPriority w:val="99"/>
    <w:rsid w:val="00574269"/>
  </w:style>
  <w:style w:type="character" w:styleId="Hyperlink">
    <w:name w:val="Hyperlink"/>
    <w:basedOn w:val="DefaultParagraphFont"/>
    <w:uiPriority w:val="99"/>
    <w:rsid w:val="0082754E"/>
    <w:rPr>
      <w:color w:val="0563C1" w:themeColor="hyperlink"/>
      <w:u w:val="single"/>
    </w:rPr>
  </w:style>
  <w:style w:type="paragraph" w:styleId="TOC1">
    <w:name w:val="toc 1"/>
    <w:next w:val="Normal"/>
    <w:autoRedefine/>
    <w:uiPriority w:val="39"/>
    <w:rsid w:val="00B52BF5"/>
    <w:pPr>
      <w:tabs>
        <w:tab w:val="left" w:pos="709"/>
        <w:tab w:val="right" w:leader="dot" w:pos="9061"/>
      </w:tabs>
    </w:pPr>
    <w:rPr>
      <w:b/>
      <w:caps/>
      <w:szCs w:val="22"/>
    </w:rPr>
  </w:style>
  <w:style w:type="paragraph" w:styleId="TOC2">
    <w:name w:val="toc 2"/>
    <w:next w:val="Normal"/>
    <w:autoRedefine/>
    <w:uiPriority w:val="39"/>
    <w:rsid w:val="00BB2C0E"/>
    <w:pPr>
      <w:spacing w:before="60" w:after="60"/>
      <w:ind w:left="709"/>
    </w:pPr>
    <w:rPr>
      <w:b/>
      <w:szCs w:val="22"/>
    </w:rPr>
  </w:style>
  <w:style w:type="paragraph" w:styleId="TOC3">
    <w:name w:val="toc 3"/>
    <w:basedOn w:val="Normal"/>
    <w:next w:val="Normal"/>
    <w:autoRedefine/>
    <w:uiPriority w:val="39"/>
    <w:rsid w:val="0004552F"/>
    <w:pPr>
      <w:spacing w:after="100"/>
      <w:ind w:left="400"/>
    </w:pPr>
  </w:style>
  <w:style w:type="paragraph" w:styleId="TOC4">
    <w:name w:val="toc 4"/>
    <w:basedOn w:val="Normal"/>
    <w:next w:val="Normal"/>
    <w:autoRedefine/>
    <w:uiPriority w:val="39"/>
    <w:rsid w:val="0004552F"/>
    <w:pPr>
      <w:spacing w:after="100"/>
      <w:ind w:left="600"/>
    </w:pPr>
  </w:style>
  <w:style w:type="paragraph" w:styleId="TOC5">
    <w:name w:val="toc 5"/>
    <w:basedOn w:val="Normal"/>
    <w:next w:val="Normal"/>
    <w:autoRedefine/>
    <w:uiPriority w:val="39"/>
    <w:rsid w:val="0004552F"/>
    <w:pPr>
      <w:spacing w:after="100"/>
      <w:ind w:left="800"/>
    </w:pPr>
  </w:style>
  <w:style w:type="paragraph" w:styleId="TOC6">
    <w:name w:val="toc 6"/>
    <w:basedOn w:val="Normal"/>
    <w:next w:val="Normal"/>
    <w:autoRedefine/>
    <w:uiPriority w:val="39"/>
    <w:rsid w:val="0004552F"/>
    <w:pPr>
      <w:spacing w:after="100"/>
      <w:ind w:left="1000"/>
    </w:pPr>
  </w:style>
  <w:style w:type="paragraph" w:styleId="TOC7">
    <w:name w:val="toc 7"/>
    <w:basedOn w:val="Normal"/>
    <w:next w:val="Normal"/>
    <w:autoRedefine/>
    <w:uiPriority w:val="39"/>
    <w:rsid w:val="0004552F"/>
    <w:pPr>
      <w:spacing w:after="100"/>
      <w:ind w:left="1200"/>
    </w:pPr>
  </w:style>
  <w:style w:type="paragraph" w:styleId="TOC8">
    <w:name w:val="toc 8"/>
    <w:basedOn w:val="Normal"/>
    <w:next w:val="Normal"/>
    <w:autoRedefine/>
    <w:uiPriority w:val="39"/>
    <w:rsid w:val="0004552F"/>
    <w:pPr>
      <w:spacing w:after="100"/>
      <w:ind w:left="1400"/>
    </w:pPr>
  </w:style>
  <w:style w:type="paragraph" w:styleId="TOC9">
    <w:name w:val="toc 9"/>
    <w:basedOn w:val="Normal"/>
    <w:next w:val="Normal"/>
    <w:autoRedefine/>
    <w:uiPriority w:val="39"/>
    <w:rsid w:val="0004552F"/>
    <w:pPr>
      <w:spacing w:after="100"/>
      <w:ind w:left="1600"/>
    </w:pPr>
  </w:style>
  <w:style w:type="paragraph" w:styleId="Title">
    <w:name w:val="Title"/>
    <w:next w:val="Normal"/>
    <w:link w:val="TitleChar"/>
    <w:uiPriority w:val="10"/>
    <w:qFormat/>
    <w:rsid w:val="00E22AB8"/>
    <w:pPr>
      <w:keepNext/>
      <w:spacing w:after="240"/>
      <w:jc w:val="center"/>
    </w:pPr>
    <w:rPr>
      <w:b/>
    </w:rPr>
  </w:style>
  <w:style w:type="character" w:customStyle="1" w:styleId="TitleChar">
    <w:name w:val="Title Char"/>
    <w:basedOn w:val="DefaultParagraphFont"/>
    <w:link w:val="Title"/>
    <w:uiPriority w:val="10"/>
    <w:rsid w:val="00E22AB8"/>
    <w:rPr>
      <w:b/>
      <w:color w:val="000000"/>
      <w:sz w:val="22"/>
      <w:szCs w:val="52"/>
    </w:rPr>
  </w:style>
  <w:style w:type="table" w:customStyle="1" w:styleId="TableGrid">
    <w:name w:val="TableGrid"/>
    <w:rsid w:val="0048699F"/>
    <w:rPr>
      <w:rFonts w:asciiTheme="minorHAnsi" w:eastAsiaTheme="minorEastAsia" w:hAnsiTheme="minorHAnsi" w:cstheme="minorBidi"/>
      <w:color w:val="auto"/>
      <w:sz w:val="22"/>
      <w:szCs w:val="22"/>
    </w:rPr>
    <w:tblPr>
      <w:tblCellMar>
        <w:top w:w="0" w:type="dxa"/>
        <w:left w:w="0" w:type="dxa"/>
        <w:bottom w:w="0" w:type="dxa"/>
        <w:right w:w="0" w:type="dxa"/>
      </w:tblCellMar>
    </w:tblPr>
  </w:style>
  <w:style w:type="character" w:customStyle="1" w:styleId="CommentTextChar">
    <w:name w:val="Comment Text Char"/>
    <w:basedOn w:val="DefaultParagraphFont"/>
    <w:uiPriority w:val="99"/>
    <w:rsid w:val="0048699F"/>
    <w:rPr>
      <w:rFonts w:ascii="Calibri" w:eastAsia="Calibri" w:hAnsi="Calibri" w:cs="Calibri"/>
      <w:color w:val="000000"/>
    </w:rPr>
  </w:style>
  <w:style w:type="character" w:styleId="CommentReference">
    <w:name w:val="annotation reference"/>
    <w:basedOn w:val="DefaultParagraphFont"/>
    <w:uiPriority w:val="99"/>
    <w:semiHidden/>
    <w:rsid w:val="0048699F"/>
    <w:rPr>
      <w:sz w:val="16"/>
      <w:szCs w:val="16"/>
    </w:rPr>
  </w:style>
  <w:style w:type="paragraph" w:styleId="CommentText">
    <w:name w:val="annotation text"/>
    <w:basedOn w:val="Normal"/>
    <w:link w:val="CommentTextChar1"/>
    <w:uiPriority w:val="99"/>
    <w:qFormat/>
    <w:rsid w:val="0048699F"/>
    <w:pPr>
      <w:spacing w:after="160"/>
    </w:pPr>
    <w:rPr>
      <w:rFonts w:ascii="Calibri" w:eastAsia="Calibri" w:hAnsi="Calibri" w:cs="Calibri"/>
      <w:szCs w:val="20"/>
    </w:rPr>
  </w:style>
  <w:style w:type="character" w:customStyle="1" w:styleId="CommentTextChar1">
    <w:name w:val="Comment Text Char1"/>
    <w:basedOn w:val="DefaultParagraphFont"/>
    <w:link w:val="CommentText"/>
    <w:uiPriority w:val="99"/>
    <w:rsid w:val="0048699F"/>
    <w:rPr>
      <w:rFonts w:ascii="Calibri" w:eastAsia="Calibri" w:hAnsi="Calibri" w:cs="Calibri"/>
      <w:szCs w:val="20"/>
    </w:rPr>
  </w:style>
  <w:style w:type="character" w:customStyle="1" w:styleId="BalloonTextChar1">
    <w:name w:val="Balloon Text Char1"/>
    <w:basedOn w:val="DefaultParagraphFont"/>
    <w:uiPriority w:val="99"/>
    <w:semiHidden/>
    <w:rsid w:val="0048699F"/>
    <w:rPr>
      <w:rFonts w:ascii="Segoe UI" w:eastAsia="Calibri" w:hAnsi="Segoe UI" w:cs="Segoe UI"/>
      <w:color w:val="000000"/>
      <w:sz w:val="18"/>
      <w:szCs w:val="18"/>
    </w:rPr>
  </w:style>
  <w:style w:type="paragraph" w:styleId="CommentSubject">
    <w:name w:val="annotation subject"/>
    <w:basedOn w:val="CommentText"/>
    <w:next w:val="CommentText"/>
    <w:link w:val="CommentSubjectChar"/>
    <w:uiPriority w:val="99"/>
    <w:semiHidden/>
    <w:rsid w:val="00ED54D6"/>
    <w:pPr>
      <w:spacing w:after="0"/>
    </w:pPr>
    <w:rPr>
      <w:rFonts w:ascii="Arial" w:eastAsia="Times New Roman" w:hAnsi="Arial" w:cs="Times New Roman"/>
      <w:b/>
      <w:bCs/>
    </w:rPr>
  </w:style>
  <w:style w:type="character" w:customStyle="1" w:styleId="CommentSubjectChar">
    <w:name w:val="Comment Subject Char"/>
    <w:basedOn w:val="CommentTextChar1"/>
    <w:link w:val="CommentSubject"/>
    <w:uiPriority w:val="99"/>
    <w:semiHidden/>
    <w:rsid w:val="00ED54D6"/>
    <w:rPr>
      <w:rFonts w:ascii="Calibri" w:eastAsia="Calibri" w:hAnsi="Calibri" w:cs="Calibri"/>
      <w:b/>
      <w:bCs/>
      <w:szCs w:val="20"/>
    </w:rPr>
  </w:style>
  <w:style w:type="paragraph" w:styleId="Revision">
    <w:name w:val="Revision"/>
    <w:hidden/>
    <w:uiPriority w:val="99"/>
    <w:semiHidden/>
    <w:rsid w:val="00541592"/>
  </w:style>
  <w:style w:type="paragraph" w:customStyle="1" w:styleId="Level1">
    <w:name w:val="Level 1"/>
    <w:aliases w:val="l1"/>
    <w:basedOn w:val="Normal"/>
    <w:uiPriority w:val="99"/>
    <w:qFormat/>
    <w:rsid w:val="00932673"/>
    <w:pPr>
      <w:numPr>
        <w:numId w:val="34"/>
      </w:numPr>
      <w:spacing w:after="240" w:line="312" w:lineRule="auto"/>
      <w:outlineLvl w:val="0"/>
    </w:pPr>
    <w:rPr>
      <w:rFonts w:ascii="Verdana" w:hAnsi="Verdana"/>
      <w:color w:val="auto"/>
      <w:szCs w:val="20"/>
    </w:rPr>
  </w:style>
  <w:style w:type="paragraph" w:customStyle="1" w:styleId="Level2">
    <w:name w:val="Level 2"/>
    <w:aliases w:val="l2"/>
    <w:basedOn w:val="Normal"/>
    <w:uiPriority w:val="99"/>
    <w:qFormat/>
    <w:rsid w:val="00932673"/>
    <w:pPr>
      <w:numPr>
        <w:ilvl w:val="1"/>
        <w:numId w:val="34"/>
      </w:numPr>
      <w:spacing w:after="240" w:line="312" w:lineRule="auto"/>
      <w:outlineLvl w:val="1"/>
    </w:pPr>
    <w:rPr>
      <w:rFonts w:ascii="Verdana" w:hAnsi="Verdana"/>
      <w:color w:val="auto"/>
      <w:szCs w:val="20"/>
    </w:rPr>
  </w:style>
  <w:style w:type="paragraph" w:customStyle="1" w:styleId="Level3">
    <w:name w:val="Level 3"/>
    <w:aliases w:val="l3"/>
    <w:basedOn w:val="Normal"/>
    <w:link w:val="Level3Char"/>
    <w:uiPriority w:val="99"/>
    <w:qFormat/>
    <w:rsid w:val="00932673"/>
    <w:pPr>
      <w:numPr>
        <w:ilvl w:val="2"/>
        <w:numId w:val="34"/>
      </w:numPr>
      <w:spacing w:line="312" w:lineRule="auto"/>
      <w:outlineLvl w:val="2"/>
    </w:pPr>
    <w:rPr>
      <w:rFonts w:ascii="Verdana" w:hAnsi="Verdana"/>
      <w:color w:val="auto"/>
      <w:szCs w:val="20"/>
    </w:rPr>
  </w:style>
  <w:style w:type="paragraph" w:customStyle="1" w:styleId="Level4">
    <w:name w:val="Level 4"/>
    <w:basedOn w:val="Normal"/>
    <w:uiPriority w:val="99"/>
    <w:qFormat/>
    <w:rsid w:val="00932673"/>
    <w:pPr>
      <w:numPr>
        <w:ilvl w:val="3"/>
        <w:numId w:val="34"/>
      </w:numPr>
      <w:spacing w:after="240" w:line="312" w:lineRule="auto"/>
      <w:outlineLvl w:val="3"/>
    </w:pPr>
    <w:rPr>
      <w:rFonts w:ascii="Verdana" w:hAnsi="Verdana"/>
      <w:color w:val="auto"/>
      <w:szCs w:val="20"/>
    </w:rPr>
  </w:style>
  <w:style w:type="paragraph" w:customStyle="1" w:styleId="Level5">
    <w:name w:val="Level 5"/>
    <w:aliases w:val="l5"/>
    <w:basedOn w:val="Normal"/>
    <w:uiPriority w:val="99"/>
    <w:qFormat/>
    <w:rsid w:val="00932673"/>
    <w:pPr>
      <w:numPr>
        <w:ilvl w:val="4"/>
        <w:numId w:val="34"/>
      </w:numPr>
      <w:spacing w:after="240" w:line="312" w:lineRule="auto"/>
      <w:outlineLvl w:val="4"/>
    </w:pPr>
    <w:rPr>
      <w:rFonts w:ascii="Verdana" w:hAnsi="Verdana"/>
      <w:color w:val="auto"/>
      <w:szCs w:val="20"/>
    </w:rPr>
  </w:style>
  <w:style w:type="paragraph" w:styleId="ListParagraph">
    <w:name w:val="List Paragraph"/>
    <w:aliases w:val="EG Bullet 1,lp1,Paragraphe de liste1,List1,Numbered Indented Text,Figure_name,List Paragraph1,List Paragraph Char Char,Number_1,new,SGLText List Paragraph,List Paragraph11,List Paragraph2,Colorful List - Accent 11,Normal Sentence,ListPar1"/>
    <w:basedOn w:val="Normal"/>
    <w:link w:val="ListParagraphChar"/>
    <w:uiPriority w:val="34"/>
    <w:qFormat/>
    <w:rsid w:val="00932673"/>
    <w:pPr>
      <w:spacing w:after="160" w:line="259" w:lineRule="auto"/>
      <w:ind w:left="720"/>
      <w:contextualSpacing/>
    </w:pPr>
    <w:rPr>
      <w:rFonts w:asciiTheme="minorHAnsi" w:eastAsiaTheme="minorHAnsi" w:hAnsiTheme="minorHAnsi" w:cstheme="minorBidi"/>
      <w:color w:val="auto"/>
      <w:sz w:val="22"/>
      <w:szCs w:val="22"/>
      <w:lang w:eastAsia="en-US"/>
    </w:rPr>
  </w:style>
  <w:style w:type="paragraph" w:customStyle="1" w:styleId="TableParagraph">
    <w:name w:val="Table Paragraph"/>
    <w:basedOn w:val="Normal"/>
    <w:uiPriority w:val="1"/>
    <w:qFormat/>
    <w:rsid w:val="00932673"/>
    <w:pPr>
      <w:widowControl w:val="0"/>
      <w:autoSpaceDE w:val="0"/>
      <w:autoSpaceDN w:val="0"/>
    </w:pPr>
    <w:rPr>
      <w:rFonts w:eastAsia="Arial" w:cs="Arial"/>
      <w:color w:val="auto"/>
      <w:sz w:val="22"/>
      <w:szCs w:val="22"/>
      <w:lang w:eastAsia="en-US"/>
    </w:rPr>
  </w:style>
  <w:style w:type="table" w:styleId="TableGrid0">
    <w:name w:val="Table Grid"/>
    <w:basedOn w:val="TableNormal"/>
    <w:rsid w:val="00932673"/>
    <w:rPr>
      <w:rFonts w:asciiTheme="minorHAnsi" w:eastAsiaTheme="minorHAnsi" w:hAnsiTheme="minorHAnsi" w:cstheme="minorBidi"/>
      <w:color w:val="auto"/>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over-Title Char,Headering 1 Char,Outline1 Char,Subhead A Char,Section Heading Char,h1 Char,Attribute Heading 1 Char,Roman 14 B Heading Char,Roman 14 B Heading1 Char,Roman 14 B Heading2 Char,Roman 14 B Heading11 Char,new page/chapter Char"/>
    <w:link w:val="Heading1"/>
    <w:uiPriority w:val="9"/>
    <w:rsid w:val="007B00B3"/>
    <w:rPr>
      <w:rFonts w:cs="Tahoma"/>
      <w:b/>
      <w:bCs/>
      <w:caps/>
      <w:szCs w:val="32"/>
    </w:rPr>
  </w:style>
  <w:style w:type="character" w:customStyle="1" w:styleId="Heading2Char">
    <w:name w:val="Heading 2 Char"/>
    <w:aliases w:val="Heading Style 01 Char,h2 Char,Level 2 Topic Heading Char,L2 Char,dd heading 2 Char,dh2 Char,Heading B Char,(Alt+2) Char,Attribute Heading 2 Char,Level Heading 2 Char,H21 Char,H22 Char,H23 Char,H211 Char,H221 Char,H24 Char,H212 Char"/>
    <w:link w:val="Heading2"/>
    <w:uiPriority w:val="9"/>
    <w:rsid w:val="007B00B3"/>
    <w:rPr>
      <w:bCs/>
      <w:iCs/>
      <w:szCs w:val="28"/>
    </w:rPr>
  </w:style>
  <w:style w:type="character" w:customStyle="1" w:styleId="Heading3Char">
    <w:name w:val="Heading 3 Char"/>
    <w:aliases w:val="Heading Stlye 02 Char,3 Char,h3 Char,Level 3 Topic Heading Char,h31 Char,h32 Char,L3 Char,l31 Char,3rd level Char,Head 3 Char,subhead Char,1. Char,TF-Overskrift 3 Char,titre 1.1.1 Char,ITT t3 Char,PA Minor Section Char,l32 Char,CT Char"/>
    <w:link w:val="Heading30"/>
    <w:uiPriority w:val="9"/>
    <w:rsid w:val="00346A37"/>
    <w:rPr>
      <w:rFonts w:cs="Arial"/>
      <w:bCs/>
      <w:iCs/>
      <w:szCs w:val="20"/>
    </w:rPr>
  </w:style>
  <w:style w:type="character" w:customStyle="1" w:styleId="Heading4Char">
    <w:name w:val="Heading 4 Char"/>
    <w:aliases w:val="Heading Stle 03 Char,h4 Char,14 Char,l4 Char,4 Char,141 Char,h41 Char,l41 Char,41 Char,142 Char,h42 Char,l42 Char,h43 Char,a. Char,Map Title Char,42 Char,parapoint Char,¶ Char,143 Char,h44 Char,l43 Char,43 Char,1411 Char,h411 Char,¶1 Char"/>
    <w:link w:val="Heading4"/>
    <w:uiPriority w:val="9"/>
    <w:rsid w:val="007B00B3"/>
    <w:rPr>
      <w:bCs/>
      <w:szCs w:val="28"/>
    </w:rPr>
  </w:style>
  <w:style w:type="character" w:customStyle="1" w:styleId="Heading5Char">
    <w:name w:val="Heading 5 Char"/>
    <w:aliases w:val="Heading 5(unused) Char,Level 3 - (i) Char,Third Level Heading Char,h5 Char,Subheading Char,Level 3 - i Char,Lev 5 Char,Response Type Char,Response Type1 Char,Response Type2 Char,Response Type3 Char,Response Type4 Char,Response Type5 Char"/>
    <w:link w:val="Heading5"/>
    <w:uiPriority w:val="9"/>
    <w:rsid w:val="007B00B3"/>
    <w:rPr>
      <w:bCs/>
      <w:iCs/>
      <w:szCs w:val="26"/>
    </w:rPr>
  </w:style>
  <w:style w:type="paragraph" w:styleId="Caption">
    <w:name w:val="caption"/>
    <w:aliases w:val="Caption Char2,Caption Char1 Char,Caption Char2 Char Char,Caption Char1 Char Char Char,Caption Char Char Char Char Char,Caption Char1 Char1,Tabellenverzeichnis,Char,cp,c,Pg1Title,Caption Table,Table &amp; Fig,Table Fig,Table Title,(MYCOM Legend),ct"/>
    <w:basedOn w:val="Normal"/>
    <w:next w:val="Normal"/>
    <w:link w:val="CaptionChar"/>
    <w:unhideWhenUsed/>
    <w:qFormat/>
    <w:rsid w:val="007B00B3"/>
    <w:rPr>
      <w:rFonts w:ascii="Verdana" w:hAnsi="Verdana"/>
      <w:b/>
      <w:bCs/>
      <w:color w:val="auto"/>
      <w:szCs w:val="20"/>
    </w:rPr>
  </w:style>
  <w:style w:type="character" w:customStyle="1" w:styleId="Heading6Char">
    <w:name w:val="Heading 6 Char"/>
    <w:aliases w:val="Heading 6(unused) Char,Legal Level 1. Char,L1 PIP Char,Lev 6 Char,Heading 6  Appendix Y &amp; Z Char,sub-dash Char,sd Char,5 Char,H6 Char,Normal diagram Char,ITT t6 Char,PA Appendix Char,H6 DO NOT USE Char,bullet2 Char,Blank 2 Char,h6 Char"/>
    <w:basedOn w:val="DefaultParagraphFont"/>
    <w:link w:val="Heading6"/>
    <w:uiPriority w:val="9"/>
    <w:rsid w:val="007B00B3"/>
    <w:rPr>
      <w:bCs/>
      <w:szCs w:val="22"/>
    </w:rPr>
  </w:style>
  <w:style w:type="character" w:customStyle="1" w:styleId="Heading7Char">
    <w:name w:val="Heading 7 Char"/>
    <w:basedOn w:val="DefaultParagraphFont"/>
    <w:link w:val="Heading7"/>
    <w:uiPriority w:val="9"/>
    <w:rsid w:val="007B00B3"/>
    <w:rPr>
      <w:szCs w:val="22"/>
    </w:rPr>
  </w:style>
  <w:style w:type="character" w:customStyle="1" w:styleId="Heading8Char">
    <w:name w:val="Heading 8 Char"/>
    <w:basedOn w:val="DefaultParagraphFont"/>
    <w:link w:val="Heading8"/>
    <w:uiPriority w:val="9"/>
    <w:semiHidden/>
    <w:rsid w:val="007B00B3"/>
    <w:rPr>
      <w:szCs w:val="22"/>
    </w:rPr>
  </w:style>
  <w:style w:type="character" w:customStyle="1" w:styleId="Heading9Char">
    <w:name w:val="Heading 9 Char"/>
    <w:basedOn w:val="DefaultParagraphFont"/>
    <w:link w:val="Heading9"/>
    <w:uiPriority w:val="9"/>
    <w:rsid w:val="007B00B3"/>
  </w:style>
  <w:style w:type="character" w:customStyle="1" w:styleId="CrossReference">
    <w:name w:val="Cross Reference"/>
    <w:basedOn w:val="DefaultParagraphFont"/>
    <w:qFormat/>
    <w:rsid w:val="007B00B3"/>
    <w:rPr>
      <w:b/>
    </w:rPr>
  </w:style>
  <w:style w:type="character" w:styleId="PageNumber">
    <w:name w:val="page number"/>
    <w:basedOn w:val="DefaultParagraphFont"/>
    <w:semiHidden/>
    <w:rsid w:val="007B00B3"/>
    <w:rPr>
      <w:sz w:val="16"/>
    </w:rPr>
  </w:style>
  <w:style w:type="paragraph" w:customStyle="1" w:styleId="Information">
    <w:name w:val="Information"/>
    <w:basedOn w:val="Normal"/>
    <w:uiPriority w:val="99"/>
    <w:rsid w:val="007B00B3"/>
    <w:rPr>
      <w:rFonts w:ascii="Calibri" w:hAnsi="Calibri"/>
      <w:color w:val="auto"/>
      <w:kern w:val="20"/>
      <w:szCs w:val="20"/>
    </w:rPr>
  </w:style>
  <w:style w:type="table" w:customStyle="1" w:styleId="GridTable5Dark-Accent21">
    <w:name w:val="Grid Table 5 Dark - Accent 21"/>
    <w:basedOn w:val="TableNormal"/>
    <w:uiPriority w:val="50"/>
    <w:rsid w:val="007B00B3"/>
    <w:rPr>
      <w:rFonts w:ascii="Calibri" w:hAnsi="Calibri"/>
      <w:color w:val="auto"/>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GridLight">
    <w:name w:val="Grid Table Light"/>
    <w:basedOn w:val="TableNormal"/>
    <w:uiPriority w:val="40"/>
    <w:rsid w:val="007B00B3"/>
    <w:rPr>
      <w:rFonts w:asciiTheme="minorHAnsi" w:eastAsiaTheme="minorHAnsi" w:hAnsiTheme="minorHAnsi" w:cstheme="minorBidi"/>
      <w:color w:val="auto"/>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7B00B3"/>
    <w:rPr>
      <w:rFonts w:asciiTheme="minorHAnsi" w:eastAsiaTheme="minorHAnsi" w:hAnsiTheme="minorHAnsi" w:cstheme="minorBidi"/>
      <w:color w:val="auto"/>
      <w:sz w:val="22"/>
      <w:szCs w:val="22"/>
      <w:lang w:eastAsia="en-U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TableName">
    <w:name w:val="Table Name"/>
    <w:basedOn w:val="Normal"/>
    <w:link w:val="TableNameChar"/>
    <w:qFormat/>
    <w:rsid w:val="007B00B3"/>
    <w:rPr>
      <w:rFonts w:ascii="Verdana" w:hAnsi="Verdana"/>
      <w:b/>
      <w:bCs/>
      <w:color w:val="auto"/>
      <w:szCs w:val="20"/>
    </w:rPr>
  </w:style>
  <w:style w:type="character" w:customStyle="1" w:styleId="TableNameChar">
    <w:name w:val="Table Name Char"/>
    <w:basedOn w:val="DefaultParagraphFont"/>
    <w:link w:val="TableName"/>
    <w:rsid w:val="007B00B3"/>
    <w:rPr>
      <w:rFonts w:ascii="Verdana" w:hAnsi="Verdana"/>
      <w:b/>
      <w:bCs/>
      <w:color w:val="auto"/>
      <w:szCs w:val="20"/>
    </w:rPr>
  </w:style>
  <w:style w:type="paragraph" w:styleId="ListBullet2">
    <w:name w:val="List Bullet 2"/>
    <w:basedOn w:val="Normal"/>
    <w:uiPriority w:val="99"/>
    <w:qFormat/>
    <w:rsid w:val="007B00B3"/>
    <w:pPr>
      <w:numPr>
        <w:ilvl w:val="1"/>
        <w:numId w:val="22"/>
      </w:numPr>
      <w:spacing w:before="100" w:after="100"/>
      <w:contextualSpacing/>
    </w:pPr>
    <w:rPr>
      <w:rFonts w:ascii="Calibri" w:eastAsiaTheme="minorHAnsi" w:hAnsi="Calibri" w:cstheme="minorBidi"/>
      <w:color w:val="000000" w:themeColor="text1"/>
      <w:sz w:val="22"/>
      <w:szCs w:val="22"/>
      <w:lang w:eastAsia="en-US"/>
    </w:rPr>
  </w:style>
  <w:style w:type="character" w:styleId="FollowedHyperlink">
    <w:name w:val="FollowedHyperlink"/>
    <w:basedOn w:val="DefaultParagraphFont"/>
    <w:unhideWhenUsed/>
    <w:rsid w:val="007B00B3"/>
    <w:rPr>
      <w:color w:val="954F72"/>
      <w:u w:val="single"/>
    </w:rPr>
  </w:style>
  <w:style w:type="paragraph" w:customStyle="1" w:styleId="msonormal0">
    <w:name w:val="msonormal"/>
    <w:basedOn w:val="Normal"/>
    <w:uiPriority w:val="99"/>
    <w:rsid w:val="007B00B3"/>
    <w:pPr>
      <w:spacing w:before="100" w:beforeAutospacing="1" w:after="100" w:afterAutospacing="1"/>
    </w:pPr>
    <w:rPr>
      <w:rFonts w:ascii="Times New Roman" w:hAnsi="Times New Roman"/>
      <w:color w:val="auto"/>
      <w:sz w:val="24"/>
      <w:szCs w:val="24"/>
    </w:rPr>
  </w:style>
  <w:style w:type="paragraph" w:customStyle="1" w:styleId="xl66">
    <w:name w:val="xl66"/>
    <w:basedOn w:val="Normal"/>
    <w:uiPriority w:val="99"/>
    <w:rsid w:val="007B00B3"/>
    <w:pPr>
      <w:shd w:val="clear" w:color="000000" w:fill="FFFFFF"/>
      <w:spacing w:before="100" w:beforeAutospacing="1" w:after="100" w:afterAutospacing="1"/>
    </w:pPr>
    <w:rPr>
      <w:rFonts w:ascii="Times New Roman" w:hAnsi="Times New Roman"/>
      <w:color w:val="auto"/>
      <w:sz w:val="24"/>
      <w:szCs w:val="24"/>
    </w:rPr>
  </w:style>
  <w:style w:type="paragraph" w:customStyle="1" w:styleId="xl67">
    <w:name w:val="xl67"/>
    <w:basedOn w:val="Normal"/>
    <w:uiPriority w:val="99"/>
    <w:rsid w:val="007B00B3"/>
    <w:pPr>
      <w:shd w:val="clear" w:color="000000" w:fill="FFFFFF"/>
      <w:spacing w:before="100" w:beforeAutospacing="1" w:after="100" w:afterAutospacing="1"/>
      <w:jc w:val="center"/>
      <w:textAlignment w:val="center"/>
    </w:pPr>
    <w:rPr>
      <w:rFonts w:ascii="Times New Roman" w:hAnsi="Times New Roman"/>
      <w:color w:val="auto"/>
      <w:sz w:val="24"/>
      <w:szCs w:val="24"/>
    </w:rPr>
  </w:style>
  <w:style w:type="paragraph" w:customStyle="1" w:styleId="xl68">
    <w:name w:val="xl68"/>
    <w:basedOn w:val="Normal"/>
    <w:uiPriority w:val="99"/>
    <w:rsid w:val="007B00B3"/>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textAlignment w:val="center"/>
    </w:pPr>
    <w:rPr>
      <w:rFonts w:ascii="Verdana" w:hAnsi="Verdana"/>
      <w:b/>
      <w:bCs/>
      <w:color w:val="FFFFFF"/>
      <w:szCs w:val="20"/>
    </w:rPr>
  </w:style>
  <w:style w:type="paragraph" w:customStyle="1" w:styleId="xl69">
    <w:name w:val="xl69"/>
    <w:basedOn w:val="Normal"/>
    <w:uiPriority w:val="99"/>
    <w:rsid w:val="007B00B3"/>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textAlignment w:val="center"/>
    </w:pPr>
    <w:rPr>
      <w:rFonts w:ascii="Verdana" w:hAnsi="Verdana"/>
      <w:b/>
      <w:bCs/>
      <w:color w:val="FFFFFF"/>
      <w:szCs w:val="20"/>
    </w:rPr>
  </w:style>
  <w:style w:type="paragraph" w:customStyle="1" w:styleId="xl70">
    <w:name w:val="xl70"/>
    <w:basedOn w:val="Normal"/>
    <w:uiPriority w:val="99"/>
    <w:rsid w:val="007B00B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Verdana" w:hAnsi="Verdana"/>
      <w:color w:val="auto"/>
      <w:szCs w:val="20"/>
    </w:rPr>
  </w:style>
  <w:style w:type="paragraph" w:customStyle="1" w:styleId="xl71">
    <w:name w:val="xl71"/>
    <w:basedOn w:val="Normal"/>
    <w:uiPriority w:val="99"/>
    <w:rsid w:val="007B00B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Verdana" w:hAnsi="Verdana"/>
      <w:color w:val="auto"/>
      <w:szCs w:val="20"/>
    </w:rPr>
  </w:style>
  <w:style w:type="paragraph" w:customStyle="1" w:styleId="xl72">
    <w:name w:val="xl72"/>
    <w:basedOn w:val="Normal"/>
    <w:uiPriority w:val="99"/>
    <w:rsid w:val="007B00B3"/>
    <w:pPr>
      <w:spacing w:before="100" w:beforeAutospacing="1" w:after="100" w:afterAutospacing="1"/>
      <w:textAlignment w:val="center"/>
    </w:pPr>
    <w:rPr>
      <w:rFonts w:ascii="Times New Roman" w:hAnsi="Times New Roman"/>
      <w:color w:val="auto"/>
      <w:sz w:val="24"/>
      <w:szCs w:val="24"/>
    </w:rPr>
  </w:style>
  <w:style w:type="paragraph" w:customStyle="1" w:styleId="xl73">
    <w:name w:val="xl73"/>
    <w:basedOn w:val="Normal"/>
    <w:uiPriority w:val="99"/>
    <w:rsid w:val="007B00B3"/>
    <w:pPr>
      <w:spacing w:before="100" w:beforeAutospacing="1" w:after="100" w:afterAutospacing="1"/>
    </w:pPr>
    <w:rPr>
      <w:rFonts w:ascii="Times New Roman" w:hAnsi="Times New Roman"/>
      <w:color w:val="auto"/>
      <w:sz w:val="24"/>
      <w:szCs w:val="24"/>
    </w:rPr>
  </w:style>
  <w:style w:type="paragraph" w:customStyle="1" w:styleId="xl74">
    <w:name w:val="xl74"/>
    <w:basedOn w:val="Normal"/>
    <w:uiPriority w:val="99"/>
    <w:rsid w:val="007B00B3"/>
    <w:pPr>
      <w:spacing w:before="100" w:beforeAutospacing="1" w:after="100" w:afterAutospacing="1"/>
      <w:jc w:val="center"/>
      <w:textAlignment w:val="center"/>
    </w:pPr>
    <w:rPr>
      <w:rFonts w:ascii="Times New Roman" w:hAnsi="Times New Roman"/>
      <w:color w:val="auto"/>
      <w:sz w:val="24"/>
      <w:szCs w:val="24"/>
    </w:rPr>
  </w:style>
  <w:style w:type="paragraph" w:customStyle="1" w:styleId="xl75">
    <w:name w:val="xl75"/>
    <w:basedOn w:val="Normal"/>
    <w:uiPriority w:val="99"/>
    <w:rsid w:val="007B00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color w:val="auto"/>
      <w:szCs w:val="20"/>
    </w:rPr>
  </w:style>
  <w:style w:type="paragraph" w:customStyle="1" w:styleId="xl76">
    <w:name w:val="xl76"/>
    <w:basedOn w:val="Normal"/>
    <w:uiPriority w:val="99"/>
    <w:rsid w:val="007B00B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erdana" w:hAnsi="Verdana"/>
      <w:color w:val="auto"/>
      <w:szCs w:val="20"/>
    </w:rPr>
  </w:style>
  <w:style w:type="paragraph" w:customStyle="1" w:styleId="xl77">
    <w:name w:val="xl77"/>
    <w:basedOn w:val="Normal"/>
    <w:uiPriority w:val="99"/>
    <w:rsid w:val="007B00B3"/>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jc w:val="center"/>
      <w:textAlignment w:val="center"/>
    </w:pPr>
    <w:rPr>
      <w:rFonts w:ascii="Verdana" w:hAnsi="Verdana"/>
      <w:color w:val="auto"/>
      <w:szCs w:val="20"/>
    </w:rPr>
  </w:style>
  <w:style w:type="paragraph" w:customStyle="1" w:styleId="xl78">
    <w:name w:val="xl78"/>
    <w:basedOn w:val="Normal"/>
    <w:uiPriority w:val="99"/>
    <w:rsid w:val="007B00B3"/>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textAlignment w:val="center"/>
    </w:pPr>
    <w:rPr>
      <w:rFonts w:ascii="Verdana" w:hAnsi="Verdana"/>
      <w:color w:val="auto"/>
      <w:szCs w:val="20"/>
    </w:rPr>
  </w:style>
  <w:style w:type="paragraph" w:customStyle="1" w:styleId="xl79">
    <w:name w:val="xl79"/>
    <w:basedOn w:val="Normal"/>
    <w:uiPriority w:val="99"/>
    <w:rsid w:val="007B00B3"/>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jc w:val="center"/>
      <w:textAlignment w:val="center"/>
    </w:pPr>
    <w:rPr>
      <w:rFonts w:ascii="Verdana" w:hAnsi="Verdana"/>
      <w:color w:val="auto"/>
      <w:szCs w:val="20"/>
    </w:rPr>
  </w:style>
  <w:style w:type="paragraph" w:customStyle="1" w:styleId="xl80">
    <w:name w:val="xl80"/>
    <w:basedOn w:val="Normal"/>
    <w:uiPriority w:val="99"/>
    <w:rsid w:val="007B00B3"/>
    <w:pPr>
      <w:shd w:val="clear" w:color="000000" w:fill="C6E0B4"/>
      <w:spacing w:before="100" w:beforeAutospacing="1" w:after="100" w:afterAutospacing="1"/>
    </w:pPr>
    <w:rPr>
      <w:rFonts w:ascii="Times New Roman" w:hAnsi="Times New Roman"/>
      <w:color w:val="auto"/>
      <w:sz w:val="24"/>
      <w:szCs w:val="24"/>
    </w:rPr>
  </w:style>
  <w:style w:type="paragraph" w:customStyle="1" w:styleId="xl81">
    <w:name w:val="xl81"/>
    <w:basedOn w:val="Normal"/>
    <w:uiPriority w:val="99"/>
    <w:rsid w:val="007B00B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erdana" w:hAnsi="Verdana"/>
      <w:color w:val="auto"/>
      <w:szCs w:val="20"/>
    </w:rPr>
  </w:style>
  <w:style w:type="paragraph" w:customStyle="1" w:styleId="xl82">
    <w:name w:val="xl82"/>
    <w:basedOn w:val="Normal"/>
    <w:uiPriority w:val="99"/>
    <w:rsid w:val="007B00B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erdana" w:hAnsi="Verdana"/>
      <w:color w:val="auto"/>
      <w:szCs w:val="20"/>
    </w:rPr>
  </w:style>
  <w:style w:type="paragraph" w:styleId="ListBullet">
    <w:name w:val="List Bullet"/>
    <w:basedOn w:val="Normal"/>
    <w:uiPriority w:val="99"/>
    <w:unhideWhenUsed/>
    <w:rsid w:val="007B00B3"/>
    <w:pPr>
      <w:numPr>
        <w:numId w:val="23"/>
      </w:numPr>
      <w:contextualSpacing/>
    </w:pPr>
    <w:rPr>
      <w:rFonts w:ascii="Verdana" w:hAnsi="Verdana"/>
      <w:color w:val="auto"/>
      <w:szCs w:val="20"/>
    </w:rPr>
  </w:style>
  <w:style w:type="character" w:styleId="Strong">
    <w:name w:val="Strong"/>
    <w:basedOn w:val="DefaultParagraphFont"/>
    <w:qFormat/>
    <w:rsid w:val="007B00B3"/>
    <w:rPr>
      <w:b/>
      <w:bCs/>
    </w:rPr>
  </w:style>
  <w:style w:type="paragraph" w:customStyle="1" w:styleId="xl83">
    <w:name w:val="xl83"/>
    <w:basedOn w:val="Normal"/>
    <w:uiPriority w:val="99"/>
    <w:rsid w:val="007B00B3"/>
    <w:pPr>
      <w:pBdr>
        <w:top w:val="single" w:sz="8" w:space="0" w:color="auto"/>
        <w:left w:val="single" w:sz="8" w:space="0" w:color="auto"/>
        <w:bottom w:val="single" w:sz="4" w:space="0" w:color="auto"/>
        <w:right w:val="single" w:sz="4" w:space="0" w:color="auto"/>
      </w:pBdr>
      <w:shd w:val="clear" w:color="000000" w:fill="FFFF00"/>
      <w:spacing w:before="100" w:beforeAutospacing="1" w:after="100" w:afterAutospacing="1"/>
    </w:pPr>
    <w:rPr>
      <w:rFonts w:ascii="Times New Roman" w:hAnsi="Times New Roman"/>
      <w:color w:val="auto"/>
      <w:sz w:val="24"/>
      <w:szCs w:val="24"/>
    </w:rPr>
  </w:style>
  <w:style w:type="paragraph" w:customStyle="1" w:styleId="xl84">
    <w:name w:val="xl84"/>
    <w:basedOn w:val="Normal"/>
    <w:uiPriority w:val="99"/>
    <w:rsid w:val="007B00B3"/>
    <w:pPr>
      <w:pBdr>
        <w:top w:val="single" w:sz="8" w:space="0" w:color="auto"/>
        <w:left w:val="single" w:sz="4" w:space="0" w:color="auto"/>
        <w:bottom w:val="single" w:sz="4" w:space="0" w:color="auto"/>
        <w:right w:val="single" w:sz="8" w:space="0" w:color="auto"/>
      </w:pBdr>
      <w:shd w:val="clear" w:color="000000" w:fill="FFFF00"/>
      <w:spacing w:before="100" w:beforeAutospacing="1" w:after="100" w:afterAutospacing="1"/>
    </w:pPr>
    <w:rPr>
      <w:rFonts w:ascii="Times New Roman" w:hAnsi="Times New Roman"/>
      <w:color w:val="auto"/>
      <w:sz w:val="24"/>
      <w:szCs w:val="24"/>
    </w:rPr>
  </w:style>
  <w:style w:type="paragraph" w:customStyle="1" w:styleId="xl85">
    <w:name w:val="xl85"/>
    <w:basedOn w:val="Normal"/>
    <w:uiPriority w:val="99"/>
    <w:rsid w:val="007B00B3"/>
    <w:pPr>
      <w:pBdr>
        <w:top w:val="single" w:sz="4" w:space="0" w:color="auto"/>
        <w:left w:val="single" w:sz="8" w:space="0" w:color="auto"/>
        <w:bottom w:val="single" w:sz="4" w:space="0" w:color="auto"/>
        <w:right w:val="single" w:sz="4" w:space="0" w:color="auto"/>
      </w:pBdr>
      <w:shd w:val="clear" w:color="000000" w:fill="FFFF00"/>
      <w:spacing w:before="100" w:beforeAutospacing="1" w:after="100" w:afterAutospacing="1"/>
    </w:pPr>
    <w:rPr>
      <w:rFonts w:ascii="Times New Roman" w:hAnsi="Times New Roman"/>
      <w:color w:val="auto"/>
      <w:sz w:val="24"/>
      <w:szCs w:val="24"/>
    </w:rPr>
  </w:style>
  <w:style w:type="paragraph" w:customStyle="1" w:styleId="xl86">
    <w:name w:val="xl86"/>
    <w:basedOn w:val="Normal"/>
    <w:uiPriority w:val="99"/>
    <w:rsid w:val="007B00B3"/>
    <w:pPr>
      <w:pBdr>
        <w:top w:val="single" w:sz="4" w:space="0" w:color="auto"/>
        <w:left w:val="single" w:sz="4" w:space="0" w:color="auto"/>
        <w:bottom w:val="single" w:sz="4" w:space="0" w:color="auto"/>
        <w:right w:val="single" w:sz="8" w:space="0" w:color="auto"/>
      </w:pBdr>
      <w:shd w:val="clear" w:color="000000" w:fill="FFFF00"/>
      <w:spacing w:before="100" w:beforeAutospacing="1" w:after="100" w:afterAutospacing="1"/>
    </w:pPr>
    <w:rPr>
      <w:rFonts w:ascii="Times New Roman" w:hAnsi="Times New Roman"/>
      <w:color w:val="auto"/>
      <w:sz w:val="24"/>
      <w:szCs w:val="24"/>
    </w:rPr>
  </w:style>
  <w:style w:type="paragraph" w:customStyle="1" w:styleId="xl87">
    <w:name w:val="xl87"/>
    <w:basedOn w:val="Normal"/>
    <w:uiPriority w:val="99"/>
    <w:rsid w:val="007B00B3"/>
    <w:pPr>
      <w:pBdr>
        <w:top w:val="single" w:sz="4" w:space="0" w:color="auto"/>
        <w:left w:val="single" w:sz="8" w:space="0" w:color="auto"/>
        <w:bottom w:val="single" w:sz="8" w:space="0" w:color="auto"/>
        <w:right w:val="single" w:sz="4" w:space="0" w:color="auto"/>
      </w:pBdr>
      <w:shd w:val="clear" w:color="000000" w:fill="FFFF00"/>
      <w:spacing w:before="100" w:beforeAutospacing="1" w:after="100" w:afterAutospacing="1"/>
    </w:pPr>
    <w:rPr>
      <w:rFonts w:ascii="Times New Roman" w:hAnsi="Times New Roman"/>
      <w:color w:val="auto"/>
      <w:sz w:val="24"/>
      <w:szCs w:val="24"/>
    </w:rPr>
  </w:style>
  <w:style w:type="paragraph" w:customStyle="1" w:styleId="xl88">
    <w:name w:val="xl88"/>
    <w:basedOn w:val="Normal"/>
    <w:uiPriority w:val="99"/>
    <w:rsid w:val="007B00B3"/>
    <w:pPr>
      <w:pBdr>
        <w:top w:val="single" w:sz="4" w:space="0" w:color="auto"/>
        <w:left w:val="single" w:sz="4" w:space="0" w:color="auto"/>
        <w:bottom w:val="single" w:sz="8" w:space="0" w:color="auto"/>
        <w:right w:val="single" w:sz="8" w:space="0" w:color="auto"/>
      </w:pBdr>
      <w:shd w:val="clear" w:color="000000" w:fill="FFFF00"/>
      <w:spacing w:before="100" w:beforeAutospacing="1" w:after="100" w:afterAutospacing="1"/>
    </w:pPr>
    <w:rPr>
      <w:rFonts w:ascii="Times New Roman" w:hAnsi="Times New Roman"/>
      <w:color w:val="auto"/>
      <w:sz w:val="24"/>
      <w:szCs w:val="24"/>
    </w:rPr>
  </w:style>
  <w:style w:type="paragraph" w:customStyle="1" w:styleId="xl89">
    <w:name w:val="xl89"/>
    <w:basedOn w:val="Normal"/>
    <w:uiPriority w:val="99"/>
    <w:rsid w:val="007B00B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90">
    <w:name w:val="xl90"/>
    <w:basedOn w:val="Normal"/>
    <w:uiPriority w:val="99"/>
    <w:rsid w:val="007B00B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91">
    <w:name w:val="xl91"/>
    <w:basedOn w:val="Normal"/>
    <w:uiPriority w:val="99"/>
    <w:rsid w:val="007B00B3"/>
    <w:pPr>
      <w:pBdr>
        <w:top w:val="single" w:sz="4" w:space="0" w:color="auto"/>
        <w:left w:val="single" w:sz="8" w:space="0" w:color="auto"/>
        <w:bottom w:val="single" w:sz="4"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92">
    <w:name w:val="xl92"/>
    <w:basedOn w:val="Normal"/>
    <w:uiPriority w:val="99"/>
    <w:rsid w:val="007B00B3"/>
    <w:pPr>
      <w:pBdr>
        <w:top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93">
    <w:name w:val="xl93"/>
    <w:basedOn w:val="Normal"/>
    <w:uiPriority w:val="99"/>
    <w:rsid w:val="007B00B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94">
    <w:name w:val="xl94"/>
    <w:basedOn w:val="Normal"/>
    <w:uiPriority w:val="99"/>
    <w:rsid w:val="007B00B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95">
    <w:name w:val="xl95"/>
    <w:basedOn w:val="Normal"/>
    <w:uiPriority w:val="99"/>
    <w:rsid w:val="007B00B3"/>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sz w:val="24"/>
      <w:szCs w:val="24"/>
    </w:rPr>
  </w:style>
  <w:style w:type="paragraph" w:customStyle="1" w:styleId="xl96">
    <w:name w:val="xl96"/>
    <w:basedOn w:val="Normal"/>
    <w:uiPriority w:val="99"/>
    <w:rsid w:val="007B00B3"/>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sz w:val="24"/>
      <w:szCs w:val="24"/>
    </w:rPr>
  </w:style>
  <w:style w:type="paragraph" w:customStyle="1" w:styleId="xl97">
    <w:name w:val="xl97"/>
    <w:basedOn w:val="Normal"/>
    <w:uiPriority w:val="99"/>
    <w:rsid w:val="007B00B3"/>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Calibri" w:hAnsi="Calibri" w:cs="Calibri"/>
      <w:b/>
      <w:bCs/>
      <w:color w:val="auto"/>
      <w:sz w:val="24"/>
      <w:szCs w:val="24"/>
    </w:rPr>
  </w:style>
  <w:style w:type="paragraph" w:customStyle="1" w:styleId="xl98">
    <w:name w:val="xl98"/>
    <w:basedOn w:val="Normal"/>
    <w:uiPriority w:val="99"/>
    <w:rsid w:val="007B00B3"/>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Calibri" w:hAnsi="Calibri" w:cs="Calibri"/>
      <w:b/>
      <w:bCs/>
      <w:color w:val="auto"/>
      <w:sz w:val="24"/>
      <w:szCs w:val="24"/>
    </w:rPr>
  </w:style>
  <w:style w:type="paragraph" w:customStyle="1" w:styleId="xl99">
    <w:name w:val="xl99"/>
    <w:basedOn w:val="Normal"/>
    <w:uiPriority w:val="99"/>
    <w:rsid w:val="007B00B3"/>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b/>
      <w:bCs/>
      <w:color w:val="auto"/>
      <w:sz w:val="24"/>
      <w:szCs w:val="24"/>
    </w:rPr>
  </w:style>
  <w:style w:type="paragraph" w:customStyle="1" w:styleId="xl100">
    <w:name w:val="xl100"/>
    <w:basedOn w:val="Normal"/>
    <w:uiPriority w:val="99"/>
    <w:rsid w:val="007B00B3"/>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Calibri" w:hAnsi="Calibri" w:cs="Calibri"/>
      <w:b/>
      <w:bCs/>
      <w:color w:val="auto"/>
      <w:sz w:val="24"/>
      <w:szCs w:val="24"/>
    </w:rPr>
  </w:style>
  <w:style w:type="paragraph" w:customStyle="1" w:styleId="xl101">
    <w:name w:val="xl101"/>
    <w:basedOn w:val="Normal"/>
    <w:uiPriority w:val="99"/>
    <w:rsid w:val="007B00B3"/>
    <w:pPr>
      <w:pBdr>
        <w:top w:val="single" w:sz="8" w:space="0" w:color="auto"/>
        <w:left w:val="single" w:sz="8" w:space="0" w:color="auto"/>
        <w:right w:val="single" w:sz="8"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102">
    <w:name w:val="xl102"/>
    <w:basedOn w:val="Normal"/>
    <w:uiPriority w:val="99"/>
    <w:rsid w:val="007B00B3"/>
    <w:pPr>
      <w:pBdr>
        <w:left w:val="single" w:sz="8" w:space="0" w:color="auto"/>
        <w:right w:val="single" w:sz="8"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103">
    <w:name w:val="xl103"/>
    <w:basedOn w:val="Normal"/>
    <w:uiPriority w:val="99"/>
    <w:rsid w:val="007B00B3"/>
    <w:pPr>
      <w:pBdr>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104">
    <w:name w:val="xl104"/>
    <w:basedOn w:val="Normal"/>
    <w:uiPriority w:val="99"/>
    <w:rsid w:val="007B00B3"/>
    <w:pPr>
      <w:pBdr>
        <w:top w:val="single" w:sz="4" w:space="0" w:color="auto"/>
        <w:left w:val="single" w:sz="8" w:space="0" w:color="auto"/>
        <w:bottom w:val="single" w:sz="4"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105">
    <w:name w:val="xl105"/>
    <w:basedOn w:val="Normal"/>
    <w:uiPriority w:val="99"/>
    <w:rsid w:val="007B00B3"/>
    <w:pPr>
      <w:pBdr>
        <w:top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106">
    <w:name w:val="xl106"/>
    <w:basedOn w:val="Normal"/>
    <w:uiPriority w:val="99"/>
    <w:rsid w:val="007B00B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107">
    <w:name w:val="xl107"/>
    <w:basedOn w:val="Normal"/>
    <w:uiPriority w:val="99"/>
    <w:rsid w:val="007B00B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108">
    <w:name w:val="xl108"/>
    <w:basedOn w:val="Normal"/>
    <w:uiPriority w:val="99"/>
    <w:rsid w:val="007B00B3"/>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sz w:val="24"/>
      <w:szCs w:val="24"/>
    </w:rPr>
  </w:style>
  <w:style w:type="paragraph" w:customStyle="1" w:styleId="xl109">
    <w:name w:val="xl109"/>
    <w:basedOn w:val="Normal"/>
    <w:uiPriority w:val="99"/>
    <w:rsid w:val="007B00B3"/>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sz w:val="24"/>
      <w:szCs w:val="24"/>
    </w:rPr>
  </w:style>
  <w:style w:type="paragraph" w:customStyle="1" w:styleId="xl110">
    <w:name w:val="xl110"/>
    <w:basedOn w:val="Normal"/>
    <w:uiPriority w:val="99"/>
    <w:rsid w:val="007B00B3"/>
    <w:pPr>
      <w:pBdr>
        <w:top w:val="single" w:sz="8" w:space="0" w:color="auto"/>
        <w:left w:val="single" w:sz="8" w:space="0" w:color="auto"/>
        <w:right w:val="single" w:sz="8"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111">
    <w:name w:val="xl111"/>
    <w:basedOn w:val="Normal"/>
    <w:uiPriority w:val="99"/>
    <w:rsid w:val="007B00B3"/>
    <w:pPr>
      <w:pBdr>
        <w:left w:val="single" w:sz="8" w:space="0" w:color="auto"/>
        <w:right w:val="single" w:sz="8"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112">
    <w:name w:val="xl112"/>
    <w:basedOn w:val="Normal"/>
    <w:uiPriority w:val="99"/>
    <w:rsid w:val="007B00B3"/>
    <w:pPr>
      <w:pBdr>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Calibri" w:hAnsi="Calibri" w:cs="Calibri"/>
      <w:b/>
      <w:bCs/>
      <w:color w:val="auto"/>
      <w:sz w:val="24"/>
      <w:szCs w:val="24"/>
    </w:rPr>
  </w:style>
  <w:style w:type="paragraph" w:customStyle="1" w:styleId="xl113">
    <w:name w:val="xl113"/>
    <w:basedOn w:val="Normal"/>
    <w:uiPriority w:val="99"/>
    <w:rsid w:val="007B00B3"/>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Calibri" w:hAnsi="Calibri" w:cs="Calibri"/>
      <w:b/>
      <w:bCs/>
      <w:color w:val="auto"/>
      <w:sz w:val="24"/>
      <w:szCs w:val="24"/>
    </w:rPr>
  </w:style>
  <w:style w:type="paragraph" w:customStyle="1" w:styleId="xl114">
    <w:name w:val="xl114"/>
    <w:basedOn w:val="Normal"/>
    <w:uiPriority w:val="99"/>
    <w:rsid w:val="007B00B3"/>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Calibri" w:hAnsi="Calibri" w:cs="Calibri"/>
      <w:b/>
      <w:bCs/>
      <w:color w:val="auto"/>
      <w:sz w:val="24"/>
      <w:szCs w:val="24"/>
    </w:rPr>
  </w:style>
  <w:style w:type="paragraph" w:customStyle="1" w:styleId="xl115">
    <w:name w:val="xl115"/>
    <w:basedOn w:val="Normal"/>
    <w:uiPriority w:val="99"/>
    <w:rsid w:val="007B00B3"/>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Calibri" w:hAnsi="Calibri" w:cs="Calibri"/>
      <w:b/>
      <w:bCs/>
      <w:color w:val="auto"/>
      <w:sz w:val="24"/>
      <w:szCs w:val="24"/>
    </w:rPr>
  </w:style>
  <w:style w:type="paragraph" w:customStyle="1" w:styleId="Body">
    <w:name w:val="Body"/>
    <w:basedOn w:val="Normal"/>
    <w:uiPriority w:val="99"/>
    <w:qFormat/>
    <w:rsid w:val="007B00B3"/>
    <w:pPr>
      <w:tabs>
        <w:tab w:val="left" w:pos="851"/>
        <w:tab w:val="left" w:pos="1843"/>
        <w:tab w:val="left" w:pos="3119"/>
        <w:tab w:val="left" w:pos="4253"/>
      </w:tabs>
      <w:spacing w:after="240" w:line="312" w:lineRule="auto"/>
    </w:pPr>
    <w:rPr>
      <w:rFonts w:ascii="Verdana" w:hAnsi="Verdana"/>
      <w:color w:val="auto"/>
      <w:szCs w:val="20"/>
    </w:rPr>
  </w:style>
  <w:style w:type="paragraph" w:customStyle="1" w:styleId="BulletLast">
    <w:name w:val="Bullet_Last"/>
    <w:basedOn w:val="Normal"/>
    <w:uiPriority w:val="99"/>
    <w:rsid w:val="007B00B3"/>
    <w:pPr>
      <w:tabs>
        <w:tab w:val="num" w:pos="360"/>
      </w:tabs>
      <w:ind w:left="1276" w:hanging="284"/>
    </w:pPr>
    <w:rPr>
      <w:rFonts w:ascii="Times New Roman" w:eastAsiaTheme="minorHAnsi" w:hAnsi="Times New Roman"/>
      <w:color w:val="auto"/>
      <w:spacing w:val="-2"/>
      <w:sz w:val="24"/>
      <w:szCs w:val="24"/>
      <w:lang w:eastAsia="en-US"/>
    </w:rPr>
  </w:style>
  <w:style w:type="paragraph" w:customStyle="1" w:styleId="Purpose">
    <w:name w:val="Purpose"/>
    <w:basedOn w:val="Normal"/>
    <w:link w:val="PurposeChar"/>
    <w:qFormat/>
    <w:rsid w:val="007B00B3"/>
    <w:pPr>
      <w:keepNext/>
      <w:ind w:left="851" w:hanging="851"/>
    </w:pPr>
    <w:rPr>
      <w:rFonts w:cs="Arial"/>
      <w:bCs/>
      <w:color w:val="auto"/>
      <w:szCs w:val="20"/>
    </w:rPr>
  </w:style>
  <w:style w:type="character" w:customStyle="1" w:styleId="PurposeChar">
    <w:name w:val="Purpose Char"/>
    <w:basedOn w:val="DefaultParagraphFont"/>
    <w:link w:val="Purpose"/>
    <w:rsid w:val="007B00B3"/>
    <w:rPr>
      <w:rFonts w:cs="Arial"/>
      <w:bCs/>
      <w:color w:val="auto"/>
      <w:szCs w:val="20"/>
    </w:rPr>
  </w:style>
  <w:style w:type="paragraph" w:customStyle="1" w:styleId="Body1">
    <w:name w:val="Body 1"/>
    <w:basedOn w:val="Normal"/>
    <w:uiPriority w:val="99"/>
    <w:qFormat/>
    <w:rsid w:val="00D85F7C"/>
    <w:pPr>
      <w:spacing w:after="240" w:line="312" w:lineRule="auto"/>
      <w:ind w:left="851"/>
    </w:pPr>
    <w:rPr>
      <w:rFonts w:ascii="Verdana" w:hAnsi="Verdana"/>
      <w:color w:val="auto"/>
      <w:szCs w:val="20"/>
    </w:rPr>
  </w:style>
  <w:style w:type="paragraph" w:customStyle="1" w:styleId="Body2">
    <w:name w:val="Body 2"/>
    <w:basedOn w:val="Body1"/>
    <w:uiPriority w:val="99"/>
    <w:qFormat/>
    <w:rsid w:val="00D85F7C"/>
  </w:style>
  <w:style w:type="paragraph" w:customStyle="1" w:styleId="Body3">
    <w:name w:val="Body 3"/>
    <w:basedOn w:val="Normal"/>
    <w:uiPriority w:val="99"/>
    <w:qFormat/>
    <w:rsid w:val="00D85F7C"/>
    <w:pPr>
      <w:spacing w:after="240" w:line="312" w:lineRule="auto"/>
      <w:ind w:left="1843"/>
    </w:pPr>
    <w:rPr>
      <w:rFonts w:ascii="Verdana" w:hAnsi="Verdana"/>
      <w:color w:val="auto"/>
      <w:szCs w:val="20"/>
    </w:rPr>
  </w:style>
  <w:style w:type="character" w:customStyle="1" w:styleId="normaltextrun">
    <w:name w:val="normaltextrun"/>
    <w:basedOn w:val="DefaultParagraphFont"/>
    <w:rsid w:val="00D85F7C"/>
  </w:style>
  <w:style w:type="paragraph" w:customStyle="1" w:styleId="aDefinition">
    <w:name w:val="(a) Definition"/>
    <w:basedOn w:val="Body"/>
    <w:uiPriority w:val="99"/>
    <w:qFormat/>
    <w:rsid w:val="006E0235"/>
    <w:pPr>
      <w:numPr>
        <w:numId w:val="27"/>
      </w:numPr>
      <w:tabs>
        <w:tab w:val="clear" w:pos="1843"/>
        <w:tab w:val="clear" w:pos="3119"/>
        <w:tab w:val="clear" w:pos="4253"/>
      </w:tabs>
    </w:pPr>
  </w:style>
  <w:style w:type="paragraph" w:customStyle="1" w:styleId="iDefinition">
    <w:name w:val="(i) Definition"/>
    <w:basedOn w:val="Body"/>
    <w:uiPriority w:val="99"/>
    <w:qFormat/>
    <w:rsid w:val="006E0235"/>
    <w:pPr>
      <w:numPr>
        <w:ilvl w:val="1"/>
        <w:numId w:val="27"/>
      </w:numPr>
      <w:tabs>
        <w:tab w:val="clear" w:pos="851"/>
        <w:tab w:val="clear" w:pos="3119"/>
        <w:tab w:val="clear" w:pos="4253"/>
      </w:tabs>
    </w:pPr>
  </w:style>
  <w:style w:type="paragraph" w:customStyle="1" w:styleId="Background">
    <w:name w:val="Background"/>
    <w:basedOn w:val="Body1"/>
    <w:uiPriority w:val="99"/>
    <w:qFormat/>
    <w:rsid w:val="006E0235"/>
    <w:pPr>
      <w:numPr>
        <w:numId w:val="28"/>
      </w:numPr>
    </w:pPr>
  </w:style>
  <w:style w:type="paragraph" w:customStyle="1" w:styleId="Body4">
    <w:name w:val="Body 4"/>
    <w:basedOn w:val="Body3"/>
    <w:uiPriority w:val="99"/>
    <w:qFormat/>
    <w:rsid w:val="006E0235"/>
    <w:pPr>
      <w:ind w:left="3119"/>
    </w:pPr>
  </w:style>
  <w:style w:type="paragraph" w:customStyle="1" w:styleId="Body5">
    <w:name w:val="Body 5"/>
    <w:basedOn w:val="Body3"/>
    <w:uiPriority w:val="99"/>
    <w:qFormat/>
    <w:rsid w:val="006E0235"/>
    <w:pPr>
      <w:ind w:left="3119"/>
    </w:pPr>
  </w:style>
  <w:style w:type="paragraph" w:customStyle="1" w:styleId="Bullet30">
    <w:name w:val="Bullet 3"/>
    <w:basedOn w:val="Body3"/>
    <w:uiPriority w:val="99"/>
    <w:qFormat/>
    <w:rsid w:val="006E0235"/>
    <w:pPr>
      <w:tabs>
        <w:tab w:val="num" w:pos="3119"/>
      </w:tabs>
      <w:ind w:left="3119" w:hanging="1276"/>
    </w:pPr>
  </w:style>
  <w:style w:type="character" w:customStyle="1" w:styleId="Level1asHeadingtext">
    <w:name w:val="Level 1 as Heading (text)"/>
    <w:basedOn w:val="DefaultParagraphFont"/>
    <w:rsid w:val="006E0235"/>
    <w:rPr>
      <w:b/>
    </w:rPr>
  </w:style>
  <w:style w:type="character" w:customStyle="1" w:styleId="Level2asHeadingtext">
    <w:name w:val="Level 2 as Heading (text)"/>
    <w:basedOn w:val="DefaultParagraphFont"/>
    <w:rsid w:val="006E0235"/>
    <w:rPr>
      <w:b/>
    </w:rPr>
  </w:style>
  <w:style w:type="character" w:customStyle="1" w:styleId="Level3asHeadingtext">
    <w:name w:val="Level 3 as Heading (text)"/>
    <w:basedOn w:val="DefaultParagraphFont"/>
    <w:rsid w:val="006E0235"/>
    <w:rPr>
      <w:b/>
    </w:rPr>
  </w:style>
  <w:style w:type="paragraph" w:customStyle="1" w:styleId="Rule1">
    <w:name w:val="Rule 1"/>
    <w:basedOn w:val="Body"/>
    <w:uiPriority w:val="99"/>
    <w:semiHidden/>
    <w:rsid w:val="006E0235"/>
    <w:pPr>
      <w:keepNext/>
      <w:numPr>
        <w:numId w:val="29"/>
      </w:numPr>
      <w:tabs>
        <w:tab w:val="clear" w:pos="851"/>
        <w:tab w:val="clear" w:pos="1843"/>
        <w:tab w:val="clear" w:pos="3119"/>
        <w:tab w:val="clear" w:pos="4253"/>
      </w:tabs>
    </w:pPr>
    <w:rPr>
      <w:b/>
    </w:rPr>
  </w:style>
  <w:style w:type="paragraph" w:customStyle="1" w:styleId="Rule2">
    <w:name w:val="Rule 2"/>
    <w:basedOn w:val="Body2"/>
    <w:uiPriority w:val="99"/>
    <w:semiHidden/>
    <w:rsid w:val="006E0235"/>
    <w:pPr>
      <w:numPr>
        <w:ilvl w:val="1"/>
        <w:numId w:val="29"/>
      </w:numPr>
    </w:pPr>
  </w:style>
  <w:style w:type="paragraph" w:customStyle="1" w:styleId="Rule3">
    <w:name w:val="Rule 3"/>
    <w:basedOn w:val="Body3"/>
    <w:uiPriority w:val="99"/>
    <w:semiHidden/>
    <w:rsid w:val="006E0235"/>
    <w:pPr>
      <w:numPr>
        <w:ilvl w:val="2"/>
        <w:numId w:val="29"/>
      </w:numPr>
    </w:pPr>
  </w:style>
  <w:style w:type="paragraph" w:customStyle="1" w:styleId="Rule4">
    <w:name w:val="Rule 4"/>
    <w:basedOn w:val="Body4"/>
    <w:uiPriority w:val="99"/>
    <w:semiHidden/>
    <w:rsid w:val="006E0235"/>
    <w:pPr>
      <w:numPr>
        <w:ilvl w:val="3"/>
        <w:numId w:val="29"/>
      </w:numPr>
    </w:pPr>
  </w:style>
  <w:style w:type="paragraph" w:customStyle="1" w:styleId="Rule5">
    <w:name w:val="Rule 5"/>
    <w:basedOn w:val="Body5"/>
    <w:uiPriority w:val="99"/>
    <w:semiHidden/>
    <w:rsid w:val="006E0235"/>
    <w:pPr>
      <w:numPr>
        <w:ilvl w:val="4"/>
        <w:numId w:val="29"/>
      </w:numPr>
    </w:pPr>
  </w:style>
  <w:style w:type="paragraph" w:customStyle="1" w:styleId="Schedule">
    <w:name w:val="Schedule"/>
    <w:basedOn w:val="Normal"/>
    <w:uiPriority w:val="99"/>
    <w:rsid w:val="006E0235"/>
    <w:pPr>
      <w:keepNext/>
      <w:numPr>
        <w:numId w:val="30"/>
      </w:numPr>
      <w:spacing w:after="240"/>
      <w:jc w:val="center"/>
    </w:pPr>
    <w:rPr>
      <w:rFonts w:ascii="Verdana" w:hAnsi="Verdana"/>
      <w:b/>
      <w:caps/>
      <w:color w:val="auto"/>
      <w:sz w:val="24"/>
      <w:szCs w:val="20"/>
    </w:rPr>
  </w:style>
  <w:style w:type="paragraph" w:customStyle="1" w:styleId="aBankingDefinition">
    <w:name w:val="(a) Banking Definition"/>
    <w:basedOn w:val="Body"/>
    <w:uiPriority w:val="99"/>
    <w:qFormat/>
    <w:rsid w:val="006E0235"/>
    <w:pPr>
      <w:numPr>
        <w:numId w:val="31"/>
      </w:numPr>
      <w:tabs>
        <w:tab w:val="clear" w:pos="851"/>
        <w:tab w:val="clear" w:pos="3119"/>
        <w:tab w:val="clear" w:pos="4253"/>
      </w:tabs>
    </w:pPr>
  </w:style>
  <w:style w:type="paragraph" w:customStyle="1" w:styleId="Sideheading">
    <w:name w:val="Sideheading"/>
    <w:basedOn w:val="Body"/>
    <w:uiPriority w:val="99"/>
    <w:qFormat/>
    <w:rsid w:val="006E0235"/>
    <w:pPr>
      <w:tabs>
        <w:tab w:val="clear" w:pos="851"/>
        <w:tab w:val="clear" w:pos="1843"/>
        <w:tab w:val="clear" w:pos="3119"/>
        <w:tab w:val="clear" w:pos="4253"/>
      </w:tabs>
    </w:pPr>
    <w:rPr>
      <w:b/>
      <w:caps/>
    </w:rPr>
  </w:style>
  <w:style w:type="paragraph" w:customStyle="1" w:styleId="iBankingDefinition">
    <w:name w:val="(i) Banking Definition"/>
    <w:basedOn w:val="aBankingDefinition"/>
    <w:uiPriority w:val="99"/>
    <w:qFormat/>
    <w:rsid w:val="006E0235"/>
    <w:pPr>
      <w:numPr>
        <w:ilvl w:val="1"/>
      </w:numPr>
    </w:pPr>
  </w:style>
  <w:style w:type="paragraph" w:customStyle="1" w:styleId="level20">
    <w:name w:val="level2"/>
    <w:basedOn w:val="Normal"/>
    <w:uiPriority w:val="99"/>
    <w:rsid w:val="006E0235"/>
    <w:pPr>
      <w:spacing w:before="100" w:beforeAutospacing="1" w:after="100" w:afterAutospacing="1"/>
    </w:pPr>
    <w:rPr>
      <w:rFonts w:ascii="Times New Roman" w:eastAsia="MS Mincho" w:hAnsi="Times New Roman"/>
      <w:color w:val="auto"/>
      <w:sz w:val="24"/>
      <w:szCs w:val="24"/>
      <w:lang w:eastAsia="ja-JP"/>
    </w:rPr>
  </w:style>
  <w:style w:type="paragraph" w:customStyle="1" w:styleId="Text1">
    <w:name w:val="Text 1"/>
    <w:basedOn w:val="Normal"/>
    <w:uiPriority w:val="99"/>
    <w:rsid w:val="006E0235"/>
    <w:pPr>
      <w:spacing w:before="120"/>
      <w:ind w:left="850"/>
    </w:pPr>
    <w:rPr>
      <w:rFonts w:ascii="Times New Roman" w:hAnsi="Times New Roman"/>
      <w:color w:val="auto"/>
      <w:sz w:val="24"/>
      <w:szCs w:val="24"/>
      <w:lang w:eastAsia="de-DE"/>
    </w:rPr>
  </w:style>
  <w:style w:type="paragraph" w:customStyle="1" w:styleId="NormalCentered">
    <w:name w:val="Normal Centered"/>
    <w:basedOn w:val="Normal"/>
    <w:uiPriority w:val="99"/>
    <w:rsid w:val="006E0235"/>
    <w:pPr>
      <w:spacing w:before="120"/>
      <w:jc w:val="center"/>
    </w:pPr>
    <w:rPr>
      <w:rFonts w:ascii="Times New Roman" w:hAnsi="Times New Roman"/>
      <w:color w:val="auto"/>
      <w:sz w:val="24"/>
      <w:szCs w:val="24"/>
      <w:lang w:eastAsia="de-DE"/>
    </w:rPr>
  </w:style>
  <w:style w:type="paragraph" w:customStyle="1" w:styleId="NormalRight">
    <w:name w:val="Normal Right"/>
    <w:basedOn w:val="Normal"/>
    <w:uiPriority w:val="99"/>
    <w:rsid w:val="006E0235"/>
    <w:pPr>
      <w:spacing w:before="120"/>
      <w:jc w:val="right"/>
    </w:pPr>
    <w:rPr>
      <w:rFonts w:ascii="Times New Roman" w:hAnsi="Times New Roman"/>
      <w:color w:val="auto"/>
      <w:sz w:val="24"/>
      <w:szCs w:val="24"/>
      <w:lang w:eastAsia="de-DE"/>
    </w:rPr>
  </w:style>
  <w:style w:type="paragraph" w:customStyle="1" w:styleId="Point0">
    <w:name w:val="Point 0"/>
    <w:basedOn w:val="Normal"/>
    <w:uiPriority w:val="99"/>
    <w:rsid w:val="006E0235"/>
    <w:pPr>
      <w:spacing w:before="120"/>
      <w:ind w:left="850" w:hanging="850"/>
    </w:pPr>
    <w:rPr>
      <w:rFonts w:ascii="Times New Roman" w:hAnsi="Times New Roman"/>
      <w:color w:val="auto"/>
      <w:sz w:val="24"/>
      <w:szCs w:val="24"/>
      <w:lang w:eastAsia="de-DE"/>
    </w:rPr>
  </w:style>
  <w:style w:type="paragraph" w:customStyle="1" w:styleId="Point1">
    <w:name w:val="Point 1"/>
    <w:basedOn w:val="Normal"/>
    <w:uiPriority w:val="99"/>
    <w:rsid w:val="006E0235"/>
    <w:pPr>
      <w:spacing w:before="120"/>
      <w:ind w:left="1417" w:hanging="567"/>
    </w:pPr>
    <w:rPr>
      <w:rFonts w:ascii="Times New Roman" w:hAnsi="Times New Roman"/>
      <w:color w:val="auto"/>
      <w:sz w:val="24"/>
      <w:szCs w:val="24"/>
      <w:lang w:eastAsia="de-DE"/>
    </w:rPr>
  </w:style>
  <w:style w:type="paragraph" w:customStyle="1" w:styleId="ManualNumPar1">
    <w:name w:val="Manual NumPar 1"/>
    <w:basedOn w:val="Normal"/>
    <w:next w:val="Text1"/>
    <w:uiPriority w:val="99"/>
    <w:rsid w:val="006E0235"/>
    <w:pPr>
      <w:spacing w:before="120"/>
      <w:ind w:left="850" w:hanging="850"/>
    </w:pPr>
    <w:rPr>
      <w:rFonts w:ascii="Times New Roman" w:hAnsi="Times New Roman"/>
      <w:color w:val="auto"/>
      <w:sz w:val="24"/>
      <w:szCs w:val="24"/>
      <w:lang w:eastAsia="de-DE"/>
    </w:rPr>
  </w:style>
  <w:style w:type="paragraph" w:customStyle="1" w:styleId="Annexetitreacte">
    <w:name w:val="Annexe titre (acte)"/>
    <w:basedOn w:val="Normal"/>
    <w:next w:val="Normal"/>
    <w:uiPriority w:val="99"/>
    <w:rsid w:val="006E0235"/>
    <w:pPr>
      <w:spacing w:before="120"/>
      <w:jc w:val="center"/>
    </w:pPr>
    <w:rPr>
      <w:rFonts w:ascii="Times New Roman" w:hAnsi="Times New Roman"/>
      <w:b/>
      <w:color w:val="auto"/>
      <w:sz w:val="24"/>
      <w:szCs w:val="24"/>
      <w:u w:val="single"/>
      <w:lang w:eastAsia="de-DE"/>
    </w:rPr>
  </w:style>
  <w:style w:type="paragraph" w:customStyle="1" w:styleId="Titrearticle">
    <w:name w:val="Titre article"/>
    <w:basedOn w:val="Normal"/>
    <w:next w:val="Normal"/>
    <w:uiPriority w:val="99"/>
    <w:rsid w:val="006E0235"/>
    <w:pPr>
      <w:keepNext/>
      <w:spacing w:before="360"/>
      <w:jc w:val="center"/>
    </w:pPr>
    <w:rPr>
      <w:rFonts w:ascii="Times New Roman" w:hAnsi="Times New Roman"/>
      <w:i/>
      <w:color w:val="auto"/>
      <w:sz w:val="24"/>
      <w:szCs w:val="24"/>
      <w:lang w:eastAsia="en-US"/>
    </w:rPr>
  </w:style>
  <w:style w:type="paragraph" w:styleId="NoSpacing">
    <w:name w:val="No Spacing"/>
    <w:uiPriority w:val="99"/>
    <w:qFormat/>
    <w:rsid w:val="006E0235"/>
    <w:pPr>
      <w:spacing w:after="0"/>
    </w:pPr>
    <w:rPr>
      <w:rFonts w:ascii="Times New Roman" w:eastAsia="Calibri" w:hAnsi="Times New Roman"/>
      <w:color w:val="auto"/>
      <w:sz w:val="24"/>
      <w:szCs w:val="24"/>
      <w:lang w:eastAsia="de-DE"/>
    </w:rPr>
  </w:style>
  <w:style w:type="paragraph" w:customStyle="1" w:styleId="FrontSheet">
    <w:name w:val="Front Sheet"/>
    <w:basedOn w:val="Normal"/>
    <w:uiPriority w:val="99"/>
    <w:rsid w:val="006E0235"/>
    <w:pPr>
      <w:spacing w:after="240"/>
    </w:pPr>
    <w:rPr>
      <w:rFonts w:ascii="Times New Roman" w:hAnsi="Times New Roman"/>
      <w:b/>
      <w:caps/>
      <w:color w:val="auto"/>
      <w:sz w:val="30"/>
      <w:szCs w:val="20"/>
      <w:lang w:eastAsia="en-US"/>
    </w:rPr>
  </w:style>
  <w:style w:type="paragraph" w:customStyle="1" w:styleId="ssPara5">
    <w:name w:val="ssPara5"/>
    <w:basedOn w:val="Normal"/>
    <w:uiPriority w:val="99"/>
    <w:rsid w:val="006E0235"/>
    <w:pPr>
      <w:spacing w:after="260" w:line="260" w:lineRule="atLeast"/>
      <w:ind w:left="2552"/>
    </w:pPr>
    <w:rPr>
      <w:rFonts w:cs="Arial"/>
      <w:color w:val="auto"/>
      <w:sz w:val="22"/>
      <w:szCs w:val="22"/>
      <w:lang w:eastAsia="en-US"/>
    </w:rPr>
  </w:style>
  <w:style w:type="paragraph" w:styleId="NormalWeb">
    <w:name w:val="Normal (Web)"/>
    <w:basedOn w:val="Normal"/>
    <w:uiPriority w:val="99"/>
    <w:rsid w:val="006E0235"/>
    <w:pPr>
      <w:spacing w:before="100" w:beforeAutospacing="1" w:after="272" w:line="384" w:lineRule="auto"/>
    </w:pPr>
    <w:rPr>
      <w:rFonts w:ascii="Verdana" w:hAnsi="Verdana"/>
      <w:color w:val="auto"/>
      <w:sz w:val="24"/>
      <w:szCs w:val="24"/>
    </w:rPr>
  </w:style>
  <w:style w:type="paragraph" w:customStyle="1" w:styleId="Default">
    <w:name w:val="Default"/>
    <w:uiPriority w:val="99"/>
    <w:rsid w:val="006E0235"/>
    <w:pPr>
      <w:autoSpaceDE w:val="0"/>
      <w:autoSpaceDN w:val="0"/>
      <w:adjustRightInd w:val="0"/>
      <w:spacing w:after="0"/>
    </w:pPr>
    <w:rPr>
      <w:rFonts w:ascii="Calibri" w:hAnsi="Calibri" w:cs="Calibri"/>
      <w:sz w:val="24"/>
      <w:szCs w:val="24"/>
    </w:rPr>
  </w:style>
  <w:style w:type="paragraph" w:customStyle="1" w:styleId="Footerwithpagenumber">
    <w:name w:val="Footer (with page number)"/>
    <w:uiPriority w:val="99"/>
    <w:rsid w:val="006E0235"/>
    <w:pPr>
      <w:tabs>
        <w:tab w:val="center" w:pos="4536"/>
      </w:tabs>
      <w:spacing w:after="0"/>
    </w:pPr>
    <w:rPr>
      <w:rFonts w:ascii="Verdana" w:hAnsi="Verdana"/>
      <w:noProof/>
      <w:color w:val="auto"/>
      <w:sz w:val="16"/>
      <w:szCs w:val="20"/>
    </w:rPr>
  </w:style>
  <w:style w:type="paragraph" w:customStyle="1" w:styleId="ssPara2">
    <w:name w:val="ssPara2"/>
    <w:basedOn w:val="Normal"/>
    <w:uiPriority w:val="99"/>
    <w:rsid w:val="006E0235"/>
    <w:pPr>
      <w:spacing w:after="260" w:line="260" w:lineRule="atLeast"/>
      <w:ind w:left="709"/>
    </w:pPr>
    <w:rPr>
      <w:color w:val="auto"/>
      <w:sz w:val="22"/>
      <w:szCs w:val="20"/>
      <w:lang w:eastAsia="en-US"/>
    </w:rPr>
  </w:style>
  <w:style w:type="paragraph" w:customStyle="1" w:styleId="ssNoHeading3">
    <w:name w:val="ssNoHeading3"/>
    <w:basedOn w:val="Heading30"/>
    <w:uiPriority w:val="99"/>
    <w:rsid w:val="006E0235"/>
    <w:pPr>
      <w:numPr>
        <w:numId w:val="32"/>
      </w:numPr>
      <w:spacing w:after="260" w:line="260" w:lineRule="atLeast"/>
    </w:pPr>
    <w:rPr>
      <w:bCs w:val="0"/>
      <w:color w:val="auto"/>
      <w:sz w:val="22"/>
      <w:lang w:eastAsia="en-US"/>
    </w:rPr>
  </w:style>
  <w:style w:type="paragraph" w:customStyle="1" w:styleId="ssNoHeading2">
    <w:name w:val="ssNoHeading2"/>
    <w:basedOn w:val="Heading2"/>
    <w:uiPriority w:val="99"/>
    <w:rsid w:val="006E0235"/>
    <w:pPr>
      <w:numPr>
        <w:ilvl w:val="2"/>
        <w:numId w:val="0"/>
      </w:numPr>
      <w:tabs>
        <w:tab w:val="num" w:pos="709"/>
      </w:tabs>
      <w:spacing w:after="260" w:line="260" w:lineRule="atLeast"/>
      <w:ind w:left="709" w:hanging="709"/>
    </w:pPr>
    <w:rPr>
      <w:bCs w:val="0"/>
      <w:iCs w:val="0"/>
      <w:color w:val="auto"/>
      <w:sz w:val="22"/>
      <w:szCs w:val="20"/>
      <w:lang w:eastAsia="en-US"/>
    </w:rPr>
  </w:style>
  <w:style w:type="paragraph" w:customStyle="1" w:styleId="ssPara1">
    <w:name w:val="ssPara1"/>
    <w:basedOn w:val="Normal"/>
    <w:uiPriority w:val="99"/>
    <w:rsid w:val="006E0235"/>
    <w:pPr>
      <w:spacing w:after="260" w:line="260" w:lineRule="atLeast"/>
    </w:pPr>
    <w:rPr>
      <w:color w:val="auto"/>
      <w:sz w:val="22"/>
      <w:szCs w:val="20"/>
      <w:lang w:eastAsia="en-US"/>
    </w:rPr>
  </w:style>
  <w:style w:type="paragraph" w:styleId="TOCHeading">
    <w:name w:val="TOC Heading"/>
    <w:basedOn w:val="Heading1"/>
    <w:next w:val="Normal"/>
    <w:uiPriority w:val="39"/>
    <w:qFormat/>
    <w:rsid w:val="006E0235"/>
    <w:pPr>
      <w:keepLines/>
      <w:numPr>
        <w:numId w:val="0"/>
      </w:numPr>
      <w:spacing w:before="480" w:after="0" w:line="276" w:lineRule="auto"/>
      <w:outlineLvl w:val="9"/>
    </w:pPr>
    <w:rPr>
      <w:rFonts w:ascii="Cambria" w:hAnsi="Cambria" w:cs="Times New Roman"/>
      <w:caps w:val="0"/>
      <w:color w:val="365F91"/>
      <w:sz w:val="28"/>
      <w:szCs w:val="28"/>
      <w:lang w:val="en-US" w:eastAsia="en-US"/>
    </w:rPr>
  </w:style>
  <w:style w:type="paragraph" w:styleId="TableofFigures">
    <w:name w:val="table of figures"/>
    <w:basedOn w:val="Normal"/>
    <w:next w:val="Normal"/>
    <w:uiPriority w:val="99"/>
    <w:unhideWhenUsed/>
    <w:rsid w:val="006E0235"/>
    <w:pPr>
      <w:spacing w:after="0"/>
    </w:pPr>
    <w:rPr>
      <w:rFonts w:ascii="Verdana" w:hAnsi="Verdana"/>
      <w:color w:val="auto"/>
      <w:szCs w:val="20"/>
    </w:rPr>
  </w:style>
  <w:style w:type="character" w:customStyle="1" w:styleId="apple-style-span">
    <w:name w:val="apple-style-span"/>
    <w:basedOn w:val="DefaultParagraphFont"/>
    <w:rsid w:val="006E0235"/>
  </w:style>
  <w:style w:type="paragraph" w:styleId="ListNumber">
    <w:name w:val="List Number"/>
    <w:basedOn w:val="Normal"/>
    <w:uiPriority w:val="99"/>
    <w:rsid w:val="006E0235"/>
    <w:pPr>
      <w:numPr>
        <w:numId w:val="33"/>
      </w:numPr>
    </w:pPr>
    <w:rPr>
      <w:rFonts w:ascii="Calibri" w:hAnsi="Calibri"/>
      <w:color w:val="auto"/>
      <w:kern w:val="20"/>
      <w:szCs w:val="20"/>
      <w:lang w:eastAsia="en-US"/>
    </w:rPr>
  </w:style>
  <w:style w:type="paragraph" w:styleId="ListNumber2">
    <w:name w:val="List Number 2"/>
    <w:basedOn w:val="Normal"/>
    <w:uiPriority w:val="99"/>
    <w:rsid w:val="006E0235"/>
    <w:pPr>
      <w:numPr>
        <w:ilvl w:val="1"/>
        <w:numId w:val="33"/>
      </w:numPr>
    </w:pPr>
    <w:rPr>
      <w:rFonts w:ascii="Calibri" w:hAnsi="Calibri"/>
      <w:color w:val="auto"/>
      <w:kern w:val="20"/>
      <w:szCs w:val="20"/>
      <w:lang w:eastAsia="en-US"/>
    </w:rPr>
  </w:style>
  <w:style w:type="paragraph" w:styleId="ListNumber3">
    <w:name w:val="List Number 3"/>
    <w:basedOn w:val="Normal"/>
    <w:uiPriority w:val="99"/>
    <w:unhideWhenUsed/>
    <w:rsid w:val="006E0235"/>
    <w:pPr>
      <w:numPr>
        <w:ilvl w:val="2"/>
        <w:numId w:val="33"/>
      </w:numPr>
      <w:contextualSpacing/>
    </w:pPr>
    <w:rPr>
      <w:rFonts w:ascii="Calibri" w:hAnsi="Calibri"/>
      <w:color w:val="auto"/>
      <w:kern w:val="20"/>
      <w:szCs w:val="20"/>
      <w:lang w:eastAsia="en-US"/>
    </w:rPr>
  </w:style>
  <w:style w:type="character" w:customStyle="1" w:styleId="findhit">
    <w:name w:val="findhit"/>
    <w:basedOn w:val="DefaultParagraphFont"/>
    <w:rsid w:val="006E0235"/>
  </w:style>
  <w:style w:type="paragraph" w:styleId="List2">
    <w:name w:val="List 2"/>
    <w:basedOn w:val="Normal"/>
    <w:uiPriority w:val="99"/>
    <w:semiHidden/>
    <w:unhideWhenUsed/>
    <w:rsid w:val="006E0235"/>
    <w:pPr>
      <w:spacing w:after="0"/>
      <w:ind w:left="566" w:hanging="283"/>
      <w:contextualSpacing/>
    </w:pPr>
    <w:rPr>
      <w:rFonts w:ascii="Verdana" w:hAnsi="Verdana"/>
      <w:color w:val="auto"/>
      <w:szCs w:val="20"/>
    </w:rPr>
  </w:style>
  <w:style w:type="character" w:styleId="UnresolvedMention">
    <w:name w:val="Unresolved Mention"/>
    <w:basedOn w:val="DefaultParagraphFont"/>
    <w:uiPriority w:val="99"/>
    <w:unhideWhenUsed/>
    <w:rsid w:val="006E0235"/>
    <w:rPr>
      <w:color w:val="605E5C"/>
      <w:shd w:val="clear" w:color="auto" w:fill="E1DFDD"/>
    </w:rPr>
  </w:style>
  <w:style w:type="character" w:styleId="Mention">
    <w:name w:val="Mention"/>
    <w:basedOn w:val="DefaultParagraphFont"/>
    <w:uiPriority w:val="99"/>
    <w:unhideWhenUsed/>
    <w:rsid w:val="006E0235"/>
    <w:rPr>
      <w:color w:val="2B579A"/>
      <w:shd w:val="clear" w:color="auto" w:fill="E1DFDD"/>
    </w:rPr>
  </w:style>
  <w:style w:type="paragraph" w:customStyle="1" w:styleId="ListBulletCS">
    <w:name w:val="List Bullet (CS)"/>
    <w:uiPriority w:val="36"/>
    <w:rsid w:val="0095745D"/>
    <w:pPr>
      <w:numPr>
        <w:numId w:val="41"/>
      </w:numPr>
      <w:spacing w:after="100"/>
      <w:contextualSpacing/>
      <w:jc w:val="left"/>
    </w:pPr>
    <w:rPr>
      <w:rFonts w:eastAsiaTheme="minorHAnsi" w:cstheme="minorBidi"/>
      <w:color w:val="000000" w:themeColor="text1"/>
      <w:szCs w:val="22"/>
      <w:lang w:eastAsia="en-US"/>
    </w:rPr>
  </w:style>
  <w:style w:type="numbering" w:customStyle="1" w:styleId="Style53">
    <w:name w:val="Style53"/>
    <w:uiPriority w:val="99"/>
    <w:rsid w:val="0095745D"/>
    <w:pPr>
      <w:numPr>
        <w:numId w:val="41"/>
      </w:numPr>
    </w:pPr>
  </w:style>
  <w:style w:type="character" w:customStyle="1" w:styleId="eop">
    <w:name w:val="eop"/>
    <w:basedOn w:val="DefaultParagraphFont"/>
    <w:rsid w:val="0095745D"/>
  </w:style>
  <w:style w:type="table" w:styleId="GridTable1Light">
    <w:name w:val="Grid Table 1 Light"/>
    <w:basedOn w:val="TableNormal"/>
    <w:uiPriority w:val="46"/>
    <w:rsid w:val="0095745D"/>
    <w:pPr>
      <w:spacing w:after="0"/>
      <w:ind w:left="0" w:firstLine="0"/>
      <w:jc w:val="left"/>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evel3Char">
    <w:name w:val="Level 3 Char"/>
    <w:link w:val="Level3"/>
    <w:uiPriority w:val="99"/>
    <w:locked/>
    <w:rsid w:val="00623990"/>
    <w:rPr>
      <w:rFonts w:ascii="Verdana" w:hAnsi="Verdana"/>
      <w:color w:val="auto"/>
      <w:szCs w:val="20"/>
    </w:rPr>
  </w:style>
  <w:style w:type="paragraph" w:customStyle="1" w:styleId="Level6">
    <w:name w:val="Level 6"/>
    <w:basedOn w:val="Normal"/>
    <w:uiPriority w:val="99"/>
    <w:rsid w:val="00623990"/>
    <w:pPr>
      <w:tabs>
        <w:tab w:val="num" w:pos="4252"/>
      </w:tabs>
      <w:spacing w:after="240"/>
      <w:ind w:left="4252" w:hanging="850"/>
      <w:outlineLvl w:val="5"/>
    </w:pPr>
    <w:rPr>
      <w:color w:val="auto"/>
      <w:szCs w:val="20"/>
      <w:lang w:val="x-none" w:eastAsia="x-none"/>
    </w:rPr>
  </w:style>
  <w:style w:type="paragraph" w:customStyle="1" w:styleId="CoverSubtitle">
    <w:name w:val="Cover Subtitle"/>
    <w:uiPriority w:val="99"/>
    <w:qFormat/>
    <w:rsid w:val="007B12F8"/>
    <w:pPr>
      <w:spacing w:after="0"/>
      <w:ind w:left="0" w:firstLine="0"/>
      <w:jc w:val="left"/>
    </w:pPr>
    <w:rPr>
      <w:rFonts w:ascii="Verdana" w:eastAsia="Arial" w:hAnsi="Verdana"/>
      <w:b/>
      <w:color w:val="ED7D31" w:themeColor="accent2"/>
      <w:sz w:val="28"/>
      <w:szCs w:val="22"/>
      <w:lang w:val="en-US" w:eastAsia="en-US"/>
    </w:rPr>
  </w:style>
  <w:style w:type="paragraph" w:customStyle="1" w:styleId="Cover-Sector">
    <w:name w:val="Cover-Sector"/>
    <w:uiPriority w:val="99"/>
    <w:qFormat/>
    <w:rsid w:val="007B12F8"/>
    <w:pPr>
      <w:ind w:left="0" w:firstLine="0"/>
      <w:jc w:val="right"/>
    </w:pPr>
    <w:rPr>
      <w:rFonts w:asciiTheme="minorHAnsi" w:eastAsia="Arial" w:hAnsiTheme="minorHAnsi" w:cs="Arial Narrow"/>
      <w:b/>
      <w:color w:val="auto"/>
      <w:sz w:val="16"/>
      <w:szCs w:val="22"/>
      <w:lang w:val="en-US" w:eastAsia="en-US"/>
    </w:rPr>
  </w:style>
  <w:style w:type="paragraph" w:customStyle="1" w:styleId="BodyText10">
    <w:name w:val="Body Text1"/>
    <w:link w:val="bodytextChar0"/>
    <w:qFormat/>
    <w:rsid w:val="007B12F8"/>
    <w:pPr>
      <w:spacing w:before="80" w:after="80"/>
      <w:ind w:left="0" w:firstLine="0"/>
    </w:pPr>
    <w:rPr>
      <w:rFonts w:ascii="Verdana" w:eastAsia="Arial" w:hAnsi="Verdana"/>
      <w:color w:val="auto"/>
      <w:szCs w:val="22"/>
      <w:lang w:val="en-US" w:eastAsia="en-US"/>
    </w:rPr>
  </w:style>
  <w:style w:type="paragraph" w:customStyle="1" w:styleId="BoilerplateHead">
    <w:name w:val="Boilerplate Head"/>
    <w:next w:val="BoilerplateText"/>
    <w:uiPriority w:val="99"/>
    <w:qFormat/>
    <w:rsid w:val="007B12F8"/>
    <w:pPr>
      <w:pBdr>
        <w:bottom w:val="single" w:sz="4" w:space="1" w:color="auto"/>
      </w:pBdr>
      <w:spacing w:before="1440" w:after="360"/>
      <w:ind w:left="3067" w:right="490" w:firstLine="0"/>
      <w:jc w:val="left"/>
    </w:pPr>
    <w:rPr>
      <w:rFonts w:ascii="Verdana" w:eastAsia="Arial" w:hAnsi="Verdana"/>
      <w:noProof/>
      <w:color w:val="5B9BD5" w:themeColor="accent1"/>
      <w:sz w:val="36"/>
      <w:szCs w:val="22"/>
      <w:lang w:val="en-US" w:eastAsia="en-US"/>
    </w:rPr>
  </w:style>
  <w:style w:type="paragraph" w:customStyle="1" w:styleId="BoilerplateText">
    <w:name w:val="Boilerplate Text"/>
    <w:uiPriority w:val="99"/>
    <w:qFormat/>
    <w:rsid w:val="007B12F8"/>
    <w:pPr>
      <w:spacing w:before="240" w:after="0"/>
      <w:ind w:left="3060" w:right="487" w:firstLine="0"/>
      <w:jc w:val="left"/>
    </w:pPr>
    <w:rPr>
      <w:rFonts w:ascii="Verdana" w:eastAsia="Arial" w:hAnsi="Verdana" w:cs="Arial"/>
      <w:color w:val="3B3838" w:themeColor="background2" w:themeShade="40"/>
      <w:sz w:val="16"/>
      <w:szCs w:val="22"/>
      <w:lang w:eastAsia="en-US"/>
    </w:rPr>
  </w:style>
  <w:style w:type="paragraph" w:customStyle="1" w:styleId="ContactDetails">
    <w:name w:val="Contact Details"/>
    <w:uiPriority w:val="99"/>
    <w:qFormat/>
    <w:rsid w:val="007B12F8"/>
    <w:pPr>
      <w:framePr w:hSpace="180" w:wrap="around" w:vAnchor="text" w:hAnchor="margin" w:x="-318" w:y="586"/>
      <w:spacing w:after="0"/>
      <w:ind w:left="0" w:firstLine="0"/>
      <w:jc w:val="right"/>
    </w:pPr>
    <w:rPr>
      <w:rFonts w:asciiTheme="minorHAnsi" w:eastAsia="Arial" w:hAnsiTheme="minorHAnsi" w:cs="Arial"/>
      <w:color w:val="FFFFFF"/>
      <w:sz w:val="18"/>
      <w:szCs w:val="22"/>
      <w:lang w:eastAsia="en-US"/>
    </w:rPr>
  </w:style>
  <w:style w:type="paragraph" w:customStyle="1" w:styleId="ContactName">
    <w:name w:val="Contact Name"/>
    <w:next w:val="ContactDetails"/>
    <w:uiPriority w:val="99"/>
    <w:qFormat/>
    <w:rsid w:val="007B12F8"/>
    <w:pPr>
      <w:framePr w:hSpace="180" w:wrap="around" w:vAnchor="text" w:hAnchor="margin" w:x="-318" w:y="586"/>
      <w:spacing w:after="0"/>
      <w:ind w:left="0" w:firstLine="0"/>
      <w:jc w:val="right"/>
    </w:pPr>
    <w:rPr>
      <w:rFonts w:asciiTheme="minorHAnsi" w:eastAsia="Arial" w:hAnsiTheme="minorHAnsi" w:cs="Arial"/>
      <w:b/>
      <w:color w:val="FFFFFF"/>
      <w:sz w:val="16"/>
      <w:szCs w:val="22"/>
      <w:lang w:val="en-US" w:eastAsia="en-US"/>
    </w:rPr>
  </w:style>
  <w:style w:type="paragraph" w:customStyle="1" w:styleId="Rightshore">
    <w:name w:val="Rightshore"/>
    <w:uiPriority w:val="99"/>
    <w:qFormat/>
    <w:rsid w:val="007B12F8"/>
    <w:pPr>
      <w:spacing w:before="240" w:after="0"/>
      <w:ind w:left="0" w:right="3403" w:firstLine="0"/>
      <w:jc w:val="left"/>
    </w:pPr>
    <w:rPr>
      <w:rFonts w:asciiTheme="minorHAnsi" w:eastAsia="Arial" w:hAnsiTheme="minorHAnsi" w:cs="Arial"/>
      <w:i/>
      <w:color w:val="auto"/>
      <w:sz w:val="16"/>
      <w:szCs w:val="22"/>
      <w:lang w:val="en-US" w:eastAsia="en-US"/>
    </w:rPr>
  </w:style>
  <w:style w:type="paragraph" w:customStyle="1" w:styleId="CoverTitle">
    <w:name w:val="Cover Title"/>
    <w:basedOn w:val="CoverSubtitle"/>
    <w:next w:val="CoverSubtitle"/>
    <w:uiPriority w:val="99"/>
    <w:qFormat/>
    <w:rsid w:val="007B12F8"/>
    <w:rPr>
      <w:rFonts w:cs="Arial Narrow"/>
      <w:b w:val="0"/>
      <w:color w:val="5B9BD5" w:themeColor="accent1"/>
      <w:sz w:val="56"/>
      <w:szCs w:val="80"/>
      <w:lang w:val="en-GB"/>
    </w:rPr>
  </w:style>
  <w:style w:type="paragraph" w:customStyle="1" w:styleId="Website">
    <w:name w:val="Website"/>
    <w:uiPriority w:val="99"/>
    <w:qFormat/>
    <w:rsid w:val="007B12F8"/>
    <w:pPr>
      <w:framePr w:hSpace="180" w:wrap="around" w:vAnchor="text" w:hAnchor="margin" w:x="-318" w:y="586"/>
      <w:spacing w:before="120"/>
      <w:ind w:left="0" w:firstLine="0"/>
      <w:jc w:val="left"/>
    </w:pPr>
    <w:rPr>
      <w:rFonts w:asciiTheme="minorHAnsi" w:eastAsia="Arial" w:hAnsiTheme="minorHAnsi" w:cs="Arial"/>
      <w:b/>
      <w:color w:val="FFFFFF"/>
      <w:sz w:val="28"/>
      <w:szCs w:val="22"/>
      <w:lang w:eastAsia="en-US"/>
    </w:rPr>
  </w:style>
  <w:style w:type="paragraph" w:customStyle="1" w:styleId="Subhead">
    <w:name w:val="Subhead"/>
    <w:next w:val="BodyText10"/>
    <w:uiPriority w:val="99"/>
    <w:qFormat/>
    <w:rsid w:val="007B12F8"/>
    <w:pPr>
      <w:keepNext/>
      <w:keepLines/>
      <w:widowControl w:val="0"/>
      <w:spacing w:before="240"/>
      <w:ind w:left="0" w:firstLine="0"/>
      <w:jc w:val="left"/>
    </w:pPr>
    <w:rPr>
      <w:rFonts w:ascii="Verdana" w:eastAsia="Arial" w:hAnsi="Verdana"/>
      <w:b/>
      <w:color w:val="ED7D31" w:themeColor="accent2"/>
      <w:sz w:val="22"/>
      <w:szCs w:val="22"/>
      <w:lang w:eastAsia="en-US"/>
    </w:rPr>
  </w:style>
  <w:style w:type="paragraph" w:customStyle="1" w:styleId="BulletIntro">
    <w:name w:val="Bullet Intro"/>
    <w:next w:val="Bullet1"/>
    <w:uiPriority w:val="99"/>
    <w:qFormat/>
    <w:rsid w:val="007B12F8"/>
    <w:pPr>
      <w:keepNext/>
      <w:keepLines/>
      <w:spacing w:before="120" w:after="60" w:line="260" w:lineRule="exact"/>
      <w:ind w:left="0" w:firstLine="0"/>
      <w:jc w:val="left"/>
    </w:pPr>
    <w:rPr>
      <w:rFonts w:ascii="Verdana" w:eastAsia="Arial" w:hAnsi="Verdana"/>
      <w:color w:val="3B3838" w:themeColor="background2" w:themeShade="40"/>
      <w:szCs w:val="22"/>
      <w:lang w:eastAsia="en-US"/>
    </w:rPr>
  </w:style>
  <w:style w:type="paragraph" w:customStyle="1" w:styleId="Bullet1">
    <w:name w:val="Bullet1"/>
    <w:link w:val="Bullet1Car"/>
    <w:uiPriority w:val="99"/>
    <w:qFormat/>
    <w:rsid w:val="007B12F8"/>
    <w:pPr>
      <w:numPr>
        <w:numId w:val="60"/>
      </w:numPr>
      <w:spacing w:after="0"/>
    </w:pPr>
    <w:rPr>
      <w:rFonts w:eastAsia="Arial"/>
      <w:color w:val="auto"/>
      <w:szCs w:val="20"/>
      <w:lang w:eastAsia="en-US"/>
    </w:rPr>
  </w:style>
  <w:style w:type="paragraph" w:customStyle="1" w:styleId="Bullet1-end">
    <w:name w:val="Bullet1 - end"/>
    <w:basedOn w:val="Bullet1"/>
    <w:next w:val="BodyText10"/>
    <w:uiPriority w:val="99"/>
    <w:qFormat/>
    <w:rsid w:val="007B12F8"/>
    <w:pPr>
      <w:spacing w:after="120"/>
    </w:pPr>
  </w:style>
  <w:style w:type="paragraph" w:customStyle="1" w:styleId="Bullet2">
    <w:name w:val="Bullet2"/>
    <w:basedOn w:val="Bullet1"/>
    <w:uiPriority w:val="99"/>
    <w:qFormat/>
    <w:rsid w:val="007B12F8"/>
    <w:pPr>
      <w:numPr>
        <w:numId w:val="59"/>
      </w:numPr>
      <w:tabs>
        <w:tab w:val="num" w:pos="709"/>
      </w:tabs>
      <w:ind w:left="709" w:hanging="709"/>
    </w:pPr>
  </w:style>
  <w:style w:type="paragraph" w:customStyle="1" w:styleId="Bullet2-end">
    <w:name w:val="Bullet2 - end"/>
    <w:basedOn w:val="Bullet2"/>
    <w:next w:val="BodyText10"/>
    <w:uiPriority w:val="99"/>
    <w:qFormat/>
    <w:rsid w:val="007B12F8"/>
    <w:pPr>
      <w:spacing w:after="120"/>
    </w:pPr>
  </w:style>
  <w:style w:type="paragraph" w:customStyle="1" w:styleId="Bullet3">
    <w:name w:val="Bullet3"/>
    <w:basedOn w:val="Bullet1"/>
    <w:uiPriority w:val="99"/>
    <w:qFormat/>
    <w:rsid w:val="007B12F8"/>
    <w:pPr>
      <w:numPr>
        <w:numId w:val="61"/>
      </w:numPr>
      <w:tabs>
        <w:tab w:val="num" w:pos="709"/>
      </w:tabs>
      <w:ind w:left="709" w:hanging="709"/>
    </w:pPr>
  </w:style>
  <w:style w:type="paragraph" w:customStyle="1" w:styleId="Bullet3-end">
    <w:name w:val="Bullet3 - end"/>
    <w:basedOn w:val="Bullet3"/>
    <w:next w:val="BodyText10"/>
    <w:uiPriority w:val="99"/>
    <w:qFormat/>
    <w:rsid w:val="007B12F8"/>
    <w:pPr>
      <w:spacing w:after="120"/>
    </w:pPr>
  </w:style>
  <w:style w:type="paragraph" w:customStyle="1" w:styleId="NumberedIntro">
    <w:name w:val="Numbered Intro"/>
    <w:basedOn w:val="BulletIntro"/>
    <w:next w:val="Numbering1"/>
    <w:uiPriority w:val="99"/>
    <w:qFormat/>
    <w:rsid w:val="007B12F8"/>
  </w:style>
  <w:style w:type="paragraph" w:customStyle="1" w:styleId="Numbering1">
    <w:name w:val="Numbering1"/>
    <w:uiPriority w:val="99"/>
    <w:qFormat/>
    <w:rsid w:val="007B12F8"/>
    <w:pPr>
      <w:numPr>
        <w:numId w:val="62"/>
      </w:numPr>
      <w:spacing w:before="60" w:after="0" w:line="260" w:lineRule="exact"/>
      <w:jc w:val="left"/>
    </w:pPr>
    <w:rPr>
      <w:rFonts w:ascii="Verdana" w:eastAsia="Arial" w:hAnsi="Verdana"/>
      <w:color w:val="3B3838" w:themeColor="background2" w:themeShade="40"/>
      <w:szCs w:val="22"/>
      <w:lang w:eastAsia="en-US"/>
    </w:rPr>
  </w:style>
  <w:style w:type="paragraph" w:customStyle="1" w:styleId="Numbering1-end">
    <w:name w:val="Numbering1 - end"/>
    <w:basedOn w:val="Numbering1"/>
    <w:next w:val="Normal"/>
    <w:uiPriority w:val="99"/>
    <w:qFormat/>
    <w:rsid w:val="007B12F8"/>
    <w:pPr>
      <w:spacing w:after="120"/>
    </w:pPr>
  </w:style>
  <w:style w:type="paragraph" w:customStyle="1" w:styleId="Numbering2">
    <w:name w:val="Numbering2"/>
    <w:basedOn w:val="Numbering1"/>
    <w:uiPriority w:val="99"/>
    <w:qFormat/>
    <w:rsid w:val="007B12F8"/>
    <w:pPr>
      <w:numPr>
        <w:numId w:val="65"/>
      </w:numPr>
      <w:tabs>
        <w:tab w:val="left" w:pos="630"/>
      </w:tabs>
    </w:pPr>
  </w:style>
  <w:style w:type="paragraph" w:customStyle="1" w:styleId="Numbering2-end">
    <w:name w:val="Numbering2 - end"/>
    <w:basedOn w:val="Numbering2"/>
    <w:next w:val="Normal"/>
    <w:uiPriority w:val="99"/>
    <w:qFormat/>
    <w:rsid w:val="007B12F8"/>
    <w:pPr>
      <w:spacing w:after="120"/>
      <w:ind w:left="634" w:hanging="274"/>
    </w:pPr>
  </w:style>
  <w:style w:type="paragraph" w:customStyle="1" w:styleId="Numbering3">
    <w:name w:val="Numbering3"/>
    <w:basedOn w:val="Numbering1"/>
    <w:uiPriority w:val="99"/>
    <w:qFormat/>
    <w:rsid w:val="007B12F8"/>
    <w:pPr>
      <w:numPr>
        <w:numId w:val="67"/>
      </w:numPr>
    </w:pPr>
  </w:style>
  <w:style w:type="paragraph" w:customStyle="1" w:styleId="Numbering3-end">
    <w:name w:val="Numbering3 - end"/>
    <w:basedOn w:val="Numbering3"/>
    <w:next w:val="Normal"/>
    <w:uiPriority w:val="99"/>
    <w:qFormat/>
    <w:rsid w:val="007B12F8"/>
    <w:pPr>
      <w:spacing w:after="120"/>
      <w:ind w:left="994"/>
    </w:pPr>
  </w:style>
  <w:style w:type="paragraph" w:customStyle="1" w:styleId="IntroductoryText">
    <w:name w:val="Introductory Text"/>
    <w:next w:val="BodyText10"/>
    <w:uiPriority w:val="99"/>
    <w:qFormat/>
    <w:rsid w:val="007B12F8"/>
    <w:pPr>
      <w:spacing w:after="240"/>
      <w:ind w:left="0" w:firstLine="0"/>
      <w:jc w:val="left"/>
    </w:pPr>
    <w:rPr>
      <w:rFonts w:asciiTheme="minorHAnsi" w:eastAsia="Arial" w:hAnsiTheme="minorHAnsi"/>
      <w:i/>
      <w:color w:val="ED7D31" w:themeColor="accent2"/>
      <w:sz w:val="28"/>
      <w:szCs w:val="22"/>
      <w:lang w:val="en-US" w:eastAsia="en-US"/>
    </w:rPr>
  </w:style>
  <w:style w:type="paragraph" w:customStyle="1" w:styleId="FigureDescriptor">
    <w:name w:val="Figure Descriptor"/>
    <w:next w:val="BodyText10"/>
    <w:uiPriority w:val="99"/>
    <w:qFormat/>
    <w:rsid w:val="007B12F8"/>
    <w:pPr>
      <w:spacing w:before="240"/>
      <w:ind w:left="0" w:firstLine="0"/>
      <w:jc w:val="left"/>
    </w:pPr>
    <w:rPr>
      <w:rFonts w:ascii="Verdana" w:eastAsia="Arial" w:hAnsi="Verdana"/>
      <w:b/>
      <w:color w:val="7F7F7F" w:themeColor="text1" w:themeTint="80"/>
      <w:sz w:val="16"/>
      <w:szCs w:val="22"/>
      <w:lang w:val="fr-FR" w:eastAsia="en-US"/>
    </w:rPr>
  </w:style>
  <w:style w:type="paragraph" w:customStyle="1" w:styleId="TableText">
    <w:name w:val="Table Text"/>
    <w:aliases w:val="table text,TT,tt,table Body Text,table text + Arial Narrow,TableText,Table text,WC Table Text,Bold,Normal_2 + Times New Roman,12 pt,Table Text11 Char,Table Text11 Char Char,Table Text11 Char Char Char,TT Char Char Char,TableText + 10 pt,t"/>
    <w:basedOn w:val="BodyText10"/>
    <w:link w:val="TableTextChar1"/>
    <w:qFormat/>
    <w:rsid w:val="007B12F8"/>
    <w:pPr>
      <w:spacing w:before="20" w:after="20"/>
    </w:pPr>
    <w:rPr>
      <w:rFonts w:ascii="Arial" w:hAnsi="Arial"/>
      <w:szCs w:val="20"/>
    </w:rPr>
  </w:style>
  <w:style w:type="paragraph" w:customStyle="1" w:styleId="TableBullet1">
    <w:name w:val="Table Bullet1"/>
    <w:basedOn w:val="Bullet1"/>
    <w:uiPriority w:val="99"/>
    <w:qFormat/>
    <w:rsid w:val="007B12F8"/>
    <w:pPr>
      <w:numPr>
        <w:numId w:val="73"/>
      </w:numPr>
      <w:tabs>
        <w:tab w:val="num" w:pos="2411"/>
      </w:tabs>
      <w:ind w:left="360" w:hanging="851"/>
    </w:pPr>
  </w:style>
  <w:style w:type="paragraph" w:customStyle="1" w:styleId="TableBullet2">
    <w:name w:val="Table Bullet2"/>
    <w:basedOn w:val="Bullet2"/>
    <w:uiPriority w:val="99"/>
    <w:qFormat/>
    <w:rsid w:val="007B12F8"/>
  </w:style>
  <w:style w:type="paragraph" w:customStyle="1" w:styleId="TableBullet3">
    <w:name w:val="Table Bullet3"/>
    <w:basedOn w:val="Bullet3"/>
    <w:uiPriority w:val="99"/>
    <w:qFormat/>
    <w:rsid w:val="007B12F8"/>
    <w:pPr>
      <w:ind w:left="514" w:hanging="180"/>
    </w:pPr>
  </w:style>
  <w:style w:type="paragraph" w:customStyle="1" w:styleId="TableHead">
    <w:name w:val="Table Head"/>
    <w:next w:val="TableSubhead"/>
    <w:link w:val="TableHeadChar"/>
    <w:qFormat/>
    <w:rsid w:val="007B12F8"/>
    <w:pPr>
      <w:spacing w:after="0"/>
      <w:ind w:left="0" w:firstLine="0"/>
      <w:jc w:val="center"/>
    </w:pPr>
    <w:rPr>
      <w:rFonts w:eastAsia="Arial"/>
      <w:b/>
      <w:color w:val="FFFFFF" w:themeColor="background1"/>
      <w:szCs w:val="22"/>
      <w:lang w:eastAsia="en-US"/>
    </w:rPr>
  </w:style>
  <w:style w:type="paragraph" w:customStyle="1" w:styleId="TableSubhead">
    <w:name w:val="Table Subhead"/>
    <w:basedOn w:val="Normal"/>
    <w:uiPriority w:val="99"/>
    <w:qFormat/>
    <w:rsid w:val="007B12F8"/>
    <w:pPr>
      <w:spacing w:after="0"/>
      <w:ind w:left="0" w:firstLine="0"/>
    </w:pPr>
    <w:rPr>
      <w:rFonts w:asciiTheme="minorHAnsi" w:eastAsia="Arial" w:hAnsiTheme="minorHAnsi" w:cs="Arial"/>
      <w:bCs/>
      <w:color w:val="5B9BD5" w:themeColor="accent1"/>
      <w:szCs w:val="24"/>
      <w:lang w:eastAsia="en-US"/>
    </w:rPr>
  </w:style>
  <w:style w:type="paragraph" w:customStyle="1" w:styleId="TableofContents">
    <w:name w:val="Table of Contents"/>
    <w:uiPriority w:val="99"/>
    <w:qFormat/>
    <w:rsid w:val="007B12F8"/>
    <w:pPr>
      <w:spacing w:after="720"/>
      <w:ind w:left="0" w:firstLine="0"/>
      <w:jc w:val="left"/>
    </w:pPr>
    <w:rPr>
      <w:rFonts w:eastAsia="Arial"/>
      <w:color w:val="5B9BD5" w:themeColor="accent1"/>
      <w:sz w:val="36"/>
      <w:szCs w:val="60"/>
      <w:lang w:eastAsia="en-US"/>
    </w:rPr>
  </w:style>
  <w:style w:type="paragraph" w:customStyle="1" w:styleId="CapgeminiFooter">
    <w:name w:val="Capgemini Footer"/>
    <w:uiPriority w:val="99"/>
    <w:qFormat/>
    <w:rsid w:val="007B12F8"/>
    <w:pPr>
      <w:tabs>
        <w:tab w:val="right" w:pos="10206"/>
      </w:tabs>
      <w:spacing w:after="0"/>
      <w:ind w:left="0" w:firstLine="8640"/>
      <w:jc w:val="left"/>
    </w:pPr>
    <w:rPr>
      <w:rFonts w:asciiTheme="minorHAnsi" w:eastAsia="Arial" w:hAnsiTheme="minorHAnsi"/>
      <w:b/>
      <w:color w:val="998C85"/>
      <w:sz w:val="18"/>
      <w:szCs w:val="22"/>
      <w:lang w:eastAsia="en-US"/>
    </w:rPr>
  </w:style>
  <w:style w:type="paragraph" w:customStyle="1" w:styleId="CapgeminiPageNumber">
    <w:name w:val="Capgemini Page Number"/>
    <w:uiPriority w:val="99"/>
    <w:qFormat/>
    <w:rsid w:val="007B12F8"/>
    <w:pPr>
      <w:spacing w:after="0"/>
      <w:ind w:left="0" w:firstLine="0"/>
      <w:jc w:val="right"/>
    </w:pPr>
    <w:rPr>
      <w:rFonts w:ascii="Verdana" w:eastAsia="Arial" w:hAnsi="Verdana"/>
      <w:b/>
      <w:color w:val="767171" w:themeColor="background2" w:themeShade="80"/>
      <w:sz w:val="18"/>
      <w:szCs w:val="22"/>
      <w:lang w:eastAsia="en-US"/>
    </w:rPr>
  </w:style>
  <w:style w:type="paragraph" w:customStyle="1" w:styleId="Biostitle">
    <w:name w:val="Bios title"/>
    <w:basedOn w:val="Normal"/>
    <w:uiPriority w:val="99"/>
    <w:qFormat/>
    <w:rsid w:val="007B12F8"/>
    <w:pPr>
      <w:spacing w:before="40" w:after="40"/>
      <w:ind w:left="0" w:firstLine="0"/>
      <w:contextualSpacing/>
    </w:pPr>
    <w:rPr>
      <w:rFonts w:cs="Arial"/>
      <w:b/>
      <w:bCs/>
      <w:i/>
      <w:color w:val="5B9BD5" w:themeColor="accent1"/>
      <w:szCs w:val="32"/>
      <w:lang w:val="en-US" w:eastAsia="en-US"/>
    </w:rPr>
  </w:style>
  <w:style w:type="paragraph" w:customStyle="1" w:styleId="BlockText3">
    <w:name w:val="Block Text 3"/>
    <w:basedOn w:val="BlockText"/>
    <w:uiPriority w:val="99"/>
    <w:qFormat/>
    <w:rsid w:val="007B12F8"/>
    <w:pPr>
      <w:pBdr>
        <w:top w:val="single" w:sz="4" w:space="10" w:color="FFFFFF"/>
        <w:left w:val="single" w:sz="4" w:space="10" w:color="FFFFFF"/>
        <w:bottom w:val="single" w:sz="4" w:space="10" w:color="FFFFFF"/>
        <w:right w:val="single" w:sz="4" w:space="10" w:color="FFFFFF"/>
      </w:pBdr>
      <w:shd w:val="clear" w:color="auto" w:fill="EAE7E6"/>
      <w:spacing w:after="240" w:line="240" w:lineRule="atLeast"/>
      <w:ind w:left="227" w:right="227"/>
    </w:pPr>
    <w:rPr>
      <w:rFonts w:ascii="Arial" w:eastAsia="Times New Roman" w:hAnsi="Arial" w:cs="Times New Roman"/>
      <w:b/>
      <w:color w:val="0098C7"/>
      <w:sz w:val="96"/>
      <w:szCs w:val="20"/>
      <w:lang w:val="en-US"/>
    </w:rPr>
  </w:style>
  <w:style w:type="paragraph" w:customStyle="1" w:styleId="TableSpacer">
    <w:name w:val="Table Spacer"/>
    <w:basedOn w:val="Normal"/>
    <w:uiPriority w:val="34"/>
    <w:qFormat/>
    <w:rsid w:val="007B12F8"/>
    <w:pPr>
      <w:spacing w:after="0"/>
      <w:ind w:left="0" w:firstLine="0"/>
    </w:pPr>
    <w:rPr>
      <w:rFonts w:ascii="Georgia" w:eastAsia="Arial" w:hAnsi="Georgia" w:cs="Arial"/>
      <w:bCs/>
      <w:color w:val="263147"/>
      <w:sz w:val="4"/>
      <w:szCs w:val="21"/>
      <w:lang w:val="en-US" w:eastAsia="en-US"/>
    </w:rPr>
  </w:style>
  <w:style w:type="paragraph" w:customStyle="1" w:styleId="BlockText2">
    <w:name w:val="Block Text 2"/>
    <w:basedOn w:val="Normal"/>
    <w:uiPriority w:val="99"/>
    <w:qFormat/>
    <w:rsid w:val="007B12F8"/>
    <w:pPr>
      <w:pBdr>
        <w:top w:val="single" w:sz="4" w:space="10" w:color="FFFFFF"/>
        <w:left w:val="single" w:sz="4" w:space="10" w:color="FFFFFF"/>
        <w:bottom w:val="single" w:sz="4" w:space="10" w:color="FFFFFF"/>
        <w:right w:val="single" w:sz="4" w:space="10" w:color="FFFFFF"/>
      </w:pBdr>
      <w:shd w:val="clear" w:color="auto" w:fill="0098C7"/>
      <w:spacing w:after="240" w:line="240" w:lineRule="atLeast"/>
      <w:ind w:left="227" w:right="227" w:firstLine="0"/>
    </w:pPr>
    <w:rPr>
      <w:rFonts w:eastAsia="Arial" w:cs="Arial"/>
      <w:bCs/>
      <w:i/>
      <w:color w:val="FFFFFF" w:themeColor="background1"/>
      <w:sz w:val="48"/>
      <w:szCs w:val="48"/>
      <w:lang w:val="en-US" w:eastAsia="en-US"/>
    </w:rPr>
  </w:style>
  <w:style w:type="paragraph" w:customStyle="1" w:styleId="Bioheads">
    <w:name w:val="Bio heads"/>
    <w:basedOn w:val="Normal"/>
    <w:uiPriority w:val="99"/>
    <w:qFormat/>
    <w:rsid w:val="007B12F8"/>
    <w:pPr>
      <w:spacing w:before="60" w:after="60" w:line="240" w:lineRule="atLeast"/>
      <w:ind w:left="0" w:firstLine="0"/>
      <w:contextualSpacing/>
    </w:pPr>
    <w:rPr>
      <w:rFonts w:cs="Arial"/>
      <w:b/>
      <w:bCs/>
      <w:color w:val="ED7D31" w:themeColor="accent2"/>
      <w:szCs w:val="21"/>
      <w:lang w:val="en-US" w:eastAsia="en-US"/>
    </w:rPr>
  </w:style>
  <w:style w:type="paragraph" w:styleId="BlockText">
    <w:name w:val="Block Text"/>
    <w:basedOn w:val="Normal"/>
    <w:uiPriority w:val="99"/>
    <w:semiHidden/>
    <w:unhideWhenUsed/>
    <w:rsid w:val="007B12F8"/>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spacing w:after="0"/>
      <w:ind w:left="1152" w:right="1152" w:firstLine="0"/>
    </w:pPr>
    <w:rPr>
      <w:rFonts w:asciiTheme="minorHAnsi" w:eastAsiaTheme="minorEastAsia" w:hAnsiTheme="minorHAnsi" w:cstheme="minorBidi"/>
      <w:bCs/>
      <w:i/>
      <w:iCs/>
      <w:color w:val="5B9BD5" w:themeColor="accent1"/>
      <w:szCs w:val="24"/>
      <w:lang w:eastAsia="en-US"/>
    </w:rPr>
  </w:style>
  <w:style w:type="table" w:customStyle="1" w:styleId="Capgemini-NewVI">
    <w:name w:val="Capgemini - New VI"/>
    <w:basedOn w:val="TableNormal"/>
    <w:uiPriority w:val="99"/>
    <w:qFormat/>
    <w:rsid w:val="007B12F8"/>
    <w:pPr>
      <w:spacing w:after="0"/>
      <w:ind w:left="0" w:firstLine="0"/>
      <w:jc w:val="left"/>
    </w:pPr>
    <w:rPr>
      <w:rFonts w:asciiTheme="minorHAnsi" w:eastAsiaTheme="minorHAnsi" w:hAnsiTheme="minorHAnsi" w:cstheme="minorBidi"/>
      <w:color w:val="auto"/>
      <w:sz w:val="22"/>
      <w:szCs w:val="22"/>
      <w:lang w:val="en-US" w:eastAsia="en-US"/>
    </w:rPr>
    <w:tblPr>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E7E6E6" w:themeColor="background2"/>
        <w:insideV w:val="single" w:sz="4" w:space="0" w:color="E7E6E6" w:themeColor="background2"/>
      </w:tblBorders>
      <w:tblCellMar>
        <w:top w:w="108" w:type="dxa"/>
        <w:bottom w:w="108" w:type="dxa"/>
      </w:tblCellMar>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44546A"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44546A" w:themeColor="text2"/>
          <w:bottom w:val="single" w:sz="4" w:space="0" w:color="44546A" w:themeColor="text2"/>
          <w:right w:val="single" w:sz="4" w:space="0" w:color="44546A" w:themeColor="text2"/>
          <w:insideH w:val="nil"/>
          <w:insideV w:val="single" w:sz="4" w:space="0" w:color="FFFFFF" w:themeColor="background1"/>
          <w:tl2br w:val="nil"/>
          <w:tr2bl w:val="nil"/>
        </w:tcBorders>
        <w:shd w:val="clear" w:color="auto" w:fill="A5A5A5"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7E6E6" w:themeFill="background2"/>
      </w:tcPr>
    </w:tblStylePr>
  </w:style>
  <w:style w:type="paragraph" w:customStyle="1" w:styleId="Quote-Source">
    <w:name w:val="Quote-Source"/>
    <w:uiPriority w:val="99"/>
    <w:qFormat/>
    <w:rsid w:val="007B12F8"/>
    <w:pPr>
      <w:keepNext/>
      <w:keepLines/>
      <w:spacing w:before="240" w:after="240"/>
      <w:ind w:left="0" w:firstLine="0"/>
      <w:jc w:val="left"/>
    </w:pPr>
    <w:rPr>
      <w:rFonts w:ascii="Verdana" w:eastAsia="Arial" w:hAnsi="Verdana"/>
      <w:i/>
      <w:color w:val="5B9BD5" w:themeColor="accent1"/>
      <w:szCs w:val="22"/>
      <w:lang w:val="fr-FR" w:eastAsia="en-US"/>
    </w:rPr>
  </w:style>
  <w:style w:type="paragraph" w:customStyle="1" w:styleId="PulloutQuote">
    <w:name w:val="Pullout Quote"/>
    <w:basedOn w:val="BodyText10"/>
    <w:next w:val="Quote-Source"/>
    <w:uiPriority w:val="99"/>
    <w:qFormat/>
    <w:rsid w:val="007B12F8"/>
    <w:pPr>
      <w:keepNext/>
      <w:keepLines/>
    </w:pPr>
    <w:rPr>
      <w:b/>
      <w:color w:val="5B9BD5" w:themeColor="accent1"/>
      <w:sz w:val="28"/>
    </w:rPr>
  </w:style>
  <w:style w:type="paragraph" w:customStyle="1" w:styleId="Quotes">
    <w:name w:val="Quotes"/>
    <w:uiPriority w:val="99"/>
    <w:qFormat/>
    <w:rsid w:val="007B12F8"/>
    <w:pPr>
      <w:spacing w:after="0"/>
      <w:ind w:left="0" w:firstLine="0"/>
      <w:jc w:val="left"/>
    </w:pPr>
    <w:rPr>
      <w:rFonts w:eastAsia="Arial"/>
      <w:b/>
      <w:color w:val="FBE4D5" w:themeColor="accent2" w:themeTint="33"/>
      <w:sz w:val="534"/>
      <w:szCs w:val="22"/>
      <w:lang w:val="en-US" w:eastAsia="en-US"/>
    </w:rPr>
  </w:style>
  <w:style w:type="paragraph" w:customStyle="1" w:styleId="NormalQuote">
    <w:name w:val="Normal Quote"/>
    <w:uiPriority w:val="99"/>
    <w:qFormat/>
    <w:rsid w:val="007B12F8"/>
    <w:pPr>
      <w:ind w:left="0" w:firstLine="0"/>
      <w:jc w:val="left"/>
    </w:pPr>
    <w:rPr>
      <w:rFonts w:ascii="Verdana" w:eastAsia="Arial" w:hAnsi="Verdana"/>
      <w:b/>
      <w:color w:val="ED7D31" w:themeColor="accent2"/>
      <w:sz w:val="28"/>
      <w:szCs w:val="22"/>
      <w:lang w:val="en-US" w:eastAsia="en-US"/>
    </w:rPr>
  </w:style>
  <w:style w:type="paragraph" w:customStyle="1" w:styleId="BiosDesignation">
    <w:name w:val="Bios Designation"/>
    <w:uiPriority w:val="99"/>
    <w:qFormat/>
    <w:rsid w:val="007B12F8"/>
    <w:pPr>
      <w:spacing w:after="240" w:line="240" w:lineRule="atLeast"/>
      <w:ind w:left="0" w:firstLine="0"/>
      <w:jc w:val="left"/>
    </w:pPr>
    <w:rPr>
      <w:rFonts w:ascii="Verdana" w:hAnsi="Verdana"/>
      <w:b/>
      <w:color w:val="A5A5A5" w:themeColor="accent3"/>
      <w:sz w:val="22"/>
      <w:szCs w:val="28"/>
      <w:lang w:val="en-US" w:eastAsia="en-US"/>
    </w:rPr>
  </w:style>
  <w:style w:type="paragraph" w:customStyle="1" w:styleId="MoreInformation">
    <w:name w:val="More Information"/>
    <w:uiPriority w:val="99"/>
    <w:qFormat/>
    <w:rsid w:val="007B12F8"/>
    <w:pPr>
      <w:framePr w:hSpace="180" w:wrap="around" w:vAnchor="text" w:hAnchor="margin" w:x="-318" w:y="586"/>
      <w:spacing w:before="240" w:after="0"/>
      <w:ind w:left="0" w:firstLine="0"/>
      <w:jc w:val="left"/>
    </w:pPr>
    <w:rPr>
      <w:rFonts w:asciiTheme="minorHAnsi" w:eastAsia="Arial" w:hAnsiTheme="minorHAnsi" w:cstheme="minorHAnsi"/>
      <w:color w:val="FFFFFF" w:themeColor="background1"/>
      <w:sz w:val="18"/>
      <w:szCs w:val="22"/>
      <w:lang w:eastAsia="en-US"/>
    </w:rPr>
  </w:style>
  <w:style w:type="paragraph" w:customStyle="1" w:styleId="ObjectStyle">
    <w:name w:val="Object Style"/>
    <w:uiPriority w:val="99"/>
    <w:qFormat/>
    <w:rsid w:val="007B12F8"/>
    <w:pPr>
      <w:spacing w:before="120" w:after="240"/>
      <w:ind w:left="0" w:firstLine="0"/>
      <w:jc w:val="left"/>
    </w:pPr>
    <w:rPr>
      <w:rFonts w:asciiTheme="minorHAnsi" w:eastAsia="Arial" w:hAnsiTheme="minorHAnsi"/>
      <w:noProof/>
      <w:color w:val="000000" w:themeColor="text1"/>
      <w:szCs w:val="22"/>
      <w:lang w:val="en-US" w:eastAsia="en-US"/>
    </w:rPr>
  </w:style>
  <w:style w:type="table" w:customStyle="1" w:styleId="NSN">
    <w:name w:val="NSN"/>
    <w:basedOn w:val="TableNormal"/>
    <w:uiPriority w:val="99"/>
    <w:qFormat/>
    <w:rsid w:val="007B12F8"/>
    <w:pPr>
      <w:spacing w:before="120" w:after="0"/>
      <w:ind w:left="0" w:firstLine="0"/>
      <w:jc w:val="left"/>
    </w:pPr>
    <w:rPr>
      <w:rFonts w:asciiTheme="minorHAnsi" w:eastAsiaTheme="minorHAnsi" w:hAnsiTheme="minorHAnsi" w:cstheme="minorBidi"/>
      <w:color w:val="auto"/>
      <w:sz w:val="22"/>
      <w:szCs w:val="22"/>
      <w:lang w:val="en-US" w:eastAsia="en-US"/>
    </w:rPr>
    <w:tblPr/>
  </w:style>
  <w:style w:type="table" w:customStyle="1" w:styleId="Capgemini">
    <w:name w:val="Capgemini"/>
    <w:basedOn w:val="Capgemini-NewVI"/>
    <w:uiPriority w:val="99"/>
    <w:qFormat/>
    <w:rsid w:val="007B12F8"/>
    <w:tblPr/>
    <w:tblStylePr w:type="firstRow">
      <w:pPr>
        <w:jc w:val="center"/>
      </w:pPr>
      <w:rPr>
        <w:rFonts w:asciiTheme="minorHAnsi" w:hAnsiTheme="minorHAnsi"/>
        <w:b/>
        <w:color w:val="FFFFFF" w:themeColor="background1"/>
        <w:sz w:val="20"/>
      </w:rPr>
      <w:tblPr/>
      <w:tcPr>
        <w:tcBorders>
          <w:bottom w:val="single" w:sz="4" w:space="0" w:color="FFFFFF" w:themeColor="background1"/>
          <w:insideH w:val="single" w:sz="4" w:space="0" w:color="FFFFFF" w:themeColor="background1"/>
          <w:insideV w:val="single" w:sz="4" w:space="0" w:color="FFFFFF" w:themeColor="background1"/>
        </w:tcBorders>
        <w:shd w:val="clear" w:color="auto" w:fill="44546A" w:themeFill="text2"/>
      </w:tcPr>
    </w:tblStylePr>
    <w:tblStylePr w:type="lastRow">
      <w:pPr>
        <w:jc w:val="left"/>
      </w:pPr>
      <w:rPr>
        <w:rFonts w:asciiTheme="minorHAnsi" w:hAnsiTheme="minorHAnsi"/>
        <w:b/>
        <w:color w:val="FFFFFF" w:themeColor="background1"/>
        <w:sz w:val="18"/>
      </w:rPr>
      <w:tblPr/>
      <w:tcPr>
        <w:tcBorders>
          <w:top w:val="single" w:sz="4" w:space="0" w:color="FFFFFF" w:themeColor="background1"/>
          <w:left w:val="single" w:sz="4" w:space="0" w:color="44546A" w:themeColor="text2"/>
          <w:bottom w:val="single" w:sz="4" w:space="0" w:color="44546A" w:themeColor="text2"/>
          <w:right w:val="single" w:sz="4" w:space="0" w:color="44546A" w:themeColor="text2"/>
          <w:insideH w:val="nil"/>
          <w:insideV w:val="single" w:sz="4" w:space="0" w:color="FFFFFF" w:themeColor="background1"/>
          <w:tl2br w:val="nil"/>
          <w:tr2bl w:val="nil"/>
        </w:tcBorders>
        <w:shd w:val="clear" w:color="auto" w:fill="A5A5A5" w:themeFill="accent3"/>
        <w:vAlign w:val="center"/>
      </w:tcPr>
    </w:tblStylePr>
    <w:tblStylePr w:type="firstCol">
      <w:pPr>
        <w:jc w:val="left"/>
      </w:pPr>
      <w:rPr>
        <w:rFonts w:asciiTheme="minorHAnsi" w:hAnsiTheme="minorHAnsi"/>
        <w:b/>
        <w:color w:val="FFFFFF" w:themeColor="background1"/>
        <w:sz w:val="18"/>
      </w:rPr>
      <w:tblPr/>
      <w:tcPr>
        <w:tcBorders>
          <w:insideH w:val="single" w:sz="4" w:space="0" w:color="FFFFFF" w:themeColor="background1"/>
          <w:insideV w:val="nil"/>
        </w:tcBorders>
        <w:shd w:val="clear" w:color="auto" w:fill="E7E6E6" w:themeFill="background2"/>
      </w:tcPr>
    </w:tblStylePr>
  </w:style>
  <w:style w:type="table" w:customStyle="1" w:styleId="CMU">
    <w:name w:val="CMU"/>
    <w:basedOn w:val="Capgemini-NewVI"/>
    <w:uiPriority w:val="99"/>
    <w:qFormat/>
    <w:rsid w:val="007B12F8"/>
    <w:rPr>
      <w:rFonts w:ascii="Verdana" w:hAnsi="Verdana"/>
      <w:color w:val="3B3838" w:themeColor="background2" w:themeShade="40"/>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pPr>
        <w:jc w:val="center"/>
      </w:pPr>
      <w:rPr>
        <w:rFonts w:ascii="Verdana" w:hAnsi="Verdana"/>
        <w:b/>
        <w:color w:val="FFFFFF" w:themeColor="background1"/>
        <w:sz w:val="22"/>
      </w:rPr>
      <w:tblPr/>
      <w:trPr>
        <w:tblHeader/>
      </w:trPr>
      <w:tcPr>
        <w:tcBorders>
          <w:bottom w:val="single" w:sz="4" w:space="0" w:color="FFFFFF" w:themeColor="background1"/>
          <w:insideH w:val="single" w:sz="4" w:space="0" w:color="FFFFFF" w:themeColor="background1"/>
          <w:insideV w:val="single" w:sz="4" w:space="0" w:color="FFFFFF" w:themeColor="background1"/>
        </w:tcBorders>
        <w:shd w:val="clear" w:color="auto" w:fill="5B9BD5" w:themeFill="accent1"/>
      </w:tcPr>
    </w:tblStylePr>
    <w:tblStylePr w:type="lastRow">
      <w:pPr>
        <w:jc w:val="center"/>
      </w:pPr>
      <w:rPr>
        <w:rFonts w:asciiTheme="minorHAnsi" w:hAnsiTheme="minorHAnsi"/>
        <w:b/>
        <w:color w:val="FFFFFF" w:themeColor="background1"/>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70AD47" w:themeFill="accent6"/>
        <w:vAlign w:val="center"/>
      </w:tcPr>
    </w:tblStylePr>
    <w:tblStylePr w:type="firstCol">
      <w:pPr>
        <w:jc w:val="left"/>
      </w:pPr>
      <w:rPr>
        <w:rFonts w:ascii="Verdana" w:hAnsi="Verdana"/>
        <w:b/>
        <w:color w:val="5B9BD5" w:themeColor="accent1"/>
        <w:sz w:val="20"/>
      </w:rPr>
      <w:tblPr/>
      <w:tcPr>
        <w:tcBorders>
          <w:insideH w:val="single" w:sz="4" w:space="0" w:color="FFFFFF" w:themeColor="background1"/>
          <w:insideV w:val="nil"/>
        </w:tcBorders>
        <w:shd w:val="clear" w:color="auto" w:fill="E5E5E5" w:themeFill="text1" w:themeFillTint="1A"/>
      </w:tcPr>
    </w:tblStylePr>
    <w:tblStylePr w:type="lastCol">
      <w:rPr>
        <w:rFonts w:ascii="Verdana" w:hAnsi="Verdana"/>
        <w:color w:val="ED7D31" w:themeColor="accent2"/>
        <w:sz w:val="20"/>
      </w:rPr>
    </w:tblStylePr>
  </w:style>
  <w:style w:type="paragraph" w:customStyle="1" w:styleId="CopyrightExtraLine">
    <w:name w:val="Copyright Extra Line"/>
    <w:basedOn w:val="Normal"/>
    <w:uiPriority w:val="99"/>
    <w:qFormat/>
    <w:rsid w:val="007B12F8"/>
    <w:pPr>
      <w:numPr>
        <w:numId w:val="72"/>
      </w:numPr>
      <w:spacing w:after="0"/>
    </w:pPr>
    <w:rPr>
      <w:rFonts w:eastAsia="Arial" w:cs="Arial"/>
      <w:b/>
      <w:bCs/>
      <w:color w:val="FFFFFF" w:themeColor="background1"/>
      <w:sz w:val="16"/>
      <w:szCs w:val="24"/>
      <w:lang w:eastAsia="en-US"/>
    </w:rPr>
  </w:style>
  <w:style w:type="paragraph" w:customStyle="1" w:styleId="Para">
    <w:name w:val="Para"/>
    <w:basedOn w:val="BodyText10"/>
    <w:uiPriority w:val="99"/>
    <w:qFormat/>
    <w:rsid w:val="007B12F8"/>
    <w:pPr>
      <w:spacing w:before="120"/>
    </w:pPr>
  </w:style>
  <w:style w:type="paragraph" w:customStyle="1" w:styleId="DisclaimerText">
    <w:name w:val="Disclaimer Text"/>
    <w:basedOn w:val="Normal"/>
    <w:autoRedefine/>
    <w:uiPriority w:val="99"/>
    <w:qFormat/>
    <w:rsid w:val="007B12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80"/>
      <w:ind w:left="0" w:firstLine="0"/>
    </w:pPr>
    <w:rPr>
      <w:b/>
      <w:i/>
      <w:color w:val="auto"/>
      <w:szCs w:val="24"/>
      <w:lang w:val="en-US" w:eastAsia="en-US"/>
    </w:rPr>
  </w:style>
  <w:style w:type="paragraph" w:customStyle="1" w:styleId="Style0">
    <w:name w:val="Style0"/>
    <w:uiPriority w:val="99"/>
    <w:rsid w:val="007B12F8"/>
    <w:pPr>
      <w:autoSpaceDE w:val="0"/>
      <w:autoSpaceDN w:val="0"/>
      <w:adjustRightInd w:val="0"/>
      <w:spacing w:after="0"/>
      <w:ind w:left="0" w:firstLine="0"/>
      <w:jc w:val="left"/>
    </w:pPr>
    <w:rPr>
      <w:color w:val="auto"/>
      <w:szCs w:val="24"/>
      <w:lang w:val="en-US" w:eastAsia="en-US"/>
    </w:rPr>
  </w:style>
  <w:style w:type="paragraph" w:customStyle="1" w:styleId="DisclaimerHead">
    <w:name w:val="Disclaimer Head"/>
    <w:basedOn w:val="Style0"/>
    <w:autoRedefine/>
    <w:uiPriority w:val="99"/>
    <w:qFormat/>
    <w:rsid w:val="007B12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center"/>
    </w:pPr>
    <w:rPr>
      <w:rFonts w:ascii="Verdana" w:hAnsi="Verdana"/>
      <w:b/>
      <w:i/>
      <w:color w:val="12ABDB"/>
      <w:sz w:val="24"/>
    </w:rPr>
  </w:style>
  <w:style w:type="paragraph" w:customStyle="1" w:styleId="Numbering1a">
    <w:name w:val="Numbering1_a"/>
    <w:uiPriority w:val="99"/>
    <w:qFormat/>
    <w:rsid w:val="007B12F8"/>
    <w:pPr>
      <w:numPr>
        <w:numId w:val="63"/>
      </w:numPr>
      <w:spacing w:before="100" w:after="100" w:line="264" w:lineRule="auto"/>
      <w:jc w:val="left"/>
    </w:pPr>
    <w:rPr>
      <w:rFonts w:ascii="Verdana" w:eastAsia="Arial" w:hAnsi="Verdana"/>
      <w:color w:val="3B3838" w:themeColor="background2" w:themeShade="40"/>
      <w:szCs w:val="22"/>
      <w:lang w:eastAsia="en-US"/>
    </w:rPr>
  </w:style>
  <w:style w:type="paragraph" w:customStyle="1" w:styleId="Numbering1i">
    <w:name w:val="Numbering1_i"/>
    <w:basedOn w:val="Numbering1a"/>
    <w:uiPriority w:val="99"/>
    <w:qFormat/>
    <w:rsid w:val="007B12F8"/>
    <w:pPr>
      <w:numPr>
        <w:numId w:val="64"/>
      </w:numPr>
    </w:pPr>
  </w:style>
  <w:style w:type="paragraph" w:customStyle="1" w:styleId="Numbering2a">
    <w:name w:val="Numbering2_a"/>
    <w:basedOn w:val="Numbering1"/>
    <w:uiPriority w:val="99"/>
    <w:qFormat/>
    <w:rsid w:val="007B12F8"/>
    <w:pPr>
      <w:numPr>
        <w:numId w:val="66"/>
      </w:numPr>
    </w:pPr>
  </w:style>
  <w:style w:type="paragraph" w:customStyle="1" w:styleId="Numbering3i">
    <w:name w:val="Numbering3_i"/>
    <w:basedOn w:val="Numbering2"/>
    <w:uiPriority w:val="99"/>
    <w:qFormat/>
    <w:rsid w:val="007B12F8"/>
    <w:pPr>
      <w:numPr>
        <w:numId w:val="68"/>
      </w:numPr>
    </w:pPr>
  </w:style>
  <w:style w:type="paragraph" w:customStyle="1" w:styleId="Subheading1">
    <w:name w:val="Subheading 1"/>
    <w:basedOn w:val="Normal"/>
    <w:uiPriority w:val="99"/>
    <w:qFormat/>
    <w:rsid w:val="007B12F8"/>
    <w:pPr>
      <w:spacing w:before="120" w:after="0"/>
      <w:ind w:left="0" w:firstLine="0"/>
    </w:pPr>
    <w:rPr>
      <w:rFonts w:eastAsia="Calibri"/>
      <w:b/>
      <w:i/>
      <w:color w:val="auto"/>
      <w:spacing w:val="3"/>
      <w:szCs w:val="22"/>
      <w:lang w:val="en-US" w:eastAsia="en-US"/>
    </w:rPr>
  </w:style>
  <w:style w:type="paragraph" w:customStyle="1" w:styleId="subheading2">
    <w:name w:val="subheading 2"/>
    <w:next w:val="Normal"/>
    <w:uiPriority w:val="99"/>
    <w:qFormat/>
    <w:rsid w:val="007B12F8"/>
    <w:pPr>
      <w:spacing w:before="120"/>
      <w:ind w:left="0" w:firstLine="0"/>
      <w:jc w:val="left"/>
    </w:pPr>
    <w:rPr>
      <w:rFonts w:eastAsia="Calibri"/>
      <w:i/>
      <w:color w:val="auto"/>
      <w:spacing w:val="3"/>
      <w:szCs w:val="22"/>
      <w:lang w:val="en-US" w:eastAsia="en-US"/>
    </w:rPr>
  </w:style>
  <w:style w:type="paragraph" w:customStyle="1" w:styleId="Paragraphtext">
    <w:name w:val="Paragraph text"/>
    <w:uiPriority w:val="99"/>
    <w:qFormat/>
    <w:rsid w:val="007B12F8"/>
    <w:pPr>
      <w:spacing w:before="40" w:after="40"/>
      <w:ind w:left="0" w:firstLine="0"/>
      <w:jc w:val="left"/>
    </w:pPr>
    <w:rPr>
      <w:rFonts w:eastAsia="Arial"/>
      <w:color w:val="auto"/>
      <w:sz w:val="22"/>
      <w:szCs w:val="22"/>
      <w:lang w:eastAsia="en-US"/>
    </w:rPr>
  </w:style>
  <w:style w:type="paragraph" w:customStyle="1" w:styleId="NumberBullet">
    <w:name w:val="Number Bullet"/>
    <w:basedOn w:val="Paragraphtext"/>
    <w:uiPriority w:val="99"/>
    <w:qFormat/>
    <w:rsid w:val="007B12F8"/>
    <w:pPr>
      <w:spacing w:before="0" w:after="0"/>
      <w:ind w:left="288" w:hanging="288"/>
    </w:pPr>
  </w:style>
  <w:style w:type="paragraph" w:customStyle="1" w:styleId="Romannumberbullet">
    <w:name w:val="Roman number bullet"/>
    <w:basedOn w:val="NumberBullet"/>
    <w:uiPriority w:val="99"/>
    <w:qFormat/>
    <w:rsid w:val="007B12F8"/>
    <w:pPr>
      <w:tabs>
        <w:tab w:val="left" w:pos="630"/>
      </w:tabs>
    </w:pPr>
  </w:style>
  <w:style w:type="paragraph" w:customStyle="1" w:styleId="Alphabullet">
    <w:name w:val="Alpha bullet"/>
    <w:basedOn w:val="NumberBullet"/>
    <w:uiPriority w:val="99"/>
    <w:qFormat/>
    <w:rsid w:val="007B12F8"/>
  </w:style>
  <w:style w:type="paragraph" w:customStyle="1" w:styleId="Question2">
    <w:name w:val="Question 2"/>
    <w:basedOn w:val="Normal"/>
    <w:next w:val="Paragraphtext"/>
    <w:uiPriority w:val="99"/>
    <w:qFormat/>
    <w:rsid w:val="007B12F8"/>
    <w:pPr>
      <w:keepNext/>
      <w:pBdr>
        <w:top w:val="single" w:sz="12" w:space="4" w:color="5B9BD5" w:themeColor="accent1"/>
        <w:bottom w:val="single" w:sz="12" w:space="4" w:color="5B9BD5" w:themeColor="accent1"/>
      </w:pBdr>
      <w:spacing w:before="60" w:after="40"/>
      <w:ind w:left="288" w:hanging="288"/>
    </w:pPr>
    <w:rPr>
      <w:rFonts w:eastAsia="Arial"/>
      <w:b/>
      <w:color w:val="5B9BD5" w:themeColor="accent1"/>
      <w:szCs w:val="22"/>
      <w:lang w:eastAsia="en-US"/>
    </w:rPr>
  </w:style>
  <w:style w:type="character" w:customStyle="1" w:styleId="CaptionChar">
    <w:name w:val="Caption Char"/>
    <w:aliases w:val="Caption Char2 Char,Caption Char1 Char Char,Caption Char2 Char Char Char,Caption Char1 Char Char Char Char,Caption Char Char Char Char Char Char,Caption Char1 Char1 Char,Tabellenverzeichnis Char,Char Char,cp Char,c Char,Pg1Title Char,ct Char"/>
    <w:basedOn w:val="DefaultParagraphFont"/>
    <w:link w:val="Caption"/>
    <w:locked/>
    <w:rsid w:val="007B12F8"/>
    <w:rPr>
      <w:rFonts w:ascii="Verdana" w:hAnsi="Verdana"/>
      <w:b/>
      <w:bCs/>
      <w:color w:val="auto"/>
      <w:szCs w:val="20"/>
    </w:rPr>
  </w:style>
  <w:style w:type="character" w:customStyle="1" w:styleId="TableTextChar1">
    <w:name w:val="Table Text Char1"/>
    <w:link w:val="TableText"/>
    <w:locked/>
    <w:rsid w:val="007B12F8"/>
    <w:rPr>
      <w:rFonts w:eastAsia="Arial"/>
      <w:color w:val="auto"/>
      <w:szCs w:val="20"/>
      <w:lang w:val="en-US" w:eastAsia="en-US"/>
    </w:rPr>
  </w:style>
  <w:style w:type="paragraph" w:customStyle="1" w:styleId="H1nonumbering">
    <w:name w:val="H1 no numbering"/>
    <w:next w:val="Paragraphtext"/>
    <w:uiPriority w:val="99"/>
    <w:qFormat/>
    <w:rsid w:val="007B12F8"/>
    <w:pPr>
      <w:spacing w:after="40"/>
      <w:ind w:left="0" w:firstLine="0"/>
      <w:jc w:val="left"/>
    </w:pPr>
    <w:rPr>
      <w:rFonts w:eastAsia="Arial"/>
      <w:color w:val="2E74B5" w:themeColor="accent1" w:themeShade="BF"/>
      <w:sz w:val="28"/>
      <w:szCs w:val="60"/>
      <w:lang w:eastAsia="en-US"/>
    </w:rPr>
  </w:style>
  <w:style w:type="paragraph" w:customStyle="1" w:styleId="H2">
    <w:name w:val="H2"/>
    <w:next w:val="Paragraphtext"/>
    <w:uiPriority w:val="99"/>
    <w:qFormat/>
    <w:rsid w:val="007B12F8"/>
    <w:pPr>
      <w:keepNext/>
      <w:numPr>
        <w:ilvl w:val="1"/>
        <w:numId w:val="69"/>
      </w:numPr>
      <w:spacing w:before="240" w:after="180" w:line="276" w:lineRule="auto"/>
      <w:jc w:val="left"/>
    </w:pPr>
    <w:rPr>
      <w:rFonts w:ascii="Verdana" w:eastAsia="Arial" w:hAnsi="Verdana"/>
      <w:color w:val="5B9BD5" w:themeColor="accent1"/>
      <w:sz w:val="36"/>
      <w:szCs w:val="48"/>
      <w:lang w:eastAsia="en-US"/>
    </w:rPr>
  </w:style>
  <w:style w:type="paragraph" w:customStyle="1" w:styleId="H1">
    <w:name w:val="H1"/>
    <w:next w:val="Paragraphtext"/>
    <w:uiPriority w:val="99"/>
    <w:qFormat/>
    <w:rsid w:val="007B12F8"/>
    <w:pPr>
      <w:pageBreakBefore/>
      <w:numPr>
        <w:numId w:val="69"/>
      </w:numPr>
      <w:spacing w:after="320"/>
      <w:jc w:val="left"/>
    </w:pPr>
    <w:rPr>
      <w:rFonts w:ascii="Verdana" w:eastAsia="Arial" w:hAnsi="Verdana"/>
      <w:color w:val="2E74B5" w:themeColor="accent1" w:themeShade="BF"/>
      <w:sz w:val="40"/>
      <w:szCs w:val="60"/>
      <w:lang w:eastAsia="en-US"/>
    </w:rPr>
  </w:style>
  <w:style w:type="paragraph" w:customStyle="1" w:styleId="H2nonumbering">
    <w:name w:val="H2 no numbering"/>
    <w:next w:val="Paragraphtext"/>
    <w:uiPriority w:val="99"/>
    <w:qFormat/>
    <w:rsid w:val="007B12F8"/>
    <w:pPr>
      <w:keepNext/>
      <w:keepLines/>
      <w:spacing w:before="240" w:after="180"/>
      <w:ind w:left="0" w:firstLine="0"/>
      <w:jc w:val="left"/>
    </w:pPr>
    <w:rPr>
      <w:rFonts w:ascii="Verdana" w:eastAsia="Arial" w:hAnsi="Verdana"/>
      <w:color w:val="5B9BD5" w:themeColor="accent1"/>
      <w:sz w:val="36"/>
      <w:szCs w:val="48"/>
      <w:lang w:eastAsia="en-US"/>
    </w:rPr>
  </w:style>
  <w:style w:type="paragraph" w:customStyle="1" w:styleId="H3nonumbering">
    <w:name w:val="H3 no numbering"/>
    <w:next w:val="Paragraphtext"/>
    <w:uiPriority w:val="99"/>
    <w:qFormat/>
    <w:rsid w:val="007B12F8"/>
    <w:pPr>
      <w:keepNext/>
      <w:spacing w:before="180" w:line="276" w:lineRule="auto"/>
      <w:ind w:left="0" w:firstLine="0"/>
      <w:jc w:val="left"/>
    </w:pPr>
    <w:rPr>
      <w:rFonts w:ascii="Verdana" w:eastAsia="Arial" w:hAnsi="Verdana"/>
      <w:color w:val="C45911" w:themeColor="accent2" w:themeShade="BF"/>
      <w:sz w:val="32"/>
      <w:szCs w:val="40"/>
      <w:lang w:eastAsia="en-US"/>
    </w:rPr>
  </w:style>
  <w:style w:type="paragraph" w:customStyle="1" w:styleId="H4nonumbering">
    <w:name w:val="H4 no numbering"/>
    <w:next w:val="Paragraphtext"/>
    <w:uiPriority w:val="99"/>
    <w:qFormat/>
    <w:rsid w:val="007B12F8"/>
    <w:pPr>
      <w:keepNext/>
      <w:keepLines/>
      <w:spacing w:before="180"/>
      <w:ind w:left="0" w:firstLine="0"/>
      <w:jc w:val="left"/>
    </w:pPr>
    <w:rPr>
      <w:rFonts w:ascii="Verdana" w:eastAsia="Arial" w:hAnsi="Verdana"/>
      <w:color w:val="ED7D31" w:themeColor="accent2"/>
      <w:sz w:val="28"/>
      <w:szCs w:val="32"/>
      <w:lang w:eastAsia="en-US"/>
    </w:rPr>
  </w:style>
  <w:style w:type="paragraph" w:customStyle="1" w:styleId="H5nonumbering">
    <w:name w:val="H5 no numbering"/>
    <w:next w:val="Paragraphtext"/>
    <w:uiPriority w:val="99"/>
    <w:qFormat/>
    <w:rsid w:val="007B12F8"/>
    <w:pPr>
      <w:keepNext/>
      <w:keepLines/>
      <w:spacing w:before="180"/>
      <w:ind w:left="0" w:firstLine="0"/>
      <w:jc w:val="left"/>
    </w:pPr>
    <w:rPr>
      <w:rFonts w:asciiTheme="majorHAnsi" w:eastAsia="Arial" w:hAnsiTheme="majorHAnsi"/>
      <w:color w:val="ED7D31" w:themeColor="accent2"/>
      <w:sz w:val="24"/>
      <w:szCs w:val="24"/>
      <w:lang w:eastAsia="en-US"/>
    </w:rPr>
  </w:style>
  <w:style w:type="paragraph" w:customStyle="1" w:styleId="TableHeading">
    <w:name w:val="Table Heading"/>
    <w:uiPriority w:val="99"/>
    <w:qFormat/>
    <w:rsid w:val="007B12F8"/>
    <w:pPr>
      <w:keepNext/>
      <w:spacing w:after="0"/>
      <w:ind w:left="0" w:firstLine="0"/>
      <w:jc w:val="left"/>
    </w:pPr>
    <w:rPr>
      <w:rFonts w:eastAsia="Arial"/>
      <w:b/>
      <w:color w:val="FFFFFF" w:themeColor="background1"/>
      <w:szCs w:val="22"/>
      <w:lang w:eastAsia="en-US"/>
    </w:rPr>
  </w:style>
  <w:style w:type="paragraph" w:customStyle="1" w:styleId="H3">
    <w:name w:val="H3"/>
    <w:next w:val="Paragraphtext"/>
    <w:uiPriority w:val="99"/>
    <w:qFormat/>
    <w:rsid w:val="007B12F8"/>
    <w:pPr>
      <w:keepNext/>
      <w:numPr>
        <w:ilvl w:val="2"/>
        <w:numId w:val="69"/>
      </w:numPr>
      <w:spacing w:before="180" w:line="276" w:lineRule="auto"/>
      <w:jc w:val="left"/>
    </w:pPr>
    <w:rPr>
      <w:rFonts w:ascii="Verdana" w:eastAsia="Arial" w:hAnsi="Verdana"/>
      <w:color w:val="C45911" w:themeColor="accent2" w:themeShade="BF"/>
      <w:sz w:val="32"/>
      <w:szCs w:val="40"/>
      <w:lang w:eastAsia="en-US"/>
    </w:rPr>
  </w:style>
  <w:style w:type="paragraph" w:customStyle="1" w:styleId="H4">
    <w:name w:val="H4"/>
    <w:next w:val="Paragraphtext"/>
    <w:uiPriority w:val="99"/>
    <w:qFormat/>
    <w:rsid w:val="007B12F8"/>
    <w:pPr>
      <w:keepNext/>
      <w:numPr>
        <w:ilvl w:val="3"/>
        <w:numId w:val="69"/>
      </w:numPr>
      <w:spacing w:after="0"/>
      <w:jc w:val="left"/>
    </w:pPr>
    <w:rPr>
      <w:rFonts w:eastAsia="Arial"/>
      <w:color w:val="ED7D31" w:themeColor="accent2"/>
      <w:szCs w:val="32"/>
      <w:lang w:eastAsia="en-US"/>
    </w:rPr>
  </w:style>
  <w:style w:type="paragraph" w:customStyle="1" w:styleId="H5">
    <w:name w:val="H5"/>
    <w:next w:val="Paragraphtext"/>
    <w:uiPriority w:val="99"/>
    <w:qFormat/>
    <w:rsid w:val="007B12F8"/>
    <w:pPr>
      <w:keepNext/>
      <w:numPr>
        <w:ilvl w:val="4"/>
        <w:numId w:val="69"/>
      </w:numPr>
      <w:spacing w:before="180" w:line="276" w:lineRule="auto"/>
      <w:jc w:val="left"/>
    </w:pPr>
    <w:rPr>
      <w:rFonts w:asciiTheme="majorHAnsi" w:eastAsia="Arial" w:hAnsiTheme="majorHAnsi"/>
      <w:color w:val="ED7D31" w:themeColor="accent2"/>
      <w:sz w:val="24"/>
      <w:szCs w:val="24"/>
      <w:lang w:eastAsia="en-US"/>
    </w:rPr>
  </w:style>
  <w:style w:type="paragraph" w:customStyle="1" w:styleId="Question1">
    <w:name w:val="Question 1"/>
    <w:basedOn w:val="Paragraphtext"/>
    <w:next w:val="Paragraphtext"/>
    <w:uiPriority w:val="99"/>
    <w:qFormat/>
    <w:rsid w:val="007B12F8"/>
    <w:pPr>
      <w:keepNext/>
      <w:pBdr>
        <w:top w:val="single" w:sz="12" w:space="4" w:color="A5A5A5" w:themeColor="accent3"/>
        <w:bottom w:val="single" w:sz="12" w:space="4" w:color="A5A5A5" w:themeColor="accent3"/>
      </w:pBdr>
      <w:spacing w:before="60"/>
    </w:pPr>
    <w:rPr>
      <w:color w:val="A5A5A5" w:themeColor="accent3"/>
    </w:rPr>
  </w:style>
  <w:style w:type="paragraph" w:customStyle="1" w:styleId="Question3">
    <w:name w:val="Question 3"/>
    <w:basedOn w:val="Question2"/>
    <w:next w:val="Paragraphtext"/>
    <w:uiPriority w:val="99"/>
    <w:qFormat/>
    <w:rsid w:val="007B12F8"/>
    <w:pPr>
      <w:pBdr>
        <w:top w:val="single" w:sz="4" w:space="4" w:color="5B9BD5" w:themeColor="accent1"/>
        <w:left w:val="single" w:sz="4" w:space="4" w:color="5B9BD5" w:themeColor="accent1"/>
        <w:bottom w:val="single" w:sz="4" w:space="4" w:color="5B9BD5" w:themeColor="accent1"/>
        <w:right w:val="single" w:sz="4" w:space="4" w:color="5B9BD5" w:themeColor="accent1"/>
      </w:pBdr>
      <w:shd w:val="clear" w:color="auto" w:fill="E3F6FD"/>
      <w:ind w:left="0" w:firstLine="0"/>
    </w:pPr>
    <w:rPr>
      <w:b w:val="0"/>
      <w:color w:val="auto"/>
    </w:rPr>
  </w:style>
  <w:style w:type="paragraph" w:customStyle="1" w:styleId="Heading10">
    <w:name w:val="Heading1"/>
    <w:basedOn w:val="Heading1"/>
    <w:next w:val="BodyText10"/>
    <w:uiPriority w:val="99"/>
    <w:qFormat/>
    <w:rsid w:val="007B12F8"/>
    <w:pPr>
      <w:keepLines/>
      <w:pageBreakBefore/>
      <w:tabs>
        <w:tab w:val="clear" w:pos="709"/>
      </w:tabs>
      <w:spacing w:before="120" w:after="120"/>
      <w:ind w:left="720" w:hanging="720"/>
    </w:pPr>
    <w:rPr>
      <w:rFonts w:eastAsia="Arial" w:cs="Times New Roman"/>
      <w:bCs w:val="0"/>
      <w:caps w:val="0"/>
      <w:color w:val="auto"/>
      <w:sz w:val="24"/>
      <w:szCs w:val="60"/>
      <w:lang w:eastAsia="en-US"/>
    </w:rPr>
  </w:style>
  <w:style w:type="table" w:customStyle="1" w:styleId="TableGrid1">
    <w:name w:val="Table Grid1"/>
    <w:basedOn w:val="TableNormal"/>
    <w:next w:val="TableGrid0"/>
    <w:rsid w:val="007B12F8"/>
    <w:pPr>
      <w:spacing w:after="0"/>
      <w:ind w:left="0" w:firstLine="0"/>
      <w:jc w:val="left"/>
    </w:pPr>
    <w:rPr>
      <w:rFonts w:asciiTheme="minorHAnsi" w:eastAsiaTheme="minorHAnsi" w:hAnsiTheme="minorHAnsi" w:cstheme="minorBidi"/>
      <w:color w:val="auto"/>
      <w:sz w:val="22"/>
      <w:szCs w:val="22"/>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1Car">
    <w:name w:val="Bullet1 Car"/>
    <w:link w:val="Bullet1"/>
    <w:uiPriority w:val="99"/>
    <w:rsid w:val="007B12F8"/>
    <w:rPr>
      <w:rFonts w:eastAsia="Arial"/>
      <w:color w:val="auto"/>
      <w:szCs w:val="20"/>
      <w:lang w:eastAsia="en-US"/>
    </w:rPr>
  </w:style>
  <w:style w:type="paragraph" w:customStyle="1" w:styleId="Heading5nonumbering">
    <w:name w:val="Heading 5 no numbering"/>
    <w:basedOn w:val="Heading5"/>
    <w:next w:val="BodyText"/>
    <w:uiPriority w:val="99"/>
    <w:qFormat/>
    <w:rsid w:val="007B12F8"/>
    <w:pPr>
      <w:keepNext/>
      <w:numPr>
        <w:ilvl w:val="0"/>
        <w:numId w:val="0"/>
      </w:numPr>
      <w:spacing w:before="120" w:after="100" w:line="276" w:lineRule="auto"/>
    </w:pPr>
    <w:rPr>
      <w:rFonts w:asciiTheme="minorHAnsi" w:hAnsiTheme="minorHAnsi" w:cs="Arial"/>
      <w:iCs w:val="0"/>
      <w:color w:val="ED7D31" w:themeColor="accent2"/>
      <w:szCs w:val="24"/>
      <w:lang w:eastAsia="en-US"/>
    </w:rPr>
  </w:style>
  <w:style w:type="character" w:customStyle="1" w:styleId="TableBodyChar">
    <w:name w:val="Table Body Char"/>
    <w:basedOn w:val="DefaultParagraphFont"/>
    <w:link w:val="TableBody"/>
    <w:locked/>
    <w:rsid w:val="007B12F8"/>
    <w:rPr>
      <w:bCs/>
      <w:noProof/>
      <w:szCs w:val="24"/>
    </w:rPr>
  </w:style>
  <w:style w:type="paragraph" w:customStyle="1" w:styleId="TableBody">
    <w:name w:val="Table Body"/>
    <w:link w:val="TableBodyChar"/>
    <w:qFormat/>
    <w:rsid w:val="007B12F8"/>
    <w:pPr>
      <w:spacing w:after="0"/>
      <w:ind w:left="0" w:firstLine="0"/>
      <w:jc w:val="left"/>
    </w:pPr>
    <w:rPr>
      <w:bCs/>
      <w:noProof/>
      <w:szCs w:val="24"/>
    </w:rPr>
  </w:style>
  <w:style w:type="character" w:customStyle="1" w:styleId="ListParagraphChar">
    <w:name w:val="List Paragraph Char"/>
    <w:aliases w:val="EG Bullet 1 Char,lp1 Char,Paragraphe de liste1 Char,List1 Char,Numbered Indented Text Char,Figure_name Char,List Paragraph1 Char,List Paragraph Char Char Char,Number_1 Char,new Char,SGLText List Paragraph Char,List Paragraph11 Char"/>
    <w:link w:val="ListParagraph"/>
    <w:uiPriority w:val="34"/>
    <w:qFormat/>
    <w:locked/>
    <w:rsid w:val="007B12F8"/>
    <w:rPr>
      <w:rFonts w:asciiTheme="minorHAnsi" w:eastAsiaTheme="minorHAnsi" w:hAnsiTheme="minorHAnsi" w:cstheme="minorBidi"/>
      <w:color w:val="auto"/>
      <w:sz w:val="22"/>
      <w:szCs w:val="22"/>
      <w:lang w:eastAsia="en-US"/>
    </w:rPr>
  </w:style>
  <w:style w:type="character" w:customStyle="1" w:styleId="normaltextrun1">
    <w:name w:val="normaltextrun1"/>
    <w:basedOn w:val="DefaultParagraphFont"/>
    <w:rsid w:val="007B12F8"/>
  </w:style>
  <w:style w:type="table" w:styleId="GridTable4-Accent1">
    <w:name w:val="Grid Table 4 Accent 1"/>
    <w:basedOn w:val="TableNormal"/>
    <w:uiPriority w:val="49"/>
    <w:rsid w:val="007B12F8"/>
    <w:pPr>
      <w:spacing w:after="0"/>
      <w:ind w:left="0" w:firstLine="0"/>
      <w:jc w:val="left"/>
    </w:pPr>
    <w:rPr>
      <w:rFonts w:asciiTheme="minorHAnsi" w:eastAsiaTheme="minorHAnsi" w:hAnsiTheme="minorHAnsi" w:cstheme="minorBidi"/>
      <w:color w:val="auto"/>
      <w:sz w:val="22"/>
      <w:szCs w:val="22"/>
      <w:lang w:val="en-US"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odyTextIndent2">
    <w:name w:val="Body Text Indent 2"/>
    <w:basedOn w:val="Normal"/>
    <w:link w:val="BodyTextIndent2Char"/>
    <w:uiPriority w:val="99"/>
    <w:semiHidden/>
    <w:unhideWhenUsed/>
    <w:rsid w:val="007B12F8"/>
    <w:pPr>
      <w:spacing w:after="0" w:line="480" w:lineRule="auto"/>
      <w:ind w:left="283" w:firstLine="0"/>
    </w:pPr>
    <w:rPr>
      <w:rFonts w:eastAsia="Arial" w:cs="Arial"/>
      <w:bCs/>
      <w:color w:val="auto"/>
      <w:szCs w:val="24"/>
      <w:lang w:eastAsia="en-US"/>
    </w:rPr>
  </w:style>
  <w:style w:type="character" w:customStyle="1" w:styleId="BodyTextIndent2Char">
    <w:name w:val="Body Text Indent 2 Char"/>
    <w:basedOn w:val="DefaultParagraphFont"/>
    <w:link w:val="BodyTextIndent2"/>
    <w:uiPriority w:val="99"/>
    <w:semiHidden/>
    <w:rsid w:val="007B12F8"/>
    <w:rPr>
      <w:rFonts w:eastAsia="Arial" w:cs="Arial"/>
      <w:bCs/>
      <w:color w:val="auto"/>
      <w:szCs w:val="24"/>
      <w:lang w:eastAsia="en-US"/>
    </w:rPr>
  </w:style>
  <w:style w:type="character" w:customStyle="1" w:styleId="UnresolvedMention1">
    <w:name w:val="Unresolved Mention1"/>
    <w:basedOn w:val="DefaultParagraphFont"/>
    <w:uiPriority w:val="99"/>
    <w:unhideWhenUsed/>
    <w:rsid w:val="007B12F8"/>
    <w:rPr>
      <w:color w:val="605E5C"/>
      <w:shd w:val="clear" w:color="auto" w:fill="E1DFDD"/>
    </w:rPr>
  </w:style>
  <w:style w:type="character" w:customStyle="1" w:styleId="Mention1">
    <w:name w:val="Mention1"/>
    <w:basedOn w:val="DefaultParagraphFont"/>
    <w:uiPriority w:val="99"/>
    <w:unhideWhenUsed/>
    <w:rsid w:val="007B12F8"/>
    <w:rPr>
      <w:color w:val="2B579A"/>
      <w:shd w:val="clear" w:color="auto" w:fill="E1DFDD"/>
    </w:rPr>
  </w:style>
  <w:style w:type="table" w:customStyle="1" w:styleId="CMU1">
    <w:name w:val="CMU1"/>
    <w:basedOn w:val="TableNormal"/>
    <w:uiPriority w:val="99"/>
    <w:qFormat/>
    <w:rsid w:val="007B12F8"/>
    <w:pPr>
      <w:spacing w:before="40" w:after="40"/>
      <w:ind w:left="0" w:firstLine="0"/>
      <w:jc w:val="left"/>
    </w:pPr>
    <w:rPr>
      <w:rFonts w:ascii="Verdana" w:eastAsiaTheme="minorHAnsi" w:hAnsi="Verdana" w:cstheme="minorBidi"/>
      <w:color w:val="3B3B3B"/>
      <w:szCs w:val="22"/>
      <w:lang w:val="en-US"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108" w:type="dxa"/>
        <w:bottom w:w="108" w:type="dxa"/>
      </w:tblCellMar>
    </w:tblPr>
    <w:tblStylePr w:type="firstRow">
      <w:pPr>
        <w:wordWrap/>
        <w:jc w:val="left"/>
      </w:pPr>
      <w:rPr>
        <w:rFonts w:ascii="Verdana" w:hAnsi="Verdana"/>
        <w:b/>
        <w:color w:val="FFFFFF"/>
        <w:sz w:val="22"/>
      </w:rPr>
      <w:tblPr/>
      <w:trPr>
        <w:tblHeader/>
      </w:trPr>
      <w:tcPr>
        <w:tcBorders>
          <w:bottom w:val="single" w:sz="4" w:space="0" w:color="FFFFFF"/>
          <w:insideH w:val="single" w:sz="4" w:space="0" w:color="FFFFFF"/>
          <w:insideV w:val="single" w:sz="4" w:space="0" w:color="FFFFFF"/>
        </w:tcBorders>
        <w:shd w:val="clear" w:color="auto" w:fill="0070AD"/>
        <w:vAlign w:val="bottom"/>
      </w:tcPr>
    </w:tblStylePr>
    <w:tblStylePr w:type="lastRow">
      <w:pPr>
        <w:jc w:val="center"/>
      </w:pPr>
      <w:rPr>
        <w:rFonts w:ascii="Verdana" w:hAnsi="Verdana"/>
        <w:b/>
        <w:i w:val="0"/>
        <w:color w:val="FFFFFF"/>
        <w:sz w:val="20"/>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12ABDB"/>
        <w:vAlign w:val="center"/>
      </w:tcPr>
    </w:tblStylePr>
    <w:tblStylePr w:type="firstCol">
      <w:pPr>
        <w:jc w:val="left"/>
      </w:pPr>
      <w:rPr>
        <w:rFonts w:ascii="Verdana" w:hAnsi="Verdana"/>
        <w:b/>
        <w:color w:val="0070AD"/>
        <w:sz w:val="20"/>
      </w:rPr>
      <w:tblPr/>
      <w:tcPr>
        <w:tcBorders>
          <w:insideH w:val="single" w:sz="4" w:space="0" w:color="BFBFBF"/>
          <w:insideV w:val="nil"/>
        </w:tcBorders>
        <w:shd w:val="clear" w:color="auto" w:fill="E5E5E5"/>
      </w:tcPr>
    </w:tblStylePr>
    <w:tblStylePr w:type="lastCol">
      <w:rPr>
        <w:rFonts w:ascii="Verdana" w:hAnsi="Verdana"/>
        <w:color w:val="12ABDB"/>
        <w:sz w:val="20"/>
      </w:rPr>
    </w:tblStylePr>
  </w:style>
  <w:style w:type="character" w:customStyle="1" w:styleId="TableHeadChar">
    <w:name w:val="Table Head Char"/>
    <w:link w:val="TableHead"/>
    <w:locked/>
    <w:rsid w:val="007B12F8"/>
    <w:rPr>
      <w:rFonts w:eastAsia="Arial"/>
      <w:b/>
      <w:color w:val="FFFFFF" w:themeColor="background1"/>
      <w:szCs w:val="22"/>
      <w:lang w:eastAsia="en-US"/>
    </w:rPr>
  </w:style>
  <w:style w:type="character" w:customStyle="1" w:styleId="bodytextChar0">
    <w:name w:val="body text Char"/>
    <w:link w:val="BodyText10"/>
    <w:locked/>
    <w:rsid w:val="007B12F8"/>
    <w:rPr>
      <w:rFonts w:ascii="Verdana" w:eastAsia="Arial" w:hAnsi="Verdana"/>
      <w:color w:val="auto"/>
      <w:szCs w:val="22"/>
      <w:lang w:val="en-US" w:eastAsia="en-US"/>
    </w:rPr>
  </w:style>
  <w:style w:type="paragraph" w:customStyle="1" w:styleId="CapNormal">
    <w:name w:val="Cap_Normal"/>
    <w:link w:val="CapNormalChar"/>
    <w:qFormat/>
    <w:rsid w:val="007B12F8"/>
    <w:pPr>
      <w:spacing w:after="160"/>
      <w:ind w:left="0" w:firstLine="0"/>
      <w:jc w:val="left"/>
    </w:pPr>
    <w:rPr>
      <w:rFonts w:ascii="Times New Roman" w:eastAsia="Calibri" w:hAnsi="Times New Roman"/>
      <w:color w:val="auto"/>
      <w:sz w:val="22"/>
      <w:szCs w:val="24"/>
      <w:lang w:val="en-CA" w:eastAsia="en-CA"/>
    </w:rPr>
  </w:style>
  <w:style w:type="character" w:customStyle="1" w:styleId="CapNormalChar">
    <w:name w:val="Cap_Normal Char"/>
    <w:basedOn w:val="DefaultParagraphFont"/>
    <w:link w:val="CapNormal"/>
    <w:locked/>
    <w:rsid w:val="007B12F8"/>
    <w:rPr>
      <w:rFonts w:ascii="Times New Roman" w:eastAsia="Calibri" w:hAnsi="Times New Roman"/>
      <w:color w:val="auto"/>
      <w:sz w:val="22"/>
      <w:szCs w:val="24"/>
      <w:lang w:val="en-CA" w:eastAsia="en-CA"/>
    </w:rPr>
  </w:style>
  <w:style w:type="paragraph" w:customStyle="1" w:styleId="paragraph">
    <w:name w:val="paragraph"/>
    <w:basedOn w:val="Normal"/>
    <w:uiPriority w:val="99"/>
    <w:rsid w:val="007B12F8"/>
    <w:pPr>
      <w:spacing w:before="100" w:beforeAutospacing="1" w:after="100" w:afterAutospacing="1"/>
      <w:ind w:left="0" w:firstLine="0"/>
    </w:pPr>
    <w:rPr>
      <w:rFonts w:ascii="Times New Roman" w:hAnsi="Times New Roman"/>
      <w:color w:val="auto"/>
      <w:sz w:val="24"/>
      <w:szCs w:val="24"/>
      <w:lang w:val="en-US" w:eastAsia="en-US"/>
    </w:rPr>
  </w:style>
  <w:style w:type="paragraph" w:customStyle="1" w:styleId="Bullet10">
    <w:name w:val="_Bullet1"/>
    <w:basedOn w:val="ListParagraph"/>
    <w:uiPriority w:val="99"/>
    <w:qFormat/>
    <w:rsid w:val="007B12F8"/>
    <w:pPr>
      <w:numPr>
        <w:numId w:val="70"/>
      </w:numPr>
      <w:tabs>
        <w:tab w:val="num" w:pos="360"/>
      </w:tabs>
      <w:spacing w:before="40" w:after="120" w:line="240" w:lineRule="auto"/>
    </w:pPr>
    <w:rPr>
      <w:rFonts w:ascii="Arial" w:eastAsia="Times New Roman" w:hAnsi="Arial" w:cstheme="minorHAnsi"/>
      <w:b/>
      <w:bCs/>
      <w:color w:val="ED7D31" w:themeColor="accent2"/>
      <w:sz w:val="20"/>
      <w:szCs w:val="20"/>
      <w:lang w:val="en-AU"/>
    </w:rPr>
  </w:style>
  <w:style w:type="paragraph" w:customStyle="1" w:styleId="Normal0">
    <w:name w:val="_Normal"/>
    <w:basedOn w:val="Normal"/>
    <w:uiPriority w:val="99"/>
    <w:qFormat/>
    <w:rsid w:val="007B12F8"/>
    <w:pPr>
      <w:spacing w:after="0"/>
      <w:ind w:left="0" w:firstLine="0"/>
    </w:pPr>
    <w:rPr>
      <w:rFonts w:asciiTheme="minorHAnsi" w:hAnsiTheme="minorHAnsi" w:cstheme="minorHAnsi"/>
      <w:color w:val="auto"/>
      <w:sz w:val="22"/>
      <w:szCs w:val="22"/>
      <w:lang w:val="en-AU" w:eastAsia="en-US"/>
    </w:rPr>
  </w:style>
  <w:style w:type="character" w:customStyle="1" w:styleId="BodytextChar1">
    <w:name w:val="Body text Char"/>
    <w:basedOn w:val="DefaultParagraphFont"/>
    <w:locked/>
    <w:rsid w:val="007B12F8"/>
    <w:rPr>
      <w:rFonts w:ascii="Verdana" w:hAnsi="Verdana"/>
    </w:rPr>
  </w:style>
  <w:style w:type="character" w:customStyle="1" w:styleId="Bullet1Char1">
    <w:name w:val="Bullet1 Char1"/>
    <w:basedOn w:val="DefaultParagraphFont"/>
    <w:locked/>
    <w:rsid w:val="007B12F8"/>
    <w:rPr>
      <w:rFonts w:ascii="Arial" w:hAnsi="Arial" w:cs="Arial"/>
      <w:color w:val="000000"/>
    </w:rPr>
  </w:style>
  <w:style w:type="character" w:customStyle="1" w:styleId="spellingerror">
    <w:name w:val="spellingerror"/>
    <w:basedOn w:val="DefaultParagraphFont"/>
    <w:rsid w:val="007B12F8"/>
  </w:style>
  <w:style w:type="paragraph" w:customStyle="1" w:styleId="Bullet4">
    <w:name w:val="Bullet4"/>
    <w:basedOn w:val="Bullet3"/>
    <w:uiPriority w:val="99"/>
    <w:qFormat/>
    <w:rsid w:val="007B12F8"/>
    <w:pPr>
      <w:tabs>
        <w:tab w:val="num" w:pos="360"/>
      </w:tabs>
      <w:spacing w:before="60" w:line="264" w:lineRule="auto"/>
      <w:ind w:left="2880"/>
    </w:pPr>
    <w:rPr>
      <w:rFonts w:ascii="Verdana" w:hAnsi="Verdana"/>
      <w:color w:val="3B3838" w:themeColor="background2" w:themeShade="40"/>
      <w:lang w:val="en-US"/>
    </w:rPr>
  </w:style>
  <w:style w:type="paragraph" w:customStyle="1" w:styleId="Bullet5">
    <w:name w:val="Bullet5"/>
    <w:basedOn w:val="Bullet4"/>
    <w:uiPriority w:val="99"/>
    <w:qFormat/>
    <w:rsid w:val="007B12F8"/>
    <w:pPr>
      <w:ind w:left="3600"/>
    </w:pPr>
  </w:style>
  <w:style w:type="paragraph" w:customStyle="1" w:styleId="Bullet6">
    <w:name w:val="Bullet6"/>
    <w:basedOn w:val="Bullet5"/>
    <w:uiPriority w:val="99"/>
    <w:qFormat/>
    <w:rsid w:val="007B12F8"/>
    <w:pPr>
      <w:ind w:left="4320"/>
    </w:pPr>
  </w:style>
  <w:style w:type="paragraph" w:customStyle="1" w:styleId="Bullet7">
    <w:name w:val="Bullet7"/>
    <w:basedOn w:val="Bullet6"/>
    <w:uiPriority w:val="99"/>
    <w:qFormat/>
    <w:rsid w:val="007B12F8"/>
    <w:pPr>
      <w:ind w:left="5040"/>
    </w:pPr>
  </w:style>
  <w:style w:type="paragraph" w:customStyle="1" w:styleId="Bullet8">
    <w:name w:val="Bullet8"/>
    <w:basedOn w:val="Bullet7"/>
    <w:uiPriority w:val="99"/>
    <w:qFormat/>
    <w:rsid w:val="007B12F8"/>
    <w:pPr>
      <w:ind w:left="5760"/>
    </w:pPr>
  </w:style>
  <w:style w:type="paragraph" w:customStyle="1" w:styleId="Bullet9">
    <w:name w:val="Bullet9"/>
    <w:basedOn w:val="ListParagraph"/>
    <w:uiPriority w:val="99"/>
    <w:qFormat/>
    <w:rsid w:val="007B12F8"/>
    <w:pPr>
      <w:numPr>
        <w:numId w:val="71"/>
      </w:numPr>
      <w:spacing w:before="40" w:after="40" w:line="240" w:lineRule="auto"/>
    </w:pPr>
    <w:rPr>
      <w:rFonts w:ascii="Arial" w:hAnsi="Arial" w:cs="Arial"/>
      <w:b/>
      <w:bCs/>
      <w:color w:val="ED7D31" w:themeColor="accent2"/>
      <w:sz w:val="20"/>
      <w:szCs w:val="20"/>
    </w:rPr>
  </w:style>
  <w:style w:type="paragraph" w:customStyle="1" w:styleId="Heading20">
    <w:name w:val="Heading2"/>
    <w:basedOn w:val="Heading2"/>
    <w:uiPriority w:val="99"/>
    <w:rsid w:val="007B12F8"/>
    <w:pPr>
      <w:keepNext/>
      <w:keepLines/>
      <w:spacing w:before="120" w:after="120"/>
    </w:pPr>
    <w:rPr>
      <w:rFonts w:eastAsia="Arial" w:cs="Arial"/>
      <w:bCs w:val="0"/>
      <w:iCs w:val="0"/>
      <w:color w:val="000000" w:themeColor="text1"/>
      <w:szCs w:val="20"/>
      <w:lang w:eastAsia="en-US"/>
    </w:rPr>
  </w:style>
  <w:style w:type="character" w:customStyle="1" w:styleId="Mention2">
    <w:name w:val="Mention2"/>
    <w:basedOn w:val="DefaultParagraphFont"/>
    <w:uiPriority w:val="99"/>
    <w:unhideWhenUsed/>
    <w:rsid w:val="007B12F8"/>
    <w:rPr>
      <w:color w:val="2B579A"/>
      <w:shd w:val="clear" w:color="auto" w:fill="E6E6E6"/>
    </w:rPr>
  </w:style>
  <w:style w:type="paragraph" w:customStyle="1" w:styleId="EGBullet2">
    <w:name w:val="EG Bullet 2"/>
    <w:basedOn w:val="ListParagraph"/>
    <w:uiPriority w:val="99"/>
    <w:qFormat/>
    <w:rsid w:val="007B12F8"/>
    <w:pPr>
      <w:spacing w:before="40" w:after="40" w:line="240" w:lineRule="auto"/>
      <w:ind w:left="792" w:hanging="432"/>
    </w:pPr>
    <w:rPr>
      <w:rFonts w:ascii="Arial" w:hAnsi="Arial" w:cs="Arial"/>
      <w:b/>
      <w:bCs/>
      <w:color w:val="ED7D31" w:themeColor="accent2"/>
      <w:sz w:val="20"/>
      <w:szCs w:val="20"/>
    </w:rPr>
  </w:style>
  <w:style w:type="table" w:styleId="ListTable3-Accent1">
    <w:name w:val="List Table 3 Accent 1"/>
    <w:basedOn w:val="TableNormal"/>
    <w:uiPriority w:val="48"/>
    <w:rsid w:val="007B12F8"/>
    <w:pPr>
      <w:spacing w:after="0"/>
      <w:ind w:left="0" w:firstLine="0"/>
      <w:jc w:val="left"/>
    </w:pPr>
    <w:rPr>
      <w:rFonts w:asciiTheme="minorHAnsi" w:eastAsiaTheme="minorHAnsi" w:hAnsiTheme="minorHAnsi" w:cstheme="minorBidi"/>
      <w:color w:val="auto"/>
      <w:sz w:val="22"/>
      <w:szCs w:val="22"/>
      <w:lang w:val="en-US" w:eastAsia="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UnresolvedMention2">
    <w:name w:val="Unresolved Mention2"/>
    <w:basedOn w:val="DefaultParagraphFont"/>
    <w:uiPriority w:val="99"/>
    <w:unhideWhenUsed/>
    <w:rsid w:val="007B12F8"/>
    <w:rPr>
      <w:color w:val="605E5C"/>
      <w:shd w:val="clear" w:color="auto" w:fill="E1DFDD"/>
    </w:rPr>
  </w:style>
  <w:style w:type="character" w:customStyle="1" w:styleId="Mention3">
    <w:name w:val="Mention3"/>
    <w:basedOn w:val="DefaultParagraphFont"/>
    <w:uiPriority w:val="99"/>
    <w:unhideWhenUsed/>
    <w:rsid w:val="007B12F8"/>
    <w:rPr>
      <w:color w:val="2B579A"/>
      <w:shd w:val="clear" w:color="auto" w:fill="E1DFDD"/>
    </w:rPr>
  </w:style>
  <w:style w:type="paragraph" w:customStyle="1" w:styleId="Heading3">
    <w:name w:val="Heading3"/>
    <w:basedOn w:val="Heading2"/>
    <w:uiPriority w:val="99"/>
    <w:qFormat/>
    <w:rsid w:val="00346A37"/>
    <w:pPr>
      <w:numPr>
        <w:ilvl w:val="2"/>
      </w:numPr>
      <w:spacing w:after="120"/>
    </w:pPr>
    <w:rPr>
      <w:rFonts w:cs="Arial"/>
      <w:szCs w:val="20"/>
    </w:rPr>
  </w:style>
  <w:style w:type="character" w:customStyle="1" w:styleId="UnresolvedMention3">
    <w:name w:val="Unresolved Mention3"/>
    <w:basedOn w:val="DefaultParagraphFont"/>
    <w:uiPriority w:val="99"/>
    <w:unhideWhenUsed/>
    <w:rsid w:val="007B12F8"/>
    <w:rPr>
      <w:color w:val="605E5C"/>
      <w:shd w:val="clear" w:color="auto" w:fill="E1DFDD"/>
    </w:rPr>
  </w:style>
  <w:style w:type="character" w:customStyle="1" w:styleId="Mention4">
    <w:name w:val="Mention4"/>
    <w:basedOn w:val="DefaultParagraphFont"/>
    <w:uiPriority w:val="99"/>
    <w:unhideWhenUsed/>
    <w:rsid w:val="007B12F8"/>
    <w:rPr>
      <w:color w:val="2B579A"/>
      <w:shd w:val="clear" w:color="auto" w:fill="E1DFDD"/>
    </w:rPr>
  </w:style>
  <w:style w:type="table" w:styleId="ListTable3">
    <w:name w:val="List Table 3"/>
    <w:basedOn w:val="TableNormal"/>
    <w:uiPriority w:val="48"/>
    <w:rsid w:val="007B12F8"/>
    <w:pPr>
      <w:spacing w:after="0"/>
      <w:ind w:left="0" w:firstLine="0"/>
      <w:jc w:val="left"/>
    </w:pPr>
    <w:rPr>
      <w:rFonts w:asciiTheme="minorHAnsi" w:eastAsiaTheme="minorHAnsi" w:hAnsiTheme="minorHAnsi" w:cstheme="minorBidi"/>
      <w:color w:val="auto"/>
      <w:sz w:val="22"/>
      <w:szCs w:val="22"/>
      <w:lang w:val="en-US"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Grid2">
    <w:name w:val="Table Grid2"/>
    <w:basedOn w:val="TableNormal"/>
    <w:next w:val="TableGrid0"/>
    <w:uiPriority w:val="39"/>
    <w:rsid w:val="009A2964"/>
    <w:pPr>
      <w:spacing w:after="0"/>
      <w:ind w:left="0" w:firstLine="0"/>
      <w:jc w:val="left"/>
    </w:pPr>
    <w:rPr>
      <w:rFonts w:ascii="Calibri" w:eastAsia="Calibri" w:hAnsi="Calibri"/>
      <w:color w:val="auto"/>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9A2964"/>
    <w:pPr>
      <w:spacing w:after="0"/>
      <w:ind w:left="0" w:firstLine="0"/>
      <w:jc w:val="left"/>
    </w:pPr>
    <w:rPr>
      <w:rFonts w:ascii="Calibri" w:eastAsia="Calibri" w:hAnsi="Calibri"/>
      <w:color w:val="auto"/>
      <w:szCs w:val="20"/>
      <w:lang w:val="en-US" w:eastAsia="ja-JP"/>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3-Accent5">
    <w:name w:val="Grid Table 3 Accent 5"/>
    <w:basedOn w:val="TableNormal"/>
    <w:uiPriority w:val="48"/>
    <w:rsid w:val="009A2964"/>
    <w:pPr>
      <w:spacing w:after="0"/>
      <w:ind w:left="0" w:firstLine="0"/>
      <w:jc w:val="left"/>
    </w:pPr>
    <w:rPr>
      <w:rFonts w:ascii="Calibri" w:eastAsia="Calibri" w:hAnsi="Calibri"/>
      <w:color w:val="auto"/>
      <w:szCs w:val="20"/>
      <w:lang w:val="en-US" w:eastAsia="ja-JP"/>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scxw180733681">
    <w:name w:val="scxw180733681"/>
    <w:basedOn w:val="DefaultParagraphFont"/>
    <w:rsid w:val="009A2964"/>
  </w:style>
  <w:style w:type="character" w:customStyle="1" w:styleId="scxw170929131">
    <w:name w:val="scxw170929131"/>
    <w:basedOn w:val="DefaultParagraphFont"/>
    <w:rsid w:val="009A2964"/>
  </w:style>
  <w:style w:type="table" w:styleId="GridTable1Light-Accent1">
    <w:name w:val="Grid Table 1 Light Accent 1"/>
    <w:basedOn w:val="TableNormal"/>
    <w:uiPriority w:val="46"/>
    <w:rsid w:val="009A2964"/>
    <w:pPr>
      <w:spacing w:after="0"/>
      <w:ind w:left="0" w:firstLine="0"/>
      <w:jc w:val="left"/>
    </w:pPr>
    <w:rPr>
      <w:rFonts w:ascii="Calibri" w:eastAsia="Calibri" w:hAnsi="Calibri"/>
      <w:color w:val="auto"/>
      <w:szCs w:val="20"/>
      <w:lang w:val="en-US" w:eastAsia="ja-JP"/>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Address">
    <w:name w:val="Address"/>
    <w:basedOn w:val="Normal"/>
    <w:uiPriority w:val="99"/>
    <w:rsid w:val="00E538A1"/>
    <w:pPr>
      <w:spacing w:after="0" w:line="276" w:lineRule="auto"/>
      <w:ind w:left="0" w:firstLine="0"/>
      <w:jc w:val="left"/>
    </w:pPr>
    <w:rPr>
      <w:rFonts w:cs="Arabic Transparent"/>
      <w:b/>
      <w:color w:val="auto"/>
      <w:sz w:val="18"/>
      <w:szCs w:val="24"/>
      <w:lang w:eastAsia="en-US"/>
    </w:rPr>
  </w:style>
  <w:style w:type="paragraph" w:customStyle="1" w:styleId="Cover1">
    <w:name w:val="Cover1"/>
    <w:basedOn w:val="Normal"/>
    <w:next w:val="Cover2"/>
    <w:uiPriority w:val="99"/>
    <w:rsid w:val="00E538A1"/>
    <w:pPr>
      <w:spacing w:after="0" w:line="276" w:lineRule="auto"/>
      <w:ind w:left="0" w:firstLine="0"/>
      <w:jc w:val="left"/>
    </w:pPr>
    <w:rPr>
      <w:rFonts w:cs="Arabic Transparent"/>
      <w:b/>
      <w:bCs/>
      <w:color w:val="auto"/>
      <w:sz w:val="22"/>
      <w:szCs w:val="26"/>
      <w:lang w:eastAsia="en-US"/>
    </w:rPr>
  </w:style>
  <w:style w:type="paragraph" w:customStyle="1" w:styleId="Cover2">
    <w:name w:val="Cover2"/>
    <w:basedOn w:val="Normal"/>
    <w:next w:val="Cover1"/>
    <w:autoRedefine/>
    <w:uiPriority w:val="99"/>
    <w:rsid w:val="00E538A1"/>
    <w:pPr>
      <w:spacing w:after="240" w:line="276" w:lineRule="auto"/>
      <w:ind w:left="0" w:firstLine="0"/>
      <w:jc w:val="left"/>
    </w:pPr>
    <w:rPr>
      <w:rFonts w:cs="Arabic Transparent"/>
      <w:color w:val="auto"/>
      <w:sz w:val="22"/>
      <w:szCs w:val="26"/>
      <w:lang w:eastAsia="en-US"/>
    </w:rPr>
  </w:style>
  <w:style w:type="paragraph" w:styleId="Date">
    <w:name w:val="Date"/>
    <w:basedOn w:val="Normal"/>
    <w:next w:val="Normal"/>
    <w:link w:val="DateChar"/>
    <w:uiPriority w:val="99"/>
    <w:semiHidden/>
    <w:rsid w:val="00E538A1"/>
    <w:pPr>
      <w:spacing w:after="0" w:line="276" w:lineRule="auto"/>
      <w:ind w:left="0" w:firstLine="0"/>
      <w:jc w:val="left"/>
    </w:pPr>
    <w:rPr>
      <w:rFonts w:cs="Arabic Transparent"/>
      <w:color w:val="auto"/>
      <w:szCs w:val="24"/>
      <w:lang w:eastAsia="en-US"/>
    </w:rPr>
  </w:style>
  <w:style w:type="character" w:customStyle="1" w:styleId="DateChar">
    <w:name w:val="Date Char"/>
    <w:basedOn w:val="DefaultParagraphFont"/>
    <w:link w:val="Date"/>
    <w:uiPriority w:val="99"/>
    <w:semiHidden/>
    <w:rsid w:val="00E538A1"/>
    <w:rPr>
      <w:rFonts w:cs="Arabic Transparent"/>
      <w:color w:val="auto"/>
      <w:szCs w:val="24"/>
      <w:lang w:eastAsia="en-US"/>
    </w:rPr>
  </w:style>
  <w:style w:type="paragraph" w:styleId="DocumentMap">
    <w:name w:val="Document Map"/>
    <w:basedOn w:val="Normal"/>
    <w:link w:val="DocumentMapChar"/>
    <w:uiPriority w:val="99"/>
    <w:semiHidden/>
    <w:rsid w:val="00E538A1"/>
    <w:pPr>
      <w:shd w:val="clear" w:color="auto" w:fill="000080"/>
      <w:spacing w:after="0" w:line="276" w:lineRule="auto"/>
      <w:ind w:left="0" w:firstLine="0"/>
      <w:jc w:val="left"/>
    </w:pPr>
    <w:rPr>
      <w:rFonts w:ascii="Tahoma" w:hAnsi="Tahoma" w:cs="Arabic Transparent"/>
      <w:color w:val="auto"/>
      <w:szCs w:val="24"/>
      <w:lang w:eastAsia="en-US"/>
    </w:rPr>
  </w:style>
  <w:style w:type="character" w:customStyle="1" w:styleId="DocumentMapChar">
    <w:name w:val="Document Map Char"/>
    <w:basedOn w:val="DefaultParagraphFont"/>
    <w:link w:val="DocumentMap"/>
    <w:uiPriority w:val="99"/>
    <w:semiHidden/>
    <w:rsid w:val="00E538A1"/>
    <w:rPr>
      <w:rFonts w:ascii="Tahoma" w:hAnsi="Tahoma" w:cs="Arabic Transparent"/>
      <w:color w:val="auto"/>
      <w:szCs w:val="24"/>
      <w:shd w:val="clear" w:color="auto" w:fill="000080"/>
      <w:lang w:eastAsia="en-US"/>
    </w:rPr>
  </w:style>
  <w:style w:type="character" w:styleId="Emphasis">
    <w:name w:val="Emphasis"/>
    <w:basedOn w:val="DefaultParagraphFont"/>
    <w:qFormat/>
    <w:rsid w:val="00E538A1"/>
    <w:rPr>
      <w:i/>
    </w:rPr>
  </w:style>
  <w:style w:type="character" w:styleId="EndnoteReference">
    <w:name w:val="endnote reference"/>
    <w:basedOn w:val="DefaultParagraphFont"/>
    <w:semiHidden/>
    <w:rsid w:val="00E538A1"/>
    <w:rPr>
      <w:vertAlign w:val="superscript"/>
    </w:rPr>
  </w:style>
  <w:style w:type="paragraph" w:styleId="EndnoteText">
    <w:name w:val="endnote text"/>
    <w:basedOn w:val="Normal"/>
    <w:link w:val="EndnoteTextChar"/>
    <w:uiPriority w:val="99"/>
    <w:semiHidden/>
    <w:rsid w:val="00E538A1"/>
    <w:pPr>
      <w:tabs>
        <w:tab w:val="left" w:pos="720"/>
      </w:tabs>
      <w:spacing w:after="0" w:line="276" w:lineRule="auto"/>
      <w:ind w:left="0" w:firstLine="0"/>
      <w:jc w:val="left"/>
    </w:pPr>
    <w:rPr>
      <w:rFonts w:cs="Arabic Transparent"/>
      <w:color w:val="auto"/>
      <w:sz w:val="18"/>
      <w:szCs w:val="24"/>
      <w:lang w:eastAsia="en-US"/>
    </w:rPr>
  </w:style>
  <w:style w:type="character" w:customStyle="1" w:styleId="EndnoteTextChar">
    <w:name w:val="Endnote Text Char"/>
    <w:basedOn w:val="DefaultParagraphFont"/>
    <w:link w:val="EndnoteText"/>
    <w:uiPriority w:val="99"/>
    <w:semiHidden/>
    <w:rsid w:val="00E538A1"/>
    <w:rPr>
      <w:rFonts w:cs="Arabic Transparent"/>
      <w:color w:val="auto"/>
      <w:sz w:val="18"/>
      <w:szCs w:val="24"/>
      <w:lang w:eastAsia="en-US"/>
    </w:rPr>
  </w:style>
  <w:style w:type="paragraph" w:styleId="EnvelopeAddress">
    <w:name w:val="envelope address"/>
    <w:basedOn w:val="Normal"/>
    <w:uiPriority w:val="99"/>
    <w:semiHidden/>
    <w:rsid w:val="00E538A1"/>
    <w:pPr>
      <w:framePr w:w="7920" w:h="1980" w:hRule="exact" w:hSpace="180" w:wrap="auto" w:hAnchor="page" w:xAlign="center" w:yAlign="bottom"/>
      <w:spacing w:after="0" w:line="276" w:lineRule="auto"/>
      <w:ind w:left="2880" w:firstLine="0"/>
      <w:jc w:val="left"/>
    </w:pPr>
    <w:rPr>
      <w:rFonts w:cs="Arabic Transparent"/>
      <w:color w:val="auto"/>
      <w:sz w:val="24"/>
      <w:szCs w:val="24"/>
      <w:lang w:eastAsia="en-US"/>
    </w:rPr>
  </w:style>
  <w:style w:type="paragraph" w:styleId="EnvelopeReturn">
    <w:name w:val="envelope return"/>
    <w:basedOn w:val="Normal"/>
    <w:uiPriority w:val="99"/>
    <w:semiHidden/>
    <w:rsid w:val="00E538A1"/>
    <w:pPr>
      <w:spacing w:after="0" w:line="276" w:lineRule="auto"/>
      <w:ind w:left="0" w:firstLine="0"/>
      <w:jc w:val="left"/>
    </w:pPr>
    <w:rPr>
      <w:rFonts w:cs="Arabic Transparent"/>
      <w:color w:val="auto"/>
      <w:szCs w:val="24"/>
      <w:lang w:eastAsia="en-US"/>
    </w:rPr>
  </w:style>
  <w:style w:type="paragraph" w:customStyle="1" w:styleId="Leader">
    <w:name w:val="Leader"/>
    <w:basedOn w:val="BodyText"/>
    <w:next w:val="BodyText"/>
    <w:uiPriority w:val="99"/>
    <w:rsid w:val="00E538A1"/>
    <w:pPr>
      <w:spacing w:before="120" w:line="276" w:lineRule="auto"/>
      <w:ind w:left="0" w:firstLine="0"/>
      <w:jc w:val="left"/>
    </w:pPr>
    <w:rPr>
      <w:rFonts w:cs="Arabic Transparent"/>
      <w:b/>
      <w:color w:val="auto"/>
      <w:sz w:val="22"/>
      <w:szCs w:val="24"/>
      <w:lang w:eastAsia="en-US"/>
    </w:rPr>
  </w:style>
  <w:style w:type="character" w:styleId="LineNumber">
    <w:name w:val="line number"/>
    <w:basedOn w:val="DefaultParagraphFont"/>
    <w:semiHidden/>
    <w:rsid w:val="00E538A1"/>
  </w:style>
  <w:style w:type="paragraph" w:styleId="MacroText">
    <w:name w:val="macro"/>
    <w:link w:val="MacroTextChar"/>
    <w:uiPriority w:val="99"/>
    <w:semiHidden/>
    <w:rsid w:val="00E538A1"/>
    <w:pPr>
      <w:tabs>
        <w:tab w:val="left" w:pos="480"/>
        <w:tab w:val="left" w:pos="960"/>
        <w:tab w:val="left" w:pos="1440"/>
        <w:tab w:val="left" w:pos="1920"/>
        <w:tab w:val="left" w:pos="2400"/>
        <w:tab w:val="left" w:pos="2880"/>
        <w:tab w:val="left" w:pos="3360"/>
        <w:tab w:val="left" w:pos="3840"/>
        <w:tab w:val="left" w:pos="4320"/>
      </w:tabs>
      <w:spacing w:after="0"/>
      <w:ind w:left="0" w:firstLine="0"/>
    </w:pPr>
    <w:rPr>
      <w:rFonts w:ascii="Courier New" w:hAnsi="Courier New"/>
      <w:color w:val="auto"/>
      <w:szCs w:val="20"/>
      <w:lang w:eastAsia="en-US"/>
    </w:rPr>
  </w:style>
  <w:style w:type="character" w:customStyle="1" w:styleId="MacroTextChar">
    <w:name w:val="Macro Text Char"/>
    <w:basedOn w:val="DefaultParagraphFont"/>
    <w:link w:val="MacroText"/>
    <w:uiPriority w:val="99"/>
    <w:semiHidden/>
    <w:rsid w:val="00E538A1"/>
    <w:rPr>
      <w:rFonts w:ascii="Courier New" w:hAnsi="Courier New"/>
      <w:color w:val="auto"/>
      <w:szCs w:val="20"/>
      <w:lang w:eastAsia="en-US"/>
    </w:rPr>
  </w:style>
  <w:style w:type="paragraph" w:styleId="MessageHeader">
    <w:name w:val="Message Header"/>
    <w:basedOn w:val="Normal"/>
    <w:link w:val="MessageHeaderChar"/>
    <w:uiPriority w:val="99"/>
    <w:semiHidden/>
    <w:rsid w:val="00E538A1"/>
    <w:pPr>
      <w:pBdr>
        <w:top w:val="single" w:sz="6" w:space="1" w:color="auto"/>
        <w:left w:val="single" w:sz="6" w:space="1" w:color="auto"/>
        <w:bottom w:val="single" w:sz="6" w:space="1" w:color="auto"/>
        <w:right w:val="single" w:sz="6" w:space="1" w:color="auto"/>
      </w:pBdr>
      <w:shd w:val="pct20" w:color="auto" w:fill="auto"/>
      <w:spacing w:after="0" w:line="276" w:lineRule="auto"/>
      <w:ind w:left="1134" w:hanging="1134"/>
      <w:jc w:val="left"/>
    </w:pPr>
    <w:rPr>
      <w:rFonts w:cs="Arabic Transparent"/>
      <w:color w:val="auto"/>
      <w:sz w:val="24"/>
      <w:szCs w:val="24"/>
      <w:lang w:eastAsia="en-US"/>
    </w:rPr>
  </w:style>
  <w:style w:type="character" w:customStyle="1" w:styleId="MessageHeaderChar">
    <w:name w:val="Message Header Char"/>
    <w:basedOn w:val="DefaultParagraphFont"/>
    <w:link w:val="MessageHeader"/>
    <w:uiPriority w:val="99"/>
    <w:semiHidden/>
    <w:rsid w:val="00E538A1"/>
    <w:rPr>
      <w:rFonts w:cs="Arabic Transparent"/>
      <w:color w:val="auto"/>
      <w:sz w:val="24"/>
      <w:szCs w:val="24"/>
      <w:shd w:val="pct20" w:color="auto" w:fill="auto"/>
      <w:lang w:eastAsia="en-US"/>
    </w:rPr>
  </w:style>
  <w:style w:type="paragraph" w:customStyle="1" w:styleId="Note">
    <w:name w:val="Note"/>
    <w:basedOn w:val="BodyText"/>
    <w:link w:val="NoteChar"/>
    <w:rsid w:val="00E538A1"/>
    <w:pPr>
      <w:shd w:val="clear" w:color="auto" w:fill="FBE4D5" w:themeFill="accent2" w:themeFillTint="33"/>
      <w:spacing w:line="276" w:lineRule="auto"/>
      <w:ind w:left="720" w:firstLine="0"/>
      <w:jc w:val="left"/>
    </w:pPr>
    <w:rPr>
      <w:rFonts w:cs="Arabic Transparent"/>
      <w:color w:val="auto"/>
      <w:sz w:val="17"/>
      <w:szCs w:val="17"/>
      <w:lang w:eastAsia="en-US"/>
    </w:rPr>
  </w:style>
  <w:style w:type="paragraph" w:styleId="PlainText">
    <w:name w:val="Plain Text"/>
    <w:basedOn w:val="Normal"/>
    <w:link w:val="PlainTextChar"/>
    <w:uiPriority w:val="99"/>
    <w:semiHidden/>
    <w:rsid w:val="00E538A1"/>
    <w:pPr>
      <w:spacing w:after="0" w:line="276" w:lineRule="auto"/>
      <w:ind w:left="0" w:firstLine="0"/>
      <w:jc w:val="left"/>
    </w:pPr>
    <w:rPr>
      <w:rFonts w:ascii="Courier New" w:hAnsi="Courier New" w:cs="Arabic Transparent"/>
      <w:color w:val="auto"/>
      <w:szCs w:val="24"/>
      <w:lang w:eastAsia="en-US"/>
    </w:rPr>
  </w:style>
  <w:style w:type="character" w:customStyle="1" w:styleId="PlainTextChar">
    <w:name w:val="Plain Text Char"/>
    <w:basedOn w:val="DefaultParagraphFont"/>
    <w:link w:val="PlainText"/>
    <w:uiPriority w:val="99"/>
    <w:semiHidden/>
    <w:rsid w:val="00E538A1"/>
    <w:rPr>
      <w:rFonts w:ascii="Courier New" w:hAnsi="Courier New" w:cs="Arabic Transparent"/>
      <w:color w:val="auto"/>
      <w:szCs w:val="24"/>
      <w:lang w:eastAsia="en-US"/>
    </w:rPr>
  </w:style>
  <w:style w:type="paragraph" w:customStyle="1" w:styleId="Recital">
    <w:name w:val="Recital"/>
    <w:basedOn w:val="Normal"/>
    <w:uiPriority w:val="99"/>
    <w:rsid w:val="00E538A1"/>
    <w:pPr>
      <w:numPr>
        <w:numId w:val="100"/>
      </w:numPr>
      <w:spacing w:after="240" w:line="276" w:lineRule="auto"/>
      <w:jc w:val="left"/>
    </w:pPr>
    <w:rPr>
      <w:rFonts w:cs="Arabic Transparent"/>
      <w:color w:val="auto"/>
      <w:szCs w:val="24"/>
      <w:lang w:eastAsia="en-US"/>
    </w:rPr>
  </w:style>
  <w:style w:type="paragraph" w:styleId="Subtitle">
    <w:name w:val="Subtitle"/>
    <w:basedOn w:val="Normal"/>
    <w:link w:val="SubtitleChar"/>
    <w:uiPriority w:val="99"/>
    <w:qFormat/>
    <w:rsid w:val="00E538A1"/>
    <w:pPr>
      <w:spacing w:after="60" w:line="276" w:lineRule="auto"/>
      <w:ind w:left="0" w:firstLine="0"/>
      <w:jc w:val="center"/>
      <w:outlineLvl w:val="1"/>
    </w:pPr>
    <w:rPr>
      <w:rFonts w:cs="Arabic Transparent"/>
      <w:color w:val="auto"/>
      <w:sz w:val="24"/>
      <w:szCs w:val="24"/>
      <w:lang w:eastAsia="en-US"/>
    </w:rPr>
  </w:style>
  <w:style w:type="character" w:customStyle="1" w:styleId="SubtitleChar">
    <w:name w:val="Subtitle Char"/>
    <w:basedOn w:val="DefaultParagraphFont"/>
    <w:link w:val="Subtitle"/>
    <w:uiPriority w:val="99"/>
    <w:rsid w:val="00E538A1"/>
    <w:rPr>
      <w:rFonts w:cs="Arabic Transparent"/>
      <w:color w:val="auto"/>
      <w:sz w:val="24"/>
      <w:szCs w:val="24"/>
      <w:lang w:eastAsia="en-US"/>
    </w:rPr>
  </w:style>
  <w:style w:type="paragraph" w:styleId="TableofAuthorities">
    <w:name w:val="table of authorities"/>
    <w:basedOn w:val="Normal"/>
    <w:next w:val="Normal"/>
    <w:uiPriority w:val="99"/>
    <w:semiHidden/>
    <w:rsid w:val="00E538A1"/>
    <w:pPr>
      <w:spacing w:after="0" w:line="276" w:lineRule="auto"/>
      <w:ind w:left="220" w:hanging="220"/>
      <w:jc w:val="left"/>
    </w:pPr>
    <w:rPr>
      <w:rFonts w:cs="Arabic Transparent"/>
      <w:color w:val="auto"/>
      <w:szCs w:val="24"/>
      <w:lang w:eastAsia="en-US"/>
    </w:rPr>
  </w:style>
  <w:style w:type="paragraph" w:styleId="TOAHeading">
    <w:name w:val="toa heading"/>
    <w:basedOn w:val="Normal"/>
    <w:next w:val="Normal"/>
    <w:uiPriority w:val="99"/>
    <w:semiHidden/>
    <w:rsid w:val="00E538A1"/>
    <w:pPr>
      <w:spacing w:before="120" w:after="0" w:line="276" w:lineRule="auto"/>
      <w:ind w:left="0" w:firstLine="0"/>
      <w:jc w:val="left"/>
    </w:pPr>
    <w:rPr>
      <w:rFonts w:cs="Arabic Transparent"/>
      <w:b/>
      <w:color w:val="auto"/>
      <w:sz w:val="24"/>
      <w:szCs w:val="24"/>
      <w:lang w:eastAsia="en-US"/>
    </w:rPr>
  </w:style>
  <w:style w:type="paragraph" w:customStyle="1" w:styleId="Appendix">
    <w:name w:val="Appendix"/>
    <w:basedOn w:val="Normal"/>
    <w:next w:val="BodyText"/>
    <w:uiPriority w:val="99"/>
    <w:rsid w:val="00E538A1"/>
    <w:pPr>
      <w:numPr>
        <w:numId w:val="103"/>
      </w:numPr>
      <w:spacing w:after="240" w:line="276" w:lineRule="auto"/>
      <w:jc w:val="left"/>
    </w:pPr>
    <w:rPr>
      <w:rFonts w:cs="Arabic Transparent"/>
      <w:b/>
      <w:color w:val="auto"/>
      <w:sz w:val="28"/>
      <w:szCs w:val="24"/>
      <w:lang w:eastAsia="en-US"/>
    </w:rPr>
  </w:style>
  <w:style w:type="character" w:customStyle="1" w:styleId="Annotation">
    <w:name w:val="Annotation"/>
    <w:basedOn w:val="DefaultParagraphFont"/>
    <w:rsid w:val="00E538A1"/>
    <w:rPr>
      <w:b/>
      <w:bCs/>
      <w:i/>
      <w:iCs/>
      <w:bdr w:val="none" w:sz="0" w:space="0" w:color="auto"/>
      <w:shd w:val="clear" w:color="auto" w:fill="CDC6B6"/>
    </w:rPr>
  </w:style>
  <w:style w:type="character" w:customStyle="1" w:styleId="Mandatorytext">
    <w:name w:val="Mandatory text"/>
    <w:basedOn w:val="DefaultParagraphFont"/>
    <w:rsid w:val="00E538A1"/>
    <w:rPr>
      <w:b/>
      <w:bCs/>
      <w:bdr w:val="none" w:sz="0" w:space="0" w:color="auto"/>
      <w:shd w:val="clear" w:color="auto" w:fill="81E3D0"/>
    </w:rPr>
  </w:style>
  <w:style w:type="paragraph" w:customStyle="1" w:styleId="Definition">
    <w:name w:val="Definition"/>
    <w:basedOn w:val="BodyText"/>
    <w:uiPriority w:val="99"/>
    <w:rsid w:val="00E538A1"/>
    <w:pPr>
      <w:numPr>
        <w:numId w:val="104"/>
      </w:numPr>
      <w:spacing w:line="276" w:lineRule="auto"/>
      <w:jc w:val="left"/>
    </w:pPr>
    <w:rPr>
      <w:rFonts w:cs="Arabic Transparent"/>
      <w:color w:val="auto"/>
      <w:szCs w:val="24"/>
      <w:lang w:eastAsia="en-US"/>
    </w:rPr>
  </w:style>
  <w:style w:type="paragraph" w:customStyle="1" w:styleId="Definitiona">
    <w:name w:val="Definition (a)"/>
    <w:basedOn w:val="BodyText"/>
    <w:uiPriority w:val="99"/>
    <w:rsid w:val="00E538A1"/>
    <w:pPr>
      <w:numPr>
        <w:ilvl w:val="1"/>
        <w:numId w:val="104"/>
      </w:numPr>
      <w:spacing w:line="276" w:lineRule="auto"/>
      <w:jc w:val="left"/>
    </w:pPr>
    <w:rPr>
      <w:rFonts w:cs="Arabic Transparent"/>
      <w:color w:val="auto"/>
      <w:szCs w:val="24"/>
      <w:lang w:eastAsia="en-US"/>
    </w:rPr>
  </w:style>
  <w:style w:type="paragraph" w:customStyle="1" w:styleId="Definitioni">
    <w:name w:val="Definition (i)"/>
    <w:basedOn w:val="BodyText"/>
    <w:uiPriority w:val="99"/>
    <w:rsid w:val="00E538A1"/>
    <w:pPr>
      <w:numPr>
        <w:ilvl w:val="2"/>
        <w:numId w:val="104"/>
      </w:numPr>
      <w:spacing w:line="276" w:lineRule="auto"/>
      <w:jc w:val="left"/>
    </w:pPr>
    <w:rPr>
      <w:rFonts w:cs="Arabic Transparent"/>
      <w:color w:val="auto"/>
      <w:szCs w:val="24"/>
      <w:lang w:eastAsia="en-US"/>
    </w:rPr>
  </w:style>
  <w:style w:type="paragraph" w:customStyle="1" w:styleId="Firm">
    <w:name w:val="Firm"/>
    <w:basedOn w:val="Normal"/>
    <w:uiPriority w:val="99"/>
    <w:rsid w:val="00E538A1"/>
    <w:pPr>
      <w:spacing w:after="0" w:line="276" w:lineRule="auto"/>
      <w:ind w:left="0" w:firstLine="0"/>
      <w:jc w:val="left"/>
    </w:pPr>
    <w:rPr>
      <w:rFonts w:cs="Arabic Transparent"/>
      <w:color w:val="auto"/>
      <w:sz w:val="14"/>
      <w:szCs w:val="18"/>
      <w:lang w:eastAsia="en-US"/>
    </w:rPr>
  </w:style>
  <w:style w:type="character" w:customStyle="1" w:styleId="NoteChar">
    <w:name w:val="Note Char"/>
    <w:basedOn w:val="DefaultParagraphFont"/>
    <w:link w:val="Note"/>
    <w:rsid w:val="00E538A1"/>
    <w:rPr>
      <w:rFonts w:cs="Arabic Transparent"/>
      <w:color w:val="auto"/>
      <w:sz w:val="17"/>
      <w:szCs w:val="17"/>
      <w:shd w:val="clear" w:color="auto" w:fill="FBE4D5" w:themeFill="accent2" w:themeFillTint="33"/>
      <w:lang w:eastAsia="en-US"/>
    </w:rPr>
  </w:style>
  <w:style w:type="paragraph" w:styleId="ListBullet3">
    <w:name w:val="List Bullet 3"/>
    <w:basedOn w:val="Normal"/>
    <w:autoRedefine/>
    <w:uiPriority w:val="99"/>
    <w:semiHidden/>
    <w:rsid w:val="00E538A1"/>
    <w:pPr>
      <w:tabs>
        <w:tab w:val="num" w:pos="926"/>
      </w:tabs>
      <w:spacing w:after="0" w:line="276" w:lineRule="auto"/>
      <w:ind w:left="926" w:hanging="360"/>
      <w:jc w:val="left"/>
    </w:pPr>
    <w:rPr>
      <w:rFonts w:cs="Arabic Transparent"/>
      <w:color w:val="auto"/>
      <w:szCs w:val="24"/>
      <w:lang w:eastAsia="en-US"/>
    </w:rPr>
  </w:style>
  <w:style w:type="paragraph" w:styleId="ListBullet4">
    <w:name w:val="List Bullet 4"/>
    <w:basedOn w:val="Normal"/>
    <w:autoRedefine/>
    <w:uiPriority w:val="99"/>
    <w:semiHidden/>
    <w:rsid w:val="00E538A1"/>
    <w:pPr>
      <w:tabs>
        <w:tab w:val="num" w:pos="1209"/>
      </w:tabs>
      <w:spacing w:after="0" w:line="276" w:lineRule="auto"/>
      <w:ind w:left="1209" w:hanging="360"/>
      <w:jc w:val="left"/>
    </w:pPr>
    <w:rPr>
      <w:rFonts w:cs="Arabic Transparent"/>
      <w:color w:val="auto"/>
      <w:szCs w:val="24"/>
      <w:lang w:eastAsia="en-US"/>
    </w:rPr>
  </w:style>
  <w:style w:type="paragraph" w:styleId="ListBullet5">
    <w:name w:val="List Bullet 5"/>
    <w:basedOn w:val="Normal"/>
    <w:autoRedefine/>
    <w:uiPriority w:val="99"/>
    <w:semiHidden/>
    <w:rsid w:val="00E538A1"/>
    <w:pPr>
      <w:tabs>
        <w:tab w:val="num" w:pos="1492"/>
      </w:tabs>
      <w:spacing w:after="0" w:line="276" w:lineRule="auto"/>
      <w:ind w:left="1492" w:hanging="360"/>
      <w:jc w:val="left"/>
    </w:pPr>
    <w:rPr>
      <w:rFonts w:cs="Arabic Transparent"/>
      <w:color w:val="auto"/>
      <w:szCs w:val="24"/>
      <w:lang w:eastAsia="en-US"/>
    </w:rPr>
  </w:style>
  <w:style w:type="paragraph" w:styleId="ListNumber4">
    <w:name w:val="List Number 4"/>
    <w:basedOn w:val="Normal"/>
    <w:uiPriority w:val="99"/>
    <w:semiHidden/>
    <w:rsid w:val="00E538A1"/>
    <w:pPr>
      <w:tabs>
        <w:tab w:val="num" w:pos="1209"/>
      </w:tabs>
      <w:spacing w:after="0" w:line="276" w:lineRule="auto"/>
      <w:ind w:left="1209" w:hanging="360"/>
      <w:jc w:val="left"/>
    </w:pPr>
    <w:rPr>
      <w:rFonts w:cs="Arabic Transparent"/>
      <w:color w:val="auto"/>
      <w:szCs w:val="24"/>
      <w:lang w:eastAsia="en-US"/>
    </w:rPr>
  </w:style>
  <w:style w:type="paragraph" w:styleId="ListNumber5">
    <w:name w:val="List Number 5"/>
    <w:basedOn w:val="Normal"/>
    <w:uiPriority w:val="99"/>
    <w:semiHidden/>
    <w:rsid w:val="00E538A1"/>
    <w:pPr>
      <w:tabs>
        <w:tab w:val="num" w:pos="1492"/>
      </w:tabs>
      <w:spacing w:after="0" w:line="276" w:lineRule="auto"/>
      <w:ind w:left="1492" w:hanging="360"/>
      <w:jc w:val="left"/>
    </w:pPr>
    <w:rPr>
      <w:rFonts w:cs="Arabic Transparent"/>
      <w:color w:val="auto"/>
      <w:szCs w:val="24"/>
      <w:lang w:eastAsia="en-US"/>
    </w:rPr>
  </w:style>
  <w:style w:type="paragraph" w:customStyle="1" w:styleId="NonBoldHeading1">
    <w:name w:val="Non Bold Heading 1"/>
    <w:basedOn w:val="Heading1"/>
    <w:next w:val="Heading2"/>
    <w:uiPriority w:val="99"/>
    <w:rsid w:val="00E538A1"/>
    <w:pPr>
      <w:numPr>
        <w:numId w:val="0"/>
      </w:numPr>
      <w:tabs>
        <w:tab w:val="num" w:pos="720"/>
        <w:tab w:val="left" w:pos="851"/>
      </w:tabs>
      <w:spacing w:before="720" w:after="220" w:line="276" w:lineRule="auto"/>
      <w:ind w:left="720" w:hanging="720"/>
      <w:jc w:val="left"/>
    </w:pPr>
    <w:rPr>
      <w:rFonts w:cs="Arabic Transparent"/>
      <w:b w:val="0"/>
      <w:bCs w:val="0"/>
      <w:color w:val="auto"/>
      <w:kern w:val="28"/>
      <w:sz w:val="22"/>
      <w:szCs w:val="26"/>
      <w:lang w:eastAsia="en-US"/>
    </w:rPr>
  </w:style>
  <w:style w:type="paragraph" w:customStyle="1" w:styleId="LWD1">
    <w:name w:val="LWD 1"/>
    <w:basedOn w:val="Normal"/>
    <w:uiPriority w:val="99"/>
    <w:rsid w:val="00E538A1"/>
    <w:pPr>
      <w:widowControl w:val="0"/>
      <w:tabs>
        <w:tab w:val="num" w:pos="709"/>
      </w:tabs>
      <w:spacing w:after="0" w:line="360" w:lineRule="auto"/>
      <w:ind w:left="709" w:hanging="709"/>
      <w:jc w:val="left"/>
      <w:outlineLvl w:val="0"/>
    </w:pPr>
    <w:rPr>
      <w:rFonts w:ascii="CG Times" w:hAnsi="CG Times" w:cs="CG Times"/>
      <w:color w:val="auto"/>
      <w:szCs w:val="24"/>
      <w:lang w:eastAsia="en-US"/>
    </w:rPr>
  </w:style>
  <w:style w:type="paragraph" w:customStyle="1" w:styleId="LWD3">
    <w:name w:val="LWD 3"/>
    <w:basedOn w:val="Normal"/>
    <w:uiPriority w:val="99"/>
    <w:rsid w:val="00E538A1"/>
    <w:pPr>
      <w:widowControl w:val="0"/>
      <w:tabs>
        <w:tab w:val="num" w:pos="1417"/>
      </w:tabs>
      <w:spacing w:after="0" w:line="360" w:lineRule="auto"/>
      <w:ind w:left="1417" w:hanging="708"/>
      <w:jc w:val="left"/>
      <w:outlineLvl w:val="2"/>
    </w:pPr>
    <w:rPr>
      <w:rFonts w:ascii="CG Times" w:hAnsi="CG Times" w:cs="CG Times"/>
      <w:color w:val="auto"/>
      <w:szCs w:val="24"/>
      <w:lang w:eastAsia="en-US"/>
    </w:rPr>
  </w:style>
  <w:style w:type="paragraph" w:customStyle="1" w:styleId="LWD4">
    <w:name w:val="LWD 4"/>
    <w:basedOn w:val="Normal"/>
    <w:uiPriority w:val="99"/>
    <w:rsid w:val="00E538A1"/>
    <w:pPr>
      <w:widowControl w:val="0"/>
      <w:tabs>
        <w:tab w:val="num" w:pos="2126"/>
      </w:tabs>
      <w:spacing w:after="0" w:line="360" w:lineRule="auto"/>
      <w:ind w:left="2126" w:hanging="709"/>
      <w:jc w:val="left"/>
      <w:outlineLvl w:val="3"/>
    </w:pPr>
    <w:rPr>
      <w:rFonts w:ascii="Trajan" w:hAnsi="Trajan" w:cs="Trajan"/>
      <w:color w:val="auto"/>
      <w:szCs w:val="24"/>
      <w:lang w:eastAsia="en-US"/>
    </w:rPr>
  </w:style>
  <w:style w:type="paragraph" w:styleId="ListContinue">
    <w:name w:val="List Continue"/>
    <w:basedOn w:val="Normal"/>
    <w:uiPriority w:val="99"/>
    <w:semiHidden/>
    <w:rsid w:val="00E538A1"/>
    <w:pPr>
      <w:spacing w:line="276" w:lineRule="auto"/>
      <w:ind w:left="283" w:firstLine="0"/>
      <w:jc w:val="left"/>
    </w:pPr>
    <w:rPr>
      <w:color w:val="auto"/>
      <w:szCs w:val="24"/>
      <w:lang w:eastAsia="en-US"/>
    </w:rPr>
  </w:style>
  <w:style w:type="paragraph" w:styleId="ListContinue2">
    <w:name w:val="List Continue 2"/>
    <w:basedOn w:val="Normal"/>
    <w:uiPriority w:val="99"/>
    <w:semiHidden/>
    <w:rsid w:val="00E538A1"/>
    <w:pPr>
      <w:spacing w:line="276" w:lineRule="auto"/>
      <w:ind w:left="566" w:firstLine="0"/>
      <w:jc w:val="left"/>
    </w:pPr>
    <w:rPr>
      <w:color w:val="auto"/>
      <w:szCs w:val="24"/>
      <w:lang w:eastAsia="en-US"/>
    </w:rPr>
  </w:style>
  <w:style w:type="paragraph" w:styleId="ListContinue3">
    <w:name w:val="List Continue 3"/>
    <w:basedOn w:val="Normal"/>
    <w:uiPriority w:val="99"/>
    <w:semiHidden/>
    <w:rsid w:val="00E538A1"/>
    <w:pPr>
      <w:spacing w:line="276" w:lineRule="auto"/>
      <w:ind w:left="849" w:firstLine="0"/>
      <w:jc w:val="left"/>
    </w:pPr>
    <w:rPr>
      <w:color w:val="auto"/>
      <w:szCs w:val="24"/>
      <w:lang w:eastAsia="en-US"/>
    </w:rPr>
  </w:style>
  <w:style w:type="paragraph" w:styleId="ListContinue4">
    <w:name w:val="List Continue 4"/>
    <w:basedOn w:val="Normal"/>
    <w:uiPriority w:val="99"/>
    <w:semiHidden/>
    <w:rsid w:val="00E538A1"/>
    <w:pPr>
      <w:spacing w:line="276" w:lineRule="auto"/>
      <w:ind w:left="1132" w:firstLine="0"/>
      <w:jc w:val="left"/>
    </w:pPr>
    <w:rPr>
      <w:color w:val="auto"/>
      <w:szCs w:val="24"/>
      <w:lang w:eastAsia="en-US"/>
    </w:rPr>
  </w:style>
  <w:style w:type="paragraph" w:styleId="ListContinue5">
    <w:name w:val="List Continue 5"/>
    <w:basedOn w:val="Normal"/>
    <w:uiPriority w:val="99"/>
    <w:semiHidden/>
    <w:rsid w:val="00E538A1"/>
    <w:pPr>
      <w:spacing w:line="276" w:lineRule="auto"/>
      <w:ind w:left="1415" w:firstLine="0"/>
      <w:jc w:val="left"/>
    </w:pPr>
    <w:rPr>
      <w:color w:val="auto"/>
      <w:szCs w:val="24"/>
      <w:lang w:eastAsia="en-US"/>
    </w:rPr>
  </w:style>
  <w:style w:type="paragraph" w:styleId="BodyTextIndent">
    <w:name w:val="Body Text Indent"/>
    <w:basedOn w:val="BodyText"/>
    <w:link w:val="BodyTextIndentChar"/>
    <w:uiPriority w:val="99"/>
    <w:semiHidden/>
    <w:rsid w:val="00E538A1"/>
    <w:pPr>
      <w:autoSpaceDE w:val="0"/>
      <w:autoSpaceDN w:val="0"/>
      <w:adjustRightInd w:val="0"/>
      <w:spacing w:line="276" w:lineRule="auto"/>
      <w:ind w:left="709" w:firstLine="0"/>
      <w:jc w:val="left"/>
    </w:pPr>
    <w:rPr>
      <w:rFonts w:cs="Arabic Transparent"/>
      <w:color w:val="auto"/>
      <w:szCs w:val="24"/>
      <w:lang w:eastAsia="en-US"/>
    </w:rPr>
  </w:style>
  <w:style w:type="character" w:customStyle="1" w:styleId="BodyTextIndentChar">
    <w:name w:val="Body Text Indent Char"/>
    <w:basedOn w:val="DefaultParagraphFont"/>
    <w:link w:val="BodyTextIndent"/>
    <w:uiPriority w:val="99"/>
    <w:semiHidden/>
    <w:rsid w:val="00E538A1"/>
    <w:rPr>
      <w:rFonts w:cs="Arabic Transparent"/>
      <w:color w:val="auto"/>
      <w:szCs w:val="24"/>
      <w:lang w:eastAsia="en-US"/>
    </w:rPr>
  </w:style>
  <w:style w:type="character" w:customStyle="1" w:styleId="DeltaViewInsertion">
    <w:name w:val="DeltaView Insertion"/>
    <w:rsid w:val="00E538A1"/>
    <w:rPr>
      <w:color w:val="0000FF"/>
      <w:spacing w:val="0"/>
      <w:u w:val="double"/>
    </w:rPr>
  </w:style>
  <w:style w:type="character" w:customStyle="1" w:styleId="DeltaViewDeletion">
    <w:name w:val="DeltaView Deletion"/>
    <w:rsid w:val="00E538A1"/>
    <w:rPr>
      <w:strike/>
      <w:color w:val="0000FF"/>
      <w:spacing w:val="0"/>
    </w:rPr>
  </w:style>
  <w:style w:type="paragraph" w:customStyle="1" w:styleId="Tiret0">
    <w:name w:val="Tiret 0"/>
    <w:basedOn w:val="Point0"/>
    <w:uiPriority w:val="99"/>
    <w:rsid w:val="00E538A1"/>
    <w:pPr>
      <w:numPr>
        <w:numId w:val="107"/>
      </w:numPr>
      <w:spacing w:line="276" w:lineRule="auto"/>
    </w:pPr>
  </w:style>
  <w:style w:type="paragraph" w:customStyle="1" w:styleId="Tiret1">
    <w:name w:val="Tiret 1"/>
    <w:basedOn w:val="Point1"/>
    <w:uiPriority w:val="99"/>
    <w:rsid w:val="00E538A1"/>
    <w:pPr>
      <w:numPr>
        <w:numId w:val="108"/>
      </w:numPr>
      <w:spacing w:line="276" w:lineRule="auto"/>
    </w:pPr>
  </w:style>
  <w:style w:type="paragraph" w:customStyle="1" w:styleId="Tiret2">
    <w:name w:val="Tiret 2"/>
    <w:basedOn w:val="Point2"/>
    <w:rsid w:val="00E538A1"/>
    <w:pPr>
      <w:numPr>
        <w:numId w:val="109"/>
      </w:numPr>
    </w:pPr>
  </w:style>
  <w:style w:type="paragraph" w:customStyle="1" w:styleId="Point2">
    <w:name w:val="Point 2"/>
    <w:basedOn w:val="Normal"/>
    <w:uiPriority w:val="99"/>
    <w:rsid w:val="00E538A1"/>
    <w:pPr>
      <w:spacing w:before="120" w:line="276" w:lineRule="auto"/>
      <w:ind w:left="1984" w:hanging="567"/>
    </w:pPr>
    <w:rPr>
      <w:rFonts w:ascii="Times New Roman" w:hAnsi="Times New Roman"/>
      <w:color w:val="auto"/>
      <w:sz w:val="24"/>
      <w:szCs w:val="24"/>
      <w:lang w:eastAsia="de-DE"/>
    </w:rPr>
  </w:style>
  <w:style w:type="paragraph" w:customStyle="1" w:styleId="Tiret3">
    <w:name w:val="Tiret 3"/>
    <w:basedOn w:val="Point3"/>
    <w:rsid w:val="00E538A1"/>
    <w:pPr>
      <w:numPr>
        <w:numId w:val="110"/>
      </w:numPr>
    </w:pPr>
  </w:style>
  <w:style w:type="paragraph" w:customStyle="1" w:styleId="Point3">
    <w:name w:val="Point 3"/>
    <w:basedOn w:val="Normal"/>
    <w:uiPriority w:val="99"/>
    <w:rsid w:val="00E538A1"/>
    <w:pPr>
      <w:spacing w:before="120" w:line="276" w:lineRule="auto"/>
      <w:ind w:left="2551" w:hanging="567"/>
    </w:pPr>
    <w:rPr>
      <w:rFonts w:ascii="Times New Roman" w:hAnsi="Times New Roman"/>
      <w:color w:val="auto"/>
      <w:sz w:val="24"/>
      <w:szCs w:val="24"/>
      <w:lang w:eastAsia="de-DE"/>
    </w:rPr>
  </w:style>
  <w:style w:type="paragraph" w:customStyle="1" w:styleId="Tiret4">
    <w:name w:val="Tiret 4"/>
    <w:basedOn w:val="Point4"/>
    <w:rsid w:val="00E538A1"/>
    <w:pPr>
      <w:numPr>
        <w:numId w:val="111"/>
      </w:numPr>
    </w:pPr>
  </w:style>
  <w:style w:type="paragraph" w:customStyle="1" w:styleId="Point4">
    <w:name w:val="Point 4"/>
    <w:basedOn w:val="Normal"/>
    <w:uiPriority w:val="99"/>
    <w:rsid w:val="00E538A1"/>
    <w:pPr>
      <w:spacing w:before="120" w:line="276" w:lineRule="auto"/>
      <w:ind w:left="3118" w:hanging="567"/>
    </w:pPr>
    <w:rPr>
      <w:rFonts w:ascii="Times New Roman" w:hAnsi="Times New Roman"/>
      <w:color w:val="auto"/>
      <w:sz w:val="24"/>
      <w:szCs w:val="24"/>
      <w:lang w:eastAsia="de-DE"/>
    </w:rPr>
  </w:style>
  <w:style w:type="paragraph" w:customStyle="1" w:styleId="NumPar1">
    <w:name w:val="NumPar 1"/>
    <w:basedOn w:val="Normal"/>
    <w:next w:val="Text1"/>
    <w:uiPriority w:val="99"/>
    <w:rsid w:val="00E538A1"/>
    <w:pPr>
      <w:numPr>
        <w:numId w:val="112"/>
      </w:numPr>
      <w:spacing w:before="120" w:line="276" w:lineRule="auto"/>
    </w:pPr>
    <w:rPr>
      <w:rFonts w:ascii="Times New Roman" w:hAnsi="Times New Roman"/>
      <w:color w:val="auto"/>
      <w:sz w:val="24"/>
      <w:szCs w:val="24"/>
      <w:lang w:eastAsia="de-DE"/>
    </w:rPr>
  </w:style>
  <w:style w:type="paragraph" w:customStyle="1" w:styleId="NumPar2">
    <w:name w:val="NumPar 2"/>
    <w:basedOn w:val="Normal"/>
    <w:next w:val="Text2"/>
    <w:uiPriority w:val="99"/>
    <w:rsid w:val="00E538A1"/>
    <w:pPr>
      <w:numPr>
        <w:ilvl w:val="1"/>
        <w:numId w:val="112"/>
      </w:numPr>
      <w:spacing w:before="120" w:line="276" w:lineRule="auto"/>
    </w:pPr>
    <w:rPr>
      <w:rFonts w:ascii="Times New Roman" w:hAnsi="Times New Roman"/>
      <w:color w:val="auto"/>
      <w:sz w:val="24"/>
      <w:szCs w:val="24"/>
      <w:lang w:eastAsia="de-DE"/>
    </w:rPr>
  </w:style>
  <w:style w:type="paragraph" w:customStyle="1" w:styleId="Text2">
    <w:name w:val="Text 2"/>
    <w:basedOn w:val="Normal"/>
    <w:uiPriority w:val="99"/>
    <w:rsid w:val="00E538A1"/>
    <w:pPr>
      <w:spacing w:before="120" w:line="276" w:lineRule="auto"/>
      <w:ind w:left="850" w:firstLine="0"/>
    </w:pPr>
    <w:rPr>
      <w:rFonts w:ascii="Times New Roman" w:hAnsi="Times New Roman"/>
      <w:color w:val="auto"/>
      <w:sz w:val="24"/>
      <w:szCs w:val="24"/>
      <w:lang w:eastAsia="de-DE"/>
    </w:rPr>
  </w:style>
  <w:style w:type="paragraph" w:customStyle="1" w:styleId="NumPar3">
    <w:name w:val="NumPar 3"/>
    <w:basedOn w:val="Normal"/>
    <w:next w:val="Text3"/>
    <w:uiPriority w:val="99"/>
    <w:rsid w:val="00E538A1"/>
    <w:pPr>
      <w:numPr>
        <w:ilvl w:val="2"/>
        <w:numId w:val="112"/>
      </w:numPr>
      <w:spacing w:before="120" w:line="276" w:lineRule="auto"/>
    </w:pPr>
    <w:rPr>
      <w:rFonts w:ascii="Times New Roman" w:hAnsi="Times New Roman"/>
      <w:color w:val="auto"/>
      <w:sz w:val="24"/>
      <w:szCs w:val="24"/>
      <w:lang w:eastAsia="de-DE"/>
    </w:rPr>
  </w:style>
  <w:style w:type="paragraph" w:customStyle="1" w:styleId="Text3">
    <w:name w:val="Text 3"/>
    <w:basedOn w:val="Normal"/>
    <w:uiPriority w:val="99"/>
    <w:rsid w:val="00E538A1"/>
    <w:pPr>
      <w:spacing w:before="120" w:line="276" w:lineRule="auto"/>
      <w:ind w:left="850" w:firstLine="0"/>
    </w:pPr>
    <w:rPr>
      <w:rFonts w:ascii="Times New Roman" w:hAnsi="Times New Roman"/>
      <w:color w:val="auto"/>
      <w:sz w:val="24"/>
      <w:szCs w:val="24"/>
      <w:lang w:eastAsia="de-DE"/>
    </w:rPr>
  </w:style>
  <w:style w:type="paragraph" w:customStyle="1" w:styleId="NumPar4">
    <w:name w:val="NumPar 4"/>
    <w:basedOn w:val="Normal"/>
    <w:next w:val="Text4"/>
    <w:uiPriority w:val="99"/>
    <w:rsid w:val="00E538A1"/>
    <w:pPr>
      <w:numPr>
        <w:ilvl w:val="3"/>
        <w:numId w:val="112"/>
      </w:numPr>
      <w:spacing w:before="120" w:line="276" w:lineRule="auto"/>
    </w:pPr>
    <w:rPr>
      <w:rFonts w:ascii="Times New Roman" w:hAnsi="Times New Roman"/>
      <w:color w:val="auto"/>
      <w:sz w:val="24"/>
      <w:szCs w:val="24"/>
      <w:lang w:eastAsia="de-DE"/>
    </w:rPr>
  </w:style>
  <w:style w:type="paragraph" w:customStyle="1" w:styleId="Text4">
    <w:name w:val="Text 4"/>
    <w:basedOn w:val="Normal"/>
    <w:uiPriority w:val="99"/>
    <w:rsid w:val="00E538A1"/>
    <w:pPr>
      <w:spacing w:before="120" w:line="276" w:lineRule="auto"/>
      <w:ind w:left="850" w:firstLine="0"/>
    </w:pPr>
    <w:rPr>
      <w:rFonts w:ascii="Times New Roman" w:hAnsi="Times New Roman"/>
      <w:color w:val="auto"/>
      <w:sz w:val="24"/>
      <w:szCs w:val="24"/>
      <w:lang w:eastAsia="de-DE"/>
    </w:rPr>
  </w:style>
  <w:style w:type="paragraph" w:customStyle="1" w:styleId="ListBullet1">
    <w:name w:val="List Bullet 1"/>
    <w:basedOn w:val="Normal"/>
    <w:uiPriority w:val="99"/>
    <w:rsid w:val="00E538A1"/>
    <w:pPr>
      <w:numPr>
        <w:numId w:val="113"/>
      </w:numPr>
      <w:spacing w:before="120" w:line="276" w:lineRule="auto"/>
    </w:pPr>
    <w:rPr>
      <w:rFonts w:ascii="Times New Roman" w:hAnsi="Times New Roman"/>
      <w:color w:val="auto"/>
      <w:sz w:val="24"/>
      <w:szCs w:val="24"/>
      <w:lang w:eastAsia="de-DE"/>
    </w:rPr>
  </w:style>
  <w:style w:type="paragraph" w:customStyle="1" w:styleId="ListDash">
    <w:name w:val="List Dash"/>
    <w:basedOn w:val="Normal"/>
    <w:uiPriority w:val="99"/>
    <w:rsid w:val="00E538A1"/>
    <w:pPr>
      <w:numPr>
        <w:numId w:val="114"/>
      </w:numPr>
      <w:spacing w:before="120" w:line="276" w:lineRule="auto"/>
    </w:pPr>
    <w:rPr>
      <w:rFonts w:ascii="Times New Roman" w:hAnsi="Times New Roman"/>
      <w:color w:val="auto"/>
      <w:sz w:val="24"/>
      <w:szCs w:val="24"/>
      <w:lang w:eastAsia="de-DE"/>
    </w:rPr>
  </w:style>
  <w:style w:type="paragraph" w:customStyle="1" w:styleId="ListDash1">
    <w:name w:val="List Dash 1"/>
    <w:basedOn w:val="Normal"/>
    <w:uiPriority w:val="99"/>
    <w:rsid w:val="00E538A1"/>
    <w:pPr>
      <w:numPr>
        <w:numId w:val="115"/>
      </w:numPr>
      <w:spacing w:before="120" w:line="276" w:lineRule="auto"/>
    </w:pPr>
    <w:rPr>
      <w:rFonts w:ascii="Times New Roman" w:hAnsi="Times New Roman"/>
      <w:color w:val="auto"/>
      <w:sz w:val="24"/>
      <w:szCs w:val="24"/>
      <w:lang w:eastAsia="de-DE"/>
    </w:rPr>
  </w:style>
  <w:style w:type="paragraph" w:customStyle="1" w:styleId="ListDash2">
    <w:name w:val="List Dash 2"/>
    <w:basedOn w:val="Normal"/>
    <w:uiPriority w:val="99"/>
    <w:rsid w:val="00E538A1"/>
    <w:pPr>
      <w:numPr>
        <w:numId w:val="116"/>
      </w:numPr>
      <w:spacing w:before="120" w:line="276" w:lineRule="auto"/>
    </w:pPr>
    <w:rPr>
      <w:rFonts w:ascii="Times New Roman" w:hAnsi="Times New Roman"/>
      <w:color w:val="auto"/>
      <w:sz w:val="24"/>
      <w:szCs w:val="24"/>
      <w:lang w:eastAsia="de-DE"/>
    </w:rPr>
  </w:style>
  <w:style w:type="paragraph" w:customStyle="1" w:styleId="ListDash3">
    <w:name w:val="List Dash 3"/>
    <w:basedOn w:val="Normal"/>
    <w:uiPriority w:val="99"/>
    <w:rsid w:val="00E538A1"/>
    <w:pPr>
      <w:numPr>
        <w:numId w:val="117"/>
      </w:numPr>
      <w:spacing w:before="120" w:line="276" w:lineRule="auto"/>
    </w:pPr>
    <w:rPr>
      <w:rFonts w:ascii="Times New Roman" w:hAnsi="Times New Roman"/>
      <w:color w:val="auto"/>
      <w:sz w:val="24"/>
      <w:szCs w:val="24"/>
      <w:lang w:eastAsia="de-DE"/>
    </w:rPr>
  </w:style>
  <w:style w:type="paragraph" w:customStyle="1" w:styleId="ListDash4">
    <w:name w:val="List Dash 4"/>
    <w:basedOn w:val="Normal"/>
    <w:uiPriority w:val="99"/>
    <w:rsid w:val="00E538A1"/>
    <w:pPr>
      <w:numPr>
        <w:numId w:val="118"/>
      </w:numPr>
      <w:spacing w:before="120" w:line="276" w:lineRule="auto"/>
    </w:pPr>
    <w:rPr>
      <w:rFonts w:ascii="Times New Roman" w:hAnsi="Times New Roman"/>
      <w:color w:val="auto"/>
      <w:sz w:val="24"/>
      <w:szCs w:val="24"/>
      <w:lang w:eastAsia="de-DE"/>
    </w:rPr>
  </w:style>
  <w:style w:type="paragraph" w:customStyle="1" w:styleId="ListNumber1">
    <w:name w:val="List Number 1"/>
    <w:basedOn w:val="Text1"/>
    <w:uiPriority w:val="99"/>
    <w:rsid w:val="00E538A1"/>
    <w:pPr>
      <w:numPr>
        <w:numId w:val="119"/>
      </w:numPr>
      <w:spacing w:line="276" w:lineRule="auto"/>
    </w:pPr>
  </w:style>
  <w:style w:type="paragraph" w:customStyle="1" w:styleId="ListNumber1Level2">
    <w:name w:val="List Number 1 (Level 2)"/>
    <w:basedOn w:val="Text1"/>
    <w:uiPriority w:val="99"/>
    <w:rsid w:val="00E538A1"/>
    <w:pPr>
      <w:numPr>
        <w:ilvl w:val="1"/>
        <w:numId w:val="119"/>
      </w:numPr>
      <w:spacing w:line="276" w:lineRule="auto"/>
    </w:pPr>
  </w:style>
  <w:style w:type="paragraph" w:customStyle="1" w:styleId="ListNumber2Level2">
    <w:name w:val="List Number 2 (Level 2)"/>
    <w:basedOn w:val="Text2"/>
    <w:uiPriority w:val="99"/>
    <w:rsid w:val="00E538A1"/>
    <w:pPr>
      <w:ind w:left="0"/>
    </w:pPr>
  </w:style>
  <w:style w:type="paragraph" w:customStyle="1" w:styleId="ListNumber4Level2">
    <w:name w:val="List Number 4 (Level 2)"/>
    <w:basedOn w:val="Text4"/>
    <w:uiPriority w:val="99"/>
    <w:rsid w:val="00E538A1"/>
    <w:pPr>
      <w:ind w:left="0"/>
    </w:pPr>
  </w:style>
  <w:style w:type="paragraph" w:customStyle="1" w:styleId="ListNumberLevel3">
    <w:name w:val="List Number (Level 3)"/>
    <w:basedOn w:val="Normal"/>
    <w:uiPriority w:val="99"/>
    <w:rsid w:val="00E538A1"/>
    <w:pPr>
      <w:spacing w:before="120" w:line="276" w:lineRule="auto"/>
      <w:ind w:left="0" w:firstLine="0"/>
    </w:pPr>
    <w:rPr>
      <w:rFonts w:ascii="Times New Roman" w:hAnsi="Times New Roman"/>
      <w:color w:val="auto"/>
      <w:sz w:val="24"/>
      <w:szCs w:val="24"/>
      <w:lang w:eastAsia="de-DE"/>
    </w:rPr>
  </w:style>
  <w:style w:type="paragraph" w:customStyle="1" w:styleId="ListNumber1Level3">
    <w:name w:val="List Number 1 (Level 3)"/>
    <w:basedOn w:val="Text1"/>
    <w:uiPriority w:val="99"/>
    <w:rsid w:val="00E538A1"/>
    <w:pPr>
      <w:numPr>
        <w:ilvl w:val="2"/>
        <w:numId w:val="119"/>
      </w:numPr>
      <w:spacing w:line="276" w:lineRule="auto"/>
    </w:pPr>
  </w:style>
  <w:style w:type="paragraph" w:customStyle="1" w:styleId="ListNumber2Level3">
    <w:name w:val="List Number 2 (Level 3)"/>
    <w:basedOn w:val="Text2"/>
    <w:uiPriority w:val="99"/>
    <w:rsid w:val="00E538A1"/>
    <w:pPr>
      <w:ind w:left="0"/>
    </w:pPr>
  </w:style>
  <w:style w:type="paragraph" w:customStyle="1" w:styleId="ListNumber4Level3">
    <w:name w:val="List Number 4 (Level 3)"/>
    <w:basedOn w:val="Text4"/>
    <w:uiPriority w:val="99"/>
    <w:rsid w:val="00E538A1"/>
    <w:pPr>
      <w:ind w:left="0"/>
    </w:pPr>
  </w:style>
  <w:style w:type="paragraph" w:customStyle="1" w:styleId="ListNumber1Level4">
    <w:name w:val="List Number 1 (Level 4)"/>
    <w:basedOn w:val="Text1"/>
    <w:uiPriority w:val="99"/>
    <w:rsid w:val="00E538A1"/>
    <w:pPr>
      <w:numPr>
        <w:ilvl w:val="3"/>
        <w:numId w:val="119"/>
      </w:numPr>
      <w:spacing w:line="276" w:lineRule="auto"/>
    </w:pPr>
  </w:style>
  <w:style w:type="paragraph" w:customStyle="1" w:styleId="ListNumber2Level4">
    <w:name w:val="List Number 2 (Level 4)"/>
    <w:basedOn w:val="Text2"/>
    <w:uiPriority w:val="99"/>
    <w:rsid w:val="00E538A1"/>
    <w:pPr>
      <w:ind w:left="0"/>
    </w:pPr>
  </w:style>
  <w:style w:type="paragraph" w:customStyle="1" w:styleId="ListNumber3Level4">
    <w:name w:val="List Number 3 (Level 4)"/>
    <w:basedOn w:val="Text3"/>
    <w:uiPriority w:val="99"/>
    <w:rsid w:val="00E538A1"/>
    <w:pPr>
      <w:ind w:left="0"/>
    </w:pPr>
  </w:style>
  <w:style w:type="paragraph" w:customStyle="1" w:styleId="ListNumber4Level4">
    <w:name w:val="List Number 4 (Level 4)"/>
    <w:basedOn w:val="Text4"/>
    <w:uiPriority w:val="99"/>
    <w:rsid w:val="00E538A1"/>
    <w:pPr>
      <w:ind w:left="0"/>
    </w:pPr>
  </w:style>
  <w:style w:type="paragraph" w:customStyle="1" w:styleId="Considrant">
    <w:name w:val="Considérant"/>
    <w:basedOn w:val="Normal"/>
    <w:uiPriority w:val="99"/>
    <w:rsid w:val="00E538A1"/>
    <w:pPr>
      <w:numPr>
        <w:numId w:val="120"/>
      </w:numPr>
      <w:spacing w:before="120" w:line="276" w:lineRule="auto"/>
    </w:pPr>
    <w:rPr>
      <w:rFonts w:ascii="Times New Roman" w:hAnsi="Times New Roman"/>
      <w:color w:val="auto"/>
      <w:sz w:val="24"/>
      <w:szCs w:val="24"/>
      <w:lang w:eastAsia="de-DE"/>
    </w:rPr>
  </w:style>
  <w:style w:type="character" w:customStyle="1" w:styleId="apple-tab-span">
    <w:name w:val="apple-tab-span"/>
    <w:basedOn w:val="DefaultParagraphFont"/>
    <w:rsid w:val="00E538A1"/>
  </w:style>
  <w:style w:type="character" w:customStyle="1" w:styleId="Heading1Char1">
    <w:name w:val="Heading 1 Char1"/>
    <w:aliases w:val="Cover-Title Char1,Headering 1 Char1,Outline1 Char1,Subhead A Char1,Section Heading Char1,h1 Char1,Attribute Heading 1 Char1,Roman 14 B Heading Char1,Roman 14 B Heading1 Char1,Roman 14 B Heading2 Char1,Roman 14 B Heading11 Char1,Part Char"/>
    <w:basedOn w:val="DefaultParagraphFont"/>
    <w:uiPriority w:val="9"/>
    <w:rsid w:val="00283998"/>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eading Style 01 Char1,h2 Char1,Level 2 Topic Heading Char1,L2 Char1,dd heading 2 Char1,dh2 Char1,Heading B Char1,(Alt+2) Char1,Attribute Heading 2 Char1,Level Heading 2 Char1,H21 Char1,H22 Char1,H23 Char1,H211 Char1,H221 Char1,H24 Char1"/>
    <w:basedOn w:val="DefaultParagraphFont"/>
    <w:uiPriority w:val="9"/>
    <w:semiHidden/>
    <w:rsid w:val="00283998"/>
    <w:rPr>
      <w:rFonts w:asciiTheme="majorHAnsi" w:eastAsiaTheme="majorEastAsia" w:hAnsiTheme="majorHAnsi" w:cstheme="majorBidi"/>
      <w:color w:val="2E74B5" w:themeColor="accent1" w:themeShade="BF"/>
      <w:sz w:val="26"/>
      <w:szCs w:val="26"/>
    </w:rPr>
  </w:style>
  <w:style w:type="character" w:customStyle="1" w:styleId="Heading4Char1">
    <w:name w:val="Heading 4 Char1"/>
    <w:aliases w:val="Heading Stle 03 Char1,h4 Char1,14 Char1,l4 Char1,4 Char1,141 Char1,h41 Char1,l41 Char1,41 Char1,142 Char1,h42 Char1,l42 Char1,h43 Char1,a. Char1,Map Title Char1,42 Char1,parapoint Char1,¶ Char1,143 Char1,h44 Char1,l43 Char1,43 Char1"/>
    <w:basedOn w:val="DefaultParagraphFont"/>
    <w:uiPriority w:val="9"/>
    <w:semiHidden/>
    <w:rsid w:val="00283998"/>
    <w:rPr>
      <w:rFonts w:asciiTheme="majorHAnsi" w:eastAsiaTheme="majorEastAsia" w:hAnsiTheme="majorHAnsi" w:cstheme="majorBidi"/>
      <w:i/>
      <w:iCs/>
      <w:color w:val="2E74B5" w:themeColor="accent1" w:themeShade="BF"/>
    </w:rPr>
  </w:style>
  <w:style w:type="character" w:customStyle="1" w:styleId="Heading5Char1">
    <w:name w:val="Heading 5 Char1"/>
    <w:aliases w:val="Heading 5(unused) Char1,Level 3 - (i) Char1,Third Level Heading Char1,h5 Char1,Subheading Char1,Level 3 - i Char1,Lev 5 Char1,Response Type Char1,Response Type1 Char1,Response Type2 Char1,Response Type3 Char1,Response Type4 Char1,T: Char"/>
    <w:basedOn w:val="DefaultParagraphFont"/>
    <w:uiPriority w:val="9"/>
    <w:semiHidden/>
    <w:rsid w:val="00283998"/>
    <w:rPr>
      <w:rFonts w:asciiTheme="majorHAnsi" w:eastAsiaTheme="majorEastAsia" w:hAnsiTheme="majorHAnsi" w:cstheme="majorBidi"/>
      <w:color w:val="2E74B5" w:themeColor="accent1" w:themeShade="BF"/>
    </w:rPr>
  </w:style>
  <w:style w:type="character" w:customStyle="1" w:styleId="Heading6Char1">
    <w:name w:val="Heading 6 Char1"/>
    <w:aliases w:val="Heading 6(unused) Char1,Legal Level 1. Char1,L1 PIP Char1,Lev 6 Char1,Heading 6  Appendix Y &amp; Z Char1,sub-dash Char1,sd Char1,5 Char1,H6 Char1,Normal diagram Char1,ITT t6 Char1,PA Appendix Char1,H6 DO NOT USE Char1,bullet2 Char1,h6 Char1"/>
    <w:basedOn w:val="DefaultParagraphFont"/>
    <w:uiPriority w:val="9"/>
    <w:semiHidden/>
    <w:rsid w:val="00283998"/>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0916">
      <w:bodyDiv w:val="1"/>
      <w:marLeft w:val="0"/>
      <w:marRight w:val="0"/>
      <w:marTop w:val="0"/>
      <w:marBottom w:val="0"/>
      <w:divBdr>
        <w:top w:val="none" w:sz="0" w:space="0" w:color="auto"/>
        <w:left w:val="none" w:sz="0" w:space="0" w:color="auto"/>
        <w:bottom w:val="none" w:sz="0" w:space="0" w:color="auto"/>
        <w:right w:val="none" w:sz="0" w:space="0" w:color="auto"/>
      </w:divBdr>
    </w:div>
    <w:div w:id="101463208">
      <w:bodyDiv w:val="1"/>
      <w:marLeft w:val="0"/>
      <w:marRight w:val="0"/>
      <w:marTop w:val="0"/>
      <w:marBottom w:val="0"/>
      <w:divBdr>
        <w:top w:val="none" w:sz="0" w:space="0" w:color="auto"/>
        <w:left w:val="none" w:sz="0" w:space="0" w:color="auto"/>
        <w:bottom w:val="none" w:sz="0" w:space="0" w:color="auto"/>
        <w:right w:val="none" w:sz="0" w:space="0" w:color="auto"/>
      </w:divBdr>
    </w:div>
    <w:div w:id="323558150">
      <w:bodyDiv w:val="1"/>
      <w:marLeft w:val="0"/>
      <w:marRight w:val="0"/>
      <w:marTop w:val="0"/>
      <w:marBottom w:val="0"/>
      <w:divBdr>
        <w:top w:val="none" w:sz="0" w:space="0" w:color="auto"/>
        <w:left w:val="none" w:sz="0" w:space="0" w:color="auto"/>
        <w:bottom w:val="none" w:sz="0" w:space="0" w:color="auto"/>
        <w:right w:val="none" w:sz="0" w:space="0" w:color="auto"/>
      </w:divBdr>
    </w:div>
    <w:div w:id="362903715">
      <w:bodyDiv w:val="1"/>
      <w:marLeft w:val="0"/>
      <w:marRight w:val="0"/>
      <w:marTop w:val="0"/>
      <w:marBottom w:val="0"/>
      <w:divBdr>
        <w:top w:val="none" w:sz="0" w:space="0" w:color="auto"/>
        <w:left w:val="none" w:sz="0" w:space="0" w:color="auto"/>
        <w:bottom w:val="none" w:sz="0" w:space="0" w:color="auto"/>
        <w:right w:val="none" w:sz="0" w:space="0" w:color="auto"/>
      </w:divBdr>
    </w:div>
    <w:div w:id="430323784">
      <w:bodyDiv w:val="1"/>
      <w:marLeft w:val="0"/>
      <w:marRight w:val="0"/>
      <w:marTop w:val="0"/>
      <w:marBottom w:val="0"/>
      <w:divBdr>
        <w:top w:val="none" w:sz="0" w:space="0" w:color="auto"/>
        <w:left w:val="none" w:sz="0" w:space="0" w:color="auto"/>
        <w:bottom w:val="none" w:sz="0" w:space="0" w:color="auto"/>
        <w:right w:val="none" w:sz="0" w:space="0" w:color="auto"/>
      </w:divBdr>
    </w:div>
    <w:div w:id="559900808">
      <w:bodyDiv w:val="1"/>
      <w:marLeft w:val="0"/>
      <w:marRight w:val="0"/>
      <w:marTop w:val="0"/>
      <w:marBottom w:val="0"/>
      <w:divBdr>
        <w:top w:val="none" w:sz="0" w:space="0" w:color="auto"/>
        <w:left w:val="none" w:sz="0" w:space="0" w:color="auto"/>
        <w:bottom w:val="none" w:sz="0" w:space="0" w:color="auto"/>
        <w:right w:val="none" w:sz="0" w:space="0" w:color="auto"/>
      </w:divBdr>
    </w:div>
    <w:div w:id="565379246">
      <w:bodyDiv w:val="1"/>
      <w:marLeft w:val="0"/>
      <w:marRight w:val="0"/>
      <w:marTop w:val="0"/>
      <w:marBottom w:val="0"/>
      <w:divBdr>
        <w:top w:val="none" w:sz="0" w:space="0" w:color="auto"/>
        <w:left w:val="none" w:sz="0" w:space="0" w:color="auto"/>
        <w:bottom w:val="none" w:sz="0" w:space="0" w:color="auto"/>
        <w:right w:val="none" w:sz="0" w:space="0" w:color="auto"/>
      </w:divBdr>
    </w:div>
    <w:div w:id="1057435482">
      <w:bodyDiv w:val="1"/>
      <w:marLeft w:val="0"/>
      <w:marRight w:val="0"/>
      <w:marTop w:val="0"/>
      <w:marBottom w:val="0"/>
      <w:divBdr>
        <w:top w:val="none" w:sz="0" w:space="0" w:color="auto"/>
        <w:left w:val="none" w:sz="0" w:space="0" w:color="auto"/>
        <w:bottom w:val="none" w:sz="0" w:space="0" w:color="auto"/>
        <w:right w:val="none" w:sz="0" w:space="0" w:color="auto"/>
      </w:divBdr>
    </w:div>
    <w:div w:id="1098715503">
      <w:bodyDiv w:val="1"/>
      <w:marLeft w:val="0"/>
      <w:marRight w:val="0"/>
      <w:marTop w:val="0"/>
      <w:marBottom w:val="0"/>
      <w:divBdr>
        <w:top w:val="none" w:sz="0" w:space="0" w:color="auto"/>
        <w:left w:val="none" w:sz="0" w:space="0" w:color="auto"/>
        <w:bottom w:val="none" w:sz="0" w:space="0" w:color="auto"/>
        <w:right w:val="none" w:sz="0" w:space="0" w:color="auto"/>
      </w:divBdr>
    </w:div>
    <w:div w:id="1412971239">
      <w:bodyDiv w:val="1"/>
      <w:marLeft w:val="0"/>
      <w:marRight w:val="0"/>
      <w:marTop w:val="0"/>
      <w:marBottom w:val="0"/>
      <w:divBdr>
        <w:top w:val="none" w:sz="0" w:space="0" w:color="auto"/>
        <w:left w:val="none" w:sz="0" w:space="0" w:color="auto"/>
        <w:bottom w:val="none" w:sz="0" w:space="0" w:color="auto"/>
        <w:right w:val="none" w:sz="0" w:space="0" w:color="auto"/>
      </w:divBdr>
    </w:div>
    <w:div w:id="1543326169">
      <w:bodyDiv w:val="1"/>
      <w:marLeft w:val="0"/>
      <w:marRight w:val="0"/>
      <w:marTop w:val="0"/>
      <w:marBottom w:val="0"/>
      <w:divBdr>
        <w:top w:val="none" w:sz="0" w:space="0" w:color="auto"/>
        <w:left w:val="none" w:sz="0" w:space="0" w:color="auto"/>
        <w:bottom w:val="none" w:sz="0" w:space="0" w:color="auto"/>
        <w:right w:val="none" w:sz="0" w:space="0" w:color="auto"/>
      </w:divBdr>
    </w:div>
    <w:div w:id="1553807953">
      <w:bodyDiv w:val="1"/>
      <w:marLeft w:val="0"/>
      <w:marRight w:val="0"/>
      <w:marTop w:val="0"/>
      <w:marBottom w:val="0"/>
      <w:divBdr>
        <w:top w:val="none" w:sz="0" w:space="0" w:color="auto"/>
        <w:left w:val="none" w:sz="0" w:space="0" w:color="auto"/>
        <w:bottom w:val="none" w:sz="0" w:space="0" w:color="auto"/>
        <w:right w:val="none" w:sz="0" w:space="0" w:color="auto"/>
      </w:divBdr>
    </w:div>
    <w:div w:id="1595748097">
      <w:bodyDiv w:val="1"/>
      <w:marLeft w:val="0"/>
      <w:marRight w:val="0"/>
      <w:marTop w:val="0"/>
      <w:marBottom w:val="0"/>
      <w:divBdr>
        <w:top w:val="none" w:sz="0" w:space="0" w:color="auto"/>
        <w:left w:val="none" w:sz="0" w:space="0" w:color="auto"/>
        <w:bottom w:val="none" w:sz="0" w:space="0" w:color="auto"/>
        <w:right w:val="none" w:sz="0" w:space="0" w:color="auto"/>
      </w:divBdr>
    </w:div>
    <w:div w:id="1606188659">
      <w:bodyDiv w:val="1"/>
      <w:marLeft w:val="0"/>
      <w:marRight w:val="0"/>
      <w:marTop w:val="0"/>
      <w:marBottom w:val="0"/>
      <w:divBdr>
        <w:top w:val="none" w:sz="0" w:space="0" w:color="auto"/>
        <w:left w:val="none" w:sz="0" w:space="0" w:color="auto"/>
        <w:bottom w:val="none" w:sz="0" w:space="0" w:color="auto"/>
        <w:right w:val="none" w:sz="0" w:space="0" w:color="auto"/>
      </w:divBdr>
    </w:div>
    <w:div w:id="1870339354">
      <w:bodyDiv w:val="1"/>
      <w:marLeft w:val="0"/>
      <w:marRight w:val="0"/>
      <w:marTop w:val="0"/>
      <w:marBottom w:val="0"/>
      <w:divBdr>
        <w:top w:val="none" w:sz="0" w:space="0" w:color="auto"/>
        <w:left w:val="none" w:sz="0" w:space="0" w:color="auto"/>
        <w:bottom w:val="none" w:sz="0" w:space="0" w:color="auto"/>
        <w:right w:val="none" w:sz="0" w:space="0" w:color="auto"/>
      </w:divBdr>
    </w:div>
    <w:div w:id="1952277816">
      <w:bodyDiv w:val="1"/>
      <w:marLeft w:val="0"/>
      <w:marRight w:val="0"/>
      <w:marTop w:val="0"/>
      <w:marBottom w:val="0"/>
      <w:divBdr>
        <w:top w:val="none" w:sz="0" w:space="0" w:color="auto"/>
        <w:left w:val="none" w:sz="0" w:space="0" w:color="auto"/>
        <w:bottom w:val="none" w:sz="0" w:space="0" w:color="auto"/>
        <w:right w:val="none" w:sz="0" w:space="0" w:color="auto"/>
      </w:divBdr>
    </w:div>
    <w:div w:id="2011322637">
      <w:bodyDiv w:val="1"/>
      <w:marLeft w:val="0"/>
      <w:marRight w:val="0"/>
      <w:marTop w:val="0"/>
      <w:marBottom w:val="0"/>
      <w:divBdr>
        <w:top w:val="none" w:sz="0" w:space="0" w:color="auto"/>
        <w:left w:val="none" w:sz="0" w:space="0" w:color="auto"/>
        <w:bottom w:val="none" w:sz="0" w:space="0" w:color="auto"/>
        <w:right w:val="none" w:sz="0" w:space="0" w:color="auto"/>
      </w:divBdr>
    </w:div>
    <w:div w:id="21342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1.xml"/><Relationship Id="rId21" Type="http://schemas.openxmlformats.org/officeDocument/2006/relationships/footer" Target="footer3.xml"/><Relationship Id="rId42" Type="http://schemas.openxmlformats.org/officeDocument/2006/relationships/footer" Target="footer6.xml"/><Relationship Id="rId47" Type="http://schemas.openxmlformats.org/officeDocument/2006/relationships/header" Target="header10.xml"/><Relationship Id="rId63" Type="http://schemas.openxmlformats.org/officeDocument/2006/relationships/footer" Target="footer16.xml"/><Relationship Id="rId68" Type="http://schemas.microsoft.com/office/2007/relationships/diagramDrawing" Target="diagrams/drawing2.xml"/><Relationship Id="rId84" Type="http://schemas.openxmlformats.org/officeDocument/2006/relationships/header" Target="header27.xml"/><Relationship Id="rId89" Type="http://schemas.openxmlformats.org/officeDocument/2006/relationships/header" Target="header29.xml"/><Relationship Id="rId16" Type="http://schemas.openxmlformats.org/officeDocument/2006/relationships/header" Target="header1.xml"/><Relationship Id="rId11" Type="http://schemas.openxmlformats.org/officeDocument/2006/relationships/webSettings" Target="webSettings.xml"/><Relationship Id="rId32" Type="http://schemas.openxmlformats.org/officeDocument/2006/relationships/hyperlink" Target="https://www.ncsc.gov.uk/guidance/end-user-device-security" TargetMode="External"/><Relationship Id="rId37" Type="http://schemas.openxmlformats.org/officeDocument/2006/relationships/hyperlink" Target="https://assets.publishing.service.gov.uk/government/uploads/system/uploads/attachment_data/file/664073/HMG_Personnel_Security_Controls_V3.0_December_2017_final_.pdf" TargetMode="External"/><Relationship Id="rId53" Type="http://schemas.openxmlformats.org/officeDocument/2006/relationships/header" Target="header13.xml"/><Relationship Id="rId58" Type="http://schemas.openxmlformats.org/officeDocument/2006/relationships/header" Target="header15.xml"/><Relationship Id="rId74" Type="http://schemas.openxmlformats.org/officeDocument/2006/relationships/footer" Target="footer19.xml"/><Relationship Id="rId79" Type="http://schemas.openxmlformats.org/officeDocument/2006/relationships/footer" Target="footer20.xml"/><Relationship Id="rId5" Type="http://schemas.openxmlformats.org/officeDocument/2006/relationships/customXml" Target="../customXml/item4.xml"/><Relationship Id="rId90" Type="http://schemas.openxmlformats.org/officeDocument/2006/relationships/header" Target="header30.xml"/><Relationship Id="rId95" Type="http://schemas.openxmlformats.org/officeDocument/2006/relationships/footer" Target="footer29.xml"/><Relationship Id="rId22" Type="http://schemas.openxmlformats.org/officeDocument/2006/relationships/header" Target="header4.xml"/><Relationship Id="rId27" Type="http://schemas.openxmlformats.org/officeDocument/2006/relationships/diagramLayout" Target="diagrams/layout1.xml"/><Relationship Id="rId43" Type="http://schemas.openxmlformats.org/officeDocument/2006/relationships/footer" Target="footer7.xml"/><Relationship Id="rId48" Type="http://schemas.openxmlformats.org/officeDocument/2006/relationships/footer" Target="footer9.xml"/><Relationship Id="rId64" Type="http://schemas.openxmlformats.org/officeDocument/2006/relationships/diagramData" Target="diagrams/data2.xml"/><Relationship Id="rId69" Type="http://schemas.openxmlformats.org/officeDocument/2006/relationships/header" Target="header18.xml"/><Relationship Id="rId80" Type="http://schemas.openxmlformats.org/officeDocument/2006/relationships/footer" Target="footer21.xml"/><Relationship Id="rId85" Type="http://schemas.openxmlformats.org/officeDocument/2006/relationships/footer" Target="footer23.xml"/><Relationship Id="rId3" Type="http://schemas.openxmlformats.org/officeDocument/2006/relationships/customXml" Target="../customXml/item2.xml"/><Relationship Id="rId12" Type="http://schemas.openxmlformats.org/officeDocument/2006/relationships/footnotes" Target="footnotes.xml"/><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hyperlink" Target="https://www.ncsc.gov.uk/guidance/end-user-device-security" TargetMode="External"/><Relationship Id="rId38" Type="http://schemas.openxmlformats.org/officeDocument/2006/relationships/image" Target="media/image1.png"/><Relationship Id="rId46" Type="http://schemas.openxmlformats.org/officeDocument/2006/relationships/header" Target="header9.xml"/><Relationship Id="rId59" Type="http://schemas.openxmlformats.org/officeDocument/2006/relationships/header" Target="header16.xml"/><Relationship Id="rId67" Type="http://schemas.openxmlformats.org/officeDocument/2006/relationships/diagramColors" Target="diagrams/colors2.xml"/><Relationship Id="rId20" Type="http://schemas.openxmlformats.org/officeDocument/2006/relationships/header" Target="header3.xml"/><Relationship Id="rId41" Type="http://schemas.openxmlformats.org/officeDocument/2006/relationships/header" Target="header7.xml"/><Relationship Id="rId54" Type="http://schemas.openxmlformats.org/officeDocument/2006/relationships/footer" Target="footer11.xml"/><Relationship Id="rId62" Type="http://schemas.openxmlformats.org/officeDocument/2006/relationships/header" Target="header17.xml"/><Relationship Id="rId70" Type="http://schemas.openxmlformats.org/officeDocument/2006/relationships/header" Target="header19.xml"/><Relationship Id="rId75" Type="http://schemas.openxmlformats.org/officeDocument/2006/relationships/header" Target="header21.xml"/><Relationship Id="rId83" Type="http://schemas.openxmlformats.org/officeDocument/2006/relationships/header" Target="header26.xml"/><Relationship Id="rId88" Type="http://schemas.openxmlformats.org/officeDocument/2006/relationships/footer" Target="footer25.xml"/><Relationship Id="rId91" Type="http://schemas.openxmlformats.org/officeDocument/2006/relationships/footer" Target="footer26.xml"/><Relationship Id="rId9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5" Type="http://schemas.openxmlformats.org/officeDocument/2006/relationships/hyperlink" Target="mailto:companysecretary.uk@capgemini.com" TargetMode="External"/><Relationship Id="rId23" Type="http://schemas.openxmlformats.org/officeDocument/2006/relationships/footer" Target="footer4.xml"/><Relationship Id="rId28" Type="http://schemas.openxmlformats.org/officeDocument/2006/relationships/diagramQuickStyle" Target="diagrams/quickStyle1.xml"/><Relationship Id="rId36" Type="http://schemas.openxmlformats.org/officeDocument/2006/relationships/hyperlink" Target="https://assets.publishing.service.gov.uk/government/uploads/system/uploads/attachment_data/file/664073/HMG_Personnel_Security_Controls_V3.0_December_2017_final_.pdf" TargetMode="External"/><Relationship Id="rId49" Type="http://schemas.openxmlformats.org/officeDocument/2006/relationships/footer" Target="footer10.xml"/><Relationship Id="rId57" Type="http://schemas.openxmlformats.org/officeDocument/2006/relationships/footer" Target="footer13.xml"/><Relationship Id="rId10" Type="http://schemas.openxmlformats.org/officeDocument/2006/relationships/settings" Target="settings.xml"/><Relationship Id="rId31" Type="http://schemas.openxmlformats.org/officeDocument/2006/relationships/hyperlink" Target="https://global.ihs.com/csf_home.cfm?&amp;csf=NR" TargetMode="External"/><Relationship Id="rId44" Type="http://schemas.openxmlformats.org/officeDocument/2006/relationships/header" Target="header8.xml"/><Relationship Id="rId52" Type="http://schemas.openxmlformats.org/officeDocument/2006/relationships/header" Target="header12.xml"/><Relationship Id="rId60" Type="http://schemas.openxmlformats.org/officeDocument/2006/relationships/footer" Target="footer14.xml"/><Relationship Id="rId65" Type="http://schemas.openxmlformats.org/officeDocument/2006/relationships/diagramLayout" Target="diagrams/layout2.xml"/><Relationship Id="rId73" Type="http://schemas.openxmlformats.org/officeDocument/2006/relationships/header" Target="header20.xml"/><Relationship Id="rId78" Type="http://schemas.openxmlformats.org/officeDocument/2006/relationships/header" Target="header24.xml"/><Relationship Id="rId81" Type="http://schemas.openxmlformats.org/officeDocument/2006/relationships/header" Target="header25.xml"/><Relationship Id="rId86" Type="http://schemas.openxmlformats.org/officeDocument/2006/relationships/footer" Target="footer24.xml"/><Relationship Id="rId94" Type="http://schemas.openxmlformats.org/officeDocument/2006/relationships/footer" Target="footer28.xml"/><Relationship Id="rId4" Type="http://schemas.openxmlformats.org/officeDocument/2006/relationships/customXml" Target="../customXml/item3.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1.xml"/><Relationship Id="rId39" Type="http://schemas.openxmlformats.org/officeDocument/2006/relationships/image" Target="media/image2.png"/><Relationship Id="rId34" Type="http://schemas.openxmlformats.org/officeDocument/2006/relationships/hyperlink" Target="https://www.ncsc.gov.uk/guidance/end-user-device-security" TargetMode="External"/><Relationship Id="rId50" Type="http://schemas.openxmlformats.org/officeDocument/2006/relationships/header" Target="header11.xml"/><Relationship Id="rId55" Type="http://schemas.openxmlformats.org/officeDocument/2006/relationships/footer" Target="footer12.xml"/><Relationship Id="rId76" Type="http://schemas.openxmlformats.org/officeDocument/2006/relationships/header" Target="header22.xml"/><Relationship Id="rId97" Type="http://schemas.openxmlformats.org/officeDocument/2006/relationships/theme" Target="theme/theme1.xml"/><Relationship Id="rId7" Type="http://schemas.openxmlformats.org/officeDocument/2006/relationships/customXml" Target="../customXml/item6.xml"/><Relationship Id="rId71" Type="http://schemas.openxmlformats.org/officeDocument/2006/relationships/footer" Target="footer17.xml"/><Relationship Id="rId92" Type="http://schemas.openxmlformats.org/officeDocument/2006/relationships/footer" Target="footer27.xml"/><Relationship Id="rId2" Type="http://schemas.openxmlformats.org/officeDocument/2006/relationships/customXml" Target="../customXml/item1.xml"/><Relationship Id="rId29" Type="http://schemas.openxmlformats.org/officeDocument/2006/relationships/diagramColors" Target="diagrams/colors1.xml"/><Relationship Id="rId24" Type="http://schemas.openxmlformats.org/officeDocument/2006/relationships/header" Target="header5.xml"/><Relationship Id="rId40" Type="http://schemas.openxmlformats.org/officeDocument/2006/relationships/header" Target="header6.xml"/><Relationship Id="rId45" Type="http://schemas.openxmlformats.org/officeDocument/2006/relationships/footer" Target="footer8.xml"/><Relationship Id="rId66" Type="http://schemas.openxmlformats.org/officeDocument/2006/relationships/diagramQuickStyle" Target="diagrams/quickStyle2.xml"/><Relationship Id="rId87" Type="http://schemas.openxmlformats.org/officeDocument/2006/relationships/header" Target="header28.xml"/><Relationship Id="rId61" Type="http://schemas.openxmlformats.org/officeDocument/2006/relationships/footer" Target="footer15.xml"/><Relationship Id="rId82" Type="http://schemas.openxmlformats.org/officeDocument/2006/relationships/footer" Target="footer22.xml"/><Relationship Id="rId19" Type="http://schemas.openxmlformats.org/officeDocument/2006/relationships/footer" Target="footer2.xml"/><Relationship Id="rId14" Type="http://schemas.openxmlformats.org/officeDocument/2006/relationships/hyperlink" Target="mailto:companysecretary.uk@capgemini.com" TargetMode="External"/><Relationship Id="rId30" Type="http://schemas.microsoft.com/office/2007/relationships/diagramDrawing" Target="diagrams/drawing1.xml"/><Relationship Id="rId35" Type="http://schemas.openxmlformats.org/officeDocument/2006/relationships/hyperlink" Target="https://assets.publishing.service.gov.uk/government/uploads/system/uploads/attachment_data/file/664073/HMG_Personnel_Security_Controls_V3.0_December_2017_final_.pdf" TargetMode="External"/><Relationship Id="rId56" Type="http://schemas.openxmlformats.org/officeDocument/2006/relationships/header" Target="header14.xml"/><Relationship Id="rId77" Type="http://schemas.openxmlformats.org/officeDocument/2006/relationships/header" Target="header23.xml"/><Relationship Id="rId8" Type="http://schemas.openxmlformats.org/officeDocument/2006/relationships/numbering" Target="numbering.xml"/><Relationship Id="rId51" Type="http://schemas.openxmlformats.org/officeDocument/2006/relationships/hyperlink" Target="mailto:invoices@net.co.uk" TargetMode="External"/><Relationship Id="rId72" Type="http://schemas.openxmlformats.org/officeDocument/2006/relationships/footer" Target="footer18.xml"/><Relationship Id="rId93" Type="http://schemas.openxmlformats.org/officeDocument/2006/relationships/header" Target="header31.xml"/></Relationships>
</file>

<file path=word/_rels/header25.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ylvia.Eghiayan\AppData\Roaming\Microsoft\Templates\KL%20LLP\Standard%20Templates\CORP%20Agreement.do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C7CB3A-6E13-4C12-B167-8E0964423D7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44302631-0F7F-4013-AD4F-8AE38562E687}">
      <dgm:prSet phldrT="[Text]"/>
      <dgm:spPr/>
      <dgm:t>
        <a:bodyPr/>
        <a:lstStyle/>
        <a:p>
          <a:r>
            <a:rPr lang="en-GB"/>
            <a:t>(Customer)</a:t>
          </a:r>
        </a:p>
      </dgm:t>
    </dgm:pt>
    <dgm:pt modelId="{D80A7039-8191-4A17-A2B4-D5116BE87FE7}" type="parTrans" cxnId="{C81C5EDE-8522-4F7E-BC07-185354C558BC}">
      <dgm:prSet/>
      <dgm:spPr/>
      <dgm:t>
        <a:bodyPr/>
        <a:lstStyle/>
        <a:p>
          <a:endParaRPr lang="en-GB"/>
        </a:p>
      </dgm:t>
    </dgm:pt>
    <dgm:pt modelId="{70341C7F-B048-4C80-BCCC-616FB5E8E633}" type="sibTrans" cxnId="{C81C5EDE-8522-4F7E-BC07-185354C558BC}">
      <dgm:prSet/>
      <dgm:spPr/>
      <dgm:t>
        <a:bodyPr/>
        <a:lstStyle/>
        <a:p>
          <a:endParaRPr lang="en-GB"/>
        </a:p>
      </dgm:t>
    </dgm:pt>
    <dgm:pt modelId="{8148394A-FAD2-4AC2-A369-96EA4D5922F8}">
      <dgm:prSet phldrT="[Text]"/>
      <dgm:spPr/>
      <dgm:t>
        <a:bodyPr/>
        <a:lstStyle/>
        <a:p>
          <a:r>
            <a:rPr lang="en-GB"/>
            <a:t>Consortium  member #1 </a:t>
          </a:r>
        </a:p>
      </dgm:t>
    </dgm:pt>
    <dgm:pt modelId="{B73E492C-CD31-4C55-8A3A-6190C5645FE7}" type="parTrans" cxnId="{9A1F6727-8FF6-4C94-B095-F212E105F4BF}">
      <dgm:prSet/>
      <dgm:spPr/>
      <dgm:t>
        <a:bodyPr/>
        <a:lstStyle/>
        <a:p>
          <a:endParaRPr lang="en-GB"/>
        </a:p>
      </dgm:t>
    </dgm:pt>
    <dgm:pt modelId="{50A5C08E-08C8-4426-8014-3ACDA0F789C0}" type="sibTrans" cxnId="{9A1F6727-8FF6-4C94-B095-F212E105F4BF}">
      <dgm:prSet/>
      <dgm:spPr/>
      <dgm:t>
        <a:bodyPr/>
        <a:lstStyle/>
        <a:p>
          <a:endParaRPr lang="en-GB"/>
        </a:p>
      </dgm:t>
    </dgm:pt>
    <dgm:pt modelId="{08EC84E1-5224-4016-8F3E-6894FF0541AA}">
      <dgm:prSet phldrT="[Text]"/>
      <dgm:spPr/>
      <dgm:t>
        <a:bodyPr/>
        <a:lstStyle/>
        <a:p>
          <a:r>
            <a:rPr lang="en-GB"/>
            <a:t>Consortium member #2</a:t>
          </a:r>
        </a:p>
      </dgm:t>
    </dgm:pt>
    <dgm:pt modelId="{BA09AD9E-1660-405A-BBFE-8D2EEB31F6F4}" type="parTrans" cxnId="{A174D560-E9FD-4AB0-83D4-AD893C718850}">
      <dgm:prSet/>
      <dgm:spPr/>
      <dgm:t>
        <a:bodyPr/>
        <a:lstStyle/>
        <a:p>
          <a:endParaRPr lang="en-GB"/>
        </a:p>
      </dgm:t>
    </dgm:pt>
    <dgm:pt modelId="{7DCF3621-C448-4234-9A05-0129AAB4C2F5}" type="sibTrans" cxnId="{A174D560-E9FD-4AB0-83D4-AD893C718850}">
      <dgm:prSet/>
      <dgm:spPr/>
      <dgm:t>
        <a:bodyPr/>
        <a:lstStyle/>
        <a:p>
          <a:endParaRPr lang="en-GB"/>
        </a:p>
      </dgm:t>
    </dgm:pt>
    <dgm:pt modelId="{FA0330D2-41F9-4400-9CA0-FB23302314D0}">
      <dgm:prSet phldrT="[Text]"/>
      <dgm:spPr/>
      <dgm:t>
        <a:bodyPr/>
        <a:lstStyle/>
        <a:p>
          <a:r>
            <a:rPr lang="en-GB"/>
            <a:t>Consortium member #</a:t>
          </a:r>
          <a:r>
            <a:rPr lang="en-GB" i="1"/>
            <a:t>n</a:t>
          </a:r>
          <a:r>
            <a:rPr lang="en-GB"/>
            <a:t> </a:t>
          </a:r>
        </a:p>
      </dgm:t>
    </dgm:pt>
    <dgm:pt modelId="{203C0EE5-01B9-471E-9BE4-BF1391176EBE}" type="sibTrans" cxnId="{15F011FE-4AF2-4322-B156-5C263A8D82C7}">
      <dgm:prSet/>
      <dgm:spPr/>
      <dgm:t>
        <a:bodyPr/>
        <a:lstStyle/>
        <a:p>
          <a:endParaRPr lang="en-GB"/>
        </a:p>
      </dgm:t>
    </dgm:pt>
    <dgm:pt modelId="{83F71060-F600-4EED-944F-C04496A74C95}" type="parTrans" cxnId="{15F011FE-4AF2-4322-B156-5C263A8D82C7}">
      <dgm:prSet/>
      <dgm:spPr/>
      <dgm:t>
        <a:bodyPr/>
        <a:lstStyle/>
        <a:p>
          <a:endParaRPr lang="en-GB"/>
        </a:p>
      </dgm:t>
    </dgm:pt>
    <dgm:pt modelId="{DA6423FA-8C72-4236-AC00-8AFCBAEB8D02}">
      <dgm:prSet/>
      <dgm:spPr/>
      <dgm:t>
        <a:bodyPr/>
        <a:lstStyle/>
        <a:p>
          <a:r>
            <a:rPr lang="en-GB"/>
            <a:t>Techical Leadership Group</a:t>
          </a:r>
        </a:p>
      </dgm:t>
    </dgm:pt>
    <dgm:pt modelId="{2B9B1747-4477-4E37-84DA-47E24DF5302D}" type="parTrans" cxnId="{4671B7D0-2935-41F9-AF87-2A3DDC80C473}">
      <dgm:prSet/>
      <dgm:spPr/>
      <dgm:t>
        <a:bodyPr/>
        <a:lstStyle/>
        <a:p>
          <a:endParaRPr lang="en-GB"/>
        </a:p>
      </dgm:t>
    </dgm:pt>
    <dgm:pt modelId="{EBC34CD0-3B20-412B-901E-D7C7981673DD}" type="sibTrans" cxnId="{4671B7D0-2935-41F9-AF87-2A3DDC80C473}">
      <dgm:prSet/>
      <dgm:spPr/>
      <dgm:t>
        <a:bodyPr/>
        <a:lstStyle/>
        <a:p>
          <a:endParaRPr lang="en-GB"/>
        </a:p>
      </dgm:t>
    </dgm:pt>
    <dgm:pt modelId="{94573296-7525-4DE3-B129-391D82B155F4}">
      <dgm:prSet/>
      <dgm:spPr/>
      <dgm:t>
        <a:bodyPr/>
        <a:lstStyle/>
        <a:p>
          <a:r>
            <a:rPr lang="en-GB"/>
            <a:t>Technical Leadership Group</a:t>
          </a:r>
        </a:p>
      </dgm:t>
    </dgm:pt>
    <dgm:pt modelId="{1D12BC49-A908-428C-87C1-BAC8C9B6E07E}" type="parTrans" cxnId="{52B28988-56B8-4FAB-8544-DB1890E40DAC}">
      <dgm:prSet/>
      <dgm:spPr/>
      <dgm:t>
        <a:bodyPr/>
        <a:lstStyle/>
        <a:p>
          <a:endParaRPr lang="en-GB"/>
        </a:p>
      </dgm:t>
    </dgm:pt>
    <dgm:pt modelId="{696D4822-E9C1-4A42-B4C8-53B59DE47598}" type="sibTrans" cxnId="{52B28988-56B8-4FAB-8544-DB1890E40DAC}">
      <dgm:prSet/>
      <dgm:spPr/>
      <dgm:t>
        <a:bodyPr/>
        <a:lstStyle/>
        <a:p>
          <a:endParaRPr lang="en-GB"/>
        </a:p>
      </dgm:t>
    </dgm:pt>
    <dgm:pt modelId="{9E3568B3-F40E-4D05-9AE9-4F018E04D004}">
      <dgm:prSet/>
      <dgm:spPr/>
      <dgm:t>
        <a:bodyPr/>
        <a:lstStyle/>
        <a:p>
          <a:r>
            <a:rPr lang="en-GB"/>
            <a:t>Technical Leadership Group</a:t>
          </a:r>
        </a:p>
      </dgm:t>
    </dgm:pt>
    <dgm:pt modelId="{7D083101-3B2C-49E3-ADC9-519CC6625F66}" type="parTrans" cxnId="{FD81C801-A45C-4713-8348-2C0AD163BD45}">
      <dgm:prSet/>
      <dgm:spPr/>
      <dgm:t>
        <a:bodyPr/>
        <a:lstStyle/>
        <a:p>
          <a:endParaRPr lang="en-GB"/>
        </a:p>
      </dgm:t>
    </dgm:pt>
    <dgm:pt modelId="{FA4F8132-CCB3-4DFA-A593-B4DE861E3E31}" type="sibTrans" cxnId="{FD81C801-A45C-4713-8348-2C0AD163BD45}">
      <dgm:prSet/>
      <dgm:spPr/>
      <dgm:t>
        <a:bodyPr/>
        <a:lstStyle/>
        <a:p>
          <a:endParaRPr lang="en-GB"/>
        </a:p>
      </dgm:t>
    </dgm:pt>
    <dgm:pt modelId="{E60A5158-26B6-4ACA-AF42-9050208B0FA8}">
      <dgm:prSet/>
      <dgm:spPr/>
      <dgm:t>
        <a:bodyPr/>
        <a:lstStyle/>
        <a:p>
          <a:r>
            <a:rPr lang="en-GB"/>
            <a:t>Sposorship Group</a:t>
          </a:r>
        </a:p>
      </dgm:t>
    </dgm:pt>
    <dgm:pt modelId="{0FBBAD6F-64E9-4A31-846F-90E74B19329E}" type="parTrans" cxnId="{984AED5D-DF7C-4B6D-968E-BB40AF469AE3}">
      <dgm:prSet/>
      <dgm:spPr/>
      <dgm:t>
        <a:bodyPr/>
        <a:lstStyle/>
        <a:p>
          <a:endParaRPr lang="en-GB"/>
        </a:p>
      </dgm:t>
    </dgm:pt>
    <dgm:pt modelId="{C59C1164-4CDF-4EC7-A30C-2440BC70ACB3}" type="sibTrans" cxnId="{984AED5D-DF7C-4B6D-968E-BB40AF469AE3}">
      <dgm:prSet/>
      <dgm:spPr/>
      <dgm:t>
        <a:bodyPr/>
        <a:lstStyle/>
        <a:p>
          <a:endParaRPr lang="en-GB"/>
        </a:p>
      </dgm:t>
    </dgm:pt>
    <dgm:pt modelId="{1DCEBEC8-D3D3-4F4C-9F40-A34F865CC9BD}">
      <dgm:prSet/>
      <dgm:spPr/>
      <dgm:t>
        <a:bodyPr/>
        <a:lstStyle/>
        <a:p>
          <a:r>
            <a:rPr lang="en-GB"/>
            <a:t>Sposorship Group</a:t>
          </a:r>
        </a:p>
      </dgm:t>
    </dgm:pt>
    <dgm:pt modelId="{F2ABC07B-3CA8-4675-81F9-4639F58626A5}" type="parTrans" cxnId="{A5433CF0-B3E4-400F-A9CF-40F206856BA6}">
      <dgm:prSet/>
      <dgm:spPr/>
      <dgm:t>
        <a:bodyPr/>
        <a:lstStyle/>
        <a:p>
          <a:endParaRPr lang="en-GB"/>
        </a:p>
      </dgm:t>
    </dgm:pt>
    <dgm:pt modelId="{D905D740-D0AB-42C0-BD7E-3C3987809E86}" type="sibTrans" cxnId="{A5433CF0-B3E4-400F-A9CF-40F206856BA6}">
      <dgm:prSet/>
      <dgm:spPr/>
      <dgm:t>
        <a:bodyPr/>
        <a:lstStyle/>
        <a:p>
          <a:endParaRPr lang="en-GB"/>
        </a:p>
      </dgm:t>
    </dgm:pt>
    <dgm:pt modelId="{2C4EEBFA-42FF-4234-BC0F-FB56149B463E}">
      <dgm:prSet/>
      <dgm:spPr/>
      <dgm:t>
        <a:bodyPr/>
        <a:lstStyle/>
        <a:p>
          <a:r>
            <a:rPr lang="en-GB"/>
            <a:t>Sposorship Group</a:t>
          </a:r>
        </a:p>
      </dgm:t>
    </dgm:pt>
    <dgm:pt modelId="{87188361-C610-4484-9051-FC55C98DB02F}" type="parTrans" cxnId="{8060528B-288F-4EAC-97D6-A26035132C5B}">
      <dgm:prSet/>
      <dgm:spPr/>
      <dgm:t>
        <a:bodyPr/>
        <a:lstStyle/>
        <a:p>
          <a:endParaRPr lang="en-GB"/>
        </a:p>
      </dgm:t>
    </dgm:pt>
    <dgm:pt modelId="{49F119D2-32E1-45F2-BC0C-8DB9F941F6A1}" type="sibTrans" cxnId="{8060528B-288F-4EAC-97D6-A26035132C5B}">
      <dgm:prSet/>
      <dgm:spPr/>
      <dgm:t>
        <a:bodyPr/>
        <a:lstStyle/>
        <a:p>
          <a:endParaRPr lang="en-GB"/>
        </a:p>
      </dgm:t>
    </dgm:pt>
    <dgm:pt modelId="{0637E180-8417-4AFF-B3C4-65AA91C70290}" type="pres">
      <dgm:prSet presAssocID="{82C7CB3A-6E13-4C12-B167-8E0964423D79}" presName="hierChild1" presStyleCnt="0">
        <dgm:presLayoutVars>
          <dgm:orgChart val="1"/>
          <dgm:chPref val="1"/>
          <dgm:dir/>
          <dgm:animOne val="branch"/>
          <dgm:animLvl val="lvl"/>
          <dgm:resizeHandles/>
        </dgm:presLayoutVars>
      </dgm:prSet>
      <dgm:spPr/>
    </dgm:pt>
    <dgm:pt modelId="{3FBFD427-2457-4134-BFB7-82536D304977}" type="pres">
      <dgm:prSet presAssocID="{44302631-0F7F-4013-AD4F-8AE38562E687}" presName="hierRoot1" presStyleCnt="0">
        <dgm:presLayoutVars>
          <dgm:hierBranch val="init"/>
        </dgm:presLayoutVars>
      </dgm:prSet>
      <dgm:spPr/>
    </dgm:pt>
    <dgm:pt modelId="{1456EF31-43F6-4E8E-8C54-043BF05297C1}" type="pres">
      <dgm:prSet presAssocID="{44302631-0F7F-4013-AD4F-8AE38562E687}" presName="rootComposite1" presStyleCnt="0"/>
      <dgm:spPr/>
    </dgm:pt>
    <dgm:pt modelId="{62B6D23E-6104-4F56-A473-F7E9003768D7}" type="pres">
      <dgm:prSet presAssocID="{44302631-0F7F-4013-AD4F-8AE38562E687}" presName="rootText1" presStyleLbl="node0" presStyleIdx="0" presStyleCnt="1">
        <dgm:presLayoutVars>
          <dgm:chPref val="3"/>
        </dgm:presLayoutVars>
      </dgm:prSet>
      <dgm:spPr/>
    </dgm:pt>
    <dgm:pt modelId="{0017ECB2-E1AD-4355-AF1B-631F715E961D}" type="pres">
      <dgm:prSet presAssocID="{44302631-0F7F-4013-AD4F-8AE38562E687}" presName="rootConnector1" presStyleLbl="node1" presStyleIdx="0" presStyleCnt="0"/>
      <dgm:spPr/>
    </dgm:pt>
    <dgm:pt modelId="{E948C6D4-A164-4236-A0BA-FF521BFE133D}" type="pres">
      <dgm:prSet presAssocID="{44302631-0F7F-4013-AD4F-8AE38562E687}" presName="hierChild2" presStyleCnt="0"/>
      <dgm:spPr/>
    </dgm:pt>
    <dgm:pt modelId="{2D0F18D2-AC00-4B0C-8EA2-305E52F31D37}" type="pres">
      <dgm:prSet presAssocID="{B73E492C-CD31-4C55-8A3A-6190C5645FE7}" presName="Name37" presStyleLbl="parChTrans1D2" presStyleIdx="0" presStyleCnt="3"/>
      <dgm:spPr/>
    </dgm:pt>
    <dgm:pt modelId="{58DCC5FB-1AA6-4E8E-991C-ADC1294C1320}" type="pres">
      <dgm:prSet presAssocID="{8148394A-FAD2-4AC2-A369-96EA4D5922F8}" presName="hierRoot2" presStyleCnt="0">
        <dgm:presLayoutVars>
          <dgm:hierBranch val="init"/>
        </dgm:presLayoutVars>
      </dgm:prSet>
      <dgm:spPr/>
    </dgm:pt>
    <dgm:pt modelId="{73064195-7C4C-423F-9543-4E7C1F333261}" type="pres">
      <dgm:prSet presAssocID="{8148394A-FAD2-4AC2-A369-96EA4D5922F8}" presName="rootComposite" presStyleCnt="0"/>
      <dgm:spPr/>
    </dgm:pt>
    <dgm:pt modelId="{CE3D813A-2812-479F-BF3B-ED0A515581F6}" type="pres">
      <dgm:prSet presAssocID="{8148394A-FAD2-4AC2-A369-96EA4D5922F8}" presName="rootText" presStyleLbl="node2" presStyleIdx="0" presStyleCnt="3">
        <dgm:presLayoutVars>
          <dgm:chPref val="3"/>
        </dgm:presLayoutVars>
      </dgm:prSet>
      <dgm:spPr/>
    </dgm:pt>
    <dgm:pt modelId="{79202C81-18ED-4C87-8E49-B4DBEB2EBCEE}" type="pres">
      <dgm:prSet presAssocID="{8148394A-FAD2-4AC2-A369-96EA4D5922F8}" presName="rootConnector" presStyleLbl="node2" presStyleIdx="0" presStyleCnt="3"/>
      <dgm:spPr/>
    </dgm:pt>
    <dgm:pt modelId="{CF7AAA1E-804C-4227-9E69-A1B3040710A2}" type="pres">
      <dgm:prSet presAssocID="{8148394A-FAD2-4AC2-A369-96EA4D5922F8}" presName="hierChild4" presStyleCnt="0"/>
      <dgm:spPr/>
    </dgm:pt>
    <dgm:pt modelId="{82123AD2-8CFD-43AE-A5BB-A58D03E3B56B}" type="pres">
      <dgm:prSet presAssocID="{2B9B1747-4477-4E37-84DA-47E24DF5302D}" presName="Name37" presStyleLbl="parChTrans1D3" presStyleIdx="0" presStyleCnt="6"/>
      <dgm:spPr/>
    </dgm:pt>
    <dgm:pt modelId="{78B3082C-EA80-401A-80DA-D2FD80A34D9E}" type="pres">
      <dgm:prSet presAssocID="{DA6423FA-8C72-4236-AC00-8AFCBAEB8D02}" presName="hierRoot2" presStyleCnt="0">
        <dgm:presLayoutVars>
          <dgm:hierBranch val="init"/>
        </dgm:presLayoutVars>
      </dgm:prSet>
      <dgm:spPr/>
    </dgm:pt>
    <dgm:pt modelId="{47063DA6-F079-4217-99BD-71094E0B1692}" type="pres">
      <dgm:prSet presAssocID="{DA6423FA-8C72-4236-AC00-8AFCBAEB8D02}" presName="rootComposite" presStyleCnt="0"/>
      <dgm:spPr/>
    </dgm:pt>
    <dgm:pt modelId="{460C10F1-8940-4F5B-9DED-C149B195948A}" type="pres">
      <dgm:prSet presAssocID="{DA6423FA-8C72-4236-AC00-8AFCBAEB8D02}" presName="rootText" presStyleLbl="node3" presStyleIdx="0" presStyleCnt="6" custLinFactNeighborX="-1378" custLinFactNeighborY="96483">
        <dgm:presLayoutVars>
          <dgm:chPref val="3"/>
        </dgm:presLayoutVars>
      </dgm:prSet>
      <dgm:spPr/>
    </dgm:pt>
    <dgm:pt modelId="{0148ECC6-7F6F-4A79-A7D7-4A3FA6DFEEA4}" type="pres">
      <dgm:prSet presAssocID="{DA6423FA-8C72-4236-AC00-8AFCBAEB8D02}" presName="rootConnector" presStyleLbl="node3" presStyleIdx="0" presStyleCnt="6"/>
      <dgm:spPr/>
    </dgm:pt>
    <dgm:pt modelId="{C6B496F8-ADFA-4B0D-856F-A1D58D4764A9}" type="pres">
      <dgm:prSet presAssocID="{DA6423FA-8C72-4236-AC00-8AFCBAEB8D02}" presName="hierChild4" presStyleCnt="0"/>
      <dgm:spPr/>
    </dgm:pt>
    <dgm:pt modelId="{B47EA216-1ADE-47E1-8E6B-086453EE23FD}" type="pres">
      <dgm:prSet presAssocID="{DA6423FA-8C72-4236-AC00-8AFCBAEB8D02}" presName="hierChild5" presStyleCnt="0"/>
      <dgm:spPr/>
    </dgm:pt>
    <dgm:pt modelId="{6CDF040B-0CFC-435B-B31D-7156D2A756C0}" type="pres">
      <dgm:prSet presAssocID="{87188361-C610-4484-9051-FC55C98DB02F}" presName="Name37" presStyleLbl="parChTrans1D3" presStyleIdx="1" presStyleCnt="6"/>
      <dgm:spPr/>
    </dgm:pt>
    <dgm:pt modelId="{7F0EE9F8-AD7D-4DB5-9115-7BE7DBB4085E}" type="pres">
      <dgm:prSet presAssocID="{2C4EEBFA-42FF-4234-BC0F-FB56149B463E}" presName="hierRoot2" presStyleCnt="0">
        <dgm:presLayoutVars>
          <dgm:hierBranch val="init"/>
        </dgm:presLayoutVars>
      </dgm:prSet>
      <dgm:spPr/>
    </dgm:pt>
    <dgm:pt modelId="{2272F265-AF46-4F21-9CCE-8581C5DC8ED1}" type="pres">
      <dgm:prSet presAssocID="{2C4EEBFA-42FF-4234-BC0F-FB56149B463E}" presName="rootComposite" presStyleCnt="0"/>
      <dgm:spPr/>
    </dgm:pt>
    <dgm:pt modelId="{708D2CCE-32AB-4A60-A0D7-0CAFB0C27BA9}" type="pres">
      <dgm:prSet presAssocID="{2C4EEBFA-42FF-4234-BC0F-FB56149B463E}" presName="rootText" presStyleLbl="node3" presStyleIdx="1" presStyleCnt="6" custLinFactY="-64020" custLinFactNeighborX="-4136" custLinFactNeighborY="-100000">
        <dgm:presLayoutVars>
          <dgm:chPref val="3"/>
        </dgm:presLayoutVars>
      </dgm:prSet>
      <dgm:spPr/>
    </dgm:pt>
    <dgm:pt modelId="{7B347710-57B3-446F-BF0E-B5D7B394EAC0}" type="pres">
      <dgm:prSet presAssocID="{2C4EEBFA-42FF-4234-BC0F-FB56149B463E}" presName="rootConnector" presStyleLbl="node3" presStyleIdx="1" presStyleCnt="6"/>
      <dgm:spPr/>
    </dgm:pt>
    <dgm:pt modelId="{AC7BF139-F4C0-4FA3-9297-01880DE190E1}" type="pres">
      <dgm:prSet presAssocID="{2C4EEBFA-42FF-4234-BC0F-FB56149B463E}" presName="hierChild4" presStyleCnt="0"/>
      <dgm:spPr/>
    </dgm:pt>
    <dgm:pt modelId="{32B32B9D-1E2A-4B59-A324-D3AE22B414D7}" type="pres">
      <dgm:prSet presAssocID="{2C4EEBFA-42FF-4234-BC0F-FB56149B463E}" presName="hierChild5" presStyleCnt="0"/>
      <dgm:spPr/>
    </dgm:pt>
    <dgm:pt modelId="{84DD8998-2559-4292-809A-92EC3B931162}" type="pres">
      <dgm:prSet presAssocID="{8148394A-FAD2-4AC2-A369-96EA4D5922F8}" presName="hierChild5" presStyleCnt="0"/>
      <dgm:spPr/>
    </dgm:pt>
    <dgm:pt modelId="{1F0021D8-B098-43EF-B7A3-2774B422818F}" type="pres">
      <dgm:prSet presAssocID="{BA09AD9E-1660-405A-BBFE-8D2EEB31F6F4}" presName="Name37" presStyleLbl="parChTrans1D2" presStyleIdx="1" presStyleCnt="3"/>
      <dgm:spPr/>
    </dgm:pt>
    <dgm:pt modelId="{C5987B85-70AC-4F35-84E7-C1BA30D99CB4}" type="pres">
      <dgm:prSet presAssocID="{08EC84E1-5224-4016-8F3E-6894FF0541AA}" presName="hierRoot2" presStyleCnt="0">
        <dgm:presLayoutVars>
          <dgm:hierBranch val="init"/>
        </dgm:presLayoutVars>
      </dgm:prSet>
      <dgm:spPr/>
    </dgm:pt>
    <dgm:pt modelId="{B2C96D61-E857-4C51-B934-4A05EE41A46F}" type="pres">
      <dgm:prSet presAssocID="{08EC84E1-5224-4016-8F3E-6894FF0541AA}" presName="rootComposite" presStyleCnt="0"/>
      <dgm:spPr/>
    </dgm:pt>
    <dgm:pt modelId="{1A47764E-3922-41E1-B509-C0C4505D6FF6}" type="pres">
      <dgm:prSet presAssocID="{08EC84E1-5224-4016-8F3E-6894FF0541AA}" presName="rootText" presStyleLbl="node2" presStyleIdx="1" presStyleCnt="3">
        <dgm:presLayoutVars>
          <dgm:chPref val="3"/>
        </dgm:presLayoutVars>
      </dgm:prSet>
      <dgm:spPr/>
    </dgm:pt>
    <dgm:pt modelId="{96B2E79A-3702-4228-A921-79425ECA5DF7}" type="pres">
      <dgm:prSet presAssocID="{08EC84E1-5224-4016-8F3E-6894FF0541AA}" presName="rootConnector" presStyleLbl="node2" presStyleIdx="1" presStyleCnt="3"/>
      <dgm:spPr/>
    </dgm:pt>
    <dgm:pt modelId="{B88BC431-006E-4D95-B197-ED2366B951F9}" type="pres">
      <dgm:prSet presAssocID="{08EC84E1-5224-4016-8F3E-6894FF0541AA}" presName="hierChild4" presStyleCnt="0"/>
      <dgm:spPr/>
    </dgm:pt>
    <dgm:pt modelId="{F20A7A39-635A-45C7-B17D-D075D4E3BA7F}" type="pres">
      <dgm:prSet presAssocID="{1D12BC49-A908-428C-87C1-BAC8C9B6E07E}" presName="Name37" presStyleLbl="parChTrans1D3" presStyleIdx="2" presStyleCnt="6"/>
      <dgm:spPr/>
    </dgm:pt>
    <dgm:pt modelId="{5E2CE353-84D0-4581-B344-BD0C4CB07C0F}" type="pres">
      <dgm:prSet presAssocID="{94573296-7525-4DE3-B129-391D82B155F4}" presName="hierRoot2" presStyleCnt="0">
        <dgm:presLayoutVars>
          <dgm:hierBranch val="init"/>
        </dgm:presLayoutVars>
      </dgm:prSet>
      <dgm:spPr/>
    </dgm:pt>
    <dgm:pt modelId="{B28092A1-319D-4985-9587-DC0825E8D986}" type="pres">
      <dgm:prSet presAssocID="{94573296-7525-4DE3-B129-391D82B155F4}" presName="rootComposite" presStyleCnt="0"/>
      <dgm:spPr/>
    </dgm:pt>
    <dgm:pt modelId="{7236060B-0B92-4B7A-A89C-C26D8E1DF5A7}" type="pres">
      <dgm:prSet presAssocID="{94573296-7525-4DE3-B129-391D82B155F4}" presName="rootText" presStyleLbl="node3" presStyleIdx="2" presStyleCnt="6" custLinFactNeighborX="-7581" custLinFactNeighborY="97861">
        <dgm:presLayoutVars>
          <dgm:chPref val="3"/>
        </dgm:presLayoutVars>
      </dgm:prSet>
      <dgm:spPr/>
    </dgm:pt>
    <dgm:pt modelId="{76F05528-8036-4A5E-B7AD-06A368F382E1}" type="pres">
      <dgm:prSet presAssocID="{94573296-7525-4DE3-B129-391D82B155F4}" presName="rootConnector" presStyleLbl="node3" presStyleIdx="2" presStyleCnt="6"/>
      <dgm:spPr/>
    </dgm:pt>
    <dgm:pt modelId="{EF07D365-9F81-40DC-A1C8-693DDEF08A57}" type="pres">
      <dgm:prSet presAssocID="{94573296-7525-4DE3-B129-391D82B155F4}" presName="hierChild4" presStyleCnt="0"/>
      <dgm:spPr/>
    </dgm:pt>
    <dgm:pt modelId="{D0BED1C0-04C0-4935-BD54-FE9225EF1997}" type="pres">
      <dgm:prSet presAssocID="{94573296-7525-4DE3-B129-391D82B155F4}" presName="hierChild5" presStyleCnt="0"/>
      <dgm:spPr/>
    </dgm:pt>
    <dgm:pt modelId="{4CC5E002-8D42-48D3-B18C-E67D274FED83}" type="pres">
      <dgm:prSet presAssocID="{F2ABC07B-3CA8-4675-81F9-4639F58626A5}" presName="Name37" presStyleLbl="parChTrans1D3" presStyleIdx="3" presStyleCnt="6"/>
      <dgm:spPr/>
    </dgm:pt>
    <dgm:pt modelId="{ED90BDAC-AB9B-478E-A54C-C98AD1D3F956}" type="pres">
      <dgm:prSet presAssocID="{1DCEBEC8-D3D3-4F4C-9F40-A34F865CC9BD}" presName="hierRoot2" presStyleCnt="0">
        <dgm:presLayoutVars>
          <dgm:hierBranch val="init"/>
        </dgm:presLayoutVars>
      </dgm:prSet>
      <dgm:spPr/>
    </dgm:pt>
    <dgm:pt modelId="{DA98DA12-2604-4711-AE5E-37BE16EEAFCA}" type="pres">
      <dgm:prSet presAssocID="{1DCEBEC8-D3D3-4F4C-9F40-A34F865CC9BD}" presName="rootComposite" presStyleCnt="0"/>
      <dgm:spPr/>
    </dgm:pt>
    <dgm:pt modelId="{758CCC36-9A6F-449F-9857-769CEF113E97}" type="pres">
      <dgm:prSet presAssocID="{1DCEBEC8-D3D3-4F4C-9F40-A34F865CC9BD}" presName="rootText" presStyleLbl="node3" presStyleIdx="3" presStyleCnt="6" custLinFactY="-64020" custLinFactNeighborX="-4136" custLinFactNeighborY="-100000">
        <dgm:presLayoutVars>
          <dgm:chPref val="3"/>
        </dgm:presLayoutVars>
      </dgm:prSet>
      <dgm:spPr/>
    </dgm:pt>
    <dgm:pt modelId="{26F8380D-A8B1-46EA-A85F-29B8F031059F}" type="pres">
      <dgm:prSet presAssocID="{1DCEBEC8-D3D3-4F4C-9F40-A34F865CC9BD}" presName="rootConnector" presStyleLbl="node3" presStyleIdx="3" presStyleCnt="6"/>
      <dgm:spPr/>
    </dgm:pt>
    <dgm:pt modelId="{EA640207-E956-49D9-A84F-5C232EAB61F7}" type="pres">
      <dgm:prSet presAssocID="{1DCEBEC8-D3D3-4F4C-9F40-A34F865CC9BD}" presName="hierChild4" presStyleCnt="0"/>
      <dgm:spPr/>
    </dgm:pt>
    <dgm:pt modelId="{BFBD2375-207B-46A0-BC3B-CAE02604149B}" type="pres">
      <dgm:prSet presAssocID="{1DCEBEC8-D3D3-4F4C-9F40-A34F865CC9BD}" presName="hierChild5" presStyleCnt="0"/>
      <dgm:spPr/>
    </dgm:pt>
    <dgm:pt modelId="{210C9166-E14B-487F-AAC4-5079B8613F7D}" type="pres">
      <dgm:prSet presAssocID="{08EC84E1-5224-4016-8F3E-6894FF0541AA}" presName="hierChild5" presStyleCnt="0"/>
      <dgm:spPr/>
    </dgm:pt>
    <dgm:pt modelId="{D348707F-0FE2-40E4-9B81-A68F914E958F}" type="pres">
      <dgm:prSet presAssocID="{83F71060-F600-4EED-944F-C04496A74C95}" presName="Name37" presStyleLbl="parChTrans1D2" presStyleIdx="2" presStyleCnt="3"/>
      <dgm:spPr/>
    </dgm:pt>
    <dgm:pt modelId="{C3FFA63C-0516-497E-AE1D-DA0797CDC2C6}" type="pres">
      <dgm:prSet presAssocID="{FA0330D2-41F9-4400-9CA0-FB23302314D0}" presName="hierRoot2" presStyleCnt="0">
        <dgm:presLayoutVars>
          <dgm:hierBranch val="init"/>
        </dgm:presLayoutVars>
      </dgm:prSet>
      <dgm:spPr/>
    </dgm:pt>
    <dgm:pt modelId="{EA111F5C-B4B8-4AD6-B69C-31737448579F}" type="pres">
      <dgm:prSet presAssocID="{FA0330D2-41F9-4400-9CA0-FB23302314D0}" presName="rootComposite" presStyleCnt="0"/>
      <dgm:spPr/>
    </dgm:pt>
    <dgm:pt modelId="{ACAA24BC-BF25-4087-9DD7-8FD7C61B11A1}" type="pres">
      <dgm:prSet presAssocID="{FA0330D2-41F9-4400-9CA0-FB23302314D0}" presName="rootText" presStyleLbl="node2" presStyleIdx="2" presStyleCnt="3" custLinFactNeighborX="365">
        <dgm:presLayoutVars>
          <dgm:chPref val="3"/>
        </dgm:presLayoutVars>
      </dgm:prSet>
      <dgm:spPr/>
    </dgm:pt>
    <dgm:pt modelId="{3F3C8D3E-1266-4C3A-9645-89A159FC4292}" type="pres">
      <dgm:prSet presAssocID="{FA0330D2-41F9-4400-9CA0-FB23302314D0}" presName="rootConnector" presStyleLbl="node2" presStyleIdx="2" presStyleCnt="3"/>
      <dgm:spPr/>
    </dgm:pt>
    <dgm:pt modelId="{86C2253B-3173-4D8A-8DAB-EA50EDC7C0D6}" type="pres">
      <dgm:prSet presAssocID="{FA0330D2-41F9-4400-9CA0-FB23302314D0}" presName="hierChild4" presStyleCnt="0"/>
      <dgm:spPr/>
    </dgm:pt>
    <dgm:pt modelId="{BEAEC94A-A244-4672-A4CC-17D08C8BF838}" type="pres">
      <dgm:prSet presAssocID="{7D083101-3B2C-49E3-ADC9-519CC6625F66}" presName="Name37" presStyleLbl="parChTrans1D3" presStyleIdx="4" presStyleCnt="6"/>
      <dgm:spPr/>
    </dgm:pt>
    <dgm:pt modelId="{F3748E2A-C7C4-4F6B-A0AF-EC2440A86EA3}" type="pres">
      <dgm:prSet presAssocID="{9E3568B3-F40E-4D05-9AE9-4F018E04D004}" presName="hierRoot2" presStyleCnt="0">
        <dgm:presLayoutVars>
          <dgm:hierBranch val="init"/>
        </dgm:presLayoutVars>
      </dgm:prSet>
      <dgm:spPr/>
    </dgm:pt>
    <dgm:pt modelId="{AD8C8933-3885-4B0E-B905-3422547C7942}" type="pres">
      <dgm:prSet presAssocID="{9E3568B3-F40E-4D05-9AE9-4F018E04D004}" presName="rootComposite" presStyleCnt="0"/>
      <dgm:spPr/>
    </dgm:pt>
    <dgm:pt modelId="{FF4326E5-F965-430C-A856-AC096BF38B1E}" type="pres">
      <dgm:prSet presAssocID="{9E3568B3-F40E-4D05-9AE9-4F018E04D004}" presName="rootText" presStyleLbl="node3" presStyleIdx="4" presStyleCnt="6" custLinFactNeighborY="97861">
        <dgm:presLayoutVars>
          <dgm:chPref val="3"/>
        </dgm:presLayoutVars>
      </dgm:prSet>
      <dgm:spPr/>
    </dgm:pt>
    <dgm:pt modelId="{BC3B4DA8-E155-4856-B2D6-6E355FF3D498}" type="pres">
      <dgm:prSet presAssocID="{9E3568B3-F40E-4D05-9AE9-4F018E04D004}" presName="rootConnector" presStyleLbl="node3" presStyleIdx="4" presStyleCnt="6"/>
      <dgm:spPr/>
    </dgm:pt>
    <dgm:pt modelId="{A3F91E2B-ED3C-4B8F-8A06-BEF6F91C9DA8}" type="pres">
      <dgm:prSet presAssocID="{9E3568B3-F40E-4D05-9AE9-4F018E04D004}" presName="hierChild4" presStyleCnt="0"/>
      <dgm:spPr/>
    </dgm:pt>
    <dgm:pt modelId="{9A04FFC2-CC46-4CFE-A929-7D84771C55F2}" type="pres">
      <dgm:prSet presAssocID="{9E3568B3-F40E-4D05-9AE9-4F018E04D004}" presName="hierChild5" presStyleCnt="0"/>
      <dgm:spPr/>
    </dgm:pt>
    <dgm:pt modelId="{75137DFF-CBA8-4D8A-9DAB-BE8AB8014FDF}" type="pres">
      <dgm:prSet presAssocID="{0FBBAD6F-64E9-4A31-846F-90E74B19329E}" presName="Name37" presStyleLbl="parChTrans1D3" presStyleIdx="5" presStyleCnt="6"/>
      <dgm:spPr/>
    </dgm:pt>
    <dgm:pt modelId="{22CF5A3A-F9F4-4443-8332-47D76467E5A9}" type="pres">
      <dgm:prSet presAssocID="{E60A5158-26B6-4ACA-AF42-9050208B0FA8}" presName="hierRoot2" presStyleCnt="0">
        <dgm:presLayoutVars>
          <dgm:hierBranch val="init"/>
        </dgm:presLayoutVars>
      </dgm:prSet>
      <dgm:spPr/>
    </dgm:pt>
    <dgm:pt modelId="{DFBFDB69-AEFC-413A-BD16-A857ACA5D925}" type="pres">
      <dgm:prSet presAssocID="{E60A5158-26B6-4ACA-AF42-9050208B0FA8}" presName="rootComposite" presStyleCnt="0"/>
      <dgm:spPr/>
    </dgm:pt>
    <dgm:pt modelId="{ECFAA1A4-2FEA-476D-8A5B-AE9935035EB9}" type="pres">
      <dgm:prSet presAssocID="{E60A5158-26B6-4ACA-AF42-9050208B0FA8}" presName="rootText" presStyleLbl="node3" presStyleIdx="5" presStyleCnt="6" custLinFactY="-64020" custLinFactNeighborX="-7581" custLinFactNeighborY="-100000">
        <dgm:presLayoutVars>
          <dgm:chPref val="3"/>
        </dgm:presLayoutVars>
      </dgm:prSet>
      <dgm:spPr/>
    </dgm:pt>
    <dgm:pt modelId="{00F37AFB-BA76-4FD9-8537-4005F12E324C}" type="pres">
      <dgm:prSet presAssocID="{E60A5158-26B6-4ACA-AF42-9050208B0FA8}" presName="rootConnector" presStyleLbl="node3" presStyleIdx="5" presStyleCnt="6"/>
      <dgm:spPr/>
    </dgm:pt>
    <dgm:pt modelId="{73AD811B-C5F1-43B7-A2F7-AB015AA40CA1}" type="pres">
      <dgm:prSet presAssocID="{E60A5158-26B6-4ACA-AF42-9050208B0FA8}" presName="hierChild4" presStyleCnt="0"/>
      <dgm:spPr/>
    </dgm:pt>
    <dgm:pt modelId="{C3B2B6D3-2C15-429D-AEFA-2F9223F2C259}" type="pres">
      <dgm:prSet presAssocID="{E60A5158-26B6-4ACA-AF42-9050208B0FA8}" presName="hierChild5" presStyleCnt="0"/>
      <dgm:spPr/>
    </dgm:pt>
    <dgm:pt modelId="{EF844E22-1B03-4B08-8A53-C199857C06A6}" type="pres">
      <dgm:prSet presAssocID="{FA0330D2-41F9-4400-9CA0-FB23302314D0}" presName="hierChild5" presStyleCnt="0"/>
      <dgm:spPr/>
    </dgm:pt>
    <dgm:pt modelId="{FA5A8106-4137-4126-9B29-1C44752E512D}" type="pres">
      <dgm:prSet presAssocID="{44302631-0F7F-4013-AD4F-8AE38562E687}" presName="hierChild3" presStyleCnt="0"/>
      <dgm:spPr/>
    </dgm:pt>
  </dgm:ptLst>
  <dgm:cxnLst>
    <dgm:cxn modelId="{FD81C801-A45C-4713-8348-2C0AD163BD45}" srcId="{FA0330D2-41F9-4400-9CA0-FB23302314D0}" destId="{9E3568B3-F40E-4D05-9AE9-4F018E04D004}" srcOrd="0" destOrd="0" parTransId="{7D083101-3B2C-49E3-ADC9-519CC6625F66}" sibTransId="{FA4F8132-CCB3-4DFA-A593-B4DE861E3E31}"/>
    <dgm:cxn modelId="{A758D402-A94F-42B2-AA52-65FC67D62802}" type="presOf" srcId="{8148394A-FAD2-4AC2-A369-96EA4D5922F8}" destId="{CE3D813A-2812-479F-BF3B-ED0A515581F6}" srcOrd="0" destOrd="0" presId="urn:microsoft.com/office/officeart/2005/8/layout/orgChart1"/>
    <dgm:cxn modelId="{3E84A906-C037-49CD-AC4A-FF573559E161}" type="presOf" srcId="{44302631-0F7F-4013-AD4F-8AE38562E687}" destId="{0017ECB2-E1AD-4355-AF1B-631F715E961D}" srcOrd="1" destOrd="0" presId="urn:microsoft.com/office/officeart/2005/8/layout/orgChart1"/>
    <dgm:cxn modelId="{B335BE0C-7B00-47E5-AEAC-467713FBCEAB}" type="presOf" srcId="{2B9B1747-4477-4E37-84DA-47E24DF5302D}" destId="{82123AD2-8CFD-43AE-A5BB-A58D03E3B56B}" srcOrd="0" destOrd="0" presId="urn:microsoft.com/office/officeart/2005/8/layout/orgChart1"/>
    <dgm:cxn modelId="{611A5513-A73A-4908-A18B-D355235829BD}" type="presOf" srcId="{DA6423FA-8C72-4236-AC00-8AFCBAEB8D02}" destId="{460C10F1-8940-4F5B-9DED-C149B195948A}" srcOrd="0" destOrd="0" presId="urn:microsoft.com/office/officeart/2005/8/layout/orgChart1"/>
    <dgm:cxn modelId="{84606014-658C-4856-93C6-09468BC7BE5D}" type="presOf" srcId="{9E3568B3-F40E-4D05-9AE9-4F018E04D004}" destId="{BC3B4DA8-E155-4856-B2D6-6E355FF3D498}" srcOrd="1" destOrd="0" presId="urn:microsoft.com/office/officeart/2005/8/layout/orgChart1"/>
    <dgm:cxn modelId="{D954751A-6B94-4FB0-AAA7-4CB00872C5FE}" type="presOf" srcId="{94573296-7525-4DE3-B129-391D82B155F4}" destId="{7236060B-0B92-4B7A-A89C-C26D8E1DF5A7}" srcOrd="0" destOrd="0" presId="urn:microsoft.com/office/officeart/2005/8/layout/orgChart1"/>
    <dgm:cxn modelId="{1018BC1C-B8FC-408B-82A0-6235D45239B4}" type="presOf" srcId="{FA0330D2-41F9-4400-9CA0-FB23302314D0}" destId="{3F3C8D3E-1266-4C3A-9645-89A159FC4292}" srcOrd="1" destOrd="0" presId="urn:microsoft.com/office/officeart/2005/8/layout/orgChart1"/>
    <dgm:cxn modelId="{9A1F6727-8FF6-4C94-B095-F212E105F4BF}" srcId="{44302631-0F7F-4013-AD4F-8AE38562E687}" destId="{8148394A-FAD2-4AC2-A369-96EA4D5922F8}" srcOrd="0" destOrd="0" parTransId="{B73E492C-CD31-4C55-8A3A-6190C5645FE7}" sibTransId="{50A5C08E-08C8-4426-8014-3ACDA0F789C0}"/>
    <dgm:cxn modelId="{E6D4442D-B5DB-45B3-94E0-9193F4B63E65}" type="presOf" srcId="{BA09AD9E-1660-405A-BBFE-8D2EEB31F6F4}" destId="{1F0021D8-B098-43EF-B7A3-2774B422818F}" srcOrd="0" destOrd="0" presId="urn:microsoft.com/office/officeart/2005/8/layout/orgChart1"/>
    <dgm:cxn modelId="{C6104B32-84E4-4AA8-B7CE-BE4F700214D6}" type="presOf" srcId="{08EC84E1-5224-4016-8F3E-6894FF0541AA}" destId="{1A47764E-3922-41E1-B509-C0C4505D6FF6}" srcOrd="0" destOrd="0" presId="urn:microsoft.com/office/officeart/2005/8/layout/orgChart1"/>
    <dgm:cxn modelId="{984AED5D-DF7C-4B6D-968E-BB40AF469AE3}" srcId="{FA0330D2-41F9-4400-9CA0-FB23302314D0}" destId="{E60A5158-26B6-4ACA-AF42-9050208B0FA8}" srcOrd="1" destOrd="0" parTransId="{0FBBAD6F-64E9-4A31-846F-90E74B19329E}" sibTransId="{C59C1164-4CDF-4EC7-A30C-2440BC70ACB3}"/>
    <dgm:cxn modelId="{F3C01460-2863-49E2-B3EE-8B5D158B15DC}" type="presOf" srcId="{F2ABC07B-3CA8-4675-81F9-4639F58626A5}" destId="{4CC5E002-8D42-48D3-B18C-E67D274FED83}" srcOrd="0" destOrd="0" presId="urn:microsoft.com/office/officeart/2005/8/layout/orgChart1"/>
    <dgm:cxn modelId="{A174D560-E9FD-4AB0-83D4-AD893C718850}" srcId="{44302631-0F7F-4013-AD4F-8AE38562E687}" destId="{08EC84E1-5224-4016-8F3E-6894FF0541AA}" srcOrd="1" destOrd="0" parTransId="{BA09AD9E-1660-405A-BBFE-8D2EEB31F6F4}" sibTransId="{7DCF3621-C448-4234-9A05-0129AAB4C2F5}"/>
    <dgm:cxn modelId="{EFA76766-2DDA-4312-A464-32DE4D76523D}" type="presOf" srcId="{2C4EEBFA-42FF-4234-BC0F-FB56149B463E}" destId="{708D2CCE-32AB-4A60-A0D7-0CAFB0C27BA9}" srcOrd="0" destOrd="0" presId="urn:microsoft.com/office/officeart/2005/8/layout/orgChart1"/>
    <dgm:cxn modelId="{5E343D6E-0025-4D32-AFEB-2D1143296958}" type="presOf" srcId="{44302631-0F7F-4013-AD4F-8AE38562E687}" destId="{62B6D23E-6104-4F56-A473-F7E9003768D7}" srcOrd="0" destOrd="0" presId="urn:microsoft.com/office/officeart/2005/8/layout/orgChart1"/>
    <dgm:cxn modelId="{7FCE5C70-D46C-4992-ACD9-5C702B8A1187}" type="presOf" srcId="{83F71060-F600-4EED-944F-C04496A74C95}" destId="{D348707F-0FE2-40E4-9B81-A68F914E958F}" srcOrd="0" destOrd="0" presId="urn:microsoft.com/office/officeart/2005/8/layout/orgChart1"/>
    <dgm:cxn modelId="{A19C0F75-6D27-4C25-A273-6602B3172FF9}" type="presOf" srcId="{1DCEBEC8-D3D3-4F4C-9F40-A34F865CC9BD}" destId="{26F8380D-A8B1-46EA-A85F-29B8F031059F}" srcOrd="1" destOrd="0" presId="urn:microsoft.com/office/officeart/2005/8/layout/orgChart1"/>
    <dgm:cxn modelId="{C1F02376-E276-45E9-BEEB-C9C70A430D4B}" type="presOf" srcId="{2C4EEBFA-42FF-4234-BC0F-FB56149B463E}" destId="{7B347710-57B3-446F-BF0E-B5D7B394EAC0}" srcOrd="1" destOrd="0" presId="urn:microsoft.com/office/officeart/2005/8/layout/orgChart1"/>
    <dgm:cxn modelId="{534D0E78-B505-4F7B-B311-1DA8BC727F9C}" type="presOf" srcId="{DA6423FA-8C72-4236-AC00-8AFCBAEB8D02}" destId="{0148ECC6-7F6F-4A79-A7D7-4A3FA6DFEEA4}" srcOrd="1" destOrd="0" presId="urn:microsoft.com/office/officeart/2005/8/layout/orgChart1"/>
    <dgm:cxn modelId="{5A977F7E-F332-4491-87D0-994005D8BF7A}" type="presOf" srcId="{87188361-C610-4484-9051-FC55C98DB02F}" destId="{6CDF040B-0CFC-435B-B31D-7156D2A756C0}" srcOrd="0" destOrd="0" presId="urn:microsoft.com/office/officeart/2005/8/layout/orgChart1"/>
    <dgm:cxn modelId="{52B28988-56B8-4FAB-8544-DB1890E40DAC}" srcId="{08EC84E1-5224-4016-8F3E-6894FF0541AA}" destId="{94573296-7525-4DE3-B129-391D82B155F4}" srcOrd="0" destOrd="0" parTransId="{1D12BC49-A908-428C-87C1-BAC8C9B6E07E}" sibTransId="{696D4822-E9C1-4A42-B4C8-53B59DE47598}"/>
    <dgm:cxn modelId="{2BDD1E8B-C5D1-4FFA-86ED-6E0E2424CE6F}" type="presOf" srcId="{08EC84E1-5224-4016-8F3E-6894FF0541AA}" destId="{96B2E79A-3702-4228-A921-79425ECA5DF7}" srcOrd="1" destOrd="0" presId="urn:microsoft.com/office/officeart/2005/8/layout/orgChart1"/>
    <dgm:cxn modelId="{8060528B-288F-4EAC-97D6-A26035132C5B}" srcId="{8148394A-FAD2-4AC2-A369-96EA4D5922F8}" destId="{2C4EEBFA-42FF-4234-BC0F-FB56149B463E}" srcOrd="1" destOrd="0" parTransId="{87188361-C610-4484-9051-FC55C98DB02F}" sibTransId="{49F119D2-32E1-45F2-BC0C-8DB9F941F6A1}"/>
    <dgm:cxn modelId="{A941688D-E242-4352-8771-621D1006B40A}" type="presOf" srcId="{94573296-7525-4DE3-B129-391D82B155F4}" destId="{76F05528-8036-4A5E-B7AD-06A368F382E1}" srcOrd="1" destOrd="0" presId="urn:microsoft.com/office/officeart/2005/8/layout/orgChart1"/>
    <dgm:cxn modelId="{745BE88D-3ECE-49CB-B141-6339477E287A}" type="presOf" srcId="{FA0330D2-41F9-4400-9CA0-FB23302314D0}" destId="{ACAA24BC-BF25-4087-9DD7-8FD7C61B11A1}" srcOrd="0" destOrd="0" presId="urn:microsoft.com/office/officeart/2005/8/layout/orgChart1"/>
    <dgm:cxn modelId="{BAE431A1-81A9-48FE-9929-F8078BFCAF72}" type="presOf" srcId="{E60A5158-26B6-4ACA-AF42-9050208B0FA8}" destId="{ECFAA1A4-2FEA-476D-8A5B-AE9935035EB9}" srcOrd="0" destOrd="0" presId="urn:microsoft.com/office/officeart/2005/8/layout/orgChart1"/>
    <dgm:cxn modelId="{ED85AFB1-1147-40AB-9740-E005C886E887}" type="presOf" srcId="{82C7CB3A-6E13-4C12-B167-8E0964423D79}" destId="{0637E180-8417-4AFF-B3C4-65AA91C70290}" srcOrd="0" destOrd="0" presId="urn:microsoft.com/office/officeart/2005/8/layout/orgChart1"/>
    <dgm:cxn modelId="{0D087EBD-7675-4C29-8D0C-C4E39E339DA5}" type="presOf" srcId="{E60A5158-26B6-4ACA-AF42-9050208B0FA8}" destId="{00F37AFB-BA76-4FD9-8537-4005F12E324C}" srcOrd="1" destOrd="0" presId="urn:microsoft.com/office/officeart/2005/8/layout/orgChart1"/>
    <dgm:cxn modelId="{3ED333C4-B1BE-4CAE-88FA-7EAD6EF69F2B}" type="presOf" srcId="{B73E492C-CD31-4C55-8A3A-6190C5645FE7}" destId="{2D0F18D2-AC00-4B0C-8EA2-305E52F31D37}" srcOrd="0" destOrd="0" presId="urn:microsoft.com/office/officeart/2005/8/layout/orgChart1"/>
    <dgm:cxn modelId="{AA485ED0-F325-4600-BAFC-E288749E1BBD}" type="presOf" srcId="{1DCEBEC8-D3D3-4F4C-9F40-A34F865CC9BD}" destId="{758CCC36-9A6F-449F-9857-769CEF113E97}" srcOrd="0" destOrd="0" presId="urn:microsoft.com/office/officeart/2005/8/layout/orgChart1"/>
    <dgm:cxn modelId="{4671B7D0-2935-41F9-AF87-2A3DDC80C473}" srcId="{8148394A-FAD2-4AC2-A369-96EA4D5922F8}" destId="{DA6423FA-8C72-4236-AC00-8AFCBAEB8D02}" srcOrd="0" destOrd="0" parTransId="{2B9B1747-4477-4E37-84DA-47E24DF5302D}" sibTransId="{EBC34CD0-3B20-412B-901E-D7C7981673DD}"/>
    <dgm:cxn modelId="{92B359D4-F9E9-41C6-956B-0365749D4671}" type="presOf" srcId="{9E3568B3-F40E-4D05-9AE9-4F018E04D004}" destId="{FF4326E5-F965-430C-A856-AC096BF38B1E}" srcOrd="0" destOrd="0" presId="urn:microsoft.com/office/officeart/2005/8/layout/orgChart1"/>
    <dgm:cxn modelId="{7AAF79DC-7B4A-4388-A8B2-9E450267924F}" type="presOf" srcId="{7D083101-3B2C-49E3-ADC9-519CC6625F66}" destId="{BEAEC94A-A244-4672-A4CC-17D08C8BF838}" srcOrd="0" destOrd="0" presId="urn:microsoft.com/office/officeart/2005/8/layout/orgChart1"/>
    <dgm:cxn modelId="{C81C5EDE-8522-4F7E-BC07-185354C558BC}" srcId="{82C7CB3A-6E13-4C12-B167-8E0964423D79}" destId="{44302631-0F7F-4013-AD4F-8AE38562E687}" srcOrd="0" destOrd="0" parTransId="{D80A7039-8191-4A17-A2B4-D5116BE87FE7}" sibTransId="{70341C7F-B048-4C80-BCCC-616FB5E8E633}"/>
    <dgm:cxn modelId="{CFB48DDE-0CAC-4198-9A71-4977D055940A}" type="presOf" srcId="{0FBBAD6F-64E9-4A31-846F-90E74B19329E}" destId="{75137DFF-CBA8-4D8A-9DAB-BE8AB8014FDF}" srcOrd="0" destOrd="0" presId="urn:microsoft.com/office/officeart/2005/8/layout/orgChart1"/>
    <dgm:cxn modelId="{6F1D97E3-7F4E-4292-A977-D07BAE6E73D7}" type="presOf" srcId="{8148394A-FAD2-4AC2-A369-96EA4D5922F8}" destId="{79202C81-18ED-4C87-8E49-B4DBEB2EBCEE}" srcOrd="1" destOrd="0" presId="urn:microsoft.com/office/officeart/2005/8/layout/orgChart1"/>
    <dgm:cxn modelId="{23EE85EC-F45F-4C97-AED3-04D42B4D6001}" type="presOf" srcId="{1D12BC49-A908-428C-87C1-BAC8C9B6E07E}" destId="{F20A7A39-635A-45C7-B17D-D075D4E3BA7F}" srcOrd="0" destOrd="0" presId="urn:microsoft.com/office/officeart/2005/8/layout/orgChart1"/>
    <dgm:cxn modelId="{A5433CF0-B3E4-400F-A9CF-40F206856BA6}" srcId="{08EC84E1-5224-4016-8F3E-6894FF0541AA}" destId="{1DCEBEC8-D3D3-4F4C-9F40-A34F865CC9BD}" srcOrd="1" destOrd="0" parTransId="{F2ABC07B-3CA8-4675-81F9-4639F58626A5}" sibTransId="{D905D740-D0AB-42C0-BD7E-3C3987809E86}"/>
    <dgm:cxn modelId="{15F011FE-4AF2-4322-B156-5C263A8D82C7}" srcId="{44302631-0F7F-4013-AD4F-8AE38562E687}" destId="{FA0330D2-41F9-4400-9CA0-FB23302314D0}" srcOrd="2" destOrd="0" parTransId="{83F71060-F600-4EED-944F-C04496A74C95}" sibTransId="{203C0EE5-01B9-471E-9BE4-BF1391176EBE}"/>
    <dgm:cxn modelId="{FFC88D34-810C-47A5-9438-AAE53C8C327F}" type="presParOf" srcId="{0637E180-8417-4AFF-B3C4-65AA91C70290}" destId="{3FBFD427-2457-4134-BFB7-82536D304977}" srcOrd="0" destOrd="0" presId="urn:microsoft.com/office/officeart/2005/8/layout/orgChart1"/>
    <dgm:cxn modelId="{7F6170C2-79DF-44E2-A01B-F32904FB3C92}" type="presParOf" srcId="{3FBFD427-2457-4134-BFB7-82536D304977}" destId="{1456EF31-43F6-4E8E-8C54-043BF05297C1}" srcOrd="0" destOrd="0" presId="urn:microsoft.com/office/officeart/2005/8/layout/orgChart1"/>
    <dgm:cxn modelId="{6188FC1A-40EC-4654-9F7C-66DD2010B573}" type="presParOf" srcId="{1456EF31-43F6-4E8E-8C54-043BF05297C1}" destId="{62B6D23E-6104-4F56-A473-F7E9003768D7}" srcOrd="0" destOrd="0" presId="urn:microsoft.com/office/officeart/2005/8/layout/orgChart1"/>
    <dgm:cxn modelId="{C7FB4B90-EBC2-45D8-B1A2-81A0F2C56A74}" type="presParOf" srcId="{1456EF31-43F6-4E8E-8C54-043BF05297C1}" destId="{0017ECB2-E1AD-4355-AF1B-631F715E961D}" srcOrd="1" destOrd="0" presId="urn:microsoft.com/office/officeart/2005/8/layout/orgChart1"/>
    <dgm:cxn modelId="{12F5F920-9F03-4A12-949E-563DAAF06C75}" type="presParOf" srcId="{3FBFD427-2457-4134-BFB7-82536D304977}" destId="{E948C6D4-A164-4236-A0BA-FF521BFE133D}" srcOrd="1" destOrd="0" presId="urn:microsoft.com/office/officeart/2005/8/layout/orgChart1"/>
    <dgm:cxn modelId="{D9EB41FE-114A-40A0-9FF4-7BD106672C30}" type="presParOf" srcId="{E948C6D4-A164-4236-A0BA-FF521BFE133D}" destId="{2D0F18D2-AC00-4B0C-8EA2-305E52F31D37}" srcOrd="0" destOrd="0" presId="urn:microsoft.com/office/officeart/2005/8/layout/orgChart1"/>
    <dgm:cxn modelId="{7711530C-7551-46A9-8849-31FFC2851308}" type="presParOf" srcId="{E948C6D4-A164-4236-A0BA-FF521BFE133D}" destId="{58DCC5FB-1AA6-4E8E-991C-ADC1294C1320}" srcOrd="1" destOrd="0" presId="urn:microsoft.com/office/officeart/2005/8/layout/orgChart1"/>
    <dgm:cxn modelId="{B2158045-69ED-44C6-A50E-3629BE9DBEFA}" type="presParOf" srcId="{58DCC5FB-1AA6-4E8E-991C-ADC1294C1320}" destId="{73064195-7C4C-423F-9543-4E7C1F333261}" srcOrd="0" destOrd="0" presId="urn:microsoft.com/office/officeart/2005/8/layout/orgChart1"/>
    <dgm:cxn modelId="{45E308F6-A622-4A86-83DA-AB58A3D1A031}" type="presParOf" srcId="{73064195-7C4C-423F-9543-4E7C1F333261}" destId="{CE3D813A-2812-479F-BF3B-ED0A515581F6}" srcOrd="0" destOrd="0" presId="urn:microsoft.com/office/officeart/2005/8/layout/orgChart1"/>
    <dgm:cxn modelId="{6ED1359F-8FCD-4C4C-A2C3-E5E2BFFF7ED2}" type="presParOf" srcId="{73064195-7C4C-423F-9543-4E7C1F333261}" destId="{79202C81-18ED-4C87-8E49-B4DBEB2EBCEE}" srcOrd="1" destOrd="0" presId="urn:microsoft.com/office/officeart/2005/8/layout/orgChart1"/>
    <dgm:cxn modelId="{AC8E2974-AA1C-4801-AE3A-0C046814CCB1}" type="presParOf" srcId="{58DCC5FB-1AA6-4E8E-991C-ADC1294C1320}" destId="{CF7AAA1E-804C-4227-9E69-A1B3040710A2}" srcOrd="1" destOrd="0" presId="urn:microsoft.com/office/officeart/2005/8/layout/orgChart1"/>
    <dgm:cxn modelId="{A02B73CE-7CC4-4A03-90A0-18235C54E8E5}" type="presParOf" srcId="{CF7AAA1E-804C-4227-9E69-A1B3040710A2}" destId="{82123AD2-8CFD-43AE-A5BB-A58D03E3B56B}" srcOrd="0" destOrd="0" presId="urn:microsoft.com/office/officeart/2005/8/layout/orgChart1"/>
    <dgm:cxn modelId="{EBEF7F98-C098-4144-AD9B-EE22718C4C28}" type="presParOf" srcId="{CF7AAA1E-804C-4227-9E69-A1B3040710A2}" destId="{78B3082C-EA80-401A-80DA-D2FD80A34D9E}" srcOrd="1" destOrd="0" presId="urn:microsoft.com/office/officeart/2005/8/layout/orgChart1"/>
    <dgm:cxn modelId="{9AE0DD9A-6501-4697-93E1-017D0CBF2374}" type="presParOf" srcId="{78B3082C-EA80-401A-80DA-D2FD80A34D9E}" destId="{47063DA6-F079-4217-99BD-71094E0B1692}" srcOrd="0" destOrd="0" presId="urn:microsoft.com/office/officeart/2005/8/layout/orgChart1"/>
    <dgm:cxn modelId="{F7221B04-C0DF-4831-83C6-62B038D56EEB}" type="presParOf" srcId="{47063DA6-F079-4217-99BD-71094E0B1692}" destId="{460C10F1-8940-4F5B-9DED-C149B195948A}" srcOrd="0" destOrd="0" presId="urn:microsoft.com/office/officeart/2005/8/layout/orgChart1"/>
    <dgm:cxn modelId="{726C2630-71B2-4633-B440-452B68CB3D92}" type="presParOf" srcId="{47063DA6-F079-4217-99BD-71094E0B1692}" destId="{0148ECC6-7F6F-4A79-A7D7-4A3FA6DFEEA4}" srcOrd="1" destOrd="0" presId="urn:microsoft.com/office/officeart/2005/8/layout/orgChart1"/>
    <dgm:cxn modelId="{1705D3D6-E0AF-4C43-8DA1-08EFE3FB7D56}" type="presParOf" srcId="{78B3082C-EA80-401A-80DA-D2FD80A34D9E}" destId="{C6B496F8-ADFA-4B0D-856F-A1D58D4764A9}" srcOrd="1" destOrd="0" presId="urn:microsoft.com/office/officeart/2005/8/layout/orgChart1"/>
    <dgm:cxn modelId="{D7281C4D-39B1-4F5B-957D-8B0D8E59449E}" type="presParOf" srcId="{78B3082C-EA80-401A-80DA-D2FD80A34D9E}" destId="{B47EA216-1ADE-47E1-8E6B-086453EE23FD}" srcOrd="2" destOrd="0" presId="urn:microsoft.com/office/officeart/2005/8/layout/orgChart1"/>
    <dgm:cxn modelId="{D130ADC9-62D4-4326-8C0D-B69A8FDAC63A}" type="presParOf" srcId="{CF7AAA1E-804C-4227-9E69-A1B3040710A2}" destId="{6CDF040B-0CFC-435B-B31D-7156D2A756C0}" srcOrd="2" destOrd="0" presId="urn:microsoft.com/office/officeart/2005/8/layout/orgChart1"/>
    <dgm:cxn modelId="{F529C4F8-36FB-4BCD-9F2E-73E9B0543F0F}" type="presParOf" srcId="{CF7AAA1E-804C-4227-9E69-A1B3040710A2}" destId="{7F0EE9F8-AD7D-4DB5-9115-7BE7DBB4085E}" srcOrd="3" destOrd="0" presId="urn:microsoft.com/office/officeart/2005/8/layout/orgChart1"/>
    <dgm:cxn modelId="{7B6754DB-0A8E-41B5-88BA-237E6525EE17}" type="presParOf" srcId="{7F0EE9F8-AD7D-4DB5-9115-7BE7DBB4085E}" destId="{2272F265-AF46-4F21-9CCE-8581C5DC8ED1}" srcOrd="0" destOrd="0" presId="urn:microsoft.com/office/officeart/2005/8/layout/orgChart1"/>
    <dgm:cxn modelId="{FBCC6FD2-7170-48B4-94B3-3AE2C2E4E20E}" type="presParOf" srcId="{2272F265-AF46-4F21-9CCE-8581C5DC8ED1}" destId="{708D2CCE-32AB-4A60-A0D7-0CAFB0C27BA9}" srcOrd="0" destOrd="0" presId="urn:microsoft.com/office/officeart/2005/8/layout/orgChart1"/>
    <dgm:cxn modelId="{5C390E28-496D-4C4A-A132-9308B4E80584}" type="presParOf" srcId="{2272F265-AF46-4F21-9CCE-8581C5DC8ED1}" destId="{7B347710-57B3-446F-BF0E-B5D7B394EAC0}" srcOrd="1" destOrd="0" presId="urn:microsoft.com/office/officeart/2005/8/layout/orgChart1"/>
    <dgm:cxn modelId="{8442EC6B-1E11-47F8-B485-42429EA45B2F}" type="presParOf" srcId="{7F0EE9F8-AD7D-4DB5-9115-7BE7DBB4085E}" destId="{AC7BF139-F4C0-4FA3-9297-01880DE190E1}" srcOrd="1" destOrd="0" presId="urn:microsoft.com/office/officeart/2005/8/layout/orgChart1"/>
    <dgm:cxn modelId="{0718DDF4-1FB9-4BE1-B74C-8A2ABAAF565B}" type="presParOf" srcId="{7F0EE9F8-AD7D-4DB5-9115-7BE7DBB4085E}" destId="{32B32B9D-1E2A-4B59-A324-D3AE22B414D7}" srcOrd="2" destOrd="0" presId="urn:microsoft.com/office/officeart/2005/8/layout/orgChart1"/>
    <dgm:cxn modelId="{A479F29A-32AC-406A-840B-40153626FCBE}" type="presParOf" srcId="{58DCC5FB-1AA6-4E8E-991C-ADC1294C1320}" destId="{84DD8998-2559-4292-809A-92EC3B931162}" srcOrd="2" destOrd="0" presId="urn:microsoft.com/office/officeart/2005/8/layout/orgChart1"/>
    <dgm:cxn modelId="{05F12073-2D5D-4593-AFAE-343B67BBA6F6}" type="presParOf" srcId="{E948C6D4-A164-4236-A0BA-FF521BFE133D}" destId="{1F0021D8-B098-43EF-B7A3-2774B422818F}" srcOrd="2" destOrd="0" presId="urn:microsoft.com/office/officeart/2005/8/layout/orgChart1"/>
    <dgm:cxn modelId="{7A05FCD6-A753-49A5-9A3E-C4FF9439704A}" type="presParOf" srcId="{E948C6D4-A164-4236-A0BA-FF521BFE133D}" destId="{C5987B85-70AC-4F35-84E7-C1BA30D99CB4}" srcOrd="3" destOrd="0" presId="urn:microsoft.com/office/officeart/2005/8/layout/orgChart1"/>
    <dgm:cxn modelId="{256F2063-491A-4385-88F9-FCA22AC68AA3}" type="presParOf" srcId="{C5987B85-70AC-4F35-84E7-C1BA30D99CB4}" destId="{B2C96D61-E857-4C51-B934-4A05EE41A46F}" srcOrd="0" destOrd="0" presId="urn:microsoft.com/office/officeart/2005/8/layout/orgChart1"/>
    <dgm:cxn modelId="{7BB4FB86-3332-4097-B393-9DDB68EDD979}" type="presParOf" srcId="{B2C96D61-E857-4C51-B934-4A05EE41A46F}" destId="{1A47764E-3922-41E1-B509-C0C4505D6FF6}" srcOrd="0" destOrd="0" presId="urn:microsoft.com/office/officeart/2005/8/layout/orgChart1"/>
    <dgm:cxn modelId="{585F3F2B-F342-41BB-91AA-7B5869F939F0}" type="presParOf" srcId="{B2C96D61-E857-4C51-B934-4A05EE41A46F}" destId="{96B2E79A-3702-4228-A921-79425ECA5DF7}" srcOrd="1" destOrd="0" presId="urn:microsoft.com/office/officeart/2005/8/layout/orgChart1"/>
    <dgm:cxn modelId="{F6E3540B-08E7-4DE9-A45B-53A03C170800}" type="presParOf" srcId="{C5987B85-70AC-4F35-84E7-C1BA30D99CB4}" destId="{B88BC431-006E-4D95-B197-ED2366B951F9}" srcOrd="1" destOrd="0" presId="urn:microsoft.com/office/officeart/2005/8/layout/orgChart1"/>
    <dgm:cxn modelId="{3E4D5214-EC8C-4D0B-8F54-8EF0FA98CB58}" type="presParOf" srcId="{B88BC431-006E-4D95-B197-ED2366B951F9}" destId="{F20A7A39-635A-45C7-B17D-D075D4E3BA7F}" srcOrd="0" destOrd="0" presId="urn:microsoft.com/office/officeart/2005/8/layout/orgChart1"/>
    <dgm:cxn modelId="{C34B2E02-CC4E-4A49-A28D-FC7F3E8774A8}" type="presParOf" srcId="{B88BC431-006E-4D95-B197-ED2366B951F9}" destId="{5E2CE353-84D0-4581-B344-BD0C4CB07C0F}" srcOrd="1" destOrd="0" presId="urn:microsoft.com/office/officeart/2005/8/layout/orgChart1"/>
    <dgm:cxn modelId="{F37108B1-1E62-4906-A20A-91B382A84785}" type="presParOf" srcId="{5E2CE353-84D0-4581-B344-BD0C4CB07C0F}" destId="{B28092A1-319D-4985-9587-DC0825E8D986}" srcOrd="0" destOrd="0" presId="urn:microsoft.com/office/officeart/2005/8/layout/orgChart1"/>
    <dgm:cxn modelId="{1DF83CB0-AD27-401C-838D-98E9A85DD88F}" type="presParOf" srcId="{B28092A1-319D-4985-9587-DC0825E8D986}" destId="{7236060B-0B92-4B7A-A89C-C26D8E1DF5A7}" srcOrd="0" destOrd="0" presId="urn:microsoft.com/office/officeart/2005/8/layout/orgChart1"/>
    <dgm:cxn modelId="{629C9A81-CD8B-4E4F-BEF5-60762FA06757}" type="presParOf" srcId="{B28092A1-319D-4985-9587-DC0825E8D986}" destId="{76F05528-8036-4A5E-B7AD-06A368F382E1}" srcOrd="1" destOrd="0" presId="urn:microsoft.com/office/officeart/2005/8/layout/orgChart1"/>
    <dgm:cxn modelId="{EF887DF2-E7D3-45FA-84F3-76E0262AA077}" type="presParOf" srcId="{5E2CE353-84D0-4581-B344-BD0C4CB07C0F}" destId="{EF07D365-9F81-40DC-A1C8-693DDEF08A57}" srcOrd="1" destOrd="0" presId="urn:microsoft.com/office/officeart/2005/8/layout/orgChart1"/>
    <dgm:cxn modelId="{8BD5692E-1628-40FC-9A35-7FC8C6F0547E}" type="presParOf" srcId="{5E2CE353-84D0-4581-B344-BD0C4CB07C0F}" destId="{D0BED1C0-04C0-4935-BD54-FE9225EF1997}" srcOrd="2" destOrd="0" presId="urn:microsoft.com/office/officeart/2005/8/layout/orgChart1"/>
    <dgm:cxn modelId="{92B7610C-2F50-4283-A990-0340C90FE19C}" type="presParOf" srcId="{B88BC431-006E-4D95-B197-ED2366B951F9}" destId="{4CC5E002-8D42-48D3-B18C-E67D274FED83}" srcOrd="2" destOrd="0" presId="urn:microsoft.com/office/officeart/2005/8/layout/orgChart1"/>
    <dgm:cxn modelId="{D0BDADBE-B16E-4A37-BF06-CE1EBD131BB7}" type="presParOf" srcId="{B88BC431-006E-4D95-B197-ED2366B951F9}" destId="{ED90BDAC-AB9B-478E-A54C-C98AD1D3F956}" srcOrd="3" destOrd="0" presId="urn:microsoft.com/office/officeart/2005/8/layout/orgChart1"/>
    <dgm:cxn modelId="{9C6D7977-B3D8-4B79-8C5A-2823A4C9A53C}" type="presParOf" srcId="{ED90BDAC-AB9B-478E-A54C-C98AD1D3F956}" destId="{DA98DA12-2604-4711-AE5E-37BE16EEAFCA}" srcOrd="0" destOrd="0" presId="urn:microsoft.com/office/officeart/2005/8/layout/orgChart1"/>
    <dgm:cxn modelId="{41A590D9-D96D-4A9C-8029-C46E53E2D3FC}" type="presParOf" srcId="{DA98DA12-2604-4711-AE5E-37BE16EEAFCA}" destId="{758CCC36-9A6F-449F-9857-769CEF113E97}" srcOrd="0" destOrd="0" presId="urn:microsoft.com/office/officeart/2005/8/layout/orgChart1"/>
    <dgm:cxn modelId="{B7519E52-3269-4A1E-8FCC-6F0CADA1565C}" type="presParOf" srcId="{DA98DA12-2604-4711-AE5E-37BE16EEAFCA}" destId="{26F8380D-A8B1-46EA-A85F-29B8F031059F}" srcOrd="1" destOrd="0" presId="urn:microsoft.com/office/officeart/2005/8/layout/orgChart1"/>
    <dgm:cxn modelId="{5A03B3F9-593E-447D-851E-9F1EE27EA4EA}" type="presParOf" srcId="{ED90BDAC-AB9B-478E-A54C-C98AD1D3F956}" destId="{EA640207-E956-49D9-A84F-5C232EAB61F7}" srcOrd="1" destOrd="0" presId="urn:microsoft.com/office/officeart/2005/8/layout/orgChart1"/>
    <dgm:cxn modelId="{9BC3D426-438D-40F0-92E3-780D11CB6809}" type="presParOf" srcId="{ED90BDAC-AB9B-478E-A54C-C98AD1D3F956}" destId="{BFBD2375-207B-46A0-BC3B-CAE02604149B}" srcOrd="2" destOrd="0" presId="urn:microsoft.com/office/officeart/2005/8/layout/orgChart1"/>
    <dgm:cxn modelId="{469F571A-0D6C-403D-BCB3-B3E41B5803C8}" type="presParOf" srcId="{C5987B85-70AC-4F35-84E7-C1BA30D99CB4}" destId="{210C9166-E14B-487F-AAC4-5079B8613F7D}" srcOrd="2" destOrd="0" presId="urn:microsoft.com/office/officeart/2005/8/layout/orgChart1"/>
    <dgm:cxn modelId="{66022C42-B170-4DA4-9FF8-F4AABFB02388}" type="presParOf" srcId="{E948C6D4-A164-4236-A0BA-FF521BFE133D}" destId="{D348707F-0FE2-40E4-9B81-A68F914E958F}" srcOrd="4" destOrd="0" presId="urn:microsoft.com/office/officeart/2005/8/layout/orgChart1"/>
    <dgm:cxn modelId="{3E1838D4-0279-4E67-9F60-07B92F115BA2}" type="presParOf" srcId="{E948C6D4-A164-4236-A0BA-FF521BFE133D}" destId="{C3FFA63C-0516-497E-AE1D-DA0797CDC2C6}" srcOrd="5" destOrd="0" presId="urn:microsoft.com/office/officeart/2005/8/layout/orgChart1"/>
    <dgm:cxn modelId="{746AF46A-36D1-41C4-8982-EBD19EB84F30}" type="presParOf" srcId="{C3FFA63C-0516-497E-AE1D-DA0797CDC2C6}" destId="{EA111F5C-B4B8-4AD6-B69C-31737448579F}" srcOrd="0" destOrd="0" presId="urn:microsoft.com/office/officeart/2005/8/layout/orgChart1"/>
    <dgm:cxn modelId="{805CEEC3-92F0-4CAF-9F9B-B00E57888F5F}" type="presParOf" srcId="{EA111F5C-B4B8-4AD6-B69C-31737448579F}" destId="{ACAA24BC-BF25-4087-9DD7-8FD7C61B11A1}" srcOrd="0" destOrd="0" presId="urn:microsoft.com/office/officeart/2005/8/layout/orgChart1"/>
    <dgm:cxn modelId="{1AFAF5D5-CEAB-4A36-A7FC-434D173E6C69}" type="presParOf" srcId="{EA111F5C-B4B8-4AD6-B69C-31737448579F}" destId="{3F3C8D3E-1266-4C3A-9645-89A159FC4292}" srcOrd="1" destOrd="0" presId="urn:microsoft.com/office/officeart/2005/8/layout/orgChart1"/>
    <dgm:cxn modelId="{0EABB8E7-6CD1-4786-BC4F-D5E714CE75F4}" type="presParOf" srcId="{C3FFA63C-0516-497E-AE1D-DA0797CDC2C6}" destId="{86C2253B-3173-4D8A-8DAB-EA50EDC7C0D6}" srcOrd="1" destOrd="0" presId="urn:microsoft.com/office/officeart/2005/8/layout/orgChart1"/>
    <dgm:cxn modelId="{C505A2CB-981D-47A0-9605-7F02353D40AF}" type="presParOf" srcId="{86C2253B-3173-4D8A-8DAB-EA50EDC7C0D6}" destId="{BEAEC94A-A244-4672-A4CC-17D08C8BF838}" srcOrd="0" destOrd="0" presId="urn:microsoft.com/office/officeart/2005/8/layout/orgChart1"/>
    <dgm:cxn modelId="{61AB851E-DA5E-4FF3-8EDF-8BA2FAA0ADF7}" type="presParOf" srcId="{86C2253B-3173-4D8A-8DAB-EA50EDC7C0D6}" destId="{F3748E2A-C7C4-4F6B-A0AF-EC2440A86EA3}" srcOrd="1" destOrd="0" presId="urn:microsoft.com/office/officeart/2005/8/layout/orgChart1"/>
    <dgm:cxn modelId="{48BA01D4-A112-4544-9BB5-D6582C60728B}" type="presParOf" srcId="{F3748E2A-C7C4-4F6B-A0AF-EC2440A86EA3}" destId="{AD8C8933-3885-4B0E-B905-3422547C7942}" srcOrd="0" destOrd="0" presId="urn:microsoft.com/office/officeart/2005/8/layout/orgChart1"/>
    <dgm:cxn modelId="{92A1F52D-4EF8-475F-AAF3-123E094D981D}" type="presParOf" srcId="{AD8C8933-3885-4B0E-B905-3422547C7942}" destId="{FF4326E5-F965-430C-A856-AC096BF38B1E}" srcOrd="0" destOrd="0" presId="urn:microsoft.com/office/officeart/2005/8/layout/orgChart1"/>
    <dgm:cxn modelId="{A2894AF0-18E8-4CAE-B768-97BE21CC03A2}" type="presParOf" srcId="{AD8C8933-3885-4B0E-B905-3422547C7942}" destId="{BC3B4DA8-E155-4856-B2D6-6E355FF3D498}" srcOrd="1" destOrd="0" presId="urn:microsoft.com/office/officeart/2005/8/layout/orgChart1"/>
    <dgm:cxn modelId="{D0A4F374-F4C4-4A3F-BE8E-9DA565E90B80}" type="presParOf" srcId="{F3748E2A-C7C4-4F6B-A0AF-EC2440A86EA3}" destId="{A3F91E2B-ED3C-4B8F-8A06-BEF6F91C9DA8}" srcOrd="1" destOrd="0" presId="urn:microsoft.com/office/officeart/2005/8/layout/orgChart1"/>
    <dgm:cxn modelId="{0F3E9897-11A6-4721-983C-FB5D13026671}" type="presParOf" srcId="{F3748E2A-C7C4-4F6B-A0AF-EC2440A86EA3}" destId="{9A04FFC2-CC46-4CFE-A929-7D84771C55F2}" srcOrd="2" destOrd="0" presId="urn:microsoft.com/office/officeart/2005/8/layout/orgChart1"/>
    <dgm:cxn modelId="{6C878130-E0AF-4A93-9233-D49BCF71F7E6}" type="presParOf" srcId="{86C2253B-3173-4D8A-8DAB-EA50EDC7C0D6}" destId="{75137DFF-CBA8-4D8A-9DAB-BE8AB8014FDF}" srcOrd="2" destOrd="0" presId="urn:microsoft.com/office/officeart/2005/8/layout/orgChart1"/>
    <dgm:cxn modelId="{A5E1CACB-73BA-4EB0-BA80-D7972BD10C68}" type="presParOf" srcId="{86C2253B-3173-4D8A-8DAB-EA50EDC7C0D6}" destId="{22CF5A3A-F9F4-4443-8332-47D76467E5A9}" srcOrd="3" destOrd="0" presId="urn:microsoft.com/office/officeart/2005/8/layout/orgChart1"/>
    <dgm:cxn modelId="{D4518F50-F723-426C-B041-2D6E84C5B2DD}" type="presParOf" srcId="{22CF5A3A-F9F4-4443-8332-47D76467E5A9}" destId="{DFBFDB69-AEFC-413A-BD16-A857ACA5D925}" srcOrd="0" destOrd="0" presId="urn:microsoft.com/office/officeart/2005/8/layout/orgChart1"/>
    <dgm:cxn modelId="{695D8E5E-26B0-448D-BAED-5844B487B4A9}" type="presParOf" srcId="{DFBFDB69-AEFC-413A-BD16-A857ACA5D925}" destId="{ECFAA1A4-2FEA-476D-8A5B-AE9935035EB9}" srcOrd="0" destOrd="0" presId="urn:microsoft.com/office/officeart/2005/8/layout/orgChart1"/>
    <dgm:cxn modelId="{0F11BD05-E315-46C1-9DEC-49ABA27E6692}" type="presParOf" srcId="{DFBFDB69-AEFC-413A-BD16-A857ACA5D925}" destId="{00F37AFB-BA76-4FD9-8537-4005F12E324C}" srcOrd="1" destOrd="0" presId="urn:microsoft.com/office/officeart/2005/8/layout/orgChart1"/>
    <dgm:cxn modelId="{2B5D1111-6A86-4C95-896C-FEE1727AB199}" type="presParOf" srcId="{22CF5A3A-F9F4-4443-8332-47D76467E5A9}" destId="{73AD811B-C5F1-43B7-A2F7-AB015AA40CA1}" srcOrd="1" destOrd="0" presId="urn:microsoft.com/office/officeart/2005/8/layout/orgChart1"/>
    <dgm:cxn modelId="{E169B7F3-3D58-4C82-91D7-47EE70CD22FD}" type="presParOf" srcId="{22CF5A3A-F9F4-4443-8332-47D76467E5A9}" destId="{C3B2B6D3-2C15-429D-AEFA-2F9223F2C259}" srcOrd="2" destOrd="0" presId="urn:microsoft.com/office/officeart/2005/8/layout/orgChart1"/>
    <dgm:cxn modelId="{8FF224DB-6027-460D-808D-8F427587A7D2}" type="presParOf" srcId="{C3FFA63C-0516-497E-AE1D-DA0797CDC2C6}" destId="{EF844E22-1B03-4B08-8A53-C199857C06A6}" srcOrd="2" destOrd="0" presId="urn:microsoft.com/office/officeart/2005/8/layout/orgChart1"/>
    <dgm:cxn modelId="{5251F0EB-97C1-4DC9-86E7-756E94483F3E}" type="presParOf" srcId="{3FBFD427-2457-4134-BFB7-82536D304977}" destId="{FA5A8106-4137-4126-9B29-1C44752E512D}"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61BB17B-37EF-459A-B62A-B47CCD4CD46E}"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GB"/>
        </a:p>
      </dgm:t>
    </dgm:pt>
    <dgm:pt modelId="{A0E6EC75-A23A-4F6D-BE61-C4084EFB0801}">
      <dgm:prSet phldrT="[Text]"/>
      <dgm:spPr>
        <a:solidFill>
          <a:schemeClr val="accent5"/>
        </a:solidFill>
      </dgm:spPr>
      <dgm:t>
        <a:bodyPr/>
        <a:lstStyle/>
        <a:p>
          <a:r>
            <a:rPr lang="en-GB">
              <a:latin typeface="Calibri" panose="020F0502020204030204" pitchFamily="34" charset="0"/>
              <a:cs typeface="Calibri" panose="020F0502020204030204" pitchFamily="34" charset="0"/>
            </a:rPr>
            <a:t>Executive Board </a:t>
          </a:r>
        </a:p>
      </dgm:t>
    </dgm:pt>
    <dgm:pt modelId="{763AD12F-286D-49A4-ADF0-4CC3F139D0AC}" type="parTrans" cxnId="{C61E4536-F471-417F-A53B-C10F53605B77}">
      <dgm:prSet/>
      <dgm:spPr/>
      <dgm:t>
        <a:bodyPr/>
        <a:lstStyle/>
        <a:p>
          <a:endParaRPr lang="en-GB">
            <a:latin typeface="Calibri" panose="020F0502020204030204" pitchFamily="34" charset="0"/>
            <a:cs typeface="Calibri" panose="020F0502020204030204" pitchFamily="34" charset="0"/>
          </a:endParaRPr>
        </a:p>
      </dgm:t>
    </dgm:pt>
    <dgm:pt modelId="{FB98945C-F2A8-4397-AA28-011503D4BB27}" type="sibTrans" cxnId="{C61E4536-F471-417F-A53B-C10F53605B77}">
      <dgm:prSet/>
      <dgm:spPr/>
      <dgm:t>
        <a:bodyPr/>
        <a:lstStyle/>
        <a:p>
          <a:endParaRPr lang="en-GB">
            <a:latin typeface="Calibri" panose="020F0502020204030204" pitchFamily="34" charset="0"/>
            <a:cs typeface="Calibri" panose="020F0502020204030204" pitchFamily="34" charset="0"/>
          </a:endParaRPr>
        </a:p>
      </dgm:t>
    </dgm:pt>
    <dgm:pt modelId="{47D167C4-F815-4B4D-867C-638CA23D2EEC}">
      <dgm:prSet phldrT="[Text]"/>
      <dgm:spPr>
        <a:solidFill>
          <a:schemeClr val="accent5"/>
        </a:solidFill>
      </dgm:spPr>
      <dgm:t>
        <a:bodyPr/>
        <a:lstStyle/>
        <a:p>
          <a:r>
            <a:rPr lang="en-GB">
              <a:latin typeface="Calibri" panose="020F0502020204030204" pitchFamily="34" charset="0"/>
              <a:cs typeface="Calibri" panose="020F0502020204030204" pitchFamily="34" charset="0"/>
            </a:rPr>
            <a:t>Services Steering Board</a:t>
          </a:r>
        </a:p>
      </dgm:t>
    </dgm:pt>
    <dgm:pt modelId="{15CCB682-5C18-4801-949C-709D5CDE2FDD}" type="parTrans" cxnId="{2E8973A9-FD5A-46E8-88DA-9476DCD24A27}">
      <dgm:prSet/>
      <dgm:spPr/>
      <dgm:t>
        <a:bodyPr/>
        <a:lstStyle/>
        <a:p>
          <a:endParaRPr lang="en-GB">
            <a:latin typeface="Calibri" panose="020F0502020204030204" pitchFamily="34" charset="0"/>
            <a:cs typeface="Calibri" panose="020F0502020204030204" pitchFamily="34" charset="0"/>
          </a:endParaRPr>
        </a:p>
      </dgm:t>
    </dgm:pt>
    <dgm:pt modelId="{D7C1481F-72BF-43C4-8E73-0D117E16155E}" type="sibTrans" cxnId="{2E8973A9-FD5A-46E8-88DA-9476DCD24A27}">
      <dgm:prSet/>
      <dgm:spPr/>
      <dgm:t>
        <a:bodyPr/>
        <a:lstStyle/>
        <a:p>
          <a:endParaRPr lang="en-GB">
            <a:latin typeface="Calibri" panose="020F0502020204030204" pitchFamily="34" charset="0"/>
            <a:cs typeface="Calibri" panose="020F0502020204030204" pitchFamily="34" charset="0"/>
          </a:endParaRPr>
        </a:p>
      </dgm:t>
    </dgm:pt>
    <dgm:pt modelId="{3915D7BF-2234-4A8D-97F6-7B21033014B0}">
      <dgm:prSet phldrT="[Text]"/>
      <dgm:spPr/>
      <dgm:t>
        <a:bodyPr/>
        <a:lstStyle/>
        <a:p>
          <a:r>
            <a:rPr lang="en-GB">
              <a:latin typeface="Calibri" panose="020F0502020204030204" pitchFamily="34" charset="0"/>
              <a:cs typeface="Calibri" panose="020F0502020204030204" pitchFamily="34" charset="0"/>
            </a:rPr>
            <a:t>Service Management Review Meeting</a:t>
          </a:r>
        </a:p>
      </dgm:t>
    </dgm:pt>
    <dgm:pt modelId="{73A0EEC7-FB50-4C3D-A679-BCE979EF09E4}" type="parTrans" cxnId="{6AF225C5-C070-47FF-871A-8F9789976164}">
      <dgm:prSet/>
      <dgm:spPr/>
      <dgm:t>
        <a:bodyPr/>
        <a:lstStyle/>
        <a:p>
          <a:endParaRPr lang="en-GB">
            <a:latin typeface="Calibri" panose="020F0502020204030204" pitchFamily="34" charset="0"/>
            <a:cs typeface="Calibri" panose="020F0502020204030204" pitchFamily="34" charset="0"/>
          </a:endParaRPr>
        </a:p>
      </dgm:t>
    </dgm:pt>
    <dgm:pt modelId="{825D73FF-96E2-4ADB-8B51-ABF43DEC88A0}" type="sibTrans" cxnId="{6AF225C5-C070-47FF-871A-8F9789976164}">
      <dgm:prSet/>
      <dgm:spPr/>
      <dgm:t>
        <a:bodyPr/>
        <a:lstStyle/>
        <a:p>
          <a:endParaRPr lang="en-GB">
            <a:latin typeface="Calibri" panose="020F0502020204030204" pitchFamily="34" charset="0"/>
            <a:cs typeface="Calibri" panose="020F0502020204030204" pitchFamily="34" charset="0"/>
          </a:endParaRPr>
        </a:p>
      </dgm:t>
    </dgm:pt>
    <dgm:pt modelId="{BDFF344E-500F-40F7-B7D3-7419F2D126E0}">
      <dgm:prSet phldrT="[Text]"/>
      <dgm:spPr>
        <a:solidFill>
          <a:schemeClr val="accent3"/>
        </a:solidFill>
      </dgm:spPr>
      <dgm:t>
        <a:bodyPr/>
        <a:lstStyle/>
        <a:p>
          <a:r>
            <a:rPr lang="en-GB">
              <a:latin typeface="Calibri" panose="020F0502020204030204" pitchFamily="34" charset="0"/>
              <a:cs typeface="Calibri" panose="020F0502020204030204" pitchFamily="34" charset="0"/>
            </a:rPr>
            <a:t>Data Centre Portfolio Board</a:t>
          </a:r>
        </a:p>
      </dgm:t>
    </dgm:pt>
    <dgm:pt modelId="{05B24CDD-F2B6-48A1-A0EF-2DC37F67C031}" type="parTrans" cxnId="{F8DFF20C-B45E-4FCA-92FC-6F4C9234B55C}">
      <dgm:prSet/>
      <dgm:spPr/>
      <dgm:t>
        <a:bodyPr/>
        <a:lstStyle/>
        <a:p>
          <a:endParaRPr lang="en-GB">
            <a:latin typeface="Calibri" panose="020F0502020204030204" pitchFamily="34" charset="0"/>
            <a:cs typeface="Calibri" panose="020F0502020204030204" pitchFamily="34" charset="0"/>
          </a:endParaRPr>
        </a:p>
      </dgm:t>
    </dgm:pt>
    <dgm:pt modelId="{3059DA79-72C2-48F8-9499-7FFB945AABB5}" type="sibTrans" cxnId="{F8DFF20C-B45E-4FCA-92FC-6F4C9234B55C}">
      <dgm:prSet/>
      <dgm:spPr/>
      <dgm:t>
        <a:bodyPr/>
        <a:lstStyle/>
        <a:p>
          <a:endParaRPr lang="en-GB">
            <a:latin typeface="Calibri" panose="020F0502020204030204" pitchFamily="34" charset="0"/>
            <a:cs typeface="Calibri" panose="020F0502020204030204" pitchFamily="34" charset="0"/>
          </a:endParaRPr>
        </a:p>
      </dgm:t>
    </dgm:pt>
    <dgm:pt modelId="{D4819794-6D5D-4C1C-8B79-3A708B873765}">
      <dgm:prSet/>
      <dgm:spPr>
        <a:solidFill>
          <a:schemeClr val="bg1">
            <a:lumMod val="65000"/>
          </a:schemeClr>
        </a:solidFill>
        <a:ln>
          <a:solidFill>
            <a:schemeClr val="bg2">
              <a:lumMod val="75000"/>
            </a:schemeClr>
          </a:solidFill>
        </a:ln>
      </dgm:spPr>
      <dgm:t>
        <a:bodyPr/>
        <a:lstStyle/>
        <a:p>
          <a:r>
            <a:rPr lang="en-GB">
              <a:latin typeface="Calibri" panose="020F0502020204030204" pitchFamily="34" charset="0"/>
              <a:cs typeface="Calibri" panose="020F0502020204030204" pitchFamily="34" charset="0"/>
            </a:rPr>
            <a:t>Project Review Meeting</a:t>
          </a:r>
          <a:endParaRPr lang="en-GB"/>
        </a:p>
      </dgm:t>
    </dgm:pt>
    <dgm:pt modelId="{80FAB914-175C-44BC-AADB-F0D88FD06C36}" type="parTrans" cxnId="{C9FEBCEC-DFBB-4EC3-9D81-64880A144A12}">
      <dgm:prSet/>
      <dgm:spPr/>
      <dgm:t>
        <a:bodyPr/>
        <a:lstStyle/>
        <a:p>
          <a:endParaRPr lang="en-GB"/>
        </a:p>
      </dgm:t>
    </dgm:pt>
    <dgm:pt modelId="{F04B207C-B8D2-48CF-86F2-E42527AED34F}" type="sibTrans" cxnId="{C9FEBCEC-DFBB-4EC3-9D81-64880A144A12}">
      <dgm:prSet/>
      <dgm:spPr/>
      <dgm:t>
        <a:bodyPr/>
        <a:lstStyle/>
        <a:p>
          <a:endParaRPr lang="en-GB"/>
        </a:p>
      </dgm:t>
    </dgm:pt>
    <dgm:pt modelId="{72F7527B-49E5-49E0-BE3C-0F64DEF3260E}" type="asst">
      <dgm:prSet/>
      <dgm:spPr/>
      <dgm:t>
        <a:bodyPr/>
        <a:lstStyle/>
        <a:p>
          <a:r>
            <a:rPr lang="en-GB"/>
            <a:t>Technical Design Authority </a:t>
          </a:r>
        </a:p>
      </dgm:t>
    </dgm:pt>
    <dgm:pt modelId="{C6B7F58E-D0BE-4D76-8E3F-F197B1E33438}" type="parTrans" cxnId="{E70D21FC-D24E-4AD2-8829-8EEE41AC0C79}">
      <dgm:prSet/>
      <dgm:spPr/>
      <dgm:t>
        <a:bodyPr/>
        <a:lstStyle/>
        <a:p>
          <a:endParaRPr lang="en-GB"/>
        </a:p>
      </dgm:t>
    </dgm:pt>
    <dgm:pt modelId="{6BF889FF-5A18-48EA-BDA5-97178370BD04}" type="sibTrans" cxnId="{E70D21FC-D24E-4AD2-8829-8EEE41AC0C79}">
      <dgm:prSet/>
      <dgm:spPr/>
      <dgm:t>
        <a:bodyPr/>
        <a:lstStyle/>
        <a:p>
          <a:endParaRPr lang="en-GB"/>
        </a:p>
      </dgm:t>
    </dgm:pt>
    <dgm:pt modelId="{E39C0017-F83D-4DDE-A306-905869FAD3E6}" type="asst">
      <dgm:prSet/>
      <dgm:spPr>
        <a:solidFill>
          <a:schemeClr val="bg1"/>
        </a:solidFill>
        <a:ln>
          <a:solidFill>
            <a:schemeClr val="tx1"/>
          </a:solidFill>
          <a:prstDash val="dash"/>
        </a:ln>
      </dgm:spPr>
      <dgm:t>
        <a:bodyPr/>
        <a:lstStyle/>
        <a:p>
          <a:r>
            <a:rPr lang="en-GB">
              <a:solidFill>
                <a:schemeClr val="tx1"/>
              </a:solidFill>
            </a:rPr>
            <a:t>Change Approval Board (CAB) Schedule 8.2  </a:t>
          </a:r>
        </a:p>
      </dgm:t>
    </dgm:pt>
    <dgm:pt modelId="{A0883F5B-4677-4ADB-8B83-B1E6EAE94530}" type="parTrans" cxnId="{2A310813-4913-448C-853C-9C3EDEB5F951}">
      <dgm:prSet/>
      <dgm:spPr/>
      <dgm:t>
        <a:bodyPr/>
        <a:lstStyle/>
        <a:p>
          <a:endParaRPr lang="en-GB"/>
        </a:p>
      </dgm:t>
    </dgm:pt>
    <dgm:pt modelId="{341C5BAC-A5C5-429D-959F-5B61C0DDB400}" type="sibTrans" cxnId="{2A310813-4913-448C-853C-9C3EDEB5F951}">
      <dgm:prSet/>
      <dgm:spPr/>
      <dgm:t>
        <a:bodyPr/>
        <a:lstStyle/>
        <a:p>
          <a:endParaRPr lang="en-GB"/>
        </a:p>
      </dgm:t>
    </dgm:pt>
    <dgm:pt modelId="{A2989015-BE0D-4919-8CEE-AF3B26D5614E}" type="asst">
      <dgm:prSet>
        <dgm:style>
          <a:lnRef idx="2">
            <a:schemeClr val="dk1"/>
          </a:lnRef>
          <a:fillRef idx="1">
            <a:schemeClr val="lt1"/>
          </a:fillRef>
          <a:effectRef idx="0">
            <a:schemeClr val="dk1"/>
          </a:effectRef>
          <a:fontRef idx="minor">
            <a:schemeClr val="dk1"/>
          </a:fontRef>
        </dgm:style>
      </dgm:prSet>
      <dgm:spPr>
        <a:ln>
          <a:prstDash val="dash"/>
        </a:ln>
      </dgm:spPr>
      <dgm:t>
        <a:bodyPr/>
        <a:lstStyle/>
        <a:p>
          <a:r>
            <a:rPr lang="en-GB">
              <a:solidFill>
                <a:sysClr val="windowText" lastClr="000000"/>
              </a:solidFill>
            </a:rPr>
            <a:t>Security Group Schedule 2.6</a:t>
          </a:r>
        </a:p>
      </dgm:t>
    </dgm:pt>
    <dgm:pt modelId="{22774FB5-4BCB-4C84-AD56-8E3125DCD521}" type="parTrans" cxnId="{3E55FC3B-4910-49B6-B4DD-119E00E7EECC}">
      <dgm:prSet/>
      <dgm:spPr/>
      <dgm:t>
        <a:bodyPr/>
        <a:lstStyle/>
        <a:p>
          <a:endParaRPr lang="en-GB"/>
        </a:p>
      </dgm:t>
    </dgm:pt>
    <dgm:pt modelId="{910A0CAB-0743-4A67-A095-4F856E3D3758}" type="sibTrans" cxnId="{3E55FC3B-4910-49B6-B4DD-119E00E7EECC}">
      <dgm:prSet/>
      <dgm:spPr/>
      <dgm:t>
        <a:bodyPr/>
        <a:lstStyle/>
        <a:p>
          <a:endParaRPr lang="en-GB"/>
        </a:p>
      </dgm:t>
    </dgm:pt>
    <dgm:pt modelId="{ABB0D64A-993F-4DCE-8D13-EF1E20B57F9E}" type="pres">
      <dgm:prSet presAssocID="{761BB17B-37EF-459A-B62A-B47CCD4CD46E}" presName="hierChild1" presStyleCnt="0">
        <dgm:presLayoutVars>
          <dgm:orgChart val="1"/>
          <dgm:chPref val="1"/>
          <dgm:dir val="rev"/>
          <dgm:animOne val="branch"/>
          <dgm:animLvl val="lvl"/>
          <dgm:resizeHandles/>
        </dgm:presLayoutVars>
      </dgm:prSet>
      <dgm:spPr/>
    </dgm:pt>
    <dgm:pt modelId="{E6805F51-FE9B-4A50-935C-17AA8635637C}" type="pres">
      <dgm:prSet presAssocID="{A0E6EC75-A23A-4F6D-BE61-C4084EFB0801}" presName="hierRoot1" presStyleCnt="0">
        <dgm:presLayoutVars>
          <dgm:hierBranch val="init"/>
        </dgm:presLayoutVars>
      </dgm:prSet>
      <dgm:spPr/>
    </dgm:pt>
    <dgm:pt modelId="{8A26CA68-F45F-4FBD-8EB8-D6A66C5423AA}" type="pres">
      <dgm:prSet presAssocID="{A0E6EC75-A23A-4F6D-BE61-C4084EFB0801}" presName="rootComposite1" presStyleCnt="0"/>
      <dgm:spPr/>
    </dgm:pt>
    <dgm:pt modelId="{D15CD57D-07C4-451F-8412-F16FB05CA5F1}" type="pres">
      <dgm:prSet presAssocID="{A0E6EC75-A23A-4F6D-BE61-C4084EFB0801}" presName="rootText1" presStyleLbl="node0" presStyleIdx="0" presStyleCnt="1" custLinFactNeighborX="1610" custLinFactNeighborY="25774">
        <dgm:presLayoutVars>
          <dgm:chPref val="3"/>
        </dgm:presLayoutVars>
      </dgm:prSet>
      <dgm:spPr/>
    </dgm:pt>
    <dgm:pt modelId="{D2D174C7-89AC-4B1F-A93F-FB801AE83659}" type="pres">
      <dgm:prSet presAssocID="{A0E6EC75-A23A-4F6D-BE61-C4084EFB0801}" presName="rootConnector1" presStyleLbl="node1" presStyleIdx="0" presStyleCnt="0"/>
      <dgm:spPr/>
    </dgm:pt>
    <dgm:pt modelId="{27DF82E5-0814-4E79-BFD6-A444E7E65CDF}" type="pres">
      <dgm:prSet presAssocID="{A0E6EC75-A23A-4F6D-BE61-C4084EFB0801}" presName="hierChild2" presStyleCnt="0"/>
      <dgm:spPr/>
    </dgm:pt>
    <dgm:pt modelId="{E31F5C7B-762D-49A0-8003-C68B1F7B5215}" type="pres">
      <dgm:prSet presAssocID="{15CCB682-5C18-4801-949C-709D5CDE2FDD}" presName="Name37" presStyleLbl="parChTrans1D2" presStyleIdx="0" presStyleCnt="1"/>
      <dgm:spPr/>
    </dgm:pt>
    <dgm:pt modelId="{BB8830A4-D3B3-4B8C-935B-53B555042DDF}" type="pres">
      <dgm:prSet presAssocID="{47D167C4-F815-4B4D-867C-638CA23D2EEC}" presName="hierRoot2" presStyleCnt="0">
        <dgm:presLayoutVars>
          <dgm:hierBranch val="init"/>
        </dgm:presLayoutVars>
      </dgm:prSet>
      <dgm:spPr/>
    </dgm:pt>
    <dgm:pt modelId="{AF12AE90-A55B-4AF5-AA30-25CC287D20F5}" type="pres">
      <dgm:prSet presAssocID="{47D167C4-F815-4B4D-867C-638CA23D2EEC}" presName="rootComposite" presStyleCnt="0"/>
      <dgm:spPr/>
    </dgm:pt>
    <dgm:pt modelId="{4147F2FE-E396-4271-A39E-5B3FEC079DE7}" type="pres">
      <dgm:prSet presAssocID="{47D167C4-F815-4B4D-867C-638CA23D2EEC}" presName="rootText" presStyleLbl="node2" presStyleIdx="0" presStyleCnt="1" custLinFactNeighborX="1618" custLinFactNeighborY="6325">
        <dgm:presLayoutVars>
          <dgm:chPref val="3"/>
        </dgm:presLayoutVars>
      </dgm:prSet>
      <dgm:spPr/>
    </dgm:pt>
    <dgm:pt modelId="{AEC3CCBF-ECDC-4C6C-B7D5-A636167CC57E}" type="pres">
      <dgm:prSet presAssocID="{47D167C4-F815-4B4D-867C-638CA23D2EEC}" presName="rootConnector" presStyleLbl="node2" presStyleIdx="0" presStyleCnt="1"/>
      <dgm:spPr/>
    </dgm:pt>
    <dgm:pt modelId="{9AB4DC3B-2A28-4934-BD22-952729150576}" type="pres">
      <dgm:prSet presAssocID="{47D167C4-F815-4B4D-867C-638CA23D2EEC}" presName="hierChild4" presStyleCnt="0"/>
      <dgm:spPr/>
    </dgm:pt>
    <dgm:pt modelId="{2F29C143-D4BD-40D4-876E-D7322AFDABA0}" type="pres">
      <dgm:prSet presAssocID="{73A0EEC7-FB50-4C3D-A679-BCE979EF09E4}" presName="Name37" presStyleLbl="parChTrans1D3" presStyleIdx="0" presStyleCnt="5"/>
      <dgm:spPr/>
    </dgm:pt>
    <dgm:pt modelId="{A25C6F64-68C9-40BB-A776-B3A3B758B098}" type="pres">
      <dgm:prSet presAssocID="{3915D7BF-2234-4A8D-97F6-7B21033014B0}" presName="hierRoot2" presStyleCnt="0">
        <dgm:presLayoutVars>
          <dgm:hierBranch val="init"/>
        </dgm:presLayoutVars>
      </dgm:prSet>
      <dgm:spPr/>
    </dgm:pt>
    <dgm:pt modelId="{3DF335DC-AC97-4A58-B1F0-EA3F13EEDB37}" type="pres">
      <dgm:prSet presAssocID="{3915D7BF-2234-4A8D-97F6-7B21033014B0}" presName="rootComposite" presStyleCnt="0"/>
      <dgm:spPr/>
    </dgm:pt>
    <dgm:pt modelId="{50650396-E878-4047-BC80-25FF06B5D047}" type="pres">
      <dgm:prSet presAssocID="{3915D7BF-2234-4A8D-97F6-7B21033014B0}" presName="rootText" presStyleLbl="node3" presStyleIdx="0" presStyleCnt="2" custScaleX="157279" custLinFactX="-86412" custLinFactNeighborX="-100000" custLinFactNeighborY="13365">
        <dgm:presLayoutVars>
          <dgm:chPref val="3"/>
        </dgm:presLayoutVars>
      </dgm:prSet>
      <dgm:spPr/>
    </dgm:pt>
    <dgm:pt modelId="{759D885C-0481-413D-859A-A9B07DB0CBD2}" type="pres">
      <dgm:prSet presAssocID="{3915D7BF-2234-4A8D-97F6-7B21033014B0}" presName="rootConnector" presStyleLbl="node3" presStyleIdx="0" presStyleCnt="2"/>
      <dgm:spPr/>
    </dgm:pt>
    <dgm:pt modelId="{14E18EB2-610B-4D76-8499-7DCFB49F0ECA}" type="pres">
      <dgm:prSet presAssocID="{3915D7BF-2234-4A8D-97F6-7B21033014B0}" presName="hierChild4" presStyleCnt="0"/>
      <dgm:spPr/>
    </dgm:pt>
    <dgm:pt modelId="{0F9FFEEE-16FD-446A-A076-F692DDEE38BB}" type="pres">
      <dgm:prSet presAssocID="{3915D7BF-2234-4A8D-97F6-7B21033014B0}" presName="hierChild5" presStyleCnt="0"/>
      <dgm:spPr/>
    </dgm:pt>
    <dgm:pt modelId="{0C72E294-D0DF-4185-B3E6-87F4733CA7D1}" type="pres">
      <dgm:prSet presAssocID="{05B24CDD-F2B6-48A1-A0EF-2DC37F67C031}" presName="Name37" presStyleLbl="parChTrans1D3" presStyleIdx="1" presStyleCnt="5"/>
      <dgm:spPr/>
    </dgm:pt>
    <dgm:pt modelId="{E04469CD-1191-4258-BAE8-79186C46844C}" type="pres">
      <dgm:prSet presAssocID="{BDFF344E-500F-40F7-B7D3-7419F2D126E0}" presName="hierRoot2" presStyleCnt="0">
        <dgm:presLayoutVars>
          <dgm:hierBranch val="init"/>
        </dgm:presLayoutVars>
      </dgm:prSet>
      <dgm:spPr/>
    </dgm:pt>
    <dgm:pt modelId="{E6C91B64-69CA-4983-9E2F-8991831940D5}" type="pres">
      <dgm:prSet presAssocID="{BDFF344E-500F-40F7-B7D3-7419F2D126E0}" presName="rootComposite" presStyleCnt="0"/>
      <dgm:spPr/>
    </dgm:pt>
    <dgm:pt modelId="{8DE1E0C6-D592-4EA4-9C0D-653F460172DF}" type="pres">
      <dgm:prSet presAssocID="{BDFF344E-500F-40F7-B7D3-7419F2D126E0}" presName="rootText" presStyleLbl="node3" presStyleIdx="1" presStyleCnt="2" custScaleX="146714" custLinFactX="95668" custLinFactNeighborX="100000" custLinFactNeighborY="12444">
        <dgm:presLayoutVars>
          <dgm:chPref val="3"/>
        </dgm:presLayoutVars>
      </dgm:prSet>
      <dgm:spPr/>
    </dgm:pt>
    <dgm:pt modelId="{840DA075-F49A-461D-8F85-A2E1602CE842}" type="pres">
      <dgm:prSet presAssocID="{BDFF344E-500F-40F7-B7D3-7419F2D126E0}" presName="rootConnector" presStyleLbl="node3" presStyleIdx="1" presStyleCnt="2"/>
      <dgm:spPr/>
    </dgm:pt>
    <dgm:pt modelId="{F04133E7-54F4-43AF-96C5-1D48077014C5}" type="pres">
      <dgm:prSet presAssocID="{BDFF344E-500F-40F7-B7D3-7419F2D126E0}" presName="hierChild4" presStyleCnt="0"/>
      <dgm:spPr/>
    </dgm:pt>
    <dgm:pt modelId="{74090BA8-9634-4794-9CE4-C6A83D8B86A2}" type="pres">
      <dgm:prSet presAssocID="{80FAB914-175C-44BC-AADB-F0D88FD06C36}" presName="Name37" presStyleLbl="parChTrans1D4" presStyleIdx="0" presStyleCnt="1"/>
      <dgm:spPr/>
    </dgm:pt>
    <dgm:pt modelId="{02158D0F-6A06-48B0-844D-476C15D3D916}" type="pres">
      <dgm:prSet presAssocID="{D4819794-6D5D-4C1C-8B79-3A708B873765}" presName="hierRoot2" presStyleCnt="0">
        <dgm:presLayoutVars>
          <dgm:hierBranch val="init"/>
        </dgm:presLayoutVars>
      </dgm:prSet>
      <dgm:spPr/>
    </dgm:pt>
    <dgm:pt modelId="{C7FA9F8A-4B6E-4F09-8C70-F8DD4B4F86B5}" type="pres">
      <dgm:prSet presAssocID="{D4819794-6D5D-4C1C-8B79-3A708B873765}" presName="rootComposite" presStyleCnt="0"/>
      <dgm:spPr/>
    </dgm:pt>
    <dgm:pt modelId="{C3276952-40CF-4665-99A8-528EB19F4BAB}" type="pres">
      <dgm:prSet presAssocID="{D4819794-6D5D-4C1C-8B79-3A708B873765}" presName="rootText" presStyleLbl="node4" presStyleIdx="0" presStyleCnt="1" custLinFactX="100000" custLinFactNeighborX="104579" custLinFactNeighborY="-8053">
        <dgm:presLayoutVars>
          <dgm:chPref val="3"/>
        </dgm:presLayoutVars>
      </dgm:prSet>
      <dgm:spPr/>
    </dgm:pt>
    <dgm:pt modelId="{34B0535F-EFB7-485B-8105-6B73DFE55BEF}" type="pres">
      <dgm:prSet presAssocID="{D4819794-6D5D-4C1C-8B79-3A708B873765}" presName="rootConnector" presStyleLbl="node4" presStyleIdx="0" presStyleCnt="1"/>
      <dgm:spPr/>
    </dgm:pt>
    <dgm:pt modelId="{499D26A6-0097-4EA0-AA5E-F03564F27DAF}" type="pres">
      <dgm:prSet presAssocID="{D4819794-6D5D-4C1C-8B79-3A708B873765}" presName="hierChild4" presStyleCnt="0"/>
      <dgm:spPr/>
    </dgm:pt>
    <dgm:pt modelId="{B5B16EFE-DF5A-4935-B7C6-D828B5CABB58}" type="pres">
      <dgm:prSet presAssocID="{D4819794-6D5D-4C1C-8B79-3A708B873765}" presName="hierChild5" presStyleCnt="0"/>
      <dgm:spPr/>
    </dgm:pt>
    <dgm:pt modelId="{6AD7E91B-3653-4D05-B144-63ACC0708A28}" type="pres">
      <dgm:prSet presAssocID="{BDFF344E-500F-40F7-B7D3-7419F2D126E0}" presName="hierChild5" presStyleCnt="0"/>
      <dgm:spPr/>
    </dgm:pt>
    <dgm:pt modelId="{B591ABB8-FFD4-4848-BEEB-D964C32D16BC}" type="pres">
      <dgm:prSet presAssocID="{47D167C4-F815-4B4D-867C-638CA23D2EEC}" presName="hierChild5" presStyleCnt="0"/>
      <dgm:spPr/>
    </dgm:pt>
    <dgm:pt modelId="{D8236B06-AEBB-4C6A-B48C-0C8E7D04074A}" type="pres">
      <dgm:prSet presAssocID="{C6B7F58E-D0BE-4D76-8E3F-F197B1E33438}" presName="Name111" presStyleLbl="parChTrans1D3" presStyleIdx="2" presStyleCnt="5"/>
      <dgm:spPr/>
    </dgm:pt>
    <dgm:pt modelId="{285C8A88-C54D-4138-8CCD-7D858A1101B1}" type="pres">
      <dgm:prSet presAssocID="{72F7527B-49E5-49E0-BE3C-0F64DEF3260E}" presName="hierRoot3" presStyleCnt="0">
        <dgm:presLayoutVars>
          <dgm:hierBranch val="init"/>
        </dgm:presLayoutVars>
      </dgm:prSet>
      <dgm:spPr/>
    </dgm:pt>
    <dgm:pt modelId="{01CCCA69-A59D-435B-B086-ACF7E7DF9A82}" type="pres">
      <dgm:prSet presAssocID="{72F7527B-49E5-49E0-BE3C-0F64DEF3260E}" presName="rootComposite3" presStyleCnt="0"/>
      <dgm:spPr/>
    </dgm:pt>
    <dgm:pt modelId="{E0408E87-EED7-49F7-AEBD-C8B60D93835C}" type="pres">
      <dgm:prSet presAssocID="{72F7527B-49E5-49E0-BE3C-0F64DEF3260E}" presName="rootText3" presStyleLbl="asst2" presStyleIdx="0" presStyleCnt="3" custLinFactNeighborX="15183" custLinFactNeighborY="4048">
        <dgm:presLayoutVars>
          <dgm:chPref val="3"/>
        </dgm:presLayoutVars>
      </dgm:prSet>
      <dgm:spPr/>
    </dgm:pt>
    <dgm:pt modelId="{BD7DBD0A-F40A-47C2-B5DF-2A7D90F04110}" type="pres">
      <dgm:prSet presAssocID="{72F7527B-49E5-49E0-BE3C-0F64DEF3260E}" presName="rootConnector3" presStyleLbl="asst2" presStyleIdx="0" presStyleCnt="3"/>
      <dgm:spPr/>
    </dgm:pt>
    <dgm:pt modelId="{0B2290E9-43C8-43A6-A805-C1CEC9C688EC}" type="pres">
      <dgm:prSet presAssocID="{72F7527B-49E5-49E0-BE3C-0F64DEF3260E}" presName="hierChild6" presStyleCnt="0"/>
      <dgm:spPr/>
    </dgm:pt>
    <dgm:pt modelId="{5A5EE9C8-E84D-44B3-A7EA-881CF77E8CAD}" type="pres">
      <dgm:prSet presAssocID="{72F7527B-49E5-49E0-BE3C-0F64DEF3260E}" presName="hierChild7" presStyleCnt="0"/>
      <dgm:spPr/>
    </dgm:pt>
    <dgm:pt modelId="{9CD0F7F8-10CE-4EE8-9DB3-D5E888A940D0}" type="pres">
      <dgm:prSet presAssocID="{A0883F5B-4677-4ADB-8B83-B1E6EAE94530}" presName="Name111" presStyleLbl="parChTrans1D3" presStyleIdx="3" presStyleCnt="5"/>
      <dgm:spPr/>
    </dgm:pt>
    <dgm:pt modelId="{D8A16F9E-C8C2-46D4-B2C9-BA7E09C767CF}" type="pres">
      <dgm:prSet presAssocID="{E39C0017-F83D-4DDE-A306-905869FAD3E6}" presName="hierRoot3" presStyleCnt="0">
        <dgm:presLayoutVars>
          <dgm:hierBranch val="init"/>
        </dgm:presLayoutVars>
      </dgm:prSet>
      <dgm:spPr/>
    </dgm:pt>
    <dgm:pt modelId="{29E52764-05E7-40A5-A657-27C602D9AF60}" type="pres">
      <dgm:prSet presAssocID="{E39C0017-F83D-4DDE-A306-905869FAD3E6}" presName="rootComposite3" presStyleCnt="0"/>
      <dgm:spPr/>
    </dgm:pt>
    <dgm:pt modelId="{256AF506-7670-483C-BC3D-DBF74D569C09}" type="pres">
      <dgm:prSet presAssocID="{E39C0017-F83D-4DDE-A306-905869FAD3E6}" presName="rootText3" presStyleLbl="asst2" presStyleIdx="1" presStyleCnt="3" custLinFactNeighborX="-10766" custLinFactNeighborY="4050">
        <dgm:presLayoutVars>
          <dgm:chPref val="3"/>
        </dgm:presLayoutVars>
      </dgm:prSet>
      <dgm:spPr/>
    </dgm:pt>
    <dgm:pt modelId="{9B2303A0-0973-4AEA-8DA5-DD642CA7EA2D}" type="pres">
      <dgm:prSet presAssocID="{E39C0017-F83D-4DDE-A306-905869FAD3E6}" presName="rootConnector3" presStyleLbl="asst2" presStyleIdx="1" presStyleCnt="3"/>
      <dgm:spPr/>
    </dgm:pt>
    <dgm:pt modelId="{3FA19BDA-EE41-4314-B5FF-3B4D5F94DC91}" type="pres">
      <dgm:prSet presAssocID="{E39C0017-F83D-4DDE-A306-905869FAD3E6}" presName="hierChild6" presStyleCnt="0"/>
      <dgm:spPr/>
    </dgm:pt>
    <dgm:pt modelId="{9F01A161-C9FE-44B5-A548-CDDC9988859D}" type="pres">
      <dgm:prSet presAssocID="{E39C0017-F83D-4DDE-A306-905869FAD3E6}" presName="hierChild7" presStyleCnt="0"/>
      <dgm:spPr/>
    </dgm:pt>
    <dgm:pt modelId="{8BCD7BED-8330-4984-8408-814E8D247481}" type="pres">
      <dgm:prSet presAssocID="{22774FB5-4BCB-4C84-AD56-8E3125DCD521}" presName="Name111" presStyleLbl="parChTrans1D3" presStyleIdx="4" presStyleCnt="5"/>
      <dgm:spPr/>
    </dgm:pt>
    <dgm:pt modelId="{EBC0F09D-DB8F-409E-8156-DBB92EF7151E}" type="pres">
      <dgm:prSet presAssocID="{A2989015-BE0D-4919-8CEE-AF3B26D5614E}" presName="hierRoot3" presStyleCnt="0">
        <dgm:presLayoutVars>
          <dgm:hierBranch val="init"/>
        </dgm:presLayoutVars>
      </dgm:prSet>
      <dgm:spPr/>
    </dgm:pt>
    <dgm:pt modelId="{058860EE-51A4-49D7-88AA-81EAD9274457}" type="pres">
      <dgm:prSet presAssocID="{A2989015-BE0D-4919-8CEE-AF3B26D5614E}" presName="rootComposite3" presStyleCnt="0"/>
      <dgm:spPr/>
    </dgm:pt>
    <dgm:pt modelId="{B282437F-6309-4E89-A729-E68BB12D944F}" type="pres">
      <dgm:prSet presAssocID="{A2989015-BE0D-4919-8CEE-AF3B26D5614E}" presName="rootText3" presStyleLbl="asst2" presStyleIdx="2" presStyleCnt="3" custLinFactX="-31342" custLinFactNeighborX="-100000" custLinFactNeighborY="-7365">
        <dgm:presLayoutVars>
          <dgm:chPref val="3"/>
        </dgm:presLayoutVars>
      </dgm:prSet>
      <dgm:spPr/>
    </dgm:pt>
    <dgm:pt modelId="{8152F6D2-884B-4257-B128-BA19AAE673FC}" type="pres">
      <dgm:prSet presAssocID="{A2989015-BE0D-4919-8CEE-AF3B26D5614E}" presName="rootConnector3" presStyleLbl="asst2" presStyleIdx="2" presStyleCnt="3"/>
      <dgm:spPr/>
    </dgm:pt>
    <dgm:pt modelId="{7F189C78-D385-4BC1-AEF9-6D73B8839664}" type="pres">
      <dgm:prSet presAssocID="{A2989015-BE0D-4919-8CEE-AF3B26D5614E}" presName="hierChild6" presStyleCnt="0"/>
      <dgm:spPr/>
    </dgm:pt>
    <dgm:pt modelId="{A39FB063-57AC-4EB6-9A1C-28920A5BF1D4}" type="pres">
      <dgm:prSet presAssocID="{A2989015-BE0D-4919-8CEE-AF3B26D5614E}" presName="hierChild7" presStyleCnt="0"/>
      <dgm:spPr/>
    </dgm:pt>
    <dgm:pt modelId="{ADA2CFB7-A880-45AB-9F3D-5B2A0CCD68FA}" type="pres">
      <dgm:prSet presAssocID="{A0E6EC75-A23A-4F6D-BE61-C4084EFB0801}" presName="hierChild3" presStyleCnt="0"/>
      <dgm:spPr/>
    </dgm:pt>
  </dgm:ptLst>
  <dgm:cxnLst>
    <dgm:cxn modelId="{872F7E00-C53A-47AD-A41A-2138CF7B0A91}" type="presOf" srcId="{3915D7BF-2234-4A8D-97F6-7B21033014B0}" destId="{50650396-E878-4047-BC80-25FF06B5D047}" srcOrd="0" destOrd="0" presId="urn:microsoft.com/office/officeart/2005/8/layout/orgChart1"/>
    <dgm:cxn modelId="{3599B702-44B3-4466-AEB3-0DBE2892D0BA}" type="presOf" srcId="{A2989015-BE0D-4919-8CEE-AF3B26D5614E}" destId="{8152F6D2-884B-4257-B128-BA19AAE673FC}" srcOrd="1" destOrd="0" presId="urn:microsoft.com/office/officeart/2005/8/layout/orgChart1"/>
    <dgm:cxn modelId="{CB10A505-87B7-4006-84F6-76B9E4B14BB8}" type="presOf" srcId="{A0E6EC75-A23A-4F6D-BE61-C4084EFB0801}" destId="{D15CD57D-07C4-451F-8412-F16FB05CA5F1}" srcOrd="0" destOrd="0" presId="urn:microsoft.com/office/officeart/2005/8/layout/orgChart1"/>
    <dgm:cxn modelId="{F8DFF20C-B45E-4FCA-92FC-6F4C9234B55C}" srcId="{47D167C4-F815-4B4D-867C-638CA23D2EEC}" destId="{BDFF344E-500F-40F7-B7D3-7419F2D126E0}" srcOrd="1" destOrd="0" parTransId="{05B24CDD-F2B6-48A1-A0EF-2DC37F67C031}" sibTransId="{3059DA79-72C2-48F8-9499-7FFB945AABB5}"/>
    <dgm:cxn modelId="{2A310813-4913-448C-853C-9C3EDEB5F951}" srcId="{47D167C4-F815-4B4D-867C-638CA23D2EEC}" destId="{E39C0017-F83D-4DDE-A306-905869FAD3E6}" srcOrd="3" destOrd="0" parTransId="{A0883F5B-4677-4ADB-8B83-B1E6EAE94530}" sibTransId="{341C5BAC-A5C5-429D-959F-5B61C0DDB400}"/>
    <dgm:cxn modelId="{DBB3071E-CEED-4DC7-9321-CC6ECB73943C}" type="presOf" srcId="{A0E6EC75-A23A-4F6D-BE61-C4084EFB0801}" destId="{D2D174C7-89AC-4B1F-A93F-FB801AE83659}" srcOrd="1" destOrd="0" presId="urn:microsoft.com/office/officeart/2005/8/layout/orgChart1"/>
    <dgm:cxn modelId="{43CC3D31-FDE4-4B5F-9431-30CE40F0C5BB}" type="presOf" srcId="{3915D7BF-2234-4A8D-97F6-7B21033014B0}" destId="{759D885C-0481-413D-859A-A9B07DB0CBD2}" srcOrd="1" destOrd="0" presId="urn:microsoft.com/office/officeart/2005/8/layout/orgChart1"/>
    <dgm:cxn modelId="{5B9A6131-62EE-40B3-AD04-76059405A4FB}" type="presOf" srcId="{47D167C4-F815-4B4D-867C-638CA23D2EEC}" destId="{AEC3CCBF-ECDC-4C6C-B7D5-A636167CC57E}" srcOrd="1" destOrd="0" presId="urn:microsoft.com/office/officeart/2005/8/layout/orgChart1"/>
    <dgm:cxn modelId="{EC861236-9B5A-43F8-BD6F-2E9B377E311D}" type="presOf" srcId="{E39C0017-F83D-4DDE-A306-905869FAD3E6}" destId="{9B2303A0-0973-4AEA-8DA5-DD642CA7EA2D}" srcOrd="1" destOrd="0" presId="urn:microsoft.com/office/officeart/2005/8/layout/orgChart1"/>
    <dgm:cxn modelId="{C61E4536-F471-417F-A53B-C10F53605B77}" srcId="{761BB17B-37EF-459A-B62A-B47CCD4CD46E}" destId="{A0E6EC75-A23A-4F6D-BE61-C4084EFB0801}" srcOrd="0" destOrd="0" parTransId="{763AD12F-286D-49A4-ADF0-4CC3F139D0AC}" sibTransId="{FB98945C-F2A8-4397-AA28-011503D4BB27}"/>
    <dgm:cxn modelId="{59DCB838-A2D9-4B11-BD1C-B43355CBCF8F}" type="presOf" srcId="{15CCB682-5C18-4801-949C-709D5CDE2FDD}" destId="{E31F5C7B-762D-49A0-8003-C68B1F7B5215}" srcOrd="0" destOrd="0" presId="urn:microsoft.com/office/officeart/2005/8/layout/orgChart1"/>
    <dgm:cxn modelId="{3E55FC3B-4910-49B6-B4DD-119E00E7EECC}" srcId="{47D167C4-F815-4B4D-867C-638CA23D2EEC}" destId="{A2989015-BE0D-4919-8CEE-AF3B26D5614E}" srcOrd="4" destOrd="0" parTransId="{22774FB5-4BCB-4C84-AD56-8E3125DCD521}" sibTransId="{910A0CAB-0743-4A67-A095-4F856E3D3758}"/>
    <dgm:cxn modelId="{75B0345D-7F72-45F2-85A6-E44BA83E2534}" type="presOf" srcId="{22774FB5-4BCB-4C84-AD56-8E3125DCD521}" destId="{8BCD7BED-8330-4984-8408-814E8D247481}" srcOrd="0" destOrd="0" presId="urn:microsoft.com/office/officeart/2005/8/layout/orgChart1"/>
    <dgm:cxn modelId="{BE20CC60-B77C-4B41-BEA4-703428546C86}" type="presOf" srcId="{E39C0017-F83D-4DDE-A306-905869FAD3E6}" destId="{256AF506-7670-483C-BC3D-DBF74D569C09}" srcOrd="0" destOrd="0" presId="urn:microsoft.com/office/officeart/2005/8/layout/orgChart1"/>
    <dgm:cxn modelId="{E88B1042-22C7-4797-AADF-8D1107168C8D}" type="presOf" srcId="{A2989015-BE0D-4919-8CEE-AF3B26D5614E}" destId="{B282437F-6309-4E89-A729-E68BB12D944F}" srcOrd="0" destOrd="0" presId="urn:microsoft.com/office/officeart/2005/8/layout/orgChart1"/>
    <dgm:cxn modelId="{7FAADC47-28AA-41F5-9318-927D332265C4}" type="presOf" srcId="{D4819794-6D5D-4C1C-8B79-3A708B873765}" destId="{34B0535F-EFB7-485B-8105-6B73DFE55BEF}" srcOrd="1" destOrd="0" presId="urn:microsoft.com/office/officeart/2005/8/layout/orgChart1"/>
    <dgm:cxn modelId="{69505C6B-0B5E-4DED-AD05-B9ACD39EF912}" type="presOf" srcId="{80FAB914-175C-44BC-AADB-F0D88FD06C36}" destId="{74090BA8-9634-4794-9CE4-C6A83D8B86A2}" srcOrd="0" destOrd="0" presId="urn:microsoft.com/office/officeart/2005/8/layout/orgChart1"/>
    <dgm:cxn modelId="{E0ADF154-815B-421D-B6E7-47FBA7D4E778}" type="presOf" srcId="{A0883F5B-4677-4ADB-8B83-B1E6EAE94530}" destId="{9CD0F7F8-10CE-4EE8-9DB3-D5E888A940D0}" srcOrd="0" destOrd="0" presId="urn:microsoft.com/office/officeart/2005/8/layout/orgChart1"/>
    <dgm:cxn modelId="{AE292679-28CF-456C-B6A6-BA4A5474C082}" type="presOf" srcId="{BDFF344E-500F-40F7-B7D3-7419F2D126E0}" destId="{8DE1E0C6-D592-4EA4-9C0D-653F460172DF}" srcOrd="0" destOrd="0" presId="urn:microsoft.com/office/officeart/2005/8/layout/orgChart1"/>
    <dgm:cxn modelId="{1CF51F7E-BB27-49E9-975D-8732C68002C4}" type="presOf" srcId="{C6B7F58E-D0BE-4D76-8E3F-F197B1E33438}" destId="{D8236B06-AEBB-4C6A-B48C-0C8E7D04074A}" srcOrd="0" destOrd="0" presId="urn:microsoft.com/office/officeart/2005/8/layout/orgChart1"/>
    <dgm:cxn modelId="{5372B47E-ECAC-4BDB-9124-DC3055CCC929}" type="presOf" srcId="{72F7527B-49E5-49E0-BE3C-0F64DEF3260E}" destId="{E0408E87-EED7-49F7-AEBD-C8B60D93835C}" srcOrd="0" destOrd="0" presId="urn:microsoft.com/office/officeart/2005/8/layout/orgChart1"/>
    <dgm:cxn modelId="{95B89386-A306-424E-801D-702576524A5D}" type="presOf" srcId="{D4819794-6D5D-4C1C-8B79-3A708B873765}" destId="{C3276952-40CF-4665-99A8-528EB19F4BAB}" srcOrd="0" destOrd="0" presId="urn:microsoft.com/office/officeart/2005/8/layout/orgChart1"/>
    <dgm:cxn modelId="{5CBAE688-09D7-424F-9154-7E19E308DCF2}" type="presOf" srcId="{47D167C4-F815-4B4D-867C-638CA23D2EEC}" destId="{4147F2FE-E396-4271-A39E-5B3FEC079DE7}" srcOrd="0" destOrd="0" presId="urn:microsoft.com/office/officeart/2005/8/layout/orgChart1"/>
    <dgm:cxn modelId="{4E718292-1EDC-4FA9-967C-F1D0992A59F9}" type="presOf" srcId="{BDFF344E-500F-40F7-B7D3-7419F2D126E0}" destId="{840DA075-F49A-461D-8F85-A2E1602CE842}" srcOrd="1" destOrd="0" presId="urn:microsoft.com/office/officeart/2005/8/layout/orgChart1"/>
    <dgm:cxn modelId="{2E8973A9-FD5A-46E8-88DA-9476DCD24A27}" srcId="{A0E6EC75-A23A-4F6D-BE61-C4084EFB0801}" destId="{47D167C4-F815-4B4D-867C-638CA23D2EEC}" srcOrd="0" destOrd="0" parTransId="{15CCB682-5C18-4801-949C-709D5CDE2FDD}" sibTransId="{D7C1481F-72BF-43C4-8E73-0D117E16155E}"/>
    <dgm:cxn modelId="{D1359CB4-E8CA-4C9F-9479-9498C421BD1A}" type="presOf" srcId="{73A0EEC7-FB50-4C3D-A679-BCE979EF09E4}" destId="{2F29C143-D4BD-40D4-876E-D7322AFDABA0}" srcOrd="0" destOrd="0" presId="urn:microsoft.com/office/officeart/2005/8/layout/orgChart1"/>
    <dgm:cxn modelId="{6AF225C5-C070-47FF-871A-8F9789976164}" srcId="{47D167C4-F815-4B4D-867C-638CA23D2EEC}" destId="{3915D7BF-2234-4A8D-97F6-7B21033014B0}" srcOrd="0" destOrd="0" parTransId="{73A0EEC7-FB50-4C3D-A679-BCE979EF09E4}" sibTransId="{825D73FF-96E2-4ADB-8B51-ABF43DEC88A0}"/>
    <dgm:cxn modelId="{C5BF42D5-6C1E-4972-8A12-B3DE710E7618}" type="presOf" srcId="{72F7527B-49E5-49E0-BE3C-0F64DEF3260E}" destId="{BD7DBD0A-F40A-47C2-B5DF-2A7D90F04110}" srcOrd="1" destOrd="0" presId="urn:microsoft.com/office/officeart/2005/8/layout/orgChart1"/>
    <dgm:cxn modelId="{C9FEBCEC-DFBB-4EC3-9D81-64880A144A12}" srcId="{BDFF344E-500F-40F7-B7D3-7419F2D126E0}" destId="{D4819794-6D5D-4C1C-8B79-3A708B873765}" srcOrd="0" destOrd="0" parTransId="{80FAB914-175C-44BC-AADB-F0D88FD06C36}" sibTransId="{F04B207C-B8D2-48CF-86F2-E42527AED34F}"/>
    <dgm:cxn modelId="{B52A18FA-8FDC-414E-B0F1-8513CE918AD9}" type="presOf" srcId="{761BB17B-37EF-459A-B62A-B47CCD4CD46E}" destId="{ABB0D64A-993F-4DCE-8D13-EF1E20B57F9E}" srcOrd="0" destOrd="0" presId="urn:microsoft.com/office/officeart/2005/8/layout/orgChart1"/>
    <dgm:cxn modelId="{7F4629FB-C71F-457A-AD09-392EDD8BB017}" type="presOf" srcId="{05B24CDD-F2B6-48A1-A0EF-2DC37F67C031}" destId="{0C72E294-D0DF-4185-B3E6-87F4733CA7D1}" srcOrd="0" destOrd="0" presId="urn:microsoft.com/office/officeart/2005/8/layout/orgChart1"/>
    <dgm:cxn modelId="{E70D21FC-D24E-4AD2-8829-8EEE41AC0C79}" srcId="{47D167C4-F815-4B4D-867C-638CA23D2EEC}" destId="{72F7527B-49E5-49E0-BE3C-0F64DEF3260E}" srcOrd="2" destOrd="0" parTransId="{C6B7F58E-D0BE-4D76-8E3F-F197B1E33438}" sibTransId="{6BF889FF-5A18-48EA-BDA5-97178370BD04}"/>
    <dgm:cxn modelId="{D2B26439-BD7D-476D-AA9D-1358B8D18E31}" type="presParOf" srcId="{ABB0D64A-993F-4DCE-8D13-EF1E20B57F9E}" destId="{E6805F51-FE9B-4A50-935C-17AA8635637C}" srcOrd="0" destOrd="0" presId="urn:microsoft.com/office/officeart/2005/8/layout/orgChart1"/>
    <dgm:cxn modelId="{01AE3960-83EF-4D86-BECB-C9E021FB8823}" type="presParOf" srcId="{E6805F51-FE9B-4A50-935C-17AA8635637C}" destId="{8A26CA68-F45F-4FBD-8EB8-D6A66C5423AA}" srcOrd="0" destOrd="0" presId="urn:microsoft.com/office/officeart/2005/8/layout/orgChart1"/>
    <dgm:cxn modelId="{06A044AF-5753-48DB-888B-0C94F0258BDA}" type="presParOf" srcId="{8A26CA68-F45F-4FBD-8EB8-D6A66C5423AA}" destId="{D15CD57D-07C4-451F-8412-F16FB05CA5F1}" srcOrd="0" destOrd="0" presId="urn:microsoft.com/office/officeart/2005/8/layout/orgChart1"/>
    <dgm:cxn modelId="{D03DCF58-7DDC-4D61-A288-4DF6C66B7D9A}" type="presParOf" srcId="{8A26CA68-F45F-4FBD-8EB8-D6A66C5423AA}" destId="{D2D174C7-89AC-4B1F-A93F-FB801AE83659}" srcOrd="1" destOrd="0" presId="urn:microsoft.com/office/officeart/2005/8/layout/orgChart1"/>
    <dgm:cxn modelId="{D752AD24-203D-437B-8697-1940353ED6A9}" type="presParOf" srcId="{E6805F51-FE9B-4A50-935C-17AA8635637C}" destId="{27DF82E5-0814-4E79-BFD6-A444E7E65CDF}" srcOrd="1" destOrd="0" presId="urn:microsoft.com/office/officeart/2005/8/layout/orgChart1"/>
    <dgm:cxn modelId="{8E4E9849-757D-4EB5-952A-7CA7F57B601F}" type="presParOf" srcId="{27DF82E5-0814-4E79-BFD6-A444E7E65CDF}" destId="{E31F5C7B-762D-49A0-8003-C68B1F7B5215}" srcOrd="0" destOrd="0" presId="urn:microsoft.com/office/officeart/2005/8/layout/orgChart1"/>
    <dgm:cxn modelId="{EA783A6A-7CFB-45C3-9C2C-ECB01641081D}" type="presParOf" srcId="{27DF82E5-0814-4E79-BFD6-A444E7E65CDF}" destId="{BB8830A4-D3B3-4B8C-935B-53B555042DDF}" srcOrd="1" destOrd="0" presId="urn:microsoft.com/office/officeart/2005/8/layout/orgChart1"/>
    <dgm:cxn modelId="{B023DE9B-09D7-475C-93A8-7A7EDD7CE445}" type="presParOf" srcId="{BB8830A4-D3B3-4B8C-935B-53B555042DDF}" destId="{AF12AE90-A55B-4AF5-AA30-25CC287D20F5}" srcOrd="0" destOrd="0" presId="urn:microsoft.com/office/officeart/2005/8/layout/orgChart1"/>
    <dgm:cxn modelId="{1FE12D6A-5286-46D5-A851-8BAB223DE22E}" type="presParOf" srcId="{AF12AE90-A55B-4AF5-AA30-25CC287D20F5}" destId="{4147F2FE-E396-4271-A39E-5B3FEC079DE7}" srcOrd="0" destOrd="0" presId="urn:microsoft.com/office/officeart/2005/8/layout/orgChart1"/>
    <dgm:cxn modelId="{C50F830B-B896-4A75-A8E3-F7659F396375}" type="presParOf" srcId="{AF12AE90-A55B-4AF5-AA30-25CC287D20F5}" destId="{AEC3CCBF-ECDC-4C6C-B7D5-A636167CC57E}" srcOrd="1" destOrd="0" presId="urn:microsoft.com/office/officeart/2005/8/layout/orgChart1"/>
    <dgm:cxn modelId="{F4A34F32-6A49-4D38-B538-D3AA8C1EE88F}" type="presParOf" srcId="{BB8830A4-D3B3-4B8C-935B-53B555042DDF}" destId="{9AB4DC3B-2A28-4934-BD22-952729150576}" srcOrd="1" destOrd="0" presId="urn:microsoft.com/office/officeart/2005/8/layout/orgChart1"/>
    <dgm:cxn modelId="{10D8127D-5ACB-4530-A0F4-33163C83A05A}" type="presParOf" srcId="{9AB4DC3B-2A28-4934-BD22-952729150576}" destId="{2F29C143-D4BD-40D4-876E-D7322AFDABA0}" srcOrd="0" destOrd="0" presId="urn:microsoft.com/office/officeart/2005/8/layout/orgChart1"/>
    <dgm:cxn modelId="{9A406A37-9C04-4268-8119-76B7EB236938}" type="presParOf" srcId="{9AB4DC3B-2A28-4934-BD22-952729150576}" destId="{A25C6F64-68C9-40BB-A776-B3A3B758B098}" srcOrd="1" destOrd="0" presId="urn:microsoft.com/office/officeart/2005/8/layout/orgChart1"/>
    <dgm:cxn modelId="{6385C2DC-23BE-46FA-B1F5-00C3CBA2523D}" type="presParOf" srcId="{A25C6F64-68C9-40BB-A776-B3A3B758B098}" destId="{3DF335DC-AC97-4A58-B1F0-EA3F13EEDB37}" srcOrd="0" destOrd="0" presId="urn:microsoft.com/office/officeart/2005/8/layout/orgChart1"/>
    <dgm:cxn modelId="{42199BDF-6C5D-459E-8463-20EA547AD82A}" type="presParOf" srcId="{3DF335DC-AC97-4A58-B1F0-EA3F13EEDB37}" destId="{50650396-E878-4047-BC80-25FF06B5D047}" srcOrd="0" destOrd="0" presId="urn:microsoft.com/office/officeart/2005/8/layout/orgChart1"/>
    <dgm:cxn modelId="{7D52FD94-72B5-48FD-B8C5-66B65E4C1FE5}" type="presParOf" srcId="{3DF335DC-AC97-4A58-B1F0-EA3F13EEDB37}" destId="{759D885C-0481-413D-859A-A9B07DB0CBD2}" srcOrd="1" destOrd="0" presId="urn:microsoft.com/office/officeart/2005/8/layout/orgChart1"/>
    <dgm:cxn modelId="{B01CFF8F-37D3-45D5-BD13-BC5A9E3DBEB6}" type="presParOf" srcId="{A25C6F64-68C9-40BB-A776-B3A3B758B098}" destId="{14E18EB2-610B-4D76-8499-7DCFB49F0ECA}" srcOrd="1" destOrd="0" presId="urn:microsoft.com/office/officeart/2005/8/layout/orgChart1"/>
    <dgm:cxn modelId="{A633D6E2-01A1-446E-8009-6F5FACA3F38B}" type="presParOf" srcId="{A25C6F64-68C9-40BB-A776-B3A3B758B098}" destId="{0F9FFEEE-16FD-446A-A076-F692DDEE38BB}" srcOrd="2" destOrd="0" presId="urn:microsoft.com/office/officeart/2005/8/layout/orgChart1"/>
    <dgm:cxn modelId="{785DE0A6-82F9-4EF7-B16B-4DD03ACBB282}" type="presParOf" srcId="{9AB4DC3B-2A28-4934-BD22-952729150576}" destId="{0C72E294-D0DF-4185-B3E6-87F4733CA7D1}" srcOrd="2" destOrd="0" presId="urn:microsoft.com/office/officeart/2005/8/layout/orgChart1"/>
    <dgm:cxn modelId="{7D142F49-E65E-4ED9-A19A-B2AE70F2154C}" type="presParOf" srcId="{9AB4DC3B-2A28-4934-BD22-952729150576}" destId="{E04469CD-1191-4258-BAE8-79186C46844C}" srcOrd="3" destOrd="0" presId="urn:microsoft.com/office/officeart/2005/8/layout/orgChart1"/>
    <dgm:cxn modelId="{96C1C517-E0F6-4CB4-ADB1-906D84E8A864}" type="presParOf" srcId="{E04469CD-1191-4258-BAE8-79186C46844C}" destId="{E6C91B64-69CA-4983-9E2F-8991831940D5}" srcOrd="0" destOrd="0" presId="urn:microsoft.com/office/officeart/2005/8/layout/orgChart1"/>
    <dgm:cxn modelId="{9ACD67F2-F592-4E0E-BF82-EE1102698C29}" type="presParOf" srcId="{E6C91B64-69CA-4983-9E2F-8991831940D5}" destId="{8DE1E0C6-D592-4EA4-9C0D-653F460172DF}" srcOrd="0" destOrd="0" presId="urn:microsoft.com/office/officeart/2005/8/layout/orgChart1"/>
    <dgm:cxn modelId="{2237F137-0C0E-4041-B2E6-34533A8BBFFE}" type="presParOf" srcId="{E6C91B64-69CA-4983-9E2F-8991831940D5}" destId="{840DA075-F49A-461D-8F85-A2E1602CE842}" srcOrd="1" destOrd="0" presId="urn:microsoft.com/office/officeart/2005/8/layout/orgChart1"/>
    <dgm:cxn modelId="{B4E7C961-76B2-4ED0-8F40-35481E16ABFD}" type="presParOf" srcId="{E04469CD-1191-4258-BAE8-79186C46844C}" destId="{F04133E7-54F4-43AF-96C5-1D48077014C5}" srcOrd="1" destOrd="0" presId="urn:microsoft.com/office/officeart/2005/8/layout/orgChart1"/>
    <dgm:cxn modelId="{CA0AB00C-115C-4971-9726-CD206ADA6066}" type="presParOf" srcId="{F04133E7-54F4-43AF-96C5-1D48077014C5}" destId="{74090BA8-9634-4794-9CE4-C6A83D8B86A2}" srcOrd="0" destOrd="0" presId="urn:microsoft.com/office/officeart/2005/8/layout/orgChart1"/>
    <dgm:cxn modelId="{77721191-7D72-4763-93B7-77BFE377C158}" type="presParOf" srcId="{F04133E7-54F4-43AF-96C5-1D48077014C5}" destId="{02158D0F-6A06-48B0-844D-476C15D3D916}" srcOrd="1" destOrd="0" presId="urn:microsoft.com/office/officeart/2005/8/layout/orgChart1"/>
    <dgm:cxn modelId="{FF304149-B688-4FB4-A700-6353F0AA2DB4}" type="presParOf" srcId="{02158D0F-6A06-48B0-844D-476C15D3D916}" destId="{C7FA9F8A-4B6E-4F09-8C70-F8DD4B4F86B5}" srcOrd="0" destOrd="0" presId="urn:microsoft.com/office/officeart/2005/8/layout/orgChart1"/>
    <dgm:cxn modelId="{364E8FDD-0506-474D-8FC6-77492916A07A}" type="presParOf" srcId="{C7FA9F8A-4B6E-4F09-8C70-F8DD4B4F86B5}" destId="{C3276952-40CF-4665-99A8-528EB19F4BAB}" srcOrd="0" destOrd="0" presId="urn:microsoft.com/office/officeart/2005/8/layout/orgChart1"/>
    <dgm:cxn modelId="{17834B12-B927-43C8-A331-519D65240048}" type="presParOf" srcId="{C7FA9F8A-4B6E-4F09-8C70-F8DD4B4F86B5}" destId="{34B0535F-EFB7-485B-8105-6B73DFE55BEF}" srcOrd="1" destOrd="0" presId="urn:microsoft.com/office/officeart/2005/8/layout/orgChart1"/>
    <dgm:cxn modelId="{286A3DDF-E8DE-4091-9F3F-DB23A2EAD08B}" type="presParOf" srcId="{02158D0F-6A06-48B0-844D-476C15D3D916}" destId="{499D26A6-0097-4EA0-AA5E-F03564F27DAF}" srcOrd="1" destOrd="0" presId="urn:microsoft.com/office/officeart/2005/8/layout/orgChart1"/>
    <dgm:cxn modelId="{FF5F49BD-0979-42BF-A677-7690A14981E5}" type="presParOf" srcId="{02158D0F-6A06-48B0-844D-476C15D3D916}" destId="{B5B16EFE-DF5A-4935-B7C6-D828B5CABB58}" srcOrd="2" destOrd="0" presId="urn:microsoft.com/office/officeart/2005/8/layout/orgChart1"/>
    <dgm:cxn modelId="{5F8EC5FF-7F06-4FEA-B2B8-4F63C74B57D3}" type="presParOf" srcId="{E04469CD-1191-4258-BAE8-79186C46844C}" destId="{6AD7E91B-3653-4D05-B144-63ACC0708A28}" srcOrd="2" destOrd="0" presId="urn:microsoft.com/office/officeart/2005/8/layout/orgChart1"/>
    <dgm:cxn modelId="{79F9228C-6D4A-4E85-BED1-E07403D165AA}" type="presParOf" srcId="{BB8830A4-D3B3-4B8C-935B-53B555042DDF}" destId="{B591ABB8-FFD4-4848-BEEB-D964C32D16BC}" srcOrd="2" destOrd="0" presId="urn:microsoft.com/office/officeart/2005/8/layout/orgChart1"/>
    <dgm:cxn modelId="{98296D6D-26E3-49F2-AFF0-4439344A6F83}" type="presParOf" srcId="{B591ABB8-FFD4-4848-BEEB-D964C32D16BC}" destId="{D8236B06-AEBB-4C6A-B48C-0C8E7D04074A}" srcOrd="0" destOrd="0" presId="urn:microsoft.com/office/officeart/2005/8/layout/orgChart1"/>
    <dgm:cxn modelId="{6F9E5F9F-64A4-40DF-AF74-3BB77D45C4FD}" type="presParOf" srcId="{B591ABB8-FFD4-4848-BEEB-D964C32D16BC}" destId="{285C8A88-C54D-4138-8CCD-7D858A1101B1}" srcOrd="1" destOrd="0" presId="urn:microsoft.com/office/officeart/2005/8/layout/orgChart1"/>
    <dgm:cxn modelId="{E9D32509-9AB5-4662-82BD-53B317785478}" type="presParOf" srcId="{285C8A88-C54D-4138-8CCD-7D858A1101B1}" destId="{01CCCA69-A59D-435B-B086-ACF7E7DF9A82}" srcOrd="0" destOrd="0" presId="urn:microsoft.com/office/officeart/2005/8/layout/orgChart1"/>
    <dgm:cxn modelId="{464C0C5F-19BB-41E3-BCAD-BD5F466B3736}" type="presParOf" srcId="{01CCCA69-A59D-435B-B086-ACF7E7DF9A82}" destId="{E0408E87-EED7-49F7-AEBD-C8B60D93835C}" srcOrd="0" destOrd="0" presId="urn:microsoft.com/office/officeart/2005/8/layout/orgChart1"/>
    <dgm:cxn modelId="{05743049-9E37-4B27-9C1A-6A7F917E155E}" type="presParOf" srcId="{01CCCA69-A59D-435B-B086-ACF7E7DF9A82}" destId="{BD7DBD0A-F40A-47C2-B5DF-2A7D90F04110}" srcOrd="1" destOrd="0" presId="urn:microsoft.com/office/officeart/2005/8/layout/orgChart1"/>
    <dgm:cxn modelId="{4A108D0F-C28B-42BA-987B-C1BA9F59EE8A}" type="presParOf" srcId="{285C8A88-C54D-4138-8CCD-7D858A1101B1}" destId="{0B2290E9-43C8-43A6-A805-C1CEC9C688EC}" srcOrd="1" destOrd="0" presId="urn:microsoft.com/office/officeart/2005/8/layout/orgChart1"/>
    <dgm:cxn modelId="{54563DA6-FE1B-4DD5-B2C1-8EA48105AB72}" type="presParOf" srcId="{285C8A88-C54D-4138-8CCD-7D858A1101B1}" destId="{5A5EE9C8-E84D-44B3-A7EA-881CF77E8CAD}" srcOrd="2" destOrd="0" presId="urn:microsoft.com/office/officeart/2005/8/layout/orgChart1"/>
    <dgm:cxn modelId="{7B7E389D-CA34-4D89-A5AE-9AB460C189D8}" type="presParOf" srcId="{B591ABB8-FFD4-4848-BEEB-D964C32D16BC}" destId="{9CD0F7F8-10CE-4EE8-9DB3-D5E888A940D0}" srcOrd="2" destOrd="0" presId="urn:microsoft.com/office/officeart/2005/8/layout/orgChart1"/>
    <dgm:cxn modelId="{50AB6507-1FD4-4541-B8F8-33A92B5C3CBC}" type="presParOf" srcId="{B591ABB8-FFD4-4848-BEEB-D964C32D16BC}" destId="{D8A16F9E-C8C2-46D4-B2C9-BA7E09C767CF}" srcOrd="3" destOrd="0" presId="urn:microsoft.com/office/officeart/2005/8/layout/orgChart1"/>
    <dgm:cxn modelId="{59D36C1C-88E1-469E-9314-B6AF9A36876D}" type="presParOf" srcId="{D8A16F9E-C8C2-46D4-B2C9-BA7E09C767CF}" destId="{29E52764-05E7-40A5-A657-27C602D9AF60}" srcOrd="0" destOrd="0" presId="urn:microsoft.com/office/officeart/2005/8/layout/orgChart1"/>
    <dgm:cxn modelId="{176D940E-50E8-43B8-82CB-7761485F82F2}" type="presParOf" srcId="{29E52764-05E7-40A5-A657-27C602D9AF60}" destId="{256AF506-7670-483C-BC3D-DBF74D569C09}" srcOrd="0" destOrd="0" presId="urn:microsoft.com/office/officeart/2005/8/layout/orgChart1"/>
    <dgm:cxn modelId="{331707B9-2DE2-479B-BF07-3DFB438C1199}" type="presParOf" srcId="{29E52764-05E7-40A5-A657-27C602D9AF60}" destId="{9B2303A0-0973-4AEA-8DA5-DD642CA7EA2D}" srcOrd="1" destOrd="0" presId="urn:microsoft.com/office/officeart/2005/8/layout/orgChart1"/>
    <dgm:cxn modelId="{8B4ED939-D6E1-4F51-9BAA-5E2F7EFCA5A2}" type="presParOf" srcId="{D8A16F9E-C8C2-46D4-B2C9-BA7E09C767CF}" destId="{3FA19BDA-EE41-4314-B5FF-3B4D5F94DC91}" srcOrd="1" destOrd="0" presId="urn:microsoft.com/office/officeart/2005/8/layout/orgChart1"/>
    <dgm:cxn modelId="{CBCB61E1-8A1C-4C26-81B8-CA8AFAD02AE4}" type="presParOf" srcId="{D8A16F9E-C8C2-46D4-B2C9-BA7E09C767CF}" destId="{9F01A161-C9FE-44B5-A548-CDDC9988859D}" srcOrd="2" destOrd="0" presId="urn:microsoft.com/office/officeart/2005/8/layout/orgChart1"/>
    <dgm:cxn modelId="{89967CD0-F788-461A-BEA7-4CBFE2724BF6}" type="presParOf" srcId="{B591ABB8-FFD4-4848-BEEB-D964C32D16BC}" destId="{8BCD7BED-8330-4984-8408-814E8D247481}" srcOrd="4" destOrd="0" presId="urn:microsoft.com/office/officeart/2005/8/layout/orgChart1"/>
    <dgm:cxn modelId="{964A0EE3-BBD3-4D47-81BA-7727FD9F8E1E}" type="presParOf" srcId="{B591ABB8-FFD4-4848-BEEB-D964C32D16BC}" destId="{EBC0F09D-DB8F-409E-8156-DBB92EF7151E}" srcOrd="5" destOrd="0" presId="urn:microsoft.com/office/officeart/2005/8/layout/orgChart1"/>
    <dgm:cxn modelId="{1A75BEE4-2721-4D63-BDB9-55FAAAE9BE52}" type="presParOf" srcId="{EBC0F09D-DB8F-409E-8156-DBB92EF7151E}" destId="{058860EE-51A4-49D7-88AA-81EAD9274457}" srcOrd="0" destOrd="0" presId="urn:microsoft.com/office/officeart/2005/8/layout/orgChart1"/>
    <dgm:cxn modelId="{89428E73-9C2B-4776-964A-CF97102DCBA8}" type="presParOf" srcId="{058860EE-51A4-49D7-88AA-81EAD9274457}" destId="{B282437F-6309-4E89-A729-E68BB12D944F}" srcOrd="0" destOrd="0" presId="urn:microsoft.com/office/officeart/2005/8/layout/orgChart1"/>
    <dgm:cxn modelId="{2AE7C6F0-7EBC-451F-A36D-3580AC9CC07C}" type="presParOf" srcId="{058860EE-51A4-49D7-88AA-81EAD9274457}" destId="{8152F6D2-884B-4257-B128-BA19AAE673FC}" srcOrd="1" destOrd="0" presId="urn:microsoft.com/office/officeart/2005/8/layout/orgChart1"/>
    <dgm:cxn modelId="{0D4AC90B-EAB5-4612-94C4-8439E601F526}" type="presParOf" srcId="{EBC0F09D-DB8F-409E-8156-DBB92EF7151E}" destId="{7F189C78-D385-4BC1-AEF9-6D73B8839664}" srcOrd="1" destOrd="0" presId="urn:microsoft.com/office/officeart/2005/8/layout/orgChart1"/>
    <dgm:cxn modelId="{EFEF4E59-B619-44BE-BA24-95DE19004813}" type="presParOf" srcId="{EBC0F09D-DB8F-409E-8156-DBB92EF7151E}" destId="{A39FB063-57AC-4EB6-9A1C-28920A5BF1D4}" srcOrd="2" destOrd="0" presId="urn:microsoft.com/office/officeart/2005/8/layout/orgChart1"/>
    <dgm:cxn modelId="{540549F0-786A-4042-AB54-C905CFE7BA71}" type="presParOf" srcId="{E6805F51-FE9B-4A50-935C-17AA8635637C}" destId="{ADA2CFB7-A880-45AB-9F3D-5B2A0CCD68FA}" srcOrd="2" destOrd="0" presId="urn:microsoft.com/office/officeart/2005/8/layout/orgChart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137DFF-CBA8-4D8A-9DAB-BE8AB8014FDF}">
      <dsp:nvSpPr>
        <dsp:cNvPr id="0" name=""/>
        <dsp:cNvSpPr/>
      </dsp:nvSpPr>
      <dsp:spPr>
        <a:xfrm>
          <a:off x="2711745" y="1046191"/>
          <a:ext cx="91440" cy="302092"/>
        </a:xfrm>
        <a:custGeom>
          <a:avLst/>
          <a:gdLst/>
          <a:ahLst/>
          <a:cxnLst/>
          <a:rect l="0" t="0" r="0" b="0"/>
          <a:pathLst>
            <a:path>
              <a:moveTo>
                <a:pt x="45720" y="0"/>
              </a:moveTo>
              <a:lnTo>
                <a:pt x="45720" y="302092"/>
              </a:lnTo>
              <a:lnTo>
                <a:pt x="106621" y="302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AEC94A-A244-4672-A4CC-17D08C8BF838}">
      <dsp:nvSpPr>
        <dsp:cNvPr id="0" name=""/>
        <dsp:cNvSpPr/>
      </dsp:nvSpPr>
      <dsp:spPr>
        <a:xfrm>
          <a:off x="2757465" y="1046191"/>
          <a:ext cx="126353" cy="819599"/>
        </a:xfrm>
        <a:custGeom>
          <a:avLst/>
          <a:gdLst/>
          <a:ahLst/>
          <a:cxnLst/>
          <a:rect l="0" t="0" r="0" b="0"/>
          <a:pathLst>
            <a:path>
              <a:moveTo>
                <a:pt x="0" y="0"/>
              </a:moveTo>
              <a:lnTo>
                <a:pt x="0" y="819599"/>
              </a:lnTo>
              <a:lnTo>
                <a:pt x="126353" y="8195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48707F-0FE2-40E4-9B81-A68F914E958F}">
      <dsp:nvSpPr>
        <dsp:cNvPr id="0" name=""/>
        <dsp:cNvSpPr/>
      </dsp:nvSpPr>
      <dsp:spPr>
        <a:xfrm>
          <a:off x="2054986" y="433200"/>
          <a:ext cx="1047826" cy="181307"/>
        </a:xfrm>
        <a:custGeom>
          <a:avLst/>
          <a:gdLst/>
          <a:ahLst/>
          <a:cxnLst/>
          <a:rect l="0" t="0" r="0" b="0"/>
          <a:pathLst>
            <a:path>
              <a:moveTo>
                <a:pt x="0" y="0"/>
              </a:moveTo>
              <a:lnTo>
                <a:pt x="0" y="90653"/>
              </a:lnTo>
              <a:lnTo>
                <a:pt x="1047826" y="90653"/>
              </a:lnTo>
              <a:lnTo>
                <a:pt x="1047826" y="1813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C5E002-8D42-48D3-B18C-E67D274FED83}">
      <dsp:nvSpPr>
        <dsp:cNvPr id="0" name=""/>
        <dsp:cNvSpPr/>
      </dsp:nvSpPr>
      <dsp:spPr>
        <a:xfrm>
          <a:off x="1709639" y="1046191"/>
          <a:ext cx="93796" cy="302092"/>
        </a:xfrm>
        <a:custGeom>
          <a:avLst/>
          <a:gdLst/>
          <a:ahLst/>
          <a:cxnLst/>
          <a:rect l="0" t="0" r="0" b="0"/>
          <a:pathLst>
            <a:path>
              <a:moveTo>
                <a:pt x="0" y="0"/>
              </a:moveTo>
              <a:lnTo>
                <a:pt x="0" y="302092"/>
              </a:lnTo>
              <a:lnTo>
                <a:pt x="93796" y="302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0A7A39-635A-45C7-B17D-D075D4E3BA7F}">
      <dsp:nvSpPr>
        <dsp:cNvPr id="0" name=""/>
        <dsp:cNvSpPr/>
      </dsp:nvSpPr>
      <dsp:spPr>
        <a:xfrm>
          <a:off x="1663919" y="1046191"/>
          <a:ext cx="91440" cy="819599"/>
        </a:xfrm>
        <a:custGeom>
          <a:avLst/>
          <a:gdLst/>
          <a:ahLst/>
          <a:cxnLst/>
          <a:rect l="0" t="0" r="0" b="0"/>
          <a:pathLst>
            <a:path>
              <a:moveTo>
                <a:pt x="45720" y="0"/>
              </a:moveTo>
              <a:lnTo>
                <a:pt x="45720" y="819599"/>
              </a:lnTo>
              <a:lnTo>
                <a:pt x="109773" y="8195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0021D8-B098-43EF-B7A3-2774B422818F}">
      <dsp:nvSpPr>
        <dsp:cNvPr id="0" name=""/>
        <dsp:cNvSpPr/>
      </dsp:nvSpPr>
      <dsp:spPr>
        <a:xfrm>
          <a:off x="2009266" y="433200"/>
          <a:ext cx="91440" cy="181307"/>
        </a:xfrm>
        <a:custGeom>
          <a:avLst/>
          <a:gdLst/>
          <a:ahLst/>
          <a:cxnLst/>
          <a:rect l="0" t="0" r="0" b="0"/>
          <a:pathLst>
            <a:path>
              <a:moveTo>
                <a:pt x="45720" y="0"/>
              </a:moveTo>
              <a:lnTo>
                <a:pt x="45720" y="1813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DF040B-0CFC-435B-B31D-7156D2A756C0}">
      <dsp:nvSpPr>
        <dsp:cNvPr id="0" name=""/>
        <dsp:cNvSpPr/>
      </dsp:nvSpPr>
      <dsp:spPr>
        <a:xfrm>
          <a:off x="664964" y="1046191"/>
          <a:ext cx="93796" cy="302092"/>
        </a:xfrm>
        <a:custGeom>
          <a:avLst/>
          <a:gdLst/>
          <a:ahLst/>
          <a:cxnLst/>
          <a:rect l="0" t="0" r="0" b="0"/>
          <a:pathLst>
            <a:path>
              <a:moveTo>
                <a:pt x="0" y="0"/>
              </a:moveTo>
              <a:lnTo>
                <a:pt x="0" y="302092"/>
              </a:lnTo>
              <a:lnTo>
                <a:pt x="93796" y="302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123AD2-8CFD-43AE-A5BB-A58D03E3B56B}">
      <dsp:nvSpPr>
        <dsp:cNvPr id="0" name=""/>
        <dsp:cNvSpPr/>
      </dsp:nvSpPr>
      <dsp:spPr>
        <a:xfrm>
          <a:off x="664964" y="1046191"/>
          <a:ext cx="117607" cy="813650"/>
        </a:xfrm>
        <a:custGeom>
          <a:avLst/>
          <a:gdLst/>
          <a:ahLst/>
          <a:cxnLst/>
          <a:rect l="0" t="0" r="0" b="0"/>
          <a:pathLst>
            <a:path>
              <a:moveTo>
                <a:pt x="0" y="0"/>
              </a:moveTo>
              <a:lnTo>
                <a:pt x="0" y="813650"/>
              </a:lnTo>
              <a:lnTo>
                <a:pt x="117607" y="813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0F18D2-AC00-4B0C-8EA2-305E52F31D37}">
      <dsp:nvSpPr>
        <dsp:cNvPr id="0" name=""/>
        <dsp:cNvSpPr/>
      </dsp:nvSpPr>
      <dsp:spPr>
        <a:xfrm>
          <a:off x="1010311" y="433200"/>
          <a:ext cx="1044674" cy="181307"/>
        </a:xfrm>
        <a:custGeom>
          <a:avLst/>
          <a:gdLst/>
          <a:ahLst/>
          <a:cxnLst/>
          <a:rect l="0" t="0" r="0" b="0"/>
          <a:pathLst>
            <a:path>
              <a:moveTo>
                <a:pt x="1044674" y="0"/>
              </a:moveTo>
              <a:lnTo>
                <a:pt x="1044674" y="90653"/>
              </a:lnTo>
              <a:lnTo>
                <a:pt x="0" y="90653"/>
              </a:lnTo>
              <a:lnTo>
                <a:pt x="0" y="1813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B6D23E-6104-4F56-A473-F7E9003768D7}">
      <dsp:nvSpPr>
        <dsp:cNvPr id="0" name=""/>
        <dsp:cNvSpPr/>
      </dsp:nvSpPr>
      <dsp:spPr>
        <a:xfrm>
          <a:off x="1623302" y="1517"/>
          <a:ext cx="863367" cy="4316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(Customer)</a:t>
          </a:r>
        </a:p>
      </dsp:txBody>
      <dsp:txXfrm>
        <a:off x="1623302" y="1517"/>
        <a:ext cx="863367" cy="431683"/>
      </dsp:txXfrm>
    </dsp:sp>
    <dsp:sp modelId="{CE3D813A-2812-479F-BF3B-ED0A515581F6}">
      <dsp:nvSpPr>
        <dsp:cNvPr id="0" name=""/>
        <dsp:cNvSpPr/>
      </dsp:nvSpPr>
      <dsp:spPr>
        <a:xfrm>
          <a:off x="578627" y="614508"/>
          <a:ext cx="863367" cy="4316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Consortium  member #1 </a:t>
          </a:r>
        </a:p>
      </dsp:txBody>
      <dsp:txXfrm>
        <a:off x="578627" y="614508"/>
        <a:ext cx="863367" cy="431683"/>
      </dsp:txXfrm>
    </dsp:sp>
    <dsp:sp modelId="{460C10F1-8940-4F5B-9DED-C149B195948A}">
      <dsp:nvSpPr>
        <dsp:cNvPr id="0" name=""/>
        <dsp:cNvSpPr/>
      </dsp:nvSpPr>
      <dsp:spPr>
        <a:xfrm>
          <a:off x="782572" y="1644000"/>
          <a:ext cx="863367" cy="4316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Techical Leadership Group</a:t>
          </a:r>
        </a:p>
      </dsp:txBody>
      <dsp:txXfrm>
        <a:off x="782572" y="1644000"/>
        <a:ext cx="863367" cy="431683"/>
      </dsp:txXfrm>
    </dsp:sp>
    <dsp:sp modelId="{708D2CCE-32AB-4A60-A0D7-0CAFB0C27BA9}">
      <dsp:nvSpPr>
        <dsp:cNvPr id="0" name=""/>
        <dsp:cNvSpPr/>
      </dsp:nvSpPr>
      <dsp:spPr>
        <a:xfrm>
          <a:off x="758760" y="1132442"/>
          <a:ext cx="863367" cy="4316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Sposorship Group</a:t>
          </a:r>
        </a:p>
      </dsp:txBody>
      <dsp:txXfrm>
        <a:off x="758760" y="1132442"/>
        <a:ext cx="863367" cy="431683"/>
      </dsp:txXfrm>
    </dsp:sp>
    <dsp:sp modelId="{1A47764E-3922-41E1-B509-C0C4505D6FF6}">
      <dsp:nvSpPr>
        <dsp:cNvPr id="0" name=""/>
        <dsp:cNvSpPr/>
      </dsp:nvSpPr>
      <dsp:spPr>
        <a:xfrm>
          <a:off x="1623302" y="614508"/>
          <a:ext cx="863367" cy="4316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Consortium member #2</a:t>
          </a:r>
        </a:p>
      </dsp:txBody>
      <dsp:txXfrm>
        <a:off x="1623302" y="614508"/>
        <a:ext cx="863367" cy="431683"/>
      </dsp:txXfrm>
    </dsp:sp>
    <dsp:sp modelId="{7236060B-0B92-4B7A-A89C-C26D8E1DF5A7}">
      <dsp:nvSpPr>
        <dsp:cNvPr id="0" name=""/>
        <dsp:cNvSpPr/>
      </dsp:nvSpPr>
      <dsp:spPr>
        <a:xfrm>
          <a:off x="1773692" y="1649949"/>
          <a:ext cx="863367" cy="4316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Technical Leadership Group</a:t>
          </a:r>
        </a:p>
      </dsp:txBody>
      <dsp:txXfrm>
        <a:off x="1773692" y="1649949"/>
        <a:ext cx="863367" cy="431683"/>
      </dsp:txXfrm>
    </dsp:sp>
    <dsp:sp modelId="{758CCC36-9A6F-449F-9857-769CEF113E97}">
      <dsp:nvSpPr>
        <dsp:cNvPr id="0" name=""/>
        <dsp:cNvSpPr/>
      </dsp:nvSpPr>
      <dsp:spPr>
        <a:xfrm>
          <a:off x="1803435" y="1132442"/>
          <a:ext cx="863367" cy="4316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Sposorship Group</a:t>
          </a:r>
        </a:p>
      </dsp:txBody>
      <dsp:txXfrm>
        <a:off x="1803435" y="1132442"/>
        <a:ext cx="863367" cy="431683"/>
      </dsp:txXfrm>
    </dsp:sp>
    <dsp:sp modelId="{ACAA24BC-BF25-4087-9DD7-8FD7C61B11A1}">
      <dsp:nvSpPr>
        <dsp:cNvPr id="0" name=""/>
        <dsp:cNvSpPr/>
      </dsp:nvSpPr>
      <dsp:spPr>
        <a:xfrm>
          <a:off x="2671128" y="614508"/>
          <a:ext cx="863367" cy="4316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Consortium member #</a:t>
          </a:r>
          <a:r>
            <a:rPr lang="en-GB" sz="1000" i="1" kern="1200"/>
            <a:t>n</a:t>
          </a:r>
          <a:r>
            <a:rPr lang="en-GB" sz="1000" kern="1200"/>
            <a:t> </a:t>
          </a:r>
        </a:p>
      </dsp:txBody>
      <dsp:txXfrm>
        <a:off x="2671128" y="614508"/>
        <a:ext cx="863367" cy="431683"/>
      </dsp:txXfrm>
    </dsp:sp>
    <dsp:sp modelId="{FF4326E5-F965-430C-A856-AC096BF38B1E}">
      <dsp:nvSpPr>
        <dsp:cNvPr id="0" name=""/>
        <dsp:cNvSpPr/>
      </dsp:nvSpPr>
      <dsp:spPr>
        <a:xfrm>
          <a:off x="2883819" y="1649949"/>
          <a:ext cx="863367" cy="4316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Technical Leadership Group</a:t>
          </a:r>
        </a:p>
      </dsp:txBody>
      <dsp:txXfrm>
        <a:off x="2883819" y="1649949"/>
        <a:ext cx="863367" cy="431683"/>
      </dsp:txXfrm>
    </dsp:sp>
    <dsp:sp modelId="{ECFAA1A4-2FEA-476D-8A5B-AE9935035EB9}">
      <dsp:nvSpPr>
        <dsp:cNvPr id="0" name=""/>
        <dsp:cNvSpPr/>
      </dsp:nvSpPr>
      <dsp:spPr>
        <a:xfrm>
          <a:off x="2818367" y="1132442"/>
          <a:ext cx="863367" cy="4316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Sposorship Group</a:t>
          </a:r>
        </a:p>
      </dsp:txBody>
      <dsp:txXfrm>
        <a:off x="2818367" y="1132442"/>
        <a:ext cx="863367" cy="4316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D7BED-8330-4984-8408-814E8D247481}">
      <dsp:nvSpPr>
        <dsp:cNvPr id="0" name=""/>
        <dsp:cNvSpPr/>
      </dsp:nvSpPr>
      <dsp:spPr>
        <a:xfrm>
          <a:off x="2514797" y="963749"/>
          <a:ext cx="174282" cy="854769"/>
        </a:xfrm>
        <a:custGeom>
          <a:avLst/>
          <a:gdLst/>
          <a:ahLst/>
          <a:cxnLst/>
          <a:rect l="0" t="0" r="0" b="0"/>
          <a:pathLst>
            <a:path>
              <a:moveTo>
                <a:pt x="174282" y="0"/>
              </a:moveTo>
              <a:lnTo>
                <a:pt x="174282" y="854769"/>
              </a:lnTo>
              <a:lnTo>
                <a:pt x="0" y="85476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D0F7F8-10CE-4EE8-9DB3-D5E888A940D0}">
      <dsp:nvSpPr>
        <dsp:cNvPr id="0" name=""/>
        <dsp:cNvSpPr/>
      </dsp:nvSpPr>
      <dsp:spPr>
        <a:xfrm>
          <a:off x="2511507" y="963749"/>
          <a:ext cx="177572" cy="348119"/>
        </a:xfrm>
        <a:custGeom>
          <a:avLst/>
          <a:gdLst/>
          <a:ahLst/>
          <a:cxnLst/>
          <a:rect l="0" t="0" r="0" b="0"/>
          <a:pathLst>
            <a:path>
              <a:moveTo>
                <a:pt x="177572" y="0"/>
              </a:moveTo>
              <a:lnTo>
                <a:pt x="177572" y="348119"/>
              </a:lnTo>
              <a:lnTo>
                <a:pt x="0" y="34811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236B06-AEBB-4C6A-B48C-0C8E7D04074A}">
      <dsp:nvSpPr>
        <dsp:cNvPr id="0" name=""/>
        <dsp:cNvSpPr/>
      </dsp:nvSpPr>
      <dsp:spPr>
        <a:xfrm>
          <a:off x="2689080" y="963749"/>
          <a:ext cx="186737" cy="348111"/>
        </a:xfrm>
        <a:custGeom>
          <a:avLst/>
          <a:gdLst/>
          <a:ahLst/>
          <a:cxnLst/>
          <a:rect l="0" t="0" r="0" b="0"/>
          <a:pathLst>
            <a:path>
              <a:moveTo>
                <a:pt x="0" y="0"/>
              </a:moveTo>
              <a:lnTo>
                <a:pt x="0" y="348111"/>
              </a:lnTo>
              <a:lnTo>
                <a:pt x="186737" y="3481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090BA8-9634-4794-9CE4-C6A83D8B86A2}">
      <dsp:nvSpPr>
        <dsp:cNvPr id="0" name=""/>
        <dsp:cNvSpPr/>
      </dsp:nvSpPr>
      <dsp:spPr>
        <a:xfrm>
          <a:off x="3047771" y="2640306"/>
          <a:ext cx="239915" cy="277420"/>
        </a:xfrm>
        <a:custGeom>
          <a:avLst/>
          <a:gdLst/>
          <a:ahLst/>
          <a:cxnLst/>
          <a:rect l="0" t="0" r="0" b="0"/>
          <a:pathLst>
            <a:path>
              <a:moveTo>
                <a:pt x="0" y="0"/>
              </a:moveTo>
              <a:lnTo>
                <a:pt x="0" y="277420"/>
              </a:lnTo>
              <a:lnTo>
                <a:pt x="239915" y="2774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72E294-D0DF-4185-B3E6-87F4733CA7D1}">
      <dsp:nvSpPr>
        <dsp:cNvPr id="0" name=""/>
        <dsp:cNvSpPr/>
      </dsp:nvSpPr>
      <dsp:spPr>
        <a:xfrm>
          <a:off x="2689080" y="963749"/>
          <a:ext cx="814074" cy="1288572"/>
        </a:xfrm>
        <a:custGeom>
          <a:avLst/>
          <a:gdLst/>
          <a:ahLst/>
          <a:cxnLst/>
          <a:rect l="0" t="0" r="0" b="0"/>
          <a:pathLst>
            <a:path>
              <a:moveTo>
                <a:pt x="0" y="0"/>
              </a:moveTo>
              <a:lnTo>
                <a:pt x="0" y="1207095"/>
              </a:lnTo>
              <a:lnTo>
                <a:pt x="814074" y="1207095"/>
              </a:lnTo>
              <a:lnTo>
                <a:pt x="814074" y="12885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29C143-D4BD-40D4-876E-D7322AFDABA0}">
      <dsp:nvSpPr>
        <dsp:cNvPr id="0" name=""/>
        <dsp:cNvSpPr/>
      </dsp:nvSpPr>
      <dsp:spPr>
        <a:xfrm>
          <a:off x="1880728" y="963749"/>
          <a:ext cx="808351" cy="1292145"/>
        </a:xfrm>
        <a:custGeom>
          <a:avLst/>
          <a:gdLst/>
          <a:ahLst/>
          <a:cxnLst/>
          <a:rect l="0" t="0" r="0" b="0"/>
          <a:pathLst>
            <a:path>
              <a:moveTo>
                <a:pt x="808351" y="0"/>
              </a:moveTo>
              <a:lnTo>
                <a:pt x="808351" y="1210668"/>
              </a:lnTo>
              <a:lnTo>
                <a:pt x="0" y="1210668"/>
              </a:lnTo>
              <a:lnTo>
                <a:pt x="0" y="129214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1F5C7B-762D-49A0-8003-C68B1F7B5215}">
      <dsp:nvSpPr>
        <dsp:cNvPr id="0" name=""/>
        <dsp:cNvSpPr/>
      </dsp:nvSpPr>
      <dsp:spPr>
        <a:xfrm>
          <a:off x="2643298" y="442549"/>
          <a:ext cx="91440" cy="91440"/>
        </a:xfrm>
        <a:custGeom>
          <a:avLst/>
          <a:gdLst/>
          <a:ahLst/>
          <a:cxnLst/>
          <a:rect l="0" t="0" r="0" b="0"/>
          <a:pathLst>
            <a:path>
              <a:moveTo>
                <a:pt x="45720" y="45720"/>
              </a:moveTo>
              <a:lnTo>
                <a:pt x="45720" y="51737"/>
              </a:lnTo>
              <a:lnTo>
                <a:pt x="45782" y="51737"/>
              </a:lnTo>
              <a:lnTo>
                <a:pt x="45782" y="13321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5CD57D-07C4-451F-8412-F16FB05CA5F1}">
      <dsp:nvSpPr>
        <dsp:cNvPr id="0" name=""/>
        <dsp:cNvSpPr/>
      </dsp:nvSpPr>
      <dsp:spPr>
        <a:xfrm>
          <a:off x="2301033" y="100284"/>
          <a:ext cx="775970" cy="387985"/>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latin typeface="Calibri" panose="020F0502020204030204" pitchFamily="34" charset="0"/>
              <a:cs typeface="Calibri" panose="020F0502020204030204" pitchFamily="34" charset="0"/>
            </a:rPr>
            <a:t>Executive Board </a:t>
          </a:r>
        </a:p>
      </dsp:txBody>
      <dsp:txXfrm>
        <a:off x="2301033" y="100284"/>
        <a:ext cx="775970" cy="387985"/>
      </dsp:txXfrm>
    </dsp:sp>
    <dsp:sp modelId="{4147F2FE-E396-4271-A39E-5B3FEC079DE7}">
      <dsp:nvSpPr>
        <dsp:cNvPr id="0" name=""/>
        <dsp:cNvSpPr/>
      </dsp:nvSpPr>
      <dsp:spPr>
        <a:xfrm>
          <a:off x="2301095" y="575764"/>
          <a:ext cx="775970" cy="387985"/>
        </a:xfrm>
        <a:prstGeom prst="rect">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latin typeface="Calibri" panose="020F0502020204030204" pitchFamily="34" charset="0"/>
              <a:cs typeface="Calibri" panose="020F0502020204030204" pitchFamily="34" charset="0"/>
            </a:rPr>
            <a:t>Services Steering Board</a:t>
          </a:r>
        </a:p>
      </dsp:txBody>
      <dsp:txXfrm>
        <a:off x="2301095" y="575764"/>
        <a:ext cx="775970" cy="387985"/>
      </dsp:txXfrm>
    </dsp:sp>
    <dsp:sp modelId="{50650396-E878-4047-BC80-25FF06B5D047}">
      <dsp:nvSpPr>
        <dsp:cNvPr id="0" name=""/>
        <dsp:cNvSpPr/>
      </dsp:nvSpPr>
      <dsp:spPr>
        <a:xfrm>
          <a:off x="1270509" y="2255894"/>
          <a:ext cx="1220437" cy="3879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latin typeface="Calibri" panose="020F0502020204030204" pitchFamily="34" charset="0"/>
              <a:cs typeface="Calibri" panose="020F0502020204030204" pitchFamily="34" charset="0"/>
            </a:rPr>
            <a:t>Service Management Review Meeting</a:t>
          </a:r>
        </a:p>
      </dsp:txBody>
      <dsp:txXfrm>
        <a:off x="1270509" y="2255894"/>
        <a:ext cx="1220437" cy="387985"/>
      </dsp:txXfrm>
    </dsp:sp>
    <dsp:sp modelId="{8DE1E0C6-D592-4EA4-9C0D-653F460172DF}">
      <dsp:nvSpPr>
        <dsp:cNvPr id="0" name=""/>
        <dsp:cNvSpPr/>
      </dsp:nvSpPr>
      <dsp:spPr>
        <a:xfrm>
          <a:off x="2933925" y="2252321"/>
          <a:ext cx="1138456" cy="387985"/>
        </a:xfrm>
        <a:prstGeom prst="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latin typeface="Calibri" panose="020F0502020204030204" pitchFamily="34" charset="0"/>
              <a:cs typeface="Calibri" panose="020F0502020204030204" pitchFamily="34" charset="0"/>
            </a:rPr>
            <a:t>Data Centre Portfolio Board</a:t>
          </a:r>
        </a:p>
      </dsp:txBody>
      <dsp:txXfrm>
        <a:off x="2933925" y="2252321"/>
        <a:ext cx="1138456" cy="387985"/>
      </dsp:txXfrm>
    </dsp:sp>
    <dsp:sp modelId="{C3276952-40CF-4665-99A8-528EB19F4BAB}">
      <dsp:nvSpPr>
        <dsp:cNvPr id="0" name=""/>
        <dsp:cNvSpPr/>
      </dsp:nvSpPr>
      <dsp:spPr>
        <a:xfrm>
          <a:off x="3287686" y="2723734"/>
          <a:ext cx="775970" cy="387985"/>
        </a:xfrm>
        <a:prstGeom prst="rect">
          <a:avLst/>
        </a:prstGeom>
        <a:solidFill>
          <a:schemeClr val="bg1">
            <a:lumMod val="65000"/>
          </a:schemeClr>
        </a:solidFill>
        <a:ln w="12700" cap="flat" cmpd="sng" algn="ctr">
          <a:solidFill>
            <a:schemeClr val="bg2">
              <a:lumMod val="75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latin typeface="Calibri" panose="020F0502020204030204" pitchFamily="34" charset="0"/>
              <a:cs typeface="Calibri" panose="020F0502020204030204" pitchFamily="34" charset="0"/>
            </a:rPr>
            <a:t>Project Review Meeting</a:t>
          </a:r>
          <a:endParaRPr lang="en-GB" sz="800" kern="1200"/>
        </a:p>
      </dsp:txBody>
      <dsp:txXfrm>
        <a:off x="3287686" y="2723734"/>
        <a:ext cx="775970" cy="387985"/>
      </dsp:txXfrm>
    </dsp:sp>
    <dsp:sp modelId="{E0408E87-EED7-49F7-AEBD-C8B60D93835C}">
      <dsp:nvSpPr>
        <dsp:cNvPr id="0" name=""/>
        <dsp:cNvSpPr/>
      </dsp:nvSpPr>
      <dsp:spPr>
        <a:xfrm>
          <a:off x="2875817" y="1117868"/>
          <a:ext cx="775970" cy="3879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Technical Design Authority </a:t>
          </a:r>
        </a:p>
      </dsp:txBody>
      <dsp:txXfrm>
        <a:off x="2875817" y="1117868"/>
        <a:ext cx="775970" cy="387985"/>
      </dsp:txXfrm>
    </dsp:sp>
    <dsp:sp modelId="{256AF506-7670-483C-BC3D-DBF74D569C09}">
      <dsp:nvSpPr>
        <dsp:cNvPr id="0" name=""/>
        <dsp:cNvSpPr/>
      </dsp:nvSpPr>
      <dsp:spPr>
        <a:xfrm>
          <a:off x="1735537" y="1117876"/>
          <a:ext cx="775970" cy="387985"/>
        </a:xfrm>
        <a:prstGeom prst="rect">
          <a:avLst/>
        </a:prstGeom>
        <a:solidFill>
          <a:schemeClr val="bg1"/>
        </a:solidFill>
        <a:ln w="12700" cap="flat" cmpd="sng" algn="ctr">
          <a:solidFill>
            <a:schemeClr val="tx1"/>
          </a:solidFill>
          <a:prstDash val="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solidFill>
                <a:schemeClr val="tx1"/>
              </a:solidFill>
            </a:rPr>
            <a:t>Change Approval Board (CAB) Schedule 8.2  </a:t>
          </a:r>
        </a:p>
      </dsp:txBody>
      <dsp:txXfrm>
        <a:off x="1735537" y="1117876"/>
        <a:ext cx="775970" cy="387985"/>
      </dsp:txXfrm>
    </dsp:sp>
    <dsp:sp modelId="{B282437F-6309-4E89-A729-E68BB12D944F}">
      <dsp:nvSpPr>
        <dsp:cNvPr id="0" name=""/>
        <dsp:cNvSpPr/>
      </dsp:nvSpPr>
      <dsp:spPr>
        <a:xfrm>
          <a:off x="1738827" y="1624526"/>
          <a:ext cx="775970" cy="387985"/>
        </a:xfrm>
        <a:prstGeom prst="rect">
          <a:avLst/>
        </a:prstGeom>
        <a:solidFill>
          <a:schemeClr val="lt1"/>
        </a:solidFill>
        <a:ln w="12700" cap="flat" cmpd="sng" algn="ctr">
          <a:solidFill>
            <a:schemeClr val="dk1"/>
          </a:solidFill>
          <a:prstDash val="dash"/>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solidFill>
                <a:sysClr val="windowText" lastClr="000000"/>
              </a:solidFill>
            </a:rPr>
            <a:t>Security Group Schedule 2.6</a:t>
          </a:r>
        </a:p>
      </dsp:txBody>
      <dsp:txXfrm>
        <a:off x="1738827" y="1624526"/>
        <a:ext cx="775970" cy="3879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9B2CA2A0DFCB42BF0A4029A575A605" ma:contentTypeVersion="6" ma:contentTypeDescription="Create a new document." ma:contentTypeScope="" ma:versionID="c1032f19811102a3b27f67897fca2cda">
  <xsd:schema xmlns:xsd="http://www.w3.org/2001/XMLSchema" xmlns:xs="http://www.w3.org/2001/XMLSchema" xmlns:p="http://schemas.microsoft.com/office/2006/metadata/properties" xmlns:ns2="9bf50c93-0553-4ad4-8257-e3b04d7b5b11" xmlns:ns3="c40bc3f9-138b-4d73-820f-68c1e9b57dc1" targetNamespace="http://schemas.microsoft.com/office/2006/metadata/properties" ma:root="true" ma:fieldsID="e9b73f70a6df93374e2d5deced78725e" ns2:_="" ns3:_="">
    <xsd:import namespace="9bf50c93-0553-4ad4-8257-e3b04d7b5b11"/>
    <xsd:import namespace="c40bc3f9-138b-4d73-820f-68c1e9b57d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50c93-0553-4ad4-8257-e3b04d7b5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0bc3f9-138b-4d73-820f-68c1e9b57dc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1 6 " ? > < p r o p e r t i e s   x m l n s = " h t t p : / / w w w . i m a n a g e . c o m / w o r k / x m l s c h e m a " >  
     < d o c u m e n t i d > A c t i v e ! 1 3 6 9 3 4 1 3 . 7 < / d o c u m e n t i d >  
     < s e n d e r i d > E M M A W R I G H T < / s e n d e r i d >  
     < s e n d e r e m a i l > E M M A W R I G H T @ D E L O I T T E . C O . U K < / s e n d e r e m a i l >  
     < l a s t m o d i f i e d > 2 0 2 1 - 1 2 - 2 2 T 1 3 : 5 8 : 0 0 . 0 0 0 0 0 0 0 + 0 0 : 0 0 < / l a s t m o d i f i e d >  
     < d a t a b a s e > A c t i v e < / d a t a b a s e >  
 < / 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1 6 " ? > < p r o p e r t i e s   x m l n s = " h t t p : / / w w w . i m a n a g e . c o m / w o r k / x m l s c h e m a " >  
     < d o c u m e n t i d > K L _ C L O U D ! 1 1 6 6 7 3 0 4 . 4 < / d o c u m e n t i d >  
     < s e n d e r i d > E M M A W < / s e n d e r i d >  
     < s e n d e r e m a i l > E M M A . W R I G H T @ K E M P L I T T L E . C O M < / s e n d e r e m a i l >  
     < l a s t m o d i f i e d > 2 0 2 0 - 1 1 - 2 9 T 2 0 : 3 5 : 0 0 . 0 0 0 0 0 0 0 + 0 0 : 0 0 < / l a s t m o d i f i e d >  
     < d a t a b a s e > K L _ C L O U D < / d a t a b a s e >  
 < / 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736F1-4940-40EB-B934-F101C4B0E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50c93-0553-4ad4-8257-e3b04d7b5b11"/>
    <ds:schemaRef ds:uri="c40bc3f9-138b-4d73-820f-68c1e9b57d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4A2E55-44AA-42CF-B641-8131CB884B4B}">
  <ds:schemaRefs>
    <ds:schemaRef ds:uri="http://www.imanage.com/work/xmlschema"/>
  </ds:schemaRefs>
</ds:datastoreItem>
</file>

<file path=customXml/itemProps3.xml><?xml version="1.0" encoding="utf-8"?>
<ds:datastoreItem xmlns:ds="http://schemas.openxmlformats.org/officeDocument/2006/customXml" ds:itemID="{96026F30-9D0C-497F-8D8F-5571B6E963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9AC1065-275B-4532-967F-AEACDB2C68AA}">
  <ds:schemaRefs>
    <ds:schemaRef ds:uri="http://www.imanage.com/work/xmlschema"/>
  </ds:schemaRefs>
</ds:datastoreItem>
</file>

<file path=customXml/itemProps5.xml><?xml version="1.0" encoding="utf-8"?>
<ds:datastoreItem xmlns:ds="http://schemas.openxmlformats.org/officeDocument/2006/customXml" ds:itemID="{E9D4B364-F397-4586-AFBD-F12018785F2E}">
  <ds:schemaRefs>
    <ds:schemaRef ds:uri="http://schemas.microsoft.com/sharepoint/v3/contenttype/forms"/>
  </ds:schemaRefs>
</ds:datastoreItem>
</file>

<file path=customXml/itemProps6.xml><?xml version="1.0" encoding="utf-8"?>
<ds:datastoreItem xmlns:ds="http://schemas.openxmlformats.org/officeDocument/2006/customXml" ds:itemID="{7664B2D9-D226-46B2-B2FE-CE9955ED7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CORP Agreement.dotm</Template>
  <TotalTime>42</TotalTime>
  <Pages>353</Pages>
  <Words>123252</Words>
  <Characters>702540</Characters>
  <Application>Microsoft Office Word</Application>
  <DocSecurity>0</DocSecurity>
  <Lines>5854</Lines>
  <Paragraphs>1648</Paragraphs>
  <ScaleCrop>false</ScaleCrop>
  <HeadingPairs>
    <vt:vector size="2" baseType="variant">
      <vt:variant>
        <vt:lpstr>Title</vt:lpstr>
      </vt:variant>
      <vt:variant>
        <vt:i4>1</vt:i4>
      </vt:variant>
    </vt:vector>
  </HeadingPairs>
  <TitlesOfParts>
    <vt:vector size="1" baseType="lpstr">
      <vt:lpstr/>
    </vt:vector>
  </TitlesOfParts>
  <Company>Kemp Little LLP</Company>
  <LinksUpToDate>false</LinksUpToDate>
  <CharactersWithSpaces>824144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Alastair McAulay</cp:lastModifiedBy>
  <cp:revision>28</cp:revision>
  <cp:lastPrinted>2020-12-24T14:25:00Z</cp:lastPrinted>
  <dcterms:created xsi:type="dcterms:W3CDTF">2023-07-16T10:17:00Z</dcterms:created>
  <dcterms:modified xsi:type="dcterms:W3CDTF">2023-07-16T10:58:00Z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0x010100129B2CA2A0DFCB42BF0A4029A575A605</vt:lpwstr>
  </property>
  <property fmtid="{D5CDD505-2E9C-101B-9397-08002B2CF9AE}" pid="3" name="MSIP_Label_8577031b-11bc-4db9-b655-7d79027ad570_Enabled">
    <vt:lpwstr>true</vt:lpwstr>
  </property>
  <property fmtid="{D5CDD505-2E9C-101B-9397-08002B2CF9AE}" pid="4" name="MSIP_Label_8577031b-11bc-4db9-b655-7d79027ad570_SetDate">
    <vt:lpwstr>2020-12-24T14:25:27Z</vt:lpwstr>
  </property>
  <property fmtid="{D5CDD505-2E9C-101B-9397-08002B2CF9AE}" pid="5" name="MSIP_Label_8577031b-11bc-4db9-b655-7d79027ad570_Method">
    <vt:lpwstr>Standard</vt:lpwstr>
  </property>
  <property fmtid="{D5CDD505-2E9C-101B-9397-08002B2CF9AE}" pid="6" name="MSIP_Label_8577031b-11bc-4db9-b655-7d79027ad570_Name">
    <vt:lpwstr>8577031b-11bc-4db9-b655-7d79027ad570</vt:lpwstr>
  </property>
  <property fmtid="{D5CDD505-2E9C-101B-9397-08002B2CF9AE}" pid="7" name="MSIP_Label_8577031b-11bc-4db9-b655-7d79027ad570_SiteId">
    <vt:lpwstr>c22cc3e1-5d7f-4f4d-be03-d5a158cc9409</vt:lpwstr>
  </property>
  <property fmtid="{D5CDD505-2E9C-101B-9397-08002B2CF9AE}" pid="8" name="MSIP_Label_8577031b-11bc-4db9-b655-7d79027ad570_ActionId">
    <vt:lpwstr>5636f159-4a0e-431b-8a1f-bda39c7d0c41</vt:lpwstr>
  </property>
  <property fmtid="{D5CDD505-2E9C-101B-9397-08002B2CF9AE}" pid="9" name="MSIP_Label_8577031b-11bc-4db9-b655-7d79027ad570_ContentBits">
    <vt:lpwstr>1</vt:lpwstr>
  </property>
  <property fmtid="{D5CDD505-2E9C-101B-9397-08002B2CF9AE}" pid="10" name="MSIP_Label_ea60d57e-af5b-4752-ac57-3e4f28ca11dc_Enabled">
    <vt:lpwstr>true</vt:lpwstr>
  </property>
  <property fmtid="{D5CDD505-2E9C-101B-9397-08002B2CF9AE}" pid="11" name="MSIP_Label_ea60d57e-af5b-4752-ac57-3e4f28ca11dc_SetDate">
    <vt:lpwstr>2021-10-19T14:16:29Z</vt:lpwstr>
  </property>
  <property fmtid="{D5CDD505-2E9C-101B-9397-08002B2CF9AE}" pid="12" name="MSIP_Label_ea60d57e-af5b-4752-ac57-3e4f28ca11dc_Method">
    <vt:lpwstr>Standard</vt:lpwstr>
  </property>
  <property fmtid="{D5CDD505-2E9C-101B-9397-08002B2CF9AE}" pid="13" name="MSIP_Label_ea60d57e-af5b-4752-ac57-3e4f28ca11dc_Name">
    <vt:lpwstr>ea60d57e-af5b-4752-ac57-3e4f28ca11dc</vt:lpwstr>
  </property>
  <property fmtid="{D5CDD505-2E9C-101B-9397-08002B2CF9AE}" pid="14" name="MSIP_Label_ea60d57e-af5b-4752-ac57-3e4f28ca11dc_SiteId">
    <vt:lpwstr>36da45f1-dd2c-4d1f-af13-5abe46b99921</vt:lpwstr>
  </property>
  <property fmtid="{D5CDD505-2E9C-101B-9397-08002B2CF9AE}" pid="15" name="MSIP_Label_ea60d57e-af5b-4752-ac57-3e4f28ca11dc_ActionId">
    <vt:lpwstr>323e09d9-3ea9-46fc-8306-e25266c14312</vt:lpwstr>
  </property>
  <property fmtid="{D5CDD505-2E9C-101B-9397-08002B2CF9AE}" pid="16" name="MSIP_Label_ea60d57e-af5b-4752-ac57-3e4f28ca11dc_ContentBits">
    <vt:lpwstr>0</vt:lpwstr>
  </property>
  <property fmtid="{D5CDD505-2E9C-101B-9397-08002B2CF9AE}" pid="17" name="iManageFooter">
    <vt:lpwstr>#13693413v7</vt:lpwstr>
  </property>
</Properties>
</file>